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oter4.xml" ContentType="application/vnd.openxmlformats-officedocument.wordprocessingml.footer+xml"/>
  <Override PartName="/word/charts/chart4.xml" ContentType="application/vnd.openxmlformats-officedocument.drawingml.chart+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AE810" w14:textId="77777777" w:rsidR="00D3017C" w:rsidRPr="005734B8" w:rsidRDefault="00D3017C" w:rsidP="00670895">
      <w:pPr>
        <w:pStyle w:val="ListParagraph"/>
        <w:numPr>
          <w:ilvl w:val="0"/>
          <w:numId w:val="86"/>
        </w:numPr>
        <w:rPr>
          <w:rFonts w:ascii="Calibri" w:hAnsi="Calibri" w:cs="Calibri"/>
          <w:lang w:val="en-US"/>
        </w:rPr>
        <w:sectPr w:rsidR="00D3017C" w:rsidRPr="005734B8" w:rsidSect="00AA5D63">
          <w:headerReference w:type="default" r:id="rId11"/>
          <w:pgSz w:w="11900" w:h="16840"/>
          <w:pgMar w:top="1440" w:right="1701" w:bottom="1440" w:left="1701" w:header="709" w:footer="709" w:gutter="0"/>
          <w:cols w:space="708"/>
          <w:docGrid w:linePitch="360"/>
        </w:sectPr>
      </w:pPr>
    </w:p>
    <w:p w14:paraId="40D4923A" w14:textId="67C94C58" w:rsidR="00890A8F" w:rsidRPr="005734B8" w:rsidRDefault="00890A8F" w:rsidP="00890A8F">
      <w:pPr>
        <w:pStyle w:val="Imprintinformation"/>
        <w:rPr>
          <w:rFonts w:ascii="Calibri" w:hAnsi="Calibri" w:cs="Calibri"/>
        </w:rPr>
      </w:pPr>
      <w:r w:rsidRPr="005734B8">
        <w:rPr>
          <w:rFonts w:ascii="Calibri" w:hAnsi="Calibri" w:cs="Calibri"/>
        </w:rPr>
        <w:lastRenderedPageBreak/>
        <w:t xml:space="preserve">Published by the Department of Education and Training, Melbourne, </w:t>
      </w:r>
      <w:r w:rsidR="00EC0993" w:rsidRPr="005734B8">
        <w:rPr>
          <w:rFonts w:ascii="Calibri" w:hAnsi="Calibri" w:cs="Calibri"/>
        </w:rPr>
        <w:t>October 20</w:t>
      </w:r>
      <w:r w:rsidR="001E587C" w:rsidRPr="005734B8">
        <w:rPr>
          <w:rFonts w:ascii="Calibri" w:hAnsi="Calibri" w:cs="Calibri"/>
        </w:rPr>
        <w:t>2</w:t>
      </w:r>
      <w:r w:rsidR="00BD5740" w:rsidRPr="005734B8">
        <w:rPr>
          <w:rFonts w:ascii="Calibri" w:hAnsi="Calibri" w:cs="Calibri"/>
        </w:rPr>
        <w:t>1</w:t>
      </w:r>
    </w:p>
    <w:p w14:paraId="35FA9473" w14:textId="24BD0736" w:rsidR="00890A8F" w:rsidRPr="005734B8" w:rsidRDefault="00890A8F" w:rsidP="00890A8F">
      <w:pPr>
        <w:pStyle w:val="Imprintinformation"/>
        <w:rPr>
          <w:rFonts w:ascii="Calibri" w:hAnsi="Calibri" w:cs="Calibri"/>
        </w:rPr>
      </w:pPr>
      <w:r w:rsidRPr="005734B8">
        <w:rPr>
          <w:rFonts w:ascii="Calibri" w:hAnsi="Calibri" w:cs="Calibri"/>
        </w:rPr>
        <w:t>© State of Victoria (Department of Education and Training) 20</w:t>
      </w:r>
      <w:r w:rsidR="001E587C" w:rsidRPr="005734B8">
        <w:rPr>
          <w:rFonts w:ascii="Calibri" w:hAnsi="Calibri" w:cs="Calibri"/>
        </w:rPr>
        <w:t>2</w:t>
      </w:r>
      <w:r w:rsidR="00BD5740" w:rsidRPr="005734B8">
        <w:rPr>
          <w:rFonts w:ascii="Calibri" w:hAnsi="Calibri" w:cs="Calibri"/>
        </w:rPr>
        <w:t>1</w:t>
      </w:r>
    </w:p>
    <w:p w14:paraId="691DC29C" w14:textId="5AAC2A87" w:rsidR="00890A8F" w:rsidRPr="005734B8" w:rsidRDefault="00ED58F7" w:rsidP="00890A8F">
      <w:pPr>
        <w:rPr>
          <w:rFonts w:ascii="Calibri" w:hAnsi="Calibri" w:cs="Calibri"/>
        </w:rPr>
      </w:pPr>
      <w:r w:rsidRPr="005734B8">
        <w:rPr>
          <w:rFonts w:ascii="Calibri" w:hAnsi="Calibri" w:cs="Calibri"/>
          <w:noProof/>
        </w:rPr>
        <w:drawing>
          <wp:inline distT="0" distB="0" distL="0" distR="0" wp14:anchorId="1AB3B205" wp14:editId="7AC13B43">
            <wp:extent cx="1117460" cy="390972"/>
            <wp:effectExtent l="0" t="0" r="6985" b="9525"/>
            <wp:docPr id="25" name="Creative Commons logo">
              <a:hlinkClick xmlns:a="http://schemas.openxmlformats.org/drawingml/2006/main" r:id="rId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p>
    <w:p w14:paraId="35BFDBC6" w14:textId="1F4D4EA5" w:rsidR="00890A8F" w:rsidRPr="005734B8" w:rsidRDefault="00890A8F" w:rsidP="00890A8F">
      <w:pPr>
        <w:pStyle w:val="Imprintinformation"/>
        <w:rPr>
          <w:rFonts w:ascii="Calibri" w:hAnsi="Calibri" w:cs="Calibri"/>
        </w:rPr>
      </w:pPr>
      <w:r w:rsidRPr="005734B8">
        <w:rPr>
          <w:rFonts w:ascii="Calibri" w:hAnsi="Calibri" w:cs="Calibri"/>
        </w:rPr>
        <w:t>The Department of Education</w:t>
      </w:r>
      <w:r w:rsidR="00EC0993" w:rsidRPr="005734B8">
        <w:rPr>
          <w:rFonts w:ascii="Calibri" w:hAnsi="Calibri" w:cs="Calibri"/>
        </w:rPr>
        <w:t xml:space="preserve"> and Training </w:t>
      </w:r>
      <w:r w:rsidR="003E6703" w:rsidRPr="005734B8">
        <w:rPr>
          <w:rFonts w:ascii="Calibri" w:hAnsi="Calibri" w:cs="Calibri"/>
        </w:rPr>
        <w:t>20</w:t>
      </w:r>
      <w:r w:rsidR="00BD5740" w:rsidRPr="005734B8">
        <w:rPr>
          <w:rFonts w:ascii="Calibri" w:hAnsi="Calibri" w:cs="Calibri"/>
        </w:rPr>
        <w:t>20</w:t>
      </w:r>
      <w:r w:rsidR="003E6703" w:rsidRPr="005734B8">
        <w:rPr>
          <w:rFonts w:ascii="Calibri" w:hAnsi="Calibri" w:cs="Calibri"/>
        </w:rPr>
        <w:t>–2</w:t>
      </w:r>
      <w:r w:rsidR="00BD5740" w:rsidRPr="005734B8">
        <w:rPr>
          <w:rFonts w:ascii="Calibri" w:hAnsi="Calibri" w:cs="Calibri"/>
        </w:rPr>
        <w:t>1</w:t>
      </w:r>
      <w:r w:rsidR="003E6703" w:rsidRPr="005734B8">
        <w:rPr>
          <w:rFonts w:ascii="Calibri" w:hAnsi="Calibri" w:cs="Calibri"/>
        </w:rPr>
        <w:t xml:space="preserve"> </w:t>
      </w:r>
      <w:r w:rsidR="00EC0993" w:rsidRPr="005734B8">
        <w:rPr>
          <w:rFonts w:ascii="Calibri" w:hAnsi="Calibri" w:cs="Calibri"/>
        </w:rPr>
        <w:t xml:space="preserve">Annual Report </w:t>
      </w:r>
      <w:r w:rsidRPr="005734B8">
        <w:rPr>
          <w:rFonts w:ascii="Calibri" w:hAnsi="Calibri" w:cs="Calibri"/>
        </w:rPr>
        <w:t xml:space="preserve">is licensed under a </w:t>
      </w:r>
      <w:hyperlink r:id="rId14" w:history="1">
        <w:r w:rsidRPr="005734B8">
          <w:rPr>
            <w:rFonts w:ascii="Calibri" w:hAnsi="Calibri" w:cs="Calibri"/>
          </w:rPr>
          <w:t>Creative Commons Attribution 4.0 licence</w:t>
        </w:r>
      </w:hyperlink>
      <w:r w:rsidRPr="005734B8">
        <w:rPr>
          <w:rFonts w:ascii="Calibri" w:hAnsi="Calibri" w:cs="Calibri"/>
        </w:rPr>
        <w:t>. You are free to re</w:t>
      </w:r>
      <w:r w:rsidR="009C0287" w:rsidRPr="005734B8">
        <w:rPr>
          <w:rFonts w:ascii="Calibri" w:hAnsi="Calibri" w:cs="Calibri"/>
        </w:rPr>
        <w:t>-</w:t>
      </w:r>
      <w:r w:rsidRPr="005734B8">
        <w:rPr>
          <w:rFonts w:ascii="Calibri" w:hAnsi="Calibri" w:cs="Calibri"/>
        </w:rPr>
        <w:t xml:space="preserve">use the work under that licence, on the condition that you credit the State of Victoria (Department of Education and Training), indicate if changes were made and comply with the other licence terms available at </w:t>
      </w:r>
      <w:hyperlink r:id="rId15" w:history="1">
        <w:r w:rsidRPr="005734B8">
          <w:rPr>
            <w:rFonts w:ascii="Calibri" w:hAnsi="Calibri" w:cs="Calibri"/>
            <w:u w:val="single"/>
          </w:rPr>
          <w:t>http://creativecommons.org/licenses/by/4.0/deed.en</w:t>
        </w:r>
      </w:hyperlink>
      <w:r w:rsidRPr="005734B8">
        <w:rPr>
          <w:rFonts w:ascii="Calibri" w:hAnsi="Calibri" w:cs="Calibri"/>
        </w:rPr>
        <w:t>.</w:t>
      </w:r>
    </w:p>
    <w:p w14:paraId="1C5F137F" w14:textId="77777777" w:rsidR="00890A8F" w:rsidRPr="005734B8" w:rsidRDefault="00890A8F" w:rsidP="00890A8F">
      <w:pPr>
        <w:pStyle w:val="Imprintinformation"/>
        <w:rPr>
          <w:rFonts w:ascii="Calibri" w:hAnsi="Calibri" w:cs="Calibri"/>
        </w:rPr>
      </w:pPr>
      <w:r w:rsidRPr="005734B8">
        <w:rPr>
          <w:rFonts w:ascii="Calibri" w:hAnsi="Calibri" w:cs="Calibri"/>
        </w:rPr>
        <w:t>The licence does not apply to:</w:t>
      </w:r>
    </w:p>
    <w:p w14:paraId="067BBD71" w14:textId="77777777" w:rsidR="00890A8F" w:rsidRPr="005734B8" w:rsidRDefault="00890A8F" w:rsidP="00890A8F">
      <w:pPr>
        <w:pStyle w:val="Imprintbullet"/>
        <w:rPr>
          <w:rFonts w:ascii="Calibri" w:hAnsi="Calibri" w:cs="Calibri"/>
        </w:rPr>
      </w:pPr>
      <w:r w:rsidRPr="005734B8">
        <w:rPr>
          <w:rFonts w:ascii="Calibri" w:hAnsi="Calibri" w:cs="Calibri"/>
        </w:rPr>
        <w:t>any trademarks or branding, including the Victorian Government logo and the Department of Education and Training logo</w:t>
      </w:r>
    </w:p>
    <w:p w14:paraId="541F4468" w14:textId="77777777" w:rsidR="00890A8F" w:rsidRPr="005734B8" w:rsidRDefault="00890A8F" w:rsidP="00890A8F">
      <w:pPr>
        <w:pStyle w:val="Imprintbullet"/>
        <w:rPr>
          <w:rFonts w:ascii="Calibri" w:hAnsi="Calibri" w:cs="Calibri"/>
        </w:rPr>
      </w:pPr>
      <w:r w:rsidRPr="005734B8">
        <w:rPr>
          <w:rFonts w:ascii="Calibri" w:hAnsi="Calibri" w:cs="Calibri"/>
        </w:rPr>
        <w:t>images or photographs or other content supplied by third parties.</w:t>
      </w:r>
    </w:p>
    <w:p w14:paraId="4E903800" w14:textId="5BD36392" w:rsidR="00890A8F" w:rsidRPr="005734B8" w:rsidRDefault="00890A8F" w:rsidP="00890A8F">
      <w:pPr>
        <w:pStyle w:val="Imprintinformation"/>
        <w:rPr>
          <w:rFonts w:ascii="Calibri" w:hAnsi="Calibri" w:cs="Calibri"/>
        </w:rPr>
      </w:pPr>
      <w:r w:rsidRPr="005734B8">
        <w:rPr>
          <w:rFonts w:ascii="Calibri" w:hAnsi="Calibri" w:cs="Calibri"/>
        </w:rPr>
        <w:t xml:space="preserve">Copyright queries may be directed to </w:t>
      </w:r>
      <w:hyperlink r:id="rId16" w:history="1">
        <w:r w:rsidRPr="005734B8">
          <w:rPr>
            <w:rFonts w:ascii="Calibri" w:hAnsi="Calibri" w:cs="Calibri"/>
            <w:u w:val="single"/>
          </w:rPr>
          <w:t>copyright@edumail.vic.gov.au</w:t>
        </w:r>
      </w:hyperlink>
      <w:r w:rsidRPr="005734B8">
        <w:rPr>
          <w:rFonts w:ascii="Calibri" w:hAnsi="Calibri" w:cs="Calibri"/>
        </w:rPr>
        <w:t>.</w:t>
      </w:r>
    </w:p>
    <w:p w14:paraId="0DC13943" w14:textId="77777777" w:rsidR="00890A8F" w:rsidRPr="005734B8" w:rsidRDefault="00890A8F" w:rsidP="00890A8F">
      <w:pPr>
        <w:pStyle w:val="Imprintinformation"/>
        <w:rPr>
          <w:rFonts w:ascii="Calibri" w:hAnsi="Calibri" w:cs="Calibri"/>
        </w:rPr>
      </w:pPr>
      <w:r w:rsidRPr="005734B8">
        <w:rPr>
          <w:rFonts w:ascii="Calibri" w:hAnsi="Calibri" w:cs="Calibri"/>
        </w:rPr>
        <w:t>Authorised by the Department of Education and Training</w:t>
      </w:r>
      <w:r w:rsidRPr="005734B8">
        <w:rPr>
          <w:rFonts w:ascii="Calibri" w:hAnsi="Calibri" w:cs="Calibri"/>
        </w:rPr>
        <w:br/>
        <w:t>2 Treasury Place, East Melbourne, Victoria, 3002</w:t>
      </w:r>
    </w:p>
    <w:p w14:paraId="48BE69F9" w14:textId="527D9EB5" w:rsidR="00890A8F" w:rsidRPr="005734B8" w:rsidRDefault="00890A8F" w:rsidP="00890A8F">
      <w:pPr>
        <w:pStyle w:val="Imprintinformation"/>
        <w:rPr>
          <w:rFonts w:ascii="Calibri" w:hAnsi="Calibri" w:cs="Calibri"/>
        </w:rPr>
      </w:pPr>
      <w:r w:rsidRPr="005734B8">
        <w:rPr>
          <w:rFonts w:ascii="Calibri" w:hAnsi="Calibri" w:cs="Calibri"/>
        </w:rPr>
        <w:t>ISSN 2204‒0439 (</w:t>
      </w:r>
      <w:r w:rsidR="009C0287" w:rsidRPr="005734B8">
        <w:rPr>
          <w:rFonts w:ascii="Calibri" w:hAnsi="Calibri" w:cs="Calibri"/>
        </w:rPr>
        <w:t>p</w:t>
      </w:r>
      <w:r w:rsidRPr="005734B8">
        <w:rPr>
          <w:rFonts w:ascii="Calibri" w:hAnsi="Calibri" w:cs="Calibri"/>
        </w:rPr>
        <w:t>rint) ISSN 2204‒0447 (</w:t>
      </w:r>
      <w:r w:rsidR="009C0287" w:rsidRPr="005734B8">
        <w:rPr>
          <w:rFonts w:ascii="Calibri" w:hAnsi="Calibri" w:cs="Calibri"/>
        </w:rPr>
        <w:t>o</w:t>
      </w:r>
      <w:r w:rsidRPr="005734B8">
        <w:rPr>
          <w:rFonts w:ascii="Calibri" w:hAnsi="Calibri" w:cs="Calibri"/>
        </w:rPr>
        <w:t>nline)</w:t>
      </w:r>
    </w:p>
    <w:p w14:paraId="4EA93C13" w14:textId="77777777" w:rsidR="009C0287" w:rsidRPr="005734B8" w:rsidRDefault="00890A8F" w:rsidP="00890A8F">
      <w:pPr>
        <w:pStyle w:val="Imprintinformation"/>
        <w:rPr>
          <w:rFonts w:ascii="Calibri" w:hAnsi="Calibri" w:cs="Calibri"/>
        </w:rPr>
      </w:pPr>
      <w:r w:rsidRPr="005734B8">
        <w:rPr>
          <w:rFonts w:ascii="Calibri" w:hAnsi="Calibri" w:cs="Calibri"/>
        </w:rPr>
        <w:t xml:space="preserve">If you would like to receive this document in an accessible format such as large print or audio, please </w:t>
      </w:r>
    </w:p>
    <w:p w14:paraId="789B30DF" w14:textId="383E7207" w:rsidR="00890A8F" w:rsidRPr="005734B8" w:rsidRDefault="00890A8F" w:rsidP="00890A8F">
      <w:pPr>
        <w:pStyle w:val="Imprintinformation"/>
        <w:rPr>
          <w:rFonts w:ascii="Calibri" w:hAnsi="Calibri" w:cs="Calibri"/>
        </w:rPr>
      </w:pPr>
      <w:r w:rsidRPr="005734B8">
        <w:rPr>
          <w:rFonts w:ascii="Calibri" w:hAnsi="Calibri" w:cs="Calibri"/>
        </w:rPr>
        <w:t xml:space="preserve">telephone 1800 809 834 or email </w:t>
      </w:r>
      <w:hyperlink r:id="rId17" w:history="1">
        <w:r w:rsidRPr="005734B8">
          <w:rPr>
            <w:rFonts w:ascii="Calibri" w:hAnsi="Calibri" w:cs="Calibri"/>
            <w:u w:val="single"/>
          </w:rPr>
          <w:t>edline@vic.gov.au</w:t>
        </w:r>
      </w:hyperlink>
      <w:r w:rsidRPr="005734B8">
        <w:rPr>
          <w:rFonts w:ascii="Calibri" w:hAnsi="Calibri" w:cs="Calibri"/>
        </w:rPr>
        <w:t>.</w:t>
      </w:r>
    </w:p>
    <w:p w14:paraId="74AEC9C1" w14:textId="33EF7138" w:rsidR="00890A8F" w:rsidRPr="005734B8" w:rsidRDefault="00890A8F" w:rsidP="00890A8F">
      <w:pPr>
        <w:pStyle w:val="Imprintinformation"/>
        <w:rPr>
          <w:rFonts w:ascii="Calibri" w:hAnsi="Calibri" w:cs="Calibri"/>
        </w:rPr>
      </w:pPr>
      <w:r w:rsidRPr="005734B8">
        <w:rPr>
          <w:rFonts w:ascii="Calibri" w:hAnsi="Calibri" w:cs="Calibri"/>
        </w:rPr>
        <w:t xml:space="preserve">This document is available in PDF and accessible Microsoft Word format at </w:t>
      </w:r>
      <w:hyperlink r:id="rId18" w:history="1">
        <w:r w:rsidRPr="005734B8">
          <w:rPr>
            <w:rFonts w:ascii="Calibri" w:hAnsi="Calibri" w:cs="Calibri"/>
            <w:u w:val="single"/>
          </w:rPr>
          <w:t>www.education.vic.gov.au</w:t>
        </w:r>
      </w:hyperlink>
      <w:r w:rsidRPr="005734B8">
        <w:rPr>
          <w:rFonts w:ascii="Calibri" w:hAnsi="Calibri" w:cs="Calibri"/>
        </w:rPr>
        <w:t xml:space="preserve">. </w:t>
      </w:r>
    </w:p>
    <w:p w14:paraId="1931EA27" w14:textId="77777777" w:rsidR="00890A8F" w:rsidRPr="005734B8" w:rsidRDefault="00890A8F" w:rsidP="00D90AAF">
      <w:pPr>
        <w:pStyle w:val="TOCHeading"/>
        <w:rPr>
          <w:rFonts w:ascii="Calibri" w:hAnsi="Calibri" w:cs="Calibri"/>
          <w:highlight w:val="yellow"/>
        </w:rPr>
        <w:sectPr w:rsidR="00890A8F" w:rsidRPr="005734B8" w:rsidSect="003B3A5C">
          <w:headerReference w:type="default" r:id="rId19"/>
          <w:footerReference w:type="default" r:id="rId20"/>
          <w:pgSz w:w="11900" w:h="16840"/>
          <w:pgMar w:top="1440" w:right="1134" w:bottom="1440" w:left="2835" w:header="709" w:footer="709" w:gutter="0"/>
          <w:cols w:space="708"/>
          <w:vAlign w:val="bottom"/>
          <w:docGrid w:linePitch="360"/>
        </w:sectPr>
      </w:pPr>
    </w:p>
    <w:p w14:paraId="5FAB3CDD" w14:textId="77777777" w:rsidR="00EC0993" w:rsidRPr="005734B8" w:rsidRDefault="00EC0993" w:rsidP="00EC0993">
      <w:pPr>
        <w:pStyle w:val="ESBodyText"/>
        <w:rPr>
          <w:rFonts w:ascii="Calibri" w:hAnsi="Calibri" w:cs="Calibri"/>
          <w:sz w:val="22"/>
          <w:szCs w:val="22"/>
          <w:highlight w:val="yellow"/>
          <w:lang w:val="en-AU"/>
        </w:rPr>
      </w:pPr>
    </w:p>
    <w:p w14:paraId="474AE65E" w14:textId="77777777" w:rsidR="00EC0993" w:rsidRPr="005734B8" w:rsidRDefault="00EC0993" w:rsidP="00EC0993">
      <w:pPr>
        <w:pStyle w:val="ESBodyText"/>
        <w:rPr>
          <w:rFonts w:ascii="Calibri" w:hAnsi="Calibri" w:cs="Calibri"/>
          <w:sz w:val="22"/>
          <w:szCs w:val="22"/>
          <w:highlight w:val="yellow"/>
          <w:lang w:val="en-AU"/>
        </w:rPr>
      </w:pPr>
    </w:p>
    <w:p w14:paraId="1F747632" w14:textId="77777777" w:rsidR="00EC0993" w:rsidRPr="005734B8" w:rsidRDefault="00EC0993" w:rsidP="00EC0993">
      <w:pPr>
        <w:pStyle w:val="ESBodyText"/>
        <w:rPr>
          <w:rFonts w:ascii="Calibri" w:hAnsi="Calibri" w:cs="Calibri"/>
          <w:sz w:val="22"/>
          <w:szCs w:val="22"/>
          <w:highlight w:val="yellow"/>
          <w:lang w:val="en-AU"/>
        </w:rPr>
      </w:pPr>
    </w:p>
    <w:p w14:paraId="71E876DF" w14:textId="651AC180" w:rsidR="00EC0993" w:rsidRPr="005734B8" w:rsidRDefault="00EC0993" w:rsidP="00EC0993">
      <w:pPr>
        <w:pStyle w:val="ESBodyText"/>
        <w:rPr>
          <w:rFonts w:ascii="Calibri" w:hAnsi="Calibri" w:cs="Calibri"/>
          <w:sz w:val="22"/>
          <w:szCs w:val="22"/>
          <w:lang w:val="en-AU"/>
        </w:rPr>
      </w:pPr>
      <w:r w:rsidRPr="005734B8">
        <w:rPr>
          <w:rFonts w:ascii="Calibri" w:hAnsi="Calibri" w:cs="Calibri"/>
          <w:sz w:val="22"/>
          <w:szCs w:val="22"/>
          <w:lang w:val="en-AU"/>
        </w:rPr>
        <w:t>The Hon. James Merlino</w:t>
      </w:r>
      <w:r w:rsidR="003E6703" w:rsidRPr="005734B8">
        <w:rPr>
          <w:rFonts w:ascii="Calibri" w:hAnsi="Calibri" w:cs="Calibri"/>
          <w:sz w:val="22"/>
          <w:szCs w:val="22"/>
          <w:lang w:val="en-AU"/>
        </w:rPr>
        <w:t>,</w:t>
      </w:r>
      <w:r w:rsidRPr="005734B8">
        <w:rPr>
          <w:rFonts w:ascii="Calibri" w:hAnsi="Calibri" w:cs="Calibri"/>
          <w:sz w:val="22"/>
          <w:szCs w:val="22"/>
          <w:lang w:val="en-AU"/>
        </w:rPr>
        <w:t xml:space="preserve"> MP</w:t>
      </w:r>
      <w:r w:rsidRPr="005734B8">
        <w:rPr>
          <w:rFonts w:ascii="Calibri" w:hAnsi="Calibri" w:cs="Calibri"/>
          <w:sz w:val="22"/>
          <w:szCs w:val="22"/>
          <w:lang w:val="en-AU"/>
        </w:rPr>
        <w:br/>
        <w:t>Deputy Premier of V</w:t>
      </w:r>
      <w:r w:rsidR="00E30609" w:rsidRPr="005734B8">
        <w:rPr>
          <w:rFonts w:ascii="Calibri" w:hAnsi="Calibri" w:cs="Calibri"/>
          <w:sz w:val="22"/>
          <w:szCs w:val="22"/>
          <w:lang w:val="en-AU"/>
        </w:rPr>
        <w:t>ictoria</w:t>
      </w:r>
      <w:r w:rsidR="008079E8" w:rsidRPr="005734B8">
        <w:rPr>
          <w:rFonts w:ascii="Calibri" w:hAnsi="Calibri" w:cs="Calibri"/>
          <w:sz w:val="22"/>
          <w:szCs w:val="22"/>
          <w:lang w:val="en-AU"/>
        </w:rPr>
        <w:t xml:space="preserve">, </w:t>
      </w:r>
      <w:r w:rsidR="00E30609" w:rsidRPr="005734B8">
        <w:rPr>
          <w:rFonts w:ascii="Calibri" w:hAnsi="Calibri" w:cs="Calibri"/>
          <w:sz w:val="22"/>
          <w:szCs w:val="22"/>
          <w:lang w:val="en-AU"/>
        </w:rPr>
        <w:t>Minister for Education</w:t>
      </w:r>
      <w:r w:rsidR="008079E8" w:rsidRPr="005734B8">
        <w:rPr>
          <w:rFonts w:ascii="Calibri" w:hAnsi="Calibri" w:cs="Calibri"/>
          <w:sz w:val="22"/>
          <w:szCs w:val="22"/>
          <w:lang w:val="en-AU"/>
        </w:rPr>
        <w:t xml:space="preserve"> and Minister for Mental Health</w:t>
      </w:r>
    </w:p>
    <w:p w14:paraId="7E2535F4" w14:textId="683C3DE7" w:rsidR="00EC0993" w:rsidRPr="005734B8" w:rsidRDefault="00EC0993" w:rsidP="00EC0993">
      <w:pPr>
        <w:pStyle w:val="ESBodyText"/>
        <w:rPr>
          <w:rFonts w:ascii="Calibri" w:hAnsi="Calibri" w:cs="Calibri"/>
          <w:sz w:val="22"/>
          <w:szCs w:val="22"/>
          <w:lang w:val="en-AU"/>
        </w:rPr>
      </w:pPr>
      <w:r w:rsidRPr="005734B8">
        <w:rPr>
          <w:rFonts w:ascii="Calibri" w:hAnsi="Calibri" w:cs="Calibri"/>
          <w:sz w:val="22"/>
          <w:szCs w:val="22"/>
          <w:lang w:val="en-AU"/>
        </w:rPr>
        <w:t>The Hon. Gayle Tierney</w:t>
      </w:r>
      <w:r w:rsidR="003E6703" w:rsidRPr="005734B8">
        <w:rPr>
          <w:rFonts w:ascii="Calibri" w:hAnsi="Calibri" w:cs="Calibri"/>
          <w:sz w:val="22"/>
          <w:szCs w:val="22"/>
          <w:lang w:val="en-AU"/>
        </w:rPr>
        <w:t>,</w:t>
      </w:r>
      <w:r w:rsidRPr="005734B8">
        <w:rPr>
          <w:rFonts w:ascii="Calibri" w:hAnsi="Calibri" w:cs="Calibri"/>
          <w:sz w:val="22"/>
          <w:szCs w:val="22"/>
          <w:lang w:val="en-AU"/>
        </w:rPr>
        <w:t xml:space="preserve"> MP</w:t>
      </w:r>
      <w:r w:rsidRPr="005734B8">
        <w:rPr>
          <w:rFonts w:ascii="Calibri" w:hAnsi="Calibri" w:cs="Calibri"/>
          <w:sz w:val="22"/>
          <w:szCs w:val="22"/>
          <w:lang w:val="en-AU"/>
        </w:rPr>
        <w:br/>
        <w:t xml:space="preserve">Minister for </w:t>
      </w:r>
      <w:r w:rsidR="00E30609" w:rsidRPr="005734B8">
        <w:rPr>
          <w:rFonts w:ascii="Calibri" w:hAnsi="Calibri" w:cs="Calibri"/>
          <w:sz w:val="22"/>
          <w:szCs w:val="22"/>
          <w:lang w:val="en-AU"/>
        </w:rPr>
        <w:t>Higher Education and Minister for Training and Skills</w:t>
      </w:r>
    </w:p>
    <w:p w14:paraId="27B3B082" w14:textId="1B767F14" w:rsidR="00186D05" w:rsidRPr="005734B8" w:rsidRDefault="001B0314" w:rsidP="00186D05">
      <w:pPr>
        <w:pStyle w:val="ESBodyText"/>
        <w:spacing w:after="0"/>
        <w:rPr>
          <w:rFonts w:ascii="Calibri" w:hAnsi="Calibri" w:cs="Calibri"/>
          <w:sz w:val="22"/>
          <w:szCs w:val="22"/>
          <w:lang w:val="en-AU"/>
        </w:rPr>
      </w:pPr>
      <w:r>
        <w:rPr>
          <w:rFonts w:ascii="Calibri" w:hAnsi="Calibri" w:cs="Calibri"/>
          <w:sz w:val="22"/>
          <w:szCs w:val="22"/>
          <w:lang w:val="en-AU"/>
        </w:rPr>
        <w:t>Ms</w:t>
      </w:r>
      <w:r w:rsidR="00186D05" w:rsidRPr="005734B8">
        <w:rPr>
          <w:rFonts w:ascii="Calibri" w:hAnsi="Calibri" w:cs="Calibri"/>
          <w:sz w:val="22"/>
          <w:szCs w:val="22"/>
          <w:lang w:val="en-AU"/>
        </w:rPr>
        <w:t xml:space="preserve"> Ingrid Stitt, MP</w:t>
      </w:r>
    </w:p>
    <w:p w14:paraId="33873C13" w14:textId="1F9FF897" w:rsidR="00186D05" w:rsidRPr="005734B8" w:rsidRDefault="00186D05" w:rsidP="00186D05">
      <w:pPr>
        <w:pStyle w:val="ESBodyText"/>
        <w:rPr>
          <w:rFonts w:ascii="Calibri" w:hAnsi="Calibri" w:cs="Calibri"/>
          <w:sz w:val="22"/>
          <w:szCs w:val="22"/>
          <w:lang w:val="en-AU"/>
        </w:rPr>
      </w:pPr>
      <w:r w:rsidRPr="005734B8">
        <w:rPr>
          <w:rFonts w:ascii="Calibri" w:hAnsi="Calibri" w:cs="Calibri"/>
          <w:sz w:val="22"/>
          <w:szCs w:val="22"/>
          <w:lang w:val="en-AU"/>
        </w:rPr>
        <w:t>Minister for Early Childhood</w:t>
      </w:r>
      <w:r w:rsidR="008079E8" w:rsidRPr="005734B8">
        <w:rPr>
          <w:rFonts w:ascii="Calibri" w:hAnsi="Calibri" w:cs="Calibri"/>
          <w:sz w:val="22"/>
          <w:szCs w:val="22"/>
          <w:lang w:val="en-AU"/>
        </w:rPr>
        <w:t xml:space="preserve"> and Minister for Workplace Safety</w:t>
      </w:r>
    </w:p>
    <w:p w14:paraId="6A1FAEC4" w14:textId="77777777" w:rsidR="00186D05" w:rsidRPr="005734B8" w:rsidRDefault="00186D05" w:rsidP="00EC0993">
      <w:pPr>
        <w:pStyle w:val="ESBodyText"/>
        <w:rPr>
          <w:rFonts w:ascii="Calibri" w:hAnsi="Calibri" w:cs="Calibri"/>
          <w:sz w:val="22"/>
          <w:szCs w:val="22"/>
          <w:lang w:val="en-AU"/>
        </w:rPr>
      </w:pPr>
    </w:p>
    <w:p w14:paraId="7493D609" w14:textId="77777777" w:rsidR="00EC0993" w:rsidRPr="005734B8" w:rsidRDefault="00EC0993" w:rsidP="00EC0993">
      <w:pPr>
        <w:pStyle w:val="ESBodyText"/>
        <w:rPr>
          <w:rFonts w:ascii="Calibri" w:hAnsi="Calibri" w:cs="Calibri"/>
          <w:sz w:val="22"/>
          <w:szCs w:val="22"/>
          <w:lang w:val="en-AU"/>
        </w:rPr>
      </w:pPr>
    </w:p>
    <w:p w14:paraId="668715F9" w14:textId="77777777" w:rsidR="00EC0993" w:rsidRPr="005734B8" w:rsidRDefault="00EC0993" w:rsidP="00EC0993">
      <w:pPr>
        <w:pStyle w:val="ESBodyText"/>
        <w:rPr>
          <w:rFonts w:ascii="Calibri" w:hAnsi="Calibri" w:cs="Calibri"/>
          <w:sz w:val="22"/>
          <w:szCs w:val="22"/>
          <w:lang w:val="en-AU"/>
        </w:rPr>
      </w:pPr>
      <w:r w:rsidRPr="005734B8">
        <w:rPr>
          <w:rFonts w:ascii="Calibri" w:hAnsi="Calibri" w:cs="Calibri"/>
          <w:sz w:val="22"/>
          <w:szCs w:val="22"/>
          <w:lang w:val="en-AU"/>
        </w:rPr>
        <w:t>Dear Ministers</w:t>
      </w:r>
    </w:p>
    <w:p w14:paraId="6762D14A" w14:textId="48E15944" w:rsidR="00EC0993" w:rsidRPr="005734B8" w:rsidRDefault="00EC0993" w:rsidP="00EC0993">
      <w:pPr>
        <w:pStyle w:val="ESBodyText"/>
        <w:rPr>
          <w:rFonts w:ascii="Calibri" w:hAnsi="Calibri" w:cs="Calibri"/>
          <w:sz w:val="22"/>
          <w:szCs w:val="22"/>
          <w:lang w:val="en-AU"/>
        </w:rPr>
      </w:pPr>
      <w:r w:rsidRPr="005734B8">
        <w:rPr>
          <w:rFonts w:ascii="Calibri" w:hAnsi="Calibri" w:cs="Calibri"/>
          <w:sz w:val="22"/>
          <w:szCs w:val="22"/>
          <w:lang w:val="en-AU"/>
        </w:rPr>
        <w:t xml:space="preserve">In accordance with the </w:t>
      </w:r>
      <w:r w:rsidRPr="005734B8">
        <w:rPr>
          <w:rFonts w:ascii="Calibri" w:hAnsi="Calibri" w:cs="Calibri"/>
          <w:i/>
          <w:sz w:val="22"/>
          <w:szCs w:val="22"/>
          <w:lang w:val="en-AU"/>
        </w:rPr>
        <w:t>Education and Training Reform Act 2006</w:t>
      </w:r>
      <w:r w:rsidRPr="005734B8">
        <w:rPr>
          <w:rFonts w:ascii="Calibri" w:hAnsi="Calibri" w:cs="Calibri"/>
          <w:sz w:val="22"/>
          <w:szCs w:val="22"/>
          <w:lang w:val="en-AU"/>
        </w:rPr>
        <w:t xml:space="preserve"> and the </w:t>
      </w:r>
      <w:r w:rsidRPr="005734B8">
        <w:rPr>
          <w:rFonts w:ascii="Calibri" w:hAnsi="Calibri" w:cs="Calibri"/>
          <w:i/>
          <w:sz w:val="22"/>
          <w:szCs w:val="22"/>
          <w:lang w:val="en-AU"/>
        </w:rPr>
        <w:t>Financial Management Act 1994</w:t>
      </w:r>
      <w:r w:rsidRPr="005734B8">
        <w:rPr>
          <w:rFonts w:ascii="Calibri" w:hAnsi="Calibri" w:cs="Calibri"/>
          <w:sz w:val="22"/>
          <w:szCs w:val="22"/>
          <w:lang w:val="en-AU"/>
        </w:rPr>
        <w:t xml:space="preserve">, I am pleased to present the Department of Education and Training’s </w:t>
      </w:r>
      <w:r w:rsidR="00242FF7" w:rsidRPr="005734B8">
        <w:rPr>
          <w:rFonts w:ascii="Calibri" w:hAnsi="Calibri" w:cs="Calibri"/>
          <w:sz w:val="22"/>
          <w:szCs w:val="22"/>
          <w:lang w:val="en-AU"/>
        </w:rPr>
        <w:t>A</w:t>
      </w:r>
      <w:r w:rsidRPr="005734B8">
        <w:rPr>
          <w:rFonts w:ascii="Calibri" w:hAnsi="Calibri" w:cs="Calibri"/>
          <w:sz w:val="22"/>
          <w:szCs w:val="22"/>
          <w:lang w:val="en-AU"/>
        </w:rPr>
        <w:t xml:space="preserve">nnual </w:t>
      </w:r>
      <w:r w:rsidR="00242FF7" w:rsidRPr="005734B8">
        <w:rPr>
          <w:rFonts w:ascii="Calibri" w:hAnsi="Calibri" w:cs="Calibri"/>
          <w:sz w:val="22"/>
          <w:szCs w:val="22"/>
          <w:lang w:val="en-AU"/>
        </w:rPr>
        <w:t>R</w:t>
      </w:r>
      <w:r w:rsidRPr="005734B8">
        <w:rPr>
          <w:rFonts w:ascii="Calibri" w:hAnsi="Calibri" w:cs="Calibri"/>
          <w:sz w:val="22"/>
          <w:szCs w:val="22"/>
          <w:lang w:val="en-AU"/>
        </w:rPr>
        <w:t>eport for the year ending 30 June 20</w:t>
      </w:r>
      <w:r w:rsidR="00255356" w:rsidRPr="005734B8">
        <w:rPr>
          <w:rFonts w:ascii="Calibri" w:hAnsi="Calibri" w:cs="Calibri"/>
          <w:sz w:val="22"/>
          <w:szCs w:val="22"/>
          <w:lang w:val="en-AU"/>
        </w:rPr>
        <w:t>2</w:t>
      </w:r>
      <w:r w:rsidR="00BD5740" w:rsidRPr="005734B8">
        <w:rPr>
          <w:rFonts w:ascii="Calibri" w:hAnsi="Calibri" w:cs="Calibri"/>
          <w:sz w:val="22"/>
          <w:szCs w:val="22"/>
          <w:lang w:val="en-AU"/>
        </w:rPr>
        <w:t>1</w:t>
      </w:r>
      <w:r w:rsidRPr="005734B8">
        <w:rPr>
          <w:rFonts w:ascii="Calibri" w:hAnsi="Calibri" w:cs="Calibri"/>
          <w:sz w:val="22"/>
          <w:szCs w:val="22"/>
          <w:lang w:val="en-AU"/>
        </w:rPr>
        <w:t>.</w:t>
      </w:r>
    </w:p>
    <w:p w14:paraId="5503E9EF" w14:textId="55315A6F" w:rsidR="00EC0993" w:rsidRPr="005734B8" w:rsidRDefault="00EC0993" w:rsidP="00EC0993">
      <w:pPr>
        <w:pStyle w:val="ESBodyText"/>
        <w:rPr>
          <w:rFonts w:ascii="Calibri" w:hAnsi="Calibri" w:cs="Calibri"/>
          <w:sz w:val="22"/>
          <w:szCs w:val="22"/>
          <w:lang w:val="en-AU"/>
        </w:rPr>
      </w:pPr>
      <w:r w:rsidRPr="005734B8">
        <w:rPr>
          <w:rFonts w:ascii="Calibri" w:hAnsi="Calibri" w:cs="Calibri"/>
          <w:sz w:val="22"/>
          <w:szCs w:val="22"/>
          <w:lang w:val="en-AU"/>
        </w:rPr>
        <w:t>Yours sincerely</w:t>
      </w:r>
    </w:p>
    <w:p w14:paraId="12325ECD" w14:textId="423C9498" w:rsidR="00EC0993" w:rsidRPr="005734B8" w:rsidRDefault="00EC0993" w:rsidP="00EC0993">
      <w:pPr>
        <w:pStyle w:val="ESBodyText"/>
        <w:rPr>
          <w:rFonts w:ascii="Calibri" w:hAnsi="Calibri" w:cs="Calibri"/>
          <w:sz w:val="22"/>
          <w:szCs w:val="22"/>
          <w:highlight w:val="yellow"/>
          <w:lang w:val="en-AU"/>
        </w:rPr>
      </w:pPr>
    </w:p>
    <w:p w14:paraId="291D521A" w14:textId="07756D7D" w:rsidR="004A74BF" w:rsidRPr="005734B8" w:rsidRDefault="004A74BF" w:rsidP="00EC0993">
      <w:pPr>
        <w:pStyle w:val="ESBodyText"/>
        <w:rPr>
          <w:rFonts w:ascii="Calibri" w:hAnsi="Calibri" w:cs="Calibri"/>
          <w:sz w:val="22"/>
          <w:szCs w:val="22"/>
          <w:lang w:val="en-AU"/>
        </w:rPr>
      </w:pPr>
    </w:p>
    <w:p w14:paraId="199657EE" w14:textId="07426F6C" w:rsidR="007F4509" w:rsidRPr="005734B8" w:rsidRDefault="00863534" w:rsidP="00EC0993">
      <w:pPr>
        <w:pStyle w:val="ESBodyText"/>
        <w:rPr>
          <w:rFonts w:ascii="Calibri" w:hAnsi="Calibri" w:cs="Calibri"/>
          <w:sz w:val="22"/>
          <w:szCs w:val="22"/>
          <w:lang w:val="en-AU"/>
        </w:rPr>
      </w:pPr>
      <w:r w:rsidRPr="00E42784">
        <w:rPr>
          <w:rFonts w:ascii="Calibri" w:hAnsi="Calibri" w:cs="Calibri"/>
          <w:noProof/>
        </w:rPr>
        <w:drawing>
          <wp:inline distT="0" distB="0" distL="0" distR="0" wp14:anchorId="26649E43" wp14:editId="7D182CF4">
            <wp:extent cx="829310" cy="893445"/>
            <wp:effectExtent l="0" t="0" r="889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9310" cy="893445"/>
                    </a:xfrm>
                    <a:prstGeom prst="rect">
                      <a:avLst/>
                    </a:prstGeom>
                    <a:noFill/>
                    <a:ln>
                      <a:noFill/>
                    </a:ln>
                  </pic:spPr>
                </pic:pic>
              </a:graphicData>
            </a:graphic>
          </wp:inline>
        </w:drawing>
      </w:r>
    </w:p>
    <w:p w14:paraId="3ABAE2E1" w14:textId="77777777" w:rsidR="00EC0993" w:rsidRPr="005734B8" w:rsidRDefault="00EC0993" w:rsidP="00EC0993">
      <w:pPr>
        <w:pStyle w:val="ESBodyText"/>
        <w:rPr>
          <w:rFonts w:ascii="Calibri" w:hAnsi="Calibri" w:cs="Calibri"/>
          <w:sz w:val="22"/>
          <w:szCs w:val="22"/>
          <w:lang w:val="en-AU"/>
        </w:rPr>
      </w:pPr>
      <w:r w:rsidRPr="005734B8">
        <w:rPr>
          <w:rFonts w:ascii="Calibri" w:hAnsi="Calibri" w:cs="Calibri"/>
          <w:sz w:val="22"/>
          <w:szCs w:val="22"/>
          <w:lang w:val="en-AU"/>
        </w:rPr>
        <w:t>Jenny Atta</w:t>
      </w:r>
    </w:p>
    <w:p w14:paraId="2E9EAF07" w14:textId="77777777" w:rsidR="00EC0993" w:rsidRPr="005734B8" w:rsidRDefault="00EC0993" w:rsidP="00EC0993">
      <w:pPr>
        <w:pStyle w:val="ESBodyText"/>
        <w:rPr>
          <w:rFonts w:ascii="Calibri" w:hAnsi="Calibri" w:cs="Calibri"/>
          <w:sz w:val="22"/>
          <w:szCs w:val="22"/>
          <w:lang w:val="en-AU"/>
        </w:rPr>
      </w:pPr>
      <w:r w:rsidRPr="005734B8">
        <w:rPr>
          <w:rFonts w:ascii="Calibri" w:hAnsi="Calibri" w:cs="Calibri"/>
          <w:sz w:val="22"/>
          <w:szCs w:val="22"/>
          <w:lang w:val="en-AU"/>
        </w:rPr>
        <w:t>Secretary</w:t>
      </w:r>
    </w:p>
    <w:p w14:paraId="18AD587E" w14:textId="02CD5B0E" w:rsidR="00EC0993" w:rsidRPr="005734B8" w:rsidRDefault="008168A2" w:rsidP="00EC0993">
      <w:pPr>
        <w:pStyle w:val="ESBodyText"/>
        <w:rPr>
          <w:rFonts w:ascii="Calibri" w:hAnsi="Calibri" w:cs="Calibri"/>
          <w:sz w:val="22"/>
          <w:szCs w:val="22"/>
          <w:lang w:val="en-AU"/>
        </w:rPr>
      </w:pPr>
      <w:r w:rsidRPr="005734B8">
        <w:rPr>
          <w:rFonts w:ascii="Calibri" w:hAnsi="Calibri" w:cs="Calibri"/>
          <w:sz w:val="22"/>
          <w:szCs w:val="22"/>
          <w:lang w:val="en-AU"/>
        </w:rPr>
        <w:t>28</w:t>
      </w:r>
      <w:r w:rsidR="00EC0993" w:rsidRPr="005734B8">
        <w:rPr>
          <w:rFonts w:ascii="Calibri" w:hAnsi="Calibri" w:cs="Calibri"/>
          <w:sz w:val="22"/>
          <w:szCs w:val="22"/>
          <w:lang w:val="en-AU"/>
        </w:rPr>
        <w:t xml:space="preserve"> October 20</w:t>
      </w:r>
      <w:r w:rsidR="001E587C" w:rsidRPr="005734B8">
        <w:rPr>
          <w:rFonts w:ascii="Calibri" w:hAnsi="Calibri" w:cs="Calibri"/>
          <w:sz w:val="22"/>
          <w:szCs w:val="22"/>
          <w:lang w:val="en-AU"/>
        </w:rPr>
        <w:t>2</w:t>
      </w:r>
      <w:r w:rsidR="00BD5740" w:rsidRPr="005734B8">
        <w:rPr>
          <w:rFonts w:ascii="Calibri" w:hAnsi="Calibri" w:cs="Calibri"/>
          <w:sz w:val="22"/>
          <w:szCs w:val="22"/>
          <w:lang w:val="en-AU"/>
        </w:rPr>
        <w:t>1</w:t>
      </w:r>
    </w:p>
    <w:p w14:paraId="31372AA7" w14:textId="77777777" w:rsidR="00EC0993" w:rsidRPr="005734B8" w:rsidRDefault="00EC0993">
      <w:pPr>
        <w:rPr>
          <w:rFonts w:ascii="Calibri" w:eastAsiaTheme="majorEastAsia" w:hAnsi="Calibri" w:cs="Calibri"/>
          <w:b/>
          <w:color w:val="AF272F" w:themeColor="accent4"/>
          <w:spacing w:val="5"/>
          <w:kern w:val="28"/>
          <w:sz w:val="44"/>
          <w:szCs w:val="52"/>
          <w:highlight w:val="yellow"/>
          <w:lang w:val="en-US"/>
        </w:rPr>
      </w:pPr>
      <w:r w:rsidRPr="005734B8">
        <w:rPr>
          <w:rFonts w:ascii="Calibri" w:hAnsi="Calibri" w:cs="Calibri"/>
          <w:highlight w:val="yellow"/>
        </w:rPr>
        <w:br w:type="page"/>
      </w:r>
    </w:p>
    <w:p w14:paraId="2D018BB1" w14:textId="77777777" w:rsidR="002A514B" w:rsidRPr="005734B8" w:rsidRDefault="002A514B" w:rsidP="00A752EB">
      <w:pPr>
        <w:pStyle w:val="TOCHeading"/>
        <w:spacing w:after="120"/>
        <w:rPr>
          <w:rFonts w:ascii="Calibri" w:hAnsi="Calibri" w:cs="Calibri"/>
        </w:rPr>
      </w:pPr>
      <w:bookmarkStart w:id="0" w:name="_Hlk80862581"/>
      <w:r w:rsidRPr="00450096">
        <w:rPr>
          <w:rFonts w:ascii="Calibri" w:hAnsi="Calibri" w:cs="Calibri"/>
          <w:color w:val="AF272F"/>
        </w:rPr>
        <w:lastRenderedPageBreak/>
        <w:t>Secretary’s</w:t>
      </w:r>
      <w:r w:rsidRPr="005734B8">
        <w:rPr>
          <w:rFonts w:ascii="Calibri" w:hAnsi="Calibri" w:cs="Calibri"/>
        </w:rPr>
        <w:t xml:space="preserve"> letter</w:t>
      </w:r>
    </w:p>
    <w:bookmarkEnd w:id="0"/>
    <w:p w14:paraId="1BDD208D" w14:textId="77777777" w:rsidR="00675AA4" w:rsidRPr="009838EB" w:rsidRDefault="005B4CAD" w:rsidP="00A752EB">
      <w:pPr>
        <w:pStyle w:val="ESSecretaryletterbodytext"/>
        <w:spacing w:after="80"/>
        <w:rPr>
          <w:szCs w:val="22"/>
        </w:rPr>
      </w:pPr>
      <w:r w:rsidRPr="009838EB">
        <w:rPr>
          <w:szCs w:val="22"/>
        </w:rPr>
        <w:t xml:space="preserve">I am pleased to </w:t>
      </w:r>
      <w:r w:rsidR="00B16AE2" w:rsidRPr="009838EB">
        <w:rPr>
          <w:szCs w:val="22"/>
        </w:rPr>
        <w:t>present</w:t>
      </w:r>
      <w:r w:rsidRPr="009838EB">
        <w:rPr>
          <w:szCs w:val="22"/>
        </w:rPr>
        <w:t xml:space="preserve"> the Department of Education and Training’s Annual Report for 2020–21. </w:t>
      </w:r>
    </w:p>
    <w:p w14:paraId="3F0E2987" w14:textId="2C718FA4" w:rsidR="005B4CAD" w:rsidRPr="009838EB" w:rsidRDefault="005B4CAD" w:rsidP="00A752EB">
      <w:pPr>
        <w:pStyle w:val="ESSecretaryletterbodytext"/>
        <w:spacing w:after="80"/>
        <w:rPr>
          <w:szCs w:val="22"/>
        </w:rPr>
      </w:pPr>
      <w:r w:rsidRPr="009838EB">
        <w:rPr>
          <w:szCs w:val="22"/>
        </w:rPr>
        <w:t xml:space="preserve">The Department’s work over the past </w:t>
      </w:r>
      <w:r w:rsidR="00B16AE2" w:rsidRPr="009838EB">
        <w:rPr>
          <w:szCs w:val="22"/>
        </w:rPr>
        <w:t>year</w:t>
      </w:r>
      <w:r w:rsidRPr="009838EB">
        <w:rPr>
          <w:szCs w:val="22"/>
        </w:rPr>
        <w:t xml:space="preserve"> </w:t>
      </w:r>
      <w:r w:rsidR="00B16AE2" w:rsidRPr="009838EB">
        <w:rPr>
          <w:szCs w:val="22"/>
        </w:rPr>
        <w:t xml:space="preserve">focused on </w:t>
      </w:r>
      <w:r w:rsidR="00ED6152">
        <w:rPr>
          <w:szCs w:val="22"/>
        </w:rPr>
        <w:t>its</w:t>
      </w:r>
      <w:r w:rsidR="00B16AE2" w:rsidRPr="009838EB">
        <w:rPr>
          <w:szCs w:val="22"/>
        </w:rPr>
        <w:t xml:space="preserve"> delivery imperative</w:t>
      </w:r>
      <w:r w:rsidRPr="009838EB">
        <w:rPr>
          <w:szCs w:val="22"/>
        </w:rPr>
        <w:t>.</w:t>
      </w:r>
      <w:r w:rsidR="00B16AE2" w:rsidRPr="009838EB">
        <w:rPr>
          <w:szCs w:val="22"/>
        </w:rPr>
        <w:t xml:space="preserve"> </w:t>
      </w:r>
      <w:r w:rsidR="003B0D4C">
        <w:rPr>
          <w:szCs w:val="22"/>
        </w:rPr>
        <w:t>C</w:t>
      </w:r>
      <w:r w:rsidR="00B16AE2" w:rsidRPr="009838EB">
        <w:rPr>
          <w:szCs w:val="22"/>
        </w:rPr>
        <w:t>ontinu</w:t>
      </w:r>
      <w:r w:rsidR="003B0D4C">
        <w:rPr>
          <w:szCs w:val="22"/>
        </w:rPr>
        <w:t>ing to</w:t>
      </w:r>
      <w:r w:rsidR="00B16AE2" w:rsidRPr="009838EB">
        <w:rPr>
          <w:szCs w:val="22"/>
        </w:rPr>
        <w:t xml:space="preserve"> build</w:t>
      </w:r>
      <w:r w:rsidR="003B0D4C">
        <w:rPr>
          <w:szCs w:val="22"/>
        </w:rPr>
        <w:t xml:space="preserve"> </w:t>
      </w:r>
      <w:r w:rsidR="00B16AE2" w:rsidRPr="009838EB">
        <w:rPr>
          <w:szCs w:val="22"/>
        </w:rPr>
        <w:t xml:space="preserve">an education system </w:t>
      </w:r>
      <w:r w:rsidR="009663F7" w:rsidRPr="009838EB">
        <w:rPr>
          <w:szCs w:val="22"/>
        </w:rPr>
        <w:t xml:space="preserve">that achieves </w:t>
      </w:r>
      <w:r w:rsidR="00B16AE2" w:rsidRPr="009838EB">
        <w:rPr>
          <w:szCs w:val="22"/>
        </w:rPr>
        <w:t xml:space="preserve">the best learning and development outcomes for all </w:t>
      </w:r>
      <w:r w:rsidR="000D2FD9">
        <w:rPr>
          <w:szCs w:val="22"/>
        </w:rPr>
        <w:t>Victorians</w:t>
      </w:r>
      <w:r w:rsidR="00B16AE2" w:rsidRPr="009838EB">
        <w:rPr>
          <w:szCs w:val="22"/>
        </w:rPr>
        <w:t xml:space="preserve"> remains at the heart of the Education State reforms.</w:t>
      </w:r>
      <w:r w:rsidRPr="009838EB">
        <w:rPr>
          <w:szCs w:val="22"/>
        </w:rPr>
        <w:t xml:space="preserve"> </w:t>
      </w:r>
    </w:p>
    <w:p w14:paraId="475012F2" w14:textId="0DA8AF42" w:rsidR="00F521CD" w:rsidRPr="009838EB" w:rsidRDefault="009663F7" w:rsidP="00A752EB">
      <w:pPr>
        <w:pStyle w:val="ESSecretaryletterbodytext"/>
        <w:spacing w:after="80"/>
        <w:rPr>
          <w:szCs w:val="22"/>
        </w:rPr>
      </w:pPr>
      <w:r w:rsidRPr="009838EB">
        <w:rPr>
          <w:szCs w:val="22"/>
        </w:rPr>
        <w:t xml:space="preserve">Delivering education and training services is more critical than ever, as </w:t>
      </w:r>
      <w:r w:rsidR="00A148B2">
        <w:rPr>
          <w:szCs w:val="22"/>
        </w:rPr>
        <w:t>the Department</w:t>
      </w:r>
      <w:r w:rsidRPr="009838EB">
        <w:rPr>
          <w:szCs w:val="22"/>
        </w:rPr>
        <w:t xml:space="preserve"> continue</w:t>
      </w:r>
      <w:r w:rsidR="00A148B2">
        <w:rPr>
          <w:szCs w:val="22"/>
        </w:rPr>
        <w:t>s</w:t>
      </w:r>
      <w:r w:rsidRPr="009838EB">
        <w:rPr>
          <w:szCs w:val="22"/>
        </w:rPr>
        <w:t xml:space="preserve"> navigating through the COVID-19 pandemic and </w:t>
      </w:r>
      <w:r w:rsidR="00167CE2" w:rsidRPr="009838EB">
        <w:rPr>
          <w:szCs w:val="22"/>
        </w:rPr>
        <w:t xml:space="preserve">the </w:t>
      </w:r>
      <w:r w:rsidRPr="009838EB">
        <w:rPr>
          <w:szCs w:val="22"/>
        </w:rPr>
        <w:t xml:space="preserve">health and economic challenges of the last 12 months. The Department and </w:t>
      </w:r>
      <w:r w:rsidR="00A148B2">
        <w:rPr>
          <w:szCs w:val="22"/>
        </w:rPr>
        <w:t>its</w:t>
      </w:r>
      <w:r w:rsidRPr="009838EB">
        <w:rPr>
          <w:szCs w:val="22"/>
        </w:rPr>
        <w:t xml:space="preserve"> partners in early childhood, schools, higher education and training and skills settings have continued to respond flexibly to these challenges</w:t>
      </w:r>
      <w:r w:rsidR="00F521CD" w:rsidRPr="009838EB">
        <w:rPr>
          <w:szCs w:val="22"/>
        </w:rPr>
        <w:t xml:space="preserve"> and continue to </w:t>
      </w:r>
      <w:r w:rsidRPr="009838EB">
        <w:rPr>
          <w:szCs w:val="22"/>
        </w:rPr>
        <w:t>provid</w:t>
      </w:r>
      <w:r w:rsidR="00F521CD" w:rsidRPr="009838EB">
        <w:rPr>
          <w:szCs w:val="22"/>
        </w:rPr>
        <w:t>e</w:t>
      </w:r>
      <w:r w:rsidRPr="009838EB">
        <w:rPr>
          <w:szCs w:val="22"/>
        </w:rPr>
        <w:t xml:space="preserve"> quality education services.</w:t>
      </w:r>
      <w:r w:rsidR="00F521CD" w:rsidRPr="009838EB">
        <w:rPr>
          <w:szCs w:val="22"/>
        </w:rPr>
        <w:t xml:space="preserve"> </w:t>
      </w:r>
    </w:p>
    <w:p w14:paraId="745FD65B" w14:textId="6FA8E134" w:rsidR="00F4442B" w:rsidRPr="005734B8" w:rsidRDefault="00F4442B" w:rsidP="00A752EB">
      <w:pPr>
        <w:pStyle w:val="ESSecretaryletterbodytext"/>
        <w:spacing w:after="80"/>
      </w:pPr>
      <w:r w:rsidRPr="005734B8">
        <w:t>Quality early learning services are one of the most effective ways to give children the best start in life. The Department is continuing its roll</w:t>
      </w:r>
      <w:r>
        <w:t>-</w:t>
      </w:r>
      <w:r w:rsidRPr="005734B8">
        <w:t xml:space="preserve">out of universally funded </w:t>
      </w:r>
      <w:r w:rsidR="005C1547">
        <w:t>T</w:t>
      </w:r>
      <w:r w:rsidRPr="005734B8">
        <w:t>hree-</w:t>
      </w:r>
      <w:r w:rsidR="005C1547">
        <w:t>Y</w:t>
      </w:r>
      <w:r w:rsidRPr="005734B8">
        <w:t>ear-</w:t>
      </w:r>
      <w:r w:rsidR="005C1547">
        <w:t>O</w:t>
      </w:r>
      <w:r w:rsidRPr="005734B8">
        <w:t xml:space="preserve">ld </w:t>
      </w:r>
      <w:r w:rsidR="005C1547">
        <w:t>K</w:t>
      </w:r>
      <w:r w:rsidRPr="005734B8">
        <w:t xml:space="preserve">indergarten to </w:t>
      </w:r>
      <w:r>
        <w:t>support</w:t>
      </w:r>
      <w:r w:rsidRPr="005734B8">
        <w:t xml:space="preserve"> children, including </w:t>
      </w:r>
      <w:r w:rsidR="003B64E6">
        <w:t>Victoria’s</w:t>
      </w:r>
      <w:r w:rsidRPr="005734B8">
        <w:t xml:space="preserve"> most vulnerable, </w:t>
      </w:r>
      <w:r>
        <w:t>to be</w:t>
      </w:r>
      <w:r w:rsidRPr="005734B8">
        <w:t xml:space="preserve"> engaged in high</w:t>
      </w:r>
      <w:r w:rsidRPr="005734B8">
        <w:noBreakHyphen/>
        <w:t xml:space="preserve">quality learning from the beginning of their education journey. Around 2,500 children </w:t>
      </w:r>
      <w:r w:rsidRPr="00A752EB">
        <w:rPr>
          <w:szCs w:val="22"/>
        </w:rPr>
        <w:t>are</w:t>
      </w:r>
      <w:r w:rsidRPr="005734B8">
        <w:t xml:space="preserve"> </w:t>
      </w:r>
      <w:r>
        <w:t xml:space="preserve">now </w:t>
      </w:r>
      <w:r w:rsidRPr="005734B8">
        <w:t xml:space="preserve">participating in this landmark initiative, and across </w:t>
      </w:r>
      <w:r>
        <w:t xml:space="preserve">21 </w:t>
      </w:r>
      <w:r w:rsidRPr="005734B8">
        <w:t xml:space="preserve">local government areas. </w:t>
      </w:r>
    </w:p>
    <w:p w14:paraId="4D532D3D" w14:textId="1C73C7F7" w:rsidR="005B4CAD" w:rsidRPr="009838EB" w:rsidRDefault="005B4CAD" w:rsidP="00A752EB">
      <w:pPr>
        <w:pStyle w:val="ESSecretaryletterbodytext"/>
        <w:spacing w:after="80"/>
        <w:rPr>
          <w:szCs w:val="22"/>
        </w:rPr>
      </w:pPr>
      <w:r w:rsidRPr="009838EB">
        <w:rPr>
          <w:szCs w:val="22"/>
        </w:rPr>
        <w:t xml:space="preserve">During the past 12 months, the </w:t>
      </w:r>
      <w:r w:rsidR="005D0718">
        <w:rPr>
          <w:szCs w:val="22"/>
        </w:rPr>
        <w:t>Department continued its</w:t>
      </w:r>
      <w:r w:rsidRPr="009838EB">
        <w:rPr>
          <w:szCs w:val="22"/>
        </w:rPr>
        <w:t xml:space="preserve"> rollout of the Child Information Sharing Scheme. The scheme enabled approximately 370,000 professionals </w:t>
      </w:r>
      <w:r w:rsidR="00257506" w:rsidRPr="009838EB">
        <w:rPr>
          <w:szCs w:val="22"/>
        </w:rPr>
        <w:t>who</w:t>
      </w:r>
      <w:r w:rsidRPr="009838EB">
        <w:rPr>
          <w:szCs w:val="22"/>
        </w:rPr>
        <w:t xml:space="preserve"> work with children and families to share information and promote children’s wellbeing and safety. </w:t>
      </w:r>
    </w:p>
    <w:p w14:paraId="678789B2" w14:textId="232E40E2" w:rsidR="005B4CAD" w:rsidRPr="009838EB" w:rsidRDefault="00F521CD" w:rsidP="00A752EB">
      <w:pPr>
        <w:pStyle w:val="ESSecretaryletterbodytext"/>
        <w:spacing w:after="80"/>
        <w:rPr>
          <w:szCs w:val="22"/>
        </w:rPr>
      </w:pPr>
      <w:r w:rsidRPr="009838EB">
        <w:rPr>
          <w:szCs w:val="22"/>
        </w:rPr>
        <w:t>The quality of</w:t>
      </w:r>
      <w:r w:rsidR="005B4CAD" w:rsidRPr="009838EB">
        <w:rPr>
          <w:szCs w:val="22"/>
        </w:rPr>
        <w:t xml:space="preserve"> </w:t>
      </w:r>
      <w:r w:rsidR="003C562A" w:rsidRPr="009838EB">
        <w:rPr>
          <w:szCs w:val="22"/>
        </w:rPr>
        <w:t>Victoria’s</w:t>
      </w:r>
      <w:r w:rsidR="005B4CAD" w:rsidRPr="009838EB">
        <w:rPr>
          <w:szCs w:val="22"/>
        </w:rPr>
        <w:t xml:space="preserve"> early learning sector</w:t>
      </w:r>
      <w:r w:rsidRPr="009838EB">
        <w:rPr>
          <w:szCs w:val="22"/>
        </w:rPr>
        <w:t xml:space="preserve"> continues to improve</w:t>
      </w:r>
      <w:r w:rsidR="005B4CAD" w:rsidRPr="009838EB">
        <w:rPr>
          <w:szCs w:val="22"/>
        </w:rPr>
        <w:t>. Almost 91 per cent of Victoria’s early childhood education and care</w:t>
      </w:r>
      <w:r w:rsidR="00DA1A08" w:rsidRPr="009838EB">
        <w:rPr>
          <w:szCs w:val="22"/>
        </w:rPr>
        <w:t xml:space="preserve"> (ECEC)</w:t>
      </w:r>
      <w:r w:rsidR="005B4CAD" w:rsidRPr="009838EB">
        <w:rPr>
          <w:szCs w:val="22"/>
        </w:rPr>
        <w:t xml:space="preserve"> services now meet or exceed the National Quality Standard for programs and practices, and more than 97 per cent of services meet or exceed the standard for collaborative partnerships with families and communities. These figures have improved every year since 2016.</w:t>
      </w:r>
    </w:p>
    <w:p w14:paraId="69E92343" w14:textId="4E5E4A78" w:rsidR="005B4CAD" w:rsidRPr="009838EB" w:rsidRDefault="00F521CD" w:rsidP="00A752EB">
      <w:pPr>
        <w:pStyle w:val="ESSecretaryletterbodytext"/>
        <w:spacing w:after="80"/>
        <w:rPr>
          <w:szCs w:val="22"/>
        </w:rPr>
      </w:pPr>
      <w:r w:rsidRPr="009838EB">
        <w:rPr>
          <w:szCs w:val="22"/>
        </w:rPr>
        <w:t xml:space="preserve">It is important that all children experience the benefits of kindergarten. The Department continues to focus dedicated supports on cohorts more likely to miss out on kindergarten. </w:t>
      </w:r>
      <w:r w:rsidR="005B4CAD" w:rsidRPr="009838EB">
        <w:rPr>
          <w:szCs w:val="22"/>
        </w:rPr>
        <w:t xml:space="preserve">A record number of three- and four-year-old Aboriginal children participated in kindergarten in 2020, including </w:t>
      </w:r>
      <w:r w:rsidR="008D5805" w:rsidRPr="009838EB">
        <w:rPr>
          <w:szCs w:val="22"/>
        </w:rPr>
        <w:t xml:space="preserve">more than </w:t>
      </w:r>
      <w:r w:rsidR="005B4CAD" w:rsidRPr="009838EB">
        <w:rPr>
          <w:szCs w:val="22"/>
        </w:rPr>
        <w:t>1,650 four-year-olds. The rate of kindergarten participation for Aboriginal children in the year before school has increased steadily in recent years and is now higher than th</w:t>
      </w:r>
      <w:r w:rsidR="004E3BAC" w:rsidRPr="009838EB">
        <w:rPr>
          <w:szCs w:val="22"/>
        </w:rPr>
        <w:t>at of</w:t>
      </w:r>
      <w:r w:rsidR="002C0910" w:rsidRPr="009838EB">
        <w:rPr>
          <w:szCs w:val="22"/>
        </w:rPr>
        <w:t xml:space="preserve"> the</w:t>
      </w:r>
      <w:r w:rsidR="005B4CAD" w:rsidRPr="009838EB">
        <w:rPr>
          <w:szCs w:val="22"/>
        </w:rPr>
        <w:t xml:space="preserve"> overall population.</w:t>
      </w:r>
    </w:p>
    <w:p w14:paraId="0C49A99D" w14:textId="20CB22BA" w:rsidR="00F521CD" w:rsidRPr="009838EB" w:rsidRDefault="00F521CD" w:rsidP="00A752EB">
      <w:pPr>
        <w:pStyle w:val="ESSecretaryletterbodytext"/>
        <w:spacing w:after="80"/>
        <w:rPr>
          <w:szCs w:val="22"/>
        </w:rPr>
      </w:pPr>
      <w:r w:rsidRPr="009838EB">
        <w:rPr>
          <w:szCs w:val="22"/>
        </w:rPr>
        <w:t xml:space="preserve">In schools, </w:t>
      </w:r>
      <w:r w:rsidR="00536C8B">
        <w:rPr>
          <w:szCs w:val="22"/>
        </w:rPr>
        <w:t>the Department</w:t>
      </w:r>
      <w:r w:rsidR="00536C8B" w:rsidRPr="009838EB">
        <w:rPr>
          <w:szCs w:val="22"/>
        </w:rPr>
        <w:t xml:space="preserve"> </w:t>
      </w:r>
      <w:r w:rsidRPr="009838EB">
        <w:rPr>
          <w:szCs w:val="22"/>
        </w:rPr>
        <w:t>remain</w:t>
      </w:r>
      <w:r w:rsidR="00536C8B">
        <w:rPr>
          <w:szCs w:val="22"/>
        </w:rPr>
        <w:t>s</w:t>
      </w:r>
      <w:r w:rsidRPr="009838EB">
        <w:rPr>
          <w:szCs w:val="22"/>
        </w:rPr>
        <w:t xml:space="preserve"> focused on building a modern education system that fosters excellence, equity and wellbeing.</w:t>
      </w:r>
    </w:p>
    <w:p w14:paraId="3F1F82DA" w14:textId="2C0004CD" w:rsidR="005B4CAD" w:rsidRPr="009838EB" w:rsidRDefault="00536C8B" w:rsidP="00A752EB">
      <w:pPr>
        <w:pStyle w:val="ESSecretaryletterbodytext"/>
        <w:spacing w:after="80"/>
        <w:rPr>
          <w:szCs w:val="22"/>
        </w:rPr>
      </w:pPr>
      <w:r>
        <w:rPr>
          <w:szCs w:val="22"/>
        </w:rPr>
        <w:t>The</w:t>
      </w:r>
      <w:r w:rsidR="005B4CAD" w:rsidRPr="009838EB">
        <w:rPr>
          <w:szCs w:val="22"/>
        </w:rPr>
        <w:t xml:space="preserve"> Mental Health Practitioners initiative has been implemented in 274 secondary schools, providing direct counselling support and other early intervention services for students. </w:t>
      </w:r>
      <w:r w:rsidR="009610AC" w:rsidRPr="009838EB">
        <w:rPr>
          <w:szCs w:val="22"/>
        </w:rPr>
        <w:t>Given</w:t>
      </w:r>
      <w:r w:rsidR="005B4CAD" w:rsidRPr="009838EB">
        <w:rPr>
          <w:szCs w:val="22"/>
        </w:rPr>
        <w:t xml:space="preserve"> the challenges of remote and flexible learning, the Department established a Health and Wellbeing Key Contact function to support students</w:t>
      </w:r>
      <w:r w:rsidR="009610AC" w:rsidRPr="009838EB">
        <w:rPr>
          <w:szCs w:val="22"/>
        </w:rPr>
        <w:t xml:space="preserve"> in government schools</w:t>
      </w:r>
      <w:r w:rsidR="005B4CAD" w:rsidRPr="009838EB">
        <w:rPr>
          <w:szCs w:val="22"/>
        </w:rPr>
        <w:t>.</w:t>
      </w:r>
    </w:p>
    <w:p w14:paraId="6981203B" w14:textId="7CCC83AE" w:rsidR="0030152D" w:rsidRDefault="0030152D" w:rsidP="00A752EB">
      <w:pPr>
        <w:pStyle w:val="ESSecretaryletterbodytext"/>
        <w:spacing w:after="80"/>
        <w:rPr>
          <w:szCs w:val="22"/>
        </w:rPr>
      </w:pPr>
      <w:r w:rsidRPr="0030152D">
        <w:rPr>
          <w:szCs w:val="22"/>
        </w:rPr>
        <w:t xml:space="preserve">In responding to </w:t>
      </w:r>
      <w:r>
        <w:rPr>
          <w:szCs w:val="22"/>
        </w:rPr>
        <w:t>the recommendations</w:t>
      </w:r>
      <w:r w:rsidRPr="0030152D">
        <w:rPr>
          <w:szCs w:val="22"/>
        </w:rPr>
        <w:t xml:space="preserve"> from the Royal Commission into Family Violence, more than 1,950 Victorian government, Catholic and independent schools, including all government schools, are participating in the Respectful Relationships initiative. Through this initiative, students learn how to build healthy relationships, resilience, and confidence. Over 30,000 school-based staff have participated in respectful relationship professional learning.</w:t>
      </w:r>
    </w:p>
    <w:p w14:paraId="7C3F2E9B" w14:textId="488E556F" w:rsidR="005B4CAD" w:rsidRPr="00FD263F" w:rsidRDefault="00FD263F" w:rsidP="00A752EB">
      <w:pPr>
        <w:pStyle w:val="ESSecretaryletterbodytext"/>
        <w:spacing w:after="80"/>
      </w:pPr>
      <w:r w:rsidRPr="005734B8">
        <w:lastRenderedPageBreak/>
        <w:t>For students to receive the best education, they need to have the best teachers. In 2020</w:t>
      </w:r>
      <w:r w:rsidR="00536C8B">
        <w:t>,</w:t>
      </w:r>
      <w:r w:rsidRPr="005734B8">
        <w:t xml:space="preserve"> </w:t>
      </w:r>
      <w:r w:rsidRPr="00FD263F">
        <w:t xml:space="preserve">through the Middle Years Literacy and Numeracy Support initiative an additional 1,088 teachers </w:t>
      </w:r>
      <w:r w:rsidR="003B64E6">
        <w:t>were provided</w:t>
      </w:r>
      <w:r w:rsidRPr="00FD263F">
        <w:t xml:space="preserve"> </w:t>
      </w:r>
      <w:r w:rsidRPr="00A752EB">
        <w:rPr>
          <w:szCs w:val="22"/>
        </w:rPr>
        <w:t>with</w:t>
      </w:r>
      <w:r w:rsidRPr="00FD263F">
        <w:t xml:space="preserve"> a professional development suite</w:t>
      </w:r>
      <w:r w:rsidR="0066785A">
        <w:t xml:space="preserve"> and </w:t>
      </w:r>
      <w:r w:rsidR="0066785A" w:rsidRPr="005734B8">
        <w:t>201 teachers</w:t>
      </w:r>
      <w:r w:rsidR="0066785A">
        <w:t xml:space="preserve"> were</w:t>
      </w:r>
      <w:r w:rsidR="0066785A" w:rsidRPr="005734B8">
        <w:t xml:space="preserve"> trained as mathematics and science specialists</w:t>
      </w:r>
      <w:r w:rsidRPr="00FD263F">
        <w:t xml:space="preserve">. </w:t>
      </w:r>
      <w:r w:rsidR="002A08E1">
        <w:t>S</w:t>
      </w:r>
      <w:r w:rsidRPr="00FD263F">
        <w:t>upport</w:t>
      </w:r>
      <w:r w:rsidRPr="005734B8">
        <w:t xml:space="preserve"> and training for teachers </w:t>
      </w:r>
      <w:r w:rsidR="002A08E1">
        <w:t>was also extended</w:t>
      </w:r>
      <w:r w:rsidRPr="005734B8">
        <w:t xml:space="preserve"> through 138 Teaching Communities of Practice and </w:t>
      </w:r>
      <w:r w:rsidR="005D0718">
        <w:t xml:space="preserve">the </w:t>
      </w:r>
      <w:r w:rsidRPr="00FD263F">
        <w:t>continued rollout of the Differentiated Support for School Improvement initiative into 304 schools.</w:t>
      </w:r>
      <w:r w:rsidRPr="005734B8">
        <w:t xml:space="preserve"> </w:t>
      </w:r>
    </w:p>
    <w:p w14:paraId="42BD097D" w14:textId="77777777" w:rsidR="000D2FD9" w:rsidRPr="009838EB" w:rsidRDefault="000D2FD9" w:rsidP="000D2FD9">
      <w:pPr>
        <w:pStyle w:val="ESSecretaryletterbodytext"/>
        <w:spacing w:after="80"/>
        <w:rPr>
          <w:szCs w:val="22"/>
        </w:rPr>
      </w:pPr>
      <w:r w:rsidRPr="009838EB">
        <w:rPr>
          <w:szCs w:val="22"/>
        </w:rPr>
        <w:t xml:space="preserve">In recognition of the challenges of remote learning, the new Tutor Learning Initiative enabled schools across Victoria to engage around </w:t>
      </w:r>
      <w:r>
        <w:rPr>
          <w:szCs w:val="22"/>
        </w:rPr>
        <w:t>5,6</w:t>
      </w:r>
      <w:r w:rsidRPr="009838EB">
        <w:rPr>
          <w:szCs w:val="22"/>
        </w:rPr>
        <w:t>00 teachers as tutors in 2021 to support students who need extra assistance.</w:t>
      </w:r>
    </w:p>
    <w:p w14:paraId="5DBB74A5" w14:textId="0B8F62B6" w:rsidR="005B4CAD" w:rsidRPr="009838EB" w:rsidRDefault="005B4CAD" w:rsidP="00A752EB">
      <w:pPr>
        <w:pStyle w:val="ESSecretaryletterbodytext"/>
        <w:spacing w:after="100"/>
        <w:rPr>
          <w:szCs w:val="22"/>
        </w:rPr>
      </w:pPr>
      <w:r w:rsidRPr="009838EB">
        <w:rPr>
          <w:szCs w:val="22"/>
        </w:rPr>
        <w:t xml:space="preserve">High-quality teaching matched with </w:t>
      </w:r>
      <w:r w:rsidR="003C562A" w:rsidRPr="009838EB">
        <w:rPr>
          <w:szCs w:val="22"/>
        </w:rPr>
        <w:t xml:space="preserve">contemporary school </w:t>
      </w:r>
      <w:r w:rsidRPr="009838EB">
        <w:rPr>
          <w:szCs w:val="22"/>
        </w:rPr>
        <w:t xml:space="preserve">spaces </w:t>
      </w:r>
      <w:r w:rsidR="003C562A" w:rsidRPr="009838EB">
        <w:rPr>
          <w:szCs w:val="22"/>
        </w:rPr>
        <w:t>support</w:t>
      </w:r>
      <w:r w:rsidRPr="009838EB">
        <w:rPr>
          <w:szCs w:val="22"/>
        </w:rPr>
        <w:t xml:space="preserve"> enthusiastic learners. That is why </w:t>
      </w:r>
      <w:r w:rsidR="002A08E1">
        <w:rPr>
          <w:szCs w:val="22"/>
        </w:rPr>
        <w:t>the Department</w:t>
      </w:r>
      <w:r w:rsidRPr="009838EB">
        <w:rPr>
          <w:szCs w:val="22"/>
        </w:rPr>
        <w:t xml:space="preserve"> ha</w:t>
      </w:r>
      <w:r w:rsidR="002A08E1">
        <w:rPr>
          <w:szCs w:val="22"/>
        </w:rPr>
        <w:t>s</w:t>
      </w:r>
      <w:r w:rsidRPr="009838EB">
        <w:rPr>
          <w:szCs w:val="22"/>
        </w:rPr>
        <w:t xml:space="preserve"> been </w:t>
      </w:r>
      <w:r w:rsidR="003C562A" w:rsidRPr="009838EB">
        <w:rPr>
          <w:szCs w:val="22"/>
        </w:rPr>
        <w:t>delivering</w:t>
      </w:r>
      <w:r w:rsidRPr="009838EB">
        <w:rPr>
          <w:szCs w:val="22"/>
        </w:rPr>
        <w:t xml:space="preserve"> Victoria’s largest school infrastructure program to create modern, vibrant school facilities. In 2021, 14 </w:t>
      </w:r>
      <w:r w:rsidR="00E0683E" w:rsidRPr="009838EB">
        <w:rPr>
          <w:szCs w:val="22"/>
        </w:rPr>
        <w:t xml:space="preserve">new </w:t>
      </w:r>
      <w:r w:rsidRPr="009838EB">
        <w:rPr>
          <w:szCs w:val="22"/>
        </w:rPr>
        <w:t>schools</w:t>
      </w:r>
      <w:r w:rsidR="002A08E1">
        <w:rPr>
          <w:szCs w:val="22"/>
        </w:rPr>
        <w:t xml:space="preserve"> were opened</w:t>
      </w:r>
      <w:r w:rsidRPr="009838EB">
        <w:rPr>
          <w:szCs w:val="22"/>
        </w:rPr>
        <w:t xml:space="preserve">, as part of the government’s commitment to open 100 schools </w:t>
      </w:r>
      <w:r w:rsidR="00E0683E" w:rsidRPr="009838EB">
        <w:rPr>
          <w:szCs w:val="22"/>
        </w:rPr>
        <w:t>by 2026</w:t>
      </w:r>
      <w:r w:rsidR="00E36EDE">
        <w:rPr>
          <w:szCs w:val="22"/>
        </w:rPr>
        <w:t>.</w:t>
      </w:r>
      <w:r w:rsidR="00E0683E" w:rsidRPr="009838EB">
        <w:rPr>
          <w:szCs w:val="22"/>
        </w:rPr>
        <w:t xml:space="preserve"> </w:t>
      </w:r>
      <w:r w:rsidR="00E36EDE">
        <w:rPr>
          <w:szCs w:val="22"/>
        </w:rPr>
        <w:t>A</w:t>
      </w:r>
      <w:r w:rsidR="00E0683E" w:rsidRPr="009838EB">
        <w:rPr>
          <w:szCs w:val="22"/>
        </w:rPr>
        <w:t xml:space="preserve"> further</w:t>
      </w:r>
      <w:r w:rsidRPr="009838EB">
        <w:rPr>
          <w:szCs w:val="22"/>
        </w:rPr>
        <w:t xml:space="preserve"> 71 modernisation projects</w:t>
      </w:r>
      <w:r w:rsidR="002A08E1">
        <w:rPr>
          <w:szCs w:val="22"/>
        </w:rPr>
        <w:t xml:space="preserve"> were also completed</w:t>
      </w:r>
      <w:r w:rsidRPr="009838EB">
        <w:rPr>
          <w:szCs w:val="22"/>
        </w:rPr>
        <w:t xml:space="preserve">. </w:t>
      </w:r>
    </w:p>
    <w:p w14:paraId="2A0A9FDA" w14:textId="16CA9EAB" w:rsidR="00DA4BC3" w:rsidRPr="001B1AB2" w:rsidRDefault="002A08E1" w:rsidP="00A752EB">
      <w:pPr>
        <w:pStyle w:val="ESSecretaryletterbodytext"/>
        <w:spacing w:after="80"/>
        <w:rPr>
          <w:szCs w:val="22"/>
        </w:rPr>
      </w:pPr>
      <w:r>
        <w:rPr>
          <w:szCs w:val="22"/>
        </w:rPr>
        <w:t>The Department</w:t>
      </w:r>
      <w:r w:rsidR="00DA4BC3" w:rsidRPr="00DA4BC3">
        <w:rPr>
          <w:szCs w:val="22"/>
        </w:rPr>
        <w:t xml:space="preserve"> continue</w:t>
      </w:r>
      <w:r>
        <w:rPr>
          <w:szCs w:val="22"/>
        </w:rPr>
        <w:t>s</w:t>
      </w:r>
      <w:r w:rsidR="00DA4BC3" w:rsidRPr="00DA4BC3">
        <w:rPr>
          <w:szCs w:val="22"/>
        </w:rPr>
        <w:t xml:space="preserve"> implementing the recommendations of the Review into Vocational and Applied Learning Pathways in Senior Secondary Schooling which aims to increase the quality of and access to vocational pathways for students across Victoria. This includes the 22,000 secondary school students enrolled in the Victorian Certificate of Applied </w:t>
      </w:r>
      <w:r w:rsidR="00DA4BC3" w:rsidRPr="001B1AB2">
        <w:rPr>
          <w:szCs w:val="22"/>
        </w:rPr>
        <w:t>Learning (VCAL), and the 48,500 secondary school students taking part in accredited Vocational Education and Training (VET) programs in 2020.</w:t>
      </w:r>
    </w:p>
    <w:p w14:paraId="6C3C3A4A" w14:textId="503092DA" w:rsidR="0051112A" w:rsidRPr="001B1AB2" w:rsidRDefault="0051112A" w:rsidP="00A752EB">
      <w:pPr>
        <w:pStyle w:val="ESSecretaryletterbodytext"/>
        <w:spacing w:after="80"/>
      </w:pPr>
      <w:r w:rsidRPr="001B1AB2">
        <w:t xml:space="preserve">Victoria’s TAFEs remain central to providing pathways into the jobs needed to build and look after </w:t>
      </w:r>
      <w:r w:rsidR="003B64E6" w:rsidRPr="001B1AB2">
        <w:t>a</w:t>
      </w:r>
      <w:r w:rsidRPr="001B1AB2">
        <w:t xml:space="preserve"> growing state</w:t>
      </w:r>
      <w:r w:rsidR="000F612F" w:rsidRPr="001B1AB2">
        <w:t>, and the Department continues to build new ways of working together with Victorian industry, students and communities</w:t>
      </w:r>
      <w:r w:rsidRPr="001B1AB2">
        <w:t xml:space="preserve">. </w:t>
      </w:r>
      <w:r w:rsidR="00CE7997" w:rsidRPr="001B1AB2">
        <w:t>In 2020, t</w:t>
      </w:r>
      <w:r w:rsidRPr="001B1AB2">
        <w:t>he Department subsidis</w:t>
      </w:r>
      <w:r w:rsidR="00CE7997" w:rsidRPr="001B1AB2">
        <w:t>ed</w:t>
      </w:r>
      <w:r w:rsidRPr="001B1AB2">
        <w:t xml:space="preserve"> 146,843 TAFE network course enrolments. This support was targeted for the </w:t>
      </w:r>
      <w:r w:rsidRPr="001B1AB2">
        <w:rPr>
          <w:szCs w:val="22"/>
        </w:rPr>
        <w:t>greatest</w:t>
      </w:r>
      <w:r w:rsidRPr="001B1AB2">
        <w:t xml:space="preserve"> impact, with 87 per cent of government subsidised enrolments related to qualifications that lead directly to Victorian jobs and economic growth. </w:t>
      </w:r>
      <w:r w:rsidR="00CE7997" w:rsidRPr="001B1AB2">
        <w:rPr>
          <w:szCs w:val="22"/>
        </w:rPr>
        <w:t>A</w:t>
      </w:r>
      <w:r w:rsidRPr="001B1AB2">
        <w:rPr>
          <w:szCs w:val="22"/>
        </w:rPr>
        <w:t>pproximately</w:t>
      </w:r>
      <w:r w:rsidRPr="001B1AB2">
        <w:t xml:space="preserve"> 30,000 students </w:t>
      </w:r>
      <w:r w:rsidR="00CE7997" w:rsidRPr="001B1AB2">
        <w:t xml:space="preserve">also </w:t>
      </w:r>
      <w:r w:rsidRPr="001B1AB2">
        <w:t xml:space="preserve">commenced training in the Free TAFE program. This included a 113 per cent increase in commencements in the newly added ECEC qualifications. </w:t>
      </w:r>
    </w:p>
    <w:p w14:paraId="143AF9BE" w14:textId="54287AB5" w:rsidR="005B4CAD" w:rsidRPr="001B1AB2" w:rsidRDefault="007668A1" w:rsidP="00A752EB">
      <w:pPr>
        <w:pStyle w:val="ESSecretaryletterbodytext"/>
        <w:spacing w:after="80"/>
        <w:rPr>
          <w:szCs w:val="22"/>
        </w:rPr>
      </w:pPr>
      <w:r w:rsidRPr="001B1AB2">
        <w:t>Continuing enrolments in VET rose by 11 per cent during 2020</w:t>
      </w:r>
      <w:r w:rsidR="008854D0" w:rsidRPr="001B1AB2">
        <w:t xml:space="preserve">, and </w:t>
      </w:r>
      <w:r w:rsidR="00714F7F" w:rsidRPr="001B1AB2">
        <w:t>a</w:t>
      </w:r>
      <w:r w:rsidR="000D2FD9" w:rsidRPr="001B1AB2">
        <w:rPr>
          <w:szCs w:val="22"/>
        </w:rPr>
        <w:t>s part of the Skills for Economic Recovery package, 10,000 new Free TAFE places were made available</w:t>
      </w:r>
      <w:r w:rsidRPr="001B1AB2">
        <w:t xml:space="preserve"> to </w:t>
      </w:r>
      <w:r w:rsidR="000D2FD9" w:rsidRPr="001B1AB2">
        <w:rPr>
          <w:szCs w:val="22"/>
        </w:rPr>
        <w:t>those who lost their job as part of the COVID-19 pandemic</w:t>
      </w:r>
      <w:r w:rsidRPr="001B1AB2">
        <w:t>.</w:t>
      </w:r>
      <w:r w:rsidR="00ED25A0" w:rsidRPr="001B1AB2">
        <w:t xml:space="preserve"> </w:t>
      </w:r>
      <w:r w:rsidR="005B4CAD" w:rsidRPr="001B1AB2">
        <w:rPr>
          <w:szCs w:val="22"/>
        </w:rPr>
        <w:t xml:space="preserve">Apprenticeships and traineeships are being created on the </w:t>
      </w:r>
      <w:r w:rsidR="00AF44D3" w:rsidRPr="001B1AB2">
        <w:rPr>
          <w:szCs w:val="22"/>
        </w:rPr>
        <w:t xml:space="preserve">TAFE demonstration projects of </w:t>
      </w:r>
      <w:r w:rsidR="005B4CAD" w:rsidRPr="001B1AB2">
        <w:rPr>
          <w:szCs w:val="22"/>
        </w:rPr>
        <w:t xml:space="preserve">North East Link, New Footscray Hospital and the new Warrnambool Learning and Library Hub – with more major projects to join over time. To date, </w:t>
      </w:r>
      <w:r w:rsidR="003C562A" w:rsidRPr="001B1AB2">
        <w:rPr>
          <w:szCs w:val="22"/>
        </w:rPr>
        <w:t>the Department</w:t>
      </w:r>
      <w:r w:rsidR="005B4CAD" w:rsidRPr="001B1AB2">
        <w:rPr>
          <w:szCs w:val="22"/>
        </w:rPr>
        <w:t xml:space="preserve"> has received </w:t>
      </w:r>
      <w:r w:rsidR="00F07BC4" w:rsidRPr="001B1AB2">
        <w:rPr>
          <w:szCs w:val="22"/>
        </w:rPr>
        <w:t>more than</w:t>
      </w:r>
      <w:r w:rsidR="005B4CAD" w:rsidRPr="001B1AB2">
        <w:rPr>
          <w:szCs w:val="22"/>
        </w:rPr>
        <w:t xml:space="preserve"> 600 expressions of interest through its Big Build Apprenticeships program to work on major projects across Victoria.</w:t>
      </w:r>
    </w:p>
    <w:p w14:paraId="16791E1A" w14:textId="3B876F58" w:rsidR="00966CE1" w:rsidRPr="001B1AB2" w:rsidRDefault="00966CE1" w:rsidP="00A752EB">
      <w:pPr>
        <w:pStyle w:val="ESSecretaryletterbodytext"/>
        <w:spacing w:after="80"/>
      </w:pPr>
      <w:r w:rsidRPr="001B1AB2">
        <w:t xml:space="preserve">The Department also supported the higher education sector through the Higher Education State Investment Fund. The $350 million fund supports universities with capital works, applied research and research partnerships </w:t>
      </w:r>
      <w:r w:rsidR="000F612F" w:rsidRPr="001B1AB2">
        <w:t xml:space="preserve">and is </w:t>
      </w:r>
      <w:r w:rsidRPr="001B1AB2">
        <w:t>focused on boosting Victoria’s economic recovery.</w:t>
      </w:r>
    </w:p>
    <w:p w14:paraId="7B4618A1" w14:textId="22399796" w:rsidR="005B4CAD" w:rsidRPr="009838EB" w:rsidRDefault="005B4CAD" w:rsidP="00A752EB">
      <w:pPr>
        <w:pStyle w:val="ESSecretaryletterbodytext"/>
        <w:spacing w:after="80"/>
        <w:rPr>
          <w:szCs w:val="22"/>
        </w:rPr>
      </w:pPr>
      <w:r w:rsidRPr="001B1AB2">
        <w:rPr>
          <w:szCs w:val="22"/>
        </w:rPr>
        <w:t>Of course, this is not achievable</w:t>
      </w:r>
      <w:r w:rsidRPr="001B1AB2" w:rsidDel="00182B47">
        <w:rPr>
          <w:szCs w:val="22"/>
        </w:rPr>
        <w:t xml:space="preserve"> </w:t>
      </w:r>
      <w:r w:rsidRPr="001B1AB2">
        <w:rPr>
          <w:szCs w:val="22"/>
        </w:rPr>
        <w:t xml:space="preserve">without the hard work, dedication, and adaptability of </w:t>
      </w:r>
      <w:r w:rsidR="002A08E1" w:rsidRPr="001B1AB2">
        <w:rPr>
          <w:szCs w:val="22"/>
        </w:rPr>
        <w:t>the Department’s</w:t>
      </w:r>
      <w:r w:rsidRPr="001B1AB2">
        <w:rPr>
          <w:szCs w:val="22"/>
        </w:rPr>
        <w:t xml:space="preserve"> </w:t>
      </w:r>
      <w:r w:rsidR="00CD0640" w:rsidRPr="001B1AB2">
        <w:rPr>
          <w:szCs w:val="22"/>
        </w:rPr>
        <w:t>workforce</w:t>
      </w:r>
      <w:r w:rsidR="00845AED" w:rsidRPr="001B1AB2">
        <w:rPr>
          <w:szCs w:val="22"/>
        </w:rPr>
        <w:t>s</w:t>
      </w:r>
      <w:r w:rsidR="00CD0640" w:rsidRPr="001B1AB2">
        <w:rPr>
          <w:szCs w:val="22"/>
        </w:rPr>
        <w:t>. I thank the</w:t>
      </w:r>
      <w:r w:rsidRPr="009838EB">
        <w:rPr>
          <w:szCs w:val="22"/>
        </w:rPr>
        <w:t xml:space="preserve"> staff, educators, teachers, principals, support staff and specialist</w:t>
      </w:r>
      <w:r w:rsidR="00CD0640">
        <w:rPr>
          <w:szCs w:val="22"/>
        </w:rPr>
        <w:t xml:space="preserve">s who continue to deliver improvements to Victoria’s education system </w:t>
      </w:r>
      <w:r w:rsidRPr="009838EB">
        <w:rPr>
          <w:szCs w:val="22"/>
        </w:rPr>
        <w:t xml:space="preserve">across </w:t>
      </w:r>
      <w:r w:rsidR="00DA1A08" w:rsidRPr="009838EB">
        <w:rPr>
          <w:szCs w:val="22"/>
        </w:rPr>
        <w:t>ECEC</w:t>
      </w:r>
      <w:r w:rsidR="00274D34">
        <w:rPr>
          <w:szCs w:val="22"/>
        </w:rPr>
        <w:t>s</w:t>
      </w:r>
      <w:r w:rsidRPr="009838EB">
        <w:rPr>
          <w:szCs w:val="22"/>
        </w:rPr>
        <w:t>, schools, and TAFE and training organisations.</w:t>
      </w:r>
    </w:p>
    <w:p w14:paraId="53F4FF06" w14:textId="458E396D" w:rsidR="005B2878" w:rsidRPr="009838EB" w:rsidRDefault="005B4CAD" w:rsidP="0066785A">
      <w:pPr>
        <w:pStyle w:val="ESSecretaryletterbodytext"/>
        <w:spacing w:after="360"/>
        <w:rPr>
          <w:rFonts w:eastAsia="Arial"/>
          <w:szCs w:val="22"/>
          <w:highlight w:val="yellow"/>
        </w:rPr>
      </w:pPr>
      <w:r w:rsidRPr="009838EB">
        <w:rPr>
          <w:szCs w:val="22"/>
        </w:rPr>
        <w:t xml:space="preserve">Together we </w:t>
      </w:r>
      <w:r w:rsidR="00E67D76" w:rsidRPr="009838EB">
        <w:rPr>
          <w:szCs w:val="22"/>
        </w:rPr>
        <w:t>continue</w:t>
      </w:r>
      <w:r w:rsidRPr="009838EB">
        <w:rPr>
          <w:szCs w:val="22"/>
        </w:rPr>
        <w:t xml:space="preserve"> shaping </w:t>
      </w:r>
      <w:r w:rsidR="00E67D76" w:rsidRPr="009838EB">
        <w:rPr>
          <w:szCs w:val="22"/>
        </w:rPr>
        <w:t>Victoria’s</w:t>
      </w:r>
      <w:r w:rsidRPr="009838EB">
        <w:rPr>
          <w:szCs w:val="22"/>
        </w:rPr>
        <w:t xml:space="preserve"> education system</w:t>
      </w:r>
      <w:r w:rsidR="00E67D76" w:rsidRPr="009838EB">
        <w:rPr>
          <w:szCs w:val="22"/>
        </w:rPr>
        <w:t>, and</w:t>
      </w:r>
      <w:r w:rsidRPr="009838EB">
        <w:rPr>
          <w:szCs w:val="22"/>
        </w:rPr>
        <w:t xml:space="preserve"> provi</w:t>
      </w:r>
      <w:r w:rsidR="00E67D76" w:rsidRPr="009838EB">
        <w:rPr>
          <w:szCs w:val="22"/>
        </w:rPr>
        <w:t>ding</w:t>
      </w:r>
      <w:r w:rsidRPr="009838EB">
        <w:rPr>
          <w:szCs w:val="22"/>
        </w:rPr>
        <w:t xml:space="preserve"> every </w:t>
      </w:r>
      <w:r w:rsidR="00AF481D" w:rsidRPr="009838EB">
        <w:rPr>
          <w:szCs w:val="22"/>
        </w:rPr>
        <w:t>learner</w:t>
      </w:r>
      <w:r w:rsidRPr="009838EB">
        <w:rPr>
          <w:szCs w:val="22"/>
        </w:rPr>
        <w:t xml:space="preserve"> with the </w:t>
      </w:r>
      <w:r w:rsidR="00E67D76" w:rsidRPr="009838EB">
        <w:rPr>
          <w:szCs w:val="22"/>
        </w:rPr>
        <w:t>support, skills</w:t>
      </w:r>
      <w:r w:rsidRPr="009838EB">
        <w:rPr>
          <w:szCs w:val="22"/>
        </w:rPr>
        <w:t xml:space="preserve">, </w:t>
      </w:r>
      <w:r w:rsidR="00E67D76" w:rsidRPr="009838EB">
        <w:rPr>
          <w:szCs w:val="22"/>
        </w:rPr>
        <w:t>and</w:t>
      </w:r>
      <w:r w:rsidRPr="009838EB">
        <w:rPr>
          <w:szCs w:val="22"/>
        </w:rPr>
        <w:t xml:space="preserve"> capabilities they need to thrive.</w:t>
      </w:r>
    </w:p>
    <w:p w14:paraId="779998A1" w14:textId="77777777" w:rsidR="005B2878" w:rsidRPr="00025AF4" w:rsidRDefault="005B2878" w:rsidP="00A752EB">
      <w:pPr>
        <w:pStyle w:val="ESSecretaryletterbodytext"/>
        <w:spacing w:after="0"/>
        <w:rPr>
          <w:sz w:val="21"/>
          <w:szCs w:val="21"/>
        </w:rPr>
      </w:pPr>
      <w:r w:rsidRPr="00025AF4">
        <w:rPr>
          <w:sz w:val="21"/>
          <w:szCs w:val="21"/>
        </w:rPr>
        <w:t>Jenny Atta</w:t>
      </w:r>
    </w:p>
    <w:p w14:paraId="2993B6C8" w14:textId="0BFC96B4" w:rsidR="002A7D03" w:rsidRPr="00025AF4" w:rsidRDefault="005B2878" w:rsidP="00E637D1">
      <w:pPr>
        <w:pStyle w:val="ESSecretaryletterbodytext"/>
        <w:rPr>
          <w:sz w:val="21"/>
          <w:szCs w:val="21"/>
        </w:rPr>
      </w:pPr>
      <w:r w:rsidRPr="00025AF4">
        <w:rPr>
          <w:sz w:val="21"/>
          <w:szCs w:val="21"/>
        </w:rPr>
        <w:t>Secretary</w:t>
      </w:r>
    </w:p>
    <w:p w14:paraId="472BD6DE" w14:textId="1F5D8919" w:rsidR="003F3CFA" w:rsidRPr="005734B8" w:rsidRDefault="00AF068F" w:rsidP="00D90AAF">
      <w:pPr>
        <w:pStyle w:val="TOCHeading"/>
        <w:rPr>
          <w:rFonts w:ascii="Calibri" w:hAnsi="Calibri" w:cs="Calibri"/>
        </w:rPr>
      </w:pPr>
      <w:r w:rsidRPr="005734B8">
        <w:rPr>
          <w:rFonts w:ascii="Calibri" w:hAnsi="Calibri" w:cs="Calibri"/>
        </w:rPr>
        <w:lastRenderedPageBreak/>
        <w:t>Table of c</w:t>
      </w:r>
      <w:r w:rsidR="00AD20F5" w:rsidRPr="005734B8">
        <w:rPr>
          <w:rFonts w:ascii="Calibri" w:hAnsi="Calibri" w:cs="Calibri"/>
        </w:rPr>
        <w:t>ontents</w:t>
      </w:r>
    </w:p>
    <w:p w14:paraId="3AB4AA35" w14:textId="6F3D829C" w:rsidR="004E24F1" w:rsidRDefault="00196598">
      <w:pPr>
        <w:pStyle w:val="TOC1"/>
        <w:rPr>
          <w:rFonts w:asciiTheme="minorHAnsi" w:eastAsiaTheme="minorEastAsia" w:hAnsiTheme="minorHAnsi" w:cstheme="minorBidi"/>
          <w:b w:val="0"/>
          <w:bCs w:val="0"/>
          <w:caps w:val="0"/>
          <w:lang w:val="en-AU" w:eastAsia="en-AU"/>
        </w:rPr>
      </w:pPr>
      <w:r w:rsidRPr="005734B8">
        <w:fldChar w:fldCharType="begin"/>
      </w:r>
      <w:r w:rsidRPr="005734B8">
        <w:instrText xml:space="preserve"> TOC \o "1-1" \h \z \u </w:instrText>
      </w:r>
      <w:r w:rsidRPr="005734B8">
        <w:fldChar w:fldCharType="separate"/>
      </w:r>
      <w:hyperlink w:anchor="_Toc81315310" w:history="1">
        <w:r w:rsidR="004E24F1" w:rsidRPr="004B288A">
          <w:rPr>
            <w:rStyle w:val="Hyperlink"/>
          </w:rPr>
          <w:t>Year in review</w:t>
        </w:r>
        <w:r w:rsidR="004E24F1">
          <w:rPr>
            <w:webHidden/>
          </w:rPr>
          <w:tab/>
        </w:r>
        <w:r w:rsidR="004E24F1">
          <w:rPr>
            <w:webHidden/>
          </w:rPr>
          <w:fldChar w:fldCharType="begin"/>
        </w:r>
        <w:r w:rsidR="004E24F1">
          <w:rPr>
            <w:webHidden/>
          </w:rPr>
          <w:instrText xml:space="preserve"> PAGEREF _Toc81315310 \h </w:instrText>
        </w:r>
        <w:r w:rsidR="004E24F1">
          <w:rPr>
            <w:webHidden/>
          </w:rPr>
        </w:r>
        <w:r w:rsidR="004E24F1">
          <w:rPr>
            <w:webHidden/>
          </w:rPr>
          <w:fldChar w:fldCharType="separate"/>
        </w:r>
        <w:r w:rsidR="00606DA8">
          <w:rPr>
            <w:webHidden/>
          </w:rPr>
          <w:t>6</w:t>
        </w:r>
        <w:r w:rsidR="004E24F1">
          <w:rPr>
            <w:webHidden/>
          </w:rPr>
          <w:fldChar w:fldCharType="end"/>
        </w:r>
      </w:hyperlink>
    </w:p>
    <w:p w14:paraId="3FF28048" w14:textId="0BDC68F7" w:rsidR="004E24F1" w:rsidRDefault="006C463E">
      <w:pPr>
        <w:pStyle w:val="TOC1"/>
        <w:rPr>
          <w:rFonts w:asciiTheme="minorHAnsi" w:eastAsiaTheme="minorEastAsia" w:hAnsiTheme="minorHAnsi" w:cstheme="minorBidi"/>
          <w:b w:val="0"/>
          <w:bCs w:val="0"/>
          <w:caps w:val="0"/>
          <w:lang w:val="en-AU" w:eastAsia="en-AU"/>
        </w:rPr>
      </w:pPr>
      <w:hyperlink w:anchor="_Toc81315311" w:history="1">
        <w:r w:rsidR="004E24F1" w:rsidRPr="004B288A">
          <w:rPr>
            <w:rStyle w:val="Hyperlink"/>
          </w:rPr>
          <w:t>The Department’s vision</w:t>
        </w:r>
        <w:r w:rsidR="004E24F1">
          <w:rPr>
            <w:webHidden/>
          </w:rPr>
          <w:tab/>
        </w:r>
        <w:r w:rsidR="004E24F1">
          <w:rPr>
            <w:webHidden/>
          </w:rPr>
          <w:fldChar w:fldCharType="begin"/>
        </w:r>
        <w:r w:rsidR="004E24F1">
          <w:rPr>
            <w:webHidden/>
          </w:rPr>
          <w:instrText xml:space="preserve"> PAGEREF _Toc81315311 \h </w:instrText>
        </w:r>
        <w:r w:rsidR="004E24F1">
          <w:rPr>
            <w:webHidden/>
          </w:rPr>
        </w:r>
        <w:r w:rsidR="004E24F1">
          <w:rPr>
            <w:webHidden/>
          </w:rPr>
          <w:fldChar w:fldCharType="separate"/>
        </w:r>
        <w:r w:rsidR="00606DA8">
          <w:rPr>
            <w:webHidden/>
          </w:rPr>
          <w:t>6</w:t>
        </w:r>
        <w:r w:rsidR="004E24F1">
          <w:rPr>
            <w:webHidden/>
          </w:rPr>
          <w:fldChar w:fldCharType="end"/>
        </w:r>
      </w:hyperlink>
    </w:p>
    <w:p w14:paraId="55301981" w14:textId="6D85852C" w:rsidR="004E24F1" w:rsidRDefault="006C463E">
      <w:pPr>
        <w:pStyle w:val="TOC1"/>
        <w:rPr>
          <w:rFonts w:asciiTheme="minorHAnsi" w:eastAsiaTheme="minorEastAsia" w:hAnsiTheme="minorHAnsi" w:cstheme="minorBidi"/>
          <w:b w:val="0"/>
          <w:bCs w:val="0"/>
          <w:caps w:val="0"/>
          <w:lang w:val="en-AU" w:eastAsia="en-AU"/>
        </w:rPr>
      </w:pPr>
      <w:hyperlink w:anchor="_Toc81315312" w:history="1">
        <w:r w:rsidR="004E24F1" w:rsidRPr="004B288A">
          <w:rPr>
            <w:rStyle w:val="Hyperlink"/>
          </w:rPr>
          <w:t>Purpose and functions</w:t>
        </w:r>
        <w:r w:rsidR="004E24F1">
          <w:rPr>
            <w:webHidden/>
          </w:rPr>
          <w:tab/>
        </w:r>
        <w:r w:rsidR="004E24F1">
          <w:rPr>
            <w:webHidden/>
          </w:rPr>
          <w:fldChar w:fldCharType="begin"/>
        </w:r>
        <w:r w:rsidR="004E24F1">
          <w:rPr>
            <w:webHidden/>
          </w:rPr>
          <w:instrText xml:space="preserve"> PAGEREF _Toc81315312 \h </w:instrText>
        </w:r>
        <w:r w:rsidR="004E24F1">
          <w:rPr>
            <w:webHidden/>
          </w:rPr>
        </w:r>
        <w:r w:rsidR="004E24F1">
          <w:rPr>
            <w:webHidden/>
          </w:rPr>
          <w:fldChar w:fldCharType="separate"/>
        </w:r>
        <w:r w:rsidR="00606DA8">
          <w:rPr>
            <w:webHidden/>
          </w:rPr>
          <w:t>7</w:t>
        </w:r>
        <w:r w:rsidR="004E24F1">
          <w:rPr>
            <w:webHidden/>
          </w:rPr>
          <w:fldChar w:fldCharType="end"/>
        </w:r>
      </w:hyperlink>
    </w:p>
    <w:p w14:paraId="314F516A" w14:textId="200E11B6" w:rsidR="004E24F1" w:rsidRDefault="006C463E">
      <w:pPr>
        <w:pStyle w:val="TOC1"/>
        <w:rPr>
          <w:rFonts w:asciiTheme="minorHAnsi" w:eastAsiaTheme="minorEastAsia" w:hAnsiTheme="minorHAnsi" w:cstheme="minorBidi"/>
          <w:b w:val="0"/>
          <w:bCs w:val="0"/>
          <w:caps w:val="0"/>
          <w:lang w:val="en-AU" w:eastAsia="en-AU"/>
        </w:rPr>
      </w:pPr>
      <w:hyperlink w:anchor="_Toc81315313" w:history="1">
        <w:r w:rsidR="004E24F1" w:rsidRPr="004B288A">
          <w:rPr>
            <w:rStyle w:val="Hyperlink"/>
          </w:rPr>
          <w:t>Progress against the Department’s 2020–24 Strategic Plan initiatives</w:t>
        </w:r>
        <w:r w:rsidR="004E24F1">
          <w:rPr>
            <w:webHidden/>
          </w:rPr>
          <w:tab/>
        </w:r>
        <w:r w:rsidR="004E24F1">
          <w:rPr>
            <w:webHidden/>
          </w:rPr>
          <w:fldChar w:fldCharType="begin"/>
        </w:r>
        <w:r w:rsidR="004E24F1">
          <w:rPr>
            <w:webHidden/>
          </w:rPr>
          <w:instrText xml:space="preserve"> PAGEREF _Toc81315313 \h </w:instrText>
        </w:r>
        <w:r w:rsidR="004E24F1">
          <w:rPr>
            <w:webHidden/>
          </w:rPr>
        </w:r>
        <w:r w:rsidR="004E24F1">
          <w:rPr>
            <w:webHidden/>
          </w:rPr>
          <w:fldChar w:fldCharType="separate"/>
        </w:r>
        <w:r w:rsidR="00606DA8">
          <w:rPr>
            <w:webHidden/>
          </w:rPr>
          <w:t>8</w:t>
        </w:r>
        <w:r w:rsidR="004E24F1">
          <w:rPr>
            <w:webHidden/>
          </w:rPr>
          <w:fldChar w:fldCharType="end"/>
        </w:r>
      </w:hyperlink>
    </w:p>
    <w:p w14:paraId="4AF32A65" w14:textId="2B115C9B" w:rsidR="004E24F1" w:rsidRDefault="006C463E">
      <w:pPr>
        <w:pStyle w:val="TOC1"/>
        <w:rPr>
          <w:rFonts w:asciiTheme="minorHAnsi" w:eastAsiaTheme="minorEastAsia" w:hAnsiTheme="minorHAnsi" w:cstheme="minorBidi"/>
          <w:b w:val="0"/>
          <w:bCs w:val="0"/>
          <w:caps w:val="0"/>
          <w:lang w:val="en-AU" w:eastAsia="en-AU"/>
        </w:rPr>
      </w:pPr>
      <w:hyperlink w:anchor="_Toc81315314" w:history="1">
        <w:r w:rsidR="004E24F1" w:rsidRPr="004B288A">
          <w:rPr>
            <w:rStyle w:val="Hyperlink"/>
          </w:rPr>
          <w:t>Changes to the Department during 2020–21</w:t>
        </w:r>
        <w:r w:rsidR="004E24F1">
          <w:rPr>
            <w:webHidden/>
          </w:rPr>
          <w:tab/>
        </w:r>
        <w:r w:rsidR="004E24F1">
          <w:rPr>
            <w:webHidden/>
          </w:rPr>
          <w:fldChar w:fldCharType="begin"/>
        </w:r>
        <w:r w:rsidR="004E24F1">
          <w:rPr>
            <w:webHidden/>
          </w:rPr>
          <w:instrText xml:space="preserve"> PAGEREF _Toc81315314 \h </w:instrText>
        </w:r>
        <w:r w:rsidR="004E24F1">
          <w:rPr>
            <w:webHidden/>
          </w:rPr>
        </w:r>
        <w:r w:rsidR="004E24F1">
          <w:rPr>
            <w:webHidden/>
          </w:rPr>
          <w:fldChar w:fldCharType="separate"/>
        </w:r>
        <w:r w:rsidR="00606DA8">
          <w:rPr>
            <w:webHidden/>
          </w:rPr>
          <w:t>12</w:t>
        </w:r>
        <w:r w:rsidR="004E24F1">
          <w:rPr>
            <w:webHidden/>
          </w:rPr>
          <w:fldChar w:fldCharType="end"/>
        </w:r>
      </w:hyperlink>
    </w:p>
    <w:p w14:paraId="6DAE4B31" w14:textId="4793378A" w:rsidR="004E24F1" w:rsidRDefault="006C463E">
      <w:pPr>
        <w:pStyle w:val="TOC1"/>
        <w:rPr>
          <w:rFonts w:asciiTheme="minorHAnsi" w:eastAsiaTheme="minorEastAsia" w:hAnsiTheme="minorHAnsi" w:cstheme="minorBidi"/>
          <w:b w:val="0"/>
          <w:bCs w:val="0"/>
          <w:caps w:val="0"/>
          <w:lang w:val="en-AU" w:eastAsia="en-AU"/>
        </w:rPr>
      </w:pPr>
      <w:hyperlink w:anchor="_Toc81315315" w:history="1">
        <w:r w:rsidR="004E24F1" w:rsidRPr="004B288A">
          <w:rPr>
            <w:rStyle w:val="Hyperlink"/>
          </w:rPr>
          <w:t>Objectives, indicators and outputs</w:t>
        </w:r>
        <w:r w:rsidR="004E24F1">
          <w:rPr>
            <w:webHidden/>
          </w:rPr>
          <w:tab/>
        </w:r>
        <w:r w:rsidR="004E24F1">
          <w:rPr>
            <w:webHidden/>
          </w:rPr>
          <w:fldChar w:fldCharType="begin"/>
        </w:r>
        <w:r w:rsidR="004E24F1">
          <w:rPr>
            <w:webHidden/>
          </w:rPr>
          <w:instrText xml:space="preserve"> PAGEREF _Toc81315315 \h </w:instrText>
        </w:r>
        <w:r w:rsidR="004E24F1">
          <w:rPr>
            <w:webHidden/>
          </w:rPr>
        </w:r>
        <w:r w:rsidR="004E24F1">
          <w:rPr>
            <w:webHidden/>
          </w:rPr>
          <w:fldChar w:fldCharType="separate"/>
        </w:r>
        <w:r w:rsidR="00606DA8">
          <w:rPr>
            <w:webHidden/>
          </w:rPr>
          <w:t>12</w:t>
        </w:r>
        <w:r w:rsidR="004E24F1">
          <w:rPr>
            <w:webHidden/>
          </w:rPr>
          <w:fldChar w:fldCharType="end"/>
        </w:r>
      </w:hyperlink>
    </w:p>
    <w:p w14:paraId="52878339" w14:textId="236A1479" w:rsidR="004E24F1" w:rsidRDefault="006C463E">
      <w:pPr>
        <w:pStyle w:val="TOC1"/>
        <w:rPr>
          <w:rFonts w:asciiTheme="minorHAnsi" w:eastAsiaTheme="minorEastAsia" w:hAnsiTheme="minorHAnsi" w:cstheme="minorBidi"/>
          <w:b w:val="0"/>
          <w:bCs w:val="0"/>
          <w:caps w:val="0"/>
          <w:lang w:val="en-AU" w:eastAsia="en-AU"/>
        </w:rPr>
      </w:pPr>
      <w:hyperlink w:anchor="_Toc81315316" w:history="1">
        <w:r w:rsidR="004E24F1" w:rsidRPr="004B288A">
          <w:rPr>
            <w:rStyle w:val="Hyperlink"/>
          </w:rPr>
          <w:t>Progress towards achieving departmental objectives</w:t>
        </w:r>
        <w:r w:rsidR="004E24F1">
          <w:rPr>
            <w:webHidden/>
          </w:rPr>
          <w:tab/>
        </w:r>
        <w:r w:rsidR="004E24F1">
          <w:rPr>
            <w:webHidden/>
          </w:rPr>
          <w:fldChar w:fldCharType="begin"/>
        </w:r>
        <w:r w:rsidR="004E24F1">
          <w:rPr>
            <w:webHidden/>
          </w:rPr>
          <w:instrText xml:space="preserve"> PAGEREF _Toc81315316 \h </w:instrText>
        </w:r>
        <w:r w:rsidR="004E24F1">
          <w:rPr>
            <w:webHidden/>
          </w:rPr>
        </w:r>
        <w:r w:rsidR="004E24F1">
          <w:rPr>
            <w:webHidden/>
          </w:rPr>
          <w:fldChar w:fldCharType="separate"/>
        </w:r>
        <w:r w:rsidR="00606DA8">
          <w:rPr>
            <w:webHidden/>
          </w:rPr>
          <w:t>14</w:t>
        </w:r>
        <w:r w:rsidR="004E24F1">
          <w:rPr>
            <w:webHidden/>
          </w:rPr>
          <w:fldChar w:fldCharType="end"/>
        </w:r>
      </w:hyperlink>
    </w:p>
    <w:p w14:paraId="33C1F541" w14:textId="18917476" w:rsidR="004E24F1" w:rsidRDefault="006C463E">
      <w:pPr>
        <w:pStyle w:val="TOC1"/>
        <w:rPr>
          <w:rFonts w:asciiTheme="minorHAnsi" w:eastAsiaTheme="minorEastAsia" w:hAnsiTheme="minorHAnsi" w:cstheme="minorBidi"/>
          <w:b w:val="0"/>
          <w:bCs w:val="0"/>
          <w:caps w:val="0"/>
          <w:lang w:val="en-AU" w:eastAsia="en-AU"/>
        </w:rPr>
      </w:pPr>
      <w:hyperlink w:anchor="_Toc81315317" w:history="1">
        <w:r w:rsidR="004E24F1" w:rsidRPr="004B288A">
          <w:rPr>
            <w:rStyle w:val="Hyperlink"/>
          </w:rPr>
          <w:t>Performance against output performance measures</w:t>
        </w:r>
        <w:r w:rsidR="004E24F1">
          <w:rPr>
            <w:webHidden/>
          </w:rPr>
          <w:tab/>
        </w:r>
        <w:r w:rsidR="004E24F1">
          <w:rPr>
            <w:webHidden/>
          </w:rPr>
          <w:fldChar w:fldCharType="begin"/>
        </w:r>
        <w:r w:rsidR="004E24F1">
          <w:rPr>
            <w:webHidden/>
          </w:rPr>
          <w:instrText xml:space="preserve"> PAGEREF _Toc81315317 \h </w:instrText>
        </w:r>
        <w:r w:rsidR="004E24F1">
          <w:rPr>
            <w:webHidden/>
          </w:rPr>
        </w:r>
        <w:r w:rsidR="004E24F1">
          <w:rPr>
            <w:webHidden/>
          </w:rPr>
          <w:fldChar w:fldCharType="separate"/>
        </w:r>
        <w:r w:rsidR="00606DA8">
          <w:rPr>
            <w:webHidden/>
          </w:rPr>
          <w:t>27</w:t>
        </w:r>
        <w:r w:rsidR="004E24F1">
          <w:rPr>
            <w:webHidden/>
          </w:rPr>
          <w:fldChar w:fldCharType="end"/>
        </w:r>
      </w:hyperlink>
    </w:p>
    <w:p w14:paraId="32EA8665" w14:textId="3A55410B" w:rsidR="004E24F1" w:rsidRDefault="006C463E">
      <w:pPr>
        <w:pStyle w:val="TOC1"/>
        <w:rPr>
          <w:rFonts w:asciiTheme="minorHAnsi" w:eastAsiaTheme="minorEastAsia" w:hAnsiTheme="minorHAnsi" w:cstheme="minorBidi"/>
          <w:b w:val="0"/>
          <w:bCs w:val="0"/>
          <w:caps w:val="0"/>
          <w:lang w:val="en-AU" w:eastAsia="en-AU"/>
        </w:rPr>
      </w:pPr>
      <w:hyperlink w:anchor="_Toc81315318" w:history="1">
        <w:r w:rsidR="004E24F1" w:rsidRPr="004B288A">
          <w:rPr>
            <w:rStyle w:val="Hyperlink"/>
          </w:rPr>
          <w:t>Five-year financial summary</w:t>
        </w:r>
        <w:r w:rsidR="004E24F1">
          <w:rPr>
            <w:webHidden/>
          </w:rPr>
          <w:tab/>
        </w:r>
        <w:r w:rsidR="004E24F1">
          <w:rPr>
            <w:webHidden/>
          </w:rPr>
          <w:fldChar w:fldCharType="begin"/>
        </w:r>
        <w:r w:rsidR="004E24F1">
          <w:rPr>
            <w:webHidden/>
          </w:rPr>
          <w:instrText xml:space="preserve"> PAGEREF _Toc81315318 \h </w:instrText>
        </w:r>
        <w:r w:rsidR="004E24F1">
          <w:rPr>
            <w:webHidden/>
          </w:rPr>
        </w:r>
        <w:r w:rsidR="004E24F1">
          <w:rPr>
            <w:webHidden/>
          </w:rPr>
          <w:fldChar w:fldCharType="separate"/>
        </w:r>
        <w:r w:rsidR="00606DA8">
          <w:rPr>
            <w:webHidden/>
          </w:rPr>
          <w:t>46</w:t>
        </w:r>
        <w:r w:rsidR="004E24F1">
          <w:rPr>
            <w:webHidden/>
          </w:rPr>
          <w:fldChar w:fldCharType="end"/>
        </w:r>
      </w:hyperlink>
    </w:p>
    <w:p w14:paraId="6A32AAFA" w14:textId="7F2EFF3D" w:rsidR="004E24F1" w:rsidRDefault="006C463E">
      <w:pPr>
        <w:pStyle w:val="TOC1"/>
        <w:rPr>
          <w:rFonts w:asciiTheme="minorHAnsi" w:eastAsiaTheme="minorEastAsia" w:hAnsiTheme="minorHAnsi" w:cstheme="minorBidi"/>
          <w:b w:val="0"/>
          <w:bCs w:val="0"/>
          <w:caps w:val="0"/>
          <w:lang w:val="en-AU" w:eastAsia="en-AU"/>
        </w:rPr>
      </w:pPr>
      <w:hyperlink w:anchor="_Toc81315319" w:history="1">
        <w:r w:rsidR="004E24F1" w:rsidRPr="004B288A">
          <w:rPr>
            <w:rStyle w:val="Hyperlink"/>
          </w:rPr>
          <w:t>Current year financial review</w:t>
        </w:r>
        <w:r w:rsidR="004E24F1">
          <w:rPr>
            <w:webHidden/>
          </w:rPr>
          <w:tab/>
        </w:r>
        <w:r w:rsidR="004E24F1">
          <w:rPr>
            <w:webHidden/>
          </w:rPr>
          <w:fldChar w:fldCharType="begin"/>
        </w:r>
        <w:r w:rsidR="004E24F1">
          <w:rPr>
            <w:webHidden/>
          </w:rPr>
          <w:instrText xml:space="preserve"> PAGEREF _Toc81315319 \h </w:instrText>
        </w:r>
        <w:r w:rsidR="004E24F1">
          <w:rPr>
            <w:webHidden/>
          </w:rPr>
        </w:r>
        <w:r w:rsidR="004E24F1">
          <w:rPr>
            <w:webHidden/>
          </w:rPr>
          <w:fldChar w:fldCharType="separate"/>
        </w:r>
        <w:r w:rsidR="00606DA8">
          <w:rPr>
            <w:webHidden/>
          </w:rPr>
          <w:t>47</w:t>
        </w:r>
        <w:r w:rsidR="004E24F1">
          <w:rPr>
            <w:webHidden/>
          </w:rPr>
          <w:fldChar w:fldCharType="end"/>
        </w:r>
      </w:hyperlink>
    </w:p>
    <w:p w14:paraId="34D6344E" w14:textId="342021BD" w:rsidR="004E24F1" w:rsidRDefault="006C463E">
      <w:pPr>
        <w:pStyle w:val="TOC1"/>
        <w:rPr>
          <w:rFonts w:asciiTheme="minorHAnsi" w:eastAsiaTheme="minorEastAsia" w:hAnsiTheme="minorHAnsi" w:cstheme="minorBidi"/>
          <w:b w:val="0"/>
          <w:bCs w:val="0"/>
          <w:caps w:val="0"/>
          <w:lang w:val="en-AU" w:eastAsia="en-AU"/>
        </w:rPr>
      </w:pPr>
      <w:hyperlink w:anchor="_Toc81315320" w:history="1">
        <w:r w:rsidR="004E24F1" w:rsidRPr="004B288A">
          <w:rPr>
            <w:rStyle w:val="Hyperlink"/>
          </w:rPr>
          <w:t>Governance and organisational structure</w:t>
        </w:r>
        <w:r w:rsidR="004E24F1">
          <w:rPr>
            <w:webHidden/>
          </w:rPr>
          <w:tab/>
        </w:r>
        <w:r w:rsidR="004E24F1">
          <w:rPr>
            <w:webHidden/>
          </w:rPr>
          <w:fldChar w:fldCharType="begin"/>
        </w:r>
        <w:r w:rsidR="004E24F1">
          <w:rPr>
            <w:webHidden/>
          </w:rPr>
          <w:instrText xml:space="preserve"> PAGEREF _Toc81315320 \h </w:instrText>
        </w:r>
        <w:r w:rsidR="004E24F1">
          <w:rPr>
            <w:webHidden/>
          </w:rPr>
        </w:r>
        <w:r w:rsidR="004E24F1">
          <w:rPr>
            <w:webHidden/>
          </w:rPr>
          <w:fldChar w:fldCharType="separate"/>
        </w:r>
        <w:r w:rsidR="00606DA8">
          <w:rPr>
            <w:webHidden/>
          </w:rPr>
          <w:t>52</w:t>
        </w:r>
        <w:r w:rsidR="004E24F1">
          <w:rPr>
            <w:webHidden/>
          </w:rPr>
          <w:fldChar w:fldCharType="end"/>
        </w:r>
      </w:hyperlink>
    </w:p>
    <w:p w14:paraId="18A15500" w14:textId="2F46C9E9" w:rsidR="004E24F1" w:rsidRDefault="006C463E">
      <w:pPr>
        <w:pStyle w:val="TOC1"/>
        <w:rPr>
          <w:rFonts w:asciiTheme="minorHAnsi" w:eastAsiaTheme="minorEastAsia" w:hAnsiTheme="minorHAnsi" w:cstheme="minorBidi"/>
          <w:b w:val="0"/>
          <w:bCs w:val="0"/>
          <w:caps w:val="0"/>
          <w:lang w:val="en-AU" w:eastAsia="en-AU"/>
        </w:rPr>
      </w:pPr>
      <w:hyperlink w:anchor="_Toc81315321" w:history="1">
        <w:r w:rsidR="004E24F1" w:rsidRPr="004B288A">
          <w:rPr>
            <w:rStyle w:val="Hyperlink"/>
          </w:rPr>
          <w:t>The Department’s ministers</w:t>
        </w:r>
        <w:r w:rsidR="004E24F1">
          <w:rPr>
            <w:webHidden/>
          </w:rPr>
          <w:tab/>
        </w:r>
        <w:r w:rsidR="004E24F1">
          <w:rPr>
            <w:webHidden/>
          </w:rPr>
          <w:fldChar w:fldCharType="begin"/>
        </w:r>
        <w:r w:rsidR="004E24F1">
          <w:rPr>
            <w:webHidden/>
          </w:rPr>
          <w:instrText xml:space="preserve"> PAGEREF _Toc81315321 \h </w:instrText>
        </w:r>
        <w:r w:rsidR="004E24F1">
          <w:rPr>
            <w:webHidden/>
          </w:rPr>
        </w:r>
        <w:r w:rsidR="004E24F1">
          <w:rPr>
            <w:webHidden/>
          </w:rPr>
          <w:fldChar w:fldCharType="separate"/>
        </w:r>
        <w:r w:rsidR="00606DA8">
          <w:rPr>
            <w:webHidden/>
          </w:rPr>
          <w:t>52</w:t>
        </w:r>
        <w:r w:rsidR="004E24F1">
          <w:rPr>
            <w:webHidden/>
          </w:rPr>
          <w:fldChar w:fldCharType="end"/>
        </w:r>
      </w:hyperlink>
    </w:p>
    <w:p w14:paraId="0046B17A" w14:textId="12A52BD8" w:rsidR="004E24F1" w:rsidRDefault="006C463E">
      <w:pPr>
        <w:pStyle w:val="TOC1"/>
        <w:rPr>
          <w:rFonts w:asciiTheme="minorHAnsi" w:eastAsiaTheme="minorEastAsia" w:hAnsiTheme="minorHAnsi" w:cstheme="minorBidi"/>
          <w:b w:val="0"/>
          <w:bCs w:val="0"/>
          <w:caps w:val="0"/>
          <w:lang w:val="en-AU" w:eastAsia="en-AU"/>
        </w:rPr>
      </w:pPr>
      <w:hyperlink w:anchor="_Toc81315322" w:history="1">
        <w:r w:rsidR="004E24F1" w:rsidRPr="004B288A">
          <w:rPr>
            <w:rStyle w:val="Hyperlink"/>
          </w:rPr>
          <w:t>The Department’s senior executives</w:t>
        </w:r>
        <w:r w:rsidR="004E24F1">
          <w:rPr>
            <w:webHidden/>
          </w:rPr>
          <w:tab/>
        </w:r>
        <w:r w:rsidR="004E24F1">
          <w:rPr>
            <w:webHidden/>
          </w:rPr>
          <w:fldChar w:fldCharType="begin"/>
        </w:r>
        <w:r w:rsidR="004E24F1">
          <w:rPr>
            <w:webHidden/>
          </w:rPr>
          <w:instrText xml:space="preserve"> PAGEREF _Toc81315322 \h </w:instrText>
        </w:r>
        <w:r w:rsidR="004E24F1">
          <w:rPr>
            <w:webHidden/>
          </w:rPr>
        </w:r>
        <w:r w:rsidR="004E24F1">
          <w:rPr>
            <w:webHidden/>
          </w:rPr>
          <w:fldChar w:fldCharType="separate"/>
        </w:r>
        <w:r w:rsidR="00606DA8">
          <w:rPr>
            <w:webHidden/>
          </w:rPr>
          <w:t>53</w:t>
        </w:r>
        <w:r w:rsidR="004E24F1">
          <w:rPr>
            <w:webHidden/>
          </w:rPr>
          <w:fldChar w:fldCharType="end"/>
        </w:r>
      </w:hyperlink>
    </w:p>
    <w:p w14:paraId="33134BF2" w14:textId="44A232E0" w:rsidR="004E24F1" w:rsidRDefault="006C463E">
      <w:pPr>
        <w:pStyle w:val="TOC1"/>
        <w:rPr>
          <w:rFonts w:asciiTheme="minorHAnsi" w:eastAsiaTheme="minorEastAsia" w:hAnsiTheme="minorHAnsi" w:cstheme="minorBidi"/>
          <w:b w:val="0"/>
          <w:bCs w:val="0"/>
          <w:caps w:val="0"/>
          <w:lang w:val="en-AU" w:eastAsia="en-AU"/>
        </w:rPr>
      </w:pPr>
      <w:hyperlink w:anchor="_Toc81315323" w:history="1">
        <w:r w:rsidR="004E24F1" w:rsidRPr="004B288A">
          <w:rPr>
            <w:rStyle w:val="Hyperlink"/>
          </w:rPr>
          <w:t>Organisational structure</w:t>
        </w:r>
        <w:r w:rsidR="004E24F1">
          <w:rPr>
            <w:webHidden/>
          </w:rPr>
          <w:tab/>
        </w:r>
        <w:r w:rsidR="004E24F1">
          <w:rPr>
            <w:webHidden/>
          </w:rPr>
          <w:fldChar w:fldCharType="begin"/>
        </w:r>
        <w:r w:rsidR="004E24F1">
          <w:rPr>
            <w:webHidden/>
          </w:rPr>
          <w:instrText xml:space="preserve"> PAGEREF _Toc81315323 \h </w:instrText>
        </w:r>
        <w:r w:rsidR="004E24F1">
          <w:rPr>
            <w:webHidden/>
          </w:rPr>
        </w:r>
        <w:r w:rsidR="004E24F1">
          <w:rPr>
            <w:webHidden/>
          </w:rPr>
          <w:fldChar w:fldCharType="separate"/>
        </w:r>
        <w:r w:rsidR="00606DA8">
          <w:rPr>
            <w:webHidden/>
          </w:rPr>
          <w:t>59</w:t>
        </w:r>
        <w:r w:rsidR="004E24F1">
          <w:rPr>
            <w:webHidden/>
          </w:rPr>
          <w:fldChar w:fldCharType="end"/>
        </w:r>
      </w:hyperlink>
    </w:p>
    <w:p w14:paraId="0655465B" w14:textId="6CAF0904" w:rsidR="004E24F1" w:rsidRDefault="006C463E">
      <w:pPr>
        <w:pStyle w:val="TOC1"/>
        <w:rPr>
          <w:rFonts w:asciiTheme="minorHAnsi" w:eastAsiaTheme="minorEastAsia" w:hAnsiTheme="minorHAnsi" w:cstheme="minorBidi"/>
          <w:b w:val="0"/>
          <w:bCs w:val="0"/>
          <w:caps w:val="0"/>
          <w:lang w:val="en-AU" w:eastAsia="en-AU"/>
        </w:rPr>
      </w:pPr>
      <w:hyperlink w:anchor="_Toc81315324" w:history="1">
        <w:r w:rsidR="004E24F1" w:rsidRPr="004B288A">
          <w:rPr>
            <w:rStyle w:val="Hyperlink"/>
          </w:rPr>
          <w:t>Governance structure</w:t>
        </w:r>
        <w:r w:rsidR="004E24F1">
          <w:rPr>
            <w:webHidden/>
          </w:rPr>
          <w:tab/>
        </w:r>
        <w:r w:rsidR="004E24F1">
          <w:rPr>
            <w:webHidden/>
          </w:rPr>
          <w:fldChar w:fldCharType="begin"/>
        </w:r>
        <w:r w:rsidR="004E24F1">
          <w:rPr>
            <w:webHidden/>
          </w:rPr>
          <w:instrText xml:space="preserve"> PAGEREF _Toc81315324 \h </w:instrText>
        </w:r>
        <w:r w:rsidR="004E24F1">
          <w:rPr>
            <w:webHidden/>
          </w:rPr>
        </w:r>
        <w:r w:rsidR="004E24F1">
          <w:rPr>
            <w:webHidden/>
          </w:rPr>
          <w:fldChar w:fldCharType="separate"/>
        </w:r>
        <w:r w:rsidR="00606DA8">
          <w:rPr>
            <w:webHidden/>
          </w:rPr>
          <w:t>62</w:t>
        </w:r>
        <w:r w:rsidR="004E24F1">
          <w:rPr>
            <w:webHidden/>
          </w:rPr>
          <w:fldChar w:fldCharType="end"/>
        </w:r>
      </w:hyperlink>
    </w:p>
    <w:p w14:paraId="1078BED8" w14:textId="2E67365F" w:rsidR="004E24F1" w:rsidRDefault="006C463E">
      <w:pPr>
        <w:pStyle w:val="TOC1"/>
        <w:rPr>
          <w:rFonts w:asciiTheme="minorHAnsi" w:eastAsiaTheme="minorEastAsia" w:hAnsiTheme="minorHAnsi" w:cstheme="minorBidi"/>
          <w:b w:val="0"/>
          <w:bCs w:val="0"/>
          <w:caps w:val="0"/>
          <w:lang w:val="en-AU" w:eastAsia="en-AU"/>
        </w:rPr>
      </w:pPr>
      <w:hyperlink w:anchor="_Toc81315325" w:history="1">
        <w:r w:rsidR="004E24F1" w:rsidRPr="004B288A">
          <w:rPr>
            <w:rStyle w:val="Hyperlink"/>
          </w:rPr>
          <w:t>Committee structure</w:t>
        </w:r>
        <w:r w:rsidR="004E24F1">
          <w:rPr>
            <w:webHidden/>
          </w:rPr>
          <w:tab/>
        </w:r>
        <w:r w:rsidR="004E24F1">
          <w:rPr>
            <w:webHidden/>
          </w:rPr>
          <w:fldChar w:fldCharType="begin"/>
        </w:r>
        <w:r w:rsidR="004E24F1">
          <w:rPr>
            <w:webHidden/>
          </w:rPr>
          <w:instrText xml:space="preserve"> PAGEREF _Toc81315325 \h </w:instrText>
        </w:r>
        <w:r w:rsidR="004E24F1">
          <w:rPr>
            <w:webHidden/>
          </w:rPr>
        </w:r>
        <w:r w:rsidR="004E24F1">
          <w:rPr>
            <w:webHidden/>
          </w:rPr>
          <w:fldChar w:fldCharType="separate"/>
        </w:r>
        <w:r w:rsidR="00606DA8">
          <w:rPr>
            <w:webHidden/>
          </w:rPr>
          <w:t>63</w:t>
        </w:r>
        <w:r w:rsidR="004E24F1">
          <w:rPr>
            <w:webHidden/>
          </w:rPr>
          <w:fldChar w:fldCharType="end"/>
        </w:r>
      </w:hyperlink>
    </w:p>
    <w:p w14:paraId="033E1746" w14:textId="686E6B15" w:rsidR="004E24F1" w:rsidRDefault="006C463E">
      <w:pPr>
        <w:pStyle w:val="TOC1"/>
        <w:rPr>
          <w:rFonts w:asciiTheme="minorHAnsi" w:eastAsiaTheme="minorEastAsia" w:hAnsiTheme="minorHAnsi" w:cstheme="minorBidi"/>
          <w:b w:val="0"/>
          <w:bCs w:val="0"/>
          <w:caps w:val="0"/>
          <w:lang w:val="en-AU" w:eastAsia="en-AU"/>
        </w:rPr>
      </w:pPr>
      <w:hyperlink w:anchor="_Toc81315326" w:history="1">
        <w:r w:rsidR="004E24F1" w:rsidRPr="004B288A">
          <w:rPr>
            <w:rStyle w:val="Hyperlink"/>
          </w:rPr>
          <w:t>Statutory authorities and boards</w:t>
        </w:r>
        <w:r w:rsidR="004E24F1">
          <w:rPr>
            <w:webHidden/>
          </w:rPr>
          <w:tab/>
        </w:r>
        <w:r w:rsidR="004E24F1">
          <w:rPr>
            <w:webHidden/>
          </w:rPr>
          <w:fldChar w:fldCharType="begin"/>
        </w:r>
        <w:r w:rsidR="004E24F1">
          <w:rPr>
            <w:webHidden/>
          </w:rPr>
          <w:instrText xml:space="preserve"> PAGEREF _Toc81315326 \h </w:instrText>
        </w:r>
        <w:r w:rsidR="004E24F1">
          <w:rPr>
            <w:webHidden/>
          </w:rPr>
        </w:r>
        <w:r w:rsidR="004E24F1">
          <w:rPr>
            <w:webHidden/>
          </w:rPr>
          <w:fldChar w:fldCharType="separate"/>
        </w:r>
        <w:r w:rsidR="00606DA8">
          <w:rPr>
            <w:webHidden/>
          </w:rPr>
          <w:t>66</w:t>
        </w:r>
        <w:r w:rsidR="004E24F1">
          <w:rPr>
            <w:webHidden/>
          </w:rPr>
          <w:fldChar w:fldCharType="end"/>
        </w:r>
      </w:hyperlink>
    </w:p>
    <w:p w14:paraId="000F91C1" w14:textId="5F2EB3F3" w:rsidR="004E24F1" w:rsidRDefault="006C463E">
      <w:pPr>
        <w:pStyle w:val="TOC1"/>
        <w:rPr>
          <w:rFonts w:asciiTheme="minorHAnsi" w:eastAsiaTheme="minorEastAsia" w:hAnsiTheme="minorHAnsi" w:cstheme="minorBidi"/>
          <w:b w:val="0"/>
          <w:bCs w:val="0"/>
          <w:caps w:val="0"/>
          <w:lang w:val="en-AU" w:eastAsia="en-AU"/>
        </w:rPr>
      </w:pPr>
      <w:hyperlink w:anchor="_Toc81315327" w:history="1">
        <w:r w:rsidR="004E24F1" w:rsidRPr="004B288A">
          <w:rPr>
            <w:rStyle w:val="Hyperlink"/>
          </w:rPr>
          <w:t>Workforce data</w:t>
        </w:r>
        <w:r w:rsidR="004E24F1">
          <w:rPr>
            <w:webHidden/>
          </w:rPr>
          <w:tab/>
        </w:r>
        <w:r w:rsidR="004E24F1">
          <w:rPr>
            <w:webHidden/>
          </w:rPr>
          <w:fldChar w:fldCharType="begin"/>
        </w:r>
        <w:r w:rsidR="004E24F1">
          <w:rPr>
            <w:webHidden/>
          </w:rPr>
          <w:instrText xml:space="preserve"> PAGEREF _Toc81315327 \h </w:instrText>
        </w:r>
        <w:r w:rsidR="004E24F1">
          <w:rPr>
            <w:webHidden/>
          </w:rPr>
        </w:r>
        <w:r w:rsidR="004E24F1">
          <w:rPr>
            <w:webHidden/>
          </w:rPr>
          <w:fldChar w:fldCharType="separate"/>
        </w:r>
        <w:r w:rsidR="00606DA8">
          <w:rPr>
            <w:webHidden/>
          </w:rPr>
          <w:t>67</w:t>
        </w:r>
        <w:r w:rsidR="004E24F1">
          <w:rPr>
            <w:webHidden/>
          </w:rPr>
          <w:fldChar w:fldCharType="end"/>
        </w:r>
      </w:hyperlink>
    </w:p>
    <w:p w14:paraId="70574ADE" w14:textId="1C16560E" w:rsidR="004E24F1" w:rsidRDefault="006C463E">
      <w:pPr>
        <w:pStyle w:val="TOC1"/>
        <w:rPr>
          <w:rFonts w:asciiTheme="minorHAnsi" w:eastAsiaTheme="minorEastAsia" w:hAnsiTheme="minorHAnsi" w:cstheme="minorBidi"/>
          <w:b w:val="0"/>
          <w:bCs w:val="0"/>
          <w:caps w:val="0"/>
          <w:lang w:val="en-AU" w:eastAsia="en-AU"/>
        </w:rPr>
      </w:pPr>
      <w:hyperlink w:anchor="_Toc81315328" w:history="1">
        <w:r w:rsidR="004E24F1" w:rsidRPr="004B288A">
          <w:rPr>
            <w:rStyle w:val="Hyperlink"/>
          </w:rPr>
          <w:t>Public sector values and employment principles</w:t>
        </w:r>
        <w:r w:rsidR="004E24F1">
          <w:rPr>
            <w:webHidden/>
          </w:rPr>
          <w:tab/>
        </w:r>
        <w:r w:rsidR="004E24F1">
          <w:rPr>
            <w:webHidden/>
          </w:rPr>
          <w:fldChar w:fldCharType="begin"/>
        </w:r>
        <w:r w:rsidR="004E24F1">
          <w:rPr>
            <w:webHidden/>
          </w:rPr>
          <w:instrText xml:space="preserve"> PAGEREF _Toc81315328 \h </w:instrText>
        </w:r>
        <w:r w:rsidR="004E24F1">
          <w:rPr>
            <w:webHidden/>
          </w:rPr>
        </w:r>
        <w:r w:rsidR="004E24F1">
          <w:rPr>
            <w:webHidden/>
          </w:rPr>
          <w:fldChar w:fldCharType="separate"/>
        </w:r>
        <w:r w:rsidR="00606DA8">
          <w:rPr>
            <w:webHidden/>
          </w:rPr>
          <w:t>67</w:t>
        </w:r>
        <w:r w:rsidR="004E24F1">
          <w:rPr>
            <w:webHidden/>
          </w:rPr>
          <w:fldChar w:fldCharType="end"/>
        </w:r>
      </w:hyperlink>
    </w:p>
    <w:p w14:paraId="5FE0087F" w14:textId="3C27FDF4" w:rsidR="004E24F1" w:rsidRDefault="006C463E">
      <w:pPr>
        <w:pStyle w:val="TOC1"/>
        <w:rPr>
          <w:rFonts w:asciiTheme="minorHAnsi" w:eastAsiaTheme="minorEastAsia" w:hAnsiTheme="minorHAnsi" w:cstheme="minorBidi"/>
          <w:b w:val="0"/>
          <w:bCs w:val="0"/>
          <w:caps w:val="0"/>
          <w:lang w:val="en-AU" w:eastAsia="en-AU"/>
        </w:rPr>
      </w:pPr>
      <w:hyperlink w:anchor="_Toc81315329" w:history="1">
        <w:r w:rsidR="004E24F1" w:rsidRPr="004B288A">
          <w:rPr>
            <w:rStyle w:val="Hyperlink"/>
          </w:rPr>
          <w:t>Occupational health and safety</w:t>
        </w:r>
        <w:r w:rsidR="004E24F1">
          <w:rPr>
            <w:webHidden/>
          </w:rPr>
          <w:tab/>
        </w:r>
        <w:r w:rsidR="004E24F1">
          <w:rPr>
            <w:webHidden/>
          </w:rPr>
          <w:fldChar w:fldCharType="begin"/>
        </w:r>
        <w:r w:rsidR="004E24F1">
          <w:rPr>
            <w:webHidden/>
          </w:rPr>
          <w:instrText xml:space="preserve"> PAGEREF _Toc81315329 \h </w:instrText>
        </w:r>
        <w:r w:rsidR="004E24F1">
          <w:rPr>
            <w:webHidden/>
          </w:rPr>
        </w:r>
        <w:r w:rsidR="004E24F1">
          <w:rPr>
            <w:webHidden/>
          </w:rPr>
          <w:fldChar w:fldCharType="separate"/>
        </w:r>
        <w:r w:rsidR="00606DA8">
          <w:rPr>
            <w:webHidden/>
          </w:rPr>
          <w:t>67</w:t>
        </w:r>
        <w:r w:rsidR="004E24F1">
          <w:rPr>
            <w:webHidden/>
          </w:rPr>
          <w:fldChar w:fldCharType="end"/>
        </w:r>
      </w:hyperlink>
    </w:p>
    <w:p w14:paraId="30B2E7F3" w14:textId="0D9BD865" w:rsidR="004E24F1" w:rsidRDefault="006C463E">
      <w:pPr>
        <w:pStyle w:val="TOC1"/>
        <w:rPr>
          <w:rFonts w:asciiTheme="minorHAnsi" w:eastAsiaTheme="minorEastAsia" w:hAnsiTheme="minorHAnsi" w:cstheme="minorBidi"/>
          <w:b w:val="0"/>
          <w:bCs w:val="0"/>
          <w:caps w:val="0"/>
          <w:lang w:val="en-AU" w:eastAsia="en-AU"/>
        </w:rPr>
      </w:pPr>
      <w:hyperlink w:anchor="_Toc81315330" w:history="1">
        <w:r w:rsidR="004E24F1" w:rsidRPr="004B288A">
          <w:rPr>
            <w:rStyle w:val="Hyperlink"/>
          </w:rPr>
          <w:t>Workers’ compensation</w:t>
        </w:r>
        <w:r w:rsidR="004E24F1">
          <w:rPr>
            <w:webHidden/>
          </w:rPr>
          <w:tab/>
        </w:r>
        <w:r w:rsidR="004E24F1">
          <w:rPr>
            <w:webHidden/>
          </w:rPr>
          <w:fldChar w:fldCharType="begin"/>
        </w:r>
        <w:r w:rsidR="004E24F1">
          <w:rPr>
            <w:webHidden/>
          </w:rPr>
          <w:instrText xml:space="preserve"> PAGEREF _Toc81315330 \h </w:instrText>
        </w:r>
        <w:r w:rsidR="004E24F1">
          <w:rPr>
            <w:webHidden/>
          </w:rPr>
        </w:r>
        <w:r w:rsidR="004E24F1">
          <w:rPr>
            <w:webHidden/>
          </w:rPr>
          <w:fldChar w:fldCharType="separate"/>
        </w:r>
        <w:r w:rsidR="00606DA8">
          <w:rPr>
            <w:webHidden/>
          </w:rPr>
          <w:t>68</w:t>
        </w:r>
        <w:r w:rsidR="004E24F1">
          <w:rPr>
            <w:webHidden/>
          </w:rPr>
          <w:fldChar w:fldCharType="end"/>
        </w:r>
      </w:hyperlink>
    </w:p>
    <w:p w14:paraId="5A7919C3" w14:textId="34539B5B" w:rsidR="004E24F1" w:rsidRDefault="006C463E">
      <w:pPr>
        <w:pStyle w:val="TOC1"/>
        <w:rPr>
          <w:rFonts w:asciiTheme="minorHAnsi" w:eastAsiaTheme="minorEastAsia" w:hAnsiTheme="minorHAnsi" w:cstheme="minorBidi"/>
          <w:b w:val="0"/>
          <w:bCs w:val="0"/>
          <w:caps w:val="0"/>
          <w:lang w:val="en-AU" w:eastAsia="en-AU"/>
        </w:rPr>
      </w:pPr>
      <w:hyperlink w:anchor="_Toc81315331" w:history="1">
        <w:r w:rsidR="004E24F1" w:rsidRPr="004B288A">
          <w:rPr>
            <w:rStyle w:val="Hyperlink"/>
          </w:rPr>
          <w:t>Comparative workforce data</w:t>
        </w:r>
        <w:r w:rsidR="004E24F1">
          <w:rPr>
            <w:webHidden/>
          </w:rPr>
          <w:tab/>
        </w:r>
        <w:r w:rsidR="004E24F1">
          <w:rPr>
            <w:webHidden/>
          </w:rPr>
          <w:fldChar w:fldCharType="begin"/>
        </w:r>
        <w:r w:rsidR="004E24F1">
          <w:rPr>
            <w:webHidden/>
          </w:rPr>
          <w:instrText xml:space="preserve"> PAGEREF _Toc81315331 \h </w:instrText>
        </w:r>
        <w:r w:rsidR="004E24F1">
          <w:rPr>
            <w:webHidden/>
          </w:rPr>
        </w:r>
        <w:r w:rsidR="004E24F1">
          <w:rPr>
            <w:webHidden/>
          </w:rPr>
          <w:fldChar w:fldCharType="separate"/>
        </w:r>
        <w:r w:rsidR="00606DA8">
          <w:rPr>
            <w:webHidden/>
          </w:rPr>
          <w:t>76</w:t>
        </w:r>
        <w:r w:rsidR="004E24F1">
          <w:rPr>
            <w:webHidden/>
          </w:rPr>
          <w:fldChar w:fldCharType="end"/>
        </w:r>
      </w:hyperlink>
    </w:p>
    <w:p w14:paraId="72DE286D" w14:textId="600C6DE2" w:rsidR="004E24F1" w:rsidRDefault="006C463E">
      <w:pPr>
        <w:pStyle w:val="TOC1"/>
        <w:rPr>
          <w:rFonts w:asciiTheme="minorHAnsi" w:eastAsiaTheme="minorEastAsia" w:hAnsiTheme="minorHAnsi" w:cstheme="minorBidi"/>
          <w:b w:val="0"/>
          <w:bCs w:val="0"/>
          <w:caps w:val="0"/>
          <w:lang w:val="en-AU" w:eastAsia="en-AU"/>
        </w:rPr>
      </w:pPr>
      <w:hyperlink w:anchor="_Toc81315332" w:history="1">
        <w:r w:rsidR="004E24F1" w:rsidRPr="004B288A">
          <w:rPr>
            <w:rStyle w:val="Hyperlink"/>
          </w:rPr>
          <w:t>Workforce inclusion</w:t>
        </w:r>
        <w:r w:rsidR="004E24F1">
          <w:rPr>
            <w:webHidden/>
          </w:rPr>
          <w:tab/>
        </w:r>
        <w:r w:rsidR="004E24F1">
          <w:rPr>
            <w:webHidden/>
          </w:rPr>
          <w:fldChar w:fldCharType="begin"/>
        </w:r>
        <w:r w:rsidR="004E24F1">
          <w:rPr>
            <w:webHidden/>
          </w:rPr>
          <w:instrText xml:space="preserve"> PAGEREF _Toc81315332 \h </w:instrText>
        </w:r>
        <w:r w:rsidR="004E24F1">
          <w:rPr>
            <w:webHidden/>
          </w:rPr>
        </w:r>
        <w:r w:rsidR="004E24F1">
          <w:rPr>
            <w:webHidden/>
          </w:rPr>
          <w:fldChar w:fldCharType="separate"/>
        </w:r>
        <w:r w:rsidR="00606DA8">
          <w:rPr>
            <w:webHidden/>
          </w:rPr>
          <w:t>80</w:t>
        </w:r>
        <w:r w:rsidR="004E24F1">
          <w:rPr>
            <w:webHidden/>
          </w:rPr>
          <w:fldChar w:fldCharType="end"/>
        </w:r>
      </w:hyperlink>
    </w:p>
    <w:p w14:paraId="4FC1CE97" w14:textId="229BF340" w:rsidR="004E24F1" w:rsidRDefault="006C463E">
      <w:pPr>
        <w:pStyle w:val="TOC1"/>
        <w:rPr>
          <w:rFonts w:asciiTheme="minorHAnsi" w:eastAsiaTheme="minorEastAsia" w:hAnsiTheme="minorHAnsi" w:cstheme="minorBidi"/>
          <w:b w:val="0"/>
          <w:bCs w:val="0"/>
          <w:caps w:val="0"/>
          <w:lang w:val="en-AU" w:eastAsia="en-AU"/>
        </w:rPr>
      </w:pPr>
      <w:hyperlink w:anchor="_Toc81315333" w:history="1">
        <w:r w:rsidR="004E24F1" w:rsidRPr="004B288A">
          <w:rPr>
            <w:rStyle w:val="Hyperlink"/>
          </w:rPr>
          <w:t>Industrial relations</w:t>
        </w:r>
        <w:r w:rsidR="004E24F1">
          <w:rPr>
            <w:webHidden/>
          </w:rPr>
          <w:tab/>
        </w:r>
        <w:r w:rsidR="004E24F1">
          <w:rPr>
            <w:webHidden/>
          </w:rPr>
          <w:fldChar w:fldCharType="begin"/>
        </w:r>
        <w:r w:rsidR="004E24F1">
          <w:rPr>
            <w:webHidden/>
          </w:rPr>
          <w:instrText xml:space="preserve"> PAGEREF _Toc81315333 \h </w:instrText>
        </w:r>
        <w:r w:rsidR="004E24F1">
          <w:rPr>
            <w:webHidden/>
          </w:rPr>
        </w:r>
        <w:r w:rsidR="004E24F1">
          <w:rPr>
            <w:webHidden/>
          </w:rPr>
          <w:fldChar w:fldCharType="separate"/>
        </w:r>
        <w:r w:rsidR="00606DA8">
          <w:rPr>
            <w:webHidden/>
          </w:rPr>
          <w:t>81</w:t>
        </w:r>
        <w:r w:rsidR="004E24F1">
          <w:rPr>
            <w:webHidden/>
          </w:rPr>
          <w:fldChar w:fldCharType="end"/>
        </w:r>
      </w:hyperlink>
    </w:p>
    <w:p w14:paraId="591F4D65" w14:textId="5D533993" w:rsidR="004E24F1" w:rsidRDefault="006C463E">
      <w:pPr>
        <w:pStyle w:val="TOC1"/>
        <w:rPr>
          <w:rFonts w:asciiTheme="minorHAnsi" w:eastAsiaTheme="minorEastAsia" w:hAnsiTheme="minorHAnsi" w:cstheme="minorBidi"/>
          <w:b w:val="0"/>
          <w:bCs w:val="0"/>
          <w:caps w:val="0"/>
          <w:lang w:val="en-AU" w:eastAsia="en-AU"/>
        </w:rPr>
      </w:pPr>
      <w:hyperlink w:anchor="_Toc81315334" w:history="1">
        <w:r w:rsidR="004E24F1" w:rsidRPr="004B288A">
          <w:rPr>
            <w:rStyle w:val="Hyperlink"/>
          </w:rPr>
          <w:t>Executive officer data</w:t>
        </w:r>
        <w:r w:rsidR="004E24F1">
          <w:rPr>
            <w:webHidden/>
          </w:rPr>
          <w:tab/>
        </w:r>
        <w:r w:rsidR="004E24F1">
          <w:rPr>
            <w:webHidden/>
          </w:rPr>
          <w:fldChar w:fldCharType="begin"/>
        </w:r>
        <w:r w:rsidR="004E24F1">
          <w:rPr>
            <w:webHidden/>
          </w:rPr>
          <w:instrText xml:space="preserve"> PAGEREF _Toc81315334 \h </w:instrText>
        </w:r>
        <w:r w:rsidR="004E24F1">
          <w:rPr>
            <w:webHidden/>
          </w:rPr>
        </w:r>
        <w:r w:rsidR="004E24F1">
          <w:rPr>
            <w:webHidden/>
          </w:rPr>
          <w:fldChar w:fldCharType="separate"/>
        </w:r>
        <w:r w:rsidR="00606DA8">
          <w:rPr>
            <w:webHidden/>
          </w:rPr>
          <w:t>81</w:t>
        </w:r>
        <w:r w:rsidR="004E24F1">
          <w:rPr>
            <w:webHidden/>
          </w:rPr>
          <w:fldChar w:fldCharType="end"/>
        </w:r>
      </w:hyperlink>
    </w:p>
    <w:p w14:paraId="20E91407" w14:textId="444312CC" w:rsidR="004E24F1" w:rsidRDefault="006C463E">
      <w:pPr>
        <w:pStyle w:val="TOC1"/>
        <w:rPr>
          <w:rFonts w:asciiTheme="minorHAnsi" w:eastAsiaTheme="minorEastAsia" w:hAnsiTheme="minorHAnsi" w:cstheme="minorBidi"/>
          <w:b w:val="0"/>
          <w:bCs w:val="0"/>
          <w:caps w:val="0"/>
          <w:lang w:val="en-AU" w:eastAsia="en-AU"/>
        </w:rPr>
      </w:pPr>
      <w:hyperlink w:anchor="_Toc81315335" w:history="1">
        <w:r w:rsidR="004E24F1" w:rsidRPr="004B288A">
          <w:rPr>
            <w:rStyle w:val="Hyperlink"/>
          </w:rPr>
          <w:t>Pecuniary interests</w:t>
        </w:r>
        <w:r w:rsidR="004E24F1">
          <w:rPr>
            <w:webHidden/>
          </w:rPr>
          <w:tab/>
        </w:r>
        <w:r w:rsidR="004E24F1">
          <w:rPr>
            <w:webHidden/>
          </w:rPr>
          <w:fldChar w:fldCharType="begin"/>
        </w:r>
        <w:r w:rsidR="004E24F1">
          <w:rPr>
            <w:webHidden/>
          </w:rPr>
          <w:instrText xml:space="preserve"> PAGEREF _Toc81315335 \h </w:instrText>
        </w:r>
        <w:r w:rsidR="004E24F1">
          <w:rPr>
            <w:webHidden/>
          </w:rPr>
        </w:r>
        <w:r w:rsidR="004E24F1">
          <w:rPr>
            <w:webHidden/>
          </w:rPr>
          <w:fldChar w:fldCharType="separate"/>
        </w:r>
        <w:r w:rsidR="00606DA8">
          <w:rPr>
            <w:webHidden/>
          </w:rPr>
          <w:t>84</w:t>
        </w:r>
        <w:r w:rsidR="004E24F1">
          <w:rPr>
            <w:webHidden/>
          </w:rPr>
          <w:fldChar w:fldCharType="end"/>
        </w:r>
      </w:hyperlink>
    </w:p>
    <w:p w14:paraId="28B21F72" w14:textId="29B350CC" w:rsidR="004E24F1" w:rsidRDefault="006C463E">
      <w:pPr>
        <w:pStyle w:val="TOC1"/>
        <w:rPr>
          <w:rFonts w:asciiTheme="minorHAnsi" w:eastAsiaTheme="minorEastAsia" w:hAnsiTheme="minorHAnsi" w:cstheme="minorBidi"/>
          <w:b w:val="0"/>
          <w:bCs w:val="0"/>
          <w:caps w:val="0"/>
          <w:lang w:val="en-AU" w:eastAsia="en-AU"/>
        </w:rPr>
      </w:pPr>
      <w:hyperlink w:anchor="_Toc81315336" w:history="1">
        <w:r w:rsidR="004E24F1" w:rsidRPr="004B288A">
          <w:rPr>
            <w:rStyle w:val="Hyperlink"/>
          </w:rPr>
          <w:t>Shares held by senior officers</w:t>
        </w:r>
        <w:r w:rsidR="004E24F1">
          <w:rPr>
            <w:webHidden/>
          </w:rPr>
          <w:tab/>
        </w:r>
        <w:r w:rsidR="004E24F1">
          <w:rPr>
            <w:webHidden/>
          </w:rPr>
          <w:fldChar w:fldCharType="begin"/>
        </w:r>
        <w:r w:rsidR="004E24F1">
          <w:rPr>
            <w:webHidden/>
          </w:rPr>
          <w:instrText xml:space="preserve"> PAGEREF _Toc81315336 \h </w:instrText>
        </w:r>
        <w:r w:rsidR="004E24F1">
          <w:rPr>
            <w:webHidden/>
          </w:rPr>
        </w:r>
        <w:r w:rsidR="004E24F1">
          <w:rPr>
            <w:webHidden/>
          </w:rPr>
          <w:fldChar w:fldCharType="separate"/>
        </w:r>
        <w:r w:rsidR="00606DA8">
          <w:rPr>
            <w:webHidden/>
          </w:rPr>
          <w:t>84</w:t>
        </w:r>
        <w:r w:rsidR="004E24F1">
          <w:rPr>
            <w:webHidden/>
          </w:rPr>
          <w:fldChar w:fldCharType="end"/>
        </w:r>
      </w:hyperlink>
    </w:p>
    <w:p w14:paraId="546D1627" w14:textId="61C61022" w:rsidR="004E24F1" w:rsidRDefault="006C463E">
      <w:pPr>
        <w:pStyle w:val="TOC1"/>
        <w:rPr>
          <w:rFonts w:asciiTheme="minorHAnsi" w:eastAsiaTheme="minorEastAsia" w:hAnsiTheme="minorHAnsi" w:cstheme="minorBidi"/>
          <w:b w:val="0"/>
          <w:bCs w:val="0"/>
          <w:caps w:val="0"/>
          <w:lang w:val="en-AU" w:eastAsia="en-AU"/>
        </w:rPr>
      </w:pPr>
      <w:hyperlink w:anchor="_Toc81315337" w:history="1">
        <w:r w:rsidR="004E24F1" w:rsidRPr="004B288A">
          <w:rPr>
            <w:rStyle w:val="Hyperlink"/>
          </w:rPr>
          <w:t>Other disclosures</w:t>
        </w:r>
        <w:r w:rsidR="004E24F1">
          <w:rPr>
            <w:webHidden/>
          </w:rPr>
          <w:tab/>
        </w:r>
        <w:r w:rsidR="004E24F1">
          <w:rPr>
            <w:webHidden/>
          </w:rPr>
          <w:fldChar w:fldCharType="begin"/>
        </w:r>
        <w:r w:rsidR="004E24F1">
          <w:rPr>
            <w:webHidden/>
          </w:rPr>
          <w:instrText xml:space="preserve"> PAGEREF _Toc81315337 \h </w:instrText>
        </w:r>
        <w:r w:rsidR="004E24F1">
          <w:rPr>
            <w:webHidden/>
          </w:rPr>
        </w:r>
        <w:r w:rsidR="004E24F1">
          <w:rPr>
            <w:webHidden/>
          </w:rPr>
          <w:fldChar w:fldCharType="separate"/>
        </w:r>
        <w:r w:rsidR="00606DA8">
          <w:rPr>
            <w:webHidden/>
          </w:rPr>
          <w:t>85</w:t>
        </w:r>
        <w:r w:rsidR="004E24F1">
          <w:rPr>
            <w:webHidden/>
          </w:rPr>
          <w:fldChar w:fldCharType="end"/>
        </w:r>
      </w:hyperlink>
    </w:p>
    <w:p w14:paraId="77F7C9C7" w14:textId="4319D1A9" w:rsidR="004E24F1" w:rsidRDefault="006C463E">
      <w:pPr>
        <w:pStyle w:val="TOC1"/>
        <w:rPr>
          <w:rFonts w:asciiTheme="minorHAnsi" w:eastAsiaTheme="minorEastAsia" w:hAnsiTheme="minorHAnsi" w:cstheme="minorBidi"/>
          <w:b w:val="0"/>
          <w:bCs w:val="0"/>
          <w:caps w:val="0"/>
          <w:lang w:val="en-AU" w:eastAsia="en-AU"/>
        </w:rPr>
      </w:pPr>
      <w:hyperlink w:anchor="_Toc81315338" w:history="1">
        <w:r w:rsidR="004E24F1" w:rsidRPr="004B288A">
          <w:rPr>
            <w:rStyle w:val="Hyperlink"/>
          </w:rPr>
          <w:t>Victoria’s Social Procurement Framework</w:t>
        </w:r>
        <w:r w:rsidR="004E24F1">
          <w:rPr>
            <w:webHidden/>
          </w:rPr>
          <w:tab/>
        </w:r>
        <w:r w:rsidR="004E24F1">
          <w:rPr>
            <w:webHidden/>
          </w:rPr>
          <w:fldChar w:fldCharType="begin"/>
        </w:r>
        <w:r w:rsidR="004E24F1">
          <w:rPr>
            <w:webHidden/>
          </w:rPr>
          <w:instrText xml:space="preserve"> PAGEREF _Toc81315338 \h </w:instrText>
        </w:r>
        <w:r w:rsidR="004E24F1">
          <w:rPr>
            <w:webHidden/>
          </w:rPr>
        </w:r>
        <w:r w:rsidR="004E24F1">
          <w:rPr>
            <w:webHidden/>
          </w:rPr>
          <w:fldChar w:fldCharType="separate"/>
        </w:r>
        <w:r w:rsidR="00606DA8">
          <w:rPr>
            <w:webHidden/>
          </w:rPr>
          <w:t>85</w:t>
        </w:r>
        <w:r w:rsidR="004E24F1">
          <w:rPr>
            <w:webHidden/>
          </w:rPr>
          <w:fldChar w:fldCharType="end"/>
        </w:r>
      </w:hyperlink>
    </w:p>
    <w:p w14:paraId="7804E1E8" w14:textId="350C516B" w:rsidR="004E24F1" w:rsidRDefault="006C463E">
      <w:pPr>
        <w:pStyle w:val="TOC1"/>
        <w:rPr>
          <w:rFonts w:asciiTheme="minorHAnsi" w:eastAsiaTheme="minorEastAsia" w:hAnsiTheme="minorHAnsi" w:cstheme="minorBidi"/>
          <w:b w:val="0"/>
          <w:bCs w:val="0"/>
          <w:caps w:val="0"/>
          <w:lang w:val="en-AU" w:eastAsia="en-AU"/>
        </w:rPr>
      </w:pPr>
      <w:hyperlink w:anchor="_Toc81315339" w:history="1">
        <w:r w:rsidR="004E24F1" w:rsidRPr="004B288A">
          <w:rPr>
            <w:rStyle w:val="Hyperlink"/>
          </w:rPr>
          <w:t>Local Jobs First</w:t>
        </w:r>
        <w:r w:rsidR="004E24F1">
          <w:rPr>
            <w:webHidden/>
          </w:rPr>
          <w:tab/>
        </w:r>
        <w:r w:rsidR="004E24F1">
          <w:rPr>
            <w:webHidden/>
          </w:rPr>
          <w:fldChar w:fldCharType="begin"/>
        </w:r>
        <w:r w:rsidR="004E24F1">
          <w:rPr>
            <w:webHidden/>
          </w:rPr>
          <w:instrText xml:space="preserve"> PAGEREF _Toc81315339 \h </w:instrText>
        </w:r>
        <w:r w:rsidR="004E24F1">
          <w:rPr>
            <w:webHidden/>
          </w:rPr>
        </w:r>
        <w:r w:rsidR="004E24F1">
          <w:rPr>
            <w:webHidden/>
          </w:rPr>
          <w:fldChar w:fldCharType="separate"/>
        </w:r>
        <w:r w:rsidR="00606DA8">
          <w:rPr>
            <w:webHidden/>
          </w:rPr>
          <w:t>86</w:t>
        </w:r>
        <w:r w:rsidR="004E24F1">
          <w:rPr>
            <w:webHidden/>
          </w:rPr>
          <w:fldChar w:fldCharType="end"/>
        </w:r>
      </w:hyperlink>
    </w:p>
    <w:p w14:paraId="6E5B82FB" w14:textId="64DF88E9" w:rsidR="004E24F1" w:rsidRDefault="006C463E">
      <w:pPr>
        <w:pStyle w:val="TOC1"/>
        <w:rPr>
          <w:rFonts w:asciiTheme="minorHAnsi" w:eastAsiaTheme="minorEastAsia" w:hAnsiTheme="minorHAnsi" w:cstheme="minorBidi"/>
          <w:b w:val="0"/>
          <w:bCs w:val="0"/>
          <w:caps w:val="0"/>
          <w:lang w:val="en-AU" w:eastAsia="en-AU"/>
        </w:rPr>
      </w:pPr>
      <w:hyperlink w:anchor="_Toc81315340" w:history="1">
        <w:r w:rsidR="004E24F1" w:rsidRPr="004B288A">
          <w:rPr>
            <w:rStyle w:val="Hyperlink"/>
          </w:rPr>
          <w:t>Government advertising expenditure</w:t>
        </w:r>
        <w:r w:rsidR="004E24F1">
          <w:rPr>
            <w:webHidden/>
          </w:rPr>
          <w:tab/>
        </w:r>
        <w:r w:rsidR="004E24F1">
          <w:rPr>
            <w:webHidden/>
          </w:rPr>
          <w:fldChar w:fldCharType="begin"/>
        </w:r>
        <w:r w:rsidR="004E24F1">
          <w:rPr>
            <w:webHidden/>
          </w:rPr>
          <w:instrText xml:space="preserve"> PAGEREF _Toc81315340 \h </w:instrText>
        </w:r>
        <w:r w:rsidR="004E24F1">
          <w:rPr>
            <w:webHidden/>
          </w:rPr>
        </w:r>
        <w:r w:rsidR="004E24F1">
          <w:rPr>
            <w:webHidden/>
          </w:rPr>
          <w:fldChar w:fldCharType="separate"/>
        </w:r>
        <w:r w:rsidR="00606DA8">
          <w:rPr>
            <w:webHidden/>
          </w:rPr>
          <w:t>88</w:t>
        </w:r>
        <w:r w:rsidR="004E24F1">
          <w:rPr>
            <w:webHidden/>
          </w:rPr>
          <w:fldChar w:fldCharType="end"/>
        </w:r>
      </w:hyperlink>
    </w:p>
    <w:p w14:paraId="47BCC135" w14:textId="6BA6ADD6" w:rsidR="004E24F1" w:rsidRDefault="006C463E">
      <w:pPr>
        <w:pStyle w:val="TOC1"/>
        <w:rPr>
          <w:rFonts w:asciiTheme="minorHAnsi" w:eastAsiaTheme="minorEastAsia" w:hAnsiTheme="minorHAnsi" w:cstheme="minorBidi"/>
          <w:b w:val="0"/>
          <w:bCs w:val="0"/>
          <w:caps w:val="0"/>
          <w:lang w:val="en-AU" w:eastAsia="en-AU"/>
        </w:rPr>
      </w:pPr>
      <w:hyperlink w:anchor="_Toc81315341" w:history="1">
        <w:r w:rsidR="004E24F1" w:rsidRPr="004B288A">
          <w:rPr>
            <w:rStyle w:val="Hyperlink"/>
          </w:rPr>
          <w:t>Consultancy expenditure</w:t>
        </w:r>
        <w:r w:rsidR="004E24F1">
          <w:rPr>
            <w:webHidden/>
          </w:rPr>
          <w:tab/>
        </w:r>
        <w:r w:rsidR="004E24F1">
          <w:rPr>
            <w:webHidden/>
          </w:rPr>
          <w:fldChar w:fldCharType="begin"/>
        </w:r>
        <w:r w:rsidR="004E24F1">
          <w:rPr>
            <w:webHidden/>
          </w:rPr>
          <w:instrText xml:space="preserve"> PAGEREF _Toc81315341 \h </w:instrText>
        </w:r>
        <w:r w:rsidR="004E24F1">
          <w:rPr>
            <w:webHidden/>
          </w:rPr>
        </w:r>
        <w:r w:rsidR="004E24F1">
          <w:rPr>
            <w:webHidden/>
          </w:rPr>
          <w:fldChar w:fldCharType="separate"/>
        </w:r>
        <w:r w:rsidR="00606DA8">
          <w:rPr>
            <w:webHidden/>
          </w:rPr>
          <w:t>91</w:t>
        </w:r>
        <w:r w:rsidR="004E24F1">
          <w:rPr>
            <w:webHidden/>
          </w:rPr>
          <w:fldChar w:fldCharType="end"/>
        </w:r>
      </w:hyperlink>
    </w:p>
    <w:p w14:paraId="2F4CE8FE" w14:textId="5D769E7B" w:rsidR="004E24F1" w:rsidRDefault="006C463E">
      <w:pPr>
        <w:pStyle w:val="TOC1"/>
        <w:rPr>
          <w:rFonts w:asciiTheme="minorHAnsi" w:eastAsiaTheme="minorEastAsia" w:hAnsiTheme="minorHAnsi" w:cstheme="minorBidi"/>
          <w:b w:val="0"/>
          <w:bCs w:val="0"/>
          <w:caps w:val="0"/>
          <w:lang w:val="en-AU" w:eastAsia="en-AU"/>
        </w:rPr>
      </w:pPr>
      <w:hyperlink w:anchor="_Toc81315342" w:history="1">
        <w:r w:rsidR="004E24F1" w:rsidRPr="004B288A">
          <w:rPr>
            <w:rStyle w:val="Hyperlink"/>
            <w:lang w:val="en-AU" w:eastAsia="en-AU"/>
          </w:rPr>
          <w:t>Information and communication technology expenditure</w:t>
        </w:r>
        <w:r w:rsidR="004E24F1">
          <w:rPr>
            <w:webHidden/>
          </w:rPr>
          <w:tab/>
        </w:r>
        <w:r w:rsidR="004E24F1">
          <w:rPr>
            <w:webHidden/>
          </w:rPr>
          <w:fldChar w:fldCharType="begin"/>
        </w:r>
        <w:r w:rsidR="004E24F1">
          <w:rPr>
            <w:webHidden/>
          </w:rPr>
          <w:instrText xml:space="preserve"> PAGEREF _Toc81315342 \h </w:instrText>
        </w:r>
        <w:r w:rsidR="004E24F1">
          <w:rPr>
            <w:webHidden/>
          </w:rPr>
        </w:r>
        <w:r w:rsidR="004E24F1">
          <w:rPr>
            <w:webHidden/>
          </w:rPr>
          <w:fldChar w:fldCharType="separate"/>
        </w:r>
        <w:r w:rsidR="00606DA8">
          <w:rPr>
            <w:webHidden/>
          </w:rPr>
          <w:t>91</w:t>
        </w:r>
        <w:r w:rsidR="004E24F1">
          <w:rPr>
            <w:webHidden/>
          </w:rPr>
          <w:fldChar w:fldCharType="end"/>
        </w:r>
      </w:hyperlink>
    </w:p>
    <w:p w14:paraId="349330D7" w14:textId="41B56BE5" w:rsidR="004E24F1" w:rsidRDefault="006C463E">
      <w:pPr>
        <w:pStyle w:val="TOC1"/>
        <w:rPr>
          <w:rFonts w:asciiTheme="minorHAnsi" w:eastAsiaTheme="minorEastAsia" w:hAnsiTheme="minorHAnsi" w:cstheme="minorBidi"/>
          <w:b w:val="0"/>
          <w:bCs w:val="0"/>
          <w:caps w:val="0"/>
          <w:lang w:val="en-AU" w:eastAsia="en-AU"/>
        </w:rPr>
      </w:pPr>
      <w:hyperlink w:anchor="_Toc81315343" w:history="1">
        <w:r w:rsidR="004E24F1" w:rsidRPr="004B288A">
          <w:rPr>
            <w:rStyle w:val="Hyperlink"/>
            <w:lang w:val="en-AU" w:eastAsia="en-AU"/>
          </w:rPr>
          <w:t>Disclosure of major contracts</w:t>
        </w:r>
        <w:r w:rsidR="004E24F1">
          <w:rPr>
            <w:webHidden/>
          </w:rPr>
          <w:tab/>
        </w:r>
        <w:r w:rsidR="004E24F1">
          <w:rPr>
            <w:webHidden/>
          </w:rPr>
          <w:fldChar w:fldCharType="begin"/>
        </w:r>
        <w:r w:rsidR="004E24F1">
          <w:rPr>
            <w:webHidden/>
          </w:rPr>
          <w:instrText xml:space="preserve"> PAGEREF _Toc81315343 \h </w:instrText>
        </w:r>
        <w:r w:rsidR="004E24F1">
          <w:rPr>
            <w:webHidden/>
          </w:rPr>
        </w:r>
        <w:r w:rsidR="004E24F1">
          <w:rPr>
            <w:webHidden/>
          </w:rPr>
          <w:fldChar w:fldCharType="separate"/>
        </w:r>
        <w:r w:rsidR="00606DA8">
          <w:rPr>
            <w:webHidden/>
          </w:rPr>
          <w:t>91</w:t>
        </w:r>
        <w:r w:rsidR="004E24F1">
          <w:rPr>
            <w:webHidden/>
          </w:rPr>
          <w:fldChar w:fldCharType="end"/>
        </w:r>
      </w:hyperlink>
    </w:p>
    <w:p w14:paraId="0DC57669" w14:textId="76D67117" w:rsidR="004E24F1" w:rsidRDefault="006C463E">
      <w:pPr>
        <w:pStyle w:val="TOC1"/>
        <w:rPr>
          <w:rFonts w:asciiTheme="minorHAnsi" w:eastAsiaTheme="minorEastAsia" w:hAnsiTheme="minorHAnsi" w:cstheme="minorBidi"/>
          <w:b w:val="0"/>
          <w:bCs w:val="0"/>
          <w:caps w:val="0"/>
          <w:lang w:val="en-AU" w:eastAsia="en-AU"/>
        </w:rPr>
      </w:pPr>
      <w:hyperlink w:anchor="_Toc81315344" w:history="1">
        <w:r w:rsidR="004E24F1" w:rsidRPr="004B288A">
          <w:rPr>
            <w:rStyle w:val="Hyperlink"/>
            <w:lang w:val="en-AU" w:eastAsia="en-AU"/>
          </w:rPr>
          <w:t>Freedom of information (FOI)</w:t>
        </w:r>
        <w:r w:rsidR="004E24F1">
          <w:rPr>
            <w:webHidden/>
          </w:rPr>
          <w:tab/>
        </w:r>
        <w:r w:rsidR="004E24F1">
          <w:rPr>
            <w:webHidden/>
          </w:rPr>
          <w:fldChar w:fldCharType="begin"/>
        </w:r>
        <w:r w:rsidR="004E24F1">
          <w:rPr>
            <w:webHidden/>
          </w:rPr>
          <w:instrText xml:space="preserve"> PAGEREF _Toc81315344 \h </w:instrText>
        </w:r>
        <w:r w:rsidR="004E24F1">
          <w:rPr>
            <w:webHidden/>
          </w:rPr>
        </w:r>
        <w:r w:rsidR="004E24F1">
          <w:rPr>
            <w:webHidden/>
          </w:rPr>
          <w:fldChar w:fldCharType="separate"/>
        </w:r>
        <w:r w:rsidR="00606DA8">
          <w:rPr>
            <w:webHidden/>
          </w:rPr>
          <w:t>92</w:t>
        </w:r>
        <w:r w:rsidR="004E24F1">
          <w:rPr>
            <w:webHidden/>
          </w:rPr>
          <w:fldChar w:fldCharType="end"/>
        </w:r>
      </w:hyperlink>
    </w:p>
    <w:p w14:paraId="6B5C4680" w14:textId="2D56B5C8" w:rsidR="004E24F1" w:rsidRDefault="006C463E">
      <w:pPr>
        <w:pStyle w:val="TOC1"/>
        <w:rPr>
          <w:rFonts w:asciiTheme="minorHAnsi" w:eastAsiaTheme="minorEastAsia" w:hAnsiTheme="minorHAnsi" w:cstheme="minorBidi"/>
          <w:b w:val="0"/>
          <w:bCs w:val="0"/>
          <w:caps w:val="0"/>
          <w:lang w:val="en-AU" w:eastAsia="en-AU"/>
        </w:rPr>
      </w:pPr>
      <w:hyperlink w:anchor="_Toc81315345" w:history="1">
        <w:r w:rsidR="004E24F1" w:rsidRPr="004B288A">
          <w:rPr>
            <w:rStyle w:val="Hyperlink"/>
          </w:rPr>
          <w:t>Compliance with DataVic Access Policy</w:t>
        </w:r>
        <w:r w:rsidR="004E24F1">
          <w:rPr>
            <w:webHidden/>
          </w:rPr>
          <w:tab/>
        </w:r>
        <w:r w:rsidR="004E24F1">
          <w:rPr>
            <w:webHidden/>
          </w:rPr>
          <w:fldChar w:fldCharType="begin"/>
        </w:r>
        <w:r w:rsidR="004E24F1">
          <w:rPr>
            <w:webHidden/>
          </w:rPr>
          <w:instrText xml:space="preserve"> PAGEREF _Toc81315345 \h </w:instrText>
        </w:r>
        <w:r w:rsidR="004E24F1">
          <w:rPr>
            <w:webHidden/>
          </w:rPr>
        </w:r>
        <w:r w:rsidR="004E24F1">
          <w:rPr>
            <w:webHidden/>
          </w:rPr>
          <w:fldChar w:fldCharType="separate"/>
        </w:r>
        <w:r w:rsidR="00606DA8">
          <w:rPr>
            <w:webHidden/>
          </w:rPr>
          <w:t>94</w:t>
        </w:r>
        <w:r w:rsidR="004E24F1">
          <w:rPr>
            <w:webHidden/>
          </w:rPr>
          <w:fldChar w:fldCharType="end"/>
        </w:r>
      </w:hyperlink>
    </w:p>
    <w:p w14:paraId="4E098AB8" w14:textId="79D882BB" w:rsidR="004E24F1" w:rsidRDefault="006C463E">
      <w:pPr>
        <w:pStyle w:val="TOC1"/>
        <w:rPr>
          <w:rFonts w:asciiTheme="minorHAnsi" w:eastAsiaTheme="minorEastAsia" w:hAnsiTheme="minorHAnsi" w:cstheme="minorBidi"/>
          <w:b w:val="0"/>
          <w:bCs w:val="0"/>
          <w:caps w:val="0"/>
          <w:lang w:val="en-AU" w:eastAsia="en-AU"/>
        </w:rPr>
      </w:pPr>
      <w:hyperlink w:anchor="_Toc81315346" w:history="1">
        <w:r w:rsidR="004E24F1" w:rsidRPr="004B288A">
          <w:rPr>
            <w:rStyle w:val="Hyperlink"/>
            <w:lang w:val="en-AU" w:eastAsia="en-AU"/>
          </w:rPr>
          <w:t>Compliance with the Building Act 1993</w:t>
        </w:r>
        <w:r w:rsidR="004E24F1">
          <w:rPr>
            <w:webHidden/>
          </w:rPr>
          <w:tab/>
        </w:r>
        <w:r w:rsidR="004E24F1">
          <w:rPr>
            <w:webHidden/>
          </w:rPr>
          <w:fldChar w:fldCharType="begin"/>
        </w:r>
        <w:r w:rsidR="004E24F1">
          <w:rPr>
            <w:webHidden/>
          </w:rPr>
          <w:instrText xml:space="preserve"> PAGEREF _Toc81315346 \h </w:instrText>
        </w:r>
        <w:r w:rsidR="004E24F1">
          <w:rPr>
            <w:webHidden/>
          </w:rPr>
        </w:r>
        <w:r w:rsidR="004E24F1">
          <w:rPr>
            <w:webHidden/>
          </w:rPr>
          <w:fldChar w:fldCharType="separate"/>
        </w:r>
        <w:r w:rsidR="00606DA8">
          <w:rPr>
            <w:webHidden/>
          </w:rPr>
          <w:t>94</w:t>
        </w:r>
        <w:r w:rsidR="004E24F1">
          <w:rPr>
            <w:webHidden/>
          </w:rPr>
          <w:fldChar w:fldCharType="end"/>
        </w:r>
      </w:hyperlink>
    </w:p>
    <w:p w14:paraId="5F1B962D" w14:textId="7A4838D9" w:rsidR="004E24F1" w:rsidRDefault="006C463E">
      <w:pPr>
        <w:pStyle w:val="TOC1"/>
        <w:rPr>
          <w:rFonts w:asciiTheme="minorHAnsi" w:eastAsiaTheme="minorEastAsia" w:hAnsiTheme="minorHAnsi" w:cstheme="minorBidi"/>
          <w:b w:val="0"/>
          <w:bCs w:val="0"/>
          <w:caps w:val="0"/>
          <w:lang w:val="en-AU" w:eastAsia="en-AU"/>
        </w:rPr>
      </w:pPr>
      <w:hyperlink w:anchor="_Toc81315347" w:history="1">
        <w:r w:rsidR="004E24F1" w:rsidRPr="004B288A">
          <w:rPr>
            <w:rStyle w:val="Hyperlink"/>
            <w:lang w:val="en-AU" w:eastAsia="en-AU"/>
          </w:rPr>
          <w:t>Asset Management Accountability Framework Maturity Assessment</w:t>
        </w:r>
        <w:r w:rsidR="004E24F1">
          <w:rPr>
            <w:webHidden/>
          </w:rPr>
          <w:tab/>
        </w:r>
        <w:r w:rsidR="004E24F1">
          <w:rPr>
            <w:webHidden/>
          </w:rPr>
          <w:fldChar w:fldCharType="begin"/>
        </w:r>
        <w:r w:rsidR="004E24F1">
          <w:rPr>
            <w:webHidden/>
          </w:rPr>
          <w:instrText xml:space="preserve"> PAGEREF _Toc81315347 \h </w:instrText>
        </w:r>
        <w:r w:rsidR="004E24F1">
          <w:rPr>
            <w:webHidden/>
          </w:rPr>
        </w:r>
        <w:r w:rsidR="004E24F1">
          <w:rPr>
            <w:webHidden/>
          </w:rPr>
          <w:fldChar w:fldCharType="separate"/>
        </w:r>
        <w:r w:rsidR="00606DA8">
          <w:rPr>
            <w:webHidden/>
          </w:rPr>
          <w:t>101</w:t>
        </w:r>
        <w:r w:rsidR="004E24F1">
          <w:rPr>
            <w:webHidden/>
          </w:rPr>
          <w:fldChar w:fldCharType="end"/>
        </w:r>
      </w:hyperlink>
    </w:p>
    <w:p w14:paraId="405D1450" w14:textId="6D51DD71" w:rsidR="004E24F1" w:rsidRDefault="006C463E">
      <w:pPr>
        <w:pStyle w:val="TOC1"/>
        <w:rPr>
          <w:rFonts w:asciiTheme="minorHAnsi" w:eastAsiaTheme="minorEastAsia" w:hAnsiTheme="minorHAnsi" w:cstheme="minorBidi"/>
          <w:b w:val="0"/>
          <w:bCs w:val="0"/>
          <w:caps w:val="0"/>
          <w:lang w:val="en-AU" w:eastAsia="en-AU"/>
        </w:rPr>
      </w:pPr>
      <w:hyperlink w:anchor="_Toc81315348" w:history="1">
        <w:r w:rsidR="004E24F1" w:rsidRPr="004B288A">
          <w:rPr>
            <w:rStyle w:val="Hyperlink"/>
          </w:rPr>
          <w:t>Compliance with the Public Interest Disclosures Act 2012</w:t>
        </w:r>
        <w:r w:rsidR="004E24F1">
          <w:rPr>
            <w:webHidden/>
          </w:rPr>
          <w:tab/>
        </w:r>
        <w:r w:rsidR="004E24F1">
          <w:rPr>
            <w:webHidden/>
          </w:rPr>
          <w:fldChar w:fldCharType="begin"/>
        </w:r>
        <w:r w:rsidR="004E24F1">
          <w:rPr>
            <w:webHidden/>
          </w:rPr>
          <w:instrText xml:space="preserve"> PAGEREF _Toc81315348 \h </w:instrText>
        </w:r>
        <w:r w:rsidR="004E24F1">
          <w:rPr>
            <w:webHidden/>
          </w:rPr>
        </w:r>
        <w:r w:rsidR="004E24F1">
          <w:rPr>
            <w:webHidden/>
          </w:rPr>
          <w:fldChar w:fldCharType="separate"/>
        </w:r>
        <w:r w:rsidR="00606DA8">
          <w:rPr>
            <w:webHidden/>
          </w:rPr>
          <w:t>102</w:t>
        </w:r>
        <w:r w:rsidR="004E24F1">
          <w:rPr>
            <w:webHidden/>
          </w:rPr>
          <w:fldChar w:fldCharType="end"/>
        </w:r>
      </w:hyperlink>
    </w:p>
    <w:p w14:paraId="4DE12458" w14:textId="5EDD6D5F" w:rsidR="004E24F1" w:rsidRDefault="006C463E">
      <w:pPr>
        <w:pStyle w:val="TOC1"/>
        <w:rPr>
          <w:rFonts w:asciiTheme="minorHAnsi" w:eastAsiaTheme="minorEastAsia" w:hAnsiTheme="minorHAnsi" w:cstheme="minorBidi"/>
          <w:b w:val="0"/>
          <w:bCs w:val="0"/>
          <w:caps w:val="0"/>
          <w:lang w:val="en-AU" w:eastAsia="en-AU"/>
        </w:rPr>
      </w:pPr>
      <w:hyperlink w:anchor="_Toc81315349" w:history="1">
        <w:r w:rsidR="004E24F1" w:rsidRPr="004B288A">
          <w:rPr>
            <w:rStyle w:val="Hyperlink"/>
          </w:rPr>
          <w:t>Competitive Neutrality Policy</w:t>
        </w:r>
        <w:r w:rsidR="004E24F1">
          <w:rPr>
            <w:webHidden/>
          </w:rPr>
          <w:tab/>
        </w:r>
        <w:r w:rsidR="004E24F1">
          <w:rPr>
            <w:webHidden/>
          </w:rPr>
          <w:fldChar w:fldCharType="begin"/>
        </w:r>
        <w:r w:rsidR="004E24F1">
          <w:rPr>
            <w:webHidden/>
          </w:rPr>
          <w:instrText xml:space="preserve"> PAGEREF _Toc81315349 \h </w:instrText>
        </w:r>
        <w:r w:rsidR="004E24F1">
          <w:rPr>
            <w:webHidden/>
          </w:rPr>
        </w:r>
        <w:r w:rsidR="004E24F1">
          <w:rPr>
            <w:webHidden/>
          </w:rPr>
          <w:fldChar w:fldCharType="separate"/>
        </w:r>
        <w:r w:rsidR="00606DA8">
          <w:rPr>
            <w:webHidden/>
          </w:rPr>
          <w:t>103</w:t>
        </w:r>
        <w:r w:rsidR="004E24F1">
          <w:rPr>
            <w:webHidden/>
          </w:rPr>
          <w:fldChar w:fldCharType="end"/>
        </w:r>
      </w:hyperlink>
    </w:p>
    <w:p w14:paraId="513C114B" w14:textId="2904A214" w:rsidR="004E24F1" w:rsidRDefault="006C463E">
      <w:pPr>
        <w:pStyle w:val="TOC1"/>
        <w:rPr>
          <w:rFonts w:asciiTheme="minorHAnsi" w:eastAsiaTheme="minorEastAsia" w:hAnsiTheme="minorHAnsi" w:cstheme="minorBidi"/>
          <w:b w:val="0"/>
          <w:bCs w:val="0"/>
          <w:caps w:val="0"/>
          <w:lang w:val="en-AU" w:eastAsia="en-AU"/>
        </w:rPr>
      </w:pPr>
      <w:hyperlink w:anchor="_Toc81315350" w:history="1">
        <w:r w:rsidR="004E24F1" w:rsidRPr="004B288A">
          <w:rPr>
            <w:rStyle w:val="Hyperlink"/>
          </w:rPr>
          <w:t>Compliance with the Disability Act 2006</w:t>
        </w:r>
        <w:r w:rsidR="004E24F1">
          <w:rPr>
            <w:webHidden/>
          </w:rPr>
          <w:tab/>
        </w:r>
        <w:r w:rsidR="004E24F1">
          <w:rPr>
            <w:webHidden/>
          </w:rPr>
          <w:fldChar w:fldCharType="begin"/>
        </w:r>
        <w:r w:rsidR="004E24F1">
          <w:rPr>
            <w:webHidden/>
          </w:rPr>
          <w:instrText xml:space="preserve"> PAGEREF _Toc81315350 \h </w:instrText>
        </w:r>
        <w:r w:rsidR="004E24F1">
          <w:rPr>
            <w:webHidden/>
          </w:rPr>
        </w:r>
        <w:r w:rsidR="004E24F1">
          <w:rPr>
            <w:webHidden/>
          </w:rPr>
          <w:fldChar w:fldCharType="separate"/>
        </w:r>
        <w:r w:rsidR="00606DA8">
          <w:rPr>
            <w:webHidden/>
          </w:rPr>
          <w:t>104</w:t>
        </w:r>
        <w:r w:rsidR="004E24F1">
          <w:rPr>
            <w:webHidden/>
          </w:rPr>
          <w:fldChar w:fldCharType="end"/>
        </w:r>
      </w:hyperlink>
    </w:p>
    <w:p w14:paraId="08705579" w14:textId="05C3EA1D" w:rsidR="004E24F1" w:rsidRDefault="006C463E">
      <w:pPr>
        <w:pStyle w:val="TOC1"/>
        <w:rPr>
          <w:rFonts w:asciiTheme="minorHAnsi" w:eastAsiaTheme="minorEastAsia" w:hAnsiTheme="minorHAnsi" w:cstheme="minorBidi"/>
          <w:b w:val="0"/>
          <w:bCs w:val="0"/>
          <w:caps w:val="0"/>
          <w:lang w:val="en-AU" w:eastAsia="en-AU"/>
        </w:rPr>
      </w:pPr>
      <w:hyperlink w:anchor="_Toc81315351" w:history="1">
        <w:r w:rsidR="004E24F1" w:rsidRPr="004B288A">
          <w:rPr>
            <w:rStyle w:val="Hyperlink"/>
          </w:rPr>
          <w:t>Compliance with Carers Recognition Act 2012</w:t>
        </w:r>
        <w:r w:rsidR="004E24F1">
          <w:rPr>
            <w:webHidden/>
          </w:rPr>
          <w:tab/>
        </w:r>
        <w:r w:rsidR="004E24F1">
          <w:rPr>
            <w:webHidden/>
          </w:rPr>
          <w:fldChar w:fldCharType="begin"/>
        </w:r>
        <w:r w:rsidR="004E24F1">
          <w:rPr>
            <w:webHidden/>
          </w:rPr>
          <w:instrText xml:space="preserve"> PAGEREF _Toc81315351 \h </w:instrText>
        </w:r>
        <w:r w:rsidR="004E24F1">
          <w:rPr>
            <w:webHidden/>
          </w:rPr>
        </w:r>
        <w:r w:rsidR="004E24F1">
          <w:rPr>
            <w:webHidden/>
          </w:rPr>
          <w:fldChar w:fldCharType="separate"/>
        </w:r>
        <w:r w:rsidR="00606DA8">
          <w:rPr>
            <w:webHidden/>
          </w:rPr>
          <w:t>105</w:t>
        </w:r>
        <w:r w:rsidR="004E24F1">
          <w:rPr>
            <w:webHidden/>
          </w:rPr>
          <w:fldChar w:fldCharType="end"/>
        </w:r>
      </w:hyperlink>
    </w:p>
    <w:p w14:paraId="588BB3A9" w14:textId="0BDB056B" w:rsidR="004E24F1" w:rsidRDefault="006C463E">
      <w:pPr>
        <w:pStyle w:val="TOC1"/>
        <w:rPr>
          <w:rFonts w:asciiTheme="minorHAnsi" w:eastAsiaTheme="minorEastAsia" w:hAnsiTheme="minorHAnsi" w:cstheme="minorBidi"/>
          <w:b w:val="0"/>
          <w:bCs w:val="0"/>
          <w:caps w:val="0"/>
          <w:lang w:val="en-AU" w:eastAsia="en-AU"/>
        </w:rPr>
      </w:pPr>
      <w:hyperlink w:anchor="_Toc81315352" w:history="1">
        <w:r w:rsidR="004E24F1" w:rsidRPr="004B288A">
          <w:rPr>
            <w:rStyle w:val="Hyperlink"/>
          </w:rPr>
          <w:t>Office-based environmental impacts</w:t>
        </w:r>
        <w:r w:rsidR="004E24F1">
          <w:rPr>
            <w:webHidden/>
          </w:rPr>
          <w:tab/>
        </w:r>
        <w:r w:rsidR="004E24F1">
          <w:rPr>
            <w:webHidden/>
          </w:rPr>
          <w:fldChar w:fldCharType="begin"/>
        </w:r>
        <w:r w:rsidR="004E24F1">
          <w:rPr>
            <w:webHidden/>
          </w:rPr>
          <w:instrText xml:space="preserve"> PAGEREF _Toc81315352 \h </w:instrText>
        </w:r>
        <w:r w:rsidR="004E24F1">
          <w:rPr>
            <w:webHidden/>
          </w:rPr>
        </w:r>
        <w:r w:rsidR="004E24F1">
          <w:rPr>
            <w:webHidden/>
          </w:rPr>
          <w:fldChar w:fldCharType="separate"/>
        </w:r>
        <w:r w:rsidR="00606DA8">
          <w:rPr>
            <w:webHidden/>
          </w:rPr>
          <w:t>105</w:t>
        </w:r>
        <w:r w:rsidR="004E24F1">
          <w:rPr>
            <w:webHidden/>
          </w:rPr>
          <w:fldChar w:fldCharType="end"/>
        </w:r>
      </w:hyperlink>
    </w:p>
    <w:p w14:paraId="027836C9" w14:textId="6CB42DB7" w:rsidR="004E24F1" w:rsidRDefault="006C463E">
      <w:pPr>
        <w:pStyle w:val="TOC1"/>
        <w:rPr>
          <w:rFonts w:asciiTheme="minorHAnsi" w:eastAsiaTheme="minorEastAsia" w:hAnsiTheme="minorHAnsi" w:cstheme="minorBidi"/>
          <w:b w:val="0"/>
          <w:bCs w:val="0"/>
          <w:caps w:val="0"/>
          <w:lang w:val="en-AU" w:eastAsia="en-AU"/>
        </w:rPr>
      </w:pPr>
      <w:hyperlink w:anchor="_Toc81315353" w:history="1">
        <w:r w:rsidR="004E24F1" w:rsidRPr="004B288A">
          <w:rPr>
            <w:rStyle w:val="Hyperlink"/>
          </w:rPr>
          <w:t>Details of changes in prices, fees, charges, rates and levies</w:t>
        </w:r>
        <w:r w:rsidR="004E24F1">
          <w:rPr>
            <w:webHidden/>
          </w:rPr>
          <w:tab/>
        </w:r>
        <w:r w:rsidR="004E24F1">
          <w:rPr>
            <w:webHidden/>
          </w:rPr>
          <w:fldChar w:fldCharType="begin"/>
        </w:r>
        <w:r w:rsidR="004E24F1">
          <w:rPr>
            <w:webHidden/>
          </w:rPr>
          <w:instrText xml:space="preserve"> PAGEREF _Toc81315353 \h </w:instrText>
        </w:r>
        <w:r w:rsidR="004E24F1">
          <w:rPr>
            <w:webHidden/>
          </w:rPr>
        </w:r>
        <w:r w:rsidR="004E24F1">
          <w:rPr>
            <w:webHidden/>
          </w:rPr>
          <w:fldChar w:fldCharType="separate"/>
        </w:r>
        <w:r w:rsidR="00606DA8">
          <w:rPr>
            <w:webHidden/>
          </w:rPr>
          <w:t>115</w:t>
        </w:r>
        <w:r w:rsidR="004E24F1">
          <w:rPr>
            <w:webHidden/>
          </w:rPr>
          <w:fldChar w:fldCharType="end"/>
        </w:r>
      </w:hyperlink>
    </w:p>
    <w:p w14:paraId="58DA6F12" w14:textId="04A44F43" w:rsidR="004E24F1" w:rsidRDefault="006C463E">
      <w:pPr>
        <w:pStyle w:val="TOC1"/>
        <w:rPr>
          <w:rFonts w:asciiTheme="minorHAnsi" w:eastAsiaTheme="minorEastAsia" w:hAnsiTheme="minorHAnsi" w:cstheme="minorBidi"/>
          <w:b w:val="0"/>
          <w:bCs w:val="0"/>
          <w:caps w:val="0"/>
          <w:lang w:val="en-AU" w:eastAsia="en-AU"/>
        </w:rPr>
      </w:pPr>
      <w:hyperlink w:anchor="_Toc81315354" w:history="1">
        <w:r w:rsidR="004E24F1" w:rsidRPr="004B288A">
          <w:rPr>
            <w:rStyle w:val="Hyperlink"/>
          </w:rPr>
          <w:t>Additional information available on request</w:t>
        </w:r>
        <w:r w:rsidR="004E24F1">
          <w:rPr>
            <w:webHidden/>
          </w:rPr>
          <w:tab/>
        </w:r>
        <w:r w:rsidR="004E24F1">
          <w:rPr>
            <w:webHidden/>
          </w:rPr>
          <w:fldChar w:fldCharType="begin"/>
        </w:r>
        <w:r w:rsidR="004E24F1">
          <w:rPr>
            <w:webHidden/>
          </w:rPr>
          <w:instrText xml:space="preserve"> PAGEREF _Toc81315354 \h </w:instrText>
        </w:r>
        <w:r w:rsidR="004E24F1">
          <w:rPr>
            <w:webHidden/>
          </w:rPr>
        </w:r>
        <w:r w:rsidR="004E24F1">
          <w:rPr>
            <w:webHidden/>
          </w:rPr>
          <w:fldChar w:fldCharType="separate"/>
        </w:r>
        <w:r w:rsidR="00606DA8">
          <w:rPr>
            <w:webHidden/>
          </w:rPr>
          <w:t>116</w:t>
        </w:r>
        <w:r w:rsidR="004E24F1">
          <w:rPr>
            <w:webHidden/>
          </w:rPr>
          <w:fldChar w:fldCharType="end"/>
        </w:r>
      </w:hyperlink>
    </w:p>
    <w:p w14:paraId="4EE3EC44" w14:textId="13220E91" w:rsidR="004E24F1" w:rsidRDefault="006C463E">
      <w:pPr>
        <w:pStyle w:val="TOC1"/>
        <w:rPr>
          <w:rFonts w:asciiTheme="minorHAnsi" w:eastAsiaTheme="minorEastAsia" w:hAnsiTheme="minorHAnsi" w:cstheme="minorBidi"/>
          <w:b w:val="0"/>
          <w:bCs w:val="0"/>
          <w:caps w:val="0"/>
          <w:lang w:val="en-AU" w:eastAsia="en-AU"/>
        </w:rPr>
      </w:pPr>
      <w:hyperlink w:anchor="_Toc81315355" w:history="1">
        <w:r w:rsidR="004E24F1" w:rsidRPr="004B288A">
          <w:rPr>
            <w:rStyle w:val="Hyperlink"/>
          </w:rPr>
          <w:t>Attestation for financial management compliance with Ministerial Standing Direction 5.1.4</w:t>
        </w:r>
        <w:r w:rsidR="004E24F1">
          <w:rPr>
            <w:webHidden/>
          </w:rPr>
          <w:tab/>
        </w:r>
        <w:r w:rsidR="004E24F1">
          <w:rPr>
            <w:webHidden/>
          </w:rPr>
          <w:fldChar w:fldCharType="begin"/>
        </w:r>
        <w:r w:rsidR="004E24F1">
          <w:rPr>
            <w:webHidden/>
          </w:rPr>
          <w:instrText xml:space="preserve"> PAGEREF _Toc81315355 \h </w:instrText>
        </w:r>
        <w:r w:rsidR="004E24F1">
          <w:rPr>
            <w:webHidden/>
          </w:rPr>
        </w:r>
        <w:r w:rsidR="004E24F1">
          <w:rPr>
            <w:webHidden/>
          </w:rPr>
          <w:fldChar w:fldCharType="separate"/>
        </w:r>
        <w:r w:rsidR="00606DA8">
          <w:rPr>
            <w:webHidden/>
          </w:rPr>
          <w:t>117</w:t>
        </w:r>
        <w:r w:rsidR="004E24F1">
          <w:rPr>
            <w:webHidden/>
          </w:rPr>
          <w:fldChar w:fldCharType="end"/>
        </w:r>
      </w:hyperlink>
    </w:p>
    <w:p w14:paraId="18EBDEAC" w14:textId="5851E86C" w:rsidR="004E24F1" w:rsidRDefault="006C463E">
      <w:pPr>
        <w:pStyle w:val="TOC1"/>
        <w:rPr>
          <w:rFonts w:asciiTheme="minorHAnsi" w:eastAsiaTheme="minorEastAsia" w:hAnsiTheme="minorHAnsi" w:cstheme="minorBidi"/>
          <w:b w:val="0"/>
          <w:bCs w:val="0"/>
          <w:caps w:val="0"/>
          <w:lang w:val="en-AU" w:eastAsia="en-AU"/>
        </w:rPr>
      </w:pPr>
      <w:hyperlink w:anchor="_Toc81315356" w:history="1">
        <w:r w:rsidR="004E24F1" w:rsidRPr="004B288A">
          <w:rPr>
            <w:rStyle w:val="Hyperlink"/>
          </w:rPr>
          <w:t>Details of publications about the Department</w:t>
        </w:r>
        <w:r w:rsidR="004E24F1">
          <w:rPr>
            <w:webHidden/>
          </w:rPr>
          <w:tab/>
        </w:r>
        <w:r w:rsidR="004E24F1">
          <w:rPr>
            <w:webHidden/>
          </w:rPr>
          <w:fldChar w:fldCharType="begin"/>
        </w:r>
        <w:r w:rsidR="004E24F1">
          <w:rPr>
            <w:webHidden/>
          </w:rPr>
          <w:instrText xml:space="preserve"> PAGEREF _Toc81315356 \h </w:instrText>
        </w:r>
        <w:r w:rsidR="004E24F1">
          <w:rPr>
            <w:webHidden/>
          </w:rPr>
        </w:r>
        <w:r w:rsidR="004E24F1">
          <w:rPr>
            <w:webHidden/>
          </w:rPr>
          <w:fldChar w:fldCharType="separate"/>
        </w:r>
        <w:r w:rsidR="00606DA8">
          <w:rPr>
            <w:webHidden/>
          </w:rPr>
          <w:t>118</w:t>
        </w:r>
        <w:r w:rsidR="004E24F1">
          <w:rPr>
            <w:webHidden/>
          </w:rPr>
          <w:fldChar w:fldCharType="end"/>
        </w:r>
      </w:hyperlink>
    </w:p>
    <w:p w14:paraId="2BCA2A87" w14:textId="6D0E5C5B" w:rsidR="004E24F1" w:rsidRDefault="006C463E">
      <w:pPr>
        <w:pStyle w:val="TOC1"/>
        <w:rPr>
          <w:rFonts w:asciiTheme="minorHAnsi" w:eastAsiaTheme="minorEastAsia" w:hAnsiTheme="minorHAnsi" w:cstheme="minorBidi"/>
          <w:b w:val="0"/>
          <w:bCs w:val="0"/>
          <w:caps w:val="0"/>
          <w:lang w:val="en-AU" w:eastAsia="en-AU"/>
        </w:rPr>
      </w:pPr>
      <w:hyperlink w:anchor="_Toc81315357" w:history="1">
        <w:r w:rsidR="004E24F1" w:rsidRPr="004B288A">
          <w:rPr>
            <w:rStyle w:val="Hyperlink"/>
          </w:rPr>
          <w:t>About this report</w:t>
        </w:r>
        <w:r w:rsidR="004E24F1">
          <w:rPr>
            <w:webHidden/>
          </w:rPr>
          <w:tab/>
        </w:r>
        <w:r w:rsidR="004E24F1">
          <w:rPr>
            <w:webHidden/>
          </w:rPr>
          <w:fldChar w:fldCharType="begin"/>
        </w:r>
        <w:r w:rsidR="004E24F1">
          <w:rPr>
            <w:webHidden/>
          </w:rPr>
          <w:instrText xml:space="preserve"> PAGEREF _Toc81315357 \h </w:instrText>
        </w:r>
        <w:r w:rsidR="004E24F1">
          <w:rPr>
            <w:webHidden/>
          </w:rPr>
        </w:r>
        <w:r w:rsidR="004E24F1">
          <w:rPr>
            <w:webHidden/>
          </w:rPr>
          <w:fldChar w:fldCharType="separate"/>
        </w:r>
        <w:r w:rsidR="00606DA8">
          <w:rPr>
            <w:webHidden/>
          </w:rPr>
          <w:t>118</w:t>
        </w:r>
        <w:r w:rsidR="004E24F1">
          <w:rPr>
            <w:webHidden/>
          </w:rPr>
          <w:fldChar w:fldCharType="end"/>
        </w:r>
      </w:hyperlink>
    </w:p>
    <w:p w14:paraId="05CE3FCF" w14:textId="377ABD3C" w:rsidR="004E24F1" w:rsidRDefault="006C463E">
      <w:pPr>
        <w:pStyle w:val="TOC1"/>
        <w:rPr>
          <w:rFonts w:asciiTheme="minorHAnsi" w:eastAsiaTheme="minorEastAsia" w:hAnsiTheme="minorHAnsi" w:cstheme="minorBidi"/>
          <w:b w:val="0"/>
          <w:bCs w:val="0"/>
          <w:caps w:val="0"/>
          <w:lang w:val="en-AU" w:eastAsia="en-AU"/>
        </w:rPr>
      </w:pPr>
      <w:hyperlink w:anchor="_Toc81315358" w:history="1">
        <w:r w:rsidR="004E24F1" w:rsidRPr="004B288A">
          <w:rPr>
            <w:rStyle w:val="Hyperlink"/>
          </w:rPr>
          <w:t>Financial statements</w:t>
        </w:r>
        <w:r w:rsidR="004E24F1">
          <w:rPr>
            <w:webHidden/>
          </w:rPr>
          <w:tab/>
        </w:r>
        <w:r w:rsidR="004E24F1">
          <w:rPr>
            <w:webHidden/>
          </w:rPr>
          <w:fldChar w:fldCharType="begin"/>
        </w:r>
        <w:r w:rsidR="004E24F1">
          <w:rPr>
            <w:webHidden/>
          </w:rPr>
          <w:instrText xml:space="preserve"> PAGEREF _Toc81315358 \h </w:instrText>
        </w:r>
        <w:r w:rsidR="004E24F1">
          <w:rPr>
            <w:webHidden/>
          </w:rPr>
        </w:r>
        <w:r w:rsidR="004E24F1">
          <w:rPr>
            <w:webHidden/>
          </w:rPr>
          <w:fldChar w:fldCharType="separate"/>
        </w:r>
        <w:r w:rsidR="00606DA8">
          <w:rPr>
            <w:webHidden/>
          </w:rPr>
          <w:t>119</w:t>
        </w:r>
        <w:r w:rsidR="004E24F1">
          <w:rPr>
            <w:webHidden/>
          </w:rPr>
          <w:fldChar w:fldCharType="end"/>
        </w:r>
      </w:hyperlink>
    </w:p>
    <w:p w14:paraId="44BEEA7B" w14:textId="21FBD3A1" w:rsidR="004E24F1" w:rsidRDefault="006C463E">
      <w:pPr>
        <w:pStyle w:val="TOC1"/>
        <w:rPr>
          <w:rFonts w:asciiTheme="minorHAnsi" w:eastAsiaTheme="minorEastAsia" w:hAnsiTheme="minorHAnsi" w:cstheme="minorBidi"/>
          <w:b w:val="0"/>
          <w:bCs w:val="0"/>
          <w:caps w:val="0"/>
          <w:lang w:val="en-AU" w:eastAsia="en-AU"/>
        </w:rPr>
      </w:pPr>
      <w:hyperlink w:anchor="_Toc81315408" w:history="1">
        <w:r w:rsidR="004E24F1" w:rsidRPr="004B288A">
          <w:rPr>
            <w:rStyle w:val="Hyperlink"/>
          </w:rPr>
          <w:t>Appendices</w:t>
        </w:r>
        <w:r w:rsidR="004E24F1">
          <w:rPr>
            <w:webHidden/>
          </w:rPr>
          <w:tab/>
        </w:r>
        <w:r w:rsidR="004E24F1">
          <w:rPr>
            <w:webHidden/>
          </w:rPr>
          <w:fldChar w:fldCharType="begin"/>
        </w:r>
        <w:r w:rsidR="004E24F1">
          <w:rPr>
            <w:webHidden/>
          </w:rPr>
          <w:instrText xml:space="preserve"> PAGEREF _Toc81315408 \h </w:instrText>
        </w:r>
        <w:r w:rsidR="004E24F1">
          <w:rPr>
            <w:webHidden/>
          </w:rPr>
        </w:r>
        <w:r w:rsidR="004E24F1">
          <w:rPr>
            <w:webHidden/>
          </w:rPr>
          <w:fldChar w:fldCharType="separate"/>
        </w:r>
        <w:r w:rsidR="00606DA8">
          <w:rPr>
            <w:webHidden/>
          </w:rPr>
          <w:t>202</w:t>
        </w:r>
        <w:r w:rsidR="004E24F1">
          <w:rPr>
            <w:webHidden/>
          </w:rPr>
          <w:fldChar w:fldCharType="end"/>
        </w:r>
      </w:hyperlink>
    </w:p>
    <w:p w14:paraId="04D47BC6" w14:textId="6E73A02F" w:rsidR="007E6337" w:rsidRPr="005734B8" w:rsidRDefault="00196598" w:rsidP="000F6516">
      <w:pPr>
        <w:pStyle w:val="TOC1"/>
        <w:rPr>
          <w:sz w:val="18"/>
          <w:szCs w:val="18"/>
          <w:highlight w:val="yellow"/>
        </w:rPr>
        <w:sectPr w:rsidR="007E6337" w:rsidRPr="005734B8" w:rsidSect="0008400F">
          <w:footerReference w:type="default" r:id="rId22"/>
          <w:pgSz w:w="11900" w:h="16840"/>
          <w:pgMar w:top="1440" w:right="1134" w:bottom="1440" w:left="2835" w:header="708" w:footer="708" w:gutter="0"/>
          <w:pgNumType w:fmt="lowerRoman" w:start="1"/>
          <w:cols w:space="708"/>
          <w:docGrid w:linePitch="360"/>
        </w:sectPr>
      </w:pPr>
      <w:r w:rsidRPr="005734B8">
        <w:fldChar w:fldCharType="end"/>
      </w:r>
    </w:p>
    <w:p w14:paraId="3083606A" w14:textId="10738416" w:rsidR="00EC0993" w:rsidRPr="005734B8" w:rsidRDefault="00EC0993" w:rsidP="00EC0993">
      <w:pPr>
        <w:pStyle w:val="ESHeading1"/>
        <w:rPr>
          <w:rFonts w:ascii="Calibri" w:hAnsi="Calibri" w:cs="Calibri"/>
        </w:rPr>
      </w:pPr>
      <w:bookmarkStart w:id="1" w:name="_Toc10208687"/>
      <w:bookmarkStart w:id="2" w:name="_Toc11158145"/>
      <w:bookmarkStart w:id="3" w:name="_Toc11336152"/>
      <w:bookmarkStart w:id="4" w:name="_Toc13656660"/>
      <w:bookmarkStart w:id="5" w:name="_Toc14965353"/>
      <w:bookmarkStart w:id="6" w:name="_Toc15985246"/>
      <w:bookmarkStart w:id="7" w:name="_Toc19271953"/>
      <w:bookmarkStart w:id="8" w:name="_Toc19272319"/>
      <w:bookmarkStart w:id="9" w:name="_Toc19273654"/>
      <w:bookmarkStart w:id="10" w:name="_Toc48402766"/>
      <w:bookmarkStart w:id="11" w:name="_Toc48403003"/>
      <w:bookmarkStart w:id="12" w:name="_Toc51332746"/>
      <w:bookmarkStart w:id="13" w:name="_Toc81315310"/>
      <w:r w:rsidRPr="005734B8">
        <w:rPr>
          <w:rFonts w:ascii="Calibri" w:hAnsi="Calibri" w:cs="Calibri"/>
        </w:rPr>
        <w:lastRenderedPageBreak/>
        <w:t>Year in review</w:t>
      </w:r>
      <w:bookmarkEnd w:id="1"/>
      <w:bookmarkEnd w:id="2"/>
      <w:bookmarkEnd w:id="3"/>
      <w:bookmarkEnd w:id="4"/>
      <w:bookmarkEnd w:id="5"/>
      <w:bookmarkEnd w:id="6"/>
      <w:bookmarkEnd w:id="7"/>
      <w:bookmarkEnd w:id="8"/>
      <w:bookmarkEnd w:id="9"/>
      <w:bookmarkEnd w:id="10"/>
      <w:bookmarkEnd w:id="11"/>
      <w:bookmarkEnd w:id="12"/>
      <w:bookmarkEnd w:id="13"/>
    </w:p>
    <w:p w14:paraId="6D07F969" w14:textId="151AB038" w:rsidR="00DE4967" w:rsidRPr="005734B8" w:rsidRDefault="00DE4967" w:rsidP="00DE4967">
      <w:pPr>
        <w:rPr>
          <w:rFonts w:ascii="Calibri" w:hAnsi="Calibri" w:cs="Calibri"/>
        </w:rPr>
      </w:pPr>
      <w:bookmarkStart w:id="14" w:name="_Toc48402767"/>
      <w:bookmarkStart w:id="15" w:name="_Toc48403004"/>
      <w:bookmarkStart w:id="16" w:name="_Toc51332747"/>
      <w:r w:rsidRPr="005734B8">
        <w:rPr>
          <w:rFonts w:ascii="Calibri" w:hAnsi="Calibri" w:cs="Calibri"/>
        </w:rPr>
        <w:t>The Department</w:t>
      </w:r>
      <w:r w:rsidR="00321D27" w:rsidRPr="005734B8">
        <w:rPr>
          <w:rFonts w:ascii="Calibri" w:hAnsi="Calibri" w:cs="Calibri"/>
        </w:rPr>
        <w:t xml:space="preserve"> of Education and Training (the Department)</w:t>
      </w:r>
      <w:r w:rsidRPr="005734B8">
        <w:rPr>
          <w:rFonts w:ascii="Calibri" w:hAnsi="Calibri" w:cs="Calibri"/>
        </w:rPr>
        <w:t xml:space="preserve"> is delivering on the Victorian Government’s commitment to make Victoria the Education State by providing all Victorians with the best learning and development experience. Education provides all Victorians with the skills and knowledge they need to actively participate in, and contribute to, our rapidly changing economy and society. </w:t>
      </w:r>
    </w:p>
    <w:p w14:paraId="65F833DB" w14:textId="77777777" w:rsidR="00DE4967" w:rsidRPr="005734B8" w:rsidRDefault="00DE4967" w:rsidP="00DE4967">
      <w:pPr>
        <w:rPr>
          <w:rFonts w:ascii="Calibri" w:hAnsi="Calibri" w:cs="Calibri"/>
        </w:rPr>
      </w:pPr>
    </w:p>
    <w:p w14:paraId="7DEA40C8" w14:textId="5D8A60C1" w:rsidR="00DE4967" w:rsidRPr="005734B8" w:rsidRDefault="00DE4967" w:rsidP="00DE4967">
      <w:pPr>
        <w:rPr>
          <w:rFonts w:ascii="Calibri" w:hAnsi="Calibri" w:cs="Calibri"/>
        </w:rPr>
      </w:pPr>
      <w:r w:rsidRPr="005734B8">
        <w:rPr>
          <w:rFonts w:ascii="Calibri" w:hAnsi="Calibri" w:cs="Calibri"/>
        </w:rPr>
        <w:t xml:space="preserve">The Department’s </w:t>
      </w:r>
      <w:r w:rsidRPr="005734B8">
        <w:rPr>
          <w:rFonts w:ascii="Calibri" w:hAnsi="Calibri" w:cs="Calibri"/>
          <w:i/>
        </w:rPr>
        <w:t>Strategic Plan 2019–23</w:t>
      </w:r>
      <w:r w:rsidRPr="005734B8">
        <w:rPr>
          <w:rFonts w:ascii="Calibri" w:hAnsi="Calibri" w:cs="Calibri"/>
        </w:rPr>
        <w:t xml:space="preserve"> guides the provision of high-quality education, training, development, and </w:t>
      </w:r>
      <w:r w:rsidR="00A509A2">
        <w:rPr>
          <w:rFonts w:ascii="Calibri" w:hAnsi="Calibri" w:cs="Calibri"/>
        </w:rPr>
        <w:t>student</w:t>
      </w:r>
      <w:r w:rsidR="00A768A9" w:rsidRPr="005734B8">
        <w:rPr>
          <w:rFonts w:ascii="Calibri" w:hAnsi="Calibri" w:cs="Calibri"/>
        </w:rPr>
        <w:t xml:space="preserve"> health and wellbeing </w:t>
      </w:r>
      <w:r w:rsidRPr="005734B8">
        <w:rPr>
          <w:rFonts w:ascii="Calibri" w:hAnsi="Calibri" w:cs="Calibri"/>
        </w:rPr>
        <w:t>services. The Department is committed to meeting its objectives, including the Victorian Government’s Education State reforms.</w:t>
      </w:r>
    </w:p>
    <w:p w14:paraId="204F44F0" w14:textId="378A1E9D" w:rsidR="00EC0993" w:rsidRPr="005734B8" w:rsidRDefault="001E587C" w:rsidP="00EC0993">
      <w:pPr>
        <w:pStyle w:val="ESHeading2"/>
        <w:rPr>
          <w:rFonts w:ascii="Calibri" w:hAnsi="Calibri" w:cs="Calibri"/>
        </w:rPr>
      </w:pPr>
      <w:bookmarkStart w:id="17" w:name="_Toc81315311"/>
      <w:r w:rsidRPr="005734B8">
        <w:rPr>
          <w:rFonts w:ascii="Calibri" w:hAnsi="Calibri" w:cs="Calibri"/>
        </w:rPr>
        <w:t>The Department’s vision</w:t>
      </w:r>
      <w:bookmarkEnd w:id="14"/>
      <w:bookmarkEnd w:id="15"/>
      <w:bookmarkEnd w:id="16"/>
      <w:bookmarkEnd w:id="17"/>
    </w:p>
    <w:p w14:paraId="1D3FC496" w14:textId="77777777" w:rsidR="00CD1474" w:rsidRPr="005734B8" w:rsidRDefault="00CD1474" w:rsidP="00CD1474">
      <w:pPr>
        <w:rPr>
          <w:rFonts w:ascii="Calibri" w:hAnsi="Calibri" w:cs="Calibri"/>
        </w:rPr>
      </w:pPr>
      <w:bookmarkStart w:id="18" w:name="_Toc10208689"/>
      <w:bookmarkStart w:id="19" w:name="_Toc11158147"/>
      <w:bookmarkStart w:id="20" w:name="_Toc11336154"/>
      <w:bookmarkStart w:id="21" w:name="_Toc13656662"/>
      <w:bookmarkStart w:id="22" w:name="_Toc14965355"/>
      <w:bookmarkStart w:id="23" w:name="_Toc15985248"/>
      <w:bookmarkStart w:id="24" w:name="_Toc19271955"/>
      <w:bookmarkStart w:id="25" w:name="_Toc19272321"/>
      <w:bookmarkStart w:id="26" w:name="_Toc19273656"/>
      <w:bookmarkStart w:id="27" w:name="_Toc48402768"/>
      <w:bookmarkStart w:id="28" w:name="_Toc48403005"/>
      <w:r w:rsidRPr="005734B8">
        <w:rPr>
          <w:rFonts w:ascii="Calibri" w:hAnsi="Calibri" w:cs="Calibri"/>
        </w:rPr>
        <w:t>The Department’s vision is:</w:t>
      </w:r>
    </w:p>
    <w:p w14:paraId="32656FC2" w14:textId="77777777" w:rsidR="00CD1474" w:rsidRPr="005734B8" w:rsidRDefault="00CD1474" w:rsidP="00CD1474">
      <w:pPr>
        <w:rPr>
          <w:rFonts w:ascii="Calibri" w:hAnsi="Calibri" w:cs="Calibri"/>
        </w:rPr>
      </w:pPr>
    </w:p>
    <w:p w14:paraId="787D20F7" w14:textId="77777777" w:rsidR="00CD1474" w:rsidRPr="005734B8" w:rsidRDefault="00CD1474" w:rsidP="00CD1474">
      <w:pPr>
        <w:rPr>
          <w:rFonts w:ascii="Calibri" w:hAnsi="Calibri" w:cs="Calibri"/>
          <w:i/>
        </w:rPr>
      </w:pPr>
      <w:r w:rsidRPr="005734B8">
        <w:rPr>
          <w:rFonts w:ascii="Calibri" w:hAnsi="Calibri" w:cs="Calibri"/>
          <w:i/>
        </w:rPr>
        <w:t>Together we give every Victorian the best learning and development experience, making our state a smarter, fairer and more prosperous place.</w:t>
      </w:r>
      <w:r w:rsidRPr="005734B8">
        <w:rPr>
          <w:rFonts w:ascii="Calibri" w:hAnsi="Calibri" w:cs="Calibri"/>
        </w:rPr>
        <w:t xml:space="preserve"> </w:t>
      </w:r>
    </w:p>
    <w:p w14:paraId="7366AC79" w14:textId="77777777" w:rsidR="00CD1474" w:rsidRPr="005734B8" w:rsidRDefault="00CD1474" w:rsidP="00CD1474">
      <w:pPr>
        <w:rPr>
          <w:rFonts w:ascii="Calibri" w:hAnsi="Calibri" w:cs="Calibri"/>
        </w:rPr>
      </w:pPr>
    </w:p>
    <w:p w14:paraId="44F38AD4" w14:textId="77777777" w:rsidR="00CD1474" w:rsidRPr="005734B8" w:rsidRDefault="00CD1474" w:rsidP="00CD1474">
      <w:pPr>
        <w:rPr>
          <w:rFonts w:ascii="Calibri" w:hAnsi="Calibri" w:cs="Calibri"/>
        </w:rPr>
      </w:pPr>
      <w:r w:rsidRPr="005734B8">
        <w:rPr>
          <w:rFonts w:ascii="Calibri" w:hAnsi="Calibri" w:cs="Calibri"/>
        </w:rPr>
        <w:t>In pursuing this vision, the Department is committed to the Victorian public sector values of:</w:t>
      </w:r>
    </w:p>
    <w:p w14:paraId="4E21BE02" w14:textId="77777777" w:rsidR="00CD1474" w:rsidRPr="005734B8" w:rsidRDefault="00CD1474" w:rsidP="00CD1474">
      <w:pPr>
        <w:rPr>
          <w:rFonts w:ascii="Calibri" w:hAnsi="Calibri" w:cs="Calibri"/>
        </w:rPr>
      </w:pPr>
    </w:p>
    <w:p w14:paraId="7F832824" w14:textId="77777777" w:rsidR="00CD1474" w:rsidRPr="005734B8" w:rsidRDefault="00CD1474" w:rsidP="00236B83">
      <w:pPr>
        <w:pStyle w:val="ListParagraph"/>
        <w:numPr>
          <w:ilvl w:val="0"/>
          <w:numId w:val="49"/>
        </w:numPr>
        <w:ind w:left="360"/>
        <w:rPr>
          <w:rFonts w:ascii="Calibri" w:hAnsi="Calibri" w:cs="Calibri"/>
        </w:rPr>
      </w:pPr>
      <w:r w:rsidRPr="005734B8">
        <w:rPr>
          <w:rFonts w:ascii="Calibri" w:hAnsi="Calibri" w:cs="Calibri"/>
        </w:rPr>
        <w:t>responsiveness</w:t>
      </w:r>
    </w:p>
    <w:p w14:paraId="65A7EFFA" w14:textId="77777777" w:rsidR="00CD1474" w:rsidRPr="005734B8" w:rsidRDefault="00CD1474" w:rsidP="00236B83">
      <w:pPr>
        <w:pStyle w:val="ListParagraph"/>
        <w:numPr>
          <w:ilvl w:val="0"/>
          <w:numId w:val="49"/>
        </w:numPr>
        <w:ind w:left="360"/>
        <w:rPr>
          <w:rFonts w:ascii="Calibri" w:hAnsi="Calibri" w:cs="Calibri"/>
        </w:rPr>
      </w:pPr>
      <w:r w:rsidRPr="005734B8">
        <w:rPr>
          <w:rFonts w:ascii="Calibri" w:hAnsi="Calibri" w:cs="Calibri"/>
        </w:rPr>
        <w:t>integrity</w:t>
      </w:r>
    </w:p>
    <w:p w14:paraId="76AE303F" w14:textId="77777777" w:rsidR="00CD1474" w:rsidRPr="005734B8" w:rsidRDefault="00CD1474" w:rsidP="00236B83">
      <w:pPr>
        <w:pStyle w:val="ListParagraph"/>
        <w:numPr>
          <w:ilvl w:val="0"/>
          <w:numId w:val="49"/>
        </w:numPr>
        <w:ind w:left="360"/>
        <w:rPr>
          <w:rFonts w:ascii="Calibri" w:hAnsi="Calibri" w:cs="Calibri"/>
        </w:rPr>
      </w:pPr>
      <w:r w:rsidRPr="005734B8">
        <w:rPr>
          <w:rFonts w:ascii="Calibri" w:hAnsi="Calibri" w:cs="Calibri"/>
        </w:rPr>
        <w:t>impartiality</w:t>
      </w:r>
    </w:p>
    <w:p w14:paraId="137DC658" w14:textId="77777777" w:rsidR="00CD1474" w:rsidRPr="005734B8" w:rsidRDefault="00CD1474" w:rsidP="00236B83">
      <w:pPr>
        <w:pStyle w:val="ListParagraph"/>
        <w:numPr>
          <w:ilvl w:val="0"/>
          <w:numId w:val="49"/>
        </w:numPr>
        <w:ind w:left="360"/>
        <w:rPr>
          <w:rFonts w:ascii="Calibri" w:hAnsi="Calibri" w:cs="Calibri"/>
        </w:rPr>
      </w:pPr>
      <w:r w:rsidRPr="005734B8">
        <w:rPr>
          <w:rFonts w:ascii="Calibri" w:hAnsi="Calibri" w:cs="Calibri"/>
        </w:rPr>
        <w:t>accountability</w:t>
      </w:r>
    </w:p>
    <w:p w14:paraId="5B2ECF58" w14:textId="77777777" w:rsidR="00CD1474" w:rsidRPr="005734B8" w:rsidRDefault="00CD1474" w:rsidP="00236B83">
      <w:pPr>
        <w:pStyle w:val="ListParagraph"/>
        <w:numPr>
          <w:ilvl w:val="0"/>
          <w:numId w:val="49"/>
        </w:numPr>
        <w:ind w:left="360"/>
        <w:rPr>
          <w:rFonts w:ascii="Calibri" w:hAnsi="Calibri" w:cs="Calibri"/>
        </w:rPr>
      </w:pPr>
      <w:r w:rsidRPr="005734B8">
        <w:rPr>
          <w:rFonts w:ascii="Calibri" w:hAnsi="Calibri" w:cs="Calibri"/>
        </w:rPr>
        <w:t>respect</w:t>
      </w:r>
    </w:p>
    <w:p w14:paraId="2DD557B5" w14:textId="77777777" w:rsidR="00CD1474" w:rsidRPr="005734B8" w:rsidRDefault="00CD1474" w:rsidP="00236B83">
      <w:pPr>
        <w:pStyle w:val="ListParagraph"/>
        <w:numPr>
          <w:ilvl w:val="0"/>
          <w:numId w:val="49"/>
        </w:numPr>
        <w:ind w:left="360"/>
        <w:rPr>
          <w:rFonts w:ascii="Calibri" w:hAnsi="Calibri" w:cs="Calibri"/>
        </w:rPr>
      </w:pPr>
      <w:r w:rsidRPr="005734B8">
        <w:rPr>
          <w:rFonts w:ascii="Calibri" w:hAnsi="Calibri" w:cs="Calibri"/>
        </w:rPr>
        <w:t>leadership</w:t>
      </w:r>
    </w:p>
    <w:p w14:paraId="6C929471" w14:textId="77777777" w:rsidR="00CD1474" w:rsidRPr="005734B8" w:rsidRDefault="00CD1474" w:rsidP="00236B83">
      <w:pPr>
        <w:pStyle w:val="ListParagraph"/>
        <w:numPr>
          <w:ilvl w:val="0"/>
          <w:numId w:val="49"/>
        </w:numPr>
        <w:ind w:left="360"/>
        <w:rPr>
          <w:rFonts w:ascii="Calibri" w:hAnsi="Calibri" w:cs="Calibri"/>
        </w:rPr>
      </w:pPr>
      <w:r w:rsidRPr="005734B8">
        <w:rPr>
          <w:rFonts w:ascii="Calibri" w:hAnsi="Calibri" w:cs="Calibri"/>
        </w:rPr>
        <w:t>human rights.</w:t>
      </w:r>
    </w:p>
    <w:p w14:paraId="4E559D26" w14:textId="77777777" w:rsidR="00CD1474" w:rsidRPr="005734B8" w:rsidRDefault="00CD1474" w:rsidP="00CD1474">
      <w:pPr>
        <w:rPr>
          <w:rFonts w:ascii="Calibri" w:hAnsi="Calibri" w:cs="Calibri"/>
        </w:rPr>
      </w:pPr>
    </w:p>
    <w:p w14:paraId="457A9C70" w14:textId="77777777" w:rsidR="00CD1474" w:rsidRPr="005734B8" w:rsidRDefault="00CD1474" w:rsidP="00CD1474">
      <w:pPr>
        <w:rPr>
          <w:rFonts w:ascii="Calibri" w:hAnsi="Calibri" w:cs="Calibri"/>
        </w:rPr>
      </w:pPr>
      <w:r w:rsidRPr="005734B8">
        <w:rPr>
          <w:rFonts w:ascii="Calibri" w:hAnsi="Calibri" w:cs="Calibri"/>
        </w:rPr>
        <w:t>These values underpin the behaviours that the community expects of all public sector employees. Actions that are consistently guided by the public sector values strengthen the capacity of the Department to operate effectively and to achieve its purpose and functions.</w:t>
      </w:r>
    </w:p>
    <w:p w14:paraId="48D214B8" w14:textId="77777777" w:rsidR="00896BCB" w:rsidRPr="005734B8" w:rsidRDefault="00896BCB">
      <w:pPr>
        <w:rPr>
          <w:rFonts w:ascii="Calibri" w:eastAsiaTheme="majorEastAsia" w:hAnsi="Calibri" w:cs="Calibri"/>
          <w:bCs/>
          <w:color w:val="8A2A2F" w:themeColor="text1"/>
          <w:spacing w:val="5"/>
          <w:kern w:val="28"/>
          <w:sz w:val="28"/>
          <w:szCs w:val="20"/>
          <w:highlight w:val="yellow"/>
          <w:lang w:val="en-US"/>
        </w:rPr>
      </w:pPr>
      <w:r w:rsidRPr="005734B8">
        <w:rPr>
          <w:rFonts w:ascii="Calibri" w:hAnsi="Calibri" w:cs="Calibri"/>
          <w:highlight w:val="yellow"/>
        </w:rPr>
        <w:br w:type="page"/>
      </w:r>
    </w:p>
    <w:p w14:paraId="232D5081" w14:textId="6A4DE188" w:rsidR="00EC0993" w:rsidRPr="005734B8" w:rsidRDefault="00EC0993" w:rsidP="00EC0993">
      <w:pPr>
        <w:pStyle w:val="ESHeading2"/>
        <w:rPr>
          <w:rFonts w:ascii="Calibri" w:hAnsi="Calibri" w:cs="Calibri"/>
        </w:rPr>
      </w:pPr>
      <w:bookmarkStart w:id="29" w:name="_Toc51332748"/>
      <w:bookmarkStart w:id="30" w:name="_Toc81315312"/>
      <w:r w:rsidRPr="005734B8">
        <w:rPr>
          <w:rFonts w:ascii="Calibri" w:hAnsi="Calibri" w:cs="Calibri"/>
        </w:rPr>
        <w:lastRenderedPageBreak/>
        <w:t>Purpose and functions</w:t>
      </w:r>
      <w:bookmarkEnd w:id="18"/>
      <w:bookmarkEnd w:id="19"/>
      <w:bookmarkEnd w:id="20"/>
      <w:bookmarkEnd w:id="21"/>
      <w:bookmarkEnd w:id="22"/>
      <w:bookmarkEnd w:id="23"/>
      <w:bookmarkEnd w:id="24"/>
      <w:bookmarkEnd w:id="25"/>
      <w:bookmarkEnd w:id="26"/>
      <w:bookmarkEnd w:id="27"/>
      <w:bookmarkEnd w:id="28"/>
      <w:bookmarkEnd w:id="29"/>
      <w:bookmarkEnd w:id="30"/>
    </w:p>
    <w:p w14:paraId="061A097E" w14:textId="77777777" w:rsidR="00CD0858" w:rsidRPr="005734B8" w:rsidRDefault="00CD0858" w:rsidP="00CD0858">
      <w:pPr>
        <w:rPr>
          <w:rFonts w:ascii="Calibri" w:hAnsi="Calibri" w:cs="Calibri"/>
        </w:rPr>
      </w:pPr>
      <w:r w:rsidRPr="005734B8">
        <w:rPr>
          <w:rFonts w:ascii="Calibri" w:hAnsi="Calibri" w:cs="Calibri"/>
        </w:rPr>
        <w:t>The Department is responsible for delivering and regulating statewide learning and development services to at least one-third of all Victorians across the early childhood, school education, and training and skills sectors. The table below outlines the Department’s services during 2020–21.</w:t>
      </w:r>
    </w:p>
    <w:p w14:paraId="7F3FFE1F" w14:textId="1F160F78" w:rsidR="00EC0993" w:rsidRPr="005734B8" w:rsidRDefault="00EC0993" w:rsidP="00EC0993">
      <w:pPr>
        <w:pStyle w:val="ESTableintroheading"/>
        <w:rPr>
          <w:rFonts w:ascii="Calibri" w:hAnsi="Calibri" w:cs="Calibri"/>
          <w:lang w:val="en-AU"/>
        </w:rPr>
      </w:pPr>
      <w:r w:rsidRPr="005734B8">
        <w:rPr>
          <w:rFonts w:ascii="Calibri" w:hAnsi="Calibri" w:cs="Calibri"/>
          <w:lang w:val="en-AU"/>
        </w:rPr>
        <w:t xml:space="preserve">The Department’s services </w:t>
      </w:r>
      <w:r w:rsidR="00CA1B0A" w:rsidRPr="005734B8">
        <w:rPr>
          <w:rFonts w:ascii="Calibri" w:hAnsi="Calibri" w:cs="Calibri"/>
          <w:lang w:val="en-AU"/>
        </w:rPr>
        <w:t xml:space="preserve">by sector </w:t>
      </w:r>
      <w:r w:rsidRPr="005734B8">
        <w:rPr>
          <w:rFonts w:ascii="Calibri" w:hAnsi="Calibri" w:cs="Calibri"/>
          <w:lang w:val="en-AU"/>
        </w:rPr>
        <w:t xml:space="preserve">in </w:t>
      </w:r>
      <w:r w:rsidR="00A467E3" w:rsidRPr="005734B8">
        <w:rPr>
          <w:rFonts w:ascii="Calibri" w:hAnsi="Calibri" w:cs="Calibri"/>
          <w:lang w:val="en-AU"/>
        </w:rPr>
        <w:t>20</w:t>
      </w:r>
      <w:r w:rsidR="00882CD8" w:rsidRPr="005734B8">
        <w:rPr>
          <w:rFonts w:ascii="Calibri" w:hAnsi="Calibri" w:cs="Calibri"/>
          <w:lang w:val="en-AU"/>
        </w:rPr>
        <w:t>20</w:t>
      </w:r>
      <w:r w:rsidR="00A467E3" w:rsidRPr="005734B8">
        <w:rPr>
          <w:rFonts w:ascii="Calibri" w:hAnsi="Calibri" w:cs="Calibri"/>
          <w:lang w:val="en-AU"/>
        </w:rPr>
        <w:t>–</w:t>
      </w:r>
      <w:r w:rsidR="00C150B7" w:rsidRPr="005734B8">
        <w:rPr>
          <w:rFonts w:ascii="Calibri" w:hAnsi="Calibri" w:cs="Calibri"/>
          <w:lang w:val="en-AU"/>
        </w:rPr>
        <w:t>2</w:t>
      </w:r>
      <w:r w:rsidR="00882CD8" w:rsidRPr="005734B8">
        <w:rPr>
          <w:rFonts w:ascii="Calibri" w:hAnsi="Calibri" w:cs="Calibri"/>
          <w:lang w:val="en-AU"/>
        </w:rPr>
        <w:t>1</w:t>
      </w:r>
    </w:p>
    <w:tbl>
      <w:tblPr>
        <w:tblStyle w:val="TableGrid"/>
        <w:tblW w:w="497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59"/>
        <w:gridCol w:w="2740"/>
        <w:gridCol w:w="3173"/>
      </w:tblGrid>
      <w:tr w:rsidR="00CD0858" w:rsidRPr="005734B8" w14:paraId="2C23808B" w14:textId="77777777" w:rsidTr="00D93BA2">
        <w:trPr>
          <w:cantSplit/>
          <w:trHeight w:val="354"/>
          <w:tblHeader/>
        </w:trPr>
        <w:tc>
          <w:tcPr>
            <w:tcW w:w="2689" w:type="dxa"/>
            <w:tcBorders>
              <w:bottom w:val="single" w:sz="4" w:space="0" w:color="FFFFFF" w:themeColor="background1"/>
            </w:tcBorders>
            <w:shd w:val="clear" w:color="auto" w:fill="AF272F" w:themeFill="accent4"/>
          </w:tcPr>
          <w:p w14:paraId="4312AF06" w14:textId="77777777" w:rsidR="00CD0858" w:rsidRPr="005734B8" w:rsidRDefault="00CD0858" w:rsidP="00D93BA2">
            <w:pPr>
              <w:pStyle w:val="ESTableheadingwhite"/>
              <w:rPr>
                <w:rFonts w:ascii="Calibri" w:hAnsi="Calibri" w:cs="Calibri"/>
              </w:rPr>
            </w:pPr>
            <w:bookmarkStart w:id="31" w:name="_Hlk42846396"/>
            <w:bookmarkStart w:id="32" w:name="_Toc10208690"/>
            <w:bookmarkStart w:id="33" w:name="_Toc11158148"/>
            <w:bookmarkStart w:id="34" w:name="_Toc11336155"/>
            <w:bookmarkStart w:id="35" w:name="_Toc13656663"/>
            <w:bookmarkStart w:id="36" w:name="_Toc14965356"/>
            <w:bookmarkStart w:id="37" w:name="_Toc15985249"/>
            <w:r w:rsidRPr="005734B8">
              <w:rPr>
                <w:rFonts w:ascii="Calibri" w:hAnsi="Calibri" w:cs="Calibri"/>
                <w:bCs/>
                <w:lang w:val="en-AU"/>
              </w:rPr>
              <w:t>Early childhood</w:t>
            </w:r>
          </w:p>
        </w:tc>
        <w:tc>
          <w:tcPr>
            <w:tcW w:w="2409" w:type="dxa"/>
            <w:tcBorders>
              <w:bottom w:val="single" w:sz="4" w:space="0" w:color="FFFFFF" w:themeColor="background1"/>
            </w:tcBorders>
            <w:shd w:val="clear" w:color="auto" w:fill="AF272F" w:themeFill="accent4"/>
          </w:tcPr>
          <w:p w14:paraId="3ED15F88" w14:textId="77777777" w:rsidR="00CD0858" w:rsidRPr="005734B8" w:rsidRDefault="00CD0858" w:rsidP="00D93BA2">
            <w:pPr>
              <w:pStyle w:val="ESTableheadingwhite"/>
              <w:rPr>
                <w:rFonts w:ascii="Calibri" w:hAnsi="Calibri" w:cs="Calibri"/>
              </w:rPr>
            </w:pPr>
            <w:r w:rsidRPr="005734B8">
              <w:rPr>
                <w:rFonts w:ascii="Calibri" w:hAnsi="Calibri" w:cs="Calibri"/>
                <w:lang w:val="en-AU"/>
              </w:rPr>
              <w:t>School education</w:t>
            </w:r>
          </w:p>
        </w:tc>
        <w:tc>
          <w:tcPr>
            <w:tcW w:w="2790" w:type="dxa"/>
            <w:tcBorders>
              <w:bottom w:val="single" w:sz="4" w:space="0" w:color="FFFFFF" w:themeColor="background1"/>
            </w:tcBorders>
            <w:shd w:val="clear" w:color="auto" w:fill="AF272F" w:themeFill="accent4"/>
          </w:tcPr>
          <w:p w14:paraId="014AC2E5" w14:textId="77777777" w:rsidR="00CD0858" w:rsidRPr="005734B8" w:rsidRDefault="00CD0858" w:rsidP="00D93BA2">
            <w:pPr>
              <w:pStyle w:val="ESTableheadingwhite"/>
              <w:rPr>
                <w:rFonts w:ascii="Calibri" w:hAnsi="Calibri" w:cs="Calibri"/>
              </w:rPr>
            </w:pPr>
            <w:r w:rsidRPr="005734B8">
              <w:rPr>
                <w:rFonts w:ascii="Calibri" w:hAnsi="Calibri" w:cs="Calibri"/>
                <w:lang w:val="en-AU"/>
              </w:rPr>
              <w:t>Training and skills</w:t>
            </w:r>
          </w:p>
        </w:tc>
      </w:tr>
      <w:tr w:rsidR="00CD0858" w:rsidRPr="005734B8" w14:paraId="5FF8EBF7" w14:textId="77777777" w:rsidTr="00D93BA2">
        <w:trPr>
          <w:cantSplit/>
          <w:trHeight w:val="342"/>
        </w:trPr>
        <w:tc>
          <w:tcPr>
            <w:tcW w:w="2689" w:type="dxa"/>
            <w:tcBorders>
              <w:bottom w:val="single" w:sz="4" w:space="0" w:color="FFFFFF" w:themeColor="background1"/>
            </w:tcBorders>
            <w:shd w:val="clear" w:color="auto" w:fill="53565A" w:themeFill="accent5"/>
          </w:tcPr>
          <w:p w14:paraId="6907148F" w14:textId="77777777" w:rsidR="00CD0858" w:rsidRPr="005734B8" w:rsidRDefault="00CD0858" w:rsidP="00D93BA2">
            <w:pPr>
              <w:pStyle w:val="ESTableBody0"/>
              <w:rPr>
                <w:rFonts w:ascii="Calibri" w:hAnsi="Calibri" w:cs="Calibri"/>
                <w:b/>
                <w:color w:val="FFFFFF" w:themeColor="background1"/>
                <w:sz w:val="19"/>
                <w:szCs w:val="19"/>
                <w:lang w:val="en-AU"/>
              </w:rPr>
            </w:pPr>
            <w:r w:rsidRPr="005734B8">
              <w:rPr>
                <w:rFonts w:ascii="Calibri" w:hAnsi="Calibri" w:cs="Calibri"/>
                <w:b/>
                <w:color w:val="FFFFFF" w:themeColor="background1"/>
                <w:sz w:val="19"/>
                <w:szCs w:val="19"/>
                <w:lang w:val="en-AU"/>
              </w:rPr>
              <w:t>Birth to 8</w:t>
            </w:r>
          </w:p>
          <w:p w14:paraId="4FACA2E7" w14:textId="77777777" w:rsidR="00CD0858" w:rsidRPr="005734B8" w:rsidRDefault="00CD0858" w:rsidP="00D93BA2">
            <w:pPr>
              <w:pStyle w:val="ESTableheadingwhite"/>
              <w:rPr>
                <w:rFonts w:ascii="Calibri" w:hAnsi="Calibri" w:cs="Calibri"/>
                <w:color w:val="FF0000"/>
                <w:szCs w:val="19"/>
              </w:rPr>
            </w:pPr>
            <w:r w:rsidRPr="005734B8">
              <w:rPr>
                <w:rFonts w:ascii="Calibri" w:hAnsi="Calibri" w:cs="Calibri"/>
                <w:szCs w:val="19"/>
                <w:lang w:val="en-AU"/>
              </w:rPr>
              <w:t>More than 400,000 children and families</w:t>
            </w:r>
          </w:p>
        </w:tc>
        <w:tc>
          <w:tcPr>
            <w:tcW w:w="2409" w:type="dxa"/>
            <w:tcBorders>
              <w:bottom w:val="single" w:sz="4" w:space="0" w:color="FFFFFF" w:themeColor="background1"/>
            </w:tcBorders>
            <w:shd w:val="clear" w:color="auto" w:fill="53565A" w:themeFill="accent5"/>
          </w:tcPr>
          <w:p w14:paraId="2CF25E1F" w14:textId="77777777" w:rsidR="00CD0858" w:rsidRPr="005734B8" w:rsidRDefault="00CD0858" w:rsidP="00D93BA2">
            <w:pPr>
              <w:pStyle w:val="ESTableBody0"/>
              <w:rPr>
                <w:rFonts w:ascii="Calibri" w:hAnsi="Calibri" w:cs="Calibri"/>
                <w:b/>
                <w:color w:val="FFFFFF" w:themeColor="background1"/>
                <w:sz w:val="19"/>
                <w:szCs w:val="19"/>
                <w:lang w:val="en-AU"/>
              </w:rPr>
            </w:pPr>
            <w:r w:rsidRPr="005734B8">
              <w:rPr>
                <w:rFonts w:ascii="Calibri" w:hAnsi="Calibri" w:cs="Calibri"/>
                <w:b/>
                <w:color w:val="FFFFFF" w:themeColor="background1"/>
                <w:sz w:val="19"/>
                <w:szCs w:val="19"/>
                <w:lang w:val="en-AU"/>
              </w:rPr>
              <w:t>5 to 18</w:t>
            </w:r>
          </w:p>
          <w:p w14:paraId="69119BCF" w14:textId="77777777" w:rsidR="00CD0858" w:rsidRPr="005734B8" w:rsidRDefault="00CD0858" w:rsidP="00D93BA2">
            <w:pPr>
              <w:pStyle w:val="ESTableheadingwhite"/>
              <w:rPr>
                <w:rFonts w:ascii="Calibri" w:hAnsi="Calibri" w:cs="Calibri"/>
                <w:color w:val="FF0000"/>
                <w:szCs w:val="19"/>
              </w:rPr>
            </w:pPr>
            <w:r w:rsidRPr="005734B8">
              <w:rPr>
                <w:rFonts w:ascii="Calibri" w:hAnsi="Calibri" w:cs="Calibri"/>
                <w:szCs w:val="19"/>
                <w:lang w:val="en-AU"/>
              </w:rPr>
              <w:t xml:space="preserve">More than 1,009,400 students </w:t>
            </w:r>
          </w:p>
        </w:tc>
        <w:tc>
          <w:tcPr>
            <w:tcW w:w="2790" w:type="dxa"/>
            <w:tcBorders>
              <w:bottom w:val="single" w:sz="4" w:space="0" w:color="FFFFFF" w:themeColor="background1"/>
            </w:tcBorders>
            <w:shd w:val="clear" w:color="auto" w:fill="53565A" w:themeFill="accent5"/>
          </w:tcPr>
          <w:p w14:paraId="63933827" w14:textId="77777777" w:rsidR="00CD0858" w:rsidRPr="005734B8" w:rsidRDefault="00CD0858" w:rsidP="00D93BA2">
            <w:pPr>
              <w:pStyle w:val="ESTableBody0"/>
              <w:rPr>
                <w:rFonts w:ascii="Calibri" w:hAnsi="Calibri" w:cs="Calibri"/>
                <w:b/>
                <w:color w:val="FFFFFF" w:themeColor="background1"/>
                <w:sz w:val="19"/>
                <w:szCs w:val="19"/>
                <w:lang w:val="en-AU"/>
              </w:rPr>
            </w:pPr>
            <w:r w:rsidRPr="005734B8">
              <w:rPr>
                <w:rFonts w:ascii="Calibri" w:hAnsi="Calibri" w:cs="Calibri"/>
                <w:b/>
                <w:color w:val="FFFFFF" w:themeColor="background1"/>
                <w:sz w:val="19"/>
                <w:szCs w:val="19"/>
                <w:lang w:val="en-AU"/>
              </w:rPr>
              <w:t>15 to 65+</w:t>
            </w:r>
          </w:p>
          <w:p w14:paraId="21DE15D9" w14:textId="77777777" w:rsidR="00CD0858" w:rsidRPr="005734B8" w:rsidRDefault="00CD0858" w:rsidP="00D93BA2">
            <w:pPr>
              <w:pStyle w:val="ESTableheadingwhite"/>
              <w:rPr>
                <w:rFonts w:ascii="Calibri" w:hAnsi="Calibri" w:cs="Calibri"/>
                <w:color w:val="FF0000"/>
                <w:szCs w:val="19"/>
              </w:rPr>
            </w:pPr>
            <w:r w:rsidRPr="005734B8">
              <w:rPr>
                <w:rFonts w:ascii="Calibri" w:hAnsi="Calibri" w:cs="Calibri"/>
                <w:szCs w:val="19"/>
                <w:lang w:val="en-AU"/>
              </w:rPr>
              <w:t>More than 297,000 government-subsidised enrolments in Vocational Education and Training (VET)</w:t>
            </w:r>
          </w:p>
        </w:tc>
      </w:tr>
      <w:tr w:rsidR="00CD0858" w:rsidRPr="005734B8" w14:paraId="0F089EE4" w14:textId="77777777" w:rsidTr="00712799">
        <w:trPr>
          <w:cantSplit/>
          <w:trHeight w:val="1597"/>
        </w:trPr>
        <w:tc>
          <w:tcPr>
            <w:tcW w:w="2689" w:type="dxa"/>
            <w:tcBorders>
              <w:bottom w:val="single" w:sz="4" w:space="0" w:color="auto"/>
            </w:tcBorders>
            <w:shd w:val="clear" w:color="auto" w:fill="auto"/>
          </w:tcPr>
          <w:p w14:paraId="6B813D2B" w14:textId="5537AD81" w:rsidR="00CD0858" w:rsidRPr="005734B8" w:rsidRDefault="00CD0858" w:rsidP="00D93BA2">
            <w:pPr>
              <w:pStyle w:val="ESTablebullet1"/>
              <w:spacing w:before="0" w:after="0"/>
              <w:rPr>
                <w:rFonts w:ascii="Calibri" w:hAnsi="Calibri" w:cs="Calibri"/>
                <w:lang w:val="en-AU"/>
              </w:rPr>
            </w:pPr>
            <w:r w:rsidRPr="005734B8">
              <w:rPr>
                <w:rFonts w:ascii="Calibri" w:hAnsi="Calibri" w:cs="Calibri"/>
                <w:lang w:val="en-AU"/>
              </w:rPr>
              <w:t>Early years learning and development including early childhood education and care</w:t>
            </w:r>
            <w:r w:rsidR="008401E5" w:rsidRPr="005734B8">
              <w:rPr>
                <w:rFonts w:ascii="Calibri" w:hAnsi="Calibri" w:cs="Calibri"/>
                <w:lang w:val="en-AU"/>
              </w:rPr>
              <w:t xml:space="preserve"> (ECEC)</w:t>
            </w:r>
            <w:r w:rsidRPr="005734B8">
              <w:rPr>
                <w:rFonts w:ascii="Calibri" w:hAnsi="Calibri" w:cs="Calibri"/>
                <w:lang w:val="en-AU"/>
              </w:rPr>
              <w:t xml:space="preserve"> services</w:t>
            </w:r>
          </w:p>
        </w:tc>
        <w:tc>
          <w:tcPr>
            <w:tcW w:w="2409" w:type="dxa"/>
            <w:tcBorders>
              <w:bottom w:val="single" w:sz="4" w:space="0" w:color="auto"/>
            </w:tcBorders>
          </w:tcPr>
          <w:p w14:paraId="58147DAD" w14:textId="77777777" w:rsidR="00CD0858" w:rsidRPr="005734B8" w:rsidRDefault="00CD0858" w:rsidP="00D93BA2">
            <w:pPr>
              <w:pStyle w:val="ESTablebullet1"/>
              <w:spacing w:before="0" w:after="0"/>
              <w:rPr>
                <w:rFonts w:ascii="Calibri" w:hAnsi="Calibri" w:cs="Calibri"/>
                <w:lang w:val="en-AU"/>
              </w:rPr>
            </w:pPr>
            <w:r w:rsidRPr="005734B8">
              <w:rPr>
                <w:rFonts w:ascii="Calibri" w:hAnsi="Calibri" w:cs="Calibri"/>
                <w:lang w:val="en-AU"/>
              </w:rPr>
              <w:t>Primary education</w:t>
            </w:r>
          </w:p>
          <w:p w14:paraId="252634C9" w14:textId="77777777" w:rsidR="00CD0858" w:rsidRPr="005734B8" w:rsidRDefault="00CD0858" w:rsidP="00D93BA2">
            <w:pPr>
              <w:pStyle w:val="ESTablebullet1"/>
              <w:spacing w:before="0" w:after="0"/>
              <w:rPr>
                <w:rFonts w:ascii="Calibri" w:hAnsi="Calibri" w:cs="Calibri"/>
                <w:lang w:val="en-AU"/>
              </w:rPr>
            </w:pPr>
            <w:r w:rsidRPr="005734B8">
              <w:rPr>
                <w:rFonts w:ascii="Calibri" w:hAnsi="Calibri" w:cs="Calibri"/>
                <w:lang w:val="en-AU"/>
              </w:rPr>
              <w:t>Secondary education</w:t>
            </w:r>
          </w:p>
          <w:p w14:paraId="45C3BBD1" w14:textId="77777777" w:rsidR="00CD0858" w:rsidRPr="005734B8" w:rsidRDefault="00CD0858" w:rsidP="00D93BA2">
            <w:pPr>
              <w:pStyle w:val="ESTablebullet1"/>
              <w:spacing w:before="0" w:after="0"/>
              <w:rPr>
                <w:rFonts w:ascii="Calibri" w:hAnsi="Calibri" w:cs="Calibri"/>
                <w:lang w:val="en-AU"/>
              </w:rPr>
            </w:pPr>
            <w:r w:rsidRPr="005734B8">
              <w:rPr>
                <w:rFonts w:ascii="Calibri" w:hAnsi="Calibri" w:cs="Calibri"/>
                <w:lang w:val="en-AU"/>
              </w:rPr>
              <w:t>Special education</w:t>
            </w:r>
          </w:p>
          <w:p w14:paraId="01090EA1" w14:textId="77777777" w:rsidR="00CD0858" w:rsidRPr="005734B8" w:rsidRDefault="00CD0858" w:rsidP="00D93BA2">
            <w:pPr>
              <w:pStyle w:val="ESTablebullet1"/>
              <w:spacing w:before="0" w:after="0"/>
              <w:rPr>
                <w:rFonts w:ascii="Calibri" w:hAnsi="Calibri" w:cs="Calibri"/>
                <w:lang w:val="en-AU"/>
              </w:rPr>
            </w:pPr>
            <w:r w:rsidRPr="005734B8">
              <w:rPr>
                <w:rFonts w:ascii="Calibri" w:hAnsi="Calibri" w:cs="Calibri"/>
                <w:lang w:val="en-AU"/>
              </w:rPr>
              <w:t>Language</w:t>
            </w:r>
          </w:p>
        </w:tc>
        <w:tc>
          <w:tcPr>
            <w:tcW w:w="2790" w:type="dxa"/>
            <w:tcBorders>
              <w:bottom w:val="single" w:sz="4" w:space="0" w:color="auto"/>
            </w:tcBorders>
          </w:tcPr>
          <w:p w14:paraId="5382F7D3" w14:textId="77777777" w:rsidR="00CD0858" w:rsidRPr="005734B8" w:rsidRDefault="00CD0858" w:rsidP="00D93BA2">
            <w:pPr>
              <w:pStyle w:val="ESTablebullet1"/>
              <w:spacing w:before="0" w:after="0"/>
              <w:rPr>
                <w:rFonts w:ascii="Calibri" w:hAnsi="Calibri" w:cs="Calibri"/>
                <w:lang w:val="en-AU"/>
              </w:rPr>
            </w:pPr>
            <w:r w:rsidRPr="005734B8">
              <w:rPr>
                <w:rFonts w:ascii="Calibri" w:hAnsi="Calibri" w:cs="Calibri"/>
                <w:lang w:val="en-AU"/>
              </w:rPr>
              <w:t>Technical and Further Education (TAFE)</w:t>
            </w:r>
          </w:p>
          <w:p w14:paraId="626A427A" w14:textId="1D9EDC14" w:rsidR="00CD0858" w:rsidRPr="005734B8" w:rsidRDefault="00CD0858" w:rsidP="00D93BA2">
            <w:pPr>
              <w:pStyle w:val="ESTablebullet1"/>
              <w:spacing w:before="0" w:after="0"/>
              <w:rPr>
                <w:rFonts w:ascii="Calibri" w:hAnsi="Calibri" w:cs="Calibri"/>
                <w:lang w:val="en-AU"/>
              </w:rPr>
            </w:pPr>
            <w:r w:rsidRPr="005734B8">
              <w:rPr>
                <w:rFonts w:ascii="Calibri" w:hAnsi="Calibri" w:cs="Calibri"/>
                <w:lang w:val="en-AU"/>
              </w:rPr>
              <w:t xml:space="preserve">Dual-sector </w:t>
            </w:r>
            <w:r w:rsidR="00FF7487" w:rsidRPr="005734B8">
              <w:rPr>
                <w:rFonts w:ascii="Calibri" w:hAnsi="Calibri" w:cs="Calibri"/>
                <w:lang w:val="en-AU"/>
              </w:rPr>
              <w:t>u</w:t>
            </w:r>
            <w:r w:rsidRPr="005734B8">
              <w:rPr>
                <w:rFonts w:ascii="Calibri" w:hAnsi="Calibri" w:cs="Calibri"/>
                <w:lang w:val="en-AU"/>
              </w:rPr>
              <w:t>niversities</w:t>
            </w:r>
          </w:p>
          <w:p w14:paraId="21852C0C" w14:textId="77777777" w:rsidR="00CD0858" w:rsidRPr="005734B8" w:rsidRDefault="00CD0858" w:rsidP="00D93BA2">
            <w:pPr>
              <w:pStyle w:val="ESTablebullet1"/>
              <w:spacing w:before="0" w:after="0"/>
              <w:rPr>
                <w:rFonts w:ascii="Calibri" w:hAnsi="Calibri" w:cs="Calibri"/>
                <w:lang w:val="en-AU"/>
              </w:rPr>
            </w:pPr>
            <w:r w:rsidRPr="005734B8">
              <w:rPr>
                <w:rFonts w:ascii="Calibri" w:hAnsi="Calibri" w:cs="Calibri"/>
                <w:lang w:val="en-AU"/>
              </w:rPr>
              <w:t>Private registered training providers</w:t>
            </w:r>
          </w:p>
          <w:p w14:paraId="0CF78727" w14:textId="77777777" w:rsidR="00CD0858" w:rsidRPr="005734B8" w:rsidRDefault="00CD0858" w:rsidP="00D93BA2">
            <w:pPr>
              <w:pStyle w:val="ESTablebullet1"/>
              <w:spacing w:before="0" w:after="0"/>
              <w:rPr>
                <w:rFonts w:ascii="Calibri" w:hAnsi="Calibri" w:cs="Calibri"/>
                <w:lang w:val="en-AU"/>
              </w:rPr>
            </w:pPr>
            <w:r w:rsidRPr="005734B8">
              <w:rPr>
                <w:rFonts w:ascii="Calibri" w:hAnsi="Calibri" w:cs="Calibri"/>
                <w:lang w:val="en-AU"/>
              </w:rPr>
              <w:t>Learn Locals</w:t>
            </w:r>
          </w:p>
        </w:tc>
      </w:tr>
      <w:tr w:rsidR="00CD0858" w:rsidRPr="005734B8" w14:paraId="7B272565" w14:textId="77777777" w:rsidTr="00D93BA2">
        <w:trPr>
          <w:cantSplit/>
          <w:trHeight w:val="520"/>
        </w:trPr>
        <w:tc>
          <w:tcPr>
            <w:tcW w:w="7888" w:type="dxa"/>
            <w:gridSpan w:val="3"/>
            <w:tcBorders>
              <w:top w:val="single" w:sz="4" w:space="0" w:color="auto"/>
              <w:bottom w:val="single" w:sz="4" w:space="0" w:color="auto"/>
            </w:tcBorders>
            <w:shd w:val="clear" w:color="auto" w:fill="auto"/>
          </w:tcPr>
          <w:p w14:paraId="58C43B63" w14:textId="77777777" w:rsidR="00CD0858" w:rsidRPr="005734B8" w:rsidRDefault="00CD0858" w:rsidP="00D93BA2">
            <w:pPr>
              <w:pStyle w:val="ESTablebullet1"/>
              <w:numPr>
                <w:ilvl w:val="0"/>
                <w:numId w:val="0"/>
              </w:numPr>
              <w:spacing w:before="60" w:after="60"/>
              <w:rPr>
                <w:rFonts w:ascii="Calibri" w:hAnsi="Calibri" w:cs="Calibri"/>
                <w:lang w:val="en-AU"/>
              </w:rPr>
            </w:pPr>
            <w:r w:rsidRPr="005734B8">
              <w:rPr>
                <w:rFonts w:ascii="Calibri" w:hAnsi="Calibri" w:cs="Calibri"/>
                <w:lang w:val="en-AU"/>
              </w:rPr>
              <w:t>We have a diverse range of public, private and not-for-profit providers serving Victorians and international students of all ages:</w:t>
            </w:r>
          </w:p>
        </w:tc>
      </w:tr>
      <w:tr w:rsidR="00CD0858" w:rsidRPr="005734B8" w14:paraId="462B35C7" w14:textId="77777777" w:rsidTr="00712799">
        <w:trPr>
          <w:cantSplit/>
          <w:trHeight w:val="4322"/>
        </w:trPr>
        <w:tc>
          <w:tcPr>
            <w:tcW w:w="2689" w:type="dxa"/>
            <w:tcBorders>
              <w:top w:val="single" w:sz="4" w:space="0" w:color="auto"/>
              <w:bottom w:val="single" w:sz="4" w:space="0" w:color="53565A" w:themeColor="accent5"/>
            </w:tcBorders>
            <w:shd w:val="clear" w:color="auto" w:fill="auto"/>
          </w:tcPr>
          <w:p w14:paraId="27D28B21" w14:textId="77777777" w:rsidR="00CD0858" w:rsidRPr="005734B8" w:rsidRDefault="00CD0858" w:rsidP="00D93BA2">
            <w:pPr>
              <w:pStyle w:val="ESTablebullet1"/>
              <w:spacing w:before="0" w:after="0"/>
              <w:rPr>
                <w:rFonts w:ascii="Calibri" w:hAnsi="Calibri" w:cs="Calibri"/>
                <w:lang w:val="en-AU"/>
              </w:rPr>
            </w:pPr>
            <w:r w:rsidRPr="005734B8">
              <w:rPr>
                <w:rFonts w:ascii="Calibri" w:hAnsi="Calibri" w:cs="Calibri"/>
                <w:lang w:val="en-AU"/>
              </w:rPr>
              <w:t>More than 4,327 approved education and care services providing long day care, kindergarten, outside-school-hours care, and family day care</w:t>
            </w:r>
          </w:p>
          <w:p w14:paraId="53303925" w14:textId="77777777" w:rsidR="00CD0858" w:rsidRPr="005734B8" w:rsidRDefault="00CD0858" w:rsidP="00D93BA2">
            <w:pPr>
              <w:pStyle w:val="ESTablebullet1"/>
              <w:spacing w:before="0" w:after="0"/>
              <w:rPr>
                <w:rFonts w:ascii="Calibri" w:hAnsi="Calibri" w:cs="Calibri"/>
                <w:lang w:val="en-AU"/>
              </w:rPr>
            </w:pPr>
            <w:r w:rsidRPr="005734B8">
              <w:rPr>
                <w:rFonts w:ascii="Calibri" w:hAnsi="Calibri" w:cs="Calibri"/>
                <w:lang w:val="en-AU"/>
              </w:rPr>
              <w:t>Approximately 279 licensed children’s services providing limited-hour services such as occasional care</w:t>
            </w:r>
          </w:p>
        </w:tc>
        <w:tc>
          <w:tcPr>
            <w:tcW w:w="2409" w:type="dxa"/>
            <w:tcBorders>
              <w:top w:val="single" w:sz="4" w:space="0" w:color="auto"/>
              <w:bottom w:val="single" w:sz="4" w:space="0" w:color="53565A" w:themeColor="accent5"/>
            </w:tcBorders>
          </w:tcPr>
          <w:p w14:paraId="7C0D1734" w14:textId="77777777" w:rsidR="00CD0858" w:rsidRPr="005734B8" w:rsidRDefault="00CD0858" w:rsidP="00D93BA2">
            <w:pPr>
              <w:pStyle w:val="ESTablebullet1"/>
              <w:spacing w:before="0" w:after="0"/>
              <w:rPr>
                <w:rFonts w:ascii="Calibri" w:hAnsi="Calibri" w:cs="Calibri"/>
                <w:lang w:val="en-AU"/>
              </w:rPr>
            </w:pPr>
            <w:r w:rsidRPr="005734B8">
              <w:rPr>
                <w:rFonts w:ascii="Calibri" w:hAnsi="Calibri" w:cs="Calibri"/>
                <w:lang w:val="en-AU"/>
              </w:rPr>
              <w:t>1,553 government schools</w:t>
            </w:r>
          </w:p>
          <w:p w14:paraId="1D403322" w14:textId="77777777" w:rsidR="00CD0858" w:rsidRPr="005734B8" w:rsidRDefault="00CD0858" w:rsidP="00D93BA2">
            <w:pPr>
              <w:pStyle w:val="ESTablebullet1"/>
              <w:spacing w:before="0" w:after="0"/>
              <w:rPr>
                <w:rFonts w:ascii="Calibri" w:hAnsi="Calibri" w:cs="Calibri"/>
              </w:rPr>
            </w:pPr>
            <w:r w:rsidRPr="005734B8">
              <w:rPr>
                <w:rFonts w:ascii="Calibri" w:hAnsi="Calibri" w:cs="Calibri"/>
                <w:lang w:val="en-AU"/>
              </w:rPr>
              <w:t>723 non-government schools (497 Catholic schools and 226 independent schools)</w:t>
            </w:r>
          </w:p>
        </w:tc>
        <w:tc>
          <w:tcPr>
            <w:tcW w:w="2790" w:type="dxa"/>
            <w:tcBorders>
              <w:top w:val="single" w:sz="4" w:space="0" w:color="auto"/>
              <w:bottom w:val="single" w:sz="4" w:space="0" w:color="53565A" w:themeColor="accent5"/>
            </w:tcBorders>
          </w:tcPr>
          <w:p w14:paraId="42F661F7" w14:textId="77777777" w:rsidR="00CD0858" w:rsidRPr="005734B8" w:rsidRDefault="00CD0858" w:rsidP="00D93BA2">
            <w:pPr>
              <w:pStyle w:val="ESTablebullet1"/>
              <w:spacing w:before="0" w:after="0"/>
              <w:rPr>
                <w:rFonts w:ascii="Calibri" w:hAnsi="Calibri" w:cs="Calibri"/>
                <w:lang w:val="en-AU"/>
              </w:rPr>
            </w:pPr>
            <w:r w:rsidRPr="005734B8">
              <w:rPr>
                <w:rFonts w:ascii="Calibri" w:hAnsi="Calibri" w:cs="Calibri"/>
                <w:lang w:val="en-AU"/>
              </w:rPr>
              <w:t>12 TAFE institutes</w:t>
            </w:r>
          </w:p>
          <w:p w14:paraId="01190691" w14:textId="2CC3FF78" w:rsidR="00CD0858" w:rsidRPr="005734B8" w:rsidRDefault="00CD0858" w:rsidP="00D93BA2">
            <w:pPr>
              <w:pStyle w:val="ESTablebullet1"/>
              <w:spacing w:before="0" w:after="0"/>
              <w:rPr>
                <w:rFonts w:ascii="Calibri" w:hAnsi="Calibri" w:cs="Calibri"/>
                <w:lang w:val="en-AU"/>
              </w:rPr>
            </w:pPr>
            <w:r w:rsidRPr="005734B8">
              <w:rPr>
                <w:rFonts w:ascii="Calibri" w:hAnsi="Calibri" w:cs="Calibri"/>
                <w:lang w:val="en-AU"/>
              </w:rPr>
              <w:t xml:space="preserve">10 universities operating under </w:t>
            </w:r>
            <w:r w:rsidR="00DA034C" w:rsidRPr="005734B8">
              <w:rPr>
                <w:rFonts w:ascii="Calibri" w:hAnsi="Calibri" w:cs="Calibri"/>
                <w:lang w:val="en-AU"/>
              </w:rPr>
              <w:t>s</w:t>
            </w:r>
            <w:r w:rsidRPr="005734B8">
              <w:rPr>
                <w:rFonts w:ascii="Calibri" w:hAnsi="Calibri" w:cs="Calibri"/>
                <w:lang w:val="en-AU"/>
              </w:rPr>
              <w:t xml:space="preserve">tate legislation (four of which are dual-sector that also provide </w:t>
            </w:r>
            <w:r w:rsidR="001E5903" w:rsidRPr="005734B8">
              <w:rPr>
                <w:rFonts w:ascii="Calibri" w:hAnsi="Calibri" w:cs="Calibri"/>
                <w:lang w:val="en-AU"/>
              </w:rPr>
              <w:t>VET</w:t>
            </w:r>
            <w:r w:rsidRPr="005734B8">
              <w:rPr>
                <w:rFonts w:ascii="Calibri" w:hAnsi="Calibri" w:cs="Calibri"/>
                <w:lang w:val="en-AU"/>
              </w:rPr>
              <w:t>)</w:t>
            </w:r>
          </w:p>
          <w:p w14:paraId="381DA73E" w14:textId="69DDAB63" w:rsidR="00CD0858" w:rsidRPr="005734B8" w:rsidRDefault="00CD0858" w:rsidP="00D93BA2">
            <w:pPr>
              <w:pStyle w:val="ESTablebullet1"/>
              <w:spacing w:before="0" w:after="0"/>
              <w:rPr>
                <w:rFonts w:ascii="Calibri" w:hAnsi="Calibri" w:cs="Calibri"/>
                <w:lang w:val="en-AU"/>
              </w:rPr>
            </w:pPr>
            <w:r w:rsidRPr="005734B8">
              <w:rPr>
                <w:rFonts w:ascii="Calibri" w:hAnsi="Calibri" w:cs="Calibri"/>
                <w:lang w:val="en-AU"/>
              </w:rPr>
              <w:t>274 Learn Local organisations, including community</w:t>
            </w:r>
            <w:r w:rsidR="00484522" w:rsidRPr="005734B8">
              <w:rPr>
                <w:rFonts w:ascii="Calibri" w:hAnsi="Calibri" w:cs="Calibri"/>
                <w:lang w:val="en-AU"/>
              </w:rPr>
              <w:t>-</w:t>
            </w:r>
            <w:r w:rsidRPr="005734B8">
              <w:rPr>
                <w:rFonts w:ascii="Calibri" w:hAnsi="Calibri" w:cs="Calibri"/>
                <w:lang w:val="en-AU"/>
              </w:rPr>
              <w:t>owned not-for-profit organisations and Adult Education Institutions registered with the Adult, Community and Further Education Board (ACFE) to deliver pre-accredited training</w:t>
            </w:r>
          </w:p>
          <w:p w14:paraId="64A5C2B3" w14:textId="279D7914" w:rsidR="00CD0858" w:rsidRPr="005734B8" w:rsidRDefault="00CD0858" w:rsidP="00D93BA2">
            <w:pPr>
              <w:pStyle w:val="ESTablebullet1"/>
              <w:spacing w:before="0" w:after="0"/>
              <w:rPr>
                <w:rFonts w:ascii="Calibri" w:hAnsi="Calibri" w:cs="Calibri"/>
              </w:rPr>
            </w:pPr>
            <w:r w:rsidRPr="005734B8">
              <w:rPr>
                <w:rFonts w:ascii="Calibri" w:hAnsi="Calibri" w:cs="Calibri"/>
                <w:lang w:val="en-AU"/>
              </w:rPr>
              <w:t>197 government-contracted private registered training organisations</w:t>
            </w:r>
            <w:r w:rsidR="00A7332E" w:rsidRPr="005734B8">
              <w:rPr>
                <w:rFonts w:ascii="Calibri" w:hAnsi="Calibri" w:cs="Calibri"/>
                <w:lang w:val="en-AU"/>
              </w:rPr>
              <w:t xml:space="preserve"> (RTO)</w:t>
            </w:r>
          </w:p>
        </w:tc>
      </w:tr>
      <w:bookmarkEnd w:id="31"/>
    </w:tbl>
    <w:p w14:paraId="0922B6D5" w14:textId="646551F1" w:rsidR="00EE1565" w:rsidRPr="005734B8" w:rsidRDefault="00EE1565" w:rsidP="0042233C">
      <w:pPr>
        <w:rPr>
          <w:rFonts w:ascii="Calibri" w:eastAsiaTheme="minorEastAsia" w:hAnsi="Calibri" w:cs="Calibri"/>
          <w:szCs w:val="22"/>
          <w:highlight w:val="yellow"/>
          <w:lang w:val="en-US"/>
        </w:rPr>
      </w:pPr>
    </w:p>
    <w:p w14:paraId="71E393BC" w14:textId="77777777" w:rsidR="005E2F09" w:rsidRPr="005734B8" w:rsidRDefault="005E2F09">
      <w:pPr>
        <w:rPr>
          <w:rFonts w:ascii="Calibri" w:eastAsiaTheme="majorEastAsia" w:hAnsi="Calibri" w:cs="Calibri"/>
          <w:bCs/>
          <w:color w:val="8A2A2F" w:themeColor="text1"/>
          <w:spacing w:val="5"/>
          <w:kern w:val="28"/>
          <w:sz w:val="28"/>
          <w:szCs w:val="20"/>
          <w:highlight w:val="yellow"/>
          <w:lang w:val="en-US"/>
        </w:rPr>
      </w:pPr>
      <w:r w:rsidRPr="005734B8">
        <w:rPr>
          <w:rFonts w:ascii="Calibri" w:hAnsi="Calibri" w:cs="Calibri"/>
          <w:highlight w:val="yellow"/>
        </w:rPr>
        <w:br w:type="page"/>
      </w:r>
    </w:p>
    <w:p w14:paraId="431003D7" w14:textId="09A72C43" w:rsidR="00EB041C" w:rsidRPr="005734B8" w:rsidRDefault="00EB041C" w:rsidP="00EB041C">
      <w:pPr>
        <w:pStyle w:val="ESHeading2"/>
        <w:rPr>
          <w:rFonts w:ascii="Calibri" w:hAnsi="Calibri" w:cs="Calibri"/>
        </w:rPr>
      </w:pPr>
      <w:bookmarkStart w:id="38" w:name="_Toc48402769"/>
      <w:bookmarkStart w:id="39" w:name="_Toc48403006"/>
      <w:bookmarkStart w:id="40" w:name="_Toc51332749"/>
      <w:bookmarkStart w:id="41" w:name="_Toc81315313"/>
      <w:r w:rsidRPr="005734B8">
        <w:rPr>
          <w:rFonts w:ascii="Calibri" w:hAnsi="Calibri" w:cs="Calibri"/>
        </w:rPr>
        <w:lastRenderedPageBreak/>
        <w:t>Progress against the Department’s 20</w:t>
      </w:r>
      <w:r w:rsidR="00F86379" w:rsidRPr="005734B8">
        <w:rPr>
          <w:rFonts w:ascii="Calibri" w:hAnsi="Calibri" w:cs="Calibri"/>
        </w:rPr>
        <w:t>20</w:t>
      </w:r>
      <w:r w:rsidRPr="005734B8">
        <w:rPr>
          <w:rFonts w:ascii="Calibri" w:hAnsi="Calibri" w:cs="Calibri"/>
        </w:rPr>
        <w:t>–2</w:t>
      </w:r>
      <w:r w:rsidR="00F86379" w:rsidRPr="005734B8">
        <w:rPr>
          <w:rFonts w:ascii="Calibri" w:hAnsi="Calibri" w:cs="Calibri"/>
        </w:rPr>
        <w:t>4</w:t>
      </w:r>
      <w:r w:rsidRPr="005734B8">
        <w:rPr>
          <w:rFonts w:ascii="Calibri" w:hAnsi="Calibri" w:cs="Calibri"/>
        </w:rPr>
        <w:t xml:space="preserve"> Strategic Plan initiatives</w:t>
      </w:r>
      <w:bookmarkEnd w:id="38"/>
      <w:bookmarkEnd w:id="39"/>
      <w:bookmarkEnd w:id="40"/>
      <w:bookmarkEnd w:id="41"/>
    </w:p>
    <w:p w14:paraId="30149470" w14:textId="77777777" w:rsidR="00166233" w:rsidRPr="005734B8" w:rsidRDefault="00166233" w:rsidP="00166233">
      <w:pPr>
        <w:rPr>
          <w:rFonts w:ascii="Calibri" w:hAnsi="Calibri" w:cs="Calibri"/>
        </w:rPr>
      </w:pPr>
      <w:bookmarkStart w:id="42" w:name="_Hlk46215133"/>
      <w:r w:rsidRPr="005734B8">
        <w:rPr>
          <w:rFonts w:ascii="Calibri" w:hAnsi="Calibri" w:cs="Calibri"/>
        </w:rPr>
        <w:t>The Department is delivering its objectives through 39 key strategic initiatives</w:t>
      </w:r>
      <w:r w:rsidRPr="005734B8">
        <w:rPr>
          <w:rStyle w:val="FootnoteReference"/>
          <w:rFonts w:ascii="Calibri" w:hAnsi="Calibri" w:cs="Calibri"/>
        </w:rPr>
        <w:footnoteReference w:id="2"/>
      </w:r>
      <w:r w:rsidRPr="005734B8">
        <w:rPr>
          <w:rFonts w:ascii="Calibri" w:hAnsi="Calibri" w:cs="Calibri"/>
        </w:rPr>
        <w:t>. A progress summary of these initiatives is provided below.</w:t>
      </w:r>
    </w:p>
    <w:p w14:paraId="611C2661" w14:textId="74E31744" w:rsidR="00EB041C" w:rsidRPr="005734B8" w:rsidRDefault="00EB041C" w:rsidP="00EB041C">
      <w:pPr>
        <w:keepNext/>
        <w:spacing w:before="120" w:after="120"/>
        <w:rPr>
          <w:rFonts w:ascii="Calibri" w:eastAsiaTheme="minorEastAsia" w:hAnsi="Calibri" w:cs="Calibri"/>
          <w:b/>
          <w:color w:val="AF272F" w:themeColor="accent4"/>
          <w:sz w:val="20"/>
          <w:szCs w:val="18"/>
          <w:lang w:val="en-US"/>
        </w:rPr>
      </w:pPr>
      <w:r w:rsidRPr="005734B8">
        <w:rPr>
          <w:rFonts w:ascii="Calibri" w:eastAsiaTheme="minorEastAsia" w:hAnsi="Calibri" w:cs="Calibri"/>
          <w:b/>
          <w:color w:val="AF272F" w:themeColor="accent4"/>
          <w:sz w:val="20"/>
          <w:szCs w:val="18"/>
          <w:lang w:val="en-US"/>
        </w:rPr>
        <w:t>Strategic Plan initiatives</w:t>
      </w:r>
      <w:r w:rsidR="00FA745B" w:rsidRPr="005734B8">
        <w:rPr>
          <w:rFonts w:ascii="Calibri" w:eastAsiaTheme="minorEastAsia" w:hAnsi="Calibri" w:cs="Calibri"/>
          <w:b/>
          <w:color w:val="AF272F" w:themeColor="accent4"/>
          <w:sz w:val="20"/>
          <w:szCs w:val="18"/>
          <w:lang w:val="en-US"/>
        </w:rPr>
        <w:t xml:space="preserve"> progress summary</w:t>
      </w:r>
    </w:p>
    <w:tbl>
      <w:tblPr>
        <w:tblStyle w:val="TableGrid"/>
        <w:tblW w:w="8789"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6521"/>
      </w:tblGrid>
      <w:tr w:rsidR="00F77211" w:rsidRPr="005734B8" w14:paraId="4A9862F9" w14:textId="77777777" w:rsidTr="00D93BA2">
        <w:trPr>
          <w:cantSplit/>
          <w:trHeight w:val="242"/>
          <w:tblHeader/>
        </w:trPr>
        <w:tc>
          <w:tcPr>
            <w:tcW w:w="2268" w:type="dxa"/>
            <w:tcBorders>
              <w:bottom w:val="single" w:sz="4" w:space="0" w:color="FFFFFF" w:themeColor="background1"/>
            </w:tcBorders>
            <w:shd w:val="clear" w:color="auto" w:fill="AF272F"/>
          </w:tcPr>
          <w:bookmarkEnd w:id="42"/>
          <w:p w14:paraId="6FDD309C" w14:textId="0D70EB6F" w:rsidR="00B20F3F" w:rsidRPr="005734B8" w:rsidRDefault="00B20F3F" w:rsidP="00D93BA2">
            <w:pPr>
              <w:rPr>
                <w:rFonts w:ascii="Calibri" w:eastAsiaTheme="minorEastAsia" w:hAnsi="Calibri" w:cs="Calibri"/>
                <w:b/>
                <w:color w:val="FFFFFF" w:themeColor="background1"/>
                <w:sz w:val="20"/>
                <w:szCs w:val="20"/>
                <w:lang w:val="en-US"/>
              </w:rPr>
            </w:pPr>
            <w:r w:rsidRPr="005734B8">
              <w:rPr>
                <w:rFonts w:ascii="Calibri" w:eastAsiaTheme="minorEastAsia" w:hAnsi="Calibri" w:cs="Calibri"/>
                <w:b/>
                <w:color w:val="FFFFFF" w:themeColor="background1"/>
                <w:sz w:val="20"/>
                <w:szCs w:val="20"/>
                <w:lang w:val="en-US"/>
              </w:rPr>
              <w:t>Initiative</w:t>
            </w:r>
          </w:p>
        </w:tc>
        <w:tc>
          <w:tcPr>
            <w:tcW w:w="6521" w:type="dxa"/>
            <w:tcBorders>
              <w:bottom w:val="single" w:sz="4" w:space="0" w:color="FFFFFF" w:themeColor="background1"/>
            </w:tcBorders>
            <w:shd w:val="clear" w:color="auto" w:fill="AF272F"/>
          </w:tcPr>
          <w:p w14:paraId="139EB527" w14:textId="4B8D793D" w:rsidR="00B20F3F" w:rsidRPr="005734B8" w:rsidRDefault="00B20F3F" w:rsidP="00D93BA2">
            <w:pPr>
              <w:rPr>
                <w:rFonts w:ascii="Calibri" w:eastAsiaTheme="minorEastAsia" w:hAnsi="Calibri" w:cs="Calibri"/>
                <w:b/>
                <w:color w:val="FFFFFF" w:themeColor="background1"/>
                <w:sz w:val="20"/>
                <w:szCs w:val="20"/>
                <w:lang w:val="en-US"/>
              </w:rPr>
            </w:pPr>
            <w:r w:rsidRPr="005734B8">
              <w:rPr>
                <w:rFonts w:ascii="Calibri" w:eastAsiaTheme="minorEastAsia" w:hAnsi="Calibri" w:cs="Calibri"/>
                <w:b/>
                <w:color w:val="FFFFFF" w:themeColor="background1"/>
                <w:sz w:val="20"/>
                <w:szCs w:val="20"/>
                <w:lang w:val="en-US"/>
              </w:rPr>
              <w:t xml:space="preserve">2020–21 </w:t>
            </w:r>
            <w:r w:rsidR="00BC0E8A" w:rsidRPr="005734B8">
              <w:rPr>
                <w:rFonts w:ascii="Calibri" w:eastAsiaTheme="minorEastAsia" w:hAnsi="Calibri" w:cs="Calibri"/>
                <w:b/>
                <w:color w:val="FFFFFF" w:themeColor="background1"/>
                <w:sz w:val="20"/>
                <w:szCs w:val="20"/>
                <w:lang w:val="en-US"/>
              </w:rPr>
              <w:t>p</w:t>
            </w:r>
            <w:r w:rsidRPr="005734B8">
              <w:rPr>
                <w:rFonts w:ascii="Calibri" w:eastAsiaTheme="minorEastAsia" w:hAnsi="Calibri" w:cs="Calibri"/>
                <w:b/>
                <w:color w:val="FFFFFF" w:themeColor="background1"/>
                <w:sz w:val="20"/>
                <w:szCs w:val="20"/>
                <w:lang w:val="en-US"/>
              </w:rPr>
              <w:t xml:space="preserve">rogress </w:t>
            </w:r>
            <w:r w:rsidR="00BC0E8A" w:rsidRPr="005734B8">
              <w:rPr>
                <w:rFonts w:ascii="Calibri" w:eastAsiaTheme="minorEastAsia" w:hAnsi="Calibri" w:cs="Calibri"/>
                <w:b/>
                <w:color w:val="FFFFFF" w:themeColor="background1"/>
                <w:sz w:val="20"/>
                <w:szCs w:val="20"/>
                <w:lang w:val="en-US"/>
              </w:rPr>
              <w:t>s</w:t>
            </w:r>
            <w:r w:rsidRPr="005734B8">
              <w:rPr>
                <w:rFonts w:ascii="Calibri" w:eastAsiaTheme="minorEastAsia" w:hAnsi="Calibri" w:cs="Calibri"/>
                <w:b/>
                <w:color w:val="FFFFFF" w:themeColor="background1"/>
                <w:sz w:val="20"/>
                <w:szCs w:val="20"/>
                <w:lang w:val="en-US"/>
              </w:rPr>
              <w:t>ummary</w:t>
            </w:r>
          </w:p>
        </w:tc>
      </w:tr>
      <w:tr w:rsidR="008742FF" w:rsidRPr="005734B8" w14:paraId="4C53FA55" w14:textId="77777777" w:rsidTr="00D93BA2">
        <w:trPr>
          <w:cantSplit/>
        </w:trPr>
        <w:tc>
          <w:tcPr>
            <w:tcW w:w="2268" w:type="dxa"/>
            <w:tcBorders>
              <w:top w:val="single" w:sz="4" w:space="0" w:color="auto"/>
              <w:bottom w:val="single" w:sz="4" w:space="0" w:color="auto"/>
            </w:tcBorders>
            <w:shd w:val="clear" w:color="auto" w:fill="FFFFFF" w:themeFill="background1"/>
          </w:tcPr>
          <w:p w14:paraId="7D2F3886" w14:textId="77777777" w:rsidR="008742FF" w:rsidRPr="00D0282B" w:rsidRDefault="008742FF" w:rsidP="00D0282B">
            <w:pPr>
              <w:pStyle w:val="ESTablebodystrong"/>
            </w:pPr>
            <w:r w:rsidRPr="00D0282B">
              <w:t>Asset Strategy</w:t>
            </w:r>
          </w:p>
        </w:tc>
        <w:tc>
          <w:tcPr>
            <w:tcW w:w="6521" w:type="dxa"/>
            <w:tcBorders>
              <w:top w:val="single" w:sz="4" w:space="0" w:color="auto"/>
              <w:bottom w:val="single" w:sz="4" w:space="0" w:color="auto"/>
            </w:tcBorders>
            <w:shd w:val="clear" w:color="auto" w:fill="FFFFFF" w:themeFill="background1"/>
          </w:tcPr>
          <w:p w14:paraId="1798647E" w14:textId="509A054D" w:rsidR="008742FF" w:rsidRPr="00D0282B" w:rsidRDefault="00450731" w:rsidP="00D0282B">
            <w:pPr>
              <w:pStyle w:val="ESTablebody"/>
              <w:rPr>
                <w:rFonts w:ascii="Calibri" w:hAnsi="Calibri"/>
                <w:sz w:val="18"/>
              </w:rPr>
            </w:pPr>
            <w:r w:rsidRPr="00D0282B">
              <w:rPr>
                <w:rFonts w:ascii="Calibri" w:hAnsi="Calibri"/>
                <w:sz w:val="18"/>
              </w:rPr>
              <w:t xml:space="preserve">The asset strategy consists of 37 actions, designed to mature the Department’s asset management system. Of these, 21 have been completed and the </w:t>
            </w:r>
            <w:r>
              <w:rPr>
                <w:rFonts w:ascii="Calibri" w:hAnsi="Calibri"/>
                <w:sz w:val="18"/>
              </w:rPr>
              <w:t>remaining</w:t>
            </w:r>
            <w:r w:rsidRPr="00D0282B">
              <w:rPr>
                <w:rFonts w:ascii="Calibri" w:hAnsi="Calibri"/>
                <w:sz w:val="18"/>
              </w:rPr>
              <w:t xml:space="preserve"> </w:t>
            </w:r>
            <w:r>
              <w:rPr>
                <w:rFonts w:ascii="Calibri" w:hAnsi="Calibri"/>
                <w:sz w:val="18"/>
              </w:rPr>
              <w:t>actions are</w:t>
            </w:r>
            <w:r w:rsidRPr="00D0282B">
              <w:rPr>
                <w:rFonts w:ascii="Calibri" w:hAnsi="Calibri"/>
                <w:sz w:val="18"/>
              </w:rPr>
              <w:t xml:space="preserve"> on-track.</w:t>
            </w:r>
          </w:p>
        </w:tc>
      </w:tr>
      <w:tr w:rsidR="008742FF" w:rsidRPr="005734B8" w14:paraId="11C23816" w14:textId="77777777" w:rsidTr="00D93BA2">
        <w:trPr>
          <w:cantSplit/>
        </w:trPr>
        <w:tc>
          <w:tcPr>
            <w:tcW w:w="2268" w:type="dxa"/>
            <w:tcBorders>
              <w:top w:val="single" w:sz="4" w:space="0" w:color="auto"/>
              <w:bottom w:val="single" w:sz="4" w:space="0" w:color="auto"/>
            </w:tcBorders>
            <w:shd w:val="clear" w:color="auto" w:fill="FFFFFF" w:themeFill="background1"/>
          </w:tcPr>
          <w:p w14:paraId="4CB7706F" w14:textId="77777777" w:rsidR="008742FF" w:rsidRPr="00D0282B" w:rsidRDefault="008742FF" w:rsidP="00D0282B">
            <w:pPr>
              <w:pStyle w:val="ESTablebodystrong"/>
            </w:pPr>
            <w:r w:rsidRPr="00D0282B">
              <w:t>Building better TAFEs</w:t>
            </w:r>
          </w:p>
        </w:tc>
        <w:tc>
          <w:tcPr>
            <w:tcW w:w="6521" w:type="dxa"/>
            <w:tcBorders>
              <w:top w:val="single" w:sz="4" w:space="0" w:color="auto"/>
              <w:bottom w:val="single" w:sz="4" w:space="0" w:color="auto"/>
            </w:tcBorders>
            <w:shd w:val="clear" w:color="auto" w:fill="FFFFFF" w:themeFill="background1"/>
          </w:tcPr>
          <w:p w14:paraId="34613F32" w14:textId="77777777" w:rsidR="008742FF" w:rsidRPr="00D0282B" w:rsidRDefault="008742FF" w:rsidP="00D0282B">
            <w:pPr>
              <w:pStyle w:val="ESTablebody"/>
              <w:rPr>
                <w:rFonts w:ascii="Calibri" w:hAnsi="Calibri"/>
                <w:sz w:val="18"/>
              </w:rPr>
            </w:pPr>
            <w:r w:rsidRPr="00D0282B">
              <w:rPr>
                <w:rFonts w:ascii="Calibri" w:hAnsi="Calibri"/>
                <w:sz w:val="18"/>
              </w:rPr>
              <w:t>Eight projects have received $220 million in funding under the Building Better TAFE program. The Box Hill Institutes Lilydale Campus Integrated Centre for Sustainable Construction Technologies is complete and operational. GOTAFE Seymour Health and Services Training Facility, the Gordon Culinary School in Geelong and the South West TAFE Warrnambool Campus Learning and Library Hub are in their construction phases. Melbourne Polytechnic Collingwood Campus Redevelopment and the Chisholm Institute of the Frankston redevelopment are in the design phase, and Bendigo Kangan Institute Broadmeadows and GOTAFE Archer Street are in the planning stage. All projects are expected to be completed by June 2025.</w:t>
            </w:r>
          </w:p>
        </w:tc>
      </w:tr>
      <w:tr w:rsidR="008742FF" w:rsidRPr="005734B8" w14:paraId="1A43F2B7" w14:textId="77777777" w:rsidTr="00D93BA2">
        <w:trPr>
          <w:cantSplit/>
        </w:trPr>
        <w:tc>
          <w:tcPr>
            <w:tcW w:w="2268" w:type="dxa"/>
            <w:tcBorders>
              <w:top w:val="single" w:sz="4" w:space="0" w:color="auto"/>
              <w:bottom w:val="single" w:sz="4" w:space="0" w:color="auto"/>
            </w:tcBorders>
            <w:shd w:val="clear" w:color="auto" w:fill="FFFFFF" w:themeFill="background1"/>
          </w:tcPr>
          <w:p w14:paraId="62EE4C14" w14:textId="77777777" w:rsidR="008742FF" w:rsidRPr="00D0282B" w:rsidRDefault="008742FF" w:rsidP="00D0282B">
            <w:pPr>
              <w:pStyle w:val="ESTablebodystrong"/>
            </w:pPr>
            <w:r w:rsidRPr="00D0282B">
              <w:t>Bushfire recovery</w:t>
            </w:r>
          </w:p>
        </w:tc>
        <w:tc>
          <w:tcPr>
            <w:tcW w:w="6521" w:type="dxa"/>
            <w:tcBorders>
              <w:top w:val="single" w:sz="4" w:space="0" w:color="auto"/>
              <w:bottom w:val="single" w:sz="4" w:space="0" w:color="auto"/>
            </w:tcBorders>
            <w:shd w:val="clear" w:color="auto" w:fill="FFFFFF" w:themeFill="background1"/>
          </w:tcPr>
          <w:p w14:paraId="6AE97BEC" w14:textId="77777777" w:rsidR="008742FF" w:rsidRPr="00D0282B" w:rsidRDefault="008742FF" w:rsidP="00D0282B">
            <w:pPr>
              <w:pStyle w:val="ESTablebody"/>
              <w:rPr>
                <w:rFonts w:ascii="Calibri" w:hAnsi="Calibri"/>
                <w:sz w:val="18"/>
              </w:rPr>
            </w:pPr>
            <w:r w:rsidRPr="00D0282B">
              <w:rPr>
                <w:rFonts w:ascii="Calibri" w:hAnsi="Calibri"/>
                <w:sz w:val="18"/>
              </w:rPr>
              <w:t>The Department has delivered 3,957 financial support packages to eligible families via the ‘Getting Kids Back to School’ initiative and facilitated more than 95 expert community sessions with affected schools. The Department also partnered with Monash University to deliver masterclasses in high</w:t>
            </w:r>
            <w:r w:rsidRPr="00D0282B">
              <w:rPr>
                <w:rFonts w:ascii="Calibri" w:hAnsi="Calibri"/>
                <w:sz w:val="18"/>
              </w:rPr>
              <w:noBreakHyphen/>
              <w:t>impact teaching strategies for community level trauma.</w:t>
            </w:r>
          </w:p>
        </w:tc>
      </w:tr>
      <w:tr w:rsidR="008742FF" w:rsidRPr="005734B8" w14:paraId="7C7D4BB0" w14:textId="77777777" w:rsidTr="00D93BA2">
        <w:trPr>
          <w:cantSplit/>
        </w:trPr>
        <w:tc>
          <w:tcPr>
            <w:tcW w:w="2268" w:type="dxa"/>
            <w:tcBorders>
              <w:top w:val="single" w:sz="4" w:space="0" w:color="auto"/>
              <w:bottom w:val="single" w:sz="4" w:space="0" w:color="auto"/>
            </w:tcBorders>
            <w:shd w:val="clear" w:color="auto" w:fill="FFFFFF" w:themeFill="background1"/>
          </w:tcPr>
          <w:p w14:paraId="3BC31233" w14:textId="77777777" w:rsidR="008742FF" w:rsidRPr="00D0282B" w:rsidRDefault="008742FF" w:rsidP="00D0282B">
            <w:pPr>
              <w:pStyle w:val="ESTablebodystrong"/>
            </w:pPr>
            <w:r w:rsidRPr="00D0282B">
              <w:t>Career education in Victorian government schools, including Head Start apprenticeships and traineeships</w:t>
            </w:r>
          </w:p>
        </w:tc>
        <w:tc>
          <w:tcPr>
            <w:tcW w:w="6521" w:type="dxa"/>
            <w:tcBorders>
              <w:top w:val="single" w:sz="4" w:space="0" w:color="auto"/>
              <w:bottom w:val="single" w:sz="4" w:space="0" w:color="auto"/>
            </w:tcBorders>
            <w:shd w:val="clear" w:color="auto" w:fill="FFFFFF" w:themeFill="background1"/>
          </w:tcPr>
          <w:p w14:paraId="459DFF73" w14:textId="77777777" w:rsidR="008742FF" w:rsidRPr="005734B8" w:rsidRDefault="008742FF" w:rsidP="00D0282B">
            <w:pPr>
              <w:pStyle w:val="ESTablebody"/>
              <w:rPr>
                <w:rFonts w:ascii="Calibri" w:hAnsi="Calibri" w:cs="Calibri"/>
                <w:sz w:val="18"/>
              </w:rPr>
            </w:pPr>
            <w:r w:rsidRPr="00D0282B">
              <w:rPr>
                <w:rFonts w:ascii="Calibri" w:hAnsi="Calibri"/>
                <w:sz w:val="18"/>
              </w:rPr>
              <w:t xml:space="preserve">All Year 9 students in government schools have access to the My Career Insights planning tool, and </w:t>
            </w:r>
            <w:r w:rsidRPr="005734B8">
              <w:rPr>
                <w:rFonts w:ascii="Calibri" w:hAnsi="Calibri" w:cs="Calibri"/>
                <w:sz w:val="18"/>
              </w:rPr>
              <w:t>more than 9,000 Year 9 students accessed their Careers e-Portfolio in 2020.</w:t>
            </w:r>
          </w:p>
          <w:p w14:paraId="595DBF35" w14:textId="77777777" w:rsidR="008742FF" w:rsidRPr="00D0282B" w:rsidRDefault="008742FF" w:rsidP="00D0282B">
            <w:pPr>
              <w:pStyle w:val="ESTablebody"/>
              <w:rPr>
                <w:rFonts w:ascii="Calibri" w:hAnsi="Calibri"/>
                <w:sz w:val="18"/>
              </w:rPr>
            </w:pPr>
            <w:r w:rsidRPr="00D0282B">
              <w:rPr>
                <w:rFonts w:ascii="Calibri" w:hAnsi="Calibri"/>
                <w:sz w:val="18"/>
              </w:rPr>
              <w:t>242 career practitioners completed the Graduate Certificate through the Upskilling initiative. A further 95 career practitioners are enrolled in the 2021 program. As at 31 March 2021, 926 students have enrolled in Head Start pathway.</w:t>
            </w:r>
          </w:p>
        </w:tc>
      </w:tr>
      <w:tr w:rsidR="008742FF" w:rsidRPr="005734B8" w14:paraId="452C821B" w14:textId="77777777" w:rsidTr="00D93BA2">
        <w:trPr>
          <w:cantSplit/>
        </w:trPr>
        <w:tc>
          <w:tcPr>
            <w:tcW w:w="2268" w:type="dxa"/>
            <w:tcBorders>
              <w:top w:val="single" w:sz="4" w:space="0" w:color="auto"/>
              <w:bottom w:val="single" w:sz="4" w:space="0" w:color="auto"/>
            </w:tcBorders>
            <w:shd w:val="clear" w:color="auto" w:fill="FFFFFF" w:themeFill="background1"/>
          </w:tcPr>
          <w:p w14:paraId="6DCD8D4E" w14:textId="77777777" w:rsidR="008742FF" w:rsidRPr="00D0282B" w:rsidRDefault="008742FF" w:rsidP="00D0282B">
            <w:pPr>
              <w:pStyle w:val="ESTablebodystrong"/>
            </w:pPr>
            <w:r w:rsidRPr="00D0282B">
              <w:t>Central accommodation strategy</w:t>
            </w:r>
          </w:p>
        </w:tc>
        <w:tc>
          <w:tcPr>
            <w:tcW w:w="6521" w:type="dxa"/>
            <w:tcBorders>
              <w:top w:val="single" w:sz="4" w:space="0" w:color="auto"/>
              <w:bottom w:val="single" w:sz="4" w:space="0" w:color="auto"/>
            </w:tcBorders>
            <w:shd w:val="clear" w:color="auto" w:fill="FFFFFF" w:themeFill="background1"/>
          </w:tcPr>
          <w:p w14:paraId="01B2D89C" w14:textId="77777777" w:rsidR="008742FF" w:rsidRPr="00D0282B" w:rsidRDefault="008742FF" w:rsidP="00D0282B">
            <w:pPr>
              <w:pStyle w:val="ESTablebody"/>
              <w:rPr>
                <w:rFonts w:ascii="Calibri" w:hAnsi="Calibri"/>
                <w:sz w:val="18"/>
              </w:rPr>
            </w:pPr>
            <w:bookmarkStart w:id="43" w:name="_Hlk76381499"/>
            <w:r w:rsidRPr="00D0282B">
              <w:rPr>
                <w:rFonts w:ascii="Calibri" w:hAnsi="Calibri"/>
                <w:sz w:val="18"/>
              </w:rPr>
              <w:t xml:space="preserve">During 2020–21 the Department was part of the Victorian Government flexible working and suburban hub initiatives. In addition, existing office workspaces were upgraded to ensure they were fit-for-function and facilitated hybrid and flexible arrangements for staff working in the office and at home. </w:t>
            </w:r>
            <w:bookmarkEnd w:id="43"/>
          </w:p>
        </w:tc>
      </w:tr>
      <w:tr w:rsidR="008742FF" w:rsidRPr="005734B8" w14:paraId="125C2579" w14:textId="77777777" w:rsidTr="00D93BA2">
        <w:trPr>
          <w:cantSplit/>
        </w:trPr>
        <w:tc>
          <w:tcPr>
            <w:tcW w:w="2268" w:type="dxa"/>
            <w:tcBorders>
              <w:top w:val="single" w:sz="4" w:space="0" w:color="FFFFFF" w:themeColor="background1"/>
              <w:bottom w:val="single" w:sz="4" w:space="0" w:color="auto"/>
            </w:tcBorders>
            <w:shd w:val="clear" w:color="auto" w:fill="FFFFFF" w:themeFill="background1"/>
          </w:tcPr>
          <w:p w14:paraId="578830CF" w14:textId="77777777" w:rsidR="008742FF" w:rsidRPr="00D0282B" w:rsidRDefault="008742FF" w:rsidP="00D0282B">
            <w:pPr>
              <w:pStyle w:val="ESTablebodystrong"/>
            </w:pPr>
            <w:r w:rsidRPr="00D0282B">
              <w:t>Child Information Sharing (CIS) Scheme</w:t>
            </w:r>
          </w:p>
        </w:tc>
        <w:tc>
          <w:tcPr>
            <w:tcW w:w="6521" w:type="dxa"/>
            <w:tcBorders>
              <w:top w:val="single" w:sz="4" w:space="0" w:color="FFFFFF" w:themeColor="background1"/>
              <w:bottom w:val="single" w:sz="4" w:space="0" w:color="auto"/>
            </w:tcBorders>
            <w:shd w:val="clear" w:color="auto" w:fill="FFFFFF" w:themeFill="background1"/>
          </w:tcPr>
          <w:p w14:paraId="1EC54E5E" w14:textId="77777777" w:rsidR="008742FF" w:rsidRPr="00D0282B" w:rsidRDefault="008742FF" w:rsidP="00D0282B">
            <w:pPr>
              <w:pStyle w:val="ESTablebody"/>
              <w:rPr>
                <w:rFonts w:ascii="Calibri" w:hAnsi="Calibri"/>
                <w:sz w:val="18"/>
              </w:rPr>
            </w:pPr>
            <w:r w:rsidRPr="00D0282B">
              <w:rPr>
                <w:rFonts w:ascii="Calibri" w:hAnsi="Calibri"/>
                <w:sz w:val="18"/>
              </w:rPr>
              <w:t>In 2020–21, the scheme commenced for approximately 370,000 professionals, and more than 12,000 organisational leads received training on the information sharing reforms. Implementation has also involved establishing a helpline and providing online resources for professionals involved in the scheme.</w:t>
            </w:r>
          </w:p>
        </w:tc>
      </w:tr>
      <w:tr w:rsidR="008742FF" w:rsidRPr="005734B8" w14:paraId="3CCF499E" w14:textId="77777777" w:rsidTr="00D93BA2">
        <w:trPr>
          <w:cantSplit/>
        </w:trPr>
        <w:tc>
          <w:tcPr>
            <w:tcW w:w="2268" w:type="dxa"/>
            <w:tcBorders>
              <w:top w:val="single" w:sz="4" w:space="0" w:color="auto"/>
              <w:bottom w:val="single" w:sz="4" w:space="0" w:color="auto"/>
            </w:tcBorders>
            <w:shd w:val="clear" w:color="auto" w:fill="FFFFFF" w:themeFill="background1"/>
          </w:tcPr>
          <w:p w14:paraId="741644B5" w14:textId="77777777" w:rsidR="008742FF" w:rsidRPr="00D0282B" w:rsidRDefault="008742FF" w:rsidP="00D0282B">
            <w:pPr>
              <w:pStyle w:val="ESTablebodystrong"/>
            </w:pPr>
            <w:r w:rsidRPr="00D0282B">
              <w:t>Climate change adaptation action plan for the education and training sector</w:t>
            </w:r>
          </w:p>
        </w:tc>
        <w:tc>
          <w:tcPr>
            <w:tcW w:w="6521" w:type="dxa"/>
            <w:tcBorders>
              <w:top w:val="single" w:sz="4" w:space="0" w:color="auto"/>
              <w:bottom w:val="single" w:sz="4" w:space="0" w:color="auto"/>
            </w:tcBorders>
            <w:shd w:val="clear" w:color="auto" w:fill="FFFFFF" w:themeFill="background1"/>
          </w:tcPr>
          <w:p w14:paraId="1556C4F9" w14:textId="77777777" w:rsidR="008742FF" w:rsidRPr="00D0282B" w:rsidRDefault="008742FF" w:rsidP="00D0282B">
            <w:pPr>
              <w:pStyle w:val="ESTablebody"/>
              <w:rPr>
                <w:rFonts w:ascii="Calibri" w:hAnsi="Calibri"/>
                <w:sz w:val="18"/>
              </w:rPr>
            </w:pPr>
            <w:r w:rsidRPr="00D0282B">
              <w:rPr>
                <w:rFonts w:ascii="Calibri" w:hAnsi="Calibri"/>
                <w:sz w:val="18"/>
              </w:rPr>
              <w:t>During 2020–21 the Department drafted the adaptation action plan for the education and training system. This included 22 draft actions to be undertaken between 2021–26 to support the system adapt to climate change impacts.</w:t>
            </w:r>
          </w:p>
        </w:tc>
      </w:tr>
      <w:tr w:rsidR="008742FF" w:rsidRPr="005734B8" w14:paraId="4242FB32" w14:textId="77777777" w:rsidTr="00D93BA2">
        <w:trPr>
          <w:cantSplit/>
        </w:trPr>
        <w:tc>
          <w:tcPr>
            <w:tcW w:w="2268" w:type="dxa"/>
            <w:tcBorders>
              <w:top w:val="single" w:sz="4" w:space="0" w:color="auto"/>
              <w:bottom w:val="single" w:sz="4" w:space="0" w:color="auto"/>
            </w:tcBorders>
            <w:shd w:val="clear" w:color="auto" w:fill="FFFFFF" w:themeFill="background1"/>
          </w:tcPr>
          <w:p w14:paraId="7747FEF9" w14:textId="77777777" w:rsidR="008742FF" w:rsidRPr="00D0282B" w:rsidRDefault="008742FF" w:rsidP="00D0282B">
            <w:pPr>
              <w:pStyle w:val="ESTablebodystrong"/>
            </w:pPr>
            <w:r w:rsidRPr="00D0282B">
              <w:t>Differentiated support for school improvement</w:t>
            </w:r>
          </w:p>
        </w:tc>
        <w:tc>
          <w:tcPr>
            <w:tcW w:w="6521" w:type="dxa"/>
            <w:tcBorders>
              <w:top w:val="single" w:sz="4" w:space="0" w:color="auto"/>
              <w:bottom w:val="single" w:sz="4" w:space="0" w:color="auto"/>
            </w:tcBorders>
            <w:shd w:val="clear" w:color="auto" w:fill="FFFFFF" w:themeFill="background1"/>
          </w:tcPr>
          <w:p w14:paraId="200D88BA" w14:textId="77777777" w:rsidR="008742FF" w:rsidRPr="00D0282B" w:rsidRDefault="008742FF" w:rsidP="00D0282B">
            <w:pPr>
              <w:pStyle w:val="ESTablebody"/>
              <w:rPr>
                <w:rFonts w:ascii="Calibri" w:hAnsi="Calibri"/>
                <w:sz w:val="18"/>
              </w:rPr>
            </w:pPr>
            <w:r w:rsidRPr="00D0282B">
              <w:rPr>
                <w:rFonts w:ascii="Calibri" w:hAnsi="Calibri"/>
                <w:sz w:val="18"/>
              </w:rPr>
              <w:t>During 2020–21, 200 schools were supported through the differentiated support for school improvement program.</w:t>
            </w:r>
          </w:p>
        </w:tc>
      </w:tr>
      <w:tr w:rsidR="008742FF" w:rsidRPr="005734B8" w14:paraId="771A233D" w14:textId="77777777" w:rsidTr="00D93BA2">
        <w:trPr>
          <w:cantSplit/>
        </w:trPr>
        <w:tc>
          <w:tcPr>
            <w:tcW w:w="2268" w:type="dxa"/>
            <w:tcBorders>
              <w:top w:val="single" w:sz="4" w:space="0" w:color="auto"/>
              <w:bottom w:val="single" w:sz="4" w:space="0" w:color="auto"/>
            </w:tcBorders>
            <w:shd w:val="clear" w:color="auto" w:fill="FFFFFF" w:themeFill="background1"/>
          </w:tcPr>
          <w:p w14:paraId="1EAB8CC6" w14:textId="77777777" w:rsidR="008742FF" w:rsidRPr="00D0282B" w:rsidRDefault="008742FF" w:rsidP="00D0282B">
            <w:pPr>
              <w:pStyle w:val="ESTablebodystrong"/>
            </w:pPr>
            <w:r w:rsidRPr="00D0282B">
              <w:t>Education justice initiative</w:t>
            </w:r>
          </w:p>
        </w:tc>
        <w:tc>
          <w:tcPr>
            <w:tcW w:w="6521" w:type="dxa"/>
            <w:tcBorders>
              <w:top w:val="single" w:sz="4" w:space="0" w:color="auto"/>
              <w:bottom w:val="single" w:sz="4" w:space="0" w:color="auto"/>
            </w:tcBorders>
            <w:shd w:val="clear" w:color="auto" w:fill="FFFFFF" w:themeFill="background1"/>
          </w:tcPr>
          <w:p w14:paraId="36445914" w14:textId="77777777" w:rsidR="008742FF" w:rsidRPr="00D0282B" w:rsidRDefault="008742FF" w:rsidP="00D0282B">
            <w:pPr>
              <w:pStyle w:val="ESTablebody"/>
              <w:rPr>
                <w:rFonts w:ascii="Calibri" w:hAnsi="Calibri"/>
                <w:sz w:val="18"/>
              </w:rPr>
            </w:pPr>
            <w:r w:rsidRPr="00D0282B">
              <w:rPr>
                <w:rFonts w:ascii="Calibri" w:hAnsi="Calibri"/>
                <w:sz w:val="18"/>
              </w:rPr>
              <w:t xml:space="preserve">This initiative supported more than 300 young people appearing before the Children’s Court in 2020–21 by helping them reconnect and remain in education and by providing advice. It also supported the transition of more than 100 young people from custody. </w:t>
            </w:r>
          </w:p>
        </w:tc>
      </w:tr>
      <w:tr w:rsidR="008742FF" w:rsidRPr="005734B8" w14:paraId="03BFAC9A" w14:textId="77777777" w:rsidTr="00D93BA2">
        <w:trPr>
          <w:cantSplit/>
        </w:trPr>
        <w:tc>
          <w:tcPr>
            <w:tcW w:w="2268" w:type="dxa"/>
            <w:tcBorders>
              <w:top w:val="single" w:sz="4" w:space="0" w:color="auto"/>
              <w:bottom w:val="single" w:sz="4" w:space="0" w:color="auto"/>
            </w:tcBorders>
            <w:shd w:val="clear" w:color="auto" w:fill="FFFFFF" w:themeFill="background1"/>
          </w:tcPr>
          <w:p w14:paraId="40C6C63C" w14:textId="0EC6DDFA" w:rsidR="008742FF" w:rsidRPr="00D0282B" w:rsidRDefault="008742FF" w:rsidP="00D0282B">
            <w:pPr>
              <w:pStyle w:val="ESTablebodystrong"/>
            </w:pPr>
            <w:r w:rsidRPr="00D0282B">
              <w:lastRenderedPageBreak/>
              <w:t xml:space="preserve">Education </w:t>
            </w:r>
            <w:r w:rsidR="00E70870">
              <w:t>P</w:t>
            </w:r>
            <w:r w:rsidRPr="00D0282B">
              <w:t>lans</w:t>
            </w:r>
          </w:p>
        </w:tc>
        <w:tc>
          <w:tcPr>
            <w:tcW w:w="6521" w:type="dxa"/>
            <w:tcBorders>
              <w:top w:val="single" w:sz="4" w:space="0" w:color="auto"/>
              <w:bottom w:val="single" w:sz="4" w:space="0" w:color="auto"/>
            </w:tcBorders>
            <w:shd w:val="clear" w:color="auto" w:fill="FFFFFF" w:themeFill="background1"/>
          </w:tcPr>
          <w:p w14:paraId="24AFB501" w14:textId="3D6913CA" w:rsidR="008742FF" w:rsidRPr="00D0282B" w:rsidRDefault="008742FF" w:rsidP="00D0282B">
            <w:pPr>
              <w:pStyle w:val="ESTablebody"/>
              <w:rPr>
                <w:rFonts w:ascii="Calibri" w:hAnsi="Calibri"/>
                <w:sz w:val="18"/>
              </w:rPr>
            </w:pPr>
            <w:r w:rsidRPr="00D0282B">
              <w:rPr>
                <w:rFonts w:ascii="Calibri" w:hAnsi="Calibri"/>
                <w:sz w:val="18"/>
              </w:rPr>
              <w:t xml:space="preserve">The Department launched the Flemington and Oakleigh Education </w:t>
            </w:r>
            <w:r w:rsidR="00E70870">
              <w:rPr>
                <w:rFonts w:ascii="Calibri" w:hAnsi="Calibri"/>
                <w:sz w:val="18"/>
              </w:rPr>
              <w:t>P</w:t>
            </w:r>
            <w:r w:rsidRPr="00D0282B">
              <w:rPr>
                <w:rFonts w:ascii="Calibri" w:hAnsi="Calibri"/>
                <w:sz w:val="18"/>
              </w:rPr>
              <w:t xml:space="preserve">lans in October 2020. During 2020–21 the </w:t>
            </w:r>
            <w:r w:rsidR="007D65E8">
              <w:rPr>
                <w:rFonts w:ascii="Calibri" w:hAnsi="Calibri"/>
                <w:sz w:val="18"/>
              </w:rPr>
              <w:t>E</w:t>
            </w:r>
            <w:r w:rsidRPr="00D0282B">
              <w:rPr>
                <w:rFonts w:ascii="Calibri" w:hAnsi="Calibri"/>
                <w:sz w:val="18"/>
              </w:rPr>
              <w:t xml:space="preserve">ducation </w:t>
            </w:r>
            <w:r w:rsidR="00E70870">
              <w:rPr>
                <w:rFonts w:ascii="Calibri" w:hAnsi="Calibri"/>
                <w:sz w:val="18"/>
              </w:rPr>
              <w:t>P</w:t>
            </w:r>
            <w:r w:rsidRPr="00D0282B">
              <w:rPr>
                <w:rFonts w:ascii="Calibri" w:hAnsi="Calibri"/>
                <w:sz w:val="18"/>
              </w:rPr>
              <w:t>lans transform</w:t>
            </w:r>
            <w:r>
              <w:rPr>
                <w:rFonts w:ascii="Calibri" w:hAnsi="Calibri"/>
                <w:sz w:val="18"/>
              </w:rPr>
              <w:t>ed</w:t>
            </w:r>
            <w:r w:rsidRPr="00D0282B">
              <w:rPr>
                <w:rFonts w:ascii="Calibri" w:hAnsi="Calibri"/>
                <w:sz w:val="18"/>
              </w:rPr>
              <w:t xml:space="preserve"> local educational outcomes for approximately 30,000 students in 62 government schools in eight communities.</w:t>
            </w:r>
          </w:p>
        </w:tc>
      </w:tr>
      <w:tr w:rsidR="008742FF" w:rsidRPr="005734B8" w14:paraId="5ABE7A01" w14:textId="77777777" w:rsidTr="00D93BA2">
        <w:trPr>
          <w:cantSplit/>
        </w:trPr>
        <w:tc>
          <w:tcPr>
            <w:tcW w:w="2268" w:type="dxa"/>
            <w:tcBorders>
              <w:top w:val="single" w:sz="4" w:space="0" w:color="auto"/>
              <w:bottom w:val="single" w:sz="4" w:space="0" w:color="auto"/>
            </w:tcBorders>
            <w:shd w:val="clear" w:color="auto" w:fill="FFFFFF" w:themeFill="background1"/>
          </w:tcPr>
          <w:p w14:paraId="6B4D3D20" w14:textId="77777777" w:rsidR="008742FF" w:rsidRPr="00D0282B" w:rsidRDefault="008742FF" w:rsidP="00D0282B">
            <w:pPr>
              <w:pStyle w:val="ESTablebodystrong"/>
            </w:pPr>
            <w:r w:rsidRPr="00D0282B">
              <w:t>Excellence in teacher education reforms</w:t>
            </w:r>
          </w:p>
        </w:tc>
        <w:tc>
          <w:tcPr>
            <w:tcW w:w="6521" w:type="dxa"/>
            <w:tcBorders>
              <w:top w:val="single" w:sz="4" w:space="0" w:color="auto"/>
              <w:bottom w:val="single" w:sz="4" w:space="0" w:color="auto"/>
            </w:tcBorders>
            <w:shd w:val="clear" w:color="auto" w:fill="FFFFFF" w:themeFill="background1"/>
          </w:tcPr>
          <w:p w14:paraId="0D2EE2C6" w14:textId="77777777" w:rsidR="008742FF" w:rsidRPr="005734B8" w:rsidRDefault="008742FF" w:rsidP="00D0282B">
            <w:pPr>
              <w:pStyle w:val="ESTablebody"/>
              <w:rPr>
                <w:rFonts w:ascii="Calibri" w:hAnsi="Calibri" w:cs="Calibri"/>
                <w:sz w:val="18"/>
              </w:rPr>
            </w:pPr>
            <w:r w:rsidRPr="00D0282B">
              <w:rPr>
                <w:rFonts w:ascii="Calibri" w:hAnsi="Calibri"/>
                <w:sz w:val="18"/>
              </w:rPr>
              <w:t xml:space="preserve">To further strengthen teacher education </w:t>
            </w:r>
            <w:r w:rsidRPr="005734B8">
              <w:rPr>
                <w:rFonts w:ascii="Calibri" w:hAnsi="Calibri" w:cs="Calibri"/>
                <w:sz w:val="18"/>
              </w:rPr>
              <w:t>165 schools hosted over 2,600 professional experience placements. These reforms also supported 121 graduates and career-changers through employment-based pathways and 71 pre-service teachers in 2020 as part of the National Exceptional Teaching in Disadvantaged Schools program.</w:t>
            </w:r>
          </w:p>
        </w:tc>
      </w:tr>
      <w:tr w:rsidR="008742FF" w:rsidRPr="005734B8" w14:paraId="75D95C40" w14:textId="77777777" w:rsidTr="00D93BA2">
        <w:trPr>
          <w:cantSplit/>
        </w:trPr>
        <w:tc>
          <w:tcPr>
            <w:tcW w:w="2268" w:type="dxa"/>
            <w:tcBorders>
              <w:top w:val="single" w:sz="4" w:space="0" w:color="auto"/>
              <w:bottom w:val="single" w:sz="4" w:space="0" w:color="auto"/>
            </w:tcBorders>
            <w:shd w:val="clear" w:color="auto" w:fill="FFFFFF" w:themeFill="background1"/>
          </w:tcPr>
          <w:p w14:paraId="585B5B6B" w14:textId="77777777" w:rsidR="008742FF" w:rsidRPr="00D0282B" w:rsidRDefault="008742FF" w:rsidP="00D0282B">
            <w:pPr>
              <w:pStyle w:val="ESTablebodystrong"/>
            </w:pPr>
            <w:r w:rsidRPr="00D0282B">
              <w:t>Free TAFE for priority courses</w:t>
            </w:r>
          </w:p>
        </w:tc>
        <w:tc>
          <w:tcPr>
            <w:tcW w:w="6521" w:type="dxa"/>
            <w:tcBorders>
              <w:top w:val="single" w:sz="4" w:space="0" w:color="auto"/>
              <w:bottom w:val="single" w:sz="4" w:space="0" w:color="auto"/>
            </w:tcBorders>
            <w:shd w:val="clear" w:color="auto" w:fill="FFFFFF" w:themeFill="background1"/>
          </w:tcPr>
          <w:p w14:paraId="43CEF6A8" w14:textId="7925F5A7" w:rsidR="008742FF" w:rsidRPr="00D0282B" w:rsidRDefault="00511A3B" w:rsidP="00D0282B">
            <w:pPr>
              <w:pStyle w:val="ESTablebody"/>
              <w:rPr>
                <w:rFonts w:ascii="Calibri" w:hAnsi="Calibri"/>
                <w:sz w:val="18"/>
              </w:rPr>
            </w:pPr>
            <w:r w:rsidRPr="00D0282B">
              <w:rPr>
                <w:rFonts w:ascii="Calibri" w:hAnsi="Calibri"/>
                <w:sz w:val="18"/>
              </w:rPr>
              <w:t>In 202</w:t>
            </w:r>
            <w:r>
              <w:rPr>
                <w:rFonts w:ascii="Calibri" w:hAnsi="Calibri"/>
                <w:sz w:val="18"/>
              </w:rPr>
              <w:t>0</w:t>
            </w:r>
            <w:r w:rsidRPr="00D0282B">
              <w:rPr>
                <w:rFonts w:ascii="Calibri" w:hAnsi="Calibri"/>
                <w:sz w:val="18"/>
              </w:rPr>
              <w:t xml:space="preserve"> approximately </w:t>
            </w:r>
            <w:r>
              <w:rPr>
                <w:rFonts w:ascii="Calibri" w:hAnsi="Calibri"/>
                <w:sz w:val="18"/>
              </w:rPr>
              <w:t>3</w:t>
            </w:r>
            <w:r w:rsidRPr="00D0282B">
              <w:rPr>
                <w:rFonts w:ascii="Calibri" w:hAnsi="Calibri"/>
                <w:sz w:val="18"/>
              </w:rPr>
              <w:t>0,000 students commenced Free TAFE. In addition, the introduction of ECEC qualifications led to a 113 per cent increase in commencements for these courses compared to 2019.</w:t>
            </w:r>
          </w:p>
        </w:tc>
      </w:tr>
      <w:tr w:rsidR="008742FF" w:rsidRPr="005734B8" w14:paraId="16C24483" w14:textId="77777777" w:rsidTr="00D93BA2">
        <w:trPr>
          <w:cantSplit/>
        </w:trPr>
        <w:tc>
          <w:tcPr>
            <w:tcW w:w="2268" w:type="dxa"/>
            <w:tcBorders>
              <w:top w:val="single" w:sz="4" w:space="0" w:color="auto"/>
              <w:bottom w:val="single" w:sz="4" w:space="0" w:color="auto"/>
            </w:tcBorders>
            <w:shd w:val="clear" w:color="auto" w:fill="FFFFFF" w:themeFill="background1"/>
          </w:tcPr>
          <w:p w14:paraId="2EB4FF8F" w14:textId="77777777" w:rsidR="008742FF" w:rsidRPr="00D0282B" w:rsidRDefault="008742FF" w:rsidP="00D0282B">
            <w:pPr>
              <w:pStyle w:val="ESTablebodystrong"/>
            </w:pPr>
            <w:r w:rsidRPr="00D0282B">
              <w:t>Funding reform</w:t>
            </w:r>
          </w:p>
        </w:tc>
        <w:tc>
          <w:tcPr>
            <w:tcW w:w="6521" w:type="dxa"/>
            <w:tcBorders>
              <w:top w:val="single" w:sz="4" w:space="0" w:color="auto"/>
              <w:bottom w:val="single" w:sz="4" w:space="0" w:color="auto"/>
            </w:tcBorders>
            <w:shd w:val="clear" w:color="auto" w:fill="FFFFFF" w:themeFill="background1"/>
          </w:tcPr>
          <w:p w14:paraId="70BCD19C" w14:textId="77777777" w:rsidR="008742FF" w:rsidRPr="00D0282B" w:rsidRDefault="008742FF" w:rsidP="00D0282B">
            <w:pPr>
              <w:pStyle w:val="ESTablebody"/>
              <w:rPr>
                <w:rFonts w:ascii="Calibri" w:hAnsi="Calibri"/>
                <w:sz w:val="18"/>
              </w:rPr>
            </w:pPr>
            <w:r w:rsidRPr="00D0282B">
              <w:rPr>
                <w:rFonts w:ascii="Calibri" w:hAnsi="Calibri"/>
                <w:sz w:val="18"/>
              </w:rPr>
              <w:t xml:space="preserve">The review of school funding continued. This included updating rural and regional location measures. New funding models were developed to support mental health and disability reforms. Work also commenced on the development of a VET in secondary schools funding model. </w:t>
            </w:r>
          </w:p>
        </w:tc>
      </w:tr>
      <w:tr w:rsidR="008742FF" w:rsidRPr="005734B8" w14:paraId="585A79DA" w14:textId="77777777" w:rsidTr="00D93BA2">
        <w:trPr>
          <w:cantSplit/>
        </w:trPr>
        <w:tc>
          <w:tcPr>
            <w:tcW w:w="2268" w:type="dxa"/>
            <w:tcBorders>
              <w:top w:val="single" w:sz="4" w:space="0" w:color="auto"/>
              <w:bottom w:val="single" w:sz="4" w:space="0" w:color="auto"/>
            </w:tcBorders>
            <w:shd w:val="clear" w:color="auto" w:fill="FFFFFF" w:themeFill="background1"/>
          </w:tcPr>
          <w:p w14:paraId="35CB0C5D" w14:textId="77777777" w:rsidR="008742FF" w:rsidRPr="00D0282B" w:rsidRDefault="008742FF" w:rsidP="00D0282B">
            <w:pPr>
              <w:pStyle w:val="ESTablebodystrong"/>
            </w:pPr>
            <w:r w:rsidRPr="00D0282B">
              <w:t>Improving student health and wellbeing</w:t>
            </w:r>
          </w:p>
        </w:tc>
        <w:tc>
          <w:tcPr>
            <w:tcW w:w="6521" w:type="dxa"/>
            <w:tcBorders>
              <w:top w:val="single" w:sz="4" w:space="0" w:color="auto"/>
              <w:bottom w:val="single" w:sz="4" w:space="0" w:color="auto"/>
            </w:tcBorders>
            <w:shd w:val="clear" w:color="auto" w:fill="FFFFFF" w:themeFill="background1"/>
          </w:tcPr>
          <w:p w14:paraId="49A61D28" w14:textId="77777777" w:rsidR="008742FF" w:rsidRPr="005734B8" w:rsidRDefault="008742FF" w:rsidP="00D0282B">
            <w:pPr>
              <w:pStyle w:val="ESTablebody"/>
              <w:rPr>
                <w:rFonts w:ascii="Calibri" w:hAnsi="Calibri" w:cs="Calibri"/>
                <w:sz w:val="18"/>
              </w:rPr>
            </w:pPr>
            <w:r w:rsidRPr="00D0282B">
              <w:rPr>
                <w:rFonts w:ascii="Calibri" w:hAnsi="Calibri"/>
                <w:sz w:val="18"/>
              </w:rPr>
              <w:t>The Department continues its statewide implementation of the Health, Wellbeing and Inclusion Workforces Practice Model.</w:t>
            </w:r>
          </w:p>
          <w:p w14:paraId="04B96B6A" w14:textId="77777777" w:rsidR="008742FF" w:rsidRPr="00D0282B" w:rsidRDefault="008742FF" w:rsidP="00D0282B">
            <w:pPr>
              <w:pStyle w:val="ESTablebody"/>
              <w:rPr>
                <w:rFonts w:ascii="Calibri" w:hAnsi="Calibri"/>
                <w:sz w:val="18"/>
              </w:rPr>
            </w:pPr>
            <w:bookmarkStart w:id="44" w:name="_Hlk77159890"/>
            <w:r w:rsidRPr="00D0282B">
              <w:rPr>
                <w:rFonts w:ascii="Calibri" w:hAnsi="Calibri"/>
                <w:sz w:val="18"/>
              </w:rPr>
              <w:t>In response to remote and flexible learning, a Health and Wellbeing Key Contact function was established to help schools access student health and wellbeing supports. A Visiting Teacher Service Project commenced, further supporting the needs of visiting teachers by developing consistent guidance.</w:t>
            </w:r>
            <w:bookmarkEnd w:id="44"/>
          </w:p>
        </w:tc>
      </w:tr>
      <w:tr w:rsidR="008742FF" w:rsidRPr="005734B8" w14:paraId="4D6AC1B4" w14:textId="77777777" w:rsidTr="00D93BA2">
        <w:trPr>
          <w:cantSplit/>
        </w:trPr>
        <w:tc>
          <w:tcPr>
            <w:tcW w:w="2268" w:type="dxa"/>
            <w:tcBorders>
              <w:top w:val="single" w:sz="4" w:space="0" w:color="auto"/>
              <w:bottom w:val="single" w:sz="4" w:space="0" w:color="auto"/>
            </w:tcBorders>
            <w:shd w:val="clear" w:color="auto" w:fill="FFFFFF" w:themeFill="background1"/>
          </w:tcPr>
          <w:p w14:paraId="220190D1" w14:textId="77777777" w:rsidR="008742FF" w:rsidRPr="00D0282B" w:rsidRDefault="008742FF" w:rsidP="00D0282B">
            <w:pPr>
              <w:pStyle w:val="ESTablebodystrong"/>
            </w:pPr>
            <w:r w:rsidRPr="00D0282B">
              <w:t>Inclusive education agenda</w:t>
            </w:r>
          </w:p>
        </w:tc>
        <w:tc>
          <w:tcPr>
            <w:tcW w:w="6521" w:type="dxa"/>
            <w:tcBorders>
              <w:top w:val="single" w:sz="4" w:space="0" w:color="auto"/>
              <w:bottom w:val="single" w:sz="4" w:space="0" w:color="auto"/>
            </w:tcBorders>
            <w:shd w:val="clear" w:color="auto" w:fill="FFFFFF" w:themeFill="background1"/>
          </w:tcPr>
          <w:p w14:paraId="311D55A1" w14:textId="77777777" w:rsidR="008742FF" w:rsidRPr="00D0282B" w:rsidRDefault="008742FF" w:rsidP="00D0282B">
            <w:pPr>
              <w:pStyle w:val="ESTablebody"/>
              <w:rPr>
                <w:rFonts w:ascii="Calibri" w:hAnsi="Calibri"/>
                <w:sz w:val="18"/>
              </w:rPr>
            </w:pPr>
            <w:r w:rsidRPr="00D0282B">
              <w:rPr>
                <w:rFonts w:ascii="Calibri" w:hAnsi="Calibri"/>
                <w:sz w:val="18"/>
              </w:rPr>
              <w:t>Policy and guidance for schools to deliver inclusive education for students with disability has been developed and implemented.</w:t>
            </w:r>
          </w:p>
        </w:tc>
      </w:tr>
      <w:tr w:rsidR="008742FF" w:rsidRPr="005734B8" w14:paraId="22E5FEE6" w14:textId="77777777" w:rsidTr="00D93BA2">
        <w:trPr>
          <w:cantSplit/>
        </w:trPr>
        <w:tc>
          <w:tcPr>
            <w:tcW w:w="2268" w:type="dxa"/>
            <w:tcBorders>
              <w:top w:val="single" w:sz="4" w:space="0" w:color="auto"/>
              <w:bottom w:val="single" w:sz="4" w:space="0" w:color="auto"/>
            </w:tcBorders>
            <w:shd w:val="clear" w:color="auto" w:fill="FFFFFF" w:themeFill="background1"/>
          </w:tcPr>
          <w:p w14:paraId="1395E36C" w14:textId="77777777" w:rsidR="008742FF" w:rsidRPr="00D0282B" w:rsidRDefault="008742FF" w:rsidP="00D0282B">
            <w:pPr>
              <w:pStyle w:val="ESTablebodystrong"/>
            </w:pPr>
            <w:r w:rsidRPr="00D0282B">
              <w:t>Insight assessment platform and the Digital Assessment Library</w:t>
            </w:r>
          </w:p>
        </w:tc>
        <w:tc>
          <w:tcPr>
            <w:tcW w:w="6521" w:type="dxa"/>
            <w:tcBorders>
              <w:top w:val="single" w:sz="4" w:space="0" w:color="auto"/>
              <w:bottom w:val="single" w:sz="4" w:space="0" w:color="auto"/>
            </w:tcBorders>
            <w:shd w:val="clear" w:color="auto" w:fill="FFFFFF" w:themeFill="background1"/>
          </w:tcPr>
          <w:p w14:paraId="78424F38" w14:textId="77777777" w:rsidR="008742FF" w:rsidRPr="00D0282B" w:rsidRDefault="008742FF" w:rsidP="00D0282B">
            <w:pPr>
              <w:pStyle w:val="ESTablebody"/>
              <w:rPr>
                <w:rFonts w:ascii="Calibri" w:hAnsi="Calibri"/>
                <w:sz w:val="18"/>
              </w:rPr>
            </w:pPr>
            <w:r w:rsidRPr="00D0282B">
              <w:rPr>
                <w:rFonts w:ascii="Calibri" w:hAnsi="Calibri"/>
                <w:sz w:val="18"/>
              </w:rPr>
              <w:t>The platform is now available to all schools in Victoria. Its implementation has been supported by the delivery of resources and professional learning for schools and staff. In May, the Department added additional assessment tools to the Digital Assessment Library and made additional refinements including improving the user interface.</w:t>
            </w:r>
          </w:p>
        </w:tc>
      </w:tr>
      <w:tr w:rsidR="008742FF" w:rsidRPr="005734B8" w14:paraId="0B1073BF" w14:textId="77777777" w:rsidTr="00D93BA2">
        <w:trPr>
          <w:cantSplit/>
        </w:trPr>
        <w:tc>
          <w:tcPr>
            <w:tcW w:w="2268" w:type="dxa"/>
            <w:tcBorders>
              <w:top w:val="single" w:sz="4" w:space="0" w:color="auto"/>
              <w:bottom w:val="single" w:sz="4" w:space="0" w:color="auto"/>
            </w:tcBorders>
            <w:shd w:val="clear" w:color="auto" w:fill="FFFFFF" w:themeFill="background1"/>
          </w:tcPr>
          <w:p w14:paraId="6C70723A" w14:textId="77777777" w:rsidR="008742FF" w:rsidRPr="00D0282B" w:rsidRDefault="008742FF" w:rsidP="00D0282B">
            <w:pPr>
              <w:pStyle w:val="ESTablebodystrong"/>
            </w:pPr>
            <w:r w:rsidRPr="00D0282B">
              <w:t xml:space="preserve">Investing in </w:t>
            </w:r>
            <w:r>
              <w:t>O</w:t>
            </w:r>
            <w:r w:rsidRPr="00D0282B">
              <w:t xml:space="preserve">ur </w:t>
            </w:r>
            <w:r>
              <w:t>P</w:t>
            </w:r>
            <w:r w:rsidRPr="00D0282B">
              <w:t xml:space="preserve">eople </w:t>
            </w:r>
            <w:r>
              <w:t>S</w:t>
            </w:r>
            <w:r w:rsidRPr="00D0282B">
              <w:t>trategy</w:t>
            </w:r>
          </w:p>
        </w:tc>
        <w:tc>
          <w:tcPr>
            <w:tcW w:w="6521" w:type="dxa"/>
            <w:tcBorders>
              <w:top w:val="single" w:sz="4" w:space="0" w:color="auto"/>
              <w:bottom w:val="single" w:sz="4" w:space="0" w:color="auto"/>
            </w:tcBorders>
            <w:shd w:val="clear" w:color="auto" w:fill="FFFFFF" w:themeFill="background1"/>
          </w:tcPr>
          <w:p w14:paraId="30DB0F83" w14:textId="77777777" w:rsidR="008742FF" w:rsidRPr="005734B8" w:rsidRDefault="008742FF" w:rsidP="00D0282B">
            <w:pPr>
              <w:pStyle w:val="ESTablebody"/>
              <w:rPr>
                <w:rFonts w:ascii="Calibri" w:hAnsi="Calibri" w:cs="Calibri"/>
                <w:sz w:val="18"/>
              </w:rPr>
            </w:pPr>
            <w:r w:rsidRPr="00D0282B">
              <w:rPr>
                <w:rFonts w:ascii="Calibri" w:hAnsi="Calibri"/>
                <w:sz w:val="18"/>
              </w:rPr>
              <w:t xml:space="preserve">The Department’s Investing in </w:t>
            </w:r>
            <w:r>
              <w:rPr>
                <w:rFonts w:ascii="Calibri" w:hAnsi="Calibri"/>
                <w:sz w:val="18"/>
              </w:rPr>
              <w:t>O</w:t>
            </w:r>
            <w:r w:rsidRPr="00D0282B">
              <w:rPr>
                <w:rFonts w:ascii="Calibri" w:hAnsi="Calibri"/>
                <w:sz w:val="18"/>
              </w:rPr>
              <w:t xml:space="preserve">ur People Strategy mapped the Department’s actions for the recruitment, professional development and management of corporate staff. </w:t>
            </w:r>
          </w:p>
          <w:p w14:paraId="5EEED28E" w14:textId="77777777" w:rsidR="008742FF" w:rsidRPr="00D0282B" w:rsidRDefault="008742FF" w:rsidP="00D0282B">
            <w:pPr>
              <w:pStyle w:val="ESTablebody"/>
              <w:rPr>
                <w:rFonts w:ascii="Calibri" w:hAnsi="Calibri"/>
                <w:sz w:val="18"/>
              </w:rPr>
            </w:pPr>
            <w:r w:rsidRPr="00D0282B">
              <w:rPr>
                <w:rFonts w:ascii="Calibri" w:hAnsi="Calibri"/>
                <w:sz w:val="18"/>
              </w:rPr>
              <w:t>Its initiatives supported cultural change</w:t>
            </w:r>
            <w:r>
              <w:rPr>
                <w:rFonts w:ascii="Calibri" w:hAnsi="Calibri"/>
                <w:sz w:val="18"/>
              </w:rPr>
              <w:t xml:space="preserve"> and</w:t>
            </w:r>
            <w:r w:rsidRPr="00D0282B">
              <w:rPr>
                <w:rFonts w:ascii="Calibri" w:hAnsi="Calibri"/>
                <w:sz w:val="18"/>
              </w:rPr>
              <w:t xml:space="preserve"> safe and inclusive workplaces, and helped build staff capabilities.</w:t>
            </w:r>
          </w:p>
        </w:tc>
      </w:tr>
      <w:tr w:rsidR="008742FF" w:rsidRPr="005734B8" w14:paraId="765A433C" w14:textId="77777777" w:rsidTr="00D93BA2">
        <w:trPr>
          <w:cantSplit/>
        </w:trPr>
        <w:tc>
          <w:tcPr>
            <w:tcW w:w="2268" w:type="dxa"/>
            <w:tcBorders>
              <w:top w:val="single" w:sz="4" w:space="0" w:color="auto"/>
              <w:bottom w:val="single" w:sz="4" w:space="0" w:color="auto"/>
            </w:tcBorders>
            <w:shd w:val="clear" w:color="auto" w:fill="FFFFFF" w:themeFill="background1"/>
          </w:tcPr>
          <w:p w14:paraId="113517EB" w14:textId="77777777" w:rsidR="008742FF" w:rsidRPr="00D0282B" w:rsidRDefault="008742FF" w:rsidP="00D0282B">
            <w:pPr>
              <w:pStyle w:val="ESTablebodystrong"/>
            </w:pPr>
            <w:r w:rsidRPr="00D0282B">
              <w:t>Learning Specialist</w:t>
            </w:r>
            <w:r>
              <w:t>s</w:t>
            </w:r>
            <w:r w:rsidRPr="00D0282B">
              <w:t xml:space="preserve"> Leading Excellence in Teaching and Learning</w:t>
            </w:r>
          </w:p>
        </w:tc>
        <w:tc>
          <w:tcPr>
            <w:tcW w:w="6521" w:type="dxa"/>
            <w:tcBorders>
              <w:top w:val="single" w:sz="4" w:space="0" w:color="auto"/>
              <w:bottom w:val="single" w:sz="4" w:space="0" w:color="auto"/>
            </w:tcBorders>
            <w:shd w:val="clear" w:color="auto" w:fill="FFFFFF" w:themeFill="background1"/>
          </w:tcPr>
          <w:p w14:paraId="3CE34852" w14:textId="77777777" w:rsidR="008742FF" w:rsidRPr="00D0282B" w:rsidRDefault="008742FF" w:rsidP="00D0282B">
            <w:pPr>
              <w:pStyle w:val="ESTablebody"/>
              <w:rPr>
                <w:rFonts w:ascii="Calibri" w:hAnsi="Calibri"/>
                <w:sz w:val="18"/>
              </w:rPr>
            </w:pPr>
            <w:r w:rsidRPr="00D0282B">
              <w:rPr>
                <w:rFonts w:ascii="Calibri" w:hAnsi="Calibri"/>
                <w:sz w:val="18"/>
              </w:rPr>
              <w:t>In 2020, delivery of the four initiatives moved online and strong engagement with learning specialists has continued. Learning specialists have developed skills in areas including reflective and middle leadership, professional identity, coaching models, influencing change, collaboration, relational trust, professional observations and feedback strategies, Indigenous approaches, vulnerability, creating safe spaces, modelling effective practice, data collection and analysis, leading in a connected world, and adult learning practices.</w:t>
            </w:r>
          </w:p>
        </w:tc>
      </w:tr>
      <w:tr w:rsidR="008742FF" w:rsidRPr="005734B8" w14:paraId="215C26DA" w14:textId="77777777" w:rsidTr="00D93BA2">
        <w:trPr>
          <w:cantSplit/>
        </w:trPr>
        <w:tc>
          <w:tcPr>
            <w:tcW w:w="2268" w:type="dxa"/>
            <w:tcBorders>
              <w:top w:val="single" w:sz="4" w:space="0" w:color="auto"/>
              <w:bottom w:val="single" w:sz="4" w:space="0" w:color="auto"/>
            </w:tcBorders>
            <w:shd w:val="clear" w:color="auto" w:fill="FFFFFF" w:themeFill="background1"/>
          </w:tcPr>
          <w:p w14:paraId="7FD23FA4" w14:textId="77777777" w:rsidR="008742FF" w:rsidRPr="00D0282B" w:rsidRDefault="008742FF" w:rsidP="00D0282B">
            <w:pPr>
              <w:pStyle w:val="ESTablebodystrong"/>
            </w:pPr>
            <w:r w:rsidRPr="00D0282B">
              <w:t xml:space="preserve">Literacy and </w:t>
            </w:r>
            <w:r>
              <w:t>N</w:t>
            </w:r>
            <w:r w:rsidRPr="00D0282B">
              <w:t xml:space="preserve">umeracy </w:t>
            </w:r>
            <w:r>
              <w:t>S</w:t>
            </w:r>
            <w:r w:rsidRPr="00D0282B">
              <w:t>trategy</w:t>
            </w:r>
          </w:p>
        </w:tc>
        <w:tc>
          <w:tcPr>
            <w:tcW w:w="6521" w:type="dxa"/>
            <w:tcBorders>
              <w:top w:val="single" w:sz="4" w:space="0" w:color="auto"/>
              <w:bottom w:val="single" w:sz="4" w:space="0" w:color="auto"/>
            </w:tcBorders>
            <w:shd w:val="clear" w:color="auto" w:fill="FFFFFF" w:themeFill="background1"/>
          </w:tcPr>
          <w:p w14:paraId="3FE077AE" w14:textId="77777777" w:rsidR="008742FF" w:rsidRPr="00D0282B" w:rsidRDefault="008742FF" w:rsidP="00D0282B">
            <w:pPr>
              <w:pStyle w:val="ESTablebody"/>
              <w:rPr>
                <w:rFonts w:ascii="Calibri" w:hAnsi="Calibri"/>
                <w:sz w:val="18"/>
              </w:rPr>
            </w:pPr>
            <w:bookmarkStart w:id="45" w:name="_Hlk77159805"/>
            <w:r w:rsidRPr="00D0282B">
              <w:rPr>
                <w:rFonts w:ascii="Calibri" w:hAnsi="Calibri"/>
                <w:sz w:val="18"/>
              </w:rPr>
              <w:t>In 2020 the Department supported 4,746 Year 10 and 11 students through the Middle Years Literacy and Numeracy Support</w:t>
            </w:r>
            <w:r>
              <w:rPr>
                <w:rFonts w:ascii="Calibri" w:hAnsi="Calibri"/>
                <w:sz w:val="18"/>
              </w:rPr>
              <w:t xml:space="preserve"> (MYLNS)</w:t>
            </w:r>
            <w:r w:rsidRPr="00D0282B">
              <w:rPr>
                <w:rFonts w:ascii="Calibri" w:hAnsi="Calibri"/>
                <w:sz w:val="18"/>
              </w:rPr>
              <w:t xml:space="preserve"> initiative. In 2021, the initiative is providing direct teaching support to up to 15,000 students. The </w:t>
            </w:r>
            <w:r>
              <w:rPr>
                <w:rFonts w:ascii="Calibri" w:hAnsi="Calibri"/>
                <w:sz w:val="18"/>
              </w:rPr>
              <w:t>MYLNS</w:t>
            </w:r>
            <w:r w:rsidRPr="00D0282B">
              <w:rPr>
                <w:rFonts w:ascii="Calibri" w:hAnsi="Calibri"/>
                <w:sz w:val="18"/>
              </w:rPr>
              <w:t xml:space="preserve"> provided 1,088 teachers in 2020 and 1,450 teachers in 2021 with a professional development suite.</w:t>
            </w:r>
            <w:bookmarkEnd w:id="45"/>
          </w:p>
        </w:tc>
      </w:tr>
      <w:tr w:rsidR="008742FF" w:rsidRPr="005734B8" w14:paraId="46C0C668" w14:textId="77777777" w:rsidTr="00D93BA2">
        <w:trPr>
          <w:cantSplit/>
        </w:trPr>
        <w:tc>
          <w:tcPr>
            <w:tcW w:w="2268" w:type="dxa"/>
            <w:tcBorders>
              <w:top w:val="single" w:sz="4" w:space="0" w:color="auto"/>
              <w:bottom w:val="single" w:sz="4" w:space="0" w:color="auto"/>
            </w:tcBorders>
            <w:shd w:val="clear" w:color="auto" w:fill="FFFFFF" w:themeFill="background1"/>
          </w:tcPr>
          <w:p w14:paraId="674B4E76" w14:textId="77777777" w:rsidR="008742FF" w:rsidRPr="00D0282B" w:rsidRDefault="008742FF" w:rsidP="00D0282B">
            <w:pPr>
              <w:pStyle w:val="ESTablebodystrong"/>
            </w:pPr>
            <w:r w:rsidRPr="00D0282B">
              <w:t xml:space="preserve">Marrung: Aboriginal education plan 2016–26 </w:t>
            </w:r>
          </w:p>
        </w:tc>
        <w:tc>
          <w:tcPr>
            <w:tcW w:w="6521" w:type="dxa"/>
            <w:tcBorders>
              <w:top w:val="single" w:sz="4" w:space="0" w:color="auto"/>
              <w:bottom w:val="single" w:sz="4" w:space="0" w:color="auto"/>
            </w:tcBorders>
            <w:shd w:val="clear" w:color="auto" w:fill="FFFFFF" w:themeFill="background1"/>
          </w:tcPr>
          <w:p w14:paraId="4F0DF9D4" w14:textId="77777777" w:rsidR="008742FF" w:rsidRPr="005734B8" w:rsidRDefault="008742FF" w:rsidP="00D0282B">
            <w:pPr>
              <w:pStyle w:val="ESTablebody"/>
              <w:rPr>
                <w:rFonts w:ascii="Calibri" w:hAnsi="Calibri" w:cs="Calibri"/>
                <w:sz w:val="18"/>
              </w:rPr>
            </w:pPr>
            <w:r w:rsidRPr="00D0282B">
              <w:rPr>
                <w:rFonts w:ascii="Calibri" w:hAnsi="Calibri"/>
                <w:sz w:val="18"/>
              </w:rPr>
              <w:t xml:space="preserve">Community Understanding and Safety Training has been delivered to 1,247 government school campuses. </w:t>
            </w:r>
          </w:p>
          <w:p w14:paraId="6636289C" w14:textId="77777777" w:rsidR="008742FF" w:rsidRPr="00D0282B" w:rsidRDefault="008742FF" w:rsidP="00D0282B">
            <w:pPr>
              <w:pStyle w:val="ESTablebody"/>
              <w:rPr>
                <w:rFonts w:ascii="Calibri" w:hAnsi="Calibri"/>
                <w:sz w:val="18"/>
              </w:rPr>
            </w:pPr>
            <w:r w:rsidRPr="00D0282B">
              <w:rPr>
                <w:rFonts w:ascii="Calibri" w:hAnsi="Calibri"/>
                <w:sz w:val="18"/>
              </w:rPr>
              <w:t>In 2020 the Extended Koorie Literacy and Numeracy Program provided literacy and numeracy support to 459 Koorie students in 256 schools.</w:t>
            </w:r>
          </w:p>
        </w:tc>
      </w:tr>
      <w:tr w:rsidR="008742FF" w:rsidRPr="005734B8" w14:paraId="7160AAC6" w14:textId="77777777" w:rsidTr="00D93BA2">
        <w:trPr>
          <w:cantSplit/>
        </w:trPr>
        <w:tc>
          <w:tcPr>
            <w:tcW w:w="2268" w:type="dxa"/>
            <w:tcBorders>
              <w:top w:val="single" w:sz="4" w:space="0" w:color="auto"/>
              <w:bottom w:val="single" w:sz="4" w:space="0" w:color="auto"/>
            </w:tcBorders>
            <w:shd w:val="clear" w:color="auto" w:fill="FFFFFF" w:themeFill="background1"/>
          </w:tcPr>
          <w:p w14:paraId="6C886689" w14:textId="77777777" w:rsidR="008742FF" w:rsidRPr="00D0282B" w:rsidRDefault="008742FF" w:rsidP="00D0282B">
            <w:pPr>
              <w:pStyle w:val="ESTablebodystrong"/>
            </w:pPr>
            <w:r w:rsidRPr="00D0282B">
              <w:lastRenderedPageBreak/>
              <w:t>Mental health practitioners</w:t>
            </w:r>
            <w:r>
              <w:t xml:space="preserve"> (MHP) program</w:t>
            </w:r>
          </w:p>
        </w:tc>
        <w:tc>
          <w:tcPr>
            <w:tcW w:w="6521" w:type="dxa"/>
            <w:tcBorders>
              <w:top w:val="single" w:sz="4" w:space="0" w:color="auto"/>
              <w:bottom w:val="single" w:sz="4" w:space="0" w:color="auto"/>
            </w:tcBorders>
            <w:shd w:val="clear" w:color="auto" w:fill="FFFFFF" w:themeFill="background1"/>
          </w:tcPr>
          <w:p w14:paraId="47D27F0B" w14:textId="77777777" w:rsidR="008742FF" w:rsidRPr="00D0282B" w:rsidRDefault="008742FF" w:rsidP="00D0282B">
            <w:pPr>
              <w:pStyle w:val="ESTablebody"/>
              <w:rPr>
                <w:rFonts w:ascii="Calibri" w:hAnsi="Calibri"/>
                <w:sz w:val="18"/>
              </w:rPr>
            </w:pPr>
            <w:r w:rsidRPr="00D0282B">
              <w:rPr>
                <w:rFonts w:ascii="Calibri" w:hAnsi="Calibri"/>
                <w:sz w:val="18"/>
              </w:rPr>
              <w:t>A total of 274 secondary school campuses have commenced implementing this initiative</w:t>
            </w:r>
            <w:r>
              <w:rPr>
                <w:rFonts w:ascii="Calibri" w:hAnsi="Calibri"/>
                <w:sz w:val="18"/>
              </w:rPr>
              <w:t xml:space="preserve">, of </w:t>
            </w:r>
            <w:r w:rsidRPr="00D0282B">
              <w:rPr>
                <w:rFonts w:ascii="Calibri" w:hAnsi="Calibri"/>
                <w:sz w:val="18"/>
              </w:rPr>
              <w:t>w</w:t>
            </w:r>
            <w:r>
              <w:rPr>
                <w:rFonts w:ascii="Calibri" w:hAnsi="Calibri"/>
                <w:sz w:val="18"/>
              </w:rPr>
              <w:t>hich</w:t>
            </w:r>
            <w:r w:rsidRPr="00D0282B">
              <w:rPr>
                <w:rFonts w:ascii="Calibri" w:hAnsi="Calibri"/>
                <w:sz w:val="18"/>
              </w:rPr>
              <w:t xml:space="preserve"> 242</w:t>
            </w:r>
            <w:r>
              <w:rPr>
                <w:rFonts w:ascii="Calibri" w:hAnsi="Calibri"/>
                <w:sz w:val="18"/>
              </w:rPr>
              <w:t xml:space="preserve"> have</w:t>
            </w:r>
            <w:r w:rsidRPr="00D0282B">
              <w:rPr>
                <w:rFonts w:ascii="Calibri" w:hAnsi="Calibri"/>
                <w:sz w:val="18"/>
              </w:rPr>
              <w:t xml:space="preserve"> recruit</w:t>
            </w:r>
            <w:r>
              <w:rPr>
                <w:rFonts w:ascii="Calibri" w:hAnsi="Calibri"/>
                <w:sz w:val="18"/>
              </w:rPr>
              <w:t>ed</w:t>
            </w:r>
            <w:r w:rsidRPr="00D0282B">
              <w:rPr>
                <w:rFonts w:ascii="Calibri" w:hAnsi="Calibri"/>
                <w:sz w:val="18"/>
              </w:rPr>
              <w:t xml:space="preserve"> MHPs.</w:t>
            </w:r>
          </w:p>
        </w:tc>
      </w:tr>
      <w:tr w:rsidR="008742FF" w:rsidRPr="005734B8" w14:paraId="2842CF46" w14:textId="77777777" w:rsidTr="00D93BA2">
        <w:trPr>
          <w:cantSplit/>
        </w:trPr>
        <w:tc>
          <w:tcPr>
            <w:tcW w:w="2268" w:type="dxa"/>
            <w:tcBorders>
              <w:top w:val="single" w:sz="4" w:space="0" w:color="auto"/>
              <w:bottom w:val="single" w:sz="4" w:space="0" w:color="auto"/>
            </w:tcBorders>
            <w:shd w:val="clear" w:color="auto" w:fill="FFFFFF" w:themeFill="background1"/>
          </w:tcPr>
          <w:p w14:paraId="24846FB5" w14:textId="77777777" w:rsidR="008742FF" w:rsidRPr="00D0282B" w:rsidRDefault="008742FF" w:rsidP="00D0282B">
            <w:pPr>
              <w:pStyle w:val="ESTablebodystrong"/>
            </w:pPr>
            <w:r w:rsidRPr="00D0282B">
              <w:t>Principal health and wellbeing strategy</w:t>
            </w:r>
          </w:p>
        </w:tc>
        <w:tc>
          <w:tcPr>
            <w:tcW w:w="6521" w:type="dxa"/>
            <w:tcBorders>
              <w:top w:val="single" w:sz="4" w:space="0" w:color="auto"/>
              <w:bottom w:val="single" w:sz="4" w:space="0" w:color="auto"/>
            </w:tcBorders>
            <w:shd w:val="clear" w:color="auto" w:fill="FFFFFF" w:themeFill="background1"/>
          </w:tcPr>
          <w:p w14:paraId="07BE3D50" w14:textId="77777777" w:rsidR="008742FF" w:rsidRPr="00D0282B" w:rsidRDefault="008742FF" w:rsidP="00D0282B">
            <w:pPr>
              <w:pStyle w:val="ESTablebody"/>
              <w:rPr>
                <w:rFonts w:ascii="Calibri" w:hAnsi="Calibri"/>
                <w:sz w:val="18"/>
              </w:rPr>
            </w:pPr>
            <w:r w:rsidRPr="00D0282B">
              <w:rPr>
                <w:rFonts w:ascii="Calibri" w:hAnsi="Calibri"/>
                <w:sz w:val="18"/>
              </w:rPr>
              <w:t xml:space="preserve">The principal health and wellbeing strategy delivered </w:t>
            </w:r>
            <w:r>
              <w:rPr>
                <w:rFonts w:ascii="Calibri" w:hAnsi="Calibri"/>
                <w:sz w:val="18"/>
              </w:rPr>
              <w:t>more than</w:t>
            </w:r>
            <w:r w:rsidRPr="00D0282B">
              <w:rPr>
                <w:rFonts w:ascii="Calibri" w:hAnsi="Calibri"/>
                <w:sz w:val="18"/>
              </w:rPr>
              <w:t xml:space="preserve"> 2,500 treatment services, including 845 referrals into the early intervention program and 310 principal mentoring partnerships.</w:t>
            </w:r>
          </w:p>
        </w:tc>
      </w:tr>
      <w:tr w:rsidR="008742FF" w:rsidRPr="005734B8" w14:paraId="5A565F84" w14:textId="77777777" w:rsidTr="00D93BA2">
        <w:trPr>
          <w:cantSplit/>
        </w:trPr>
        <w:tc>
          <w:tcPr>
            <w:tcW w:w="2268" w:type="dxa"/>
            <w:tcBorders>
              <w:top w:val="single" w:sz="4" w:space="0" w:color="auto"/>
              <w:bottom w:val="single" w:sz="4" w:space="0" w:color="auto"/>
            </w:tcBorders>
            <w:shd w:val="clear" w:color="auto" w:fill="FFFFFF" w:themeFill="background1"/>
          </w:tcPr>
          <w:p w14:paraId="26168686" w14:textId="77777777" w:rsidR="008742FF" w:rsidRPr="00D0282B" w:rsidRDefault="008742FF" w:rsidP="00D0282B">
            <w:pPr>
              <w:pStyle w:val="ESTablebodystrong"/>
            </w:pPr>
            <w:r w:rsidRPr="00D0282B">
              <w:t xml:space="preserve">Raising the </w:t>
            </w:r>
            <w:r>
              <w:t>B</w:t>
            </w:r>
            <w:r w:rsidRPr="00D0282B">
              <w:t xml:space="preserve">ar: Valuing </w:t>
            </w:r>
            <w:r>
              <w:t>I</w:t>
            </w:r>
            <w:r w:rsidRPr="00D0282B">
              <w:t xml:space="preserve">ntegrity </w:t>
            </w:r>
            <w:r>
              <w:t>S</w:t>
            </w:r>
            <w:r w:rsidRPr="00D0282B">
              <w:t>trategy 2018–21</w:t>
            </w:r>
          </w:p>
        </w:tc>
        <w:tc>
          <w:tcPr>
            <w:tcW w:w="6521" w:type="dxa"/>
            <w:tcBorders>
              <w:top w:val="single" w:sz="4" w:space="0" w:color="auto"/>
              <w:bottom w:val="single" w:sz="4" w:space="0" w:color="auto"/>
            </w:tcBorders>
            <w:shd w:val="clear" w:color="auto" w:fill="FFFFFF" w:themeFill="background1"/>
          </w:tcPr>
          <w:p w14:paraId="49339134" w14:textId="77777777" w:rsidR="008742FF" w:rsidRPr="00D0282B" w:rsidRDefault="008742FF" w:rsidP="00D0282B">
            <w:pPr>
              <w:pStyle w:val="ESTablebody"/>
              <w:rPr>
                <w:rFonts w:ascii="Calibri" w:hAnsi="Calibri"/>
                <w:sz w:val="18"/>
              </w:rPr>
            </w:pPr>
            <w:r w:rsidRPr="00D0282B">
              <w:rPr>
                <w:rFonts w:ascii="Calibri" w:hAnsi="Calibri"/>
                <w:sz w:val="18"/>
              </w:rPr>
              <w:t xml:space="preserve">During 2020–21, </w:t>
            </w:r>
            <w:r>
              <w:rPr>
                <w:rFonts w:ascii="Calibri" w:hAnsi="Calibri"/>
                <w:sz w:val="18"/>
              </w:rPr>
              <w:t xml:space="preserve">Raising the Bar </w:t>
            </w:r>
            <w:r w:rsidRPr="00D0282B">
              <w:rPr>
                <w:rFonts w:ascii="Calibri" w:hAnsi="Calibri"/>
                <w:sz w:val="18"/>
              </w:rPr>
              <w:t xml:space="preserve">and its projects addressed emerging integrity risks including those highlighted during the Independent Broad-based Anti-Corruption Commission investigations. </w:t>
            </w:r>
          </w:p>
        </w:tc>
      </w:tr>
      <w:tr w:rsidR="008742FF" w:rsidRPr="005734B8" w14:paraId="09B19191" w14:textId="77777777" w:rsidTr="00D93BA2">
        <w:trPr>
          <w:cantSplit/>
        </w:trPr>
        <w:tc>
          <w:tcPr>
            <w:tcW w:w="2268" w:type="dxa"/>
            <w:tcBorders>
              <w:top w:val="single" w:sz="4" w:space="0" w:color="auto"/>
              <w:bottom w:val="single" w:sz="4" w:space="0" w:color="auto"/>
            </w:tcBorders>
            <w:shd w:val="clear" w:color="auto" w:fill="FFFFFF" w:themeFill="background1"/>
          </w:tcPr>
          <w:p w14:paraId="3E9B2CCF" w14:textId="77777777" w:rsidR="008742FF" w:rsidRPr="00D0282B" w:rsidRDefault="008742FF" w:rsidP="00D0282B">
            <w:pPr>
              <w:pStyle w:val="ESTablebodystrong"/>
            </w:pPr>
            <w:r w:rsidRPr="00D0282B">
              <w:t xml:space="preserve">Refreshed communities of practice approach </w:t>
            </w:r>
          </w:p>
        </w:tc>
        <w:tc>
          <w:tcPr>
            <w:tcW w:w="6521" w:type="dxa"/>
            <w:tcBorders>
              <w:top w:val="single" w:sz="4" w:space="0" w:color="auto"/>
              <w:bottom w:val="single" w:sz="4" w:space="0" w:color="auto"/>
            </w:tcBorders>
            <w:shd w:val="clear" w:color="auto" w:fill="FFFFFF" w:themeFill="background1"/>
          </w:tcPr>
          <w:p w14:paraId="6212E394" w14:textId="77777777" w:rsidR="008742FF" w:rsidRPr="00D0282B" w:rsidRDefault="008742FF" w:rsidP="00D0282B">
            <w:pPr>
              <w:pStyle w:val="ESTablebody"/>
              <w:rPr>
                <w:rFonts w:ascii="Calibri" w:hAnsi="Calibri"/>
                <w:sz w:val="18"/>
              </w:rPr>
            </w:pPr>
            <w:r w:rsidRPr="00D0282B">
              <w:rPr>
                <w:rFonts w:ascii="Calibri" w:hAnsi="Calibri"/>
                <w:sz w:val="18"/>
              </w:rPr>
              <w:t xml:space="preserve">The Department supported 138 communities of practice across all 57 regional networks. In 2021, the suite of WISE professional learning programs reached 207 participants. </w:t>
            </w:r>
          </w:p>
        </w:tc>
      </w:tr>
      <w:tr w:rsidR="008742FF" w:rsidRPr="005734B8" w14:paraId="11BA1015" w14:textId="77777777" w:rsidTr="00D93BA2">
        <w:trPr>
          <w:cantSplit/>
        </w:trPr>
        <w:tc>
          <w:tcPr>
            <w:tcW w:w="2268" w:type="dxa"/>
            <w:tcBorders>
              <w:top w:val="single" w:sz="4" w:space="0" w:color="auto"/>
              <w:bottom w:val="single" w:sz="4" w:space="0" w:color="auto"/>
            </w:tcBorders>
            <w:shd w:val="clear" w:color="auto" w:fill="FFFFFF" w:themeFill="background1"/>
          </w:tcPr>
          <w:p w14:paraId="7C2A1142" w14:textId="77777777" w:rsidR="008742FF" w:rsidRPr="00D0282B" w:rsidRDefault="008742FF" w:rsidP="00D0282B">
            <w:pPr>
              <w:pStyle w:val="ESTablebodystrong"/>
            </w:pPr>
            <w:r w:rsidRPr="00D0282B">
              <w:t>Responding to growth</w:t>
            </w:r>
          </w:p>
        </w:tc>
        <w:tc>
          <w:tcPr>
            <w:tcW w:w="6521" w:type="dxa"/>
            <w:tcBorders>
              <w:top w:val="single" w:sz="4" w:space="0" w:color="auto"/>
              <w:bottom w:val="single" w:sz="4" w:space="0" w:color="auto"/>
            </w:tcBorders>
            <w:shd w:val="clear" w:color="auto" w:fill="FFFFFF" w:themeFill="background1"/>
          </w:tcPr>
          <w:p w14:paraId="74E509E8" w14:textId="04907FF5" w:rsidR="008742FF" w:rsidRPr="00D0282B" w:rsidRDefault="008742FF" w:rsidP="00D0282B">
            <w:pPr>
              <w:pStyle w:val="ESTablebody"/>
              <w:rPr>
                <w:rFonts w:ascii="Calibri" w:hAnsi="Calibri"/>
                <w:sz w:val="18"/>
              </w:rPr>
            </w:pPr>
            <w:r w:rsidRPr="00D0282B">
              <w:rPr>
                <w:rFonts w:ascii="Calibri" w:hAnsi="Calibri"/>
                <w:sz w:val="18"/>
              </w:rPr>
              <w:t xml:space="preserve">Non-infrastructure enrolment management supports have been developed to ensure that every Victorian student can attend their </w:t>
            </w:r>
            <w:bookmarkStart w:id="46" w:name="_Hlk78459235"/>
            <w:r w:rsidRPr="00D0282B">
              <w:rPr>
                <w:rFonts w:ascii="Calibri" w:hAnsi="Calibri"/>
                <w:sz w:val="18"/>
              </w:rPr>
              <w:t xml:space="preserve">neighbourhood </w:t>
            </w:r>
            <w:bookmarkEnd w:id="46"/>
            <w:r w:rsidRPr="00D0282B">
              <w:rPr>
                <w:rFonts w:ascii="Calibri" w:hAnsi="Calibri"/>
                <w:sz w:val="18"/>
              </w:rPr>
              <w:t>school. This included reviewing and adjusting existing school zones</w:t>
            </w:r>
            <w:r>
              <w:rPr>
                <w:rFonts w:ascii="Calibri" w:hAnsi="Calibri"/>
                <w:sz w:val="18"/>
              </w:rPr>
              <w:t>,</w:t>
            </w:r>
            <w:r w:rsidRPr="00D0282B">
              <w:rPr>
                <w:rFonts w:ascii="Calibri" w:hAnsi="Calibri"/>
                <w:sz w:val="18"/>
              </w:rPr>
              <w:t xml:space="preserve"> and creating 11 new zones for school</w:t>
            </w:r>
            <w:r w:rsidR="00A67356">
              <w:rPr>
                <w:rFonts w:ascii="Calibri" w:hAnsi="Calibri"/>
                <w:sz w:val="18"/>
              </w:rPr>
              <w:t>s</w:t>
            </w:r>
            <w:r w:rsidRPr="00D0282B">
              <w:rPr>
                <w:rFonts w:ascii="Calibri" w:hAnsi="Calibri"/>
                <w:sz w:val="18"/>
              </w:rPr>
              <w:t xml:space="preserve"> opening in 2022. The Department also developed and implemented enrolment distribution management plans based on current and projected data to support regions and principals </w:t>
            </w:r>
            <w:r>
              <w:rPr>
                <w:rFonts w:ascii="Calibri" w:hAnsi="Calibri"/>
                <w:sz w:val="18"/>
              </w:rPr>
              <w:t xml:space="preserve">in </w:t>
            </w:r>
            <w:r w:rsidRPr="00D0282B">
              <w:rPr>
                <w:rFonts w:ascii="Calibri" w:hAnsi="Calibri"/>
                <w:sz w:val="18"/>
              </w:rPr>
              <w:t>manag</w:t>
            </w:r>
            <w:r>
              <w:rPr>
                <w:rFonts w:ascii="Calibri" w:hAnsi="Calibri"/>
                <w:sz w:val="18"/>
              </w:rPr>
              <w:t>ing</w:t>
            </w:r>
            <w:r w:rsidRPr="00D0282B">
              <w:rPr>
                <w:rFonts w:ascii="Calibri" w:hAnsi="Calibri"/>
                <w:sz w:val="18"/>
              </w:rPr>
              <w:t xml:space="preserve"> enrolments. </w:t>
            </w:r>
          </w:p>
        </w:tc>
      </w:tr>
      <w:tr w:rsidR="008742FF" w:rsidRPr="005734B8" w14:paraId="37EE46C2" w14:textId="77777777" w:rsidTr="00D93BA2">
        <w:trPr>
          <w:cantSplit/>
        </w:trPr>
        <w:tc>
          <w:tcPr>
            <w:tcW w:w="2268" w:type="dxa"/>
            <w:tcBorders>
              <w:top w:val="single" w:sz="4" w:space="0" w:color="auto"/>
              <w:bottom w:val="single" w:sz="4" w:space="0" w:color="auto"/>
            </w:tcBorders>
            <w:shd w:val="clear" w:color="auto" w:fill="FFFFFF" w:themeFill="background1"/>
          </w:tcPr>
          <w:p w14:paraId="2A07A06A" w14:textId="77777777" w:rsidR="008742FF" w:rsidRPr="00D0282B" w:rsidRDefault="008742FF" w:rsidP="00D0282B">
            <w:pPr>
              <w:pStyle w:val="ESTablebodystrong"/>
            </w:pPr>
            <w:bookmarkStart w:id="47" w:name="_Hlk77161823"/>
            <w:r w:rsidRPr="00D0282B">
              <w:t>Responding to the recommendations from the Royal Commission into Family Violence</w:t>
            </w:r>
            <w:bookmarkEnd w:id="47"/>
          </w:p>
        </w:tc>
        <w:tc>
          <w:tcPr>
            <w:tcW w:w="6521" w:type="dxa"/>
            <w:tcBorders>
              <w:top w:val="single" w:sz="4" w:space="0" w:color="auto"/>
              <w:bottom w:val="single" w:sz="4" w:space="0" w:color="auto"/>
            </w:tcBorders>
            <w:shd w:val="clear" w:color="auto" w:fill="FFFFFF" w:themeFill="background1"/>
          </w:tcPr>
          <w:p w14:paraId="01A1D17D" w14:textId="77777777" w:rsidR="008742FF" w:rsidRPr="00D0282B" w:rsidRDefault="008742FF" w:rsidP="00D0282B">
            <w:pPr>
              <w:pStyle w:val="ESTablebody"/>
              <w:rPr>
                <w:rFonts w:ascii="Calibri" w:hAnsi="Calibri"/>
                <w:sz w:val="18"/>
              </w:rPr>
            </w:pPr>
            <w:bookmarkStart w:id="48" w:name="_Hlk77161779"/>
            <w:r>
              <w:rPr>
                <w:rFonts w:ascii="Calibri" w:hAnsi="Calibri"/>
                <w:sz w:val="18"/>
              </w:rPr>
              <w:t>More than</w:t>
            </w:r>
            <w:r w:rsidRPr="00D0282B">
              <w:rPr>
                <w:rFonts w:ascii="Calibri" w:hAnsi="Calibri"/>
                <w:sz w:val="18"/>
              </w:rPr>
              <w:t xml:space="preserve"> 1,950 Victorian government</w:t>
            </w:r>
            <w:bookmarkEnd w:id="48"/>
            <w:r w:rsidRPr="00D0282B">
              <w:rPr>
                <w:rFonts w:ascii="Calibri" w:hAnsi="Calibri"/>
                <w:sz w:val="18"/>
              </w:rPr>
              <w:t>, Catholic and independent schools are participating in the Respectful Relationships initiative, including all government schools.</w:t>
            </w:r>
          </w:p>
        </w:tc>
      </w:tr>
      <w:tr w:rsidR="008742FF" w:rsidRPr="005734B8" w14:paraId="655ED211" w14:textId="77777777" w:rsidTr="00D93BA2">
        <w:trPr>
          <w:cantSplit/>
        </w:trPr>
        <w:tc>
          <w:tcPr>
            <w:tcW w:w="2268" w:type="dxa"/>
            <w:tcBorders>
              <w:top w:val="single" w:sz="4" w:space="0" w:color="auto"/>
              <w:bottom w:val="single" w:sz="4" w:space="0" w:color="auto"/>
            </w:tcBorders>
            <w:shd w:val="clear" w:color="auto" w:fill="FFFFFF" w:themeFill="background1"/>
          </w:tcPr>
          <w:p w14:paraId="4B1D499B" w14:textId="77777777" w:rsidR="008742FF" w:rsidRPr="00D0282B" w:rsidRDefault="008742FF" w:rsidP="00D0282B">
            <w:pPr>
              <w:pStyle w:val="ESTablebodystrong"/>
            </w:pPr>
            <w:r w:rsidRPr="00D0282B">
              <w:t xml:space="preserve">Royal Commission into Victoria’s Mental Health System </w:t>
            </w:r>
          </w:p>
        </w:tc>
        <w:tc>
          <w:tcPr>
            <w:tcW w:w="6521" w:type="dxa"/>
            <w:tcBorders>
              <w:top w:val="single" w:sz="4" w:space="0" w:color="auto"/>
              <w:bottom w:val="single" w:sz="4" w:space="0" w:color="auto"/>
            </w:tcBorders>
            <w:shd w:val="clear" w:color="auto" w:fill="FFFFFF" w:themeFill="background1"/>
          </w:tcPr>
          <w:p w14:paraId="3D9DAF67" w14:textId="77777777" w:rsidR="008742FF" w:rsidRPr="00D0282B" w:rsidRDefault="008742FF" w:rsidP="00D0282B">
            <w:pPr>
              <w:pStyle w:val="ESTablebody"/>
              <w:rPr>
                <w:rFonts w:ascii="Calibri" w:hAnsi="Calibri"/>
                <w:sz w:val="18"/>
              </w:rPr>
            </w:pPr>
            <w:r w:rsidRPr="00D0282B">
              <w:rPr>
                <w:rFonts w:ascii="Calibri" w:hAnsi="Calibri"/>
                <w:sz w:val="18"/>
              </w:rPr>
              <w:t xml:space="preserve">The Department supported the whole of government engagement with the Royal Commission by supporting witnesses and providing evidence. The Royal Commission report was released on 2 March 2021. The Department is currently designing a fund and evidence-based menu in consultation with experts and a reference group as recommended in the report. </w:t>
            </w:r>
          </w:p>
        </w:tc>
      </w:tr>
      <w:tr w:rsidR="008742FF" w:rsidRPr="005734B8" w14:paraId="61325B79" w14:textId="77777777" w:rsidTr="00D93BA2">
        <w:trPr>
          <w:cantSplit/>
        </w:trPr>
        <w:tc>
          <w:tcPr>
            <w:tcW w:w="2268" w:type="dxa"/>
            <w:tcBorders>
              <w:top w:val="single" w:sz="4" w:space="0" w:color="auto"/>
              <w:bottom w:val="single" w:sz="4" w:space="0" w:color="auto"/>
            </w:tcBorders>
            <w:shd w:val="clear" w:color="auto" w:fill="FFFFFF" w:themeFill="background1"/>
          </w:tcPr>
          <w:p w14:paraId="01ADB33E" w14:textId="77777777" w:rsidR="008742FF" w:rsidRPr="00D0282B" w:rsidRDefault="008742FF" w:rsidP="00D0282B">
            <w:pPr>
              <w:pStyle w:val="ESTablebodystrong"/>
            </w:pPr>
            <w:r w:rsidRPr="00D0282B">
              <w:t>Safe and Well in Education Framework and Strategy 2019–24</w:t>
            </w:r>
          </w:p>
        </w:tc>
        <w:tc>
          <w:tcPr>
            <w:tcW w:w="6521" w:type="dxa"/>
            <w:tcBorders>
              <w:top w:val="single" w:sz="4" w:space="0" w:color="auto"/>
              <w:bottom w:val="single" w:sz="4" w:space="0" w:color="auto"/>
            </w:tcBorders>
            <w:shd w:val="clear" w:color="auto" w:fill="FFFFFF" w:themeFill="background1"/>
          </w:tcPr>
          <w:p w14:paraId="7FC1F58F" w14:textId="77777777" w:rsidR="008742FF" w:rsidRPr="005734B8" w:rsidRDefault="008742FF" w:rsidP="00D0282B">
            <w:pPr>
              <w:pStyle w:val="ESTablebody"/>
              <w:rPr>
                <w:rFonts w:ascii="Calibri" w:hAnsi="Calibri" w:cs="Calibri"/>
                <w:sz w:val="18"/>
              </w:rPr>
            </w:pPr>
            <w:bookmarkStart w:id="49" w:name="_Hlk76382404"/>
            <w:r w:rsidRPr="00D0282B">
              <w:rPr>
                <w:rFonts w:ascii="Calibri" w:hAnsi="Calibri"/>
                <w:sz w:val="18"/>
              </w:rPr>
              <w:t>In 2020 and 2021, several health and safety services pivoted in response to the COVID-19 pandemic including by providing the school COVID-19 Assurance Program. In addition, the Policy and Advisory Library was viewed 3.4 million times.</w:t>
            </w:r>
          </w:p>
          <w:bookmarkEnd w:id="49"/>
          <w:p w14:paraId="4EF67D51" w14:textId="77777777" w:rsidR="008742FF" w:rsidRPr="00D0282B" w:rsidRDefault="008742FF" w:rsidP="00D0282B">
            <w:pPr>
              <w:pStyle w:val="ESTablebody"/>
              <w:rPr>
                <w:rFonts w:ascii="Calibri" w:hAnsi="Calibri"/>
                <w:sz w:val="18"/>
              </w:rPr>
            </w:pPr>
            <w:r w:rsidRPr="00D0282B">
              <w:rPr>
                <w:rFonts w:ascii="Calibri" w:hAnsi="Calibri"/>
                <w:sz w:val="18"/>
              </w:rPr>
              <w:t xml:space="preserve"> </w:t>
            </w:r>
          </w:p>
        </w:tc>
      </w:tr>
      <w:tr w:rsidR="008742FF" w:rsidRPr="005734B8" w14:paraId="3B2D3DBB" w14:textId="77777777" w:rsidTr="00D93BA2">
        <w:trPr>
          <w:cantSplit/>
        </w:trPr>
        <w:tc>
          <w:tcPr>
            <w:tcW w:w="2268" w:type="dxa"/>
            <w:tcBorders>
              <w:top w:val="single" w:sz="4" w:space="0" w:color="auto"/>
              <w:bottom w:val="single" w:sz="4" w:space="0" w:color="auto"/>
            </w:tcBorders>
            <w:shd w:val="clear" w:color="auto" w:fill="FFFFFF" w:themeFill="background1"/>
          </w:tcPr>
          <w:p w14:paraId="63EC22FF" w14:textId="77777777" w:rsidR="008742FF" w:rsidRPr="00D0282B" w:rsidRDefault="008742FF" w:rsidP="00D0282B">
            <w:pPr>
              <w:pStyle w:val="ESTablebodystrong"/>
            </w:pPr>
            <w:r w:rsidRPr="00D0282B">
              <w:t>School infrastructure program</w:t>
            </w:r>
          </w:p>
        </w:tc>
        <w:tc>
          <w:tcPr>
            <w:tcW w:w="6521" w:type="dxa"/>
            <w:tcBorders>
              <w:top w:val="single" w:sz="4" w:space="0" w:color="auto"/>
              <w:bottom w:val="single" w:sz="4" w:space="0" w:color="auto"/>
            </w:tcBorders>
            <w:shd w:val="clear" w:color="auto" w:fill="FFFFFF" w:themeFill="background1"/>
          </w:tcPr>
          <w:p w14:paraId="75077C02" w14:textId="77777777" w:rsidR="008742FF" w:rsidRPr="00D0282B" w:rsidRDefault="008742FF" w:rsidP="00D0282B">
            <w:pPr>
              <w:pStyle w:val="ESTablebody"/>
              <w:rPr>
                <w:rFonts w:ascii="Calibri" w:hAnsi="Calibri"/>
                <w:sz w:val="18"/>
              </w:rPr>
            </w:pPr>
            <w:bookmarkStart w:id="50" w:name="_Hlk77160169"/>
            <w:r w:rsidRPr="00D0282B">
              <w:rPr>
                <w:rFonts w:ascii="Calibri" w:hAnsi="Calibri"/>
                <w:sz w:val="18"/>
              </w:rPr>
              <w:t>Of the 547 school infrastructure project commitments made to date, 178 are completed and a further 369 are in progress and remain on-track.</w:t>
            </w:r>
            <w:bookmarkEnd w:id="50"/>
          </w:p>
        </w:tc>
      </w:tr>
      <w:tr w:rsidR="008742FF" w:rsidRPr="005734B8" w14:paraId="327E2EA5" w14:textId="77777777" w:rsidTr="00D93BA2">
        <w:trPr>
          <w:cantSplit/>
        </w:trPr>
        <w:tc>
          <w:tcPr>
            <w:tcW w:w="2268" w:type="dxa"/>
            <w:tcBorders>
              <w:top w:val="single" w:sz="4" w:space="0" w:color="auto"/>
              <w:bottom w:val="single" w:sz="4" w:space="0" w:color="auto"/>
            </w:tcBorders>
            <w:shd w:val="clear" w:color="auto" w:fill="FFFFFF" w:themeFill="background1"/>
          </w:tcPr>
          <w:p w14:paraId="51A60314" w14:textId="77777777" w:rsidR="008742FF" w:rsidRPr="00D0282B" w:rsidRDefault="008742FF" w:rsidP="00D0282B">
            <w:pPr>
              <w:pStyle w:val="ESTablebodystrong"/>
            </w:pPr>
            <w:r w:rsidRPr="00D0282B">
              <w:t>Skills for major projects</w:t>
            </w:r>
          </w:p>
        </w:tc>
        <w:tc>
          <w:tcPr>
            <w:tcW w:w="6521" w:type="dxa"/>
            <w:tcBorders>
              <w:top w:val="single" w:sz="4" w:space="0" w:color="auto"/>
              <w:bottom w:val="single" w:sz="4" w:space="0" w:color="auto"/>
            </w:tcBorders>
            <w:shd w:val="clear" w:color="auto" w:fill="FFFFFF" w:themeFill="background1"/>
          </w:tcPr>
          <w:p w14:paraId="68D0EF6E" w14:textId="2EB44EF7" w:rsidR="008742FF" w:rsidRPr="00D0282B" w:rsidRDefault="008742FF" w:rsidP="00D0282B">
            <w:pPr>
              <w:pStyle w:val="ESTablebody"/>
              <w:rPr>
                <w:rFonts w:ascii="Calibri" w:hAnsi="Calibri"/>
                <w:sz w:val="18"/>
              </w:rPr>
            </w:pPr>
            <w:r w:rsidRPr="00D0282B">
              <w:rPr>
                <w:rFonts w:ascii="Calibri" w:hAnsi="Calibri"/>
                <w:sz w:val="18"/>
              </w:rPr>
              <w:t xml:space="preserve">Extensive work was achieved on the </w:t>
            </w:r>
            <w:r w:rsidR="00A32266">
              <w:rPr>
                <w:rFonts w:ascii="Calibri" w:hAnsi="Calibri"/>
                <w:sz w:val="18"/>
              </w:rPr>
              <w:t>n</w:t>
            </w:r>
            <w:r w:rsidRPr="00D0282B">
              <w:rPr>
                <w:rFonts w:ascii="Calibri" w:hAnsi="Calibri"/>
                <w:sz w:val="18"/>
              </w:rPr>
              <w:t xml:space="preserve">ew Footscray Hospital in developing its Connectivity Centre. This initiative also resulted in the development of Big Build Apprenticeships, which has received </w:t>
            </w:r>
            <w:r>
              <w:rPr>
                <w:rFonts w:ascii="Calibri" w:hAnsi="Calibri"/>
                <w:sz w:val="18"/>
              </w:rPr>
              <w:t>more than</w:t>
            </w:r>
            <w:r w:rsidRPr="00D0282B">
              <w:rPr>
                <w:rFonts w:ascii="Calibri" w:hAnsi="Calibri"/>
                <w:sz w:val="18"/>
              </w:rPr>
              <w:t xml:space="preserve"> 600 expressions of interest for work</w:t>
            </w:r>
            <w:r w:rsidR="00CB383D">
              <w:rPr>
                <w:rFonts w:ascii="Calibri" w:hAnsi="Calibri"/>
                <w:sz w:val="18"/>
              </w:rPr>
              <w:t xml:space="preserve"> opportunities</w:t>
            </w:r>
            <w:r w:rsidRPr="00D0282B">
              <w:rPr>
                <w:rFonts w:ascii="Calibri" w:hAnsi="Calibri"/>
                <w:sz w:val="18"/>
              </w:rPr>
              <w:t>.</w:t>
            </w:r>
          </w:p>
        </w:tc>
      </w:tr>
      <w:tr w:rsidR="008742FF" w:rsidRPr="005734B8" w14:paraId="20BB9F6C" w14:textId="77777777" w:rsidTr="00D93BA2">
        <w:trPr>
          <w:cantSplit/>
        </w:trPr>
        <w:tc>
          <w:tcPr>
            <w:tcW w:w="2268" w:type="dxa"/>
            <w:tcBorders>
              <w:top w:val="single" w:sz="4" w:space="0" w:color="auto"/>
              <w:bottom w:val="single" w:sz="4" w:space="0" w:color="auto"/>
            </w:tcBorders>
            <w:shd w:val="clear" w:color="auto" w:fill="FFFFFF" w:themeFill="background1"/>
          </w:tcPr>
          <w:p w14:paraId="2DD0480F" w14:textId="005F8ECE" w:rsidR="008742FF" w:rsidRPr="00D0282B" w:rsidRDefault="008742FF" w:rsidP="00D0282B">
            <w:pPr>
              <w:pStyle w:val="ESTablebodystrong"/>
            </w:pPr>
            <w:r w:rsidRPr="00D0282B">
              <w:t>Skills for Victoria’s Growing Economy</w:t>
            </w:r>
            <w:r w:rsidR="00A768A9" w:rsidRPr="00D0282B">
              <w:t xml:space="preserve"> </w:t>
            </w:r>
            <w:r w:rsidRPr="00D0282B">
              <w:t>Review</w:t>
            </w:r>
          </w:p>
        </w:tc>
        <w:tc>
          <w:tcPr>
            <w:tcW w:w="6521" w:type="dxa"/>
            <w:tcBorders>
              <w:top w:val="single" w:sz="4" w:space="0" w:color="auto"/>
              <w:bottom w:val="single" w:sz="4" w:space="0" w:color="auto"/>
            </w:tcBorders>
            <w:shd w:val="clear" w:color="auto" w:fill="FFFFFF" w:themeFill="background1"/>
          </w:tcPr>
          <w:p w14:paraId="2A69324E" w14:textId="536269E7" w:rsidR="008742FF" w:rsidRPr="00D0282B" w:rsidRDefault="008742FF" w:rsidP="00D0282B">
            <w:pPr>
              <w:pStyle w:val="ESTablebody"/>
              <w:rPr>
                <w:rFonts w:ascii="Calibri" w:hAnsi="Calibri"/>
                <w:sz w:val="18"/>
              </w:rPr>
            </w:pPr>
            <w:bookmarkStart w:id="51" w:name="_Hlk83036142"/>
            <w:r w:rsidRPr="00D0282B">
              <w:rPr>
                <w:rFonts w:ascii="Calibri" w:hAnsi="Calibri"/>
                <w:sz w:val="18"/>
              </w:rPr>
              <w:t>The Department support</w:t>
            </w:r>
            <w:r w:rsidR="000D2FD9">
              <w:rPr>
                <w:rFonts w:ascii="Calibri" w:hAnsi="Calibri"/>
                <w:sz w:val="18"/>
              </w:rPr>
              <w:t>ed</w:t>
            </w:r>
            <w:r w:rsidRPr="00D0282B">
              <w:rPr>
                <w:rFonts w:ascii="Calibri" w:hAnsi="Calibri"/>
                <w:sz w:val="18"/>
              </w:rPr>
              <w:t xml:space="preserve"> the Skills for Victoria’s Growing Economy Review </w:t>
            </w:r>
            <w:r w:rsidR="000D2FD9">
              <w:rPr>
                <w:rFonts w:ascii="Calibri" w:hAnsi="Calibri"/>
                <w:sz w:val="18"/>
              </w:rPr>
              <w:t>with</w:t>
            </w:r>
            <w:r w:rsidRPr="00D0282B">
              <w:rPr>
                <w:rFonts w:ascii="Calibri" w:hAnsi="Calibri"/>
                <w:sz w:val="18"/>
              </w:rPr>
              <w:t xml:space="preserve"> </w:t>
            </w:r>
            <w:r w:rsidR="000D2FD9">
              <w:rPr>
                <w:rFonts w:ascii="Calibri" w:hAnsi="Calibri"/>
                <w:sz w:val="18"/>
              </w:rPr>
              <w:t>d</w:t>
            </w:r>
            <w:r w:rsidRPr="00D0282B">
              <w:rPr>
                <w:rFonts w:ascii="Calibri" w:hAnsi="Calibri"/>
                <w:sz w:val="18"/>
              </w:rPr>
              <w:t>epartment</w:t>
            </w:r>
            <w:r w:rsidR="000D2FD9">
              <w:rPr>
                <w:rFonts w:ascii="Calibri" w:hAnsi="Calibri"/>
                <w:sz w:val="18"/>
              </w:rPr>
              <w:t>al</w:t>
            </w:r>
            <w:r w:rsidRPr="00D0282B">
              <w:rPr>
                <w:rFonts w:ascii="Calibri" w:hAnsi="Calibri"/>
                <w:sz w:val="18"/>
              </w:rPr>
              <w:t xml:space="preserve"> staff, systems and data, as well as office facilities</w:t>
            </w:r>
            <w:bookmarkEnd w:id="51"/>
            <w:r w:rsidRPr="00D0282B">
              <w:rPr>
                <w:rFonts w:ascii="Calibri" w:hAnsi="Calibri"/>
                <w:sz w:val="18"/>
              </w:rPr>
              <w:t xml:space="preserve">. The Department also </w:t>
            </w:r>
            <w:r>
              <w:rPr>
                <w:rFonts w:ascii="Calibri" w:hAnsi="Calibri"/>
                <w:sz w:val="18"/>
              </w:rPr>
              <w:t>helped</w:t>
            </w:r>
            <w:r w:rsidRPr="00D0282B">
              <w:rPr>
                <w:rFonts w:ascii="Calibri" w:hAnsi="Calibri"/>
                <w:sz w:val="18"/>
              </w:rPr>
              <w:t xml:space="preserve"> the review procure additional analysis and research services. The final report was released on 3 February 2021</w:t>
            </w:r>
            <w:r>
              <w:rPr>
                <w:rFonts w:ascii="Calibri" w:hAnsi="Calibri"/>
                <w:sz w:val="18"/>
              </w:rPr>
              <w:t>,</w:t>
            </w:r>
            <w:r w:rsidRPr="00D0282B">
              <w:rPr>
                <w:rFonts w:ascii="Calibri" w:hAnsi="Calibri"/>
                <w:sz w:val="18"/>
              </w:rPr>
              <w:t xml:space="preserve"> and work is underway to support the Government’s response to the report’s recommendations.</w:t>
            </w:r>
          </w:p>
        </w:tc>
      </w:tr>
      <w:tr w:rsidR="008742FF" w:rsidRPr="005734B8" w14:paraId="2A1F2050" w14:textId="77777777" w:rsidTr="00D93BA2">
        <w:trPr>
          <w:cantSplit/>
        </w:trPr>
        <w:tc>
          <w:tcPr>
            <w:tcW w:w="2268" w:type="dxa"/>
            <w:tcBorders>
              <w:top w:val="single" w:sz="4" w:space="0" w:color="auto"/>
              <w:bottom w:val="single" w:sz="4" w:space="0" w:color="auto"/>
            </w:tcBorders>
            <w:shd w:val="clear" w:color="auto" w:fill="FFFFFF" w:themeFill="background1"/>
          </w:tcPr>
          <w:p w14:paraId="58DFB7D7" w14:textId="77777777" w:rsidR="008742FF" w:rsidRPr="00D0282B" w:rsidRDefault="008742FF" w:rsidP="00D0282B">
            <w:pPr>
              <w:pStyle w:val="ESTablebodystrong"/>
            </w:pPr>
            <w:r w:rsidRPr="00D0282B">
              <w:t>Teaching and learning quality in VET</w:t>
            </w:r>
          </w:p>
        </w:tc>
        <w:tc>
          <w:tcPr>
            <w:tcW w:w="6521" w:type="dxa"/>
            <w:tcBorders>
              <w:top w:val="single" w:sz="4" w:space="0" w:color="auto"/>
              <w:bottom w:val="single" w:sz="4" w:space="0" w:color="auto"/>
            </w:tcBorders>
            <w:shd w:val="clear" w:color="auto" w:fill="FFFFFF" w:themeFill="background1"/>
          </w:tcPr>
          <w:p w14:paraId="199CA97F" w14:textId="77777777" w:rsidR="008742FF" w:rsidRPr="00D0282B" w:rsidRDefault="008742FF" w:rsidP="00D0282B">
            <w:pPr>
              <w:pStyle w:val="ESTablebody"/>
              <w:rPr>
                <w:rFonts w:ascii="Calibri" w:hAnsi="Calibri"/>
                <w:sz w:val="18"/>
              </w:rPr>
            </w:pPr>
            <w:r w:rsidRPr="00D0282B">
              <w:rPr>
                <w:rFonts w:ascii="Calibri" w:hAnsi="Calibri"/>
                <w:sz w:val="18"/>
              </w:rPr>
              <w:t xml:space="preserve">During 2020–21 the VET Development Centre provided 32 funded professional development sessions to 555 </w:t>
            </w:r>
            <w:bookmarkStart w:id="52" w:name="_Hlk45006372"/>
            <w:r w:rsidRPr="00D0282B">
              <w:rPr>
                <w:rFonts w:ascii="Calibri" w:hAnsi="Calibri"/>
                <w:sz w:val="18"/>
              </w:rPr>
              <w:t>VET teachers, trainers and assessors</w:t>
            </w:r>
            <w:bookmarkEnd w:id="52"/>
            <w:r w:rsidRPr="00D0282B">
              <w:rPr>
                <w:rFonts w:ascii="Calibri" w:hAnsi="Calibri"/>
                <w:sz w:val="18"/>
              </w:rPr>
              <w:t>.</w:t>
            </w:r>
          </w:p>
        </w:tc>
      </w:tr>
      <w:tr w:rsidR="008742FF" w:rsidRPr="005734B8" w14:paraId="2A7945DB" w14:textId="77777777" w:rsidTr="00D93BA2">
        <w:trPr>
          <w:cantSplit/>
        </w:trPr>
        <w:tc>
          <w:tcPr>
            <w:tcW w:w="2268" w:type="dxa"/>
            <w:tcBorders>
              <w:top w:val="single" w:sz="4" w:space="0" w:color="FFFFFF" w:themeColor="background1"/>
              <w:bottom w:val="single" w:sz="4" w:space="0" w:color="auto"/>
            </w:tcBorders>
            <w:shd w:val="clear" w:color="auto" w:fill="FFFFFF" w:themeFill="background1"/>
          </w:tcPr>
          <w:p w14:paraId="0727793A" w14:textId="6AA986AD" w:rsidR="008742FF" w:rsidRPr="00D0282B" w:rsidRDefault="008742FF" w:rsidP="00D0282B">
            <w:pPr>
              <w:pStyle w:val="ESTablebodystrong"/>
            </w:pPr>
            <w:r w:rsidRPr="00D0282B">
              <w:lastRenderedPageBreak/>
              <w:t>Three-</w:t>
            </w:r>
            <w:r w:rsidR="00993029">
              <w:t>Y</w:t>
            </w:r>
            <w:r w:rsidRPr="00D0282B">
              <w:t>ear-</w:t>
            </w:r>
            <w:r w:rsidR="00993029">
              <w:t>O</w:t>
            </w:r>
            <w:r w:rsidRPr="00D0282B">
              <w:t xml:space="preserve">ld </w:t>
            </w:r>
            <w:r w:rsidR="00993029">
              <w:t>K</w:t>
            </w:r>
            <w:r w:rsidRPr="00D0282B">
              <w:t>indergarten</w:t>
            </w:r>
          </w:p>
        </w:tc>
        <w:tc>
          <w:tcPr>
            <w:tcW w:w="6521" w:type="dxa"/>
            <w:tcBorders>
              <w:top w:val="single" w:sz="4" w:space="0" w:color="FFFFFF" w:themeColor="background1"/>
              <w:bottom w:val="single" w:sz="4" w:space="0" w:color="auto"/>
            </w:tcBorders>
            <w:shd w:val="clear" w:color="auto" w:fill="FFFFFF" w:themeFill="background1"/>
          </w:tcPr>
          <w:p w14:paraId="10626995" w14:textId="41EE78E3" w:rsidR="008742FF" w:rsidRPr="00D0282B" w:rsidRDefault="00641AD3" w:rsidP="00D0282B">
            <w:pPr>
              <w:pStyle w:val="ESTablebody"/>
              <w:rPr>
                <w:rFonts w:ascii="Calibri" w:hAnsi="Calibri"/>
                <w:sz w:val="18"/>
              </w:rPr>
            </w:pPr>
            <w:r w:rsidRPr="00D0282B">
              <w:rPr>
                <w:rFonts w:ascii="Calibri" w:hAnsi="Calibri"/>
                <w:sz w:val="18"/>
              </w:rPr>
              <w:t xml:space="preserve">Around 2,500 children are participating in </w:t>
            </w:r>
            <w:r>
              <w:rPr>
                <w:rFonts w:ascii="Calibri" w:hAnsi="Calibri"/>
                <w:sz w:val="18"/>
              </w:rPr>
              <w:t>T</w:t>
            </w:r>
            <w:r w:rsidRPr="00D0282B">
              <w:rPr>
                <w:rFonts w:ascii="Calibri" w:hAnsi="Calibri"/>
                <w:sz w:val="18"/>
              </w:rPr>
              <w:t>hree-</w:t>
            </w:r>
            <w:r>
              <w:rPr>
                <w:rFonts w:ascii="Calibri" w:hAnsi="Calibri"/>
                <w:sz w:val="18"/>
              </w:rPr>
              <w:t>Y</w:t>
            </w:r>
            <w:r w:rsidRPr="00D0282B">
              <w:rPr>
                <w:rFonts w:ascii="Calibri" w:hAnsi="Calibri"/>
                <w:sz w:val="18"/>
              </w:rPr>
              <w:t>ear-</w:t>
            </w:r>
            <w:r>
              <w:rPr>
                <w:rFonts w:ascii="Calibri" w:hAnsi="Calibri"/>
                <w:sz w:val="18"/>
              </w:rPr>
              <w:t>O</w:t>
            </w:r>
            <w:r w:rsidRPr="00D0282B">
              <w:rPr>
                <w:rFonts w:ascii="Calibri" w:hAnsi="Calibri"/>
                <w:sz w:val="18"/>
              </w:rPr>
              <w:t xml:space="preserve">ld </w:t>
            </w:r>
            <w:r>
              <w:rPr>
                <w:rFonts w:ascii="Calibri" w:hAnsi="Calibri"/>
                <w:sz w:val="18"/>
              </w:rPr>
              <w:t>K</w:t>
            </w:r>
            <w:r w:rsidRPr="00D0282B">
              <w:rPr>
                <w:rFonts w:ascii="Calibri" w:hAnsi="Calibri"/>
                <w:sz w:val="18"/>
              </w:rPr>
              <w:t xml:space="preserve">indergarten. From the beginning of 2021, funded </w:t>
            </w:r>
            <w:r>
              <w:rPr>
                <w:rFonts w:ascii="Calibri" w:hAnsi="Calibri"/>
                <w:sz w:val="18"/>
              </w:rPr>
              <w:t>T</w:t>
            </w:r>
            <w:r w:rsidRPr="00D0282B">
              <w:rPr>
                <w:rFonts w:ascii="Calibri" w:hAnsi="Calibri"/>
                <w:sz w:val="18"/>
              </w:rPr>
              <w:t>hree-</w:t>
            </w:r>
            <w:r>
              <w:rPr>
                <w:rFonts w:ascii="Calibri" w:hAnsi="Calibri"/>
                <w:sz w:val="18"/>
              </w:rPr>
              <w:t>Y</w:t>
            </w:r>
            <w:r w:rsidRPr="00D0282B">
              <w:rPr>
                <w:rFonts w:ascii="Calibri" w:hAnsi="Calibri"/>
                <w:sz w:val="18"/>
              </w:rPr>
              <w:t>ear-</w:t>
            </w:r>
            <w:r>
              <w:rPr>
                <w:rFonts w:ascii="Calibri" w:hAnsi="Calibri"/>
                <w:sz w:val="18"/>
              </w:rPr>
              <w:t>O</w:t>
            </w:r>
            <w:r w:rsidRPr="00D0282B">
              <w:rPr>
                <w:rFonts w:ascii="Calibri" w:hAnsi="Calibri"/>
                <w:sz w:val="18"/>
              </w:rPr>
              <w:t xml:space="preserve">ld </w:t>
            </w:r>
            <w:r>
              <w:rPr>
                <w:rFonts w:ascii="Calibri" w:hAnsi="Calibri"/>
                <w:sz w:val="18"/>
              </w:rPr>
              <w:t>K</w:t>
            </w:r>
            <w:r w:rsidRPr="00D0282B">
              <w:rPr>
                <w:rFonts w:ascii="Calibri" w:hAnsi="Calibri"/>
                <w:sz w:val="18"/>
              </w:rPr>
              <w:t>indergarten</w:t>
            </w:r>
            <w:r w:rsidRPr="00D0282B" w:rsidDel="00180FE0">
              <w:rPr>
                <w:rFonts w:ascii="Calibri" w:hAnsi="Calibri"/>
                <w:sz w:val="18"/>
              </w:rPr>
              <w:t xml:space="preserve"> </w:t>
            </w:r>
            <w:r w:rsidRPr="00D0282B">
              <w:rPr>
                <w:rFonts w:ascii="Calibri" w:hAnsi="Calibri"/>
                <w:sz w:val="18"/>
              </w:rPr>
              <w:t xml:space="preserve">is being provided to families in </w:t>
            </w:r>
            <w:r>
              <w:rPr>
                <w:rFonts w:ascii="Calibri" w:hAnsi="Calibri"/>
                <w:sz w:val="18"/>
              </w:rPr>
              <w:t>21</w:t>
            </w:r>
            <w:r w:rsidRPr="00D0282B">
              <w:rPr>
                <w:rFonts w:ascii="Calibri" w:hAnsi="Calibri"/>
                <w:sz w:val="18"/>
              </w:rPr>
              <w:t xml:space="preserve"> more regional local government areas, with 137 of 154 services in those areas offering a program.</w:t>
            </w:r>
          </w:p>
        </w:tc>
      </w:tr>
      <w:tr w:rsidR="008742FF" w:rsidRPr="005734B8" w14:paraId="349AC6F6" w14:textId="77777777" w:rsidTr="00D93BA2">
        <w:trPr>
          <w:cantSplit/>
        </w:trPr>
        <w:tc>
          <w:tcPr>
            <w:tcW w:w="2268" w:type="dxa"/>
            <w:tcBorders>
              <w:top w:val="single" w:sz="4" w:space="0" w:color="auto"/>
              <w:bottom w:val="single" w:sz="4" w:space="0" w:color="auto"/>
            </w:tcBorders>
            <w:shd w:val="clear" w:color="auto" w:fill="FFFFFF" w:themeFill="background1"/>
          </w:tcPr>
          <w:p w14:paraId="0979BC67" w14:textId="77777777" w:rsidR="008742FF" w:rsidRPr="00D0282B" w:rsidRDefault="008742FF" w:rsidP="00D0282B">
            <w:pPr>
              <w:pStyle w:val="ESTablebodystrong"/>
            </w:pPr>
            <w:r w:rsidRPr="00D0282B">
              <w:t>Transforming the first years of the teaching profession</w:t>
            </w:r>
          </w:p>
        </w:tc>
        <w:tc>
          <w:tcPr>
            <w:tcW w:w="6521" w:type="dxa"/>
            <w:tcBorders>
              <w:top w:val="single" w:sz="4" w:space="0" w:color="auto"/>
              <w:bottom w:val="single" w:sz="4" w:space="0" w:color="auto"/>
            </w:tcBorders>
            <w:shd w:val="clear" w:color="auto" w:fill="FFFFFF" w:themeFill="background1"/>
          </w:tcPr>
          <w:p w14:paraId="1E3D66BB" w14:textId="77777777" w:rsidR="008742FF" w:rsidRPr="00D0282B" w:rsidRDefault="008742FF" w:rsidP="00D0282B">
            <w:pPr>
              <w:pStyle w:val="ESTablebody"/>
              <w:rPr>
                <w:rFonts w:ascii="Calibri" w:hAnsi="Calibri"/>
                <w:sz w:val="18"/>
              </w:rPr>
            </w:pPr>
            <w:r w:rsidRPr="00D0282B">
              <w:rPr>
                <w:rFonts w:ascii="Calibri" w:hAnsi="Calibri"/>
                <w:sz w:val="18"/>
              </w:rPr>
              <w:t xml:space="preserve">The Transforming the first years of the teaching career pilot has registered </w:t>
            </w:r>
            <w:r>
              <w:rPr>
                <w:rFonts w:ascii="Calibri" w:hAnsi="Calibri"/>
                <w:sz w:val="18"/>
              </w:rPr>
              <w:t>more than</w:t>
            </w:r>
            <w:r w:rsidRPr="00D0282B">
              <w:rPr>
                <w:rFonts w:ascii="Calibri" w:hAnsi="Calibri"/>
                <w:sz w:val="18"/>
              </w:rPr>
              <w:t xml:space="preserve"> 350 graduate teachers.</w:t>
            </w:r>
          </w:p>
        </w:tc>
      </w:tr>
      <w:tr w:rsidR="008742FF" w:rsidRPr="005734B8" w14:paraId="2AC74E35" w14:textId="77777777" w:rsidTr="00D93BA2">
        <w:trPr>
          <w:cantSplit/>
        </w:trPr>
        <w:tc>
          <w:tcPr>
            <w:tcW w:w="2268" w:type="dxa"/>
            <w:tcBorders>
              <w:top w:val="single" w:sz="4" w:space="0" w:color="auto"/>
              <w:bottom w:val="single" w:sz="4" w:space="0" w:color="auto"/>
            </w:tcBorders>
            <w:shd w:val="clear" w:color="auto" w:fill="FFFFFF" w:themeFill="background1"/>
          </w:tcPr>
          <w:p w14:paraId="30CF9998" w14:textId="77777777" w:rsidR="008742FF" w:rsidRPr="00D0282B" w:rsidRDefault="008742FF" w:rsidP="00D0282B">
            <w:pPr>
              <w:pStyle w:val="ESTablebodystrong"/>
            </w:pPr>
            <w:r w:rsidRPr="00D0282B">
              <w:t>VET-VCAL workforce reform</w:t>
            </w:r>
          </w:p>
        </w:tc>
        <w:tc>
          <w:tcPr>
            <w:tcW w:w="6521" w:type="dxa"/>
            <w:tcBorders>
              <w:top w:val="single" w:sz="4" w:space="0" w:color="auto"/>
              <w:bottom w:val="single" w:sz="4" w:space="0" w:color="auto"/>
            </w:tcBorders>
            <w:shd w:val="clear" w:color="auto" w:fill="FFFFFF" w:themeFill="background1"/>
          </w:tcPr>
          <w:p w14:paraId="274427F9" w14:textId="77777777" w:rsidR="008742FF" w:rsidRPr="00D0282B" w:rsidRDefault="008742FF" w:rsidP="00D0282B">
            <w:pPr>
              <w:pStyle w:val="ESTablebody"/>
              <w:rPr>
                <w:rFonts w:ascii="Calibri" w:hAnsi="Calibri"/>
                <w:sz w:val="18"/>
              </w:rPr>
            </w:pPr>
            <w:r w:rsidRPr="00D0282B">
              <w:rPr>
                <w:rFonts w:ascii="Calibri" w:hAnsi="Calibri"/>
                <w:sz w:val="18"/>
              </w:rPr>
              <w:t>Under these reforms</w:t>
            </w:r>
            <w:r>
              <w:rPr>
                <w:rFonts w:ascii="Calibri" w:hAnsi="Calibri"/>
                <w:sz w:val="18"/>
              </w:rPr>
              <w:t>,</w:t>
            </w:r>
            <w:r w:rsidRPr="00D0282B">
              <w:rPr>
                <w:rFonts w:ascii="Calibri" w:hAnsi="Calibri"/>
                <w:sz w:val="18"/>
              </w:rPr>
              <w:t xml:space="preserve"> 36 schools are receiving funding to support innovative delivery of VET. 158 VET teachers have registered to participate in the industry placement program and 51 teachers have commenced the VCAL teacher scholarships program.</w:t>
            </w:r>
          </w:p>
          <w:p w14:paraId="7CBE476E" w14:textId="77777777" w:rsidR="008742FF" w:rsidRPr="00D0282B" w:rsidRDefault="008742FF" w:rsidP="00D0282B">
            <w:pPr>
              <w:pStyle w:val="ESTablebody"/>
              <w:rPr>
                <w:rFonts w:ascii="Calibri" w:hAnsi="Calibri"/>
                <w:sz w:val="18"/>
              </w:rPr>
            </w:pPr>
            <w:r w:rsidRPr="00D0282B">
              <w:rPr>
                <w:rFonts w:ascii="Calibri" w:hAnsi="Calibri"/>
                <w:sz w:val="18"/>
              </w:rPr>
              <w:t xml:space="preserve">In total, it is expected that </w:t>
            </w:r>
            <w:r>
              <w:rPr>
                <w:rFonts w:ascii="Calibri" w:hAnsi="Calibri"/>
                <w:sz w:val="18"/>
              </w:rPr>
              <w:t>more than</w:t>
            </w:r>
            <w:r w:rsidRPr="00D0282B">
              <w:rPr>
                <w:rFonts w:ascii="Calibri" w:hAnsi="Calibri"/>
                <w:sz w:val="18"/>
              </w:rPr>
              <w:t xml:space="preserve"> 900 VCAL and VET teachers and VET trainers will participate.</w:t>
            </w:r>
          </w:p>
        </w:tc>
      </w:tr>
      <w:tr w:rsidR="008742FF" w:rsidRPr="005734B8" w14:paraId="1742B2F4" w14:textId="77777777" w:rsidTr="00D93BA2">
        <w:trPr>
          <w:cantSplit/>
        </w:trPr>
        <w:tc>
          <w:tcPr>
            <w:tcW w:w="2268" w:type="dxa"/>
            <w:tcBorders>
              <w:top w:val="single" w:sz="4" w:space="0" w:color="auto"/>
              <w:bottom w:val="single" w:sz="4" w:space="0" w:color="auto"/>
            </w:tcBorders>
            <w:shd w:val="clear" w:color="auto" w:fill="FFFFFF" w:themeFill="background1"/>
          </w:tcPr>
          <w:p w14:paraId="3B101BD9" w14:textId="77777777" w:rsidR="008742FF" w:rsidRPr="005734B8" w:rsidRDefault="008742FF" w:rsidP="00D0282B">
            <w:pPr>
              <w:pStyle w:val="ESTablebodystrong"/>
              <w:rPr>
                <w:rFonts w:cs="Calibri"/>
                <w:b w:val="0"/>
              </w:rPr>
            </w:pPr>
            <w:r w:rsidRPr="00D0282B">
              <w:t xml:space="preserve">Victorian curriculum </w:t>
            </w:r>
          </w:p>
          <w:p w14:paraId="74093071" w14:textId="77777777" w:rsidR="008742FF" w:rsidRPr="00D0282B" w:rsidRDefault="008742FF" w:rsidP="00D0282B">
            <w:pPr>
              <w:pStyle w:val="ESTablebodystrong"/>
            </w:pPr>
            <w:r w:rsidRPr="00D0282B">
              <w:t>F-10 E</w:t>
            </w:r>
            <w:r>
              <w:t>nglish as an Additional Language</w:t>
            </w:r>
          </w:p>
        </w:tc>
        <w:tc>
          <w:tcPr>
            <w:tcW w:w="6521" w:type="dxa"/>
            <w:tcBorders>
              <w:top w:val="single" w:sz="4" w:space="0" w:color="auto"/>
              <w:bottom w:val="single" w:sz="4" w:space="0" w:color="auto"/>
            </w:tcBorders>
            <w:shd w:val="clear" w:color="auto" w:fill="FFFFFF" w:themeFill="background1"/>
          </w:tcPr>
          <w:p w14:paraId="1F944C60" w14:textId="77777777" w:rsidR="008742FF" w:rsidRPr="00D0282B" w:rsidRDefault="008742FF" w:rsidP="00D0282B">
            <w:pPr>
              <w:pStyle w:val="ESTablebody"/>
              <w:rPr>
                <w:rFonts w:ascii="Calibri" w:hAnsi="Calibri"/>
                <w:sz w:val="18"/>
              </w:rPr>
            </w:pPr>
            <w:bookmarkStart w:id="53" w:name="_Hlk76550830"/>
            <w:r w:rsidRPr="00D0282B">
              <w:rPr>
                <w:rFonts w:ascii="Calibri" w:hAnsi="Calibri"/>
                <w:sz w:val="18"/>
              </w:rPr>
              <w:t>Key materials to support implementation, assessment, reporting and transition between the English as an Additional Language and English curriculums were provided by the end of 2020. Additional materials and resources continue to be developed.</w:t>
            </w:r>
            <w:bookmarkEnd w:id="53"/>
          </w:p>
        </w:tc>
      </w:tr>
      <w:tr w:rsidR="008742FF" w:rsidRPr="005734B8" w14:paraId="3861890E" w14:textId="77777777" w:rsidTr="00D93BA2">
        <w:trPr>
          <w:cantSplit/>
        </w:trPr>
        <w:tc>
          <w:tcPr>
            <w:tcW w:w="2268" w:type="dxa"/>
            <w:tcBorders>
              <w:top w:val="single" w:sz="4" w:space="0" w:color="auto"/>
              <w:bottom w:val="single" w:sz="4" w:space="0" w:color="auto"/>
            </w:tcBorders>
            <w:shd w:val="clear" w:color="auto" w:fill="FFFFFF" w:themeFill="background1"/>
          </w:tcPr>
          <w:p w14:paraId="74D7F754" w14:textId="77777777" w:rsidR="008742FF" w:rsidRPr="00D0282B" w:rsidRDefault="008742FF" w:rsidP="00D0282B">
            <w:pPr>
              <w:pStyle w:val="ESTablebodystrong"/>
            </w:pPr>
            <w:r w:rsidRPr="00D0282B">
              <w:t xml:space="preserve">Victorian professional learning communities </w:t>
            </w:r>
            <w:r>
              <w:t xml:space="preserve">(PLC) </w:t>
            </w:r>
            <w:r w:rsidRPr="00D0282B">
              <w:t>initiative</w:t>
            </w:r>
          </w:p>
        </w:tc>
        <w:tc>
          <w:tcPr>
            <w:tcW w:w="6521" w:type="dxa"/>
            <w:tcBorders>
              <w:top w:val="single" w:sz="4" w:space="0" w:color="auto"/>
              <w:bottom w:val="single" w:sz="4" w:space="0" w:color="auto"/>
            </w:tcBorders>
            <w:shd w:val="clear" w:color="auto" w:fill="FFFFFF" w:themeFill="background1"/>
          </w:tcPr>
          <w:p w14:paraId="1C3856AA" w14:textId="77777777" w:rsidR="008742FF" w:rsidRPr="00D0282B" w:rsidRDefault="008742FF" w:rsidP="00D0282B">
            <w:pPr>
              <w:pStyle w:val="ESTablebody"/>
              <w:rPr>
                <w:rFonts w:ascii="Calibri" w:hAnsi="Calibri"/>
                <w:sz w:val="18"/>
              </w:rPr>
            </w:pPr>
            <w:r w:rsidRPr="00D0282B">
              <w:rPr>
                <w:rFonts w:ascii="Calibri" w:hAnsi="Calibri"/>
                <w:sz w:val="18"/>
              </w:rPr>
              <w:t>205 Victorian government schools received intensive support and training to commence PLC implementation. The Department also continued to support the 833 schools already implementing PLCs.</w:t>
            </w:r>
          </w:p>
        </w:tc>
      </w:tr>
      <w:tr w:rsidR="008742FF" w:rsidRPr="005734B8" w14:paraId="4D90D38B" w14:textId="77777777" w:rsidTr="00D93BA2">
        <w:trPr>
          <w:cantSplit/>
        </w:trPr>
        <w:tc>
          <w:tcPr>
            <w:tcW w:w="2268" w:type="dxa"/>
            <w:tcBorders>
              <w:top w:val="single" w:sz="4" w:space="0" w:color="auto"/>
              <w:bottom w:val="single" w:sz="4" w:space="0" w:color="auto"/>
            </w:tcBorders>
            <w:shd w:val="clear" w:color="auto" w:fill="FFFFFF" w:themeFill="background1"/>
          </w:tcPr>
          <w:p w14:paraId="10D3BB00" w14:textId="52116FA5" w:rsidR="008742FF" w:rsidRPr="00D0282B" w:rsidRDefault="008742FF" w:rsidP="00D0282B">
            <w:pPr>
              <w:pStyle w:val="ESTablebodystrong"/>
            </w:pPr>
            <w:r w:rsidRPr="00D0282B">
              <w:t>Vocational and Applied Learning in Senior Secondary School</w:t>
            </w:r>
            <w:r w:rsidR="00A768A9" w:rsidRPr="00D0282B">
              <w:t xml:space="preserve"> </w:t>
            </w:r>
            <w:r w:rsidRPr="00D0282B">
              <w:t>Review</w:t>
            </w:r>
          </w:p>
        </w:tc>
        <w:tc>
          <w:tcPr>
            <w:tcW w:w="6521" w:type="dxa"/>
            <w:tcBorders>
              <w:top w:val="single" w:sz="4" w:space="0" w:color="auto"/>
              <w:bottom w:val="single" w:sz="4" w:space="0" w:color="auto"/>
            </w:tcBorders>
            <w:shd w:val="clear" w:color="auto" w:fill="FFFFFF" w:themeFill="background1"/>
          </w:tcPr>
          <w:p w14:paraId="5EF3E479" w14:textId="1B85DA97" w:rsidR="008742FF" w:rsidRPr="00FE6043" w:rsidRDefault="008742FF" w:rsidP="00D0282B">
            <w:pPr>
              <w:pStyle w:val="ESTablebody"/>
              <w:rPr>
                <w:rFonts w:ascii="Calibri" w:eastAsia="Times New Roman" w:hAnsi="Calibri" w:cs="Calibri"/>
                <w:sz w:val="18"/>
                <w:lang w:eastAsia="en-AU"/>
              </w:rPr>
            </w:pPr>
            <w:r w:rsidRPr="00D0282B">
              <w:rPr>
                <w:rFonts w:ascii="Calibri" w:hAnsi="Calibri"/>
                <w:sz w:val="18"/>
              </w:rPr>
              <w:t xml:space="preserve">The </w:t>
            </w:r>
            <w:r w:rsidR="006A3BD0" w:rsidRPr="006A3BD0">
              <w:rPr>
                <w:rFonts w:ascii="Calibri" w:hAnsi="Calibri"/>
                <w:sz w:val="18"/>
              </w:rPr>
              <w:t xml:space="preserve">Vocational and Applied Learning in Senior Secondary School Review </w:t>
            </w:r>
            <w:r w:rsidRPr="00D0282B">
              <w:rPr>
                <w:rFonts w:ascii="Calibri" w:hAnsi="Calibri"/>
                <w:sz w:val="18"/>
              </w:rPr>
              <w:t>delivered its final report in November 2020. The Victorian Government has accepted in</w:t>
            </w:r>
            <w:r w:rsidRPr="00D0282B">
              <w:rPr>
                <w:rFonts w:ascii="Calibri" w:hAnsi="Calibri"/>
                <w:sz w:val="18"/>
              </w:rPr>
              <w:noBreakHyphen/>
              <w:t>principle all of the review’s recommendations. As part of the response, the Victorian Budget 2020–21 invested $38 million to support students to access high-quality vocational and applied learning pathways and develop a new vocational pathway within the Victorian Certificate of Education (VCE).</w:t>
            </w:r>
          </w:p>
        </w:tc>
      </w:tr>
      <w:tr w:rsidR="008742FF" w:rsidRPr="005734B8" w14:paraId="021318B3" w14:textId="77777777" w:rsidTr="00D93BA2">
        <w:trPr>
          <w:cantSplit/>
        </w:trPr>
        <w:tc>
          <w:tcPr>
            <w:tcW w:w="2268" w:type="dxa"/>
            <w:tcBorders>
              <w:top w:val="single" w:sz="4" w:space="0" w:color="auto"/>
              <w:bottom w:val="single" w:sz="4" w:space="0" w:color="auto"/>
            </w:tcBorders>
            <w:shd w:val="clear" w:color="auto" w:fill="FFFFFF" w:themeFill="background1"/>
          </w:tcPr>
          <w:p w14:paraId="48105051" w14:textId="77777777" w:rsidR="008742FF" w:rsidRPr="005734B8" w:rsidRDefault="008742FF" w:rsidP="00D0282B">
            <w:pPr>
              <w:pStyle w:val="ESTablebodystrong"/>
              <w:rPr>
                <w:rFonts w:cs="Calibri"/>
                <w:b w:val="0"/>
              </w:rPr>
            </w:pPr>
            <w:r w:rsidRPr="00D0282B">
              <w:t xml:space="preserve">Wirnalung Ganai </w:t>
            </w:r>
          </w:p>
          <w:p w14:paraId="34E5FE94" w14:textId="77777777" w:rsidR="008742FF" w:rsidRPr="00D0282B" w:rsidRDefault="008742FF" w:rsidP="00D0282B">
            <w:pPr>
              <w:pStyle w:val="ESTablebodystrong"/>
            </w:pPr>
            <w:r w:rsidRPr="00D0282B">
              <w:t>2019–21 (Aboriginal Inclusion Plan)</w:t>
            </w:r>
          </w:p>
        </w:tc>
        <w:tc>
          <w:tcPr>
            <w:tcW w:w="6521" w:type="dxa"/>
            <w:tcBorders>
              <w:top w:val="single" w:sz="4" w:space="0" w:color="auto"/>
              <w:bottom w:val="single" w:sz="4" w:space="0" w:color="auto"/>
            </w:tcBorders>
            <w:shd w:val="clear" w:color="auto" w:fill="FFFFFF" w:themeFill="background1"/>
          </w:tcPr>
          <w:p w14:paraId="766454B8" w14:textId="3E3AAC08" w:rsidR="008742FF" w:rsidRPr="00D0282B" w:rsidRDefault="008742FF" w:rsidP="00D0282B">
            <w:pPr>
              <w:pStyle w:val="ESTablebody"/>
              <w:rPr>
                <w:rFonts w:ascii="Calibri" w:hAnsi="Calibri"/>
                <w:sz w:val="18"/>
              </w:rPr>
            </w:pPr>
            <w:r w:rsidRPr="00D0282B">
              <w:rPr>
                <w:rFonts w:ascii="Calibri" w:hAnsi="Calibri"/>
                <w:sz w:val="18"/>
              </w:rPr>
              <w:t xml:space="preserve">The Department’s Aboriginal Inclusion Plan, Wirnalung Ganai, includes the Aboriginal Employment Plan. </w:t>
            </w:r>
            <w:r w:rsidR="00A768A9" w:rsidRPr="00D0282B">
              <w:rPr>
                <w:rFonts w:ascii="Calibri" w:hAnsi="Calibri"/>
                <w:sz w:val="18"/>
              </w:rPr>
              <w:t>Launched in November 2020</w:t>
            </w:r>
            <w:r w:rsidR="00A768A9">
              <w:rPr>
                <w:rFonts w:ascii="Calibri" w:hAnsi="Calibri"/>
                <w:sz w:val="18"/>
              </w:rPr>
              <w:t>,</w:t>
            </w:r>
            <w:r w:rsidR="00A768A9" w:rsidRPr="00D0282B">
              <w:rPr>
                <w:rFonts w:ascii="Calibri" w:hAnsi="Calibri"/>
                <w:sz w:val="18"/>
              </w:rPr>
              <w:t xml:space="preserve"> </w:t>
            </w:r>
            <w:r w:rsidR="007C3C01">
              <w:rPr>
                <w:rFonts w:ascii="Calibri" w:hAnsi="Calibri"/>
                <w:sz w:val="18"/>
              </w:rPr>
              <w:t xml:space="preserve">it </w:t>
            </w:r>
            <w:r w:rsidR="007C3C01" w:rsidRPr="007C3C01">
              <w:rPr>
                <w:rFonts w:ascii="Calibri" w:hAnsi="Calibri"/>
                <w:sz w:val="18"/>
              </w:rPr>
              <w:t>focuses on making the Department</w:t>
            </w:r>
            <w:r w:rsidR="000467D4">
              <w:rPr>
                <w:rFonts w:ascii="Calibri" w:hAnsi="Calibri"/>
                <w:sz w:val="18"/>
              </w:rPr>
              <w:t xml:space="preserve"> </w:t>
            </w:r>
            <w:r w:rsidR="007C3C01" w:rsidRPr="007C3C01">
              <w:rPr>
                <w:rFonts w:ascii="Calibri" w:hAnsi="Calibri"/>
                <w:sz w:val="18"/>
              </w:rPr>
              <w:t>a culturally safe place</w:t>
            </w:r>
            <w:r w:rsidR="00D852AF">
              <w:rPr>
                <w:rFonts w:ascii="Calibri" w:hAnsi="Calibri"/>
                <w:sz w:val="18"/>
              </w:rPr>
              <w:t xml:space="preserve"> that</w:t>
            </w:r>
            <w:r w:rsidR="007C3C01" w:rsidRPr="007C3C01">
              <w:rPr>
                <w:rFonts w:ascii="Calibri" w:hAnsi="Calibri"/>
                <w:sz w:val="18"/>
              </w:rPr>
              <w:t xml:space="preserve"> values and respects Aboriginal voice and expertise</w:t>
            </w:r>
            <w:r w:rsidR="007C3C01">
              <w:rPr>
                <w:rFonts w:ascii="Calibri" w:hAnsi="Calibri"/>
                <w:sz w:val="18"/>
              </w:rPr>
              <w:t>,</w:t>
            </w:r>
            <w:r w:rsidR="007C3C01" w:rsidRPr="007C3C01">
              <w:rPr>
                <w:rFonts w:ascii="Calibri" w:hAnsi="Calibri"/>
                <w:sz w:val="18"/>
              </w:rPr>
              <w:t xml:space="preserve"> ensur</w:t>
            </w:r>
            <w:r w:rsidR="007C3C01">
              <w:rPr>
                <w:rFonts w:ascii="Calibri" w:hAnsi="Calibri"/>
                <w:sz w:val="18"/>
              </w:rPr>
              <w:t>ing</w:t>
            </w:r>
            <w:r w:rsidR="007C3C01" w:rsidRPr="007C3C01">
              <w:rPr>
                <w:rFonts w:ascii="Calibri" w:hAnsi="Calibri"/>
                <w:sz w:val="18"/>
              </w:rPr>
              <w:t xml:space="preserve"> an active commitment to Aboriginal self-determination</w:t>
            </w:r>
            <w:r w:rsidR="00A768A9" w:rsidRPr="00D0282B">
              <w:rPr>
                <w:rFonts w:ascii="Calibri" w:hAnsi="Calibri"/>
                <w:sz w:val="18"/>
              </w:rPr>
              <w:t xml:space="preserve">. </w:t>
            </w:r>
            <w:r w:rsidRPr="00D0282B">
              <w:rPr>
                <w:rFonts w:ascii="Calibri" w:hAnsi="Calibri"/>
                <w:sz w:val="18"/>
              </w:rPr>
              <w:t>Planning has commenced to refresh Wirnalung Ganai from 2022.</w:t>
            </w:r>
          </w:p>
        </w:tc>
      </w:tr>
    </w:tbl>
    <w:p w14:paraId="1E0576F9" w14:textId="17A485DB" w:rsidR="00CC7BAA" w:rsidRPr="005734B8" w:rsidRDefault="00CC7BAA" w:rsidP="00AD0960">
      <w:pPr>
        <w:rPr>
          <w:rFonts w:ascii="Calibri" w:hAnsi="Calibri" w:cs="Calibri"/>
        </w:rPr>
      </w:pPr>
      <w:bookmarkStart w:id="54" w:name="_Toc19271956"/>
      <w:bookmarkStart w:id="55" w:name="_Toc19272322"/>
      <w:bookmarkStart w:id="56" w:name="_Toc19273657"/>
      <w:bookmarkStart w:id="57" w:name="_Toc48402770"/>
      <w:bookmarkStart w:id="58" w:name="_Toc48403007"/>
      <w:bookmarkStart w:id="59" w:name="_Toc51332750"/>
    </w:p>
    <w:p w14:paraId="5A3FDB52" w14:textId="77777777" w:rsidR="00CC7BAA" w:rsidRPr="005734B8" w:rsidRDefault="00CC7BAA">
      <w:pPr>
        <w:rPr>
          <w:rFonts w:ascii="Calibri" w:eastAsiaTheme="majorEastAsia" w:hAnsi="Calibri" w:cs="Calibri"/>
          <w:bCs/>
          <w:color w:val="8A2A2F" w:themeColor="text1"/>
          <w:spacing w:val="5"/>
          <w:kern w:val="28"/>
          <w:sz w:val="28"/>
          <w:szCs w:val="20"/>
          <w:lang w:val="en-US"/>
        </w:rPr>
      </w:pPr>
      <w:r w:rsidRPr="005734B8">
        <w:rPr>
          <w:rFonts w:ascii="Calibri" w:hAnsi="Calibri" w:cs="Calibri"/>
        </w:rPr>
        <w:br w:type="page"/>
      </w:r>
    </w:p>
    <w:p w14:paraId="762EF07A" w14:textId="56275DCE" w:rsidR="00EC0993" w:rsidRPr="005734B8" w:rsidRDefault="00EC0993" w:rsidP="00EC0993">
      <w:pPr>
        <w:pStyle w:val="ESHeading2"/>
        <w:rPr>
          <w:rFonts w:ascii="Calibri" w:hAnsi="Calibri" w:cs="Calibri"/>
        </w:rPr>
      </w:pPr>
      <w:bookmarkStart w:id="60" w:name="_Toc81315314"/>
      <w:r w:rsidRPr="005734B8">
        <w:rPr>
          <w:rFonts w:ascii="Calibri" w:hAnsi="Calibri" w:cs="Calibri"/>
        </w:rPr>
        <w:lastRenderedPageBreak/>
        <w:t>Changes to the Department during 20</w:t>
      </w:r>
      <w:r w:rsidR="00882CD8" w:rsidRPr="005734B8">
        <w:rPr>
          <w:rFonts w:ascii="Calibri" w:hAnsi="Calibri" w:cs="Calibri"/>
        </w:rPr>
        <w:t>20</w:t>
      </w:r>
      <w:r w:rsidRPr="005734B8">
        <w:rPr>
          <w:rFonts w:ascii="Calibri" w:hAnsi="Calibri" w:cs="Calibri"/>
        </w:rPr>
        <w:t>–</w:t>
      </w:r>
      <w:bookmarkEnd w:id="32"/>
      <w:bookmarkEnd w:id="33"/>
      <w:bookmarkEnd w:id="34"/>
      <w:bookmarkEnd w:id="35"/>
      <w:bookmarkEnd w:id="36"/>
      <w:bookmarkEnd w:id="37"/>
      <w:bookmarkEnd w:id="54"/>
      <w:bookmarkEnd w:id="55"/>
      <w:bookmarkEnd w:id="56"/>
      <w:bookmarkEnd w:id="57"/>
      <w:bookmarkEnd w:id="58"/>
      <w:bookmarkEnd w:id="59"/>
      <w:r w:rsidR="00882CD8" w:rsidRPr="005734B8">
        <w:rPr>
          <w:rFonts w:ascii="Calibri" w:hAnsi="Calibri" w:cs="Calibri"/>
        </w:rPr>
        <w:t>21</w:t>
      </w:r>
      <w:bookmarkEnd w:id="60"/>
    </w:p>
    <w:p w14:paraId="5452FB31" w14:textId="6BCC1610" w:rsidR="00A768A9" w:rsidRPr="005734B8" w:rsidRDefault="00DD3E44" w:rsidP="00A768A9">
      <w:pPr>
        <w:rPr>
          <w:rFonts w:ascii="Calibri" w:hAnsi="Calibri" w:cs="Calibri"/>
        </w:rPr>
      </w:pPr>
      <w:bookmarkStart w:id="61" w:name="_Hlk39755862"/>
      <w:bookmarkStart w:id="62" w:name="_Toc11158150"/>
      <w:bookmarkStart w:id="63" w:name="_Toc11336157"/>
      <w:bookmarkStart w:id="64" w:name="_Toc14965358"/>
      <w:bookmarkStart w:id="65" w:name="_Toc19271958"/>
      <w:bookmarkStart w:id="66" w:name="_Toc19272324"/>
      <w:bookmarkStart w:id="67" w:name="_Toc19273659"/>
      <w:r w:rsidRPr="005734B8">
        <w:rPr>
          <w:rFonts w:ascii="Calibri" w:hAnsi="Calibri" w:cs="Calibri"/>
        </w:rPr>
        <w:t>There were no changes to the Department’s objectives and output structure as a result of internal reviews or machinery of government changes.</w:t>
      </w:r>
      <w:r w:rsidR="00ED58F7" w:rsidRPr="005734B8">
        <w:rPr>
          <w:rFonts w:ascii="Calibri" w:hAnsi="Calibri" w:cs="Calibri"/>
        </w:rPr>
        <w:t xml:space="preserve"> </w:t>
      </w:r>
    </w:p>
    <w:p w14:paraId="67387351" w14:textId="77777777" w:rsidR="00DD3E44" w:rsidRPr="005734B8" w:rsidRDefault="00DD3E44" w:rsidP="00DD3E44">
      <w:pPr>
        <w:pStyle w:val="ESHeading3"/>
        <w:ind w:left="0" w:firstLine="0"/>
        <w:rPr>
          <w:rFonts w:ascii="Calibri" w:hAnsi="Calibri" w:cs="Calibri"/>
          <w:szCs w:val="22"/>
          <w:lang w:val="en-AU"/>
        </w:rPr>
      </w:pPr>
      <w:bookmarkStart w:id="68" w:name="_Toc10208691"/>
      <w:bookmarkStart w:id="69" w:name="_Toc11158149"/>
      <w:bookmarkStart w:id="70" w:name="_Toc11336156"/>
      <w:bookmarkStart w:id="71" w:name="_Toc14965357"/>
      <w:bookmarkStart w:id="72" w:name="_Toc19271957"/>
      <w:bookmarkStart w:id="73" w:name="_Toc19272323"/>
      <w:bookmarkStart w:id="74" w:name="_Toc19273658"/>
      <w:bookmarkStart w:id="75" w:name="_Hlk79238925"/>
      <w:bookmarkEnd w:id="61"/>
      <w:r w:rsidRPr="005734B8">
        <w:rPr>
          <w:rFonts w:ascii="Calibri" w:hAnsi="Calibri" w:cs="Calibri"/>
          <w:szCs w:val="22"/>
          <w:lang w:val="en-AU"/>
        </w:rPr>
        <w:t>Discontinued operations</w:t>
      </w:r>
      <w:bookmarkEnd w:id="68"/>
      <w:bookmarkEnd w:id="69"/>
      <w:bookmarkEnd w:id="70"/>
      <w:bookmarkEnd w:id="71"/>
      <w:bookmarkEnd w:id="72"/>
      <w:bookmarkEnd w:id="73"/>
      <w:bookmarkEnd w:id="74"/>
    </w:p>
    <w:p w14:paraId="7BACD064" w14:textId="77777777" w:rsidR="00DD3E44" w:rsidRPr="005734B8" w:rsidRDefault="00DD3E44" w:rsidP="00DD3E44">
      <w:pPr>
        <w:rPr>
          <w:rFonts w:ascii="Calibri" w:hAnsi="Calibri" w:cs="Calibri"/>
        </w:rPr>
      </w:pPr>
      <w:r w:rsidRPr="005734B8">
        <w:rPr>
          <w:rFonts w:ascii="Calibri" w:hAnsi="Calibri" w:cs="Calibri"/>
        </w:rPr>
        <w:t>There were no discontinued operations under the Department’s output structure.</w:t>
      </w:r>
    </w:p>
    <w:bookmarkEnd w:id="75"/>
    <w:p w14:paraId="4989F0BE" w14:textId="2B924FA9" w:rsidR="00910FF3" w:rsidRPr="005734B8" w:rsidRDefault="00910FF3" w:rsidP="00910FF3">
      <w:pPr>
        <w:pStyle w:val="ESHeading3"/>
        <w:ind w:left="0" w:firstLine="0"/>
        <w:rPr>
          <w:rFonts w:ascii="Calibri" w:hAnsi="Calibri" w:cs="Calibri"/>
          <w:szCs w:val="22"/>
          <w:lang w:val="en-AU"/>
        </w:rPr>
      </w:pPr>
      <w:r w:rsidRPr="005734B8">
        <w:rPr>
          <w:rFonts w:ascii="Calibri" w:hAnsi="Calibri" w:cs="Calibri"/>
          <w:szCs w:val="22"/>
          <w:lang w:val="en-AU"/>
        </w:rPr>
        <w:t>Direct costs attributable to machinery</w:t>
      </w:r>
      <w:r w:rsidR="007F2BD9" w:rsidRPr="005734B8">
        <w:rPr>
          <w:rFonts w:ascii="Calibri" w:hAnsi="Calibri" w:cs="Calibri"/>
          <w:szCs w:val="22"/>
          <w:lang w:val="en-AU"/>
        </w:rPr>
        <w:t xml:space="preserve"> </w:t>
      </w:r>
      <w:r w:rsidRPr="005734B8">
        <w:rPr>
          <w:rFonts w:ascii="Calibri" w:hAnsi="Calibri" w:cs="Calibri"/>
          <w:szCs w:val="22"/>
          <w:lang w:val="en-AU"/>
        </w:rPr>
        <w:t>of</w:t>
      </w:r>
      <w:r w:rsidR="007F2BD9" w:rsidRPr="005734B8">
        <w:rPr>
          <w:rFonts w:ascii="Calibri" w:hAnsi="Calibri" w:cs="Calibri"/>
          <w:szCs w:val="22"/>
          <w:lang w:val="en-AU"/>
        </w:rPr>
        <w:t xml:space="preserve"> </w:t>
      </w:r>
      <w:r w:rsidRPr="005734B8">
        <w:rPr>
          <w:rFonts w:ascii="Calibri" w:hAnsi="Calibri" w:cs="Calibri"/>
          <w:szCs w:val="22"/>
          <w:lang w:val="en-AU"/>
        </w:rPr>
        <w:t>government changes</w:t>
      </w:r>
      <w:bookmarkEnd w:id="62"/>
      <w:bookmarkEnd w:id="63"/>
      <w:bookmarkEnd w:id="64"/>
      <w:bookmarkEnd w:id="65"/>
      <w:bookmarkEnd w:id="66"/>
      <w:bookmarkEnd w:id="67"/>
    </w:p>
    <w:p w14:paraId="1C08AA18" w14:textId="69E5D72D" w:rsidR="00D71064" w:rsidRPr="005734B8" w:rsidRDefault="007F2BD9">
      <w:pPr>
        <w:rPr>
          <w:rFonts w:ascii="Calibri" w:eastAsiaTheme="minorEastAsia" w:hAnsi="Calibri" w:cs="Calibri"/>
          <w:szCs w:val="22"/>
          <w:lang w:val="en-US"/>
        </w:rPr>
      </w:pPr>
      <w:r w:rsidRPr="005734B8">
        <w:rPr>
          <w:rFonts w:ascii="Calibri" w:eastAsiaTheme="minorEastAsia" w:hAnsi="Calibri" w:cs="Calibri"/>
          <w:szCs w:val="22"/>
          <w:lang w:val="en-US"/>
        </w:rPr>
        <w:t>There were no direct costs attributable to machinery of government</w:t>
      </w:r>
      <w:r w:rsidR="00EE1565" w:rsidRPr="005734B8">
        <w:rPr>
          <w:rFonts w:ascii="Calibri" w:eastAsiaTheme="minorEastAsia" w:hAnsi="Calibri" w:cs="Calibri"/>
          <w:szCs w:val="22"/>
          <w:lang w:val="en-US"/>
        </w:rPr>
        <w:t xml:space="preserve"> change</w:t>
      </w:r>
      <w:r w:rsidR="001E700D" w:rsidRPr="005734B8">
        <w:rPr>
          <w:rFonts w:ascii="Calibri" w:eastAsiaTheme="minorEastAsia" w:hAnsi="Calibri" w:cs="Calibri"/>
          <w:szCs w:val="22"/>
          <w:lang w:val="en-US"/>
        </w:rPr>
        <w:t>s</w:t>
      </w:r>
      <w:r w:rsidRPr="005734B8">
        <w:rPr>
          <w:rFonts w:ascii="Calibri" w:eastAsiaTheme="minorEastAsia" w:hAnsi="Calibri" w:cs="Calibri"/>
          <w:szCs w:val="22"/>
          <w:lang w:val="en-US"/>
        </w:rPr>
        <w:t xml:space="preserve"> incurred by the Department or its entities that are consolidated into the Department’s </w:t>
      </w:r>
      <w:r w:rsidR="001E700D" w:rsidRPr="005734B8">
        <w:rPr>
          <w:rFonts w:ascii="Calibri" w:eastAsiaTheme="minorEastAsia" w:hAnsi="Calibri" w:cs="Calibri"/>
          <w:szCs w:val="22"/>
          <w:lang w:val="en-US"/>
        </w:rPr>
        <w:t>A</w:t>
      </w:r>
      <w:r w:rsidRPr="005734B8">
        <w:rPr>
          <w:rFonts w:ascii="Calibri" w:eastAsiaTheme="minorEastAsia" w:hAnsi="Calibri" w:cs="Calibri"/>
          <w:szCs w:val="22"/>
          <w:lang w:val="en-US"/>
        </w:rPr>
        <w:t xml:space="preserve">nnual </w:t>
      </w:r>
      <w:r w:rsidR="001E700D" w:rsidRPr="005734B8">
        <w:rPr>
          <w:rFonts w:ascii="Calibri" w:eastAsiaTheme="minorEastAsia" w:hAnsi="Calibri" w:cs="Calibri"/>
          <w:szCs w:val="22"/>
          <w:lang w:val="en-US"/>
        </w:rPr>
        <w:t>R</w:t>
      </w:r>
      <w:r w:rsidRPr="005734B8">
        <w:rPr>
          <w:rFonts w:ascii="Calibri" w:eastAsiaTheme="minorEastAsia" w:hAnsi="Calibri" w:cs="Calibri"/>
          <w:szCs w:val="22"/>
          <w:lang w:val="en-US"/>
        </w:rPr>
        <w:t xml:space="preserve">eport pursuant to section 53(1)(b) of the </w:t>
      </w:r>
      <w:r w:rsidRPr="005734B8">
        <w:rPr>
          <w:rFonts w:ascii="Calibri" w:hAnsi="Calibri" w:cs="Calibri"/>
          <w:i/>
        </w:rPr>
        <w:t xml:space="preserve">Financial Management Act 1994 </w:t>
      </w:r>
      <w:r w:rsidRPr="005734B8">
        <w:rPr>
          <w:rFonts w:ascii="Calibri" w:hAnsi="Calibri" w:cs="Calibri"/>
        </w:rPr>
        <w:t>(FM Act)</w:t>
      </w:r>
      <w:r w:rsidRPr="005734B8">
        <w:rPr>
          <w:rFonts w:ascii="Calibri" w:eastAsiaTheme="minorEastAsia" w:hAnsi="Calibri" w:cs="Calibri"/>
          <w:szCs w:val="22"/>
          <w:lang w:val="en-US"/>
        </w:rPr>
        <w:t>.</w:t>
      </w:r>
      <w:bookmarkStart w:id="76" w:name="_Toc11158151"/>
      <w:bookmarkStart w:id="77" w:name="_Toc11336158"/>
    </w:p>
    <w:p w14:paraId="17EEED8D" w14:textId="3E71A96A" w:rsidR="00910FF3" w:rsidRPr="005734B8" w:rsidRDefault="00910FF3" w:rsidP="009A316F">
      <w:pPr>
        <w:pStyle w:val="ESHeading2"/>
        <w:rPr>
          <w:rFonts w:ascii="Calibri" w:hAnsi="Calibri" w:cs="Calibri"/>
        </w:rPr>
      </w:pPr>
      <w:bookmarkStart w:id="78" w:name="_Toc11158155"/>
      <w:bookmarkStart w:id="79" w:name="_Toc11336162"/>
      <w:bookmarkStart w:id="80" w:name="_Toc13656665"/>
      <w:bookmarkStart w:id="81" w:name="_Toc14965385"/>
      <w:bookmarkStart w:id="82" w:name="_Toc15985251"/>
      <w:bookmarkStart w:id="83" w:name="_Toc19271964"/>
      <w:bookmarkStart w:id="84" w:name="_Toc19272330"/>
      <w:bookmarkStart w:id="85" w:name="_Toc19273665"/>
      <w:bookmarkStart w:id="86" w:name="_Toc48402771"/>
      <w:bookmarkStart w:id="87" w:name="_Toc48403008"/>
      <w:bookmarkStart w:id="88" w:name="_Toc51332751"/>
      <w:bookmarkStart w:id="89" w:name="_Toc81315315"/>
      <w:bookmarkEnd w:id="76"/>
      <w:bookmarkEnd w:id="77"/>
      <w:r w:rsidRPr="005734B8">
        <w:rPr>
          <w:rFonts w:ascii="Calibri" w:hAnsi="Calibri" w:cs="Calibri"/>
        </w:rPr>
        <w:t>Objectives, indicators and outputs</w:t>
      </w:r>
      <w:bookmarkEnd w:id="78"/>
      <w:bookmarkEnd w:id="79"/>
      <w:bookmarkEnd w:id="80"/>
      <w:bookmarkEnd w:id="81"/>
      <w:bookmarkEnd w:id="82"/>
      <w:bookmarkEnd w:id="83"/>
      <w:bookmarkEnd w:id="84"/>
      <w:bookmarkEnd w:id="85"/>
      <w:bookmarkEnd w:id="86"/>
      <w:bookmarkEnd w:id="87"/>
      <w:bookmarkEnd w:id="88"/>
      <w:bookmarkEnd w:id="89"/>
    </w:p>
    <w:p w14:paraId="7EC7A26D" w14:textId="01707579" w:rsidR="00D93BA2" w:rsidRPr="005734B8" w:rsidRDefault="00D93BA2" w:rsidP="00D93BA2">
      <w:pPr>
        <w:pStyle w:val="ESBodyText"/>
        <w:rPr>
          <w:rFonts w:ascii="Calibri" w:hAnsi="Calibri" w:cs="Calibri"/>
          <w:sz w:val="22"/>
          <w:szCs w:val="22"/>
          <w:lang w:val="en-AU"/>
        </w:rPr>
      </w:pPr>
      <w:bookmarkStart w:id="90" w:name="_Toc519861751"/>
      <w:bookmarkStart w:id="91" w:name="_Toc10208692"/>
      <w:bookmarkStart w:id="92" w:name="_Toc11158156"/>
      <w:bookmarkStart w:id="93" w:name="_Toc11336163"/>
      <w:bookmarkStart w:id="94" w:name="_Toc14965386"/>
      <w:bookmarkStart w:id="95" w:name="_Toc19271965"/>
      <w:bookmarkStart w:id="96" w:name="_Toc19272331"/>
      <w:bookmarkStart w:id="97" w:name="_Toc19273666"/>
      <w:r w:rsidRPr="005734B8">
        <w:rPr>
          <w:rFonts w:ascii="Calibri" w:hAnsi="Calibri" w:cs="Calibri"/>
          <w:sz w:val="22"/>
          <w:szCs w:val="22"/>
          <w:lang w:val="en-AU"/>
        </w:rPr>
        <w:t>The Department’s progress is reported under the objectives, outputs and indicators set out in the 2020–21 State Budget Paper No. 3 (BP3): Service Delivery</w:t>
      </w:r>
      <w:r w:rsidR="00A10749" w:rsidRPr="005734B8">
        <w:rPr>
          <w:rFonts w:ascii="Calibri" w:hAnsi="Calibri" w:cs="Calibri"/>
          <w:sz w:val="22"/>
          <w:szCs w:val="22"/>
          <w:lang w:val="en-AU"/>
        </w:rPr>
        <w:t>,</w:t>
      </w:r>
      <w:r w:rsidRPr="005734B8">
        <w:rPr>
          <w:rFonts w:ascii="Calibri" w:hAnsi="Calibri" w:cs="Calibri"/>
          <w:sz w:val="22"/>
          <w:szCs w:val="22"/>
          <w:lang w:val="en-AU"/>
        </w:rPr>
        <w:t xml:space="preserve"> as shown in the following table.</w:t>
      </w:r>
    </w:p>
    <w:bookmarkEnd w:id="90"/>
    <w:bookmarkEnd w:id="91"/>
    <w:bookmarkEnd w:id="92"/>
    <w:bookmarkEnd w:id="93"/>
    <w:bookmarkEnd w:id="94"/>
    <w:bookmarkEnd w:id="95"/>
    <w:bookmarkEnd w:id="96"/>
    <w:bookmarkEnd w:id="97"/>
    <w:p w14:paraId="03C64BAD" w14:textId="77777777" w:rsidR="00C65901" w:rsidRPr="005734B8" w:rsidRDefault="00C65901" w:rsidP="00C65901">
      <w:pPr>
        <w:pStyle w:val="ESHeading3"/>
        <w:ind w:left="0" w:firstLine="0"/>
        <w:rPr>
          <w:rFonts w:ascii="Calibri" w:hAnsi="Calibri" w:cs="Calibri"/>
          <w:szCs w:val="22"/>
          <w:lang w:val="en-AU"/>
        </w:rPr>
      </w:pPr>
      <w:r w:rsidRPr="005734B8">
        <w:rPr>
          <w:rFonts w:ascii="Calibri" w:hAnsi="Calibri" w:cs="Calibri"/>
          <w:szCs w:val="22"/>
          <w:lang w:val="en-AU"/>
        </w:rPr>
        <w:t>Progress and performance reporting</w:t>
      </w:r>
    </w:p>
    <w:p w14:paraId="231D146D" w14:textId="29C751EF" w:rsidR="00C65901" w:rsidRPr="005734B8" w:rsidRDefault="00C65901" w:rsidP="00C65901">
      <w:pPr>
        <w:pStyle w:val="ESBodyText"/>
        <w:rPr>
          <w:rFonts w:ascii="Calibri" w:hAnsi="Calibri" w:cs="Calibri"/>
          <w:sz w:val="22"/>
          <w:szCs w:val="22"/>
          <w:lang w:val="en-AU"/>
        </w:rPr>
      </w:pPr>
      <w:r w:rsidRPr="005734B8">
        <w:rPr>
          <w:rFonts w:ascii="Calibri" w:hAnsi="Calibri" w:cs="Calibri"/>
          <w:sz w:val="22"/>
          <w:szCs w:val="22"/>
          <w:lang w:val="en-AU"/>
        </w:rPr>
        <w:t xml:space="preserve">The Department’s progress towards BP3 objectives and indicators, and its performance against the output performance measures, </w:t>
      </w:r>
      <w:r w:rsidR="00170069" w:rsidRPr="005734B8">
        <w:rPr>
          <w:rFonts w:ascii="Calibri" w:hAnsi="Calibri" w:cs="Calibri"/>
          <w:sz w:val="22"/>
          <w:szCs w:val="22"/>
          <w:lang w:val="en-AU"/>
        </w:rPr>
        <w:t>are</w:t>
      </w:r>
      <w:r w:rsidRPr="005734B8">
        <w:rPr>
          <w:rFonts w:ascii="Calibri" w:hAnsi="Calibri" w:cs="Calibri"/>
          <w:sz w:val="22"/>
          <w:szCs w:val="22"/>
          <w:lang w:val="en-AU"/>
        </w:rPr>
        <w:t xml:space="preserve"> reported below.</w:t>
      </w:r>
    </w:p>
    <w:p w14:paraId="596FFD90" w14:textId="385F58CD" w:rsidR="00E36641" w:rsidRPr="005734B8" w:rsidRDefault="00E36641" w:rsidP="00E36641">
      <w:pPr>
        <w:pStyle w:val="ESTableintroheading"/>
        <w:rPr>
          <w:rFonts w:ascii="Calibri" w:hAnsi="Calibri" w:cs="Calibri"/>
          <w:szCs w:val="20"/>
        </w:rPr>
      </w:pPr>
      <w:r w:rsidRPr="005734B8">
        <w:rPr>
          <w:rFonts w:ascii="Calibri" w:hAnsi="Calibri" w:cs="Calibri"/>
          <w:szCs w:val="20"/>
        </w:rPr>
        <w:t>Departmental objectives, indicators and linked outputs (BP3)</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2"/>
        <w:gridCol w:w="4536"/>
        <w:gridCol w:w="2352"/>
      </w:tblGrid>
      <w:tr w:rsidR="00C65901" w:rsidRPr="005734B8" w14:paraId="774229D1" w14:textId="77777777" w:rsidTr="00320205">
        <w:trPr>
          <w:cantSplit/>
          <w:tblHeader/>
        </w:trPr>
        <w:tc>
          <w:tcPr>
            <w:tcW w:w="2122" w:type="dxa"/>
            <w:tcBorders>
              <w:bottom w:val="single" w:sz="4" w:space="0" w:color="FFFFFF" w:themeColor="background1"/>
            </w:tcBorders>
            <w:shd w:val="clear" w:color="auto" w:fill="AF272F" w:themeFill="accent4"/>
          </w:tcPr>
          <w:p w14:paraId="37E3F38E" w14:textId="77777777" w:rsidR="00C65901" w:rsidRPr="005734B8" w:rsidRDefault="00C65901" w:rsidP="000C192E">
            <w:pPr>
              <w:pStyle w:val="ESTableheadingwhite"/>
              <w:rPr>
                <w:rFonts w:ascii="Calibri" w:hAnsi="Calibri" w:cs="Calibri"/>
                <w:sz w:val="18"/>
              </w:rPr>
            </w:pPr>
            <w:bookmarkStart w:id="98" w:name="_Toc11158157"/>
            <w:bookmarkStart w:id="99" w:name="_Toc11336164"/>
            <w:bookmarkStart w:id="100" w:name="_Toc13656666"/>
            <w:bookmarkStart w:id="101" w:name="_Toc14965387"/>
            <w:bookmarkStart w:id="102" w:name="_Toc15985252"/>
            <w:bookmarkStart w:id="103" w:name="_Toc19271966"/>
            <w:bookmarkStart w:id="104" w:name="_Toc19272332"/>
            <w:bookmarkStart w:id="105" w:name="_Toc19273667"/>
            <w:bookmarkStart w:id="106" w:name="_Toc48402772"/>
            <w:bookmarkStart w:id="107" w:name="_Toc48403009"/>
            <w:bookmarkStart w:id="108" w:name="_Toc51332752"/>
            <w:r w:rsidRPr="005734B8">
              <w:rPr>
                <w:rFonts w:ascii="Calibri" w:hAnsi="Calibri" w:cs="Calibri"/>
                <w:sz w:val="18"/>
              </w:rPr>
              <w:t>Objectives</w:t>
            </w:r>
          </w:p>
        </w:tc>
        <w:tc>
          <w:tcPr>
            <w:tcW w:w="4536" w:type="dxa"/>
            <w:tcBorders>
              <w:bottom w:val="single" w:sz="4" w:space="0" w:color="FFFFFF" w:themeColor="background1"/>
            </w:tcBorders>
            <w:shd w:val="clear" w:color="auto" w:fill="AF272F" w:themeFill="accent4"/>
          </w:tcPr>
          <w:p w14:paraId="3F037324" w14:textId="77777777" w:rsidR="00C65901" w:rsidRPr="005734B8" w:rsidRDefault="00C65901" w:rsidP="000C192E">
            <w:pPr>
              <w:pStyle w:val="ESTableheadingwhite"/>
              <w:rPr>
                <w:rFonts w:ascii="Calibri" w:hAnsi="Calibri" w:cs="Calibri"/>
                <w:sz w:val="18"/>
              </w:rPr>
            </w:pPr>
            <w:r w:rsidRPr="005734B8">
              <w:rPr>
                <w:rFonts w:ascii="Calibri" w:hAnsi="Calibri" w:cs="Calibri"/>
                <w:sz w:val="18"/>
              </w:rPr>
              <w:t>Indicators</w:t>
            </w:r>
          </w:p>
        </w:tc>
        <w:tc>
          <w:tcPr>
            <w:tcW w:w="2352" w:type="dxa"/>
            <w:tcBorders>
              <w:bottom w:val="single" w:sz="4" w:space="0" w:color="FFFFFF" w:themeColor="background1"/>
            </w:tcBorders>
            <w:shd w:val="clear" w:color="auto" w:fill="AF272F" w:themeFill="accent4"/>
          </w:tcPr>
          <w:p w14:paraId="0264FCC8" w14:textId="77777777" w:rsidR="00C65901" w:rsidRPr="005734B8" w:rsidRDefault="00C65901" w:rsidP="000C192E">
            <w:pPr>
              <w:pStyle w:val="ESTableheadingwhite"/>
              <w:rPr>
                <w:rFonts w:ascii="Calibri" w:hAnsi="Calibri" w:cs="Calibri"/>
                <w:sz w:val="18"/>
              </w:rPr>
            </w:pPr>
            <w:r w:rsidRPr="005734B8">
              <w:rPr>
                <w:rFonts w:ascii="Calibri" w:hAnsi="Calibri" w:cs="Calibri"/>
                <w:sz w:val="18"/>
              </w:rPr>
              <w:t>Outputs</w:t>
            </w:r>
          </w:p>
        </w:tc>
      </w:tr>
      <w:tr w:rsidR="00C65901" w:rsidRPr="005734B8" w14:paraId="0E3F64E9" w14:textId="77777777" w:rsidTr="00320205">
        <w:trPr>
          <w:cantSplit/>
        </w:trPr>
        <w:tc>
          <w:tcPr>
            <w:tcW w:w="2122" w:type="dxa"/>
            <w:tcBorders>
              <w:bottom w:val="single" w:sz="4" w:space="0" w:color="53565A" w:themeColor="accent5"/>
            </w:tcBorders>
            <w:shd w:val="clear" w:color="auto" w:fill="auto"/>
          </w:tcPr>
          <w:p w14:paraId="404B3ABA" w14:textId="77777777" w:rsidR="00C65901" w:rsidRPr="005734B8" w:rsidRDefault="00C65901" w:rsidP="000C192E">
            <w:pPr>
              <w:pStyle w:val="ESTableheadingwhite"/>
              <w:rPr>
                <w:rFonts w:ascii="Calibri" w:hAnsi="Calibri" w:cs="Calibri"/>
                <w:b w:val="0"/>
                <w:color w:val="auto"/>
                <w:sz w:val="18"/>
                <w:lang w:val="en-AU"/>
              </w:rPr>
            </w:pPr>
            <w:r w:rsidRPr="005734B8">
              <w:rPr>
                <w:rFonts w:ascii="Calibri" w:hAnsi="Calibri" w:cs="Calibri"/>
                <w:color w:val="auto"/>
                <w:sz w:val="18"/>
              </w:rPr>
              <w:t>Achievement</w:t>
            </w:r>
          </w:p>
          <w:p w14:paraId="2118CF75" w14:textId="77777777" w:rsidR="00C65901" w:rsidRPr="005734B8" w:rsidRDefault="00C65901" w:rsidP="000C192E">
            <w:pPr>
              <w:pStyle w:val="ESTableheadingwhite"/>
              <w:rPr>
                <w:rFonts w:ascii="Calibri" w:hAnsi="Calibri" w:cs="Calibri"/>
                <w:b w:val="0"/>
                <w:color w:val="FF0000"/>
                <w:sz w:val="20"/>
                <w:szCs w:val="20"/>
              </w:rPr>
            </w:pPr>
            <w:r w:rsidRPr="005734B8">
              <w:rPr>
                <w:rFonts w:ascii="Calibri" w:hAnsi="Calibri" w:cs="Calibri"/>
                <w:b w:val="0"/>
                <w:color w:val="auto"/>
                <w:sz w:val="18"/>
                <w:lang w:val="en-AU"/>
              </w:rPr>
              <w:t xml:space="preserve">Raise standards of learning and development achieved by Victorians using education, training, development and </w:t>
            </w:r>
            <w:r w:rsidRPr="005734B8">
              <w:rPr>
                <w:rFonts w:ascii="Calibri" w:hAnsi="Calibri" w:cs="Calibri"/>
                <w:b w:val="0"/>
                <w:bCs/>
                <w:color w:val="auto"/>
                <w:sz w:val="18"/>
              </w:rPr>
              <w:t>early childhood development services</w:t>
            </w:r>
            <w:r w:rsidRPr="005734B8">
              <w:rPr>
                <w:rFonts w:ascii="Calibri" w:hAnsi="Calibri" w:cs="Calibri"/>
                <w:b w:val="0"/>
                <w:color w:val="auto"/>
                <w:sz w:val="18"/>
                <w:lang w:val="en-AU"/>
              </w:rPr>
              <w:t>.</w:t>
            </w:r>
          </w:p>
        </w:tc>
        <w:tc>
          <w:tcPr>
            <w:tcW w:w="4536" w:type="dxa"/>
            <w:tcBorders>
              <w:bottom w:val="single" w:sz="4" w:space="0" w:color="53565A" w:themeColor="accent5"/>
            </w:tcBorders>
            <w:shd w:val="clear" w:color="auto" w:fill="auto"/>
          </w:tcPr>
          <w:p w14:paraId="4FDB85D5"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Children developmentally ‘on track’ on the Australian Early Development Census (AEDC) in the language and cognitive skills domains</w:t>
            </w:r>
            <w:r w:rsidRPr="005734B8">
              <w:rPr>
                <w:rStyle w:val="FootnoteReference"/>
                <w:rFonts w:ascii="Calibri" w:hAnsi="Calibri" w:cs="Calibri"/>
                <w:sz w:val="18"/>
                <w:lang w:val="en-AU"/>
              </w:rPr>
              <w:footnoteReference w:id="3"/>
            </w:r>
          </w:p>
          <w:p w14:paraId="33AA1D6A"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Proportion of early childhood services meeting or exceeding National Quality Standard Area 1 (NQSA1—educational program and practice)</w:t>
            </w:r>
          </w:p>
          <w:p w14:paraId="2037279A"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Students meeting the expected standard in national and international literacy and numeracy assessment</w:t>
            </w:r>
            <w:bookmarkStart w:id="109" w:name="_Ref12969464"/>
            <w:r w:rsidRPr="005734B8">
              <w:rPr>
                <w:rStyle w:val="FootnoteReference"/>
                <w:rFonts w:ascii="Calibri" w:hAnsi="Calibri" w:cs="Calibri"/>
                <w:sz w:val="18"/>
                <w:lang w:val="en-AU"/>
              </w:rPr>
              <w:footnoteReference w:id="4"/>
            </w:r>
            <w:bookmarkEnd w:id="109"/>
          </w:p>
          <w:p w14:paraId="7EF70C58" w14:textId="33BA79B5"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Average score in science (Programme for International Student Assessment (PISA) 15</w:t>
            </w:r>
            <w:r w:rsidRPr="005734B8">
              <w:rPr>
                <w:rFonts w:ascii="Calibri" w:hAnsi="Calibri" w:cs="Calibri"/>
                <w:sz w:val="18"/>
                <w:lang w:val="en-AU"/>
              </w:rPr>
              <w:noBreakHyphen/>
              <w:t>year-olds) in Victoria compared to global top performers</w:t>
            </w:r>
            <w:r w:rsidR="00A10749" w:rsidRPr="005734B8">
              <w:rPr>
                <w:rFonts w:ascii="Calibri" w:hAnsi="Calibri" w:cs="Calibri"/>
                <w:sz w:val="18"/>
                <w:vertAlign w:val="superscript"/>
                <w:lang w:val="en-AU"/>
              </w:rPr>
              <w:t>3</w:t>
            </w:r>
          </w:p>
          <w:p w14:paraId="66A17E28"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Percentage of positive responses to teacher collaboration within school</w:t>
            </w:r>
            <w:bookmarkStart w:id="110" w:name="_Ref12969546"/>
            <w:r w:rsidRPr="005734B8">
              <w:rPr>
                <w:rStyle w:val="FootnoteReference"/>
                <w:rFonts w:ascii="Calibri" w:hAnsi="Calibri" w:cs="Calibri"/>
                <w:sz w:val="18"/>
                <w:lang w:val="en-AU"/>
              </w:rPr>
              <w:footnoteReference w:id="5"/>
            </w:r>
            <w:bookmarkEnd w:id="110"/>
          </w:p>
          <w:p w14:paraId="5C71BDD7" w14:textId="0D2142A5"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Year 12 or equivalent completion rates of young people</w:t>
            </w:r>
            <w:r w:rsidR="00A10749" w:rsidRPr="005734B8">
              <w:rPr>
                <w:rFonts w:ascii="Calibri" w:hAnsi="Calibri" w:cs="Calibri"/>
                <w:sz w:val="18"/>
                <w:vertAlign w:val="superscript"/>
                <w:lang w:val="en-AU"/>
              </w:rPr>
              <w:t>4</w:t>
            </w:r>
          </w:p>
          <w:p w14:paraId="128CBDDF"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VET course completions</w:t>
            </w:r>
          </w:p>
          <w:p w14:paraId="3C5CC28B"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Certificate III or above course completions</w:t>
            </w:r>
          </w:p>
          <w:p w14:paraId="4DA0209E" w14:textId="77777777" w:rsidR="00C65901" w:rsidRPr="005734B8" w:rsidRDefault="00C65901" w:rsidP="000C192E">
            <w:pPr>
              <w:pStyle w:val="ESTablebullet1"/>
              <w:spacing w:before="60" w:after="60"/>
              <w:ind w:left="284" w:hanging="284"/>
              <w:rPr>
                <w:rFonts w:ascii="Calibri" w:hAnsi="Calibri" w:cs="Calibri"/>
                <w:sz w:val="18"/>
              </w:rPr>
            </w:pPr>
            <w:r w:rsidRPr="005734B8">
              <w:rPr>
                <w:rFonts w:ascii="Calibri" w:hAnsi="Calibri" w:cs="Calibri"/>
                <w:sz w:val="18"/>
                <w:lang w:val="en-AU"/>
              </w:rPr>
              <w:t>Proportion of graduates with improved employment status after training</w:t>
            </w:r>
          </w:p>
        </w:tc>
        <w:tc>
          <w:tcPr>
            <w:tcW w:w="2352" w:type="dxa"/>
            <w:tcBorders>
              <w:bottom w:val="single" w:sz="4" w:space="0" w:color="53565A" w:themeColor="accent5"/>
            </w:tcBorders>
          </w:tcPr>
          <w:p w14:paraId="13102A3D"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Strategy, review and regulation</w:t>
            </w:r>
          </w:p>
          <w:p w14:paraId="6E311BA8"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Early childhood education</w:t>
            </w:r>
          </w:p>
          <w:p w14:paraId="6CFEF064"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School education—primary</w:t>
            </w:r>
          </w:p>
          <w:p w14:paraId="0B592FFB"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School education—secondary</w:t>
            </w:r>
          </w:p>
          <w:p w14:paraId="77926933"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Training, higher education, workforce development and skills</w:t>
            </w:r>
          </w:p>
          <w:p w14:paraId="46DAD27F"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Support services delivery</w:t>
            </w:r>
          </w:p>
          <w:p w14:paraId="53CA2D79"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Support for students with disabilities</w:t>
            </w:r>
          </w:p>
        </w:tc>
      </w:tr>
      <w:tr w:rsidR="00C65901" w:rsidRPr="005734B8" w14:paraId="1018F27F" w14:textId="77777777" w:rsidTr="00320205">
        <w:trPr>
          <w:cantSplit/>
        </w:trPr>
        <w:tc>
          <w:tcPr>
            <w:tcW w:w="2122" w:type="dxa"/>
            <w:tcBorders>
              <w:top w:val="single" w:sz="4" w:space="0" w:color="53565A" w:themeColor="accent5"/>
              <w:bottom w:val="single" w:sz="4" w:space="0" w:color="53565A" w:themeColor="accent5"/>
            </w:tcBorders>
            <w:shd w:val="clear" w:color="auto" w:fill="auto"/>
          </w:tcPr>
          <w:p w14:paraId="310EEBFA" w14:textId="77777777" w:rsidR="00C65901" w:rsidRPr="005734B8" w:rsidRDefault="00C65901" w:rsidP="000C192E">
            <w:pPr>
              <w:pStyle w:val="ESTableheading"/>
              <w:rPr>
                <w:rFonts w:ascii="Calibri" w:hAnsi="Calibri" w:cs="Calibri"/>
                <w:color w:val="auto"/>
                <w:sz w:val="18"/>
                <w:lang w:val="en-AU"/>
              </w:rPr>
            </w:pPr>
            <w:r w:rsidRPr="005734B8">
              <w:rPr>
                <w:rFonts w:ascii="Calibri" w:hAnsi="Calibri" w:cs="Calibri"/>
                <w:color w:val="auto"/>
                <w:sz w:val="18"/>
                <w:lang w:val="en-AU"/>
              </w:rPr>
              <w:lastRenderedPageBreak/>
              <w:t>Engagement</w:t>
            </w:r>
          </w:p>
          <w:p w14:paraId="247FAB8A" w14:textId="77777777" w:rsidR="00C65901" w:rsidRPr="005734B8" w:rsidRDefault="00C65901" w:rsidP="000C192E">
            <w:pPr>
              <w:pStyle w:val="ESTableheadingwhite"/>
              <w:rPr>
                <w:rFonts w:ascii="Calibri" w:hAnsi="Calibri" w:cs="Calibri"/>
                <w:color w:val="FF0000"/>
                <w:sz w:val="18"/>
              </w:rPr>
            </w:pPr>
            <w:r w:rsidRPr="005734B8">
              <w:rPr>
                <w:rFonts w:ascii="Calibri" w:hAnsi="Calibri" w:cs="Calibri"/>
                <w:b w:val="0"/>
                <w:color w:val="auto"/>
                <w:sz w:val="18"/>
                <w:lang w:val="en-AU"/>
              </w:rPr>
              <w:t>Increase the number of Victorians actively participating in education, training, and early childhood development services</w:t>
            </w:r>
          </w:p>
        </w:tc>
        <w:tc>
          <w:tcPr>
            <w:tcW w:w="4536" w:type="dxa"/>
            <w:tcBorders>
              <w:top w:val="single" w:sz="4" w:space="0" w:color="53565A" w:themeColor="accent5"/>
              <w:bottom w:val="single" w:sz="4" w:space="0" w:color="53565A" w:themeColor="accent5"/>
            </w:tcBorders>
            <w:shd w:val="clear" w:color="auto" w:fill="auto"/>
          </w:tcPr>
          <w:p w14:paraId="50E49F2E"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Participation in a kindergarten service in the year before school</w:t>
            </w:r>
          </w:p>
          <w:p w14:paraId="6DBB7D94"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Proportion of ECEC services meeting or exceeding National Quality Standard Area 6 (NQSA6—Collaborative partnerships with families and communities)</w:t>
            </w:r>
          </w:p>
          <w:p w14:paraId="4CCD76C0" w14:textId="2A534B42"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Mean number of student absent days per full</w:t>
            </w:r>
            <w:r w:rsidRPr="005734B8">
              <w:rPr>
                <w:rFonts w:ascii="Calibri" w:hAnsi="Calibri" w:cs="Calibri"/>
                <w:sz w:val="18"/>
                <w:lang w:val="en-AU"/>
              </w:rPr>
              <w:noBreakHyphen/>
              <w:t xml:space="preserve">time equivalent (FTE) </w:t>
            </w:r>
            <w:r w:rsidR="00A06A63" w:rsidRPr="005734B8">
              <w:rPr>
                <w:rFonts w:ascii="Calibri" w:hAnsi="Calibri" w:cs="Calibri"/>
                <w:sz w:val="18"/>
                <w:lang w:val="en-AU"/>
              </w:rPr>
              <w:t>per</w:t>
            </w:r>
            <w:r w:rsidRPr="005734B8">
              <w:rPr>
                <w:rFonts w:ascii="Calibri" w:hAnsi="Calibri" w:cs="Calibri"/>
                <w:sz w:val="18"/>
                <w:lang w:val="en-AU"/>
              </w:rPr>
              <w:t xml:space="preserve"> year</w:t>
            </w:r>
            <w:r w:rsidR="00A10749" w:rsidRPr="005734B8">
              <w:rPr>
                <w:rFonts w:ascii="Calibri" w:hAnsi="Calibri" w:cs="Calibri"/>
                <w:sz w:val="18"/>
                <w:vertAlign w:val="superscript"/>
                <w:lang w:val="en-AU"/>
              </w:rPr>
              <w:t>4</w:t>
            </w:r>
          </w:p>
          <w:p w14:paraId="01517174" w14:textId="7CA444BF"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Mean number of unapproved student absence days per FTE per year in secondary schools</w:t>
            </w:r>
            <w:r w:rsidR="00A10749" w:rsidRPr="005734B8">
              <w:rPr>
                <w:rFonts w:ascii="Calibri" w:hAnsi="Calibri" w:cs="Calibri"/>
                <w:sz w:val="18"/>
                <w:vertAlign w:val="superscript"/>
                <w:lang w:val="en-AU"/>
              </w:rPr>
              <w:t>4</w:t>
            </w:r>
          </w:p>
          <w:p w14:paraId="2C7A307B" w14:textId="06D5B080"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Students with a positive opinion about their school providing a stimulating learning environment</w:t>
            </w:r>
            <w:r w:rsidR="00A10749" w:rsidRPr="005734B8">
              <w:rPr>
                <w:rFonts w:ascii="Calibri" w:hAnsi="Calibri" w:cs="Calibri"/>
                <w:sz w:val="18"/>
                <w:vertAlign w:val="superscript"/>
                <w:lang w:val="en-AU"/>
              </w:rPr>
              <w:t>4</w:t>
            </w:r>
          </w:p>
          <w:p w14:paraId="66A2A125"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VET enrolments by age</w:t>
            </w:r>
          </w:p>
          <w:p w14:paraId="080CF235"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VET enrolments by gender</w:t>
            </w:r>
          </w:p>
          <w:p w14:paraId="73B48A4E"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VET enrolments by administrative regions</w:t>
            </w:r>
          </w:p>
          <w:p w14:paraId="702AD53C"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VET enrolments by skills shortage category courses</w:t>
            </w:r>
          </w:p>
          <w:p w14:paraId="3643453A"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VET enrolments by specialised category courses</w:t>
            </w:r>
          </w:p>
          <w:p w14:paraId="4DC3813C"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VET participation by learners facing barriers</w:t>
            </w:r>
          </w:p>
          <w:p w14:paraId="6041B95B"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VET participation by unemployed learners</w:t>
            </w:r>
          </w:p>
          <w:p w14:paraId="5470BABD"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Proportion of VET students satisfied with the teaching in their course</w:t>
            </w:r>
          </w:p>
        </w:tc>
        <w:tc>
          <w:tcPr>
            <w:tcW w:w="2352" w:type="dxa"/>
            <w:tcBorders>
              <w:top w:val="single" w:sz="4" w:space="0" w:color="53565A" w:themeColor="accent5"/>
              <w:bottom w:val="single" w:sz="4" w:space="0" w:color="53565A" w:themeColor="accent5"/>
            </w:tcBorders>
          </w:tcPr>
          <w:p w14:paraId="03B8C6F8"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Strategy, review and regulation</w:t>
            </w:r>
          </w:p>
          <w:p w14:paraId="62B5D78E"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Early childhood education</w:t>
            </w:r>
          </w:p>
          <w:p w14:paraId="751B5D04"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School education—primary</w:t>
            </w:r>
          </w:p>
          <w:p w14:paraId="35CC5B04"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School education—secondary</w:t>
            </w:r>
          </w:p>
          <w:p w14:paraId="7BCC65F7"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Training, higher education, workforce development and skills</w:t>
            </w:r>
          </w:p>
          <w:p w14:paraId="6B70B9CD"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Support services delivery</w:t>
            </w:r>
          </w:p>
          <w:p w14:paraId="5E94DE17"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Support for students with disabilities</w:t>
            </w:r>
          </w:p>
        </w:tc>
      </w:tr>
      <w:tr w:rsidR="00C65901" w:rsidRPr="005734B8" w14:paraId="3268C178" w14:textId="77777777" w:rsidTr="00320205">
        <w:trPr>
          <w:cantSplit/>
        </w:trPr>
        <w:tc>
          <w:tcPr>
            <w:tcW w:w="2122" w:type="dxa"/>
            <w:tcBorders>
              <w:top w:val="single" w:sz="4" w:space="0" w:color="53565A" w:themeColor="accent5"/>
              <w:bottom w:val="single" w:sz="4" w:space="0" w:color="53565A" w:themeColor="accent5"/>
            </w:tcBorders>
            <w:shd w:val="clear" w:color="auto" w:fill="auto"/>
          </w:tcPr>
          <w:p w14:paraId="281BB952" w14:textId="77777777" w:rsidR="00C65901" w:rsidRPr="005734B8" w:rsidRDefault="00C65901" w:rsidP="000C192E">
            <w:pPr>
              <w:pStyle w:val="ESTableheading"/>
              <w:rPr>
                <w:rFonts w:ascii="Calibri" w:hAnsi="Calibri" w:cs="Calibri"/>
                <w:color w:val="auto"/>
                <w:sz w:val="18"/>
                <w:lang w:val="en-AU"/>
              </w:rPr>
            </w:pPr>
            <w:r w:rsidRPr="005734B8">
              <w:rPr>
                <w:rFonts w:ascii="Calibri" w:hAnsi="Calibri" w:cs="Calibri"/>
                <w:color w:val="auto"/>
                <w:sz w:val="18"/>
                <w:lang w:val="en-AU"/>
              </w:rPr>
              <w:t>Wellbeing</w:t>
            </w:r>
          </w:p>
          <w:p w14:paraId="4AA147B2" w14:textId="59EFD5DE" w:rsidR="00C65901" w:rsidRPr="005734B8" w:rsidRDefault="00C65901" w:rsidP="000C192E">
            <w:pPr>
              <w:pStyle w:val="ESTableheadingwhite"/>
              <w:rPr>
                <w:rFonts w:ascii="Calibri" w:hAnsi="Calibri" w:cs="Calibri"/>
                <w:color w:val="FF0000"/>
                <w:sz w:val="18"/>
              </w:rPr>
            </w:pPr>
            <w:r w:rsidRPr="005734B8">
              <w:rPr>
                <w:rFonts w:ascii="Calibri" w:hAnsi="Calibri" w:cs="Calibri"/>
                <w:b w:val="0"/>
                <w:color w:val="auto"/>
                <w:sz w:val="18"/>
                <w:lang w:val="en-AU"/>
              </w:rPr>
              <w:t xml:space="preserve">Increase the contribution </w:t>
            </w:r>
            <w:r w:rsidR="009A044D" w:rsidRPr="005734B8">
              <w:rPr>
                <w:rFonts w:ascii="Calibri" w:hAnsi="Calibri" w:cs="Calibri"/>
                <w:b w:val="0"/>
                <w:color w:val="auto"/>
                <w:sz w:val="18"/>
                <w:lang w:val="en-AU"/>
              </w:rPr>
              <w:t xml:space="preserve">that </w:t>
            </w:r>
            <w:r w:rsidRPr="005734B8">
              <w:rPr>
                <w:rFonts w:ascii="Calibri" w:hAnsi="Calibri" w:cs="Calibri"/>
                <w:b w:val="0"/>
                <w:color w:val="auto"/>
                <w:sz w:val="18"/>
                <w:lang w:val="en-AU"/>
              </w:rPr>
              <w:t>education, training, and early childhood development services make to good health and quality of life for all Victorians, particularly children and young people</w:t>
            </w:r>
          </w:p>
        </w:tc>
        <w:tc>
          <w:tcPr>
            <w:tcW w:w="4536" w:type="dxa"/>
            <w:tcBorders>
              <w:top w:val="single" w:sz="4" w:space="0" w:color="53565A" w:themeColor="accent5"/>
              <w:bottom w:val="single" w:sz="4" w:space="0" w:color="53565A" w:themeColor="accent5"/>
            </w:tcBorders>
            <w:shd w:val="clear" w:color="auto" w:fill="auto"/>
          </w:tcPr>
          <w:p w14:paraId="28484764"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Proportion of children who have no behavioural issues on entry into Prep</w:t>
            </w:r>
          </w:p>
          <w:p w14:paraId="77E784FE"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Proportion of children who have no general development issues on entry into Prep</w:t>
            </w:r>
          </w:p>
          <w:p w14:paraId="07E5F0EC"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Children developmentally ‘on track’ on the AEDC social competence and emotional maturity domains</w:t>
            </w:r>
          </w:p>
          <w:p w14:paraId="1B584FE6"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Students feeling connected to their school</w:t>
            </w:r>
          </w:p>
          <w:p w14:paraId="25FDECF1"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Students with a positive opinion about their school providing a safe and orderly environment for learning</w:t>
            </w:r>
          </w:p>
          <w:p w14:paraId="1977B0D8"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Level of student satisfaction with VET</w:t>
            </w:r>
          </w:p>
        </w:tc>
        <w:tc>
          <w:tcPr>
            <w:tcW w:w="2352" w:type="dxa"/>
            <w:tcBorders>
              <w:top w:val="single" w:sz="4" w:space="0" w:color="53565A" w:themeColor="accent5"/>
              <w:bottom w:val="single" w:sz="4" w:space="0" w:color="53565A" w:themeColor="accent5"/>
            </w:tcBorders>
          </w:tcPr>
          <w:p w14:paraId="1FC81966"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Strategy, review and regulation</w:t>
            </w:r>
          </w:p>
          <w:p w14:paraId="5A832A1B"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Early childhood education</w:t>
            </w:r>
          </w:p>
          <w:p w14:paraId="74F335A8"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School education—primary</w:t>
            </w:r>
          </w:p>
          <w:p w14:paraId="315E64CB"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School education—secondary</w:t>
            </w:r>
          </w:p>
          <w:p w14:paraId="0D4D95D8"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Training, higher education, workforce development and skills</w:t>
            </w:r>
          </w:p>
          <w:p w14:paraId="747A27A1"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Support services delivery</w:t>
            </w:r>
          </w:p>
          <w:p w14:paraId="0D4F331E"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Support for students with disabilities</w:t>
            </w:r>
          </w:p>
        </w:tc>
      </w:tr>
      <w:tr w:rsidR="00C65901" w:rsidRPr="005734B8" w14:paraId="426F041E" w14:textId="77777777" w:rsidTr="00320205">
        <w:trPr>
          <w:cantSplit/>
        </w:trPr>
        <w:tc>
          <w:tcPr>
            <w:tcW w:w="2122" w:type="dxa"/>
            <w:tcBorders>
              <w:top w:val="single" w:sz="4" w:space="0" w:color="53565A" w:themeColor="accent5"/>
              <w:bottom w:val="single" w:sz="4" w:space="0" w:color="53565A" w:themeColor="accent5"/>
            </w:tcBorders>
            <w:shd w:val="clear" w:color="auto" w:fill="auto"/>
          </w:tcPr>
          <w:p w14:paraId="77D2DB94" w14:textId="77777777" w:rsidR="00C65901" w:rsidRPr="005734B8" w:rsidRDefault="00C65901" w:rsidP="000C192E">
            <w:pPr>
              <w:pStyle w:val="ESTableheading"/>
              <w:rPr>
                <w:rFonts w:ascii="Calibri" w:hAnsi="Calibri" w:cs="Calibri"/>
                <w:color w:val="auto"/>
                <w:sz w:val="18"/>
                <w:lang w:val="en-AU"/>
              </w:rPr>
            </w:pPr>
            <w:r w:rsidRPr="005734B8">
              <w:rPr>
                <w:rFonts w:ascii="Calibri" w:hAnsi="Calibri" w:cs="Calibri"/>
                <w:color w:val="auto"/>
                <w:sz w:val="18"/>
                <w:lang w:val="en-AU"/>
              </w:rPr>
              <w:t>Productivity</w:t>
            </w:r>
          </w:p>
          <w:p w14:paraId="6F3EA570" w14:textId="77777777" w:rsidR="00C65901" w:rsidRPr="005734B8" w:rsidRDefault="00C65901" w:rsidP="000C192E">
            <w:pPr>
              <w:pStyle w:val="ESTableheadingwhite"/>
              <w:rPr>
                <w:rFonts w:ascii="Calibri" w:hAnsi="Calibri" w:cs="Calibri"/>
                <w:b w:val="0"/>
                <w:color w:val="auto"/>
                <w:sz w:val="18"/>
              </w:rPr>
            </w:pPr>
            <w:r w:rsidRPr="005734B8">
              <w:rPr>
                <w:rFonts w:ascii="Calibri" w:hAnsi="Calibri" w:cs="Calibri"/>
                <w:b w:val="0"/>
                <w:color w:val="auto"/>
                <w:sz w:val="18"/>
                <w:lang w:val="en-AU"/>
              </w:rPr>
              <w:t>Increase the productivity of our services.</w:t>
            </w:r>
          </w:p>
        </w:tc>
        <w:tc>
          <w:tcPr>
            <w:tcW w:w="4536" w:type="dxa"/>
            <w:tcBorders>
              <w:top w:val="single" w:sz="4" w:space="0" w:color="53565A" w:themeColor="accent5"/>
              <w:bottom w:val="single" w:sz="4" w:space="0" w:color="53565A" w:themeColor="accent5"/>
            </w:tcBorders>
            <w:shd w:val="clear" w:color="auto" w:fill="auto"/>
          </w:tcPr>
          <w:p w14:paraId="515DB073"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 per kindergarten student per year</w:t>
            </w:r>
          </w:p>
          <w:p w14:paraId="124701E0"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 per primary school student per year</w:t>
            </w:r>
          </w:p>
          <w:p w14:paraId="491F9689"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 per secondary school student per year</w:t>
            </w:r>
          </w:p>
          <w:p w14:paraId="5BDEED65"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 per VET student contact hour</w:t>
            </w:r>
          </w:p>
        </w:tc>
        <w:tc>
          <w:tcPr>
            <w:tcW w:w="2352" w:type="dxa"/>
            <w:tcBorders>
              <w:top w:val="single" w:sz="4" w:space="0" w:color="53565A" w:themeColor="accent5"/>
              <w:bottom w:val="single" w:sz="4" w:space="0" w:color="53565A" w:themeColor="accent5"/>
            </w:tcBorders>
          </w:tcPr>
          <w:p w14:paraId="12461D8D"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Strategy, review and regulation</w:t>
            </w:r>
          </w:p>
          <w:p w14:paraId="26E8663E"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Early childhood education</w:t>
            </w:r>
          </w:p>
          <w:p w14:paraId="3CA71EF5"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School education—primary</w:t>
            </w:r>
          </w:p>
          <w:p w14:paraId="725B6CF3"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School education—secondary</w:t>
            </w:r>
          </w:p>
          <w:p w14:paraId="386F9F36"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Training, higher education, workforce development and skills</w:t>
            </w:r>
          </w:p>
          <w:p w14:paraId="2D3BBB0D"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Support services delivery</w:t>
            </w:r>
          </w:p>
          <w:p w14:paraId="6783B2CB" w14:textId="77777777" w:rsidR="00C65901" w:rsidRPr="005734B8" w:rsidRDefault="00C65901" w:rsidP="000C192E">
            <w:pPr>
              <w:pStyle w:val="ESTablebullet1"/>
              <w:spacing w:before="60" w:after="60"/>
              <w:ind w:left="284" w:hanging="284"/>
              <w:rPr>
                <w:rFonts w:ascii="Calibri" w:hAnsi="Calibri" w:cs="Calibri"/>
                <w:sz w:val="18"/>
                <w:lang w:val="en-AU"/>
              </w:rPr>
            </w:pPr>
            <w:r w:rsidRPr="005734B8">
              <w:rPr>
                <w:rFonts w:ascii="Calibri" w:hAnsi="Calibri" w:cs="Calibri"/>
                <w:sz w:val="18"/>
                <w:lang w:val="en-AU"/>
              </w:rPr>
              <w:t>Support for students with disabilities</w:t>
            </w:r>
          </w:p>
        </w:tc>
      </w:tr>
    </w:tbl>
    <w:p w14:paraId="01C6EE7E" w14:textId="00DAD740" w:rsidR="00C715C5" w:rsidRPr="005734B8" w:rsidRDefault="00C715C5" w:rsidP="00C715C5">
      <w:pPr>
        <w:rPr>
          <w:rFonts w:ascii="Calibri" w:hAnsi="Calibri" w:cs="Calibri"/>
        </w:rPr>
      </w:pPr>
      <w:r w:rsidRPr="005734B8">
        <w:rPr>
          <w:rFonts w:ascii="Calibri" w:hAnsi="Calibri" w:cs="Calibri"/>
        </w:rPr>
        <w:br w:type="page"/>
      </w:r>
    </w:p>
    <w:p w14:paraId="625EA7B4" w14:textId="740271F9" w:rsidR="00846D65" w:rsidRPr="005734B8" w:rsidRDefault="00846D65" w:rsidP="009A316F">
      <w:pPr>
        <w:pStyle w:val="ESHeading2"/>
        <w:rPr>
          <w:rFonts w:ascii="Calibri" w:hAnsi="Calibri" w:cs="Calibri"/>
        </w:rPr>
      </w:pPr>
      <w:bookmarkStart w:id="111" w:name="_Toc81315316"/>
      <w:r w:rsidRPr="005734B8">
        <w:rPr>
          <w:rFonts w:ascii="Calibri" w:hAnsi="Calibri" w:cs="Calibri"/>
        </w:rPr>
        <w:lastRenderedPageBreak/>
        <w:t>Progress towards achieving departmental objectives</w:t>
      </w:r>
      <w:bookmarkEnd w:id="98"/>
      <w:bookmarkEnd w:id="99"/>
      <w:bookmarkEnd w:id="100"/>
      <w:bookmarkEnd w:id="101"/>
      <w:bookmarkEnd w:id="102"/>
      <w:bookmarkEnd w:id="103"/>
      <w:bookmarkEnd w:id="104"/>
      <w:bookmarkEnd w:id="105"/>
      <w:bookmarkEnd w:id="106"/>
      <w:bookmarkEnd w:id="107"/>
      <w:bookmarkEnd w:id="108"/>
      <w:bookmarkEnd w:id="111"/>
    </w:p>
    <w:p w14:paraId="3BB1C857" w14:textId="77777777" w:rsidR="00BA4FBA" w:rsidRPr="005734B8" w:rsidRDefault="00BA4FBA" w:rsidP="00BA4FBA">
      <w:pPr>
        <w:rPr>
          <w:rFonts w:ascii="Calibri" w:hAnsi="Calibri" w:cs="Calibri"/>
        </w:rPr>
      </w:pPr>
      <w:bookmarkStart w:id="112" w:name="_Toc11158162"/>
      <w:bookmarkStart w:id="113" w:name="_Toc11336169"/>
      <w:bookmarkStart w:id="114" w:name="_Toc13656667"/>
      <w:bookmarkStart w:id="115" w:name="_Toc14965392"/>
      <w:bookmarkStart w:id="116" w:name="_Toc15985253"/>
      <w:bookmarkStart w:id="117" w:name="_Toc19271971"/>
      <w:bookmarkStart w:id="118" w:name="_Toc19272337"/>
      <w:bookmarkStart w:id="119" w:name="_Toc19273672"/>
      <w:r w:rsidRPr="005734B8">
        <w:rPr>
          <w:rFonts w:ascii="Calibri" w:hAnsi="Calibri" w:cs="Calibri"/>
        </w:rPr>
        <w:t>The Department monitors the outcomes of children and young people as they move from early childhood through their school years and into further education and work. It also monitors the progress of adult learners seeking to re-skill and re</w:t>
      </w:r>
      <w:r w:rsidRPr="005734B8">
        <w:rPr>
          <w:rFonts w:ascii="Calibri" w:hAnsi="Calibri" w:cs="Calibri"/>
        </w:rPr>
        <w:noBreakHyphen/>
        <w:t>engage with the workforce. Progress is measured through four objectives:</w:t>
      </w:r>
    </w:p>
    <w:p w14:paraId="2E5F75B7" w14:textId="77777777" w:rsidR="00BA4FBA" w:rsidRPr="005734B8" w:rsidRDefault="00BA4FBA" w:rsidP="00236B83">
      <w:pPr>
        <w:pStyle w:val="ListParagraph"/>
        <w:numPr>
          <w:ilvl w:val="0"/>
          <w:numId w:val="50"/>
        </w:numPr>
        <w:rPr>
          <w:rFonts w:ascii="Calibri" w:hAnsi="Calibri" w:cs="Calibri"/>
        </w:rPr>
      </w:pPr>
      <w:r w:rsidRPr="005734B8">
        <w:rPr>
          <w:rFonts w:ascii="Calibri" w:hAnsi="Calibri" w:cs="Calibri"/>
        </w:rPr>
        <w:t>achievement</w:t>
      </w:r>
    </w:p>
    <w:p w14:paraId="1F33CB98" w14:textId="77777777" w:rsidR="00BA4FBA" w:rsidRPr="005734B8" w:rsidRDefault="00BA4FBA" w:rsidP="00236B83">
      <w:pPr>
        <w:pStyle w:val="ListParagraph"/>
        <w:numPr>
          <w:ilvl w:val="0"/>
          <w:numId w:val="50"/>
        </w:numPr>
        <w:rPr>
          <w:rFonts w:ascii="Calibri" w:hAnsi="Calibri" w:cs="Calibri"/>
        </w:rPr>
      </w:pPr>
      <w:r w:rsidRPr="005734B8">
        <w:rPr>
          <w:rFonts w:ascii="Calibri" w:hAnsi="Calibri" w:cs="Calibri"/>
        </w:rPr>
        <w:t>engagement</w:t>
      </w:r>
    </w:p>
    <w:p w14:paraId="21163F17" w14:textId="77777777" w:rsidR="00BA4FBA" w:rsidRPr="005734B8" w:rsidRDefault="00BA4FBA" w:rsidP="00236B83">
      <w:pPr>
        <w:pStyle w:val="ListParagraph"/>
        <w:numPr>
          <w:ilvl w:val="0"/>
          <w:numId w:val="50"/>
        </w:numPr>
        <w:rPr>
          <w:rFonts w:ascii="Calibri" w:hAnsi="Calibri" w:cs="Calibri"/>
        </w:rPr>
      </w:pPr>
      <w:r w:rsidRPr="005734B8">
        <w:rPr>
          <w:rFonts w:ascii="Calibri" w:hAnsi="Calibri" w:cs="Calibri"/>
        </w:rPr>
        <w:t>wellbeing</w:t>
      </w:r>
    </w:p>
    <w:p w14:paraId="6D7F2A06" w14:textId="77777777" w:rsidR="00BA4FBA" w:rsidRPr="005734B8" w:rsidRDefault="00BA4FBA" w:rsidP="00236B83">
      <w:pPr>
        <w:pStyle w:val="ListParagraph"/>
        <w:numPr>
          <w:ilvl w:val="0"/>
          <w:numId w:val="50"/>
        </w:numPr>
        <w:rPr>
          <w:rFonts w:ascii="Calibri" w:hAnsi="Calibri" w:cs="Calibri"/>
        </w:rPr>
      </w:pPr>
      <w:r w:rsidRPr="005734B8">
        <w:rPr>
          <w:rFonts w:ascii="Calibri" w:hAnsi="Calibri" w:cs="Calibri"/>
        </w:rPr>
        <w:t>productivity.</w:t>
      </w:r>
    </w:p>
    <w:p w14:paraId="590E5D24" w14:textId="77777777" w:rsidR="00EB041C" w:rsidRPr="005734B8" w:rsidRDefault="00EB041C" w:rsidP="00EB041C">
      <w:pPr>
        <w:rPr>
          <w:rFonts w:ascii="Calibri" w:hAnsi="Calibri" w:cs="Calibri"/>
          <w:highlight w:val="yellow"/>
        </w:rPr>
      </w:pPr>
    </w:p>
    <w:p w14:paraId="25E65CA0" w14:textId="289C4827" w:rsidR="00BA4FBA" w:rsidRPr="005734B8" w:rsidRDefault="00BA4FBA" w:rsidP="00BA4FBA">
      <w:pPr>
        <w:rPr>
          <w:rFonts w:ascii="Calibri" w:hAnsi="Calibri" w:cs="Calibri"/>
        </w:rPr>
      </w:pPr>
      <w:bookmarkStart w:id="120" w:name="_Toc11158158"/>
      <w:bookmarkStart w:id="121" w:name="_Toc11336165"/>
      <w:bookmarkStart w:id="122" w:name="_Toc14965388"/>
      <w:bookmarkStart w:id="123" w:name="_Toc19271967"/>
      <w:bookmarkStart w:id="124" w:name="_Toc19272333"/>
      <w:bookmarkStart w:id="125" w:name="_Toc19273668"/>
      <w:bookmarkStart w:id="126" w:name="_Toc39835758"/>
      <w:r w:rsidRPr="005734B8">
        <w:rPr>
          <w:rFonts w:ascii="Calibri" w:hAnsi="Calibri" w:cs="Calibri"/>
        </w:rPr>
        <w:t xml:space="preserve">In 2020–21 the Department operated in a challenging and complex environment which included the joint effects of Australia’s worst bushfires and the COVID-19 pandemic. When necessary, the Victorian education system adapted to enable learners to undertake remote and flexible learning. </w:t>
      </w:r>
      <w:r w:rsidR="00B81985" w:rsidRPr="005734B8">
        <w:rPr>
          <w:rFonts w:ascii="Calibri" w:eastAsiaTheme="minorEastAsia" w:hAnsi="Calibri" w:cs="Calibri"/>
          <w:szCs w:val="22"/>
          <w:lang w:val="en-US"/>
        </w:rPr>
        <w:t>During 2020–21 the Department reprioritised $37 million to meet initiatives linked to the COVID-19 pandemic response.</w:t>
      </w:r>
      <w:r w:rsidR="00B81985">
        <w:rPr>
          <w:rFonts w:ascii="Calibri" w:eastAsiaTheme="minorEastAsia" w:hAnsi="Calibri" w:cs="Calibri"/>
          <w:szCs w:val="22"/>
          <w:lang w:val="en-US"/>
        </w:rPr>
        <w:t xml:space="preserve"> </w:t>
      </w:r>
    </w:p>
    <w:p w14:paraId="13D73E4D" w14:textId="77777777" w:rsidR="00EB041C" w:rsidRPr="005734B8" w:rsidRDefault="00EB041C" w:rsidP="00EB041C">
      <w:pPr>
        <w:rPr>
          <w:rFonts w:ascii="Calibri" w:hAnsi="Calibri" w:cs="Calibri"/>
          <w:highlight w:val="yellow"/>
        </w:rPr>
      </w:pPr>
    </w:p>
    <w:p w14:paraId="5E0FC6E4" w14:textId="77777777" w:rsidR="00BA4FBA" w:rsidRPr="005734B8" w:rsidRDefault="00BA4FBA" w:rsidP="00BA4FBA">
      <w:pPr>
        <w:rPr>
          <w:rFonts w:ascii="Calibri" w:hAnsi="Calibri" w:cs="Calibri"/>
        </w:rPr>
      </w:pPr>
      <w:r w:rsidRPr="005734B8">
        <w:rPr>
          <w:rFonts w:ascii="Calibri" w:hAnsi="Calibri" w:cs="Calibri"/>
        </w:rPr>
        <w:t>Despite these challenges, the Department adapted to ensure the continuity of early childhood education, schools and higher education and skills services.</w:t>
      </w:r>
    </w:p>
    <w:p w14:paraId="1E4DFD4F" w14:textId="77777777" w:rsidR="00BA4FBA" w:rsidRPr="005734B8" w:rsidRDefault="00BA4FBA" w:rsidP="00BA4FBA">
      <w:pPr>
        <w:rPr>
          <w:rFonts w:ascii="Calibri" w:hAnsi="Calibri" w:cs="Calibri"/>
        </w:rPr>
      </w:pPr>
    </w:p>
    <w:p w14:paraId="30FB896E" w14:textId="25560A1D" w:rsidR="00BA4FBA" w:rsidRPr="005734B8" w:rsidRDefault="00B81985" w:rsidP="00BA4FBA">
      <w:pPr>
        <w:rPr>
          <w:rFonts w:ascii="Calibri" w:hAnsi="Calibri" w:cs="Calibri"/>
        </w:rPr>
      </w:pPr>
      <w:r w:rsidRPr="005734B8">
        <w:rPr>
          <w:rFonts w:ascii="Calibri" w:hAnsi="Calibri" w:cs="Calibri"/>
        </w:rPr>
        <w:t>The impacts of the COVID-19 pandemic are evident in reporting for 2020–21</w:t>
      </w:r>
      <w:r>
        <w:rPr>
          <w:rFonts w:ascii="Calibri" w:hAnsi="Calibri" w:cs="Calibri"/>
        </w:rPr>
        <w:t>, with c</w:t>
      </w:r>
      <w:r w:rsidR="00BA4FBA" w:rsidRPr="005734B8">
        <w:rPr>
          <w:rFonts w:ascii="Calibri" w:hAnsi="Calibri" w:cs="Calibri"/>
        </w:rPr>
        <w:t>hanges to service delivery affected some processes and data collections. As such, caution should be taken when comparing results to prior years. The majority of indicators show that for 2020, the Department’s service delivery quality remained high.</w:t>
      </w:r>
    </w:p>
    <w:p w14:paraId="4E1B5DC8" w14:textId="77777777" w:rsidR="00EB041C" w:rsidRPr="005734B8" w:rsidRDefault="00EB041C" w:rsidP="00EB041C">
      <w:pPr>
        <w:pStyle w:val="ESHeading3"/>
        <w:ind w:left="0" w:firstLine="0"/>
        <w:rPr>
          <w:rFonts w:ascii="Calibri" w:hAnsi="Calibri" w:cs="Calibri"/>
          <w:szCs w:val="22"/>
          <w:lang w:val="en-AU"/>
        </w:rPr>
      </w:pPr>
      <w:r w:rsidRPr="005734B8">
        <w:rPr>
          <w:rFonts w:ascii="Calibri" w:hAnsi="Calibri" w:cs="Calibri"/>
          <w:szCs w:val="22"/>
          <w:lang w:val="en-AU"/>
        </w:rPr>
        <w:t>Objective 1: Achievement</w:t>
      </w:r>
      <w:bookmarkEnd w:id="120"/>
      <w:bookmarkEnd w:id="121"/>
      <w:bookmarkEnd w:id="122"/>
      <w:bookmarkEnd w:id="123"/>
      <w:bookmarkEnd w:id="124"/>
      <w:bookmarkEnd w:id="125"/>
      <w:bookmarkEnd w:id="126"/>
    </w:p>
    <w:p w14:paraId="1059F18E" w14:textId="77777777" w:rsidR="00BA4FBA" w:rsidRPr="005734B8" w:rsidRDefault="00BA4FBA" w:rsidP="00BA4FBA">
      <w:pPr>
        <w:rPr>
          <w:rFonts w:ascii="Calibri" w:hAnsi="Calibri" w:cs="Calibri"/>
          <w:i/>
          <w:iCs/>
        </w:rPr>
      </w:pPr>
      <w:r w:rsidRPr="005734B8">
        <w:rPr>
          <w:rFonts w:ascii="Calibri" w:hAnsi="Calibri" w:cs="Calibri"/>
          <w:i/>
        </w:rPr>
        <w:t xml:space="preserve">Raise standards of learning and development achieved by Victorians using education, development and </w:t>
      </w:r>
      <w:r w:rsidRPr="005734B8">
        <w:rPr>
          <w:rFonts w:ascii="Calibri" w:hAnsi="Calibri" w:cs="Calibri"/>
          <w:i/>
          <w:iCs/>
        </w:rPr>
        <w:t>early childhood development services.</w:t>
      </w:r>
    </w:p>
    <w:p w14:paraId="6594824A" w14:textId="77777777" w:rsidR="00BA4FBA" w:rsidRPr="005734B8" w:rsidRDefault="00BA4FBA" w:rsidP="00BA4FBA">
      <w:pPr>
        <w:rPr>
          <w:rFonts w:ascii="Calibri" w:hAnsi="Calibri" w:cs="Calibri"/>
          <w:i/>
        </w:rPr>
      </w:pPr>
    </w:p>
    <w:p w14:paraId="0D574972" w14:textId="1C296579" w:rsidR="00BA4FBA" w:rsidRPr="005734B8" w:rsidRDefault="00BA4FBA" w:rsidP="00BA4FBA">
      <w:pPr>
        <w:rPr>
          <w:rFonts w:ascii="Calibri" w:hAnsi="Calibri" w:cs="Calibri"/>
          <w:iCs/>
        </w:rPr>
      </w:pPr>
      <w:r w:rsidRPr="005734B8">
        <w:rPr>
          <w:rFonts w:ascii="Calibri" w:hAnsi="Calibri" w:cs="Calibri"/>
          <w:iCs/>
        </w:rPr>
        <w:t xml:space="preserve">The Department continues to equip </w:t>
      </w:r>
      <w:r w:rsidR="00CD69F3" w:rsidRPr="005734B8">
        <w:rPr>
          <w:rFonts w:ascii="Calibri" w:hAnsi="Calibri" w:cs="Calibri"/>
          <w:iCs/>
        </w:rPr>
        <w:t xml:space="preserve">children and </w:t>
      </w:r>
      <w:r w:rsidRPr="005734B8">
        <w:rPr>
          <w:rFonts w:ascii="Calibri" w:hAnsi="Calibri" w:cs="Calibri"/>
          <w:iCs/>
        </w:rPr>
        <w:t xml:space="preserve">students </w:t>
      </w:r>
      <w:r w:rsidR="00CD69F3" w:rsidRPr="005734B8">
        <w:rPr>
          <w:rFonts w:ascii="Calibri" w:hAnsi="Calibri" w:cs="Calibri"/>
          <w:iCs/>
        </w:rPr>
        <w:t xml:space="preserve">of all ages </w:t>
      </w:r>
      <w:r w:rsidRPr="005734B8">
        <w:rPr>
          <w:rFonts w:ascii="Calibri" w:hAnsi="Calibri" w:cs="Calibri"/>
          <w:iCs/>
        </w:rPr>
        <w:t>with the broad range of skills</w:t>
      </w:r>
    </w:p>
    <w:p w14:paraId="68A957DA" w14:textId="77777777" w:rsidR="00BA4FBA" w:rsidRPr="005734B8" w:rsidRDefault="00BA4FBA" w:rsidP="00BA4FBA">
      <w:pPr>
        <w:rPr>
          <w:rFonts w:ascii="Calibri" w:hAnsi="Calibri" w:cs="Calibri"/>
          <w:iCs/>
        </w:rPr>
      </w:pPr>
      <w:r w:rsidRPr="005734B8">
        <w:rPr>
          <w:rFonts w:ascii="Calibri" w:hAnsi="Calibri" w:cs="Calibri"/>
          <w:iCs/>
        </w:rPr>
        <w:t>they need to reach their potential and achieve success in early childhood and school settings, and in life.</w:t>
      </w:r>
    </w:p>
    <w:p w14:paraId="61E3FCA8" w14:textId="77777777" w:rsidR="00EB041C" w:rsidRPr="005734B8" w:rsidRDefault="00EB041C" w:rsidP="00EB041C">
      <w:pPr>
        <w:rPr>
          <w:rFonts w:ascii="Calibri" w:hAnsi="Calibri" w:cs="Calibri"/>
          <w:i/>
          <w:highlight w:val="yellow"/>
        </w:rPr>
      </w:pPr>
    </w:p>
    <w:p w14:paraId="30382470" w14:textId="77777777" w:rsidR="00BA4FBA" w:rsidRPr="005734B8" w:rsidRDefault="00BA4FBA" w:rsidP="00BA4FBA">
      <w:pPr>
        <w:rPr>
          <w:rFonts w:ascii="Calibri" w:hAnsi="Calibri" w:cs="Calibri"/>
          <w:i/>
        </w:rPr>
      </w:pPr>
      <w:r w:rsidRPr="005734B8">
        <w:rPr>
          <w:rFonts w:ascii="Calibri" w:hAnsi="Calibri" w:cs="Calibri"/>
          <w:i/>
        </w:rPr>
        <w:t>Early childhood education</w:t>
      </w:r>
    </w:p>
    <w:p w14:paraId="74DABBFE" w14:textId="05B9A87C" w:rsidR="00BA4FBA" w:rsidRPr="005734B8" w:rsidRDefault="00BA4FBA" w:rsidP="00BA4FBA">
      <w:pPr>
        <w:rPr>
          <w:rFonts w:ascii="Calibri" w:hAnsi="Calibri" w:cs="Calibri"/>
        </w:rPr>
      </w:pPr>
      <w:r w:rsidRPr="005734B8">
        <w:rPr>
          <w:rFonts w:ascii="Calibri" w:hAnsi="Calibri" w:cs="Calibri"/>
        </w:rPr>
        <w:t xml:space="preserve">High-quality ECEC services </w:t>
      </w:r>
      <w:r w:rsidR="00CD69F3" w:rsidRPr="005734B8">
        <w:rPr>
          <w:rFonts w:ascii="Calibri" w:hAnsi="Calibri" w:cs="Calibri"/>
        </w:rPr>
        <w:t xml:space="preserve">help children thrive while they are young and set them </w:t>
      </w:r>
      <w:r w:rsidRPr="005734B8">
        <w:rPr>
          <w:rFonts w:ascii="Calibri" w:hAnsi="Calibri" w:cs="Calibri"/>
        </w:rPr>
        <w:t xml:space="preserve">up for future </w:t>
      </w:r>
      <w:r w:rsidR="00CD69F3" w:rsidRPr="005734B8">
        <w:rPr>
          <w:rFonts w:ascii="Calibri" w:hAnsi="Calibri" w:cs="Calibri"/>
        </w:rPr>
        <w:t>success and wellbeing</w:t>
      </w:r>
      <w:r w:rsidRPr="005734B8">
        <w:rPr>
          <w:rFonts w:ascii="Calibri" w:hAnsi="Calibri" w:cs="Calibri"/>
        </w:rPr>
        <w:t>. Victorian services continue to perform well against the National Quality Standards for ECEC services, with 90.8 per cent meeting or exceeding NQSA1 (educational program and practice). This is a steady improvement in the quality of educational program and practice since 2016 from 87.5 per cent.</w:t>
      </w:r>
    </w:p>
    <w:p w14:paraId="131FDABB" w14:textId="77777777" w:rsidR="00ED58F7" w:rsidRPr="005734B8" w:rsidRDefault="00ED58F7" w:rsidP="00BA4FBA">
      <w:pPr>
        <w:rPr>
          <w:rFonts w:ascii="Calibri" w:hAnsi="Calibri" w:cs="Calibri"/>
        </w:rPr>
      </w:pPr>
    </w:p>
    <w:p w14:paraId="521CB9F6" w14:textId="0627547F" w:rsidR="00BA4FBA" w:rsidRPr="005734B8" w:rsidRDefault="00BA4FBA" w:rsidP="00BA4FBA">
      <w:pPr>
        <w:rPr>
          <w:rFonts w:ascii="Calibri" w:hAnsi="Calibri" w:cs="Calibri"/>
          <w:szCs w:val="22"/>
        </w:rPr>
      </w:pPr>
      <w:r w:rsidRPr="005734B8">
        <w:rPr>
          <w:rFonts w:ascii="Calibri" w:hAnsi="Calibri" w:cs="Calibri"/>
        </w:rPr>
        <w:t xml:space="preserve">The most recent AEDC in 2018 indicated that more than </w:t>
      </w:r>
      <w:r w:rsidR="00297BA2" w:rsidRPr="005734B8">
        <w:rPr>
          <w:rFonts w:ascii="Calibri" w:hAnsi="Calibri" w:cs="Calibri"/>
        </w:rPr>
        <w:t xml:space="preserve">80 per cent of </w:t>
      </w:r>
      <w:r w:rsidRPr="005734B8">
        <w:rPr>
          <w:rFonts w:ascii="Calibri" w:hAnsi="Calibri" w:cs="Calibri"/>
        </w:rPr>
        <w:t xml:space="preserve">Victorian children in their first year of school were </w:t>
      </w:r>
      <w:r w:rsidRPr="005734B8">
        <w:rPr>
          <w:rFonts w:ascii="Calibri" w:hAnsi="Calibri" w:cs="Calibri"/>
          <w:szCs w:val="22"/>
          <w:lang w:val="en-AU"/>
        </w:rPr>
        <w:t>developmentally ‘on track’ on the language and cognitive skills domain.</w:t>
      </w:r>
    </w:p>
    <w:p w14:paraId="72944CB5" w14:textId="77777777" w:rsidR="00EB041C" w:rsidRPr="005734B8" w:rsidRDefault="00EB041C" w:rsidP="00EB041C">
      <w:pPr>
        <w:rPr>
          <w:rFonts w:ascii="Calibri" w:hAnsi="Calibri" w:cs="Calibri"/>
          <w:highlight w:val="yellow"/>
        </w:rPr>
      </w:pPr>
    </w:p>
    <w:p w14:paraId="65458734" w14:textId="77777777" w:rsidR="00BA4FBA" w:rsidRPr="005734B8" w:rsidRDefault="00BA4FBA" w:rsidP="00BA4FBA">
      <w:pPr>
        <w:rPr>
          <w:rFonts w:ascii="Calibri" w:hAnsi="Calibri" w:cs="Calibri"/>
          <w:i/>
          <w:iCs/>
        </w:rPr>
      </w:pPr>
      <w:r w:rsidRPr="005734B8">
        <w:rPr>
          <w:rFonts w:ascii="Calibri" w:hAnsi="Calibri" w:cs="Calibri"/>
          <w:i/>
          <w:iCs/>
        </w:rPr>
        <w:t>School education</w:t>
      </w:r>
    </w:p>
    <w:p w14:paraId="3760C2EA" w14:textId="77777777" w:rsidR="00BA4FBA" w:rsidRPr="005734B8" w:rsidRDefault="00BA4FBA" w:rsidP="00BA4FBA">
      <w:pPr>
        <w:rPr>
          <w:rFonts w:ascii="Calibri" w:hAnsi="Calibri" w:cs="Calibri"/>
        </w:rPr>
      </w:pPr>
      <w:r w:rsidRPr="005734B8">
        <w:rPr>
          <w:rFonts w:ascii="Calibri" w:hAnsi="Calibri" w:cs="Calibri"/>
        </w:rPr>
        <w:t>Victoria has an integrated school system supporting improvements to lift student outcomes. Schools are provided with funding to target assistance to those students who need it most. This funding enables schools to provide differentiated support according to the needs of their students, the school and the local community.</w:t>
      </w:r>
    </w:p>
    <w:p w14:paraId="16224980" w14:textId="77777777" w:rsidR="00BA4FBA" w:rsidRPr="005734B8" w:rsidRDefault="00BA4FBA" w:rsidP="00BA4FBA">
      <w:pPr>
        <w:rPr>
          <w:rFonts w:ascii="Calibri" w:hAnsi="Calibri" w:cs="Calibri"/>
        </w:rPr>
      </w:pPr>
    </w:p>
    <w:p w14:paraId="3C6A79B5" w14:textId="7EBE9A49" w:rsidR="00BA4FBA" w:rsidRPr="005734B8" w:rsidRDefault="00BA4FBA" w:rsidP="00BA4FBA">
      <w:pPr>
        <w:rPr>
          <w:rFonts w:ascii="Calibri" w:hAnsi="Calibri" w:cs="Calibri"/>
        </w:rPr>
      </w:pPr>
      <w:r w:rsidRPr="005734B8">
        <w:rPr>
          <w:rFonts w:ascii="Calibri" w:hAnsi="Calibri" w:cs="Calibri"/>
        </w:rPr>
        <w:t xml:space="preserve">Although the 2020 National Assessment Program of Literacy and Numeracy (NAPLAN) assessment was cancelled, results from prior years indicate that Victoria remains a top performing jurisdiction. </w:t>
      </w:r>
      <w:r w:rsidRPr="005734B8">
        <w:rPr>
          <w:rFonts w:ascii="Calibri" w:hAnsi="Calibri" w:cs="Calibri"/>
        </w:rPr>
        <w:lastRenderedPageBreak/>
        <w:t>Since 2016, Victoria’s performance in the bottom three NAPLAN bands</w:t>
      </w:r>
      <w:r w:rsidR="00C47D32" w:rsidRPr="005734B8">
        <w:rPr>
          <w:rFonts w:ascii="Calibri" w:hAnsi="Calibri" w:cs="Calibri"/>
        </w:rPr>
        <w:t>,</w:t>
      </w:r>
      <w:r w:rsidRPr="005734B8">
        <w:rPr>
          <w:rFonts w:ascii="Calibri" w:hAnsi="Calibri" w:cs="Calibri"/>
        </w:rPr>
        <w:t xml:space="preserve"> has improved for reading and numeracy for all year levels. These improvements also flow through to the top two bands with Victoria’s students achieving excellence in reading and numeracy in every year level.</w:t>
      </w:r>
    </w:p>
    <w:p w14:paraId="7131E03F" w14:textId="77777777" w:rsidR="00C47D32" w:rsidRPr="005734B8" w:rsidRDefault="00C47D32" w:rsidP="00BA4FBA">
      <w:pPr>
        <w:rPr>
          <w:rFonts w:ascii="Calibri" w:hAnsi="Calibri" w:cs="Calibri"/>
        </w:rPr>
      </w:pPr>
    </w:p>
    <w:p w14:paraId="3AAF61D4" w14:textId="421893E7" w:rsidR="00BA4FBA" w:rsidRPr="005734B8" w:rsidRDefault="00BA4FBA" w:rsidP="00BA4FBA">
      <w:pPr>
        <w:rPr>
          <w:rFonts w:ascii="Calibri" w:hAnsi="Calibri" w:cs="Calibri"/>
          <w:szCs w:val="22"/>
        </w:rPr>
      </w:pPr>
      <w:r w:rsidRPr="005734B8">
        <w:rPr>
          <w:rFonts w:ascii="Calibri" w:hAnsi="Calibri" w:cs="Calibri"/>
        </w:rPr>
        <w:t xml:space="preserve">To further support students, and in recognition of the challenges of remote learning, the Government committed $250 million to the Tutor Learning Initiative in October 2020. From 2021, </w:t>
      </w:r>
      <w:r w:rsidRPr="005734B8">
        <w:rPr>
          <w:rFonts w:ascii="Calibri" w:hAnsi="Calibri" w:cs="Calibri"/>
          <w:szCs w:val="22"/>
        </w:rPr>
        <w:t xml:space="preserve">this package enabled Victorian schools to engage over </w:t>
      </w:r>
      <w:r w:rsidR="00FF6FB6">
        <w:rPr>
          <w:rFonts w:ascii="Calibri" w:hAnsi="Calibri" w:cs="Calibri"/>
          <w:szCs w:val="22"/>
        </w:rPr>
        <w:t>5,6</w:t>
      </w:r>
      <w:r w:rsidR="00EE5BC7" w:rsidRPr="005734B8">
        <w:rPr>
          <w:rFonts w:ascii="Calibri" w:hAnsi="Calibri" w:cs="Calibri"/>
          <w:szCs w:val="22"/>
        </w:rPr>
        <w:t xml:space="preserve">00 teachers </w:t>
      </w:r>
      <w:r w:rsidRPr="005734B8">
        <w:rPr>
          <w:rFonts w:ascii="Calibri" w:hAnsi="Calibri" w:cs="Calibri"/>
          <w:szCs w:val="22"/>
        </w:rPr>
        <w:t xml:space="preserve">as tutors supporting students whose engagement and learning </w:t>
      </w:r>
      <w:r w:rsidR="00C47D32" w:rsidRPr="005734B8">
        <w:rPr>
          <w:rFonts w:ascii="Calibri" w:hAnsi="Calibri" w:cs="Calibri"/>
          <w:szCs w:val="22"/>
        </w:rPr>
        <w:t>were</w:t>
      </w:r>
      <w:r w:rsidRPr="005734B8">
        <w:rPr>
          <w:rFonts w:ascii="Calibri" w:hAnsi="Calibri" w:cs="Calibri"/>
          <w:szCs w:val="22"/>
        </w:rPr>
        <w:t xml:space="preserve"> disrupted through remote and flexible learning. This </w:t>
      </w:r>
      <w:r w:rsidR="009172F9">
        <w:rPr>
          <w:rFonts w:ascii="Calibri" w:hAnsi="Calibri" w:cs="Calibri"/>
          <w:szCs w:val="22"/>
        </w:rPr>
        <w:t>initiative</w:t>
      </w:r>
      <w:r w:rsidRPr="005734B8">
        <w:rPr>
          <w:rFonts w:ascii="Calibri" w:hAnsi="Calibri" w:cs="Calibri"/>
          <w:szCs w:val="22"/>
        </w:rPr>
        <w:t xml:space="preserve"> also provided for 60 additional </w:t>
      </w:r>
      <w:r w:rsidR="00C47D32" w:rsidRPr="005734B8">
        <w:rPr>
          <w:rFonts w:ascii="Calibri" w:hAnsi="Calibri" w:cs="Calibri"/>
          <w:szCs w:val="22"/>
        </w:rPr>
        <w:t>m</w:t>
      </w:r>
      <w:r w:rsidRPr="005734B8">
        <w:rPr>
          <w:rFonts w:ascii="Calibri" w:hAnsi="Calibri" w:cs="Calibri"/>
          <w:szCs w:val="22"/>
        </w:rPr>
        <w:t xml:space="preserve">ulticultural </w:t>
      </w:r>
      <w:r w:rsidR="00C47D32" w:rsidRPr="005734B8">
        <w:rPr>
          <w:rFonts w:ascii="Calibri" w:hAnsi="Calibri" w:cs="Calibri"/>
          <w:szCs w:val="22"/>
        </w:rPr>
        <w:t>e</w:t>
      </w:r>
      <w:r w:rsidRPr="005734B8">
        <w:rPr>
          <w:rFonts w:ascii="Calibri" w:hAnsi="Calibri" w:cs="Calibri"/>
          <w:szCs w:val="22"/>
        </w:rPr>
        <w:t xml:space="preserve">ducation </w:t>
      </w:r>
      <w:r w:rsidR="00C47D32" w:rsidRPr="005734B8">
        <w:rPr>
          <w:rFonts w:ascii="Calibri" w:hAnsi="Calibri" w:cs="Calibri"/>
          <w:szCs w:val="22"/>
        </w:rPr>
        <w:t>a</w:t>
      </w:r>
      <w:r w:rsidRPr="005734B8">
        <w:rPr>
          <w:rFonts w:ascii="Calibri" w:hAnsi="Calibri" w:cs="Calibri"/>
          <w:szCs w:val="22"/>
        </w:rPr>
        <w:t xml:space="preserve">ides and 16 Koorie </w:t>
      </w:r>
      <w:r w:rsidR="00C47D32" w:rsidRPr="005734B8">
        <w:rPr>
          <w:rFonts w:ascii="Calibri" w:hAnsi="Calibri" w:cs="Calibri"/>
          <w:szCs w:val="22"/>
        </w:rPr>
        <w:t>e</w:t>
      </w:r>
      <w:r w:rsidRPr="005734B8">
        <w:rPr>
          <w:rFonts w:ascii="Calibri" w:hAnsi="Calibri" w:cs="Calibri"/>
          <w:szCs w:val="22"/>
        </w:rPr>
        <w:t xml:space="preserve">ngagement </w:t>
      </w:r>
      <w:r w:rsidR="00C47D32" w:rsidRPr="005734B8">
        <w:rPr>
          <w:rFonts w:ascii="Calibri" w:hAnsi="Calibri" w:cs="Calibri"/>
          <w:szCs w:val="22"/>
        </w:rPr>
        <w:t>s</w:t>
      </w:r>
      <w:r w:rsidRPr="005734B8">
        <w:rPr>
          <w:rFonts w:ascii="Calibri" w:hAnsi="Calibri" w:cs="Calibri"/>
          <w:szCs w:val="22"/>
        </w:rPr>
        <w:t xml:space="preserve">upport </w:t>
      </w:r>
      <w:r w:rsidR="00C47D32" w:rsidRPr="005734B8">
        <w:rPr>
          <w:rFonts w:ascii="Calibri" w:hAnsi="Calibri" w:cs="Calibri"/>
          <w:szCs w:val="22"/>
        </w:rPr>
        <w:t>o</w:t>
      </w:r>
      <w:r w:rsidRPr="005734B8">
        <w:rPr>
          <w:rFonts w:ascii="Calibri" w:hAnsi="Calibri" w:cs="Calibri"/>
          <w:szCs w:val="22"/>
        </w:rPr>
        <w:t>fficers, supporting schools to work with families and re-engage students with learning.</w:t>
      </w:r>
    </w:p>
    <w:p w14:paraId="7548E12C" w14:textId="77777777" w:rsidR="00BA4FBA" w:rsidRPr="005734B8" w:rsidRDefault="00BA4FBA" w:rsidP="00BA4FBA">
      <w:pPr>
        <w:shd w:val="clear" w:color="auto" w:fill="FFFFFF" w:themeFill="background1"/>
        <w:rPr>
          <w:rFonts w:ascii="Calibri" w:hAnsi="Calibri" w:cs="Calibri"/>
        </w:rPr>
      </w:pPr>
    </w:p>
    <w:p w14:paraId="07F3490D" w14:textId="10181E3A" w:rsidR="00BA4FBA" w:rsidRPr="005734B8" w:rsidRDefault="00BA4FBA" w:rsidP="00BA4FBA">
      <w:pPr>
        <w:widowControl w:val="0"/>
        <w:rPr>
          <w:rFonts w:ascii="Calibri" w:hAnsi="Calibri" w:cs="Calibri"/>
        </w:rPr>
      </w:pPr>
      <w:r w:rsidRPr="005734B8">
        <w:rPr>
          <w:rFonts w:ascii="Calibri" w:hAnsi="Calibri" w:cs="Calibri"/>
        </w:rPr>
        <w:t>Positive teacher collaboration is pivotal to improving school outcomes. According to the 2020 survey of government school teachers, 62.9 per cent are positive about collaboration in their school. This result is a slight increase from previous years and indicates that despite the challenges of 2020, the majority of teachers feel that they are collaborating positively with other staff</w:t>
      </w:r>
      <w:r w:rsidR="00C11E0B" w:rsidRPr="005734B8">
        <w:rPr>
          <w:rFonts w:ascii="Calibri" w:hAnsi="Calibri" w:cs="Calibri"/>
        </w:rPr>
        <w:t xml:space="preserve"> </w:t>
      </w:r>
      <w:r w:rsidRPr="005734B8">
        <w:rPr>
          <w:rFonts w:ascii="Calibri" w:hAnsi="Calibri" w:cs="Calibri"/>
        </w:rPr>
        <w:t xml:space="preserve">in their school. </w:t>
      </w:r>
    </w:p>
    <w:p w14:paraId="1B463923" w14:textId="77777777" w:rsidR="00BA4FBA" w:rsidRPr="005734B8" w:rsidRDefault="00BA4FBA" w:rsidP="00BA4FBA">
      <w:pPr>
        <w:shd w:val="clear" w:color="auto" w:fill="FFFFFF" w:themeFill="background1"/>
        <w:rPr>
          <w:rFonts w:ascii="Calibri" w:hAnsi="Calibri" w:cs="Calibri"/>
        </w:rPr>
      </w:pPr>
    </w:p>
    <w:p w14:paraId="700ABD24" w14:textId="74D9F58A" w:rsidR="00BA4FBA" w:rsidRPr="005734B8" w:rsidRDefault="00BA4FBA" w:rsidP="00BA4FBA">
      <w:pPr>
        <w:shd w:val="clear" w:color="auto" w:fill="FFFFFF" w:themeFill="background1"/>
        <w:rPr>
          <w:rFonts w:ascii="Calibri" w:hAnsi="Calibri" w:cs="Calibri"/>
          <w:bCs/>
          <w:szCs w:val="22"/>
        </w:rPr>
      </w:pPr>
      <w:r w:rsidRPr="005734B8">
        <w:rPr>
          <w:rFonts w:ascii="Calibri" w:hAnsi="Calibri" w:cs="Calibri"/>
          <w:bCs/>
          <w:szCs w:val="22"/>
        </w:rPr>
        <w:t>In PISA 2018, Victoria maintained its proportion of high performers and proportion of students who attained the National Proficient Standard, wh</w:t>
      </w:r>
      <w:r w:rsidR="00E74E97" w:rsidRPr="005734B8">
        <w:rPr>
          <w:rFonts w:ascii="Calibri" w:hAnsi="Calibri" w:cs="Calibri"/>
          <w:bCs/>
          <w:szCs w:val="22"/>
        </w:rPr>
        <w:t>ile</w:t>
      </w:r>
      <w:r w:rsidRPr="005734B8">
        <w:rPr>
          <w:rFonts w:ascii="Calibri" w:hAnsi="Calibri" w:cs="Calibri"/>
          <w:bCs/>
          <w:szCs w:val="22"/>
        </w:rPr>
        <w:t xml:space="preserve"> most other Australian jurisdictions declined. </w:t>
      </w:r>
    </w:p>
    <w:p w14:paraId="67070E94" w14:textId="77777777" w:rsidR="00BA4FBA" w:rsidRPr="005734B8" w:rsidRDefault="00BA4FBA" w:rsidP="00BA4FBA">
      <w:pPr>
        <w:shd w:val="clear" w:color="auto" w:fill="FFFFFF" w:themeFill="background1"/>
        <w:rPr>
          <w:rFonts w:ascii="Calibri" w:hAnsi="Calibri" w:cs="Calibri"/>
          <w:bCs/>
          <w:szCs w:val="22"/>
        </w:rPr>
      </w:pPr>
    </w:p>
    <w:p w14:paraId="38BE72D7" w14:textId="40BE4A2D" w:rsidR="00BA4FBA" w:rsidRPr="005734B8" w:rsidRDefault="00BA4FBA" w:rsidP="00ED58F7">
      <w:pPr>
        <w:rPr>
          <w:rFonts w:ascii="Calibri" w:hAnsi="Calibri" w:cs="Calibri"/>
        </w:rPr>
      </w:pPr>
      <w:r w:rsidRPr="005734B8">
        <w:rPr>
          <w:rFonts w:ascii="Calibri" w:hAnsi="Calibri" w:cs="Calibri"/>
          <w:bCs/>
          <w:szCs w:val="22"/>
        </w:rPr>
        <w:t xml:space="preserve">The </w:t>
      </w:r>
      <w:r w:rsidRPr="005734B8">
        <w:rPr>
          <w:rFonts w:ascii="Calibri" w:hAnsi="Calibri" w:cs="Calibri"/>
        </w:rPr>
        <w:t>2019 Trends in International Mathematics and Science Study (TIMSS) results indicate</w:t>
      </w:r>
      <w:r w:rsidR="00EA1BBD" w:rsidRPr="005734B8">
        <w:rPr>
          <w:rFonts w:ascii="Calibri" w:hAnsi="Calibri" w:cs="Calibri"/>
        </w:rPr>
        <w:t xml:space="preserve"> that</w:t>
      </w:r>
      <w:r w:rsidRPr="005734B8">
        <w:rPr>
          <w:rFonts w:ascii="Calibri" w:hAnsi="Calibri" w:cs="Calibri"/>
        </w:rPr>
        <w:t xml:space="preserve"> Victoria was a leading jurisdiction. The proportion of Victorian students achieving Intermediate level or above, was </w:t>
      </w:r>
      <w:r w:rsidRPr="005734B8">
        <w:rPr>
          <w:rFonts w:ascii="Calibri" w:hAnsi="Calibri" w:cs="Calibri"/>
          <w:noProof/>
        </w:rPr>
        <w:t>similar</w:t>
      </w:r>
      <w:r w:rsidRPr="005734B8">
        <w:rPr>
          <w:rFonts w:ascii="Calibri" w:hAnsi="Calibri" w:cs="Calibri"/>
        </w:rPr>
        <w:t xml:space="preserve"> to the national average in Year</w:t>
      </w:r>
      <w:r w:rsidR="00EA1BBD" w:rsidRPr="005734B8">
        <w:rPr>
          <w:rFonts w:ascii="Calibri" w:hAnsi="Calibri" w:cs="Calibri"/>
        </w:rPr>
        <w:t>s</w:t>
      </w:r>
      <w:r w:rsidRPr="005734B8">
        <w:rPr>
          <w:rFonts w:ascii="Calibri" w:hAnsi="Calibri" w:cs="Calibri"/>
        </w:rPr>
        <w:t xml:space="preserve"> 4 and 8 </w:t>
      </w:r>
      <w:r w:rsidR="00EA1BBD" w:rsidRPr="005734B8">
        <w:rPr>
          <w:rFonts w:ascii="Calibri" w:hAnsi="Calibri" w:cs="Calibri"/>
        </w:rPr>
        <w:t>m</w:t>
      </w:r>
      <w:r w:rsidRPr="005734B8">
        <w:rPr>
          <w:rFonts w:ascii="Calibri" w:hAnsi="Calibri" w:cs="Calibri"/>
        </w:rPr>
        <w:t xml:space="preserve">athematics and </w:t>
      </w:r>
      <w:r w:rsidR="00EA1BBD" w:rsidRPr="005734B8">
        <w:rPr>
          <w:rFonts w:ascii="Calibri" w:hAnsi="Calibri" w:cs="Calibri"/>
        </w:rPr>
        <w:t>s</w:t>
      </w:r>
      <w:r w:rsidRPr="005734B8">
        <w:rPr>
          <w:rFonts w:ascii="Calibri" w:hAnsi="Calibri" w:cs="Calibri"/>
        </w:rPr>
        <w:t xml:space="preserve">cience. Significant improvements in mean score results have been made in Year 8 Science, while performance in Year 8 </w:t>
      </w:r>
      <w:r w:rsidR="00EA1BBD" w:rsidRPr="005734B8">
        <w:rPr>
          <w:rFonts w:ascii="Calibri" w:hAnsi="Calibri" w:cs="Calibri"/>
        </w:rPr>
        <w:t>m</w:t>
      </w:r>
      <w:r w:rsidRPr="005734B8">
        <w:rPr>
          <w:rFonts w:ascii="Calibri" w:hAnsi="Calibri" w:cs="Calibri"/>
        </w:rPr>
        <w:t xml:space="preserve">aths and Year 4 </w:t>
      </w:r>
      <w:r w:rsidR="00EA1BBD" w:rsidRPr="005734B8">
        <w:rPr>
          <w:rFonts w:ascii="Calibri" w:hAnsi="Calibri" w:cs="Calibri"/>
        </w:rPr>
        <w:t>m</w:t>
      </w:r>
      <w:r w:rsidRPr="005734B8">
        <w:rPr>
          <w:rFonts w:ascii="Calibri" w:hAnsi="Calibri" w:cs="Calibri"/>
        </w:rPr>
        <w:t xml:space="preserve">aths and </w:t>
      </w:r>
      <w:r w:rsidR="00EA1BBD" w:rsidRPr="005734B8">
        <w:rPr>
          <w:rFonts w:ascii="Calibri" w:hAnsi="Calibri" w:cs="Calibri"/>
        </w:rPr>
        <w:t>s</w:t>
      </w:r>
      <w:r w:rsidRPr="005734B8">
        <w:rPr>
          <w:rFonts w:ascii="Calibri" w:hAnsi="Calibri" w:cs="Calibri"/>
        </w:rPr>
        <w:t xml:space="preserve">cience has been stable. Results at the secondary school level </w:t>
      </w:r>
      <w:r w:rsidR="00EA1BBD" w:rsidRPr="005734B8">
        <w:rPr>
          <w:rFonts w:ascii="Calibri" w:hAnsi="Calibri" w:cs="Calibri"/>
        </w:rPr>
        <w:t>show</w:t>
      </w:r>
      <w:r w:rsidRPr="005734B8">
        <w:rPr>
          <w:rFonts w:ascii="Calibri" w:hAnsi="Calibri" w:cs="Calibri"/>
        </w:rPr>
        <w:t xml:space="preserve"> significant increases in the proportions of very high performers in Year 8 </w:t>
      </w:r>
      <w:r w:rsidR="001F79B1" w:rsidRPr="005734B8">
        <w:rPr>
          <w:rFonts w:ascii="Calibri" w:hAnsi="Calibri" w:cs="Calibri"/>
        </w:rPr>
        <w:t>m</w:t>
      </w:r>
      <w:r w:rsidRPr="005734B8">
        <w:rPr>
          <w:rFonts w:ascii="Calibri" w:hAnsi="Calibri" w:cs="Calibri"/>
        </w:rPr>
        <w:t>athematics and Year 8 Science since the program began in 1995.</w:t>
      </w:r>
    </w:p>
    <w:p w14:paraId="7657D847" w14:textId="77777777" w:rsidR="00ED58F7" w:rsidRPr="005734B8" w:rsidRDefault="00ED58F7" w:rsidP="00ED58F7">
      <w:pPr>
        <w:rPr>
          <w:rFonts w:ascii="Calibri" w:hAnsi="Calibri" w:cs="Calibri"/>
        </w:rPr>
      </w:pPr>
    </w:p>
    <w:p w14:paraId="7D486DB4" w14:textId="57E3E139" w:rsidR="00BA4FBA" w:rsidRPr="005734B8" w:rsidRDefault="00BA4FBA" w:rsidP="00ED58F7">
      <w:pPr>
        <w:rPr>
          <w:rFonts w:ascii="Calibri" w:hAnsi="Calibri" w:cs="Calibri"/>
        </w:rPr>
      </w:pPr>
      <w:r w:rsidRPr="005734B8">
        <w:rPr>
          <w:rFonts w:ascii="Calibri" w:hAnsi="Calibri" w:cs="Calibri"/>
        </w:rPr>
        <w:t>The Progress in International Reading Literacy Study (PIRLS) assessment, last held in 2016, indicated that a very high proportion of Victorian students are reaching international benchmarks (86</w:t>
      </w:r>
      <w:r w:rsidR="00044F4A" w:rsidRPr="005734B8">
        <w:rPr>
          <w:rFonts w:ascii="Calibri" w:hAnsi="Calibri" w:cs="Calibri"/>
        </w:rPr>
        <w:t> </w:t>
      </w:r>
      <w:r w:rsidRPr="005734B8">
        <w:rPr>
          <w:rFonts w:ascii="Calibri" w:hAnsi="Calibri" w:cs="Calibri"/>
        </w:rPr>
        <w:t>per</w:t>
      </w:r>
      <w:r w:rsidR="00044F4A" w:rsidRPr="005734B8">
        <w:rPr>
          <w:rFonts w:ascii="Calibri" w:hAnsi="Calibri" w:cs="Calibri"/>
        </w:rPr>
        <w:t> </w:t>
      </w:r>
      <w:r w:rsidRPr="005734B8">
        <w:rPr>
          <w:rFonts w:ascii="Calibri" w:hAnsi="Calibri" w:cs="Calibri"/>
        </w:rPr>
        <w:t>cent).</w:t>
      </w:r>
    </w:p>
    <w:p w14:paraId="601E91F8" w14:textId="77777777" w:rsidR="00ED58F7" w:rsidRPr="005734B8" w:rsidRDefault="00ED58F7" w:rsidP="00ED58F7">
      <w:pPr>
        <w:rPr>
          <w:rFonts w:ascii="Calibri" w:hAnsi="Calibri" w:cs="Calibri"/>
        </w:rPr>
      </w:pPr>
    </w:p>
    <w:p w14:paraId="128AF0A9" w14:textId="77777777" w:rsidR="00BA4FBA" w:rsidRPr="005734B8" w:rsidRDefault="00BA4FBA" w:rsidP="00BA4FBA">
      <w:pPr>
        <w:rPr>
          <w:rFonts w:ascii="Calibri" w:hAnsi="Calibri" w:cs="Calibri"/>
          <w:i/>
          <w:iCs/>
        </w:rPr>
      </w:pPr>
      <w:r w:rsidRPr="005734B8">
        <w:rPr>
          <w:rFonts w:ascii="Calibri" w:hAnsi="Calibri" w:cs="Calibri"/>
          <w:i/>
          <w:iCs/>
        </w:rPr>
        <w:t xml:space="preserve">Higher education and skills </w:t>
      </w:r>
    </w:p>
    <w:p w14:paraId="773F30CC" w14:textId="77777777" w:rsidR="00BA4FBA" w:rsidRPr="005734B8" w:rsidRDefault="00BA4FBA" w:rsidP="00BA4FBA">
      <w:pPr>
        <w:rPr>
          <w:rFonts w:ascii="Calibri" w:hAnsi="Calibri" w:cs="Calibri"/>
        </w:rPr>
      </w:pPr>
      <w:r w:rsidRPr="005734B8">
        <w:rPr>
          <w:rFonts w:ascii="Calibri" w:hAnsi="Calibri" w:cs="Calibri"/>
        </w:rPr>
        <w:t>As a result of the COVID-19 pandemic, the number of course completions in 2020 was lower than in previous years. This is expected to lead to higher continuing enrolments in 2021 by students who deferred training in 2020.</w:t>
      </w:r>
    </w:p>
    <w:p w14:paraId="06485C1E" w14:textId="77777777" w:rsidR="00EB041C" w:rsidRPr="005734B8" w:rsidRDefault="00EB041C" w:rsidP="00EB041C">
      <w:pPr>
        <w:pStyle w:val="ESTableintroheading"/>
        <w:rPr>
          <w:rFonts w:ascii="Calibri" w:hAnsi="Calibri" w:cs="Calibri"/>
        </w:rPr>
      </w:pPr>
      <w:r w:rsidRPr="005734B8">
        <w:rPr>
          <w:rFonts w:ascii="Calibri" w:hAnsi="Calibri" w:cs="Calibri"/>
        </w:rPr>
        <w:t>Departmental indicators against achievement</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97"/>
        <w:gridCol w:w="1109"/>
        <w:gridCol w:w="1143"/>
        <w:gridCol w:w="1057"/>
        <w:gridCol w:w="1140"/>
        <w:gridCol w:w="1254"/>
        <w:gridCol w:w="1110"/>
      </w:tblGrid>
      <w:tr w:rsidR="003C4131" w:rsidRPr="005734B8" w14:paraId="5B00E06B" w14:textId="77777777" w:rsidTr="00B05012">
        <w:trPr>
          <w:trHeight w:val="242"/>
          <w:tblHeader/>
        </w:trPr>
        <w:tc>
          <w:tcPr>
            <w:tcW w:w="2197" w:type="dxa"/>
            <w:tcBorders>
              <w:bottom w:val="single" w:sz="4" w:space="0" w:color="FFFFFF" w:themeColor="background1"/>
            </w:tcBorders>
            <w:shd w:val="clear" w:color="auto" w:fill="AF272F" w:themeFill="accent4"/>
          </w:tcPr>
          <w:p w14:paraId="52FC4C39" w14:textId="77777777" w:rsidR="003C4131" w:rsidRPr="005734B8" w:rsidRDefault="003C4131" w:rsidP="000C192E">
            <w:pPr>
              <w:pStyle w:val="ESTableheadingwhite"/>
              <w:rPr>
                <w:rFonts w:ascii="Calibri" w:hAnsi="Calibri" w:cs="Calibri"/>
                <w:sz w:val="18"/>
              </w:rPr>
            </w:pPr>
            <w:bookmarkStart w:id="127" w:name="_Toc11158159"/>
            <w:bookmarkStart w:id="128" w:name="_Toc11336166"/>
            <w:bookmarkStart w:id="129" w:name="_Toc14965389"/>
            <w:bookmarkStart w:id="130" w:name="_Toc19271968"/>
            <w:bookmarkStart w:id="131" w:name="_Toc19272334"/>
            <w:bookmarkStart w:id="132" w:name="_Toc19273669"/>
            <w:bookmarkStart w:id="133" w:name="_Toc39835759"/>
            <w:r w:rsidRPr="005734B8">
              <w:rPr>
                <w:rFonts w:ascii="Calibri" w:hAnsi="Calibri" w:cs="Calibri"/>
                <w:sz w:val="18"/>
                <w:lang w:val="en-AU"/>
              </w:rPr>
              <w:t>Indicators</w:t>
            </w:r>
          </w:p>
        </w:tc>
        <w:tc>
          <w:tcPr>
            <w:tcW w:w="1109" w:type="dxa"/>
            <w:tcBorders>
              <w:bottom w:val="single" w:sz="4" w:space="0" w:color="FFFFFF" w:themeColor="background1"/>
            </w:tcBorders>
            <w:shd w:val="clear" w:color="auto" w:fill="AF272F" w:themeFill="accent4"/>
          </w:tcPr>
          <w:p w14:paraId="340505A4" w14:textId="77777777" w:rsidR="003C4131" w:rsidRPr="005734B8" w:rsidRDefault="003C4131" w:rsidP="000C192E">
            <w:pPr>
              <w:pStyle w:val="ESTableheadingwhite"/>
              <w:jc w:val="center"/>
              <w:rPr>
                <w:rFonts w:ascii="Calibri" w:hAnsi="Calibri" w:cs="Calibri"/>
                <w:sz w:val="18"/>
              </w:rPr>
            </w:pPr>
            <w:r w:rsidRPr="005734B8">
              <w:rPr>
                <w:rFonts w:ascii="Calibri" w:hAnsi="Calibri" w:cs="Calibri"/>
                <w:sz w:val="18"/>
                <w:lang w:val="en-AU"/>
              </w:rPr>
              <w:t xml:space="preserve">Unit </w:t>
            </w:r>
          </w:p>
        </w:tc>
        <w:tc>
          <w:tcPr>
            <w:tcW w:w="1143" w:type="dxa"/>
            <w:tcBorders>
              <w:bottom w:val="single" w:sz="4" w:space="0" w:color="FFFFFF" w:themeColor="background1"/>
            </w:tcBorders>
            <w:shd w:val="clear" w:color="auto" w:fill="AF272F" w:themeFill="accent4"/>
          </w:tcPr>
          <w:p w14:paraId="3FB643BD" w14:textId="77777777" w:rsidR="003C4131" w:rsidRPr="005734B8" w:rsidRDefault="003C4131" w:rsidP="000C192E">
            <w:pPr>
              <w:pStyle w:val="ESTableheadingwhite"/>
              <w:jc w:val="right"/>
              <w:rPr>
                <w:rFonts w:ascii="Calibri" w:hAnsi="Calibri" w:cs="Calibri"/>
                <w:sz w:val="18"/>
              </w:rPr>
            </w:pPr>
            <w:r w:rsidRPr="005734B8">
              <w:rPr>
                <w:rFonts w:ascii="Calibri" w:hAnsi="Calibri" w:cs="Calibri"/>
                <w:sz w:val="18"/>
                <w:lang w:val="en-AU"/>
              </w:rPr>
              <w:t>2016</w:t>
            </w:r>
          </w:p>
        </w:tc>
        <w:tc>
          <w:tcPr>
            <w:tcW w:w="1057" w:type="dxa"/>
            <w:tcBorders>
              <w:bottom w:val="single" w:sz="4" w:space="0" w:color="FFFFFF" w:themeColor="background1"/>
            </w:tcBorders>
            <w:shd w:val="clear" w:color="auto" w:fill="AF272F" w:themeFill="accent4"/>
          </w:tcPr>
          <w:p w14:paraId="4E51775C" w14:textId="77777777" w:rsidR="003C4131" w:rsidRPr="005734B8" w:rsidRDefault="003C4131" w:rsidP="000C192E">
            <w:pPr>
              <w:pStyle w:val="ESTableheadingwhite"/>
              <w:jc w:val="right"/>
              <w:rPr>
                <w:rFonts w:ascii="Calibri" w:hAnsi="Calibri" w:cs="Calibri"/>
                <w:sz w:val="18"/>
              </w:rPr>
            </w:pPr>
            <w:r w:rsidRPr="005734B8">
              <w:rPr>
                <w:rFonts w:ascii="Calibri" w:hAnsi="Calibri" w:cs="Calibri"/>
                <w:sz w:val="18"/>
                <w:lang w:val="en-AU"/>
              </w:rPr>
              <w:t>2017</w:t>
            </w:r>
          </w:p>
        </w:tc>
        <w:tc>
          <w:tcPr>
            <w:tcW w:w="1140" w:type="dxa"/>
            <w:tcBorders>
              <w:bottom w:val="single" w:sz="4" w:space="0" w:color="FFFFFF" w:themeColor="background1"/>
            </w:tcBorders>
            <w:shd w:val="clear" w:color="auto" w:fill="AF272F" w:themeFill="accent4"/>
          </w:tcPr>
          <w:p w14:paraId="265CEC20" w14:textId="77777777" w:rsidR="003C4131" w:rsidRPr="005734B8" w:rsidRDefault="003C4131" w:rsidP="000C192E">
            <w:pPr>
              <w:pStyle w:val="ESTableheadingwhite"/>
              <w:jc w:val="right"/>
              <w:rPr>
                <w:rFonts w:ascii="Calibri" w:hAnsi="Calibri" w:cs="Calibri"/>
                <w:sz w:val="18"/>
              </w:rPr>
            </w:pPr>
            <w:r w:rsidRPr="005734B8">
              <w:rPr>
                <w:rFonts w:ascii="Calibri" w:hAnsi="Calibri" w:cs="Calibri"/>
                <w:sz w:val="18"/>
                <w:lang w:val="en-AU"/>
              </w:rPr>
              <w:t>2018</w:t>
            </w:r>
          </w:p>
        </w:tc>
        <w:tc>
          <w:tcPr>
            <w:tcW w:w="1254" w:type="dxa"/>
            <w:tcBorders>
              <w:bottom w:val="single" w:sz="4" w:space="0" w:color="FFFFFF" w:themeColor="background1"/>
            </w:tcBorders>
            <w:shd w:val="clear" w:color="auto" w:fill="AF272F" w:themeFill="accent4"/>
          </w:tcPr>
          <w:p w14:paraId="55DB4A16" w14:textId="77777777" w:rsidR="003C4131" w:rsidRPr="005734B8" w:rsidRDefault="003C4131" w:rsidP="000C192E">
            <w:pPr>
              <w:pStyle w:val="ESTableheadingwhite"/>
              <w:jc w:val="right"/>
              <w:rPr>
                <w:rFonts w:ascii="Calibri" w:hAnsi="Calibri" w:cs="Calibri"/>
                <w:sz w:val="18"/>
              </w:rPr>
            </w:pPr>
            <w:r w:rsidRPr="005734B8">
              <w:rPr>
                <w:rFonts w:ascii="Calibri" w:hAnsi="Calibri" w:cs="Calibri"/>
                <w:sz w:val="18"/>
                <w:lang w:val="en-AU"/>
              </w:rPr>
              <w:t>2019</w:t>
            </w:r>
          </w:p>
        </w:tc>
        <w:tc>
          <w:tcPr>
            <w:tcW w:w="1110" w:type="dxa"/>
            <w:tcBorders>
              <w:bottom w:val="single" w:sz="4" w:space="0" w:color="FFFFFF" w:themeColor="background1"/>
            </w:tcBorders>
            <w:shd w:val="clear" w:color="auto" w:fill="AF272F" w:themeFill="accent4"/>
          </w:tcPr>
          <w:p w14:paraId="58B60C40" w14:textId="77777777" w:rsidR="003C4131" w:rsidRPr="005734B8" w:rsidRDefault="003C4131" w:rsidP="000C192E">
            <w:pPr>
              <w:pStyle w:val="ESTableheadingwhite"/>
              <w:jc w:val="right"/>
              <w:rPr>
                <w:rFonts w:ascii="Calibri" w:hAnsi="Calibri" w:cs="Calibri"/>
                <w:sz w:val="18"/>
              </w:rPr>
            </w:pPr>
            <w:r w:rsidRPr="005734B8">
              <w:rPr>
                <w:rFonts w:ascii="Calibri" w:hAnsi="Calibri" w:cs="Calibri"/>
                <w:sz w:val="18"/>
                <w:lang w:val="en-AU"/>
              </w:rPr>
              <w:t>2020</w:t>
            </w:r>
          </w:p>
        </w:tc>
      </w:tr>
      <w:tr w:rsidR="003C4131" w:rsidRPr="005734B8" w14:paraId="7AFF46B8" w14:textId="77777777" w:rsidTr="00B05012">
        <w:tc>
          <w:tcPr>
            <w:tcW w:w="9010" w:type="dxa"/>
            <w:gridSpan w:val="7"/>
            <w:tcBorders>
              <w:bottom w:val="single" w:sz="4" w:space="0" w:color="53565A" w:themeColor="accent5"/>
            </w:tcBorders>
            <w:shd w:val="clear" w:color="auto" w:fill="53565A" w:themeFill="accent5"/>
          </w:tcPr>
          <w:p w14:paraId="4BAE5BA9" w14:textId="77777777" w:rsidR="003C4131" w:rsidRPr="005734B8" w:rsidRDefault="003C4131" w:rsidP="000C192E">
            <w:pPr>
              <w:pStyle w:val="W1"/>
              <w:rPr>
                <w:rFonts w:ascii="Calibri" w:hAnsi="Calibri" w:cs="Calibri"/>
                <w:sz w:val="18"/>
              </w:rPr>
            </w:pPr>
            <w:r w:rsidRPr="005734B8">
              <w:rPr>
                <w:rFonts w:ascii="Calibri" w:hAnsi="Calibri" w:cs="Calibri"/>
                <w:sz w:val="18"/>
              </w:rPr>
              <w:t>Early childhood education</w:t>
            </w:r>
          </w:p>
        </w:tc>
      </w:tr>
      <w:tr w:rsidR="003C4131" w:rsidRPr="005734B8" w14:paraId="42F90CD3" w14:textId="77777777" w:rsidTr="00E0118C">
        <w:tc>
          <w:tcPr>
            <w:tcW w:w="9010" w:type="dxa"/>
            <w:gridSpan w:val="7"/>
            <w:tcBorders>
              <w:top w:val="single" w:sz="4" w:space="0" w:color="53565A" w:themeColor="accent5"/>
              <w:bottom w:val="single" w:sz="4" w:space="0" w:color="53565A" w:themeColor="accent5"/>
            </w:tcBorders>
            <w:shd w:val="clear" w:color="auto" w:fill="D9D9D6" w:themeFill="accent6"/>
          </w:tcPr>
          <w:p w14:paraId="2E49095D" w14:textId="77777777" w:rsidR="003C4131" w:rsidRPr="005734B8" w:rsidRDefault="003C4131" w:rsidP="000C192E">
            <w:pPr>
              <w:pStyle w:val="ESTablenumberrightaligned"/>
              <w:jc w:val="left"/>
              <w:rPr>
                <w:rFonts w:ascii="Calibri" w:hAnsi="Calibri" w:cs="Calibri"/>
                <w:b/>
                <w:sz w:val="18"/>
              </w:rPr>
            </w:pPr>
            <w:r w:rsidRPr="005734B8">
              <w:rPr>
                <w:rFonts w:ascii="Calibri" w:hAnsi="Calibri" w:cs="Calibri"/>
                <w:b/>
                <w:sz w:val="18"/>
                <w:lang w:val="en-AU"/>
              </w:rPr>
              <w:t>Children developmentally ‘on track’ on the AEDC language and cognitive skills domains</w:t>
            </w:r>
          </w:p>
        </w:tc>
      </w:tr>
      <w:tr w:rsidR="003C4131" w:rsidRPr="005734B8" w14:paraId="613ABC1A" w14:textId="77777777" w:rsidTr="00E0118C">
        <w:tc>
          <w:tcPr>
            <w:tcW w:w="2197" w:type="dxa"/>
            <w:tcBorders>
              <w:top w:val="single" w:sz="4" w:space="0" w:color="53565A" w:themeColor="accent5"/>
              <w:bottom w:val="single" w:sz="4" w:space="0" w:color="auto"/>
            </w:tcBorders>
            <w:shd w:val="clear" w:color="auto" w:fill="auto"/>
          </w:tcPr>
          <w:p w14:paraId="676DE4E6" w14:textId="77777777" w:rsidR="003C4131" w:rsidRPr="005734B8" w:rsidRDefault="003C4131" w:rsidP="000C192E">
            <w:pPr>
              <w:pStyle w:val="ESTablebody"/>
              <w:rPr>
                <w:rFonts w:ascii="Calibri" w:hAnsi="Calibri" w:cs="Calibri"/>
                <w:sz w:val="18"/>
              </w:rPr>
            </w:pPr>
            <w:r w:rsidRPr="005734B8">
              <w:rPr>
                <w:rFonts w:ascii="Calibri" w:hAnsi="Calibri" w:cs="Calibri"/>
                <w:sz w:val="18"/>
                <w:lang w:val="en-AU"/>
              </w:rPr>
              <w:t>Proportion of children developmentally ‘on track’ on the AEDC language and cognitive skills domains</w:t>
            </w:r>
            <w:r w:rsidRPr="005734B8">
              <w:rPr>
                <w:rStyle w:val="FootnoteReference"/>
                <w:rFonts w:ascii="Calibri" w:hAnsi="Calibri" w:cs="Calibri"/>
                <w:sz w:val="18"/>
                <w:lang w:val="en-AU"/>
              </w:rPr>
              <w:footnoteReference w:id="6"/>
            </w:r>
          </w:p>
        </w:tc>
        <w:tc>
          <w:tcPr>
            <w:tcW w:w="1109" w:type="dxa"/>
            <w:tcBorders>
              <w:top w:val="single" w:sz="4" w:space="0" w:color="53565A" w:themeColor="accent5"/>
              <w:bottom w:val="single" w:sz="4" w:space="0" w:color="auto"/>
            </w:tcBorders>
            <w:shd w:val="clear" w:color="auto" w:fill="auto"/>
          </w:tcPr>
          <w:p w14:paraId="7DF33B1F"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per cent</w:t>
            </w:r>
          </w:p>
        </w:tc>
        <w:tc>
          <w:tcPr>
            <w:tcW w:w="1143" w:type="dxa"/>
            <w:tcBorders>
              <w:top w:val="single" w:sz="4" w:space="0" w:color="53565A" w:themeColor="accent5"/>
              <w:bottom w:val="single" w:sz="4" w:space="0" w:color="auto"/>
            </w:tcBorders>
            <w:shd w:val="clear" w:color="auto" w:fill="FFFFFF" w:themeFill="background1"/>
          </w:tcPr>
          <w:p w14:paraId="772FFFDB"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c>
          <w:tcPr>
            <w:tcW w:w="1057" w:type="dxa"/>
            <w:tcBorders>
              <w:top w:val="single" w:sz="4" w:space="0" w:color="53565A" w:themeColor="accent5"/>
              <w:bottom w:val="single" w:sz="4" w:space="0" w:color="auto"/>
            </w:tcBorders>
          </w:tcPr>
          <w:p w14:paraId="07776E79"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c>
          <w:tcPr>
            <w:tcW w:w="1140" w:type="dxa"/>
            <w:tcBorders>
              <w:top w:val="single" w:sz="4" w:space="0" w:color="53565A" w:themeColor="accent5"/>
              <w:bottom w:val="single" w:sz="4" w:space="0" w:color="auto"/>
            </w:tcBorders>
          </w:tcPr>
          <w:p w14:paraId="0BD5B974"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84.6</w:t>
            </w:r>
          </w:p>
        </w:tc>
        <w:tc>
          <w:tcPr>
            <w:tcW w:w="1254" w:type="dxa"/>
            <w:tcBorders>
              <w:top w:val="single" w:sz="4" w:space="0" w:color="53565A" w:themeColor="accent5"/>
              <w:bottom w:val="single" w:sz="4" w:space="0" w:color="auto"/>
            </w:tcBorders>
          </w:tcPr>
          <w:p w14:paraId="21385209"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c>
          <w:tcPr>
            <w:tcW w:w="1110" w:type="dxa"/>
            <w:tcBorders>
              <w:top w:val="single" w:sz="4" w:space="0" w:color="53565A" w:themeColor="accent5"/>
              <w:bottom w:val="single" w:sz="4" w:space="0" w:color="auto"/>
            </w:tcBorders>
          </w:tcPr>
          <w:p w14:paraId="08AFF445"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r>
      <w:tr w:rsidR="00E0118C" w:rsidRPr="005734B8" w14:paraId="55936007" w14:textId="77777777" w:rsidTr="00E0118C">
        <w:tc>
          <w:tcPr>
            <w:tcW w:w="2197" w:type="dxa"/>
            <w:tcBorders>
              <w:top w:val="single" w:sz="4" w:space="0" w:color="auto"/>
              <w:bottom w:val="nil"/>
            </w:tcBorders>
            <w:shd w:val="clear" w:color="auto" w:fill="auto"/>
          </w:tcPr>
          <w:p w14:paraId="3C88F0C0" w14:textId="77777777" w:rsidR="00E0118C" w:rsidRPr="005734B8" w:rsidRDefault="00E0118C" w:rsidP="000C192E">
            <w:pPr>
              <w:pStyle w:val="ESTablebody"/>
              <w:rPr>
                <w:rFonts w:ascii="Calibri" w:hAnsi="Calibri" w:cs="Calibri"/>
                <w:sz w:val="18"/>
                <w:lang w:val="en-AU"/>
              </w:rPr>
            </w:pPr>
          </w:p>
        </w:tc>
        <w:tc>
          <w:tcPr>
            <w:tcW w:w="1109" w:type="dxa"/>
            <w:tcBorders>
              <w:top w:val="single" w:sz="4" w:space="0" w:color="auto"/>
              <w:bottom w:val="nil"/>
            </w:tcBorders>
            <w:shd w:val="clear" w:color="auto" w:fill="auto"/>
          </w:tcPr>
          <w:p w14:paraId="6C88C10D" w14:textId="77777777" w:rsidR="00E0118C" w:rsidRPr="005734B8" w:rsidRDefault="00E0118C" w:rsidP="000C192E">
            <w:pPr>
              <w:pStyle w:val="ESTablenumberrightaligned"/>
              <w:rPr>
                <w:rFonts w:ascii="Calibri" w:hAnsi="Calibri" w:cs="Calibri"/>
                <w:sz w:val="18"/>
                <w:lang w:val="en-AU"/>
              </w:rPr>
            </w:pPr>
          </w:p>
        </w:tc>
        <w:tc>
          <w:tcPr>
            <w:tcW w:w="1143" w:type="dxa"/>
            <w:tcBorders>
              <w:top w:val="single" w:sz="4" w:space="0" w:color="auto"/>
              <w:bottom w:val="nil"/>
            </w:tcBorders>
            <w:shd w:val="clear" w:color="auto" w:fill="FFFFFF" w:themeFill="background1"/>
          </w:tcPr>
          <w:p w14:paraId="5562FE9E" w14:textId="77777777" w:rsidR="00E0118C" w:rsidRPr="005734B8" w:rsidRDefault="00E0118C" w:rsidP="000C192E">
            <w:pPr>
              <w:pStyle w:val="ESTablenumberrightaligned"/>
              <w:rPr>
                <w:rFonts w:ascii="Calibri" w:hAnsi="Calibri" w:cs="Calibri"/>
                <w:sz w:val="18"/>
                <w:lang w:val="en-AU"/>
              </w:rPr>
            </w:pPr>
          </w:p>
        </w:tc>
        <w:tc>
          <w:tcPr>
            <w:tcW w:w="1057" w:type="dxa"/>
            <w:tcBorders>
              <w:top w:val="single" w:sz="4" w:space="0" w:color="auto"/>
              <w:bottom w:val="nil"/>
            </w:tcBorders>
          </w:tcPr>
          <w:p w14:paraId="51CEC6A5" w14:textId="77777777" w:rsidR="00E0118C" w:rsidRPr="005734B8" w:rsidRDefault="00E0118C" w:rsidP="000C192E">
            <w:pPr>
              <w:pStyle w:val="ESTablenumberrightaligned"/>
              <w:rPr>
                <w:rFonts w:ascii="Calibri" w:hAnsi="Calibri" w:cs="Calibri"/>
                <w:sz w:val="18"/>
                <w:lang w:val="en-AU"/>
              </w:rPr>
            </w:pPr>
          </w:p>
        </w:tc>
        <w:tc>
          <w:tcPr>
            <w:tcW w:w="1140" w:type="dxa"/>
            <w:tcBorders>
              <w:top w:val="single" w:sz="4" w:space="0" w:color="auto"/>
              <w:bottom w:val="nil"/>
            </w:tcBorders>
          </w:tcPr>
          <w:p w14:paraId="04A77A37" w14:textId="77777777" w:rsidR="00E0118C" w:rsidRPr="005734B8" w:rsidRDefault="00E0118C" w:rsidP="000C192E">
            <w:pPr>
              <w:pStyle w:val="ESTablenumberrightaligned"/>
              <w:rPr>
                <w:rFonts w:ascii="Calibri" w:hAnsi="Calibri" w:cs="Calibri"/>
                <w:sz w:val="18"/>
              </w:rPr>
            </w:pPr>
          </w:p>
        </w:tc>
        <w:tc>
          <w:tcPr>
            <w:tcW w:w="1254" w:type="dxa"/>
            <w:tcBorders>
              <w:top w:val="single" w:sz="4" w:space="0" w:color="auto"/>
              <w:bottom w:val="nil"/>
            </w:tcBorders>
          </w:tcPr>
          <w:p w14:paraId="28085464" w14:textId="77777777" w:rsidR="00E0118C" w:rsidRPr="005734B8" w:rsidRDefault="00E0118C" w:rsidP="000C192E">
            <w:pPr>
              <w:pStyle w:val="ESTablenumberrightaligned"/>
              <w:rPr>
                <w:rFonts w:ascii="Calibri" w:hAnsi="Calibri" w:cs="Calibri"/>
                <w:sz w:val="18"/>
                <w:lang w:val="en-AU"/>
              </w:rPr>
            </w:pPr>
          </w:p>
        </w:tc>
        <w:tc>
          <w:tcPr>
            <w:tcW w:w="1110" w:type="dxa"/>
            <w:tcBorders>
              <w:top w:val="single" w:sz="4" w:space="0" w:color="auto"/>
              <w:bottom w:val="nil"/>
            </w:tcBorders>
          </w:tcPr>
          <w:p w14:paraId="629A53F2" w14:textId="77777777" w:rsidR="00E0118C" w:rsidRPr="005734B8" w:rsidRDefault="00E0118C" w:rsidP="000C192E">
            <w:pPr>
              <w:pStyle w:val="ESTablenumberrightaligned"/>
              <w:rPr>
                <w:rFonts w:ascii="Calibri" w:hAnsi="Calibri" w:cs="Calibri"/>
                <w:sz w:val="18"/>
                <w:lang w:val="en-AU"/>
              </w:rPr>
            </w:pPr>
          </w:p>
        </w:tc>
      </w:tr>
      <w:tr w:rsidR="00E0118C" w:rsidRPr="005734B8" w14:paraId="011AF269" w14:textId="77777777" w:rsidTr="00E0118C">
        <w:tc>
          <w:tcPr>
            <w:tcW w:w="2197" w:type="dxa"/>
            <w:tcBorders>
              <w:top w:val="nil"/>
              <w:bottom w:val="nil"/>
            </w:tcBorders>
            <w:shd w:val="clear" w:color="auto" w:fill="auto"/>
          </w:tcPr>
          <w:p w14:paraId="6F2DA828" w14:textId="77777777" w:rsidR="00E0118C" w:rsidRPr="005734B8" w:rsidRDefault="00E0118C" w:rsidP="000C192E">
            <w:pPr>
              <w:pStyle w:val="ESTablebody"/>
              <w:rPr>
                <w:rFonts w:ascii="Calibri" w:hAnsi="Calibri" w:cs="Calibri"/>
                <w:sz w:val="18"/>
                <w:lang w:val="en-AU"/>
              </w:rPr>
            </w:pPr>
          </w:p>
        </w:tc>
        <w:tc>
          <w:tcPr>
            <w:tcW w:w="1109" w:type="dxa"/>
            <w:tcBorders>
              <w:top w:val="nil"/>
              <w:bottom w:val="nil"/>
            </w:tcBorders>
            <w:shd w:val="clear" w:color="auto" w:fill="auto"/>
          </w:tcPr>
          <w:p w14:paraId="4598E71D" w14:textId="77777777" w:rsidR="00E0118C" w:rsidRPr="005734B8" w:rsidRDefault="00E0118C" w:rsidP="000C192E">
            <w:pPr>
              <w:pStyle w:val="ESTablenumberrightaligned"/>
              <w:rPr>
                <w:rFonts w:ascii="Calibri" w:hAnsi="Calibri" w:cs="Calibri"/>
                <w:sz w:val="18"/>
                <w:lang w:val="en-AU"/>
              </w:rPr>
            </w:pPr>
          </w:p>
        </w:tc>
        <w:tc>
          <w:tcPr>
            <w:tcW w:w="1143" w:type="dxa"/>
            <w:tcBorders>
              <w:top w:val="nil"/>
              <w:bottom w:val="nil"/>
            </w:tcBorders>
            <w:shd w:val="clear" w:color="auto" w:fill="FFFFFF" w:themeFill="background1"/>
          </w:tcPr>
          <w:p w14:paraId="15E7229F" w14:textId="77777777" w:rsidR="00E0118C" w:rsidRPr="005734B8" w:rsidRDefault="00E0118C" w:rsidP="000C192E">
            <w:pPr>
              <w:pStyle w:val="ESTablenumberrightaligned"/>
              <w:rPr>
                <w:rFonts w:ascii="Calibri" w:hAnsi="Calibri" w:cs="Calibri"/>
                <w:sz w:val="18"/>
                <w:lang w:val="en-AU"/>
              </w:rPr>
            </w:pPr>
          </w:p>
        </w:tc>
        <w:tc>
          <w:tcPr>
            <w:tcW w:w="1057" w:type="dxa"/>
            <w:tcBorders>
              <w:top w:val="nil"/>
              <w:bottom w:val="nil"/>
            </w:tcBorders>
          </w:tcPr>
          <w:p w14:paraId="5F27F47E" w14:textId="77777777" w:rsidR="00E0118C" w:rsidRPr="005734B8" w:rsidRDefault="00E0118C" w:rsidP="000C192E">
            <w:pPr>
              <w:pStyle w:val="ESTablenumberrightaligned"/>
              <w:rPr>
                <w:rFonts w:ascii="Calibri" w:hAnsi="Calibri" w:cs="Calibri"/>
                <w:sz w:val="18"/>
                <w:lang w:val="en-AU"/>
              </w:rPr>
            </w:pPr>
          </w:p>
        </w:tc>
        <w:tc>
          <w:tcPr>
            <w:tcW w:w="1140" w:type="dxa"/>
            <w:tcBorders>
              <w:top w:val="nil"/>
              <w:bottom w:val="nil"/>
            </w:tcBorders>
          </w:tcPr>
          <w:p w14:paraId="1ADB7199" w14:textId="77777777" w:rsidR="00E0118C" w:rsidRPr="005734B8" w:rsidRDefault="00E0118C" w:rsidP="000C192E">
            <w:pPr>
              <w:pStyle w:val="ESTablenumberrightaligned"/>
              <w:rPr>
                <w:rFonts w:ascii="Calibri" w:hAnsi="Calibri" w:cs="Calibri"/>
                <w:sz w:val="18"/>
              </w:rPr>
            </w:pPr>
          </w:p>
        </w:tc>
        <w:tc>
          <w:tcPr>
            <w:tcW w:w="1254" w:type="dxa"/>
            <w:tcBorders>
              <w:top w:val="nil"/>
              <w:bottom w:val="nil"/>
            </w:tcBorders>
          </w:tcPr>
          <w:p w14:paraId="6FA1BCAB" w14:textId="77777777" w:rsidR="00E0118C" w:rsidRPr="005734B8" w:rsidRDefault="00E0118C" w:rsidP="000C192E">
            <w:pPr>
              <w:pStyle w:val="ESTablenumberrightaligned"/>
              <w:rPr>
                <w:rFonts w:ascii="Calibri" w:hAnsi="Calibri" w:cs="Calibri"/>
                <w:sz w:val="18"/>
                <w:lang w:val="en-AU"/>
              </w:rPr>
            </w:pPr>
          </w:p>
        </w:tc>
        <w:tc>
          <w:tcPr>
            <w:tcW w:w="1110" w:type="dxa"/>
            <w:tcBorders>
              <w:top w:val="nil"/>
              <w:bottom w:val="nil"/>
            </w:tcBorders>
          </w:tcPr>
          <w:p w14:paraId="2ACFCDE7" w14:textId="77777777" w:rsidR="00E0118C" w:rsidRPr="005734B8" w:rsidRDefault="00E0118C" w:rsidP="000C192E">
            <w:pPr>
              <w:pStyle w:val="ESTablenumberrightaligned"/>
              <w:rPr>
                <w:rFonts w:ascii="Calibri" w:hAnsi="Calibri" w:cs="Calibri"/>
                <w:sz w:val="18"/>
                <w:lang w:val="en-AU"/>
              </w:rPr>
            </w:pPr>
          </w:p>
        </w:tc>
      </w:tr>
      <w:tr w:rsidR="003C4131" w:rsidRPr="005734B8" w14:paraId="68421538" w14:textId="77777777" w:rsidTr="00E0118C">
        <w:tc>
          <w:tcPr>
            <w:tcW w:w="9010" w:type="dxa"/>
            <w:gridSpan w:val="7"/>
            <w:tcBorders>
              <w:top w:val="nil"/>
              <w:bottom w:val="single" w:sz="4" w:space="0" w:color="53565A" w:themeColor="accent5"/>
            </w:tcBorders>
            <w:shd w:val="clear" w:color="auto" w:fill="D9D9D6" w:themeFill="accent6"/>
          </w:tcPr>
          <w:p w14:paraId="254F24C3" w14:textId="77777777" w:rsidR="003C4131" w:rsidRPr="005734B8" w:rsidRDefault="003C4131" w:rsidP="000C192E">
            <w:pPr>
              <w:pStyle w:val="ESTablenumberrightaligned"/>
              <w:jc w:val="left"/>
              <w:rPr>
                <w:rFonts w:ascii="Calibri" w:hAnsi="Calibri" w:cs="Calibri"/>
                <w:b/>
                <w:sz w:val="18"/>
              </w:rPr>
            </w:pPr>
            <w:r w:rsidRPr="005734B8">
              <w:rPr>
                <w:rFonts w:ascii="Calibri" w:hAnsi="Calibri" w:cs="Calibri"/>
                <w:b/>
                <w:sz w:val="18"/>
                <w:shd w:val="clear" w:color="auto" w:fill="D9D9D6" w:themeFill="accent6"/>
                <w:lang w:val="en-AU"/>
              </w:rPr>
              <w:lastRenderedPageBreak/>
              <w:t>Proportion of early childhood services meeting or exceeding NQSA1—Educational program and practice</w:t>
            </w:r>
          </w:p>
        </w:tc>
      </w:tr>
      <w:tr w:rsidR="003C4131" w:rsidRPr="005734B8" w14:paraId="2ED99855" w14:textId="77777777" w:rsidTr="00B05012">
        <w:tc>
          <w:tcPr>
            <w:tcW w:w="2197" w:type="dxa"/>
            <w:tcBorders>
              <w:top w:val="single" w:sz="4" w:space="0" w:color="53565A" w:themeColor="accent5"/>
              <w:bottom w:val="single" w:sz="4" w:space="0" w:color="53565A" w:themeColor="accent5"/>
            </w:tcBorders>
            <w:shd w:val="clear" w:color="auto" w:fill="auto"/>
          </w:tcPr>
          <w:p w14:paraId="4A34F104" w14:textId="77777777" w:rsidR="003C4131" w:rsidRPr="005734B8" w:rsidRDefault="003C4131" w:rsidP="000C192E">
            <w:pPr>
              <w:pStyle w:val="ESTablebody"/>
              <w:rPr>
                <w:rFonts w:ascii="Calibri" w:hAnsi="Calibri" w:cs="Calibri"/>
                <w:sz w:val="18"/>
              </w:rPr>
            </w:pPr>
            <w:r w:rsidRPr="005734B8">
              <w:rPr>
                <w:rFonts w:ascii="Calibri" w:hAnsi="Calibri" w:cs="Calibri"/>
                <w:sz w:val="18"/>
                <w:lang w:val="en-AU"/>
              </w:rPr>
              <w:t>Proportion of early childhood services meeting or exceeding NQSA1</w:t>
            </w:r>
          </w:p>
        </w:tc>
        <w:tc>
          <w:tcPr>
            <w:tcW w:w="1109" w:type="dxa"/>
            <w:tcBorders>
              <w:top w:val="single" w:sz="4" w:space="0" w:color="53565A" w:themeColor="accent5"/>
              <w:bottom w:val="single" w:sz="4" w:space="0" w:color="53565A" w:themeColor="accent5"/>
            </w:tcBorders>
            <w:shd w:val="clear" w:color="auto" w:fill="auto"/>
          </w:tcPr>
          <w:p w14:paraId="6C0F00F7"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per cent</w:t>
            </w:r>
          </w:p>
        </w:tc>
        <w:tc>
          <w:tcPr>
            <w:tcW w:w="1143" w:type="dxa"/>
            <w:tcBorders>
              <w:top w:val="single" w:sz="4" w:space="0" w:color="53565A" w:themeColor="accent5"/>
              <w:bottom w:val="single" w:sz="4" w:space="0" w:color="53565A" w:themeColor="accent5"/>
            </w:tcBorders>
            <w:shd w:val="clear" w:color="auto" w:fill="FFFFFF" w:themeFill="background1"/>
          </w:tcPr>
          <w:p w14:paraId="16A4EDC2"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87.5</w:t>
            </w:r>
          </w:p>
        </w:tc>
        <w:tc>
          <w:tcPr>
            <w:tcW w:w="1057" w:type="dxa"/>
            <w:tcBorders>
              <w:top w:val="single" w:sz="4" w:space="0" w:color="53565A" w:themeColor="accent5"/>
              <w:bottom w:val="single" w:sz="4" w:space="0" w:color="53565A" w:themeColor="accent5"/>
            </w:tcBorders>
          </w:tcPr>
          <w:p w14:paraId="5041DFDA"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88.8</w:t>
            </w:r>
          </w:p>
        </w:tc>
        <w:tc>
          <w:tcPr>
            <w:tcW w:w="1140" w:type="dxa"/>
            <w:tcBorders>
              <w:top w:val="single" w:sz="4" w:space="0" w:color="53565A" w:themeColor="accent5"/>
              <w:bottom w:val="single" w:sz="4" w:space="0" w:color="53565A" w:themeColor="accent5"/>
            </w:tcBorders>
          </w:tcPr>
          <w:p w14:paraId="0A3586C4"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89.4</w:t>
            </w:r>
          </w:p>
        </w:tc>
        <w:tc>
          <w:tcPr>
            <w:tcW w:w="1254" w:type="dxa"/>
            <w:tcBorders>
              <w:top w:val="single" w:sz="4" w:space="0" w:color="53565A" w:themeColor="accent5"/>
              <w:bottom w:val="single" w:sz="4" w:space="0" w:color="53565A" w:themeColor="accent5"/>
            </w:tcBorders>
          </w:tcPr>
          <w:p w14:paraId="427FB524"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89.8</w:t>
            </w:r>
          </w:p>
        </w:tc>
        <w:tc>
          <w:tcPr>
            <w:tcW w:w="1110" w:type="dxa"/>
            <w:tcBorders>
              <w:top w:val="single" w:sz="4" w:space="0" w:color="53565A" w:themeColor="accent5"/>
              <w:bottom w:val="single" w:sz="4" w:space="0" w:color="53565A" w:themeColor="accent5"/>
            </w:tcBorders>
          </w:tcPr>
          <w:p w14:paraId="3854F8CD"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90.8</w:t>
            </w:r>
          </w:p>
        </w:tc>
      </w:tr>
      <w:tr w:rsidR="003C4131" w:rsidRPr="005734B8" w14:paraId="11250FEE" w14:textId="77777777" w:rsidTr="00B05012">
        <w:tc>
          <w:tcPr>
            <w:tcW w:w="9010" w:type="dxa"/>
            <w:gridSpan w:val="7"/>
            <w:tcBorders>
              <w:top w:val="single" w:sz="4" w:space="0" w:color="53565A" w:themeColor="accent5"/>
              <w:bottom w:val="single" w:sz="4" w:space="0" w:color="53565A" w:themeColor="accent5"/>
            </w:tcBorders>
            <w:shd w:val="clear" w:color="auto" w:fill="53565A" w:themeFill="accent5"/>
          </w:tcPr>
          <w:p w14:paraId="6CB5AFC5" w14:textId="77777777" w:rsidR="003C4131" w:rsidRPr="005734B8" w:rsidRDefault="003C4131" w:rsidP="000C192E">
            <w:pPr>
              <w:pStyle w:val="W1"/>
              <w:rPr>
                <w:rFonts w:ascii="Calibri" w:hAnsi="Calibri" w:cs="Calibri"/>
                <w:sz w:val="18"/>
              </w:rPr>
            </w:pPr>
            <w:r w:rsidRPr="005734B8">
              <w:rPr>
                <w:rFonts w:ascii="Calibri" w:hAnsi="Calibri" w:cs="Calibri"/>
                <w:sz w:val="18"/>
              </w:rPr>
              <w:t>School education</w:t>
            </w:r>
          </w:p>
        </w:tc>
      </w:tr>
      <w:tr w:rsidR="003C4131" w:rsidRPr="005734B8" w14:paraId="2EC78153" w14:textId="77777777" w:rsidTr="00B05012">
        <w:tc>
          <w:tcPr>
            <w:tcW w:w="9010" w:type="dxa"/>
            <w:gridSpan w:val="7"/>
            <w:tcBorders>
              <w:top w:val="single" w:sz="4" w:space="0" w:color="53565A" w:themeColor="accent5"/>
              <w:bottom w:val="single" w:sz="4" w:space="0" w:color="53565A" w:themeColor="accent5"/>
            </w:tcBorders>
            <w:shd w:val="clear" w:color="auto" w:fill="D9D9D6" w:themeFill="accent6"/>
          </w:tcPr>
          <w:p w14:paraId="55E0DE93" w14:textId="77777777" w:rsidR="003C4131" w:rsidRPr="005734B8" w:rsidRDefault="003C4131" w:rsidP="000C192E">
            <w:pPr>
              <w:pStyle w:val="ESTablenumberrightaligned"/>
              <w:jc w:val="left"/>
              <w:rPr>
                <w:rFonts w:ascii="Calibri" w:hAnsi="Calibri" w:cs="Calibri"/>
                <w:b/>
                <w:sz w:val="18"/>
              </w:rPr>
            </w:pPr>
            <w:r w:rsidRPr="005734B8">
              <w:rPr>
                <w:rFonts w:ascii="Calibri" w:hAnsi="Calibri" w:cs="Calibri"/>
                <w:b/>
                <w:sz w:val="18"/>
                <w:lang w:val="en-AU"/>
              </w:rPr>
              <w:t>Students meeting the expected standard in national and international literacy and numeracy assessments</w:t>
            </w:r>
            <w:r w:rsidRPr="005734B8">
              <w:rPr>
                <w:rStyle w:val="FootnoteReference"/>
                <w:rFonts w:ascii="Calibri" w:hAnsi="Calibri" w:cs="Calibri"/>
                <w:b/>
                <w:sz w:val="18"/>
                <w:lang w:val="en-AU"/>
              </w:rPr>
              <w:footnoteReference w:id="7"/>
            </w:r>
            <w:r w:rsidRPr="005734B8">
              <w:rPr>
                <w:rFonts w:ascii="Calibri" w:hAnsi="Calibri" w:cs="Calibri"/>
                <w:b/>
                <w:sz w:val="18"/>
                <w:lang w:val="en-AU"/>
              </w:rPr>
              <w:t xml:space="preserve"> </w:t>
            </w:r>
            <w:r w:rsidRPr="005734B8">
              <w:rPr>
                <w:rStyle w:val="FootnoteReference"/>
                <w:rFonts w:ascii="Calibri" w:hAnsi="Calibri" w:cs="Calibri"/>
                <w:b/>
                <w:sz w:val="18"/>
                <w:lang w:val="en-AU"/>
              </w:rPr>
              <w:footnoteReference w:id="8"/>
            </w:r>
          </w:p>
        </w:tc>
      </w:tr>
      <w:tr w:rsidR="003C4131" w:rsidRPr="005734B8" w14:paraId="74DDD530" w14:textId="77777777" w:rsidTr="00B05012">
        <w:tc>
          <w:tcPr>
            <w:tcW w:w="9010" w:type="dxa"/>
            <w:gridSpan w:val="7"/>
            <w:tcBorders>
              <w:top w:val="single" w:sz="4" w:space="0" w:color="53565A" w:themeColor="accent5"/>
              <w:bottom w:val="single" w:sz="4" w:space="0" w:color="53565A" w:themeColor="accent5"/>
            </w:tcBorders>
            <w:shd w:val="clear" w:color="auto" w:fill="auto"/>
          </w:tcPr>
          <w:p w14:paraId="36B9116A" w14:textId="77777777" w:rsidR="003C4131" w:rsidRPr="005734B8" w:rsidRDefault="003C4131" w:rsidP="000C192E">
            <w:pPr>
              <w:pStyle w:val="ESTablenumberrightaligned"/>
              <w:jc w:val="left"/>
              <w:rPr>
                <w:rFonts w:ascii="Calibri" w:hAnsi="Calibri" w:cs="Calibri"/>
                <w:sz w:val="18"/>
              </w:rPr>
            </w:pPr>
            <w:r w:rsidRPr="005734B8">
              <w:rPr>
                <w:rFonts w:ascii="Calibri" w:hAnsi="Calibri" w:cs="Calibri"/>
                <w:sz w:val="18"/>
                <w:lang w:val="en-AU"/>
              </w:rPr>
              <w:t>Proportion of students above the bottom three NAPLAN bands:</w:t>
            </w:r>
          </w:p>
        </w:tc>
      </w:tr>
      <w:tr w:rsidR="003C4131" w:rsidRPr="005734B8" w14:paraId="299292BC" w14:textId="77777777" w:rsidTr="00B05012">
        <w:tc>
          <w:tcPr>
            <w:tcW w:w="2197" w:type="dxa"/>
            <w:tcBorders>
              <w:top w:val="single" w:sz="4" w:space="0" w:color="53565A" w:themeColor="accent5"/>
              <w:bottom w:val="single" w:sz="4" w:space="0" w:color="53565A" w:themeColor="accent5"/>
            </w:tcBorders>
            <w:shd w:val="clear" w:color="auto" w:fill="auto"/>
          </w:tcPr>
          <w:p w14:paraId="7D488FCA" w14:textId="77777777" w:rsidR="003C4131" w:rsidRPr="005734B8" w:rsidRDefault="003C4131" w:rsidP="000C192E">
            <w:pPr>
              <w:pStyle w:val="ESTablebody"/>
              <w:rPr>
                <w:rFonts w:ascii="Calibri" w:hAnsi="Calibri" w:cs="Calibri"/>
                <w:sz w:val="18"/>
              </w:rPr>
            </w:pPr>
            <w:r w:rsidRPr="005734B8">
              <w:rPr>
                <w:rFonts w:ascii="Calibri" w:hAnsi="Calibri" w:cs="Calibri"/>
                <w:sz w:val="18"/>
                <w:lang w:val="en-AU"/>
              </w:rPr>
              <w:t>Year 3—Literacy</w:t>
            </w:r>
          </w:p>
        </w:tc>
        <w:tc>
          <w:tcPr>
            <w:tcW w:w="1109" w:type="dxa"/>
            <w:tcBorders>
              <w:top w:val="single" w:sz="4" w:space="0" w:color="53565A" w:themeColor="accent5"/>
              <w:bottom w:val="single" w:sz="4" w:space="0" w:color="53565A" w:themeColor="accent5"/>
            </w:tcBorders>
            <w:shd w:val="clear" w:color="auto" w:fill="auto"/>
          </w:tcPr>
          <w:p w14:paraId="63C1343D"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per cent</w:t>
            </w:r>
          </w:p>
        </w:tc>
        <w:tc>
          <w:tcPr>
            <w:tcW w:w="1143" w:type="dxa"/>
            <w:tcBorders>
              <w:top w:val="single" w:sz="4" w:space="0" w:color="53565A" w:themeColor="accent5"/>
              <w:bottom w:val="single" w:sz="4" w:space="0" w:color="53565A" w:themeColor="accent5"/>
            </w:tcBorders>
            <w:shd w:val="clear" w:color="auto" w:fill="FFFFFF" w:themeFill="background1"/>
          </w:tcPr>
          <w:p w14:paraId="05FDEBBE"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75.6</w:t>
            </w:r>
          </w:p>
        </w:tc>
        <w:tc>
          <w:tcPr>
            <w:tcW w:w="1057" w:type="dxa"/>
            <w:tcBorders>
              <w:top w:val="single" w:sz="4" w:space="0" w:color="53565A" w:themeColor="accent5"/>
              <w:bottom w:val="single" w:sz="4" w:space="0" w:color="53565A" w:themeColor="accent5"/>
            </w:tcBorders>
          </w:tcPr>
          <w:p w14:paraId="79499ADB"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78.3</w:t>
            </w:r>
          </w:p>
        </w:tc>
        <w:tc>
          <w:tcPr>
            <w:tcW w:w="1140" w:type="dxa"/>
            <w:tcBorders>
              <w:top w:val="single" w:sz="4" w:space="0" w:color="53565A" w:themeColor="accent5"/>
              <w:bottom w:val="single" w:sz="4" w:space="0" w:color="53565A" w:themeColor="accent5"/>
            </w:tcBorders>
          </w:tcPr>
          <w:p w14:paraId="17C6C4AA"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79.9</w:t>
            </w:r>
          </w:p>
        </w:tc>
        <w:tc>
          <w:tcPr>
            <w:tcW w:w="1254" w:type="dxa"/>
            <w:tcBorders>
              <w:top w:val="single" w:sz="4" w:space="0" w:color="53565A" w:themeColor="accent5"/>
              <w:bottom w:val="single" w:sz="4" w:space="0" w:color="53565A" w:themeColor="accent5"/>
            </w:tcBorders>
          </w:tcPr>
          <w:p w14:paraId="3F736009"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78.5</w:t>
            </w:r>
          </w:p>
        </w:tc>
        <w:tc>
          <w:tcPr>
            <w:tcW w:w="1110" w:type="dxa"/>
            <w:tcBorders>
              <w:top w:val="single" w:sz="4" w:space="0" w:color="53565A" w:themeColor="accent5"/>
              <w:bottom w:val="single" w:sz="4" w:space="0" w:color="53565A" w:themeColor="accent5"/>
            </w:tcBorders>
          </w:tcPr>
          <w:p w14:paraId="48380E8A"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r>
      <w:tr w:rsidR="003C4131" w:rsidRPr="005734B8" w14:paraId="5D12D341" w14:textId="77777777" w:rsidTr="00B05012">
        <w:tc>
          <w:tcPr>
            <w:tcW w:w="2197" w:type="dxa"/>
            <w:tcBorders>
              <w:top w:val="single" w:sz="4" w:space="0" w:color="53565A" w:themeColor="accent5"/>
              <w:bottom w:val="single" w:sz="4" w:space="0" w:color="53565A" w:themeColor="accent5"/>
            </w:tcBorders>
            <w:shd w:val="clear" w:color="auto" w:fill="auto"/>
          </w:tcPr>
          <w:p w14:paraId="7713FE86" w14:textId="77777777" w:rsidR="003C4131" w:rsidRPr="005734B8" w:rsidRDefault="003C4131" w:rsidP="000C192E">
            <w:pPr>
              <w:pStyle w:val="ESTablebody"/>
              <w:rPr>
                <w:rFonts w:ascii="Calibri" w:hAnsi="Calibri" w:cs="Calibri"/>
                <w:sz w:val="18"/>
              </w:rPr>
            </w:pPr>
            <w:r w:rsidRPr="005734B8">
              <w:rPr>
                <w:rFonts w:ascii="Calibri" w:hAnsi="Calibri" w:cs="Calibri"/>
                <w:sz w:val="18"/>
                <w:lang w:val="en-AU"/>
              </w:rPr>
              <w:t>Year 3—Numeracy</w:t>
            </w:r>
          </w:p>
        </w:tc>
        <w:tc>
          <w:tcPr>
            <w:tcW w:w="1109" w:type="dxa"/>
            <w:tcBorders>
              <w:top w:val="single" w:sz="4" w:space="0" w:color="53565A" w:themeColor="accent5"/>
              <w:bottom w:val="single" w:sz="4" w:space="0" w:color="53565A" w:themeColor="accent5"/>
            </w:tcBorders>
            <w:shd w:val="clear" w:color="auto" w:fill="auto"/>
          </w:tcPr>
          <w:p w14:paraId="55185EC7"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per cent</w:t>
            </w:r>
          </w:p>
        </w:tc>
        <w:tc>
          <w:tcPr>
            <w:tcW w:w="1143" w:type="dxa"/>
            <w:tcBorders>
              <w:top w:val="single" w:sz="4" w:space="0" w:color="53565A" w:themeColor="accent5"/>
              <w:bottom w:val="single" w:sz="4" w:space="0" w:color="53565A" w:themeColor="accent5"/>
            </w:tcBorders>
            <w:shd w:val="clear" w:color="auto" w:fill="FFFFFF" w:themeFill="background1"/>
          </w:tcPr>
          <w:p w14:paraId="22F8DB20"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67.8</w:t>
            </w:r>
          </w:p>
        </w:tc>
        <w:tc>
          <w:tcPr>
            <w:tcW w:w="1057" w:type="dxa"/>
            <w:tcBorders>
              <w:top w:val="single" w:sz="4" w:space="0" w:color="53565A" w:themeColor="accent5"/>
              <w:bottom w:val="single" w:sz="4" w:space="0" w:color="53565A" w:themeColor="accent5"/>
            </w:tcBorders>
          </w:tcPr>
          <w:p w14:paraId="3FFB2481"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71.7</w:t>
            </w:r>
          </w:p>
        </w:tc>
        <w:tc>
          <w:tcPr>
            <w:tcW w:w="1140" w:type="dxa"/>
            <w:tcBorders>
              <w:top w:val="single" w:sz="4" w:space="0" w:color="53565A" w:themeColor="accent5"/>
              <w:bottom w:val="single" w:sz="4" w:space="0" w:color="53565A" w:themeColor="accent5"/>
            </w:tcBorders>
          </w:tcPr>
          <w:p w14:paraId="20B44673"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71.6</w:t>
            </w:r>
          </w:p>
        </w:tc>
        <w:tc>
          <w:tcPr>
            <w:tcW w:w="1254" w:type="dxa"/>
            <w:tcBorders>
              <w:top w:val="single" w:sz="4" w:space="0" w:color="53565A" w:themeColor="accent5"/>
              <w:bottom w:val="single" w:sz="4" w:space="0" w:color="53565A" w:themeColor="accent5"/>
            </w:tcBorders>
          </w:tcPr>
          <w:p w14:paraId="3EFF7E99"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71.8</w:t>
            </w:r>
          </w:p>
        </w:tc>
        <w:tc>
          <w:tcPr>
            <w:tcW w:w="1110" w:type="dxa"/>
            <w:tcBorders>
              <w:top w:val="single" w:sz="4" w:space="0" w:color="53565A" w:themeColor="accent5"/>
              <w:bottom w:val="single" w:sz="4" w:space="0" w:color="53565A" w:themeColor="accent5"/>
            </w:tcBorders>
          </w:tcPr>
          <w:p w14:paraId="6AA87EBC"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r>
      <w:tr w:rsidR="003C4131" w:rsidRPr="005734B8" w14:paraId="1B7F7CCF" w14:textId="77777777" w:rsidTr="00B05012">
        <w:tc>
          <w:tcPr>
            <w:tcW w:w="2197" w:type="dxa"/>
            <w:tcBorders>
              <w:top w:val="single" w:sz="4" w:space="0" w:color="53565A" w:themeColor="accent5"/>
              <w:bottom w:val="single" w:sz="4" w:space="0" w:color="53565A" w:themeColor="accent5"/>
            </w:tcBorders>
            <w:shd w:val="clear" w:color="auto" w:fill="auto"/>
          </w:tcPr>
          <w:p w14:paraId="363F401A" w14:textId="77777777" w:rsidR="003C4131" w:rsidRPr="005734B8" w:rsidRDefault="003C4131" w:rsidP="000C192E">
            <w:pPr>
              <w:pStyle w:val="ESTablebody"/>
              <w:rPr>
                <w:rFonts w:ascii="Calibri" w:hAnsi="Calibri" w:cs="Calibri"/>
                <w:sz w:val="18"/>
              </w:rPr>
            </w:pPr>
            <w:r w:rsidRPr="005734B8">
              <w:rPr>
                <w:rFonts w:ascii="Calibri" w:hAnsi="Calibri" w:cs="Calibri"/>
                <w:sz w:val="18"/>
                <w:lang w:val="en-AU"/>
              </w:rPr>
              <w:t>Year 5—Literacy</w:t>
            </w:r>
          </w:p>
        </w:tc>
        <w:tc>
          <w:tcPr>
            <w:tcW w:w="1109" w:type="dxa"/>
            <w:tcBorders>
              <w:top w:val="single" w:sz="4" w:space="0" w:color="53565A" w:themeColor="accent5"/>
              <w:bottom w:val="single" w:sz="4" w:space="0" w:color="53565A" w:themeColor="accent5"/>
            </w:tcBorders>
            <w:shd w:val="clear" w:color="auto" w:fill="auto"/>
          </w:tcPr>
          <w:p w14:paraId="338AF6F8"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per cent</w:t>
            </w:r>
          </w:p>
        </w:tc>
        <w:tc>
          <w:tcPr>
            <w:tcW w:w="1143" w:type="dxa"/>
            <w:tcBorders>
              <w:top w:val="single" w:sz="4" w:space="0" w:color="53565A" w:themeColor="accent5"/>
              <w:bottom w:val="single" w:sz="4" w:space="0" w:color="53565A" w:themeColor="accent5"/>
            </w:tcBorders>
            <w:shd w:val="clear" w:color="auto" w:fill="FFFFFF" w:themeFill="background1"/>
          </w:tcPr>
          <w:p w14:paraId="7531538B"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66.2</w:t>
            </w:r>
          </w:p>
        </w:tc>
        <w:tc>
          <w:tcPr>
            <w:tcW w:w="1057" w:type="dxa"/>
            <w:tcBorders>
              <w:top w:val="single" w:sz="4" w:space="0" w:color="53565A" w:themeColor="accent5"/>
              <w:bottom w:val="single" w:sz="4" w:space="0" w:color="53565A" w:themeColor="accent5"/>
            </w:tcBorders>
          </w:tcPr>
          <w:p w14:paraId="005EF855"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66.9</w:t>
            </w:r>
          </w:p>
        </w:tc>
        <w:tc>
          <w:tcPr>
            <w:tcW w:w="1140" w:type="dxa"/>
            <w:tcBorders>
              <w:top w:val="single" w:sz="4" w:space="0" w:color="53565A" w:themeColor="accent5"/>
              <w:bottom w:val="single" w:sz="4" w:space="0" w:color="53565A" w:themeColor="accent5"/>
            </w:tcBorders>
          </w:tcPr>
          <w:p w14:paraId="566979AB"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70.4</w:t>
            </w:r>
          </w:p>
        </w:tc>
        <w:tc>
          <w:tcPr>
            <w:tcW w:w="1254" w:type="dxa"/>
            <w:tcBorders>
              <w:top w:val="single" w:sz="4" w:space="0" w:color="53565A" w:themeColor="accent5"/>
              <w:bottom w:val="single" w:sz="4" w:space="0" w:color="53565A" w:themeColor="accent5"/>
            </w:tcBorders>
          </w:tcPr>
          <w:p w14:paraId="276D7615"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69.7</w:t>
            </w:r>
          </w:p>
        </w:tc>
        <w:tc>
          <w:tcPr>
            <w:tcW w:w="1110" w:type="dxa"/>
            <w:tcBorders>
              <w:top w:val="single" w:sz="4" w:space="0" w:color="53565A" w:themeColor="accent5"/>
              <w:bottom w:val="single" w:sz="4" w:space="0" w:color="53565A" w:themeColor="accent5"/>
            </w:tcBorders>
          </w:tcPr>
          <w:p w14:paraId="2D57C724"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r>
      <w:tr w:rsidR="003C4131" w:rsidRPr="005734B8" w14:paraId="15D0B29A" w14:textId="77777777" w:rsidTr="00B05012">
        <w:tc>
          <w:tcPr>
            <w:tcW w:w="2197" w:type="dxa"/>
            <w:tcBorders>
              <w:top w:val="single" w:sz="4" w:space="0" w:color="53565A" w:themeColor="accent5"/>
              <w:bottom w:val="single" w:sz="4" w:space="0" w:color="53565A" w:themeColor="accent5"/>
            </w:tcBorders>
            <w:shd w:val="clear" w:color="auto" w:fill="auto"/>
          </w:tcPr>
          <w:p w14:paraId="04E3C4AE" w14:textId="77777777" w:rsidR="003C4131" w:rsidRPr="005734B8" w:rsidRDefault="003C4131" w:rsidP="000C192E">
            <w:pPr>
              <w:pStyle w:val="ESTablebody"/>
              <w:rPr>
                <w:rFonts w:ascii="Calibri" w:hAnsi="Calibri" w:cs="Calibri"/>
                <w:sz w:val="18"/>
              </w:rPr>
            </w:pPr>
            <w:r w:rsidRPr="005734B8">
              <w:rPr>
                <w:rFonts w:ascii="Calibri" w:hAnsi="Calibri" w:cs="Calibri"/>
                <w:sz w:val="18"/>
                <w:lang w:val="en-AU"/>
              </w:rPr>
              <w:t>Year 5—Numeracy</w:t>
            </w:r>
          </w:p>
        </w:tc>
        <w:tc>
          <w:tcPr>
            <w:tcW w:w="1109" w:type="dxa"/>
            <w:tcBorders>
              <w:top w:val="single" w:sz="4" w:space="0" w:color="53565A" w:themeColor="accent5"/>
              <w:bottom w:val="single" w:sz="4" w:space="0" w:color="53565A" w:themeColor="accent5"/>
            </w:tcBorders>
            <w:shd w:val="clear" w:color="auto" w:fill="auto"/>
          </w:tcPr>
          <w:p w14:paraId="30FCF285"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per cent</w:t>
            </w:r>
          </w:p>
        </w:tc>
        <w:tc>
          <w:tcPr>
            <w:tcW w:w="1143" w:type="dxa"/>
            <w:tcBorders>
              <w:top w:val="single" w:sz="4" w:space="0" w:color="53565A" w:themeColor="accent5"/>
              <w:bottom w:val="single" w:sz="4" w:space="0" w:color="53565A" w:themeColor="accent5"/>
            </w:tcBorders>
            <w:shd w:val="clear" w:color="auto" w:fill="FFFFFF" w:themeFill="background1"/>
          </w:tcPr>
          <w:p w14:paraId="72F0B1B4"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61.0</w:t>
            </w:r>
          </w:p>
        </w:tc>
        <w:tc>
          <w:tcPr>
            <w:tcW w:w="1057" w:type="dxa"/>
            <w:tcBorders>
              <w:top w:val="single" w:sz="4" w:space="0" w:color="53565A" w:themeColor="accent5"/>
              <w:bottom w:val="single" w:sz="4" w:space="0" w:color="53565A" w:themeColor="accent5"/>
            </w:tcBorders>
          </w:tcPr>
          <w:p w14:paraId="16DE3AFB"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61.8</w:t>
            </w:r>
          </w:p>
        </w:tc>
        <w:tc>
          <w:tcPr>
            <w:tcW w:w="1140" w:type="dxa"/>
            <w:tcBorders>
              <w:top w:val="single" w:sz="4" w:space="0" w:color="53565A" w:themeColor="accent5"/>
              <w:bottom w:val="single" w:sz="4" w:space="0" w:color="53565A" w:themeColor="accent5"/>
            </w:tcBorders>
          </w:tcPr>
          <w:p w14:paraId="66897AEF"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62.2</w:t>
            </w:r>
          </w:p>
        </w:tc>
        <w:tc>
          <w:tcPr>
            <w:tcW w:w="1254" w:type="dxa"/>
            <w:tcBorders>
              <w:top w:val="single" w:sz="4" w:space="0" w:color="53565A" w:themeColor="accent5"/>
              <w:bottom w:val="single" w:sz="4" w:space="0" w:color="53565A" w:themeColor="accent5"/>
            </w:tcBorders>
          </w:tcPr>
          <w:p w14:paraId="433E152A"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64.0</w:t>
            </w:r>
          </w:p>
        </w:tc>
        <w:tc>
          <w:tcPr>
            <w:tcW w:w="1110" w:type="dxa"/>
            <w:tcBorders>
              <w:top w:val="single" w:sz="4" w:space="0" w:color="53565A" w:themeColor="accent5"/>
              <w:bottom w:val="single" w:sz="4" w:space="0" w:color="53565A" w:themeColor="accent5"/>
            </w:tcBorders>
          </w:tcPr>
          <w:p w14:paraId="3FBECD24"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r>
      <w:tr w:rsidR="003C4131" w:rsidRPr="005734B8" w14:paraId="585121B9" w14:textId="77777777" w:rsidTr="00B05012">
        <w:tc>
          <w:tcPr>
            <w:tcW w:w="2197" w:type="dxa"/>
            <w:tcBorders>
              <w:top w:val="single" w:sz="4" w:space="0" w:color="53565A" w:themeColor="accent5"/>
              <w:bottom w:val="single" w:sz="4" w:space="0" w:color="53565A" w:themeColor="accent5"/>
            </w:tcBorders>
            <w:shd w:val="clear" w:color="auto" w:fill="auto"/>
          </w:tcPr>
          <w:p w14:paraId="02606D3B" w14:textId="77777777" w:rsidR="003C4131" w:rsidRPr="005734B8" w:rsidRDefault="003C4131" w:rsidP="000C192E">
            <w:pPr>
              <w:pStyle w:val="ESTablebody"/>
              <w:rPr>
                <w:rFonts w:ascii="Calibri" w:hAnsi="Calibri" w:cs="Calibri"/>
                <w:sz w:val="18"/>
              </w:rPr>
            </w:pPr>
            <w:r w:rsidRPr="005734B8">
              <w:rPr>
                <w:rFonts w:ascii="Calibri" w:hAnsi="Calibri" w:cs="Calibri"/>
                <w:sz w:val="18"/>
                <w:lang w:val="en-AU"/>
              </w:rPr>
              <w:t>Year 7—Literacy</w:t>
            </w:r>
          </w:p>
        </w:tc>
        <w:tc>
          <w:tcPr>
            <w:tcW w:w="1109" w:type="dxa"/>
            <w:tcBorders>
              <w:top w:val="single" w:sz="4" w:space="0" w:color="53565A" w:themeColor="accent5"/>
              <w:bottom w:val="single" w:sz="4" w:space="0" w:color="53565A" w:themeColor="accent5"/>
            </w:tcBorders>
            <w:shd w:val="clear" w:color="auto" w:fill="auto"/>
          </w:tcPr>
          <w:p w14:paraId="484B1526"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per cent</w:t>
            </w:r>
          </w:p>
        </w:tc>
        <w:tc>
          <w:tcPr>
            <w:tcW w:w="1143" w:type="dxa"/>
            <w:tcBorders>
              <w:top w:val="single" w:sz="4" w:space="0" w:color="53565A" w:themeColor="accent5"/>
              <w:bottom w:val="single" w:sz="4" w:space="0" w:color="53565A" w:themeColor="accent5"/>
            </w:tcBorders>
            <w:shd w:val="clear" w:color="auto" w:fill="FFFFFF" w:themeFill="background1"/>
          </w:tcPr>
          <w:p w14:paraId="03772CCD"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56.9</w:t>
            </w:r>
          </w:p>
        </w:tc>
        <w:tc>
          <w:tcPr>
            <w:tcW w:w="1057" w:type="dxa"/>
            <w:tcBorders>
              <w:top w:val="single" w:sz="4" w:space="0" w:color="53565A" w:themeColor="accent5"/>
              <w:bottom w:val="single" w:sz="4" w:space="0" w:color="53565A" w:themeColor="accent5"/>
            </w:tcBorders>
          </w:tcPr>
          <w:p w14:paraId="0DFE5E5C"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60.8</w:t>
            </w:r>
          </w:p>
        </w:tc>
        <w:tc>
          <w:tcPr>
            <w:tcW w:w="1140" w:type="dxa"/>
            <w:tcBorders>
              <w:top w:val="single" w:sz="4" w:space="0" w:color="53565A" w:themeColor="accent5"/>
              <w:bottom w:val="single" w:sz="4" w:space="0" w:color="53565A" w:themeColor="accent5"/>
            </w:tcBorders>
          </w:tcPr>
          <w:p w14:paraId="7276B780"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59.7</w:t>
            </w:r>
          </w:p>
        </w:tc>
        <w:tc>
          <w:tcPr>
            <w:tcW w:w="1254" w:type="dxa"/>
            <w:tcBorders>
              <w:top w:val="single" w:sz="4" w:space="0" w:color="53565A" w:themeColor="accent5"/>
              <w:bottom w:val="single" w:sz="4" w:space="0" w:color="53565A" w:themeColor="accent5"/>
            </w:tcBorders>
          </w:tcPr>
          <w:p w14:paraId="4F6A9FA9"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62.0</w:t>
            </w:r>
          </w:p>
        </w:tc>
        <w:tc>
          <w:tcPr>
            <w:tcW w:w="1110" w:type="dxa"/>
            <w:tcBorders>
              <w:top w:val="single" w:sz="4" w:space="0" w:color="53565A" w:themeColor="accent5"/>
              <w:bottom w:val="single" w:sz="4" w:space="0" w:color="53565A" w:themeColor="accent5"/>
            </w:tcBorders>
          </w:tcPr>
          <w:p w14:paraId="487C0178"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r>
      <w:tr w:rsidR="003C4131" w:rsidRPr="005734B8" w14:paraId="3C53F751" w14:textId="77777777" w:rsidTr="00B05012">
        <w:tc>
          <w:tcPr>
            <w:tcW w:w="2197" w:type="dxa"/>
            <w:tcBorders>
              <w:top w:val="single" w:sz="4" w:space="0" w:color="53565A" w:themeColor="accent5"/>
              <w:bottom w:val="single" w:sz="4" w:space="0" w:color="53565A" w:themeColor="accent5"/>
            </w:tcBorders>
            <w:shd w:val="clear" w:color="auto" w:fill="auto"/>
          </w:tcPr>
          <w:p w14:paraId="3B879AD6" w14:textId="77777777" w:rsidR="003C4131" w:rsidRPr="005734B8" w:rsidRDefault="003C4131" w:rsidP="000C192E">
            <w:pPr>
              <w:pStyle w:val="ESTablebody"/>
              <w:rPr>
                <w:rFonts w:ascii="Calibri" w:hAnsi="Calibri" w:cs="Calibri"/>
                <w:sz w:val="18"/>
              </w:rPr>
            </w:pPr>
            <w:r w:rsidRPr="005734B8">
              <w:rPr>
                <w:rFonts w:ascii="Calibri" w:hAnsi="Calibri" w:cs="Calibri"/>
                <w:sz w:val="18"/>
                <w:lang w:val="en-AU"/>
              </w:rPr>
              <w:t>Year 7—Numeracy</w:t>
            </w:r>
          </w:p>
        </w:tc>
        <w:tc>
          <w:tcPr>
            <w:tcW w:w="1109" w:type="dxa"/>
            <w:tcBorders>
              <w:top w:val="single" w:sz="4" w:space="0" w:color="53565A" w:themeColor="accent5"/>
              <w:bottom w:val="single" w:sz="4" w:space="0" w:color="53565A" w:themeColor="accent5"/>
            </w:tcBorders>
            <w:shd w:val="clear" w:color="auto" w:fill="auto"/>
          </w:tcPr>
          <w:p w14:paraId="5C4BDB68"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per cent</w:t>
            </w:r>
          </w:p>
        </w:tc>
        <w:tc>
          <w:tcPr>
            <w:tcW w:w="1143" w:type="dxa"/>
            <w:tcBorders>
              <w:top w:val="single" w:sz="4" w:space="0" w:color="53565A" w:themeColor="accent5"/>
              <w:bottom w:val="single" w:sz="4" w:space="0" w:color="53565A" w:themeColor="accent5"/>
            </w:tcBorders>
            <w:shd w:val="clear" w:color="auto" w:fill="FFFFFF" w:themeFill="background1"/>
          </w:tcPr>
          <w:p w14:paraId="652D128D"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62.1</w:t>
            </w:r>
          </w:p>
        </w:tc>
        <w:tc>
          <w:tcPr>
            <w:tcW w:w="1057" w:type="dxa"/>
            <w:tcBorders>
              <w:top w:val="single" w:sz="4" w:space="0" w:color="53565A" w:themeColor="accent5"/>
              <w:bottom w:val="single" w:sz="4" w:space="0" w:color="53565A" w:themeColor="accent5"/>
            </w:tcBorders>
          </w:tcPr>
          <w:p w14:paraId="0D2D8909"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64.2</w:t>
            </w:r>
          </w:p>
        </w:tc>
        <w:tc>
          <w:tcPr>
            <w:tcW w:w="1140" w:type="dxa"/>
            <w:tcBorders>
              <w:top w:val="single" w:sz="4" w:space="0" w:color="53565A" w:themeColor="accent5"/>
              <w:bottom w:val="single" w:sz="4" w:space="0" w:color="53565A" w:themeColor="accent5"/>
            </w:tcBorders>
          </w:tcPr>
          <w:p w14:paraId="26EEE1A2"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61.1</w:t>
            </w:r>
          </w:p>
        </w:tc>
        <w:tc>
          <w:tcPr>
            <w:tcW w:w="1254" w:type="dxa"/>
            <w:tcBorders>
              <w:top w:val="single" w:sz="4" w:space="0" w:color="53565A" w:themeColor="accent5"/>
              <w:bottom w:val="single" w:sz="4" w:space="0" w:color="53565A" w:themeColor="accent5"/>
            </w:tcBorders>
          </w:tcPr>
          <w:p w14:paraId="3552C2A4"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64.2</w:t>
            </w:r>
          </w:p>
        </w:tc>
        <w:tc>
          <w:tcPr>
            <w:tcW w:w="1110" w:type="dxa"/>
            <w:tcBorders>
              <w:top w:val="single" w:sz="4" w:space="0" w:color="53565A" w:themeColor="accent5"/>
              <w:bottom w:val="single" w:sz="4" w:space="0" w:color="53565A" w:themeColor="accent5"/>
            </w:tcBorders>
          </w:tcPr>
          <w:p w14:paraId="4301EFA9"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r>
      <w:tr w:rsidR="003C4131" w:rsidRPr="005734B8" w14:paraId="558B4988" w14:textId="77777777" w:rsidTr="00B05012">
        <w:tc>
          <w:tcPr>
            <w:tcW w:w="2197" w:type="dxa"/>
            <w:tcBorders>
              <w:top w:val="single" w:sz="4" w:space="0" w:color="53565A" w:themeColor="accent5"/>
              <w:bottom w:val="single" w:sz="4" w:space="0" w:color="53565A" w:themeColor="accent5"/>
            </w:tcBorders>
            <w:shd w:val="clear" w:color="auto" w:fill="auto"/>
          </w:tcPr>
          <w:p w14:paraId="7C43BEDB" w14:textId="77777777" w:rsidR="003C4131" w:rsidRPr="005734B8" w:rsidRDefault="003C4131" w:rsidP="000C192E">
            <w:pPr>
              <w:pStyle w:val="ESTablebody"/>
              <w:rPr>
                <w:rFonts w:ascii="Calibri" w:hAnsi="Calibri" w:cs="Calibri"/>
                <w:sz w:val="18"/>
              </w:rPr>
            </w:pPr>
            <w:r w:rsidRPr="005734B8">
              <w:rPr>
                <w:rFonts w:ascii="Calibri" w:hAnsi="Calibri" w:cs="Calibri"/>
                <w:sz w:val="18"/>
                <w:lang w:val="en-AU"/>
              </w:rPr>
              <w:t>Year 9—Literacy</w:t>
            </w:r>
          </w:p>
        </w:tc>
        <w:tc>
          <w:tcPr>
            <w:tcW w:w="1109" w:type="dxa"/>
            <w:tcBorders>
              <w:top w:val="single" w:sz="4" w:space="0" w:color="53565A" w:themeColor="accent5"/>
              <w:bottom w:val="single" w:sz="4" w:space="0" w:color="53565A" w:themeColor="accent5"/>
            </w:tcBorders>
            <w:shd w:val="clear" w:color="auto" w:fill="auto"/>
          </w:tcPr>
          <w:p w14:paraId="4DFDCEFE"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per cent</w:t>
            </w:r>
          </w:p>
        </w:tc>
        <w:tc>
          <w:tcPr>
            <w:tcW w:w="1143" w:type="dxa"/>
            <w:tcBorders>
              <w:top w:val="single" w:sz="4" w:space="0" w:color="53565A" w:themeColor="accent5"/>
              <w:bottom w:val="single" w:sz="4" w:space="0" w:color="53565A" w:themeColor="accent5"/>
            </w:tcBorders>
            <w:shd w:val="clear" w:color="auto" w:fill="FFFFFF" w:themeFill="background1"/>
          </w:tcPr>
          <w:p w14:paraId="1CFAD4CC"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48.9</w:t>
            </w:r>
          </w:p>
        </w:tc>
        <w:tc>
          <w:tcPr>
            <w:tcW w:w="1057" w:type="dxa"/>
            <w:tcBorders>
              <w:top w:val="single" w:sz="4" w:space="0" w:color="53565A" w:themeColor="accent5"/>
              <w:bottom w:val="single" w:sz="4" w:space="0" w:color="53565A" w:themeColor="accent5"/>
            </w:tcBorders>
          </w:tcPr>
          <w:p w14:paraId="5DC24683"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50.4</w:t>
            </w:r>
          </w:p>
        </w:tc>
        <w:tc>
          <w:tcPr>
            <w:tcW w:w="1140" w:type="dxa"/>
            <w:tcBorders>
              <w:top w:val="single" w:sz="4" w:space="0" w:color="53565A" w:themeColor="accent5"/>
              <w:bottom w:val="single" w:sz="4" w:space="0" w:color="53565A" w:themeColor="accent5"/>
            </w:tcBorders>
          </w:tcPr>
          <w:p w14:paraId="0117F678"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53.0</w:t>
            </w:r>
          </w:p>
        </w:tc>
        <w:tc>
          <w:tcPr>
            <w:tcW w:w="1254" w:type="dxa"/>
            <w:tcBorders>
              <w:top w:val="single" w:sz="4" w:space="0" w:color="53565A" w:themeColor="accent5"/>
              <w:bottom w:val="single" w:sz="4" w:space="0" w:color="53565A" w:themeColor="accent5"/>
            </w:tcBorders>
          </w:tcPr>
          <w:p w14:paraId="0F571C22"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52.3</w:t>
            </w:r>
          </w:p>
        </w:tc>
        <w:tc>
          <w:tcPr>
            <w:tcW w:w="1110" w:type="dxa"/>
            <w:tcBorders>
              <w:top w:val="single" w:sz="4" w:space="0" w:color="53565A" w:themeColor="accent5"/>
              <w:bottom w:val="single" w:sz="4" w:space="0" w:color="53565A" w:themeColor="accent5"/>
            </w:tcBorders>
          </w:tcPr>
          <w:p w14:paraId="1BDF0338"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r>
      <w:tr w:rsidR="003C4131" w:rsidRPr="005734B8" w14:paraId="0A04893E" w14:textId="77777777" w:rsidTr="00B05012">
        <w:tc>
          <w:tcPr>
            <w:tcW w:w="2197" w:type="dxa"/>
            <w:tcBorders>
              <w:top w:val="single" w:sz="4" w:space="0" w:color="53565A" w:themeColor="accent5"/>
              <w:bottom w:val="single" w:sz="4" w:space="0" w:color="53565A" w:themeColor="accent5"/>
            </w:tcBorders>
            <w:shd w:val="clear" w:color="auto" w:fill="auto"/>
          </w:tcPr>
          <w:p w14:paraId="5B90C1DB" w14:textId="77777777" w:rsidR="003C4131" w:rsidRPr="005734B8" w:rsidRDefault="003C4131" w:rsidP="000C192E">
            <w:pPr>
              <w:pStyle w:val="ESTablebody"/>
              <w:rPr>
                <w:rFonts w:ascii="Calibri" w:hAnsi="Calibri" w:cs="Calibri"/>
                <w:sz w:val="18"/>
              </w:rPr>
            </w:pPr>
            <w:r w:rsidRPr="005734B8">
              <w:rPr>
                <w:rFonts w:ascii="Calibri" w:hAnsi="Calibri" w:cs="Calibri"/>
                <w:sz w:val="18"/>
                <w:lang w:val="en-AU"/>
              </w:rPr>
              <w:t>Year 9—Numeracy</w:t>
            </w:r>
          </w:p>
        </w:tc>
        <w:tc>
          <w:tcPr>
            <w:tcW w:w="1109" w:type="dxa"/>
            <w:tcBorders>
              <w:top w:val="single" w:sz="4" w:space="0" w:color="53565A" w:themeColor="accent5"/>
              <w:bottom w:val="single" w:sz="4" w:space="0" w:color="53565A" w:themeColor="accent5"/>
            </w:tcBorders>
            <w:shd w:val="clear" w:color="auto" w:fill="auto"/>
          </w:tcPr>
          <w:p w14:paraId="5B69CFD0"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per cent</w:t>
            </w:r>
          </w:p>
        </w:tc>
        <w:tc>
          <w:tcPr>
            <w:tcW w:w="1143" w:type="dxa"/>
            <w:tcBorders>
              <w:top w:val="single" w:sz="4" w:space="0" w:color="53565A" w:themeColor="accent5"/>
              <w:bottom w:val="single" w:sz="4" w:space="0" w:color="53565A" w:themeColor="accent5"/>
            </w:tcBorders>
            <w:shd w:val="clear" w:color="auto" w:fill="FFFFFF" w:themeFill="background1"/>
          </w:tcPr>
          <w:p w14:paraId="055655ED"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51.5</w:t>
            </w:r>
          </w:p>
        </w:tc>
        <w:tc>
          <w:tcPr>
            <w:tcW w:w="1057" w:type="dxa"/>
            <w:tcBorders>
              <w:top w:val="single" w:sz="4" w:space="0" w:color="53565A" w:themeColor="accent5"/>
              <w:bottom w:val="single" w:sz="4" w:space="0" w:color="53565A" w:themeColor="accent5"/>
            </w:tcBorders>
          </w:tcPr>
          <w:p w14:paraId="5C2B2622"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53.6</w:t>
            </w:r>
          </w:p>
        </w:tc>
        <w:tc>
          <w:tcPr>
            <w:tcW w:w="1140" w:type="dxa"/>
            <w:tcBorders>
              <w:top w:val="single" w:sz="4" w:space="0" w:color="53565A" w:themeColor="accent5"/>
              <w:bottom w:val="single" w:sz="4" w:space="0" w:color="53565A" w:themeColor="accent5"/>
            </w:tcBorders>
          </w:tcPr>
          <w:p w14:paraId="7E62D9AA"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57.5</w:t>
            </w:r>
          </w:p>
        </w:tc>
        <w:tc>
          <w:tcPr>
            <w:tcW w:w="1254" w:type="dxa"/>
            <w:tcBorders>
              <w:top w:val="single" w:sz="4" w:space="0" w:color="53565A" w:themeColor="accent5"/>
              <w:bottom w:val="single" w:sz="4" w:space="0" w:color="53565A" w:themeColor="accent5"/>
            </w:tcBorders>
          </w:tcPr>
          <w:p w14:paraId="31453D81"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55.4</w:t>
            </w:r>
          </w:p>
        </w:tc>
        <w:tc>
          <w:tcPr>
            <w:tcW w:w="1110" w:type="dxa"/>
            <w:tcBorders>
              <w:top w:val="single" w:sz="4" w:space="0" w:color="53565A" w:themeColor="accent5"/>
              <w:bottom w:val="single" w:sz="4" w:space="0" w:color="53565A" w:themeColor="accent5"/>
            </w:tcBorders>
          </w:tcPr>
          <w:p w14:paraId="48554352"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r>
      <w:tr w:rsidR="003C4131" w:rsidRPr="005734B8" w14:paraId="24A35AF7" w14:textId="77777777" w:rsidTr="00B05012">
        <w:tc>
          <w:tcPr>
            <w:tcW w:w="9010" w:type="dxa"/>
            <w:gridSpan w:val="7"/>
            <w:tcBorders>
              <w:top w:val="single" w:sz="4" w:space="0" w:color="53565A" w:themeColor="accent5"/>
              <w:bottom w:val="single" w:sz="4" w:space="0" w:color="53565A" w:themeColor="accent5"/>
            </w:tcBorders>
            <w:shd w:val="clear" w:color="auto" w:fill="auto"/>
          </w:tcPr>
          <w:p w14:paraId="6B11CAF0" w14:textId="77777777" w:rsidR="003C4131" w:rsidRPr="005734B8" w:rsidRDefault="003C4131" w:rsidP="000C192E">
            <w:pPr>
              <w:pStyle w:val="ESTablenumberrightaligned"/>
              <w:jc w:val="left"/>
              <w:rPr>
                <w:rFonts w:ascii="Calibri" w:hAnsi="Calibri" w:cs="Calibri"/>
                <w:sz w:val="18"/>
              </w:rPr>
            </w:pPr>
            <w:r w:rsidRPr="005734B8">
              <w:rPr>
                <w:rFonts w:ascii="Calibri" w:hAnsi="Calibri" w:cs="Calibri"/>
                <w:sz w:val="18"/>
                <w:lang w:val="en-AU"/>
              </w:rPr>
              <w:t>Proportion of students in the top two NAPLAN bands:</w:t>
            </w:r>
          </w:p>
        </w:tc>
      </w:tr>
      <w:tr w:rsidR="003C4131" w:rsidRPr="005734B8" w14:paraId="7B953611" w14:textId="77777777" w:rsidTr="00B05012">
        <w:tc>
          <w:tcPr>
            <w:tcW w:w="2197" w:type="dxa"/>
            <w:tcBorders>
              <w:top w:val="single" w:sz="4" w:space="0" w:color="53565A" w:themeColor="accent5"/>
              <w:bottom w:val="single" w:sz="4" w:space="0" w:color="53565A" w:themeColor="accent5"/>
            </w:tcBorders>
            <w:shd w:val="clear" w:color="auto" w:fill="auto"/>
          </w:tcPr>
          <w:p w14:paraId="29E58049" w14:textId="77777777" w:rsidR="003C4131" w:rsidRPr="005734B8" w:rsidRDefault="003C4131" w:rsidP="000C192E">
            <w:pPr>
              <w:pStyle w:val="ESTablebody"/>
              <w:rPr>
                <w:rFonts w:ascii="Calibri" w:hAnsi="Calibri" w:cs="Calibri"/>
                <w:sz w:val="18"/>
              </w:rPr>
            </w:pPr>
            <w:r w:rsidRPr="005734B8">
              <w:rPr>
                <w:rFonts w:ascii="Calibri" w:hAnsi="Calibri" w:cs="Calibri"/>
                <w:sz w:val="18"/>
                <w:lang w:val="en-AU"/>
              </w:rPr>
              <w:t>Year 3—Literacy</w:t>
            </w:r>
          </w:p>
        </w:tc>
        <w:tc>
          <w:tcPr>
            <w:tcW w:w="1109" w:type="dxa"/>
            <w:tcBorders>
              <w:top w:val="single" w:sz="4" w:space="0" w:color="53565A" w:themeColor="accent5"/>
              <w:bottom w:val="single" w:sz="4" w:space="0" w:color="53565A" w:themeColor="accent5"/>
            </w:tcBorders>
            <w:shd w:val="clear" w:color="auto" w:fill="auto"/>
          </w:tcPr>
          <w:p w14:paraId="64774017"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per cent</w:t>
            </w:r>
          </w:p>
        </w:tc>
        <w:tc>
          <w:tcPr>
            <w:tcW w:w="1143" w:type="dxa"/>
            <w:tcBorders>
              <w:top w:val="single" w:sz="4" w:space="0" w:color="53565A" w:themeColor="accent5"/>
              <w:bottom w:val="single" w:sz="4" w:space="0" w:color="53565A" w:themeColor="accent5"/>
            </w:tcBorders>
            <w:shd w:val="clear" w:color="auto" w:fill="FFFFFF" w:themeFill="background1"/>
          </w:tcPr>
          <w:p w14:paraId="4DE2AED0"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54.1</w:t>
            </w:r>
          </w:p>
        </w:tc>
        <w:tc>
          <w:tcPr>
            <w:tcW w:w="1057" w:type="dxa"/>
            <w:tcBorders>
              <w:top w:val="single" w:sz="4" w:space="0" w:color="53565A" w:themeColor="accent5"/>
              <w:bottom w:val="single" w:sz="4" w:space="0" w:color="53565A" w:themeColor="accent5"/>
            </w:tcBorders>
          </w:tcPr>
          <w:p w14:paraId="0C593017"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56.5</w:t>
            </w:r>
          </w:p>
        </w:tc>
        <w:tc>
          <w:tcPr>
            <w:tcW w:w="1140" w:type="dxa"/>
            <w:tcBorders>
              <w:top w:val="single" w:sz="4" w:space="0" w:color="53565A" w:themeColor="accent5"/>
              <w:bottom w:val="single" w:sz="4" w:space="0" w:color="53565A" w:themeColor="accent5"/>
            </w:tcBorders>
          </w:tcPr>
          <w:p w14:paraId="5496A39E"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58.3</w:t>
            </w:r>
          </w:p>
        </w:tc>
        <w:tc>
          <w:tcPr>
            <w:tcW w:w="1254" w:type="dxa"/>
            <w:tcBorders>
              <w:top w:val="single" w:sz="4" w:space="0" w:color="53565A" w:themeColor="accent5"/>
              <w:bottom w:val="single" w:sz="4" w:space="0" w:color="53565A" w:themeColor="accent5"/>
            </w:tcBorders>
          </w:tcPr>
          <w:p w14:paraId="320FC642"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58.0</w:t>
            </w:r>
          </w:p>
        </w:tc>
        <w:tc>
          <w:tcPr>
            <w:tcW w:w="1110" w:type="dxa"/>
            <w:tcBorders>
              <w:top w:val="single" w:sz="4" w:space="0" w:color="53565A" w:themeColor="accent5"/>
              <w:bottom w:val="single" w:sz="4" w:space="0" w:color="53565A" w:themeColor="accent5"/>
            </w:tcBorders>
          </w:tcPr>
          <w:p w14:paraId="22358DFF"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r>
      <w:tr w:rsidR="003C4131" w:rsidRPr="005734B8" w14:paraId="436F2CD1" w14:textId="77777777" w:rsidTr="00B05012">
        <w:tc>
          <w:tcPr>
            <w:tcW w:w="2197" w:type="dxa"/>
            <w:tcBorders>
              <w:top w:val="single" w:sz="4" w:space="0" w:color="53565A" w:themeColor="accent5"/>
              <w:bottom w:val="single" w:sz="4" w:space="0" w:color="53565A" w:themeColor="accent5"/>
            </w:tcBorders>
            <w:shd w:val="clear" w:color="auto" w:fill="auto"/>
          </w:tcPr>
          <w:p w14:paraId="2648207D" w14:textId="77777777" w:rsidR="003C4131" w:rsidRPr="005734B8" w:rsidRDefault="003C4131" w:rsidP="000C192E">
            <w:pPr>
              <w:pStyle w:val="ESTablebody"/>
              <w:rPr>
                <w:rFonts w:ascii="Calibri" w:hAnsi="Calibri" w:cs="Calibri"/>
                <w:sz w:val="18"/>
              </w:rPr>
            </w:pPr>
            <w:r w:rsidRPr="005734B8">
              <w:rPr>
                <w:rFonts w:ascii="Calibri" w:hAnsi="Calibri" w:cs="Calibri"/>
                <w:sz w:val="18"/>
                <w:lang w:val="en-AU"/>
              </w:rPr>
              <w:t>Year 3—Numeracy</w:t>
            </w:r>
          </w:p>
        </w:tc>
        <w:tc>
          <w:tcPr>
            <w:tcW w:w="1109" w:type="dxa"/>
            <w:tcBorders>
              <w:top w:val="single" w:sz="4" w:space="0" w:color="53565A" w:themeColor="accent5"/>
              <w:bottom w:val="single" w:sz="4" w:space="0" w:color="53565A" w:themeColor="accent5"/>
            </w:tcBorders>
            <w:shd w:val="clear" w:color="auto" w:fill="auto"/>
          </w:tcPr>
          <w:p w14:paraId="38132E0F"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per cent</w:t>
            </w:r>
          </w:p>
        </w:tc>
        <w:tc>
          <w:tcPr>
            <w:tcW w:w="1143" w:type="dxa"/>
            <w:tcBorders>
              <w:top w:val="single" w:sz="4" w:space="0" w:color="53565A" w:themeColor="accent5"/>
              <w:bottom w:val="single" w:sz="4" w:space="0" w:color="53565A" w:themeColor="accent5"/>
            </w:tcBorders>
            <w:shd w:val="clear" w:color="auto" w:fill="FFFFFF" w:themeFill="background1"/>
          </w:tcPr>
          <w:p w14:paraId="52DAB656"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40.7</w:t>
            </w:r>
          </w:p>
        </w:tc>
        <w:tc>
          <w:tcPr>
            <w:tcW w:w="1057" w:type="dxa"/>
            <w:tcBorders>
              <w:top w:val="single" w:sz="4" w:space="0" w:color="53565A" w:themeColor="accent5"/>
              <w:bottom w:val="single" w:sz="4" w:space="0" w:color="53565A" w:themeColor="accent5"/>
            </w:tcBorders>
          </w:tcPr>
          <w:p w14:paraId="2B91E69F"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44.3</w:t>
            </w:r>
          </w:p>
        </w:tc>
        <w:tc>
          <w:tcPr>
            <w:tcW w:w="1140" w:type="dxa"/>
            <w:tcBorders>
              <w:top w:val="single" w:sz="4" w:space="0" w:color="53565A" w:themeColor="accent5"/>
              <w:bottom w:val="single" w:sz="4" w:space="0" w:color="53565A" w:themeColor="accent5"/>
            </w:tcBorders>
          </w:tcPr>
          <w:p w14:paraId="17493263"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43.8</w:t>
            </w:r>
          </w:p>
        </w:tc>
        <w:tc>
          <w:tcPr>
            <w:tcW w:w="1254" w:type="dxa"/>
            <w:tcBorders>
              <w:top w:val="single" w:sz="4" w:space="0" w:color="53565A" w:themeColor="accent5"/>
              <w:bottom w:val="single" w:sz="4" w:space="0" w:color="53565A" w:themeColor="accent5"/>
            </w:tcBorders>
          </w:tcPr>
          <w:p w14:paraId="6E1EC486"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44.7</w:t>
            </w:r>
          </w:p>
        </w:tc>
        <w:tc>
          <w:tcPr>
            <w:tcW w:w="1110" w:type="dxa"/>
            <w:tcBorders>
              <w:top w:val="single" w:sz="4" w:space="0" w:color="53565A" w:themeColor="accent5"/>
              <w:bottom w:val="single" w:sz="4" w:space="0" w:color="53565A" w:themeColor="accent5"/>
            </w:tcBorders>
          </w:tcPr>
          <w:p w14:paraId="2D662A3D"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r>
      <w:tr w:rsidR="003C4131" w:rsidRPr="005734B8" w14:paraId="181C382F" w14:textId="77777777" w:rsidTr="00B05012">
        <w:tc>
          <w:tcPr>
            <w:tcW w:w="2197" w:type="dxa"/>
            <w:tcBorders>
              <w:top w:val="single" w:sz="4" w:space="0" w:color="53565A" w:themeColor="accent5"/>
              <w:bottom w:val="single" w:sz="4" w:space="0" w:color="53565A" w:themeColor="accent5"/>
            </w:tcBorders>
            <w:shd w:val="clear" w:color="auto" w:fill="auto"/>
          </w:tcPr>
          <w:p w14:paraId="1B1732C8" w14:textId="77777777" w:rsidR="003C4131" w:rsidRPr="005734B8" w:rsidRDefault="003C4131" w:rsidP="000C192E">
            <w:pPr>
              <w:pStyle w:val="ESTablebody"/>
              <w:rPr>
                <w:rFonts w:ascii="Calibri" w:hAnsi="Calibri" w:cs="Calibri"/>
                <w:sz w:val="18"/>
              </w:rPr>
            </w:pPr>
            <w:r w:rsidRPr="005734B8">
              <w:rPr>
                <w:rFonts w:ascii="Calibri" w:hAnsi="Calibri" w:cs="Calibri"/>
                <w:sz w:val="18"/>
                <w:lang w:val="en-AU"/>
              </w:rPr>
              <w:t>Year 5—Literacy</w:t>
            </w:r>
          </w:p>
        </w:tc>
        <w:tc>
          <w:tcPr>
            <w:tcW w:w="1109" w:type="dxa"/>
            <w:tcBorders>
              <w:top w:val="single" w:sz="4" w:space="0" w:color="53565A" w:themeColor="accent5"/>
              <w:bottom w:val="single" w:sz="4" w:space="0" w:color="53565A" w:themeColor="accent5"/>
            </w:tcBorders>
            <w:shd w:val="clear" w:color="auto" w:fill="auto"/>
          </w:tcPr>
          <w:p w14:paraId="6403E8DD"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per cent</w:t>
            </w:r>
          </w:p>
        </w:tc>
        <w:tc>
          <w:tcPr>
            <w:tcW w:w="1143" w:type="dxa"/>
            <w:tcBorders>
              <w:top w:val="single" w:sz="4" w:space="0" w:color="53565A" w:themeColor="accent5"/>
              <w:bottom w:val="single" w:sz="4" w:space="0" w:color="53565A" w:themeColor="accent5"/>
            </w:tcBorders>
            <w:shd w:val="clear" w:color="auto" w:fill="FFFFFF" w:themeFill="background1"/>
          </w:tcPr>
          <w:p w14:paraId="050947B2"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38.3</w:t>
            </w:r>
          </w:p>
        </w:tc>
        <w:tc>
          <w:tcPr>
            <w:tcW w:w="1057" w:type="dxa"/>
            <w:tcBorders>
              <w:top w:val="single" w:sz="4" w:space="0" w:color="53565A" w:themeColor="accent5"/>
              <w:bottom w:val="single" w:sz="4" w:space="0" w:color="53565A" w:themeColor="accent5"/>
            </w:tcBorders>
          </w:tcPr>
          <w:p w14:paraId="5010303C"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39.7</w:t>
            </w:r>
          </w:p>
        </w:tc>
        <w:tc>
          <w:tcPr>
            <w:tcW w:w="1140" w:type="dxa"/>
            <w:tcBorders>
              <w:top w:val="single" w:sz="4" w:space="0" w:color="53565A" w:themeColor="accent5"/>
              <w:bottom w:val="single" w:sz="4" w:space="0" w:color="53565A" w:themeColor="accent5"/>
            </w:tcBorders>
          </w:tcPr>
          <w:p w14:paraId="18174CF5"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43.0</w:t>
            </w:r>
          </w:p>
        </w:tc>
        <w:tc>
          <w:tcPr>
            <w:tcW w:w="1254" w:type="dxa"/>
            <w:tcBorders>
              <w:top w:val="single" w:sz="4" w:space="0" w:color="53565A" w:themeColor="accent5"/>
              <w:bottom w:val="single" w:sz="4" w:space="0" w:color="53565A" w:themeColor="accent5"/>
            </w:tcBorders>
          </w:tcPr>
          <w:p w14:paraId="50F020B4"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40.4</w:t>
            </w:r>
          </w:p>
        </w:tc>
        <w:tc>
          <w:tcPr>
            <w:tcW w:w="1110" w:type="dxa"/>
            <w:tcBorders>
              <w:top w:val="single" w:sz="4" w:space="0" w:color="53565A" w:themeColor="accent5"/>
              <w:bottom w:val="single" w:sz="4" w:space="0" w:color="53565A" w:themeColor="accent5"/>
            </w:tcBorders>
          </w:tcPr>
          <w:p w14:paraId="27238118"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r>
      <w:tr w:rsidR="003C4131" w:rsidRPr="005734B8" w14:paraId="4378646F" w14:textId="77777777" w:rsidTr="00B05012">
        <w:tc>
          <w:tcPr>
            <w:tcW w:w="2197" w:type="dxa"/>
            <w:tcBorders>
              <w:top w:val="single" w:sz="4" w:space="0" w:color="53565A" w:themeColor="accent5"/>
              <w:bottom w:val="single" w:sz="4" w:space="0" w:color="53565A" w:themeColor="accent5"/>
            </w:tcBorders>
            <w:shd w:val="clear" w:color="auto" w:fill="auto"/>
          </w:tcPr>
          <w:p w14:paraId="0DA41AF9" w14:textId="77777777" w:rsidR="003C4131" w:rsidRPr="005734B8" w:rsidRDefault="003C4131" w:rsidP="000C192E">
            <w:pPr>
              <w:pStyle w:val="ESTablebody"/>
              <w:rPr>
                <w:rFonts w:ascii="Calibri" w:hAnsi="Calibri" w:cs="Calibri"/>
                <w:sz w:val="18"/>
              </w:rPr>
            </w:pPr>
            <w:r w:rsidRPr="005734B8">
              <w:rPr>
                <w:rFonts w:ascii="Calibri" w:hAnsi="Calibri" w:cs="Calibri"/>
                <w:sz w:val="18"/>
                <w:lang w:val="en-AU"/>
              </w:rPr>
              <w:t>Year 5—Numeracy</w:t>
            </w:r>
          </w:p>
        </w:tc>
        <w:tc>
          <w:tcPr>
            <w:tcW w:w="1109" w:type="dxa"/>
            <w:tcBorders>
              <w:top w:val="single" w:sz="4" w:space="0" w:color="53565A" w:themeColor="accent5"/>
              <w:bottom w:val="single" w:sz="4" w:space="0" w:color="53565A" w:themeColor="accent5"/>
            </w:tcBorders>
            <w:shd w:val="clear" w:color="auto" w:fill="auto"/>
          </w:tcPr>
          <w:p w14:paraId="6BAB8943"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per cent</w:t>
            </w:r>
          </w:p>
        </w:tc>
        <w:tc>
          <w:tcPr>
            <w:tcW w:w="1143" w:type="dxa"/>
            <w:tcBorders>
              <w:top w:val="single" w:sz="4" w:space="0" w:color="53565A" w:themeColor="accent5"/>
              <w:bottom w:val="single" w:sz="4" w:space="0" w:color="53565A" w:themeColor="accent5"/>
            </w:tcBorders>
            <w:shd w:val="clear" w:color="auto" w:fill="FFFFFF" w:themeFill="background1"/>
          </w:tcPr>
          <w:p w14:paraId="2EBDC222"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31.7</w:t>
            </w:r>
          </w:p>
        </w:tc>
        <w:tc>
          <w:tcPr>
            <w:tcW w:w="1057" w:type="dxa"/>
            <w:tcBorders>
              <w:top w:val="single" w:sz="4" w:space="0" w:color="53565A" w:themeColor="accent5"/>
              <w:bottom w:val="single" w:sz="4" w:space="0" w:color="53565A" w:themeColor="accent5"/>
            </w:tcBorders>
          </w:tcPr>
          <w:p w14:paraId="40CD5051"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30.6</w:t>
            </w:r>
          </w:p>
        </w:tc>
        <w:tc>
          <w:tcPr>
            <w:tcW w:w="1140" w:type="dxa"/>
            <w:tcBorders>
              <w:top w:val="single" w:sz="4" w:space="0" w:color="53565A" w:themeColor="accent5"/>
              <w:bottom w:val="single" w:sz="4" w:space="0" w:color="53565A" w:themeColor="accent5"/>
            </w:tcBorders>
          </w:tcPr>
          <w:p w14:paraId="1F8F1596"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31.1</w:t>
            </w:r>
          </w:p>
        </w:tc>
        <w:tc>
          <w:tcPr>
            <w:tcW w:w="1254" w:type="dxa"/>
            <w:tcBorders>
              <w:top w:val="single" w:sz="4" w:space="0" w:color="53565A" w:themeColor="accent5"/>
              <w:bottom w:val="single" w:sz="4" w:space="0" w:color="53565A" w:themeColor="accent5"/>
            </w:tcBorders>
          </w:tcPr>
          <w:p w14:paraId="4F3BCD05"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33.3</w:t>
            </w:r>
          </w:p>
        </w:tc>
        <w:tc>
          <w:tcPr>
            <w:tcW w:w="1110" w:type="dxa"/>
            <w:tcBorders>
              <w:top w:val="single" w:sz="4" w:space="0" w:color="53565A" w:themeColor="accent5"/>
              <w:bottom w:val="single" w:sz="4" w:space="0" w:color="53565A" w:themeColor="accent5"/>
            </w:tcBorders>
          </w:tcPr>
          <w:p w14:paraId="44351521"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r>
      <w:tr w:rsidR="003C4131" w:rsidRPr="005734B8" w14:paraId="1A0FCF4E" w14:textId="77777777" w:rsidTr="00B05012">
        <w:tc>
          <w:tcPr>
            <w:tcW w:w="2197" w:type="dxa"/>
            <w:tcBorders>
              <w:top w:val="single" w:sz="4" w:space="0" w:color="53565A" w:themeColor="accent5"/>
              <w:bottom w:val="single" w:sz="4" w:space="0" w:color="53565A" w:themeColor="accent5"/>
            </w:tcBorders>
            <w:shd w:val="clear" w:color="auto" w:fill="auto"/>
          </w:tcPr>
          <w:p w14:paraId="7CB1E12B" w14:textId="77777777" w:rsidR="003C4131" w:rsidRPr="005734B8" w:rsidRDefault="003C4131" w:rsidP="000C192E">
            <w:pPr>
              <w:pStyle w:val="ESTablebody"/>
              <w:rPr>
                <w:rFonts w:ascii="Calibri" w:hAnsi="Calibri" w:cs="Calibri"/>
                <w:sz w:val="18"/>
              </w:rPr>
            </w:pPr>
            <w:r w:rsidRPr="005734B8">
              <w:rPr>
                <w:rFonts w:ascii="Calibri" w:hAnsi="Calibri" w:cs="Calibri"/>
                <w:sz w:val="18"/>
                <w:lang w:val="en-AU"/>
              </w:rPr>
              <w:t>Year 7—Literacy</w:t>
            </w:r>
          </w:p>
        </w:tc>
        <w:tc>
          <w:tcPr>
            <w:tcW w:w="1109" w:type="dxa"/>
            <w:tcBorders>
              <w:top w:val="single" w:sz="4" w:space="0" w:color="53565A" w:themeColor="accent5"/>
              <w:bottom w:val="single" w:sz="4" w:space="0" w:color="53565A" w:themeColor="accent5"/>
            </w:tcBorders>
            <w:shd w:val="clear" w:color="auto" w:fill="auto"/>
          </w:tcPr>
          <w:p w14:paraId="4F182F92"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per cent</w:t>
            </w:r>
          </w:p>
        </w:tc>
        <w:tc>
          <w:tcPr>
            <w:tcW w:w="1143" w:type="dxa"/>
            <w:tcBorders>
              <w:top w:val="single" w:sz="4" w:space="0" w:color="53565A" w:themeColor="accent5"/>
              <w:bottom w:val="single" w:sz="4" w:space="0" w:color="53565A" w:themeColor="accent5"/>
            </w:tcBorders>
            <w:shd w:val="clear" w:color="auto" w:fill="FFFFFF" w:themeFill="background1"/>
          </w:tcPr>
          <w:p w14:paraId="6DE5E51A"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27.4</w:t>
            </w:r>
          </w:p>
        </w:tc>
        <w:tc>
          <w:tcPr>
            <w:tcW w:w="1057" w:type="dxa"/>
            <w:tcBorders>
              <w:top w:val="single" w:sz="4" w:space="0" w:color="53565A" w:themeColor="accent5"/>
              <w:bottom w:val="single" w:sz="4" w:space="0" w:color="53565A" w:themeColor="accent5"/>
            </w:tcBorders>
          </w:tcPr>
          <w:p w14:paraId="27931A52"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30.9</w:t>
            </w:r>
          </w:p>
        </w:tc>
        <w:tc>
          <w:tcPr>
            <w:tcW w:w="1140" w:type="dxa"/>
            <w:tcBorders>
              <w:top w:val="single" w:sz="4" w:space="0" w:color="53565A" w:themeColor="accent5"/>
              <w:bottom w:val="single" w:sz="4" w:space="0" w:color="53565A" w:themeColor="accent5"/>
            </w:tcBorders>
          </w:tcPr>
          <w:p w14:paraId="516589A4"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28.5</w:t>
            </w:r>
          </w:p>
        </w:tc>
        <w:tc>
          <w:tcPr>
            <w:tcW w:w="1254" w:type="dxa"/>
            <w:tcBorders>
              <w:top w:val="single" w:sz="4" w:space="0" w:color="53565A" w:themeColor="accent5"/>
              <w:bottom w:val="single" w:sz="4" w:space="0" w:color="53565A" w:themeColor="accent5"/>
            </w:tcBorders>
          </w:tcPr>
          <w:p w14:paraId="3F5E27DA"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30.7</w:t>
            </w:r>
          </w:p>
        </w:tc>
        <w:tc>
          <w:tcPr>
            <w:tcW w:w="1110" w:type="dxa"/>
            <w:tcBorders>
              <w:top w:val="single" w:sz="4" w:space="0" w:color="53565A" w:themeColor="accent5"/>
              <w:bottom w:val="single" w:sz="4" w:space="0" w:color="53565A" w:themeColor="accent5"/>
            </w:tcBorders>
          </w:tcPr>
          <w:p w14:paraId="1A2BB6C8"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r>
      <w:tr w:rsidR="003C4131" w:rsidRPr="005734B8" w14:paraId="2A2E09AC" w14:textId="77777777" w:rsidTr="00B05012">
        <w:tc>
          <w:tcPr>
            <w:tcW w:w="2197" w:type="dxa"/>
            <w:tcBorders>
              <w:top w:val="single" w:sz="4" w:space="0" w:color="53565A" w:themeColor="accent5"/>
              <w:bottom w:val="single" w:sz="4" w:space="0" w:color="53565A" w:themeColor="accent5"/>
            </w:tcBorders>
            <w:shd w:val="clear" w:color="auto" w:fill="auto"/>
          </w:tcPr>
          <w:p w14:paraId="6B90A319" w14:textId="77777777" w:rsidR="003C4131" w:rsidRPr="005734B8" w:rsidRDefault="003C4131" w:rsidP="000C192E">
            <w:pPr>
              <w:pStyle w:val="ESTablebody"/>
              <w:rPr>
                <w:rFonts w:ascii="Calibri" w:hAnsi="Calibri" w:cs="Calibri"/>
                <w:sz w:val="18"/>
              </w:rPr>
            </w:pPr>
            <w:r w:rsidRPr="005734B8">
              <w:rPr>
                <w:rFonts w:ascii="Calibri" w:hAnsi="Calibri" w:cs="Calibri"/>
                <w:sz w:val="18"/>
                <w:lang w:val="en-AU"/>
              </w:rPr>
              <w:t>Year 7—Numeracy</w:t>
            </w:r>
          </w:p>
        </w:tc>
        <w:tc>
          <w:tcPr>
            <w:tcW w:w="1109" w:type="dxa"/>
            <w:tcBorders>
              <w:top w:val="single" w:sz="4" w:space="0" w:color="53565A" w:themeColor="accent5"/>
              <w:bottom w:val="single" w:sz="4" w:space="0" w:color="53565A" w:themeColor="accent5"/>
            </w:tcBorders>
            <w:shd w:val="clear" w:color="auto" w:fill="auto"/>
          </w:tcPr>
          <w:p w14:paraId="26CDE607"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per cent</w:t>
            </w:r>
          </w:p>
        </w:tc>
        <w:tc>
          <w:tcPr>
            <w:tcW w:w="1143" w:type="dxa"/>
            <w:tcBorders>
              <w:top w:val="single" w:sz="4" w:space="0" w:color="53565A" w:themeColor="accent5"/>
              <w:bottom w:val="single" w:sz="4" w:space="0" w:color="53565A" w:themeColor="accent5"/>
            </w:tcBorders>
            <w:shd w:val="clear" w:color="auto" w:fill="FFFFFF" w:themeFill="background1"/>
          </w:tcPr>
          <w:p w14:paraId="43FE5C68"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32.4</w:t>
            </w:r>
          </w:p>
        </w:tc>
        <w:tc>
          <w:tcPr>
            <w:tcW w:w="1057" w:type="dxa"/>
            <w:tcBorders>
              <w:top w:val="single" w:sz="4" w:space="0" w:color="53565A" w:themeColor="accent5"/>
              <w:bottom w:val="single" w:sz="4" w:space="0" w:color="53565A" w:themeColor="accent5"/>
            </w:tcBorders>
          </w:tcPr>
          <w:p w14:paraId="102BCEA9"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35.0</w:t>
            </w:r>
          </w:p>
        </w:tc>
        <w:tc>
          <w:tcPr>
            <w:tcW w:w="1140" w:type="dxa"/>
            <w:tcBorders>
              <w:top w:val="single" w:sz="4" w:space="0" w:color="53565A" w:themeColor="accent5"/>
              <w:bottom w:val="single" w:sz="4" w:space="0" w:color="53565A" w:themeColor="accent5"/>
            </w:tcBorders>
          </w:tcPr>
          <w:p w14:paraId="7BA3EACE"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31.1</w:t>
            </w:r>
          </w:p>
        </w:tc>
        <w:tc>
          <w:tcPr>
            <w:tcW w:w="1254" w:type="dxa"/>
            <w:tcBorders>
              <w:top w:val="single" w:sz="4" w:space="0" w:color="53565A" w:themeColor="accent5"/>
              <w:bottom w:val="single" w:sz="4" w:space="0" w:color="53565A" w:themeColor="accent5"/>
            </w:tcBorders>
          </w:tcPr>
          <w:p w14:paraId="5A73D0A1"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36.2</w:t>
            </w:r>
          </w:p>
        </w:tc>
        <w:tc>
          <w:tcPr>
            <w:tcW w:w="1110" w:type="dxa"/>
            <w:tcBorders>
              <w:top w:val="single" w:sz="4" w:space="0" w:color="53565A" w:themeColor="accent5"/>
              <w:bottom w:val="single" w:sz="4" w:space="0" w:color="53565A" w:themeColor="accent5"/>
            </w:tcBorders>
          </w:tcPr>
          <w:p w14:paraId="28178AA1"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r>
      <w:tr w:rsidR="003C4131" w:rsidRPr="005734B8" w14:paraId="2450FFB7" w14:textId="77777777" w:rsidTr="00B05012">
        <w:tc>
          <w:tcPr>
            <w:tcW w:w="2197" w:type="dxa"/>
            <w:tcBorders>
              <w:top w:val="single" w:sz="4" w:space="0" w:color="53565A" w:themeColor="accent5"/>
              <w:bottom w:val="single" w:sz="4" w:space="0" w:color="53565A" w:themeColor="accent5"/>
            </w:tcBorders>
            <w:shd w:val="clear" w:color="auto" w:fill="auto"/>
          </w:tcPr>
          <w:p w14:paraId="4335D464" w14:textId="77777777" w:rsidR="003C4131" w:rsidRPr="005734B8" w:rsidRDefault="003C4131" w:rsidP="000C192E">
            <w:pPr>
              <w:pStyle w:val="ESTablebody"/>
              <w:rPr>
                <w:rFonts w:ascii="Calibri" w:hAnsi="Calibri" w:cs="Calibri"/>
                <w:sz w:val="18"/>
              </w:rPr>
            </w:pPr>
            <w:r w:rsidRPr="005734B8">
              <w:rPr>
                <w:rFonts w:ascii="Calibri" w:hAnsi="Calibri" w:cs="Calibri"/>
                <w:sz w:val="18"/>
                <w:lang w:val="en-AU"/>
              </w:rPr>
              <w:t>Year 9—Literacy</w:t>
            </w:r>
          </w:p>
        </w:tc>
        <w:tc>
          <w:tcPr>
            <w:tcW w:w="1109" w:type="dxa"/>
            <w:tcBorders>
              <w:top w:val="single" w:sz="4" w:space="0" w:color="53565A" w:themeColor="accent5"/>
              <w:bottom w:val="single" w:sz="4" w:space="0" w:color="53565A" w:themeColor="accent5"/>
            </w:tcBorders>
            <w:shd w:val="clear" w:color="auto" w:fill="auto"/>
          </w:tcPr>
          <w:p w14:paraId="0321D00E"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per cent</w:t>
            </w:r>
          </w:p>
        </w:tc>
        <w:tc>
          <w:tcPr>
            <w:tcW w:w="1143" w:type="dxa"/>
            <w:tcBorders>
              <w:top w:val="single" w:sz="4" w:space="0" w:color="53565A" w:themeColor="accent5"/>
              <w:bottom w:val="single" w:sz="4" w:space="0" w:color="53565A" w:themeColor="accent5"/>
            </w:tcBorders>
            <w:shd w:val="clear" w:color="auto" w:fill="FFFFFF" w:themeFill="background1"/>
          </w:tcPr>
          <w:p w14:paraId="433766C1"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20.7</w:t>
            </w:r>
          </w:p>
        </w:tc>
        <w:tc>
          <w:tcPr>
            <w:tcW w:w="1057" w:type="dxa"/>
            <w:tcBorders>
              <w:top w:val="single" w:sz="4" w:space="0" w:color="53565A" w:themeColor="accent5"/>
              <w:bottom w:val="single" w:sz="4" w:space="0" w:color="53565A" w:themeColor="accent5"/>
            </w:tcBorders>
          </w:tcPr>
          <w:p w14:paraId="3F6DC066"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20.5</w:t>
            </w:r>
          </w:p>
        </w:tc>
        <w:tc>
          <w:tcPr>
            <w:tcW w:w="1140" w:type="dxa"/>
            <w:tcBorders>
              <w:top w:val="single" w:sz="4" w:space="0" w:color="53565A" w:themeColor="accent5"/>
              <w:bottom w:val="single" w:sz="4" w:space="0" w:color="53565A" w:themeColor="accent5"/>
            </w:tcBorders>
          </w:tcPr>
          <w:p w14:paraId="707AE211"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21.7</w:t>
            </w:r>
          </w:p>
        </w:tc>
        <w:tc>
          <w:tcPr>
            <w:tcW w:w="1254" w:type="dxa"/>
            <w:tcBorders>
              <w:top w:val="single" w:sz="4" w:space="0" w:color="53565A" w:themeColor="accent5"/>
              <w:bottom w:val="single" w:sz="4" w:space="0" w:color="53565A" w:themeColor="accent5"/>
            </w:tcBorders>
          </w:tcPr>
          <w:p w14:paraId="353F9E49"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22.6</w:t>
            </w:r>
          </w:p>
        </w:tc>
        <w:tc>
          <w:tcPr>
            <w:tcW w:w="1110" w:type="dxa"/>
            <w:tcBorders>
              <w:top w:val="single" w:sz="4" w:space="0" w:color="53565A" w:themeColor="accent5"/>
              <w:bottom w:val="single" w:sz="4" w:space="0" w:color="53565A" w:themeColor="accent5"/>
            </w:tcBorders>
          </w:tcPr>
          <w:p w14:paraId="64A836F3"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r>
      <w:tr w:rsidR="003C4131" w:rsidRPr="005734B8" w14:paraId="13B782A0" w14:textId="77777777" w:rsidTr="00B05012">
        <w:tc>
          <w:tcPr>
            <w:tcW w:w="2197" w:type="dxa"/>
            <w:tcBorders>
              <w:top w:val="single" w:sz="4" w:space="0" w:color="53565A" w:themeColor="accent5"/>
              <w:bottom w:val="single" w:sz="4" w:space="0" w:color="53565A" w:themeColor="accent5"/>
            </w:tcBorders>
            <w:shd w:val="clear" w:color="auto" w:fill="auto"/>
          </w:tcPr>
          <w:p w14:paraId="526ED77C" w14:textId="77777777" w:rsidR="003C4131" w:rsidRPr="005734B8" w:rsidRDefault="003C4131" w:rsidP="000C192E">
            <w:pPr>
              <w:pStyle w:val="ESTablebody"/>
              <w:rPr>
                <w:rFonts w:ascii="Calibri" w:hAnsi="Calibri" w:cs="Calibri"/>
                <w:sz w:val="18"/>
              </w:rPr>
            </w:pPr>
            <w:r w:rsidRPr="005734B8">
              <w:rPr>
                <w:rFonts w:ascii="Calibri" w:hAnsi="Calibri" w:cs="Calibri"/>
                <w:sz w:val="18"/>
                <w:lang w:val="en-AU"/>
              </w:rPr>
              <w:t>Year 9—Numeracy</w:t>
            </w:r>
          </w:p>
        </w:tc>
        <w:tc>
          <w:tcPr>
            <w:tcW w:w="1109" w:type="dxa"/>
            <w:tcBorders>
              <w:top w:val="single" w:sz="4" w:space="0" w:color="53565A" w:themeColor="accent5"/>
              <w:bottom w:val="single" w:sz="4" w:space="0" w:color="53565A" w:themeColor="accent5"/>
            </w:tcBorders>
            <w:shd w:val="clear" w:color="auto" w:fill="auto"/>
          </w:tcPr>
          <w:p w14:paraId="014D9F3F"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per cent</w:t>
            </w:r>
          </w:p>
        </w:tc>
        <w:tc>
          <w:tcPr>
            <w:tcW w:w="1143" w:type="dxa"/>
            <w:tcBorders>
              <w:top w:val="single" w:sz="4" w:space="0" w:color="53565A" w:themeColor="accent5"/>
              <w:bottom w:val="single" w:sz="4" w:space="0" w:color="53565A" w:themeColor="accent5"/>
            </w:tcBorders>
            <w:shd w:val="clear" w:color="auto" w:fill="FFFFFF" w:themeFill="background1"/>
          </w:tcPr>
          <w:p w14:paraId="19E2D648"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23.3</w:t>
            </w:r>
          </w:p>
        </w:tc>
        <w:tc>
          <w:tcPr>
            <w:tcW w:w="1057" w:type="dxa"/>
            <w:tcBorders>
              <w:top w:val="single" w:sz="4" w:space="0" w:color="53565A" w:themeColor="accent5"/>
              <w:bottom w:val="single" w:sz="4" w:space="0" w:color="53565A" w:themeColor="accent5"/>
            </w:tcBorders>
          </w:tcPr>
          <w:p w14:paraId="2E4349F2"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23.8</w:t>
            </w:r>
          </w:p>
        </w:tc>
        <w:tc>
          <w:tcPr>
            <w:tcW w:w="1140" w:type="dxa"/>
            <w:tcBorders>
              <w:top w:val="single" w:sz="4" w:space="0" w:color="53565A" w:themeColor="accent5"/>
              <w:bottom w:val="single" w:sz="4" w:space="0" w:color="53565A" w:themeColor="accent5"/>
            </w:tcBorders>
          </w:tcPr>
          <w:p w14:paraId="66789A52"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27.2</w:t>
            </w:r>
          </w:p>
        </w:tc>
        <w:tc>
          <w:tcPr>
            <w:tcW w:w="1254" w:type="dxa"/>
            <w:tcBorders>
              <w:top w:val="single" w:sz="4" w:space="0" w:color="53565A" w:themeColor="accent5"/>
              <w:bottom w:val="single" w:sz="4" w:space="0" w:color="53565A" w:themeColor="accent5"/>
            </w:tcBorders>
          </w:tcPr>
          <w:p w14:paraId="3BC53656"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25.7</w:t>
            </w:r>
          </w:p>
        </w:tc>
        <w:tc>
          <w:tcPr>
            <w:tcW w:w="1110" w:type="dxa"/>
            <w:tcBorders>
              <w:top w:val="single" w:sz="4" w:space="0" w:color="53565A" w:themeColor="accent5"/>
              <w:bottom w:val="single" w:sz="4" w:space="0" w:color="53565A" w:themeColor="accent5"/>
            </w:tcBorders>
          </w:tcPr>
          <w:p w14:paraId="17C24AAD"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r>
      <w:tr w:rsidR="003C4131" w:rsidRPr="005734B8" w14:paraId="61334080" w14:textId="77777777" w:rsidTr="009959F8">
        <w:trPr>
          <w:trHeight w:val="1119"/>
        </w:trPr>
        <w:tc>
          <w:tcPr>
            <w:tcW w:w="2197" w:type="dxa"/>
            <w:tcBorders>
              <w:top w:val="single" w:sz="4" w:space="0" w:color="53565A" w:themeColor="accent5"/>
              <w:bottom w:val="single" w:sz="4" w:space="0" w:color="auto"/>
            </w:tcBorders>
            <w:shd w:val="clear" w:color="auto" w:fill="auto"/>
          </w:tcPr>
          <w:p w14:paraId="021AFB50" w14:textId="77777777" w:rsidR="003C4131" w:rsidRPr="005734B8" w:rsidRDefault="003C4131" w:rsidP="000C192E">
            <w:pPr>
              <w:pStyle w:val="ESTablebody"/>
              <w:rPr>
                <w:rFonts w:ascii="Calibri" w:hAnsi="Calibri" w:cs="Calibri"/>
                <w:sz w:val="18"/>
                <w:lang w:val="en-AU"/>
              </w:rPr>
            </w:pPr>
            <w:r w:rsidRPr="005734B8">
              <w:rPr>
                <w:rFonts w:ascii="Calibri" w:hAnsi="Calibri" w:cs="Calibri"/>
                <w:sz w:val="18"/>
                <w:lang w:val="en-AU"/>
              </w:rPr>
              <w:t>Proportion of Year 4 students reaching international benchmarks (PIRLS)</w:t>
            </w:r>
            <w:r w:rsidRPr="005734B8">
              <w:rPr>
                <w:rStyle w:val="FootnoteReference"/>
                <w:rFonts w:ascii="Calibri" w:hAnsi="Calibri" w:cs="Calibri"/>
                <w:sz w:val="18"/>
                <w:lang w:val="en-AU"/>
              </w:rPr>
              <w:footnoteReference w:id="9"/>
            </w:r>
            <w:r w:rsidRPr="005734B8">
              <w:rPr>
                <w:rFonts w:ascii="Calibri" w:hAnsi="Calibri" w:cs="Calibri"/>
                <w:sz w:val="18"/>
                <w:lang w:val="en-AU"/>
              </w:rPr>
              <w:t>—Reading</w:t>
            </w:r>
          </w:p>
        </w:tc>
        <w:tc>
          <w:tcPr>
            <w:tcW w:w="1109" w:type="dxa"/>
            <w:tcBorders>
              <w:top w:val="single" w:sz="4" w:space="0" w:color="53565A" w:themeColor="accent5"/>
              <w:bottom w:val="single" w:sz="4" w:space="0" w:color="auto"/>
            </w:tcBorders>
            <w:shd w:val="clear" w:color="auto" w:fill="auto"/>
          </w:tcPr>
          <w:p w14:paraId="6027CE9A"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43" w:type="dxa"/>
            <w:tcBorders>
              <w:top w:val="single" w:sz="4" w:space="0" w:color="53565A" w:themeColor="accent5"/>
              <w:bottom w:val="single" w:sz="4" w:space="0" w:color="auto"/>
            </w:tcBorders>
            <w:shd w:val="clear" w:color="auto" w:fill="FFFFFF" w:themeFill="background1"/>
          </w:tcPr>
          <w:p w14:paraId="722DE008"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86.0</w:t>
            </w:r>
          </w:p>
        </w:tc>
        <w:tc>
          <w:tcPr>
            <w:tcW w:w="1057" w:type="dxa"/>
            <w:tcBorders>
              <w:top w:val="single" w:sz="4" w:space="0" w:color="53565A" w:themeColor="accent5"/>
              <w:bottom w:val="single" w:sz="4" w:space="0" w:color="auto"/>
            </w:tcBorders>
          </w:tcPr>
          <w:p w14:paraId="64F88DF0"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40" w:type="dxa"/>
            <w:tcBorders>
              <w:top w:val="single" w:sz="4" w:space="0" w:color="53565A" w:themeColor="accent5"/>
              <w:bottom w:val="single" w:sz="4" w:space="0" w:color="auto"/>
            </w:tcBorders>
          </w:tcPr>
          <w:p w14:paraId="2E6A13EB"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254" w:type="dxa"/>
            <w:tcBorders>
              <w:top w:val="single" w:sz="4" w:space="0" w:color="53565A" w:themeColor="accent5"/>
              <w:bottom w:val="single" w:sz="4" w:space="0" w:color="auto"/>
            </w:tcBorders>
          </w:tcPr>
          <w:p w14:paraId="368AEF25"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10" w:type="dxa"/>
            <w:tcBorders>
              <w:top w:val="single" w:sz="4" w:space="0" w:color="53565A" w:themeColor="accent5"/>
              <w:bottom w:val="single" w:sz="4" w:space="0" w:color="auto"/>
            </w:tcBorders>
          </w:tcPr>
          <w:p w14:paraId="0B0530F1"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r>
      <w:tr w:rsidR="003C4131" w:rsidRPr="005734B8" w14:paraId="180F08FC" w14:textId="77777777" w:rsidTr="009959F8">
        <w:trPr>
          <w:trHeight w:val="1123"/>
        </w:trPr>
        <w:tc>
          <w:tcPr>
            <w:tcW w:w="2197" w:type="dxa"/>
            <w:tcBorders>
              <w:top w:val="nil"/>
              <w:bottom w:val="single" w:sz="4" w:space="0" w:color="53565A" w:themeColor="accent5"/>
            </w:tcBorders>
            <w:shd w:val="clear" w:color="auto" w:fill="auto"/>
          </w:tcPr>
          <w:p w14:paraId="063E5C20" w14:textId="34BBE616" w:rsidR="003C4131" w:rsidRPr="005734B8" w:rsidRDefault="003C4131" w:rsidP="000C192E">
            <w:pPr>
              <w:pStyle w:val="ESTablebody"/>
              <w:rPr>
                <w:rFonts w:ascii="Calibri" w:hAnsi="Calibri" w:cs="Calibri"/>
                <w:sz w:val="18"/>
                <w:lang w:val="en-AU"/>
              </w:rPr>
            </w:pPr>
            <w:r w:rsidRPr="005734B8">
              <w:rPr>
                <w:rFonts w:ascii="Calibri" w:hAnsi="Calibri" w:cs="Calibri"/>
                <w:sz w:val="18"/>
                <w:lang w:val="en-AU"/>
              </w:rPr>
              <w:lastRenderedPageBreak/>
              <w:t>Proportion of Year 4 students achieving the intermediate international benchmark (TIMSS)— Mathematics</w:t>
            </w:r>
            <w:bookmarkStart w:id="135" w:name="_Ref13557709"/>
            <w:r w:rsidRPr="005734B8">
              <w:rPr>
                <w:rStyle w:val="FootnoteReference"/>
                <w:rFonts w:ascii="Calibri" w:hAnsi="Calibri" w:cs="Calibri"/>
                <w:sz w:val="18"/>
                <w:lang w:val="en-AU"/>
              </w:rPr>
              <w:footnoteReference w:id="10"/>
            </w:r>
            <w:bookmarkEnd w:id="135"/>
          </w:p>
        </w:tc>
        <w:tc>
          <w:tcPr>
            <w:tcW w:w="1109" w:type="dxa"/>
            <w:tcBorders>
              <w:top w:val="nil"/>
              <w:bottom w:val="single" w:sz="4" w:space="0" w:color="53565A" w:themeColor="accent5"/>
            </w:tcBorders>
            <w:shd w:val="clear" w:color="auto" w:fill="auto"/>
          </w:tcPr>
          <w:p w14:paraId="2160E123"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43" w:type="dxa"/>
            <w:tcBorders>
              <w:top w:val="nil"/>
              <w:bottom w:val="single" w:sz="4" w:space="0" w:color="53565A" w:themeColor="accent5"/>
            </w:tcBorders>
            <w:shd w:val="clear" w:color="auto" w:fill="FFFFFF" w:themeFill="background1"/>
          </w:tcPr>
          <w:p w14:paraId="1CA9C752" w14:textId="1367AD26" w:rsidR="003C4131" w:rsidRPr="005734B8" w:rsidRDefault="00044F4A"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057" w:type="dxa"/>
            <w:tcBorders>
              <w:top w:val="nil"/>
              <w:bottom w:val="single" w:sz="4" w:space="0" w:color="53565A" w:themeColor="accent5"/>
            </w:tcBorders>
          </w:tcPr>
          <w:p w14:paraId="385052D5"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40" w:type="dxa"/>
            <w:tcBorders>
              <w:top w:val="nil"/>
              <w:bottom w:val="single" w:sz="4" w:space="0" w:color="53565A" w:themeColor="accent5"/>
            </w:tcBorders>
          </w:tcPr>
          <w:p w14:paraId="7C867823"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254" w:type="dxa"/>
            <w:tcBorders>
              <w:top w:val="nil"/>
              <w:bottom w:val="single" w:sz="4" w:space="0" w:color="53565A" w:themeColor="accent5"/>
            </w:tcBorders>
          </w:tcPr>
          <w:p w14:paraId="4DBBD0D9"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72.0</w:t>
            </w:r>
          </w:p>
        </w:tc>
        <w:tc>
          <w:tcPr>
            <w:tcW w:w="1110" w:type="dxa"/>
            <w:tcBorders>
              <w:top w:val="nil"/>
              <w:bottom w:val="single" w:sz="4" w:space="0" w:color="53565A" w:themeColor="accent5"/>
            </w:tcBorders>
          </w:tcPr>
          <w:p w14:paraId="3947F1AB"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r>
      <w:tr w:rsidR="003C4131" w:rsidRPr="005734B8" w14:paraId="67DDAB36" w14:textId="77777777" w:rsidTr="00B05012">
        <w:tc>
          <w:tcPr>
            <w:tcW w:w="2197" w:type="dxa"/>
            <w:tcBorders>
              <w:top w:val="single" w:sz="4" w:space="0" w:color="53565A" w:themeColor="accent5"/>
              <w:bottom w:val="single" w:sz="4" w:space="0" w:color="53565A" w:themeColor="accent5"/>
            </w:tcBorders>
            <w:shd w:val="clear" w:color="auto" w:fill="auto"/>
          </w:tcPr>
          <w:p w14:paraId="13D8798D" w14:textId="2D8B729C" w:rsidR="003C4131" w:rsidRPr="005734B8" w:rsidRDefault="003C4131" w:rsidP="000C192E">
            <w:pPr>
              <w:pStyle w:val="ESTablebody"/>
              <w:rPr>
                <w:rFonts w:ascii="Calibri" w:hAnsi="Calibri" w:cs="Calibri"/>
                <w:sz w:val="18"/>
                <w:vertAlign w:val="superscript"/>
                <w:lang w:val="en-AU"/>
              </w:rPr>
            </w:pPr>
            <w:r w:rsidRPr="005734B8">
              <w:rPr>
                <w:rFonts w:ascii="Calibri" w:hAnsi="Calibri" w:cs="Calibri"/>
                <w:sz w:val="18"/>
                <w:lang w:val="en-AU"/>
              </w:rPr>
              <w:t>Proportion of Year 8 students achieving the intermediate international benchmark (TIMSS)— Mathematics</w:t>
            </w:r>
            <w:r w:rsidR="00350BAD" w:rsidRPr="00350BAD">
              <w:rPr>
                <w:rFonts w:ascii="Calibri" w:hAnsi="Calibri" w:cs="Calibri"/>
                <w:sz w:val="18"/>
                <w:vertAlign w:val="superscript"/>
                <w:lang w:val="en-AU"/>
              </w:rPr>
              <w:t>9</w:t>
            </w:r>
          </w:p>
        </w:tc>
        <w:tc>
          <w:tcPr>
            <w:tcW w:w="1109" w:type="dxa"/>
            <w:tcBorders>
              <w:top w:val="single" w:sz="4" w:space="0" w:color="53565A" w:themeColor="accent5"/>
              <w:bottom w:val="single" w:sz="4" w:space="0" w:color="53565A" w:themeColor="accent5"/>
            </w:tcBorders>
            <w:shd w:val="clear" w:color="auto" w:fill="auto"/>
          </w:tcPr>
          <w:p w14:paraId="72BBCD11"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43" w:type="dxa"/>
            <w:tcBorders>
              <w:top w:val="single" w:sz="4" w:space="0" w:color="53565A" w:themeColor="accent5"/>
              <w:bottom w:val="single" w:sz="4" w:space="0" w:color="53565A" w:themeColor="accent5"/>
            </w:tcBorders>
            <w:shd w:val="clear" w:color="auto" w:fill="FFFFFF" w:themeFill="background1"/>
          </w:tcPr>
          <w:p w14:paraId="29B703E2" w14:textId="070F1462" w:rsidR="003C4131" w:rsidRPr="005734B8" w:rsidRDefault="00044F4A"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057" w:type="dxa"/>
            <w:tcBorders>
              <w:top w:val="single" w:sz="4" w:space="0" w:color="53565A" w:themeColor="accent5"/>
              <w:bottom w:val="single" w:sz="4" w:space="0" w:color="53565A" w:themeColor="accent5"/>
            </w:tcBorders>
          </w:tcPr>
          <w:p w14:paraId="6D1CAE92"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40" w:type="dxa"/>
            <w:tcBorders>
              <w:top w:val="single" w:sz="4" w:space="0" w:color="53565A" w:themeColor="accent5"/>
              <w:bottom w:val="single" w:sz="4" w:space="0" w:color="53565A" w:themeColor="accent5"/>
            </w:tcBorders>
          </w:tcPr>
          <w:p w14:paraId="0061FD18"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254" w:type="dxa"/>
            <w:tcBorders>
              <w:top w:val="single" w:sz="4" w:space="0" w:color="53565A" w:themeColor="accent5"/>
              <w:bottom w:val="single" w:sz="4" w:space="0" w:color="53565A" w:themeColor="accent5"/>
            </w:tcBorders>
          </w:tcPr>
          <w:p w14:paraId="4A37447B"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67.1</w:t>
            </w:r>
          </w:p>
        </w:tc>
        <w:tc>
          <w:tcPr>
            <w:tcW w:w="1110" w:type="dxa"/>
            <w:tcBorders>
              <w:top w:val="single" w:sz="4" w:space="0" w:color="53565A" w:themeColor="accent5"/>
              <w:bottom w:val="single" w:sz="4" w:space="0" w:color="53565A" w:themeColor="accent5"/>
            </w:tcBorders>
          </w:tcPr>
          <w:p w14:paraId="454AF674"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r>
      <w:tr w:rsidR="003C4131" w:rsidRPr="005734B8" w14:paraId="0B0DD8EF" w14:textId="77777777" w:rsidTr="00B05012">
        <w:tc>
          <w:tcPr>
            <w:tcW w:w="2197" w:type="dxa"/>
            <w:tcBorders>
              <w:top w:val="single" w:sz="4" w:space="0" w:color="53565A" w:themeColor="accent5"/>
              <w:bottom w:val="single" w:sz="4" w:space="0" w:color="53565A" w:themeColor="accent5"/>
            </w:tcBorders>
            <w:shd w:val="clear" w:color="auto" w:fill="auto"/>
          </w:tcPr>
          <w:p w14:paraId="3DFE261C" w14:textId="77777777" w:rsidR="003C4131" w:rsidRPr="005734B8" w:rsidRDefault="003C4131" w:rsidP="000C192E">
            <w:pPr>
              <w:pStyle w:val="ESTablebody"/>
              <w:rPr>
                <w:rFonts w:ascii="Calibri" w:hAnsi="Calibri" w:cs="Calibri"/>
                <w:sz w:val="18"/>
                <w:lang w:val="en-AU"/>
              </w:rPr>
            </w:pPr>
            <w:r w:rsidRPr="005734B8">
              <w:rPr>
                <w:rFonts w:ascii="Calibri" w:hAnsi="Calibri" w:cs="Calibri"/>
                <w:sz w:val="18"/>
                <w:lang w:val="en-AU"/>
              </w:rPr>
              <w:t>Proportion of 15-year-old students achieving at or above proficient standard (level 3) in PISA reading literacy</w:t>
            </w:r>
            <w:bookmarkStart w:id="137" w:name="_Ref13557747"/>
            <w:r w:rsidRPr="005734B8">
              <w:rPr>
                <w:rStyle w:val="FootnoteReference"/>
                <w:rFonts w:ascii="Calibri" w:hAnsi="Calibri" w:cs="Calibri"/>
                <w:sz w:val="18"/>
                <w:lang w:val="en-AU"/>
              </w:rPr>
              <w:footnoteReference w:id="11"/>
            </w:r>
            <w:bookmarkEnd w:id="137"/>
          </w:p>
        </w:tc>
        <w:tc>
          <w:tcPr>
            <w:tcW w:w="1109" w:type="dxa"/>
            <w:tcBorders>
              <w:top w:val="single" w:sz="4" w:space="0" w:color="53565A" w:themeColor="accent5"/>
              <w:bottom w:val="single" w:sz="4" w:space="0" w:color="53565A" w:themeColor="accent5"/>
            </w:tcBorders>
            <w:shd w:val="clear" w:color="auto" w:fill="auto"/>
          </w:tcPr>
          <w:p w14:paraId="5A08E4CD"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43" w:type="dxa"/>
            <w:tcBorders>
              <w:top w:val="single" w:sz="4" w:space="0" w:color="53565A" w:themeColor="accent5"/>
              <w:bottom w:val="single" w:sz="4" w:space="0" w:color="53565A" w:themeColor="accent5"/>
            </w:tcBorders>
            <w:shd w:val="clear" w:color="auto" w:fill="FFFFFF" w:themeFill="background1"/>
          </w:tcPr>
          <w:p w14:paraId="223E6424"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057" w:type="dxa"/>
            <w:tcBorders>
              <w:top w:val="single" w:sz="4" w:space="0" w:color="53565A" w:themeColor="accent5"/>
              <w:bottom w:val="single" w:sz="4" w:space="0" w:color="53565A" w:themeColor="accent5"/>
            </w:tcBorders>
          </w:tcPr>
          <w:p w14:paraId="4E94807C"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40" w:type="dxa"/>
            <w:tcBorders>
              <w:top w:val="single" w:sz="4" w:space="0" w:color="53565A" w:themeColor="accent5"/>
              <w:bottom w:val="single" w:sz="4" w:space="0" w:color="53565A" w:themeColor="accent5"/>
            </w:tcBorders>
          </w:tcPr>
          <w:p w14:paraId="3211F2DC"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62.3</w:t>
            </w:r>
          </w:p>
        </w:tc>
        <w:tc>
          <w:tcPr>
            <w:tcW w:w="1254" w:type="dxa"/>
            <w:tcBorders>
              <w:top w:val="single" w:sz="4" w:space="0" w:color="53565A" w:themeColor="accent5"/>
              <w:bottom w:val="single" w:sz="4" w:space="0" w:color="53565A" w:themeColor="accent5"/>
            </w:tcBorders>
          </w:tcPr>
          <w:p w14:paraId="759EA548"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10" w:type="dxa"/>
            <w:tcBorders>
              <w:top w:val="single" w:sz="4" w:space="0" w:color="53565A" w:themeColor="accent5"/>
              <w:bottom w:val="single" w:sz="4" w:space="0" w:color="53565A" w:themeColor="accent5"/>
            </w:tcBorders>
          </w:tcPr>
          <w:p w14:paraId="6237A04F"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r>
      <w:tr w:rsidR="003C4131" w:rsidRPr="005734B8" w14:paraId="684DE491" w14:textId="77777777" w:rsidTr="00B05012">
        <w:tc>
          <w:tcPr>
            <w:tcW w:w="2197" w:type="dxa"/>
            <w:tcBorders>
              <w:top w:val="single" w:sz="4" w:space="0" w:color="53565A" w:themeColor="accent5"/>
              <w:bottom w:val="single" w:sz="4" w:space="0" w:color="53565A" w:themeColor="accent5"/>
            </w:tcBorders>
            <w:shd w:val="clear" w:color="auto" w:fill="auto"/>
          </w:tcPr>
          <w:p w14:paraId="2D480152" w14:textId="1F3327FA" w:rsidR="003C4131" w:rsidRPr="005734B8" w:rsidRDefault="003C4131" w:rsidP="000C192E">
            <w:pPr>
              <w:pStyle w:val="ESTablebody"/>
              <w:rPr>
                <w:rFonts w:ascii="Calibri" w:hAnsi="Calibri" w:cs="Calibri"/>
                <w:sz w:val="18"/>
                <w:lang w:val="en-AU"/>
              </w:rPr>
            </w:pPr>
            <w:r w:rsidRPr="005734B8">
              <w:rPr>
                <w:rFonts w:ascii="Calibri" w:hAnsi="Calibri" w:cs="Calibri"/>
                <w:sz w:val="18"/>
                <w:lang w:val="en-AU"/>
              </w:rPr>
              <w:t>Proportion of 15-year-old students achieving at or above proficient standard (level 3) in PISA mathematical literacy</w:t>
            </w:r>
            <w:r w:rsidR="00E3053A" w:rsidRPr="00E3053A">
              <w:rPr>
                <w:rFonts w:ascii="Calibri" w:hAnsi="Calibri" w:cs="Calibri"/>
                <w:sz w:val="18"/>
                <w:vertAlign w:val="superscript"/>
                <w:lang w:val="en-AU"/>
              </w:rPr>
              <w:t>10</w:t>
            </w:r>
          </w:p>
        </w:tc>
        <w:tc>
          <w:tcPr>
            <w:tcW w:w="1109" w:type="dxa"/>
            <w:tcBorders>
              <w:top w:val="single" w:sz="4" w:space="0" w:color="53565A" w:themeColor="accent5"/>
              <w:bottom w:val="single" w:sz="4" w:space="0" w:color="53565A" w:themeColor="accent5"/>
            </w:tcBorders>
            <w:shd w:val="clear" w:color="auto" w:fill="auto"/>
          </w:tcPr>
          <w:p w14:paraId="3E677EFB" w14:textId="77777777" w:rsidR="003C4131" w:rsidRPr="005734B8" w:rsidRDefault="003C4131" w:rsidP="000C192E">
            <w:pPr>
              <w:pStyle w:val="ESBodyText"/>
              <w:jc w:val="right"/>
              <w:rPr>
                <w:rFonts w:ascii="Calibri" w:hAnsi="Calibri" w:cs="Calibri"/>
                <w:sz w:val="18"/>
                <w:lang w:val="en-AU"/>
              </w:rPr>
            </w:pPr>
            <w:r w:rsidRPr="005734B8">
              <w:rPr>
                <w:rFonts w:ascii="Calibri" w:hAnsi="Calibri" w:cs="Calibri"/>
                <w:sz w:val="18"/>
                <w:lang w:val="en-AU"/>
              </w:rPr>
              <w:t>per cent</w:t>
            </w:r>
          </w:p>
        </w:tc>
        <w:tc>
          <w:tcPr>
            <w:tcW w:w="1143" w:type="dxa"/>
            <w:tcBorders>
              <w:top w:val="single" w:sz="4" w:space="0" w:color="53565A" w:themeColor="accent5"/>
              <w:bottom w:val="single" w:sz="4" w:space="0" w:color="53565A" w:themeColor="accent5"/>
            </w:tcBorders>
            <w:shd w:val="clear" w:color="auto" w:fill="FFFFFF" w:themeFill="background1"/>
          </w:tcPr>
          <w:p w14:paraId="237F3502" w14:textId="77777777" w:rsidR="003C4131" w:rsidRPr="005734B8" w:rsidRDefault="003C4131" w:rsidP="000C192E">
            <w:pPr>
              <w:pStyle w:val="ESBodyText"/>
              <w:jc w:val="right"/>
              <w:rPr>
                <w:rFonts w:ascii="Calibri" w:hAnsi="Calibri" w:cs="Calibri"/>
                <w:sz w:val="18"/>
                <w:lang w:val="en-AU"/>
              </w:rPr>
            </w:pPr>
            <w:r w:rsidRPr="005734B8">
              <w:rPr>
                <w:rFonts w:ascii="Calibri" w:hAnsi="Calibri" w:cs="Calibri"/>
                <w:sz w:val="18"/>
                <w:lang w:val="en-AU"/>
              </w:rPr>
              <w:t>–</w:t>
            </w:r>
          </w:p>
        </w:tc>
        <w:tc>
          <w:tcPr>
            <w:tcW w:w="1057" w:type="dxa"/>
            <w:tcBorders>
              <w:top w:val="single" w:sz="4" w:space="0" w:color="53565A" w:themeColor="accent5"/>
              <w:bottom w:val="single" w:sz="4" w:space="0" w:color="53565A" w:themeColor="accent5"/>
            </w:tcBorders>
          </w:tcPr>
          <w:p w14:paraId="62214EB0" w14:textId="77777777" w:rsidR="003C4131" w:rsidRPr="005734B8" w:rsidRDefault="003C4131" w:rsidP="000C192E">
            <w:pPr>
              <w:pStyle w:val="ESBodyText"/>
              <w:jc w:val="right"/>
              <w:rPr>
                <w:rFonts w:ascii="Calibri" w:hAnsi="Calibri" w:cs="Calibri"/>
                <w:sz w:val="18"/>
                <w:lang w:val="en-AU"/>
              </w:rPr>
            </w:pPr>
            <w:r w:rsidRPr="005734B8">
              <w:rPr>
                <w:rFonts w:ascii="Calibri" w:hAnsi="Calibri" w:cs="Calibri"/>
                <w:sz w:val="18"/>
                <w:lang w:val="en-AU"/>
              </w:rPr>
              <w:t>–</w:t>
            </w:r>
          </w:p>
        </w:tc>
        <w:tc>
          <w:tcPr>
            <w:tcW w:w="1140" w:type="dxa"/>
            <w:tcBorders>
              <w:top w:val="single" w:sz="4" w:space="0" w:color="53565A" w:themeColor="accent5"/>
              <w:bottom w:val="single" w:sz="4" w:space="0" w:color="53565A" w:themeColor="accent5"/>
            </w:tcBorders>
          </w:tcPr>
          <w:p w14:paraId="32D4A249" w14:textId="77777777" w:rsidR="003C4131" w:rsidRPr="005734B8" w:rsidRDefault="003C4131" w:rsidP="000C192E">
            <w:pPr>
              <w:pStyle w:val="ESBodyText"/>
              <w:jc w:val="right"/>
              <w:rPr>
                <w:rFonts w:ascii="Calibri" w:hAnsi="Calibri" w:cs="Calibri"/>
                <w:sz w:val="18"/>
                <w:lang w:val="en-AU"/>
              </w:rPr>
            </w:pPr>
            <w:r w:rsidRPr="005734B8">
              <w:rPr>
                <w:rFonts w:ascii="Calibri" w:hAnsi="Calibri" w:cs="Calibri"/>
                <w:sz w:val="18"/>
              </w:rPr>
              <w:t>56.5</w:t>
            </w:r>
          </w:p>
        </w:tc>
        <w:tc>
          <w:tcPr>
            <w:tcW w:w="1254" w:type="dxa"/>
            <w:tcBorders>
              <w:top w:val="single" w:sz="4" w:space="0" w:color="53565A" w:themeColor="accent5"/>
              <w:bottom w:val="single" w:sz="4" w:space="0" w:color="53565A" w:themeColor="accent5"/>
            </w:tcBorders>
          </w:tcPr>
          <w:p w14:paraId="22629706" w14:textId="77777777" w:rsidR="003C4131" w:rsidRPr="005734B8" w:rsidRDefault="003C4131" w:rsidP="000C192E">
            <w:pPr>
              <w:pStyle w:val="ESBodyText"/>
              <w:jc w:val="right"/>
              <w:rPr>
                <w:rFonts w:ascii="Calibri" w:hAnsi="Calibri" w:cs="Calibri"/>
                <w:sz w:val="18"/>
                <w:lang w:val="en-AU"/>
              </w:rPr>
            </w:pPr>
            <w:r w:rsidRPr="005734B8">
              <w:rPr>
                <w:rFonts w:ascii="Calibri" w:hAnsi="Calibri" w:cs="Calibri"/>
                <w:sz w:val="18"/>
                <w:lang w:val="en-AU"/>
              </w:rPr>
              <w:t>–</w:t>
            </w:r>
          </w:p>
        </w:tc>
        <w:tc>
          <w:tcPr>
            <w:tcW w:w="1110" w:type="dxa"/>
            <w:tcBorders>
              <w:top w:val="single" w:sz="4" w:space="0" w:color="53565A" w:themeColor="accent5"/>
              <w:bottom w:val="single" w:sz="4" w:space="0" w:color="53565A" w:themeColor="accent5"/>
            </w:tcBorders>
          </w:tcPr>
          <w:p w14:paraId="3B48861D" w14:textId="77777777" w:rsidR="003C4131" w:rsidRPr="005734B8" w:rsidRDefault="003C4131" w:rsidP="000C192E">
            <w:pPr>
              <w:pStyle w:val="ESTablenumberrightaligned"/>
              <w:spacing w:before="0" w:line="240" w:lineRule="atLeast"/>
              <w:rPr>
                <w:rFonts w:ascii="Calibri" w:hAnsi="Calibri" w:cs="Calibri"/>
                <w:sz w:val="18"/>
              </w:rPr>
            </w:pPr>
            <w:r w:rsidRPr="005734B8">
              <w:rPr>
                <w:rFonts w:ascii="Calibri" w:hAnsi="Calibri" w:cs="Calibri"/>
                <w:sz w:val="18"/>
                <w:lang w:val="en-AU"/>
              </w:rPr>
              <w:t>–</w:t>
            </w:r>
          </w:p>
        </w:tc>
      </w:tr>
      <w:tr w:rsidR="003C4131" w:rsidRPr="005734B8" w14:paraId="20A7C221" w14:textId="77777777" w:rsidTr="00B05012">
        <w:tc>
          <w:tcPr>
            <w:tcW w:w="9010" w:type="dxa"/>
            <w:gridSpan w:val="7"/>
            <w:tcBorders>
              <w:top w:val="single" w:sz="4" w:space="0" w:color="53565A" w:themeColor="accent5"/>
              <w:bottom w:val="single" w:sz="4" w:space="0" w:color="53565A" w:themeColor="accent5"/>
            </w:tcBorders>
            <w:shd w:val="clear" w:color="auto" w:fill="D9D9D6" w:themeFill="accent6"/>
          </w:tcPr>
          <w:p w14:paraId="0F468D4F" w14:textId="77777777" w:rsidR="003C4131" w:rsidRPr="005734B8" w:rsidRDefault="003C4131" w:rsidP="000C192E">
            <w:pPr>
              <w:pStyle w:val="ESTablenumberrightaligned"/>
              <w:jc w:val="left"/>
              <w:rPr>
                <w:rFonts w:ascii="Calibri" w:hAnsi="Calibri" w:cs="Calibri"/>
                <w:b/>
                <w:color w:val="FF9900"/>
                <w:sz w:val="18"/>
              </w:rPr>
            </w:pPr>
            <w:r w:rsidRPr="005734B8">
              <w:rPr>
                <w:rFonts w:ascii="Calibri" w:hAnsi="Calibri" w:cs="Calibri"/>
                <w:b/>
                <w:sz w:val="18"/>
                <w:lang w:val="en-AU"/>
              </w:rPr>
              <w:t>Average score in science (PISA 15-year-olds) in Victoria compared to global top performers</w:t>
            </w:r>
          </w:p>
        </w:tc>
      </w:tr>
      <w:tr w:rsidR="003C4131" w:rsidRPr="005734B8" w14:paraId="7CCDCA6C" w14:textId="77777777" w:rsidTr="00B05012">
        <w:tc>
          <w:tcPr>
            <w:tcW w:w="2197" w:type="dxa"/>
            <w:tcBorders>
              <w:top w:val="single" w:sz="4" w:space="0" w:color="53565A" w:themeColor="accent5"/>
              <w:bottom w:val="single" w:sz="4" w:space="0" w:color="53565A" w:themeColor="accent5"/>
            </w:tcBorders>
            <w:shd w:val="clear" w:color="auto" w:fill="auto"/>
          </w:tcPr>
          <w:p w14:paraId="5ECF28D4" w14:textId="77777777" w:rsidR="003C4131" w:rsidRPr="005734B8" w:rsidRDefault="003C4131" w:rsidP="000C192E">
            <w:pPr>
              <w:pStyle w:val="ESTablebody"/>
              <w:rPr>
                <w:rFonts w:ascii="Calibri" w:hAnsi="Calibri" w:cs="Calibri"/>
                <w:sz w:val="18"/>
                <w:lang w:val="en-AU"/>
              </w:rPr>
            </w:pPr>
            <w:r w:rsidRPr="005734B8">
              <w:rPr>
                <w:rFonts w:ascii="Calibri" w:hAnsi="Calibri" w:cs="Calibri"/>
                <w:sz w:val="18"/>
                <w:lang w:val="en-AU"/>
              </w:rPr>
              <w:t>Average score in science (PISA 15</w:t>
            </w:r>
            <w:r w:rsidRPr="005734B8">
              <w:rPr>
                <w:rFonts w:ascii="Calibri" w:hAnsi="Calibri" w:cs="Calibri"/>
                <w:sz w:val="18"/>
                <w:lang w:val="en-AU"/>
              </w:rPr>
              <w:noBreakHyphen/>
              <w:t>year</w:t>
            </w:r>
            <w:r w:rsidRPr="005734B8">
              <w:rPr>
                <w:rFonts w:ascii="Calibri" w:hAnsi="Calibri" w:cs="Calibri"/>
                <w:sz w:val="18"/>
                <w:lang w:val="en-AU"/>
              </w:rPr>
              <w:noBreakHyphen/>
              <w:t>olds) in Victoria compared to global top performers</w:t>
            </w:r>
            <w:r w:rsidRPr="005734B8">
              <w:rPr>
                <w:rStyle w:val="FootnoteReference"/>
                <w:rFonts w:ascii="Calibri" w:hAnsi="Calibri" w:cs="Calibri"/>
                <w:sz w:val="18"/>
                <w:lang w:val="en-AU"/>
              </w:rPr>
              <w:footnoteReference w:id="12"/>
            </w:r>
          </w:p>
        </w:tc>
        <w:tc>
          <w:tcPr>
            <w:tcW w:w="1109" w:type="dxa"/>
            <w:tcBorders>
              <w:top w:val="single" w:sz="4" w:space="0" w:color="53565A" w:themeColor="accent5"/>
              <w:bottom w:val="single" w:sz="4" w:space="0" w:color="53565A" w:themeColor="accent5"/>
            </w:tcBorders>
            <w:shd w:val="clear" w:color="auto" w:fill="auto"/>
          </w:tcPr>
          <w:p w14:paraId="4C5E39BC"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 xml:space="preserve">mean score </w:t>
            </w:r>
          </w:p>
        </w:tc>
        <w:tc>
          <w:tcPr>
            <w:tcW w:w="1143" w:type="dxa"/>
            <w:tcBorders>
              <w:top w:val="single" w:sz="4" w:space="0" w:color="53565A" w:themeColor="accent5"/>
              <w:bottom w:val="single" w:sz="4" w:space="0" w:color="53565A" w:themeColor="accent5"/>
            </w:tcBorders>
            <w:shd w:val="clear" w:color="auto" w:fill="FFFFFF" w:themeFill="background1"/>
          </w:tcPr>
          <w:p w14:paraId="55D9D0A4"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057" w:type="dxa"/>
            <w:tcBorders>
              <w:top w:val="single" w:sz="4" w:space="0" w:color="53565A" w:themeColor="accent5"/>
              <w:bottom w:val="single" w:sz="4" w:space="0" w:color="53565A" w:themeColor="accent5"/>
            </w:tcBorders>
          </w:tcPr>
          <w:p w14:paraId="2025FA46"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40" w:type="dxa"/>
            <w:tcBorders>
              <w:top w:val="single" w:sz="4" w:space="0" w:color="53565A" w:themeColor="accent5"/>
              <w:bottom w:val="single" w:sz="4" w:space="0" w:color="53565A" w:themeColor="accent5"/>
            </w:tcBorders>
          </w:tcPr>
          <w:p w14:paraId="6BFF08F9"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-19</w:t>
            </w:r>
          </w:p>
        </w:tc>
        <w:tc>
          <w:tcPr>
            <w:tcW w:w="1254" w:type="dxa"/>
            <w:tcBorders>
              <w:top w:val="single" w:sz="4" w:space="0" w:color="53565A" w:themeColor="accent5"/>
              <w:bottom w:val="single" w:sz="4" w:space="0" w:color="53565A" w:themeColor="accent5"/>
            </w:tcBorders>
          </w:tcPr>
          <w:p w14:paraId="3208257B"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10" w:type="dxa"/>
            <w:tcBorders>
              <w:top w:val="single" w:sz="4" w:space="0" w:color="53565A" w:themeColor="accent5"/>
              <w:bottom w:val="single" w:sz="4" w:space="0" w:color="53565A" w:themeColor="accent5"/>
            </w:tcBorders>
          </w:tcPr>
          <w:p w14:paraId="7D929E3F"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w:t>
            </w:r>
          </w:p>
        </w:tc>
      </w:tr>
      <w:tr w:rsidR="003C4131" w:rsidRPr="005734B8" w14:paraId="6BF14139" w14:textId="77777777" w:rsidTr="00B05012">
        <w:tc>
          <w:tcPr>
            <w:tcW w:w="9010" w:type="dxa"/>
            <w:gridSpan w:val="7"/>
            <w:tcBorders>
              <w:top w:val="single" w:sz="4" w:space="0" w:color="53565A" w:themeColor="accent5"/>
              <w:bottom w:val="single" w:sz="4" w:space="0" w:color="53565A" w:themeColor="accent5"/>
            </w:tcBorders>
            <w:shd w:val="clear" w:color="auto" w:fill="D9D9D6" w:themeFill="accent6"/>
          </w:tcPr>
          <w:p w14:paraId="7DDB9508" w14:textId="77777777" w:rsidR="003C4131" w:rsidRPr="005734B8" w:rsidRDefault="003C4131" w:rsidP="000C192E">
            <w:pPr>
              <w:pStyle w:val="ESTablebody"/>
              <w:rPr>
                <w:rFonts w:ascii="Calibri" w:hAnsi="Calibri" w:cs="Calibri"/>
                <w:b/>
                <w:sz w:val="18"/>
                <w:lang w:val="en-AU"/>
              </w:rPr>
            </w:pPr>
            <w:r w:rsidRPr="005734B8">
              <w:rPr>
                <w:rFonts w:ascii="Calibri" w:hAnsi="Calibri" w:cs="Calibri"/>
                <w:b/>
                <w:sz w:val="18"/>
                <w:lang w:val="en-AU"/>
              </w:rPr>
              <w:t>Percentage of positive responses to teacher collaboration within schools</w:t>
            </w:r>
          </w:p>
        </w:tc>
      </w:tr>
      <w:tr w:rsidR="003C4131" w:rsidRPr="005734B8" w14:paraId="4318DAF9" w14:textId="77777777" w:rsidTr="00B05012">
        <w:tc>
          <w:tcPr>
            <w:tcW w:w="2197" w:type="dxa"/>
            <w:tcBorders>
              <w:top w:val="single" w:sz="4" w:space="0" w:color="53565A" w:themeColor="accent5"/>
              <w:bottom w:val="single" w:sz="4" w:space="0" w:color="auto"/>
            </w:tcBorders>
            <w:shd w:val="clear" w:color="auto" w:fill="auto"/>
          </w:tcPr>
          <w:p w14:paraId="21602883" w14:textId="77777777" w:rsidR="003C4131" w:rsidRPr="005734B8" w:rsidRDefault="003C4131" w:rsidP="000C192E">
            <w:pPr>
              <w:pStyle w:val="ESTablebody"/>
              <w:rPr>
                <w:rFonts w:ascii="Calibri" w:hAnsi="Calibri" w:cs="Calibri"/>
                <w:sz w:val="18"/>
                <w:lang w:val="en-AU"/>
              </w:rPr>
            </w:pPr>
            <w:r w:rsidRPr="005734B8">
              <w:rPr>
                <w:rFonts w:ascii="Calibri" w:hAnsi="Calibri" w:cs="Calibri"/>
                <w:sz w:val="18"/>
                <w:lang w:val="en-AU"/>
              </w:rPr>
              <w:t>Percentage of positive responses to teacher collaboration within school</w:t>
            </w:r>
          </w:p>
        </w:tc>
        <w:tc>
          <w:tcPr>
            <w:tcW w:w="1109" w:type="dxa"/>
            <w:tcBorders>
              <w:top w:val="single" w:sz="4" w:space="0" w:color="53565A" w:themeColor="accent5"/>
              <w:bottom w:val="single" w:sz="4" w:space="0" w:color="auto"/>
            </w:tcBorders>
            <w:shd w:val="clear" w:color="auto" w:fill="auto"/>
          </w:tcPr>
          <w:p w14:paraId="00FEE65C"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43" w:type="dxa"/>
            <w:tcBorders>
              <w:top w:val="single" w:sz="4" w:space="0" w:color="53565A" w:themeColor="accent5"/>
              <w:bottom w:val="single" w:sz="4" w:space="0" w:color="auto"/>
            </w:tcBorders>
            <w:shd w:val="clear" w:color="auto" w:fill="FFFFFF" w:themeFill="background1"/>
          </w:tcPr>
          <w:p w14:paraId="4DD816D0"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60.6</w:t>
            </w:r>
          </w:p>
        </w:tc>
        <w:tc>
          <w:tcPr>
            <w:tcW w:w="1057" w:type="dxa"/>
            <w:tcBorders>
              <w:top w:val="single" w:sz="4" w:space="0" w:color="53565A" w:themeColor="accent5"/>
              <w:bottom w:val="single" w:sz="4" w:space="0" w:color="auto"/>
            </w:tcBorders>
          </w:tcPr>
          <w:p w14:paraId="75EFF6A9"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61.2</w:t>
            </w:r>
          </w:p>
        </w:tc>
        <w:tc>
          <w:tcPr>
            <w:tcW w:w="1140" w:type="dxa"/>
            <w:tcBorders>
              <w:top w:val="single" w:sz="4" w:space="0" w:color="53565A" w:themeColor="accent5"/>
              <w:bottom w:val="single" w:sz="4" w:space="0" w:color="auto"/>
            </w:tcBorders>
          </w:tcPr>
          <w:p w14:paraId="11D6B98B"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60.9</w:t>
            </w:r>
          </w:p>
        </w:tc>
        <w:tc>
          <w:tcPr>
            <w:tcW w:w="1254" w:type="dxa"/>
            <w:tcBorders>
              <w:top w:val="single" w:sz="4" w:space="0" w:color="53565A" w:themeColor="accent5"/>
              <w:bottom w:val="single" w:sz="4" w:space="0" w:color="auto"/>
            </w:tcBorders>
          </w:tcPr>
          <w:p w14:paraId="7598BE9E"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61.0</w:t>
            </w:r>
          </w:p>
        </w:tc>
        <w:tc>
          <w:tcPr>
            <w:tcW w:w="1110" w:type="dxa"/>
            <w:tcBorders>
              <w:top w:val="single" w:sz="4" w:space="0" w:color="53565A" w:themeColor="accent5"/>
              <w:bottom w:val="single" w:sz="4" w:space="0" w:color="auto"/>
            </w:tcBorders>
          </w:tcPr>
          <w:p w14:paraId="7FD5AB48"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62.9</w:t>
            </w:r>
          </w:p>
        </w:tc>
      </w:tr>
      <w:tr w:rsidR="003C4131" w:rsidRPr="005734B8" w14:paraId="1B8426F9" w14:textId="77777777" w:rsidTr="00B05012">
        <w:tc>
          <w:tcPr>
            <w:tcW w:w="9010" w:type="dxa"/>
            <w:gridSpan w:val="7"/>
            <w:tcBorders>
              <w:top w:val="nil"/>
              <w:bottom w:val="single" w:sz="4" w:space="0" w:color="53565A" w:themeColor="accent5"/>
            </w:tcBorders>
            <w:shd w:val="clear" w:color="auto" w:fill="D9D9D6"/>
          </w:tcPr>
          <w:p w14:paraId="2B955900" w14:textId="77777777" w:rsidR="003C4131" w:rsidRPr="005734B8" w:rsidRDefault="003C4131" w:rsidP="000C192E">
            <w:pPr>
              <w:pStyle w:val="ESTablebody"/>
              <w:rPr>
                <w:rFonts w:ascii="Calibri" w:hAnsi="Calibri" w:cs="Calibri"/>
                <w:sz w:val="18"/>
              </w:rPr>
            </w:pPr>
            <w:r w:rsidRPr="005734B8">
              <w:rPr>
                <w:rFonts w:ascii="Calibri" w:hAnsi="Calibri" w:cs="Calibri"/>
                <w:b/>
                <w:sz w:val="18"/>
                <w:lang w:val="en-AU"/>
              </w:rPr>
              <w:t>Year 12 or equivalent completion rates of young people</w:t>
            </w:r>
          </w:p>
        </w:tc>
      </w:tr>
      <w:tr w:rsidR="003C4131" w:rsidRPr="005734B8" w14:paraId="0F89F255" w14:textId="77777777" w:rsidTr="00BA73F5">
        <w:tc>
          <w:tcPr>
            <w:tcW w:w="2197" w:type="dxa"/>
            <w:tcBorders>
              <w:top w:val="single" w:sz="4" w:space="0" w:color="53565A" w:themeColor="accent5"/>
              <w:bottom w:val="single" w:sz="4" w:space="0" w:color="auto"/>
            </w:tcBorders>
            <w:shd w:val="clear" w:color="auto" w:fill="auto"/>
          </w:tcPr>
          <w:p w14:paraId="37D7ED5B" w14:textId="77777777" w:rsidR="003C4131" w:rsidRPr="005734B8" w:rsidRDefault="003C4131" w:rsidP="000C192E">
            <w:pPr>
              <w:pStyle w:val="ESTablebody"/>
              <w:rPr>
                <w:rFonts w:ascii="Calibri" w:hAnsi="Calibri" w:cs="Calibri"/>
                <w:sz w:val="18"/>
                <w:lang w:val="en-AU"/>
              </w:rPr>
            </w:pPr>
            <w:r w:rsidRPr="005734B8">
              <w:rPr>
                <w:rFonts w:ascii="Calibri" w:hAnsi="Calibri" w:cs="Calibri"/>
                <w:sz w:val="18"/>
                <w:lang w:val="en-AU"/>
              </w:rPr>
              <w:t>Year 12 or a non-school qualification at Certificate II level or above of young people 20–24 years</w:t>
            </w:r>
            <w:r w:rsidRPr="005734B8">
              <w:rPr>
                <w:rStyle w:val="FootnoteReference"/>
                <w:rFonts w:ascii="Calibri" w:hAnsi="Calibri" w:cs="Calibri"/>
                <w:sz w:val="18"/>
                <w:lang w:val="en-AU"/>
              </w:rPr>
              <w:footnoteReference w:id="13"/>
            </w:r>
          </w:p>
        </w:tc>
        <w:tc>
          <w:tcPr>
            <w:tcW w:w="1109" w:type="dxa"/>
            <w:tcBorders>
              <w:top w:val="single" w:sz="4" w:space="0" w:color="53565A" w:themeColor="accent5"/>
              <w:bottom w:val="single" w:sz="4" w:space="0" w:color="auto"/>
            </w:tcBorders>
            <w:shd w:val="clear" w:color="auto" w:fill="auto"/>
          </w:tcPr>
          <w:p w14:paraId="71B9A029"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43" w:type="dxa"/>
            <w:tcBorders>
              <w:top w:val="single" w:sz="4" w:space="0" w:color="53565A" w:themeColor="accent5"/>
              <w:bottom w:val="single" w:sz="4" w:space="0" w:color="auto"/>
            </w:tcBorders>
            <w:shd w:val="clear" w:color="auto" w:fill="FFFFFF" w:themeFill="background1"/>
          </w:tcPr>
          <w:p w14:paraId="79423881"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92.6</w:t>
            </w:r>
          </w:p>
        </w:tc>
        <w:tc>
          <w:tcPr>
            <w:tcW w:w="1057" w:type="dxa"/>
            <w:tcBorders>
              <w:top w:val="single" w:sz="4" w:space="0" w:color="53565A" w:themeColor="accent5"/>
              <w:bottom w:val="single" w:sz="4" w:space="0" w:color="auto"/>
            </w:tcBorders>
          </w:tcPr>
          <w:p w14:paraId="7C7EB78D"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87.7</w:t>
            </w:r>
          </w:p>
        </w:tc>
        <w:tc>
          <w:tcPr>
            <w:tcW w:w="1140" w:type="dxa"/>
            <w:tcBorders>
              <w:top w:val="single" w:sz="4" w:space="0" w:color="53565A" w:themeColor="accent5"/>
              <w:bottom w:val="single" w:sz="4" w:space="0" w:color="auto"/>
            </w:tcBorders>
          </w:tcPr>
          <w:p w14:paraId="2454A4D2"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90.5</w:t>
            </w:r>
          </w:p>
        </w:tc>
        <w:tc>
          <w:tcPr>
            <w:tcW w:w="1254" w:type="dxa"/>
            <w:tcBorders>
              <w:top w:val="single" w:sz="4" w:space="0" w:color="53565A" w:themeColor="accent5"/>
              <w:bottom w:val="single" w:sz="4" w:space="0" w:color="auto"/>
            </w:tcBorders>
          </w:tcPr>
          <w:p w14:paraId="5E43C4DC"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90.4</w:t>
            </w:r>
          </w:p>
        </w:tc>
        <w:tc>
          <w:tcPr>
            <w:tcW w:w="1110" w:type="dxa"/>
            <w:tcBorders>
              <w:top w:val="single" w:sz="4" w:space="0" w:color="53565A" w:themeColor="accent5"/>
              <w:bottom w:val="single" w:sz="4" w:space="0" w:color="auto"/>
            </w:tcBorders>
          </w:tcPr>
          <w:p w14:paraId="68E40B14"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89.9</w:t>
            </w:r>
          </w:p>
        </w:tc>
      </w:tr>
      <w:tr w:rsidR="003C4131" w:rsidRPr="005734B8" w14:paraId="5504EECE" w14:textId="77777777" w:rsidTr="00BA73F5">
        <w:tc>
          <w:tcPr>
            <w:tcW w:w="9010" w:type="dxa"/>
            <w:gridSpan w:val="7"/>
            <w:tcBorders>
              <w:top w:val="nil"/>
              <w:bottom w:val="single" w:sz="4" w:space="0" w:color="53565A" w:themeColor="accent5"/>
            </w:tcBorders>
            <w:shd w:val="clear" w:color="auto" w:fill="53565A" w:themeFill="accent5"/>
          </w:tcPr>
          <w:p w14:paraId="3A226838" w14:textId="77777777" w:rsidR="003C4131" w:rsidRPr="005734B8" w:rsidRDefault="003C4131" w:rsidP="000C192E">
            <w:pPr>
              <w:pStyle w:val="W1"/>
              <w:rPr>
                <w:rFonts w:ascii="Calibri" w:hAnsi="Calibri" w:cs="Calibri"/>
                <w:sz w:val="18"/>
                <w:lang w:val="en-AU"/>
              </w:rPr>
            </w:pPr>
            <w:r w:rsidRPr="005734B8">
              <w:rPr>
                <w:rFonts w:ascii="Calibri" w:hAnsi="Calibri" w:cs="Calibri"/>
                <w:sz w:val="18"/>
                <w:shd w:val="clear" w:color="auto" w:fill="53565A" w:themeFill="accent5"/>
              </w:rPr>
              <w:lastRenderedPageBreak/>
              <w:t>Higher education and skills</w:t>
            </w:r>
            <w:r w:rsidRPr="005734B8">
              <w:rPr>
                <w:rFonts w:ascii="Calibri" w:hAnsi="Calibri" w:cs="Calibri"/>
                <w:sz w:val="18"/>
                <w:shd w:val="clear" w:color="auto" w:fill="53565A" w:themeFill="accent5"/>
              </w:rPr>
              <w:tab/>
            </w:r>
          </w:p>
        </w:tc>
      </w:tr>
      <w:tr w:rsidR="003C4131" w:rsidRPr="005734B8" w14:paraId="6E970CE3" w14:textId="77777777" w:rsidTr="00B05012">
        <w:tc>
          <w:tcPr>
            <w:tcW w:w="9010" w:type="dxa"/>
            <w:gridSpan w:val="7"/>
            <w:tcBorders>
              <w:top w:val="single" w:sz="4" w:space="0" w:color="53565A" w:themeColor="accent5"/>
              <w:bottom w:val="single" w:sz="4" w:space="0" w:color="53565A" w:themeColor="accent5"/>
            </w:tcBorders>
            <w:shd w:val="clear" w:color="auto" w:fill="D9D9D6" w:themeFill="accent6"/>
          </w:tcPr>
          <w:p w14:paraId="394A3319" w14:textId="77777777" w:rsidR="003C4131" w:rsidRPr="005734B8" w:rsidRDefault="003C4131" w:rsidP="000C192E">
            <w:pPr>
              <w:pStyle w:val="ESTablebody"/>
              <w:rPr>
                <w:rFonts w:ascii="Calibri" w:hAnsi="Calibri" w:cs="Calibri"/>
                <w:b/>
                <w:sz w:val="18"/>
                <w:lang w:val="en-AU"/>
              </w:rPr>
            </w:pPr>
            <w:r w:rsidRPr="005734B8">
              <w:rPr>
                <w:rFonts w:ascii="Calibri" w:hAnsi="Calibri" w:cs="Calibri"/>
                <w:b/>
                <w:sz w:val="18"/>
                <w:lang w:val="en-AU"/>
              </w:rPr>
              <w:t>VET course completions</w:t>
            </w:r>
            <w:r w:rsidRPr="005734B8">
              <w:rPr>
                <w:rFonts w:ascii="Calibri" w:hAnsi="Calibri" w:cs="Calibri"/>
                <w:b/>
                <w:sz w:val="18"/>
              </w:rPr>
              <w:tab/>
            </w:r>
          </w:p>
        </w:tc>
      </w:tr>
      <w:tr w:rsidR="003C4131" w:rsidRPr="005734B8" w14:paraId="7EE4F732" w14:textId="77777777" w:rsidTr="00B05012">
        <w:tc>
          <w:tcPr>
            <w:tcW w:w="2197" w:type="dxa"/>
            <w:tcBorders>
              <w:top w:val="single" w:sz="4" w:space="0" w:color="53565A" w:themeColor="accent5"/>
              <w:bottom w:val="single" w:sz="4" w:space="0" w:color="53565A" w:themeColor="accent5"/>
            </w:tcBorders>
            <w:shd w:val="clear" w:color="auto" w:fill="auto"/>
          </w:tcPr>
          <w:p w14:paraId="33D65342" w14:textId="77777777" w:rsidR="003C4131" w:rsidRPr="005734B8" w:rsidRDefault="003C4131" w:rsidP="000C192E">
            <w:pPr>
              <w:pStyle w:val="ESTablebody"/>
              <w:rPr>
                <w:rFonts w:ascii="Calibri" w:hAnsi="Calibri" w:cs="Calibri"/>
                <w:sz w:val="18"/>
                <w:lang w:val="en-AU"/>
              </w:rPr>
            </w:pPr>
            <w:r w:rsidRPr="005734B8">
              <w:rPr>
                <w:rFonts w:ascii="Calibri" w:hAnsi="Calibri" w:cs="Calibri"/>
                <w:sz w:val="18"/>
                <w:lang w:val="en-AU"/>
              </w:rPr>
              <w:t>VET completions</w:t>
            </w:r>
            <w:r w:rsidRPr="005734B8">
              <w:rPr>
                <w:rStyle w:val="FootnoteReference"/>
                <w:rFonts w:ascii="Calibri" w:hAnsi="Calibri" w:cs="Calibri"/>
                <w:sz w:val="18"/>
                <w:lang w:val="en-AU"/>
              </w:rPr>
              <w:footnoteReference w:id="14"/>
            </w:r>
          </w:p>
        </w:tc>
        <w:tc>
          <w:tcPr>
            <w:tcW w:w="1109" w:type="dxa"/>
            <w:tcBorders>
              <w:top w:val="single" w:sz="4" w:space="0" w:color="53565A" w:themeColor="accent5"/>
              <w:bottom w:val="single" w:sz="4" w:space="0" w:color="53565A" w:themeColor="accent5"/>
            </w:tcBorders>
            <w:shd w:val="clear" w:color="auto" w:fill="auto"/>
          </w:tcPr>
          <w:p w14:paraId="4044C8F1"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43" w:type="dxa"/>
            <w:tcBorders>
              <w:top w:val="single" w:sz="4" w:space="0" w:color="53565A" w:themeColor="accent5"/>
              <w:bottom w:val="single" w:sz="4" w:space="0" w:color="53565A" w:themeColor="accent5"/>
            </w:tcBorders>
            <w:shd w:val="clear" w:color="auto" w:fill="FFFFFF" w:themeFill="background1"/>
          </w:tcPr>
          <w:p w14:paraId="29DDA7B5"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107,900</w:t>
            </w:r>
          </w:p>
        </w:tc>
        <w:tc>
          <w:tcPr>
            <w:tcW w:w="1057" w:type="dxa"/>
            <w:tcBorders>
              <w:top w:val="single" w:sz="4" w:space="0" w:color="53565A" w:themeColor="accent5"/>
              <w:bottom w:val="single" w:sz="4" w:space="0" w:color="53565A" w:themeColor="accent5"/>
            </w:tcBorders>
          </w:tcPr>
          <w:p w14:paraId="3777A2A5"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94,300</w:t>
            </w:r>
          </w:p>
        </w:tc>
        <w:tc>
          <w:tcPr>
            <w:tcW w:w="1140" w:type="dxa"/>
            <w:tcBorders>
              <w:top w:val="single" w:sz="4" w:space="0" w:color="53565A" w:themeColor="accent5"/>
              <w:bottom w:val="single" w:sz="4" w:space="0" w:color="53565A" w:themeColor="accent5"/>
            </w:tcBorders>
          </w:tcPr>
          <w:p w14:paraId="03A77042"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101,300</w:t>
            </w:r>
          </w:p>
        </w:tc>
        <w:tc>
          <w:tcPr>
            <w:tcW w:w="1254" w:type="dxa"/>
            <w:tcBorders>
              <w:top w:val="single" w:sz="4" w:space="0" w:color="53565A" w:themeColor="accent5"/>
              <w:bottom w:val="single" w:sz="4" w:space="0" w:color="53565A" w:themeColor="accent5"/>
            </w:tcBorders>
          </w:tcPr>
          <w:p w14:paraId="498A3F0F"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94,200</w:t>
            </w:r>
          </w:p>
        </w:tc>
        <w:tc>
          <w:tcPr>
            <w:tcW w:w="1110" w:type="dxa"/>
            <w:tcBorders>
              <w:top w:val="single" w:sz="4" w:space="0" w:color="53565A" w:themeColor="accent5"/>
              <w:bottom w:val="single" w:sz="4" w:space="0" w:color="53565A" w:themeColor="accent5"/>
            </w:tcBorders>
          </w:tcPr>
          <w:p w14:paraId="57A20D4C"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71,600</w:t>
            </w:r>
          </w:p>
        </w:tc>
      </w:tr>
      <w:tr w:rsidR="003C4131" w:rsidRPr="005734B8" w14:paraId="6F1A1712" w14:textId="77777777" w:rsidTr="00B05012">
        <w:tc>
          <w:tcPr>
            <w:tcW w:w="9010" w:type="dxa"/>
            <w:gridSpan w:val="7"/>
            <w:tcBorders>
              <w:top w:val="single" w:sz="4" w:space="0" w:color="53565A" w:themeColor="accent5"/>
              <w:bottom w:val="single" w:sz="4" w:space="0" w:color="53565A" w:themeColor="accent5"/>
            </w:tcBorders>
            <w:shd w:val="clear" w:color="auto" w:fill="E7E6E6" w:themeFill="background2"/>
          </w:tcPr>
          <w:p w14:paraId="30EC2A28" w14:textId="77777777" w:rsidR="003C4131" w:rsidRPr="005734B8" w:rsidRDefault="003C4131" w:rsidP="000C192E">
            <w:pPr>
              <w:pStyle w:val="ESTablebody"/>
              <w:rPr>
                <w:rFonts w:ascii="Calibri" w:hAnsi="Calibri" w:cs="Calibri"/>
                <w:sz w:val="18"/>
              </w:rPr>
            </w:pPr>
            <w:r w:rsidRPr="005734B8">
              <w:rPr>
                <w:rFonts w:ascii="Calibri" w:hAnsi="Calibri" w:cs="Calibri"/>
                <w:b/>
                <w:sz w:val="18"/>
                <w:lang w:val="en-AU"/>
              </w:rPr>
              <w:t>Certificate III or above completions</w:t>
            </w:r>
          </w:p>
        </w:tc>
      </w:tr>
      <w:tr w:rsidR="003C4131" w:rsidRPr="005734B8" w14:paraId="45EE8360" w14:textId="77777777" w:rsidTr="00B05012">
        <w:tc>
          <w:tcPr>
            <w:tcW w:w="2197" w:type="dxa"/>
            <w:tcBorders>
              <w:top w:val="single" w:sz="4" w:space="0" w:color="53565A" w:themeColor="accent5"/>
              <w:bottom w:val="single" w:sz="4" w:space="0" w:color="53565A" w:themeColor="accent5"/>
            </w:tcBorders>
            <w:shd w:val="clear" w:color="auto" w:fill="auto"/>
          </w:tcPr>
          <w:p w14:paraId="56F405DF" w14:textId="77777777" w:rsidR="003C4131" w:rsidRPr="005734B8" w:rsidRDefault="003C4131" w:rsidP="000C192E">
            <w:pPr>
              <w:pStyle w:val="ESTablebody"/>
              <w:rPr>
                <w:rFonts w:ascii="Calibri" w:hAnsi="Calibri" w:cs="Calibri"/>
                <w:sz w:val="18"/>
                <w:lang w:val="en-AU"/>
              </w:rPr>
            </w:pPr>
            <w:r w:rsidRPr="005734B8">
              <w:rPr>
                <w:rFonts w:ascii="Calibri" w:hAnsi="Calibri" w:cs="Calibri"/>
                <w:sz w:val="18"/>
                <w:lang w:val="en-AU"/>
              </w:rPr>
              <w:t>Certificate III or above completions</w:t>
            </w:r>
          </w:p>
        </w:tc>
        <w:tc>
          <w:tcPr>
            <w:tcW w:w="1109" w:type="dxa"/>
            <w:tcBorders>
              <w:top w:val="single" w:sz="4" w:space="0" w:color="53565A" w:themeColor="accent5"/>
              <w:bottom w:val="single" w:sz="4" w:space="0" w:color="53565A" w:themeColor="accent5"/>
            </w:tcBorders>
            <w:shd w:val="clear" w:color="auto" w:fill="auto"/>
          </w:tcPr>
          <w:p w14:paraId="6A92316C"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43" w:type="dxa"/>
            <w:tcBorders>
              <w:top w:val="single" w:sz="4" w:space="0" w:color="53565A" w:themeColor="accent5"/>
              <w:bottom w:val="single" w:sz="4" w:space="0" w:color="53565A" w:themeColor="accent5"/>
            </w:tcBorders>
            <w:shd w:val="clear" w:color="auto" w:fill="FFFFFF" w:themeFill="background1"/>
          </w:tcPr>
          <w:p w14:paraId="057EEE47"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87,100</w:t>
            </w:r>
          </w:p>
        </w:tc>
        <w:tc>
          <w:tcPr>
            <w:tcW w:w="1057" w:type="dxa"/>
            <w:tcBorders>
              <w:top w:val="single" w:sz="4" w:space="0" w:color="53565A" w:themeColor="accent5"/>
              <w:bottom w:val="single" w:sz="4" w:space="0" w:color="53565A" w:themeColor="accent5"/>
            </w:tcBorders>
          </w:tcPr>
          <w:p w14:paraId="7187DECD"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75,000</w:t>
            </w:r>
          </w:p>
        </w:tc>
        <w:tc>
          <w:tcPr>
            <w:tcW w:w="1140" w:type="dxa"/>
            <w:tcBorders>
              <w:top w:val="single" w:sz="4" w:space="0" w:color="53565A" w:themeColor="accent5"/>
              <w:bottom w:val="single" w:sz="4" w:space="0" w:color="53565A" w:themeColor="accent5"/>
            </w:tcBorders>
          </w:tcPr>
          <w:p w14:paraId="047B437B"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78,700</w:t>
            </w:r>
          </w:p>
        </w:tc>
        <w:tc>
          <w:tcPr>
            <w:tcW w:w="1254" w:type="dxa"/>
            <w:tcBorders>
              <w:top w:val="single" w:sz="4" w:space="0" w:color="53565A" w:themeColor="accent5"/>
              <w:bottom w:val="single" w:sz="4" w:space="0" w:color="53565A" w:themeColor="accent5"/>
            </w:tcBorders>
          </w:tcPr>
          <w:p w14:paraId="07D87378"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71,600</w:t>
            </w:r>
          </w:p>
        </w:tc>
        <w:tc>
          <w:tcPr>
            <w:tcW w:w="1110" w:type="dxa"/>
            <w:tcBorders>
              <w:top w:val="single" w:sz="4" w:space="0" w:color="53565A" w:themeColor="accent5"/>
              <w:bottom w:val="single" w:sz="4" w:space="0" w:color="53565A" w:themeColor="accent5"/>
            </w:tcBorders>
          </w:tcPr>
          <w:p w14:paraId="15D27566"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53,800</w:t>
            </w:r>
          </w:p>
        </w:tc>
      </w:tr>
      <w:tr w:rsidR="003C4131" w:rsidRPr="005734B8" w14:paraId="3AAEC821" w14:textId="77777777" w:rsidTr="00B05012">
        <w:tc>
          <w:tcPr>
            <w:tcW w:w="9010" w:type="dxa"/>
            <w:gridSpan w:val="7"/>
            <w:tcBorders>
              <w:top w:val="single" w:sz="4" w:space="0" w:color="53565A" w:themeColor="accent5"/>
              <w:bottom w:val="single" w:sz="4" w:space="0" w:color="53565A" w:themeColor="accent5"/>
            </w:tcBorders>
            <w:shd w:val="clear" w:color="auto" w:fill="D9D9D6" w:themeFill="accent1"/>
          </w:tcPr>
          <w:p w14:paraId="6A32D1FD" w14:textId="77777777" w:rsidR="003C4131" w:rsidRPr="005734B8" w:rsidRDefault="003C4131" w:rsidP="000C192E">
            <w:pPr>
              <w:pStyle w:val="ESTablebody"/>
              <w:rPr>
                <w:rFonts w:ascii="Calibri" w:hAnsi="Calibri" w:cs="Calibri"/>
                <w:sz w:val="18"/>
              </w:rPr>
            </w:pPr>
            <w:r w:rsidRPr="005734B8">
              <w:rPr>
                <w:rFonts w:ascii="Calibri" w:hAnsi="Calibri" w:cs="Calibri"/>
                <w:b/>
                <w:sz w:val="18"/>
                <w:lang w:val="en-AU"/>
              </w:rPr>
              <w:t>Proportion of graduates with improved employment status after training</w:t>
            </w:r>
          </w:p>
        </w:tc>
      </w:tr>
      <w:tr w:rsidR="003C4131" w:rsidRPr="005734B8" w14:paraId="1F01FE19" w14:textId="77777777" w:rsidTr="00B05012">
        <w:tc>
          <w:tcPr>
            <w:tcW w:w="2197" w:type="dxa"/>
            <w:tcBorders>
              <w:top w:val="single" w:sz="4" w:space="0" w:color="53565A" w:themeColor="accent5"/>
              <w:bottom w:val="single" w:sz="4" w:space="0" w:color="53565A" w:themeColor="accent5"/>
            </w:tcBorders>
            <w:shd w:val="clear" w:color="auto" w:fill="auto"/>
          </w:tcPr>
          <w:p w14:paraId="5E405F12" w14:textId="77777777" w:rsidR="003C4131" w:rsidRPr="005734B8" w:rsidRDefault="003C4131" w:rsidP="000C192E">
            <w:pPr>
              <w:pStyle w:val="ESTablebody"/>
              <w:rPr>
                <w:rFonts w:ascii="Calibri" w:hAnsi="Calibri" w:cs="Calibri"/>
                <w:sz w:val="18"/>
                <w:lang w:val="en-AU"/>
              </w:rPr>
            </w:pPr>
            <w:bookmarkStart w:id="140" w:name="_Hlk77169655"/>
            <w:r w:rsidRPr="005734B8">
              <w:rPr>
                <w:rFonts w:ascii="Calibri" w:hAnsi="Calibri" w:cs="Calibri"/>
                <w:sz w:val="18"/>
                <w:lang w:val="en-AU"/>
              </w:rPr>
              <w:t>Proportion of graduates with improved employment status after training</w:t>
            </w:r>
            <w:bookmarkEnd w:id="140"/>
          </w:p>
        </w:tc>
        <w:tc>
          <w:tcPr>
            <w:tcW w:w="1109" w:type="dxa"/>
            <w:tcBorders>
              <w:top w:val="single" w:sz="4" w:space="0" w:color="53565A" w:themeColor="accent5"/>
              <w:bottom w:val="single" w:sz="4" w:space="0" w:color="53565A" w:themeColor="accent5"/>
            </w:tcBorders>
            <w:shd w:val="clear" w:color="auto" w:fill="auto"/>
          </w:tcPr>
          <w:p w14:paraId="668C2182"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43" w:type="dxa"/>
            <w:tcBorders>
              <w:top w:val="single" w:sz="4" w:space="0" w:color="53565A" w:themeColor="accent5"/>
              <w:bottom w:val="single" w:sz="4" w:space="0" w:color="53565A" w:themeColor="accent5"/>
            </w:tcBorders>
            <w:shd w:val="clear" w:color="auto" w:fill="FFFFFF" w:themeFill="background1"/>
          </w:tcPr>
          <w:p w14:paraId="28EE6E9D"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47.1</w:t>
            </w:r>
          </w:p>
        </w:tc>
        <w:tc>
          <w:tcPr>
            <w:tcW w:w="1057" w:type="dxa"/>
            <w:tcBorders>
              <w:top w:val="single" w:sz="4" w:space="0" w:color="53565A" w:themeColor="accent5"/>
              <w:bottom w:val="single" w:sz="4" w:space="0" w:color="53565A" w:themeColor="accent5"/>
            </w:tcBorders>
          </w:tcPr>
          <w:p w14:paraId="5E165693"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51.4</w:t>
            </w:r>
          </w:p>
        </w:tc>
        <w:tc>
          <w:tcPr>
            <w:tcW w:w="1140" w:type="dxa"/>
            <w:tcBorders>
              <w:top w:val="single" w:sz="4" w:space="0" w:color="53565A" w:themeColor="accent5"/>
              <w:bottom w:val="single" w:sz="4" w:space="0" w:color="53565A" w:themeColor="accent5"/>
            </w:tcBorders>
          </w:tcPr>
          <w:p w14:paraId="1A042191"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50.1</w:t>
            </w:r>
          </w:p>
        </w:tc>
        <w:tc>
          <w:tcPr>
            <w:tcW w:w="1254" w:type="dxa"/>
            <w:tcBorders>
              <w:top w:val="single" w:sz="4" w:space="0" w:color="53565A" w:themeColor="accent5"/>
              <w:bottom w:val="single" w:sz="4" w:space="0" w:color="53565A" w:themeColor="accent5"/>
            </w:tcBorders>
          </w:tcPr>
          <w:p w14:paraId="2B887B30"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55.4</w:t>
            </w:r>
          </w:p>
        </w:tc>
        <w:tc>
          <w:tcPr>
            <w:tcW w:w="1110" w:type="dxa"/>
            <w:tcBorders>
              <w:top w:val="single" w:sz="4" w:space="0" w:color="53565A" w:themeColor="accent5"/>
              <w:bottom w:val="single" w:sz="4" w:space="0" w:color="53565A" w:themeColor="accent5"/>
            </w:tcBorders>
          </w:tcPr>
          <w:p w14:paraId="2DEAAD2A" w14:textId="4D62FB9E" w:rsidR="003C4131" w:rsidRPr="005734B8" w:rsidRDefault="002449D1" w:rsidP="000C192E">
            <w:pPr>
              <w:pStyle w:val="ESTablenumberrightaligned"/>
              <w:rPr>
                <w:rFonts w:ascii="Calibri" w:hAnsi="Calibri" w:cs="Calibri"/>
                <w:sz w:val="18"/>
              </w:rPr>
            </w:pPr>
            <w:r>
              <w:rPr>
                <w:rFonts w:ascii="Calibri" w:hAnsi="Calibri" w:cs="Calibri"/>
                <w:sz w:val="18"/>
              </w:rPr>
              <w:t>-</w:t>
            </w:r>
            <w:r w:rsidR="003C4131" w:rsidRPr="005734B8">
              <w:rPr>
                <w:rStyle w:val="FootnoteReference"/>
                <w:rFonts w:ascii="Calibri" w:hAnsi="Calibri" w:cs="Calibri"/>
                <w:sz w:val="18"/>
              </w:rPr>
              <w:footnoteReference w:id="15"/>
            </w:r>
          </w:p>
        </w:tc>
      </w:tr>
    </w:tbl>
    <w:bookmarkEnd w:id="127"/>
    <w:bookmarkEnd w:id="128"/>
    <w:bookmarkEnd w:id="129"/>
    <w:bookmarkEnd w:id="130"/>
    <w:bookmarkEnd w:id="131"/>
    <w:bookmarkEnd w:id="132"/>
    <w:bookmarkEnd w:id="133"/>
    <w:p w14:paraId="78090433" w14:textId="77777777" w:rsidR="003C4131" w:rsidRPr="005734B8" w:rsidRDefault="003C4131" w:rsidP="003C4131">
      <w:pPr>
        <w:pStyle w:val="ESHeading3"/>
        <w:ind w:left="0" w:firstLine="0"/>
        <w:rPr>
          <w:rFonts w:ascii="Calibri" w:hAnsi="Calibri" w:cs="Calibri"/>
          <w:szCs w:val="22"/>
          <w:lang w:val="en-AU"/>
        </w:rPr>
      </w:pPr>
      <w:r w:rsidRPr="005734B8">
        <w:rPr>
          <w:rFonts w:ascii="Calibri" w:hAnsi="Calibri" w:cs="Calibri"/>
          <w:szCs w:val="22"/>
          <w:lang w:val="en-AU"/>
        </w:rPr>
        <w:t>Objective 2: Engagement</w:t>
      </w:r>
    </w:p>
    <w:p w14:paraId="0CF31AAE" w14:textId="77777777" w:rsidR="003C4131" w:rsidRPr="005734B8" w:rsidRDefault="003C4131" w:rsidP="003C4131">
      <w:pPr>
        <w:rPr>
          <w:rFonts w:ascii="Calibri" w:hAnsi="Calibri" w:cs="Calibri"/>
          <w:i/>
        </w:rPr>
      </w:pPr>
      <w:r w:rsidRPr="005734B8">
        <w:rPr>
          <w:rFonts w:ascii="Calibri" w:hAnsi="Calibri" w:cs="Calibri"/>
          <w:i/>
        </w:rPr>
        <w:t>Increase the number of Victorians actively participating in education, development and</w:t>
      </w:r>
      <w:r w:rsidRPr="005734B8">
        <w:rPr>
          <w:rFonts w:ascii="Calibri" w:hAnsi="Calibri" w:cs="Calibri"/>
        </w:rPr>
        <w:t xml:space="preserve"> </w:t>
      </w:r>
      <w:r w:rsidRPr="005734B8">
        <w:rPr>
          <w:rFonts w:ascii="Calibri" w:hAnsi="Calibri" w:cs="Calibri"/>
          <w:i/>
          <w:iCs/>
        </w:rPr>
        <w:t>early childhood development services.</w:t>
      </w:r>
    </w:p>
    <w:p w14:paraId="65534C51" w14:textId="77777777" w:rsidR="003C4131" w:rsidRPr="005734B8" w:rsidRDefault="003C4131" w:rsidP="003C4131">
      <w:pPr>
        <w:rPr>
          <w:rFonts w:ascii="Calibri" w:hAnsi="Calibri" w:cs="Calibri"/>
        </w:rPr>
      </w:pPr>
    </w:p>
    <w:p w14:paraId="47A3A7BA" w14:textId="7ECC01E9" w:rsidR="003C4131" w:rsidRPr="005734B8" w:rsidRDefault="003C4131" w:rsidP="003C4131">
      <w:pPr>
        <w:tabs>
          <w:tab w:val="left" w:pos="3890"/>
        </w:tabs>
        <w:rPr>
          <w:rFonts w:ascii="Calibri" w:hAnsi="Calibri" w:cs="Calibri"/>
        </w:rPr>
      </w:pPr>
      <w:r w:rsidRPr="005734B8">
        <w:rPr>
          <w:rFonts w:ascii="Calibri" w:hAnsi="Calibri" w:cs="Calibri"/>
        </w:rPr>
        <w:t xml:space="preserve">Engagement with services remained high in 2020, </w:t>
      </w:r>
      <w:r w:rsidR="000D2E29" w:rsidRPr="005734B8">
        <w:rPr>
          <w:rFonts w:ascii="Calibri" w:hAnsi="Calibri" w:cs="Calibri"/>
        </w:rPr>
        <w:t>although</w:t>
      </w:r>
      <w:r w:rsidRPr="005734B8">
        <w:rPr>
          <w:rFonts w:ascii="Calibri" w:hAnsi="Calibri" w:cs="Calibri"/>
        </w:rPr>
        <w:t xml:space="preserve"> the impact of the COVID</w:t>
      </w:r>
      <w:r w:rsidRPr="005734B8">
        <w:rPr>
          <w:rFonts w:ascii="Calibri" w:hAnsi="Calibri" w:cs="Calibri"/>
        </w:rPr>
        <w:noBreakHyphen/>
        <w:t xml:space="preserve">19 pandemic and associated restrictions reduced some demand. Despite this, assessments of early childhood quality remained high and levels of student absence in schools decreased. </w:t>
      </w:r>
    </w:p>
    <w:p w14:paraId="6C665E6A" w14:textId="77777777" w:rsidR="003C4131" w:rsidRPr="005734B8" w:rsidRDefault="003C4131" w:rsidP="003C4131">
      <w:pPr>
        <w:rPr>
          <w:rFonts w:ascii="Calibri" w:hAnsi="Calibri" w:cs="Calibri"/>
        </w:rPr>
      </w:pPr>
    </w:p>
    <w:p w14:paraId="2E40EC2A" w14:textId="77777777" w:rsidR="003C4131" w:rsidRPr="005734B8" w:rsidRDefault="003C4131" w:rsidP="003C4131">
      <w:pPr>
        <w:rPr>
          <w:rFonts w:ascii="Calibri" w:hAnsi="Calibri" w:cs="Calibri"/>
          <w:i/>
          <w:iCs/>
        </w:rPr>
      </w:pPr>
      <w:r w:rsidRPr="005734B8">
        <w:rPr>
          <w:rFonts w:ascii="Calibri" w:hAnsi="Calibri" w:cs="Calibri"/>
          <w:i/>
          <w:iCs/>
        </w:rPr>
        <w:t>Early childhood education</w:t>
      </w:r>
    </w:p>
    <w:p w14:paraId="0BB0D137" w14:textId="56C47138" w:rsidR="003C4131" w:rsidRPr="005734B8" w:rsidRDefault="003C4131" w:rsidP="003C4131">
      <w:pPr>
        <w:rPr>
          <w:rFonts w:ascii="Calibri" w:hAnsi="Calibri" w:cs="Calibri"/>
        </w:rPr>
      </w:pPr>
      <w:r w:rsidRPr="005734B8">
        <w:rPr>
          <w:rFonts w:ascii="Calibri" w:hAnsi="Calibri" w:cs="Calibri"/>
        </w:rPr>
        <w:t xml:space="preserve">The Department is reforming the early childhood sector by making services more accessible and inclusive, and supporting higher-quality education. This gives all Victorian children the best start in life. </w:t>
      </w:r>
      <w:r w:rsidR="009172F9">
        <w:rPr>
          <w:rFonts w:ascii="Calibri" w:hAnsi="Calibri" w:cs="Calibri"/>
        </w:rPr>
        <w:t>T</w:t>
      </w:r>
      <w:r w:rsidRPr="005734B8">
        <w:rPr>
          <w:rFonts w:ascii="Calibri" w:hAnsi="Calibri" w:cs="Calibri"/>
        </w:rPr>
        <w:t>hree-</w:t>
      </w:r>
      <w:r w:rsidR="005C1547">
        <w:rPr>
          <w:rFonts w:ascii="Calibri" w:hAnsi="Calibri" w:cs="Calibri"/>
        </w:rPr>
        <w:t>Y</w:t>
      </w:r>
      <w:r w:rsidRPr="005734B8">
        <w:rPr>
          <w:rFonts w:ascii="Calibri" w:hAnsi="Calibri" w:cs="Calibri"/>
        </w:rPr>
        <w:t>ear-</w:t>
      </w:r>
      <w:r w:rsidR="005C1547">
        <w:rPr>
          <w:rFonts w:ascii="Calibri" w:hAnsi="Calibri" w:cs="Calibri"/>
        </w:rPr>
        <w:t>O</w:t>
      </w:r>
      <w:r w:rsidRPr="005734B8">
        <w:rPr>
          <w:rFonts w:ascii="Calibri" w:hAnsi="Calibri" w:cs="Calibri"/>
        </w:rPr>
        <w:t xml:space="preserve">ld </w:t>
      </w:r>
      <w:r w:rsidR="005C1547">
        <w:rPr>
          <w:rFonts w:ascii="Calibri" w:hAnsi="Calibri" w:cs="Calibri"/>
        </w:rPr>
        <w:t>K</w:t>
      </w:r>
      <w:r w:rsidRPr="005734B8">
        <w:rPr>
          <w:rFonts w:ascii="Calibri" w:hAnsi="Calibri" w:cs="Calibri"/>
        </w:rPr>
        <w:t>indergarten enables an additional year of play</w:t>
      </w:r>
      <w:r w:rsidRPr="005734B8">
        <w:rPr>
          <w:rFonts w:ascii="Calibri" w:hAnsi="Calibri" w:cs="Calibri"/>
        </w:rPr>
        <w:noBreakHyphen/>
        <w:t>based learning for all children, as well as continuing targeted supports for children who have a disability</w:t>
      </w:r>
      <w:r w:rsidR="009A5A11" w:rsidRPr="005734B8">
        <w:rPr>
          <w:rFonts w:ascii="Calibri" w:hAnsi="Calibri" w:cs="Calibri"/>
        </w:rPr>
        <w:t xml:space="preserve"> or</w:t>
      </w:r>
      <w:r w:rsidRPr="005734B8">
        <w:rPr>
          <w:rFonts w:ascii="Calibri" w:hAnsi="Calibri" w:cs="Calibri"/>
        </w:rPr>
        <w:t>, developmental delay, or</w:t>
      </w:r>
      <w:r w:rsidR="008E1014" w:rsidRPr="005734B8">
        <w:rPr>
          <w:rFonts w:ascii="Calibri" w:hAnsi="Calibri" w:cs="Calibri"/>
        </w:rPr>
        <w:t xml:space="preserve"> who</w:t>
      </w:r>
      <w:r w:rsidRPr="005734B8">
        <w:rPr>
          <w:rFonts w:ascii="Calibri" w:hAnsi="Calibri" w:cs="Calibri"/>
        </w:rPr>
        <w:t xml:space="preserve"> are vulnerab</w:t>
      </w:r>
      <w:r w:rsidR="008E1014" w:rsidRPr="005734B8">
        <w:rPr>
          <w:rFonts w:ascii="Calibri" w:hAnsi="Calibri" w:cs="Calibri"/>
        </w:rPr>
        <w:t>le</w:t>
      </w:r>
      <w:r w:rsidRPr="005734B8">
        <w:rPr>
          <w:rFonts w:ascii="Calibri" w:hAnsi="Calibri" w:cs="Calibri"/>
        </w:rPr>
        <w:t xml:space="preserve"> or disadvantage</w:t>
      </w:r>
      <w:r w:rsidR="008E1014" w:rsidRPr="005734B8">
        <w:rPr>
          <w:rFonts w:ascii="Calibri" w:hAnsi="Calibri" w:cs="Calibri"/>
        </w:rPr>
        <w:t>d</w:t>
      </w:r>
      <w:r w:rsidRPr="005734B8">
        <w:rPr>
          <w:rFonts w:ascii="Calibri" w:hAnsi="Calibri" w:cs="Calibri"/>
        </w:rPr>
        <w:t>.</w:t>
      </w:r>
    </w:p>
    <w:p w14:paraId="1956E92C" w14:textId="77777777" w:rsidR="003C4131" w:rsidRPr="005734B8" w:rsidRDefault="003C4131" w:rsidP="003C4131">
      <w:pPr>
        <w:rPr>
          <w:rFonts w:ascii="Calibri" w:hAnsi="Calibri" w:cs="Calibri"/>
        </w:rPr>
      </w:pPr>
    </w:p>
    <w:p w14:paraId="363C0DAF" w14:textId="446701DA" w:rsidR="003C4131" w:rsidRPr="005734B8" w:rsidRDefault="003C4131" w:rsidP="003C4131">
      <w:pPr>
        <w:rPr>
          <w:rFonts w:ascii="Calibri" w:hAnsi="Calibri" w:cs="Calibri"/>
        </w:rPr>
      </w:pPr>
      <w:r w:rsidRPr="005734B8">
        <w:rPr>
          <w:rFonts w:ascii="Calibri" w:hAnsi="Calibri" w:cs="Calibri"/>
        </w:rPr>
        <w:t>Kindergarten programs have well</w:t>
      </w:r>
      <w:r w:rsidR="00120366" w:rsidRPr="005734B8">
        <w:rPr>
          <w:rFonts w:ascii="Calibri" w:hAnsi="Calibri" w:cs="Calibri"/>
        </w:rPr>
        <w:t>-</w:t>
      </w:r>
      <w:r w:rsidRPr="005734B8">
        <w:rPr>
          <w:rFonts w:ascii="Calibri" w:hAnsi="Calibri" w:cs="Calibri"/>
        </w:rPr>
        <w:t xml:space="preserve">documented long-term academic and social benefits for children. In 2020, </w:t>
      </w:r>
      <w:r w:rsidRPr="005734B8">
        <w:rPr>
          <w:rFonts w:ascii="Calibri" w:hAnsi="Calibri" w:cs="Calibri"/>
          <w:bCs/>
          <w:szCs w:val="22"/>
        </w:rPr>
        <w:t xml:space="preserve">$71.7 million was invested </w:t>
      </w:r>
      <w:r w:rsidR="00CD69F3" w:rsidRPr="005734B8">
        <w:rPr>
          <w:rFonts w:ascii="Calibri" w:hAnsi="Calibri" w:cs="Calibri"/>
          <w:bCs/>
          <w:szCs w:val="22"/>
        </w:rPr>
        <w:t xml:space="preserve">to </w:t>
      </w:r>
      <w:r w:rsidR="00120366" w:rsidRPr="005734B8">
        <w:rPr>
          <w:rFonts w:ascii="Calibri" w:hAnsi="Calibri" w:cs="Calibri"/>
          <w:bCs/>
          <w:szCs w:val="22"/>
        </w:rPr>
        <w:t>enable</w:t>
      </w:r>
      <w:r w:rsidRPr="005734B8">
        <w:rPr>
          <w:rFonts w:ascii="Calibri" w:hAnsi="Calibri" w:cs="Calibri"/>
          <w:bCs/>
          <w:szCs w:val="22"/>
        </w:rPr>
        <w:t xml:space="preserve"> kindergarten services </w:t>
      </w:r>
      <w:r w:rsidR="00120366" w:rsidRPr="005734B8">
        <w:rPr>
          <w:rFonts w:ascii="Calibri" w:hAnsi="Calibri" w:cs="Calibri"/>
          <w:bCs/>
          <w:szCs w:val="22"/>
        </w:rPr>
        <w:t xml:space="preserve">to </w:t>
      </w:r>
      <w:r w:rsidRPr="005734B8">
        <w:rPr>
          <w:rFonts w:ascii="Calibri" w:hAnsi="Calibri" w:cs="Calibri"/>
          <w:bCs/>
          <w:szCs w:val="22"/>
        </w:rPr>
        <w:t>respond to the impacts of the COVID-19 pandemic.</w:t>
      </w:r>
      <w:r w:rsidRPr="005734B8">
        <w:rPr>
          <w:rFonts w:ascii="Calibri" w:hAnsi="Calibri" w:cs="Calibri"/>
        </w:rPr>
        <w:t xml:space="preserve"> The 2020–21 State Budget invested</w:t>
      </w:r>
      <w:r w:rsidRPr="005734B8">
        <w:rPr>
          <w:rFonts w:ascii="Calibri" w:hAnsi="Calibri" w:cs="Calibri"/>
          <w:szCs w:val="22"/>
        </w:rPr>
        <w:t xml:space="preserve"> a further $169.6 million to make kindergarten free </w:t>
      </w:r>
      <w:r w:rsidRPr="005734B8">
        <w:rPr>
          <w:rFonts w:ascii="Calibri" w:hAnsi="Calibri" w:cs="Calibri"/>
        </w:rPr>
        <w:t>in 2021</w:t>
      </w:r>
      <w:r w:rsidR="00CD69F3" w:rsidRPr="005734B8">
        <w:rPr>
          <w:rFonts w:ascii="Calibri" w:hAnsi="Calibri" w:cs="Calibri"/>
        </w:rPr>
        <w:t xml:space="preserve"> as a time-limited measure</w:t>
      </w:r>
      <w:r w:rsidRPr="005734B8">
        <w:rPr>
          <w:rFonts w:ascii="Calibri" w:hAnsi="Calibri" w:cs="Calibri"/>
        </w:rPr>
        <w:t>, providing families with economic support</w:t>
      </w:r>
      <w:r w:rsidR="00CD69F3" w:rsidRPr="005734B8">
        <w:rPr>
          <w:rFonts w:ascii="Calibri" w:hAnsi="Calibri" w:cs="Calibri"/>
        </w:rPr>
        <w:t xml:space="preserve"> as part of the COVID-19 pandemic recovery</w:t>
      </w:r>
      <w:r w:rsidRPr="005734B8">
        <w:rPr>
          <w:rFonts w:ascii="Calibri" w:hAnsi="Calibri" w:cs="Calibri"/>
        </w:rPr>
        <w:t xml:space="preserve">. </w:t>
      </w:r>
    </w:p>
    <w:p w14:paraId="40A47341" w14:textId="77777777" w:rsidR="00CD69F3" w:rsidRPr="005734B8" w:rsidRDefault="00CD69F3" w:rsidP="003C4131">
      <w:pPr>
        <w:rPr>
          <w:rFonts w:ascii="Calibri" w:hAnsi="Calibri" w:cs="Calibri"/>
        </w:rPr>
      </w:pPr>
    </w:p>
    <w:p w14:paraId="6B2ABBA4" w14:textId="3E3F3C52" w:rsidR="006C6D1A" w:rsidRPr="005734B8" w:rsidRDefault="006C6D1A" w:rsidP="006C6D1A">
      <w:pPr>
        <w:rPr>
          <w:rFonts w:ascii="Calibri" w:hAnsi="Calibri" w:cs="Calibri"/>
          <w:szCs w:val="22"/>
        </w:rPr>
      </w:pPr>
      <w:r w:rsidRPr="005734B8">
        <w:rPr>
          <w:rFonts w:ascii="Calibri" w:hAnsi="Calibri" w:cs="Calibri"/>
        </w:rPr>
        <w:t xml:space="preserve">In 2020, 89.1 per cent of children were enrolled in kindergarten in the year before school. </w:t>
      </w:r>
      <w:r w:rsidRPr="005734B8">
        <w:rPr>
          <w:rFonts w:ascii="Calibri" w:hAnsi="Calibri" w:cs="Calibri"/>
          <w:szCs w:val="22"/>
        </w:rPr>
        <w:t xml:space="preserve">This was lower than in previous years, </w:t>
      </w:r>
      <w:r>
        <w:rPr>
          <w:rFonts w:ascii="Calibri" w:hAnsi="Calibri" w:cs="Calibri"/>
          <w:szCs w:val="22"/>
        </w:rPr>
        <w:t>due in part to the impact of the</w:t>
      </w:r>
      <w:r w:rsidRPr="005734B8">
        <w:rPr>
          <w:rFonts w:ascii="Calibri" w:hAnsi="Calibri" w:cs="Calibri"/>
          <w:bCs/>
          <w:szCs w:val="22"/>
        </w:rPr>
        <w:t xml:space="preserve"> COVID-19 pandemic </w:t>
      </w:r>
      <w:r>
        <w:rPr>
          <w:rFonts w:ascii="Calibri" w:hAnsi="Calibri" w:cs="Calibri"/>
          <w:bCs/>
          <w:szCs w:val="22"/>
        </w:rPr>
        <w:t>on the number of children enrolling after the kindergarten year commenced</w:t>
      </w:r>
      <w:r w:rsidR="00590CBA">
        <w:rPr>
          <w:rFonts w:ascii="Calibri" w:hAnsi="Calibri" w:cs="Calibri"/>
          <w:bCs/>
          <w:szCs w:val="22"/>
        </w:rPr>
        <w:t>.</w:t>
      </w:r>
      <w:r>
        <w:rPr>
          <w:rFonts w:ascii="Calibri" w:hAnsi="Calibri" w:cs="Calibri"/>
          <w:bCs/>
          <w:szCs w:val="22"/>
        </w:rPr>
        <w:t xml:space="preserve"> </w:t>
      </w:r>
      <w:r w:rsidR="00590CBA">
        <w:rPr>
          <w:rFonts w:ascii="Calibri" w:hAnsi="Calibri" w:cs="Calibri"/>
          <w:bCs/>
          <w:szCs w:val="22"/>
        </w:rPr>
        <w:t>V</w:t>
      </w:r>
      <w:r>
        <w:rPr>
          <w:rFonts w:ascii="Calibri" w:hAnsi="Calibri" w:cs="Calibri"/>
          <w:bCs/>
          <w:szCs w:val="22"/>
        </w:rPr>
        <w:t>ery few children enrol</w:t>
      </w:r>
      <w:r w:rsidR="00590CBA">
        <w:rPr>
          <w:rFonts w:ascii="Calibri" w:hAnsi="Calibri" w:cs="Calibri"/>
          <w:bCs/>
          <w:szCs w:val="22"/>
        </w:rPr>
        <w:t>led</w:t>
      </w:r>
      <w:r>
        <w:rPr>
          <w:rFonts w:ascii="Calibri" w:hAnsi="Calibri" w:cs="Calibri"/>
          <w:bCs/>
          <w:szCs w:val="22"/>
        </w:rPr>
        <w:t xml:space="preserve"> from Term 2 onwards</w:t>
      </w:r>
      <w:r w:rsidRPr="005734B8">
        <w:rPr>
          <w:rFonts w:ascii="Calibri" w:hAnsi="Calibri" w:cs="Calibri"/>
          <w:szCs w:val="22"/>
        </w:rPr>
        <w:t xml:space="preserve">.  The actual result may also be higher than 89.1 per cent because the reduction in </w:t>
      </w:r>
      <w:r w:rsidRPr="005734B8">
        <w:rPr>
          <w:rFonts w:ascii="Calibri" w:hAnsi="Calibri" w:cs="Calibri"/>
          <w:szCs w:val="22"/>
        </w:rPr>
        <w:lastRenderedPageBreak/>
        <w:t>immigration means that the population estimate</w:t>
      </w:r>
      <w:r w:rsidR="00590CBA">
        <w:rPr>
          <w:rFonts w:ascii="Calibri" w:hAnsi="Calibri" w:cs="Calibri"/>
          <w:szCs w:val="22"/>
        </w:rPr>
        <w:t>,</w:t>
      </w:r>
      <w:r w:rsidRPr="005734B8">
        <w:rPr>
          <w:rFonts w:ascii="Calibri" w:hAnsi="Calibri" w:cs="Calibri"/>
          <w:szCs w:val="22"/>
        </w:rPr>
        <w:t xml:space="preserve"> on which the </w:t>
      </w:r>
      <w:r>
        <w:rPr>
          <w:rFonts w:ascii="Calibri" w:hAnsi="Calibri" w:cs="Calibri"/>
          <w:szCs w:val="22"/>
        </w:rPr>
        <w:t>enrolment</w:t>
      </w:r>
      <w:r w:rsidRPr="005734B8">
        <w:rPr>
          <w:rFonts w:ascii="Calibri" w:hAnsi="Calibri" w:cs="Calibri"/>
          <w:szCs w:val="22"/>
        </w:rPr>
        <w:t xml:space="preserve"> rate is based</w:t>
      </w:r>
      <w:r w:rsidR="00590CBA">
        <w:rPr>
          <w:rFonts w:ascii="Calibri" w:hAnsi="Calibri" w:cs="Calibri"/>
          <w:szCs w:val="22"/>
        </w:rPr>
        <w:t>,</w:t>
      </w:r>
      <w:r w:rsidRPr="005734B8">
        <w:rPr>
          <w:rFonts w:ascii="Calibri" w:hAnsi="Calibri" w:cs="Calibri"/>
          <w:szCs w:val="22"/>
        </w:rPr>
        <w:t xml:space="preserve"> is likely too high.</w:t>
      </w:r>
    </w:p>
    <w:p w14:paraId="70E70EAB" w14:textId="77777777" w:rsidR="003C4131" w:rsidRPr="005734B8" w:rsidRDefault="003C4131" w:rsidP="003C4131">
      <w:pPr>
        <w:rPr>
          <w:rFonts w:ascii="Calibri" w:hAnsi="Calibri" w:cs="Calibri"/>
          <w:szCs w:val="22"/>
        </w:rPr>
      </w:pPr>
    </w:p>
    <w:p w14:paraId="77CB32F0" w14:textId="77777777" w:rsidR="003C4131" w:rsidRPr="005734B8" w:rsidRDefault="003C4131" w:rsidP="003C4131">
      <w:pPr>
        <w:rPr>
          <w:rFonts w:ascii="Calibri" w:hAnsi="Calibri" w:cs="Calibri"/>
        </w:rPr>
      </w:pPr>
      <w:r w:rsidRPr="005734B8">
        <w:rPr>
          <w:rFonts w:ascii="Calibri" w:hAnsi="Calibri" w:cs="Calibri"/>
        </w:rPr>
        <w:t xml:space="preserve">It is important that all children experience the benefits of kindergarten. The Department continues to focus dedicated supports on cohorts more likely to miss out on kindergarten. These include children in out-of-home care, newly arrived migrants and refugees, and children attending family day care or other early childhood services that do not have a funded kindergarten program. </w:t>
      </w:r>
    </w:p>
    <w:p w14:paraId="496E27D5" w14:textId="77777777" w:rsidR="003C4131" w:rsidRPr="005734B8" w:rsidRDefault="003C4131" w:rsidP="003C4131">
      <w:pPr>
        <w:rPr>
          <w:rFonts w:ascii="Calibri" w:hAnsi="Calibri" w:cs="Calibri"/>
        </w:rPr>
      </w:pPr>
    </w:p>
    <w:p w14:paraId="21FAFFF4" w14:textId="02A31CF6" w:rsidR="003C4131" w:rsidRPr="005734B8" w:rsidRDefault="003C4131" w:rsidP="003C4131">
      <w:pPr>
        <w:rPr>
          <w:rFonts w:ascii="Calibri" w:hAnsi="Calibri" w:cs="Calibri"/>
        </w:rPr>
      </w:pPr>
      <w:r w:rsidRPr="005734B8">
        <w:rPr>
          <w:rFonts w:ascii="Calibri" w:hAnsi="Calibri" w:cs="Calibri"/>
        </w:rPr>
        <w:t xml:space="preserve">Dedicated </w:t>
      </w:r>
      <w:r w:rsidR="00124ED0" w:rsidRPr="005734B8">
        <w:rPr>
          <w:rFonts w:ascii="Calibri" w:hAnsi="Calibri" w:cs="Calibri"/>
        </w:rPr>
        <w:t xml:space="preserve">and collaborative </w:t>
      </w:r>
      <w:r w:rsidRPr="005734B8">
        <w:rPr>
          <w:rFonts w:ascii="Calibri" w:hAnsi="Calibri" w:cs="Calibri"/>
        </w:rPr>
        <w:t xml:space="preserve">efforts in recent years </w:t>
      </w:r>
      <w:r w:rsidR="00124ED0" w:rsidRPr="005734B8">
        <w:rPr>
          <w:rFonts w:ascii="Calibri" w:hAnsi="Calibri" w:cs="Calibri"/>
        </w:rPr>
        <w:t xml:space="preserve">have </w:t>
      </w:r>
      <w:r w:rsidRPr="005734B8">
        <w:rPr>
          <w:rFonts w:ascii="Calibri" w:hAnsi="Calibri" w:cs="Calibri"/>
        </w:rPr>
        <w:t>improved participation among some cohorts, particularly three and four-year-old Aboriginal children</w:t>
      </w:r>
      <w:r w:rsidR="00124ED0" w:rsidRPr="005734B8">
        <w:rPr>
          <w:rFonts w:ascii="Calibri" w:hAnsi="Calibri" w:cs="Calibri"/>
        </w:rPr>
        <w:t xml:space="preserve"> (through the leadership of Aboriginal organisation)</w:t>
      </w:r>
      <w:r w:rsidRPr="005734B8">
        <w:rPr>
          <w:rFonts w:ascii="Calibri" w:hAnsi="Calibri" w:cs="Calibri"/>
        </w:rPr>
        <w:t xml:space="preserve">, and three-year-olds known to Child Protection </w:t>
      </w:r>
      <w:r w:rsidR="00B721EB" w:rsidRPr="005734B8">
        <w:rPr>
          <w:rFonts w:ascii="Calibri" w:hAnsi="Calibri" w:cs="Calibri"/>
        </w:rPr>
        <w:t xml:space="preserve">and </w:t>
      </w:r>
      <w:r w:rsidRPr="005734B8">
        <w:rPr>
          <w:rFonts w:ascii="Calibri" w:hAnsi="Calibri" w:cs="Calibri"/>
        </w:rPr>
        <w:t xml:space="preserve">eligible for Early Start Kindergarten. Replicating this success for other cohorts requires ongoing effort and collaboration between </w:t>
      </w:r>
      <w:r w:rsidR="00124ED0" w:rsidRPr="005734B8">
        <w:rPr>
          <w:rFonts w:ascii="Calibri" w:hAnsi="Calibri" w:cs="Calibri"/>
        </w:rPr>
        <w:t xml:space="preserve">the Department, local government and </w:t>
      </w:r>
      <w:r w:rsidRPr="005734B8">
        <w:rPr>
          <w:rFonts w:ascii="Calibri" w:hAnsi="Calibri" w:cs="Calibri"/>
        </w:rPr>
        <w:t xml:space="preserve">communities. </w:t>
      </w:r>
    </w:p>
    <w:p w14:paraId="353A0ADC" w14:textId="77777777" w:rsidR="003C4131" w:rsidRPr="005734B8" w:rsidRDefault="003C4131" w:rsidP="003C4131">
      <w:pPr>
        <w:rPr>
          <w:rFonts w:ascii="Calibri" w:hAnsi="Calibri" w:cs="Calibri"/>
        </w:rPr>
      </w:pPr>
    </w:p>
    <w:p w14:paraId="0EBF5DE3" w14:textId="75CFD37E" w:rsidR="003C4131" w:rsidRPr="005734B8" w:rsidRDefault="003C4131" w:rsidP="003C4131">
      <w:pPr>
        <w:rPr>
          <w:rFonts w:ascii="Calibri" w:hAnsi="Calibri" w:cs="Calibri"/>
        </w:rPr>
      </w:pPr>
      <w:r w:rsidRPr="005734B8">
        <w:rPr>
          <w:rFonts w:ascii="Calibri" w:hAnsi="Calibri" w:cs="Calibri"/>
        </w:rPr>
        <w:t xml:space="preserve">Victoria’s ECEC sector continues </w:t>
      </w:r>
      <w:r w:rsidR="008307ED" w:rsidRPr="005734B8">
        <w:rPr>
          <w:rFonts w:ascii="Calibri" w:hAnsi="Calibri" w:cs="Calibri"/>
        </w:rPr>
        <w:t xml:space="preserve">to </w:t>
      </w:r>
      <w:r w:rsidRPr="005734B8">
        <w:rPr>
          <w:rFonts w:ascii="Calibri" w:hAnsi="Calibri" w:cs="Calibri"/>
        </w:rPr>
        <w:t>provid</w:t>
      </w:r>
      <w:r w:rsidR="008307ED" w:rsidRPr="005734B8">
        <w:rPr>
          <w:rFonts w:ascii="Calibri" w:hAnsi="Calibri" w:cs="Calibri"/>
        </w:rPr>
        <w:t>e</w:t>
      </w:r>
      <w:r w:rsidRPr="005734B8">
        <w:rPr>
          <w:rFonts w:ascii="Calibri" w:hAnsi="Calibri" w:cs="Calibri"/>
        </w:rPr>
        <w:t xml:space="preserve"> high levels of care, with most service providers performing strongly against national standards. In 2020, 97.8 per cent of Victorian ECEC services met or exceeded </w:t>
      </w:r>
      <w:r w:rsidR="004016DD" w:rsidRPr="005734B8">
        <w:rPr>
          <w:rFonts w:ascii="Calibri" w:hAnsi="Calibri" w:cs="Calibri"/>
        </w:rPr>
        <w:t>NQSA6</w:t>
      </w:r>
      <w:r w:rsidRPr="005734B8">
        <w:rPr>
          <w:rFonts w:ascii="Calibri" w:hAnsi="Calibri" w:cs="Calibri"/>
        </w:rPr>
        <w:t xml:space="preserve"> (collaborative partnerships with families and communities). This high level of performance has remained stable for the past five years.</w:t>
      </w:r>
    </w:p>
    <w:p w14:paraId="5E817746" w14:textId="77777777" w:rsidR="003C4131" w:rsidRPr="005734B8" w:rsidRDefault="003C4131" w:rsidP="003C4131">
      <w:pPr>
        <w:rPr>
          <w:rFonts w:ascii="Calibri" w:hAnsi="Calibri" w:cs="Calibri"/>
          <w:highlight w:val="yellow"/>
        </w:rPr>
      </w:pPr>
    </w:p>
    <w:p w14:paraId="27C99FE8" w14:textId="77777777" w:rsidR="003C4131" w:rsidRPr="005734B8" w:rsidRDefault="003C4131" w:rsidP="003C4131">
      <w:pPr>
        <w:rPr>
          <w:rFonts w:ascii="Calibri" w:hAnsi="Calibri" w:cs="Calibri"/>
          <w:i/>
          <w:iCs/>
        </w:rPr>
      </w:pPr>
      <w:r w:rsidRPr="005734B8">
        <w:rPr>
          <w:rFonts w:ascii="Calibri" w:hAnsi="Calibri" w:cs="Calibri"/>
          <w:i/>
          <w:iCs/>
        </w:rPr>
        <w:t>School education</w:t>
      </w:r>
    </w:p>
    <w:p w14:paraId="7D085B33" w14:textId="77777777" w:rsidR="003C4131" w:rsidRPr="005734B8" w:rsidRDefault="003C4131" w:rsidP="003C4131">
      <w:pPr>
        <w:rPr>
          <w:rFonts w:ascii="Calibri" w:hAnsi="Calibri" w:cs="Calibri"/>
        </w:rPr>
      </w:pPr>
      <w:r w:rsidRPr="005734B8">
        <w:rPr>
          <w:rFonts w:ascii="Calibri" w:hAnsi="Calibri" w:cs="Calibri"/>
        </w:rPr>
        <w:t>School attendance is associated with improved academic outcomes and is important to maintaining wellbeing and social connections.</w:t>
      </w:r>
    </w:p>
    <w:p w14:paraId="449F9E26" w14:textId="77777777" w:rsidR="003C4131" w:rsidRPr="005734B8" w:rsidRDefault="003C4131" w:rsidP="003C4131">
      <w:pPr>
        <w:rPr>
          <w:rFonts w:ascii="Calibri" w:hAnsi="Calibri" w:cs="Calibri"/>
        </w:rPr>
      </w:pPr>
    </w:p>
    <w:p w14:paraId="3A8303ED" w14:textId="5D8D760A" w:rsidR="003C4131" w:rsidRPr="005734B8" w:rsidRDefault="003C4131" w:rsidP="003C4131">
      <w:pPr>
        <w:rPr>
          <w:rFonts w:ascii="Calibri" w:hAnsi="Calibri" w:cs="Calibri"/>
        </w:rPr>
      </w:pPr>
      <w:r w:rsidRPr="005734B8">
        <w:rPr>
          <w:rFonts w:ascii="Calibri" w:hAnsi="Calibri" w:cs="Calibri"/>
        </w:rPr>
        <w:t>In 2020, the average number of days absent per FTE student in government schools reduced for all year levels. This decrease was attributable to fewer absences owing to student illness and family holidays during periods of remote learning. In contrast, absence due to parent choice was higher than normal during periods of on-site learning, indicating that some families were concerned with the COVID-19 risk associated with on-site attendance.</w:t>
      </w:r>
    </w:p>
    <w:p w14:paraId="4F3A790F" w14:textId="77777777" w:rsidR="003C4131" w:rsidRPr="005734B8" w:rsidRDefault="003C4131" w:rsidP="003C4131">
      <w:pPr>
        <w:rPr>
          <w:rFonts w:ascii="Calibri" w:hAnsi="Calibri" w:cs="Calibri"/>
        </w:rPr>
      </w:pPr>
    </w:p>
    <w:p w14:paraId="114305C0" w14:textId="408B2E70" w:rsidR="003C4131" w:rsidRPr="005734B8" w:rsidRDefault="003C4131" w:rsidP="003C4131">
      <w:pPr>
        <w:rPr>
          <w:rFonts w:ascii="Calibri" w:hAnsi="Calibri" w:cs="Calibri"/>
          <w:bCs/>
          <w:color w:val="000000" w:themeColor="text2"/>
          <w:szCs w:val="22"/>
        </w:rPr>
      </w:pPr>
      <w:r w:rsidRPr="005734B8">
        <w:rPr>
          <w:rFonts w:ascii="Calibri" w:hAnsi="Calibri" w:cs="Calibri"/>
        </w:rPr>
        <w:t>Unapproved absence increased slightly between 2019 and 2020. Overall</w:t>
      </w:r>
      <w:r w:rsidR="00A228AA" w:rsidRPr="005734B8">
        <w:rPr>
          <w:rFonts w:ascii="Calibri" w:hAnsi="Calibri" w:cs="Calibri"/>
        </w:rPr>
        <w:t>,</w:t>
      </w:r>
      <w:r w:rsidRPr="005734B8">
        <w:rPr>
          <w:rFonts w:ascii="Calibri" w:hAnsi="Calibri" w:cs="Calibri"/>
        </w:rPr>
        <w:t xml:space="preserve"> the significant focus on absence in government schools has led to improvements in the unapproved absence rate. </w:t>
      </w:r>
      <w:r w:rsidRPr="005734B8">
        <w:rPr>
          <w:rFonts w:ascii="Calibri" w:hAnsi="Calibri" w:cs="Calibri"/>
          <w:bCs/>
          <w:color w:val="000000" w:themeColor="text2"/>
          <w:szCs w:val="22"/>
        </w:rPr>
        <w:t xml:space="preserve">Through 2020, student attendance and engagement were a focus, particularly in periods of remote and flexible learning. </w:t>
      </w:r>
      <w:r w:rsidRPr="005734B8">
        <w:rPr>
          <w:rFonts w:ascii="Calibri" w:hAnsi="Calibri" w:cs="Calibri"/>
          <w:bCs/>
          <w:szCs w:val="22"/>
        </w:rPr>
        <w:t>Schools use a range of evidence</w:t>
      </w:r>
      <w:r w:rsidRPr="005734B8">
        <w:rPr>
          <w:rFonts w:ascii="Calibri" w:hAnsi="Calibri" w:cs="Calibri"/>
          <w:bCs/>
          <w:szCs w:val="22"/>
        </w:rPr>
        <w:noBreakHyphen/>
        <w:t>based strategies, including tutoring, mentoring and behaviour supports to meet the specific needs of at</w:t>
      </w:r>
      <w:r w:rsidRPr="005734B8">
        <w:rPr>
          <w:rFonts w:ascii="Calibri" w:hAnsi="Calibri" w:cs="Calibri"/>
          <w:bCs/>
          <w:szCs w:val="22"/>
        </w:rPr>
        <w:noBreakHyphen/>
        <w:t>risk students.</w:t>
      </w:r>
      <w:r w:rsidRPr="005734B8">
        <w:rPr>
          <w:rFonts w:ascii="Calibri" w:hAnsi="Calibri" w:cs="Calibri"/>
          <w:bCs/>
          <w:color w:val="000000" w:themeColor="text2"/>
          <w:szCs w:val="22"/>
        </w:rPr>
        <w:t xml:space="preserve"> </w:t>
      </w:r>
      <w:r w:rsidRPr="005734B8">
        <w:rPr>
          <w:rFonts w:ascii="Calibri" w:hAnsi="Calibri" w:cs="Calibri"/>
          <w:bCs/>
          <w:szCs w:val="22"/>
        </w:rPr>
        <w:t>In addition, the Department provides a range of early interventions, including:</w:t>
      </w:r>
    </w:p>
    <w:p w14:paraId="53404D4C" w14:textId="77777777" w:rsidR="003C4131" w:rsidRPr="005734B8" w:rsidRDefault="003C4131" w:rsidP="00670895">
      <w:pPr>
        <w:numPr>
          <w:ilvl w:val="0"/>
          <w:numId w:val="71"/>
        </w:numPr>
        <w:rPr>
          <w:rFonts w:ascii="Calibri" w:hAnsi="Calibri" w:cs="Calibri"/>
          <w:bCs/>
          <w:szCs w:val="22"/>
        </w:rPr>
      </w:pPr>
      <w:r w:rsidRPr="005734B8">
        <w:rPr>
          <w:rFonts w:ascii="Calibri" w:hAnsi="Calibri" w:cs="Calibri"/>
          <w:bCs/>
          <w:szCs w:val="22"/>
        </w:rPr>
        <w:t>student support services, engaging psychologists, speech pathologists and social workers</w:t>
      </w:r>
    </w:p>
    <w:p w14:paraId="64E23F70" w14:textId="77777777" w:rsidR="003C4131" w:rsidRPr="005734B8" w:rsidRDefault="003C4131" w:rsidP="00670895">
      <w:pPr>
        <w:numPr>
          <w:ilvl w:val="0"/>
          <w:numId w:val="71"/>
        </w:numPr>
        <w:rPr>
          <w:rFonts w:ascii="Calibri" w:hAnsi="Calibri" w:cs="Calibri"/>
          <w:bCs/>
          <w:szCs w:val="22"/>
        </w:rPr>
      </w:pPr>
      <w:r w:rsidRPr="005734B8">
        <w:rPr>
          <w:rFonts w:ascii="Calibri" w:hAnsi="Calibri" w:cs="Calibri"/>
          <w:bCs/>
          <w:szCs w:val="22"/>
        </w:rPr>
        <w:t>funded school</w:t>
      </w:r>
      <w:r w:rsidRPr="005734B8">
        <w:rPr>
          <w:rFonts w:ascii="Calibri" w:hAnsi="Calibri" w:cs="Calibri"/>
          <w:bCs/>
          <w:szCs w:val="22"/>
        </w:rPr>
        <w:noBreakHyphen/>
        <w:t xml:space="preserve">based wellbeing staff, including primary welfare officers, student wellbeing coordinators, chaplains and mental health practitioners </w:t>
      </w:r>
    </w:p>
    <w:p w14:paraId="56A89BEE" w14:textId="77777777" w:rsidR="003C4131" w:rsidRPr="005734B8" w:rsidRDefault="003C4131" w:rsidP="00670895">
      <w:pPr>
        <w:numPr>
          <w:ilvl w:val="0"/>
          <w:numId w:val="71"/>
        </w:numPr>
        <w:rPr>
          <w:rFonts w:ascii="Calibri" w:hAnsi="Calibri" w:cs="Calibri"/>
          <w:bCs/>
          <w:szCs w:val="22"/>
        </w:rPr>
      </w:pPr>
      <w:r w:rsidRPr="005734B8">
        <w:rPr>
          <w:rFonts w:ascii="Calibri" w:hAnsi="Calibri" w:cs="Calibri"/>
          <w:bCs/>
          <w:szCs w:val="22"/>
          <w:lang w:val="en-US"/>
        </w:rPr>
        <w:t>school focused youth services working alongside the Navigator program and responding to student disengagement before it reaches extreme levels. This includes services reaching students in primary years</w:t>
      </w:r>
    </w:p>
    <w:p w14:paraId="1D72D70C" w14:textId="3F0D4461" w:rsidR="003C4131" w:rsidRPr="005734B8" w:rsidRDefault="003C4131" w:rsidP="00670895">
      <w:pPr>
        <w:numPr>
          <w:ilvl w:val="0"/>
          <w:numId w:val="71"/>
        </w:numPr>
        <w:rPr>
          <w:rFonts w:ascii="Calibri" w:hAnsi="Calibri" w:cs="Calibri"/>
          <w:bCs/>
          <w:szCs w:val="22"/>
        </w:rPr>
      </w:pPr>
      <w:r w:rsidRPr="005734B8">
        <w:rPr>
          <w:rFonts w:ascii="Calibri" w:hAnsi="Calibri" w:cs="Calibri"/>
          <w:bCs/>
          <w:szCs w:val="22"/>
        </w:rPr>
        <w:t>specific support such as LOOKOUT for students in out</w:t>
      </w:r>
      <w:r w:rsidR="00964B1E" w:rsidRPr="005734B8">
        <w:rPr>
          <w:rFonts w:ascii="Calibri" w:hAnsi="Calibri" w:cs="Calibri"/>
          <w:bCs/>
          <w:szCs w:val="22"/>
        </w:rPr>
        <w:t>-</w:t>
      </w:r>
      <w:r w:rsidRPr="005734B8">
        <w:rPr>
          <w:rFonts w:ascii="Calibri" w:hAnsi="Calibri" w:cs="Calibri"/>
          <w:bCs/>
          <w:szCs w:val="22"/>
        </w:rPr>
        <w:t>of</w:t>
      </w:r>
      <w:r w:rsidR="00964B1E" w:rsidRPr="005734B8">
        <w:rPr>
          <w:rFonts w:ascii="Calibri" w:hAnsi="Calibri" w:cs="Calibri"/>
          <w:bCs/>
          <w:szCs w:val="22"/>
        </w:rPr>
        <w:t>-</w:t>
      </w:r>
      <w:r w:rsidRPr="005734B8">
        <w:rPr>
          <w:rFonts w:ascii="Calibri" w:hAnsi="Calibri" w:cs="Calibri"/>
          <w:bCs/>
          <w:szCs w:val="22"/>
        </w:rPr>
        <w:t xml:space="preserve">home care and Koorie </w:t>
      </w:r>
      <w:r w:rsidR="00964B1E" w:rsidRPr="005734B8">
        <w:rPr>
          <w:rFonts w:ascii="Calibri" w:hAnsi="Calibri" w:cs="Calibri"/>
          <w:bCs/>
          <w:szCs w:val="22"/>
        </w:rPr>
        <w:t>e</w:t>
      </w:r>
      <w:r w:rsidRPr="005734B8">
        <w:rPr>
          <w:rFonts w:ascii="Calibri" w:hAnsi="Calibri" w:cs="Calibri"/>
          <w:bCs/>
          <w:szCs w:val="22"/>
        </w:rPr>
        <w:t xml:space="preserve">ngagement </w:t>
      </w:r>
      <w:r w:rsidR="00964B1E" w:rsidRPr="005734B8">
        <w:rPr>
          <w:rFonts w:ascii="Calibri" w:hAnsi="Calibri" w:cs="Calibri"/>
          <w:bCs/>
          <w:szCs w:val="22"/>
        </w:rPr>
        <w:t>s</w:t>
      </w:r>
      <w:r w:rsidRPr="005734B8">
        <w:rPr>
          <w:rFonts w:ascii="Calibri" w:hAnsi="Calibri" w:cs="Calibri"/>
          <w:bCs/>
          <w:szCs w:val="22"/>
        </w:rPr>
        <w:t xml:space="preserve">upport </w:t>
      </w:r>
      <w:r w:rsidR="00964B1E" w:rsidRPr="005734B8">
        <w:rPr>
          <w:rFonts w:ascii="Calibri" w:hAnsi="Calibri" w:cs="Calibri"/>
          <w:bCs/>
          <w:szCs w:val="22"/>
        </w:rPr>
        <w:t>o</w:t>
      </w:r>
      <w:r w:rsidRPr="005734B8">
        <w:rPr>
          <w:rFonts w:ascii="Calibri" w:hAnsi="Calibri" w:cs="Calibri"/>
          <w:bCs/>
          <w:szCs w:val="22"/>
        </w:rPr>
        <w:t>fficers working with students and carers to support engagement in education.</w:t>
      </w:r>
    </w:p>
    <w:p w14:paraId="59B0BC2D" w14:textId="77777777" w:rsidR="003C4131" w:rsidRPr="005734B8" w:rsidRDefault="003C4131" w:rsidP="003C4131">
      <w:pPr>
        <w:rPr>
          <w:rFonts w:ascii="Calibri" w:hAnsi="Calibri" w:cs="Calibri"/>
          <w:bCs/>
          <w:szCs w:val="22"/>
        </w:rPr>
      </w:pPr>
    </w:p>
    <w:p w14:paraId="6C2FFBDD" w14:textId="2CD62F9C" w:rsidR="003C4131" w:rsidRPr="005734B8" w:rsidRDefault="003C4131" w:rsidP="003C4131">
      <w:pPr>
        <w:rPr>
          <w:rFonts w:ascii="Calibri" w:hAnsi="Calibri" w:cs="Calibri"/>
        </w:rPr>
      </w:pPr>
      <w:r w:rsidRPr="005734B8">
        <w:rPr>
          <w:rFonts w:ascii="Calibri" w:hAnsi="Calibri" w:cs="Calibri"/>
        </w:rPr>
        <w:t xml:space="preserve">Positive engagement with schooling is associated with improving student achievement. Overall, most Victorian students believe that their school provides a stimulating learning environment, </w:t>
      </w:r>
      <w:r w:rsidR="00964B1E" w:rsidRPr="005734B8">
        <w:rPr>
          <w:rFonts w:ascii="Calibri" w:hAnsi="Calibri" w:cs="Calibri"/>
        </w:rPr>
        <w:t>although</w:t>
      </w:r>
      <w:r w:rsidRPr="005734B8">
        <w:rPr>
          <w:rFonts w:ascii="Calibri" w:hAnsi="Calibri" w:cs="Calibri"/>
        </w:rPr>
        <w:t xml:space="preserve"> in 2020 primary school students were slightly less likely to report this than in previous years. Conversely</w:t>
      </w:r>
      <w:r w:rsidR="008D30CF" w:rsidRPr="005734B8">
        <w:rPr>
          <w:rFonts w:ascii="Calibri" w:hAnsi="Calibri" w:cs="Calibri"/>
        </w:rPr>
        <w:t>,</w:t>
      </w:r>
      <w:r w:rsidRPr="005734B8">
        <w:rPr>
          <w:rFonts w:ascii="Calibri" w:hAnsi="Calibri" w:cs="Calibri"/>
        </w:rPr>
        <w:t xml:space="preserve"> secondary school perceptions of stimulating learning increased in 2020. While changes to the Student Attitude to Schools Survey instrument and implementation across both remote and on-site learning in 2020 mean that this data is not directly comparable to previous years, </w:t>
      </w:r>
      <w:r w:rsidRPr="005734B8">
        <w:rPr>
          <w:rFonts w:ascii="Calibri" w:hAnsi="Calibri" w:cs="Calibri"/>
        </w:rPr>
        <w:lastRenderedPageBreak/>
        <w:t>the results may indicate that the secondary school learning environment was more easily adapted to remote learning.</w:t>
      </w:r>
    </w:p>
    <w:p w14:paraId="21CF83CC" w14:textId="77777777" w:rsidR="00646B70" w:rsidRPr="005734B8" w:rsidRDefault="00646B70" w:rsidP="003C4131">
      <w:pPr>
        <w:rPr>
          <w:rFonts w:ascii="Calibri" w:hAnsi="Calibri" w:cs="Calibri"/>
        </w:rPr>
      </w:pPr>
    </w:p>
    <w:p w14:paraId="71A0DC28" w14:textId="4D7E38A9" w:rsidR="003C4131" w:rsidRPr="005734B8" w:rsidRDefault="003C4131" w:rsidP="003C4131">
      <w:pPr>
        <w:rPr>
          <w:rFonts w:ascii="Calibri" w:hAnsi="Calibri" w:cs="Calibri"/>
          <w:szCs w:val="22"/>
        </w:rPr>
      </w:pPr>
      <w:r w:rsidRPr="005734B8">
        <w:rPr>
          <w:rFonts w:ascii="Calibri" w:hAnsi="Calibri" w:cs="Calibri"/>
          <w:szCs w:val="22"/>
        </w:rPr>
        <w:t>In July 2020, Learning First published a report on the impact of remote and flexible learning on Victoria’s students. The report found that self-motivated, self-directed, or older students thrived during remote learning</w:t>
      </w:r>
      <w:r w:rsidR="003E0F8B" w:rsidRPr="005734B8">
        <w:rPr>
          <w:rFonts w:ascii="Calibri" w:hAnsi="Calibri" w:cs="Calibri"/>
          <w:szCs w:val="22"/>
        </w:rPr>
        <w:t>,</w:t>
      </w:r>
      <w:r w:rsidRPr="005734B8">
        <w:rPr>
          <w:rFonts w:ascii="Calibri" w:hAnsi="Calibri" w:cs="Calibri"/>
          <w:szCs w:val="22"/>
        </w:rPr>
        <w:t xml:space="preserve"> as </w:t>
      </w:r>
      <w:r w:rsidR="003E0F8B" w:rsidRPr="005734B8">
        <w:rPr>
          <w:rFonts w:ascii="Calibri" w:hAnsi="Calibri" w:cs="Calibri"/>
          <w:szCs w:val="22"/>
        </w:rPr>
        <w:t>did</w:t>
      </w:r>
      <w:r w:rsidRPr="005734B8">
        <w:rPr>
          <w:rFonts w:ascii="Calibri" w:hAnsi="Calibri" w:cs="Calibri"/>
          <w:szCs w:val="22"/>
        </w:rPr>
        <w:t xml:space="preserve"> high-functioning students with </w:t>
      </w:r>
      <w:r w:rsidR="00E25236" w:rsidRPr="005734B8">
        <w:rPr>
          <w:rFonts w:ascii="Calibri" w:hAnsi="Calibri" w:cs="Calibri"/>
          <w:szCs w:val="22"/>
        </w:rPr>
        <w:t>autism</w:t>
      </w:r>
      <w:r w:rsidRPr="005734B8">
        <w:rPr>
          <w:rFonts w:ascii="Calibri" w:hAnsi="Calibri" w:cs="Calibri"/>
          <w:szCs w:val="22"/>
        </w:rPr>
        <w:t xml:space="preserve"> and those who experience social anxiety in a classroom environment. Students who found remote learning challenging included those with additional learning needs who required extra supports at home, those with lower levels of English proficiency and disadvantaged students with lower access to information technology devices. The ability of parents to support younger students was also raised as a limitation during remote learning. </w:t>
      </w:r>
    </w:p>
    <w:p w14:paraId="432AF05A" w14:textId="77777777" w:rsidR="003C4131" w:rsidRPr="005734B8" w:rsidRDefault="003C4131" w:rsidP="003C4131">
      <w:pPr>
        <w:rPr>
          <w:rFonts w:ascii="Calibri" w:hAnsi="Calibri" w:cs="Calibri"/>
          <w:szCs w:val="22"/>
          <w:highlight w:val="yellow"/>
        </w:rPr>
      </w:pPr>
    </w:p>
    <w:p w14:paraId="5EBE6C06" w14:textId="205C74EA" w:rsidR="003C4131" w:rsidRPr="005734B8" w:rsidRDefault="003C4131" w:rsidP="003C4131">
      <w:pPr>
        <w:rPr>
          <w:rFonts w:ascii="Calibri" w:hAnsi="Calibri" w:cs="Calibri"/>
        </w:rPr>
      </w:pPr>
      <w:r w:rsidRPr="005734B8">
        <w:rPr>
          <w:rFonts w:ascii="Calibri" w:hAnsi="Calibri" w:cs="Calibri"/>
          <w:szCs w:val="22"/>
        </w:rPr>
        <w:t>To address these concerns, in the second half of 2020 the Department expanded access to IT devices, particularly for vulnerable cohorts. Schools implemented ways to tailor learning to the digital environment, structuring lessons around shorter initial instructions with the opportunity for students to work on set tasks or problems. This supported individual interactions with teachers. This also included the provision of additional learning materials via the Department’s Arc digital learning hub. The Department also ensured that wellbeing supports were available to staff and expanded services for vulnerable children and those at risk of disengaging, such as LOOKOUT and Navigator.</w:t>
      </w:r>
    </w:p>
    <w:p w14:paraId="4A430443" w14:textId="77777777" w:rsidR="003C4131" w:rsidRPr="005734B8" w:rsidRDefault="003C4131" w:rsidP="003C4131">
      <w:pPr>
        <w:rPr>
          <w:rFonts w:ascii="Calibri" w:hAnsi="Calibri" w:cs="Calibri"/>
          <w:i/>
          <w:iCs/>
          <w:highlight w:val="magenta"/>
        </w:rPr>
      </w:pPr>
    </w:p>
    <w:p w14:paraId="08074F44" w14:textId="77777777" w:rsidR="003C4131" w:rsidRPr="005734B8" w:rsidRDefault="003C4131" w:rsidP="003C4131">
      <w:pPr>
        <w:rPr>
          <w:rFonts w:ascii="Calibri" w:hAnsi="Calibri" w:cs="Calibri"/>
          <w:i/>
          <w:iCs/>
        </w:rPr>
      </w:pPr>
      <w:r w:rsidRPr="005734B8">
        <w:rPr>
          <w:rFonts w:ascii="Calibri" w:hAnsi="Calibri" w:cs="Calibri"/>
          <w:i/>
          <w:iCs/>
        </w:rPr>
        <w:t xml:space="preserve">Higher education and skills </w:t>
      </w:r>
    </w:p>
    <w:p w14:paraId="1B789DC6" w14:textId="77777777" w:rsidR="003C4131" w:rsidRPr="005734B8" w:rsidRDefault="003C4131" w:rsidP="003C4131">
      <w:pPr>
        <w:rPr>
          <w:rFonts w:ascii="Calibri" w:hAnsi="Calibri" w:cs="Calibri"/>
        </w:rPr>
      </w:pPr>
      <w:r w:rsidRPr="005734B8">
        <w:rPr>
          <w:rFonts w:ascii="Calibri" w:hAnsi="Calibri" w:cs="Calibri"/>
        </w:rPr>
        <w:t>Despite the impact of the COVID-19 pandemic resulting in a slight decline in total government-funded accredited VET activity in Victoria, continuing enrolments rose by 11 per cent in 2020 compared with the same period in 2019.</w:t>
      </w:r>
    </w:p>
    <w:p w14:paraId="62E7220D" w14:textId="77777777" w:rsidR="00646B70" w:rsidRPr="005734B8" w:rsidRDefault="00646B70" w:rsidP="003C4131">
      <w:pPr>
        <w:rPr>
          <w:rFonts w:ascii="Calibri" w:hAnsi="Calibri" w:cs="Calibri"/>
        </w:rPr>
      </w:pPr>
    </w:p>
    <w:p w14:paraId="08A69C60" w14:textId="77777777" w:rsidR="003C4131" w:rsidRPr="005734B8" w:rsidRDefault="003C4131" w:rsidP="003C4131">
      <w:pPr>
        <w:rPr>
          <w:rFonts w:ascii="Calibri" w:hAnsi="Calibri" w:cs="Calibri"/>
        </w:rPr>
      </w:pPr>
      <w:r w:rsidRPr="005734B8">
        <w:rPr>
          <w:rFonts w:ascii="Calibri" w:hAnsi="Calibri" w:cs="Calibri"/>
        </w:rPr>
        <w:t>This strong growth in continuing enrolments was driven by students who commenced in Free TAFE and continued into 2020. The positive impacts of the Skills First reforms (implemented in 2017) continued ensuring a quality benchmark for training providers and created stronger links between training and job outcomes.</w:t>
      </w:r>
    </w:p>
    <w:p w14:paraId="7BEA80EA" w14:textId="3C52462D" w:rsidR="00EB041C" w:rsidRPr="005734B8" w:rsidRDefault="00EB041C" w:rsidP="00EB041C">
      <w:pPr>
        <w:pStyle w:val="ESTableintroheading"/>
        <w:rPr>
          <w:rFonts w:ascii="Calibri" w:hAnsi="Calibri" w:cs="Calibri"/>
        </w:rPr>
      </w:pPr>
      <w:r w:rsidRPr="005734B8">
        <w:rPr>
          <w:rFonts w:ascii="Calibri" w:hAnsi="Calibri" w:cs="Calibri"/>
        </w:rPr>
        <w:t>Departmental indicators against engagement</w:t>
      </w:r>
    </w:p>
    <w:tbl>
      <w:tblPr>
        <w:tblStyle w:val="TableGrid"/>
        <w:tblW w:w="506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36"/>
        <w:gridCol w:w="1078"/>
        <w:gridCol w:w="1141"/>
        <w:gridCol w:w="1142"/>
        <w:gridCol w:w="1141"/>
        <w:gridCol w:w="1142"/>
        <w:gridCol w:w="1142"/>
      </w:tblGrid>
      <w:tr w:rsidR="003C4131" w:rsidRPr="005734B8" w14:paraId="71AAF6E3" w14:textId="77777777" w:rsidTr="00B05012">
        <w:trPr>
          <w:trHeight w:val="242"/>
          <w:tblHeader/>
        </w:trPr>
        <w:tc>
          <w:tcPr>
            <w:tcW w:w="2336" w:type="dxa"/>
            <w:tcBorders>
              <w:bottom w:val="single" w:sz="4" w:space="0" w:color="FFFFFF" w:themeColor="background1"/>
            </w:tcBorders>
            <w:shd w:val="clear" w:color="auto" w:fill="AF272F" w:themeFill="accent4"/>
          </w:tcPr>
          <w:p w14:paraId="36D8046B" w14:textId="77777777" w:rsidR="003C4131" w:rsidRPr="005734B8" w:rsidRDefault="003C4131" w:rsidP="000C192E">
            <w:pPr>
              <w:pStyle w:val="ESTableheadingwhite"/>
              <w:rPr>
                <w:rFonts w:ascii="Calibri" w:hAnsi="Calibri" w:cs="Calibri"/>
                <w:sz w:val="18"/>
              </w:rPr>
            </w:pPr>
            <w:r w:rsidRPr="005734B8">
              <w:rPr>
                <w:rFonts w:ascii="Calibri" w:hAnsi="Calibri" w:cs="Calibri"/>
                <w:sz w:val="18"/>
                <w:lang w:val="en-AU"/>
              </w:rPr>
              <w:t>Indicators</w:t>
            </w:r>
          </w:p>
        </w:tc>
        <w:tc>
          <w:tcPr>
            <w:tcW w:w="1078" w:type="dxa"/>
            <w:tcBorders>
              <w:bottom w:val="single" w:sz="4" w:space="0" w:color="FFFFFF" w:themeColor="background1"/>
            </w:tcBorders>
            <w:shd w:val="clear" w:color="auto" w:fill="AF272F" w:themeFill="accent4"/>
          </w:tcPr>
          <w:p w14:paraId="182E5BE2" w14:textId="77777777" w:rsidR="003C4131" w:rsidRPr="005734B8" w:rsidRDefault="003C4131" w:rsidP="000C192E">
            <w:pPr>
              <w:pStyle w:val="ESTableheadingwhite"/>
              <w:jc w:val="center"/>
              <w:rPr>
                <w:rFonts w:ascii="Calibri" w:hAnsi="Calibri" w:cs="Calibri"/>
                <w:sz w:val="18"/>
              </w:rPr>
            </w:pPr>
            <w:r w:rsidRPr="005734B8">
              <w:rPr>
                <w:rFonts w:ascii="Calibri" w:hAnsi="Calibri" w:cs="Calibri"/>
                <w:sz w:val="18"/>
                <w:lang w:val="en-AU"/>
              </w:rPr>
              <w:t>Unit</w:t>
            </w:r>
          </w:p>
        </w:tc>
        <w:tc>
          <w:tcPr>
            <w:tcW w:w="1141" w:type="dxa"/>
            <w:tcBorders>
              <w:bottom w:val="single" w:sz="4" w:space="0" w:color="FFFFFF" w:themeColor="background1"/>
            </w:tcBorders>
            <w:shd w:val="clear" w:color="auto" w:fill="AF272F" w:themeFill="accent4"/>
          </w:tcPr>
          <w:p w14:paraId="4587ACDE" w14:textId="77777777" w:rsidR="003C4131" w:rsidRPr="005734B8" w:rsidRDefault="003C4131" w:rsidP="000C192E">
            <w:pPr>
              <w:pStyle w:val="ESTableheadingwhite"/>
              <w:jc w:val="right"/>
              <w:rPr>
                <w:rFonts w:ascii="Calibri" w:hAnsi="Calibri" w:cs="Calibri"/>
                <w:sz w:val="18"/>
              </w:rPr>
            </w:pPr>
            <w:r w:rsidRPr="005734B8">
              <w:rPr>
                <w:rFonts w:ascii="Calibri" w:hAnsi="Calibri" w:cs="Calibri"/>
                <w:sz w:val="18"/>
                <w:lang w:val="en-AU"/>
              </w:rPr>
              <w:t>2016</w:t>
            </w:r>
          </w:p>
        </w:tc>
        <w:tc>
          <w:tcPr>
            <w:tcW w:w="1142" w:type="dxa"/>
            <w:tcBorders>
              <w:bottom w:val="single" w:sz="4" w:space="0" w:color="FFFFFF" w:themeColor="background1"/>
            </w:tcBorders>
            <w:shd w:val="clear" w:color="auto" w:fill="AF272F" w:themeFill="accent4"/>
          </w:tcPr>
          <w:p w14:paraId="00FF8A3B" w14:textId="77777777" w:rsidR="003C4131" w:rsidRPr="005734B8" w:rsidRDefault="003C4131" w:rsidP="000C192E">
            <w:pPr>
              <w:pStyle w:val="ESTableheadingwhite"/>
              <w:jc w:val="right"/>
              <w:rPr>
                <w:rFonts w:ascii="Calibri" w:hAnsi="Calibri" w:cs="Calibri"/>
                <w:sz w:val="18"/>
              </w:rPr>
            </w:pPr>
            <w:r w:rsidRPr="005734B8">
              <w:rPr>
                <w:rFonts w:ascii="Calibri" w:hAnsi="Calibri" w:cs="Calibri"/>
                <w:sz w:val="18"/>
                <w:lang w:val="en-AU"/>
              </w:rPr>
              <w:t>2017</w:t>
            </w:r>
          </w:p>
        </w:tc>
        <w:tc>
          <w:tcPr>
            <w:tcW w:w="1141" w:type="dxa"/>
            <w:tcBorders>
              <w:bottom w:val="single" w:sz="4" w:space="0" w:color="FFFFFF" w:themeColor="background1"/>
            </w:tcBorders>
            <w:shd w:val="clear" w:color="auto" w:fill="AF272F" w:themeFill="accent4"/>
          </w:tcPr>
          <w:p w14:paraId="6666BB25" w14:textId="77777777" w:rsidR="003C4131" w:rsidRPr="005734B8" w:rsidRDefault="003C4131" w:rsidP="000C192E">
            <w:pPr>
              <w:pStyle w:val="ESTableheadingwhite"/>
              <w:jc w:val="right"/>
              <w:rPr>
                <w:rFonts w:ascii="Calibri" w:hAnsi="Calibri" w:cs="Calibri"/>
                <w:sz w:val="18"/>
              </w:rPr>
            </w:pPr>
            <w:r w:rsidRPr="005734B8">
              <w:rPr>
                <w:rFonts w:ascii="Calibri" w:hAnsi="Calibri" w:cs="Calibri"/>
                <w:sz w:val="18"/>
                <w:lang w:val="en-AU"/>
              </w:rPr>
              <w:t>2018</w:t>
            </w:r>
          </w:p>
        </w:tc>
        <w:tc>
          <w:tcPr>
            <w:tcW w:w="1142" w:type="dxa"/>
            <w:tcBorders>
              <w:bottom w:val="single" w:sz="4" w:space="0" w:color="FFFFFF" w:themeColor="background1"/>
            </w:tcBorders>
            <w:shd w:val="clear" w:color="auto" w:fill="AF272F" w:themeFill="accent4"/>
          </w:tcPr>
          <w:p w14:paraId="0E265FC0" w14:textId="77777777" w:rsidR="003C4131" w:rsidRPr="005734B8" w:rsidRDefault="003C4131" w:rsidP="000C192E">
            <w:pPr>
              <w:pStyle w:val="ESTableheadingwhite"/>
              <w:jc w:val="right"/>
              <w:rPr>
                <w:rFonts w:ascii="Calibri" w:hAnsi="Calibri" w:cs="Calibri"/>
                <w:sz w:val="18"/>
              </w:rPr>
            </w:pPr>
            <w:r w:rsidRPr="005734B8">
              <w:rPr>
                <w:rFonts w:ascii="Calibri" w:hAnsi="Calibri" w:cs="Calibri"/>
                <w:sz w:val="18"/>
                <w:lang w:val="en-AU"/>
              </w:rPr>
              <w:t>2019</w:t>
            </w:r>
          </w:p>
        </w:tc>
        <w:tc>
          <w:tcPr>
            <w:tcW w:w="1142" w:type="dxa"/>
            <w:tcBorders>
              <w:bottom w:val="single" w:sz="4" w:space="0" w:color="FFFFFF" w:themeColor="background1"/>
            </w:tcBorders>
            <w:shd w:val="clear" w:color="auto" w:fill="AF272F" w:themeFill="accent4"/>
          </w:tcPr>
          <w:p w14:paraId="7133F781" w14:textId="77777777" w:rsidR="003C4131" w:rsidRPr="005734B8" w:rsidRDefault="003C4131" w:rsidP="000C192E">
            <w:pPr>
              <w:pStyle w:val="ESTableheadingwhite"/>
              <w:jc w:val="right"/>
              <w:rPr>
                <w:rFonts w:ascii="Calibri" w:hAnsi="Calibri" w:cs="Calibri"/>
                <w:sz w:val="18"/>
              </w:rPr>
            </w:pPr>
            <w:r w:rsidRPr="005734B8">
              <w:rPr>
                <w:rFonts w:ascii="Calibri" w:hAnsi="Calibri" w:cs="Calibri"/>
                <w:sz w:val="18"/>
                <w:lang w:val="en-AU"/>
              </w:rPr>
              <w:t>2020</w:t>
            </w:r>
          </w:p>
        </w:tc>
      </w:tr>
      <w:tr w:rsidR="003C4131" w:rsidRPr="005734B8" w14:paraId="75479BE7" w14:textId="77777777" w:rsidTr="00B05012">
        <w:tc>
          <w:tcPr>
            <w:tcW w:w="9122" w:type="dxa"/>
            <w:gridSpan w:val="7"/>
            <w:tcBorders>
              <w:bottom w:val="single" w:sz="4" w:space="0" w:color="53565A" w:themeColor="accent5"/>
            </w:tcBorders>
            <w:shd w:val="clear" w:color="auto" w:fill="53565A" w:themeFill="accent5"/>
          </w:tcPr>
          <w:p w14:paraId="46CE5960" w14:textId="77777777" w:rsidR="003C4131" w:rsidRPr="005734B8" w:rsidRDefault="003C4131" w:rsidP="000C192E">
            <w:pPr>
              <w:pStyle w:val="W1"/>
              <w:rPr>
                <w:rFonts w:ascii="Calibri" w:hAnsi="Calibri" w:cs="Calibri"/>
                <w:sz w:val="18"/>
              </w:rPr>
            </w:pPr>
            <w:r w:rsidRPr="005734B8">
              <w:rPr>
                <w:rFonts w:ascii="Calibri" w:hAnsi="Calibri" w:cs="Calibri"/>
                <w:sz w:val="18"/>
              </w:rPr>
              <w:t>Early childhood development</w:t>
            </w:r>
          </w:p>
        </w:tc>
      </w:tr>
      <w:tr w:rsidR="003C4131" w:rsidRPr="005734B8" w14:paraId="218B51D7" w14:textId="77777777" w:rsidTr="00B05012">
        <w:tc>
          <w:tcPr>
            <w:tcW w:w="9122" w:type="dxa"/>
            <w:gridSpan w:val="7"/>
            <w:tcBorders>
              <w:top w:val="single" w:sz="4" w:space="0" w:color="53565A" w:themeColor="accent5"/>
              <w:bottom w:val="single" w:sz="4" w:space="0" w:color="53565A" w:themeColor="accent5"/>
            </w:tcBorders>
            <w:shd w:val="clear" w:color="auto" w:fill="D9D9D6" w:themeFill="accent6"/>
          </w:tcPr>
          <w:p w14:paraId="5734D990" w14:textId="77777777" w:rsidR="003C4131" w:rsidRPr="005734B8" w:rsidRDefault="003C4131" w:rsidP="000C192E">
            <w:pPr>
              <w:pStyle w:val="ESTablenumberrightaligned"/>
              <w:jc w:val="left"/>
              <w:rPr>
                <w:rFonts w:ascii="Calibri" w:hAnsi="Calibri" w:cs="Calibri"/>
                <w:b/>
                <w:sz w:val="18"/>
              </w:rPr>
            </w:pPr>
            <w:r w:rsidRPr="005734B8">
              <w:rPr>
                <w:rFonts w:ascii="Calibri" w:hAnsi="Calibri" w:cs="Calibri"/>
                <w:b/>
                <w:sz w:val="18"/>
                <w:lang w:val="en-AU"/>
              </w:rPr>
              <w:t>Participation in a kindergarten service in the year before school</w:t>
            </w:r>
          </w:p>
        </w:tc>
      </w:tr>
      <w:tr w:rsidR="003C4131" w:rsidRPr="005734B8" w14:paraId="085E1B3C" w14:textId="77777777" w:rsidTr="00B05012">
        <w:tc>
          <w:tcPr>
            <w:tcW w:w="2336" w:type="dxa"/>
            <w:tcBorders>
              <w:top w:val="single" w:sz="4" w:space="0" w:color="53565A" w:themeColor="accent5"/>
              <w:bottom w:val="single" w:sz="4" w:space="0" w:color="53565A" w:themeColor="accent5"/>
            </w:tcBorders>
            <w:shd w:val="clear" w:color="auto" w:fill="auto"/>
          </w:tcPr>
          <w:p w14:paraId="78CF677D" w14:textId="77777777" w:rsidR="003C4131" w:rsidRPr="005734B8" w:rsidRDefault="003C4131" w:rsidP="000C192E">
            <w:pPr>
              <w:pStyle w:val="ESTablebody"/>
              <w:rPr>
                <w:rFonts w:ascii="Calibri" w:hAnsi="Calibri" w:cs="Calibri"/>
                <w:sz w:val="18"/>
              </w:rPr>
            </w:pPr>
            <w:r w:rsidRPr="005734B8">
              <w:rPr>
                <w:rFonts w:ascii="Calibri" w:hAnsi="Calibri" w:cs="Calibri"/>
                <w:sz w:val="18"/>
                <w:lang w:val="en-AU"/>
              </w:rPr>
              <w:t>Participation in a kindergarten service in the year before school</w:t>
            </w:r>
            <w:r w:rsidRPr="005734B8">
              <w:rPr>
                <w:rStyle w:val="FootnoteReference"/>
                <w:rFonts w:ascii="Calibri" w:hAnsi="Calibri" w:cs="Calibri"/>
                <w:sz w:val="18"/>
                <w:lang w:val="en-AU"/>
              </w:rPr>
              <w:footnoteReference w:id="16"/>
            </w:r>
          </w:p>
        </w:tc>
        <w:tc>
          <w:tcPr>
            <w:tcW w:w="1078" w:type="dxa"/>
            <w:tcBorders>
              <w:top w:val="single" w:sz="4" w:space="0" w:color="53565A" w:themeColor="accent5"/>
              <w:bottom w:val="single" w:sz="4" w:space="0" w:color="53565A" w:themeColor="accent5"/>
            </w:tcBorders>
            <w:shd w:val="clear" w:color="auto" w:fill="auto"/>
          </w:tcPr>
          <w:p w14:paraId="47C22411"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per cent</w:t>
            </w:r>
          </w:p>
        </w:tc>
        <w:tc>
          <w:tcPr>
            <w:tcW w:w="1141" w:type="dxa"/>
            <w:tcBorders>
              <w:top w:val="single" w:sz="4" w:space="0" w:color="53565A" w:themeColor="accent5"/>
              <w:bottom w:val="single" w:sz="4" w:space="0" w:color="53565A" w:themeColor="accent5"/>
            </w:tcBorders>
            <w:shd w:val="clear" w:color="auto" w:fill="FFFFFF" w:themeFill="background1"/>
          </w:tcPr>
          <w:p w14:paraId="7DEE6B2D"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96.2</w:t>
            </w:r>
          </w:p>
        </w:tc>
        <w:tc>
          <w:tcPr>
            <w:tcW w:w="1142" w:type="dxa"/>
            <w:tcBorders>
              <w:top w:val="single" w:sz="4" w:space="0" w:color="53565A" w:themeColor="accent5"/>
              <w:bottom w:val="single" w:sz="4" w:space="0" w:color="53565A" w:themeColor="accent5"/>
            </w:tcBorders>
          </w:tcPr>
          <w:p w14:paraId="3E9296BB"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93.4</w:t>
            </w:r>
          </w:p>
        </w:tc>
        <w:tc>
          <w:tcPr>
            <w:tcW w:w="1141" w:type="dxa"/>
            <w:tcBorders>
              <w:top w:val="single" w:sz="4" w:space="0" w:color="53565A" w:themeColor="accent5"/>
              <w:bottom w:val="single" w:sz="4" w:space="0" w:color="53565A" w:themeColor="accent5"/>
            </w:tcBorders>
          </w:tcPr>
          <w:p w14:paraId="18AD67AA"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lang w:val="en-AU"/>
              </w:rPr>
              <w:t>92.1</w:t>
            </w:r>
          </w:p>
        </w:tc>
        <w:tc>
          <w:tcPr>
            <w:tcW w:w="1142" w:type="dxa"/>
            <w:tcBorders>
              <w:top w:val="single" w:sz="4" w:space="0" w:color="53565A" w:themeColor="accent5"/>
              <w:bottom w:val="single" w:sz="4" w:space="0" w:color="53565A" w:themeColor="accent5"/>
            </w:tcBorders>
          </w:tcPr>
          <w:p w14:paraId="4F6EB588"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91.8</w:t>
            </w:r>
          </w:p>
        </w:tc>
        <w:tc>
          <w:tcPr>
            <w:tcW w:w="1142" w:type="dxa"/>
            <w:tcBorders>
              <w:top w:val="single" w:sz="4" w:space="0" w:color="53565A" w:themeColor="accent5"/>
              <w:bottom w:val="single" w:sz="4" w:space="0" w:color="53565A" w:themeColor="accent5"/>
            </w:tcBorders>
          </w:tcPr>
          <w:p w14:paraId="6536F4E6"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89.1</w:t>
            </w:r>
          </w:p>
        </w:tc>
      </w:tr>
      <w:tr w:rsidR="003C4131" w:rsidRPr="005734B8" w14:paraId="5E07ACF5" w14:textId="77777777" w:rsidTr="00B05012">
        <w:tc>
          <w:tcPr>
            <w:tcW w:w="9122" w:type="dxa"/>
            <w:gridSpan w:val="7"/>
            <w:tcBorders>
              <w:top w:val="single" w:sz="4" w:space="0" w:color="53565A" w:themeColor="accent5"/>
              <w:bottom w:val="single" w:sz="4" w:space="0" w:color="53565A" w:themeColor="accent5"/>
            </w:tcBorders>
            <w:shd w:val="clear" w:color="auto" w:fill="D9D9D6" w:themeFill="accent6"/>
          </w:tcPr>
          <w:p w14:paraId="1D47940E" w14:textId="77777777" w:rsidR="003C4131" w:rsidRPr="005734B8" w:rsidRDefault="003C4131" w:rsidP="000C192E">
            <w:pPr>
              <w:pStyle w:val="ESTablenumberrightaligned"/>
              <w:jc w:val="left"/>
              <w:rPr>
                <w:rFonts w:ascii="Calibri" w:hAnsi="Calibri" w:cs="Calibri"/>
                <w:b/>
                <w:sz w:val="18"/>
              </w:rPr>
            </w:pPr>
            <w:r w:rsidRPr="005734B8">
              <w:rPr>
                <w:rFonts w:ascii="Calibri" w:hAnsi="Calibri" w:cs="Calibri"/>
                <w:b/>
                <w:sz w:val="18"/>
                <w:shd w:val="clear" w:color="auto" w:fill="D9D9D6" w:themeFill="accent6"/>
                <w:lang w:val="en-AU"/>
              </w:rPr>
              <w:t>Proportion of ECEC services meeting or exceeding NQSA6 – Collaborative partnerships with families and communities</w:t>
            </w:r>
          </w:p>
        </w:tc>
      </w:tr>
      <w:tr w:rsidR="003C4131" w:rsidRPr="005734B8" w14:paraId="365E645D" w14:textId="77777777" w:rsidTr="002B3B54">
        <w:tc>
          <w:tcPr>
            <w:tcW w:w="2336" w:type="dxa"/>
            <w:tcBorders>
              <w:top w:val="single" w:sz="4" w:space="0" w:color="53565A" w:themeColor="accent5"/>
              <w:bottom w:val="single" w:sz="4" w:space="0" w:color="auto"/>
            </w:tcBorders>
            <w:shd w:val="clear" w:color="auto" w:fill="auto"/>
          </w:tcPr>
          <w:p w14:paraId="678324F8" w14:textId="77777777" w:rsidR="003C4131" w:rsidRPr="005734B8" w:rsidRDefault="003C4131" w:rsidP="000C192E">
            <w:pPr>
              <w:pStyle w:val="ESTablebody"/>
              <w:rPr>
                <w:rFonts w:ascii="Calibri" w:hAnsi="Calibri" w:cs="Calibri"/>
                <w:sz w:val="18"/>
                <w:lang w:val="en-AU"/>
              </w:rPr>
            </w:pPr>
            <w:r w:rsidRPr="005734B8">
              <w:rPr>
                <w:rFonts w:ascii="Calibri" w:hAnsi="Calibri" w:cs="Calibri"/>
                <w:sz w:val="18"/>
                <w:lang w:val="en-AU"/>
              </w:rPr>
              <w:t xml:space="preserve">Proportion of ECEC services meeting or exceeding NQSA6 </w:t>
            </w:r>
          </w:p>
        </w:tc>
        <w:tc>
          <w:tcPr>
            <w:tcW w:w="1078" w:type="dxa"/>
            <w:tcBorders>
              <w:top w:val="single" w:sz="4" w:space="0" w:color="53565A" w:themeColor="accent5"/>
              <w:bottom w:val="single" w:sz="4" w:space="0" w:color="auto"/>
            </w:tcBorders>
            <w:shd w:val="clear" w:color="auto" w:fill="auto"/>
          </w:tcPr>
          <w:p w14:paraId="2D2E2280"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41" w:type="dxa"/>
            <w:tcBorders>
              <w:top w:val="single" w:sz="4" w:space="0" w:color="53565A" w:themeColor="accent5"/>
              <w:bottom w:val="single" w:sz="4" w:space="0" w:color="auto"/>
            </w:tcBorders>
            <w:shd w:val="clear" w:color="auto" w:fill="FFFFFF" w:themeFill="background1"/>
          </w:tcPr>
          <w:p w14:paraId="5DEE4B42"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95.9</w:t>
            </w:r>
          </w:p>
        </w:tc>
        <w:tc>
          <w:tcPr>
            <w:tcW w:w="1142" w:type="dxa"/>
            <w:tcBorders>
              <w:top w:val="single" w:sz="4" w:space="0" w:color="53565A" w:themeColor="accent5"/>
              <w:bottom w:val="single" w:sz="4" w:space="0" w:color="auto"/>
            </w:tcBorders>
          </w:tcPr>
          <w:p w14:paraId="19CA1D1D"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96.2</w:t>
            </w:r>
          </w:p>
        </w:tc>
        <w:tc>
          <w:tcPr>
            <w:tcW w:w="1141" w:type="dxa"/>
            <w:tcBorders>
              <w:top w:val="single" w:sz="4" w:space="0" w:color="53565A" w:themeColor="accent5"/>
              <w:bottom w:val="single" w:sz="4" w:space="0" w:color="auto"/>
            </w:tcBorders>
          </w:tcPr>
          <w:p w14:paraId="79CB97DB"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96.9</w:t>
            </w:r>
          </w:p>
        </w:tc>
        <w:tc>
          <w:tcPr>
            <w:tcW w:w="1142" w:type="dxa"/>
            <w:tcBorders>
              <w:top w:val="single" w:sz="4" w:space="0" w:color="53565A" w:themeColor="accent5"/>
              <w:bottom w:val="single" w:sz="4" w:space="0" w:color="auto"/>
            </w:tcBorders>
          </w:tcPr>
          <w:p w14:paraId="128DA0DA"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97.4</w:t>
            </w:r>
            <w:r w:rsidRPr="005734B8">
              <w:rPr>
                <w:rStyle w:val="FootnoteReference"/>
                <w:rFonts w:ascii="Calibri" w:hAnsi="Calibri" w:cs="Calibri"/>
                <w:sz w:val="18"/>
              </w:rPr>
              <w:footnoteReference w:id="17"/>
            </w:r>
          </w:p>
        </w:tc>
        <w:tc>
          <w:tcPr>
            <w:tcW w:w="1142" w:type="dxa"/>
            <w:tcBorders>
              <w:top w:val="single" w:sz="4" w:space="0" w:color="53565A" w:themeColor="accent5"/>
              <w:bottom w:val="single" w:sz="4" w:space="0" w:color="auto"/>
            </w:tcBorders>
          </w:tcPr>
          <w:p w14:paraId="5E607B13"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97.8</w:t>
            </w:r>
          </w:p>
        </w:tc>
      </w:tr>
      <w:tr w:rsidR="002B3B54" w:rsidRPr="005734B8" w14:paraId="03250762" w14:textId="77777777" w:rsidTr="002B3B54">
        <w:tc>
          <w:tcPr>
            <w:tcW w:w="2336" w:type="dxa"/>
            <w:tcBorders>
              <w:top w:val="single" w:sz="4" w:space="0" w:color="auto"/>
              <w:left w:val="nil"/>
              <w:bottom w:val="nil"/>
              <w:right w:val="nil"/>
            </w:tcBorders>
            <w:shd w:val="clear" w:color="auto" w:fill="auto"/>
          </w:tcPr>
          <w:p w14:paraId="146E7482" w14:textId="77777777" w:rsidR="002B3B54" w:rsidRPr="005734B8" w:rsidRDefault="002B3B54" w:rsidP="000C192E">
            <w:pPr>
              <w:pStyle w:val="ESTablebody"/>
              <w:rPr>
                <w:rFonts w:ascii="Calibri" w:hAnsi="Calibri" w:cs="Calibri"/>
                <w:sz w:val="18"/>
                <w:lang w:val="en-AU"/>
              </w:rPr>
            </w:pPr>
          </w:p>
        </w:tc>
        <w:tc>
          <w:tcPr>
            <w:tcW w:w="1078" w:type="dxa"/>
            <w:tcBorders>
              <w:top w:val="single" w:sz="4" w:space="0" w:color="auto"/>
              <w:left w:val="nil"/>
              <w:bottom w:val="nil"/>
              <w:right w:val="nil"/>
            </w:tcBorders>
            <w:shd w:val="clear" w:color="auto" w:fill="auto"/>
          </w:tcPr>
          <w:p w14:paraId="6C7867D4" w14:textId="77777777" w:rsidR="002B3B54" w:rsidRPr="005734B8" w:rsidRDefault="002B3B54" w:rsidP="000C192E">
            <w:pPr>
              <w:pStyle w:val="ESTablenumberrightaligned"/>
              <w:rPr>
                <w:rFonts w:ascii="Calibri" w:hAnsi="Calibri" w:cs="Calibri"/>
                <w:sz w:val="18"/>
                <w:lang w:val="en-AU"/>
              </w:rPr>
            </w:pPr>
          </w:p>
        </w:tc>
        <w:tc>
          <w:tcPr>
            <w:tcW w:w="1141" w:type="dxa"/>
            <w:tcBorders>
              <w:top w:val="single" w:sz="4" w:space="0" w:color="auto"/>
              <w:left w:val="nil"/>
              <w:bottom w:val="nil"/>
              <w:right w:val="nil"/>
            </w:tcBorders>
            <w:shd w:val="clear" w:color="auto" w:fill="FFFFFF" w:themeFill="background1"/>
          </w:tcPr>
          <w:p w14:paraId="62343097" w14:textId="77777777" w:rsidR="002B3B54" w:rsidRPr="005734B8" w:rsidRDefault="002B3B54" w:rsidP="000C192E">
            <w:pPr>
              <w:pStyle w:val="ESTablenumberrightaligned"/>
              <w:rPr>
                <w:rFonts w:ascii="Calibri" w:hAnsi="Calibri" w:cs="Calibri"/>
                <w:sz w:val="18"/>
                <w:lang w:val="en-AU"/>
              </w:rPr>
            </w:pPr>
          </w:p>
        </w:tc>
        <w:tc>
          <w:tcPr>
            <w:tcW w:w="1142" w:type="dxa"/>
            <w:tcBorders>
              <w:top w:val="single" w:sz="4" w:space="0" w:color="auto"/>
              <w:left w:val="nil"/>
              <w:bottom w:val="nil"/>
              <w:right w:val="nil"/>
            </w:tcBorders>
          </w:tcPr>
          <w:p w14:paraId="0739055F" w14:textId="77777777" w:rsidR="002B3B54" w:rsidRPr="005734B8" w:rsidRDefault="002B3B54" w:rsidP="000C192E">
            <w:pPr>
              <w:pStyle w:val="ESTablenumberrightaligned"/>
              <w:rPr>
                <w:rFonts w:ascii="Calibri" w:hAnsi="Calibri" w:cs="Calibri"/>
                <w:sz w:val="18"/>
                <w:lang w:val="en-AU"/>
              </w:rPr>
            </w:pPr>
          </w:p>
        </w:tc>
        <w:tc>
          <w:tcPr>
            <w:tcW w:w="1141" w:type="dxa"/>
            <w:tcBorders>
              <w:top w:val="single" w:sz="4" w:space="0" w:color="auto"/>
              <w:left w:val="nil"/>
              <w:bottom w:val="nil"/>
              <w:right w:val="nil"/>
            </w:tcBorders>
          </w:tcPr>
          <w:p w14:paraId="318FD24C" w14:textId="77777777" w:rsidR="002B3B54" w:rsidRPr="005734B8" w:rsidRDefault="002B3B54" w:rsidP="000C192E">
            <w:pPr>
              <w:pStyle w:val="ESTablenumberrightaligned"/>
              <w:rPr>
                <w:rFonts w:ascii="Calibri" w:hAnsi="Calibri" w:cs="Calibri"/>
                <w:sz w:val="18"/>
                <w:lang w:val="en-AU"/>
              </w:rPr>
            </w:pPr>
          </w:p>
        </w:tc>
        <w:tc>
          <w:tcPr>
            <w:tcW w:w="1142" w:type="dxa"/>
            <w:tcBorders>
              <w:top w:val="single" w:sz="4" w:space="0" w:color="auto"/>
              <w:left w:val="nil"/>
              <w:bottom w:val="nil"/>
              <w:right w:val="nil"/>
            </w:tcBorders>
          </w:tcPr>
          <w:p w14:paraId="75837DB4" w14:textId="77777777" w:rsidR="002B3B54" w:rsidRPr="005734B8" w:rsidRDefault="002B3B54" w:rsidP="000C192E">
            <w:pPr>
              <w:pStyle w:val="ESTablenumberrightaligned"/>
              <w:rPr>
                <w:rFonts w:ascii="Calibri" w:hAnsi="Calibri" w:cs="Calibri"/>
                <w:sz w:val="18"/>
              </w:rPr>
            </w:pPr>
          </w:p>
        </w:tc>
        <w:tc>
          <w:tcPr>
            <w:tcW w:w="1142" w:type="dxa"/>
            <w:tcBorders>
              <w:top w:val="single" w:sz="4" w:space="0" w:color="auto"/>
              <w:left w:val="nil"/>
              <w:bottom w:val="nil"/>
              <w:right w:val="nil"/>
            </w:tcBorders>
          </w:tcPr>
          <w:p w14:paraId="507A6943" w14:textId="77777777" w:rsidR="002B3B54" w:rsidRPr="005734B8" w:rsidRDefault="002B3B54" w:rsidP="000C192E">
            <w:pPr>
              <w:pStyle w:val="ESTablenumberrightaligned"/>
              <w:rPr>
                <w:rFonts w:ascii="Calibri" w:hAnsi="Calibri" w:cs="Calibri"/>
                <w:sz w:val="18"/>
              </w:rPr>
            </w:pPr>
          </w:p>
        </w:tc>
      </w:tr>
      <w:tr w:rsidR="003C4131" w:rsidRPr="005734B8" w14:paraId="6A7B0B39" w14:textId="77777777" w:rsidTr="002B3B54">
        <w:tc>
          <w:tcPr>
            <w:tcW w:w="9122" w:type="dxa"/>
            <w:gridSpan w:val="7"/>
            <w:tcBorders>
              <w:top w:val="nil"/>
              <w:bottom w:val="single" w:sz="4" w:space="0" w:color="53565A" w:themeColor="accent5"/>
            </w:tcBorders>
            <w:shd w:val="clear" w:color="auto" w:fill="53565A" w:themeFill="accent5"/>
          </w:tcPr>
          <w:p w14:paraId="5E3D232B" w14:textId="77777777" w:rsidR="003C4131" w:rsidRPr="005734B8" w:rsidRDefault="003C4131" w:rsidP="000C192E">
            <w:pPr>
              <w:pStyle w:val="W1"/>
              <w:rPr>
                <w:rFonts w:ascii="Calibri" w:hAnsi="Calibri" w:cs="Calibri"/>
                <w:sz w:val="18"/>
              </w:rPr>
            </w:pPr>
            <w:r w:rsidRPr="005734B8">
              <w:rPr>
                <w:rFonts w:ascii="Calibri" w:hAnsi="Calibri" w:cs="Calibri"/>
                <w:sz w:val="18"/>
                <w:lang w:val="en-AU"/>
              </w:rPr>
              <w:lastRenderedPageBreak/>
              <w:t>School education</w:t>
            </w:r>
          </w:p>
        </w:tc>
      </w:tr>
      <w:tr w:rsidR="003C4131" w:rsidRPr="005734B8" w14:paraId="4B72FEBB" w14:textId="77777777" w:rsidTr="00B05012">
        <w:tc>
          <w:tcPr>
            <w:tcW w:w="9122" w:type="dxa"/>
            <w:gridSpan w:val="7"/>
            <w:tcBorders>
              <w:top w:val="single" w:sz="4" w:space="0" w:color="53565A" w:themeColor="accent5"/>
              <w:bottom w:val="single" w:sz="4" w:space="0" w:color="53565A" w:themeColor="accent5"/>
            </w:tcBorders>
            <w:shd w:val="clear" w:color="auto" w:fill="D9D9D6" w:themeFill="accent6"/>
          </w:tcPr>
          <w:p w14:paraId="0D6A8B69" w14:textId="5322F939" w:rsidR="003C4131" w:rsidRPr="005734B8" w:rsidRDefault="003C4131" w:rsidP="000C192E">
            <w:pPr>
              <w:pStyle w:val="ESTablenumberrightaligned"/>
              <w:jc w:val="left"/>
              <w:rPr>
                <w:rFonts w:ascii="Calibri" w:hAnsi="Calibri" w:cs="Calibri"/>
                <w:b/>
                <w:sz w:val="18"/>
              </w:rPr>
            </w:pPr>
            <w:r w:rsidRPr="005734B8">
              <w:rPr>
                <w:rFonts w:ascii="Calibri" w:hAnsi="Calibri" w:cs="Calibri"/>
                <w:b/>
                <w:sz w:val="18"/>
                <w:lang w:val="en-AU"/>
              </w:rPr>
              <w:t>Mean number of student absen</w:t>
            </w:r>
            <w:r w:rsidR="00212B0D" w:rsidRPr="005734B8">
              <w:rPr>
                <w:rFonts w:ascii="Calibri" w:hAnsi="Calibri" w:cs="Calibri"/>
                <w:b/>
                <w:sz w:val="18"/>
                <w:lang w:val="en-AU"/>
              </w:rPr>
              <w:t>ce</w:t>
            </w:r>
            <w:r w:rsidRPr="005734B8">
              <w:rPr>
                <w:rFonts w:ascii="Calibri" w:hAnsi="Calibri" w:cs="Calibri"/>
                <w:b/>
                <w:sz w:val="18"/>
                <w:lang w:val="en-AU"/>
              </w:rPr>
              <w:t xml:space="preserve"> days per FTE </w:t>
            </w:r>
            <w:r w:rsidR="00212B0D" w:rsidRPr="005734B8">
              <w:rPr>
                <w:rFonts w:ascii="Calibri" w:hAnsi="Calibri" w:cs="Calibri"/>
                <w:b/>
                <w:sz w:val="18"/>
                <w:lang w:val="en-AU"/>
              </w:rPr>
              <w:t>per</w:t>
            </w:r>
            <w:r w:rsidRPr="005734B8">
              <w:rPr>
                <w:rFonts w:ascii="Calibri" w:hAnsi="Calibri" w:cs="Calibri"/>
                <w:b/>
                <w:sz w:val="18"/>
                <w:lang w:val="en-AU"/>
              </w:rPr>
              <w:t xml:space="preserve"> year</w:t>
            </w:r>
            <w:r w:rsidRPr="005734B8">
              <w:rPr>
                <w:rStyle w:val="FootnoteReference"/>
                <w:rFonts w:ascii="Calibri" w:hAnsi="Calibri" w:cs="Calibri"/>
                <w:b/>
                <w:sz w:val="18"/>
                <w:lang w:val="en-AU"/>
              </w:rPr>
              <w:footnoteReference w:id="18"/>
            </w:r>
          </w:p>
        </w:tc>
      </w:tr>
      <w:tr w:rsidR="003C4131" w:rsidRPr="005734B8" w14:paraId="0D935D2E" w14:textId="77777777" w:rsidTr="00B05012">
        <w:tc>
          <w:tcPr>
            <w:tcW w:w="2336" w:type="dxa"/>
            <w:tcBorders>
              <w:top w:val="single" w:sz="4" w:space="0" w:color="53565A" w:themeColor="accent5"/>
              <w:bottom w:val="single" w:sz="4" w:space="0" w:color="53565A" w:themeColor="accent5"/>
            </w:tcBorders>
            <w:shd w:val="clear" w:color="auto" w:fill="auto"/>
          </w:tcPr>
          <w:p w14:paraId="15A31FA2" w14:textId="77777777" w:rsidR="003C4131" w:rsidRPr="005734B8" w:rsidRDefault="003C4131" w:rsidP="000C192E">
            <w:pPr>
              <w:pStyle w:val="ESTablebody"/>
              <w:tabs>
                <w:tab w:val="left" w:pos="315"/>
              </w:tabs>
              <w:rPr>
                <w:rFonts w:ascii="Calibri" w:hAnsi="Calibri" w:cs="Calibri"/>
                <w:sz w:val="18"/>
                <w:lang w:val="en-AU"/>
              </w:rPr>
            </w:pPr>
            <w:r w:rsidRPr="005734B8">
              <w:rPr>
                <w:rFonts w:ascii="Calibri" w:hAnsi="Calibri" w:cs="Calibri"/>
                <w:sz w:val="18"/>
                <w:lang w:val="en-AU"/>
              </w:rPr>
              <w:tab/>
              <w:t>Year 5</w:t>
            </w:r>
          </w:p>
        </w:tc>
        <w:tc>
          <w:tcPr>
            <w:tcW w:w="1078" w:type="dxa"/>
            <w:tcBorders>
              <w:top w:val="single" w:sz="4" w:space="0" w:color="53565A" w:themeColor="accent5"/>
              <w:bottom w:val="single" w:sz="4" w:space="0" w:color="53565A" w:themeColor="accent5"/>
            </w:tcBorders>
            <w:shd w:val="clear" w:color="auto" w:fill="auto"/>
          </w:tcPr>
          <w:p w14:paraId="2E013935"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41" w:type="dxa"/>
            <w:tcBorders>
              <w:top w:val="single" w:sz="4" w:space="0" w:color="53565A" w:themeColor="accent5"/>
              <w:bottom w:val="single" w:sz="4" w:space="0" w:color="53565A" w:themeColor="accent5"/>
            </w:tcBorders>
            <w:shd w:val="clear" w:color="auto" w:fill="FFFFFF" w:themeFill="background1"/>
          </w:tcPr>
          <w:p w14:paraId="7FFC784C"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15.1</w:t>
            </w:r>
          </w:p>
        </w:tc>
        <w:tc>
          <w:tcPr>
            <w:tcW w:w="1142" w:type="dxa"/>
            <w:tcBorders>
              <w:top w:val="single" w:sz="4" w:space="0" w:color="53565A" w:themeColor="accent5"/>
              <w:bottom w:val="single" w:sz="4" w:space="0" w:color="53565A" w:themeColor="accent5"/>
            </w:tcBorders>
          </w:tcPr>
          <w:p w14:paraId="139FF7D8"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15.5</w:t>
            </w:r>
          </w:p>
        </w:tc>
        <w:tc>
          <w:tcPr>
            <w:tcW w:w="1141" w:type="dxa"/>
            <w:tcBorders>
              <w:top w:val="single" w:sz="4" w:space="0" w:color="53565A" w:themeColor="accent5"/>
              <w:bottom w:val="single" w:sz="4" w:space="0" w:color="53565A" w:themeColor="accent5"/>
            </w:tcBorders>
          </w:tcPr>
          <w:p w14:paraId="7AF3D33C"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15.6</w:t>
            </w:r>
          </w:p>
        </w:tc>
        <w:tc>
          <w:tcPr>
            <w:tcW w:w="1142" w:type="dxa"/>
            <w:tcBorders>
              <w:top w:val="single" w:sz="4" w:space="0" w:color="53565A" w:themeColor="accent5"/>
              <w:bottom w:val="single" w:sz="4" w:space="0" w:color="53565A" w:themeColor="accent5"/>
            </w:tcBorders>
          </w:tcPr>
          <w:p w14:paraId="76FBA6B8"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16.4</w:t>
            </w:r>
          </w:p>
        </w:tc>
        <w:tc>
          <w:tcPr>
            <w:tcW w:w="1142" w:type="dxa"/>
            <w:tcBorders>
              <w:top w:val="single" w:sz="4" w:space="0" w:color="53565A" w:themeColor="accent5"/>
              <w:bottom w:val="single" w:sz="4" w:space="0" w:color="53565A" w:themeColor="accent5"/>
            </w:tcBorders>
          </w:tcPr>
          <w:p w14:paraId="2F37DFD9"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13.6</w:t>
            </w:r>
          </w:p>
        </w:tc>
      </w:tr>
      <w:tr w:rsidR="003C4131" w:rsidRPr="005734B8" w14:paraId="652A75B9" w14:textId="77777777" w:rsidTr="00B05012">
        <w:tc>
          <w:tcPr>
            <w:tcW w:w="2336" w:type="dxa"/>
            <w:tcBorders>
              <w:top w:val="single" w:sz="4" w:space="0" w:color="53565A" w:themeColor="accent5"/>
              <w:bottom w:val="single" w:sz="4" w:space="0" w:color="53565A" w:themeColor="accent5"/>
            </w:tcBorders>
            <w:shd w:val="clear" w:color="auto" w:fill="auto"/>
          </w:tcPr>
          <w:p w14:paraId="696A5CEA" w14:textId="77777777" w:rsidR="003C4131" w:rsidRPr="005734B8" w:rsidRDefault="003C4131" w:rsidP="000C192E">
            <w:pPr>
              <w:pStyle w:val="ESTablebody"/>
              <w:tabs>
                <w:tab w:val="left" w:pos="332"/>
              </w:tabs>
              <w:rPr>
                <w:rFonts w:ascii="Calibri" w:hAnsi="Calibri" w:cs="Calibri"/>
                <w:sz w:val="18"/>
                <w:lang w:val="en-AU"/>
              </w:rPr>
            </w:pPr>
            <w:r w:rsidRPr="005734B8">
              <w:rPr>
                <w:rFonts w:ascii="Calibri" w:hAnsi="Calibri" w:cs="Calibri"/>
                <w:sz w:val="18"/>
                <w:lang w:val="en-AU"/>
              </w:rPr>
              <w:tab/>
              <w:t>Year 6</w:t>
            </w:r>
          </w:p>
        </w:tc>
        <w:tc>
          <w:tcPr>
            <w:tcW w:w="1078" w:type="dxa"/>
            <w:tcBorders>
              <w:top w:val="single" w:sz="4" w:space="0" w:color="53565A" w:themeColor="accent5"/>
              <w:bottom w:val="single" w:sz="4" w:space="0" w:color="53565A" w:themeColor="accent5"/>
            </w:tcBorders>
            <w:shd w:val="clear" w:color="auto" w:fill="auto"/>
          </w:tcPr>
          <w:p w14:paraId="307B677B"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41" w:type="dxa"/>
            <w:tcBorders>
              <w:top w:val="single" w:sz="4" w:space="0" w:color="53565A" w:themeColor="accent5"/>
              <w:bottom w:val="single" w:sz="4" w:space="0" w:color="53565A" w:themeColor="accent5"/>
            </w:tcBorders>
            <w:shd w:val="clear" w:color="auto" w:fill="FFFFFF" w:themeFill="background1"/>
          </w:tcPr>
          <w:p w14:paraId="093DB7CC"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15.6</w:t>
            </w:r>
          </w:p>
        </w:tc>
        <w:tc>
          <w:tcPr>
            <w:tcW w:w="1142" w:type="dxa"/>
            <w:tcBorders>
              <w:top w:val="single" w:sz="4" w:space="0" w:color="53565A" w:themeColor="accent5"/>
              <w:bottom w:val="single" w:sz="4" w:space="0" w:color="53565A" w:themeColor="accent5"/>
            </w:tcBorders>
          </w:tcPr>
          <w:p w14:paraId="1FC0C5FB"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16.3</w:t>
            </w:r>
          </w:p>
        </w:tc>
        <w:tc>
          <w:tcPr>
            <w:tcW w:w="1141" w:type="dxa"/>
            <w:tcBorders>
              <w:top w:val="single" w:sz="4" w:space="0" w:color="53565A" w:themeColor="accent5"/>
              <w:bottom w:val="single" w:sz="4" w:space="0" w:color="53565A" w:themeColor="accent5"/>
            </w:tcBorders>
          </w:tcPr>
          <w:p w14:paraId="417802DA"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16.3</w:t>
            </w:r>
          </w:p>
        </w:tc>
        <w:tc>
          <w:tcPr>
            <w:tcW w:w="1142" w:type="dxa"/>
            <w:tcBorders>
              <w:top w:val="single" w:sz="4" w:space="0" w:color="53565A" w:themeColor="accent5"/>
              <w:bottom w:val="single" w:sz="4" w:space="0" w:color="53565A" w:themeColor="accent5"/>
            </w:tcBorders>
          </w:tcPr>
          <w:p w14:paraId="341248C7"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17.3</w:t>
            </w:r>
          </w:p>
        </w:tc>
        <w:tc>
          <w:tcPr>
            <w:tcW w:w="1142" w:type="dxa"/>
            <w:tcBorders>
              <w:top w:val="single" w:sz="4" w:space="0" w:color="53565A" w:themeColor="accent5"/>
              <w:bottom w:val="single" w:sz="4" w:space="0" w:color="53565A" w:themeColor="accent5"/>
            </w:tcBorders>
          </w:tcPr>
          <w:p w14:paraId="3C7EBD21"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13.8</w:t>
            </w:r>
          </w:p>
        </w:tc>
      </w:tr>
      <w:tr w:rsidR="003C4131" w:rsidRPr="005734B8" w14:paraId="5017AF9D" w14:textId="77777777" w:rsidTr="00B05012">
        <w:tc>
          <w:tcPr>
            <w:tcW w:w="2336" w:type="dxa"/>
            <w:tcBorders>
              <w:top w:val="single" w:sz="4" w:space="0" w:color="53565A" w:themeColor="accent5"/>
              <w:bottom w:val="single" w:sz="4" w:space="0" w:color="53565A" w:themeColor="accent5"/>
            </w:tcBorders>
            <w:shd w:val="clear" w:color="auto" w:fill="auto"/>
          </w:tcPr>
          <w:p w14:paraId="28F33923" w14:textId="77777777" w:rsidR="003C4131" w:rsidRPr="005734B8" w:rsidRDefault="003C4131" w:rsidP="000C192E">
            <w:pPr>
              <w:pStyle w:val="ESTablebody"/>
              <w:tabs>
                <w:tab w:val="left" w:pos="315"/>
              </w:tabs>
              <w:rPr>
                <w:rFonts w:ascii="Calibri" w:hAnsi="Calibri" w:cs="Calibri"/>
                <w:sz w:val="18"/>
                <w:lang w:val="en-AU"/>
              </w:rPr>
            </w:pPr>
            <w:r w:rsidRPr="005734B8">
              <w:rPr>
                <w:rFonts w:ascii="Calibri" w:hAnsi="Calibri" w:cs="Calibri"/>
                <w:sz w:val="18"/>
                <w:lang w:val="en-AU"/>
              </w:rPr>
              <w:tab/>
              <w:t>Years 7–10</w:t>
            </w:r>
          </w:p>
        </w:tc>
        <w:tc>
          <w:tcPr>
            <w:tcW w:w="1078" w:type="dxa"/>
            <w:tcBorders>
              <w:top w:val="single" w:sz="4" w:space="0" w:color="53565A" w:themeColor="accent5"/>
              <w:bottom w:val="single" w:sz="4" w:space="0" w:color="53565A" w:themeColor="accent5"/>
            </w:tcBorders>
            <w:shd w:val="clear" w:color="auto" w:fill="auto"/>
          </w:tcPr>
          <w:p w14:paraId="15E3C205"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41" w:type="dxa"/>
            <w:tcBorders>
              <w:top w:val="single" w:sz="4" w:space="0" w:color="53565A" w:themeColor="accent5"/>
              <w:bottom w:val="single" w:sz="4" w:space="0" w:color="53565A" w:themeColor="accent5"/>
            </w:tcBorders>
            <w:shd w:val="clear" w:color="auto" w:fill="FFFFFF" w:themeFill="background1"/>
          </w:tcPr>
          <w:p w14:paraId="5D96E62C"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19.7</w:t>
            </w:r>
          </w:p>
        </w:tc>
        <w:tc>
          <w:tcPr>
            <w:tcW w:w="1142" w:type="dxa"/>
            <w:tcBorders>
              <w:top w:val="single" w:sz="4" w:space="0" w:color="53565A" w:themeColor="accent5"/>
              <w:bottom w:val="single" w:sz="4" w:space="0" w:color="53565A" w:themeColor="accent5"/>
            </w:tcBorders>
          </w:tcPr>
          <w:p w14:paraId="01091435"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20.2</w:t>
            </w:r>
          </w:p>
        </w:tc>
        <w:tc>
          <w:tcPr>
            <w:tcW w:w="1141" w:type="dxa"/>
            <w:tcBorders>
              <w:top w:val="single" w:sz="4" w:space="0" w:color="53565A" w:themeColor="accent5"/>
              <w:bottom w:val="single" w:sz="4" w:space="0" w:color="53565A" w:themeColor="accent5"/>
            </w:tcBorders>
          </w:tcPr>
          <w:p w14:paraId="5458F026"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20.4</w:t>
            </w:r>
          </w:p>
        </w:tc>
        <w:tc>
          <w:tcPr>
            <w:tcW w:w="1142" w:type="dxa"/>
            <w:tcBorders>
              <w:top w:val="single" w:sz="4" w:space="0" w:color="53565A" w:themeColor="accent5"/>
              <w:bottom w:val="single" w:sz="4" w:space="0" w:color="53565A" w:themeColor="accent5"/>
            </w:tcBorders>
          </w:tcPr>
          <w:p w14:paraId="7301B2CD"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21.3</w:t>
            </w:r>
          </w:p>
        </w:tc>
        <w:tc>
          <w:tcPr>
            <w:tcW w:w="1142" w:type="dxa"/>
            <w:tcBorders>
              <w:top w:val="single" w:sz="4" w:space="0" w:color="53565A" w:themeColor="accent5"/>
              <w:bottom w:val="single" w:sz="4" w:space="0" w:color="53565A" w:themeColor="accent5"/>
            </w:tcBorders>
          </w:tcPr>
          <w:p w14:paraId="23355557"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18.9</w:t>
            </w:r>
          </w:p>
        </w:tc>
      </w:tr>
      <w:tr w:rsidR="003C4131" w:rsidRPr="005734B8" w14:paraId="7F7DF452" w14:textId="77777777" w:rsidTr="00B05012">
        <w:tc>
          <w:tcPr>
            <w:tcW w:w="2336" w:type="dxa"/>
            <w:tcBorders>
              <w:top w:val="single" w:sz="4" w:space="0" w:color="53565A" w:themeColor="accent5"/>
              <w:bottom w:val="single" w:sz="4" w:space="0" w:color="53565A" w:themeColor="accent5"/>
            </w:tcBorders>
            <w:shd w:val="clear" w:color="auto" w:fill="auto"/>
          </w:tcPr>
          <w:p w14:paraId="37B8FF0A" w14:textId="77777777" w:rsidR="003C4131" w:rsidRPr="005734B8" w:rsidRDefault="003C4131" w:rsidP="000C192E">
            <w:pPr>
              <w:pStyle w:val="ESTablebody"/>
              <w:tabs>
                <w:tab w:val="left" w:pos="315"/>
              </w:tabs>
              <w:rPr>
                <w:rFonts w:ascii="Calibri" w:hAnsi="Calibri" w:cs="Calibri"/>
                <w:sz w:val="18"/>
                <w:lang w:val="en-AU"/>
              </w:rPr>
            </w:pPr>
            <w:r w:rsidRPr="005734B8">
              <w:rPr>
                <w:rFonts w:ascii="Calibri" w:hAnsi="Calibri" w:cs="Calibri"/>
                <w:sz w:val="18"/>
                <w:lang w:val="en-AU"/>
              </w:rPr>
              <w:tab/>
              <w:t>Years 11–12</w:t>
            </w:r>
          </w:p>
        </w:tc>
        <w:tc>
          <w:tcPr>
            <w:tcW w:w="1078" w:type="dxa"/>
            <w:tcBorders>
              <w:top w:val="single" w:sz="4" w:space="0" w:color="53565A" w:themeColor="accent5"/>
              <w:bottom w:val="single" w:sz="4" w:space="0" w:color="53565A" w:themeColor="accent5"/>
            </w:tcBorders>
            <w:shd w:val="clear" w:color="auto" w:fill="auto"/>
          </w:tcPr>
          <w:p w14:paraId="4F1CF6C7"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41" w:type="dxa"/>
            <w:tcBorders>
              <w:top w:val="single" w:sz="4" w:space="0" w:color="53565A" w:themeColor="accent5"/>
              <w:bottom w:val="single" w:sz="4" w:space="0" w:color="53565A" w:themeColor="accent5"/>
            </w:tcBorders>
            <w:shd w:val="clear" w:color="auto" w:fill="FFFFFF" w:themeFill="background1"/>
          </w:tcPr>
          <w:p w14:paraId="25340976"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16.6</w:t>
            </w:r>
          </w:p>
        </w:tc>
        <w:tc>
          <w:tcPr>
            <w:tcW w:w="1142" w:type="dxa"/>
            <w:tcBorders>
              <w:top w:val="single" w:sz="4" w:space="0" w:color="53565A" w:themeColor="accent5"/>
              <w:bottom w:val="single" w:sz="4" w:space="0" w:color="53565A" w:themeColor="accent5"/>
            </w:tcBorders>
          </w:tcPr>
          <w:p w14:paraId="585BAD30"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16.6</w:t>
            </w:r>
          </w:p>
        </w:tc>
        <w:tc>
          <w:tcPr>
            <w:tcW w:w="1141" w:type="dxa"/>
            <w:tcBorders>
              <w:top w:val="single" w:sz="4" w:space="0" w:color="53565A" w:themeColor="accent5"/>
              <w:bottom w:val="single" w:sz="4" w:space="0" w:color="53565A" w:themeColor="accent5"/>
            </w:tcBorders>
          </w:tcPr>
          <w:p w14:paraId="500FE28D"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16.9</w:t>
            </w:r>
          </w:p>
        </w:tc>
        <w:tc>
          <w:tcPr>
            <w:tcW w:w="1142" w:type="dxa"/>
            <w:tcBorders>
              <w:top w:val="single" w:sz="4" w:space="0" w:color="53565A" w:themeColor="accent5"/>
              <w:bottom w:val="single" w:sz="4" w:space="0" w:color="53565A" w:themeColor="accent5"/>
            </w:tcBorders>
          </w:tcPr>
          <w:p w14:paraId="0C732C71"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17.3</w:t>
            </w:r>
          </w:p>
        </w:tc>
        <w:tc>
          <w:tcPr>
            <w:tcW w:w="1142" w:type="dxa"/>
            <w:tcBorders>
              <w:top w:val="single" w:sz="4" w:space="0" w:color="53565A" w:themeColor="accent5"/>
              <w:bottom w:val="single" w:sz="4" w:space="0" w:color="53565A" w:themeColor="accent5"/>
            </w:tcBorders>
          </w:tcPr>
          <w:p w14:paraId="397CB023"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14.8</w:t>
            </w:r>
          </w:p>
        </w:tc>
      </w:tr>
      <w:tr w:rsidR="003C4131" w:rsidRPr="005734B8" w14:paraId="55C86BE3" w14:textId="77777777" w:rsidTr="00B05012">
        <w:tc>
          <w:tcPr>
            <w:tcW w:w="9122" w:type="dxa"/>
            <w:gridSpan w:val="7"/>
            <w:tcBorders>
              <w:top w:val="single" w:sz="4" w:space="0" w:color="53565A" w:themeColor="accent5"/>
              <w:bottom w:val="single" w:sz="4" w:space="0" w:color="53565A" w:themeColor="accent5"/>
            </w:tcBorders>
            <w:shd w:val="clear" w:color="auto" w:fill="D9D9D6" w:themeFill="accent6"/>
          </w:tcPr>
          <w:p w14:paraId="1E12E42E" w14:textId="77777777" w:rsidR="003C4131" w:rsidRPr="005734B8" w:rsidRDefault="003C4131" w:rsidP="000C192E">
            <w:pPr>
              <w:pStyle w:val="ESTablenumberrightaligned"/>
              <w:jc w:val="left"/>
              <w:rPr>
                <w:rFonts w:ascii="Calibri" w:hAnsi="Calibri" w:cs="Calibri"/>
                <w:b/>
                <w:sz w:val="18"/>
              </w:rPr>
            </w:pPr>
            <w:r w:rsidRPr="005734B8">
              <w:rPr>
                <w:rFonts w:ascii="Calibri" w:hAnsi="Calibri" w:cs="Calibri"/>
                <w:b/>
                <w:sz w:val="18"/>
                <w:shd w:val="clear" w:color="auto" w:fill="D9D9D6" w:themeFill="accent6"/>
                <w:lang w:val="en-AU"/>
              </w:rPr>
              <w:t>Mean number of unapproved student absence days per FTE per year in primary schools</w:t>
            </w:r>
          </w:p>
        </w:tc>
      </w:tr>
      <w:tr w:rsidR="003C4131" w:rsidRPr="005734B8" w14:paraId="0AE807B4" w14:textId="77777777" w:rsidTr="00B05012">
        <w:tc>
          <w:tcPr>
            <w:tcW w:w="2336" w:type="dxa"/>
            <w:tcBorders>
              <w:top w:val="single" w:sz="4" w:space="0" w:color="53565A" w:themeColor="accent5"/>
              <w:bottom w:val="single" w:sz="4" w:space="0" w:color="53565A" w:themeColor="accent5"/>
            </w:tcBorders>
            <w:shd w:val="clear" w:color="auto" w:fill="auto"/>
          </w:tcPr>
          <w:p w14:paraId="04DFBFA1" w14:textId="7FBFEED2" w:rsidR="003C4131" w:rsidRPr="005734B8" w:rsidRDefault="003C4131" w:rsidP="000C192E">
            <w:pPr>
              <w:pStyle w:val="ESTablebody"/>
              <w:tabs>
                <w:tab w:val="left" w:pos="315"/>
              </w:tabs>
              <w:rPr>
                <w:rFonts w:ascii="Calibri" w:hAnsi="Calibri" w:cs="Calibri"/>
                <w:sz w:val="18"/>
                <w:lang w:val="en-AU"/>
              </w:rPr>
            </w:pPr>
            <w:r w:rsidRPr="005734B8">
              <w:rPr>
                <w:rFonts w:ascii="Calibri" w:hAnsi="Calibri" w:cs="Calibri"/>
                <w:sz w:val="18"/>
                <w:lang w:val="en-AU"/>
              </w:rPr>
              <w:tab/>
              <w:t>Year</w:t>
            </w:r>
            <w:r w:rsidR="00212B0D" w:rsidRPr="005734B8">
              <w:rPr>
                <w:rFonts w:ascii="Calibri" w:hAnsi="Calibri" w:cs="Calibri"/>
                <w:sz w:val="18"/>
                <w:lang w:val="en-AU"/>
              </w:rPr>
              <w:t>s</w:t>
            </w:r>
            <w:r w:rsidRPr="005734B8">
              <w:rPr>
                <w:rFonts w:ascii="Calibri" w:hAnsi="Calibri" w:cs="Calibri"/>
                <w:sz w:val="18"/>
                <w:lang w:val="en-AU"/>
              </w:rPr>
              <w:t xml:space="preserve"> 1–6</w:t>
            </w:r>
          </w:p>
        </w:tc>
        <w:tc>
          <w:tcPr>
            <w:tcW w:w="1078" w:type="dxa"/>
            <w:tcBorders>
              <w:top w:val="single" w:sz="4" w:space="0" w:color="53565A" w:themeColor="accent5"/>
              <w:bottom w:val="single" w:sz="4" w:space="0" w:color="53565A" w:themeColor="accent5"/>
            </w:tcBorders>
            <w:shd w:val="clear" w:color="auto" w:fill="auto"/>
          </w:tcPr>
          <w:p w14:paraId="16C74700" w14:textId="3DF494AA" w:rsidR="003C4131" w:rsidRPr="005734B8" w:rsidRDefault="00212B0D" w:rsidP="000C192E">
            <w:pPr>
              <w:pStyle w:val="ESTablenumberrightaligned"/>
              <w:rPr>
                <w:rFonts w:ascii="Calibri" w:hAnsi="Calibri" w:cs="Calibri"/>
                <w:sz w:val="18"/>
                <w:lang w:val="en-AU"/>
              </w:rPr>
            </w:pPr>
            <w:r w:rsidRPr="005734B8">
              <w:rPr>
                <w:rFonts w:ascii="Calibri" w:hAnsi="Calibri" w:cs="Calibri"/>
                <w:sz w:val="18"/>
                <w:lang w:val="en-AU"/>
              </w:rPr>
              <w:t>n</w:t>
            </w:r>
            <w:r w:rsidR="003C4131" w:rsidRPr="005734B8">
              <w:rPr>
                <w:rFonts w:ascii="Calibri" w:hAnsi="Calibri" w:cs="Calibri"/>
                <w:sz w:val="18"/>
                <w:lang w:val="en-AU"/>
              </w:rPr>
              <w:t>umber</w:t>
            </w:r>
          </w:p>
        </w:tc>
        <w:tc>
          <w:tcPr>
            <w:tcW w:w="1141" w:type="dxa"/>
            <w:tcBorders>
              <w:top w:val="single" w:sz="4" w:space="0" w:color="53565A" w:themeColor="accent5"/>
              <w:bottom w:val="single" w:sz="4" w:space="0" w:color="53565A" w:themeColor="accent5"/>
            </w:tcBorders>
            <w:shd w:val="clear" w:color="auto" w:fill="FFFFFF" w:themeFill="background1"/>
          </w:tcPr>
          <w:p w14:paraId="75FB97B9"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5.4</w:t>
            </w:r>
          </w:p>
        </w:tc>
        <w:tc>
          <w:tcPr>
            <w:tcW w:w="1142" w:type="dxa"/>
            <w:tcBorders>
              <w:top w:val="single" w:sz="4" w:space="0" w:color="53565A" w:themeColor="accent5"/>
              <w:bottom w:val="single" w:sz="4" w:space="0" w:color="53565A" w:themeColor="accent5"/>
            </w:tcBorders>
          </w:tcPr>
          <w:p w14:paraId="4FF89469"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5.0</w:t>
            </w:r>
          </w:p>
        </w:tc>
        <w:tc>
          <w:tcPr>
            <w:tcW w:w="1141" w:type="dxa"/>
            <w:tcBorders>
              <w:top w:val="single" w:sz="4" w:space="0" w:color="53565A" w:themeColor="accent5"/>
              <w:bottom w:val="single" w:sz="4" w:space="0" w:color="53565A" w:themeColor="accent5"/>
            </w:tcBorders>
          </w:tcPr>
          <w:p w14:paraId="0E6251E5"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3.8</w:t>
            </w:r>
          </w:p>
        </w:tc>
        <w:tc>
          <w:tcPr>
            <w:tcW w:w="1142" w:type="dxa"/>
            <w:tcBorders>
              <w:top w:val="single" w:sz="4" w:space="0" w:color="53565A" w:themeColor="accent5"/>
              <w:bottom w:val="single" w:sz="4" w:space="0" w:color="53565A" w:themeColor="accent5"/>
            </w:tcBorders>
          </w:tcPr>
          <w:p w14:paraId="6CEC782F"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3.6</w:t>
            </w:r>
          </w:p>
        </w:tc>
        <w:tc>
          <w:tcPr>
            <w:tcW w:w="1142" w:type="dxa"/>
            <w:tcBorders>
              <w:top w:val="single" w:sz="4" w:space="0" w:color="53565A" w:themeColor="accent5"/>
              <w:bottom w:val="single" w:sz="4" w:space="0" w:color="53565A" w:themeColor="accent5"/>
            </w:tcBorders>
          </w:tcPr>
          <w:p w14:paraId="46CB938B"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5.3</w:t>
            </w:r>
          </w:p>
        </w:tc>
      </w:tr>
      <w:tr w:rsidR="003C4131" w:rsidRPr="005734B8" w14:paraId="70E8834B" w14:textId="77777777" w:rsidTr="00B05012">
        <w:tc>
          <w:tcPr>
            <w:tcW w:w="9122" w:type="dxa"/>
            <w:gridSpan w:val="7"/>
            <w:tcBorders>
              <w:top w:val="single" w:sz="4" w:space="0" w:color="53565A" w:themeColor="accent5"/>
              <w:bottom w:val="single" w:sz="4" w:space="0" w:color="53565A" w:themeColor="accent5"/>
            </w:tcBorders>
            <w:shd w:val="clear" w:color="auto" w:fill="D9D9D6" w:themeFill="accent6"/>
          </w:tcPr>
          <w:p w14:paraId="027C2D75" w14:textId="77777777" w:rsidR="003C4131" w:rsidRPr="005734B8" w:rsidRDefault="003C4131" w:rsidP="000C192E">
            <w:pPr>
              <w:pStyle w:val="ESTablenumberrightaligned"/>
              <w:jc w:val="left"/>
              <w:rPr>
                <w:rFonts w:ascii="Calibri" w:hAnsi="Calibri" w:cs="Calibri"/>
                <w:b/>
                <w:sz w:val="18"/>
              </w:rPr>
            </w:pPr>
            <w:r w:rsidRPr="005734B8">
              <w:rPr>
                <w:rFonts w:ascii="Calibri" w:hAnsi="Calibri" w:cs="Calibri"/>
                <w:b/>
                <w:sz w:val="18"/>
                <w:shd w:val="clear" w:color="auto" w:fill="D9D9D6" w:themeFill="accent6"/>
                <w:lang w:val="en-AU"/>
              </w:rPr>
              <w:t>Mean number of unapproved student absence days per FTE per year in secondary schools</w:t>
            </w:r>
          </w:p>
        </w:tc>
      </w:tr>
      <w:tr w:rsidR="003C4131" w:rsidRPr="005734B8" w14:paraId="7D9A9590" w14:textId="77777777" w:rsidTr="00B05012">
        <w:tc>
          <w:tcPr>
            <w:tcW w:w="2336" w:type="dxa"/>
            <w:tcBorders>
              <w:top w:val="single" w:sz="4" w:space="0" w:color="53565A" w:themeColor="accent5"/>
              <w:bottom w:val="single" w:sz="4" w:space="0" w:color="auto"/>
            </w:tcBorders>
            <w:shd w:val="clear" w:color="auto" w:fill="auto"/>
          </w:tcPr>
          <w:p w14:paraId="2301D161" w14:textId="0139FCCF" w:rsidR="003C4131" w:rsidRPr="005734B8" w:rsidRDefault="003C4131" w:rsidP="000C192E">
            <w:pPr>
              <w:pStyle w:val="ESTablebody"/>
              <w:tabs>
                <w:tab w:val="left" w:pos="315"/>
              </w:tabs>
              <w:rPr>
                <w:rFonts w:ascii="Calibri" w:hAnsi="Calibri" w:cs="Calibri"/>
                <w:sz w:val="18"/>
                <w:lang w:val="en-AU"/>
              </w:rPr>
            </w:pPr>
            <w:r w:rsidRPr="005734B8">
              <w:rPr>
                <w:rFonts w:ascii="Calibri" w:hAnsi="Calibri" w:cs="Calibri"/>
                <w:sz w:val="18"/>
                <w:lang w:val="en-AU"/>
              </w:rPr>
              <w:tab/>
              <w:t>Year</w:t>
            </w:r>
            <w:r w:rsidR="00212B0D" w:rsidRPr="005734B8">
              <w:rPr>
                <w:rFonts w:ascii="Calibri" w:hAnsi="Calibri" w:cs="Calibri"/>
                <w:sz w:val="18"/>
                <w:lang w:val="en-AU"/>
              </w:rPr>
              <w:t>s</w:t>
            </w:r>
            <w:r w:rsidRPr="005734B8">
              <w:rPr>
                <w:rFonts w:ascii="Calibri" w:hAnsi="Calibri" w:cs="Calibri"/>
                <w:sz w:val="18"/>
                <w:lang w:val="en-AU"/>
              </w:rPr>
              <w:t xml:space="preserve"> 7–12</w:t>
            </w:r>
          </w:p>
        </w:tc>
        <w:tc>
          <w:tcPr>
            <w:tcW w:w="1078" w:type="dxa"/>
            <w:tcBorders>
              <w:top w:val="single" w:sz="4" w:space="0" w:color="53565A" w:themeColor="accent5"/>
              <w:bottom w:val="single" w:sz="4" w:space="0" w:color="auto"/>
            </w:tcBorders>
            <w:shd w:val="clear" w:color="auto" w:fill="auto"/>
          </w:tcPr>
          <w:p w14:paraId="17CA4DD5"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41" w:type="dxa"/>
            <w:tcBorders>
              <w:top w:val="single" w:sz="4" w:space="0" w:color="53565A" w:themeColor="accent5"/>
              <w:bottom w:val="single" w:sz="4" w:space="0" w:color="auto"/>
            </w:tcBorders>
            <w:shd w:val="clear" w:color="auto" w:fill="FFFFFF" w:themeFill="background1"/>
          </w:tcPr>
          <w:p w14:paraId="4718A4D1"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8.0</w:t>
            </w:r>
          </w:p>
        </w:tc>
        <w:tc>
          <w:tcPr>
            <w:tcW w:w="1142" w:type="dxa"/>
            <w:tcBorders>
              <w:top w:val="single" w:sz="4" w:space="0" w:color="53565A" w:themeColor="accent5"/>
              <w:bottom w:val="single" w:sz="4" w:space="0" w:color="auto"/>
            </w:tcBorders>
          </w:tcPr>
          <w:p w14:paraId="1777C7DC"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7.8</w:t>
            </w:r>
          </w:p>
        </w:tc>
        <w:tc>
          <w:tcPr>
            <w:tcW w:w="1141" w:type="dxa"/>
            <w:tcBorders>
              <w:top w:val="single" w:sz="4" w:space="0" w:color="53565A" w:themeColor="accent5"/>
              <w:bottom w:val="single" w:sz="4" w:space="0" w:color="auto"/>
            </w:tcBorders>
          </w:tcPr>
          <w:p w14:paraId="693B05E8"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6.6</w:t>
            </w:r>
          </w:p>
        </w:tc>
        <w:tc>
          <w:tcPr>
            <w:tcW w:w="1142" w:type="dxa"/>
            <w:tcBorders>
              <w:top w:val="single" w:sz="4" w:space="0" w:color="53565A" w:themeColor="accent5"/>
              <w:bottom w:val="single" w:sz="4" w:space="0" w:color="auto"/>
            </w:tcBorders>
          </w:tcPr>
          <w:p w14:paraId="185E7DF5"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6.4</w:t>
            </w:r>
          </w:p>
        </w:tc>
        <w:tc>
          <w:tcPr>
            <w:tcW w:w="1142" w:type="dxa"/>
            <w:tcBorders>
              <w:top w:val="single" w:sz="4" w:space="0" w:color="53565A" w:themeColor="accent5"/>
              <w:bottom w:val="single" w:sz="4" w:space="0" w:color="auto"/>
            </w:tcBorders>
          </w:tcPr>
          <w:p w14:paraId="7C12F053"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8.3</w:t>
            </w:r>
          </w:p>
        </w:tc>
      </w:tr>
      <w:tr w:rsidR="003C4131" w:rsidRPr="005734B8" w14:paraId="7FEBF302" w14:textId="77777777" w:rsidTr="00B05012">
        <w:tc>
          <w:tcPr>
            <w:tcW w:w="9122" w:type="dxa"/>
            <w:gridSpan w:val="7"/>
            <w:tcBorders>
              <w:top w:val="nil"/>
              <w:bottom w:val="single" w:sz="4" w:space="0" w:color="53565A" w:themeColor="accent5"/>
            </w:tcBorders>
            <w:shd w:val="clear" w:color="auto" w:fill="D9D9D6" w:themeFill="accent6"/>
          </w:tcPr>
          <w:p w14:paraId="2E68A76E" w14:textId="77777777" w:rsidR="003C4131" w:rsidRPr="005734B8" w:rsidRDefault="003C4131" w:rsidP="000C192E">
            <w:pPr>
              <w:pStyle w:val="ESTablenumberrightaligned"/>
              <w:jc w:val="left"/>
              <w:rPr>
                <w:rFonts w:ascii="Calibri" w:hAnsi="Calibri" w:cs="Calibri"/>
                <w:b/>
                <w:sz w:val="18"/>
              </w:rPr>
            </w:pPr>
            <w:r w:rsidRPr="005734B8">
              <w:rPr>
                <w:rFonts w:ascii="Calibri" w:hAnsi="Calibri" w:cs="Calibri"/>
                <w:b/>
                <w:sz w:val="18"/>
                <w:shd w:val="clear" w:color="auto" w:fill="D9D9D6" w:themeFill="accent6"/>
                <w:lang w:val="en-AU"/>
              </w:rPr>
              <w:t>Students with a positive opinion about their school providing a stimulating learning environment</w:t>
            </w:r>
          </w:p>
        </w:tc>
      </w:tr>
      <w:tr w:rsidR="003C4131" w:rsidRPr="005734B8" w14:paraId="5A0F6B19" w14:textId="77777777" w:rsidTr="00B05012">
        <w:tc>
          <w:tcPr>
            <w:tcW w:w="9122" w:type="dxa"/>
            <w:gridSpan w:val="7"/>
            <w:tcBorders>
              <w:top w:val="single" w:sz="4" w:space="0" w:color="53565A" w:themeColor="accent5"/>
              <w:bottom w:val="single" w:sz="4" w:space="0" w:color="53565A" w:themeColor="accent5"/>
            </w:tcBorders>
            <w:shd w:val="clear" w:color="auto" w:fill="auto"/>
          </w:tcPr>
          <w:p w14:paraId="19D6A1F1" w14:textId="77777777" w:rsidR="003C4131" w:rsidRPr="005734B8" w:rsidRDefault="003C4131" w:rsidP="000C192E">
            <w:pPr>
              <w:rPr>
                <w:rFonts w:ascii="Calibri" w:hAnsi="Calibri" w:cs="Calibri"/>
                <w:sz w:val="18"/>
                <w:szCs w:val="18"/>
              </w:rPr>
            </w:pPr>
            <w:r w:rsidRPr="005734B8">
              <w:rPr>
                <w:rFonts w:ascii="Calibri" w:eastAsia="Times New Roman" w:hAnsi="Calibri" w:cs="Calibri"/>
                <w:sz w:val="18"/>
                <w:szCs w:val="18"/>
              </w:rPr>
              <w:t>Proportion of student responses that ‘agreed’ or ‘strongly agreed’ that</w:t>
            </w:r>
            <w:r w:rsidRPr="005734B8">
              <w:rPr>
                <w:rFonts w:ascii="Calibri" w:hAnsi="Calibri" w:cs="Calibri"/>
                <w:sz w:val="18"/>
                <w:szCs w:val="18"/>
              </w:rPr>
              <w:t xml:space="preserve"> their school provides a stimulating learning environment</w:t>
            </w:r>
            <w:r w:rsidRPr="005734B8">
              <w:rPr>
                <w:rStyle w:val="FootnoteReference"/>
                <w:rFonts w:ascii="Calibri" w:hAnsi="Calibri" w:cs="Calibri"/>
                <w:sz w:val="18"/>
                <w:szCs w:val="18"/>
              </w:rPr>
              <w:footnoteReference w:id="19"/>
            </w:r>
            <w:r w:rsidRPr="005734B8">
              <w:rPr>
                <w:rFonts w:ascii="Calibri" w:hAnsi="Calibri" w:cs="Calibri"/>
                <w:sz w:val="18"/>
                <w:szCs w:val="18"/>
              </w:rPr>
              <w:t>:</w:t>
            </w:r>
          </w:p>
        </w:tc>
      </w:tr>
      <w:tr w:rsidR="003C4131" w:rsidRPr="005734B8" w14:paraId="61BC0862" w14:textId="77777777" w:rsidTr="00B05012">
        <w:tc>
          <w:tcPr>
            <w:tcW w:w="2336" w:type="dxa"/>
            <w:tcBorders>
              <w:top w:val="single" w:sz="4" w:space="0" w:color="53565A" w:themeColor="accent5"/>
              <w:bottom w:val="single" w:sz="4" w:space="0" w:color="53565A" w:themeColor="accent5"/>
            </w:tcBorders>
            <w:shd w:val="clear" w:color="auto" w:fill="auto"/>
          </w:tcPr>
          <w:p w14:paraId="1C8C820A" w14:textId="77777777" w:rsidR="003C4131" w:rsidRPr="005734B8" w:rsidRDefault="003C4131" w:rsidP="000C192E">
            <w:pPr>
              <w:pStyle w:val="ESTablebody"/>
              <w:rPr>
                <w:rFonts w:ascii="Calibri" w:hAnsi="Calibri" w:cs="Calibri"/>
                <w:sz w:val="18"/>
                <w:lang w:val="en-AU"/>
              </w:rPr>
            </w:pPr>
            <w:r w:rsidRPr="005734B8">
              <w:rPr>
                <w:rFonts w:ascii="Calibri" w:hAnsi="Calibri" w:cs="Calibri"/>
                <w:sz w:val="18"/>
                <w:lang w:val="en-AU"/>
              </w:rPr>
              <w:tab/>
              <w:t>Years 4–6</w:t>
            </w:r>
            <w:r w:rsidRPr="005734B8">
              <w:rPr>
                <w:rStyle w:val="FootnoteReference"/>
                <w:rFonts w:ascii="Calibri" w:hAnsi="Calibri" w:cs="Calibri"/>
                <w:sz w:val="18"/>
                <w:lang w:val="en-AU"/>
              </w:rPr>
              <w:footnoteReference w:id="20"/>
            </w:r>
          </w:p>
        </w:tc>
        <w:tc>
          <w:tcPr>
            <w:tcW w:w="1078" w:type="dxa"/>
            <w:tcBorders>
              <w:top w:val="single" w:sz="4" w:space="0" w:color="53565A" w:themeColor="accent5"/>
              <w:bottom w:val="single" w:sz="4" w:space="0" w:color="53565A" w:themeColor="accent5"/>
            </w:tcBorders>
            <w:shd w:val="clear" w:color="auto" w:fill="auto"/>
          </w:tcPr>
          <w:p w14:paraId="556578F2"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41" w:type="dxa"/>
            <w:tcBorders>
              <w:top w:val="single" w:sz="4" w:space="0" w:color="53565A" w:themeColor="accent5"/>
              <w:bottom w:val="single" w:sz="4" w:space="0" w:color="53565A" w:themeColor="accent5"/>
            </w:tcBorders>
            <w:shd w:val="clear" w:color="auto" w:fill="FFFFFF" w:themeFill="background1"/>
          </w:tcPr>
          <w:p w14:paraId="30DDC869" w14:textId="56195532" w:rsidR="003C4131" w:rsidRPr="005734B8" w:rsidRDefault="004A159B" w:rsidP="000C192E">
            <w:pPr>
              <w:pStyle w:val="ESTablenumberrightaligned"/>
              <w:rPr>
                <w:rFonts w:ascii="Calibri" w:hAnsi="Calibri" w:cs="Calibri"/>
                <w:sz w:val="18"/>
                <w:lang w:val="en-AU"/>
              </w:rPr>
            </w:pPr>
            <w:r w:rsidRPr="005734B8">
              <w:rPr>
                <w:rFonts w:ascii="Calibri" w:hAnsi="Calibri" w:cs="Calibri"/>
                <w:sz w:val="18"/>
                <w:lang w:val="en-AU"/>
              </w:rPr>
              <w:softHyphen/>
            </w:r>
            <w:r w:rsidR="00044F4A" w:rsidRPr="005734B8">
              <w:rPr>
                <w:rFonts w:ascii="Calibri" w:hAnsi="Calibri" w:cs="Calibri"/>
                <w:sz w:val="18"/>
                <w:lang w:val="en-AU"/>
              </w:rPr>
              <w:t>–</w:t>
            </w:r>
          </w:p>
        </w:tc>
        <w:tc>
          <w:tcPr>
            <w:tcW w:w="1142" w:type="dxa"/>
            <w:tcBorders>
              <w:top w:val="single" w:sz="4" w:space="0" w:color="53565A" w:themeColor="accent5"/>
              <w:bottom w:val="single" w:sz="4" w:space="0" w:color="53565A" w:themeColor="accent5"/>
            </w:tcBorders>
          </w:tcPr>
          <w:p w14:paraId="475E3E95"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rPr>
              <w:t>81.1</w:t>
            </w:r>
          </w:p>
        </w:tc>
        <w:tc>
          <w:tcPr>
            <w:tcW w:w="1141" w:type="dxa"/>
            <w:tcBorders>
              <w:top w:val="single" w:sz="4" w:space="0" w:color="53565A" w:themeColor="accent5"/>
              <w:bottom w:val="single" w:sz="4" w:space="0" w:color="53565A" w:themeColor="accent5"/>
            </w:tcBorders>
          </w:tcPr>
          <w:p w14:paraId="0593BD30"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rPr>
              <w:t>81.0</w:t>
            </w:r>
          </w:p>
        </w:tc>
        <w:tc>
          <w:tcPr>
            <w:tcW w:w="1142" w:type="dxa"/>
            <w:tcBorders>
              <w:top w:val="single" w:sz="4" w:space="0" w:color="53565A" w:themeColor="accent5"/>
              <w:bottom w:val="single" w:sz="4" w:space="0" w:color="53565A" w:themeColor="accent5"/>
            </w:tcBorders>
          </w:tcPr>
          <w:p w14:paraId="0FCD92DD"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rPr>
              <w:t>81.3</w:t>
            </w:r>
          </w:p>
        </w:tc>
        <w:tc>
          <w:tcPr>
            <w:tcW w:w="1142" w:type="dxa"/>
            <w:tcBorders>
              <w:top w:val="single" w:sz="4" w:space="0" w:color="53565A" w:themeColor="accent5"/>
              <w:bottom w:val="single" w:sz="4" w:space="0" w:color="53565A" w:themeColor="accent5"/>
            </w:tcBorders>
          </w:tcPr>
          <w:p w14:paraId="5C87D325"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rPr>
              <w:t>77.6</w:t>
            </w:r>
          </w:p>
        </w:tc>
      </w:tr>
      <w:tr w:rsidR="003C4131" w:rsidRPr="005734B8" w14:paraId="1D20E06C" w14:textId="77777777" w:rsidTr="00B05012">
        <w:tc>
          <w:tcPr>
            <w:tcW w:w="2336" w:type="dxa"/>
            <w:tcBorders>
              <w:top w:val="single" w:sz="4" w:space="0" w:color="53565A" w:themeColor="accent5"/>
              <w:bottom w:val="single" w:sz="4" w:space="0" w:color="53565A" w:themeColor="accent5"/>
            </w:tcBorders>
            <w:shd w:val="clear" w:color="auto" w:fill="auto"/>
          </w:tcPr>
          <w:p w14:paraId="059A7E8F" w14:textId="77777777" w:rsidR="003C4131" w:rsidRPr="005734B8" w:rsidRDefault="003C4131" w:rsidP="000C192E">
            <w:pPr>
              <w:pStyle w:val="ESTablebody"/>
              <w:rPr>
                <w:rFonts w:ascii="Calibri" w:hAnsi="Calibri" w:cs="Calibri"/>
                <w:sz w:val="18"/>
                <w:lang w:val="en-AU"/>
              </w:rPr>
            </w:pPr>
            <w:r w:rsidRPr="005734B8">
              <w:rPr>
                <w:rFonts w:ascii="Calibri" w:hAnsi="Calibri" w:cs="Calibri"/>
                <w:sz w:val="18"/>
                <w:lang w:val="en-AU"/>
              </w:rPr>
              <w:tab/>
              <w:t>Years 7–10</w:t>
            </w:r>
          </w:p>
        </w:tc>
        <w:tc>
          <w:tcPr>
            <w:tcW w:w="1078" w:type="dxa"/>
            <w:tcBorders>
              <w:top w:val="single" w:sz="4" w:space="0" w:color="53565A" w:themeColor="accent5"/>
              <w:bottom w:val="single" w:sz="4" w:space="0" w:color="53565A" w:themeColor="accent5"/>
            </w:tcBorders>
            <w:shd w:val="clear" w:color="auto" w:fill="auto"/>
          </w:tcPr>
          <w:p w14:paraId="12F5D718"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41" w:type="dxa"/>
            <w:tcBorders>
              <w:top w:val="single" w:sz="4" w:space="0" w:color="53565A" w:themeColor="accent5"/>
              <w:bottom w:val="single" w:sz="4" w:space="0" w:color="53565A" w:themeColor="accent5"/>
            </w:tcBorders>
            <w:shd w:val="clear" w:color="auto" w:fill="FFFFFF" w:themeFill="background1"/>
          </w:tcPr>
          <w:p w14:paraId="7C496E76" w14:textId="75F2E117" w:rsidR="003C4131" w:rsidRPr="005734B8" w:rsidRDefault="00044F4A"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42" w:type="dxa"/>
            <w:tcBorders>
              <w:top w:val="single" w:sz="4" w:space="0" w:color="53565A" w:themeColor="accent5"/>
              <w:bottom w:val="single" w:sz="4" w:space="0" w:color="53565A" w:themeColor="accent5"/>
            </w:tcBorders>
          </w:tcPr>
          <w:p w14:paraId="281F8E4B"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rPr>
              <w:t>52.0</w:t>
            </w:r>
          </w:p>
        </w:tc>
        <w:tc>
          <w:tcPr>
            <w:tcW w:w="1141" w:type="dxa"/>
            <w:tcBorders>
              <w:top w:val="single" w:sz="4" w:space="0" w:color="53565A" w:themeColor="accent5"/>
              <w:bottom w:val="single" w:sz="4" w:space="0" w:color="53565A" w:themeColor="accent5"/>
            </w:tcBorders>
          </w:tcPr>
          <w:p w14:paraId="5DA29C99"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rPr>
              <w:t>54.3</w:t>
            </w:r>
          </w:p>
        </w:tc>
        <w:tc>
          <w:tcPr>
            <w:tcW w:w="1142" w:type="dxa"/>
            <w:tcBorders>
              <w:top w:val="single" w:sz="4" w:space="0" w:color="53565A" w:themeColor="accent5"/>
              <w:bottom w:val="single" w:sz="4" w:space="0" w:color="53565A" w:themeColor="accent5"/>
            </w:tcBorders>
          </w:tcPr>
          <w:p w14:paraId="425E931E"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rPr>
              <w:t>55.1</w:t>
            </w:r>
          </w:p>
        </w:tc>
        <w:tc>
          <w:tcPr>
            <w:tcW w:w="1142" w:type="dxa"/>
            <w:tcBorders>
              <w:top w:val="single" w:sz="4" w:space="0" w:color="53565A" w:themeColor="accent5"/>
              <w:bottom w:val="single" w:sz="4" w:space="0" w:color="53565A" w:themeColor="accent5"/>
            </w:tcBorders>
          </w:tcPr>
          <w:p w14:paraId="413EB134"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rPr>
              <w:t>57.8</w:t>
            </w:r>
          </w:p>
        </w:tc>
      </w:tr>
      <w:tr w:rsidR="003C4131" w:rsidRPr="005734B8" w14:paraId="3EEDF779" w14:textId="77777777" w:rsidTr="00B05012">
        <w:tc>
          <w:tcPr>
            <w:tcW w:w="2336" w:type="dxa"/>
            <w:tcBorders>
              <w:top w:val="single" w:sz="4" w:space="0" w:color="53565A" w:themeColor="accent5"/>
              <w:bottom w:val="single" w:sz="4" w:space="0" w:color="53565A" w:themeColor="accent5"/>
            </w:tcBorders>
            <w:shd w:val="clear" w:color="auto" w:fill="auto"/>
          </w:tcPr>
          <w:p w14:paraId="114E627C" w14:textId="4D0F93E7" w:rsidR="00E0118C" w:rsidRPr="005734B8" w:rsidRDefault="003C4131" w:rsidP="000C192E">
            <w:pPr>
              <w:pStyle w:val="ESTablebody"/>
              <w:rPr>
                <w:rFonts w:ascii="Calibri" w:hAnsi="Calibri" w:cs="Calibri"/>
                <w:sz w:val="18"/>
                <w:lang w:val="en-AU"/>
              </w:rPr>
            </w:pPr>
            <w:r w:rsidRPr="005734B8">
              <w:rPr>
                <w:rFonts w:ascii="Calibri" w:hAnsi="Calibri" w:cs="Calibri"/>
                <w:sz w:val="18"/>
                <w:lang w:val="en-AU"/>
              </w:rPr>
              <w:tab/>
              <w:t xml:space="preserve">Years 11–12 </w:t>
            </w:r>
          </w:p>
        </w:tc>
        <w:tc>
          <w:tcPr>
            <w:tcW w:w="1078" w:type="dxa"/>
            <w:tcBorders>
              <w:top w:val="single" w:sz="4" w:space="0" w:color="53565A" w:themeColor="accent5"/>
              <w:bottom w:val="single" w:sz="4" w:space="0" w:color="53565A" w:themeColor="accent5"/>
            </w:tcBorders>
            <w:shd w:val="clear" w:color="auto" w:fill="auto"/>
          </w:tcPr>
          <w:p w14:paraId="0724DAF5"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41" w:type="dxa"/>
            <w:tcBorders>
              <w:top w:val="single" w:sz="4" w:space="0" w:color="53565A" w:themeColor="accent5"/>
              <w:bottom w:val="single" w:sz="4" w:space="0" w:color="53565A" w:themeColor="accent5"/>
            </w:tcBorders>
            <w:shd w:val="clear" w:color="auto" w:fill="FFFFFF" w:themeFill="background1"/>
          </w:tcPr>
          <w:p w14:paraId="2BF0AD6A" w14:textId="29508FDF" w:rsidR="003C4131" w:rsidRPr="005734B8" w:rsidRDefault="00044F4A"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42" w:type="dxa"/>
            <w:tcBorders>
              <w:top w:val="single" w:sz="4" w:space="0" w:color="53565A" w:themeColor="accent5"/>
              <w:bottom w:val="single" w:sz="4" w:space="0" w:color="53565A" w:themeColor="accent5"/>
            </w:tcBorders>
          </w:tcPr>
          <w:p w14:paraId="4B398F21"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rPr>
              <w:t>52.3</w:t>
            </w:r>
          </w:p>
        </w:tc>
        <w:tc>
          <w:tcPr>
            <w:tcW w:w="1141" w:type="dxa"/>
            <w:tcBorders>
              <w:top w:val="single" w:sz="4" w:space="0" w:color="53565A" w:themeColor="accent5"/>
              <w:bottom w:val="single" w:sz="4" w:space="0" w:color="53565A" w:themeColor="accent5"/>
            </w:tcBorders>
          </w:tcPr>
          <w:p w14:paraId="7A34B3BC"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rPr>
              <w:t>54.2</w:t>
            </w:r>
          </w:p>
        </w:tc>
        <w:tc>
          <w:tcPr>
            <w:tcW w:w="1142" w:type="dxa"/>
            <w:tcBorders>
              <w:top w:val="single" w:sz="4" w:space="0" w:color="53565A" w:themeColor="accent5"/>
              <w:bottom w:val="single" w:sz="4" w:space="0" w:color="53565A" w:themeColor="accent5"/>
            </w:tcBorders>
          </w:tcPr>
          <w:p w14:paraId="52E02FD4"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rPr>
              <w:t>55.6</w:t>
            </w:r>
          </w:p>
        </w:tc>
        <w:tc>
          <w:tcPr>
            <w:tcW w:w="1142" w:type="dxa"/>
            <w:tcBorders>
              <w:top w:val="single" w:sz="4" w:space="0" w:color="53565A" w:themeColor="accent5"/>
              <w:bottom w:val="single" w:sz="4" w:space="0" w:color="53565A" w:themeColor="accent5"/>
            </w:tcBorders>
          </w:tcPr>
          <w:p w14:paraId="7D97ADA8"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rPr>
              <w:t>59.3</w:t>
            </w:r>
          </w:p>
        </w:tc>
      </w:tr>
      <w:tr w:rsidR="003C4131" w:rsidRPr="005734B8" w14:paraId="6FEC0143" w14:textId="77777777" w:rsidTr="00B05012">
        <w:tc>
          <w:tcPr>
            <w:tcW w:w="9122" w:type="dxa"/>
            <w:gridSpan w:val="7"/>
            <w:tcBorders>
              <w:top w:val="single" w:sz="4" w:space="0" w:color="53565A" w:themeColor="accent5"/>
              <w:bottom w:val="single" w:sz="4" w:space="0" w:color="53565A" w:themeColor="accent5"/>
            </w:tcBorders>
            <w:shd w:val="clear" w:color="auto" w:fill="53565A" w:themeFill="accent5"/>
          </w:tcPr>
          <w:p w14:paraId="4A3BB718" w14:textId="77777777" w:rsidR="003C4131" w:rsidRPr="005734B8" w:rsidRDefault="003C4131" w:rsidP="000C192E">
            <w:pPr>
              <w:pStyle w:val="W1"/>
              <w:rPr>
                <w:rFonts w:ascii="Calibri" w:hAnsi="Calibri" w:cs="Calibri"/>
                <w:color w:val="auto"/>
                <w:sz w:val="18"/>
              </w:rPr>
            </w:pPr>
            <w:r w:rsidRPr="005734B8">
              <w:rPr>
                <w:rFonts w:ascii="Calibri" w:hAnsi="Calibri" w:cs="Calibri"/>
                <w:sz w:val="18"/>
              </w:rPr>
              <w:t>Higher education and skills</w:t>
            </w:r>
          </w:p>
        </w:tc>
      </w:tr>
      <w:tr w:rsidR="003C4131" w:rsidRPr="005734B8" w14:paraId="377C6E79" w14:textId="77777777" w:rsidTr="00B05012">
        <w:tc>
          <w:tcPr>
            <w:tcW w:w="9122" w:type="dxa"/>
            <w:gridSpan w:val="7"/>
            <w:tcBorders>
              <w:top w:val="single" w:sz="4" w:space="0" w:color="53565A" w:themeColor="accent5"/>
              <w:bottom w:val="single" w:sz="4" w:space="0" w:color="53565A" w:themeColor="accent5"/>
            </w:tcBorders>
            <w:shd w:val="clear" w:color="auto" w:fill="D9D9D6" w:themeFill="accent6"/>
          </w:tcPr>
          <w:p w14:paraId="4BF9569C" w14:textId="70ED477C" w:rsidR="003C4131" w:rsidRPr="005734B8" w:rsidRDefault="003C4131" w:rsidP="000C192E">
            <w:pPr>
              <w:pStyle w:val="ESTablenumberrightaligned"/>
              <w:jc w:val="left"/>
              <w:rPr>
                <w:rFonts w:ascii="Calibri" w:hAnsi="Calibri" w:cs="Calibri"/>
                <w:b/>
                <w:sz w:val="18"/>
              </w:rPr>
            </w:pPr>
            <w:r w:rsidRPr="005734B8">
              <w:rPr>
                <w:rFonts w:ascii="Calibri" w:hAnsi="Calibri" w:cs="Calibri"/>
                <w:b/>
                <w:sz w:val="18"/>
                <w:lang w:val="en-AU"/>
              </w:rPr>
              <w:t>Accredited VET enrolments by student age and gender</w:t>
            </w:r>
            <w:bookmarkStart w:id="141" w:name="_Ref17882890"/>
            <w:r w:rsidRPr="005734B8">
              <w:rPr>
                <w:rStyle w:val="FootnoteReference"/>
                <w:rFonts w:ascii="Calibri" w:hAnsi="Calibri" w:cs="Calibri"/>
                <w:b/>
                <w:sz w:val="18"/>
                <w:lang w:val="en-AU"/>
              </w:rPr>
              <w:footnoteReference w:id="21"/>
            </w:r>
            <w:bookmarkEnd w:id="141"/>
          </w:p>
        </w:tc>
      </w:tr>
      <w:tr w:rsidR="003C4131" w:rsidRPr="005734B8" w14:paraId="5AEBCDE7" w14:textId="77777777" w:rsidTr="00B05012">
        <w:tc>
          <w:tcPr>
            <w:tcW w:w="2336" w:type="dxa"/>
            <w:tcBorders>
              <w:top w:val="single" w:sz="4" w:space="0" w:color="53565A" w:themeColor="accent5"/>
              <w:bottom w:val="single" w:sz="4" w:space="0" w:color="53565A" w:themeColor="accent5"/>
            </w:tcBorders>
            <w:shd w:val="clear" w:color="auto" w:fill="auto"/>
          </w:tcPr>
          <w:p w14:paraId="3BA6DC98" w14:textId="77777777" w:rsidR="003C4131" w:rsidRPr="005734B8" w:rsidRDefault="003C4131" w:rsidP="000C192E">
            <w:pPr>
              <w:pStyle w:val="ESTablebody"/>
              <w:rPr>
                <w:rFonts w:ascii="Calibri" w:hAnsi="Calibri" w:cs="Calibri"/>
                <w:sz w:val="18"/>
                <w:lang w:val="en-AU"/>
              </w:rPr>
            </w:pPr>
            <w:r w:rsidRPr="005734B8">
              <w:rPr>
                <w:rFonts w:ascii="Calibri" w:hAnsi="Calibri" w:cs="Calibri"/>
                <w:sz w:val="18"/>
                <w:lang w:val="en-AU"/>
              </w:rPr>
              <w:t>15–19 years</w:t>
            </w:r>
          </w:p>
        </w:tc>
        <w:tc>
          <w:tcPr>
            <w:tcW w:w="1078" w:type="dxa"/>
            <w:tcBorders>
              <w:top w:val="single" w:sz="4" w:space="0" w:color="53565A" w:themeColor="accent5"/>
              <w:bottom w:val="single" w:sz="4" w:space="0" w:color="53565A" w:themeColor="accent5"/>
            </w:tcBorders>
            <w:shd w:val="clear" w:color="auto" w:fill="auto"/>
          </w:tcPr>
          <w:p w14:paraId="0B697562"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41" w:type="dxa"/>
            <w:tcBorders>
              <w:top w:val="single" w:sz="4" w:space="0" w:color="53565A" w:themeColor="accent5"/>
              <w:bottom w:val="single" w:sz="4" w:space="0" w:color="53565A" w:themeColor="accent5"/>
            </w:tcBorders>
            <w:shd w:val="clear" w:color="auto" w:fill="FFFFFF" w:themeFill="background1"/>
          </w:tcPr>
          <w:p w14:paraId="67C8F2FC"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59,300</w:t>
            </w:r>
          </w:p>
        </w:tc>
        <w:tc>
          <w:tcPr>
            <w:tcW w:w="1142" w:type="dxa"/>
            <w:tcBorders>
              <w:top w:val="single" w:sz="4" w:space="0" w:color="53565A" w:themeColor="accent5"/>
              <w:bottom w:val="single" w:sz="4" w:space="0" w:color="53565A" w:themeColor="accent5"/>
            </w:tcBorders>
          </w:tcPr>
          <w:p w14:paraId="231EAB34"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53,500</w:t>
            </w:r>
          </w:p>
        </w:tc>
        <w:tc>
          <w:tcPr>
            <w:tcW w:w="1141" w:type="dxa"/>
            <w:tcBorders>
              <w:top w:val="single" w:sz="4" w:space="0" w:color="53565A" w:themeColor="accent5"/>
              <w:bottom w:val="single" w:sz="4" w:space="0" w:color="53565A" w:themeColor="accent5"/>
            </w:tcBorders>
          </w:tcPr>
          <w:p w14:paraId="6A9AB4D1"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49,900</w:t>
            </w:r>
          </w:p>
        </w:tc>
        <w:tc>
          <w:tcPr>
            <w:tcW w:w="1142" w:type="dxa"/>
            <w:tcBorders>
              <w:top w:val="single" w:sz="4" w:space="0" w:color="53565A" w:themeColor="accent5"/>
              <w:bottom w:val="single" w:sz="4" w:space="0" w:color="53565A" w:themeColor="accent5"/>
            </w:tcBorders>
          </w:tcPr>
          <w:p w14:paraId="4C17A857"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50,800</w:t>
            </w:r>
          </w:p>
        </w:tc>
        <w:tc>
          <w:tcPr>
            <w:tcW w:w="1142" w:type="dxa"/>
            <w:tcBorders>
              <w:top w:val="single" w:sz="4" w:space="0" w:color="53565A" w:themeColor="accent5"/>
              <w:bottom w:val="single" w:sz="4" w:space="0" w:color="53565A" w:themeColor="accent5"/>
            </w:tcBorders>
          </w:tcPr>
          <w:p w14:paraId="42A1F975"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45,700</w:t>
            </w:r>
          </w:p>
        </w:tc>
      </w:tr>
      <w:tr w:rsidR="003C4131" w:rsidRPr="005734B8" w14:paraId="2F3006FB" w14:textId="77777777" w:rsidTr="00B05012">
        <w:tc>
          <w:tcPr>
            <w:tcW w:w="2336" w:type="dxa"/>
            <w:tcBorders>
              <w:top w:val="single" w:sz="4" w:space="0" w:color="53565A" w:themeColor="accent5"/>
              <w:bottom w:val="single" w:sz="4" w:space="0" w:color="53565A" w:themeColor="accent5"/>
            </w:tcBorders>
            <w:shd w:val="clear" w:color="auto" w:fill="auto"/>
          </w:tcPr>
          <w:p w14:paraId="2346ECF0" w14:textId="77777777" w:rsidR="003C4131" w:rsidRPr="005734B8" w:rsidRDefault="003C4131" w:rsidP="000C192E">
            <w:pPr>
              <w:pStyle w:val="ESTablebody"/>
              <w:rPr>
                <w:rFonts w:ascii="Calibri" w:hAnsi="Calibri" w:cs="Calibri"/>
                <w:sz w:val="18"/>
                <w:lang w:val="en-AU"/>
              </w:rPr>
            </w:pPr>
            <w:r w:rsidRPr="005734B8">
              <w:rPr>
                <w:rFonts w:ascii="Calibri" w:hAnsi="Calibri" w:cs="Calibri"/>
                <w:sz w:val="18"/>
                <w:lang w:val="en-AU"/>
              </w:rPr>
              <w:t>20–24 years</w:t>
            </w:r>
          </w:p>
        </w:tc>
        <w:tc>
          <w:tcPr>
            <w:tcW w:w="1078" w:type="dxa"/>
            <w:tcBorders>
              <w:top w:val="single" w:sz="4" w:space="0" w:color="53565A" w:themeColor="accent5"/>
              <w:bottom w:val="single" w:sz="4" w:space="0" w:color="53565A" w:themeColor="accent5"/>
            </w:tcBorders>
            <w:shd w:val="clear" w:color="auto" w:fill="auto"/>
          </w:tcPr>
          <w:p w14:paraId="72FC7ABE"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41" w:type="dxa"/>
            <w:tcBorders>
              <w:top w:val="single" w:sz="4" w:space="0" w:color="53565A" w:themeColor="accent5"/>
              <w:bottom w:val="single" w:sz="4" w:space="0" w:color="53565A" w:themeColor="accent5"/>
            </w:tcBorders>
            <w:shd w:val="clear" w:color="auto" w:fill="FFFFFF" w:themeFill="background1"/>
          </w:tcPr>
          <w:p w14:paraId="5AFDB6C5"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69,700</w:t>
            </w:r>
          </w:p>
        </w:tc>
        <w:tc>
          <w:tcPr>
            <w:tcW w:w="1142" w:type="dxa"/>
            <w:tcBorders>
              <w:top w:val="single" w:sz="4" w:space="0" w:color="53565A" w:themeColor="accent5"/>
              <w:bottom w:val="single" w:sz="4" w:space="0" w:color="53565A" w:themeColor="accent5"/>
            </w:tcBorders>
          </w:tcPr>
          <w:p w14:paraId="52598532"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65,200</w:t>
            </w:r>
          </w:p>
        </w:tc>
        <w:tc>
          <w:tcPr>
            <w:tcW w:w="1141" w:type="dxa"/>
            <w:tcBorders>
              <w:top w:val="single" w:sz="4" w:space="0" w:color="53565A" w:themeColor="accent5"/>
              <w:bottom w:val="single" w:sz="4" w:space="0" w:color="53565A" w:themeColor="accent5"/>
            </w:tcBorders>
          </w:tcPr>
          <w:p w14:paraId="4F57C301"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60,700</w:t>
            </w:r>
          </w:p>
        </w:tc>
        <w:tc>
          <w:tcPr>
            <w:tcW w:w="1142" w:type="dxa"/>
            <w:tcBorders>
              <w:top w:val="single" w:sz="4" w:space="0" w:color="53565A" w:themeColor="accent5"/>
              <w:bottom w:val="single" w:sz="4" w:space="0" w:color="53565A" w:themeColor="accent5"/>
            </w:tcBorders>
          </w:tcPr>
          <w:p w14:paraId="74E0D028"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62,900</w:t>
            </w:r>
          </w:p>
        </w:tc>
        <w:tc>
          <w:tcPr>
            <w:tcW w:w="1142" w:type="dxa"/>
            <w:tcBorders>
              <w:top w:val="single" w:sz="4" w:space="0" w:color="53565A" w:themeColor="accent5"/>
              <w:bottom w:val="single" w:sz="4" w:space="0" w:color="53565A" w:themeColor="accent5"/>
            </w:tcBorders>
          </w:tcPr>
          <w:p w14:paraId="6F9E83B7"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61,400</w:t>
            </w:r>
          </w:p>
        </w:tc>
      </w:tr>
      <w:tr w:rsidR="003C4131" w:rsidRPr="005734B8" w14:paraId="00ED0A28" w14:textId="77777777" w:rsidTr="00B05012">
        <w:tc>
          <w:tcPr>
            <w:tcW w:w="2336" w:type="dxa"/>
            <w:tcBorders>
              <w:top w:val="single" w:sz="4" w:space="0" w:color="53565A" w:themeColor="accent5"/>
              <w:bottom w:val="single" w:sz="4" w:space="0" w:color="53565A" w:themeColor="accent5"/>
            </w:tcBorders>
            <w:shd w:val="clear" w:color="auto" w:fill="auto"/>
          </w:tcPr>
          <w:p w14:paraId="60889CA1" w14:textId="77777777" w:rsidR="003C4131" w:rsidRPr="005734B8" w:rsidRDefault="003C4131" w:rsidP="000C192E">
            <w:pPr>
              <w:pStyle w:val="ESTablebody"/>
              <w:rPr>
                <w:rFonts w:ascii="Calibri" w:hAnsi="Calibri" w:cs="Calibri"/>
                <w:sz w:val="18"/>
                <w:lang w:val="en-AU"/>
              </w:rPr>
            </w:pPr>
            <w:r w:rsidRPr="005734B8">
              <w:rPr>
                <w:rFonts w:ascii="Calibri" w:hAnsi="Calibri" w:cs="Calibri"/>
                <w:sz w:val="18"/>
                <w:lang w:val="en-AU"/>
              </w:rPr>
              <w:t>25–44 years</w:t>
            </w:r>
          </w:p>
        </w:tc>
        <w:tc>
          <w:tcPr>
            <w:tcW w:w="1078" w:type="dxa"/>
            <w:tcBorders>
              <w:top w:val="single" w:sz="4" w:space="0" w:color="53565A" w:themeColor="accent5"/>
              <w:bottom w:val="single" w:sz="4" w:space="0" w:color="53565A" w:themeColor="accent5"/>
            </w:tcBorders>
            <w:shd w:val="clear" w:color="auto" w:fill="auto"/>
          </w:tcPr>
          <w:p w14:paraId="73EDB755"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41" w:type="dxa"/>
            <w:tcBorders>
              <w:top w:val="single" w:sz="4" w:space="0" w:color="53565A" w:themeColor="accent5"/>
              <w:bottom w:val="single" w:sz="4" w:space="0" w:color="53565A" w:themeColor="accent5"/>
            </w:tcBorders>
            <w:shd w:val="clear" w:color="auto" w:fill="FFFFFF" w:themeFill="background1"/>
          </w:tcPr>
          <w:p w14:paraId="019F38D6"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121,500</w:t>
            </w:r>
          </w:p>
        </w:tc>
        <w:tc>
          <w:tcPr>
            <w:tcW w:w="1142" w:type="dxa"/>
            <w:tcBorders>
              <w:top w:val="single" w:sz="4" w:space="0" w:color="53565A" w:themeColor="accent5"/>
              <w:bottom w:val="single" w:sz="4" w:space="0" w:color="53565A" w:themeColor="accent5"/>
            </w:tcBorders>
          </w:tcPr>
          <w:p w14:paraId="54540E15"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110,800</w:t>
            </w:r>
          </w:p>
        </w:tc>
        <w:tc>
          <w:tcPr>
            <w:tcW w:w="1141" w:type="dxa"/>
            <w:tcBorders>
              <w:top w:val="single" w:sz="4" w:space="0" w:color="53565A" w:themeColor="accent5"/>
              <w:bottom w:val="single" w:sz="4" w:space="0" w:color="53565A" w:themeColor="accent5"/>
            </w:tcBorders>
          </w:tcPr>
          <w:p w14:paraId="37AD1924"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100,000</w:t>
            </w:r>
          </w:p>
        </w:tc>
        <w:tc>
          <w:tcPr>
            <w:tcW w:w="1142" w:type="dxa"/>
            <w:tcBorders>
              <w:top w:val="single" w:sz="4" w:space="0" w:color="53565A" w:themeColor="accent5"/>
              <w:bottom w:val="single" w:sz="4" w:space="0" w:color="53565A" w:themeColor="accent5"/>
            </w:tcBorders>
          </w:tcPr>
          <w:p w14:paraId="06AA5365"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108,500</w:t>
            </w:r>
          </w:p>
        </w:tc>
        <w:tc>
          <w:tcPr>
            <w:tcW w:w="1142" w:type="dxa"/>
            <w:tcBorders>
              <w:top w:val="single" w:sz="4" w:space="0" w:color="53565A" w:themeColor="accent5"/>
              <w:bottom w:val="single" w:sz="4" w:space="0" w:color="53565A" w:themeColor="accent5"/>
            </w:tcBorders>
          </w:tcPr>
          <w:p w14:paraId="4F4E10F3"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105,200</w:t>
            </w:r>
          </w:p>
        </w:tc>
      </w:tr>
      <w:tr w:rsidR="003C4131" w:rsidRPr="005734B8" w14:paraId="70E9E200" w14:textId="77777777" w:rsidTr="00B05012">
        <w:tc>
          <w:tcPr>
            <w:tcW w:w="2336" w:type="dxa"/>
            <w:tcBorders>
              <w:top w:val="single" w:sz="4" w:space="0" w:color="53565A" w:themeColor="accent5"/>
              <w:bottom w:val="single" w:sz="4" w:space="0" w:color="53565A" w:themeColor="accent5"/>
            </w:tcBorders>
            <w:shd w:val="clear" w:color="auto" w:fill="auto"/>
          </w:tcPr>
          <w:p w14:paraId="20AB45C6" w14:textId="77777777" w:rsidR="003C4131" w:rsidRPr="005734B8" w:rsidRDefault="003C4131" w:rsidP="000C192E">
            <w:pPr>
              <w:pStyle w:val="ESTablebody"/>
              <w:rPr>
                <w:rFonts w:ascii="Calibri" w:hAnsi="Calibri" w:cs="Calibri"/>
                <w:sz w:val="18"/>
                <w:lang w:val="en-AU"/>
              </w:rPr>
            </w:pPr>
            <w:r w:rsidRPr="005734B8">
              <w:rPr>
                <w:rFonts w:ascii="Calibri" w:hAnsi="Calibri" w:cs="Calibri"/>
                <w:sz w:val="18"/>
                <w:lang w:val="en-AU"/>
              </w:rPr>
              <w:t>45–64 years</w:t>
            </w:r>
          </w:p>
        </w:tc>
        <w:tc>
          <w:tcPr>
            <w:tcW w:w="1078" w:type="dxa"/>
            <w:tcBorders>
              <w:top w:val="single" w:sz="4" w:space="0" w:color="53565A" w:themeColor="accent5"/>
              <w:bottom w:val="single" w:sz="4" w:space="0" w:color="53565A" w:themeColor="accent5"/>
            </w:tcBorders>
            <w:shd w:val="clear" w:color="auto" w:fill="auto"/>
          </w:tcPr>
          <w:p w14:paraId="65A07AF8"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41" w:type="dxa"/>
            <w:tcBorders>
              <w:top w:val="single" w:sz="4" w:space="0" w:color="53565A" w:themeColor="accent5"/>
              <w:bottom w:val="single" w:sz="4" w:space="0" w:color="53565A" w:themeColor="accent5"/>
            </w:tcBorders>
            <w:shd w:val="clear" w:color="auto" w:fill="FFFFFF" w:themeFill="background1"/>
          </w:tcPr>
          <w:p w14:paraId="589A70B8"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62,900</w:t>
            </w:r>
          </w:p>
        </w:tc>
        <w:tc>
          <w:tcPr>
            <w:tcW w:w="1142" w:type="dxa"/>
            <w:tcBorders>
              <w:top w:val="single" w:sz="4" w:space="0" w:color="53565A" w:themeColor="accent5"/>
              <w:bottom w:val="single" w:sz="4" w:space="0" w:color="53565A" w:themeColor="accent5"/>
            </w:tcBorders>
          </w:tcPr>
          <w:p w14:paraId="37E3254D"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56,100</w:t>
            </w:r>
          </w:p>
        </w:tc>
        <w:tc>
          <w:tcPr>
            <w:tcW w:w="1141" w:type="dxa"/>
            <w:tcBorders>
              <w:top w:val="single" w:sz="4" w:space="0" w:color="53565A" w:themeColor="accent5"/>
              <w:bottom w:val="single" w:sz="4" w:space="0" w:color="53565A" w:themeColor="accent5"/>
            </w:tcBorders>
          </w:tcPr>
          <w:p w14:paraId="201AC860"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49,500</w:t>
            </w:r>
          </w:p>
        </w:tc>
        <w:tc>
          <w:tcPr>
            <w:tcW w:w="1142" w:type="dxa"/>
            <w:tcBorders>
              <w:top w:val="single" w:sz="4" w:space="0" w:color="53565A" w:themeColor="accent5"/>
              <w:bottom w:val="single" w:sz="4" w:space="0" w:color="53565A" w:themeColor="accent5"/>
            </w:tcBorders>
          </w:tcPr>
          <w:p w14:paraId="3E85D6B4"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51,400</w:t>
            </w:r>
          </w:p>
        </w:tc>
        <w:tc>
          <w:tcPr>
            <w:tcW w:w="1142" w:type="dxa"/>
            <w:tcBorders>
              <w:top w:val="single" w:sz="4" w:space="0" w:color="53565A" w:themeColor="accent5"/>
              <w:bottom w:val="single" w:sz="4" w:space="0" w:color="53565A" w:themeColor="accent5"/>
            </w:tcBorders>
          </w:tcPr>
          <w:p w14:paraId="2F8A8A56"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45,700</w:t>
            </w:r>
          </w:p>
        </w:tc>
      </w:tr>
      <w:tr w:rsidR="003C4131" w:rsidRPr="005734B8" w14:paraId="0FE28AE8" w14:textId="77777777" w:rsidTr="00B05012">
        <w:tc>
          <w:tcPr>
            <w:tcW w:w="2336" w:type="dxa"/>
            <w:tcBorders>
              <w:top w:val="single" w:sz="4" w:space="0" w:color="53565A" w:themeColor="accent5"/>
              <w:bottom w:val="single" w:sz="4" w:space="0" w:color="53565A" w:themeColor="accent5"/>
            </w:tcBorders>
            <w:shd w:val="clear" w:color="auto" w:fill="auto"/>
          </w:tcPr>
          <w:p w14:paraId="57901542" w14:textId="77777777" w:rsidR="003C4131" w:rsidRPr="005734B8" w:rsidRDefault="003C4131" w:rsidP="000C192E">
            <w:pPr>
              <w:pStyle w:val="ESTablebody"/>
              <w:rPr>
                <w:rFonts w:ascii="Calibri" w:hAnsi="Calibri" w:cs="Calibri"/>
                <w:sz w:val="18"/>
                <w:lang w:val="en-AU"/>
              </w:rPr>
            </w:pPr>
            <w:r w:rsidRPr="005734B8">
              <w:rPr>
                <w:rFonts w:ascii="Calibri" w:hAnsi="Calibri" w:cs="Calibri"/>
                <w:sz w:val="18"/>
                <w:lang w:val="en-AU"/>
              </w:rPr>
              <w:t>Female</w:t>
            </w:r>
          </w:p>
        </w:tc>
        <w:tc>
          <w:tcPr>
            <w:tcW w:w="1078" w:type="dxa"/>
            <w:tcBorders>
              <w:top w:val="single" w:sz="4" w:space="0" w:color="53565A" w:themeColor="accent5"/>
              <w:bottom w:val="single" w:sz="4" w:space="0" w:color="53565A" w:themeColor="accent5"/>
            </w:tcBorders>
            <w:shd w:val="clear" w:color="auto" w:fill="auto"/>
          </w:tcPr>
          <w:p w14:paraId="4D8C572C"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41" w:type="dxa"/>
            <w:tcBorders>
              <w:top w:val="single" w:sz="4" w:space="0" w:color="53565A" w:themeColor="accent5"/>
              <w:bottom w:val="single" w:sz="4" w:space="0" w:color="53565A" w:themeColor="accent5"/>
            </w:tcBorders>
            <w:shd w:val="clear" w:color="auto" w:fill="FFFFFF" w:themeFill="background1"/>
          </w:tcPr>
          <w:p w14:paraId="1BF916CB"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153,400</w:t>
            </w:r>
          </w:p>
        </w:tc>
        <w:tc>
          <w:tcPr>
            <w:tcW w:w="1142" w:type="dxa"/>
            <w:tcBorders>
              <w:top w:val="single" w:sz="4" w:space="0" w:color="53565A" w:themeColor="accent5"/>
              <w:bottom w:val="single" w:sz="4" w:space="0" w:color="53565A" w:themeColor="accent5"/>
            </w:tcBorders>
          </w:tcPr>
          <w:p w14:paraId="3DEC1B20"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144,600</w:t>
            </w:r>
          </w:p>
        </w:tc>
        <w:tc>
          <w:tcPr>
            <w:tcW w:w="1141" w:type="dxa"/>
            <w:tcBorders>
              <w:top w:val="single" w:sz="4" w:space="0" w:color="53565A" w:themeColor="accent5"/>
              <w:bottom w:val="single" w:sz="4" w:space="0" w:color="53565A" w:themeColor="accent5"/>
            </w:tcBorders>
          </w:tcPr>
          <w:p w14:paraId="25D96900"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133,500</w:t>
            </w:r>
          </w:p>
        </w:tc>
        <w:tc>
          <w:tcPr>
            <w:tcW w:w="1142" w:type="dxa"/>
            <w:tcBorders>
              <w:top w:val="single" w:sz="4" w:space="0" w:color="53565A" w:themeColor="accent5"/>
              <w:bottom w:val="single" w:sz="4" w:space="0" w:color="53565A" w:themeColor="accent5"/>
            </w:tcBorders>
          </w:tcPr>
          <w:p w14:paraId="209DFEB1"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143,400</w:t>
            </w:r>
          </w:p>
        </w:tc>
        <w:tc>
          <w:tcPr>
            <w:tcW w:w="1142" w:type="dxa"/>
            <w:tcBorders>
              <w:top w:val="single" w:sz="4" w:space="0" w:color="53565A" w:themeColor="accent5"/>
              <w:bottom w:val="single" w:sz="4" w:space="0" w:color="53565A" w:themeColor="accent5"/>
            </w:tcBorders>
          </w:tcPr>
          <w:p w14:paraId="68409009"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135,000</w:t>
            </w:r>
          </w:p>
        </w:tc>
      </w:tr>
      <w:tr w:rsidR="003C4131" w:rsidRPr="005734B8" w14:paraId="003C5309" w14:textId="77777777" w:rsidTr="00E0118C">
        <w:tc>
          <w:tcPr>
            <w:tcW w:w="2336" w:type="dxa"/>
            <w:tcBorders>
              <w:top w:val="single" w:sz="4" w:space="0" w:color="53565A" w:themeColor="accent5"/>
              <w:bottom w:val="single" w:sz="4" w:space="0" w:color="auto"/>
            </w:tcBorders>
            <w:shd w:val="clear" w:color="auto" w:fill="auto"/>
          </w:tcPr>
          <w:p w14:paraId="00F78D66" w14:textId="77777777" w:rsidR="003C4131" w:rsidRPr="005734B8" w:rsidRDefault="003C4131" w:rsidP="000C192E">
            <w:pPr>
              <w:pStyle w:val="ESTablebody"/>
              <w:rPr>
                <w:rFonts w:ascii="Calibri" w:hAnsi="Calibri" w:cs="Calibri"/>
                <w:sz w:val="18"/>
                <w:lang w:val="en-AU"/>
              </w:rPr>
            </w:pPr>
            <w:r w:rsidRPr="005734B8">
              <w:rPr>
                <w:rFonts w:ascii="Calibri" w:hAnsi="Calibri" w:cs="Calibri"/>
                <w:sz w:val="18"/>
                <w:lang w:val="en-AU"/>
              </w:rPr>
              <w:t>Male</w:t>
            </w:r>
          </w:p>
        </w:tc>
        <w:tc>
          <w:tcPr>
            <w:tcW w:w="1078" w:type="dxa"/>
            <w:tcBorders>
              <w:top w:val="single" w:sz="4" w:space="0" w:color="53565A" w:themeColor="accent5"/>
              <w:bottom w:val="single" w:sz="4" w:space="0" w:color="auto"/>
            </w:tcBorders>
            <w:shd w:val="clear" w:color="auto" w:fill="auto"/>
          </w:tcPr>
          <w:p w14:paraId="33F82E7D"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41" w:type="dxa"/>
            <w:tcBorders>
              <w:top w:val="single" w:sz="4" w:space="0" w:color="53565A" w:themeColor="accent5"/>
              <w:bottom w:val="single" w:sz="4" w:space="0" w:color="auto"/>
            </w:tcBorders>
            <w:shd w:val="clear" w:color="auto" w:fill="FFFFFF" w:themeFill="background1"/>
          </w:tcPr>
          <w:p w14:paraId="531C403C"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166,900</w:t>
            </w:r>
          </w:p>
        </w:tc>
        <w:tc>
          <w:tcPr>
            <w:tcW w:w="1142" w:type="dxa"/>
            <w:tcBorders>
              <w:top w:val="single" w:sz="4" w:space="0" w:color="53565A" w:themeColor="accent5"/>
              <w:bottom w:val="single" w:sz="4" w:space="0" w:color="auto"/>
            </w:tcBorders>
          </w:tcPr>
          <w:p w14:paraId="7DD9266E"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147,000</w:t>
            </w:r>
          </w:p>
        </w:tc>
        <w:tc>
          <w:tcPr>
            <w:tcW w:w="1141" w:type="dxa"/>
            <w:tcBorders>
              <w:top w:val="single" w:sz="4" w:space="0" w:color="53565A" w:themeColor="accent5"/>
              <w:bottom w:val="single" w:sz="4" w:space="0" w:color="auto"/>
            </w:tcBorders>
          </w:tcPr>
          <w:p w14:paraId="0EA45063"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131,800</w:t>
            </w:r>
          </w:p>
        </w:tc>
        <w:tc>
          <w:tcPr>
            <w:tcW w:w="1142" w:type="dxa"/>
            <w:tcBorders>
              <w:top w:val="single" w:sz="4" w:space="0" w:color="53565A" w:themeColor="accent5"/>
              <w:bottom w:val="single" w:sz="4" w:space="0" w:color="auto"/>
            </w:tcBorders>
          </w:tcPr>
          <w:p w14:paraId="50AC9458"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135,100</w:t>
            </w:r>
          </w:p>
        </w:tc>
        <w:tc>
          <w:tcPr>
            <w:tcW w:w="1142" w:type="dxa"/>
            <w:tcBorders>
              <w:top w:val="single" w:sz="4" w:space="0" w:color="53565A" w:themeColor="accent5"/>
              <w:bottom w:val="single" w:sz="4" w:space="0" w:color="auto"/>
            </w:tcBorders>
          </w:tcPr>
          <w:p w14:paraId="07C3DE85"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126,400</w:t>
            </w:r>
          </w:p>
        </w:tc>
      </w:tr>
      <w:tr w:rsidR="00CD6A4B" w:rsidRPr="005734B8" w14:paraId="2E1F20E4" w14:textId="77777777" w:rsidTr="00CD6A4B">
        <w:tc>
          <w:tcPr>
            <w:tcW w:w="2336" w:type="dxa"/>
            <w:tcBorders>
              <w:top w:val="single" w:sz="4" w:space="0" w:color="auto"/>
              <w:left w:val="nil"/>
              <w:bottom w:val="nil"/>
              <w:right w:val="nil"/>
            </w:tcBorders>
            <w:shd w:val="clear" w:color="auto" w:fill="auto"/>
          </w:tcPr>
          <w:p w14:paraId="2AFAA892" w14:textId="77777777" w:rsidR="00CD6A4B" w:rsidRPr="005734B8" w:rsidRDefault="00CD6A4B" w:rsidP="000C192E">
            <w:pPr>
              <w:pStyle w:val="ESTablebody"/>
              <w:rPr>
                <w:rFonts w:ascii="Calibri" w:hAnsi="Calibri" w:cs="Calibri"/>
                <w:sz w:val="18"/>
                <w:lang w:val="en-AU"/>
              </w:rPr>
            </w:pPr>
          </w:p>
        </w:tc>
        <w:tc>
          <w:tcPr>
            <w:tcW w:w="1078" w:type="dxa"/>
            <w:tcBorders>
              <w:top w:val="single" w:sz="4" w:space="0" w:color="auto"/>
              <w:left w:val="nil"/>
              <w:bottom w:val="nil"/>
              <w:right w:val="nil"/>
            </w:tcBorders>
            <w:shd w:val="clear" w:color="auto" w:fill="auto"/>
          </w:tcPr>
          <w:p w14:paraId="6D21A428" w14:textId="77777777" w:rsidR="00CD6A4B" w:rsidRPr="005734B8" w:rsidRDefault="00CD6A4B" w:rsidP="000C192E">
            <w:pPr>
              <w:pStyle w:val="ESTablenumberrightaligned"/>
              <w:rPr>
                <w:rFonts w:ascii="Calibri" w:hAnsi="Calibri" w:cs="Calibri"/>
                <w:sz w:val="18"/>
                <w:lang w:val="en-AU"/>
              </w:rPr>
            </w:pPr>
          </w:p>
        </w:tc>
        <w:tc>
          <w:tcPr>
            <w:tcW w:w="1141" w:type="dxa"/>
            <w:tcBorders>
              <w:top w:val="single" w:sz="4" w:space="0" w:color="auto"/>
              <w:left w:val="nil"/>
              <w:bottom w:val="nil"/>
              <w:right w:val="nil"/>
            </w:tcBorders>
            <w:shd w:val="clear" w:color="auto" w:fill="FFFFFF" w:themeFill="background1"/>
          </w:tcPr>
          <w:p w14:paraId="3EA3786F" w14:textId="77777777" w:rsidR="00CD6A4B" w:rsidRPr="005734B8" w:rsidRDefault="00CD6A4B" w:rsidP="000C192E">
            <w:pPr>
              <w:pStyle w:val="ESTablenumberrightaligned"/>
              <w:rPr>
                <w:rFonts w:ascii="Calibri" w:hAnsi="Calibri" w:cs="Calibri"/>
                <w:sz w:val="18"/>
                <w:lang w:val="en-AU"/>
              </w:rPr>
            </w:pPr>
          </w:p>
        </w:tc>
        <w:tc>
          <w:tcPr>
            <w:tcW w:w="1142" w:type="dxa"/>
            <w:tcBorders>
              <w:top w:val="single" w:sz="4" w:space="0" w:color="auto"/>
              <w:left w:val="nil"/>
              <w:bottom w:val="nil"/>
              <w:right w:val="nil"/>
            </w:tcBorders>
          </w:tcPr>
          <w:p w14:paraId="2050155D" w14:textId="77777777" w:rsidR="00CD6A4B" w:rsidRPr="005734B8" w:rsidRDefault="00CD6A4B" w:rsidP="000C192E">
            <w:pPr>
              <w:pStyle w:val="ESTablenumberrightaligned"/>
              <w:rPr>
                <w:rFonts w:ascii="Calibri" w:hAnsi="Calibri" w:cs="Calibri"/>
                <w:sz w:val="18"/>
                <w:lang w:val="en-AU"/>
              </w:rPr>
            </w:pPr>
          </w:p>
        </w:tc>
        <w:tc>
          <w:tcPr>
            <w:tcW w:w="1141" w:type="dxa"/>
            <w:tcBorders>
              <w:top w:val="single" w:sz="4" w:space="0" w:color="auto"/>
              <w:left w:val="nil"/>
              <w:bottom w:val="nil"/>
              <w:right w:val="nil"/>
            </w:tcBorders>
          </w:tcPr>
          <w:p w14:paraId="3B505EDC" w14:textId="77777777" w:rsidR="00CD6A4B" w:rsidRPr="005734B8" w:rsidRDefault="00CD6A4B" w:rsidP="000C192E">
            <w:pPr>
              <w:pStyle w:val="ESTablenumberrightaligned"/>
              <w:rPr>
                <w:rFonts w:ascii="Calibri" w:hAnsi="Calibri" w:cs="Calibri"/>
                <w:sz w:val="18"/>
              </w:rPr>
            </w:pPr>
          </w:p>
        </w:tc>
        <w:tc>
          <w:tcPr>
            <w:tcW w:w="1142" w:type="dxa"/>
            <w:tcBorders>
              <w:top w:val="single" w:sz="4" w:space="0" w:color="auto"/>
              <w:left w:val="nil"/>
              <w:bottom w:val="nil"/>
              <w:right w:val="nil"/>
            </w:tcBorders>
          </w:tcPr>
          <w:p w14:paraId="1554021B" w14:textId="77777777" w:rsidR="00CD6A4B" w:rsidRPr="005734B8" w:rsidRDefault="00CD6A4B" w:rsidP="000C192E">
            <w:pPr>
              <w:pStyle w:val="ESTablenumberrightaligned"/>
              <w:rPr>
                <w:rFonts w:ascii="Calibri" w:hAnsi="Calibri" w:cs="Calibri"/>
                <w:sz w:val="18"/>
              </w:rPr>
            </w:pPr>
          </w:p>
        </w:tc>
        <w:tc>
          <w:tcPr>
            <w:tcW w:w="1142" w:type="dxa"/>
            <w:tcBorders>
              <w:top w:val="single" w:sz="4" w:space="0" w:color="auto"/>
              <w:left w:val="nil"/>
              <w:bottom w:val="nil"/>
              <w:right w:val="nil"/>
            </w:tcBorders>
          </w:tcPr>
          <w:p w14:paraId="52E173AA" w14:textId="77777777" w:rsidR="00CD6A4B" w:rsidRPr="005734B8" w:rsidRDefault="00CD6A4B" w:rsidP="000C192E">
            <w:pPr>
              <w:pStyle w:val="ESTablenumberrightaligned"/>
              <w:rPr>
                <w:rFonts w:ascii="Calibri" w:hAnsi="Calibri" w:cs="Calibri"/>
                <w:sz w:val="18"/>
              </w:rPr>
            </w:pPr>
          </w:p>
        </w:tc>
      </w:tr>
      <w:tr w:rsidR="003C4131" w:rsidRPr="005734B8" w14:paraId="2AE0D5DD" w14:textId="77777777" w:rsidTr="00CD6A4B">
        <w:tc>
          <w:tcPr>
            <w:tcW w:w="9122" w:type="dxa"/>
            <w:gridSpan w:val="7"/>
            <w:tcBorders>
              <w:top w:val="nil"/>
              <w:bottom w:val="single" w:sz="4" w:space="0" w:color="53565A" w:themeColor="accent5"/>
            </w:tcBorders>
            <w:shd w:val="clear" w:color="auto" w:fill="D9D9D6" w:themeFill="accent6"/>
          </w:tcPr>
          <w:p w14:paraId="254A3505" w14:textId="0E147BC2" w:rsidR="003C4131" w:rsidRPr="005734B8" w:rsidRDefault="003C4131" w:rsidP="000C192E">
            <w:pPr>
              <w:pStyle w:val="ESTablebody"/>
              <w:rPr>
                <w:rFonts w:ascii="Calibri" w:hAnsi="Calibri" w:cs="Calibri"/>
                <w:b/>
                <w:sz w:val="18"/>
                <w:lang w:val="en-AU"/>
              </w:rPr>
            </w:pPr>
            <w:r w:rsidRPr="005734B8">
              <w:rPr>
                <w:rFonts w:ascii="Calibri" w:hAnsi="Calibri" w:cs="Calibri"/>
                <w:b/>
                <w:sz w:val="18"/>
                <w:lang w:val="en-AU"/>
              </w:rPr>
              <w:lastRenderedPageBreak/>
              <w:t>VET enrolments by administrative region</w:t>
            </w:r>
            <w:r w:rsidRPr="005734B8">
              <w:rPr>
                <w:rStyle w:val="FootnoteReference"/>
                <w:rFonts w:ascii="Calibri" w:hAnsi="Calibri" w:cs="Calibri"/>
                <w:b/>
                <w:sz w:val="18"/>
                <w:lang w:val="en-AU"/>
              </w:rPr>
              <w:fldChar w:fldCharType="begin"/>
            </w:r>
            <w:r w:rsidRPr="005734B8">
              <w:rPr>
                <w:rStyle w:val="FootnoteReference"/>
                <w:rFonts w:ascii="Calibri" w:hAnsi="Calibri" w:cs="Calibri"/>
                <w:b/>
                <w:sz w:val="18"/>
              </w:rPr>
              <w:instrText xml:space="preserve"> NOTEREF _Ref17882890 \h </w:instrText>
            </w:r>
            <w:r w:rsidRPr="005734B8">
              <w:rPr>
                <w:rStyle w:val="FootnoteReference"/>
                <w:rFonts w:ascii="Calibri" w:hAnsi="Calibri" w:cs="Calibri"/>
                <w:b/>
                <w:sz w:val="18"/>
                <w:lang w:val="en-AU"/>
              </w:rPr>
              <w:instrText xml:space="preserve"> \* MERGEFORMAT </w:instrText>
            </w:r>
            <w:r w:rsidRPr="005734B8">
              <w:rPr>
                <w:rStyle w:val="FootnoteReference"/>
                <w:rFonts w:ascii="Calibri" w:hAnsi="Calibri" w:cs="Calibri"/>
                <w:b/>
                <w:sz w:val="18"/>
                <w:lang w:val="en-AU"/>
              </w:rPr>
            </w:r>
            <w:r w:rsidRPr="005734B8">
              <w:rPr>
                <w:rStyle w:val="FootnoteReference"/>
                <w:rFonts w:ascii="Calibri" w:hAnsi="Calibri" w:cs="Calibri"/>
                <w:b/>
                <w:sz w:val="18"/>
                <w:lang w:val="en-AU"/>
              </w:rPr>
              <w:fldChar w:fldCharType="separate"/>
            </w:r>
            <w:r w:rsidR="00F9243B">
              <w:rPr>
                <w:rStyle w:val="FootnoteReference"/>
                <w:rFonts w:ascii="Calibri" w:hAnsi="Calibri" w:cs="Calibri"/>
                <w:b/>
                <w:sz w:val="18"/>
              </w:rPr>
              <w:t>20</w:t>
            </w:r>
            <w:r w:rsidRPr="005734B8">
              <w:rPr>
                <w:rStyle w:val="FootnoteReference"/>
                <w:rFonts w:ascii="Calibri" w:hAnsi="Calibri" w:cs="Calibri"/>
                <w:b/>
                <w:sz w:val="18"/>
                <w:lang w:val="en-AU"/>
              </w:rPr>
              <w:fldChar w:fldCharType="end"/>
            </w:r>
            <w:r w:rsidRPr="005734B8">
              <w:rPr>
                <w:rStyle w:val="FootnoteReference"/>
                <w:rFonts w:ascii="Calibri" w:hAnsi="Calibri" w:cs="Calibri"/>
                <w:b/>
                <w:sz w:val="18"/>
                <w:lang w:val="en-AU"/>
              </w:rPr>
              <w:t>0</w:t>
            </w:r>
          </w:p>
        </w:tc>
      </w:tr>
      <w:tr w:rsidR="003C4131" w:rsidRPr="005734B8" w14:paraId="2EE24642" w14:textId="77777777" w:rsidTr="00B05012">
        <w:tc>
          <w:tcPr>
            <w:tcW w:w="2336" w:type="dxa"/>
            <w:tcBorders>
              <w:top w:val="single" w:sz="4" w:space="0" w:color="53565A" w:themeColor="accent5"/>
              <w:bottom w:val="single" w:sz="4" w:space="0" w:color="53565A" w:themeColor="accent5"/>
            </w:tcBorders>
            <w:shd w:val="clear" w:color="auto" w:fill="auto"/>
          </w:tcPr>
          <w:p w14:paraId="0E79475F" w14:textId="77777777" w:rsidR="003C4131" w:rsidRPr="005734B8" w:rsidRDefault="003C4131" w:rsidP="000C192E">
            <w:pPr>
              <w:pStyle w:val="ESTablebody"/>
              <w:rPr>
                <w:rFonts w:ascii="Calibri" w:hAnsi="Calibri" w:cs="Calibri"/>
                <w:sz w:val="18"/>
                <w:lang w:val="en-AU"/>
              </w:rPr>
            </w:pPr>
            <w:r w:rsidRPr="005734B8">
              <w:rPr>
                <w:rFonts w:ascii="Calibri" w:hAnsi="Calibri" w:cs="Calibri"/>
                <w:sz w:val="18"/>
                <w:lang w:val="en-AU"/>
              </w:rPr>
              <w:t>South western</w:t>
            </w:r>
          </w:p>
        </w:tc>
        <w:tc>
          <w:tcPr>
            <w:tcW w:w="1078" w:type="dxa"/>
            <w:tcBorders>
              <w:top w:val="single" w:sz="4" w:space="0" w:color="53565A" w:themeColor="accent5"/>
              <w:bottom w:val="single" w:sz="4" w:space="0" w:color="53565A" w:themeColor="accent5"/>
            </w:tcBorders>
            <w:shd w:val="clear" w:color="auto" w:fill="auto"/>
          </w:tcPr>
          <w:p w14:paraId="5DB3B0F2"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41" w:type="dxa"/>
            <w:tcBorders>
              <w:top w:val="single" w:sz="4" w:space="0" w:color="53565A" w:themeColor="accent5"/>
              <w:bottom w:val="single" w:sz="4" w:space="0" w:color="53565A" w:themeColor="accent5"/>
            </w:tcBorders>
            <w:shd w:val="clear" w:color="auto" w:fill="FFFFFF" w:themeFill="background1"/>
            <w:vAlign w:val="center"/>
          </w:tcPr>
          <w:p w14:paraId="51981EE9"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144,300</w:t>
            </w:r>
          </w:p>
        </w:tc>
        <w:tc>
          <w:tcPr>
            <w:tcW w:w="1142" w:type="dxa"/>
            <w:tcBorders>
              <w:top w:val="single" w:sz="4" w:space="0" w:color="53565A" w:themeColor="accent5"/>
              <w:bottom w:val="single" w:sz="4" w:space="0" w:color="53565A" w:themeColor="accent5"/>
            </w:tcBorders>
            <w:vAlign w:val="center"/>
          </w:tcPr>
          <w:p w14:paraId="53E6B92B"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129,500</w:t>
            </w:r>
          </w:p>
        </w:tc>
        <w:tc>
          <w:tcPr>
            <w:tcW w:w="1141" w:type="dxa"/>
            <w:tcBorders>
              <w:top w:val="single" w:sz="4" w:space="0" w:color="53565A" w:themeColor="accent5"/>
              <w:bottom w:val="single" w:sz="4" w:space="0" w:color="53565A" w:themeColor="accent5"/>
            </w:tcBorders>
            <w:vAlign w:val="center"/>
          </w:tcPr>
          <w:p w14:paraId="555A8F5F"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114,000</w:t>
            </w:r>
          </w:p>
        </w:tc>
        <w:tc>
          <w:tcPr>
            <w:tcW w:w="1142" w:type="dxa"/>
            <w:tcBorders>
              <w:top w:val="single" w:sz="4" w:space="0" w:color="53565A" w:themeColor="accent5"/>
              <w:bottom w:val="single" w:sz="4" w:space="0" w:color="53565A" w:themeColor="accent5"/>
            </w:tcBorders>
            <w:vAlign w:val="center"/>
          </w:tcPr>
          <w:p w14:paraId="0E3B06CE"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118,200</w:t>
            </w:r>
          </w:p>
        </w:tc>
        <w:tc>
          <w:tcPr>
            <w:tcW w:w="1142" w:type="dxa"/>
            <w:tcBorders>
              <w:top w:val="single" w:sz="4" w:space="0" w:color="53565A" w:themeColor="accent5"/>
              <w:bottom w:val="single" w:sz="4" w:space="0" w:color="53565A" w:themeColor="accent5"/>
            </w:tcBorders>
            <w:vAlign w:val="center"/>
          </w:tcPr>
          <w:p w14:paraId="0980D7C5"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110,200</w:t>
            </w:r>
          </w:p>
        </w:tc>
      </w:tr>
      <w:tr w:rsidR="003C4131" w:rsidRPr="005734B8" w14:paraId="6EA50CBE" w14:textId="77777777" w:rsidTr="00B05012">
        <w:tc>
          <w:tcPr>
            <w:tcW w:w="2336" w:type="dxa"/>
            <w:tcBorders>
              <w:top w:val="single" w:sz="4" w:space="0" w:color="53565A" w:themeColor="accent5"/>
              <w:bottom w:val="single" w:sz="4" w:space="0" w:color="53565A" w:themeColor="accent5"/>
            </w:tcBorders>
            <w:shd w:val="clear" w:color="auto" w:fill="auto"/>
          </w:tcPr>
          <w:p w14:paraId="39AE1377" w14:textId="77777777" w:rsidR="003C4131" w:rsidRPr="005734B8" w:rsidRDefault="003C4131" w:rsidP="000C192E">
            <w:pPr>
              <w:pStyle w:val="ESTablebody"/>
              <w:rPr>
                <w:rFonts w:ascii="Calibri" w:hAnsi="Calibri" w:cs="Calibri"/>
                <w:sz w:val="18"/>
                <w:lang w:val="en-AU"/>
              </w:rPr>
            </w:pPr>
            <w:r w:rsidRPr="005734B8">
              <w:rPr>
                <w:rFonts w:ascii="Calibri" w:hAnsi="Calibri" w:cs="Calibri"/>
                <w:sz w:val="18"/>
                <w:lang w:val="en-AU"/>
              </w:rPr>
              <w:t>North western</w:t>
            </w:r>
          </w:p>
        </w:tc>
        <w:tc>
          <w:tcPr>
            <w:tcW w:w="1078" w:type="dxa"/>
            <w:tcBorders>
              <w:top w:val="single" w:sz="4" w:space="0" w:color="53565A" w:themeColor="accent5"/>
              <w:bottom w:val="single" w:sz="4" w:space="0" w:color="53565A" w:themeColor="accent5"/>
            </w:tcBorders>
            <w:shd w:val="clear" w:color="auto" w:fill="auto"/>
          </w:tcPr>
          <w:p w14:paraId="662D8CA0"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41" w:type="dxa"/>
            <w:tcBorders>
              <w:top w:val="single" w:sz="4" w:space="0" w:color="53565A" w:themeColor="accent5"/>
              <w:bottom w:val="single" w:sz="4" w:space="0" w:color="53565A" w:themeColor="accent5"/>
            </w:tcBorders>
            <w:shd w:val="clear" w:color="auto" w:fill="FFFFFF" w:themeFill="background1"/>
            <w:vAlign w:val="center"/>
          </w:tcPr>
          <w:p w14:paraId="7C78D281"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82,600</w:t>
            </w:r>
          </w:p>
        </w:tc>
        <w:tc>
          <w:tcPr>
            <w:tcW w:w="1142" w:type="dxa"/>
            <w:tcBorders>
              <w:top w:val="single" w:sz="4" w:space="0" w:color="53565A" w:themeColor="accent5"/>
              <w:bottom w:val="single" w:sz="4" w:space="0" w:color="53565A" w:themeColor="accent5"/>
            </w:tcBorders>
            <w:vAlign w:val="center"/>
          </w:tcPr>
          <w:p w14:paraId="42308CC9"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76,300</w:t>
            </w:r>
          </w:p>
        </w:tc>
        <w:tc>
          <w:tcPr>
            <w:tcW w:w="1141" w:type="dxa"/>
            <w:tcBorders>
              <w:top w:val="single" w:sz="4" w:space="0" w:color="53565A" w:themeColor="accent5"/>
              <w:bottom w:val="single" w:sz="4" w:space="0" w:color="53565A" w:themeColor="accent5"/>
            </w:tcBorders>
            <w:vAlign w:val="center"/>
          </w:tcPr>
          <w:p w14:paraId="5B95C07A"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72,700</w:t>
            </w:r>
          </w:p>
        </w:tc>
        <w:tc>
          <w:tcPr>
            <w:tcW w:w="1142" w:type="dxa"/>
            <w:tcBorders>
              <w:top w:val="single" w:sz="4" w:space="0" w:color="53565A" w:themeColor="accent5"/>
              <w:bottom w:val="single" w:sz="4" w:space="0" w:color="53565A" w:themeColor="accent5"/>
            </w:tcBorders>
            <w:vAlign w:val="center"/>
          </w:tcPr>
          <w:p w14:paraId="1B05F0C6"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71,500</w:t>
            </w:r>
          </w:p>
        </w:tc>
        <w:tc>
          <w:tcPr>
            <w:tcW w:w="1142" w:type="dxa"/>
            <w:tcBorders>
              <w:top w:val="single" w:sz="4" w:space="0" w:color="53565A" w:themeColor="accent5"/>
              <w:bottom w:val="single" w:sz="4" w:space="0" w:color="53565A" w:themeColor="accent5"/>
            </w:tcBorders>
            <w:vAlign w:val="center"/>
          </w:tcPr>
          <w:p w14:paraId="4DF29759"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61,500</w:t>
            </w:r>
          </w:p>
        </w:tc>
      </w:tr>
      <w:tr w:rsidR="003C4131" w:rsidRPr="005734B8" w14:paraId="67D63F19" w14:textId="77777777" w:rsidTr="00B05012">
        <w:tc>
          <w:tcPr>
            <w:tcW w:w="2336" w:type="dxa"/>
            <w:tcBorders>
              <w:top w:val="single" w:sz="4" w:space="0" w:color="53565A" w:themeColor="accent5"/>
              <w:bottom w:val="single" w:sz="4" w:space="0" w:color="53565A" w:themeColor="accent5"/>
            </w:tcBorders>
            <w:shd w:val="clear" w:color="auto" w:fill="auto"/>
          </w:tcPr>
          <w:p w14:paraId="4CE6C5F1" w14:textId="77777777" w:rsidR="003C4131" w:rsidRPr="005734B8" w:rsidRDefault="003C4131" w:rsidP="000C192E">
            <w:pPr>
              <w:pStyle w:val="ESTablebody"/>
              <w:rPr>
                <w:rFonts w:ascii="Calibri" w:hAnsi="Calibri" w:cs="Calibri"/>
                <w:sz w:val="18"/>
                <w:lang w:val="en-AU"/>
              </w:rPr>
            </w:pPr>
            <w:r w:rsidRPr="005734B8">
              <w:rPr>
                <w:rFonts w:ascii="Calibri" w:hAnsi="Calibri" w:cs="Calibri"/>
                <w:sz w:val="18"/>
                <w:lang w:val="en-AU"/>
              </w:rPr>
              <w:t>North eastern</w:t>
            </w:r>
          </w:p>
        </w:tc>
        <w:tc>
          <w:tcPr>
            <w:tcW w:w="1078" w:type="dxa"/>
            <w:tcBorders>
              <w:top w:val="single" w:sz="4" w:space="0" w:color="53565A" w:themeColor="accent5"/>
              <w:bottom w:val="single" w:sz="4" w:space="0" w:color="53565A" w:themeColor="accent5"/>
            </w:tcBorders>
            <w:shd w:val="clear" w:color="auto" w:fill="auto"/>
          </w:tcPr>
          <w:p w14:paraId="4C447E33"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41" w:type="dxa"/>
            <w:tcBorders>
              <w:top w:val="single" w:sz="4" w:space="0" w:color="53565A" w:themeColor="accent5"/>
              <w:bottom w:val="single" w:sz="4" w:space="0" w:color="53565A" w:themeColor="accent5"/>
            </w:tcBorders>
            <w:shd w:val="clear" w:color="auto" w:fill="FFFFFF" w:themeFill="background1"/>
            <w:vAlign w:val="center"/>
          </w:tcPr>
          <w:p w14:paraId="7AAA4796"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64,700</w:t>
            </w:r>
          </w:p>
        </w:tc>
        <w:tc>
          <w:tcPr>
            <w:tcW w:w="1142" w:type="dxa"/>
            <w:tcBorders>
              <w:top w:val="single" w:sz="4" w:space="0" w:color="53565A" w:themeColor="accent5"/>
              <w:bottom w:val="single" w:sz="4" w:space="0" w:color="53565A" w:themeColor="accent5"/>
            </w:tcBorders>
            <w:vAlign w:val="center"/>
          </w:tcPr>
          <w:p w14:paraId="71893642"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60,600</w:t>
            </w:r>
          </w:p>
        </w:tc>
        <w:tc>
          <w:tcPr>
            <w:tcW w:w="1141" w:type="dxa"/>
            <w:tcBorders>
              <w:top w:val="single" w:sz="4" w:space="0" w:color="53565A" w:themeColor="accent5"/>
              <w:bottom w:val="single" w:sz="4" w:space="0" w:color="53565A" w:themeColor="accent5"/>
            </w:tcBorders>
            <w:vAlign w:val="center"/>
          </w:tcPr>
          <w:p w14:paraId="37F36A0E"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55,700</w:t>
            </w:r>
          </w:p>
        </w:tc>
        <w:tc>
          <w:tcPr>
            <w:tcW w:w="1142" w:type="dxa"/>
            <w:tcBorders>
              <w:top w:val="single" w:sz="4" w:space="0" w:color="53565A" w:themeColor="accent5"/>
              <w:bottom w:val="single" w:sz="4" w:space="0" w:color="53565A" w:themeColor="accent5"/>
            </w:tcBorders>
            <w:vAlign w:val="center"/>
          </w:tcPr>
          <w:p w14:paraId="10385A1B"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58,600</w:t>
            </w:r>
          </w:p>
        </w:tc>
        <w:tc>
          <w:tcPr>
            <w:tcW w:w="1142" w:type="dxa"/>
            <w:tcBorders>
              <w:top w:val="single" w:sz="4" w:space="0" w:color="53565A" w:themeColor="accent5"/>
              <w:bottom w:val="single" w:sz="4" w:space="0" w:color="53565A" w:themeColor="accent5"/>
            </w:tcBorders>
            <w:vAlign w:val="center"/>
          </w:tcPr>
          <w:p w14:paraId="5CE56811"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52,500</w:t>
            </w:r>
          </w:p>
        </w:tc>
      </w:tr>
      <w:tr w:rsidR="003C4131" w:rsidRPr="005734B8" w14:paraId="20B1BED9" w14:textId="77777777" w:rsidTr="00B05012">
        <w:tc>
          <w:tcPr>
            <w:tcW w:w="2336" w:type="dxa"/>
            <w:tcBorders>
              <w:top w:val="single" w:sz="4" w:space="0" w:color="53565A" w:themeColor="accent5"/>
              <w:bottom w:val="single" w:sz="4" w:space="0" w:color="53565A" w:themeColor="accent5"/>
            </w:tcBorders>
            <w:shd w:val="clear" w:color="auto" w:fill="auto"/>
          </w:tcPr>
          <w:p w14:paraId="213F83A4" w14:textId="77777777" w:rsidR="003C4131" w:rsidRPr="005734B8" w:rsidRDefault="003C4131" w:rsidP="000C192E">
            <w:pPr>
              <w:pStyle w:val="ESTablebody"/>
              <w:rPr>
                <w:rFonts w:ascii="Calibri" w:hAnsi="Calibri" w:cs="Calibri"/>
                <w:sz w:val="18"/>
                <w:lang w:val="en-AU"/>
              </w:rPr>
            </w:pPr>
            <w:r w:rsidRPr="005734B8">
              <w:rPr>
                <w:rFonts w:ascii="Calibri" w:hAnsi="Calibri" w:cs="Calibri"/>
                <w:sz w:val="18"/>
                <w:lang w:val="en-AU"/>
              </w:rPr>
              <w:t>South eastern</w:t>
            </w:r>
          </w:p>
        </w:tc>
        <w:tc>
          <w:tcPr>
            <w:tcW w:w="1078" w:type="dxa"/>
            <w:tcBorders>
              <w:top w:val="single" w:sz="4" w:space="0" w:color="53565A" w:themeColor="accent5"/>
              <w:bottom w:val="single" w:sz="4" w:space="0" w:color="53565A" w:themeColor="accent5"/>
            </w:tcBorders>
            <w:shd w:val="clear" w:color="auto" w:fill="auto"/>
          </w:tcPr>
          <w:p w14:paraId="1CA9F117"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41" w:type="dxa"/>
            <w:tcBorders>
              <w:top w:val="single" w:sz="4" w:space="0" w:color="53565A" w:themeColor="accent5"/>
              <w:bottom w:val="single" w:sz="4" w:space="0" w:color="53565A" w:themeColor="accent5"/>
            </w:tcBorders>
            <w:shd w:val="clear" w:color="auto" w:fill="FFFFFF" w:themeFill="background1"/>
            <w:vAlign w:val="center"/>
          </w:tcPr>
          <w:p w14:paraId="3E92AFE9"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92,500</w:t>
            </w:r>
          </w:p>
        </w:tc>
        <w:tc>
          <w:tcPr>
            <w:tcW w:w="1142" w:type="dxa"/>
            <w:tcBorders>
              <w:top w:val="single" w:sz="4" w:space="0" w:color="53565A" w:themeColor="accent5"/>
              <w:bottom w:val="single" w:sz="4" w:space="0" w:color="53565A" w:themeColor="accent5"/>
            </w:tcBorders>
            <w:vAlign w:val="center"/>
          </w:tcPr>
          <w:p w14:paraId="1C734C19"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81,300</w:t>
            </w:r>
          </w:p>
        </w:tc>
        <w:tc>
          <w:tcPr>
            <w:tcW w:w="1141" w:type="dxa"/>
            <w:tcBorders>
              <w:top w:val="single" w:sz="4" w:space="0" w:color="53565A" w:themeColor="accent5"/>
              <w:bottom w:val="single" w:sz="4" w:space="0" w:color="53565A" w:themeColor="accent5"/>
            </w:tcBorders>
            <w:vAlign w:val="center"/>
          </w:tcPr>
          <w:p w14:paraId="0E3B1561"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73,500</w:t>
            </w:r>
          </w:p>
        </w:tc>
        <w:tc>
          <w:tcPr>
            <w:tcW w:w="1142" w:type="dxa"/>
            <w:tcBorders>
              <w:top w:val="single" w:sz="4" w:space="0" w:color="53565A" w:themeColor="accent5"/>
              <w:bottom w:val="single" w:sz="4" w:space="0" w:color="53565A" w:themeColor="accent5"/>
            </w:tcBorders>
            <w:vAlign w:val="center"/>
          </w:tcPr>
          <w:p w14:paraId="0BAFE9DB"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81,000</w:t>
            </w:r>
          </w:p>
        </w:tc>
        <w:tc>
          <w:tcPr>
            <w:tcW w:w="1142" w:type="dxa"/>
            <w:tcBorders>
              <w:top w:val="single" w:sz="4" w:space="0" w:color="53565A" w:themeColor="accent5"/>
              <w:bottom w:val="single" w:sz="4" w:space="0" w:color="53565A" w:themeColor="accent5"/>
            </w:tcBorders>
            <w:vAlign w:val="center"/>
          </w:tcPr>
          <w:p w14:paraId="76AB3233" w14:textId="77777777" w:rsidR="003C4131" w:rsidRPr="005734B8" w:rsidRDefault="003C4131" w:rsidP="000C192E">
            <w:pPr>
              <w:pStyle w:val="ESTablenumberrightaligned"/>
              <w:rPr>
                <w:rFonts w:ascii="Calibri" w:hAnsi="Calibri" w:cs="Calibri"/>
                <w:sz w:val="18"/>
              </w:rPr>
            </w:pPr>
            <w:r w:rsidRPr="005734B8">
              <w:rPr>
                <w:rFonts w:ascii="Calibri" w:hAnsi="Calibri" w:cs="Calibri"/>
                <w:sz w:val="18"/>
              </w:rPr>
              <w:t>74,100</w:t>
            </w:r>
          </w:p>
        </w:tc>
      </w:tr>
      <w:tr w:rsidR="003C4131" w:rsidRPr="005734B8" w14:paraId="59481BBF" w14:textId="77777777" w:rsidTr="00441036">
        <w:tc>
          <w:tcPr>
            <w:tcW w:w="9122" w:type="dxa"/>
            <w:gridSpan w:val="7"/>
            <w:tcBorders>
              <w:top w:val="single" w:sz="4" w:space="0" w:color="53565A" w:themeColor="accent5"/>
              <w:bottom w:val="single" w:sz="4" w:space="0" w:color="53565A" w:themeColor="accent5"/>
            </w:tcBorders>
            <w:shd w:val="clear" w:color="auto" w:fill="D9D9D6"/>
          </w:tcPr>
          <w:p w14:paraId="5DF34919" w14:textId="77777777" w:rsidR="003C4131" w:rsidRPr="005734B8" w:rsidRDefault="003C4131" w:rsidP="000C192E">
            <w:pPr>
              <w:pStyle w:val="ESTablebody"/>
              <w:rPr>
                <w:rFonts w:ascii="Calibri" w:hAnsi="Calibri" w:cs="Calibri"/>
                <w:b/>
                <w:sz w:val="18"/>
                <w:lang w:val="en-AU"/>
              </w:rPr>
            </w:pPr>
            <w:r w:rsidRPr="005734B8">
              <w:rPr>
                <w:rFonts w:ascii="Calibri" w:hAnsi="Calibri" w:cs="Calibri"/>
                <w:b/>
                <w:sz w:val="18"/>
                <w:lang w:val="en-AU"/>
              </w:rPr>
              <w:t>VET enrolments by skills shortage category courses</w:t>
            </w:r>
          </w:p>
        </w:tc>
      </w:tr>
      <w:tr w:rsidR="003C4131" w:rsidRPr="005734B8" w14:paraId="262AADB6" w14:textId="77777777" w:rsidTr="00B05012">
        <w:tc>
          <w:tcPr>
            <w:tcW w:w="2336" w:type="dxa"/>
            <w:tcBorders>
              <w:top w:val="single" w:sz="4" w:space="0" w:color="53565A" w:themeColor="accent5"/>
              <w:bottom w:val="single" w:sz="4" w:space="0" w:color="53565A" w:themeColor="accent5"/>
            </w:tcBorders>
            <w:shd w:val="clear" w:color="auto" w:fill="auto"/>
          </w:tcPr>
          <w:p w14:paraId="3E5D5C28" w14:textId="77777777" w:rsidR="003C4131" w:rsidRPr="005734B8" w:rsidRDefault="003C4131" w:rsidP="000C192E">
            <w:pPr>
              <w:pStyle w:val="ESTablebody"/>
              <w:rPr>
                <w:rFonts w:ascii="Calibri" w:hAnsi="Calibri" w:cs="Calibri"/>
                <w:sz w:val="18"/>
                <w:lang w:val="en-AU"/>
              </w:rPr>
            </w:pPr>
            <w:r w:rsidRPr="005734B8">
              <w:rPr>
                <w:rFonts w:ascii="Calibri" w:hAnsi="Calibri" w:cs="Calibri"/>
                <w:sz w:val="18"/>
                <w:lang w:val="en-AU"/>
              </w:rPr>
              <w:t>Government-subsidised enrolments in skill demand occupations</w:t>
            </w:r>
          </w:p>
        </w:tc>
        <w:tc>
          <w:tcPr>
            <w:tcW w:w="1078" w:type="dxa"/>
            <w:tcBorders>
              <w:top w:val="single" w:sz="4" w:space="0" w:color="53565A" w:themeColor="accent5"/>
              <w:bottom w:val="single" w:sz="4" w:space="0" w:color="53565A" w:themeColor="accent5"/>
            </w:tcBorders>
            <w:shd w:val="clear" w:color="auto" w:fill="auto"/>
          </w:tcPr>
          <w:p w14:paraId="1EA54858"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41" w:type="dxa"/>
            <w:tcBorders>
              <w:top w:val="single" w:sz="4" w:space="0" w:color="53565A" w:themeColor="accent5"/>
              <w:bottom w:val="single" w:sz="4" w:space="0" w:color="53565A" w:themeColor="accent5"/>
            </w:tcBorders>
            <w:shd w:val="clear" w:color="auto" w:fill="FFFFFF" w:themeFill="background1"/>
          </w:tcPr>
          <w:p w14:paraId="45D51B54"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124,800</w:t>
            </w:r>
          </w:p>
        </w:tc>
        <w:tc>
          <w:tcPr>
            <w:tcW w:w="1142" w:type="dxa"/>
            <w:tcBorders>
              <w:top w:val="single" w:sz="4" w:space="0" w:color="53565A" w:themeColor="accent5"/>
              <w:bottom w:val="single" w:sz="4" w:space="0" w:color="53565A" w:themeColor="accent5"/>
            </w:tcBorders>
          </w:tcPr>
          <w:p w14:paraId="1B864AAC"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lang w:val="en-AU"/>
              </w:rPr>
              <w:t>111,500</w:t>
            </w:r>
          </w:p>
        </w:tc>
        <w:tc>
          <w:tcPr>
            <w:tcW w:w="1141" w:type="dxa"/>
            <w:tcBorders>
              <w:top w:val="single" w:sz="4" w:space="0" w:color="53565A" w:themeColor="accent5"/>
              <w:bottom w:val="single" w:sz="4" w:space="0" w:color="53565A" w:themeColor="accent5"/>
            </w:tcBorders>
          </w:tcPr>
          <w:p w14:paraId="09EB6435"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99,900</w:t>
            </w:r>
          </w:p>
        </w:tc>
        <w:tc>
          <w:tcPr>
            <w:tcW w:w="1142" w:type="dxa"/>
            <w:tcBorders>
              <w:top w:val="single" w:sz="4" w:space="0" w:color="53565A" w:themeColor="accent5"/>
              <w:bottom w:val="single" w:sz="4" w:space="0" w:color="53565A" w:themeColor="accent5"/>
            </w:tcBorders>
          </w:tcPr>
          <w:p w14:paraId="266FEFD1" w14:textId="77777777" w:rsidR="003C4131" w:rsidRPr="005734B8" w:rsidRDefault="003C4131" w:rsidP="000C192E">
            <w:pPr>
              <w:pStyle w:val="ESTablenumberrightaligned"/>
              <w:rPr>
                <w:rFonts w:ascii="Calibri" w:hAnsi="Calibri" w:cs="Calibri"/>
                <w:sz w:val="18"/>
                <w:lang w:val="en-AU"/>
              </w:rPr>
            </w:pPr>
            <w:r w:rsidRPr="005734B8">
              <w:rPr>
                <w:rFonts w:ascii="Calibri" w:hAnsi="Calibri" w:cs="Calibri"/>
                <w:sz w:val="18"/>
              </w:rPr>
              <w:t>104,900</w:t>
            </w:r>
          </w:p>
        </w:tc>
        <w:tc>
          <w:tcPr>
            <w:tcW w:w="1142" w:type="dxa"/>
            <w:tcBorders>
              <w:top w:val="single" w:sz="4" w:space="0" w:color="53565A" w:themeColor="accent5"/>
              <w:bottom w:val="single" w:sz="4" w:space="0" w:color="53565A" w:themeColor="accent5"/>
            </w:tcBorders>
          </w:tcPr>
          <w:p w14:paraId="2F4FDEFF" w14:textId="42DC8B82" w:rsidR="003C4131" w:rsidRPr="005734B8" w:rsidRDefault="003C4131" w:rsidP="000C192E">
            <w:pPr>
              <w:pStyle w:val="ESTablenumberrightaligned"/>
              <w:rPr>
                <w:rFonts w:ascii="Calibri" w:hAnsi="Calibri" w:cs="Calibri"/>
                <w:sz w:val="18"/>
              </w:rPr>
            </w:pPr>
            <w:bookmarkStart w:id="142" w:name="_Ref74074901"/>
            <w:r w:rsidRPr="005734B8">
              <w:rPr>
                <w:rFonts w:ascii="Calibri" w:hAnsi="Calibri" w:cs="Calibri"/>
                <w:sz w:val="18"/>
              </w:rPr>
              <w:t>106,900</w:t>
            </w:r>
            <w:bookmarkEnd w:id="142"/>
            <w:r w:rsidRPr="005734B8">
              <w:rPr>
                <w:rFonts w:ascii="Calibri" w:hAnsi="Calibri" w:cs="Calibri"/>
                <w:sz w:val="18"/>
                <w:vertAlign w:val="superscript"/>
              </w:rPr>
              <w:fldChar w:fldCharType="begin"/>
            </w:r>
            <w:r w:rsidRPr="005734B8">
              <w:rPr>
                <w:rFonts w:ascii="Calibri" w:hAnsi="Calibri" w:cs="Calibri"/>
                <w:sz w:val="18"/>
                <w:vertAlign w:val="superscript"/>
              </w:rPr>
              <w:instrText xml:space="preserve"> NOTEREF _Ref17882890 \h  \* MERGEFORMAT </w:instrText>
            </w:r>
            <w:r w:rsidRPr="005734B8">
              <w:rPr>
                <w:rFonts w:ascii="Calibri" w:hAnsi="Calibri" w:cs="Calibri"/>
                <w:sz w:val="18"/>
                <w:vertAlign w:val="superscript"/>
              </w:rPr>
            </w:r>
            <w:r w:rsidRPr="005734B8">
              <w:rPr>
                <w:rFonts w:ascii="Calibri" w:hAnsi="Calibri" w:cs="Calibri"/>
                <w:sz w:val="18"/>
                <w:vertAlign w:val="superscript"/>
              </w:rPr>
              <w:fldChar w:fldCharType="separate"/>
            </w:r>
            <w:r w:rsidR="00F9243B">
              <w:rPr>
                <w:rFonts w:ascii="Calibri" w:hAnsi="Calibri" w:cs="Calibri"/>
                <w:sz w:val="18"/>
                <w:vertAlign w:val="superscript"/>
              </w:rPr>
              <w:t>20</w:t>
            </w:r>
            <w:r w:rsidRPr="005734B8">
              <w:rPr>
                <w:rFonts w:ascii="Calibri" w:hAnsi="Calibri" w:cs="Calibri"/>
                <w:sz w:val="18"/>
                <w:vertAlign w:val="superscript"/>
              </w:rPr>
              <w:fldChar w:fldCharType="end"/>
            </w:r>
            <w:r w:rsidR="00044F4A" w:rsidRPr="005734B8">
              <w:rPr>
                <w:rFonts w:ascii="Calibri" w:hAnsi="Calibri" w:cs="Calibri"/>
                <w:sz w:val="18"/>
                <w:vertAlign w:val="superscript"/>
              </w:rPr>
              <w:t>0</w:t>
            </w:r>
          </w:p>
        </w:tc>
      </w:tr>
      <w:tr w:rsidR="00441036" w:rsidRPr="005734B8" w14:paraId="046030BF" w14:textId="77777777" w:rsidTr="00441036">
        <w:tc>
          <w:tcPr>
            <w:tcW w:w="9122" w:type="dxa"/>
            <w:gridSpan w:val="7"/>
            <w:tcBorders>
              <w:top w:val="single" w:sz="4" w:space="0" w:color="53565A" w:themeColor="accent5"/>
              <w:bottom w:val="single" w:sz="4" w:space="0" w:color="53565A" w:themeColor="accent5"/>
            </w:tcBorders>
            <w:shd w:val="clear" w:color="auto" w:fill="D9D9D6"/>
          </w:tcPr>
          <w:p w14:paraId="6756B4BA" w14:textId="378828AF" w:rsidR="00441036" w:rsidRPr="005734B8" w:rsidRDefault="00441036" w:rsidP="00441036">
            <w:pPr>
              <w:pStyle w:val="ESTablebody"/>
              <w:rPr>
                <w:rFonts w:ascii="Calibri" w:hAnsi="Calibri" w:cs="Calibri"/>
                <w:b/>
                <w:sz w:val="18"/>
                <w:lang w:val="en-AU"/>
              </w:rPr>
            </w:pPr>
            <w:r w:rsidRPr="005734B8">
              <w:rPr>
                <w:rFonts w:ascii="Calibri" w:hAnsi="Calibri" w:cs="Calibri"/>
                <w:b/>
                <w:sz w:val="18"/>
                <w:lang w:val="en-AU"/>
              </w:rPr>
              <w:t>VET enrolments by specialised category courses</w:t>
            </w:r>
          </w:p>
        </w:tc>
      </w:tr>
      <w:tr w:rsidR="00441036" w:rsidRPr="005734B8" w14:paraId="54F54131" w14:textId="77777777" w:rsidTr="00B05012">
        <w:tc>
          <w:tcPr>
            <w:tcW w:w="2336" w:type="dxa"/>
            <w:tcBorders>
              <w:top w:val="single" w:sz="4" w:space="0" w:color="53565A" w:themeColor="accent5"/>
              <w:bottom w:val="single" w:sz="4" w:space="0" w:color="53565A" w:themeColor="accent5"/>
            </w:tcBorders>
            <w:shd w:val="clear" w:color="auto" w:fill="auto"/>
          </w:tcPr>
          <w:p w14:paraId="1444A4A1" w14:textId="5854544B" w:rsidR="00441036" w:rsidRPr="005734B8" w:rsidRDefault="00441036" w:rsidP="00441036">
            <w:pPr>
              <w:pStyle w:val="ESTablebody"/>
              <w:rPr>
                <w:rFonts w:ascii="Calibri" w:hAnsi="Calibri" w:cs="Calibri"/>
                <w:sz w:val="18"/>
                <w:lang w:val="en-AU"/>
              </w:rPr>
            </w:pPr>
            <w:r w:rsidRPr="005734B8">
              <w:rPr>
                <w:rFonts w:ascii="Calibri" w:hAnsi="Calibri" w:cs="Calibri"/>
                <w:sz w:val="18"/>
                <w:lang w:val="en-AU"/>
              </w:rPr>
              <w:t>Government-subsidised enrolments in specialist occupations</w:t>
            </w:r>
          </w:p>
        </w:tc>
        <w:tc>
          <w:tcPr>
            <w:tcW w:w="1078" w:type="dxa"/>
            <w:tcBorders>
              <w:top w:val="single" w:sz="4" w:space="0" w:color="53565A" w:themeColor="accent5"/>
              <w:bottom w:val="single" w:sz="4" w:space="0" w:color="53565A" w:themeColor="accent5"/>
            </w:tcBorders>
            <w:shd w:val="clear" w:color="auto" w:fill="auto"/>
          </w:tcPr>
          <w:p w14:paraId="286C7860" w14:textId="3632B144" w:rsidR="00441036" w:rsidRPr="005734B8" w:rsidRDefault="00441036" w:rsidP="00441036">
            <w:pPr>
              <w:pStyle w:val="ESTablenumberrightaligned"/>
              <w:rPr>
                <w:rFonts w:ascii="Calibri" w:hAnsi="Calibri" w:cs="Calibri"/>
                <w:sz w:val="18"/>
                <w:lang w:val="en-AU"/>
              </w:rPr>
            </w:pPr>
            <w:r w:rsidRPr="005734B8">
              <w:rPr>
                <w:rFonts w:ascii="Calibri" w:hAnsi="Calibri" w:cs="Calibri"/>
                <w:sz w:val="18"/>
                <w:lang w:val="en-AU"/>
              </w:rPr>
              <w:t>number</w:t>
            </w:r>
          </w:p>
        </w:tc>
        <w:tc>
          <w:tcPr>
            <w:tcW w:w="1141" w:type="dxa"/>
            <w:tcBorders>
              <w:top w:val="single" w:sz="4" w:space="0" w:color="53565A" w:themeColor="accent5"/>
              <w:bottom w:val="single" w:sz="4" w:space="0" w:color="53565A" w:themeColor="accent5"/>
            </w:tcBorders>
            <w:shd w:val="clear" w:color="auto" w:fill="FFFFFF" w:themeFill="background1"/>
          </w:tcPr>
          <w:p w14:paraId="6452C414" w14:textId="51C74662" w:rsidR="00441036" w:rsidRPr="005734B8" w:rsidRDefault="00441036" w:rsidP="00441036">
            <w:pPr>
              <w:pStyle w:val="ESTablenumberrightaligned"/>
              <w:rPr>
                <w:rFonts w:ascii="Calibri" w:hAnsi="Calibri" w:cs="Calibri"/>
                <w:sz w:val="18"/>
                <w:lang w:val="en-AU"/>
              </w:rPr>
            </w:pPr>
            <w:r w:rsidRPr="005734B8">
              <w:rPr>
                <w:rFonts w:ascii="Calibri" w:hAnsi="Calibri" w:cs="Calibri"/>
                <w:sz w:val="18"/>
                <w:lang w:val="en-AU"/>
              </w:rPr>
              <w:t>74,400</w:t>
            </w:r>
          </w:p>
        </w:tc>
        <w:tc>
          <w:tcPr>
            <w:tcW w:w="1142" w:type="dxa"/>
            <w:tcBorders>
              <w:top w:val="single" w:sz="4" w:space="0" w:color="53565A" w:themeColor="accent5"/>
              <w:bottom w:val="single" w:sz="4" w:space="0" w:color="53565A" w:themeColor="accent5"/>
            </w:tcBorders>
          </w:tcPr>
          <w:p w14:paraId="56391EDD" w14:textId="64E3FEC8" w:rsidR="00441036" w:rsidRPr="005734B8" w:rsidRDefault="00441036" w:rsidP="00441036">
            <w:pPr>
              <w:pStyle w:val="ESTablenumberrightaligned"/>
              <w:rPr>
                <w:rFonts w:ascii="Calibri" w:hAnsi="Calibri" w:cs="Calibri"/>
                <w:sz w:val="18"/>
                <w:lang w:val="en-AU"/>
              </w:rPr>
            </w:pPr>
            <w:r w:rsidRPr="005734B8">
              <w:rPr>
                <w:rFonts w:ascii="Calibri" w:hAnsi="Calibri" w:cs="Calibri"/>
                <w:sz w:val="18"/>
                <w:lang w:val="en-AU"/>
              </w:rPr>
              <w:t>69,800</w:t>
            </w:r>
          </w:p>
        </w:tc>
        <w:tc>
          <w:tcPr>
            <w:tcW w:w="1141" w:type="dxa"/>
            <w:tcBorders>
              <w:top w:val="single" w:sz="4" w:space="0" w:color="53565A" w:themeColor="accent5"/>
              <w:bottom w:val="single" w:sz="4" w:space="0" w:color="53565A" w:themeColor="accent5"/>
            </w:tcBorders>
          </w:tcPr>
          <w:p w14:paraId="6861D7D4" w14:textId="19B22F0D" w:rsidR="00441036" w:rsidRPr="005734B8" w:rsidRDefault="00441036" w:rsidP="00441036">
            <w:pPr>
              <w:pStyle w:val="ESTablenumberrightaligned"/>
              <w:rPr>
                <w:rFonts w:ascii="Calibri" w:hAnsi="Calibri" w:cs="Calibri"/>
                <w:sz w:val="18"/>
              </w:rPr>
            </w:pPr>
            <w:r w:rsidRPr="005734B8">
              <w:rPr>
                <w:rFonts w:ascii="Calibri" w:hAnsi="Calibri" w:cs="Calibri"/>
                <w:sz w:val="18"/>
              </w:rPr>
              <w:t>68,400</w:t>
            </w:r>
          </w:p>
        </w:tc>
        <w:tc>
          <w:tcPr>
            <w:tcW w:w="1142" w:type="dxa"/>
            <w:tcBorders>
              <w:top w:val="single" w:sz="4" w:space="0" w:color="53565A" w:themeColor="accent5"/>
              <w:bottom w:val="single" w:sz="4" w:space="0" w:color="53565A" w:themeColor="accent5"/>
            </w:tcBorders>
          </w:tcPr>
          <w:p w14:paraId="0CA1CE2A" w14:textId="63C3CAE1" w:rsidR="00441036" w:rsidRPr="005734B8" w:rsidRDefault="00441036" w:rsidP="00441036">
            <w:pPr>
              <w:pStyle w:val="ESTablenumberrightaligned"/>
              <w:rPr>
                <w:rFonts w:ascii="Calibri" w:hAnsi="Calibri" w:cs="Calibri"/>
                <w:sz w:val="18"/>
              </w:rPr>
            </w:pPr>
            <w:r w:rsidRPr="005734B8">
              <w:rPr>
                <w:rFonts w:ascii="Calibri" w:hAnsi="Calibri" w:cs="Calibri"/>
                <w:sz w:val="18"/>
              </w:rPr>
              <w:t>71,500</w:t>
            </w:r>
          </w:p>
        </w:tc>
        <w:tc>
          <w:tcPr>
            <w:tcW w:w="1142" w:type="dxa"/>
            <w:tcBorders>
              <w:top w:val="single" w:sz="4" w:space="0" w:color="53565A" w:themeColor="accent5"/>
              <w:bottom w:val="single" w:sz="4" w:space="0" w:color="53565A" w:themeColor="accent5"/>
            </w:tcBorders>
          </w:tcPr>
          <w:p w14:paraId="366ED52F" w14:textId="500684D1" w:rsidR="00441036" w:rsidRPr="005734B8" w:rsidRDefault="00441036" w:rsidP="00441036">
            <w:pPr>
              <w:pStyle w:val="ESTablenumberrightaligned"/>
              <w:rPr>
                <w:rFonts w:ascii="Calibri" w:hAnsi="Calibri" w:cs="Calibri"/>
                <w:sz w:val="18"/>
              </w:rPr>
            </w:pPr>
            <w:r w:rsidRPr="005734B8">
              <w:rPr>
                <w:rFonts w:ascii="Calibri" w:hAnsi="Calibri" w:cs="Calibri"/>
                <w:sz w:val="18"/>
              </w:rPr>
              <w:t>69,200</w:t>
            </w:r>
            <w:r w:rsidR="00044F4A" w:rsidRPr="005734B8">
              <w:rPr>
                <w:rFonts w:ascii="Calibri" w:hAnsi="Calibri" w:cs="Calibri"/>
                <w:sz w:val="18"/>
                <w:vertAlign w:val="superscript"/>
              </w:rPr>
              <w:t>20</w:t>
            </w:r>
          </w:p>
        </w:tc>
      </w:tr>
      <w:tr w:rsidR="00441036" w:rsidRPr="005734B8" w14:paraId="4EA19063" w14:textId="77777777" w:rsidTr="00441036">
        <w:tc>
          <w:tcPr>
            <w:tcW w:w="9122" w:type="dxa"/>
            <w:gridSpan w:val="7"/>
            <w:tcBorders>
              <w:top w:val="single" w:sz="4" w:space="0" w:color="53565A" w:themeColor="accent5"/>
              <w:bottom w:val="single" w:sz="4" w:space="0" w:color="53565A" w:themeColor="accent5"/>
            </w:tcBorders>
            <w:shd w:val="clear" w:color="auto" w:fill="D9D9D6"/>
          </w:tcPr>
          <w:p w14:paraId="7EE5BD71" w14:textId="608BA214" w:rsidR="00441036" w:rsidRPr="005734B8" w:rsidRDefault="00441036" w:rsidP="00441036">
            <w:pPr>
              <w:pStyle w:val="ESTablebody"/>
              <w:rPr>
                <w:rFonts w:ascii="Calibri" w:hAnsi="Calibri" w:cs="Calibri"/>
                <w:b/>
                <w:sz w:val="18"/>
                <w:lang w:val="en-AU"/>
              </w:rPr>
            </w:pPr>
            <w:r w:rsidRPr="005734B8">
              <w:rPr>
                <w:rFonts w:ascii="Calibri" w:hAnsi="Calibri" w:cs="Calibri"/>
                <w:b/>
                <w:sz w:val="18"/>
                <w:lang w:val="en-AU"/>
              </w:rPr>
              <w:t>VET participation by learners facing barriers</w:t>
            </w:r>
          </w:p>
        </w:tc>
      </w:tr>
      <w:tr w:rsidR="00441036" w:rsidRPr="005734B8" w14:paraId="7970BAB0" w14:textId="77777777" w:rsidTr="00B05012">
        <w:tc>
          <w:tcPr>
            <w:tcW w:w="2336" w:type="dxa"/>
            <w:tcBorders>
              <w:top w:val="single" w:sz="4" w:space="0" w:color="53565A" w:themeColor="accent5"/>
              <w:bottom w:val="single" w:sz="4" w:space="0" w:color="53565A" w:themeColor="accent5"/>
            </w:tcBorders>
            <w:shd w:val="clear" w:color="auto" w:fill="auto"/>
          </w:tcPr>
          <w:p w14:paraId="5E143203" w14:textId="17CBD9C9" w:rsidR="00441036" w:rsidRPr="005734B8" w:rsidRDefault="00441036" w:rsidP="00441036">
            <w:pPr>
              <w:pStyle w:val="ESTablebody"/>
              <w:rPr>
                <w:rFonts w:ascii="Calibri" w:hAnsi="Calibri" w:cs="Calibri"/>
                <w:sz w:val="18"/>
                <w:lang w:val="en-AU"/>
              </w:rPr>
            </w:pPr>
            <w:r w:rsidRPr="005734B8">
              <w:rPr>
                <w:rFonts w:ascii="Calibri" w:hAnsi="Calibri" w:cs="Calibri"/>
                <w:sz w:val="18"/>
                <w:lang w:val="en-AU"/>
              </w:rPr>
              <w:t>Indigenous people</w:t>
            </w:r>
          </w:p>
        </w:tc>
        <w:tc>
          <w:tcPr>
            <w:tcW w:w="1078" w:type="dxa"/>
            <w:tcBorders>
              <w:top w:val="single" w:sz="4" w:space="0" w:color="53565A" w:themeColor="accent5"/>
              <w:bottom w:val="single" w:sz="4" w:space="0" w:color="53565A" w:themeColor="accent5"/>
            </w:tcBorders>
            <w:shd w:val="clear" w:color="auto" w:fill="auto"/>
          </w:tcPr>
          <w:p w14:paraId="47CF919A" w14:textId="026EBA9B" w:rsidR="00441036" w:rsidRPr="005734B8" w:rsidRDefault="00441036" w:rsidP="00441036">
            <w:pPr>
              <w:pStyle w:val="ESTablenumberrightaligned"/>
              <w:rPr>
                <w:rFonts w:ascii="Calibri" w:hAnsi="Calibri" w:cs="Calibri"/>
                <w:sz w:val="18"/>
                <w:lang w:val="en-AU"/>
              </w:rPr>
            </w:pPr>
            <w:r w:rsidRPr="005734B8">
              <w:rPr>
                <w:rFonts w:ascii="Calibri" w:hAnsi="Calibri" w:cs="Calibri"/>
                <w:sz w:val="18"/>
                <w:lang w:val="en-AU"/>
              </w:rPr>
              <w:t>number</w:t>
            </w:r>
          </w:p>
        </w:tc>
        <w:tc>
          <w:tcPr>
            <w:tcW w:w="1141" w:type="dxa"/>
            <w:tcBorders>
              <w:top w:val="single" w:sz="4" w:space="0" w:color="53565A" w:themeColor="accent5"/>
              <w:bottom w:val="single" w:sz="4" w:space="0" w:color="53565A" w:themeColor="accent5"/>
            </w:tcBorders>
            <w:shd w:val="clear" w:color="auto" w:fill="FFFFFF" w:themeFill="background1"/>
          </w:tcPr>
          <w:p w14:paraId="0111AC19" w14:textId="6CF983D4" w:rsidR="00441036" w:rsidRPr="005734B8" w:rsidRDefault="00441036" w:rsidP="00441036">
            <w:pPr>
              <w:pStyle w:val="ESTablenumberrightaligned"/>
              <w:rPr>
                <w:rFonts w:ascii="Calibri" w:hAnsi="Calibri" w:cs="Calibri"/>
                <w:sz w:val="18"/>
                <w:lang w:val="en-AU"/>
              </w:rPr>
            </w:pPr>
            <w:r w:rsidRPr="005734B8">
              <w:rPr>
                <w:rFonts w:ascii="Calibri" w:hAnsi="Calibri" w:cs="Calibri"/>
                <w:sz w:val="18"/>
                <w:lang w:val="en-AU"/>
              </w:rPr>
              <w:t>5,100</w:t>
            </w:r>
          </w:p>
        </w:tc>
        <w:tc>
          <w:tcPr>
            <w:tcW w:w="1142" w:type="dxa"/>
            <w:tcBorders>
              <w:top w:val="single" w:sz="4" w:space="0" w:color="53565A" w:themeColor="accent5"/>
              <w:bottom w:val="single" w:sz="4" w:space="0" w:color="53565A" w:themeColor="accent5"/>
            </w:tcBorders>
          </w:tcPr>
          <w:p w14:paraId="1E03E4D2" w14:textId="3B434CB6" w:rsidR="00441036" w:rsidRPr="005734B8" w:rsidRDefault="00441036" w:rsidP="00441036">
            <w:pPr>
              <w:pStyle w:val="ESTablenumberrightaligned"/>
              <w:rPr>
                <w:rFonts w:ascii="Calibri" w:hAnsi="Calibri" w:cs="Calibri"/>
                <w:sz w:val="18"/>
                <w:lang w:val="en-AU"/>
              </w:rPr>
            </w:pPr>
            <w:r w:rsidRPr="005734B8">
              <w:rPr>
                <w:rFonts w:ascii="Calibri" w:hAnsi="Calibri" w:cs="Calibri"/>
                <w:sz w:val="18"/>
                <w:lang w:val="en-AU"/>
              </w:rPr>
              <w:t>5,000</w:t>
            </w:r>
          </w:p>
        </w:tc>
        <w:tc>
          <w:tcPr>
            <w:tcW w:w="1141" w:type="dxa"/>
            <w:tcBorders>
              <w:top w:val="single" w:sz="4" w:space="0" w:color="53565A" w:themeColor="accent5"/>
              <w:bottom w:val="single" w:sz="4" w:space="0" w:color="53565A" w:themeColor="accent5"/>
            </w:tcBorders>
          </w:tcPr>
          <w:p w14:paraId="166E0670" w14:textId="1FE2B3DE" w:rsidR="00441036" w:rsidRPr="005734B8" w:rsidRDefault="00441036" w:rsidP="00441036">
            <w:pPr>
              <w:pStyle w:val="ESTablenumberrightaligned"/>
              <w:rPr>
                <w:rFonts w:ascii="Calibri" w:hAnsi="Calibri" w:cs="Calibri"/>
                <w:sz w:val="18"/>
              </w:rPr>
            </w:pPr>
            <w:r w:rsidRPr="005734B8">
              <w:rPr>
                <w:rFonts w:ascii="Calibri" w:hAnsi="Calibri" w:cs="Calibri"/>
                <w:sz w:val="18"/>
              </w:rPr>
              <w:t>4,900</w:t>
            </w:r>
          </w:p>
        </w:tc>
        <w:tc>
          <w:tcPr>
            <w:tcW w:w="1142" w:type="dxa"/>
            <w:tcBorders>
              <w:top w:val="single" w:sz="4" w:space="0" w:color="53565A" w:themeColor="accent5"/>
              <w:bottom w:val="single" w:sz="4" w:space="0" w:color="53565A" w:themeColor="accent5"/>
            </w:tcBorders>
          </w:tcPr>
          <w:p w14:paraId="15F9B3DF" w14:textId="571B05A4" w:rsidR="00441036" w:rsidRPr="005734B8" w:rsidRDefault="00441036" w:rsidP="00441036">
            <w:pPr>
              <w:pStyle w:val="ESTablenumberrightaligned"/>
              <w:rPr>
                <w:rFonts w:ascii="Calibri" w:hAnsi="Calibri" w:cs="Calibri"/>
                <w:sz w:val="18"/>
              </w:rPr>
            </w:pPr>
            <w:r w:rsidRPr="005734B8">
              <w:rPr>
                <w:rFonts w:ascii="Calibri" w:hAnsi="Calibri" w:cs="Calibri"/>
                <w:sz w:val="18"/>
              </w:rPr>
              <w:t>5,300</w:t>
            </w:r>
          </w:p>
        </w:tc>
        <w:tc>
          <w:tcPr>
            <w:tcW w:w="1142" w:type="dxa"/>
            <w:tcBorders>
              <w:top w:val="single" w:sz="4" w:space="0" w:color="53565A" w:themeColor="accent5"/>
              <w:bottom w:val="single" w:sz="4" w:space="0" w:color="53565A" w:themeColor="accent5"/>
            </w:tcBorders>
          </w:tcPr>
          <w:p w14:paraId="27761E2F" w14:textId="42B4550C" w:rsidR="00441036" w:rsidRPr="005734B8" w:rsidRDefault="00441036" w:rsidP="00441036">
            <w:pPr>
              <w:pStyle w:val="ESTablenumberrightaligned"/>
              <w:rPr>
                <w:rFonts w:ascii="Calibri" w:hAnsi="Calibri" w:cs="Calibri"/>
                <w:sz w:val="18"/>
              </w:rPr>
            </w:pPr>
            <w:r w:rsidRPr="005734B8">
              <w:rPr>
                <w:rFonts w:ascii="Calibri" w:hAnsi="Calibri" w:cs="Calibri"/>
                <w:sz w:val="18"/>
              </w:rPr>
              <w:t>4,900</w:t>
            </w:r>
          </w:p>
        </w:tc>
      </w:tr>
      <w:tr w:rsidR="00441036" w:rsidRPr="005734B8" w14:paraId="64917B15" w14:textId="77777777" w:rsidTr="00B05012">
        <w:tc>
          <w:tcPr>
            <w:tcW w:w="2336" w:type="dxa"/>
            <w:tcBorders>
              <w:top w:val="single" w:sz="4" w:space="0" w:color="53565A" w:themeColor="accent5"/>
              <w:bottom w:val="single" w:sz="4" w:space="0" w:color="53565A" w:themeColor="accent5"/>
            </w:tcBorders>
            <w:shd w:val="clear" w:color="auto" w:fill="auto"/>
          </w:tcPr>
          <w:p w14:paraId="1F41C1CF" w14:textId="14DC5EE9" w:rsidR="00441036" w:rsidRPr="005734B8" w:rsidRDefault="00F179AA" w:rsidP="00441036">
            <w:pPr>
              <w:pStyle w:val="ESTablebody"/>
              <w:rPr>
                <w:rFonts w:ascii="Calibri" w:hAnsi="Calibri" w:cs="Calibri"/>
                <w:sz w:val="18"/>
                <w:lang w:val="en-AU"/>
              </w:rPr>
            </w:pPr>
            <w:r w:rsidRPr="005734B8">
              <w:rPr>
                <w:rFonts w:ascii="Calibri" w:hAnsi="Calibri" w:cs="Calibri"/>
                <w:sz w:val="18"/>
                <w:lang w:val="en-AU"/>
              </w:rPr>
              <w:t>People w</w:t>
            </w:r>
            <w:r w:rsidR="00441036" w:rsidRPr="005734B8">
              <w:rPr>
                <w:rFonts w:ascii="Calibri" w:hAnsi="Calibri" w:cs="Calibri"/>
                <w:sz w:val="18"/>
                <w:lang w:val="en-AU"/>
              </w:rPr>
              <w:t>ith a disability</w:t>
            </w:r>
          </w:p>
        </w:tc>
        <w:tc>
          <w:tcPr>
            <w:tcW w:w="1078" w:type="dxa"/>
            <w:tcBorders>
              <w:top w:val="single" w:sz="4" w:space="0" w:color="53565A" w:themeColor="accent5"/>
              <w:bottom w:val="single" w:sz="4" w:space="0" w:color="53565A" w:themeColor="accent5"/>
            </w:tcBorders>
            <w:shd w:val="clear" w:color="auto" w:fill="auto"/>
          </w:tcPr>
          <w:p w14:paraId="38B4D813" w14:textId="075478DF" w:rsidR="00441036" w:rsidRPr="005734B8" w:rsidRDefault="00441036" w:rsidP="00441036">
            <w:pPr>
              <w:pStyle w:val="ESTablenumberrightaligned"/>
              <w:rPr>
                <w:rFonts w:ascii="Calibri" w:hAnsi="Calibri" w:cs="Calibri"/>
                <w:sz w:val="18"/>
                <w:lang w:val="en-AU"/>
              </w:rPr>
            </w:pPr>
            <w:r w:rsidRPr="005734B8">
              <w:rPr>
                <w:rFonts w:ascii="Calibri" w:hAnsi="Calibri" w:cs="Calibri"/>
                <w:sz w:val="18"/>
                <w:lang w:val="en-AU"/>
              </w:rPr>
              <w:t>number</w:t>
            </w:r>
          </w:p>
        </w:tc>
        <w:tc>
          <w:tcPr>
            <w:tcW w:w="1141" w:type="dxa"/>
            <w:tcBorders>
              <w:top w:val="single" w:sz="4" w:space="0" w:color="53565A" w:themeColor="accent5"/>
              <w:bottom w:val="single" w:sz="4" w:space="0" w:color="53565A" w:themeColor="accent5"/>
            </w:tcBorders>
            <w:shd w:val="clear" w:color="auto" w:fill="FFFFFF" w:themeFill="background1"/>
          </w:tcPr>
          <w:p w14:paraId="0CD21B62" w14:textId="4EADA8ED" w:rsidR="00441036" w:rsidRPr="005734B8" w:rsidRDefault="00441036" w:rsidP="00441036">
            <w:pPr>
              <w:pStyle w:val="ESTablenumberrightaligned"/>
              <w:rPr>
                <w:rFonts w:ascii="Calibri" w:hAnsi="Calibri" w:cs="Calibri"/>
                <w:sz w:val="18"/>
                <w:lang w:val="en-AU"/>
              </w:rPr>
            </w:pPr>
            <w:r w:rsidRPr="005734B8">
              <w:rPr>
                <w:rFonts w:ascii="Calibri" w:hAnsi="Calibri" w:cs="Calibri"/>
                <w:sz w:val="18"/>
                <w:lang w:val="en-AU"/>
              </w:rPr>
              <w:t>34,400</w:t>
            </w:r>
          </w:p>
        </w:tc>
        <w:tc>
          <w:tcPr>
            <w:tcW w:w="1142" w:type="dxa"/>
            <w:tcBorders>
              <w:top w:val="single" w:sz="4" w:space="0" w:color="53565A" w:themeColor="accent5"/>
              <w:bottom w:val="single" w:sz="4" w:space="0" w:color="53565A" w:themeColor="accent5"/>
            </w:tcBorders>
          </w:tcPr>
          <w:p w14:paraId="73714734" w14:textId="7736627D" w:rsidR="00441036" w:rsidRPr="005734B8" w:rsidRDefault="00441036" w:rsidP="00441036">
            <w:pPr>
              <w:pStyle w:val="ESTablenumberrightaligned"/>
              <w:rPr>
                <w:rFonts w:ascii="Calibri" w:hAnsi="Calibri" w:cs="Calibri"/>
                <w:sz w:val="18"/>
                <w:lang w:val="en-AU"/>
              </w:rPr>
            </w:pPr>
            <w:r w:rsidRPr="005734B8">
              <w:rPr>
                <w:rFonts w:ascii="Calibri" w:hAnsi="Calibri" w:cs="Calibri"/>
                <w:sz w:val="18"/>
                <w:lang w:val="en-AU"/>
              </w:rPr>
              <w:t>31,100</w:t>
            </w:r>
          </w:p>
        </w:tc>
        <w:tc>
          <w:tcPr>
            <w:tcW w:w="1141" w:type="dxa"/>
            <w:tcBorders>
              <w:top w:val="single" w:sz="4" w:space="0" w:color="53565A" w:themeColor="accent5"/>
              <w:bottom w:val="single" w:sz="4" w:space="0" w:color="53565A" w:themeColor="accent5"/>
            </w:tcBorders>
          </w:tcPr>
          <w:p w14:paraId="5BC59677" w14:textId="7C6D3FCE" w:rsidR="00441036" w:rsidRPr="005734B8" w:rsidRDefault="00441036" w:rsidP="00441036">
            <w:pPr>
              <w:pStyle w:val="ESTablenumberrightaligned"/>
              <w:rPr>
                <w:rFonts w:ascii="Calibri" w:hAnsi="Calibri" w:cs="Calibri"/>
                <w:sz w:val="18"/>
              </w:rPr>
            </w:pPr>
            <w:r w:rsidRPr="005734B8">
              <w:rPr>
                <w:rFonts w:ascii="Calibri" w:hAnsi="Calibri" w:cs="Calibri"/>
                <w:sz w:val="18"/>
              </w:rPr>
              <w:t>29,100</w:t>
            </w:r>
          </w:p>
        </w:tc>
        <w:tc>
          <w:tcPr>
            <w:tcW w:w="1142" w:type="dxa"/>
            <w:tcBorders>
              <w:top w:val="single" w:sz="4" w:space="0" w:color="53565A" w:themeColor="accent5"/>
              <w:bottom w:val="single" w:sz="4" w:space="0" w:color="53565A" w:themeColor="accent5"/>
            </w:tcBorders>
          </w:tcPr>
          <w:p w14:paraId="462A47BE" w14:textId="0635BF58" w:rsidR="00441036" w:rsidRPr="005734B8" w:rsidRDefault="00441036" w:rsidP="00441036">
            <w:pPr>
              <w:pStyle w:val="ESTablenumberrightaligned"/>
              <w:rPr>
                <w:rFonts w:ascii="Calibri" w:hAnsi="Calibri" w:cs="Calibri"/>
                <w:sz w:val="18"/>
              </w:rPr>
            </w:pPr>
            <w:r w:rsidRPr="005734B8">
              <w:rPr>
                <w:rFonts w:ascii="Calibri" w:hAnsi="Calibri" w:cs="Calibri"/>
                <w:sz w:val="18"/>
              </w:rPr>
              <w:t>30,100</w:t>
            </w:r>
          </w:p>
        </w:tc>
        <w:tc>
          <w:tcPr>
            <w:tcW w:w="1142" w:type="dxa"/>
            <w:tcBorders>
              <w:top w:val="single" w:sz="4" w:space="0" w:color="53565A" w:themeColor="accent5"/>
              <w:bottom w:val="single" w:sz="4" w:space="0" w:color="53565A" w:themeColor="accent5"/>
            </w:tcBorders>
          </w:tcPr>
          <w:p w14:paraId="5F0F2F2B" w14:textId="56FA5009" w:rsidR="00441036" w:rsidRPr="005734B8" w:rsidRDefault="00441036" w:rsidP="00441036">
            <w:pPr>
              <w:pStyle w:val="ESTablenumberrightaligned"/>
              <w:rPr>
                <w:rFonts w:ascii="Calibri" w:hAnsi="Calibri" w:cs="Calibri"/>
                <w:sz w:val="18"/>
              </w:rPr>
            </w:pPr>
            <w:r w:rsidRPr="005734B8">
              <w:rPr>
                <w:rFonts w:ascii="Calibri" w:hAnsi="Calibri" w:cs="Calibri"/>
                <w:sz w:val="18"/>
              </w:rPr>
              <w:t>25,100</w:t>
            </w:r>
          </w:p>
        </w:tc>
      </w:tr>
      <w:tr w:rsidR="00441036" w:rsidRPr="005734B8" w14:paraId="639B10D7" w14:textId="77777777" w:rsidTr="00441036">
        <w:tc>
          <w:tcPr>
            <w:tcW w:w="9122" w:type="dxa"/>
            <w:gridSpan w:val="7"/>
            <w:tcBorders>
              <w:top w:val="single" w:sz="4" w:space="0" w:color="53565A" w:themeColor="accent5"/>
              <w:bottom w:val="single" w:sz="4" w:space="0" w:color="53565A" w:themeColor="accent5"/>
            </w:tcBorders>
            <w:shd w:val="clear" w:color="auto" w:fill="D9D9D6"/>
          </w:tcPr>
          <w:p w14:paraId="7F791802" w14:textId="29FFE79C" w:rsidR="00441036" w:rsidRPr="005734B8" w:rsidRDefault="00441036" w:rsidP="00441036">
            <w:pPr>
              <w:pStyle w:val="ESTablebody"/>
              <w:rPr>
                <w:rFonts w:ascii="Calibri" w:hAnsi="Calibri" w:cs="Calibri"/>
                <w:sz w:val="18"/>
              </w:rPr>
            </w:pPr>
            <w:r w:rsidRPr="005734B8">
              <w:rPr>
                <w:rFonts w:ascii="Calibri" w:hAnsi="Calibri" w:cs="Calibri"/>
                <w:b/>
                <w:sz w:val="18"/>
                <w:lang w:val="en-AU"/>
              </w:rPr>
              <w:t>VET participation by unemployed learners</w:t>
            </w:r>
          </w:p>
        </w:tc>
      </w:tr>
      <w:tr w:rsidR="00441036" w:rsidRPr="005734B8" w14:paraId="3A9298E2" w14:textId="77777777" w:rsidTr="00B05012">
        <w:tc>
          <w:tcPr>
            <w:tcW w:w="2336" w:type="dxa"/>
            <w:tcBorders>
              <w:top w:val="single" w:sz="4" w:space="0" w:color="53565A" w:themeColor="accent5"/>
              <w:bottom w:val="single" w:sz="4" w:space="0" w:color="53565A" w:themeColor="accent5"/>
            </w:tcBorders>
            <w:shd w:val="clear" w:color="auto" w:fill="auto"/>
          </w:tcPr>
          <w:p w14:paraId="6621811E" w14:textId="747E2D5D" w:rsidR="00441036" w:rsidRPr="005734B8" w:rsidRDefault="00441036" w:rsidP="00441036">
            <w:pPr>
              <w:pStyle w:val="ESTablebody"/>
              <w:rPr>
                <w:rFonts w:ascii="Calibri" w:hAnsi="Calibri" w:cs="Calibri"/>
                <w:sz w:val="18"/>
                <w:lang w:val="en-AU"/>
              </w:rPr>
            </w:pPr>
            <w:r w:rsidRPr="005734B8">
              <w:rPr>
                <w:rFonts w:ascii="Calibri" w:hAnsi="Calibri" w:cs="Calibri"/>
                <w:sz w:val="18"/>
                <w:lang w:val="en-AU"/>
              </w:rPr>
              <w:t>VET participation by unemployed learners</w:t>
            </w:r>
          </w:p>
        </w:tc>
        <w:tc>
          <w:tcPr>
            <w:tcW w:w="1078" w:type="dxa"/>
            <w:tcBorders>
              <w:top w:val="single" w:sz="4" w:space="0" w:color="53565A" w:themeColor="accent5"/>
              <w:bottom w:val="single" w:sz="4" w:space="0" w:color="53565A" w:themeColor="accent5"/>
            </w:tcBorders>
            <w:shd w:val="clear" w:color="auto" w:fill="auto"/>
          </w:tcPr>
          <w:p w14:paraId="2E63555C" w14:textId="279F3FB3" w:rsidR="00441036" w:rsidRPr="005734B8" w:rsidRDefault="00441036" w:rsidP="00441036">
            <w:pPr>
              <w:pStyle w:val="ESTablenumberrightaligned"/>
              <w:rPr>
                <w:rFonts w:ascii="Calibri" w:hAnsi="Calibri" w:cs="Calibri"/>
                <w:sz w:val="18"/>
                <w:lang w:val="en-AU"/>
              </w:rPr>
            </w:pPr>
            <w:r w:rsidRPr="005734B8">
              <w:rPr>
                <w:rFonts w:ascii="Calibri" w:hAnsi="Calibri" w:cs="Calibri"/>
                <w:sz w:val="18"/>
                <w:lang w:val="en-AU"/>
              </w:rPr>
              <w:t>number</w:t>
            </w:r>
          </w:p>
        </w:tc>
        <w:tc>
          <w:tcPr>
            <w:tcW w:w="1141" w:type="dxa"/>
            <w:tcBorders>
              <w:top w:val="single" w:sz="4" w:space="0" w:color="53565A" w:themeColor="accent5"/>
              <w:bottom w:val="single" w:sz="4" w:space="0" w:color="53565A" w:themeColor="accent5"/>
            </w:tcBorders>
            <w:shd w:val="clear" w:color="auto" w:fill="FFFFFF" w:themeFill="background1"/>
          </w:tcPr>
          <w:p w14:paraId="33CE6EC2" w14:textId="235B73B2" w:rsidR="00441036" w:rsidRPr="005734B8" w:rsidRDefault="00441036" w:rsidP="00441036">
            <w:pPr>
              <w:pStyle w:val="ESTablenumberrightaligned"/>
              <w:rPr>
                <w:rFonts w:ascii="Calibri" w:hAnsi="Calibri" w:cs="Calibri"/>
                <w:sz w:val="18"/>
                <w:lang w:val="en-AU"/>
              </w:rPr>
            </w:pPr>
            <w:r w:rsidRPr="005734B8">
              <w:rPr>
                <w:rFonts w:ascii="Calibri" w:hAnsi="Calibri" w:cs="Calibri"/>
                <w:sz w:val="18"/>
                <w:lang w:val="en-AU"/>
              </w:rPr>
              <w:t>87,900</w:t>
            </w:r>
          </w:p>
        </w:tc>
        <w:tc>
          <w:tcPr>
            <w:tcW w:w="1142" w:type="dxa"/>
            <w:tcBorders>
              <w:top w:val="single" w:sz="4" w:space="0" w:color="53565A" w:themeColor="accent5"/>
              <w:bottom w:val="single" w:sz="4" w:space="0" w:color="53565A" w:themeColor="accent5"/>
            </w:tcBorders>
          </w:tcPr>
          <w:p w14:paraId="117BD522" w14:textId="067239F3" w:rsidR="00441036" w:rsidRPr="005734B8" w:rsidRDefault="00441036" w:rsidP="00441036">
            <w:pPr>
              <w:pStyle w:val="ESTablenumberrightaligned"/>
              <w:rPr>
                <w:rFonts w:ascii="Calibri" w:hAnsi="Calibri" w:cs="Calibri"/>
                <w:sz w:val="18"/>
                <w:lang w:val="en-AU"/>
              </w:rPr>
            </w:pPr>
            <w:r w:rsidRPr="005734B8">
              <w:rPr>
                <w:rFonts w:ascii="Calibri" w:hAnsi="Calibri" w:cs="Calibri"/>
                <w:sz w:val="18"/>
                <w:lang w:val="en-AU"/>
              </w:rPr>
              <w:t>75,400</w:t>
            </w:r>
          </w:p>
        </w:tc>
        <w:tc>
          <w:tcPr>
            <w:tcW w:w="1141" w:type="dxa"/>
            <w:tcBorders>
              <w:top w:val="single" w:sz="4" w:space="0" w:color="53565A" w:themeColor="accent5"/>
              <w:bottom w:val="single" w:sz="4" w:space="0" w:color="53565A" w:themeColor="accent5"/>
            </w:tcBorders>
          </w:tcPr>
          <w:p w14:paraId="56AC25DC" w14:textId="6725E149" w:rsidR="00441036" w:rsidRPr="005734B8" w:rsidRDefault="00441036" w:rsidP="00441036">
            <w:pPr>
              <w:pStyle w:val="ESTablenumberrightaligned"/>
              <w:rPr>
                <w:rFonts w:ascii="Calibri" w:hAnsi="Calibri" w:cs="Calibri"/>
                <w:sz w:val="18"/>
              </w:rPr>
            </w:pPr>
            <w:r w:rsidRPr="005734B8">
              <w:rPr>
                <w:rFonts w:ascii="Calibri" w:hAnsi="Calibri" w:cs="Calibri"/>
                <w:sz w:val="18"/>
                <w:lang w:val="en-AU"/>
              </w:rPr>
              <w:t>62,800</w:t>
            </w:r>
          </w:p>
        </w:tc>
        <w:tc>
          <w:tcPr>
            <w:tcW w:w="1142" w:type="dxa"/>
            <w:tcBorders>
              <w:top w:val="single" w:sz="4" w:space="0" w:color="53565A" w:themeColor="accent5"/>
              <w:bottom w:val="single" w:sz="4" w:space="0" w:color="53565A" w:themeColor="accent5"/>
            </w:tcBorders>
          </w:tcPr>
          <w:p w14:paraId="25353EB7" w14:textId="3340AEB2" w:rsidR="00441036" w:rsidRPr="005734B8" w:rsidRDefault="00441036" w:rsidP="00441036">
            <w:pPr>
              <w:pStyle w:val="ESTablenumberrightaligned"/>
              <w:rPr>
                <w:rFonts w:ascii="Calibri" w:hAnsi="Calibri" w:cs="Calibri"/>
                <w:sz w:val="18"/>
              </w:rPr>
            </w:pPr>
            <w:r w:rsidRPr="005734B8">
              <w:rPr>
                <w:rFonts w:ascii="Calibri" w:hAnsi="Calibri" w:cs="Calibri"/>
                <w:sz w:val="18"/>
                <w:lang w:val="en-AU"/>
              </w:rPr>
              <w:t>66,100</w:t>
            </w:r>
          </w:p>
        </w:tc>
        <w:tc>
          <w:tcPr>
            <w:tcW w:w="1142" w:type="dxa"/>
            <w:tcBorders>
              <w:top w:val="single" w:sz="4" w:space="0" w:color="53565A" w:themeColor="accent5"/>
              <w:bottom w:val="single" w:sz="4" w:space="0" w:color="53565A" w:themeColor="accent5"/>
            </w:tcBorders>
          </w:tcPr>
          <w:p w14:paraId="06B3CB80" w14:textId="537AC232" w:rsidR="00441036" w:rsidRPr="005734B8" w:rsidRDefault="00441036" w:rsidP="00441036">
            <w:pPr>
              <w:pStyle w:val="ESTablenumberrightaligned"/>
              <w:rPr>
                <w:rFonts w:ascii="Calibri" w:hAnsi="Calibri" w:cs="Calibri"/>
                <w:sz w:val="18"/>
              </w:rPr>
            </w:pPr>
            <w:r w:rsidRPr="005734B8">
              <w:rPr>
                <w:rFonts w:ascii="Calibri" w:hAnsi="Calibri" w:cs="Calibri"/>
                <w:sz w:val="18"/>
                <w:lang w:val="en-AU"/>
              </w:rPr>
              <w:t>61,000</w:t>
            </w:r>
          </w:p>
        </w:tc>
      </w:tr>
      <w:tr w:rsidR="00441036" w:rsidRPr="005734B8" w14:paraId="4130F1CD" w14:textId="77777777" w:rsidTr="00441036">
        <w:tc>
          <w:tcPr>
            <w:tcW w:w="9122" w:type="dxa"/>
            <w:gridSpan w:val="7"/>
            <w:tcBorders>
              <w:top w:val="single" w:sz="4" w:space="0" w:color="53565A" w:themeColor="accent5"/>
              <w:bottom w:val="single" w:sz="4" w:space="0" w:color="53565A" w:themeColor="accent5"/>
            </w:tcBorders>
            <w:shd w:val="clear" w:color="auto" w:fill="D9D9D6"/>
          </w:tcPr>
          <w:p w14:paraId="75330418" w14:textId="0BE46359" w:rsidR="00441036" w:rsidRPr="005734B8" w:rsidRDefault="00441036" w:rsidP="00441036">
            <w:pPr>
              <w:pStyle w:val="ESTablebody"/>
              <w:rPr>
                <w:rFonts w:ascii="Calibri" w:hAnsi="Calibri" w:cs="Calibri"/>
                <w:b/>
                <w:sz w:val="18"/>
                <w:lang w:val="en-AU"/>
              </w:rPr>
            </w:pPr>
            <w:r w:rsidRPr="005734B8">
              <w:rPr>
                <w:rFonts w:ascii="Calibri" w:hAnsi="Calibri" w:cs="Calibri"/>
                <w:b/>
                <w:sz w:val="18"/>
                <w:lang w:val="en-AU"/>
              </w:rPr>
              <w:t>Proportion of VET students satisfied with the teaching in their course</w:t>
            </w:r>
          </w:p>
        </w:tc>
      </w:tr>
      <w:tr w:rsidR="00441036" w:rsidRPr="005734B8" w14:paraId="2918DCE8" w14:textId="77777777" w:rsidTr="00B05012">
        <w:tc>
          <w:tcPr>
            <w:tcW w:w="2336" w:type="dxa"/>
            <w:tcBorders>
              <w:top w:val="single" w:sz="4" w:space="0" w:color="53565A" w:themeColor="accent5"/>
              <w:bottom w:val="single" w:sz="4" w:space="0" w:color="53565A" w:themeColor="accent5"/>
            </w:tcBorders>
            <w:shd w:val="clear" w:color="auto" w:fill="auto"/>
          </w:tcPr>
          <w:p w14:paraId="0E9128E4" w14:textId="083BC112" w:rsidR="00441036" w:rsidRPr="005734B8" w:rsidRDefault="00441036" w:rsidP="00441036">
            <w:pPr>
              <w:pStyle w:val="ESTablebody"/>
              <w:rPr>
                <w:rFonts w:ascii="Calibri" w:hAnsi="Calibri" w:cs="Calibri"/>
                <w:sz w:val="18"/>
                <w:lang w:val="en-AU"/>
              </w:rPr>
            </w:pPr>
            <w:r w:rsidRPr="005734B8">
              <w:rPr>
                <w:rFonts w:ascii="Calibri" w:hAnsi="Calibri" w:cs="Calibri"/>
                <w:sz w:val="18"/>
                <w:lang w:val="en-AU"/>
              </w:rPr>
              <w:t>Proportion of VET students satisfied with the teaching in their course</w:t>
            </w:r>
          </w:p>
        </w:tc>
        <w:tc>
          <w:tcPr>
            <w:tcW w:w="1078" w:type="dxa"/>
            <w:tcBorders>
              <w:top w:val="single" w:sz="4" w:space="0" w:color="53565A" w:themeColor="accent5"/>
              <w:bottom w:val="single" w:sz="4" w:space="0" w:color="53565A" w:themeColor="accent5"/>
            </w:tcBorders>
            <w:shd w:val="clear" w:color="auto" w:fill="auto"/>
          </w:tcPr>
          <w:p w14:paraId="71DA61F5" w14:textId="776A91EC" w:rsidR="00441036" w:rsidRPr="005734B8" w:rsidRDefault="00441036" w:rsidP="00441036">
            <w:pPr>
              <w:pStyle w:val="ESTablenumberrightaligned"/>
              <w:rPr>
                <w:rFonts w:ascii="Calibri" w:hAnsi="Calibri" w:cs="Calibri"/>
                <w:sz w:val="18"/>
                <w:lang w:val="en-AU"/>
              </w:rPr>
            </w:pPr>
            <w:r w:rsidRPr="005734B8">
              <w:rPr>
                <w:rFonts w:ascii="Calibri" w:hAnsi="Calibri" w:cs="Calibri"/>
                <w:sz w:val="18"/>
                <w:lang w:val="en-AU"/>
              </w:rPr>
              <w:t>per cent</w:t>
            </w:r>
          </w:p>
        </w:tc>
        <w:tc>
          <w:tcPr>
            <w:tcW w:w="1141" w:type="dxa"/>
            <w:tcBorders>
              <w:top w:val="single" w:sz="4" w:space="0" w:color="53565A" w:themeColor="accent5"/>
              <w:bottom w:val="single" w:sz="4" w:space="0" w:color="53565A" w:themeColor="accent5"/>
            </w:tcBorders>
            <w:shd w:val="clear" w:color="auto" w:fill="FFFFFF" w:themeFill="background1"/>
          </w:tcPr>
          <w:p w14:paraId="61ECD782" w14:textId="4E6D0863" w:rsidR="00441036" w:rsidRPr="005734B8" w:rsidRDefault="00441036" w:rsidP="00441036">
            <w:pPr>
              <w:pStyle w:val="ESTablenumberrightaligned"/>
              <w:rPr>
                <w:rFonts w:ascii="Calibri" w:hAnsi="Calibri" w:cs="Calibri"/>
                <w:sz w:val="18"/>
                <w:lang w:val="en-AU"/>
              </w:rPr>
            </w:pPr>
            <w:r w:rsidRPr="005734B8">
              <w:rPr>
                <w:rFonts w:ascii="Calibri" w:hAnsi="Calibri" w:cs="Calibri"/>
                <w:sz w:val="18"/>
                <w:lang w:val="en-AU"/>
              </w:rPr>
              <w:t>85.6</w:t>
            </w:r>
          </w:p>
        </w:tc>
        <w:tc>
          <w:tcPr>
            <w:tcW w:w="1142" w:type="dxa"/>
            <w:tcBorders>
              <w:top w:val="single" w:sz="4" w:space="0" w:color="53565A" w:themeColor="accent5"/>
              <w:bottom w:val="single" w:sz="4" w:space="0" w:color="53565A" w:themeColor="accent5"/>
            </w:tcBorders>
          </w:tcPr>
          <w:p w14:paraId="56147875" w14:textId="47E7AF55" w:rsidR="00441036" w:rsidRPr="005734B8" w:rsidRDefault="00441036" w:rsidP="00441036">
            <w:pPr>
              <w:pStyle w:val="ESTablenumberrightaligned"/>
              <w:rPr>
                <w:rFonts w:ascii="Calibri" w:hAnsi="Calibri" w:cs="Calibri"/>
                <w:sz w:val="18"/>
                <w:lang w:val="en-AU"/>
              </w:rPr>
            </w:pPr>
            <w:r w:rsidRPr="005734B8">
              <w:rPr>
                <w:rFonts w:ascii="Calibri" w:hAnsi="Calibri" w:cs="Calibri"/>
                <w:sz w:val="18"/>
                <w:lang w:val="en-AU"/>
              </w:rPr>
              <w:t>85.6</w:t>
            </w:r>
          </w:p>
        </w:tc>
        <w:tc>
          <w:tcPr>
            <w:tcW w:w="1141" w:type="dxa"/>
            <w:tcBorders>
              <w:top w:val="single" w:sz="4" w:space="0" w:color="53565A" w:themeColor="accent5"/>
              <w:bottom w:val="single" w:sz="4" w:space="0" w:color="53565A" w:themeColor="accent5"/>
            </w:tcBorders>
          </w:tcPr>
          <w:p w14:paraId="6A5DFF5C" w14:textId="1E3E22E7" w:rsidR="00441036" w:rsidRPr="005734B8" w:rsidRDefault="00441036" w:rsidP="00441036">
            <w:pPr>
              <w:pStyle w:val="ESTablenumberrightaligned"/>
              <w:rPr>
                <w:rFonts w:ascii="Calibri" w:hAnsi="Calibri" w:cs="Calibri"/>
                <w:sz w:val="18"/>
                <w:lang w:val="en-AU"/>
              </w:rPr>
            </w:pPr>
            <w:r w:rsidRPr="005734B8">
              <w:rPr>
                <w:rFonts w:ascii="Calibri" w:hAnsi="Calibri" w:cs="Calibri"/>
                <w:sz w:val="18"/>
              </w:rPr>
              <w:t>84.4</w:t>
            </w:r>
          </w:p>
        </w:tc>
        <w:tc>
          <w:tcPr>
            <w:tcW w:w="1142" w:type="dxa"/>
            <w:tcBorders>
              <w:top w:val="single" w:sz="4" w:space="0" w:color="53565A" w:themeColor="accent5"/>
              <w:bottom w:val="single" w:sz="4" w:space="0" w:color="53565A" w:themeColor="accent5"/>
            </w:tcBorders>
          </w:tcPr>
          <w:p w14:paraId="331A6AFA" w14:textId="089E4EC6" w:rsidR="00441036" w:rsidRPr="005734B8" w:rsidRDefault="00441036" w:rsidP="00441036">
            <w:pPr>
              <w:pStyle w:val="ESTablenumberrightaligned"/>
              <w:rPr>
                <w:rFonts w:ascii="Calibri" w:hAnsi="Calibri" w:cs="Calibri"/>
                <w:sz w:val="18"/>
                <w:lang w:val="en-AU"/>
              </w:rPr>
            </w:pPr>
            <w:r w:rsidRPr="005734B8">
              <w:rPr>
                <w:rFonts w:ascii="Calibri" w:hAnsi="Calibri" w:cs="Calibri"/>
                <w:sz w:val="18"/>
              </w:rPr>
              <w:t>86.</w:t>
            </w:r>
            <w:r w:rsidR="00F64862">
              <w:rPr>
                <w:rFonts w:ascii="Calibri" w:hAnsi="Calibri" w:cs="Calibri"/>
                <w:sz w:val="18"/>
              </w:rPr>
              <w:t>3</w:t>
            </w:r>
          </w:p>
        </w:tc>
        <w:tc>
          <w:tcPr>
            <w:tcW w:w="1142" w:type="dxa"/>
            <w:tcBorders>
              <w:top w:val="single" w:sz="4" w:space="0" w:color="53565A" w:themeColor="accent5"/>
              <w:bottom w:val="single" w:sz="4" w:space="0" w:color="53565A" w:themeColor="accent5"/>
            </w:tcBorders>
          </w:tcPr>
          <w:p w14:paraId="1786CAA5" w14:textId="47E2EF9F" w:rsidR="00441036" w:rsidRPr="005734B8" w:rsidRDefault="00441036" w:rsidP="00441036">
            <w:pPr>
              <w:pStyle w:val="ESTablenumberrightaligned"/>
              <w:rPr>
                <w:rFonts w:ascii="Calibri" w:hAnsi="Calibri" w:cs="Calibri"/>
                <w:sz w:val="18"/>
                <w:lang w:val="en-AU"/>
              </w:rPr>
            </w:pPr>
            <w:r w:rsidRPr="005734B8">
              <w:rPr>
                <w:rFonts w:ascii="Calibri" w:hAnsi="Calibri" w:cs="Calibri"/>
                <w:sz w:val="18"/>
              </w:rPr>
              <w:t>–</w:t>
            </w:r>
            <w:r w:rsidRPr="005734B8">
              <w:rPr>
                <w:rStyle w:val="FootnoteReference"/>
                <w:rFonts w:ascii="Calibri" w:hAnsi="Calibri" w:cs="Calibri"/>
                <w:sz w:val="18"/>
              </w:rPr>
              <w:footnoteReference w:id="22"/>
            </w:r>
          </w:p>
        </w:tc>
      </w:tr>
    </w:tbl>
    <w:p w14:paraId="6CC35C5C" w14:textId="77777777" w:rsidR="001F3496" w:rsidRPr="005734B8" w:rsidRDefault="001F3496" w:rsidP="001F3496">
      <w:pPr>
        <w:pStyle w:val="ESHeading3"/>
        <w:ind w:left="0" w:firstLine="0"/>
        <w:rPr>
          <w:rFonts w:ascii="Calibri" w:hAnsi="Calibri" w:cs="Calibri"/>
          <w:szCs w:val="22"/>
          <w:lang w:val="en-AU"/>
        </w:rPr>
      </w:pPr>
      <w:bookmarkStart w:id="143" w:name="_Toc11158160"/>
      <w:bookmarkStart w:id="144" w:name="_Toc11336167"/>
      <w:bookmarkStart w:id="145" w:name="_Toc14965390"/>
      <w:bookmarkStart w:id="146" w:name="_Toc19271969"/>
      <w:bookmarkStart w:id="147" w:name="_Toc19272335"/>
      <w:bookmarkStart w:id="148" w:name="_Toc19273670"/>
      <w:bookmarkStart w:id="149" w:name="_Toc39835760"/>
      <w:r w:rsidRPr="005734B8">
        <w:rPr>
          <w:rFonts w:ascii="Calibri" w:hAnsi="Calibri" w:cs="Calibri"/>
          <w:szCs w:val="22"/>
          <w:lang w:val="en-AU"/>
        </w:rPr>
        <w:t>Objective 3: Wellbeing</w:t>
      </w:r>
      <w:bookmarkEnd w:id="143"/>
      <w:bookmarkEnd w:id="144"/>
      <w:bookmarkEnd w:id="145"/>
      <w:bookmarkEnd w:id="146"/>
      <w:bookmarkEnd w:id="147"/>
      <w:bookmarkEnd w:id="148"/>
      <w:bookmarkEnd w:id="149"/>
    </w:p>
    <w:p w14:paraId="1DBB38A0" w14:textId="4F7845A0" w:rsidR="001F3496" w:rsidRPr="005734B8" w:rsidRDefault="001F3496" w:rsidP="001F3496">
      <w:pPr>
        <w:rPr>
          <w:rFonts w:ascii="Calibri" w:hAnsi="Calibri" w:cs="Calibri"/>
          <w:i/>
        </w:rPr>
      </w:pPr>
      <w:r w:rsidRPr="005734B8">
        <w:rPr>
          <w:rFonts w:ascii="Calibri" w:hAnsi="Calibri" w:cs="Calibri"/>
          <w:i/>
        </w:rPr>
        <w:t xml:space="preserve">Increase the contribution </w:t>
      </w:r>
      <w:r w:rsidR="00EB3C58" w:rsidRPr="005734B8">
        <w:rPr>
          <w:rFonts w:ascii="Calibri" w:hAnsi="Calibri" w:cs="Calibri"/>
          <w:i/>
        </w:rPr>
        <w:t xml:space="preserve">that </w:t>
      </w:r>
      <w:r w:rsidRPr="005734B8">
        <w:rPr>
          <w:rFonts w:ascii="Calibri" w:hAnsi="Calibri" w:cs="Calibri"/>
          <w:i/>
        </w:rPr>
        <w:t xml:space="preserve">education, training, and early childhood development services make to </w:t>
      </w:r>
      <w:r w:rsidRPr="005734B8">
        <w:rPr>
          <w:rFonts w:ascii="Calibri" w:hAnsi="Calibri" w:cs="Calibri"/>
          <w:i/>
          <w:iCs/>
        </w:rPr>
        <w:t>good health and quality of life for all Victorians, particularly children and young people.</w:t>
      </w:r>
    </w:p>
    <w:p w14:paraId="327807B3" w14:textId="77777777" w:rsidR="001F3496" w:rsidRPr="005734B8" w:rsidRDefault="001F3496" w:rsidP="001F3496">
      <w:pPr>
        <w:rPr>
          <w:rFonts w:ascii="Calibri" w:hAnsi="Calibri" w:cs="Calibri"/>
        </w:rPr>
      </w:pPr>
    </w:p>
    <w:p w14:paraId="41CC32FF" w14:textId="4E1DC4F6" w:rsidR="001F3496" w:rsidRPr="005734B8" w:rsidRDefault="001F3496" w:rsidP="001F3496">
      <w:pPr>
        <w:rPr>
          <w:rFonts w:ascii="Calibri" w:hAnsi="Calibri" w:cs="Calibri"/>
        </w:rPr>
      </w:pPr>
      <w:r w:rsidRPr="005734B8">
        <w:rPr>
          <w:rFonts w:ascii="Calibri" w:hAnsi="Calibri" w:cs="Calibri"/>
        </w:rPr>
        <w:t xml:space="preserve">The Department maintained a strong focus on mental health and wellbeing throughout 2020. This included new </w:t>
      </w:r>
      <w:r w:rsidR="009172F9">
        <w:rPr>
          <w:rFonts w:ascii="Calibri" w:hAnsi="Calibri" w:cs="Calibri"/>
        </w:rPr>
        <w:t>initiatives</w:t>
      </w:r>
      <w:r w:rsidRPr="005734B8">
        <w:rPr>
          <w:rFonts w:ascii="Calibri" w:hAnsi="Calibri" w:cs="Calibri"/>
        </w:rPr>
        <w:t xml:space="preserve"> in 2020–21</w:t>
      </w:r>
      <w:r w:rsidR="00600409" w:rsidRPr="005734B8">
        <w:rPr>
          <w:rFonts w:ascii="Calibri" w:hAnsi="Calibri" w:cs="Calibri"/>
        </w:rPr>
        <w:t xml:space="preserve">, including </w:t>
      </w:r>
      <w:r w:rsidRPr="005734B8">
        <w:rPr>
          <w:rFonts w:ascii="Calibri" w:hAnsi="Calibri" w:cs="Calibri"/>
        </w:rPr>
        <w:t>school readiness funding provid</w:t>
      </w:r>
      <w:r w:rsidR="00600409" w:rsidRPr="005734B8">
        <w:rPr>
          <w:rFonts w:ascii="Calibri" w:hAnsi="Calibri" w:cs="Calibri"/>
        </w:rPr>
        <w:t>ing</w:t>
      </w:r>
      <w:r w:rsidRPr="005734B8">
        <w:rPr>
          <w:rFonts w:ascii="Calibri" w:hAnsi="Calibri" w:cs="Calibri"/>
        </w:rPr>
        <w:t xml:space="preserve"> the support that children and families require to be ready for school. These </w:t>
      </w:r>
      <w:r w:rsidR="009172F9">
        <w:rPr>
          <w:rFonts w:ascii="Calibri" w:hAnsi="Calibri" w:cs="Calibri"/>
        </w:rPr>
        <w:t>programs</w:t>
      </w:r>
      <w:r w:rsidRPr="005734B8">
        <w:rPr>
          <w:rFonts w:ascii="Calibri" w:hAnsi="Calibri" w:cs="Calibri"/>
        </w:rPr>
        <w:t xml:space="preserve"> </w:t>
      </w:r>
      <w:r w:rsidR="00600409" w:rsidRPr="005734B8">
        <w:rPr>
          <w:rFonts w:ascii="Calibri" w:hAnsi="Calibri" w:cs="Calibri"/>
        </w:rPr>
        <w:t>a</w:t>
      </w:r>
      <w:r w:rsidRPr="005734B8">
        <w:rPr>
          <w:rFonts w:ascii="Calibri" w:hAnsi="Calibri" w:cs="Calibri"/>
        </w:rPr>
        <w:t xml:space="preserve">re important to supporting those with the greatest need. </w:t>
      </w:r>
    </w:p>
    <w:p w14:paraId="51CD39BA" w14:textId="77777777" w:rsidR="001F3496" w:rsidRPr="005734B8" w:rsidRDefault="001F3496" w:rsidP="001F3496">
      <w:pPr>
        <w:rPr>
          <w:rFonts w:ascii="Calibri" w:hAnsi="Calibri" w:cs="Calibri"/>
          <w:highlight w:val="yellow"/>
        </w:rPr>
      </w:pPr>
    </w:p>
    <w:p w14:paraId="492C6D49" w14:textId="77777777" w:rsidR="001F3496" w:rsidRPr="005734B8" w:rsidRDefault="001F3496" w:rsidP="001F3496">
      <w:pPr>
        <w:rPr>
          <w:rFonts w:ascii="Calibri" w:hAnsi="Calibri" w:cs="Calibri"/>
          <w:i/>
          <w:iCs/>
        </w:rPr>
      </w:pPr>
      <w:r w:rsidRPr="005734B8">
        <w:rPr>
          <w:rFonts w:ascii="Calibri" w:hAnsi="Calibri" w:cs="Calibri"/>
          <w:i/>
          <w:iCs/>
        </w:rPr>
        <w:t>Early childhood development</w:t>
      </w:r>
    </w:p>
    <w:p w14:paraId="486965C2" w14:textId="4D18BDC5" w:rsidR="001F3496" w:rsidRPr="005734B8" w:rsidRDefault="001F3496" w:rsidP="001F3496">
      <w:pPr>
        <w:rPr>
          <w:rFonts w:ascii="Calibri" w:hAnsi="Calibri" w:cs="Calibri"/>
        </w:rPr>
      </w:pPr>
      <w:r w:rsidRPr="005734B8">
        <w:rPr>
          <w:rFonts w:ascii="Calibri" w:hAnsi="Calibri" w:cs="Calibri"/>
        </w:rPr>
        <w:t>Wellbeing indicators are positive for most Victorian children starting school. Results from the 2020 School Entrant Health Questionnaire, a</w:t>
      </w:r>
      <w:r w:rsidR="00EB3C58" w:rsidRPr="005734B8">
        <w:rPr>
          <w:rFonts w:ascii="Calibri" w:hAnsi="Calibri" w:cs="Calibri"/>
        </w:rPr>
        <w:t xml:space="preserve"> survey of</w:t>
      </w:r>
      <w:r w:rsidRPr="005734B8">
        <w:rPr>
          <w:rFonts w:ascii="Calibri" w:hAnsi="Calibri" w:cs="Calibri"/>
        </w:rPr>
        <w:t xml:space="preserve"> parent</w:t>
      </w:r>
      <w:r w:rsidR="00EB3C58" w:rsidRPr="005734B8">
        <w:rPr>
          <w:rFonts w:ascii="Calibri" w:hAnsi="Calibri" w:cs="Calibri"/>
        </w:rPr>
        <w:t>s</w:t>
      </w:r>
      <w:r w:rsidRPr="005734B8">
        <w:rPr>
          <w:rFonts w:ascii="Calibri" w:hAnsi="Calibri" w:cs="Calibri"/>
        </w:rPr>
        <w:t xml:space="preserve"> of children starting school, show that </w:t>
      </w:r>
      <w:r w:rsidRPr="005734B8">
        <w:rPr>
          <w:rFonts w:ascii="Calibri" w:hAnsi="Calibri" w:cs="Calibri"/>
        </w:rPr>
        <w:lastRenderedPageBreak/>
        <w:t>78</w:t>
      </w:r>
      <w:r w:rsidR="00F50F48" w:rsidRPr="005734B8">
        <w:rPr>
          <w:rFonts w:ascii="Calibri" w:hAnsi="Calibri" w:cs="Calibri"/>
        </w:rPr>
        <w:t> </w:t>
      </w:r>
      <w:r w:rsidRPr="005734B8">
        <w:rPr>
          <w:rFonts w:ascii="Calibri" w:hAnsi="Calibri" w:cs="Calibri"/>
        </w:rPr>
        <w:t>per</w:t>
      </w:r>
      <w:r w:rsidR="00F50F48" w:rsidRPr="005734B8">
        <w:rPr>
          <w:rFonts w:ascii="Calibri" w:hAnsi="Calibri" w:cs="Calibri"/>
        </w:rPr>
        <w:t> </w:t>
      </w:r>
      <w:r w:rsidRPr="005734B8">
        <w:rPr>
          <w:rFonts w:ascii="Calibri" w:hAnsi="Calibri" w:cs="Calibri"/>
        </w:rPr>
        <w:t xml:space="preserve">cent of children are at low risk of behavioural problems. Similarly, the proportion of children entering with no general development issues has declined since 2018. </w:t>
      </w:r>
    </w:p>
    <w:p w14:paraId="0E718DF5" w14:textId="77777777" w:rsidR="001F3496" w:rsidRPr="005734B8" w:rsidRDefault="001F3496" w:rsidP="001F3496">
      <w:pPr>
        <w:rPr>
          <w:rFonts w:ascii="Calibri" w:hAnsi="Calibri" w:cs="Calibri"/>
        </w:rPr>
      </w:pPr>
    </w:p>
    <w:p w14:paraId="355FB89C" w14:textId="2FC13FA0" w:rsidR="001F3496" w:rsidRPr="005734B8" w:rsidRDefault="001F3496" w:rsidP="001F3496">
      <w:pPr>
        <w:rPr>
          <w:rFonts w:ascii="Calibri" w:hAnsi="Calibri" w:cs="Calibri"/>
        </w:rPr>
      </w:pPr>
      <w:r w:rsidRPr="005734B8">
        <w:rPr>
          <w:rFonts w:ascii="Calibri" w:hAnsi="Calibri" w:cs="Calibri"/>
        </w:rPr>
        <w:t>An increase in reports of children with developmental vulnerabilities may be explained by improved diagnostic methods and increased awareness. This means that more families can discuss developmental concerns with schools and access further support.</w:t>
      </w:r>
    </w:p>
    <w:p w14:paraId="343A12E3" w14:textId="77777777" w:rsidR="001F3496" w:rsidRPr="005734B8" w:rsidRDefault="001F3496" w:rsidP="001F3496">
      <w:pPr>
        <w:rPr>
          <w:rFonts w:ascii="Calibri" w:hAnsi="Calibri" w:cs="Calibri"/>
        </w:rPr>
      </w:pPr>
    </w:p>
    <w:p w14:paraId="32F35C9E" w14:textId="77777777" w:rsidR="001F3496" w:rsidRPr="005734B8" w:rsidRDefault="001F3496" w:rsidP="001F3496">
      <w:pPr>
        <w:rPr>
          <w:rFonts w:ascii="Calibri" w:hAnsi="Calibri" w:cs="Calibri"/>
        </w:rPr>
      </w:pPr>
      <w:r w:rsidRPr="005734B8">
        <w:rPr>
          <w:rFonts w:ascii="Calibri" w:hAnsi="Calibri" w:cs="Calibri"/>
        </w:rPr>
        <w:t xml:space="preserve">More than three-quarters of Victorian children in their first year of school are assessed by their teachers as ‘on track’ against the AEDC social competence or emotional maturity domains. </w:t>
      </w:r>
    </w:p>
    <w:p w14:paraId="3D34DE2F" w14:textId="77777777" w:rsidR="001F3496" w:rsidRPr="005734B8" w:rsidRDefault="001F3496" w:rsidP="001F3496">
      <w:pPr>
        <w:rPr>
          <w:rFonts w:ascii="Calibri" w:hAnsi="Calibri" w:cs="Calibri"/>
        </w:rPr>
      </w:pPr>
    </w:p>
    <w:p w14:paraId="303C812D" w14:textId="798AEECF" w:rsidR="001F3496" w:rsidRPr="005734B8" w:rsidRDefault="001F3496" w:rsidP="001F3496">
      <w:pPr>
        <w:rPr>
          <w:rFonts w:ascii="Calibri" w:eastAsia="Calibri" w:hAnsi="Calibri" w:cs="Calibri"/>
          <w:bCs/>
          <w:szCs w:val="22"/>
        </w:rPr>
      </w:pPr>
      <w:r w:rsidRPr="005734B8">
        <w:rPr>
          <w:rFonts w:ascii="Calibri" w:hAnsi="Calibri" w:cs="Calibri"/>
        </w:rPr>
        <w:t xml:space="preserve">School readiness funding is improving children’s engagement in kindergarten programs. </w:t>
      </w:r>
      <w:r w:rsidRPr="005734B8">
        <w:rPr>
          <w:rFonts w:ascii="Calibri" w:eastAsia="Calibri" w:hAnsi="Calibri" w:cs="Calibri"/>
          <w:bCs/>
          <w:szCs w:val="22"/>
        </w:rPr>
        <w:t xml:space="preserve">The funding supports child development under three priority areas: communication (language development), wellbeing (social and emotional) and access and inclusion. A menu of evidence–informed programs and supports has been developed to guide kindergarten services with their spending under these areas. </w:t>
      </w:r>
      <w:r w:rsidRPr="005734B8">
        <w:rPr>
          <w:rFonts w:ascii="Calibri" w:eastAsia="Times New Roman" w:hAnsi="Calibri" w:cs="Calibri"/>
          <w:bCs/>
          <w:color w:val="000000"/>
          <w:szCs w:val="22"/>
        </w:rPr>
        <w:t>In 2020, school readiness funding was delivered in 32 local government areas and to all kindergarten services run by Aboriginal Community Controlled Organisations. The funding reached around 860 kindergarten services and approximately 30,000 children</w:t>
      </w:r>
      <w:r w:rsidRPr="005734B8">
        <w:rPr>
          <w:rFonts w:ascii="Calibri" w:hAnsi="Calibri" w:cs="Calibri"/>
          <w:bCs/>
          <w:szCs w:val="22"/>
        </w:rPr>
        <w:t xml:space="preserve">. In addition, </w:t>
      </w:r>
      <w:r w:rsidR="00EB3C58" w:rsidRPr="005734B8">
        <w:rPr>
          <w:rFonts w:ascii="Calibri" w:hAnsi="Calibri" w:cs="Calibri"/>
          <w:bCs/>
          <w:szCs w:val="22"/>
        </w:rPr>
        <w:t>more than</w:t>
      </w:r>
      <w:r w:rsidRPr="005734B8">
        <w:rPr>
          <w:rFonts w:ascii="Calibri" w:hAnsi="Calibri" w:cs="Calibri"/>
          <w:bCs/>
          <w:szCs w:val="22"/>
        </w:rPr>
        <w:t xml:space="preserve"> 1,700 early childhood services not receiving school readiness funding were provided </w:t>
      </w:r>
      <w:r w:rsidR="00EB3C58" w:rsidRPr="005734B8">
        <w:rPr>
          <w:rFonts w:ascii="Calibri" w:hAnsi="Calibri" w:cs="Calibri"/>
          <w:bCs/>
          <w:szCs w:val="22"/>
        </w:rPr>
        <w:t xml:space="preserve">with </w:t>
      </w:r>
      <w:r w:rsidRPr="005734B8">
        <w:rPr>
          <w:rFonts w:ascii="Calibri" w:hAnsi="Calibri" w:cs="Calibri"/>
          <w:bCs/>
          <w:szCs w:val="22"/>
        </w:rPr>
        <w:t>a Term 4 grant of up to $5,000.</w:t>
      </w:r>
    </w:p>
    <w:p w14:paraId="1C34557F" w14:textId="77777777" w:rsidR="001F3496" w:rsidRPr="005734B8" w:rsidRDefault="001F3496" w:rsidP="001F3496">
      <w:pPr>
        <w:rPr>
          <w:rFonts w:ascii="Calibri" w:hAnsi="Calibri" w:cs="Calibri"/>
          <w:highlight w:val="yellow"/>
        </w:rPr>
      </w:pPr>
    </w:p>
    <w:p w14:paraId="1EC09AD1" w14:textId="77777777" w:rsidR="001F3496" w:rsidRPr="005734B8" w:rsidRDefault="001F3496" w:rsidP="001F3496">
      <w:pPr>
        <w:rPr>
          <w:rFonts w:ascii="Calibri" w:hAnsi="Calibri" w:cs="Calibri"/>
          <w:i/>
          <w:iCs/>
        </w:rPr>
      </w:pPr>
      <w:r w:rsidRPr="005734B8">
        <w:rPr>
          <w:rFonts w:ascii="Calibri" w:hAnsi="Calibri" w:cs="Calibri"/>
          <w:i/>
          <w:iCs/>
        </w:rPr>
        <w:t>School education</w:t>
      </w:r>
    </w:p>
    <w:p w14:paraId="5E0007CF" w14:textId="77777777" w:rsidR="001F3496" w:rsidRPr="005734B8" w:rsidRDefault="001F3496" w:rsidP="001F3496">
      <w:pPr>
        <w:rPr>
          <w:rFonts w:ascii="Calibri" w:hAnsi="Calibri" w:cs="Calibri"/>
          <w:highlight w:val="yellow"/>
        </w:rPr>
      </w:pPr>
      <w:r w:rsidRPr="005734B8">
        <w:rPr>
          <w:rFonts w:ascii="Calibri" w:hAnsi="Calibri" w:cs="Calibri"/>
        </w:rPr>
        <w:t>Student wellbeing factors, such as feeling safe and connected to school, are important for student happiness and other aspects of school life. The Student Attitudes to School Survey measures government school students’ responses to various aspects of school life, including how connected they feel to school, their sense of safety at school and the behaviour of students in their classroom.</w:t>
      </w:r>
      <w:r w:rsidRPr="005734B8">
        <w:rPr>
          <w:rFonts w:ascii="Calibri" w:hAnsi="Calibri" w:cs="Calibri"/>
          <w:highlight w:val="yellow"/>
        </w:rPr>
        <w:t xml:space="preserve"> </w:t>
      </w:r>
    </w:p>
    <w:p w14:paraId="42387FC5" w14:textId="77777777" w:rsidR="001F3496" w:rsidRPr="005734B8" w:rsidRDefault="001F3496" w:rsidP="001F3496">
      <w:pPr>
        <w:rPr>
          <w:rFonts w:ascii="Calibri" w:hAnsi="Calibri" w:cs="Calibri"/>
          <w:highlight w:val="yellow"/>
        </w:rPr>
      </w:pPr>
    </w:p>
    <w:p w14:paraId="0C8A6DCE" w14:textId="28F9618C" w:rsidR="001F3496" w:rsidRPr="005734B8" w:rsidRDefault="001F3496" w:rsidP="001F3496">
      <w:pPr>
        <w:rPr>
          <w:rFonts w:ascii="Calibri" w:hAnsi="Calibri" w:cs="Calibri"/>
        </w:rPr>
      </w:pPr>
      <w:r w:rsidRPr="005734B8">
        <w:rPr>
          <w:rFonts w:ascii="Calibri" w:hAnsi="Calibri" w:cs="Calibri"/>
        </w:rPr>
        <w:t xml:space="preserve">Most government school students – nearly </w:t>
      </w:r>
      <w:r w:rsidR="00EB3C58" w:rsidRPr="005734B8">
        <w:rPr>
          <w:rFonts w:ascii="Calibri" w:hAnsi="Calibri" w:cs="Calibri"/>
        </w:rPr>
        <w:t>80 per cent of</w:t>
      </w:r>
      <w:r w:rsidRPr="005734B8">
        <w:rPr>
          <w:rFonts w:ascii="Calibri" w:hAnsi="Calibri" w:cs="Calibri"/>
        </w:rPr>
        <w:t xml:space="preserve"> primary and nearly </w:t>
      </w:r>
      <w:r w:rsidR="00EB3C58" w:rsidRPr="005734B8">
        <w:rPr>
          <w:rFonts w:ascii="Calibri" w:hAnsi="Calibri" w:cs="Calibri"/>
        </w:rPr>
        <w:t>60 per cent of</w:t>
      </w:r>
      <w:r w:rsidRPr="005734B8">
        <w:rPr>
          <w:rFonts w:ascii="Calibri" w:hAnsi="Calibri" w:cs="Calibri"/>
        </w:rPr>
        <w:t xml:space="preserve"> secondary students – reported feeling connected to their schooling. Results from 2020 indicated that while the proportion of primary school students feeling connected to their schooling </w:t>
      </w:r>
      <w:r w:rsidR="00EB3C58" w:rsidRPr="005734B8">
        <w:rPr>
          <w:rFonts w:ascii="Calibri" w:hAnsi="Calibri" w:cs="Calibri"/>
        </w:rPr>
        <w:t xml:space="preserve">declined </w:t>
      </w:r>
      <w:r w:rsidRPr="005734B8">
        <w:rPr>
          <w:rFonts w:ascii="Calibri" w:hAnsi="Calibri" w:cs="Calibri"/>
        </w:rPr>
        <w:t xml:space="preserve">slightly, secondary school student results increased. Caution should be taken when comparing these results to prior years due to changes to the timing, question structure and participation rates of the 2020 survey. </w:t>
      </w:r>
    </w:p>
    <w:p w14:paraId="35A32505" w14:textId="77777777" w:rsidR="001F3496" w:rsidRPr="005734B8" w:rsidRDefault="001F3496" w:rsidP="001F3496">
      <w:pPr>
        <w:rPr>
          <w:rFonts w:ascii="Calibri" w:hAnsi="Calibri" w:cs="Calibri"/>
        </w:rPr>
      </w:pPr>
    </w:p>
    <w:p w14:paraId="3A194322" w14:textId="53E35EBC" w:rsidR="001F3496" w:rsidRPr="005734B8" w:rsidRDefault="001F3496" w:rsidP="001F3496">
      <w:pPr>
        <w:rPr>
          <w:rFonts w:ascii="Calibri" w:hAnsi="Calibri" w:cs="Calibri"/>
          <w:szCs w:val="22"/>
        </w:rPr>
      </w:pPr>
      <w:r w:rsidRPr="005734B8">
        <w:rPr>
          <w:rFonts w:ascii="Calibri" w:hAnsi="Calibri" w:cs="Calibri"/>
        </w:rPr>
        <w:t xml:space="preserve">Feeling safe at school is an important element of student engagement. Most students agree or strongly agree that </w:t>
      </w:r>
      <w:r w:rsidRPr="005734B8">
        <w:rPr>
          <w:rFonts w:ascii="Calibri" w:hAnsi="Calibri" w:cs="Calibri"/>
          <w:szCs w:val="22"/>
        </w:rPr>
        <w:t xml:space="preserve">their teacher sets clear rules and manages misbehaviour effectively. At this time, it is not clear whether remote learning contributed to a small decline in primary school student responses compared with an increase in secondary school responses. The proportion of government school students experiencing bullying has declined progressively since 2017. Senior secondary students are the most likely to report that they have not been bullied. </w:t>
      </w:r>
    </w:p>
    <w:p w14:paraId="76313003" w14:textId="77777777" w:rsidR="001F3496" w:rsidRPr="005734B8" w:rsidRDefault="001F3496" w:rsidP="001F3496">
      <w:pPr>
        <w:rPr>
          <w:rFonts w:ascii="Calibri" w:hAnsi="Calibri" w:cs="Calibri"/>
        </w:rPr>
      </w:pPr>
    </w:p>
    <w:p w14:paraId="580BD9ED" w14:textId="6B2C28ED" w:rsidR="001F3496" w:rsidRPr="005734B8" w:rsidRDefault="001F3496" w:rsidP="001F3496">
      <w:pPr>
        <w:rPr>
          <w:rFonts w:ascii="Calibri" w:hAnsi="Calibri" w:cs="Calibri"/>
        </w:rPr>
      </w:pPr>
      <w:r w:rsidRPr="005734B8">
        <w:rPr>
          <w:rFonts w:ascii="Calibri" w:hAnsi="Calibri" w:cs="Calibri"/>
        </w:rPr>
        <w:t xml:space="preserve">Substantial </w:t>
      </w:r>
      <w:r w:rsidR="009172F9">
        <w:rPr>
          <w:rFonts w:ascii="Calibri" w:hAnsi="Calibri" w:cs="Calibri"/>
        </w:rPr>
        <w:t>progress</w:t>
      </w:r>
      <w:r w:rsidRPr="005734B8">
        <w:rPr>
          <w:rFonts w:ascii="Calibri" w:hAnsi="Calibri" w:cs="Calibri"/>
        </w:rPr>
        <w:t xml:space="preserve"> </w:t>
      </w:r>
      <w:r w:rsidR="009172F9">
        <w:rPr>
          <w:rFonts w:ascii="Calibri" w:hAnsi="Calibri" w:cs="Calibri"/>
        </w:rPr>
        <w:t>has</w:t>
      </w:r>
      <w:r w:rsidRPr="005734B8">
        <w:rPr>
          <w:rFonts w:ascii="Calibri" w:hAnsi="Calibri" w:cs="Calibri"/>
        </w:rPr>
        <w:t xml:space="preserve"> been made</w:t>
      </w:r>
      <w:r w:rsidR="00EB3C58" w:rsidRPr="005734B8">
        <w:rPr>
          <w:rFonts w:ascii="Calibri" w:hAnsi="Calibri" w:cs="Calibri"/>
        </w:rPr>
        <w:t xml:space="preserve"> to</w:t>
      </w:r>
      <w:r w:rsidRPr="005734B8">
        <w:rPr>
          <w:rFonts w:ascii="Calibri" w:hAnsi="Calibri" w:cs="Calibri"/>
        </w:rPr>
        <w:t xml:space="preserve">, support student mental health and wellbeing as a result of the COVID-19 pandemic and in response to the Royal Commission into Mental Health Services. </w:t>
      </w:r>
      <w:r w:rsidR="00195C5F">
        <w:rPr>
          <w:rFonts w:ascii="Calibri" w:hAnsi="Calibri" w:cs="Calibri"/>
        </w:rPr>
        <w:t xml:space="preserve">The Department has </w:t>
      </w:r>
      <w:r w:rsidRPr="005734B8">
        <w:rPr>
          <w:rFonts w:ascii="Calibri" w:hAnsi="Calibri" w:cs="Calibri"/>
        </w:rPr>
        <w:t>support</w:t>
      </w:r>
      <w:r w:rsidR="00195C5F">
        <w:rPr>
          <w:rFonts w:ascii="Calibri" w:hAnsi="Calibri" w:cs="Calibri"/>
        </w:rPr>
        <w:t>ed</w:t>
      </w:r>
      <w:r w:rsidRPr="005734B8">
        <w:rPr>
          <w:rFonts w:ascii="Calibri" w:hAnsi="Calibri" w:cs="Calibri"/>
        </w:rPr>
        <w:t xml:space="preserve"> every school to employ a mental health practitioner and </w:t>
      </w:r>
      <w:r w:rsidR="009172F9">
        <w:rPr>
          <w:rFonts w:ascii="Calibri" w:hAnsi="Calibri" w:cs="Calibri"/>
        </w:rPr>
        <w:t>facilitat</w:t>
      </w:r>
      <w:r w:rsidR="00195C5F">
        <w:rPr>
          <w:rFonts w:ascii="Calibri" w:hAnsi="Calibri" w:cs="Calibri"/>
        </w:rPr>
        <w:t>ed</w:t>
      </w:r>
      <w:r w:rsidRPr="005734B8">
        <w:rPr>
          <w:rFonts w:ascii="Calibri" w:hAnsi="Calibri" w:cs="Calibri"/>
        </w:rPr>
        <w:t xml:space="preserve"> HeadSpace counselling</w:t>
      </w:r>
      <w:r w:rsidR="00195C5F">
        <w:rPr>
          <w:rFonts w:ascii="Calibri" w:hAnsi="Calibri" w:cs="Calibri"/>
        </w:rPr>
        <w:t>.</w:t>
      </w:r>
      <w:r w:rsidRPr="005734B8">
        <w:rPr>
          <w:rFonts w:ascii="Calibri" w:hAnsi="Calibri" w:cs="Calibri"/>
        </w:rPr>
        <w:t xml:space="preserve"> </w:t>
      </w:r>
      <w:r w:rsidR="00195C5F">
        <w:rPr>
          <w:rFonts w:ascii="Calibri" w:hAnsi="Calibri" w:cs="Calibri"/>
        </w:rPr>
        <w:t>T</w:t>
      </w:r>
      <w:r w:rsidRPr="005734B8">
        <w:rPr>
          <w:rFonts w:ascii="Calibri" w:hAnsi="Calibri" w:cs="Calibri"/>
        </w:rPr>
        <w:t xml:space="preserve">he 2020–21 budget </w:t>
      </w:r>
      <w:r w:rsidR="00195C5F">
        <w:rPr>
          <w:rFonts w:ascii="Calibri" w:hAnsi="Calibri" w:cs="Calibri"/>
        </w:rPr>
        <w:t xml:space="preserve">also </w:t>
      </w:r>
      <w:r w:rsidRPr="005734B8">
        <w:rPr>
          <w:rFonts w:ascii="Calibri" w:hAnsi="Calibri" w:cs="Calibri"/>
        </w:rPr>
        <w:t xml:space="preserve">included $28.5 million </w:t>
      </w:r>
      <w:r w:rsidR="00EB3C58" w:rsidRPr="005734B8">
        <w:rPr>
          <w:rFonts w:ascii="Calibri" w:hAnsi="Calibri" w:cs="Calibri"/>
        </w:rPr>
        <w:t xml:space="preserve">to </w:t>
      </w:r>
      <w:r w:rsidRPr="005734B8">
        <w:rPr>
          <w:rFonts w:ascii="Calibri" w:hAnsi="Calibri" w:cs="Calibri"/>
          <w:color w:val="000000" w:themeColor="text2"/>
          <w:szCs w:val="22"/>
        </w:rPr>
        <w:t>expand the mental health practitioners program to 83 secondary and P</w:t>
      </w:r>
      <w:r w:rsidR="00EB3C58" w:rsidRPr="005734B8">
        <w:rPr>
          <w:rFonts w:ascii="Calibri" w:hAnsi="Calibri" w:cs="Calibri"/>
          <w:color w:val="000000" w:themeColor="text2"/>
          <w:szCs w:val="22"/>
        </w:rPr>
        <w:softHyphen/>
      </w:r>
      <w:r w:rsidRPr="005734B8">
        <w:rPr>
          <w:rFonts w:ascii="Calibri" w:hAnsi="Calibri" w:cs="Calibri"/>
          <w:color w:val="000000" w:themeColor="text2"/>
          <w:szCs w:val="22"/>
        </w:rPr>
        <w:t>12 specialist schools, and the Mental Health in Primary Schools pilot and Navigator program for disengaged students</w:t>
      </w:r>
      <w:r w:rsidRPr="005734B8">
        <w:rPr>
          <w:rFonts w:ascii="Calibri" w:hAnsi="Calibri" w:cs="Calibri"/>
        </w:rPr>
        <w:t xml:space="preserve">. </w:t>
      </w:r>
      <w:r w:rsidR="00903028" w:rsidRPr="005734B8">
        <w:rPr>
          <w:rFonts w:ascii="Calibri" w:hAnsi="Calibri" w:cs="Calibri"/>
        </w:rPr>
        <w:br w:type="page"/>
      </w:r>
    </w:p>
    <w:p w14:paraId="71916D2B" w14:textId="0B5593E0" w:rsidR="001F3496" w:rsidRPr="005734B8" w:rsidRDefault="001F3496" w:rsidP="001F3496">
      <w:pPr>
        <w:rPr>
          <w:rFonts w:ascii="Calibri" w:hAnsi="Calibri" w:cs="Calibri"/>
          <w:i/>
          <w:iCs/>
        </w:rPr>
      </w:pPr>
      <w:r w:rsidRPr="005734B8">
        <w:rPr>
          <w:rFonts w:ascii="Calibri" w:hAnsi="Calibri" w:cs="Calibri"/>
          <w:i/>
          <w:iCs/>
        </w:rPr>
        <w:lastRenderedPageBreak/>
        <w:t xml:space="preserve">Higher education and skills </w:t>
      </w:r>
    </w:p>
    <w:p w14:paraId="010D744B" w14:textId="4C1F1296" w:rsidR="00896BCB" w:rsidRPr="005734B8" w:rsidRDefault="001F3496" w:rsidP="00896BCB">
      <w:pPr>
        <w:rPr>
          <w:rFonts w:ascii="Calibri" w:hAnsi="Calibri" w:cs="Calibri"/>
        </w:rPr>
      </w:pPr>
      <w:r w:rsidRPr="005734B8">
        <w:rPr>
          <w:rFonts w:ascii="Calibri" w:hAnsi="Calibri" w:cs="Calibri"/>
        </w:rPr>
        <w:t xml:space="preserve">Surveys of students in relation to their experiences showed that satisfaction levels with VET continue to rise. The proportion of government-funded graduates satisfied with the quality of training increased from 84.3 per cent in 2016 to 87.3 per cent in 2020. </w:t>
      </w:r>
    </w:p>
    <w:p w14:paraId="3E61A4D3" w14:textId="77777777" w:rsidR="00EB041C" w:rsidRPr="005734B8" w:rsidRDefault="00EB041C" w:rsidP="00EB041C">
      <w:pPr>
        <w:pStyle w:val="ESTableintroheading"/>
        <w:rPr>
          <w:rFonts w:ascii="Calibri" w:hAnsi="Calibri" w:cs="Calibri"/>
        </w:rPr>
      </w:pPr>
      <w:r w:rsidRPr="005734B8">
        <w:rPr>
          <w:rFonts w:ascii="Calibri" w:hAnsi="Calibri" w:cs="Calibri"/>
        </w:rPr>
        <w:t>Departmental indicators against wellbeing</w:t>
      </w:r>
    </w:p>
    <w:tbl>
      <w:tblPr>
        <w:tblStyle w:val="TableGrid"/>
        <w:tblW w:w="506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58"/>
        <w:gridCol w:w="1173"/>
        <w:gridCol w:w="1116"/>
        <w:gridCol w:w="1116"/>
        <w:gridCol w:w="1117"/>
        <w:gridCol w:w="1116"/>
        <w:gridCol w:w="1117"/>
        <w:gridCol w:w="9"/>
      </w:tblGrid>
      <w:tr w:rsidR="00B02BF1" w:rsidRPr="005734B8" w14:paraId="4375EC04" w14:textId="77777777" w:rsidTr="00D64168">
        <w:trPr>
          <w:gridAfter w:val="1"/>
          <w:wAfter w:w="9" w:type="dxa"/>
          <w:trHeight w:val="242"/>
          <w:tblHeader/>
        </w:trPr>
        <w:tc>
          <w:tcPr>
            <w:tcW w:w="2358" w:type="dxa"/>
            <w:tcBorders>
              <w:bottom w:val="single" w:sz="4" w:space="0" w:color="FFFFFF" w:themeColor="background1"/>
            </w:tcBorders>
            <w:shd w:val="clear" w:color="auto" w:fill="AF272F" w:themeFill="accent4"/>
          </w:tcPr>
          <w:p w14:paraId="22217099" w14:textId="77777777" w:rsidR="00B02BF1" w:rsidRPr="005734B8" w:rsidRDefault="00B02BF1" w:rsidP="000C192E">
            <w:pPr>
              <w:pStyle w:val="ESTableheadingwhite"/>
              <w:rPr>
                <w:rFonts w:ascii="Calibri" w:hAnsi="Calibri" w:cs="Calibri"/>
                <w:sz w:val="18"/>
              </w:rPr>
            </w:pPr>
            <w:bookmarkStart w:id="150" w:name="_Toc11158161"/>
            <w:bookmarkStart w:id="151" w:name="_Toc11336168"/>
            <w:bookmarkStart w:id="152" w:name="_Toc14965391"/>
            <w:bookmarkStart w:id="153" w:name="_Toc19271970"/>
            <w:bookmarkStart w:id="154" w:name="_Toc19272336"/>
            <w:bookmarkStart w:id="155" w:name="_Toc19273671"/>
            <w:bookmarkStart w:id="156" w:name="_Toc39835761"/>
            <w:r w:rsidRPr="005734B8">
              <w:rPr>
                <w:rFonts w:ascii="Calibri" w:hAnsi="Calibri" w:cs="Calibri"/>
                <w:sz w:val="18"/>
                <w:lang w:val="en-AU"/>
              </w:rPr>
              <w:t>Indicators</w:t>
            </w:r>
          </w:p>
        </w:tc>
        <w:tc>
          <w:tcPr>
            <w:tcW w:w="1173" w:type="dxa"/>
            <w:tcBorders>
              <w:bottom w:val="single" w:sz="4" w:space="0" w:color="FFFFFF" w:themeColor="background1"/>
            </w:tcBorders>
            <w:shd w:val="clear" w:color="auto" w:fill="AF272F" w:themeFill="accent4"/>
          </w:tcPr>
          <w:p w14:paraId="77E95DF1" w14:textId="77777777" w:rsidR="00B02BF1" w:rsidRPr="005734B8" w:rsidRDefault="00B02BF1" w:rsidP="000C192E">
            <w:pPr>
              <w:pStyle w:val="ESTableheadingwhite"/>
              <w:jc w:val="center"/>
              <w:rPr>
                <w:rFonts w:ascii="Calibri" w:hAnsi="Calibri" w:cs="Calibri"/>
                <w:sz w:val="18"/>
              </w:rPr>
            </w:pPr>
            <w:r w:rsidRPr="005734B8">
              <w:rPr>
                <w:rFonts w:ascii="Calibri" w:hAnsi="Calibri" w:cs="Calibri"/>
                <w:sz w:val="18"/>
                <w:lang w:val="en-AU"/>
              </w:rPr>
              <w:t>Unit</w:t>
            </w:r>
          </w:p>
        </w:tc>
        <w:tc>
          <w:tcPr>
            <w:tcW w:w="1116" w:type="dxa"/>
            <w:tcBorders>
              <w:bottom w:val="single" w:sz="4" w:space="0" w:color="FFFFFF" w:themeColor="background1"/>
            </w:tcBorders>
            <w:shd w:val="clear" w:color="auto" w:fill="AF272F" w:themeFill="accent4"/>
          </w:tcPr>
          <w:p w14:paraId="4EC5E7E0" w14:textId="77777777" w:rsidR="00B02BF1" w:rsidRPr="005734B8" w:rsidRDefault="00B02BF1" w:rsidP="000C192E">
            <w:pPr>
              <w:pStyle w:val="ESTableheadingwhite"/>
              <w:jc w:val="right"/>
              <w:rPr>
                <w:rFonts w:ascii="Calibri" w:hAnsi="Calibri" w:cs="Calibri"/>
                <w:sz w:val="18"/>
              </w:rPr>
            </w:pPr>
            <w:r w:rsidRPr="005734B8">
              <w:rPr>
                <w:rFonts w:ascii="Calibri" w:hAnsi="Calibri" w:cs="Calibri"/>
                <w:sz w:val="18"/>
                <w:lang w:val="en-AU"/>
              </w:rPr>
              <w:t>2016</w:t>
            </w:r>
          </w:p>
        </w:tc>
        <w:tc>
          <w:tcPr>
            <w:tcW w:w="1116" w:type="dxa"/>
            <w:tcBorders>
              <w:bottom w:val="single" w:sz="4" w:space="0" w:color="FFFFFF" w:themeColor="background1"/>
            </w:tcBorders>
            <w:shd w:val="clear" w:color="auto" w:fill="AF272F" w:themeFill="accent4"/>
          </w:tcPr>
          <w:p w14:paraId="195D69FF" w14:textId="77777777" w:rsidR="00B02BF1" w:rsidRPr="005734B8" w:rsidRDefault="00B02BF1" w:rsidP="000C192E">
            <w:pPr>
              <w:pStyle w:val="ESTableheadingwhite"/>
              <w:jc w:val="right"/>
              <w:rPr>
                <w:rFonts w:ascii="Calibri" w:hAnsi="Calibri" w:cs="Calibri"/>
                <w:sz w:val="18"/>
              </w:rPr>
            </w:pPr>
            <w:r w:rsidRPr="005734B8">
              <w:rPr>
                <w:rFonts w:ascii="Calibri" w:hAnsi="Calibri" w:cs="Calibri"/>
                <w:sz w:val="18"/>
                <w:lang w:val="en-AU"/>
              </w:rPr>
              <w:t>2017</w:t>
            </w:r>
          </w:p>
        </w:tc>
        <w:tc>
          <w:tcPr>
            <w:tcW w:w="1117" w:type="dxa"/>
            <w:tcBorders>
              <w:bottom w:val="single" w:sz="4" w:space="0" w:color="FFFFFF" w:themeColor="background1"/>
            </w:tcBorders>
            <w:shd w:val="clear" w:color="auto" w:fill="AF272F" w:themeFill="accent4"/>
          </w:tcPr>
          <w:p w14:paraId="2FB82B83" w14:textId="77777777" w:rsidR="00B02BF1" w:rsidRPr="005734B8" w:rsidRDefault="00B02BF1" w:rsidP="000C192E">
            <w:pPr>
              <w:pStyle w:val="ESTableheadingwhite"/>
              <w:jc w:val="right"/>
              <w:rPr>
                <w:rFonts w:ascii="Calibri" w:hAnsi="Calibri" w:cs="Calibri"/>
                <w:sz w:val="18"/>
              </w:rPr>
            </w:pPr>
            <w:r w:rsidRPr="005734B8">
              <w:rPr>
                <w:rFonts w:ascii="Calibri" w:hAnsi="Calibri" w:cs="Calibri"/>
                <w:sz w:val="18"/>
                <w:lang w:val="en-AU"/>
              </w:rPr>
              <w:t>2018</w:t>
            </w:r>
          </w:p>
        </w:tc>
        <w:tc>
          <w:tcPr>
            <w:tcW w:w="1116" w:type="dxa"/>
            <w:tcBorders>
              <w:bottom w:val="single" w:sz="4" w:space="0" w:color="FFFFFF" w:themeColor="background1"/>
            </w:tcBorders>
            <w:shd w:val="clear" w:color="auto" w:fill="AF272F" w:themeFill="accent4"/>
          </w:tcPr>
          <w:p w14:paraId="476A0C31" w14:textId="77777777" w:rsidR="00B02BF1" w:rsidRPr="005734B8" w:rsidRDefault="00B02BF1" w:rsidP="000C192E">
            <w:pPr>
              <w:pStyle w:val="ESTableheadingwhite"/>
              <w:jc w:val="right"/>
              <w:rPr>
                <w:rFonts w:ascii="Calibri" w:hAnsi="Calibri" w:cs="Calibri"/>
                <w:sz w:val="18"/>
              </w:rPr>
            </w:pPr>
            <w:r w:rsidRPr="005734B8">
              <w:rPr>
                <w:rFonts w:ascii="Calibri" w:hAnsi="Calibri" w:cs="Calibri"/>
                <w:sz w:val="18"/>
                <w:lang w:val="en-AU"/>
              </w:rPr>
              <w:t>2019</w:t>
            </w:r>
          </w:p>
        </w:tc>
        <w:tc>
          <w:tcPr>
            <w:tcW w:w="1117" w:type="dxa"/>
            <w:tcBorders>
              <w:bottom w:val="single" w:sz="4" w:space="0" w:color="FFFFFF" w:themeColor="background1"/>
            </w:tcBorders>
            <w:shd w:val="clear" w:color="auto" w:fill="AF272F" w:themeFill="accent4"/>
          </w:tcPr>
          <w:p w14:paraId="4A629834" w14:textId="77777777" w:rsidR="00B02BF1" w:rsidRPr="005734B8" w:rsidRDefault="00B02BF1" w:rsidP="000C192E">
            <w:pPr>
              <w:pStyle w:val="ESTableheadingwhite"/>
              <w:jc w:val="right"/>
              <w:rPr>
                <w:rFonts w:ascii="Calibri" w:hAnsi="Calibri" w:cs="Calibri"/>
                <w:sz w:val="18"/>
              </w:rPr>
            </w:pPr>
            <w:r w:rsidRPr="005734B8">
              <w:rPr>
                <w:rFonts w:ascii="Calibri" w:hAnsi="Calibri" w:cs="Calibri"/>
                <w:sz w:val="18"/>
                <w:lang w:val="en-AU"/>
              </w:rPr>
              <w:t>2020</w:t>
            </w:r>
          </w:p>
        </w:tc>
      </w:tr>
      <w:tr w:rsidR="00B02BF1" w:rsidRPr="005734B8" w14:paraId="07F64C66" w14:textId="77777777" w:rsidTr="00D64168">
        <w:tc>
          <w:tcPr>
            <w:tcW w:w="9122" w:type="dxa"/>
            <w:gridSpan w:val="8"/>
            <w:tcBorders>
              <w:bottom w:val="single" w:sz="4" w:space="0" w:color="53565A" w:themeColor="accent5"/>
            </w:tcBorders>
            <w:shd w:val="clear" w:color="auto" w:fill="53565A" w:themeFill="accent5"/>
          </w:tcPr>
          <w:p w14:paraId="1DEC293A" w14:textId="77777777" w:rsidR="00B02BF1" w:rsidRPr="005734B8" w:rsidRDefault="00B02BF1" w:rsidP="000C192E">
            <w:pPr>
              <w:pStyle w:val="W1"/>
              <w:rPr>
                <w:rFonts w:ascii="Calibri" w:hAnsi="Calibri" w:cs="Calibri"/>
                <w:sz w:val="18"/>
              </w:rPr>
            </w:pPr>
            <w:r w:rsidRPr="005734B8">
              <w:rPr>
                <w:rFonts w:ascii="Calibri" w:hAnsi="Calibri" w:cs="Calibri"/>
                <w:sz w:val="18"/>
              </w:rPr>
              <w:t>Early childhood development</w:t>
            </w:r>
          </w:p>
        </w:tc>
      </w:tr>
      <w:tr w:rsidR="00B02BF1" w:rsidRPr="005734B8" w14:paraId="64685FA4" w14:textId="77777777" w:rsidTr="00D64168">
        <w:tc>
          <w:tcPr>
            <w:tcW w:w="9122" w:type="dxa"/>
            <w:gridSpan w:val="8"/>
            <w:tcBorders>
              <w:top w:val="single" w:sz="4" w:space="0" w:color="53565A" w:themeColor="accent5"/>
              <w:bottom w:val="single" w:sz="4" w:space="0" w:color="53565A" w:themeColor="accent5"/>
            </w:tcBorders>
            <w:shd w:val="clear" w:color="auto" w:fill="D9D9D6" w:themeFill="accent6"/>
          </w:tcPr>
          <w:p w14:paraId="0EDD8C9F" w14:textId="40EC8B84" w:rsidR="00B02BF1" w:rsidRPr="005734B8" w:rsidRDefault="00B02BF1" w:rsidP="000C192E">
            <w:pPr>
              <w:pStyle w:val="ESTablenumberrightaligned"/>
              <w:jc w:val="left"/>
              <w:rPr>
                <w:rFonts w:ascii="Calibri" w:hAnsi="Calibri" w:cs="Calibri"/>
                <w:b/>
                <w:sz w:val="18"/>
              </w:rPr>
            </w:pPr>
            <w:r w:rsidRPr="005734B8">
              <w:rPr>
                <w:rFonts w:ascii="Calibri" w:hAnsi="Calibri" w:cs="Calibri"/>
                <w:b/>
                <w:sz w:val="18"/>
                <w:lang w:val="en-AU"/>
              </w:rPr>
              <w:t>Proportion of children who have no behavioural issues on entry into Prep</w:t>
            </w:r>
            <w:r w:rsidRPr="005734B8">
              <w:rPr>
                <w:rStyle w:val="FootnoteReference"/>
                <w:rFonts w:ascii="Calibri" w:hAnsi="Calibri" w:cs="Calibri"/>
                <w:b/>
                <w:sz w:val="18"/>
                <w:lang w:val="en-AU"/>
              </w:rPr>
              <w:footnoteReference w:id="23"/>
            </w:r>
          </w:p>
        </w:tc>
      </w:tr>
      <w:tr w:rsidR="00B02BF1" w:rsidRPr="005734B8" w14:paraId="79368F7D" w14:textId="77777777" w:rsidTr="00D64168">
        <w:trPr>
          <w:gridAfter w:val="1"/>
          <w:wAfter w:w="9" w:type="dxa"/>
        </w:trPr>
        <w:tc>
          <w:tcPr>
            <w:tcW w:w="2358" w:type="dxa"/>
            <w:tcBorders>
              <w:top w:val="single" w:sz="4" w:space="0" w:color="53565A" w:themeColor="accent5"/>
              <w:bottom w:val="single" w:sz="4" w:space="0" w:color="53565A" w:themeColor="accent5"/>
            </w:tcBorders>
            <w:shd w:val="clear" w:color="auto" w:fill="auto"/>
          </w:tcPr>
          <w:p w14:paraId="1329F30B" w14:textId="77777777" w:rsidR="00B02BF1" w:rsidRPr="005734B8" w:rsidRDefault="00B02BF1" w:rsidP="000C192E">
            <w:pPr>
              <w:pStyle w:val="ESTablebody"/>
              <w:rPr>
                <w:rFonts w:ascii="Calibri" w:hAnsi="Calibri" w:cs="Calibri"/>
                <w:sz w:val="18"/>
              </w:rPr>
            </w:pPr>
            <w:r w:rsidRPr="005734B8">
              <w:rPr>
                <w:rFonts w:ascii="Calibri" w:hAnsi="Calibri" w:cs="Calibri"/>
                <w:sz w:val="18"/>
                <w:lang w:val="en-AU"/>
              </w:rPr>
              <w:t>Proportion of children who have no behavioural issues on entry into Prep</w:t>
            </w:r>
          </w:p>
        </w:tc>
        <w:tc>
          <w:tcPr>
            <w:tcW w:w="1173" w:type="dxa"/>
            <w:tcBorders>
              <w:top w:val="single" w:sz="4" w:space="0" w:color="53565A" w:themeColor="accent5"/>
              <w:bottom w:val="single" w:sz="4" w:space="0" w:color="53565A" w:themeColor="accent5"/>
            </w:tcBorders>
            <w:shd w:val="clear" w:color="auto" w:fill="auto"/>
          </w:tcPr>
          <w:p w14:paraId="4B5DA604" w14:textId="77777777" w:rsidR="00B02BF1" w:rsidRPr="005734B8" w:rsidRDefault="00B02BF1" w:rsidP="000C192E">
            <w:pPr>
              <w:pStyle w:val="ESTablenumberrightaligned"/>
              <w:rPr>
                <w:rFonts w:ascii="Calibri" w:hAnsi="Calibri" w:cs="Calibri"/>
                <w:sz w:val="18"/>
              </w:rPr>
            </w:pPr>
            <w:r w:rsidRPr="005734B8">
              <w:rPr>
                <w:rFonts w:ascii="Calibri" w:hAnsi="Calibri" w:cs="Calibri"/>
                <w:sz w:val="18"/>
                <w:lang w:val="en-AU"/>
              </w:rPr>
              <w:t>per cent</w:t>
            </w:r>
          </w:p>
        </w:tc>
        <w:tc>
          <w:tcPr>
            <w:tcW w:w="1116" w:type="dxa"/>
            <w:tcBorders>
              <w:top w:val="single" w:sz="4" w:space="0" w:color="53565A" w:themeColor="accent5"/>
              <w:bottom w:val="single" w:sz="4" w:space="0" w:color="53565A" w:themeColor="accent5"/>
            </w:tcBorders>
            <w:shd w:val="clear" w:color="auto" w:fill="FFFFFF" w:themeFill="background1"/>
          </w:tcPr>
          <w:p w14:paraId="62B6CA0F" w14:textId="77777777" w:rsidR="00B02BF1" w:rsidRPr="005734B8" w:rsidRDefault="00B02BF1" w:rsidP="000C192E">
            <w:pPr>
              <w:pStyle w:val="ESTablenumberrightaligned"/>
              <w:rPr>
                <w:rFonts w:ascii="Calibri" w:hAnsi="Calibri" w:cs="Calibri"/>
                <w:sz w:val="18"/>
              </w:rPr>
            </w:pPr>
            <w:r w:rsidRPr="005734B8">
              <w:rPr>
                <w:rFonts w:ascii="Calibri" w:hAnsi="Calibri" w:cs="Calibri"/>
              </w:rPr>
              <w:t>83.9</w:t>
            </w:r>
          </w:p>
        </w:tc>
        <w:tc>
          <w:tcPr>
            <w:tcW w:w="1116" w:type="dxa"/>
            <w:tcBorders>
              <w:top w:val="single" w:sz="4" w:space="0" w:color="53565A" w:themeColor="accent5"/>
              <w:bottom w:val="single" w:sz="4" w:space="0" w:color="53565A" w:themeColor="accent5"/>
            </w:tcBorders>
          </w:tcPr>
          <w:p w14:paraId="19727CCA" w14:textId="77777777" w:rsidR="00B02BF1" w:rsidRPr="005734B8" w:rsidRDefault="00B02BF1" w:rsidP="000C192E">
            <w:pPr>
              <w:pStyle w:val="ESTablenumberrightaligned"/>
              <w:rPr>
                <w:rFonts w:ascii="Calibri" w:hAnsi="Calibri" w:cs="Calibri"/>
                <w:sz w:val="18"/>
              </w:rPr>
            </w:pPr>
            <w:r w:rsidRPr="005734B8">
              <w:rPr>
                <w:rFonts w:ascii="Calibri" w:hAnsi="Calibri" w:cs="Calibri"/>
              </w:rPr>
              <w:t>82.7</w:t>
            </w:r>
          </w:p>
        </w:tc>
        <w:tc>
          <w:tcPr>
            <w:tcW w:w="1117" w:type="dxa"/>
            <w:tcBorders>
              <w:top w:val="single" w:sz="4" w:space="0" w:color="53565A" w:themeColor="accent5"/>
              <w:bottom w:val="single" w:sz="4" w:space="0" w:color="53565A" w:themeColor="accent5"/>
            </w:tcBorders>
          </w:tcPr>
          <w:p w14:paraId="582A14F8" w14:textId="77777777" w:rsidR="00B02BF1" w:rsidRPr="005734B8" w:rsidRDefault="00B02BF1" w:rsidP="000C192E">
            <w:pPr>
              <w:pStyle w:val="ESTablenumberrightaligned"/>
              <w:rPr>
                <w:rFonts w:ascii="Calibri" w:hAnsi="Calibri" w:cs="Calibri"/>
                <w:sz w:val="18"/>
              </w:rPr>
            </w:pPr>
            <w:r w:rsidRPr="005734B8">
              <w:rPr>
                <w:rFonts w:ascii="Calibri" w:hAnsi="Calibri" w:cs="Calibri"/>
              </w:rPr>
              <w:t>80.3</w:t>
            </w:r>
          </w:p>
        </w:tc>
        <w:tc>
          <w:tcPr>
            <w:tcW w:w="1116" w:type="dxa"/>
            <w:tcBorders>
              <w:top w:val="single" w:sz="4" w:space="0" w:color="53565A" w:themeColor="accent5"/>
              <w:bottom w:val="single" w:sz="4" w:space="0" w:color="53565A" w:themeColor="accent5"/>
            </w:tcBorders>
          </w:tcPr>
          <w:p w14:paraId="617341C9" w14:textId="77777777" w:rsidR="00B02BF1" w:rsidRPr="005734B8" w:rsidRDefault="00B02BF1" w:rsidP="000C192E">
            <w:pPr>
              <w:pStyle w:val="ESTablenumberrightaligned"/>
              <w:rPr>
                <w:rFonts w:ascii="Calibri" w:hAnsi="Calibri" w:cs="Calibri"/>
                <w:sz w:val="18"/>
              </w:rPr>
            </w:pPr>
            <w:r w:rsidRPr="005734B8">
              <w:rPr>
                <w:rFonts w:ascii="Calibri" w:hAnsi="Calibri" w:cs="Calibri"/>
              </w:rPr>
              <w:t>77.9</w:t>
            </w:r>
          </w:p>
        </w:tc>
        <w:tc>
          <w:tcPr>
            <w:tcW w:w="1117" w:type="dxa"/>
            <w:tcBorders>
              <w:top w:val="single" w:sz="4" w:space="0" w:color="53565A" w:themeColor="accent5"/>
              <w:bottom w:val="single" w:sz="4" w:space="0" w:color="53565A" w:themeColor="accent5"/>
            </w:tcBorders>
          </w:tcPr>
          <w:p w14:paraId="1DAFB81A" w14:textId="77777777" w:rsidR="00B02BF1" w:rsidRPr="005734B8" w:rsidRDefault="00B02BF1" w:rsidP="000C192E">
            <w:pPr>
              <w:pStyle w:val="ESTablenumberrightaligned"/>
              <w:rPr>
                <w:rFonts w:ascii="Calibri" w:hAnsi="Calibri" w:cs="Calibri"/>
                <w:sz w:val="18"/>
              </w:rPr>
            </w:pPr>
            <w:r w:rsidRPr="005734B8">
              <w:rPr>
                <w:rFonts w:ascii="Calibri" w:hAnsi="Calibri" w:cs="Calibri"/>
              </w:rPr>
              <w:t>78.0</w:t>
            </w:r>
          </w:p>
        </w:tc>
      </w:tr>
      <w:tr w:rsidR="00B02BF1" w:rsidRPr="005734B8" w14:paraId="38D2A6AC" w14:textId="77777777" w:rsidTr="00D64168">
        <w:trPr>
          <w:gridAfter w:val="1"/>
          <w:wAfter w:w="9" w:type="dxa"/>
        </w:trPr>
        <w:tc>
          <w:tcPr>
            <w:tcW w:w="2358" w:type="dxa"/>
            <w:tcBorders>
              <w:top w:val="single" w:sz="4" w:space="0" w:color="53565A" w:themeColor="accent5"/>
              <w:bottom w:val="single" w:sz="4" w:space="0" w:color="53565A" w:themeColor="accent5"/>
            </w:tcBorders>
            <w:shd w:val="clear" w:color="auto" w:fill="auto"/>
          </w:tcPr>
          <w:p w14:paraId="3D2BAAA4" w14:textId="77777777" w:rsidR="00B02BF1" w:rsidRPr="005734B8" w:rsidRDefault="00B02BF1" w:rsidP="000C192E">
            <w:pPr>
              <w:pStyle w:val="ESTablebody"/>
              <w:rPr>
                <w:rFonts w:ascii="Calibri" w:hAnsi="Calibri" w:cs="Calibri"/>
                <w:sz w:val="18"/>
                <w:lang w:val="en-AU"/>
              </w:rPr>
            </w:pPr>
            <w:r w:rsidRPr="005734B8">
              <w:rPr>
                <w:rFonts w:ascii="Calibri" w:hAnsi="Calibri" w:cs="Calibri"/>
                <w:sz w:val="18"/>
                <w:lang w:val="en-AU"/>
              </w:rPr>
              <w:t>Proportion of children who have no general developmental issues identified by parents on entry into Prep</w:t>
            </w:r>
          </w:p>
        </w:tc>
        <w:tc>
          <w:tcPr>
            <w:tcW w:w="1173" w:type="dxa"/>
            <w:tcBorders>
              <w:top w:val="single" w:sz="4" w:space="0" w:color="53565A" w:themeColor="accent5"/>
              <w:bottom w:val="single" w:sz="4" w:space="0" w:color="53565A" w:themeColor="accent5"/>
            </w:tcBorders>
            <w:shd w:val="clear" w:color="auto" w:fill="auto"/>
          </w:tcPr>
          <w:p w14:paraId="4F3E35B6"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16" w:type="dxa"/>
            <w:tcBorders>
              <w:top w:val="single" w:sz="4" w:space="0" w:color="53565A" w:themeColor="accent5"/>
              <w:bottom w:val="single" w:sz="4" w:space="0" w:color="53565A" w:themeColor="accent5"/>
            </w:tcBorders>
            <w:shd w:val="clear" w:color="auto" w:fill="FFFFFF" w:themeFill="background1"/>
          </w:tcPr>
          <w:p w14:paraId="209F62AF"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45.6</w:t>
            </w:r>
          </w:p>
        </w:tc>
        <w:tc>
          <w:tcPr>
            <w:tcW w:w="1116" w:type="dxa"/>
            <w:tcBorders>
              <w:top w:val="single" w:sz="4" w:space="0" w:color="53565A" w:themeColor="accent5"/>
              <w:bottom w:val="single" w:sz="4" w:space="0" w:color="53565A" w:themeColor="accent5"/>
            </w:tcBorders>
          </w:tcPr>
          <w:p w14:paraId="1D9985B4"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43.8</w:t>
            </w:r>
          </w:p>
        </w:tc>
        <w:tc>
          <w:tcPr>
            <w:tcW w:w="1117" w:type="dxa"/>
            <w:tcBorders>
              <w:top w:val="single" w:sz="4" w:space="0" w:color="53565A" w:themeColor="accent5"/>
              <w:bottom w:val="single" w:sz="4" w:space="0" w:color="53565A" w:themeColor="accent5"/>
            </w:tcBorders>
          </w:tcPr>
          <w:p w14:paraId="25AB11B9"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35.0</w:t>
            </w:r>
            <w:r w:rsidRPr="005734B8">
              <w:rPr>
                <w:rStyle w:val="FootnoteReference"/>
                <w:rFonts w:ascii="Calibri" w:hAnsi="Calibri" w:cs="Calibri"/>
              </w:rPr>
              <w:footnoteReference w:id="24"/>
            </w:r>
          </w:p>
        </w:tc>
        <w:tc>
          <w:tcPr>
            <w:tcW w:w="1116" w:type="dxa"/>
            <w:tcBorders>
              <w:top w:val="single" w:sz="4" w:space="0" w:color="53565A" w:themeColor="accent5"/>
              <w:bottom w:val="single" w:sz="4" w:space="0" w:color="53565A" w:themeColor="accent5"/>
            </w:tcBorders>
          </w:tcPr>
          <w:p w14:paraId="2ED3BD0D"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36.6</w:t>
            </w:r>
          </w:p>
        </w:tc>
        <w:tc>
          <w:tcPr>
            <w:tcW w:w="1117" w:type="dxa"/>
            <w:tcBorders>
              <w:top w:val="single" w:sz="4" w:space="0" w:color="53565A" w:themeColor="accent5"/>
              <w:bottom w:val="single" w:sz="4" w:space="0" w:color="53565A" w:themeColor="accent5"/>
            </w:tcBorders>
          </w:tcPr>
          <w:p w14:paraId="0C086335" w14:textId="77777777" w:rsidR="00B02BF1" w:rsidRPr="005734B8" w:rsidRDefault="00B02BF1" w:rsidP="000C192E">
            <w:pPr>
              <w:pStyle w:val="ESTablenumberrightaligned"/>
              <w:rPr>
                <w:rFonts w:ascii="Calibri" w:hAnsi="Calibri" w:cs="Calibri"/>
                <w:sz w:val="18"/>
              </w:rPr>
            </w:pPr>
            <w:r w:rsidRPr="005734B8">
              <w:rPr>
                <w:rFonts w:ascii="Calibri" w:hAnsi="Calibri" w:cs="Calibri"/>
              </w:rPr>
              <w:t>36.0</w:t>
            </w:r>
          </w:p>
        </w:tc>
      </w:tr>
      <w:tr w:rsidR="00B02BF1" w:rsidRPr="005734B8" w14:paraId="2BD745BD" w14:textId="77777777" w:rsidTr="00D64168">
        <w:trPr>
          <w:gridAfter w:val="1"/>
          <w:wAfter w:w="9" w:type="dxa"/>
        </w:trPr>
        <w:tc>
          <w:tcPr>
            <w:tcW w:w="9113" w:type="dxa"/>
            <w:gridSpan w:val="7"/>
            <w:tcBorders>
              <w:top w:val="single" w:sz="4" w:space="0" w:color="53565A" w:themeColor="accent5"/>
              <w:bottom w:val="single" w:sz="4" w:space="0" w:color="53565A" w:themeColor="accent5"/>
            </w:tcBorders>
            <w:shd w:val="clear" w:color="auto" w:fill="D9D9D6" w:themeFill="accent6"/>
          </w:tcPr>
          <w:p w14:paraId="0450D3BA" w14:textId="77777777" w:rsidR="00B02BF1" w:rsidRPr="005734B8" w:rsidRDefault="00B02BF1" w:rsidP="000C192E">
            <w:pPr>
              <w:pStyle w:val="ESTablenumberrightaligned"/>
              <w:jc w:val="left"/>
              <w:rPr>
                <w:rFonts w:ascii="Calibri" w:hAnsi="Calibri" w:cs="Calibri"/>
                <w:b/>
                <w:sz w:val="18"/>
              </w:rPr>
            </w:pPr>
            <w:r w:rsidRPr="005734B8">
              <w:rPr>
                <w:rFonts w:ascii="Calibri" w:hAnsi="Calibri" w:cs="Calibri"/>
                <w:b/>
                <w:sz w:val="18"/>
                <w:lang w:val="en-AU"/>
              </w:rPr>
              <w:t>Children developmentally ‘on track’ on the AEDC social competence and emotional maturity domains</w:t>
            </w:r>
          </w:p>
        </w:tc>
      </w:tr>
      <w:tr w:rsidR="00B02BF1" w:rsidRPr="005734B8" w14:paraId="4AD51B3B" w14:textId="77777777" w:rsidTr="00D64168">
        <w:trPr>
          <w:gridAfter w:val="1"/>
          <w:wAfter w:w="9" w:type="dxa"/>
        </w:trPr>
        <w:tc>
          <w:tcPr>
            <w:tcW w:w="2358" w:type="dxa"/>
            <w:tcBorders>
              <w:top w:val="single" w:sz="4" w:space="0" w:color="53565A" w:themeColor="accent5"/>
              <w:bottom w:val="single" w:sz="4" w:space="0" w:color="53565A" w:themeColor="accent5"/>
            </w:tcBorders>
            <w:shd w:val="clear" w:color="auto" w:fill="auto"/>
          </w:tcPr>
          <w:p w14:paraId="7C9B1BDA" w14:textId="77777777" w:rsidR="00B02BF1" w:rsidRPr="005734B8" w:rsidRDefault="00B02BF1" w:rsidP="000C192E">
            <w:pPr>
              <w:pStyle w:val="ESTablebody"/>
              <w:rPr>
                <w:rFonts w:ascii="Calibri" w:hAnsi="Calibri" w:cs="Calibri"/>
                <w:sz w:val="18"/>
                <w:lang w:val="en-AU"/>
              </w:rPr>
            </w:pPr>
            <w:r w:rsidRPr="005734B8">
              <w:rPr>
                <w:rFonts w:ascii="Calibri" w:hAnsi="Calibri" w:cs="Calibri"/>
                <w:sz w:val="18"/>
                <w:lang w:val="en-AU"/>
              </w:rPr>
              <w:t>Social competence domain</w:t>
            </w:r>
          </w:p>
        </w:tc>
        <w:tc>
          <w:tcPr>
            <w:tcW w:w="1173" w:type="dxa"/>
            <w:tcBorders>
              <w:top w:val="single" w:sz="4" w:space="0" w:color="53565A" w:themeColor="accent5"/>
              <w:bottom w:val="single" w:sz="4" w:space="0" w:color="53565A" w:themeColor="accent5"/>
            </w:tcBorders>
            <w:shd w:val="clear" w:color="auto" w:fill="auto"/>
          </w:tcPr>
          <w:p w14:paraId="6588833D"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16" w:type="dxa"/>
            <w:tcBorders>
              <w:top w:val="single" w:sz="4" w:space="0" w:color="53565A" w:themeColor="accent5"/>
              <w:bottom w:val="single" w:sz="4" w:space="0" w:color="53565A" w:themeColor="accent5"/>
            </w:tcBorders>
            <w:shd w:val="clear" w:color="auto" w:fill="FFFFFF" w:themeFill="background1"/>
          </w:tcPr>
          <w:p w14:paraId="411F9D8B"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16" w:type="dxa"/>
            <w:tcBorders>
              <w:top w:val="single" w:sz="4" w:space="0" w:color="53565A" w:themeColor="accent5"/>
              <w:bottom w:val="single" w:sz="4" w:space="0" w:color="53565A" w:themeColor="accent5"/>
            </w:tcBorders>
          </w:tcPr>
          <w:p w14:paraId="74EBA3ED"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17" w:type="dxa"/>
            <w:tcBorders>
              <w:top w:val="single" w:sz="4" w:space="0" w:color="53565A" w:themeColor="accent5"/>
              <w:bottom w:val="single" w:sz="4" w:space="0" w:color="53565A" w:themeColor="accent5"/>
            </w:tcBorders>
          </w:tcPr>
          <w:p w14:paraId="0EFCB16A"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rPr>
              <w:t>77.3</w:t>
            </w:r>
          </w:p>
        </w:tc>
        <w:tc>
          <w:tcPr>
            <w:tcW w:w="1116" w:type="dxa"/>
            <w:tcBorders>
              <w:top w:val="single" w:sz="4" w:space="0" w:color="53565A" w:themeColor="accent5"/>
              <w:bottom w:val="single" w:sz="4" w:space="0" w:color="53565A" w:themeColor="accent5"/>
            </w:tcBorders>
          </w:tcPr>
          <w:p w14:paraId="0F2EDBCB"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17" w:type="dxa"/>
            <w:tcBorders>
              <w:top w:val="single" w:sz="4" w:space="0" w:color="53565A" w:themeColor="accent5"/>
              <w:bottom w:val="single" w:sz="4" w:space="0" w:color="53565A" w:themeColor="accent5"/>
            </w:tcBorders>
          </w:tcPr>
          <w:p w14:paraId="13B2BBA3" w14:textId="77777777" w:rsidR="00B02BF1" w:rsidRPr="005734B8" w:rsidRDefault="00B02BF1" w:rsidP="000C192E">
            <w:pPr>
              <w:pStyle w:val="ESTablenumberrightaligned"/>
              <w:rPr>
                <w:rFonts w:ascii="Calibri" w:hAnsi="Calibri" w:cs="Calibri"/>
                <w:sz w:val="18"/>
              </w:rPr>
            </w:pPr>
            <w:r w:rsidRPr="005734B8">
              <w:rPr>
                <w:rFonts w:ascii="Calibri" w:hAnsi="Calibri" w:cs="Calibri"/>
                <w:sz w:val="18"/>
                <w:lang w:val="en-AU"/>
              </w:rPr>
              <w:t>–</w:t>
            </w:r>
          </w:p>
        </w:tc>
      </w:tr>
      <w:tr w:rsidR="00B02BF1" w:rsidRPr="005734B8" w14:paraId="1DB11AEC" w14:textId="77777777" w:rsidTr="00D64168">
        <w:trPr>
          <w:gridAfter w:val="1"/>
          <w:wAfter w:w="9" w:type="dxa"/>
        </w:trPr>
        <w:tc>
          <w:tcPr>
            <w:tcW w:w="2358" w:type="dxa"/>
            <w:tcBorders>
              <w:top w:val="single" w:sz="4" w:space="0" w:color="53565A" w:themeColor="accent5"/>
              <w:bottom w:val="single" w:sz="4" w:space="0" w:color="53565A" w:themeColor="accent5"/>
            </w:tcBorders>
            <w:shd w:val="clear" w:color="auto" w:fill="auto"/>
          </w:tcPr>
          <w:p w14:paraId="6C82770E" w14:textId="77777777" w:rsidR="00B02BF1" w:rsidRPr="005734B8" w:rsidRDefault="00B02BF1" w:rsidP="000C192E">
            <w:pPr>
              <w:pStyle w:val="ESTablebody"/>
              <w:rPr>
                <w:rFonts w:ascii="Calibri" w:hAnsi="Calibri" w:cs="Calibri"/>
                <w:sz w:val="18"/>
                <w:lang w:val="en-AU"/>
              </w:rPr>
            </w:pPr>
            <w:r w:rsidRPr="005734B8">
              <w:rPr>
                <w:rFonts w:ascii="Calibri" w:hAnsi="Calibri" w:cs="Calibri"/>
                <w:sz w:val="18"/>
                <w:lang w:val="en-AU"/>
              </w:rPr>
              <w:t>Emotional maturity domain</w:t>
            </w:r>
          </w:p>
        </w:tc>
        <w:tc>
          <w:tcPr>
            <w:tcW w:w="1173" w:type="dxa"/>
            <w:tcBorders>
              <w:top w:val="single" w:sz="4" w:space="0" w:color="53565A" w:themeColor="accent5"/>
              <w:bottom w:val="single" w:sz="4" w:space="0" w:color="53565A" w:themeColor="accent5"/>
            </w:tcBorders>
            <w:shd w:val="clear" w:color="auto" w:fill="auto"/>
          </w:tcPr>
          <w:p w14:paraId="641E3F02"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16" w:type="dxa"/>
            <w:tcBorders>
              <w:top w:val="single" w:sz="4" w:space="0" w:color="53565A" w:themeColor="accent5"/>
              <w:bottom w:val="single" w:sz="4" w:space="0" w:color="53565A" w:themeColor="accent5"/>
            </w:tcBorders>
            <w:shd w:val="clear" w:color="auto" w:fill="FFFFFF" w:themeFill="background1"/>
          </w:tcPr>
          <w:p w14:paraId="7764115B"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16" w:type="dxa"/>
            <w:tcBorders>
              <w:top w:val="single" w:sz="4" w:space="0" w:color="53565A" w:themeColor="accent5"/>
              <w:bottom w:val="single" w:sz="4" w:space="0" w:color="53565A" w:themeColor="accent5"/>
            </w:tcBorders>
          </w:tcPr>
          <w:p w14:paraId="54FAC3E6"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17" w:type="dxa"/>
            <w:tcBorders>
              <w:top w:val="single" w:sz="4" w:space="0" w:color="53565A" w:themeColor="accent5"/>
              <w:bottom w:val="single" w:sz="4" w:space="0" w:color="53565A" w:themeColor="accent5"/>
            </w:tcBorders>
          </w:tcPr>
          <w:p w14:paraId="333A2180"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77.7</w:t>
            </w:r>
          </w:p>
        </w:tc>
        <w:tc>
          <w:tcPr>
            <w:tcW w:w="1116" w:type="dxa"/>
            <w:tcBorders>
              <w:top w:val="single" w:sz="4" w:space="0" w:color="53565A" w:themeColor="accent5"/>
              <w:bottom w:val="single" w:sz="4" w:space="0" w:color="53565A" w:themeColor="accent5"/>
            </w:tcBorders>
          </w:tcPr>
          <w:p w14:paraId="58240843"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17" w:type="dxa"/>
            <w:tcBorders>
              <w:top w:val="single" w:sz="4" w:space="0" w:color="53565A" w:themeColor="accent5"/>
              <w:bottom w:val="single" w:sz="4" w:space="0" w:color="53565A" w:themeColor="accent5"/>
            </w:tcBorders>
          </w:tcPr>
          <w:p w14:paraId="795DC73B" w14:textId="77777777" w:rsidR="00B02BF1" w:rsidRPr="005734B8" w:rsidRDefault="00B02BF1" w:rsidP="000C192E">
            <w:pPr>
              <w:pStyle w:val="ESTablenumberrightaligned"/>
              <w:rPr>
                <w:rFonts w:ascii="Calibri" w:hAnsi="Calibri" w:cs="Calibri"/>
                <w:sz w:val="18"/>
              </w:rPr>
            </w:pPr>
            <w:r w:rsidRPr="005734B8">
              <w:rPr>
                <w:rFonts w:ascii="Calibri" w:hAnsi="Calibri" w:cs="Calibri"/>
                <w:sz w:val="18"/>
                <w:lang w:val="en-AU"/>
              </w:rPr>
              <w:t>–</w:t>
            </w:r>
          </w:p>
        </w:tc>
      </w:tr>
      <w:tr w:rsidR="00B02BF1" w:rsidRPr="005734B8" w14:paraId="14C37B1E" w14:textId="77777777" w:rsidTr="00D64168">
        <w:trPr>
          <w:gridAfter w:val="1"/>
          <w:wAfter w:w="9" w:type="dxa"/>
        </w:trPr>
        <w:tc>
          <w:tcPr>
            <w:tcW w:w="9113" w:type="dxa"/>
            <w:gridSpan w:val="7"/>
            <w:tcBorders>
              <w:top w:val="single" w:sz="4" w:space="0" w:color="53565A" w:themeColor="accent5"/>
              <w:bottom w:val="single" w:sz="4" w:space="0" w:color="53565A" w:themeColor="accent5"/>
            </w:tcBorders>
            <w:shd w:val="clear" w:color="auto" w:fill="53565A" w:themeFill="accent5"/>
          </w:tcPr>
          <w:p w14:paraId="2E628635" w14:textId="77777777" w:rsidR="00B02BF1" w:rsidRPr="005734B8" w:rsidRDefault="00B02BF1" w:rsidP="000C192E">
            <w:pPr>
              <w:pStyle w:val="W1"/>
              <w:rPr>
                <w:rFonts w:ascii="Calibri" w:hAnsi="Calibri" w:cs="Calibri"/>
                <w:sz w:val="18"/>
              </w:rPr>
            </w:pPr>
            <w:r w:rsidRPr="005734B8">
              <w:rPr>
                <w:rFonts w:ascii="Calibri" w:hAnsi="Calibri" w:cs="Calibri"/>
                <w:sz w:val="18"/>
              </w:rPr>
              <w:t>School education</w:t>
            </w:r>
            <w:r w:rsidRPr="005734B8">
              <w:rPr>
                <w:rStyle w:val="FootnoteReference"/>
                <w:rFonts w:ascii="Calibri" w:hAnsi="Calibri" w:cs="Calibri"/>
                <w:sz w:val="18"/>
                <w:lang w:val="en-AU"/>
              </w:rPr>
              <w:footnoteReference w:id="25"/>
            </w:r>
          </w:p>
        </w:tc>
      </w:tr>
      <w:tr w:rsidR="00B02BF1" w:rsidRPr="005734B8" w14:paraId="660A83C3" w14:textId="77777777" w:rsidTr="00D64168">
        <w:trPr>
          <w:gridAfter w:val="1"/>
          <w:wAfter w:w="9" w:type="dxa"/>
        </w:trPr>
        <w:tc>
          <w:tcPr>
            <w:tcW w:w="9113" w:type="dxa"/>
            <w:gridSpan w:val="7"/>
            <w:tcBorders>
              <w:top w:val="single" w:sz="4" w:space="0" w:color="53565A" w:themeColor="accent5"/>
              <w:bottom w:val="single" w:sz="4" w:space="0" w:color="53565A" w:themeColor="accent5"/>
            </w:tcBorders>
            <w:shd w:val="clear" w:color="auto" w:fill="D9D9D6" w:themeFill="accent6"/>
          </w:tcPr>
          <w:p w14:paraId="2A56FBE7" w14:textId="77777777" w:rsidR="00B02BF1" w:rsidRPr="005734B8" w:rsidRDefault="00B02BF1" w:rsidP="000C192E">
            <w:pPr>
              <w:pStyle w:val="W2"/>
              <w:rPr>
                <w:rFonts w:ascii="Calibri" w:hAnsi="Calibri" w:cs="Calibri"/>
                <w:sz w:val="18"/>
              </w:rPr>
            </w:pPr>
            <w:r w:rsidRPr="005734B8">
              <w:rPr>
                <w:rFonts w:ascii="Calibri" w:hAnsi="Calibri" w:cs="Calibri"/>
                <w:sz w:val="18"/>
              </w:rPr>
              <w:t>Students feeling connected to their school</w:t>
            </w:r>
          </w:p>
        </w:tc>
      </w:tr>
      <w:tr w:rsidR="00B02BF1" w:rsidRPr="005734B8" w14:paraId="5B998A41" w14:textId="77777777" w:rsidTr="00D64168">
        <w:trPr>
          <w:gridAfter w:val="1"/>
          <w:wAfter w:w="9" w:type="dxa"/>
        </w:trPr>
        <w:tc>
          <w:tcPr>
            <w:tcW w:w="9113" w:type="dxa"/>
            <w:gridSpan w:val="7"/>
            <w:tcBorders>
              <w:top w:val="single" w:sz="4" w:space="0" w:color="53565A" w:themeColor="accent5"/>
              <w:bottom w:val="single" w:sz="4" w:space="0" w:color="53565A" w:themeColor="accent5"/>
            </w:tcBorders>
            <w:shd w:val="clear" w:color="auto" w:fill="auto"/>
          </w:tcPr>
          <w:p w14:paraId="3C6DCE8B" w14:textId="77777777" w:rsidR="00B02BF1" w:rsidRPr="005734B8" w:rsidRDefault="00B02BF1" w:rsidP="000C192E">
            <w:pPr>
              <w:rPr>
                <w:rFonts w:ascii="Calibri" w:hAnsi="Calibri" w:cs="Calibri"/>
                <w:sz w:val="18"/>
                <w:szCs w:val="18"/>
              </w:rPr>
            </w:pPr>
            <w:r w:rsidRPr="005734B8">
              <w:rPr>
                <w:rFonts w:ascii="Calibri" w:eastAsia="Times New Roman" w:hAnsi="Calibri" w:cs="Calibri"/>
                <w:sz w:val="18"/>
                <w:szCs w:val="18"/>
              </w:rPr>
              <w:t>Proportion of Victorian government school student responses that ‘agreed’ or ‘strongly agreed’</w:t>
            </w:r>
            <w:r w:rsidRPr="005734B8">
              <w:rPr>
                <w:rFonts w:ascii="Calibri" w:hAnsi="Calibri" w:cs="Calibri"/>
                <w:sz w:val="18"/>
                <w:szCs w:val="18"/>
              </w:rPr>
              <w:t xml:space="preserve"> that they feel connected to schooling</w:t>
            </w:r>
          </w:p>
        </w:tc>
      </w:tr>
      <w:tr w:rsidR="00B02BF1" w:rsidRPr="005734B8" w14:paraId="7016E26D" w14:textId="77777777" w:rsidTr="00D64168">
        <w:trPr>
          <w:gridAfter w:val="1"/>
          <w:wAfter w:w="9" w:type="dxa"/>
        </w:trPr>
        <w:tc>
          <w:tcPr>
            <w:tcW w:w="2358" w:type="dxa"/>
            <w:tcBorders>
              <w:top w:val="single" w:sz="4" w:space="0" w:color="53565A" w:themeColor="accent5"/>
              <w:bottom w:val="single" w:sz="4" w:space="0" w:color="53565A" w:themeColor="accent5"/>
            </w:tcBorders>
            <w:shd w:val="clear" w:color="auto" w:fill="auto"/>
          </w:tcPr>
          <w:p w14:paraId="2C59BEB3" w14:textId="77777777" w:rsidR="00B02BF1" w:rsidRPr="005734B8" w:rsidRDefault="00B02BF1" w:rsidP="000C192E">
            <w:pPr>
              <w:pStyle w:val="ESTablebody"/>
              <w:rPr>
                <w:rFonts w:ascii="Calibri" w:hAnsi="Calibri" w:cs="Calibri"/>
                <w:sz w:val="18"/>
                <w:lang w:val="en-AU"/>
              </w:rPr>
            </w:pPr>
            <w:r w:rsidRPr="005734B8">
              <w:rPr>
                <w:rFonts w:ascii="Calibri" w:hAnsi="Calibri" w:cs="Calibri"/>
                <w:sz w:val="18"/>
                <w:lang w:val="en-AU"/>
              </w:rPr>
              <w:tab/>
              <w:t>Years 4–6</w:t>
            </w:r>
          </w:p>
        </w:tc>
        <w:tc>
          <w:tcPr>
            <w:tcW w:w="1173" w:type="dxa"/>
            <w:tcBorders>
              <w:top w:val="single" w:sz="4" w:space="0" w:color="53565A" w:themeColor="accent5"/>
              <w:bottom w:val="single" w:sz="4" w:space="0" w:color="53565A" w:themeColor="accent5"/>
            </w:tcBorders>
            <w:shd w:val="clear" w:color="auto" w:fill="auto"/>
          </w:tcPr>
          <w:p w14:paraId="09F59FC3"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16" w:type="dxa"/>
            <w:tcBorders>
              <w:top w:val="single" w:sz="4" w:space="0" w:color="53565A" w:themeColor="accent5"/>
              <w:bottom w:val="single" w:sz="4" w:space="0" w:color="53565A" w:themeColor="accent5"/>
            </w:tcBorders>
            <w:shd w:val="clear" w:color="auto" w:fill="FFFFFF" w:themeFill="background1"/>
          </w:tcPr>
          <w:p w14:paraId="2EFEC14D" w14:textId="5DF507E3" w:rsidR="00B02BF1" w:rsidRPr="005734B8" w:rsidRDefault="00292076"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16" w:type="dxa"/>
            <w:tcBorders>
              <w:top w:val="single" w:sz="4" w:space="0" w:color="53565A" w:themeColor="accent5"/>
              <w:bottom w:val="single" w:sz="4" w:space="0" w:color="53565A" w:themeColor="accent5"/>
            </w:tcBorders>
          </w:tcPr>
          <w:p w14:paraId="7E4A690E"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81.7</w:t>
            </w:r>
          </w:p>
        </w:tc>
        <w:tc>
          <w:tcPr>
            <w:tcW w:w="1117" w:type="dxa"/>
            <w:tcBorders>
              <w:top w:val="single" w:sz="4" w:space="0" w:color="53565A" w:themeColor="accent5"/>
              <w:bottom w:val="single" w:sz="4" w:space="0" w:color="53565A" w:themeColor="accent5"/>
            </w:tcBorders>
          </w:tcPr>
          <w:p w14:paraId="07AD463C"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81.2</w:t>
            </w:r>
          </w:p>
        </w:tc>
        <w:tc>
          <w:tcPr>
            <w:tcW w:w="1116" w:type="dxa"/>
            <w:tcBorders>
              <w:top w:val="single" w:sz="4" w:space="0" w:color="53565A" w:themeColor="accent5"/>
              <w:bottom w:val="single" w:sz="4" w:space="0" w:color="53565A" w:themeColor="accent5"/>
            </w:tcBorders>
          </w:tcPr>
          <w:p w14:paraId="1D6C20EC"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81.0</w:t>
            </w:r>
          </w:p>
        </w:tc>
        <w:tc>
          <w:tcPr>
            <w:tcW w:w="1117" w:type="dxa"/>
            <w:tcBorders>
              <w:top w:val="single" w:sz="4" w:space="0" w:color="53565A" w:themeColor="accent5"/>
              <w:bottom w:val="single" w:sz="4" w:space="0" w:color="53565A" w:themeColor="accent5"/>
            </w:tcBorders>
          </w:tcPr>
          <w:p w14:paraId="5837CF41" w14:textId="77777777" w:rsidR="00B02BF1" w:rsidRPr="005734B8" w:rsidRDefault="00B02BF1" w:rsidP="000C192E">
            <w:pPr>
              <w:pStyle w:val="ESTablenumberrightaligned"/>
              <w:rPr>
                <w:rFonts w:ascii="Calibri" w:hAnsi="Calibri" w:cs="Calibri"/>
                <w:sz w:val="18"/>
              </w:rPr>
            </w:pPr>
            <w:r w:rsidRPr="005734B8">
              <w:rPr>
                <w:rFonts w:ascii="Calibri" w:hAnsi="Calibri" w:cs="Calibri"/>
              </w:rPr>
              <w:t>79.2</w:t>
            </w:r>
          </w:p>
        </w:tc>
      </w:tr>
      <w:tr w:rsidR="00B02BF1" w:rsidRPr="005734B8" w14:paraId="7FD196DC" w14:textId="77777777" w:rsidTr="00D64168">
        <w:trPr>
          <w:gridAfter w:val="1"/>
          <w:wAfter w:w="9" w:type="dxa"/>
        </w:trPr>
        <w:tc>
          <w:tcPr>
            <w:tcW w:w="2358" w:type="dxa"/>
            <w:tcBorders>
              <w:top w:val="single" w:sz="4" w:space="0" w:color="53565A" w:themeColor="accent5"/>
              <w:bottom w:val="single" w:sz="4" w:space="0" w:color="53565A" w:themeColor="accent5"/>
            </w:tcBorders>
            <w:shd w:val="clear" w:color="auto" w:fill="auto"/>
          </w:tcPr>
          <w:p w14:paraId="38F96C6E" w14:textId="77777777" w:rsidR="00B02BF1" w:rsidRPr="005734B8" w:rsidRDefault="00B02BF1" w:rsidP="000C192E">
            <w:pPr>
              <w:pStyle w:val="ESTablebody"/>
              <w:rPr>
                <w:rFonts w:ascii="Calibri" w:hAnsi="Calibri" w:cs="Calibri"/>
                <w:sz w:val="18"/>
                <w:lang w:val="en-AU"/>
              </w:rPr>
            </w:pPr>
            <w:r w:rsidRPr="005734B8">
              <w:rPr>
                <w:rFonts w:ascii="Calibri" w:hAnsi="Calibri" w:cs="Calibri"/>
                <w:sz w:val="18"/>
                <w:lang w:val="en-AU"/>
              </w:rPr>
              <w:tab/>
              <w:t>Years 7–10</w:t>
            </w:r>
          </w:p>
        </w:tc>
        <w:tc>
          <w:tcPr>
            <w:tcW w:w="1173" w:type="dxa"/>
            <w:tcBorders>
              <w:top w:val="single" w:sz="4" w:space="0" w:color="53565A" w:themeColor="accent5"/>
              <w:bottom w:val="single" w:sz="4" w:space="0" w:color="53565A" w:themeColor="accent5"/>
            </w:tcBorders>
            <w:shd w:val="clear" w:color="auto" w:fill="auto"/>
          </w:tcPr>
          <w:p w14:paraId="53C1831D"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16" w:type="dxa"/>
            <w:tcBorders>
              <w:top w:val="single" w:sz="4" w:space="0" w:color="53565A" w:themeColor="accent5"/>
              <w:bottom w:val="single" w:sz="4" w:space="0" w:color="53565A" w:themeColor="accent5"/>
            </w:tcBorders>
            <w:shd w:val="clear" w:color="auto" w:fill="FFFFFF" w:themeFill="background1"/>
          </w:tcPr>
          <w:p w14:paraId="41CFD07E" w14:textId="73EEB8F7" w:rsidR="00B02BF1" w:rsidRPr="005734B8" w:rsidRDefault="00292076"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16" w:type="dxa"/>
            <w:tcBorders>
              <w:top w:val="single" w:sz="4" w:space="0" w:color="53565A" w:themeColor="accent5"/>
              <w:bottom w:val="single" w:sz="4" w:space="0" w:color="53565A" w:themeColor="accent5"/>
            </w:tcBorders>
          </w:tcPr>
          <w:p w14:paraId="5C7E4D42"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56.0</w:t>
            </w:r>
          </w:p>
        </w:tc>
        <w:tc>
          <w:tcPr>
            <w:tcW w:w="1117" w:type="dxa"/>
            <w:tcBorders>
              <w:top w:val="single" w:sz="4" w:space="0" w:color="53565A" w:themeColor="accent5"/>
              <w:bottom w:val="single" w:sz="4" w:space="0" w:color="53565A" w:themeColor="accent5"/>
            </w:tcBorders>
          </w:tcPr>
          <w:p w14:paraId="7466D4DC"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56.7</w:t>
            </w:r>
          </w:p>
        </w:tc>
        <w:tc>
          <w:tcPr>
            <w:tcW w:w="1116" w:type="dxa"/>
            <w:tcBorders>
              <w:top w:val="single" w:sz="4" w:space="0" w:color="53565A" w:themeColor="accent5"/>
              <w:bottom w:val="single" w:sz="4" w:space="0" w:color="53565A" w:themeColor="accent5"/>
            </w:tcBorders>
          </w:tcPr>
          <w:p w14:paraId="2800EDBD"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56.0</w:t>
            </w:r>
          </w:p>
        </w:tc>
        <w:tc>
          <w:tcPr>
            <w:tcW w:w="1117" w:type="dxa"/>
            <w:tcBorders>
              <w:top w:val="single" w:sz="4" w:space="0" w:color="53565A" w:themeColor="accent5"/>
              <w:bottom w:val="single" w:sz="4" w:space="0" w:color="53565A" w:themeColor="accent5"/>
            </w:tcBorders>
          </w:tcPr>
          <w:p w14:paraId="46AD4234"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59.9</w:t>
            </w:r>
          </w:p>
        </w:tc>
      </w:tr>
      <w:tr w:rsidR="00B02BF1" w:rsidRPr="005734B8" w14:paraId="7FCADF69" w14:textId="77777777" w:rsidTr="00D64168">
        <w:trPr>
          <w:gridAfter w:val="1"/>
          <w:wAfter w:w="9" w:type="dxa"/>
        </w:trPr>
        <w:tc>
          <w:tcPr>
            <w:tcW w:w="2358" w:type="dxa"/>
            <w:tcBorders>
              <w:top w:val="single" w:sz="4" w:space="0" w:color="53565A" w:themeColor="accent5"/>
              <w:bottom w:val="single" w:sz="4" w:space="0" w:color="auto"/>
            </w:tcBorders>
            <w:shd w:val="clear" w:color="auto" w:fill="auto"/>
          </w:tcPr>
          <w:p w14:paraId="26956B30" w14:textId="77777777" w:rsidR="00B02BF1" w:rsidRPr="005734B8" w:rsidRDefault="00B02BF1" w:rsidP="000C192E">
            <w:pPr>
              <w:pStyle w:val="ESTablebody"/>
              <w:rPr>
                <w:rFonts w:ascii="Calibri" w:hAnsi="Calibri" w:cs="Calibri"/>
                <w:sz w:val="18"/>
                <w:lang w:val="en-AU"/>
              </w:rPr>
            </w:pPr>
            <w:r w:rsidRPr="005734B8">
              <w:rPr>
                <w:rFonts w:ascii="Calibri" w:hAnsi="Calibri" w:cs="Calibri"/>
                <w:sz w:val="18"/>
                <w:lang w:val="en-AU"/>
              </w:rPr>
              <w:tab/>
              <w:t>Years 11–12</w:t>
            </w:r>
          </w:p>
        </w:tc>
        <w:tc>
          <w:tcPr>
            <w:tcW w:w="1173" w:type="dxa"/>
            <w:tcBorders>
              <w:top w:val="single" w:sz="4" w:space="0" w:color="53565A" w:themeColor="accent5"/>
              <w:bottom w:val="single" w:sz="4" w:space="0" w:color="auto"/>
            </w:tcBorders>
            <w:shd w:val="clear" w:color="auto" w:fill="auto"/>
          </w:tcPr>
          <w:p w14:paraId="4D3DCE41"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16" w:type="dxa"/>
            <w:tcBorders>
              <w:top w:val="single" w:sz="4" w:space="0" w:color="53565A" w:themeColor="accent5"/>
              <w:bottom w:val="single" w:sz="4" w:space="0" w:color="auto"/>
            </w:tcBorders>
            <w:shd w:val="clear" w:color="auto" w:fill="FFFFFF" w:themeFill="background1"/>
          </w:tcPr>
          <w:p w14:paraId="571E67D5" w14:textId="72681059" w:rsidR="00B02BF1" w:rsidRPr="005734B8" w:rsidRDefault="00292076"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16" w:type="dxa"/>
            <w:tcBorders>
              <w:top w:val="single" w:sz="4" w:space="0" w:color="53565A" w:themeColor="accent5"/>
              <w:bottom w:val="single" w:sz="4" w:space="0" w:color="auto"/>
            </w:tcBorders>
          </w:tcPr>
          <w:p w14:paraId="44823683"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52.8</w:t>
            </w:r>
          </w:p>
        </w:tc>
        <w:tc>
          <w:tcPr>
            <w:tcW w:w="1117" w:type="dxa"/>
            <w:tcBorders>
              <w:top w:val="single" w:sz="4" w:space="0" w:color="53565A" w:themeColor="accent5"/>
              <w:bottom w:val="single" w:sz="4" w:space="0" w:color="auto"/>
            </w:tcBorders>
          </w:tcPr>
          <w:p w14:paraId="52721B27"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53.1</w:t>
            </w:r>
          </w:p>
        </w:tc>
        <w:tc>
          <w:tcPr>
            <w:tcW w:w="1116" w:type="dxa"/>
            <w:tcBorders>
              <w:top w:val="single" w:sz="4" w:space="0" w:color="53565A" w:themeColor="accent5"/>
              <w:bottom w:val="single" w:sz="4" w:space="0" w:color="auto"/>
            </w:tcBorders>
          </w:tcPr>
          <w:p w14:paraId="7E887FA8"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53.3</w:t>
            </w:r>
          </w:p>
        </w:tc>
        <w:tc>
          <w:tcPr>
            <w:tcW w:w="1117" w:type="dxa"/>
            <w:tcBorders>
              <w:top w:val="single" w:sz="4" w:space="0" w:color="53565A" w:themeColor="accent5"/>
              <w:bottom w:val="single" w:sz="4" w:space="0" w:color="auto"/>
            </w:tcBorders>
          </w:tcPr>
          <w:p w14:paraId="55963DBA"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59.4</w:t>
            </w:r>
          </w:p>
        </w:tc>
      </w:tr>
      <w:tr w:rsidR="00B02BF1" w:rsidRPr="005734B8" w14:paraId="339E4AD7" w14:textId="77777777" w:rsidTr="00D64168">
        <w:trPr>
          <w:gridAfter w:val="1"/>
          <w:wAfter w:w="9" w:type="dxa"/>
        </w:trPr>
        <w:tc>
          <w:tcPr>
            <w:tcW w:w="9113" w:type="dxa"/>
            <w:gridSpan w:val="7"/>
            <w:tcBorders>
              <w:top w:val="nil"/>
              <w:bottom w:val="single" w:sz="4" w:space="0" w:color="53565A" w:themeColor="accent5"/>
            </w:tcBorders>
            <w:shd w:val="clear" w:color="auto" w:fill="D9D9D6" w:themeFill="accent6"/>
          </w:tcPr>
          <w:p w14:paraId="24E9ACFE" w14:textId="77777777" w:rsidR="00B02BF1" w:rsidRPr="005734B8" w:rsidRDefault="00B02BF1" w:rsidP="000C192E">
            <w:pPr>
              <w:pStyle w:val="ESTablenumberrightaligned"/>
              <w:jc w:val="left"/>
              <w:rPr>
                <w:rFonts w:ascii="Calibri" w:hAnsi="Calibri" w:cs="Calibri"/>
                <w:b/>
                <w:sz w:val="18"/>
              </w:rPr>
            </w:pPr>
            <w:r w:rsidRPr="005734B8">
              <w:rPr>
                <w:rFonts w:ascii="Calibri" w:hAnsi="Calibri" w:cs="Calibri"/>
                <w:b/>
                <w:sz w:val="18"/>
                <w:shd w:val="clear" w:color="auto" w:fill="D9D9D6" w:themeFill="accent6"/>
                <w:lang w:val="en-AU"/>
              </w:rPr>
              <w:t>Students with a positive opinion about their school providing a safe and orderly environment for learning</w:t>
            </w:r>
          </w:p>
        </w:tc>
      </w:tr>
      <w:tr w:rsidR="00B02BF1" w:rsidRPr="005734B8" w14:paraId="431A9271" w14:textId="77777777" w:rsidTr="00D64168">
        <w:trPr>
          <w:gridAfter w:val="1"/>
          <w:wAfter w:w="9" w:type="dxa"/>
        </w:trPr>
        <w:tc>
          <w:tcPr>
            <w:tcW w:w="9113" w:type="dxa"/>
            <w:gridSpan w:val="7"/>
            <w:tcBorders>
              <w:top w:val="single" w:sz="4" w:space="0" w:color="53565A" w:themeColor="accent5"/>
              <w:bottom w:val="single" w:sz="4" w:space="0" w:color="53565A" w:themeColor="accent5"/>
            </w:tcBorders>
            <w:shd w:val="clear" w:color="auto" w:fill="auto"/>
          </w:tcPr>
          <w:p w14:paraId="5AA9E748" w14:textId="77777777" w:rsidR="00B02BF1" w:rsidRPr="005734B8" w:rsidRDefault="00B02BF1" w:rsidP="000C192E">
            <w:pPr>
              <w:pStyle w:val="ESTablenumberrightaligned"/>
              <w:jc w:val="left"/>
              <w:rPr>
                <w:rFonts w:ascii="Calibri" w:hAnsi="Calibri" w:cs="Calibri"/>
                <w:sz w:val="18"/>
                <w:highlight w:val="yellow"/>
              </w:rPr>
            </w:pPr>
            <w:r w:rsidRPr="005734B8">
              <w:rPr>
                <w:rFonts w:ascii="Calibri" w:hAnsi="Calibri" w:cs="Calibri"/>
                <w:sz w:val="18"/>
              </w:rPr>
              <w:t>Proportion of Victorian government school students who say they have not been bullied recently</w:t>
            </w:r>
            <w:r w:rsidRPr="005734B8">
              <w:rPr>
                <w:rStyle w:val="FootnoteReference"/>
                <w:rFonts w:ascii="Calibri" w:hAnsi="Calibri" w:cs="Calibri"/>
                <w:sz w:val="18"/>
              </w:rPr>
              <w:footnoteReference w:id="26"/>
            </w:r>
          </w:p>
        </w:tc>
      </w:tr>
      <w:tr w:rsidR="00B02BF1" w:rsidRPr="005734B8" w14:paraId="4B24687A" w14:textId="77777777" w:rsidTr="00D64168">
        <w:trPr>
          <w:gridAfter w:val="1"/>
          <w:wAfter w:w="9" w:type="dxa"/>
        </w:trPr>
        <w:tc>
          <w:tcPr>
            <w:tcW w:w="2358" w:type="dxa"/>
            <w:tcBorders>
              <w:top w:val="single" w:sz="4" w:space="0" w:color="53565A" w:themeColor="accent5"/>
              <w:bottom w:val="single" w:sz="4" w:space="0" w:color="53565A" w:themeColor="accent5"/>
            </w:tcBorders>
            <w:shd w:val="clear" w:color="auto" w:fill="auto"/>
          </w:tcPr>
          <w:p w14:paraId="6D70D85B" w14:textId="77777777" w:rsidR="00B02BF1" w:rsidRPr="005734B8" w:rsidRDefault="00B02BF1" w:rsidP="000C192E">
            <w:pPr>
              <w:pStyle w:val="ESTablebody"/>
              <w:rPr>
                <w:rFonts w:ascii="Calibri" w:hAnsi="Calibri" w:cs="Calibri"/>
                <w:sz w:val="18"/>
                <w:lang w:val="en-AU"/>
              </w:rPr>
            </w:pPr>
            <w:r w:rsidRPr="005734B8">
              <w:rPr>
                <w:rFonts w:ascii="Calibri" w:hAnsi="Calibri" w:cs="Calibri"/>
                <w:sz w:val="18"/>
                <w:lang w:val="en-AU"/>
              </w:rPr>
              <w:tab/>
              <w:t>Years 4–6</w:t>
            </w:r>
          </w:p>
        </w:tc>
        <w:tc>
          <w:tcPr>
            <w:tcW w:w="1173" w:type="dxa"/>
            <w:tcBorders>
              <w:top w:val="single" w:sz="4" w:space="0" w:color="53565A" w:themeColor="accent5"/>
              <w:bottom w:val="single" w:sz="4" w:space="0" w:color="53565A" w:themeColor="accent5"/>
            </w:tcBorders>
            <w:shd w:val="clear" w:color="auto" w:fill="auto"/>
          </w:tcPr>
          <w:p w14:paraId="1D291D10"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16" w:type="dxa"/>
            <w:tcBorders>
              <w:top w:val="single" w:sz="4" w:space="0" w:color="53565A" w:themeColor="accent5"/>
              <w:bottom w:val="single" w:sz="4" w:space="0" w:color="53565A" w:themeColor="accent5"/>
            </w:tcBorders>
            <w:shd w:val="clear" w:color="auto" w:fill="FFFFFF" w:themeFill="background1"/>
          </w:tcPr>
          <w:p w14:paraId="4D4CA7FB" w14:textId="0F355F2B" w:rsidR="00B02BF1" w:rsidRPr="005734B8" w:rsidRDefault="00292076"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16" w:type="dxa"/>
            <w:tcBorders>
              <w:top w:val="single" w:sz="4" w:space="0" w:color="53565A" w:themeColor="accent5"/>
              <w:bottom w:val="single" w:sz="4" w:space="0" w:color="53565A" w:themeColor="accent5"/>
            </w:tcBorders>
          </w:tcPr>
          <w:p w14:paraId="10D538BB"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74.7</w:t>
            </w:r>
          </w:p>
        </w:tc>
        <w:tc>
          <w:tcPr>
            <w:tcW w:w="1117" w:type="dxa"/>
            <w:tcBorders>
              <w:top w:val="single" w:sz="4" w:space="0" w:color="53565A" w:themeColor="accent5"/>
              <w:bottom w:val="single" w:sz="4" w:space="0" w:color="53565A" w:themeColor="accent5"/>
            </w:tcBorders>
          </w:tcPr>
          <w:p w14:paraId="5EEE0AAA"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80.0</w:t>
            </w:r>
          </w:p>
        </w:tc>
        <w:tc>
          <w:tcPr>
            <w:tcW w:w="1116" w:type="dxa"/>
            <w:tcBorders>
              <w:top w:val="single" w:sz="4" w:space="0" w:color="53565A" w:themeColor="accent5"/>
              <w:bottom w:val="single" w:sz="4" w:space="0" w:color="53565A" w:themeColor="accent5"/>
            </w:tcBorders>
          </w:tcPr>
          <w:p w14:paraId="6D1C0674"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81.6</w:t>
            </w:r>
          </w:p>
        </w:tc>
        <w:tc>
          <w:tcPr>
            <w:tcW w:w="1117" w:type="dxa"/>
            <w:tcBorders>
              <w:top w:val="single" w:sz="4" w:space="0" w:color="53565A" w:themeColor="accent5"/>
              <w:bottom w:val="single" w:sz="4" w:space="0" w:color="53565A" w:themeColor="accent5"/>
            </w:tcBorders>
          </w:tcPr>
          <w:p w14:paraId="67308327" w14:textId="77777777" w:rsidR="00B02BF1" w:rsidRPr="005734B8" w:rsidRDefault="00B02BF1" w:rsidP="000C192E">
            <w:pPr>
              <w:pStyle w:val="ESTablenumberrightaligned"/>
              <w:rPr>
                <w:rFonts w:ascii="Calibri" w:hAnsi="Calibri" w:cs="Calibri"/>
                <w:sz w:val="18"/>
              </w:rPr>
            </w:pPr>
            <w:r w:rsidRPr="005734B8">
              <w:rPr>
                <w:rFonts w:ascii="Calibri" w:hAnsi="Calibri" w:cs="Calibri"/>
              </w:rPr>
              <w:t>83.3</w:t>
            </w:r>
          </w:p>
        </w:tc>
      </w:tr>
      <w:tr w:rsidR="00B02BF1" w:rsidRPr="005734B8" w14:paraId="659441B7" w14:textId="77777777" w:rsidTr="00D64168">
        <w:trPr>
          <w:gridAfter w:val="1"/>
          <w:wAfter w:w="9" w:type="dxa"/>
        </w:trPr>
        <w:tc>
          <w:tcPr>
            <w:tcW w:w="2358" w:type="dxa"/>
            <w:tcBorders>
              <w:top w:val="single" w:sz="4" w:space="0" w:color="53565A" w:themeColor="accent5"/>
              <w:bottom w:val="single" w:sz="4" w:space="0" w:color="53565A" w:themeColor="accent5"/>
            </w:tcBorders>
            <w:shd w:val="clear" w:color="auto" w:fill="auto"/>
          </w:tcPr>
          <w:p w14:paraId="4EC8ED15" w14:textId="77777777" w:rsidR="00B02BF1" w:rsidRPr="005734B8" w:rsidRDefault="00B02BF1" w:rsidP="000C192E">
            <w:pPr>
              <w:pStyle w:val="ESTablebody"/>
              <w:rPr>
                <w:rFonts w:ascii="Calibri" w:hAnsi="Calibri" w:cs="Calibri"/>
                <w:sz w:val="18"/>
                <w:lang w:val="en-AU"/>
              </w:rPr>
            </w:pPr>
            <w:r w:rsidRPr="005734B8">
              <w:rPr>
                <w:rFonts w:ascii="Calibri" w:hAnsi="Calibri" w:cs="Calibri"/>
                <w:sz w:val="18"/>
                <w:lang w:val="en-AU"/>
              </w:rPr>
              <w:tab/>
              <w:t>Years 7–9</w:t>
            </w:r>
          </w:p>
        </w:tc>
        <w:tc>
          <w:tcPr>
            <w:tcW w:w="1173" w:type="dxa"/>
            <w:tcBorders>
              <w:top w:val="single" w:sz="4" w:space="0" w:color="53565A" w:themeColor="accent5"/>
              <w:bottom w:val="single" w:sz="4" w:space="0" w:color="53565A" w:themeColor="accent5"/>
            </w:tcBorders>
            <w:shd w:val="clear" w:color="auto" w:fill="auto"/>
          </w:tcPr>
          <w:p w14:paraId="0D3C1387"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16" w:type="dxa"/>
            <w:tcBorders>
              <w:top w:val="single" w:sz="4" w:space="0" w:color="53565A" w:themeColor="accent5"/>
              <w:bottom w:val="single" w:sz="4" w:space="0" w:color="53565A" w:themeColor="accent5"/>
            </w:tcBorders>
            <w:shd w:val="clear" w:color="auto" w:fill="auto"/>
          </w:tcPr>
          <w:p w14:paraId="54C5CDCD" w14:textId="01AD3756" w:rsidR="00B02BF1" w:rsidRPr="005734B8" w:rsidRDefault="00292076"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16" w:type="dxa"/>
            <w:tcBorders>
              <w:top w:val="single" w:sz="4" w:space="0" w:color="53565A" w:themeColor="accent5"/>
              <w:bottom w:val="single" w:sz="4" w:space="0" w:color="53565A" w:themeColor="accent5"/>
            </w:tcBorders>
            <w:shd w:val="clear" w:color="auto" w:fill="auto"/>
          </w:tcPr>
          <w:p w14:paraId="43750E4F"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73.3</w:t>
            </w:r>
          </w:p>
        </w:tc>
        <w:tc>
          <w:tcPr>
            <w:tcW w:w="1117" w:type="dxa"/>
            <w:tcBorders>
              <w:top w:val="single" w:sz="4" w:space="0" w:color="53565A" w:themeColor="accent5"/>
              <w:bottom w:val="single" w:sz="4" w:space="0" w:color="53565A" w:themeColor="accent5"/>
            </w:tcBorders>
            <w:shd w:val="clear" w:color="auto" w:fill="auto"/>
          </w:tcPr>
          <w:p w14:paraId="7CB2C88F"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78.8</w:t>
            </w:r>
          </w:p>
        </w:tc>
        <w:tc>
          <w:tcPr>
            <w:tcW w:w="1116" w:type="dxa"/>
            <w:tcBorders>
              <w:top w:val="single" w:sz="4" w:space="0" w:color="53565A" w:themeColor="accent5"/>
              <w:bottom w:val="single" w:sz="4" w:space="0" w:color="53565A" w:themeColor="accent5"/>
            </w:tcBorders>
            <w:shd w:val="clear" w:color="auto" w:fill="auto"/>
          </w:tcPr>
          <w:p w14:paraId="71C50A4F"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80.5</w:t>
            </w:r>
          </w:p>
        </w:tc>
        <w:tc>
          <w:tcPr>
            <w:tcW w:w="1117" w:type="dxa"/>
            <w:tcBorders>
              <w:top w:val="single" w:sz="4" w:space="0" w:color="53565A" w:themeColor="accent5"/>
              <w:bottom w:val="single" w:sz="4" w:space="0" w:color="53565A" w:themeColor="accent5"/>
            </w:tcBorders>
            <w:shd w:val="clear" w:color="auto" w:fill="auto"/>
          </w:tcPr>
          <w:p w14:paraId="2F297C59" w14:textId="77777777" w:rsidR="00B02BF1" w:rsidRPr="005734B8" w:rsidRDefault="00B02BF1" w:rsidP="000C192E">
            <w:pPr>
              <w:pStyle w:val="ESTablenumberrightaligned"/>
              <w:rPr>
                <w:rFonts w:ascii="Calibri" w:hAnsi="Calibri" w:cs="Calibri"/>
                <w:sz w:val="18"/>
              </w:rPr>
            </w:pPr>
            <w:r w:rsidRPr="005734B8">
              <w:rPr>
                <w:rFonts w:ascii="Calibri" w:hAnsi="Calibri" w:cs="Calibri"/>
              </w:rPr>
              <w:t>88.2</w:t>
            </w:r>
          </w:p>
        </w:tc>
      </w:tr>
      <w:tr w:rsidR="00B02BF1" w:rsidRPr="005734B8" w14:paraId="2D302949" w14:textId="77777777" w:rsidTr="00D64168">
        <w:trPr>
          <w:gridAfter w:val="1"/>
          <w:wAfter w:w="9" w:type="dxa"/>
        </w:trPr>
        <w:tc>
          <w:tcPr>
            <w:tcW w:w="2358" w:type="dxa"/>
            <w:tcBorders>
              <w:top w:val="single" w:sz="4" w:space="0" w:color="53565A" w:themeColor="accent5"/>
              <w:bottom w:val="single" w:sz="4" w:space="0" w:color="auto"/>
            </w:tcBorders>
            <w:shd w:val="clear" w:color="auto" w:fill="auto"/>
          </w:tcPr>
          <w:p w14:paraId="03A9EC17" w14:textId="77777777" w:rsidR="00B02BF1" w:rsidRPr="005734B8" w:rsidRDefault="00B02BF1" w:rsidP="000C192E">
            <w:pPr>
              <w:pStyle w:val="ESTablebody"/>
              <w:rPr>
                <w:rFonts w:ascii="Calibri" w:hAnsi="Calibri" w:cs="Calibri"/>
                <w:sz w:val="18"/>
                <w:lang w:val="en-AU"/>
              </w:rPr>
            </w:pPr>
            <w:r w:rsidRPr="005734B8">
              <w:rPr>
                <w:rFonts w:ascii="Calibri" w:hAnsi="Calibri" w:cs="Calibri"/>
                <w:sz w:val="18"/>
                <w:lang w:val="en-AU"/>
              </w:rPr>
              <w:tab/>
              <w:t>Years 10–12</w:t>
            </w:r>
          </w:p>
        </w:tc>
        <w:tc>
          <w:tcPr>
            <w:tcW w:w="1173" w:type="dxa"/>
            <w:tcBorders>
              <w:top w:val="single" w:sz="4" w:space="0" w:color="53565A" w:themeColor="accent5"/>
              <w:bottom w:val="single" w:sz="4" w:space="0" w:color="auto"/>
            </w:tcBorders>
            <w:shd w:val="clear" w:color="auto" w:fill="auto"/>
          </w:tcPr>
          <w:p w14:paraId="28D2E355"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16" w:type="dxa"/>
            <w:tcBorders>
              <w:top w:val="single" w:sz="4" w:space="0" w:color="53565A" w:themeColor="accent5"/>
              <w:bottom w:val="single" w:sz="4" w:space="0" w:color="auto"/>
            </w:tcBorders>
            <w:shd w:val="clear" w:color="auto" w:fill="FFFFFF" w:themeFill="background1"/>
          </w:tcPr>
          <w:p w14:paraId="3D67F777" w14:textId="7A367E51" w:rsidR="00B02BF1" w:rsidRPr="005734B8" w:rsidRDefault="00292076"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16" w:type="dxa"/>
            <w:tcBorders>
              <w:top w:val="single" w:sz="4" w:space="0" w:color="53565A" w:themeColor="accent5"/>
              <w:bottom w:val="single" w:sz="4" w:space="0" w:color="auto"/>
            </w:tcBorders>
          </w:tcPr>
          <w:p w14:paraId="588D63ED"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81.4</w:t>
            </w:r>
          </w:p>
        </w:tc>
        <w:tc>
          <w:tcPr>
            <w:tcW w:w="1117" w:type="dxa"/>
            <w:tcBorders>
              <w:top w:val="single" w:sz="4" w:space="0" w:color="53565A" w:themeColor="accent5"/>
              <w:bottom w:val="single" w:sz="4" w:space="0" w:color="auto"/>
            </w:tcBorders>
          </w:tcPr>
          <w:p w14:paraId="433F50D1"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85.4</w:t>
            </w:r>
          </w:p>
        </w:tc>
        <w:tc>
          <w:tcPr>
            <w:tcW w:w="1116" w:type="dxa"/>
            <w:tcBorders>
              <w:top w:val="single" w:sz="4" w:space="0" w:color="53565A" w:themeColor="accent5"/>
              <w:bottom w:val="single" w:sz="4" w:space="0" w:color="auto"/>
            </w:tcBorders>
          </w:tcPr>
          <w:p w14:paraId="6F0C33F8"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87.5</w:t>
            </w:r>
          </w:p>
        </w:tc>
        <w:tc>
          <w:tcPr>
            <w:tcW w:w="1117" w:type="dxa"/>
            <w:tcBorders>
              <w:top w:val="single" w:sz="4" w:space="0" w:color="53565A" w:themeColor="accent5"/>
              <w:bottom w:val="single" w:sz="4" w:space="0" w:color="auto"/>
            </w:tcBorders>
          </w:tcPr>
          <w:p w14:paraId="4232AD53" w14:textId="77777777" w:rsidR="00B02BF1" w:rsidRPr="005734B8" w:rsidRDefault="00B02BF1" w:rsidP="000C192E">
            <w:pPr>
              <w:pStyle w:val="ESTablenumberrightaligned"/>
              <w:rPr>
                <w:rFonts w:ascii="Calibri" w:hAnsi="Calibri" w:cs="Calibri"/>
                <w:sz w:val="18"/>
              </w:rPr>
            </w:pPr>
            <w:r w:rsidRPr="005734B8">
              <w:rPr>
                <w:rFonts w:ascii="Calibri" w:hAnsi="Calibri" w:cs="Calibri"/>
              </w:rPr>
              <w:t>92.5</w:t>
            </w:r>
          </w:p>
        </w:tc>
      </w:tr>
      <w:tr w:rsidR="00B02BF1" w:rsidRPr="005734B8" w14:paraId="1B124B1F" w14:textId="77777777" w:rsidTr="00D64168">
        <w:trPr>
          <w:gridAfter w:val="1"/>
          <w:wAfter w:w="9" w:type="dxa"/>
        </w:trPr>
        <w:tc>
          <w:tcPr>
            <w:tcW w:w="9113" w:type="dxa"/>
            <w:gridSpan w:val="7"/>
            <w:tcBorders>
              <w:top w:val="nil"/>
              <w:bottom w:val="single" w:sz="4" w:space="0" w:color="53565A" w:themeColor="accent5"/>
            </w:tcBorders>
            <w:shd w:val="clear" w:color="auto" w:fill="auto"/>
          </w:tcPr>
          <w:p w14:paraId="2BACB115" w14:textId="399821B6" w:rsidR="00B02BF1" w:rsidRPr="005734B8" w:rsidRDefault="00B02BF1" w:rsidP="000C192E">
            <w:pPr>
              <w:pStyle w:val="ESTablebody"/>
              <w:rPr>
                <w:rFonts w:ascii="Calibri" w:hAnsi="Calibri" w:cs="Calibri"/>
                <w:sz w:val="18"/>
                <w:lang w:val="en-AU"/>
              </w:rPr>
            </w:pPr>
            <w:r w:rsidRPr="005734B8">
              <w:rPr>
                <w:rFonts w:ascii="Calibri" w:eastAsia="Times New Roman" w:hAnsi="Calibri" w:cs="Calibri"/>
                <w:sz w:val="18"/>
              </w:rPr>
              <w:lastRenderedPageBreak/>
              <w:t>Proportion of Victorian government school student</w:t>
            </w:r>
            <w:r w:rsidR="004D7991" w:rsidRPr="005734B8">
              <w:rPr>
                <w:rFonts w:ascii="Calibri" w:eastAsia="Times New Roman" w:hAnsi="Calibri" w:cs="Calibri"/>
                <w:sz w:val="18"/>
              </w:rPr>
              <w:t>s</w:t>
            </w:r>
            <w:r w:rsidRPr="005734B8">
              <w:rPr>
                <w:rFonts w:ascii="Calibri" w:eastAsia="Times New Roman" w:hAnsi="Calibri" w:cs="Calibri"/>
                <w:sz w:val="18"/>
              </w:rPr>
              <w:t xml:space="preserve"> </w:t>
            </w:r>
            <w:r w:rsidR="004D7991" w:rsidRPr="005734B8">
              <w:rPr>
                <w:rFonts w:ascii="Calibri" w:eastAsia="Times New Roman" w:hAnsi="Calibri" w:cs="Calibri"/>
                <w:sz w:val="18"/>
              </w:rPr>
              <w:t>who</w:t>
            </w:r>
            <w:r w:rsidRPr="005734B8">
              <w:rPr>
                <w:rFonts w:ascii="Calibri" w:eastAsia="Times New Roman" w:hAnsi="Calibri" w:cs="Calibri"/>
                <w:sz w:val="18"/>
              </w:rPr>
              <w:t xml:space="preserve"> ‘agreed’ or ‘strongly agreed’</w:t>
            </w:r>
            <w:r w:rsidRPr="005734B8">
              <w:rPr>
                <w:rFonts w:ascii="Calibri" w:hAnsi="Calibri" w:cs="Calibri"/>
                <w:sz w:val="18"/>
              </w:rPr>
              <w:t xml:space="preserve"> </w:t>
            </w:r>
            <w:r w:rsidR="00292076" w:rsidRPr="005734B8">
              <w:rPr>
                <w:rFonts w:ascii="Calibri" w:hAnsi="Calibri" w:cs="Calibri"/>
                <w:sz w:val="18"/>
              </w:rPr>
              <w:t xml:space="preserve">that </w:t>
            </w:r>
            <w:r w:rsidRPr="005734B8">
              <w:rPr>
                <w:rFonts w:ascii="Calibri" w:hAnsi="Calibri" w:cs="Calibri"/>
                <w:sz w:val="18"/>
              </w:rPr>
              <w:t>their teacher sets clear rules / manages misbehaviour effectively</w:t>
            </w:r>
            <w:r w:rsidRPr="005734B8">
              <w:rPr>
                <w:rStyle w:val="FootnoteReference"/>
                <w:rFonts w:ascii="Calibri" w:hAnsi="Calibri" w:cs="Calibri"/>
                <w:sz w:val="18"/>
                <w:lang w:val="en-AU"/>
              </w:rPr>
              <w:t xml:space="preserve"> </w:t>
            </w:r>
            <w:r w:rsidRPr="005734B8">
              <w:rPr>
                <w:rStyle w:val="FootnoteReference"/>
                <w:rFonts w:ascii="Calibri" w:hAnsi="Calibri" w:cs="Calibri"/>
                <w:sz w:val="18"/>
                <w:lang w:val="en-AU"/>
              </w:rPr>
              <w:footnoteReference w:id="27"/>
            </w:r>
          </w:p>
        </w:tc>
      </w:tr>
      <w:tr w:rsidR="00B02BF1" w:rsidRPr="005734B8" w14:paraId="4C41F388" w14:textId="77777777" w:rsidTr="00D64168">
        <w:trPr>
          <w:gridAfter w:val="1"/>
          <w:wAfter w:w="9" w:type="dxa"/>
        </w:trPr>
        <w:tc>
          <w:tcPr>
            <w:tcW w:w="2358" w:type="dxa"/>
            <w:tcBorders>
              <w:top w:val="single" w:sz="4" w:space="0" w:color="53565A" w:themeColor="accent5"/>
              <w:bottom w:val="single" w:sz="4" w:space="0" w:color="53565A" w:themeColor="accent5"/>
            </w:tcBorders>
            <w:shd w:val="clear" w:color="auto" w:fill="auto"/>
          </w:tcPr>
          <w:p w14:paraId="27D8AB98" w14:textId="77777777" w:rsidR="00B02BF1" w:rsidRPr="005734B8" w:rsidRDefault="00B02BF1" w:rsidP="000C192E">
            <w:pPr>
              <w:pStyle w:val="ESTablebody"/>
              <w:rPr>
                <w:rFonts w:ascii="Calibri" w:hAnsi="Calibri" w:cs="Calibri"/>
                <w:sz w:val="18"/>
                <w:lang w:val="en-AU"/>
              </w:rPr>
            </w:pPr>
            <w:r w:rsidRPr="005734B8">
              <w:rPr>
                <w:rFonts w:ascii="Calibri" w:hAnsi="Calibri" w:cs="Calibri"/>
                <w:sz w:val="18"/>
                <w:lang w:val="en-AU"/>
              </w:rPr>
              <w:tab/>
              <w:t>Years 4–6</w:t>
            </w:r>
          </w:p>
        </w:tc>
        <w:tc>
          <w:tcPr>
            <w:tcW w:w="1173" w:type="dxa"/>
            <w:tcBorders>
              <w:top w:val="single" w:sz="4" w:space="0" w:color="53565A" w:themeColor="accent5"/>
              <w:bottom w:val="single" w:sz="4" w:space="0" w:color="53565A" w:themeColor="accent5"/>
            </w:tcBorders>
            <w:shd w:val="clear" w:color="auto" w:fill="auto"/>
          </w:tcPr>
          <w:p w14:paraId="3E3BBD10"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16" w:type="dxa"/>
            <w:tcBorders>
              <w:top w:val="single" w:sz="4" w:space="0" w:color="53565A" w:themeColor="accent5"/>
              <w:bottom w:val="single" w:sz="4" w:space="0" w:color="53565A" w:themeColor="accent5"/>
            </w:tcBorders>
            <w:shd w:val="clear" w:color="auto" w:fill="FFFFFF" w:themeFill="background1"/>
          </w:tcPr>
          <w:p w14:paraId="14D0D64C"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16" w:type="dxa"/>
            <w:tcBorders>
              <w:top w:val="single" w:sz="4" w:space="0" w:color="53565A" w:themeColor="accent5"/>
              <w:bottom w:val="single" w:sz="4" w:space="0" w:color="53565A" w:themeColor="accent5"/>
            </w:tcBorders>
          </w:tcPr>
          <w:p w14:paraId="2AB9E007"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80.1</w:t>
            </w:r>
          </w:p>
        </w:tc>
        <w:tc>
          <w:tcPr>
            <w:tcW w:w="1117" w:type="dxa"/>
            <w:tcBorders>
              <w:top w:val="single" w:sz="4" w:space="0" w:color="53565A" w:themeColor="accent5"/>
              <w:bottom w:val="single" w:sz="4" w:space="0" w:color="53565A" w:themeColor="accent5"/>
            </w:tcBorders>
          </w:tcPr>
          <w:p w14:paraId="37D42BC9"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79.9</w:t>
            </w:r>
          </w:p>
        </w:tc>
        <w:tc>
          <w:tcPr>
            <w:tcW w:w="1116" w:type="dxa"/>
            <w:tcBorders>
              <w:top w:val="single" w:sz="4" w:space="0" w:color="53565A" w:themeColor="accent5"/>
              <w:bottom w:val="single" w:sz="4" w:space="0" w:color="53565A" w:themeColor="accent5"/>
            </w:tcBorders>
          </w:tcPr>
          <w:p w14:paraId="61A07D2F"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79.8</w:t>
            </w:r>
          </w:p>
        </w:tc>
        <w:tc>
          <w:tcPr>
            <w:tcW w:w="1117" w:type="dxa"/>
            <w:tcBorders>
              <w:top w:val="single" w:sz="4" w:space="0" w:color="53565A" w:themeColor="accent5"/>
              <w:bottom w:val="single" w:sz="4" w:space="0" w:color="53565A" w:themeColor="accent5"/>
            </w:tcBorders>
          </w:tcPr>
          <w:p w14:paraId="64EF52A2" w14:textId="77777777" w:rsidR="00B02BF1" w:rsidRPr="005734B8" w:rsidRDefault="00B02BF1" w:rsidP="000C192E">
            <w:pPr>
              <w:pStyle w:val="ESTablenumberrightaligned"/>
              <w:rPr>
                <w:rFonts w:ascii="Calibri" w:hAnsi="Calibri" w:cs="Calibri"/>
                <w:sz w:val="18"/>
              </w:rPr>
            </w:pPr>
            <w:r w:rsidRPr="005734B8">
              <w:rPr>
                <w:rFonts w:ascii="Calibri" w:hAnsi="Calibri" w:cs="Calibri"/>
              </w:rPr>
              <w:t>77.0</w:t>
            </w:r>
          </w:p>
        </w:tc>
      </w:tr>
      <w:tr w:rsidR="00B02BF1" w:rsidRPr="005734B8" w14:paraId="42DFA1E2" w14:textId="77777777" w:rsidTr="00D64168">
        <w:trPr>
          <w:gridAfter w:val="1"/>
          <w:wAfter w:w="9" w:type="dxa"/>
        </w:trPr>
        <w:tc>
          <w:tcPr>
            <w:tcW w:w="2358" w:type="dxa"/>
            <w:tcBorders>
              <w:top w:val="single" w:sz="4" w:space="0" w:color="53565A" w:themeColor="accent5"/>
              <w:bottom w:val="single" w:sz="4" w:space="0" w:color="53565A" w:themeColor="accent5"/>
            </w:tcBorders>
            <w:shd w:val="clear" w:color="auto" w:fill="auto"/>
          </w:tcPr>
          <w:p w14:paraId="19288AB7" w14:textId="77777777" w:rsidR="00B02BF1" w:rsidRPr="005734B8" w:rsidRDefault="00B02BF1" w:rsidP="000C192E">
            <w:pPr>
              <w:pStyle w:val="ESTablebody"/>
              <w:rPr>
                <w:rFonts w:ascii="Calibri" w:hAnsi="Calibri" w:cs="Calibri"/>
                <w:sz w:val="18"/>
                <w:lang w:val="en-AU"/>
              </w:rPr>
            </w:pPr>
            <w:r w:rsidRPr="005734B8">
              <w:rPr>
                <w:rFonts w:ascii="Calibri" w:hAnsi="Calibri" w:cs="Calibri"/>
                <w:sz w:val="18"/>
                <w:lang w:val="en-AU"/>
              </w:rPr>
              <w:tab/>
              <w:t>Years 7–10</w:t>
            </w:r>
          </w:p>
        </w:tc>
        <w:tc>
          <w:tcPr>
            <w:tcW w:w="1173" w:type="dxa"/>
            <w:tcBorders>
              <w:top w:val="single" w:sz="4" w:space="0" w:color="53565A" w:themeColor="accent5"/>
              <w:bottom w:val="single" w:sz="4" w:space="0" w:color="53565A" w:themeColor="accent5"/>
            </w:tcBorders>
            <w:shd w:val="clear" w:color="auto" w:fill="auto"/>
          </w:tcPr>
          <w:p w14:paraId="435E4DF2"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16" w:type="dxa"/>
            <w:tcBorders>
              <w:top w:val="single" w:sz="4" w:space="0" w:color="53565A" w:themeColor="accent5"/>
              <w:bottom w:val="single" w:sz="4" w:space="0" w:color="53565A" w:themeColor="accent5"/>
            </w:tcBorders>
            <w:shd w:val="clear" w:color="auto" w:fill="FFFFFF" w:themeFill="background1"/>
          </w:tcPr>
          <w:p w14:paraId="13E110FD"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16" w:type="dxa"/>
            <w:tcBorders>
              <w:top w:val="single" w:sz="4" w:space="0" w:color="53565A" w:themeColor="accent5"/>
              <w:bottom w:val="single" w:sz="4" w:space="0" w:color="53565A" w:themeColor="accent5"/>
            </w:tcBorders>
          </w:tcPr>
          <w:p w14:paraId="3C5565BE"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56.1</w:t>
            </w:r>
          </w:p>
        </w:tc>
        <w:tc>
          <w:tcPr>
            <w:tcW w:w="1117" w:type="dxa"/>
            <w:tcBorders>
              <w:top w:val="single" w:sz="4" w:space="0" w:color="53565A" w:themeColor="accent5"/>
              <w:bottom w:val="single" w:sz="4" w:space="0" w:color="53565A" w:themeColor="accent5"/>
            </w:tcBorders>
          </w:tcPr>
          <w:p w14:paraId="332D0DD4"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57.8</w:t>
            </w:r>
          </w:p>
        </w:tc>
        <w:tc>
          <w:tcPr>
            <w:tcW w:w="1116" w:type="dxa"/>
            <w:tcBorders>
              <w:top w:val="single" w:sz="4" w:space="0" w:color="53565A" w:themeColor="accent5"/>
              <w:bottom w:val="single" w:sz="4" w:space="0" w:color="53565A" w:themeColor="accent5"/>
            </w:tcBorders>
          </w:tcPr>
          <w:p w14:paraId="627855C1"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58.1</w:t>
            </w:r>
          </w:p>
        </w:tc>
        <w:tc>
          <w:tcPr>
            <w:tcW w:w="1117" w:type="dxa"/>
            <w:tcBorders>
              <w:top w:val="single" w:sz="4" w:space="0" w:color="53565A" w:themeColor="accent5"/>
              <w:bottom w:val="single" w:sz="4" w:space="0" w:color="53565A" w:themeColor="accent5"/>
            </w:tcBorders>
          </w:tcPr>
          <w:p w14:paraId="3D7EC1DA"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61.8</w:t>
            </w:r>
          </w:p>
        </w:tc>
      </w:tr>
      <w:tr w:rsidR="00B02BF1" w:rsidRPr="005734B8" w14:paraId="68CE787D" w14:textId="77777777" w:rsidTr="00D64168">
        <w:trPr>
          <w:gridAfter w:val="1"/>
          <w:wAfter w:w="9" w:type="dxa"/>
        </w:trPr>
        <w:tc>
          <w:tcPr>
            <w:tcW w:w="2358" w:type="dxa"/>
            <w:tcBorders>
              <w:top w:val="single" w:sz="4" w:space="0" w:color="53565A" w:themeColor="accent5"/>
              <w:bottom w:val="single" w:sz="4" w:space="0" w:color="53565A" w:themeColor="accent5"/>
            </w:tcBorders>
            <w:shd w:val="clear" w:color="auto" w:fill="auto"/>
          </w:tcPr>
          <w:p w14:paraId="18524534" w14:textId="77777777" w:rsidR="00B02BF1" w:rsidRPr="005734B8" w:rsidRDefault="00B02BF1" w:rsidP="000C192E">
            <w:pPr>
              <w:pStyle w:val="ESTablebody"/>
              <w:rPr>
                <w:rFonts w:ascii="Calibri" w:hAnsi="Calibri" w:cs="Calibri"/>
                <w:sz w:val="18"/>
                <w:lang w:val="en-AU"/>
              </w:rPr>
            </w:pPr>
            <w:r w:rsidRPr="005734B8">
              <w:rPr>
                <w:rFonts w:ascii="Calibri" w:hAnsi="Calibri" w:cs="Calibri"/>
                <w:sz w:val="18"/>
                <w:lang w:val="en-AU"/>
              </w:rPr>
              <w:tab/>
              <w:t>Years 11–12</w:t>
            </w:r>
          </w:p>
        </w:tc>
        <w:tc>
          <w:tcPr>
            <w:tcW w:w="1173" w:type="dxa"/>
            <w:tcBorders>
              <w:top w:val="single" w:sz="4" w:space="0" w:color="53565A" w:themeColor="accent5"/>
              <w:bottom w:val="single" w:sz="4" w:space="0" w:color="53565A" w:themeColor="accent5"/>
            </w:tcBorders>
            <w:shd w:val="clear" w:color="auto" w:fill="auto"/>
          </w:tcPr>
          <w:p w14:paraId="27359729"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16" w:type="dxa"/>
            <w:tcBorders>
              <w:top w:val="single" w:sz="4" w:space="0" w:color="53565A" w:themeColor="accent5"/>
              <w:bottom w:val="single" w:sz="4" w:space="0" w:color="53565A" w:themeColor="accent5"/>
            </w:tcBorders>
            <w:shd w:val="clear" w:color="auto" w:fill="FFFFFF" w:themeFill="background1"/>
          </w:tcPr>
          <w:p w14:paraId="4DF4CD5F"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16" w:type="dxa"/>
            <w:tcBorders>
              <w:top w:val="single" w:sz="4" w:space="0" w:color="53565A" w:themeColor="accent5"/>
              <w:bottom w:val="single" w:sz="4" w:space="0" w:color="53565A" w:themeColor="accent5"/>
            </w:tcBorders>
          </w:tcPr>
          <w:p w14:paraId="4377884F"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56.0</w:t>
            </w:r>
          </w:p>
        </w:tc>
        <w:tc>
          <w:tcPr>
            <w:tcW w:w="1117" w:type="dxa"/>
            <w:tcBorders>
              <w:top w:val="single" w:sz="4" w:space="0" w:color="53565A" w:themeColor="accent5"/>
              <w:bottom w:val="single" w:sz="4" w:space="0" w:color="53565A" w:themeColor="accent5"/>
            </w:tcBorders>
          </w:tcPr>
          <w:p w14:paraId="5BB50D86"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56.9</w:t>
            </w:r>
          </w:p>
        </w:tc>
        <w:tc>
          <w:tcPr>
            <w:tcW w:w="1116" w:type="dxa"/>
            <w:tcBorders>
              <w:top w:val="single" w:sz="4" w:space="0" w:color="53565A" w:themeColor="accent5"/>
              <w:bottom w:val="single" w:sz="4" w:space="0" w:color="53565A" w:themeColor="accent5"/>
            </w:tcBorders>
          </w:tcPr>
          <w:p w14:paraId="4BD4AAD1"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57.5</w:t>
            </w:r>
          </w:p>
        </w:tc>
        <w:tc>
          <w:tcPr>
            <w:tcW w:w="1117" w:type="dxa"/>
            <w:tcBorders>
              <w:top w:val="single" w:sz="4" w:space="0" w:color="53565A" w:themeColor="accent5"/>
              <w:bottom w:val="single" w:sz="4" w:space="0" w:color="53565A" w:themeColor="accent5"/>
            </w:tcBorders>
          </w:tcPr>
          <w:p w14:paraId="38A9E54C"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rPr>
              <w:t>62.7</w:t>
            </w:r>
          </w:p>
        </w:tc>
      </w:tr>
      <w:tr w:rsidR="00B02BF1" w:rsidRPr="005734B8" w14:paraId="671C9983" w14:textId="77777777" w:rsidTr="00D64168">
        <w:trPr>
          <w:gridAfter w:val="1"/>
          <w:wAfter w:w="9" w:type="dxa"/>
        </w:trPr>
        <w:tc>
          <w:tcPr>
            <w:tcW w:w="9113" w:type="dxa"/>
            <w:gridSpan w:val="7"/>
            <w:tcBorders>
              <w:top w:val="single" w:sz="4" w:space="0" w:color="53565A" w:themeColor="accent5"/>
              <w:bottom w:val="single" w:sz="4" w:space="0" w:color="53565A" w:themeColor="accent5"/>
            </w:tcBorders>
            <w:shd w:val="clear" w:color="auto" w:fill="53565A" w:themeFill="accent5"/>
          </w:tcPr>
          <w:p w14:paraId="53F1321E" w14:textId="77777777" w:rsidR="00B02BF1" w:rsidRPr="005734B8" w:rsidRDefault="00B02BF1" w:rsidP="000C192E">
            <w:pPr>
              <w:pStyle w:val="T1"/>
              <w:rPr>
                <w:rFonts w:ascii="Calibri" w:hAnsi="Calibri" w:cs="Calibri"/>
                <w:color w:val="FF9900"/>
                <w:sz w:val="18"/>
              </w:rPr>
            </w:pPr>
            <w:r w:rsidRPr="005734B8">
              <w:rPr>
                <w:rFonts w:ascii="Calibri" w:hAnsi="Calibri" w:cs="Calibri"/>
                <w:sz w:val="18"/>
              </w:rPr>
              <w:t>Higher education and skills</w:t>
            </w:r>
          </w:p>
        </w:tc>
      </w:tr>
      <w:tr w:rsidR="00B02BF1" w:rsidRPr="005734B8" w14:paraId="075D7B09" w14:textId="77777777" w:rsidTr="00D64168">
        <w:trPr>
          <w:gridAfter w:val="1"/>
          <w:wAfter w:w="9" w:type="dxa"/>
        </w:trPr>
        <w:tc>
          <w:tcPr>
            <w:tcW w:w="9113" w:type="dxa"/>
            <w:gridSpan w:val="7"/>
            <w:tcBorders>
              <w:top w:val="single" w:sz="4" w:space="0" w:color="53565A" w:themeColor="accent5"/>
              <w:bottom w:val="single" w:sz="4" w:space="0" w:color="53565A" w:themeColor="accent5"/>
            </w:tcBorders>
            <w:shd w:val="clear" w:color="auto" w:fill="D9D9D6" w:themeFill="accent6"/>
          </w:tcPr>
          <w:p w14:paraId="4F3A3704" w14:textId="77777777" w:rsidR="00B02BF1" w:rsidRPr="005734B8" w:rsidRDefault="00B02BF1" w:rsidP="000C192E">
            <w:pPr>
              <w:pStyle w:val="W2"/>
              <w:rPr>
                <w:rFonts w:ascii="Calibri" w:hAnsi="Calibri" w:cs="Calibri"/>
                <w:color w:val="FF9900"/>
                <w:sz w:val="18"/>
              </w:rPr>
            </w:pPr>
            <w:r w:rsidRPr="005734B8">
              <w:rPr>
                <w:rFonts w:ascii="Calibri" w:hAnsi="Calibri" w:cs="Calibri"/>
                <w:sz w:val="18"/>
              </w:rPr>
              <w:t>Level of student satisfaction with VET</w:t>
            </w:r>
          </w:p>
        </w:tc>
      </w:tr>
      <w:tr w:rsidR="00B02BF1" w:rsidRPr="005734B8" w14:paraId="7FA00338" w14:textId="77777777" w:rsidTr="00D64168">
        <w:trPr>
          <w:gridAfter w:val="1"/>
          <w:wAfter w:w="9" w:type="dxa"/>
        </w:trPr>
        <w:tc>
          <w:tcPr>
            <w:tcW w:w="2358" w:type="dxa"/>
            <w:tcBorders>
              <w:top w:val="single" w:sz="4" w:space="0" w:color="53565A" w:themeColor="accent5"/>
              <w:bottom w:val="single" w:sz="4" w:space="0" w:color="53565A" w:themeColor="accent5"/>
            </w:tcBorders>
            <w:shd w:val="clear" w:color="auto" w:fill="auto"/>
          </w:tcPr>
          <w:p w14:paraId="2845AEEF" w14:textId="77777777" w:rsidR="00B02BF1" w:rsidRPr="005734B8" w:rsidRDefault="00B02BF1" w:rsidP="000C192E">
            <w:pPr>
              <w:pStyle w:val="ESTablebody"/>
              <w:rPr>
                <w:rFonts w:ascii="Calibri" w:hAnsi="Calibri" w:cs="Calibri"/>
                <w:sz w:val="18"/>
                <w:lang w:val="en-AU"/>
              </w:rPr>
            </w:pPr>
            <w:r w:rsidRPr="005734B8">
              <w:rPr>
                <w:rFonts w:ascii="Calibri" w:hAnsi="Calibri" w:cs="Calibri"/>
                <w:sz w:val="18"/>
                <w:lang w:val="en-AU"/>
              </w:rPr>
              <w:t>Proportion of government-funded graduates satisfied with the quality of training</w:t>
            </w:r>
            <w:r w:rsidRPr="005734B8">
              <w:rPr>
                <w:rStyle w:val="FootnoteReference"/>
                <w:rFonts w:ascii="Calibri" w:hAnsi="Calibri" w:cs="Calibri"/>
                <w:sz w:val="18"/>
                <w:lang w:val="en-AU"/>
              </w:rPr>
              <w:footnoteReference w:id="28"/>
            </w:r>
          </w:p>
        </w:tc>
        <w:tc>
          <w:tcPr>
            <w:tcW w:w="1173" w:type="dxa"/>
            <w:tcBorders>
              <w:top w:val="single" w:sz="4" w:space="0" w:color="53565A" w:themeColor="accent5"/>
              <w:bottom w:val="single" w:sz="4" w:space="0" w:color="53565A" w:themeColor="accent5"/>
            </w:tcBorders>
            <w:shd w:val="clear" w:color="auto" w:fill="auto"/>
          </w:tcPr>
          <w:p w14:paraId="1454D62D"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16" w:type="dxa"/>
            <w:tcBorders>
              <w:top w:val="single" w:sz="4" w:space="0" w:color="53565A" w:themeColor="accent5"/>
              <w:bottom w:val="single" w:sz="4" w:space="0" w:color="53565A" w:themeColor="accent5"/>
            </w:tcBorders>
            <w:shd w:val="clear" w:color="auto" w:fill="FFFFFF" w:themeFill="background1"/>
          </w:tcPr>
          <w:p w14:paraId="15A93D8A"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84.3</w:t>
            </w:r>
          </w:p>
        </w:tc>
        <w:tc>
          <w:tcPr>
            <w:tcW w:w="1116" w:type="dxa"/>
            <w:tcBorders>
              <w:top w:val="single" w:sz="4" w:space="0" w:color="53565A" w:themeColor="accent5"/>
              <w:bottom w:val="single" w:sz="4" w:space="0" w:color="53565A" w:themeColor="accent5"/>
            </w:tcBorders>
          </w:tcPr>
          <w:p w14:paraId="18AA8BA9"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85.3</w:t>
            </w:r>
          </w:p>
        </w:tc>
        <w:tc>
          <w:tcPr>
            <w:tcW w:w="1117" w:type="dxa"/>
            <w:tcBorders>
              <w:top w:val="single" w:sz="4" w:space="0" w:color="53565A" w:themeColor="accent5"/>
              <w:bottom w:val="single" w:sz="4" w:space="0" w:color="53565A" w:themeColor="accent5"/>
            </w:tcBorders>
          </w:tcPr>
          <w:p w14:paraId="61BC9288"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lang w:val="en-AU"/>
              </w:rPr>
              <w:t>85.2</w:t>
            </w:r>
          </w:p>
        </w:tc>
        <w:tc>
          <w:tcPr>
            <w:tcW w:w="1116" w:type="dxa"/>
            <w:tcBorders>
              <w:top w:val="single" w:sz="4" w:space="0" w:color="53565A" w:themeColor="accent5"/>
              <w:bottom w:val="single" w:sz="4" w:space="0" w:color="53565A" w:themeColor="accent5"/>
            </w:tcBorders>
          </w:tcPr>
          <w:p w14:paraId="1A4E57D5" w14:textId="77777777" w:rsidR="00B02BF1" w:rsidRPr="005734B8" w:rsidRDefault="00B02BF1" w:rsidP="000C192E">
            <w:pPr>
              <w:pStyle w:val="ESTablenumberrightaligned"/>
              <w:rPr>
                <w:rFonts w:ascii="Calibri" w:hAnsi="Calibri" w:cs="Calibri"/>
                <w:sz w:val="18"/>
                <w:lang w:val="en-AU"/>
              </w:rPr>
            </w:pPr>
            <w:r w:rsidRPr="005734B8">
              <w:rPr>
                <w:rFonts w:ascii="Calibri" w:hAnsi="Calibri" w:cs="Calibri"/>
                <w:sz w:val="18"/>
              </w:rPr>
              <w:t>85.7</w:t>
            </w:r>
          </w:p>
        </w:tc>
        <w:tc>
          <w:tcPr>
            <w:tcW w:w="1117" w:type="dxa"/>
            <w:tcBorders>
              <w:top w:val="single" w:sz="4" w:space="0" w:color="53565A" w:themeColor="accent5"/>
              <w:bottom w:val="single" w:sz="4" w:space="0" w:color="53565A" w:themeColor="accent5"/>
            </w:tcBorders>
          </w:tcPr>
          <w:p w14:paraId="4A8C337C" w14:textId="77777777" w:rsidR="00B02BF1" w:rsidRPr="005734B8" w:rsidRDefault="00B02BF1" w:rsidP="000C192E">
            <w:pPr>
              <w:pStyle w:val="ESTablenumberrightaligned"/>
              <w:rPr>
                <w:rFonts w:ascii="Calibri" w:hAnsi="Calibri" w:cs="Calibri"/>
                <w:sz w:val="18"/>
              </w:rPr>
            </w:pPr>
            <w:r w:rsidRPr="005734B8">
              <w:rPr>
                <w:rFonts w:ascii="Calibri" w:hAnsi="Calibri" w:cs="Calibri"/>
                <w:sz w:val="18"/>
              </w:rPr>
              <w:t>87.3</w:t>
            </w:r>
          </w:p>
        </w:tc>
      </w:tr>
    </w:tbl>
    <w:bookmarkEnd w:id="150"/>
    <w:bookmarkEnd w:id="151"/>
    <w:bookmarkEnd w:id="152"/>
    <w:bookmarkEnd w:id="153"/>
    <w:bookmarkEnd w:id="154"/>
    <w:bookmarkEnd w:id="155"/>
    <w:bookmarkEnd w:id="156"/>
    <w:p w14:paraId="72B70FCD" w14:textId="77777777" w:rsidR="00697DA6" w:rsidRPr="005734B8" w:rsidRDefault="00697DA6" w:rsidP="00697DA6">
      <w:pPr>
        <w:pStyle w:val="ESHeading3"/>
        <w:ind w:left="0" w:firstLine="0"/>
        <w:rPr>
          <w:rFonts w:ascii="Calibri" w:hAnsi="Calibri" w:cs="Calibri"/>
          <w:szCs w:val="22"/>
          <w:lang w:val="en-AU"/>
        </w:rPr>
      </w:pPr>
      <w:r w:rsidRPr="005734B8">
        <w:rPr>
          <w:rFonts w:ascii="Calibri" w:hAnsi="Calibri" w:cs="Calibri"/>
          <w:szCs w:val="22"/>
          <w:lang w:val="en-AU"/>
        </w:rPr>
        <w:t>Objective 4: Productivity</w:t>
      </w:r>
    </w:p>
    <w:p w14:paraId="73E62920" w14:textId="77777777" w:rsidR="00697DA6" w:rsidRPr="005734B8" w:rsidRDefault="00697DA6" w:rsidP="00697DA6">
      <w:pPr>
        <w:rPr>
          <w:rFonts w:ascii="Calibri" w:hAnsi="Calibri" w:cs="Calibri"/>
          <w:i/>
        </w:rPr>
      </w:pPr>
      <w:r w:rsidRPr="005734B8">
        <w:rPr>
          <w:rFonts w:ascii="Calibri" w:hAnsi="Calibri" w:cs="Calibri"/>
          <w:i/>
        </w:rPr>
        <w:t>Increase the economic and social return on expenditure of the Department’s services.</w:t>
      </w:r>
    </w:p>
    <w:p w14:paraId="5FC4A1FD" w14:textId="77777777" w:rsidR="00697DA6" w:rsidRPr="005734B8" w:rsidRDefault="00697DA6" w:rsidP="00697DA6">
      <w:pPr>
        <w:rPr>
          <w:rFonts w:ascii="Calibri" w:hAnsi="Calibri" w:cs="Calibri"/>
          <w:szCs w:val="22"/>
        </w:rPr>
      </w:pPr>
    </w:p>
    <w:p w14:paraId="1587605F" w14:textId="15841D9A" w:rsidR="00697DA6" w:rsidRPr="005734B8" w:rsidRDefault="00697DA6" w:rsidP="00697DA6">
      <w:pPr>
        <w:rPr>
          <w:rFonts w:ascii="Calibri" w:hAnsi="Calibri" w:cs="Calibri"/>
          <w:szCs w:val="22"/>
        </w:rPr>
      </w:pPr>
      <w:r w:rsidRPr="005734B8">
        <w:rPr>
          <w:rFonts w:ascii="Calibri" w:hAnsi="Calibri" w:cs="Calibri"/>
          <w:szCs w:val="22"/>
        </w:rPr>
        <w:t xml:space="preserve">Investments in services across early childhood, schools and </w:t>
      </w:r>
      <w:r w:rsidR="00711B47" w:rsidRPr="005734B8">
        <w:rPr>
          <w:rFonts w:ascii="Calibri" w:hAnsi="Calibri" w:cs="Calibri"/>
          <w:szCs w:val="22"/>
        </w:rPr>
        <w:t>h</w:t>
      </w:r>
      <w:r w:rsidRPr="005734B8">
        <w:rPr>
          <w:rFonts w:ascii="Calibri" w:hAnsi="Calibri" w:cs="Calibri"/>
          <w:szCs w:val="22"/>
        </w:rPr>
        <w:t xml:space="preserve">igher </w:t>
      </w:r>
      <w:r w:rsidR="00711B47" w:rsidRPr="005734B8">
        <w:rPr>
          <w:rFonts w:ascii="Calibri" w:hAnsi="Calibri" w:cs="Calibri"/>
          <w:szCs w:val="22"/>
        </w:rPr>
        <w:t>e</w:t>
      </w:r>
      <w:r w:rsidRPr="005734B8">
        <w:rPr>
          <w:rFonts w:ascii="Calibri" w:hAnsi="Calibri" w:cs="Calibri"/>
          <w:szCs w:val="22"/>
        </w:rPr>
        <w:t xml:space="preserve">ducation and </w:t>
      </w:r>
      <w:r w:rsidR="00711B47" w:rsidRPr="005734B8">
        <w:rPr>
          <w:rFonts w:ascii="Calibri" w:hAnsi="Calibri" w:cs="Calibri"/>
          <w:szCs w:val="22"/>
        </w:rPr>
        <w:t>t</w:t>
      </w:r>
      <w:r w:rsidRPr="005734B8">
        <w:rPr>
          <w:rFonts w:ascii="Calibri" w:hAnsi="Calibri" w:cs="Calibri"/>
          <w:szCs w:val="22"/>
        </w:rPr>
        <w:t xml:space="preserve">raining continue to grow. The minimum funding available for children </w:t>
      </w:r>
      <w:r w:rsidR="00711B47" w:rsidRPr="005734B8">
        <w:rPr>
          <w:rFonts w:ascii="Calibri" w:hAnsi="Calibri" w:cs="Calibri"/>
          <w:szCs w:val="22"/>
        </w:rPr>
        <w:t>attending</w:t>
      </w:r>
      <w:r w:rsidRPr="005734B8">
        <w:rPr>
          <w:rFonts w:ascii="Calibri" w:hAnsi="Calibri" w:cs="Calibri"/>
          <w:szCs w:val="22"/>
        </w:rPr>
        <w:t xml:space="preserve"> kindergarten in the year before school has increased between 2016 and 2020</w:t>
      </w:r>
      <w:r w:rsidR="00711B47" w:rsidRPr="005734B8">
        <w:rPr>
          <w:rFonts w:ascii="Calibri" w:hAnsi="Calibri" w:cs="Calibri"/>
          <w:szCs w:val="22"/>
        </w:rPr>
        <w:t>,</w:t>
      </w:r>
      <w:r w:rsidRPr="005734B8">
        <w:rPr>
          <w:rFonts w:ascii="Calibri" w:hAnsi="Calibri" w:cs="Calibri"/>
          <w:szCs w:val="22"/>
        </w:rPr>
        <w:t xml:space="preserve"> from $3,335 per child to </w:t>
      </w:r>
      <w:r w:rsidRPr="005734B8">
        <w:rPr>
          <w:rFonts w:ascii="Calibri" w:hAnsi="Calibri" w:cs="Calibri"/>
          <w:szCs w:val="22"/>
          <w:lang w:val="en-US"/>
        </w:rPr>
        <w:t>$3,682</w:t>
      </w:r>
      <w:r w:rsidRPr="005734B8">
        <w:rPr>
          <w:rFonts w:ascii="Calibri" w:hAnsi="Calibri" w:cs="Calibri"/>
          <w:szCs w:val="22"/>
        </w:rPr>
        <w:t>.</w:t>
      </w:r>
    </w:p>
    <w:p w14:paraId="0588E0DA" w14:textId="77777777" w:rsidR="00697DA6" w:rsidRPr="005734B8" w:rsidRDefault="00697DA6" w:rsidP="00697DA6">
      <w:pPr>
        <w:rPr>
          <w:rFonts w:ascii="Calibri" w:hAnsi="Calibri" w:cs="Calibri"/>
          <w:szCs w:val="22"/>
        </w:rPr>
      </w:pPr>
    </w:p>
    <w:p w14:paraId="6F26B17B" w14:textId="0B35B318" w:rsidR="00697DA6" w:rsidRPr="005734B8" w:rsidRDefault="00697DA6" w:rsidP="00697DA6">
      <w:pPr>
        <w:rPr>
          <w:rFonts w:ascii="Calibri" w:hAnsi="Calibri" w:cs="Calibri"/>
          <w:szCs w:val="22"/>
        </w:rPr>
      </w:pPr>
      <w:r w:rsidRPr="005734B8">
        <w:rPr>
          <w:rFonts w:ascii="Calibri" w:hAnsi="Calibri" w:cs="Calibri"/>
          <w:szCs w:val="22"/>
        </w:rPr>
        <w:t xml:space="preserve">Investment in Victoria’s schooling continues to grow with </w:t>
      </w:r>
      <w:r w:rsidR="004F69B5" w:rsidRPr="005734B8">
        <w:rPr>
          <w:rFonts w:ascii="Calibri" w:hAnsi="Calibri" w:cs="Calibri"/>
          <w:szCs w:val="22"/>
          <w:lang w:val="en-AU"/>
        </w:rPr>
        <w:t>g</w:t>
      </w:r>
      <w:r w:rsidRPr="005734B8">
        <w:rPr>
          <w:rFonts w:ascii="Calibri" w:hAnsi="Calibri" w:cs="Calibri"/>
          <w:szCs w:val="22"/>
          <w:lang w:val="en-AU"/>
        </w:rPr>
        <w:t>overnment real recurrent expenditure per FTE student in primary schools increasing to $15,704 in 2018</w:t>
      </w:r>
      <w:r w:rsidRPr="005734B8">
        <w:rPr>
          <w:rFonts w:ascii="Calibri" w:hAnsi="Calibri" w:cs="Calibri"/>
        </w:rPr>
        <w:t>–</w:t>
      </w:r>
      <w:r w:rsidRPr="005734B8">
        <w:rPr>
          <w:rFonts w:ascii="Calibri" w:hAnsi="Calibri" w:cs="Calibri"/>
          <w:szCs w:val="22"/>
          <w:lang w:val="en-AU"/>
        </w:rPr>
        <w:t xml:space="preserve">19. Government real recurrent expenditure per FTE student in secondary schools </w:t>
      </w:r>
      <w:r w:rsidR="004F69B5" w:rsidRPr="005734B8">
        <w:rPr>
          <w:rFonts w:ascii="Calibri" w:hAnsi="Calibri" w:cs="Calibri"/>
          <w:szCs w:val="22"/>
          <w:lang w:val="en-AU"/>
        </w:rPr>
        <w:t>i</w:t>
      </w:r>
      <w:r w:rsidRPr="005734B8">
        <w:rPr>
          <w:rFonts w:ascii="Calibri" w:hAnsi="Calibri" w:cs="Calibri"/>
          <w:szCs w:val="22"/>
          <w:lang w:val="en-AU"/>
        </w:rPr>
        <w:t xml:space="preserve">ncreased to $19,546. Analysis of data published in the Productivity Commission’s Report on Government Services indicates that </w:t>
      </w:r>
      <w:r w:rsidRPr="005734B8">
        <w:rPr>
          <w:rFonts w:ascii="Calibri" w:hAnsi="Calibri" w:cs="Calibri"/>
          <w:szCs w:val="22"/>
        </w:rPr>
        <w:t xml:space="preserve">Victorian Government expenditure in government schools increased </w:t>
      </w:r>
      <w:r w:rsidR="004F69B5" w:rsidRPr="005734B8">
        <w:rPr>
          <w:rFonts w:ascii="Calibri" w:hAnsi="Calibri" w:cs="Calibri"/>
          <w:szCs w:val="22"/>
        </w:rPr>
        <w:t>more than any</w:t>
      </w:r>
      <w:r w:rsidRPr="005734B8">
        <w:rPr>
          <w:rFonts w:ascii="Calibri" w:hAnsi="Calibri" w:cs="Calibri"/>
          <w:szCs w:val="22"/>
        </w:rPr>
        <w:t xml:space="preserve"> other states </w:t>
      </w:r>
      <w:r w:rsidR="004F69B5" w:rsidRPr="005734B8">
        <w:rPr>
          <w:rFonts w:ascii="Calibri" w:hAnsi="Calibri" w:cs="Calibri"/>
          <w:szCs w:val="22"/>
        </w:rPr>
        <w:t>or</w:t>
      </w:r>
      <w:r w:rsidRPr="005734B8">
        <w:rPr>
          <w:rFonts w:ascii="Calibri" w:hAnsi="Calibri" w:cs="Calibri"/>
          <w:szCs w:val="22"/>
        </w:rPr>
        <w:t xml:space="preserve"> territories between 2014</w:t>
      </w:r>
      <w:r w:rsidRPr="005734B8">
        <w:rPr>
          <w:rFonts w:ascii="Calibri" w:hAnsi="Calibri" w:cs="Calibri"/>
        </w:rPr>
        <w:t>–</w:t>
      </w:r>
      <w:r w:rsidRPr="005734B8">
        <w:rPr>
          <w:rFonts w:ascii="Calibri" w:hAnsi="Calibri" w:cs="Calibri"/>
          <w:szCs w:val="22"/>
        </w:rPr>
        <w:t xml:space="preserve">15 </w:t>
      </w:r>
      <w:r w:rsidR="004F69B5" w:rsidRPr="005734B8">
        <w:rPr>
          <w:rFonts w:ascii="Calibri" w:hAnsi="Calibri" w:cs="Calibri"/>
          <w:szCs w:val="22"/>
        </w:rPr>
        <w:t>and</w:t>
      </w:r>
      <w:r w:rsidRPr="005734B8">
        <w:rPr>
          <w:rFonts w:ascii="Calibri" w:hAnsi="Calibri" w:cs="Calibri"/>
          <w:szCs w:val="22"/>
        </w:rPr>
        <w:t xml:space="preserve"> 2018</w:t>
      </w:r>
      <w:r w:rsidRPr="005734B8">
        <w:rPr>
          <w:rFonts w:ascii="Calibri" w:hAnsi="Calibri" w:cs="Calibri"/>
        </w:rPr>
        <w:t>–</w:t>
      </w:r>
      <w:r w:rsidRPr="005734B8">
        <w:rPr>
          <w:rFonts w:ascii="Calibri" w:hAnsi="Calibri" w:cs="Calibri"/>
          <w:szCs w:val="22"/>
        </w:rPr>
        <w:t>19</w:t>
      </w:r>
      <w:r w:rsidR="004F69B5" w:rsidRPr="005734B8">
        <w:rPr>
          <w:rFonts w:ascii="Calibri" w:hAnsi="Calibri" w:cs="Calibri"/>
          <w:szCs w:val="22"/>
        </w:rPr>
        <w:t>,</w:t>
      </w:r>
      <w:r w:rsidRPr="005734B8">
        <w:rPr>
          <w:rFonts w:ascii="Calibri" w:hAnsi="Calibri" w:cs="Calibri"/>
          <w:szCs w:val="22"/>
        </w:rPr>
        <w:t xml:space="preserve"> at 15.0 per cent</w:t>
      </w:r>
      <w:r w:rsidRPr="005734B8">
        <w:rPr>
          <w:rStyle w:val="FootnoteReference"/>
          <w:rFonts w:ascii="Calibri" w:hAnsi="Calibri" w:cs="Calibri"/>
          <w:szCs w:val="22"/>
        </w:rPr>
        <w:footnoteReference w:id="29"/>
      </w:r>
      <w:r w:rsidRPr="005734B8">
        <w:rPr>
          <w:rFonts w:ascii="Calibri" w:hAnsi="Calibri" w:cs="Calibri"/>
          <w:szCs w:val="22"/>
        </w:rPr>
        <w:t>.</w:t>
      </w:r>
    </w:p>
    <w:p w14:paraId="3A73B4EB" w14:textId="77777777" w:rsidR="00697DA6" w:rsidRPr="005734B8" w:rsidRDefault="00697DA6" w:rsidP="00697DA6">
      <w:pPr>
        <w:rPr>
          <w:rFonts w:ascii="Calibri" w:hAnsi="Calibri" w:cs="Calibri"/>
          <w:szCs w:val="22"/>
          <w:highlight w:val="yellow"/>
        </w:rPr>
      </w:pPr>
    </w:p>
    <w:p w14:paraId="03F07151" w14:textId="422BC55B" w:rsidR="006623D6" w:rsidRPr="005734B8" w:rsidRDefault="00697DA6" w:rsidP="00697DA6">
      <w:pPr>
        <w:rPr>
          <w:rFonts w:ascii="Calibri" w:hAnsi="Calibri" w:cs="Calibri"/>
        </w:rPr>
      </w:pPr>
      <w:r w:rsidRPr="005734B8">
        <w:rPr>
          <w:rFonts w:ascii="Calibri" w:hAnsi="Calibri" w:cs="Calibri"/>
        </w:rPr>
        <w:t>Investment in VET has also continued to grow. Since 2016, investment in the VET system, as measured through expenditure per student contact hour, has increased in real terms from $12.87 per hour to $14.24 per hour in 2019.</w:t>
      </w:r>
      <w:r w:rsidR="006623D6" w:rsidRPr="005734B8">
        <w:rPr>
          <w:rFonts w:ascii="Calibri" w:hAnsi="Calibri" w:cs="Calibri"/>
        </w:rPr>
        <w:br w:type="page"/>
      </w:r>
    </w:p>
    <w:p w14:paraId="0AE2D59D" w14:textId="109ED3B1" w:rsidR="00EB041C" w:rsidRPr="005734B8" w:rsidRDefault="00EB041C" w:rsidP="00EB041C">
      <w:pPr>
        <w:pStyle w:val="ESTableintroheading"/>
        <w:rPr>
          <w:rFonts w:ascii="Calibri" w:hAnsi="Calibri" w:cs="Calibri"/>
        </w:rPr>
      </w:pPr>
      <w:r w:rsidRPr="005734B8">
        <w:rPr>
          <w:rFonts w:ascii="Calibri" w:hAnsi="Calibri" w:cs="Calibri"/>
        </w:rPr>
        <w:lastRenderedPageBreak/>
        <w:t>Departmental indicators against productivity</w:t>
      </w:r>
    </w:p>
    <w:tbl>
      <w:tblPr>
        <w:tblStyle w:val="TableGrid"/>
        <w:tblW w:w="506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95"/>
        <w:gridCol w:w="1158"/>
        <w:gridCol w:w="1132"/>
        <w:gridCol w:w="1132"/>
        <w:gridCol w:w="1132"/>
        <w:gridCol w:w="1132"/>
        <w:gridCol w:w="1141"/>
      </w:tblGrid>
      <w:tr w:rsidR="006062A5" w:rsidRPr="005734B8" w14:paraId="672E19E7" w14:textId="77777777" w:rsidTr="00B05012">
        <w:trPr>
          <w:trHeight w:val="242"/>
          <w:tblHeader/>
        </w:trPr>
        <w:tc>
          <w:tcPr>
            <w:tcW w:w="2295" w:type="dxa"/>
            <w:tcBorders>
              <w:bottom w:val="single" w:sz="4" w:space="0" w:color="FFFFFF" w:themeColor="background1"/>
            </w:tcBorders>
            <w:shd w:val="clear" w:color="auto" w:fill="AF272F" w:themeFill="accent4"/>
          </w:tcPr>
          <w:p w14:paraId="75093513" w14:textId="77777777" w:rsidR="006062A5" w:rsidRPr="005734B8" w:rsidRDefault="006062A5" w:rsidP="000C192E">
            <w:pPr>
              <w:pStyle w:val="ESTableheadingwhite"/>
              <w:rPr>
                <w:rFonts w:ascii="Calibri" w:hAnsi="Calibri" w:cs="Calibri"/>
                <w:sz w:val="18"/>
              </w:rPr>
            </w:pPr>
            <w:r w:rsidRPr="005734B8">
              <w:rPr>
                <w:rFonts w:ascii="Calibri" w:hAnsi="Calibri" w:cs="Calibri"/>
                <w:sz w:val="18"/>
                <w:lang w:val="en-AU"/>
              </w:rPr>
              <w:t>Indicators</w:t>
            </w:r>
          </w:p>
        </w:tc>
        <w:tc>
          <w:tcPr>
            <w:tcW w:w="1158" w:type="dxa"/>
            <w:tcBorders>
              <w:bottom w:val="single" w:sz="4" w:space="0" w:color="FFFFFF" w:themeColor="background1"/>
            </w:tcBorders>
            <w:shd w:val="clear" w:color="auto" w:fill="AF272F" w:themeFill="accent4"/>
            <w:vAlign w:val="center"/>
          </w:tcPr>
          <w:p w14:paraId="7D46178E" w14:textId="77777777" w:rsidR="006062A5" w:rsidRPr="005734B8" w:rsidRDefault="006062A5" w:rsidP="000C192E">
            <w:pPr>
              <w:pStyle w:val="ESTableheadingwhite"/>
              <w:jc w:val="center"/>
              <w:rPr>
                <w:rFonts w:ascii="Calibri" w:hAnsi="Calibri" w:cs="Calibri"/>
                <w:sz w:val="18"/>
              </w:rPr>
            </w:pPr>
            <w:r w:rsidRPr="005734B8">
              <w:rPr>
                <w:rFonts w:ascii="Calibri" w:hAnsi="Calibri" w:cs="Calibri"/>
                <w:sz w:val="18"/>
                <w:lang w:val="en-AU"/>
              </w:rPr>
              <w:t>Unit</w:t>
            </w:r>
          </w:p>
        </w:tc>
        <w:tc>
          <w:tcPr>
            <w:tcW w:w="1132" w:type="dxa"/>
            <w:tcBorders>
              <w:bottom w:val="single" w:sz="4" w:space="0" w:color="FFFFFF" w:themeColor="background1"/>
            </w:tcBorders>
            <w:shd w:val="clear" w:color="auto" w:fill="AF272F" w:themeFill="accent4"/>
          </w:tcPr>
          <w:p w14:paraId="050293F5" w14:textId="77777777" w:rsidR="006062A5" w:rsidRPr="005734B8" w:rsidRDefault="006062A5" w:rsidP="000C192E">
            <w:pPr>
              <w:pStyle w:val="ESTableheadingwhite"/>
              <w:jc w:val="right"/>
              <w:rPr>
                <w:rFonts w:ascii="Calibri" w:hAnsi="Calibri" w:cs="Calibri"/>
                <w:sz w:val="18"/>
              </w:rPr>
            </w:pPr>
            <w:r w:rsidRPr="005734B8">
              <w:rPr>
                <w:rFonts w:ascii="Calibri" w:hAnsi="Calibri" w:cs="Calibri"/>
                <w:sz w:val="18"/>
                <w:lang w:val="en-AU"/>
              </w:rPr>
              <w:t>2016</w:t>
            </w:r>
          </w:p>
        </w:tc>
        <w:tc>
          <w:tcPr>
            <w:tcW w:w="1132" w:type="dxa"/>
            <w:tcBorders>
              <w:bottom w:val="single" w:sz="4" w:space="0" w:color="FFFFFF" w:themeColor="background1"/>
            </w:tcBorders>
            <w:shd w:val="clear" w:color="auto" w:fill="AF272F" w:themeFill="accent4"/>
          </w:tcPr>
          <w:p w14:paraId="4EF2CABC" w14:textId="77777777" w:rsidR="006062A5" w:rsidRPr="005734B8" w:rsidRDefault="006062A5" w:rsidP="000C192E">
            <w:pPr>
              <w:pStyle w:val="ESTableheadingwhite"/>
              <w:jc w:val="right"/>
              <w:rPr>
                <w:rFonts w:ascii="Calibri" w:hAnsi="Calibri" w:cs="Calibri"/>
                <w:sz w:val="18"/>
              </w:rPr>
            </w:pPr>
            <w:r w:rsidRPr="005734B8">
              <w:rPr>
                <w:rFonts w:ascii="Calibri" w:hAnsi="Calibri" w:cs="Calibri"/>
                <w:sz w:val="18"/>
                <w:lang w:val="en-AU"/>
              </w:rPr>
              <w:t>2017</w:t>
            </w:r>
          </w:p>
        </w:tc>
        <w:tc>
          <w:tcPr>
            <w:tcW w:w="1132" w:type="dxa"/>
            <w:tcBorders>
              <w:bottom w:val="single" w:sz="4" w:space="0" w:color="FFFFFF" w:themeColor="background1"/>
            </w:tcBorders>
            <w:shd w:val="clear" w:color="auto" w:fill="AF272F" w:themeFill="accent4"/>
          </w:tcPr>
          <w:p w14:paraId="535878FE" w14:textId="77777777" w:rsidR="006062A5" w:rsidRPr="005734B8" w:rsidRDefault="006062A5" w:rsidP="000C192E">
            <w:pPr>
              <w:pStyle w:val="ESTableheadingwhite"/>
              <w:jc w:val="right"/>
              <w:rPr>
                <w:rFonts w:ascii="Calibri" w:hAnsi="Calibri" w:cs="Calibri"/>
                <w:sz w:val="18"/>
              </w:rPr>
            </w:pPr>
            <w:r w:rsidRPr="005734B8">
              <w:rPr>
                <w:rFonts w:ascii="Calibri" w:hAnsi="Calibri" w:cs="Calibri"/>
                <w:sz w:val="18"/>
                <w:lang w:val="en-AU"/>
              </w:rPr>
              <w:t>2018</w:t>
            </w:r>
          </w:p>
        </w:tc>
        <w:tc>
          <w:tcPr>
            <w:tcW w:w="1132" w:type="dxa"/>
            <w:tcBorders>
              <w:bottom w:val="single" w:sz="4" w:space="0" w:color="FFFFFF" w:themeColor="background1"/>
            </w:tcBorders>
            <w:shd w:val="clear" w:color="auto" w:fill="AF272F" w:themeFill="accent4"/>
          </w:tcPr>
          <w:p w14:paraId="04269B4B" w14:textId="77777777" w:rsidR="006062A5" w:rsidRPr="005734B8" w:rsidRDefault="006062A5" w:rsidP="000C192E">
            <w:pPr>
              <w:pStyle w:val="ESTableheadingwhite"/>
              <w:jc w:val="right"/>
              <w:rPr>
                <w:rFonts w:ascii="Calibri" w:hAnsi="Calibri" w:cs="Calibri"/>
                <w:sz w:val="18"/>
              </w:rPr>
            </w:pPr>
            <w:r w:rsidRPr="005734B8">
              <w:rPr>
                <w:rFonts w:ascii="Calibri" w:hAnsi="Calibri" w:cs="Calibri"/>
                <w:sz w:val="18"/>
                <w:lang w:val="en-AU"/>
              </w:rPr>
              <w:t>2019</w:t>
            </w:r>
          </w:p>
        </w:tc>
        <w:tc>
          <w:tcPr>
            <w:tcW w:w="1141" w:type="dxa"/>
            <w:tcBorders>
              <w:bottom w:val="single" w:sz="4" w:space="0" w:color="FFFFFF" w:themeColor="background1"/>
            </w:tcBorders>
            <w:shd w:val="clear" w:color="auto" w:fill="AF272F" w:themeFill="accent4"/>
          </w:tcPr>
          <w:p w14:paraId="582038C1" w14:textId="77777777" w:rsidR="006062A5" w:rsidRPr="005734B8" w:rsidRDefault="006062A5" w:rsidP="000C192E">
            <w:pPr>
              <w:pStyle w:val="ESTableheadingwhite"/>
              <w:jc w:val="right"/>
              <w:rPr>
                <w:rFonts w:ascii="Calibri" w:hAnsi="Calibri" w:cs="Calibri"/>
                <w:sz w:val="18"/>
              </w:rPr>
            </w:pPr>
            <w:r w:rsidRPr="005734B8">
              <w:rPr>
                <w:rFonts w:ascii="Calibri" w:hAnsi="Calibri" w:cs="Calibri"/>
                <w:sz w:val="18"/>
                <w:lang w:val="en-AU"/>
              </w:rPr>
              <w:t>2020</w:t>
            </w:r>
          </w:p>
        </w:tc>
      </w:tr>
      <w:tr w:rsidR="006062A5" w:rsidRPr="005734B8" w14:paraId="3F58DF5B" w14:textId="77777777" w:rsidTr="00B05012">
        <w:tc>
          <w:tcPr>
            <w:tcW w:w="9122" w:type="dxa"/>
            <w:gridSpan w:val="7"/>
            <w:tcBorders>
              <w:bottom w:val="single" w:sz="4" w:space="0" w:color="53565A" w:themeColor="accent5"/>
            </w:tcBorders>
            <w:shd w:val="clear" w:color="auto" w:fill="53565A" w:themeFill="accent5"/>
          </w:tcPr>
          <w:p w14:paraId="6EA4B24B" w14:textId="77777777" w:rsidR="006062A5" w:rsidRPr="005734B8" w:rsidRDefault="006062A5" w:rsidP="000C192E">
            <w:pPr>
              <w:pStyle w:val="W1"/>
              <w:rPr>
                <w:rFonts w:ascii="Calibri" w:hAnsi="Calibri" w:cs="Calibri"/>
                <w:sz w:val="18"/>
              </w:rPr>
            </w:pPr>
            <w:r w:rsidRPr="005734B8">
              <w:rPr>
                <w:rFonts w:ascii="Calibri" w:hAnsi="Calibri" w:cs="Calibri"/>
                <w:sz w:val="18"/>
              </w:rPr>
              <w:t>Early childhood development</w:t>
            </w:r>
          </w:p>
        </w:tc>
      </w:tr>
      <w:tr w:rsidR="006062A5" w:rsidRPr="005734B8" w14:paraId="1D9D60D9" w14:textId="77777777" w:rsidTr="00B05012">
        <w:tc>
          <w:tcPr>
            <w:tcW w:w="9122" w:type="dxa"/>
            <w:gridSpan w:val="7"/>
            <w:tcBorders>
              <w:top w:val="single" w:sz="4" w:space="0" w:color="53565A" w:themeColor="accent5"/>
              <w:bottom w:val="single" w:sz="4" w:space="0" w:color="53565A" w:themeColor="accent5"/>
            </w:tcBorders>
            <w:shd w:val="clear" w:color="auto" w:fill="D9D9D6" w:themeFill="accent6"/>
          </w:tcPr>
          <w:p w14:paraId="4F7D867E" w14:textId="77777777" w:rsidR="006062A5" w:rsidRPr="005734B8" w:rsidRDefault="006062A5" w:rsidP="000C192E">
            <w:pPr>
              <w:pStyle w:val="ESTablenumberrightaligned"/>
              <w:jc w:val="left"/>
              <w:rPr>
                <w:rFonts w:ascii="Calibri" w:hAnsi="Calibri" w:cs="Calibri"/>
                <w:b/>
                <w:sz w:val="18"/>
              </w:rPr>
            </w:pPr>
            <w:r w:rsidRPr="005734B8">
              <w:rPr>
                <w:rFonts w:ascii="Calibri" w:hAnsi="Calibri" w:cs="Calibri"/>
                <w:b/>
                <w:sz w:val="18"/>
                <w:lang w:val="en-AU"/>
              </w:rPr>
              <w:t>Dollar per kindergarten child per calendar year in the year prior to school</w:t>
            </w:r>
          </w:p>
        </w:tc>
      </w:tr>
      <w:tr w:rsidR="006062A5" w:rsidRPr="005734B8" w14:paraId="7746A1D0" w14:textId="77777777" w:rsidTr="00B05012">
        <w:tc>
          <w:tcPr>
            <w:tcW w:w="2295" w:type="dxa"/>
            <w:tcBorders>
              <w:top w:val="single" w:sz="4" w:space="0" w:color="53565A" w:themeColor="accent5"/>
              <w:bottom w:val="single" w:sz="4" w:space="0" w:color="53565A" w:themeColor="accent5"/>
            </w:tcBorders>
            <w:shd w:val="clear" w:color="auto" w:fill="auto"/>
          </w:tcPr>
          <w:p w14:paraId="39992CD7" w14:textId="69CA0EB9" w:rsidR="006062A5" w:rsidRPr="005734B8" w:rsidRDefault="006062A5" w:rsidP="000C192E">
            <w:pPr>
              <w:pStyle w:val="ESTablebody"/>
              <w:rPr>
                <w:rFonts w:ascii="Calibri" w:hAnsi="Calibri" w:cs="Calibri"/>
                <w:sz w:val="18"/>
                <w:lang w:val="en-AU"/>
              </w:rPr>
            </w:pPr>
            <w:r w:rsidRPr="005734B8">
              <w:rPr>
                <w:rFonts w:ascii="Calibri" w:hAnsi="Calibri" w:cs="Calibri"/>
                <w:sz w:val="18"/>
                <w:lang w:val="en-AU"/>
              </w:rPr>
              <w:t>Minimum funding available to the majority of children (approximately 90 per cent in 2020) who access a kindergarten program in the year prior to school</w:t>
            </w:r>
          </w:p>
        </w:tc>
        <w:tc>
          <w:tcPr>
            <w:tcW w:w="1158" w:type="dxa"/>
            <w:tcBorders>
              <w:top w:val="single" w:sz="4" w:space="0" w:color="53565A" w:themeColor="accent5"/>
              <w:bottom w:val="single" w:sz="4" w:space="0" w:color="53565A" w:themeColor="accent5"/>
            </w:tcBorders>
            <w:shd w:val="clear" w:color="auto" w:fill="auto"/>
          </w:tcPr>
          <w:p w14:paraId="4459FCF0" w14:textId="77777777" w:rsidR="006062A5" w:rsidRPr="005734B8" w:rsidRDefault="006062A5" w:rsidP="000C192E">
            <w:pPr>
              <w:pStyle w:val="ESTablenumberrightaligned"/>
              <w:rPr>
                <w:rFonts w:ascii="Calibri" w:hAnsi="Calibri" w:cs="Calibri"/>
                <w:sz w:val="18"/>
                <w:lang w:val="en-AU"/>
              </w:rPr>
            </w:pPr>
            <w:r w:rsidRPr="005734B8">
              <w:rPr>
                <w:rFonts w:ascii="Calibri" w:hAnsi="Calibri" w:cs="Calibri"/>
                <w:sz w:val="18"/>
                <w:lang w:val="en-AU"/>
              </w:rPr>
              <w:t>$ per child</w:t>
            </w:r>
          </w:p>
        </w:tc>
        <w:tc>
          <w:tcPr>
            <w:tcW w:w="1132" w:type="dxa"/>
            <w:tcBorders>
              <w:top w:val="single" w:sz="4" w:space="0" w:color="53565A" w:themeColor="accent5"/>
              <w:bottom w:val="single" w:sz="4" w:space="0" w:color="53565A" w:themeColor="accent5"/>
            </w:tcBorders>
            <w:shd w:val="clear" w:color="auto" w:fill="FFFFFF" w:themeFill="background1"/>
          </w:tcPr>
          <w:p w14:paraId="4B494BF1" w14:textId="77777777" w:rsidR="006062A5" w:rsidRPr="005734B8" w:rsidRDefault="006062A5" w:rsidP="000C192E">
            <w:pPr>
              <w:pStyle w:val="ESTablenumberrightaligned"/>
              <w:rPr>
                <w:rFonts w:ascii="Calibri" w:hAnsi="Calibri" w:cs="Calibri"/>
                <w:sz w:val="18"/>
              </w:rPr>
            </w:pPr>
            <w:r w:rsidRPr="005734B8">
              <w:rPr>
                <w:rFonts w:ascii="Calibri" w:hAnsi="Calibri" w:cs="Calibri"/>
                <w:sz w:val="18"/>
              </w:rPr>
              <w:t>3,335</w:t>
            </w:r>
          </w:p>
        </w:tc>
        <w:tc>
          <w:tcPr>
            <w:tcW w:w="1132" w:type="dxa"/>
            <w:tcBorders>
              <w:top w:val="single" w:sz="4" w:space="0" w:color="53565A" w:themeColor="accent5"/>
              <w:bottom w:val="single" w:sz="4" w:space="0" w:color="53565A" w:themeColor="accent5"/>
            </w:tcBorders>
          </w:tcPr>
          <w:p w14:paraId="55F344B3" w14:textId="77777777" w:rsidR="006062A5" w:rsidRPr="005734B8" w:rsidRDefault="006062A5" w:rsidP="000C192E">
            <w:pPr>
              <w:pStyle w:val="ESTablenumberrightaligned"/>
              <w:rPr>
                <w:rFonts w:ascii="Calibri" w:hAnsi="Calibri" w:cs="Calibri"/>
                <w:sz w:val="18"/>
              </w:rPr>
            </w:pPr>
            <w:r w:rsidRPr="005734B8">
              <w:rPr>
                <w:rFonts w:ascii="Calibri" w:hAnsi="Calibri" w:cs="Calibri"/>
                <w:sz w:val="18"/>
              </w:rPr>
              <w:t>3,448</w:t>
            </w:r>
          </w:p>
        </w:tc>
        <w:tc>
          <w:tcPr>
            <w:tcW w:w="1132" w:type="dxa"/>
            <w:tcBorders>
              <w:top w:val="single" w:sz="4" w:space="0" w:color="53565A" w:themeColor="accent5"/>
              <w:bottom w:val="single" w:sz="4" w:space="0" w:color="53565A" w:themeColor="accent5"/>
            </w:tcBorders>
          </w:tcPr>
          <w:p w14:paraId="709F734C" w14:textId="77777777" w:rsidR="006062A5" w:rsidRPr="005734B8" w:rsidRDefault="006062A5" w:rsidP="000C192E">
            <w:pPr>
              <w:pStyle w:val="ESTablenumberrightaligned"/>
              <w:rPr>
                <w:rFonts w:ascii="Calibri" w:hAnsi="Calibri" w:cs="Calibri"/>
                <w:sz w:val="18"/>
              </w:rPr>
            </w:pPr>
            <w:r w:rsidRPr="005734B8">
              <w:rPr>
                <w:rFonts w:ascii="Calibri" w:hAnsi="Calibri" w:cs="Calibri"/>
                <w:sz w:val="18"/>
              </w:rPr>
              <w:t>3,549</w:t>
            </w:r>
          </w:p>
        </w:tc>
        <w:tc>
          <w:tcPr>
            <w:tcW w:w="1132" w:type="dxa"/>
            <w:tcBorders>
              <w:top w:val="single" w:sz="4" w:space="0" w:color="53565A" w:themeColor="accent5"/>
              <w:bottom w:val="single" w:sz="4" w:space="0" w:color="53565A" w:themeColor="accent5"/>
            </w:tcBorders>
          </w:tcPr>
          <w:p w14:paraId="30171682" w14:textId="77777777" w:rsidR="006062A5" w:rsidRPr="005734B8" w:rsidRDefault="006062A5" w:rsidP="000C192E">
            <w:pPr>
              <w:pStyle w:val="ESTablenumberrightaligned"/>
              <w:rPr>
                <w:rFonts w:ascii="Calibri" w:hAnsi="Calibri" w:cs="Calibri"/>
                <w:sz w:val="18"/>
              </w:rPr>
            </w:pPr>
            <w:r w:rsidRPr="005734B8">
              <w:rPr>
                <w:rFonts w:ascii="Calibri" w:hAnsi="Calibri" w:cs="Calibri"/>
                <w:sz w:val="18"/>
              </w:rPr>
              <w:t>3,638</w:t>
            </w:r>
          </w:p>
        </w:tc>
        <w:tc>
          <w:tcPr>
            <w:tcW w:w="1141" w:type="dxa"/>
            <w:tcBorders>
              <w:top w:val="single" w:sz="4" w:space="0" w:color="53565A" w:themeColor="accent5"/>
              <w:bottom w:val="single" w:sz="4" w:space="0" w:color="53565A" w:themeColor="accent5"/>
            </w:tcBorders>
          </w:tcPr>
          <w:p w14:paraId="00C74249" w14:textId="31471E0C" w:rsidR="006062A5" w:rsidRPr="005734B8" w:rsidRDefault="006062A5" w:rsidP="000C192E">
            <w:pPr>
              <w:pStyle w:val="ESTablenumberrightaligned"/>
              <w:rPr>
                <w:rFonts w:ascii="Calibri" w:hAnsi="Calibri" w:cs="Calibri"/>
                <w:sz w:val="18"/>
              </w:rPr>
            </w:pPr>
            <w:r w:rsidRPr="005734B8">
              <w:rPr>
                <w:rFonts w:ascii="Calibri" w:hAnsi="Calibri" w:cs="Calibri"/>
                <w:sz w:val="18"/>
              </w:rPr>
              <w:t>3,682</w:t>
            </w:r>
          </w:p>
        </w:tc>
      </w:tr>
      <w:tr w:rsidR="006062A5" w:rsidRPr="005734B8" w14:paraId="73340120" w14:textId="77777777" w:rsidTr="00B05012">
        <w:tc>
          <w:tcPr>
            <w:tcW w:w="9122" w:type="dxa"/>
            <w:gridSpan w:val="7"/>
            <w:tcBorders>
              <w:top w:val="single" w:sz="4" w:space="0" w:color="53565A" w:themeColor="accent5"/>
              <w:bottom w:val="single" w:sz="4" w:space="0" w:color="53565A" w:themeColor="accent5"/>
            </w:tcBorders>
            <w:shd w:val="clear" w:color="auto" w:fill="53565A" w:themeFill="accent5"/>
          </w:tcPr>
          <w:p w14:paraId="6BBAAAB6" w14:textId="77777777" w:rsidR="006062A5" w:rsidRPr="005734B8" w:rsidRDefault="006062A5" w:rsidP="000C192E">
            <w:pPr>
              <w:pStyle w:val="ESTablebody"/>
              <w:rPr>
                <w:rFonts w:ascii="Calibri" w:hAnsi="Calibri" w:cs="Calibri"/>
                <w:b/>
                <w:sz w:val="18"/>
                <w:lang w:val="en-AU"/>
              </w:rPr>
            </w:pPr>
            <w:r w:rsidRPr="005734B8">
              <w:rPr>
                <w:rFonts w:ascii="Calibri" w:hAnsi="Calibri" w:cs="Calibri"/>
                <w:b/>
                <w:color w:val="FFFFFF" w:themeColor="background1"/>
                <w:sz w:val="18"/>
              </w:rPr>
              <w:t>School education—primary and secondary</w:t>
            </w:r>
          </w:p>
        </w:tc>
      </w:tr>
      <w:tr w:rsidR="006062A5" w:rsidRPr="005734B8" w14:paraId="289CC9B3" w14:textId="77777777" w:rsidTr="00B05012">
        <w:tc>
          <w:tcPr>
            <w:tcW w:w="9122" w:type="dxa"/>
            <w:gridSpan w:val="7"/>
            <w:tcBorders>
              <w:top w:val="single" w:sz="4" w:space="0" w:color="53565A" w:themeColor="accent5"/>
              <w:bottom w:val="single" w:sz="4" w:space="0" w:color="53565A" w:themeColor="accent5"/>
            </w:tcBorders>
            <w:shd w:val="clear" w:color="auto" w:fill="D9D9D6" w:themeFill="accent6"/>
          </w:tcPr>
          <w:p w14:paraId="2D1C0FF4" w14:textId="77777777" w:rsidR="006062A5" w:rsidRPr="005734B8" w:rsidRDefault="006062A5" w:rsidP="000C192E">
            <w:pPr>
              <w:pStyle w:val="ESTablebody"/>
              <w:rPr>
                <w:rFonts w:ascii="Calibri" w:hAnsi="Calibri" w:cs="Calibri"/>
                <w:sz w:val="18"/>
                <w:lang w:val="en-AU"/>
              </w:rPr>
            </w:pPr>
            <w:r w:rsidRPr="005734B8">
              <w:rPr>
                <w:rFonts w:ascii="Calibri" w:hAnsi="Calibri" w:cs="Calibri"/>
                <w:b/>
                <w:sz w:val="18"/>
                <w:lang w:val="en-AU"/>
              </w:rPr>
              <w:t>Dollar per primary school student per financial year</w:t>
            </w:r>
          </w:p>
        </w:tc>
      </w:tr>
      <w:tr w:rsidR="006062A5" w:rsidRPr="005734B8" w14:paraId="1887DC28" w14:textId="77777777" w:rsidTr="00B05012">
        <w:tc>
          <w:tcPr>
            <w:tcW w:w="2295" w:type="dxa"/>
            <w:tcBorders>
              <w:top w:val="single" w:sz="4" w:space="0" w:color="53565A" w:themeColor="accent5"/>
              <w:bottom w:val="single" w:sz="4" w:space="0" w:color="auto"/>
            </w:tcBorders>
            <w:shd w:val="clear" w:color="auto" w:fill="auto"/>
          </w:tcPr>
          <w:p w14:paraId="21F2AB80" w14:textId="77777777" w:rsidR="006062A5" w:rsidRPr="005734B8" w:rsidRDefault="006062A5" w:rsidP="000C192E">
            <w:pPr>
              <w:pStyle w:val="ESTablebody"/>
              <w:rPr>
                <w:rFonts w:ascii="Calibri" w:hAnsi="Calibri" w:cs="Calibri"/>
                <w:sz w:val="18"/>
                <w:lang w:val="en-AU"/>
              </w:rPr>
            </w:pPr>
            <w:r w:rsidRPr="005734B8">
              <w:rPr>
                <w:rFonts w:ascii="Calibri" w:hAnsi="Calibri" w:cs="Calibri"/>
                <w:sz w:val="18"/>
                <w:lang w:val="en-AU"/>
              </w:rPr>
              <w:t>Government real recurrent expenditure (including user cost of capital) per FTE student in primary schools (2018–19 dollars)</w:t>
            </w:r>
            <w:r w:rsidRPr="005734B8">
              <w:rPr>
                <w:rStyle w:val="FootnoteReference"/>
                <w:rFonts w:ascii="Calibri" w:hAnsi="Calibri" w:cs="Calibri"/>
                <w:sz w:val="18"/>
                <w:lang w:val="en-AU"/>
              </w:rPr>
              <w:footnoteReference w:id="30"/>
            </w:r>
            <w:r w:rsidRPr="005734B8">
              <w:rPr>
                <w:rFonts w:ascii="Calibri" w:hAnsi="Calibri" w:cs="Calibri"/>
                <w:sz w:val="18"/>
                <w:lang w:val="en-AU"/>
              </w:rPr>
              <w:t xml:space="preserve"> </w:t>
            </w:r>
          </w:p>
        </w:tc>
        <w:tc>
          <w:tcPr>
            <w:tcW w:w="1158" w:type="dxa"/>
            <w:tcBorders>
              <w:top w:val="single" w:sz="4" w:space="0" w:color="53565A" w:themeColor="accent5"/>
              <w:bottom w:val="single" w:sz="4" w:space="0" w:color="auto"/>
            </w:tcBorders>
            <w:shd w:val="clear" w:color="auto" w:fill="auto"/>
          </w:tcPr>
          <w:p w14:paraId="75AA0E4F" w14:textId="77777777" w:rsidR="006062A5" w:rsidRPr="005734B8" w:rsidRDefault="006062A5" w:rsidP="000C192E">
            <w:pPr>
              <w:pStyle w:val="ESTablenumberrightaligned"/>
              <w:rPr>
                <w:rFonts w:ascii="Calibri" w:hAnsi="Calibri" w:cs="Calibri"/>
                <w:sz w:val="18"/>
                <w:lang w:val="en-AU"/>
              </w:rPr>
            </w:pPr>
            <w:r w:rsidRPr="005734B8">
              <w:rPr>
                <w:rFonts w:ascii="Calibri" w:hAnsi="Calibri" w:cs="Calibri"/>
                <w:sz w:val="18"/>
                <w:lang w:val="en-AU"/>
              </w:rPr>
              <w:t>$ per FTE student</w:t>
            </w:r>
          </w:p>
        </w:tc>
        <w:tc>
          <w:tcPr>
            <w:tcW w:w="1132" w:type="dxa"/>
            <w:tcBorders>
              <w:top w:val="single" w:sz="4" w:space="0" w:color="53565A" w:themeColor="accent5"/>
              <w:bottom w:val="single" w:sz="4" w:space="0" w:color="auto"/>
            </w:tcBorders>
            <w:shd w:val="clear" w:color="auto" w:fill="auto"/>
          </w:tcPr>
          <w:p w14:paraId="17F3F17A" w14:textId="77777777" w:rsidR="006062A5" w:rsidRPr="005734B8" w:rsidRDefault="006062A5" w:rsidP="000C192E">
            <w:pPr>
              <w:pStyle w:val="ESTablenumberrightaligned"/>
              <w:rPr>
                <w:rFonts w:ascii="Calibri" w:hAnsi="Calibri" w:cs="Calibri"/>
                <w:sz w:val="18"/>
                <w:lang w:val="en-AU"/>
              </w:rPr>
            </w:pPr>
            <w:r w:rsidRPr="005734B8">
              <w:rPr>
                <w:rFonts w:ascii="Calibri" w:hAnsi="Calibri" w:cs="Calibri"/>
                <w:sz w:val="18"/>
                <w:lang w:val="en-AU"/>
              </w:rPr>
              <w:t>14,662</w:t>
            </w:r>
          </w:p>
        </w:tc>
        <w:tc>
          <w:tcPr>
            <w:tcW w:w="1132" w:type="dxa"/>
            <w:tcBorders>
              <w:top w:val="single" w:sz="4" w:space="0" w:color="53565A" w:themeColor="accent5"/>
              <w:bottom w:val="single" w:sz="4" w:space="0" w:color="auto"/>
            </w:tcBorders>
            <w:shd w:val="clear" w:color="auto" w:fill="auto"/>
          </w:tcPr>
          <w:p w14:paraId="048383B4" w14:textId="77777777" w:rsidR="006062A5" w:rsidRPr="005734B8" w:rsidRDefault="006062A5" w:rsidP="000C192E">
            <w:pPr>
              <w:pStyle w:val="ESTablenumberrightaligned"/>
              <w:rPr>
                <w:rFonts w:ascii="Calibri" w:hAnsi="Calibri" w:cs="Calibri"/>
                <w:sz w:val="18"/>
                <w:lang w:val="en-AU"/>
              </w:rPr>
            </w:pPr>
            <w:r w:rsidRPr="005734B8">
              <w:rPr>
                <w:rFonts w:ascii="Calibri" w:hAnsi="Calibri" w:cs="Calibri"/>
                <w:sz w:val="18"/>
                <w:lang w:val="en-AU"/>
              </w:rPr>
              <w:t>15,176</w:t>
            </w:r>
          </w:p>
        </w:tc>
        <w:tc>
          <w:tcPr>
            <w:tcW w:w="1132" w:type="dxa"/>
            <w:tcBorders>
              <w:top w:val="single" w:sz="4" w:space="0" w:color="53565A" w:themeColor="accent5"/>
              <w:bottom w:val="single" w:sz="4" w:space="0" w:color="auto"/>
            </w:tcBorders>
            <w:shd w:val="clear" w:color="auto" w:fill="auto"/>
          </w:tcPr>
          <w:p w14:paraId="44605493" w14:textId="77777777" w:rsidR="006062A5" w:rsidRPr="005734B8" w:rsidRDefault="006062A5" w:rsidP="000C192E">
            <w:pPr>
              <w:pStyle w:val="ESTablenumberrightaligned"/>
              <w:rPr>
                <w:rFonts w:ascii="Calibri" w:hAnsi="Calibri" w:cs="Calibri"/>
                <w:sz w:val="18"/>
                <w:lang w:val="en-AU"/>
              </w:rPr>
            </w:pPr>
            <w:r w:rsidRPr="005734B8">
              <w:rPr>
                <w:rFonts w:ascii="Calibri" w:hAnsi="Calibri" w:cs="Calibri"/>
                <w:sz w:val="18"/>
                <w:lang w:val="en-AU"/>
              </w:rPr>
              <w:t>15,704</w:t>
            </w:r>
          </w:p>
        </w:tc>
        <w:tc>
          <w:tcPr>
            <w:tcW w:w="1132" w:type="dxa"/>
            <w:tcBorders>
              <w:top w:val="single" w:sz="4" w:space="0" w:color="53565A" w:themeColor="accent5"/>
              <w:bottom w:val="single" w:sz="4" w:space="0" w:color="auto"/>
            </w:tcBorders>
          </w:tcPr>
          <w:p w14:paraId="3E99707B" w14:textId="77777777" w:rsidR="006062A5" w:rsidRPr="005734B8" w:rsidRDefault="006062A5" w:rsidP="000C192E">
            <w:pPr>
              <w:pStyle w:val="ESTablenumberrightaligned"/>
              <w:rPr>
                <w:rFonts w:ascii="Calibri" w:hAnsi="Calibri" w:cs="Calibri"/>
                <w:sz w:val="18"/>
                <w:lang w:val="en-AU"/>
              </w:rPr>
            </w:pPr>
            <w:r w:rsidRPr="005734B8">
              <w:rPr>
                <w:rFonts w:ascii="Calibri" w:hAnsi="Calibri" w:cs="Calibri"/>
                <w:sz w:val="18"/>
                <w:lang w:val="en-AU"/>
              </w:rPr>
              <w:t>–</w:t>
            </w:r>
            <w:r w:rsidRPr="005734B8">
              <w:rPr>
                <w:rStyle w:val="FootnoteReference"/>
                <w:rFonts w:ascii="Calibri" w:hAnsi="Calibri" w:cs="Calibri"/>
                <w:sz w:val="18"/>
              </w:rPr>
              <w:footnoteReference w:id="31"/>
            </w:r>
          </w:p>
        </w:tc>
        <w:tc>
          <w:tcPr>
            <w:tcW w:w="1141" w:type="dxa"/>
            <w:tcBorders>
              <w:top w:val="single" w:sz="4" w:space="0" w:color="53565A" w:themeColor="accent5"/>
              <w:bottom w:val="single" w:sz="4" w:space="0" w:color="auto"/>
            </w:tcBorders>
          </w:tcPr>
          <w:p w14:paraId="1F7CF9CC" w14:textId="77777777" w:rsidR="006062A5" w:rsidRPr="005734B8" w:rsidRDefault="006062A5" w:rsidP="000C192E">
            <w:pPr>
              <w:pStyle w:val="ESTablenumberrightaligned"/>
              <w:rPr>
                <w:rFonts w:ascii="Calibri" w:hAnsi="Calibri" w:cs="Calibri"/>
                <w:sz w:val="18"/>
              </w:rPr>
            </w:pPr>
            <w:r w:rsidRPr="005734B8">
              <w:rPr>
                <w:rFonts w:ascii="Calibri" w:hAnsi="Calibri" w:cs="Calibri"/>
                <w:sz w:val="18"/>
                <w:lang w:val="en-AU"/>
              </w:rPr>
              <w:t>–</w:t>
            </w:r>
          </w:p>
        </w:tc>
      </w:tr>
      <w:tr w:rsidR="006062A5" w:rsidRPr="005734B8" w14:paraId="6C4A19A9" w14:textId="77777777" w:rsidTr="00B05012">
        <w:tc>
          <w:tcPr>
            <w:tcW w:w="9122" w:type="dxa"/>
            <w:gridSpan w:val="7"/>
            <w:tcBorders>
              <w:top w:val="nil"/>
              <w:bottom w:val="single" w:sz="4" w:space="0" w:color="53565A" w:themeColor="accent5"/>
            </w:tcBorders>
            <w:shd w:val="clear" w:color="auto" w:fill="D9D9D6" w:themeFill="accent6"/>
          </w:tcPr>
          <w:p w14:paraId="2F15A43A" w14:textId="77777777" w:rsidR="006062A5" w:rsidRPr="005734B8" w:rsidRDefault="006062A5" w:rsidP="000C192E">
            <w:pPr>
              <w:pStyle w:val="ESTablenumberrightaligned"/>
              <w:jc w:val="left"/>
              <w:rPr>
                <w:rFonts w:ascii="Calibri" w:hAnsi="Calibri" w:cs="Calibri"/>
                <w:b/>
                <w:sz w:val="18"/>
              </w:rPr>
            </w:pPr>
            <w:r w:rsidRPr="005734B8">
              <w:rPr>
                <w:rFonts w:ascii="Calibri" w:hAnsi="Calibri" w:cs="Calibri"/>
                <w:b/>
                <w:sz w:val="18"/>
              </w:rPr>
              <w:t>Dollar per secondary school student per financial year</w:t>
            </w:r>
          </w:p>
        </w:tc>
      </w:tr>
      <w:tr w:rsidR="006062A5" w:rsidRPr="005734B8" w14:paraId="27BD3A05" w14:textId="77777777" w:rsidTr="00B05012">
        <w:tc>
          <w:tcPr>
            <w:tcW w:w="2295" w:type="dxa"/>
            <w:tcBorders>
              <w:top w:val="single" w:sz="4" w:space="0" w:color="53565A" w:themeColor="accent5"/>
              <w:bottom w:val="single" w:sz="4" w:space="0" w:color="53565A" w:themeColor="accent5"/>
            </w:tcBorders>
            <w:shd w:val="clear" w:color="auto" w:fill="auto"/>
          </w:tcPr>
          <w:p w14:paraId="71C76B5E" w14:textId="77777777" w:rsidR="006062A5" w:rsidRPr="005734B8" w:rsidRDefault="006062A5" w:rsidP="000C192E">
            <w:pPr>
              <w:pStyle w:val="ESTablebody"/>
              <w:rPr>
                <w:rFonts w:ascii="Calibri" w:hAnsi="Calibri" w:cs="Calibri"/>
                <w:sz w:val="18"/>
                <w:lang w:val="en-AU"/>
              </w:rPr>
            </w:pPr>
            <w:r w:rsidRPr="005734B8">
              <w:rPr>
                <w:rFonts w:ascii="Calibri" w:hAnsi="Calibri" w:cs="Calibri"/>
                <w:sz w:val="18"/>
              </w:rPr>
              <w:t>Government real recurrent expenditure (including user cost of capital) per FTE student in secondary schools (2018–19 dollars)</w:t>
            </w:r>
          </w:p>
        </w:tc>
        <w:tc>
          <w:tcPr>
            <w:tcW w:w="1158" w:type="dxa"/>
            <w:tcBorders>
              <w:top w:val="single" w:sz="4" w:space="0" w:color="53565A" w:themeColor="accent5"/>
              <w:bottom w:val="single" w:sz="4" w:space="0" w:color="53565A" w:themeColor="accent5"/>
            </w:tcBorders>
            <w:shd w:val="clear" w:color="auto" w:fill="auto"/>
          </w:tcPr>
          <w:p w14:paraId="0A6EE279" w14:textId="77777777" w:rsidR="006062A5" w:rsidRPr="005734B8" w:rsidRDefault="006062A5" w:rsidP="000C192E">
            <w:pPr>
              <w:pStyle w:val="ESTablenumberrightaligned"/>
              <w:rPr>
                <w:rFonts w:ascii="Calibri" w:hAnsi="Calibri" w:cs="Calibri"/>
                <w:sz w:val="18"/>
                <w:lang w:val="en-AU"/>
              </w:rPr>
            </w:pPr>
            <w:r w:rsidRPr="005734B8">
              <w:rPr>
                <w:rFonts w:ascii="Calibri" w:hAnsi="Calibri" w:cs="Calibri"/>
                <w:sz w:val="18"/>
                <w:lang w:val="en-AU"/>
              </w:rPr>
              <w:t>$ per FTE student</w:t>
            </w:r>
          </w:p>
        </w:tc>
        <w:tc>
          <w:tcPr>
            <w:tcW w:w="1132" w:type="dxa"/>
            <w:tcBorders>
              <w:top w:val="single" w:sz="4" w:space="0" w:color="53565A" w:themeColor="accent5"/>
              <w:bottom w:val="single" w:sz="4" w:space="0" w:color="53565A" w:themeColor="accent5"/>
            </w:tcBorders>
            <w:shd w:val="clear" w:color="auto" w:fill="FFFFFF" w:themeFill="background1"/>
          </w:tcPr>
          <w:p w14:paraId="5AF2F008" w14:textId="77777777" w:rsidR="006062A5" w:rsidRPr="005734B8" w:rsidRDefault="006062A5" w:rsidP="000C192E">
            <w:pPr>
              <w:pStyle w:val="ESTablenumberrightaligned"/>
              <w:rPr>
                <w:rFonts w:ascii="Calibri" w:hAnsi="Calibri" w:cs="Calibri"/>
                <w:sz w:val="18"/>
                <w:lang w:val="en-AU"/>
              </w:rPr>
            </w:pPr>
            <w:r w:rsidRPr="005734B8">
              <w:rPr>
                <w:rFonts w:ascii="Calibri" w:hAnsi="Calibri" w:cs="Calibri"/>
                <w:sz w:val="18"/>
                <w:lang w:val="en-AU"/>
              </w:rPr>
              <w:t>18,291</w:t>
            </w:r>
          </w:p>
        </w:tc>
        <w:tc>
          <w:tcPr>
            <w:tcW w:w="1132" w:type="dxa"/>
            <w:tcBorders>
              <w:top w:val="single" w:sz="4" w:space="0" w:color="53565A" w:themeColor="accent5"/>
              <w:bottom w:val="single" w:sz="4" w:space="0" w:color="53565A" w:themeColor="accent5"/>
            </w:tcBorders>
          </w:tcPr>
          <w:p w14:paraId="34EF45F6" w14:textId="77777777" w:rsidR="006062A5" w:rsidRPr="005734B8" w:rsidRDefault="006062A5" w:rsidP="000C192E">
            <w:pPr>
              <w:pStyle w:val="ESTablenumberrightaligned"/>
              <w:rPr>
                <w:rFonts w:ascii="Calibri" w:hAnsi="Calibri" w:cs="Calibri"/>
                <w:sz w:val="18"/>
                <w:lang w:val="en-AU"/>
              </w:rPr>
            </w:pPr>
            <w:r w:rsidRPr="005734B8">
              <w:rPr>
                <w:rFonts w:ascii="Calibri" w:hAnsi="Calibri" w:cs="Calibri"/>
                <w:sz w:val="18"/>
                <w:lang w:val="en-AU"/>
              </w:rPr>
              <w:t>18,863</w:t>
            </w:r>
          </w:p>
        </w:tc>
        <w:tc>
          <w:tcPr>
            <w:tcW w:w="1132" w:type="dxa"/>
            <w:tcBorders>
              <w:top w:val="single" w:sz="4" w:space="0" w:color="53565A" w:themeColor="accent5"/>
              <w:bottom w:val="single" w:sz="4" w:space="0" w:color="53565A" w:themeColor="accent5"/>
            </w:tcBorders>
          </w:tcPr>
          <w:p w14:paraId="5A5BCD26" w14:textId="77777777" w:rsidR="006062A5" w:rsidRPr="005734B8" w:rsidRDefault="006062A5" w:rsidP="000C192E">
            <w:pPr>
              <w:pStyle w:val="ESTablenumberrightaligned"/>
              <w:rPr>
                <w:rFonts w:ascii="Calibri" w:hAnsi="Calibri" w:cs="Calibri"/>
                <w:sz w:val="18"/>
                <w:lang w:val="en-AU"/>
              </w:rPr>
            </w:pPr>
            <w:r w:rsidRPr="005734B8">
              <w:rPr>
                <w:rFonts w:ascii="Calibri" w:hAnsi="Calibri" w:cs="Calibri"/>
                <w:sz w:val="18"/>
                <w:lang w:val="en-AU"/>
              </w:rPr>
              <w:t>19,546</w:t>
            </w:r>
          </w:p>
        </w:tc>
        <w:tc>
          <w:tcPr>
            <w:tcW w:w="1132" w:type="dxa"/>
            <w:tcBorders>
              <w:top w:val="single" w:sz="4" w:space="0" w:color="53565A" w:themeColor="accent5"/>
              <w:bottom w:val="single" w:sz="4" w:space="0" w:color="53565A" w:themeColor="accent5"/>
            </w:tcBorders>
          </w:tcPr>
          <w:p w14:paraId="0EDA2265" w14:textId="77777777" w:rsidR="006062A5" w:rsidRPr="005734B8" w:rsidRDefault="006062A5" w:rsidP="000C192E">
            <w:pPr>
              <w:pStyle w:val="ESTablenumberrightaligned"/>
              <w:rPr>
                <w:rFonts w:ascii="Calibri" w:hAnsi="Calibri" w:cs="Calibri"/>
                <w:sz w:val="18"/>
                <w:lang w:val="en-AU"/>
              </w:rPr>
            </w:pPr>
            <w:r w:rsidRPr="005734B8">
              <w:rPr>
                <w:rFonts w:ascii="Calibri" w:hAnsi="Calibri" w:cs="Calibri"/>
                <w:sz w:val="18"/>
                <w:lang w:val="en-AU"/>
              </w:rPr>
              <w:t>–</w:t>
            </w:r>
          </w:p>
        </w:tc>
        <w:tc>
          <w:tcPr>
            <w:tcW w:w="1141" w:type="dxa"/>
            <w:tcBorders>
              <w:top w:val="single" w:sz="4" w:space="0" w:color="53565A" w:themeColor="accent5"/>
              <w:bottom w:val="single" w:sz="4" w:space="0" w:color="53565A" w:themeColor="accent5"/>
            </w:tcBorders>
          </w:tcPr>
          <w:p w14:paraId="61662C45" w14:textId="77777777" w:rsidR="006062A5" w:rsidRPr="005734B8" w:rsidRDefault="006062A5" w:rsidP="000C192E">
            <w:pPr>
              <w:pStyle w:val="ESTablenumberrightaligned"/>
              <w:rPr>
                <w:rFonts w:ascii="Calibri" w:hAnsi="Calibri" w:cs="Calibri"/>
                <w:sz w:val="18"/>
              </w:rPr>
            </w:pPr>
            <w:r w:rsidRPr="005734B8">
              <w:rPr>
                <w:rFonts w:ascii="Calibri" w:hAnsi="Calibri" w:cs="Calibri"/>
                <w:sz w:val="18"/>
                <w:lang w:val="en-AU"/>
              </w:rPr>
              <w:t>–</w:t>
            </w:r>
          </w:p>
        </w:tc>
      </w:tr>
      <w:tr w:rsidR="006062A5" w:rsidRPr="005734B8" w14:paraId="1EBE79E6" w14:textId="77777777" w:rsidTr="00B05012">
        <w:tc>
          <w:tcPr>
            <w:tcW w:w="9122" w:type="dxa"/>
            <w:gridSpan w:val="7"/>
            <w:tcBorders>
              <w:top w:val="single" w:sz="4" w:space="0" w:color="53565A" w:themeColor="accent5"/>
              <w:bottom w:val="single" w:sz="4" w:space="0" w:color="53565A" w:themeColor="accent5"/>
            </w:tcBorders>
            <w:shd w:val="clear" w:color="auto" w:fill="53565A" w:themeFill="accent5"/>
          </w:tcPr>
          <w:p w14:paraId="21679B53" w14:textId="2AB38686" w:rsidR="006062A5" w:rsidRPr="005734B8" w:rsidRDefault="006062A5" w:rsidP="000C192E">
            <w:pPr>
              <w:pStyle w:val="ESTablenumberrightaligned"/>
              <w:jc w:val="left"/>
              <w:rPr>
                <w:rFonts w:ascii="Calibri" w:hAnsi="Calibri" w:cs="Calibri"/>
                <w:b/>
                <w:color w:val="FFFFFF" w:themeColor="background1"/>
                <w:sz w:val="18"/>
              </w:rPr>
            </w:pPr>
            <w:r w:rsidRPr="005734B8">
              <w:rPr>
                <w:rFonts w:ascii="Calibri" w:hAnsi="Calibri" w:cs="Calibri"/>
                <w:b/>
                <w:color w:val="FFFFFF" w:themeColor="background1"/>
                <w:sz w:val="18"/>
              </w:rPr>
              <w:t xml:space="preserve">Higher </w:t>
            </w:r>
            <w:r w:rsidR="008D5A76" w:rsidRPr="005734B8">
              <w:rPr>
                <w:rFonts w:ascii="Calibri" w:hAnsi="Calibri" w:cs="Calibri"/>
                <w:b/>
                <w:color w:val="FFFFFF" w:themeColor="background1"/>
                <w:sz w:val="18"/>
              </w:rPr>
              <w:t>e</w:t>
            </w:r>
            <w:r w:rsidRPr="005734B8">
              <w:rPr>
                <w:rFonts w:ascii="Calibri" w:hAnsi="Calibri" w:cs="Calibri"/>
                <w:b/>
                <w:color w:val="FFFFFF" w:themeColor="background1"/>
                <w:sz w:val="18"/>
              </w:rPr>
              <w:t xml:space="preserve">ducation and </w:t>
            </w:r>
            <w:r w:rsidR="008D5A76" w:rsidRPr="005734B8">
              <w:rPr>
                <w:rFonts w:ascii="Calibri" w:hAnsi="Calibri" w:cs="Calibri"/>
                <w:b/>
                <w:color w:val="FFFFFF" w:themeColor="background1"/>
                <w:sz w:val="18"/>
              </w:rPr>
              <w:t>s</w:t>
            </w:r>
            <w:r w:rsidRPr="005734B8">
              <w:rPr>
                <w:rFonts w:ascii="Calibri" w:hAnsi="Calibri" w:cs="Calibri"/>
                <w:b/>
                <w:color w:val="FFFFFF" w:themeColor="background1"/>
                <w:sz w:val="18"/>
              </w:rPr>
              <w:t>kills</w:t>
            </w:r>
          </w:p>
        </w:tc>
      </w:tr>
      <w:tr w:rsidR="006062A5" w:rsidRPr="005734B8" w14:paraId="07CA89AF" w14:textId="77777777" w:rsidTr="00B05012">
        <w:tc>
          <w:tcPr>
            <w:tcW w:w="9122" w:type="dxa"/>
            <w:gridSpan w:val="7"/>
            <w:tcBorders>
              <w:top w:val="single" w:sz="4" w:space="0" w:color="53565A" w:themeColor="accent5"/>
              <w:bottom w:val="single" w:sz="4" w:space="0" w:color="53565A" w:themeColor="accent5"/>
            </w:tcBorders>
            <w:shd w:val="clear" w:color="auto" w:fill="D9D9D6" w:themeFill="accent6"/>
          </w:tcPr>
          <w:p w14:paraId="0C572F9E" w14:textId="77777777" w:rsidR="006062A5" w:rsidRPr="005734B8" w:rsidRDefault="006062A5" w:rsidP="000C192E">
            <w:pPr>
              <w:pStyle w:val="ESTablenumberrightaligned"/>
              <w:jc w:val="left"/>
              <w:rPr>
                <w:rFonts w:ascii="Calibri" w:hAnsi="Calibri" w:cs="Calibri"/>
                <w:sz w:val="18"/>
              </w:rPr>
            </w:pPr>
            <w:r w:rsidRPr="005734B8">
              <w:rPr>
                <w:rFonts w:ascii="Calibri" w:hAnsi="Calibri" w:cs="Calibri"/>
                <w:b/>
                <w:sz w:val="18"/>
                <w:lang w:val="en-AU"/>
              </w:rPr>
              <w:t>Dollar per VET student contact hour per calendar year</w:t>
            </w:r>
          </w:p>
        </w:tc>
      </w:tr>
      <w:tr w:rsidR="006062A5" w:rsidRPr="005734B8" w14:paraId="17CA1A6B" w14:textId="77777777" w:rsidTr="00B05012">
        <w:tc>
          <w:tcPr>
            <w:tcW w:w="2295" w:type="dxa"/>
            <w:tcBorders>
              <w:top w:val="single" w:sz="4" w:space="0" w:color="53565A" w:themeColor="accent5"/>
              <w:bottom w:val="single" w:sz="4" w:space="0" w:color="53565A" w:themeColor="accent5"/>
            </w:tcBorders>
            <w:shd w:val="clear" w:color="auto" w:fill="auto"/>
          </w:tcPr>
          <w:p w14:paraId="0010A46B" w14:textId="77777777" w:rsidR="006062A5" w:rsidRPr="005734B8" w:rsidRDefault="006062A5" w:rsidP="000C192E">
            <w:pPr>
              <w:pStyle w:val="ESTablebody"/>
              <w:rPr>
                <w:rFonts w:ascii="Calibri" w:hAnsi="Calibri" w:cs="Calibri"/>
                <w:sz w:val="18"/>
                <w:lang w:val="en-AU"/>
              </w:rPr>
            </w:pPr>
            <w:r w:rsidRPr="005734B8">
              <w:rPr>
                <w:rFonts w:ascii="Calibri" w:hAnsi="Calibri" w:cs="Calibri"/>
                <w:sz w:val="18"/>
                <w:lang w:val="en-AU"/>
              </w:rPr>
              <w:t>Victorian Government real recurrent expenditure per annual hour (2019 dollars)</w:t>
            </w:r>
          </w:p>
        </w:tc>
        <w:tc>
          <w:tcPr>
            <w:tcW w:w="1158" w:type="dxa"/>
            <w:tcBorders>
              <w:top w:val="single" w:sz="4" w:space="0" w:color="53565A" w:themeColor="accent5"/>
              <w:bottom w:val="single" w:sz="4" w:space="0" w:color="53565A" w:themeColor="accent5"/>
            </w:tcBorders>
            <w:shd w:val="clear" w:color="auto" w:fill="auto"/>
          </w:tcPr>
          <w:p w14:paraId="198045EF" w14:textId="77777777" w:rsidR="006062A5" w:rsidRPr="005734B8" w:rsidRDefault="006062A5" w:rsidP="000C192E">
            <w:pPr>
              <w:pStyle w:val="ESTablenumberrightaligned"/>
              <w:rPr>
                <w:rFonts w:ascii="Calibri" w:hAnsi="Calibri" w:cs="Calibri"/>
                <w:sz w:val="18"/>
                <w:lang w:val="en-AU"/>
              </w:rPr>
            </w:pPr>
            <w:r w:rsidRPr="005734B8">
              <w:rPr>
                <w:rFonts w:ascii="Calibri" w:hAnsi="Calibri" w:cs="Calibri"/>
                <w:sz w:val="18"/>
                <w:lang w:val="en-AU"/>
              </w:rPr>
              <w:t>$ per hour</w:t>
            </w:r>
          </w:p>
        </w:tc>
        <w:tc>
          <w:tcPr>
            <w:tcW w:w="1132" w:type="dxa"/>
            <w:tcBorders>
              <w:top w:val="single" w:sz="4" w:space="0" w:color="53565A" w:themeColor="accent5"/>
              <w:bottom w:val="single" w:sz="4" w:space="0" w:color="53565A" w:themeColor="accent5"/>
            </w:tcBorders>
            <w:shd w:val="clear" w:color="auto" w:fill="FFFFFF" w:themeFill="background1"/>
          </w:tcPr>
          <w:p w14:paraId="6907A9FB" w14:textId="77777777" w:rsidR="006062A5" w:rsidRPr="005734B8" w:rsidRDefault="006062A5" w:rsidP="000C192E">
            <w:pPr>
              <w:pStyle w:val="ESTablenumberrightaligned"/>
              <w:rPr>
                <w:rFonts w:ascii="Calibri" w:hAnsi="Calibri" w:cs="Calibri"/>
                <w:sz w:val="18"/>
                <w:lang w:val="en-AU"/>
              </w:rPr>
            </w:pPr>
            <w:r w:rsidRPr="005734B8">
              <w:rPr>
                <w:rFonts w:ascii="Calibri" w:hAnsi="Calibri" w:cs="Calibri"/>
                <w:sz w:val="18"/>
                <w:lang w:val="en-AU"/>
              </w:rPr>
              <w:t>12.87</w:t>
            </w:r>
          </w:p>
        </w:tc>
        <w:tc>
          <w:tcPr>
            <w:tcW w:w="1132" w:type="dxa"/>
            <w:tcBorders>
              <w:top w:val="single" w:sz="4" w:space="0" w:color="53565A" w:themeColor="accent5"/>
              <w:bottom w:val="single" w:sz="4" w:space="0" w:color="53565A" w:themeColor="accent5"/>
            </w:tcBorders>
          </w:tcPr>
          <w:p w14:paraId="6610E69B" w14:textId="77777777" w:rsidR="006062A5" w:rsidRPr="005734B8" w:rsidRDefault="006062A5" w:rsidP="000C192E">
            <w:pPr>
              <w:pStyle w:val="ESTablenumberrightaligned"/>
              <w:rPr>
                <w:rFonts w:ascii="Calibri" w:hAnsi="Calibri" w:cs="Calibri"/>
                <w:sz w:val="18"/>
                <w:lang w:val="en-AU"/>
              </w:rPr>
            </w:pPr>
            <w:r w:rsidRPr="005734B8">
              <w:rPr>
                <w:rFonts w:ascii="Calibri" w:hAnsi="Calibri" w:cs="Calibri"/>
                <w:sz w:val="18"/>
                <w:lang w:val="en-AU"/>
              </w:rPr>
              <w:t>15.23</w:t>
            </w:r>
          </w:p>
        </w:tc>
        <w:tc>
          <w:tcPr>
            <w:tcW w:w="1132" w:type="dxa"/>
            <w:tcBorders>
              <w:top w:val="single" w:sz="4" w:space="0" w:color="53565A" w:themeColor="accent5"/>
              <w:bottom w:val="single" w:sz="4" w:space="0" w:color="53565A" w:themeColor="accent5"/>
            </w:tcBorders>
          </w:tcPr>
          <w:p w14:paraId="316BA991" w14:textId="77777777" w:rsidR="006062A5" w:rsidRPr="005734B8" w:rsidRDefault="006062A5" w:rsidP="000C192E">
            <w:pPr>
              <w:pStyle w:val="ESTablenumberrightaligned"/>
              <w:rPr>
                <w:rFonts w:ascii="Calibri" w:hAnsi="Calibri" w:cs="Calibri"/>
                <w:sz w:val="18"/>
                <w:lang w:val="en-AU"/>
              </w:rPr>
            </w:pPr>
            <w:r w:rsidRPr="005734B8">
              <w:rPr>
                <w:rFonts w:ascii="Calibri" w:hAnsi="Calibri" w:cs="Calibri"/>
                <w:sz w:val="18"/>
                <w:lang w:val="en-AU"/>
              </w:rPr>
              <w:t>15.72</w:t>
            </w:r>
          </w:p>
        </w:tc>
        <w:tc>
          <w:tcPr>
            <w:tcW w:w="1132" w:type="dxa"/>
            <w:tcBorders>
              <w:top w:val="single" w:sz="4" w:space="0" w:color="53565A" w:themeColor="accent5"/>
              <w:bottom w:val="single" w:sz="4" w:space="0" w:color="53565A" w:themeColor="accent5"/>
            </w:tcBorders>
          </w:tcPr>
          <w:p w14:paraId="0A54F0AD" w14:textId="77777777" w:rsidR="006062A5" w:rsidRPr="005734B8" w:rsidRDefault="006062A5" w:rsidP="000C192E">
            <w:pPr>
              <w:pStyle w:val="ESTablenumberrightaligned"/>
              <w:rPr>
                <w:rFonts w:ascii="Calibri" w:hAnsi="Calibri" w:cs="Calibri"/>
                <w:sz w:val="18"/>
                <w:lang w:val="en-AU"/>
              </w:rPr>
            </w:pPr>
            <w:r w:rsidRPr="005734B8">
              <w:rPr>
                <w:rFonts w:ascii="Calibri" w:hAnsi="Calibri" w:cs="Calibri"/>
                <w:sz w:val="18"/>
              </w:rPr>
              <w:t>14.24</w:t>
            </w:r>
          </w:p>
        </w:tc>
        <w:tc>
          <w:tcPr>
            <w:tcW w:w="1141" w:type="dxa"/>
            <w:tcBorders>
              <w:top w:val="single" w:sz="4" w:space="0" w:color="53565A" w:themeColor="accent5"/>
              <w:bottom w:val="single" w:sz="4" w:space="0" w:color="53565A" w:themeColor="accent5"/>
            </w:tcBorders>
          </w:tcPr>
          <w:p w14:paraId="77A1DDE2" w14:textId="77777777" w:rsidR="006062A5" w:rsidRPr="005734B8" w:rsidRDefault="006062A5" w:rsidP="000C192E">
            <w:pPr>
              <w:pStyle w:val="ESTablenumberrightaligned"/>
              <w:rPr>
                <w:rFonts w:ascii="Calibri" w:hAnsi="Calibri" w:cs="Calibri"/>
                <w:sz w:val="18"/>
              </w:rPr>
            </w:pPr>
            <w:r w:rsidRPr="005734B8">
              <w:rPr>
                <w:rFonts w:ascii="Calibri" w:hAnsi="Calibri" w:cs="Calibri"/>
                <w:sz w:val="18"/>
                <w:lang w:val="en-AU"/>
              </w:rPr>
              <w:t>–</w:t>
            </w:r>
            <w:r w:rsidRPr="005734B8">
              <w:rPr>
                <w:rStyle w:val="FootnoteReference"/>
                <w:rFonts w:ascii="Calibri" w:hAnsi="Calibri" w:cs="Calibri"/>
                <w:sz w:val="18"/>
              </w:rPr>
              <w:footnoteReference w:id="32"/>
            </w:r>
          </w:p>
        </w:tc>
      </w:tr>
    </w:tbl>
    <w:p w14:paraId="73AC7F23" w14:textId="77777777" w:rsidR="00B05012" w:rsidRPr="005734B8" w:rsidRDefault="00B05012" w:rsidP="00AE5F0E">
      <w:pPr>
        <w:autoSpaceDE w:val="0"/>
        <w:autoSpaceDN w:val="0"/>
        <w:adjustRightInd w:val="0"/>
        <w:rPr>
          <w:rFonts w:ascii="Calibri" w:hAnsi="Calibri" w:cs="Calibri"/>
        </w:rPr>
      </w:pPr>
      <w:bookmarkStart w:id="157" w:name="_Toc48402773"/>
      <w:bookmarkStart w:id="158" w:name="_Toc48403010"/>
      <w:bookmarkStart w:id="159" w:name="_Toc51332753"/>
    </w:p>
    <w:p w14:paraId="11293DB6" w14:textId="77777777" w:rsidR="00B05012" w:rsidRPr="005734B8" w:rsidRDefault="00B05012">
      <w:pPr>
        <w:rPr>
          <w:rFonts w:ascii="Calibri" w:eastAsiaTheme="majorEastAsia" w:hAnsi="Calibri" w:cs="Calibri"/>
          <w:bCs/>
          <w:color w:val="8A2A2F" w:themeColor="text1"/>
          <w:spacing w:val="5"/>
          <w:kern w:val="28"/>
          <w:sz w:val="28"/>
          <w:szCs w:val="20"/>
          <w:lang w:val="en-US"/>
        </w:rPr>
      </w:pPr>
      <w:r w:rsidRPr="005734B8">
        <w:rPr>
          <w:rFonts w:ascii="Calibri" w:hAnsi="Calibri" w:cs="Calibri"/>
        </w:rPr>
        <w:br w:type="page"/>
      </w:r>
    </w:p>
    <w:p w14:paraId="48DE7A25" w14:textId="1EEFAA55" w:rsidR="00846D65" w:rsidRPr="005734B8" w:rsidRDefault="00846D65" w:rsidP="00846D65">
      <w:pPr>
        <w:pStyle w:val="ESHeading2"/>
        <w:rPr>
          <w:rFonts w:ascii="Calibri" w:hAnsi="Calibri" w:cs="Calibri"/>
        </w:rPr>
      </w:pPr>
      <w:bookmarkStart w:id="160" w:name="_Toc81315317"/>
      <w:r w:rsidRPr="005734B8">
        <w:rPr>
          <w:rFonts w:ascii="Calibri" w:hAnsi="Calibri" w:cs="Calibri"/>
        </w:rPr>
        <w:lastRenderedPageBreak/>
        <w:t>Performance against output performance measures</w:t>
      </w:r>
      <w:bookmarkEnd w:id="112"/>
      <w:bookmarkEnd w:id="113"/>
      <w:bookmarkEnd w:id="114"/>
      <w:bookmarkEnd w:id="115"/>
      <w:bookmarkEnd w:id="116"/>
      <w:bookmarkEnd w:id="117"/>
      <w:bookmarkEnd w:id="118"/>
      <w:bookmarkEnd w:id="119"/>
      <w:bookmarkEnd w:id="157"/>
      <w:bookmarkEnd w:id="158"/>
      <w:bookmarkEnd w:id="159"/>
      <w:bookmarkEnd w:id="160"/>
    </w:p>
    <w:p w14:paraId="6E06DB40" w14:textId="77777777" w:rsidR="00CC5E8A" w:rsidRPr="005734B8" w:rsidRDefault="00CC5E8A" w:rsidP="00CC5E8A">
      <w:pPr>
        <w:autoSpaceDE w:val="0"/>
        <w:autoSpaceDN w:val="0"/>
        <w:adjustRightInd w:val="0"/>
        <w:rPr>
          <w:rFonts w:ascii="Calibri" w:hAnsi="Calibri" w:cs="Calibri"/>
          <w:szCs w:val="22"/>
        </w:rPr>
      </w:pPr>
      <w:bookmarkStart w:id="161" w:name="_Toc39835763"/>
      <w:bookmarkStart w:id="162" w:name="_Toc11158163"/>
      <w:bookmarkStart w:id="163" w:name="_Toc11336170"/>
      <w:bookmarkStart w:id="164" w:name="_Toc14965393"/>
      <w:bookmarkStart w:id="165" w:name="_Toc19271972"/>
      <w:bookmarkStart w:id="166" w:name="_Toc19272338"/>
      <w:bookmarkStart w:id="167" w:name="_Toc19273673"/>
      <w:r w:rsidRPr="005734B8">
        <w:rPr>
          <w:rFonts w:ascii="Calibri" w:hAnsi="Calibri" w:cs="Calibri"/>
          <w:szCs w:val="22"/>
        </w:rPr>
        <w:t>The following sections detail the outputs provided by the Department to the Victorian Government, including performance measures and costs for each output, and the actual performance results against budgeted targets by output over the full year ending 30 June 2021.</w:t>
      </w:r>
    </w:p>
    <w:p w14:paraId="181615D2" w14:textId="77777777" w:rsidR="00CC5E8A" w:rsidRPr="005734B8" w:rsidRDefault="00CC5E8A" w:rsidP="00CC5E8A">
      <w:pPr>
        <w:autoSpaceDE w:val="0"/>
        <w:autoSpaceDN w:val="0"/>
        <w:adjustRightInd w:val="0"/>
        <w:rPr>
          <w:rFonts w:ascii="Calibri" w:hAnsi="Calibri" w:cs="Calibri"/>
          <w:szCs w:val="22"/>
        </w:rPr>
      </w:pPr>
    </w:p>
    <w:p w14:paraId="224FDE9A" w14:textId="77777777" w:rsidR="00CC5E8A" w:rsidRPr="005734B8" w:rsidRDefault="00CC5E8A" w:rsidP="00CC5E8A">
      <w:pPr>
        <w:rPr>
          <w:rFonts w:ascii="Calibri" w:hAnsi="Calibri" w:cs="Calibri"/>
        </w:rPr>
      </w:pPr>
      <w:r w:rsidRPr="005734B8">
        <w:rPr>
          <w:rFonts w:ascii="Calibri" w:hAnsi="Calibri" w:cs="Calibri"/>
        </w:rPr>
        <w:t>The Department’s outputs are reported in seven groups. These are:</w:t>
      </w:r>
    </w:p>
    <w:p w14:paraId="6D1B6E18" w14:textId="77777777" w:rsidR="00CC5E8A" w:rsidRPr="005734B8" w:rsidRDefault="00CC5E8A" w:rsidP="00CC5E8A">
      <w:pPr>
        <w:pStyle w:val="ListParagraph"/>
        <w:numPr>
          <w:ilvl w:val="0"/>
          <w:numId w:val="16"/>
        </w:numPr>
        <w:rPr>
          <w:rFonts w:ascii="Calibri" w:hAnsi="Calibri" w:cs="Calibri"/>
        </w:rPr>
      </w:pPr>
      <w:r w:rsidRPr="005734B8">
        <w:rPr>
          <w:rFonts w:ascii="Calibri" w:hAnsi="Calibri" w:cs="Calibri"/>
        </w:rPr>
        <w:t>strategy, review and regulation</w:t>
      </w:r>
    </w:p>
    <w:p w14:paraId="505B78BE" w14:textId="77777777" w:rsidR="00CC5E8A" w:rsidRPr="005734B8" w:rsidRDefault="00CC5E8A" w:rsidP="00CC5E8A">
      <w:pPr>
        <w:pStyle w:val="ListParagraph"/>
        <w:numPr>
          <w:ilvl w:val="0"/>
          <w:numId w:val="16"/>
        </w:numPr>
        <w:rPr>
          <w:rFonts w:ascii="Calibri" w:hAnsi="Calibri" w:cs="Calibri"/>
        </w:rPr>
      </w:pPr>
      <w:r w:rsidRPr="005734B8">
        <w:rPr>
          <w:rFonts w:ascii="Calibri" w:hAnsi="Calibri" w:cs="Calibri"/>
        </w:rPr>
        <w:t xml:space="preserve">early childhood education </w:t>
      </w:r>
    </w:p>
    <w:p w14:paraId="6033EBC3" w14:textId="6AFCEB8B" w:rsidR="00CC5E8A" w:rsidRPr="005734B8" w:rsidRDefault="00CC5E8A" w:rsidP="00CC5E8A">
      <w:pPr>
        <w:pStyle w:val="ListParagraph"/>
        <w:numPr>
          <w:ilvl w:val="0"/>
          <w:numId w:val="16"/>
        </w:numPr>
        <w:rPr>
          <w:rFonts w:ascii="Calibri" w:hAnsi="Calibri" w:cs="Calibri"/>
        </w:rPr>
      </w:pPr>
      <w:r w:rsidRPr="005734B8">
        <w:rPr>
          <w:rFonts w:ascii="Calibri" w:hAnsi="Calibri" w:cs="Calibri"/>
        </w:rPr>
        <w:t>school education</w:t>
      </w:r>
      <w:r w:rsidR="009B22A6" w:rsidRPr="005734B8">
        <w:rPr>
          <w:rFonts w:ascii="Calibri" w:hAnsi="Calibri" w:cs="Calibri"/>
        </w:rPr>
        <w:t>—</w:t>
      </w:r>
      <w:r w:rsidRPr="005734B8">
        <w:rPr>
          <w:rFonts w:ascii="Calibri" w:hAnsi="Calibri" w:cs="Calibri"/>
        </w:rPr>
        <w:t>primary</w:t>
      </w:r>
    </w:p>
    <w:p w14:paraId="42E87068" w14:textId="07935318" w:rsidR="00CC5E8A" w:rsidRPr="005734B8" w:rsidRDefault="00CC5E8A" w:rsidP="00CC5E8A">
      <w:pPr>
        <w:pStyle w:val="ListParagraph"/>
        <w:numPr>
          <w:ilvl w:val="0"/>
          <w:numId w:val="16"/>
        </w:numPr>
        <w:rPr>
          <w:rFonts w:ascii="Calibri" w:hAnsi="Calibri" w:cs="Calibri"/>
        </w:rPr>
      </w:pPr>
      <w:r w:rsidRPr="005734B8">
        <w:rPr>
          <w:rFonts w:ascii="Calibri" w:hAnsi="Calibri" w:cs="Calibri"/>
        </w:rPr>
        <w:t>school education</w:t>
      </w:r>
      <w:r w:rsidR="009B22A6" w:rsidRPr="005734B8">
        <w:rPr>
          <w:rFonts w:ascii="Calibri" w:hAnsi="Calibri" w:cs="Calibri"/>
        </w:rPr>
        <w:t>—</w:t>
      </w:r>
      <w:r w:rsidRPr="005734B8">
        <w:rPr>
          <w:rFonts w:ascii="Calibri" w:hAnsi="Calibri" w:cs="Calibri"/>
        </w:rPr>
        <w:t>secondary</w:t>
      </w:r>
    </w:p>
    <w:p w14:paraId="6A2D1414" w14:textId="77777777" w:rsidR="00CC5E8A" w:rsidRPr="005734B8" w:rsidRDefault="00CC5E8A" w:rsidP="00CC5E8A">
      <w:pPr>
        <w:pStyle w:val="ListParagraph"/>
        <w:numPr>
          <w:ilvl w:val="0"/>
          <w:numId w:val="16"/>
        </w:numPr>
        <w:rPr>
          <w:rFonts w:ascii="Calibri" w:hAnsi="Calibri" w:cs="Calibri"/>
        </w:rPr>
      </w:pPr>
      <w:r w:rsidRPr="005734B8">
        <w:rPr>
          <w:rFonts w:ascii="Calibri" w:hAnsi="Calibri" w:cs="Calibri"/>
        </w:rPr>
        <w:t>training, higher education and workforce development</w:t>
      </w:r>
    </w:p>
    <w:p w14:paraId="5E683C59" w14:textId="77777777" w:rsidR="00CC5E8A" w:rsidRPr="005734B8" w:rsidRDefault="00CC5E8A" w:rsidP="00CC5E8A">
      <w:pPr>
        <w:pStyle w:val="ListParagraph"/>
        <w:numPr>
          <w:ilvl w:val="0"/>
          <w:numId w:val="16"/>
        </w:numPr>
        <w:rPr>
          <w:rFonts w:ascii="Calibri" w:hAnsi="Calibri" w:cs="Calibri"/>
        </w:rPr>
      </w:pPr>
      <w:r w:rsidRPr="005734B8">
        <w:rPr>
          <w:rFonts w:ascii="Calibri" w:hAnsi="Calibri" w:cs="Calibri"/>
        </w:rPr>
        <w:t>support services delivery</w:t>
      </w:r>
    </w:p>
    <w:p w14:paraId="5FE0108D" w14:textId="77777777" w:rsidR="00CC5E8A" w:rsidRPr="005734B8" w:rsidRDefault="00CC5E8A" w:rsidP="00CC5E8A">
      <w:pPr>
        <w:pStyle w:val="ListParagraph"/>
        <w:numPr>
          <w:ilvl w:val="0"/>
          <w:numId w:val="16"/>
        </w:numPr>
        <w:rPr>
          <w:rFonts w:ascii="Calibri" w:hAnsi="Calibri" w:cs="Calibri"/>
        </w:rPr>
      </w:pPr>
      <w:r w:rsidRPr="005734B8">
        <w:rPr>
          <w:rFonts w:ascii="Calibri" w:hAnsi="Calibri" w:cs="Calibri"/>
        </w:rPr>
        <w:t>support for students with disabilities.</w:t>
      </w:r>
    </w:p>
    <w:p w14:paraId="31E7D27B" w14:textId="77777777" w:rsidR="00CC5E8A" w:rsidRPr="005734B8" w:rsidRDefault="00CC5E8A" w:rsidP="00CC5E8A">
      <w:pPr>
        <w:rPr>
          <w:rFonts w:ascii="Calibri" w:hAnsi="Calibri" w:cs="Calibri"/>
        </w:rPr>
      </w:pPr>
    </w:p>
    <w:p w14:paraId="258289AF" w14:textId="78A62DD6" w:rsidR="00CC5E8A" w:rsidRPr="005734B8" w:rsidRDefault="00CC5E8A" w:rsidP="00CC5E8A">
      <w:pPr>
        <w:rPr>
          <w:rFonts w:ascii="Calibri" w:hAnsi="Calibri" w:cs="Calibri"/>
        </w:rPr>
      </w:pPr>
      <w:r w:rsidRPr="005734B8">
        <w:rPr>
          <w:rFonts w:ascii="Calibri" w:hAnsi="Calibri" w:cs="Calibri"/>
        </w:rPr>
        <w:t>The reported outputs refer to the financial year</w:t>
      </w:r>
      <w:r w:rsidR="003A6F86" w:rsidRPr="005734B8">
        <w:rPr>
          <w:rFonts w:ascii="Calibri" w:hAnsi="Calibri" w:cs="Calibri"/>
        </w:rPr>
        <w:t>,</w:t>
      </w:r>
      <w:r w:rsidRPr="005734B8">
        <w:rPr>
          <w:rFonts w:ascii="Calibri" w:hAnsi="Calibri" w:cs="Calibri"/>
        </w:rPr>
        <w:t xml:space="preserve"> unless </w:t>
      </w:r>
      <w:r w:rsidR="003A6F86" w:rsidRPr="005734B8">
        <w:rPr>
          <w:rFonts w:ascii="Calibri" w:hAnsi="Calibri" w:cs="Calibri"/>
        </w:rPr>
        <w:t xml:space="preserve">otherwise </w:t>
      </w:r>
      <w:r w:rsidRPr="005734B8">
        <w:rPr>
          <w:rFonts w:ascii="Calibri" w:hAnsi="Calibri" w:cs="Calibri"/>
        </w:rPr>
        <w:t>indicated.</w:t>
      </w:r>
    </w:p>
    <w:p w14:paraId="579ED79F" w14:textId="77777777" w:rsidR="00EB3378" w:rsidRPr="005734B8" w:rsidRDefault="00EB3378" w:rsidP="00EB3378">
      <w:pPr>
        <w:pStyle w:val="ESHeading3"/>
        <w:ind w:left="0" w:firstLine="0"/>
        <w:rPr>
          <w:rFonts w:ascii="Calibri" w:hAnsi="Calibri" w:cs="Calibri"/>
          <w:szCs w:val="22"/>
          <w:lang w:val="en-AU"/>
        </w:rPr>
      </w:pPr>
      <w:bookmarkStart w:id="168" w:name="_Hlk78211672"/>
      <w:bookmarkEnd w:id="161"/>
      <w:r w:rsidRPr="005734B8">
        <w:rPr>
          <w:rFonts w:ascii="Calibri" w:hAnsi="Calibri" w:cs="Calibri"/>
          <w:szCs w:val="22"/>
          <w:lang w:val="en-AU"/>
        </w:rPr>
        <w:t>Strategy, review and regulation</w:t>
      </w:r>
    </w:p>
    <w:p w14:paraId="76E35A04" w14:textId="39AB1C8C" w:rsidR="00563F10" w:rsidRPr="005734B8" w:rsidRDefault="00EB3378" w:rsidP="00012F2B">
      <w:pPr>
        <w:pStyle w:val="ESBodyText"/>
        <w:rPr>
          <w:rFonts w:ascii="Calibri" w:hAnsi="Calibri" w:cs="Calibri"/>
          <w:sz w:val="22"/>
          <w:szCs w:val="22"/>
          <w:lang w:val="en-AU"/>
        </w:rPr>
      </w:pPr>
      <w:r w:rsidRPr="005734B8">
        <w:rPr>
          <w:rFonts w:ascii="Calibri" w:hAnsi="Calibri" w:cs="Calibri"/>
          <w:sz w:val="22"/>
          <w:szCs w:val="22"/>
          <w:lang w:val="en-AU"/>
        </w:rPr>
        <w:t xml:space="preserve">This output develops, plans and monitors strategic policy settings across all stages of learning. It also includes inter-governmental negotiations as well as research, data and performance evaluations. This output also supports regulation that ensures quality education and training is delivered. </w:t>
      </w:r>
    </w:p>
    <w:bookmarkEnd w:id="168"/>
    <w:p w14:paraId="1AB08813" w14:textId="18405401" w:rsidR="0052344F" w:rsidRPr="005734B8" w:rsidRDefault="0052344F" w:rsidP="0052344F">
      <w:pPr>
        <w:pStyle w:val="ESTableintroheading"/>
        <w:keepNext w:val="0"/>
        <w:rPr>
          <w:rFonts w:ascii="Calibri" w:hAnsi="Calibri" w:cs="Calibri"/>
          <w:lang w:val="en-AU"/>
        </w:rPr>
      </w:pPr>
      <w:r w:rsidRPr="005734B8">
        <w:rPr>
          <w:rFonts w:ascii="Calibri" w:hAnsi="Calibri" w:cs="Calibri"/>
          <w:lang w:val="en-AU"/>
        </w:rPr>
        <w:t>Strategy, review and regulation performance measures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
        <w:gridCol w:w="1923"/>
        <w:gridCol w:w="1135"/>
        <w:gridCol w:w="483"/>
        <w:gridCol w:w="630"/>
        <w:gridCol w:w="1338"/>
        <w:gridCol w:w="284"/>
        <w:gridCol w:w="1347"/>
        <w:gridCol w:w="907"/>
      </w:tblGrid>
      <w:tr w:rsidR="0054488D" w:rsidRPr="005734B8" w14:paraId="45788120" w14:textId="77777777" w:rsidTr="006934F1">
        <w:trPr>
          <w:cantSplit/>
          <w:trHeight w:val="242"/>
          <w:tblHeader/>
        </w:trPr>
        <w:tc>
          <w:tcPr>
            <w:tcW w:w="2886" w:type="dxa"/>
            <w:gridSpan w:val="2"/>
            <w:tcBorders>
              <w:bottom w:val="single" w:sz="4" w:space="0" w:color="FFFFFF" w:themeColor="background1"/>
            </w:tcBorders>
            <w:shd w:val="clear" w:color="auto" w:fill="AF272F" w:themeFill="accent4"/>
          </w:tcPr>
          <w:p w14:paraId="45154453" w14:textId="77777777" w:rsidR="0054488D" w:rsidRPr="005734B8" w:rsidRDefault="0054488D" w:rsidP="000C192E">
            <w:pPr>
              <w:pStyle w:val="ESTableheadingwhite"/>
              <w:keepNext/>
              <w:rPr>
                <w:rFonts w:ascii="Calibri" w:hAnsi="Calibri" w:cs="Calibri"/>
                <w:sz w:val="18"/>
              </w:rPr>
            </w:pPr>
            <w:bookmarkStart w:id="169" w:name="_Hlk80711545"/>
            <w:bookmarkStart w:id="170" w:name="_Toc11158164"/>
            <w:bookmarkStart w:id="171" w:name="_Toc11336171"/>
            <w:bookmarkStart w:id="172" w:name="_Toc14965394"/>
            <w:bookmarkStart w:id="173" w:name="_Toc19271973"/>
            <w:bookmarkStart w:id="174" w:name="_Toc19272339"/>
            <w:bookmarkStart w:id="175" w:name="_Toc19273674"/>
            <w:bookmarkStart w:id="176" w:name="_Toc39835764"/>
            <w:r w:rsidRPr="005734B8">
              <w:rPr>
                <w:rFonts w:ascii="Calibri" w:hAnsi="Calibri" w:cs="Calibri"/>
                <w:sz w:val="18"/>
              </w:rPr>
              <w:t>Performance measures</w:t>
            </w:r>
          </w:p>
        </w:tc>
        <w:tc>
          <w:tcPr>
            <w:tcW w:w="1135" w:type="dxa"/>
            <w:tcBorders>
              <w:bottom w:val="single" w:sz="4" w:space="0" w:color="FFFFFF" w:themeColor="background1"/>
            </w:tcBorders>
            <w:shd w:val="clear" w:color="auto" w:fill="AF272F" w:themeFill="accent4"/>
          </w:tcPr>
          <w:p w14:paraId="5BEAFED0" w14:textId="77777777" w:rsidR="0054488D" w:rsidRPr="005734B8" w:rsidRDefault="0054488D" w:rsidP="000C192E">
            <w:pPr>
              <w:pStyle w:val="ESTableheadingwhite"/>
              <w:keepNext/>
              <w:rPr>
                <w:rFonts w:ascii="Calibri" w:hAnsi="Calibri" w:cs="Calibri"/>
                <w:sz w:val="18"/>
              </w:rPr>
            </w:pPr>
            <w:r w:rsidRPr="005734B8">
              <w:rPr>
                <w:rFonts w:ascii="Calibri" w:hAnsi="Calibri" w:cs="Calibri"/>
                <w:sz w:val="18"/>
              </w:rPr>
              <w:t>Unit of measure</w:t>
            </w:r>
          </w:p>
        </w:tc>
        <w:tc>
          <w:tcPr>
            <w:tcW w:w="1113" w:type="dxa"/>
            <w:gridSpan w:val="2"/>
            <w:tcBorders>
              <w:bottom w:val="single" w:sz="4" w:space="0" w:color="FFFFFF" w:themeColor="background1"/>
            </w:tcBorders>
            <w:shd w:val="clear" w:color="auto" w:fill="AF272F" w:themeFill="accent4"/>
          </w:tcPr>
          <w:p w14:paraId="613E6985" w14:textId="77777777" w:rsidR="0054488D" w:rsidRPr="005734B8" w:rsidRDefault="0054488D" w:rsidP="000C192E">
            <w:pPr>
              <w:pStyle w:val="ESTableheadingwhite"/>
              <w:keepNext/>
              <w:jc w:val="right"/>
              <w:rPr>
                <w:rFonts w:ascii="Calibri" w:hAnsi="Calibri" w:cs="Calibri"/>
                <w:sz w:val="18"/>
              </w:rPr>
            </w:pPr>
            <w:r w:rsidRPr="005734B8">
              <w:rPr>
                <w:rFonts w:ascii="Calibri" w:hAnsi="Calibri" w:cs="Calibri"/>
                <w:sz w:val="18"/>
              </w:rPr>
              <w:t>2020–21 actual</w:t>
            </w:r>
          </w:p>
        </w:tc>
        <w:tc>
          <w:tcPr>
            <w:tcW w:w="1338" w:type="dxa"/>
            <w:tcBorders>
              <w:bottom w:val="single" w:sz="4" w:space="0" w:color="FFFFFF" w:themeColor="background1"/>
            </w:tcBorders>
            <w:shd w:val="clear" w:color="auto" w:fill="AF272F" w:themeFill="accent4"/>
          </w:tcPr>
          <w:p w14:paraId="32630C1A" w14:textId="77777777" w:rsidR="0054488D" w:rsidRPr="005734B8" w:rsidRDefault="0054488D" w:rsidP="000C192E">
            <w:pPr>
              <w:pStyle w:val="ESTableheadingwhite"/>
              <w:keepNext/>
              <w:jc w:val="right"/>
              <w:rPr>
                <w:rFonts w:ascii="Calibri" w:hAnsi="Calibri" w:cs="Calibri"/>
                <w:sz w:val="18"/>
              </w:rPr>
            </w:pPr>
            <w:r w:rsidRPr="005734B8">
              <w:rPr>
                <w:rFonts w:ascii="Calibri" w:hAnsi="Calibri" w:cs="Calibri"/>
                <w:sz w:val="18"/>
              </w:rPr>
              <w:t>2020–21 target</w:t>
            </w:r>
          </w:p>
        </w:tc>
        <w:tc>
          <w:tcPr>
            <w:tcW w:w="1631" w:type="dxa"/>
            <w:gridSpan w:val="2"/>
            <w:tcBorders>
              <w:bottom w:val="single" w:sz="4" w:space="0" w:color="FFFFFF" w:themeColor="background1"/>
            </w:tcBorders>
            <w:shd w:val="clear" w:color="auto" w:fill="AF272F" w:themeFill="accent4"/>
          </w:tcPr>
          <w:p w14:paraId="1CD413CB" w14:textId="77777777" w:rsidR="0054488D" w:rsidRPr="005734B8" w:rsidRDefault="0054488D" w:rsidP="000C192E">
            <w:pPr>
              <w:pStyle w:val="ESTableheadingwhite"/>
              <w:keepNext/>
              <w:jc w:val="right"/>
              <w:rPr>
                <w:rFonts w:ascii="Calibri" w:hAnsi="Calibri" w:cs="Calibri"/>
                <w:sz w:val="18"/>
              </w:rPr>
            </w:pPr>
            <w:r w:rsidRPr="005734B8">
              <w:rPr>
                <w:rFonts w:ascii="Calibri" w:hAnsi="Calibri" w:cs="Calibri"/>
                <w:sz w:val="18"/>
              </w:rPr>
              <w:t>Performance variation (%)</w:t>
            </w:r>
          </w:p>
        </w:tc>
        <w:tc>
          <w:tcPr>
            <w:tcW w:w="907" w:type="dxa"/>
            <w:tcBorders>
              <w:bottom w:val="single" w:sz="4" w:space="0" w:color="FFFFFF" w:themeColor="background1"/>
            </w:tcBorders>
            <w:shd w:val="clear" w:color="auto" w:fill="AF272F" w:themeFill="accent4"/>
          </w:tcPr>
          <w:p w14:paraId="0F081E21" w14:textId="77777777" w:rsidR="0054488D" w:rsidRPr="005734B8" w:rsidRDefault="0054488D" w:rsidP="000C192E">
            <w:pPr>
              <w:pStyle w:val="ESTableheadingwhite"/>
              <w:keepNext/>
              <w:jc w:val="right"/>
              <w:rPr>
                <w:rFonts w:ascii="Calibri" w:hAnsi="Calibri" w:cs="Calibri"/>
                <w:sz w:val="18"/>
              </w:rPr>
            </w:pPr>
            <w:r w:rsidRPr="005734B8">
              <w:rPr>
                <w:rFonts w:ascii="Calibri" w:hAnsi="Calibri" w:cs="Calibri"/>
                <w:sz w:val="18"/>
              </w:rPr>
              <w:t>Result</w:t>
            </w:r>
          </w:p>
        </w:tc>
      </w:tr>
      <w:bookmarkEnd w:id="169"/>
      <w:tr w:rsidR="0054488D" w:rsidRPr="005734B8" w14:paraId="4F44D365" w14:textId="77777777" w:rsidTr="006934F1">
        <w:trPr>
          <w:cantSplit/>
        </w:trPr>
        <w:tc>
          <w:tcPr>
            <w:tcW w:w="9010" w:type="dxa"/>
            <w:gridSpan w:val="9"/>
            <w:tcBorders>
              <w:bottom w:val="single" w:sz="4" w:space="0" w:color="53565A" w:themeColor="accent5"/>
            </w:tcBorders>
            <w:shd w:val="clear" w:color="auto" w:fill="53565A" w:themeFill="accent5"/>
          </w:tcPr>
          <w:p w14:paraId="3AFE77C0" w14:textId="77777777" w:rsidR="0054488D" w:rsidRPr="005734B8" w:rsidRDefault="0054488D" w:rsidP="000C192E">
            <w:pPr>
              <w:pStyle w:val="W1"/>
              <w:keepNext/>
              <w:rPr>
                <w:rFonts w:ascii="Calibri" w:hAnsi="Calibri" w:cs="Calibri"/>
                <w:sz w:val="18"/>
              </w:rPr>
            </w:pPr>
            <w:r w:rsidRPr="005734B8">
              <w:rPr>
                <w:rFonts w:ascii="Calibri" w:hAnsi="Calibri" w:cs="Calibri"/>
                <w:sz w:val="18"/>
              </w:rPr>
              <w:t>Quantity</w:t>
            </w:r>
          </w:p>
        </w:tc>
      </w:tr>
      <w:tr w:rsidR="0054488D" w:rsidRPr="005734B8" w14:paraId="6EA9DC2C" w14:textId="77777777" w:rsidTr="006934F1">
        <w:trPr>
          <w:cantSplit/>
        </w:trPr>
        <w:tc>
          <w:tcPr>
            <w:tcW w:w="2886" w:type="dxa"/>
            <w:gridSpan w:val="2"/>
            <w:tcBorders>
              <w:top w:val="single" w:sz="4" w:space="0" w:color="53565A" w:themeColor="accent5"/>
              <w:bottom w:val="single" w:sz="4" w:space="0" w:color="53565A" w:themeColor="accent5"/>
            </w:tcBorders>
            <w:shd w:val="clear" w:color="auto" w:fill="auto"/>
          </w:tcPr>
          <w:p w14:paraId="1E6EB0F2" w14:textId="77777777" w:rsidR="0054488D" w:rsidRPr="005734B8" w:rsidRDefault="0054488D" w:rsidP="000C192E">
            <w:pPr>
              <w:pStyle w:val="ESTablebody"/>
              <w:rPr>
                <w:rFonts w:ascii="Calibri" w:hAnsi="Calibri" w:cs="Calibri"/>
                <w:sz w:val="18"/>
                <w:szCs w:val="16"/>
              </w:rPr>
            </w:pPr>
            <w:r w:rsidRPr="005734B8">
              <w:rPr>
                <w:rFonts w:ascii="Calibri" w:hAnsi="Calibri" w:cs="Calibri"/>
                <w:sz w:val="18"/>
                <w:szCs w:val="16"/>
              </w:rPr>
              <w:t>Number of RTO quality audits and school reviews undertaken annually</w:t>
            </w:r>
          </w:p>
        </w:tc>
        <w:tc>
          <w:tcPr>
            <w:tcW w:w="1135" w:type="dxa"/>
            <w:tcBorders>
              <w:top w:val="single" w:sz="4" w:space="0" w:color="53565A" w:themeColor="accent5"/>
              <w:bottom w:val="single" w:sz="4" w:space="0" w:color="53565A" w:themeColor="accent5"/>
            </w:tcBorders>
            <w:shd w:val="clear" w:color="auto" w:fill="auto"/>
          </w:tcPr>
          <w:p w14:paraId="1786F2EE" w14:textId="77777777" w:rsidR="0054488D" w:rsidRPr="005734B8" w:rsidRDefault="0054488D" w:rsidP="000C192E">
            <w:pPr>
              <w:pStyle w:val="ESTablebody"/>
              <w:rPr>
                <w:rFonts w:ascii="Calibri" w:hAnsi="Calibri" w:cs="Calibri"/>
                <w:sz w:val="18"/>
                <w:szCs w:val="16"/>
              </w:rPr>
            </w:pPr>
            <w:r w:rsidRPr="005734B8">
              <w:rPr>
                <w:rFonts w:ascii="Calibri" w:hAnsi="Calibri" w:cs="Calibri"/>
                <w:sz w:val="18"/>
                <w:szCs w:val="16"/>
              </w:rPr>
              <w:t>number</w:t>
            </w:r>
          </w:p>
        </w:tc>
        <w:tc>
          <w:tcPr>
            <w:tcW w:w="1113" w:type="dxa"/>
            <w:gridSpan w:val="2"/>
            <w:tcBorders>
              <w:top w:val="single" w:sz="4" w:space="0" w:color="53565A" w:themeColor="accent5"/>
              <w:bottom w:val="single" w:sz="4" w:space="0" w:color="53565A" w:themeColor="accent5"/>
            </w:tcBorders>
            <w:shd w:val="clear" w:color="auto" w:fill="D9D9D6" w:themeFill="accent1"/>
          </w:tcPr>
          <w:p w14:paraId="2F226516" w14:textId="13DD8A85" w:rsidR="0054488D" w:rsidRPr="005734B8" w:rsidRDefault="006D1AF5" w:rsidP="000C192E">
            <w:pPr>
              <w:pStyle w:val="ESTablenumberrightaligned"/>
              <w:rPr>
                <w:rFonts w:ascii="Calibri" w:hAnsi="Calibri" w:cs="Calibri"/>
                <w:sz w:val="18"/>
                <w:szCs w:val="16"/>
              </w:rPr>
            </w:pPr>
            <w:r w:rsidRPr="005734B8">
              <w:rPr>
                <w:rFonts w:ascii="Calibri" w:hAnsi="Calibri" w:cs="Calibri"/>
                <w:sz w:val="18"/>
                <w:szCs w:val="16"/>
              </w:rPr>
              <w:t>78</w:t>
            </w:r>
          </w:p>
        </w:tc>
        <w:tc>
          <w:tcPr>
            <w:tcW w:w="1338" w:type="dxa"/>
            <w:tcBorders>
              <w:top w:val="single" w:sz="4" w:space="0" w:color="53565A" w:themeColor="accent5"/>
              <w:bottom w:val="single" w:sz="4" w:space="0" w:color="53565A" w:themeColor="accent5"/>
            </w:tcBorders>
            <w:shd w:val="clear" w:color="auto" w:fill="FFFFFF" w:themeFill="background1"/>
          </w:tcPr>
          <w:p w14:paraId="558CC18D"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102</w:t>
            </w:r>
          </w:p>
        </w:tc>
        <w:tc>
          <w:tcPr>
            <w:tcW w:w="1631" w:type="dxa"/>
            <w:gridSpan w:val="2"/>
            <w:tcBorders>
              <w:top w:val="single" w:sz="4" w:space="0" w:color="53565A" w:themeColor="accent5"/>
              <w:bottom w:val="single" w:sz="4" w:space="0" w:color="53565A" w:themeColor="accent5"/>
            </w:tcBorders>
          </w:tcPr>
          <w:p w14:paraId="13EA1FC8" w14:textId="12098321"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w:t>
            </w:r>
            <w:r w:rsidR="006D1AF5" w:rsidRPr="005734B8">
              <w:rPr>
                <w:rFonts w:ascii="Calibri" w:hAnsi="Calibri" w:cs="Calibri"/>
                <w:sz w:val="18"/>
                <w:szCs w:val="16"/>
              </w:rPr>
              <w:t>23</w:t>
            </w:r>
            <w:r w:rsidRPr="005734B8">
              <w:rPr>
                <w:rFonts w:ascii="Calibri" w:hAnsi="Calibri" w:cs="Calibri"/>
                <w:sz w:val="18"/>
                <w:szCs w:val="16"/>
              </w:rPr>
              <w:t>.</w:t>
            </w:r>
            <w:r w:rsidR="006D1AF5" w:rsidRPr="005734B8">
              <w:rPr>
                <w:rFonts w:ascii="Calibri" w:hAnsi="Calibri" w:cs="Calibri"/>
                <w:sz w:val="18"/>
                <w:szCs w:val="16"/>
              </w:rPr>
              <w:t>5</w:t>
            </w:r>
          </w:p>
        </w:tc>
        <w:tc>
          <w:tcPr>
            <w:tcW w:w="907" w:type="dxa"/>
            <w:tcBorders>
              <w:top w:val="single" w:sz="4" w:space="0" w:color="53565A" w:themeColor="accent5"/>
              <w:bottom w:val="single" w:sz="4" w:space="0" w:color="53565A" w:themeColor="accent5"/>
            </w:tcBorders>
          </w:tcPr>
          <w:p w14:paraId="17D2022B" w14:textId="77777777" w:rsidR="0054488D" w:rsidRPr="005734B8" w:rsidRDefault="0054488D" w:rsidP="000C192E">
            <w:pPr>
              <w:pStyle w:val="ESTablenumberrightaligned"/>
              <w:rPr>
                <w:rFonts w:ascii="Calibri" w:hAnsi="Calibri" w:cs="Calibri"/>
                <w:sz w:val="18"/>
              </w:rPr>
            </w:pPr>
            <w:r w:rsidRPr="005734B8">
              <w:rPr>
                <w:rFonts w:ascii="Calibri" w:hAnsi="Calibri" w:cs="Calibri"/>
                <w:sz w:val="18"/>
                <w:lang w:val="en-AU"/>
              </w:rPr>
              <w:sym w:font="Wingdings" w:char="F06E"/>
            </w:r>
          </w:p>
        </w:tc>
      </w:tr>
      <w:tr w:rsidR="0054488D" w:rsidRPr="005734B8" w14:paraId="46D70AD7" w14:textId="77777777" w:rsidTr="006934F1">
        <w:trPr>
          <w:cantSplit/>
        </w:trPr>
        <w:tc>
          <w:tcPr>
            <w:tcW w:w="9010" w:type="dxa"/>
            <w:gridSpan w:val="9"/>
            <w:tcBorders>
              <w:top w:val="single" w:sz="4" w:space="0" w:color="53565A" w:themeColor="accent5"/>
              <w:bottom w:val="single" w:sz="4" w:space="0" w:color="53565A" w:themeColor="accent5"/>
            </w:tcBorders>
            <w:shd w:val="clear" w:color="auto" w:fill="auto"/>
          </w:tcPr>
          <w:p w14:paraId="057078CD" w14:textId="77777777" w:rsidR="0054488D" w:rsidRPr="005734B8" w:rsidRDefault="0054488D" w:rsidP="000C192E">
            <w:pPr>
              <w:pStyle w:val="ESTablebody"/>
              <w:rPr>
                <w:rFonts w:ascii="Calibri" w:hAnsi="Calibri" w:cs="Calibri"/>
                <w:i/>
                <w:iCs/>
                <w:color w:val="FF0000"/>
                <w:sz w:val="16"/>
              </w:rPr>
            </w:pPr>
            <w:r w:rsidRPr="005734B8">
              <w:rPr>
                <w:rFonts w:ascii="Calibri" w:hAnsi="Calibri" w:cs="Calibri"/>
                <w:i/>
                <w:sz w:val="16"/>
              </w:rPr>
              <w:t>The 2020</w:t>
            </w:r>
            <w:r w:rsidRPr="005734B8">
              <w:rPr>
                <w:rFonts w:ascii="Calibri" w:hAnsi="Calibri" w:cs="Calibri"/>
                <w:i/>
                <w:iCs/>
                <w:sz w:val="16"/>
              </w:rPr>
              <w:t>–</w:t>
            </w:r>
            <w:r w:rsidRPr="005734B8">
              <w:rPr>
                <w:rFonts w:ascii="Calibri" w:hAnsi="Calibri" w:cs="Calibri"/>
                <w:i/>
                <w:sz w:val="16"/>
              </w:rPr>
              <w:t xml:space="preserve">21 outcome is lower than the target due to the impact of </w:t>
            </w:r>
            <w:r w:rsidRPr="005734B8">
              <w:rPr>
                <w:rFonts w:ascii="Calibri" w:hAnsi="Calibri" w:cs="Calibri"/>
                <w:i/>
                <w:iCs/>
                <w:sz w:val="16"/>
              </w:rPr>
              <w:t xml:space="preserve">the </w:t>
            </w:r>
            <w:r w:rsidRPr="005734B8">
              <w:rPr>
                <w:rFonts w:ascii="Calibri" w:hAnsi="Calibri" w:cs="Calibri"/>
                <w:i/>
                <w:sz w:val="16"/>
              </w:rPr>
              <w:t xml:space="preserve">COVID-19 </w:t>
            </w:r>
            <w:r w:rsidRPr="005734B8">
              <w:rPr>
                <w:rFonts w:ascii="Calibri" w:hAnsi="Calibri" w:cs="Calibri"/>
                <w:i/>
                <w:iCs/>
                <w:sz w:val="16"/>
              </w:rPr>
              <w:t xml:space="preserve">pandemic </w:t>
            </w:r>
            <w:r w:rsidRPr="005734B8">
              <w:rPr>
                <w:rFonts w:ascii="Calibri" w:hAnsi="Calibri" w:cs="Calibri"/>
                <w:i/>
                <w:sz w:val="16"/>
              </w:rPr>
              <w:t>and the need to alleviate regulatory burden.</w:t>
            </w:r>
          </w:p>
        </w:tc>
      </w:tr>
      <w:tr w:rsidR="0054488D" w:rsidRPr="005734B8" w14:paraId="052C1B9D" w14:textId="77777777" w:rsidTr="006934F1">
        <w:trPr>
          <w:cantSplit/>
        </w:trPr>
        <w:tc>
          <w:tcPr>
            <w:tcW w:w="9010" w:type="dxa"/>
            <w:gridSpan w:val="9"/>
            <w:tcBorders>
              <w:top w:val="single" w:sz="4" w:space="0" w:color="53565A" w:themeColor="accent5"/>
              <w:bottom w:val="single" w:sz="4" w:space="0" w:color="53565A" w:themeColor="accent5"/>
            </w:tcBorders>
            <w:shd w:val="clear" w:color="auto" w:fill="53565A" w:themeFill="accent5"/>
          </w:tcPr>
          <w:p w14:paraId="42C7C70D" w14:textId="77777777" w:rsidR="0054488D" w:rsidRPr="005734B8" w:rsidRDefault="0054488D" w:rsidP="000C192E">
            <w:pPr>
              <w:pStyle w:val="T1"/>
              <w:rPr>
                <w:rFonts w:ascii="Calibri" w:hAnsi="Calibri" w:cs="Calibri"/>
                <w:sz w:val="18"/>
              </w:rPr>
            </w:pPr>
            <w:r w:rsidRPr="005734B8">
              <w:rPr>
                <w:rFonts w:ascii="Calibri" w:hAnsi="Calibri" w:cs="Calibri"/>
                <w:sz w:val="18"/>
              </w:rPr>
              <w:t>Quality</w:t>
            </w:r>
          </w:p>
        </w:tc>
      </w:tr>
      <w:tr w:rsidR="0054488D" w:rsidRPr="005734B8" w14:paraId="0F220612" w14:textId="77777777" w:rsidTr="006934F1">
        <w:trPr>
          <w:cantSplit/>
        </w:trPr>
        <w:tc>
          <w:tcPr>
            <w:tcW w:w="2886" w:type="dxa"/>
            <w:gridSpan w:val="2"/>
            <w:tcBorders>
              <w:top w:val="single" w:sz="4" w:space="0" w:color="53565A" w:themeColor="accent5"/>
              <w:bottom w:val="single" w:sz="4" w:space="0" w:color="53565A" w:themeColor="accent5"/>
            </w:tcBorders>
            <w:shd w:val="clear" w:color="auto" w:fill="auto"/>
          </w:tcPr>
          <w:p w14:paraId="082BFA01" w14:textId="77777777" w:rsidR="0054488D" w:rsidRPr="005734B8" w:rsidRDefault="0054488D" w:rsidP="000C192E">
            <w:pPr>
              <w:pStyle w:val="ESTablebody"/>
              <w:rPr>
                <w:rFonts w:ascii="Calibri" w:hAnsi="Calibri" w:cs="Calibri"/>
                <w:sz w:val="18"/>
              </w:rPr>
            </w:pPr>
            <w:r w:rsidRPr="005734B8">
              <w:rPr>
                <w:rFonts w:ascii="Calibri" w:hAnsi="Calibri" w:cs="Calibri"/>
                <w:sz w:val="18"/>
                <w:lang w:val="en-AU"/>
              </w:rPr>
              <w:t>Education peak bodies that rate the Victorian Registration and Qualifications Authority (VRQA) effective or highly effective in performing its regulatory function</w:t>
            </w:r>
          </w:p>
        </w:tc>
        <w:tc>
          <w:tcPr>
            <w:tcW w:w="1135" w:type="dxa"/>
            <w:tcBorders>
              <w:top w:val="single" w:sz="4" w:space="0" w:color="53565A" w:themeColor="accent5"/>
              <w:bottom w:val="single" w:sz="4" w:space="0" w:color="53565A" w:themeColor="accent5"/>
            </w:tcBorders>
            <w:shd w:val="clear" w:color="auto" w:fill="auto"/>
          </w:tcPr>
          <w:p w14:paraId="1A22B309" w14:textId="77777777" w:rsidR="0054488D" w:rsidRPr="005734B8" w:rsidRDefault="0054488D" w:rsidP="000C192E">
            <w:pPr>
              <w:pStyle w:val="ESTablebody"/>
              <w:rPr>
                <w:rFonts w:ascii="Calibri" w:hAnsi="Calibri" w:cs="Calibri"/>
                <w:sz w:val="18"/>
              </w:rPr>
            </w:pPr>
            <w:r w:rsidRPr="005734B8">
              <w:rPr>
                <w:rFonts w:ascii="Calibri" w:hAnsi="Calibri" w:cs="Calibri"/>
                <w:sz w:val="18"/>
              </w:rPr>
              <w:t>per cent</w:t>
            </w:r>
          </w:p>
        </w:tc>
        <w:tc>
          <w:tcPr>
            <w:tcW w:w="1113" w:type="dxa"/>
            <w:gridSpan w:val="2"/>
            <w:tcBorders>
              <w:top w:val="single" w:sz="4" w:space="0" w:color="53565A" w:themeColor="accent5"/>
              <w:bottom w:val="single" w:sz="4" w:space="0" w:color="53565A" w:themeColor="accent5"/>
            </w:tcBorders>
            <w:shd w:val="clear" w:color="auto" w:fill="D9D9D6" w:themeFill="accent1"/>
          </w:tcPr>
          <w:p w14:paraId="403B1C5D"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94</w:t>
            </w:r>
          </w:p>
        </w:tc>
        <w:tc>
          <w:tcPr>
            <w:tcW w:w="1338" w:type="dxa"/>
            <w:tcBorders>
              <w:top w:val="single" w:sz="4" w:space="0" w:color="53565A" w:themeColor="accent5"/>
              <w:bottom w:val="single" w:sz="4" w:space="0" w:color="53565A" w:themeColor="accent5"/>
            </w:tcBorders>
            <w:shd w:val="clear" w:color="auto" w:fill="FFFFFF" w:themeFill="background1"/>
          </w:tcPr>
          <w:p w14:paraId="36BBE930"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90</w:t>
            </w:r>
          </w:p>
        </w:tc>
        <w:tc>
          <w:tcPr>
            <w:tcW w:w="1631" w:type="dxa"/>
            <w:gridSpan w:val="2"/>
            <w:tcBorders>
              <w:top w:val="single" w:sz="4" w:space="0" w:color="53565A" w:themeColor="accent5"/>
              <w:bottom w:val="single" w:sz="4" w:space="0" w:color="53565A" w:themeColor="accent5"/>
            </w:tcBorders>
          </w:tcPr>
          <w:p w14:paraId="61EDA243"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4.4</w:t>
            </w:r>
          </w:p>
        </w:tc>
        <w:tc>
          <w:tcPr>
            <w:tcW w:w="907" w:type="dxa"/>
            <w:tcBorders>
              <w:top w:val="single" w:sz="4" w:space="0" w:color="53565A" w:themeColor="accent5"/>
              <w:bottom w:val="single" w:sz="4" w:space="0" w:color="53565A" w:themeColor="accent5"/>
            </w:tcBorders>
          </w:tcPr>
          <w:p w14:paraId="7476DDA5" w14:textId="77777777" w:rsidR="0054488D" w:rsidRPr="005734B8" w:rsidRDefault="0054488D" w:rsidP="000C192E">
            <w:pPr>
              <w:pStyle w:val="ESTablenumberrightaligned"/>
              <w:rPr>
                <w:rFonts w:ascii="Calibri" w:hAnsi="Calibri" w:cs="Calibri"/>
                <w:sz w:val="18"/>
              </w:rPr>
            </w:pPr>
            <w:r w:rsidRPr="005734B8">
              <w:rPr>
                <w:rFonts w:ascii="Calibri" w:hAnsi="Calibri" w:cs="Calibri"/>
                <w:sz w:val="18"/>
                <w:lang w:val="en-AU"/>
              </w:rPr>
              <w:sym w:font="Wingdings" w:char="F0FC"/>
            </w:r>
          </w:p>
        </w:tc>
      </w:tr>
      <w:tr w:rsidR="0054488D" w:rsidRPr="005734B8" w14:paraId="32363767" w14:textId="77777777" w:rsidTr="006934F1">
        <w:trPr>
          <w:cantSplit/>
        </w:trPr>
        <w:tc>
          <w:tcPr>
            <w:tcW w:w="9010" w:type="dxa"/>
            <w:gridSpan w:val="9"/>
            <w:tcBorders>
              <w:top w:val="single" w:sz="4" w:space="0" w:color="53565A" w:themeColor="accent5"/>
              <w:bottom w:val="single" w:sz="4" w:space="0" w:color="53565A" w:themeColor="accent5"/>
            </w:tcBorders>
            <w:shd w:val="clear" w:color="auto" w:fill="auto"/>
          </w:tcPr>
          <w:p w14:paraId="274F8F39" w14:textId="77777777" w:rsidR="0054488D" w:rsidRPr="005734B8" w:rsidRDefault="0054488D" w:rsidP="000C192E">
            <w:pPr>
              <w:pStyle w:val="ESTablebody"/>
              <w:rPr>
                <w:rFonts w:ascii="Calibri" w:hAnsi="Calibri" w:cs="Calibri"/>
                <w:i/>
                <w:iCs/>
                <w:color w:val="FF0000"/>
                <w:sz w:val="16"/>
              </w:rPr>
            </w:pPr>
            <w:r w:rsidRPr="005734B8">
              <w:rPr>
                <w:rFonts w:ascii="Calibri" w:hAnsi="Calibri" w:cs="Calibri"/>
                <w:i/>
                <w:sz w:val="16"/>
              </w:rPr>
              <w:t xml:space="preserve">The above performance measure relates to the calendar year. </w:t>
            </w:r>
          </w:p>
        </w:tc>
      </w:tr>
      <w:tr w:rsidR="0054488D" w:rsidRPr="005734B8" w14:paraId="02B19BD0" w14:textId="77777777" w:rsidTr="006934F1">
        <w:trPr>
          <w:cantSplit/>
        </w:trPr>
        <w:tc>
          <w:tcPr>
            <w:tcW w:w="2886" w:type="dxa"/>
            <w:gridSpan w:val="2"/>
            <w:tcBorders>
              <w:top w:val="single" w:sz="4" w:space="0" w:color="53565A" w:themeColor="accent5"/>
              <w:bottom w:val="single" w:sz="4" w:space="0" w:color="53565A" w:themeColor="accent5"/>
            </w:tcBorders>
            <w:shd w:val="clear" w:color="auto" w:fill="auto"/>
          </w:tcPr>
          <w:p w14:paraId="64F83F03" w14:textId="77777777" w:rsidR="0054488D" w:rsidRPr="005734B8" w:rsidRDefault="0054488D" w:rsidP="000C192E">
            <w:pPr>
              <w:pStyle w:val="ESTablebody"/>
              <w:rPr>
                <w:rFonts w:ascii="Calibri" w:hAnsi="Calibri" w:cs="Calibri"/>
                <w:sz w:val="18"/>
              </w:rPr>
            </w:pPr>
            <w:r w:rsidRPr="005734B8">
              <w:rPr>
                <w:rFonts w:ascii="Calibri" w:hAnsi="Calibri" w:cs="Calibri"/>
                <w:sz w:val="18"/>
                <w:lang w:val="en-AU"/>
              </w:rPr>
              <w:t>Regulated schools and RTOs that rate the VRQA effective or highly effective in performing its regulatory function</w:t>
            </w:r>
          </w:p>
        </w:tc>
        <w:tc>
          <w:tcPr>
            <w:tcW w:w="1135" w:type="dxa"/>
            <w:tcBorders>
              <w:top w:val="single" w:sz="4" w:space="0" w:color="53565A" w:themeColor="accent5"/>
              <w:bottom w:val="single" w:sz="4" w:space="0" w:color="53565A" w:themeColor="accent5"/>
            </w:tcBorders>
            <w:shd w:val="clear" w:color="auto" w:fill="auto"/>
          </w:tcPr>
          <w:p w14:paraId="229632B4" w14:textId="77777777" w:rsidR="0054488D" w:rsidRPr="005734B8" w:rsidRDefault="0054488D" w:rsidP="000C192E">
            <w:pPr>
              <w:pStyle w:val="ESTablebody"/>
              <w:rPr>
                <w:rFonts w:ascii="Calibri" w:hAnsi="Calibri" w:cs="Calibri"/>
                <w:sz w:val="18"/>
                <w:szCs w:val="16"/>
              </w:rPr>
            </w:pPr>
            <w:r w:rsidRPr="005734B8">
              <w:rPr>
                <w:rFonts w:ascii="Calibri" w:hAnsi="Calibri" w:cs="Calibri"/>
                <w:sz w:val="18"/>
                <w:szCs w:val="16"/>
              </w:rPr>
              <w:t>per cent</w:t>
            </w:r>
          </w:p>
        </w:tc>
        <w:tc>
          <w:tcPr>
            <w:tcW w:w="1113" w:type="dxa"/>
            <w:gridSpan w:val="2"/>
            <w:tcBorders>
              <w:top w:val="single" w:sz="4" w:space="0" w:color="53565A" w:themeColor="accent5"/>
              <w:bottom w:val="single" w:sz="4" w:space="0" w:color="53565A" w:themeColor="accent5"/>
            </w:tcBorders>
            <w:shd w:val="clear" w:color="auto" w:fill="D9D9D6" w:themeFill="accent1"/>
          </w:tcPr>
          <w:p w14:paraId="7723EA58"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94</w:t>
            </w:r>
          </w:p>
        </w:tc>
        <w:tc>
          <w:tcPr>
            <w:tcW w:w="1338" w:type="dxa"/>
            <w:tcBorders>
              <w:top w:val="single" w:sz="4" w:space="0" w:color="53565A" w:themeColor="accent5"/>
              <w:bottom w:val="single" w:sz="4" w:space="0" w:color="53565A" w:themeColor="accent5"/>
            </w:tcBorders>
            <w:shd w:val="clear" w:color="auto" w:fill="FFFFFF" w:themeFill="background1"/>
          </w:tcPr>
          <w:p w14:paraId="37E232B2"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90</w:t>
            </w:r>
          </w:p>
        </w:tc>
        <w:tc>
          <w:tcPr>
            <w:tcW w:w="1631" w:type="dxa"/>
            <w:gridSpan w:val="2"/>
            <w:tcBorders>
              <w:top w:val="single" w:sz="4" w:space="0" w:color="53565A" w:themeColor="accent5"/>
              <w:bottom w:val="single" w:sz="4" w:space="0" w:color="53565A" w:themeColor="accent5"/>
            </w:tcBorders>
          </w:tcPr>
          <w:p w14:paraId="7BBFB2E6"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4.4</w:t>
            </w:r>
          </w:p>
        </w:tc>
        <w:tc>
          <w:tcPr>
            <w:tcW w:w="907" w:type="dxa"/>
            <w:tcBorders>
              <w:top w:val="single" w:sz="4" w:space="0" w:color="53565A" w:themeColor="accent5"/>
              <w:bottom w:val="single" w:sz="4" w:space="0" w:color="53565A" w:themeColor="accent5"/>
            </w:tcBorders>
          </w:tcPr>
          <w:p w14:paraId="043F1267" w14:textId="77777777" w:rsidR="0054488D" w:rsidRPr="005734B8" w:rsidRDefault="0054488D" w:rsidP="000C192E">
            <w:pPr>
              <w:pStyle w:val="ESTablenumberrightaligned"/>
              <w:rPr>
                <w:rFonts w:ascii="Calibri" w:hAnsi="Calibri" w:cs="Calibri"/>
                <w:sz w:val="18"/>
              </w:rPr>
            </w:pPr>
            <w:r w:rsidRPr="005734B8">
              <w:rPr>
                <w:rFonts w:ascii="Calibri" w:hAnsi="Calibri" w:cs="Calibri"/>
                <w:sz w:val="18"/>
                <w:lang w:val="en-AU"/>
              </w:rPr>
              <w:sym w:font="Wingdings" w:char="F0FC"/>
            </w:r>
          </w:p>
        </w:tc>
      </w:tr>
      <w:tr w:rsidR="0054488D" w:rsidRPr="005734B8" w14:paraId="611F0E9B" w14:textId="77777777" w:rsidTr="006934F1">
        <w:trPr>
          <w:cantSplit/>
        </w:trPr>
        <w:tc>
          <w:tcPr>
            <w:tcW w:w="9010" w:type="dxa"/>
            <w:gridSpan w:val="9"/>
            <w:tcBorders>
              <w:top w:val="single" w:sz="4" w:space="0" w:color="53565A" w:themeColor="accent5"/>
              <w:bottom w:val="single" w:sz="4" w:space="0" w:color="53565A" w:themeColor="accent5"/>
            </w:tcBorders>
            <w:shd w:val="clear" w:color="auto" w:fill="auto"/>
          </w:tcPr>
          <w:p w14:paraId="72B33C59" w14:textId="77777777" w:rsidR="0054488D" w:rsidRPr="005734B8" w:rsidRDefault="0054488D" w:rsidP="000C192E">
            <w:pPr>
              <w:pStyle w:val="ESTablenumberrightaligned"/>
              <w:jc w:val="left"/>
              <w:rPr>
                <w:rFonts w:ascii="Calibri" w:hAnsi="Calibri" w:cs="Calibri"/>
                <w:i/>
                <w:sz w:val="16"/>
              </w:rPr>
            </w:pPr>
            <w:r w:rsidRPr="005734B8">
              <w:rPr>
                <w:rFonts w:ascii="Calibri" w:hAnsi="Calibri" w:cs="Calibri"/>
                <w:i/>
                <w:sz w:val="16"/>
              </w:rPr>
              <w:t xml:space="preserve">The above performance measure relates to the calendar year. </w:t>
            </w:r>
          </w:p>
        </w:tc>
      </w:tr>
      <w:tr w:rsidR="0054488D" w:rsidRPr="005734B8" w14:paraId="4ED2CA46" w14:textId="77777777" w:rsidTr="006934F1">
        <w:trPr>
          <w:cantSplit/>
        </w:trPr>
        <w:tc>
          <w:tcPr>
            <w:tcW w:w="2886" w:type="dxa"/>
            <w:gridSpan w:val="2"/>
            <w:tcBorders>
              <w:top w:val="single" w:sz="4" w:space="0" w:color="53565A" w:themeColor="accent5"/>
              <w:bottom w:val="single" w:sz="4" w:space="0" w:color="53565A" w:themeColor="accent5"/>
            </w:tcBorders>
            <w:shd w:val="clear" w:color="auto" w:fill="auto"/>
          </w:tcPr>
          <w:p w14:paraId="7F802CD7" w14:textId="77777777" w:rsidR="0054488D" w:rsidRPr="005734B8" w:rsidRDefault="0054488D" w:rsidP="000C192E">
            <w:pPr>
              <w:pStyle w:val="ESTablebody"/>
              <w:rPr>
                <w:rFonts w:ascii="Calibri" w:hAnsi="Calibri" w:cs="Calibri"/>
                <w:sz w:val="18"/>
              </w:rPr>
            </w:pPr>
            <w:r w:rsidRPr="005734B8">
              <w:rPr>
                <w:rFonts w:ascii="Calibri" w:hAnsi="Calibri" w:cs="Calibri"/>
                <w:sz w:val="18"/>
                <w:lang w:val="en-AU"/>
              </w:rPr>
              <w:t>Percentage of government schools where an enrolment audit is conducted</w:t>
            </w:r>
          </w:p>
        </w:tc>
        <w:tc>
          <w:tcPr>
            <w:tcW w:w="1135" w:type="dxa"/>
            <w:tcBorders>
              <w:top w:val="single" w:sz="4" w:space="0" w:color="53565A" w:themeColor="accent5"/>
              <w:bottom w:val="single" w:sz="4" w:space="0" w:color="53565A" w:themeColor="accent5"/>
            </w:tcBorders>
            <w:shd w:val="clear" w:color="auto" w:fill="auto"/>
          </w:tcPr>
          <w:p w14:paraId="734540D1" w14:textId="77777777" w:rsidR="0054488D" w:rsidRPr="005734B8" w:rsidRDefault="0054488D" w:rsidP="000C192E">
            <w:pPr>
              <w:pStyle w:val="ESTablebody"/>
              <w:rPr>
                <w:rFonts w:ascii="Calibri" w:hAnsi="Calibri" w:cs="Calibri"/>
                <w:sz w:val="18"/>
              </w:rPr>
            </w:pPr>
            <w:r w:rsidRPr="005734B8">
              <w:rPr>
                <w:rFonts w:ascii="Calibri" w:hAnsi="Calibri" w:cs="Calibri"/>
                <w:sz w:val="18"/>
                <w:lang w:val="en-AU"/>
              </w:rPr>
              <w:t>per cent</w:t>
            </w:r>
          </w:p>
        </w:tc>
        <w:tc>
          <w:tcPr>
            <w:tcW w:w="1113" w:type="dxa"/>
            <w:gridSpan w:val="2"/>
            <w:tcBorders>
              <w:top w:val="single" w:sz="4" w:space="0" w:color="53565A" w:themeColor="accent5"/>
              <w:bottom w:val="single" w:sz="4" w:space="0" w:color="53565A" w:themeColor="accent5"/>
            </w:tcBorders>
            <w:shd w:val="clear" w:color="auto" w:fill="D9D9D6" w:themeFill="accent1"/>
          </w:tcPr>
          <w:p w14:paraId="42D496EC"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11.3</w:t>
            </w:r>
          </w:p>
        </w:tc>
        <w:tc>
          <w:tcPr>
            <w:tcW w:w="1338" w:type="dxa"/>
            <w:tcBorders>
              <w:top w:val="single" w:sz="4" w:space="0" w:color="53565A" w:themeColor="accent5"/>
              <w:bottom w:val="single" w:sz="4" w:space="0" w:color="53565A" w:themeColor="accent5"/>
            </w:tcBorders>
            <w:shd w:val="clear" w:color="auto" w:fill="FFFFFF" w:themeFill="background1"/>
          </w:tcPr>
          <w:p w14:paraId="70AEC575"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32.5</w:t>
            </w:r>
          </w:p>
        </w:tc>
        <w:tc>
          <w:tcPr>
            <w:tcW w:w="1631" w:type="dxa"/>
            <w:gridSpan w:val="2"/>
            <w:tcBorders>
              <w:top w:val="single" w:sz="4" w:space="0" w:color="53565A" w:themeColor="accent5"/>
              <w:bottom w:val="single" w:sz="4" w:space="0" w:color="53565A" w:themeColor="accent5"/>
            </w:tcBorders>
          </w:tcPr>
          <w:p w14:paraId="7BD9FEA7"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–65.2</w:t>
            </w:r>
          </w:p>
        </w:tc>
        <w:tc>
          <w:tcPr>
            <w:tcW w:w="907" w:type="dxa"/>
            <w:tcBorders>
              <w:top w:val="single" w:sz="4" w:space="0" w:color="53565A" w:themeColor="accent5"/>
              <w:bottom w:val="single" w:sz="4" w:space="0" w:color="53565A" w:themeColor="accent5"/>
            </w:tcBorders>
          </w:tcPr>
          <w:p w14:paraId="750B5542" w14:textId="77777777" w:rsidR="0054488D" w:rsidRPr="005734B8" w:rsidRDefault="0054488D" w:rsidP="000C192E">
            <w:pPr>
              <w:pStyle w:val="ESTablenumberrightaligned"/>
              <w:rPr>
                <w:rFonts w:ascii="Calibri" w:hAnsi="Calibri" w:cs="Calibri"/>
                <w:sz w:val="18"/>
              </w:rPr>
            </w:pPr>
            <w:r w:rsidRPr="005734B8">
              <w:rPr>
                <w:rFonts w:ascii="Calibri" w:hAnsi="Calibri" w:cs="Calibri"/>
                <w:sz w:val="18"/>
                <w:lang w:val="en-AU"/>
              </w:rPr>
              <w:sym w:font="Wingdings" w:char="F06E"/>
            </w:r>
          </w:p>
        </w:tc>
      </w:tr>
      <w:tr w:rsidR="0054488D" w:rsidRPr="005734B8" w14:paraId="22ED546E" w14:textId="77777777" w:rsidTr="006934F1">
        <w:trPr>
          <w:cantSplit/>
        </w:trPr>
        <w:tc>
          <w:tcPr>
            <w:tcW w:w="9010" w:type="dxa"/>
            <w:gridSpan w:val="9"/>
            <w:tcBorders>
              <w:top w:val="single" w:sz="4" w:space="0" w:color="53565A" w:themeColor="accent5"/>
              <w:bottom w:val="single" w:sz="4" w:space="0" w:color="53565A" w:themeColor="accent5"/>
            </w:tcBorders>
            <w:shd w:val="clear" w:color="auto" w:fill="auto"/>
          </w:tcPr>
          <w:p w14:paraId="07A6BEAB" w14:textId="77E904FE" w:rsidR="0054488D" w:rsidRPr="005734B8" w:rsidRDefault="0054488D" w:rsidP="000C192E">
            <w:pPr>
              <w:pStyle w:val="ESTablenumberrightaligned"/>
              <w:jc w:val="left"/>
              <w:rPr>
                <w:rFonts w:ascii="Calibri" w:hAnsi="Calibri" w:cs="Calibri"/>
                <w:i/>
                <w:sz w:val="16"/>
              </w:rPr>
            </w:pPr>
            <w:r w:rsidRPr="005734B8">
              <w:rPr>
                <w:rFonts w:ascii="Calibri" w:hAnsi="Calibri" w:cs="Calibri"/>
                <w:i/>
                <w:sz w:val="16"/>
                <w:szCs w:val="20"/>
              </w:rPr>
              <w:t xml:space="preserve">The above performance measure </w:t>
            </w:r>
            <w:r w:rsidRPr="005734B8">
              <w:rPr>
                <w:rFonts w:ascii="Calibri" w:hAnsi="Calibri" w:cs="Calibri"/>
                <w:i/>
                <w:sz w:val="16"/>
              </w:rPr>
              <w:t xml:space="preserve">relates </w:t>
            </w:r>
            <w:r w:rsidR="00B26A77" w:rsidRPr="005734B8">
              <w:rPr>
                <w:rFonts w:ascii="Calibri" w:hAnsi="Calibri" w:cs="Calibri"/>
                <w:i/>
                <w:sz w:val="16"/>
              </w:rPr>
              <w:t>to the calendar year. The 2020–21 outcome is lower than the target because of fewer approved audits being conducted due to the COVID-19 pandemic</w:t>
            </w:r>
            <w:r w:rsidRPr="005734B8">
              <w:rPr>
                <w:rFonts w:ascii="Calibri" w:hAnsi="Calibri" w:cs="Calibri"/>
                <w:i/>
                <w:sz w:val="16"/>
              </w:rPr>
              <w:t>.</w:t>
            </w:r>
          </w:p>
        </w:tc>
      </w:tr>
      <w:tr w:rsidR="0054488D" w:rsidRPr="005734B8" w14:paraId="1A82508D" w14:textId="77777777" w:rsidTr="006934F1">
        <w:trPr>
          <w:cantSplit/>
        </w:trPr>
        <w:tc>
          <w:tcPr>
            <w:tcW w:w="9010" w:type="dxa"/>
            <w:gridSpan w:val="9"/>
            <w:tcBorders>
              <w:top w:val="single" w:sz="4" w:space="0" w:color="53565A" w:themeColor="accent5"/>
              <w:bottom w:val="single" w:sz="4" w:space="0" w:color="53565A" w:themeColor="accent5"/>
            </w:tcBorders>
            <w:shd w:val="clear" w:color="auto" w:fill="53565A" w:themeFill="accent5"/>
          </w:tcPr>
          <w:p w14:paraId="05CCBD2E" w14:textId="77777777" w:rsidR="0054488D" w:rsidRPr="005734B8" w:rsidRDefault="0054488D" w:rsidP="000C192E">
            <w:pPr>
              <w:pStyle w:val="ESTableheading"/>
              <w:rPr>
                <w:rFonts w:ascii="Calibri" w:hAnsi="Calibri" w:cs="Calibri"/>
                <w:sz w:val="18"/>
              </w:rPr>
            </w:pPr>
            <w:r w:rsidRPr="005734B8">
              <w:rPr>
                <w:rFonts w:ascii="Calibri" w:hAnsi="Calibri" w:cs="Calibri"/>
                <w:sz w:val="18"/>
              </w:rPr>
              <w:lastRenderedPageBreak/>
              <w:t>Cost</w:t>
            </w:r>
          </w:p>
        </w:tc>
      </w:tr>
      <w:tr w:rsidR="0054488D" w:rsidRPr="005734B8" w14:paraId="1C4ACF95" w14:textId="77777777" w:rsidTr="006934F1">
        <w:trPr>
          <w:cantSplit/>
        </w:trPr>
        <w:tc>
          <w:tcPr>
            <w:tcW w:w="2886" w:type="dxa"/>
            <w:gridSpan w:val="2"/>
            <w:tcBorders>
              <w:top w:val="single" w:sz="4" w:space="0" w:color="53565A" w:themeColor="accent5"/>
              <w:bottom w:val="single" w:sz="4" w:space="0" w:color="53565A" w:themeColor="accent5"/>
            </w:tcBorders>
            <w:shd w:val="clear" w:color="auto" w:fill="auto"/>
          </w:tcPr>
          <w:p w14:paraId="1458E59A" w14:textId="6FD31AD9" w:rsidR="0054488D" w:rsidRPr="005734B8" w:rsidRDefault="0054488D" w:rsidP="000C192E">
            <w:pPr>
              <w:pStyle w:val="ESTablebody"/>
              <w:rPr>
                <w:rFonts w:ascii="Calibri" w:hAnsi="Calibri" w:cs="Calibri"/>
                <w:sz w:val="18"/>
              </w:rPr>
            </w:pPr>
            <w:bookmarkStart w:id="177" w:name="_Hlk80711567"/>
            <w:r w:rsidRPr="005734B8">
              <w:rPr>
                <w:rFonts w:ascii="Calibri" w:hAnsi="Calibri" w:cs="Calibri"/>
                <w:sz w:val="18"/>
                <w:lang w:val="en-AU"/>
              </w:rPr>
              <w:t xml:space="preserve">Total </w:t>
            </w:r>
            <w:bookmarkStart w:id="178" w:name="_Hlk80711604"/>
            <w:r w:rsidRPr="005734B8">
              <w:rPr>
                <w:rFonts w:ascii="Calibri" w:hAnsi="Calibri" w:cs="Calibri"/>
                <w:sz w:val="18"/>
                <w:lang w:val="en-AU"/>
              </w:rPr>
              <w:t>output cost</w:t>
            </w:r>
            <w:bookmarkEnd w:id="178"/>
          </w:p>
        </w:tc>
        <w:tc>
          <w:tcPr>
            <w:tcW w:w="1135" w:type="dxa"/>
            <w:tcBorders>
              <w:top w:val="single" w:sz="4" w:space="0" w:color="53565A" w:themeColor="accent5"/>
              <w:bottom w:val="single" w:sz="4" w:space="0" w:color="53565A" w:themeColor="accent5"/>
            </w:tcBorders>
            <w:shd w:val="clear" w:color="auto" w:fill="auto"/>
          </w:tcPr>
          <w:p w14:paraId="316CF726" w14:textId="77777777" w:rsidR="0054488D" w:rsidRPr="005734B8" w:rsidRDefault="0054488D" w:rsidP="000C192E">
            <w:pPr>
              <w:pStyle w:val="ESTablebody"/>
              <w:rPr>
                <w:rFonts w:ascii="Calibri" w:hAnsi="Calibri" w:cs="Calibri"/>
                <w:sz w:val="18"/>
              </w:rPr>
            </w:pPr>
            <w:r w:rsidRPr="005734B8">
              <w:rPr>
                <w:rFonts w:ascii="Calibri" w:hAnsi="Calibri" w:cs="Calibri"/>
                <w:sz w:val="18"/>
                <w:lang w:val="en-AU"/>
              </w:rPr>
              <w:t>$ million</w:t>
            </w:r>
          </w:p>
        </w:tc>
        <w:tc>
          <w:tcPr>
            <w:tcW w:w="1113" w:type="dxa"/>
            <w:gridSpan w:val="2"/>
            <w:tcBorders>
              <w:top w:val="single" w:sz="4" w:space="0" w:color="53565A" w:themeColor="accent5"/>
              <w:bottom w:val="single" w:sz="4" w:space="0" w:color="53565A" w:themeColor="accent5"/>
            </w:tcBorders>
            <w:shd w:val="clear" w:color="auto" w:fill="D9D9D6" w:themeFill="accent1"/>
          </w:tcPr>
          <w:p w14:paraId="3C523B1B" w14:textId="4D84A01D" w:rsidR="0054488D" w:rsidRPr="005734B8" w:rsidRDefault="0054488D" w:rsidP="000C192E">
            <w:pPr>
              <w:pStyle w:val="ESTablenumberrightaligned"/>
              <w:rPr>
                <w:rFonts w:ascii="Calibri" w:hAnsi="Calibri" w:cs="Calibri"/>
                <w:sz w:val="18"/>
              </w:rPr>
            </w:pPr>
            <w:r w:rsidRPr="005734B8">
              <w:rPr>
                <w:rFonts w:ascii="Calibri" w:hAnsi="Calibri" w:cs="Calibri"/>
                <w:sz w:val="18"/>
              </w:rPr>
              <w:t>11</w:t>
            </w:r>
            <w:r w:rsidR="00AE0986" w:rsidRPr="005734B8">
              <w:rPr>
                <w:rFonts w:ascii="Calibri" w:hAnsi="Calibri" w:cs="Calibri"/>
                <w:sz w:val="18"/>
              </w:rPr>
              <w:t>5</w:t>
            </w:r>
            <w:r w:rsidRPr="005734B8">
              <w:rPr>
                <w:rFonts w:ascii="Calibri" w:hAnsi="Calibri" w:cs="Calibri"/>
                <w:sz w:val="18"/>
              </w:rPr>
              <w:t>.3</w:t>
            </w:r>
          </w:p>
        </w:tc>
        <w:tc>
          <w:tcPr>
            <w:tcW w:w="1338" w:type="dxa"/>
            <w:tcBorders>
              <w:top w:val="single" w:sz="4" w:space="0" w:color="53565A" w:themeColor="accent5"/>
              <w:bottom w:val="single" w:sz="4" w:space="0" w:color="53565A" w:themeColor="accent5"/>
            </w:tcBorders>
            <w:shd w:val="clear" w:color="auto" w:fill="FFFFFF" w:themeFill="background1"/>
          </w:tcPr>
          <w:p w14:paraId="39B24D88" w14:textId="77777777" w:rsidR="0054488D" w:rsidRPr="005734B8" w:rsidRDefault="0054488D" w:rsidP="000C192E">
            <w:pPr>
              <w:pStyle w:val="ESTablenumberrightaligned"/>
              <w:rPr>
                <w:rFonts w:ascii="Calibri" w:hAnsi="Calibri" w:cs="Calibri"/>
                <w:sz w:val="18"/>
              </w:rPr>
            </w:pPr>
            <w:r w:rsidRPr="005734B8">
              <w:rPr>
                <w:rFonts w:ascii="Calibri" w:hAnsi="Calibri" w:cs="Calibri"/>
                <w:sz w:val="18"/>
              </w:rPr>
              <w:t>118.4</w:t>
            </w:r>
          </w:p>
        </w:tc>
        <w:tc>
          <w:tcPr>
            <w:tcW w:w="1631" w:type="dxa"/>
            <w:gridSpan w:val="2"/>
            <w:tcBorders>
              <w:top w:val="single" w:sz="4" w:space="0" w:color="53565A" w:themeColor="accent5"/>
              <w:bottom w:val="single" w:sz="4" w:space="0" w:color="53565A" w:themeColor="accent5"/>
            </w:tcBorders>
          </w:tcPr>
          <w:p w14:paraId="08552244" w14:textId="28FC9D8A" w:rsidR="0054488D" w:rsidRPr="005734B8" w:rsidRDefault="0054488D" w:rsidP="000C192E">
            <w:pPr>
              <w:pStyle w:val="ESTablenumberrightaligned"/>
              <w:rPr>
                <w:rFonts w:ascii="Calibri" w:hAnsi="Calibri" w:cs="Calibri"/>
                <w:sz w:val="18"/>
              </w:rPr>
            </w:pPr>
            <w:r w:rsidRPr="005734B8">
              <w:rPr>
                <w:rFonts w:ascii="Calibri" w:hAnsi="Calibri" w:cs="Calibri"/>
                <w:sz w:val="18"/>
                <w:szCs w:val="16"/>
              </w:rPr>
              <w:t>–</w:t>
            </w:r>
            <w:r w:rsidR="006934F1" w:rsidRPr="005734B8">
              <w:rPr>
                <w:rFonts w:ascii="Calibri" w:hAnsi="Calibri" w:cs="Calibri"/>
                <w:sz w:val="18"/>
                <w:szCs w:val="16"/>
              </w:rPr>
              <w:t>2.</w:t>
            </w:r>
            <w:r w:rsidR="005F7BB5" w:rsidRPr="005734B8">
              <w:rPr>
                <w:rFonts w:ascii="Calibri" w:hAnsi="Calibri" w:cs="Calibri"/>
                <w:sz w:val="18"/>
                <w:szCs w:val="16"/>
              </w:rPr>
              <w:t>6</w:t>
            </w:r>
          </w:p>
        </w:tc>
        <w:tc>
          <w:tcPr>
            <w:tcW w:w="907" w:type="dxa"/>
            <w:tcBorders>
              <w:top w:val="single" w:sz="4" w:space="0" w:color="53565A" w:themeColor="accent5"/>
              <w:bottom w:val="single" w:sz="4" w:space="0" w:color="53565A" w:themeColor="accent5"/>
            </w:tcBorders>
          </w:tcPr>
          <w:p w14:paraId="45104599" w14:textId="3B5D13AE" w:rsidR="0054488D" w:rsidRPr="005734B8" w:rsidRDefault="00676CDA" w:rsidP="000C192E">
            <w:pPr>
              <w:pStyle w:val="ESTablenumberrightaligned"/>
              <w:rPr>
                <w:rFonts w:ascii="Calibri" w:hAnsi="Calibri" w:cs="Calibri"/>
                <w:sz w:val="18"/>
              </w:rPr>
            </w:pPr>
            <w:r w:rsidRPr="005734B8">
              <w:rPr>
                <w:rFonts w:ascii="Calibri" w:hAnsi="Calibri" w:cs="Calibri"/>
                <w:sz w:val="18"/>
                <w:lang w:val="en-AU"/>
              </w:rPr>
              <w:sym w:font="Wingdings" w:char="F0FC"/>
            </w:r>
          </w:p>
        </w:tc>
      </w:tr>
      <w:tr w:rsidR="006934F1" w:rsidRPr="005734B8" w14:paraId="4ED051F0" w14:textId="77777777" w:rsidTr="00537548">
        <w:trPr>
          <w:cantSplit/>
        </w:trPr>
        <w:tc>
          <w:tcPr>
            <w:tcW w:w="9010" w:type="dxa"/>
            <w:gridSpan w:val="9"/>
            <w:tcBorders>
              <w:top w:val="single" w:sz="4" w:space="0" w:color="53565A" w:themeColor="accent5"/>
              <w:bottom w:val="single" w:sz="4" w:space="0" w:color="53565A" w:themeColor="accent5"/>
            </w:tcBorders>
            <w:shd w:val="clear" w:color="auto" w:fill="auto"/>
          </w:tcPr>
          <w:p w14:paraId="622C0BDF" w14:textId="286672FC" w:rsidR="006934F1" w:rsidRPr="005734B8" w:rsidRDefault="006934F1" w:rsidP="006934F1">
            <w:pPr>
              <w:pStyle w:val="ESTablenumberrightaligned"/>
              <w:jc w:val="left"/>
              <w:rPr>
                <w:rFonts w:ascii="Calibri" w:hAnsi="Calibri" w:cs="Calibri"/>
                <w:i/>
                <w:iCs/>
                <w:sz w:val="16"/>
                <w:szCs w:val="16"/>
                <w:lang w:val="en-AU"/>
              </w:rPr>
            </w:pPr>
            <w:r w:rsidRPr="005734B8">
              <w:rPr>
                <w:rFonts w:ascii="Calibri" w:hAnsi="Calibri" w:cs="Calibri"/>
                <w:i/>
                <w:iCs/>
                <w:sz w:val="16"/>
                <w:szCs w:val="16"/>
                <w:lang w:val="en-AU"/>
              </w:rPr>
              <w:t>No footnote required.</w:t>
            </w:r>
          </w:p>
        </w:tc>
      </w:tr>
      <w:bookmarkEnd w:id="177"/>
      <w:tr w:rsidR="0054488D" w:rsidRPr="005734B8" w14:paraId="344464B6" w14:textId="77777777" w:rsidTr="006934F1">
        <w:trPr>
          <w:cantSplit/>
        </w:trPr>
        <w:tc>
          <w:tcPr>
            <w:tcW w:w="963" w:type="dxa"/>
            <w:tcBorders>
              <w:top w:val="single" w:sz="4" w:space="0" w:color="53565A" w:themeColor="accent5"/>
              <w:bottom w:val="single" w:sz="4" w:space="0" w:color="53565A" w:themeColor="accent5"/>
            </w:tcBorders>
            <w:shd w:val="clear" w:color="auto" w:fill="auto"/>
          </w:tcPr>
          <w:p w14:paraId="488EDDDC" w14:textId="77777777" w:rsidR="0054488D" w:rsidRPr="005734B8" w:rsidRDefault="0054488D" w:rsidP="000C192E">
            <w:pPr>
              <w:pStyle w:val="ESTablenumberrightaligned"/>
              <w:jc w:val="left"/>
              <w:rPr>
                <w:rFonts w:ascii="Calibri" w:hAnsi="Calibri" w:cs="Calibri"/>
                <w:sz w:val="18"/>
              </w:rPr>
            </w:pPr>
            <w:r w:rsidRPr="005734B8">
              <w:rPr>
                <w:rFonts w:ascii="Calibri" w:hAnsi="Calibri" w:cs="Calibri"/>
                <w:sz w:val="18"/>
                <w:lang w:val="en-AU"/>
              </w:rPr>
              <w:t>Key:</w:t>
            </w:r>
          </w:p>
        </w:tc>
        <w:tc>
          <w:tcPr>
            <w:tcW w:w="3541" w:type="dxa"/>
            <w:gridSpan w:val="3"/>
            <w:tcBorders>
              <w:top w:val="single" w:sz="4" w:space="0" w:color="53565A" w:themeColor="accent5"/>
              <w:bottom w:val="single" w:sz="4" w:space="0" w:color="53565A" w:themeColor="accent5"/>
            </w:tcBorders>
            <w:shd w:val="clear" w:color="auto" w:fill="auto"/>
          </w:tcPr>
          <w:p w14:paraId="2BE20D33" w14:textId="77777777" w:rsidR="0054488D" w:rsidRPr="005734B8" w:rsidRDefault="0054488D" w:rsidP="000C192E">
            <w:pPr>
              <w:pStyle w:val="ESTablenumberrightaligned"/>
              <w:rPr>
                <w:rFonts w:ascii="Calibri" w:hAnsi="Calibri" w:cs="Calibri"/>
                <w:sz w:val="18"/>
              </w:rPr>
            </w:pPr>
            <w:r w:rsidRPr="005734B8">
              <w:rPr>
                <w:rFonts w:ascii="Calibri" w:hAnsi="Calibri" w:cs="Calibri"/>
                <w:sz w:val="18"/>
                <w:lang w:val="en-AU"/>
              </w:rPr>
              <w:sym w:font="Wingdings" w:char="F0FC"/>
            </w:r>
            <w:r w:rsidRPr="005734B8">
              <w:rPr>
                <w:rFonts w:ascii="Calibri" w:hAnsi="Calibri" w:cs="Calibri"/>
                <w:sz w:val="18"/>
                <w:lang w:val="en-AU"/>
              </w:rPr>
              <w:t xml:space="preserve"> Target achieved or exceeded</w:t>
            </w:r>
          </w:p>
        </w:tc>
        <w:tc>
          <w:tcPr>
            <w:tcW w:w="2252" w:type="dxa"/>
            <w:gridSpan w:val="3"/>
            <w:tcBorders>
              <w:top w:val="single" w:sz="4" w:space="0" w:color="53565A" w:themeColor="accent5"/>
              <w:bottom w:val="single" w:sz="4" w:space="0" w:color="53565A" w:themeColor="accent5"/>
            </w:tcBorders>
            <w:shd w:val="clear" w:color="auto" w:fill="auto"/>
          </w:tcPr>
          <w:p w14:paraId="1A2133EC" w14:textId="77777777" w:rsidR="0054488D" w:rsidRPr="005734B8" w:rsidRDefault="0054488D" w:rsidP="000C192E">
            <w:pPr>
              <w:pStyle w:val="ESTablenumberrightaligned"/>
              <w:rPr>
                <w:rFonts w:ascii="Calibri" w:hAnsi="Calibri" w:cs="Calibri"/>
                <w:sz w:val="18"/>
              </w:rPr>
            </w:pPr>
            <w:r w:rsidRPr="005734B8">
              <w:rPr>
                <w:rFonts w:ascii="Calibri" w:hAnsi="Calibri" w:cs="Calibri"/>
                <w:sz w:val="18"/>
                <w:lang w:val="en-AU"/>
              </w:rPr>
              <w:sym w:font="Wingdings" w:char="F0A1"/>
            </w:r>
            <w:r w:rsidRPr="005734B8">
              <w:rPr>
                <w:rFonts w:ascii="Calibri" w:hAnsi="Calibri" w:cs="Calibri"/>
                <w:sz w:val="18"/>
                <w:lang w:val="en-AU"/>
              </w:rPr>
              <w:t xml:space="preserve"> Target not achieved — less than 5% variance</w:t>
            </w:r>
          </w:p>
        </w:tc>
        <w:tc>
          <w:tcPr>
            <w:tcW w:w="2254" w:type="dxa"/>
            <w:gridSpan w:val="2"/>
            <w:tcBorders>
              <w:top w:val="single" w:sz="4" w:space="0" w:color="53565A" w:themeColor="accent5"/>
              <w:bottom w:val="single" w:sz="4" w:space="0" w:color="53565A" w:themeColor="accent5"/>
            </w:tcBorders>
            <w:shd w:val="clear" w:color="auto" w:fill="auto"/>
          </w:tcPr>
          <w:p w14:paraId="06D1A8C6" w14:textId="77777777" w:rsidR="0054488D" w:rsidRPr="005734B8" w:rsidRDefault="0054488D" w:rsidP="000C192E">
            <w:pPr>
              <w:pStyle w:val="ESTablenumberrightaligned"/>
              <w:rPr>
                <w:rFonts w:ascii="Calibri" w:hAnsi="Calibri" w:cs="Calibri"/>
                <w:sz w:val="18"/>
              </w:rPr>
            </w:pPr>
            <w:r w:rsidRPr="005734B8">
              <w:rPr>
                <w:rFonts w:ascii="Calibri" w:hAnsi="Calibri" w:cs="Calibri"/>
                <w:sz w:val="18"/>
                <w:lang w:val="en-AU"/>
              </w:rPr>
              <w:sym w:font="Wingdings" w:char="F06E"/>
            </w:r>
            <w:r w:rsidRPr="005734B8">
              <w:rPr>
                <w:rFonts w:ascii="Calibri" w:hAnsi="Calibri" w:cs="Calibri"/>
                <w:sz w:val="18"/>
                <w:lang w:val="en-AU"/>
              </w:rPr>
              <w:t xml:space="preserve"> Target not achieved — more than 5% variance</w:t>
            </w:r>
          </w:p>
        </w:tc>
      </w:tr>
    </w:tbl>
    <w:p w14:paraId="7DAA67B3" w14:textId="77777777" w:rsidR="0054488D" w:rsidRPr="005734B8" w:rsidRDefault="0054488D" w:rsidP="0054488D">
      <w:pPr>
        <w:pStyle w:val="ESHeading3"/>
        <w:ind w:left="0" w:firstLine="0"/>
        <w:rPr>
          <w:rFonts w:ascii="Calibri" w:hAnsi="Calibri" w:cs="Calibri"/>
          <w:szCs w:val="22"/>
          <w:lang w:val="en-AU"/>
        </w:rPr>
      </w:pPr>
      <w:bookmarkStart w:id="179" w:name="_Hlk78211691"/>
      <w:bookmarkEnd w:id="170"/>
      <w:bookmarkEnd w:id="171"/>
      <w:bookmarkEnd w:id="172"/>
      <w:bookmarkEnd w:id="173"/>
      <w:bookmarkEnd w:id="174"/>
      <w:bookmarkEnd w:id="175"/>
      <w:bookmarkEnd w:id="176"/>
      <w:r w:rsidRPr="005734B8">
        <w:rPr>
          <w:rFonts w:ascii="Calibri" w:hAnsi="Calibri" w:cs="Calibri"/>
          <w:szCs w:val="22"/>
          <w:lang w:val="en-AU"/>
        </w:rPr>
        <w:t>Early childhood education</w:t>
      </w:r>
    </w:p>
    <w:p w14:paraId="0D59389D" w14:textId="2240BB94" w:rsidR="0054488D" w:rsidRPr="005734B8" w:rsidRDefault="0054488D" w:rsidP="0054488D">
      <w:pPr>
        <w:pStyle w:val="ESBodyText"/>
        <w:rPr>
          <w:rFonts w:ascii="Calibri" w:hAnsi="Calibri" w:cs="Calibri"/>
          <w:sz w:val="22"/>
          <w:szCs w:val="22"/>
          <w:lang w:val="en-AU"/>
        </w:rPr>
      </w:pPr>
      <w:r w:rsidRPr="005734B8">
        <w:rPr>
          <w:rFonts w:ascii="Calibri" w:hAnsi="Calibri" w:cs="Calibri"/>
          <w:sz w:val="22"/>
          <w:szCs w:val="22"/>
          <w:lang w:val="en-AU"/>
        </w:rPr>
        <w:t>This output involves the provision of kindergarten and children’s services. These services include the monitoring of education and care services and specialist services to improve access to kindergartens among children</w:t>
      </w:r>
      <w:r w:rsidR="00195C5F">
        <w:rPr>
          <w:rFonts w:ascii="Calibri" w:hAnsi="Calibri" w:cs="Calibri"/>
          <w:sz w:val="22"/>
          <w:szCs w:val="22"/>
          <w:lang w:val="en-AU"/>
        </w:rPr>
        <w:t xml:space="preserve"> experiencing disadvantage</w:t>
      </w:r>
      <w:r w:rsidRPr="005734B8">
        <w:rPr>
          <w:rFonts w:ascii="Calibri" w:hAnsi="Calibri" w:cs="Calibri"/>
          <w:sz w:val="22"/>
          <w:szCs w:val="22"/>
          <w:lang w:val="en-AU"/>
        </w:rPr>
        <w:t>. This output group provides early intervention and parenting support. It also includes a range of services and support for children with a developmental delay or disability and their families.</w:t>
      </w:r>
    </w:p>
    <w:bookmarkEnd w:id="179"/>
    <w:p w14:paraId="53D52B83" w14:textId="3B80805C" w:rsidR="0054488D" w:rsidRPr="005734B8" w:rsidRDefault="0054488D" w:rsidP="0054488D">
      <w:pPr>
        <w:pStyle w:val="ESTableintroheading"/>
        <w:keepNext w:val="0"/>
        <w:rPr>
          <w:rFonts w:ascii="Calibri" w:hAnsi="Calibri" w:cs="Calibri"/>
          <w:lang w:val="en-AU"/>
        </w:rPr>
      </w:pPr>
      <w:r w:rsidRPr="005734B8">
        <w:rPr>
          <w:rFonts w:ascii="Calibri" w:hAnsi="Calibri" w:cs="Calibri"/>
          <w:lang w:val="en-AU"/>
        </w:rPr>
        <w:t>Early childhood education performance measures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
        <w:gridCol w:w="1923"/>
        <w:gridCol w:w="1135"/>
        <w:gridCol w:w="483"/>
        <w:gridCol w:w="630"/>
        <w:gridCol w:w="1338"/>
        <w:gridCol w:w="284"/>
        <w:gridCol w:w="1347"/>
        <w:gridCol w:w="907"/>
      </w:tblGrid>
      <w:tr w:rsidR="0054488D" w:rsidRPr="005734B8" w14:paraId="5B7CEA80" w14:textId="77777777" w:rsidTr="000C192E">
        <w:trPr>
          <w:cantSplit/>
          <w:trHeight w:val="242"/>
          <w:tblHeader/>
        </w:trPr>
        <w:tc>
          <w:tcPr>
            <w:tcW w:w="2886" w:type="dxa"/>
            <w:gridSpan w:val="2"/>
            <w:tcBorders>
              <w:bottom w:val="single" w:sz="4" w:space="0" w:color="FFFFFF" w:themeColor="background1"/>
            </w:tcBorders>
            <w:shd w:val="clear" w:color="auto" w:fill="AF272F" w:themeFill="accent4"/>
          </w:tcPr>
          <w:p w14:paraId="1F71ECA0" w14:textId="77777777" w:rsidR="0054488D" w:rsidRPr="005734B8" w:rsidRDefault="0054488D" w:rsidP="000C192E">
            <w:pPr>
              <w:pStyle w:val="ESTableheadingwhite"/>
              <w:rPr>
                <w:rFonts w:ascii="Calibri" w:hAnsi="Calibri" w:cs="Calibri"/>
                <w:sz w:val="18"/>
              </w:rPr>
            </w:pPr>
            <w:r w:rsidRPr="005734B8">
              <w:rPr>
                <w:rFonts w:ascii="Calibri" w:hAnsi="Calibri" w:cs="Calibri"/>
                <w:sz w:val="18"/>
              </w:rPr>
              <w:t>Performance measures</w:t>
            </w:r>
          </w:p>
        </w:tc>
        <w:tc>
          <w:tcPr>
            <w:tcW w:w="1135" w:type="dxa"/>
            <w:tcBorders>
              <w:bottom w:val="single" w:sz="4" w:space="0" w:color="FFFFFF" w:themeColor="background1"/>
            </w:tcBorders>
            <w:shd w:val="clear" w:color="auto" w:fill="AF272F" w:themeFill="accent4"/>
          </w:tcPr>
          <w:p w14:paraId="708F7DE8" w14:textId="77777777" w:rsidR="0054488D" w:rsidRPr="005734B8" w:rsidRDefault="0054488D" w:rsidP="000C192E">
            <w:pPr>
              <w:pStyle w:val="ESTableheadingwhite"/>
              <w:rPr>
                <w:rFonts w:ascii="Calibri" w:hAnsi="Calibri" w:cs="Calibri"/>
                <w:sz w:val="18"/>
              </w:rPr>
            </w:pPr>
            <w:r w:rsidRPr="005734B8">
              <w:rPr>
                <w:rFonts w:ascii="Calibri" w:hAnsi="Calibri" w:cs="Calibri"/>
                <w:sz w:val="18"/>
              </w:rPr>
              <w:t>Unit of measure</w:t>
            </w:r>
          </w:p>
        </w:tc>
        <w:tc>
          <w:tcPr>
            <w:tcW w:w="1113" w:type="dxa"/>
            <w:gridSpan w:val="2"/>
            <w:tcBorders>
              <w:bottom w:val="single" w:sz="4" w:space="0" w:color="FFFFFF" w:themeColor="background1"/>
            </w:tcBorders>
            <w:shd w:val="clear" w:color="auto" w:fill="AF272F" w:themeFill="accent4"/>
          </w:tcPr>
          <w:p w14:paraId="4BDE1E93" w14:textId="77777777" w:rsidR="0054488D" w:rsidRPr="005734B8" w:rsidRDefault="0054488D" w:rsidP="000C192E">
            <w:pPr>
              <w:pStyle w:val="ESTableheadingwhite"/>
              <w:jc w:val="right"/>
              <w:rPr>
                <w:rFonts w:ascii="Calibri" w:hAnsi="Calibri" w:cs="Calibri"/>
                <w:sz w:val="18"/>
              </w:rPr>
            </w:pPr>
            <w:r w:rsidRPr="005734B8">
              <w:rPr>
                <w:rFonts w:ascii="Calibri" w:hAnsi="Calibri" w:cs="Calibri"/>
                <w:sz w:val="18"/>
              </w:rPr>
              <w:t>2020–21 actual</w:t>
            </w:r>
          </w:p>
        </w:tc>
        <w:tc>
          <w:tcPr>
            <w:tcW w:w="1338" w:type="dxa"/>
            <w:tcBorders>
              <w:bottom w:val="single" w:sz="4" w:space="0" w:color="FFFFFF" w:themeColor="background1"/>
            </w:tcBorders>
            <w:shd w:val="clear" w:color="auto" w:fill="AF272F" w:themeFill="accent4"/>
          </w:tcPr>
          <w:p w14:paraId="2347B975" w14:textId="77777777" w:rsidR="0054488D" w:rsidRPr="005734B8" w:rsidRDefault="0054488D" w:rsidP="000C192E">
            <w:pPr>
              <w:pStyle w:val="ESTableheadingwhite"/>
              <w:jc w:val="right"/>
              <w:rPr>
                <w:rFonts w:ascii="Calibri" w:hAnsi="Calibri" w:cs="Calibri"/>
                <w:sz w:val="18"/>
              </w:rPr>
            </w:pPr>
            <w:r w:rsidRPr="005734B8">
              <w:rPr>
                <w:rFonts w:ascii="Calibri" w:hAnsi="Calibri" w:cs="Calibri"/>
                <w:sz w:val="18"/>
              </w:rPr>
              <w:t>2020–21 target</w:t>
            </w:r>
          </w:p>
        </w:tc>
        <w:tc>
          <w:tcPr>
            <w:tcW w:w="1631" w:type="dxa"/>
            <w:gridSpan w:val="2"/>
            <w:tcBorders>
              <w:bottom w:val="single" w:sz="4" w:space="0" w:color="FFFFFF" w:themeColor="background1"/>
            </w:tcBorders>
            <w:shd w:val="clear" w:color="auto" w:fill="AF272F" w:themeFill="accent4"/>
          </w:tcPr>
          <w:p w14:paraId="11A27EFF" w14:textId="77777777" w:rsidR="0054488D" w:rsidRPr="005734B8" w:rsidRDefault="0054488D" w:rsidP="000C192E">
            <w:pPr>
              <w:pStyle w:val="ESTableheadingwhite"/>
              <w:jc w:val="right"/>
              <w:rPr>
                <w:rFonts w:ascii="Calibri" w:hAnsi="Calibri" w:cs="Calibri"/>
                <w:sz w:val="18"/>
              </w:rPr>
            </w:pPr>
            <w:r w:rsidRPr="005734B8">
              <w:rPr>
                <w:rFonts w:ascii="Calibri" w:hAnsi="Calibri" w:cs="Calibri"/>
                <w:sz w:val="18"/>
              </w:rPr>
              <w:t>Performance variation (%)</w:t>
            </w:r>
          </w:p>
        </w:tc>
        <w:tc>
          <w:tcPr>
            <w:tcW w:w="907" w:type="dxa"/>
            <w:tcBorders>
              <w:bottom w:val="single" w:sz="4" w:space="0" w:color="FFFFFF" w:themeColor="background1"/>
            </w:tcBorders>
            <w:shd w:val="clear" w:color="auto" w:fill="AF272F" w:themeFill="accent4"/>
          </w:tcPr>
          <w:p w14:paraId="21EEA6AC" w14:textId="77777777" w:rsidR="0054488D" w:rsidRPr="005734B8" w:rsidRDefault="0054488D" w:rsidP="000C192E">
            <w:pPr>
              <w:pStyle w:val="ESTableheadingwhite"/>
              <w:jc w:val="right"/>
              <w:rPr>
                <w:rFonts w:ascii="Calibri" w:hAnsi="Calibri" w:cs="Calibri"/>
                <w:sz w:val="18"/>
              </w:rPr>
            </w:pPr>
            <w:r w:rsidRPr="005734B8">
              <w:rPr>
                <w:rFonts w:ascii="Calibri" w:hAnsi="Calibri" w:cs="Calibri"/>
                <w:sz w:val="18"/>
              </w:rPr>
              <w:t>Result</w:t>
            </w:r>
          </w:p>
        </w:tc>
      </w:tr>
      <w:tr w:rsidR="0054488D" w:rsidRPr="005734B8" w14:paraId="5DC4DA9E" w14:textId="77777777" w:rsidTr="000C192E">
        <w:trPr>
          <w:cantSplit/>
        </w:trPr>
        <w:tc>
          <w:tcPr>
            <w:tcW w:w="9010" w:type="dxa"/>
            <w:gridSpan w:val="9"/>
            <w:tcBorders>
              <w:bottom w:val="single" w:sz="4" w:space="0" w:color="53565A" w:themeColor="accent5"/>
            </w:tcBorders>
            <w:shd w:val="clear" w:color="auto" w:fill="53565A" w:themeFill="accent5"/>
          </w:tcPr>
          <w:p w14:paraId="623D1E6B" w14:textId="77777777" w:rsidR="0054488D" w:rsidRPr="005734B8" w:rsidRDefault="0054488D" w:rsidP="000C192E">
            <w:pPr>
              <w:pStyle w:val="W1"/>
              <w:rPr>
                <w:rFonts w:ascii="Calibri" w:hAnsi="Calibri" w:cs="Calibri"/>
                <w:sz w:val="18"/>
              </w:rPr>
            </w:pPr>
            <w:r w:rsidRPr="005734B8">
              <w:rPr>
                <w:rFonts w:ascii="Calibri" w:hAnsi="Calibri" w:cs="Calibri"/>
                <w:sz w:val="18"/>
                <w:szCs w:val="20"/>
              </w:rPr>
              <w:t>Quantity</w:t>
            </w:r>
          </w:p>
        </w:tc>
      </w:tr>
      <w:tr w:rsidR="0054488D" w:rsidRPr="005734B8" w14:paraId="4B39F90D" w14:textId="77777777" w:rsidTr="000C192E">
        <w:trPr>
          <w:cantSplit/>
        </w:trPr>
        <w:tc>
          <w:tcPr>
            <w:tcW w:w="2886" w:type="dxa"/>
            <w:gridSpan w:val="2"/>
            <w:tcBorders>
              <w:top w:val="single" w:sz="4" w:space="0" w:color="53565A" w:themeColor="accent5"/>
              <w:bottom w:val="single" w:sz="4" w:space="0" w:color="53565A" w:themeColor="accent5"/>
            </w:tcBorders>
            <w:shd w:val="clear" w:color="auto" w:fill="auto"/>
          </w:tcPr>
          <w:p w14:paraId="6403C0E1" w14:textId="77777777" w:rsidR="0054488D" w:rsidRPr="005734B8" w:rsidRDefault="0054488D" w:rsidP="000C192E">
            <w:pPr>
              <w:pStyle w:val="ESTablebody"/>
              <w:rPr>
                <w:rFonts w:ascii="Calibri" w:hAnsi="Calibri" w:cs="Calibri"/>
                <w:sz w:val="18"/>
              </w:rPr>
            </w:pPr>
            <w:r w:rsidRPr="005734B8">
              <w:rPr>
                <w:rFonts w:ascii="Calibri" w:hAnsi="Calibri" w:cs="Calibri"/>
                <w:sz w:val="18"/>
                <w:lang w:val="en-AU"/>
              </w:rPr>
              <w:t>Children funded to participate in kindergarten in the year before school</w:t>
            </w:r>
          </w:p>
        </w:tc>
        <w:tc>
          <w:tcPr>
            <w:tcW w:w="1135" w:type="dxa"/>
            <w:tcBorders>
              <w:top w:val="single" w:sz="4" w:space="0" w:color="53565A" w:themeColor="accent5"/>
              <w:bottom w:val="single" w:sz="4" w:space="0" w:color="53565A" w:themeColor="accent5"/>
            </w:tcBorders>
            <w:shd w:val="clear" w:color="auto" w:fill="auto"/>
          </w:tcPr>
          <w:p w14:paraId="7F0B5DA3" w14:textId="77777777" w:rsidR="0054488D" w:rsidRPr="005734B8" w:rsidRDefault="0054488D" w:rsidP="000C192E">
            <w:pPr>
              <w:pStyle w:val="ESTablebody"/>
              <w:rPr>
                <w:rFonts w:ascii="Calibri" w:hAnsi="Calibri" w:cs="Calibri"/>
                <w:sz w:val="18"/>
              </w:rPr>
            </w:pPr>
            <w:r w:rsidRPr="005734B8">
              <w:rPr>
                <w:rFonts w:ascii="Calibri" w:hAnsi="Calibri" w:cs="Calibri"/>
                <w:sz w:val="18"/>
                <w:lang w:val="en-AU"/>
              </w:rPr>
              <w:t>number</w:t>
            </w:r>
          </w:p>
        </w:tc>
        <w:tc>
          <w:tcPr>
            <w:tcW w:w="1113" w:type="dxa"/>
            <w:gridSpan w:val="2"/>
            <w:tcBorders>
              <w:top w:val="single" w:sz="4" w:space="0" w:color="53565A" w:themeColor="accent5"/>
              <w:bottom w:val="single" w:sz="4" w:space="0" w:color="53565A" w:themeColor="accent5"/>
            </w:tcBorders>
            <w:shd w:val="clear" w:color="auto" w:fill="D9D9D6" w:themeFill="accent1"/>
          </w:tcPr>
          <w:p w14:paraId="7214379D"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79,850</w:t>
            </w:r>
          </w:p>
        </w:tc>
        <w:tc>
          <w:tcPr>
            <w:tcW w:w="1338" w:type="dxa"/>
            <w:tcBorders>
              <w:top w:val="single" w:sz="4" w:space="0" w:color="53565A" w:themeColor="accent5"/>
              <w:bottom w:val="single" w:sz="4" w:space="0" w:color="53565A" w:themeColor="accent5"/>
            </w:tcBorders>
            <w:shd w:val="clear" w:color="auto" w:fill="FFFFFF" w:themeFill="background1"/>
          </w:tcPr>
          <w:p w14:paraId="0CA6768D"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81,000</w:t>
            </w:r>
          </w:p>
        </w:tc>
        <w:tc>
          <w:tcPr>
            <w:tcW w:w="1631" w:type="dxa"/>
            <w:gridSpan w:val="2"/>
            <w:tcBorders>
              <w:top w:val="single" w:sz="4" w:space="0" w:color="53565A" w:themeColor="accent5"/>
              <w:bottom w:val="single" w:sz="4" w:space="0" w:color="53565A" w:themeColor="accent5"/>
            </w:tcBorders>
          </w:tcPr>
          <w:p w14:paraId="691EC414"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–1.4</w:t>
            </w:r>
          </w:p>
        </w:tc>
        <w:tc>
          <w:tcPr>
            <w:tcW w:w="907" w:type="dxa"/>
            <w:tcBorders>
              <w:top w:val="single" w:sz="4" w:space="0" w:color="53565A" w:themeColor="accent5"/>
              <w:bottom w:val="single" w:sz="4" w:space="0" w:color="53565A" w:themeColor="accent5"/>
            </w:tcBorders>
          </w:tcPr>
          <w:p w14:paraId="5C5530B2" w14:textId="77777777" w:rsidR="0054488D" w:rsidRPr="005734B8" w:rsidRDefault="0054488D" w:rsidP="000C192E">
            <w:pPr>
              <w:pStyle w:val="ESTablenumberrightaligned"/>
              <w:rPr>
                <w:rFonts w:ascii="Calibri" w:hAnsi="Calibri" w:cs="Calibri"/>
                <w:sz w:val="18"/>
              </w:rPr>
            </w:pPr>
            <w:r w:rsidRPr="005734B8">
              <w:rPr>
                <w:rFonts w:ascii="Calibri" w:hAnsi="Calibri" w:cs="Calibri"/>
                <w:sz w:val="18"/>
                <w:lang w:val="en-AU"/>
              </w:rPr>
              <w:sym w:font="Wingdings" w:char="F0A1"/>
            </w:r>
          </w:p>
        </w:tc>
      </w:tr>
      <w:tr w:rsidR="0054488D" w:rsidRPr="005734B8" w14:paraId="45ED6571" w14:textId="77777777" w:rsidTr="000C192E">
        <w:trPr>
          <w:cantSplit/>
        </w:trPr>
        <w:tc>
          <w:tcPr>
            <w:tcW w:w="9010" w:type="dxa"/>
            <w:gridSpan w:val="9"/>
            <w:tcBorders>
              <w:top w:val="single" w:sz="4" w:space="0" w:color="53565A" w:themeColor="accent5"/>
              <w:bottom w:val="single" w:sz="4" w:space="0" w:color="53565A" w:themeColor="accent5"/>
            </w:tcBorders>
            <w:shd w:val="clear" w:color="auto" w:fill="auto"/>
          </w:tcPr>
          <w:p w14:paraId="0A144024" w14:textId="52A71327" w:rsidR="0054488D" w:rsidRPr="005734B8" w:rsidRDefault="0054488D" w:rsidP="000C192E">
            <w:pPr>
              <w:pStyle w:val="ESTablebody"/>
              <w:rPr>
                <w:rFonts w:ascii="Calibri" w:hAnsi="Calibri" w:cs="Calibri"/>
                <w:i/>
                <w:sz w:val="16"/>
              </w:rPr>
            </w:pPr>
            <w:r w:rsidRPr="005734B8">
              <w:rPr>
                <w:rFonts w:ascii="Calibri" w:hAnsi="Calibri" w:cs="Calibri"/>
                <w:i/>
                <w:sz w:val="16"/>
                <w:szCs w:val="20"/>
              </w:rPr>
              <w:t xml:space="preserve">The above performance measure </w:t>
            </w:r>
            <w:r w:rsidRPr="005734B8">
              <w:rPr>
                <w:rFonts w:ascii="Calibri" w:hAnsi="Calibri" w:cs="Calibri"/>
                <w:i/>
                <w:sz w:val="16"/>
              </w:rPr>
              <w:t>relates to the calendar year</w:t>
            </w:r>
            <w:r w:rsidR="0055440C" w:rsidRPr="005734B8">
              <w:rPr>
                <w:rFonts w:ascii="Calibri" w:hAnsi="Calibri" w:cs="Calibri"/>
                <w:i/>
                <w:sz w:val="16"/>
              </w:rPr>
              <w:t>,</w:t>
            </w:r>
            <w:r w:rsidRPr="005734B8">
              <w:rPr>
                <w:rFonts w:ascii="Calibri" w:hAnsi="Calibri" w:cs="Calibri"/>
                <w:i/>
                <w:sz w:val="16"/>
              </w:rPr>
              <w:t xml:space="preserve"> and includes first and second year kindergarten participants.</w:t>
            </w:r>
          </w:p>
        </w:tc>
      </w:tr>
      <w:tr w:rsidR="0054488D" w:rsidRPr="005734B8" w14:paraId="368ADBB8" w14:textId="77777777" w:rsidTr="000C192E">
        <w:trPr>
          <w:cantSplit/>
        </w:trPr>
        <w:tc>
          <w:tcPr>
            <w:tcW w:w="2886" w:type="dxa"/>
            <w:gridSpan w:val="2"/>
            <w:tcBorders>
              <w:top w:val="single" w:sz="4" w:space="0" w:color="53565A" w:themeColor="accent5"/>
              <w:bottom w:val="single" w:sz="4" w:space="0" w:color="53565A" w:themeColor="accent5"/>
            </w:tcBorders>
            <w:shd w:val="clear" w:color="auto" w:fill="auto"/>
          </w:tcPr>
          <w:p w14:paraId="3F597B04" w14:textId="77777777" w:rsidR="0054488D" w:rsidRPr="005734B8" w:rsidRDefault="0054488D" w:rsidP="000C192E">
            <w:pPr>
              <w:pStyle w:val="ESTablebody"/>
              <w:rPr>
                <w:rFonts w:ascii="Calibri" w:hAnsi="Calibri" w:cs="Calibri"/>
                <w:sz w:val="18"/>
              </w:rPr>
            </w:pPr>
            <w:r w:rsidRPr="005734B8">
              <w:rPr>
                <w:rFonts w:ascii="Calibri" w:hAnsi="Calibri" w:cs="Calibri"/>
                <w:sz w:val="18"/>
              </w:rPr>
              <w:t>Aboriginal children funded to participate in kindergarten in the year before school</w:t>
            </w:r>
          </w:p>
        </w:tc>
        <w:tc>
          <w:tcPr>
            <w:tcW w:w="1135" w:type="dxa"/>
            <w:tcBorders>
              <w:top w:val="single" w:sz="4" w:space="0" w:color="53565A" w:themeColor="accent5"/>
              <w:bottom w:val="single" w:sz="4" w:space="0" w:color="53565A" w:themeColor="accent5"/>
            </w:tcBorders>
            <w:shd w:val="clear" w:color="auto" w:fill="auto"/>
          </w:tcPr>
          <w:p w14:paraId="66D10F8F" w14:textId="77777777" w:rsidR="0054488D" w:rsidRPr="005734B8" w:rsidRDefault="0054488D" w:rsidP="000C192E">
            <w:pPr>
              <w:pStyle w:val="ESTablebody"/>
              <w:rPr>
                <w:rFonts w:ascii="Calibri" w:hAnsi="Calibri" w:cs="Calibri"/>
                <w:sz w:val="18"/>
              </w:rPr>
            </w:pPr>
            <w:r w:rsidRPr="005734B8">
              <w:rPr>
                <w:rFonts w:ascii="Calibri" w:hAnsi="Calibri" w:cs="Calibri"/>
                <w:sz w:val="18"/>
                <w:lang w:val="en-AU"/>
              </w:rPr>
              <w:t>number</w:t>
            </w:r>
          </w:p>
        </w:tc>
        <w:tc>
          <w:tcPr>
            <w:tcW w:w="1113" w:type="dxa"/>
            <w:gridSpan w:val="2"/>
            <w:tcBorders>
              <w:top w:val="single" w:sz="4" w:space="0" w:color="53565A" w:themeColor="accent5"/>
              <w:bottom w:val="single" w:sz="4" w:space="0" w:color="53565A" w:themeColor="accent5"/>
            </w:tcBorders>
            <w:shd w:val="clear" w:color="auto" w:fill="D9D9D6" w:themeFill="accent1"/>
          </w:tcPr>
          <w:p w14:paraId="7D4EC93F"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1,653</w:t>
            </w:r>
          </w:p>
        </w:tc>
        <w:tc>
          <w:tcPr>
            <w:tcW w:w="1338" w:type="dxa"/>
            <w:tcBorders>
              <w:top w:val="single" w:sz="4" w:space="0" w:color="53565A" w:themeColor="accent5"/>
              <w:bottom w:val="single" w:sz="4" w:space="0" w:color="53565A" w:themeColor="accent5"/>
            </w:tcBorders>
            <w:shd w:val="clear" w:color="auto" w:fill="FFFFFF" w:themeFill="background1"/>
          </w:tcPr>
          <w:p w14:paraId="528B7018"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1,350</w:t>
            </w:r>
          </w:p>
        </w:tc>
        <w:tc>
          <w:tcPr>
            <w:tcW w:w="1631" w:type="dxa"/>
            <w:gridSpan w:val="2"/>
            <w:tcBorders>
              <w:top w:val="single" w:sz="4" w:space="0" w:color="53565A" w:themeColor="accent5"/>
              <w:bottom w:val="single" w:sz="4" w:space="0" w:color="53565A" w:themeColor="accent5"/>
            </w:tcBorders>
          </w:tcPr>
          <w:p w14:paraId="4A582C73"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22.4</w:t>
            </w:r>
          </w:p>
        </w:tc>
        <w:tc>
          <w:tcPr>
            <w:tcW w:w="907" w:type="dxa"/>
            <w:tcBorders>
              <w:top w:val="single" w:sz="4" w:space="0" w:color="53565A" w:themeColor="accent5"/>
              <w:bottom w:val="single" w:sz="4" w:space="0" w:color="53565A" w:themeColor="accent5"/>
            </w:tcBorders>
          </w:tcPr>
          <w:p w14:paraId="33AE088D" w14:textId="77777777" w:rsidR="0054488D" w:rsidRPr="005734B8" w:rsidRDefault="0054488D" w:rsidP="000C192E">
            <w:pPr>
              <w:pStyle w:val="ESTablenumberrightaligned"/>
              <w:rPr>
                <w:rFonts w:ascii="Calibri" w:hAnsi="Calibri" w:cs="Calibri"/>
                <w:sz w:val="18"/>
              </w:rPr>
            </w:pPr>
            <w:r w:rsidRPr="005734B8">
              <w:rPr>
                <w:rFonts w:ascii="Calibri" w:hAnsi="Calibri" w:cs="Calibri"/>
                <w:sz w:val="18"/>
                <w:lang w:val="en-AU"/>
              </w:rPr>
              <w:sym w:font="Wingdings" w:char="F0FC"/>
            </w:r>
          </w:p>
        </w:tc>
      </w:tr>
      <w:tr w:rsidR="0054488D" w:rsidRPr="005734B8" w14:paraId="347F1B27" w14:textId="77777777" w:rsidTr="000C192E">
        <w:trPr>
          <w:cantSplit/>
        </w:trPr>
        <w:tc>
          <w:tcPr>
            <w:tcW w:w="9010" w:type="dxa"/>
            <w:gridSpan w:val="9"/>
            <w:tcBorders>
              <w:top w:val="single" w:sz="4" w:space="0" w:color="53565A" w:themeColor="accent5"/>
              <w:bottom w:val="single" w:sz="4" w:space="0" w:color="53565A" w:themeColor="accent5"/>
            </w:tcBorders>
            <w:shd w:val="clear" w:color="auto" w:fill="auto"/>
          </w:tcPr>
          <w:p w14:paraId="081BFB29" w14:textId="01C67AEA" w:rsidR="0054488D" w:rsidRPr="005734B8" w:rsidRDefault="0054488D" w:rsidP="000C192E">
            <w:pPr>
              <w:pStyle w:val="ESTablebody"/>
              <w:rPr>
                <w:rFonts w:ascii="Calibri" w:hAnsi="Calibri" w:cs="Calibri"/>
                <w:i/>
                <w:iCs/>
                <w:sz w:val="16"/>
              </w:rPr>
            </w:pPr>
            <w:r w:rsidRPr="005734B8">
              <w:rPr>
                <w:rFonts w:ascii="Calibri" w:hAnsi="Calibri" w:cs="Calibri"/>
                <w:i/>
                <w:sz w:val="16"/>
                <w:szCs w:val="20"/>
              </w:rPr>
              <w:t xml:space="preserve">The above performance measure </w:t>
            </w:r>
            <w:r w:rsidRPr="005734B8">
              <w:rPr>
                <w:rFonts w:ascii="Calibri" w:hAnsi="Calibri" w:cs="Calibri"/>
                <w:i/>
                <w:sz w:val="16"/>
              </w:rPr>
              <w:t xml:space="preserve">relates to the calendar year and includes first and second year Aboriginal kindergarten participants. The 2020–21 outcome is higher than the target due to the higher than previously estimated Aboriginal population in the year before school, and increased service participation </w:t>
            </w:r>
            <w:r w:rsidR="0055440C" w:rsidRPr="005734B8">
              <w:rPr>
                <w:rFonts w:ascii="Calibri" w:hAnsi="Calibri" w:cs="Calibri"/>
                <w:i/>
                <w:sz w:val="16"/>
              </w:rPr>
              <w:t>by</w:t>
            </w:r>
            <w:r w:rsidRPr="005734B8">
              <w:rPr>
                <w:rFonts w:ascii="Calibri" w:hAnsi="Calibri" w:cs="Calibri"/>
                <w:i/>
                <w:sz w:val="16"/>
              </w:rPr>
              <w:t xml:space="preserve"> this group.</w:t>
            </w:r>
          </w:p>
        </w:tc>
      </w:tr>
      <w:tr w:rsidR="0054488D" w:rsidRPr="005734B8" w14:paraId="2A522CA4" w14:textId="77777777" w:rsidTr="000C192E">
        <w:trPr>
          <w:cantSplit/>
        </w:trPr>
        <w:tc>
          <w:tcPr>
            <w:tcW w:w="2886" w:type="dxa"/>
            <w:gridSpan w:val="2"/>
            <w:tcBorders>
              <w:top w:val="single" w:sz="4" w:space="0" w:color="53565A" w:themeColor="accent5"/>
              <w:bottom w:val="single" w:sz="4" w:space="0" w:color="53565A" w:themeColor="accent5"/>
            </w:tcBorders>
            <w:shd w:val="clear" w:color="auto" w:fill="auto"/>
          </w:tcPr>
          <w:p w14:paraId="0B41770C" w14:textId="77777777" w:rsidR="0054488D" w:rsidRPr="005734B8" w:rsidRDefault="0054488D" w:rsidP="000C192E">
            <w:pPr>
              <w:pStyle w:val="ESTablebody"/>
              <w:rPr>
                <w:rFonts w:ascii="Calibri" w:hAnsi="Calibri" w:cs="Calibri"/>
                <w:sz w:val="18"/>
              </w:rPr>
            </w:pPr>
            <w:r w:rsidRPr="005734B8">
              <w:rPr>
                <w:rFonts w:ascii="Calibri" w:hAnsi="Calibri" w:cs="Calibri"/>
                <w:sz w:val="18"/>
                <w:lang w:val="en-AU"/>
              </w:rPr>
              <w:t>Kindergarten participation rate in the year before school</w:t>
            </w:r>
          </w:p>
        </w:tc>
        <w:tc>
          <w:tcPr>
            <w:tcW w:w="1135" w:type="dxa"/>
            <w:tcBorders>
              <w:top w:val="single" w:sz="4" w:space="0" w:color="53565A" w:themeColor="accent5"/>
              <w:bottom w:val="single" w:sz="4" w:space="0" w:color="53565A" w:themeColor="accent5"/>
            </w:tcBorders>
            <w:shd w:val="clear" w:color="auto" w:fill="auto"/>
          </w:tcPr>
          <w:p w14:paraId="6980AC99" w14:textId="77777777" w:rsidR="0054488D" w:rsidRPr="005734B8" w:rsidRDefault="0054488D" w:rsidP="000C192E">
            <w:pPr>
              <w:pStyle w:val="ESTablebody"/>
              <w:rPr>
                <w:rFonts w:ascii="Calibri" w:hAnsi="Calibri" w:cs="Calibri"/>
                <w:sz w:val="18"/>
              </w:rPr>
            </w:pPr>
            <w:r w:rsidRPr="005734B8">
              <w:rPr>
                <w:rFonts w:ascii="Calibri" w:hAnsi="Calibri" w:cs="Calibri"/>
                <w:sz w:val="18"/>
                <w:lang w:val="en-AU"/>
              </w:rPr>
              <w:t>per cent</w:t>
            </w:r>
          </w:p>
        </w:tc>
        <w:tc>
          <w:tcPr>
            <w:tcW w:w="1113" w:type="dxa"/>
            <w:gridSpan w:val="2"/>
            <w:tcBorders>
              <w:top w:val="single" w:sz="4" w:space="0" w:color="53565A" w:themeColor="accent5"/>
              <w:bottom w:val="single" w:sz="4" w:space="0" w:color="53565A" w:themeColor="accent5"/>
            </w:tcBorders>
            <w:shd w:val="clear" w:color="auto" w:fill="D9D9D6" w:themeFill="accent1"/>
          </w:tcPr>
          <w:p w14:paraId="086A4DFD"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89.1</w:t>
            </w:r>
          </w:p>
        </w:tc>
        <w:tc>
          <w:tcPr>
            <w:tcW w:w="1338" w:type="dxa"/>
            <w:tcBorders>
              <w:top w:val="single" w:sz="4" w:space="0" w:color="53565A" w:themeColor="accent5"/>
              <w:bottom w:val="single" w:sz="4" w:space="0" w:color="53565A" w:themeColor="accent5"/>
            </w:tcBorders>
            <w:shd w:val="clear" w:color="auto" w:fill="FFFFFF" w:themeFill="background1"/>
          </w:tcPr>
          <w:p w14:paraId="713EA5AB"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96.0</w:t>
            </w:r>
          </w:p>
        </w:tc>
        <w:tc>
          <w:tcPr>
            <w:tcW w:w="1631" w:type="dxa"/>
            <w:gridSpan w:val="2"/>
            <w:tcBorders>
              <w:top w:val="single" w:sz="4" w:space="0" w:color="53565A" w:themeColor="accent5"/>
              <w:bottom w:val="single" w:sz="4" w:space="0" w:color="53565A" w:themeColor="accent5"/>
            </w:tcBorders>
          </w:tcPr>
          <w:p w14:paraId="0B668B42"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–7.2</w:t>
            </w:r>
          </w:p>
        </w:tc>
        <w:tc>
          <w:tcPr>
            <w:tcW w:w="907" w:type="dxa"/>
            <w:tcBorders>
              <w:top w:val="single" w:sz="4" w:space="0" w:color="53565A" w:themeColor="accent5"/>
              <w:bottom w:val="single" w:sz="4" w:space="0" w:color="53565A" w:themeColor="accent5"/>
            </w:tcBorders>
          </w:tcPr>
          <w:p w14:paraId="77F91972" w14:textId="77777777" w:rsidR="0054488D" w:rsidRPr="005734B8" w:rsidRDefault="0054488D" w:rsidP="000C192E">
            <w:pPr>
              <w:pStyle w:val="ESTablenumberrightaligned"/>
              <w:rPr>
                <w:rFonts w:ascii="Calibri" w:hAnsi="Calibri" w:cs="Calibri"/>
                <w:sz w:val="18"/>
              </w:rPr>
            </w:pPr>
            <w:r w:rsidRPr="005734B8">
              <w:rPr>
                <w:rFonts w:ascii="Calibri" w:hAnsi="Calibri" w:cs="Calibri"/>
                <w:sz w:val="18"/>
                <w:lang w:val="en-AU"/>
              </w:rPr>
              <w:sym w:font="Wingdings" w:char="F06E"/>
            </w:r>
          </w:p>
        </w:tc>
      </w:tr>
      <w:tr w:rsidR="0054488D" w:rsidRPr="005734B8" w14:paraId="3D2393B8" w14:textId="77777777" w:rsidTr="000C192E">
        <w:trPr>
          <w:cantSplit/>
        </w:trPr>
        <w:tc>
          <w:tcPr>
            <w:tcW w:w="9010" w:type="dxa"/>
            <w:gridSpan w:val="9"/>
            <w:tcBorders>
              <w:top w:val="single" w:sz="4" w:space="0" w:color="53565A" w:themeColor="accent5"/>
              <w:bottom w:val="single" w:sz="4" w:space="0" w:color="53565A" w:themeColor="accent5"/>
            </w:tcBorders>
            <w:shd w:val="clear" w:color="auto" w:fill="auto"/>
          </w:tcPr>
          <w:p w14:paraId="2D875DBB" w14:textId="5A5566FD" w:rsidR="0054488D" w:rsidRPr="005734B8" w:rsidRDefault="0054488D" w:rsidP="000C192E">
            <w:pPr>
              <w:pStyle w:val="ESTablebody"/>
              <w:rPr>
                <w:rFonts w:ascii="Calibri" w:hAnsi="Calibri" w:cs="Calibri"/>
                <w:i/>
                <w:iCs/>
                <w:sz w:val="16"/>
              </w:rPr>
            </w:pPr>
            <w:r w:rsidRPr="005734B8">
              <w:rPr>
                <w:rFonts w:ascii="Calibri" w:hAnsi="Calibri" w:cs="Calibri"/>
                <w:i/>
                <w:sz w:val="16"/>
                <w:szCs w:val="20"/>
              </w:rPr>
              <w:t xml:space="preserve">The above performance measure </w:t>
            </w:r>
            <w:r w:rsidRPr="005734B8">
              <w:rPr>
                <w:rFonts w:ascii="Calibri" w:hAnsi="Calibri" w:cs="Calibri"/>
                <w:i/>
                <w:sz w:val="16"/>
              </w:rPr>
              <w:t>relates to the calendar year and excludes children who participate in a second year of the four-year old kindergarten program. The 2020–21 outcome is lower than the 2020–21 target</w:t>
            </w:r>
            <w:r w:rsidR="00864366" w:rsidRPr="005734B8">
              <w:rPr>
                <w:rFonts w:ascii="Calibri" w:hAnsi="Calibri" w:cs="Calibri"/>
                <w:i/>
                <w:sz w:val="16"/>
              </w:rPr>
              <w:t>,</w:t>
            </w:r>
            <w:r w:rsidRPr="005734B8">
              <w:rPr>
                <w:rFonts w:ascii="Calibri" w:hAnsi="Calibri" w:cs="Calibri"/>
                <w:i/>
                <w:sz w:val="16"/>
              </w:rPr>
              <w:t xml:space="preserve"> due in part to the impact of the COVID-19 pandemic on the number of children enrolling after the kindergarten year commenced, with very few children enrolling from Term 2 onwards.</w:t>
            </w:r>
          </w:p>
        </w:tc>
      </w:tr>
      <w:tr w:rsidR="0054488D" w:rsidRPr="005734B8" w14:paraId="13BD5042" w14:textId="77777777" w:rsidTr="000C192E">
        <w:trPr>
          <w:cantSplit/>
        </w:trPr>
        <w:tc>
          <w:tcPr>
            <w:tcW w:w="2886" w:type="dxa"/>
            <w:gridSpan w:val="2"/>
            <w:tcBorders>
              <w:top w:val="single" w:sz="4" w:space="0" w:color="53565A" w:themeColor="accent5"/>
              <w:bottom w:val="single" w:sz="4" w:space="0" w:color="53565A" w:themeColor="accent5"/>
            </w:tcBorders>
            <w:shd w:val="clear" w:color="auto" w:fill="auto"/>
          </w:tcPr>
          <w:p w14:paraId="18E6C9F2" w14:textId="77777777" w:rsidR="0054488D" w:rsidRPr="005734B8" w:rsidRDefault="0054488D" w:rsidP="000C192E">
            <w:pPr>
              <w:pStyle w:val="ESTablebody"/>
              <w:rPr>
                <w:rFonts w:ascii="Calibri" w:hAnsi="Calibri" w:cs="Calibri"/>
                <w:sz w:val="18"/>
              </w:rPr>
            </w:pPr>
            <w:r w:rsidRPr="005734B8">
              <w:rPr>
                <w:rFonts w:ascii="Calibri" w:hAnsi="Calibri" w:cs="Calibri"/>
                <w:sz w:val="18"/>
                <w:lang w:val="en-AU"/>
              </w:rPr>
              <w:t>Kindergarten participation rate for Aboriginal children in the year before school</w:t>
            </w:r>
          </w:p>
        </w:tc>
        <w:tc>
          <w:tcPr>
            <w:tcW w:w="1135" w:type="dxa"/>
            <w:tcBorders>
              <w:top w:val="single" w:sz="4" w:space="0" w:color="53565A" w:themeColor="accent5"/>
              <w:bottom w:val="single" w:sz="4" w:space="0" w:color="53565A" w:themeColor="accent5"/>
            </w:tcBorders>
            <w:shd w:val="clear" w:color="auto" w:fill="auto"/>
          </w:tcPr>
          <w:p w14:paraId="68DE030E" w14:textId="77777777" w:rsidR="0054488D" w:rsidRPr="005734B8" w:rsidRDefault="0054488D" w:rsidP="000C192E">
            <w:pPr>
              <w:pStyle w:val="ESTablebody"/>
              <w:rPr>
                <w:rFonts w:ascii="Calibri" w:hAnsi="Calibri" w:cs="Calibri"/>
                <w:sz w:val="18"/>
              </w:rPr>
            </w:pPr>
            <w:r w:rsidRPr="005734B8">
              <w:rPr>
                <w:rFonts w:ascii="Calibri" w:hAnsi="Calibri" w:cs="Calibri"/>
                <w:sz w:val="18"/>
                <w:lang w:val="en-AU"/>
              </w:rPr>
              <w:t>per cent</w:t>
            </w:r>
          </w:p>
        </w:tc>
        <w:tc>
          <w:tcPr>
            <w:tcW w:w="1113" w:type="dxa"/>
            <w:gridSpan w:val="2"/>
            <w:tcBorders>
              <w:top w:val="single" w:sz="4" w:space="0" w:color="53565A" w:themeColor="accent5"/>
              <w:bottom w:val="single" w:sz="4" w:space="0" w:color="53565A" w:themeColor="accent5"/>
            </w:tcBorders>
            <w:shd w:val="clear" w:color="auto" w:fill="D9D9D6" w:themeFill="accent1"/>
          </w:tcPr>
          <w:p w14:paraId="28282E7E"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100.0</w:t>
            </w:r>
          </w:p>
        </w:tc>
        <w:tc>
          <w:tcPr>
            <w:tcW w:w="1338" w:type="dxa"/>
            <w:tcBorders>
              <w:top w:val="single" w:sz="4" w:space="0" w:color="53565A" w:themeColor="accent5"/>
              <w:bottom w:val="single" w:sz="4" w:space="0" w:color="53565A" w:themeColor="accent5"/>
            </w:tcBorders>
            <w:shd w:val="clear" w:color="auto" w:fill="FFFFFF" w:themeFill="background1"/>
          </w:tcPr>
          <w:p w14:paraId="288C5BA9"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90.0</w:t>
            </w:r>
          </w:p>
        </w:tc>
        <w:tc>
          <w:tcPr>
            <w:tcW w:w="1631" w:type="dxa"/>
            <w:gridSpan w:val="2"/>
            <w:tcBorders>
              <w:top w:val="single" w:sz="4" w:space="0" w:color="53565A" w:themeColor="accent5"/>
              <w:bottom w:val="single" w:sz="4" w:space="0" w:color="53565A" w:themeColor="accent5"/>
            </w:tcBorders>
          </w:tcPr>
          <w:p w14:paraId="2BA52B9A"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11.1</w:t>
            </w:r>
          </w:p>
        </w:tc>
        <w:tc>
          <w:tcPr>
            <w:tcW w:w="907" w:type="dxa"/>
            <w:tcBorders>
              <w:top w:val="single" w:sz="4" w:space="0" w:color="53565A" w:themeColor="accent5"/>
              <w:bottom w:val="single" w:sz="4" w:space="0" w:color="53565A" w:themeColor="accent5"/>
            </w:tcBorders>
          </w:tcPr>
          <w:p w14:paraId="7A86782D" w14:textId="77777777" w:rsidR="0054488D" w:rsidRPr="005734B8" w:rsidRDefault="0054488D" w:rsidP="000C192E">
            <w:pPr>
              <w:pStyle w:val="ESTablenumberrightaligned"/>
              <w:rPr>
                <w:rFonts w:ascii="Calibri" w:hAnsi="Calibri" w:cs="Calibri"/>
                <w:sz w:val="18"/>
              </w:rPr>
            </w:pPr>
            <w:r w:rsidRPr="005734B8">
              <w:rPr>
                <w:rFonts w:ascii="Calibri" w:hAnsi="Calibri" w:cs="Calibri"/>
                <w:sz w:val="18"/>
                <w:lang w:val="en-AU"/>
              </w:rPr>
              <w:sym w:font="Wingdings" w:char="F0FC"/>
            </w:r>
          </w:p>
        </w:tc>
      </w:tr>
      <w:tr w:rsidR="0054488D" w:rsidRPr="005734B8" w14:paraId="437EBBA3" w14:textId="77777777" w:rsidTr="00FC359E">
        <w:trPr>
          <w:cantSplit/>
        </w:trPr>
        <w:tc>
          <w:tcPr>
            <w:tcW w:w="9010" w:type="dxa"/>
            <w:gridSpan w:val="9"/>
            <w:tcBorders>
              <w:top w:val="single" w:sz="4" w:space="0" w:color="53565A" w:themeColor="accent5"/>
              <w:bottom w:val="single" w:sz="4" w:space="0" w:color="auto"/>
            </w:tcBorders>
            <w:shd w:val="clear" w:color="auto" w:fill="auto"/>
          </w:tcPr>
          <w:p w14:paraId="60BCBBD5" w14:textId="7F53F950" w:rsidR="0054488D" w:rsidRPr="005734B8" w:rsidRDefault="0054488D" w:rsidP="000C192E">
            <w:pPr>
              <w:pStyle w:val="ESTablebody"/>
              <w:rPr>
                <w:rFonts w:ascii="Calibri" w:hAnsi="Calibri" w:cs="Calibri"/>
                <w:i/>
                <w:sz w:val="16"/>
              </w:rPr>
            </w:pPr>
            <w:r w:rsidRPr="005734B8">
              <w:rPr>
                <w:rFonts w:ascii="Calibri" w:hAnsi="Calibri" w:cs="Calibri"/>
                <w:i/>
                <w:sz w:val="16"/>
                <w:szCs w:val="20"/>
              </w:rPr>
              <w:t xml:space="preserve">The above performance measure </w:t>
            </w:r>
            <w:r w:rsidRPr="005734B8">
              <w:rPr>
                <w:rFonts w:ascii="Calibri" w:hAnsi="Calibri" w:cs="Calibri"/>
                <w:i/>
                <w:sz w:val="16"/>
              </w:rPr>
              <w:t>relates to the calendar year</w:t>
            </w:r>
            <w:r w:rsidR="0048531E" w:rsidRPr="005734B8">
              <w:rPr>
                <w:rFonts w:ascii="Calibri" w:hAnsi="Calibri" w:cs="Calibri"/>
                <w:i/>
                <w:sz w:val="16"/>
              </w:rPr>
              <w:t>,</w:t>
            </w:r>
            <w:r w:rsidRPr="005734B8">
              <w:rPr>
                <w:rFonts w:ascii="Calibri" w:hAnsi="Calibri" w:cs="Calibri"/>
                <w:i/>
                <w:sz w:val="16"/>
              </w:rPr>
              <w:t xml:space="preserve"> and excludes children who participate in a second year of the four-year-old kindergarten program. The 2020–21 outcome is higher than the target due to the continued success of initiatives to increase participation for Aboriginal children, including the Koorie Kids Shine at Kindergarten campaign.</w:t>
            </w:r>
          </w:p>
        </w:tc>
      </w:tr>
      <w:tr w:rsidR="00FC359E" w:rsidRPr="005734B8" w14:paraId="06F34598" w14:textId="77777777" w:rsidTr="00FC359E">
        <w:trPr>
          <w:cantSplit/>
        </w:trPr>
        <w:tc>
          <w:tcPr>
            <w:tcW w:w="9010" w:type="dxa"/>
            <w:gridSpan w:val="9"/>
            <w:tcBorders>
              <w:top w:val="single" w:sz="4" w:space="0" w:color="auto"/>
              <w:left w:val="nil"/>
              <w:bottom w:val="nil"/>
              <w:right w:val="nil"/>
            </w:tcBorders>
            <w:shd w:val="clear" w:color="auto" w:fill="auto"/>
          </w:tcPr>
          <w:p w14:paraId="3F2B9B58" w14:textId="77777777" w:rsidR="00FC359E" w:rsidRPr="005734B8" w:rsidRDefault="00FC359E" w:rsidP="000C192E">
            <w:pPr>
              <w:pStyle w:val="ESTablebody"/>
              <w:rPr>
                <w:rFonts w:ascii="Calibri" w:hAnsi="Calibri" w:cs="Calibri"/>
                <w:i/>
                <w:sz w:val="16"/>
                <w:szCs w:val="20"/>
              </w:rPr>
            </w:pPr>
          </w:p>
        </w:tc>
      </w:tr>
      <w:tr w:rsidR="0054488D" w:rsidRPr="005734B8" w14:paraId="18021D64" w14:textId="77777777" w:rsidTr="00FC359E">
        <w:trPr>
          <w:cantSplit/>
        </w:trPr>
        <w:tc>
          <w:tcPr>
            <w:tcW w:w="2886" w:type="dxa"/>
            <w:gridSpan w:val="2"/>
            <w:tcBorders>
              <w:top w:val="nil"/>
              <w:bottom w:val="single" w:sz="4" w:space="0" w:color="53565A" w:themeColor="accent5"/>
            </w:tcBorders>
            <w:shd w:val="clear" w:color="auto" w:fill="auto"/>
          </w:tcPr>
          <w:p w14:paraId="6FF12D36" w14:textId="77777777" w:rsidR="0054488D" w:rsidRPr="005734B8" w:rsidRDefault="0054488D" w:rsidP="000C192E">
            <w:pPr>
              <w:pStyle w:val="ESTablebody"/>
              <w:rPr>
                <w:rFonts w:ascii="Calibri" w:hAnsi="Calibri" w:cs="Calibri"/>
                <w:sz w:val="18"/>
              </w:rPr>
            </w:pPr>
            <w:r w:rsidRPr="005734B8">
              <w:rPr>
                <w:rFonts w:ascii="Calibri" w:hAnsi="Calibri" w:cs="Calibri"/>
                <w:sz w:val="18"/>
                <w:lang w:val="en-AU"/>
              </w:rPr>
              <w:lastRenderedPageBreak/>
              <w:t>Children funded to participate in kindergarten in the year two years before school</w:t>
            </w:r>
          </w:p>
        </w:tc>
        <w:tc>
          <w:tcPr>
            <w:tcW w:w="1135" w:type="dxa"/>
            <w:tcBorders>
              <w:top w:val="nil"/>
              <w:bottom w:val="single" w:sz="4" w:space="0" w:color="53565A" w:themeColor="accent5"/>
            </w:tcBorders>
            <w:shd w:val="clear" w:color="auto" w:fill="auto"/>
          </w:tcPr>
          <w:p w14:paraId="12605805" w14:textId="77777777" w:rsidR="0054488D" w:rsidRPr="005734B8" w:rsidRDefault="0054488D" w:rsidP="000C192E">
            <w:pPr>
              <w:pStyle w:val="ESTablebody"/>
              <w:rPr>
                <w:rFonts w:ascii="Calibri" w:hAnsi="Calibri" w:cs="Calibri"/>
                <w:sz w:val="18"/>
              </w:rPr>
            </w:pPr>
            <w:r w:rsidRPr="005734B8">
              <w:rPr>
                <w:rFonts w:ascii="Calibri" w:hAnsi="Calibri" w:cs="Calibri"/>
                <w:sz w:val="18"/>
                <w:lang w:val="en-AU"/>
              </w:rPr>
              <w:t>number</w:t>
            </w:r>
          </w:p>
        </w:tc>
        <w:tc>
          <w:tcPr>
            <w:tcW w:w="1113" w:type="dxa"/>
            <w:gridSpan w:val="2"/>
            <w:tcBorders>
              <w:top w:val="nil"/>
              <w:bottom w:val="single" w:sz="4" w:space="0" w:color="53565A" w:themeColor="accent5"/>
            </w:tcBorders>
            <w:shd w:val="clear" w:color="auto" w:fill="D9D9D6" w:themeFill="accent1"/>
          </w:tcPr>
          <w:p w14:paraId="151D84C5"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2,673</w:t>
            </w:r>
          </w:p>
        </w:tc>
        <w:tc>
          <w:tcPr>
            <w:tcW w:w="1338" w:type="dxa"/>
            <w:tcBorders>
              <w:top w:val="nil"/>
              <w:bottom w:val="single" w:sz="4" w:space="0" w:color="53565A" w:themeColor="accent5"/>
            </w:tcBorders>
            <w:shd w:val="clear" w:color="auto" w:fill="FFFFFF" w:themeFill="background1"/>
          </w:tcPr>
          <w:p w14:paraId="287B41F3"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2,300</w:t>
            </w:r>
          </w:p>
        </w:tc>
        <w:tc>
          <w:tcPr>
            <w:tcW w:w="1631" w:type="dxa"/>
            <w:gridSpan w:val="2"/>
            <w:tcBorders>
              <w:top w:val="nil"/>
              <w:bottom w:val="single" w:sz="4" w:space="0" w:color="53565A" w:themeColor="accent5"/>
            </w:tcBorders>
          </w:tcPr>
          <w:p w14:paraId="1B9DCC97"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16.2</w:t>
            </w:r>
          </w:p>
        </w:tc>
        <w:tc>
          <w:tcPr>
            <w:tcW w:w="907" w:type="dxa"/>
            <w:tcBorders>
              <w:top w:val="nil"/>
              <w:bottom w:val="single" w:sz="4" w:space="0" w:color="53565A" w:themeColor="accent5"/>
            </w:tcBorders>
          </w:tcPr>
          <w:p w14:paraId="0FBE7102" w14:textId="77777777" w:rsidR="0054488D" w:rsidRPr="005734B8" w:rsidRDefault="0054488D" w:rsidP="000C192E">
            <w:pPr>
              <w:pStyle w:val="ESTablenumberrightaligned"/>
              <w:rPr>
                <w:rFonts w:ascii="Calibri" w:hAnsi="Calibri" w:cs="Calibri"/>
                <w:sz w:val="18"/>
              </w:rPr>
            </w:pPr>
            <w:r w:rsidRPr="005734B8">
              <w:rPr>
                <w:rFonts w:ascii="Calibri" w:hAnsi="Calibri" w:cs="Calibri"/>
                <w:sz w:val="18"/>
                <w:lang w:val="en-AU"/>
              </w:rPr>
              <w:sym w:font="Wingdings" w:char="F0FC"/>
            </w:r>
          </w:p>
        </w:tc>
      </w:tr>
      <w:tr w:rsidR="0054488D" w:rsidRPr="005734B8" w14:paraId="1C65A716" w14:textId="77777777" w:rsidTr="000C192E">
        <w:trPr>
          <w:cantSplit/>
        </w:trPr>
        <w:tc>
          <w:tcPr>
            <w:tcW w:w="9010" w:type="dxa"/>
            <w:gridSpan w:val="9"/>
            <w:tcBorders>
              <w:top w:val="single" w:sz="4" w:space="0" w:color="53565A" w:themeColor="accent5"/>
              <w:bottom w:val="single" w:sz="4" w:space="0" w:color="53565A" w:themeColor="accent5"/>
            </w:tcBorders>
            <w:shd w:val="clear" w:color="auto" w:fill="auto"/>
          </w:tcPr>
          <w:p w14:paraId="242E39A1" w14:textId="1ED66CBE" w:rsidR="0054488D" w:rsidRPr="005734B8" w:rsidRDefault="0054488D" w:rsidP="000C192E">
            <w:pPr>
              <w:pStyle w:val="ESTablenumberrightaligned"/>
              <w:jc w:val="left"/>
              <w:rPr>
                <w:rFonts w:ascii="Calibri" w:hAnsi="Calibri" w:cs="Calibri"/>
                <w:i/>
                <w:sz w:val="16"/>
                <w:highlight w:val="magenta"/>
                <w:lang w:val="en-AU"/>
              </w:rPr>
            </w:pPr>
            <w:r w:rsidRPr="005734B8">
              <w:rPr>
                <w:rFonts w:ascii="Calibri" w:hAnsi="Calibri" w:cs="Calibri"/>
                <w:i/>
                <w:sz w:val="16"/>
                <w:szCs w:val="20"/>
              </w:rPr>
              <w:t xml:space="preserve">The above performance measure </w:t>
            </w:r>
            <w:r w:rsidRPr="005734B8">
              <w:rPr>
                <w:rFonts w:ascii="Calibri" w:hAnsi="Calibri" w:cs="Calibri"/>
                <w:i/>
                <w:sz w:val="16"/>
                <w:lang w:val="en-AU"/>
              </w:rPr>
              <w:t>relates to the calendar year</w:t>
            </w:r>
            <w:r w:rsidR="0048531E" w:rsidRPr="005734B8">
              <w:rPr>
                <w:rFonts w:ascii="Calibri" w:hAnsi="Calibri" w:cs="Calibri"/>
                <w:i/>
                <w:sz w:val="16"/>
                <w:lang w:val="en-AU"/>
              </w:rPr>
              <w:t>,</w:t>
            </w:r>
            <w:r w:rsidRPr="005734B8">
              <w:rPr>
                <w:rFonts w:ascii="Calibri" w:hAnsi="Calibri" w:cs="Calibri"/>
                <w:i/>
                <w:sz w:val="16"/>
                <w:lang w:val="en-AU"/>
              </w:rPr>
              <w:t xml:space="preserve"> and includes children in Early Start Kindergarten (ESK) and the phased rollout of </w:t>
            </w:r>
            <w:r w:rsidR="005C1547">
              <w:rPr>
                <w:rFonts w:ascii="Calibri" w:hAnsi="Calibri" w:cs="Calibri"/>
                <w:i/>
                <w:sz w:val="16"/>
                <w:lang w:val="en-AU"/>
              </w:rPr>
              <w:t>T</w:t>
            </w:r>
            <w:r w:rsidRPr="005734B8">
              <w:rPr>
                <w:rFonts w:ascii="Calibri" w:hAnsi="Calibri" w:cs="Calibri"/>
                <w:i/>
                <w:sz w:val="16"/>
                <w:lang w:val="en-AU"/>
              </w:rPr>
              <w:t>hree-</w:t>
            </w:r>
            <w:r w:rsidR="005C1547">
              <w:rPr>
                <w:rFonts w:ascii="Calibri" w:hAnsi="Calibri" w:cs="Calibri"/>
                <w:i/>
                <w:sz w:val="16"/>
                <w:lang w:val="en-AU"/>
              </w:rPr>
              <w:t>Y</w:t>
            </w:r>
            <w:r w:rsidRPr="005734B8">
              <w:rPr>
                <w:rFonts w:ascii="Calibri" w:hAnsi="Calibri" w:cs="Calibri"/>
                <w:i/>
                <w:sz w:val="16"/>
                <w:lang w:val="en-AU"/>
              </w:rPr>
              <w:t xml:space="preserve">ear-old </w:t>
            </w:r>
            <w:r w:rsidR="005C1547">
              <w:rPr>
                <w:rFonts w:ascii="Calibri" w:hAnsi="Calibri" w:cs="Calibri"/>
                <w:i/>
                <w:sz w:val="16"/>
                <w:lang w:val="en-AU"/>
              </w:rPr>
              <w:t>K</w:t>
            </w:r>
            <w:r w:rsidRPr="005734B8">
              <w:rPr>
                <w:rFonts w:ascii="Calibri" w:hAnsi="Calibri" w:cs="Calibri"/>
                <w:i/>
                <w:sz w:val="16"/>
                <w:lang w:val="en-AU"/>
              </w:rPr>
              <w:t>indergarten. The 2020</w:t>
            </w:r>
            <w:r w:rsidRPr="005734B8">
              <w:rPr>
                <w:rFonts w:ascii="Calibri" w:hAnsi="Calibri" w:cs="Calibri"/>
                <w:i/>
                <w:iCs/>
                <w:sz w:val="16"/>
                <w:lang w:val="en-AU"/>
              </w:rPr>
              <w:t>–</w:t>
            </w:r>
            <w:r w:rsidRPr="005734B8">
              <w:rPr>
                <w:rFonts w:ascii="Calibri" w:hAnsi="Calibri" w:cs="Calibri"/>
                <w:i/>
                <w:sz w:val="16"/>
                <w:lang w:val="en-AU"/>
              </w:rPr>
              <w:t xml:space="preserve">21 outcome is higher than the target due to an increase in ESK uptake among children known to </w:t>
            </w:r>
            <w:r w:rsidR="0048531E" w:rsidRPr="005734B8">
              <w:rPr>
                <w:rFonts w:ascii="Calibri" w:hAnsi="Calibri" w:cs="Calibri"/>
                <w:i/>
                <w:sz w:val="16"/>
                <w:lang w:val="en-AU"/>
              </w:rPr>
              <w:t>C</w:t>
            </w:r>
            <w:r w:rsidRPr="005734B8">
              <w:rPr>
                <w:rFonts w:ascii="Calibri" w:hAnsi="Calibri" w:cs="Calibri"/>
                <w:i/>
                <w:sz w:val="16"/>
                <w:lang w:val="en-AU"/>
              </w:rPr>
              <w:t xml:space="preserve">hild </w:t>
            </w:r>
            <w:r w:rsidR="0048531E" w:rsidRPr="005734B8">
              <w:rPr>
                <w:rFonts w:ascii="Calibri" w:hAnsi="Calibri" w:cs="Calibri"/>
                <w:i/>
                <w:sz w:val="16"/>
                <w:lang w:val="en-AU"/>
              </w:rPr>
              <w:t>P</w:t>
            </w:r>
            <w:r w:rsidRPr="005734B8">
              <w:rPr>
                <w:rFonts w:ascii="Calibri" w:hAnsi="Calibri" w:cs="Calibri"/>
                <w:i/>
                <w:sz w:val="16"/>
                <w:lang w:val="en-AU"/>
              </w:rPr>
              <w:t>rotection. This reflects targeted interventions aimed at increasing participation of vulnerable children in funded kindergarten, including Early Childhood LOOKOUT, supporting children in out</w:t>
            </w:r>
            <w:r w:rsidRPr="005734B8">
              <w:rPr>
                <w:rFonts w:ascii="Calibri" w:hAnsi="Calibri" w:cs="Calibri"/>
                <w:i/>
                <w:iCs/>
                <w:sz w:val="16"/>
                <w:lang w:val="en-AU"/>
              </w:rPr>
              <w:noBreakHyphen/>
            </w:r>
            <w:r w:rsidRPr="005734B8">
              <w:rPr>
                <w:rFonts w:ascii="Calibri" w:hAnsi="Calibri" w:cs="Calibri"/>
                <w:i/>
                <w:sz w:val="16"/>
                <w:lang w:val="en-AU"/>
              </w:rPr>
              <w:t>of-home care.</w:t>
            </w:r>
          </w:p>
        </w:tc>
      </w:tr>
      <w:tr w:rsidR="0054488D" w:rsidRPr="005734B8" w14:paraId="612A5C01" w14:textId="77777777" w:rsidTr="000C192E">
        <w:trPr>
          <w:cantSplit/>
        </w:trPr>
        <w:tc>
          <w:tcPr>
            <w:tcW w:w="2886" w:type="dxa"/>
            <w:gridSpan w:val="2"/>
            <w:tcBorders>
              <w:top w:val="single" w:sz="4" w:space="0" w:color="53565A" w:themeColor="accent5"/>
              <w:bottom w:val="single" w:sz="4" w:space="0" w:color="53565A" w:themeColor="accent5"/>
            </w:tcBorders>
            <w:shd w:val="clear" w:color="auto" w:fill="auto"/>
          </w:tcPr>
          <w:p w14:paraId="02C7C96B" w14:textId="77777777" w:rsidR="0054488D" w:rsidRPr="005734B8" w:rsidRDefault="0054488D" w:rsidP="000C192E">
            <w:pPr>
              <w:pStyle w:val="ESTablebody"/>
              <w:rPr>
                <w:rFonts w:ascii="Calibri" w:hAnsi="Calibri" w:cs="Calibri"/>
                <w:sz w:val="18"/>
                <w:lang w:val="en-AU"/>
              </w:rPr>
            </w:pPr>
            <w:r w:rsidRPr="005734B8">
              <w:rPr>
                <w:rFonts w:ascii="Calibri" w:hAnsi="Calibri" w:cs="Calibri"/>
                <w:sz w:val="18"/>
                <w:lang w:val="en-AU"/>
              </w:rPr>
              <w:t>Average number of inspections per service</w:t>
            </w:r>
          </w:p>
        </w:tc>
        <w:tc>
          <w:tcPr>
            <w:tcW w:w="1135" w:type="dxa"/>
            <w:tcBorders>
              <w:top w:val="single" w:sz="4" w:space="0" w:color="53565A" w:themeColor="accent5"/>
              <w:bottom w:val="single" w:sz="4" w:space="0" w:color="53565A" w:themeColor="accent5"/>
            </w:tcBorders>
            <w:shd w:val="clear" w:color="auto" w:fill="auto"/>
          </w:tcPr>
          <w:p w14:paraId="4586B9DB" w14:textId="77777777" w:rsidR="0054488D" w:rsidRPr="005734B8" w:rsidRDefault="0054488D" w:rsidP="000C192E">
            <w:pPr>
              <w:pStyle w:val="ESTablebody"/>
              <w:rPr>
                <w:rFonts w:ascii="Calibri" w:hAnsi="Calibri" w:cs="Calibri"/>
                <w:sz w:val="18"/>
                <w:lang w:val="en-AU"/>
              </w:rPr>
            </w:pPr>
            <w:r w:rsidRPr="005734B8">
              <w:rPr>
                <w:rFonts w:ascii="Calibri" w:hAnsi="Calibri" w:cs="Calibri"/>
                <w:sz w:val="18"/>
                <w:lang w:val="en-AU"/>
              </w:rPr>
              <w:t>number</w:t>
            </w:r>
          </w:p>
        </w:tc>
        <w:tc>
          <w:tcPr>
            <w:tcW w:w="1113" w:type="dxa"/>
            <w:gridSpan w:val="2"/>
            <w:tcBorders>
              <w:top w:val="single" w:sz="4" w:space="0" w:color="53565A" w:themeColor="accent5"/>
              <w:bottom w:val="single" w:sz="4" w:space="0" w:color="53565A" w:themeColor="accent5"/>
            </w:tcBorders>
            <w:shd w:val="clear" w:color="auto" w:fill="D9D9D6" w:themeFill="accent1"/>
          </w:tcPr>
          <w:p w14:paraId="5C94D1F0"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0.58</w:t>
            </w:r>
          </w:p>
        </w:tc>
        <w:tc>
          <w:tcPr>
            <w:tcW w:w="1338" w:type="dxa"/>
            <w:tcBorders>
              <w:top w:val="single" w:sz="4" w:space="0" w:color="53565A" w:themeColor="accent5"/>
              <w:bottom w:val="single" w:sz="4" w:space="0" w:color="53565A" w:themeColor="accent5"/>
            </w:tcBorders>
            <w:shd w:val="clear" w:color="auto" w:fill="FFFFFF" w:themeFill="background1"/>
          </w:tcPr>
          <w:p w14:paraId="5446CAB0"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0.85</w:t>
            </w:r>
          </w:p>
        </w:tc>
        <w:tc>
          <w:tcPr>
            <w:tcW w:w="1631" w:type="dxa"/>
            <w:gridSpan w:val="2"/>
            <w:tcBorders>
              <w:top w:val="single" w:sz="4" w:space="0" w:color="53565A" w:themeColor="accent5"/>
              <w:bottom w:val="single" w:sz="4" w:space="0" w:color="53565A" w:themeColor="accent5"/>
            </w:tcBorders>
          </w:tcPr>
          <w:p w14:paraId="3ADAAE5C"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–31.8</w:t>
            </w:r>
          </w:p>
        </w:tc>
        <w:tc>
          <w:tcPr>
            <w:tcW w:w="907" w:type="dxa"/>
            <w:tcBorders>
              <w:top w:val="single" w:sz="4" w:space="0" w:color="53565A" w:themeColor="accent5"/>
              <w:bottom w:val="single" w:sz="4" w:space="0" w:color="53565A" w:themeColor="accent5"/>
            </w:tcBorders>
          </w:tcPr>
          <w:p w14:paraId="725FD2E4" w14:textId="77777777" w:rsidR="0054488D" w:rsidRPr="005734B8" w:rsidRDefault="0054488D" w:rsidP="000C192E">
            <w:pPr>
              <w:pStyle w:val="ESTablenumberrightaligned"/>
              <w:rPr>
                <w:rFonts w:ascii="Calibri" w:hAnsi="Calibri" w:cs="Calibri"/>
                <w:sz w:val="18"/>
              </w:rPr>
            </w:pPr>
            <w:r w:rsidRPr="005734B8">
              <w:rPr>
                <w:rFonts w:ascii="Calibri" w:hAnsi="Calibri" w:cs="Calibri"/>
                <w:sz w:val="18"/>
                <w:lang w:val="en-AU"/>
              </w:rPr>
              <w:sym w:font="Wingdings" w:char="F06E"/>
            </w:r>
          </w:p>
        </w:tc>
      </w:tr>
      <w:tr w:rsidR="0054488D" w:rsidRPr="005734B8" w14:paraId="11AE108C" w14:textId="77777777" w:rsidTr="000C192E">
        <w:trPr>
          <w:cantSplit/>
        </w:trPr>
        <w:tc>
          <w:tcPr>
            <w:tcW w:w="9010" w:type="dxa"/>
            <w:gridSpan w:val="9"/>
            <w:tcBorders>
              <w:top w:val="single" w:sz="4" w:space="0" w:color="53565A" w:themeColor="accent5"/>
              <w:bottom w:val="single" w:sz="4" w:space="0" w:color="53565A" w:themeColor="accent5"/>
            </w:tcBorders>
            <w:shd w:val="clear" w:color="auto" w:fill="auto"/>
          </w:tcPr>
          <w:p w14:paraId="311870D9" w14:textId="48B417DF" w:rsidR="0054488D" w:rsidRPr="005734B8" w:rsidRDefault="0054488D" w:rsidP="000C192E">
            <w:pPr>
              <w:pStyle w:val="ESTablenumberrightaligned"/>
              <w:jc w:val="left"/>
              <w:rPr>
                <w:rFonts w:ascii="Calibri" w:hAnsi="Calibri" w:cs="Calibri"/>
                <w:i/>
                <w:iCs/>
                <w:color w:val="FF0000"/>
                <w:sz w:val="16"/>
                <w:lang w:val="en-AU"/>
              </w:rPr>
            </w:pPr>
            <w:r w:rsidRPr="005734B8">
              <w:rPr>
                <w:rFonts w:ascii="Calibri" w:hAnsi="Calibri" w:cs="Calibri"/>
                <w:i/>
                <w:sz w:val="16"/>
                <w:szCs w:val="20"/>
              </w:rPr>
              <w:t xml:space="preserve">The above performance measure </w:t>
            </w:r>
            <w:r w:rsidRPr="005734B8">
              <w:rPr>
                <w:rFonts w:ascii="Calibri" w:hAnsi="Calibri" w:cs="Calibri"/>
                <w:i/>
                <w:sz w:val="16"/>
                <w:lang w:val="en-AU"/>
              </w:rPr>
              <w:t>relates to the calendar year. The 2020</w:t>
            </w:r>
            <w:r w:rsidRPr="005734B8">
              <w:rPr>
                <w:rFonts w:ascii="Calibri" w:hAnsi="Calibri" w:cs="Calibri"/>
                <w:i/>
                <w:iCs/>
                <w:sz w:val="16"/>
                <w:lang w:val="en-AU"/>
              </w:rPr>
              <w:t>–</w:t>
            </w:r>
            <w:r w:rsidRPr="005734B8">
              <w:rPr>
                <w:rFonts w:ascii="Calibri" w:hAnsi="Calibri" w:cs="Calibri"/>
                <w:i/>
                <w:sz w:val="16"/>
                <w:lang w:val="en-AU"/>
              </w:rPr>
              <w:t>21 outcome is lower than the target</w:t>
            </w:r>
            <w:r w:rsidR="008D5A76" w:rsidRPr="005734B8">
              <w:rPr>
                <w:rFonts w:ascii="Calibri" w:hAnsi="Calibri" w:cs="Calibri"/>
                <w:i/>
                <w:sz w:val="16"/>
                <w:lang w:val="en-AU"/>
              </w:rPr>
              <w:t>,</w:t>
            </w:r>
            <w:r w:rsidRPr="005734B8">
              <w:rPr>
                <w:rFonts w:ascii="Calibri" w:hAnsi="Calibri" w:cs="Calibri"/>
                <w:i/>
                <w:sz w:val="16"/>
                <w:lang w:val="en-AU"/>
              </w:rPr>
              <w:t xml:space="preserve"> </w:t>
            </w:r>
            <w:r w:rsidR="008D5A76" w:rsidRPr="005734B8">
              <w:rPr>
                <w:rFonts w:ascii="Calibri" w:hAnsi="Calibri" w:cs="Calibri"/>
                <w:i/>
                <w:sz w:val="16"/>
                <w:lang w:val="en-AU"/>
              </w:rPr>
              <w:t>because</w:t>
            </w:r>
            <w:r w:rsidRPr="005734B8">
              <w:rPr>
                <w:rFonts w:ascii="Calibri" w:hAnsi="Calibri" w:cs="Calibri"/>
                <w:i/>
                <w:sz w:val="16"/>
                <w:lang w:val="en-AU"/>
              </w:rPr>
              <w:t xml:space="preserve"> fewer compliance inspections and quality audits </w:t>
            </w:r>
            <w:r w:rsidR="008D5A76" w:rsidRPr="005734B8">
              <w:rPr>
                <w:rFonts w:ascii="Calibri" w:hAnsi="Calibri" w:cs="Calibri"/>
                <w:i/>
                <w:sz w:val="16"/>
                <w:lang w:val="en-AU"/>
              </w:rPr>
              <w:t>were</w:t>
            </w:r>
            <w:r w:rsidRPr="005734B8">
              <w:rPr>
                <w:rFonts w:ascii="Calibri" w:hAnsi="Calibri" w:cs="Calibri"/>
                <w:i/>
                <w:sz w:val="16"/>
                <w:lang w:val="en-AU"/>
              </w:rPr>
              <w:t xml:space="preserve"> conducted in the first half of 2020 </w:t>
            </w:r>
            <w:r w:rsidRPr="005734B8">
              <w:rPr>
                <w:rFonts w:ascii="Calibri" w:hAnsi="Calibri" w:cs="Calibri"/>
                <w:i/>
                <w:iCs/>
                <w:sz w:val="16"/>
                <w:lang w:val="en-AU"/>
              </w:rPr>
              <w:t>due to the</w:t>
            </w:r>
            <w:r w:rsidRPr="005734B8">
              <w:rPr>
                <w:rFonts w:ascii="Calibri" w:hAnsi="Calibri" w:cs="Calibri"/>
                <w:i/>
                <w:sz w:val="16"/>
                <w:lang w:val="en-AU"/>
              </w:rPr>
              <w:t xml:space="preserve"> COVID-19 </w:t>
            </w:r>
            <w:r w:rsidRPr="005734B8">
              <w:rPr>
                <w:rFonts w:ascii="Calibri" w:hAnsi="Calibri" w:cs="Calibri"/>
                <w:i/>
                <w:iCs/>
                <w:sz w:val="16"/>
                <w:lang w:val="en-AU"/>
              </w:rPr>
              <w:t>pandemic</w:t>
            </w:r>
            <w:r w:rsidRPr="005734B8">
              <w:rPr>
                <w:rFonts w:ascii="Calibri" w:hAnsi="Calibri" w:cs="Calibri"/>
                <w:i/>
                <w:sz w:val="16"/>
                <w:lang w:val="en-AU"/>
              </w:rPr>
              <w:t>.</w:t>
            </w:r>
          </w:p>
        </w:tc>
      </w:tr>
      <w:tr w:rsidR="0054488D" w:rsidRPr="005734B8" w14:paraId="3A465898" w14:textId="77777777" w:rsidTr="000C192E">
        <w:trPr>
          <w:cantSplit/>
        </w:trPr>
        <w:tc>
          <w:tcPr>
            <w:tcW w:w="2886" w:type="dxa"/>
            <w:gridSpan w:val="2"/>
            <w:tcBorders>
              <w:top w:val="single" w:sz="4" w:space="0" w:color="53565A" w:themeColor="accent5"/>
              <w:bottom w:val="single" w:sz="4" w:space="0" w:color="53565A" w:themeColor="accent5"/>
            </w:tcBorders>
            <w:shd w:val="clear" w:color="auto" w:fill="auto"/>
          </w:tcPr>
          <w:p w14:paraId="5DBD8AEC" w14:textId="77777777" w:rsidR="0054488D" w:rsidRPr="005734B8" w:rsidRDefault="0054488D" w:rsidP="000C192E">
            <w:pPr>
              <w:pStyle w:val="ESTablebody"/>
              <w:rPr>
                <w:rFonts w:ascii="Calibri" w:hAnsi="Calibri" w:cs="Calibri"/>
                <w:sz w:val="18"/>
                <w:lang w:val="en-AU"/>
              </w:rPr>
            </w:pPr>
            <w:r w:rsidRPr="005734B8">
              <w:rPr>
                <w:rFonts w:ascii="Calibri" w:hAnsi="Calibri" w:cs="Calibri"/>
                <w:sz w:val="18"/>
                <w:lang w:val="en-AU"/>
              </w:rPr>
              <w:t>Proportion of approved eligible services assessed and rated</w:t>
            </w:r>
          </w:p>
        </w:tc>
        <w:tc>
          <w:tcPr>
            <w:tcW w:w="1135" w:type="dxa"/>
            <w:tcBorders>
              <w:top w:val="single" w:sz="4" w:space="0" w:color="53565A" w:themeColor="accent5"/>
              <w:bottom w:val="single" w:sz="4" w:space="0" w:color="53565A" w:themeColor="accent5"/>
            </w:tcBorders>
            <w:shd w:val="clear" w:color="auto" w:fill="auto"/>
          </w:tcPr>
          <w:p w14:paraId="4B876530" w14:textId="77777777" w:rsidR="0054488D" w:rsidRPr="005734B8" w:rsidRDefault="0054488D" w:rsidP="000C192E">
            <w:pPr>
              <w:pStyle w:val="ESTablebody"/>
              <w:rPr>
                <w:rFonts w:ascii="Calibri" w:hAnsi="Calibri" w:cs="Calibri"/>
                <w:sz w:val="18"/>
                <w:lang w:val="en-AU"/>
              </w:rPr>
            </w:pPr>
            <w:r w:rsidRPr="005734B8">
              <w:rPr>
                <w:rFonts w:ascii="Calibri" w:hAnsi="Calibri" w:cs="Calibri"/>
                <w:sz w:val="18"/>
                <w:lang w:val="en-AU"/>
              </w:rPr>
              <w:t>per cent</w:t>
            </w:r>
          </w:p>
        </w:tc>
        <w:tc>
          <w:tcPr>
            <w:tcW w:w="1113" w:type="dxa"/>
            <w:gridSpan w:val="2"/>
            <w:tcBorders>
              <w:top w:val="single" w:sz="4" w:space="0" w:color="53565A" w:themeColor="accent5"/>
              <w:bottom w:val="single" w:sz="4" w:space="0" w:color="53565A" w:themeColor="accent5"/>
            </w:tcBorders>
            <w:shd w:val="clear" w:color="auto" w:fill="D9D9D6" w:themeFill="accent1"/>
          </w:tcPr>
          <w:p w14:paraId="2441BA08" w14:textId="7462E47A" w:rsidR="0054488D" w:rsidRPr="005734B8" w:rsidRDefault="00244EDE" w:rsidP="000C192E">
            <w:pPr>
              <w:pStyle w:val="ESTablenumberrightaligned"/>
              <w:rPr>
                <w:rFonts w:ascii="Calibri" w:hAnsi="Calibri" w:cs="Calibri"/>
                <w:sz w:val="18"/>
                <w:szCs w:val="16"/>
              </w:rPr>
            </w:pPr>
            <w:r>
              <w:rPr>
                <w:rFonts w:ascii="Calibri" w:hAnsi="Calibri" w:cs="Calibri"/>
                <w:sz w:val="18"/>
                <w:szCs w:val="16"/>
              </w:rPr>
              <w:t>6</w:t>
            </w:r>
            <w:r w:rsidR="0054488D" w:rsidRPr="005734B8">
              <w:rPr>
                <w:rFonts w:ascii="Calibri" w:hAnsi="Calibri" w:cs="Calibri"/>
                <w:sz w:val="18"/>
                <w:szCs w:val="16"/>
              </w:rPr>
              <w:t>.</w:t>
            </w:r>
            <w:r>
              <w:rPr>
                <w:rFonts w:ascii="Calibri" w:hAnsi="Calibri" w:cs="Calibri"/>
                <w:sz w:val="18"/>
                <w:szCs w:val="16"/>
              </w:rPr>
              <w:t>2</w:t>
            </w:r>
          </w:p>
        </w:tc>
        <w:tc>
          <w:tcPr>
            <w:tcW w:w="1338" w:type="dxa"/>
            <w:tcBorders>
              <w:top w:val="single" w:sz="4" w:space="0" w:color="53565A" w:themeColor="accent5"/>
              <w:bottom w:val="single" w:sz="4" w:space="0" w:color="53565A" w:themeColor="accent5"/>
            </w:tcBorders>
            <w:shd w:val="clear" w:color="auto" w:fill="FFFFFF" w:themeFill="background1"/>
          </w:tcPr>
          <w:p w14:paraId="088A8559"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25.0</w:t>
            </w:r>
          </w:p>
        </w:tc>
        <w:tc>
          <w:tcPr>
            <w:tcW w:w="1631" w:type="dxa"/>
            <w:gridSpan w:val="2"/>
            <w:tcBorders>
              <w:top w:val="single" w:sz="4" w:space="0" w:color="53565A" w:themeColor="accent5"/>
              <w:bottom w:val="single" w:sz="4" w:space="0" w:color="53565A" w:themeColor="accent5"/>
            </w:tcBorders>
          </w:tcPr>
          <w:p w14:paraId="452A62E6" w14:textId="6E270448"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–7</w:t>
            </w:r>
            <w:r w:rsidR="00244EDE">
              <w:rPr>
                <w:rFonts w:ascii="Calibri" w:hAnsi="Calibri" w:cs="Calibri"/>
                <w:sz w:val="18"/>
                <w:szCs w:val="16"/>
              </w:rPr>
              <w:t>5</w:t>
            </w:r>
            <w:r w:rsidRPr="005734B8">
              <w:rPr>
                <w:rFonts w:ascii="Calibri" w:hAnsi="Calibri" w:cs="Calibri"/>
                <w:sz w:val="18"/>
                <w:szCs w:val="16"/>
              </w:rPr>
              <w:t>.</w:t>
            </w:r>
            <w:r w:rsidR="00244EDE">
              <w:rPr>
                <w:rFonts w:ascii="Calibri" w:hAnsi="Calibri" w:cs="Calibri"/>
                <w:sz w:val="18"/>
                <w:szCs w:val="16"/>
              </w:rPr>
              <w:t>0</w:t>
            </w:r>
          </w:p>
        </w:tc>
        <w:tc>
          <w:tcPr>
            <w:tcW w:w="907" w:type="dxa"/>
            <w:tcBorders>
              <w:top w:val="single" w:sz="4" w:space="0" w:color="53565A" w:themeColor="accent5"/>
              <w:bottom w:val="single" w:sz="4" w:space="0" w:color="53565A" w:themeColor="accent5"/>
            </w:tcBorders>
          </w:tcPr>
          <w:p w14:paraId="0620FAE8" w14:textId="77777777" w:rsidR="0054488D" w:rsidRPr="005734B8" w:rsidRDefault="0054488D" w:rsidP="000C192E">
            <w:pPr>
              <w:pStyle w:val="ESTablenumberrightaligned"/>
              <w:rPr>
                <w:rFonts w:ascii="Calibri" w:hAnsi="Calibri" w:cs="Calibri"/>
                <w:sz w:val="18"/>
              </w:rPr>
            </w:pPr>
            <w:r w:rsidRPr="005734B8">
              <w:rPr>
                <w:rFonts w:ascii="Calibri" w:hAnsi="Calibri" w:cs="Calibri"/>
                <w:sz w:val="18"/>
                <w:lang w:val="en-AU"/>
              </w:rPr>
              <w:sym w:font="Wingdings" w:char="F06E"/>
            </w:r>
          </w:p>
        </w:tc>
      </w:tr>
      <w:tr w:rsidR="0054488D" w:rsidRPr="005734B8" w14:paraId="17AC968C" w14:textId="77777777" w:rsidTr="000C192E">
        <w:trPr>
          <w:cantSplit/>
        </w:trPr>
        <w:tc>
          <w:tcPr>
            <w:tcW w:w="9010" w:type="dxa"/>
            <w:gridSpan w:val="9"/>
            <w:tcBorders>
              <w:top w:val="single" w:sz="4" w:space="0" w:color="53565A" w:themeColor="accent5"/>
              <w:bottom w:val="single" w:sz="4" w:space="0" w:color="53565A" w:themeColor="accent5"/>
            </w:tcBorders>
            <w:shd w:val="clear" w:color="auto" w:fill="auto"/>
          </w:tcPr>
          <w:p w14:paraId="37C18F8B" w14:textId="77777777" w:rsidR="0054488D" w:rsidRPr="005734B8" w:rsidRDefault="0054488D" w:rsidP="000C192E">
            <w:pPr>
              <w:pStyle w:val="ESTablenumberrightaligned"/>
              <w:jc w:val="left"/>
              <w:rPr>
                <w:rFonts w:ascii="Calibri" w:hAnsi="Calibri" w:cs="Calibri"/>
                <w:sz w:val="18"/>
              </w:rPr>
            </w:pPr>
            <w:r w:rsidRPr="005734B8">
              <w:rPr>
                <w:rFonts w:ascii="Calibri" w:hAnsi="Calibri" w:cs="Calibri"/>
                <w:i/>
                <w:sz w:val="16"/>
                <w:szCs w:val="20"/>
              </w:rPr>
              <w:t xml:space="preserve">The above performance measure </w:t>
            </w:r>
            <w:r w:rsidRPr="005734B8">
              <w:rPr>
                <w:rFonts w:ascii="Calibri" w:hAnsi="Calibri" w:cs="Calibri"/>
                <w:i/>
                <w:sz w:val="16"/>
                <w:lang w:val="en-AU"/>
              </w:rPr>
              <w:t>relates to the calendar year. The 2020</w:t>
            </w:r>
            <w:r w:rsidRPr="005734B8">
              <w:rPr>
                <w:rFonts w:ascii="Calibri" w:hAnsi="Calibri" w:cs="Calibri"/>
                <w:i/>
                <w:iCs/>
                <w:sz w:val="16"/>
                <w:lang w:val="en-AU"/>
              </w:rPr>
              <w:t>–</w:t>
            </w:r>
            <w:r w:rsidRPr="005734B8">
              <w:rPr>
                <w:rFonts w:ascii="Calibri" w:hAnsi="Calibri" w:cs="Calibri"/>
                <w:i/>
                <w:sz w:val="16"/>
                <w:lang w:val="en-AU"/>
              </w:rPr>
              <w:t xml:space="preserve">21 outcome is lower than the target because the assessment and rating process was suspended for most of 2020 due to </w:t>
            </w:r>
            <w:r w:rsidRPr="005734B8">
              <w:rPr>
                <w:rFonts w:ascii="Calibri" w:hAnsi="Calibri" w:cs="Calibri"/>
                <w:i/>
                <w:iCs/>
                <w:sz w:val="16"/>
                <w:lang w:val="en-AU"/>
              </w:rPr>
              <w:t xml:space="preserve">the </w:t>
            </w:r>
            <w:r w:rsidRPr="005734B8">
              <w:rPr>
                <w:rFonts w:ascii="Calibri" w:hAnsi="Calibri" w:cs="Calibri"/>
                <w:i/>
                <w:sz w:val="16"/>
                <w:lang w:val="en-AU"/>
              </w:rPr>
              <w:t xml:space="preserve">COVID-19 </w:t>
            </w:r>
            <w:r w:rsidRPr="005734B8">
              <w:rPr>
                <w:rFonts w:ascii="Calibri" w:hAnsi="Calibri" w:cs="Calibri"/>
                <w:i/>
                <w:iCs/>
                <w:sz w:val="16"/>
                <w:lang w:val="en-AU"/>
              </w:rPr>
              <w:t>pandemic</w:t>
            </w:r>
            <w:r w:rsidRPr="005734B8">
              <w:rPr>
                <w:rFonts w:ascii="Calibri" w:hAnsi="Calibri" w:cs="Calibri"/>
                <w:i/>
                <w:sz w:val="16"/>
                <w:lang w:val="en-AU"/>
              </w:rPr>
              <w:t>.</w:t>
            </w:r>
          </w:p>
        </w:tc>
      </w:tr>
      <w:tr w:rsidR="0054488D" w:rsidRPr="005734B8" w14:paraId="650A2724" w14:textId="77777777" w:rsidTr="000C192E">
        <w:trPr>
          <w:cantSplit/>
        </w:trPr>
        <w:tc>
          <w:tcPr>
            <w:tcW w:w="9010" w:type="dxa"/>
            <w:gridSpan w:val="9"/>
            <w:tcBorders>
              <w:top w:val="single" w:sz="4" w:space="0" w:color="53565A" w:themeColor="accent5"/>
              <w:bottom w:val="single" w:sz="4" w:space="0" w:color="53565A" w:themeColor="accent5"/>
            </w:tcBorders>
            <w:shd w:val="clear" w:color="auto" w:fill="53565A" w:themeFill="accent5"/>
          </w:tcPr>
          <w:p w14:paraId="53184489" w14:textId="77777777" w:rsidR="0054488D" w:rsidRPr="005734B8" w:rsidRDefault="0054488D" w:rsidP="000C192E">
            <w:pPr>
              <w:pStyle w:val="ESTableheading"/>
              <w:rPr>
                <w:rFonts w:ascii="Calibri" w:hAnsi="Calibri" w:cs="Calibri"/>
                <w:sz w:val="18"/>
              </w:rPr>
            </w:pPr>
            <w:r w:rsidRPr="005734B8">
              <w:rPr>
                <w:rFonts w:ascii="Calibri" w:hAnsi="Calibri" w:cs="Calibri"/>
                <w:sz w:val="18"/>
              </w:rPr>
              <w:t>Quality</w:t>
            </w:r>
          </w:p>
        </w:tc>
      </w:tr>
      <w:tr w:rsidR="0054488D" w:rsidRPr="005734B8" w14:paraId="26C32736" w14:textId="77777777" w:rsidTr="000C192E">
        <w:trPr>
          <w:cantSplit/>
        </w:trPr>
        <w:tc>
          <w:tcPr>
            <w:tcW w:w="2886" w:type="dxa"/>
            <w:gridSpan w:val="2"/>
            <w:tcBorders>
              <w:top w:val="single" w:sz="4" w:space="0" w:color="53565A" w:themeColor="accent5"/>
              <w:bottom w:val="single" w:sz="4" w:space="0" w:color="53565A" w:themeColor="accent5"/>
            </w:tcBorders>
            <w:shd w:val="clear" w:color="auto" w:fill="auto"/>
          </w:tcPr>
          <w:p w14:paraId="518C7515" w14:textId="77777777" w:rsidR="0054488D" w:rsidRPr="005734B8" w:rsidRDefault="0054488D" w:rsidP="000C192E">
            <w:pPr>
              <w:pStyle w:val="ESTablebody"/>
              <w:rPr>
                <w:rFonts w:ascii="Calibri" w:hAnsi="Calibri" w:cs="Calibri"/>
                <w:sz w:val="18"/>
              </w:rPr>
            </w:pPr>
            <w:r w:rsidRPr="005734B8">
              <w:rPr>
                <w:rFonts w:ascii="Calibri" w:hAnsi="Calibri" w:cs="Calibri"/>
                <w:sz w:val="18"/>
                <w:lang w:val="en-AU"/>
              </w:rPr>
              <w:t>Education and care services offering a funded kindergarten program assessed as exceeding the National Quality Standard</w:t>
            </w:r>
          </w:p>
        </w:tc>
        <w:tc>
          <w:tcPr>
            <w:tcW w:w="1135" w:type="dxa"/>
            <w:tcBorders>
              <w:top w:val="single" w:sz="4" w:space="0" w:color="53565A" w:themeColor="accent5"/>
              <w:bottom w:val="single" w:sz="4" w:space="0" w:color="53565A" w:themeColor="accent5"/>
            </w:tcBorders>
            <w:shd w:val="clear" w:color="auto" w:fill="auto"/>
          </w:tcPr>
          <w:p w14:paraId="14747AC7" w14:textId="77777777" w:rsidR="0054488D" w:rsidRPr="005734B8" w:rsidRDefault="0054488D" w:rsidP="000C192E">
            <w:pPr>
              <w:pStyle w:val="ESTablebody"/>
              <w:rPr>
                <w:rFonts w:ascii="Calibri" w:hAnsi="Calibri" w:cs="Calibri"/>
                <w:sz w:val="18"/>
              </w:rPr>
            </w:pPr>
            <w:r w:rsidRPr="005734B8">
              <w:rPr>
                <w:rFonts w:ascii="Calibri" w:hAnsi="Calibri" w:cs="Calibri"/>
                <w:sz w:val="18"/>
                <w:lang w:val="en-AU"/>
              </w:rPr>
              <w:t>per cent</w:t>
            </w:r>
          </w:p>
        </w:tc>
        <w:tc>
          <w:tcPr>
            <w:tcW w:w="1113" w:type="dxa"/>
            <w:gridSpan w:val="2"/>
            <w:tcBorders>
              <w:top w:val="single" w:sz="4" w:space="0" w:color="53565A" w:themeColor="accent5"/>
              <w:bottom w:val="single" w:sz="4" w:space="0" w:color="53565A" w:themeColor="accent5"/>
            </w:tcBorders>
            <w:shd w:val="clear" w:color="auto" w:fill="D9D9D6" w:themeFill="accent1"/>
          </w:tcPr>
          <w:p w14:paraId="5396D718"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43</w:t>
            </w:r>
          </w:p>
        </w:tc>
        <w:tc>
          <w:tcPr>
            <w:tcW w:w="1338" w:type="dxa"/>
            <w:tcBorders>
              <w:top w:val="single" w:sz="4" w:space="0" w:color="53565A" w:themeColor="accent5"/>
              <w:bottom w:val="single" w:sz="4" w:space="0" w:color="53565A" w:themeColor="accent5"/>
            </w:tcBorders>
            <w:shd w:val="clear" w:color="auto" w:fill="FFFFFF" w:themeFill="background1"/>
          </w:tcPr>
          <w:p w14:paraId="5CC69367"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46</w:t>
            </w:r>
          </w:p>
        </w:tc>
        <w:tc>
          <w:tcPr>
            <w:tcW w:w="1631" w:type="dxa"/>
            <w:gridSpan w:val="2"/>
            <w:tcBorders>
              <w:top w:val="single" w:sz="4" w:space="0" w:color="53565A" w:themeColor="accent5"/>
              <w:bottom w:val="single" w:sz="4" w:space="0" w:color="53565A" w:themeColor="accent5"/>
            </w:tcBorders>
          </w:tcPr>
          <w:p w14:paraId="4911AE89"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–6.5</w:t>
            </w:r>
          </w:p>
        </w:tc>
        <w:tc>
          <w:tcPr>
            <w:tcW w:w="907" w:type="dxa"/>
            <w:tcBorders>
              <w:top w:val="single" w:sz="4" w:space="0" w:color="53565A" w:themeColor="accent5"/>
              <w:bottom w:val="single" w:sz="4" w:space="0" w:color="53565A" w:themeColor="accent5"/>
            </w:tcBorders>
          </w:tcPr>
          <w:p w14:paraId="4661889F" w14:textId="77777777" w:rsidR="0054488D" w:rsidRPr="005734B8" w:rsidRDefault="0054488D" w:rsidP="000C192E">
            <w:pPr>
              <w:pStyle w:val="ESTablenumberrightaligned"/>
              <w:rPr>
                <w:rFonts w:ascii="Calibri" w:hAnsi="Calibri" w:cs="Calibri"/>
                <w:sz w:val="18"/>
              </w:rPr>
            </w:pPr>
            <w:r w:rsidRPr="005734B8">
              <w:rPr>
                <w:rFonts w:ascii="Calibri" w:hAnsi="Calibri" w:cs="Calibri"/>
                <w:sz w:val="18"/>
                <w:lang w:val="en-AU"/>
              </w:rPr>
              <w:sym w:font="Wingdings" w:char="F06E"/>
            </w:r>
          </w:p>
        </w:tc>
      </w:tr>
      <w:tr w:rsidR="0054488D" w:rsidRPr="005734B8" w14:paraId="267C6918" w14:textId="77777777" w:rsidTr="000C192E">
        <w:trPr>
          <w:cantSplit/>
        </w:trPr>
        <w:tc>
          <w:tcPr>
            <w:tcW w:w="9010" w:type="dxa"/>
            <w:gridSpan w:val="9"/>
            <w:tcBorders>
              <w:top w:val="single" w:sz="4" w:space="0" w:color="53565A" w:themeColor="accent5"/>
              <w:bottom w:val="single" w:sz="4" w:space="0" w:color="53565A" w:themeColor="accent5"/>
            </w:tcBorders>
            <w:shd w:val="clear" w:color="auto" w:fill="auto"/>
          </w:tcPr>
          <w:p w14:paraId="27C4083A" w14:textId="220A0FD5" w:rsidR="0054488D" w:rsidRPr="005734B8" w:rsidRDefault="0054488D" w:rsidP="000C192E">
            <w:pPr>
              <w:pStyle w:val="ESTablenumberrightaligned"/>
              <w:jc w:val="left"/>
              <w:rPr>
                <w:rFonts w:ascii="Calibri" w:hAnsi="Calibri" w:cs="Calibri"/>
                <w:i/>
                <w:sz w:val="16"/>
                <w:lang w:val="en-AU"/>
              </w:rPr>
            </w:pPr>
            <w:r w:rsidRPr="005734B8">
              <w:rPr>
                <w:rFonts w:ascii="Calibri" w:hAnsi="Calibri" w:cs="Calibri"/>
                <w:i/>
                <w:sz w:val="16"/>
                <w:szCs w:val="20"/>
              </w:rPr>
              <w:t xml:space="preserve">The above performance measure </w:t>
            </w:r>
            <w:r w:rsidRPr="005734B8">
              <w:rPr>
                <w:rFonts w:ascii="Calibri" w:hAnsi="Calibri" w:cs="Calibri"/>
                <w:i/>
                <w:sz w:val="16"/>
                <w:lang w:val="en-AU"/>
              </w:rPr>
              <w:t>relates to the calendar year. The 2020</w:t>
            </w:r>
            <w:r w:rsidRPr="005734B8">
              <w:rPr>
                <w:rFonts w:ascii="Calibri" w:hAnsi="Calibri" w:cs="Calibri"/>
                <w:i/>
                <w:iCs/>
                <w:sz w:val="16"/>
                <w:lang w:val="en-AU"/>
              </w:rPr>
              <w:t>–</w:t>
            </w:r>
            <w:r w:rsidRPr="005734B8">
              <w:rPr>
                <w:rFonts w:ascii="Calibri" w:hAnsi="Calibri" w:cs="Calibri"/>
                <w:i/>
                <w:sz w:val="16"/>
                <w:lang w:val="en-AU"/>
              </w:rPr>
              <w:t>21 outcome is lower than</w:t>
            </w:r>
            <w:r w:rsidR="009B22A6" w:rsidRPr="005734B8">
              <w:rPr>
                <w:rFonts w:ascii="Calibri" w:hAnsi="Calibri" w:cs="Calibri"/>
                <w:i/>
                <w:sz w:val="16"/>
                <w:lang w:val="en-AU"/>
              </w:rPr>
              <w:t xml:space="preserve"> the</w:t>
            </w:r>
            <w:r w:rsidRPr="005734B8">
              <w:rPr>
                <w:rFonts w:ascii="Calibri" w:hAnsi="Calibri" w:cs="Calibri"/>
                <w:i/>
                <w:sz w:val="16"/>
                <w:lang w:val="en-AU"/>
              </w:rPr>
              <w:t xml:space="preserve"> target due to the higher than usual number of long day care services that were newly funded to deliver a kindergarten program in 2020</w:t>
            </w:r>
            <w:r w:rsidR="00B26A77" w:rsidRPr="005734B8">
              <w:rPr>
                <w:rFonts w:ascii="Calibri" w:hAnsi="Calibri" w:cs="Calibri"/>
                <w:i/>
                <w:sz w:val="16"/>
                <w:lang w:val="en-AU"/>
              </w:rPr>
              <w:t>, being</w:t>
            </w:r>
            <w:r w:rsidRPr="005734B8">
              <w:rPr>
                <w:rFonts w:ascii="Calibri" w:hAnsi="Calibri" w:cs="Calibri"/>
                <w:i/>
                <w:sz w:val="16"/>
                <w:lang w:val="en-AU"/>
              </w:rPr>
              <w:t xml:space="preserve"> assessed as 'meeting' (or below) the National Quality Standard</w:t>
            </w:r>
            <w:r w:rsidR="00B26A77" w:rsidRPr="005734B8">
              <w:rPr>
                <w:rFonts w:ascii="Calibri" w:hAnsi="Calibri" w:cs="Calibri"/>
                <w:i/>
                <w:sz w:val="16"/>
                <w:lang w:val="en-AU"/>
              </w:rPr>
              <w:t>. The</w:t>
            </w:r>
            <w:r w:rsidRPr="005734B8">
              <w:rPr>
                <w:rFonts w:ascii="Calibri" w:hAnsi="Calibri" w:cs="Calibri"/>
                <w:i/>
                <w:sz w:val="16"/>
                <w:lang w:val="en-AU"/>
              </w:rPr>
              <w:t xml:space="preserve"> impact of changes made to the requirements to be assessed as 'exceeding'</w:t>
            </w:r>
            <w:r w:rsidR="00B26A77" w:rsidRPr="005734B8">
              <w:rPr>
                <w:rFonts w:ascii="Calibri" w:hAnsi="Calibri" w:cs="Calibri"/>
                <w:i/>
                <w:sz w:val="16"/>
                <w:lang w:val="en-AU"/>
              </w:rPr>
              <w:t xml:space="preserve"> also contributed to this outcome</w:t>
            </w:r>
            <w:r w:rsidRPr="005734B8">
              <w:rPr>
                <w:rFonts w:ascii="Calibri" w:hAnsi="Calibri" w:cs="Calibri"/>
                <w:i/>
                <w:sz w:val="16"/>
                <w:lang w:val="en-AU"/>
              </w:rPr>
              <w:t>.</w:t>
            </w:r>
          </w:p>
        </w:tc>
      </w:tr>
      <w:tr w:rsidR="0054488D" w:rsidRPr="005734B8" w14:paraId="46160498" w14:textId="77777777" w:rsidTr="000C192E">
        <w:trPr>
          <w:cantSplit/>
        </w:trPr>
        <w:tc>
          <w:tcPr>
            <w:tcW w:w="2886" w:type="dxa"/>
            <w:gridSpan w:val="2"/>
            <w:tcBorders>
              <w:top w:val="single" w:sz="4" w:space="0" w:color="53565A" w:themeColor="accent5"/>
              <w:bottom w:val="single" w:sz="4" w:space="0" w:color="53565A" w:themeColor="accent5"/>
            </w:tcBorders>
            <w:shd w:val="clear" w:color="auto" w:fill="auto"/>
          </w:tcPr>
          <w:p w14:paraId="0DD89743" w14:textId="77777777" w:rsidR="0054488D" w:rsidRPr="005734B8" w:rsidRDefault="0054488D" w:rsidP="000C192E">
            <w:pPr>
              <w:pStyle w:val="ESTablebody"/>
              <w:rPr>
                <w:rFonts w:ascii="Calibri" w:hAnsi="Calibri" w:cs="Calibri"/>
                <w:sz w:val="18"/>
                <w:lang w:val="en-AU"/>
              </w:rPr>
            </w:pPr>
            <w:r w:rsidRPr="005734B8">
              <w:rPr>
                <w:rFonts w:ascii="Calibri" w:hAnsi="Calibri" w:cs="Calibri"/>
                <w:sz w:val="18"/>
                <w:lang w:val="en-AU"/>
              </w:rPr>
              <w:t>Education and care services offering a funded kindergarten program assessed as meeting or exceeding the National Quality Standard</w:t>
            </w:r>
          </w:p>
        </w:tc>
        <w:tc>
          <w:tcPr>
            <w:tcW w:w="1135" w:type="dxa"/>
            <w:tcBorders>
              <w:top w:val="single" w:sz="4" w:space="0" w:color="53565A" w:themeColor="accent5"/>
              <w:bottom w:val="single" w:sz="4" w:space="0" w:color="53565A" w:themeColor="accent5"/>
            </w:tcBorders>
            <w:shd w:val="clear" w:color="auto" w:fill="auto"/>
          </w:tcPr>
          <w:p w14:paraId="492F9B23" w14:textId="77777777" w:rsidR="0054488D" w:rsidRPr="005734B8" w:rsidRDefault="0054488D" w:rsidP="000C192E">
            <w:pPr>
              <w:pStyle w:val="ESTablebody"/>
              <w:rPr>
                <w:rFonts w:ascii="Calibri" w:hAnsi="Calibri" w:cs="Calibri"/>
                <w:sz w:val="18"/>
                <w:lang w:val="en-AU"/>
              </w:rPr>
            </w:pPr>
            <w:r w:rsidRPr="005734B8">
              <w:rPr>
                <w:rFonts w:ascii="Calibri" w:hAnsi="Calibri" w:cs="Calibri"/>
                <w:sz w:val="18"/>
                <w:lang w:val="en-AU"/>
              </w:rPr>
              <w:t>per cent</w:t>
            </w:r>
          </w:p>
        </w:tc>
        <w:tc>
          <w:tcPr>
            <w:tcW w:w="1113" w:type="dxa"/>
            <w:gridSpan w:val="2"/>
            <w:tcBorders>
              <w:top w:val="single" w:sz="4" w:space="0" w:color="53565A" w:themeColor="accent5"/>
              <w:bottom w:val="single" w:sz="4" w:space="0" w:color="53565A" w:themeColor="accent5"/>
            </w:tcBorders>
            <w:shd w:val="clear" w:color="auto" w:fill="D9D9D6" w:themeFill="accent1"/>
          </w:tcPr>
          <w:p w14:paraId="425F7797"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91</w:t>
            </w:r>
          </w:p>
        </w:tc>
        <w:tc>
          <w:tcPr>
            <w:tcW w:w="1338" w:type="dxa"/>
            <w:tcBorders>
              <w:top w:val="single" w:sz="4" w:space="0" w:color="53565A" w:themeColor="accent5"/>
              <w:bottom w:val="single" w:sz="4" w:space="0" w:color="53565A" w:themeColor="accent5"/>
            </w:tcBorders>
            <w:shd w:val="clear" w:color="auto" w:fill="FFFFFF" w:themeFill="background1"/>
          </w:tcPr>
          <w:p w14:paraId="637BA895"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91</w:t>
            </w:r>
          </w:p>
        </w:tc>
        <w:tc>
          <w:tcPr>
            <w:tcW w:w="1631" w:type="dxa"/>
            <w:gridSpan w:val="2"/>
            <w:tcBorders>
              <w:top w:val="single" w:sz="4" w:space="0" w:color="53565A" w:themeColor="accent5"/>
              <w:bottom w:val="single" w:sz="4" w:space="0" w:color="53565A" w:themeColor="accent5"/>
            </w:tcBorders>
          </w:tcPr>
          <w:p w14:paraId="19FF35F8" w14:textId="77777777" w:rsidR="0054488D" w:rsidRPr="005734B8" w:rsidRDefault="0054488D" w:rsidP="000C192E">
            <w:pPr>
              <w:pStyle w:val="ESTablenumberrightaligned"/>
              <w:rPr>
                <w:rFonts w:ascii="Calibri" w:hAnsi="Calibri" w:cs="Calibri"/>
                <w:sz w:val="18"/>
                <w:szCs w:val="16"/>
                <w:lang w:val="en-AU"/>
              </w:rPr>
            </w:pPr>
            <w:r w:rsidRPr="005734B8">
              <w:rPr>
                <w:rFonts w:ascii="Calibri" w:hAnsi="Calibri" w:cs="Calibri"/>
                <w:sz w:val="18"/>
                <w:szCs w:val="16"/>
                <w:lang w:val="en-AU"/>
              </w:rPr>
              <w:t>0.0</w:t>
            </w:r>
          </w:p>
        </w:tc>
        <w:tc>
          <w:tcPr>
            <w:tcW w:w="907" w:type="dxa"/>
            <w:tcBorders>
              <w:top w:val="single" w:sz="4" w:space="0" w:color="53565A" w:themeColor="accent5"/>
              <w:bottom w:val="single" w:sz="4" w:space="0" w:color="53565A" w:themeColor="accent5"/>
            </w:tcBorders>
          </w:tcPr>
          <w:p w14:paraId="6EC63CC3" w14:textId="77777777" w:rsidR="0054488D" w:rsidRPr="005734B8" w:rsidRDefault="0054488D" w:rsidP="000C192E">
            <w:pPr>
              <w:pStyle w:val="ESTablenumberrightaligned"/>
              <w:rPr>
                <w:rFonts w:ascii="Calibri" w:hAnsi="Calibri" w:cs="Calibri"/>
                <w:sz w:val="18"/>
                <w:lang w:val="en-AU"/>
              </w:rPr>
            </w:pPr>
            <w:r w:rsidRPr="005734B8">
              <w:rPr>
                <w:rFonts w:ascii="Calibri" w:hAnsi="Calibri" w:cs="Calibri"/>
                <w:sz w:val="18"/>
                <w:lang w:val="en-AU"/>
              </w:rPr>
              <w:sym w:font="Wingdings" w:char="F0FC"/>
            </w:r>
          </w:p>
        </w:tc>
      </w:tr>
      <w:tr w:rsidR="0054488D" w:rsidRPr="005734B8" w14:paraId="0369060B" w14:textId="77777777" w:rsidTr="000C192E">
        <w:trPr>
          <w:cantSplit/>
        </w:trPr>
        <w:tc>
          <w:tcPr>
            <w:tcW w:w="9010" w:type="dxa"/>
            <w:gridSpan w:val="9"/>
            <w:tcBorders>
              <w:top w:val="single" w:sz="4" w:space="0" w:color="53565A" w:themeColor="accent5"/>
              <w:bottom w:val="single" w:sz="4" w:space="0" w:color="53565A" w:themeColor="accent5"/>
            </w:tcBorders>
            <w:shd w:val="clear" w:color="auto" w:fill="auto"/>
          </w:tcPr>
          <w:p w14:paraId="55BB0985" w14:textId="77777777" w:rsidR="0054488D" w:rsidRPr="005734B8" w:rsidRDefault="0054488D" w:rsidP="000C192E">
            <w:pPr>
              <w:pStyle w:val="ESTablenumberrightaligned"/>
              <w:jc w:val="left"/>
              <w:rPr>
                <w:rFonts w:ascii="Calibri" w:hAnsi="Calibri" w:cs="Calibri"/>
                <w:i/>
                <w:sz w:val="16"/>
                <w:lang w:val="en-AU"/>
              </w:rPr>
            </w:pPr>
            <w:r w:rsidRPr="005734B8">
              <w:rPr>
                <w:rFonts w:ascii="Calibri" w:hAnsi="Calibri" w:cs="Calibri"/>
                <w:i/>
                <w:sz w:val="16"/>
                <w:lang w:val="en-AU"/>
              </w:rPr>
              <w:t>The above performance measure relates to the calendar year.</w:t>
            </w:r>
          </w:p>
        </w:tc>
      </w:tr>
      <w:tr w:rsidR="0054488D" w:rsidRPr="005734B8" w14:paraId="179AF084" w14:textId="77777777" w:rsidTr="000C192E">
        <w:trPr>
          <w:cantSplit/>
        </w:trPr>
        <w:tc>
          <w:tcPr>
            <w:tcW w:w="2886" w:type="dxa"/>
            <w:gridSpan w:val="2"/>
            <w:tcBorders>
              <w:top w:val="single" w:sz="4" w:space="0" w:color="53565A" w:themeColor="accent5"/>
              <w:bottom w:val="single" w:sz="4" w:space="0" w:color="53565A" w:themeColor="accent5"/>
            </w:tcBorders>
            <w:shd w:val="clear" w:color="auto" w:fill="auto"/>
          </w:tcPr>
          <w:p w14:paraId="6F19757D" w14:textId="77777777" w:rsidR="0054488D" w:rsidRPr="005734B8" w:rsidRDefault="0054488D" w:rsidP="000C192E">
            <w:pPr>
              <w:pStyle w:val="ESTablebody"/>
              <w:rPr>
                <w:rFonts w:ascii="Calibri" w:hAnsi="Calibri" w:cs="Calibri"/>
                <w:sz w:val="18"/>
                <w:szCs w:val="20"/>
                <w:lang w:val="en-AU"/>
              </w:rPr>
            </w:pPr>
            <w:r w:rsidRPr="005734B8">
              <w:rPr>
                <w:rFonts w:ascii="Calibri" w:hAnsi="Calibri" w:cs="Calibri"/>
                <w:sz w:val="18"/>
                <w:szCs w:val="20"/>
                <w:lang w:val="en-AU"/>
              </w:rPr>
              <w:t>Parent satisfaction with kindergarten services</w:t>
            </w:r>
          </w:p>
        </w:tc>
        <w:tc>
          <w:tcPr>
            <w:tcW w:w="1135" w:type="dxa"/>
            <w:tcBorders>
              <w:top w:val="single" w:sz="4" w:space="0" w:color="53565A" w:themeColor="accent5"/>
              <w:bottom w:val="single" w:sz="4" w:space="0" w:color="53565A" w:themeColor="accent5"/>
            </w:tcBorders>
            <w:shd w:val="clear" w:color="auto" w:fill="auto"/>
          </w:tcPr>
          <w:p w14:paraId="3EBD1DAB" w14:textId="77777777" w:rsidR="0054488D" w:rsidRPr="005734B8" w:rsidRDefault="0054488D" w:rsidP="000C192E">
            <w:pPr>
              <w:pStyle w:val="ESTablebody"/>
              <w:rPr>
                <w:rFonts w:ascii="Calibri" w:hAnsi="Calibri" w:cs="Calibri"/>
                <w:sz w:val="18"/>
                <w:lang w:val="en-AU"/>
              </w:rPr>
            </w:pPr>
            <w:r w:rsidRPr="005734B8">
              <w:rPr>
                <w:rFonts w:ascii="Calibri" w:hAnsi="Calibri" w:cs="Calibri"/>
                <w:sz w:val="18"/>
                <w:lang w:val="en-AU"/>
              </w:rPr>
              <w:t>per cent</w:t>
            </w:r>
          </w:p>
        </w:tc>
        <w:tc>
          <w:tcPr>
            <w:tcW w:w="1113" w:type="dxa"/>
            <w:gridSpan w:val="2"/>
            <w:tcBorders>
              <w:top w:val="single" w:sz="4" w:space="0" w:color="53565A" w:themeColor="accent5"/>
              <w:bottom w:val="single" w:sz="4" w:space="0" w:color="53565A" w:themeColor="accent5"/>
            </w:tcBorders>
            <w:shd w:val="clear" w:color="auto" w:fill="D9D9D6" w:themeFill="accent1"/>
          </w:tcPr>
          <w:p w14:paraId="7827FA44" w14:textId="5BF30D05" w:rsidR="0054488D" w:rsidRPr="005734B8" w:rsidRDefault="007C6B23" w:rsidP="000C192E">
            <w:pPr>
              <w:pStyle w:val="ESTablenumberrightaligned"/>
              <w:rPr>
                <w:rFonts w:ascii="Calibri" w:hAnsi="Calibri" w:cs="Calibri"/>
                <w:sz w:val="18"/>
                <w:szCs w:val="16"/>
              </w:rPr>
            </w:pPr>
            <w:r w:rsidRPr="005734B8">
              <w:rPr>
                <w:rFonts w:ascii="Calibri" w:hAnsi="Calibri" w:cs="Calibri"/>
                <w:sz w:val="18"/>
                <w:szCs w:val="16"/>
              </w:rPr>
              <w:t>–</w:t>
            </w:r>
          </w:p>
        </w:tc>
        <w:tc>
          <w:tcPr>
            <w:tcW w:w="1338" w:type="dxa"/>
            <w:tcBorders>
              <w:top w:val="single" w:sz="4" w:space="0" w:color="53565A" w:themeColor="accent5"/>
              <w:bottom w:val="single" w:sz="4" w:space="0" w:color="53565A" w:themeColor="accent5"/>
            </w:tcBorders>
            <w:shd w:val="clear" w:color="auto" w:fill="FFFFFF" w:themeFill="background1"/>
          </w:tcPr>
          <w:p w14:paraId="30B8F80B"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90</w:t>
            </w:r>
          </w:p>
        </w:tc>
        <w:tc>
          <w:tcPr>
            <w:tcW w:w="1631" w:type="dxa"/>
            <w:gridSpan w:val="2"/>
            <w:tcBorders>
              <w:top w:val="single" w:sz="4" w:space="0" w:color="53565A" w:themeColor="accent5"/>
              <w:bottom w:val="single" w:sz="4" w:space="0" w:color="53565A" w:themeColor="accent5"/>
            </w:tcBorders>
          </w:tcPr>
          <w:p w14:paraId="431082DB"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w:t>
            </w:r>
          </w:p>
        </w:tc>
        <w:tc>
          <w:tcPr>
            <w:tcW w:w="907" w:type="dxa"/>
            <w:tcBorders>
              <w:top w:val="single" w:sz="4" w:space="0" w:color="53565A" w:themeColor="accent5"/>
              <w:bottom w:val="single" w:sz="4" w:space="0" w:color="53565A" w:themeColor="accent5"/>
            </w:tcBorders>
          </w:tcPr>
          <w:p w14:paraId="6B78E29F" w14:textId="77777777" w:rsidR="0054488D" w:rsidRPr="005734B8" w:rsidRDefault="0054488D" w:rsidP="000C192E">
            <w:pPr>
              <w:pStyle w:val="ESTablenumberrightaligned"/>
              <w:rPr>
                <w:rFonts w:ascii="Calibri" w:hAnsi="Calibri" w:cs="Calibri"/>
                <w:sz w:val="18"/>
                <w:szCs w:val="16"/>
              </w:rPr>
            </w:pPr>
            <w:r w:rsidRPr="005734B8">
              <w:rPr>
                <w:rFonts w:ascii="Calibri" w:hAnsi="Calibri" w:cs="Calibri"/>
                <w:sz w:val="18"/>
                <w:szCs w:val="16"/>
              </w:rPr>
              <w:t>–</w:t>
            </w:r>
          </w:p>
        </w:tc>
      </w:tr>
      <w:tr w:rsidR="0054488D" w:rsidRPr="005734B8" w14:paraId="43CEAEF6" w14:textId="77777777" w:rsidTr="000C192E">
        <w:trPr>
          <w:cantSplit/>
        </w:trPr>
        <w:tc>
          <w:tcPr>
            <w:tcW w:w="9010" w:type="dxa"/>
            <w:gridSpan w:val="9"/>
            <w:tcBorders>
              <w:top w:val="single" w:sz="4" w:space="0" w:color="53565A" w:themeColor="accent5"/>
              <w:bottom w:val="single" w:sz="4" w:space="0" w:color="53565A" w:themeColor="accent5"/>
            </w:tcBorders>
            <w:shd w:val="clear" w:color="auto" w:fill="auto"/>
          </w:tcPr>
          <w:p w14:paraId="2E09AA15" w14:textId="77777777" w:rsidR="0054488D" w:rsidRPr="005734B8" w:rsidRDefault="0054488D" w:rsidP="000C192E">
            <w:pPr>
              <w:pStyle w:val="ESTablenumberrightaligned"/>
              <w:jc w:val="left"/>
              <w:rPr>
                <w:rFonts w:ascii="Calibri" w:hAnsi="Calibri" w:cs="Calibri"/>
                <w:i/>
                <w:sz w:val="16"/>
                <w:lang w:val="en-AU"/>
              </w:rPr>
            </w:pPr>
            <w:r w:rsidRPr="005734B8">
              <w:rPr>
                <w:rFonts w:ascii="Calibri" w:hAnsi="Calibri" w:cs="Calibri"/>
                <w:i/>
                <w:sz w:val="16"/>
                <w:szCs w:val="20"/>
              </w:rPr>
              <w:t xml:space="preserve">The above performance measure </w:t>
            </w:r>
            <w:r w:rsidRPr="005734B8">
              <w:rPr>
                <w:rFonts w:ascii="Calibri" w:hAnsi="Calibri" w:cs="Calibri"/>
                <w:i/>
                <w:sz w:val="16"/>
                <w:lang w:val="en-AU"/>
              </w:rPr>
              <w:t>relates to the calendar year and includes funded kindergarten providers. No outcome has been reported in 2020–21 because the kindergarten satisfaction survey was cancelled due to the COVID-19 pandemic. This impacted the underlying data collection.</w:t>
            </w:r>
          </w:p>
        </w:tc>
      </w:tr>
      <w:tr w:rsidR="0054488D" w:rsidRPr="005734B8" w14:paraId="0297E11A" w14:textId="77777777" w:rsidTr="000C192E">
        <w:trPr>
          <w:cantSplit/>
        </w:trPr>
        <w:tc>
          <w:tcPr>
            <w:tcW w:w="9010" w:type="dxa"/>
            <w:gridSpan w:val="9"/>
            <w:tcBorders>
              <w:top w:val="single" w:sz="4" w:space="0" w:color="53565A" w:themeColor="accent5"/>
              <w:bottom w:val="single" w:sz="4" w:space="0" w:color="53565A" w:themeColor="accent5"/>
            </w:tcBorders>
            <w:shd w:val="clear" w:color="auto" w:fill="53565A" w:themeFill="accent5"/>
          </w:tcPr>
          <w:p w14:paraId="6B1AEA35" w14:textId="77777777" w:rsidR="0054488D" w:rsidRPr="005734B8" w:rsidRDefault="0054488D" w:rsidP="000C192E">
            <w:pPr>
              <w:pStyle w:val="T1"/>
              <w:rPr>
                <w:rFonts w:ascii="Calibri" w:hAnsi="Calibri" w:cs="Calibri"/>
                <w:sz w:val="18"/>
              </w:rPr>
            </w:pPr>
            <w:r w:rsidRPr="005734B8">
              <w:rPr>
                <w:rFonts w:ascii="Calibri" w:hAnsi="Calibri" w:cs="Calibri"/>
                <w:sz w:val="18"/>
              </w:rPr>
              <w:t>Cost</w:t>
            </w:r>
          </w:p>
        </w:tc>
      </w:tr>
      <w:tr w:rsidR="0054488D" w:rsidRPr="005734B8" w14:paraId="6D59F352" w14:textId="77777777" w:rsidTr="000C192E">
        <w:trPr>
          <w:cantSplit/>
        </w:trPr>
        <w:tc>
          <w:tcPr>
            <w:tcW w:w="2886" w:type="dxa"/>
            <w:gridSpan w:val="2"/>
            <w:tcBorders>
              <w:top w:val="single" w:sz="4" w:space="0" w:color="53565A" w:themeColor="accent5"/>
              <w:bottom w:val="single" w:sz="4" w:space="0" w:color="53565A" w:themeColor="accent5"/>
            </w:tcBorders>
            <w:shd w:val="clear" w:color="auto" w:fill="auto"/>
          </w:tcPr>
          <w:p w14:paraId="17A36103" w14:textId="5722BFEA" w:rsidR="0054488D" w:rsidRPr="005734B8" w:rsidRDefault="0054488D" w:rsidP="000C192E">
            <w:pPr>
              <w:pStyle w:val="ESTablebody"/>
              <w:rPr>
                <w:rFonts w:ascii="Calibri" w:hAnsi="Calibri" w:cs="Calibri"/>
                <w:sz w:val="18"/>
                <w:lang w:val="en-AU"/>
              </w:rPr>
            </w:pPr>
            <w:r w:rsidRPr="005734B8">
              <w:rPr>
                <w:rFonts w:ascii="Calibri" w:hAnsi="Calibri" w:cs="Calibri"/>
                <w:sz w:val="18"/>
                <w:lang w:val="en-AU"/>
              </w:rPr>
              <w:t>Total output cost</w:t>
            </w:r>
          </w:p>
        </w:tc>
        <w:tc>
          <w:tcPr>
            <w:tcW w:w="1135" w:type="dxa"/>
            <w:tcBorders>
              <w:top w:val="single" w:sz="4" w:space="0" w:color="53565A" w:themeColor="accent5"/>
              <w:bottom w:val="single" w:sz="4" w:space="0" w:color="53565A" w:themeColor="accent5"/>
            </w:tcBorders>
            <w:shd w:val="clear" w:color="auto" w:fill="auto"/>
          </w:tcPr>
          <w:p w14:paraId="71CD7D44" w14:textId="77777777" w:rsidR="0054488D" w:rsidRPr="005734B8" w:rsidRDefault="0054488D" w:rsidP="000C192E">
            <w:pPr>
              <w:pStyle w:val="ESTablebody"/>
              <w:rPr>
                <w:rFonts w:ascii="Calibri" w:hAnsi="Calibri" w:cs="Calibri"/>
                <w:sz w:val="18"/>
                <w:lang w:val="en-AU"/>
              </w:rPr>
            </w:pPr>
            <w:r w:rsidRPr="005734B8">
              <w:rPr>
                <w:rFonts w:ascii="Calibri" w:hAnsi="Calibri" w:cs="Calibri"/>
                <w:sz w:val="18"/>
                <w:lang w:val="en-AU"/>
              </w:rPr>
              <w:t>$ million</w:t>
            </w:r>
          </w:p>
        </w:tc>
        <w:tc>
          <w:tcPr>
            <w:tcW w:w="1113" w:type="dxa"/>
            <w:gridSpan w:val="2"/>
            <w:tcBorders>
              <w:top w:val="single" w:sz="4" w:space="0" w:color="53565A" w:themeColor="accent5"/>
              <w:bottom w:val="single" w:sz="4" w:space="0" w:color="53565A" w:themeColor="accent5"/>
            </w:tcBorders>
            <w:shd w:val="clear" w:color="auto" w:fill="auto"/>
          </w:tcPr>
          <w:p w14:paraId="734B8DFD" w14:textId="027FBCD9" w:rsidR="0054488D" w:rsidRPr="005734B8" w:rsidRDefault="006934F1" w:rsidP="000C192E">
            <w:pPr>
              <w:pStyle w:val="ESTablenumberrightaligned"/>
              <w:rPr>
                <w:rFonts w:ascii="Calibri" w:hAnsi="Calibri" w:cs="Calibri"/>
                <w:sz w:val="18"/>
              </w:rPr>
            </w:pPr>
            <w:r w:rsidRPr="005734B8">
              <w:rPr>
                <w:rFonts w:ascii="Calibri" w:hAnsi="Calibri" w:cs="Calibri"/>
                <w:sz w:val="18"/>
              </w:rPr>
              <w:t>822.3</w:t>
            </w:r>
          </w:p>
        </w:tc>
        <w:tc>
          <w:tcPr>
            <w:tcW w:w="1338" w:type="dxa"/>
            <w:tcBorders>
              <w:top w:val="single" w:sz="4" w:space="0" w:color="53565A" w:themeColor="accent5"/>
              <w:bottom w:val="single" w:sz="4" w:space="0" w:color="53565A" w:themeColor="accent5"/>
            </w:tcBorders>
            <w:shd w:val="clear" w:color="auto" w:fill="auto"/>
          </w:tcPr>
          <w:p w14:paraId="34931F84" w14:textId="77777777" w:rsidR="0054488D" w:rsidRPr="005734B8" w:rsidRDefault="0054488D" w:rsidP="000C192E">
            <w:pPr>
              <w:pStyle w:val="ESTablenumberrightaligned"/>
              <w:rPr>
                <w:rFonts w:ascii="Calibri" w:hAnsi="Calibri" w:cs="Calibri"/>
                <w:sz w:val="18"/>
              </w:rPr>
            </w:pPr>
            <w:r w:rsidRPr="005734B8">
              <w:rPr>
                <w:rFonts w:ascii="Calibri" w:hAnsi="Calibri" w:cs="Calibri"/>
                <w:sz w:val="18"/>
              </w:rPr>
              <w:t>857.6</w:t>
            </w:r>
          </w:p>
        </w:tc>
        <w:tc>
          <w:tcPr>
            <w:tcW w:w="1631" w:type="dxa"/>
            <w:gridSpan w:val="2"/>
            <w:tcBorders>
              <w:top w:val="single" w:sz="4" w:space="0" w:color="53565A" w:themeColor="accent5"/>
              <w:bottom w:val="single" w:sz="4" w:space="0" w:color="53565A" w:themeColor="accent5"/>
            </w:tcBorders>
            <w:shd w:val="clear" w:color="auto" w:fill="auto"/>
          </w:tcPr>
          <w:p w14:paraId="0B2CE77E" w14:textId="4FA778F8" w:rsidR="0054488D" w:rsidRPr="005734B8" w:rsidRDefault="0054488D" w:rsidP="000C192E">
            <w:pPr>
              <w:pStyle w:val="ESTablenumberrightaligned"/>
              <w:rPr>
                <w:rFonts w:ascii="Calibri" w:hAnsi="Calibri" w:cs="Calibri"/>
                <w:sz w:val="18"/>
                <w:lang w:val="en-AU"/>
              </w:rPr>
            </w:pPr>
            <w:r w:rsidRPr="005734B8">
              <w:rPr>
                <w:rFonts w:ascii="Calibri" w:hAnsi="Calibri" w:cs="Calibri"/>
                <w:sz w:val="18"/>
                <w:lang w:val="en-AU"/>
              </w:rPr>
              <w:t>-</w:t>
            </w:r>
            <w:r w:rsidR="006934F1" w:rsidRPr="005734B8">
              <w:rPr>
                <w:rFonts w:ascii="Calibri" w:hAnsi="Calibri" w:cs="Calibri"/>
                <w:sz w:val="18"/>
                <w:lang w:val="en-AU"/>
              </w:rPr>
              <w:t>4.1</w:t>
            </w:r>
          </w:p>
        </w:tc>
        <w:tc>
          <w:tcPr>
            <w:tcW w:w="907" w:type="dxa"/>
            <w:tcBorders>
              <w:top w:val="single" w:sz="4" w:space="0" w:color="53565A" w:themeColor="accent5"/>
              <w:bottom w:val="single" w:sz="4" w:space="0" w:color="53565A" w:themeColor="accent5"/>
            </w:tcBorders>
            <w:shd w:val="clear" w:color="auto" w:fill="auto"/>
          </w:tcPr>
          <w:p w14:paraId="54B98CC3" w14:textId="318818BE" w:rsidR="0054488D" w:rsidRPr="005734B8" w:rsidRDefault="0054488D" w:rsidP="000C192E">
            <w:pPr>
              <w:pStyle w:val="ESTablenumberrightaligned"/>
              <w:rPr>
                <w:rFonts w:ascii="Calibri" w:hAnsi="Calibri" w:cs="Calibri"/>
                <w:sz w:val="18"/>
                <w:lang w:val="en-AU"/>
              </w:rPr>
            </w:pPr>
            <w:r w:rsidRPr="005734B8">
              <w:rPr>
                <w:rFonts w:ascii="Calibri" w:hAnsi="Calibri" w:cs="Calibri"/>
                <w:sz w:val="18"/>
                <w:lang w:val="en-AU"/>
              </w:rPr>
              <w:sym w:font="Wingdings" w:char="F0FC"/>
            </w:r>
          </w:p>
        </w:tc>
      </w:tr>
      <w:tr w:rsidR="0054488D" w:rsidRPr="005734B8" w14:paraId="45870EB6" w14:textId="77777777" w:rsidTr="000C192E">
        <w:trPr>
          <w:cantSplit/>
        </w:trPr>
        <w:tc>
          <w:tcPr>
            <w:tcW w:w="9010" w:type="dxa"/>
            <w:gridSpan w:val="9"/>
            <w:tcBorders>
              <w:top w:val="single" w:sz="4" w:space="0" w:color="53565A" w:themeColor="accent5"/>
              <w:bottom w:val="single" w:sz="4" w:space="0" w:color="53565A" w:themeColor="accent5"/>
            </w:tcBorders>
            <w:shd w:val="clear" w:color="auto" w:fill="auto"/>
          </w:tcPr>
          <w:p w14:paraId="2ED892DE" w14:textId="7CC8CC41" w:rsidR="0054488D" w:rsidRPr="005734B8" w:rsidRDefault="006934F1" w:rsidP="000C192E">
            <w:pPr>
              <w:pStyle w:val="ESTablenumberrightaligned"/>
              <w:jc w:val="left"/>
              <w:rPr>
                <w:rFonts w:ascii="Calibri" w:hAnsi="Calibri" w:cs="Calibri"/>
                <w:i/>
                <w:sz w:val="16"/>
                <w:lang w:val="en-AU"/>
              </w:rPr>
            </w:pPr>
            <w:r w:rsidRPr="005734B8">
              <w:rPr>
                <w:rFonts w:ascii="Calibri" w:hAnsi="Calibri" w:cs="Calibri"/>
                <w:i/>
                <w:sz w:val="16"/>
                <w:szCs w:val="20"/>
              </w:rPr>
              <w:t>No footnote required.</w:t>
            </w:r>
          </w:p>
        </w:tc>
      </w:tr>
      <w:tr w:rsidR="0054488D" w:rsidRPr="005734B8" w14:paraId="75C454E9" w14:textId="77777777" w:rsidTr="000C192E">
        <w:trPr>
          <w:cantSplit/>
        </w:trPr>
        <w:tc>
          <w:tcPr>
            <w:tcW w:w="963" w:type="dxa"/>
            <w:tcBorders>
              <w:top w:val="single" w:sz="4" w:space="0" w:color="53565A" w:themeColor="accent5"/>
              <w:bottom w:val="single" w:sz="4" w:space="0" w:color="53565A" w:themeColor="accent5"/>
            </w:tcBorders>
            <w:shd w:val="clear" w:color="auto" w:fill="auto"/>
          </w:tcPr>
          <w:p w14:paraId="694C4191" w14:textId="77777777" w:rsidR="0054488D" w:rsidRPr="005734B8" w:rsidRDefault="0054488D" w:rsidP="000C192E">
            <w:pPr>
              <w:pStyle w:val="ESTablenumberrightaligned"/>
              <w:jc w:val="left"/>
              <w:rPr>
                <w:rFonts w:ascii="Calibri" w:hAnsi="Calibri" w:cs="Calibri"/>
                <w:sz w:val="18"/>
              </w:rPr>
            </w:pPr>
            <w:r w:rsidRPr="005734B8">
              <w:rPr>
                <w:rFonts w:ascii="Calibri" w:hAnsi="Calibri" w:cs="Calibri"/>
                <w:sz w:val="18"/>
                <w:lang w:val="en-AU"/>
              </w:rPr>
              <w:t>Key:</w:t>
            </w:r>
          </w:p>
        </w:tc>
        <w:tc>
          <w:tcPr>
            <w:tcW w:w="3541" w:type="dxa"/>
            <w:gridSpan w:val="3"/>
            <w:tcBorders>
              <w:top w:val="single" w:sz="4" w:space="0" w:color="53565A" w:themeColor="accent5"/>
              <w:bottom w:val="single" w:sz="4" w:space="0" w:color="53565A" w:themeColor="accent5"/>
            </w:tcBorders>
            <w:shd w:val="clear" w:color="auto" w:fill="auto"/>
          </w:tcPr>
          <w:p w14:paraId="2D7C55A2" w14:textId="77777777" w:rsidR="0054488D" w:rsidRPr="005734B8" w:rsidRDefault="0054488D" w:rsidP="000C192E">
            <w:pPr>
              <w:pStyle w:val="ESTablenumberrightaligned"/>
              <w:rPr>
                <w:rFonts w:ascii="Calibri" w:hAnsi="Calibri" w:cs="Calibri"/>
                <w:sz w:val="18"/>
              </w:rPr>
            </w:pPr>
            <w:r w:rsidRPr="005734B8">
              <w:rPr>
                <w:rFonts w:ascii="Calibri" w:hAnsi="Calibri" w:cs="Calibri"/>
                <w:sz w:val="18"/>
                <w:lang w:val="en-AU"/>
              </w:rPr>
              <w:sym w:font="Wingdings" w:char="F0FC"/>
            </w:r>
            <w:r w:rsidRPr="005734B8">
              <w:rPr>
                <w:rFonts w:ascii="Calibri" w:hAnsi="Calibri" w:cs="Calibri"/>
                <w:sz w:val="18"/>
                <w:lang w:val="en-AU"/>
              </w:rPr>
              <w:t xml:space="preserve"> Target achieved or exceeded</w:t>
            </w:r>
          </w:p>
        </w:tc>
        <w:tc>
          <w:tcPr>
            <w:tcW w:w="2252" w:type="dxa"/>
            <w:gridSpan w:val="3"/>
            <w:tcBorders>
              <w:top w:val="single" w:sz="4" w:space="0" w:color="53565A" w:themeColor="accent5"/>
              <w:bottom w:val="single" w:sz="4" w:space="0" w:color="53565A" w:themeColor="accent5"/>
            </w:tcBorders>
            <w:shd w:val="clear" w:color="auto" w:fill="auto"/>
          </w:tcPr>
          <w:p w14:paraId="15EDE84B" w14:textId="77777777" w:rsidR="0054488D" w:rsidRPr="005734B8" w:rsidRDefault="0054488D" w:rsidP="000C192E">
            <w:pPr>
              <w:pStyle w:val="ESTablenumberrightaligned"/>
              <w:rPr>
                <w:rFonts w:ascii="Calibri" w:hAnsi="Calibri" w:cs="Calibri"/>
                <w:sz w:val="18"/>
              </w:rPr>
            </w:pPr>
            <w:r w:rsidRPr="005734B8">
              <w:rPr>
                <w:rFonts w:ascii="Calibri" w:hAnsi="Calibri" w:cs="Calibri"/>
                <w:sz w:val="18"/>
                <w:lang w:val="en-AU"/>
              </w:rPr>
              <w:sym w:font="Wingdings" w:char="F0A1"/>
            </w:r>
            <w:r w:rsidRPr="005734B8">
              <w:rPr>
                <w:rFonts w:ascii="Calibri" w:hAnsi="Calibri" w:cs="Calibri"/>
                <w:sz w:val="18"/>
                <w:lang w:val="en-AU"/>
              </w:rPr>
              <w:t xml:space="preserve"> Target not achieved — less than 5% variance</w:t>
            </w:r>
          </w:p>
        </w:tc>
        <w:tc>
          <w:tcPr>
            <w:tcW w:w="2254" w:type="dxa"/>
            <w:gridSpan w:val="2"/>
            <w:tcBorders>
              <w:top w:val="single" w:sz="4" w:space="0" w:color="53565A" w:themeColor="accent5"/>
              <w:bottom w:val="single" w:sz="4" w:space="0" w:color="53565A" w:themeColor="accent5"/>
            </w:tcBorders>
            <w:shd w:val="clear" w:color="auto" w:fill="auto"/>
          </w:tcPr>
          <w:p w14:paraId="62F540D0" w14:textId="77777777" w:rsidR="0054488D" w:rsidRPr="005734B8" w:rsidRDefault="0054488D" w:rsidP="000C192E">
            <w:pPr>
              <w:pStyle w:val="ESTablenumberrightaligned"/>
              <w:rPr>
                <w:rFonts w:ascii="Calibri" w:hAnsi="Calibri" w:cs="Calibri"/>
                <w:sz w:val="18"/>
              </w:rPr>
            </w:pPr>
            <w:r w:rsidRPr="005734B8">
              <w:rPr>
                <w:rFonts w:ascii="Calibri" w:hAnsi="Calibri" w:cs="Calibri"/>
                <w:sz w:val="18"/>
                <w:lang w:val="en-AU"/>
              </w:rPr>
              <w:sym w:font="Wingdings" w:char="F06E"/>
            </w:r>
            <w:r w:rsidRPr="005734B8">
              <w:rPr>
                <w:rFonts w:ascii="Calibri" w:hAnsi="Calibri" w:cs="Calibri"/>
                <w:sz w:val="18"/>
                <w:lang w:val="en-AU"/>
              </w:rPr>
              <w:t xml:space="preserve"> Target not achieved — more than 5% variance</w:t>
            </w:r>
          </w:p>
        </w:tc>
      </w:tr>
    </w:tbl>
    <w:p w14:paraId="024E08F2" w14:textId="77777777" w:rsidR="00F82E04" w:rsidRPr="005734B8" w:rsidRDefault="00F82E04" w:rsidP="0054488D">
      <w:pPr>
        <w:pStyle w:val="ESHeading3"/>
        <w:ind w:left="0" w:firstLine="0"/>
        <w:rPr>
          <w:rFonts w:ascii="Calibri" w:hAnsi="Calibri" w:cs="Calibri"/>
          <w:szCs w:val="22"/>
          <w:lang w:val="en-AU"/>
        </w:rPr>
      </w:pPr>
      <w:bookmarkStart w:id="180" w:name="_Toc14965396"/>
      <w:bookmarkStart w:id="181" w:name="_Toc19271975"/>
      <w:bookmarkStart w:id="182" w:name="_Toc19272341"/>
      <w:bookmarkStart w:id="183" w:name="_Toc19273676"/>
      <w:r w:rsidRPr="005734B8">
        <w:rPr>
          <w:rFonts w:ascii="Calibri" w:hAnsi="Calibri" w:cs="Calibri"/>
          <w:szCs w:val="22"/>
          <w:lang w:val="en-AU"/>
        </w:rPr>
        <w:br w:type="page"/>
      </w:r>
    </w:p>
    <w:p w14:paraId="4648B5E6" w14:textId="77777777" w:rsidR="0054488D" w:rsidRPr="005734B8" w:rsidRDefault="0054488D" w:rsidP="0054488D">
      <w:pPr>
        <w:pStyle w:val="ESHeading3"/>
        <w:ind w:left="0" w:firstLine="0"/>
        <w:rPr>
          <w:rFonts w:ascii="Calibri" w:hAnsi="Calibri" w:cs="Calibri"/>
          <w:szCs w:val="22"/>
          <w:lang w:val="en-AU"/>
        </w:rPr>
      </w:pPr>
      <w:bookmarkStart w:id="184" w:name="_Hlk78211701"/>
      <w:r w:rsidRPr="005734B8">
        <w:rPr>
          <w:rFonts w:ascii="Calibri" w:hAnsi="Calibri" w:cs="Calibri"/>
          <w:szCs w:val="22"/>
          <w:lang w:val="en-AU"/>
        </w:rPr>
        <w:lastRenderedPageBreak/>
        <w:t xml:space="preserve">School education </w:t>
      </w:r>
    </w:p>
    <w:p w14:paraId="6E770A39" w14:textId="77777777" w:rsidR="0054488D" w:rsidRPr="005734B8" w:rsidRDefault="0054488D" w:rsidP="0054488D">
      <w:pPr>
        <w:rPr>
          <w:rFonts w:ascii="Calibri" w:hAnsi="Calibri" w:cs="Calibri"/>
        </w:rPr>
      </w:pPr>
      <w:r w:rsidRPr="005734B8">
        <w:rPr>
          <w:rFonts w:ascii="Calibri" w:hAnsi="Calibri" w:cs="Calibri"/>
        </w:rPr>
        <w:t>The school education output group comprises two outputs:</w:t>
      </w:r>
    </w:p>
    <w:p w14:paraId="67D02C75" w14:textId="3308BB99" w:rsidR="0054488D" w:rsidRPr="005734B8" w:rsidRDefault="009B22A6" w:rsidP="0054488D">
      <w:pPr>
        <w:pStyle w:val="ESbullet1"/>
        <w:numPr>
          <w:ilvl w:val="0"/>
          <w:numId w:val="13"/>
        </w:numPr>
        <w:spacing w:after="0"/>
        <w:ind w:left="284" w:hanging="284"/>
        <w:rPr>
          <w:rFonts w:ascii="Calibri" w:hAnsi="Calibri" w:cs="Calibri"/>
        </w:rPr>
      </w:pPr>
      <w:r w:rsidRPr="005734B8">
        <w:rPr>
          <w:rFonts w:ascii="Calibri" w:hAnsi="Calibri" w:cs="Calibri"/>
        </w:rPr>
        <w:t>S</w:t>
      </w:r>
      <w:r w:rsidR="0054488D" w:rsidRPr="005734B8">
        <w:rPr>
          <w:rFonts w:ascii="Calibri" w:hAnsi="Calibri" w:cs="Calibri"/>
        </w:rPr>
        <w:t xml:space="preserve">chool education—primary output provides services to develop essential skills and learning experiences to engage young minds in the primary sector </w:t>
      </w:r>
    </w:p>
    <w:p w14:paraId="3846792B" w14:textId="022DA16A" w:rsidR="0054488D" w:rsidRPr="005734B8" w:rsidRDefault="009B22A6" w:rsidP="0054488D">
      <w:pPr>
        <w:pStyle w:val="ESbullet1"/>
        <w:numPr>
          <w:ilvl w:val="0"/>
          <w:numId w:val="13"/>
        </w:numPr>
        <w:spacing w:after="0"/>
        <w:ind w:left="284" w:hanging="284"/>
        <w:rPr>
          <w:rFonts w:ascii="Calibri" w:hAnsi="Calibri" w:cs="Calibri"/>
        </w:rPr>
      </w:pPr>
      <w:r w:rsidRPr="005734B8">
        <w:rPr>
          <w:rFonts w:ascii="Calibri" w:hAnsi="Calibri" w:cs="Calibri"/>
        </w:rPr>
        <w:t>S</w:t>
      </w:r>
      <w:r w:rsidR="0054488D" w:rsidRPr="005734B8">
        <w:rPr>
          <w:rFonts w:ascii="Calibri" w:hAnsi="Calibri" w:cs="Calibri"/>
        </w:rPr>
        <w:t>chool education—secondary output consolidates literacy and numeracy competencies</w:t>
      </w:r>
      <w:r w:rsidR="0097335F" w:rsidRPr="005734B8">
        <w:rPr>
          <w:rFonts w:ascii="Calibri" w:hAnsi="Calibri" w:cs="Calibri"/>
        </w:rPr>
        <w:t>,</w:t>
      </w:r>
      <w:r w:rsidR="0054488D" w:rsidRPr="005734B8">
        <w:rPr>
          <w:rFonts w:ascii="Calibri" w:hAnsi="Calibri" w:cs="Calibri"/>
        </w:rPr>
        <w:t xml:space="preserve"> including creative and critical thinking as well as physical, social, emotional and intellectual development in adolescence. It also provides education services as well as varied pathways and support for transition across sectors to further study. </w:t>
      </w:r>
    </w:p>
    <w:p w14:paraId="02A33959" w14:textId="77777777" w:rsidR="0054488D" w:rsidRPr="005734B8" w:rsidRDefault="0054488D" w:rsidP="0054488D">
      <w:pPr>
        <w:pStyle w:val="ESbullet1"/>
        <w:spacing w:after="0"/>
        <w:ind w:left="0" w:firstLine="0"/>
        <w:rPr>
          <w:rFonts w:ascii="Calibri" w:hAnsi="Calibri" w:cs="Calibri"/>
        </w:rPr>
      </w:pPr>
    </w:p>
    <w:p w14:paraId="4ADBACD3" w14:textId="77777777" w:rsidR="0054488D" w:rsidRPr="005734B8" w:rsidRDefault="0054488D" w:rsidP="0054488D">
      <w:pPr>
        <w:rPr>
          <w:rFonts w:ascii="Calibri" w:hAnsi="Calibri" w:cs="Calibri"/>
        </w:rPr>
      </w:pPr>
      <w:r w:rsidRPr="005734B8">
        <w:rPr>
          <w:rFonts w:ascii="Calibri" w:hAnsi="Calibri" w:cs="Calibri"/>
        </w:rPr>
        <w:t>This output group contributes to providing and improving services that support all the Department’s objectives of achievement, engagement, wellbeing and productivity.</w:t>
      </w:r>
    </w:p>
    <w:p w14:paraId="6881FBE9" w14:textId="77777777" w:rsidR="0054488D" w:rsidRPr="005734B8" w:rsidRDefault="0054488D" w:rsidP="0054488D">
      <w:pPr>
        <w:rPr>
          <w:rFonts w:ascii="Calibri" w:hAnsi="Calibri" w:cs="Calibri"/>
        </w:rPr>
      </w:pPr>
    </w:p>
    <w:p w14:paraId="5DAA01A5" w14:textId="1BAAA124" w:rsidR="0054488D" w:rsidRPr="005734B8" w:rsidRDefault="0054488D" w:rsidP="0054488D">
      <w:pPr>
        <w:rPr>
          <w:rFonts w:ascii="Calibri" w:hAnsi="Calibri" w:cs="Calibri"/>
        </w:rPr>
      </w:pPr>
      <w:r w:rsidRPr="005734B8">
        <w:rPr>
          <w:rFonts w:ascii="Calibri" w:hAnsi="Calibri" w:cs="Calibri"/>
        </w:rPr>
        <w:t>The Government sets high aspirations for all students. These are reflected in BP3 NAPLAN measures,</w:t>
      </w:r>
      <w:r w:rsidRPr="005734B8" w:rsidDel="0097335F">
        <w:rPr>
          <w:rFonts w:ascii="Calibri" w:hAnsi="Calibri" w:cs="Calibri"/>
        </w:rPr>
        <w:t xml:space="preserve"> </w:t>
      </w:r>
      <w:r w:rsidR="00531C6C" w:rsidRPr="005734B8">
        <w:rPr>
          <w:rFonts w:ascii="Calibri" w:hAnsi="Calibri" w:cs="Calibri"/>
        </w:rPr>
        <w:t>which</w:t>
      </w:r>
      <w:r w:rsidRPr="005734B8">
        <w:rPr>
          <w:rFonts w:ascii="Calibri" w:hAnsi="Calibri" w:cs="Calibri"/>
        </w:rPr>
        <w:t xml:space="preserve"> shift the focus from national minimum standards. The BP3 targets for Koorie students measure—at Years 3, 5, 7 and 9—the percentage of Aboriginal students above the bottom three NAPLAN bands in reading and numeracy. NAPLAN results for Victorian Koorie students are above the national Aboriginal cohort across most domains and year levels.</w:t>
      </w:r>
    </w:p>
    <w:bookmarkEnd w:id="180"/>
    <w:bookmarkEnd w:id="181"/>
    <w:bookmarkEnd w:id="182"/>
    <w:bookmarkEnd w:id="183"/>
    <w:p w14:paraId="5E32A632" w14:textId="49AC0102" w:rsidR="00883290" w:rsidRPr="005734B8" w:rsidRDefault="00883290" w:rsidP="00883290">
      <w:pPr>
        <w:pStyle w:val="H4"/>
        <w:rPr>
          <w:rFonts w:ascii="Calibri" w:hAnsi="Calibri" w:cs="Calibri"/>
        </w:rPr>
      </w:pPr>
      <w:r w:rsidRPr="005734B8">
        <w:rPr>
          <w:rFonts w:ascii="Calibri" w:hAnsi="Calibri" w:cs="Calibri"/>
        </w:rPr>
        <w:t>School education</w:t>
      </w:r>
      <w:r w:rsidR="00005B94" w:rsidRPr="005734B8">
        <w:rPr>
          <w:rFonts w:ascii="Calibri" w:hAnsi="Calibri" w:cs="Calibri"/>
        </w:rPr>
        <w:t>—</w:t>
      </w:r>
      <w:r w:rsidRPr="005734B8">
        <w:rPr>
          <w:rFonts w:ascii="Calibri" w:hAnsi="Calibri" w:cs="Calibri"/>
        </w:rPr>
        <w:t>primary</w:t>
      </w:r>
    </w:p>
    <w:p w14:paraId="581EBF2E" w14:textId="4E117961" w:rsidR="00883290" w:rsidRPr="005734B8" w:rsidRDefault="00883290" w:rsidP="00883290">
      <w:pPr>
        <w:rPr>
          <w:rFonts w:ascii="Calibri" w:hAnsi="Calibri" w:cs="Calibri"/>
        </w:rPr>
      </w:pPr>
      <w:r w:rsidRPr="005734B8">
        <w:rPr>
          <w:rFonts w:ascii="Calibri" w:hAnsi="Calibri" w:cs="Calibri"/>
        </w:rPr>
        <w:t>The School Education</w:t>
      </w:r>
      <w:r w:rsidR="00005B94" w:rsidRPr="005734B8">
        <w:rPr>
          <w:rFonts w:ascii="Calibri" w:hAnsi="Calibri" w:cs="Calibri"/>
        </w:rPr>
        <w:t>—</w:t>
      </w:r>
      <w:r w:rsidRPr="005734B8">
        <w:rPr>
          <w:rFonts w:ascii="Calibri" w:hAnsi="Calibri" w:cs="Calibri"/>
        </w:rPr>
        <w:t xml:space="preserve">Primary output provides services to develop essential skills and learning experiences to engage young minds and improve the quality of learning of students </w:t>
      </w:r>
      <w:r w:rsidR="00005B94" w:rsidRPr="005734B8">
        <w:rPr>
          <w:rFonts w:ascii="Calibri" w:hAnsi="Calibri" w:cs="Calibri"/>
        </w:rPr>
        <w:t>from</w:t>
      </w:r>
      <w:r w:rsidRPr="005734B8">
        <w:rPr>
          <w:rFonts w:ascii="Calibri" w:hAnsi="Calibri" w:cs="Calibri"/>
        </w:rPr>
        <w:t xml:space="preserve"> Prep to Year 6 in government and non-government schools.</w:t>
      </w:r>
    </w:p>
    <w:bookmarkEnd w:id="184"/>
    <w:p w14:paraId="5EBAB154" w14:textId="162521F0" w:rsidR="0052344F" w:rsidRPr="005734B8" w:rsidRDefault="0052344F" w:rsidP="0052344F">
      <w:pPr>
        <w:pStyle w:val="ESTableintroheading"/>
        <w:keepNext w:val="0"/>
        <w:rPr>
          <w:rFonts w:ascii="Calibri" w:hAnsi="Calibri" w:cs="Calibri"/>
          <w:lang w:val="en-AU"/>
        </w:rPr>
      </w:pPr>
      <w:r w:rsidRPr="005734B8">
        <w:rPr>
          <w:rFonts w:ascii="Calibri" w:hAnsi="Calibri" w:cs="Calibri"/>
          <w:lang w:val="en-AU"/>
        </w:rPr>
        <w:t>School education–primary performance measures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96"/>
        <w:gridCol w:w="1577"/>
        <w:gridCol w:w="1216"/>
        <w:gridCol w:w="527"/>
        <w:gridCol w:w="595"/>
        <w:gridCol w:w="1304"/>
        <w:gridCol w:w="323"/>
        <w:gridCol w:w="1400"/>
        <w:gridCol w:w="664"/>
        <w:gridCol w:w="308"/>
      </w:tblGrid>
      <w:tr w:rsidR="008A4372" w:rsidRPr="005734B8" w14:paraId="5E6710BB" w14:textId="77777777" w:rsidTr="00297529">
        <w:trPr>
          <w:cantSplit/>
          <w:trHeight w:val="242"/>
          <w:tblHeader/>
        </w:trPr>
        <w:tc>
          <w:tcPr>
            <w:tcW w:w="2673" w:type="dxa"/>
            <w:gridSpan w:val="2"/>
            <w:tcBorders>
              <w:bottom w:val="single" w:sz="4" w:space="0" w:color="FFFFFF" w:themeColor="background1"/>
            </w:tcBorders>
            <w:shd w:val="clear" w:color="auto" w:fill="AF272F" w:themeFill="accent4"/>
          </w:tcPr>
          <w:p w14:paraId="5005306B" w14:textId="77777777" w:rsidR="008A4372" w:rsidRPr="005734B8" w:rsidRDefault="008A4372" w:rsidP="000C192E">
            <w:pPr>
              <w:pStyle w:val="ESTableheadingwhite"/>
              <w:rPr>
                <w:rFonts w:ascii="Calibri" w:hAnsi="Calibri" w:cs="Calibri"/>
                <w:sz w:val="18"/>
              </w:rPr>
            </w:pPr>
            <w:bookmarkStart w:id="185" w:name="_Toc11158167"/>
            <w:bookmarkStart w:id="186" w:name="_Toc11336174"/>
            <w:bookmarkStart w:id="187" w:name="_Toc14965397"/>
            <w:bookmarkStart w:id="188" w:name="_Toc19271976"/>
            <w:bookmarkStart w:id="189" w:name="_Toc19272342"/>
            <w:bookmarkStart w:id="190" w:name="_Toc19273677"/>
            <w:r w:rsidRPr="005734B8">
              <w:rPr>
                <w:rFonts w:ascii="Calibri" w:hAnsi="Calibri" w:cs="Calibri"/>
                <w:sz w:val="18"/>
              </w:rPr>
              <w:t>Performance measures</w:t>
            </w:r>
          </w:p>
        </w:tc>
        <w:tc>
          <w:tcPr>
            <w:tcW w:w="1216" w:type="dxa"/>
            <w:tcBorders>
              <w:bottom w:val="single" w:sz="4" w:space="0" w:color="FFFFFF" w:themeColor="background1"/>
            </w:tcBorders>
            <w:shd w:val="clear" w:color="auto" w:fill="AF272F" w:themeFill="accent4"/>
          </w:tcPr>
          <w:p w14:paraId="721F6BBC" w14:textId="77777777" w:rsidR="008A4372" w:rsidRPr="005734B8" w:rsidRDefault="008A4372" w:rsidP="000C192E">
            <w:pPr>
              <w:pStyle w:val="ESTableheadingwhite"/>
              <w:rPr>
                <w:rFonts w:ascii="Calibri" w:hAnsi="Calibri" w:cs="Calibri"/>
                <w:sz w:val="18"/>
              </w:rPr>
            </w:pPr>
            <w:r w:rsidRPr="005734B8">
              <w:rPr>
                <w:rFonts w:ascii="Calibri" w:hAnsi="Calibri" w:cs="Calibri"/>
                <w:sz w:val="18"/>
              </w:rPr>
              <w:t>Unit of measure</w:t>
            </w:r>
          </w:p>
        </w:tc>
        <w:tc>
          <w:tcPr>
            <w:tcW w:w="1122" w:type="dxa"/>
            <w:gridSpan w:val="2"/>
            <w:tcBorders>
              <w:bottom w:val="single" w:sz="4" w:space="0" w:color="FFFFFF" w:themeColor="background1"/>
            </w:tcBorders>
            <w:shd w:val="clear" w:color="auto" w:fill="AF272F" w:themeFill="accent4"/>
          </w:tcPr>
          <w:p w14:paraId="3A750D99" w14:textId="77777777" w:rsidR="008A4372" w:rsidRPr="005734B8" w:rsidRDefault="008A4372" w:rsidP="000C192E">
            <w:pPr>
              <w:pStyle w:val="ESTableheadingwhite"/>
              <w:jc w:val="right"/>
              <w:rPr>
                <w:rFonts w:ascii="Calibri" w:hAnsi="Calibri" w:cs="Calibri"/>
                <w:sz w:val="18"/>
              </w:rPr>
            </w:pPr>
            <w:r w:rsidRPr="005734B8">
              <w:rPr>
                <w:rFonts w:ascii="Calibri" w:hAnsi="Calibri" w:cs="Calibri"/>
                <w:sz w:val="18"/>
              </w:rPr>
              <w:t>2020–21 actual</w:t>
            </w:r>
          </w:p>
        </w:tc>
        <w:tc>
          <w:tcPr>
            <w:tcW w:w="1304" w:type="dxa"/>
            <w:tcBorders>
              <w:bottom w:val="single" w:sz="4" w:space="0" w:color="FFFFFF" w:themeColor="background1"/>
            </w:tcBorders>
            <w:shd w:val="clear" w:color="auto" w:fill="AF272F" w:themeFill="accent4"/>
          </w:tcPr>
          <w:p w14:paraId="37977BA0" w14:textId="77777777" w:rsidR="008A4372" w:rsidRPr="005734B8" w:rsidRDefault="008A4372" w:rsidP="000C192E">
            <w:pPr>
              <w:pStyle w:val="ESTableheadingwhite"/>
              <w:jc w:val="right"/>
              <w:rPr>
                <w:rFonts w:ascii="Calibri" w:hAnsi="Calibri" w:cs="Calibri"/>
                <w:sz w:val="18"/>
              </w:rPr>
            </w:pPr>
            <w:r w:rsidRPr="005734B8">
              <w:rPr>
                <w:rFonts w:ascii="Calibri" w:hAnsi="Calibri" w:cs="Calibri"/>
                <w:sz w:val="18"/>
              </w:rPr>
              <w:t>2020–21 target</w:t>
            </w:r>
          </w:p>
        </w:tc>
        <w:tc>
          <w:tcPr>
            <w:tcW w:w="1723" w:type="dxa"/>
            <w:gridSpan w:val="2"/>
            <w:tcBorders>
              <w:bottom w:val="single" w:sz="4" w:space="0" w:color="FFFFFF" w:themeColor="background1"/>
            </w:tcBorders>
            <w:shd w:val="clear" w:color="auto" w:fill="AF272F" w:themeFill="accent4"/>
          </w:tcPr>
          <w:p w14:paraId="496E892F" w14:textId="77777777" w:rsidR="008A4372" w:rsidRPr="005734B8" w:rsidRDefault="008A4372" w:rsidP="000C192E">
            <w:pPr>
              <w:pStyle w:val="ESTableheadingwhite"/>
              <w:jc w:val="right"/>
              <w:rPr>
                <w:rFonts w:ascii="Calibri" w:hAnsi="Calibri" w:cs="Calibri"/>
                <w:sz w:val="18"/>
              </w:rPr>
            </w:pPr>
            <w:r w:rsidRPr="005734B8">
              <w:rPr>
                <w:rFonts w:ascii="Calibri" w:hAnsi="Calibri" w:cs="Calibri"/>
                <w:sz w:val="18"/>
              </w:rPr>
              <w:t>Performance variation (%)</w:t>
            </w:r>
          </w:p>
        </w:tc>
        <w:tc>
          <w:tcPr>
            <w:tcW w:w="972" w:type="dxa"/>
            <w:gridSpan w:val="2"/>
            <w:tcBorders>
              <w:bottom w:val="single" w:sz="4" w:space="0" w:color="FFFFFF" w:themeColor="background1"/>
            </w:tcBorders>
            <w:shd w:val="clear" w:color="auto" w:fill="AF272F" w:themeFill="accent4"/>
          </w:tcPr>
          <w:p w14:paraId="3091A4AB" w14:textId="77777777" w:rsidR="008A4372" w:rsidRPr="005734B8" w:rsidRDefault="008A4372" w:rsidP="000C192E">
            <w:pPr>
              <w:pStyle w:val="ESTableheadingwhite"/>
              <w:jc w:val="right"/>
              <w:rPr>
                <w:rFonts w:ascii="Calibri" w:hAnsi="Calibri" w:cs="Calibri"/>
                <w:sz w:val="18"/>
              </w:rPr>
            </w:pPr>
            <w:r w:rsidRPr="005734B8">
              <w:rPr>
                <w:rFonts w:ascii="Calibri" w:hAnsi="Calibri" w:cs="Calibri"/>
                <w:sz w:val="18"/>
              </w:rPr>
              <w:t>Result</w:t>
            </w:r>
          </w:p>
        </w:tc>
      </w:tr>
      <w:tr w:rsidR="008A4372" w:rsidRPr="005734B8" w14:paraId="32C46EFA" w14:textId="77777777" w:rsidTr="000C192E">
        <w:trPr>
          <w:cantSplit/>
        </w:trPr>
        <w:tc>
          <w:tcPr>
            <w:tcW w:w="9010" w:type="dxa"/>
            <w:gridSpan w:val="10"/>
            <w:tcBorders>
              <w:bottom w:val="single" w:sz="4" w:space="0" w:color="53565A" w:themeColor="accent5"/>
            </w:tcBorders>
            <w:shd w:val="clear" w:color="auto" w:fill="53565A" w:themeFill="accent5"/>
          </w:tcPr>
          <w:p w14:paraId="32F9C341" w14:textId="77777777" w:rsidR="008A4372" w:rsidRPr="005734B8" w:rsidRDefault="008A4372" w:rsidP="000C192E">
            <w:pPr>
              <w:pStyle w:val="W1"/>
              <w:rPr>
                <w:rFonts w:ascii="Calibri" w:hAnsi="Calibri" w:cs="Calibri"/>
                <w:sz w:val="18"/>
              </w:rPr>
            </w:pPr>
            <w:r w:rsidRPr="005734B8">
              <w:rPr>
                <w:rFonts w:ascii="Calibri" w:hAnsi="Calibri" w:cs="Calibri"/>
                <w:sz w:val="18"/>
              </w:rPr>
              <w:t>Quantity</w:t>
            </w:r>
          </w:p>
        </w:tc>
      </w:tr>
      <w:tr w:rsidR="008A4372" w:rsidRPr="005734B8" w14:paraId="7D90C361"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34E248E8" w14:textId="77777777" w:rsidR="008A4372" w:rsidRPr="005734B8" w:rsidRDefault="008A4372" w:rsidP="000C192E">
            <w:pPr>
              <w:pStyle w:val="ESTablebody"/>
              <w:rPr>
                <w:rFonts w:ascii="Calibri" w:hAnsi="Calibri" w:cs="Calibri"/>
                <w:sz w:val="18"/>
              </w:rPr>
            </w:pPr>
            <w:r w:rsidRPr="005734B8">
              <w:rPr>
                <w:rFonts w:ascii="Calibri" w:hAnsi="Calibri" w:cs="Calibri"/>
                <w:sz w:val="18"/>
                <w:lang w:val="en-AU"/>
              </w:rPr>
              <w:t>Investment in non-government schools (primary)</w:t>
            </w:r>
          </w:p>
        </w:tc>
        <w:tc>
          <w:tcPr>
            <w:tcW w:w="1216" w:type="dxa"/>
            <w:tcBorders>
              <w:top w:val="single" w:sz="4" w:space="0" w:color="53565A" w:themeColor="accent5"/>
              <w:bottom w:val="single" w:sz="4" w:space="0" w:color="53565A" w:themeColor="accent5"/>
            </w:tcBorders>
            <w:shd w:val="clear" w:color="auto" w:fill="auto"/>
          </w:tcPr>
          <w:p w14:paraId="6813CF2F" w14:textId="77777777" w:rsidR="008A4372" w:rsidRPr="005734B8" w:rsidRDefault="008A4372" w:rsidP="004C1A4F">
            <w:pPr>
              <w:pStyle w:val="ESTablebody"/>
              <w:jc w:val="right"/>
              <w:rPr>
                <w:rFonts w:ascii="Calibri" w:hAnsi="Calibri" w:cs="Calibri"/>
                <w:sz w:val="18"/>
              </w:rPr>
            </w:pPr>
            <w:r w:rsidRPr="005734B8">
              <w:rPr>
                <w:rFonts w:ascii="Calibri" w:hAnsi="Calibri" w:cs="Calibri"/>
                <w:sz w:val="18"/>
                <w:lang w:val="en-AU"/>
              </w:rPr>
              <w:t>$ million</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5B003549" w14:textId="6B9B8762"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4</w:t>
            </w:r>
            <w:r w:rsidR="008B4075" w:rsidRPr="005734B8">
              <w:rPr>
                <w:rFonts w:ascii="Calibri" w:hAnsi="Calibri" w:cs="Calibri"/>
                <w:sz w:val="18"/>
                <w:szCs w:val="16"/>
              </w:rPr>
              <w:t>69</w:t>
            </w:r>
            <w:r w:rsidRPr="005734B8">
              <w:rPr>
                <w:rFonts w:ascii="Calibri" w:hAnsi="Calibri" w:cs="Calibri"/>
                <w:sz w:val="18"/>
                <w:szCs w:val="16"/>
              </w:rPr>
              <w:t>.</w:t>
            </w:r>
            <w:r w:rsidR="008B4075" w:rsidRPr="005734B8">
              <w:rPr>
                <w:rFonts w:ascii="Calibri" w:hAnsi="Calibri" w:cs="Calibri"/>
                <w:sz w:val="18"/>
                <w:szCs w:val="16"/>
              </w:rPr>
              <w:t>8</w:t>
            </w:r>
          </w:p>
        </w:tc>
        <w:tc>
          <w:tcPr>
            <w:tcW w:w="1304" w:type="dxa"/>
            <w:tcBorders>
              <w:top w:val="single" w:sz="4" w:space="0" w:color="53565A" w:themeColor="accent5"/>
              <w:bottom w:val="single" w:sz="4" w:space="0" w:color="53565A" w:themeColor="accent5"/>
            </w:tcBorders>
            <w:shd w:val="clear" w:color="auto" w:fill="FFFFFF" w:themeFill="background1"/>
          </w:tcPr>
          <w:p w14:paraId="32090AFC"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485.2</w:t>
            </w:r>
          </w:p>
        </w:tc>
        <w:tc>
          <w:tcPr>
            <w:tcW w:w="1723" w:type="dxa"/>
            <w:gridSpan w:val="2"/>
            <w:tcBorders>
              <w:top w:val="single" w:sz="4" w:space="0" w:color="53565A" w:themeColor="accent5"/>
              <w:bottom w:val="single" w:sz="4" w:space="0" w:color="53565A" w:themeColor="accent5"/>
            </w:tcBorders>
          </w:tcPr>
          <w:p w14:paraId="1FF73ABE" w14:textId="1949DF2B"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w:t>
            </w:r>
            <w:r w:rsidR="008B4075" w:rsidRPr="005734B8">
              <w:rPr>
                <w:rFonts w:ascii="Calibri" w:hAnsi="Calibri" w:cs="Calibri"/>
                <w:sz w:val="18"/>
                <w:szCs w:val="16"/>
              </w:rPr>
              <w:t>3</w:t>
            </w:r>
            <w:r w:rsidRPr="005734B8">
              <w:rPr>
                <w:rFonts w:ascii="Calibri" w:hAnsi="Calibri" w:cs="Calibri"/>
                <w:sz w:val="18"/>
                <w:szCs w:val="16"/>
              </w:rPr>
              <w:t>.2</w:t>
            </w:r>
          </w:p>
        </w:tc>
        <w:tc>
          <w:tcPr>
            <w:tcW w:w="972" w:type="dxa"/>
            <w:gridSpan w:val="2"/>
            <w:tcBorders>
              <w:top w:val="single" w:sz="4" w:space="0" w:color="53565A" w:themeColor="accent5"/>
              <w:bottom w:val="single" w:sz="4" w:space="0" w:color="53565A" w:themeColor="accent5"/>
            </w:tcBorders>
          </w:tcPr>
          <w:p w14:paraId="6A9552A7" w14:textId="6D1A6B06" w:rsidR="008A4372" w:rsidRPr="005734B8" w:rsidRDefault="008A4372" w:rsidP="000C192E">
            <w:pPr>
              <w:pStyle w:val="ESTablenumberrightaligned"/>
              <w:rPr>
                <w:rFonts w:ascii="Calibri" w:hAnsi="Calibri" w:cs="Calibri"/>
                <w:sz w:val="18"/>
              </w:rPr>
            </w:pPr>
            <w:r w:rsidRPr="005734B8">
              <w:rPr>
                <w:rFonts w:ascii="Calibri" w:hAnsi="Calibri" w:cs="Calibri"/>
                <w:sz w:val="18"/>
                <w:lang w:val="en-AU"/>
              </w:rPr>
              <w:sym w:font="Wingdings" w:char="F0A1"/>
            </w:r>
          </w:p>
        </w:tc>
      </w:tr>
      <w:tr w:rsidR="008A4372" w:rsidRPr="005734B8" w14:paraId="7E9BBACA" w14:textId="77777777" w:rsidTr="00A57061">
        <w:trPr>
          <w:cantSplit/>
          <w:trHeight w:val="70"/>
        </w:trPr>
        <w:tc>
          <w:tcPr>
            <w:tcW w:w="9010" w:type="dxa"/>
            <w:gridSpan w:val="10"/>
            <w:tcBorders>
              <w:top w:val="single" w:sz="4" w:space="0" w:color="53565A" w:themeColor="accent5"/>
              <w:bottom w:val="single" w:sz="4" w:space="0" w:color="53565A" w:themeColor="accent5"/>
            </w:tcBorders>
            <w:shd w:val="clear" w:color="auto" w:fill="auto"/>
          </w:tcPr>
          <w:p w14:paraId="35A463F7" w14:textId="77777777"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lang w:val="en-AU"/>
              </w:rPr>
              <w:t>No footnote required.</w:t>
            </w:r>
          </w:p>
        </w:tc>
      </w:tr>
      <w:tr w:rsidR="008A4372" w:rsidRPr="005734B8" w14:paraId="320DD3A6"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3759E333" w14:textId="77777777" w:rsidR="008A4372" w:rsidRPr="005734B8" w:rsidRDefault="008A4372" w:rsidP="000C192E">
            <w:pPr>
              <w:pStyle w:val="ESTablenumberrightaligned"/>
              <w:jc w:val="left"/>
              <w:rPr>
                <w:rFonts w:ascii="Calibri" w:hAnsi="Calibri" w:cs="Calibri"/>
                <w:iCs/>
                <w:sz w:val="18"/>
                <w:lang w:val="en-AU"/>
              </w:rPr>
            </w:pPr>
            <w:r w:rsidRPr="005734B8">
              <w:rPr>
                <w:rFonts w:ascii="Calibri" w:hAnsi="Calibri" w:cs="Calibri"/>
                <w:sz w:val="18"/>
                <w:lang w:val="en-AU"/>
              </w:rPr>
              <w:t>Percentage of government primary school students receiving equity funding</w:t>
            </w:r>
          </w:p>
        </w:tc>
        <w:tc>
          <w:tcPr>
            <w:tcW w:w="1216" w:type="dxa"/>
            <w:tcBorders>
              <w:top w:val="single" w:sz="4" w:space="0" w:color="53565A" w:themeColor="accent5"/>
              <w:bottom w:val="single" w:sz="4" w:space="0" w:color="53565A" w:themeColor="accent5"/>
            </w:tcBorders>
            <w:shd w:val="clear" w:color="auto" w:fill="auto"/>
          </w:tcPr>
          <w:p w14:paraId="0E6DF346" w14:textId="77777777" w:rsidR="008A4372" w:rsidRPr="005734B8" w:rsidRDefault="008A4372" w:rsidP="000C192E">
            <w:pPr>
              <w:pStyle w:val="ESTablenumberrightaligned"/>
              <w:rPr>
                <w:rFonts w:ascii="Calibri" w:hAnsi="Calibri" w:cs="Calibri"/>
                <w:iCs/>
                <w:sz w:val="18"/>
                <w:lang w:val="en-AU"/>
              </w:rPr>
            </w:pPr>
            <w:r w:rsidRPr="005734B8">
              <w:rPr>
                <w:rFonts w:ascii="Calibri" w:hAnsi="Calibri" w:cs="Calibri"/>
                <w:sz w:val="18"/>
                <w:lang w:val="en-AU"/>
              </w:rPr>
              <w:t>per cent</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2B1A6C71" w14:textId="77777777" w:rsidR="008A4372" w:rsidRPr="005734B8" w:rsidRDefault="008A4372" w:rsidP="000C192E">
            <w:pPr>
              <w:pStyle w:val="ESTablenumberrightaligned"/>
              <w:rPr>
                <w:rFonts w:ascii="Calibri" w:hAnsi="Calibri" w:cs="Calibri"/>
                <w:iCs/>
                <w:sz w:val="18"/>
                <w:szCs w:val="16"/>
                <w:lang w:val="en-AU"/>
              </w:rPr>
            </w:pPr>
            <w:r w:rsidRPr="005734B8">
              <w:rPr>
                <w:rFonts w:ascii="Calibri" w:hAnsi="Calibri" w:cs="Calibri"/>
                <w:iCs/>
                <w:sz w:val="18"/>
                <w:szCs w:val="16"/>
                <w:lang w:val="en-AU"/>
              </w:rPr>
              <w:t>25</w:t>
            </w:r>
          </w:p>
        </w:tc>
        <w:tc>
          <w:tcPr>
            <w:tcW w:w="1304" w:type="dxa"/>
            <w:tcBorders>
              <w:top w:val="single" w:sz="4" w:space="0" w:color="53565A" w:themeColor="accent5"/>
              <w:bottom w:val="single" w:sz="4" w:space="0" w:color="53565A" w:themeColor="accent5"/>
            </w:tcBorders>
            <w:shd w:val="clear" w:color="auto" w:fill="FFFFFF" w:themeFill="background1"/>
          </w:tcPr>
          <w:p w14:paraId="2FBF04BE" w14:textId="77777777" w:rsidR="008A4372" w:rsidRPr="005734B8" w:rsidRDefault="008A4372" w:rsidP="000C192E">
            <w:pPr>
              <w:pStyle w:val="ESTablenumberrightaligned"/>
              <w:rPr>
                <w:rFonts w:ascii="Calibri" w:hAnsi="Calibri" w:cs="Calibri"/>
                <w:iCs/>
                <w:sz w:val="18"/>
                <w:szCs w:val="16"/>
                <w:lang w:val="en-AU"/>
              </w:rPr>
            </w:pPr>
            <w:r w:rsidRPr="005734B8">
              <w:rPr>
                <w:rFonts w:ascii="Calibri" w:hAnsi="Calibri" w:cs="Calibri"/>
                <w:iCs/>
                <w:sz w:val="18"/>
                <w:szCs w:val="16"/>
                <w:lang w:val="en-AU"/>
              </w:rPr>
              <w:t>26</w:t>
            </w:r>
          </w:p>
        </w:tc>
        <w:tc>
          <w:tcPr>
            <w:tcW w:w="1723" w:type="dxa"/>
            <w:gridSpan w:val="2"/>
            <w:tcBorders>
              <w:top w:val="single" w:sz="4" w:space="0" w:color="53565A" w:themeColor="accent5"/>
              <w:bottom w:val="single" w:sz="4" w:space="0" w:color="53565A" w:themeColor="accent5"/>
            </w:tcBorders>
            <w:shd w:val="clear" w:color="auto" w:fill="auto"/>
          </w:tcPr>
          <w:p w14:paraId="4E25B0C2" w14:textId="77777777" w:rsidR="008A4372" w:rsidRPr="005734B8" w:rsidRDefault="008A4372" w:rsidP="000C192E">
            <w:pPr>
              <w:pStyle w:val="ESTablenumberrightaligned"/>
              <w:rPr>
                <w:rFonts w:ascii="Calibri" w:hAnsi="Calibri" w:cs="Calibri"/>
                <w:iCs/>
                <w:sz w:val="18"/>
                <w:szCs w:val="16"/>
                <w:lang w:val="en-AU"/>
              </w:rPr>
            </w:pPr>
            <w:r w:rsidRPr="005734B8">
              <w:rPr>
                <w:rFonts w:ascii="Calibri" w:hAnsi="Calibri" w:cs="Calibri"/>
                <w:sz w:val="18"/>
                <w:szCs w:val="16"/>
              </w:rPr>
              <w:t>–</w:t>
            </w:r>
            <w:r w:rsidRPr="005734B8">
              <w:rPr>
                <w:rFonts w:ascii="Calibri" w:hAnsi="Calibri" w:cs="Calibri"/>
                <w:iCs/>
                <w:sz w:val="18"/>
                <w:szCs w:val="16"/>
                <w:lang w:val="en-AU"/>
              </w:rPr>
              <w:t>3.8</w:t>
            </w:r>
          </w:p>
        </w:tc>
        <w:tc>
          <w:tcPr>
            <w:tcW w:w="972" w:type="dxa"/>
            <w:gridSpan w:val="2"/>
            <w:tcBorders>
              <w:top w:val="single" w:sz="4" w:space="0" w:color="53565A" w:themeColor="accent5"/>
              <w:bottom w:val="single" w:sz="4" w:space="0" w:color="53565A" w:themeColor="accent5"/>
            </w:tcBorders>
            <w:shd w:val="clear" w:color="auto" w:fill="auto"/>
          </w:tcPr>
          <w:p w14:paraId="16FAE41C" w14:textId="77777777" w:rsidR="008A4372" w:rsidRPr="005734B8" w:rsidRDefault="008A4372" w:rsidP="000C192E">
            <w:pPr>
              <w:pStyle w:val="ESTablenumberrightaligned"/>
              <w:rPr>
                <w:rFonts w:ascii="Calibri" w:hAnsi="Calibri" w:cs="Calibri"/>
                <w:iCs/>
                <w:sz w:val="18"/>
                <w:lang w:val="en-AU"/>
              </w:rPr>
            </w:pPr>
            <w:r w:rsidRPr="005734B8">
              <w:rPr>
                <w:rFonts w:ascii="Calibri" w:hAnsi="Calibri" w:cs="Calibri"/>
                <w:sz w:val="18"/>
                <w:lang w:val="en-AU"/>
              </w:rPr>
              <w:sym w:font="Wingdings" w:char="F0A1"/>
            </w:r>
          </w:p>
        </w:tc>
      </w:tr>
      <w:tr w:rsidR="008A4372" w:rsidRPr="005734B8" w14:paraId="7EF66644"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577D5A19" w14:textId="77777777"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lang w:val="en-AU"/>
              </w:rPr>
              <w:t>The above performance measure relates to the calendar year and refers to government schools only.</w:t>
            </w:r>
          </w:p>
        </w:tc>
      </w:tr>
      <w:tr w:rsidR="008A4372" w:rsidRPr="005734B8" w14:paraId="5502F69A"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4DBE4234" w14:textId="77777777" w:rsidR="008A4372" w:rsidRPr="005734B8" w:rsidRDefault="008A4372" w:rsidP="000C192E">
            <w:pPr>
              <w:pStyle w:val="ESTablenumberrightaligned"/>
              <w:jc w:val="left"/>
              <w:rPr>
                <w:rFonts w:ascii="Calibri" w:hAnsi="Calibri" w:cs="Calibri"/>
                <w:sz w:val="18"/>
                <w:lang w:val="en-AU"/>
              </w:rPr>
            </w:pPr>
            <w:r w:rsidRPr="005734B8">
              <w:rPr>
                <w:rFonts w:ascii="Calibri" w:hAnsi="Calibri" w:cs="Calibri"/>
                <w:sz w:val="18"/>
                <w:lang w:val="en-AU"/>
              </w:rPr>
              <w:t xml:space="preserve">Number of teachers who completed professional development </w:t>
            </w:r>
            <w:bookmarkStart w:id="191" w:name="_Hlk77160943"/>
            <w:r w:rsidRPr="005734B8">
              <w:rPr>
                <w:rFonts w:ascii="Calibri" w:hAnsi="Calibri" w:cs="Calibri"/>
                <w:sz w:val="18"/>
                <w:lang w:val="en-AU"/>
              </w:rPr>
              <w:t>as Mathematics and Science Specialists</w:t>
            </w:r>
            <w:bookmarkEnd w:id="191"/>
          </w:p>
        </w:tc>
        <w:tc>
          <w:tcPr>
            <w:tcW w:w="1216" w:type="dxa"/>
            <w:tcBorders>
              <w:top w:val="single" w:sz="4" w:space="0" w:color="53565A" w:themeColor="accent5"/>
              <w:bottom w:val="single" w:sz="4" w:space="0" w:color="53565A" w:themeColor="accent5"/>
            </w:tcBorders>
            <w:shd w:val="clear" w:color="auto" w:fill="auto"/>
          </w:tcPr>
          <w:p w14:paraId="16FE9657"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3FDA4C17"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201</w:t>
            </w:r>
          </w:p>
        </w:tc>
        <w:tc>
          <w:tcPr>
            <w:tcW w:w="1304" w:type="dxa"/>
            <w:tcBorders>
              <w:top w:val="single" w:sz="4" w:space="0" w:color="53565A" w:themeColor="accent5"/>
              <w:bottom w:val="single" w:sz="4" w:space="0" w:color="53565A" w:themeColor="accent5"/>
            </w:tcBorders>
            <w:shd w:val="clear" w:color="auto" w:fill="FFFFFF" w:themeFill="background1"/>
          </w:tcPr>
          <w:p w14:paraId="34A5E8F2"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200</w:t>
            </w:r>
          </w:p>
        </w:tc>
        <w:tc>
          <w:tcPr>
            <w:tcW w:w="1723" w:type="dxa"/>
            <w:gridSpan w:val="2"/>
            <w:tcBorders>
              <w:top w:val="single" w:sz="4" w:space="0" w:color="53565A" w:themeColor="accent5"/>
              <w:bottom w:val="single" w:sz="4" w:space="0" w:color="53565A" w:themeColor="accent5"/>
            </w:tcBorders>
            <w:shd w:val="clear" w:color="auto" w:fill="auto"/>
          </w:tcPr>
          <w:p w14:paraId="5BE6568B"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0.5</w:t>
            </w:r>
          </w:p>
        </w:tc>
        <w:tc>
          <w:tcPr>
            <w:tcW w:w="972" w:type="dxa"/>
            <w:gridSpan w:val="2"/>
            <w:tcBorders>
              <w:top w:val="single" w:sz="4" w:space="0" w:color="53565A" w:themeColor="accent5"/>
              <w:bottom w:val="single" w:sz="4" w:space="0" w:color="53565A" w:themeColor="accent5"/>
            </w:tcBorders>
            <w:shd w:val="clear" w:color="auto" w:fill="auto"/>
          </w:tcPr>
          <w:p w14:paraId="2E92E90A"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sym w:font="Wingdings" w:char="F0FC"/>
            </w:r>
          </w:p>
        </w:tc>
      </w:tr>
      <w:tr w:rsidR="008A4372" w:rsidRPr="005734B8" w14:paraId="4973405C"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6DBB6735" w14:textId="77777777"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 xml:space="preserve">relates to the calendar year and refers to government schools only. </w:t>
            </w:r>
          </w:p>
        </w:tc>
      </w:tr>
      <w:tr w:rsidR="008A4372" w:rsidRPr="005734B8" w14:paraId="7D788FD6"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6578D6AC" w14:textId="77777777" w:rsidR="008A4372" w:rsidRPr="005734B8" w:rsidRDefault="008A4372" w:rsidP="000C192E">
            <w:pPr>
              <w:pStyle w:val="ESTablenumberrightaligned"/>
              <w:jc w:val="left"/>
              <w:rPr>
                <w:rFonts w:ascii="Calibri" w:hAnsi="Calibri" w:cs="Calibri"/>
                <w:sz w:val="18"/>
                <w:lang w:val="en-AU"/>
              </w:rPr>
            </w:pPr>
            <w:r w:rsidRPr="005734B8">
              <w:rPr>
                <w:rFonts w:ascii="Calibri" w:hAnsi="Calibri" w:cs="Calibri"/>
                <w:sz w:val="18"/>
                <w:lang w:val="en-AU"/>
              </w:rPr>
              <w:t>Number of Assistant Principals participating in leadership development programs, including the Aspiring Principals Program</w:t>
            </w:r>
          </w:p>
        </w:tc>
        <w:tc>
          <w:tcPr>
            <w:tcW w:w="1216" w:type="dxa"/>
            <w:tcBorders>
              <w:top w:val="single" w:sz="4" w:space="0" w:color="53565A" w:themeColor="accent5"/>
              <w:bottom w:val="single" w:sz="4" w:space="0" w:color="53565A" w:themeColor="accent5"/>
            </w:tcBorders>
            <w:shd w:val="clear" w:color="auto" w:fill="auto"/>
          </w:tcPr>
          <w:p w14:paraId="67D068BC"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414EF5D9"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388</w:t>
            </w:r>
          </w:p>
        </w:tc>
        <w:tc>
          <w:tcPr>
            <w:tcW w:w="1304" w:type="dxa"/>
            <w:tcBorders>
              <w:top w:val="single" w:sz="4" w:space="0" w:color="53565A" w:themeColor="accent5"/>
              <w:bottom w:val="single" w:sz="4" w:space="0" w:color="53565A" w:themeColor="accent5"/>
            </w:tcBorders>
            <w:shd w:val="clear" w:color="auto" w:fill="FFFFFF" w:themeFill="background1"/>
          </w:tcPr>
          <w:p w14:paraId="0D3A61D9"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700</w:t>
            </w:r>
          </w:p>
        </w:tc>
        <w:tc>
          <w:tcPr>
            <w:tcW w:w="1723" w:type="dxa"/>
            <w:gridSpan w:val="2"/>
            <w:tcBorders>
              <w:top w:val="single" w:sz="4" w:space="0" w:color="53565A" w:themeColor="accent5"/>
              <w:bottom w:val="single" w:sz="4" w:space="0" w:color="53565A" w:themeColor="accent5"/>
            </w:tcBorders>
            <w:shd w:val="clear" w:color="auto" w:fill="auto"/>
          </w:tcPr>
          <w:p w14:paraId="13C87769"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rPr>
              <w:t>–</w:t>
            </w:r>
            <w:r w:rsidRPr="005734B8">
              <w:rPr>
                <w:rFonts w:ascii="Calibri" w:hAnsi="Calibri" w:cs="Calibri"/>
                <w:sz w:val="18"/>
                <w:szCs w:val="16"/>
                <w:lang w:val="en-AU"/>
              </w:rPr>
              <w:t>44.6</w:t>
            </w:r>
          </w:p>
        </w:tc>
        <w:tc>
          <w:tcPr>
            <w:tcW w:w="972" w:type="dxa"/>
            <w:gridSpan w:val="2"/>
            <w:tcBorders>
              <w:top w:val="single" w:sz="4" w:space="0" w:color="53565A" w:themeColor="accent5"/>
              <w:bottom w:val="single" w:sz="4" w:space="0" w:color="53565A" w:themeColor="accent5"/>
            </w:tcBorders>
            <w:shd w:val="clear" w:color="auto" w:fill="auto"/>
          </w:tcPr>
          <w:p w14:paraId="0C99A5C1"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sym w:font="Wingdings" w:char="F06E"/>
            </w:r>
          </w:p>
        </w:tc>
      </w:tr>
      <w:tr w:rsidR="008A4372" w:rsidRPr="005734B8" w14:paraId="61266B86"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153303D3" w14:textId="77777777"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and refers to government schools only. The 2020–21 outcome is lower than the target due to the COVID-19 pandemic.</w:t>
            </w:r>
          </w:p>
        </w:tc>
      </w:tr>
      <w:tr w:rsidR="008A4372" w:rsidRPr="005734B8" w14:paraId="67FD99A6"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19F7E486" w14:textId="77777777" w:rsidR="008A4372" w:rsidRPr="005734B8" w:rsidRDefault="008A4372" w:rsidP="000C192E">
            <w:pPr>
              <w:pStyle w:val="ESTablenumberrightaligned"/>
              <w:jc w:val="left"/>
              <w:rPr>
                <w:rFonts w:ascii="Calibri" w:hAnsi="Calibri" w:cs="Calibri"/>
                <w:sz w:val="18"/>
                <w:highlight w:val="yellow"/>
                <w:lang w:val="en-AU"/>
              </w:rPr>
            </w:pPr>
            <w:r w:rsidRPr="005734B8">
              <w:rPr>
                <w:rFonts w:ascii="Calibri" w:hAnsi="Calibri" w:cs="Calibri"/>
                <w:sz w:val="18"/>
                <w:lang w:val="en-AU"/>
              </w:rPr>
              <w:lastRenderedPageBreak/>
              <w:t>Number of principals participating in leadership development programs, including the Expert Leaders of Education Program</w:t>
            </w:r>
          </w:p>
        </w:tc>
        <w:tc>
          <w:tcPr>
            <w:tcW w:w="1216" w:type="dxa"/>
            <w:tcBorders>
              <w:top w:val="single" w:sz="4" w:space="0" w:color="53565A" w:themeColor="accent5"/>
              <w:bottom w:val="single" w:sz="4" w:space="0" w:color="53565A" w:themeColor="accent5"/>
            </w:tcBorders>
            <w:shd w:val="clear" w:color="auto" w:fill="auto"/>
          </w:tcPr>
          <w:p w14:paraId="5606B149"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59CC17BB"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671</w:t>
            </w:r>
          </w:p>
        </w:tc>
        <w:tc>
          <w:tcPr>
            <w:tcW w:w="1304" w:type="dxa"/>
            <w:tcBorders>
              <w:top w:val="single" w:sz="4" w:space="0" w:color="53565A" w:themeColor="accent5"/>
              <w:bottom w:val="single" w:sz="4" w:space="0" w:color="53565A" w:themeColor="accent5"/>
            </w:tcBorders>
            <w:shd w:val="clear" w:color="auto" w:fill="FFFFFF" w:themeFill="background1"/>
          </w:tcPr>
          <w:p w14:paraId="05B75573"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1,100</w:t>
            </w:r>
          </w:p>
        </w:tc>
        <w:tc>
          <w:tcPr>
            <w:tcW w:w="1723" w:type="dxa"/>
            <w:gridSpan w:val="2"/>
            <w:tcBorders>
              <w:top w:val="single" w:sz="4" w:space="0" w:color="53565A" w:themeColor="accent5"/>
              <w:bottom w:val="single" w:sz="4" w:space="0" w:color="53565A" w:themeColor="accent5"/>
            </w:tcBorders>
            <w:shd w:val="clear" w:color="auto" w:fill="auto"/>
          </w:tcPr>
          <w:p w14:paraId="6555E18F"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rPr>
              <w:t>–</w:t>
            </w:r>
            <w:r w:rsidRPr="005734B8">
              <w:rPr>
                <w:rFonts w:ascii="Calibri" w:hAnsi="Calibri" w:cs="Calibri"/>
                <w:sz w:val="18"/>
                <w:szCs w:val="16"/>
                <w:lang w:val="en-AU"/>
              </w:rPr>
              <w:t>39.0</w:t>
            </w:r>
          </w:p>
        </w:tc>
        <w:tc>
          <w:tcPr>
            <w:tcW w:w="972" w:type="dxa"/>
            <w:gridSpan w:val="2"/>
            <w:tcBorders>
              <w:top w:val="single" w:sz="4" w:space="0" w:color="53565A" w:themeColor="accent5"/>
              <w:bottom w:val="single" w:sz="4" w:space="0" w:color="53565A" w:themeColor="accent5"/>
            </w:tcBorders>
            <w:shd w:val="clear" w:color="auto" w:fill="auto"/>
          </w:tcPr>
          <w:p w14:paraId="2ABB216A"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sym w:font="Wingdings" w:char="F06E"/>
            </w:r>
          </w:p>
        </w:tc>
      </w:tr>
      <w:tr w:rsidR="008A4372" w:rsidRPr="005734B8" w14:paraId="1DEFD101"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06FC73B6" w14:textId="77777777"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and refers to government schools only. The 2020–21 outcome is lower than the target due to the COVID-19 pandemic.</w:t>
            </w:r>
          </w:p>
        </w:tc>
      </w:tr>
      <w:tr w:rsidR="008A4372" w:rsidRPr="005734B8" w14:paraId="2572D009"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1431DC92" w14:textId="77777777" w:rsidR="008A4372" w:rsidRPr="005734B8" w:rsidRDefault="008A4372" w:rsidP="000C192E">
            <w:pPr>
              <w:pStyle w:val="ESTablenumberrightaligned"/>
              <w:jc w:val="left"/>
              <w:rPr>
                <w:rFonts w:ascii="Calibri" w:hAnsi="Calibri" w:cs="Calibri"/>
                <w:sz w:val="18"/>
                <w:highlight w:val="yellow"/>
                <w:lang w:val="en-AU"/>
              </w:rPr>
            </w:pPr>
            <w:r w:rsidRPr="005734B8">
              <w:rPr>
                <w:rFonts w:ascii="Calibri" w:hAnsi="Calibri" w:cs="Calibri"/>
                <w:sz w:val="18"/>
                <w:lang w:val="en-AU"/>
              </w:rPr>
              <w:t>Number of school staff who are not principals or assistant principals participating in leadership development programs, including the Aspiring Principals Program and the Local Leaders Program</w:t>
            </w:r>
          </w:p>
        </w:tc>
        <w:tc>
          <w:tcPr>
            <w:tcW w:w="1216" w:type="dxa"/>
            <w:tcBorders>
              <w:top w:val="single" w:sz="4" w:space="0" w:color="53565A" w:themeColor="accent5"/>
              <w:bottom w:val="single" w:sz="4" w:space="0" w:color="53565A" w:themeColor="accent5"/>
            </w:tcBorders>
            <w:shd w:val="clear" w:color="auto" w:fill="auto"/>
          </w:tcPr>
          <w:p w14:paraId="57E79246"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69E35AF9"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2,470</w:t>
            </w:r>
          </w:p>
        </w:tc>
        <w:tc>
          <w:tcPr>
            <w:tcW w:w="1304" w:type="dxa"/>
            <w:tcBorders>
              <w:top w:val="single" w:sz="4" w:space="0" w:color="53565A" w:themeColor="accent5"/>
              <w:bottom w:val="single" w:sz="4" w:space="0" w:color="53565A" w:themeColor="accent5"/>
            </w:tcBorders>
            <w:shd w:val="clear" w:color="auto" w:fill="FFFFFF" w:themeFill="background1"/>
          </w:tcPr>
          <w:p w14:paraId="5225F09A"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3,000</w:t>
            </w:r>
          </w:p>
        </w:tc>
        <w:tc>
          <w:tcPr>
            <w:tcW w:w="1723" w:type="dxa"/>
            <w:gridSpan w:val="2"/>
            <w:tcBorders>
              <w:top w:val="single" w:sz="4" w:space="0" w:color="53565A" w:themeColor="accent5"/>
              <w:bottom w:val="single" w:sz="4" w:space="0" w:color="53565A" w:themeColor="accent5"/>
            </w:tcBorders>
            <w:shd w:val="clear" w:color="auto" w:fill="auto"/>
          </w:tcPr>
          <w:p w14:paraId="148C1E3D"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rPr>
              <w:t>–</w:t>
            </w:r>
            <w:r w:rsidRPr="005734B8">
              <w:rPr>
                <w:rFonts w:ascii="Calibri" w:hAnsi="Calibri" w:cs="Calibri"/>
                <w:sz w:val="18"/>
                <w:szCs w:val="16"/>
                <w:lang w:val="en-AU"/>
              </w:rPr>
              <w:t>17.7</w:t>
            </w:r>
          </w:p>
        </w:tc>
        <w:tc>
          <w:tcPr>
            <w:tcW w:w="972" w:type="dxa"/>
            <w:gridSpan w:val="2"/>
            <w:tcBorders>
              <w:top w:val="single" w:sz="4" w:space="0" w:color="53565A" w:themeColor="accent5"/>
              <w:bottom w:val="single" w:sz="4" w:space="0" w:color="53565A" w:themeColor="accent5"/>
            </w:tcBorders>
            <w:shd w:val="clear" w:color="auto" w:fill="auto"/>
          </w:tcPr>
          <w:p w14:paraId="5E70B8EA"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sym w:font="Wingdings" w:char="F06E"/>
            </w:r>
          </w:p>
        </w:tc>
      </w:tr>
      <w:tr w:rsidR="008A4372" w:rsidRPr="005734B8" w14:paraId="64198B02" w14:textId="77777777" w:rsidTr="00F82E04">
        <w:trPr>
          <w:cantSplit/>
        </w:trPr>
        <w:tc>
          <w:tcPr>
            <w:tcW w:w="9010" w:type="dxa"/>
            <w:gridSpan w:val="10"/>
            <w:tcBorders>
              <w:top w:val="single" w:sz="4" w:space="0" w:color="53565A" w:themeColor="accent5"/>
              <w:bottom w:val="single" w:sz="4" w:space="0" w:color="auto"/>
            </w:tcBorders>
            <w:shd w:val="clear" w:color="auto" w:fill="auto"/>
          </w:tcPr>
          <w:p w14:paraId="40A3B9BE" w14:textId="00F13153"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and refers to government schools only. This performance measure includes all school staff (teaching and education support). The 2020–21 outcome is lower than the target due to the COVID-19 pandemic.</w:t>
            </w:r>
          </w:p>
        </w:tc>
      </w:tr>
      <w:tr w:rsidR="008A4372" w:rsidRPr="005734B8" w14:paraId="1507E44F" w14:textId="77777777" w:rsidTr="00F82E04">
        <w:trPr>
          <w:cantSplit/>
        </w:trPr>
        <w:tc>
          <w:tcPr>
            <w:tcW w:w="2673" w:type="dxa"/>
            <w:gridSpan w:val="2"/>
            <w:tcBorders>
              <w:top w:val="nil"/>
              <w:bottom w:val="single" w:sz="4" w:space="0" w:color="53565A" w:themeColor="accent5"/>
            </w:tcBorders>
            <w:shd w:val="clear" w:color="auto" w:fill="auto"/>
          </w:tcPr>
          <w:p w14:paraId="42F6B587" w14:textId="77777777" w:rsidR="008A4372" w:rsidRPr="005734B8" w:rsidRDefault="008A4372" w:rsidP="000C192E">
            <w:pPr>
              <w:pStyle w:val="ESTablenumberrightaligned"/>
              <w:jc w:val="left"/>
              <w:rPr>
                <w:rFonts w:ascii="Calibri" w:hAnsi="Calibri" w:cs="Calibri"/>
                <w:sz w:val="18"/>
                <w:lang w:val="en-AU"/>
              </w:rPr>
            </w:pPr>
            <w:r w:rsidRPr="005734B8">
              <w:rPr>
                <w:rFonts w:ascii="Calibri" w:hAnsi="Calibri" w:cs="Calibri"/>
                <w:sz w:val="18"/>
                <w:lang w:val="en-AU"/>
              </w:rPr>
              <w:t>Number of teachers completing mentoring training</w:t>
            </w:r>
          </w:p>
        </w:tc>
        <w:tc>
          <w:tcPr>
            <w:tcW w:w="1216" w:type="dxa"/>
            <w:tcBorders>
              <w:top w:val="nil"/>
              <w:bottom w:val="single" w:sz="4" w:space="0" w:color="53565A" w:themeColor="accent5"/>
            </w:tcBorders>
            <w:shd w:val="clear" w:color="auto" w:fill="auto"/>
          </w:tcPr>
          <w:p w14:paraId="0D9EC1CE"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22" w:type="dxa"/>
            <w:gridSpan w:val="2"/>
            <w:tcBorders>
              <w:top w:val="nil"/>
              <w:bottom w:val="single" w:sz="4" w:space="0" w:color="53565A" w:themeColor="accent5"/>
            </w:tcBorders>
            <w:shd w:val="clear" w:color="auto" w:fill="D9D9D6" w:themeFill="accent1"/>
          </w:tcPr>
          <w:p w14:paraId="1E7DB36F"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835</w:t>
            </w:r>
          </w:p>
        </w:tc>
        <w:tc>
          <w:tcPr>
            <w:tcW w:w="1304" w:type="dxa"/>
            <w:tcBorders>
              <w:top w:val="nil"/>
              <w:bottom w:val="single" w:sz="4" w:space="0" w:color="53565A" w:themeColor="accent5"/>
            </w:tcBorders>
            <w:shd w:val="clear" w:color="auto" w:fill="FFFFFF" w:themeFill="background1"/>
          </w:tcPr>
          <w:p w14:paraId="57597A9F"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900</w:t>
            </w:r>
          </w:p>
        </w:tc>
        <w:tc>
          <w:tcPr>
            <w:tcW w:w="1723" w:type="dxa"/>
            <w:gridSpan w:val="2"/>
            <w:tcBorders>
              <w:top w:val="nil"/>
              <w:bottom w:val="single" w:sz="4" w:space="0" w:color="53565A" w:themeColor="accent5"/>
            </w:tcBorders>
            <w:shd w:val="clear" w:color="auto" w:fill="auto"/>
          </w:tcPr>
          <w:p w14:paraId="1EC202AD"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rPr>
              <w:t>–</w:t>
            </w:r>
            <w:r w:rsidRPr="005734B8">
              <w:rPr>
                <w:rFonts w:ascii="Calibri" w:hAnsi="Calibri" w:cs="Calibri"/>
                <w:sz w:val="18"/>
                <w:szCs w:val="16"/>
                <w:lang w:val="en-AU"/>
              </w:rPr>
              <w:t>7.2</w:t>
            </w:r>
          </w:p>
        </w:tc>
        <w:tc>
          <w:tcPr>
            <w:tcW w:w="972" w:type="dxa"/>
            <w:gridSpan w:val="2"/>
            <w:tcBorders>
              <w:top w:val="nil"/>
              <w:bottom w:val="single" w:sz="4" w:space="0" w:color="53565A" w:themeColor="accent5"/>
            </w:tcBorders>
            <w:shd w:val="clear" w:color="auto" w:fill="auto"/>
          </w:tcPr>
          <w:p w14:paraId="13ED6351"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sym w:font="Wingdings" w:char="F06E"/>
            </w:r>
          </w:p>
        </w:tc>
      </w:tr>
      <w:tr w:rsidR="008A4372" w:rsidRPr="005734B8" w14:paraId="0A8F6F8F"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6ACE61EB" w14:textId="0EF1499C"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 xml:space="preserve">relates to the calendar year and includes early childhood teachers. The 2020–21 outcome is lower than the target due to a small number of participants </w:t>
            </w:r>
            <w:r w:rsidR="008D5A76" w:rsidRPr="005734B8">
              <w:rPr>
                <w:rFonts w:ascii="Calibri" w:hAnsi="Calibri" w:cs="Calibri"/>
                <w:i/>
                <w:szCs w:val="20"/>
                <w:lang w:val="en-AU"/>
              </w:rPr>
              <w:t>who</w:t>
            </w:r>
            <w:r w:rsidRPr="005734B8">
              <w:rPr>
                <w:rFonts w:ascii="Calibri" w:hAnsi="Calibri" w:cs="Calibri"/>
                <w:i/>
                <w:szCs w:val="20"/>
                <w:lang w:val="en-AU"/>
              </w:rPr>
              <w:t xml:space="preserve"> cancelled or postponed their attendance in response to the COVID-19 pandemic, and the move to remote and flexible learning in Term 2, 2020.</w:t>
            </w:r>
          </w:p>
        </w:tc>
      </w:tr>
      <w:tr w:rsidR="008A4372" w:rsidRPr="005734B8" w14:paraId="2C13D89E"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3BB765BD" w14:textId="77777777" w:rsidR="008A4372" w:rsidRPr="005734B8" w:rsidRDefault="008A4372" w:rsidP="000C192E">
            <w:pPr>
              <w:pStyle w:val="ESTablenumberrightaligned"/>
              <w:jc w:val="left"/>
              <w:rPr>
                <w:rFonts w:ascii="Calibri" w:hAnsi="Calibri" w:cs="Calibri"/>
                <w:sz w:val="18"/>
                <w:lang w:val="en-AU"/>
              </w:rPr>
            </w:pPr>
            <w:r w:rsidRPr="005734B8">
              <w:rPr>
                <w:rFonts w:ascii="Calibri" w:hAnsi="Calibri" w:cs="Calibri"/>
                <w:sz w:val="18"/>
                <w:lang w:val="en-AU"/>
              </w:rPr>
              <w:t xml:space="preserve">Number of </w:t>
            </w:r>
            <w:bookmarkStart w:id="192" w:name="_Hlk77161045"/>
            <w:r w:rsidRPr="005734B8">
              <w:rPr>
                <w:rFonts w:ascii="Calibri" w:hAnsi="Calibri" w:cs="Calibri"/>
                <w:sz w:val="18"/>
                <w:lang w:val="en-AU"/>
              </w:rPr>
              <w:t>Victorian schools participating as a lead school for the Respectful Relationships Initiative</w:t>
            </w:r>
            <w:bookmarkEnd w:id="192"/>
          </w:p>
        </w:tc>
        <w:tc>
          <w:tcPr>
            <w:tcW w:w="1216" w:type="dxa"/>
            <w:tcBorders>
              <w:top w:val="single" w:sz="4" w:space="0" w:color="53565A" w:themeColor="accent5"/>
              <w:bottom w:val="single" w:sz="4" w:space="0" w:color="53565A" w:themeColor="accent5"/>
            </w:tcBorders>
            <w:shd w:val="clear" w:color="auto" w:fill="auto"/>
          </w:tcPr>
          <w:p w14:paraId="05C6E49F"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3A3D5CE3"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382</w:t>
            </w:r>
          </w:p>
        </w:tc>
        <w:tc>
          <w:tcPr>
            <w:tcW w:w="1304" w:type="dxa"/>
            <w:tcBorders>
              <w:top w:val="single" w:sz="4" w:space="0" w:color="53565A" w:themeColor="accent5"/>
              <w:bottom w:val="single" w:sz="4" w:space="0" w:color="53565A" w:themeColor="accent5"/>
            </w:tcBorders>
            <w:shd w:val="clear" w:color="auto" w:fill="FFFFFF" w:themeFill="background1"/>
          </w:tcPr>
          <w:p w14:paraId="5F2141FC"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382</w:t>
            </w:r>
          </w:p>
        </w:tc>
        <w:tc>
          <w:tcPr>
            <w:tcW w:w="1723" w:type="dxa"/>
            <w:gridSpan w:val="2"/>
            <w:tcBorders>
              <w:top w:val="single" w:sz="4" w:space="0" w:color="53565A" w:themeColor="accent5"/>
              <w:bottom w:val="single" w:sz="4" w:space="0" w:color="53565A" w:themeColor="accent5"/>
            </w:tcBorders>
            <w:shd w:val="clear" w:color="auto" w:fill="auto"/>
          </w:tcPr>
          <w:p w14:paraId="19ED525E"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0.0</w:t>
            </w:r>
          </w:p>
        </w:tc>
        <w:tc>
          <w:tcPr>
            <w:tcW w:w="972" w:type="dxa"/>
            <w:gridSpan w:val="2"/>
            <w:tcBorders>
              <w:top w:val="single" w:sz="4" w:space="0" w:color="53565A" w:themeColor="accent5"/>
              <w:bottom w:val="single" w:sz="4" w:space="0" w:color="53565A" w:themeColor="accent5"/>
            </w:tcBorders>
            <w:shd w:val="clear" w:color="auto" w:fill="auto"/>
          </w:tcPr>
          <w:p w14:paraId="407D9041"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sym w:font="Wingdings" w:char="F0FC"/>
            </w:r>
          </w:p>
        </w:tc>
      </w:tr>
      <w:tr w:rsidR="008A4372" w:rsidRPr="005734B8" w14:paraId="4C6C049A"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1069F86C" w14:textId="77777777"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primary and secondary schools.</w:t>
            </w:r>
          </w:p>
        </w:tc>
      </w:tr>
      <w:tr w:rsidR="008A4372" w:rsidRPr="005734B8" w14:paraId="263F1230"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66F958B7" w14:textId="77777777" w:rsidR="008A4372" w:rsidRPr="005734B8" w:rsidRDefault="008A4372" w:rsidP="000C192E">
            <w:pPr>
              <w:pStyle w:val="ESTablenumberrightaligned"/>
              <w:jc w:val="left"/>
              <w:rPr>
                <w:rFonts w:ascii="Calibri" w:hAnsi="Calibri" w:cs="Calibri"/>
                <w:sz w:val="18"/>
                <w:lang w:val="en-AU"/>
              </w:rPr>
            </w:pPr>
            <w:r w:rsidRPr="005734B8">
              <w:rPr>
                <w:rFonts w:ascii="Calibri" w:hAnsi="Calibri" w:cs="Calibri"/>
                <w:sz w:val="18"/>
                <w:lang w:val="en-AU"/>
              </w:rPr>
              <w:t>Number of school-based staff who have participated in whole-school Respectful Relationships professional learning initiative</w:t>
            </w:r>
          </w:p>
        </w:tc>
        <w:tc>
          <w:tcPr>
            <w:tcW w:w="1216" w:type="dxa"/>
            <w:tcBorders>
              <w:top w:val="single" w:sz="4" w:space="0" w:color="53565A" w:themeColor="accent5"/>
              <w:bottom w:val="single" w:sz="4" w:space="0" w:color="53565A" w:themeColor="accent5"/>
            </w:tcBorders>
            <w:shd w:val="clear" w:color="auto" w:fill="auto"/>
          </w:tcPr>
          <w:p w14:paraId="06CD5D58"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0F82ABEC"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30,000</w:t>
            </w:r>
          </w:p>
        </w:tc>
        <w:tc>
          <w:tcPr>
            <w:tcW w:w="1304" w:type="dxa"/>
            <w:tcBorders>
              <w:top w:val="single" w:sz="4" w:space="0" w:color="53565A" w:themeColor="accent5"/>
              <w:bottom w:val="single" w:sz="4" w:space="0" w:color="53565A" w:themeColor="accent5"/>
            </w:tcBorders>
            <w:shd w:val="clear" w:color="auto" w:fill="FFFFFF" w:themeFill="background1"/>
          </w:tcPr>
          <w:p w14:paraId="230A43FE"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30,000</w:t>
            </w:r>
          </w:p>
        </w:tc>
        <w:tc>
          <w:tcPr>
            <w:tcW w:w="1723" w:type="dxa"/>
            <w:gridSpan w:val="2"/>
            <w:tcBorders>
              <w:top w:val="single" w:sz="4" w:space="0" w:color="53565A" w:themeColor="accent5"/>
              <w:bottom w:val="single" w:sz="4" w:space="0" w:color="53565A" w:themeColor="accent5"/>
            </w:tcBorders>
            <w:shd w:val="clear" w:color="auto" w:fill="auto"/>
          </w:tcPr>
          <w:p w14:paraId="5BDF3725"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0.0</w:t>
            </w:r>
          </w:p>
        </w:tc>
        <w:tc>
          <w:tcPr>
            <w:tcW w:w="972" w:type="dxa"/>
            <w:gridSpan w:val="2"/>
            <w:tcBorders>
              <w:top w:val="single" w:sz="4" w:space="0" w:color="53565A" w:themeColor="accent5"/>
              <w:bottom w:val="single" w:sz="4" w:space="0" w:color="53565A" w:themeColor="accent5"/>
            </w:tcBorders>
            <w:shd w:val="clear" w:color="auto" w:fill="auto"/>
          </w:tcPr>
          <w:p w14:paraId="1D537869"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sym w:font="Wingdings" w:char="F0FC"/>
            </w:r>
          </w:p>
        </w:tc>
      </w:tr>
      <w:tr w:rsidR="008A4372" w:rsidRPr="005734B8" w14:paraId="6D5B3E4B"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5CA97E32" w14:textId="77777777"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and refers to primary and secondary schools.</w:t>
            </w:r>
          </w:p>
        </w:tc>
      </w:tr>
      <w:tr w:rsidR="008A4372" w:rsidRPr="005734B8" w14:paraId="303CCCA5"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6071C64B" w14:textId="77777777" w:rsidR="008A4372" w:rsidRPr="005734B8" w:rsidRDefault="008A4372" w:rsidP="000C192E">
            <w:pPr>
              <w:pStyle w:val="ESTablenumberrightaligned"/>
              <w:jc w:val="left"/>
              <w:rPr>
                <w:rFonts w:ascii="Calibri" w:hAnsi="Calibri" w:cs="Calibri"/>
                <w:sz w:val="18"/>
                <w:lang w:val="en-AU"/>
              </w:rPr>
            </w:pPr>
            <w:r w:rsidRPr="005734B8">
              <w:rPr>
                <w:rFonts w:ascii="Calibri" w:hAnsi="Calibri" w:cs="Calibri"/>
                <w:sz w:val="18"/>
                <w:lang w:val="en-AU"/>
              </w:rPr>
              <w:t>Number of schools able to access the Digital Assessment Library</w:t>
            </w:r>
          </w:p>
        </w:tc>
        <w:tc>
          <w:tcPr>
            <w:tcW w:w="1216" w:type="dxa"/>
            <w:tcBorders>
              <w:top w:val="single" w:sz="4" w:space="0" w:color="53565A" w:themeColor="accent5"/>
              <w:bottom w:val="single" w:sz="4" w:space="0" w:color="53565A" w:themeColor="accent5"/>
            </w:tcBorders>
            <w:shd w:val="clear" w:color="auto" w:fill="auto"/>
          </w:tcPr>
          <w:p w14:paraId="07D11F9D"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7CB680E1"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2,413</w:t>
            </w:r>
          </w:p>
        </w:tc>
        <w:tc>
          <w:tcPr>
            <w:tcW w:w="1304" w:type="dxa"/>
            <w:tcBorders>
              <w:top w:val="single" w:sz="4" w:space="0" w:color="53565A" w:themeColor="accent5"/>
              <w:bottom w:val="single" w:sz="4" w:space="0" w:color="53565A" w:themeColor="accent5"/>
            </w:tcBorders>
            <w:shd w:val="clear" w:color="auto" w:fill="FFFFFF" w:themeFill="background1"/>
          </w:tcPr>
          <w:p w14:paraId="007B3672"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2,413</w:t>
            </w:r>
          </w:p>
        </w:tc>
        <w:tc>
          <w:tcPr>
            <w:tcW w:w="1723" w:type="dxa"/>
            <w:gridSpan w:val="2"/>
            <w:tcBorders>
              <w:top w:val="single" w:sz="4" w:space="0" w:color="53565A" w:themeColor="accent5"/>
              <w:bottom w:val="single" w:sz="4" w:space="0" w:color="53565A" w:themeColor="accent5"/>
            </w:tcBorders>
            <w:shd w:val="clear" w:color="auto" w:fill="auto"/>
          </w:tcPr>
          <w:p w14:paraId="11E46CE3"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0.0</w:t>
            </w:r>
          </w:p>
        </w:tc>
        <w:tc>
          <w:tcPr>
            <w:tcW w:w="972" w:type="dxa"/>
            <w:gridSpan w:val="2"/>
            <w:tcBorders>
              <w:top w:val="single" w:sz="4" w:space="0" w:color="53565A" w:themeColor="accent5"/>
              <w:bottom w:val="single" w:sz="4" w:space="0" w:color="53565A" w:themeColor="accent5"/>
            </w:tcBorders>
            <w:shd w:val="clear" w:color="auto" w:fill="auto"/>
          </w:tcPr>
          <w:p w14:paraId="03320029"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sym w:font="Wingdings" w:char="F0FC"/>
            </w:r>
          </w:p>
        </w:tc>
      </w:tr>
      <w:tr w:rsidR="008A4372" w:rsidRPr="005734B8" w14:paraId="012DED95"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2783AA6D" w14:textId="77777777"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lang w:val="en-AU"/>
              </w:rPr>
              <w:t>The above performance measure relates to the calendar year.</w:t>
            </w:r>
          </w:p>
        </w:tc>
      </w:tr>
      <w:tr w:rsidR="008A4372" w:rsidRPr="005734B8" w14:paraId="68006531"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5A001E05" w14:textId="77777777" w:rsidR="008A4372" w:rsidRPr="005734B8" w:rsidRDefault="008A4372" w:rsidP="000C192E">
            <w:pPr>
              <w:pStyle w:val="ESTablenumberrightaligned"/>
              <w:jc w:val="left"/>
              <w:rPr>
                <w:rFonts w:ascii="Calibri" w:hAnsi="Calibri" w:cs="Calibri"/>
                <w:sz w:val="18"/>
                <w:lang w:val="en-AU"/>
              </w:rPr>
            </w:pPr>
            <w:r w:rsidRPr="005734B8">
              <w:rPr>
                <w:rFonts w:ascii="Calibri" w:hAnsi="Calibri" w:cs="Calibri"/>
                <w:sz w:val="18"/>
                <w:lang w:val="en-AU"/>
              </w:rPr>
              <w:t>Number of Digital Assessment Library items developed</w:t>
            </w:r>
          </w:p>
        </w:tc>
        <w:tc>
          <w:tcPr>
            <w:tcW w:w="1216" w:type="dxa"/>
            <w:tcBorders>
              <w:top w:val="single" w:sz="4" w:space="0" w:color="53565A" w:themeColor="accent5"/>
              <w:bottom w:val="single" w:sz="4" w:space="0" w:color="53565A" w:themeColor="accent5"/>
            </w:tcBorders>
            <w:shd w:val="clear" w:color="auto" w:fill="auto"/>
          </w:tcPr>
          <w:p w14:paraId="518C8071"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16285BD9"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1,887</w:t>
            </w:r>
          </w:p>
        </w:tc>
        <w:tc>
          <w:tcPr>
            <w:tcW w:w="1304" w:type="dxa"/>
            <w:tcBorders>
              <w:top w:val="single" w:sz="4" w:space="0" w:color="53565A" w:themeColor="accent5"/>
              <w:bottom w:val="single" w:sz="4" w:space="0" w:color="53565A" w:themeColor="accent5"/>
            </w:tcBorders>
            <w:shd w:val="clear" w:color="auto" w:fill="FFFFFF" w:themeFill="background1"/>
          </w:tcPr>
          <w:p w14:paraId="255863C8"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1,590</w:t>
            </w:r>
          </w:p>
        </w:tc>
        <w:tc>
          <w:tcPr>
            <w:tcW w:w="1723" w:type="dxa"/>
            <w:gridSpan w:val="2"/>
            <w:tcBorders>
              <w:top w:val="single" w:sz="4" w:space="0" w:color="53565A" w:themeColor="accent5"/>
              <w:bottom w:val="single" w:sz="4" w:space="0" w:color="53565A" w:themeColor="accent5"/>
            </w:tcBorders>
            <w:shd w:val="clear" w:color="auto" w:fill="auto"/>
          </w:tcPr>
          <w:p w14:paraId="4AF8C23A"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18.7</w:t>
            </w:r>
          </w:p>
        </w:tc>
        <w:tc>
          <w:tcPr>
            <w:tcW w:w="972" w:type="dxa"/>
            <w:gridSpan w:val="2"/>
            <w:tcBorders>
              <w:top w:val="single" w:sz="4" w:space="0" w:color="53565A" w:themeColor="accent5"/>
              <w:bottom w:val="single" w:sz="4" w:space="0" w:color="53565A" w:themeColor="accent5"/>
            </w:tcBorders>
            <w:shd w:val="clear" w:color="auto" w:fill="auto"/>
          </w:tcPr>
          <w:p w14:paraId="44400B5A"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sym w:font="Wingdings" w:char="F0FC"/>
            </w:r>
          </w:p>
        </w:tc>
      </w:tr>
      <w:tr w:rsidR="008A4372" w:rsidRPr="005734B8" w14:paraId="42F14D97"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7236FF69" w14:textId="50914BA8"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 xml:space="preserve">relates to the calendar year. The 2020–21 outcome is higher than the target due to a greater than expected amount of content becoming available </w:t>
            </w:r>
            <w:r w:rsidR="004D0162" w:rsidRPr="005734B8">
              <w:rPr>
                <w:rFonts w:ascii="Calibri" w:hAnsi="Calibri" w:cs="Calibri"/>
                <w:i/>
                <w:szCs w:val="20"/>
                <w:lang w:val="en-AU"/>
              </w:rPr>
              <w:t>through</w:t>
            </w:r>
            <w:r w:rsidRPr="005734B8">
              <w:rPr>
                <w:rFonts w:ascii="Calibri" w:hAnsi="Calibri" w:cs="Calibri"/>
                <w:i/>
                <w:szCs w:val="20"/>
                <w:lang w:val="en-AU"/>
              </w:rPr>
              <w:t xml:space="preserve"> the library for construction of tests.</w:t>
            </w:r>
          </w:p>
        </w:tc>
      </w:tr>
      <w:tr w:rsidR="008A4372" w:rsidRPr="005734B8" w14:paraId="3A4FE03E"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3E3A69CE" w14:textId="77777777" w:rsidR="008A4372" w:rsidRPr="005734B8" w:rsidRDefault="008A4372" w:rsidP="000C192E">
            <w:pPr>
              <w:pStyle w:val="ESTablenumberrightaligned"/>
              <w:jc w:val="left"/>
              <w:rPr>
                <w:rFonts w:ascii="Calibri" w:hAnsi="Calibri" w:cs="Calibri"/>
                <w:sz w:val="18"/>
                <w:lang w:val="en-AU"/>
              </w:rPr>
            </w:pPr>
            <w:r w:rsidRPr="005734B8">
              <w:rPr>
                <w:rFonts w:ascii="Calibri" w:hAnsi="Calibri" w:cs="Calibri"/>
                <w:sz w:val="18"/>
              </w:rPr>
              <w:t>Number of schools supported with strategic business and financial support</w:t>
            </w:r>
          </w:p>
        </w:tc>
        <w:tc>
          <w:tcPr>
            <w:tcW w:w="1216" w:type="dxa"/>
            <w:tcBorders>
              <w:top w:val="single" w:sz="4" w:space="0" w:color="53565A" w:themeColor="accent5"/>
              <w:bottom w:val="single" w:sz="4" w:space="0" w:color="53565A" w:themeColor="accent5"/>
            </w:tcBorders>
            <w:shd w:val="clear" w:color="auto" w:fill="auto"/>
          </w:tcPr>
          <w:p w14:paraId="61F9D668"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48A33410"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859</w:t>
            </w:r>
          </w:p>
        </w:tc>
        <w:tc>
          <w:tcPr>
            <w:tcW w:w="1304" w:type="dxa"/>
            <w:tcBorders>
              <w:top w:val="single" w:sz="4" w:space="0" w:color="53565A" w:themeColor="accent5"/>
              <w:bottom w:val="single" w:sz="4" w:space="0" w:color="53565A" w:themeColor="accent5"/>
            </w:tcBorders>
            <w:shd w:val="clear" w:color="auto" w:fill="FFFFFF" w:themeFill="background1"/>
          </w:tcPr>
          <w:p w14:paraId="38113350"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400</w:t>
            </w:r>
          </w:p>
        </w:tc>
        <w:tc>
          <w:tcPr>
            <w:tcW w:w="1723" w:type="dxa"/>
            <w:gridSpan w:val="2"/>
            <w:tcBorders>
              <w:top w:val="single" w:sz="4" w:space="0" w:color="53565A" w:themeColor="accent5"/>
              <w:bottom w:val="single" w:sz="4" w:space="0" w:color="53565A" w:themeColor="accent5"/>
            </w:tcBorders>
            <w:shd w:val="clear" w:color="auto" w:fill="auto"/>
          </w:tcPr>
          <w:p w14:paraId="06EA5451"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114.8</w:t>
            </w:r>
          </w:p>
        </w:tc>
        <w:tc>
          <w:tcPr>
            <w:tcW w:w="972" w:type="dxa"/>
            <w:gridSpan w:val="2"/>
            <w:tcBorders>
              <w:top w:val="single" w:sz="4" w:space="0" w:color="53565A" w:themeColor="accent5"/>
              <w:bottom w:val="single" w:sz="4" w:space="0" w:color="53565A" w:themeColor="accent5"/>
            </w:tcBorders>
            <w:shd w:val="clear" w:color="auto" w:fill="auto"/>
          </w:tcPr>
          <w:p w14:paraId="66B14924"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sym w:font="Wingdings" w:char="F0FC"/>
            </w:r>
          </w:p>
        </w:tc>
      </w:tr>
      <w:tr w:rsidR="008A4372" w:rsidRPr="005734B8" w14:paraId="19673A0F"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255A6F29" w14:textId="77777777"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and refers to government schools only. The 2020–21 outcome is higher than the target due to greater uptake of support services by schools and greater than expected demand for online training.</w:t>
            </w:r>
          </w:p>
        </w:tc>
      </w:tr>
      <w:tr w:rsidR="008A4372" w:rsidRPr="005734B8" w14:paraId="244F31DF"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282B13D6" w14:textId="77777777" w:rsidR="008A4372" w:rsidRPr="005734B8" w:rsidRDefault="008A4372" w:rsidP="000C192E">
            <w:pPr>
              <w:pStyle w:val="ESTablenumberrightaligned"/>
              <w:jc w:val="left"/>
              <w:rPr>
                <w:rFonts w:ascii="Calibri" w:hAnsi="Calibri" w:cs="Calibri"/>
                <w:sz w:val="18"/>
                <w:lang w:val="en-AU"/>
              </w:rPr>
            </w:pPr>
            <w:r w:rsidRPr="005734B8">
              <w:rPr>
                <w:rFonts w:ascii="Calibri" w:hAnsi="Calibri" w:cs="Calibri"/>
                <w:sz w:val="18"/>
              </w:rPr>
              <w:lastRenderedPageBreak/>
              <w:t>Number of school staff attending strategic business and financial support training</w:t>
            </w:r>
          </w:p>
        </w:tc>
        <w:tc>
          <w:tcPr>
            <w:tcW w:w="1216" w:type="dxa"/>
            <w:tcBorders>
              <w:top w:val="single" w:sz="4" w:space="0" w:color="53565A" w:themeColor="accent5"/>
              <w:bottom w:val="single" w:sz="4" w:space="0" w:color="53565A" w:themeColor="accent5"/>
            </w:tcBorders>
            <w:shd w:val="clear" w:color="auto" w:fill="auto"/>
          </w:tcPr>
          <w:p w14:paraId="17A4D009"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28CDB433"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1,167</w:t>
            </w:r>
          </w:p>
        </w:tc>
        <w:tc>
          <w:tcPr>
            <w:tcW w:w="1304" w:type="dxa"/>
            <w:tcBorders>
              <w:top w:val="single" w:sz="4" w:space="0" w:color="53565A" w:themeColor="accent5"/>
              <w:bottom w:val="single" w:sz="4" w:space="0" w:color="53565A" w:themeColor="accent5"/>
            </w:tcBorders>
            <w:shd w:val="clear" w:color="auto" w:fill="FFFFFF" w:themeFill="background1"/>
          </w:tcPr>
          <w:p w14:paraId="7686D494"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2,500</w:t>
            </w:r>
          </w:p>
        </w:tc>
        <w:tc>
          <w:tcPr>
            <w:tcW w:w="1723" w:type="dxa"/>
            <w:gridSpan w:val="2"/>
            <w:tcBorders>
              <w:top w:val="single" w:sz="4" w:space="0" w:color="53565A" w:themeColor="accent5"/>
              <w:bottom w:val="single" w:sz="4" w:space="0" w:color="53565A" w:themeColor="accent5"/>
            </w:tcBorders>
            <w:shd w:val="clear" w:color="auto" w:fill="auto"/>
          </w:tcPr>
          <w:p w14:paraId="2D96199E"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rPr>
              <w:t>–</w:t>
            </w:r>
            <w:r w:rsidRPr="005734B8">
              <w:rPr>
                <w:rFonts w:ascii="Calibri" w:hAnsi="Calibri" w:cs="Calibri"/>
                <w:sz w:val="18"/>
                <w:szCs w:val="16"/>
                <w:lang w:val="en-AU"/>
              </w:rPr>
              <w:t>53.3</w:t>
            </w:r>
          </w:p>
        </w:tc>
        <w:tc>
          <w:tcPr>
            <w:tcW w:w="972" w:type="dxa"/>
            <w:gridSpan w:val="2"/>
            <w:tcBorders>
              <w:top w:val="single" w:sz="4" w:space="0" w:color="53565A" w:themeColor="accent5"/>
              <w:bottom w:val="single" w:sz="4" w:space="0" w:color="53565A" w:themeColor="accent5"/>
            </w:tcBorders>
            <w:shd w:val="clear" w:color="auto" w:fill="auto"/>
          </w:tcPr>
          <w:p w14:paraId="726192F2"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sym w:font="Wingdings" w:char="F06E"/>
            </w:r>
          </w:p>
        </w:tc>
      </w:tr>
      <w:tr w:rsidR="008A4372" w:rsidRPr="005734B8" w14:paraId="5D7AD763"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0D38F77B" w14:textId="24A280CB" w:rsidR="008A4372" w:rsidRPr="005734B8" w:rsidRDefault="008A4372" w:rsidP="000C192E">
            <w:pPr>
              <w:pStyle w:val="ESTableBody0"/>
              <w:spacing w:before="120" w:after="120"/>
              <w:rPr>
                <w:rFonts w:ascii="Calibri" w:hAnsi="Calibri" w:cs="Calibri"/>
                <w:sz w:val="18"/>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 xml:space="preserve">relates to the calendar year and refers to government schools only. The 2020–21 outcome is lower than the target due to a number of scheduled training sessions not being delivered during 2020 </w:t>
            </w:r>
            <w:r w:rsidR="00396DFC" w:rsidRPr="005734B8">
              <w:rPr>
                <w:rFonts w:ascii="Calibri" w:hAnsi="Calibri" w:cs="Calibri"/>
                <w:i/>
                <w:szCs w:val="20"/>
                <w:lang w:val="en-AU"/>
              </w:rPr>
              <w:t>because of</w:t>
            </w:r>
            <w:r w:rsidRPr="005734B8">
              <w:rPr>
                <w:rFonts w:ascii="Calibri" w:hAnsi="Calibri" w:cs="Calibri"/>
                <w:i/>
                <w:szCs w:val="20"/>
                <w:lang w:val="en-AU"/>
              </w:rPr>
              <w:t xml:space="preserve"> the COVID-19 pandemic.</w:t>
            </w:r>
          </w:p>
        </w:tc>
      </w:tr>
      <w:tr w:rsidR="008A4372" w:rsidRPr="005734B8" w14:paraId="010FD591"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4CA5E986" w14:textId="77777777" w:rsidR="008A4372" w:rsidRPr="005734B8" w:rsidRDefault="008A4372" w:rsidP="000C192E">
            <w:pPr>
              <w:pStyle w:val="ESTablenumberrightaligned"/>
              <w:jc w:val="left"/>
              <w:rPr>
                <w:rFonts w:ascii="Calibri" w:hAnsi="Calibri" w:cs="Calibri"/>
                <w:sz w:val="18"/>
              </w:rPr>
            </w:pPr>
            <w:r w:rsidRPr="005734B8">
              <w:rPr>
                <w:rFonts w:ascii="Calibri" w:hAnsi="Calibri" w:cs="Calibri"/>
                <w:sz w:val="18"/>
              </w:rPr>
              <w:t>Proportion of eligible schools in receipt of funding for the Swimming in Schools program</w:t>
            </w:r>
          </w:p>
        </w:tc>
        <w:tc>
          <w:tcPr>
            <w:tcW w:w="1216" w:type="dxa"/>
            <w:tcBorders>
              <w:top w:val="single" w:sz="4" w:space="0" w:color="53565A" w:themeColor="accent5"/>
              <w:bottom w:val="single" w:sz="4" w:space="0" w:color="53565A" w:themeColor="accent5"/>
            </w:tcBorders>
            <w:shd w:val="clear" w:color="auto" w:fill="auto"/>
          </w:tcPr>
          <w:p w14:paraId="13FC9D7D"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t>per cent</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5D3275C9"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100</w:t>
            </w:r>
          </w:p>
        </w:tc>
        <w:tc>
          <w:tcPr>
            <w:tcW w:w="1304" w:type="dxa"/>
            <w:tcBorders>
              <w:top w:val="single" w:sz="4" w:space="0" w:color="53565A" w:themeColor="accent5"/>
              <w:bottom w:val="single" w:sz="4" w:space="0" w:color="53565A" w:themeColor="accent5"/>
            </w:tcBorders>
            <w:shd w:val="clear" w:color="auto" w:fill="FFFFFF" w:themeFill="background1"/>
          </w:tcPr>
          <w:p w14:paraId="73DD94C1"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100</w:t>
            </w:r>
          </w:p>
        </w:tc>
        <w:tc>
          <w:tcPr>
            <w:tcW w:w="1723" w:type="dxa"/>
            <w:gridSpan w:val="2"/>
            <w:tcBorders>
              <w:top w:val="single" w:sz="4" w:space="0" w:color="53565A" w:themeColor="accent5"/>
              <w:bottom w:val="single" w:sz="4" w:space="0" w:color="53565A" w:themeColor="accent5"/>
            </w:tcBorders>
            <w:shd w:val="clear" w:color="auto" w:fill="auto"/>
          </w:tcPr>
          <w:p w14:paraId="16A0B02B"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0.0</w:t>
            </w:r>
          </w:p>
        </w:tc>
        <w:tc>
          <w:tcPr>
            <w:tcW w:w="972" w:type="dxa"/>
            <w:gridSpan w:val="2"/>
            <w:tcBorders>
              <w:top w:val="single" w:sz="4" w:space="0" w:color="53565A" w:themeColor="accent5"/>
              <w:bottom w:val="single" w:sz="4" w:space="0" w:color="53565A" w:themeColor="accent5"/>
            </w:tcBorders>
            <w:shd w:val="clear" w:color="auto" w:fill="auto"/>
          </w:tcPr>
          <w:p w14:paraId="2D93256F"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sym w:font="Wingdings" w:char="F0FC"/>
            </w:r>
          </w:p>
        </w:tc>
      </w:tr>
      <w:tr w:rsidR="008A4372" w:rsidRPr="005734B8" w14:paraId="011F794C"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5780BEAB" w14:textId="77777777" w:rsidR="008A4372" w:rsidRPr="005734B8" w:rsidRDefault="008A4372" w:rsidP="000C192E">
            <w:pPr>
              <w:pStyle w:val="ESTableBody0"/>
              <w:spacing w:before="120" w:after="120"/>
              <w:rPr>
                <w:rFonts w:ascii="Calibri" w:hAnsi="Calibri" w:cs="Calibri"/>
                <w:sz w:val="18"/>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and refers to government schools only.</w:t>
            </w:r>
          </w:p>
        </w:tc>
      </w:tr>
      <w:tr w:rsidR="008A4372" w:rsidRPr="005734B8" w14:paraId="3D135B0C"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2F7D0904" w14:textId="77777777" w:rsidR="008A4372" w:rsidRPr="005734B8" w:rsidRDefault="008A4372" w:rsidP="000C192E">
            <w:pPr>
              <w:pStyle w:val="ESTablenumberrightaligned"/>
              <w:jc w:val="left"/>
              <w:rPr>
                <w:rFonts w:ascii="Calibri" w:hAnsi="Calibri" w:cs="Calibri"/>
                <w:sz w:val="18"/>
              </w:rPr>
            </w:pPr>
            <w:r w:rsidRPr="005734B8">
              <w:rPr>
                <w:rFonts w:ascii="Calibri" w:hAnsi="Calibri" w:cs="Calibri"/>
                <w:sz w:val="18"/>
              </w:rPr>
              <w:t>Units of service provided by Data and Evidence Coaches</w:t>
            </w:r>
          </w:p>
        </w:tc>
        <w:tc>
          <w:tcPr>
            <w:tcW w:w="1216" w:type="dxa"/>
            <w:tcBorders>
              <w:top w:val="single" w:sz="4" w:space="0" w:color="53565A" w:themeColor="accent5"/>
              <w:bottom w:val="single" w:sz="4" w:space="0" w:color="53565A" w:themeColor="accent5"/>
            </w:tcBorders>
            <w:shd w:val="clear" w:color="auto" w:fill="auto"/>
          </w:tcPr>
          <w:p w14:paraId="6ACF9EF7"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t>number</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3A125E22"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934</w:t>
            </w:r>
          </w:p>
        </w:tc>
        <w:tc>
          <w:tcPr>
            <w:tcW w:w="1304" w:type="dxa"/>
            <w:tcBorders>
              <w:top w:val="single" w:sz="4" w:space="0" w:color="53565A" w:themeColor="accent5"/>
              <w:bottom w:val="single" w:sz="4" w:space="0" w:color="53565A" w:themeColor="accent5"/>
            </w:tcBorders>
            <w:shd w:val="clear" w:color="auto" w:fill="FFFFFF" w:themeFill="background1"/>
          </w:tcPr>
          <w:p w14:paraId="6DB20BE6"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lang w:val="en-AU"/>
              </w:rPr>
              <w:t>1,140</w:t>
            </w:r>
          </w:p>
        </w:tc>
        <w:tc>
          <w:tcPr>
            <w:tcW w:w="1723" w:type="dxa"/>
            <w:gridSpan w:val="2"/>
            <w:tcBorders>
              <w:top w:val="single" w:sz="4" w:space="0" w:color="53565A" w:themeColor="accent5"/>
              <w:bottom w:val="single" w:sz="4" w:space="0" w:color="53565A" w:themeColor="accent5"/>
            </w:tcBorders>
            <w:shd w:val="clear" w:color="auto" w:fill="auto"/>
          </w:tcPr>
          <w:p w14:paraId="627F76AE"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rPr>
              <w:t>–</w:t>
            </w:r>
            <w:r w:rsidRPr="005734B8">
              <w:rPr>
                <w:rFonts w:ascii="Calibri" w:hAnsi="Calibri" w:cs="Calibri"/>
                <w:sz w:val="18"/>
                <w:szCs w:val="16"/>
                <w:lang w:val="en-AU"/>
              </w:rPr>
              <w:t>18.1</w:t>
            </w:r>
          </w:p>
        </w:tc>
        <w:tc>
          <w:tcPr>
            <w:tcW w:w="972" w:type="dxa"/>
            <w:gridSpan w:val="2"/>
            <w:tcBorders>
              <w:top w:val="single" w:sz="4" w:space="0" w:color="53565A" w:themeColor="accent5"/>
              <w:bottom w:val="single" w:sz="4" w:space="0" w:color="53565A" w:themeColor="accent5"/>
            </w:tcBorders>
            <w:shd w:val="clear" w:color="auto" w:fill="auto"/>
          </w:tcPr>
          <w:p w14:paraId="4EF8E26D"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sym w:font="Wingdings" w:char="F06E"/>
            </w:r>
          </w:p>
        </w:tc>
      </w:tr>
      <w:tr w:rsidR="008A4372" w:rsidRPr="005734B8" w14:paraId="3C641A1E"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2A98A0F8" w14:textId="41904592" w:rsidR="008A4372" w:rsidRPr="005734B8" w:rsidRDefault="008A4372" w:rsidP="000C192E">
            <w:pPr>
              <w:pStyle w:val="ESTableBody0"/>
              <w:spacing w:before="120" w:after="120"/>
              <w:rPr>
                <w:rFonts w:ascii="Calibri" w:hAnsi="Calibri" w:cs="Calibri"/>
                <w:sz w:val="18"/>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and refers to government schools only. The 2020–21 outcome is lower than the target</w:t>
            </w:r>
            <w:r w:rsidR="003776E7" w:rsidRPr="005734B8">
              <w:rPr>
                <w:rFonts w:ascii="Calibri" w:hAnsi="Calibri" w:cs="Calibri"/>
                <w:i/>
                <w:szCs w:val="20"/>
                <w:lang w:val="en-AU"/>
              </w:rPr>
              <w:t>,</w:t>
            </w:r>
            <w:r w:rsidRPr="005734B8">
              <w:rPr>
                <w:rFonts w:ascii="Calibri" w:hAnsi="Calibri" w:cs="Calibri"/>
                <w:i/>
                <w:szCs w:val="20"/>
                <w:lang w:val="en-AU"/>
              </w:rPr>
              <w:t xml:space="preserve"> with the COVID-19 pandemic affecting on</w:t>
            </w:r>
            <w:r w:rsidR="003776E7" w:rsidRPr="005734B8">
              <w:rPr>
                <w:rFonts w:ascii="Calibri" w:hAnsi="Calibri" w:cs="Calibri"/>
                <w:i/>
                <w:szCs w:val="20"/>
                <w:lang w:val="en-AU"/>
              </w:rPr>
              <w:t>-</w:t>
            </w:r>
            <w:r w:rsidRPr="005734B8">
              <w:rPr>
                <w:rFonts w:ascii="Calibri" w:hAnsi="Calibri" w:cs="Calibri"/>
                <w:i/>
                <w:szCs w:val="20"/>
                <w:lang w:val="en-AU"/>
              </w:rPr>
              <w:t>site service delivery to schools.</w:t>
            </w:r>
          </w:p>
        </w:tc>
      </w:tr>
      <w:tr w:rsidR="008A4372" w:rsidRPr="005734B8" w14:paraId="3B4506DA"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53565A" w:themeFill="accent5"/>
          </w:tcPr>
          <w:p w14:paraId="674ACA70" w14:textId="77777777" w:rsidR="008A4372" w:rsidRPr="005734B8" w:rsidRDefault="008A4372" w:rsidP="000C192E">
            <w:pPr>
              <w:pStyle w:val="ESTableheading"/>
              <w:rPr>
                <w:rFonts w:ascii="Calibri" w:hAnsi="Calibri" w:cs="Calibri"/>
                <w:sz w:val="18"/>
              </w:rPr>
            </w:pPr>
            <w:r w:rsidRPr="005734B8">
              <w:rPr>
                <w:rFonts w:ascii="Calibri" w:hAnsi="Calibri" w:cs="Calibri"/>
                <w:b w:val="0"/>
              </w:rPr>
              <w:br w:type="page"/>
            </w:r>
            <w:r w:rsidRPr="005734B8">
              <w:rPr>
                <w:rFonts w:ascii="Calibri" w:hAnsi="Calibri" w:cs="Calibri"/>
                <w:sz w:val="18"/>
              </w:rPr>
              <w:t>Quality</w:t>
            </w:r>
          </w:p>
        </w:tc>
      </w:tr>
      <w:tr w:rsidR="008A4372" w:rsidRPr="005734B8" w14:paraId="7C652618"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62249CB4"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Average days lost due to absence at Year 5</w:t>
            </w:r>
          </w:p>
        </w:tc>
        <w:tc>
          <w:tcPr>
            <w:tcW w:w="1216" w:type="dxa"/>
            <w:tcBorders>
              <w:top w:val="single" w:sz="4" w:space="0" w:color="53565A" w:themeColor="accent5"/>
              <w:bottom w:val="single" w:sz="4" w:space="0" w:color="53565A" w:themeColor="accent5"/>
            </w:tcBorders>
            <w:shd w:val="clear" w:color="auto" w:fill="auto"/>
          </w:tcPr>
          <w:p w14:paraId="319C987B"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number</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5F928085"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13.6</w:t>
            </w:r>
          </w:p>
        </w:tc>
        <w:tc>
          <w:tcPr>
            <w:tcW w:w="1304" w:type="dxa"/>
            <w:tcBorders>
              <w:top w:val="single" w:sz="4" w:space="0" w:color="53565A" w:themeColor="accent5"/>
              <w:bottom w:val="single" w:sz="4" w:space="0" w:color="53565A" w:themeColor="accent5"/>
            </w:tcBorders>
            <w:shd w:val="clear" w:color="auto" w:fill="FFFFFF" w:themeFill="background1"/>
          </w:tcPr>
          <w:p w14:paraId="1259665B"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14.1</w:t>
            </w:r>
          </w:p>
        </w:tc>
        <w:tc>
          <w:tcPr>
            <w:tcW w:w="1723" w:type="dxa"/>
            <w:gridSpan w:val="2"/>
            <w:tcBorders>
              <w:top w:val="single" w:sz="4" w:space="0" w:color="53565A" w:themeColor="accent5"/>
              <w:bottom w:val="single" w:sz="4" w:space="0" w:color="53565A" w:themeColor="accent5"/>
            </w:tcBorders>
          </w:tcPr>
          <w:p w14:paraId="0AB86417"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3.5</w:t>
            </w:r>
          </w:p>
        </w:tc>
        <w:tc>
          <w:tcPr>
            <w:tcW w:w="972" w:type="dxa"/>
            <w:gridSpan w:val="2"/>
            <w:tcBorders>
              <w:top w:val="single" w:sz="4" w:space="0" w:color="53565A" w:themeColor="accent5"/>
              <w:bottom w:val="single" w:sz="4" w:space="0" w:color="53565A" w:themeColor="accent5"/>
            </w:tcBorders>
          </w:tcPr>
          <w:p w14:paraId="5EE46E37" w14:textId="77777777" w:rsidR="008A4372" w:rsidRPr="005734B8" w:rsidRDefault="008A4372" w:rsidP="000C192E">
            <w:pPr>
              <w:pStyle w:val="ESTablenumberrightaligned"/>
              <w:rPr>
                <w:rFonts w:ascii="Calibri" w:hAnsi="Calibri" w:cs="Calibri"/>
                <w:sz w:val="18"/>
              </w:rPr>
            </w:pPr>
            <w:r w:rsidRPr="005734B8">
              <w:rPr>
                <w:rFonts w:ascii="Calibri" w:hAnsi="Calibri" w:cs="Calibri"/>
                <w:sz w:val="18"/>
                <w:lang w:val="en-AU"/>
              </w:rPr>
              <w:sym w:font="Wingdings" w:char="F0FC"/>
            </w:r>
          </w:p>
        </w:tc>
      </w:tr>
      <w:tr w:rsidR="008A4372" w:rsidRPr="005734B8" w14:paraId="172C757C"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4F73590F" w14:textId="77777777"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and refers to government schools only. The 2020–21 outcome is lower than the target, with the COVID-19 pandemic and the move to remote and flexible learning during 2020 resulting in fewer overall absences for illness and family holidays.</w:t>
            </w:r>
          </w:p>
        </w:tc>
      </w:tr>
      <w:tr w:rsidR="008A4372" w:rsidRPr="005734B8" w14:paraId="1B7EE819"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1FA3D224"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Average days lost due to absence at Year 6</w:t>
            </w:r>
          </w:p>
        </w:tc>
        <w:tc>
          <w:tcPr>
            <w:tcW w:w="1216" w:type="dxa"/>
            <w:tcBorders>
              <w:top w:val="single" w:sz="4" w:space="0" w:color="53565A" w:themeColor="accent5"/>
              <w:bottom w:val="single" w:sz="4" w:space="0" w:color="53565A" w:themeColor="accent5"/>
            </w:tcBorders>
            <w:shd w:val="clear" w:color="auto" w:fill="auto"/>
          </w:tcPr>
          <w:p w14:paraId="6AC17C7A"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number</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1BD14683"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13.8</w:t>
            </w:r>
          </w:p>
        </w:tc>
        <w:tc>
          <w:tcPr>
            <w:tcW w:w="1304" w:type="dxa"/>
            <w:tcBorders>
              <w:top w:val="single" w:sz="4" w:space="0" w:color="53565A" w:themeColor="accent5"/>
              <w:bottom w:val="single" w:sz="4" w:space="0" w:color="53565A" w:themeColor="accent5"/>
            </w:tcBorders>
            <w:shd w:val="clear" w:color="auto" w:fill="FFFFFF" w:themeFill="background1"/>
          </w:tcPr>
          <w:p w14:paraId="468AE289"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14.5</w:t>
            </w:r>
          </w:p>
        </w:tc>
        <w:tc>
          <w:tcPr>
            <w:tcW w:w="1723" w:type="dxa"/>
            <w:gridSpan w:val="2"/>
            <w:tcBorders>
              <w:top w:val="single" w:sz="4" w:space="0" w:color="53565A" w:themeColor="accent5"/>
              <w:bottom w:val="single" w:sz="4" w:space="0" w:color="53565A" w:themeColor="accent5"/>
            </w:tcBorders>
          </w:tcPr>
          <w:p w14:paraId="59217E88"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4.8</w:t>
            </w:r>
          </w:p>
        </w:tc>
        <w:tc>
          <w:tcPr>
            <w:tcW w:w="972" w:type="dxa"/>
            <w:gridSpan w:val="2"/>
            <w:tcBorders>
              <w:top w:val="single" w:sz="4" w:space="0" w:color="53565A" w:themeColor="accent5"/>
              <w:bottom w:val="single" w:sz="4" w:space="0" w:color="53565A" w:themeColor="accent5"/>
            </w:tcBorders>
          </w:tcPr>
          <w:p w14:paraId="74FFFC4C" w14:textId="77777777" w:rsidR="008A4372" w:rsidRPr="005734B8" w:rsidRDefault="008A4372" w:rsidP="000C192E">
            <w:pPr>
              <w:pStyle w:val="ESTablenumberrightaligned"/>
              <w:rPr>
                <w:rFonts w:ascii="Calibri" w:hAnsi="Calibri" w:cs="Calibri"/>
                <w:sz w:val="18"/>
              </w:rPr>
            </w:pPr>
            <w:r w:rsidRPr="005734B8">
              <w:rPr>
                <w:rFonts w:ascii="Calibri" w:hAnsi="Calibri" w:cs="Calibri"/>
                <w:sz w:val="18"/>
                <w:lang w:val="en-AU"/>
              </w:rPr>
              <w:sym w:font="Wingdings" w:char="F0FC"/>
            </w:r>
          </w:p>
        </w:tc>
      </w:tr>
      <w:tr w:rsidR="008A4372" w:rsidRPr="005734B8" w14:paraId="4166CC73"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6E9ABD8D" w14:textId="77777777"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and refers to government schools only. The 2020–21 outcome is lower than the target, with the COVID-19 pandemic and the move to remote and flexible learning during 2020 resulting in fewer overall absences for illness and family holidays.</w:t>
            </w:r>
          </w:p>
        </w:tc>
      </w:tr>
      <w:tr w:rsidR="008A4372" w:rsidRPr="005734B8" w14:paraId="7C272894"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1FBE25EE" w14:textId="45EA6DCF"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 xml:space="preserve">Average days lost due to absence for Aboriginal students in Prep to </w:t>
            </w:r>
            <w:r w:rsidR="003776E7" w:rsidRPr="005734B8">
              <w:rPr>
                <w:rFonts w:ascii="Calibri" w:hAnsi="Calibri" w:cs="Calibri"/>
                <w:sz w:val="18"/>
                <w:lang w:val="en-AU"/>
              </w:rPr>
              <w:t xml:space="preserve">Year </w:t>
            </w:r>
            <w:r w:rsidRPr="005734B8">
              <w:rPr>
                <w:rFonts w:ascii="Calibri" w:hAnsi="Calibri" w:cs="Calibri"/>
                <w:sz w:val="18"/>
                <w:lang w:val="en-AU"/>
              </w:rPr>
              <w:t>6</w:t>
            </w:r>
          </w:p>
        </w:tc>
        <w:tc>
          <w:tcPr>
            <w:tcW w:w="1216" w:type="dxa"/>
            <w:tcBorders>
              <w:top w:val="single" w:sz="4" w:space="0" w:color="53565A" w:themeColor="accent5"/>
              <w:bottom w:val="single" w:sz="4" w:space="0" w:color="53565A" w:themeColor="accent5"/>
            </w:tcBorders>
            <w:shd w:val="clear" w:color="auto" w:fill="auto"/>
          </w:tcPr>
          <w:p w14:paraId="5CC1E03E"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number</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14C4A0FD"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26.7</w:t>
            </w:r>
          </w:p>
        </w:tc>
        <w:tc>
          <w:tcPr>
            <w:tcW w:w="1304" w:type="dxa"/>
            <w:tcBorders>
              <w:top w:val="single" w:sz="4" w:space="0" w:color="53565A" w:themeColor="accent5"/>
              <w:bottom w:val="single" w:sz="4" w:space="0" w:color="53565A" w:themeColor="accent5"/>
            </w:tcBorders>
            <w:shd w:val="clear" w:color="auto" w:fill="FFFFFF" w:themeFill="background1"/>
          </w:tcPr>
          <w:p w14:paraId="5660C40E"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24.0</w:t>
            </w:r>
          </w:p>
        </w:tc>
        <w:tc>
          <w:tcPr>
            <w:tcW w:w="1723" w:type="dxa"/>
            <w:gridSpan w:val="2"/>
            <w:tcBorders>
              <w:top w:val="single" w:sz="4" w:space="0" w:color="53565A" w:themeColor="accent5"/>
              <w:bottom w:val="single" w:sz="4" w:space="0" w:color="53565A" w:themeColor="accent5"/>
            </w:tcBorders>
          </w:tcPr>
          <w:p w14:paraId="594E2520" w14:textId="24CFC465"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11.3</w:t>
            </w:r>
          </w:p>
        </w:tc>
        <w:tc>
          <w:tcPr>
            <w:tcW w:w="972" w:type="dxa"/>
            <w:gridSpan w:val="2"/>
            <w:tcBorders>
              <w:top w:val="single" w:sz="4" w:space="0" w:color="53565A" w:themeColor="accent5"/>
              <w:bottom w:val="single" w:sz="4" w:space="0" w:color="53565A" w:themeColor="accent5"/>
            </w:tcBorders>
          </w:tcPr>
          <w:p w14:paraId="25F326E0" w14:textId="77777777" w:rsidR="008A4372" w:rsidRPr="005734B8" w:rsidRDefault="008A4372" w:rsidP="000C192E">
            <w:pPr>
              <w:pStyle w:val="ESTablenumberrightaligned"/>
              <w:rPr>
                <w:rFonts w:ascii="Calibri" w:hAnsi="Calibri" w:cs="Calibri"/>
                <w:sz w:val="18"/>
              </w:rPr>
            </w:pPr>
            <w:r w:rsidRPr="005734B8">
              <w:rPr>
                <w:rFonts w:ascii="Calibri" w:hAnsi="Calibri" w:cs="Calibri"/>
                <w:sz w:val="18"/>
                <w:lang w:val="en-AU"/>
              </w:rPr>
              <w:sym w:font="Wingdings" w:char="F06E"/>
            </w:r>
          </w:p>
        </w:tc>
      </w:tr>
      <w:tr w:rsidR="008A4372" w:rsidRPr="005734B8" w14:paraId="67D74054"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054CA15E" w14:textId="1F209B36"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and refers to government schools only. The 2020–21 outcome is higher than the 2020–21 target. This is likely to be due to the COVID-19 pandemic and the move to remote and flexible learning during 2020. The rate covers all absences, including those due to illness and parent choice. This cohort is small and data is subject to volatility.</w:t>
            </w:r>
          </w:p>
        </w:tc>
      </w:tr>
      <w:tr w:rsidR="008A4372" w:rsidRPr="005734B8" w14:paraId="1C455ACF"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47CBC4A9"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Proportion of positive responses to school satisfaction by parents of government primary school students</w:t>
            </w:r>
          </w:p>
        </w:tc>
        <w:tc>
          <w:tcPr>
            <w:tcW w:w="1216" w:type="dxa"/>
            <w:tcBorders>
              <w:top w:val="single" w:sz="4" w:space="0" w:color="53565A" w:themeColor="accent5"/>
              <w:bottom w:val="single" w:sz="4" w:space="0" w:color="53565A" w:themeColor="accent5"/>
            </w:tcBorders>
            <w:shd w:val="clear" w:color="auto" w:fill="auto"/>
          </w:tcPr>
          <w:p w14:paraId="6F4461AE"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 cent</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2D644BB2"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85</w:t>
            </w:r>
          </w:p>
        </w:tc>
        <w:tc>
          <w:tcPr>
            <w:tcW w:w="1304" w:type="dxa"/>
            <w:tcBorders>
              <w:top w:val="single" w:sz="4" w:space="0" w:color="53565A" w:themeColor="accent5"/>
              <w:bottom w:val="single" w:sz="4" w:space="0" w:color="53565A" w:themeColor="accent5"/>
            </w:tcBorders>
            <w:shd w:val="clear" w:color="auto" w:fill="FFFFFF" w:themeFill="background1"/>
          </w:tcPr>
          <w:p w14:paraId="7BB8AC53"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85</w:t>
            </w:r>
          </w:p>
        </w:tc>
        <w:tc>
          <w:tcPr>
            <w:tcW w:w="1723" w:type="dxa"/>
            <w:gridSpan w:val="2"/>
            <w:tcBorders>
              <w:top w:val="single" w:sz="4" w:space="0" w:color="53565A" w:themeColor="accent5"/>
              <w:bottom w:val="single" w:sz="4" w:space="0" w:color="53565A" w:themeColor="accent5"/>
            </w:tcBorders>
          </w:tcPr>
          <w:p w14:paraId="76B7E2FC"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0.0</w:t>
            </w:r>
          </w:p>
        </w:tc>
        <w:tc>
          <w:tcPr>
            <w:tcW w:w="972" w:type="dxa"/>
            <w:gridSpan w:val="2"/>
            <w:tcBorders>
              <w:top w:val="single" w:sz="4" w:space="0" w:color="53565A" w:themeColor="accent5"/>
              <w:bottom w:val="single" w:sz="4" w:space="0" w:color="53565A" w:themeColor="accent5"/>
            </w:tcBorders>
          </w:tcPr>
          <w:p w14:paraId="078BE10D" w14:textId="77777777" w:rsidR="008A4372" w:rsidRPr="005734B8" w:rsidRDefault="008A4372" w:rsidP="000C192E">
            <w:pPr>
              <w:pStyle w:val="ESTablenumberrightaligned"/>
              <w:rPr>
                <w:rFonts w:ascii="Calibri" w:hAnsi="Calibri" w:cs="Calibri"/>
                <w:sz w:val="18"/>
              </w:rPr>
            </w:pPr>
            <w:r w:rsidRPr="005734B8">
              <w:rPr>
                <w:rFonts w:ascii="Calibri" w:hAnsi="Calibri" w:cs="Calibri"/>
                <w:sz w:val="18"/>
                <w:lang w:val="en-AU"/>
              </w:rPr>
              <w:sym w:font="Wingdings" w:char="F0FC"/>
            </w:r>
          </w:p>
        </w:tc>
      </w:tr>
      <w:tr w:rsidR="008A4372" w:rsidRPr="005734B8" w14:paraId="05CAC32B"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2BB97BAF" w14:textId="77777777" w:rsidR="008A4372" w:rsidRPr="005734B8" w:rsidRDefault="008A4372" w:rsidP="000C192E">
            <w:pPr>
              <w:pStyle w:val="ESTableBody0"/>
              <w:spacing w:before="120" w:after="120"/>
              <w:rPr>
                <w:rFonts w:ascii="Calibri" w:hAnsi="Calibri" w:cs="Calibri"/>
                <w:sz w:val="18"/>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and refers to government schools only.</w:t>
            </w:r>
          </w:p>
        </w:tc>
      </w:tr>
      <w:tr w:rsidR="008A4372" w:rsidRPr="005734B8" w14:paraId="2266158E"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4EADECE3"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Percentage of government schools compliant with the Child Safety Standards three months after review</w:t>
            </w:r>
          </w:p>
        </w:tc>
        <w:tc>
          <w:tcPr>
            <w:tcW w:w="1216" w:type="dxa"/>
            <w:tcBorders>
              <w:top w:val="single" w:sz="4" w:space="0" w:color="53565A" w:themeColor="accent5"/>
              <w:bottom w:val="single" w:sz="4" w:space="0" w:color="53565A" w:themeColor="accent5"/>
            </w:tcBorders>
            <w:shd w:val="clear" w:color="auto" w:fill="auto"/>
          </w:tcPr>
          <w:p w14:paraId="01659703"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 cent</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315EF9B3" w14:textId="632FCF90" w:rsidR="008A4372" w:rsidRPr="005734B8" w:rsidRDefault="00346782" w:rsidP="000C192E">
            <w:pPr>
              <w:pStyle w:val="ESTablenumberrightaligned"/>
              <w:rPr>
                <w:rFonts w:ascii="Calibri" w:hAnsi="Calibri" w:cs="Calibri"/>
                <w:sz w:val="18"/>
                <w:szCs w:val="16"/>
              </w:rPr>
            </w:pPr>
            <w:r>
              <w:rPr>
                <w:rFonts w:ascii="Calibri" w:hAnsi="Calibri" w:cs="Calibri"/>
                <w:sz w:val="18"/>
                <w:szCs w:val="16"/>
              </w:rPr>
              <w:t>98</w:t>
            </w:r>
          </w:p>
        </w:tc>
        <w:tc>
          <w:tcPr>
            <w:tcW w:w="1304" w:type="dxa"/>
            <w:tcBorders>
              <w:top w:val="single" w:sz="4" w:space="0" w:color="53565A" w:themeColor="accent5"/>
              <w:bottom w:val="single" w:sz="4" w:space="0" w:color="53565A" w:themeColor="accent5"/>
            </w:tcBorders>
            <w:shd w:val="clear" w:color="auto" w:fill="FFFFFF" w:themeFill="background1"/>
          </w:tcPr>
          <w:p w14:paraId="239E16EE"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100</w:t>
            </w:r>
          </w:p>
        </w:tc>
        <w:tc>
          <w:tcPr>
            <w:tcW w:w="1723" w:type="dxa"/>
            <w:gridSpan w:val="2"/>
            <w:tcBorders>
              <w:top w:val="single" w:sz="4" w:space="0" w:color="53565A" w:themeColor="accent5"/>
              <w:bottom w:val="single" w:sz="4" w:space="0" w:color="53565A" w:themeColor="accent5"/>
            </w:tcBorders>
          </w:tcPr>
          <w:p w14:paraId="02E271B5" w14:textId="15885CF5"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w:t>
            </w:r>
            <w:r w:rsidR="00CF20E4">
              <w:rPr>
                <w:rFonts w:ascii="Calibri" w:hAnsi="Calibri" w:cs="Calibri"/>
                <w:sz w:val="18"/>
                <w:szCs w:val="16"/>
              </w:rPr>
              <w:t>2</w:t>
            </w:r>
            <w:r w:rsidRPr="005734B8">
              <w:rPr>
                <w:rFonts w:ascii="Calibri" w:hAnsi="Calibri" w:cs="Calibri"/>
                <w:sz w:val="18"/>
                <w:szCs w:val="16"/>
              </w:rPr>
              <w:t>.0</w:t>
            </w:r>
          </w:p>
        </w:tc>
        <w:tc>
          <w:tcPr>
            <w:tcW w:w="972" w:type="dxa"/>
            <w:gridSpan w:val="2"/>
            <w:tcBorders>
              <w:top w:val="single" w:sz="4" w:space="0" w:color="53565A" w:themeColor="accent5"/>
              <w:bottom w:val="single" w:sz="4" w:space="0" w:color="53565A" w:themeColor="accent5"/>
            </w:tcBorders>
          </w:tcPr>
          <w:p w14:paraId="4430E24A" w14:textId="3BCCA151" w:rsidR="008A4372" w:rsidRPr="005734B8" w:rsidRDefault="00CF20E4" w:rsidP="000C192E">
            <w:pPr>
              <w:pStyle w:val="ESTablenumberrightaligned"/>
              <w:rPr>
                <w:rFonts w:ascii="Calibri" w:hAnsi="Calibri" w:cs="Calibri"/>
                <w:sz w:val="18"/>
              </w:rPr>
            </w:pPr>
            <w:r w:rsidRPr="005734B8">
              <w:rPr>
                <w:rFonts w:ascii="Calibri" w:hAnsi="Calibri" w:cs="Calibri"/>
                <w:sz w:val="18"/>
                <w:lang w:val="en-AU"/>
              </w:rPr>
              <w:sym w:font="Wingdings" w:char="F0A1"/>
            </w:r>
          </w:p>
        </w:tc>
      </w:tr>
      <w:tr w:rsidR="008A4372" w:rsidRPr="005734B8" w14:paraId="0D145AB2"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4155A128" w14:textId="4B663539"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and refers to government schools only.</w:t>
            </w:r>
          </w:p>
        </w:tc>
      </w:tr>
      <w:tr w:rsidR="008A4372" w:rsidRPr="005734B8" w14:paraId="6ACC74BD"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60E80600"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lastRenderedPageBreak/>
              <w:t>Percentage of Aboriginal students above the bottom three bands for numeracy in Year 3 (NAPLAN testing)</w:t>
            </w:r>
          </w:p>
        </w:tc>
        <w:tc>
          <w:tcPr>
            <w:tcW w:w="1216" w:type="dxa"/>
            <w:tcBorders>
              <w:top w:val="single" w:sz="4" w:space="0" w:color="53565A" w:themeColor="accent5"/>
              <w:bottom w:val="single" w:sz="4" w:space="0" w:color="53565A" w:themeColor="accent5"/>
            </w:tcBorders>
            <w:shd w:val="clear" w:color="auto" w:fill="auto"/>
          </w:tcPr>
          <w:p w14:paraId="403B15B3"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 cent</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35BC5CDA"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w:t>
            </w:r>
          </w:p>
        </w:tc>
        <w:tc>
          <w:tcPr>
            <w:tcW w:w="1304" w:type="dxa"/>
            <w:tcBorders>
              <w:top w:val="single" w:sz="4" w:space="0" w:color="53565A" w:themeColor="accent5"/>
              <w:bottom w:val="single" w:sz="4" w:space="0" w:color="53565A" w:themeColor="accent5"/>
            </w:tcBorders>
            <w:shd w:val="clear" w:color="auto" w:fill="FFFFFF" w:themeFill="background1"/>
          </w:tcPr>
          <w:p w14:paraId="1642F575"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46.7</w:t>
            </w:r>
          </w:p>
        </w:tc>
        <w:tc>
          <w:tcPr>
            <w:tcW w:w="1723" w:type="dxa"/>
            <w:gridSpan w:val="2"/>
            <w:tcBorders>
              <w:top w:val="single" w:sz="4" w:space="0" w:color="53565A" w:themeColor="accent5"/>
              <w:bottom w:val="single" w:sz="4" w:space="0" w:color="53565A" w:themeColor="accent5"/>
            </w:tcBorders>
          </w:tcPr>
          <w:p w14:paraId="21CF5050"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w:t>
            </w:r>
          </w:p>
        </w:tc>
        <w:tc>
          <w:tcPr>
            <w:tcW w:w="972" w:type="dxa"/>
            <w:gridSpan w:val="2"/>
            <w:tcBorders>
              <w:top w:val="single" w:sz="4" w:space="0" w:color="53565A" w:themeColor="accent5"/>
              <w:bottom w:val="single" w:sz="4" w:space="0" w:color="53565A" w:themeColor="accent5"/>
            </w:tcBorders>
          </w:tcPr>
          <w:p w14:paraId="2948D97E"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w:t>
            </w:r>
          </w:p>
        </w:tc>
      </w:tr>
      <w:tr w:rsidR="008A4372" w:rsidRPr="005734B8" w14:paraId="6F0721F7"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40A758D1" w14:textId="77777777"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Due to the cancellation of 2020 NAPLAN, no outcome has been reported in 2020–21.</w:t>
            </w:r>
          </w:p>
        </w:tc>
      </w:tr>
      <w:tr w:rsidR="008A4372" w:rsidRPr="005734B8" w14:paraId="6F17799A"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7FAEEAFA"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Percentage of Aboriginal students above the bottom three bands for numeracy in Year 5 (NAPLAN testing)</w:t>
            </w:r>
          </w:p>
        </w:tc>
        <w:tc>
          <w:tcPr>
            <w:tcW w:w="1216" w:type="dxa"/>
            <w:tcBorders>
              <w:top w:val="single" w:sz="4" w:space="0" w:color="53565A" w:themeColor="accent5"/>
              <w:bottom w:val="single" w:sz="4" w:space="0" w:color="53565A" w:themeColor="accent5"/>
            </w:tcBorders>
            <w:shd w:val="clear" w:color="auto" w:fill="auto"/>
          </w:tcPr>
          <w:p w14:paraId="74796889"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 cent</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70AC4960"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w:t>
            </w:r>
          </w:p>
        </w:tc>
        <w:tc>
          <w:tcPr>
            <w:tcW w:w="1304" w:type="dxa"/>
            <w:tcBorders>
              <w:top w:val="single" w:sz="4" w:space="0" w:color="53565A" w:themeColor="accent5"/>
              <w:bottom w:val="single" w:sz="4" w:space="0" w:color="53565A" w:themeColor="accent5"/>
            </w:tcBorders>
            <w:shd w:val="clear" w:color="auto" w:fill="FFFFFF" w:themeFill="background1"/>
          </w:tcPr>
          <w:p w14:paraId="1C87E096"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35.2</w:t>
            </w:r>
          </w:p>
        </w:tc>
        <w:tc>
          <w:tcPr>
            <w:tcW w:w="1723" w:type="dxa"/>
            <w:gridSpan w:val="2"/>
            <w:tcBorders>
              <w:top w:val="single" w:sz="4" w:space="0" w:color="53565A" w:themeColor="accent5"/>
              <w:bottom w:val="single" w:sz="4" w:space="0" w:color="53565A" w:themeColor="accent5"/>
            </w:tcBorders>
          </w:tcPr>
          <w:p w14:paraId="23BFA5F2"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rPr>
              <w:t>–</w:t>
            </w:r>
          </w:p>
        </w:tc>
        <w:tc>
          <w:tcPr>
            <w:tcW w:w="972" w:type="dxa"/>
            <w:gridSpan w:val="2"/>
            <w:tcBorders>
              <w:top w:val="single" w:sz="4" w:space="0" w:color="53565A" w:themeColor="accent5"/>
              <w:bottom w:val="single" w:sz="4" w:space="0" w:color="53565A" w:themeColor="accent5"/>
            </w:tcBorders>
          </w:tcPr>
          <w:p w14:paraId="0A4E0B63"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szCs w:val="16"/>
              </w:rPr>
              <w:t>–</w:t>
            </w:r>
          </w:p>
        </w:tc>
      </w:tr>
      <w:tr w:rsidR="008A4372" w:rsidRPr="005734B8" w14:paraId="25E3343F" w14:textId="77777777" w:rsidTr="00012F2B">
        <w:trPr>
          <w:cantSplit/>
        </w:trPr>
        <w:tc>
          <w:tcPr>
            <w:tcW w:w="9010" w:type="dxa"/>
            <w:gridSpan w:val="10"/>
            <w:tcBorders>
              <w:top w:val="single" w:sz="4" w:space="0" w:color="53565A" w:themeColor="accent5"/>
              <w:bottom w:val="single" w:sz="4" w:space="0" w:color="auto"/>
            </w:tcBorders>
            <w:shd w:val="clear" w:color="auto" w:fill="auto"/>
          </w:tcPr>
          <w:p w14:paraId="72A10254" w14:textId="77777777"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Due to the cancellation of 2020 NAPLAN, no outcome has been reported in 2020–21.</w:t>
            </w:r>
          </w:p>
        </w:tc>
      </w:tr>
      <w:tr w:rsidR="008A4372" w:rsidRPr="005734B8" w14:paraId="7F4EA5DF" w14:textId="77777777" w:rsidTr="00012F2B">
        <w:trPr>
          <w:cantSplit/>
        </w:trPr>
        <w:tc>
          <w:tcPr>
            <w:tcW w:w="2673" w:type="dxa"/>
            <w:gridSpan w:val="2"/>
            <w:tcBorders>
              <w:top w:val="nil"/>
              <w:bottom w:val="single" w:sz="4" w:space="0" w:color="53565A" w:themeColor="accent5"/>
            </w:tcBorders>
            <w:shd w:val="clear" w:color="auto" w:fill="auto"/>
          </w:tcPr>
          <w:p w14:paraId="185825BD"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Percentage of Aboriginal students above the bottom three bands for reading in Year 3 (NAPLAN testing)</w:t>
            </w:r>
          </w:p>
        </w:tc>
        <w:tc>
          <w:tcPr>
            <w:tcW w:w="1216" w:type="dxa"/>
            <w:tcBorders>
              <w:top w:val="nil"/>
              <w:bottom w:val="single" w:sz="4" w:space="0" w:color="53565A" w:themeColor="accent5"/>
            </w:tcBorders>
            <w:shd w:val="clear" w:color="auto" w:fill="auto"/>
          </w:tcPr>
          <w:p w14:paraId="08AC76C4"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 cent</w:t>
            </w:r>
          </w:p>
        </w:tc>
        <w:tc>
          <w:tcPr>
            <w:tcW w:w="1122" w:type="dxa"/>
            <w:gridSpan w:val="2"/>
            <w:tcBorders>
              <w:top w:val="nil"/>
              <w:bottom w:val="single" w:sz="4" w:space="0" w:color="53565A" w:themeColor="accent5"/>
            </w:tcBorders>
            <w:shd w:val="clear" w:color="auto" w:fill="D9D9D6" w:themeFill="accent1"/>
          </w:tcPr>
          <w:p w14:paraId="5B54EC08"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w:t>
            </w:r>
          </w:p>
        </w:tc>
        <w:tc>
          <w:tcPr>
            <w:tcW w:w="1304" w:type="dxa"/>
            <w:tcBorders>
              <w:top w:val="nil"/>
              <w:bottom w:val="single" w:sz="4" w:space="0" w:color="53565A" w:themeColor="accent5"/>
            </w:tcBorders>
            <w:shd w:val="clear" w:color="auto" w:fill="FFFFFF" w:themeFill="background1"/>
          </w:tcPr>
          <w:p w14:paraId="63EFDCE6"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58.2</w:t>
            </w:r>
          </w:p>
        </w:tc>
        <w:tc>
          <w:tcPr>
            <w:tcW w:w="1723" w:type="dxa"/>
            <w:gridSpan w:val="2"/>
            <w:tcBorders>
              <w:top w:val="nil"/>
              <w:bottom w:val="single" w:sz="4" w:space="0" w:color="53565A" w:themeColor="accent5"/>
            </w:tcBorders>
          </w:tcPr>
          <w:p w14:paraId="03FA5646"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rPr>
              <w:t>–</w:t>
            </w:r>
          </w:p>
        </w:tc>
        <w:tc>
          <w:tcPr>
            <w:tcW w:w="972" w:type="dxa"/>
            <w:gridSpan w:val="2"/>
            <w:tcBorders>
              <w:top w:val="nil"/>
              <w:bottom w:val="single" w:sz="4" w:space="0" w:color="53565A" w:themeColor="accent5"/>
            </w:tcBorders>
          </w:tcPr>
          <w:p w14:paraId="35CC726E"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szCs w:val="16"/>
              </w:rPr>
              <w:t>–</w:t>
            </w:r>
          </w:p>
        </w:tc>
      </w:tr>
      <w:tr w:rsidR="008A4372" w:rsidRPr="005734B8" w14:paraId="7E0B5FA8"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073E59E5" w14:textId="77777777"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Due to the cancellation of 2020 NAPLAN, no outcome has been reported in 2020–21.</w:t>
            </w:r>
          </w:p>
        </w:tc>
      </w:tr>
      <w:tr w:rsidR="008A4372" w:rsidRPr="005734B8" w14:paraId="6FBCDD17"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1561BC73"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Percentage of Aboriginal students above the bottom three bands for reading in Year 5 (NAPLAN testing)</w:t>
            </w:r>
          </w:p>
        </w:tc>
        <w:tc>
          <w:tcPr>
            <w:tcW w:w="1216" w:type="dxa"/>
            <w:tcBorders>
              <w:top w:val="single" w:sz="4" w:space="0" w:color="53565A" w:themeColor="accent5"/>
              <w:bottom w:val="single" w:sz="4" w:space="0" w:color="53565A" w:themeColor="accent5"/>
            </w:tcBorders>
            <w:shd w:val="clear" w:color="auto" w:fill="auto"/>
          </w:tcPr>
          <w:p w14:paraId="61874A89"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 cent</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1E4363E8"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w:t>
            </w:r>
          </w:p>
        </w:tc>
        <w:tc>
          <w:tcPr>
            <w:tcW w:w="1304" w:type="dxa"/>
            <w:tcBorders>
              <w:top w:val="single" w:sz="4" w:space="0" w:color="53565A" w:themeColor="accent5"/>
              <w:bottom w:val="single" w:sz="4" w:space="0" w:color="53565A" w:themeColor="accent5"/>
            </w:tcBorders>
            <w:shd w:val="clear" w:color="auto" w:fill="FFFFFF" w:themeFill="background1"/>
          </w:tcPr>
          <w:p w14:paraId="1A5C719B"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44.6</w:t>
            </w:r>
          </w:p>
        </w:tc>
        <w:tc>
          <w:tcPr>
            <w:tcW w:w="1723" w:type="dxa"/>
            <w:gridSpan w:val="2"/>
            <w:tcBorders>
              <w:top w:val="single" w:sz="4" w:space="0" w:color="53565A" w:themeColor="accent5"/>
              <w:bottom w:val="single" w:sz="4" w:space="0" w:color="53565A" w:themeColor="accent5"/>
            </w:tcBorders>
          </w:tcPr>
          <w:p w14:paraId="677F153B"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rPr>
              <w:t>–</w:t>
            </w:r>
          </w:p>
        </w:tc>
        <w:tc>
          <w:tcPr>
            <w:tcW w:w="972" w:type="dxa"/>
            <w:gridSpan w:val="2"/>
            <w:tcBorders>
              <w:top w:val="single" w:sz="4" w:space="0" w:color="53565A" w:themeColor="accent5"/>
              <w:bottom w:val="single" w:sz="4" w:space="0" w:color="53565A" w:themeColor="accent5"/>
            </w:tcBorders>
          </w:tcPr>
          <w:p w14:paraId="115E750B"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szCs w:val="16"/>
              </w:rPr>
              <w:t>–</w:t>
            </w:r>
          </w:p>
        </w:tc>
      </w:tr>
      <w:tr w:rsidR="008A4372" w:rsidRPr="005734B8" w14:paraId="6F4EE520"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3B7AC11A" w14:textId="77777777"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Due to the cancellation of 2020 NAPLAN, no outcome has been reported in 2020–21.</w:t>
            </w:r>
          </w:p>
        </w:tc>
      </w:tr>
      <w:tr w:rsidR="008A4372" w:rsidRPr="005734B8" w14:paraId="401C7B65"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40B8DEEE"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Percentage of students above the bottom three bands for numeracy in Year 3 (NAPLAN testing)</w:t>
            </w:r>
          </w:p>
        </w:tc>
        <w:tc>
          <w:tcPr>
            <w:tcW w:w="1216" w:type="dxa"/>
            <w:tcBorders>
              <w:top w:val="single" w:sz="4" w:space="0" w:color="53565A" w:themeColor="accent5"/>
              <w:bottom w:val="single" w:sz="4" w:space="0" w:color="53565A" w:themeColor="accent5"/>
            </w:tcBorders>
            <w:shd w:val="clear" w:color="auto" w:fill="auto"/>
          </w:tcPr>
          <w:p w14:paraId="0F4D364B"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 cent</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202888F4"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w:t>
            </w:r>
          </w:p>
        </w:tc>
        <w:tc>
          <w:tcPr>
            <w:tcW w:w="1304" w:type="dxa"/>
            <w:tcBorders>
              <w:top w:val="single" w:sz="4" w:space="0" w:color="53565A" w:themeColor="accent5"/>
              <w:bottom w:val="single" w:sz="4" w:space="0" w:color="53565A" w:themeColor="accent5"/>
            </w:tcBorders>
            <w:shd w:val="clear" w:color="auto" w:fill="FFFFFF" w:themeFill="background1"/>
          </w:tcPr>
          <w:p w14:paraId="4E1ACAD6"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73.8</w:t>
            </w:r>
          </w:p>
        </w:tc>
        <w:tc>
          <w:tcPr>
            <w:tcW w:w="1723" w:type="dxa"/>
            <w:gridSpan w:val="2"/>
            <w:tcBorders>
              <w:top w:val="single" w:sz="4" w:space="0" w:color="53565A" w:themeColor="accent5"/>
              <w:bottom w:val="single" w:sz="4" w:space="0" w:color="53565A" w:themeColor="accent5"/>
            </w:tcBorders>
          </w:tcPr>
          <w:p w14:paraId="74E4578B"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rPr>
              <w:t>–</w:t>
            </w:r>
          </w:p>
        </w:tc>
        <w:tc>
          <w:tcPr>
            <w:tcW w:w="972" w:type="dxa"/>
            <w:gridSpan w:val="2"/>
            <w:tcBorders>
              <w:top w:val="single" w:sz="4" w:space="0" w:color="53565A" w:themeColor="accent5"/>
              <w:bottom w:val="single" w:sz="4" w:space="0" w:color="53565A" w:themeColor="accent5"/>
            </w:tcBorders>
          </w:tcPr>
          <w:p w14:paraId="76FF6D99"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szCs w:val="16"/>
              </w:rPr>
              <w:t>–</w:t>
            </w:r>
          </w:p>
        </w:tc>
      </w:tr>
      <w:tr w:rsidR="008A4372" w:rsidRPr="005734B8" w14:paraId="3EE7C62E"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1FB6B26D" w14:textId="77777777"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Due to the cancellation of 2020 NAPLAN, no outcome has been reported in 2020–21.</w:t>
            </w:r>
          </w:p>
        </w:tc>
      </w:tr>
      <w:tr w:rsidR="008A4372" w:rsidRPr="005734B8" w14:paraId="5C52115B"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5CAAB098"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Percentage of students above the bottom three bands for numeracy in Year 5 (NAPLAN testing)</w:t>
            </w:r>
          </w:p>
        </w:tc>
        <w:tc>
          <w:tcPr>
            <w:tcW w:w="1216" w:type="dxa"/>
            <w:tcBorders>
              <w:top w:val="single" w:sz="4" w:space="0" w:color="53565A" w:themeColor="accent5"/>
              <w:bottom w:val="single" w:sz="4" w:space="0" w:color="53565A" w:themeColor="accent5"/>
            </w:tcBorders>
            <w:shd w:val="clear" w:color="auto" w:fill="auto"/>
          </w:tcPr>
          <w:p w14:paraId="1B45A7EA"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 cent</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5A4776AD"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w:t>
            </w:r>
          </w:p>
        </w:tc>
        <w:tc>
          <w:tcPr>
            <w:tcW w:w="1304" w:type="dxa"/>
            <w:tcBorders>
              <w:top w:val="single" w:sz="4" w:space="0" w:color="53565A" w:themeColor="accent5"/>
              <w:bottom w:val="single" w:sz="4" w:space="0" w:color="53565A" w:themeColor="accent5"/>
            </w:tcBorders>
            <w:shd w:val="clear" w:color="auto" w:fill="FFFFFF" w:themeFill="background1"/>
          </w:tcPr>
          <w:p w14:paraId="02A0AD4F"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66.0</w:t>
            </w:r>
          </w:p>
        </w:tc>
        <w:tc>
          <w:tcPr>
            <w:tcW w:w="1723" w:type="dxa"/>
            <w:gridSpan w:val="2"/>
            <w:tcBorders>
              <w:top w:val="single" w:sz="4" w:space="0" w:color="53565A" w:themeColor="accent5"/>
              <w:bottom w:val="single" w:sz="4" w:space="0" w:color="53565A" w:themeColor="accent5"/>
            </w:tcBorders>
          </w:tcPr>
          <w:p w14:paraId="692556BC"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rPr>
              <w:t>–</w:t>
            </w:r>
          </w:p>
        </w:tc>
        <w:tc>
          <w:tcPr>
            <w:tcW w:w="972" w:type="dxa"/>
            <w:gridSpan w:val="2"/>
            <w:tcBorders>
              <w:top w:val="single" w:sz="4" w:space="0" w:color="53565A" w:themeColor="accent5"/>
              <w:bottom w:val="single" w:sz="4" w:space="0" w:color="53565A" w:themeColor="accent5"/>
            </w:tcBorders>
          </w:tcPr>
          <w:p w14:paraId="587D5C7D"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szCs w:val="16"/>
              </w:rPr>
              <w:t>–</w:t>
            </w:r>
          </w:p>
        </w:tc>
      </w:tr>
      <w:tr w:rsidR="008A4372" w:rsidRPr="005734B8" w14:paraId="2906B69E"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5370CA1E" w14:textId="77777777"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Due to the cancellation of 2020 NAPLAN, no outcome has been reported in 2020–21.</w:t>
            </w:r>
          </w:p>
        </w:tc>
      </w:tr>
      <w:tr w:rsidR="008A4372" w:rsidRPr="005734B8" w14:paraId="3522040E"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01989D73"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Percentage of students above the bottom three bands for reading in Year 3 (NAPLAN testing)</w:t>
            </w:r>
          </w:p>
        </w:tc>
        <w:tc>
          <w:tcPr>
            <w:tcW w:w="1216" w:type="dxa"/>
            <w:tcBorders>
              <w:top w:val="single" w:sz="4" w:space="0" w:color="53565A" w:themeColor="accent5"/>
              <w:bottom w:val="single" w:sz="4" w:space="0" w:color="53565A" w:themeColor="accent5"/>
            </w:tcBorders>
            <w:shd w:val="clear" w:color="auto" w:fill="auto"/>
          </w:tcPr>
          <w:p w14:paraId="56DCF448"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 cent</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75944E23"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w:t>
            </w:r>
          </w:p>
        </w:tc>
        <w:tc>
          <w:tcPr>
            <w:tcW w:w="1304" w:type="dxa"/>
            <w:tcBorders>
              <w:top w:val="single" w:sz="4" w:space="0" w:color="53565A" w:themeColor="accent5"/>
              <w:bottom w:val="single" w:sz="4" w:space="0" w:color="53565A" w:themeColor="accent5"/>
            </w:tcBorders>
            <w:shd w:val="clear" w:color="auto" w:fill="FFFFFF" w:themeFill="background1"/>
          </w:tcPr>
          <w:p w14:paraId="5586942B"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82.0</w:t>
            </w:r>
          </w:p>
        </w:tc>
        <w:tc>
          <w:tcPr>
            <w:tcW w:w="1723" w:type="dxa"/>
            <w:gridSpan w:val="2"/>
            <w:tcBorders>
              <w:top w:val="single" w:sz="4" w:space="0" w:color="53565A" w:themeColor="accent5"/>
              <w:bottom w:val="single" w:sz="4" w:space="0" w:color="53565A" w:themeColor="accent5"/>
            </w:tcBorders>
          </w:tcPr>
          <w:p w14:paraId="26EF0E6A"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rPr>
              <w:t>–</w:t>
            </w:r>
          </w:p>
        </w:tc>
        <w:tc>
          <w:tcPr>
            <w:tcW w:w="972" w:type="dxa"/>
            <w:gridSpan w:val="2"/>
            <w:tcBorders>
              <w:top w:val="single" w:sz="4" w:space="0" w:color="53565A" w:themeColor="accent5"/>
              <w:bottom w:val="single" w:sz="4" w:space="0" w:color="53565A" w:themeColor="accent5"/>
            </w:tcBorders>
          </w:tcPr>
          <w:p w14:paraId="3C08B55A"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szCs w:val="16"/>
              </w:rPr>
              <w:t>–</w:t>
            </w:r>
          </w:p>
        </w:tc>
      </w:tr>
      <w:tr w:rsidR="008A4372" w:rsidRPr="005734B8" w14:paraId="75ACA0DD"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75025610" w14:textId="77777777"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Due to the cancellation of 2020 NAPLAN, no outcome has been reported in 2020–21.</w:t>
            </w:r>
          </w:p>
        </w:tc>
      </w:tr>
      <w:tr w:rsidR="008A4372" w:rsidRPr="005734B8" w14:paraId="67405964"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7AA444A1"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lastRenderedPageBreak/>
              <w:t>Percentage of students above the bottom three bands for reading in Year 5 (NAPLAN testing)</w:t>
            </w:r>
          </w:p>
        </w:tc>
        <w:tc>
          <w:tcPr>
            <w:tcW w:w="1216" w:type="dxa"/>
            <w:tcBorders>
              <w:top w:val="single" w:sz="4" w:space="0" w:color="53565A" w:themeColor="accent5"/>
              <w:bottom w:val="single" w:sz="4" w:space="0" w:color="53565A" w:themeColor="accent5"/>
            </w:tcBorders>
            <w:shd w:val="clear" w:color="auto" w:fill="auto"/>
          </w:tcPr>
          <w:p w14:paraId="0AE9C88E"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 cent</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45BFB100"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w:t>
            </w:r>
          </w:p>
        </w:tc>
        <w:tc>
          <w:tcPr>
            <w:tcW w:w="1304" w:type="dxa"/>
            <w:tcBorders>
              <w:top w:val="single" w:sz="4" w:space="0" w:color="53565A" w:themeColor="accent5"/>
              <w:bottom w:val="single" w:sz="4" w:space="0" w:color="53565A" w:themeColor="accent5"/>
            </w:tcBorders>
            <w:shd w:val="clear" w:color="auto" w:fill="FFFFFF" w:themeFill="background1"/>
          </w:tcPr>
          <w:p w14:paraId="65F6166E"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72.5</w:t>
            </w:r>
          </w:p>
        </w:tc>
        <w:tc>
          <w:tcPr>
            <w:tcW w:w="1723" w:type="dxa"/>
            <w:gridSpan w:val="2"/>
            <w:tcBorders>
              <w:top w:val="single" w:sz="4" w:space="0" w:color="53565A" w:themeColor="accent5"/>
              <w:bottom w:val="single" w:sz="4" w:space="0" w:color="53565A" w:themeColor="accent5"/>
            </w:tcBorders>
          </w:tcPr>
          <w:p w14:paraId="2CC7541A"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rPr>
              <w:t>–</w:t>
            </w:r>
          </w:p>
        </w:tc>
        <w:tc>
          <w:tcPr>
            <w:tcW w:w="972" w:type="dxa"/>
            <w:gridSpan w:val="2"/>
            <w:tcBorders>
              <w:top w:val="single" w:sz="4" w:space="0" w:color="53565A" w:themeColor="accent5"/>
              <w:bottom w:val="single" w:sz="4" w:space="0" w:color="53565A" w:themeColor="accent5"/>
            </w:tcBorders>
          </w:tcPr>
          <w:p w14:paraId="75F230A0"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szCs w:val="16"/>
              </w:rPr>
              <w:t>–</w:t>
            </w:r>
          </w:p>
        </w:tc>
      </w:tr>
      <w:tr w:rsidR="008A4372" w:rsidRPr="005734B8" w14:paraId="45A48B4E" w14:textId="77777777" w:rsidTr="000C192E">
        <w:trPr>
          <w:cantSplit/>
        </w:trPr>
        <w:tc>
          <w:tcPr>
            <w:tcW w:w="8702" w:type="dxa"/>
            <w:gridSpan w:val="9"/>
            <w:tcBorders>
              <w:top w:val="single" w:sz="4" w:space="0" w:color="53565A" w:themeColor="accent5"/>
              <w:bottom w:val="single" w:sz="4" w:space="0" w:color="53565A" w:themeColor="accent5"/>
            </w:tcBorders>
            <w:shd w:val="clear" w:color="auto" w:fill="auto"/>
          </w:tcPr>
          <w:p w14:paraId="2AB2477E" w14:textId="77777777"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Due to the cancellation of 2020 NAPLAN, no outcome has been reported in 2020–21.</w:t>
            </w:r>
          </w:p>
        </w:tc>
        <w:tc>
          <w:tcPr>
            <w:tcW w:w="308" w:type="dxa"/>
            <w:tcBorders>
              <w:top w:val="single" w:sz="4" w:space="0" w:color="53565A" w:themeColor="accent5"/>
              <w:bottom w:val="single" w:sz="4" w:space="0" w:color="53565A" w:themeColor="accent5"/>
            </w:tcBorders>
          </w:tcPr>
          <w:p w14:paraId="146D7169" w14:textId="77777777" w:rsidR="008A4372" w:rsidRPr="005734B8" w:rsidRDefault="008A4372" w:rsidP="000C192E">
            <w:pPr>
              <w:pStyle w:val="ESTableBody0"/>
              <w:spacing w:before="120" w:after="120"/>
              <w:rPr>
                <w:rFonts w:ascii="Calibri" w:hAnsi="Calibri" w:cs="Calibri"/>
                <w:i/>
                <w:szCs w:val="20"/>
                <w:lang w:val="en-AU"/>
              </w:rPr>
            </w:pPr>
          </w:p>
        </w:tc>
      </w:tr>
      <w:tr w:rsidR="008A4372" w:rsidRPr="005734B8" w14:paraId="1163DC61"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54811816"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Percentage of students in the top two bands for numeracy in Year 3 (NAPLAN testing)</w:t>
            </w:r>
          </w:p>
        </w:tc>
        <w:tc>
          <w:tcPr>
            <w:tcW w:w="1216" w:type="dxa"/>
            <w:tcBorders>
              <w:top w:val="single" w:sz="4" w:space="0" w:color="53565A" w:themeColor="accent5"/>
              <w:bottom w:val="single" w:sz="4" w:space="0" w:color="53565A" w:themeColor="accent5"/>
            </w:tcBorders>
            <w:shd w:val="clear" w:color="auto" w:fill="auto"/>
          </w:tcPr>
          <w:p w14:paraId="7785DB48"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 cent</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653A4A72"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w:t>
            </w:r>
          </w:p>
        </w:tc>
        <w:tc>
          <w:tcPr>
            <w:tcW w:w="1304" w:type="dxa"/>
            <w:tcBorders>
              <w:top w:val="single" w:sz="4" w:space="0" w:color="53565A" w:themeColor="accent5"/>
              <w:bottom w:val="single" w:sz="4" w:space="0" w:color="53565A" w:themeColor="accent5"/>
            </w:tcBorders>
            <w:shd w:val="clear" w:color="auto" w:fill="FFFFFF" w:themeFill="background1"/>
          </w:tcPr>
          <w:p w14:paraId="0846E9D5"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46.7</w:t>
            </w:r>
          </w:p>
        </w:tc>
        <w:tc>
          <w:tcPr>
            <w:tcW w:w="1723" w:type="dxa"/>
            <w:gridSpan w:val="2"/>
            <w:tcBorders>
              <w:top w:val="single" w:sz="4" w:space="0" w:color="53565A" w:themeColor="accent5"/>
              <w:bottom w:val="single" w:sz="4" w:space="0" w:color="53565A" w:themeColor="accent5"/>
            </w:tcBorders>
          </w:tcPr>
          <w:p w14:paraId="238551DE"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rPr>
              <w:t>–</w:t>
            </w:r>
          </w:p>
        </w:tc>
        <w:tc>
          <w:tcPr>
            <w:tcW w:w="972" w:type="dxa"/>
            <w:gridSpan w:val="2"/>
            <w:tcBorders>
              <w:top w:val="single" w:sz="4" w:space="0" w:color="53565A" w:themeColor="accent5"/>
              <w:bottom w:val="single" w:sz="4" w:space="0" w:color="53565A" w:themeColor="accent5"/>
            </w:tcBorders>
          </w:tcPr>
          <w:p w14:paraId="4CA2820C"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szCs w:val="16"/>
              </w:rPr>
              <w:t>–</w:t>
            </w:r>
          </w:p>
        </w:tc>
      </w:tr>
      <w:tr w:rsidR="008A4372" w:rsidRPr="005734B8" w14:paraId="06CB237F"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3F0A3CCC" w14:textId="77777777"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Due to the cancellation of 2020 NAPLAN, no outcome has been reported in 2020–21.</w:t>
            </w:r>
          </w:p>
        </w:tc>
      </w:tr>
      <w:tr w:rsidR="008A4372" w:rsidRPr="005734B8" w14:paraId="77A85954"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3A1D7A41"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Percentage of students in the top two bands for numeracy in Year 5 (NAPLAN testing)</w:t>
            </w:r>
          </w:p>
        </w:tc>
        <w:tc>
          <w:tcPr>
            <w:tcW w:w="1216" w:type="dxa"/>
            <w:tcBorders>
              <w:top w:val="single" w:sz="4" w:space="0" w:color="53565A" w:themeColor="accent5"/>
              <w:bottom w:val="single" w:sz="4" w:space="0" w:color="53565A" w:themeColor="accent5"/>
            </w:tcBorders>
            <w:shd w:val="clear" w:color="auto" w:fill="auto"/>
          </w:tcPr>
          <w:p w14:paraId="17E7F585"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 cent</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38C2A3FE"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w:t>
            </w:r>
          </w:p>
        </w:tc>
        <w:tc>
          <w:tcPr>
            <w:tcW w:w="1304" w:type="dxa"/>
            <w:tcBorders>
              <w:top w:val="single" w:sz="4" w:space="0" w:color="53565A" w:themeColor="accent5"/>
              <w:bottom w:val="single" w:sz="4" w:space="0" w:color="53565A" w:themeColor="accent5"/>
            </w:tcBorders>
            <w:shd w:val="clear" w:color="auto" w:fill="FFFFFF" w:themeFill="background1"/>
          </w:tcPr>
          <w:p w14:paraId="1E1A155A"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35.3</w:t>
            </w:r>
          </w:p>
        </w:tc>
        <w:tc>
          <w:tcPr>
            <w:tcW w:w="1723" w:type="dxa"/>
            <w:gridSpan w:val="2"/>
            <w:tcBorders>
              <w:top w:val="single" w:sz="4" w:space="0" w:color="53565A" w:themeColor="accent5"/>
              <w:bottom w:val="single" w:sz="4" w:space="0" w:color="53565A" w:themeColor="accent5"/>
            </w:tcBorders>
          </w:tcPr>
          <w:p w14:paraId="69B1DB82"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rPr>
              <w:t>–</w:t>
            </w:r>
          </w:p>
        </w:tc>
        <w:tc>
          <w:tcPr>
            <w:tcW w:w="972" w:type="dxa"/>
            <w:gridSpan w:val="2"/>
            <w:tcBorders>
              <w:top w:val="single" w:sz="4" w:space="0" w:color="53565A" w:themeColor="accent5"/>
              <w:bottom w:val="single" w:sz="4" w:space="0" w:color="53565A" w:themeColor="accent5"/>
            </w:tcBorders>
          </w:tcPr>
          <w:p w14:paraId="673F04CF"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szCs w:val="16"/>
              </w:rPr>
              <w:t>–</w:t>
            </w:r>
          </w:p>
        </w:tc>
      </w:tr>
      <w:tr w:rsidR="008A4372" w:rsidRPr="005734B8" w14:paraId="63DCE0B0"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1077ED72" w14:textId="77777777"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Due to the cancellation of 2020 NAPLAN, no outcome has been reported in 2020–21.</w:t>
            </w:r>
          </w:p>
        </w:tc>
      </w:tr>
      <w:tr w:rsidR="008A4372" w:rsidRPr="005734B8" w14:paraId="79C94269"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2BA4BB92"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Percentage of students in the top two bands for reading in Year 3 (NAPLAN testing)</w:t>
            </w:r>
          </w:p>
        </w:tc>
        <w:tc>
          <w:tcPr>
            <w:tcW w:w="1216" w:type="dxa"/>
            <w:tcBorders>
              <w:top w:val="single" w:sz="4" w:space="0" w:color="53565A" w:themeColor="accent5"/>
              <w:bottom w:val="single" w:sz="4" w:space="0" w:color="53565A" w:themeColor="accent5"/>
            </w:tcBorders>
            <w:shd w:val="clear" w:color="auto" w:fill="auto"/>
          </w:tcPr>
          <w:p w14:paraId="69BC9EA3"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 cent</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041EC1D0"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w:t>
            </w:r>
          </w:p>
        </w:tc>
        <w:tc>
          <w:tcPr>
            <w:tcW w:w="1304" w:type="dxa"/>
            <w:tcBorders>
              <w:top w:val="single" w:sz="4" w:space="0" w:color="53565A" w:themeColor="accent5"/>
              <w:bottom w:val="single" w:sz="4" w:space="0" w:color="53565A" w:themeColor="accent5"/>
            </w:tcBorders>
            <w:shd w:val="clear" w:color="auto" w:fill="FFFFFF" w:themeFill="background1"/>
          </w:tcPr>
          <w:p w14:paraId="2AFDFFF0"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60.7</w:t>
            </w:r>
          </w:p>
        </w:tc>
        <w:tc>
          <w:tcPr>
            <w:tcW w:w="1723" w:type="dxa"/>
            <w:gridSpan w:val="2"/>
            <w:tcBorders>
              <w:top w:val="single" w:sz="4" w:space="0" w:color="53565A" w:themeColor="accent5"/>
              <w:bottom w:val="single" w:sz="4" w:space="0" w:color="53565A" w:themeColor="accent5"/>
            </w:tcBorders>
          </w:tcPr>
          <w:p w14:paraId="6D505694"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rPr>
              <w:t>–</w:t>
            </w:r>
          </w:p>
        </w:tc>
        <w:tc>
          <w:tcPr>
            <w:tcW w:w="972" w:type="dxa"/>
            <w:gridSpan w:val="2"/>
            <w:tcBorders>
              <w:top w:val="single" w:sz="4" w:space="0" w:color="53565A" w:themeColor="accent5"/>
              <w:bottom w:val="single" w:sz="4" w:space="0" w:color="53565A" w:themeColor="accent5"/>
            </w:tcBorders>
          </w:tcPr>
          <w:p w14:paraId="3E16550A"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szCs w:val="16"/>
              </w:rPr>
              <w:t>–</w:t>
            </w:r>
          </w:p>
        </w:tc>
      </w:tr>
      <w:tr w:rsidR="008A4372" w:rsidRPr="005734B8" w14:paraId="2B6DA34A"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3905B7EC" w14:textId="77777777"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Due to the cancellation of 2020 NAPLAN, no outcome has been reported in 2020–21.</w:t>
            </w:r>
          </w:p>
        </w:tc>
      </w:tr>
      <w:tr w:rsidR="008A4372" w:rsidRPr="005734B8" w14:paraId="480D6427"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281E1D75"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Percentage of students in the top two bands for reading in Year 5 (NAPLAN testing)</w:t>
            </w:r>
          </w:p>
        </w:tc>
        <w:tc>
          <w:tcPr>
            <w:tcW w:w="1216" w:type="dxa"/>
            <w:tcBorders>
              <w:top w:val="single" w:sz="4" w:space="0" w:color="53565A" w:themeColor="accent5"/>
              <w:bottom w:val="single" w:sz="4" w:space="0" w:color="53565A" w:themeColor="accent5"/>
            </w:tcBorders>
            <w:shd w:val="clear" w:color="auto" w:fill="auto"/>
          </w:tcPr>
          <w:p w14:paraId="265CE799"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 cent</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552DA71B"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w:t>
            </w:r>
          </w:p>
        </w:tc>
        <w:tc>
          <w:tcPr>
            <w:tcW w:w="1304" w:type="dxa"/>
            <w:tcBorders>
              <w:top w:val="single" w:sz="4" w:space="0" w:color="53565A" w:themeColor="accent5"/>
              <w:bottom w:val="single" w:sz="4" w:space="0" w:color="53565A" w:themeColor="accent5"/>
            </w:tcBorders>
            <w:shd w:val="clear" w:color="auto" w:fill="FFFFFF" w:themeFill="background1"/>
          </w:tcPr>
          <w:p w14:paraId="53709E6F"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45.1</w:t>
            </w:r>
          </w:p>
        </w:tc>
        <w:tc>
          <w:tcPr>
            <w:tcW w:w="1723" w:type="dxa"/>
            <w:gridSpan w:val="2"/>
            <w:tcBorders>
              <w:top w:val="single" w:sz="4" w:space="0" w:color="53565A" w:themeColor="accent5"/>
              <w:bottom w:val="single" w:sz="4" w:space="0" w:color="53565A" w:themeColor="accent5"/>
            </w:tcBorders>
          </w:tcPr>
          <w:p w14:paraId="227AEA2F"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rPr>
              <w:t>–</w:t>
            </w:r>
          </w:p>
        </w:tc>
        <w:tc>
          <w:tcPr>
            <w:tcW w:w="972" w:type="dxa"/>
            <w:gridSpan w:val="2"/>
            <w:tcBorders>
              <w:top w:val="single" w:sz="4" w:space="0" w:color="53565A" w:themeColor="accent5"/>
              <w:bottom w:val="single" w:sz="4" w:space="0" w:color="53565A" w:themeColor="accent5"/>
            </w:tcBorders>
          </w:tcPr>
          <w:p w14:paraId="6076C917"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szCs w:val="16"/>
              </w:rPr>
              <w:t>–</w:t>
            </w:r>
          </w:p>
        </w:tc>
      </w:tr>
      <w:tr w:rsidR="008A4372" w:rsidRPr="005734B8" w14:paraId="471FDD78"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44C7FC1E" w14:textId="77777777" w:rsidR="008A4372" w:rsidRPr="005734B8" w:rsidRDefault="008A4372" w:rsidP="000C192E">
            <w:pPr>
              <w:pStyle w:val="ESTableBody0"/>
              <w:spacing w:before="120" w:after="120"/>
              <w:rPr>
                <w:rFonts w:ascii="Calibri" w:hAnsi="Calibri" w:cs="Calibri"/>
                <w:i/>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Due to the cancellation of 2020 NAPLAN, no outcome has been reported in 2020–21.</w:t>
            </w:r>
          </w:p>
        </w:tc>
      </w:tr>
      <w:tr w:rsidR="008A4372" w:rsidRPr="005734B8" w14:paraId="39B3BE5F"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2C8024E1"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Years 5–6 students’ opinion of their connectedness with the school</w:t>
            </w:r>
          </w:p>
        </w:tc>
        <w:tc>
          <w:tcPr>
            <w:tcW w:w="1216" w:type="dxa"/>
            <w:tcBorders>
              <w:top w:val="single" w:sz="4" w:space="0" w:color="53565A" w:themeColor="accent5"/>
              <w:bottom w:val="single" w:sz="4" w:space="0" w:color="53565A" w:themeColor="accent5"/>
            </w:tcBorders>
            <w:shd w:val="clear" w:color="auto" w:fill="auto"/>
          </w:tcPr>
          <w:p w14:paraId="4B138EE0"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5-point scale</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485CF79F"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4.1</w:t>
            </w:r>
          </w:p>
        </w:tc>
        <w:tc>
          <w:tcPr>
            <w:tcW w:w="1304" w:type="dxa"/>
            <w:tcBorders>
              <w:top w:val="single" w:sz="4" w:space="0" w:color="53565A" w:themeColor="accent5"/>
              <w:bottom w:val="single" w:sz="4" w:space="0" w:color="53565A" w:themeColor="accent5"/>
            </w:tcBorders>
            <w:shd w:val="clear" w:color="auto" w:fill="FFFFFF" w:themeFill="background1"/>
          </w:tcPr>
          <w:p w14:paraId="31947D35"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4.4</w:t>
            </w:r>
          </w:p>
        </w:tc>
        <w:tc>
          <w:tcPr>
            <w:tcW w:w="1723" w:type="dxa"/>
            <w:gridSpan w:val="2"/>
            <w:tcBorders>
              <w:top w:val="single" w:sz="4" w:space="0" w:color="53565A" w:themeColor="accent5"/>
              <w:bottom w:val="single" w:sz="4" w:space="0" w:color="53565A" w:themeColor="accent5"/>
            </w:tcBorders>
          </w:tcPr>
          <w:p w14:paraId="28942A0E"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rPr>
              <w:t>–</w:t>
            </w:r>
            <w:r w:rsidRPr="005734B8">
              <w:rPr>
                <w:rFonts w:ascii="Calibri" w:hAnsi="Calibri" w:cs="Calibri"/>
                <w:sz w:val="18"/>
                <w:szCs w:val="16"/>
                <w:lang w:val="en-AU"/>
              </w:rPr>
              <w:t>6.8</w:t>
            </w:r>
          </w:p>
        </w:tc>
        <w:tc>
          <w:tcPr>
            <w:tcW w:w="972" w:type="dxa"/>
            <w:gridSpan w:val="2"/>
            <w:tcBorders>
              <w:top w:val="single" w:sz="4" w:space="0" w:color="53565A" w:themeColor="accent5"/>
              <w:bottom w:val="single" w:sz="4" w:space="0" w:color="53565A" w:themeColor="accent5"/>
            </w:tcBorders>
          </w:tcPr>
          <w:p w14:paraId="571E1FB8"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sym w:font="Wingdings" w:char="F06E"/>
            </w:r>
          </w:p>
        </w:tc>
      </w:tr>
      <w:tr w:rsidR="008A4372" w:rsidRPr="005734B8" w14:paraId="3917C2D9"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3F9B04E6" w14:textId="7B53D607" w:rsidR="008A4372" w:rsidRPr="005734B8" w:rsidRDefault="008A4372" w:rsidP="000C192E">
            <w:pPr>
              <w:pStyle w:val="ESTableBody0"/>
              <w:spacing w:before="120" w:after="120"/>
              <w:rPr>
                <w:rFonts w:ascii="Calibri" w:hAnsi="Calibri" w:cs="Calibri"/>
                <w:i/>
                <w:color w:val="FF0000"/>
                <w:szCs w:val="20"/>
                <w:lang w:val="en-AU"/>
              </w:rPr>
            </w:pPr>
            <w:r w:rsidRPr="005734B8">
              <w:rPr>
                <w:rFonts w:ascii="Calibri" w:hAnsi="Calibri" w:cs="Calibri"/>
                <w:i/>
                <w:szCs w:val="20"/>
              </w:rPr>
              <w:t xml:space="preserve">The above performance measure </w:t>
            </w:r>
            <w:r w:rsidRPr="005734B8">
              <w:rPr>
                <w:rFonts w:ascii="Calibri" w:hAnsi="Calibri" w:cs="Calibri"/>
                <w:i/>
                <w:szCs w:val="20"/>
                <w:lang w:val="en-AU"/>
              </w:rPr>
              <w:t>relates to the calendar year and refers to government schools only. The 2020–21 outcome is lower than</w:t>
            </w:r>
            <w:r w:rsidR="00B72FBC" w:rsidRPr="005734B8">
              <w:rPr>
                <w:rFonts w:ascii="Calibri" w:hAnsi="Calibri" w:cs="Calibri"/>
                <w:i/>
                <w:szCs w:val="20"/>
                <w:lang w:val="en-AU"/>
              </w:rPr>
              <w:t xml:space="preserve"> the</w:t>
            </w:r>
            <w:r w:rsidRPr="005734B8">
              <w:rPr>
                <w:rFonts w:ascii="Calibri" w:hAnsi="Calibri" w:cs="Calibri"/>
                <w:i/>
                <w:szCs w:val="20"/>
                <w:lang w:val="en-AU"/>
              </w:rPr>
              <w:t xml:space="preserve"> target, likely due to the impact of changes to survey timing and structure to account for remote learning. This</w:t>
            </w:r>
            <w:r w:rsidR="00B72FBC" w:rsidRPr="005734B8">
              <w:rPr>
                <w:rFonts w:ascii="Calibri" w:hAnsi="Calibri" w:cs="Calibri"/>
                <w:i/>
                <w:szCs w:val="20"/>
                <w:lang w:val="en-AU"/>
              </w:rPr>
              <w:t>,</w:t>
            </w:r>
            <w:r w:rsidRPr="005734B8">
              <w:rPr>
                <w:rFonts w:ascii="Calibri" w:hAnsi="Calibri" w:cs="Calibri"/>
                <w:i/>
                <w:szCs w:val="20"/>
                <w:lang w:val="en-AU"/>
              </w:rPr>
              <w:t xml:space="preserve"> combined with the lower response rate in 2020 has reduced the comparability of results.</w:t>
            </w:r>
          </w:p>
        </w:tc>
      </w:tr>
      <w:tr w:rsidR="008A4372" w:rsidRPr="005734B8" w14:paraId="4638924E"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5F9AC9C2"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rPr>
              <w:t>Proportion of identified schools that subsequently improved their performance</w:t>
            </w:r>
          </w:p>
        </w:tc>
        <w:tc>
          <w:tcPr>
            <w:tcW w:w="1216" w:type="dxa"/>
            <w:tcBorders>
              <w:top w:val="single" w:sz="4" w:space="0" w:color="53565A" w:themeColor="accent5"/>
              <w:bottom w:val="single" w:sz="4" w:space="0" w:color="53565A" w:themeColor="accent5"/>
            </w:tcBorders>
            <w:shd w:val="clear" w:color="auto" w:fill="auto"/>
          </w:tcPr>
          <w:p w14:paraId="503B09E4"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 cent</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03F757AF"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w:t>
            </w:r>
          </w:p>
        </w:tc>
        <w:tc>
          <w:tcPr>
            <w:tcW w:w="1304" w:type="dxa"/>
            <w:tcBorders>
              <w:top w:val="single" w:sz="4" w:space="0" w:color="53565A" w:themeColor="accent5"/>
              <w:bottom w:val="single" w:sz="4" w:space="0" w:color="53565A" w:themeColor="accent5"/>
            </w:tcBorders>
            <w:shd w:val="clear" w:color="auto" w:fill="FFFFFF" w:themeFill="background1"/>
          </w:tcPr>
          <w:p w14:paraId="42EB7E9C"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60.0</w:t>
            </w:r>
          </w:p>
        </w:tc>
        <w:tc>
          <w:tcPr>
            <w:tcW w:w="1723" w:type="dxa"/>
            <w:gridSpan w:val="2"/>
            <w:tcBorders>
              <w:top w:val="single" w:sz="4" w:space="0" w:color="53565A" w:themeColor="accent5"/>
              <w:bottom w:val="single" w:sz="4" w:space="0" w:color="53565A" w:themeColor="accent5"/>
            </w:tcBorders>
          </w:tcPr>
          <w:p w14:paraId="5F64FCB0" w14:textId="77777777" w:rsidR="008A4372" w:rsidRPr="005734B8" w:rsidRDefault="008A4372" w:rsidP="000C192E">
            <w:pPr>
              <w:pStyle w:val="ESTablenumberrightaligned"/>
              <w:rPr>
                <w:rFonts w:ascii="Calibri" w:hAnsi="Calibri" w:cs="Calibri"/>
                <w:sz w:val="18"/>
                <w:szCs w:val="16"/>
                <w:lang w:val="en-AU"/>
              </w:rPr>
            </w:pPr>
            <w:r w:rsidRPr="005734B8">
              <w:rPr>
                <w:rFonts w:ascii="Calibri" w:hAnsi="Calibri" w:cs="Calibri"/>
                <w:sz w:val="18"/>
                <w:szCs w:val="16"/>
              </w:rPr>
              <w:t>–</w:t>
            </w:r>
          </w:p>
        </w:tc>
        <w:tc>
          <w:tcPr>
            <w:tcW w:w="972" w:type="dxa"/>
            <w:gridSpan w:val="2"/>
            <w:tcBorders>
              <w:top w:val="single" w:sz="4" w:space="0" w:color="53565A" w:themeColor="accent5"/>
              <w:bottom w:val="single" w:sz="4" w:space="0" w:color="53565A" w:themeColor="accent5"/>
            </w:tcBorders>
          </w:tcPr>
          <w:p w14:paraId="403ED9DC"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szCs w:val="16"/>
              </w:rPr>
              <w:t>–</w:t>
            </w:r>
          </w:p>
        </w:tc>
      </w:tr>
      <w:tr w:rsidR="008A4372" w:rsidRPr="005734B8" w14:paraId="6CD386D3"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03519BD2" w14:textId="77777777" w:rsidR="008A4372" w:rsidRPr="005734B8" w:rsidRDefault="008A4372" w:rsidP="000C192E">
            <w:pPr>
              <w:pStyle w:val="ESTablenumberrightaligned"/>
              <w:jc w:val="left"/>
              <w:rPr>
                <w:rFonts w:ascii="Calibri" w:hAnsi="Calibri" w:cs="Calibri"/>
                <w:i/>
                <w:iCs/>
                <w:color w:val="FF0000"/>
                <w:sz w:val="16"/>
                <w:szCs w:val="16"/>
                <w:lang w:val="en-AU"/>
              </w:rPr>
            </w:pPr>
            <w:r w:rsidRPr="005734B8">
              <w:rPr>
                <w:rFonts w:ascii="Calibri" w:hAnsi="Calibri" w:cs="Calibri"/>
                <w:i/>
                <w:sz w:val="16"/>
                <w:szCs w:val="20"/>
              </w:rPr>
              <w:t xml:space="preserve">The above performance measure </w:t>
            </w:r>
            <w:r w:rsidRPr="005734B8">
              <w:rPr>
                <w:rFonts w:ascii="Calibri" w:hAnsi="Calibri" w:cs="Calibri"/>
                <w:i/>
                <w:sz w:val="16"/>
                <w:szCs w:val="16"/>
                <w:lang w:val="en-AU"/>
              </w:rPr>
              <w:t>relates to the calendar year and refers to government schools only. Due to the cancellation of 2020 NAPLAN, no outcome has been reported in 2020</w:t>
            </w:r>
            <w:r w:rsidRPr="005734B8">
              <w:rPr>
                <w:rFonts w:ascii="Calibri" w:hAnsi="Calibri" w:cs="Calibri"/>
                <w:i/>
                <w:iCs/>
                <w:sz w:val="16"/>
                <w:szCs w:val="16"/>
                <w:lang w:val="en-AU"/>
              </w:rPr>
              <w:t>–</w:t>
            </w:r>
            <w:r w:rsidRPr="005734B8">
              <w:rPr>
                <w:rFonts w:ascii="Calibri" w:hAnsi="Calibri" w:cs="Calibri"/>
                <w:i/>
                <w:sz w:val="16"/>
                <w:szCs w:val="16"/>
                <w:lang w:val="en-AU"/>
              </w:rPr>
              <w:t>21.</w:t>
            </w:r>
          </w:p>
        </w:tc>
      </w:tr>
      <w:tr w:rsidR="00AE5F0E" w:rsidRPr="005734B8" w14:paraId="6902281D" w14:textId="77777777" w:rsidTr="00AE5F0E">
        <w:trPr>
          <w:cantSplit/>
        </w:trPr>
        <w:tc>
          <w:tcPr>
            <w:tcW w:w="9010" w:type="dxa"/>
            <w:gridSpan w:val="10"/>
            <w:tcBorders>
              <w:top w:val="single" w:sz="4" w:space="0" w:color="53565A" w:themeColor="accent5"/>
              <w:bottom w:val="nil"/>
            </w:tcBorders>
            <w:shd w:val="clear" w:color="auto" w:fill="auto"/>
          </w:tcPr>
          <w:p w14:paraId="616CD61F" w14:textId="77777777" w:rsidR="00AE5F0E" w:rsidRPr="005734B8" w:rsidRDefault="00AE5F0E" w:rsidP="000C192E">
            <w:pPr>
              <w:pStyle w:val="ESTablenumberrightaligned"/>
              <w:jc w:val="left"/>
              <w:rPr>
                <w:rFonts w:ascii="Calibri" w:hAnsi="Calibri" w:cs="Calibri"/>
                <w:i/>
                <w:sz w:val="16"/>
                <w:szCs w:val="20"/>
              </w:rPr>
            </w:pPr>
          </w:p>
          <w:p w14:paraId="4886734D" w14:textId="275F4A5D" w:rsidR="002818E4" w:rsidRPr="005734B8" w:rsidRDefault="002818E4" w:rsidP="000C192E">
            <w:pPr>
              <w:pStyle w:val="ESTablenumberrightaligned"/>
              <w:jc w:val="left"/>
              <w:rPr>
                <w:rFonts w:ascii="Calibri" w:hAnsi="Calibri" w:cs="Calibri"/>
                <w:i/>
                <w:sz w:val="16"/>
                <w:szCs w:val="20"/>
              </w:rPr>
            </w:pPr>
          </w:p>
        </w:tc>
      </w:tr>
      <w:tr w:rsidR="008A4372" w:rsidRPr="005734B8" w14:paraId="57A9B861" w14:textId="77777777" w:rsidTr="00AE5F0E">
        <w:trPr>
          <w:cantSplit/>
        </w:trPr>
        <w:tc>
          <w:tcPr>
            <w:tcW w:w="2673" w:type="dxa"/>
            <w:gridSpan w:val="2"/>
            <w:tcBorders>
              <w:top w:val="nil"/>
              <w:bottom w:val="single" w:sz="4" w:space="0" w:color="53565A" w:themeColor="accent5"/>
            </w:tcBorders>
            <w:shd w:val="clear" w:color="auto" w:fill="auto"/>
          </w:tcPr>
          <w:p w14:paraId="09E84E0F" w14:textId="77777777" w:rsidR="008A4372" w:rsidRPr="005734B8" w:rsidRDefault="008A4372" w:rsidP="000C192E">
            <w:pPr>
              <w:pStyle w:val="ESTablebody"/>
              <w:rPr>
                <w:rFonts w:ascii="Calibri" w:hAnsi="Calibri" w:cs="Calibri"/>
                <w:sz w:val="18"/>
                <w:highlight w:val="yellow"/>
              </w:rPr>
            </w:pPr>
            <w:r w:rsidRPr="005734B8">
              <w:rPr>
                <w:rFonts w:ascii="Calibri" w:hAnsi="Calibri" w:cs="Calibri"/>
                <w:sz w:val="18"/>
              </w:rPr>
              <w:lastRenderedPageBreak/>
              <w:t>Proportion of participants rating (at or above ‘significant’) the impact of the Bastow Institute of Educational Leadership’s professional learning on their own development and practice</w:t>
            </w:r>
          </w:p>
        </w:tc>
        <w:tc>
          <w:tcPr>
            <w:tcW w:w="1216" w:type="dxa"/>
            <w:tcBorders>
              <w:top w:val="nil"/>
              <w:bottom w:val="single" w:sz="4" w:space="0" w:color="53565A" w:themeColor="accent5"/>
            </w:tcBorders>
            <w:shd w:val="clear" w:color="auto" w:fill="auto"/>
          </w:tcPr>
          <w:p w14:paraId="3007542A"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 cent</w:t>
            </w:r>
          </w:p>
        </w:tc>
        <w:tc>
          <w:tcPr>
            <w:tcW w:w="1122" w:type="dxa"/>
            <w:gridSpan w:val="2"/>
            <w:tcBorders>
              <w:top w:val="nil"/>
              <w:bottom w:val="single" w:sz="4" w:space="0" w:color="53565A" w:themeColor="accent5"/>
            </w:tcBorders>
            <w:shd w:val="clear" w:color="auto" w:fill="D9D9D6" w:themeFill="accent1"/>
          </w:tcPr>
          <w:p w14:paraId="2434AA5F"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93.0</w:t>
            </w:r>
          </w:p>
        </w:tc>
        <w:tc>
          <w:tcPr>
            <w:tcW w:w="1304" w:type="dxa"/>
            <w:tcBorders>
              <w:top w:val="nil"/>
              <w:bottom w:val="single" w:sz="4" w:space="0" w:color="53565A" w:themeColor="accent5"/>
            </w:tcBorders>
            <w:shd w:val="clear" w:color="auto" w:fill="FFFFFF" w:themeFill="background1"/>
          </w:tcPr>
          <w:p w14:paraId="1378D38F"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78.0</w:t>
            </w:r>
          </w:p>
        </w:tc>
        <w:tc>
          <w:tcPr>
            <w:tcW w:w="1723" w:type="dxa"/>
            <w:gridSpan w:val="2"/>
            <w:tcBorders>
              <w:top w:val="nil"/>
              <w:bottom w:val="single" w:sz="4" w:space="0" w:color="53565A" w:themeColor="accent5"/>
            </w:tcBorders>
          </w:tcPr>
          <w:p w14:paraId="1D58CEA5"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19.2</w:t>
            </w:r>
          </w:p>
        </w:tc>
        <w:tc>
          <w:tcPr>
            <w:tcW w:w="972" w:type="dxa"/>
            <w:gridSpan w:val="2"/>
            <w:tcBorders>
              <w:top w:val="nil"/>
              <w:bottom w:val="single" w:sz="4" w:space="0" w:color="53565A" w:themeColor="accent5"/>
            </w:tcBorders>
          </w:tcPr>
          <w:p w14:paraId="72FC6488"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sym w:font="Wingdings" w:char="F0FC"/>
            </w:r>
          </w:p>
        </w:tc>
      </w:tr>
      <w:tr w:rsidR="008A4372" w:rsidRPr="005734B8" w14:paraId="70B99E4F"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25134E90" w14:textId="77777777" w:rsidR="008A4372" w:rsidRPr="005734B8" w:rsidRDefault="008A4372" w:rsidP="000C192E">
            <w:pPr>
              <w:pStyle w:val="ESTablenumberrightaligned"/>
              <w:jc w:val="left"/>
              <w:rPr>
                <w:rFonts w:ascii="Calibri" w:hAnsi="Calibri" w:cs="Calibri"/>
                <w:i/>
                <w:iCs/>
                <w:color w:val="FF0000"/>
                <w:sz w:val="16"/>
                <w:szCs w:val="16"/>
                <w:lang w:val="en-AU"/>
              </w:rPr>
            </w:pPr>
            <w:r w:rsidRPr="005734B8">
              <w:rPr>
                <w:rFonts w:ascii="Calibri" w:hAnsi="Calibri" w:cs="Calibri"/>
                <w:i/>
                <w:sz w:val="16"/>
                <w:szCs w:val="20"/>
              </w:rPr>
              <w:t xml:space="preserve">The above performance measure </w:t>
            </w:r>
            <w:r w:rsidRPr="005734B8">
              <w:rPr>
                <w:rFonts w:ascii="Calibri" w:hAnsi="Calibri" w:cs="Calibri"/>
                <w:i/>
                <w:sz w:val="16"/>
                <w:szCs w:val="16"/>
                <w:lang w:val="en-AU"/>
              </w:rPr>
              <w:t>relates to the calendar year. The 2020</w:t>
            </w:r>
            <w:r w:rsidRPr="005734B8">
              <w:rPr>
                <w:rFonts w:ascii="Calibri" w:hAnsi="Calibri" w:cs="Calibri"/>
                <w:i/>
                <w:iCs/>
                <w:sz w:val="16"/>
                <w:szCs w:val="16"/>
                <w:lang w:val="en-AU"/>
              </w:rPr>
              <w:t>–</w:t>
            </w:r>
            <w:r w:rsidRPr="005734B8">
              <w:rPr>
                <w:rFonts w:ascii="Calibri" w:hAnsi="Calibri" w:cs="Calibri"/>
                <w:i/>
                <w:sz w:val="16"/>
                <w:szCs w:val="16"/>
                <w:lang w:val="en-AU"/>
              </w:rPr>
              <w:t>21 outcome is higher than the target due to the continued strong quality and effectiveness of Bastow programs, and indicates the maintenance of the quality approach in selection and transition of programs to online as Bastow responded to the COVID-19</w:t>
            </w:r>
            <w:r w:rsidRPr="005734B8">
              <w:rPr>
                <w:rFonts w:ascii="Calibri" w:hAnsi="Calibri" w:cs="Calibri"/>
                <w:i/>
                <w:iCs/>
                <w:sz w:val="16"/>
                <w:szCs w:val="16"/>
                <w:lang w:val="en-AU"/>
              </w:rPr>
              <w:t xml:space="preserve"> pandemic</w:t>
            </w:r>
            <w:r w:rsidRPr="005734B8">
              <w:rPr>
                <w:rFonts w:ascii="Calibri" w:hAnsi="Calibri" w:cs="Calibri"/>
                <w:i/>
                <w:sz w:val="16"/>
                <w:szCs w:val="16"/>
                <w:lang w:val="en-AU"/>
              </w:rPr>
              <w:t>. This represents an update of the 2020–21 outcome from 78 per cent as published in State Budget Paper 3.</w:t>
            </w:r>
          </w:p>
        </w:tc>
      </w:tr>
      <w:tr w:rsidR="008A4372" w:rsidRPr="005734B8" w14:paraId="75AF7DD8"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1BFB3F27" w14:textId="77777777" w:rsidR="008A4372" w:rsidRPr="005734B8" w:rsidRDefault="008A4372" w:rsidP="000C192E">
            <w:pPr>
              <w:pStyle w:val="ESTablebody"/>
              <w:rPr>
                <w:rFonts w:ascii="Calibri" w:hAnsi="Calibri" w:cs="Calibri"/>
                <w:sz w:val="18"/>
                <w:highlight w:val="yellow"/>
              </w:rPr>
            </w:pPr>
            <w:r w:rsidRPr="005734B8">
              <w:rPr>
                <w:rFonts w:ascii="Calibri" w:hAnsi="Calibri" w:cs="Calibri"/>
                <w:sz w:val="18"/>
              </w:rPr>
              <w:t>Proportion of participants who are satisfied with the Bastow Institute of Educational Leadership’s professional learning and development training’</w:t>
            </w:r>
          </w:p>
        </w:tc>
        <w:tc>
          <w:tcPr>
            <w:tcW w:w="1216" w:type="dxa"/>
            <w:tcBorders>
              <w:top w:val="single" w:sz="4" w:space="0" w:color="53565A" w:themeColor="accent5"/>
              <w:bottom w:val="single" w:sz="4" w:space="0" w:color="53565A" w:themeColor="accent5"/>
            </w:tcBorders>
            <w:shd w:val="clear" w:color="auto" w:fill="auto"/>
          </w:tcPr>
          <w:p w14:paraId="10B277CA"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per cent</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29AA31D6"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90.0</w:t>
            </w:r>
          </w:p>
        </w:tc>
        <w:tc>
          <w:tcPr>
            <w:tcW w:w="1304" w:type="dxa"/>
            <w:tcBorders>
              <w:top w:val="single" w:sz="4" w:space="0" w:color="53565A" w:themeColor="accent5"/>
              <w:bottom w:val="single" w:sz="4" w:space="0" w:color="53565A" w:themeColor="accent5"/>
            </w:tcBorders>
            <w:shd w:val="clear" w:color="auto" w:fill="FFFFFF" w:themeFill="background1"/>
          </w:tcPr>
          <w:p w14:paraId="0146B417"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82.0</w:t>
            </w:r>
          </w:p>
        </w:tc>
        <w:tc>
          <w:tcPr>
            <w:tcW w:w="1723" w:type="dxa"/>
            <w:gridSpan w:val="2"/>
            <w:tcBorders>
              <w:top w:val="single" w:sz="4" w:space="0" w:color="53565A" w:themeColor="accent5"/>
              <w:bottom w:val="single" w:sz="4" w:space="0" w:color="53565A" w:themeColor="accent5"/>
            </w:tcBorders>
          </w:tcPr>
          <w:p w14:paraId="10778590" w14:textId="77777777" w:rsidR="008A4372" w:rsidRPr="005734B8" w:rsidRDefault="008A4372" w:rsidP="000C192E">
            <w:pPr>
              <w:pStyle w:val="ESTablenumberrightaligned"/>
              <w:rPr>
                <w:rFonts w:ascii="Calibri" w:hAnsi="Calibri" w:cs="Calibri"/>
                <w:sz w:val="18"/>
                <w:szCs w:val="16"/>
              </w:rPr>
            </w:pPr>
            <w:r w:rsidRPr="005734B8">
              <w:rPr>
                <w:rFonts w:ascii="Calibri" w:hAnsi="Calibri" w:cs="Calibri"/>
                <w:sz w:val="18"/>
                <w:szCs w:val="16"/>
              </w:rPr>
              <w:t>9.8</w:t>
            </w:r>
          </w:p>
        </w:tc>
        <w:tc>
          <w:tcPr>
            <w:tcW w:w="972" w:type="dxa"/>
            <w:gridSpan w:val="2"/>
            <w:tcBorders>
              <w:top w:val="single" w:sz="4" w:space="0" w:color="53565A" w:themeColor="accent5"/>
              <w:bottom w:val="single" w:sz="4" w:space="0" w:color="53565A" w:themeColor="accent5"/>
            </w:tcBorders>
          </w:tcPr>
          <w:p w14:paraId="544BA96C" w14:textId="77777777" w:rsidR="008A4372" w:rsidRPr="005734B8" w:rsidRDefault="008A4372" w:rsidP="000C192E">
            <w:pPr>
              <w:pStyle w:val="ESTablenumberrightaligned"/>
              <w:rPr>
                <w:rFonts w:ascii="Calibri" w:hAnsi="Calibri" w:cs="Calibri"/>
                <w:sz w:val="18"/>
                <w:lang w:val="en-AU"/>
              </w:rPr>
            </w:pPr>
            <w:r w:rsidRPr="005734B8">
              <w:rPr>
                <w:rFonts w:ascii="Calibri" w:hAnsi="Calibri" w:cs="Calibri"/>
                <w:sz w:val="18"/>
                <w:lang w:val="en-AU"/>
              </w:rPr>
              <w:sym w:font="Wingdings" w:char="F0FC"/>
            </w:r>
          </w:p>
        </w:tc>
      </w:tr>
      <w:tr w:rsidR="008A4372" w:rsidRPr="005734B8" w14:paraId="6CE7A2FD"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687BB550" w14:textId="77777777" w:rsidR="008A4372" w:rsidRPr="005734B8" w:rsidRDefault="008A4372" w:rsidP="000C192E">
            <w:pPr>
              <w:pStyle w:val="ESTablenumberrightaligned"/>
              <w:jc w:val="left"/>
              <w:rPr>
                <w:rFonts w:ascii="Calibri" w:hAnsi="Calibri" w:cs="Calibri"/>
                <w:i/>
                <w:color w:val="FF0000"/>
                <w:sz w:val="16"/>
                <w:szCs w:val="20"/>
              </w:rPr>
            </w:pPr>
            <w:r w:rsidRPr="005734B8">
              <w:rPr>
                <w:rFonts w:ascii="Calibri" w:hAnsi="Calibri" w:cs="Calibri"/>
                <w:i/>
                <w:sz w:val="16"/>
                <w:szCs w:val="20"/>
              </w:rPr>
              <w:t xml:space="preserve">The above performance measure relates to the calendar year. </w:t>
            </w:r>
            <w:r w:rsidRPr="005734B8">
              <w:rPr>
                <w:rFonts w:ascii="Calibri" w:hAnsi="Calibri" w:cs="Calibri"/>
                <w:i/>
                <w:sz w:val="16"/>
                <w:szCs w:val="16"/>
                <w:lang w:val="en-AU"/>
              </w:rPr>
              <w:t>The 2020</w:t>
            </w:r>
            <w:r w:rsidRPr="005734B8">
              <w:rPr>
                <w:rFonts w:ascii="Calibri" w:hAnsi="Calibri" w:cs="Calibri"/>
                <w:i/>
                <w:iCs/>
                <w:sz w:val="16"/>
                <w:szCs w:val="16"/>
                <w:lang w:val="en-AU"/>
              </w:rPr>
              <w:t>–</w:t>
            </w:r>
            <w:r w:rsidRPr="005734B8">
              <w:rPr>
                <w:rFonts w:ascii="Calibri" w:hAnsi="Calibri" w:cs="Calibri"/>
                <w:i/>
                <w:sz w:val="16"/>
                <w:szCs w:val="16"/>
                <w:lang w:val="en-AU"/>
              </w:rPr>
              <w:t>21 outcome is higher than the target due to the continued strong quality and effectiveness of Bastow programs, and indicates the maintenance of the quality approach in selection and transition of programs to online as Bastow responded to the COVID-19</w:t>
            </w:r>
            <w:r w:rsidRPr="005734B8">
              <w:rPr>
                <w:rFonts w:ascii="Calibri" w:hAnsi="Calibri" w:cs="Calibri"/>
                <w:i/>
                <w:iCs/>
                <w:sz w:val="16"/>
                <w:szCs w:val="16"/>
                <w:lang w:val="en-AU"/>
              </w:rPr>
              <w:t xml:space="preserve"> pandemic</w:t>
            </w:r>
            <w:r w:rsidRPr="005734B8">
              <w:rPr>
                <w:rFonts w:ascii="Calibri" w:hAnsi="Calibri" w:cs="Calibri"/>
                <w:i/>
                <w:sz w:val="16"/>
                <w:szCs w:val="16"/>
                <w:lang w:val="en-AU"/>
              </w:rPr>
              <w:t xml:space="preserve">. This </w:t>
            </w:r>
            <w:r w:rsidRPr="005734B8">
              <w:rPr>
                <w:rFonts w:ascii="Calibri" w:hAnsi="Calibri" w:cs="Calibri"/>
                <w:i/>
                <w:sz w:val="16"/>
                <w:szCs w:val="20"/>
              </w:rPr>
              <w:t>represents an update of the 2020–21 outcome from 82 per cent as published in State Budget Paper 3.</w:t>
            </w:r>
          </w:p>
        </w:tc>
      </w:tr>
      <w:tr w:rsidR="008A4372" w:rsidRPr="005734B8" w14:paraId="6BDE9436"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53565A" w:themeFill="accent5"/>
          </w:tcPr>
          <w:p w14:paraId="0D64B774" w14:textId="77777777" w:rsidR="008A4372" w:rsidRPr="005734B8" w:rsidRDefault="008A4372" w:rsidP="000C192E">
            <w:pPr>
              <w:pStyle w:val="T1"/>
              <w:rPr>
                <w:rFonts w:ascii="Calibri" w:hAnsi="Calibri" w:cs="Calibri"/>
                <w:sz w:val="18"/>
              </w:rPr>
            </w:pPr>
            <w:r w:rsidRPr="005734B8">
              <w:rPr>
                <w:rFonts w:ascii="Calibri" w:hAnsi="Calibri" w:cs="Calibri"/>
                <w:sz w:val="18"/>
              </w:rPr>
              <w:t>Cost</w:t>
            </w:r>
          </w:p>
        </w:tc>
      </w:tr>
      <w:tr w:rsidR="008A4372" w:rsidRPr="005734B8" w14:paraId="41C83CB5" w14:textId="77777777" w:rsidTr="000C192E">
        <w:trPr>
          <w:cantSplit/>
        </w:trPr>
        <w:tc>
          <w:tcPr>
            <w:tcW w:w="2673" w:type="dxa"/>
            <w:gridSpan w:val="2"/>
            <w:tcBorders>
              <w:top w:val="single" w:sz="4" w:space="0" w:color="53565A" w:themeColor="accent5"/>
              <w:bottom w:val="single" w:sz="4" w:space="0" w:color="53565A" w:themeColor="accent5"/>
            </w:tcBorders>
            <w:shd w:val="clear" w:color="auto" w:fill="auto"/>
          </w:tcPr>
          <w:p w14:paraId="54E8C8DD" w14:textId="6E73E466"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Total output cost</w:t>
            </w:r>
          </w:p>
        </w:tc>
        <w:tc>
          <w:tcPr>
            <w:tcW w:w="1216" w:type="dxa"/>
            <w:tcBorders>
              <w:top w:val="single" w:sz="4" w:space="0" w:color="53565A" w:themeColor="accent5"/>
              <w:bottom w:val="single" w:sz="4" w:space="0" w:color="53565A" w:themeColor="accent5"/>
            </w:tcBorders>
            <w:shd w:val="clear" w:color="auto" w:fill="auto"/>
          </w:tcPr>
          <w:p w14:paraId="016E99D6" w14:textId="77777777" w:rsidR="008A4372" w:rsidRPr="005734B8" w:rsidRDefault="008A4372" w:rsidP="000C192E">
            <w:pPr>
              <w:pStyle w:val="ESTablebody"/>
              <w:rPr>
                <w:rFonts w:ascii="Calibri" w:hAnsi="Calibri" w:cs="Calibri"/>
                <w:sz w:val="18"/>
                <w:lang w:val="en-AU"/>
              </w:rPr>
            </w:pPr>
            <w:r w:rsidRPr="005734B8">
              <w:rPr>
                <w:rFonts w:ascii="Calibri" w:hAnsi="Calibri" w:cs="Calibri"/>
                <w:sz w:val="18"/>
                <w:lang w:val="en-AU"/>
              </w:rPr>
              <w:t>$ million</w:t>
            </w:r>
          </w:p>
        </w:tc>
        <w:tc>
          <w:tcPr>
            <w:tcW w:w="1122" w:type="dxa"/>
            <w:gridSpan w:val="2"/>
            <w:tcBorders>
              <w:top w:val="single" w:sz="4" w:space="0" w:color="53565A" w:themeColor="accent5"/>
              <w:bottom w:val="single" w:sz="4" w:space="0" w:color="53565A" w:themeColor="accent5"/>
            </w:tcBorders>
            <w:shd w:val="clear" w:color="auto" w:fill="D9D9D6" w:themeFill="accent1"/>
          </w:tcPr>
          <w:p w14:paraId="0B10482A" w14:textId="10214518" w:rsidR="008A4372" w:rsidRPr="005734B8" w:rsidRDefault="008A4372" w:rsidP="000C192E">
            <w:pPr>
              <w:pStyle w:val="ESTablenumberrightaligned"/>
              <w:rPr>
                <w:rFonts w:ascii="Calibri" w:hAnsi="Calibri" w:cs="Calibri"/>
                <w:sz w:val="18"/>
              </w:rPr>
            </w:pPr>
            <w:r w:rsidRPr="005734B8">
              <w:rPr>
                <w:rFonts w:ascii="Calibri" w:hAnsi="Calibri" w:cs="Calibri"/>
                <w:sz w:val="18"/>
              </w:rPr>
              <w:t>6,</w:t>
            </w:r>
            <w:r w:rsidR="008B4075" w:rsidRPr="005734B8">
              <w:rPr>
                <w:rFonts w:ascii="Calibri" w:hAnsi="Calibri" w:cs="Calibri"/>
                <w:sz w:val="18"/>
              </w:rPr>
              <w:t>392</w:t>
            </w:r>
            <w:r w:rsidRPr="005734B8">
              <w:rPr>
                <w:rFonts w:ascii="Calibri" w:hAnsi="Calibri" w:cs="Calibri"/>
                <w:sz w:val="18"/>
              </w:rPr>
              <w:t>.9</w:t>
            </w:r>
          </w:p>
        </w:tc>
        <w:tc>
          <w:tcPr>
            <w:tcW w:w="1304" w:type="dxa"/>
            <w:tcBorders>
              <w:top w:val="single" w:sz="4" w:space="0" w:color="53565A" w:themeColor="accent5"/>
              <w:bottom w:val="single" w:sz="4" w:space="0" w:color="53565A" w:themeColor="accent5"/>
            </w:tcBorders>
            <w:shd w:val="clear" w:color="auto" w:fill="FFFFFF" w:themeFill="background1"/>
          </w:tcPr>
          <w:p w14:paraId="0AAD2730" w14:textId="77777777" w:rsidR="008A4372" w:rsidRPr="005734B8" w:rsidRDefault="008A4372" w:rsidP="000C192E">
            <w:pPr>
              <w:pStyle w:val="ESTablenumberrightaligned"/>
              <w:rPr>
                <w:rFonts w:ascii="Calibri" w:hAnsi="Calibri" w:cs="Calibri"/>
                <w:sz w:val="18"/>
              </w:rPr>
            </w:pPr>
            <w:r w:rsidRPr="005734B8">
              <w:rPr>
                <w:rFonts w:ascii="Calibri" w:hAnsi="Calibri" w:cs="Calibri"/>
                <w:sz w:val="18"/>
              </w:rPr>
              <w:t>6,431.3</w:t>
            </w:r>
          </w:p>
        </w:tc>
        <w:tc>
          <w:tcPr>
            <w:tcW w:w="1723" w:type="dxa"/>
            <w:gridSpan w:val="2"/>
            <w:tcBorders>
              <w:top w:val="single" w:sz="4" w:space="0" w:color="53565A" w:themeColor="accent5"/>
              <w:bottom w:val="single" w:sz="4" w:space="0" w:color="53565A" w:themeColor="accent5"/>
            </w:tcBorders>
          </w:tcPr>
          <w:p w14:paraId="2FC516B2" w14:textId="64778B7B" w:rsidR="008A4372" w:rsidRPr="005734B8" w:rsidRDefault="008B4075" w:rsidP="000C192E">
            <w:pPr>
              <w:pStyle w:val="ESTablenumberrightaligned"/>
              <w:rPr>
                <w:rFonts w:ascii="Calibri" w:hAnsi="Calibri" w:cs="Calibri"/>
                <w:sz w:val="18"/>
                <w:lang w:val="en-AU"/>
              </w:rPr>
            </w:pPr>
            <w:r w:rsidRPr="005734B8">
              <w:rPr>
                <w:rFonts w:ascii="Calibri" w:hAnsi="Calibri" w:cs="Calibri"/>
                <w:sz w:val="18"/>
                <w:lang w:val="en-AU"/>
              </w:rPr>
              <w:t>-</w:t>
            </w:r>
            <w:r w:rsidR="008A4372" w:rsidRPr="005734B8">
              <w:rPr>
                <w:rFonts w:ascii="Calibri" w:hAnsi="Calibri" w:cs="Calibri"/>
                <w:sz w:val="18"/>
                <w:lang w:val="en-AU"/>
              </w:rPr>
              <w:t>0.</w:t>
            </w:r>
            <w:r w:rsidRPr="005734B8">
              <w:rPr>
                <w:rFonts w:ascii="Calibri" w:hAnsi="Calibri" w:cs="Calibri"/>
                <w:sz w:val="18"/>
                <w:lang w:val="en-AU"/>
              </w:rPr>
              <w:t>6</w:t>
            </w:r>
          </w:p>
        </w:tc>
        <w:tc>
          <w:tcPr>
            <w:tcW w:w="972" w:type="dxa"/>
            <w:gridSpan w:val="2"/>
            <w:tcBorders>
              <w:top w:val="single" w:sz="4" w:space="0" w:color="53565A" w:themeColor="accent5"/>
              <w:bottom w:val="single" w:sz="4" w:space="0" w:color="53565A" w:themeColor="accent5"/>
            </w:tcBorders>
          </w:tcPr>
          <w:p w14:paraId="370479FA" w14:textId="56633F30" w:rsidR="008A4372" w:rsidRPr="005734B8" w:rsidRDefault="00676CDA" w:rsidP="000C192E">
            <w:pPr>
              <w:pStyle w:val="ESTablenumberrightaligned"/>
              <w:rPr>
                <w:rFonts w:ascii="Calibri" w:hAnsi="Calibri" w:cs="Calibri"/>
                <w:sz w:val="18"/>
                <w:lang w:val="en-AU"/>
              </w:rPr>
            </w:pPr>
            <w:r w:rsidRPr="005734B8">
              <w:rPr>
                <w:rFonts w:ascii="Calibri" w:hAnsi="Calibri" w:cs="Calibri"/>
                <w:sz w:val="18"/>
                <w:lang w:val="en-AU"/>
              </w:rPr>
              <w:sym w:font="Wingdings" w:char="F0FC"/>
            </w:r>
          </w:p>
        </w:tc>
      </w:tr>
      <w:tr w:rsidR="008A4372" w:rsidRPr="005734B8" w14:paraId="23B825B3" w14:textId="77777777" w:rsidTr="000C192E">
        <w:trPr>
          <w:cantSplit/>
        </w:trPr>
        <w:tc>
          <w:tcPr>
            <w:tcW w:w="9010" w:type="dxa"/>
            <w:gridSpan w:val="10"/>
            <w:tcBorders>
              <w:top w:val="single" w:sz="4" w:space="0" w:color="53565A" w:themeColor="accent5"/>
              <w:bottom w:val="single" w:sz="4" w:space="0" w:color="53565A" w:themeColor="accent5"/>
            </w:tcBorders>
            <w:shd w:val="clear" w:color="auto" w:fill="auto"/>
          </w:tcPr>
          <w:p w14:paraId="39CDB57C" w14:textId="4F11394A" w:rsidR="008A4372" w:rsidRPr="005734B8" w:rsidRDefault="008B4075" w:rsidP="000C192E">
            <w:pPr>
              <w:pStyle w:val="ESTableBody0"/>
              <w:spacing w:before="120" w:after="120"/>
              <w:rPr>
                <w:rFonts w:ascii="Calibri" w:hAnsi="Calibri" w:cs="Calibri"/>
                <w:i/>
                <w:color w:val="FF0000"/>
                <w:szCs w:val="20"/>
                <w:lang w:val="en-AU"/>
              </w:rPr>
            </w:pPr>
            <w:r w:rsidRPr="005734B8">
              <w:rPr>
                <w:rFonts w:ascii="Calibri" w:hAnsi="Calibri" w:cs="Calibri"/>
                <w:i/>
                <w:szCs w:val="20"/>
              </w:rPr>
              <w:t>No footnote required.</w:t>
            </w:r>
          </w:p>
        </w:tc>
      </w:tr>
      <w:tr w:rsidR="008A4372" w:rsidRPr="005734B8" w14:paraId="6B0172E1" w14:textId="77777777" w:rsidTr="000C192E">
        <w:trPr>
          <w:cantSplit/>
        </w:trPr>
        <w:tc>
          <w:tcPr>
            <w:tcW w:w="1096" w:type="dxa"/>
            <w:tcBorders>
              <w:top w:val="single" w:sz="4" w:space="0" w:color="53565A" w:themeColor="accent5"/>
              <w:bottom w:val="single" w:sz="4" w:space="0" w:color="53565A" w:themeColor="accent5"/>
            </w:tcBorders>
            <w:shd w:val="clear" w:color="auto" w:fill="auto"/>
          </w:tcPr>
          <w:p w14:paraId="6A8AFAB9" w14:textId="77777777" w:rsidR="008A4372" w:rsidRPr="005734B8" w:rsidRDefault="008A4372" w:rsidP="000C192E">
            <w:pPr>
              <w:pStyle w:val="ESTablenumberrightaligned"/>
              <w:jc w:val="left"/>
              <w:rPr>
                <w:rFonts w:ascii="Calibri" w:hAnsi="Calibri" w:cs="Calibri"/>
                <w:sz w:val="18"/>
              </w:rPr>
            </w:pPr>
            <w:r w:rsidRPr="005734B8">
              <w:rPr>
                <w:rFonts w:ascii="Calibri" w:hAnsi="Calibri" w:cs="Calibri"/>
                <w:sz w:val="18"/>
                <w:lang w:val="en-AU"/>
              </w:rPr>
              <w:t>Key:</w:t>
            </w:r>
          </w:p>
        </w:tc>
        <w:tc>
          <w:tcPr>
            <w:tcW w:w="3320" w:type="dxa"/>
            <w:gridSpan w:val="3"/>
            <w:tcBorders>
              <w:top w:val="single" w:sz="4" w:space="0" w:color="53565A" w:themeColor="accent5"/>
              <w:bottom w:val="single" w:sz="4" w:space="0" w:color="53565A" w:themeColor="accent5"/>
            </w:tcBorders>
            <w:shd w:val="clear" w:color="auto" w:fill="auto"/>
          </w:tcPr>
          <w:p w14:paraId="70C17BF9" w14:textId="77777777" w:rsidR="008A4372" w:rsidRPr="005734B8" w:rsidRDefault="008A4372" w:rsidP="000C192E">
            <w:pPr>
              <w:pStyle w:val="ESTablenumberrightaligned"/>
              <w:rPr>
                <w:rFonts w:ascii="Calibri" w:hAnsi="Calibri" w:cs="Calibri"/>
                <w:sz w:val="18"/>
              </w:rPr>
            </w:pPr>
            <w:r w:rsidRPr="005734B8">
              <w:rPr>
                <w:rFonts w:ascii="Calibri" w:hAnsi="Calibri" w:cs="Calibri"/>
                <w:sz w:val="18"/>
                <w:lang w:val="en-AU"/>
              </w:rPr>
              <w:sym w:font="Wingdings" w:char="F0FC"/>
            </w:r>
            <w:r w:rsidRPr="005734B8">
              <w:rPr>
                <w:rFonts w:ascii="Calibri" w:hAnsi="Calibri" w:cs="Calibri"/>
                <w:sz w:val="18"/>
                <w:lang w:val="en-AU"/>
              </w:rPr>
              <w:t xml:space="preserve"> Target achieved or exceeded</w:t>
            </w:r>
          </w:p>
        </w:tc>
        <w:tc>
          <w:tcPr>
            <w:tcW w:w="2222" w:type="dxa"/>
            <w:gridSpan w:val="3"/>
            <w:tcBorders>
              <w:top w:val="single" w:sz="4" w:space="0" w:color="53565A" w:themeColor="accent5"/>
              <w:bottom w:val="single" w:sz="4" w:space="0" w:color="53565A" w:themeColor="accent5"/>
            </w:tcBorders>
            <w:shd w:val="clear" w:color="auto" w:fill="auto"/>
          </w:tcPr>
          <w:p w14:paraId="49BDE775" w14:textId="77777777" w:rsidR="008A4372" w:rsidRPr="005734B8" w:rsidRDefault="008A4372" w:rsidP="000C192E">
            <w:pPr>
              <w:pStyle w:val="ESTablenumberrightaligned"/>
              <w:rPr>
                <w:rFonts w:ascii="Calibri" w:hAnsi="Calibri" w:cs="Calibri"/>
                <w:sz w:val="18"/>
              </w:rPr>
            </w:pPr>
            <w:r w:rsidRPr="005734B8">
              <w:rPr>
                <w:rFonts w:ascii="Calibri" w:hAnsi="Calibri" w:cs="Calibri"/>
                <w:sz w:val="18"/>
                <w:lang w:val="en-AU"/>
              </w:rPr>
              <w:sym w:font="Wingdings" w:char="F0A1"/>
            </w:r>
            <w:r w:rsidRPr="005734B8">
              <w:rPr>
                <w:rFonts w:ascii="Calibri" w:hAnsi="Calibri" w:cs="Calibri"/>
                <w:sz w:val="18"/>
                <w:lang w:val="en-AU"/>
              </w:rPr>
              <w:t xml:space="preserve"> Target not achieved — less than 5% variance</w:t>
            </w:r>
          </w:p>
        </w:tc>
        <w:tc>
          <w:tcPr>
            <w:tcW w:w="2372" w:type="dxa"/>
            <w:gridSpan w:val="3"/>
            <w:tcBorders>
              <w:top w:val="single" w:sz="4" w:space="0" w:color="53565A" w:themeColor="accent5"/>
              <w:bottom w:val="single" w:sz="4" w:space="0" w:color="53565A" w:themeColor="accent5"/>
            </w:tcBorders>
            <w:shd w:val="clear" w:color="auto" w:fill="auto"/>
          </w:tcPr>
          <w:p w14:paraId="156551D7" w14:textId="18E51738" w:rsidR="008A4372" w:rsidRPr="005734B8" w:rsidRDefault="008A4372" w:rsidP="000C192E">
            <w:pPr>
              <w:pStyle w:val="ESTablenumberrightaligned"/>
              <w:rPr>
                <w:rFonts w:ascii="Calibri" w:hAnsi="Calibri" w:cs="Calibri"/>
                <w:sz w:val="18"/>
              </w:rPr>
            </w:pPr>
            <w:r w:rsidRPr="005734B8">
              <w:rPr>
                <w:rFonts w:ascii="Calibri" w:hAnsi="Calibri" w:cs="Calibri"/>
                <w:sz w:val="18"/>
                <w:lang w:val="en-AU"/>
              </w:rPr>
              <w:sym w:font="Wingdings" w:char="F06E"/>
            </w:r>
            <w:r w:rsidRPr="005734B8">
              <w:rPr>
                <w:rFonts w:ascii="Calibri" w:hAnsi="Calibri" w:cs="Calibri"/>
                <w:sz w:val="18"/>
                <w:lang w:val="en-AU"/>
              </w:rPr>
              <w:t xml:space="preserve"> Target not achieved — more than 5% variance</w:t>
            </w:r>
          </w:p>
        </w:tc>
      </w:tr>
    </w:tbl>
    <w:p w14:paraId="4FBE4785" w14:textId="77777777" w:rsidR="000C192E" w:rsidRPr="005734B8" w:rsidRDefault="000C192E" w:rsidP="000C192E">
      <w:pPr>
        <w:pStyle w:val="ESHeading4"/>
        <w:ind w:left="0" w:firstLine="0"/>
        <w:rPr>
          <w:rFonts w:ascii="Calibri" w:hAnsi="Calibri" w:cs="Calibri"/>
        </w:rPr>
      </w:pPr>
      <w:bookmarkStart w:id="193" w:name="_Hlk78211715"/>
      <w:bookmarkEnd w:id="185"/>
      <w:bookmarkEnd w:id="186"/>
      <w:bookmarkEnd w:id="187"/>
      <w:bookmarkEnd w:id="188"/>
      <w:bookmarkEnd w:id="189"/>
      <w:bookmarkEnd w:id="190"/>
      <w:r w:rsidRPr="005734B8">
        <w:rPr>
          <w:rFonts w:ascii="Calibri" w:hAnsi="Calibri" w:cs="Calibri"/>
        </w:rPr>
        <w:t xml:space="preserve">School education—secondary </w:t>
      </w:r>
    </w:p>
    <w:p w14:paraId="51CA933B" w14:textId="2DBB889F" w:rsidR="000C192E" w:rsidRPr="005734B8" w:rsidRDefault="000C192E" w:rsidP="000C192E">
      <w:pPr>
        <w:rPr>
          <w:rFonts w:ascii="Calibri" w:hAnsi="Calibri" w:cs="Calibri"/>
          <w:strike/>
        </w:rPr>
      </w:pPr>
      <w:r w:rsidRPr="005734B8">
        <w:rPr>
          <w:rFonts w:ascii="Calibri" w:hAnsi="Calibri" w:cs="Calibri"/>
        </w:rPr>
        <w:t>The School Education</w:t>
      </w:r>
      <w:r w:rsidR="001F208B" w:rsidRPr="005734B8">
        <w:rPr>
          <w:rFonts w:ascii="Calibri" w:hAnsi="Calibri" w:cs="Calibri"/>
        </w:rPr>
        <w:t>—</w:t>
      </w:r>
      <w:r w:rsidRPr="005734B8">
        <w:rPr>
          <w:rFonts w:ascii="Calibri" w:hAnsi="Calibri" w:cs="Calibri"/>
        </w:rPr>
        <w:t xml:space="preserve">Secondary output involves provision of education and support services designed to improve student learning, development and wellbeing in Years 7 to 12 in government and non-government schools. These seek to consolidate literacy and numeracy competencies including creative and critical thinking, as well as physical, social, emotional and intellectual development in adolescence. It also covers the provision of services to improve pathways to further education, training and employment. </w:t>
      </w:r>
    </w:p>
    <w:bookmarkEnd w:id="193"/>
    <w:p w14:paraId="35D9269A" w14:textId="70048392" w:rsidR="001A39B9" w:rsidRPr="005734B8" w:rsidRDefault="001A39B9" w:rsidP="001A39B9">
      <w:pPr>
        <w:pStyle w:val="ESTableintroheading"/>
        <w:keepNext w:val="0"/>
        <w:rPr>
          <w:rFonts w:ascii="Calibri" w:hAnsi="Calibri" w:cs="Calibri"/>
          <w:lang w:val="en-AU"/>
        </w:rPr>
      </w:pPr>
      <w:r w:rsidRPr="005734B8">
        <w:rPr>
          <w:rFonts w:ascii="Calibri" w:hAnsi="Calibri" w:cs="Calibri"/>
          <w:lang w:val="en-AU"/>
        </w:rPr>
        <w:t>School education</w:t>
      </w:r>
      <w:r w:rsidR="00D21F99" w:rsidRPr="005734B8">
        <w:rPr>
          <w:rFonts w:ascii="Calibri" w:hAnsi="Calibri" w:cs="Calibri"/>
        </w:rPr>
        <w:t>—</w:t>
      </w:r>
      <w:r w:rsidRPr="005734B8">
        <w:rPr>
          <w:rFonts w:ascii="Calibri" w:hAnsi="Calibri" w:cs="Calibri"/>
          <w:lang w:val="en-AU"/>
        </w:rPr>
        <w:t>secondary performance measures</w:t>
      </w:r>
    </w:p>
    <w:tbl>
      <w:tblPr>
        <w:tblStyle w:val="TableGrid4"/>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85"/>
        <w:gridCol w:w="1135"/>
        <w:gridCol w:w="1114"/>
        <w:gridCol w:w="1338"/>
        <w:gridCol w:w="1631"/>
        <w:gridCol w:w="907"/>
      </w:tblGrid>
      <w:tr w:rsidR="00686CE7" w:rsidRPr="005734B8" w14:paraId="1C91674B" w14:textId="77777777" w:rsidTr="008D4B4A">
        <w:trPr>
          <w:cantSplit/>
          <w:trHeight w:val="242"/>
          <w:tblHeader/>
        </w:trPr>
        <w:tc>
          <w:tcPr>
            <w:tcW w:w="2885" w:type="dxa"/>
            <w:tcBorders>
              <w:bottom w:val="single" w:sz="4" w:space="0" w:color="FFFFFF" w:themeColor="background1"/>
            </w:tcBorders>
            <w:shd w:val="clear" w:color="auto" w:fill="AF272F" w:themeFill="accent4"/>
          </w:tcPr>
          <w:p w14:paraId="49C0C5F7" w14:textId="77777777" w:rsidR="00686CE7" w:rsidRPr="005734B8" w:rsidRDefault="00686CE7" w:rsidP="000E6F40">
            <w:pPr>
              <w:spacing w:before="80" w:after="80"/>
              <w:rPr>
                <w:rFonts w:ascii="Calibri" w:eastAsiaTheme="minorEastAsia" w:hAnsi="Calibri" w:cs="Calibri"/>
                <w:b/>
                <w:color w:val="FFFFFF" w:themeColor="background1"/>
                <w:sz w:val="19"/>
                <w:szCs w:val="18"/>
                <w:lang w:val="en-US"/>
              </w:rPr>
            </w:pPr>
            <w:bookmarkStart w:id="194" w:name="_Toc11158168"/>
            <w:bookmarkStart w:id="195" w:name="_Toc11336175"/>
            <w:bookmarkStart w:id="196" w:name="_Toc14965398"/>
            <w:bookmarkStart w:id="197" w:name="_Toc19271977"/>
            <w:bookmarkStart w:id="198" w:name="_Toc19272343"/>
            <w:bookmarkStart w:id="199" w:name="_Toc19273678"/>
            <w:bookmarkStart w:id="200" w:name="_Toc39835766"/>
            <w:r w:rsidRPr="005734B8">
              <w:rPr>
                <w:rFonts w:ascii="Calibri" w:eastAsiaTheme="minorEastAsia" w:hAnsi="Calibri" w:cs="Calibri"/>
                <w:b/>
                <w:color w:val="FFFFFF" w:themeColor="background1"/>
                <w:sz w:val="19"/>
                <w:szCs w:val="18"/>
                <w:lang w:val="en-US"/>
              </w:rPr>
              <w:t>Performance measures</w:t>
            </w:r>
          </w:p>
        </w:tc>
        <w:tc>
          <w:tcPr>
            <w:tcW w:w="1135" w:type="dxa"/>
            <w:tcBorders>
              <w:bottom w:val="single" w:sz="4" w:space="0" w:color="FFFFFF" w:themeColor="background1"/>
            </w:tcBorders>
            <w:shd w:val="clear" w:color="auto" w:fill="AF272F" w:themeFill="accent4"/>
          </w:tcPr>
          <w:p w14:paraId="03776DAD" w14:textId="77777777" w:rsidR="00686CE7" w:rsidRPr="005734B8" w:rsidRDefault="00686CE7" w:rsidP="000E6F40">
            <w:pPr>
              <w:spacing w:before="80" w:after="80"/>
              <w:rPr>
                <w:rFonts w:ascii="Calibri" w:eastAsiaTheme="minorEastAsia" w:hAnsi="Calibri" w:cs="Calibri"/>
                <w:b/>
                <w:color w:val="FFFFFF" w:themeColor="background1"/>
                <w:sz w:val="19"/>
                <w:szCs w:val="18"/>
                <w:lang w:val="en-US"/>
              </w:rPr>
            </w:pPr>
            <w:r w:rsidRPr="005734B8">
              <w:rPr>
                <w:rFonts w:ascii="Calibri" w:eastAsiaTheme="minorEastAsia" w:hAnsi="Calibri" w:cs="Calibri"/>
                <w:b/>
                <w:color w:val="FFFFFF" w:themeColor="background1"/>
                <w:sz w:val="19"/>
                <w:szCs w:val="18"/>
                <w:lang w:val="en-US"/>
              </w:rPr>
              <w:t>Unit of measure</w:t>
            </w:r>
          </w:p>
        </w:tc>
        <w:tc>
          <w:tcPr>
            <w:tcW w:w="1114" w:type="dxa"/>
            <w:tcBorders>
              <w:bottom w:val="single" w:sz="4" w:space="0" w:color="FFFFFF" w:themeColor="background1"/>
            </w:tcBorders>
            <w:shd w:val="clear" w:color="auto" w:fill="AF272F" w:themeFill="accent4"/>
          </w:tcPr>
          <w:p w14:paraId="17B72A44" w14:textId="77777777" w:rsidR="00686CE7" w:rsidRPr="005734B8" w:rsidRDefault="00686CE7" w:rsidP="000E6F40">
            <w:pPr>
              <w:spacing w:before="80" w:after="80"/>
              <w:jc w:val="right"/>
              <w:rPr>
                <w:rFonts w:ascii="Calibri" w:eastAsiaTheme="minorEastAsia" w:hAnsi="Calibri" w:cs="Calibri"/>
                <w:b/>
                <w:color w:val="FFFFFF" w:themeColor="background1"/>
                <w:sz w:val="19"/>
                <w:szCs w:val="18"/>
                <w:lang w:val="en-US"/>
              </w:rPr>
            </w:pPr>
            <w:r w:rsidRPr="005734B8">
              <w:rPr>
                <w:rFonts w:ascii="Calibri" w:hAnsi="Calibri" w:cs="Calibri"/>
                <w:b/>
                <w:color w:val="FFFFFF" w:themeColor="background1"/>
                <w:sz w:val="18"/>
                <w:szCs w:val="18"/>
              </w:rPr>
              <w:t>2020–21 actual</w:t>
            </w:r>
          </w:p>
        </w:tc>
        <w:tc>
          <w:tcPr>
            <w:tcW w:w="1338" w:type="dxa"/>
            <w:tcBorders>
              <w:bottom w:val="single" w:sz="4" w:space="0" w:color="FFFFFF" w:themeColor="background1"/>
            </w:tcBorders>
            <w:shd w:val="clear" w:color="auto" w:fill="AF272F"/>
          </w:tcPr>
          <w:p w14:paraId="68DD30D1" w14:textId="77777777" w:rsidR="00686CE7" w:rsidRPr="005734B8" w:rsidRDefault="00686CE7" w:rsidP="000E6F40">
            <w:pPr>
              <w:spacing w:before="80" w:after="80"/>
              <w:jc w:val="right"/>
              <w:rPr>
                <w:rFonts w:ascii="Calibri" w:eastAsiaTheme="minorEastAsia" w:hAnsi="Calibri" w:cs="Calibri"/>
                <w:b/>
                <w:color w:val="FFFFFF" w:themeColor="background1"/>
                <w:sz w:val="19"/>
                <w:szCs w:val="18"/>
                <w:lang w:val="en-US"/>
              </w:rPr>
            </w:pPr>
            <w:r w:rsidRPr="005734B8">
              <w:rPr>
                <w:rFonts w:ascii="Calibri" w:hAnsi="Calibri" w:cs="Calibri"/>
                <w:b/>
                <w:color w:val="FFFFFF" w:themeColor="background1"/>
                <w:sz w:val="18"/>
                <w:szCs w:val="18"/>
              </w:rPr>
              <w:t>2020–21 target</w:t>
            </w:r>
          </w:p>
        </w:tc>
        <w:tc>
          <w:tcPr>
            <w:tcW w:w="1631" w:type="dxa"/>
            <w:tcBorders>
              <w:bottom w:val="single" w:sz="4" w:space="0" w:color="FFFFFF" w:themeColor="background1"/>
            </w:tcBorders>
            <w:shd w:val="clear" w:color="auto" w:fill="AF272F" w:themeFill="accent4"/>
          </w:tcPr>
          <w:p w14:paraId="08A6B206" w14:textId="77777777" w:rsidR="00686CE7" w:rsidRPr="005734B8" w:rsidRDefault="00686CE7" w:rsidP="000E6F40">
            <w:pPr>
              <w:spacing w:before="80" w:after="80"/>
              <w:jc w:val="right"/>
              <w:rPr>
                <w:rFonts w:ascii="Calibri" w:eastAsiaTheme="minorEastAsia" w:hAnsi="Calibri" w:cs="Calibri"/>
                <w:b/>
                <w:color w:val="FFFFFF" w:themeColor="background1"/>
                <w:sz w:val="19"/>
                <w:szCs w:val="18"/>
                <w:lang w:val="en-US"/>
              </w:rPr>
            </w:pPr>
            <w:r w:rsidRPr="005734B8">
              <w:rPr>
                <w:rFonts w:ascii="Calibri" w:hAnsi="Calibri" w:cs="Calibri"/>
                <w:b/>
                <w:color w:val="FFFFFF" w:themeColor="background1"/>
                <w:sz w:val="18"/>
                <w:szCs w:val="18"/>
              </w:rPr>
              <w:t>Performance variation (%)</w:t>
            </w:r>
          </w:p>
        </w:tc>
        <w:tc>
          <w:tcPr>
            <w:tcW w:w="907" w:type="dxa"/>
            <w:tcBorders>
              <w:bottom w:val="single" w:sz="4" w:space="0" w:color="FFFFFF" w:themeColor="background1"/>
            </w:tcBorders>
            <w:shd w:val="clear" w:color="auto" w:fill="AF272F" w:themeFill="accent4"/>
          </w:tcPr>
          <w:p w14:paraId="7E083976" w14:textId="77777777" w:rsidR="00686CE7" w:rsidRPr="005734B8" w:rsidRDefault="00686CE7" w:rsidP="000E6F40">
            <w:pPr>
              <w:spacing w:before="80" w:after="80"/>
              <w:jc w:val="right"/>
              <w:rPr>
                <w:rFonts w:ascii="Calibri" w:eastAsiaTheme="minorEastAsia" w:hAnsi="Calibri" w:cs="Calibri"/>
                <w:b/>
                <w:color w:val="FFFFFF" w:themeColor="background1"/>
                <w:sz w:val="19"/>
                <w:szCs w:val="18"/>
                <w:lang w:val="en-US"/>
              </w:rPr>
            </w:pPr>
            <w:r w:rsidRPr="005734B8">
              <w:rPr>
                <w:rFonts w:ascii="Calibri" w:hAnsi="Calibri" w:cs="Calibri"/>
                <w:b/>
                <w:color w:val="FFFFFF" w:themeColor="background1"/>
                <w:sz w:val="18"/>
                <w:szCs w:val="18"/>
              </w:rPr>
              <w:t>Result</w:t>
            </w:r>
          </w:p>
        </w:tc>
      </w:tr>
      <w:tr w:rsidR="00686CE7" w:rsidRPr="005734B8" w14:paraId="0C8A7CE3" w14:textId="77777777" w:rsidTr="000E6F40">
        <w:trPr>
          <w:cantSplit/>
        </w:trPr>
        <w:tc>
          <w:tcPr>
            <w:tcW w:w="2885" w:type="dxa"/>
            <w:tcBorders>
              <w:bottom w:val="single" w:sz="4" w:space="0" w:color="53565A" w:themeColor="accent5"/>
            </w:tcBorders>
            <w:shd w:val="clear" w:color="auto" w:fill="53565A" w:themeFill="accent5"/>
          </w:tcPr>
          <w:p w14:paraId="113472CE" w14:textId="77777777" w:rsidR="00686CE7" w:rsidRPr="005734B8" w:rsidRDefault="00686CE7" w:rsidP="000E6F40">
            <w:pPr>
              <w:spacing w:before="120" w:after="120"/>
              <w:rPr>
                <w:rFonts w:ascii="Calibri" w:eastAsiaTheme="minorEastAsia" w:hAnsi="Calibri" w:cs="Calibri"/>
                <w:b/>
                <w:color w:val="FFFFFF" w:themeColor="background1"/>
                <w:sz w:val="18"/>
                <w:szCs w:val="18"/>
                <w:lang w:val="en-US"/>
              </w:rPr>
            </w:pPr>
            <w:r w:rsidRPr="005734B8">
              <w:rPr>
                <w:rFonts w:ascii="Calibri" w:eastAsiaTheme="minorEastAsia" w:hAnsi="Calibri" w:cs="Calibri"/>
                <w:b/>
                <w:color w:val="FFFFFF" w:themeColor="background1"/>
                <w:sz w:val="18"/>
                <w:szCs w:val="18"/>
                <w:lang w:val="en-US"/>
              </w:rPr>
              <w:t>Quantity</w:t>
            </w:r>
          </w:p>
        </w:tc>
        <w:tc>
          <w:tcPr>
            <w:tcW w:w="1135" w:type="dxa"/>
            <w:tcBorders>
              <w:bottom w:val="single" w:sz="4" w:space="0" w:color="53565A" w:themeColor="accent5"/>
            </w:tcBorders>
            <w:shd w:val="clear" w:color="auto" w:fill="53565A" w:themeFill="accent5"/>
          </w:tcPr>
          <w:p w14:paraId="2424F20C" w14:textId="77777777" w:rsidR="00686CE7" w:rsidRPr="005734B8" w:rsidRDefault="00686CE7" w:rsidP="000E6F40">
            <w:pPr>
              <w:spacing w:before="120" w:after="120"/>
              <w:rPr>
                <w:rFonts w:ascii="Calibri" w:eastAsiaTheme="minorEastAsia" w:hAnsi="Calibri" w:cs="Calibri"/>
                <w:sz w:val="18"/>
                <w:szCs w:val="18"/>
                <w:lang w:val="en-US"/>
              </w:rPr>
            </w:pPr>
          </w:p>
        </w:tc>
        <w:tc>
          <w:tcPr>
            <w:tcW w:w="1114" w:type="dxa"/>
            <w:tcBorders>
              <w:bottom w:val="single" w:sz="4" w:space="0" w:color="53565A" w:themeColor="accent5"/>
            </w:tcBorders>
            <w:shd w:val="clear" w:color="auto" w:fill="53565A" w:themeFill="accent5"/>
          </w:tcPr>
          <w:p w14:paraId="38668C74" w14:textId="77777777" w:rsidR="00686CE7" w:rsidRPr="005734B8" w:rsidRDefault="00686CE7" w:rsidP="000E6F40">
            <w:pPr>
              <w:spacing w:before="120" w:after="120"/>
              <w:rPr>
                <w:rFonts w:ascii="Calibri" w:eastAsiaTheme="minorEastAsia" w:hAnsi="Calibri" w:cs="Calibri"/>
                <w:sz w:val="18"/>
                <w:szCs w:val="18"/>
                <w:lang w:val="en-US"/>
              </w:rPr>
            </w:pPr>
          </w:p>
        </w:tc>
        <w:tc>
          <w:tcPr>
            <w:tcW w:w="1338" w:type="dxa"/>
            <w:tcBorders>
              <w:bottom w:val="single" w:sz="4" w:space="0" w:color="53565A" w:themeColor="accent5"/>
            </w:tcBorders>
            <w:shd w:val="clear" w:color="auto" w:fill="53565A" w:themeFill="accent5"/>
          </w:tcPr>
          <w:p w14:paraId="51270CAA" w14:textId="77777777" w:rsidR="00686CE7" w:rsidRPr="005734B8" w:rsidRDefault="00686CE7" w:rsidP="000E6F40">
            <w:pPr>
              <w:spacing w:before="120" w:after="120"/>
              <w:rPr>
                <w:rFonts w:ascii="Calibri" w:eastAsiaTheme="minorEastAsia" w:hAnsi="Calibri" w:cs="Calibri"/>
                <w:sz w:val="18"/>
                <w:szCs w:val="18"/>
                <w:lang w:val="en-US"/>
              </w:rPr>
            </w:pPr>
          </w:p>
        </w:tc>
        <w:tc>
          <w:tcPr>
            <w:tcW w:w="1631" w:type="dxa"/>
            <w:tcBorders>
              <w:bottom w:val="single" w:sz="4" w:space="0" w:color="53565A" w:themeColor="accent5"/>
            </w:tcBorders>
            <w:shd w:val="clear" w:color="auto" w:fill="53565A" w:themeFill="accent5"/>
          </w:tcPr>
          <w:p w14:paraId="621DBD62" w14:textId="77777777" w:rsidR="00686CE7" w:rsidRPr="005734B8" w:rsidRDefault="00686CE7" w:rsidP="000E6F40">
            <w:pPr>
              <w:spacing w:before="120" w:after="120"/>
              <w:rPr>
                <w:rFonts w:ascii="Calibri" w:eastAsiaTheme="minorEastAsia" w:hAnsi="Calibri" w:cs="Calibri"/>
                <w:sz w:val="18"/>
                <w:szCs w:val="18"/>
                <w:lang w:val="en-US"/>
              </w:rPr>
            </w:pPr>
          </w:p>
        </w:tc>
        <w:tc>
          <w:tcPr>
            <w:tcW w:w="907" w:type="dxa"/>
            <w:tcBorders>
              <w:bottom w:val="single" w:sz="4" w:space="0" w:color="53565A" w:themeColor="accent5"/>
            </w:tcBorders>
            <w:shd w:val="clear" w:color="auto" w:fill="53565A" w:themeFill="accent5"/>
          </w:tcPr>
          <w:p w14:paraId="29F73A76" w14:textId="77777777" w:rsidR="00686CE7" w:rsidRPr="005734B8" w:rsidRDefault="00686CE7" w:rsidP="000E6F40">
            <w:pPr>
              <w:spacing w:before="120" w:after="120"/>
              <w:rPr>
                <w:rFonts w:ascii="Calibri" w:eastAsiaTheme="minorEastAsia" w:hAnsi="Calibri" w:cs="Calibri"/>
                <w:sz w:val="18"/>
                <w:szCs w:val="18"/>
                <w:lang w:val="en-US"/>
              </w:rPr>
            </w:pPr>
          </w:p>
        </w:tc>
      </w:tr>
      <w:tr w:rsidR="00686CE7" w:rsidRPr="005734B8" w14:paraId="4C2DE1DC"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37E5D6E6"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Investment in non-government schools (secondary)</w:t>
            </w:r>
          </w:p>
        </w:tc>
        <w:tc>
          <w:tcPr>
            <w:tcW w:w="1135" w:type="dxa"/>
            <w:tcBorders>
              <w:top w:val="single" w:sz="4" w:space="0" w:color="53565A" w:themeColor="accent5"/>
              <w:bottom w:val="single" w:sz="4" w:space="0" w:color="53565A" w:themeColor="accent5"/>
            </w:tcBorders>
            <w:shd w:val="clear" w:color="auto" w:fill="auto"/>
          </w:tcPr>
          <w:p w14:paraId="07720582"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 million</w:t>
            </w:r>
          </w:p>
        </w:tc>
        <w:tc>
          <w:tcPr>
            <w:tcW w:w="1114" w:type="dxa"/>
            <w:tcBorders>
              <w:top w:val="single" w:sz="4" w:space="0" w:color="53565A" w:themeColor="accent5"/>
              <w:bottom w:val="single" w:sz="4" w:space="0" w:color="53565A" w:themeColor="accent5"/>
            </w:tcBorders>
            <w:shd w:val="clear" w:color="auto" w:fill="D9D9D6" w:themeFill="accent1"/>
          </w:tcPr>
          <w:p w14:paraId="3C49F86F" w14:textId="3B80A08C"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49</w:t>
            </w:r>
            <w:r w:rsidR="008B4075" w:rsidRPr="005734B8">
              <w:rPr>
                <w:rFonts w:ascii="Calibri" w:eastAsiaTheme="minorEastAsia" w:hAnsi="Calibri" w:cs="Calibri"/>
                <w:sz w:val="18"/>
                <w:szCs w:val="20"/>
                <w:lang w:val="en-US"/>
              </w:rPr>
              <w:t>0</w:t>
            </w:r>
            <w:r w:rsidRPr="005734B8">
              <w:rPr>
                <w:rFonts w:ascii="Calibri" w:eastAsiaTheme="minorEastAsia" w:hAnsi="Calibri" w:cs="Calibri"/>
                <w:sz w:val="18"/>
                <w:szCs w:val="20"/>
                <w:lang w:val="en-US"/>
              </w:rPr>
              <w:t>.</w:t>
            </w:r>
            <w:r w:rsidR="008B4075" w:rsidRPr="005734B8">
              <w:rPr>
                <w:rFonts w:ascii="Calibri" w:eastAsiaTheme="minorEastAsia" w:hAnsi="Calibri" w:cs="Calibri"/>
                <w:sz w:val="18"/>
                <w:szCs w:val="20"/>
                <w:lang w:val="en-US"/>
              </w:rPr>
              <w:t>2</w:t>
            </w:r>
          </w:p>
        </w:tc>
        <w:tc>
          <w:tcPr>
            <w:tcW w:w="1338" w:type="dxa"/>
            <w:tcBorders>
              <w:top w:val="single" w:sz="4" w:space="0" w:color="53565A" w:themeColor="accent5"/>
              <w:bottom w:val="single" w:sz="4" w:space="0" w:color="53565A" w:themeColor="accent5"/>
            </w:tcBorders>
            <w:shd w:val="clear" w:color="auto" w:fill="FFFFFF" w:themeFill="background1"/>
          </w:tcPr>
          <w:p w14:paraId="7CCC9A9B"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500.5</w:t>
            </w:r>
          </w:p>
        </w:tc>
        <w:tc>
          <w:tcPr>
            <w:tcW w:w="1631" w:type="dxa"/>
            <w:tcBorders>
              <w:top w:val="single" w:sz="4" w:space="0" w:color="53565A" w:themeColor="accent5"/>
              <w:bottom w:val="single" w:sz="4" w:space="0" w:color="53565A" w:themeColor="accent5"/>
            </w:tcBorders>
            <w:shd w:val="clear" w:color="auto" w:fill="auto"/>
          </w:tcPr>
          <w:p w14:paraId="505415CF" w14:textId="4D6DD882" w:rsidR="00686CE7" w:rsidRPr="005734B8" w:rsidRDefault="008B4075"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-2.1</w:t>
            </w:r>
          </w:p>
        </w:tc>
        <w:tc>
          <w:tcPr>
            <w:tcW w:w="907" w:type="dxa"/>
            <w:tcBorders>
              <w:top w:val="single" w:sz="4" w:space="0" w:color="53565A" w:themeColor="accent5"/>
              <w:bottom w:val="single" w:sz="4" w:space="0" w:color="53565A" w:themeColor="accent5"/>
            </w:tcBorders>
          </w:tcPr>
          <w:p w14:paraId="44D57673" w14:textId="3C649EEA" w:rsidR="00686CE7" w:rsidRPr="005734B8" w:rsidRDefault="005F2ED9"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A1"/>
            </w:r>
          </w:p>
        </w:tc>
      </w:tr>
      <w:tr w:rsidR="00686CE7" w:rsidRPr="005734B8" w14:paraId="547671D7"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173E84B9" w14:textId="77777777" w:rsidR="00686CE7" w:rsidRPr="005734B8" w:rsidRDefault="00686CE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No footnote required.</w:t>
            </w:r>
          </w:p>
        </w:tc>
      </w:tr>
      <w:tr w:rsidR="00686CE7" w:rsidRPr="005734B8" w14:paraId="5304AC06"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5EFA2DA1" w14:textId="69426CCF" w:rsidR="00686CE7" w:rsidRPr="005734B8" w:rsidRDefault="00686CE7" w:rsidP="000E6F40">
            <w:pPr>
              <w:spacing w:before="120" w:after="120"/>
              <w:rPr>
                <w:rFonts w:ascii="Calibri" w:eastAsiaTheme="minorEastAsia" w:hAnsi="Calibri" w:cs="Calibri"/>
                <w:sz w:val="18"/>
                <w:szCs w:val="18"/>
                <w:lang w:val="en-US"/>
              </w:rPr>
            </w:pPr>
            <w:bookmarkStart w:id="201" w:name="_Hlk77161208"/>
            <w:r w:rsidRPr="005734B8">
              <w:rPr>
                <w:rFonts w:ascii="Calibri" w:hAnsi="Calibri" w:cs="Calibri"/>
                <w:sz w:val="18"/>
                <w:szCs w:val="18"/>
              </w:rPr>
              <w:t>Number of school students enrolled in VCAL</w:t>
            </w:r>
            <w:bookmarkEnd w:id="201"/>
          </w:p>
        </w:tc>
        <w:tc>
          <w:tcPr>
            <w:tcW w:w="1135" w:type="dxa"/>
            <w:tcBorders>
              <w:top w:val="single" w:sz="4" w:space="0" w:color="53565A" w:themeColor="accent5"/>
              <w:bottom w:val="single" w:sz="4" w:space="0" w:color="53565A" w:themeColor="accent5"/>
            </w:tcBorders>
            <w:shd w:val="clear" w:color="auto" w:fill="auto"/>
          </w:tcPr>
          <w:p w14:paraId="3EB5623D"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number</w:t>
            </w:r>
          </w:p>
        </w:tc>
        <w:tc>
          <w:tcPr>
            <w:tcW w:w="1114" w:type="dxa"/>
            <w:tcBorders>
              <w:top w:val="single" w:sz="4" w:space="0" w:color="53565A" w:themeColor="accent5"/>
              <w:bottom w:val="single" w:sz="4" w:space="0" w:color="53565A" w:themeColor="accent5"/>
            </w:tcBorders>
            <w:shd w:val="clear" w:color="auto" w:fill="D9D9D6" w:themeFill="accent1"/>
          </w:tcPr>
          <w:p w14:paraId="4F869573" w14:textId="77777777" w:rsidR="00686CE7" w:rsidRPr="005734B8" w:rsidRDefault="00686CE7" w:rsidP="000E6F40">
            <w:pPr>
              <w:spacing w:before="120" w:after="120"/>
              <w:jc w:val="right"/>
              <w:rPr>
                <w:rFonts w:ascii="Calibri" w:eastAsiaTheme="minorEastAsia" w:hAnsi="Calibri" w:cs="Calibri"/>
                <w:sz w:val="18"/>
                <w:szCs w:val="20"/>
                <w:lang w:val="en-US"/>
              </w:rPr>
            </w:pPr>
            <w:bookmarkStart w:id="202" w:name="_Hlk77161241"/>
            <w:r w:rsidRPr="005734B8">
              <w:rPr>
                <w:rFonts w:ascii="Calibri" w:eastAsiaTheme="minorEastAsia" w:hAnsi="Calibri" w:cs="Calibri"/>
                <w:sz w:val="18"/>
                <w:szCs w:val="20"/>
                <w:lang w:val="en-US"/>
              </w:rPr>
              <w:t>22,888</w:t>
            </w:r>
            <w:bookmarkEnd w:id="202"/>
          </w:p>
        </w:tc>
        <w:tc>
          <w:tcPr>
            <w:tcW w:w="1338" w:type="dxa"/>
            <w:tcBorders>
              <w:top w:val="single" w:sz="4" w:space="0" w:color="53565A" w:themeColor="accent5"/>
              <w:bottom w:val="single" w:sz="4" w:space="0" w:color="53565A" w:themeColor="accent5"/>
            </w:tcBorders>
            <w:shd w:val="clear" w:color="auto" w:fill="FFFFFF" w:themeFill="background1"/>
          </w:tcPr>
          <w:p w14:paraId="79204E11"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20,600</w:t>
            </w:r>
          </w:p>
        </w:tc>
        <w:tc>
          <w:tcPr>
            <w:tcW w:w="1631" w:type="dxa"/>
            <w:tcBorders>
              <w:top w:val="single" w:sz="4" w:space="0" w:color="53565A" w:themeColor="accent5"/>
              <w:bottom w:val="single" w:sz="4" w:space="0" w:color="53565A" w:themeColor="accent5"/>
            </w:tcBorders>
            <w:shd w:val="clear" w:color="auto" w:fill="auto"/>
          </w:tcPr>
          <w:p w14:paraId="675FD497"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11.1</w:t>
            </w:r>
          </w:p>
        </w:tc>
        <w:tc>
          <w:tcPr>
            <w:tcW w:w="907" w:type="dxa"/>
            <w:tcBorders>
              <w:top w:val="single" w:sz="4" w:space="0" w:color="53565A" w:themeColor="accent5"/>
              <w:bottom w:val="single" w:sz="4" w:space="0" w:color="53565A" w:themeColor="accent5"/>
            </w:tcBorders>
          </w:tcPr>
          <w:p w14:paraId="626B8CC7"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FC"/>
            </w:r>
          </w:p>
        </w:tc>
      </w:tr>
      <w:tr w:rsidR="00686CE7" w:rsidRPr="005734B8" w14:paraId="6E02AB32"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75483413" w14:textId="77777777" w:rsidR="00686CE7" w:rsidRPr="005734B8" w:rsidRDefault="00686CE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lastRenderedPageBreak/>
              <w:t>The above performance measure relates to the calendar year. The 2020–21 outcome is higher than the target due to greater than anticipated demand for the qualification.</w:t>
            </w:r>
          </w:p>
        </w:tc>
      </w:tr>
      <w:tr w:rsidR="00686CE7" w:rsidRPr="005734B8" w14:paraId="5469BAD0"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776E8563"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 xml:space="preserve">Number of school students </w:t>
            </w:r>
            <w:bookmarkStart w:id="203" w:name="_Hlk77161280"/>
            <w:r w:rsidRPr="005734B8">
              <w:rPr>
                <w:rFonts w:ascii="Calibri" w:hAnsi="Calibri" w:cs="Calibri"/>
                <w:sz w:val="18"/>
                <w:szCs w:val="18"/>
              </w:rPr>
              <w:t>participating in accredited vocational programs</w:t>
            </w:r>
            <w:bookmarkEnd w:id="203"/>
          </w:p>
        </w:tc>
        <w:tc>
          <w:tcPr>
            <w:tcW w:w="1135" w:type="dxa"/>
            <w:tcBorders>
              <w:top w:val="single" w:sz="4" w:space="0" w:color="53565A" w:themeColor="accent5"/>
              <w:bottom w:val="single" w:sz="4" w:space="0" w:color="53565A" w:themeColor="accent5"/>
            </w:tcBorders>
            <w:shd w:val="clear" w:color="auto" w:fill="auto"/>
          </w:tcPr>
          <w:p w14:paraId="66001A47"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number</w:t>
            </w:r>
          </w:p>
        </w:tc>
        <w:tc>
          <w:tcPr>
            <w:tcW w:w="1114" w:type="dxa"/>
            <w:tcBorders>
              <w:top w:val="single" w:sz="4" w:space="0" w:color="53565A" w:themeColor="accent5"/>
              <w:bottom w:val="single" w:sz="4" w:space="0" w:color="53565A" w:themeColor="accent5"/>
            </w:tcBorders>
            <w:shd w:val="clear" w:color="auto" w:fill="D9D9D6" w:themeFill="accent1"/>
          </w:tcPr>
          <w:p w14:paraId="2CFD049D" w14:textId="77777777" w:rsidR="00686CE7" w:rsidRPr="005734B8" w:rsidRDefault="00686CE7" w:rsidP="000E6F40">
            <w:pPr>
              <w:spacing w:before="120" w:after="120"/>
              <w:jc w:val="right"/>
              <w:rPr>
                <w:rFonts w:ascii="Calibri" w:eastAsiaTheme="minorEastAsia" w:hAnsi="Calibri" w:cs="Calibri"/>
                <w:sz w:val="18"/>
                <w:szCs w:val="20"/>
                <w:lang w:val="en-US"/>
              </w:rPr>
            </w:pPr>
            <w:bookmarkStart w:id="204" w:name="_Hlk77161263"/>
            <w:r w:rsidRPr="005734B8">
              <w:rPr>
                <w:rFonts w:ascii="Calibri" w:eastAsiaTheme="minorEastAsia" w:hAnsi="Calibri" w:cs="Calibri"/>
                <w:sz w:val="18"/>
                <w:szCs w:val="20"/>
                <w:lang w:val="en-US"/>
              </w:rPr>
              <w:t>48,561</w:t>
            </w:r>
            <w:bookmarkEnd w:id="204"/>
          </w:p>
        </w:tc>
        <w:tc>
          <w:tcPr>
            <w:tcW w:w="1338" w:type="dxa"/>
            <w:tcBorders>
              <w:top w:val="single" w:sz="4" w:space="0" w:color="53565A" w:themeColor="accent5"/>
              <w:bottom w:val="single" w:sz="4" w:space="0" w:color="53565A" w:themeColor="accent5"/>
            </w:tcBorders>
            <w:shd w:val="clear" w:color="auto" w:fill="FFFFFF" w:themeFill="background1"/>
          </w:tcPr>
          <w:p w14:paraId="01A6C751"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48,000</w:t>
            </w:r>
          </w:p>
        </w:tc>
        <w:tc>
          <w:tcPr>
            <w:tcW w:w="1631" w:type="dxa"/>
            <w:tcBorders>
              <w:top w:val="single" w:sz="4" w:space="0" w:color="53565A" w:themeColor="accent5"/>
              <w:bottom w:val="single" w:sz="4" w:space="0" w:color="53565A" w:themeColor="accent5"/>
            </w:tcBorders>
            <w:shd w:val="clear" w:color="auto" w:fill="auto"/>
          </w:tcPr>
          <w:p w14:paraId="76391E74"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1.2</w:t>
            </w:r>
          </w:p>
        </w:tc>
        <w:tc>
          <w:tcPr>
            <w:tcW w:w="907" w:type="dxa"/>
            <w:tcBorders>
              <w:top w:val="single" w:sz="4" w:space="0" w:color="53565A" w:themeColor="accent5"/>
              <w:bottom w:val="single" w:sz="4" w:space="0" w:color="53565A" w:themeColor="accent5"/>
            </w:tcBorders>
          </w:tcPr>
          <w:p w14:paraId="0852328B"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FC"/>
            </w:r>
          </w:p>
        </w:tc>
      </w:tr>
      <w:tr w:rsidR="00686CE7" w:rsidRPr="005734B8" w14:paraId="1F71ED7A"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77309FDE" w14:textId="77777777" w:rsidR="00686CE7" w:rsidRPr="005734B8" w:rsidRDefault="00686CE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The above performance measure relates to the calendar year.</w:t>
            </w:r>
          </w:p>
        </w:tc>
      </w:tr>
      <w:tr w:rsidR="00686CE7" w:rsidRPr="005734B8" w14:paraId="4882A21F"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70B03576"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Number of school-based apprentices/trainees</w:t>
            </w:r>
          </w:p>
        </w:tc>
        <w:tc>
          <w:tcPr>
            <w:tcW w:w="1135" w:type="dxa"/>
            <w:tcBorders>
              <w:top w:val="single" w:sz="4" w:space="0" w:color="53565A" w:themeColor="accent5"/>
              <w:bottom w:val="single" w:sz="4" w:space="0" w:color="53565A" w:themeColor="accent5"/>
            </w:tcBorders>
            <w:shd w:val="clear" w:color="auto" w:fill="auto"/>
          </w:tcPr>
          <w:p w14:paraId="32FFEF65"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number</w:t>
            </w:r>
          </w:p>
        </w:tc>
        <w:tc>
          <w:tcPr>
            <w:tcW w:w="1114" w:type="dxa"/>
            <w:tcBorders>
              <w:top w:val="single" w:sz="4" w:space="0" w:color="53565A" w:themeColor="accent5"/>
              <w:bottom w:val="single" w:sz="4" w:space="0" w:color="53565A" w:themeColor="accent5"/>
            </w:tcBorders>
            <w:shd w:val="clear" w:color="auto" w:fill="D9D9D6" w:themeFill="accent1"/>
          </w:tcPr>
          <w:p w14:paraId="1F8FD587"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3,520</w:t>
            </w:r>
          </w:p>
        </w:tc>
        <w:tc>
          <w:tcPr>
            <w:tcW w:w="1338" w:type="dxa"/>
            <w:tcBorders>
              <w:top w:val="single" w:sz="4" w:space="0" w:color="53565A" w:themeColor="accent5"/>
              <w:bottom w:val="single" w:sz="4" w:space="0" w:color="53565A" w:themeColor="accent5"/>
            </w:tcBorders>
            <w:shd w:val="clear" w:color="auto" w:fill="FFFFFF" w:themeFill="background1"/>
          </w:tcPr>
          <w:p w14:paraId="6BFF5BBB"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3,700</w:t>
            </w:r>
          </w:p>
        </w:tc>
        <w:tc>
          <w:tcPr>
            <w:tcW w:w="1631" w:type="dxa"/>
            <w:tcBorders>
              <w:top w:val="single" w:sz="4" w:space="0" w:color="53565A" w:themeColor="accent5"/>
              <w:bottom w:val="single" w:sz="4" w:space="0" w:color="53565A" w:themeColor="accent5"/>
            </w:tcBorders>
            <w:shd w:val="clear" w:color="auto" w:fill="auto"/>
          </w:tcPr>
          <w:p w14:paraId="3E6EFDE9"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4.9</w:t>
            </w:r>
          </w:p>
        </w:tc>
        <w:tc>
          <w:tcPr>
            <w:tcW w:w="907" w:type="dxa"/>
            <w:tcBorders>
              <w:top w:val="single" w:sz="4" w:space="0" w:color="53565A" w:themeColor="accent5"/>
              <w:bottom w:val="single" w:sz="4" w:space="0" w:color="53565A" w:themeColor="accent5"/>
            </w:tcBorders>
          </w:tcPr>
          <w:p w14:paraId="430F998E"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A1"/>
            </w:r>
          </w:p>
        </w:tc>
      </w:tr>
      <w:tr w:rsidR="00686CE7" w:rsidRPr="005734B8" w14:paraId="44ED2916"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56924851" w14:textId="77777777" w:rsidR="00686CE7" w:rsidRPr="005734B8" w:rsidRDefault="00686CE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The above performance measure relates to the calendar year.</w:t>
            </w:r>
          </w:p>
        </w:tc>
      </w:tr>
      <w:tr w:rsidR="00686CE7" w:rsidRPr="005734B8" w14:paraId="2D76235C"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594E0CC7"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Proportion of all secondary schools offering vocational options to students as part of their secondary school certificate</w:t>
            </w:r>
          </w:p>
        </w:tc>
        <w:tc>
          <w:tcPr>
            <w:tcW w:w="1135" w:type="dxa"/>
            <w:tcBorders>
              <w:top w:val="single" w:sz="4" w:space="0" w:color="53565A" w:themeColor="accent5"/>
              <w:bottom w:val="single" w:sz="4" w:space="0" w:color="53565A" w:themeColor="accent5"/>
            </w:tcBorders>
            <w:shd w:val="clear" w:color="auto" w:fill="auto"/>
          </w:tcPr>
          <w:p w14:paraId="224D1BB1"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032C1046"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94.5</w:t>
            </w:r>
          </w:p>
        </w:tc>
        <w:tc>
          <w:tcPr>
            <w:tcW w:w="1338" w:type="dxa"/>
            <w:tcBorders>
              <w:top w:val="single" w:sz="4" w:space="0" w:color="53565A" w:themeColor="accent5"/>
              <w:bottom w:val="single" w:sz="4" w:space="0" w:color="53565A" w:themeColor="accent5"/>
            </w:tcBorders>
            <w:shd w:val="clear" w:color="auto" w:fill="FFFFFF" w:themeFill="background1"/>
          </w:tcPr>
          <w:p w14:paraId="4C78FF08"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96.0</w:t>
            </w:r>
          </w:p>
        </w:tc>
        <w:tc>
          <w:tcPr>
            <w:tcW w:w="1631" w:type="dxa"/>
            <w:tcBorders>
              <w:top w:val="single" w:sz="4" w:space="0" w:color="53565A" w:themeColor="accent5"/>
              <w:bottom w:val="single" w:sz="4" w:space="0" w:color="53565A" w:themeColor="accent5"/>
            </w:tcBorders>
            <w:shd w:val="clear" w:color="auto" w:fill="auto"/>
          </w:tcPr>
          <w:p w14:paraId="58DCB930"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1.6</w:t>
            </w:r>
          </w:p>
        </w:tc>
        <w:tc>
          <w:tcPr>
            <w:tcW w:w="907" w:type="dxa"/>
            <w:tcBorders>
              <w:top w:val="single" w:sz="4" w:space="0" w:color="53565A" w:themeColor="accent5"/>
              <w:bottom w:val="single" w:sz="4" w:space="0" w:color="53565A" w:themeColor="accent5"/>
            </w:tcBorders>
          </w:tcPr>
          <w:p w14:paraId="26B94AC5"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A1"/>
            </w:r>
          </w:p>
        </w:tc>
      </w:tr>
      <w:tr w:rsidR="00686CE7" w:rsidRPr="005734B8" w14:paraId="6E43D15F"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28375851" w14:textId="77777777" w:rsidR="00686CE7" w:rsidRPr="005734B8" w:rsidRDefault="00686CE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The above performance measure relates to the calendar year.</w:t>
            </w:r>
          </w:p>
        </w:tc>
      </w:tr>
      <w:tr w:rsidR="00686CE7" w:rsidRPr="005734B8" w14:paraId="3A44FCB9"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3AC42153"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Number of students for which government secondary schools are funded to ‘catch up’</w:t>
            </w:r>
          </w:p>
        </w:tc>
        <w:tc>
          <w:tcPr>
            <w:tcW w:w="1135" w:type="dxa"/>
            <w:tcBorders>
              <w:top w:val="single" w:sz="4" w:space="0" w:color="53565A" w:themeColor="accent5"/>
              <w:bottom w:val="single" w:sz="4" w:space="0" w:color="53565A" w:themeColor="accent5"/>
            </w:tcBorders>
            <w:shd w:val="clear" w:color="auto" w:fill="auto"/>
          </w:tcPr>
          <w:p w14:paraId="113F31B7"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number</w:t>
            </w:r>
          </w:p>
        </w:tc>
        <w:tc>
          <w:tcPr>
            <w:tcW w:w="1114" w:type="dxa"/>
            <w:tcBorders>
              <w:top w:val="single" w:sz="4" w:space="0" w:color="53565A" w:themeColor="accent5"/>
              <w:bottom w:val="single" w:sz="4" w:space="0" w:color="53565A" w:themeColor="accent5"/>
            </w:tcBorders>
            <w:shd w:val="clear" w:color="auto" w:fill="D9D9D6" w:themeFill="accent1"/>
          </w:tcPr>
          <w:p w14:paraId="4062F4AD"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10,700</w:t>
            </w:r>
          </w:p>
        </w:tc>
        <w:tc>
          <w:tcPr>
            <w:tcW w:w="1338" w:type="dxa"/>
            <w:tcBorders>
              <w:top w:val="single" w:sz="4" w:space="0" w:color="53565A" w:themeColor="accent5"/>
              <w:bottom w:val="single" w:sz="4" w:space="0" w:color="53565A" w:themeColor="accent5"/>
            </w:tcBorders>
            <w:shd w:val="clear" w:color="auto" w:fill="FFFFFF" w:themeFill="background1"/>
          </w:tcPr>
          <w:p w14:paraId="2F51575B"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11,100</w:t>
            </w:r>
          </w:p>
        </w:tc>
        <w:tc>
          <w:tcPr>
            <w:tcW w:w="1631" w:type="dxa"/>
            <w:tcBorders>
              <w:top w:val="single" w:sz="4" w:space="0" w:color="53565A" w:themeColor="accent5"/>
              <w:bottom w:val="single" w:sz="4" w:space="0" w:color="53565A" w:themeColor="accent5"/>
            </w:tcBorders>
            <w:shd w:val="clear" w:color="auto" w:fill="auto"/>
          </w:tcPr>
          <w:p w14:paraId="5E9114F9"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3.6</w:t>
            </w:r>
          </w:p>
        </w:tc>
        <w:tc>
          <w:tcPr>
            <w:tcW w:w="907" w:type="dxa"/>
            <w:tcBorders>
              <w:top w:val="single" w:sz="4" w:space="0" w:color="53565A" w:themeColor="accent5"/>
              <w:bottom w:val="single" w:sz="4" w:space="0" w:color="53565A" w:themeColor="accent5"/>
            </w:tcBorders>
          </w:tcPr>
          <w:p w14:paraId="7EDE8944"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A1"/>
            </w:r>
          </w:p>
        </w:tc>
      </w:tr>
      <w:tr w:rsidR="00686CE7" w:rsidRPr="005734B8" w14:paraId="32AB4BD3"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03A02B57" w14:textId="77777777" w:rsidR="00686CE7" w:rsidRPr="005734B8" w:rsidRDefault="00686CE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The above performance measure relates to the calendar year and refers to government schools only.</w:t>
            </w:r>
          </w:p>
        </w:tc>
      </w:tr>
      <w:tr w:rsidR="00686CE7" w:rsidRPr="005734B8" w14:paraId="2A9FA1D1"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70889F5D" w14:textId="77777777" w:rsidR="00686CE7" w:rsidRPr="005734B8" w:rsidRDefault="00686CE7" w:rsidP="000E6F40">
            <w:pPr>
              <w:spacing w:before="120" w:after="120"/>
              <w:rPr>
                <w:rFonts w:ascii="Calibri" w:hAnsi="Calibri" w:cs="Calibri"/>
                <w:sz w:val="18"/>
                <w:szCs w:val="18"/>
              </w:rPr>
            </w:pPr>
            <w:r w:rsidRPr="005734B8">
              <w:rPr>
                <w:rFonts w:ascii="Calibri" w:hAnsi="Calibri" w:cs="Calibri"/>
                <w:sz w:val="18"/>
                <w:szCs w:val="18"/>
              </w:rPr>
              <w:t>Percentage of government secondary school students receiving equity funding</w:t>
            </w:r>
          </w:p>
        </w:tc>
        <w:tc>
          <w:tcPr>
            <w:tcW w:w="1135" w:type="dxa"/>
            <w:tcBorders>
              <w:top w:val="single" w:sz="4" w:space="0" w:color="53565A" w:themeColor="accent5"/>
              <w:bottom w:val="single" w:sz="4" w:space="0" w:color="53565A" w:themeColor="accent5"/>
            </w:tcBorders>
            <w:shd w:val="clear" w:color="auto" w:fill="auto"/>
          </w:tcPr>
          <w:p w14:paraId="44569817"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49157402"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31.0</w:t>
            </w:r>
          </w:p>
        </w:tc>
        <w:tc>
          <w:tcPr>
            <w:tcW w:w="1338" w:type="dxa"/>
            <w:tcBorders>
              <w:top w:val="single" w:sz="4" w:space="0" w:color="53565A" w:themeColor="accent5"/>
              <w:bottom w:val="single" w:sz="4" w:space="0" w:color="53565A" w:themeColor="accent5"/>
            </w:tcBorders>
            <w:shd w:val="clear" w:color="auto" w:fill="FFFFFF" w:themeFill="background1"/>
          </w:tcPr>
          <w:p w14:paraId="57105FC5"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32.0</w:t>
            </w:r>
          </w:p>
        </w:tc>
        <w:tc>
          <w:tcPr>
            <w:tcW w:w="1631" w:type="dxa"/>
            <w:tcBorders>
              <w:top w:val="single" w:sz="4" w:space="0" w:color="53565A" w:themeColor="accent5"/>
              <w:bottom w:val="single" w:sz="4" w:space="0" w:color="53565A" w:themeColor="accent5"/>
            </w:tcBorders>
            <w:shd w:val="clear" w:color="auto" w:fill="auto"/>
          </w:tcPr>
          <w:p w14:paraId="2A36E9C0"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3.1</w:t>
            </w:r>
          </w:p>
        </w:tc>
        <w:tc>
          <w:tcPr>
            <w:tcW w:w="907" w:type="dxa"/>
            <w:tcBorders>
              <w:top w:val="single" w:sz="4" w:space="0" w:color="53565A" w:themeColor="accent5"/>
              <w:bottom w:val="single" w:sz="4" w:space="0" w:color="53565A" w:themeColor="accent5"/>
            </w:tcBorders>
          </w:tcPr>
          <w:p w14:paraId="17B234C8"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A1"/>
            </w:r>
          </w:p>
        </w:tc>
      </w:tr>
      <w:tr w:rsidR="00686CE7" w:rsidRPr="005734B8" w14:paraId="76CD6FC3"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490F9B81" w14:textId="77777777" w:rsidR="00686CE7" w:rsidRPr="005734B8" w:rsidRDefault="00686CE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The above performance measure relates to the calendar year and refers to government schools only.</w:t>
            </w:r>
          </w:p>
        </w:tc>
      </w:tr>
      <w:tr w:rsidR="00686CE7" w:rsidRPr="005734B8" w14:paraId="0F4A8E9F"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42458C1E" w14:textId="77777777" w:rsidR="00686CE7" w:rsidRPr="005734B8" w:rsidRDefault="00686CE7" w:rsidP="000E6F40">
            <w:pPr>
              <w:spacing w:before="120" w:after="120"/>
              <w:rPr>
                <w:rFonts w:ascii="Calibri" w:hAnsi="Calibri" w:cs="Calibri"/>
                <w:sz w:val="18"/>
                <w:szCs w:val="18"/>
              </w:rPr>
            </w:pPr>
            <w:r w:rsidRPr="005734B8">
              <w:rPr>
                <w:rFonts w:ascii="Calibri" w:hAnsi="Calibri" w:cs="Calibri"/>
                <w:sz w:val="18"/>
                <w:szCs w:val="18"/>
              </w:rPr>
              <w:t>Number of students participating in the Victorian Young Leaders program</w:t>
            </w:r>
          </w:p>
        </w:tc>
        <w:tc>
          <w:tcPr>
            <w:tcW w:w="1135" w:type="dxa"/>
            <w:tcBorders>
              <w:top w:val="single" w:sz="4" w:space="0" w:color="53565A" w:themeColor="accent5"/>
              <w:bottom w:val="single" w:sz="4" w:space="0" w:color="53565A" w:themeColor="accent5"/>
            </w:tcBorders>
            <w:shd w:val="clear" w:color="auto" w:fill="auto"/>
          </w:tcPr>
          <w:p w14:paraId="011D338B"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number</w:t>
            </w:r>
          </w:p>
        </w:tc>
        <w:tc>
          <w:tcPr>
            <w:tcW w:w="1114" w:type="dxa"/>
            <w:tcBorders>
              <w:top w:val="single" w:sz="4" w:space="0" w:color="53565A" w:themeColor="accent5"/>
              <w:bottom w:val="single" w:sz="4" w:space="0" w:color="53565A" w:themeColor="accent5"/>
            </w:tcBorders>
            <w:shd w:val="clear" w:color="auto" w:fill="D9D9D6" w:themeFill="accent1"/>
          </w:tcPr>
          <w:p w14:paraId="584F0A66" w14:textId="4AAC52A3" w:rsidR="00686CE7" w:rsidRPr="005734B8" w:rsidRDefault="008C7F48" w:rsidP="000E6F40">
            <w:pPr>
              <w:spacing w:before="120" w:after="120"/>
              <w:jc w:val="right"/>
              <w:rPr>
                <w:rFonts w:ascii="Calibri" w:eastAsiaTheme="minorEastAsia" w:hAnsi="Calibri" w:cs="Calibri"/>
                <w:sz w:val="18"/>
                <w:szCs w:val="20"/>
                <w:lang w:val="en-US"/>
              </w:rPr>
            </w:pPr>
            <w:r>
              <w:rPr>
                <w:rFonts w:ascii="Calibri" w:eastAsiaTheme="minorEastAsia" w:hAnsi="Calibri" w:cs="Calibri"/>
                <w:sz w:val="18"/>
                <w:szCs w:val="20"/>
                <w:lang w:val="en-US"/>
              </w:rPr>
              <w:t>280</w:t>
            </w:r>
          </w:p>
        </w:tc>
        <w:tc>
          <w:tcPr>
            <w:tcW w:w="1338" w:type="dxa"/>
            <w:tcBorders>
              <w:top w:val="single" w:sz="4" w:space="0" w:color="53565A" w:themeColor="accent5"/>
              <w:bottom w:val="single" w:sz="4" w:space="0" w:color="53565A" w:themeColor="accent5"/>
            </w:tcBorders>
            <w:shd w:val="clear" w:color="auto" w:fill="FFFFFF" w:themeFill="background1"/>
          </w:tcPr>
          <w:p w14:paraId="6B4EE004"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430</w:t>
            </w:r>
          </w:p>
        </w:tc>
        <w:tc>
          <w:tcPr>
            <w:tcW w:w="1631" w:type="dxa"/>
            <w:tcBorders>
              <w:top w:val="single" w:sz="4" w:space="0" w:color="53565A" w:themeColor="accent5"/>
              <w:bottom w:val="single" w:sz="4" w:space="0" w:color="53565A" w:themeColor="accent5"/>
            </w:tcBorders>
            <w:shd w:val="clear" w:color="auto" w:fill="auto"/>
          </w:tcPr>
          <w:p w14:paraId="4BF4F383" w14:textId="45433E19"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008C7F48">
              <w:rPr>
                <w:rFonts w:ascii="Calibri" w:eastAsiaTheme="minorEastAsia" w:hAnsi="Calibri" w:cs="Calibri"/>
                <w:sz w:val="18"/>
                <w:szCs w:val="20"/>
                <w:lang w:val="en-US"/>
              </w:rPr>
              <w:t>34</w:t>
            </w:r>
            <w:r w:rsidRPr="005734B8">
              <w:rPr>
                <w:rFonts w:ascii="Calibri" w:eastAsiaTheme="minorEastAsia" w:hAnsi="Calibri" w:cs="Calibri"/>
                <w:sz w:val="18"/>
                <w:szCs w:val="20"/>
                <w:lang w:val="en-US"/>
              </w:rPr>
              <w:t>.</w:t>
            </w:r>
            <w:r w:rsidR="008C7F48">
              <w:rPr>
                <w:rFonts w:ascii="Calibri" w:eastAsiaTheme="minorEastAsia" w:hAnsi="Calibri" w:cs="Calibri"/>
                <w:sz w:val="18"/>
                <w:szCs w:val="20"/>
                <w:lang w:val="en-US"/>
              </w:rPr>
              <w:t>9</w:t>
            </w:r>
          </w:p>
        </w:tc>
        <w:tc>
          <w:tcPr>
            <w:tcW w:w="907" w:type="dxa"/>
            <w:tcBorders>
              <w:top w:val="single" w:sz="4" w:space="0" w:color="53565A" w:themeColor="accent5"/>
              <w:bottom w:val="single" w:sz="4" w:space="0" w:color="53565A" w:themeColor="accent5"/>
            </w:tcBorders>
          </w:tcPr>
          <w:p w14:paraId="0F2EBE63"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lang w:val="en-AU"/>
              </w:rPr>
              <w:sym w:font="Wingdings" w:char="F06E"/>
            </w:r>
          </w:p>
        </w:tc>
      </w:tr>
      <w:tr w:rsidR="00686CE7" w:rsidRPr="005734B8" w14:paraId="608E0CCC"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3A4E1525" w14:textId="77777777" w:rsidR="00686CE7" w:rsidRPr="005734B8" w:rsidRDefault="00686CE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The 2020–21 outcome is lower than the target due to travel restrictions and the impact of national statutory changes on delivery of the program.</w:t>
            </w:r>
          </w:p>
        </w:tc>
      </w:tr>
      <w:tr w:rsidR="00686CE7" w:rsidRPr="005734B8" w14:paraId="47DAAD9F"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448DDE94" w14:textId="77777777" w:rsidR="00686CE7" w:rsidRPr="005734B8" w:rsidRDefault="00686CE7" w:rsidP="000E6F40">
            <w:pPr>
              <w:spacing w:before="120" w:after="120"/>
              <w:rPr>
                <w:rFonts w:ascii="Calibri" w:hAnsi="Calibri" w:cs="Calibri"/>
                <w:sz w:val="18"/>
                <w:szCs w:val="18"/>
              </w:rPr>
            </w:pPr>
            <w:r w:rsidRPr="005734B8">
              <w:rPr>
                <w:rFonts w:ascii="Calibri" w:hAnsi="Calibri" w:cs="Calibri"/>
                <w:sz w:val="18"/>
                <w:szCs w:val="18"/>
              </w:rPr>
              <w:t>Number of partner secondary schools accessing a Tech School</w:t>
            </w:r>
          </w:p>
        </w:tc>
        <w:tc>
          <w:tcPr>
            <w:tcW w:w="1135" w:type="dxa"/>
            <w:tcBorders>
              <w:top w:val="single" w:sz="4" w:space="0" w:color="53565A" w:themeColor="accent5"/>
              <w:bottom w:val="single" w:sz="4" w:space="0" w:color="53565A" w:themeColor="accent5"/>
            </w:tcBorders>
            <w:shd w:val="clear" w:color="auto" w:fill="auto"/>
          </w:tcPr>
          <w:p w14:paraId="11A09FE5" w14:textId="77777777" w:rsidR="00686CE7" w:rsidRPr="005734B8" w:rsidRDefault="00686CE7" w:rsidP="000E6F40">
            <w:pPr>
              <w:spacing w:before="120" w:after="120"/>
              <w:rPr>
                <w:rFonts w:ascii="Calibri" w:eastAsiaTheme="minorEastAsia" w:hAnsi="Calibri" w:cs="Calibri"/>
                <w:sz w:val="18"/>
                <w:szCs w:val="20"/>
                <w:lang w:val="en-US"/>
              </w:rPr>
            </w:pPr>
            <w:r w:rsidRPr="005734B8">
              <w:rPr>
                <w:rFonts w:ascii="Calibri" w:hAnsi="Calibri" w:cs="Calibri"/>
                <w:sz w:val="18"/>
                <w:szCs w:val="20"/>
              </w:rPr>
              <w:t>number</w:t>
            </w:r>
          </w:p>
        </w:tc>
        <w:tc>
          <w:tcPr>
            <w:tcW w:w="1114" w:type="dxa"/>
            <w:tcBorders>
              <w:top w:val="single" w:sz="4" w:space="0" w:color="53565A" w:themeColor="accent5"/>
              <w:bottom w:val="single" w:sz="4" w:space="0" w:color="53565A" w:themeColor="accent5"/>
            </w:tcBorders>
            <w:shd w:val="clear" w:color="auto" w:fill="D9D9D6" w:themeFill="accent1"/>
          </w:tcPr>
          <w:p w14:paraId="5A22DCA5" w14:textId="77777777" w:rsidR="00686CE7" w:rsidRPr="005734B8" w:rsidRDefault="00686CE7" w:rsidP="000E6F40">
            <w:pPr>
              <w:spacing w:before="120" w:after="120"/>
              <w:jc w:val="right"/>
              <w:rPr>
                <w:rFonts w:ascii="Calibri" w:hAnsi="Calibri" w:cs="Calibri"/>
                <w:sz w:val="18"/>
                <w:szCs w:val="20"/>
              </w:rPr>
            </w:pPr>
            <w:r w:rsidRPr="005734B8">
              <w:rPr>
                <w:rFonts w:ascii="Calibri" w:hAnsi="Calibri" w:cs="Calibri"/>
                <w:sz w:val="18"/>
                <w:szCs w:val="20"/>
              </w:rPr>
              <w:t>168</w:t>
            </w:r>
          </w:p>
        </w:tc>
        <w:tc>
          <w:tcPr>
            <w:tcW w:w="1338" w:type="dxa"/>
            <w:tcBorders>
              <w:top w:val="single" w:sz="4" w:space="0" w:color="53565A" w:themeColor="accent5"/>
              <w:bottom w:val="single" w:sz="4" w:space="0" w:color="53565A" w:themeColor="accent5"/>
            </w:tcBorders>
            <w:shd w:val="clear" w:color="auto" w:fill="FFFFFF" w:themeFill="background1"/>
          </w:tcPr>
          <w:p w14:paraId="06779896" w14:textId="77777777" w:rsidR="00686CE7" w:rsidRPr="005734B8" w:rsidRDefault="00686CE7" w:rsidP="000E6F40">
            <w:pPr>
              <w:spacing w:before="120" w:after="120"/>
              <w:jc w:val="right"/>
              <w:rPr>
                <w:rFonts w:ascii="Calibri" w:hAnsi="Calibri" w:cs="Calibri"/>
                <w:sz w:val="18"/>
                <w:szCs w:val="20"/>
              </w:rPr>
            </w:pPr>
            <w:r w:rsidRPr="005734B8">
              <w:rPr>
                <w:rFonts w:ascii="Calibri" w:hAnsi="Calibri" w:cs="Calibri"/>
                <w:sz w:val="18"/>
                <w:szCs w:val="20"/>
              </w:rPr>
              <w:t>130</w:t>
            </w:r>
          </w:p>
        </w:tc>
        <w:tc>
          <w:tcPr>
            <w:tcW w:w="1631" w:type="dxa"/>
            <w:tcBorders>
              <w:top w:val="single" w:sz="4" w:space="0" w:color="53565A" w:themeColor="accent5"/>
              <w:bottom w:val="single" w:sz="4" w:space="0" w:color="53565A" w:themeColor="accent5"/>
            </w:tcBorders>
            <w:shd w:val="clear" w:color="auto" w:fill="auto"/>
          </w:tcPr>
          <w:p w14:paraId="35256286" w14:textId="77777777" w:rsidR="00686CE7" w:rsidRPr="005734B8" w:rsidRDefault="00686CE7" w:rsidP="000E6F40">
            <w:pPr>
              <w:spacing w:before="120" w:after="120"/>
              <w:jc w:val="right"/>
              <w:rPr>
                <w:rFonts w:ascii="Calibri" w:hAnsi="Calibri" w:cs="Calibri"/>
                <w:sz w:val="18"/>
                <w:szCs w:val="20"/>
              </w:rPr>
            </w:pPr>
            <w:r w:rsidRPr="005734B8">
              <w:rPr>
                <w:rFonts w:ascii="Calibri" w:hAnsi="Calibri" w:cs="Calibri"/>
                <w:sz w:val="18"/>
                <w:szCs w:val="20"/>
              </w:rPr>
              <w:t>29.2</w:t>
            </w:r>
          </w:p>
        </w:tc>
        <w:tc>
          <w:tcPr>
            <w:tcW w:w="907" w:type="dxa"/>
            <w:tcBorders>
              <w:top w:val="single" w:sz="4" w:space="0" w:color="53565A" w:themeColor="accent5"/>
              <w:bottom w:val="single" w:sz="4" w:space="0" w:color="53565A" w:themeColor="accent5"/>
            </w:tcBorders>
          </w:tcPr>
          <w:p w14:paraId="764172B6" w14:textId="77777777" w:rsidR="00686CE7" w:rsidRPr="005734B8" w:rsidRDefault="00686CE7" w:rsidP="000E6F40">
            <w:pPr>
              <w:spacing w:before="120" w:after="120"/>
              <w:jc w:val="right"/>
              <w:rPr>
                <w:rFonts w:ascii="Calibri" w:hAnsi="Calibri" w:cs="Calibri"/>
                <w:sz w:val="18"/>
                <w:szCs w:val="18"/>
              </w:rPr>
            </w:pPr>
            <w:r w:rsidRPr="005734B8">
              <w:rPr>
                <w:rFonts w:ascii="Calibri" w:hAnsi="Calibri" w:cs="Calibri"/>
                <w:sz w:val="18"/>
                <w:lang w:val="en-AU"/>
              </w:rPr>
              <w:sym w:font="Wingdings" w:char="F0FC"/>
            </w:r>
          </w:p>
        </w:tc>
      </w:tr>
      <w:tr w:rsidR="00686CE7" w:rsidRPr="005734B8" w14:paraId="59FF8310" w14:textId="77777777" w:rsidTr="000C76E3">
        <w:trPr>
          <w:cantSplit/>
        </w:trPr>
        <w:tc>
          <w:tcPr>
            <w:tcW w:w="9010" w:type="dxa"/>
            <w:gridSpan w:val="6"/>
            <w:tcBorders>
              <w:top w:val="single" w:sz="4" w:space="0" w:color="53565A" w:themeColor="accent5"/>
              <w:bottom w:val="single" w:sz="4" w:space="0" w:color="auto"/>
            </w:tcBorders>
            <w:shd w:val="clear" w:color="auto" w:fill="auto"/>
          </w:tcPr>
          <w:p w14:paraId="2B439031" w14:textId="77777777" w:rsidR="000C76E3" w:rsidRPr="005734B8" w:rsidRDefault="00686CE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The above performance measure relates to the calendar year and refers to government and non-government schools who are partnered to a Tech School. The 2020–21 outcome is higher than the target due to an increase in the number of eligible schools (new schools opening in service areas), and a higher proportion of partner schools accessing Tech School programs and support during the remote learning period.</w:t>
            </w:r>
          </w:p>
        </w:tc>
      </w:tr>
      <w:tr w:rsidR="000C76E3" w:rsidRPr="005734B8" w14:paraId="0FD4DFDA" w14:textId="77777777" w:rsidTr="000C76E3">
        <w:trPr>
          <w:cantSplit/>
        </w:trPr>
        <w:tc>
          <w:tcPr>
            <w:tcW w:w="9010" w:type="dxa"/>
            <w:gridSpan w:val="6"/>
            <w:tcBorders>
              <w:top w:val="single" w:sz="4" w:space="0" w:color="auto"/>
              <w:left w:val="nil"/>
              <w:bottom w:val="nil"/>
              <w:right w:val="nil"/>
            </w:tcBorders>
            <w:shd w:val="clear" w:color="auto" w:fill="auto"/>
          </w:tcPr>
          <w:p w14:paraId="7751952D" w14:textId="77777777" w:rsidR="000C76E3" w:rsidRPr="005734B8" w:rsidRDefault="000C76E3" w:rsidP="000E6F40">
            <w:pPr>
              <w:spacing w:before="120" w:after="120"/>
              <w:rPr>
                <w:rFonts w:ascii="Calibri" w:eastAsiaTheme="minorEastAsia" w:hAnsi="Calibri" w:cs="Calibri"/>
                <w:i/>
                <w:sz w:val="16"/>
                <w:szCs w:val="20"/>
                <w:lang w:val="en-US"/>
              </w:rPr>
            </w:pPr>
          </w:p>
        </w:tc>
      </w:tr>
      <w:tr w:rsidR="000C76E3" w:rsidRPr="005734B8" w14:paraId="3781B14E" w14:textId="77777777" w:rsidTr="000C76E3">
        <w:trPr>
          <w:cantSplit/>
        </w:trPr>
        <w:tc>
          <w:tcPr>
            <w:tcW w:w="9010" w:type="dxa"/>
            <w:gridSpan w:val="6"/>
            <w:tcBorders>
              <w:top w:val="nil"/>
              <w:left w:val="nil"/>
              <w:bottom w:val="nil"/>
              <w:right w:val="nil"/>
            </w:tcBorders>
            <w:shd w:val="clear" w:color="auto" w:fill="auto"/>
          </w:tcPr>
          <w:p w14:paraId="3FDDB551" w14:textId="77777777" w:rsidR="000C76E3" w:rsidRPr="005734B8" w:rsidRDefault="000C76E3" w:rsidP="000E6F40">
            <w:pPr>
              <w:spacing w:before="120" w:after="120"/>
              <w:rPr>
                <w:rFonts w:ascii="Calibri" w:eastAsiaTheme="minorEastAsia" w:hAnsi="Calibri" w:cs="Calibri"/>
                <w:i/>
                <w:sz w:val="16"/>
                <w:szCs w:val="20"/>
                <w:lang w:val="en-US"/>
              </w:rPr>
            </w:pPr>
          </w:p>
        </w:tc>
      </w:tr>
      <w:tr w:rsidR="00F953A0" w:rsidRPr="005734B8" w14:paraId="61E0E037" w14:textId="77777777" w:rsidTr="000C76E3">
        <w:trPr>
          <w:cantSplit/>
        </w:trPr>
        <w:tc>
          <w:tcPr>
            <w:tcW w:w="9010" w:type="dxa"/>
            <w:gridSpan w:val="6"/>
            <w:tcBorders>
              <w:top w:val="nil"/>
              <w:left w:val="nil"/>
              <w:bottom w:val="nil"/>
              <w:right w:val="nil"/>
            </w:tcBorders>
            <w:shd w:val="clear" w:color="auto" w:fill="auto"/>
          </w:tcPr>
          <w:p w14:paraId="2E6B351A" w14:textId="77777777" w:rsidR="00F953A0" w:rsidRPr="005734B8" w:rsidRDefault="00F953A0" w:rsidP="000E6F40">
            <w:pPr>
              <w:spacing w:before="120" w:after="120"/>
              <w:rPr>
                <w:rFonts w:ascii="Calibri" w:eastAsiaTheme="minorEastAsia" w:hAnsi="Calibri" w:cs="Calibri"/>
                <w:i/>
                <w:sz w:val="16"/>
                <w:szCs w:val="20"/>
                <w:lang w:val="en-US"/>
              </w:rPr>
            </w:pPr>
          </w:p>
        </w:tc>
      </w:tr>
      <w:tr w:rsidR="00676CDA" w:rsidRPr="005734B8" w14:paraId="59FF976A" w14:textId="77777777" w:rsidTr="000C76E3">
        <w:trPr>
          <w:cantSplit/>
        </w:trPr>
        <w:tc>
          <w:tcPr>
            <w:tcW w:w="9010" w:type="dxa"/>
            <w:gridSpan w:val="6"/>
            <w:tcBorders>
              <w:top w:val="nil"/>
              <w:left w:val="nil"/>
              <w:bottom w:val="nil"/>
              <w:right w:val="nil"/>
            </w:tcBorders>
            <w:shd w:val="clear" w:color="auto" w:fill="auto"/>
          </w:tcPr>
          <w:p w14:paraId="062524C0" w14:textId="77777777" w:rsidR="00676CDA" w:rsidRPr="005734B8" w:rsidRDefault="00676CDA" w:rsidP="000E6F40">
            <w:pPr>
              <w:spacing w:before="120" w:after="120"/>
              <w:rPr>
                <w:rFonts w:ascii="Calibri" w:eastAsiaTheme="minorEastAsia" w:hAnsi="Calibri" w:cs="Calibri"/>
                <w:i/>
                <w:sz w:val="16"/>
                <w:szCs w:val="20"/>
                <w:lang w:val="en-US"/>
              </w:rPr>
            </w:pPr>
          </w:p>
        </w:tc>
      </w:tr>
      <w:tr w:rsidR="000C76E3" w:rsidRPr="005734B8" w14:paraId="17481DD4" w14:textId="77777777" w:rsidTr="000C76E3">
        <w:trPr>
          <w:cantSplit/>
        </w:trPr>
        <w:tc>
          <w:tcPr>
            <w:tcW w:w="9010" w:type="dxa"/>
            <w:gridSpan w:val="6"/>
            <w:tcBorders>
              <w:top w:val="nil"/>
              <w:left w:val="nil"/>
              <w:bottom w:val="nil"/>
              <w:right w:val="nil"/>
            </w:tcBorders>
            <w:shd w:val="clear" w:color="auto" w:fill="auto"/>
          </w:tcPr>
          <w:p w14:paraId="353D99F5" w14:textId="77777777" w:rsidR="000C76E3" w:rsidRPr="005734B8" w:rsidRDefault="000C76E3" w:rsidP="000E6F40">
            <w:pPr>
              <w:spacing w:before="120" w:after="120"/>
              <w:rPr>
                <w:rFonts w:ascii="Calibri" w:eastAsiaTheme="minorEastAsia" w:hAnsi="Calibri" w:cs="Calibri"/>
                <w:i/>
                <w:sz w:val="16"/>
                <w:szCs w:val="20"/>
                <w:lang w:val="en-US"/>
              </w:rPr>
            </w:pPr>
          </w:p>
        </w:tc>
      </w:tr>
      <w:tr w:rsidR="00686CE7" w:rsidRPr="005734B8" w14:paraId="199E1555" w14:textId="77777777" w:rsidTr="000C76E3">
        <w:trPr>
          <w:cantSplit/>
        </w:trPr>
        <w:tc>
          <w:tcPr>
            <w:tcW w:w="2885" w:type="dxa"/>
            <w:tcBorders>
              <w:top w:val="nil"/>
              <w:bottom w:val="single" w:sz="4" w:space="0" w:color="53565A" w:themeColor="accent5"/>
            </w:tcBorders>
            <w:shd w:val="clear" w:color="auto" w:fill="53565A" w:themeFill="accent5"/>
          </w:tcPr>
          <w:p w14:paraId="3A53DFCB" w14:textId="77777777" w:rsidR="00686CE7" w:rsidRPr="005734B8" w:rsidRDefault="00686CE7" w:rsidP="000E6F40">
            <w:pPr>
              <w:spacing w:before="80" w:after="80"/>
              <w:rPr>
                <w:rFonts w:ascii="Calibri" w:eastAsiaTheme="minorEastAsia" w:hAnsi="Calibri" w:cs="Calibri"/>
                <w:b/>
                <w:color w:val="FFFFFF" w:themeColor="background1"/>
                <w:sz w:val="18"/>
                <w:szCs w:val="18"/>
                <w:lang w:val="en-US"/>
              </w:rPr>
            </w:pPr>
            <w:r w:rsidRPr="005734B8">
              <w:rPr>
                <w:rFonts w:ascii="Calibri" w:eastAsiaTheme="minorEastAsia" w:hAnsi="Calibri" w:cs="Calibri"/>
                <w:b/>
                <w:color w:val="FFFFFF" w:themeColor="background1"/>
                <w:sz w:val="18"/>
                <w:szCs w:val="18"/>
                <w:lang w:val="en-US"/>
              </w:rPr>
              <w:lastRenderedPageBreak/>
              <w:t>Quality</w:t>
            </w:r>
          </w:p>
        </w:tc>
        <w:tc>
          <w:tcPr>
            <w:tcW w:w="1135" w:type="dxa"/>
            <w:tcBorders>
              <w:top w:val="nil"/>
              <w:bottom w:val="single" w:sz="4" w:space="0" w:color="53565A" w:themeColor="accent5"/>
            </w:tcBorders>
            <w:shd w:val="clear" w:color="auto" w:fill="53565A" w:themeFill="accent5"/>
          </w:tcPr>
          <w:p w14:paraId="3EBD4690" w14:textId="77777777" w:rsidR="00686CE7" w:rsidRPr="005734B8" w:rsidRDefault="00686CE7" w:rsidP="000E6F40">
            <w:pPr>
              <w:spacing w:before="120" w:after="120"/>
              <w:rPr>
                <w:rFonts w:ascii="Calibri" w:eastAsiaTheme="minorEastAsia" w:hAnsi="Calibri" w:cs="Calibri"/>
                <w:sz w:val="18"/>
                <w:szCs w:val="18"/>
                <w:lang w:val="en-US"/>
              </w:rPr>
            </w:pPr>
          </w:p>
        </w:tc>
        <w:tc>
          <w:tcPr>
            <w:tcW w:w="1114" w:type="dxa"/>
            <w:tcBorders>
              <w:top w:val="nil"/>
              <w:bottom w:val="single" w:sz="4" w:space="0" w:color="53565A" w:themeColor="accent5"/>
            </w:tcBorders>
            <w:shd w:val="clear" w:color="auto" w:fill="53565A" w:themeFill="accent5"/>
          </w:tcPr>
          <w:p w14:paraId="7E48D7A7" w14:textId="77777777" w:rsidR="00686CE7" w:rsidRPr="005734B8" w:rsidRDefault="00686CE7" w:rsidP="000E6F40">
            <w:pPr>
              <w:spacing w:before="120" w:after="120"/>
              <w:rPr>
                <w:rFonts w:ascii="Calibri" w:eastAsiaTheme="minorEastAsia" w:hAnsi="Calibri" w:cs="Calibri"/>
                <w:sz w:val="18"/>
                <w:szCs w:val="18"/>
                <w:lang w:val="en-US"/>
              </w:rPr>
            </w:pPr>
          </w:p>
        </w:tc>
        <w:tc>
          <w:tcPr>
            <w:tcW w:w="1338" w:type="dxa"/>
            <w:tcBorders>
              <w:top w:val="nil"/>
              <w:bottom w:val="single" w:sz="4" w:space="0" w:color="53565A" w:themeColor="accent5"/>
            </w:tcBorders>
            <w:shd w:val="clear" w:color="auto" w:fill="53565A" w:themeFill="accent5"/>
          </w:tcPr>
          <w:p w14:paraId="4B861D99" w14:textId="77777777" w:rsidR="00686CE7" w:rsidRPr="005734B8" w:rsidRDefault="00686CE7" w:rsidP="000E6F40">
            <w:pPr>
              <w:spacing w:before="120" w:after="120"/>
              <w:rPr>
                <w:rFonts w:ascii="Calibri" w:eastAsiaTheme="minorEastAsia" w:hAnsi="Calibri" w:cs="Calibri"/>
                <w:sz w:val="18"/>
                <w:szCs w:val="18"/>
                <w:lang w:val="en-US"/>
              </w:rPr>
            </w:pPr>
          </w:p>
        </w:tc>
        <w:tc>
          <w:tcPr>
            <w:tcW w:w="1631" w:type="dxa"/>
            <w:tcBorders>
              <w:top w:val="nil"/>
              <w:bottom w:val="single" w:sz="4" w:space="0" w:color="53565A" w:themeColor="accent5"/>
            </w:tcBorders>
            <w:shd w:val="clear" w:color="auto" w:fill="53565A" w:themeFill="accent5"/>
          </w:tcPr>
          <w:p w14:paraId="732A6134" w14:textId="77777777" w:rsidR="00686CE7" w:rsidRPr="005734B8" w:rsidRDefault="00686CE7" w:rsidP="000E6F40">
            <w:pPr>
              <w:spacing w:before="120" w:after="120"/>
              <w:rPr>
                <w:rFonts w:ascii="Calibri" w:eastAsiaTheme="minorEastAsia" w:hAnsi="Calibri" w:cs="Calibri"/>
                <w:sz w:val="18"/>
                <w:szCs w:val="18"/>
                <w:lang w:val="en-US"/>
              </w:rPr>
            </w:pPr>
          </w:p>
        </w:tc>
        <w:tc>
          <w:tcPr>
            <w:tcW w:w="907" w:type="dxa"/>
            <w:tcBorders>
              <w:top w:val="nil"/>
              <w:bottom w:val="single" w:sz="4" w:space="0" w:color="53565A" w:themeColor="accent5"/>
            </w:tcBorders>
            <w:shd w:val="clear" w:color="auto" w:fill="53565A" w:themeFill="accent5"/>
          </w:tcPr>
          <w:p w14:paraId="3BDFF3F0" w14:textId="77777777" w:rsidR="00686CE7" w:rsidRPr="005734B8" w:rsidRDefault="00686CE7" w:rsidP="000E6F40">
            <w:pPr>
              <w:spacing w:before="120" w:after="120"/>
              <w:rPr>
                <w:rFonts w:ascii="Calibri" w:eastAsiaTheme="minorEastAsia" w:hAnsi="Calibri" w:cs="Calibri"/>
                <w:sz w:val="18"/>
                <w:szCs w:val="18"/>
                <w:lang w:val="en-US"/>
              </w:rPr>
            </w:pPr>
          </w:p>
        </w:tc>
      </w:tr>
      <w:tr w:rsidR="00686CE7" w:rsidRPr="005734B8" w14:paraId="519DFDBF"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60A51ADE"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Average days lost due to absence in Years 11 and 12</w:t>
            </w:r>
          </w:p>
        </w:tc>
        <w:tc>
          <w:tcPr>
            <w:tcW w:w="1135" w:type="dxa"/>
            <w:tcBorders>
              <w:top w:val="single" w:sz="4" w:space="0" w:color="53565A" w:themeColor="accent5"/>
              <w:bottom w:val="single" w:sz="4" w:space="0" w:color="53565A" w:themeColor="accent5"/>
            </w:tcBorders>
            <w:shd w:val="clear" w:color="auto" w:fill="auto"/>
          </w:tcPr>
          <w:p w14:paraId="3904B14F"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number</w:t>
            </w:r>
          </w:p>
        </w:tc>
        <w:tc>
          <w:tcPr>
            <w:tcW w:w="1114" w:type="dxa"/>
            <w:tcBorders>
              <w:top w:val="single" w:sz="4" w:space="0" w:color="53565A" w:themeColor="accent5"/>
              <w:bottom w:val="single" w:sz="4" w:space="0" w:color="53565A" w:themeColor="accent5"/>
            </w:tcBorders>
            <w:shd w:val="clear" w:color="auto" w:fill="D9D9D6" w:themeFill="accent1"/>
          </w:tcPr>
          <w:p w14:paraId="0412E471"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14.8</w:t>
            </w:r>
          </w:p>
        </w:tc>
        <w:tc>
          <w:tcPr>
            <w:tcW w:w="1338" w:type="dxa"/>
            <w:tcBorders>
              <w:top w:val="single" w:sz="4" w:space="0" w:color="53565A" w:themeColor="accent5"/>
              <w:bottom w:val="single" w:sz="4" w:space="0" w:color="53565A" w:themeColor="accent5"/>
            </w:tcBorders>
            <w:shd w:val="clear" w:color="auto" w:fill="FFFFFF" w:themeFill="background1"/>
          </w:tcPr>
          <w:p w14:paraId="63D27421"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16.1</w:t>
            </w:r>
          </w:p>
        </w:tc>
        <w:tc>
          <w:tcPr>
            <w:tcW w:w="1631" w:type="dxa"/>
            <w:tcBorders>
              <w:top w:val="single" w:sz="4" w:space="0" w:color="53565A" w:themeColor="accent5"/>
              <w:bottom w:val="single" w:sz="4" w:space="0" w:color="53565A" w:themeColor="accent5"/>
            </w:tcBorders>
            <w:shd w:val="clear" w:color="auto" w:fill="auto"/>
          </w:tcPr>
          <w:p w14:paraId="1BBDEEDB"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8.1</w:t>
            </w:r>
          </w:p>
        </w:tc>
        <w:tc>
          <w:tcPr>
            <w:tcW w:w="907" w:type="dxa"/>
            <w:tcBorders>
              <w:top w:val="single" w:sz="4" w:space="0" w:color="53565A" w:themeColor="accent5"/>
              <w:bottom w:val="single" w:sz="4" w:space="0" w:color="53565A" w:themeColor="accent5"/>
            </w:tcBorders>
            <w:shd w:val="clear" w:color="auto" w:fill="auto"/>
          </w:tcPr>
          <w:p w14:paraId="60810B5E"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FC"/>
            </w:r>
          </w:p>
        </w:tc>
      </w:tr>
      <w:tr w:rsidR="00686CE7" w:rsidRPr="005734B8" w14:paraId="203876FB"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351C781B" w14:textId="77777777" w:rsidR="00686CE7" w:rsidRPr="005734B8" w:rsidRDefault="00686CE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The above performance measure relates to the calendar year and refers to government schools only. The 2020–21 outcome is lower than the target due to the COVID-19 pandemic, and the move to remote and flexible learning during 2020. A lower figure is more desirable, as it indicates that students are having fewer days away from school. The rate covers all absences, including those due to illness and parent choice.</w:t>
            </w:r>
          </w:p>
        </w:tc>
      </w:tr>
      <w:tr w:rsidR="00686CE7" w:rsidRPr="005734B8" w14:paraId="4137A7D0"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3139467D"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Average days lost due to absence in Years 7–10</w:t>
            </w:r>
          </w:p>
        </w:tc>
        <w:tc>
          <w:tcPr>
            <w:tcW w:w="1135" w:type="dxa"/>
            <w:tcBorders>
              <w:top w:val="single" w:sz="4" w:space="0" w:color="53565A" w:themeColor="accent5"/>
              <w:bottom w:val="single" w:sz="4" w:space="0" w:color="53565A" w:themeColor="accent5"/>
            </w:tcBorders>
            <w:shd w:val="clear" w:color="auto" w:fill="auto"/>
          </w:tcPr>
          <w:p w14:paraId="7D51F1F0"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number</w:t>
            </w:r>
          </w:p>
        </w:tc>
        <w:tc>
          <w:tcPr>
            <w:tcW w:w="1114" w:type="dxa"/>
            <w:tcBorders>
              <w:top w:val="single" w:sz="4" w:space="0" w:color="53565A" w:themeColor="accent5"/>
              <w:bottom w:val="single" w:sz="4" w:space="0" w:color="53565A" w:themeColor="accent5"/>
            </w:tcBorders>
            <w:shd w:val="clear" w:color="auto" w:fill="D9D9D6" w:themeFill="accent1"/>
          </w:tcPr>
          <w:p w14:paraId="4BBB7DCC"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18.9</w:t>
            </w:r>
          </w:p>
        </w:tc>
        <w:tc>
          <w:tcPr>
            <w:tcW w:w="1338" w:type="dxa"/>
            <w:tcBorders>
              <w:top w:val="single" w:sz="4" w:space="0" w:color="53565A" w:themeColor="accent5"/>
              <w:bottom w:val="single" w:sz="4" w:space="0" w:color="53565A" w:themeColor="accent5"/>
            </w:tcBorders>
            <w:shd w:val="clear" w:color="auto" w:fill="FFFFFF" w:themeFill="background1"/>
          </w:tcPr>
          <w:p w14:paraId="72D5CD74"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19.0</w:t>
            </w:r>
          </w:p>
        </w:tc>
        <w:tc>
          <w:tcPr>
            <w:tcW w:w="1631" w:type="dxa"/>
            <w:tcBorders>
              <w:top w:val="single" w:sz="4" w:space="0" w:color="53565A" w:themeColor="accent5"/>
              <w:bottom w:val="single" w:sz="4" w:space="0" w:color="53565A" w:themeColor="accent5"/>
            </w:tcBorders>
            <w:shd w:val="clear" w:color="auto" w:fill="auto"/>
          </w:tcPr>
          <w:p w14:paraId="0F37CCE3"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0.5</w:t>
            </w:r>
          </w:p>
        </w:tc>
        <w:tc>
          <w:tcPr>
            <w:tcW w:w="907" w:type="dxa"/>
            <w:tcBorders>
              <w:top w:val="single" w:sz="4" w:space="0" w:color="53565A" w:themeColor="accent5"/>
              <w:bottom w:val="single" w:sz="4" w:space="0" w:color="53565A" w:themeColor="accent5"/>
            </w:tcBorders>
            <w:shd w:val="clear" w:color="auto" w:fill="auto"/>
          </w:tcPr>
          <w:p w14:paraId="6ABBC9C0"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FC"/>
            </w:r>
          </w:p>
        </w:tc>
      </w:tr>
      <w:tr w:rsidR="00686CE7" w:rsidRPr="005734B8" w14:paraId="64850BBB" w14:textId="77777777" w:rsidTr="001F14A8">
        <w:trPr>
          <w:cantSplit/>
        </w:trPr>
        <w:tc>
          <w:tcPr>
            <w:tcW w:w="9010" w:type="dxa"/>
            <w:gridSpan w:val="6"/>
            <w:tcBorders>
              <w:top w:val="single" w:sz="4" w:space="0" w:color="53565A" w:themeColor="accent5"/>
              <w:bottom w:val="single" w:sz="4" w:space="0" w:color="auto"/>
            </w:tcBorders>
            <w:shd w:val="clear" w:color="auto" w:fill="auto"/>
          </w:tcPr>
          <w:p w14:paraId="0F2DA0F8" w14:textId="77777777" w:rsidR="00686CE7" w:rsidRPr="005734B8" w:rsidRDefault="00686CE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 xml:space="preserve">The above performance measure relates to the calendar year and refers to government schools only. </w:t>
            </w:r>
          </w:p>
        </w:tc>
      </w:tr>
      <w:tr w:rsidR="00686CE7" w:rsidRPr="005734B8" w14:paraId="38ABB300" w14:textId="77777777" w:rsidTr="001F14A8">
        <w:trPr>
          <w:cantSplit/>
        </w:trPr>
        <w:tc>
          <w:tcPr>
            <w:tcW w:w="2885" w:type="dxa"/>
            <w:tcBorders>
              <w:top w:val="nil"/>
              <w:bottom w:val="single" w:sz="4" w:space="0" w:color="53565A" w:themeColor="accent5"/>
            </w:tcBorders>
            <w:shd w:val="clear" w:color="auto" w:fill="auto"/>
          </w:tcPr>
          <w:p w14:paraId="5F1FE344"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Average days lost due to absence for Aboriginal students in Years 7 to 12</w:t>
            </w:r>
          </w:p>
        </w:tc>
        <w:tc>
          <w:tcPr>
            <w:tcW w:w="1135" w:type="dxa"/>
            <w:tcBorders>
              <w:top w:val="nil"/>
              <w:bottom w:val="single" w:sz="4" w:space="0" w:color="53565A" w:themeColor="accent5"/>
            </w:tcBorders>
            <w:shd w:val="clear" w:color="auto" w:fill="auto"/>
          </w:tcPr>
          <w:p w14:paraId="655E9BD7"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number</w:t>
            </w:r>
          </w:p>
        </w:tc>
        <w:tc>
          <w:tcPr>
            <w:tcW w:w="1114" w:type="dxa"/>
            <w:tcBorders>
              <w:top w:val="nil"/>
              <w:bottom w:val="single" w:sz="4" w:space="0" w:color="53565A" w:themeColor="accent5"/>
            </w:tcBorders>
            <w:shd w:val="clear" w:color="auto" w:fill="D9D9D6" w:themeFill="accent1"/>
          </w:tcPr>
          <w:p w14:paraId="798D75C5"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37.0</w:t>
            </w:r>
          </w:p>
        </w:tc>
        <w:tc>
          <w:tcPr>
            <w:tcW w:w="1338" w:type="dxa"/>
            <w:tcBorders>
              <w:top w:val="nil"/>
              <w:bottom w:val="single" w:sz="4" w:space="0" w:color="53565A" w:themeColor="accent5"/>
            </w:tcBorders>
            <w:shd w:val="clear" w:color="auto" w:fill="FFFFFF" w:themeFill="background1"/>
          </w:tcPr>
          <w:p w14:paraId="42EC11A2"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35.0</w:t>
            </w:r>
          </w:p>
        </w:tc>
        <w:tc>
          <w:tcPr>
            <w:tcW w:w="1631" w:type="dxa"/>
            <w:tcBorders>
              <w:top w:val="nil"/>
              <w:bottom w:val="single" w:sz="4" w:space="0" w:color="53565A" w:themeColor="accent5"/>
            </w:tcBorders>
            <w:shd w:val="clear" w:color="auto" w:fill="auto"/>
          </w:tcPr>
          <w:p w14:paraId="756D527C"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5.7</w:t>
            </w:r>
          </w:p>
        </w:tc>
        <w:tc>
          <w:tcPr>
            <w:tcW w:w="907" w:type="dxa"/>
            <w:tcBorders>
              <w:top w:val="nil"/>
              <w:bottom w:val="single" w:sz="4" w:space="0" w:color="53565A" w:themeColor="accent5"/>
            </w:tcBorders>
            <w:shd w:val="clear" w:color="auto" w:fill="auto"/>
          </w:tcPr>
          <w:p w14:paraId="7E0248B1"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6E"/>
            </w:r>
          </w:p>
        </w:tc>
      </w:tr>
      <w:tr w:rsidR="00686CE7" w:rsidRPr="005734B8" w14:paraId="24387E79"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2DFED4DA" w14:textId="40EF372A" w:rsidR="00686CE7" w:rsidRPr="005734B8" w:rsidRDefault="00686CE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The above performance measure relates to the calendar year and refers to government schools only.</w:t>
            </w:r>
            <w:r w:rsidRPr="005734B8">
              <w:rPr>
                <w:rFonts w:ascii="Calibri" w:hAnsi="Calibri" w:cs="Calibri"/>
              </w:rPr>
              <w:t xml:space="preserve"> </w:t>
            </w:r>
            <w:r w:rsidRPr="005734B8">
              <w:rPr>
                <w:rFonts w:ascii="Calibri" w:eastAsiaTheme="minorEastAsia" w:hAnsi="Calibri" w:cs="Calibri"/>
                <w:i/>
                <w:sz w:val="16"/>
                <w:szCs w:val="20"/>
                <w:lang w:val="en-US"/>
              </w:rPr>
              <w:t>The 2020–21 outcome is higher than target. This is likely to be due to the impact of the COVID-19 pandemic and the move to remote and flexible learning during 2020. The rate covers all absences, including those due to illness and parent choice. This cohort is small and data is subject to volatility.</w:t>
            </w:r>
          </w:p>
        </w:tc>
      </w:tr>
      <w:tr w:rsidR="00686CE7" w:rsidRPr="005734B8" w14:paraId="62BAF3FC"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2658A22E" w14:textId="6875379C"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 xml:space="preserve">Median </w:t>
            </w:r>
            <w:r w:rsidR="00190258" w:rsidRPr="005734B8">
              <w:rPr>
                <w:rFonts w:ascii="Calibri" w:hAnsi="Calibri" w:cs="Calibri"/>
                <w:sz w:val="18"/>
                <w:szCs w:val="18"/>
              </w:rPr>
              <w:t xml:space="preserve">VCE </w:t>
            </w:r>
            <w:r w:rsidRPr="005734B8">
              <w:rPr>
                <w:rFonts w:ascii="Calibri" w:hAnsi="Calibri" w:cs="Calibri"/>
                <w:sz w:val="18"/>
                <w:szCs w:val="18"/>
              </w:rPr>
              <w:t>study score</w:t>
            </w:r>
          </w:p>
        </w:tc>
        <w:tc>
          <w:tcPr>
            <w:tcW w:w="1135" w:type="dxa"/>
            <w:tcBorders>
              <w:top w:val="single" w:sz="4" w:space="0" w:color="53565A" w:themeColor="accent5"/>
              <w:bottom w:val="single" w:sz="4" w:space="0" w:color="53565A" w:themeColor="accent5"/>
            </w:tcBorders>
            <w:shd w:val="clear" w:color="auto" w:fill="auto"/>
          </w:tcPr>
          <w:p w14:paraId="3152775C"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number</w:t>
            </w:r>
          </w:p>
        </w:tc>
        <w:tc>
          <w:tcPr>
            <w:tcW w:w="1114" w:type="dxa"/>
            <w:tcBorders>
              <w:top w:val="single" w:sz="4" w:space="0" w:color="53565A" w:themeColor="accent5"/>
              <w:bottom w:val="single" w:sz="4" w:space="0" w:color="53565A" w:themeColor="accent5"/>
            </w:tcBorders>
            <w:shd w:val="clear" w:color="auto" w:fill="D9D9D6" w:themeFill="accent1"/>
          </w:tcPr>
          <w:p w14:paraId="43B9C430"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29</w:t>
            </w:r>
          </w:p>
        </w:tc>
        <w:tc>
          <w:tcPr>
            <w:tcW w:w="1338" w:type="dxa"/>
            <w:tcBorders>
              <w:top w:val="single" w:sz="4" w:space="0" w:color="53565A" w:themeColor="accent5"/>
              <w:bottom w:val="single" w:sz="4" w:space="0" w:color="53565A" w:themeColor="accent5"/>
            </w:tcBorders>
            <w:shd w:val="clear" w:color="auto" w:fill="FFFFFF" w:themeFill="background1"/>
          </w:tcPr>
          <w:p w14:paraId="48A82F04"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29</w:t>
            </w:r>
          </w:p>
        </w:tc>
        <w:tc>
          <w:tcPr>
            <w:tcW w:w="1631" w:type="dxa"/>
            <w:tcBorders>
              <w:top w:val="single" w:sz="4" w:space="0" w:color="53565A" w:themeColor="accent5"/>
              <w:bottom w:val="single" w:sz="4" w:space="0" w:color="53565A" w:themeColor="accent5"/>
            </w:tcBorders>
            <w:shd w:val="clear" w:color="auto" w:fill="auto"/>
          </w:tcPr>
          <w:p w14:paraId="77209487"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0.0</w:t>
            </w:r>
          </w:p>
        </w:tc>
        <w:tc>
          <w:tcPr>
            <w:tcW w:w="907" w:type="dxa"/>
            <w:tcBorders>
              <w:top w:val="single" w:sz="4" w:space="0" w:color="53565A" w:themeColor="accent5"/>
              <w:bottom w:val="single" w:sz="4" w:space="0" w:color="53565A" w:themeColor="accent5"/>
            </w:tcBorders>
            <w:shd w:val="clear" w:color="auto" w:fill="auto"/>
          </w:tcPr>
          <w:p w14:paraId="37EEE459"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FC"/>
            </w:r>
          </w:p>
        </w:tc>
      </w:tr>
      <w:tr w:rsidR="00686CE7" w:rsidRPr="005734B8" w14:paraId="5A29F709"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392EF997" w14:textId="77777777" w:rsidR="00686CE7" w:rsidRPr="005734B8" w:rsidRDefault="00686CE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The above performance measure relates to the calendar year and refers to government schools only.</w:t>
            </w:r>
          </w:p>
        </w:tc>
      </w:tr>
      <w:tr w:rsidR="00686CE7" w:rsidRPr="005734B8" w14:paraId="4758F78C"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16F704AA"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Proportion of positive responses to school satisfaction by parents of government secondary school students</w:t>
            </w:r>
          </w:p>
        </w:tc>
        <w:tc>
          <w:tcPr>
            <w:tcW w:w="1135" w:type="dxa"/>
            <w:tcBorders>
              <w:top w:val="single" w:sz="4" w:space="0" w:color="53565A" w:themeColor="accent5"/>
              <w:bottom w:val="single" w:sz="4" w:space="0" w:color="53565A" w:themeColor="accent5"/>
            </w:tcBorders>
            <w:shd w:val="clear" w:color="auto" w:fill="auto"/>
          </w:tcPr>
          <w:p w14:paraId="1D7AB2EB"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072EADF4"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81</w:t>
            </w:r>
          </w:p>
        </w:tc>
        <w:tc>
          <w:tcPr>
            <w:tcW w:w="1338" w:type="dxa"/>
            <w:tcBorders>
              <w:top w:val="single" w:sz="4" w:space="0" w:color="53565A" w:themeColor="accent5"/>
              <w:bottom w:val="single" w:sz="4" w:space="0" w:color="53565A" w:themeColor="accent5"/>
            </w:tcBorders>
            <w:shd w:val="clear" w:color="auto" w:fill="FFFFFF" w:themeFill="background1"/>
          </w:tcPr>
          <w:p w14:paraId="24D40F2F"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80</w:t>
            </w:r>
          </w:p>
        </w:tc>
        <w:tc>
          <w:tcPr>
            <w:tcW w:w="1631" w:type="dxa"/>
            <w:tcBorders>
              <w:top w:val="single" w:sz="4" w:space="0" w:color="53565A" w:themeColor="accent5"/>
              <w:bottom w:val="single" w:sz="4" w:space="0" w:color="53565A" w:themeColor="accent5"/>
            </w:tcBorders>
            <w:shd w:val="clear" w:color="auto" w:fill="auto"/>
          </w:tcPr>
          <w:p w14:paraId="7657319F"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1.3</w:t>
            </w:r>
          </w:p>
        </w:tc>
        <w:tc>
          <w:tcPr>
            <w:tcW w:w="907" w:type="dxa"/>
            <w:tcBorders>
              <w:top w:val="single" w:sz="4" w:space="0" w:color="53565A" w:themeColor="accent5"/>
              <w:bottom w:val="single" w:sz="4" w:space="0" w:color="53565A" w:themeColor="accent5"/>
            </w:tcBorders>
            <w:shd w:val="clear" w:color="auto" w:fill="auto"/>
          </w:tcPr>
          <w:p w14:paraId="0A179FC5"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FC"/>
            </w:r>
          </w:p>
        </w:tc>
      </w:tr>
      <w:tr w:rsidR="00686CE7" w:rsidRPr="005734B8" w14:paraId="777ABF11"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3B1D8B6E" w14:textId="77777777" w:rsidR="00686CE7" w:rsidRPr="005734B8" w:rsidRDefault="00686CE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The above performance measure relates to the calendar year and refers to government schools only.</w:t>
            </w:r>
          </w:p>
        </w:tc>
      </w:tr>
      <w:tr w:rsidR="00686CE7" w:rsidRPr="005734B8" w14:paraId="426D0186"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3B00F3A6"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Percentage of Aboriginal students above the bottom three bands for numeracy in Year 7 (NAPLAN testing)</w:t>
            </w:r>
          </w:p>
        </w:tc>
        <w:tc>
          <w:tcPr>
            <w:tcW w:w="1135" w:type="dxa"/>
            <w:tcBorders>
              <w:top w:val="single" w:sz="4" w:space="0" w:color="53565A" w:themeColor="accent5"/>
              <w:bottom w:val="single" w:sz="4" w:space="0" w:color="53565A" w:themeColor="accent5"/>
            </w:tcBorders>
            <w:shd w:val="clear" w:color="auto" w:fill="auto"/>
          </w:tcPr>
          <w:p w14:paraId="2E90068A"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6657B0CD"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c>
          <w:tcPr>
            <w:tcW w:w="1338" w:type="dxa"/>
            <w:tcBorders>
              <w:top w:val="single" w:sz="4" w:space="0" w:color="53565A" w:themeColor="accent5"/>
              <w:bottom w:val="single" w:sz="4" w:space="0" w:color="53565A" w:themeColor="accent5"/>
            </w:tcBorders>
            <w:shd w:val="clear" w:color="auto" w:fill="FFFFFF" w:themeFill="background1"/>
          </w:tcPr>
          <w:p w14:paraId="4D268C0D"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29.7</w:t>
            </w:r>
          </w:p>
        </w:tc>
        <w:tc>
          <w:tcPr>
            <w:tcW w:w="1631" w:type="dxa"/>
            <w:tcBorders>
              <w:top w:val="single" w:sz="4" w:space="0" w:color="53565A" w:themeColor="accent5"/>
              <w:bottom w:val="single" w:sz="4" w:space="0" w:color="53565A" w:themeColor="accent5"/>
            </w:tcBorders>
            <w:shd w:val="clear" w:color="auto" w:fill="auto"/>
          </w:tcPr>
          <w:p w14:paraId="5AD7B7EC"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c>
          <w:tcPr>
            <w:tcW w:w="907" w:type="dxa"/>
            <w:tcBorders>
              <w:top w:val="single" w:sz="4" w:space="0" w:color="53565A" w:themeColor="accent5"/>
              <w:bottom w:val="single" w:sz="4" w:space="0" w:color="53565A" w:themeColor="accent5"/>
            </w:tcBorders>
            <w:shd w:val="clear" w:color="auto" w:fill="auto"/>
          </w:tcPr>
          <w:p w14:paraId="20B7B37A"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szCs w:val="16"/>
                <w:lang w:val="en-US"/>
              </w:rPr>
              <w:t>–</w:t>
            </w:r>
          </w:p>
        </w:tc>
      </w:tr>
      <w:tr w:rsidR="00686CE7" w:rsidRPr="005734B8" w14:paraId="380352E8"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6AE03FFA" w14:textId="77777777" w:rsidR="00686CE7" w:rsidRPr="005734B8" w:rsidRDefault="00686CE7" w:rsidP="000E6F40">
            <w:pPr>
              <w:spacing w:before="120" w:after="120"/>
              <w:rPr>
                <w:rFonts w:ascii="Calibri" w:eastAsiaTheme="minorEastAsia" w:hAnsi="Calibri" w:cs="Calibri"/>
                <w:i/>
                <w:sz w:val="18"/>
                <w:szCs w:val="18"/>
                <w:lang w:val="en-US"/>
              </w:rPr>
            </w:pPr>
            <w:r w:rsidRPr="005734B8">
              <w:rPr>
                <w:rFonts w:ascii="Calibri" w:eastAsiaTheme="minorEastAsia" w:hAnsi="Calibri" w:cs="Calibri"/>
                <w:i/>
                <w:sz w:val="16"/>
                <w:szCs w:val="20"/>
                <w:lang w:val="en-US"/>
              </w:rPr>
              <w:t>The above performance measure relates to the calendar year. Due to the cancellation of 2020 NAPLAN, no outcome has been reported in 2020–21.</w:t>
            </w:r>
          </w:p>
        </w:tc>
      </w:tr>
      <w:tr w:rsidR="00686CE7" w:rsidRPr="005734B8" w14:paraId="266EECF1"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72905622"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Percentage of Aboriginal students above the bottom three bands for numeracy in Year 9 (NAPLAN testing)</w:t>
            </w:r>
          </w:p>
        </w:tc>
        <w:tc>
          <w:tcPr>
            <w:tcW w:w="1135" w:type="dxa"/>
            <w:tcBorders>
              <w:top w:val="single" w:sz="4" w:space="0" w:color="53565A" w:themeColor="accent5"/>
              <w:bottom w:val="single" w:sz="4" w:space="0" w:color="53565A" w:themeColor="accent5"/>
            </w:tcBorders>
            <w:shd w:val="clear" w:color="auto" w:fill="auto"/>
          </w:tcPr>
          <w:p w14:paraId="26455DF9"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4E32EA9B"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c>
          <w:tcPr>
            <w:tcW w:w="1338" w:type="dxa"/>
            <w:tcBorders>
              <w:top w:val="single" w:sz="4" w:space="0" w:color="53565A" w:themeColor="accent5"/>
              <w:bottom w:val="single" w:sz="4" w:space="0" w:color="53565A" w:themeColor="accent5"/>
            </w:tcBorders>
            <w:shd w:val="clear" w:color="auto" w:fill="FFFFFF" w:themeFill="background1"/>
          </w:tcPr>
          <w:p w14:paraId="125F0B49"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27.9</w:t>
            </w:r>
          </w:p>
        </w:tc>
        <w:tc>
          <w:tcPr>
            <w:tcW w:w="1631" w:type="dxa"/>
            <w:tcBorders>
              <w:top w:val="single" w:sz="4" w:space="0" w:color="53565A" w:themeColor="accent5"/>
              <w:bottom w:val="single" w:sz="4" w:space="0" w:color="53565A" w:themeColor="accent5"/>
            </w:tcBorders>
            <w:shd w:val="clear" w:color="auto" w:fill="auto"/>
          </w:tcPr>
          <w:p w14:paraId="6340B43A"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c>
          <w:tcPr>
            <w:tcW w:w="907" w:type="dxa"/>
            <w:tcBorders>
              <w:top w:val="single" w:sz="4" w:space="0" w:color="53565A" w:themeColor="accent5"/>
              <w:bottom w:val="single" w:sz="4" w:space="0" w:color="53565A" w:themeColor="accent5"/>
            </w:tcBorders>
            <w:shd w:val="clear" w:color="auto" w:fill="auto"/>
          </w:tcPr>
          <w:p w14:paraId="444F0490"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szCs w:val="16"/>
                <w:lang w:val="en-US"/>
              </w:rPr>
              <w:t>–</w:t>
            </w:r>
          </w:p>
        </w:tc>
      </w:tr>
      <w:tr w:rsidR="00686CE7" w:rsidRPr="005734B8" w14:paraId="658F78C0"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0884B138" w14:textId="77777777" w:rsidR="00686CE7" w:rsidRPr="005734B8" w:rsidRDefault="00686CE7" w:rsidP="000E6F40">
            <w:pPr>
              <w:spacing w:before="120" w:after="120"/>
              <w:rPr>
                <w:rFonts w:ascii="Calibri" w:eastAsiaTheme="minorEastAsia" w:hAnsi="Calibri" w:cs="Calibri"/>
                <w:i/>
                <w:sz w:val="18"/>
                <w:szCs w:val="18"/>
                <w:lang w:val="en-US"/>
              </w:rPr>
            </w:pPr>
            <w:r w:rsidRPr="005734B8">
              <w:rPr>
                <w:rFonts w:ascii="Calibri" w:eastAsiaTheme="minorEastAsia" w:hAnsi="Calibri" w:cs="Calibri"/>
                <w:i/>
                <w:sz w:val="16"/>
                <w:szCs w:val="20"/>
                <w:lang w:val="en-US"/>
              </w:rPr>
              <w:t>This performance measure relates to the calendar year. Due to the cancellation of 2020 NAPLAN, no outcome has been reported in 2020–21.</w:t>
            </w:r>
          </w:p>
        </w:tc>
      </w:tr>
      <w:tr w:rsidR="00686CE7" w:rsidRPr="005734B8" w14:paraId="7819EE2D"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4C183B8F"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Percentage of Aboriginal students above the bottom three bands for reading in Year 7 (NAPLAN testing)</w:t>
            </w:r>
          </w:p>
        </w:tc>
        <w:tc>
          <w:tcPr>
            <w:tcW w:w="1135" w:type="dxa"/>
            <w:tcBorders>
              <w:top w:val="single" w:sz="4" w:space="0" w:color="53565A" w:themeColor="accent5"/>
              <w:bottom w:val="single" w:sz="4" w:space="0" w:color="53565A" w:themeColor="accent5"/>
            </w:tcBorders>
            <w:shd w:val="clear" w:color="auto" w:fill="auto"/>
          </w:tcPr>
          <w:p w14:paraId="58B1C6AC"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371F99A3"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c>
          <w:tcPr>
            <w:tcW w:w="1338" w:type="dxa"/>
            <w:tcBorders>
              <w:top w:val="single" w:sz="4" w:space="0" w:color="53565A" w:themeColor="accent5"/>
              <w:bottom w:val="single" w:sz="4" w:space="0" w:color="53565A" w:themeColor="accent5"/>
            </w:tcBorders>
            <w:shd w:val="clear" w:color="auto" w:fill="FFFFFF" w:themeFill="background1"/>
          </w:tcPr>
          <w:p w14:paraId="5255E44C"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29.2</w:t>
            </w:r>
          </w:p>
        </w:tc>
        <w:tc>
          <w:tcPr>
            <w:tcW w:w="1631" w:type="dxa"/>
            <w:tcBorders>
              <w:top w:val="single" w:sz="4" w:space="0" w:color="53565A" w:themeColor="accent5"/>
              <w:bottom w:val="single" w:sz="4" w:space="0" w:color="53565A" w:themeColor="accent5"/>
            </w:tcBorders>
            <w:shd w:val="clear" w:color="auto" w:fill="auto"/>
          </w:tcPr>
          <w:p w14:paraId="44240888"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c>
          <w:tcPr>
            <w:tcW w:w="907" w:type="dxa"/>
            <w:tcBorders>
              <w:top w:val="single" w:sz="4" w:space="0" w:color="53565A" w:themeColor="accent5"/>
              <w:bottom w:val="single" w:sz="4" w:space="0" w:color="53565A" w:themeColor="accent5"/>
            </w:tcBorders>
            <w:shd w:val="clear" w:color="auto" w:fill="auto"/>
          </w:tcPr>
          <w:p w14:paraId="356829D7"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szCs w:val="16"/>
                <w:lang w:val="en-US"/>
              </w:rPr>
              <w:t>–</w:t>
            </w:r>
          </w:p>
        </w:tc>
      </w:tr>
      <w:tr w:rsidR="00686CE7" w:rsidRPr="005734B8" w14:paraId="5FE7B5BF"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15D322B8" w14:textId="77777777" w:rsidR="00686CE7" w:rsidRPr="005734B8" w:rsidRDefault="00686CE7" w:rsidP="000E6F40">
            <w:pPr>
              <w:spacing w:before="120" w:after="120"/>
              <w:rPr>
                <w:rFonts w:ascii="Calibri" w:eastAsiaTheme="minorEastAsia" w:hAnsi="Calibri" w:cs="Calibri"/>
                <w:i/>
                <w:sz w:val="18"/>
                <w:szCs w:val="18"/>
                <w:lang w:val="en-US"/>
              </w:rPr>
            </w:pPr>
            <w:r w:rsidRPr="005734B8">
              <w:rPr>
                <w:rFonts w:ascii="Calibri" w:eastAsiaTheme="minorEastAsia" w:hAnsi="Calibri" w:cs="Calibri"/>
                <w:i/>
                <w:sz w:val="16"/>
                <w:szCs w:val="20"/>
                <w:lang w:val="en-US"/>
              </w:rPr>
              <w:t>The above performance measure relates to the calendar year. Due to the cancellation of 2020 NAPLAN, no outcome has been reported in 2020–21.</w:t>
            </w:r>
          </w:p>
        </w:tc>
      </w:tr>
      <w:tr w:rsidR="00686CE7" w:rsidRPr="005734B8" w14:paraId="58ECD237"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57345679"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lastRenderedPageBreak/>
              <w:t>Percentage of Aboriginal students above the bottom three bands for reading in Year 9 (NAPLAN testing)</w:t>
            </w:r>
          </w:p>
        </w:tc>
        <w:tc>
          <w:tcPr>
            <w:tcW w:w="1135" w:type="dxa"/>
            <w:tcBorders>
              <w:top w:val="single" w:sz="4" w:space="0" w:color="53565A" w:themeColor="accent5"/>
              <w:bottom w:val="single" w:sz="4" w:space="0" w:color="53565A" w:themeColor="accent5"/>
            </w:tcBorders>
            <w:shd w:val="clear" w:color="auto" w:fill="auto"/>
          </w:tcPr>
          <w:p w14:paraId="0DE643FD"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55CB0731"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c>
          <w:tcPr>
            <w:tcW w:w="1338" w:type="dxa"/>
            <w:tcBorders>
              <w:top w:val="single" w:sz="4" w:space="0" w:color="53565A" w:themeColor="accent5"/>
              <w:bottom w:val="single" w:sz="4" w:space="0" w:color="53565A" w:themeColor="accent5"/>
            </w:tcBorders>
            <w:shd w:val="clear" w:color="auto" w:fill="FFFFFF" w:themeFill="background1"/>
          </w:tcPr>
          <w:p w14:paraId="68DFCB2C"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26.3</w:t>
            </w:r>
          </w:p>
        </w:tc>
        <w:tc>
          <w:tcPr>
            <w:tcW w:w="1631" w:type="dxa"/>
            <w:tcBorders>
              <w:top w:val="single" w:sz="4" w:space="0" w:color="53565A" w:themeColor="accent5"/>
              <w:bottom w:val="single" w:sz="4" w:space="0" w:color="53565A" w:themeColor="accent5"/>
            </w:tcBorders>
            <w:shd w:val="clear" w:color="auto" w:fill="auto"/>
          </w:tcPr>
          <w:p w14:paraId="6C825829"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c>
          <w:tcPr>
            <w:tcW w:w="907" w:type="dxa"/>
            <w:tcBorders>
              <w:top w:val="single" w:sz="4" w:space="0" w:color="53565A" w:themeColor="accent5"/>
              <w:bottom w:val="single" w:sz="4" w:space="0" w:color="53565A" w:themeColor="accent5"/>
            </w:tcBorders>
            <w:shd w:val="clear" w:color="auto" w:fill="auto"/>
          </w:tcPr>
          <w:p w14:paraId="5F7CFC6D"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szCs w:val="16"/>
                <w:lang w:val="en-US"/>
              </w:rPr>
              <w:t>–</w:t>
            </w:r>
          </w:p>
        </w:tc>
      </w:tr>
      <w:tr w:rsidR="00686CE7" w:rsidRPr="005734B8" w14:paraId="6A432692"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1049620C" w14:textId="77777777" w:rsidR="00686CE7" w:rsidRPr="005734B8" w:rsidRDefault="00686CE7" w:rsidP="000E6F40">
            <w:pPr>
              <w:spacing w:before="120" w:after="120"/>
              <w:rPr>
                <w:rFonts w:ascii="Calibri" w:eastAsiaTheme="minorEastAsia" w:hAnsi="Calibri" w:cs="Calibri"/>
                <w:i/>
                <w:sz w:val="18"/>
                <w:szCs w:val="18"/>
                <w:lang w:val="en-US"/>
              </w:rPr>
            </w:pPr>
            <w:r w:rsidRPr="005734B8">
              <w:rPr>
                <w:rFonts w:ascii="Calibri" w:eastAsiaTheme="minorEastAsia" w:hAnsi="Calibri" w:cs="Calibri"/>
                <w:i/>
                <w:sz w:val="16"/>
                <w:szCs w:val="20"/>
                <w:lang w:val="en-US"/>
              </w:rPr>
              <w:t>The above performance measure relates to the calendar year. Due to the cancellation of 2020 NAPLAN, no outcome has been reported in 2020–21.</w:t>
            </w:r>
          </w:p>
        </w:tc>
      </w:tr>
      <w:tr w:rsidR="00686CE7" w:rsidRPr="005734B8" w14:paraId="56718B1C"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2D2BA26E"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Percentage of school leavers completing a VCE VET program in a school progressing to further education, training or work</w:t>
            </w:r>
          </w:p>
        </w:tc>
        <w:tc>
          <w:tcPr>
            <w:tcW w:w="1135" w:type="dxa"/>
            <w:tcBorders>
              <w:top w:val="single" w:sz="4" w:space="0" w:color="53565A" w:themeColor="accent5"/>
              <w:bottom w:val="single" w:sz="4" w:space="0" w:color="53565A" w:themeColor="accent5"/>
            </w:tcBorders>
            <w:shd w:val="clear" w:color="auto" w:fill="auto"/>
          </w:tcPr>
          <w:p w14:paraId="7E03254E"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59BB2F40"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92.2</w:t>
            </w:r>
          </w:p>
        </w:tc>
        <w:tc>
          <w:tcPr>
            <w:tcW w:w="1338" w:type="dxa"/>
            <w:tcBorders>
              <w:top w:val="single" w:sz="4" w:space="0" w:color="53565A" w:themeColor="accent5"/>
              <w:bottom w:val="single" w:sz="4" w:space="0" w:color="53565A" w:themeColor="accent5"/>
            </w:tcBorders>
            <w:shd w:val="clear" w:color="auto" w:fill="FFFFFF" w:themeFill="background1"/>
          </w:tcPr>
          <w:p w14:paraId="7D108549"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95.0</w:t>
            </w:r>
          </w:p>
        </w:tc>
        <w:tc>
          <w:tcPr>
            <w:tcW w:w="1631" w:type="dxa"/>
            <w:tcBorders>
              <w:top w:val="single" w:sz="4" w:space="0" w:color="53565A" w:themeColor="accent5"/>
              <w:bottom w:val="single" w:sz="4" w:space="0" w:color="53565A" w:themeColor="accent5"/>
            </w:tcBorders>
            <w:shd w:val="clear" w:color="auto" w:fill="auto"/>
          </w:tcPr>
          <w:p w14:paraId="7DD635F4"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2.9</w:t>
            </w:r>
          </w:p>
        </w:tc>
        <w:tc>
          <w:tcPr>
            <w:tcW w:w="907" w:type="dxa"/>
            <w:tcBorders>
              <w:top w:val="single" w:sz="4" w:space="0" w:color="53565A" w:themeColor="accent5"/>
              <w:bottom w:val="single" w:sz="4" w:space="0" w:color="53565A" w:themeColor="accent5"/>
            </w:tcBorders>
            <w:shd w:val="clear" w:color="auto" w:fill="auto"/>
          </w:tcPr>
          <w:p w14:paraId="1DE0DC56"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A1"/>
            </w:r>
          </w:p>
        </w:tc>
      </w:tr>
      <w:tr w:rsidR="00686CE7" w:rsidRPr="005734B8" w14:paraId="608C5B18"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5CF29008" w14:textId="77777777" w:rsidR="00686CE7" w:rsidRPr="005734B8" w:rsidRDefault="00686CE7" w:rsidP="000E6F40">
            <w:pPr>
              <w:spacing w:before="120" w:after="120"/>
              <w:rPr>
                <w:rFonts w:ascii="Calibri" w:eastAsiaTheme="minorEastAsia" w:hAnsi="Calibri" w:cs="Calibri"/>
                <w:i/>
                <w:sz w:val="18"/>
                <w:szCs w:val="18"/>
                <w:lang w:val="en-US"/>
              </w:rPr>
            </w:pPr>
            <w:r w:rsidRPr="005734B8">
              <w:rPr>
                <w:rFonts w:ascii="Calibri" w:eastAsiaTheme="minorEastAsia" w:hAnsi="Calibri" w:cs="Calibri"/>
                <w:i/>
                <w:sz w:val="16"/>
                <w:szCs w:val="20"/>
                <w:lang w:val="en-US"/>
              </w:rPr>
              <w:t>The above performance measure relates to the calendar year.</w:t>
            </w:r>
          </w:p>
        </w:tc>
      </w:tr>
      <w:tr w:rsidR="00686CE7" w:rsidRPr="005734B8" w14:paraId="078047A9"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038F9FE8" w14:textId="77777777" w:rsidR="00686CE7" w:rsidRPr="005734B8" w:rsidRDefault="00686CE7" w:rsidP="000E6F40">
            <w:pPr>
              <w:spacing w:before="120" w:after="120"/>
              <w:rPr>
                <w:rFonts w:ascii="Calibri" w:hAnsi="Calibri" w:cs="Calibri"/>
                <w:sz w:val="18"/>
                <w:szCs w:val="18"/>
              </w:rPr>
            </w:pPr>
            <w:r w:rsidRPr="005734B8">
              <w:rPr>
                <w:rFonts w:ascii="Calibri" w:hAnsi="Calibri" w:cs="Calibri"/>
                <w:sz w:val="18"/>
                <w:szCs w:val="18"/>
              </w:rPr>
              <w:t>Percentage of school leavers completing an intermediate or senior VCAL in a school progressing to further education, training or work</w:t>
            </w:r>
          </w:p>
        </w:tc>
        <w:tc>
          <w:tcPr>
            <w:tcW w:w="1135" w:type="dxa"/>
            <w:tcBorders>
              <w:top w:val="single" w:sz="4" w:space="0" w:color="53565A" w:themeColor="accent5"/>
              <w:bottom w:val="single" w:sz="4" w:space="0" w:color="53565A" w:themeColor="accent5"/>
            </w:tcBorders>
            <w:shd w:val="clear" w:color="auto" w:fill="auto"/>
          </w:tcPr>
          <w:p w14:paraId="37F6483F"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7E3E5EDE"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79.5</w:t>
            </w:r>
          </w:p>
        </w:tc>
        <w:tc>
          <w:tcPr>
            <w:tcW w:w="1338" w:type="dxa"/>
            <w:tcBorders>
              <w:top w:val="single" w:sz="4" w:space="0" w:color="53565A" w:themeColor="accent5"/>
              <w:bottom w:val="single" w:sz="4" w:space="0" w:color="53565A" w:themeColor="accent5"/>
            </w:tcBorders>
            <w:shd w:val="clear" w:color="auto" w:fill="FFFFFF" w:themeFill="background1"/>
          </w:tcPr>
          <w:p w14:paraId="39CA5D84"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85.0</w:t>
            </w:r>
          </w:p>
        </w:tc>
        <w:tc>
          <w:tcPr>
            <w:tcW w:w="1631" w:type="dxa"/>
            <w:tcBorders>
              <w:top w:val="single" w:sz="4" w:space="0" w:color="53565A" w:themeColor="accent5"/>
              <w:bottom w:val="single" w:sz="4" w:space="0" w:color="53565A" w:themeColor="accent5"/>
            </w:tcBorders>
            <w:shd w:val="clear" w:color="auto" w:fill="auto"/>
          </w:tcPr>
          <w:p w14:paraId="237255F7"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6.5</w:t>
            </w:r>
          </w:p>
        </w:tc>
        <w:tc>
          <w:tcPr>
            <w:tcW w:w="907" w:type="dxa"/>
            <w:tcBorders>
              <w:top w:val="single" w:sz="4" w:space="0" w:color="53565A" w:themeColor="accent5"/>
              <w:bottom w:val="single" w:sz="4" w:space="0" w:color="53565A" w:themeColor="accent5"/>
            </w:tcBorders>
            <w:shd w:val="clear" w:color="auto" w:fill="auto"/>
          </w:tcPr>
          <w:p w14:paraId="7458A35E"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6E"/>
            </w:r>
          </w:p>
        </w:tc>
      </w:tr>
      <w:tr w:rsidR="00686CE7" w:rsidRPr="005734B8" w14:paraId="2DEE2AB8"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5F49D145" w14:textId="7BB4288D" w:rsidR="00686CE7" w:rsidRPr="005734B8" w:rsidRDefault="00686CE7" w:rsidP="000E6F40">
            <w:pPr>
              <w:spacing w:before="120" w:after="120"/>
              <w:rPr>
                <w:rFonts w:ascii="Calibri" w:eastAsiaTheme="minorEastAsia" w:hAnsi="Calibri" w:cs="Calibri"/>
                <w:i/>
                <w:sz w:val="18"/>
                <w:szCs w:val="18"/>
                <w:lang w:val="en-US"/>
              </w:rPr>
            </w:pPr>
            <w:r w:rsidRPr="005734B8">
              <w:rPr>
                <w:rFonts w:ascii="Calibri" w:eastAsiaTheme="minorEastAsia" w:hAnsi="Calibri" w:cs="Calibri"/>
                <w:i/>
                <w:sz w:val="16"/>
                <w:szCs w:val="20"/>
                <w:lang w:val="en-US"/>
              </w:rPr>
              <w:t>The above performance measure relates to the calendar year. The 2020–21 outcome is lower than</w:t>
            </w:r>
            <w:r w:rsidR="00314D5E" w:rsidRPr="005734B8">
              <w:rPr>
                <w:rFonts w:ascii="Calibri" w:eastAsiaTheme="minorEastAsia" w:hAnsi="Calibri" w:cs="Calibri"/>
                <w:i/>
                <w:sz w:val="16"/>
                <w:szCs w:val="20"/>
                <w:lang w:val="en-US"/>
              </w:rPr>
              <w:t xml:space="preserve"> the</w:t>
            </w:r>
            <w:r w:rsidRPr="005734B8">
              <w:rPr>
                <w:rFonts w:ascii="Calibri" w:eastAsiaTheme="minorEastAsia" w:hAnsi="Calibri" w:cs="Calibri"/>
                <w:i/>
                <w:sz w:val="16"/>
                <w:szCs w:val="20"/>
                <w:lang w:val="en-US"/>
              </w:rPr>
              <w:t xml:space="preserve"> target due to a significant proportion of students deferring further education and training in 2020 due </w:t>
            </w:r>
            <w:r w:rsidR="00EE4763" w:rsidRPr="005734B8">
              <w:rPr>
                <w:rFonts w:ascii="Calibri" w:eastAsiaTheme="minorEastAsia" w:hAnsi="Calibri" w:cs="Calibri"/>
                <w:i/>
                <w:sz w:val="16"/>
                <w:szCs w:val="20"/>
                <w:lang w:val="en-US"/>
              </w:rPr>
              <w:t xml:space="preserve">to </w:t>
            </w:r>
            <w:r w:rsidRPr="005734B8">
              <w:rPr>
                <w:rFonts w:ascii="Calibri" w:eastAsiaTheme="minorEastAsia" w:hAnsi="Calibri" w:cs="Calibri"/>
                <w:i/>
                <w:sz w:val="16"/>
                <w:szCs w:val="20"/>
                <w:lang w:val="en-US"/>
              </w:rPr>
              <w:t xml:space="preserve">challenges relating to online program delivery and reductions in employment opportunities </w:t>
            </w:r>
            <w:r w:rsidR="00EE4763" w:rsidRPr="005734B8">
              <w:rPr>
                <w:rFonts w:ascii="Calibri" w:eastAsiaTheme="minorEastAsia" w:hAnsi="Calibri" w:cs="Calibri"/>
                <w:i/>
                <w:sz w:val="16"/>
                <w:szCs w:val="20"/>
                <w:lang w:val="en-US"/>
              </w:rPr>
              <w:t>resulting from</w:t>
            </w:r>
            <w:r w:rsidRPr="005734B8">
              <w:rPr>
                <w:rFonts w:ascii="Calibri" w:eastAsiaTheme="minorEastAsia" w:hAnsi="Calibri" w:cs="Calibri"/>
                <w:i/>
                <w:sz w:val="16"/>
                <w:szCs w:val="20"/>
                <w:lang w:val="en-US"/>
              </w:rPr>
              <w:t xml:space="preserve"> the COVID-19 pandemic.</w:t>
            </w:r>
          </w:p>
        </w:tc>
      </w:tr>
      <w:tr w:rsidR="00686CE7" w:rsidRPr="005734B8" w14:paraId="35B88F12"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24E9A8D7" w14:textId="77777777" w:rsidR="00686CE7" w:rsidRPr="005734B8" w:rsidRDefault="00686CE7" w:rsidP="000E6F40">
            <w:pPr>
              <w:spacing w:before="120" w:after="120"/>
              <w:rPr>
                <w:rFonts w:ascii="Calibri" w:hAnsi="Calibri" w:cs="Calibri"/>
                <w:sz w:val="18"/>
                <w:szCs w:val="18"/>
              </w:rPr>
            </w:pPr>
            <w:r w:rsidRPr="005734B8">
              <w:rPr>
                <w:rFonts w:ascii="Calibri" w:hAnsi="Calibri" w:cs="Calibri"/>
                <w:sz w:val="18"/>
                <w:szCs w:val="18"/>
              </w:rPr>
              <w:t>Percentage of students above the bottom three bands for numeracy in Year 7 (NAPLAN testing)</w:t>
            </w:r>
          </w:p>
        </w:tc>
        <w:tc>
          <w:tcPr>
            <w:tcW w:w="1135" w:type="dxa"/>
            <w:tcBorders>
              <w:top w:val="single" w:sz="4" w:space="0" w:color="53565A" w:themeColor="accent5"/>
              <w:bottom w:val="single" w:sz="4" w:space="0" w:color="53565A" w:themeColor="accent5"/>
            </w:tcBorders>
            <w:shd w:val="clear" w:color="auto" w:fill="auto"/>
          </w:tcPr>
          <w:p w14:paraId="32FF0B56"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7D62A3CD"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c>
          <w:tcPr>
            <w:tcW w:w="1338" w:type="dxa"/>
            <w:tcBorders>
              <w:top w:val="single" w:sz="4" w:space="0" w:color="53565A" w:themeColor="accent5"/>
              <w:bottom w:val="single" w:sz="4" w:space="0" w:color="53565A" w:themeColor="accent5"/>
            </w:tcBorders>
            <w:shd w:val="clear" w:color="auto" w:fill="FFFFFF" w:themeFill="background1"/>
          </w:tcPr>
          <w:p w14:paraId="4C32ED34"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64.7</w:t>
            </w:r>
          </w:p>
        </w:tc>
        <w:tc>
          <w:tcPr>
            <w:tcW w:w="1631" w:type="dxa"/>
            <w:tcBorders>
              <w:top w:val="single" w:sz="4" w:space="0" w:color="53565A" w:themeColor="accent5"/>
              <w:bottom w:val="single" w:sz="4" w:space="0" w:color="53565A" w:themeColor="accent5"/>
            </w:tcBorders>
            <w:shd w:val="clear" w:color="auto" w:fill="auto"/>
          </w:tcPr>
          <w:p w14:paraId="58C2B5F0"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c>
          <w:tcPr>
            <w:tcW w:w="907" w:type="dxa"/>
            <w:tcBorders>
              <w:top w:val="single" w:sz="4" w:space="0" w:color="53565A" w:themeColor="accent5"/>
              <w:bottom w:val="single" w:sz="4" w:space="0" w:color="53565A" w:themeColor="accent5"/>
            </w:tcBorders>
            <w:shd w:val="clear" w:color="auto" w:fill="auto"/>
          </w:tcPr>
          <w:p w14:paraId="40CA8E0E"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szCs w:val="16"/>
                <w:lang w:val="en-US"/>
              </w:rPr>
              <w:t>–</w:t>
            </w:r>
          </w:p>
        </w:tc>
      </w:tr>
      <w:tr w:rsidR="00686CE7" w:rsidRPr="005734B8" w14:paraId="5D2FF2FD"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0455732B" w14:textId="77777777" w:rsidR="00686CE7" w:rsidRPr="005734B8" w:rsidRDefault="00686CE7" w:rsidP="000E6F40">
            <w:pPr>
              <w:spacing w:before="120" w:after="120"/>
              <w:rPr>
                <w:rFonts w:ascii="Calibri" w:eastAsiaTheme="minorEastAsia" w:hAnsi="Calibri" w:cs="Calibri"/>
                <w:i/>
                <w:color w:val="FF0000"/>
                <w:sz w:val="16"/>
                <w:szCs w:val="20"/>
                <w:lang w:val="en-US"/>
              </w:rPr>
            </w:pPr>
            <w:r w:rsidRPr="005734B8">
              <w:rPr>
                <w:rFonts w:ascii="Calibri" w:eastAsiaTheme="minorEastAsia" w:hAnsi="Calibri" w:cs="Calibri"/>
                <w:i/>
                <w:sz w:val="16"/>
                <w:szCs w:val="20"/>
                <w:lang w:val="en-US"/>
              </w:rPr>
              <w:t>The above performance measure relates to the calendar year. Due to the cancellation of 2020 NAPLAN, no outcome has been reported in 2020–21.</w:t>
            </w:r>
          </w:p>
        </w:tc>
      </w:tr>
      <w:tr w:rsidR="00686CE7" w:rsidRPr="005734B8" w14:paraId="4FDC6762"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1389C0DC" w14:textId="77777777" w:rsidR="00686CE7" w:rsidRPr="005734B8" w:rsidRDefault="00686CE7" w:rsidP="000E6F40">
            <w:pPr>
              <w:spacing w:before="120" w:after="120"/>
              <w:rPr>
                <w:rFonts w:ascii="Calibri" w:hAnsi="Calibri" w:cs="Calibri"/>
                <w:sz w:val="18"/>
                <w:szCs w:val="18"/>
              </w:rPr>
            </w:pPr>
            <w:r w:rsidRPr="005734B8">
              <w:rPr>
                <w:rFonts w:ascii="Calibri" w:hAnsi="Calibri" w:cs="Calibri"/>
                <w:sz w:val="18"/>
                <w:szCs w:val="18"/>
              </w:rPr>
              <w:t>Percentage of students above the bottom three bands for numeracy in Year 9 (NAPLAN testing)</w:t>
            </w:r>
          </w:p>
        </w:tc>
        <w:tc>
          <w:tcPr>
            <w:tcW w:w="1135" w:type="dxa"/>
            <w:tcBorders>
              <w:top w:val="single" w:sz="4" w:space="0" w:color="53565A" w:themeColor="accent5"/>
              <w:bottom w:val="single" w:sz="4" w:space="0" w:color="53565A" w:themeColor="accent5"/>
            </w:tcBorders>
            <w:shd w:val="clear" w:color="auto" w:fill="auto"/>
          </w:tcPr>
          <w:p w14:paraId="26B86F72"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0C9832BF"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c>
          <w:tcPr>
            <w:tcW w:w="1338" w:type="dxa"/>
            <w:tcBorders>
              <w:top w:val="single" w:sz="4" w:space="0" w:color="53565A" w:themeColor="accent5"/>
              <w:bottom w:val="single" w:sz="4" w:space="0" w:color="53565A" w:themeColor="accent5"/>
            </w:tcBorders>
            <w:shd w:val="clear" w:color="auto" w:fill="FFFFFF" w:themeFill="background1"/>
          </w:tcPr>
          <w:p w14:paraId="45DF840E"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57.9</w:t>
            </w:r>
          </w:p>
        </w:tc>
        <w:tc>
          <w:tcPr>
            <w:tcW w:w="1631" w:type="dxa"/>
            <w:tcBorders>
              <w:top w:val="single" w:sz="4" w:space="0" w:color="53565A" w:themeColor="accent5"/>
              <w:bottom w:val="single" w:sz="4" w:space="0" w:color="53565A" w:themeColor="accent5"/>
            </w:tcBorders>
            <w:shd w:val="clear" w:color="auto" w:fill="auto"/>
          </w:tcPr>
          <w:p w14:paraId="2AD9EF8B"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c>
          <w:tcPr>
            <w:tcW w:w="907" w:type="dxa"/>
            <w:tcBorders>
              <w:top w:val="single" w:sz="4" w:space="0" w:color="53565A" w:themeColor="accent5"/>
              <w:bottom w:val="single" w:sz="4" w:space="0" w:color="53565A" w:themeColor="accent5"/>
            </w:tcBorders>
            <w:shd w:val="clear" w:color="auto" w:fill="auto"/>
          </w:tcPr>
          <w:p w14:paraId="05C774E7"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r>
      <w:tr w:rsidR="00686CE7" w:rsidRPr="005734B8" w14:paraId="4E83F09F"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5576ED8C" w14:textId="77777777" w:rsidR="00686CE7" w:rsidRPr="005734B8" w:rsidRDefault="00686CE7" w:rsidP="000E6F40">
            <w:pPr>
              <w:spacing w:before="120" w:after="120"/>
              <w:rPr>
                <w:rFonts w:ascii="Calibri" w:eastAsiaTheme="minorEastAsia" w:hAnsi="Calibri" w:cs="Calibri"/>
                <w:i/>
                <w:sz w:val="18"/>
                <w:szCs w:val="18"/>
                <w:lang w:val="en-US"/>
              </w:rPr>
            </w:pPr>
            <w:r w:rsidRPr="005734B8">
              <w:rPr>
                <w:rFonts w:ascii="Calibri" w:eastAsiaTheme="minorEastAsia" w:hAnsi="Calibri" w:cs="Calibri"/>
                <w:i/>
                <w:sz w:val="16"/>
                <w:szCs w:val="20"/>
                <w:lang w:val="en-US"/>
              </w:rPr>
              <w:t>The above performance measure relates to the calendar year. Due to the cancellation of 2020 NAPLAN, no outcome has been reported in 2020–21.</w:t>
            </w:r>
          </w:p>
        </w:tc>
      </w:tr>
      <w:tr w:rsidR="00686CE7" w:rsidRPr="005734B8" w14:paraId="75004216"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36B2D8A8"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Percentage of students above the bottom three bands for reading in Year 7 (NAPLAN testing)</w:t>
            </w:r>
          </w:p>
        </w:tc>
        <w:tc>
          <w:tcPr>
            <w:tcW w:w="1135" w:type="dxa"/>
            <w:tcBorders>
              <w:top w:val="single" w:sz="4" w:space="0" w:color="53565A" w:themeColor="accent5"/>
              <w:bottom w:val="single" w:sz="4" w:space="0" w:color="53565A" w:themeColor="accent5"/>
            </w:tcBorders>
            <w:shd w:val="clear" w:color="auto" w:fill="auto"/>
          </w:tcPr>
          <w:p w14:paraId="062E7728"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3F9DF001"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c>
          <w:tcPr>
            <w:tcW w:w="1338" w:type="dxa"/>
            <w:tcBorders>
              <w:top w:val="single" w:sz="4" w:space="0" w:color="53565A" w:themeColor="accent5"/>
              <w:bottom w:val="single" w:sz="4" w:space="0" w:color="53565A" w:themeColor="accent5"/>
            </w:tcBorders>
            <w:shd w:val="clear" w:color="auto" w:fill="FFFFFF" w:themeFill="background1"/>
          </w:tcPr>
          <w:p w14:paraId="290D323A"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61.1</w:t>
            </w:r>
          </w:p>
        </w:tc>
        <w:tc>
          <w:tcPr>
            <w:tcW w:w="1631" w:type="dxa"/>
            <w:tcBorders>
              <w:top w:val="single" w:sz="4" w:space="0" w:color="53565A" w:themeColor="accent5"/>
              <w:bottom w:val="single" w:sz="4" w:space="0" w:color="53565A" w:themeColor="accent5"/>
            </w:tcBorders>
            <w:shd w:val="clear" w:color="auto" w:fill="auto"/>
          </w:tcPr>
          <w:p w14:paraId="7A4CA911"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c>
          <w:tcPr>
            <w:tcW w:w="907" w:type="dxa"/>
            <w:tcBorders>
              <w:top w:val="single" w:sz="4" w:space="0" w:color="53565A" w:themeColor="accent5"/>
              <w:bottom w:val="single" w:sz="4" w:space="0" w:color="53565A" w:themeColor="accent5"/>
            </w:tcBorders>
            <w:shd w:val="clear" w:color="auto" w:fill="auto"/>
          </w:tcPr>
          <w:p w14:paraId="69FEF4BF"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szCs w:val="16"/>
                <w:lang w:val="en-US"/>
              </w:rPr>
              <w:t>–</w:t>
            </w:r>
          </w:p>
        </w:tc>
      </w:tr>
      <w:tr w:rsidR="00686CE7" w:rsidRPr="005734B8" w14:paraId="2818D3C5"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25F44C1E" w14:textId="77777777" w:rsidR="00686CE7" w:rsidRPr="005734B8" w:rsidRDefault="00686CE7" w:rsidP="000E6F40">
            <w:pPr>
              <w:spacing w:before="120" w:after="120"/>
              <w:rPr>
                <w:rFonts w:ascii="Calibri" w:eastAsiaTheme="minorEastAsia" w:hAnsi="Calibri" w:cs="Calibri"/>
                <w:i/>
                <w:sz w:val="18"/>
                <w:szCs w:val="18"/>
                <w:lang w:val="en-US"/>
              </w:rPr>
            </w:pPr>
            <w:r w:rsidRPr="005734B8">
              <w:rPr>
                <w:rFonts w:ascii="Calibri" w:eastAsiaTheme="minorEastAsia" w:hAnsi="Calibri" w:cs="Calibri"/>
                <w:i/>
                <w:sz w:val="16"/>
                <w:szCs w:val="20"/>
                <w:lang w:val="en-US"/>
              </w:rPr>
              <w:t>The above performance measure relates to the calendar year. Due to the cancellation of 2020 NAPLAN, no outcome has been reported in 2020–21.</w:t>
            </w:r>
          </w:p>
        </w:tc>
      </w:tr>
      <w:tr w:rsidR="00686CE7" w:rsidRPr="005734B8" w14:paraId="78115DBE"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5B81013C"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Percentage of students above the bottom three bands for reading in Year 9 (NAPLAN testing)</w:t>
            </w:r>
          </w:p>
        </w:tc>
        <w:tc>
          <w:tcPr>
            <w:tcW w:w="1135" w:type="dxa"/>
            <w:tcBorders>
              <w:top w:val="single" w:sz="4" w:space="0" w:color="53565A" w:themeColor="accent5"/>
              <w:bottom w:val="single" w:sz="4" w:space="0" w:color="53565A" w:themeColor="accent5"/>
            </w:tcBorders>
            <w:shd w:val="clear" w:color="auto" w:fill="auto"/>
          </w:tcPr>
          <w:p w14:paraId="7F193E60"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067AD214"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c>
          <w:tcPr>
            <w:tcW w:w="1338" w:type="dxa"/>
            <w:tcBorders>
              <w:top w:val="single" w:sz="4" w:space="0" w:color="53565A" w:themeColor="accent5"/>
              <w:bottom w:val="single" w:sz="4" w:space="0" w:color="53565A" w:themeColor="accent5"/>
            </w:tcBorders>
            <w:shd w:val="clear" w:color="auto" w:fill="FFFFFF" w:themeFill="background1"/>
          </w:tcPr>
          <w:p w14:paraId="30D9FDA4"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53.3</w:t>
            </w:r>
          </w:p>
        </w:tc>
        <w:tc>
          <w:tcPr>
            <w:tcW w:w="1631" w:type="dxa"/>
            <w:tcBorders>
              <w:top w:val="single" w:sz="4" w:space="0" w:color="53565A" w:themeColor="accent5"/>
              <w:bottom w:val="single" w:sz="4" w:space="0" w:color="53565A" w:themeColor="accent5"/>
            </w:tcBorders>
            <w:shd w:val="clear" w:color="auto" w:fill="auto"/>
          </w:tcPr>
          <w:p w14:paraId="35E45525"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c>
          <w:tcPr>
            <w:tcW w:w="907" w:type="dxa"/>
            <w:tcBorders>
              <w:top w:val="single" w:sz="4" w:space="0" w:color="53565A" w:themeColor="accent5"/>
              <w:bottom w:val="single" w:sz="4" w:space="0" w:color="53565A" w:themeColor="accent5"/>
            </w:tcBorders>
            <w:shd w:val="clear" w:color="auto" w:fill="auto"/>
          </w:tcPr>
          <w:p w14:paraId="13A33ABF"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szCs w:val="16"/>
                <w:lang w:val="en-US"/>
              </w:rPr>
              <w:t>–</w:t>
            </w:r>
          </w:p>
        </w:tc>
      </w:tr>
      <w:tr w:rsidR="00686CE7" w:rsidRPr="005734B8" w14:paraId="18B59BDC"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4D46303E" w14:textId="77777777" w:rsidR="00686CE7" w:rsidRPr="005734B8" w:rsidRDefault="00686CE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The above performance measure relates to the calendar year. Due to the cancellation of 2020 NAPLAN, no outcome has been reported in 2020–21.</w:t>
            </w:r>
          </w:p>
        </w:tc>
      </w:tr>
      <w:tr w:rsidR="00686CE7" w:rsidRPr="005734B8" w14:paraId="4F3D9858"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0A28F887"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Percentage of students in the top two bands for numeracy in Year 7 (NAPLAN testing)</w:t>
            </w:r>
          </w:p>
        </w:tc>
        <w:tc>
          <w:tcPr>
            <w:tcW w:w="1135" w:type="dxa"/>
            <w:tcBorders>
              <w:top w:val="single" w:sz="4" w:space="0" w:color="53565A" w:themeColor="accent5"/>
              <w:bottom w:val="single" w:sz="4" w:space="0" w:color="53565A" w:themeColor="accent5"/>
            </w:tcBorders>
            <w:shd w:val="clear" w:color="auto" w:fill="auto"/>
          </w:tcPr>
          <w:p w14:paraId="60D30FF5"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1C181DB2"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c>
          <w:tcPr>
            <w:tcW w:w="1338" w:type="dxa"/>
            <w:tcBorders>
              <w:top w:val="single" w:sz="4" w:space="0" w:color="53565A" w:themeColor="accent5"/>
              <w:bottom w:val="single" w:sz="4" w:space="0" w:color="53565A" w:themeColor="accent5"/>
            </w:tcBorders>
            <w:shd w:val="clear" w:color="auto" w:fill="FFFFFF" w:themeFill="background1"/>
          </w:tcPr>
          <w:p w14:paraId="6437FA85"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36.7</w:t>
            </w:r>
          </w:p>
        </w:tc>
        <w:tc>
          <w:tcPr>
            <w:tcW w:w="1631" w:type="dxa"/>
            <w:tcBorders>
              <w:top w:val="single" w:sz="4" w:space="0" w:color="53565A" w:themeColor="accent5"/>
              <w:bottom w:val="single" w:sz="4" w:space="0" w:color="53565A" w:themeColor="accent5"/>
            </w:tcBorders>
            <w:shd w:val="clear" w:color="auto" w:fill="auto"/>
          </w:tcPr>
          <w:p w14:paraId="5292BDBF"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c>
          <w:tcPr>
            <w:tcW w:w="907" w:type="dxa"/>
            <w:tcBorders>
              <w:top w:val="single" w:sz="4" w:space="0" w:color="53565A" w:themeColor="accent5"/>
              <w:bottom w:val="single" w:sz="4" w:space="0" w:color="53565A" w:themeColor="accent5"/>
            </w:tcBorders>
            <w:shd w:val="clear" w:color="auto" w:fill="auto"/>
          </w:tcPr>
          <w:p w14:paraId="628624C6"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szCs w:val="16"/>
                <w:lang w:val="en-US"/>
              </w:rPr>
              <w:t>–</w:t>
            </w:r>
          </w:p>
        </w:tc>
      </w:tr>
      <w:tr w:rsidR="00686CE7" w:rsidRPr="005734B8" w14:paraId="6B79DDA0"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090A4EB3" w14:textId="77777777" w:rsidR="00686CE7" w:rsidRPr="005734B8" w:rsidRDefault="00686CE7" w:rsidP="000E6F40">
            <w:pPr>
              <w:spacing w:before="120" w:after="120"/>
              <w:rPr>
                <w:rFonts w:ascii="Calibri" w:eastAsiaTheme="minorEastAsia" w:hAnsi="Calibri" w:cs="Calibri"/>
                <w:i/>
                <w:sz w:val="18"/>
                <w:szCs w:val="18"/>
                <w:lang w:val="en-US"/>
              </w:rPr>
            </w:pPr>
            <w:r w:rsidRPr="005734B8">
              <w:rPr>
                <w:rFonts w:ascii="Calibri" w:eastAsiaTheme="minorEastAsia" w:hAnsi="Calibri" w:cs="Calibri"/>
                <w:i/>
                <w:sz w:val="16"/>
                <w:szCs w:val="20"/>
                <w:lang w:val="en-US"/>
              </w:rPr>
              <w:t>The above performance measure relates to the calendar year. Due to the cancellation of 2020 NAPLAN, no outcome has been reported in 2020–21.</w:t>
            </w:r>
          </w:p>
        </w:tc>
      </w:tr>
      <w:tr w:rsidR="00686CE7" w:rsidRPr="005734B8" w14:paraId="5DCC77BD"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3D383099"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lastRenderedPageBreak/>
              <w:t>Percentage of students in the top two bands for numeracy in Year 9 (NAPLAN testing)</w:t>
            </w:r>
          </w:p>
        </w:tc>
        <w:tc>
          <w:tcPr>
            <w:tcW w:w="1135" w:type="dxa"/>
            <w:tcBorders>
              <w:top w:val="single" w:sz="4" w:space="0" w:color="53565A" w:themeColor="accent5"/>
              <w:bottom w:val="single" w:sz="4" w:space="0" w:color="53565A" w:themeColor="accent5"/>
            </w:tcBorders>
            <w:shd w:val="clear" w:color="auto" w:fill="auto"/>
          </w:tcPr>
          <w:p w14:paraId="2FAD1F98"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1FA1E509"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c>
          <w:tcPr>
            <w:tcW w:w="1338" w:type="dxa"/>
            <w:tcBorders>
              <w:top w:val="single" w:sz="4" w:space="0" w:color="53565A" w:themeColor="accent5"/>
              <w:bottom w:val="single" w:sz="4" w:space="0" w:color="53565A" w:themeColor="accent5"/>
            </w:tcBorders>
            <w:shd w:val="clear" w:color="auto" w:fill="FFFFFF" w:themeFill="background1"/>
          </w:tcPr>
          <w:p w14:paraId="20DC4371"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27.6</w:t>
            </w:r>
          </w:p>
        </w:tc>
        <w:tc>
          <w:tcPr>
            <w:tcW w:w="1631" w:type="dxa"/>
            <w:tcBorders>
              <w:top w:val="single" w:sz="4" w:space="0" w:color="53565A" w:themeColor="accent5"/>
              <w:bottom w:val="single" w:sz="4" w:space="0" w:color="53565A" w:themeColor="accent5"/>
            </w:tcBorders>
            <w:shd w:val="clear" w:color="auto" w:fill="auto"/>
          </w:tcPr>
          <w:p w14:paraId="3D14103B"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c>
          <w:tcPr>
            <w:tcW w:w="907" w:type="dxa"/>
            <w:tcBorders>
              <w:top w:val="single" w:sz="4" w:space="0" w:color="53565A" w:themeColor="accent5"/>
              <w:bottom w:val="single" w:sz="4" w:space="0" w:color="53565A" w:themeColor="accent5"/>
            </w:tcBorders>
            <w:shd w:val="clear" w:color="auto" w:fill="auto"/>
          </w:tcPr>
          <w:p w14:paraId="45BF7A87"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szCs w:val="16"/>
                <w:lang w:val="en-US"/>
              </w:rPr>
              <w:t>–</w:t>
            </w:r>
          </w:p>
        </w:tc>
      </w:tr>
      <w:tr w:rsidR="00686CE7" w:rsidRPr="005734B8" w14:paraId="7BC73FB7"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081A80AE" w14:textId="77777777" w:rsidR="00686CE7" w:rsidRPr="005734B8" w:rsidRDefault="00686CE7" w:rsidP="000E6F40">
            <w:pPr>
              <w:spacing w:before="120" w:after="120"/>
              <w:rPr>
                <w:rFonts w:ascii="Calibri" w:eastAsiaTheme="minorEastAsia" w:hAnsi="Calibri" w:cs="Calibri"/>
                <w:i/>
                <w:sz w:val="18"/>
                <w:szCs w:val="18"/>
                <w:lang w:val="en-US"/>
              </w:rPr>
            </w:pPr>
            <w:r w:rsidRPr="005734B8">
              <w:rPr>
                <w:rFonts w:ascii="Calibri" w:eastAsiaTheme="minorEastAsia" w:hAnsi="Calibri" w:cs="Calibri"/>
                <w:i/>
                <w:sz w:val="16"/>
                <w:szCs w:val="20"/>
                <w:lang w:val="en-US"/>
              </w:rPr>
              <w:t>The above performance measure relates to the calendar year. Due to the cancellation of 2020 NAPLAN, no outcome has been reported in 2020–21.</w:t>
            </w:r>
          </w:p>
        </w:tc>
      </w:tr>
      <w:tr w:rsidR="00686CE7" w:rsidRPr="005734B8" w14:paraId="0BCDBAE8"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25E44BA3"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Percentage of students in the top two bands for reading in Year 7 (NAPLAN testing)</w:t>
            </w:r>
          </w:p>
        </w:tc>
        <w:tc>
          <w:tcPr>
            <w:tcW w:w="1135" w:type="dxa"/>
            <w:tcBorders>
              <w:top w:val="single" w:sz="4" w:space="0" w:color="53565A" w:themeColor="accent5"/>
              <w:bottom w:val="single" w:sz="4" w:space="0" w:color="53565A" w:themeColor="accent5"/>
            </w:tcBorders>
            <w:shd w:val="clear" w:color="auto" w:fill="auto"/>
          </w:tcPr>
          <w:p w14:paraId="4236854E"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40A4DA0D"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c>
          <w:tcPr>
            <w:tcW w:w="1338" w:type="dxa"/>
            <w:tcBorders>
              <w:top w:val="single" w:sz="4" w:space="0" w:color="53565A" w:themeColor="accent5"/>
              <w:bottom w:val="single" w:sz="4" w:space="0" w:color="53565A" w:themeColor="accent5"/>
            </w:tcBorders>
            <w:shd w:val="clear" w:color="auto" w:fill="FFFFFF" w:themeFill="background1"/>
          </w:tcPr>
          <w:p w14:paraId="0F4E00F6"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31.2</w:t>
            </w:r>
          </w:p>
        </w:tc>
        <w:tc>
          <w:tcPr>
            <w:tcW w:w="1631" w:type="dxa"/>
            <w:tcBorders>
              <w:top w:val="single" w:sz="4" w:space="0" w:color="53565A" w:themeColor="accent5"/>
              <w:bottom w:val="single" w:sz="4" w:space="0" w:color="53565A" w:themeColor="accent5"/>
            </w:tcBorders>
            <w:shd w:val="clear" w:color="auto" w:fill="auto"/>
          </w:tcPr>
          <w:p w14:paraId="3E87A7D9"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c>
          <w:tcPr>
            <w:tcW w:w="907" w:type="dxa"/>
            <w:tcBorders>
              <w:top w:val="single" w:sz="4" w:space="0" w:color="53565A" w:themeColor="accent5"/>
              <w:bottom w:val="single" w:sz="4" w:space="0" w:color="53565A" w:themeColor="accent5"/>
            </w:tcBorders>
            <w:shd w:val="clear" w:color="auto" w:fill="auto"/>
          </w:tcPr>
          <w:p w14:paraId="753EF86F"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szCs w:val="16"/>
                <w:lang w:val="en-US"/>
              </w:rPr>
              <w:t>–</w:t>
            </w:r>
          </w:p>
        </w:tc>
      </w:tr>
      <w:tr w:rsidR="00686CE7" w:rsidRPr="005734B8" w14:paraId="722ABD52"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6E87FE11" w14:textId="77777777" w:rsidR="00686CE7" w:rsidRPr="005734B8" w:rsidRDefault="00686CE7" w:rsidP="000E6F40">
            <w:pPr>
              <w:spacing w:before="120" w:after="120"/>
              <w:rPr>
                <w:rFonts w:ascii="Calibri" w:eastAsiaTheme="minorEastAsia" w:hAnsi="Calibri" w:cs="Calibri"/>
                <w:i/>
                <w:sz w:val="18"/>
                <w:szCs w:val="18"/>
                <w:lang w:val="en-US"/>
              </w:rPr>
            </w:pPr>
            <w:r w:rsidRPr="005734B8">
              <w:rPr>
                <w:rFonts w:ascii="Calibri" w:eastAsiaTheme="minorEastAsia" w:hAnsi="Calibri" w:cs="Calibri"/>
                <w:i/>
                <w:sz w:val="16"/>
                <w:szCs w:val="20"/>
                <w:lang w:val="en-US"/>
              </w:rPr>
              <w:t>The above performance measure relates to the calendar year. Due to the cancellation of 2020 NAPLAN, no outcome has been reported in 2020–21.</w:t>
            </w:r>
          </w:p>
        </w:tc>
      </w:tr>
      <w:tr w:rsidR="00686CE7" w:rsidRPr="005734B8" w14:paraId="08DB298F"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6CADE966"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Percentage of students in the top two bands for reading in Year 9 (NAPLAN testing)</w:t>
            </w:r>
          </w:p>
        </w:tc>
        <w:tc>
          <w:tcPr>
            <w:tcW w:w="1135" w:type="dxa"/>
            <w:tcBorders>
              <w:top w:val="single" w:sz="4" w:space="0" w:color="53565A" w:themeColor="accent5"/>
              <w:bottom w:val="single" w:sz="4" w:space="0" w:color="53565A" w:themeColor="accent5"/>
            </w:tcBorders>
            <w:shd w:val="clear" w:color="auto" w:fill="auto"/>
          </w:tcPr>
          <w:p w14:paraId="66DFDC92"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351DCA3F"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c>
          <w:tcPr>
            <w:tcW w:w="1338" w:type="dxa"/>
            <w:tcBorders>
              <w:top w:val="single" w:sz="4" w:space="0" w:color="53565A" w:themeColor="accent5"/>
              <w:bottom w:val="single" w:sz="4" w:space="0" w:color="53565A" w:themeColor="accent5"/>
            </w:tcBorders>
            <w:shd w:val="clear" w:color="auto" w:fill="FFFFFF" w:themeFill="background1"/>
          </w:tcPr>
          <w:p w14:paraId="52E49A5E"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23.0</w:t>
            </w:r>
          </w:p>
        </w:tc>
        <w:tc>
          <w:tcPr>
            <w:tcW w:w="1631" w:type="dxa"/>
            <w:tcBorders>
              <w:top w:val="single" w:sz="4" w:space="0" w:color="53565A" w:themeColor="accent5"/>
              <w:bottom w:val="single" w:sz="4" w:space="0" w:color="53565A" w:themeColor="accent5"/>
            </w:tcBorders>
            <w:shd w:val="clear" w:color="auto" w:fill="auto"/>
          </w:tcPr>
          <w:p w14:paraId="2702ECEE"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lang w:val="en-US"/>
              </w:rPr>
              <w:t>–</w:t>
            </w:r>
          </w:p>
        </w:tc>
        <w:tc>
          <w:tcPr>
            <w:tcW w:w="907" w:type="dxa"/>
            <w:tcBorders>
              <w:top w:val="single" w:sz="4" w:space="0" w:color="53565A" w:themeColor="accent5"/>
              <w:bottom w:val="single" w:sz="4" w:space="0" w:color="53565A" w:themeColor="accent5"/>
            </w:tcBorders>
            <w:shd w:val="clear" w:color="auto" w:fill="auto"/>
          </w:tcPr>
          <w:p w14:paraId="364825B4"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szCs w:val="16"/>
                <w:lang w:val="en-US"/>
              </w:rPr>
              <w:t>–</w:t>
            </w:r>
          </w:p>
        </w:tc>
      </w:tr>
      <w:tr w:rsidR="00686CE7" w:rsidRPr="005734B8" w14:paraId="60766D1F"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5AD60B25" w14:textId="77777777" w:rsidR="00686CE7" w:rsidRPr="005734B8" w:rsidRDefault="00686CE7" w:rsidP="000E6F40">
            <w:pPr>
              <w:spacing w:before="120" w:after="120"/>
              <w:rPr>
                <w:rFonts w:ascii="Calibri" w:eastAsiaTheme="minorEastAsia" w:hAnsi="Calibri" w:cs="Calibri"/>
                <w:i/>
                <w:sz w:val="18"/>
                <w:szCs w:val="18"/>
                <w:lang w:val="en-US"/>
              </w:rPr>
            </w:pPr>
            <w:r w:rsidRPr="005734B8">
              <w:rPr>
                <w:rFonts w:ascii="Calibri" w:eastAsiaTheme="minorEastAsia" w:hAnsi="Calibri" w:cs="Calibri"/>
                <w:i/>
                <w:sz w:val="16"/>
                <w:szCs w:val="20"/>
                <w:lang w:val="en-US"/>
              </w:rPr>
              <w:t>The above performance measure relates to the calendar year. Due to the cancellation of 2020 NAPLAN, no outcome has been reported in 2020–21.</w:t>
            </w:r>
          </w:p>
        </w:tc>
      </w:tr>
      <w:tr w:rsidR="00686CE7" w:rsidRPr="005734B8" w14:paraId="11D25451"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3A452091"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Percentage of students who remain at school from Year 7 to Year 12</w:t>
            </w:r>
          </w:p>
        </w:tc>
        <w:tc>
          <w:tcPr>
            <w:tcW w:w="1135" w:type="dxa"/>
            <w:tcBorders>
              <w:top w:val="single" w:sz="4" w:space="0" w:color="53565A" w:themeColor="accent5"/>
              <w:bottom w:val="single" w:sz="4" w:space="0" w:color="53565A" w:themeColor="accent5"/>
            </w:tcBorders>
            <w:shd w:val="clear" w:color="auto" w:fill="auto"/>
          </w:tcPr>
          <w:p w14:paraId="08FF4082"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435A68EF"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91.0</w:t>
            </w:r>
          </w:p>
        </w:tc>
        <w:tc>
          <w:tcPr>
            <w:tcW w:w="1338" w:type="dxa"/>
            <w:tcBorders>
              <w:top w:val="single" w:sz="4" w:space="0" w:color="53565A" w:themeColor="accent5"/>
              <w:bottom w:val="single" w:sz="4" w:space="0" w:color="53565A" w:themeColor="accent5"/>
            </w:tcBorders>
            <w:shd w:val="clear" w:color="auto" w:fill="FFFFFF" w:themeFill="background1"/>
          </w:tcPr>
          <w:p w14:paraId="7E786B04"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93.0</w:t>
            </w:r>
          </w:p>
        </w:tc>
        <w:tc>
          <w:tcPr>
            <w:tcW w:w="1631" w:type="dxa"/>
            <w:tcBorders>
              <w:top w:val="single" w:sz="4" w:space="0" w:color="53565A" w:themeColor="accent5"/>
              <w:bottom w:val="single" w:sz="4" w:space="0" w:color="53565A" w:themeColor="accent5"/>
            </w:tcBorders>
            <w:shd w:val="clear" w:color="auto" w:fill="auto"/>
          </w:tcPr>
          <w:p w14:paraId="6CAE829E"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2.2</w:t>
            </w:r>
          </w:p>
        </w:tc>
        <w:tc>
          <w:tcPr>
            <w:tcW w:w="907" w:type="dxa"/>
            <w:tcBorders>
              <w:top w:val="single" w:sz="4" w:space="0" w:color="53565A" w:themeColor="accent5"/>
              <w:bottom w:val="single" w:sz="4" w:space="0" w:color="53565A" w:themeColor="accent5"/>
            </w:tcBorders>
            <w:shd w:val="clear" w:color="auto" w:fill="auto"/>
          </w:tcPr>
          <w:p w14:paraId="7DD5E580"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A1"/>
            </w:r>
          </w:p>
        </w:tc>
      </w:tr>
      <w:tr w:rsidR="00686CE7" w:rsidRPr="005734B8" w14:paraId="162995B2"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4CF961CB" w14:textId="77777777" w:rsidR="00686CE7" w:rsidRPr="005734B8" w:rsidRDefault="00686CE7" w:rsidP="000E6F40">
            <w:pPr>
              <w:spacing w:before="120" w:after="120"/>
              <w:rPr>
                <w:rFonts w:ascii="Calibri" w:eastAsiaTheme="minorEastAsia" w:hAnsi="Calibri" w:cs="Calibri"/>
                <w:i/>
                <w:sz w:val="18"/>
                <w:szCs w:val="18"/>
                <w:lang w:val="en-US"/>
              </w:rPr>
            </w:pPr>
            <w:r w:rsidRPr="005734B8">
              <w:rPr>
                <w:rFonts w:ascii="Calibri" w:eastAsiaTheme="minorEastAsia" w:hAnsi="Calibri" w:cs="Calibri"/>
                <w:i/>
                <w:sz w:val="16"/>
                <w:szCs w:val="20"/>
                <w:lang w:val="en-US"/>
              </w:rPr>
              <w:t xml:space="preserve">The above performance measure relates to the calendar year. </w:t>
            </w:r>
          </w:p>
        </w:tc>
      </w:tr>
      <w:tr w:rsidR="00686CE7" w:rsidRPr="005734B8" w14:paraId="10416D1B"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5460852F"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Percentage of VCAL certificates satisfactorily completed by school students</w:t>
            </w:r>
          </w:p>
        </w:tc>
        <w:tc>
          <w:tcPr>
            <w:tcW w:w="1135" w:type="dxa"/>
            <w:tcBorders>
              <w:top w:val="single" w:sz="4" w:space="0" w:color="53565A" w:themeColor="accent5"/>
              <w:bottom w:val="single" w:sz="4" w:space="0" w:color="53565A" w:themeColor="accent5"/>
            </w:tcBorders>
            <w:shd w:val="clear" w:color="auto" w:fill="auto"/>
          </w:tcPr>
          <w:p w14:paraId="15E24CC5"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25A7DC3D"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74.5</w:t>
            </w:r>
          </w:p>
        </w:tc>
        <w:tc>
          <w:tcPr>
            <w:tcW w:w="1338" w:type="dxa"/>
            <w:tcBorders>
              <w:top w:val="single" w:sz="4" w:space="0" w:color="53565A" w:themeColor="accent5"/>
              <w:bottom w:val="single" w:sz="4" w:space="0" w:color="53565A" w:themeColor="accent5"/>
            </w:tcBorders>
            <w:shd w:val="clear" w:color="auto" w:fill="FFFFFF" w:themeFill="background1"/>
          </w:tcPr>
          <w:p w14:paraId="33B8CC41"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77.0</w:t>
            </w:r>
          </w:p>
        </w:tc>
        <w:tc>
          <w:tcPr>
            <w:tcW w:w="1631" w:type="dxa"/>
            <w:tcBorders>
              <w:top w:val="single" w:sz="4" w:space="0" w:color="53565A" w:themeColor="accent5"/>
              <w:bottom w:val="single" w:sz="4" w:space="0" w:color="53565A" w:themeColor="accent5"/>
            </w:tcBorders>
            <w:shd w:val="clear" w:color="auto" w:fill="auto"/>
          </w:tcPr>
          <w:p w14:paraId="5380A703"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3.2</w:t>
            </w:r>
          </w:p>
        </w:tc>
        <w:tc>
          <w:tcPr>
            <w:tcW w:w="907" w:type="dxa"/>
            <w:tcBorders>
              <w:top w:val="single" w:sz="4" w:space="0" w:color="53565A" w:themeColor="accent5"/>
              <w:bottom w:val="single" w:sz="4" w:space="0" w:color="53565A" w:themeColor="accent5"/>
            </w:tcBorders>
            <w:shd w:val="clear" w:color="auto" w:fill="auto"/>
          </w:tcPr>
          <w:p w14:paraId="09941049"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A1"/>
            </w:r>
          </w:p>
        </w:tc>
      </w:tr>
      <w:tr w:rsidR="00686CE7" w:rsidRPr="005734B8" w14:paraId="50CED526"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39035B35" w14:textId="77777777" w:rsidR="00686CE7" w:rsidRPr="005734B8" w:rsidRDefault="00686CE7" w:rsidP="000E6F40">
            <w:pPr>
              <w:spacing w:before="120" w:after="120"/>
              <w:rPr>
                <w:rFonts w:ascii="Calibri" w:eastAsiaTheme="minorEastAsia" w:hAnsi="Calibri" w:cs="Calibri"/>
                <w:i/>
                <w:sz w:val="18"/>
                <w:szCs w:val="18"/>
                <w:lang w:val="en-US"/>
              </w:rPr>
            </w:pPr>
            <w:r w:rsidRPr="005734B8">
              <w:rPr>
                <w:rFonts w:ascii="Calibri" w:eastAsiaTheme="minorEastAsia" w:hAnsi="Calibri" w:cs="Calibri"/>
                <w:i/>
                <w:sz w:val="16"/>
                <w:szCs w:val="20"/>
                <w:lang w:val="en-US"/>
              </w:rPr>
              <w:t>The above performance measure relates to the calendar year.</w:t>
            </w:r>
          </w:p>
        </w:tc>
      </w:tr>
      <w:tr w:rsidR="00686CE7" w:rsidRPr="005734B8" w14:paraId="5A2AE473"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29D3E4EE"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Years 7–9 students’ opinion of their connectedness with the school</w:t>
            </w:r>
          </w:p>
        </w:tc>
        <w:tc>
          <w:tcPr>
            <w:tcW w:w="1135" w:type="dxa"/>
            <w:tcBorders>
              <w:top w:val="single" w:sz="4" w:space="0" w:color="53565A" w:themeColor="accent5"/>
              <w:bottom w:val="single" w:sz="4" w:space="0" w:color="53565A" w:themeColor="accent5"/>
            </w:tcBorders>
            <w:shd w:val="clear" w:color="auto" w:fill="auto"/>
          </w:tcPr>
          <w:p w14:paraId="410234EF"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5-point scale</w:t>
            </w:r>
          </w:p>
        </w:tc>
        <w:tc>
          <w:tcPr>
            <w:tcW w:w="1114" w:type="dxa"/>
            <w:tcBorders>
              <w:top w:val="single" w:sz="4" w:space="0" w:color="53565A" w:themeColor="accent5"/>
              <w:bottom w:val="single" w:sz="4" w:space="0" w:color="53565A" w:themeColor="accent5"/>
            </w:tcBorders>
            <w:shd w:val="clear" w:color="auto" w:fill="D9D9D6" w:themeFill="accent1"/>
          </w:tcPr>
          <w:p w14:paraId="0CB590B1"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3.6</w:t>
            </w:r>
          </w:p>
        </w:tc>
        <w:tc>
          <w:tcPr>
            <w:tcW w:w="1338" w:type="dxa"/>
            <w:tcBorders>
              <w:top w:val="single" w:sz="4" w:space="0" w:color="53565A" w:themeColor="accent5"/>
              <w:bottom w:val="single" w:sz="4" w:space="0" w:color="53565A" w:themeColor="accent5"/>
            </w:tcBorders>
            <w:shd w:val="clear" w:color="auto" w:fill="FFFFFF" w:themeFill="background1"/>
          </w:tcPr>
          <w:p w14:paraId="2C7C7DF0"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3.7</w:t>
            </w:r>
          </w:p>
        </w:tc>
        <w:tc>
          <w:tcPr>
            <w:tcW w:w="1631" w:type="dxa"/>
            <w:tcBorders>
              <w:top w:val="single" w:sz="4" w:space="0" w:color="53565A" w:themeColor="accent5"/>
              <w:bottom w:val="single" w:sz="4" w:space="0" w:color="53565A" w:themeColor="accent5"/>
            </w:tcBorders>
            <w:shd w:val="clear" w:color="auto" w:fill="auto"/>
          </w:tcPr>
          <w:p w14:paraId="3EF83D66"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2.7</w:t>
            </w:r>
          </w:p>
        </w:tc>
        <w:tc>
          <w:tcPr>
            <w:tcW w:w="907" w:type="dxa"/>
            <w:tcBorders>
              <w:top w:val="single" w:sz="4" w:space="0" w:color="53565A" w:themeColor="accent5"/>
              <w:bottom w:val="single" w:sz="4" w:space="0" w:color="53565A" w:themeColor="accent5"/>
            </w:tcBorders>
            <w:shd w:val="clear" w:color="auto" w:fill="auto"/>
          </w:tcPr>
          <w:p w14:paraId="54584A65"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A1"/>
            </w:r>
          </w:p>
        </w:tc>
      </w:tr>
      <w:tr w:rsidR="00686CE7" w:rsidRPr="005734B8" w14:paraId="7EFA5B04"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3A8AEEDD" w14:textId="77777777" w:rsidR="00686CE7" w:rsidRPr="005734B8" w:rsidRDefault="00686CE7" w:rsidP="000E6F40">
            <w:pPr>
              <w:spacing w:before="120" w:after="120"/>
              <w:rPr>
                <w:rFonts w:ascii="Calibri" w:eastAsiaTheme="minorEastAsia" w:hAnsi="Calibri" w:cs="Calibri"/>
                <w:i/>
                <w:sz w:val="18"/>
                <w:szCs w:val="18"/>
                <w:lang w:val="en-US"/>
              </w:rPr>
            </w:pPr>
            <w:r w:rsidRPr="005734B8">
              <w:rPr>
                <w:rFonts w:ascii="Calibri" w:eastAsiaTheme="minorEastAsia" w:hAnsi="Calibri" w:cs="Calibri"/>
                <w:i/>
                <w:sz w:val="16"/>
                <w:szCs w:val="20"/>
                <w:lang w:val="en-US"/>
              </w:rPr>
              <w:t xml:space="preserve">The above performance measure relates to the calendar year and refers to government schools only. </w:t>
            </w:r>
          </w:p>
        </w:tc>
      </w:tr>
      <w:tr w:rsidR="00686CE7" w:rsidRPr="005734B8" w14:paraId="2E868370"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65829446"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Percentage of students in out of home care receiving targeted supports in school (LOOKOUT Education Support Centres)</w:t>
            </w:r>
          </w:p>
        </w:tc>
        <w:tc>
          <w:tcPr>
            <w:tcW w:w="1135" w:type="dxa"/>
            <w:tcBorders>
              <w:top w:val="single" w:sz="4" w:space="0" w:color="53565A" w:themeColor="accent5"/>
              <w:bottom w:val="single" w:sz="4" w:space="0" w:color="53565A" w:themeColor="accent5"/>
            </w:tcBorders>
            <w:shd w:val="clear" w:color="auto" w:fill="auto"/>
          </w:tcPr>
          <w:p w14:paraId="5D7F29F4"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72795E63"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84.0</w:t>
            </w:r>
          </w:p>
        </w:tc>
        <w:tc>
          <w:tcPr>
            <w:tcW w:w="1338" w:type="dxa"/>
            <w:tcBorders>
              <w:top w:val="single" w:sz="4" w:space="0" w:color="53565A" w:themeColor="accent5"/>
              <w:bottom w:val="single" w:sz="4" w:space="0" w:color="53565A" w:themeColor="accent5"/>
            </w:tcBorders>
            <w:shd w:val="clear" w:color="auto" w:fill="FFFFFF" w:themeFill="background1"/>
          </w:tcPr>
          <w:p w14:paraId="3526F99F"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85.0</w:t>
            </w:r>
          </w:p>
        </w:tc>
        <w:tc>
          <w:tcPr>
            <w:tcW w:w="1631" w:type="dxa"/>
            <w:tcBorders>
              <w:top w:val="single" w:sz="4" w:space="0" w:color="53565A" w:themeColor="accent5"/>
              <w:bottom w:val="single" w:sz="4" w:space="0" w:color="53565A" w:themeColor="accent5"/>
            </w:tcBorders>
            <w:shd w:val="clear" w:color="auto" w:fill="auto"/>
          </w:tcPr>
          <w:p w14:paraId="334313C4"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1.2</w:t>
            </w:r>
          </w:p>
        </w:tc>
        <w:tc>
          <w:tcPr>
            <w:tcW w:w="907" w:type="dxa"/>
            <w:tcBorders>
              <w:top w:val="single" w:sz="4" w:space="0" w:color="53565A" w:themeColor="accent5"/>
              <w:bottom w:val="single" w:sz="4" w:space="0" w:color="53565A" w:themeColor="accent5"/>
            </w:tcBorders>
            <w:shd w:val="clear" w:color="auto" w:fill="auto"/>
          </w:tcPr>
          <w:p w14:paraId="2F5A193A"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A1"/>
            </w:r>
          </w:p>
        </w:tc>
      </w:tr>
      <w:tr w:rsidR="00686CE7" w:rsidRPr="005734B8" w14:paraId="6CE8F15C"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796D3075" w14:textId="77777777" w:rsidR="00686CE7" w:rsidRPr="005734B8" w:rsidRDefault="00686CE7" w:rsidP="000E6F40">
            <w:pPr>
              <w:spacing w:before="120" w:after="120"/>
              <w:rPr>
                <w:rFonts w:ascii="Calibri" w:eastAsiaTheme="minorEastAsia" w:hAnsi="Calibri" w:cs="Calibri"/>
                <w:i/>
                <w:sz w:val="18"/>
                <w:szCs w:val="18"/>
                <w:lang w:val="en-US"/>
              </w:rPr>
            </w:pPr>
            <w:r w:rsidRPr="005734B8">
              <w:rPr>
                <w:rFonts w:ascii="Calibri" w:eastAsiaTheme="minorEastAsia" w:hAnsi="Calibri" w:cs="Calibri"/>
                <w:i/>
                <w:sz w:val="16"/>
                <w:szCs w:val="20"/>
                <w:lang w:val="en-US"/>
              </w:rPr>
              <w:t>The above performance measure relates to the calendar year.</w:t>
            </w:r>
          </w:p>
        </w:tc>
      </w:tr>
      <w:tr w:rsidR="00686CE7" w:rsidRPr="005734B8" w14:paraId="0CC73FDB"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3F80562D"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Proportion of Navigator program participants re-engaged in schooling</w:t>
            </w:r>
          </w:p>
        </w:tc>
        <w:tc>
          <w:tcPr>
            <w:tcW w:w="1135" w:type="dxa"/>
            <w:tcBorders>
              <w:top w:val="single" w:sz="4" w:space="0" w:color="53565A" w:themeColor="accent5"/>
              <w:bottom w:val="single" w:sz="4" w:space="0" w:color="53565A" w:themeColor="accent5"/>
            </w:tcBorders>
            <w:shd w:val="clear" w:color="auto" w:fill="auto"/>
          </w:tcPr>
          <w:p w14:paraId="3976CAA6"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1D491507"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64.0</w:t>
            </w:r>
          </w:p>
        </w:tc>
        <w:tc>
          <w:tcPr>
            <w:tcW w:w="1338" w:type="dxa"/>
            <w:tcBorders>
              <w:top w:val="single" w:sz="4" w:space="0" w:color="53565A" w:themeColor="accent5"/>
              <w:bottom w:val="single" w:sz="4" w:space="0" w:color="53565A" w:themeColor="accent5"/>
            </w:tcBorders>
            <w:shd w:val="clear" w:color="auto" w:fill="FFFFFF" w:themeFill="background1"/>
          </w:tcPr>
          <w:p w14:paraId="17B87567"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70.0</w:t>
            </w:r>
          </w:p>
        </w:tc>
        <w:tc>
          <w:tcPr>
            <w:tcW w:w="1631" w:type="dxa"/>
            <w:tcBorders>
              <w:top w:val="single" w:sz="4" w:space="0" w:color="53565A" w:themeColor="accent5"/>
              <w:bottom w:val="single" w:sz="4" w:space="0" w:color="53565A" w:themeColor="accent5"/>
            </w:tcBorders>
            <w:shd w:val="clear" w:color="auto" w:fill="auto"/>
          </w:tcPr>
          <w:p w14:paraId="1A7CAB50"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8.6</w:t>
            </w:r>
          </w:p>
        </w:tc>
        <w:tc>
          <w:tcPr>
            <w:tcW w:w="907" w:type="dxa"/>
            <w:tcBorders>
              <w:top w:val="single" w:sz="4" w:space="0" w:color="53565A" w:themeColor="accent5"/>
              <w:bottom w:val="single" w:sz="4" w:space="0" w:color="53565A" w:themeColor="accent5"/>
            </w:tcBorders>
            <w:shd w:val="clear" w:color="auto" w:fill="auto"/>
          </w:tcPr>
          <w:p w14:paraId="3BC4ED10"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6E"/>
            </w:r>
          </w:p>
        </w:tc>
      </w:tr>
      <w:tr w:rsidR="00686CE7" w:rsidRPr="005734B8" w14:paraId="5D5A892F"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52E95B25" w14:textId="77777777" w:rsidR="00686CE7" w:rsidRPr="005734B8" w:rsidRDefault="00686CE7" w:rsidP="000E6F40">
            <w:pPr>
              <w:spacing w:before="120" w:after="120"/>
              <w:rPr>
                <w:rFonts w:ascii="Calibri" w:eastAsiaTheme="minorEastAsia" w:hAnsi="Calibri" w:cs="Calibri"/>
                <w:i/>
                <w:sz w:val="18"/>
                <w:szCs w:val="18"/>
                <w:lang w:val="en-US"/>
              </w:rPr>
            </w:pPr>
            <w:r w:rsidRPr="005734B8">
              <w:rPr>
                <w:rFonts w:ascii="Calibri" w:eastAsiaTheme="minorEastAsia" w:hAnsi="Calibri" w:cs="Calibri"/>
                <w:i/>
                <w:sz w:val="16"/>
                <w:szCs w:val="20"/>
                <w:lang w:val="en-US"/>
              </w:rPr>
              <w:t>The above performance measure relates to the calendar year. The 2020–21 outcome is lower than the target, despite an increase in participation numbers as a result of the program’s expansion into three new areas. Re</w:t>
            </w:r>
            <w:r w:rsidRPr="005734B8">
              <w:rPr>
                <w:rFonts w:ascii="Calibri" w:eastAsiaTheme="minorEastAsia" w:hAnsi="Calibri" w:cs="Calibri"/>
                <w:i/>
                <w:sz w:val="16"/>
                <w:szCs w:val="20"/>
                <w:lang w:val="en-US"/>
              </w:rPr>
              <w:noBreakHyphen/>
              <w:t>engagement in the program is generally calculated over the course of 18 months.</w:t>
            </w:r>
          </w:p>
        </w:tc>
      </w:tr>
      <w:tr w:rsidR="00686CE7" w:rsidRPr="005734B8" w14:paraId="665364DB"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754DBBBE"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Percentage of Year 9 students with a Careers e-Portfolio</w:t>
            </w:r>
          </w:p>
        </w:tc>
        <w:tc>
          <w:tcPr>
            <w:tcW w:w="1135" w:type="dxa"/>
            <w:tcBorders>
              <w:top w:val="single" w:sz="4" w:space="0" w:color="53565A" w:themeColor="accent5"/>
              <w:bottom w:val="single" w:sz="4" w:space="0" w:color="53565A" w:themeColor="accent5"/>
            </w:tcBorders>
            <w:shd w:val="clear" w:color="auto" w:fill="auto"/>
          </w:tcPr>
          <w:p w14:paraId="422868E6"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234D2995"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20.0</w:t>
            </w:r>
          </w:p>
        </w:tc>
        <w:tc>
          <w:tcPr>
            <w:tcW w:w="1338" w:type="dxa"/>
            <w:tcBorders>
              <w:top w:val="single" w:sz="4" w:space="0" w:color="53565A" w:themeColor="accent5"/>
              <w:bottom w:val="single" w:sz="4" w:space="0" w:color="53565A" w:themeColor="accent5"/>
            </w:tcBorders>
            <w:shd w:val="clear" w:color="auto" w:fill="FFFFFF" w:themeFill="background1"/>
          </w:tcPr>
          <w:p w14:paraId="6240ED6D"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20.0</w:t>
            </w:r>
          </w:p>
        </w:tc>
        <w:tc>
          <w:tcPr>
            <w:tcW w:w="1631" w:type="dxa"/>
            <w:tcBorders>
              <w:top w:val="single" w:sz="4" w:space="0" w:color="53565A" w:themeColor="accent5"/>
              <w:bottom w:val="single" w:sz="4" w:space="0" w:color="53565A" w:themeColor="accent5"/>
            </w:tcBorders>
            <w:shd w:val="clear" w:color="auto" w:fill="auto"/>
          </w:tcPr>
          <w:p w14:paraId="6FE1668E" w14:textId="77777777" w:rsidR="00686CE7" w:rsidRPr="005734B8" w:rsidRDefault="00686CE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0.0</w:t>
            </w:r>
          </w:p>
        </w:tc>
        <w:tc>
          <w:tcPr>
            <w:tcW w:w="907" w:type="dxa"/>
            <w:tcBorders>
              <w:top w:val="single" w:sz="4" w:space="0" w:color="53565A" w:themeColor="accent5"/>
              <w:bottom w:val="single" w:sz="4" w:space="0" w:color="53565A" w:themeColor="accent5"/>
            </w:tcBorders>
            <w:shd w:val="clear" w:color="auto" w:fill="auto"/>
          </w:tcPr>
          <w:p w14:paraId="35284E5F"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FC"/>
            </w:r>
          </w:p>
        </w:tc>
      </w:tr>
      <w:tr w:rsidR="00686CE7" w:rsidRPr="005734B8" w14:paraId="49F7B479" w14:textId="77777777" w:rsidTr="000C76E3">
        <w:trPr>
          <w:cantSplit/>
        </w:trPr>
        <w:tc>
          <w:tcPr>
            <w:tcW w:w="9010" w:type="dxa"/>
            <w:gridSpan w:val="6"/>
            <w:tcBorders>
              <w:top w:val="single" w:sz="4" w:space="0" w:color="53565A" w:themeColor="accent5"/>
              <w:bottom w:val="single" w:sz="4" w:space="0" w:color="auto"/>
            </w:tcBorders>
            <w:shd w:val="clear" w:color="auto" w:fill="auto"/>
          </w:tcPr>
          <w:p w14:paraId="2851174D" w14:textId="77777777" w:rsidR="00686CE7" w:rsidRPr="005734B8" w:rsidRDefault="00686CE7" w:rsidP="000E6F40">
            <w:pPr>
              <w:spacing w:before="120" w:after="120"/>
              <w:rPr>
                <w:rFonts w:ascii="Calibri" w:eastAsiaTheme="minorEastAsia" w:hAnsi="Calibri" w:cs="Calibri"/>
                <w:i/>
                <w:sz w:val="18"/>
                <w:szCs w:val="18"/>
                <w:lang w:val="en-US"/>
              </w:rPr>
            </w:pPr>
            <w:r w:rsidRPr="005734B8">
              <w:rPr>
                <w:rFonts w:ascii="Calibri" w:eastAsiaTheme="minorEastAsia" w:hAnsi="Calibri" w:cs="Calibri"/>
                <w:i/>
                <w:sz w:val="16"/>
                <w:szCs w:val="20"/>
                <w:lang w:val="en-US"/>
              </w:rPr>
              <w:t>The above performance measure relates to the calendar year and refers to government schools only.</w:t>
            </w:r>
          </w:p>
        </w:tc>
      </w:tr>
      <w:tr w:rsidR="000C76E3" w:rsidRPr="005734B8" w14:paraId="158FCC89" w14:textId="77777777" w:rsidTr="000C76E3">
        <w:trPr>
          <w:cantSplit/>
        </w:trPr>
        <w:tc>
          <w:tcPr>
            <w:tcW w:w="9010" w:type="dxa"/>
            <w:gridSpan w:val="6"/>
            <w:tcBorders>
              <w:top w:val="single" w:sz="4" w:space="0" w:color="auto"/>
              <w:left w:val="nil"/>
              <w:bottom w:val="nil"/>
              <w:right w:val="nil"/>
            </w:tcBorders>
            <w:shd w:val="clear" w:color="auto" w:fill="auto"/>
          </w:tcPr>
          <w:p w14:paraId="07DF1E08" w14:textId="77777777" w:rsidR="000C76E3" w:rsidRPr="005734B8" w:rsidRDefault="000C76E3" w:rsidP="000E6F40">
            <w:pPr>
              <w:spacing w:before="120" w:after="120"/>
              <w:rPr>
                <w:rFonts w:ascii="Calibri" w:eastAsiaTheme="minorEastAsia" w:hAnsi="Calibri" w:cs="Calibri"/>
                <w:i/>
                <w:sz w:val="16"/>
                <w:szCs w:val="20"/>
                <w:lang w:val="en-US"/>
              </w:rPr>
            </w:pPr>
          </w:p>
        </w:tc>
      </w:tr>
      <w:tr w:rsidR="00686CE7" w:rsidRPr="005734B8" w14:paraId="20B1CD15" w14:textId="77777777" w:rsidTr="000C76E3">
        <w:trPr>
          <w:cantSplit/>
        </w:trPr>
        <w:tc>
          <w:tcPr>
            <w:tcW w:w="2885" w:type="dxa"/>
            <w:tcBorders>
              <w:top w:val="nil"/>
              <w:bottom w:val="single" w:sz="4" w:space="0" w:color="53565A" w:themeColor="accent5"/>
            </w:tcBorders>
            <w:shd w:val="clear" w:color="auto" w:fill="53565A" w:themeFill="accent5"/>
          </w:tcPr>
          <w:p w14:paraId="3ED35515" w14:textId="77777777" w:rsidR="00686CE7" w:rsidRPr="005734B8" w:rsidRDefault="00686CE7" w:rsidP="000E6F40">
            <w:pPr>
              <w:spacing w:before="120" w:after="120"/>
              <w:rPr>
                <w:rFonts w:ascii="Calibri" w:eastAsiaTheme="minorEastAsia" w:hAnsi="Calibri" w:cs="Calibri"/>
                <w:b/>
                <w:color w:val="FFFFFF" w:themeColor="background1"/>
                <w:sz w:val="18"/>
                <w:szCs w:val="18"/>
                <w:lang w:val="en-US"/>
              </w:rPr>
            </w:pPr>
            <w:r w:rsidRPr="005734B8">
              <w:rPr>
                <w:rFonts w:ascii="Calibri" w:eastAsiaTheme="minorEastAsia" w:hAnsi="Calibri" w:cs="Calibri"/>
                <w:b/>
                <w:color w:val="FFFFFF" w:themeColor="background1"/>
                <w:sz w:val="18"/>
                <w:szCs w:val="18"/>
                <w:lang w:val="en-US"/>
              </w:rPr>
              <w:lastRenderedPageBreak/>
              <w:t>Cost</w:t>
            </w:r>
          </w:p>
        </w:tc>
        <w:tc>
          <w:tcPr>
            <w:tcW w:w="1135" w:type="dxa"/>
            <w:tcBorders>
              <w:top w:val="nil"/>
              <w:bottom w:val="single" w:sz="4" w:space="0" w:color="53565A" w:themeColor="accent5"/>
            </w:tcBorders>
            <w:shd w:val="clear" w:color="auto" w:fill="53565A" w:themeFill="accent5"/>
          </w:tcPr>
          <w:p w14:paraId="4C73D946" w14:textId="77777777" w:rsidR="00686CE7" w:rsidRPr="005734B8" w:rsidRDefault="00686CE7" w:rsidP="000E6F40">
            <w:pPr>
              <w:spacing w:before="120" w:after="120"/>
              <w:rPr>
                <w:rFonts w:ascii="Calibri" w:eastAsiaTheme="minorEastAsia" w:hAnsi="Calibri" w:cs="Calibri"/>
                <w:b/>
                <w:color w:val="FFFFFF" w:themeColor="background1"/>
                <w:sz w:val="18"/>
                <w:szCs w:val="18"/>
                <w:lang w:val="en-US"/>
              </w:rPr>
            </w:pPr>
          </w:p>
        </w:tc>
        <w:tc>
          <w:tcPr>
            <w:tcW w:w="1114" w:type="dxa"/>
            <w:tcBorders>
              <w:top w:val="nil"/>
              <w:bottom w:val="single" w:sz="4" w:space="0" w:color="53565A" w:themeColor="accent5"/>
            </w:tcBorders>
            <w:shd w:val="clear" w:color="auto" w:fill="53565A" w:themeFill="accent5"/>
          </w:tcPr>
          <w:p w14:paraId="136339AF" w14:textId="77777777" w:rsidR="00686CE7" w:rsidRPr="005734B8" w:rsidRDefault="00686CE7" w:rsidP="000E6F40">
            <w:pPr>
              <w:spacing w:before="120" w:after="120"/>
              <w:rPr>
                <w:rFonts w:ascii="Calibri" w:eastAsiaTheme="minorEastAsia" w:hAnsi="Calibri" w:cs="Calibri"/>
                <w:b/>
                <w:color w:val="FFFFFF" w:themeColor="background1"/>
                <w:sz w:val="18"/>
                <w:szCs w:val="18"/>
                <w:lang w:val="en-US"/>
              </w:rPr>
            </w:pPr>
          </w:p>
        </w:tc>
        <w:tc>
          <w:tcPr>
            <w:tcW w:w="1338" w:type="dxa"/>
            <w:tcBorders>
              <w:top w:val="nil"/>
              <w:bottom w:val="single" w:sz="4" w:space="0" w:color="53565A" w:themeColor="accent5"/>
            </w:tcBorders>
            <w:shd w:val="clear" w:color="auto" w:fill="53565A" w:themeFill="accent5"/>
          </w:tcPr>
          <w:p w14:paraId="60A8AD96" w14:textId="77777777" w:rsidR="00686CE7" w:rsidRPr="005734B8" w:rsidRDefault="00686CE7" w:rsidP="000E6F40">
            <w:pPr>
              <w:spacing w:before="120" w:after="120"/>
              <w:rPr>
                <w:rFonts w:ascii="Calibri" w:eastAsiaTheme="minorEastAsia" w:hAnsi="Calibri" w:cs="Calibri"/>
                <w:b/>
                <w:color w:val="FFFFFF" w:themeColor="background1"/>
                <w:sz w:val="18"/>
                <w:szCs w:val="18"/>
                <w:lang w:val="en-US"/>
              </w:rPr>
            </w:pPr>
          </w:p>
        </w:tc>
        <w:tc>
          <w:tcPr>
            <w:tcW w:w="1631" w:type="dxa"/>
            <w:tcBorders>
              <w:top w:val="nil"/>
              <w:bottom w:val="single" w:sz="4" w:space="0" w:color="53565A" w:themeColor="accent5"/>
            </w:tcBorders>
            <w:shd w:val="clear" w:color="auto" w:fill="53565A" w:themeFill="accent5"/>
          </w:tcPr>
          <w:p w14:paraId="42184A7A" w14:textId="77777777" w:rsidR="00686CE7" w:rsidRPr="005734B8" w:rsidRDefault="00686CE7" w:rsidP="000E6F40">
            <w:pPr>
              <w:spacing w:before="120" w:after="120"/>
              <w:rPr>
                <w:rFonts w:ascii="Calibri" w:eastAsiaTheme="minorEastAsia" w:hAnsi="Calibri" w:cs="Calibri"/>
                <w:b/>
                <w:color w:val="FFFFFF" w:themeColor="background1"/>
                <w:sz w:val="18"/>
                <w:szCs w:val="18"/>
                <w:lang w:val="en-US"/>
              </w:rPr>
            </w:pPr>
          </w:p>
        </w:tc>
        <w:tc>
          <w:tcPr>
            <w:tcW w:w="907" w:type="dxa"/>
            <w:tcBorders>
              <w:top w:val="nil"/>
              <w:bottom w:val="single" w:sz="4" w:space="0" w:color="53565A" w:themeColor="accent5"/>
            </w:tcBorders>
            <w:shd w:val="clear" w:color="auto" w:fill="53565A" w:themeFill="accent5"/>
          </w:tcPr>
          <w:p w14:paraId="38EE153E" w14:textId="77777777" w:rsidR="00686CE7" w:rsidRPr="005734B8" w:rsidRDefault="00686CE7" w:rsidP="000E6F40">
            <w:pPr>
              <w:spacing w:before="120" w:after="120"/>
              <w:rPr>
                <w:rFonts w:ascii="Calibri" w:eastAsiaTheme="minorEastAsia" w:hAnsi="Calibri" w:cs="Calibri"/>
                <w:b/>
                <w:color w:val="FFFFFF" w:themeColor="background1"/>
                <w:sz w:val="18"/>
                <w:szCs w:val="18"/>
                <w:lang w:val="en-US"/>
              </w:rPr>
            </w:pPr>
          </w:p>
        </w:tc>
      </w:tr>
      <w:tr w:rsidR="00686CE7" w:rsidRPr="005734B8" w14:paraId="2B3BA41E"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60156523" w14:textId="09ECB03D"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Total output cost</w:t>
            </w:r>
          </w:p>
        </w:tc>
        <w:tc>
          <w:tcPr>
            <w:tcW w:w="1135" w:type="dxa"/>
            <w:tcBorders>
              <w:top w:val="single" w:sz="4" w:space="0" w:color="53565A" w:themeColor="accent5"/>
              <w:bottom w:val="single" w:sz="4" w:space="0" w:color="53565A" w:themeColor="accent5"/>
            </w:tcBorders>
            <w:shd w:val="clear" w:color="auto" w:fill="auto"/>
          </w:tcPr>
          <w:p w14:paraId="2FD5C6A2" w14:textId="77777777" w:rsidR="00686CE7" w:rsidRPr="005734B8" w:rsidRDefault="00686CE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 million</w:t>
            </w:r>
          </w:p>
        </w:tc>
        <w:tc>
          <w:tcPr>
            <w:tcW w:w="1114" w:type="dxa"/>
            <w:tcBorders>
              <w:top w:val="single" w:sz="4" w:space="0" w:color="53565A" w:themeColor="accent5"/>
              <w:bottom w:val="single" w:sz="4" w:space="0" w:color="53565A" w:themeColor="accent5"/>
            </w:tcBorders>
            <w:shd w:val="clear" w:color="auto" w:fill="D9D9D6" w:themeFill="accent1"/>
          </w:tcPr>
          <w:p w14:paraId="3732034D" w14:textId="12EF4F92"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eastAsiaTheme="minorEastAsia" w:hAnsi="Calibri" w:cs="Calibri"/>
                <w:sz w:val="18"/>
                <w:szCs w:val="18"/>
                <w:lang w:val="en-US"/>
              </w:rPr>
              <w:t>5,</w:t>
            </w:r>
            <w:r w:rsidR="008B4075" w:rsidRPr="005734B8">
              <w:rPr>
                <w:rFonts w:ascii="Calibri" w:eastAsiaTheme="minorEastAsia" w:hAnsi="Calibri" w:cs="Calibri"/>
                <w:sz w:val="18"/>
                <w:szCs w:val="18"/>
                <w:lang w:val="en-US"/>
              </w:rPr>
              <w:t>133</w:t>
            </w:r>
            <w:r w:rsidRPr="005734B8">
              <w:rPr>
                <w:rFonts w:ascii="Calibri" w:eastAsiaTheme="minorEastAsia" w:hAnsi="Calibri" w:cs="Calibri"/>
                <w:sz w:val="18"/>
                <w:szCs w:val="18"/>
                <w:lang w:val="en-US"/>
              </w:rPr>
              <w:t>.9</w:t>
            </w:r>
          </w:p>
        </w:tc>
        <w:tc>
          <w:tcPr>
            <w:tcW w:w="1338" w:type="dxa"/>
            <w:tcBorders>
              <w:top w:val="single" w:sz="4" w:space="0" w:color="53565A" w:themeColor="accent5"/>
              <w:bottom w:val="single" w:sz="4" w:space="0" w:color="53565A" w:themeColor="accent5"/>
            </w:tcBorders>
            <w:shd w:val="clear" w:color="auto" w:fill="FFFFFF" w:themeFill="background1"/>
          </w:tcPr>
          <w:p w14:paraId="14B581A2" w14:textId="77777777" w:rsidR="00686CE7" w:rsidRPr="005734B8" w:rsidRDefault="00686CE7" w:rsidP="000E6F40">
            <w:pPr>
              <w:spacing w:before="120" w:after="120"/>
              <w:jc w:val="right"/>
              <w:rPr>
                <w:rFonts w:ascii="Calibri" w:eastAsiaTheme="minorEastAsia" w:hAnsi="Calibri" w:cs="Calibri"/>
                <w:sz w:val="18"/>
                <w:szCs w:val="18"/>
                <w:lang w:val="en-US"/>
              </w:rPr>
            </w:pPr>
            <w:r w:rsidRPr="005734B8">
              <w:rPr>
                <w:rFonts w:ascii="Calibri" w:eastAsiaTheme="minorEastAsia" w:hAnsi="Calibri" w:cs="Calibri"/>
                <w:sz w:val="18"/>
                <w:szCs w:val="18"/>
                <w:lang w:val="en-US"/>
              </w:rPr>
              <w:t>5,158.9</w:t>
            </w:r>
          </w:p>
        </w:tc>
        <w:tc>
          <w:tcPr>
            <w:tcW w:w="1631" w:type="dxa"/>
            <w:tcBorders>
              <w:top w:val="single" w:sz="4" w:space="0" w:color="53565A" w:themeColor="accent5"/>
              <w:bottom w:val="single" w:sz="4" w:space="0" w:color="53565A" w:themeColor="accent5"/>
            </w:tcBorders>
          </w:tcPr>
          <w:p w14:paraId="123AE378" w14:textId="01CC603F" w:rsidR="00686CE7" w:rsidRPr="005734B8" w:rsidRDefault="008B4075" w:rsidP="000E6F40">
            <w:pPr>
              <w:spacing w:before="120" w:after="120"/>
              <w:jc w:val="right"/>
              <w:rPr>
                <w:rFonts w:ascii="Calibri" w:eastAsiaTheme="minorEastAsia" w:hAnsi="Calibri" w:cs="Calibri"/>
                <w:sz w:val="18"/>
                <w:szCs w:val="18"/>
                <w:lang w:val="en-US"/>
              </w:rPr>
            </w:pPr>
            <w:r w:rsidRPr="005734B8">
              <w:rPr>
                <w:rFonts w:ascii="Calibri" w:eastAsiaTheme="minorEastAsia" w:hAnsi="Calibri" w:cs="Calibri"/>
                <w:sz w:val="18"/>
                <w:szCs w:val="18"/>
                <w:lang w:val="en-US"/>
              </w:rPr>
              <w:t>-</w:t>
            </w:r>
            <w:r w:rsidR="00686CE7" w:rsidRPr="005734B8">
              <w:rPr>
                <w:rFonts w:ascii="Calibri" w:eastAsiaTheme="minorEastAsia" w:hAnsi="Calibri" w:cs="Calibri"/>
                <w:sz w:val="18"/>
                <w:szCs w:val="18"/>
                <w:lang w:val="en-US"/>
              </w:rPr>
              <w:t>0.5</w:t>
            </w:r>
          </w:p>
        </w:tc>
        <w:tc>
          <w:tcPr>
            <w:tcW w:w="907" w:type="dxa"/>
            <w:tcBorders>
              <w:top w:val="single" w:sz="4" w:space="0" w:color="53565A" w:themeColor="accent5"/>
              <w:bottom w:val="single" w:sz="4" w:space="0" w:color="53565A" w:themeColor="accent5"/>
            </w:tcBorders>
          </w:tcPr>
          <w:p w14:paraId="78352E3C" w14:textId="5B79ED5F" w:rsidR="00686CE7" w:rsidRPr="005734B8" w:rsidRDefault="00676CDA"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FC"/>
            </w:r>
          </w:p>
        </w:tc>
      </w:tr>
      <w:tr w:rsidR="00686CE7" w:rsidRPr="005734B8" w14:paraId="554C0FEC"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2A13D12A" w14:textId="75F0D845" w:rsidR="00686CE7" w:rsidRPr="005734B8" w:rsidRDefault="008B4075" w:rsidP="000E6F40">
            <w:pPr>
              <w:spacing w:before="120" w:after="120"/>
              <w:rPr>
                <w:rFonts w:ascii="Calibri" w:eastAsiaTheme="minorEastAsia" w:hAnsi="Calibri" w:cs="Calibri"/>
                <w:i/>
                <w:sz w:val="16"/>
                <w:szCs w:val="16"/>
                <w:highlight w:val="yellow"/>
                <w:lang w:val="en-US"/>
              </w:rPr>
            </w:pPr>
            <w:r w:rsidRPr="005734B8">
              <w:rPr>
                <w:rFonts w:ascii="Calibri" w:eastAsiaTheme="minorEastAsia" w:hAnsi="Calibri" w:cs="Calibri"/>
                <w:i/>
                <w:sz w:val="16"/>
                <w:szCs w:val="20"/>
                <w:lang w:val="en-US"/>
              </w:rPr>
              <w:t>No footnote required.</w:t>
            </w:r>
          </w:p>
        </w:tc>
      </w:tr>
    </w:tbl>
    <w:tbl>
      <w:tblPr>
        <w:tblStyle w:val="TableGrid"/>
        <w:tblW w:w="5000" w:type="pct"/>
        <w:tblBorders>
          <w:top w:val="none" w:sz="0" w:space="0" w:color="auto"/>
          <w:left w:val="single" w:sz="4" w:space="0" w:color="FFFFFF" w:themeColor="background1"/>
          <w:bottom w:val="single" w:sz="4" w:space="0" w:color="53565A" w:themeColor="accent5"/>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96"/>
        <w:gridCol w:w="3320"/>
        <w:gridCol w:w="2222"/>
        <w:gridCol w:w="2372"/>
      </w:tblGrid>
      <w:tr w:rsidR="00676CDA" w:rsidRPr="005734B8" w14:paraId="6409F268" w14:textId="77777777" w:rsidTr="00676CDA">
        <w:trPr>
          <w:cantSplit/>
        </w:trPr>
        <w:tc>
          <w:tcPr>
            <w:tcW w:w="1096" w:type="dxa"/>
            <w:shd w:val="clear" w:color="auto" w:fill="auto"/>
          </w:tcPr>
          <w:p w14:paraId="241B1DE2" w14:textId="77777777" w:rsidR="00676CDA" w:rsidRPr="005734B8" w:rsidRDefault="00676CDA" w:rsidP="009B07F6">
            <w:pPr>
              <w:pStyle w:val="ESTablenumberrightaligned"/>
              <w:jc w:val="left"/>
              <w:rPr>
                <w:rFonts w:ascii="Calibri" w:hAnsi="Calibri" w:cs="Calibri"/>
                <w:sz w:val="18"/>
              </w:rPr>
            </w:pPr>
            <w:r w:rsidRPr="005734B8">
              <w:rPr>
                <w:rFonts w:ascii="Calibri" w:hAnsi="Calibri" w:cs="Calibri"/>
                <w:sz w:val="18"/>
                <w:lang w:val="en-AU"/>
              </w:rPr>
              <w:t>Key:</w:t>
            </w:r>
          </w:p>
        </w:tc>
        <w:tc>
          <w:tcPr>
            <w:tcW w:w="3320" w:type="dxa"/>
            <w:shd w:val="clear" w:color="auto" w:fill="auto"/>
          </w:tcPr>
          <w:p w14:paraId="3F5638D9" w14:textId="77777777" w:rsidR="00676CDA" w:rsidRPr="005734B8" w:rsidRDefault="00676CDA" w:rsidP="009B07F6">
            <w:pPr>
              <w:pStyle w:val="ESTablenumberrightaligned"/>
              <w:rPr>
                <w:rFonts w:ascii="Calibri" w:hAnsi="Calibri" w:cs="Calibri"/>
                <w:sz w:val="18"/>
              </w:rPr>
            </w:pPr>
            <w:r w:rsidRPr="005734B8">
              <w:rPr>
                <w:rFonts w:ascii="Calibri" w:hAnsi="Calibri" w:cs="Calibri"/>
                <w:sz w:val="18"/>
                <w:lang w:val="en-AU"/>
              </w:rPr>
              <w:sym w:font="Wingdings" w:char="F0FC"/>
            </w:r>
            <w:r w:rsidRPr="005734B8">
              <w:rPr>
                <w:rFonts w:ascii="Calibri" w:hAnsi="Calibri" w:cs="Calibri"/>
                <w:sz w:val="18"/>
                <w:lang w:val="en-AU"/>
              </w:rPr>
              <w:t xml:space="preserve"> Target achieved or exceeded</w:t>
            </w:r>
          </w:p>
        </w:tc>
        <w:tc>
          <w:tcPr>
            <w:tcW w:w="2222" w:type="dxa"/>
            <w:shd w:val="clear" w:color="auto" w:fill="auto"/>
          </w:tcPr>
          <w:p w14:paraId="69CFBD30" w14:textId="77777777" w:rsidR="00676CDA" w:rsidRPr="005734B8" w:rsidRDefault="00676CDA" w:rsidP="009B07F6">
            <w:pPr>
              <w:pStyle w:val="ESTablenumberrightaligned"/>
              <w:rPr>
                <w:rFonts w:ascii="Calibri" w:hAnsi="Calibri" w:cs="Calibri"/>
                <w:sz w:val="18"/>
              </w:rPr>
            </w:pPr>
            <w:r w:rsidRPr="005734B8">
              <w:rPr>
                <w:rFonts w:ascii="Calibri" w:hAnsi="Calibri" w:cs="Calibri"/>
                <w:sz w:val="18"/>
                <w:lang w:val="en-AU"/>
              </w:rPr>
              <w:sym w:font="Wingdings" w:char="F0A1"/>
            </w:r>
            <w:r w:rsidRPr="005734B8">
              <w:rPr>
                <w:rFonts w:ascii="Calibri" w:hAnsi="Calibri" w:cs="Calibri"/>
                <w:sz w:val="18"/>
                <w:lang w:val="en-AU"/>
              </w:rPr>
              <w:t xml:space="preserve"> Target not achieved — less than 5% variance</w:t>
            </w:r>
          </w:p>
        </w:tc>
        <w:tc>
          <w:tcPr>
            <w:tcW w:w="2372" w:type="dxa"/>
            <w:shd w:val="clear" w:color="auto" w:fill="auto"/>
          </w:tcPr>
          <w:p w14:paraId="6199CAE7" w14:textId="77777777" w:rsidR="00676CDA" w:rsidRPr="005734B8" w:rsidRDefault="00676CDA" w:rsidP="009B07F6">
            <w:pPr>
              <w:pStyle w:val="ESTablenumberrightaligned"/>
              <w:rPr>
                <w:rFonts w:ascii="Calibri" w:hAnsi="Calibri" w:cs="Calibri"/>
                <w:sz w:val="18"/>
              </w:rPr>
            </w:pPr>
            <w:r w:rsidRPr="005734B8">
              <w:rPr>
                <w:rFonts w:ascii="Calibri" w:hAnsi="Calibri" w:cs="Calibri"/>
                <w:sz w:val="18"/>
                <w:lang w:val="en-AU"/>
              </w:rPr>
              <w:sym w:font="Wingdings" w:char="F06E"/>
            </w:r>
            <w:r w:rsidRPr="005734B8">
              <w:rPr>
                <w:rFonts w:ascii="Calibri" w:hAnsi="Calibri" w:cs="Calibri"/>
                <w:sz w:val="18"/>
                <w:lang w:val="en-AU"/>
              </w:rPr>
              <w:t xml:space="preserve"> Target not achieved — more than 5% variance</w:t>
            </w:r>
          </w:p>
        </w:tc>
      </w:tr>
    </w:tbl>
    <w:p w14:paraId="5A5C005D" w14:textId="77777777" w:rsidR="007E1EDE" w:rsidRPr="005734B8" w:rsidRDefault="007E1EDE" w:rsidP="007E1EDE">
      <w:pPr>
        <w:pStyle w:val="ESHeading3"/>
        <w:ind w:left="0" w:firstLine="0"/>
        <w:rPr>
          <w:rFonts w:ascii="Calibri" w:hAnsi="Calibri" w:cs="Calibri"/>
          <w:szCs w:val="22"/>
          <w:lang w:val="en-AU"/>
        </w:rPr>
      </w:pPr>
      <w:bookmarkStart w:id="205" w:name="_Hlk78211724"/>
      <w:bookmarkEnd w:id="194"/>
      <w:bookmarkEnd w:id="195"/>
      <w:bookmarkEnd w:id="196"/>
      <w:bookmarkEnd w:id="197"/>
      <w:bookmarkEnd w:id="198"/>
      <w:bookmarkEnd w:id="199"/>
      <w:bookmarkEnd w:id="200"/>
      <w:r w:rsidRPr="005734B8">
        <w:rPr>
          <w:rFonts w:ascii="Calibri" w:hAnsi="Calibri" w:cs="Calibri"/>
          <w:szCs w:val="22"/>
          <w:lang w:val="en-AU"/>
        </w:rPr>
        <w:t>Training, higher education and workforce development</w:t>
      </w:r>
    </w:p>
    <w:p w14:paraId="03D82527" w14:textId="3E4D0ADC" w:rsidR="00493DEB" w:rsidRPr="005734B8" w:rsidRDefault="007E1EDE" w:rsidP="007E1EDE">
      <w:pPr>
        <w:rPr>
          <w:rFonts w:ascii="Calibri" w:hAnsi="Calibri" w:cs="Calibri"/>
          <w:szCs w:val="22"/>
        </w:rPr>
      </w:pPr>
      <w:r w:rsidRPr="005734B8">
        <w:rPr>
          <w:rFonts w:ascii="Calibri" w:hAnsi="Calibri" w:cs="Calibri"/>
          <w:szCs w:val="22"/>
        </w:rPr>
        <w:t xml:space="preserve">The Training, Higher Education and Workforce Development output </w:t>
      </w:r>
      <w:r w:rsidR="00CF51F0" w:rsidRPr="005734B8">
        <w:rPr>
          <w:rFonts w:ascii="Calibri" w:hAnsi="Calibri" w:cs="Calibri"/>
          <w:szCs w:val="22"/>
        </w:rPr>
        <w:t>helps</w:t>
      </w:r>
      <w:r w:rsidRPr="005734B8">
        <w:rPr>
          <w:rFonts w:ascii="Calibri" w:hAnsi="Calibri" w:cs="Calibri"/>
          <w:szCs w:val="22"/>
        </w:rPr>
        <w:t xml:space="preserve"> Victorians</w:t>
      </w:r>
      <w:r w:rsidRPr="005734B8" w:rsidDel="00493DEB">
        <w:rPr>
          <w:rFonts w:ascii="Calibri" w:hAnsi="Calibri" w:cs="Calibri"/>
          <w:szCs w:val="22"/>
        </w:rPr>
        <w:t xml:space="preserve"> </w:t>
      </w:r>
      <w:r w:rsidRPr="005734B8">
        <w:rPr>
          <w:rFonts w:ascii="Calibri" w:hAnsi="Calibri" w:cs="Calibri"/>
          <w:szCs w:val="22"/>
        </w:rPr>
        <w:t xml:space="preserve">gain the skills and capabilities essential for success in employment and further training or study. The Department works with the TAFE and training sector to deliver quality training that strongly supports industry </w:t>
      </w:r>
      <w:r w:rsidR="00066775" w:rsidRPr="005734B8">
        <w:rPr>
          <w:rFonts w:ascii="Calibri" w:hAnsi="Calibri" w:cs="Calibri"/>
          <w:szCs w:val="22"/>
        </w:rPr>
        <w:t xml:space="preserve">to </w:t>
      </w:r>
      <w:r w:rsidRPr="005734B8">
        <w:rPr>
          <w:rFonts w:ascii="Calibri" w:hAnsi="Calibri" w:cs="Calibri"/>
          <w:szCs w:val="22"/>
        </w:rPr>
        <w:t xml:space="preserve">meet the evolving needs of the economy, promotes equity and addresses disadvantage, with an emphasis on growth sectors of the economy. This output includes </w:t>
      </w:r>
      <w:r w:rsidR="00493DEB" w:rsidRPr="005734B8">
        <w:rPr>
          <w:rFonts w:ascii="Calibri" w:hAnsi="Calibri" w:cs="Calibri"/>
          <w:szCs w:val="22"/>
        </w:rPr>
        <w:t xml:space="preserve">a number of </w:t>
      </w:r>
      <w:r w:rsidRPr="005734B8">
        <w:rPr>
          <w:rFonts w:ascii="Calibri" w:hAnsi="Calibri" w:cs="Calibri"/>
          <w:szCs w:val="22"/>
        </w:rPr>
        <w:t>functions</w:t>
      </w:r>
      <w:r w:rsidR="00493DEB" w:rsidRPr="005734B8">
        <w:rPr>
          <w:rFonts w:ascii="Calibri" w:hAnsi="Calibri" w:cs="Calibri"/>
          <w:szCs w:val="22"/>
        </w:rPr>
        <w:t>. These are:</w:t>
      </w:r>
    </w:p>
    <w:p w14:paraId="78B438B8" w14:textId="5F7AF3F1" w:rsidR="00493DEB" w:rsidRPr="005734B8" w:rsidRDefault="007E1EDE" w:rsidP="00670895">
      <w:pPr>
        <w:pStyle w:val="ListParagraph"/>
        <w:numPr>
          <w:ilvl w:val="0"/>
          <w:numId w:val="72"/>
        </w:numPr>
        <w:rPr>
          <w:rFonts w:ascii="Calibri" w:hAnsi="Calibri" w:cs="Calibri"/>
          <w:strike/>
          <w:szCs w:val="22"/>
        </w:rPr>
      </w:pPr>
      <w:r w:rsidRPr="005734B8">
        <w:rPr>
          <w:rFonts w:ascii="Calibri" w:hAnsi="Calibri" w:cs="Calibri"/>
          <w:szCs w:val="22"/>
        </w:rPr>
        <w:t>training system design</w:t>
      </w:r>
    </w:p>
    <w:p w14:paraId="3FF83FB3" w14:textId="4F227E96" w:rsidR="00493DEB" w:rsidRPr="005734B8" w:rsidRDefault="007E1EDE" w:rsidP="00670895">
      <w:pPr>
        <w:pStyle w:val="ListParagraph"/>
        <w:numPr>
          <w:ilvl w:val="0"/>
          <w:numId w:val="72"/>
        </w:numPr>
        <w:rPr>
          <w:rFonts w:ascii="Calibri" w:hAnsi="Calibri" w:cs="Calibri"/>
          <w:strike/>
          <w:szCs w:val="22"/>
        </w:rPr>
      </w:pPr>
      <w:r w:rsidRPr="005734B8">
        <w:rPr>
          <w:rFonts w:ascii="Calibri" w:hAnsi="Calibri" w:cs="Calibri"/>
          <w:szCs w:val="22"/>
        </w:rPr>
        <w:t>industry engagement</w:t>
      </w:r>
      <w:r w:rsidR="00493DEB" w:rsidRPr="005734B8">
        <w:rPr>
          <w:rFonts w:ascii="Calibri" w:hAnsi="Calibri" w:cs="Calibri"/>
          <w:szCs w:val="22"/>
        </w:rPr>
        <w:t xml:space="preserve"> and </w:t>
      </w:r>
      <w:r w:rsidRPr="005734B8">
        <w:rPr>
          <w:rFonts w:ascii="Calibri" w:hAnsi="Calibri" w:cs="Calibri"/>
          <w:szCs w:val="22"/>
        </w:rPr>
        <w:t>stakeholder information</w:t>
      </w:r>
    </w:p>
    <w:p w14:paraId="1686E679" w14:textId="015ACD99" w:rsidR="007E1EDE" w:rsidRPr="005734B8" w:rsidRDefault="007E1EDE" w:rsidP="00670895">
      <w:pPr>
        <w:pStyle w:val="ListParagraph"/>
        <w:numPr>
          <w:ilvl w:val="0"/>
          <w:numId w:val="72"/>
        </w:numPr>
        <w:rPr>
          <w:rFonts w:ascii="Calibri" w:hAnsi="Calibri" w:cs="Calibri"/>
          <w:strike/>
          <w:szCs w:val="22"/>
        </w:rPr>
      </w:pPr>
      <w:r w:rsidRPr="005734B8">
        <w:rPr>
          <w:rFonts w:ascii="Calibri" w:hAnsi="Calibri" w:cs="Calibri"/>
          <w:szCs w:val="22"/>
        </w:rPr>
        <w:t>contracting and monitoring of quality and training services</w:t>
      </w:r>
      <w:r w:rsidR="00493DEB" w:rsidRPr="005734B8">
        <w:rPr>
          <w:rFonts w:ascii="Calibri" w:hAnsi="Calibri" w:cs="Calibri"/>
          <w:szCs w:val="22"/>
        </w:rPr>
        <w:t>,</w:t>
      </w:r>
      <w:r w:rsidRPr="005734B8">
        <w:rPr>
          <w:rFonts w:ascii="Calibri" w:hAnsi="Calibri" w:cs="Calibri"/>
          <w:szCs w:val="22"/>
        </w:rPr>
        <w:t xml:space="preserve"> including accredited and pre-accredited </w:t>
      </w:r>
      <w:r w:rsidR="001E5903" w:rsidRPr="005734B8">
        <w:rPr>
          <w:rFonts w:ascii="Calibri" w:hAnsi="Calibri" w:cs="Calibri"/>
          <w:szCs w:val="22"/>
        </w:rPr>
        <w:t>VET</w:t>
      </w:r>
      <w:r w:rsidRPr="005734B8">
        <w:rPr>
          <w:rFonts w:ascii="Calibri" w:hAnsi="Calibri" w:cs="Calibri"/>
          <w:szCs w:val="22"/>
        </w:rPr>
        <w:t xml:space="preserve"> through to adult community education. </w:t>
      </w:r>
    </w:p>
    <w:bookmarkEnd w:id="205"/>
    <w:p w14:paraId="4FE72573" w14:textId="34B4E756" w:rsidR="0052344F" w:rsidRPr="005734B8" w:rsidRDefault="002E3CDD" w:rsidP="002E3CDD">
      <w:pPr>
        <w:pStyle w:val="ESTableintroheading"/>
        <w:keepNext w:val="0"/>
        <w:rPr>
          <w:rFonts w:ascii="Calibri" w:hAnsi="Calibri" w:cs="Calibri"/>
          <w:lang w:val="en-AU"/>
        </w:rPr>
      </w:pPr>
      <w:r w:rsidRPr="005734B8">
        <w:rPr>
          <w:rFonts w:ascii="Calibri" w:hAnsi="Calibri" w:cs="Calibri"/>
          <w:lang w:val="en-AU"/>
        </w:rPr>
        <w:t>Training, higher education and workforce development performance measures</w:t>
      </w:r>
    </w:p>
    <w:tbl>
      <w:tblPr>
        <w:tblStyle w:val="TableGrid4"/>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85"/>
        <w:gridCol w:w="1135"/>
        <w:gridCol w:w="1114"/>
        <w:gridCol w:w="1338"/>
        <w:gridCol w:w="1631"/>
        <w:gridCol w:w="907"/>
      </w:tblGrid>
      <w:tr w:rsidR="007E1EDE" w:rsidRPr="005734B8" w14:paraId="667DA444" w14:textId="77777777" w:rsidTr="000E6F40">
        <w:trPr>
          <w:cantSplit/>
          <w:trHeight w:val="242"/>
          <w:tblHeader/>
        </w:trPr>
        <w:tc>
          <w:tcPr>
            <w:tcW w:w="2885" w:type="dxa"/>
            <w:tcBorders>
              <w:bottom w:val="single" w:sz="4" w:space="0" w:color="FFFFFF" w:themeColor="background1"/>
            </w:tcBorders>
            <w:shd w:val="clear" w:color="auto" w:fill="AF272F" w:themeFill="accent4"/>
          </w:tcPr>
          <w:p w14:paraId="4B5B6CFB" w14:textId="77777777" w:rsidR="007E1EDE" w:rsidRPr="005734B8" w:rsidRDefault="007E1EDE" w:rsidP="000E6F40">
            <w:pPr>
              <w:spacing w:before="80" w:after="80"/>
              <w:rPr>
                <w:rFonts w:ascii="Calibri" w:eastAsiaTheme="minorEastAsia" w:hAnsi="Calibri" w:cs="Calibri"/>
                <w:b/>
                <w:color w:val="FFFFFF" w:themeColor="background1"/>
                <w:sz w:val="19"/>
                <w:szCs w:val="18"/>
                <w:lang w:val="en-US"/>
              </w:rPr>
            </w:pPr>
            <w:bookmarkStart w:id="206" w:name="_Toc11158169"/>
            <w:bookmarkStart w:id="207" w:name="_Toc11336176"/>
            <w:bookmarkStart w:id="208" w:name="_Toc14965399"/>
            <w:bookmarkStart w:id="209" w:name="_Toc19271978"/>
            <w:bookmarkStart w:id="210" w:name="_Toc19272344"/>
            <w:bookmarkStart w:id="211" w:name="_Toc19273679"/>
            <w:bookmarkStart w:id="212" w:name="_Toc39835767"/>
            <w:r w:rsidRPr="005734B8">
              <w:rPr>
                <w:rFonts w:ascii="Calibri" w:eastAsiaTheme="minorEastAsia" w:hAnsi="Calibri" w:cs="Calibri"/>
                <w:b/>
                <w:color w:val="FFFFFF" w:themeColor="background1"/>
                <w:sz w:val="19"/>
                <w:szCs w:val="18"/>
                <w:lang w:val="en-US"/>
              </w:rPr>
              <w:t>Performance measures</w:t>
            </w:r>
          </w:p>
        </w:tc>
        <w:tc>
          <w:tcPr>
            <w:tcW w:w="1135" w:type="dxa"/>
            <w:tcBorders>
              <w:bottom w:val="single" w:sz="4" w:space="0" w:color="FFFFFF" w:themeColor="background1"/>
            </w:tcBorders>
            <w:shd w:val="clear" w:color="auto" w:fill="AF272F" w:themeFill="accent4"/>
          </w:tcPr>
          <w:p w14:paraId="0D70C994" w14:textId="77777777" w:rsidR="007E1EDE" w:rsidRPr="005734B8" w:rsidRDefault="007E1EDE" w:rsidP="000E6F40">
            <w:pPr>
              <w:spacing w:before="80" w:after="80"/>
              <w:rPr>
                <w:rFonts w:ascii="Calibri" w:eastAsiaTheme="minorEastAsia" w:hAnsi="Calibri" w:cs="Calibri"/>
                <w:b/>
                <w:color w:val="FFFFFF" w:themeColor="background1"/>
                <w:sz w:val="19"/>
                <w:szCs w:val="18"/>
                <w:lang w:val="en-US"/>
              </w:rPr>
            </w:pPr>
            <w:r w:rsidRPr="005734B8">
              <w:rPr>
                <w:rFonts w:ascii="Calibri" w:eastAsiaTheme="minorEastAsia" w:hAnsi="Calibri" w:cs="Calibri"/>
                <w:b/>
                <w:color w:val="FFFFFF" w:themeColor="background1"/>
                <w:sz w:val="19"/>
                <w:szCs w:val="18"/>
                <w:lang w:val="en-US"/>
              </w:rPr>
              <w:t>Unit of measure</w:t>
            </w:r>
          </w:p>
        </w:tc>
        <w:tc>
          <w:tcPr>
            <w:tcW w:w="1114" w:type="dxa"/>
            <w:tcBorders>
              <w:bottom w:val="single" w:sz="4" w:space="0" w:color="FFFFFF" w:themeColor="background1"/>
            </w:tcBorders>
            <w:shd w:val="clear" w:color="auto" w:fill="AF272F" w:themeFill="accent4"/>
          </w:tcPr>
          <w:p w14:paraId="3AF1F7ED" w14:textId="77777777" w:rsidR="007E1EDE" w:rsidRPr="005734B8" w:rsidRDefault="007E1EDE" w:rsidP="000E6F40">
            <w:pPr>
              <w:spacing w:before="80" w:after="80"/>
              <w:jc w:val="right"/>
              <w:rPr>
                <w:rFonts w:ascii="Calibri" w:eastAsiaTheme="minorEastAsia" w:hAnsi="Calibri" w:cs="Calibri"/>
                <w:b/>
                <w:color w:val="FFFFFF" w:themeColor="background1"/>
                <w:sz w:val="19"/>
                <w:szCs w:val="18"/>
                <w:lang w:val="en-US"/>
              </w:rPr>
            </w:pPr>
            <w:r w:rsidRPr="005734B8">
              <w:rPr>
                <w:rFonts w:ascii="Calibri" w:hAnsi="Calibri" w:cs="Calibri"/>
                <w:b/>
                <w:color w:val="FFFFFF" w:themeColor="background1"/>
                <w:sz w:val="18"/>
                <w:szCs w:val="18"/>
              </w:rPr>
              <w:t>2020–21 actual</w:t>
            </w:r>
          </w:p>
        </w:tc>
        <w:tc>
          <w:tcPr>
            <w:tcW w:w="1338" w:type="dxa"/>
            <w:tcBorders>
              <w:bottom w:val="single" w:sz="4" w:space="0" w:color="FFFFFF" w:themeColor="background1"/>
            </w:tcBorders>
            <w:shd w:val="clear" w:color="auto" w:fill="AF272F" w:themeFill="accent4"/>
          </w:tcPr>
          <w:p w14:paraId="6FC10BAC" w14:textId="77777777" w:rsidR="007E1EDE" w:rsidRPr="005734B8" w:rsidRDefault="007E1EDE" w:rsidP="000E6F40">
            <w:pPr>
              <w:spacing w:before="80" w:after="80"/>
              <w:jc w:val="right"/>
              <w:rPr>
                <w:rFonts w:ascii="Calibri" w:eastAsiaTheme="minorEastAsia" w:hAnsi="Calibri" w:cs="Calibri"/>
                <w:b/>
                <w:color w:val="FFFFFF" w:themeColor="background1"/>
                <w:sz w:val="19"/>
                <w:szCs w:val="18"/>
                <w:lang w:val="en-US"/>
              </w:rPr>
            </w:pPr>
            <w:r w:rsidRPr="005734B8">
              <w:rPr>
                <w:rFonts w:ascii="Calibri" w:hAnsi="Calibri" w:cs="Calibri"/>
                <w:b/>
                <w:color w:val="FFFFFF" w:themeColor="background1"/>
                <w:sz w:val="18"/>
                <w:szCs w:val="18"/>
              </w:rPr>
              <w:t>2020–21 target</w:t>
            </w:r>
          </w:p>
        </w:tc>
        <w:tc>
          <w:tcPr>
            <w:tcW w:w="1631" w:type="dxa"/>
            <w:tcBorders>
              <w:bottom w:val="single" w:sz="4" w:space="0" w:color="FFFFFF" w:themeColor="background1"/>
            </w:tcBorders>
            <w:shd w:val="clear" w:color="auto" w:fill="AF272F" w:themeFill="accent4"/>
          </w:tcPr>
          <w:p w14:paraId="5BE9B7C0" w14:textId="77777777" w:rsidR="007E1EDE" w:rsidRPr="005734B8" w:rsidRDefault="007E1EDE" w:rsidP="000E6F40">
            <w:pPr>
              <w:spacing w:before="80" w:after="80"/>
              <w:jc w:val="right"/>
              <w:rPr>
                <w:rFonts w:ascii="Calibri" w:eastAsiaTheme="minorEastAsia" w:hAnsi="Calibri" w:cs="Calibri"/>
                <w:b/>
                <w:color w:val="FFFFFF" w:themeColor="background1"/>
                <w:sz w:val="19"/>
                <w:szCs w:val="18"/>
                <w:lang w:val="en-US"/>
              </w:rPr>
            </w:pPr>
            <w:r w:rsidRPr="005734B8">
              <w:rPr>
                <w:rFonts w:ascii="Calibri" w:hAnsi="Calibri" w:cs="Calibri"/>
                <w:b/>
                <w:color w:val="FFFFFF" w:themeColor="background1"/>
                <w:sz w:val="18"/>
                <w:szCs w:val="18"/>
              </w:rPr>
              <w:t>Performance variation (%)</w:t>
            </w:r>
          </w:p>
        </w:tc>
        <w:tc>
          <w:tcPr>
            <w:tcW w:w="907" w:type="dxa"/>
            <w:tcBorders>
              <w:bottom w:val="single" w:sz="4" w:space="0" w:color="FFFFFF" w:themeColor="background1"/>
            </w:tcBorders>
            <w:shd w:val="clear" w:color="auto" w:fill="AF272F" w:themeFill="accent4"/>
          </w:tcPr>
          <w:p w14:paraId="303B1ABD" w14:textId="77777777" w:rsidR="007E1EDE" w:rsidRPr="005734B8" w:rsidRDefault="007E1EDE" w:rsidP="000E6F40">
            <w:pPr>
              <w:spacing w:before="80" w:after="80"/>
              <w:jc w:val="right"/>
              <w:rPr>
                <w:rFonts w:ascii="Calibri" w:eastAsiaTheme="minorEastAsia" w:hAnsi="Calibri" w:cs="Calibri"/>
                <w:b/>
                <w:color w:val="FFFFFF" w:themeColor="background1"/>
                <w:sz w:val="19"/>
                <w:szCs w:val="18"/>
                <w:lang w:val="en-US"/>
              </w:rPr>
            </w:pPr>
            <w:r w:rsidRPr="005734B8">
              <w:rPr>
                <w:rFonts w:ascii="Calibri" w:hAnsi="Calibri" w:cs="Calibri"/>
                <w:b/>
                <w:color w:val="FFFFFF" w:themeColor="background1"/>
                <w:sz w:val="18"/>
                <w:szCs w:val="18"/>
              </w:rPr>
              <w:t>Result</w:t>
            </w:r>
          </w:p>
        </w:tc>
      </w:tr>
      <w:tr w:rsidR="007E1EDE" w:rsidRPr="005734B8" w14:paraId="6A6CAFEC" w14:textId="77777777" w:rsidTr="000E6F40">
        <w:trPr>
          <w:cantSplit/>
        </w:trPr>
        <w:tc>
          <w:tcPr>
            <w:tcW w:w="2885" w:type="dxa"/>
            <w:tcBorders>
              <w:bottom w:val="single" w:sz="4" w:space="0" w:color="53565A" w:themeColor="accent5"/>
            </w:tcBorders>
            <w:shd w:val="clear" w:color="auto" w:fill="53565A" w:themeFill="accent5"/>
          </w:tcPr>
          <w:p w14:paraId="7D13BC36" w14:textId="77777777" w:rsidR="007E1EDE" w:rsidRPr="005734B8" w:rsidRDefault="007E1EDE" w:rsidP="000E6F40">
            <w:pPr>
              <w:spacing w:before="120" w:after="120"/>
              <w:rPr>
                <w:rFonts w:ascii="Calibri" w:eastAsiaTheme="minorEastAsia" w:hAnsi="Calibri" w:cs="Calibri"/>
                <w:b/>
                <w:color w:val="FFFFFF" w:themeColor="background1"/>
                <w:sz w:val="18"/>
                <w:szCs w:val="18"/>
                <w:lang w:val="en-US"/>
              </w:rPr>
            </w:pPr>
            <w:r w:rsidRPr="005734B8">
              <w:rPr>
                <w:rFonts w:ascii="Calibri" w:eastAsiaTheme="minorEastAsia" w:hAnsi="Calibri" w:cs="Calibri"/>
                <w:b/>
                <w:color w:val="FFFFFF" w:themeColor="background1"/>
                <w:sz w:val="18"/>
                <w:szCs w:val="18"/>
                <w:lang w:val="en-US"/>
              </w:rPr>
              <w:t>Quantity</w:t>
            </w:r>
          </w:p>
        </w:tc>
        <w:tc>
          <w:tcPr>
            <w:tcW w:w="1135" w:type="dxa"/>
            <w:tcBorders>
              <w:bottom w:val="single" w:sz="4" w:space="0" w:color="53565A" w:themeColor="accent5"/>
            </w:tcBorders>
            <w:shd w:val="clear" w:color="auto" w:fill="53565A" w:themeFill="accent5"/>
          </w:tcPr>
          <w:p w14:paraId="792858F4" w14:textId="77777777" w:rsidR="007E1EDE" w:rsidRPr="005734B8" w:rsidRDefault="007E1EDE" w:rsidP="000E6F40">
            <w:pPr>
              <w:spacing w:before="120" w:after="120"/>
              <w:rPr>
                <w:rFonts w:ascii="Calibri" w:eastAsiaTheme="minorEastAsia" w:hAnsi="Calibri" w:cs="Calibri"/>
                <w:sz w:val="18"/>
                <w:szCs w:val="18"/>
                <w:lang w:val="en-US"/>
              </w:rPr>
            </w:pPr>
          </w:p>
        </w:tc>
        <w:tc>
          <w:tcPr>
            <w:tcW w:w="1114" w:type="dxa"/>
            <w:tcBorders>
              <w:bottom w:val="single" w:sz="4" w:space="0" w:color="53565A" w:themeColor="accent5"/>
            </w:tcBorders>
            <w:shd w:val="clear" w:color="auto" w:fill="53565A" w:themeFill="accent5"/>
          </w:tcPr>
          <w:p w14:paraId="1BE973DE" w14:textId="77777777" w:rsidR="007E1EDE" w:rsidRPr="005734B8" w:rsidRDefault="007E1EDE" w:rsidP="000E6F40">
            <w:pPr>
              <w:spacing w:before="120" w:after="120"/>
              <w:rPr>
                <w:rFonts w:ascii="Calibri" w:eastAsiaTheme="minorEastAsia" w:hAnsi="Calibri" w:cs="Calibri"/>
                <w:sz w:val="18"/>
                <w:szCs w:val="18"/>
                <w:lang w:val="en-US"/>
              </w:rPr>
            </w:pPr>
          </w:p>
        </w:tc>
        <w:tc>
          <w:tcPr>
            <w:tcW w:w="1338" w:type="dxa"/>
            <w:tcBorders>
              <w:bottom w:val="single" w:sz="4" w:space="0" w:color="53565A" w:themeColor="accent5"/>
            </w:tcBorders>
            <w:shd w:val="clear" w:color="auto" w:fill="53565A" w:themeFill="accent5"/>
          </w:tcPr>
          <w:p w14:paraId="660EBC6D" w14:textId="77777777" w:rsidR="007E1EDE" w:rsidRPr="005734B8" w:rsidRDefault="007E1EDE" w:rsidP="000E6F40">
            <w:pPr>
              <w:spacing w:before="120" w:after="120"/>
              <w:rPr>
                <w:rFonts w:ascii="Calibri" w:eastAsiaTheme="minorEastAsia" w:hAnsi="Calibri" w:cs="Calibri"/>
                <w:sz w:val="18"/>
                <w:szCs w:val="18"/>
                <w:lang w:val="en-US"/>
              </w:rPr>
            </w:pPr>
          </w:p>
        </w:tc>
        <w:tc>
          <w:tcPr>
            <w:tcW w:w="1631" w:type="dxa"/>
            <w:tcBorders>
              <w:bottom w:val="single" w:sz="4" w:space="0" w:color="53565A" w:themeColor="accent5"/>
            </w:tcBorders>
            <w:shd w:val="clear" w:color="auto" w:fill="53565A" w:themeFill="accent5"/>
          </w:tcPr>
          <w:p w14:paraId="5E5F84F3" w14:textId="77777777" w:rsidR="007E1EDE" w:rsidRPr="005734B8" w:rsidRDefault="007E1EDE" w:rsidP="000E6F40">
            <w:pPr>
              <w:spacing w:before="120" w:after="120"/>
              <w:rPr>
                <w:rFonts w:ascii="Calibri" w:eastAsiaTheme="minorEastAsia" w:hAnsi="Calibri" w:cs="Calibri"/>
                <w:sz w:val="18"/>
                <w:szCs w:val="18"/>
                <w:lang w:val="en-US"/>
              </w:rPr>
            </w:pPr>
          </w:p>
        </w:tc>
        <w:tc>
          <w:tcPr>
            <w:tcW w:w="907" w:type="dxa"/>
            <w:tcBorders>
              <w:bottom w:val="single" w:sz="4" w:space="0" w:color="53565A" w:themeColor="accent5"/>
            </w:tcBorders>
            <w:shd w:val="clear" w:color="auto" w:fill="53565A" w:themeFill="accent5"/>
          </w:tcPr>
          <w:p w14:paraId="117C58F0" w14:textId="77777777" w:rsidR="007E1EDE" w:rsidRPr="005734B8" w:rsidRDefault="007E1EDE" w:rsidP="000E6F40">
            <w:pPr>
              <w:spacing w:before="120" w:after="120"/>
              <w:rPr>
                <w:rFonts w:ascii="Calibri" w:eastAsiaTheme="minorEastAsia" w:hAnsi="Calibri" w:cs="Calibri"/>
                <w:sz w:val="18"/>
                <w:szCs w:val="18"/>
                <w:lang w:val="en-US"/>
              </w:rPr>
            </w:pPr>
          </w:p>
        </w:tc>
      </w:tr>
      <w:tr w:rsidR="007E1EDE" w:rsidRPr="005734B8" w14:paraId="0FE28AE5"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66A5EE89" w14:textId="49FF8EA9" w:rsidR="007E1EDE" w:rsidRPr="005734B8" w:rsidRDefault="007E1EDE" w:rsidP="000E6F40">
            <w:pPr>
              <w:spacing w:before="120" w:after="120"/>
              <w:rPr>
                <w:rFonts w:ascii="Calibri" w:eastAsiaTheme="minorEastAsia" w:hAnsi="Calibri" w:cs="Calibri"/>
                <w:sz w:val="18"/>
                <w:szCs w:val="18"/>
                <w:lang w:val="en-US"/>
              </w:rPr>
            </w:pPr>
            <w:r w:rsidRPr="005734B8">
              <w:rPr>
                <w:rFonts w:ascii="Calibri" w:eastAsia="Arial" w:hAnsi="Calibri" w:cs="Calibri"/>
                <w:sz w:val="18"/>
                <w:szCs w:val="18"/>
                <w:lang w:eastAsia="en-GB"/>
              </w:rPr>
              <w:t>Number of government</w:t>
            </w:r>
            <w:r w:rsidR="00F90F8C" w:rsidRPr="005734B8">
              <w:rPr>
                <w:rFonts w:ascii="Calibri" w:eastAsia="Arial" w:hAnsi="Calibri" w:cs="Calibri"/>
                <w:sz w:val="18"/>
                <w:szCs w:val="18"/>
                <w:lang w:eastAsia="en-GB"/>
              </w:rPr>
              <w:t>-</w:t>
            </w:r>
            <w:r w:rsidRPr="005734B8">
              <w:rPr>
                <w:rFonts w:ascii="Calibri" w:eastAsia="Arial" w:hAnsi="Calibri" w:cs="Calibri"/>
                <w:sz w:val="18"/>
                <w:szCs w:val="18"/>
                <w:lang w:eastAsia="en-GB"/>
              </w:rPr>
              <w:t>subsidised course enrolments</w:t>
            </w:r>
          </w:p>
        </w:tc>
        <w:tc>
          <w:tcPr>
            <w:tcW w:w="1135" w:type="dxa"/>
            <w:tcBorders>
              <w:top w:val="single" w:sz="4" w:space="0" w:color="53565A" w:themeColor="accent5"/>
              <w:bottom w:val="single" w:sz="4" w:space="0" w:color="53565A" w:themeColor="accent5"/>
            </w:tcBorders>
            <w:shd w:val="clear" w:color="auto" w:fill="auto"/>
          </w:tcPr>
          <w:p w14:paraId="06BCFD00" w14:textId="77777777" w:rsidR="007E1EDE" w:rsidRPr="005734B8" w:rsidRDefault="007E1EDE"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number</w:t>
            </w:r>
          </w:p>
        </w:tc>
        <w:tc>
          <w:tcPr>
            <w:tcW w:w="1114" w:type="dxa"/>
            <w:tcBorders>
              <w:top w:val="single" w:sz="4" w:space="0" w:color="53565A" w:themeColor="accent5"/>
              <w:bottom w:val="single" w:sz="4" w:space="0" w:color="53565A" w:themeColor="accent5"/>
            </w:tcBorders>
            <w:shd w:val="clear" w:color="auto" w:fill="D9D9D6" w:themeFill="accent1"/>
          </w:tcPr>
          <w:p w14:paraId="1B42ACD0"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297,253</w:t>
            </w:r>
          </w:p>
        </w:tc>
        <w:tc>
          <w:tcPr>
            <w:tcW w:w="1338" w:type="dxa"/>
            <w:tcBorders>
              <w:top w:val="single" w:sz="4" w:space="0" w:color="53565A" w:themeColor="accent5"/>
              <w:bottom w:val="single" w:sz="4" w:space="0" w:color="53565A" w:themeColor="accent5"/>
            </w:tcBorders>
            <w:shd w:val="clear" w:color="auto" w:fill="auto"/>
          </w:tcPr>
          <w:p w14:paraId="67EC69CC"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317,500</w:t>
            </w:r>
          </w:p>
        </w:tc>
        <w:tc>
          <w:tcPr>
            <w:tcW w:w="1631" w:type="dxa"/>
            <w:tcBorders>
              <w:top w:val="single" w:sz="4" w:space="0" w:color="53565A" w:themeColor="accent5"/>
              <w:bottom w:val="single" w:sz="4" w:space="0" w:color="53565A" w:themeColor="accent5"/>
            </w:tcBorders>
            <w:shd w:val="clear" w:color="auto" w:fill="auto"/>
          </w:tcPr>
          <w:p w14:paraId="73A3A6D3"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6.4</w:t>
            </w:r>
          </w:p>
        </w:tc>
        <w:tc>
          <w:tcPr>
            <w:tcW w:w="907" w:type="dxa"/>
            <w:tcBorders>
              <w:top w:val="single" w:sz="4" w:space="0" w:color="53565A" w:themeColor="accent5"/>
              <w:bottom w:val="single" w:sz="4" w:space="0" w:color="53565A" w:themeColor="accent5"/>
            </w:tcBorders>
          </w:tcPr>
          <w:p w14:paraId="6843E62F" w14:textId="77777777" w:rsidR="007E1EDE" w:rsidRPr="005734B8" w:rsidRDefault="007E1EDE"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6E"/>
            </w:r>
          </w:p>
        </w:tc>
      </w:tr>
      <w:tr w:rsidR="007E1EDE" w:rsidRPr="005734B8" w14:paraId="2411E59D"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00F7234D" w14:textId="77777777" w:rsidR="007E1EDE" w:rsidRPr="005734B8" w:rsidRDefault="007E1EDE" w:rsidP="000E6F40">
            <w:pPr>
              <w:spacing w:before="120" w:after="120"/>
              <w:rPr>
                <w:rFonts w:ascii="Calibri" w:eastAsiaTheme="minorEastAsia" w:hAnsi="Calibri" w:cs="Calibri"/>
                <w:i/>
                <w:color w:val="FF0000"/>
                <w:sz w:val="16"/>
                <w:szCs w:val="20"/>
                <w:lang w:val="en-US"/>
              </w:rPr>
            </w:pPr>
            <w:r w:rsidRPr="005734B8">
              <w:rPr>
                <w:rFonts w:ascii="Calibri" w:eastAsiaTheme="minorEastAsia" w:hAnsi="Calibri" w:cs="Calibri"/>
                <w:i/>
                <w:sz w:val="16"/>
                <w:szCs w:val="20"/>
                <w:lang w:val="en-US"/>
              </w:rPr>
              <w:t>The above performance measure relates to the calendar year. The 2020–21 outcome is lower than the target due to travel restrictions, business constraints and training limitations due to the COVID-19 pandemic.</w:t>
            </w:r>
          </w:p>
        </w:tc>
      </w:tr>
      <w:tr w:rsidR="007E1EDE" w:rsidRPr="005734B8" w14:paraId="5CDA82E3"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5DA28B0E" w14:textId="57CA31E1" w:rsidR="007E1EDE" w:rsidRPr="005734B8" w:rsidRDefault="007E1EDE" w:rsidP="000E6F40">
            <w:pPr>
              <w:spacing w:before="120" w:after="120"/>
              <w:rPr>
                <w:rFonts w:ascii="Calibri" w:eastAsiaTheme="minorEastAsia" w:hAnsi="Calibri" w:cs="Calibri"/>
                <w:sz w:val="18"/>
                <w:szCs w:val="18"/>
                <w:lang w:val="en-US"/>
              </w:rPr>
            </w:pPr>
            <w:r w:rsidRPr="005734B8">
              <w:rPr>
                <w:rFonts w:ascii="Calibri" w:eastAsia="Arial" w:hAnsi="Calibri" w:cs="Calibri"/>
                <w:sz w:val="18"/>
                <w:szCs w:val="18"/>
                <w:lang w:eastAsia="en-GB"/>
              </w:rPr>
              <w:t>Number of government</w:t>
            </w:r>
            <w:r w:rsidR="007253EC" w:rsidRPr="005734B8">
              <w:rPr>
                <w:rFonts w:ascii="Calibri" w:eastAsia="Arial" w:hAnsi="Calibri" w:cs="Calibri"/>
                <w:sz w:val="18"/>
                <w:szCs w:val="18"/>
                <w:lang w:eastAsia="en-GB"/>
              </w:rPr>
              <w:t>-</w:t>
            </w:r>
            <w:r w:rsidRPr="005734B8">
              <w:rPr>
                <w:rFonts w:ascii="Calibri" w:eastAsia="Arial" w:hAnsi="Calibri" w:cs="Calibri"/>
                <w:sz w:val="18"/>
                <w:szCs w:val="18"/>
                <w:lang w:eastAsia="en-GB"/>
              </w:rPr>
              <w:t>subsidised course enrolments in the TAFE network</w:t>
            </w:r>
          </w:p>
        </w:tc>
        <w:tc>
          <w:tcPr>
            <w:tcW w:w="1135" w:type="dxa"/>
            <w:tcBorders>
              <w:top w:val="single" w:sz="4" w:space="0" w:color="53565A" w:themeColor="accent5"/>
              <w:bottom w:val="single" w:sz="4" w:space="0" w:color="53565A" w:themeColor="accent5"/>
            </w:tcBorders>
            <w:shd w:val="clear" w:color="auto" w:fill="auto"/>
          </w:tcPr>
          <w:p w14:paraId="3FBD8751" w14:textId="77777777" w:rsidR="007E1EDE" w:rsidRPr="005734B8" w:rsidRDefault="007E1EDE"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number</w:t>
            </w:r>
          </w:p>
        </w:tc>
        <w:tc>
          <w:tcPr>
            <w:tcW w:w="1114" w:type="dxa"/>
            <w:tcBorders>
              <w:top w:val="single" w:sz="4" w:space="0" w:color="53565A" w:themeColor="accent5"/>
              <w:bottom w:val="single" w:sz="4" w:space="0" w:color="53565A" w:themeColor="accent5"/>
            </w:tcBorders>
            <w:shd w:val="clear" w:color="auto" w:fill="D9D9D6" w:themeFill="accent1"/>
          </w:tcPr>
          <w:p w14:paraId="64FD0DE2"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146,843</w:t>
            </w:r>
          </w:p>
        </w:tc>
        <w:tc>
          <w:tcPr>
            <w:tcW w:w="1338" w:type="dxa"/>
            <w:tcBorders>
              <w:top w:val="single" w:sz="4" w:space="0" w:color="53565A" w:themeColor="accent5"/>
              <w:bottom w:val="single" w:sz="4" w:space="0" w:color="53565A" w:themeColor="accent5"/>
            </w:tcBorders>
            <w:shd w:val="clear" w:color="auto" w:fill="auto"/>
          </w:tcPr>
          <w:p w14:paraId="5B0A80AD"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145,000</w:t>
            </w:r>
          </w:p>
        </w:tc>
        <w:tc>
          <w:tcPr>
            <w:tcW w:w="1631" w:type="dxa"/>
            <w:tcBorders>
              <w:top w:val="single" w:sz="4" w:space="0" w:color="53565A" w:themeColor="accent5"/>
              <w:bottom w:val="single" w:sz="4" w:space="0" w:color="53565A" w:themeColor="accent5"/>
            </w:tcBorders>
            <w:shd w:val="clear" w:color="auto" w:fill="auto"/>
          </w:tcPr>
          <w:p w14:paraId="3CF74411"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1.3</w:t>
            </w:r>
          </w:p>
        </w:tc>
        <w:tc>
          <w:tcPr>
            <w:tcW w:w="907" w:type="dxa"/>
            <w:tcBorders>
              <w:top w:val="single" w:sz="4" w:space="0" w:color="53565A" w:themeColor="accent5"/>
              <w:bottom w:val="single" w:sz="4" w:space="0" w:color="53565A" w:themeColor="accent5"/>
            </w:tcBorders>
          </w:tcPr>
          <w:p w14:paraId="74FB0422" w14:textId="77777777" w:rsidR="007E1EDE" w:rsidRPr="005734B8" w:rsidRDefault="007E1EDE"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FC"/>
            </w:r>
          </w:p>
        </w:tc>
      </w:tr>
      <w:tr w:rsidR="007E1EDE" w:rsidRPr="005734B8" w14:paraId="29AE2237"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45DC2617" w14:textId="77777777" w:rsidR="007E1EDE" w:rsidRPr="005734B8" w:rsidRDefault="007E1EDE" w:rsidP="000E6F40">
            <w:pPr>
              <w:spacing w:before="120" w:after="120"/>
              <w:rPr>
                <w:rFonts w:ascii="Calibri" w:eastAsiaTheme="minorEastAsia" w:hAnsi="Calibri" w:cs="Calibri"/>
                <w:i/>
                <w:color w:val="FF0000"/>
                <w:sz w:val="16"/>
                <w:szCs w:val="20"/>
                <w:lang w:val="en-US"/>
              </w:rPr>
            </w:pPr>
            <w:r w:rsidRPr="005734B8">
              <w:rPr>
                <w:rFonts w:ascii="Calibri" w:eastAsiaTheme="minorEastAsia" w:hAnsi="Calibri" w:cs="Calibri"/>
                <w:i/>
                <w:sz w:val="16"/>
                <w:szCs w:val="20"/>
                <w:lang w:val="en-US"/>
              </w:rPr>
              <w:t xml:space="preserve">The above performance measure relates to the calendar year. </w:t>
            </w:r>
          </w:p>
        </w:tc>
      </w:tr>
      <w:tr w:rsidR="007E1EDE" w:rsidRPr="005734B8" w14:paraId="5667DC0F" w14:textId="77777777" w:rsidTr="00AE5F0E">
        <w:trPr>
          <w:cantSplit/>
        </w:trPr>
        <w:tc>
          <w:tcPr>
            <w:tcW w:w="2885" w:type="dxa"/>
            <w:tcBorders>
              <w:top w:val="nil"/>
              <w:bottom w:val="single" w:sz="4" w:space="0" w:color="53565A" w:themeColor="accent5"/>
            </w:tcBorders>
            <w:shd w:val="clear" w:color="auto" w:fill="auto"/>
          </w:tcPr>
          <w:p w14:paraId="18635400" w14:textId="28951906" w:rsidR="007E1EDE" w:rsidRPr="005734B8" w:rsidRDefault="007E1EDE" w:rsidP="000E6F40">
            <w:pPr>
              <w:spacing w:before="120" w:after="120"/>
              <w:rPr>
                <w:rFonts w:ascii="Calibri" w:eastAsiaTheme="minorEastAsia" w:hAnsi="Calibri" w:cs="Calibri"/>
                <w:sz w:val="18"/>
                <w:szCs w:val="18"/>
                <w:lang w:val="en-US"/>
              </w:rPr>
            </w:pPr>
            <w:r w:rsidRPr="005734B8">
              <w:rPr>
                <w:rFonts w:ascii="Calibri" w:eastAsia="Arial" w:hAnsi="Calibri" w:cs="Calibri"/>
                <w:sz w:val="18"/>
                <w:szCs w:val="18"/>
                <w:lang w:eastAsia="en-GB"/>
              </w:rPr>
              <w:t>Number of government</w:t>
            </w:r>
            <w:r w:rsidR="007253EC" w:rsidRPr="005734B8">
              <w:rPr>
                <w:rFonts w:ascii="Calibri" w:eastAsia="Arial" w:hAnsi="Calibri" w:cs="Calibri"/>
                <w:sz w:val="18"/>
                <w:szCs w:val="18"/>
                <w:lang w:eastAsia="en-GB"/>
              </w:rPr>
              <w:t>-</w:t>
            </w:r>
            <w:r w:rsidRPr="005734B8">
              <w:rPr>
                <w:rFonts w:ascii="Calibri" w:eastAsia="Arial" w:hAnsi="Calibri" w:cs="Calibri"/>
                <w:sz w:val="18"/>
                <w:szCs w:val="18"/>
                <w:lang w:eastAsia="en-GB"/>
              </w:rPr>
              <w:t>subsidised pre-accredited module enrolments funded through the ACFE Board</w:t>
            </w:r>
          </w:p>
        </w:tc>
        <w:tc>
          <w:tcPr>
            <w:tcW w:w="1135" w:type="dxa"/>
            <w:tcBorders>
              <w:top w:val="nil"/>
              <w:bottom w:val="single" w:sz="4" w:space="0" w:color="53565A" w:themeColor="accent5"/>
            </w:tcBorders>
            <w:shd w:val="clear" w:color="auto" w:fill="auto"/>
          </w:tcPr>
          <w:p w14:paraId="359A4A6F" w14:textId="77777777" w:rsidR="007E1EDE" w:rsidRPr="005734B8" w:rsidRDefault="007E1EDE"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number</w:t>
            </w:r>
          </w:p>
        </w:tc>
        <w:tc>
          <w:tcPr>
            <w:tcW w:w="1114" w:type="dxa"/>
            <w:tcBorders>
              <w:top w:val="nil"/>
              <w:bottom w:val="single" w:sz="4" w:space="0" w:color="53565A" w:themeColor="accent5"/>
            </w:tcBorders>
            <w:shd w:val="clear" w:color="auto" w:fill="D9D9D6" w:themeFill="accent1"/>
          </w:tcPr>
          <w:p w14:paraId="7B265445"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35,774</w:t>
            </w:r>
          </w:p>
        </w:tc>
        <w:tc>
          <w:tcPr>
            <w:tcW w:w="1338" w:type="dxa"/>
            <w:tcBorders>
              <w:top w:val="nil"/>
              <w:bottom w:val="single" w:sz="4" w:space="0" w:color="53565A" w:themeColor="accent5"/>
            </w:tcBorders>
            <w:shd w:val="clear" w:color="auto" w:fill="auto"/>
          </w:tcPr>
          <w:p w14:paraId="087BD401"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45,000</w:t>
            </w:r>
          </w:p>
        </w:tc>
        <w:tc>
          <w:tcPr>
            <w:tcW w:w="1631" w:type="dxa"/>
            <w:tcBorders>
              <w:top w:val="nil"/>
              <w:bottom w:val="single" w:sz="4" w:space="0" w:color="53565A" w:themeColor="accent5"/>
            </w:tcBorders>
            <w:shd w:val="clear" w:color="auto" w:fill="auto"/>
          </w:tcPr>
          <w:p w14:paraId="1180E470"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20.5</w:t>
            </w:r>
          </w:p>
        </w:tc>
        <w:tc>
          <w:tcPr>
            <w:tcW w:w="907" w:type="dxa"/>
            <w:tcBorders>
              <w:top w:val="nil"/>
              <w:bottom w:val="single" w:sz="4" w:space="0" w:color="53565A" w:themeColor="accent5"/>
            </w:tcBorders>
          </w:tcPr>
          <w:p w14:paraId="18C84766" w14:textId="77777777" w:rsidR="007E1EDE" w:rsidRPr="005734B8" w:rsidRDefault="007E1EDE"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6E"/>
            </w:r>
          </w:p>
        </w:tc>
      </w:tr>
      <w:tr w:rsidR="007E1EDE" w:rsidRPr="005734B8" w14:paraId="5974F4B2"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69721AA4" w14:textId="77777777" w:rsidR="007E1EDE" w:rsidRPr="005734B8" w:rsidRDefault="007E1EDE" w:rsidP="000E6F40">
            <w:pPr>
              <w:spacing w:before="120" w:after="120"/>
              <w:rPr>
                <w:rFonts w:ascii="Calibri" w:eastAsiaTheme="minorEastAsia" w:hAnsi="Calibri" w:cs="Calibri"/>
                <w:i/>
                <w:color w:val="FF0000"/>
                <w:sz w:val="16"/>
                <w:szCs w:val="20"/>
                <w:lang w:val="en-US"/>
              </w:rPr>
            </w:pPr>
            <w:r w:rsidRPr="005734B8">
              <w:rPr>
                <w:rFonts w:ascii="Calibri" w:eastAsiaTheme="minorEastAsia" w:hAnsi="Calibri" w:cs="Calibri"/>
                <w:i/>
                <w:sz w:val="16"/>
                <w:szCs w:val="20"/>
                <w:lang w:val="en-US"/>
              </w:rPr>
              <w:t>The above performance measure relates to the calendar year. The 2020–21 outcome is lower than the target due to travel restrictions, business constraints and training limitations due to the COVID-19 pandemic.</w:t>
            </w:r>
          </w:p>
        </w:tc>
      </w:tr>
      <w:tr w:rsidR="007E1EDE" w:rsidRPr="005734B8" w14:paraId="694983EA"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76DC38D0" w14:textId="0F34DEF6" w:rsidR="007E1EDE" w:rsidRPr="005734B8" w:rsidRDefault="007E1EDE" w:rsidP="000E6F40">
            <w:pPr>
              <w:spacing w:before="120" w:after="120"/>
              <w:rPr>
                <w:rFonts w:ascii="Calibri" w:hAnsi="Calibri" w:cs="Calibri"/>
                <w:sz w:val="18"/>
                <w:szCs w:val="18"/>
              </w:rPr>
            </w:pPr>
            <w:r w:rsidRPr="005734B8">
              <w:rPr>
                <w:rFonts w:ascii="Calibri" w:hAnsi="Calibri" w:cs="Calibri"/>
                <w:sz w:val="18"/>
                <w:szCs w:val="18"/>
              </w:rPr>
              <w:t>Number of government</w:t>
            </w:r>
            <w:r w:rsidR="007253EC" w:rsidRPr="005734B8">
              <w:rPr>
                <w:rFonts w:ascii="Calibri" w:hAnsi="Calibri" w:cs="Calibri"/>
                <w:sz w:val="18"/>
                <w:szCs w:val="18"/>
              </w:rPr>
              <w:t>-</w:t>
            </w:r>
            <w:r w:rsidRPr="005734B8">
              <w:rPr>
                <w:rFonts w:ascii="Calibri" w:hAnsi="Calibri" w:cs="Calibri"/>
                <w:sz w:val="18"/>
                <w:szCs w:val="18"/>
              </w:rPr>
              <w:t>subsidised apprenticeship course enrolments</w:t>
            </w:r>
          </w:p>
        </w:tc>
        <w:tc>
          <w:tcPr>
            <w:tcW w:w="1135" w:type="dxa"/>
            <w:tcBorders>
              <w:top w:val="single" w:sz="4" w:space="0" w:color="53565A" w:themeColor="accent5"/>
              <w:bottom w:val="single" w:sz="4" w:space="0" w:color="53565A" w:themeColor="accent5"/>
            </w:tcBorders>
            <w:shd w:val="clear" w:color="auto" w:fill="auto"/>
          </w:tcPr>
          <w:p w14:paraId="797C6FD5" w14:textId="77777777" w:rsidR="007E1EDE" w:rsidRPr="005734B8" w:rsidRDefault="007E1EDE"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number</w:t>
            </w:r>
          </w:p>
        </w:tc>
        <w:tc>
          <w:tcPr>
            <w:tcW w:w="1114" w:type="dxa"/>
            <w:tcBorders>
              <w:top w:val="single" w:sz="4" w:space="0" w:color="53565A" w:themeColor="accent5"/>
              <w:bottom w:val="single" w:sz="4" w:space="0" w:color="53565A" w:themeColor="accent5"/>
            </w:tcBorders>
            <w:shd w:val="clear" w:color="auto" w:fill="D9D9D6" w:themeFill="accent1"/>
          </w:tcPr>
          <w:p w14:paraId="35DB2A5A"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47,153</w:t>
            </w:r>
          </w:p>
        </w:tc>
        <w:tc>
          <w:tcPr>
            <w:tcW w:w="1338" w:type="dxa"/>
            <w:tcBorders>
              <w:top w:val="single" w:sz="4" w:space="0" w:color="53565A" w:themeColor="accent5"/>
              <w:bottom w:val="single" w:sz="4" w:space="0" w:color="53565A" w:themeColor="accent5"/>
            </w:tcBorders>
            <w:shd w:val="clear" w:color="auto" w:fill="auto"/>
          </w:tcPr>
          <w:p w14:paraId="33F48ECB"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49,900</w:t>
            </w:r>
          </w:p>
        </w:tc>
        <w:tc>
          <w:tcPr>
            <w:tcW w:w="1631" w:type="dxa"/>
            <w:tcBorders>
              <w:top w:val="single" w:sz="4" w:space="0" w:color="53565A" w:themeColor="accent5"/>
              <w:bottom w:val="single" w:sz="4" w:space="0" w:color="53565A" w:themeColor="accent5"/>
            </w:tcBorders>
            <w:shd w:val="clear" w:color="auto" w:fill="auto"/>
          </w:tcPr>
          <w:p w14:paraId="4816E241"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5.5</w:t>
            </w:r>
          </w:p>
        </w:tc>
        <w:tc>
          <w:tcPr>
            <w:tcW w:w="907" w:type="dxa"/>
            <w:tcBorders>
              <w:top w:val="single" w:sz="4" w:space="0" w:color="53565A" w:themeColor="accent5"/>
              <w:bottom w:val="single" w:sz="4" w:space="0" w:color="53565A" w:themeColor="accent5"/>
            </w:tcBorders>
          </w:tcPr>
          <w:p w14:paraId="30F2AFA8" w14:textId="77777777" w:rsidR="007E1EDE" w:rsidRPr="005734B8" w:rsidRDefault="007E1EDE" w:rsidP="000E6F40">
            <w:pPr>
              <w:spacing w:before="120" w:after="120"/>
              <w:jc w:val="right"/>
              <w:rPr>
                <w:rFonts w:ascii="Calibri" w:hAnsi="Calibri" w:cs="Calibri"/>
                <w:sz w:val="18"/>
                <w:szCs w:val="18"/>
              </w:rPr>
            </w:pPr>
            <w:r w:rsidRPr="005734B8">
              <w:rPr>
                <w:rFonts w:ascii="Calibri" w:hAnsi="Calibri" w:cs="Calibri"/>
                <w:sz w:val="18"/>
                <w:lang w:val="en-AU"/>
              </w:rPr>
              <w:sym w:font="Wingdings" w:char="F06E"/>
            </w:r>
          </w:p>
        </w:tc>
      </w:tr>
      <w:tr w:rsidR="007E1EDE" w:rsidRPr="005734B8" w14:paraId="4901CE00" w14:textId="77777777" w:rsidTr="000C76E3">
        <w:trPr>
          <w:cantSplit/>
        </w:trPr>
        <w:tc>
          <w:tcPr>
            <w:tcW w:w="9010" w:type="dxa"/>
            <w:gridSpan w:val="6"/>
            <w:tcBorders>
              <w:top w:val="single" w:sz="4" w:space="0" w:color="53565A" w:themeColor="accent5"/>
              <w:bottom w:val="single" w:sz="4" w:space="0" w:color="auto"/>
            </w:tcBorders>
            <w:shd w:val="clear" w:color="auto" w:fill="auto"/>
          </w:tcPr>
          <w:p w14:paraId="44569793" w14:textId="77777777" w:rsidR="007E1EDE" w:rsidRPr="005734B8" w:rsidRDefault="007E1EDE"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The above performance measure relates to the calendar year. The 2020–21 outcome is lower than the target due to reduced employment opportunities (and subsequent enrolments) for apprentices in 2020 due to the COVID-19 pandemic.</w:t>
            </w:r>
          </w:p>
        </w:tc>
      </w:tr>
      <w:tr w:rsidR="000C76E3" w:rsidRPr="005734B8" w14:paraId="70EE44FA" w14:textId="77777777" w:rsidTr="000C76E3">
        <w:trPr>
          <w:cantSplit/>
        </w:trPr>
        <w:tc>
          <w:tcPr>
            <w:tcW w:w="9010" w:type="dxa"/>
            <w:gridSpan w:val="6"/>
            <w:tcBorders>
              <w:top w:val="single" w:sz="4" w:space="0" w:color="auto"/>
              <w:left w:val="nil"/>
              <w:bottom w:val="nil"/>
              <w:right w:val="nil"/>
            </w:tcBorders>
            <w:shd w:val="clear" w:color="auto" w:fill="auto"/>
          </w:tcPr>
          <w:p w14:paraId="62DA6F57" w14:textId="77777777" w:rsidR="000C76E3" w:rsidRPr="005734B8" w:rsidRDefault="000C76E3" w:rsidP="000E6F40">
            <w:pPr>
              <w:spacing w:before="120" w:after="120"/>
              <w:rPr>
                <w:rFonts w:ascii="Calibri" w:eastAsiaTheme="minorEastAsia" w:hAnsi="Calibri" w:cs="Calibri"/>
                <w:i/>
                <w:sz w:val="16"/>
                <w:szCs w:val="20"/>
                <w:lang w:val="en-US"/>
              </w:rPr>
            </w:pPr>
          </w:p>
        </w:tc>
      </w:tr>
      <w:tr w:rsidR="007E1EDE" w:rsidRPr="005734B8" w14:paraId="6AAED76A" w14:textId="77777777" w:rsidTr="000C76E3">
        <w:trPr>
          <w:cantSplit/>
        </w:trPr>
        <w:tc>
          <w:tcPr>
            <w:tcW w:w="2885" w:type="dxa"/>
            <w:tcBorders>
              <w:top w:val="nil"/>
              <w:bottom w:val="single" w:sz="4" w:space="0" w:color="53565A" w:themeColor="accent5"/>
            </w:tcBorders>
            <w:shd w:val="clear" w:color="auto" w:fill="auto"/>
          </w:tcPr>
          <w:p w14:paraId="6548A98B" w14:textId="75552757" w:rsidR="007E1EDE" w:rsidRPr="005734B8" w:rsidRDefault="007E1EDE" w:rsidP="000E6F40">
            <w:pPr>
              <w:spacing w:before="120" w:after="120"/>
              <w:rPr>
                <w:rFonts w:ascii="Calibri" w:hAnsi="Calibri" w:cs="Calibri"/>
                <w:sz w:val="18"/>
                <w:szCs w:val="18"/>
              </w:rPr>
            </w:pPr>
            <w:r w:rsidRPr="005734B8">
              <w:rPr>
                <w:rFonts w:ascii="Calibri" w:hAnsi="Calibri" w:cs="Calibri"/>
                <w:sz w:val="18"/>
                <w:szCs w:val="18"/>
              </w:rPr>
              <w:lastRenderedPageBreak/>
              <w:t>Proportion of government</w:t>
            </w:r>
            <w:r w:rsidR="007253EC" w:rsidRPr="005734B8">
              <w:rPr>
                <w:rFonts w:ascii="Calibri" w:hAnsi="Calibri" w:cs="Calibri"/>
                <w:sz w:val="18"/>
                <w:szCs w:val="18"/>
              </w:rPr>
              <w:t>-</w:t>
            </w:r>
            <w:r w:rsidRPr="005734B8">
              <w:rPr>
                <w:rFonts w:ascii="Calibri" w:hAnsi="Calibri" w:cs="Calibri"/>
                <w:sz w:val="18"/>
                <w:szCs w:val="18"/>
              </w:rPr>
              <w:t>subsidised enrolments related to qualifications that will lead to jobs and economic growth</w:t>
            </w:r>
          </w:p>
        </w:tc>
        <w:tc>
          <w:tcPr>
            <w:tcW w:w="1135" w:type="dxa"/>
            <w:tcBorders>
              <w:top w:val="nil"/>
              <w:bottom w:val="single" w:sz="4" w:space="0" w:color="53565A" w:themeColor="accent5"/>
            </w:tcBorders>
            <w:shd w:val="clear" w:color="auto" w:fill="auto"/>
          </w:tcPr>
          <w:p w14:paraId="2F9D27A4" w14:textId="77777777" w:rsidR="007E1EDE" w:rsidRPr="005734B8" w:rsidRDefault="007E1EDE"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nil"/>
              <w:bottom w:val="single" w:sz="4" w:space="0" w:color="53565A" w:themeColor="accent5"/>
            </w:tcBorders>
            <w:shd w:val="clear" w:color="auto" w:fill="D9D9D6" w:themeFill="accent1"/>
          </w:tcPr>
          <w:p w14:paraId="3B0698DE"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87.1</w:t>
            </w:r>
          </w:p>
        </w:tc>
        <w:tc>
          <w:tcPr>
            <w:tcW w:w="1338" w:type="dxa"/>
            <w:tcBorders>
              <w:top w:val="nil"/>
              <w:bottom w:val="single" w:sz="4" w:space="0" w:color="53565A" w:themeColor="accent5"/>
            </w:tcBorders>
            <w:shd w:val="clear" w:color="auto" w:fill="auto"/>
          </w:tcPr>
          <w:p w14:paraId="072351C5"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83.0</w:t>
            </w:r>
          </w:p>
        </w:tc>
        <w:tc>
          <w:tcPr>
            <w:tcW w:w="1631" w:type="dxa"/>
            <w:tcBorders>
              <w:top w:val="nil"/>
              <w:bottom w:val="single" w:sz="4" w:space="0" w:color="53565A" w:themeColor="accent5"/>
            </w:tcBorders>
            <w:shd w:val="clear" w:color="auto" w:fill="auto"/>
          </w:tcPr>
          <w:p w14:paraId="7104B33A"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4.9</w:t>
            </w:r>
          </w:p>
        </w:tc>
        <w:tc>
          <w:tcPr>
            <w:tcW w:w="907" w:type="dxa"/>
            <w:tcBorders>
              <w:top w:val="nil"/>
              <w:bottom w:val="single" w:sz="4" w:space="0" w:color="53565A" w:themeColor="accent5"/>
            </w:tcBorders>
          </w:tcPr>
          <w:p w14:paraId="5C5CAEE8" w14:textId="77777777" w:rsidR="007E1EDE" w:rsidRPr="005734B8" w:rsidRDefault="007E1EDE" w:rsidP="000E6F40">
            <w:pPr>
              <w:spacing w:before="120" w:after="120"/>
              <w:jc w:val="right"/>
              <w:rPr>
                <w:rFonts w:ascii="Calibri" w:hAnsi="Calibri" w:cs="Calibri"/>
                <w:sz w:val="18"/>
                <w:szCs w:val="18"/>
              </w:rPr>
            </w:pPr>
            <w:r w:rsidRPr="005734B8">
              <w:rPr>
                <w:rFonts w:ascii="Calibri" w:hAnsi="Calibri" w:cs="Calibri"/>
                <w:sz w:val="18"/>
                <w:lang w:val="en-AU"/>
              </w:rPr>
              <w:sym w:font="Wingdings" w:char="F0FC"/>
            </w:r>
          </w:p>
        </w:tc>
      </w:tr>
      <w:tr w:rsidR="007E1EDE" w:rsidRPr="005734B8" w14:paraId="7DEF2F66"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508AF53E" w14:textId="77777777" w:rsidR="007E1EDE" w:rsidRPr="005734B8" w:rsidRDefault="007E1EDE"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 xml:space="preserve">The above performance measure relates to the calendar year. </w:t>
            </w:r>
          </w:p>
        </w:tc>
      </w:tr>
      <w:tr w:rsidR="007E1EDE" w:rsidRPr="005734B8" w14:paraId="5C3CED2D"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5BFA6120" w14:textId="6644CA77" w:rsidR="007E1EDE" w:rsidRPr="005734B8" w:rsidRDefault="007E1EDE" w:rsidP="000E6F40">
            <w:pPr>
              <w:spacing w:before="120" w:after="120"/>
              <w:rPr>
                <w:rFonts w:ascii="Calibri" w:hAnsi="Calibri" w:cs="Calibri"/>
                <w:sz w:val="18"/>
                <w:szCs w:val="18"/>
              </w:rPr>
            </w:pPr>
            <w:r w:rsidRPr="005734B8">
              <w:rPr>
                <w:rFonts w:ascii="Calibri" w:hAnsi="Calibri" w:cs="Calibri"/>
                <w:sz w:val="18"/>
                <w:szCs w:val="18"/>
              </w:rPr>
              <w:t>Number of government</w:t>
            </w:r>
            <w:r w:rsidR="007253EC" w:rsidRPr="005734B8">
              <w:rPr>
                <w:rFonts w:ascii="Calibri" w:hAnsi="Calibri" w:cs="Calibri"/>
                <w:sz w:val="18"/>
                <w:szCs w:val="18"/>
              </w:rPr>
              <w:t>-</w:t>
            </w:r>
            <w:r w:rsidRPr="005734B8">
              <w:rPr>
                <w:rFonts w:ascii="Calibri" w:hAnsi="Calibri" w:cs="Calibri"/>
                <w:sz w:val="18"/>
                <w:szCs w:val="18"/>
              </w:rPr>
              <w:t>subsidised enrolments by students living in regional Victoria</w:t>
            </w:r>
          </w:p>
        </w:tc>
        <w:tc>
          <w:tcPr>
            <w:tcW w:w="1135" w:type="dxa"/>
            <w:tcBorders>
              <w:top w:val="single" w:sz="4" w:space="0" w:color="53565A" w:themeColor="accent5"/>
              <w:bottom w:val="single" w:sz="4" w:space="0" w:color="53565A" w:themeColor="accent5"/>
            </w:tcBorders>
            <w:shd w:val="clear" w:color="auto" w:fill="auto"/>
          </w:tcPr>
          <w:p w14:paraId="2F6CF93E" w14:textId="77777777" w:rsidR="007E1EDE" w:rsidRPr="005734B8" w:rsidRDefault="007E1EDE"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number</w:t>
            </w:r>
          </w:p>
        </w:tc>
        <w:tc>
          <w:tcPr>
            <w:tcW w:w="1114" w:type="dxa"/>
            <w:tcBorders>
              <w:top w:val="single" w:sz="4" w:space="0" w:color="53565A" w:themeColor="accent5"/>
              <w:bottom w:val="single" w:sz="4" w:space="0" w:color="53565A" w:themeColor="accent5"/>
            </w:tcBorders>
            <w:shd w:val="clear" w:color="auto" w:fill="D9D9D6" w:themeFill="accent1"/>
          </w:tcPr>
          <w:p w14:paraId="02A29997"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77,758</w:t>
            </w:r>
          </w:p>
        </w:tc>
        <w:tc>
          <w:tcPr>
            <w:tcW w:w="1338" w:type="dxa"/>
            <w:tcBorders>
              <w:top w:val="single" w:sz="4" w:space="0" w:color="53565A" w:themeColor="accent5"/>
              <w:bottom w:val="single" w:sz="4" w:space="0" w:color="53565A" w:themeColor="accent5"/>
            </w:tcBorders>
            <w:shd w:val="clear" w:color="auto" w:fill="auto"/>
          </w:tcPr>
          <w:p w14:paraId="32EAF612"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81,300</w:t>
            </w:r>
          </w:p>
        </w:tc>
        <w:tc>
          <w:tcPr>
            <w:tcW w:w="1631" w:type="dxa"/>
            <w:tcBorders>
              <w:top w:val="single" w:sz="4" w:space="0" w:color="53565A" w:themeColor="accent5"/>
              <w:bottom w:val="single" w:sz="4" w:space="0" w:color="53565A" w:themeColor="accent5"/>
            </w:tcBorders>
            <w:shd w:val="clear" w:color="auto" w:fill="auto"/>
          </w:tcPr>
          <w:p w14:paraId="7AEEDD90"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4.4</w:t>
            </w:r>
          </w:p>
        </w:tc>
        <w:tc>
          <w:tcPr>
            <w:tcW w:w="907" w:type="dxa"/>
            <w:tcBorders>
              <w:top w:val="single" w:sz="4" w:space="0" w:color="53565A" w:themeColor="accent5"/>
              <w:bottom w:val="single" w:sz="4" w:space="0" w:color="53565A" w:themeColor="accent5"/>
            </w:tcBorders>
          </w:tcPr>
          <w:p w14:paraId="38B6EA07" w14:textId="77777777" w:rsidR="007E1EDE" w:rsidRPr="005734B8" w:rsidRDefault="007E1EDE" w:rsidP="000E6F40">
            <w:pPr>
              <w:spacing w:before="120" w:after="120"/>
              <w:jc w:val="right"/>
              <w:rPr>
                <w:rFonts w:ascii="Calibri" w:hAnsi="Calibri" w:cs="Calibri"/>
                <w:sz w:val="18"/>
                <w:szCs w:val="18"/>
              </w:rPr>
            </w:pPr>
            <w:r w:rsidRPr="005734B8">
              <w:rPr>
                <w:rFonts w:ascii="Calibri" w:hAnsi="Calibri" w:cs="Calibri"/>
                <w:sz w:val="18"/>
                <w:lang w:val="en-AU"/>
              </w:rPr>
              <w:sym w:font="Wingdings" w:char="F0A1"/>
            </w:r>
          </w:p>
        </w:tc>
      </w:tr>
      <w:tr w:rsidR="007E1EDE" w:rsidRPr="005734B8" w14:paraId="15EFD4D3"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2863C100" w14:textId="77777777" w:rsidR="007E1EDE" w:rsidRPr="005734B8" w:rsidRDefault="007E1EDE"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The above performance measure relates to the calendar year.</w:t>
            </w:r>
          </w:p>
        </w:tc>
      </w:tr>
      <w:tr w:rsidR="007E1EDE" w:rsidRPr="005734B8" w14:paraId="707F1AF3"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2CC4627E" w14:textId="4EACCD34" w:rsidR="007E1EDE" w:rsidRPr="005734B8" w:rsidRDefault="007E1EDE" w:rsidP="000E6F40">
            <w:pPr>
              <w:spacing w:before="120" w:after="120"/>
              <w:rPr>
                <w:rFonts w:ascii="Calibri" w:hAnsi="Calibri" w:cs="Calibri"/>
                <w:sz w:val="18"/>
                <w:szCs w:val="18"/>
              </w:rPr>
            </w:pPr>
            <w:r w:rsidRPr="005734B8">
              <w:rPr>
                <w:rFonts w:ascii="Calibri" w:eastAsia="Arial" w:hAnsi="Calibri" w:cs="Calibri"/>
                <w:sz w:val="18"/>
                <w:szCs w:val="18"/>
                <w:lang w:eastAsia="en-GB"/>
              </w:rPr>
              <w:t>Number of students without Year 12, or Certificate II or above, enrolled in a government</w:t>
            </w:r>
            <w:r w:rsidR="007253EC" w:rsidRPr="005734B8">
              <w:rPr>
                <w:rFonts w:ascii="Calibri" w:eastAsia="Arial" w:hAnsi="Calibri" w:cs="Calibri"/>
                <w:sz w:val="18"/>
                <w:szCs w:val="18"/>
                <w:lang w:eastAsia="en-GB"/>
              </w:rPr>
              <w:t>-</w:t>
            </w:r>
            <w:r w:rsidRPr="005734B8">
              <w:rPr>
                <w:rFonts w:ascii="Calibri" w:eastAsia="Arial" w:hAnsi="Calibri" w:cs="Calibri"/>
                <w:sz w:val="18"/>
                <w:szCs w:val="18"/>
                <w:lang w:eastAsia="en-GB"/>
              </w:rPr>
              <w:t>subsidised course at Certificate III or above</w:t>
            </w:r>
          </w:p>
        </w:tc>
        <w:tc>
          <w:tcPr>
            <w:tcW w:w="1135" w:type="dxa"/>
            <w:tcBorders>
              <w:top w:val="single" w:sz="4" w:space="0" w:color="53565A" w:themeColor="accent5"/>
              <w:bottom w:val="single" w:sz="4" w:space="0" w:color="53565A" w:themeColor="accent5"/>
            </w:tcBorders>
            <w:shd w:val="clear" w:color="auto" w:fill="auto"/>
          </w:tcPr>
          <w:p w14:paraId="05034C53" w14:textId="77777777" w:rsidR="007E1EDE" w:rsidRPr="005734B8" w:rsidRDefault="007E1EDE"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number</w:t>
            </w:r>
          </w:p>
        </w:tc>
        <w:tc>
          <w:tcPr>
            <w:tcW w:w="1114" w:type="dxa"/>
            <w:tcBorders>
              <w:top w:val="single" w:sz="4" w:space="0" w:color="53565A" w:themeColor="accent5"/>
              <w:bottom w:val="single" w:sz="4" w:space="0" w:color="53565A" w:themeColor="accent5"/>
            </w:tcBorders>
            <w:shd w:val="clear" w:color="auto" w:fill="D9D9D6" w:themeFill="accent1"/>
          </w:tcPr>
          <w:p w14:paraId="6A93C9BE"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53,291</w:t>
            </w:r>
          </w:p>
        </w:tc>
        <w:tc>
          <w:tcPr>
            <w:tcW w:w="1338" w:type="dxa"/>
            <w:tcBorders>
              <w:top w:val="single" w:sz="4" w:space="0" w:color="53565A" w:themeColor="accent5"/>
              <w:bottom w:val="single" w:sz="4" w:space="0" w:color="53565A" w:themeColor="accent5"/>
            </w:tcBorders>
            <w:shd w:val="clear" w:color="auto" w:fill="auto"/>
          </w:tcPr>
          <w:p w14:paraId="42AF63B4"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58,000</w:t>
            </w:r>
          </w:p>
        </w:tc>
        <w:tc>
          <w:tcPr>
            <w:tcW w:w="1631" w:type="dxa"/>
            <w:tcBorders>
              <w:top w:val="single" w:sz="4" w:space="0" w:color="53565A" w:themeColor="accent5"/>
              <w:bottom w:val="single" w:sz="4" w:space="0" w:color="53565A" w:themeColor="accent5"/>
            </w:tcBorders>
            <w:shd w:val="clear" w:color="auto" w:fill="auto"/>
          </w:tcPr>
          <w:p w14:paraId="5D90B686"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8.1</w:t>
            </w:r>
          </w:p>
        </w:tc>
        <w:tc>
          <w:tcPr>
            <w:tcW w:w="907" w:type="dxa"/>
            <w:tcBorders>
              <w:top w:val="single" w:sz="4" w:space="0" w:color="53565A" w:themeColor="accent5"/>
              <w:bottom w:val="single" w:sz="4" w:space="0" w:color="53565A" w:themeColor="accent5"/>
            </w:tcBorders>
          </w:tcPr>
          <w:p w14:paraId="13B70D1F" w14:textId="77777777" w:rsidR="007E1EDE" w:rsidRPr="005734B8" w:rsidRDefault="007E1EDE" w:rsidP="000E6F40">
            <w:pPr>
              <w:spacing w:before="120" w:after="120"/>
              <w:jc w:val="right"/>
              <w:rPr>
                <w:rFonts w:ascii="Calibri" w:hAnsi="Calibri" w:cs="Calibri"/>
                <w:sz w:val="18"/>
                <w:szCs w:val="18"/>
                <w:highlight w:val="yellow"/>
              </w:rPr>
            </w:pPr>
            <w:r w:rsidRPr="005734B8">
              <w:rPr>
                <w:rFonts w:ascii="Calibri" w:hAnsi="Calibri" w:cs="Calibri"/>
                <w:sz w:val="18"/>
                <w:lang w:val="en-AU"/>
              </w:rPr>
              <w:sym w:font="Wingdings" w:char="F06E"/>
            </w:r>
          </w:p>
        </w:tc>
      </w:tr>
      <w:tr w:rsidR="007E1EDE" w:rsidRPr="005734B8" w14:paraId="6289E3E5"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5739E16D" w14:textId="77777777" w:rsidR="007E1EDE" w:rsidRPr="005734B8" w:rsidRDefault="007E1EDE" w:rsidP="000E6F40">
            <w:pPr>
              <w:spacing w:before="120" w:after="120"/>
              <w:rPr>
                <w:rFonts w:ascii="Calibri" w:eastAsiaTheme="minorEastAsia" w:hAnsi="Calibri" w:cs="Calibri"/>
                <w:i/>
                <w:color w:val="FF0000"/>
                <w:sz w:val="16"/>
                <w:szCs w:val="20"/>
                <w:lang w:val="en-US"/>
              </w:rPr>
            </w:pPr>
            <w:r w:rsidRPr="005734B8">
              <w:rPr>
                <w:rFonts w:ascii="Calibri" w:eastAsiaTheme="minorEastAsia" w:hAnsi="Calibri" w:cs="Calibri"/>
                <w:i/>
                <w:sz w:val="16"/>
                <w:szCs w:val="20"/>
                <w:lang w:val="en-US"/>
              </w:rPr>
              <w:t>The above performance measure relates to the calendar year. The 2020–21 outcome is lower than the target due to travel restrictions, business constraints and training limitations resulting from the COVID-19 pandemic.</w:t>
            </w:r>
          </w:p>
        </w:tc>
      </w:tr>
      <w:tr w:rsidR="007E1EDE" w:rsidRPr="005734B8" w14:paraId="3A3C215C"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5EF8A51A" w14:textId="4C12371C" w:rsidR="007E1EDE" w:rsidRPr="005734B8" w:rsidRDefault="007E1EDE" w:rsidP="000E6F40">
            <w:pPr>
              <w:spacing w:before="120" w:after="120"/>
              <w:rPr>
                <w:rFonts w:ascii="Calibri" w:hAnsi="Calibri" w:cs="Calibri"/>
                <w:sz w:val="18"/>
                <w:szCs w:val="18"/>
              </w:rPr>
            </w:pPr>
            <w:r w:rsidRPr="005734B8">
              <w:rPr>
                <w:rFonts w:ascii="Calibri" w:eastAsia="Arial" w:hAnsi="Calibri" w:cs="Calibri"/>
                <w:sz w:val="18"/>
                <w:szCs w:val="18"/>
                <w:lang w:eastAsia="en-GB"/>
              </w:rPr>
              <w:t>Number of government</w:t>
            </w:r>
            <w:r w:rsidR="007253EC" w:rsidRPr="005734B8">
              <w:rPr>
                <w:rFonts w:ascii="Calibri" w:eastAsia="Arial" w:hAnsi="Calibri" w:cs="Calibri"/>
                <w:sz w:val="18"/>
                <w:szCs w:val="18"/>
                <w:lang w:eastAsia="en-GB"/>
              </w:rPr>
              <w:t>-</w:t>
            </w:r>
            <w:r w:rsidRPr="005734B8">
              <w:rPr>
                <w:rFonts w:ascii="Calibri" w:eastAsia="Arial" w:hAnsi="Calibri" w:cs="Calibri"/>
                <w:sz w:val="18"/>
                <w:szCs w:val="18"/>
                <w:lang w:eastAsia="en-GB"/>
              </w:rPr>
              <w:t>subsidised foundation module enrolments</w:t>
            </w:r>
          </w:p>
        </w:tc>
        <w:tc>
          <w:tcPr>
            <w:tcW w:w="1135" w:type="dxa"/>
            <w:tcBorders>
              <w:top w:val="single" w:sz="4" w:space="0" w:color="53565A" w:themeColor="accent5"/>
              <w:bottom w:val="single" w:sz="4" w:space="0" w:color="53565A" w:themeColor="accent5"/>
            </w:tcBorders>
            <w:shd w:val="clear" w:color="auto" w:fill="auto"/>
          </w:tcPr>
          <w:p w14:paraId="03E2B948" w14:textId="77777777" w:rsidR="007E1EDE" w:rsidRPr="005734B8" w:rsidRDefault="007E1EDE"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number</w:t>
            </w:r>
          </w:p>
        </w:tc>
        <w:tc>
          <w:tcPr>
            <w:tcW w:w="1114" w:type="dxa"/>
            <w:tcBorders>
              <w:top w:val="single" w:sz="4" w:space="0" w:color="53565A" w:themeColor="accent5"/>
              <w:bottom w:val="single" w:sz="4" w:space="0" w:color="53565A" w:themeColor="accent5"/>
            </w:tcBorders>
            <w:shd w:val="clear" w:color="auto" w:fill="D9D9D6" w:themeFill="accent1"/>
          </w:tcPr>
          <w:p w14:paraId="2BEAA2AC"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123,515</w:t>
            </w:r>
          </w:p>
        </w:tc>
        <w:tc>
          <w:tcPr>
            <w:tcW w:w="1338" w:type="dxa"/>
            <w:tcBorders>
              <w:top w:val="single" w:sz="4" w:space="0" w:color="53565A" w:themeColor="accent5"/>
              <w:bottom w:val="single" w:sz="4" w:space="0" w:color="53565A" w:themeColor="accent5"/>
            </w:tcBorders>
            <w:shd w:val="clear" w:color="auto" w:fill="auto"/>
          </w:tcPr>
          <w:p w14:paraId="636F7E11"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190,000</w:t>
            </w:r>
          </w:p>
        </w:tc>
        <w:tc>
          <w:tcPr>
            <w:tcW w:w="1631" w:type="dxa"/>
            <w:tcBorders>
              <w:top w:val="single" w:sz="4" w:space="0" w:color="53565A" w:themeColor="accent5"/>
              <w:bottom w:val="single" w:sz="4" w:space="0" w:color="53565A" w:themeColor="accent5"/>
            </w:tcBorders>
            <w:shd w:val="clear" w:color="auto" w:fill="auto"/>
          </w:tcPr>
          <w:p w14:paraId="47444D5C"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35.0</w:t>
            </w:r>
          </w:p>
        </w:tc>
        <w:tc>
          <w:tcPr>
            <w:tcW w:w="907" w:type="dxa"/>
            <w:tcBorders>
              <w:top w:val="single" w:sz="4" w:space="0" w:color="53565A" w:themeColor="accent5"/>
              <w:bottom w:val="single" w:sz="4" w:space="0" w:color="53565A" w:themeColor="accent5"/>
            </w:tcBorders>
          </w:tcPr>
          <w:p w14:paraId="22588D94" w14:textId="77777777" w:rsidR="007E1EDE" w:rsidRPr="005734B8" w:rsidRDefault="007E1EDE" w:rsidP="000E6F40">
            <w:pPr>
              <w:spacing w:before="120" w:after="120"/>
              <w:jc w:val="right"/>
              <w:rPr>
                <w:rFonts w:ascii="Calibri" w:hAnsi="Calibri" w:cs="Calibri"/>
                <w:sz w:val="18"/>
                <w:szCs w:val="18"/>
              </w:rPr>
            </w:pPr>
            <w:r w:rsidRPr="005734B8">
              <w:rPr>
                <w:rFonts w:ascii="Calibri" w:hAnsi="Calibri" w:cs="Calibri"/>
                <w:sz w:val="18"/>
                <w:lang w:val="en-AU"/>
              </w:rPr>
              <w:sym w:font="Wingdings" w:char="F06E"/>
            </w:r>
          </w:p>
        </w:tc>
      </w:tr>
      <w:tr w:rsidR="007E1EDE" w:rsidRPr="005734B8" w14:paraId="24C8392B"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2FD8A1E9" w14:textId="188493E4" w:rsidR="007E1EDE" w:rsidRPr="005734B8" w:rsidRDefault="007E1EDE" w:rsidP="000E6F40">
            <w:pPr>
              <w:spacing w:before="120" w:after="120"/>
              <w:rPr>
                <w:rFonts w:ascii="Calibri" w:hAnsi="Calibri" w:cs="Calibri"/>
                <w:sz w:val="18"/>
                <w:szCs w:val="18"/>
              </w:rPr>
            </w:pPr>
            <w:r w:rsidRPr="005734B8">
              <w:rPr>
                <w:rFonts w:ascii="Calibri" w:eastAsiaTheme="minorEastAsia" w:hAnsi="Calibri" w:cs="Calibri"/>
                <w:i/>
                <w:sz w:val="16"/>
                <w:szCs w:val="20"/>
                <w:lang w:val="en-US"/>
              </w:rPr>
              <w:t>The above performance measure relates to the calendar year. The 2020–21 outcome is lower than the target due to the COVID-19 pandemic and substitution from accredited foundation training to other types of training.</w:t>
            </w:r>
          </w:p>
        </w:tc>
      </w:tr>
      <w:tr w:rsidR="007E1EDE" w:rsidRPr="005734B8" w14:paraId="38C6D61D"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3045F213" w14:textId="2C1764F9" w:rsidR="007E1EDE" w:rsidRPr="005734B8" w:rsidRDefault="007E1EDE" w:rsidP="000E6F40">
            <w:pPr>
              <w:spacing w:before="120" w:after="120"/>
              <w:rPr>
                <w:rFonts w:ascii="Calibri" w:hAnsi="Calibri" w:cs="Calibri"/>
                <w:sz w:val="18"/>
                <w:szCs w:val="18"/>
              </w:rPr>
            </w:pPr>
            <w:r w:rsidRPr="005734B8">
              <w:rPr>
                <w:rFonts w:ascii="Calibri" w:hAnsi="Calibri" w:cs="Calibri"/>
                <w:sz w:val="18"/>
                <w:szCs w:val="18"/>
              </w:rPr>
              <w:t>Number of government</w:t>
            </w:r>
            <w:r w:rsidR="007253EC" w:rsidRPr="005734B8">
              <w:rPr>
                <w:rFonts w:ascii="Calibri" w:hAnsi="Calibri" w:cs="Calibri"/>
                <w:sz w:val="18"/>
                <w:szCs w:val="18"/>
              </w:rPr>
              <w:t>-</w:t>
            </w:r>
            <w:r w:rsidRPr="005734B8">
              <w:rPr>
                <w:rFonts w:ascii="Calibri" w:hAnsi="Calibri" w:cs="Calibri"/>
                <w:sz w:val="18"/>
                <w:szCs w:val="18"/>
              </w:rPr>
              <w:t>subsidised course enrolments by students eligible for fee concession</w:t>
            </w:r>
          </w:p>
        </w:tc>
        <w:tc>
          <w:tcPr>
            <w:tcW w:w="1135" w:type="dxa"/>
            <w:tcBorders>
              <w:top w:val="single" w:sz="4" w:space="0" w:color="53565A" w:themeColor="accent5"/>
              <w:bottom w:val="single" w:sz="4" w:space="0" w:color="53565A" w:themeColor="accent5"/>
            </w:tcBorders>
            <w:shd w:val="clear" w:color="auto" w:fill="auto"/>
          </w:tcPr>
          <w:p w14:paraId="06649960" w14:textId="77777777" w:rsidR="007E1EDE" w:rsidRPr="005734B8" w:rsidRDefault="007E1EDE"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number</w:t>
            </w:r>
          </w:p>
        </w:tc>
        <w:tc>
          <w:tcPr>
            <w:tcW w:w="1114" w:type="dxa"/>
            <w:tcBorders>
              <w:top w:val="single" w:sz="4" w:space="0" w:color="53565A" w:themeColor="accent5"/>
              <w:bottom w:val="single" w:sz="4" w:space="0" w:color="53565A" w:themeColor="accent5"/>
            </w:tcBorders>
            <w:shd w:val="clear" w:color="auto" w:fill="D9D9D6" w:themeFill="accent1"/>
          </w:tcPr>
          <w:p w14:paraId="5C5C9C83"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55,940</w:t>
            </w:r>
          </w:p>
        </w:tc>
        <w:tc>
          <w:tcPr>
            <w:tcW w:w="1338" w:type="dxa"/>
            <w:tcBorders>
              <w:top w:val="single" w:sz="4" w:space="0" w:color="53565A" w:themeColor="accent5"/>
              <w:bottom w:val="single" w:sz="4" w:space="0" w:color="53565A" w:themeColor="accent5"/>
            </w:tcBorders>
            <w:shd w:val="clear" w:color="auto" w:fill="auto"/>
          </w:tcPr>
          <w:p w14:paraId="67ED46F9"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67,500</w:t>
            </w:r>
          </w:p>
        </w:tc>
        <w:tc>
          <w:tcPr>
            <w:tcW w:w="1631" w:type="dxa"/>
            <w:tcBorders>
              <w:top w:val="single" w:sz="4" w:space="0" w:color="53565A" w:themeColor="accent5"/>
              <w:bottom w:val="single" w:sz="4" w:space="0" w:color="53565A" w:themeColor="accent5"/>
            </w:tcBorders>
            <w:shd w:val="clear" w:color="auto" w:fill="auto"/>
          </w:tcPr>
          <w:p w14:paraId="14C8A231"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17.1</w:t>
            </w:r>
          </w:p>
        </w:tc>
        <w:tc>
          <w:tcPr>
            <w:tcW w:w="907" w:type="dxa"/>
            <w:tcBorders>
              <w:top w:val="single" w:sz="4" w:space="0" w:color="53565A" w:themeColor="accent5"/>
              <w:bottom w:val="single" w:sz="4" w:space="0" w:color="53565A" w:themeColor="accent5"/>
            </w:tcBorders>
          </w:tcPr>
          <w:p w14:paraId="7002DC35" w14:textId="77777777" w:rsidR="007E1EDE" w:rsidRPr="005734B8" w:rsidRDefault="007E1EDE" w:rsidP="000E6F40">
            <w:pPr>
              <w:spacing w:before="120" w:after="120"/>
              <w:jc w:val="right"/>
              <w:rPr>
                <w:rFonts w:ascii="Calibri" w:hAnsi="Calibri" w:cs="Calibri"/>
                <w:sz w:val="18"/>
                <w:szCs w:val="18"/>
              </w:rPr>
            </w:pPr>
            <w:r w:rsidRPr="005734B8">
              <w:rPr>
                <w:rFonts w:ascii="Calibri" w:hAnsi="Calibri" w:cs="Calibri"/>
                <w:sz w:val="18"/>
                <w:lang w:val="en-AU"/>
              </w:rPr>
              <w:sym w:font="Wingdings" w:char="F06E"/>
            </w:r>
          </w:p>
        </w:tc>
      </w:tr>
      <w:tr w:rsidR="007E1EDE" w:rsidRPr="005734B8" w14:paraId="07D12554"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3F10EFED" w14:textId="5E22C5C9" w:rsidR="007E1EDE" w:rsidRPr="005734B8" w:rsidRDefault="007E1EDE" w:rsidP="000E6F40">
            <w:pPr>
              <w:spacing w:before="120" w:after="120"/>
              <w:rPr>
                <w:rFonts w:ascii="Calibri" w:eastAsiaTheme="minorEastAsia" w:hAnsi="Calibri" w:cs="Calibri"/>
                <w:i/>
                <w:color w:val="FF0000"/>
                <w:sz w:val="16"/>
                <w:szCs w:val="20"/>
                <w:lang w:val="en-US"/>
              </w:rPr>
            </w:pPr>
            <w:r w:rsidRPr="005734B8">
              <w:rPr>
                <w:rFonts w:ascii="Calibri" w:eastAsiaTheme="minorEastAsia" w:hAnsi="Calibri" w:cs="Calibri"/>
                <w:i/>
                <w:sz w:val="16"/>
                <w:szCs w:val="20"/>
                <w:lang w:val="en-US"/>
              </w:rPr>
              <w:t xml:space="preserve">The above performance measure relates to the calendar year. The 2020–21 outcome is lower than the target due to travel restrictions, business constraints and training limitations </w:t>
            </w:r>
            <w:r w:rsidR="00EE4763" w:rsidRPr="005734B8">
              <w:rPr>
                <w:rFonts w:ascii="Calibri" w:eastAsiaTheme="minorEastAsia" w:hAnsi="Calibri" w:cs="Calibri"/>
                <w:i/>
                <w:sz w:val="16"/>
                <w:szCs w:val="20"/>
                <w:lang w:val="en-US"/>
              </w:rPr>
              <w:t>resulting from</w:t>
            </w:r>
            <w:r w:rsidRPr="005734B8">
              <w:rPr>
                <w:rFonts w:ascii="Calibri" w:eastAsiaTheme="minorEastAsia" w:hAnsi="Calibri" w:cs="Calibri"/>
                <w:i/>
                <w:sz w:val="16"/>
                <w:szCs w:val="20"/>
                <w:lang w:val="en-US"/>
              </w:rPr>
              <w:t xml:space="preserve"> the COVID-19 pandemic.</w:t>
            </w:r>
          </w:p>
        </w:tc>
      </w:tr>
      <w:tr w:rsidR="007E1EDE" w:rsidRPr="005734B8" w14:paraId="1269B520" w14:textId="77777777" w:rsidTr="000E6F40">
        <w:trPr>
          <w:cantSplit/>
        </w:trPr>
        <w:tc>
          <w:tcPr>
            <w:tcW w:w="2885" w:type="dxa"/>
            <w:tcBorders>
              <w:top w:val="single" w:sz="4" w:space="0" w:color="53565A" w:themeColor="accent5"/>
              <w:bottom w:val="single" w:sz="4" w:space="0" w:color="53565A" w:themeColor="accent5"/>
            </w:tcBorders>
            <w:shd w:val="clear" w:color="auto" w:fill="53565A" w:themeFill="accent5"/>
          </w:tcPr>
          <w:p w14:paraId="7D91ACE7" w14:textId="77777777" w:rsidR="007E1EDE" w:rsidRPr="005734B8" w:rsidRDefault="007E1EDE" w:rsidP="000E6F40">
            <w:pPr>
              <w:spacing w:before="80" w:after="80"/>
              <w:rPr>
                <w:rFonts w:ascii="Calibri" w:eastAsiaTheme="minorEastAsia" w:hAnsi="Calibri" w:cs="Calibri"/>
                <w:b/>
                <w:color w:val="FFFFFF" w:themeColor="background1"/>
                <w:sz w:val="18"/>
                <w:szCs w:val="18"/>
                <w:lang w:val="en-US"/>
              </w:rPr>
            </w:pPr>
            <w:r w:rsidRPr="005734B8">
              <w:rPr>
                <w:rFonts w:ascii="Calibri" w:eastAsiaTheme="minorEastAsia" w:hAnsi="Calibri" w:cs="Calibri"/>
                <w:b/>
                <w:color w:val="FFFFFF" w:themeColor="background1"/>
                <w:sz w:val="18"/>
                <w:szCs w:val="18"/>
                <w:lang w:val="en-US"/>
              </w:rPr>
              <w:t>Quality</w:t>
            </w:r>
          </w:p>
        </w:tc>
        <w:tc>
          <w:tcPr>
            <w:tcW w:w="1135" w:type="dxa"/>
            <w:tcBorders>
              <w:top w:val="single" w:sz="4" w:space="0" w:color="53565A" w:themeColor="accent5"/>
              <w:bottom w:val="single" w:sz="4" w:space="0" w:color="53565A" w:themeColor="accent5"/>
            </w:tcBorders>
            <w:shd w:val="clear" w:color="auto" w:fill="53565A" w:themeFill="accent5"/>
          </w:tcPr>
          <w:p w14:paraId="58A30C42" w14:textId="77777777" w:rsidR="007E1EDE" w:rsidRPr="005734B8" w:rsidRDefault="007E1EDE" w:rsidP="000E6F40">
            <w:pPr>
              <w:spacing w:before="120" w:after="120"/>
              <w:rPr>
                <w:rFonts w:ascii="Calibri" w:eastAsiaTheme="minorEastAsia" w:hAnsi="Calibri" w:cs="Calibri"/>
                <w:sz w:val="18"/>
                <w:szCs w:val="18"/>
                <w:lang w:val="en-US"/>
              </w:rPr>
            </w:pPr>
          </w:p>
        </w:tc>
        <w:tc>
          <w:tcPr>
            <w:tcW w:w="1114" w:type="dxa"/>
            <w:tcBorders>
              <w:top w:val="single" w:sz="4" w:space="0" w:color="53565A" w:themeColor="accent5"/>
              <w:bottom w:val="single" w:sz="4" w:space="0" w:color="53565A" w:themeColor="accent5"/>
            </w:tcBorders>
            <w:shd w:val="clear" w:color="auto" w:fill="53565A" w:themeFill="accent5"/>
          </w:tcPr>
          <w:p w14:paraId="021A2103" w14:textId="77777777" w:rsidR="007E1EDE" w:rsidRPr="005734B8" w:rsidRDefault="007E1EDE" w:rsidP="000E6F40">
            <w:pPr>
              <w:spacing w:before="120" w:after="120"/>
              <w:rPr>
                <w:rFonts w:ascii="Calibri" w:eastAsiaTheme="minorEastAsia" w:hAnsi="Calibri" w:cs="Calibri"/>
                <w:sz w:val="18"/>
                <w:szCs w:val="18"/>
                <w:lang w:val="en-US"/>
              </w:rPr>
            </w:pPr>
          </w:p>
        </w:tc>
        <w:tc>
          <w:tcPr>
            <w:tcW w:w="1338" w:type="dxa"/>
            <w:tcBorders>
              <w:top w:val="single" w:sz="4" w:space="0" w:color="53565A" w:themeColor="accent5"/>
              <w:bottom w:val="single" w:sz="4" w:space="0" w:color="53565A" w:themeColor="accent5"/>
            </w:tcBorders>
            <w:shd w:val="clear" w:color="auto" w:fill="53565A" w:themeFill="accent5"/>
          </w:tcPr>
          <w:p w14:paraId="3F712C2F" w14:textId="77777777" w:rsidR="007E1EDE" w:rsidRPr="005734B8" w:rsidRDefault="007E1EDE" w:rsidP="000E6F40">
            <w:pPr>
              <w:spacing w:before="120" w:after="120"/>
              <w:rPr>
                <w:rFonts w:ascii="Calibri" w:eastAsiaTheme="minorEastAsia" w:hAnsi="Calibri" w:cs="Calibri"/>
                <w:sz w:val="18"/>
                <w:szCs w:val="18"/>
                <w:lang w:val="en-US"/>
              </w:rPr>
            </w:pPr>
          </w:p>
        </w:tc>
        <w:tc>
          <w:tcPr>
            <w:tcW w:w="1631" w:type="dxa"/>
            <w:tcBorders>
              <w:top w:val="single" w:sz="4" w:space="0" w:color="53565A" w:themeColor="accent5"/>
              <w:bottom w:val="single" w:sz="4" w:space="0" w:color="53565A" w:themeColor="accent5"/>
            </w:tcBorders>
            <w:shd w:val="clear" w:color="auto" w:fill="53565A" w:themeFill="accent5"/>
          </w:tcPr>
          <w:p w14:paraId="73B8D47A" w14:textId="77777777" w:rsidR="007E1EDE" w:rsidRPr="005734B8" w:rsidRDefault="007E1EDE" w:rsidP="000E6F40">
            <w:pPr>
              <w:spacing w:before="120" w:after="120"/>
              <w:rPr>
                <w:rFonts w:ascii="Calibri" w:eastAsiaTheme="minorEastAsia" w:hAnsi="Calibri" w:cs="Calibri"/>
                <w:sz w:val="18"/>
                <w:szCs w:val="18"/>
                <w:lang w:val="en-US"/>
              </w:rPr>
            </w:pPr>
          </w:p>
        </w:tc>
        <w:tc>
          <w:tcPr>
            <w:tcW w:w="907" w:type="dxa"/>
            <w:tcBorders>
              <w:top w:val="single" w:sz="4" w:space="0" w:color="53565A" w:themeColor="accent5"/>
              <w:bottom w:val="single" w:sz="4" w:space="0" w:color="53565A" w:themeColor="accent5"/>
            </w:tcBorders>
            <w:shd w:val="clear" w:color="auto" w:fill="53565A" w:themeFill="accent5"/>
          </w:tcPr>
          <w:p w14:paraId="14BC2F27" w14:textId="77777777" w:rsidR="007E1EDE" w:rsidRPr="005734B8" w:rsidRDefault="007E1EDE" w:rsidP="000E6F40">
            <w:pPr>
              <w:spacing w:before="120" w:after="120"/>
              <w:rPr>
                <w:rFonts w:ascii="Calibri" w:eastAsiaTheme="minorEastAsia" w:hAnsi="Calibri" w:cs="Calibri"/>
                <w:sz w:val="18"/>
                <w:szCs w:val="18"/>
                <w:lang w:val="en-US"/>
              </w:rPr>
            </w:pPr>
          </w:p>
        </w:tc>
      </w:tr>
      <w:tr w:rsidR="007E1EDE" w:rsidRPr="005734B8" w14:paraId="310E9864"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7C564AD0" w14:textId="77777777" w:rsidR="007E1EDE" w:rsidRPr="005734B8" w:rsidRDefault="007E1EDE" w:rsidP="000E6F40">
            <w:pPr>
              <w:spacing w:before="120" w:after="120"/>
              <w:rPr>
                <w:rFonts w:ascii="Calibri" w:eastAsiaTheme="minorEastAsia" w:hAnsi="Calibri" w:cs="Calibri"/>
                <w:sz w:val="18"/>
                <w:szCs w:val="18"/>
                <w:lang w:val="en-US"/>
              </w:rPr>
            </w:pPr>
            <w:r w:rsidRPr="005734B8">
              <w:rPr>
                <w:rFonts w:ascii="Calibri" w:hAnsi="Calibri" w:cs="Calibri"/>
                <w:sz w:val="18"/>
              </w:rPr>
              <w:t>Proportion of employers of apprentices and trainees who are satisfied with training</w:t>
            </w:r>
          </w:p>
        </w:tc>
        <w:tc>
          <w:tcPr>
            <w:tcW w:w="1135" w:type="dxa"/>
            <w:tcBorders>
              <w:top w:val="single" w:sz="4" w:space="0" w:color="53565A" w:themeColor="accent5"/>
              <w:bottom w:val="single" w:sz="4" w:space="0" w:color="53565A" w:themeColor="accent5"/>
            </w:tcBorders>
            <w:shd w:val="clear" w:color="auto" w:fill="auto"/>
          </w:tcPr>
          <w:p w14:paraId="158104A0" w14:textId="77777777" w:rsidR="007E1EDE" w:rsidRPr="005734B8" w:rsidRDefault="007E1EDE"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119B39BB"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79.1</w:t>
            </w:r>
          </w:p>
        </w:tc>
        <w:tc>
          <w:tcPr>
            <w:tcW w:w="1338" w:type="dxa"/>
            <w:tcBorders>
              <w:top w:val="single" w:sz="4" w:space="0" w:color="53565A" w:themeColor="accent5"/>
              <w:bottom w:val="single" w:sz="4" w:space="0" w:color="53565A" w:themeColor="accent5"/>
            </w:tcBorders>
            <w:shd w:val="clear" w:color="auto" w:fill="auto"/>
          </w:tcPr>
          <w:p w14:paraId="0B0278FA"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77.6</w:t>
            </w:r>
          </w:p>
        </w:tc>
        <w:tc>
          <w:tcPr>
            <w:tcW w:w="1631" w:type="dxa"/>
            <w:tcBorders>
              <w:top w:val="single" w:sz="4" w:space="0" w:color="53565A" w:themeColor="accent5"/>
              <w:bottom w:val="single" w:sz="4" w:space="0" w:color="53565A" w:themeColor="accent5"/>
            </w:tcBorders>
            <w:shd w:val="clear" w:color="auto" w:fill="auto"/>
          </w:tcPr>
          <w:p w14:paraId="78E7D194"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1.9</w:t>
            </w:r>
          </w:p>
        </w:tc>
        <w:tc>
          <w:tcPr>
            <w:tcW w:w="907" w:type="dxa"/>
            <w:tcBorders>
              <w:top w:val="single" w:sz="4" w:space="0" w:color="53565A" w:themeColor="accent5"/>
              <w:bottom w:val="single" w:sz="4" w:space="0" w:color="53565A" w:themeColor="accent5"/>
            </w:tcBorders>
            <w:shd w:val="clear" w:color="auto" w:fill="auto"/>
          </w:tcPr>
          <w:p w14:paraId="706014E5" w14:textId="77777777" w:rsidR="007E1EDE" w:rsidRPr="005734B8" w:rsidRDefault="007E1EDE"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FC"/>
            </w:r>
          </w:p>
        </w:tc>
      </w:tr>
      <w:tr w:rsidR="007E1EDE" w:rsidRPr="005734B8" w14:paraId="48F1D5AC"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17F91045" w14:textId="77777777" w:rsidR="007E1EDE" w:rsidRPr="005734B8" w:rsidRDefault="007E1EDE"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The above performance measure relates to the calendar year. Data for 2020–21 outcomes relate to the 2020 Victorian Employer Satisfaction Survey of 2019 training experiences.</w:t>
            </w:r>
          </w:p>
        </w:tc>
      </w:tr>
      <w:tr w:rsidR="007E1EDE" w:rsidRPr="005734B8" w14:paraId="70F1A74F" w14:textId="77777777" w:rsidTr="00AE5F0E">
        <w:trPr>
          <w:cantSplit/>
        </w:trPr>
        <w:tc>
          <w:tcPr>
            <w:tcW w:w="2885" w:type="dxa"/>
            <w:tcBorders>
              <w:top w:val="nil"/>
              <w:bottom w:val="single" w:sz="4" w:space="0" w:color="53565A" w:themeColor="accent5"/>
            </w:tcBorders>
            <w:shd w:val="clear" w:color="auto" w:fill="auto"/>
          </w:tcPr>
          <w:p w14:paraId="009F0094" w14:textId="77777777" w:rsidR="007E1EDE" w:rsidRPr="005734B8" w:rsidRDefault="007E1EDE" w:rsidP="000E6F40">
            <w:pPr>
              <w:spacing w:before="120" w:after="120"/>
              <w:rPr>
                <w:rFonts w:ascii="Calibri" w:eastAsiaTheme="minorEastAsia" w:hAnsi="Calibri" w:cs="Calibri"/>
                <w:sz w:val="18"/>
                <w:szCs w:val="18"/>
                <w:lang w:val="en-US"/>
              </w:rPr>
            </w:pPr>
            <w:r w:rsidRPr="005734B8">
              <w:rPr>
                <w:rFonts w:ascii="Calibri" w:hAnsi="Calibri" w:cs="Calibri"/>
                <w:sz w:val="18"/>
              </w:rPr>
              <w:t>Proportion of VET completers who are satisfied with their training</w:t>
            </w:r>
          </w:p>
        </w:tc>
        <w:tc>
          <w:tcPr>
            <w:tcW w:w="1135" w:type="dxa"/>
            <w:tcBorders>
              <w:top w:val="nil"/>
              <w:bottom w:val="single" w:sz="4" w:space="0" w:color="53565A" w:themeColor="accent5"/>
            </w:tcBorders>
            <w:shd w:val="clear" w:color="auto" w:fill="auto"/>
          </w:tcPr>
          <w:p w14:paraId="6EE5E01D" w14:textId="77777777" w:rsidR="007E1EDE" w:rsidRPr="005734B8" w:rsidRDefault="007E1EDE"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nil"/>
              <w:bottom w:val="single" w:sz="4" w:space="0" w:color="53565A" w:themeColor="accent5"/>
            </w:tcBorders>
            <w:shd w:val="clear" w:color="auto" w:fill="D9D9D6" w:themeFill="accent1"/>
          </w:tcPr>
          <w:p w14:paraId="03D3BB24"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86.7</w:t>
            </w:r>
          </w:p>
        </w:tc>
        <w:tc>
          <w:tcPr>
            <w:tcW w:w="1338" w:type="dxa"/>
            <w:tcBorders>
              <w:top w:val="nil"/>
              <w:bottom w:val="single" w:sz="4" w:space="0" w:color="53565A" w:themeColor="accent5"/>
            </w:tcBorders>
            <w:shd w:val="clear" w:color="auto" w:fill="auto"/>
          </w:tcPr>
          <w:p w14:paraId="6CBF03CE"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84.6</w:t>
            </w:r>
          </w:p>
        </w:tc>
        <w:tc>
          <w:tcPr>
            <w:tcW w:w="1631" w:type="dxa"/>
            <w:tcBorders>
              <w:top w:val="nil"/>
              <w:bottom w:val="single" w:sz="4" w:space="0" w:color="53565A" w:themeColor="accent5"/>
            </w:tcBorders>
            <w:shd w:val="clear" w:color="auto" w:fill="auto"/>
          </w:tcPr>
          <w:p w14:paraId="7701EAB9"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2.5</w:t>
            </w:r>
          </w:p>
        </w:tc>
        <w:tc>
          <w:tcPr>
            <w:tcW w:w="907" w:type="dxa"/>
            <w:tcBorders>
              <w:top w:val="nil"/>
              <w:bottom w:val="single" w:sz="4" w:space="0" w:color="53565A" w:themeColor="accent5"/>
            </w:tcBorders>
            <w:shd w:val="clear" w:color="auto" w:fill="auto"/>
          </w:tcPr>
          <w:p w14:paraId="1F96A2D6" w14:textId="77777777" w:rsidR="007E1EDE" w:rsidRPr="005734B8" w:rsidRDefault="007E1EDE"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FC"/>
            </w:r>
          </w:p>
        </w:tc>
      </w:tr>
      <w:tr w:rsidR="007E1EDE" w:rsidRPr="005734B8" w14:paraId="4E93942F"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01AC6B0D" w14:textId="77777777" w:rsidR="007E1EDE" w:rsidRPr="005734B8" w:rsidRDefault="007E1EDE"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The above performance measure relates to the calendar year. Data for 2020–21 outcomes relate to the 2020 Victorian Employer Satisfaction Survey of 2019 training experiences.</w:t>
            </w:r>
          </w:p>
        </w:tc>
      </w:tr>
      <w:tr w:rsidR="007E1EDE" w:rsidRPr="005734B8" w14:paraId="10D27CC5"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0EA8AD57" w14:textId="77777777" w:rsidR="007E1EDE" w:rsidRPr="005734B8" w:rsidRDefault="007E1EDE" w:rsidP="000E6F40">
            <w:pPr>
              <w:spacing w:before="120" w:after="120"/>
              <w:rPr>
                <w:rFonts w:ascii="Calibri" w:eastAsiaTheme="minorEastAsia" w:hAnsi="Calibri" w:cs="Calibri"/>
                <w:sz w:val="18"/>
                <w:szCs w:val="18"/>
                <w:lang w:val="en-US"/>
              </w:rPr>
            </w:pPr>
            <w:r w:rsidRPr="005734B8">
              <w:rPr>
                <w:rFonts w:ascii="Calibri" w:hAnsi="Calibri" w:cs="Calibri"/>
                <w:sz w:val="18"/>
              </w:rPr>
              <w:t>Proportion of VET completers with an improved employment status after training</w:t>
            </w:r>
          </w:p>
        </w:tc>
        <w:tc>
          <w:tcPr>
            <w:tcW w:w="1135" w:type="dxa"/>
            <w:tcBorders>
              <w:top w:val="single" w:sz="4" w:space="0" w:color="53565A" w:themeColor="accent5"/>
              <w:bottom w:val="single" w:sz="4" w:space="0" w:color="53565A" w:themeColor="accent5"/>
            </w:tcBorders>
            <w:shd w:val="clear" w:color="auto" w:fill="auto"/>
          </w:tcPr>
          <w:p w14:paraId="780E9A0D" w14:textId="77777777" w:rsidR="007E1EDE" w:rsidRPr="005734B8" w:rsidRDefault="007E1EDE"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6338CE72"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55.4</w:t>
            </w:r>
          </w:p>
        </w:tc>
        <w:tc>
          <w:tcPr>
            <w:tcW w:w="1338" w:type="dxa"/>
            <w:tcBorders>
              <w:top w:val="single" w:sz="4" w:space="0" w:color="53565A" w:themeColor="accent5"/>
              <w:bottom w:val="single" w:sz="4" w:space="0" w:color="53565A" w:themeColor="accent5"/>
            </w:tcBorders>
            <w:shd w:val="clear" w:color="auto" w:fill="auto"/>
          </w:tcPr>
          <w:p w14:paraId="1554D0A5"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51.8</w:t>
            </w:r>
          </w:p>
        </w:tc>
        <w:tc>
          <w:tcPr>
            <w:tcW w:w="1631" w:type="dxa"/>
            <w:tcBorders>
              <w:top w:val="single" w:sz="4" w:space="0" w:color="53565A" w:themeColor="accent5"/>
              <w:bottom w:val="single" w:sz="4" w:space="0" w:color="53565A" w:themeColor="accent5"/>
            </w:tcBorders>
            <w:shd w:val="clear" w:color="auto" w:fill="auto"/>
          </w:tcPr>
          <w:p w14:paraId="71D50CA0"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6.9</w:t>
            </w:r>
          </w:p>
        </w:tc>
        <w:tc>
          <w:tcPr>
            <w:tcW w:w="907" w:type="dxa"/>
            <w:tcBorders>
              <w:top w:val="single" w:sz="4" w:space="0" w:color="53565A" w:themeColor="accent5"/>
              <w:bottom w:val="single" w:sz="4" w:space="0" w:color="53565A" w:themeColor="accent5"/>
            </w:tcBorders>
            <w:shd w:val="clear" w:color="auto" w:fill="auto"/>
          </w:tcPr>
          <w:p w14:paraId="1552494B" w14:textId="77777777" w:rsidR="007E1EDE" w:rsidRPr="005734B8" w:rsidRDefault="007E1EDE"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FC"/>
            </w:r>
          </w:p>
        </w:tc>
      </w:tr>
      <w:tr w:rsidR="007E1EDE" w:rsidRPr="005734B8" w14:paraId="5BDE71D9"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76093FB8" w14:textId="148C1658" w:rsidR="007E1EDE" w:rsidRPr="005734B8" w:rsidRDefault="007E1EDE"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 xml:space="preserve">The above performance measure relates to the calendar year. Data for 2020–21 outcomes relate to the 2020 Victorian Employer Satisfaction Survey of 2019 training experiences. The 2020–21 outcome is higher than the target, </w:t>
            </w:r>
            <w:r w:rsidR="007253EC" w:rsidRPr="005734B8">
              <w:rPr>
                <w:rFonts w:ascii="Calibri" w:eastAsiaTheme="minorEastAsia" w:hAnsi="Calibri" w:cs="Calibri"/>
                <w:i/>
                <w:sz w:val="16"/>
                <w:szCs w:val="20"/>
                <w:lang w:val="en-US"/>
              </w:rPr>
              <w:t>but</w:t>
            </w:r>
            <w:r w:rsidRPr="005734B8">
              <w:rPr>
                <w:rFonts w:ascii="Calibri" w:eastAsiaTheme="minorEastAsia" w:hAnsi="Calibri" w:cs="Calibri"/>
                <w:i/>
                <w:sz w:val="16"/>
                <w:szCs w:val="20"/>
                <w:lang w:val="en-US"/>
              </w:rPr>
              <w:t xml:space="preserve"> a change in survey methodology for this measure </w:t>
            </w:r>
            <w:r w:rsidR="007253EC" w:rsidRPr="005734B8">
              <w:rPr>
                <w:rFonts w:ascii="Calibri" w:eastAsiaTheme="minorEastAsia" w:hAnsi="Calibri" w:cs="Calibri"/>
                <w:i/>
                <w:sz w:val="16"/>
                <w:szCs w:val="20"/>
                <w:lang w:val="en-US"/>
              </w:rPr>
              <w:t>makes</w:t>
            </w:r>
            <w:r w:rsidRPr="005734B8">
              <w:rPr>
                <w:rFonts w:ascii="Calibri" w:eastAsiaTheme="minorEastAsia" w:hAnsi="Calibri" w:cs="Calibri"/>
                <w:i/>
                <w:sz w:val="16"/>
                <w:szCs w:val="20"/>
                <w:lang w:val="en-US"/>
              </w:rPr>
              <w:t xml:space="preserve"> it difficult to compare 2020 results </w:t>
            </w:r>
            <w:r w:rsidR="007253EC" w:rsidRPr="005734B8">
              <w:rPr>
                <w:rFonts w:ascii="Calibri" w:eastAsiaTheme="minorEastAsia" w:hAnsi="Calibri" w:cs="Calibri"/>
                <w:i/>
                <w:sz w:val="16"/>
                <w:szCs w:val="20"/>
                <w:lang w:val="en-US"/>
              </w:rPr>
              <w:t>with</w:t>
            </w:r>
            <w:r w:rsidRPr="005734B8">
              <w:rPr>
                <w:rFonts w:ascii="Calibri" w:eastAsiaTheme="minorEastAsia" w:hAnsi="Calibri" w:cs="Calibri"/>
                <w:i/>
                <w:sz w:val="16"/>
                <w:szCs w:val="20"/>
                <w:lang w:val="en-US"/>
              </w:rPr>
              <w:t xml:space="preserve"> the 2020 target or 2019 results.</w:t>
            </w:r>
          </w:p>
        </w:tc>
      </w:tr>
      <w:tr w:rsidR="007E1EDE" w:rsidRPr="005734B8" w14:paraId="7512FF5E"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7FC28358" w14:textId="77777777" w:rsidR="007E1EDE" w:rsidRPr="005734B8" w:rsidRDefault="007E1EDE" w:rsidP="000E6F40">
            <w:pPr>
              <w:spacing w:before="120" w:after="120"/>
              <w:rPr>
                <w:rFonts w:ascii="Calibri" w:eastAsiaTheme="minorEastAsia" w:hAnsi="Calibri" w:cs="Calibri"/>
                <w:sz w:val="18"/>
                <w:szCs w:val="18"/>
                <w:lang w:val="en-US"/>
              </w:rPr>
            </w:pPr>
            <w:r w:rsidRPr="005734B8">
              <w:rPr>
                <w:rFonts w:ascii="Calibri" w:hAnsi="Calibri" w:cs="Calibri"/>
                <w:sz w:val="18"/>
              </w:rPr>
              <w:lastRenderedPageBreak/>
              <w:t>Proportion of VET completers who achieved their main reason for training</w:t>
            </w:r>
          </w:p>
        </w:tc>
        <w:tc>
          <w:tcPr>
            <w:tcW w:w="1135" w:type="dxa"/>
            <w:tcBorders>
              <w:top w:val="single" w:sz="4" w:space="0" w:color="53565A" w:themeColor="accent5"/>
              <w:bottom w:val="single" w:sz="4" w:space="0" w:color="53565A" w:themeColor="accent5"/>
            </w:tcBorders>
            <w:shd w:val="clear" w:color="auto" w:fill="auto"/>
          </w:tcPr>
          <w:p w14:paraId="6435CE4A" w14:textId="77777777" w:rsidR="007E1EDE" w:rsidRPr="005734B8" w:rsidRDefault="007E1EDE"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7F37C884"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85.1</w:t>
            </w:r>
          </w:p>
        </w:tc>
        <w:tc>
          <w:tcPr>
            <w:tcW w:w="1338" w:type="dxa"/>
            <w:tcBorders>
              <w:top w:val="single" w:sz="4" w:space="0" w:color="53565A" w:themeColor="accent5"/>
              <w:bottom w:val="single" w:sz="4" w:space="0" w:color="53565A" w:themeColor="accent5"/>
            </w:tcBorders>
            <w:shd w:val="clear" w:color="auto" w:fill="auto"/>
          </w:tcPr>
          <w:p w14:paraId="1A1475C7"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83.4</w:t>
            </w:r>
          </w:p>
        </w:tc>
        <w:tc>
          <w:tcPr>
            <w:tcW w:w="1631" w:type="dxa"/>
            <w:tcBorders>
              <w:top w:val="single" w:sz="4" w:space="0" w:color="53565A" w:themeColor="accent5"/>
              <w:bottom w:val="single" w:sz="4" w:space="0" w:color="53565A" w:themeColor="accent5"/>
            </w:tcBorders>
            <w:shd w:val="clear" w:color="auto" w:fill="auto"/>
          </w:tcPr>
          <w:p w14:paraId="1DF716A8"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2.0</w:t>
            </w:r>
          </w:p>
        </w:tc>
        <w:tc>
          <w:tcPr>
            <w:tcW w:w="907" w:type="dxa"/>
            <w:tcBorders>
              <w:top w:val="single" w:sz="4" w:space="0" w:color="53565A" w:themeColor="accent5"/>
              <w:bottom w:val="single" w:sz="4" w:space="0" w:color="53565A" w:themeColor="accent5"/>
            </w:tcBorders>
            <w:shd w:val="clear" w:color="auto" w:fill="auto"/>
          </w:tcPr>
          <w:p w14:paraId="2B2CE9D3" w14:textId="77777777" w:rsidR="007E1EDE" w:rsidRPr="005734B8" w:rsidRDefault="007E1EDE"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FC"/>
            </w:r>
          </w:p>
        </w:tc>
      </w:tr>
      <w:tr w:rsidR="007E1EDE" w:rsidRPr="005734B8" w14:paraId="2B0C72C2" w14:textId="77777777" w:rsidTr="001F14A8">
        <w:trPr>
          <w:cantSplit/>
        </w:trPr>
        <w:tc>
          <w:tcPr>
            <w:tcW w:w="9010" w:type="dxa"/>
            <w:gridSpan w:val="6"/>
            <w:tcBorders>
              <w:top w:val="single" w:sz="4" w:space="0" w:color="53565A" w:themeColor="accent5"/>
              <w:bottom w:val="single" w:sz="4" w:space="0" w:color="auto"/>
            </w:tcBorders>
            <w:shd w:val="clear" w:color="auto" w:fill="auto"/>
          </w:tcPr>
          <w:p w14:paraId="74DBB06E" w14:textId="77777777" w:rsidR="007E1EDE" w:rsidRPr="005734B8" w:rsidRDefault="007E1EDE"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The above performance measure relates to the calendar year. Data for 2020–21 outcomes relate to the 2020 Victorian Employer Satisfaction Survey of 2019 training experiences.</w:t>
            </w:r>
          </w:p>
        </w:tc>
      </w:tr>
      <w:tr w:rsidR="007E1EDE" w:rsidRPr="005734B8" w14:paraId="4ECE3463" w14:textId="77777777" w:rsidTr="001F14A8">
        <w:trPr>
          <w:cantSplit/>
        </w:trPr>
        <w:tc>
          <w:tcPr>
            <w:tcW w:w="2885" w:type="dxa"/>
            <w:tcBorders>
              <w:top w:val="nil"/>
              <w:bottom w:val="single" w:sz="4" w:space="0" w:color="53565A" w:themeColor="accent5"/>
            </w:tcBorders>
            <w:shd w:val="clear" w:color="auto" w:fill="auto"/>
          </w:tcPr>
          <w:p w14:paraId="179B4DA0" w14:textId="77777777" w:rsidR="007E1EDE" w:rsidRPr="005734B8" w:rsidRDefault="007E1EDE" w:rsidP="000E6F40">
            <w:pPr>
              <w:spacing w:before="120" w:after="120"/>
              <w:rPr>
                <w:rFonts w:ascii="Calibri" w:eastAsiaTheme="minorEastAsia" w:hAnsi="Calibri" w:cs="Calibri"/>
                <w:sz w:val="18"/>
                <w:szCs w:val="18"/>
                <w:lang w:val="en-US"/>
              </w:rPr>
            </w:pPr>
            <w:r w:rsidRPr="005734B8">
              <w:rPr>
                <w:rFonts w:ascii="Calibri" w:hAnsi="Calibri" w:cs="Calibri"/>
                <w:sz w:val="18"/>
              </w:rPr>
              <w:t>Two-year completion rate for non-apprentice commencements in government subsidised Australian Qualifications Framework qualifications</w:t>
            </w:r>
          </w:p>
        </w:tc>
        <w:tc>
          <w:tcPr>
            <w:tcW w:w="1135" w:type="dxa"/>
            <w:tcBorders>
              <w:top w:val="nil"/>
              <w:bottom w:val="single" w:sz="4" w:space="0" w:color="53565A" w:themeColor="accent5"/>
            </w:tcBorders>
            <w:shd w:val="clear" w:color="auto" w:fill="auto"/>
          </w:tcPr>
          <w:p w14:paraId="3BFDC21A" w14:textId="77777777" w:rsidR="007E1EDE" w:rsidRPr="005734B8" w:rsidRDefault="007E1EDE"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nil"/>
              <w:bottom w:val="single" w:sz="4" w:space="0" w:color="53565A" w:themeColor="accent5"/>
            </w:tcBorders>
            <w:shd w:val="clear" w:color="auto" w:fill="D9D9D6" w:themeFill="accent1"/>
          </w:tcPr>
          <w:p w14:paraId="110C2428"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48.4</w:t>
            </w:r>
          </w:p>
        </w:tc>
        <w:tc>
          <w:tcPr>
            <w:tcW w:w="1338" w:type="dxa"/>
            <w:tcBorders>
              <w:top w:val="nil"/>
              <w:bottom w:val="single" w:sz="4" w:space="0" w:color="53565A" w:themeColor="accent5"/>
            </w:tcBorders>
            <w:shd w:val="clear" w:color="auto" w:fill="auto"/>
          </w:tcPr>
          <w:p w14:paraId="19D3DBAA"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46.3</w:t>
            </w:r>
          </w:p>
        </w:tc>
        <w:tc>
          <w:tcPr>
            <w:tcW w:w="1631" w:type="dxa"/>
            <w:tcBorders>
              <w:top w:val="nil"/>
              <w:bottom w:val="single" w:sz="4" w:space="0" w:color="53565A" w:themeColor="accent5"/>
            </w:tcBorders>
            <w:shd w:val="clear" w:color="auto" w:fill="auto"/>
          </w:tcPr>
          <w:p w14:paraId="6F9EC705" w14:textId="77777777" w:rsidR="007E1EDE" w:rsidRPr="005734B8" w:rsidRDefault="007E1EDE"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4.5</w:t>
            </w:r>
          </w:p>
        </w:tc>
        <w:tc>
          <w:tcPr>
            <w:tcW w:w="907" w:type="dxa"/>
            <w:tcBorders>
              <w:top w:val="nil"/>
              <w:bottom w:val="single" w:sz="4" w:space="0" w:color="53565A" w:themeColor="accent5"/>
            </w:tcBorders>
            <w:shd w:val="clear" w:color="auto" w:fill="auto"/>
          </w:tcPr>
          <w:p w14:paraId="394608D9" w14:textId="77777777" w:rsidR="007E1EDE" w:rsidRPr="005734B8" w:rsidRDefault="007E1EDE"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FC"/>
            </w:r>
          </w:p>
        </w:tc>
      </w:tr>
      <w:tr w:rsidR="007E1EDE" w:rsidRPr="005734B8" w14:paraId="7B2E1898"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57BCA5B6" w14:textId="41749575" w:rsidR="007E1EDE" w:rsidRPr="005734B8" w:rsidRDefault="007E1EDE" w:rsidP="000E6F40">
            <w:pPr>
              <w:spacing w:before="120" w:after="120"/>
              <w:rPr>
                <w:rFonts w:ascii="Calibri" w:eastAsiaTheme="minorEastAsia" w:hAnsi="Calibri" w:cs="Calibri"/>
                <w:i/>
                <w:color w:val="FF0000"/>
                <w:sz w:val="16"/>
                <w:szCs w:val="20"/>
                <w:lang w:val="en-US"/>
              </w:rPr>
            </w:pPr>
            <w:r w:rsidRPr="005734B8">
              <w:rPr>
                <w:rFonts w:ascii="Calibri" w:eastAsiaTheme="minorEastAsia" w:hAnsi="Calibri" w:cs="Calibri"/>
                <w:i/>
                <w:sz w:val="16"/>
                <w:szCs w:val="20"/>
                <w:lang w:val="en-US"/>
              </w:rPr>
              <w:t>The above performance measure relates to the calendar year. Data for the 2020–21 outcome is the proportion of enrolments</w:t>
            </w:r>
            <w:r w:rsidR="005662E8" w:rsidRPr="005734B8">
              <w:rPr>
                <w:rFonts w:ascii="Calibri" w:eastAsiaTheme="minorEastAsia" w:hAnsi="Calibri" w:cs="Calibri"/>
                <w:i/>
                <w:sz w:val="16"/>
                <w:szCs w:val="20"/>
                <w:lang w:val="en-US"/>
              </w:rPr>
              <w:t>,</w:t>
            </w:r>
            <w:r w:rsidRPr="005734B8">
              <w:rPr>
                <w:rFonts w:ascii="Calibri" w:eastAsiaTheme="minorEastAsia" w:hAnsi="Calibri" w:cs="Calibri"/>
                <w:i/>
                <w:sz w:val="16"/>
                <w:szCs w:val="20"/>
                <w:lang w:val="en-US"/>
              </w:rPr>
              <w:t xml:space="preserve"> which commenced in 2019 </w:t>
            </w:r>
            <w:r w:rsidR="005662E8" w:rsidRPr="005734B8">
              <w:rPr>
                <w:rFonts w:ascii="Calibri" w:eastAsiaTheme="minorEastAsia" w:hAnsi="Calibri" w:cs="Calibri"/>
                <w:i/>
                <w:sz w:val="16"/>
                <w:szCs w:val="20"/>
                <w:lang w:val="en-US"/>
              </w:rPr>
              <w:t>and</w:t>
            </w:r>
            <w:r w:rsidRPr="005734B8">
              <w:rPr>
                <w:rFonts w:ascii="Calibri" w:eastAsiaTheme="minorEastAsia" w:hAnsi="Calibri" w:cs="Calibri"/>
                <w:i/>
                <w:sz w:val="16"/>
                <w:szCs w:val="20"/>
                <w:lang w:val="en-US"/>
              </w:rPr>
              <w:t xml:space="preserve"> completed at the end of 2020.</w:t>
            </w:r>
          </w:p>
        </w:tc>
      </w:tr>
      <w:tr w:rsidR="007E1EDE" w:rsidRPr="005734B8" w14:paraId="54055F26" w14:textId="77777777" w:rsidTr="000E6F40">
        <w:trPr>
          <w:cantSplit/>
        </w:trPr>
        <w:tc>
          <w:tcPr>
            <w:tcW w:w="2885" w:type="dxa"/>
            <w:tcBorders>
              <w:top w:val="single" w:sz="4" w:space="0" w:color="53565A" w:themeColor="accent5"/>
              <w:bottom w:val="single" w:sz="4" w:space="0" w:color="53565A" w:themeColor="accent5"/>
            </w:tcBorders>
            <w:shd w:val="clear" w:color="auto" w:fill="53565A" w:themeFill="accent5"/>
          </w:tcPr>
          <w:p w14:paraId="32728B7C" w14:textId="77777777" w:rsidR="007E1EDE" w:rsidRPr="005734B8" w:rsidRDefault="007E1EDE" w:rsidP="000E6F40">
            <w:pPr>
              <w:spacing w:before="120" w:after="120"/>
              <w:rPr>
                <w:rFonts w:ascii="Calibri" w:eastAsiaTheme="minorEastAsia" w:hAnsi="Calibri" w:cs="Calibri"/>
                <w:b/>
                <w:color w:val="FFFFFF" w:themeColor="background1"/>
                <w:sz w:val="18"/>
                <w:szCs w:val="18"/>
                <w:lang w:val="en-US"/>
              </w:rPr>
            </w:pPr>
            <w:r w:rsidRPr="005734B8">
              <w:rPr>
                <w:rFonts w:ascii="Calibri" w:eastAsiaTheme="minorEastAsia" w:hAnsi="Calibri" w:cs="Calibri"/>
                <w:b/>
                <w:color w:val="FFFFFF" w:themeColor="background1"/>
                <w:sz w:val="18"/>
                <w:szCs w:val="18"/>
                <w:lang w:val="en-US"/>
              </w:rPr>
              <w:t>Cost</w:t>
            </w:r>
          </w:p>
        </w:tc>
        <w:tc>
          <w:tcPr>
            <w:tcW w:w="1135" w:type="dxa"/>
            <w:tcBorders>
              <w:top w:val="single" w:sz="4" w:space="0" w:color="53565A" w:themeColor="accent5"/>
              <w:bottom w:val="single" w:sz="4" w:space="0" w:color="53565A" w:themeColor="accent5"/>
            </w:tcBorders>
            <w:shd w:val="clear" w:color="auto" w:fill="53565A" w:themeFill="accent5"/>
          </w:tcPr>
          <w:p w14:paraId="6F5DEF15" w14:textId="77777777" w:rsidR="007E1EDE" w:rsidRPr="005734B8" w:rsidRDefault="007E1EDE" w:rsidP="000E6F40">
            <w:pPr>
              <w:spacing w:before="120" w:after="120"/>
              <w:rPr>
                <w:rFonts w:ascii="Calibri" w:eastAsiaTheme="minorEastAsia" w:hAnsi="Calibri" w:cs="Calibri"/>
                <w:b/>
                <w:color w:val="FFFFFF" w:themeColor="background1"/>
                <w:sz w:val="18"/>
                <w:szCs w:val="18"/>
                <w:lang w:val="en-US"/>
              </w:rPr>
            </w:pPr>
          </w:p>
        </w:tc>
        <w:tc>
          <w:tcPr>
            <w:tcW w:w="1114" w:type="dxa"/>
            <w:tcBorders>
              <w:top w:val="single" w:sz="4" w:space="0" w:color="53565A" w:themeColor="accent5"/>
              <w:bottom w:val="single" w:sz="4" w:space="0" w:color="53565A" w:themeColor="accent5"/>
            </w:tcBorders>
            <w:shd w:val="clear" w:color="auto" w:fill="53565A" w:themeFill="accent5"/>
          </w:tcPr>
          <w:p w14:paraId="01A9ED12" w14:textId="77777777" w:rsidR="007E1EDE" w:rsidRPr="005734B8" w:rsidRDefault="007E1EDE" w:rsidP="000E6F40">
            <w:pPr>
              <w:spacing w:before="120" w:after="120"/>
              <w:rPr>
                <w:rFonts w:ascii="Calibri" w:eastAsiaTheme="minorEastAsia" w:hAnsi="Calibri" w:cs="Calibri"/>
                <w:b/>
                <w:color w:val="FFFFFF" w:themeColor="background1"/>
                <w:sz w:val="18"/>
                <w:szCs w:val="18"/>
                <w:lang w:val="en-US"/>
              </w:rPr>
            </w:pPr>
          </w:p>
        </w:tc>
        <w:tc>
          <w:tcPr>
            <w:tcW w:w="1338" w:type="dxa"/>
            <w:tcBorders>
              <w:top w:val="single" w:sz="4" w:space="0" w:color="53565A" w:themeColor="accent5"/>
              <w:bottom w:val="single" w:sz="4" w:space="0" w:color="53565A" w:themeColor="accent5"/>
            </w:tcBorders>
            <w:shd w:val="clear" w:color="auto" w:fill="53565A" w:themeFill="accent5"/>
          </w:tcPr>
          <w:p w14:paraId="6EF88981" w14:textId="77777777" w:rsidR="007E1EDE" w:rsidRPr="005734B8" w:rsidRDefault="007E1EDE" w:rsidP="000E6F40">
            <w:pPr>
              <w:spacing w:before="120" w:after="120"/>
              <w:rPr>
                <w:rFonts w:ascii="Calibri" w:eastAsiaTheme="minorEastAsia" w:hAnsi="Calibri" w:cs="Calibri"/>
                <w:b/>
                <w:color w:val="FFFFFF" w:themeColor="background1"/>
                <w:sz w:val="18"/>
                <w:szCs w:val="18"/>
                <w:lang w:val="en-US"/>
              </w:rPr>
            </w:pPr>
          </w:p>
        </w:tc>
        <w:tc>
          <w:tcPr>
            <w:tcW w:w="1631" w:type="dxa"/>
            <w:tcBorders>
              <w:top w:val="single" w:sz="4" w:space="0" w:color="53565A" w:themeColor="accent5"/>
              <w:bottom w:val="single" w:sz="4" w:space="0" w:color="53565A" w:themeColor="accent5"/>
            </w:tcBorders>
            <w:shd w:val="clear" w:color="auto" w:fill="53565A" w:themeFill="accent5"/>
          </w:tcPr>
          <w:p w14:paraId="4FBFFC05" w14:textId="77777777" w:rsidR="007E1EDE" w:rsidRPr="005734B8" w:rsidRDefault="007E1EDE" w:rsidP="000E6F40">
            <w:pPr>
              <w:spacing w:before="120" w:after="120"/>
              <w:rPr>
                <w:rFonts w:ascii="Calibri" w:eastAsiaTheme="minorEastAsia" w:hAnsi="Calibri" w:cs="Calibri"/>
                <w:b/>
                <w:color w:val="FFFFFF" w:themeColor="background1"/>
                <w:sz w:val="18"/>
                <w:szCs w:val="18"/>
                <w:lang w:val="en-US"/>
              </w:rPr>
            </w:pPr>
          </w:p>
        </w:tc>
        <w:tc>
          <w:tcPr>
            <w:tcW w:w="907" w:type="dxa"/>
            <w:tcBorders>
              <w:top w:val="single" w:sz="4" w:space="0" w:color="53565A" w:themeColor="accent5"/>
              <w:bottom w:val="single" w:sz="4" w:space="0" w:color="53565A" w:themeColor="accent5"/>
            </w:tcBorders>
            <w:shd w:val="clear" w:color="auto" w:fill="53565A" w:themeFill="accent5"/>
          </w:tcPr>
          <w:p w14:paraId="13342F40" w14:textId="77777777" w:rsidR="007E1EDE" w:rsidRPr="005734B8" w:rsidRDefault="007E1EDE" w:rsidP="000E6F40">
            <w:pPr>
              <w:spacing w:before="120" w:after="120"/>
              <w:rPr>
                <w:rFonts w:ascii="Calibri" w:eastAsiaTheme="minorEastAsia" w:hAnsi="Calibri" w:cs="Calibri"/>
                <w:b/>
                <w:color w:val="FFFFFF" w:themeColor="background1"/>
                <w:sz w:val="18"/>
                <w:szCs w:val="18"/>
                <w:lang w:val="en-US"/>
              </w:rPr>
            </w:pPr>
          </w:p>
        </w:tc>
      </w:tr>
      <w:tr w:rsidR="007E1EDE" w:rsidRPr="005734B8" w14:paraId="5DE815A2" w14:textId="77777777" w:rsidTr="000E6F40">
        <w:trPr>
          <w:cantSplit/>
        </w:trPr>
        <w:tc>
          <w:tcPr>
            <w:tcW w:w="2885" w:type="dxa"/>
            <w:tcBorders>
              <w:top w:val="single" w:sz="4" w:space="0" w:color="53565A" w:themeColor="accent5"/>
              <w:bottom w:val="single" w:sz="4" w:space="0" w:color="53565A" w:themeColor="accent5"/>
            </w:tcBorders>
            <w:shd w:val="clear" w:color="auto" w:fill="auto"/>
          </w:tcPr>
          <w:p w14:paraId="6D2017C8" w14:textId="714E81DD" w:rsidR="007E1EDE" w:rsidRPr="005734B8" w:rsidRDefault="007E1EDE"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Total output cost</w:t>
            </w:r>
          </w:p>
        </w:tc>
        <w:tc>
          <w:tcPr>
            <w:tcW w:w="1135" w:type="dxa"/>
            <w:tcBorders>
              <w:top w:val="single" w:sz="4" w:space="0" w:color="53565A" w:themeColor="accent5"/>
              <w:bottom w:val="single" w:sz="4" w:space="0" w:color="53565A" w:themeColor="accent5"/>
            </w:tcBorders>
            <w:shd w:val="clear" w:color="auto" w:fill="auto"/>
          </w:tcPr>
          <w:p w14:paraId="033D51D7" w14:textId="77777777" w:rsidR="007E1EDE" w:rsidRPr="005734B8" w:rsidRDefault="007E1EDE" w:rsidP="000E6F40">
            <w:pPr>
              <w:spacing w:before="120" w:after="120"/>
              <w:rPr>
                <w:rFonts w:ascii="Calibri" w:eastAsiaTheme="minorEastAsia" w:hAnsi="Calibri" w:cs="Calibri"/>
                <w:sz w:val="18"/>
                <w:szCs w:val="18"/>
                <w:lang w:val="en-US"/>
              </w:rPr>
            </w:pPr>
          </w:p>
        </w:tc>
        <w:tc>
          <w:tcPr>
            <w:tcW w:w="1114" w:type="dxa"/>
            <w:tcBorders>
              <w:top w:val="single" w:sz="4" w:space="0" w:color="53565A" w:themeColor="accent5"/>
              <w:bottom w:val="single" w:sz="4" w:space="0" w:color="53565A" w:themeColor="accent5"/>
            </w:tcBorders>
            <w:shd w:val="clear" w:color="auto" w:fill="auto"/>
          </w:tcPr>
          <w:p w14:paraId="62795415" w14:textId="36A393A7" w:rsidR="007E1EDE" w:rsidRPr="005734B8" w:rsidRDefault="007E1EDE" w:rsidP="000E6F40">
            <w:pPr>
              <w:spacing w:before="120" w:after="120"/>
              <w:jc w:val="right"/>
              <w:rPr>
                <w:rFonts w:ascii="Calibri" w:eastAsiaTheme="minorEastAsia" w:hAnsi="Calibri" w:cs="Calibri"/>
                <w:sz w:val="18"/>
                <w:szCs w:val="18"/>
                <w:lang w:val="en-US"/>
              </w:rPr>
            </w:pPr>
            <w:r w:rsidRPr="005734B8">
              <w:rPr>
                <w:rFonts w:ascii="Calibri" w:eastAsiaTheme="minorEastAsia" w:hAnsi="Calibri" w:cs="Calibri"/>
                <w:sz w:val="18"/>
                <w:szCs w:val="18"/>
                <w:lang w:val="en-US"/>
              </w:rPr>
              <w:t>2,</w:t>
            </w:r>
            <w:r w:rsidR="008B4075" w:rsidRPr="005734B8">
              <w:rPr>
                <w:rFonts w:ascii="Calibri" w:eastAsiaTheme="minorEastAsia" w:hAnsi="Calibri" w:cs="Calibri"/>
                <w:sz w:val="18"/>
                <w:szCs w:val="18"/>
                <w:lang w:val="en-US"/>
              </w:rPr>
              <w:t>501</w:t>
            </w:r>
            <w:r w:rsidRPr="005734B8">
              <w:rPr>
                <w:rFonts w:ascii="Calibri" w:eastAsiaTheme="minorEastAsia" w:hAnsi="Calibri" w:cs="Calibri"/>
                <w:sz w:val="18"/>
                <w:szCs w:val="18"/>
                <w:lang w:val="en-US"/>
              </w:rPr>
              <w:t>.2</w:t>
            </w:r>
          </w:p>
        </w:tc>
        <w:tc>
          <w:tcPr>
            <w:tcW w:w="1338" w:type="dxa"/>
            <w:tcBorders>
              <w:top w:val="single" w:sz="4" w:space="0" w:color="53565A" w:themeColor="accent5"/>
              <w:bottom w:val="single" w:sz="4" w:space="0" w:color="53565A" w:themeColor="accent5"/>
            </w:tcBorders>
            <w:shd w:val="clear" w:color="auto" w:fill="auto"/>
          </w:tcPr>
          <w:p w14:paraId="639BA590" w14:textId="77777777" w:rsidR="007E1EDE" w:rsidRPr="005734B8" w:rsidRDefault="007E1EDE" w:rsidP="000E6F40">
            <w:pPr>
              <w:spacing w:before="120" w:after="120"/>
              <w:jc w:val="right"/>
              <w:rPr>
                <w:rFonts w:ascii="Calibri" w:eastAsiaTheme="minorEastAsia" w:hAnsi="Calibri" w:cs="Calibri"/>
                <w:sz w:val="18"/>
                <w:szCs w:val="18"/>
                <w:lang w:val="en-US"/>
              </w:rPr>
            </w:pPr>
            <w:r w:rsidRPr="005734B8">
              <w:rPr>
                <w:rFonts w:ascii="Calibri" w:eastAsiaTheme="minorEastAsia" w:hAnsi="Calibri" w:cs="Calibri"/>
                <w:sz w:val="18"/>
                <w:szCs w:val="18"/>
                <w:lang w:val="en-US"/>
              </w:rPr>
              <w:t>2,796.2</w:t>
            </w:r>
          </w:p>
        </w:tc>
        <w:tc>
          <w:tcPr>
            <w:tcW w:w="1631" w:type="dxa"/>
            <w:tcBorders>
              <w:top w:val="single" w:sz="4" w:space="0" w:color="53565A" w:themeColor="accent5"/>
              <w:bottom w:val="single" w:sz="4" w:space="0" w:color="53565A" w:themeColor="accent5"/>
            </w:tcBorders>
            <w:shd w:val="clear" w:color="auto" w:fill="auto"/>
          </w:tcPr>
          <w:p w14:paraId="652B606C" w14:textId="479EC4CF" w:rsidR="007E1EDE" w:rsidRPr="005734B8" w:rsidRDefault="007E1EDE" w:rsidP="000E6F40">
            <w:pPr>
              <w:spacing w:before="120" w:after="120"/>
              <w:jc w:val="right"/>
              <w:rPr>
                <w:rFonts w:ascii="Calibri" w:eastAsiaTheme="minorEastAsia" w:hAnsi="Calibri" w:cs="Calibri"/>
                <w:sz w:val="18"/>
                <w:szCs w:val="18"/>
                <w:lang w:val="en-US"/>
              </w:rPr>
            </w:pPr>
            <w:r w:rsidRPr="005734B8">
              <w:rPr>
                <w:rFonts w:ascii="Calibri" w:hAnsi="Calibri" w:cs="Calibri"/>
                <w:sz w:val="18"/>
                <w:szCs w:val="16"/>
              </w:rPr>
              <w:t>–</w:t>
            </w:r>
            <w:r w:rsidRPr="005734B8">
              <w:rPr>
                <w:rFonts w:ascii="Calibri" w:eastAsiaTheme="minorEastAsia" w:hAnsi="Calibri" w:cs="Calibri"/>
                <w:sz w:val="18"/>
                <w:szCs w:val="18"/>
                <w:lang w:val="en-US"/>
              </w:rPr>
              <w:t>1</w:t>
            </w:r>
            <w:r w:rsidR="008B4075" w:rsidRPr="005734B8">
              <w:rPr>
                <w:rFonts w:ascii="Calibri" w:eastAsiaTheme="minorEastAsia" w:hAnsi="Calibri" w:cs="Calibri"/>
                <w:sz w:val="18"/>
                <w:szCs w:val="18"/>
                <w:lang w:val="en-US"/>
              </w:rPr>
              <w:t>0.6</w:t>
            </w:r>
          </w:p>
        </w:tc>
        <w:tc>
          <w:tcPr>
            <w:tcW w:w="907" w:type="dxa"/>
            <w:tcBorders>
              <w:top w:val="single" w:sz="4" w:space="0" w:color="53565A" w:themeColor="accent5"/>
              <w:bottom w:val="single" w:sz="4" w:space="0" w:color="53565A" w:themeColor="accent5"/>
            </w:tcBorders>
            <w:shd w:val="clear" w:color="auto" w:fill="auto"/>
          </w:tcPr>
          <w:p w14:paraId="4C1F0AA4" w14:textId="607F7D43" w:rsidR="007E1EDE" w:rsidRPr="005734B8" w:rsidRDefault="007E1EDE"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FC"/>
            </w:r>
          </w:p>
        </w:tc>
      </w:tr>
      <w:tr w:rsidR="007E1EDE" w:rsidRPr="005734B8" w14:paraId="3D13FBD0" w14:textId="77777777" w:rsidTr="000E6F40">
        <w:trPr>
          <w:cantSplit/>
        </w:trPr>
        <w:tc>
          <w:tcPr>
            <w:tcW w:w="9010" w:type="dxa"/>
            <w:gridSpan w:val="6"/>
            <w:tcBorders>
              <w:top w:val="single" w:sz="4" w:space="0" w:color="53565A" w:themeColor="accent5"/>
              <w:bottom w:val="single" w:sz="4" w:space="0" w:color="53565A" w:themeColor="accent5"/>
            </w:tcBorders>
            <w:shd w:val="clear" w:color="auto" w:fill="auto"/>
          </w:tcPr>
          <w:p w14:paraId="2B92E2CF" w14:textId="67198A27" w:rsidR="007E1EDE" w:rsidRPr="005734B8" w:rsidRDefault="008B4075" w:rsidP="000E6F40">
            <w:pPr>
              <w:spacing w:before="120" w:after="120"/>
              <w:rPr>
                <w:rFonts w:ascii="Calibri" w:eastAsiaTheme="minorEastAsia" w:hAnsi="Calibri" w:cs="Calibri"/>
                <w:i/>
                <w:sz w:val="16"/>
                <w:szCs w:val="16"/>
                <w:highlight w:val="yellow"/>
                <w:lang w:val="en-US"/>
              </w:rPr>
            </w:pPr>
            <w:r w:rsidRPr="005734B8">
              <w:rPr>
                <w:rFonts w:ascii="Calibri" w:eastAsiaTheme="minorEastAsia" w:hAnsi="Calibri" w:cs="Calibri"/>
                <w:i/>
                <w:sz w:val="16"/>
                <w:szCs w:val="20"/>
                <w:lang w:val="en-US"/>
              </w:rPr>
              <w:t>The 2020–21 outcome is lower than the target primarily due to lower expenses from third party revenue, carryover into 2021</w:t>
            </w:r>
            <w:r w:rsidR="0088287E" w:rsidRPr="005734B8">
              <w:rPr>
                <w:rFonts w:ascii="Calibri" w:eastAsiaTheme="minorEastAsia" w:hAnsi="Calibri" w:cs="Calibri"/>
                <w:i/>
                <w:sz w:val="16"/>
                <w:szCs w:val="20"/>
                <w:lang w:val="en-US"/>
              </w:rPr>
              <w:t>–</w:t>
            </w:r>
            <w:r w:rsidRPr="005734B8">
              <w:rPr>
                <w:rFonts w:ascii="Calibri" w:eastAsiaTheme="minorEastAsia" w:hAnsi="Calibri" w:cs="Calibri"/>
                <w:i/>
                <w:sz w:val="16"/>
                <w:szCs w:val="20"/>
                <w:lang w:val="en-US"/>
              </w:rPr>
              <w:t>22 and budget rephasing into outyears.</w:t>
            </w:r>
          </w:p>
        </w:tc>
      </w:tr>
    </w:tbl>
    <w:tbl>
      <w:tblPr>
        <w:tblStyle w:val="TableGrid"/>
        <w:tblW w:w="5000" w:type="pct"/>
        <w:tblBorders>
          <w:top w:val="none" w:sz="0" w:space="0" w:color="auto"/>
          <w:left w:val="single" w:sz="4" w:space="0" w:color="FFFFFF" w:themeColor="background1"/>
          <w:bottom w:val="single" w:sz="4" w:space="0" w:color="53565A" w:themeColor="accent5"/>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96"/>
        <w:gridCol w:w="3320"/>
        <w:gridCol w:w="2222"/>
        <w:gridCol w:w="2372"/>
      </w:tblGrid>
      <w:tr w:rsidR="00676CDA" w:rsidRPr="005734B8" w14:paraId="376BC8EA" w14:textId="77777777" w:rsidTr="00676CDA">
        <w:trPr>
          <w:cantSplit/>
        </w:trPr>
        <w:tc>
          <w:tcPr>
            <w:tcW w:w="1096" w:type="dxa"/>
            <w:shd w:val="clear" w:color="auto" w:fill="auto"/>
          </w:tcPr>
          <w:p w14:paraId="495D7BA0" w14:textId="77777777" w:rsidR="00676CDA" w:rsidRPr="005734B8" w:rsidRDefault="00676CDA" w:rsidP="009B07F6">
            <w:pPr>
              <w:pStyle w:val="ESTablenumberrightaligned"/>
              <w:jc w:val="left"/>
              <w:rPr>
                <w:rFonts w:ascii="Calibri" w:hAnsi="Calibri" w:cs="Calibri"/>
                <w:sz w:val="18"/>
              </w:rPr>
            </w:pPr>
            <w:r w:rsidRPr="005734B8">
              <w:rPr>
                <w:rFonts w:ascii="Calibri" w:hAnsi="Calibri" w:cs="Calibri"/>
                <w:sz w:val="18"/>
                <w:lang w:val="en-AU"/>
              </w:rPr>
              <w:t>Key:</w:t>
            </w:r>
          </w:p>
        </w:tc>
        <w:tc>
          <w:tcPr>
            <w:tcW w:w="3320" w:type="dxa"/>
            <w:shd w:val="clear" w:color="auto" w:fill="auto"/>
          </w:tcPr>
          <w:p w14:paraId="225C855D" w14:textId="77777777" w:rsidR="00676CDA" w:rsidRPr="005734B8" w:rsidRDefault="00676CDA" w:rsidP="009B07F6">
            <w:pPr>
              <w:pStyle w:val="ESTablenumberrightaligned"/>
              <w:rPr>
                <w:rFonts w:ascii="Calibri" w:hAnsi="Calibri" w:cs="Calibri"/>
                <w:sz w:val="18"/>
              </w:rPr>
            </w:pPr>
            <w:bookmarkStart w:id="213" w:name="_Hlk80726278"/>
            <w:r w:rsidRPr="005734B8">
              <w:rPr>
                <w:rFonts w:ascii="Calibri" w:hAnsi="Calibri" w:cs="Calibri"/>
                <w:sz w:val="18"/>
                <w:lang w:val="en-AU"/>
              </w:rPr>
              <w:sym w:font="Wingdings" w:char="F0FC"/>
            </w:r>
            <w:bookmarkEnd w:id="213"/>
            <w:r w:rsidRPr="005734B8">
              <w:rPr>
                <w:rFonts w:ascii="Calibri" w:hAnsi="Calibri" w:cs="Calibri"/>
                <w:sz w:val="18"/>
                <w:lang w:val="en-AU"/>
              </w:rPr>
              <w:t xml:space="preserve"> Target achieved or exceeded</w:t>
            </w:r>
          </w:p>
        </w:tc>
        <w:tc>
          <w:tcPr>
            <w:tcW w:w="2222" w:type="dxa"/>
            <w:shd w:val="clear" w:color="auto" w:fill="auto"/>
          </w:tcPr>
          <w:p w14:paraId="52750B43" w14:textId="77777777" w:rsidR="00676CDA" w:rsidRPr="005734B8" w:rsidRDefault="00676CDA" w:rsidP="009B07F6">
            <w:pPr>
              <w:pStyle w:val="ESTablenumberrightaligned"/>
              <w:rPr>
                <w:rFonts w:ascii="Calibri" w:hAnsi="Calibri" w:cs="Calibri"/>
                <w:sz w:val="18"/>
              </w:rPr>
            </w:pPr>
            <w:r w:rsidRPr="005734B8">
              <w:rPr>
                <w:rFonts w:ascii="Calibri" w:hAnsi="Calibri" w:cs="Calibri"/>
                <w:sz w:val="18"/>
                <w:lang w:val="en-AU"/>
              </w:rPr>
              <w:sym w:font="Wingdings" w:char="F0A1"/>
            </w:r>
            <w:r w:rsidRPr="005734B8">
              <w:rPr>
                <w:rFonts w:ascii="Calibri" w:hAnsi="Calibri" w:cs="Calibri"/>
                <w:sz w:val="18"/>
                <w:lang w:val="en-AU"/>
              </w:rPr>
              <w:t xml:space="preserve"> Target not achieved — less than 5% variance</w:t>
            </w:r>
          </w:p>
        </w:tc>
        <w:tc>
          <w:tcPr>
            <w:tcW w:w="2372" w:type="dxa"/>
            <w:shd w:val="clear" w:color="auto" w:fill="auto"/>
          </w:tcPr>
          <w:p w14:paraId="6F3DF84E" w14:textId="77777777" w:rsidR="00676CDA" w:rsidRPr="005734B8" w:rsidRDefault="00676CDA" w:rsidP="009B07F6">
            <w:pPr>
              <w:pStyle w:val="ESTablenumberrightaligned"/>
              <w:rPr>
                <w:rFonts w:ascii="Calibri" w:hAnsi="Calibri" w:cs="Calibri"/>
                <w:sz w:val="18"/>
              </w:rPr>
            </w:pPr>
            <w:r w:rsidRPr="005734B8">
              <w:rPr>
                <w:rFonts w:ascii="Calibri" w:hAnsi="Calibri" w:cs="Calibri"/>
                <w:sz w:val="18"/>
                <w:lang w:val="en-AU"/>
              </w:rPr>
              <w:sym w:font="Wingdings" w:char="F06E"/>
            </w:r>
            <w:r w:rsidRPr="005734B8">
              <w:rPr>
                <w:rFonts w:ascii="Calibri" w:hAnsi="Calibri" w:cs="Calibri"/>
                <w:sz w:val="18"/>
                <w:lang w:val="en-AU"/>
              </w:rPr>
              <w:t xml:space="preserve"> Target not achieved — more than 5% variance</w:t>
            </w:r>
          </w:p>
        </w:tc>
      </w:tr>
    </w:tbl>
    <w:p w14:paraId="7F0A164A" w14:textId="77777777" w:rsidR="00945B17" w:rsidRPr="005734B8" w:rsidRDefault="00945B17" w:rsidP="00945B17">
      <w:pPr>
        <w:pStyle w:val="ESHeading3"/>
        <w:ind w:left="0" w:firstLine="0"/>
        <w:rPr>
          <w:rFonts w:ascii="Calibri" w:hAnsi="Calibri" w:cs="Calibri"/>
          <w:szCs w:val="22"/>
          <w:lang w:val="en-AU"/>
        </w:rPr>
      </w:pPr>
      <w:bookmarkStart w:id="214" w:name="_Hlk78211733"/>
      <w:bookmarkStart w:id="215" w:name="_Toc13656668"/>
      <w:bookmarkStart w:id="216" w:name="_Toc14965402"/>
      <w:bookmarkStart w:id="217" w:name="_Toc10208703"/>
      <w:bookmarkStart w:id="218" w:name="_Toc11158172"/>
      <w:bookmarkStart w:id="219" w:name="_Toc11336179"/>
      <w:bookmarkEnd w:id="162"/>
      <w:bookmarkEnd w:id="163"/>
      <w:bookmarkEnd w:id="164"/>
      <w:bookmarkEnd w:id="165"/>
      <w:bookmarkEnd w:id="166"/>
      <w:bookmarkEnd w:id="167"/>
      <w:bookmarkEnd w:id="206"/>
      <w:bookmarkEnd w:id="207"/>
      <w:bookmarkEnd w:id="208"/>
      <w:bookmarkEnd w:id="209"/>
      <w:bookmarkEnd w:id="210"/>
      <w:bookmarkEnd w:id="211"/>
      <w:bookmarkEnd w:id="212"/>
      <w:r w:rsidRPr="005734B8">
        <w:rPr>
          <w:rFonts w:ascii="Calibri" w:hAnsi="Calibri" w:cs="Calibri"/>
          <w:szCs w:val="22"/>
          <w:lang w:val="en-AU"/>
        </w:rPr>
        <w:t>Support services delivery</w:t>
      </w:r>
    </w:p>
    <w:p w14:paraId="41061D67" w14:textId="77777777" w:rsidR="00945B17" w:rsidRPr="005734B8" w:rsidRDefault="00945B17" w:rsidP="00945B17">
      <w:pPr>
        <w:rPr>
          <w:rFonts w:ascii="Calibri" w:hAnsi="Calibri" w:cs="Calibri"/>
        </w:rPr>
      </w:pPr>
      <w:r w:rsidRPr="005734B8">
        <w:rPr>
          <w:rFonts w:ascii="Calibri" w:hAnsi="Calibri" w:cs="Calibri"/>
        </w:rPr>
        <w:t>The Support Services Delivery output primarily provides student welfare and support, student transport (excluding transport for special needs students) and health services.</w:t>
      </w:r>
    </w:p>
    <w:bookmarkEnd w:id="214"/>
    <w:p w14:paraId="22A2D076" w14:textId="77777777" w:rsidR="00945B17" w:rsidRPr="005734B8" w:rsidRDefault="00945B17" w:rsidP="00945B17">
      <w:pPr>
        <w:pStyle w:val="ESTableintroheading"/>
        <w:keepNext w:val="0"/>
        <w:rPr>
          <w:rFonts w:ascii="Calibri" w:hAnsi="Calibri" w:cs="Calibri"/>
          <w:lang w:val="en-AU"/>
        </w:rPr>
      </w:pPr>
      <w:r w:rsidRPr="005734B8">
        <w:rPr>
          <w:rFonts w:ascii="Calibri" w:hAnsi="Calibri" w:cs="Calibri"/>
          <w:lang w:val="en-AU"/>
        </w:rPr>
        <w:t>Support services delivery performance measures</w:t>
      </w:r>
    </w:p>
    <w:tbl>
      <w:tblPr>
        <w:tblStyle w:val="TableGrid4"/>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85"/>
        <w:gridCol w:w="1135"/>
        <w:gridCol w:w="1114"/>
        <w:gridCol w:w="1338"/>
        <w:gridCol w:w="1631"/>
        <w:gridCol w:w="907"/>
      </w:tblGrid>
      <w:tr w:rsidR="00945B17" w:rsidRPr="005734B8" w14:paraId="19B594AB" w14:textId="77777777" w:rsidTr="000E6F40">
        <w:trPr>
          <w:cantSplit/>
          <w:trHeight w:val="242"/>
          <w:tblHeader/>
        </w:trPr>
        <w:tc>
          <w:tcPr>
            <w:tcW w:w="2537" w:type="dxa"/>
            <w:tcBorders>
              <w:bottom w:val="single" w:sz="4" w:space="0" w:color="FFFFFF" w:themeColor="background1"/>
            </w:tcBorders>
            <w:shd w:val="clear" w:color="auto" w:fill="AF272F" w:themeFill="accent4"/>
          </w:tcPr>
          <w:p w14:paraId="5B2402C0" w14:textId="77777777" w:rsidR="00945B17" w:rsidRPr="005734B8" w:rsidRDefault="00945B17" w:rsidP="000E6F40">
            <w:pPr>
              <w:spacing w:before="80" w:after="80"/>
              <w:rPr>
                <w:rFonts w:ascii="Calibri" w:eastAsiaTheme="minorEastAsia" w:hAnsi="Calibri" w:cs="Calibri"/>
                <w:b/>
                <w:color w:val="FFFFFF" w:themeColor="background1"/>
                <w:sz w:val="19"/>
                <w:szCs w:val="18"/>
                <w:lang w:val="en-US"/>
              </w:rPr>
            </w:pPr>
            <w:r w:rsidRPr="005734B8">
              <w:rPr>
                <w:rFonts w:ascii="Calibri" w:eastAsiaTheme="minorEastAsia" w:hAnsi="Calibri" w:cs="Calibri"/>
                <w:b/>
                <w:color w:val="FFFFFF" w:themeColor="background1"/>
                <w:sz w:val="19"/>
                <w:szCs w:val="18"/>
                <w:lang w:val="en-US"/>
              </w:rPr>
              <w:t>Performance measures</w:t>
            </w:r>
          </w:p>
        </w:tc>
        <w:tc>
          <w:tcPr>
            <w:tcW w:w="998" w:type="dxa"/>
            <w:tcBorders>
              <w:bottom w:val="single" w:sz="4" w:space="0" w:color="FFFFFF" w:themeColor="background1"/>
            </w:tcBorders>
            <w:shd w:val="clear" w:color="auto" w:fill="AF272F" w:themeFill="accent4"/>
          </w:tcPr>
          <w:p w14:paraId="0F8A6F52" w14:textId="77777777" w:rsidR="00945B17" w:rsidRPr="005734B8" w:rsidRDefault="00945B17" w:rsidP="000E6F40">
            <w:pPr>
              <w:spacing w:before="80" w:after="80"/>
              <w:rPr>
                <w:rFonts w:ascii="Calibri" w:eastAsiaTheme="minorEastAsia" w:hAnsi="Calibri" w:cs="Calibri"/>
                <w:b/>
                <w:color w:val="FFFFFF" w:themeColor="background1"/>
                <w:sz w:val="19"/>
                <w:szCs w:val="18"/>
                <w:lang w:val="en-US"/>
              </w:rPr>
            </w:pPr>
            <w:r w:rsidRPr="005734B8">
              <w:rPr>
                <w:rFonts w:ascii="Calibri" w:eastAsiaTheme="minorEastAsia" w:hAnsi="Calibri" w:cs="Calibri"/>
                <w:b/>
                <w:color w:val="FFFFFF" w:themeColor="background1"/>
                <w:sz w:val="19"/>
                <w:szCs w:val="18"/>
                <w:lang w:val="en-US"/>
              </w:rPr>
              <w:t>Unit of measure</w:t>
            </w:r>
          </w:p>
        </w:tc>
        <w:tc>
          <w:tcPr>
            <w:tcW w:w="979" w:type="dxa"/>
            <w:tcBorders>
              <w:bottom w:val="single" w:sz="4" w:space="0" w:color="FFFFFF" w:themeColor="background1"/>
            </w:tcBorders>
            <w:shd w:val="clear" w:color="auto" w:fill="AF272F" w:themeFill="accent4"/>
          </w:tcPr>
          <w:p w14:paraId="4CDD6206" w14:textId="77777777" w:rsidR="00945B17" w:rsidRPr="005734B8" w:rsidRDefault="00945B17" w:rsidP="000E6F40">
            <w:pPr>
              <w:spacing w:before="80" w:after="80"/>
              <w:jc w:val="right"/>
              <w:rPr>
                <w:rFonts w:ascii="Calibri" w:eastAsiaTheme="minorEastAsia" w:hAnsi="Calibri" w:cs="Calibri"/>
                <w:b/>
                <w:color w:val="FFFFFF" w:themeColor="background1"/>
                <w:sz w:val="19"/>
                <w:szCs w:val="18"/>
                <w:lang w:val="en-US"/>
              </w:rPr>
            </w:pPr>
            <w:r w:rsidRPr="005734B8">
              <w:rPr>
                <w:rFonts w:ascii="Calibri" w:hAnsi="Calibri" w:cs="Calibri"/>
                <w:b/>
                <w:color w:val="FFFFFF" w:themeColor="background1"/>
                <w:sz w:val="18"/>
                <w:szCs w:val="18"/>
              </w:rPr>
              <w:t>2020–21 actual</w:t>
            </w:r>
          </w:p>
        </w:tc>
        <w:tc>
          <w:tcPr>
            <w:tcW w:w="1176" w:type="dxa"/>
            <w:tcBorders>
              <w:bottom w:val="single" w:sz="4" w:space="0" w:color="FFFFFF" w:themeColor="background1"/>
            </w:tcBorders>
            <w:shd w:val="clear" w:color="auto" w:fill="AF272F" w:themeFill="accent4"/>
          </w:tcPr>
          <w:p w14:paraId="640653B9" w14:textId="77777777" w:rsidR="00945B17" w:rsidRPr="005734B8" w:rsidRDefault="00945B17" w:rsidP="000E6F40">
            <w:pPr>
              <w:spacing w:before="80" w:after="80"/>
              <w:jc w:val="right"/>
              <w:rPr>
                <w:rFonts w:ascii="Calibri" w:eastAsiaTheme="minorEastAsia" w:hAnsi="Calibri" w:cs="Calibri"/>
                <w:b/>
                <w:color w:val="FFFFFF" w:themeColor="background1"/>
                <w:sz w:val="19"/>
                <w:szCs w:val="18"/>
                <w:lang w:val="en-US"/>
              </w:rPr>
            </w:pPr>
            <w:r w:rsidRPr="005734B8">
              <w:rPr>
                <w:rFonts w:ascii="Calibri" w:hAnsi="Calibri" w:cs="Calibri"/>
                <w:b/>
                <w:color w:val="FFFFFF" w:themeColor="background1"/>
                <w:sz w:val="18"/>
                <w:szCs w:val="18"/>
              </w:rPr>
              <w:t>2020–21 target</w:t>
            </w:r>
          </w:p>
        </w:tc>
        <w:tc>
          <w:tcPr>
            <w:tcW w:w="1434" w:type="dxa"/>
            <w:tcBorders>
              <w:bottom w:val="single" w:sz="4" w:space="0" w:color="FFFFFF" w:themeColor="background1"/>
            </w:tcBorders>
            <w:shd w:val="clear" w:color="auto" w:fill="AF272F" w:themeFill="accent4"/>
          </w:tcPr>
          <w:p w14:paraId="61C6CE5A" w14:textId="77777777" w:rsidR="00945B17" w:rsidRPr="005734B8" w:rsidRDefault="00945B17" w:rsidP="000E6F40">
            <w:pPr>
              <w:spacing w:before="80" w:after="80"/>
              <w:jc w:val="right"/>
              <w:rPr>
                <w:rFonts w:ascii="Calibri" w:eastAsiaTheme="minorEastAsia" w:hAnsi="Calibri" w:cs="Calibri"/>
                <w:b/>
                <w:color w:val="FFFFFF" w:themeColor="background1"/>
                <w:sz w:val="19"/>
                <w:szCs w:val="18"/>
                <w:lang w:val="en-US"/>
              </w:rPr>
            </w:pPr>
            <w:r w:rsidRPr="005734B8">
              <w:rPr>
                <w:rFonts w:ascii="Calibri" w:hAnsi="Calibri" w:cs="Calibri"/>
                <w:b/>
                <w:color w:val="FFFFFF" w:themeColor="background1"/>
                <w:sz w:val="18"/>
                <w:szCs w:val="18"/>
              </w:rPr>
              <w:t>Performance variation (%)</w:t>
            </w:r>
          </w:p>
        </w:tc>
        <w:tc>
          <w:tcPr>
            <w:tcW w:w="797" w:type="dxa"/>
            <w:tcBorders>
              <w:bottom w:val="single" w:sz="4" w:space="0" w:color="FFFFFF" w:themeColor="background1"/>
            </w:tcBorders>
            <w:shd w:val="clear" w:color="auto" w:fill="AF272F" w:themeFill="accent4"/>
          </w:tcPr>
          <w:p w14:paraId="22E72CFC" w14:textId="77777777" w:rsidR="00945B17" w:rsidRPr="005734B8" w:rsidRDefault="00945B17" w:rsidP="000E6F40">
            <w:pPr>
              <w:spacing w:before="80" w:after="80"/>
              <w:jc w:val="right"/>
              <w:rPr>
                <w:rFonts w:ascii="Calibri" w:eastAsiaTheme="minorEastAsia" w:hAnsi="Calibri" w:cs="Calibri"/>
                <w:b/>
                <w:color w:val="FFFFFF" w:themeColor="background1"/>
                <w:sz w:val="19"/>
                <w:szCs w:val="18"/>
                <w:lang w:val="en-US"/>
              </w:rPr>
            </w:pPr>
            <w:r w:rsidRPr="005734B8">
              <w:rPr>
                <w:rFonts w:ascii="Calibri" w:hAnsi="Calibri" w:cs="Calibri"/>
                <w:b/>
                <w:color w:val="FFFFFF" w:themeColor="background1"/>
                <w:sz w:val="18"/>
                <w:szCs w:val="18"/>
              </w:rPr>
              <w:t>Result</w:t>
            </w:r>
          </w:p>
        </w:tc>
      </w:tr>
      <w:tr w:rsidR="00945B17" w:rsidRPr="005734B8" w14:paraId="13CFC160" w14:textId="77777777" w:rsidTr="000E6F40">
        <w:trPr>
          <w:cantSplit/>
        </w:trPr>
        <w:tc>
          <w:tcPr>
            <w:tcW w:w="2537" w:type="dxa"/>
            <w:tcBorders>
              <w:bottom w:val="single" w:sz="4" w:space="0" w:color="53565A" w:themeColor="accent5"/>
            </w:tcBorders>
            <w:shd w:val="clear" w:color="auto" w:fill="53565A" w:themeFill="accent5"/>
          </w:tcPr>
          <w:p w14:paraId="661524C8" w14:textId="77777777" w:rsidR="00945B17" w:rsidRPr="005734B8" w:rsidRDefault="00945B17" w:rsidP="000E6F40">
            <w:pPr>
              <w:spacing w:before="120" w:after="120"/>
              <w:rPr>
                <w:rFonts w:ascii="Calibri" w:eastAsiaTheme="minorEastAsia" w:hAnsi="Calibri" w:cs="Calibri"/>
                <w:b/>
                <w:color w:val="FFFFFF" w:themeColor="background1"/>
                <w:sz w:val="18"/>
                <w:szCs w:val="18"/>
                <w:lang w:val="en-US"/>
              </w:rPr>
            </w:pPr>
            <w:r w:rsidRPr="005734B8">
              <w:rPr>
                <w:rFonts w:ascii="Calibri" w:eastAsiaTheme="minorEastAsia" w:hAnsi="Calibri" w:cs="Calibri"/>
                <w:b/>
                <w:color w:val="FFFFFF" w:themeColor="background1"/>
                <w:sz w:val="18"/>
                <w:szCs w:val="18"/>
                <w:lang w:val="en-US"/>
              </w:rPr>
              <w:t>Quantity</w:t>
            </w:r>
          </w:p>
        </w:tc>
        <w:tc>
          <w:tcPr>
            <w:tcW w:w="998" w:type="dxa"/>
            <w:tcBorders>
              <w:bottom w:val="single" w:sz="4" w:space="0" w:color="53565A" w:themeColor="accent5"/>
            </w:tcBorders>
            <w:shd w:val="clear" w:color="auto" w:fill="53565A" w:themeFill="accent5"/>
          </w:tcPr>
          <w:p w14:paraId="5431037E" w14:textId="77777777" w:rsidR="00945B17" w:rsidRPr="005734B8" w:rsidRDefault="00945B17" w:rsidP="000E6F40">
            <w:pPr>
              <w:spacing w:before="120" w:after="120"/>
              <w:rPr>
                <w:rFonts w:ascii="Calibri" w:eastAsiaTheme="minorEastAsia" w:hAnsi="Calibri" w:cs="Calibri"/>
                <w:sz w:val="18"/>
                <w:szCs w:val="18"/>
                <w:lang w:val="en-US"/>
              </w:rPr>
            </w:pPr>
          </w:p>
        </w:tc>
        <w:tc>
          <w:tcPr>
            <w:tcW w:w="979" w:type="dxa"/>
            <w:tcBorders>
              <w:bottom w:val="single" w:sz="4" w:space="0" w:color="53565A" w:themeColor="accent5"/>
            </w:tcBorders>
            <w:shd w:val="clear" w:color="auto" w:fill="53565A" w:themeFill="accent5"/>
          </w:tcPr>
          <w:p w14:paraId="775FD5C2" w14:textId="77777777" w:rsidR="00945B17" w:rsidRPr="005734B8" w:rsidRDefault="00945B17" w:rsidP="000E6F40">
            <w:pPr>
              <w:spacing w:before="120" w:after="120"/>
              <w:rPr>
                <w:rFonts w:ascii="Calibri" w:eastAsiaTheme="minorEastAsia" w:hAnsi="Calibri" w:cs="Calibri"/>
                <w:sz w:val="18"/>
                <w:szCs w:val="18"/>
                <w:lang w:val="en-US"/>
              </w:rPr>
            </w:pPr>
          </w:p>
        </w:tc>
        <w:tc>
          <w:tcPr>
            <w:tcW w:w="1176" w:type="dxa"/>
            <w:tcBorders>
              <w:bottom w:val="single" w:sz="4" w:space="0" w:color="53565A" w:themeColor="accent5"/>
            </w:tcBorders>
            <w:shd w:val="clear" w:color="auto" w:fill="53565A" w:themeFill="accent5"/>
          </w:tcPr>
          <w:p w14:paraId="32985D47" w14:textId="77777777" w:rsidR="00945B17" w:rsidRPr="005734B8" w:rsidRDefault="00945B17" w:rsidP="000E6F40">
            <w:pPr>
              <w:spacing w:before="120" w:after="120"/>
              <w:rPr>
                <w:rFonts w:ascii="Calibri" w:eastAsiaTheme="minorEastAsia" w:hAnsi="Calibri" w:cs="Calibri"/>
                <w:sz w:val="18"/>
                <w:szCs w:val="18"/>
                <w:lang w:val="en-US"/>
              </w:rPr>
            </w:pPr>
          </w:p>
        </w:tc>
        <w:tc>
          <w:tcPr>
            <w:tcW w:w="1434" w:type="dxa"/>
            <w:tcBorders>
              <w:bottom w:val="single" w:sz="4" w:space="0" w:color="53565A" w:themeColor="accent5"/>
            </w:tcBorders>
            <w:shd w:val="clear" w:color="auto" w:fill="53565A" w:themeFill="accent5"/>
          </w:tcPr>
          <w:p w14:paraId="1A3F328E" w14:textId="77777777" w:rsidR="00945B17" w:rsidRPr="005734B8" w:rsidRDefault="00945B17" w:rsidP="000E6F40">
            <w:pPr>
              <w:spacing w:before="120" w:after="120"/>
              <w:rPr>
                <w:rFonts w:ascii="Calibri" w:eastAsiaTheme="minorEastAsia" w:hAnsi="Calibri" w:cs="Calibri"/>
                <w:sz w:val="18"/>
                <w:szCs w:val="18"/>
                <w:lang w:val="en-US"/>
              </w:rPr>
            </w:pPr>
          </w:p>
        </w:tc>
        <w:tc>
          <w:tcPr>
            <w:tcW w:w="797" w:type="dxa"/>
            <w:tcBorders>
              <w:bottom w:val="single" w:sz="4" w:space="0" w:color="53565A" w:themeColor="accent5"/>
            </w:tcBorders>
            <w:shd w:val="clear" w:color="auto" w:fill="53565A" w:themeFill="accent5"/>
          </w:tcPr>
          <w:p w14:paraId="05832930" w14:textId="77777777" w:rsidR="00945B17" w:rsidRPr="005734B8" w:rsidRDefault="00945B17" w:rsidP="000E6F40">
            <w:pPr>
              <w:spacing w:before="120" w:after="120"/>
              <w:rPr>
                <w:rFonts w:ascii="Calibri" w:eastAsiaTheme="minorEastAsia" w:hAnsi="Calibri" w:cs="Calibri"/>
                <w:sz w:val="18"/>
                <w:szCs w:val="18"/>
                <w:lang w:val="en-US"/>
              </w:rPr>
            </w:pPr>
          </w:p>
        </w:tc>
      </w:tr>
      <w:tr w:rsidR="00945B17" w:rsidRPr="005734B8" w14:paraId="09965C43" w14:textId="77777777" w:rsidTr="000E6F40">
        <w:trPr>
          <w:cantSplit/>
        </w:trPr>
        <w:tc>
          <w:tcPr>
            <w:tcW w:w="2537" w:type="dxa"/>
            <w:tcBorders>
              <w:top w:val="single" w:sz="4" w:space="0" w:color="53565A" w:themeColor="accent5"/>
              <w:bottom w:val="single" w:sz="4" w:space="0" w:color="53565A" w:themeColor="accent5"/>
            </w:tcBorders>
            <w:shd w:val="clear" w:color="auto" w:fill="auto"/>
          </w:tcPr>
          <w:p w14:paraId="243A366D" w14:textId="77777777"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hAnsi="Calibri" w:cs="Calibri"/>
                <w:sz w:val="18"/>
              </w:rPr>
              <w:t>Eligible primary school students in receipt of camps, sports and excursions fund</w:t>
            </w:r>
          </w:p>
        </w:tc>
        <w:tc>
          <w:tcPr>
            <w:tcW w:w="998" w:type="dxa"/>
            <w:tcBorders>
              <w:top w:val="single" w:sz="4" w:space="0" w:color="53565A" w:themeColor="accent5"/>
              <w:bottom w:val="single" w:sz="4" w:space="0" w:color="53565A" w:themeColor="accent5"/>
            </w:tcBorders>
            <w:shd w:val="clear" w:color="auto" w:fill="auto"/>
          </w:tcPr>
          <w:p w14:paraId="6846B010" w14:textId="77777777"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hAnsi="Calibri" w:cs="Calibri"/>
                <w:sz w:val="18"/>
              </w:rPr>
              <w:t>number</w:t>
            </w:r>
          </w:p>
        </w:tc>
        <w:tc>
          <w:tcPr>
            <w:tcW w:w="979" w:type="dxa"/>
            <w:tcBorders>
              <w:top w:val="single" w:sz="4" w:space="0" w:color="53565A" w:themeColor="accent5"/>
              <w:bottom w:val="single" w:sz="4" w:space="0" w:color="53565A" w:themeColor="accent5"/>
            </w:tcBorders>
            <w:shd w:val="clear" w:color="auto" w:fill="D9D9D6" w:themeFill="accent1"/>
          </w:tcPr>
          <w:p w14:paraId="7ADD460D" w14:textId="2E20C85B" w:rsidR="00945B17" w:rsidRPr="005734B8" w:rsidRDefault="006C463E" w:rsidP="000E6F40">
            <w:pPr>
              <w:spacing w:before="120" w:after="120"/>
              <w:jc w:val="right"/>
              <w:rPr>
                <w:rFonts w:ascii="Calibri" w:eastAsiaTheme="minorEastAsia" w:hAnsi="Calibri" w:cs="Calibri"/>
                <w:sz w:val="18"/>
                <w:szCs w:val="20"/>
                <w:lang w:val="en-US"/>
              </w:rPr>
            </w:pPr>
            <w:r w:rsidRPr="006C463E">
              <w:rPr>
                <w:rFonts w:ascii="Calibri" w:eastAsiaTheme="minorEastAsia" w:hAnsi="Calibri" w:cs="Calibri"/>
                <w:sz w:val="18"/>
                <w:szCs w:val="20"/>
                <w:lang w:val="en-US"/>
              </w:rPr>
              <w:t>127</w:t>
            </w:r>
            <w:r>
              <w:rPr>
                <w:rFonts w:ascii="Calibri" w:eastAsiaTheme="minorEastAsia" w:hAnsi="Calibri" w:cs="Calibri"/>
                <w:sz w:val="18"/>
                <w:szCs w:val="20"/>
                <w:lang w:val="en-US"/>
              </w:rPr>
              <w:t>,</w:t>
            </w:r>
            <w:r w:rsidRPr="006C463E">
              <w:rPr>
                <w:rFonts w:ascii="Calibri" w:eastAsiaTheme="minorEastAsia" w:hAnsi="Calibri" w:cs="Calibri"/>
                <w:sz w:val="18"/>
                <w:szCs w:val="20"/>
                <w:lang w:val="en-US"/>
              </w:rPr>
              <w:t>876</w:t>
            </w:r>
          </w:p>
        </w:tc>
        <w:tc>
          <w:tcPr>
            <w:tcW w:w="1176" w:type="dxa"/>
            <w:tcBorders>
              <w:top w:val="single" w:sz="4" w:space="0" w:color="53565A" w:themeColor="accent5"/>
              <w:bottom w:val="single" w:sz="4" w:space="0" w:color="53565A" w:themeColor="accent5"/>
            </w:tcBorders>
            <w:shd w:val="clear" w:color="auto" w:fill="auto"/>
          </w:tcPr>
          <w:p w14:paraId="15D564AD"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135,400</w:t>
            </w:r>
          </w:p>
        </w:tc>
        <w:tc>
          <w:tcPr>
            <w:tcW w:w="1434" w:type="dxa"/>
            <w:tcBorders>
              <w:top w:val="single" w:sz="4" w:space="0" w:color="53565A" w:themeColor="accent5"/>
              <w:bottom w:val="single" w:sz="4" w:space="0" w:color="53565A" w:themeColor="accent5"/>
            </w:tcBorders>
            <w:shd w:val="clear" w:color="auto" w:fill="auto"/>
          </w:tcPr>
          <w:p w14:paraId="3683EF61" w14:textId="7623FC28"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006C463E">
              <w:rPr>
                <w:rFonts w:ascii="Calibri" w:hAnsi="Calibri" w:cs="Calibri"/>
                <w:sz w:val="18"/>
                <w:szCs w:val="16"/>
              </w:rPr>
              <w:t>5</w:t>
            </w:r>
            <w:r w:rsidRPr="005734B8">
              <w:rPr>
                <w:rFonts w:ascii="Calibri" w:eastAsiaTheme="minorEastAsia" w:hAnsi="Calibri" w:cs="Calibri"/>
                <w:sz w:val="18"/>
                <w:szCs w:val="20"/>
                <w:lang w:val="en-US"/>
              </w:rPr>
              <w:t>.</w:t>
            </w:r>
            <w:r w:rsidR="006C463E">
              <w:rPr>
                <w:rFonts w:ascii="Calibri" w:eastAsiaTheme="minorEastAsia" w:hAnsi="Calibri" w:cs="Calibri"/>
                <w:sz w:val="18"/>
                <w:szCs w:val="20"/>
                <w:lang w:val="en-US"/>
              </w:rPr>
              <w:t>6</w:t>
            </w:r>
          </w:p>
        </w:tc>
        <w:tc>
          <w:tcPr>
            <w:tcW w:w="797" w:type="dxa"/>
            <w:tcBorders>
              <w:top w:val="single" w:sz="4" w:space="0" w:color="53565A" w:themeColor="accent5"/>
              <w:bottom w:val="single" w:sz="4" w:space="0" w:color="53565A" w:themeColor="accent5"/>
            </w:tcBorders>
          </w:tcPr>
          <w:p w14:paraId="7E832E5B" w14:textId="41585710" w:rsidR="00945B17" w:rsidRPr="005734B8" w:rsidRDefault="006C463E"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6E"/>
            </w:r>
          </w:p>
        </w:tc>
      </w:tr>
      <w:tr w:rsidR="00945B17" w:rsidRPr="005734B8" w14:paraId="7FC784F9" w14:textId="77777777" w:rsidTr="000E6F40">
        <w:trPr>
          <w:cantSplit/>
        </w:trPr>
        <w:tc>
          <w:tcPr>
            <w:tcW w:w="7921" w:type="dxa"/>
            <w:gridSpan w:val="6"/>
            <w:tcBorders>
              <w:top w:val="single" w:sz="4" w:space="0" w:color="53565A" w:themeColor="accent5"/>
              <w:bottom w:val="single" w:sz="4" w:space="0" w:color="53565A" w:themeColor="accent5"/>
            </w:tcBorders>
            <w:shd w:val="clear" w:color="auto" w:fill="auto"/>
          </w:tcPr>
          <w:p w14:paraId="685E2BE9" w14:textId="47072093" w:rsidR="00945B17" w:rsidRPr="005734B8" w:rsidRDefault="00945B1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 xml:space="preserve">The above performance measure relates to the calendar year. The 2020–21 outcome is lower than the target </w:t>
            </w:r>
            <w:r w:rsidRPr="005734B8">
              <w:rPr>
                <w:rFonts w:ascii="Calibri" w:eastAsiaTheme="minorEastAsia" w:hAnsi="Calibri" w:cs="Calibri"/>
                <w:i/>
                <w:sz w:val="16"/>
                <w:lang w:val="en-US"/>
              </w:rPr>
              <w:t xml:space="preserve">due to </w:t>
            </w:r>
            <w:r w:rsidRPr="005734B8">
              <w:rPr>
                <w:rFonts w:ascii="Calibri" w:eastAsiaTheme="minorEastAsia" w:hAnsi="Calibri" w:cs="Calibri"/>
                <w:i/>
                <w:sz w:val="16"/>
                <w:szCs w:val="20"/>
                <w:lang w:val="en-US"/>
              </w:rPr>
              <w:t>reduced number of applications from parents.</w:t>
            </w:r>
          </w:p>
        </w:tc>
      </w:tr>
      <w:tr w:rsidR="00945B17" w:rsidRPr="005734B8" w14:paraId="4FC98DDA" w14:textId="77777777" w:rsidTr="000E6F40">
        <w:trPr>
          <w:cantSplit/>
        </w:trPr>
        <w:tc>
          <w:tcPr>
            <w:tcW w:w="2537" w:type="dxa"/>
            <w:tcBorders>
              <w:top w:val="single" w:sz="4" w:space="0" w:color="53565A" w:themeColor="accent5"/>
              <w:bottom w:val="single" w:sz="4" w:space="0" w:color="53565A" w:themeColor="accent5"/>
            </w:tcBorders>
            <w:shd w:val="clear" w:color="auto" w:fill="auto"/>
          </w:tcPr>
          <w:p w14:paraId="244543E9" w14:textId="77777777"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hAnsi="Calibri" w:cs="Calibri"/>
                <w:sz w:val="18"/>
              </w:rPr>
              <w:t>Eligible secondary school students in receipt of camps, sports and excursions fund</w:t>
            </w:r>
          </w:p>
        </w:tc>
        <w:tc>
          <w:tcPr>
            <w:tcW w:w="998" w:type="dxa"/>
            <w:tcBorders>
              <w:top w:val="single" w:sz="4" w:space="0" w:color="53565A" w:themeColor="accent5"/>
              <w:bottom w:val="single" w:sz="4" w:space="0" w:color="53565A" w:themeColor="accent5"/>
            </w:tcBorders>
            <w:shd w:val="clear" w:color="auto" w:fill="auto"/>
          </w:tcPr>
          <w:p w14:paraId="104B1A70" w14:textId="77777777"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hAnsi="Calibri" w:cs="Calibri"/>
                <w:sz w:val="18"/>
              </w:rPr>
              <w:t>number</w:t>
            </w:r>
          </w:p>
        </w:tc>
        <w:tc>
          <w:tcPr>
            <w:tcW w:w="979" w:type="dxa"/>
            <w:tcBorders>
              <w:top w:val="single" w:sz="4" w:space="0" w:color="53565A" w:themeColor="accent5"/>
              <w:bottom w:val="single" w:sz="4" w:space="0" w:color="53565A" w:themeColor="accent5"/>
            </w:tcBorders>
            <w:shd w:val="clear" w:color="auto" w:fill="D9D9D6" w:themeFill="accent1"/>
          </w:tcPr>
          <w:p w14:paraId="2C41F788"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95,700</w:t>
            </w:r>
          </w:p>
        </w:tc>
        <w:tc>
          <w:tcPr>
            <w:tcW w:w="1176" w:type="dxa"/>
            <w:tcBorders>
              <w:top w:val="single" w:sz="4" w:space="0" w:color="53565A" w:themeColor="accent5"/>
              <w:bottom w:val="single" w:sz="4" w:space="0" w:color="53565A" w:themeColor="accent5"/>
            </w:tcBorders>
            <w:shd w:val="clear" w:color="auto" w:fill="auto"/>
          </w:tcPr>
          <w:p w14:paraId="79C1E2C3"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91,800</w:t>
            </w:r>
          </w:p>
        </w:tc>
        <w:tc>
          <w:tcPr>
            <w:tcW w:w="1434" w:type="dxa"/>
            <w:tcBorders>
              <w:top w:val="single" w:sz="4" w:space="0" w:color="53565A" w:themeColor="accent5"/>
              <w:bottom w:val="single" w:sz="4" w:space="0" w:color="53565A" w:themeColor="accent5"/>
            </w:tcBorders>
            <w:shd w:val="clear" w:color="auto" w:fill="auto"/>
          </w:tcPr>
          <w:p w14:paraId="1E254230"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4.2</w:t>
            </w:r>
          </w:p>
        </w:tc>
        <w:tc>
          <w:tcPr>
            <w:tcW w:w="797" w:type="dxa"/>
            <w:tcBorders>
              <w:top w:val="single" w:sz="4" w:space="0" w:color="53565A" w:themeColor="accent5"/>
              <w:bottom w:val="single" w:sz="4" w:space="0" w:color="53565A" w:themeColor="accent5"/>
            </w:tcBorders>
          </w:tcPr>
          <w:p w14:paraId="1668DBEB" w14:textId="77777777" w:rsidR="00945B17" w:rsidRPr="005734B8" w:rsidRDefault="00945B1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FC"/>
            </w:r>
          </w:p>
        </w:tc>
      </w:tr>
      <w:tr w:rsidR="00945B17" w:rsidRPr="005734B8" w14:paraId="6351DE0F" w14:textId="77777777" w:rsidTr="000E6F40">
        <w:trPr>
          <w:cantSplit/>
        </w:trPr>
        <w:tc>
          <w:tcPr>
            <w:tcW w:w="7921" w:type="dxa"/>
            <w:gridSpan w:val="6"/>
            <w:tcBorders>
              <w:top w:val="single" w:sz="4" w:space="0" w:color="53565A" w:themeColor="accent5"/>
              <w:bottom w:val="single" w:sz="4" w:space="0" w:color="53565A" w:themeColor="accent5"/>
            </w:tcBorders>
            <w:shd w:val="clear" w:color="auto" w:fill="auto"/>
          </w:tcPr>
          <w:p w14:paraId="0253C8FA" w14:textId="77777777" w:rsidR="00945B17" w:rsidRPr="005734B8" w:rsidRDefault="00945B1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The above performance measure relates to the calendar year.</w:t>
            </w:r>
          </w:p>
        </w:tc>
      </w:tr>
      <w:tr w:rsidR="00945B17" w:rsidRPr="005734B8" w14:paraId="6CCB394E" w14:textId="77777777" w:rsidTr="000E6F40">
        <w:trPr>
          <w:cantSplit/>
        </w:trPr>
        <w:tc>
          <w:tcPr>
            <w:tcW w:w="2537" w:type="dxa"/>
            <w:tcBorders>
              <w:top w:val="single" w:sz="4" w:space="0" w:color="53565A" w:themeColor="accent5"/>
              <w:bottom w:val="single" w:sz="4" w:space="0" w:color="53565A" w:themeColor="accent5"/>
            </w:tcBorders>
            <w:shd w:val="clear" w:color="auto" w:fill="auto"/>
          </w:tcPr>
          <w:p w14:paraId="56C0CAFA" w14:textId="77777777"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hAnsi="Calibri" w:cs="Calibri"/>
                <w:sz w:val="18"/>
              </w:rPr>
              <w:t>Investment in student welfare and support</w:t>
            </w:r>
          </w:p>
        </w:tc>
        <w:tc>
          <w:tcPr>
            <w:tcW w:w="998" w:type="dxa"/>
            <w:tcBorders>
              <w:top w:val="single" w:sz="4" w:space="0" w:color="53565A" w:themeColor="accent5"/>
              <w:bottom w:val="single" w:sz="4" w:space="0" w:color="53565A" w:themeColor="accent5"/>
            </w:tcBorders>
            <w:shd w:val="clear" w:color="auto" w:fill="auto"/>
          </w:tcPr>
          <w:p w14:paraId="3D37CE62" w14:textId="4847B4D2"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hAnsi="Calibri" w:cs="Calibri"/>
                <w:sz w:val="18"/>
              </w:rPr>
              <w:t>$ million</w:t>
            </w:r>
          </w:p>
        </w:tc>
        <w:tc>
          <w:tcPr>
            <w:tcW w:w="979" w:type="dxa"/>
            <w:tcBorders>
              <w:top w:val="single" w:sz="4" w:space="0" w:color="53565A" w:themeColor="accent5"/>
              <w:bottom w:val="single" w:sz="4" w:space="0" w:color="53565A" w:themeColor="accent5"/>
            </w:tcBorders>
            <w:shd w:val="clear" w:color="auto" w:fill="D9D9D6" w:themeFill="accent1"/>
          </w:tcPr>
          <w:p w14:paraId="20F55F38" w14:textId="2DF5E1A8"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34</w:t>
            </w:r>
            <w:r w:rsidR="008B4075" w:rsidRPr="005734B8">
              <w:rPr>
                <w:rFonts w:ascii="Calibri" w:eastAsiaTheme="minorEastAsia" w:hAnsi="Calibri" w:cs="Calibri"/>
                <w:sz w:val="18"/>
                <w:szCs w:val="20"/>
                <w:lang w:val="en-US"/>
              </w:rPr>
              <w:t>2</w:t>
            </w:r>
            <w:r w:rsidRPr="005734B8">
              <w:rPr>
                <w:rFonts w:ascii="Calibri" w:eastAsiaTheme="minorEastAsia" w:hAnsi="Calibri" w:cs="Calibri"/>
                <w:sz w:val="18"/>
                <w:szCs w:val="20"/>
                <w:lang w:val="en-US"/>
              </w:rPr>
              <w:t>.</w:t>
            </w:r>
            <w:r w:rsidR="008B4075" w:rsidRPr="005734B8">
              <w:rPr>
                <w:rFonts w:ascii="Calibri" w:eastAsiaTheme="minorEastAsia" w:hAnsi="Calibri" w:cs="Calibri"/>
                <w:sz w:val="18"/>
                <w:szCs w:val="20"/>
                <w:lang w:val="en-US"/>
              </w:rPr>
              <w:t>4</w:t>
            </w:r>
          </w:p>
        </w:tc>
        <w:tc>
          <w:tcPr>
            <w:tcW w:w="1176" w:type="dxa"/>
            <w:tcBorders>
              <w:top w:val="single" w:sz="4" w:space="0" w:color="53565A" w:themeColor="accent5"/>
              <w:bottom w:val="single" w:sz="4" w:space="0" w:color="53565A" w:themeColor="accent5"/>
            </w:tcBorders>
            <w:shd w:val="clear" w:color="auto" w:fill="auto"/>
          </w:tcPr>
          <w:p w14:paraId="0052A41D" w14:textId="3D7C468E"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342.</w:t>
            </w:r>
            <w:r w:rsidR="0090283B">
              <w:rPr>
                <w:rFonts w:ascii="Calibri" w:eastAsiaTheme="minorEastAsia" w:hAnsi="Calibri" w:cs="Calibri"/>
                <w:sz w:val="18"/>
                <w:szCs w:val="20"/>
                <w:lang w:val="en-US"/>
              </w:rPr>
              <w:t>4</w:t>
            </w:r>
          </w:p>
        </w:tc>
        <w:tc>
          <w:tcPr>
            <w:tcW w:w="1434" w:type="dxa"/>
            <w:tcBorders>
              <w:top w:val="single" w:sz="4" w:space="0" w:color="53565A" w:themeColor="accent5"/>
              <w:bottom w:val="single" w:sz="4" w:space="0" w:color="53565A" w:themeColor="accent5"/>
            </w:tcBorders>
            <w:shd w:val="clear" w:color="auto" w:fill="auto"/>
          </w:tcPr>
          <w:p w14:paraId="7D6EABEC" w14:textId="5CA3FCF8" w:rsidR="00945B17" w:rsidRPr="005734B8" w:rsidRDefault="0090283B" w:rsidP="000E6F40">
            <w:pPr>
              <w:spacing w:before="120" w:after="120"/>
              <w:jc w:val="right"/>
              <w:rPr>
                <w:rFonts w:ascii="Calibri" w:eastAsiaTheme="minorEastAsia" w:hAnsi="Calibri" w:cs="Calibri"/>
                <w:sz w:val="18"/>
                <w:szCs w:val="20"/>
                <w:lang w:val="en-US"/>
              </w:rPr>
            </w:pPr>
            <w:r>
              <w:rPr>
                <w:rFonts w:ascii="Calibri" w:eastAsiaTheme="minorEastAsia" w:hAnsi="Calibri" w:cs="Calibri"/>
                <w:sz w:val="18"/>
                <w:szCs w:val="20"/>
                <w:lang w:val="en-US"/>
              </w:rPr>
              <w:t xml:space="preserve"> –</w:t>
            </w:r>
          </w:p>
        </w:tc>
        <w:tc>
          <w:tcPr>
            <w:tcW w:w="797" w:type="dxa"/>
            <w:tcBorders>
              <w:top w:val="single" w:sz="4" w:space="0" w:color="53565A" w:themeColor="accent5"/>
              <w:bottom w:val="single" w:sz="4" w:space="0" w:color="53565A" w:themeColor="accent5"/>
            </w:tcBorders>
          </w:tcPr>
          <w:p w14:paraId="19C67034" w14:textId="77777777" w:rsidR="00945B17" w:rsidRPr="005734B8" w:rsidRDefault="00945B1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FC"/>
            </w:r>
          </w:p>
        </w:tc>
      </w:tr>
      <w:tr w:rsidR="00945B17" w:rsidRPr="005734B8" w14:paraId="14E1BEB8" w14:textId="77777777" w:rsidTr="000E6F40">
        <w:trPr>
          <w:cantSplit/>
        </w:trPr>
        <w:tc>
          <w:tcPr>
            <w:tcW w:w="7921" w:type="dxa"/>
            <w:gridSpan w:val="6"/>
            <w:tcBorders>
              <w:top w:val="single" w:sz="4" w:space="0" w:color="53565A" w:themeColor="accent5"/>
              <w:bottom w:val="single" w:sz="4" w:space="0" w:color="53565A" w:themeColor="accent5"/>
            </w:tcBorders>
            <w:shd w:val="clear" w:color="auto" w:fill="auto"/>
          </w:tcPr>
          <w:p w14:paraId="4B624AF0" w14:textId="77777777" w:rsidR="00945B17" w:rsidRPr="005734B8" w:rsidRDefault="00945B1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No footnote required.</w:t>
            </w:r>
          </w:p>
        </w:tc>
      </w:tr>
      <w:tr w:rsidR="00945B17" w:rsidRPr="005734B8" w14:paraId="0506CFE1" w14:textId="77777777" w:rsidTr="000E6F40">
        <w:trPr>
          <w:cantSplit/>
        </w:trPr>
        <w:tc>
          <w:tcPr>
            <w:tcW w:w="2537" w:type="dxa"/>
            <w:tcBorders>
              <w:top w:val="single" w:sz="4" w:space="0" w:color="53565A" w:themeColor="accent5"/>
              <w:bottom w:val="single" w:sz="4" w:space="0" w:color="53565A" w:themeColor="accent5"/>
            </w:tcBorders>
            <w:shd w:val="clear" w:color="auto" w:fill="auto"/>
          </w:tcPr>
          <w:p w14:paraId="335E510B" w14:textId="77777777"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hAnsi="Calibri" w:cs="Calibri"/>
                <w:sz w:val="18"/>
              </w:rPr>
              <w:lastRenderedPageBreak/>
              <w:t>Investment in travelling allowances and transport support (excluding special needs students)</w:t>
            </w:r>
          </w:p>
        </w:tc>
        <w:tc>
          <w:tcPr>
            <w:tcW w:w="998" w:type="dxa"/>
            <w:tcBorders>
              <w:top w:val="single" w:sz="4" w:space="0" w:color="53565A" w:themeColor="accent5"/>
              <w:bottom w:val="single" w:sz="4" w:space="0" w:color="53565A" w:themeColor="accent5"/>
            </w:tcBorders>
            <w:shd w:val="clear" w:color="auto" w:fill="auto"/>
          </w:tcPr>
          <w:p w14:paraId="4457CF50" w14:textId="01F0B169"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hAnsi="Calibri" w:cs="Calibri"/>
                <w:sz w:val="18"/>
              </w:rPr>
              <w:t>$ million</w:t>
            </w:r>
          </w:p>
        </w:tc>
        <w:tc>
          <w:tcPr>
            <w:tcW w:w="979" w:type="dxa"/>
            <w:tcBorders>
              <w:top w:val="single" w:sz="4" w:space="0" w:color="53565A" w:themeColor="accent5"/>
              <w:bottom w:val="single" w:sz="4" w:space="0" w:color="53565A" w:themeColor="accent5"/>
            </w:tcBorders>
            <w:shd w:val="clear" w:color="auto" w:fill="D9D9D6" w:themeFill="accent1"/>
          </w:tcPr>
          <w:p w14:paraId="77B9125E" w14:textId="0D3CA229"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45.</w:t>
            </w:r>
            <w:r w:rsidR="008B4075" w:rsidRPr="005734B8">
              <w:rPr>
                <w:rFonts w:ascii="Calibri" w:eastAsiaTheme="minorEastAsia" w:hAnsi="Calibri" w:cs="Calibri"/>
                <w:sz w:val="18"/>
                <w:szCs w:val="20"/>
                <w:lang w:val="en-US"/>
              </w:rPr>
              <w:t>3</w:t>
            </w:r>
          </w:p>
        </w:tc>
        <w:tc>
          <w:tcPr>
            <w:tcW w:w="1176" w:type="dxa"/>
            <w:tcBorders>
              <w:top w:val="single" w:sz="4" w:space="0" w:color="53565A" w:themeColor="accent5"/>
              <w:bottom w:val="single" w:sz="4" w:space="0" w:color="53565A" w:themeColor="accent5"/>
            </w:tcBorders>
            <w:shd w:val="clear" w:color="auto" w:fill="auto"/>
          </w:tcPr>
          <w:p w14:paraId="120285FB" w14:textId="41E70691"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45.</w:t>
            </w:r>
            <w:r w:rsidR="0090283B">
              <w:rPr>
                <w:rFonts w:ascii="Calibri" w:eastAsiaTheme="minorEastAsia" w:hAnsi="Calibri" w:cs="Calibri"/>
                <w:sz w:val="18"/>
                <w:szCs w:val="20"/>
                <w:lang w:val="en-US"/>
              </w:rPr>
              <w:t>3</w:t>
            </w:r>
          </w:p>
        </w:tc>
        <w:tc>
          <w:tcPr>
            <w:tcW w:w="1434" w:type="dxa"/>
            <w:tcBorders>
              <w:top w:val="single" w:sz="4" w:space="0" w:color="53565A" w:themeColor="accent5"/>
              <w:bottom w:val="single" w:sz="4" w:space="0" w:color="53565A" w:themeColor="accent5"/>
            </w:tcBorders>
            <w:shd w:val="clear" w:color="auto" w:fill="auto"/>
          </w:tcPr>
          <w:p w14:paraId="05DA9BF8" w14:textId="4DCC2DAA" w:rsidR="00945B17" w:rsidRPr="005734B8" w:rsidRDefault="0090283B" w:rsidP="000E6F40">
            <w:pPr>
              <w:spacing w:before="120" w:after="120"/>
              <w:jc w:val="right"/>
              <w:rPr>
                <w:rFonts w:ascii="Calibri" w:eastAsiaTheme="minorEastAsia" w:hAnsi="Calibri" w:cs="Calibri"/>
                <w:sz w:val="18"/>
                <w:szCs w:val="20"/>
                <w:lang w:val="en-US"/>
              </w:rPr>
            </w:pPr>
            <w:r>
              <w:rPr>
                <w:rFonts w:ascii="Calibri" w:eastAsiaTheme="minorEastAsia" w:hAnsi="Calibri" w:cs="Calibri"/>
                <w:sz w:val="18"/>
                <w:szCs w:val="20"/>
                <w:lang w:val="en-US"/>
              </w:rPr>
              <w:t>–</w:t>
            </w:r>
          </w:p>
        </w:tc>
        <w:tc>
          <w:tcPr>
            <w:tcW w:w="797" w:type="dxa"/>
            <w:tcBorders>
              <w:top w:val="single" w:sz="4" w:space="0" w:color="53565A" w:themeColor="accent5"/>
              <w:bottom w:val="single" w:sz="4" w:space="0" w:color="53565A" w:themeColor="accent5"/>
            </w:tcBorders>
          </w:tcPr>
          <w:p w14:paraId="2E9E2BE6" w14:textId="1201E7A5" w:rsidR="00945B17" w:rsidRPr="005734B8" w:rsidRDefault="0088287E"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FC"/>
            </w:r>
          </w:p>
        </w:tc>
      </w:tr>
      <w:tr w:rsidR="00945B17" w:rsidRPr="005734B8" w14:paraId="48BD58A0" w14:textId="77777777" w:rsidTr="000E6F40">
        <w:trPr>
          <w:cantSplit/>
        </w:trPr>
        <w:tc>
          <w:tcPr>
            <w:tcW w:w="7921" w:type="dxa"/>
            <w:gridSpan w:val="6"/>
            <w:tcBorders>
              <w:top w:val="single" w:sz="4" w:space="0" w:color="53565A" w:themeColor="accent5"/>
              <w:bottom w:val="single" w:sz="4" w:space="0" w:color="53565A" w:themeColor="accent5"/>
            </w:tcBorders>
            <w:shd w:val="clear" w:color="auto" w:fill="auto"/>
          </w:tcPr>
          <w:p w14:paraId="71619C7D" w14:textId="77777777" w:rsidR="00945B17" w:rsidRPr="005734B8" w:rsidRDefault="00945B1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No footnote required.</w:t>
            </w:r>
          </w:p>
        </w:tc>
      </w:tr>
      <w:tr w:rsidR="00945B17" w:rsidRPr="005734B8" w14:paraId="439832D3" w14:textId="77777777" w:rsidTr="000E6F40">
        <w:trPr>
          <w:cantSplit/>
        </w:trPr>
        <w:tc>
          <w:tcPr>
            <w:tcW w:w="2537" w:type="dxa"/>
            <w:tcBorders>
              <w:top w:val="single" w:sz="4" w:space="0" w:color="53565A" w:themeColor="accent5"/>
              <w:bottom w:val="single" w:sz="4" w:space="0" w:color="53565A" w:themeColor="accent5"/>
            </w:tcBorders>
            <w:shd w:val="clear" w:color="auto" w:fill="auto"/>
          </w:tcPr>
          <w:p w14:paraId="22FDDDA6" w14:textId="77777777"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hAnsi="Calibri" w:cs="Calibri"/>
                <w:sz w:val="18"/>
              </w:rPr>
              <w:t>Health assessments of prep-aged students by school nurses</w:t>
            </w:r>
          </w:p>
        </w:tc>
        <w:tc>
          <w:tcPr>
            <w:tcW w:w="998" w:type="dxa"/>
            <w:tcBorders>
              <w:top w:val="single" w:sz="4" w:space="0" w:color="53565A" w:themeColor="accent5"/>
              <w:bottom w:val="single" w:sz="4" w:space="0" w:color="53565A" w:themeColor="accent5"/>
            </w:tcBorders>
            <w:shd w:val="clear" w:color="auto" w:fill="auto"/>
          </w:tcPr>
          <w:p w14:paraId="002CF5E3" w14:textId="77777777"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hAnsi="Calibri" w:cs="Calibri"/>
                <w:sz w:val="18"/>
              </w:rPr>
              <w:t>number</w:t>
            </w:r>
          </w:p>
        </w:tc>
        <w:tc>
          <w:tcPr>
            <w:tcW w:w="979" w:type="dxa"/>
            <w:tcBorders>
              <w:top w:val="single" w:sz="4" w:space="0" w:color="53565A" w:themeColor="accent5"/>
              <w:bottom w:val="single" w:sz="4" w:space="0" w:color="53565A" w:themeColor="accent5"/>
            </w:tcBorders>
            <w:shd w:val="clear" w:color="auto" w:fill="D9D9D6" w:themeFill="accent1"/>
          </w:tcPr>
          <w:p w14:paraId="57E1AB01"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54,138</w:t>
            </w:r>
          </w:p>
        </w:tc>
        <w:tc>
          <w:tcPr>
            <w:tcW w:w="1176" w:type="dxa"/>
            <w:tcBorders>
              <w:top w:val="single" w:sz="4" w:space="0" w:color="53565A" w:themeColor="accent5"/>
              <w:bottom w:val="single" w:sz="4" w:space="0" w:color="53565A" w:themeColor="accent5"/>
            </w:tcBorders>
            <w:shd w:val="clear" w:color="auto" w:fill="auto"/>
          </w:tcPr>
          <w:p w14:paraId="076A1F48"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70,500</w:t>
            </w:r>
          </w:p>
        </w:tc>
        <w:tc>
          <w:tcPr>
            <w:tcW w:w="1434" w:type="dxa"/>
            <w:tcBorders>
              <w:top w:val="single" w:sz="4" w:space="0" w:color="53565A" w:themeColor="accent5"/>
              <w:bottom w:val="single" w:sz="4" w:space="0" w:color="53565A" w:themeColor="accent5"/>
            </w:tcBorders>
            <w:shd w:val="clear" w:color="auto" w:fill="auto"/>
          </w:tcPr>
          <w:p w14:paraId="0D3ECDD3"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23.2</w:t>
            </w:r>
          </w:p>
        </w:tc>
        <w:tc>
          <w:tcPr>
            <w:tcW w:w="797" w:type="dxa"/>
            <w:tcBorders>
              <w:top w:val="single" w:sz="4" w:space="0" w:color="53565A" w:themeColor="accent5"/>
              <w:bottom w:val="single" w:sz="4" w:space="0" w:color="53565A" w:themeColor="accent5"/>
            </w:tcBorders>
          </w:tcPr>
          <w:p w14:paraId="3D6AC1C3" w14:textId="77777777" w:rsidR="00945B17" w:rsidRPr="005734B8" w:rsidRDefault="00945B1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6E"/>
            </w:r>
          </w:p>
        </w:tc>
      </w:tr>
      <w:tr w:rsidR="00945B17" w:rsidRPr="005734B8" w14:paraId="53E4D1E6" w14:textId="77777777" w:rsidTr="000E6F40">
        <w:trPr>
          <w:cantSplit/>
        </w:trPr>
        <w:tc>
          <w:tcPr>
            <w:tcW w:w="7921" w:type="dxa"/>
            <w:gridSpan w:val="6"/>
            <w:tcBorders>
              <w:top w:val="single" w:sz="4" w:space="0" w:color="53565A" w:themeColor="accent5"/>
              <w:bottom w:val="single" w:sz="4" w:space="0" w:color="53565A" w:themeColor="accent5"/>
            </w:tcBorders>
            <w:shd w:val="clear" w:color="auto" w:fill="auto"/>
          </w:tcPr>
          <w:p w14:paraId="40E2B274" w14:textId="40D4DDCA" w:rsidR="00945B17" w:rsidRPr="005734B8" w:rsidRDefault="00945B1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The above performance measure relates to the calendar year. The 2020–21 outcome is lower than the target</w:t>
            </w:r>
            <w:r w:rsidR="002B4693" w:rsidRPr="005734B8">
              <w:rPr>
                <w:rFonts w:ascii="Calibri" w:eastAsiaTheme="minorEastAsia" w:hAnsi="Calibri" w:cs="Calibri"/>
                <w:i/>
                <w:sz w:val="16"/>
                <w:szCs w:val="20"/>
                <w:lang w:val="en-US"/>
              </w:rPr>
              <w:t>,</w:t>
            </w:r>
            <w:r w:rsidRPr="005734B8">
              <w:rPr>
                <w:rFonts w:ascii="Calibri" w:eastAsiaTheme="minorEastAsia" w:hAnsi="Calibri" w:cs="Calibri"/>
                <w:i/>
                <w:sz w:val="16"/>
                <w:szCs w:val="20"/>
                <w:lang w:val="en-US"/>
              </w:rPr>
              <w:t xml:space="preserve"> due to the COVID-19 pandemic restricting school nursing operations.</w:t>
            </w:r>
          </w:p>
        </w:tc>
      </w:tr>
      <w:tr w:rsidR="00945B17" w:rsidRPr="005734B8" w14:paraId="7AC6789A" w14:textId="77777777" w:rsidTr="000E6F40">
        <w:trPr>
          <w:cantSplit/>
        </w:trPr>
        <w:tc>
          <w:tcPr>
            <w:tcW w:w="2537" w:type="dxa"/>
            <w:tcBorders>
              <w:top w:val="single" w:sz="4" w:space="0" w:color="53565A" w:themeColor="accent5"/>
              <w:bottom w:val="single" w:sz="4" w:space="0" w:color="53565A" w:themeColor="accent5"/>
            </w:tcBorders>
            <w:shd w:val="clear" w:color="auto" w:fill="auto"/>
          </w:tcPr>
          <w:p w14:paraId="0C554285" w14:textId="77777777"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hAnsi="Calibri" w:cs="Calibri"/>
                <w:sz w:val="18"/>
              </w:rPr>
              <w:t>School students (government) supported by conveyance allowance</w:t>
            </w:r>
          </w:p>
        </w:tc>
        <w:tc>
          <w:tcPr>
            <w:tcW w:w="998" w:type="dxa"/>
            <w:tcBorders>
              <w:top w:val="single" w:sz="4" w:space="0" w:color="53565A" w:themeColor="accent5"/>
              <w:bottom w:val="single" w:sz="4" w:space="0" w:color="53565A" w:themeColor="accent5"/>
            </w:tcBorders>
            <w:shd w:val="clear" w:color="auto" w:fill="auto"/>
          </w:tcPr>
          <w:p w14:paraId="3DE59340" w14:textId="77777777"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hAnsi="Calibri" w:cs="Calibri"/>
                <w:sz w:val="18"/>
              </w:rPr>
              <w:t>number</w:t>
            </w:r>
          </w:p>
        </w:tc>
        <w:tc>
          <w:tcPr>
            <w:tcW w:w="979" w:type="dxa"/>
            <w:tcBorders>
              <w:top w:val="single" w:sz="4" w:space="0" w:color="53565A" w:themeColor="accent5"/>
              <w:bottom w:val="single" w:sz="4" w:space="0" w:color="53565A" w:themeColor="accent5"/>
            </w:tcBorders>
            <w:shd w:val="clear" w:color="auto" w:fill="D9D9D6" w:themeFill="accent1"/>
          </w:tcPr>
          <w:p w14:paraId="2B4EDB2A"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8,655</w:t>
            </w:r>
          </w:p>
        </w:tc>
        <w:tc>
          <w:tcPr>
            <w:tcW w:w="1176" w:type="dxa"/>
            <w:tcBorders>
              <w:top w:val="single" w:sz="4" w:space="0" w:color="53565A" w:themeColor="accent5"/>
              <w:bottom w:val="single" w:sz="4" w:space="0" w:color="53565A" w:themeColor="accent5"/>
            </w:tcBorders>
            <w:shd w:val="clear" w:color="auto" w:fill="auto"/>
          </w:tcPr>
          <w:p w14:paraId="0B3A96BA"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8,750</w:t>
            </w:r>
          </w:p>
        </w:tc>
        <w:tc>
          <w:tcPr>
            <w:tcW w:w="1434" w:type="dxa"/>
            <w:tcBorders>
              <w:top w:val="single" w:sz="4" w:space="0" w:color="53565A" w:themeColor="accent5"/>
              <w:bottom w:val="single" w:sz="4" w:space="0" w:color="53565A" w:themeColor="accent5"/>
            </w:tcBorders>
            <w:shd w:val="clear" w:color="auto" w:fill="auto"/>
          </w:tcPr>
          <w:p w14:paraId="61B52773"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1.1</w:t>
            </w:r>
          </w:p>
        </w:tc>
        <w:tc>
          <w:tcPr>
            <w:tcW w:w="797" w:type="dxa"/>
            <w:tcBorders>
              <w:top w:val="single" w:sz="4" w:space="0" w:color="53565A" w:themeColor="accent5"/>
              <w:bottom w:val="single" w:sz="4" w:space="0" w:color="53565A" w:themeColor="accent5"/>
            </w:tcBorders>
          </w:tcPr>
          <w:p w14:paraId="7DB7445C"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hAnsi="Calibri" w:cs="Calibri"/>
                <w:sz w:val="18"/>
                <w:lang w:val="en-AU"/>
              </w:rPr>
              <w:sym w:font="Wingdings" w:char="F0A1"/>
            </w:r>
          </w:p>
        </w:tc>
      </w:tr>
      <w:tr w:rsidR="00945B17" w:rsidRPr="005734B8" w14:paraId="445E98E6" w14:textId="77777777" w:rsidTr="000E6F40">
        <w:trPr>
          <w:cantSplit/>
        </w:trPr>
        <w:tc>
          <w:tcPr>
            <w:tcW w:w="7921" w:type="dxa"/>
            <w:gridSpan w:val="6"/>
            <w:tcBorders>
              <w:top w:val="single" w:sz="4" w:space="0" w:color="53565A" w:themeColor="accent5"/>
              <w:bottom w:val="single" w:sz="4" w:space="0" w:color="53565A" w:themeColor="accent5"/>
            </w:tcBorders>
            <w:shd w:val="clear" w:color="auto" w:fill="auto"/>
          </w:tcPr>
          <w:p w14:paraId="2B0D9D77" w14:textId="77777777" w:rsidR="00945B17" w:rsidRPr="005734B8" w:rsidRDefault="00945B1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The above performance measure relates to the calendar year.</w:t>
            </w:r>
          </w:p>
        </w:tc>
      </w:tr>
      <w:tr w:rsidR="00945B17" w:rsidRPr="005734B8" w14:paraId="2BF6FC72" w14:textId="77777777" w:rsidTr="000E6F40">
        <w:trPr>
          <w:cantSplit/>
        </w:trPr>
        <w:tc>
          <w:tcPr>
            <w:tcW w:w="2537" w:type="dxa"/>
            <w:tcBorders>
              <w:top w:val="single" w:sz="4" w:space="0" w:color="53565A" w:themeColor="accent5"/>
              <w:bottom w:val="single" w:sz="4" w:space="0" w:color="53565A" w:themeColor="accent5"/>
            </w:tcBorders>
            <w:shd w:val="clear" w:color="auto" w:fill="auto"/>
          </w:tcPr>
          <w:p w14:paraId="7C1C9202" w14:textId="77777777" w:rsidR="00945B17" w:rsidRPr="005734B8" w:rsidRDefault="00945B17" w:rsidP="000E6F40">
            <w:pPr>
              <w:spacing w:before="120" w:after="120"/>
              <w:rPr>
                <w:rFonts w:ascii="Calibri" w:hAnsi="Calibri" w:cs="Calibri"/>
                <w:sz w:val="18"/>
                <w:szCs w:val="18"/>
              </w:rPr>
            </w:pPr>
            <w:r w:rsidRPr="005734B8">
              <w:rPr>
                <w:rFonts w:ascii="Calibri" w:hAnsi="Calibri" w:cs="Calibri"/>
                <w:sz w:val="18"/>
              </w:rPr>
              <w:t>School students (non-government) supported by conveyance allowance</w:t>
            </w:r>
          </w:p>
        </w:tc>
        <w:tc>
          <w:tcPr>
            <w:tcW w:w="998" w:type="dxa"/>
            <w:tcBorders>
              <w:top w:val="single" w:sz="4" w:space="0" w:color="53565A" w:themeColor="accent5"/>
              <w:bottom w:val="single" w:sz="4" w:space="0" w:color="53565A" w:themeColor="accent5"/>
            </w:tcBorders>
            <w:shd w:val="clear" w:color="auto" w:fill="auto"/>
          </w:tcPr>
          <w:p w14:paraId="6F1A4A7D" w14:textId="77777777"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hAnsi="Calibri" w:cs="Calibri"/>
                <w:sz w:val="18"/>
              </w:rPr>
              <w:t>number</w:t>
            </w:r>
          </w:p>
        </w:tc>
        <w:tc>
          <w:tcPr>
            <w:tcW w:w="979" w:type="dxa"/>
            <w:tcBorders>
              <w:top w:val="single" w:sz="4" w:space="0" w:color="53565A" w:themeColor="accent5"/>
              <w:bottom w:val="single" w:sz="4" w:space="0" w:color="53565A" w:themeColor="accent5"/>
            </w:tcBorders>
            <w:shd w:val="clear" w:color="auto" w:fill="D9D9D6" w:themeFill="accent1"/>
          </w:tcPr>
          <w:p w14:paraId="5EA88FAD"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28,636</w:t>
            </w:r>
          </w:p>
        </w:tc>
        <w:tc>
          <w:tcPr>
            <w:tcW w:w="1176" w:type="dxa"/>
            <w:tcBorders>
              <w:top w:val="single" w:sz="4" w:space="0" w:color="53565A" w:themeColor="accent5"/>
              <w:bottom w:val="single" w:sz="4" w:space="0" w:color="53565A" w:themeColor="accent5"/>
            </w:tcBorders>
            <w:shd w:val="clear" w:color="auto" w:fill="auto"/>
          </w:tcPr>
          <w:p w14:paraId="039CB9D7"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27,700</w:t>
            </w:r>
          </w:p>
        </w:tc>
        <w:tc>
          <w:tcPr>
            <w:tcW w:w="1434" w:type="dxa"/>
            <w:tcBorders>
              <w:top w:val="single" w:sz="4" w:space="0" w:color="53565A" w:themeColor="accent5"/>
              <w:bottom w:val="single" w:sz="4" w:space="0" w:color="53565A" w:themeColor="accent5"/>
            </w:tcBorders>
            <w:shd w:val="clear" w:color="auto" w:fill="auto"/>
          </w:tcPr>
          <w:p w14:paraId="2E92265A"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3.4</w:t>
            </w:r>
          </w:p>
        </w:tc>
        <w:tc>
          <w:tcPr>
            <w:tcW w:w="797" w:type="dxa"/>
            <w:tcBorders>
              <w:top w:val="single" w:sz="4" w:space="0" w:color="53565A" w:themeColor="accent5"/>
              <w:bottom w:val="single" w:sz="4" w:space="0" w:color="53565A" w:themeColor="accent5"/>
            </w:tcBorders>
          </w:tcPr>
          <w:p w14:paraId="37D61BD8" w14:textId="77777777" w:rsidR="00945B17" w:rsidRPr="005734B8" w:rsidRDefault="00945B1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FC"/>
            </w:r>
          </w:p>
        </w:tc>
      </w:tr>
      <w:tr w:rsidR="00945B17" w:rsidRPr="005734B8" w14:paraId="443DA2C1" w14:textId="77777777" w:rsidTr="000E6F40">
        <w:trPr>
          <w:cantSplit/>
        </w:trPr>
        <w:tc>
          <w:tcPr>
            <w:tcW w:w="7921" w:type="dxa"/>
            <w:gridSpan w:val="6"/>
            <w:tcBorders>
              <w:top w:val="single" w:sz="4" w:space="0" w:color="53565A" w:themeColor="accent5"/>
              <w:bottom w:val="single" w:sz="4" w:space="0" w:color="53565A" w:themeColor="accent5"/>
            </w:tcBorders>
            <w:shd w:val="clear" w:color="auto" w:fill="auto"/>
          </w:tcPr>
          <w:p w14:paraId="3D3F6620" w14:textId="77777777" w:rsidR="00945B17" w:rsidRPr="005734B8" w:rsidRDefault="00945B1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The above performance measure relates to the calendar year.</w:t>
            </w:r>
          </w:p>
        </w:tc>
      </w:tr>
      <w:tr w:rsidR="00945B17" w:rsidRPr="005734B8" w14:paraId="6539FD77" w14:textId="77777777" w:rsidTr="000E6F40">
        <w:trPr>
          <w:cantSplit/>
        </w:trPr>
        <w:tc>
          <w:tcPr>
            <w:tcW w:w="2537" w:type="dxa"/>
            <w:tcBorders>
              <w:top w:val="single" w:sz="4" w:space="0" w:color="53565A" w:themeColor="accent5"/>
              <w:bottom w:val="single" w:sz="4" w:space="0" w:color="53565A" w:themeColor="accent5"/>
            </w:tcBorders>
            <w:shd w:val="clear" w:color="auto" w:fill="auto"/>
          </w:tcPr>
          <w:p w14:paraId="0B99AABF" w14:textId="77777777" w:rsidR="00945B17" w:rsidRPr="005734B8" w:rsidRDefault="00945B17" w:rsidP="000E6F40">
            <w:pPr>
              <w:spacing w:before="120" w:after="120"/>
              <w:rPr>
                <w:rFonts w:ascii="Calibri" w:hAnsi="Calibri" w:cs="Calibri"/>
                <w:sz w:val="18"/>
                <w:szCs w:val="18"/>
              </w:rPr>
            </w:pPr>
            <w:r w:rsidRPr="005734B8">
              <w:rPr>
                <w:rFonts w:ascii="Calibri" w:hAnsi="Calibri" w:cs="Calibri"/>
                <w:sz w:val="18"/>
              </w:rPr>
              <w:t>Schools allocated a nurse through the secondary school nursing program</w:t>
            </w:r>
          </w:p>
        </w:tc>
        <w:tc>
          <w:tcPr>
            <w:tcW w:w="998" w:type="dxa"/>
            <w:tcBorders>
              <w:top w:val="single" w:sz="4" w:space="0" w:color="53565A" w:themeColor="accent5"/>
              <w:bottom w:val="single" w:sz="4" w:space="0" w:color="53565A" w:themeColor="accent5"/>
            </w:tcBorders>
            <w:shd w:val="clear" w:color="auto" w:fill="auto"/>
          </w:tcPr>
          <w:p w14:paraId="213812B1" w14:textId="77777777"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hAnsi="Calibri" w:cs="Calibri"/>
                <w:sz w:val="18"/>
              </w:rPr>
              <w:t>number</w:t>
            </w:r>
          </w:p>
        </w:tc>
        <w:tc>
          <w:tcPr>
            <w:tcW w:w="979" w:type="dxa"/>
            <w:tcBorders>
              <w:top w:val="single" w:sz="4" w:space="0" w:color="53565A" w:themeColor="accent5"/>
              <w:bottom w:val="single" w:sz="4" w:space="0" w:color="53565A" w:themeColor="accent5"/>
            </w:tcBorders>
            <w:shd w:val="clear" w:color="auto" w:fill="D9D9D6" w:themeFill="accent1"/>
          </w:tcPr>
          <w:p w14:paraId="7F31D7B4"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196</w:t>
            </w:r>
          </w:p>
        </w:tc>
        <w:tc>
          <w:tcPr>
            <w:tcW w:w="1176" w:type="dxa"/>
            <w:tcBorders>
              <w:top w:val="single" w:sz="4" w:space="0" w:color="53565A" w:themeColor="accent5"/>
              <w:bottom w:val="single" w:sz="4" w:space="0" w:color="53565A" w:themeColor="accent5"/>
            </w:tcBorders>
            <w:shd w:val="clear" w:color="auto" w:fill="auto"/>
          </w:tcPr>
          <w:p w14:paraId="362D1891"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198</w:t>
            </w:r>
          </w:p>
        </w:tc>
        <w:tc>
          <w:tcPr>
            <w:tcW w:w="1434" w:type="dxa"/>
            <w:tcBorders>
              <w:top w:val="single" w:sz="4" w:space="0" w:color="53565A" w:themeColor="accent5"/>
              <w:bottom w:val="single" w:sz="4" w:space="0" w:color="53565A" w:themeColor="accent5"/>
            </w:tcBorders>
            <w:shd w:val="clear" w:color="auto" w:fill="auto"/>
          </w:tcPr>
          <w:p w14:paraId="7B143608"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1.0</w:t>
            </w:r>
          </w:p>
        </w:tc>
        <w:tc>
          <w:tcPr>
            <w:tcW w:w="797" w:type="dxa"/>
            <w:tcBorders>
              <w:top w:val="single" w:sz="4" w:space="0" w:color="53565A" w:themeColor="accent5"/>
              <w:bottom w:val="single" w:sz="4" w:space="0" w:color="53565A" w:themeColor="accent5"/>
            </w:tcBorders>
          </w:tcPr>
          <w:p w14:paraId="5169DC6C" w14:textId="77777777" w:rsidR="00945B17" w:rsidRPr="005734B8" w:rsidRDefault="00945B1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A1"/>
            </w:r>
          </w:p>
        </w:tc>
      </w:tr>
      <w:tr w:rsidR="00945B17" w:rsidRPr="005734B8" w14:paraId="1140538D" w14:textId="77777777" w:rsidTr="000E6F40">
        <w:trPr>
          <w:cantSplit/>
        </w:trPr>
        <w:tc>
          <w:tcPr>
            <w:tcW w:w="7921" w:type="dxa"/>
            <w:gridSpan w:val="6"/>
            <w:tcBorders>
              <w:top w:val="single" w:sz="4" w:space="0" w:color="53565A" w:themeColor="accent5"/>
              <w:bottom w:val="single" w:sz="4" w:space="0" w:color="53565A" w:themeColor="accent5"/>
            </w:tcBorders>
            <w:shd w:val="clear" w:color="auto" w:fill="auto"/>
          </w:tcPr>
          <w:p w14:paraId="7CBD9D16" w14:textId="77777777" w:rsidR="00945B17" w:rsidRPr="005734B8" w:rsidRDefault="00945B1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The above performance measure relates to the calendar year and refers to government schools only.</w:t>
            </w:r>
          </w:p>
        </w:tc>
      </w:tr>
      <w:tr w:rsidR="00945B17" w:rsidRPr="005734B8" w14:paraId="448F8C5F" w14:textId="77777777" w:rsidTr="000E6F40">
        <w:trPr>
          <w:cantSplit/>
        </w:trPr>
        <w:tc>
          <w:tcPr>
            <w:tcW w:w="2537" w:type="dxa"/>
            <w:tcBorders>
              <w:top w:val="single" w:sz="4" w:space="0" w:color="53565A" w:themeColor="accent5"/>
              <w:bottom w:val="single" w:sz="4" w:space="0" w:color="53565A" w:themeColor="accent5"/>
            </w:tcBorders>
            <w:shd w:val="clear" w:color="auto" w:fill="auto"/>
          </w:tcPr>
          <w:p w14:paraId="6BD1F3C1" w14:textId="77777777" w:rsidR="00945B17" w:rsidRPr="005734B8" w:rsidRDefault="00945B17" w:rsidP="000E6F40">
            <w:pPr>
              <w:spacing w:before="120" w:after="120"/>
              <w:rPr>
                <w:rFonts w:ascii="Calibri" w:hAnsi="Calibri" w:cs="Calibri"/>
                <w:sz w:val="18"/>
                <w:szCs w:val="18"/>
              </w:rPr>
            </w:pPr>
            <w:r w:rsidRPr="005734B8">
              <w:rPr>
                <w:rFonts w:ascii="Calibri" w:hAnsi="Calibri" w:cs="Calibri"/>
                <w:sz w:val="18"/>
              </w:rPr>
              <w:t>Schools funded for primary welfare officers</w:t>
            </w:r>
          </w:p>
        </w:tc>
        <w:tc>
          <w:tcPr>
            <w:tcW w:w="998" w:type="dxa"/>
            <w:tcBorders>
              <w:top w:val="single" w:sz="4" w:space="0" w:color="53565A" w:themeColor="accent5"/>
              <w:bottom w:val="single" w:sz="4" w:space="0" w:color="53565A" w:themeColor="accent5"/>
            </w:tcBorders>
            <w:shd w:val="clear" w:color="auto" w:fill="auto"/>
          </w:tcPr>
          <w:p w14:paraId="70812168" w14:textId="77777777"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hAnsi="Calibri" w:cs="Calibri"/>
                <w:sz w:val="18"/>
              </w:rPr>
              <w:t>number</w:t>
            </w:r>
          </w:p>
        </w:tc>
        <w:tc>
          <w:tcPr>
            <w:tcW w:w="979" w:type="dxa"/>
            <w:tcBorders>
              <w:top w:val="single" w:sz="4" w:space="0" w:color="53565A" w:themeColor="accent5"/>
              <w:bottom w:val="single" w:sz="4" w:space="0" w:color="53565A" w:themeColor="accent5"/>
            </w:tcBorders>
            <w:shd w:val="clear" w:color="auto" w:fill="D9D9D6" w:themeFill="accent1"/>
          </w:tcPr>
          <w:p w14:paraId="24EB7B02"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802</w:t>
            </w:r>
          </w:p>
        </w:tc>
        <w:tc>
          <w:tcPr>
            <w:tcW w:w="1176" w:type="dxa"/>
            <w:tcBorders>
              <w:top w:val="single" w:sz="4" w:space="0" w:color="53565A" w:themeColor="accent5"/>
              <w:bottom w:val="single" w:sz="4" w:space="0" w:color="53565A" w:themeColor="accent5"/>
            </w:tcBorders>
            <w:shd w:val="clear" w:color="auto" w:fill="auto"/>
          </w:tcPr>
          <w:p w14:paraId="78DAC8AD"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799</w:t>
            </w:r>
          </w:p>
        </w:tc>
        <w:tc>
          <w:tcPr>
            <w:tcW w:w="1434" w:type="dxa"/>
            <w:tcBorders>
              <w:top w:val="single" w:sz="4" w:space="0" w:color="53565A" w:themeColor="accent5"/>
              <w:bottom w:val="single" w:sz="4" w:space="0" w:color="53565A" w:themeColor="accent5"/>
            </w:tcBorders>
            <w:shd w:val="clear" w:color="auto" w:fill="auto"/>
          </w:tcPr>
          <w:p w14:paraId="7C518397"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0.4</w:t>
            </w:r>
          </w:p>
        </w:tc>
        <w:tc>
          <w:tcPr>
            <w:tcW w:w="797" w:type="dxa"/>
            <w:tcBorders>
              <w:top w:val="single" w:sz="4" w:space="0" w:color="53565A" w:themeColor="accent5"/>
              <w:bottom w:val="single" w:sz="4" w:space="0" w:color="53565A" w:themeColor="accent5"/>
            </w:tcBorders>
          </w:tcPr>
          <w:p w14:paraId="5E3223AD" w14:textId="77777777" w:rsidR="00945B17" w:rsidRPr="005734B8" w:rsidRDefault="00945B17" w:rsidP="000E6F40">
            <w:pPr>
              <w:spacing w:before="120" w:after="120"/>
              <w:jc w:val="right"/>
              <w:rPr>
                <w:rFonts w:ascii="Calibri" w:hAnsi="Calibri" w:cs="Calibri"/>
                <w:sz w:val="18"/>
                <w:szCs w:val="18"/>
              </w:rPr>
            </w:pPr>
            <w:r w:rsidRPr="005734B8">
              <w:rPr>
                <w:rFonts w:ascii="Calibri" w:hAnsi="Calibri" w:cs="Calibri"/>
                <w:sz w:val="18"/>
                <w:lang w:val="en-AU"/>
              </w:rPr>
              <w:sym w:font="Wingdings" w:char="F0FC"/>
            </w:r>
          </w:p>
        </w:tc>
      </w:tr>
      <w:tr w:rsidR="00945B17" w:rsidRPr="005734B8" w14:paraId="3E823EA2" w14:textId="77777777" w:rsidTr="000E6F40">
        <w:trPr>
          <w:cantSplit/>
        </w:trPr>
        <w:tc>
          <w:tcPr>
            <w:tcW w:w="7921" w:type="dxa"/>
            <w:gridSpan w:val="6"/>
            <w:tcBorders>
              <w:top w:val="single" w:sz="4" w:space="0" w:color="53565A" w:themeColor="accent5"/>
              <w:bottom w:val="single" w:sz="4" w:space="0" w:color="53565A" w:themeColor="accent5"/>
            </w:tcBorders>
            <w:shd w:val="clear" w:color="auto" w:fill="auto"/>
          </w:tcPr>
          <w:p w14:paraId="52090143" w14:textId="77777777" w:rsidR="00945B17" w:rsidRPr="005734B8" w:rsidRDefault="00945B17" w:rsidP="000E6F40">
            <w:pPr>
              <w:spacing w:before="120" w:after="120"/>
              <w:rPr>
                <w:rFonts w:ascii="Calibri" w:eastAsiaTheme="minorEastAsia" w:hAnsi="Calibri" w:cs="Calibri"/>
                <w:i/>
                <w:color w:val="FF0000"/>
                <w:sz w:val="16"/>
                <w:szCs w:val="20"/>
                <w:lang w:val="en-US"/>
              </w:rPr>
            </w:pPr>
            <w:r w:rsidRPr="005734B8">
              <w:rPr>
                <w:rFonts w:ascii="Calibri" w:eastAsiaTheme="minorEastAsia" w:hAnsi="Calibri" w:cs="Calibri"/>
                <w:i/>
                <w:sz w:val="16"/>
                <w:szCs w:val="20"/>
                <w:lang w:val="en-US"/>
              </w:rPr>
              <w:t>The above performance measure relates to the calendar year and refers to government schools only.</w:t>
            </w:r>
          </w:p>
        </w:tc>
      </w:tr>
      <w:tr w:rsidR="00945B17" w:rsidRPr="005734B8" w14:paraId="30406133" w14:textId="77777777" w:rsidTr="000E6F40">
        <w:trPr>
          <w:cantSplit/>
        </w:trPr>
        <w:tc>
          <w:tcPr>
            <w:tcW w:w="2537" w:type="dxa"/>
            <w:tcBorders>
              <w:top w:val="single" w:sz="4" w:space="0" w:color="53565A" w:themeColor="accent5"/>
              <w:bottom w:val="single" w:sz="4" w:space="0" w:color="53565A" w:themeColor="accent5"/>
            </w:tcBorders>
            <w:shd w:val="clear" w:color="auto" w:fill="53565A" w:themeFill="accent5"/>
          </w:tcPr>
          <w:p w14:paraId="25A997C8" w14:textId="77777777" w:rsidR="00945B17" w:rsidRPr="005734B8" w:rsidRDefault="00945B17" w:rsidP="000E6F40">
            <w:pPr>
              <w:spacing w:before="80" w:after="80"/>
              <w:rPr>
                <w:rFonts w:ascii="Calibri" w:eastAsiaTheme="minorEastAsia" w:hAnsi="Calibri" w:cs="Calibri"/>
                <w:b/>
                <w:color w:val="FFFFFF" w:themeColor="background1"/>
                <w:sz w:val="18"/>
                <w:szCs w:val="18"/>
                <w:lang w:val="en-US"/>
              </w:rPr>
            </w:pPr>
            <w:r w:rsidRPr="005734B8">
              <w:rPr>
                <w:rFonts w:ascii="Calibri" w:eastAsiaTheme="minorEastAsia" w:hAnsi="Calibri" w:cs="Calibri"/>
                <w:b/>
                <w:color w:val="FFFFFF" w:themeColor="background1"/>
                <w:sz w:val="18"/>
                <w:szCs w:val="18"/>
                <w:lang w:val="en-US"/>
              </w:rPr>
              <w:t>Quality</w:t>
            </w:r>
          </w:p>
        </w:tc>
        <w:tc>
          <w:tcPr>
            <w:tcW w:w="998" w:type="dxa"/>
            <w:tcBorders>
              <w:top w:val="single" w:sz="4" w:space="0" w:color="53565A" w:themeColor="accent5"/>
              <w:bottom w:val="single" w:sz="4" w:space="0" w:color="53565A" w:themeColor="accent5"/>
            </w:tcBorders>
            <w:shd w:val="clear" w:color="auto" w:fill="53565A" w:themeFill="accent5"/>
          </w:tcPr>
          <w:p w14:paraId="76309FB5" w14:textId="77777777" w:rsidR="00945B17" w:rsidRPr="005734B8" w:rsidRDefault="00945B17" w:rsidP="000E6F40">
            <w:pPr>
              <w:spacing w:before="120" w:after="120"/>
              <w:rPr>
                <w:rFonts w:ascii="Calibri" w:eastAsiaTheme="minorEastAsia" w:hAnsi="Calibri" w:cs="Calibri"/>
                <w:sz w:val="18"/>
                <w:szCs w:val="18"/>
                <w:lang w:val="en-US"/>
              </w:rPr>
            </w:pPr>
          </w:p>
        </w:tc>
        <w:tc>
          <w:tcPr>
            <w:tcW w:w="979" w:type="dxa"/>
            <w:tcBorders>
              <w:top w:val="single" w:sz="4" w:space="0" w:color="53565A" w:themeColor="accent5"/>
              <w:bottom w:val="single" w:sz="4" w:space="0" w:color="53565A" w:themeColor="accent5"/>
            </w:tcBorders>
            <w:shd w:val="clear" w:color="auto" w:fill="53565A" w:themeFill="accent5"/>
          </w:tcPr>
          <w:p w14:paraId="426BCA9B" w14:textId="77777777" w:rsidR="00945B17" w:rsidRPr="005734B8" w:rsidRDefault="00945B17" w:rsidP="000E6F40">
            <w:pPr>
              <w:spacing w:before="120" w:after="120"/>
              <w:rPr>
                <w:rFonts w:ascii="Calibri" w:eastAsiaTheme="minorEastAsia" w:hAnsi="Calibri" w:cs="Calibri"/>
                <w:sz w:val="18"/>
                <w:szCs w:val="18"/>
                <w:lang w:val="en-US"/>
              </w:rPr>
            </w:pPr>
          </w:p>
        </w:tc>
        <w:tc>
          <w:tcPr>
            <w:tcW w:w="1176" w:type="dxa"/>
            <w:tcBorders>
              <w:top w:val="single" w:sz="4" w:space="0" w:color="53565A" w:themeColor="accent5"/>
              <w:bottom w:val="single" w:sz="4" w:space="0" w:color="53565A" w:themeColor="accent5"/>
            </w:tcBorders>
            <w:shd w:val="clear" w:color="auto" w:fill="53565A" w:themeFill="accent5"/>
          </w:tcPr>
          <w:p w14:paraId="3C486CDB" w14:textId="77777777" w:rsidR="00945B17" w:rsidRPr="005734B8" w:rsidRDefault="00945B17" w:rsidP="000E6F40">
            <w:pPr>
              <w:spacing w:before="120" w:after="120"/>
              <w:rPr>
                <w:rFonts w:ascii="Calibri" w:eastAsiaTheme="minorEastAsia" w:hAnsi="Calibri" w:cs="Calibri"/>
                <w:sz w:val="18"/>
                <w:szCs w:val="18"/>
                <w:lang w:val="en-US"/>
              </w:rPr>
            </w:pPr>
          </w:p>
        </w:tc>
        <w:tc>
          <w:tcPr>
            <w:tcW w:w="1434" w:type="dxa"/>
            <w:tcBorders>
              <w:top w:val="single" w:sz="4" w:space="0" w:color="53565A" w:themeColor="accent5"/>
              <w:bottom w:val="single" w:sz="4" w:space="0" w:color="53565A" w:themeColor="accent5"/>
            </w:tcBorders>
            <w:shd w:val="clear" w:color="auto" w:fill="53565A" w:themeFill="accent5"/>
          </w:tcPr>
          <w:p w14:paraId="4184F183" w14:textId="77777777" w:rsidR="00945B17" w:rsidRPr="005734B8" w:rsidRDefault="00945B17" w:rsidP="000E6F40">
            <w:pPr>
              <w:spacing w:before="120" w:after="120"/>
              <w:rPr>
                <w:rFonts w:ascii="Calibri" w:eastAsiaTheme="minorEastAsia" w:hAnsi="Calibri" w:cs="Calibri"/>
                <w:sz w:val="18"/>
                <w:szCs w:val="18"/>
                <w:lang w:val="en-US"/>
              </w:rPr>
            </w:pPr>
          </w:p>
        </w:tc>
        <w:tc>
          <w:tcPr>
            <w:tcW w:w="797" w:type="dxa"/>
            <w:tcBorders>
              <w:top w:val="single" w:sz="4" w:space="0" w:color="53565A" w:themeColor="accent5"/>
              <w:bottom w:val="single" w:sz="4" w:space="0" w:color="53565A" w:themeColor="accent5"/>
            </w:tcBorders>
            <w:shd w:val="clear" w:color="auto" w:fill="53565A" w:themeFill="accent5"/>
          </w:tcPr>
          <w:p w14:paraId="24321445" w14:textId="77777777" w:rsidR="00945B17" w:rsidRPr="005734B8" w:rsidRDefault="00945B17" w:rsidP="000E6F40">
            <w:pPr>
              <w:spacing w:before="120" w:after="120"/>
              <w:rPr>
                <w:rFonts w:ascii="Calibri" w:eastAsiaTheme="minorEastAsia" w:hAnsi="Calibri" w:cs="Calibri"/>
                <w:sz w:val="18"/>
                <w:szCs w:val="18"/>
                <w:lang w:val="en-US"/>
              </w:rPr>
            </w:pPr>
          </w:p>
        </w:tc>
      </w:tr>
      <w:tr w:rsidR="00945B17" w:rsidRPr="005734B8" w14:paraId="32359588" w14:textId="77777777" w:rsidTr="000E6F40">
        <w:trPr>
          <w:cantSplit/>
        </w:trPr>
        <w:tc>
          <w:tcPr>
            <w:tcW w:w="2537" w:type="dxa"/>
            <w:tcBorders>
              <w:top w:val="single" w:sz="4" w:space="0" w:color="53565A" w:themeColor="accent5"/>
              <w:bottom w:val="single" w:sz="4" w:space="0" w:color="53565A" w:themeColor="accent5"/>
            </w:tcBorders>
            <w:shd w:val="clear" w:color="auto" w:fill="auto"/>
          </w:tcPr>
          <w:p w14:paraId="30DDBBF8" w14:textId="77777777"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hAnsi="Calibri" w:cs="Calibri"/>
                <w:sz w:val="18"/>
              </w:rPr>
              <w:t>School satisfaction with student support services</w:t>
            </w:r>
          </w:p>
        </w:tc>
        <w:tc>
          <w:tcPr>
            <w:tcW w:w="998" w:type="dxa"/>
            <w:tcBorders>
              <w:top w:val="single" w:sz="4" w:space="0" w:color="53565A" w:themeColor="accent5"/>
              <w:bottom w:val="single" w:sz="4" w:space="0" w:color="53565A" w:themeColor="accent5"/>
            </w:tcBorders>
            <w:shd w:val="clear" w:color="auto" w:fill="auto"/>
          </w:tcPr>
          <w:p w14:paraId="4580D5C9" w14:textId="77777777"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hAnsi="Calibri" w:cs="Calibri"/>
                <w:sz w:val="18"/>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7A965ECD"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75.0</w:t>
            </w:r>
          </w:p>
        </w:tc>
        <w:tc>
          <w:tcPr>
            <w:tcW w:w="1176" w:type="dxa"/>
            <w:tcBorders>
              <w:top w:val="single" w:sz="4" w:space="0" w:color="53565A" w:themeColor="accent5"/>
              <w:bottom w:val="single" w:sz="4" w:space="0" w:color="53565A" w:themeColor="accent5"/>
            </w:tcBorders>
            <w:shd w:val="clear" w:color="auto" w:fill="auto"/>
          </w:tcPr>
          <w:p w14:paraId="75BFD60E"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80.0</w:t>
            </w:r>
          </w:p>
        </w:tc>
        <w:tc>
          <w:tcPr>
            <w:tcW w:w="1434" w:type="dxa"/>
            <w:tcBorders>
              <w:top w:val="single" w:sz="4" w:space="0" w:color="53565A" w:themeColor="accent5"/>
              <w:bottom w:val="single" w:sz="4" w:space="0" w:color="53565A" w:themeColor="accent5"/>
            </w:tcBorders>
            <w:shd w:val="clear" w:color="auto" w:fill="auto"/>
          </w:tcPr>
          <w:p w14:paraId="5B83D364"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6.3</w:t>
            </w:r>
          </w:p>
        </w:tc>
        <w:tc>
          <w:tcPr>
            <w:tcW w:w="797" w:type="dxa"/>
            <w:tcBorders>
              <w:top w:val="single" w:sz="4" w:space="0" w:color="53565A" w:themeColor="accent5"/>
              <w:bottom w:val="single" w:sz="4" w:space="0" w:color="53565A" w:themeColor="accent5"/>
            </w:tcBorders>
            <w:shd w:val="clear" w:color="auto" w:fill="auto"/>
          </w:tcPr>
          <w:p w14:paraId="6B518A5A" w14:textId="77777777" w:rsidR="00945B17" w:rsidRPr="005734B8" w:rsidRDefault="00945B1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6E"/>
            </w:r>
          </w:p>
        </w:tc>
      </w:tr>
      <w:tr w:rsidR="00945B17" w:rsidRPr="005734B8" w14:paraId="0B7C28DF" w14:textId="77777777" w:rsidTr="000E6F40">
        <w:trPr>
          <w:cantSplit/>
        </w:trPr>
        <w:tc>
          <w:tcPr>
            <w:tcW w:w="7921" w:type="dxa"/>
            <w:gridSpan w:val="6"/>
            <w:tcBorders>
              <w:top w:val="single" w:sz="4" w:space="0" w:color="53565A" w:themeColor="accent5"/>
              <w:bottom w:val="single" w:sz="4" w:space="0" w:color="53565A" w:themeColor="accent5"/>
            </w:tcBorders>
            <w:shd w:val="clear" w:color="auto" w:fill="auto"/>
          </w:tcPr>
          <w:p w14:paraId="4CB65F8B" w14:textId="3A83D366" w:rsidR="00945B17" w:rsidRPr="005734B8" w:rsidRDefault="00945B17" w:rsidP="000E6F40">
            <w:pPr>
              <w:spacing w:before="120" w:after="120"/>
              <w:rPr>
                <w:rFonts w:ascii="Calibri" w:eastAsiaTheme="minorEastAsia" w:hAnsi="Calibri" w:cs="Calibri"/>
                <w:i/>
                <w:color w:val="FF0000"/>
                <w:sz w:val="16"/>
                <w:szCs w:val="20"/>
                <w:lang w:val="en-US"/>
              </w:rPr>
            </w:pPr>
            <w:r w:rsidRPr="005734B8">
              <w:rPr>
                <w:rFonts w:ascii="Calibri" w:eastAsiaTheme="minorEastAsia" w:hAnsi="Calibri" w:cs="Calibri"/>
                <w:i/>
                <w:sz w:val="16"/>
                <w:szCs w:val="20"/>
                <w:lang w:val="en-US"/>
              </w:rPr>
              <w:t>The above performance measure relates to the calendar year and refers to government schools only. The 2020–21 outcome is lower than the target</w:t>
            </w:r>
            <w:r w:rsidR="00A25035" w:rsidRPr="005734B8">
              <w:rPr>
                <w:rFonts w:ascii="Calibri" w:eastAsiaTheme="minorEastAsia" w:hAnsi="Calibri" w:cs="Calibri"/>
                <w:i/>
                <w:sz w:val="16"/>
                <w:szCs w:val="20"/>
                <w:lang w:val="en-US"/>
              </w:rPr>
              <w:t>,</w:t>
            </w:r>
            <w:r w:rsidRPr="005734B8">
              <w:rPr>
                <w:rFonts w:ascii="Calibri" w:eastAsiaTheme="minorEastAsia" w:hAnsi="Calibri" w:cs="Calibri"/>
                <w:i/>
                <w:sz w:val="16"/>
                <w:szCs w:val="20"/>
                <w:lang w:val="en-US"/>
              </w:rPr>
              <w:t xml:space="preserve"> due to the COVID-19 pandemic and remote</w:t>
            </w:r>
            <w:r w:rsidR="00A25035" w:rsidRPr="005734B8">
              <w:rPr>
                <w:rFonts w:ascii="Calibri" w:eastAsiaTheme="minorEastAsia" w:hAnsi="Calibri" w:cs="Calibri"/>
                <w:i/>
                <w:sz w:val="16"/>
                <w:szCs w:val="20"/>
                <w:lang w:val="en-US"/>
              </w:rPr>
              <w:t>-</w:t>
            </w:r>
            <w:r w:rsidRPr="005734B8">
              <w:rPr>
                <w:rFonts w:ascii="Calibri" w:eastAsiaTheme="minorEastAsia" w:hAnsi="Calibri" w:cs="Calibri"/>
                <w:i/>
                <w:sz w:val="16"/>
                <w:szCs w:val="20"/>
                <w:lang w:val="en-US"/>
              </w:rPr>
              <w:t>learning requirements which changed the nature of student support services delivery to schools throughout 2020.</w:t>
            </w:r>
          </w:p>
        </w:tc>
      </w:tr>
      <w:tr w:rsidR="00945B17" w:rsidRPr="005734B8" w14:paraId="6D714F05" w14:textId="77777777" w:rsidTr="000E6F40">
        <w:trPr>
          <w:cantSplit/>
        </w:trPr>
        <w:tc>
          <w:tcPr>
            <w:tcW w:w="2537" w:type="dxa"/>
            <w:tcBorders>
              <w:top w:val="single" w:sz="4" w:space="0" w:color="53565A" w:themeColor="accent5"/>
              <w:bottom w:val="single" w:sz="4" w:space="0" w:color="53565A" w:themeColor="accent5"/>
            </w:tcBorders>
            <w:shd w:val="clear" w:color="auto" w:fill="53565A" w:themeFill="accent5"/>
          </w:tcPr>
          <w:p w14:paraId="3538B087" w14:textId="77777777" w:rsidR="00945B17" w:rsidRPr="005734B8" w:rsidRDefault="00945B17" w:rsidP="000E6F40">
            <w:pPr>
              <w:spacing w:before="120" w:after="120"/>
              <w:rPr>
                <w:rFonts w:ascii="Calibri" w:eastAsiaTheme="minorEastAsia" w:hAnsi="Calibri" w:cs="Calibri"/>
                <w:b/>
                <w:color w:val="FFFFFF" w:themeColor="background1"/>
                <w:sz w:val="18"/>
                <w:szCs w:val="18"/>
                <w:lang w:val="en-US"/>
              </w:rPr>
            </w:pPr>
            <w:r w:rsidRPr="005734B8">
              <w:rPr>
                <w:rFonts w:ascii="Calibri" w:eastAsiaTheme="minorEastAsia" w:hAnsi="Calibri" w:cs="Calibri"/>
                <w:b/>
                <w:color w:val="FFFFFF" w:themeColor="background1"/>
                <w:sz w:val="18"/>
                <w:szCs w:val="18"/>
                <w:lang w:val="en-US"/>
              </w:rPr>
              <w:t>Cost</w:t>
            </w:r>
          </w:p>
        </w:tc>
        <w:tc>
          <w:tcPr>
            <w:tcW w:w="998" w:type="dxa"/>
            <w:tcBorders>
              <w:top w:val="single" w:sz="4" w:space="0" w:color="53565A" w:themeColor="accent5"/>
              <w:bottom w:val="single" w:sz="4" w:space="0" w:color="53565A" w:themeColor="accent5"/>
            </w:tcBorders>
            <w:shd w:val="clear" w:color="auto" w:fill="53565A" w:themeFill="accent5"/>
          </w:tcPr>
          <w:p w14:paraId="5AD909C0" w14:textId="77777777" w:rsidR="00945B17" w:rsidRPr="005734B8" w:rsidRDefault="00945B17" w:rsidP="000E6F40">
            <w:pPr>
              <w:spacing w:before="120" w:after="120"/>
              <w:rPr>
                <w:rFonts w:ascii="Calibri" w:eastAsiaTheme="minorEastAsia" w:hAnsi="Calibri" w:cs="Calibri"/>
                <w:b/>
                <w:color w:val="FFFFFF" w:themeColor="background1"/>
                <w:sz w:val="18"/>
                <w:szCs w:val="18"/>
                <w:lang w:val="en-US"/>
              </w:rPr>
            </w:pPr>
          </w:p>
        </w:tc>
        <w:tc>
          <w:tcPr>
            <w:tcW w:w="979" w:type="dxa"/>
            <w:tcBorders>
              <w:top w:val="single" w:sz="4" w:space="0" w:color="53565A" w:themeColor="accent5"/>
              <w:bottom w:val="single" w:sz="4" w:space="0" w:color="53565A" w:themeColor="accent5"/>
            </w:tcBorders>
            <w:shd w:val="clear" w:color="auto" w:fill="53565A" w:themeFill="accent5"/>
          </w:tcPr>
          <w:p w14:paraId="5357FB5E" w14:textId="77777777" w:rsidR="00945B17" w:rsidRPr="005734B8" w:rsidRDefault="00945B17" w:rsidP="000E6F40">
            <w:pPr>
              <w:spacing w:before="120" w:after="120"/>
              <w:rPr>
                <w:rFonts w:ascii="Calibri" w:eastAsiaTheme="minorEastAsia" w:hAnsi="Calibri" w:cs="Calibri"/>
                <w:b/>
                <w:color w:val="FFFFFF" w:themeColor="background1"/>
                <w:sz w:val="18"/>
                <w:szCs w:val="18"/>
                <w:lang w:val="en-US"/>
              </w:rPr>
            </w:pPr>
          </w:p>
        </w:tc>
        <w:tc>
          <w:tcPr>
            <w:tcW w:w="1176" w:type="dxa"/>
            <w:tcBorders>
              <w:top w:val="single" w:sz="4" w:space="0" w:color="53565A" w:themeColor="accent5"/>
              <w:bottom w:val="single" w:sz="4" w:space="0" w:color="53565A" w:themeColor="accent5"/>
            </w:tcBorders>
            <w:shd w:val="clear" w:color="auto" w:fill="53565A" w:themeFill="accent5"/>
          </w:tcPr>
          <w:p w14:paraId="71531F36" w14:textId="77777777" w:rsidR="00945B17" w:rsidRPr="005734B8" w:rsidRDefault="00945B17" w:rsidP="000E6F40">
            <w:pPr>
              <w:spacing w:before="120" w:after="120"/>
              <w:rPr>
                <w:rFonts w:ascii="Calibri" w:eastAsiaTheme="minorEastAsia" w:hAnsi="Calibri" w:cs="Calibri"/>
                <w:b/>
                <w:color w:val="FFFFFF" w:themeColor="background1"/>
                <w:sz w:val="18"/>
                <w:szCs w:val="18"/>
                <w:lang w:val="en-US"/>
              </w:rPr>
            </w:pPr>
          </w:p>
        </w:tc>
        <w:tc>
          <w:tcPr>
            <w:tcW w:w="1434" w:type="dxa"/>
            <w:tcBorders>
              <w:top w:val="single" w:sz="4" w:space="0" w:color="53565A" w:themeColor="accent5"/>
              <w:bottom w:val="single" w:sz="4" w:space="0" w:color="53565A" w:themeColor="accent5"/>
            </w:tcBorders>
            <w:shd w:val="clear" w:color="auto" w:fill="53565A" w:themeFill="accent5"/>
          </w:tcPr>
          <w:p w14:paraId="1CE14132" w14:textId="77777777" w:rsidR="00945B17" w:rsidRPr="005734B8" w:rsidRDefault="00945B17" w:rsidP="000E6F40">
            <w:pPr>
              <w:spacing w:before="120" w:after="120"/>
              <w:rPr>
                <w:rFonts w:ascii="Calibri" w:eastAsiaTheme="minorEastAsia" w:hAnsi="Calibri" w:cs="Calibri"/>
                <w:b/>
                <w:color w:val="FFFFFF" w:themeColor="background1"/>
                <w:sz w:val="18"/>
                <w:szCs w:val="18"/>
                <w:lang w:val="en-US"/>
              </w:rPr>
            </w:pPr>
          </w:p>
        </w:tc>
        <w:tc>
          <w:tcPr>
            <w:tcW w:w="797" w:type="dxa"/>
            <w:tcBorders>
              <w:top w:val="single" w:sz="4" w:space="0" w:color="53565A" w:themeColor="accent5"/>
              <w:bottom w:val="single" w:sz="4" w:space="0" w:color="53565A" w:themeColor="accent5"/>
            </w:tcBorders>
            <w:shd w:val="clear" w:color="auto" w:fill="53565A" w:themeFill="accent5"/>
          </w:tcPr>
          <w:p w14:paraId="088EE845" w14:textId="77777777" w:rsidR="00945B17" w:rsidRPr="005734B8" w:rsidRDefault="00945B17" w:rsidP="000E6F40">
            <w:pPr>
              <w:spacing w:before="120" w:after="120"/>
              <w:rPr>
                <w:rFonts w:ascii="Calibri" w:eastAsiaTheme="minorEastAsia" w:hAnsi="Calibri" w:cs="Calibri"/>
                <w:b/>
                <w:color w:val="FFFFFF" w:themeColor="background1"/>
                <w:sz w:val="18"/>
                <w:szCs w:val="18"/>
                <w:lang w:val="en-US"/>
              </w:rPr>
            </w:pPr>
          </w:p>
        </w:tc>
      </w:tr>
      <w:tr w:rsidR="00945B17" w:rsidRPr="005734B8" w14:paraId="4A9965A0" w14:textId="77777777" w:rsidTr="000E6F40">
        <w:trPr>
          <w:cantSplit/>
        </w:trPr>
        <w:tc>
          <w:tcPr>
            <w:tcW w:w="2537" w:type="dxa"/>
            <w:tcBorders>
              <w:top w:val="single" w:sz="4" w:space="0" w:color="53565A" w:themeColor="accent5"/>
              <w:bottom w:val="single" w:sz="4" w:space="0" w:color="53565A" w:themeColor="accent5"/>
            </w:tcBorders>
            <w:shd w:val="clear" w:color="auto" w:fill="auto"/>
          </w:tcPr>
          <w:p w14:paraId="2EF1563F" w14:textId="59BE58D4"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hAnsi="Calibri" w:cs="Calibri"/>
                <w:sz w:val="18"/>
              </w:rPr>
              <w:t>Total output cost</w:t>
            </w:r>
          </w:p>
        </w:tc>
        <w:tc>
          <w:tcPr>
            <w:tcW w:w="998" w:type="dxa"/>
            <w:tcBorders>
              <w:top w:val="single" w:sz="4" w:space="0" w:color="53565A" w:themeColor="accent5"/>
              <w:bottom w:val="single" w:sz="4" w:space="0" w:color="53565A" w:themeColor="accent5"/>
            </w:tcBorders>
            <w:shd w:val="clear" w:color="auto" w:fill="auto"/>
          </w:tcPr>
          <w:p w14:paraId="7B868A39" w14:textId="77777777"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hAnsi="Calibri" w:cs="Calibri"/>
                <w:sz w:val="18"/>
              </w:rPr>
              <w:t>$ million</w:t>
            </w:r>
          </w:p>
        </w:tc>
        <w:tc>
          <w:tcPr>
            <w:tcW w:w="979" w:type="dxa"/>
            <w:tcBorders>
              <w:top w:val="single" w:sz="4" w:space="0" w:color="53565A" w:themeColor="accent5"/>
              <w:bottom w:val="single" w:sz="4" w:space="0" w:color="53565A" w:themeColor="accent5"/>
            </w:tcBorders>
            <w:shd w:val="clear" w:color="auto" w:fill="D9D9D6" w:themeFill="accent1"/>
          </w:tcPr>
          <w:p w14:paraId="737196A7" w14:textId="7AA0747D" w:rsidR="00945B17" w:rsidRPr="005734B8" w:rsidRDefault="008B4075" w:rsidP="000E6F40">
            <w:pPr>
              <w:spacing w:before="120" w:after="120"/>
              <w:jc w:val="right"/>
              <w:rPr>
                <w:rFonts w:ascii="Calibri" w:eastAsiaTheme="minorEastAsia" w:hAnsi="Calibri" w:cs="Calibri"/>
                <w:sz w:val="18"/>
                <w:szCs w:val="18"/>
                <w:lang w:val="en-US"/>
              </w:rPr>
            </w:pPr>
            <w:r w:rsidRPr="005734B8">
              <w:rPr>
                <w:rFonts w:ascii="Calibri" w:eastAsiaTheme="minorEastAsia" w:hAnsi="Calibri" w:cs="Calibri"/>
                <w:sz w:val="18"/>
                <w:szCs w:val="18"/>
                <w:lang w:val="en-US"/>
              </w:rPr>
              <w:t>387.7</w:t>
            </w:r>
          </w:p>
        </w:tc>
        <w:tc>
          <w:tcPr>
            <w:tcW w:w="1176" w:type="dxa"/>
            <w:tcBorders>
              <w:top w:val="single" w:sz="4" w:space="0" w:color="53565A" w:themeColor="accent5"/>
              <w:bottom w:val="single" w:sz="4" w:space="0" w:color="53565A" w:themeColor="accent5"/>
            </w:tcBorders>
            <w:shd w:val="clear" w:color="auto" w:fill="auto"/>
          </w:tcPr>
          <w:p w14:paraId="67AD7EE0" w14:textId="77777777" w:rsidR="00945B17" w:rsidRPr="005734B8" w:rsidRDefault="00945B17" w:rsidP="000E6F40">
            <w:pPr>
              <w:spacing w:before="120" w:after="120"/>
              <w:jc w:val="right"/>
              <w:rPr>
                <w:rFonts w:ascii="Calibri" w:eastAsiaTheme="minorEastAsia" w:hAnsi="Calibri" w:cs="Calibri"/>
                <w:sz w:val="18"/>
                <w:szCs w:val="18"/>
                <w:lang w:val="en-US"/>
              </w:rPr>
            </w:pPr>
            <w:r w:rsidRPr="005734B8">
              <w:rPr>
                <w:rFonts w:ascii="Calibri" w:eastAsiaTheme="minorEastAsia" w:hAnsi="Calibri" w:cs="Calibri"/>
                <w:sz w:val="18"/>
                <w:szCs w:val="18"/>
                <w:lang w:val="en-US"/>
              </w:rPr>
              <w:t>387.7</w:t>
            </w:r>
          </w:p>
        </w:tc>
        <w:tc>
          <w:tcPr>
            <w:tcW w:w="1434" w:type="dxa"/>
            <w:tcBorders>
              <w:top w:val="single" w:sz="4" w:space="0" w:color="53565A" w:themeColor="accent5"/>
              <w:bottom w:val="single" w:sz="4" w:space="0" w:color="53565A" w:themeColor="accent5"/>
            </w:tcBorders>
          </w:tcPr>
          <w:p w14:paraId="05E93B1C" w14:textId="0C1D9DD0" w:rsidR="00945B17" w:rsidRPr="005734B8" w:rsidRDefault="008B4075" w:rsidP="000E6F40">
            <w:pPr>
              <w:spacing w:before="120" w:after="120"/>
              <w:jc w:val="right"/>
              <w:rPr>
                <w:rFonts w:ascii="Calibri" w:eastAsiaTheme="minorEastAsia" w:hAnsi="Calibri" w:cs="Calibri"/>
                <w:sz w:val="18"/>
                <w:szCs w:val="18"/>
                <w:lang w:val="en-US"/>
              </w:rPr>
            </w:pPr>
            <w:r w:rsidRPr="005734B8">
              <w:rPr>
                <w:rFonts w:ascii="Calibri" w:eastAsiaTheme="minorEastAsia" w:hAnsi="Calibri" w:cs="Calibri"/>
                <w:sz w:val="18"/>
                <w:szCs w:val="18"/>
                <w:lang w:val="en-US"/>
              </w:rPr>
              <w:t>–</w:t>
            </w:r>
          </w:p>
        </w:tc>
        <w:tc>
          <w:tcPr>
            <w:tcW w:w="797" w:type="dxa"/>
            <w:tcBorders>
              <w:top w:val="single" w:sz="4" w:space="0" w:color="53565A" w:themeColor="accent5"/>
              <w:bottom w:val="single" w:sz="4" w:space="0" w:color="53565A" w:themeColor="accent5"/>
            </w:tcBorders>
          </w:tcPr>
          <w:p w14:paraId="5F8D4B94" w14:textId="048CB2DE" w:rsidR="00945B17" w:rsidRPr="005734B8" w:rsidRDefault="008B4075"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FC"/>
            </w:r>
          </w:p>
        </w:tc>
      </w:tr>
      <w:tr w:rsidR="00945B17" w:rsidRPr="005734B8" w14:paraId="1BD1AA4F" w14:textId="77777777" w:rsidTr="000E6F40">
        <w:trPr>
          <w:cantSplit/>
        </w:trPr>
        <w:tc>
          <w:tcPr>
            <w:tcW w:w="7921" w:type="dxa"/>
            <w:gridSpan w:val="6"/>
            <w:tcBorders>
              <w:top w:val="single" w:sz="4" w:space="0" w:color="53565A" w:themeColor="accent5"/>
              <w:bottom w:val="single" w:sz="4" w:space="0" w:color="53565A" w:themeColor="accent5"/>
            </w:tcBorders>
            <w:shd w:val="clear" w:color="auto" w:fill="auto"/>
          </w:tcPr>
          <w:p w14:paraId="79DC8470" w14:textId="699B61D8" w:rsidR="00945B17" w:rsidRPr="005734B8" w:rsidRDefault="008B4075" w:rsidP="000E6F40">
            <w:pPr>
              <w:spacing w:before="120" w:after="120"/>
              <w:rPr>
                <w:rFonts w:ascii="Calibri" w:eastAsiaTheme="minorEastAsia" w:hAnsi="Calibri" w:cs="Calibri"/>
                <w:i/>
                <w:sz w:val="16"/>
                <w:szCs w:val="16"/>
                <w:lang w:val="en-US"/>
              </w:rPr>
            </w:pPr>
            <w:r w:rsidRPr="005734B8">
              <w:rPr>
                <w:rFonts w:ascii="Calibri" w:eastAsiaTheme="minorEastAsia" w:hAnsi="Calibri" w:cs="Calibri"/>
                <w:i/>
                <w:sz w:val="16"/>
                <w:szCs w:val="20"/>
                <w:lang w:val="en-US"/>
              </w:rPr>
              <w:t>No footnote required.</w:t>
            </w:r>
          </w:p>
        </w:tc>
      </w:tr>
    </w:tbl>
    <w:tbl>
      <w:tblPr>
        <w:tblStyle w:val="TableGrid"/>
        <w:tblW w:w="4857"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
        <w:gridCol w:w="3367"/>
        <w:gridCol w:w="2177"/>
        <w:gridCol w:w="2245"/>
      </w:tblGrid>
      <w:tr w:rsidR="00945B17" w:rsidRPr="005734B8" w14:paraId="4FC74AA7" w14:textId="77777777" w:rsidTr="000E6F40">
        <w:trPr>
          <w:cantSplit/>
        </w:trPr>
        <w:tc>
          <w:tcPr>
            <w:tcW w:w="846" w:type="dxa"/>
            <w:tcBorders>
              <w:top w:val="single" w:sz="4" w:space="0" w:color="53565A" w:themeColor="accent5"/>
              <w:bottom w:val="single" w:sz="4" w:space="0" w:color="53565A" w:themeColor="accent5"/>
            </w:tcBorders>
            <w:shd w:val="clear" w:color="auto" w:fill="auto"/>
          </w:tcPr>
          <w:p w14:paraId="557F68A6" w14:textId="77777777" w:rsidR="00945B17" w:rsidRPr="005734B8" w:rsidRDefault="00945B17" w:rsidP="000E6F40">
            <w:pPr>
              <w:pStyle w:val="ESTablenumberrightaligned"/>
              <w:jc w:val="left"/>
              <w:rPr>
                <w:rFonts w:ascii="Calibri" w:hAnsi="Calibri" w:cs="Calibri"/>
                <w:sz w:val="18"/>
              </w:rPr>
            </w:pPr>
            <w:r w:rsidRPr="005734B8">
              <w:rPr>
                <w:rFonts w:ascii="Calibri" w:hAnsi="Calibri" w:cs="Calibri"/>
                <w:sz w:val="18"/>
                <w:lang w:val="en-AU"/>
              </w:rPr>
              <w:t>Key:</w:t>
            </w:r>
          </w:p>
        </w:tc>
        <w:tc>
          <w:tcPr>
            <w:tcW w:w="2960" w:type="dxa"/>
            <w:tcBorders>
              <w:top w:val="single" w:sz="4" w:space="0" w:color="53565A" w:themeColor="accent5"/>
              <w:bottom w:val="single" w:sz="4" w:space="0" w:color="53565A" w:themeColor="accent5"/>
            </w:tcBorders>
            <w:shd w:val="clear" w:color="auto" w:fill="auto"/>
          </w:tcPr>
          <w:p w14:paraId="13DE7AE1" w14:textId="77777777" w:rsidR="00945B17" w:rsidRPr="005734B8" w:rsidRDefault="00945B17" w:rsidP="000E6F40">
            <w:pPr>
              <w:pStyle w:val="ESTablenumberrightaligned"/>
              <w:rPr>
                <w:rFonts w:ascii="Calibri" w:hAnsi="Calibri" w:cs="Calibri"/>
                <w:sz w:val="18"/>
              </w:rPr>
            </w:pPr>
            <w:r w:rsidRPr="005734B8">
              <w:rPr>
                <w:rFonts w:ascii="Calibri" w:hAnsi="Calibri" w:cs="Calibri"/>
                <w:sz w:val="18"/>
                <w:lang w:val="en-AU"/>
              </w:rPr>
              <w:sym w:font="Wingdings" w:char="F0FC"/>
            </w:r>
            <w:r w:rsidRPr="005734B8">
              <w:rPr>
                <w:rFonts w:ascii="Calibri" w:hAnsi="Calibri" w:cs="Calibri"/>
                <w:sz w:val="18"/>
                <w:lang w:val="en-AU"/>
              </w:rPr>
              <w:t xml:space="preserve"> Target achieved or exceeded</w:t>
            </w:r>
          </w:p>
        </w:tc>
        <w:tc>
          <w:tcPr>
            <w:tcW w:w="1914" w:type="dxa"/>
            <w:tcBorders>
              <w:top w:val="single" w:sz="4" w:space="0" w:color="53565A" w:themeColor="accent5"/>
              <w:bottom w:val="single" w:sz="4" w:space="0" w:color="53565A" w:themeColor="accent5"/>
            </w:tcBorders>
            <w:shd w:val="clear" w:color="auto" w:fill="auto"/>
          </w:tcPr>
          <w:p w14:paraId="591CC3A8" w14:textId="0823898E" w:rsidR="00945B17" w:rsidRPr="005734B8" w:rsidRDefault="00945B17" w:rsidP="000E6F40">
            <w:pPr>
              <w:pStyle w:val="ESTablenumberrightaligned"/>
              <w:rPr>
                <w:rFonts w:ascii="Calibri" w:hAnsi="Calibri" w:cs="Calibri"/>
                <w:sz w:val="18"/>
              </w:rPr>
            </w:pPr>
            <w:r w:rsidRPr="005734B8">
              <w:rPr>
                <w:rFonts w:ascii="Calibri" w:hAnsi="Calibri" w:cs="Calibri"/>
                <w:sz w:val="18"/>
                <w:lang w:val="en-AU"/>
              </w:rPr>
              <w:sym w:font="Wingdings" w:char="F0A1"/>
            </w:r>
            <w:r w:rsidRPr="005734B8">
              <w:rPr>
                <w:rFonts w:ascii="Calibri" w:hAnsi="Calibri" w:cs="Calibri"/>
                <w:sz w:val="18"/>
                <w:lang w:val="en-AU"/>
              </w:rPr>
              <w:t xml:space="preserve"> Target not achieved—</w:t>
            </w:r>
            <w:r w:rsidR="002B3946" w:rsidRPr="005734B8">
              <w:rPr>
                <w:rFonts w:ascii="Calibri" w:hAnsi="Calibri" w:cs="Calibri"/>
                <w:sz w:val="18"/>
                <w:lang w:val="en-AU"/>
              </w:rPr>
              <w:t>less than</w:t>
            </w:r>
            <w:r w:rsidRPr="005734B8">
              <w:rPr>
                <w:rFonts w:ascii="Calibri" w:hAnsi="Calibri" w:cs="Calibri"/>
                <w:sz w:val="18"/>
                <w:lang w:val="en-AU"/>
              </w:rPr>
              <w:t xml:space="preserve"> 5% variance</w:t>
            </w:r>
          </w:p>
        </w:tc>
        <w:tc>
          <w:tcPr>
            <w:tcW w:w="1974" w:type="dxa"/>
            <w:tcBorders>
              <w:top w:val="single" w:sz="4" w:space="0" w:color="53565A" w:themeColor="accent5"/>
              <w:bottom w:val="single" w:sz="4" w:space="0" w:color="53565A" w:themeColor="accent5"/>
            </w:tcBorders>
            <w:shd w:val="clear" w:color="auto" w:fill="auto"/>
          </w:tcPr>
          <w:p w14:paraId="3F8AED88" w14:textId="77777777" w:rsidR="00945B17" w:rsidRPr="005734B8" w:rsidRDefault="00945B17" w:rsidP="000E6F40">
            <w:pPr>
              <w:pStyle w:val="ESTablenumberrightaligned"/>
              <w:rPr>
                <w:rFonts w:ascii="Calibri" w:hAnsi="Calibri" w:cs="Calibri"/>
                <w:sz w:val="18"/>
              </w:rPr>
            </w:pPr>
            <w:r w:rsidRPr="005734B8">
              <w:rPr>
                <w:rFonts w:ascii="Calibri" w:hAnsi="Calibri" w:cs="Calibri"/>
                <w:sz w:val="18"/>
                <w:lang w:val="en-AU"/>
              </w:rPr>
              <w:sym w:font="Wingdings" w:char="F06E"/>
            </w:r>
            <w:r w:rsidRPr="005734B8">
              <w:rPr>
                <w:rFonts w:ascii="Calibri" w:hAnsi="Calibri" w:cs="Calibri"/>
                <w:sz w:val="18"/>
                <w:lang w:val="en-AU"/>
              </w:rPr>
              <w:t xml:space="preserve"> Target not achieved—more than 5% variance</w:t>
            </w:r>
          </w:p>
        </w:tc>
      </w:tr>
    </w:tbl>
    <w:p w14:paraId="4D61C8F7" w14:textId="7FE86EFF" w:rsidR="00371C0C" w:rsidRPr="005734B8" w:rsidRDefault="00371C0C" w:rsidP="00366AA2">
      <w:pPr>
        <w:rPr>
          <w:rFonts w:ascii="Calibri" w:hAnsi="Calibri" w:cs="Calibri"/>
        </w:rPr>
      </w:pPr>
      <w:bookmarkStart w:id="220" w:name="_Hlk78211755"/>
      <w:r w:rsidRPr="005734B8">
        <w:rPr>
          <w:rFonts w:ascii="Calibri" w:hAnsi="Calibri" w:cs="Calibri"/>
        </w:rPr>
        <w:br w:type="page"/>
      </w:r>
    </w:p>
    <w:p w14:paraId="5CA7FEE0" w14:textId="77777777" w:rsidR="00945B17" w:rsidRPr="005734B8" w:rsidRDefault="00945B17" w:rsidP="00945B17">
      <w:pPr>
        <w:pStyle w:val="ESHeading3"/>
        <w:ind w:left="0" w:firstLine="0"/>
        <w:rPr>
          <w:rFonts w:ascii="Calibri" w:hAnsi="Calibri" w:cs="Calibri"/>
          <w:szCs w:val="22"/>
          <w:lang w:val="en-AU"/>
        </w:rPr>
      </w:pPr>
      <w:r w:rsidRPr="005734B8">
        <w:rPr>
          <w:rFonts w:ascii="Calibri" w:hAnsi="Calibri" w:cs="Calibri"/>
          <w:szCs w:val="22"/>
          <w:lang w:val="en-AU"/>
        </w:rPr>
        <w:lastRenderedPageBreak/>
        <w:t>Support for students with disabilities</w:t>
      </w:r>
    </w:p>
    <w:p w14:paraId="33E9BFE7" w14:textId="49C8C46E" w:rsidR="00945B17" w:rsidRPr="005734B8" w:rsidRDefault="00945B17" w:rsidP="00945B17">
      <w:pPr>
        <w:rPr>
          <w:rFonts w:ascii="Calibri" w:hAnsi="Calibri" w:cs="Calibri"/>
        </w:rPr>
      </w:pPr>
      <w:r w:rsidRPr="005734B8">
        <w:rPr>
          <w:rFonts w:ascii="Calibri" w:hAnsi="Calibri" w:cs="Calibri"/>
        </w:rPr>
        <w:t>The Support for Students with Disabilities output covers programs and funding to support students with disabilities</w:t>
      </w:r>
      <w:r w:rsidR="000F1C4F" w:rsidRPr="005734B8">
        <w:rPr>
          <w:rFonts w:ascii="Calibri" w:hAnsi="Calibri" w:cs="Calibri"/>
        </w:rPr>
        <w:t>,</w:t>
      </w:r>
      <w:r w:rsidRPr="005734B8">
        <w:rPr>
          <w:rFonts w:ascii="Calibri" w:hAnsi="Calibri" w:cs="Calibri"/>
        </w:rPr>
        <w:t xml:space="preserve"> as well as transport, welfare and support services for students with special needs.</w:t>
      </w:r>
    </w:p>
    <w:bookmarkEnd w:id="220"/>
    <w:p w14:paraId="2973C34E" w14:textId="77777777" w:rsidR="00945B17" w:rsidRPr="005734B8" w:rsidRDefault="00945B17" w:rsidP="00945B17">
      <w:pPr>
        <w:pStyle w:val="ESTableintroheading"/>
        <w:keepNext w:val="0"/>
        <w:rPr>
          <w:rFonts w:ascii="Calibri" w:hAnsi="Calibri" w:cs="Calibri"/>
          <w:lang w:val="en-AU"/>
        </w:rPr>
      </w:pPr>
      <w:r w:rsidRPr="005734B8">
        <w:rPr>
          <w:rFonts w:ascii="Calibri" w:hAnsi="Calibri" w:cs="Calibri"/>
          <w:lang w:val="en-AU"/>
        </w:rPr>
        <w:t>Support for students with disabilities performance measures</w:t>
      </w:r>
    </w:p>
    <w:tbl>
      <w:tblPr>
        <w:tblStyle w:val="TableGrid4"/>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85"/>
        <w:gridCol w:w="1135"/>
        <w:gridCol w:w="1114"/>
        <w:gridCol w:w="1338"/>
        <w:gridCol w:w="1631"/>
        <w:gridCol w:w="907"/>
      </w:tblGrid>
      <w:tr w:rsidR="00945B17" w:rsidRPr="005734B8" w14:paraId="2DC89064" w14:textId="77777777" w:rsidTr="00C94DC0">
        <w:trPr>
          <w:cantSplit/>
          <w:trHeight w:val="242"/>
          <w:tblHeader/>
        </w:trPr>
        <w:tc>
          <w:tcPr>
            <w:tcW w:w="2885" w:type="dxa"/>
            <w:tcBorders>
              <w:bottom w:val="single" w:sz="4" w:space="0" w:color="FFFFFF" w:themeColor="background1"/>
            </w:tcBorders>
            <w:shd w:val="clear" w:color="auto" w:fill="AF272F" w:themeFill="accent4"/>
          </w:tcPr>
          <w:p w14:paraId="59185EA0" w14:textId="77777777" w:rsidR="00945B17" w:rsidRPr="005734B8" w:rsidRDefault="00945B17" w:rsidP="000E6F40">
            <w:pPr>
              <w:spacing w:before="80" w:after="80"/>
              <w:rPr>
                <w:rFonts w:ascii="Calibri" w:eastAsiaTheme="minorEastAsia" w:hAnsi="Calibri" w:cs="Calibri"/>
                <w:b/>
                <w:color w:val="FFFFFF" w:themeColor="background1"/>
                <w:sz w:val="19"/>
                <w:szCs w:val="18"/>
                <w:lang w:val="en-US"/>
              </w:rPr>
            </w:pPr>
            <w:r w:rsidRPr="005734B8">
              <w:rPr>
                <w:rFonts w:ascii="Calibri" w:eastAsiaTheme="minorEastAsia" w:hAnsi="Calibri" w:cs="Calibri"/>
                <w:b/>
                <w:color w:val="FFFFFF" w:themeColor="background1"/>
                <w:sz w:val="19"/>
                <w:szCs w:val="18"/>
                <w:lang w:val="en-US"/>
              </w:rPr>
              <w:t>Performance measures</w:t>
            </w:r>
          </w:p>
        </w:tc>
        <w:tc>
          <w:tcPr>
            <w:tcW w:w="1135" w:type="dxa"/>
            <w:tcBorders>
              <w:bottom w:val="single" w:sz="4" w:space="0" w:color="FFFFFF" w:themeColor="background1"/>
            </w:tcBorders>
            <w:shd w:val="clear" w:color="auto" w:fill="AF272F" w:themeFill="accent4"/>
          </w:tcPr>
          <w:p w14:paraId="16F3116B" w14:textId="77777777" w:rsidR="00945B17" w:rsidRPr="005734B8" w:rsidRDefault="00945B17" w:rsidP="000E6F40">
            <w:pPr>
              <w:spacing w:before="80" w:after="80"/>
              <w:rPr>
                <w:rFonts w:ascii="Calibri" w:eastAsiaTheme="minorEastAsia" w:hAnsi="Calibri" w:cs="Calibri"/>
                <w:b/>
                <w:color w:val="FFFFFF" w:themeColor="background1"/>
                <w:sz w:val="19"/>
                <w:szCs w:val="18"/>
                <w:lang w:val="en-US"/>
              </w:rPr>
            </w:pPr>
            <w:r w:rsidRPr="005734B8">
              <w:rPr>
                <w:rFonts w:ascii="Calibri" w:eastAsiaTheme="minorEastAsia" w:hAnsi="Calibri" w:cs="Calibri"/>
                <w:b/>
                <w:color w:val="FFFFFF" w:themeColor="background1"/>
                <w:sz w:val="19"/>
                <w:szCs w:val="18"/>
                <w:lang w:val="en-US"/>
              </w:rPr>
              <w:t>Unit of measure</w:t>
            </w:r>
          </w:p>
        </w:tc>
        <w:tc>
          <w:tcPr>
            <w:tcW w:w="1114" w:type="dxa"/>
            <w:tcBorders>
              <w:bottom w:val="single" w:sz="4" w:space="0" w:color="FFFFFF" w:themeColor="background1"/>
            </w:tcBorders>
            <w:shd w:val="clear" w:color="auto" w:fill="AF272F" w:themeFill="accent4"/>
          </w:tcPr>
          <w:p w14:paraId="05F001ED" w14:textId="77777777" w:rsidR="00945B17" w:rsidRPr="005734B8" w:rsidRDefault="00945B17" w:rsidP="000E6F40">
            <w:pPr>
              <w:spacing w:before="80" w:after="80"/>
              <w:jc w:val="right"/>
              <w:rPr>
                <w:rFonts w:ascii="Calibri" w:eastAsiaTheme="minorEastAsia" w:hAnsi="Calibri" w:cs="Calibri"/>
                <w:b/>
                <w:color w:val="FFFFFF" w:themeColor="background1"/>
                <w:sz w:val="19"/>
                <w:szCs w:val="18"/>
                <w:lang w:val="en-US"/>
              </w:rPr>
            </w:pPr>
            <w:r w:rsidRPr="005734B8">
              <w:rPr>
                <w:rFonts w:ascii="Calibri" w:hAnsi="Calibri" w:cs="Calibri"/>
                <w:b/>
                <w:color w:val="FFFFFF" w:themeColor="background1"/>
                <w:sz w:val="18"/>
                <w:szCs w:val="18"/>
              </w:rPr>
              <w:t>2020–21 actual</w:t>
            </w:r>
          </w:p>
        </w:tc>
        <w:tc>
          <w:tcPr>
            <w:tcW w:w="1338" w:type="dxa"/>
            <w:tcBorders>
              <w:bottom w:val="single" w:sz="4" w:space="0" w:color="FFFFFF" w:themeColor="background1"/>
            </w:tcBorders>
            <w:shd w:val="clear" w:color="auto" w:fill="AF272F" w:themeFill="accent4"/>
          </w:tcPr>
          <w:p w14:paraId="6386A295" w14:textId="77777777" w:rsidR="00945B17" w:rsidRPr="005734B8" w:rsidRDefault="00945B17" w:rsidP="000E6F40">
            <w:pPr>
              <w:spacing w:before="80" w:after="80"/>
              <w:jc w:val="right"/>
              <w:rPr>
                <w:rFonts w:ascii="Calibri" w:eastAsiaTheme="minorEastAsia" w:hAnsi="Calibri" w:cs="Calibri"/>
                <w:b/>
                <w:color w:val="FFFFFF" w:themeColor="background1"/>
                <w:sz w:val="19"/>
                <w:szCs w:val="18"/>
                <w:lang w:val="en-US"/>
              </w:rPr>
            </w:pPr>
            <w:r w:rsidRPr="005734B8">
              <w:rPr>
                <w:rFonts w:ascii="Calibri" w:hAnsi="Calibri" w:cs="Calibri"/>
                <w:b/>
                <w:color w:val="FFFFFF" w:themeColor="background1"/>
                <w:sz w:val="18"/>
                <w:szCs w:val="18"/>
              </w:rPr>
              <w:t>2020–21 target</w:t>
            </w:r>
          </w:p>
        </w:tc>
        <w:tc>
          <w:tcPr>
            <w:tcW w:w="1631" w:type="dxa"/>
            <w:tcBorders>
              <w:bottom w:val="single" w:sz="4" w:space="0" w:color="FFFFFF" w:themeColor="background1"/>
            </w:tcBorders>
            <w:shd w:val="clear" w:color="auto" w:fill="AF272F" w:themeFill="accent4"/>
          </w:tcPr>
          <w:p w14:paraId="3F1824E4" w14:textId="77777777" w:rsidR="00945B17" w:rsidRPr="005734B8" w:rsidRDefault="00945B17" w:rsidP="000E6F40">
            <w:pPr>
              <w:spacing w:before="80" w:after="80"/>
              <w:jc w:val="right"/>
              <w:rPr>
                <w:rFonts w:ascii="Calibri" w:eastAsiaTheme="minorEastAsia" w:hAnsi="Calibri" w:cs="Calibri"/>
                <w:b/>
                <w:color w:val="FFFFFF" w:themeColor="background1"/>
                <w:sz w:val="19"/>
                <w:szCs w:val="18"/>
                <w:lang w:val="en-US"/>
              </w:rPr>
            </w:pPr>
            <w:r w:rsidRPr="005734B8">
              <w:rPr>
                <w:rFonts w:ascii="Calibri" w:hAnsi="Calibri" w:cs="Calibri"/>
                <w:b/>
                <w:color w:val="FFFFFF" w:themeColor="background1"/>
                <w:sz w:val="18"/>
                <w:szCs w:val="18"/>
              </w:rPr>
              <w:t>Performance variation (%)</w:t>
            </w:r>
          </w:p>
        </w:tc>
        <w:tc>
          <w:tcPr>
            <w:tcW w:w="907" w:type="dxa"/>
            <w:tcBorders>
              <w:bottom w:val="single" w:sz="4" w:space="0" w:color="FFFFFF" w:themeColor="background1"/>
            </w:tcBorders>
            <w:shd w:val="clear" w:color="auto" w:fill="AF272F" w:themeFill="accent4"/>
          </w:tcPr>
          <w:p w14:paraId="1C4C14D9" w14:textId="77777777" w:rsidR="00945B17" w:rsidRPr="005734B8" w:rsidRDefault="00945B17" w:rsidP="000E6F40">
            <w:pPr>
              <w:spacing w:before="80" w:after="80"/>
              <w:jc w:val="right"/>
              <w:rPr>
                <w:rFonts w:ascii="Calibri" w:eastAsiaTheme="minorEastAsia" w:hAnsi="Calibri" w:cs="Calibri"/>
                <w:b/>
                <w:color w:val="FFFFFF" w:themeColor="background1"/>
                <w:sz w:val="19"/>
                <w:szCs w:val="18"/>
                <w:lang w:val="en-US"/>
              </w:rPr>
            </w:pPr>
            <w:r w:rsidRPr="005734B8">
              <w:rPr>
                <w:rFonts w:ascii="Calibri" w:hAnsi="Calibri" w:cs="Calibri"/>
                <w:b/>
                <w:color w:val="FFFFFF" w:themeColor="background1"/>
                <w:sz w:val="18"/>
                <w:szCs w:val="18"/>
              </w:rPr>
              <w:t>Result</w:t>
            </w:r>
          </w:p>
        </w:tc>
      </w:tr>
      <w:tr w:rsidR="00945B17" w:rsidRPr="005734B8" w14:paraId="33F4D893" w14:textId="77777777" w:rsidTr="00C94DC0">
        <w:trPr>
          <w:cantSplit/>
        </w:trPr>
        <w:tc>
          <w:tcPr>
            <w:tcW w:w="2885" w:type="dxa"/>
            <w:tcBorders>
              <w:bottom w:val="single" w:sz="4" w:space="0" w:color="53565A" w:themeColor="accent5"/>
            </w:tcBorders>
            <w:shd w:val="clear" w:color="auto" w:fill="53565A" w:themeFill="accent5"/>
          </w:tcPr>
          <w:p w14:paraId="025811B7" w14:textId="77777777" w:rsidR="00945B17" w:rsidRPr="005734B8" w:rsidRDefault="00945B17" w:rsidP="000E6F40">
            <w:pPr>
              <w:spacing w:before="120" w:after="120"/>
              <w:rPr>
                <w:rFonts w:ascii="Calibri" w:eastAsiaTheme="minorEastAsia" w:hAnsi="Calibri" w:cs="Calibri"/>
                <w:b/>
                <w:color w:val="FFFFFF" w:themeColor="background1"/>
                <w:sz w:val="18"/>
                <w:szCs w:val="18"/>
                <w:lang w:val="en-US"/>
              </w:rPr>
            </w:pPr>
            <w:r w:rsidRPr="005734B8">
              <w:rPr>
                <w:rFonts w:ascii="Calibri" w:eastAsiaTheme="minorEastAsia" w:hAnsi="Calibri" w:cs="Calibri"/>
                <w:b/>
                <w:color w:val="FFFFFF" w:themeColor="background1"/>
                <w:sz w:val="18"/>
                <w:szCs w:val="18"/>
                <w:lang w:val="en-US"/>
              </w:rPr>
              <w:t>Quantity</w:t>
            </w:r>
          </w:p>
        </w:tc>
        <w:tc>
          <w:tcPr>
            <w:tcW w:w="1135" w:type="dxa"/>
            <w:tcBorders>
              <w:bottom w:val="single" w:sz="4" w:space="0" w:color="53565A" w:themeColor="accent5"/>
            </w:tcBorders>
            <w:shd w:val="clear" w:color="auto" w:fill="53565A" w:themeFill="accent5"/>
          </w:tcPr>
          <w:p w14:paraId="07AC549A" w14:textId="77777777" w:rsidR="00945B17" w:rsidRPr="005734B8" w:rsidRDefault="00945B17" w:rsidP="000E6F40">
            <w:pPr>
              <w:spacing w:before="120" w:after="120"/>
              <w:rPr>
                <w:rFonts w:ascii="Calibri" w:eastAsiaTheme="minorEastAsia" w:hAnsi="Calibri" w:cs="Calibri"/>
                <w:sz w:val="18"/>
                <w:szCs w:val="18"/>
                <w:lang w:val="en-US"/>
              </w:rPr>
            </w:pPr>
          </w:p>
        </w:tc>
        <w:tc>
          <w:tcPr>
            <w:tcW w:w="1114" w:type="dxa"/>
            <w:tcBorders>
              <w:bottom w:val="single" w:sz="4" w:space="0" w:color="53565A" w:themeColor="accent5"/>
            </w:tcBorders>
            <w:shd w:val="clear" w:color="auto" w:fill="53565A" w:themeFill="accent5"/>
          </w:tcPr>
          <w:p w14:paraId="7936577C" w14:textId="77777777" w:rsidR="00945B17" w:rsidRPr="005734B8" w:rsidRDefault="00945B17" w:rsidP="000E6F40">
            <w:pPr>
              <w:spacing w:before="120" w:after="120"/>
              <w:rPr>
                <w:rFonts w:ascii="Calibri" w:eastAsiaTheme="minorEastAsia" w:hAnsi="Calibri" w:cs="Calibri"/>
                <w:sz w:val="18"/>
                <w:szCs w:val="18"/>
                <w:lang w:val="en-US"/>
              </w:rPr>
            </w:pPr>
          </w:p>
        </w:tc>
        <w:tc>
          <w:tcPr>
            <w:tcW w:w="1338" w:type="dxa"/>
            <w:tcBorders>
              <w:bottom w:val="single" w:sz="4" w:space="0" w:color="53565A" w:themeColor="accent5"/>
            </w:tcBorders>
            <w:shd w:val="clear" w:color="auto" w:fill="53565A" w:themeFill="accent5"/>
          </w:tcPr>
          <w:p w14:paraId="34C72214" w14:textId="77777777" w:rsidR="00945B17" w:rsidRPr="005734B8" w:rsidRDefault="00945B17" w:rsidP="000E6F40">
            <w:pPr>
              <w:spacing w:before="120" w:after="120"/>
              <w:rPr>
                <w:rFonts w:ascii="Calibri" w:eastAsiaTheme="minorEastAsia" w:hAnsi="Calibri" w:cs="Calibri"/>
                <w:sz w:val="18"/>
                <w:szCs w:val="18"/>
                <w:lang w:val="en-US"/>
              </w:rPr>
            </w:pPr>
          </w:p>
        </w:tc>
        <w:tc>
          <w:tcPr>
            <w:tcW w:w="1631" w:type="dxa"/>
            <w:tcBorders>
              <w:bottom w:val="single" w:sz="4" w:space="0" w:color="53565A" w:themeColor="accent5"/>
            </w:tcBorders>
            <w:shd w:val="clear" w:color="auto" w:fill="53565A" w:themeFill="accent5"/>
          </w:tcPr>
          <w:p w14:paraId="56733580" w14:textId="77777777" w:rsidR="00945B17" w:rsidRPr="005734B8" w:rsidRDefault="00945B17" w:rsidP="000E6F40">
            <w:pPr>
              <w:spacing w:before="120" w:after="120"/>
              <w:rPr>
                <w:rFonts w:ascii="Calibri" w:eastAsiaTheme="minorEastAsia" w:hAnsi="Calibri" w:cs="Calibri"/>
                <w:sz w:val="18"/>
                <w:szCs w:val="18"/>
                <w:lang w:val="en-US"/>
              </w:rPr>
            </w:pPr>
          </w:p>
        </w:tc>
        <w:tc>
          <w:tcPr>
            <w:tcW w:w="907" w:type="dxa"/>
            <w:tcBorders>
              <w:bottom w:val="single" w:sz="4" w:space="0" w:color="53565A" w:themeColor="accent5"/>
            </w:tcBorders>
            <w:shd w:val="clear" w:color="auto" w:fill="53565A" w:themeFill="accent5"/>
          </w:tcPr>
          <w:p w14:paraId="1CD86058" w14:textId="77777777" w:rsidR="00945B17" w:rsidRPr="005734B8" w:rsidRDefault="00945B17" w:rsidP="000E6F40">
            <w:pPr>
              <w:spacing w:before="120" w:after="120"/>
              <w:rPr>
                <w:rFonts w:ascii="Calibri" w:eastAsiaTheme="minorEastAsia" w:hAnsi="Calibri" w:cs="Calibri"/>
                <w:sz w:val="18"/>
                <w:szCs w:val="18"/>
                <w:lang w:val="en-US"/>
              </w:rPr>
            </w:pPr>
          </w:p>
        </w:tc>
      </w:tr>
      <w:tr w:rsidR="00945B17" w:rsidRPr="005734B8" w14:paraId="4F98E012" w14:textId="77777777" w:rsidTr="00C94DC0">
        <w:trPr>
          <w:cantSplit/>
        </w:trPr>
        <w:tc>
          <w:tcPr>
            <w:tcW w:w="2885" w:type="dxa"/>
            <w:tcBorders>
              <w:top w:val="single" w:sz="4" w:space="0" w:color="53565A" w:themeColor="accent5"/>
              <w:bottom w:val="single" w:sz="4" w:space="0" w:color="53565A" w:themeColor="accent5"/>
            </w:tcBorders>
            <w:shd w:val="clear" w:color="auto" w:fill="auto"/>
          </w:tcPr>
          <w:p w14:paraId="5325599D" w14:textId="77777777"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hAnsi="Calibri" w:cs="Calibri"/>
                <w:sz w:val="18"/>
              </w:rPr>
              <w:t>Eligible special school students provided with appropriate travel</w:t>
            </w:r>
          </w:p>
        </w:tc>
        <w:tc>
          <w:tcPr>
            <w:tcW w:w="1135" w:type="dxa"/>
            <w:tcBorders>
              <w:top w:val="single" w:sz="4" w:space="0" w:color="53565A" w:themeColor="accent5"/>
              <w:bottom w:val="single" w:sz="4" w:space="0" w:color="53565A" w:themeColor="accent5"/>
            </w:tcBorders>
            <w:shd w:val="clear" w:color="auto" w:fill="auto"/>
          </w:tcPr>
          <w:p w14:paraId="5AEBD08C" w14:textId="77777777"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number</w:t>
            </w:r>
          </w:p>
        </w:tc>
        <w:tc>
          <w:tcPr>
            <w:tcW w:w="1114" w:type="dxa"/>
            <w:tcBorders>
              <w:top w:val="single" w:sz="4" w:space="0" w:color="53565A" w:themeColor="accent5"/>
              <w:bottom w:val="single" w:sz="4" w:space="0" w:color="53565A" w:themeColor="accent5"/>
            </w:tcBorders>
            <w:shd w:val="clear" w:color="auto" w:fill="D9D9D6" w:themeFill="accent1"/>
          </w:tcPr>
          <w:p w14:paraId="23AC7602"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8,895</w:t>
            </w:r>
          </w:p>
        </w:tc>
        <w:tc>
          <w:tcPr>
            <w:tcW w:w="1338" w:type="dxa"/>
            <w:tcBorders>
              <w:top w:val="single" w:sz="4" w:space="0" w:color="53565A" w:themeColor="accent5"/>
              <w:bottom w:val="single" w:sz="4" w:space="0" w:color="53565A" w:themeColor="accent5"/>
            </w:tcBorders>
            <w:shd w:val="clear" w:color="auto" w:fill="auto"/>
          </w:tcPr>
          <w:p w14:paraId="2A37FAD4"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9,050</w:t>
            </w:r>
          </w:p>
        </w:tc>
        <w:tc>
          <w:tcPr>
            <w:tcW w:w="1631" w:type="dxa"/>
            <w:tcBorders>
              <w:top w:val="single" w:sz="4" w:space="0" w:color="53565A" w:themeColor="accent5"/>
              <w:bottom w:val="single" w:sz="4" w:space="0" w:color="53565A" w:themeColor="accent5"/>
            </w:tcBorders>
            <w:shd w:val="clear" w:color="auto" w:fill="auto"/>
          </w:tcPr>
          <w:p w14:paraId="409E5129"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1.7</w:t>
            </w:r>
          </w:p>
        </w:tc>
        <w:tc>
          <w:tcPr>
            <w:tcW w:w="907" w:type="dxa"/>
            <w:tcBorders>
              <w:top w:val="single" w:sz="4" w:space="0" w:color="53565A" w:themeColor="accent5"/>
              <w:bottom w:val="single" w:sz="4" w:space="0" w:color="53565A" w:themeColor="accent5"/>
            </w:tcBorders>
          </w:tcPr>
          <w:p w14:paraId="149C69F0" w14:textId="77777777" w:rsidR="00945B17" w:rsidRPr="005734B8" w:rsidRDefault="00945B1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A1"/>
            </w:r>
          </w:p>
        </w:tc>
      </w:tr>
      <w:tr w:rsidR="00945B17" w:rsidRPr="005734B8" w14:paraId="3E32B168" w14:textId="77777777" w:rsidTr="00C94DC0">
        <w:trPr>
          <w:cantSplit/>
        </w:trPr>
        <w:tc>
          <w:tcPr>
            <w:tcW w:w="9010" w:type="dxa"/>
            <w:gridSpan w:val="6"/>
            <w:tcBorders>
              <w:top w:val="single" w:sz="4" w:space="0" w:color="53565A" w:themeColor="accent5"/>
              <w:bottom w:val="single" w:sz="4" w:space="0" w:color="53565A" w:themeColor="accent5"/>
            </w:tcBorders>
            <w:shd w:val="clear" w:color="auto" w:fill="auto"/>
          </w:tcPr>
          <w:p w14:paraId="36D9021C" w14:textId="77777777" w:rsidR="00945B17" w:rsidRPr="005734B8" w:rsidRDefault="00945B17" w:rsidP="000E6F40">
            <w:pPr>
              <w:spacing w:before="120" w:after="120"/>
              <w:rPr>
                <w:rFonts w:ascii="Calibri" w:eastAsiaTheme="minorEastAsia" w:hAnsi="Calibri" w:cs="Calibri"/>
                <w:i/>
                <w:sz w:val="18"/>
                <w:szCs w:val="18"/>
                <w:lang w:val="en-US"/>
              </w:rPr>
            </w:pPr>
            <w:r w:rsidRPr="005734B8">
              <w:rPr>
                <w:rFonts w:ascii="Calibri" w:eastAsiaTheme="minorEastAsia" w:hAnsi="Calibri" w:cs="Calibri"/>
                <w:i/>
                <w:sz w:val="16"/>
                <w:szCs w:val="20"/>
                <w:lang w:val="en-US"/>
              </w:rPr>
              <w:t>The above performance measure relates to the calendar year.</w:t>
            </w:r>
          </w:p>
        </w:tc>
      </w:tr>
      <w:tr w:rsidR="00945B17" w:rsidRPr="005734B8" w14:paraId="7D2AE6FF" w14:textId="77777777" w:rsidTr="00C94DC0">
        <w:trPr>
          <w:cantSplit/>
        </w:trPr>
        <w:tc>
          <w:tcPr>
            <w:tcW w:w="2885" w:type="dxa"/>
            <w:tcBorders>
              <w:top w:val="single" w:sz="4" w:space="0" w:color="53565A" w:themeColor="accent5"/>
              <w:bottom w:val="single" w:sz="4" w:space="0" w:color="53565A" w:themeColor="accent5"/>
            </w:tcBorders>
            <w:shd w:val="clear" w:color="auto" w:fill="auto"/>
          </w:tcPr>
          <w:p w14:paraId="39CCB654" w14:textId="77777777"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hAnsi="Calibri" w:cs="Calibri"/>
                <w:sz w:val="18"/>
              </w:rPr>
              <w:t>Students funded under the disabilities program in government schools as a proportion of the total student population</w:t>
            </w:r>
          </w:p>
        </w:tc>
        <w:tc>
          <w:tcPr>
            <w:tcW w:w="1135" w:type="dxa"/>
            <w:tcBorders>
              <w:top w:val="single" w:sz="4" w:space="0" w:color="53565A" w:themeColor="accent5"/>
              <w:bottom w:val="single" w:sz="4" w:space="0" w:color="53565A" w:themeColor="accent5"/>
            </w:tcBorders>
            <w:shd w:val="clear" w:color="auto" w:fill="auto"/>
          </w:tcPr>
          <w:p w14:paraId="7D7B7C4B" w14:textId="77777777"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055C49E7"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4.5</w:t>
            </w:r>
          </w:p>
        </w:tc>
        <w:tc>
          <w:tcPr>
            <w:tcW w:w="1338" w:type="dxa"/>
            <w:tcBorders>
              <w:top w:val="single" w:sz="4" w:space="0" w:color="53565A" w:themeColor="accent5"/>
              <w:bottom w:val="single" w:sz="4" w:space="0" w:color="53565A" w:themeColor="accent5"/>
            </w:tcBorders>
            <w:shd w:val="clear" w:color="auto" w:fill="auto"/>
          </w:tcPr>
          <w:p w14:paraId="408BD1C0"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4.5</w:t>
            </w:r>
          </w:p>
        </w:tc>
        <w:tc>
          <w:tcPr>
            <w:tcW w:w="1631" w:type="dxa"/>
            <w:tcBorders>
              <w:top w:val="single" w:sz="4" w:space="0" w:color="53565A" w:themeColor="accent5"/>
              <w:bottom w:val="single" w:sz="4" w:space="0" w:color="53565A" w:themeColor="accent5"/>
            </w:tcBorders>
            <w:shd w:val="clear" w:color="auto" w:fill="auto"/>
          </w:tcPr>
          <w:p w14:paraId="4EFA7A62"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0.0</w:t>
            </w:r>
          </w:p>
        </w:tc>
        <w:tc>
          <w:tcPr>
            <w:tcW w:w="907" w:type="dxa"/>
            <w:tcBorders>
              <w:top w:val="single" w:sz="4" w:space="0" w:color="53565A" w:themeColor="accent5"/>
              <w:bottom w:val="single" w:sz="4" w:space="0" w:color="53565A" w:themeColor="accent5"/>
            </w:tcBorders>
          </w:tcPr>
          <w:p w14:paraId="7A35CDF3" w14:textId="77777777" w:rsidR="00945B17" w:rsidRPr="005734B8" w:rsidRDefault="00945B1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FC"/>
            </w:r>
          </w:p>
        </w:tc>
      </w:tr>
      <w:tr w:rsidR="00945B17" w:rsidRPr="005734B8" w14:paraId="252B2821" w14:textId="77777777" w:rsidTr="00C94DC0">
        <w:trPr>
          <w:cantSplit/>
        </w:trPr>
        <w:tc>
          <w:tcPr>
            <w:tcW w:w="9010" w:type="dxa"/>
            <w:gridSpan w:val="6"/>
            <w:tcBorders>
              <w:top w:val="single" w:sz="4" w:space="0" w:color="53565A" w:themeColor="accent5"/>
              <w:bottom w:val="single" w:sz="4" w:space="0" w:color="53565A" w:themeColor="accent5"/>
            </w:tcBorders>
            <w:shd w:val="clear" w:color="auto" w:fill="auto"/>
          </w:tcPr>
          <w:p w14:paraId="71ECD16D" w14:textId="77777777" w:rsidR="00945B17" w:rsidRPr="005734B8" w:rsidRDefault="00945B1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The above performance measure relates to the calendar year and refers to government schools only.</w:t>
            </w:r>
          </w:p>
        </w:tc>
      </w:tr>
      <w:tr w:rsidR="00945B17" w:rsidRPr="005734B8" w14:paraId="182E82F5" w14:textId="77777777" w:rsidTr="00C94DC0">
        <w:trPr>
          <w:cantSplit/>
        </w:trPr>
        <w:tc>
          <w:tcPr>
            <w:tcW w:w="2885" w:type="dxa"/>
            <w:tcBorders>
              <w:top w:val="single" w:sz="4" w:space="0" w:color="53565A" w:themeColor="accent5"/>
              <w:bottom w:val="single" w:sz="4" w:space="0" w:color="53565A" w:themeColor="accent5"/>
            </w:tcBorders>
            <w:shd w:val="clear" w:color="auto" w:fill="53565A" w:themeFill="accent5"/>
          </w:tcPr>
          <w:p w14:paraId="03AF3243" w14:textId="77777777" w:rsidR="00945B17" w:rsidRPr="005734B8" w:rsidRDefault="00945B17" w:rsidP="000E6F40">
            <w:pPr>
              <w:spacing w:before="80" w:after="80"/>
              <w:rPr>
                <w:rFonts w:ascii="Calibri" w:eastAsiaTheme="minorEastAsia" w:hAnsi="Calibri" w:cs="Calibri"/>
                <w:b/>
                <w:color w:val="FFFFFF" w:themeColor="background1"/>
                <w:sz w:val="18"/>
                <w:szCs w:val="18"/>
                <w:lang w:val="en-US"/>
              </w:rPr>
            </w:pPr>
            <w:r w:rsidRPr="005734B8">
              <w:rPr>
                <w:rFonts w:ascii="Calibri" w:eastAsiaTheme="minorEastAsia" w:hAnsi="Calibri" w:cs="Calibri"/>
                <w:b/>
                <w:color w:val="FFFFFF" w:themeColor="background1"/>
                <w:sz w:val="18"/>
                <w:szCs w:val="18"/>
                <w:lang w:val="en-US"/>
              </w:rPr>
              <w:t>Quality</w:t>
            </w:r>
          </w:p>
        </w:tc>
        <w:tc>
          <w:tcPr>
            <w:tcW w:w="1135" w:type="dxa"/>
            <w:tcBorders>
              <w:top w:val="single" w:sz="4" w:space="0" w:color="53565A" w:themeColor="accent5"/>
              <w:bottom w:val="single" w:sz="4" w:space="0" w:color="53565A" w:themeColor="accent5"/>
            </w:tcBorders>
            <w:shd w:val="clear" w:color="auto" w:fill="53565A" w:themeFill="accent5"/>
          </w:tcPr>
          <w:p w14:paraId="7327F79F" w14:textId="77777777" w:rsidR="00945B17" w:rsidRPr="005734B8" w:rsidRDefault="00945B17" w:rsidP="000E6F40">
            <w:pPr>
              <w:spacing w:before="120" w:after="120"/>
              <w:rPr>
                <w:rFonts w:ascii="Calibri" w:eastAsiaTheme="minorEastAsia" w:hAnsi="Calibri" w:cs="Calibri"/>
                <w:sz w:val="18"/>
                <w:szCs w:val="18"/>
                <w:lang w:val="en-US"/>
              </w:rPr>
            </w:pPr>
          </w:p>
        </w:tc>
        <w:tc>
          <w:tcPr>
            <w:tcW w:w="1114" w:type="dxa"/>
            <w:tcBorders>
              <w:top w:val="single" w:sz="4" w:space="0" w:color="53565A" w:themeColor="accent5"/>
              <w:bottom w:val="single" w:sz="4" w:space="0" w:color="53565A" w:themeColor="accent5"/>
            </w:tcBorders>
            <w:shd w:val="clear" w:color="auto" w:fill="53565A" w:themeFill="accent5"/>
          </w:tcPr>
          <w:p w14:paraId="5F53934F" w14:textId="77777777" w:rsidR="00945B17" w:rsidRPr="005734B8" w:rsidRDefault="00945B17" w:rsidP="000E6F40">
            <w:pPr>
              <w:spacing w:before="120" w:after="120"/>
              <w:rPr>
                <w:rFonts w:ascii="Calibri" w:eastAsiaTheme="minorEastAsia" w:hAnsi="Calibri" w:cs="Calibri"/>
                <w:sz w:val="18"/>
                <w:szCs w:val="18"/>
                <w:lang w:val="en-US"/>
              </w:rPr>
            </w:pPr>
          </w:p>
        </w:tc>
        <w:tc>
          <w:tcPr>
            <w:tcW w:w="1338" w:type="dxa"/>
            <w:tcBorders>
              <w:top w:val="single" w:sz="4" w:space="0" w:color="53565A" w:themeColor="accent5"/>
              <w:bottom w:val="single" w:sz="4" w:space="0" w:color="53565A" w:themeColor="accent5"/>
            </w:tcBorders>
            <w:shd w:val="clear" w:color="auto" w:fill="53565A" w:themeFill="accent5"/>
          </w:tcPr>
          <w:p w14:paraId="244723FA" w14:textId="77777777" w:rsidR="00945B17" w:rsidRPr="005734B8" w:rsidRDefault="00945B17" w:rsidP="000E6F40">
            <w:pPr>
              <w:spacing w:before="120" w:after="120"/>
              <w:rPr>
                <w:rFonts w:ascii="Calibri" w:eastAsiaTheme="minorEastAsia" w:hAnsi="Calibri" w:cs="Calibri"/>
                <w:sz w:val="18"/>
                <w:szCs w:val="18"/>
                <w:lang w:val="en-US"/>
              </w:rPr>
            </w:pPr>
          </w:p>
        </w:tc>
        <w:tc>
          <w:tcPr>
            <w:tcW w:w="1631" w:type="dxa"/>
            <w:tcBorders>
              <w:top w:val="single" w:sz="4" w:space="0" w:color="53565A" w:themeColor="accent5"/>
              <w:bottom w:val="single" w:sz="4" w:space="0" w:color="53565A" w:themeColor="accent5"/>
            </w:tcBorders>
            <w:shd w:val="clear" w:color="auto" w:fill="53565A" w:themeFill="accent5"/>
          </w:tcPr>
          <w:p w14:paraId="583C0556" w14:textId="77777777" w:rsidR="00945B17" w:rsidRPr="005734B8" w:rsidRDefault="00945B17" w:rsidP="000E6F40">
            <w:pPr>
              <w:spacing w:before="120" w:after="120"/>
              <w:rPr>
                <w:rFonts w:ascii="Calibri" w:eastAsiaTheme="minorEastAsia" w:hAnsi="Calibri" w:cs="Calibri"/>
                <w:sz w:val="18"/>
                <w:szCs w:val="18"/>
                <w:lang w:val="en-US"/>
              </w:rPr>
            </w:pPr>
          </w:p>
        </w:tc>
        <w:tc>
          <w:tcPr>
            <w:tcW w:w="907" w:type="dxa"/>
            <w:tcBorders>
              <w:top w:val="single" w:sz="4" w:space="0" w:color="53565A" w:themeColor="accent5"/>
              <w:bottom w:val="single" w:sz="4" w:space="0" w:color="53565A" w:themeColor="accent5"/>
            </w:tcBorders>
            <w:shd w:val="clear" w:color="auto" w:fill="53565A" w:themeFill="accent5"/>
          </w:tcPr>
          <w:p w14:paraId="11A59414" w14:textId="77777777" w:rsidR="00945B17" w:rsidRPr="005734B8" w:rsidRDefault="00945B17" w:rsidP="000E6F40">
            <w:pPr>
              <w:spacing w:before="120" w:after="120"/>
              <w:rPr>
                <w:rFonts w:ascii="Calibri" w:eastAsiaTheme="minorEastAsia" w:hAnsi="Calibri" w:cs="Calibri"/>
                <w:sz w:val="18"/>
                <w:szCs w:val="18"/>
                <w:lang w:val="en-US"/>
              </w:rPr>
            </w:pPr>
          </w:p>
        </w:tc>
      </w:tr>
      <w:tr w:rsidR="00945B17" w:rsidRPr="005734B8" w14:paraId="20EC7B64" w14:textId="77777777" w:rsidTr="00C94DC0">
        <w:trPr>
          <w:cantSplit/>
        </w:trPr>
        <w:tc>
          <w:tcPr>
            <w:tcW w:w="2885" w:type="dxa"/>
            <w:tcBorders>
              <w:top w:val="single" w:sz="4" w:space="0" w:color="53565A" w:themeColor="accent5"/>
              <w:bottom w:val="single" w:sz="4" w:space="0" w:color="53565A" w:themeColor="accent5"/>
            </w:tcBorders>
            <w:shd w:val="clear" w:color="auto" w:fill="auto"/>
          </w:tcPr>
          <w:p w14:paraId="4B62B39D" w14:textId="77777777"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hAnsi="Calibri" w:cs="Calibri"/>
                <w:sz w:val="18"/>
                <w:szCs w:val="18"/>
              </w:rPr>
              <w:t>Proportion of positive responses to school satisfaction by parents of government special school students</w:t>
            </w:r>
          </w:p>
        </w:tc>
        <w:tc>
          <w:tcPr>
            <w:tcW w:w="1135" w:type="dxa"/>
            <w:tcBorders>
              <w:top w:val="single" w:sz="4" w:space="0" w:color="53565A" w:themeColor="accent5"/>
              <w:bottom w:val="single" w:sz="4" w:space="0" w:color="53565A" w:themeColor="accent5"/>
            </w:tcBorders>
            <w:shd w:val="clear" w:color="auto" w:fill="auto"/>
          </w:tcPr>
          <w:p w14:paraId="24917A3C" w14:textId="77777777"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per cent</w:t>
            </w:r>
          </w:p>
        </w:tc>
        <w:tc>
          <w:tcPr>
            <w:tcW w:w="1114" w:type="dxa"/>
            <w:tcBorders>
              <w:top w:val="single" w:sz="4" w:space="0" w:color="53565A" w:themeColor="accent5"/>
              <w:bottom w:val="single" w:sz="4" w:space="0" w:color="53565A" w:themeColor="accent5"/>
            </w:tcBorders>
            <w:shd w:val="clear" w:color="auto" w:fill="D9D9D6" w:themeFill="accent1"/>
          </w:tcPr>
          <w:p w14:paraId="7C0B0E5C"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84</w:t>
            </w:r>
          </w:p>
        </w:tc>
        <w:tc>
          <w:tcPr>
            <w:tcW w:w="1338" w:type="dxa"/>
            <w:tcBorders>
              <w:top w:val="single" w:sz="4" w:space="0" w:color="53565A" w:themeColor="accent5"/>
              <w:bottom w:val="single" w:sz="4" w:space="0" w:color="53565A" w:themeColor="accent5"/>
            </w:tcBorders>
            <w:shd w:val="clear" w:color="auto" w:fill="auto"/>
          </w:tcPr>
          <w:p w14:paraId="4F32D2F6"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eastAsiaTheme="minorEastAsia" w:hAnsi="Calibri" w:cs="Calibri"/>
                <w:sz w:val="18"/>
                <w:szCs w:val="20"/>
                <w:lang w:val="en-US"/>
              </w:rPr>
              <w:t>85</w:t>
            </w:r>
          </w:p>
        </w:tc>
        <w:tc>
          <w:tcPr>
            <w:tcW w:w="1631" w:type="dxa"/>
            <w:tcBorders>
              <w:top w:val="single" w:sz="4" w:space="0" w:color="53565A" w:themeColor="accent5"/>
              <w:bottom w:val="single" w:sz="4" w:space="0" w:color="53565A" w:themeColor="accent5"/>
            </w:tcBorders>
            <w:shd w:val="clear" w:color="auto" w:fill="auto"/>
          </w:tcPr>
          <w:p w14:paraId="6BD404CD" w14:textId="77777777" w:rsidR="00945B17" w:rsidRPr="005734B8" w:rsidRDefault="00945B17" w:rsidP="000E6F40">
            <w:pPr>
              <w:spacing w:before="120" w:after="120"/>
              <w:jc w:val="right"/>
              <w:rPr>
                <w:rFonts w:ascii="Calibri" w:eastAsiaTheme="minorEastAsia" w:hAnsi="Calibri" w:cs="Calibri"/>
                <w:sz w:val="18"/>
                <w:szCs w:val="20"/>
                <w:lang w:val="en-US"/>
              </w:rPr>
            </w:pPr>
            <w:r w:rsidRPr="005734B8">
              <w:rPr>
                <w:rFonts w:ascii="Calibri" w:hAnsi="Calibri" w:cs="Calibri"/>
                <w:sz w:val="18"/>
                <w:szCs w:val="16"/>
              </w:rPr>
              <w:t>–</w:t>
            </w:r>
            <w:r w:rsidRPr="005734B8">
              <w:rPr>
                <w:rFonts w:ascii="Calibri" w:eastAsiaTheme="minorEastAsia" w:hAnsi="Calibri" w:cs="Calibri"/>
                <w:sz w:val="18"/>
                <w:szCs w:val="20"/>
                <w:lang w:val="en-US"/>
              </w:rPr>
              <w:t>1.2</w:t>
            </w:r>
          </w:p>
        </w:tc>
        <w:tc>
          <w:tcPr>
            <w:tcW w:w="907" w:type="dxa"/>
            <w:tcBorders>
              <w:top w:val="single" w:sz="4" w:space="0" w:color="53565A" w:themeColor="accent5"/>
              <w:bottom w:val="single" w:sz="4" w:space="0" w:color="53565A" w:themeColor="accent5"/>
            </w:tcBorders>
            <w:shd w:val="clear" w:color="auto" w:fill="auto"/>
          </w:tcPr>
          <w:p w14:paraId="3FC919B8" w14:textId="77777777" w:rsidR="00945B17" w:rsidRPr="005734B8" w:rsidRDefault="00945B1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A1"/>
            </w:r>
          </w:p>
        </w:tc>
      </w:tr>
      <w:tr w:rsidR="00945B17" w:rsidRPr="005734B8" w14:paraId="48BAD376" w14:textId="77777777" w:rsidTr="00C94DC0">
        <w:trPr>
          <w:cantSplit/>
        </w:trPr>
        <w:tc>
          <w:tcPr>
            <w:tcW w:w="9010" w:type="dxa"/>
            <w:gridSpan w:val="6"/>
            <w:tcBorders>
              <w:top w:val="single" w:sz="4" w:space="0" w:color="53565A" w:themeColor="accent5"/>
              <w:bottom w:val="single" w:sz="4" w:space="0" w:color="53565A" w:themeColor="accent5"/>
            </w:tcBorders>
            <w:shd w:val="clear" w:color="auto" w:fill="auto"/>
          </w:tcPr>
          <w:p w14:paraId="2B46731C" w14:textId="77777777" w:rsidR="00945B17" w:rsidRPr="005734B8" w:rsidRDefault="00945B17" w:rsidP="000E6F40">
            <w:pPr>
              <w:spacing w:before="120" w:after="120"/>
              <w:rPr>
                <w:rFonts w:ascii="Calibri" w:eastAsiaTheme="minorEastAsia" w:hAnsi="Calibri" w:cs="Calibri"/>
                <w:i/>
                <w:sz w:val="16"/>
                <w:szCs w:val="20"/>
                <w:lang w:val="en-US"/>
              </w:rPr>
            </w:pPr>
            <w:r w:rsidRPr="005734B8">
              <w:rPr>
                <w:rFonts w:ascii="Calibri" w:eastAsiaTheme="minorEastAsia" w:hAnsi="Calibri" w:cs="Calibri"/>
                <w:i/>
                <w:sz w:val="16"/>
                <w:szCs w:val="20"/>
                <w:lang w:val="en-US"/>
              </w:rPr>
              <w:t>The above performance measure relates to the calendar year and refers to government schools only.</w:t>
            </w:r>
          </w:p>
        </w:tc>
      </w:tr>
      <w:tr w:rsidR="00945B17" w:rsidRPr="005734B8" w14:paraId="3DDDD756" w14:textId="77777777" w:rsidTr="00C94DC0">
        <w:trPr>
          <w:cantSplit/>
        </w:trPr>
        <w:tc>
          <w:tcPr>
            <w:tcW w:w="2885" w:type="dxa"/>
            <w:tcBorders>
              <w:top w:val="nil"/>
              <w:bottom w:val="single" w:sz="4" w:space="0" w:color="53565A" w:themeColor="accent5"/>
            </w:tcBorders>
            <w:shd w:val="clear" w:color="auto" w:fill="53565A" w:themeFill="accent5"/>
          </w:tcPr>
          <w:p w14:paraId="424F2AFC" w14:textId="77777777" w:rsidR="00945B17" w:rsidRPr="005734B8" w:rsidRDefault="00945B17" w:rsidP="000E6F40">
            <w:pPr>
              <w:spacing w:before="120" w:after="120"/>
              <w:rPr>
                <w:rFonts w:ascii="Calibri" w:eastAsiaTheme="minorEastAsia" w:hAnsi="Calibri" w:cs="Calibri"/>
                <w:b/>
                <w:color w:val="FFFFFF" w:themeColor="background1"/>
                <w:sz w:val="18"/>
                <w:szCs w:val="18"/>
                <w:lang w:val="en-US"/>
              </w:rPr>
            </w:pPr>
            <w:r w:rsidRPr="005734B8">
              <w:rPr>
                <w:rFonts w:ascii="Calibri" w:eastAsiaTheme="minorEastAsia" w:hAnsi="Calibri" w:cs="Calibri"/>
                <w:b/>
                <w:color w:val="FFFFFF" w:themeColor="background1"/>
                <w:sz w:val="18"/>
                <w:szCs w:val="18"/>
                <w:lang w:val="en-US"/>
              </w:rPr>
              <w:t>Cost</w:t>
            </w:r>
          </w:p>
        </w:tc>
        <w:tc>
          <w:tcPr>
            <w:tcW w:w="1135" w:type="dxa"/>
            <w:tcBorders>
              <w:top w:val="nil"/>
              <w:bottom w:val="single" w:sz="4" w:space="0" w:color="53565A" w:themeColor="accent5"/>
            </w:tcBorders>
            <w:shd w:val="clear" w:color="auto" w:fill="53565A" w:themeFill="accent5"/>
          </w:tcPr>
          <w:p w14:paraId="7230EC92" w14:textId="77777777" w:rsidR="00945B17" w:rsidRPr="005734B8" w:rsidRDefault="00945B17" w:rsidP="000E6F40">
            <w:pPr>
              <w:spacing w:before="120" w:after="120"/>
              <w:rPr>
                <w:rFonts w:ascii="Calibri" w:eastAsiaTheme="minorEastAsia" w:hAnsi="Calibri" w:cs="Calibri"/>
                <w:b/>
                <w:color w:val="FFFFFF" w:themeColor="background1"/>
                <w:sz w:val="18"/>
                <w:szCs w:val="18"/>
                <w:lang w:val="en-US"/>
              </w:rPr>
            </w:pPr>
          </w:p>
        </w:tc>
        <w:tc>
          <w:tcPr>
            <w:tcW w:w="1114" w:type="dxa"/>
            <w:tcBorders>
              <w:top w:val="nil"/>
              <w:bottom w:val="single" w:sz="4" w:space="0" w:color="53565A" w:themeColor="accent5"/>
            </w:tcBorders>
            <w:shd w:val="clear" w:color="auto" w:fill="53565A" w:themeFill="accent5"/>
          </w:tcPr>
          <w:p w14:paraId="59F093E0" w14:textId="77777777" w:rsidR="00945B17" w:rsidRPr="005734B8" w:rsidRDefault="00945B17" w:rsidP="000E6F40">
            <w:pPr>
              <w:spacing w:before="120" w:after="120"/>
              <w:rPr>
                <w:rFonts w:ascii="Calibri" w:eastAsiaTheme="minorEastAsia" w:hAnsi="Calibri" w:cs="Calibri"/>
                <w:b/>
                <w:color w:val="FFFFFF" w:themeColor="background1"/>
                <w:sz w:val="18"/>
                <w:szCs w:val="18"/>
                <w:lang w:val="en-US"/>
              </w:rPr>
            </w:pPr>
          </w:p>
        </w:tc>
        <w:tc>
          <w:tcPr>
            <w:tcW w:w="1338" w:type="dxa"/>
            <w:tcBorders>
              <w:top w:val="nil"/>
              <w:bottom w:val="single" w:sz="4" w:space="0" w:color="53565A" w:themeColor="accent5"/>
            </w:tcBorders>
            <w:shd w:val="clear" w:color="auto" w:fill="53565A" w:themeFill="accent5"/>
          </w:tcPr>
          <w:p w14:paraId="7D65D582" w14:textId="77777777" w:rsidR="00945B17" w:rsidRPr="005734B8" w:rsidRDefault="00945B17" w:rsidP="000E6F40">
            <w:pPr>
              <w:spacing w:before="120" w:after="120"/>
              <w:rPr>
                <w:rFonts w:ascii="Calibri" w:eastAsiaTheme="minorEastAsia" w:hAnsi="Calibri" w:cs="Calibri"/>
                <w:b/>
                <w:color w:val="FFFFFF" w:themeColor="background1"/>
                <w:sz w:val="18"/>
                <w:szCs w:val="18"/>
                <w:lang w:val="en-US"/>
              </w:rPr>
            </w:pPr>
          </w:p>
        </w:tc>
        <w:tc>
          <w:tcPr>
            <w:tcW w:w="1631" w:type="dxa"/>
            <w:tcBorders>
              <w:top w:val="nil"/>
              <w:bottom w:val="single" w:sz="4" w:space="0" w:color="53565A" w:themeColor="accent5"/>
            </w:tcBorders>
            <w:shd w:val="clear" w:color="auto" w:fill="53565A" w:themeFill="accent5"/>
          </w:tcPr>
          <w:p w14:paraId="46BCD3F6" w14:textId="77777777" w:rsidR="00945B17" w:rsidRPr="005734B8" w:rsidRDefault="00945B17" w:rsidP="000E6F40">
            <w:pPr>
              <w:spacing w:before="120" w:after="120"/>
              <w:rPr>
                <w:rFonts w:ascii="Calibri" w:eastAsiaTheme="minorEastAsia" w:hAnsi="Calibri" w:cs="Calibri"/>
                <w:b/>
                <w:color w:val="FFFFFF" w:themeColor="background1"/>
                <w:sz w:val="18"/>
                <w:szCs w:val="18"/>
                <w:lang w:val="en-US"/>
              </w:rPr>
            </w:pPr>
          </w:p>
        </w:tc>
        <w:tc>
          <w:tcPr>
            <w:tcW w:w="907" w:type="dxa"/>
            <w:tcBorders>
              <w:top w:val="nil"/>
              <w:bottom w:val="single" w:sz="4" w:space="0" w:color="53565A" w:themeColor="accent5"/>
            </w:tcBorders>
            <w:shd w:val="clear" w:color="auto" w:fill="53565A" w:themeFill="accent5"/>
          </w:tcPr>
          <w:p w14:paraId="551C6865" w14:textId="77777777" w:rsidR="00945B17" w:rsidRPr="005734B8" w:rsidRDefault="00945B17" w:rsidP="000E6F40">
            <w:pPr>
              <w:spacing w:before="120" w:after="120"/>
              <w:rPr>
                <w:rFonts w:ascii="Calibri" w:eastAsiaTheme="minorEastAsia" w:hAnsi="Calibri" w:cs="Calibri"/>
                <w:b/>
                <w:color w:val="FFFFFF" w:themeColor="background1"/>
                <w:sz w:val="18"/>
                <w:szCs w:val="18"/>
                <w:lang w:val="en-US"/>
              </w:rPr>
            </w:pPr>
          </w:p>
        </w:tc>
      </w:tr>
      <w:tr w:rsidR="00945B17" w:rsidRPr="005734B8" w14:paraId="7BE60CC6" w14:textId="77777777" w:rsidTr="00C94DC0">
        <w:trPr>
          <w:cantSplit/>
        </w:trPr>
        <w:tc>
          <w:tcPr>
            <w:tcW w:w="2885" w:type="dxa"/>
            <w:tcBorders>
              <w:top w:val="single" w:sz="4" w:space="0" w:color="53565A" w:themeColor="accent5"/>
              <w:bottom w:val="single" w:sz="4" w:space="0" w:color="53565A" w:themeColor="accent5"/>
            </w:tcBorders>
            <w:shd w:val="clear" w:color="auto" w:fill="auto"/>
          </w:tcPr>
          <w:p w14:paraId="029AE69F" w14:textId="23166D09"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Total output cost</w:t>
            </w:r>
          </w:p>
        </w:tc>
        <w:tc>
          <w:tcPr>
            <w:tcW w:w="1135" w:type="dxa"/>
            <w:tcBorders>
              <w:top w:val="single" w:sz="4" w:space="0" w:color="53565A" w:themeColor="accent5"/>
              <w:bottom w:val="single" w:sz="4" w:space="0" w:color="53565A" w:themeColor="accent5"/>
            </w:tcBorders>
            <w:shd w:val="clear" w:color="auto" w:fill="auto"/>
          </w:tcPr>
          <w:p w14:paraId="0B8E1637" w14:textId="77777777" w:rsidR="00945B17" w:rsidRPr="005734B8" w:rsidRDefault="00945B17" w:rsidP="000E6F40">
            <w:pPr>
              <w:spacing w:before="120" w:after="120"/>
              <w:rPr>
                <w:rFonts w:ascii="Calibri" w:eastAsiaTheme="minorEastAsia" w:hAnsi="Calibri" w:cs="Calibri"/>
                <w:sz w:val="18"/>
                <w:szCs w:val="18"/>
                <w:lang w:val="en-US"/>
              </w:rPr>
            </w:pPr>
            <w:r w:rsidRPr="005734B8">
              <w:rPr>
                <w:rFonts w:ascii="Calibri" w:eastAsiaTheme="minorEastAsia" w:hAnsi="Calibri" w:cs="Calibri"/>
                <w:sz w:val="18"/>
                <w:szCs w:val="18"/>
                <w:lang w:val="en-US"/>
              </w:rPr>
              <w:t>$ million</w:t>
            </w:r>
          </w:p>
        </w:tc>
        <w:tc>
          <w:tcPr>
            <w:tcW w:w="1114" w:type="dxa"/>
            <w:tcBorders>
              <w:top w:val="single" w:sz="4" w:space="0" w:color="53565A" w:themeColor="accent5"/>
              <w:bottom w:val="single" w:sz="4" w:space="0" w:color="53565A" w:themeColor="accent5"/>
            </w:tcBorders>
            <w:shd w:val="clear" w:color="auto" w:fill="auto"/>
          </w:tcPr>
          <w:p w14:paraId="64F6F527" w14:textId="0A64B5FB" w:rsidR="00945B17" w:rsidRPr="005734B8" w:rsidRDefault="00945B17" w:rsidP="000E6F40">
            <w:pPr>
              <w:spacing w:before="120" w:after="120"/>
              <w:jc w:val="right"/>
              <w:rPr>
                <w:rFonts w:ascii="Calibri" w:eastAsiaTheme="minorEastAsia" w:hAnsi="Calibri" w:cs="Calibri"/>
                <w:sz w:val="18"/>
                <w:szCs w:val="18"/>
                <w:lang w:val="en-US"/>
              </w:rPr>
            </w:pPr>
            <w:r w:rsidRPr="005734B8">
              <w:rPr>
                <w:rFonts w:ascii="Calibri" w:eastAsiaTheme="minorEastAsia" w:hAnsi="Calibri" w:cs="Calibri"/>
                <w:sz w:val="18"/>
                <w:szCs w:val="18"/>
                <w:lang w:val="en-US"/>
              </w:rPr>
              <w:t>1,</w:t>
            </w:r>
            <w:r w:rsidR="008B4075" w:rsidRPr="005734B8">
              <w:rPr>
                <w:rFonts w:ascii="Calibri" w:eastAsiaTheme="minorEastAsia" w:hAnsi="Calibri" w:cs="Calibri"/>
                <w:sz w:val="18"/>
                <w:szCs w:val="18"/>
                <w:lang w:val="en-US"/>
              </w:rPr>
              <w:t>196</w:t>
            </w:r>
            <w:r w:rsidRPr="005734B8">
              <w:rPr>
                <w:rFonts w:ascii="Calibri" w:eastAsiaTheme="minorEastAsia" w:hAnsi="Calibri" w:cs="Calibri"/>
                <w:sz w:val="18"/>
                <w:szCs w:val="18"/>
                <w:lang w:val="en-US"/>
              </w:rPr>
              <w:t>.6</w:t>
            </w:r>
          </w:p>
        </w:tc>
        <w:tc>
          <w:tcPr>
            <w:tcW w:w="1338" w:type="dxa"/>
            <w:tcBorders>
              <w:top w:val="single" w:sz="4" w:space="0" w:color="53565A" w:themeColor="accent5"/>
              <w:bottom w:val="single" w:sz="4" w:space="0" w:color="53565A" w:themeColor="accent5"/>
            </w:tcBorders>
            <w:shd w:val="clear" w:color="auto" w:fill="auto"/>
          </w:tcPr>
          <w:p w14:paraId="7127BA57" w14:textId="77777777" w:rsidR="00945B17" w:rsidRPr="005734B8" w:rsidRDefault="00945B17" w:rsidP="000E6F40">
            <w:pPr>
              <w:spacing w:before="120" w:after="120"/>
              <w:jc w:val="right"/>
              <w:rPr>
                <w:rFonts w:ascii="Calibri" w:eastAsiaTheme="minorEastAsia" w:hAnsi="Calibri" w:cs="Calibri"/>
                <w:sz w:val="18"/>
                <w:szCs w:val="18"/>
                <w:lang w:val="en-US"/>
              </w:rPr>
            </w:pPr>
            <w:r w:rsidRPr="005734B8">
              <w:rPr>
                <w:rFonts w:ascii="Calibri" w:eastAsiaTheme="minorEastAsia" w:hAnsi="Calibri" w:cs="Calibri"/>
                <w:sz w:val="18"/>
                <w:szCs w:val="18"/>
                <w:lang w:val="en-US"/>
              </w:rPr>
              <w:t>1,242.6</w:t>
            </w:r>
          </w:p>
        </w:tc>
        <w:tc>
          <w:tcPr>
            <w:tcW w:w="1631" w:type="dxa"/>
            <w:tcBorders>
              <w:top w:val="single" w:sz="4" w:space="0" w:color="53565A" w:themeColor="accent5"/>
              <w:bottom w:val="single" w:sz="4" w:space="0" w:color="53565A" w:themeColor="accent5"/>
            </w:tcBorders>
          </w:tcPr>
          <w:p w14:paraId="1C247CB7" w14:textId="5090A3B4" w:rsidR="00945B17" w:rsidRPr="005734B8" w:rsidRDefault="00945B17" w:rsidP="000E6F40">
            <w:pPr>
              <w:spacing w:before="120" w:after="120"/>
              <w:jc w:val="right"/>
              <w:rPr>
                <w:rFonts w:ascii="Calibri" w:eastAsiaTheme="minorEastAsia" w:hAnsi="Calibri" w:cs="Calibri"/>
                <w:sz w:val="18"/>
                <w:szCs w:val="18"/>
                <w:lang w:val="en-US"/>
              </w:rPr>
            </w:pPr>
            <w:r w:rsidRPr="005734B8">
              <w:rPr>
                <w:rFonts w:ascii="Calibri" w:hAnsi="Calibri" w:cs="Calibri"/>
                <w:sz w:val="18"/>
                <w:szCs w:val="16"/>
              </w:rPr>
              <w:t>–</w:t>
            </w:r>
            <w:r w:rsidR="005F7BB5" w:rsidRPr="005734B8">
              <w:rPr>
                <w:rFonts w:ascii="Calibri" w:hAnsi="Calibri" w:cs="Calibri"/>
                <w:sz w:val="18"/>
                <w:szCs w:val="16"/>
              </w:rPr>
              <w:t>3.7</w:t>
            </w:r>
          </w:p>
        </w:tc>
        <w:tc>
          <w:tcPr>
            <w:tcW w:w="907" w:type="dxa"/>
            <w:tcBorders>
              <w:top w:val="single" w:sz="4" w:space="0" w:color="53565A" w:themeColor="accent5"/>
              <w:bottom w:val="single" w:sz="4" w:space="0" w:color="53565A" w:themeColor="accent5"/>
            </w:tcBorders>
          </w:tcPr>
          <w:p w14:paraId="3ED13B8B" w14:textId="20C11CEB" w:rsidR="00945B17" w:rsidRPr="005734B8" w:rsidRDefault="00945B17" w:rsidP="000E6F40">
            <w:pPr>
              <w:spacing w:before="120" w:after="120"/>
              <w:jc w:val="right"/>
              <w:rPr>
                <w:rFonts w:ascii="Calibri" w:eastAsiaTheme="minorEastAsia" w:hAnsi="Calibri" w:cs="Calibri"/>
                <w:sz w:val="18"/>
                <w:szCs w:val="18"/>
                <w:lang w:val="en-US"/>
              </w:rPr>
            </w:pPr>
            <w:r w:rsidRPr="005734B8">
              <w:rPr>
                <w:rFonts w:ascii="Calibri" w:hAnsi="Calibri" w:cs="Calibri"/>
                <w:sz w:val="18"/>
                <w:lang w:val="en-AU"/>
              </w:rPr>
              <w:sym w:font="Wingdings" w:char="F0FC"/>
            </w:r>
          </w:p>
        </w:tc>
      </w:tr>
      <w:tr w:rsidR="00945B17" w:rsidRPr="005734B8" w14:paraId="5F8AA9A2" w14:textId="77777777" w:rsidTr="00C94DC0">
        <w:trPr>
          <w:cantSplit/>
        </w:trPr>
        <w:tc>
          <w:tcPr>
            <w:tcW w:w="9010" w:type="dxa"/>
            <w:gridSpan w:val="6"/>
            <w:tcBorders>
              <w:top w:val="single" w:sz="4" w:space="0" w:color="53565A" w:themeColor="accent5"/>
              <w:bottom w:val="single" w:sz="4" w:space="0" w:color="53565A" w:themeColor="accent5"/>
            </w:tcBorders>
            <w:shd w:val="clear" w:color="auto" w:fill="auto"/>
          </w:tcPr>
          <w:p w14:paraId="4384FA7F" w14:textId="77777777" w:rsidR="00945B17" w:rsidRPr="005734B8" w:rsidRDefault="00945B17" w:rsidP="000E6F40">
            <w:pPr>
              <w:spacing w:before="120" w:after="120"/>
              <w:rPr>
                <w:rFonts w:ascii="Calibri" w:eastAsiaTheme="minorEastAsia" w:hAnsi="Calibri" w:cs="Calibri"/>
                <w:i/>
                <w:color w:val="FF0000"/>
                <w:sz w:val="16"/>
                <w:szCs w:val="20"/>
                <w:lang w:val="en-US"/>
              </w:rPr>
            </w:pPr>
            <w:r w:rsidRPr="005734B8">
              <w:rPr>
                <w:rFonts w:ascii="Calibri" w:eastAsiaTheme="minorEastAsia" w:hAnsi="Calibri" w:cs="Calibri"/>
                <w:i/>
                <w:sz w:val="16"/>
                <w:szCs w:val="20"/>
                <w:lang w:val="en-US"/>
              </w:rPr>
              <w:t>No footnote required.</w:t>
            </w:r>
          </w:p>
        </w:tc>
      </w:tr>
    </w:tbl>
    <w:tbl>
      <w:tblPr>
        <w:tblStyle w:val="TableGrid"/>
        <w:tblW w:w="4857"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
        <w:gridCol w:w="3367"/>
        <w:gridCol w:w="2177"/>
        <w:gridCol w:w="2245"/>
      </w:tblGrid>
      <w:tr w:rsidR="00945B17" w:rsidRPr="005734B8" w14:paraId="73C1DA1A" w14:textId="77777777" w:rsidTr="000E6F40">
        <w:trPr>
          <w:cantSplit/>
        </w:trPr>
        <w:tc>
          <w:tcPr>
            <w:tcW w:w="846" w:type="dxa"/>
            <w:tcBorders>
              <w:top w:val="single" w:sz="4" w:space="0" w:color="53565A" w:themeColor="accent5"/>
              <w:bottom w:val="single" w:sz="4" w:space="0" w:color="53565A" w:themeColor="accent5"/>
            </w:tcBorders>
            <w:shd w:val="clear" w:color="auto" w:fill="auto"/>
          </w:tcPr>
          <w:p w14:paraId="659AA156" w14:textId="77777777" w:rsidR="00945B17" w:rsidRPr="005734B8" w:rsidRDefault="00945B17" w:rsidP="000E6F40">
            <w:pPr>
              <w:pStyle w:val="ESTablenumberrightaligned"/>
              <w:jc w:val="left"/>
              <w:rPr>
                <w:rFonts w:ascii="Calibri" w:hAnsi="Calibri" w:cs="Calibri"/>
                <w:sz w:val="18"/>
              </w:rPr>
            </w:pPr>
            <w:r w:rsidRPr="005734B8">
              <w:rPr>
                <w:rFonts w:ascii="Calibri" w:hAnsi="Calibri" w:cs="Calibri"/>
                <w:sz w:val="18"/>
                <w:lang w:val="en-AU"/>
              </w:rPr>
              <w:t>Key:</w:t>
            </w:r>
          </w:p>
        </w:tc>
        <w:tc>
          <w:tcPr>
            <w:tcW w:w="2960" w:type="dxa"/>
            <w:tcBorders>
              <w:top w:val="single" w:sz="4" w:space="0" w:color="53565A" w:themeColor="accent5"/>
              <w:bottom w:val="single" w:sz="4" w:space="0" w:color="53565A" w:themeColor="accent5"/>
            </w:tcBorders>
            <w:shd w:val="clear" w:color="auto" w:fill="auto"/>
          </w:tcPr>
          <w:p w14:paraId="782C5940" w14:textId="77777777" w:rsidR="00945B17" w:rsidRPr="005734B8" w:rsidRDefault="00945B17" w:rsidP="000E6F40">
            <w:pPr>
              <w:pStyle w:val="ESTablenumberrightaligned"/>
              <w:rPr>
                <w:rFonts w:ascii="Calibri" w:hAnsi="Calibri" w:cs="Calibri"/>
                <w:sz w:val="18"/>
              </w:rPr>
            </w:pPr>
            <w:r w:rsidRPr="005734B8">
              <w:rPr>
                <w:rFonts w:ascii="Calibri" w:hAnsi="Calibri" w:cs="Calibri"/>
                <w:sz w:val="18"/>
                <w:lang w:val="en-AU"/>
              </w:rPr>
              <w:sym w:font="Wingdings" w:char="F0FC"/>
            </w:r>
            <w:r w:rsidRPr="005734B8">
              <w:rPr>
                <w:rFonts w:ascii="Calibri" w:hAnsi="Calibri" w:cs="Calibri"/>
                <w:sz w:val="18"/>
                <w:lang w:val="en-AU"/>
              </w:rPr>
              <w:t xml:space="preserve"> Target achieved or exceeded</w:t>
            </w:r>
          </w:p>
        </w:tc>
        <w:tc>
          <w:tcPr>
            <w:tcW w:w="1914" w:type="dxa"/>
            <w:tcBorders>
              <w:top w:val="single" w:sz="4" w:space="0" w:color="53565A" w:themeColor="accent5"/>
              <w:bottom w:val="single" w:sz="4" w:space="0" w:color="53565A" w:themeColor="accent5"/>
            </w:tcBorders>
            <w:shd w:val="clear" w:color="auto" w:fill="auto"/>
          </w:tcPr>
          <w:p w14:paraId="5868D380" w14:textId="27B87DB0" w:rsidR="00945B17" w:rsidRPr="005734B8" w:rsidRDefault="00945B17" w:rsidP="000E6F40">
            <w:pPr>
              <w:pStyle w:val="ESTablenumberrightaligned"/>
              <w:rPr>
                <w:rFonts w:ascii="Calibri" w:hAnsi="Calibri" w:cs="Calibri"/>
                <w:sz w:val="18"/>
              </w:rPr>
            </w:pPr>
            <w:r w:rsidRPr="005734B8">
              <w:rPr>
                <w:rFonts w:ascii="Calibri" w:hAnsi="Calibri" w:cs="Calibri"/>
                <w:sz w:val="18"/>
                <w:lang w:val="en-AU"/>
              </w:rPr>
              <w:sym w:font="Wingdings" w:char="F0A1"/>
            </w:r>
            <w:r w:rsidRPr="005734B8">
              <w:rPr>
                <w:rFonts w:ascii="Calibri" w:hAnsi="Calibri" w:cs="Calibri"/>
                <w:sz w:val="18"/>
                <w:lang w:val="en-AU"/>
              </w:rPr>
              <w:t xml:space="preserve"> Target not achieved — less than 5% variance</w:t>
            </w:r>
          </w:p>
        </w:tc>
        <w:tc>
          <w:tcPr>
            <w:tcW w:w="1974" w:type="dxa"/>
            <w:tcBorders>
              <w:top w:val="single" w:sz="4" w:space="0" w:color="53565A" w:themeColor="accent5"/>
              <w:bottom w:val="single" w:sz="4" w:space="0" w:color="53565A" w:themeColor="accent5"/>
            </w:tcBorders>
            <w:shd w:val="clear" w:color="auto" w:fill="auto"/>
          </w:tcPr>
          <w:p w14:paraId="4886BB07" w14:textId="77777777" w:rsidR="00945B17" w:rsidRPr="005734B8" w:rsidRDefault="00945B17" w:rsidP="000E6F40">
            <w:pPr>
              <w:pStyle w:val="ESTablenumberrightaligned"/>
              <w:rPr>
                <w:rFonts w:ascii="Calibri" w:hAnsi="Calibri" w:cs="Calibri"/>
                <w:sz w:val="18"/>
              </w:rPr>
            </w:pPr>
            <w:r w:rsidRPr="005734B8">
              <w:rPr>
                <w:rFonts w:ascii="Calibri" w:hAnsi="Calibri" w:cs="Calibri"/>
                <w:sz w:val="18"/>
                <w:lang w:val="en-AU"/>
              </w:rPr>
              <w:sym w:font="Wingdings" w:char="F06E"/>
            </w:r>
            <w:r w:rsidRPr="005734B8">
              <w:rPr>
                <w:rFonts w:ascii="Calibri" w:hAnsi="Calibri" w:cs="Calibri"/>
                <w:sz w:val="18"/>
                <w:lang w:val="en-AU"/>
              </w:rPr>
              <w:t xml:space="preserve"> Target not achieved — more than 5% variance</w:t>
            </w:r>
          </w:p>
        </w:tc>
      </w:tr>
    </w:tbl>
    <w:p w14:paraId="1C83E7F3" w14:textId="77777777" w:rsidR="00344CF8" w:rsidRPr="005734B8" w:rsidRDefault="00344CF8" w:rsidP="00945B17">
      <w:pPr>
        <w:pStyle w:val="ESHeading3"/>
        <w:ind w:left="0" w:firstLine="0"/>
        <w:rPr>
          <w:rFonts w:ascii="Calibri" w:hAnsi="Calibri" w:cs="Calibri"/>
          <w:szCs w:val="22"/>
          <w:lang w:val="en-AU"/>
        </w:rPr>
      </w:pPr>
      <w:bookmarkStart w:id="221" w:name="_Toc11158171"/>
      <w:bookmarkStart w:id="222" w:name="_Toc11336178"/>
      <w:bookmarkStart w:id="223" w:name="_Toc14965401"/>
      <w:bookmarkStart w:id="224" w:name="_Toc19271980"/>
      <w:bookmarkStart w:id="225" w:name="_Toc19272346"/>
      <w:bookmarkStart w:id="226" w:name="_Toc19273681"/>
      <w:bookmarkStart w:id="227" w:name="_Hlk73104150"/>
      <w:r w:rsidRPr="005734B8">
        <w:rPr>
          <w:rFonts w:ascii="Calibri" w:hAnsi="Calibri" w:cs="Calibri"/>
          <w:szCs w:val="22"/>
          <w:lang w:val="en-AU"/>
        </w:rPr>
        <w:br w:type="page"/>
      </w:r>
    </w:p>
    <w:p w14:paraId="6A67748E" w14:textId="2E841770" w:rsidR="00DC530D" w:rsidRPr="005734B8" w:rsidRDefault="00DC530D" w:rsidP="00DC530D">
      <w:pPr>
        <w:pStyle w:val="ESHeading3"/>
        <w:ind w:left="0" w:firstLine="0"/>
        <w:rPr>
          <w:rFonts w:ascii="Calibri" w:hAnsi="Calibri" w:cs="Calibri"/>
          <w:szCs w:val="22"/>
          <w:lang w:val="en-AU"/>
        </w:rPr>
      </w:pPr>
      <w:bookmarkStart w:id="228" w:name="_Toc15985254"/>
      <w:bookmarkStart w:id="229" w:name="_Toc19271981"/>
      <w:bookmarkStart w:id="230" w:name="_Toc19272347"/>
      <w:bookmarkStart w:id="231" w:name="_Toc19273682"/>
      <w:bookmarkStart w:id="232" w:name="_Toc48402774"/>
      <w:bookmarkStart w:id="233" w:name="_Toc48403011"/>
      <w:bookmarkStart w:id="234" w:name="_Toc51332754"/>
      <w:bookmarkEnd w:id="221"/>
      <w:bookmarkEnd w:id="222"/>
      <w:bookmarkEnd w:id="223"/>
      <w:bookmarkEnd w:id="224"/>
      <w:bookmarkEnd w:id="225"/>
      <w:bookmarkEnd w:id="226"/>
      <w:bookmarkEnd w:id="227"/>
      <w:r w:rsidRPr="005734B8">
        <w:rPr>
          <w:rFonts w:ascii="Calibri" w:hAnsi="Calibri" w:cs="Calibri"/>
          <w:szCs w:val="22"/>
          <w:lang w:val="en-AU"/>
        </w:rPr>
        <w:lastRenderedPageBreak/>
        <w:t xml:space="preserve">Discontinued measures for 2020–21 </w:t>
      </w:r>
    </w:p>
    <w:p w14:paraId="1DEF5024" w14:textId="77777777" w:rsidR="00DC530D" w:rsidRPr="005734B8" w:rsidRDefault="00DC530D" w:rsidP="00DC530D">
      <w:pPr>
        <w:rPr>
          <w:rFonts w:ascii="Calibri" w:hAnsi="Calibri" w:cs="Calibri"/>
        </w:rPr>
      </w:pPr>
      <w:r w:rsidRPr="005734B8">
        <w:rPr>
          <w:rFonts w:ascii="Calibri" w:hAnsi="Calibri" w:cs="Calibri"/>
        </w:rPr>
        <w:t>Following assessment by the Public Accounts and Estimates Committee, the performance measures listed below were discontinued for 2020–21.</w:t>
      </w:r>
    </w:p>
    <w:p w14:paraId="00E245C8" w14:textId="77777777" w:rsidR="00DC530D" w:rsidRPr="005734B8" w:rsidRDefault="00DC530D" w:rsidP="00DC530D">
      <w:pPr>
        <w:pStyle w:val="H5"/>
        <w:spacing w:before="240"/>
        <w:rPr>
          <w:rFonts w:ascii="Calibri" w:hAnsi="Calibri" w:cs="Calibri"/>
          <w:szCs w:val="20"/>
        </w:rPr>
      </w:pPr>
      <w:r w:rsidRPr="005734B8">
        <w:rPr>
          <w:rFonts w:ascii="Calibri" w:hAnsi="Calibri" w:cs="Calibri"/>
          <w:szCs w:val="20"/>
        </w:rPr>
        <w:t>Discontinued performance measures</w:t>
      </w:r>
    </w:p>
    <w:tbl>
      <w:tblPr>
        <w:tblStyle w:val="TableGrid3"/>
        <w:tblW w:w="5003"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6634"/>
        <w:gridCol w:w="113"/>
      </w:tblGrid>
      <w:tr w:rsidR="00DC530D" w:rsidRPr="005734B8" w14:paraId="259330F4" w14:textId="77777777" w:rsidTr="00937AC3">
        <w:trPr>
          <w:cantSplit/>
          <w:tblHeader/>
        </w:trPr>
        <w:tc>
          <w:tcPr>
            <w:tcW w:w="2268" w:type="dxa"/>
            <w:tcBorders>
              <w:bottom w:val="single" w:sz="4" w:space="0" w:color="FFFFFF" w:themeColor="background1"/>
            </w:tcBorders>
            <w:shd w:val="clear" w:color="auto" w:fill="AF272F" w:themeFill="accent4"/>
          </w:tcPr>
          <w:p w14:paraId="039BAED3" w14:textId="77777777" w:rsidR="00DC530D" w:rsidRPr="005734B8" w:rsidRDefault="00DC530D" w:rsidP="00937AC3">
            <w:pPr>
              <w:spacing w:before="80" w:after="80"/>
              <w:rPr>
                <w:rFonts w:ascii="Calibri" w:eastAsiaTheme="minorEastAsia" w:hAnsi="Calibri" w:cs="Calibri"/>
                <w:b/>
                <w:color w:val="FFFFFF" w:themeColor="background1"/>
                <w:sz w:val="16"/>
                <w:szCs w:val="16"/>
                <w:lang w:val="en-US"/>
              </w:rPr>
            </w:pPr>
            <w:r w:rsidRPr="005734B8">
              <w:rPr>
                <w:rFonts w:ascii="Calibri" w:eastAsiaTheme="minorEastAsia" w:hAnsi="Calibri" w:cs="Calibri"/>
                <w:b/>
                <w:color w:val="FFFFFF" w:themeColor="background1"/>
                <w:sz w:val="16"/>
                <w:szCs w:val="16"/>
                <w:lang w:val="en-US"/>
              </w:rPr>
              <w:t>Output group</w:t>
            </w:r>
          </w:p>
        </w:tc>
        <w:tc>
          <w:tcPr>
            <w:tcW w:w="6747" w:type="dxa"/>
            <w:gridSpan w:val="2"/>
            <w:tcBorders>
              <w:bottom w:val="single" w:sz="4" w:space="0" w:color="FFFFFF" w:themeColor="background1"/>
            </w:tcBorders>
            <w:shd w:val="clear" w:color="auto" w:fill="AF272F" w:themeFill="accent4"/>
          </w:tcPr>
          <w:p w14:paraId="068E8BBB" w14:textId="77777777" w:rsidR="00DC530D" w:rsidRPr="005734B8" w:rsidRDefault="00DC530D" w:rsidP="00937AC3">
            <w:pPr>
              <w:spacing w:before="80" w:after="80"/>
              <w:rPr>
                <w:rFonts w:ascii="Calibri" w:eastAsiaTheme="minorEastAsia" w:hAnsi="Calibri" w:cs="Calibri"/>
                <w:b/>
                <w:color w:val="FFFFFF" w:themeColor="background1"/>
                <w:sz w:val="16"/>
                <w:szCs w:val="16"/>
                <w:lang w:val="en-US"/>
              </w:rPr>
            </w:pPr>
            <w:r w:rsidRPr="005734B8">
              <w:rPr>
                <w:rFonts w:ascii="Calibri" w:eastAsiaTheme="minorEastAsia" w:hAnsi="Calibri" w:cs="Calibri"/>
                <w:b/>
                <w:color w:val="FFFFFF" w:themeColor="background1"/>
                <w:sz w:val="16"/>
                <w:szCs w:val="16"/>
                <w:lang w:val="en-US"/>
              </w:rPr>
              <w:t>Performance measure name</w:t>
            </w:r>
          </w:p>
        </w:tc>
      </w:tr>
      <w:tr w:rsidR="00DC530D" w:rsidRPr="005734B8" w14:paraId="104C9A75" w14:textId="77777777" w:rsidTr="00937AC3">
        <w:trPr>
          <w:gridAfter w:val="1"/>
          <w:wAfter w:w="113" w:type="dxa"/>
          <w:cantSplit/>
        </w:trPr>
        <w:tc>
          <w:tcPr>
            <w:tcW w:w="2268" w:type="dxa"/>
            <w:tcBorders>
              <w:top w:val="single" w:sz="4" w:space="0" w:color="53565A" w:themeColor="accent5"/>
              <w:bottom w:val="single" w:sz="4" w:space="0" w:color="53565A" w:themeColor="accent5"/>
            </w:tcBorders>
            <w:shd w:val="clear" w:color="auto" w:fill="auto"/>
          </w:tcPr>
          <w:p w14:paraId="1AC9B4B2" w14:textId="77777777" w:rsidR="00DC530D" w:rsidRPr="005734B8" w:rsidRDefault="00DC530D" w:rsidP="00937AC3">
            <w:pPr>
              <w:spacing w:before="80" w:after="80"/>
              <w:rPr>
                <w:rFonts w:ascii="Calibri" w:eastAsiaTheme="minorEastAsia" w:hAnsi="Calibri" w:cs="Calibri"/>
                <w:b/>
                <w:color w:val="8A2A2F" w:themeColor="text1"/>
                <w:sz w:val="16"/>
                <w:szCs w:val="16"/>
                <w:lang w:val="en-US"/>
              </w:rPr>
            </w:pPr>
            <w:r w:rsidRPr="005734B8">
              <w:rPr>
                <w:rFonts w:ascii="Calibri" w:eastAsiaTheme="minorEastAsia" w:hAnsi="Calibri" w:cs="Calibri"/>
                <w:b/>
                <w:color w:val="8A2A2F" w:themeColor="text1"/>
                <w:sz w:val="16"/>
                <w:szCs w:val="16"/>
                <w:lang w:val="en-US"/>
              </w:rPr>
              <w:t>Early Childhood Education</w:t>
            </w:r>
          </w:p>
        </w:tc>
        <w:tc>
          <w:tcPr>
            <w:tcW w:w="6634" w:type="dxa"/>
            <w:tcBorders>
              <w:top w:val="single" w:sz="4" w:space="0" w:color="53565A" w:themeColor="accent5"/>
              <w:bottom w:val="single" w:sz="4" w:space="0" w:color="53565A" w:themeColor="accent5"/>
            </w:tcBorders>
            <w:shd w:val="clear" w:color="auto" w:fill="auto"/>
          </w:tcPr>
          <w:p w14:paraId="4725CD95" w14:textId="73E3494A" w:rsidR="00DC530D" w:rsidRPr="005734B8" w:rsidRDefault="00DC530D" w:rsidP="00937AC3">
            <w:pPr>
              <w:spacing w:before="120" w:after="120"/>
              <w:rPr>
                <w:rFonts w:ascii="Calibri" w:eastAsiaTheme="minorEastAsia" w:hAnsi="Calibri" w:cs="Calibri"/>
                <w:sz w:val="16"/>
                <w:szCs w:val="16"/>
                <w:lang w:val="en-US"/>
              </w:rPr>
            </w:pPr>
            <w:r w:rsidRPr="005734B8">
              <w:rPr>
                <w:rFonts w:ascii="Calibri" w:eastAsiaTheme="minorEastAsia" w:hAnsi="Calibri" w:cs="Calibri"/>
                <w:sz w:val="16"/>
                <w:szCs w:val="16"/>
                <w:lang w:val="en-US"/>
              </w:rPr>
              <w:t>Total number of children receiving ECIS</w:t>
            </w:r>
          </w:p>
        </w:tc>
      </w:tr>
      <w:tr w:rsidR="00DC530D" w:rsidRPr="005734B8" w14:paraId="21BDEC96" w14:textId="77777777" w:rsidTr="00937AC3">
        <w:trPr>
          <w:gridAfter w:val="1"/>
          <w:wAfter w:w="113" w:type="dxa"/>
          <w:cantSplit/>
        </w:trPr>
        <w:tc>
          <w:tcPr>
            <w:tcW w:w="2268" w:type="dxa"/>
            <w:tcBorders>
              <w:top w:val="single" w:sz="4" w:space="0" w:color="53565A" w:themeColor="accent5"/>
              <w:bottom w:val="single" w:sz="4" w:space="0" w:color="53565A" w:themeColor="accent5"/>
            </w:tcBorders>
            <w:shd w:val="clear" w:color="auto" w:fill="auto"/>
          </w:tcPr>
          <w:p w14:paraId="65CE3F5C" w14:textId="77777777" w:rsidR="00DC530D" w:rsidRPr="005734B8" w:rsidRDefault="00DC530D" w:rsidP="00937AC3">
            <w:pPr>
              <w:spacing w:before="80" w:after="80"/>
              <w:rPr>
                <w:rFonts w:ascii="Calibri" w:eastAsiaTheme="minorEastAsia" w:hAnsi="Calibri" w:cs="Calibri"/>
                <w:b/>
                <w:color w:val="8A2A2F" w:themeColor="text1"/>
                <w:sz w:val="16"/>
                <w:szCs w:val="16"/>
                <w:lang w:val="en-US"/>
              </w:rPr>
            </w:pPr>
            <w:r w:rsidRPr="005734B8">
              <w:rPr>
                <w:rFonts w:ascii="Calibri" w:eastAsiaTheme="minorEastAsia" w:hAnsi="Calibri" w:cs="Calibri"/>
                <w:b/>
                <w:color w:val="8A2A2F" w:themeColor="text1"/>
                <w:sz w:val="16"/>
                <w:szCs w:val="16"/>
                <w:lang w:val="en-US"/>
              </w:rPr>
              <w:t>Early Childhood Education</w:t>
            </w:r>
          </w:p>
        </w:tc>
        <w:tc>
          <w:tcPr>
            <w:tcW w:w="6634" w:type="dxa"/>
            <w:tcBorders>
              <w:top w:val="single" w:sz="4" w:space="0" w:color="53565A" w:themeColor="accent5"/>
              <w:bottom w:val="single" w:sz="4" w:space="0" w:color="53565A" w:themeColor="accent5"/>
            </w:tcBorders>
            <w:shd w:val="clear" w:color="auto" w:fill="auto"/>
          </w:tcPr>
          <w:p w14:paraId="3461A9DA" w14:textId="77777777" w:rsidR="00DC530D" w:rsidRPr="005734B8" w:rsidRDefault="00DC530D" w:rsidP="00937AC3">
            <w:pPr>
              <w:spacing w:before="120" w:after="120"/>
              <w:rPr>
                <w:rFonts w:ascii="Calibri" w:eastAsiaTheme="minorEastAsia" w:hAnsi="Calibri" w:cs="Calibri"/>
                <w:sz w:val="16"/>
                <w:szCs w:val="16"/>
                <w:lang w:val="en-US"/>
              </w:rPr>
            </w:pPr>
            <w:r w:rsidRPr="005734B8">
              <w:rPr>
                <w:rFonts w:ascii="Calibri" w:eastAsiaTheme="minorEastAsia" w:hAnsi="Calibri" w:cs="Calibri"/>
                <w:sz w:val="16"/>
                <w:szCs w:val="16"/>
                <w:lang w:val="en-US"/>
              </w:rPr>
              <w:t>Families who are satisfied with the Early Childhood Intervention Services provided</w:t>
            </w:r>
          </w:p>
        </w:tc>
      </w:tr>
      <w:tr w:rsidR="00DC530D" w:rsidRPr="005734B8" w14:paraId="1F477CAC" w14:textId="77777777" w:rsidTr="00937AC3">
        <w:trPr>
          <w:gridAfter w:val="1"/>
          <w:wAfter w:w="113" w:type="dxa"/>
          <w:cantSplit/>
        </w:trPr>
        <w:tc>
          <w:tcPr>
            <w:tcW w:w="2268" w:type="dxa"/>
            <w:tcBorders>
              <w:top w:val="single" w:sz="4" w:space="0" w:color="53565A" w:themeColor="accent5"/>
              <w:bottom w:val="single" w:sz="4" w:space="0" w:color="53565A" w:themeColor="accent5"/>
            </w:tcBorders>
            <w:shd w:val="clear" w:color="auto" w:fill="auto"/>
          </w:tcPr>
          <w:p w14:paraId="0E29E88C" w14:textId="4ECD1371" w:rsidR="00DC530D" w:rsidRPr="005734B8" w:rsidRDefault="00DC530D" w:rsidP="00937AC3">
            <w:pPr>
              <w:spacing w:before="80" w:after="80"/>
              <w:rPr>
                <w:rFonts w:ascii="Calibri" w:eastAsiaTheme="minorEastAsia" w:hAnsi="Calibri" w:cs="Calibri"/>
                <w:b/>
                <w:color w:val="8A2A2F" w:themeColor="text1"/>
                <w:sz w:val="16"/>
                <w:szCs w:val="16"/>
                <w:lang w:val="en-US"/>
              </w:rPr>
            </w:pPr>
            <w:r w:rsidRPr="005734B8">
              <w:rPr>
                <w:rFonts w:ascii="Calibri" w:eastAsiaTheme="minorEastAsia" w:hAnsi="Calibri" w:cs="Calibri"/>
                <w:b/>
                <w:color w:val="8A2A2F" w:themeColor="text1"/>
                <w:sz w:val="16"/>
                <w:szCs w:val="16"/>
                <w:lang w:val="en-US"/>
              </w:rPr>
              <w:t>School Education—Primary</w:t>
            </w:r>
          </w:p>
        </w:tc>
        <w:tc>
          <w:tcPr>
            <w:tcW w:w="6634" w:type="dxa"/>
            <w:tcBorders>
              <w:top w:val="single" w:sz="4" w:space="0" w:color="53565A" w:themeColor="accent5"/>
              <w:bottom w:val="single" w:sz="4" w:space="0" w:color="53565A" w:themeColor="accent5"/>
            </w:tcBorders>
            <w:shd w:val="clear" w:color="auto" w:fill="auto"/>
          </w:tcPr>
          <w:p w14:paraId="78CB0338" w14:textId="77777777" w:rsidR="00DC530D" w:rsidRPr="005734B8" w:rsidRDefault="00DC530D" w:rsidP="00937AC3">
            <w:pPr>
              <w:spacing w:before="120" w:after="120"/>
              <w:rPr>
                <w:rFonts w:ascii="Calibri" w:eastAsiaTheme="minorEastAsia" w:hAnsi="Calibri" w:cs="Calibri"/>
                <w:sz w:val="16"/>
                <w:szCs w:val="16"/>
                <w:lang w:val="en-US"/>
              </w:rPr>
            </w:pPr>
            <w:r w:rsidRPr="005734B8">
              <w:rPr>
                <w:rFonts w:ascii="Calibri" w:eastAsiaTheme="minorEastAsia" w:hAnsi="Calibri" w:cs="Calibri"/>
                <w:sz w:val="16"/>
                <w:szCs w:val="16"/>
                <w:lang w:val="en-US"/>
              </w:rPr>
              <w:t>Parent satisfaction with primary schooling on a 100-point scale</w:t>
            </w:r>
          </w:p>
        </w:tc>
      </w:tr>
      <w:tr w:rsidR="00DC530D" w:rsidRPr="005734B8" w14:paraId="3D818C28" w14:textId="77777777" w:rsidTr="00937AC3">
        <w:trPr>
          <w:gridAfter w:val="1"/>
          <w:wAfter w:w="113" w:type="dxa"/>
          <w:cantSplit/>
        </w:trPr>
        <w:tc>
          <w:tcPr>
            <w:tcW w:w="2268" w:type="dxa"/>
            <w:tcBorders>
              <w:top w:val="single" w:sz="4" w:space="0" w:color="53565A" w:themeColor="accent5"/>
              <w:bottom w:val="single" w:sz="4" w:space="0" w:color="53565A" w:themeColor="accent5"/>
            </w:tcBorders>
            <w:shd w:val="clear" w:color="auto" w:fill="auto"/>
          </w:tcPr>
          <w:p w14:paraId="148699BF" w14:textId="73E0B5F3" w:rsidR="00DC530D" w:rsidRPr="005734B8" w:rsidRDefault="00DC530D" w:rsidP="00937AC3">
            <w:pPr>
              <w:spacing w:before="80" w:after="80"/>
              <w:rPr>
                <w:rFonts w:ascii="Calibri" w:eastAsiaTheme="minorEastAsia" w:hAnsi="Calibri" w:cs="Calibri"/>
                <w:b/>
                <w:color w:val="8A2A2F" w:themeColor="text1"/>
                <w:sz w:val="16"/>
                <w:szCs w:val="16"/>
                <w:lang w:val="en-US"/>
              </w:rPr>
            </w:pPr>
            <w:r w:rsidRPr="005734B8">
              <w:rPr>
                <w:rFonts w:ascii="Calibri" w:eastAsiaTheme="minorEastAsia" w:hAnsi="Calibri" w:cs="Calibri"/>
                <w:b/>
                <w:color w:val="8A2A2F" w:themeColor="text1"/>
                <w:sz w:val="16"/>
                <w:szCs w:val="16"/>
                <w:lang w:val="en-US"/>
              </w:rPr>
              <w:t>School Education—Secondary</w:t>
            </w:r>
          </w:p>
        </w:tc>
        <w:tc>
          <w:tcPr>
            <w:tcW w:w="6634" w:type="dxa"/>
            <w:tcBorders>
              <w:top w:val="single" w:sz="4" w:space="0" w:color="53565A" w:themeColor="accent5"/>
              <w:bottom w:val="single" w:sz="4" w:space="0" w:color="53565A" w:themeColor="accent5"/>
            </w:tcBorders>
            <w:shd w:val="clear" w:color="auto" w:fill="auto"/>
          </w:tcPr>
          <w:p w14:paraId="0AC4DDE7" w14:textId="77777777" w:rsidR="00DC530D" w:rsidRPr="005734B8" w:rsidRDefault="00DC530D" w:rsidP="00937AC3">
            <w:pPr>
              <w:spacing w:before="120" w:after="120"/>
              <w:rPr>
                <w:rFonts w:ascii="Calibri" w:eastAsiaTheme="minorEastAsia" w:hAnsi="Calibri" w:cs="Calibri"/>
                <w:sz w:val="16"/>
                <w:szCs w:val="16"/>
                <w:lang w:val="en-US"/>
              </w:rPr>
            </w:pPr>
            <w:r w:rsidRPr="005734B8">
              <w:rPr>
                <w:rFonts w:ascii="Calibri" w:eastAsiaTheme="minorEastAsia" w:hAnsi="Calibri" w:cs="Calibri"/>
                <w:sz w:val="16"/>
                <w:szCs w:val="16"/>
                <w:lang w:val="en-US"/>
              </w:rPr>
              <w:t>Parent satisfaction with secondary schooling on a 100-point scale</w:t>
            </w:r>
          </w:p>
        </w:tc>
      </w:tr>
      <w:tr w:rsidR="00DC530D" w:rsidRPr="005734B8" w14:paraId="54EFA10C" w14:textId="77777777" w:rsidTr="00937AC3">
        <w:trPr>
          <w:gridAfter w:val="1"/>
          <w:wAfter w:w="113" w:type="dxa"/>
          <w:cantSplit/>
        </w:trPr>
        <w:tc>
          <w:tcPr>
            <w:tcW w:w="2268" w:type="dxa"/>
            <w:tcBorders>
              <w:top w:val="single" w:sz="4" w:space="0" w:color="53565A" w:themeColor="accent5"/>
              <w:bottom w:val="single" w:sz="4" w:space="0" w:color="53565A" w:themeColor="accent5"/>
            </w:tcBorders>
            <w:shd w:val="clear" w:color="auto" w:fill="auto"/>
          </w:tcPr>
          <w:p w14:paraId="2DEABEF0" w14:textId="77777777" w:rsidR="00DC530D" w:rsidRPr="005734B8" w:rsidRDefault="00DC530D" w:rsidP="00937AC3">
            <w:pPr>
              <w:spacing w:before="80" w:after="80"/>
              <w:rPr>
                <w:rFonts w:ascii="Calibri" w:eastAsiaTheme="minorEastAsia" w:hAnsi="Calibri" w:cs="Calibri"/>
                <w:b/>
                <w:color w:val="8A2A2F" w:themeColor="text1"/>
                <w:sz w:val="16"/>
                <w:szCs w:val="16"/>
                <w:lang w:val="en-US"/>
              </w:rPr>
            </w:pPr>
            <w:r w:rsidRPr="005734B8">
              <w:rPr>
                <w:rFonts w:ascii="Calibri" w:eastAsiaTheme="minorEastAsia" w:hAnsi="Calibri" w:cs="Calibri"/>
                <w:b/>
                <w:color w:val="8A2A2F" w:themeColor="text1"/>
                <w:sz w:val="16"/>
                <w:szCs w:val="16"/>
                <w:lang w:val="en-US"/>
              </w:rPr>
              <w:t>Training, Higher Education and Workforce Development</w:t>
            </w:r>
          </w:p>
        </w:tc>
        <w:tc>
          <w:tcPr>
            <w:tcW w:w="6634" w:type="dxa"/>
            <w:tcBorders>
              <w:top w:val="single" w:sz="4" w:space="0" w:color="53565A" w:themeColor="accent5"/>
              <w:bottom w:val="single" w:sz="4" w:space="0" w:color="53565A" w:themeColor="accent5"/>
            </w:tcBorders>
            <w:shd w:val="clear" w:color="auto" w:fill="auto"/>
          </w:tcPr>
          <w:p w14:paraId="21ABBFF3" w14:textId="77777777" w:rsidR="00DC530D" w:rsidRPr="005734B8" w:rsidRDefault="00DC530D" w:rsidP="00937AC3">
            <w:pPr>
              <w:spacing w:before="120" w:after="120"/>
              <w:rPr>
                <w:rFonts w:ascii="Calibri" w:eastAsiaTheme="minorEastAsia" w:hAnsi="Calibri" w:cs="Calibri"/>
                <w:sz w:val="16"/>
                <w:szCs w:val="16"/>
                <w:lang w:val="en-US"/>
              </w:rPr>
            </w:pPr>
            <w:r w:rsidRPr="005734B8">
              <w:rPr>
                <w:rFonts w:ascii="Calibri" w:eastAsiaTheme="minorEastAsia" w:hAnsi="Calibri" w:cs="Calibri"/>
                <w:sz w:val="16"/>
                <w:szCs w:val="16"/>
                <w:lang w:val="en-US"/>
              </w:rPr>
              <w:t>Grants to support workforce development, skills sector reform, structural adjustment and job creation initiatives</w:t>
            </w:r>
          </w:p>
        </w:tc>
      </w:tr>
      <w:tr w:rsidR="00DC530D" w:rsidRPr="005734B8" w14:paraId="53FF8EC3" w14:textId="77777777" w:rsidTr="00937AC3">
        <w:trPr>
          <w:cantSplit/>
        </w:trPr>
        <w:tc>
          <w:tcPr>
            <w:tcW w:w="2268" w:type="dxa"/>
            <w:tcBorders>
              <w:top w:val="single" w:sz="4" w:space="0" w:color="53565A" w:themeColor="accent5"/>
              <w:bottom w:val="single" w:sz="4" w:space="0" w:color="53565A" w:themeColor="accent5"/>
            </w:tcBorders>
            <w:shd w:val="clear" w:color="auto" w:fill="auto"/>
          </w:tcPr>
          <w:p w14:paraId="0802260D" w14:textId="77777777" w:rsidR="00DC530D" w:rsidRPr="005734B8" w:rsidRDefault="00DC530D" w:rsidP="00937AC3">
            <w:pPr>
              <w:spacing w:before="80" w:after="80"/>
              <w:rPr>
                <w:rFonts w:ascii="Calibri" w:eastAsiaTheme="minorEastAsia" w:hAnsi="Calibri" w:cs="Calibri"/>
                <w:b/>
                <w:color w:val="8A2A2F" w:themeColor="text1"/>
                <w:sz w:val="16"/>
                <w:szCs w:val="16"/>
                <w:lang w:val="en-US"/>
              </w:rPr>
            </w:pPr>
            <w:r w:rsidRPr="005734B8">
              <w:rPr>
                <w:rFonts w:ascii="Calibri" w:eastAsiaTheme="minorEastAsia" w:hAnsi="Calibri" w:cs="Calibri"/>
                <w:b/>
                <w:color w:val="8A2A2F" w:themeColor="text1"/>
                <w:sz w:val="16"/>
                <w:szCs w:val="16"/>
                <w:lang w:val="en-US"/>
              </w:rPr>
              <w:t>Support for Students with Disabilities</w:t>
            </w:r>
          </w:p>
        </w:tc>
        <w:tc>
          <w:tcPr>
            <w:tcW w:w="6747" w:type="dxa"/>
            <w:gridSpan w:val="2"/>
            <w:tcBorders>
              <w:top w:val="single" w:sz="4" w:space="0" w:color="53565A" w:themeColor="accent5"/>
              <w:bottom w:val="single" w:sz="4" w:space="0" w:color="53565A" w:themeColor="accent5"/>
            </w:tcBorders>
            <w:shd w:val="clear" w:color="auto" w:fill="auto"/>
          </w:tcPr>
          <w:p w14:paraId="557A6849" w14:textId="77777777" w:rsidR="00DC530D" w:rsidRPr="005734B8" w:rsidRDefault="00DC530D" w:rsidP="00937AC3">
            <w:pPr>
              <w:spacing w:before="120" w:after="120"/>
              <w:rPr>
                <w:rFonts w:ascii="Calibri" w:eastAsiaTheme="minorEastAsia" w:hAnsi="Calibri" w:cs="Calibri"/>
                <w:sz w:val="16"/>
                <w:szCs w:val="16"/>
                <w:lang w:val="en-US"/>
              </w:rPr>
            </w:pPr>
            <w:r w:rsidRPr="005734B8">
              <w:rPr>
                <w:rFonts w:ascii="Calibri" w:eastAsiaTheme="minorEastAsia" w:hAnsi="Calibri" w:cs="Calibri"/>
                <w:sz w:val="16"/>
                <w:szCs w:val="16"/>
                <w:lang w:val="en-US"/>
              </w:rPr>
              <w:t>Parent satisfaction with special education on a 100-point scale</w:t>
            </w:r>
          </w:p>
        </w:tc>
      </w:tr>
    </w:tbl>
    <w:p w14:paraId="0E14AB4E" w14:textId="77777777" w:rsidR="00DC530D" w:rsidRPr="005734B8" w:rsidRDefault="00DC530D" w:rsidP="00DC530D">
      <w:pPr>
        <w:rPr>
          <w:rFonts w:ascii="Calibri" w:eastAsiaTheme="majorEastAsia" w:hAnsi="Calibri" w:cs="Calibri"/>
          <w:bCs/>
          <w:color w:val="8A2A2F" w:themeColor="text1"/>
          <w:spacing w:val="5"/>
          <w:kern w:val="28"/>
          <w:sz w:val="28"/>
          <w:szCs w:val="20"/>
          <w:lang w:val="en-US"/>
        </w:rPr>
        <w:sectPr w:rsidR="00DC530D" w:rsidRPr="005734B8" w:rsidSect="000E6F40">
          <w:pgSz w:w="11900" w:h="16840"/>
          <w:pgMar w:top="1440" w:right="1440" w:bottom="1440" w:left="1440" w:header="708" w:footer="708" w:gutter="0"/>
          <w:cols w:space="708"/>
          <w:docGrid w:linePitch="360"/>
        </w:sectPr>
      </w:pPr>
    </w:p>
    <w:p w14:paraId="04642DE0" w14:textId="77EF17B4" w:rsidR="008B01E5" w:rsidRPr="005734B8" w:rsidRDefault="008B01E5" w:rsidP="008B01E5">
      <w:pPr>
        <w:pStyle w:val="ESHeading2"/>
        <w:rPr>
          <w:rFonts w:ascii="Calibri" w:hAnsi="Calibri" w:cs="Calibri"/>
        </w:rPr>
      </w:pPr>
      <w:bookmarkStart w:id="235" w:name="_Toc81315318"/>
      <w:r w:rsidRPr="005734B8">
        <w:rPr>
          <w:rFonts w:ascii="Calibri" w:hAnsi="Calibri" w:cs="Calibri"/>
        </w:rPr>
        <w:lastRenderedPageBreak/>
        <w:t>Five-year financial summary</w:t>
      </w:r>
      <w:bookmarkEnd w:id="215"/>
      <w:bookmarkEnd w:id="216"/>
      <w:bookmarkEnd w:id="228"/>
      <w:bookmarkEnd w:id="229"/>
      <w:bookmarkEnd w:id="230"/>
      <w:bookmarkEnd w:id="231"/>
      <w:bookmarkEnd w:id="232"/>
      <w:bookmarkEnd w:id="233"/>
      <w:bookmarkEnd w:id="234"/>
      <w:bookmarkEnd w:id="235"/>
      <w:r w:rsidRPr="005734B8">
        <w:rPr>
          <w:rFonts w:ascii="Calibri" w:hAnsi="Calibri" w:cs="Calibri"/>
        </w:rPr>
        <w:t xml:space="preserve"> </w:t>
      </w:r>
    </w:p>
    <w:p w14:paraId="51BE3F58" w14:textId="49D06E0A" w:rsidR="008B01E5" w:rsidRPr="005734B8" w:rsidRDefault="008B01E5" w:rsidP="008B01E5">
      <w:pPr>
        <w:rPr>
          <w:rFonts w:ascii="Calibri" w:hAnsi="Calibri" w:cs="Calibri"/>
        </w:rPr>
      </w:pPr>
      <w:r w:rsidRPr="005734B8">
        <w:rPr>
          <w:rFonts w:ascii="Calibri" w:hAnsi="Calibri" w:cs="Calibri"/>
        </w:rPr>
        <w:t xml:space="preserve">The </w:t>
      </w:r>
      <w:r w:rsidR="0080400F" w:rsidRPr="005734B8">
        <w:rPr>
          <w:rFonts w:ascii="Calibri" w:hAnsi="Calibri" w:cs="Calibri"/>
        </w:rPr>
        <w:t>financial s</w:t>
      </w:r>
      <w:r w:rsidR="003243DC" w:rsidRPr="005734B8">
        <w:rPr>
          <w:rFonts w:ascii="Calibri" w:hAnsi="Calibri" w:cs="Calibri"/>
        </w:rPr>
        <w:t>tatements</w:t>
      </w:r>
      <w:r w:rsidRPr="005734B8">
        <w:rPr>
          <w:rFonts w:ascii="Calibri" w:hAnsi="Calibri" w:cs="Calibri"/>
        </w:rPr>
        <w:t xml:space="preserve"> presented in this annual report relate to the controlled operations of the Department, including government schools.</w:t>
      </w:r>
    </w:p>
    <w:p w14:paraId="567EB81C" w14:textId="77777777" w:rsidR="003243DC" w:rsidRPr="005734B8" w:rsidRDefault="003243DC" w:rsidP="008B01E5">
      <w:pPr>
        <w:rPr>
          <w:rFonts w:ascii="Calibri" w:hAnsi="Calibri" w:cs="Calibri"/>
        </w:rPr>
      </w:pPr>
    </w:p>
    <w:p w14:paraId="592541C6" w14:textId="028A7AE8" w:rsidR="00D76E87" w:rsidRPr="005734B8" w:rsidRDefault="008B01E5" w:rsidP="00D76E87">
      <w:pPr>
        <w:rPr>
          <w:rFonts w:ascii="Calibri" w:hAnsi="Calibri" w:cs="Calibri"/>
        </w:rPr>
      </w:pPr>
      <w:r w:rsidRPr="005734B8">
        <w:rPr>
          <w:rFonts w:ascii="Calibri" w:hAnsi="Calibri" w:cs="Calibri"/>
        </w:rPr>
        <w:t xml:space="preserve">Other agencies in the portfolio report separately and </w:t>
      </w:r>
      <w:r w:rsidR="003243DC" w:rsidRPr="005734B8">
        <w:rPr>
          <w:rFonts w:ascii="Calibri" w:hAnsi="Calibri" w:cs="Calibri"/>
        </w:rPr>
        <w:t xml:space="preserve">therefore </w:t>
      </w:r>
      <w:r w:rsidRPr="005734B8">
        <w:rPr>
          <w:rFonts w:ascii="Calibri" w:hAnsi="Calibri" w:cs="Calibri"/>
        </w:rPr>
        <w:t xml:space="preserve">their results are not included in the controlled financial transactions of the Department. These </w:t>
      </w:r>
      <w:r w:rsidR="003243DC" w:rsidRPr="005734B8">
        <w:rPr>
          <w:rFonts w:ascii="Calibri" w:hAnsi="Calibri" w:cs="Calibri"/>
        </w:rPr>
        <w:t>entities</w:t>
      </w:r>
      <w:r w:rsidRPr="005734B8">
        <w:rPr>
          <w:rFonts w:ascii="Calibri" w:hAnsi="Calibri" w:cs="Calibri"/>
        </w:rPr>
        <w:t xml:space="preserve"> include</w:t>
      </w:r>
      <w:r w:rsidR="001509E3" w:rsidRPr="005734B8">
        <w:rPr>
          <w:rFonts w:ascii="Calibri" w:hAnsi="Calibri" w:cs="Calibri"/>
        </w:rPr>
        <w:t>:</w:t>
      </w:r>
      <w:r w:rsidRPr="005734B8">
        <w:rPr>
          <w:rFonts w:ascii="Calibri" w:hAnsi="Calibri" w:cs="Calibri"/>
        </w:rPr>
        <w:t xml:space="preserve"> the </w:t>
      </w:r>
      <w:r w:rsidR="0080400F" w:rsidRPr="005734B8">
        <w:rPr>
          <w:rFonts w:ascii="Calibri" w:hAnsi="Calibri" w:cs="Calibri"/>
        </w:rPr>
        <w:t>A</w:t>
      </w:r>
      <w:r w:rsidR="00EE0C44" w:rsidRPr="005734B8">
        <w:rPr>
          <w:rFonts w:ascii="Calibri" w:hAnsi="Calibri" w:cs="Calibri"/>
        </w:rPr>
        <w:t>dult, Community and Further Education (ACFE)</w:t>
      </w:r>
      <w:r w:rsidRPr="005734B8">
        <w:rPr>
          <w:rFonts w:ascii="Calibri" w:hAnsi="Calibri" w:cs="Calibri"/>
        </w:rPr>
        <w:t xml:space="preserve"> Board, Adult Multicultural Education Services</w:t>
      </w:r>
      <w:r w:rsidR="0080400F" w:rsidRPr="005734B8">
        <w:rPr>
          <w:rFonts w:ascii="Calibri" w:hAnsi="Calibri" w:cs="Calibri"/>
        </w:rPr>
        <w:t xml:space="preserve"> (AMES)</w:t>
      </w:r>
      <w:r w:rsidRPr="005734B8">
        <w:rPr>
          <w:rFonts w:ascii="Calibri" w:hAnsi="Calibri" w:cs="Calibri"/>
        </w:rPr>
        <w:t xml:space="preserve">, </w:t>
      </w:r>
      <w:r w:rsidR="003243DC" w:rsidRPr="005734B8">
        <w:rPr>
          <w:rFonts w:ascii="Calibri" w:hAnsi="Calibri" w:cs="Calibri"/>
        </w:rPr>
        <w:t>Victorian Curriculum and Assessment Authority</w:t>
      </w:r>
      <w:r w:rsidR="0080400F" w:rsidRPr="005734B8">
        <w:rPr>
          <w:rFonts w:ascii="Calibri" w:hAnsi="Calibri" w:cs="Calibri"/>
        </w:rPr>
        <w:t xml:space="preserve"> (VCAA), </w:t>
      </w:r>
      <w:r w:rsidR="008C12A2" w:rsidRPr="005734B8">
        <w:rPr>
          <w:rFonts w:ascii="Calibri" w:hAnsi="Calibri" w:cs="Calibri"/>
        </w:rPr>
        <w:t>Victorian Institute of Teaching (</w:t>
      </w:r>
      <w:r w:rsidR="0080400F" w:rsidRPr="005734B8">
        <w:rPr>
          <w:rFonts w:ascii="Calibri" w:hAnsi="Calibri" w:cs="Calibri"/>
        </w:rPr>
        <w:t>VIT</w:t>
      </w:r>
      <w:r w:rsidR="008C12A2" w:rsidRPr="005734B8">
        <w:rPr>
          <w:rFonts w:ascii="Calibri" w:hAnsi="Calibri" w:cs="Calibri"/>
        </w:rPr>
        <w:t>)</w:t>
      </w:r>
      <w:r w:rsidRPr="005734B8">
        <w:rPr>
          <w:rFonts w:ascii="Calibri" w:hAnsi="Calibri" w:cs="Calibri"/>
        </w:rPr>
        <w:t xml:space="preserve">, </w:t>
      </w:r>
      <w:r w:rsidR="00EE0C44" w:rsidRPr="005734B8">
        <w:rPr>
          <w:rFonts w:ascii="Calibri" w:hAnsi="Calibri" w:cs="Calibri"/>
        </w:rPr>
        <w:t>Victorian Registration and Qualifications Authority (</w:t>
      </w:r>
      <w:r w:rsidR="0080400F" w:rsidRPr="005734B8">
        <w:rPr>
          <w:rFonts w:ascii="Calibri" w:hAnsi="Calibri" w:cs="Calibri"/>
        </w:rPr>
        <w:t>VRQA</w:t>
      </w:r>
      <w:r w:rsidR="00EE0C44" w:rsidRPr="005734B8">
        <w:rPr>
          <w:rFonts w:ascii="Calibri" w:hAnsi="Calibri" w:cs="Calibri"/>
        </w:rPr>
        <w:t>)</w:t>
      </w:r>
      <w:r w:rsidRPr="005734B8">
        <w:rPr>
          <w:rFonts w:ascii="Calibri" w:hAnsi="Calibri" w:cs="Calibri"/>
        </w:rPr>
        <w:t>, and TAFE institutes.</w:t>
      </w:r>
    </w:p>
    <w:p w14:paraId="72C0F239" w14:textId="77777777" w:rsidR="00D76E87" w:rsidRPr="005734B8" w:rsidRDefault="00D76E87" w:rsidP="00D76E87">
      <w:pPr>
        <w:rPr>
          <w:rFonts w:ascii="Calibri" w:hAnsi="Calibri" w:cs="Calibri"/>
        </w:rPr>
      </w:pPr>
    </w:p>
    <w:p w14:paraId="679FCF1B" w14:textId="4C1583EF" w:rsidR="00D76E87" w:rsidRPr="005734B8" w:rsidRDefault="00D76E87" w:rsidP="00D76E87">
      <w:pPr>
        <w:rPr>
          <w:rFonts w:ascii="Calibri" w:hAnsi="Calibri" w:cs="Calibri"/>
        </w:rPr>
      </w:pPr>
      <w:r w:rsidRPr="005734B8">
        <w:rPr>
          <w:rFonts w:ascii="Calibri" w:hAnsi="Calibri" w:cs="Calibri"/>
        </w:rPr>
        <w:t>The following table summarises the Department’s financial results for the financial year just completed and provides comparative information for the previous four years.</w:t>
      </w:r>
    </w:p>
    <w:p w14:paraId="0608A220" w14:textId="1CCFB6AD" w:rsidR="008B01E5" w:rsidRPr="005734B8" w:rsidRDefault="008B01E5" w:rsidP="00D76E87">
      <w:pPr>
        <w:pStyle w:val="H5"/>
        <w:spacing w:before="240"/>
        <w:rPr>
          <w:rFonts w:ascii="Calibri" w:hAnsi="Calibri" w:cs="Calibri"/>
          <w:szCs w:val="20"/>
        </w:rPr>
      </w:pPr>
      <w:r w:rsidRPr="005734B8">
        <w:rPr>
          <w:rFonts w:ascii="Calibri" w:hAnsi="Calibri" w:cs="Calibri"/>
          <w:szCs w:val="20"/>
        </w:rPr>
        <w:t>Five-year financial summary</w:t>
      </w:r>
    </w:p>
    <w:tbl>
      <w:tblPr>
        <w:tblStyle w:val="TableGrid"/>
        <w:tblW w:w="482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34"/>
        <w:gridCol w:w="963"/>
        <w:gridCol w:w="993"/>
        <w:gridCol w:w="992"/>
        <w:gridCol w:w="1134"/>
        <w:gridCol w:w="1134"/>
      </w:tblGrid>
      <w:tr w:rsidR="00D76E87" w:rsidRPr="005734B8" w14:paraId="2D9B8DF5" w14:textId="77777777" w:rsidTr="000F48B1">
        <w:trPr>
          <w:cantSplit/>
          <w:trHeight w:val="242"/>
          <w:tblHeader/>
        </w:trPr>
        <w:tc>
          <w:tcPr>
            <w:tcW w:w="2434" w:type="dxa"/>
            <w:tcBorders>
              <w:bottom w:val="single" w:sz="4" w:space="0" w:color="FFFFFF" w:themeColor="background1"/>
            </w:tcBorders>
            <w:shd w:val="clear" w:color="auto" w:fill="AF272F" w:themeFill="accent4"/>
          </w:tcPr>
          <w:p w14:paraId="03478768" w14:textId="77777777" w:rsidR="00D76E87" w:rsidRPr="005734B8" w:rsidRDefault="00D76E87" w:rsidP="000F48B1">
            <w:pPr>
              <w:pStyle w:val="ESTableheadingwhite"/>
              <w:rPr>
                <w:rFonts w:ascii="Calibri" w:hAnsi="Calibri" w:cs="Calibri"/>
                <w:sz w:val="18"/>
              </w:rPr>
            </w:pPr>
            <w:r w:rsidRPr="005734B8">
              <w:rPr>
                <w:rFonts w:ascii="Calibri" w:hAnsi="Calibri" w:cs="Calibri"/>
                <w:sz w:val="18"/>
              </w:rPr>
              <w:t>Five-year financial summary</w:t>
            </w:r>
          </w:p>
        </w:tc>
        <w:tc>
          <w:tcPr>
            <w:tcW w:w="963" w:type="dxa"/>
            <w:tcBorders>
              <w:bottom w:val="single" w:sz="4" w:space="0" w:color="FFFFFF" w:themeColor="background1"/>
            </w:tcBorders>
            <w:shd w:val="clear" w:color="auto" w:fill="AF272F" w:themeFill="accent4"/>
          </w:tcPr>
          <w:p w14:paraId="6A22523B" w14:textId="77777777" w:rsidR="00D76E87" w:rsidRPr="005734B8" w:rsidRDefault="00D76E87" w:rsidP="000F48B1">
            <w:pPr>
              <w:pStyle w:val="ESTableheadingwhite"/>
              <w:jc w:val="right"/>
              <w:rPr>
                <w:rFonts w:ascii="Calibri" w:hAnsi="Calibri" w:cs="Calibri"/>
                <w:sz w:val="18"/>
              </w:rPr>
            </w:pPr>
            <w:r w:rsidRPr="005734B8">
              <w:rPr>
                <w:rFonts w:ascii="Calibri" w:hAnsi="Calibri" w:cs="Calibri"/>
                <w:sz w:val="18"/>
              </w:rPr>
              <w:t>2020–21</w:t>
            </w:r>
          </w:p>
        </w:tc>
        <w:tc>
          <w:tcPr>
            <w:tcW w:w="993" w:type="dxa"/>
            <w:tcBorders>
              <w:bottom w:val="single" w:sz="4" w:space="0" w:color="FFFFFF" w:themeColor="background1"/>
            </w:tcBorders>
            <w:shd w:val="clear" w:color="auto" w:fill="AF272F" w:themeFill="accent4"/>
          </w:tcPr>
          <w:p w14:paraId="41B99D25" w14:textId="77777777" w:rsidR="00D76E87" w:rsidRPr="005734B8" w:rsidRDefault="00D76E87" w:rsidP="000F48B1">
            <w:pPr>
              <w:pStyle w:val="ESTableheadingwhite"/>
              <w:jc w:val="right"/>
              <w:rPr>
                <w:rFonts w:ascii="Calibri" w:hAnsi="Calibri" w:cs="Calibri"/>
                <w:sz w:val="18"/>
              </w:rPr>
            </w:pPr>
            <w:r w:rsidRPr="005734B8">
              <w:rPr>
                <w:rFonts w:ascii="Calibri" w:hAnsi="Calibri" w:cs="Calibri"/>
                <w:sz w:val="18"/>
              </w:rPr>
              <w:t>2019–20</w:t>
            </w:r>
          </w:p>
        </w:tc>
        <w:tc>
          <w:tcPr>
            <w:tcW w:w="992" w:type="dxa"/>
            <w:tcBorders>
              <w:bottom w:val="single" w:sz="4" w:space="0" w:color="FFFFFF" w:themeColor="background1"/>
            </w:tcBorders>
            <w:shd w:val="clear" w:color="auto" w:fill="AF272F" w:themeFill="accent4"/>
          </w:tcPr>
          <w:p w14:paraId="08CE5AA7" w14:textId="77777777" w:rsidR="00D76E87" w:rsidRPr="005734B8" w:rsidRDefault="00D76E87" w:rsidP="000F48B1">
            <w:pPr>
              <w:pStyle w:val="ESTableheadingwhite"/>
              <w:jc w:val="right"/>
              <w:rPr>
                <w:rFonts w:ascii="Calibri" w:hAnsi="Calibri" w:cs="Calibri"/>
                <w:sz w:val="18"/>
              </w:rPr>
            </w:pPr>
            <w:r w:rsidRPr="005734B8">
              <w:rPr>
                <w:rFonts w:ascii="Calibri" w:hAnsi="Calibri" w:cs="Calibri"/>
                <w:sz w:val="18"/>
              </w:rPr>
              <w:t>2018–19</w:t>
            </w:r>
          </w:p>
        </w:tc>
        <w:tc>
          <w:tcPr>
            <w:tcW w:w="1134" w:type="dxa"/>
            <w:tcBorders>
              <w:bottom w:val="single" w:sz="4" w:space="0" w:color="FFFFFF" w:themeColor="background1"/>
            </w:tcBorders>
            <w:shd w:val="clear" w:color="auto" w:fill="AF272F" w:themeFill="accent4"/>
          </w:tcPr>
          <w:p w14:paraId="6F7873B5" w14:textId="77777777" w:rsidR="00D76E87" w:rsidRPr="005734B8" w:rsidRDefault="00D76E87" w:rsidP="000F48B1">
            <w:pPr>
              <w:pStyle w:val="ESTableheadingwhite"/>
              <w:jc w:val="right"/>
              <w:rPr>
                <w:rFonts w:ascii="Calibri" w:hAnsi="Calibri" w:cs="Calibri"/>
                <w:sz w:val="18"/>
              </w:rPr>
            </w:pPr>
            <w:r w:rsidRPr="005734B8">
              <w:rPr>
                <w:rFonts w:ascii="Calibri" w:hAnsi="Calibri" w:cs="Calibri"/>
                <w:sz w:val="18"/>
              </w:rPr>
              <w:t>2017–18</w:t>
            </w:r>
          </w:p>
        </w:tc>
        <w:tc>
          <w:tcPr>
            <w:tcW w:w="1134" w:type="dxa"/>
            <w:tcBorders>
              <w:bottom w:val="single" w:sz="4" w:space="0" w:color="FFFFFF" w:themeColor="background1"/>
            </w:tcBorders>
            <w:shd w:val="clear" w:color="auto" w:fill="AF272F" w:themeFill="accent4"/>
          </w:tcPr>
          <w:p w14:paraId="7AFBEC0C" w14:textId="77777777" w:rsidR="00D76E87" w:rsidRPr="005734B8" w:rsidRDefault="00D76E87" w:rsidP="000F48B1">
            <w:pPr>
              <w:pStyle w:val="ESTableheadingwhite"/>
              <w:jc w:val="right"/>
              <w:rPr>
                <w:rFonts w:ascii="Calibri" w:hAnsi="Calibri" w:cs="Calibri"/>
                <w:sz w:val="18"/>
              </w:rPr>
            </w:pPr>
            <w:r w:rsidRPr="005734B8">
              <w:rPr>
                <w:rFonts w:ascii="Calibri" w:hAnsi="Calibri" w:cs="Calibri"/>
                <w:sz w:val="18"/>
              </w:rPr>
              <w:t>2016–17</w:t>
            </w:r>
          </w:p>
        </w:tc>
      </w:tr>
      <w:tr w:rsidR="00D76E87" w:rsidRPr="005734B8" w14:paraId="065433D7" w14:textId="77777777" w:rsidTr="000F48B1">
        <w:trPr>
          <w:cantSplit/>
        </w:trPr>
        <w:tc>
          <w:tcPr>
            <w:tcW w:w="2434" w:type="dxa"/>
            <w:tcBorders>
              <w:bottom w:val="single" w:sz="4" w:space="0" w:color="53565A" w:themeColor="accent5"/>
              <w:right w:val="nil"/>
            </w:tcBorders>
            <w:shd w:val="clear" w:color="auto" w:fill="53565A" w:themeFill="accent5"/>
          </w:tcPr>
          <w:p w14:paraId="43A1C4BF" w14:textId="77777777" w:rsidR="00D76E87" w:rsidRPr="005734B8" w:rsidRDefault="00D76E87" w:rsidP="000F48B1">
            <w:pPr>
              <w:pStyle w:val="ESTableheading"/>
              <w:rPr>
                <w:rFonts w:ascii="Calibri" w:hAnsi="Calibri" w:cs="Calibri"/>
                <w:sz w:val="18"/>
              </w:rPr>
            </w:pPr>
          </w:p>
        </w:tc>
        <w:tc>
          <w:tcPr>
            <w:tcW w:w="963" w:type="dxa"/>
            <w:tcBorders>
              <w:bottom w:val="single" w:sz="4" w:space="0" w:color="53565A" w:themeColor="accent5"/>
              <w:right w:val="nil"/>
            </w:tcBorders>
            <w:shd w:val="clear" w:color="auto" w:fill="53565A" w:themeFill="accent5"/>
          </w:tcPr>
          <w:p w14:paraId="3005BDF0" w14:textId="77777777" w:rsidR="00D76E87" w:rsidRPr="005734B8" w:rsidRDefault="00D76E87" w:rsidP="000F48B1">
            <w:pPr>
              <w:pStyle w:val="ESTablenumberrightaligned"/>
              <w:rPr>
                <w:rFonts w:ascii="Calibri" w:hAnsi="Calibri" w:cs="Calibri"/>
                <w:b/>
                <w:color w:val="FFFFFF" w:themeColor="background1"/>
                <w:sz w:val="18"/>
              </w:rPr>
            </w:pPr>
            <w:r w:rsidRPr="005734B8">
              <w:rPr>
                <w:rFonts w:ascii="Calibri" w:hAnsi="Calibri" w:cs="Calibri"/>
                <w:b/>
                <w:color w:val="FFFFFF" w:themeColor="background1"/>
                <w:sz w:val="18"/>
              </w:rPr>
              <w:t>$m</w:t>
            </w:r>
          </w:p>
        </w:tc>
        <w:tc>
          <w:tcPr>
            <w:tcW w:w="993" w:type="dxa"/>
            <w:tcBorders>
              <w:left w:val="nil"/>
              <w:bottom w:val="single" w:sz="4" w:space="0" w:color="53565A" w:themeColor="accent5"/>
              <w:right w:val="nil"/>
            </w:tcBorders>
            <w:shd w:val="clear" w:color="auto" w:fill="53565A" w:themeFill="accent5"/>
          </w:tcPr>
          <w:p w14:paraId="67545EE7" w14:textId="77777777" w:rsidR="00D76E87" w:rsidRPr="005734B8" w:rsidRDefault="00D76E87" w:rsidP="000F48B1">
            <w:pPr>
              <w:pStyle w:val="ESTablenumberrightaligned"/>
              <w:rPr>
                <w:rFonts w:ascii="Calibri" w:hAnsi="Calibri" w:cs="Calibri"/>
                <w:b/>
                <w:color w:val="FFFFFF" w:themeColor="background1"/>
                <w:sz w:val="18"/>
              </w:rPr>
            </w:pPr>
            <w:r w:rsidRPr="005734B8">
              <w:rPr>
                <w:rFonts w:ascii="Calibri" w:hAnsi="Calibri" w:cs="Calibri"/>
                <w:b/>
                <w:color w:val="FFFFFF" w:themeColor="background1"/>
                <w:sz w:val="18"/>
              </w:rPr>
              <w:t>$m</w:t>
            </w:r>
          </w:p>
        </w:tc>
        <w:tc>
          <w:tcPr>
            <w:tcW w:w="992" w:type="dxa"/>
            <w:tcBorders>
              <w:left w:val="nil"/>
              <w:bottom w:val="single" w:sz="4" w:space="0" w:color="53565A" w:themeColor="accent5"/>
              <w:right w:val="nil"/>
            </w:tcBorders>
            <w:shd w:val="clear" w:color="auto" w:fill="53565A" w:themeFill="accent5"/>
          </w:tcPr>
          <w:p w14:paraId="2AC99F08" w14:textId="77777777" w:rsidR="00D76E87" w:rsidRPr="005734B8" w:rsidRDefault="00D76E87" w:rsidP="000F48B1">
            <w:pPr>
              <w:pStyle w:val="ESTablenumberrightaligned"/>
              <w:rPr>
                <w:rFonts w:ascii="Calibri" w:hAnsi="Calibri" w:cs="Calibri"/>
                <w:b/>
                <w:color w:val="FFFFFF" w:themeColor="background1"/>
                <w:sz w:val="18"/>
              </w:rPr>
            </w:pPr>
            <w:r w:rsidRPr="005734B8">
              <w:rPr>
                <w:rFonts w:ascii="Calibri" w:hAnsi="Calibri" w:cs="Calibri"/>
                <w:b/>
                <w:color w:val="FFFFFF" w:themeColor="background1"/>
                <w:sz w:val="18"/>
              </w:rPr>
              <w:t>$m</w:t>
            </w:r>
          </w:p>
        </w:tc>
        <w:tc>
          <w:tcPr>
            <w:tcW w:w="1134" w:type="dxa"/>
            <w:tcBorders>
              <w:left w:val="nil"/>
              <w:bottom w:val="single" w:sz="4" w:space="0" w:color="53565A" w:themeColor="accent5"/>
              <w:right w:val="nil"/>
            </w:tcBorders>
            <w:shd w:val="clear" w:color="auto" w:fill="53565A" w:themeFill="accent5"/>
          </w:tcPr>
          <w:p w14:paraId="13E6CAF4" w14:textId="77777777" w:rsidR="00D76E87" w:rsidRPr="005734B8" w:rsidRDefault="00D76E87" w:rsidP="000F48B1">
            <w:pPr>
              <w:pStyle w:val="ESTablenumberrightaligned"/>
              <w:rPr>
                <w:rFonts w:ascii="Calibri" w:hAnsi="Calibri" w:cs="Calibri"/>
                <w:b/>
                <w:color w:val="FFFFFF" w:themeColor="background1"/>
                <w:sz w:val="18"/>
              </w:rPr>
            </w:pPr>
            <w:r w:rsidRPr="005734B8">
              <w:rPr>
                <w:rFonts w:ascii="Calibri" w:hAnsi="Calibri" w:cs="Calibri"/>
                <w:b/>
                <w:color w:val="FFFFFF" w:themeColor="background1"/>
                <w:sz w:val="18"/>
              </w:rPr>
              <w:t>$m</w:t>
            </w:r>
          </w:p>
        </w:tc>
        <w:tc>
          <w:tcPr>
            <w:tcW w:w="1134" w:type="dxa"/>
            <w:tcBorders>
              <w:left w:val="nil"/>
              <w:bottom w:val="single" w:sz="4" w:space="0" w:color="53565A" w:themeColor="accent5"/>
              <w:right w:val="nil"/>
            </w:tcBorders>
            <w:shd w:val="clear" w:color="auto" w:fill="53565A" w:themeFill="accent5"/>
          </w:tcPr>
          <w:p w14:paraId="1804AC57" w14:textId="77777777" w:rsidR="00D76E87" w:rsidRPr="005734B8" w:rsidRDefault="00D76E87" w:rsidP="000F48B1">
            <w:pPr>
              <w:pStyle w:val="ESTablenumberrightaligned"/>
              <w:rPr>
                <w:rFonts w:ascii="Calibri" w:hAnsi="Calibri" w:cs="Calibri"/>
                <w:b/>
                <w:color w:val="FFFFFF" w:themeColor="background1"/>
                <w:sz w:val="18"/>
              </w:rPr>
            </w:pPr>
            <w:r w:rsidRPr="005734B8">
              <w:rPr>
                <w:rFonts w:ascii="Calibri" w:hAnsi="Calibri" w:cs="Calibri"/>
                <w:b/>
                <w:color w:val="FFFFFF" w:themeColor="background1"/>
                <w:sz w:val="18"/>
              </w:rPr>
              <w:t>$m</w:t>
            </w:r>
          </w:p>
        </w:tc>
      </w:tr>
      <w:tr w:rsidR="00D76E87" w:rsidRPr="005734B8" w14:paraId="3DAD2584" w14:textId="77777777" w:rsidTr="000F48B1">
        <w:trPr>
          <w:cantSplit/>
        </w:trPr>
        <w:tc>
          <w:tcPr>
            <w:tcW w:w="2434" w:type="dxa"/>
            <w:tcBorders>
              <w:top w:val="single" w:sz="4" w:space="0" w:color="53565A" w:themeColor="accent5"/>
              <w:bottom w:val="single" w:sz="4" w:space="0" w:color="53565A" w:themeColor="accent5"/>
            </w:tcBorders>
            <w:shd w:val="clear" w:color="auto" w:fill="D9D9D6" w:themeFill="accent6"/>
          </w:tcPr>
          <w:p w14:paraId="6755755A" w14:textId="77777777" w:rsidR="00D76E87" w:rsidRPr="005734B8" w:rsidRDefault="00D76E87" w:rsidP="000F48B1">
            <w:pPr>
              <w:pStyle w:val="ESTablebody"/>
              <w:rPr>
                <w:rFonts w:ascii="Calibri" w:hAnsi="Calibri" w:cs="Calibri"/>
                <w:b/>
                <w:sz w:val="18"/>
              </w:rPr>
            </w:pPr>
            <w:r w:rsidRPr="005734B8">
              <w:rPr>
                <w:rFonts w:ascii="Calibri" w:hAnsi="Calibri" w:cs="Calibri"/>
                <w:b/>
                <w:sz w:val="18"/>
              </w:rPr>
              <w:t>Operating revenue</w:t>
            </w:r>
          </w:p>
        </w:tc>
        <w:tc>
          <w:tcPr>
            <w:tcW w:w="963" w:type="dxa"/>
            <w:tcBorders>
              <w:top w:val="single" w:sz="4" w:space="0" w:color="53565A" w:themeColor="accent5"/>
              <w:bottom w:val="single" w:sz="4" w:space="0" w:color="53565A" w:themeColor="accent5"/>
            </w:tcBorders>
            <w:shd w:val="clear" w:color="auto" w:fill="D9D9D6" w:themeFill="accent6"/>
          </w:tcPr>
          <w:p w14:paraId="5483EB04" w14:textId="77777777" w:rsidR="00D76E87" w:rsidRPr="005734B8" w:rsidRDefault="00D76E87" w:rsidP="000F48B1">
            <w:pPr>
              <w:pStyle w:val="ESTablenumberrightaligned"/>
              <w:rPr>
                <w:rFonts w:ascii="Calibri" w:hAnsi="Calibri" w:cs="Calibri"/>
                <w:sz w:val="18"/>
              </w:rPr>
            </w:pPr>
          </w:p>
        </w:tc>
        <w:tc>
          <w:tcPr>
            <w:tcW w:w="993" w:type="dxa"/>
            <w:tcBorders>
              <w:top w:val="single" w:sz="4" w:space="0" w:color="53565A" w:themeColor="accent5"/>
              <w:bottom w:val="single" w:sz="4" w:space="0" w:color="53565A" w:themeColor="accent5"/>
            </w:tcBorders>
            <w:shd w:val="clear" w:color="auto" w:fill="D9D9D6" w:themeFill="accent6"/>
          </w:tcPr>
          <w:p w14:paraId="63DBD2D1" w14:textId="77777777" w:rsidR="00D76E87" w:rsidRPr="005734B8" w:rsidRDefault="00D76E87" w:rsidP="000F48B1">
            <w:pPr>
              <w:pStyle w:val="ESTablenumberrightaligned"/>
              <w:rPr>
                <w:rFonts w:ascii="Calibri" w:hAnsi="Calibri" w:cs="Calibri"/>
                <w:sz w:val="18"/>
              </w:rPr>
            </w:pPr>
          </w:p>
        </w:tc>
        <w:tc>
          <w:tcPr>
            <w:tcW w:w="992" w:type="dxa"/>
            <w:tcBorders>
              <w:top w:val="single" w:sz="4" w:space="0" w:color="53565A" w:themeColor="accent5"/>
              <w:bottom w:val="single" w:sz="4" w:space="0" w:color="53565A" w:themeColor="accent5"/>
            </w:tcBorders>
            <w:shd w:val="clear" w:color="auto" w:fill="D9D9D6" w:themeFill="accent6"/>
          </w:tcPr>
          <w:p w14:paraId="03337804" w14:textId="77777777" w:rsidR="00D76E87" w:rsidRPr="005734B8" w:rsidRDefault="00D76E87" w:rsidP="000F48B1">
            <w:pPr>
              <w:pStyle w:val="ESTablenumberrightaligned"/>
              <w:rPr>
                <w:rFonts w:ascii="Calibri" w:hAnsi="Calibri" w:cs="Calibri"/>
                <w:sz w:val="18"/>
              </w:rPr>
            </w:pPr>
          </w:p>
        </w:tc>
        <w:tc>
          <w:tcPr>
            <w:tcW w:w="1134" w:type="dxa"/>
            <w:tcBorders>
              <w:top w:val="single" w:sz="4" w:space="0" w:color="53565A" w:themeColor="accent5"/>
              <w:bottom w:val="single" w:sz="4" w:space="0" w:color="53565A" w:themeColor="accent5"/>
            </w:tcBorders>
            <w:shd w:val="clear" w:color="auto" w:fill="D9D9D6" w:themeFill="accent6"/>
          </w:tcPr>
          <w:p w14:paraId="688FEDFE" w14:textId="77777777" w:rsidR="00D76E87" w:rsidRPr="005734B8" w:rsidRDefault="00D76E87" w:rsidP="000F48B1">
            <w:pPr>
              <w:pStyle w:val="ESTablenumberrightaligned"/>
              <w:rPr>
                <w:rFonts w:ascii="Calibri" w:hAnsi="Calibri" w:cs="Calibri"/>
                <w:sz w:val="18"/>
              </w:rPr>
            </w:pPr>
          </w:p>
        </w:tc>
        <w:tc>
          <w:tcPr>
            <w:tcW w:w="1134" w:type="dxa"/>
            <w:tcBorders>
              <w:top w:val="single" w:sz="4" w:space="0" w:color="53565A" w:themeColor="accent5"/>
              <w:bottom w:val="single" w:sz="4" w:space="0" w:color="53565A" w:themeColor="accent5"/>
            </w:tcBorders>
            <w:shd w:val="clear" w:color="auto" w:fill="D9D9D6" w:themeFill="accent6"/>
          </w:tcPr>
          <w:p w14:paraId="74AA207C" w14:textId="77777777" w:rsidR="00D76E87" w:rsidRPr="005734B8" w:rsidRDefault="00D76E87" w:rsidP="000F48B1">
            <w:pPr>
              <w:pStyle w:val="ESTablenumberrightaligned"/>
              <w:rPr>
                <w:rFonts w:ascii="Calibri" w:hAnsi="Calibri" w:cs="Calibri"/>
                <w:sz w:val="18"/>
              </w:rPr>
            </w:pPr>
          </w:p>
        </w:tc>
      </w:tr>
      <w:tr w:rsidR="00D76E87" w:rsidRPr="005734B8" w14:paraId="015A05BE" w14:textId="77777777" w:rsidTr="000F48B1">
        <w:trPr>
          <w:cantSplit/>
        </w:trPr>
        <w:tc>
          <w:tcPr>
            <w:tcW w:w="2434" w:type="dxa"/>
            <w:tcBorders>
              <w:top w:val="single" w:sz="4" w:space="0" w:color="53565A" w:themeColor="accent5"/>
              <w:bottom w:val="single" w:sz="4" w:space="0" w:color="53565A" w:themeColor="accent5"/>
            </w:tcBorders>
            <w:shd w:val="clear" w:color="auto" w:fill="auto"/>
            <w:vAlign w:val="center"/>
          </w:tcPr>
          <w:p w14:paraId="36850528" w14:textId="7BB014D7" w:rsidR="00D76E87" w:rsidRPr="005734B8" w:rsidRDefault="00B53E70" w:rsidP="000F48B1">
            <w:pPr>
              <w:pStyle w:val="ESTablebody"/>
              <w:rPr>
                <w:rFonts w:ascii="Calibri" w:hAnsi="Calibri" w:cs="Calibri"/>
                <w:sz w:val="18"/>
              </w:rPr>
            </w:pPr>
            <w:r w:rsidRPr="005734B8">
              <w:rPr>
                <w:rFonts w:ascii="Calibri" w:hAnsi="Calibri" w:cs="Calibri"/>
                <w:sz w:val="18"/>
              </w:rPr>
              <w:t>Output appropriation</w:t>
            </w:r>
            <w:r w:rsidRPr="005734B8">
              <w:rPr>
                <w:rStyle w:val="FootnoteReference"/>
                <w:rFonts w:ascii="Calibri" w:hAnsi="Calibri" w:cs="Calibri"/>
                <w:sz w:val="18"/>
              </w:rPr>
              <w:footnoteReference w:id="33"/>
            </w:r>
          </w:p>
        </w:tc>
        <w:tc>
          <w:tcPr>
            <w:tcW w:w="963" w:type="dxa"/>
            <w:tcBorders>
              <w:top w:val="single" w:sz="4" w:space="0" w:color="53565A" w:themeColor="accent5"/>
              <w:bottom w:val="single" w:sz="4" w:space="0" w:color="53565A" w:themeColor="accent5"/>
            </w:tcBorders>
            <w:shd w:val="clear" w:color="auto" w:fill="D9D9D6"/>
            <w:vAlign w:val="center"/>
          </w:tcPr>
          <w:p w14:paraId="28239EF5" w14:textId="77777777" w:rsidR="00D76E87" w:rsidRPr="005734B8" w:rsidRDefault="00D76E87" w:rsidP="000F48B1">
            <w:pPr>
              <w:pStyle w:val="ESTablenumberrightaligned"/>
              <w:rPr>
                <w:rFonts w:ascii="Calibri" w:hAnsi="Calibri" w:cs="Calibri"/>
                <w:sz w:val="18"/>
              </w:rPr>
            </w:pPr>
            <w:r w:rsidRPr="005734B8">
              <w:rPr>
                <w:rFonts w:ascii="Calibri" w:hAnsi="Calibri" w:cs="Calibri"/>
                <w:sz w:val="18"/>
              </w:rPr>
              <w:t>16,133.9</w:t>
            </w:r>
          </w:p>
        </w:tc>
        <w:tc>
          <w:tcPr>
            <w:tcW w:w="993" w:type="dxa"/>
            <w:tcBorders>
              <w:top w:val="single" w:sz="4" w:space="0" w:color="53565A" w:themeColor="accent5"/>
              <w:bottom w:val="single" w:sz="4" w:space="0" w:color="53565A" w:themeColor="accent5"/>
            </w:tcBorders>
            <w:shd w:val="clear" w:color="auto" w:fill="auto"/>
            <w:vAlign w:val="center"/>
          </w:tcPr>
          <w:p w14:paraId="7995E528" w14:textId="77777777" w:rsidR="00D76E87" w:rsidRPr="005734B8" w:rsidRDefault="00D76E87" w:rsidP="000F48B1">
            <w:pPr>
              <w:pStyle w:val="ESTablenumberrightaligned"/>
              <w:rPr>
                <w:rFonts w:ascii="Calibri" w:eastAsiaTheme="minorHAnsi" w:hAnsi="Calibri" w:cs="Calibri"/>
                <w:b/>
                <w:sz w:val="18"/>
                <w:lang w:val="en-GB"/>
              </w:rPr>
            </w:pPr>
            <w:r w:rsidRPr="005734B8">
              <w:rPr>
                <w:rFonts w:ascii="Calibri" w:hAnsi="Calibri" w:cs="Calibri"/>
                <w:sz w:val="18"/>
              </w:rPr>
              <w:t>14,887.5</w:t>
            </w:r>
          </w:p>
        </w:tc>
        <w:tc>
          <w:tcPr>
            <w:tcW w:w="992" w:type="dxa"/>
            <w:tcBorders>
              <w:top w:val="single" w:sz="4" w:space="0" w:color="53565A" w:themeColor="accent5"/>
              <w:bottom w:val="single" w:sz="4" w:space="0" w:color="53565A" w:themeColor="accent5"/>
            </w:tcBorders>
            <w:shd w:val="clear" w:color="auto" w:fill="auto"/>
            <w:vAlign w:val="center"/>
          </w:tcPr>
          <w:p w14:paraId="06852CAA" w14:textId="77777777" w:rsidR="00D76E87" w:rsidRPr="005734B8" w:rsidRDefault="00D76E87" w:rsidP="000F48B1">
            <w:pPr>
              <w:pStyle w:val="ESTablenumberrightaligned"/>
              <w:rPr>
                <w:rFonts w:ascii="Calibri" w:hAnsi="Calibri" w:cs="Calibri"/>
                <w:sz w:val="18"/>
              </w:rPr>
            </w:pPr>
            <w:r w:rsidRPr="005734B8">
              <w:rPr>
                <w:rFonts w:ascii="Calibri" w:hAnsi="Calibri" w:cs="Calibri"/>
                <w:sz w:val="18"/>
              </w:rPr>
              <w:t>13,815.7</w:t>
            </w:r>
          </w:p>
        </w:tc>
        <w:tc>
          <w:tcPr>
            <w:tcW w:w="1134" w:type="dxa"/>
            <w:tcBorders>
              <w:top w:val="single" w:sz="4" w:space="0" w:color="53565A" w:themeColor="accent5"/>
              <w:bottom w:val="single" w:sz="4" w:space="0" w:color="53565A" w:themeColor="accent5"/>
            </w:tcBorders>
            <w:vAlign w:val="center"/>
          </w:tcPr>
          <w:p w14:paraId="3E0F366C" w14:textId="77777777" w:rsidR="00D76E87" w:rsidRPr="005734B8" w:rsidRDefault="00D76E87" w:rsidP="000F48B1">
            <w:pPr>
              <w:pStyle w:val="ESTablenumberrightaligned"/>
              <w:rPr>
                <w:rFonts w:ascii="Calibri" w:hAnsi="Calibri" w:cs="Calibri"/>
                <w:sz w:val="18"/>
              </w:rPr>
            </w:pPr>
            <w:r w:rsidRPr="005734B8">
              <w:rPr>
                <w:rFonts w:ascii="Calibri" w:hAnsi="Calibri" w:cs="Calibri"/>
                <w:sz w:val="18"/>
              </w:rPr>
              <w:t>12,816.0</w:t>
            </w:r>
          </w:p>
        </w:tc>
        <w:tc>
          <w:tcPr>
            <w:tcW w:w="1134" w:type="dxa"/>
            <w:tcBorders>
              <w:top w:val="single" w:sz="4" w:space="0" w:color="53565A" w:themeColor="accent5"/>
              <w:bottom w:val="single" w:sz="4" w:space="0" w:color="53565A" w:themeColor="accent5"/>
            </w:tcBorders>
            <w:vAlign w:val="center"/>
          </w:tcPr>
          <w:p w14:paraId="68A79DB5" w14:textId="7C5E55DA" w:rsidR="00D76E87" w:rsidRPr="005734B8" w:rsidRDefault="00D76E87" w:rsidP="000F48B1">
            <w:pPr>
              <w:pStyle w:val="ESTablenumberrightaligned"/>
              <w:rPr>
                <w:rFonts w:ascii="Calibri" w:hAnsi="Calibri" w:cs="Calibri"/>
                <w:sz w:val="18"/>
              </w:rPr>
            </w:pPr>
            <w:r w:rsidRPr="005734B8">
              <w:rPr>
                <w:rFonts w:ascii="Calibri" w:hAnsi="Calibri" w:cs="Calibri"/>
                <w:sz w:val="18"/>
              </w:rPr>
              <w:t>12,1</w:t>
            </w:r>
            <w:r w:rsidR="00B53E70" w:rsidRPr="005734B8">
              <w:rPr>
                <w:rFonts w:ascii="Calibri" w:hAnsi="Calibri" w:cs="Calibri"/>
                <w:sz w:val="18"/>
              </w:rPr>
              <w:t>84</w:t>
            </w:r>
            <w:r w:rsidRPr="005734B8">
              <w:rPr>
                <w:rFonts w:ascii="Calibri" w:hAnsi="Calibri" w:cs="Calibri"/>
                <w:sz w:val="18"/>
              </w:rPr>
              <w:t>.3</w:t>
            </w:r>
          </w:p>
        </w:tc>
      </w:tr>
      <w:tr w:rsidR="00D76E87" w:rsidRPr="005734B8" w14:paraId="351410D7" w14:textId="77777777" w:rsidTr="000F48B1">
        <w:trPr>
          <w:cantSplit/>
        </w:trPr>
        <w:tc>
          <w:tcPr>
            <w:tcW w:w="2434" w:type="dxa"/>
            <w:tcBorders>
              <w:top w:val="single" w:sz="4" w:space="0" w:color="53565A" w:themeColor="accent5"/>
              <w:bottom w:val="single" w:sz="4" w:space="0" w:color="53565A" w:themeColor="accent5"/>
            </w:tcBorders>
            <w:shd w:val="clear" w:color="auto" w:fill="auto"/>
            <w:vAlign w:val="center"/>
          </w:tcPr>
          <w:p w14:paraId="759B0D75" w14:textId="77777777" w:rsidR="00D76E87" w:rsidRPr="005734B8" w:rsidRDefault="00D76E87" w:rsidP="000F48B1">
            <w:pPr>
              <w:pStyle w:val="ESTablebody"/>
              <w:rPr>
                <w:rFonts w:ascii="Calibri" w:hAnsi="Calibri" w:cs="Calibri"/>
                <w:sz w:val="18"/>
              </w:rPr>
            </w:pPr>
            <w:r w:rsidRPr="005734B8">
              <w:rPr>
                <w:rFonts w:ascii="Calibri" w:hAnsi="Calibri" w:cs="Calibri"/>
                <w:sz w:val="18"/>
              </w:rPr>
              <w:t>Other revenue</w:t>
            </w:r>
          </w:p>
        </w:tc>
        <w:tc>
          <w:tcPr>
            <w:tcW w:w="963" w:type="dxa"/>
            <w:tcBorders>
              <w:top w:val="single" w:sz="4" w:space="0" w:color="53565A" w:themeColor="accent5"/>
              <w:bottom w:val="single" w:sz="4" w:space="0" w:color="53565A" w:themeColor="accent5"/>
            </w:tcBorders>
            <w:shd w:val="clear" w:color="auto" w:fill="D9D9D6"/>
            <w:vAlign w:val="center"/>
          </w:tcPr>
          <w:p w14:paraId="58602DA0" w14:textId="77777777" w:rsidR="00D76E87" w:rsidRPr="005734B8" w:rsidRDefault="00D76E87" w:rsidP="000F48B1">
            <w:pPr>
              <w:pStyle w:val="ESTablenumberrightaligned"/>
              <w:rPr>
                <w:rFonts w:ascii="Calibri" w:hAnsi="Calibri" w:cs="Calibri"/>
                <w:sz w:val="18"/>
              </w:rPr>
            </w:pPr>
            <w:r w:rsidRPr="005734B8">
              <w:rPr>
                <w:rFonts w:ascii="Calibri" w:hAnsi="Calibri" w:cs="Calibri"/>
                <w:sz w:val="18"/>
              </w:rPr>
              <w:t>597.9</w:t>
            </w:r>
          </w:p>
        </w:tc>
        <w:tc>
          <w:tcPr>
            <w:tcW w:w="993" w:type="dxa"/>
            <w:tcBorders>
              <w:top w:val="single" w:sz="4" w:space="0" w:color="53565A" w:themeColor="accent5"/>
              <w:bottom w:val="single" w:sz="4" w:space="0" w:color="53565A" w:themeColor="accent5"/>
            </w:tcBorders>
            <w:shd w:val="clear" w:color="auto" w:fill="auto"/>
          </w:tcPr>
          <w:p w14:paraId="7CC33CB2" w14:textId="77777777" w:rsidR="00D76E87" w:rsidRPr="005734B8" w:rsidRDefault="00D76E87" w:rsidP="000F48B1">
            <w:pPr>
              <w:pStyle w:val="ESTablenumberrightaligned"/>
              <w:rPr>
                <w:rFonts w:ascii="Calibri" w:hAnsi="Calibri" w:cs="Calibri"/>
                <w:sz w:val="18"/>
              </w:rPr>
            </w:pPr>
            <w:r w:rsidRPr="005734B8">
              <w:rPr>
                <w:rFonts w:ascii="Calibri" w:hAnsi="Calibri" w:cs="Calibri"/>
                <w:sz w:val="18"/>
              </w:rPr>
              <w:t>830.4</w:t>
            </w:r>
          </w:p>
        </w:tc>
        <w:tc>
          <w:tcPr>
            <w:tcW w:w="992" w:type="dxa"/>
            <w:tcBorders>
              <w:top w:val="single" w:sz="4" w:space="0" w:color="53565A" w:themeColor="accent5"/>
              <w:bottom w:val="single" w:sz="4" w:space="0" w:color="53565A" w:themeColor="accent5"/>
            </w:tcBorders>
            <w:shd w:val="clear" w:color="auto" w:fill="auto"/>
            <w:vAlign w:val="center"/>
          </w:tcPr>
          <w:p w14:paraId="68FC763E" w14:textId="77777777" w:rsidR="00D76E87" w:rsidRPr="005734B8" w:rsidRDefault="00D76E87" w:rsidP="000F48B1">
            <w:pPr>
              <w:pStyle w:val="ESTablenumberrightaligned"/>
              <w:rPr>
                <w:rFonts w:ascii="Calibri" w:hAnsi="Calibri" w:cs="Calibri"/>
                <w:sz w:val="18"/>
              </w:rPr>
            </w:pPr>
            <w:r w:rsidRPr="005734B8">
              <w:rPr>
                <w:rFonts w:ascii="Calibri" w:hAnsi="Calibri" w:cs="Calibri"/>
                <w:sz w:val="18"/>
              </w:rPr>
              <w:t>927.6</w:t>
            </w:r>
          </w:p>
        </w:tc>
        <w:tc>
          <w:tcPr>
            <w:tcW w:w="1134" w:type="dxa"/>
            <w:tcBorders>
              <w:top w:val="single" w:sz="4" w:space="0" w:color="53565A" w:themeColor="accent5"/>
              <w:bottom w:val="single" w:sz="4" w:space="0" w:color="53565A" w:themeColor="accent5"/>
            </w:tcBorders>
            <w:vAlign w:val="center"/>
          </w:tcPr>
          <w:p w14:paraId="385112D9" w14:textId="77777777" w:rsidR="00D76E87" w:rsidRPr="005734B8" w:rsidRDefault="00D76E87" w:rsidP="000F48B1">
            <w:pPr>
              <w:pStyle w:val="ESTablenumberrightaligned"/>
              <w:rPr>
                <w:rFonts w:ascii="Calibri" w:hAnsi="Calibri" w:cs="Calibri"/>
                <w:sz w:val="18"/>
              </w:rPr>
            </w:pPr>
            <w:r w:rsidRPr="005734B8">
              <w:rPr>
                <w:rFonts w:ascii="Calibri" w:hAnsi="Calibri" w:cs="Calibri"/>
                <w:sz w:val="18"/>
              </w:rPr>
              <w:t>834.7</w:t>
            </w:r>
          </w:p>
        </w:tc>
        <w:tc>
          <w:tcPr>
            <w:tcW w:w="1134" w:type="dxa"/>
            <w:tcBorders>
              <w:top w:val="single" w:sz="4" w:space="0" w:color="53565A" w:themeColor="accent5"/>
              <w:bottom w:val="single" w:sz="4" w:space="0" w:color="53565A" w:themeColor="accent5"/>
            </w:tcBorders>
            <w:vAlign w:val="center"/>
          </w:tcPr>
          <w:p w14:paraId="194CDF02" w14:textId="2C8C5C5E" w:rsidR="00D76E87" w:rsidRPr="005734B8" w:rsidRDefault="00D76E87" w:rsidP="000F48B1">
            <w:pPr>
              <w:pStyle w:val="ESTablenumberrightaligned"/>
              <w:rPr>
                <w:rFonts w:ascii="Calibri" w:hAnsi="Calibri" w:cs="Calibri"/>
                <w:sz w:val="18"/>
              </w:rPr>
            </w:pPr>
            <w:r w:rsidRPr="005734B8">
              <w:rPr>
                <w:rFonts w:ascii="Calibri" w:hAnsi="Calibri" w:cs="Calibri"/>
                <w:sz w:val="18"/>
              </w:rPr>
              <w:t>7</w:t>
            </w:r>
            <w:r w:rsidR="00B53E70" w:rsidRPr="005734B8">
              <w:rPr>
                <w:rFonts w:ascii="Calibri" w:hAnsi="Calibri" w:cs="Calibri"/>
                <w:sz w:val="18"/>
              </w:rPr>
              <w:t>64</w:t>
            </w:r>
            <w:r w:rsidRPr="005734B8">
              <w:rPr>
                <w:rFonts w:ascii="Calibri" w:hAnsi="Calibri" w:cs="Calibri"/>
                <w:sz w:val="18"/>
              </w:rPr>
              <w:t>.1</w:t>
            </w:r>
          </w:p>
        </w:tc>
      </w:tr>
      <w:tr w:rsidR="00D76E87" w:rsidRPr="005734B8" w14:paraId="1AFCD692" w14:textId="77777777" w:rsidTr="009151F3">
        <w:trPr>
          <w:cantSplit/>
        </w:trPr>
        <w:tc>
          <w:tcPr>
            <w:tcW w:w="2434" w:type="dxa"/>
            <w:tcBorders>
              <w:top w:val="single" w:sz="4" w:space="0" w:color="53565A" w:themeColor="accent5"/>
              <w:bottom w:val="single" w:sz="4" w:space="0" w:color="53565A" w:themeColor="accent5"/>
            </w:tcBorders>
            <w:shd w:val="clear" w:color="auto" w:fill="auto"/>
            <w:vAlign w:val="center"/>
          </w:tcPr>
          <w:p w14:paraId="5DD6DC06" w14:textId="77777777" w:rsidR="00D76E87" w:rsidRPr="005734B8" w:rsidRDefault="00D76E87" w:rsidP="000F48B1">
            <w:pPr>
              <w:pStyle w:val="ESTablebody"/>
              <w:rPr>
                <w:rFonts w:ascii="Calibri" w:hAnsi="Calibri" w:cs="Calibri"/>
                <w:sz w:val="18"/>
              </w:rPr>
            </w:pPr>
            <w:r w:rsidRPr="005734B8">
              <w:rPr>
                <w:rFonts w:ascii="Calibri" w:hAnsi="Calibri" w:cs="Calibri"/>
                <w:sz w:val="18"/>
              </w:rPr>
              <w:t>Total income from transactions</w:t>
            </w:r>
          </w:p>
        </w:tc>
        <w:tc>
          <w:tcPr>
            <w:tcW w:w="963" w:type="dxa"/>
            <w:tcBorders>
              <w:top w:val="single" w:sz="4" w:space="0" w:color="53565A" w:themeColor="accent5"/>
              <w:bottom w:val="single" w:sz="4" w:space="0" w:color="53565A" w:themeColor="accent5"/>
            </w:tcBorders>
            <w:shd w:val="clear" w:color="auto" w:fill="D9D9D6"/>
            <w:vAlign w:val="center"/>
          </w:tcPr>
          <w:p w14:paraId="16C3BCCE" w14:textId="77777777" w:rsidR="00D76E87" w:rsidRPr="005734B8" w:rsidRDefault="00D76E87" w:rsidP="000F48B1">
            <w:pPr>
              <w:pStyle w:val="ESTablenumberrightaligned"/>
              <w:rPr>
                <w:rFonts w:ascii="Calibri" w:hAnsi="Calibri" w:cs="Calibri"/>
                <w:sz w:val="18"/>
              </w:rPr>
            </w:pPr>
            <w:r w:rsidRPr="005734B8">
              <w:rPr>
                <w:rFonts w:ascii="Calibri" w:hAnsi="Calibri" w:cs="Calibri"/>
                <w:sz w:val="18"/>
              </w:rPr>
              <w:t>16,731.6</w:t>
            </w:r>
          </w:p>
        </w:tc>
        <w:tc>
          <w:tcPr>
            <w:tcW w:w="993" w:type="dxa"/>
            <w:tcBorders>
              <w:top w:val="single" w:sz="4" w:space="0" w:color="53565A" w:themeColor="accent5"/>
              <w:bottom w:val="single" w:sz="4" w:space="0" w:color="53565A" w:themeColor="accent5"/>
            </w:tcBorders>
            <w:shd w:val="clear" w:color="auto" w:fill="auto"/>
            <w:vAlign w:val="center"/>
          </w:tcPr>
          <w:p w14:paraId="6E2EF084" w14:textId="77777777" w:rsidR="00D76E87" w:rsidRPr="005734B8" w:rsidRDefault="00D76E87" w:rsidP="009151F3">
            <w:pPr>
              <w:pStyle w:val="ESTablenumberrightaligned"/>
              <w:rPr>
                <w:rFonts w:ascii="Calibri" w:hAnsi="Calibri" w:cs="Calibri"/>
                <w:sz w:val="18"/>
              </w:rPr>
            </w:pPr>
            <w:r w:rsidRPr="005734B8">
              <w:rPr>
                <w:rFonts w:ascii="Calibri" w:hAnsi="Calibri" w:cs="Calibri"/>
                <w:sz w:val="18"/>
              </w:rPr>
              <w:t>15,717.9</w:t>
            </w:r>
          </w:p>
        </w:tc>
        <w:tc>
          <w:tcPr>
            <w:tcW w:w="992" w:type="dxa"/>
            <w:tcBorders>
              <w:top w:val="single" w:sz="4" w:space="0" w:color="53565A" w:themeColor="accent5"/>
              <w:bottom w:val="single" w:sz="4" w:space="0" w:color="53565A" w:themeColor="accent5"/>
            </w:tcBorders>
            <w:shd w:val="clear" w:color="auto" w:fill="auto"/>
            <w:vAlign w:val="center"/>
          </w:tcPr>
          <w:p w14:paraId="19CDF550" w14:textId="77777777" w:rsidR="00D76E87" w:rsidRPr="005734B8" w:rsidRDefault="00D76E87" w:rsidP="009151F3">
            <w:pPr>
              <w:pStyle w:val="ESTablenumberrightaligned"/>
              <w:rPr>
                <w:rFonts w:ascii="Calibri" w:hAnsi="Calibri" w:cs="Calibri"/>
                <w:sz w:val="18"/>
              </w:rPr>
            </w:pPr>
            <w:r w:rsidRPr="005734B8">
              <w:rPr>
                <w:rFonts w:ascii="Calibri" w:hAnsi="Calibri" w:cs="Calibri"/>
                <w:sz w:val="18"/>
              </w:rPr>
              <w:t>14,743.3</w:t>
            </w:r>
          </w:p>
        </w:tc>
        <w:tc>
          <w:tcPr>
            <w:tcW w:w="1134" w:type="dxa"/>
            <w:tcBorders>
              <w:top w:val="single" w:sz="4" w:space="0" w:color="53565A" w:themeColor="accent5"/>
              <w:bottom w:val="single" w:sz="4" w:space="0" w:color="53565A" w:themeColor="accent5"/>
            </w:tcBorders>
            <w:vAlign w:val="center"/>
          </w:tcPr>
          <w:p w14:paraId="0D48AD32" w14:textId="77777777" w:rsidR="00D76E87" w:rsidRPr="005734B8" w:rsidRDefault="00D76E87" w:rsidP="009151F3">
            <w:pPr>
              <w:pStyle w:val="ESTablenumberrightaligned"/>
              <w:rPr>
                <w:rFonts w:ascii="Calibri" w:hAnsi="Calibri" w:cs="Calibri"/>
                <w:sz w:val="18"/>
              </w:rPr>
            </w:pPr>
            <w:r w:rsidRPr="005734B8">
              <w:rPr>
                <w:rFonts w:ascii="Calibri" w:hAnsi="Calibri" w:cs="Calibri"/>
                <w:sz w:val="18"/>
              </w:rPr>
              <w:t>13,650.7</w:t>
            </w:r>
          </w:p>
        </w:tc>
        <w:tc>
          <w:tcPr>
            <w:tcW w:w="1134" w:type="dxa"/>
            <w:tcBorders>
              <w:top w:val="single" w:sz="4" w:space="0" w:color="53565A" w:themeColor="accent5"/>
              <w:bottom w:val="single" w:sz="4" w:space="0" w:color="53565A" w:themeColor="accent5"/>
            </w:tcBorders>
            <w:vAlign w:val="center"/>
          </w:tcPr>
          <w:p w14:paraId="3829144E" w14:textId="77777777" w:rsidR="00D76E87" w:rsidRPr="005734B8" w:rsidRDefault="00D76E87" w:rsidP="009151F3">
            <w:pPr>
              <w:pStyle w:val="ESTablenumberrightaligned"/>
              <w:rPr>
                <w:rFonts w:ascii="Calibri" w:hAnsi="Calibri" w:cs="Calibri"/>
                <w:sz w:val="18"/>
              </w:rPr>
            </w:pPr>
            <w:r w:rsidRPr="005734B8">
              <w:rPr>
                <w:rFonts w:ascii="Calibri" w:hAnsi="Calibri" w:cs="Calibri"/>
                <w:sz w:val="18"/>
              </w:rPr>
              <w:t>12,948.4</w:t>
            </w:r>
          </w:p>
        </w:tc>
      </w:tr>
      <w:tr w:rsidR="00D76E87" w:rsidRPr="005734B8" w14:paraId="3D4978DB" w14:textId="77777777" w:rsidTr="009151F3">
        <w:trPr>
          <w:cantSplit/>
        </w:trPr>
        <w:tc>
          <w:tcPr>
            <w:tcW w:w="2434" w:type="dxa"/>
            <w:tcBorders>
              <w:top w:val="single" w:sz="4" w:space="0" w:color="53565A" w:themeColor="accent5"/>
              <w:bottom w:val="single" w:sz="4" w:space="0" w:color="53565A" w:themeColor="accent5"/>
            </w:tcBorders>
            <w:shd w:val="clear" w:color="auto" w:fill="auto"/>
            <w:vAlign w:val="center"/>
          </w:tcPr>
          <w:p w14:paraId="70C05788" w14:textId="77777777" w:rsidR="00D76E87" w:rsidRPr="005734B8" w:rsidRDefault="00D76E87" w:rsidP="000F48B1">
            <w:pPr>
              <w:pStyle w:val="ESTablebody"/>
              <w:rPr>
                <w:rFonts w:ascii="Calibri" w:hAnsi="Calibri" w:cs="Calibri"/>
                <w:sz w:val="18"/>
              </w:rPr>
            </w:pPr>
            <w:r w:rsidRPr="005734B8">
              <w:rPr>
                <w:rFonts w:ascii="Calibri" w:hAnsi="Calibri" w:cs="Calibri"/>
                <w:sz w:val="18"/>
              </w:rPr>
              <w:t>Total expenses from transactions</w:t>
            </w:r>
          </w:p>
        </w:tc>
        <w:tc>
          <w:tcPr>
            <w:tcW w:w="963" w:type="dxa"/>
            <w:tcBorders>
              <w:top w:val="single" w:sz="4" w:space="0" w:color="53565A" w:themeColor="accent5"/>
              <w:bottom w:val="single" w:sz="4" w:space="0" w:color="53565A" w:themeColor="accent5"/>
            </w:tcBorders>
            <w:shd w:val="clear" w:color="auto" w:fill="D9D9D6"/>
            <w:vAlign w:val="center"/>
          </w:tcPr>
          <w:p w14:paraId="1DEAFAF6" w14:textId="77777777" w:rsidR="00D76E87" w:rsidRPr="005734B8" w:rsidRDefault="00D76E87" w:rsidP="000F48B1">
            <w:pPr>
              <w:pStyle w:val="ESTablenumberrightaligned"/>
              <w:rPr>
                <w:rFonts w:ascii="Calibri" w:hAnsi="Calibri" w:cs="Calibri"/>
                <w:sz w:val="18"/>
              </w:rPr>
            </w:pPr>
            <w:r w:rsidRPr="005734B8">
              <w:rPr>
                <w:rFonts w:ascii="Calibri" w:hAnsi="Calibri" w:cs="Calibri"/>
                <w:sz w:val="18"/>
              </w:rPr>
              <w:t>16,121.4</w:t>
            </w:r>
          </w:p>
        </w:tc>
        <w:tc>
          <w:tcPr>
            <w:tcW w:w="993" w:type="dxa"/>
            <w:tcBorders>
              <w:top w:val="single" w:sz="4" w:space="0" w:color="53565A" w:themeColor="accent5"/>
              <w:bottom w:val="single" w:sz="4" w:space="0" w:color="53565A" w:themeColor="accent5"/>
            </w:tcBorders>
            <w:shd w:val="clear" w:color="auto" w:fill="auto"/>
            <w:vAlign w:val="center"/>
          </w:tcPr>
          <w:p w14:paraId="5AAA8143" w14:textId="77777777" w:rsidR="00D76E87" w:rsidRPr="005734B8" w:rsidRDefault="00D76E87" w:rsidP="009151F3">
            <w:pPr>
              <w:pStyle w:val="ESTablenumberrightaligned"/>
              <w:rPr>
                <w:rFonts w:ascii="Calibri" w:hAnsi="Calibri" w:cs="Calibri"/>
                <w:sz w:val="18"/>
              </w:rPr>
            </w:pPr>
            <w:r w:rsidRPr="005734B8">
              <w:rPr>
                <w:rFonts w:ascii="Calibri" w:hAnsi="Calibri" w:cs="Calibri"/>
                <w:sz w:val="18"/>
              </w:rPr>
              <w:t>15,118.1</w:t>
            </w:r>
          </w:p>
        </w:tc>
        <w:tc>
          <w:tcPr>
            <w:tcW w:w="992" w:type="dxa"/>
            <w:tcBorders>
              <w:top w:val="single" w:sz="4" w:space="0" w:color="53565A" w:themeColor="accent5"/>
              <w:bottom w:val="single" w:sz="4" w:space="0" w:color="53565A" w:themeColor="accent5"/>
            </w:tcBorders>
            <w:shd w:val="clear" w:color="auto" w:fill="auto"/>
            <w:vAlign w:val="center"/>
          </w:tcPr>
          <w:p w14:paraId="5A2DD5A2" w14:textId="77777777" w:rsidR="00D76E87" w:rsidRPr="005734B8" w:rsidRDefault="00D76E87" w:rsidP="009151F3">
            <w:pPr>
              <w:pStyle w:val="ESTablenumberrightaligned"/>
              <w:rPr>
                <w:rFonts w:ascii="Calibri" w:hAnsi="Calibri" w:cs="Calibri"/>
                <w:sz w:val="18"/>
              </w:rPr>
            </w:pPr>
            <w:r w:rsidRPr="005734B8">
              <w:rPr>
                <w:rFonts w:ascii="Calibri" w:hAnsi="Calibri" w:cs="Calibri"/>
                <w:sz w:val="18"/>
              </w:rPr>
              <w:t>14,073.5</w:t>
            </w:r>
          </w:p>
        </w:tc>
        <w:tc>
          <w:tcPr>
            <w:tcW w:w="1134" w:type="dxa"/>
            <w:tcBorders>
              <w:top w:val="single" w:sz="4" w:space="0" w:color="53565A" w:themeColor="accent5"/>
              <w:bottom w:val="single" w:sz="4" w:space="0" w:color="53565A" w:themeColor="accent5"/>
            </w:tcBorders>
            <w:vAlign w:val="center"/>
          </w:tcPr>
          <w:p w14:paraId="2B699014" w14:textId="77777777" w:rsidR="00D76E87" w:rsidRPr="005734B8" w:rsidRDefault="00D76E87" w:rsidP="009151F3">
            <w:pPr>
              <w:pStyle w:val="ESTablenumberrightaligned"/>
              <w:rPr>
                <w:rFonts w:ascii="Calibri" w:hAnsi="Calibri" w:cs="Calibri"/>
                <w:sz w:val="18"/>
              </w:rPr>
            </w:pPr>
            <w:r w:rsidRPr="005734B8">
              <w:rPr>
                <w:rFonts w:ascii="Calibri" w:hAnsi="Calibri" w:cs="Calibri"/>
                <w:sz w:val="18"/>
              </w:rPr>
              <w:t>13,328.5</w:t>
            </w:r>
          </w:p>
        </w:tc>
        <w:tc>
          <w:tcPr>
            <w:tcW w:w="1134" w:type="dxa"/>
            <w:tcBorders>
              <w:top w:val="single" w:sz="4" w:space="0" w:color="53565A" w:themeColor="accent5"/>
              <w:bottom w:val="single" w:sz="4" w:space="0" w:color="53565A" w:themeColor="accent5"/>
            </w:tcBorders>
            <w:vAlign w:val="center"/>
          </w:tcPr>
          <w:p w14:paraId="0BC91C25" w14:textId="77777777" w:rsidR="00D76E87" w:rsidRPr="005734B8" w:rsidRDefault="00D76E87" w:rsidP="009151F3">
            <w:pPr>
              <w:pStyle w:val="ESTablenumberrightaligned"/>
              <w:rPr>
                <w:rFonts w:ascii="Calibri" w:hAnsi="Calibri" w:cs="Calibri"/>
                <w:sz w:val="18"/>
              </w:rPr>
            </w:pPr>
            <w:r w:rsidRPr="005734B8">
              <w:rPr>
                <w:rFonts w:ascii="Calibri" w:hAnsi="Calibri" w:cs="Calibri"/>
                <w:sz w:val="18"/>
              </w:rPr>
              <w:t>12,626.2</w:t>
            </w:r>
          </w:p>
        </w:tc>
      </w:tr>
      <w:tr w:rsidR="00D76E87" w:rsidRPr="005734B8" w14:paraId="191E8546" w14:textId="77777777" w:rsidTr="009151F3">
        <w:trPr>
          <w:cantSplit/>
        </w:trPr>
        <w:tc>
          <w:tcPr>
            <w:tcW w:w="2434" w:type="dxa"/>
            <w:tcBorders>
              <w:top w:val="single" w:sz="18" w:space="0" w:color="53565A" w:themeColor="accent5"/>
              <w:bottom w:val="single" w:sz="4" w:space="0" w:color="53565A" w:themeColor="accent5"/>
            </w:tcBorders>
            <w:shd w:val="clear" w:color="auto" w:fill="auto"/>
          </w:tcPr>
          <w:p w14:paraId="46AE32FD" w14:textId="77777777" w:rsidR="00D76E87" w:rsidRPr="005734B8" w:rsidRDefault="00D76E87" w:rsidP="000F48B1">
            <w:pPr>
              <w:pStyle w:val="ESTablebody"/>
              <w:rPr>
                <w:rFonts w:ascii="Calibri" w:hAnsi="Calibri" w:cs="Calibri"/>
                <w:b/>
                <w:sz w:val="18"/>
              </w:rPr>
            </w:pPr>
            <w:r w:rsidRPr="005734B8">
              <w:rPr>
                <w:rFonts w:ascii="Calibri" w:hAnsi="Calibri" w:cs="Calibri"/>
                <w:b/>
                <w:sz w:val="18"/>
              </w:rPr>
              <w:t>Net results from transactions</w:t>
            </w:r>
          </w:p>
        </w:tc>
        <w:tc>
          <w:tcPr>
            <w:tcW w:w="963" w:type="dxa"/>
            <w:tcBorders>
              <w:top w:val="single" w:sz="18" w:space="0" w:color="53565A" w:themeColor="accent5"/>
              <w:bottom w:val="single" w:sz="4" w:space="0" w:color="53565A" w:themeColor="accent5"/>
            </w:tcBorders>
            <w:shd w:val="clear" w:color="auto" w:fill="D9D9D6"/>
            <w:vAlign w:val="center"/>
          </w:tcPr>
          <w:p w14:paraId="23E6EE0D" w14:textId="77777777" w:rsidR="00D76E87" w:rsidRPr="005734B8" w:rsidRDefault="00D76E87" w:rsidP="000F48B1">
            <w:pPr>
              <w:pStyle w:val="ESTablenumberrightaligned"/>
              <w:rPr>
                <w:rFonts w:ascii="Calibri" w:hAnsi="Calibri" w:cs="Calibri"/>
                <w:b/>
                <w:sz w:val="18"/>
              </w:rPr>
            </w:pPr>
            <w:r w:rsidRPr="005734B8">
              <w:rPr>
                <w:rFonts w:ascii="Calibri" w:hAnsi="Calibri" w:cs="Calibri"/>
                <w:b/>
                <w:sz w:val="18"/>
              </w:rPr>
              <w:t>610.2</w:t>
            </w:r>
          </w:p>
        </w:tc>
        <w:tc>
          <w:tcPr>
            <w:tcW w:w="993" w:type="dxa"/>
            <w:tcBorders>
              <w:top w:val="single" w:sz="18" w:space="0" w:color="53565A" w:themeColor="accent5"/>
              <w:bottom w:val="single" w:sz="4" w:space="0" w:color="53565A" w:themeColor="accent5"/>
            </w:tcBorders>
            <w:shd w:val="clear" w:color="auto" w:fill="auto"/>
            <w:vAlign w:val="center"/>
          </w:tcPr>
          <w:p w14:paraId="6D472FE7" w14:textId="77777777" w:rsidR="00D76E87" w:rsidRPr="005734B8" w:rsidRDefault="00D76E87" w:rsidP="009151F3">
            <w:pPr>
              <w:pStyle w:val="ESTablenumberrightaligned"/>
              <w:rPr>
                <w:rFonts w:ascii="Calibri" w:hAnsi="Calibri" w:cs="Calibri"/>
                <w:b/>
                <w:sz w:val="18"/>
              </w:rPr>
            </w:pPr>
            <w:r w:rsidRPr="005734B8">
              <w:rPr>
                <w:rFonts w:ascii="Calibri" w:hAnsi="Calibri" w:cs="Calibri"/>
                <w:b/>
                <w:sz w:val="18"/>
              </w:rPr>
              <w:t>599.8</w:t>
            </w:r>
          </w:p>
        </w:tc>
        <w:tc>
          <w:tcPr>
            <w:tcW w:w="992" w:type="dxa"/>
            <w:tcBorders>
              <w:top w:val="single" w:sz="18" w:space="0" w:color="53565A" w:themeColor="accent5"/>
              <w:bottom w:val="single" w:sz="4" w:space="0" w:color="53565A" w:themeColor="accent5"/>
            </w:tcBorders>
            <w:shd w:val="clear" w:color="auto" w:fill="auto"/>
            <w:vAlign w:val="center"/>
          </w:tcPr>
          <w:p w14:paraId="5F05A02F" w14:textId="77777777" w:rsidR="00D76E87" w:rsidRPr="005734B8" w:rsidRDefault="00D76E87" w:rsidP="009151F3">
            <w:pPr>
              <w:pStyle w:val="ESTablenumberrightaligned"/>
              <w:rPr>
                <w:rFonts w:ascii="Calibri" w:hAnsi="Calibri" w:cs="Calibri"/>
                <w:b/>
                <w:sz w:val="18"/>
              </w:rPr>
            </w:pPr>
            <w:r w:rsidRPr="005734B8">
              <w:rPr>
                <w:rFonts w:ascii="Calibri" w:hAnsi="Calibri" w:cs="Calibri"/>
                <w:b/>
                <w:sz w:val="18"/>
              </w:rPr>
              <w:t>669.8</w:t>
            </w:r>
          </w:p>
        </w:tc>
        <w:tc>
          <w:tcPr>
            <w:tcW w:w="1134" w:type="dxa"/>
            <w:tcBorders>
              <w:top w:val="single" w:sz="18" w:space="0" w:color="53565A" w:themeColor="accent5"/>
              <w:bottom w:val="single" w:sz="4" w:space="0" w:color="53565A" w:themeColor="accent5"/>
            </w:tcBorders>
            <w:vAlign w:val="center"/>
          </w:tcPr>
          <w:p w14:paraId="75DF213C" w14:textId="77777777" w:rsidR="00D76E87" w:rsidRPr="005734B8" w:rsidRDefault="00D76E87" w:rsidP="009151F3">
            <w:pPr>
              <w:pStyle w:val="ESTablenumberrightaligned"/>
              <w:rPr>
                <w:rFonts w:ascii="Calibri" w:hAnsi="Calibri" w:cs="Calibri"/>
                <w:b/>
                <w:sz w:val="18"/>
              </w:rPr>
            </w:pPr>
            <w:r w:rsidRPr="005734B8">
              <w:rPr>
                <w:rFonts w:ascii="Calibri" w:hAnsi="Calibri" w:cs="Calibri"/>
                <w:b/>
                <w:sz w:val="18"/>
              </w:rPr>
              <w:t>322.2</w:t>
            </w:r>
          </w:p>
        </w:tc>
        <w:tc>
          <w:tcPr>
            <w:tcW w:w="1134" w:type="dxa"/>
            <w:tcBorders>
              <w:top w:val="single" w:sz="18" w:space="0" w:color="53565A" w:themeColor="accent5"/>
              <w:bottom w:val="single" w:sz="4" w:space="0" w:color="53565A" w:themeColor="accent5"/>
            </w:tcBorders>
            <w:vAlign w:val="center"/>
          </w:tcPr>
          <w:p w14:paraId="0C0AE5CC" w14:textId="77777777" w:rsidR="00D76E87" w:rsidRPr="005734B8" w:rsidRDefault="00D76E87" w:rsidP="009151F3">
            <w:pPr>
              <w:pStyle w:val="ESTablenumberrightaligned"/>
              <w:rPr>
                <w:rFonts w:ascii="Calibri" w:hAnsi="Calibri" w:cs="Calibri"/>
                <w:b/>
                <w:sz w:val="18"/>
              </w:rPr>
            </w:pPr>
            <w:r w:rsidRPr="005734B8">
              <w:rPr>
                <w:rFonts w:ascii="Calibri" w:hAnsi="Calibri" w:cs="Calibri"/>
                <w:b/>
                <w:sz w:val="18"/>
              </w:rPr>
              <w:t>322.2</w:t>
            </w:r>
          </w:p>
        </w:tc>
      </w:tr>
      <w:tr w:rsidR="00D76E87" w:rsidRPr="005734B8" w14:paraId="074F0089" w14:textId="77777777" w:rsidTr="009151F3">
        <w:trPr>
          <w:cantSplit/>
        </w:trPr>
        <w:tc>
          <w:tcPr>
            <w:tcW w:w="2434" w:type="dxa"/>
            <w:tcBorders>
              <w:top w:val="single" w:sz="4" w:space="0" w:color="53565A" w:themeColor="accent5"/>
              <w:bottom w:val="single" w:sz="4" w:space="0" w:color="53565A" w:themeColor="accent5"/>
            </w:tcBorders>
            <w:shd w:val="clear" w:color="auto" w:fill="auto"/>
          </w:tcPr>
          <w:p w14:paraId="42EB90D1" w14:textId="77777777" w:rsidR="00D76E87" w:rsidRPr="005734B8" w:rsidRDefault="00D76E87" w:rsidP="000F48B1">
            <w:pPr>
              <w:pStyle w:val="ESTablebody"/>
              <w:rPr>
                <w:rFonts w:ascii="Calibri" w:hAnsi="Calibri" w:cs="Calibri"/>
                <w:b/>
                <w:sz w:val="18"/>
              </w:rPr>
            </w:pPr>
            <w:r w:rsidRPr="005734B8">
              <w:rPr>
                <w:rFonts w:ascii="Calibri" w:hAnsi="Calibri" w:cs="Calibri"/>
                <w:b/>
                <w:sz w:val="18"/>
              </w:rPr>
              <w:t>Total other economic flows</w:t>
            </w:r>
          </w:p>
        </w:tc>
        <w:tc>
          <w:tcPr>
            <w:tcW w:w="963" w:type="dxa"/>
            <w:tcBorders>
              <w:top w:val="single" w:sz="4" w:space="0" w:color="53565A" w:themeColor="accent5"/>
              <w:bottom w:val="single" w:sz="4" w:space="0" w:color="53565A" w:themeColor="accent5"/>
            </w:tcBorders>
            <w:shd w:val="clear" w:color="auto" w:fill="D9D9D6"/>
            <w:vAlign w:val="center"/>
          </w:tcPr>
          <w:p w14:paraId="621F7937" w14:textId="77777777" w:rsidR="00D76E87" w:rsidRPr="005734B8" w:rsidRDefault="00D76E87" w:rsidP="000F48B1">
            <w:pPr>
              <w:pStyle w:val="ESTablenumberrightaligned"/>
              <w:rPr>
                <w:rFonts w:ascii="Calibri" w:hAnsi="Calibri" w:cs="Calibri"/>
                <w:b/>
                <w:sz w:val="18"/>
              </w:rPr>
            </w:pPr>
            <w:r w:rsidRPr="005734B8">
              <w:rPr>
                <w:rFonts w:ascii="Calibri" w:hAnsi="Calibri" w:cs="Calibri"/>
                <w:b/>
                <w:sz w:val="18"/>
              </w:rPr>
              <w:t>50.5</w:t>
            </w:r>
          </w:p>
        </w:tc>
        <w:tc>
          <w:tcPr>
            <w:tcW w:w="993" w:type="dxa"/>
            <w:tcBorders>
              <w:top w:val="single" w:sz="4" w:space="0" w:color="53565A" w:themeColor="accent5"/>
              <w:bottom w:val="single" w:sz="4" w:space="0" w:color="53565A" w:themeColor="accent5"/>
            </w:tcBorders>
            <w:shd w:val="clear" w:color="auto" w:fill="auto"/>
            <w:vAlign w:val="center"/>
          </w:tcPr>
          <w:p w14:paraId="6C7A2445" w14:textId="77777777" w:rsidR="00D76E87" w:rsidRPr="005734B8" w:rsidRDefault="00D76E87" w:rsidP="009151F3">
            <w:pPr>
              <w:pStyle w:val="ESTablenumberrightaligned"/>
              <w:rPr>
                <w:rFonts w:ascii="Calibri" w:hAnsi="Calibri" w:cs="Calibri"/>
                <w:b/>
                <w:sz w:val="18"/>
              </w:rPr>
            </w:pPr>
            <w:r w:rsidRPr="005734B8">
              <w:rPr>
                <w:rFonts w:ascii="Calibri" w:hAnsi="Calibri" w:cs="Calibri"/>
                <w:b/>
                <w:sz w:val="18"/>
              </w:rPr>
              <w:t>(39.2)</w:t>
            </w:r>
          </w:p>
        </w:tc>
        <w:tc>
          <w:tcPr>
            <w:tcW w:w="992" w:type="dxa"/>
            <w:tcBorders>
              <w:top w:val="single" w:sz="4" w:space="0" w:color="53565A" w:themeColor="accent5"/>
              <w:bottom w:val="single" w:sz="4" w:space="0" w:color="53565A" w:themeColor="accent5"/>
            </w:tcBorders>
            <w:shd w:val="clear" w:color="auto" w:fill="auto"/>
            <w:vAlign w:val="center"/>
          </w:tcPr>
          <w:p w14:paraId="24CE5D7C" w14:textId="77777777" w:rsidR="00D76E87" w:rsidRPr="005734B8" w:rsidRDefault="00D76E87" w:rsidP="009151F3">
            <w:pPr>
              <w:pStyle w:val="ESTablenumberrightaligned"/>
              <w:rPr>
                <w:rFonts w:ascii="Calibri" w:hAnsi="Calibri" w:cs="Calibri"/>
                <w:b/>
                <w:sz w:val="18"/>
              </w:rPr>
            </w:pPr>
            <w:r w:rsidRPr="005734B8">
              <w:rPr>
                <w:rFonts w:ascii="Calibri" w:hAnsi="Calibri" w:cs="Calibri"/>
                <w:b/>
                <w:sz w:val="18"/>
              </w:rPr>
              <w:t>(98.1)</w:t>
            </w:r>
          </w:p>
        </w:tc>
        <w:tc>
          <w:tcPr>
            <w:tcW w:w="1134" w:type="dxa"/>
            <w:tcBorders>
              <w:top w:val="single" w:sz="4" w:space="0" w:color="53565A" w:themeColor="accent5"/>
              <w:bottom w:val="single" w:sz="4" w:space="0" w:color="53565A" w:themeColor="accent5"/>
            </w:tcBorders>
            <w:vAlign w:val="center"/>
          </w:tcPr>
          <w:p w14:paraId="1BE51F9D" w14:textId="77777777" w:rsidR="00D76E87" w:rsidRPr="005734B8" w:rsidRDefault="00D76E87" w:rsidP="009151F3">
            <w:pPr>
              <w:pStyle w:val="ESTablenumberrightaligned"/>
              <w:rPr>
                <w:rFonts w:ascii="Calibri" w:hAnsi="Calibri" w:cs="Calibri"/>
                <w:b/>
                <w:sz w:val="18"/>
              </w:rPr>
            </w:pPr>
            <w:r w:rsidRPr="005734B8">
              <w:rPr>
                <w:rFonts w:ascii="Calibri" w:hAnsi="Calibri" w:cs="Calibri"/>
                <w:b/>
                <w:sz w:val="18"/>
              </w:rPr>
              <w:t>(10.3)</w:t>
            </w:r>
          </w:p>
        </w:tc>
        <w:tc>
          <w:tcPr>
            <w:tcW w:w="1134" w:type="dxa"/>
            <w:tcBorders>
              <w:top w:val="single" w:sz="4" w:space="0" w:color="53565A" w:themeColor="accent5"/>
              <w:bottom w:val="single" w:sz="4" w:space="0" w:color="53565A" w:themeColor="accent5"/>
            </w:tcBorders>
            <w:vAlign w:val="center"/>
          </w:tcPr>
          <w:p w14:paraId="3FFA7B0A" w14:textId="77777777" w:rsidR="00D76E87" w:rsidRPr="005734B8" w:rsidRDefault="00D76E87" w:rsidP="009151F3">
            <w:pPr>
              <w:pStyle w:val="ESTablenumberrightaligned"/>
              <w:rPr>
                <w:rFonts w:ascii="Calibri" w:hAnsi="Calibri" w:cs="Calibri"/>
                <w:b/>
                <w:sz w:val="18"/>
              </w:rPr>
            </w:pPr>
            <w:r w:rsidRPr="005734B8">
              <w:rPr>
                <w:rFonts w:ascii="Calibri" w:hAnsi="Calibri" w:cs="Calibri"/>
                <w:b/>
                <w:sz w:val="18"/>
              </w:rPr>
              <w:t>86</w:t>
            </w:r>
          </w:p>
        </w:tc>
      </w:tr>
      <w:tr w:rsidR="00D76E87" w:rsidRPr="005734B8" w14:paraId="69F8C40D" w14:textId="77777777" w:rsidTr="009151F3">
        <w:trPr>
          <w:cantSplit/>
        </w:trPr>
        <w:tc>
          <w:tcPr>
            <w:tcW w:w="2434" w:type="dxa"/>
            <w:tcBorders>
              <w:top w:val="single" w:sz="4" w:space="0" w:color="53565A" w:themeColor="accent5"/>
              <w:bottom w:val="single" w:sz="4" w:space="0" w:color="53565A" w:themeColor="accent5"/>
            </w:tcBorders>
            <w:shd w:val="clear" w:color="auto" w:fill="auto"/>
          </w:tcPr>
          <w:p w14:paraId="7CD42956" w14:textId="77777777" w:rsidR="00D76E87" w:rsidRPr="005734B8" w:rsidRDefault="00D76E87" w:rsidP="000F48B1">
            <w:pPr>
              <w:pStyle w:val="ESTablebody"/>
              <w:rPr>
                <w:rFonts w:ascii="Calibri" w:hAnsi="Calibri" w:cs="Calibri"/>
                <w:b/>
                <w:sz w:val="18"/>
              </w:rPr>
            </w:pPr>
            <w:r w:rsidRPr="005734B8">
              <w:rPr>
                <w:rFonts w:ascii="Calibri" w:hAnsi="Calibri" w:cs="Calibri"/>
                <w:b/>
                <w:sz w:val="18"/>
              </w:rPr>
              <w:t xml:space="preserve">Net results for period </w:t>
            </w:r>
          </w:p>
        </w:tc>
        <w:tc>
          <w:tcPr>
            <w:tcW w:w="963" w:type="dxa"/>
            <w:tcBorders>
              <w:top w:val="single" w:sz="4" w:space="0" w:color="53565A" w:themeColor="accent5"/>
              <w:bottom w:val="single" w:sz="4" w:space="0" w:color="53565A" w:themeColor="accent5"/>
            </w:tcBorders>
            <w:shd w:val="clear" w:color="auto" w:fill="D9D9D6"/>
            <w:vAlign w:val="center"/>
          </w:tcPr>
          <w:p w14:paraId="7242B077" w14:textId="77777777" w:rsidR="00D76E87" w:rsidRPr="005734B8" w:rsidRDefault="00D76E87" w:rsidP="000F48B1">
            <w:pPr>
              <w:pStyle w:val="ESTablenumberrightaligned"/>
              <w:rPr>
                <w:rFonts w:ascii="Calibri" w:hAnsi="Calibri" w:cs="Calibri"/>
                <w:b/>
                <w:sz w:val="18"/>
              </w:rPr>
            </w:pPr>
            <w:r w:rsidRPr="005734B8">
              <w:rPr>
                <w:rFonts w:ascii="Calibri" w:hAnsi="Calibri" w:cs="Calibri"/>
                <w:b/>
                <w:sz w:val="18"/>
              </w:rPr>
              <w:t>660.7</w:t>
            </w:r>
          </w:p>
        </w:tc>
        <w:tc>
          <w:tcPr>
            <w:tcW w:w="993" w:type="dxa"/>
            <w:tcBorders>
              <w:top w:val="single" w:sz="4" w:space="0" w:color="53565A" w:themeColor="accent5"/>
              <w:bottom w:val="single" w:sz="4" w:space="0" w:color="53565A" w:themeColor="accent5"/>
            </w:tcBorders>
            <w:shd w:val="clear" w:color="auto" w:fill="auto"/>
            <w:vAlign w:val="center"/>
          </w:tcPr>
          <w:p w14:paraId="0378B88D" w14:textId="77777777" w:rsidR="00D76E87" w:rsidRPr="005734B8" w:rsidRDefault="00D76E87" w:rsidP="009151F3">
            <w:pPr>
              <w:pStyle w:val="ESTablenumberrightaligned"/>
              <w:rPr>
                <w:rFonts w:ascii="Calibri" w:hAnsi="Calibri" w:cs="Calibri"/>
                <w:b/>
                <w:sz w:val="18"/>
              </w:rPr>
            </w:pPr>
            <w:r w:rsidRPr="005734B8">
              <w:rPr>
                <w:rFonts w:ascii="Calibri" w:hAnsi="Calibri" w:cs="Calibri"/>
                <w:b/>
                <w:sz w:val="18"/>
              </w:rPr>
              <w:t>560.6</w:t>
            </w:r>
          </w:p>
        </w:tc>
        <w:tc>
          <w:tcPr>
            <w:tcW w:w="992" w:type="dxa"/>
            <w:tcBorders>
              <w:top w:val="single" w:sz="4" w:space="0" w:color="53565A" w:themeColor="accent5"/>
              <w:bottom w:val="single" w:sz="4" w:space="0" w:color="53565A" w:themeColor="accent5"/>
            </w:tcBorders>
            <w:shd w:val="clear" w:color="auto" w:fill="auto"/>
            <w:vAlign w:val="center"/>
          </w:tcPr>
          <w:p w14:paraId="494C9B51" w14:textId="77777777" w:rsidR="00D76E87" w:rsidRPr="005734B8" w:rsidRDefault="00D76E87" w:rsidP="009151F3">
            <w:pPr>
              <w:pStyle w:val="ESTablenumberrightaligned"/>
              <w:rPr>
                <w:rFonts w:ascii="Calibri" w:hAnsi="Calibri" w:cs="Calibri"/>
                <w:b/>
                <w:sz w:val="18"/>
              </w:rPr>
            </w:pPr>
            <w:r w:rsidRPr="005734B8">
              <w:rPr>
                <w:rFonts w:ascii="Calibri" w:hAnsi="Calibri" w:cs="Calibri"/>
                <w:b/>
                <w:sz w:val="18"/>
              </w:rPr>
              <w:t>571.7</w:t>
            </w:r>
          </w:p>
        </w:tc>
        <w:tc>
          <w:tcPr>
            <w:tcW w:w="1134" w:type="dxa"/>
            <w:tcBorders>
              <w:top w:val="single" w:sz="4" w:space="0" w:color="53565A" w:themeColor="accent5"/>
              <w:bottom w:val="single" w:sz="4" w:space="0" w:color="53565A" w:themeColor="accent5"/>
            </w:tcBorders>
            <w:vAlign w:val="center"/>
          </w:tcPr>
          <w:p w14:paraId="1AEF3EB5" w14:textId="77777777" w:rsidR="00D76E87" w:rsidRPr="005734B8" w:rsidRDefault="00D76E87" w:rsidP="009151F3">
            <w:pPr>
              <w:pStyle w:val="ESTablenumberrightaligned"/>
              <w:rPr>
                <w:rFonts w:ascii="Calibri" w:hAnsi="Calibri" w:cs="Calibri"/>
                <w:b/>
                <w:sz w:val="18"/>
              </w:rPr>
            </w:pPr>
            <w:r w:rsidRPr="005734B8">
              <w:rPr>
                <w:rFonts w:ascii="Calibri" w:hAnsi="Calibri" w:cs="Calibri"/>
                <w:b/>
                <w:sz w:val="18"/>
              </w:rPr>
              <w:t>311.9</w:t>
            </w:r>
          </w:p>
        </w:tc>
        <w:tc>
          <w:tcPr>
            <w:tcW w:w="1134" w:type="dxa"/>
            <w:tcBorders>
              <w:top w:val="single" w:sz="4" w:space="0" w:color="53565A" w:themeColor="accent5"/>
              <w:bottom w:val="single" w:sz="4" w:space="0" w:color="53565A" w:themeColor="accent5"/>
            </w:tcBorders>
            <w:vAlign w:val="center"/>
          </w:tcPr>
          <w:p w14:paraId="674555C8" w14:textId="77777777" w:rsidR="00D76E87" w:rsidRPr="005734B8" w:rsidRDefault="00D76E87" w:rsidP="009151F3">
            <w:pPr>
              <w:pStyle w:val="ESTablenumberrightaligned"/>
              <w:rPr>
                <w:rFonts w:ascii="Calibri" w:hAnsi="Calibri" w:cs="Calibri"/>
                <w:b/>
                <w:sz w:val="18"/>
              </w:rPr>
            </w:pPr>
            <w:r w:rsidRPr="005734B8">
              <w:rPr>
                <w:rFonts w:ascii="Calibri" w:hAnsi="Calibri" w:cs="Calibri"/>
                <w:b/>
                <w:sz w:val="18"/>
              </w:rPr>
              <w:t>408.2</w:t>
            </w:r>
          </w:p>
        </w:tc>
      </w:tr>
      <w:tr w:rsidR="00D76E87" w:rsidRPr="005734B8" w14:paraId="2DC35FD5" w14:textId="77777777" w:rsidTr="009151F3">
        <w:trPr>
          <w:cantSplit/>
        </w:trPr>
        <w:tc>
          <w:tcPr>
            <w:tcW w:w="2434" w:type="dxa"/>
            <w:tcBorders>
              <w:top w:val="single" w:sz="4" w:space="0" w:color="53565A" w:themeColor="accent5"/>
              <w:bottom w:val="single" w:sz="4" w:space="0" w:color="53565A" w:themeColor="accent5"/>
            </w:tcBorders>
            <w:shd w:val="clear" w:color="auto" w:fill="auto"/>
          </w:tcPr>
          <w:p w14:paraId="0786243B" w14:textId="77777777" w:rsidR="00D76E87" w:rsidRPr="005734B8" w:rsidRDefault="00D76E87" w:rsidP="000F48B1">
            <w:pPr>
              <w:pStyle w:val="ESTablebody"/>
              <w:rPr>
                <w:rFonts w:ascii="Calibri" w:hAnsi="Calibri" w:cs="Calibri"/>
                <w:sz w:val="18"/>
              </w:rPr>
            </w:pPr>
          </w:p>
        </w:tc>
        <w:tc>
          <w:tcPr>
            <w:tcW w:w="963" w:type="dxa"/>
            <w:tcBorders>
              <w:top w:val="single" w:sz="4" w:space="0" w:color="53565A" w:themeColor="accent5"/>
              <w:bottom w:val="single" w:sz="4" w:space="0" w:color="53565A" w:themeColor="accent5"/>
            </w:tcBorders>
            <w:shd w:val="clear" w:color="auto" w:fill="D9D9D6"/>
            <w:vAlign w:val="center"/>
          </w:tcPr>
          <w:p w14:paraId="4028A86D" w14:textId="77777777" w:rsidR="00D76E87" w:rsidRPr="005734B8" w:rsidRDefault="00D76E87" w:rsidP="000F48B1">
            <w:pPr>
              <w:pStyle w:val="ESTablenumberrightaligned"/>
              <w:rPr>
                <w:rFonts w:ascii="Calibri" w:hAnsi="Calibri" w:cs="Calibri"/>
                <w:b/>
                <w:sz w:val="18"/>
              </w:rPr>
            </w:pPr>
          </w:p>
        </w:tc>
        <w:tc>
          <w:tcPr>
            <w:tcW w:w="993" w:type="dxa"/>
            <w:tcBorders>
              <w:top w:val="single" w:sz="4" w:space="0" w:color="53565A" w:themeColor="accent5"/>
              <w:bottom w:val="single" w:sz="4" w:space="0" w:color="53565A" w:themeColor="accent5"/>
            </w:tcBorders>
            <w:shd w:val="clear" w:color="auto" w:fill="auto"/>
            <w:vAlign w:val="center"/>
          </w:tcPr>
          <w:p w14:paraId="72D231E4" w14:textId="77777777" w:rsidR="00D76E87" w:rsidRPr="005734B8" w:rsidRDefault="00D76E87" w:rsidP="009151F3">
            <w:pPr>
              <w:pStyle w:val="ESTablenumberrightaligned"/>
              <w:rPr>
                <w:rFonts w:ascii="Calibri" w:hAnsi="Calibri" w:cs="Calibri"/>
                <w:sz w:val="18"/>
              </w:rPr>
            </w:pPr>
          </w:p>
        </w:tc>
        <w:tc>
          <w:tcPr>
            <w:tcW w:w="992" w:type="dxa"/>
            <w:tcBorders>
              <w:top w:val="single" w:sz="4" w:space="0" w:color="53565A" w:themeColor="accent5"/>
              <w:bottom w:val="single" w:sz="4" w:space="0" w:color="53565A" w:themeColor="accent5"/>
            </w:tcBorders>
            <w:shd w:val="clear" w:color="auto" w:fill="auto"/>
            <w:vAlign w:val="center"/>
          </w:tcPr>
          <w:p w14:paraId="04D0DEEF" w14:textId="77777777" w:rsidR="00D76E87" w:rsidRPr="005734B8" w:rsidRDefault="00D76E87" w:rsidP="009151F3">
            <w:pPr>
              <w:pStyle w:val="ESTablenumberrightaligned"/>
              <w:rPr>
                <w:rFonts w:ascii="Calibri" w:hAnsi="Calibri" w:cs="Calibri"/>
                <w:sz w:val="18"/>
              </w:rPr>
            </w:pPr>
          </w:p>
        </w:tc>
        <w:tc>
          <w:tcPr>
            <w:tcW w:w="1134" w:type="dxa"/>
            <w:tcBorders>
              <w:top w:val="single" w:sz="4" w:space="0" w:color="53565A" w:themeColor="accent5"/>
              <w:bottom w:val="single" w:sz="4" w:space="0" w:color="53565A" w:themeColor="accent5"/>
            </w:tcBorders>
            <w:vAlign w:val="center"/>
          </w:tcPr>
          <w:p w14:paraId="5C0527E7" w14:textId="77777777" w:rsidR="00D76E87" w:rsidRPr="005734B8" w:rsidRDefault="00D76E87" w:rsidP="009151F3">
            <w:pPr>
              <w:pStyle w:val="ESTablenumberrightaligned"/>
              <w:rPr>
                <w:rFonts w:ascii="Calibri" w:hAnsi="Calibri" w:cs="Calibri"/>
                <w:sz w:val="18"/>
              </w:rPr>
            </w:pPr>
          </w:p>
        </w:tc>
        <w:tc>
          <w:tcPr>
            <w:tcW w:w="1134" w:type="dxa"/>
            <w:tcBorders>
              <w:top w:val="single" w:sz="4" w:space="0" w:color="53565A" w:themeColor="accent5"/>
              <w:bottom w:val="single" w:sz="4" w:space="0" w:color="53565A" w:themeColor="accent5"/>
            </w:tcBorders>
            <w:vAlign w:val="center"/>
          </w:tcPr>
          <w:p w14:paraId="4CD8A1C8" w14:textId="77777777" w:rsidR="00D76E87" w:rsidRPr="005734B8" w:rsidRDefault="00D76E87" w:rsidP="009151F3">
            <w:pPr>
              <w:pStyle w:val="ESTablenumberrightaligned"/>
              <w:rPr>
                <w:rFonts w:ascii="Calibri" w:hAnsi="Calibri" w:cs="Calibri"/>
                <w:sz w:val="18"/>
              </w:rPr>
            </w:pPr>
          </w:p>
        </w:tc>
      </w:tr>
      <w:tr w:rsidR="00D76E87" w:rsidRPr="005734B8" w14:paraId="6257250F" w14:textId="77777777" w:rsidTr="009151F3">
        <w:trPr>
          <w:cantSplit/>
        </w:trPr>
        <w:tc>
          <w:tcPr>
            <w:tcW w:w="2434" w:type="dxa"/>
            <w:tcBorders>
              <w:top w:val="single" w:sz="4" w:space="0" w:color="53565A" w:themeColor="accent5"/>
              <w:bottom w:val="single" w:sz="4" w:space="0" w:color="53565A" w:themeColor="accent5"/>
            </w:tcBorders>
            <w:shd w:val="clear" w:color="auto" w:fill="auto"/>
          </w:tcPr>
          <w:p w14:paraId="3B40309E" w14:textId="77777777" w:rsidR="00D76E87" w:rsidRPr="005734B8" w:rsidRDefault="00D76E87" w:rsidP="000F48B1">
            <w:pPr>
              <w:pStyle w:val="ESTablebody"/>
              <w:rPr>
                <w:rFonts w:ascii="Calibri" w:hAnsi="Calibri" w:cs="Calibri"/>
                <w:sz w:val="18"/>
              </w:rPr>
            </w:pPr>
            <w:r w:rsidRPr="005734B8">
              <w:rPr>
                <w:rFonts w:ascii="Calibri" w:hAnsi="Calibri" w:cs="Calibri"/>
                <w:b/>
                <w:sz w:val="18"/>
              </w:rPr>
              <w:t>Net cash flow from operating activities</w:t>
            </w:r>
          </w:p>
        </w:tc>
        <w:tc>
          <w:tcPr>
            <w:tcW w:w="963" w:type="dxa"/>
            <w:tcBorders>
              <w:top w:val="single" w:sz="4" w:space="0" w:color="53565A" w:themeColor="accent5"/>
              <w:bottom w:val="single" w:sz="4" w:space="0" w:color="53565A" w:themeColor="accent5"/>
            </w:tcBorders>
            <w:shd w:val="clear" w:color="auto" w:fill="D9D9D6"/>
            <w:vAlign w:val="center"/>
          </w:tcPr>
          <w:p w14:paraId="2895E6C1" w14:textId="77777777" w:rsidR="00D76E87" w:rsidRPr="005734B8" w:rsidRDefault="00D76E87" w:rsidP="000F48B1">
            <w:pPr>
              <w:pStyle w:val="ESTablenumberrightaligned"/>
              <w:rPr>
                <w:rFonts w:ascii="Calibri" w:hAnsi="Calibri" w:cs="Calibri"/>
                <w:b/>
                <w:sz w:val="18"/>
              </w:rPr>
            </w:pPr>
            <w:r w:rsidRPr="005734B8">
              <w:rPr>
                <w:rFonts w:ascii="Calibri" w:hAnsi="Calibri" w:cs="Calibri"/>
                <w:b/>
                <w:sz w:val="18"/>
              </w:rPr>
              <w:t>605.7</w:t>
            </w:r>
          </w:p>
        </w:tc>
        <w:tc>
          <w:tcPr>
            <w:tcW w:w="993" w:type="dxa"/>
            <w:tcBorders>
              <w:top w:val="single" w:sz="4" w:space="0" w:color="53565A" w:themeColor="accent5"/>
              <w:bottom w:val="single" w:sz="4" w:space="0" w:color="53565A" w:themeColor="accent5"/>
            </w:tcBorders>
            <w:shd w:val="clear" w:color="auto" w:fill="auto"/>
            <w:vAlign w:val="center"/>
          </w:tcPr>
          <w:p w14:paraId="19C24D49" w14:textId="77777777" w:rsidR="00D76E87" w:rsidRPr="005734B8" w:rsidRDefault="00D76E87" w:rsidP="009151F3">
            <w:pPr>
              <w:pStyle w:val="ESTablenumberrightaligned"/>
              <w:rPr>
                <w:rFonts w:ascii="Calibri" w:hAnsi="Calibri" w:cs="Calibri"/>
                <w:b/>
                <w:sz w:val="18"/>
              </w:rPr>
            </w:pPr>
            <w:r w:rsidRPr="005734B8">
              <w:rPr>
                <w:rFonts w:ascii="Calibri" w:hAnsi="Calibri" w:cs="Calibri"/>
                <w:b/>
                <w:sz w:val="18"/>
              </w:rPr>
              <w:t>1220.3</w:t>
            </w:r>
          </w:p>
        </w:tc>
        <w:tc>
          <w:tcPr>
            <w:tcW w:w="992" w:type="dxa"/>
            <w:tcBorders>
              <w:top w:val="single" w:sz="4" w:space="0" w:color="53565A" w:themeColor="accent5"/>
              <w:bottom w:val="single" w:sz="4" w:space="0" w:color="53565A" w:themeColor="accent5"/>
            </w:tcBorders>
            <w:shd w:val="clear" w:color="auto" w:fill="auto"/>
            <w:vAlign w:val="center"/>
          </w:tcPr>
          <w:p w14:paraId="4E1BB4D2" w14:textId="77777777" w:rsidR="00D76E87" w:rsidRPr="005734B8" w:rsidRDefault="00D76E87" w:rsidP="009151F3">
            <w:pPr>
              <w:pStyle w:val="ESTablenumberrightaligned"/>
              <w:rPr>
                <w:rFonts w:ascii="Calibri" w:hAnsi="Calibri" w:cs="Calibri"/>
                <w:b/>
                <w:sz w:val="18"/>
              </w:rPr>
            </w:pPr>
            <w:r w:rsidRPr="005734B8">
              <w:rPr>
                <w:rFonts w:ascii="Calibri" w:hAnsi="Calibri" w:cs="Calibri"/>
                <w:b/>
                <w:sz w:val="18"/>
              </w:rPr>
              <w:t>1,047.1</w:t>
            </w:r>
          </w:p>
        </w:tc>
        <w:tc>
          <w:tcPr>
            <w:tcW w:w="1134" w:type="dxa"/>
            <w:tcBorders>
              <w:top w:val="single" w:sz="4" w:space="0" w:color="53565A" w:themeColor="accent5"/>
              <w:bottom w:val="single" w:sz="4" w:space="0" w:color="53565A" w:themeColor="accent5"/>
            </w:tcBorders>
            <w:vAlign w:val="center"/>
          </w:tcPr>
          <w:p w14:paraId="17F4CB30" w14:textId="77777777" w:rsidR="00D76E87" w:rsidRPr="005734B8" w:rsidRDefault="00D76E87" w:rsidP="009151F3">
            <w:pPr>
              <w:pStyle w:val="ESTablenumberrightaligned"/>
              <w:rPr>
                <w:rFonts w:ascii="Calibri" w:hAnsi="Calibri" w:cs="Calibri"/>
                <w:b/>
                <w:sz w:val="18"/>
              </w:rPr>
            </w:pPr>
            <w:r w:rsidRPr="005734B8">
              <w:rPr>
                <w:rFonts w:ascii="Calibri" w:hAnsi="Calibri" w:cs="Calibri"/>
                <w:b/>
                <w:sz w:val="18"/>
              </w:rPr>
              <w:t>790.0</w:t>
            </w:r>
          </w:p>
        </w:tc>
        <w:tc>
          <w:tcPr>
            <w:tcW w:w="1134" w:type="dxa"/>
            <w:tcBorders>
              <w:top w:val="single" w:sz="4" w:space="0" w:color="53565A" w:themeColor="accent5"/>
              <w:bottom w:val="single" w:sz="4" w:space="0" w:color="53565A" w:themeColor="accent5"/>
            </w:tcBorders>
            <w:vAlign w:val="center"/>
          </w:tcPr>
          <w:p w14:paraId="25239D52" w14:textId="77777777" w:rsidR="00D76E87" w:rsidRPr="005734B8" w:rsidRDefault="00D76E87" w:rsidP="009151F3">
            <w:pPr>
              <w:pStyle w:val="ESTablenumberrightaligned"/>
              <w:rPr>
                <w:rFonts w:ascii="Calibri" w:hAnsi="Calibri" w:cs="Calibri"/>
                <w:b/>
                <w:sz w:val="18"/>
              </w:rPr>
            </w:pPr>
            <w:r w:rsidRPr="005734B8">
              <w:rPr>
                <w:rFonts w:ascii="Calibri" w:hAnsi="Calibri" w:cs="Calibri"/>
                <w:b/>
                <w:sz w:val="18"/>
              </w:rPr>
              <w:t>638.5</w:t>
            </w:r>
          </w:p>
        </w:tc>
      </w:tr>
      <w:tr w:rsidR="00D76E87" w:rsidRPr="005734B8" w14:paraId="4E2D4C61" w14:textId="77777777" w:rsidTr="009151F3">
        <w:trPr>
          <w:cantSplit/>
        </w:trPr>
        <w:tc>
          <w:tcPr>
            <w:tcW w:w="2434" w:type="dxa"/>
            <w:tcBorders>
              <w:top w:val="single" w:sz="4" w:space="0" w:color="53565A" w:themeColor="accent5"/>
              <w:bottom w:val="single" w:sz="4" w:space="0" w:color="53565A" w:themeColor="accent5"/>
            </w:tcBorders>
            <w:shd w:val="clear" w:color="auto" w:fill="auto"/>
          </w:tcPr>
          <w:p w14:paraId="44359B39" w14:textId="77777777" w:rsidR="00D76E87" w:rsidRPr="005734B8" w:rsidRDefault="00D76E87" w:rsidP="000F48B1">
            <w:pPr>
              <w:pStyle w:val="ESTablebody"/>
              <w:rPr>
                <w:rFonts w:ascii="Calibri" w:hAnsi="Calibri" w:cs="Calibri"/>
                <w:sz w:val="18"/>
              </w:rPr>
            </w:pPr>
          </w:p>
        </w:tc>
        <w:tc>
          <w:tcPr>
            <w:tcW w:w="963" w:type="dxa"/>
            <w:tcBorders>
              <w:top w:val="single" w:sz="4" w:space="0" w:color="53565A" w:themeColor="accent5"/>
              <w:bottom w:val="single" w:sz="4" w:space="0" w:color="53565A" w:themeColor="accent5"/>
            </w:tcBorders>
            <w:shd w:val="clear" w:color="auto" w:fill="D9D9D6"/>
            <w:vAlign w:val="center"/>
          </w:tcPr>
          <w:p w14:paraId="5790AD53" w14:textId="77777777" w:rsidR="00D76E87" w:rsidRPr="005734B8" w:rsidRDefault="00D76E87" w:rsidP="000F48B1">
            <w:pPr>
              <w:pStyle w:val="ESTablenumberrightaligned"/>
              <w:rPr>
                <w:rFonts w:ascii="Calibri" w:hAnsi="Calibri" w:cs="Calibri"/>
                <w:b/>
                <w:sz w:val="18"/>
              </w:rPr>
            </w:pPr>
          </w:p>
        </w:tc>
        <w:tc>
          <w:tcPr>
            <w:tcW w:w="993" w:type="dxa"/>
            <w:tcBorders>
              <w:top w:val="single" w:sz="4" w:space="0" w:color="53565A" w:themeColor="accent5"/>
              <w:bottom w:val="single" w:sz="4" w:space="0" w:color="53565A" w:themeColor="accent5"/>
            </w:tcBorders>
            <w:shd w:val="clear" w:color="auto" w:fill="auto"/>
            <w:vAlign w:val="center"/>
          </w:tcPr>
          <w:p w14:paraId="64563E43" w14:textId="77777777" w:rsidR="00D76E87" w:rsidRPr="005734B8" w:rsidRDefault="00D76E87" w:rsidP="009151F3">
            <w:pPr>
              <w:pStyle w:val="ESTablenumberrightaligned"/>
              <w:rPr>
                <w:rFonts w:ascii="Calibri" w:hAnsi="Calibri" w:cs="Calibri"/>
                <w:sz w:val="18"/>
              </w:rPr>
            </w:pPr>
          </w:p>
        </w:tc>
        <w:tc>
          <w:tcPr>
            <w:tcW w:w="992" w:type="dxa"/>
            <w:tcBorders>
              <w:top w:val="single" w:sz="4" w:space="0" w:color="53565A" w:themeColor="accent5"/>
              <w:bottom w:val="single" w:sz="4" w:space="0" w:color="53565A" w:themeColor="accent5"/>
            </w:tcBorders>
            <w:shd w:val="clear" w:color="auto" w:fill="auto"/>
            <w:vAlign w:val="center"/>
          </w:tcPr>
          <w:p w14:paraId="5B9F8CDF" w14:textId="77777777" w:rsidR="00D76E87" w:rsidRPr="005734B8" w:rsidRDefault="00D76E87" w:rsidP="009151F3">
            <w:pPr>
              <w:pStyle w:val="ESTablenumberrightaligned"/>
              <w:rPr>
                <w:rFonts w:ascii="Calibri" w:hAnsi="Calibri" w:cs="Calibri"/>
                <w:sz w:val="18"/>
              </w:rPr>
            </w:pPr>
          </w:p>
        </w:tc>
        <w:tc>
          <w:tcPr>
            <w:tcW w:w="1134" w:type="dxa"/>
            <w:tcBorders>
              <w:top w:val="single" w:sz="4" w:space="0" w:color="53565A" w:themeColor="accent5"/>
              <w:bottom w:val="single" w:sz="4" w:space="0" w:color="53565A" w:themeColor="accent5"/>
            </w:tcBorders>
            <w:vAlign w:val="center"/>
          </w:tcPr>
          <w:p w14:paraId="12EC1C82" w14:textId="77777777" w:rsidR="00D76E87" w:rsidRPr="005734B8" w:rsidRDefault="00D76E87" w:rsidP="009151F3">
            <w:pPr>
              <w:pStyle w:val="ESTablenumberrightaligned"/>
              <w:rPr>
                <w:rFonts w:ascii="Calibri" w:hAnsi="Calibri" w:cs="Calibri"/>
                <w:sz w:val="18"/>
              </w:rPr>
            </w:pPr>
          </w:p>
        </w:tc>
        <w:tc>
          <w:tcPr>
            <w:tcW w:w="1134" w:type="dxa"/>
            <w:tcBorders>
              <w:top w:val="single" w:sz="4" w:space="0" w:color="53565A" w:themeColor="accent5"/>
              <w:bottom w:val="single" w:sz="4" w:space="0" w:color="53565A" w:themeColor="accent5"/>
            </w:tcBorders>
            <w:vAlign w:val="center"/>
          </w:tcPr>
          <w:p w14:paraId="070E645F" w14:textId="77777777" w:rsidR="00D76E87" w:rsidRPr="005734B8" w:rsidRDefault="00D76E87" w:rsidP="009151F3">
            <w:pPr>
              <w:pStyle w:val="ESTablenumberrightaligned"/>
              <w:rPr>
                <w:rFonts w:ascii="Calibri" w:hAnsi="Calibri" w:cs="Calibri"/>
                <w:sz w:val="18"/>
              </w:rPr>
            </w:pPr>
          </w:p>
        </w:tc>
      </w:tr>
      <w:tr w:rsidR="00D76E87" w:rsidRPr="005734B8" w14:paraId="15FD7B8D" w14:textId="77777777" w:rsidTr="009151F3">
        <w:trPr>
          <w:cantSplit/>
        </w:trPr>
        <w:tc>
          <w:tcPr>
            <w:tcW w:w="2434" w:type="dxa"/>
            <w:tcBorders>
              <w:top w:val="single" w:sz="4" w:space="0" w:color="53565A" w:themeColor="accent5"/>
              <w:bottom w:val="single" w:sz="4" w:space="0" w:color="53565A" w:themeColor="accent5"/>
            </w:tcBorders>
            <w:shd w:val="clear" w:color="auto" w:fill="auto"/>
            <w:vAlign w:val="center"/>
          </w:tcPr>
          <w:p w14:paraId="3AD80419" w14:textId="77777777" w:rsidR="00D76E87" w:rsidRPr="005734B8" w:rsidRDefault="00D76E87" w:rsidP="000F48B1">
            <w:pPr>
              <w:pStyle w:val="ESTablebody"/>
              <w:rPr>
                <w:rFonts w:ascii="Calibri" w:hAnsi="Calibri" w:cs="Calibri"/>
                <w:sz w:val="18"/>
              </w:rPr>
            </w:pPr>
            <w:r w:rsidRPr="005734B8">
              <w:rPr>
                <w:rFonts w:ascii="Calibri" w:hAnsi="Calibri" w:cs="Calibri"/>
                <w:sz w:val="18"/>
              </w:rPr>
              <w:t>Total assets</w:t>
            </w:r>
          </w:p>
        </w:tc>
        <w:tc>
          <w:tcPr>
            <w:tcW w:w="963" w:type="dxa"/>
            <w:tcBorders>
              <w:top w:val="single" w:sz="4" w:space="0" w:color="53565A" w:themeColor="accent5"/>
              <w:bottom w:val="single" w:sz="4" w:space="0" w:color="53565A" w:themeColor="accent5"/>
            </w:tcBorders>
            <w:shd w:val="clear" w:color="auto" w:fill="D9D9D6"/>
            <w:vAlign w:val="center"/>
          </w:tcPr>
          <w:p w14:paraId="0C220B47" w14:textId="77777777" w:rsidR="00D76E87" w:rsidRPr="005734B8" w:rsidRDefault="00D76E87" w:rsidP="000F48B1">
            <w:pPr>
              <w:pStyle w:val="ESTablenumberrightaligned"/>
              <w:rPr>
                <w:rFonts w:ascii="Calibri" w:hAnsi="Calibri" w:cs="Calibri"/>
                <w:sz w:val="18"/>
              </w:rPr>
            </w:pPr>
            <w:r w:rsidRPr="005734B8">
              <w:rPr>
                <w:rFonts w:ascii="Calibri" w:hAnsi="Calibri" w:cs="Calibri"/>
                <w:sz w:val="18"/>
              </w:rPr>
              <w:t>33,535.4</w:t>
            </w:r>
          </w:p>
        </w:tc>
        <w:tc>
          <w:tcPr>
            <w:tcW w:w="993" w:type="dxa"/>
            <w:tcBorders>
              <w:top w:val="single" w:sz="4" w:space="0" w:color="53565A" w:themeColor="accent5"/>
              <w:bottom w:val="single" w:sz="4" w:space="0" w:color="53565A" w:themeColor="accent5"/>
            </w:tcBorders>
            <w:shd w:val="clear" w:color="auto" w:fill="auto"/>
            <w:vAlign w:val="center"/>
          </w:tcPr>
          <w:p w14:paraId="11174E41" w14:textId="77777777" w:rsidR="00D76E87" w:rsidRPr="005734B8" w:rsidRDefault="00D76E87" w:rsidP="009151F3">
            <w:pPr>
              <w:pStyle w:val="ESTablenumberrightaligned"/>
              <w:rPr>
                <w:rFonts w:ascii="Calibri" w:hAnsi="Calibri" w:cs="Calibri"/>
                <w:sz w:val="18"/>
              </w:rPr>
            </w:pPr>
            <w:r w:rsidRPr="005734B8">
              <w:rPr>
                <w:rFonts w:ascii="Calibri" w:hAnsi="Calibri" w:cs="Calibri"/>
                <w:sz w:val="18"/>
              </w:rPr>
              <w:t>29,228.9</w:t>
            </w:r>
          </w:p>
        </w:tc>
        <w:tc>
          <w:tcPr>
            <w:tcW w:w="992" w:type="dxa"/>
            <w:tcBorders>
              <w:top w:val="single" w:sz="4" w:space="0" w:color="53565A" w:themeColor="accent5"/>
              <w:bottom w:val="single" w:sz="4" w:space="0" w:color="53565A" w:themeColor="accent5"/>
            </w:tcBorders>
            <w:shd w:val="clear" w:color="auto" w:fill="auto"/>
            <w:vAlign w:val="center"/>
          </w:tcPr>
          <w:p w14:paraId="4621D493" w14:textId="77777777" w:rsidR="00D76E87" w:rsidRPr="005734B8" w:rsidRDefault="00D76E87" w:rsidP="009151F3">
            <w:pPr>
              <w:pStyle w:val="ESTablenumberrightaligned"/>
              <w:rPr>
                <w:rFonts w:ascii="Calibri" w:hAnsi="Calibri" w:cs="Calibri"/>
                <w:sz w:val="18"/>
              </w:rPr>
            </w:pPr>
            <w:r w:rsidRPr="005734B8">
              <w:rPr>
                <w:rFonts w:ascii="Calibri" w:hAnsi="Calibri" w:cs="Calibri"/>
                <w:sz w:val="18"/>
              </w:rPr>
              <w:t>27,846.8</w:t>
            </w:r>
          </w:p>
        </w:tc>
        <w:tc>
          <w:tcPr>
            <w:tcW w:w="1134" w:type="dxa"/>
            <w:tcBorders>
              <w:top w:val="single" w:sz="4" w:space="0" w:color="53565A" w:themeColor="accent5"/>
              <w:bottom w:val="single" w:sz="4" w:space="0" w:color="53565A" w:themeColor="accent5"/>
            </w:tcBorders>
            <w:vAlign w:val="center"/>
          </w:tcPr>
          <w:p w14:paraId="1AE4F7C0" w14:textId="77777777" w:rsidR="00D76E87" w:rsidRPr="005734B8" w:rsidRDefault="00D76E87" w:rsidP="009151F3">
            <w:pPr>
              <w:pStyle w:val="ESTablenumberrightaligned"/>
              <w:rPr>
                <w:rFonts w:ascii="Calibri" w:hAnsi="Calibri" w:cs="Calibri"/>
                <w:sz w:val="18"/>
              </w:rPr>
            </w:pPr>
            <w:r w:rsidRPr="005734B8">
              <w:rPr>
                <w:rFonts w:ascii="Calibri" w:hAnsi="Calibri" w:cs="Calibri"/>
                <w:sz w:val="18"/>
              </w:rPr>
              <w:t>27,771.7</w:t>
            </w:r>
          </w:p>
        </w:tc>
        <w:tc>
          <w:tcPr>
            <w:tcW w:w="1134" w:type="dxa"/>
            <w:tcBorders>
              <w:top w:val="single" w:sz="4" w:space="0" w:color="53565A" w:themeColor="accent5"/>
              <w:bottom w:val="single" w:sz="4" w:space="0" w:color="53565A" w:themeColor="accent5"/>
            </w:tcBorders>
            <w:vAlign w:val="center"/>
          </w:tcPr>
          <w:p w14:paraId="5D014D40" w14:textId="77777777" w:rsidR="00D76E87" w:rsidRPr="005734B8" w:rsidRDefault="00D76E87" w:rsidP="009151F3">
            <w:pPr>
              <w:pStyle w:val="ESTablenumberrightaligned"/>
              <w:rPr>
                <w:rFonts w:ascii="Calibri" w:hAnsi="Calibri" w:cs="Calibri"/>
                <w:sz w:val="18"/>
              </w:rPr>
            </w:pPr>
            <w:r w:rsidRPr="005734B8">
              <w:rPr>
                <w:rFonts w:ascii="Calibri" w:hAnsi="Calibri" w:cs="Calibri"/>
                <w:sz w:val="18"/>
              </w:rPr>
              <w:t>23,818.6</w:t>
            </w:r>
          </w:p>
        </w:tc>
      </w:tr>
      <w:tr w:rsidR="00D76E87" w:rsidRPr="005734B8" w14:paraId="673B5D60" w14:textId="77777777" w:rsidTr="009151F3">
        <w:trPr>
          <w:cantSplit/>
        </w:trPr>
        <w:tc>
          <w:tcPr>
            <w:tcW w:w="2434" w:type="dxa"/>
            <w:tcBorders>
              <w:top w:val="single" w:sz="4" w:space="0" w:color="53565A" w:themeColor="accent5"/>
              <w:bottom w:val="single" w:sz="4" w:space="0" w:color="53565A" w:themeColor="accent5"/>
            </w:tcBorders>
            <w:shd w:val="clear" w:color="auto" w:fill="auto"/>
            <w:vAlign w:val="center"/>
          </w:tcPr>
          <w:p w14:paraId="387987E5" w14:textId="77777777" w:rsidR="00D76E87" w:rsidRPr="005734B8" w:rsidRDefault="00D76E87" w:rsidP="000F48B1">
            <w:pPr>
              <w:pStyle w:val="ESTablebody"/>
              <w:rPr>
                <w:rFonts w:ascii="Calibri" w:hAnsi="Calibri" w:cs="Calibri"/>
                <w:sz w:val="18"/>
              </w:rPr>
            </w:pPr>
            <w:r w:rsidRPr="005734B8">
              <w:rPr>
                <w:rFonts w:ascii="Calibri" w:hAnsi="Calibri" w:cs="Calibri"/>
                <w:sz w:val="18"/>
              </w:rPr>
              <w:t>Total liabilities</w:t>
            </w:r>
          </w:p>
        </w:tc>
        <w:tc>
          <w:tcPr>
            <w:tcW w:w="963" w:type="dxa"/>
            <w:tcBorders>
              <w:top w:val="single" w:sz="4" w:space="0" w:color="53565A" w:themeColor="accent5"/>
              <w:bottom w:val="single" w:sz="4" w:space="0" w:color="53565A" w:themeColor="accent5"/>
            </w:tcBorders>
            <w:shd w:val="clear" w:color="auto" w:fill="D9D9D6"/>
            <w:vAlign w:val="center"/>
          </w:tcPr>
          <w:p w14:paraId="295F3475" w14:textId="77777777" w:rsidR="00D76E87" w:rsidRPr="005734B8" w:rsidRDefault="00D76E87" w:rsidP="000F48B1">
            <w:pPr>
              <w:pStyle w:val="ESTablenumberrightaligned"/>
              <w:rPr>
                <w:rFonts w:ascii="Calibri" w:hAnsi="Calibri" w:cs="Calibri"/>
                <w:sz w:val="18"/>
              </w:rPr>
            </w:pPr>
            <w:r w:rsidRPr="005734B8">
              <w:rPr>
                <w:rFonts w:ascii="Calibri" w:hAnsi="Calibri" w:cs="Calibri"/>
                <w:sz w:val="18"/>
              </w:rPr>
              <w:t>3,302.9</w:t>
            </w:r>
          </w:p>
        </w:tc>
        <w:tc>
          <w:tcPr>
            <w:tcW w:w="993" w:type="dxa"/>
            <w:tcBorders>
              <w:top w:val="single" w:sz="4" w:space="0" w:color="53565A" w:themeColor="accent5"/>
              <w:bottom w:val="single" w:sz="4" w:space="0" w:color="53565A" w:themeColor="accent5"/>
            </w:tcBorders>
            <w:shd w:val="clear" w:color="auto" w:fill="auto"/>
            <w:vAlign w:val="center"/>
          </w:tcPr>
          <w:p w14:paraId="446C454B" w14:textId="77777777" w:rsidR="00D76E87" w:rsidRPr="005734B8" w:rsidRDefault="00D76E87" w:rsidP="009151F3">
            <w:pPr>
              <w:pStyle w:val="ESTablenumberrightaligned"/>
              <w:rPr>
                <w:rFonts w:ascii="Calibri" w:hAnsi="Calibri" w:cs="Calibri"/>
                <w:sz w:val="18"/>
              </w:rPr>
            </w:pPr>
            <w:r w:rsidRPr="005734B8">
              <w:rPr>
                <w:rFonts w:ascii="Calibri" w:hAnsi="Calibri" w:cs="Calibri"/>
                <w:sz w:val="18"/>
              </w:rPr>
              <w:t>3,355.5</w:t>
            </w:r>
          </w:p>
        </w:tc>
        <w:tc>
          <w:tcPr>
            <w:tcW w:w="992" w:type="dxa"/>
            <w:tcBorders>
              <w:top w:val="single" w:sz="4" w:space="0" w:color="53565A" w:themeColor="accent5"/>
              <w:bottom w:val="single" w:sz="4" w:space="0" w:color="53565A" w:themeColor="accent5"/>
            </w:tcBorders>
            <w:shd w:val="clear" w:color="auto" w:fill="auto"/>
            <w:vAlign w:val="center"/>
          </w:tcPr>
          <w:p w14:paraId="08AB3174" w14:textId="77777777" w:rsidR="00D76E87" w:rsidRPr="005734B8" w:rsidRDefault="00D76E87" w:rsidP="009151F3">
            <w:pPr>
              <w:pStyle w:val="ESTablenumberrightaligned"/>
              <w:rPr>
                <w:rFonts w:ascii="Calibri" w:hAnsi="Calibri" w:cs="Calibri"/>
                <w:sz w:val="18"/>
              </w:rPr>
            </w:pPr>
            <w:r w:rsidRPr="005734B8">
              <w:rPr>
                <w:rFonts w:ascii="Calibri" w:hAnsi="Calibri" w:cs="Calibri"/>
                <w:sz w:val="18"/>
              </w:rPr>
              <w:t>3,022.0</w:t>
            </w:r>
          </w:p>
        </w:tc>
        <w:tc>
          <w:tcPr>
            <w:tcW w:w="1134" w:type="dxa"/>
            <w:tcBorders>
              <w:top w:val="single" w:sz="4" w:space="0" w:color="53565A" w:themeColor="accent5"/>
              <w:bottom w:val="single" w:sz="4" w:space="0" w:color="53565A" w:themeColor="accent5"/>
            </w:tcBorders>
            <w:vAlign w:val="center"/>
          </w:tcPr>
          <w:p w14:paraId="2A94F580" w14:textId="77777777" w:rsidR="00D76E87" w:rsidRPr="005734B8" w:rsidRDefault="00D76E87" w:rsidP="009151F3">
            <w:pPr>
              <w:pStyle w:val="ESTablenumberrightaligned"/>
              <w:rPr>
                <w:rFonts w:ascii="Calibri" w:hAnsi="Calibri" w:cs="Calibri"/>
                <w:sz w:val="18"/>
              </w:rPr>
            </w:pPr>
            <w:r w:rsidRPr="005734B8">
              <w:rPr>
                <w:rFonts w:ascii="Calibri" w:hAnsi="Calibri" w:cs="Calibri"/>
                <w:sz w:val="18"/>
              </w:rPr>
              <w:t>2,809.3</w:t>
            </w:r>
          </w:p>
        </w:tc>
        <w:tc>
          <w:tcPr>
            <w:tcW w:w="1134" w:type="dxa"/>
            <w:tcBorders>
              <w:top w:val="single" w:sz="4" w:space="0" w:color="53565A" w:themeColor="accent5"/>
              <w:bottom w:val="single" w:sz="4" w:space="0" w:color="53565A" w:themeColor="accent5"/>
            </w:tcBorders>
            <w:vAlign w:val="center"/>
          </w:tcPr>
          <w:p w14:paraId="2F9AF87B" w14:textId="77777777" w:rsidR="00D76E87" w:rsidRPr="005734B8" w:rsidRDefault="00D76E87" w:rsidP="009151F3">
            <w:pPr>
              <w:pStyle w:val="ESTablenumberrightaligned"/>
              <w:rPr>
                <w:rFonts w:ascii="Calibri" w:hAnsi="Calibri" w:cs="Calibri"/>
                <w:sz w:val="18"/>
              </w:rPr>
            </w:pPr>
            <w:r w:rsidRPr="005734B8">
              <w:rPr>
                <w:rFonts w:ascii="Calibri" w:hAnsi="Calibri" w:cs="Calibri"/>
                <w:sz w:val="18"/>
              </w:rPr>
              <w:t>2,607.1</w:t>
            </w:r>
          </w:p>
        </w:tc>
      </w:tr>
      <w:tr w:rsidR="00D76E87" w:rsidRPr="005734B8" w14:paraId="13A6EB00" w14:textId="77777777" w:rsidTr="009151F3">
        <w:trPr>
          <w:cantSplit/>
        </w:trPr>
        <w:tc>
          <w:tcPr>
            <w:tcW w:w="2434" w:type="dxa"/>
            <w:tcBorders>
              <w:top w:val="single" w:sz="4" w:space="0" w:color="53565A" w:themeColor="accent5"/>
              <w:bottom w:val="single" w:sz="18" w:space="0" w:color="53565A" w:themeColor="accent5"/>
            </w:tcBorders>
            <w:shd w:val="clear" w:color="auto" w:fill="auto"/>
            <w:vAlign w:val="center"/>
          </w:tcPr>
          <w:p w14:paraId="6B7A0BC8" w14:textId="77777777" w:rsidR="00D76E87" w:rsidRPr="005734B8" w:rsidRDefault="00D76E87" w:rsidP="000F48B1">
            <w:pPr>
              <w:pStyle w:val="ESTablebody"/>
              <w:rPr>
                <w:rFonts w:ascii="Calibri" w:hAnsi="Calibri" w:cs="Calibri"/>
                <w:b/>
                <w:sz w:val="18"/>
              </w:rPr>
            </w:pPr>
            <w:r w:rsidRPr="005734B8">
              <w:rPr>
                <w:rFonts w:ascii="Calibri" w:hAnsi="Calibri" w:cs="Calibri"/>
                <w:b/>
                <w:sz w:val="18"/>
              </w:rPr>
              <w:t>Net assets</w:t>
            </w:r>
          </w:p>
        </w:tc>
        <w:tc>
          <w:tcPr>
            <w:tcW w:w="963" w:type="dxa"/>
            <w:tcBorders>
              <w:top w:val="single" w:sz="4" w:space="0" w:color="53565A" w:themeColor="accent5"/>
              <w:bottom w:val="single" w:sz="18" w:space="0" w:color="53565A" w:themeColor="accent5"/>
            </w:tcBorders>
            <w:shd w:val="clear" w:color="auto" w:fill="D9D9D6"/>
            <w:vAlign w:val="center"/>
          </w:tcPr>
          <w:p w14:paraId="4422E4AD" w14:textId="77777777" w:rsidR="00D76E87" w:rsidRPr="005734B8" w:rsidRDefault="00D76E87" w:rsidP="000F48B1">
            <w:pPr>
              <w:pStyle w:val="ESTablenumberrightaligned"/>
              <w:rPr>
                <w:rFonts w:ascii="Calibri" w:hAnsi="Calibri" w:cs="Calibri"/>
                <w:b/>
                <w:sz w:val="18"/>
              </w:rPr>
            </w:pPr>
            <w:r w:rsidRPr="005734B8">
              <w:rPr>
                <w:rFonts w:ascii="Calibri" w:hAnsi="Calibri" w:cs="Calibri"/>
                <w:b/>
                <w:sz w:val="18"/>
              </w:rPr>
              <w:t>30,232.5</w:t>
            </w:r>
          </w:p>
        </w:tc>
        <w:tc>
          <w:tcPr>
            <w:tcW w:w="993" w:type="dxa"/>
            <w:tcBorders>
              <w:top w:val="single" w:sz="4" w:space="0" w:color="53565A" w:themeColor="accent5"/>
              <w:bottom w:val="single" w:sz="18" w:space="0" w:color="53565A" w:themeColor="accent5"/>
            </w:tcBorders>
            <w:shd w:val="clear" w:color="auto" w:fill="auto"/>
            <w:vAlign w:val="center"/>
          </w:tcPr>
          <w:p w14:paraId="09ABA5C8" w14:textId="77777777" w:rsidR="00D76E87" w:rsidRPr="005734B8" w:rsidRDefault="00D76E87" w:rsidP="009151F3">
            <w:pPr>
              <w:pStyle w:val="ESTablenumberrightaligned"/>
              <w:rPr>
                <w:rFonts w:ascii="Calibri" w:hAnsi="Calibri" w:cs="Calibri"/>
                <w:b/>
                <w:sz w:val="18"/>
              </w:rPr>
            </w:pPr>
            <w:r w:rsidRPr="005734B8">
              <w:rPr>
                <w:rFonts w:ascii="Calibri" w:hAnsi="Calibri" w:cs="Calibri"/>
                <w:b/>
                <w:sz w:val="18"/>
              </w:rPr>
              <w:t>25,873.4</w:t>
            </w:r>
          </w:p>
        </w:tc>
        <w:tc>
          <w:tcPr>
            <w:tcW w:w="992" w:type="dxa"/>
            <w:tcBorders>
              <w:top w:val="single" w:sz="4" w:space="0" w:color="53565A" w:themeColor="accent5"/>
              <w:bottom w:val="single" w:sz="18" w:space="0" w:color="53565A" w:themeColor="accent5"/>
            </w:tcBorders>
            <w:shd w:val="clear" w:color="auto" w:fill="auto"/>
            <w:vAlign w:val="center"/>
          </w:tcPr>
          <w:p w14:paraId="19039079" w14:textId="77777777" w:rsidR="00D76E87" w:rsidRPr="005734B8" w:rsidRDefault="00D76E87" w:rsidP="009151F3">
            <w:pPr>
              <w:pStyle w:val="ESTablenumberrightaligned"/>
              <w:rPr>
                <w:rFonts w:ascii="Calibri" w:hAnsi="Calibri" w:cs="Calibri"/>
                <w:b/>
                <w:sz w:val="18"/>
              </w:rPr>
            </w:pPr>
            <w:r w:rsidRPr="005734B8">
              <w:rPr>
                <w:rFonts w:ascii="Calibri" w:hAnsi="Calibri" w:cs="Calibri"/>
                <w:b/>
                <w:sz w:val="18"/>
              </w:rPr>
              <w:t>24,824.8</w:t>
            </w:r>
          </w:p>
        </w:tc>
        <w:tc>
          <w:tcPr>
            <w:tcW w:w="1134" w:type="dxa"/>
            <w:tcBorders>
              <w:top w:val="single" w:sz="4" w:space="0" w:color="53565A" w:themeColor="accent5"/>
              <w:bottom w:val="single" w:sz="18" w:space="0" w:color="53565A" w:themeColor="accent5"/>
            </w:tcBorders>
            <w:vAlign w:val="center"/>
          </w:tcPr>
          <w:p w14:paraId="38CA28E1" w14:textId="77777777" w:rsidR="00D76E87" w:rsidRPr="005734B8" w:rsidRDefault="00D76E87" w:rsidP="009151F3">
            <w:pPr>
              <w:pStyle w:val="ESTablenumberrightaligned"/>
              <w:rPr>
                <w:rFonts w:ascii="Calibri" w:hAnsi="Calibri" w:cs="Calibri"/>
                <w:b/>
                <w:sz w:val="18"/>
              </w:rPr>
            </w:pPr>
            <w:r w:rsidRPr="005734B8">
              <w:rPr>
                <w:rFonts w:ascii="Calibri" w:hAnsi="Calibri" w:cs="Calibri"/>
                <w:b/>
                <w:sz w:val="18"/>
              </w:rPr>
              <w:t>24,962.4</w:t>
            </w:r>
          </w:p>
        </w:tc>
        <w:tc>
          <w:tcPr>
            <w:tcW w:w="1134" w:type="dxa"/>
            <w:tcBorders>
              <w:top w:val="single" w:sz="4" w:space="0" w:color="53565A" w:themeColor="accent5"/>
              <w:bottom w:val="single" w:sz="18" w:space="0" w:color="53565A" w:themeColor="accent5"/>
            </w:tcBorders>
            <w:vAlign w:val="center"/>
          </w:tcPr>
          <w:p w14:paraId="3E8F1F0C" w14:textId="77777777" w:rsidR="00D76E87" w:rsidRPr="005734B8" w:rsidRDefault="00D76E87" w:rsidP="009151F3">
            <w:pPr>
              <w:pStyle w:val="ESTablenumberrightaligned"/>
              <w:rPr>
                <w:rFonts w:ascii="Calibri" w:hAnsi="Calibri" w:cs="Calibri"/>
                <w:b/>
                <w:sz w:val="18"/>
              </w:rPr>
            </w:pPr>
            <w:r w:rsidRPr="005734B8">
              <w:rPr>
                <w:rFonts w:ascii="Calibri" w:hAnsi="Calibri" w:cs="Calibri"/>
                <w:b/>
                <w:sz w:val="18"/>
              </w:rPr>
              <w:t>21,211.5</w:t>
            </w:r>
          </w:p>
        </w:tc>
      </w:tr>
    </w:tbl>
    <w:p w14:paraId="465F0F1B" w14:textId="77777777" w:rsidR="008B01E5" w:rsidRPr="005734B8" w:rsidRDefault="008B01E5" w:rsidP="008B01E5">
      <w:pPr>
        <w:rPr>
          <w:rFonts w:ascii="Calibri" w:hAnsi="Calibri" w:cs="Calibri"/>
        </w:rPr>
      </w:pPr>
    </w:p>
    <w:p w14:paraId="140D922F" w14:textId="77777777" w:rsidR="008B01E5" w:rsidRPr="005734B8" w:rsidRDefault="008B01E5" w:rsidP="008B01E5">
      <w:pPr>
        <w:rPr>
          <w:rFonts w:ascii="Calibri" w:eastAsiaTheme="majorEastAsia" w:hAnsi="Calibri" w:cs="Calibri"/>
          <w:bCs/>
          <w:color w:val="8A2A2F" w:themeColor="text1"/>
          <w:spacing w:val="5"/>
          <w:kern w:val="28"/>
          <w:sz w:val="28"/>
          <w:szCs w:val="20"/>
          <w:highlight w:val="yellow"/>
          <w:lang w:val="en-US"/>
        </w:rPr>
      </w:pPr>
      <w:r w:rsidRPr="005734B8">
        <w:rPr>
          <w:rFonts w:ascii="Calibri" w:hAnsi="Calibri" w:cs="Calibri"/>
          <w:highlight w:val="yellow"/>
        </w:rPr>
        <w:br w:type="page"/>
      </w:r>
    </w:p>
    <w:p w14:paraId="3A0D9DE2" w14:textId="6BEE2C34" w:rsidR="00295BD3" w:rsidRPr="005734B8" w:rsidRDefault="00295BD3" w:rsidP="00295BD3">
      <w:pPr>
        <w:pStyle w:val="ESHeading2"/>
        <w:rPr>
          <w:rFonts w:ascii="Calibri" w:hAnsi="Calibri" w:cs="Calibri"/>
        </w:rPr>
      </w:pPr>
      <w:bookmarkStart w:id="236" w:name="_Toc13656669"/>
      <w:bookmarkStart w:id="237" w:name="_Toc14965403"/>
      <w:bookmarkStart w:id="238" w:name="_Toc15985255"/>
      <w:bookmarkStart w:id="239" w:name="_Toc19271982"/>
      <w:bookmarkStart w:id="240" w:name="_Toc19272348"/>
      <w:bookmarkStart w:id="241" w:name="_Toc19273683"/>
      <w:bookmarkStart w:id="242" w:name="_Toc48402775"/>
      <w:bookmarkStart w:id="243" w:name="_Toc48403012"/>
      <w:bookmarkStart w:id="244" w:name="_Toc51332755"/>
      <w:bookmarkStart w:id="245" w:name="_Toc81315319"/>
      <w:r w:rsidRPr="005734B8">
        <w:rPr>
          <w:rFonts w:ascii="Calibri" w:hAnsi="Calibri" w:cs="Calibri"/>
        </w:rPr>
        <w:lastRenderedPageBreak/>
        <w:t xml:space="preserve">Current year financial </w:t>
      </w:r>
      <w:bookmarkEnd w:id="217"/>
      <w:bookmarkEnd w:id="218"/>
      <w:bookmarkEnd w:id="219"/>
      <w:bookmarkEnd w:id="236"/>
      <w:bookmarkEnd w:id="237"/>
      <w:bookmarkEnd w:id="238"/>
      <w:bookmarkEnd w:id="239"/>
      <w:bookmarkEnd w:id="240"/>
      <w:bookmarkEnd w:id="241"/>
      <w:r w:rsidR="001139C8" w:rsidRPr="005734B8">
        <w:rPr>
          <w:rFonts w:ascii="Calibri" w:hAnsi="Calibri" w:cs="Calibri"/>
        </w:rPr>
        <w:t>review</w:t>
      </w:r>
      <w:bookmarkEnd w:id="242"/>
      <w:bookmarkEnd w:id="243"/>
      <w:bookmarkEnd w:id="244"/>
      <w:bookmarkEnd w:id="245"/>
    </w:p>
    <w:p w14:paraId="5EF3E4C1" w14:textId="6314EB90" w:rsidR="00295BD3" w:rsidRPr="005734B8" w:rsidRDefault="00295BD3" w:rsidP="00295BD3">
      <w:pPr>
        <w:pStyle w:val="ESHeading3"/>
        <w:ind w:left="0" w:firstLine="0"/>
        <w:rPr>
          <w:rFonts w:ascii="Calibri" w:hAnsi="Calibri" w:cs="Calibri"/>
        </w:rPr>
      </w:pPr>
      <w:bookmarkStart w:id="246" w:name="_Toc11158173"/>
      <w:bookmarkStart w:id="247" w:name="_Toc11336180"/>
      <w:bookmarkStart w:id="248" w:name="_Toc14965404"/>
      <w:bookmarkStart w:id="249" w:name="_Toc19271983"/>
      <w:bookmarkStart w:id="250" w:name="_Toc19272349"/>
      <w:bookmarkStart w:id="251" w:name="_Toc19273684"/>
      <w:bookmarkStart w:id="252" w:name="_Toc10208704"/>
      <w:r w:rsidRPr="005734B8">
        <w:rPr>
          <w:rFonts w:ascii="Calibri" w:hAnsi="Calibri" w:cs="Calibri"/>
        </w:rPr>
        <w:t>Financial performance</w:t>
      </w:r>
      <w:bookmarkEnd w:id="246"/>
      <w:bookmarkEnd w:id="247"/>
      <w:bookmarkEnd w:id="248"/>
      <w:bookmarkEnd w:id="249"/>
      <w:bookmarkEnd w:id="250"/>
      <w:bookmarkEnd w:id="251"/>
      <w:r w:rsidR="001139C8" w:rsidRPr="005734B8">
        <w:rPr>
          <w:rFonts w:ascii="Calibri" w:hAnsi="Calibri" w:cs="Calibri"/>
        </w:rPr>
        <w:t xml:space="preserve"> and business review</w:t>
      </w:r>
    </w:p>
    <w:p w14:paraId="0BF18ABC" w14:textId="4A592C92" w:rsidR="00CA63D3" w:rsidRPr="005734B8" w:rsidRDefault="00CA63D3" w:rsidP="00CA63D3">
      <w:pPr>
        <w:rPr>
          <w:rFonts w:ascii="Calibri" w:hAnsi="Calibri" w:cs="Calibri"/>
        </w:rPr>
      </w:pPr>
      <w:bookmarkStart w:id="253" w:name="_Toc11158174"/>
      <w:bookmarkStart w:id="254" w:name="_Toc11336181"/>
      <w:bookmarkStart w:id="255" w:name="_Toc14965405"/>
      <w:r w:rsidRPr="005734B8">
        <w:rPr>
          <w:rFonts w:ascii="Calibri" w:hAnsi="Calibri" w:cs="Calibri"/>
        </w:rPr>
        <w:t>The Department’s net result from transactions for</w:t>
      </w:r>
      <w:r w:rsidR="00CD6303" w:rsidRPr="005734B8">
        <w:rPr>
          <w:rFonts w:ascii="Calibri" w:hAnsi="Calibri" w:cs="Calibri"/>
        </w:rPr>
        <w:t xml:space="preserve"> the</w:t>
      </w:r>
      <w:r w:rsidRPr="005734B8">
        <w:rPr>
          <w:rFonts w:ascii="Calibri" w:hAnsi="Calibri" w:cs="Calibri"/>
        </w:rPr>
        <w:t xml:space="preserve"> financial year </w:t>
      </w:r>
      <w:r w:rsidR="00CD6303" w:rsidRPr="005734B8">
        <w:rPr>
          <w:rFonts w:ascii="Calibri" w:hAnsi="Calibri" w:cs="Calibri"/>
        </w:rPr>
        <w:t xml:space="preserve">that </w:t>
      </w:r>
      <w:r w:rsidRPr="005734B8">
        <w:rPr>
          <w:rFonts w:ascii="Calibri" w:hAnsi="Calibri" w:cs="Calibri"/>
        </w:rPr>
        <w:t>ended</w:t>
      </w:r>
      <w:r w:rsidR="00CD6303" w:rsidRPr="005734B8">
        <w:rPr>
          <w:rFonts w:ascii="Calibri" w:hAnsi="Calibri" w:cs="Calibri"/>
        </w:rPr>
        <w:t xml:space="preserve"> on</w:t>
      </w:r>
      <w:r w:rsidRPr="005734B8">
        <w:rPr>
          <w:rFonts w:ascii="Calibri" w:hAnsi="Calibri" w:cs="Calibri"/>
        </w:rPr>
        <w:t xml:space="preserve"> 30</w:t>
      </w:r>
      <w:r w:rsidR="000672F9" w:rsidRPr="005734B8">
        <w:rPr>
          <w:rFonts w:ascii="Calibri" w:hAnsi="Calibri" w:cs="Calibri"/>
        </w:rPr>
        <w:t> </w:t>
      </w:r>
      <w:r w:rsidRPr="005734B8">
        <w:rPr>
          <w:rFonts w:ascii="Calibri" w:hAnsi="Calibri" w:cs="Calibri"/>
        </w:rPr>
        <w:t xml:space="preserve">June 2021 is a surplus of $610.2 million, compared with a surplus of $599.8 million in 2020. With the inclusion of other economic flows of $50.5 million, the net result for the financial year is a surplus of $660.7 million, compared </w:t>
      </w:r>
      <w:r w:rsidR="00CD6303" w:rsidRPr="005734B8">
        <w:rPr>
          <w:rFonts w:ascii="Calibri" w:hAnsi="Calibri" w:cs="Calibri"/>
        </w:rPr>
        <w:t>with</w:t>
      </w:r>
      <w:r w:rsidRPr="005734B8">
        <w:rPr>
          <w:rFonts w:ascii="Calibri" w:hAnsi="Calibri" w:cs="Calibri"/>
        </w:rPr>
        <w:t xml:space="preserve"> a surplus of $560.6 million in 2020.</w:t>
      </w:r>
    </w:p>
    <w:p w14:paraId="4C63FEA0" w14:textId="77777777" w:rsidR="00CA63D3" w:rsidRPr="005734B8" w:rsidRDefault="00CA63D3" w:rsidP="00CA63D3">
      <w:pPr>
        <w:rPr>
          <w:rFonts w:ascii="Calibri" w:hAnsi="Calibri" w:cs="Calibri"/>
        </w:rPr>
      </w:pPr>
    </w:p>
    <w:p w14:paraId="332C2009" w14:textId="43848F9F" w:rsidR="00CA63D3" w:rsidRPr="005734B8" w:rsidRDefault="00CA63D3" w:rsidP="00CA63D3">
      <w:pPr>
        <w:rPr>
          <w:rFonts w:ascii="Calibri" w:hAnsi="Calibri" w:cs="Calibri"/>
        </w:rPr>
      </w:pPr>
      <w:r w:rsidRPr="005734B8">
        <w:rPr>
          <w:rFonts w:ascii="Calibri" w:hAnsi="Calibri" w:cs="Calibri"/>
        </w:rPr>
        <w:t>The growth in revenue primarily reflects increases in revenue for delivery of output initiatives approved from the State Budget</w:t>
      </w:r>
      <w:r w:rsidR="00CD6303" w:rsidRPr="005734B8">
        <w:rPr>
          <w:rFonts w:ascii="Calibri" w:hAnsi="Calibri" w:cs="Calibri"/>
        </w:rPr>
        <w:t>,</w:t>
      </w:r>
      <w:r w:rsidRPr="005734B8">
        <w:rPr>
          <w:rFonts w:ascii="Calibri" w:hAnsi="Calibri" w:cs="Calibri"/>
        </w:rPr>
        <w:t xml:space="preserve"> and general inflation-related indexation.</w:t>
      </w:r>
    </w:p>
    <w:p w14:paraId="3ED5BFED" w14:textId="77777777" w:rsidR="00CA63D3" w:rsidRPr="005734B8" w:rsidRDefault="00CA63D3" w:rsidP="00CA63D3">
      <w:pPr>
        <w:rPr>
          <w:rFonts w:ascii="Calibri" w:hAnsi="Calibri" w:cs="Calibri"/>
        </w:rPr>
      </w:pPr>
    </w:p>
    <w:p w14:paraId="369C573F" w14:textId="79703543" w:rsidR="00A17172" w:rsidRPr="005734B8" w:rsidRDefault="00CA63D3" w:rsidP="00A17172">
      <w:pPr>
        <w:rPr>
          <w:rFonts w:ascii="Calibri" w:hAnsi="Calibri" w:cs="Calibri"/>
        </w:rPr>
      </w:pPr>
      <w:r w:rsidRPr="005734B8">
        <w:rPr>
          <w:rFonts w:ascii="Calibri" w:hAnsi="Calibri" w:cs="Calibri"/>
        </w:rPr>
        <w:t>The Department’s growth in expenditure mainly reflects higher employee expenditure due to price increases consistent with the Victorian Government Schools Agreement 2017, enrolment growth</w:t>
      </w:r>
      <w:r w:rsidR="00CD6303" w:rsidRPr="005734B8">
        <w:rPr>
          <w:rFonts w:ascii="Calibri" w:hAnsi="Calibri" w:cs="Calibri"/>
        </w:rPr>
        <w:t>,</w:t>
      </w:r>
      <w:r w:rsidRPr="005734B8">
        <w:rPr>
          <w:rFonts w:ascii="Calibri" w:hAnsi="Calibri" w:cs="Calibri"/>
        </w:rPr>
        <w:t xml:space="preserve"> and increased statutory on-cost rates resulting in higher annual leave/long service leave. Other increases in expenditure include:</w:t>
      </w:r>
    </w:p>
    <w:p w14:paraId="1EBB8940" w14:textId="680FCBFC" w:rsidR="00CA63D3" w:rsidRPr="005734B8" w:rsidRDefault="00CA63D3" w:rsidP="00CA63D3">
      <w:pPr>
        <w:pStyle w:val="ListParagraph"/>
        <w:numPr>
          <w:ilvl w:val="0"/>
          <w:numId w:val="50"/>
        </w:numPr>
        <w:rPr>
          <w:rFonts w:ascii="Calibri" w:hAnsi="Calibri" w:cs="Calibri"/>
        </w:rPr>
      </w:pPr>
      <w:r w:rsidRPr="005734B8">
        <w:rPr>
          <w:rFonts w:ascii="Calibri" w:hAnsi="Calibri" w:cs="Calibri"/>
        </w:rPr>
        <w:t xml:space="preserve">additional funding to the </w:t>
      </w:r>
      <w:r w:rsidR="008106D1">
        <w:rPr>
          <w:rFonts w:ascii="Calibri" w:hAnsi="Calibri" w:cs="Calibri"/>
        </w:rPr>
        <w:t>Higher Education</w:t>
      </w:r>
      <w:r w:rsidR="00C2210A">
        <w:rPr>
          <w:rFonts w:ascii="Calibri" w:hAnsi="Calibri" w:cs="Calibri"/>
        </w:rPr>
        <w:t xml:space="preserve"> and </w:t>
      </w:r>
      <w:r w:rsidRPr="005734B8">
        <w:rPr>
          <w:rFonts w:ascii="Calibri" w:hAnsi="Calibri" w:cs="Calibri"/>
        </w:rPr>
        <w:t>TAFE sector</w:t>
      </w:r>
      <w:r w:rsidR="008106D1">
        <w:rPr>
          <w:rFonts w:ascii="Calibri" w:hAnsi="Calibri" w:cs="Calibri"/>
        </w:rPr>
        <w:t>s</w:t>
      </w:r>
      <w:r w:rsidRPr="005734B8">
        <w:rPr>
          <w:rFonts w:ascii="Calibri" w:hAnsi="Calibri" w:cs="Calibri"/>
        </w:rPr>
        <w:t>, such as the University Viability and Contribution to Economic Recovery and Free TAFE initiatives</w:t>
      </w:r>
    </w:p>
    <w:p w14:paraId="1B8D22C3" w14:textId="003EFFC8" w:rsidR="00CA63D3" w:rsidRPr="005734B8" w:rsidRDefault="00CA63D3" w:rsidP="00CA63D3">
      <w:pPr>
        <w:pStyle w:val="ListParagraph"/>
        <w:numPr>
          <w:ilvl w:val="0"/>
          <w:numId w:val="50"/>
        </w:numPr>
        <w:rPr>
          <w:rFonts w:ascii="Calibri" w:hAnsi="Calibri" w:cs="Calibri"/>
        </w:rPr>
      </w:pPr>
      <w:r w:rsidRPr="005734B8">
        <w:rPr>
          <w:rFonts w:ascii="Calibri" w:hAnsi="Calibri" w:cs="Calibri"/>
        </w:rPr>
        <w:t>increased payments to non-government schools, which includes capital funding provided under the 2019</w:t>
      </w:r>
      <w:r w:rsidR="00AE26CB" w:rsidRPr="005734B8">
        <w:rPr>
          <w:rFonts w:ascii="Calibri" w:hAnsi="Calibri" w:cs="Calibri"/>
        </w:rPr>
        <w:t>–</w:t>
      </w:r>
      <w:r w:rsidRPr="005734B8">
        <w:rPr>
          <w:rFonts w:ascii="Calibri" w:hAnsi="Calibri" w:cs="Calibri"/>
        </w:rPr>
        <w:t>20 Non-Government Schools Capital Fund to build new schools and expand capacity or upgrade facilities and indexation increases</w:t>
      </w:r>
    </w:p>
    <w:p w14:paraId="195861F1" w14:textId="25B15C01" w:rsidR="00A17172" w:rsidRPr="005734B8" w:rsidRDefault="00CA63D3" w:rsidP="00CA63D3">
      <w:pPr>
        <w:pStyle w:val="ListParagraph"/>
        <w:numPr>
          <w:ilvl w:val="0"/>
          <w:numId w:val="50"/>
        </w:numPr>
        <w:rPr>
          <w:rFonts w:ascii="Calibri" w:hAnsi="Calibri" w:cs="Calibri"/>
        </w:rPr>
      </w:pPr>
      <w:r w:rsidRPr="005734B8">
        <w:rPr>
          <w:rFonts w:ascii="Calibri" w:hAnsi="Calibri" w:cs="Calibri"/>
        </w:rPr>
        <w:t>higher kindergarten funding for the Free Kinder and Schools Readiness initiatives approved by the State Budget</w:t>
      </w:r>
      <w:r w:rsidR="00756DE6" w:rsidRPr="005734B8">
        <w:rPr>
          <w:rFonts w:ascii="Calibri" w:hAnsi="Calibri" w:cs="Calibri"/>
        </w:rPr>
        <w:t>.</w:t>
      </w:r>
    </w:p>
    <w:p w14:paraId="20234B3C" w14:textId="156402C8" w:rsidR="00CA63D3" w:rsidRPr="005734B8" w:rsidRDefault="00CA63D3" w:rsidP="00CA63D3">
      <w:pPr>
        <w:rPr>
          <w:rFonts w:ascii="Calibri" w:hAnsi="Calibri" w:cs="Calibri"/>
        </w:rPr>
      </w:pPr>
    </w:p>
    <w:p w14:paraId="38CB5DAA" w14:textId="6873D7FA" w:rsidR="00CA63D3" w:rsidRPr="005734B8" w:rsidRDefault="00CA63D3" w:rsidP="00CA63D3">
      <w:pPr>
        <w:rPr>
          <w:rFonts w:ascii="Calibri" w:hAnsi="Calibri" w:cs="Calibri"/>
        </w:rPr>
      </w:pPr>
      <w:r w:rsidRPr="005734B8">
        <w:rPr>
          <w:rFonts w:ascii="Calibri" w:hAnsi="Calibri" w:cs="Calibri"/>
        </w:rPr>
        <w:t xml:space="preserve">These increases are partially offset by </w:t>
      </w:r>
      <w:r w:rsidR="00AD1B11" w:rsidRPr="005734B8">
        <w:rPr>
          <w:rFonts w:ascii="Calibri" w:hAnsi="Calibri" w:cs="Calibri"/>
        </w:rPr>
        <w:t xml:space="preserve">schools’ </w:t>
      </w:r>
      <w:r w:rsidRPr="005734B8">
        <w:rPr>
          <w:rFonts w:ascii="Calibri" w:hAnsi="Calibri" w:cs="Calibri"/>
        </w:rPr>
        <w:t>lower expenditure due to the transition to remote learning as a result of the COVID-19 pandemic.</w:t>
      </w:r>
    </w:p>
    <w:p w14:paraId="34FCBBAD" w14:textId="729D8861" w:rsidR="00295BD3" w:rsidRPr="005734B8" w:rsidRDefault="00295BD3" w:rsidP="00295BD3">
      <w:pPr>
        <w:pStyle w:val="ESHeading3"/>
        <w:ind w:left="0" w:firstLine="0"/>
        <w:rPr>
          <w:rFonts w:ascii="Calibri" w:hAnsi="Calibri" w:cs="Calibri"/>
        </w:rPr>
      </w:pPr>
      <w:bookmarkStart w:id="256" w:name="_Toc19271984"/>
      <w:bookmarkStart w:id="257" w:name="_Toc19272350"/>
      <w:bookmarkStart w:id="258" w:name="_Toc19273685"/>
      <w:r w:rsidRPr="005734B8">
        <w:rPr>
          <w:rFonts w:ascii="Calibri" w:hAnsi="Calibri" w:cs="Calibri"/>
        </w:rPr>
        <w:t>Balance sheet</w:t>
      </w:r>
      <w:bookmarkEnd w:id="253"/>
      <w:bookmarkEnd w:id="254"/>
      <w:bookmarkEnd w:id="255"/>
      <w:bookmarkEnd w:id="256"/>
      <w:bookmarkEnd w:id="257"/>
      <w:bookmarkEnd w:id="258"/>
    </w:p>
    <w:p w14:paraId="3C5FEEB1" w14:textId="5201882B" w:rsidR="00CA63D3" w:rsidRPr="005734B8" w:rsidRDefault="00CA63D3" w:rsidP="00CA63D3">
      <w:pPr>
        <w:rPr>
          <w:rFonts w:ascii="Calibri" w:hAnsi="Calibri" w:cs="Calibri"/>
        </w:rPr>
      </w:pPr>
      <w:bookmarkStart w:id="259" w:name="_Hlk80866578"/>
      <w:bookmarkStart w:id="260" w:name="_Toc11158175"/>
      <w:bookmarkStart w:id="261" w:name="_Toc11336182"/>
      <w:bookmarkStart w:id="262" w:name="_Toc14965406"/>
      <w:r w:rsidRPr="005734B8">
        <w:rPr>
          <w:rFonts w:ascii="Calibri" w:hAnsi="Calibri" w:cs="Calibri"/>
        </w:rPr>
        <w:t>The Department’s net assets as at 30 June 2021 w</w:t>
      </w:r>
      <w:r w:rsidR="00634529" w:rsidRPr="005734B8">
        <w:rPr>
          <w:rFonts w:ascii="Calibri" w:hAnsi="Calibri" w:cs="Calibri"/>
        </w:rPr>
        <w:t>ere</w:t>
      </w:r>
      <w:r w:rsidRPr="005734B8">
        <w:rPr>
          <w:rFonts w:ascii="Calibri" w:hAnsi="Calibri" w:cs="Calibri"/>
        </w:rPr>
        <w:t xml:space="preserve"> $30.2 billion, comprising total assets of $33.5 billion and total liabilities of $3.3 billion. </w:t>
      </w:r>
    </w:p>
    <w:p w14:paraId="1C06FBFF" w14:textId="77777777" w:rsidR="00CA63D3" w:rsidRPr="005734B8" w:rsidRDefault="00CA63D3" w:rsidP="00CA63D3">
      <w:pPr>
        <w:rPr>
          <w:rFonts w:ascii="Calibri" w:hAnsi="Calibri" w:cs="Calibri"/>
        </w:rPr>
      </w:pPr>
    </w:p>
    <w:p w14:paraId="24416769" w14:textId="52FE1943" w:rsidR="00CA63D3" w:rsidRPr="005734B8" w:rsidRDefault="00CA63D3" w:rsidP="00CA63D3">
      <w:pPr>
        <w:rPr>
          <w:rFonts w:ascii="Calibri" w:hAnsi="Calibri" w:cs="Calibri"/>
        </w:rPr>
      </w:pPr>
      <w:r w:rsidRPr="005734B8">
        <w:rPr>
          <w:rFonts w:ascii="Calibri" w:hAnsi="Calibri" w:cs="Calibri"/>
        </w:rPr>
        <w:t>The major assets of the Department are schools’ property, plant and equipment. These represent 87 per cent ($29.1 billion) of total assets. In 2021, the value of the Department’s property, plant and equipment increased by $3.9 billion, primarily due to the upward revaluation of land ($2.8 billion) and Government’s continued investment in schools by acquiring land, building new schools and completing school upgrades.</w:t>
      </w:r>
    </w:p>
    <w:bookmarkEnd w:id="259"/>
    <w:p w14:paraId="791BFEF2" w14:textId="77777777" w:rsidR="00CA63D3" w:rsidRPr="005734B8" w:rsidRDefault="00CA63D3" w:rsidP="00CA63D3">
      <w:pPr>
        <w:rPr>
          <w:rFonts w:ascii="Calibri" w:hAnsi="Calibri" w:cs="Calibri"/>
        </w:rPr>
      </w:pPr>
    </w:p>
    <w:p w14:paraId="3BD0366A" w14:textId="0E4201A6" w:rsidR="00756DE6" w:rsidRPr="005734B8" w:rsidRDefault="00CA63D3" w:rsidP="00CA63D3">
      <w:pPr>
        <w:rPr>
          <w:rFonts w:ascii="Calibri" w:hAnsi="Calibri" w:cs="Calibri"/>
          <w:b/>
        </w:rPr>
      </w:pPr>
      <w:r w:rsidRPr="005734B8">
        <w:rPr>
          <w:rFonts w:ascii="Calibri" w:hAnsi="Calibri" w:cs="Calibri"/>
        </w:rPr>
        <w:t>Liabilities totalling $3.3 billion mainly consist of payables, borrowings and employee benefit provisions. The $52.6 million decrease in 2021 is due to minor shifts in employee related costs and borrowings.</w:t>
      </w:r>
    </w:p>
    <w:p w14:paraId="7FC2361E" w14:textId="7B27AACB" w:rsidR="00295BD3" w:rsidRPr="005734B8" w:rsidRDefault="00295BD3" w:rsidP="00756DE6">
      <w:pPr>
        <w:pStyle w:val="ESHeading3"/>
        <w:ind w:left="0" w:firstLine="0"/>
        <w:rPr>
          <w:rFonts w:ascii="Calibri" w:hAnsi="Calibri" w:cs="Calibri"/>
        </w:rPr>
      </w:pPr>
      <w:bookmarkStart w:id="263" w:name="_Toc19271985"/>
      <w:bookmarkStart w:id="264" w:name="_Toc19272351"/>
      <w:bookmarkStart w:id="265" w:name="_Toc19273686"/>
      <w:r w:rsidRPr="005734B8">
        <w:rPr>
          <w:rFonts w:ascii="Calibri" w:hAnsi="Calibri" w:cs="Calibri"/>
        </w:rPr>
        <w:t>Cash flows</w:t>
      </w:r>
      <w:bookmarkEnd w:id="260"/>
      <w:bookmarkEnd w:id="261"/>
      <w:bookmarkEnd w:id="262"/>
      <w:bookmarkEnd w:id="263"/>
      <w:bookmarkEnd w:id="264"/>
      <w:bookmarkEnd w:id="265"/>
    </w:p>
    <w:p w14:paraId="33AEB601" w14:textId="64BEDE70" w:rsidR="00A17172" w:rsidRPr="005734B8" w:rsidRDefault="00CA63D3" w:rsidP="00A17172">
      <w:pPr>
        <w:rPr>
          <w:rFonts w:ascii="Calibri" w:hAnsi="Calibri" w:cs="Calibri"/>
        </w:rPr>
      </w:pPr>
      <w:bookmarkStart w:id="266" w:name="_Toc11158176"/>
      <w:bookmarkStart w:id="267" w:name="_Toc11336183"/>
      <w:bookmarkStart w:id="268" w:name="_Toc14965407"/>
      <w:r w:rsidRPr="005734B8">
        <w:rPr>
          <w:rFonts w:ascii="Calibri" w:hAnsi="Calibri" w:cs="Calibri"/>
        </w:rPr>
        <w:t>The net cash flows from operations is impacted by increased Government receipts and changes in receivables, payables and provisions, arising from the timing of cash payments and receipts against these items. The decrease includes an accounting reclassification of capital Growth Areas Infrastructure Funds from ‘cash and balances’ to ‘receivables’ to improve recording between capital funds received and spent.</w:t>
      </w:r>
    </w:p>
    <w:p w14:paraId="27077180" w14:textId="77777777" w:rsidR="000672F9" w:rsidRPr="005734B8" w:rsidRDefault="000672F9">
      <w:pPr>
        <w:rPr>
          <w:rFonts w:ascii="Calibri" w:eastAsiaTheme="minorEastAsia" w:hAnsi="Calibri" w:cs="Calibri"/>
          <w:b/>
          <w:color w:val="53565A" w:themeColor="accent5"/>
          <w:szCs w:val="18"/>
          <w:lang w:val="en-US"/>
        </w:rPr>
      </w:pPr>
      <w:bookmarkStart w:id="269" w:name="_Toc19271986"/>
      <w:bookmarkStart w:id="270" w:name="_Toc19272352"/>
      <w:bookmarkStart w:id="271" w:name="_Toc19273687"/>
      <w:r w:rsidRPr="005734B8">
        <w:rPr>
          <w:rFonts w:ascii="Calibri" w:hAnsi="Calibri" w:cs="Calibri"/>
        </w:rPr>
        <w:br w:type="page"/>
      </w:r>
    </w:p>
    <w:p w14:paraId="376EA90A" w14:textId="5A0FB108" w:rsidR="00295BD3" w:rsidRPr="005734B8" w:rsidRDefault="00295BD3" w:rsidP="00295BD3">
      <w:pPr>
        <w:pStyle w:val="ESHeading3"/>
        <w:ind w:left="0" w:firstLine="0"/>
        <w:rPr>
          <w:rFonts w:ascii="Calibri" w:hAnsi="Calibri" w:cs="Calibri"/>
        </w:rPr>
      </w:pPr>
      <w:r w:rsidRPr="005734B8">
        <w:rPr>
          <w:rFonts w:ascii="Calibri" w:hAnsi="Calibri" w:cs="Calibri"/>
        </w:rPr>
        <w:lastRenderedPageBreak/>
        <w:t>Disclosure of grants and transfer payments</w:t>
      </w:r>
      <w:bookmarkEnd w:id="252"/>
      <w:bookmarkEnd w:id="266"/>
      <w:bookmarkEnd w:id="267"/>
      <w:bookmarkEnd w:id="268"/>
      <w:bookmarkEnd w:id="269"/>
      <w:bookmarkEnd w:id="270"/>
      <w:bookmarkEnd w:id="271"/>
    </w:p>
    <w:p w14:paraId="47035114" w14:textId="15C782EB" w:rsidR="006E343C" w:rsidRPr="005734B8" w:rsidRDefault="0011660A" w:rsidP="00295BD3">
      <w:pPr>
        <w:pStyle w:val="H3"/>
        <w:rPr>
          <w:rFonts w:ascii="Calibri" w:eastAsiaTheme="minorHAnsi" w:hAnsi="Calibri" w:cs="Calibri"/>
          <w:b w:val="0"/>
          <w:color w:val="auto"/>
          <w:szCs w:val="24"/>
          <w:lang w:val="en-GB"/>
        </w:rPr>
      </w:pPr>
      <w:r w:rsidRPr="005734B8">
        <w:rPr>
          <w:rFonts w:ascii="Calibri" w:eastAsiaTheme="minorHAnsi" w:hAnsi="Calibri" w:cs="Calibri"/>
          <w:b w:val="0"/>
          <w:color w:val="auto"/>
          <w:szCs w:val="24"/>
          <w:lang w:val="en-GB"/>
        </w:rPr>
        <w:t>Appendix 5 outlines the</w:t>
      </w:r>
      <w:r w:rsidR="00295BD3" w:rsidRPr="005734B8">
        <w:rPr>
          <w:rFonts w:ascii="Calibri" w:eastAsiaTheme="minorHAnsi" w:hAnsi="Calibri" w:cs="Calibri"/>
          <w:b w:val="0"/>
          <w:color w:val="auto"/>
          <w:szCs w:val="24"/>
          <w:lang w:val="en-GB"/>
        </w:rPr>
        <w:t xml:space="preserve"> Department</w:t>
      </w:r>
      <w:r w:rsidRPr="005734B8">
        <w:rPr>
          <w:rFonts w:ascii="Calibri" w:eastAsiaTheme="minorHAnsi" w:hAnsi="Calibri" w:cs="Calibri"/>
          <w:b w:val="0"/>
          <w:color w:val="auto"/>
          <w:szCs w:val="24"/>
          <w:lang w:val="en-GB"/>
        </w:rPr>
        <w:t>’s</w:t>
      </w:r>
      <w:r w:rsidR="00295BD3" w:rsidRPr="005734B8">
        <w:rPr>
          <w:rFonts w:ascii="Calibri" w:eastAsiaTheme="minorHAnsi" w:hAnsi="Calibri" w:cs="Calibri"/>
          <w:b w:val="0"/>
          <w:color w:val="auto"/>
          <w:szCs w:val="24"/>
          <w:lang w:val="en-GB"/>
        </w:rPr>
        <w:t xml:space="preserve"> assistance to certain companies and organisations in 20</w:t>
      </w:r>
      <w:r w:rsidR="00A71423" w:rsidRPr="005734B8">
        <w:rPr>
          <w:rFonts w:ascii="Calibri" w:eastAsiaTheme="minorHAnsi" w:hAnsi="Calibri" w:cs="Calibri"/>
          <w:b w:val="0"/>
          <w:color w:val="auto"/>
          <w:szCs w:val="24"/>
          <w:lang w:val="en-GB"/>
        </w:rPr>
        <w:t>20</w:t>
      </w:r>
      <w:r w:rsidR="00295BD3" w:rsidRPr="005734B8">
        <w:rPr>
          <w:rFonts w:ascii="Calibri" w:eastAsiaTheme="minorHAnsi" w:hAnsi="Calibri" w:cs="Calibri"/>
          <w:b w:val="0"/>
          <w:color w:val="auto"/>
          <w:szCs w:val="24"/>
          <w:lang w:val="en-GB"/>
        </w:rPr>
        <w:t>–</w:t>
      </w:r>
      <w:r w:rsidR="0058681F" w:rsidRPr="005734B8">
        <w:rPr>
          <w:rFonts w:ascii="Calibri" w:eastAsiaTheme="minorHAnsi" w:hAnsi="Calibri" w:cs="Calibri"/>
          <w:b w:val="0"/>
          <w:color w:val="auto"/>
          <w:szCs w:val="24"/>
          <w:lang w:val="en-GB"/>
        </w:rPr>
        <w:t>2</w:t>
      </w:r>
      <w:r w:rsidR="00A71423" w:rsidRPr="005734B8">
        <w:rPr>
          <w:rFonts w:ascii="Calibri" w:eastAsiaTheme="minorHAnsi" w:hAnsi="Calibri" w:cs="Calibri"/>
          <w:b w:val="0"/>
          <w:color w:val="auto"/>
          <w:szCs w:val="24"/>
          <w:lang w:val="en-GB"/>
        </w:rPr>
        <w:t>1</w:t>
      </w:r>
      <w:r w:rsidR="00295BD3" w:rsidRPr="005734B8">
        <w:rPr>
          <w:rFonts w:ascii="Calibri" w:eastAsiaTheme="minorHAnsi" w:hAnsi="Calibri" w:cs="Calibri"/>
          <w:b w:val="0"/>
          <w:color w:val="auto"/>
          <w:szCs w:val="24"/>
          <w:lang w:val="en-GB"/>
        </w:rPr>
        <w:t xml:space="preserve">. </w:t>
      </w:r>
    </w:p>
    <w:p w14:paraId="7FF3F274" w14:textId="61276667" w:rsidR="006E343C" w:rsidRPr="005734B8" w:rsidRDefault="006E343C" w:rsidP="006E343C">
      <w:pPr>
        <w:pStyle w:val="ESHeading3"/>
        <w:ind w:left="0" w:firstLine="0"/>
        <w:rPr>
          <w:rFonts w:ascii="Calibri" w:hAnsi="Calibri" w:cs="Calibri"/>
        </w:rPr>
      </w:pPr>
      <w:bookmarkStart w:id="272" w:name="_Toc19271987"/>
      <w:bookmarkStart w:id="273" w:name="_Toc19272353"/>
      <w:bookmarkStart w:id="274" w:name="_Toc19273688"/>
      <w:r w:rsidRPr="005734B8">
        <w:rPr>
          <w:rFonts w:ascii="Calibri" w:hAnsi="Calibri" w:cs="Calibri"/>
        </w:rPr>
        <w:t>Capital projects</w:t>
      </w:r>
      <w:bookmarkEnd w:id="272"/>
      <w:bookmarkEnd w:id="273"/>
      <w:bookmarkEnd w:id="274"/>
    </w:p>
    <w:p w14:paraId="4CA94693" w14:textId="0EB4FE65" w:rsidR="006E343C" w:rsidRPr="005734B8" w:rsidRDefault="006E343C" w:rsidP="006E343C">
      <w:pPr>
        <w:rPr>
          <w:rFonts w:ascii="Calibri" w:hAnsi="Calibri" w:cs="Calibri"/>
        </w:rPr>
      </w:pPr>
      <w:r w:rsidRPr="005734B8">
        <w:rPr>
          <w:rFonts w:ascii="Calibri" w:hAnsi="Calibri" w:cs="Calibri"/>
        </w:rPr>
        <w:t>The Department and its related portfolio entities manage a range of capital projects to deliver government</w:t>
      </w:r>
      <w:r w:rsidR="0011660A" w:rsidRPr="005734B8">
        <w:rPr>
          <w:rFonts w:ascii="Calibri" w:hAnsi="Calibri" w:cs="Calibri"/>
        </w:rPr>
        <w:t xml:space="preserve"> </w:t>
      </w:r>
      <w:r w:rsidRPr="005734B8">
        <w:rPr>
          <w:rFonts w:ascii="Calibri" w:hAnsi="Calibri" w:cs="Calibri"/>
        </w:rPr>
        <w:t>services.</w:t>
      </w:r>
    </w:p>
    <w:p w14:paraId="04412D7E" w14:textId="77777777" w:rsidR="006E343C" w:rsidRPr="005734B8" w:rsidRDefault="006E343C" w:rsidP="006E343C">
      <w:pPr>
        <w:rPr>
          <w:rFonts w:ascii="Calibri" w:hAnsi="Calibri" w:cs="Calibri"/>
        </w:rPr>
      </w:pPr>
    </w:p>
    <w:p w14:paraId="6889C721" w14:textId="419FEA95" w:rsidR="006E343C" w:rsidRPr="005734B8" w:rsidRDefault="006E343C" w:rsidP="006E343C">
      <w:pPr>
        <w:rPr>
          <w:rFonts w:ascii="Calibri" w:hAnsi="Calibri" w:cs="Calibri"/>
        </w:rPr>
      </w:pPr>
      <w:r w:rsidRPr="005734B8">
        <w:rPr>
          <w:rFonts w:ascii="Calibri" w:hAnsi="Calibri" w:cs="Calibri"/>
        </w:rPr>
        <w:t xml:space="preserve">During </w:t>
      </w:r>
      <w:r w:rsidR="00045FFA" w:rsidRPr="005734B8">
        <w:rPr>
          <w:rFonts w:ascii="Calibri" w:hAnsi="Calibri" w:cs="Calibri"/>
        </w:rPr>
        <w:t>20</w:t>
      </w:r>
      <w:r w:rsidR="00240414" w:rsidRPr="005734B8">
        <w:rPr>
          <w:rFonts w:ascii="Calibri" w:hAnsi="Calibri" w:cs="Calibri"/>
        </w:rPr>
        <w:t>20</w:t>
      </w:r>
      <w:r w:rsidR="00045FFA" w:rsidRPr="005734B8">
        <w:rPr>
          <w:rFonts w:ascii="Calibri" w:hAnsi="Calibri" w:cs="Calibri"/>
        </w:rPr>
        <w:t>–</w:t>
      </w:r>
      <w:r w:rsidR="00B409C9" w:rsidRPr="005734B8">
        <w:rPr>
          <w:rFonts w:ascii="Calibri" w:hAnsi="Calibri" w:cs="Calibri"/>
        </w:rPr>
        <w:t>2</w:t>
      </w:r>
      <w:r w:rsidR="00240414" w:rsidRPr="005734B8">
        <w:rPr>
          <w:rFonts w:ascii="Calibri" w:hAnsi="Calibri" w:cs="Calibri"/>
        </w:rPr>
        <w:t>1</w:t>
      </w:r>
      <w:r w:rsidRPr="005734B8">
        <w:rPr>
          <w:rFonts w:ascii="Calibri" w:hAnsi="Calibri" w:cs="Calibri"/>
        </w:rPr>
        <w:t xml:space="preserve">, the Department completed </w:t>
      </w:r>
      <w:r w:rsidR="0011660A" w:rsidRPr="005734B8">
        <w:rPr>
          <w:rFonts w:ascii="Calibri" w:hAnsi="Calibri" w:cs="Calibri"/>
        </w:rPr>
        <w:t>several</w:t>
      </w:r>
      <w:r w:rsidRPr="005734B8">
        <w:rPr>
          <w:rFonts w:ascii="Calibri" w:hAnsi="Calibri" w:cs="Calibri"/>
        </w:rPr>
        <w:t xml:space="preserve"> capital projects with a $10</w:t>
      </w:r>
      <w:r w:rsidR="001509E3" w:rsidRPr="005734B8">
        <w:rPr>
          <w:rFonts w:ascii="Calibri" w:hAnsi="Calibri" w:cs="Calibri"/>
        </w:rPr>
        <w:t> </w:t>
      </w:r>
      <w:r w:rsidRPr="005734B8">
        <w:rPr>
          <w:rFonts w:ascii="Calibri" w:hAnsi="Calibri" w:cs="Calibri"/>
        </w:rPr>
        <w:t xml:space="preserve">million or greater </w:t>
      </w:r>
      <w:r w:rsidR="001509E3" w:rsidRPr="005734B8">
        <w:rPr>
          <w:rFonts w:ascii="Calibri" w:hAnsi="Calibri" w:cs="Calibri"/>
        </w:rPr>
        <w:t>t</w:t>
      </w:r>
      <w:r w:rsidRPr="005734B8">
        <w:rPr>
          <w:rFonts w:ascii="Calibri" w:hAnsi="Calibri" w:cs="Calibri"/>
        </w:rPr>
        <w:t xml:space="preserve">otal </w:t>
      </w:r>
      <w:r w:rsidR="001509E3" w:rsidRPr="005734B8">
        <w:rPr>
          <w:rFonts w:ascii="Calibri" w:hAnsi="Calibri" w:cs="Calibri"/>
        </w:rPr>
        <w:t>e</w:t>
      </w:r>
      <w:r w:rsidRPr="005734B8">
        <w:rPr>
          <w:rFonts w:ascii="Calibri" w:hAnsi="Calibri" w:cs="Calibri"/>
        </w:rPr>
        <w:t xml:space="preserve">stimated </w:t>
      </w:r>
      <w:r w:rsidR="001509E3" w:rsidRPr="005734B8">
        <w:rPr>
          <w:rFonts w:ascii="Calibri" w:hAnsi="Calibri" w:cs="Calibri"/>
        </w:rPr>
        <w:t>i</w:t>
      </w:r>
      <w:r w:rsidRPr="005734B8">
        <w:rPr>
          <w:rFonts w:ascii="Calibri" w:hAnsi="Calibri" w:cs="Calibri"/>
        </w:rPr>
        <w:t xml:space="preserve">nvestment (TEI). The details </w:t>
      </w:r>
      <w:r w:rsidR="0011660A" w:rsidRPr="005734B8">
        <w:rPr>
          <w:rFonts w:ascii="Calibri" w:hAnsi="Calibri" w:cs="Calibri"/>
        </w:rPr>
        <w:t>of</w:t>
      </w:r>
      <w:r w:rsidRPr="005734B8">
        <w:rPr>
          <w:rFonts w:ascii="Calibri" w:hAnsi="Calibri" w:cs="Calibri"/>
        </w:rPr>
        <w:t xml:space="preserve"> these projects are below.</w:t>
      </w:r>
    </w:p>
    <w:p w14:paraId="4DD6AF27" w14:textId="77777777" w:rsidR="00295BD3" w:rsidRPr="005734B8" w:rsidRDefault="00295BD3" w:rsidP="00295BD3">
      <w:pPr>
        <w:pStyle w:val="H3"/>
        <w:rPr>
          <w:rFonts w:ascii="Calibri" w:hAnsi="Calibri" w:cs="Calibri"/>
          <w:highlight w:val="yellow"/>
        </w:rPr>
        <w:sectPr w:rsidR="00295BD3" w:rsidRPr="005734B8" w:rsidSect="003B3A5C">
          <w:footerReference w:type="default" r:id="rId23"/>
          <w:pgSz w:w="11900" w:h="16840"/>
          <w:pgMar w:top="1440" w:right="1134" w:bottom="1440" w:left="2835" w:header="708" w:footer="708" w:gutter="0"/>
          <w:cols w:space="708"/>
          <w:docGrid w:linePitch="360"/>
        </w:sectPr>
      </w:pPr>
    </w:p>
    <w:p w14:paraId="6571D904" w14:textId="59C787FC" w:rsidR="007E5854" w:rsidRPr="005734B8" w:rsidRDefault="007E5854" w:rsidP="007E5854">
      <w:pPr>
        <w:pStyle w:val="ESTableintroheading"/>
        <w:keepNext w:val="0"/>
        <w:rPr>
          <w:rFonts w:ascii="Calibri" w:hAnsi="Calibri" w:cs="Calibri"/>
          <w:lang w:val="en-AU"/>
        </w:rPr>
      </w:pPr>
      <w:r w:rsidRPr="005734B8">
        <w:rPr>
          <w:rFonts w:ascii="Calibri" w:hAnsi="Calibri" w:cs="Calibri"/>
        </w:rPr>
        <w:lastRenderedPageBreak/>
        <w:t>Capital projects with a TEI of $10 million or greater completed during the financial year ended 30 June 20</w:t>
      </w:r>
      <w:r w:rsidR="001139C8" w:rsidRPr="005734B8">
        <w:rPr>
          <w:rFonts w:ascii="Calibri" w:hAnsi="Calibri" w:cs="Calibri"/>
        </w:rPr>
        <w:t>2</w:t>
      </w:r>
      <w:r w:rsidR="00240414" w:rsidRPr="005734B8">
        <w:rPr>
          <w:rFonts w:ascii="Calibri" w:hAnsi="Calibri" w:cs="Calibri"/>
        </w:rPr>
        <w:t>1</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59"/>
        <w:gridCol w:w="989"/>
        <w:gridCol w:w="1027"/>
        <w:gridCol w:w="992"/>
        <w:gridCol w:w="1630"/>
        <w:gridCol w:w="2257"/>
        <w:gridCol w:w="945"/>
        <w:gridCol w:w="1086"/>
        <w:gridCol w:w="1546"/>
        <w:gridCol w:w="1419"/>
      </w:tblGrid>
      <w:tr w:rsidR="006E343C" w:rsidRPr="005734B8" w14:paraId="159AFE8F" w14:textId="77777777" w:rsidTr="000F2A77">
        <w:trPr>
          <w:cantSplit/>
          <w:trHeight w:val="242"/>
          <w:tblHeader/>
        </w:trPr>
        <w:tc>
          <w:tcPr>
            <w:tcW w:w="2059" w:type="dxa"/>
            <w:tcBorders>
              <w:bottom w:val="single" w:sz="4" w:space="0" w:color="FFFFFF" w:themeColor="background1"/>
            </w:tcBorders>
            <w:shd w:val="clear" w:color="auto" w:fill="AF272F" w:themeFill="accent4"/>
            <w:vAlign w:val="center"/>
          </w:tcPr>
          <w:p w14:paraId="63FA3794" w14:textId="5A36D9FF" w:rsidR="006E343C" w:rsidRPr="005734B8" w:rsidRDefault="006E343C" w:rsidP="003B273F">
            <w:pPr>
              <w:pStyle w:val="ESTableheadingwhite"/>
              <w:jc w:val="center"/>
              <w:rPr>
                <w:rFonts w:ascii="Calibri" w:hAnsi="Calibri" w:cs="Calibri"/>
                <w:sz w:val="16"/>
                <w:szCs w:val="16"/>
              </w:rPr>
            </w:pPr>
            <w:r w:rsidRPr="005734B8">
              <w:rPr>
                <w:rFonts w:ascii="Calibri" w:hAnsi="Calibri" w:cs="Calibri"/>
                <w:sz w:val="16"/>
                <w:szCs w:val="16"/>
              </w:rPr>
              <w:t xml:space="preserve">Project </w:t>
            </w:r>
            <w:r w:rsidR="00DD0932" w:rsidRPr="005734B8">
              <w:rPr>
                <w:rFonts w:ascii="Calibri" w:hAnsi="Calibri" w:cs="Calibri"/>
                <w:sz w:val="16"/>
                <w:szCs w:val="16"/>
              </w:rPr>
              <w:t>n</w:t>
            </w:r>
            <w:r w:rsidRPr="005734B8">
              <w:rPr>
                <w:rFonts w:ascii="Calibri" w:hAnsi="Calibri" w:cs="Calibri"/>
                <w:sz w:val="16"/>
                <w:szCs w:val="16"/>
              </w:rPr>
              <w:t>ame</w:t>
            </w:r>
          </w:p>
        </w:tc>
        <w:tc>
          <w:tcPr>
            <w:tcW w:w="989" w:type="dxa"/>
            <w:tcBorders>
              <w:bottom w:val="single" w:sz="4" w:space="0" w:color="FFFFFF" w:themeColor="background1"/>
            </w:tcBorders>
            <w:shd w:val="clear" w:color="auto" w:fill="AF272F" w:themeFill="accent4"/>
            <w:vAlign w:val="center"/>
          </w:tcPr>
          <w:p w14:paraId="113316C3" w14:textId="77777777" w:rsidR="006E343C" w:rsidRPr="005734B8" w:rsidRDefault="006E343C" w:rsidP="003B273F">
            <w:pPr>
              <w:pStyle w:val="ESTableheadingwhite"/>
              <w:jc w:val="center"/>
              <w:rPr>
                <w:rFonts w:ascii="Calibri" w:hAnsi="Calibri" w:cs="Calibri"/>
                <w:sz w:val="16"/>
                <w:szCs w:val="16"/>
              </w:rPr>
            </w:pPr>
            <w:r w:rsidRPr="005734B8">
              <w:rPr>
                <w:rFonts w:ascii="Calibri" w:eastAsia="Times New Roman" w:hAnsi="Calibri" w:cs="Calibri"/>
                <w:color w:val="FFFFFF"/>
                <w:sz w:val="16"/>
                <w:szCs w:val="16"/>
              </w:rPr>
              <w:t>Original completion date</w:t>
            </w:r>
          </w:p>
        </w:tc>
        <w:tc>
          <w:tcPr>
            <w:tcW w:w="1027" w:type="dxa"/>
            <w:tcBorders>
              <w:bottom w:val="single" w:sz="4" w:space="0" w:color="FFFFFF" w:themeColor="background1"/>
            </w:tcBorders>
            <w:shd w:val="clear" w:color="auto" w:fill="AF272F" w:themeFill="accent4"/>
            <w:vAlign w:val="center"/>
          </w:tcPr>
          <w:p w14:paraId="6FFD0330" w14:textId="77777777" w:rsidR="006E343C" w:rsidRPr="005734B8" w:rsidRDefault="006E343C" w:rsidP="003B273F">
            <w:pPr>
              <w:pStyle w:val="ESTableheadingwhite"/>
              <w:jc w:val="center"/>
              <w:rPr>
                <w:rFonts w:ascii="Calibri" w:hAnsi="Calibri" w:cs="Calibri"/>
                <w:sz w:val="16"/>
                <w:szCs w:val="16"/>
              </w:rPr>
            </w:pPr>
            <w:r w:rsidRPr="005734B8">
              <w:rPr>
                <w:rFonts w:ascii="Calibri" w:eastAsia="Times New Roman" w:hAnsi="Calibri" w:cs="Calibri"/>
                <w:color w:val="FFFFFF"/>
                <w:sz w:val="16"/>
                <w:szCs w:val="16"/>
              </w:rPr>
              <w:t>Latest approved completion date</w:t>
            </w:r>
          </w:p>
        </w:tc>
        <w:tc>
          <w:tcPr>
            <w:tcW w:w="992" w:type="dxa"/>
            <w:tcBorders>
              <w:bottom w:val="single" w:sz="4" w:space="0" w:color="FFFFFF" w:themeColor="background1"/>
            </w:tcBorders>
            <w:shd w:val="clear" w:color="auto" w:fill="AF272F" w:themeFill="accent4"/>
            <w:vAlign w:val="center"/>
          </w:tcPr>
          <w:p w14:paraId="58704C29" w14:textId="77777777" w:rsidR="006E343C" w:rsidRPr="005734B8" w:rsidRDefault="006E343C" w:rsidP="003B273F">
            <w:pPr>
              <w:pStyle w:val="ESTableheadingwhite"/>
              <w:jc w:val="center"/>
              <w:rPr>
                <w:rFonts w:ascii="Calibri" w:hAnsi="Calibri" w:cs="Calibri"/>
                <w:sz w:val="16"/>
                <w:szCs w:val="16"/>
              </w:rPr>
            </w:pPr>
            <w:r w:rsidRPr="005734B8">
              <w:rPr>
                <w:rFonts w:ascii="Calibri" w:eastAsia="Times New Roman" w:hAnsi="Calibri" w:cs="Calibri"/>
                <w:color w:val="FFFFFF"/>
                <w:sz w:val="16"/>
                <w:szCs w:val="16"/>
              </w:rPr>
              <w:t>Actual completion date</w:t>
            </w:r>
          </w:p>
        </w:tc>
        <w:tc>
          <w:tcPr>
            <w:tcW w:w="1630" w:type="dxa"/>
            <w:tcBorders>
              <w:bottom w:val="single" w:sz="4" w:space="0" w:color="FFFFFF" w:themeColor="background1"/>
            </w:tcBorders>
            <w:shd w:val="clear" w:color="auto" w:fill="AF272F" w:themeFill="accent4"/>
            <w:vAlign w:val="center"/>
          </w:tcPr>
          <w:p w14:paraId="6726A752" w14:textId="77777777" w:rsidR="006E343C" w:rsidRPr="005734B8" w:rsidRDefault="006E343C" w:rsidP="003B273F">
            <w:pPr>
              <w:pStyle w:val="ESTableheadingwhite"/>
              <w:jc w:val="center"/>
              <w:rPr>
                <w:rFonts w:ascii="Calibri" w:hAnsi="Calibri" w:cs="Calibri"/>
                <w:sz w:val="16"/>
                <w:szCs w:val="16"/>
              </w:rPr>
            </w:pPr>
            <w:r w:rsidRPr="005734B8">
              <w:rPr>
                <w:rFonts w:ascii="Calibri" w:eastAsia="Times New Roman" w:hAnsi="Calibri" w:cs="Calibri"/>
                <w:color w:val="FFFFFF"/>
                <w:sz w:val="16"/>
                <w:szCs w:val="16"/>
              </w:rPr>
              <w:t>Reason for variance in completion dates</w:t>
            </w:r>
          </w:p>
        </w:tc>
        <w:tc>
          <w:tcPr>
            <w:tcW w:w="2257" w:type="dxa"/>
            <w:tcBorders>
              <w:bottom w:val="single" w:sz="4" w:space="0" w:color="FFFFFF" w:themeColor="background1"/>
            </w:tcBorders>
            <w:shd w:val="clear" w:color="auto" w:fill="AF272F" w:themeFill="accent4"/>
            <w:vAlign w:val="center"/>
          </w:tcPr>
          <w:p w14:paraId="50EDDA3E" w14:textId="6F8D6904" w:rsidR="006E343C" w:rsidRPr="005734B8" w:rsidRDefault="006E343C" w:rsidP="003B273F">
            <w:pPr>
              <w:pStyle w:val="ESTableheadingwhite"/>
              <w:jc w:val="center"/>
              <w:rPr>
                <w:rFonts w:ascii="Calibri" w:hAnsi="Calibri" w:cs="Calibri"/>
                <w:sz w:val="16"/>
                <w:szCs w:val="16"/>
              </w:rPr>
            </w:pPr>
            <w:r w:rsidRPr="005734B8">
              <w:rPr>
                <w:rFonts w:ascii="Calibri" w:eastAsia="Times New Roman" w:hAnsi="Calibri" w:cs="Calibri"/>
                <w:color w:val="FFFFFF"/>
                <w:sz w:val="16"/>
                <w:szCs w:val="16"/>
              </w:rPr>
              <w:t>Original approved TEI</w:t>
            </w:r>
            <w:r w:rsidRPr="005734B8">
              <w:rPr>
                <w:rFonts w:ascii="Calibri" w:eastAsia="Times New Roman" w:hAnsi="Calibri" w:cs="Calibri"/>
                <w:color w:val="FFFFFF"/>
                <w:sz w:val="16"/>
                <w:szCs w:val="16"/>
              </w:rPr>
              <w:br/>
              <w:t xml:space="preserve">budget </w:t>
            </w:r>
            <w:r w:rsidR="009D4FD6" w:rsidRPr="005734B8">
              <w:rPr>
                <w:rFonts w:ascii="Calibri" w:eastAsia="Times New Roman" w:hAnsi="Calibri" w:cs="Calibri"/>
                <w:color w:val="FFFFFF"/>
                <w:sz w:val="16"/>
                <w:szCs w:val="16"/>
              </w:rPr>
              <w:t>(</w:t>
            </w:r>
            <w:r w:rsidRPr="005734B8">
              <w:rPr>
                <w:rFonts w:ascii="Calibri" w:eastAsia="Times New Roman" w:hAnsi="Calibri" w:cs="Calibri"/>
                <w:color w:val="FFFFFF"/>
                <w:sz w:val="16"/>
                <w:szCs w:val="16"/>
              </w:rPr>
              <w:t>$</w:t>
            </w:r>
            <w:r w:rsidR="009D4FD6" w:rsidRPr="005734B8">
              <w:rPr>
                <w:rFonts w:ascii="Calibri" w:eastAsia="Times New Roman" w:hAnsi="Calibri" w:cs="Calibri"/>
                <w:color w:val="FFFFFF"/>
                <w:sz w:val="16"/>
                <w:szCs w:val="16"/>
              </w:rPr>
              <w:t>)</w:t>
            </w:r>
          </w:p>
        </w:tc>
        <w:tc>
          <w:tcPr>
            <w:tcW w:w="945" w:type="dxa"/>
            <w:tcBorders>
              <w:bottom w:val="single" w:sz="4" w:space="0" w:color="FFFFFF" w:themeColor="background1"/>
            </w:tcBorders>
            <w:shd w:val="clear" w:color="auto" w:fill="AF272F" w:themeFill="accent4"/>
            <w:vAlign w:val="center"/>
          </w:tcPr>
          <w:p w14:paraId="4FDA541D" w14:textId="09098C38" w:rsidR="006E343C" w:rsidRPr="005734B8" w:rsidRDefault="006E343C" w:rsidP="003B273F">
            <w:pPr>
              <w:pStyle w:val="ESTableheadingwhite"/>
              <w:jc w:val="center"/>
              <w:rPr>
                <w:rFonts w:ascii="Calibri" w:hAnsi="Calibri" w:cs="Calibri"/>
                <w:sz w:val="16"/>
                <w:szCs w:val="16"/>
              </w:rPr>
            </w:pPr>
            <w:r w:rsidRPr="005734B8">
              <w:rPr>
                <w:rFonts w:ascii="Calibri" w:eastAsia="Times New Roman" w:hAnsi="Calibri" w:cs="Calibri"/>
                <w:color w:val="FFFFFF"/>
                <w:sz w:val="16"/>
                <w:szCs w:val="16"/>
              </w:rPr>
              <w:t>Latest approved TEI</w:t>
            </w:r>
            <w:r w:rsidRPr="005734B8">
              <w:rPr>
                <w:rFonts w:ascii="Calibri" w:eastAsia="Times New Roman" w:hAnsi="Calibri" w:cs="Calibri"/>
                <w:color w:val="FFFFFF"/>
                <w:sz w:val="16"/>
                <w:szCs w:val="16"/>
              </w:rPr>
              <w:br/>
              <w:t xml:space="preserve">budget </w:t>
            </w:r>
            <w:r w:rsidR="00BB49CB" w:rsidRPr="005734B8">
              <w:rPr>
                <w:rFonts w:ascii="Calibri" w:eastAsia="Times New Roman" w:hAnsi="Calibri" w:cs="Calibri"/>
                <w:color w:val="FFFFFF"/>
                <w:sz w:val="16"/>
                <w:szCs w:val="16"/>
              </w:rPr>
              <w:t>(</w:t>
            </w:r>
            <w:r w:rsidRPr="005734B8">
              <w:rPr>
                <w:rFonts w:ascii="Calibri" w:eastAsia="Times New Roman" w:hAnsi="Calibri" w:cs="Calibri"/>
                <w:color w:val="FFFFFF"/>
                <w:sz w:val="16"/>
                <w:szCs w:val="16"/>
              </w:rPr>
              <w:t>$</w:t>
            </w:r>
            <w:r w:rsidR="00BB49CB" w:rsidRPr="005734B8">
              <w:rPr>
                <w:rFonts w:ascii="Calibri" w:eastAsia="Times New Roman" w:hAnsi="Calibri" w:cs="Calibri"/>
                <w:color w:val="FFFFFF"/>
                <w:sz w:val="16"/>
                <w:szCs w:val="16"/>
              </w:rPr>
              <w:t>)</w:t>
            </w:r>
          </w:p>
        </w:tc>
        <w:tc>
          <w:tcPr>
            <w:tcW w:w="1086" w:type="dxa"/>
            <w:tcBorders>
              <w:bottom w:val="single" w:sz="4" w:space="0" w:color="FFFFFF" w:themeColor="background1"/>
            </w:tcBorders>
            <w:shd w:val="clear" w:color="auto" w:fill="AF272F" w:themeFill="accent4"/>
            <w:vAlign w:val="center"/>
          </w:tcPr>
          <w:p w14:paraId="05D9C357" w14:textId="2B114FF2" w:rsidR="006E343C" w:rsidRPr="005734B8" w:rsidRDefault="006E343C" w:rsidP="003B273F">
            <w:pPr>
              <w:pStyle w:val="ESTableheadingwhite"/>
              <w:jc w:val="center"/>
              <w:rPr>
                <w:rFonts w:ascii="Calibri" w:hAnsi="Calibri" w:cs="Calibri"/>
                <w:sz w:val="16"/>
                <w:szCs w:val="16"/>
              </w:rPr>
            </w:pPr>
            <w:r w:rsidRPr="005734B8">
              <w:rPr>
                <w:rFonts w:ascii="Calibri" w:eastAsia="Times New Roman" w:hAnsi="Calibri" w:cs="Calibri"/>
                <w:color w:val="FFFFFF"/>
                <w:sz w:val="16"/>
                <w:szCs w:val="16"/>
              </w:rPr>
              <w:t>Actual TEI</w:t>
            </w:r>
            <w:r w:rsidRPr="005734B8">
              <w:rPr>
                <w:rFonts w:ascii="Calibri" w:eastAsia="Times New Roman" w:hAnsi="Calibri" w:cs="Calibri"/>
                <w:color w:val="FFFFFF"/>
                <w:sz w:val="16"/>
                <w:szCs w:val="16"/>
              </w:rPr>
              <w:br/>
              <w:t xml:space="preserve">cost </w:t>
            </w:r>
            <w:r w:rsidR="00BB49CB" w:rsidRPr="005734B8">
              <w:rPr>
                <w:rFonts w:ascii="Calibri" w:eastAsia="Times New Roman" w:hAnsi="Calibri" w:cs="Calibri"/>
                <w:color w:val="FFFFFF"/>
                <w:sz w:val="16"/>
                <w:szCs w:val="16"/>
              </w:rPr>
              <w:t>($)</w:t>
            </w:r>
          </w:p>
        </w:tc>
        <w:tc>
          <w:tcPr>
            <w:tcW w:w="1546" w:type="dxa"/>
            <w:tcBorders>
              <w:bottom w:val="single" w:sz="4" w:space="0" w:color="FFFFFF" w:themeColor="background1"/>
            </w:tcBorders>
            <w:shd w:val="clear" w:color="auto" w:fill="AF272F" w:themeFill="accent4"/>
            <w:vAlign w:val="center"/>
          </w:tcPr>
          <w:p w14:paraId="0E279C2D" w14:textId="3B6768A0" w:rsidR="006E343C" w:rsidRPr="005734B8" w:rsidRDefault="006E343C" w:rsidP="003B273F">
            <w:pPr>
              <w:pStyle w:val="ESTableheadingwhite"/>
              <w:jc w:val="center"/>
              <w:rPr>
                <w:rFonts w:ascii="Calibri" w:hAnsi="Calibri" w:cs="Calibri"/>
                <w:sz w:val="16"/>
                <w:szCs w:val="16"/>
              </w:rPr>
            </w:pPr>
            <w:r w:rsidRPr="005734B8">
              <w:rPr>
                <w:rFonts w:ascii="Calibri" w:eastAsia="Times New Roman" w:hAnsi="Calibri" w:cs="Calibri"/>
                <w:color w:val="FFFFFF"/>
                <w:sz w:val="16"/>
                <w:szCs w:val="16"/>
              </w:rPr>
              <w:t>Variation between actual cost and latest approved TEI budget</w:t>
            </w:r>
            <w:r w:rsidR="00DA6B47" w:rsidRPr="005734B8">
              <w:rPr>
                <w:rFonts w:ascii="Calibri" w:eastAsia="Times New Roman" w:hAnsi="Calibri" w:cs="Calibri"/>
                <w:color w:val="FFFFFF"/>
                <w:sz w:val="16"/>
                <w:szCs w:val="16"/>
              </w:rPr>
              <w:t xml:space="preserve"> ($)</w:t>
            </w:r>
          </w:p>
        </w:tc>
        <w:tc>
          <w:tcPr>
            <w:tcW w:w="1419" w:type="dxa"/>
            <w:tcBorders>
              <w:bottom w:val="single" w:sz="4" w:space="0" w:color="FFFFFF" w:themeColor="background1"/>
            </w:tcBorders>
            <w:shd w:val="clear" w:color="auto" w:fill="AF272F" w:themeFill="accent4"/>
            <w:vAlign w:val="center"/>
          </w:tcPr>
          <w:p w14:paraId="209F2D56" w14:textId="21D0A2DF" w:rsidR="006E343C" w:rsidRPr="005734B8" w:rsidRDefault="006E343C" w:rsidP="003B273F">
            <w:pPr>
              <w:pStyle w:val="ESTableheadingwhite"/>
              <w:jc w:val="center"/>
              <w:rPr>
                <w:rFonts w:ascii="Calibri" w:hAnsi="Calibri" w:cs="Calibri"/>
                <w:sz w:val="16"/>
                <w:szCs w:val="16"/>
              </w:rPr>
            </w:pPr>
            <w:r w:rsidRPr="005734B8">
              <w:rPr>
                <w:rFonts w:ascii="Calibri" w:eastAsia="Times New Roman" w:hAnsi="Calibri" w:cs="Calibri"/>
                <w:color w:val="FFFFFF"/>
                <w:sz w:val="16"/>
                <w:szCs w:val="16"/>
              </w:rPr>
              <w:t>Reason for variance from latest approved TEI budget</w:t>
            </w:r>
          </w:p>
        </w:tc>
      </w:tr>
      <w:tr w:rsidR="000F2A77" w:rsidRPr="005734B8" w14:paraId="2469987D" w14:textId="77777777" w:rsidTr="000F2A77">
        <w:trPr>
          <w:cantSplit/>
        </w:trPr>
        <w:tc>
          <w:tcPr>
            <w:tcW w:w="2059" w:type="dxa"/>
            <w:tcBorders>
              <w:top w:val="single" w:sz="4" w:space="0" w:color="FFFFFF" w:themeColor="background1"/>
              <w:bottom w:val="single" w:sz="4" w:space="0" w:color="auto"/>
            </w:tcBorders>
            <w:shd w:val="clear" w:color="auto" w:fill="D9D9D6" w:themeFill="accent6"/>
            <w:vAlign w:val="center"/>
          </w:tcPr>
          <w:p w14:paraId="76245DE8" w14:textId="358B8603" w:rsidR="000F2A77" w:rsidRPr="005734B8" w:rsidRDefault="000F2A77" w:rsidP="000F2A77">
            <w:pPr>
              <w:pStyle w:val="ESTablebody"/>
              <w:rPr>
                <w:rFonts w:ascii="Calibri" w:hAnsi="Calibri" w:cs="Calibri"/>
                <w:sz w:val="16"/>
                <w:szCs w:val="16"/>
                <w:highlight w:val="yellow"/>
                <w:lang w:eastAsia="en-AU"/>
              </w:rPr>
            </w:pPr>
            <w:r w:rsidRPr="005734B8">
              <w:rPr>
                <w:rFonts w:ascii="Calibri" w:eastAsia="Times New Roman" w:hAnsi="Calibri" w:cs="Calibri"/>
                <w:color w:val="000000"/>
                <w:sz w:val="16"/>
                <w:szCs w:val="16"/>
                <w:lang w:eastAsia="en-AU"/>
              </w:rPr>
              <w:t>Aintree Primary School (formerly Rockbank North Primary School)</w:t>
            </w:r>
          </w:p>
        </w:tc>
        <w:tc>
          <w:tcPr>
            <w:tcW w:w="989" w:type="dxa"/>
            <w:tcBorders>
              <w:top w:val="single" w:sz="4" w:space="0" w:color="FFFFFF" w:themeColor="background1"/>
              <w:bottom w:val="single" w:sz="4" w:space="0" w:color="auto"/>
            </w:tcBorders>
            <w:shd w:val="clear" w:color="auto" w:fill="auto"/>
            <w:vAlign w:val="center"/>
          </w:tcPr>
          <w:p w14:paraId="6C3382B1" w14:textId="44A0EFC4"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1027" w:type="dxa"/>
            <w:tcBorders>
              <w:top w:val="single" w:sz="4" w:space="0" w:color="FFFFFF" w:themeColor="background1"/>
              <w:bottom w:val="single" w:sz="4" w:space="0" w:color="auto"/>
            </w:tcBorders>
            <w:vAlign w:val="center"/>
          </w:tcPr>
          <w:p w14:paraId="0F29B26B" w14:textId="6D1B0166"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992" w:type="dxa"/>
            <w:tcBorders>
              <w:top w:val="single" w:sz="4" w:space="0" w:color="FFFFFF" w:themeColor="background1"/>
              <w:bottom w:val="single" w:sz="4" w:space="0" w:color="auto"/>
            </w:tcBorders>
            <w:vAlign w:val="center"/>
          </w:tcPr>
          <w:p w14:paraId="4DAE7EEC" w14:textId="4011A608"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26/11/2020</w:t>
            </w:r>
          </w:p>
        </w:tc>
        <w:tc>
          <w:tcPr>
            <w:tcW w:w="1630" w:type="dxa"/>
            <w:tcBorders>
              <w:top w:val="single" w:sz="4" w:space="0" w:color="FFFFFF" w:themeColor="background1"/>
              <w:bottom w:val="single" w:sz="4" w:space="0" w:color="auto"/>
            </w:tcBorders>
            <w:vAlign w:val="center"/>
          </w:tcPr>
          <w:p w14:paraId="3A480B96" w14:textId="01D9BA87" w:rsidR="000F2A77" w:rsidRPr="005734B8" w:rsidRDefault="000F2A77" w:rsidP="000F2A77">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2257" w:type="dxa"/>
            <w:tcBorders>
              <w:top w:val="single" w:sz="4" w:space="0" w:color="FFFFFF" w:themeColor="background1"/>
              <w:bottom w:val="single" w:sz="4" w:space="0" w:color="auto"/>
            </w:tcBorders>
            <w:shd w:val="clear" w:color="auto" w:fill="auto"/>
            <w:vAlign w:val="center"/>
          </w:tcPr>
          <w:p w14:paraId="78F149E3" w14:textId="1C4E8659"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In the 2019–20 State Budget, the school shared in $624.8 million allocated for new schools</w:t>
            </w:r>
          </w:p>
        </w:tc>
        <w:tc>
          <w:tcPr>
            <w:tcW w:w="945" w:type="dxa"/>
            <w:tcBorders>
              <w:top w:val="single" w:sz="4" w:space="0" w:color="FFFFFF" w:themeColor="background1"/>
              <w:bottom w:val="single" w:sz="4" w:space="0" w:color="auto"/>
            </w:tcBorders>
            <w:vAlign w:val="center"/>
          </w:tcPr>
          <w:p w14:paraId="5BAC85D8" w14:textId="4653C697"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086" w:type="dxa"/>
            <w:tcBorders>
              <w:top w:val="single" w:sz="4" w:space="0" w:color="FFFFFF" w:themeColor="background1"/>
              <w:bottom w:val="single" w:sz="4" w:space="0" w:color="auto"/>
            </w:tcBorders>
            <w:vAlign w:val="center"/>
          </w:tcPr>
          <w:p w14:paraId="04979D64" w14:textId="0809B018"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546" w:type="dxa"/>
            <w:tcBorders>
              <w:top w:val="single" w:sz="4" w:space="0" w:color="FFFFFF" w:themeColor="background1"/>
              <w:bottom w:val="single" w:sz="4" w:space="0" w:color="auto"/>
            </w:tcBorders>
            <w:vAlign w:val="center"/>
          </w:tcPr>
          <w:p w14:paraId="477DCAB6" w14:textId="24C439F4"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419" w:type="dxa"/>
            <w:tcBorders>
              <w:top w:val="single" w:sz="4" w:space="0" w:color="FFFFFF" w:themeColor="background1"/>
              <w:bottom w:val="single" w:sz="4" w:space="0" w:color="auto"/>
            </w:tcBorders>
            <w:vAlign w:val="center"/>
          </w:tcPr>
          <w:p w14:paraId="3FD68999" w14:textId="140E8DB4"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r>
      <w:tr w:rsidR="000F2A77" w:rsidRPr="005734B8" w14:paraId="1C3EFDCE" w14:textId="77777777" w:rsidTr="009D4FD6">
        <w:trPr>
          <w:cantSplit/>
        </w:trPr>
        <w:tc>
          <w:tcPr>
            <w:tcW w:w="2059" w:type="dxa"/>
            <w:tcBorders>
              <w:top w:val="single" w:sz="4" w:space="0" w:color="auto"/>
              <w:bottom w:val="single" w:sz="4" w:space="0" w:color="auto"/>
            </w:tcBorders>
            <w:shd w:val="clear" w:color="auto" w:fill="D9D9D6" w:themeFill="accent6"/>
            <w:vAlign w:val="center"/>
          </w:tcPr>
          <w:p w14:paraId="020BA817" w14:textId="58BE4EFB" w:rsidR="000F2A77" w:rsidRPr="005734B8" w:rsidRDefault="000F2A77" w:rsidP="000F2A77">
            <w:pPr>
              <w:pStyle w:val="ESTablebody"/>
              <w:rPr>
                <w:rFonts w:ascii="Calibri" w:hAnsi="Calibri" w:cs="Calibri"/>
                <w:sz w:val="16"/>
                <w:szCs w:val="16"/>
                <w:highlight w:val="yellow"/>
                <w:lang w:eastAsia="en-AU"/>
              </w:rPr>
            </w:pPr>
            <w:r w:rsidRPr="005734B8">
              <w:rPr>
                <w:rFonts w:ascii="Calibri" w:eastAsia="Times New Roman" w:hAnsi="Calibri" w:cs="Calibri"/>
                <w:color w:val="000000"/>
                <w:sz w:val="16"/>
                <w:szCs w:val="16"/>
                <w:lang w:eastAsia="en-AU"/>
              </w:rPr>
              <w:t>Castlemaine Secondary College - Stage 3</w:t>
            </w:r>
          </w:p>
        </w:tc>
        <w:tc>
          <w:tcPr>
            <w:tcW w:w="989" w:type="dxa"/>
            <w:tcBorders>
              <w:top w:val="single" w:sz="4" w:space="0" w:color="auto"/>
              <w:bottom w:val="single" w:sz="4" w:space="0" w:color="auto"/>
            </w:tcBorders>
            <w:shd w:val="clear" w:color="auto" w:fill="auto"/>
            <w:vAlign w:val="center"/>
          </w:tcPr>
          <w:p w14:paraId="143C2212" w14:textId="17E8D964"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1027" w:type="dxa"/>
            <w:tcBorders>
              <w:top w:val="single" w:sz="4" w:space="0" w:color="auto"/>
              <w:bottom w:val="single" w:sz="4" w:space="0" w:color="auto"/>
            </w:tcBorders>
            <w:vAlign w:val="center"/>
          </w:tcPr>
          <w:p w14:paraId="61F3CA5B" w14:textId="5AE886FA"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992" w:type="dxa"/>
            <w:tcBorders>
              <w:top w:val="single" w:sz="4" w:space="0" w:color="auto"/>
              <w:bottom w:val="single" w:sz="4" w:space="0" w:color="auto"/>
            </w:tcBorders>
            <w:vAlign w:val="center"/>
          </w:tcPr>
          <w:p w14:paraId="60A6F048" w14:textId="258F00C2"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16/12/2020</w:t>
            </w:r>
          </w:p>
        </w:tc>
        <w:tc>
          <w:tcPr>
            <w:tcW w:w="1630" w:type="dxa"/>
            <w:tcBorders>
              <w:top w:val="single" w:sz="4" w:space="0" w:color="auto"/>
              <w:bottom w:val="single" w:sz="4" w:space="0" w:color="auto"/>
            </w:tcBorders>
            <w:vAlign w:val="center"/>
          </w:tcPr>
          <w:p w14:paraId="7F5CD138" w14:textId="4EB68243" w:rsidR="000F2A77" w:rsidRPr="005734B8" w:rsidRDefault="000F2A77" w:rsidP="000F2A77">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2257" w:type="dxa"/>
            <w:tcBorders>
              <w:top w:val="single" w:sz="4" w:space="0" w:color="auto"/>
              <w:bottom w:val="single" w:sz="4" w:space="0" w:color="auto"/>
            </w:tcBorders>
            <w:shd w:val="clear" w:color="auto" w:fill="auto"/>
            <w:vAlign w:val="center"/>
          </w:tcPr>
          <w:p w14:paraId="26D35418" w14:textId="6B19FA92" w:rsidR="000F2A77" w:rsidRPr="005734B8" w:rsidRDefault="000F2A77" w:rsidP="009D4FD6">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11,750,000</w:t>
            </w:r>
          </w:p>
        </w:tc>
        <w:tc>
          <w:tcPr>
            <w:tcW w:w="945" w:type="dxa"/>
            <w:tcBorders>
              <w:top w:val="single" w:sz="4" w:space="0" w:color="auto"/>
              <w:bottom w:val="single" w:sz="4" w:space="0" w:color="auto"/>
            </w:tcBorders>
            <w:vAlign w:val="center"/>
          </w:tcPr>
          <w:p w14:paraId="144DF536" w14:textId="31A62B6C"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11,750,000</w:t>
            </w:r>
          </w:p>
        </w:tc>
        <w:tc>
          <w:tcPr>
            <w:tcW w:w="1086" w:type="dxa"/>
            <w:tcBorders>
              <w:top w:val="single" w:sz="4" w:space="0" w:color="auto"/>
              <w:bottom w:val="single" w:sz="4" w:space="0" w:color="auto"/>
            </w:tcBorders>
            <w:vAlign w:val="center"/>
          </w:tcPr>
          <w:p w14:paraId="0DC4DFF4" w14:textId="617CAA6D"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11,710,000</w:t>
            </w:r>
          </w:p>
        </w:tc>
        <w:tc>
          <w:tcPr>
            <w:tcW w:w="1546" w:type="dxa"/>
            <w:tcBorders>
              <w:top w:val="single" w:sz="4" w:space="0" w:color="auto"/>
              <w:bottom w:val="single" w:sz="4" w:space="0" w:color="auto"/>
            </w:tcBorders>
            <w:vAlign w:val="center"/>
          </w:tcPr>
          <w:p w14:paraId="54D0441E" w14:textId="5A592E81"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40,000</w:t>
            </w:r>
          </w:p>
        </w:tc>
        <w:tc>
          <w:tcPr>
            <w:tcW w:w="1419" w:type="dxa"/>
            <w:tcBorders>
              <w:top w:val="single" w:sz="4" w:space="0" w:color="auto"/>
              <w:bottom w:val="single" w:sz="4" w:space="0" w:color="auto"/>
            </w:tcBorders>
            <w:vAlign w:val="center"/>
          </w:tcPr>
          <w:p w14:paraId="54D220BE" w14:textId="24861032"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r>
      <w:tr w:rsidR="000F2A77" w:rsidRPr="005734B8" w14:paraId="2E8824C5" w14:textId="77777777" w:rsidTr="000F2A77">
        <w:trPr>
          <w:cantSplit/>
        </w:trPr>
        <w:tc>
          <w:tcPr>
            <w:tcW w:w="2059" w:type="dxa"/>
            <w:tcBorders>
              <w:top w:val="single" w:sz="4" w:space="0" w:color="auto"/>
              <w:bottom w:val="single" w:sz="4" w:space="0" w:color="auto"/>
            </w:tcBorders>
            <w:shd w:val="clear" w:color="auto" w:fill="D9D9D6" w:themeFill="accent6"/>
            <w:vAlign w:val="center"/>
          </w:tcPr>
          <w:p w14:paraId="379B8714" w14:textId="3118F9A3" w:rsidR="000F2A77" w:rsidRPr="005734B8" w:rsidRDefault="000F2A77" w:rsidP="000F2A77">
            <w:pPr>
              <w:pStyle w:val="ESTablebody"/>
              <w:rPr>
                <w:rFonts w:ascii="Calibri" w:hAnsi="Calibri" w:cs="Calibri"/>
                <w:sz w:val="16"/>
                <w:szCs w:val="16"/>
                <w:highlight w:val="yellow"/>
                <w:lang w:eastAsia="en-AU"/>
              </w:rPr>
            </w:pPr>
            <w:r w:rsidRPr="005734B8">
              <w:rPr>
                <w:rFonts w:ascii="Calibri" w:eastAsia="Times New Roman" w:hAnsi="Calibri" w:cs="Calibri"/>
                <w:color w:val="000000"/>
                <w:sz w:val="16"/>
                <w:szCs w:val="16"/>
                <w:lang w:eastAsia="en-AU"/>
              </w:rPr>
              <w:t>Cranbourne West Secondary College</w:t>
            </w:r>
          </w:p>
        </w:tc>
        <w:tc>
          <w:tcPr>
            <w:tcW w:w="989" w:type="dxa"/>
            <w:tcBorders>
              <w:top w:val="single" w:sz="4" w:space="0" w:color="auto"/>
              <w:bottom w:val="single" w:sz="4" w:space="0" w:color="auto"/>
            </w:tcBorders>
            <w:shd w:val="clear" w:color="auto" w:fill="auto"/>
            <w:vAlign w:val="center"/>
          </w:tcPr>
          <w:p w14:paraId="6499C96E" w14:textId="262DA9C6"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1027" w:type="dxa"/>
            <w:tcBorders>
              <w:top w:val="single" w:sz="4" w:space="0" w:color="auto"/>
              <w:bottom w:val="single" w:sz="4" w:space="0" w:color="auto"/>
            </w:tcBorders>
            <w:vAlign w:val="center"/>
          </w:tcPr>
          <w:p w14:paraId="7AD15F84" w14:textId="40D6D650"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992" w:type="dxa"/>
            <w:tcBorders>
              <w:top w:val="single" w:sz="4" w:space="0" w:color="auto"/>
              <w:bottom w:val="single" w:sz="4" w:space="0" w:color="auto"/>
            </w:tcBorders>
            <w:vAlign w:val="center"/>
          </w:tcPr>
          <w:p w14:paraId="4D4A53FF" w14:textId="0CE89C8C"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30/11/2020</w:t>
            </w:r>
          </w:p>
        </w:tc>
        <w:tc>
          <w:tcPr>
            <w:tcW w:w="1630" w:type="dxa"/>
            <w:tcBorders>
              <w:top w:val="single" w:sz="4" w:space="0" w:color="auto"/>
              <w:bottom w:val="single" w:sz="4" w:space="0" w:color="auto"/>
            </w:tcBorders>
            <w:vAlign w:val="center"/>
          </w:tcPr>
          <w:p w14:paraId="37854005" w14:textId="61D318C3" w:rsidR="000F2A77" w:rsidRPr="005734B8" w:rsidRDefault="000F2A77" w:rsidP="000F2A77">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2257" w:type="dxa"/>
            <w:tcBorders>
              <w:top w:val="single" w:sz="4" w:space="0" w:color="auto"/>
              <w:bottom w:val="single" w:sz="4" w:space="0" w:color="auto"/>
            </w:tcBorders>
            <w:shd w:val="clear" w:color="auto" w:fill="auto"/>
            <w:vAlign w:val="center"/>
          </w:tcPr>
          <w:p w14:paraId="0DF5C641" w14:textId="2FD6B108"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In the 2019–20 State Budget, the school shared in $624.8 million allocated for new schools.</w:t>
            </w:r>
          </w:p>
        </w:tc>
        <w:tc>
          <w:tcPr>
            <w:tcW w:w="945" w:type="dxa"/>
            <w:tcBorders>
              <w:top w:val="single" w:sz="4" w:space="0" w:color="auto"/>
              <w:bottom w:val="single" w:sz="4" w:space="0" w:color="auto"/>
            </w:tcBorders>
            <w:vAlign w:val="center"/>
          </w:tcPr>
          <w:p w14:paraId="28C35533" w14:textId="22CDD14B"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086" w:type="dxa"/>
            <w:tcBorders>
              <w:top w:val="single" w:sz="4" w:space="0" w:color="auto"/>
              <w:bottom w:val="single" w:sz="4" w:space="0" w:color="auto"/>
            </w:tcBorders>
            <w:vAlign w:val="center"/>
          </w:tcPr>
          <w:p w14:paraId="68A85819" w14:textId="156EA067"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546" w:type="dxa"/>
            <w:tcBorders>
              <w:top w:val="single" w:sz="4" w:space="0" w:color="auto"/>
              <w:bottom w:val="single" w:sz="4" w:space="0" w:color="auto"/>
            </w:tcBorders>
            <w:vAlign w:val="center"/>
          </w:tcPr>
          <w:p w14:paraId="1D48975E" w14:textId="0A44ED36"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419" w:type="dxa"/>
            <w:tcBorders>
              <w:top w:val="single" w:sz="4" w:space="0" w:color="auto"/>
              <w:bottom w:val="single" w:sz="4" w:space="0" w:color="auto"/>
            </w:tcBorders>
            <w:vAlign w:val="center"/>
          </w:tcPr>
          <w:p w14:paraId="04E3B44A" w14:textId="423A0E0F"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r>
      <w:tr w:rsidR="000F2A77" w:rsidRPr="005734B8" w14:paraId="19890E30" w14:textId="77777777" w:rsidTr="000F2A77">
        <w:trPr>
          <w:cantSplit/>
        </w:trPr>
        <w:tc>
          <w:tcPr>
            <w:tcW w:w="2059" w:type="dxa"/>
            <w:tcBorders>
              <w:top w:val="single" w:sz="4" w:space="0" w:color="auto"/>
              <w:bottom w:val="single" w:sz="4" w:space="0" w:color="auto"/>
            </w:tcBorders>
            <w:shd w:val="clear" w:color="auto" w:fill="D9D9D6" w:themeFill="accent6"/>
            <w:vAlign w:val="center"/>
          </w:tcPr>
          <w:p w14:paraId="37F761A6" w14:textId="09B69384" w:rsidR="000F2A77" w:rsidRPr="005734B8" w:rsidRDefault="000F2A77" w:rsidP="000F2A77">
            <w:pPr>
              <w:pStyle w:val="ESTablebody"/>
              <w:rPr>
                <w:rFonts w:ascii="Calibri" w:hAnsi="Calibri" w:cs="Calibri"/>
                <w:sz w:val="16"/>
                <w:szCs w:val="16"/>
                <w:highlight w:val="yellow"/>
                <w:lang w:eastAsia="en-AU"/>
              </w:rPr>
            </w:pPr>
            <w:r w:rsidRPr="005734B8">
              <w:rPr>
                <w:rFonts w:ascii="Calibri" w:eastAsia="Times New Roman" w:hAnsi="Calibri" w:cs="Calibri"/>
                <w:color w:val="000000"/>
                <w:sz w:val="16"/>
                <w:szCs w:val="16"/>
                <w:lang w:eastAsia="en-AU"/>
              </w:rPr>
              <w:t>Docklands Primary School</w:t>
            </w:r>
          </w:p>
        </w:tc>
        <w:tc>
          <w:tcPr>
            <w:tcW w:w="989" w:type="dxa"/>
            <w:tcBorders>
              <w:top w:val="single" w:sz="4" w:space="0" w:color="auto"/>
              <w:bottom w:val="single" w:sz="4" w:space="0" w:color="auto"/>
            </w:tcBorders>
            <w:shd w:val="clear" w:color="auto" w:fill="auto"/>
            <w:vAlign w:val="center"/>
          </w:tcPr>
          <w:p w14:paraId="2869ED1B" w14:textId="3C45E115"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1027" w:type="dxa"/>
            <w:tcBorders>
              <w:top w:val="single" w:sz="4" w:space="0" w:color="auto"/>
              <w:bottom w:val="single" w:sz="4" w:space="0" w:color="auto"/>
            </w:tcBorders>
            <w:vAlign w:val="center"/>
          </w:tcPr>
          <w:p w14:paraId="02B9E972" w14:textId="5FD8A9F6"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992" w:type="dxa"/>
            <w:tcBorders>
              <w:top w:val="single" w:sz="4" w:space="0" w:color="auto"/>
              <w:bottom w:val="single" w:sz="4" w:space="0" w:color="auto"/>
            </w:tcBorders>
            <w:vAlign w:val="center"/>
          </w:tcPr>
          <w:p w14:paraId="313D7C94" w14:textId="15FD1936"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9/10/2020</w:t>
            </w:r>
          </w:p>
        </w:tc>
        <w:tc>
          <w:tcPr>
            <w:tcW w:w="1630" w:type="dxa"/>
            <w:tcBorders>
              <w:top w:val="single" w:sz="4" w:space="0" w:color="auto"/>
              <w:bottom w:val="single" w:sz="4" w:space="0" w:color="auto"/>
            </w:tcBorders>
            <w:vAlign w:val="center"/>
          </w:tcPr>
          <w:p w14:paraId="1EE0FC28" w14:textId="4774882D" w:rsidR="000F2A77" w:rsidRPr="005734B8" w:rsidRDefault="000F2A77" w:rsidP="000F2A77">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2257" w:type="dxa"/>
            <w:tcBorders>
              <w:top w:val="single" w:sz="4" w:space="0" w:color="auto"/>
              <w:bottom w:val="single" w:sz="4" w:space="0" w:color="auto"/>
            </w:tcBorders>
            <w:shd w:val="clear" w:color="auto" w:fill="auto"/>
            <w:vAlign w:val="center"/>
          </w:tcPr>
          <w:p w14:paraId="39EAA886" w14:textId="3E6F7322"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$3.8 million was allocated in the 2018–19 Budget.</w:t>
            </w:r>
          </w:p>
          <w:p w14:paraId="38365277" w14:textId="23D3F9C0"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In the 2019–20 State Budget, the school shared in $624.8 million allocated for new schools.</w:t>
            </w:r>
          </w:p>
        </w:tc>
        <w:tc>
          <w:tcPr>
            <w:tcW w:w="945" w:type="dxa"/>
            <w:tcBorders>
              <w:top w:val="single" w:sz="4" w:space="0" w:color="auto"/>
              <w:bottom w:val="single" w:sz="4" w:space="0" w:color="auto"/>
            </w:tcBorders>
            <w:vAlign w:val="center"/>
          </w:tcPr>
          <w:p w14:paraId="17066118" w14:textId="3A6025D7"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086" w:type="dxa"/>
            <w:tcBorders>
              <w:top w:val="single" w:sz="4" w:space="0" w:color="auto"/>
              <w:bottom w:val="single" w:sz="4" w:space="0" w:color="auto"/>
            </w:tcBorders>
            <w:vAlign w:val="center"/>
          </w:tcPr>
          <w:p w14:paraId="6AC7A298" w14:textId="012A1FF9"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546" w:type="dxa"/>
            <w:tcBorders>
              <w:top w:val="single" w:sz="4" w:space="0" w:color="auto"/>
              <w:bottom w:val="single" w:sz="4" w:space="0" w:color="auto"/>
            </w:tcBorders>
            <w:vAlign w:val="center"/>
          </w:tcPr>
          <w:p w14:paraId="07B58900" w14:textId="4E9D9577"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419" w:type="dxa"/>
            <w:tcBorders>
              <w:top w:val="single" w:sz="4" w:space="0" w:color="auto"/>
              <w:bottom w:val="single" w:sz="4" w:space="0" w:color="auto"/>
            </w:tcBorders>
            <w:vAlign w:val="center"/>
          </w:tcPr>
          <w:p w14:paraId="5A556824" w14:textId="7CECC7C4"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r>
      <w:tr w:rsidR="000F2A77" w:rsidRPr="005734B8" w14:paraId="3F0B0E92" w14:textId="77777777" w:rsidTr="009D4FD6">
        <w:trPr>
          <w:cantSplit/>
          <w:trHeight w:val="424"/>
        </w:trPr>
        <w:tc>
          <w:tcPr>
            <w:tcW w:w="2059" w:type="dxa"/>
            <w:tcBorders>
              <w:top w:val="single" w:sz="4" w:space="0" w:color="auto"/>
              <w:bottom w:val="single" w:sz="4" w:space="0" w:color="auto"/>
            </w:tcBorders>
            <w:shd w:val="clear" w:color="auto" w:fill="D9D9D6" w:themeFill="accent6"/>
            <w:vAlign w:val="center"/>
          </w:tcPr>
          <w:p w14:paraId="39F20A80" w14:textId="4ABC3FF2" w:rsidR="000F2A77" w:rsidRPr="005734B8" w:rsidRDefault="000F2A77" w:rsidP="000F2A77">
            <w:pPr>
              <w:pStyle w:val="ESTablebody"/>
              <w:rPr>
                <w:rFonts w:ascii="Calibri" w:hAnsi="Calibri" w:cs="Calibri"/>
                <w:sz w:val="16"/>
                <w:szCs w:val="16"/>
                <w:highlight w:val="yellow"/>
                <w:lang w:eastAsia="en-AU"/>
              </w:rPr>
            </w:pPr>
            <w:r w:rsidRPr="005734B8">
              <w:rPr>
                <w:rFonts w:ascii="Calibri" w:eastAsia="Times New Roman" w:hAnsi="Calibri" w:cs="Calibri"/>
                <w:color w:val="000000"/>
                <w:sz w:val="16"/>
                <w:szCs w:val="16"/>
                <w:lang w:eastAsia="en-AU"/>
              </w:rPr>
              <w:t>Echuca Regeneration Project – Stage 2 </w:t>
            </w:r>
          </w:p>
        </w:tc>
        <w:tc>
          <w:tcPr>
            <w:tcW w:w="989" w:type="dxa"/>
            <w:tcBorders>
              <w:top w:val="single" w:sz="4" w:space="0" w:color="auto"/>
              <w:bottom w:val="single" w:sz="4" w:space="0" w:color="auto"/>
            </w:tcBorders>
            <w:shd w:val="clear" w:color="auto" w:fill="auto"/>
            <w:vAlign w:val="center"/>
          </w:tcPr>
          <w:p w14:paraId="158999C8" w14:textId="32EDF211"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30/09/2022</w:t>
            </w:r>
          </w:p>
        </w:tc>
        <w:tc>
          <w:tcPr>
            <w:tcW w:w="1027" w:type="dxa"/>
            <w:tcBorders>
              <w:top w:val="single" w:sz="4" w:space="0" w:color="auto"/>
              <w:bottom w:val="single" w:sz="4" w:space="0" w:color="auto"/>
            </w:tcBorders>
            <w:vAlign w:val="center"/>
          </w:tcPr>
          <w:p w14:paraId="5ADD59DB" w14:textId="6D6C5721"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30/09/2022</w:t>
            </w:r>
          </w:p>
        </w:tc>
        <w:tc>
          <w:tcPr>
            <w:tcW w:w="992" w:type="dxa"/>
            <w:tcBorders>
              <w:top w:val="single" w:sz="4" w:space="0" w:color="auto"/>
              <w:bottom w:val="single" w:sz="4" w:space="0" w:color="auto"/>
            </w:tcBorders>
            <w:vAlign w:val="center"/>
          </w:tcPr>
          <w:p w14:paraId="78CD1C58" w14:textId="70578ED6"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24/07/2020</w:t>
            </w:r>
          </w:p>
        </w:tc>
        <w:tc>
          <w:tcPr>
            <w:tcW w:w="1630" w:type="dxa"/>
            <w:tcBorders>
              <w:top w:val="single" w:sz="4" w:space="0" w:color="auto"/>
              <w:bottom w:val="single" w:sz="4" w:space="0" w:color="auto"/>
            </w:tcBorders>
            <w:vAlign w:val="center"/>
          </w:tcPr>
          <w:p w14:paraId="6FC54A7C" w14:textId="7504FEF8" w:rsidR="000F2A77" w:rsidRPr="005734B8" w:rsidRDefault="000F2A77" w:rsidP="000F2A77">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2257" w:type="dxa"/>
            <w:tcBorders>
              <w:top w:val="single" w:sz="4" w:space="0" w:color="auto"/>
              <w:bottom w:val="single" w:sz="4" w:space="0" w:color="auto"/>
            </w:tcBorders>
            <w:shd w:val="clear" w:color="auto" w:fill="auto"/>
            <w:vAlign w:val="center"/>
          </w:tcPr>
          <w:p w14:paraId="7EC77440" w14:textId="7FDDF6DD" w:rsidR="000F2A77" w:rsidRPr="005734B8" w:rsidRDefault="000F2A77" w:rsidP="009D4FD6">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16,720,000</w:t>
            </w:r>
          </w:p>
        </w:tc>
        <w:tc>
          <w:tcPr>
            <w:tcW w:w="945" w:type="dxa"/>
            <w:tcBorders>
              <w:top w:val="single" w:sz="4" w:space="0" w:color="auto"/>
              <w:bottom w:val="single" w:sz="4" w:space="0" w:color="auto"/>
            </w:tcBorders>
            <w:vAlign w:val="center"/>
          </w:tcPr>
          <w:p w14:paraId="44C3A92B" w14:textId="32931038"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16,720,000</w:t>
            </w:r>
          </w:p>
        </w:tc>
        <w:tc>
          <w:tcPr>
            <w:tcW w:w="1086" w:type="dxa"/>
            <w:tcBorders>
              <w:top w:val="single" w:sz="4" w:space="0" w:color="auto"/>
              <w:bottom w:val="single" w:sz="4" w:space="0" w:color="auto"/>
            </w:tcBorders>
            <w:vAlign w:val="center"/>
          </w:tcPr>
          <w:p w14:paraId="213DC272" w14:textId="7C032E7D"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15,470,000</w:t>
            </w:r>
          </w:p>
        </w:tc>
        <w:tc>
          <w:tcPr>
            <w:tcW w:w="1546" w:type="dxa"/>
            <w:tcBorders>
              <w:top w:val="single" w:sz="4" w:space="0" w:color="auto"/>
              <w:bottom w:val="single" w:sz="4" w:space="0" w:color="auto"/>
            </w:tcBorders>
            <w:vAlign w:val="center"/>
          </w:tcPr>
          <w:p w14:paraId="59595180" w14:textId="02EE63A1"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1,250,000</w:t>
            </w:r>
          </w:p>
        </w:tc>
        <w:tc>
          <w:tcPr>
            <w:tcW w:w="1419" w:type="dxa"/>
            <w:tcBorders>
              <w:top w:val="single" w:sz="4" w:space="0" w:color="auto"/>
              <w:bottom w:val="single" w:sz="4" w:space="0" w:color="auto"/>
            </w:tcBorders>
            <w:vAlign w:val="center"/>
          </w:tcPr>
          <w:p w14:paraId="52987D48" w14:textId="2E47ECEB"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Actual TEI cost subject to project financial close in the defects liability period</w:t>
            </w:r>
          </w:p>
        </w:tc>
      </w:tr>
      <w:tr w:rsidR="000F2A77" w:rsidRPr="005734B8" w14:paraId="7EB59CDE" w14:textId="77777777" w:rsidTr="000F2A77">
        <w:trPr>
          <w:cantSplit/>
          <w:trHeight w:val="518"/>
        </w:trPr>
        <w:tc>
          <w:tcPr>
            <w:tcW w:w="2059" w:type="dxa"/>
            <w:tcBorders>
              <w:top w:val="single" w:sz="4" w:space="0" w:color="auto"/>
              <w:bottom w:val="single" w:sz="4" w:space="0" w:color="auto"/>
            </w:tcBorders>
            <w:shd w:val="clear" w:color="auto" w:fill="D9D9D6" w:themeFill="accent6"/>
            <w:vAlign w:val="center"/>
          </w:tcPr>
          <w:p w14:paraId="263AC198" w14:textId="3E0A8089" w:rsidR="000F2A77" w:rsidRPr="005734B8" w:rsidRDefault="000F2A77" w:rsidP="000F2A77">
            <w:pPr>
              <w:pStyle w:val="ESTablebody"/>
              <w:rPr>
                <w:rFonts w:ascii="Calibri" w:hAnsi="Calibri" w:cs="Calibri"/>
                <w:sz w:val="16"/>
                <w:szCs w:val="16"/>
                <w:highlight w:val="yellow"/>
                <w:lang w:eastAsia="en-AU"/>
              </w:rPr>
            </w:pPr>
            <w:r w:rsidRPr="005734B8">
              <w:rPr>
                <w:rFonts w:ascii="Calibri" w:eastAsia="Times New Roman" w:hAnsi="Calibri" w:cs="Calibri"/>
                <w:color w:val="000000"/>
                <w:sz w:val="16"/>
                <w:szCs w:val="16"/>
                <w:lang w:eastAsia="en-AU"/>
              </w:rPr>
              <w:t>Edenbrook Secondary College (formerly Pakenham Henry Road Secondary School)</w:t>
            </w:r>
          </w:p>
        </w:tc>
        <w:tc>
          <w:tcPr>
            <w:tcW w:w="989" w:type="dxa"/>
            <w:tcBorders>
              <w:top w:val="single" w:sz="4" w:space="0" w:color="auto"/>
              <w:bottom w:val="single" w:sz="4" w:space="0" w:color="auto"/>
            </w:tcBorders>
            <w:shd w:val="clear" w:color="auto" w:fill="auto"/>
            <w:vAlign w:val="center"/>
          </w:tcPr>
          <w:p w14:paraId="3721B3CB" w14:textId="33F1E8A7"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1027" w:type="dxa"/>
            <w:tcBorders>
              <w:top w:val="single" w:sz="4" w:space="0" w:color="auto"/>
              <w:bottom w:val="single" w:sz="4" w:space="0" w:color="auto"/>
            </w:tcBorders>
            <w:vAlign w:val="center"/>
          </w:tcPr>
          <w:p w14:paraId="22FB48D7" w14:textId="6277232F"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992" w:type="dxa"/>
            <w:tcBorders>
              <w:top w:val="single" w:sz="4" w:space="0" w:color="auto"/>
              <w:bottom w:val="single" w:sz="4" w:space="0" w:color="auto"/>
            </w:tcBorders>
            <w:vAlign w:val="center"/>
          </w:tcPr>
          <w:p w14:paraId="1D262EA2" w14:textId="0F8DBE15"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10/11/2020</w:t>
            </w:r>
          </w:p>
        </w:tc>
        <w:tc>
          <w:tcPr>
            <w:tcW w:w="1630" w:type="dxa"/>
            <w:tcBorders>
              <w:top w:val="single" w:sz="4" w:space="0" w:color="auto"/>
              <w:bottom w:val="single" w:sz="4" w:space="0" w:color="auto"/>
            </w:tcBorders>
            <w:vAlign w:val="center"/>
          </w:tcPr>
          <w:p w14:paraId="5CD7BE1D" w14:textId="7E69C319" w:rsidR="000F2A77" w:rsidRPr="005734B8" w:rsidRDefault="000F2A77" w:rsidP="000F2A77">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2257" w:type="dxa"/>
            <w:tcBorders>
              <w:top w:val="single" w:sz="4" w:space="0" w:color="auto"/>
              <w:bottom w:val="single" w:sz="4" w:space="0" w:color="auto"/>
            </w:tcBorders>
            <w:shd w:val="clear" w:color="auto" w:fill="auto"/>
            <w:vAlign w:val="center"/>
          </w:tcPr>
          <w:p w14:paraId="5BA54064" w14:textId="09E9C707"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In the 2019–20 State Budget, the school shared in $624.8 million allocated for new schools.</w:t>
            </w:r>
          </w:p>
        </w:tc>
        <w:tc>
          <w:tcPr>
            <w:tcW w:w="945" w:type="dxa"/>
            <w:tcBorders>
              <w:top w:val="single" w:sz="4" w:space="0" w:color="auto"/>
              <w:bottom w:val="single" w:sz="4" w:space="0" w:color="auto"/>
            </w:tcBorders>
            <w:vAlign w:val="center"/>
          </w:tcPr>
          <w:p w14:paraId="6DA41EB5" w14:textId="03819561"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086" w:type="dxa"/>
            <w:tcBorders>
              <w:top w:val="single" w:sz="4" w:space="0" w:color="auto"/>
              <w:bottom w:val="single" w:sz="4" w:space="0" w:color="auto"/>
            </w:tcBorders>
            <w:vAlign w:val="center"/>
          </w:tcPr>
          <w:p w14:paraId="4C3AF28D" w14:textId="34EA6D6E"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546" w:type="dxa"/>
            <w:tcBorders>
              <w:top w:val="single" w:sz="4" w:space="0" w:color="auto"/>
              <w:bottom w:val="single" w:sz="4" w:space="0" w:color="auto"/>
            </w:tcBorders>
            <w:vAlign w:val="center"/>
          </w:tcPr>
          <w:p w14:paraId="0C77DB2D" w14:textId="7260897E"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419" w:type="dxa"/>
            <w:tcBorders>
              <w:top w:val="single" w:sz="4" w:space="0" w:color="auto"/>
              <w:bottom w:val="single" w:sz="4" w:space="0" w:color="auto"/>
            </w:tcBorders>
            <w:vAlign w:val="center"/>
          </w:tcPr>
          <w:p w14:paraId="6D1FF98E" w14:textId="568C21B6"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r>
      <w:tr w:rsidR="000F2A77" w:rsidRPr="005734B8" w14:paraId="620B38C3" w14:textId="77777777" w:rsidTr="000F2A77">
        <w:trPr>
          <w:cantSplit/>
          <w:trHeight w:val="612"/>
        </w:trPr>
        <w:tc>
          <w:tcPr>
            <w:tcW w:w="2059" w:type="dxa"/>
            <w:tcBorders>
              <w:top w:val="single" w:sz="4" w:space="0" w:color="auto"/>
              <w:bottom w:val="single" w:sz="4" w:space="0" w:color="auto"/>
            </w:tcBorders>
            <w:shd w:val="clear" w:color="auto" w:fill="D9D9D6" w:themeFill="accent6"/>
            <w:vAlign w:val="center"/>
          </w:tcPr>
          <w:p w14:paraId="184FDA3A" w14:textId="769CF246" w:rsidR="000F2A77" w:rsidRPr="005734B8" w:rsidRDefault="000F2A77" w:rsidP="000F2A77">
            <w:pPr>
              <w:pStyle w:val="ESTablebody"/>
              <w:rPr>
                <w:rFonts w:ascii="Calibri" w:hAnsi="Calibri" w:cs="Calibri"/>
                <w:sz w:val="16"/>
                <w:szCs w:val="16"/>
                <w:highlight w:val="yellow"/>
                <w:lang w:eastAsia="en-AU"/>
              </w:rPr>
            </w:pPr>
            <w:r w:rsidRPr="005734B8">
              <w:rPr>
                <w:rFonts w:ascii="Calibri" w:eastAsia="Times New Roman" w:hAnsi="Calibri" w:cs="Calibri"/>
                <w:color w:val="000000"/>
                <w:sz w:val="16"/>
                <w:szCs w:val="16"/>
                <w:lang w:eastAsia="en-AU"/>
              </w:rPr>
              <w:t>Edgars Creek Primary School</w:t>
            </w:r>
          </w:p>
        </w:tc>
        <w:tc>
          <w:tcPr>
            <w:tcW w:w="989" w:type="dxa"/>
            <w:tcBorders>
              <w:top w:val="single" w:sz="4" w:space="0" w:color="auto"/>
              <w:bottom w:val="single" w:sz="4" w:space="0" w:color="auto"/>
            </w:tcBorders>
            <w:shd w:val="clear" w:color="auto" w:fill="auto"/>
            <w:vAlign w:val="center"/>
          </w:tcPr>
          <w:p w14:paraId="4A739400" w14:textId="7E076A53"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1027" w:type="dxa"/>
            <w:tcBorders>
              <w:top w:val="single" w:sz="4" w:space="0" w:color="auto"/>
              <w:bottom w:val="single" w:sz="4" w:space="0" w:color="auto"/>
            </w:tcBorders>
            <w:vAlign w:val="center"/>
          </w:tcPr>
          <w:p w14:paraId="4F018EED" w14:textId="7D86FEF0"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992" w:type="dxa"/>
            <w:tcBorders>
              <w:top w:val="single" w:sz="4" w:space="0" w:color="auto"/>
              <w:bottom w:val="single" w:sz="4" w:space="0" w:color="auto"/>
            </w:tcBorders>
            <w:vAlign w:val="center"/>
          </w:tcPr>
          <w:p w14:paraId="09D50C84" w14:textId="3EEF4914"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28/10/2020</w:t>
            </w:r>
          </w:p>
        </w:tc>
        <w:tc>
          <w:tcPr>
            <w:tcW w:w="1630" w:type="dxa"/>
            <w:tcBorders>
              <w:top w:val="single" w:sz="4" w:space="0" w:color="auto"/>
              <w:bottom w:val="single" w:sz="4" w:space="0" w:color="auto"/>
            </w:tcBorders>
            <w:vAlign w:val="center"/>
          </w:tcPr>
          <w:p w14:paraId="4D4DE571" w14:textId="3ED32857" w:rsidR="000F2A77" w:rsidRPr="005734B8" w:rsidRDefault="000F2A77" w:rsidP="000F2A77">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2257" w:type="dxa"/>
            <w:tcBorders>
              <w:top w:val="single" w:sz="4" w:space="0" w:color="auto"/>
              <w:bottom w:val="single" w:sz="4" w:space="0" w:color="auto"/>
            </w:tcBorders>
            <w:shd w:val="clear" w:color="auto" w:fill="auto"/>
            <w:vAlign w:val="center"/>
          </w:tcPr>
          <w:p w14:paraId="4067F073" w14:textId="54941E83"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In the 2019–20 State Budget, the school shared in $624.8 million allocated for new schools.</w:t>
            </w:r>
          </w:p>
        </w:tc>
        <w:tc>
          <w:tcPr>
            <w:tcW w:w="945" w:type="dxa"/>
            <w:tcBorders>
              <w:top w:val="single" w:sz="4" w:space="0" w:color="auto"/>
              <w:bottom w:val="single" w:sz="4" w:space="0" w:color="auto"/>
            </w:tcBorders>
            <w:vAlign w:val="center"/>
          </w:tcPr>
          <w:p w14:paraId="6E8041CB" w14:textId="151BAE02"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086" w:type="dxa"/>
            <w:tcBorders>
              <w:top w:val="single" w:sz="4" w:space="0" w:color="auto"/>
              <w:bottom w:val="single" w:sz="4" w:space="0" w:color="auto"/>
            </w:tcBorders>
            <w:vAlign w:val="center"/>
          </w:tcPr>
          <w:p w14:paraId="4968F6AA" w14:textId="3E174162"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546" w:type="dxa"/>
            <w:tcBorders>
              <w:top w:val="single" w:sz="4" w:space="0" w:color="auto"/>
              <w:bottom w:val="single" w:sz="4" w:space="0" w:color="auto"/>
            </w:tcBorders>
            <w:vAlign w:val="center"/>
          </w:tcPr>
          <w:p w14:paraId="5ACBC394" w14:textId="76A869FB"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419" w:type="dxa"/>
            <w:tcBorders>
              <w:top w:val="single" w:sz="4" w:space="0" w:color="auto"/>
              <w:bottom w:val="single" w:sz="4" w:space="0" w:color="auto"/>
            </w:tcBorders>
            <w:vAlign w:val="center"/>
          </w:tcPr>
          <w:p w14:paraId="561AED37" w14:textId="75BBC96C"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r>
      <w:tr w:rsidR="000F2A77" w:rsidRPr="005734B8" w14:paraId="17F33FEC" w14:textId="77777777" w:rsidTr="000F2A77">
        <w:trPr>
          <w:cantSplit/>
          <w:trHeight w:val="537"/>
        </w:trPr>
        <w:tc>
          <w:tcPr>
            <w:tcW w:w="2059" w:type="dxa"/>
            <w:tcBorders>
              <w:top w:val="single" w:sz="4" w:space="0" w:color="auto"/>
              <w:bottom w:val="single" w:sz="4" w:space="0" w:color="auto"/>
            </w:tcBorders>
            <w:shd w:val="clear" w:color="auto" w:fill="D9D9D6" w:themeFill="accent6"/>
            <w:vAlign w:val="center"/>
          </w:tcPr>
          <w:p w14:paraId="638D6C40" w14:textId="5365E181" w:rsidR="000F2A77" w:rsidRPr="005734B8" w:rsidRDefault="000F2A77" w:rsidP="000F2A77">
            <w:pPr>
              <w:pStyle w:val="ESTablebody"/>
              <w:rPr>
                <w:rFonts w:ascii="Calibri" w:hAnsi="Calibri" w:cs="Calibri"/>
                <w:sz w:val="16"/>
                <w:szCs w:val="16"/>
                <w:highlight w:val="yellow"/>
                <w:lang w:eastAsia="en-AU"/>
              </w:rPr>
            </w:pPr>
            <w:r w:rsidRPr="005734B8">
              <w:rPr>
                <w:rFonts w:ascii="Calibri" w:eastAsia="Times New Roman" w:hAnsi="Calibri" w:cs="Calibri"/>
                <w:color w:val="000000"/>
                <w:sz w:val="16"/>
                <w:szCs w:val="16"/>
                <w:lang w:eastAsia="en-AU"/>
              </w:rPr>
              <w:lastRenderedPageBreak/>
              <w:t>Eynesbury Primary School</w:t>
            </w:r>
          </w:p>
        </w:tc>
        <w:tc>
          <w:tcPr>
            <w:tcW w:w="989" w:type="dxa"/>
            <w:tcBorders>
              <w:top w:val="single" w:sz="4" w:space="0" w:color="auto"/>
              <w:bottom w:val="single" w:sz="4" w:space="0" w:color="auto"/>
            </w:tcBorders>
            <w:shd w:val="clear" w:color="auto" w:fill="auto"/>
            <w:vAlign w:val="center"/>
          </w:tcPr>
          <w:p w14:paraId="437EC42B" w14:textId="0688FB84"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1027" w:type="dxa"/>
            <w:tcBorders>
              <w:top w:val="single" w:sz="4" w:space="0" w:color="auto"/>
              <w:bottom w:val="single" w:sz="4" w:space="0" w:color="auto"/>
            </w:tcBorders>
            <w:vAlign w:val="center"/>
          </w:tcPr>
          <w:p w14:paraId="71387531" w14:textId="5025AEC6"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992" w:type="dxa"/>
            <w:tcBorders>
              <w:top w:val="single" w:sz="4" w:space="0" w:color="auto"/>
              <w:bottom w:val="single" w:sz="4" w:space="0" w:color="auto"/>
            </w:tcBorders>
            <w:vAlign w:val="center"/>
          </w:tcPr>
          <w:p w14:paraId="1DF4D542" w14:textId="50AEC822"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21/09/2020</w:t>
            </w:r>
          </w:p>
        </w:tc>
        <w:tc>
          <w:tcPr>
            <w:tcW w:w="1630" w:type="dxa"/>
            <w:tcBorders>
              <w:top w:val="single" w:sz="4" w:space="0" w:color="auto"/>
              <w:bottom w:val="single" w:sz="4" w:space="0" w:color="auto"/>
            </w:tcBorders>
            <w:vAlign w:val="center"/>
          </w:tcPr>
          <w:p w14:paraId="54A61393" w14:textId="3B40E8D8" w:rsidR="000F2A77" w:rsidRPr="005734B8" w:rsidRDefault="000F2A77" w:rsidP="000F2A77">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2257" w:type="dxa"/>
            <w:tcBorders>
              <w:top w:val="single" w:sz="4" w:space="0" w:color="auto"/>
              <w:bottom w:val="single" w:sz="4" w:space="0" w:color="auto"/>
            </w:tcBorders>
            <w:shd w:val="clear" w:color="auto" w:fill="auto"/>
            <w:vAlign w:val="center"/>
          </w:tcPr>
          <w:p w14:paraId="3403AB83" w14:textId="6CF0E6E1"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In the 2019–20 State Budget, the school shared in $624.8 million allocated for new schools.</w:t>
            </w:r>
          </w:p>
          <w:p w14:paraId="0249DD00" w14:textId="1F7FAC20"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p>
        </w:tc>
        <w:tc>
          <w:tcPr>
            <w:tcW w:w="945" w:type="dxa"/>
            <w:tcBorders>
              <w:top w:val="single" w:sz="4" w:space="0" w:color="auto"/>
              <w:bottom w:val="single" w:sz="4" w:space="0" w:color="auto"/>
            </w:tcBorders>
            <w:vAlign w:val="center"/>
          </w:tcPr>
          <w:p w14:paraId="66B0005F" w14:textId="12CB6AFC"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086" w:type="dxa"/>
            <w:tcBorders>
              <w:top w:val="single" w:sz="4" w:space="0" w:color="auto"/>
              <w:bottom w:val="single" w:sz="4" w:space="0" w:color="auto"/>
            </w:tcBorders>
            <w:vAlign w:val="center"/>
          </w:tcPr>
          <w:p w14:paraId="090B1F46" w14:textId="7B75918B"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546" w:type="dxa"/>
            <w:tcBorders>
              <w:top w:val="single" w:sz="4" w:space="0" w:color="auto"/>
              <w:bottom w:val="single" w:sz="4" w:space="0" w:color="auto"/>
            </w:tcBorders>
            <w:vAlign w:val="center"/>
          </w:tcPr>
          <w:p w14:paraId="0ABB73FC" w14:textId="0B7A1BC7"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419" w:type="dxa"/>
            <w:tcBorders>
              <w:top w:val="single" w:sz="4" w:space="0" w:color="auto"/>
              <w:bottom w:val="single" w:sz="4" w:space="0" w:color="auto"/>
            </w:tcBorders>
            <w:vAlign w:val="center"/>
          </w:tcPr>
          <w:p w14:paraId="545D3CD3" w14:textId="24553357"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r>
      <w:tr w:rsidR="000F2A77" w:rsidRPr="005734B8" w14:paraId="05ACC242" w14:textId="77777777" w:rsidTr="000F2A77">
        <w:trPr>
          <w:cantSplit/>
          <w:trHeight w:val="631"/>
        </w:trPr>
        <w:tc>
          <w:tcPr>
            <w:tcW w:w="2059" w:type="dxa"/>
            <w:tcBorders>
              <w:top w:val="single" w:sz="4" w:space="0" w:color="auto"/>
              <w:bottom w:val="single" w:sz="4" w:space="0" w:color="auto"/>
            </w:tcBorders>
            <w:shd w:val="clear" w:color="auto" w:fill="D9D9D6" w:themeFill="accent6"/>
            <w:vAlign w:val="center"/>
          </w:tcPr>
          <w:p w14:paraId="69E80F55" w14:textId="34D1D3E1" w:rsidR="000F2A77" w:rsidRPr="005734B8" w:rsidRDefault="000F2A77" w:rsidP="000F2A77">
            <w:pPr>
              <w:pStyle w:val="ESTablebody"/>
              <w:rPr>
                <w:rFonts w:ascii="Calibri" w:hAnsi="Calibri" w:cs="Calibri"/>
                <w:sz w:val="16"/>
                <w:szCs w:val="16"/>
                <w:highlight w:val="yellow"/>
                <w:lang w:eastAsia="en-AU"/>
              </w:rPr>
            </w:pPr>
            <w:r w:rsidRPr="005734B8">
              <w:rPr>
                <w:rFonts w:ascii="Calibri" w:eastAsia="Times New Roman" w:hAnsi="Calibri" w:cs="Calibri"/>
                <w:color w:val="000000"/>
                <w:sz w:val="16"/>
                <w:szCs w:val="16"/>
                <w:lang w:eastAsia="en-AU"/>
              </w:rPr>
              <w:t>Footscray Learning Precinct Seddon - Stage 2</w:t>
            </w:r>
          </w:p>
        </w:tc>
        <w:tc>
          <w:tcPr>
            <w:tcW w:w="989" w:type="dxa"/>
            <w:tcBorders>
              <w:top w:val="single" w:sz="4" w:space="0" w:color="auto"/>
              <w:bottom w:val="single" w:sz="4" w:space="0" w:color="auto"/>
            </w:tcBorders>
            <w:shd w:val="clear" w:color="auto" w:fill="auto"/>
            <w:vAlign w:val="center"/>
          </w:tcPr>
          <w:p w14:paraId="06A11E7A" w14:textId="70BA2FF5"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1027" w:type="dxa"/>
            <w:tcBorders>
              <w:top w:val="single" w:sz="4" w:space="0" w:color="auto"/>
              <w:bottom w:val="single" w:sz="4" w:space="0" w:color="auto"/>
            </w:tcBorders>
            <w:vAlign w:val="center"/>
          </w:tcPr>
          <w:p w14:paraId="6E1AE5B1" w14:textId="31CEC650"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992" w:type="dxa"/>
            <w:tcBorders>
              <w:top w:val="single" w:sz="4" w:space="0" w:color="auto"/>
              <w:bottom w:val="single" w:sz="4" w:space="0" w:color="auto"/>
            </w:tcBorders>
            <w:vAlign w:val="center"/>
          </w:tcPr>
          <w:p w14:paraId="18EA9A0F" w14:textId="649AABB9"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18/12/2020</w:t>
            </w:r>
          </w:p>
        </w:tc>
        <w:tc>
          <w:tcPr>
            <w:tcW w:w="1630" w:type="dxa"/>
            <w:tcBorders>
              <w:top w:val="single" w:sz="4" w:space="0" w:color="auto"/>
              <w:bottom w:val="single" w:sz="4" w:space="0" w:color="auto"/>
            </w:tcBorders>
            <w:vAlign w:val="center"/>
          </w:tcPr>
          <w:p w14:paraId="7B24F482" w14:textId="37D5423D" w:rsidR="000F2A77" w:rsidRPr="005734B8" w:rsidRDefault="000F2A77" w:rsidP="000F2A77">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2257" w:type="dxa"/>
            <w:tcBorders>
              <w:top w:val="single" w:sz="4" w:space="0" w:color="auto"/>
              <w:bottom w:val="single" w:sz="4" w:space="0" w:color="auto"/>
            </w:tcBorders>
            <w:shd w:val="clear" w:color="auto" w:fill="auto"/>
            <w:vAlign w:val="center"/>
          </w:tcPr>
          <w:p w14:paraId="014347FD" w14:textId="7F3733EA"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$29.275 million was allocated in the 2018–19 State Budget.</w:t>
            </w:r>
          </w:p>
          <w:p w14:paraId="53C50EDE" w14:textId="668B28C7"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In the 2019–20 State Budget, the school shared in $624.8 million allocated for new schools.</w:t>
            </w:r>
          </w:p>
        </w:tc>
        <w:tc>
          <w:tcPr>
            <w:tcW w:w="945" w:type="dxa"/>
            <w:tcBorders>
              <w:top w:val="single" w:sz="4" w:space="0" w:color="auto"/>
              <w:bottom w:val="single" w:sz="4" w:space="0" w:color="auto"/>
            </w:tcBorders>
            <w:vAlign w:val="center"/>
          </w:tcPr>
          <w:p w14:paraId="49D84D5D" w14:textId="016F310D"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086" w:type="dxa"/>
            <w:tcBorders>
              <w:top w:val="single" w:sz="4" w:space="0" w:color="auto"/>
              <w:bottom w:val="single" w:sz="4" w:space="0" w:color="auto"/>
            </w:tcBorders>
            <w:vAlign w:val="center"/>
          </w:tcPr>
          <w:p w14:paraId="0A1CC626" w14:textId="62D5E959"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546" w:type="dxa"/>
            <w:tcBorders>
              <w:top w:val="single" w:sz="4" w:space="0" w:color="auto"/>
              <w:bottom w:val="single" w:sz="4" w:space="0" w:color="auto"/>
            </w:tcBorders>
            <w:vAlign w:val="center"/>
          </w:tcPr>
          <w:p w14:paraId="0CEA5FB9" w14:textId="185C6D67"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419" w:type="dxa"/>
            <w:tcBorders>
              <w:top w:val="single" w:sz="4" w:space="0" w:color="auto"/>
              <w:bottom w:val="single" w:sz="4" w:space="0" w:color="auto"/>
            </w:tcBorders>
            <w:vAlign w:val="center"/>
          </w:tcPr>
          <w:p w14:paraId="1666ED5D" w14:textId="431D079B"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r>
      <w:tr w:rsidR="000F2A77" w:rsidRPr="005734B8" w14:paraId="63C38540" w14:textId="77777777" w:rsidTr="000F2A77">
        <w:trPr>
          <w:cantSplit/>
          <w:trHeight w:val="711"/>
        </w:trPr>
        <w:tc>
          <w:tcPr>
            <w:tcW w:w="2059" w:type="dxa"/>
            <w:tcBorders>
              <w:top w:val="single" w:sz="4" w:space="0" w:color="auto"/>
              <w:bottom w:val="single" w:sz="4" w:space="0" w:color="auto"/>
            </w:tcBorders>
            <w:shd w:val="clear" w:color="auto" w:fill="D9D9D6" w:themeFill="accent6"/>
            <w:vAlign w:val="center"/>
          </w:tcPr>
          <w:p w14:paraId="4FA51DAA" w14:textId="6E8C58E4" w:rsidR="000F2A77" w:rsidRPr="005734B8" w:rsidRDefault="000F2A77" w:rsidP="000F2A77">
            <w:pPr>
              <w:pStyle w:val="ESTablebody"/>
              <w:rPr>
                <w:rFonts w:ascii="Calibri" w:hAnsi="Calibri" w:cs="Calibri"/>
                <w:sz w:val="16"/>
                <w:szCs w:val="16"/>
                <w:highlight w:val="yellow"/>
                <w:lang w:eastAsia="en-AU"/>
              </w:rPr>
            </w:pPr>
            <w:r w:rsidRPr="005734B8">
              <w:rPr>
                <w:rFonts w:ascii="Calibri" w:eastAsia="Times New Roman" w:hAnsi="Calibri" w:cs="Calibri"/>
                <w:color w:val="000000"/>
                <w:sz w:val="16"/>
                <w:szCs w:val="16"/>
                <w:lang w:eastAsia="en-AU"/>
              </w:rPr>
              <w:t>Gaayip-Yagila Primary School (formerly Merrifield West Primary School)</w:t>
            </w:r>
          </w:p>
        </w:tc>
        <w:tc>
          <w:tcPr>
            <w:tcW w:w="989" w:type="dxa"/>
            <w:tcBorders>
              <w:top w:val="single" w:sz="4" w:space="0" w:color="auto"/>
              <w:bottom w:val="single" w:sz="4" w:space="0" w:color="auto"/>
            </w:tcBorders>
            <w:shd w:val="clear" w:color="auto" w:fill="auto"/>
            <w:vAlign w:val="center"/>
          </w:tcPr>
          <w:p w14:paraId="0C6FEBBC" w14:textId="193B1399"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1027" w:type="dxa"/>
            <w:tcBorders>
              <w:top w:val="single" w:sz="4" w:space="0" w:color="auto"/>
              <w:bottom w:val="single" w:sz="4" w:space="0" w:color="auto"/>
            </w:tcBorders>
            <w:vAlign w:val="center"/>
          </w:tcPr>
          <w:p w14:paraId="3CB35121" w14:textId="0A6B964C"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992" w:type="dxa"/>
            <w:tcBorders>
              <w:top w:val="single" w:sz="4" w:space="0" w:color="auto"/>
              <w:bottom w:val="single" w:sz="4" w:space="0" w:color="auto"/>
            </w:tcBorders>
            <w:vAlign w:val="center"/>
          </w:tcPr>
          <w:p w14:paraId="463C43EB" w14:textId="5C71A08C"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30/10/2020</w:t>
            </w:r>
          </w:p>
        </w:tc>
        <w:tc>
          <w:tcPr>
            <w:tcW w:w="1630" w:type="dxa"/>
            <w:tcBorders>
              <w:top w:val="single" w:sz="4" w:space="0" w:color="auto"/>
              <w:bottom w:val="single" w:sz="4" w:space="0" w:color="auto"/>
            </w:tcBorders>
            <w:vAlign w:val="center"/>
          </w:tcPr>
          <w:p w14:paraId="11065B8D" w14:textId="38E0CC97" w:rsidR="000F2A77" w:rsidRPr="005734B8" w:rsidRDefault="000F2A77" w:rsidP="000F2A77">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2257" w:type="dxa"/>
            <w:tcBorders>
              <w:top w:val="single" w:sz="4" w:space="0" w:color="auto"/>
              <w:bottom w:val="single" w:sz="4" w:space="0" w:color="auto"/>
            </w:tcBorders>
            <w:shd w:val="clear" w:color="auto" w:fill="auto"/>
            <w:vAlign w:val="center"/>
          </w:tcPr>
          <w:p w14:paraId="3BF2E725" w14:textId="68D337C7"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In the 2019–20 State Budget, the school shared in $624.8 million allocated for new schools.</w:t>
            </w:r>
          </w:p>
        </w:tc>
        <w:tc>
          <w:tcPr>
            <w:tcW w:w="945" w:type="dxa"/>
            <w:tcBorders>
              <w:top w:val="single" w:sz="4" w:space="0" w:color="auto"/>
              <w:bottom w:val="single" w:sz="4" w:space="0" w:color="auto"/>
            </w:tcBorders>
            <w:vAlign w:val="center"/>
          </w:tcPr>
          <w:p w14:paraId="709A55BF" w14:textId="61E72450"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086" w:type="dxa"/>
            <w:tcBorders>
              <w:top w:val="single" w:sz="4" w:space="0" w:color="auto"/>
              <w:bottom w:val="single" w:sz="4" w:space="0" w:color="auto"/>
            </w:tcBorders>
            <w:vAlign w:val="center"/>
          </w:tcPr>
          <w:p w14:paraId="6BD88263" w14:textId="34EC27F1"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546" w:type="dxa"/>
            <w:tcBorders>
              <w:top w:val="single" w:sz="4" w:space="0" w:color="auto"/>
              <w:bottom w:val="single" w:sz="4" w:space="0" w:color="auto"/>
            </w:tcBorders>
            <w:vAlign w:val="center"/>
          </w:tcPr>
          <w:p w14:paraId="6C0EEF7F" w14:textId="54555125"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419" w:type="dxa"/>
            <w:tcBorders>
              <w:top w:val="single" w:sz="4" w:space="0" w:color="auto"/>
              <w:bottom w:val="single" w:sz="4" w:space="0" w:color="auto"/>
            </w:tcBorders>
            <w:vAlign w:val="center"/>
          </w:tcPr>
          <w:p w14:paraId="1406CBC2" w14:textId="2D152FB7"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r>
      <w:tr w:rsidR="000F2A77" w:rsidRPr="005734B8" w14:paraId="526A2BE2" w14:textId="77777777" w:rsidTr="000F2A77">
        <w:trPr>
          <w:cantSplit/>
          <w:trHeight w:val="85"/>
        </w:trPr>
        <w:tc>
          <w:tcPr>
            <w:tcW w:w="2059" w:type="dxa"/>
            <w:tcBorders>
              <w:top w:val="single" w:sz="4" w:space="0" w:color="auto"/>
              <w:bottom w:val="single" w:sz="4" w:space="0" w:color="auto"/>
            </w:tcBorders>
            <w:shd w:val="clear" w:color="auto" w:fill="D9D9D6" w:themeFill="accent6"/>
            <w:vAlign w:val="center"/>
          </w:tcPr>
          <w:p w14:paraId="5EDBD5CB" w14:textId="69A46B50" w:rsidR="000F2A77" w:rsidRPr="005734B8" w:rsidRDefault="000F2A77" w:rsidP="000F2A77">
            <w:pPr>
              <w:pStyle w:val="ESTablebody"/>
              <w:rPr>
                <w:rFonts w:ascii="Calibri" w:hAnsi="Calibri" w:cs="Calibri"/>
                <w:sz w:val="16"/>
                <w:szCs w:val="16"/>
                <w:highlight w:val="yellow"/>
                <w:lang w:eastAsia="en-AU"/>
              </w:rPr>
            </w:pPr>
            <w:r w:rsidRPr="005734B8">
              <w:rPr>
                <w:rFonts w:ascii="Calibri" w:eastAsia="Times New Roman" w:hAnsi="Calibri" w:cs="Calibri"/>
                <w:color w:val="000000"/>
                <w:sz w:val="16"/>
                <w:szCs w:val="16"/>
                <w:lang w:eastAsia="en-AU"/>
              </w:rPr>
              <w:t>Garrang Wilam Primary School (formerly Truganina South East Primary School)</w:t>
            </w:r>
          </w:p>
        </w:tc>
        <w:tc>
          <w:tcPr>
            <w:tcW w:w="989" w:type="dxa"/>
            <w:tcBorders>
              <w:top w:val="single" w:sz="4" w:space="0" w:color="auto"/>
              <w:bottom w:val="single" w:sz="4" w:space="0" w:color="auto"/>
            </w:tcBorders>
            <w:shd w:val="clear" w:color="auto" w:fill="auto"/>
            <w:vAlign w:val="center"/>
          </w:tcPr>
          <w:p w14:paraId="32A5BC04" w14:textId="63B5D838"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1027" w:type="dxa"/>
            <w:tcBorders>
              <w:top w:val="single" w:sz="4" w:space="0" w:color="auto"/>
              <w:bottom w:val="single" w:sz="4" w:space="0" w:color="auto"/>
            </w:tcBorders>
            <w:vAlign w:val="center"/>
          </w:tcPr>
          <w:p w14:paraId="1B2AB52E" w14:textId="5234B55C"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992" w:type="dxa"/>
            <w:tcBorders>
              <w:top w:val="single" w:sz="4" w:space="0" w:color="auto"/>
              <w:bottom w:val="single" w:sz="4" w:space="0" w:color="auto"/>
            </w:tcBorders>
            <w:vAlign w:val="center"/>
          </w:tcPr>
          <w:p w14:paraId="50756360" w14:textId="4B1E5C2B"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5/11/2020</w:t>
            </w:r>
          </w:p>
        </w:tc>
        <w:tc>
          <w:tcPr>
            <w:tcW w:w="1630" w:type="dxa"/>
            <w:tcBorders>
              <w:top w:val="single" w:sz="4" w:space="0" w:color="auto"/>
              <w:bottom w:val="single" w:sz="4" w:space="0" w:color="auto"/>
            </w:tcBorders>
            <w:vAlign w:val="center"/>
          </w:tcPr>
          <w:p w14:paraId="42724685" w14:textId="0E377CDB" w:rsidR="000F2A77" w:rsidRPr="005734B8" w:rsidRDefault="000F2A77" w:rsidP="000F2A77">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2257" w:type="dxa"/>
            <w:tcBorders>
              <w:top w:val="single" w:sz="4" w:space="0" w:color="auto"/>
              <w:bottom w:val="single" w:sz="4" w:space="0" w:color="auto"/>
            </w:tcBorders>
            <w:shd w:val="clear" w:color="auto" w:fill="auto"/>
            <w:vAlign w:val="center"/>
          </w:tcPr>
          <w:p w14:paraId="350844B1" w14:textId="187CB325"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In the 2019–20 State Budget, the school shared in $624.8 million allocated for new schools.</w:t>
            </w:r>
          </w:p>
        </w:tc>
        <w:tc>
          <w:tcPr>
            <w:tcW w:w="945" w:type="dxa"/>
            <w:tcBorders>
              <w:top w:val="single" w:sz="4" w:space="0" w:color="auto"/>
              <w:bottom w:val="single" w:sz="4" w:space="0" w:color="auto"/>
            </w:tcBorders>
            <w:vAlign w:val="center"/>
          </w:tcPr>
          <w:p w14:paraId="1940151E" w14:textId="0429548F"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086" w:type="dxa"/>
            <w:tcBorders>
              <w:top w:val="single" w:sz="4" w:space="0" w:color="auto"/>
              <w:bottom w:val="single" w:sz="4" w:space="0" w:color="auto"/>
            </w:tcBorders>
            <w:vAlign w:val="center"/>
          </w:tcPr>
          <w:p w14:paraId="4A76D912" w14:textId="3E3B59B8"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546" w:type="dxa"/>
            <w:tcBorders>
              <w:top w:val="single" w:sz="4" w:space="0" w:color="auto"/>
              <w:bottom w:val="single" w:sz="4" w:space="0" w:color="auto"/>
            </w:tcBorders>
            <w:vAlign w:val="center"/>
          </w:tcPr>
          <w:p w14:paraId="4C7251B8" w14:textId="4D77125F"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419" w:type="dxa"/>
            <w:tcBorders>
              <w:top w:val="single" w:sz="4" w:space="0" w:color="auto"/>
              <w:bottom w:val="single" w:sz="4" w:space="0" w:color="auto"/>
            </w:tcBorders>
            <w:vAlign w:val="center"/>
          </w:tcPr>
          <w:p w14:paraId="58B5D2F0" w14:textId="0DEC2B08"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r>
      <w:tr w:rsidR="000F2A77" w:rsidRPr="005734B8" w14:paraId="1169358C" w14:textId="77777777" w:rsidTr="009D4FD6">
        <w:trPr>
          <w:cantSplit/>
          <w:trHeight w:val="272"/>
        </w:trPr>
        <w:tc>
          <w:tcPr>
            <w:tcW w:w="2059" w:type="dxa"/>
            <w:tcBorders>
              <w:top w:val="single" w:sz="4" w:space="0" w:color="auto"/>
              <w:bottom w:val="single" w:sz="4" w:space="0" w:color="auto"/>
            </w:tcBorders>
            <w:shd w:val="clear" w:color="auto" w:fill="D9D9D6" w:themeFill="accent6"/>
            <w:vAlign w:val="center"/>
          </w:tcPr>
          <w:p w14:paraId="4E22701E" w14:textId="04888A1A" w:rsidR="000F2A77" w:rsidRPr="005734B8" w:rsidRDefault="000F2A77" w:rsidP="000F2A77">
            <w:pPr>
              <w:pStyle w:val="ESTablebody"/>
              <w:rPr>
                <w:rFonts w:ascii="Calibri" w:hAnsi="Calibri" w:cs="Calibri"/>
                <w:sz w:val="16"/>
                <w:szCs w:val="16"/>
                <w:highlight w:val="yellow"/>
                <w:lang w:eastAsia="en-AU"/>
              </w:rPr>
            </w:pPr>
            <w:r w:rsidRPr="005734B8">
              <w:rPr>
                <w:rFonts w:ascii="Calibri" w:eastAsia="Times New Roman" w:hAnsi="Calibri" w:cs="Calibri"/>
                <w:color w:val="000000"/>
                <w:sz w:val="16"/>
                <w:szCs w:val="16"/>
                <w:lang w:eastAsia="en-AU"/>
              </w:rPr>
              <w:t>Kalianna Special School - Stage 2</w:t>
            </w:r>
          </w:p>
        </w:tc>
        <w:tc>
          <w:tcPr>
            <w:tcW w:w="989" w:type="dxa"/>
            <w:tcBorders>
              <w:top w:val="single" w:sz="4" w:space="0" w:color="auto"/>
              <w:bottom w:val="single" w:sz="4" w:space="0" w:color="auto"/>
            </w:tcBorders>
            <w:shd w:val="clear" w:color="auto" w:fill="auto"/>
            <w:vAlign w:val="center"/>
          </w:tcPr>
          <w:p w14:paraId="1A3401C6" w14:textId="0526B89A"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30/09/2020</w:t>
            </w:r>
          </w:p>
        </w:tc>
        <w:tc>
          <w:tcPr>
            <w:tcW w:w="1027" w:type="dxa"/>
            <w:tcBorders>
              <w:top w:val="single" w:sz="4" w:space="0" w:color="auto"/>
              <w:bottom w:val="single" w:sz="4" w:space="0" w:color="auto"/>
            </w:tcBorders>
            <w:vAlign w:val="center"/>
          </w:tcPr>
          <w:p w14:paraId="5834B85C" w14:textId="3984A56B"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30/09/2020</w:t>
            </w:r>
          </w:p>
        </w:tc>
        <w:tc>
          <w:tcPr>
            <w:tcW w:w="992" w:type="dxa"/>
            <w:tcBorders>
              <w:top w:val="single" w:sz="4" w:space="0" w:color="auto"/>
              <w:bottom w:val="single" w:sz="4" w:space="0" w:color="auto"/>
            </w:tcBorders>
            <w:vAlign w:val="center"/>
          </w:tcPr>
          <w:p w14:paraId="79917A6F" w14:textId="30CAB990"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28/09/2020</w:t>
            </w:r>
          </w:p>
        </w:tc>
        <w:tc>
          <w:tcPr>
            <w:tcW w:w="1630" w:type="dxa"/>
            <w:tcBorders>
              <w:top w:val="single" w:sz="4" w:space="0" w:color="auto"/>
              <w:bottom w:val="single" w:sz="4" w:space="0" w:color="auto"/>
            </w:tcBorders>
            <w:vAlign w:val="center"/>
          </w:tcPr>
          <w:p w14:paraId="5D12EC6F" w14:textId="62D8FC44" w:rsidR="000F2A77" w:rsidRPr="005734B8" w:rsidRDefault="000F2A77" w:rsidP="000F2A77">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2257" w:type="dxa"/>
            <w:tcBorders>
              <w:top w:val="single" w:sz="4" w:space="0" w:color="auto"/>
              <w:bottom w:val="single" w:sz="4" w:space="0" w:color="auto"/>
            </w:tcBorders>
            <w:shd w:val="clear" w:color="auto" w:fill="auto"/>
            <w:vAlign w:val="center"/>
          </w:tcPr>
          <w:p w14:paraId="3A053EC2" w14:textId="35B04CC8" w:rsidR="000F2A77" w:rsidRPr="005734B8" w:rsidRDefault="000F2A77" w:rsidP="009D4FD6">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10,080,000</w:t>
            </w:r>
          </w:p>
        </w:tc>
        <w:tc>
          <w:tcPr>
            <w:tcW w:w="945" w:type="dxa"/>
            <w:tcBorders>
              <w:top w:val="single" w:sz="4" w:space="0" w:color="auto"/>
              <w:bottom w:val="single" w:sz="4" w:space="0" w:color="auto"/>
            </w:tcBorders>
            <w:vAlign w:val="center"/>
          </w:tcPr>
          <w:p w14:paraId="7645698C" w14:textId="1138EBD6"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10,080,000</w:t>
            </w:r>
          </w:p>
        </w:tc>
        <w:tc>
          <w:tcPr>
            <w:tcW w:w="1086" w:type="dxa"/>
            <w:tcBorders>
              <w:top w:val="single" w:sz="4" w:space="0" w:color="auto"/>
              <w:bottom w:val="single" w:sz="4" w:space="0" w:color="auto"/>
            </w:tcBorders>
            <w:vAlign w:val="center"/>
          </w:tcPr>
          <w:p w14:paraId="5FEF0E3A" w14:textId="539569D0"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8,760,000</w:t>
            </w:r>
          </w:p>
        </w:tc>
        <w:tc>
          <w:tcPr>
            <w:tcW w:w="1546" w:type="dxa"/>
            <w:tcBorders>
              <w:top w:val="single" w:sz="4" w:space="0" w:color="auto"/>
              <w:bottom w:val="single" w:sz="4" w:space="0" w:color="auto"/>
            </w:tcBorders>
            <w:vAlign w:val="center"/>
          </w:tcPr>
          <w:p w14:paraId="7101B656" w14:textId="260935A5"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1,320,000</w:t>
            </w:r>
          </w:p>
        </w:tc>
        <w:tc>
          <w:tcPr>
            <w:tcW w:w="1419" w:type="dxa"/>
            <w:tcBorders>
              <w:top w:val="single" w:sz="4" w:space="0" w:color="auto"/>
              <w:bottom w:val="single" w:sz="4" w:space="0" w:color="auto"/>
            </w:tcBorders>
            <w:vAlign w:val="center"/>
          </w:tcPr>
          <w:p w14:paraId="69BCF754" w14:textId="290694E7"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Actual TEI cost subject to project financial close in the defects liability period</w:t>
            </w:r>
          </w:p>
        </w:tc>
      </w:tr>
      <w:tr w:rsidR="000F2A77" w:rsidRPr="005734B8" w14:paraId="7C2B5BA6" w14:textId="77777777" w:rsidTr="000F2A77">
        <w:trPr>
          <w:cantSplit/>
          <w:trHeight w:val="506"/>
        </w:trPr>
        <w:tc>
          <w:tcPr>
            <w:tcW w:w="2059" w:type="dxa"/>
            <w:tcBorders>
              <w:top w:val="single" w:sz="4" w:space="0" w:color="auto"/>
              <w:bottom w:val="single" w:sz="4" w:space="0" w:color="auto"/>
            </w:tcBorders>
            <w:shd w:val="clear" w:color="auto" w:fill="D9D9D6" w:themeFill="accent6"/>
            <w:vAlign w:val="center"/>
          </w:tcPr>
          <w:p w14:paraId="0C380225" w14:textId="1E89F72D" w:rsidR="000F2A77" w:rsidRPr="005734B8" w:rsidRDefault="000F2A77" w:rsidP="000F2A77">
            <w:pPr>
              <w:pStyle w:val="ESTablebody"/>
              <w:rPr>
                <w:rFonts w:ascii="Calibri" w:hAnsi="Calibri" w:cs="Calibri"/>
                <w:sz w:val="16"/>
                <w:szCs w:val="16"/>
                <w:highlight w:val="yellow"/>
                <w:lang w:eastAsia="en-AU"/>
              </w:rPr>
            </w:pPr>
            <w:r w:rsidRPr="005734B8">
              <w:rPr>
                <w:rFonts w:ascii="Calibri" w:eastAsia="Times New Roman" w:hAnsi="Calibri" w:cs="Calibri"/>
                <w:color w:val="000000"/>
                <w:sz w:val="16"/>
                <w:szCs w:val="16"/>
                <w:lang w:eastAsia="en-AU"/>
              </w:rPr>
              <w:t>Keelonith Primary School (formerly Greenvale North West Primary School)</w:t>
            </w:r>
          </w:p>
        </w:tc>
        <w:tc>
          <w:tcPr>
            <w:tcW w:w="989" w:type="dxa"/>
            <w:tcBorders>
              <w:top w:val="single" w:sz="4" w:space="0" w:color="auto"/>
              <w:bottom w:val="single" w:sz="4" w:space="0" w:color="auto"/>
            </w:tcBorders>
            <w:shd w:val="clear" w:color="auto" w:fill="auto"/>
            <w:vAlign w:val="center"/>
          </w:tcPr>
          <w:p w14:paraId="5BB70774" w14:textId="2DDC3285"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1027" w:type="dxa"/>
            <w:tcBorders>
              <w:top w:val="single" w:sz="4" w:space="0" w:color="auto"/>
              <w:bottom w:val="single" w:sz="4" w:space="0" w:color="auto"/>
            </w:tcBorders>
            <w:vAlign w:val="center"/>
          </w:tcPr>
          <w:p w14:paraId="17A5C7F5" w14:textId="738AE27E"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992" w:type="dxa"/>
            <w:tcBorders>
              <w:top w:val="single" w:sz="4" w:space="0" w:color="auto"/>
              <w:bottom w:val="single" w:sz="4" w:space="0" w:color="auto"/>
            </w:tcBorders>
            <w:vAlign w:val="center"/>
          </w:tcPr>
          <w:p w14:paraId="4DF4BB2C" w14:textId="321FF53C"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17/09/2020</w:t>
            </w:r>
          </w:p>
        </w:tc>
        <w:tc>
          <w:tcPr>
            <w:tcW w:w="1630" w:type="dxa"/>
            <w:tcBorders>
              <w:top w:val="single" w:sz="4" w:space="0" w:color="auto"/>
              <w:bottom w:val="single" w:sz="4" w:space="0" w:color="auto"/>
            </w:tcBorders>
            <w:vAlign w:val="center"/>
          </w:tcPr>
          <w:p w14:paraId="40BD7787" w14:textId="30663B2C" w:rsidR="000F2A77" w:rsidRPr="005734B8" w:rsidRDefault="000F2A77" w:rsidP="000F2A77">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2257" w:type="dxa"/>
            <w:tcBorders>
              <w:top w:val="single" w:sz="4" w:space="0" w:color="auto"/>
              <w:bottom w:val="single" w:sz="4" w:space="0" w:color="auto"/>
            </w:tcBorders>
            <w:shd w:val="clear" w:color="auto" w:fill="auto"/>
            <w:vAlign w:val="center"/>
          </w:tcPr>
          <w:p w14:paraId="3F9F4924" w14:textId="7C2E2463"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In the 2019–20 State Budget, the school shared in $624.8 million allocated for new schools.</w:t>
            </w:r>
          </w:p>
        </w:tc>
        <w:tc>
          <w:tcPr>
            <w:tcW w:w="945" w:type="dxa"/>
            <w:tcBorders>
              <w:top w:val="single" w:sz="4" w:space="0" w:color="auto"/>
              <w:bottom w:val="single" w:sz="4" w:space="0" w:color="auto"/>
            </w:tcBorders>
            <w:vAlign w:val="center"/>
          </w:tcPr>
          <w:p w14:paraId="5CC5AE69" w14:textId="0E69B5BD"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086" w:type="dxa"/>
            <w:tcBorders>
              <w:top w:val="single" w:sz="4" w:space="0" w:color="auto"/>
              <w:bottom w:val="single" w:sz="4" w:space="0" w:color="auto"/>
            </w:tcBorders>
            <w:vAlign w:val="center"/>
          </w:tcPr>
          <w:p w14:paraId="26C0E529" w14:textId="7735531B"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546" w:type="dxa"/>
            <w:tcBorders>
              <w:top w:val="single" w:sz="4" w:space="0" w:color="auto"/>
              <w:bottom w:val="single" w:sz="4" w:space="0" w:color="auto"/>
            </w:tcBorders>
            <w:vAlign w:val="center"/>
          </w:tcPr>
          <w:p w14:paraId="512428C4" w14:textId="5CD28456"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419" w:type="dxa"/>
            <w:tcBorders>
              <w:top w:val="single" w:sz="4" w:space="0" w:color="auto"/>
              <w:bottom w:val="single" w:sz="4" w:space="0" w:color="auto"/>
            </w:tcBorders>
            <w:vAlign w:val="center"/>
          </w:tcPr>
          <w:p w14:paraId="733CBCFE" w14:textId="0DDC2850"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r>
      <w:tr w:rsidR="000F2A77" w:rsidRPr="005734B8" w14:paraId="143346F9" w14:textId="77777777" w:rsidTr="009D4FD6">
        <w:trPr>
          <w:cantSplit/>
          <w:trHeight w:val="1074"/>
        </w:trPr>
        <w:tc>
          <w:tcPr>
            <w:tcW w:w="2059" w:type="dxa"/>
            <w:tcBorders>
              <w:top w:val="single" w:sz="4" w:space="0" w:color="auto"/>
              <w:bottom w:val="single" w:sz="4" w:space="0" w:color="auto"/>
            </w:tcBorders>
            <w:shd w:val="clear" w:color="auto" w:fill="D9D9D6" w:themeFill="accent6"/>
            <w:vAlign w:val="center"/>
          </w:tcPr>
          <w:p w14:paraId="2667E76B" w14:textId="5070C7C5" w:rsidR="000F2A77" w:rsidRPr="005734B8" w:rsidRDefault="000F2A77" w:rsidP="000F2A77">
            <w:pPr>
              <w:pStyle w:val="ESTablebody"/>
              <w:rPr>
                <w:rFonts w:ascii="Calibri" w:hAnsi="Calibri" w:cs="Calibri"/>
                <w:sz w:val="16"/>
                <w:szCs w:val="16"/>
                <w:highlight w:val="yellow"/>
                <w:lang w:eastAsia="en-AU"/>
              </w:rPr>
            </w:pPr>
            <w:r w:rsidRPr="005734B8">
              <w:rPr>
                <w:rFonts w:ascii="Calibri" w:eastAsia="Times New Roman" w:hAnsi="Calibri" w:cs="Calibri"/>
                <w:color w:val="000000"/>
                <w:sz w:val="16"/>
                <w:szCs w:val="16"/>
                <w:lang w:eastAsia="en-AU"/>
              </w:rPr>
              <w:lastRenderedPageBreak/>
              <w:t>Monterey Secondary College (FNEP)</w:t>
            </w:r>
          </w:p>
        </w:tc>
        <w:tc>
          <w:tcPr>
            <w:tcW w:w="989" w:type="dxa"/>
            <w:tcBorders>
              <w:top w:val="single" w:sz="4" w:space="0" w:color="auto"/>
              <w:bottom w:val="single" w:sz="4" w:space="0" w:color="auto"/>
            </w:tcBorders>
            <w:shd w:val="clear" w:color="auto" w:fill="auto"/>
            <w:vAlign w:val="center"/>
          </w:tcPr>
          <w:p w14:paraId="7B25ADF0" w14:textId="11ACB02E"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30/06/2021</w:t>
            </w:r>
          </w:p>
        </w:tc>
        <w:tc>
          <w:tcPr>
            <w:tcW w:w="1027" w:type="dxa"/>
            <w:tcBorders>
              <w:top w:val="single" w:sz="4" w:space="0" w:color="auto"/>
              <w:bottom w:val="single" w:sz="4" w:space="0" w:color="auto"/>
            </w:tcBorders>
            <w:vAlign w:val="center"/>
          </w:tcPr>
          <w:p w14:paraId="6F8EC79F" w14:textId="28EF7F7F"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30/06/2021</w:t>
            </w:r>
          </w:p>
        </w:tc>
        <w:tc>
          <w:tcPr>
            <w:tcW w:w="992" w:type="dxa"/>
            <w:tcBorders>
              <w:top w:val="single" w:sz="4" w:space="0" w:color="auto"/>
              <w:bottom w:val="single" w:sz="4" w:space="0" w:color="auto"/>
            </w:tcBorders>
            <w:vAlign w:val="center"/>
          </w:tcPr>
          <w:p w14:paraId="538D0D48" w14:textId="06FAFA1D"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1/02/2021</w:t>
            </w:r>
          </w:p>
        </w:tc>
        <w:tc>
          <w:tcPr>
            <w:tcW w:w="1630" w:type="dxa"/>
            <w:tcBorders>
              <w:top w:val="single" w:sz="4" w:space="0" w:color="auto"/>
              <w:bottom w:val="single" w:sz="4" w:space="0" w:color="auto"/>
            </w:tcBorders>
            <w:vAlign w:val="center"/>
          </w:tcPr>
          <w:p w14:paraId="654359FF" w14:textId="5168C0BF" w:rsidR="000F2A77" w:rsidRPr="005734B8" w:rsidRDefault="000F2A77" w:rsidP="000F2A77">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2257" w:type="dxa"/>
            <w:tcBorders>
              <w:top w:val="single" w:sz="4" w:space="0" w:color="auto"/>
              <w:bottom w:val="single" w:sz="4" w:space="0" w:color="auto"/>
            </w:tcBorders>
            <w:shd w:val="clear" w:color="auto" w:fill="auto"/>
            <w:vAlign w:val="center"/>
          </w:tcPr>
          <w:p w14:paraId="63E0797B" w14:textId="6757FDCB" w:rsidR="000F2A77" w:rsidRPr="005734B8" w:rsidRDefault="000F2A77" w:rsidP="009D4FD6">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14,300,000</w:t>
            </w:r>
          </w:p>
        </w:tc>
        <w:tc>
          <w:tcPr>
            <w:tcW w:w="945" w:type="dxa"/>
            <w:tcBorders>
              <w:top w:val="single" w:sz="4" w:space="0" w:color="auto"/>
              <w:bottom w:val="single" w:sz="4" w:space="0" w:color="auto"/>
            </w:tcBorders>
            <w:vAlign w:val="center"/>
          </w:tcPr>
          <w:p w14:paraId="35A14877" w14:textId="7FFFA313"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14,300,000</w:t>
            </w:r>
          </w:p>
        </w:tc>
        <w:tc>
          <w:tcPr>
            <w:tcW w:w="1086" w:type="dxa"/>
            <w:tcBorders>
              <w:top w:val="single" w:sz="4" w:space="0" w:color="auto"/>
              <w:bottom w:val="single" w:sz="4" w:space="0" w:color="auto"/>
            </w:tcBorders>
            <w:vAlign w:val="center"/>
          </w:tcPr>
          <w:p w14:paraId="0765BC79" w14:textId="2B09BDBA"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12,570,000</w:t>
            </w:r>
          </w:p>
        </w:tc>
        <w:tc>
          <w:tcPr>
            <w:tcW w:w="1546" w:type="dxa"/>
            <w:tcBorders>
              <w:top w:val="single" w:sz="4" w:space="0" w:color="auto"/>
              <w:bottom w:val="single" w:sz="4" w:space="0" w:color="auto"/>
            </w:tcBorders>
            <w:vAlign w:val="center"/>
          </w:tcPr>
          <w:p w14:paraId="64FC2D1F" w14:textId="2FC054EC"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1,730,000</w:t>
            </w:r>
          </w:p>
        </w:tc>
        <w:tc>
          <w:tcPr>
            <w:tcW w:w="1419" w:type="dxa"/>
            <w:tcBorders>
              <w:top w:val="single" w:sz="4" w:space="0" w:color="auto"/>
              <w:bottom w:val="single" w:sz="4" w:space="0" w:color="auto"/>
            </w:tcBorders>
            <w:vAlign w:val="center"/>
          </w:tcPr>
          <w:p w14:paraId="395BDCD2" w14:textId="74A6D02F"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Actual TEI cost subject to project financial close in the defects liability period</w:t>
            </w:r>
          </w:p>
        </w:tc>
      </w:tr>
      <w:tr w:rsidR="000F2A77" w:rsidRPr="005734B8" w14:paraId="2BB02C8F" w14:textId="77777777" w:rsidTr="000F2A77">
        <w:trPr>
          <w:cantSplit/>
          <w:trHeight w:val="157"/>
        </w:trPr>
        <w:tc>
          <w:tcPr>
            <w:tcW w:w="2059" w:type="dxa"/>
            <w:tcBorders>
              <w:top w:val="single" w:sz="4" w:space="0" w:color="auto"/>
              <w:bottom w:val="single" w:sz="4" w:space="0" w:color="auto"/>
            </w:tcBorders>
            <w:shd w:val="clear" w:color="auto" w:fill="D9D9D6" w:themeFill="accent6"/>
            <w:vAlign w:val="center"/>
          </w:tcPr>
          <w:p w14:paraId="0E367A67" w14:textId="662FCA10" w:rsidR="000F2A77" w:rsidRPr="005734B8" w:rsidRDefault="000F2A77" w:rsidP="000F2A77">
            <w:pPr>
              <w:pStyle w:val="ESTablebody"/>
              <w:rPr>
                <w:rFonts w:ascii="Calibri" w:hAnsi="Calibri" w:cs="Calibri"/>
                <w:sz w:val="16"/>
                <w:szCs w:val="16"/>
                <w:highlight w:val="yellow"/>
                <w:lang w:eastAsia="en-AU"/>
              </w:rPr>
            </w:pPr>
            <w:r w:rsidRPr="005734B8">
              <w:rPr>
                <w:rFonts w:ascii="Calibri" w:eastAsia="Times New Roman" w:hAnsi="Calibri" w:cs="Calibri"/>
                <w:color w:val="000000"/>
                <w:sz w:val="16"/>
                <w:szCs w:val="16"/>
                <w:lang w:eastAsia="en-AU"/>
              </w:rPr>
              <w:t>Oberon High School (formerly Armstrong Creek Secondary College)</w:t>
            </w:r>
          </w:p>
        </w:tc>
        <w:tc>
          <w:tcPr>
            <w:tcW w:w="989" w:type="dxa"/>
            <w:tcBorders>
              <w:top w:val="single" w:sz="4" w:space="0" w:color="auto"/>
              <w:bottom w:val="single" w:sz="4" w:space="0" w:color="auto"/>
            </w:tcBorders>
            <w:shd w:val="clear" w:color="auto" w:fill="auto"/>
            <w:vAlign w:val="center"/>
          </w:tcPr>
          <w:p w14:paraId="5B0280E2" w14:textId="5267ACF7"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1027" w:type="dxa"/>
            <w:tcBorders>
              <w:top w:val="single" w:sz="4" w:space="0" w:color="auto"/>
              <w:bottom w:val="single" w:sz="4" w:space="0" w:color="auto"/>
            </w:tcBorders>
            <w:vAlign w:val="center"/>
          </w:tcPr>
          <w:p w14:paraId="0A17322D" w14:textId="6E6361CF"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992" w:type="dxa"/>
            <w:tcBorders>
              <w:top w:val="single" w:sz="4" w:space="0" w:color="auto"/>
              <w:bottom w:val="single" w:sz="4" w:space="0" w:color="auto"/>
            </w:tcBorders>
            <w:vAlign w:val="center"/>
          </w:tcPr>
          <w:p w14:paraId="36EC942E" w14:textId="75AC397B"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21/09/2020</w:t>
            </w:r>
          </w:p>
        </w:tc>
        <w:tc>
          <w:tcPr>
            <w:tcW w:w="1630" w:type="dxa"/>
            <w:tcBorders>
              <w:top w:val="single" w:sz="4" w:space="0" w:color="auto"/>
              <w:bottom w:val="single" w:sz="4" w:space="0" w:color="auto"/>
            </w:tcBorders>
            <w:vAlign w:val="center"/>
          </w:tcPr>
          <w:p w14:paraId="2CFD8C84" w14:textId="25BBADF9" w:rsidR="000F2A77" w:rsidRPr="005734B8" w:rsidRDefault="000F2A77" w:rsidP="000F2A77">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2257" w:type="dxa"/>
            <w:tcBorders>
              <w:top w:val="single" w:sz="4" w:space="0" w:color="auto"/>
              <w:bottom w:val="single" w:sz="4" w:space="0" w:color="auto"/>
            </w:tcBorders>
            <w:shd w:val="clear" w:color="auto" w:fill="auto"/>
            <w:vAlign w:val="center"/>
          </w:tcPr>
          <w:p w14:paraId="323881D5" w14:textId="3912C290"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 xml:space="preserve">$3.90 </w:t>
            </w:r>
            <w:r w:rsidR="009D4FD6" w:rsidRPr="005734B8">
              <w:rPr>
                <w:rFonts w:ascii="Calibri" w:eastAsia="Times New Roman" w:hAnsi="Calibri" w:cs="Calibri"/>
                <w:color w:val="000000"/>
                <w:sz w:val="16"/>
                <w:szCs w:val="16"/>
                <w:lang w:val="en-AU" w:eastAsia="en-AU"/>
              </w:rPr>
              <w:t xml:space="preserve">million was allocated </w:t>
            </w:r>
            <w:r w:rsidRPr="005734B8">
              <w:rPr>
                <w:rFonts w:ascii="Calibri" w:eastAsia="Times New Roman" w:hAnsi="Calibri" w:cs="Calibri"/>
                <w:color w:val="000000"/>
                <w:sz w:val="16"/>
                <w:szCs w:val="16"/>
                <w:lang w:val="en-AU" w:eastAsia="en-AU"/>
              </w:rPr>
              <w:t>in</w:t>
            </w:r>
            <w:r w:rsidR="009D4FD6" w:rsidRPr="005734B8">
              <w:rPr>
                <w:rFonts w:ascii="Calibri" w:eastAsia="Times New Roman" w:hAnsi="Calibri" w:cs="Calibri"/>
                <w:color w:val="000000"/>
                <w:sz w:val="16"/>
                <w:szCs w:val="16"/>
                <w:lang w:val="en-AU" w:eastAsia="en-AU"/>
              </w:rPr>
              <w:t xml:space="preserve"> the</w:t>
            </w:r>
            <w:r w:rsidRPr="005734B8">
              <w:rPr>
                <w:rFonts w:ascii="Calibri" w:eastAsia="Times New Roman" w:hAnsi="Calibri" w:cs="Calibri"/>
                <w:color w:val="000000"/>
                <w:sz w:val="16"/>
                <w:szCs w:val="16"/>
                <w:lang w:val="en-AU" w:eastAsia="en-AU"/>
              </w:rPr>
              <w:t xml:space="preserve"> 2018</w:t>
            </w:r>
            <w:r w:rsidR="009D4FD6" w:rsidRPr="005734B8">
              <w:rPr>
                <w:rFonts w:ascii="Calibri" w:eastAsia="Times New Roman" w:hAnsi="Calibri" w:cs="Calibri"/>
                <w:color w:val="000000"/>
                <w:sz w:val="16"/>
                <w:szCs w:val="16"/>
                <w:lang w:val="en-AU" w:eastAsia="en-AU"/>
              </w:rPr>
              <w:t>–</w:t>
            </w:r>
            <w:r w:rsidRPr="005734B8">
              <w:rPr>
                <w:rFonts w:ascii="Calibri" w:eastAsia="Times New Roman" w:hAnsi="Calibri" w:cs="Calibri"/>
                <w:color w:val="000000"/>
                <w:sz w:val="16"/>
                <w:szCs w:val="16"/>
                <w:lang w:val="en-AU" w:eastAsia="en-AU"/>
              </w:rPr>
              <w:t>19 Budget.</w:t>
            </w:r>
          </w:p>
          <w:p w14:paraId="16047BB2" w14:textId="005B37FA"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In the 2019–20 State Budget, the school shared in $624.8 million allocated for new schools.</w:t>
            </w:r>
          </w:p>
        </w:tc>
        <w:tc>
          <w:tcPr>
            <w:tcW w:w="945" w:type="dxa"/>
            <w:tcBorders>
              <w:top w:val="single" w:sz="4" w:space="0" w:color="auto"/>
              <w:bottom w:val="single" w:sz="4" w:space="0" w:color="auto"/>
            </w:tcBorders>
            <w:vAlign w:val="center"/>
          </w:tcPr>
          <w:p w14:paraId="450A2A0A" w14:textId="49332A84"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086" w:type="dxa"/>
            <w:tcBorders>
              <w:top w:val="single" w:sz="4" w:space="0" w:color="auto"/>
              <w:bottom w:val="single" w:sz="4" w:space="0" w:color="auto"/>
            </w:tcBorders>
            <w:vAlign w:val="center"/>
          </w:tcPr>
          <w:p w14:paraId="31FB9B53" w14:textId="60DACE48"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546" w:type="dxa"/>
            <w:tcBorders>
              <w:top w:val="single" w:sz="4" w:space="0" w:color="auto"/>
              <w:bottom w:val="single" w:sz="4" w:space="0" w:color="auto"/>
            </w:tcBorders>
            <w:vAlign w:val="center"/>
          </w:tcPr>
          <w:p w14:paraId="1C8282E4" w14:textId="3F949E03"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419" w:type="dxa"/>
            <w:tcBorders>
              <w:top w:val="single" w:sz="4" w:space="0" w:color="auto"/>
              <w:bottom w:val="single" w:sz="4" w:space="0" w:color="auto"/>
            </w:tcBorders>
            <w:vAlign w:val="center"/>
          </w:tcPr>
          <w:p w14:paraId="55E42018" w14:textId="6E97A6A6"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r>
      <w:tr w:rsidR="000F2A77" w:rsidRPr="005734B8" w14:paraId="25337851" w14:textId="77777777" w:rsidTr="000F2A77">
        <w:trPr>
          <w:cantSplit/>
          <w:trHeight w:val="535"/>
        </w:trPr>
        <w:tc>
          <w:tcPr>
            <w:tcW w:w="2059" w:type="dxa"/>
            <w:tcBorders>
              <w:top w:val="single" w:sz="4" w:space="0" w:color="auto"/>
              <w:bottom w:val="single" w:sz="4" w:space="0" w:color="auto"/>
            </w:tcBorders>
            <w:shd w:val="clear" w:color="auto" w:fill="D9D9D6" w:themeFill="accent6"/>
            <w:vAlign w:val="center"/>
          </w:tcPr>
          <w:p w14:paraId="20AA3CBF" w14:textId="5ABE45E8" w:rsidR="000F2A77" w:rsidRPr="005734B8" w:rsidRDefault="000F2A77" w:rsidP="000F2A77">
            <w:pPr>
              <w:pStyle w:val="ESTablebody"/>
              <w:rPr>
                <w:rFonts w:ascii="Calibri" w:hAnsi="Calibri" w:cs="Calibri"/>
                <w:sz w:val="16"/>
                <w:szCs w:val="16"/>
                <w:highlight w:val="yellow"/>
                <w:lang w:eastAsia="en-AU"/>
              </w:rPr>
            </w:pPr>
            <w:r w:rsidRPr="005734B8">
              <w:rPr>
                <w:rFonts w:ascii="Calibri" w:eastAsia="Times New Roman" w:hAnsi="Calibri" w:cs="Calibri"/>
                <w:color w:val="000000"/>
                <w:sz w:val="16"/>
                <w:szCs w:val="16"/>
                <w:lang w:eastAsia="en-AU"/>
              </w:rPr>
              <w:t>Orchard Park Primary School (formerly Timbertop Primary School)</w:t>
            </w:r>
          </w:p>
        </w:tc>
        <w:tc>
          <w:tcPr>
            <w:tcW w:w="989" w:type="dxa"/>
            <w:tcBorders>
              <w:top w:val="single" w:sz="4" w:space="0" w:color="auto"/>
              <w:bottom w:val="single" w:sz="4" w:space="0" w:color="auto"/>
            </w:tcBorders>
            <w:shd w:val="clear" w:color="auto" w:fill="auto"/>
            <w:vAlign w:val="center"/>
          </w:tcPr>
          <w:p w14:paraId="3DE93A36" w14:textId="508CAD52"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1027" w:type="dxa"/>
            <w:tcBorders>
              <w:top w:val="single" w:sz="4" w:space="0" w:color="auto"/>
              <w:bottom w:val="single" w:sz="4" w:space="0" w:color="auto"/>
            </w:tcBorders>
            <w:vAlign w:val="center"/>
          </w:tcPr>
          <w:p w14:paraId="376B06C1" w14:textId="3FE20D0A"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992" w:type="dxa"/>
            <w:tcBorders>
              <w:top w:val="single" w:sz="4" w:space="0" w:color="auto"/>
              <w:bottom w:val="single" w:sz="4" w:space="0" w:color="auto"/>
            </w:tcBorders>
            <w:vAlign w:val="center"/>
          </w:tcPr>
          <w:p w14:paraId="1FEEEB7D" w14:textId="5E1B01D6"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5/11/2020</w:t>
            </w:r>
          </w:p>
        </w:tc>
        <w:tc>
          <w:tcPr>
            <w:tcW w:w="1630" w:type="dxa"/>
            <w:tcBorders>
              <w:top w:val="single" w:sz="4" w:space="0" w:color="auto"/>
              <w:bottom w:val="single" w:sz="4" w:space="0" w:color="auto"/>
            </w:tcBorders>
            <w:vAlign w:val="center"/>
          </w:tcPr>
          <w:p w14:paraId="2BCCD7EE" w14:textId="2C8DDB3A" w:rsidR="000F2A77" w:rsidRPr="005734B8" w:rsidRDefault="000F2A77" w:rsidP="000F2A77">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2257" w:type="dxa"/>
            <w:tcBorders>
              <w:top w:val="single" w:sz="4" w:space="0" w:color="auto"/>
              <w:bottom w:val="single" w:sz="4" w:space="0" w:color="auto"/>
            </w:tcBorders>
            <w:shd w:val="clear" w:color="auto" w:fill="auto"/>
            <w:vAlign w:val="center"/>
          </w:tcPr>
          <w:p w14:paraId="6C847DCE" w14:textId="1548577C"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In the 2019–20 State Budget, the school shared in $624.8 million allocated for new schools.</w:t>
            </w:r>
          </w:p>
        </w:tc>
        <w:tc>
          <w:tcPr>
            <w:tcW w:w="945" w:type="dxa"/>
            <w:tcBorders>
              <w:top w:val="single" w:sz="4" w:space="0" w:color="auto"/>
              <w:bottom w:val="single" w:sz="4" w:space="0" w:color="auto"/>
            </w:tcBorders>
            <w:vAlign w:val="center"/>
          </w:tcPr>
          <w:p w14:paraId="31DB3874" w14:textId="481BE01C"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086" w:type="dxa"/>
            <w:tcBorders>
              <w:top w:val="single" w:sz="4" w:space="0" w:color="auto"/>
              <w:bottom w:val="single" w:sz="4" w:space="0" w:color="auto"/>
            </w:tcBorders>
            <w:vAlign w:val="center"/>
          </w:tcPr>
          <w:p w14:paraId="42119448" w14:textId="4CD60367"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546" w:type="dxa"/>
            <w:tcBorders>
              <w:top w:val="single" w:sz="4" w:space="0" w:color="auto"/>
              <w:bottom w:val="single" w:sz="4" w:space="0" w:color="auto"/>
            </w:tcBorders>
            <w:vAlign w:val="center"/>
          </w:tcPr>
          <w:p w14:paraId="37725557" w14:textId="3BEDAD8F"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419" w:type="dxa"/>
            <w:tcBorders>
              <w:top w:val="single" w:sz="4" w:space="0" w:color="auto"/>
              <w:bottom w:val="single" w:sz="4" w:space="0" w:color="auto"/>
            </w:tcBorders>
            <w:vAlign w:val="center"/>
          </w:tcPr>
          <w:p w14:paraId="3840B383" w14:textId="24B2CBC0"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r>
      <w:tr w:rsidR="000F2A77" w:rsidRPr="005734B8" w14:paraId="06185592" w14:textId="77777777" w:rsidTr="009D4FD6">
        <w:trPr>
          <w:cantSplit/>
          <w:trHeight w:val="433"/>
        </w:trPr>
        <w:tc>
          <w:tcPr>
            <w:tcW w:w="2059" w:type="dxa"/>
            <w:tcBorders>
              <w:top w:val="single" w:sz="4" w:space="0" w:color="auto"/>
              <w:bottom w:val="single" w:sz="4" w:space="0" w:color="auto"/>
            </w:tcBorders>
            <w:shd w:val="clear" w:color="auto" w:fill="D9D9D6" w:themeFill="accent6"/>
            <w:vAlign w:val="center"/>
          </w:tcPr>
          <w:p w14:paraId="429B7918" w14:textId="72C41366" w:rsidR="000F2A77" w:rsidRPr="005734B8" w:rsidRDefault="000F2A77" w:rsidP="000F2A77">
            <w:pPr>
              <w:pStyle w:val="ESTablebody"/>
              <w:rPr>
                <w:rFonts w:ascii="Calibri" w:hAnsi="Calibri" w:cs="Calibri"/>
                <w:sz w:val="16"/>
                <w:szCs w:val="16"/>
                <w:highlight w:val="yellow"/>
                <w:lang w:eastAsia="en-AU"/>
              </w:rPr>
            </w:pPr>
            <w:r w:rsidRPr="005734B8">
              <w:rPr>
                <w:rFonts w:ascii="Calibri" w:eastAsia="Times New Roman" w:hAnsi="Calibri" w:cs="Calibri"/>
                <w:color w:val="000000"/>
                <w:sz w:val="16"/>
                <w:szCs w:val="16"/>
                <w:lang w:eastAsia="en-AU"/>
              </w:rPr>
              <w:t>Preston High School - Stage 2</w:t>
            </w:r>
          </w:p>
        </w:tc>
        <w:tc>
          <w:tcPr>
            <w:tcW w:w="989" w:type="dxa"/>
            <w:tcBorders>
              <w:top w:val="single" w:sz="4" w:space="0" w:color="auto"/>
              <w:bottom w:val="single" w:sz="4" w:space="0" w:color="auto"/>
            </w:tcBorders>
            <w:shd w:val="clear" w:color="auto" w:fill="auto"/>
            <w:vAlign w:val="center"/>
          </w:tcPr>
          <w:p w14:paraId="61815400" w14:textId="67293367"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30/09/2021</w:t>
            </w:r>
          </w:p>
        </w:tc>
        <w:tc>
          <w:tcPr>
            <w:tcW w:w="1027" w:type="dxa"/>
            <w:tcBorders>
              <w:top w:val="single" w:sz="4" w:space="0" w:color="auto"/>
              <w:bottom w:val="single" w:sz="4" w:space="0" w:color="auto"/>
            </w:tcBorders>
            <w:vAlign w:val="center"/>
          </w:tcPr>
          <w:p w14:paraId="39806C60" w14:textId="32A5E04B"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30/09/2021</w:t>
            </w:r>
          </w:p>
        </w:tc>
        <w:tc>
          <w:tcPr>
            <w:tcW w:w="992" w:type="dxa"/>
            <w:tcBorders>
              <w:top w:val="single" w:sz="4" w:space="0" w:color="auto"/>
              <w:bottom w:val="single" w:sz="4" w:space="0" w:color="auto"/>
            </w:tcBorders>
            <w:vAlign w:val="center"/>
          </w:tcPr>
          <w:p w14:paraId="0ECA79B1" w14:textId="209A69FA"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7/07/2020</w:t>
            </w:r>
          </w:p>
        </w:tc>
        <w:tc>
          <w:tcPr>
            <w:tcW w:w="1630" w:type="dxa"/>
            <w:tcBorders>
              <w:top w:val="single" w:sz="4" w:space="0" w:color="auto"/>
              <w:bottom w:val="single" w:sz="4" w:space="0" w:color="auto"/>
            </w:tcBorders>
            <w:vAlign w:val="center"/>
          </w:tcPr>
          <w:p w14:paraId="08AB347A" w14:textId="3F74F27B" w:rsidR="000F2A77" w:rsidRPr="005734B8" w:rsidRDefault="000F2A77" w:rsidP="000F2A77">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2257" w:type="dxa"/>
            <w:tcBorders>
              <w:top w:val="single" w:sz="4" w:space="0" w:color="auto"/>
              <w:bottom w:val="single" w:sz="4" w:space="0" w:color="auto"/>
            </w:tcBorders>
            <w:shd w:val="clear" w:color="auto" w:fill="auto"/>
            <w:vAlign w:val="center"/>
          </w:tcPr>
          <w:p w14:paraId="2B08D023" w14:textId="02F41511" w:rsidR="000F2A77" w:rsidRPr="005734B8" w:rsidRDefault="000F2A77" w:rsidP="009D4FD6">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10,630,000</w:t>
            </w:r>
          </w:p>
        </w:tc>
        <w:tc>
          <w:tcPr>
            <w:tcW w:w="945" w:type="dxa"/>
            <w:tcBorders>
              <w:top w:val="single" w:sz="4" w:space="0" w:color="auto"/>
              <w:bottom w:val="single" w:sz="4" w:space="0" w:color="auto"/>
            </w:tcBorders>
            <w:vAlign w:val="center"/>
          </w:tcPr>
          <w:p w14:paraId="0C25A1D0" w14:textId="5A2CFFE2"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10,630,000</w:t>
            </w:r>
          </w:p>
        </w:tc>
        <w:tc>
          <w:tcPr>
            <w:tcW w:w="1086" w:type="dxa"/>
            <w:tcBorders>
              <w:top w:val="single" w:sz="4" w:space="0" w:color="auto"/>
              <w:bottom w:val="single" w:sz="4" w:space="0" w:color="auto"/>
            </w:tcBorders>
            <w:vAlign w:val="center"/>
          </w:tcPr>
          <w:p w14:paraId="1ABD6CE6" w14:textId="3286185F"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10,630,000</w:t>
            </w:r>
          </w:p>
        </w:tc>
        <w:tc>
          <w:tcPr>
            <w:tcW w:w="1546" w:type="dxa"/>
            <w:tcBorders>
              <w:top w:val="single" w:sz="4" w:space="0" w:color="auto"/>
              <w:bottom w:val="single" w:sz="4" w:space="0" w:color="auto"/>
            </w:tcBorders>
            <w:vAlign w:val="center"/>
          </w:tcPr>
          <w:p w14:paraId="70078034" w14:textId="521D5A79"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419" w:type="dxa"/>
            <w:tcBorders>
              <w:top w:val="single" w:sz="4" w:space="0" w:color="auto"/>
              <w:bottom w:val="single" w:sz="4" w:space="0" w:color="auto"/>
            </w:tcBorders>
            <w:vAlign w:val="center"/>
          </w:tcPr>
          <w:p w14:paraId="6ACE441F" w14:textId="5BCFBE63"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r>
      <w:tr w:rsidR="000F2A77" w:rsidRPr="005734B8" w14:paraId="20429A70" w14:textId="77777777" w:rsidTr="000F2A77">
        <w:trPr>
          <w:cantSplit/>
          <w:trHeight w:val="385"/>
        </w:trPr>
        <w:tc>
          <w:tcPr>
            <w:tcW w:w="2059" w:type="dxa"/>
            <w:tcBorders>
              <w:top w:val="single" w:sz="4" w:space="0" w:color="auto"/>
              <w:bottom w:val="single" w:sz="4" w:space="0" w:color="auto"/>
            </w:tcBorders>
            <w:shd w:val="clear" w:color="auto" w:fill="D9D9D6" w:themeFill="accent6"/>
            <w:vAlign w:val="center"/>
          </w:tcPr>
          <w:p w14:paraId="6E9782B3" w14:textId="72A486AA" w:rsidR="000F2A77" w:rsidRPr="005734B8" w:rsidRDefault="000F2A77" w:rsidP="000F2A77">
            <w:pPr>
              <w:pStyle w:val="ESTablebody"/>
              <w:rPr>
                <w:rFonts w:ascii="Calibri" w:hAnsi="Calibri" w:cs="Calibri"/>
                <w:sz w:val="16"/>
                <w:szCs w:val="16"/>
                <w:highlight w:val="yellow"/>
                <w:lang w:eastAsia="en-AU"/>
              </w:rPr>
            </w:pPr>
            <w:r w:rsidRPr="005734B8">
              <w:rPr>
                <w:rFonts w:ascii="Calibri" w:eastAsia="Times New Roman" w:hAnsi="Calibri" w:cs="Calibri"/>
                <w:color w:val="000000"/>
                <w:sz w:val="16"/>
                <w:szCs w:val="16"/>
                <w:lang w:eastAsia="en-AU"/>
              </w:rPr>
              <w:t>Ramlegh Park Primary School (formerly Thoroughbred Primary School)</w:t>
            </w:r>
          </w:p>
        </w:tc>
        <w:tc>
          <w:tcPr>
            <w:tcW w:w="989" w:type="dxa"/>
            <w:tcBorders>
              <w:top w:val="single" w:sz="4" w:space="0" w:color="auto"/>
              <w:bottom w:val="single" w:sz="4" w:space="0" w:color="auto"/>
            </w:tcBorders>
            <w:shd w:val="clear" w:color="auto" w:fill="auto"/>
            <w:vAlign w:val="center"/>
          </w:tcPr>
          <w:p w14:paraId="457E03DD" w14:textId="2CCF22A4"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1027" w:type="dxa"/>
            <w:tcBorders>
              <w:top w:val="single" w:sz="4" w:space="0" w:color="auto"/>
              <w:bottom w:val="single" w:sz="4" w:space="0" w:color="auto"/>
            </w:tcBorders>
            <w:vAlign w:val="center"/>
          </w:tcPr>
          <w:p w14:paraId="0E67126D" w14:textId="2170C339"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992" w:type="dxa"/>
            <w:tcBorders>
              <w:top w:val="single" w:sz="4" w:space="0" w:color="auto"/>
              <w:bottom w:val="single" w:sz="4" w:space="0" w:color="auto"/>
            </w:tcBorders>
            <w:vAlign w:val="center"/>
          </w:tcPr>
          <w:p w14:paraId="233A8A9C" w14:textId="7DFE2CC8"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27/11/2020</w:t>
            </w:r>
          </w:p>
        </w:tc>
        <w:tc>
          <w:tcPr>
            <w:tcW w:w="1630" w:type="dxa"/>
            <w:tcBorders>
              <w:top w:val="single" w:sz="4" w:space="0" w:color="auto"/>
              <w:bottom w:val="single" w:sz="4" w:space="0" w:color="auto"/>
            </w:tcBorders>
            <w:vAlign w:val="center"/>
          </w:tcPr>
          <w:p w14:paraId="17E44031" w14:textId="5167F353" w:rsidR="000F2A77" w:rsidRPr="005734B8" w:rsidRDefault="000F2A77" w:rsidP="000F2A77">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2257" w:type="dxa"/>
            <w:tcBorders>
              <w:top w:val="single" w:sz="4" w:space="0" w:color="auto"/>
              <w:bottom w:val="single" w:sz="4" w:space="0" w:color="auto"/>
            </w:tcBorders>
            <w:shd w:val="clear" w:color="auto" w:fill="auto"/>
            <w:vAlign w:val="center"/>
          </w:tcPr>
          <w:p w14:paraId="2A7F5026" w14:textId="24F2924A"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In the 2019–20 State Budget, the school shared in $624.8 million allocated for new schools.</w:t>
            </w:r>
          </w:p>
        </w:tc>
        <w:tc>
          <w:tcPr>
            <w:tcW w:w="945" w:type="dxa"/>
            <w:tcBorders>
              <w:top w:val="single" w:sz="4" w:space="0" w:color="auto"/>
              <w:bottom w:val="single" w:sz="4" w:space="0" w:color="auto"/>
            </w:tcBorders>
            <w:vAlign w:val="center"/>
          </w:tcPr>
          <w:p w14:paraId="71328C0E" w14:textId="4391537E"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086" w:type="dxa"/>
            <w:tcBorders>
              <w:top w:val="single" w:sz="4" w:space="0" w:color="auto"/>
              <w:bottom w:val="single" w:sz="4" w:space="0" w:color="auto"/>
            </w:tcBorders>
            <w:vAlign w:val="center"/>
          </w:tcPr>
          <w:p w14:paraId="3B33F583" w14:textId="25F7FFC9"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546" w:type="dxa"/>
            <w:tcBorders>
              <w:top w:val="single" w:sz="4" w:space="0" w:color="auto"/>
              <w:bottom w:val="single" w:sz="4" w:space="0" w:color="auto"/>
            </w:tcBorders>
            <w:vAlign w:val="center"/>
          </w:tcPr>
          <w:p w14:paraId="535E8951" w14:textId="5632C4F6"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419" w:type="dxa"/>
            <w:tcBorders>
              <w:top w:val="single" w:sz="4" w:space="0" w:color="auto"/>
              <w:bottom w:val="single" w:sz="4" w:space="0" w:color="auto"/>
            </w:tcBorders>
            <w:vAlign w:val="center"/>
          </w:tcPr>
          <w:p w14:paraId="6CC6C363" w14:textId="6986910D"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r>
      <w:tr w:rsidR="000F2A77" w:rsidRPr="005734B8" w14:paraId="4481079B" w14:textId="77777777" w:rsidTr="000F2A77">
        <w:trPr>
          <w:cantSplit/>
          <w:trHeight w:val="478"/>
        </w:trPr>
        <w:tc>
          <w:tcPr>
            <w:tcW w:w="2059" w:type="dxa"/>
            <w:tcBorders>
              <w:top w:val="single" w:sz="4" w:space="0" w:color="auto"/>
              <w:bottom w:val="single" w:sz="4" w:space="0" w:color="auto"/>
            </w:tcBorders>
            <w:shd w:val="clear" w:color="auto" w:fill="D9D9D6" w:themeFill="accent6"/>
            <w:vAlign w:val="center"/>
          </w:tcPr>
          <w:p w14:paraId="362B7CB3" w14:textId="5B8734AF" w:rsidR="000F2A77" w:rsidRPr="005734B8" w:rsidRDefault="000F2A77" w:rsidP="000F2A77">
            <w:pPr>
              <w:pStyle w:val="ESTablebody"/>
              <w:rPr>
                <w:rFonts w:ascii="Calibri" w:hAnsi="Calibri" w:cs="Calibri"/>
                <w:sz w:val="16"/>
                <w:szCs w:val="16"/>
                <w:highlight w:val="yellow"/>
                <w:lang w:eastAsia="en-AU"/>
              </w:rPr>
            </w:pPr>
            <w:r w:rsidRPr="005734B8">
              <w:rPr>
                <w:rFonts w:ascii="Calibri" w:eastAsia="Times New Roman" w:hAnsi="Calibri" w:cs="Calibri"/>
                <w:color w:val="000000"/>
                <w:sz w:val="16"/>
                <w:szCs w:val="16"/>
                <w:lang w:eastAsia="en-AU"/>
              </w:rPr>
              <w:t>Riverbend Primary School (formerly Wollahra Primary School)</w:t>
            </w:r>
          </w:p>
        </w:tc>
        <w:tc>
          <w:tcPr>
            <w:tcW w:w="989" w:type="dxa"/>
            <w:tcBorders>
              <w:top w:val="single" w:sz="4" w:space="0" w:color="auto"/>
              <w:bottom w:val="single" w:sz="4" w:space="0" w:color="auto"/>
            </w:tcBorders>
            <w:shd w:val="clear" w:color="auto" w:fill="auto"/>
            <w:vAlign w:val="center"/>
          </w:tcPr>
          <w:p w14:paraId="3D5BB9D7" w14:textId="6CFD153B"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1027" w:type="dxa"/>
            <w:tcBorders>
              <w:top w:val="single" w:sz="4" w:space="0" w:color="auto"/>
              <w:bottom w:val="single" w:sz="4" w:space="0" w:color="auto"/>
            </w:tcBorders>
            <w:vAlign w:val="center"/>
          </w:tcPr>
          <w:p w14:paraId="02F54CA5" w14:textId="44247BB5"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31/03/2021</w:t>
            </w:r>
          </w:p>
        </w:tc>
        <w:tc>
          <w:tcPr>
            <w:tcW w:w="992" w:type="dxa"/>
            <w:tcBorders>
              <w:top w:val="single" w:sz="4" w:space="0" w:color="auto"/>
              <w:bottom w:val="single" w:sz="4" w:space="0" w:color="auto"/>
            </w:tcBorders>
            <w:vAlign w:val="center"/>
          </w:tcPr>
          <w:p w14:paraId="1789F9C3" w14:textId="46AAB196"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24/11/2020</w:t>
            </w:r>
          </w:p>
        </w:tc>
        <w:tc>
          <w:tcPr>
            <w:tcW w:w="1630" w:type="dxa"/>
            <w:tcBorders>
              <w:top w:val="single" w:sz="4" w:space="0" w:color="auto"/>
              <w:bottom w:val="single" w:sz="4" w:space="0" w:color="auto"/>
            </w:tcBorders>
            <w:vAlign w:val="center"/>
          </w:tcPr>
          <w:p w14:paraId="233F5A94" w14:textId="2CE0B38E" w:rsidR="000F2A77" w:rsidRPr="005734B8" w:rsidRDefault="000F2A77" w:rsidP="000F2A77">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2257" w:type="dxa"/>
            <w:tcBorders>
              <w:top w:val="single" w:sz="4" w:space="0" w:color="auto"/>
              <w:bottom w:val="single" w:sz="4" w:space="0" w:color="auto"/>
            </w:tcBorders>
            <w:shd w:val="clear" w:color="auto" w:fill="auto"/>
            <w:vAlign w:val="center"/>
          </w:tcPr>
          <w:p w14:paraId="508294BD" w14:textId="0238B0BE"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In the 2019–20 State Budget, the school shared in $624.8 million allocated for new schools.</w:t>
            </w:r>
          </w:p>
        </w:tc>
        <w:tc>
          <w:tcPr>
            <w:tcW w:w="945" w:type="dxa"/>
            <w:tcBorders>
              <w:top w:val="single" w:sz="4" w:space="0" w:color="auto"/>
              <w:bottom w:val="single" w:sz="4" w:space="0" w:color="auto"/>
            </w:tcBorders>
            <w:vAlign w:val="center"/>
          </w:tcPr>
          <w:p w14:paraId="3C91009C" w14:textId="726954B3"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086" w:type="dxa"/>
            <w:tcBorders>
              <w:top w:val="single" w:sz="4" w:space="0" w:color="auto"/>
              <w:bottom w:val="single" w:sz="4" w:space="0" w:color="auto"/>
            </w:tcBorders>
            <w:vAlign w:val="center"/>
          </w:tcPr>
          <w:p w14:paraId="21D1345E" w14:textId="7FCE1889"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546" w:type="dxa"/>
            <w:tcBorders>
              <w:top w:val="single" w:sz="4" w:space="0" w:color="auto"/>
              <w:bottom w:val="single" w:sz="4" w:space="0" w:color="auto"/>
            </w:tcBorders>
            <w:vAlign w:val="center"/>
          </w:tcPr>
          <w:p w14:paraId="71D2CFDD" w14:textId="45B81591"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419" w:type="dxa"/>
            <w:tcBorders>
              <w:top w:val="single" w:sz="4" w:space="0" w:color="auto"/>
              <w:bottom w:val="single" w:sz="4" w:space="0" w:color="auto"/>
            </w:tcBorders>
            <w:vAlign w:val="center"/>
          </w:tcPr>
          <w:p w14:paraId="3F7D49B2" w14:textId="0A789630"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r>
      <w:tr w:rsidR="000F2A77" w:rsidRPr="005734B8" w14:paraId="6A280CF5" w14:textId="77777777" w:rsidTr="009D4FD6">
        <w:trPr>
          <w:cantSplit/>
          <w:trHeight w:val="572"/>
        </w:trPr>
        <w:tc>
          <w:tcPr>
            <w:tcW w:w="2059" w:type="dxa"/>
            <w:tcBorders>
              <w:top w:val="single" w:sz="4" w:space="0" w:color="auto"/>
              <w:bottom w:val="single" w:sz="4" w:space="0" w:color="auto"/>
            </w:tcBorders>
            <w:shd w:val="clear" w:color="auto" w:fill="D9D9D6" w:themeFill="accent6"/>
            <w:vAlign w:val="center"/>
          </w:tcPr>
          <w:p w14:paraId="250DAC43" w14:textId="234FF8A6" w:rsidR="000F2A77" w:rsidRPr="005734B8" w:rsidRDefault="000F2A77" w:rsidP="000F2A77">
            <w:pPr>
              <w:pStyle w:val="ESTablebody"/>
              <w:rPr>
                <w:rFonts w:ascii="Calibri" w:hAnsi="Calibri" w:cs="Calibri"/>
                <w:sz w:val="16"/>
                <w:szCs w:val="16"/>
                <w:highlight w:val="yellow"/>
                <w:lang w:eastAsia="en-AU"/>
              </w:rPr>
            </w:pPr>
            <w:r w:rsidRPr="005734B8">
              <w:rPr>
                <w:rFonts w:ascii="Calibri" w:eastAsia="Times New Roman" w:hAnsi="Calibri" w:cs="Calibri"/>
                <w:color w:val="000000"/>
                <w:sz w:val="16"/>
                <w:szCs w:val="16"/>
                <w:lang w:eastAsia="en-AU"/>
              </w:rPr>
              <w:t>Yarrabah School</w:t>
            </w:r>
          </w:p>
        </w:tc>
        <w:tc>
          <w:tcPr>
            <w:tcW w:w="989" w:type="dxa"/>
            <w:tcBorders>
              <w:top w:val="single" w:sz="4" w:space="0" w:color="auto"/>
              <w:bottom w:val="single" w:sz="4" w:space="0" w:color="auto"/>
            </w:tcBorders>
            <w:shd w:val="clear" w:color="auto" w:fill="auto"/>
            <w:vAlign w:val="center"/>
          </w:tcPr>
          <w:p w14:paraId="18964FD9" w14:textId="4E02C3C2"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31/12/2020</w:t>
            </w:r>
          </w:p>
        </w:tc>
        <w:tc>
          <w:tcPr>
            <w:tcW w:w="1027" w:type="dxa"/>
            <w:tcBorders>
              <w:top w:val="single" w:sz="4" w:space="0" w:color="auto"/>
              <w:bottom w:val="single" w:sz="4" w:space="0" w:color="auto"/>
            </w:tcBorders>
            <w:vAlign w:val="center"/>
          </w:tcPr>
          <w:p w14:paraId="5981F293" w14:textId="5B1CBFF1"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31/12/2020</w:t>
            </w:r>
          </w:p>
        </w:tc>
        <w:tc>
          <w:tcPr>
            <w:tcW w:w="992" w:type="dxa"/>
            <w:tcBorders>
              <w:top w:val="single" w:sz="4" w:space="0" w:color="auto"/>
              <w:bottom w:val="single" w:sz="4" w:space="0" w:color="auto"/>
            </w:tcBorders>
            <w:vAlign w:val="center"/>
          </w:tcPr>
          <w:p w14:paraId="6943DAD3" w14:textId="78FC71EA"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22/01/2021</w:t>
            </w:r>
          </w:p>
        </w:tc>
        <w:tc>
          <w:tcPr>
            <w:tcW w:w="1630" w:type="dxa"/>
            <w:tcBorders>
              <w:top w:val="single" w:sz="4" w:space="0" w:color="auto"/>
              <w:bottom w:val="single" w:sz="4" w:space="0" w:color="auto"/>
            </w:tcBorders>
            <w:vAlign w:val="center"/>
          </w:tcPr>
          <w:p w14:paraId="6B2EC04B" w14:textId="07AB1765" w:rsidR="000F2A77" w:rsidRPr="005734B8" w:rsidRDefault="000F2A77" w:rsidP="000F2A77">
            <w:pPr>
              <w:pStyle w:val="ESTablenumberrightaligned"/>
              <w:jc w:val="left"/>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Stage 4 lockdown restrictions limited the number of contractors on-site, which delayed the project by three weeks.</w:t>
            </w:r>
          </w:p>
        </w:tc>
        <w:tc>
          <w:tcPr>
            <w:tcW w:w="2257" w:type="dxa"/>
            <w:tcBorders>
              <w:top w:val="single" w:sz="4" w:space="0" w:color="auto"/>
              <w:bottom w:val="single" w:sz="4" w:space="0" w:color="auto"/>
            </w:tcBorders>
            <w:shd w:val="clear" w:color="auto" w:fill="auto"/>
            <w:vAlign w:val="center"/>
          </w:tcPr>
          <w:p w14:paraId="7B93EFCF" w14:textId="136283AF" w:rsidR="000F2A77" w:rsidRPr="005734B8" w:rsidRDefault="000F2A77" w:rsidP="009D4FD6">
            <w:pPr>
              <w:pStyle w:val="ESTablenumberrightaligned"/>
              <w:jc w:val="center"/>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20,560,000</w:t>
            </w:r>
          </w:p>
        </w:tc>
        <w:tc>
          <w:tcPr>
            <w:tcW w:w="945" w:type="dxa"/>
            <w:tcBorders>
              <w:top w:val="single" w:sz="4" w:space="0" w:color="auto"/>
              <w:bottom w:val="single" w:sz="4" w:space="0" w:color="auto"/>
            </w:tcBorders>
            <w:vAlign w:val="center"/>
          </w:tcPr>
          <w:p w14:paraId="7563CE0F" w14:textId="7416DCEF"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21,060,000</w:t>
            </w:r>
          </w:p>
        </w:tc>
        <w:tc>
          <w:tcPr>
            <w:tcW w:w="1086" w:type="dxa"/>
            <w:tcBorders>
              <w:top w:val="single" w:sz="4" w:space="0" w:color="auto"/>
              <w:bottom w:val="single" w:sz="4" w:space="0" w:color="auto"/>
            </w:tcBorders>
            <w:vAlign w:val="center"/>
          </w:tcPr>
          <w:p w14:paraId="10E50B04" w14:textId="3510DBE0"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21,060,000</w:t>
            </w:r>
          </w:p>
        </w:tc>
        <w:tc>
          <w:tcPr>
            <w:tcW w:w="1546" w:type="dxa"/>
            <w:tcBorders>
              <w:top w:val="single" w:sz="4" w:space="0" w:color="auto"/>
              <w:bottom w:val="single" w:sz="4" w:space="0" w:color="auto"/>
            </w:tcBorders>
            <w:vAlign w:val="center"/>
          </w:tcPr>
          <w:p w14:paraId="3DE44BC8" w14:textId="73B8F82C"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c>
          <w:tcPr>
            <w:tcW w:w="1419" w:type="dxa"/>
            <w:tcBorders>
              <w:top w:val="single" w:sz="4" w:space="0" w:color="auto"/>
              <w:bottom w:val="single" w:sz="4" w:space="0" w:color="auto"/>
            </w:tcBorders>
            <w:vAlign w:val="center"/>
          </w:tcPr>
          <w:p w14:paraId="7A3BFB63" w14:textId="4A5A7289" w:rsidR="000F2A77" w:rsidRPr="005734B8" w:rsidRDefault="000F2A77" w:rsidP="000F2A77">
            <w:pPr>
              <w:pStyle w:val="ESTablenumberrightaligned"/>
              <w:rPr>
                <w:rFonts w:ascii="Calibri" w:eastAsia="Times New Roman" w:hAnsi="Calibri" w:cs="Calibri"/>
                <w:color w:val="000000"/>
                <w:sz w:val="16"/>
                <w:szCs w:val="16"/>
                <w:lang w:val="en-AU" w:eastAsia="en-AU"/>
              </w:rPr>
            </w:pPr>
            <w:r w:rsidRPr="005734B8">
              <w:rPr>
                <w:rFonts w:ascii="Calibri" w:eastAsia="Times New Roman" w:hAnsi="Calibri" w:cs="Calibri"/>
                <w:color w:val="000000"/>
                <w:sz w:val="16"/>
                <w:szCs w:val="16"/>
                <w:lang w:val="en-AU" w:eastAsia="en-AU"/>
              </w:rPr>
              <w:t>–</w:t>
            </w:r>
          </w:p>
        </w:tc>
      </w:tr>
    </w:tbl>
    <w:p w14:paraId="7067AFCE" w14:textId="77777777" w:rsidR="007E5854" w:rsidRPr="005734B8" w:rsidRDefault="007E5854" w:rsidP="007E5854">
      <w:pPr>
        <w:pStyle w:val="H3"/>
        <w:rPr>
          <w:rFonts w:ascii="Calibri" w:hAnsi="Calibri" w:cs="Calibri"/>
          <w:highlight w:val="yellow"/>
        </w:rPr>
        <w:sectPr w:rsidR="007E5854" w:rsidRPr="005734B8" w:rsidSect="006E343C">
          <w:pgSz w:w="16840" w:h="11900" w:orient="landscape"/>
          <w:pgMar w:top="1418" w:right="1440" w:bottom="1134" w:left="1440" w:header="708" w:footer="708" w:gutter="0"/>
          <w:cols w:space="708"/>
          <w:docGrid w:linePitch="360"/>
        </w:sectPr>
      </w:pPr>
    </w:p>
    <w:p w14:paraId="1CCF233E" w14:textId="77777777" w:rsidR="00945B17" w:rsidRPr="005734B8" w:rsidRDefault="00945B17" w:rsidP="00945B17">
      <w:pPr>
        <w:pStyle w:val="ESHeading1"/>
        <w:rPr>
          <w:rFonts w:ascii="Calibri" w:hAnsi="Calibri" w:cs="Calibri"/>
        </w:rPr>
      </w:pPr>
      <w:bookmarkStart w:id="275" w:name="_Toc10208705"/>
      <w:bookmarkStart w:id="276" w:name="_Toc11158178"/>
      <w:bookmarkStart w:id="277" w:name="_Toc11336185"/>
      <w:bookmarkStart w:id="278" w:name="_Toc13656670"/>
      <w:bookmarkStart w:id="279" w:name="_Toc14965409"/>
      <w:bookmarkStart w:id="280" w:name="_Toc15985256"/>
      <w:bookmarkStart w:id="281" w:name="_Toc19271988"/>
      <w:bookmarkStart w:id="282" w:name="_Toc19272354"/>
      <w:bookmarkStart w:id="283" w:name="_Toc19273689"/>
      <w:bookmarkStart w:id="284" w:name="_Toc48402776"/>
      <w:bookmarkStart w:id="285" w:name="_Toc48403013"/>
      <w:bookmarkStart w:id="286" w:name="_Toc51332756"/>
      <w:bookmarkStart w:id="287" w:name="_Toc71208220"/>
      <w:bookmarkStart w:id="288" w:name="_Toc81315320"/>
      <w:bookmarkStart w:id="289" w:name="_Toc10208706"/>
      <w:bookmarkStart w:id="290" w:name="_Toc11158182"/>
      <w:bookmarkStart w:id="291" w:name="_Toc11336189"/>
      <w:bookmarkStart w:id="292" w:name="_Toc13656672"/>
      <w:bookmarkStart w:id="293" w:name="_Toc14965413"/>
      <w:bookmarkStart w:id="294" w:name="_Toc15985258"/>
      <w:r w:rsidRPr="005734B8">
        <w:rPr>
          <w:rFonts w:ascii="Calibri" w:hAnsi="Calibri" w:cs="Calibri"/>
        </w:rPr>
        <w:lastRenderedPageBreak/>
        <w:t>Governance and organisational structure</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5187D152" w14:textId="77777777" w:rsidR="00945B17" w:rsidRPr="005734B8" w:rsidRDefault="00945B17" w:rsidP="00945B17">
      <w:pPr>
        <w:pStyle w:val="ESHeading2"/>
        <w:rPr>
          <w:rFonts w:ascii="Calibri" w:hAnsi="Calibri" w:cs="Calibri"/>
        </w:rPr>
      </w:pPr>
      <w:bookmarkStart w:id="295" w:name="_Toc11158179"/>
      <w:bookmarkStart w:id="296" w:name="_Toc11336186"/>
      <w:bookmarkStart w:id="297" w:name="_Toc13656671"/>
      <w:bookmarkStart w:id="298" w:name="_Toc14965410"/>
      <w:bookmarkStart w:id="299" w:name="_Toc15985257"/>
      <w:bookmarkStart w:id="300" w:name="_Toc19271989"/>
      <w:bookmarkStart w:id="301" w:name="_Toc19272355"/>
      <w:bookmarkStart w:id="302" w:name="_Toc19273690"/>
      <w:bookmarkStart w:id="303" w:name="_Toc48402777"/>
      <w:bookmarkStart w:id="304" w:name="_Toc48403014"/>
      <w:bookmarkStart w:id="305" w:name="_Toc51332757"/>
      <w:bookmarkStart w:id="306" w:name="_Toc71208221"/>
      <w:bookmarkStart w:id="307" w:name="_Toc81315321"/>
      <w:r w:rsidRPr="005734B8">
        <w:rPr>
          <w:rFonts w:ascii="Calibri" w:hAnsi="Calibri" w:cs="Calibri"/>
        </w:rPr>
        <w:t>The Department’s ministers</w:t>
      </w:r>
      <w:bookmarkEnd w:id="295"/>
      <w:bookmarkEnd w:id="296"/>
      <w:bookmarkEnd w:id="297"/>
      <w:bookmarkEnd w:id="298"/>
      <w:bookmarkEnd w:id="299"/>
      <w:bookmarkEnd w:id="300"/>
      <w:bookmarkEnd w:id="301"/>
      <w:bookmarkEnd w:id="302"/>
      <w:bookmarkEnd w:id="303"/>
      <w:bookmarkEnd w:id="304"/>
      <w:bookmarkEnd w:id="305"/>
      <w:bookmarkEnd w:id="306"/>
      <w:bookmarkEnd w:id="307"/>
      <w:r w:rsidRPr="005734B8">
        <w:rPr>
          <w:rFonts w:ascii="Calibri" w:hAnsi="Calibri" w:cs="Calibri"/>
        </w:rPr>
        <w:t xml:space="preserve"> </w:t>
      </w:r>
    </w:p>
    <w:p w14:paraId="627621C9" w14:textId="52DB8FA0" w:rsidR="00945B17" w:rsidRPr="005734B8" w:rsidRDefault="00945B17" w:rsidP="00945B17">
      <w:pPr>
        <w:pStyle w:val="H3"/>
        <w:rPr>
          <w:rFonts w:ascii="Calibri" w:eastAsiaTheme="minorHAnsi" w:hAnsi="Calibri" w:cs="Calibri"/>
          <w:b w:val="0"/>
          <w:color w:val="auto"/>
          <w:szCs w:val="24"/>
          <w:lang w:val="en-GB"/>
        </w:rPr>
      </w:pPr>
      <w:r w:rsidRPr="005734B8">
        <w:rPr>
          <w:rFonts w:ascii="Calibri" w:eastAsiaTheme="minorHAnsi" w:hAnsi="Calibri" w:cs="Calibri"/>
          <w:b w:val="0"/>
          <w:color w:val="auto"/>
          <w:szCs w:val="24"/>
          <w:lang w:val="en-GB"/>
        </w:rPr>
        <w:t xml:space="preserve">The Department supports three ministers: the Hon. James Merlino MP, Deputy Premier, Minister for Education and Minister for Mental Health; the Hon. Gayle Tierney MP, Minister for Higher Education and Minister for Training and Skills; and </w:t>
      </w:r>
      <w:r w:rsidR="000A1DB6">
        <w:rPr>
          <w:rFonts w:ascii="Calibri" w:eastAsiaTheme="minorHAnsi" w:hAnsi="Calibri" w:cs="Calibri"/>
          <w:b w:val="0"/>
          <w:color w:val="auto"/>
          <w:szCs w:val="24"/>
          <w:lang w:val="en-GB"/>
        </w:rPr>
        <w:t>Ms</w:t>
      </w:r>
      <w:r w:rsidRPr="005734B8">
        <w:rPr>
          <w:rFonts w:ascii="Calibri" w:eastAsiaTheme="minorHAnsi" w:hAnsi="Calibri" w:cs="Calibri"/>
          <w:b w:val="0"/>
          <w:color w:val="auto"/>
          <w:szCs w:val="24"/>
          <w:lang w:val="en-GB"/>
        </w:rPr>
        <w:t xml:space="preserve"> Ingrid Stitt MP, Minister</w:t>
      </w:r>
      <w:r w:rsidR="002D54D7" w:rsidRPr="005734B8">
        <w:rPr>
          <w:rFonts w:ascii="Calibri" w:eastAsiaTheme="minorHAnsi" w:hAnsi="Calibri" w:cs="Calibri"/>
          <w:b w:val="0"/>
          <w:color w:val="auto"/>
          <w:szCs w:val="24"/>
          <w:lang w:val="en-GB"/>
        </w:rPr>
        <w:t xml:space="preserve"> for</w:t>
      </w:r>
      <w:r w:rsidRPr="005734B8">
        <w:rPr>
          <w:rFonts w:ascii="Calibri" w:eastAsiaTheme="minorHAnsi" w:hAnsi="Calibri" w:cs="Calibri"/>
          <w:b w:val="0"/>
          <w:color w:val="auto"/>
          <w:szCs w:val="24"/>
          <w:lang w:val="en-GB"/>
        </w:rPr>
        <w:t xml:space="preserve"> Early Childhood and Minister for Workplace Safety.</w:t>
      </w:r>
    </w:p>
    <w:p w14:paraId="68FB048B" w14:textId="24E84C48" w:rsidR="00945B17" w:rsidRPr="005734B8" w:rsidRDefault="00945B17" w:rsidP="00945B17">
      <w:pPr>
        <w:pStyle w:val="ESHeading3"/>
        <w:ind w:left="0" w:firstLine="0"/>
        <w:rPr>
          <w:rFonts w:ascii="Calibri" w:hAnsi="Calibri" w:cs="Calibri"/>
        </w:rPr>
      </w:pPr>
      <w:bookmarkStart w:id="308" w:name="_Toc11158180"/>
      <w:bookmarkStart w:id="309" w:name="_Toc11336187"/>
      <w:bookmarkStart w:id="310" w:name="_Toc14965411"/>
      <w:bookmarkStart w:id="311" w:name="_Toc19271990"/>
      <w:bookmarkStart w:id="312" w:name="_Toc19272356"/>
      <w:bookmarkStart w:id="313" w:name="_Toc19273691"/>
      <w:r w:rsidRPr="005734B8">
        <w:rPr>
          <w:rFonts w:ascii="Calibri" w:hAnsi="Calibri" w:cs="Calibri"/>
        </w:rPr>
        <w:t>Deputy Premier, Minister for Education and Minister for Mental Health</w:t>
      </w:r>
      <w:r w:rsidR="008602B7" w:rsidRPr="005734B8">
        <w:rPr>
          <w:rFonts w:ascii="Calibri" w:hAnsi="Calibri" w:cs="Calibri"/>
        </w:rPr>
        <w:t>—</w:t>
      </w:r>
      <w:r w:rsidRPr="005734B8">
        <w:rPr>
          <w:rFonts w:ascii="Calibri" w:hAnsi="Calibri" w:cs="Calibri"/>
        </w:rPr>
        <w:t>The Hon. James Merlino, MP</w:t>
      </w:r>
      <w:bookmarkEnd w:id="308"/>
      <w:bookmarkEnd w:id="309"/>
      <w:bookmarkEnd w:id="310"/>
      <w:bookmarkEnd w:id="311"/>
      <w:bookmarkEnd w:id="312"/>
      <w:bookmarkEnd w:id="313"/>
      <w:r w:rsidRPr="005734B8">
        <w:rPr>
          <w:rFonts w:ascii="Calibri" w:hAnsi="Calibri" w:cs="Calibri"/>
        </w:rPr>
        <w:t xml:space="preserve"> </w:t>
      </w:r>
    </w:p>
    <w:p w14:paraId="00EA3140" w14:textId="77777777" w:rsidR="00945B17" w:rsidRPr="005734B8" w:rsidRDefault="00945B17" w:rsidP="00945B17">
      <w:pPr>
        <w:rPr>
          <w:rFonts w:ascii="Calibri" w:hAnsi="Calibri" w:cs="Calibri"/>
        </w:rPr>
      </w:pPr>
      <w:bookmarkStart w:id="314" w:name="_Toc11158181"/>
      <w:bookmarkStart w:id="315" w:name="_Toc11336188"/>
      <w:bookmarkStart w:id="316" w:name="_Toc14965412"/>
      <w:bookmarkStart w:id="317" w:name="_Toc19271991"/>
      <w:bookmarkStart w:id="318" w:name="_Toc19272357"/>
      <w:bookmarkStart w:id="319" w:name="_Toc19273692"/>
      <w:r w:rsidRPr="005734B8">
        <w:rPr>
          <w:rFonts w:ascii="Calibri" w:hAnsi="Calibri" w:cs="Calibri"/>
        </w:rPr>
        <w:t>Deputy Premier Merlino was elected to the Victorian Parliament as the Member for Monbulk in 2002. He has been the Minister for Education since December 2014 and Minister for Mental Health since September 2020. He previously served as the Minister for Sport, Recreation and Youth Affairs from December 2006 to December 2010, Minister Assisting the Premier on Multicultural Affairs from August 2007 to December 2010, Minister for Police and Minister for Corrections from October to December 2010 and Minister for Emergency Services from June 2016 to November 2018.</w:t>
      </w:r>
    </w:p>
    <w:p w14:paraId="3370152E" w14:textId="77777777" w:rsidR="00945B17" w:rsidRPr="005734B8" w:rsidRDefault="00945B17" w:rsidP="00945B17">
      <w:pPr>
        <w:rPr>
          <w:rFonts w:ascii="Calibri" w:hAnsi="Calibri" w:cs="Calibri"/>
        </w:rPr>
      </w:pPr>
    </w:p>
    <w:p w14:paraId="6DE950A3" w14:textId="45CCA293" w:rsidR="00945B17" w:rsidRPr="005734B8" w:rsidRDefault="00945B17" w:rsidP="00945B17">
      <w:pPr>
        <w:rPr>
          <w:rFonts w:ascii="Calibri" w:hAnsi="Calibri" w:cs="Calibri"/>
        </w:rPr>
      </w:pPr>
      <w:r w:rsidRPr="005734B8">
        <w:rPr>
          <w:rFonts w:ascii="Calibri" w:hAnsi="Calibri" w:cs="Calibri"/>
        </w:rPr>
        <w:t xml:space="preserve">The Minister for Education oversees Victoria’s Education State reforms and is responsible for providing education to </w:t>
      </w:r>
      <w:r w:rsidR="008602B7" w:rsidRPr="005734B8">
        <w:rPr>
          <w:rFonts w:ascii="Calibri" w:hAnsi="Calibri" w:cs="Calibri"/>
        </w:rPr>
        <w:t>more than</w:t>
      </w:r>
      <w:r w:rsidRPr="005734B8">
        <w:rPr>
          <w:rFonts w:ascii="Calibri" w:hAnsi="Calibri" w:cs="Calibri"/>
        </w:rPr>
        <w:t xml:space="preserve"> a million Victorian students. This portfolio includes government investment in school infrastructure and programs.</w:t>
      </w:r>
    </w:p>
    <w:p w14:paraId="2AC77B22" w14:textId="52953645" w:rsidR="00945B17" w:rsidRPr="005734B8" w:rsidRDefault="00945B17" w:rsidP="00945B17">
      <w:pPr>
        <w:pStyle w:val="ESHeading3"/>
        <w:ind w:left="0" w:firstLine="0"/>
        <w:rPr>
          <w:rFonts w:ascii="Calibri" w:hAnsi="Calibri" w:cs="Calibri"/>
        </w:rPr>
      </w:pPr>
      <w:bookmarkStart w:id="320" w:name="_Hlk74644411"/>
      <w:r w:rsidRPr="005734B8">
        <w:rPr>
          <w:rFonts w:ascii="Calibri" w:hAnsi="Calibri" w:cs="Calibri"/>
        </w:rPr>
        <w:t>Minister for Higher Education and Minister for Training and Skills</w:t>
      </w:r>
      <w:r w:rsidR="008602B7" w:rsidRPr="005734B8">
        <w:rPr>
          <w:rFonts w:ascii="Calibri" w:hAnsi="Calibri" w:cs="Calibri"/>
        </w:rPr>
        <w:t>—</w:t>
      </w:r>
      <w:r w:rsidRPr="005734B8">
        <w:rPr>
          <w:rFonts w:ascii="Calibri" w:hAnsi="Calibri" w:cs="Calibri"/>
        </w:rPr>
        <w:t>The Hon. Gayle Tierney, MP</w:t>
      </w:r>
      <w:bookmarkEnd w:id="314"/>
      <w:bookmarkEnd w:id="315"/>
      <w:bookmarkEnd w:id="316"/>
      <w:bookmarkEnd w:id="317"/>
      <w:bookmarkEnd w:id="318"/>
      <w:bookmarkEnd w:id="319"/>
      <w:r w:rsidRPr="005734B8">
        <w:rPr>
          <w:rFonts w:ascii="Calibri" w:hAnsi="Calibri" w:cs="Calibri"/>
        </w:rPr>
        <w:t xml:space="preserve"> </w:t>
      </w:r>
    </w:p>
    <w:p w14:paraId="41CB979A" w14:textId="77777777" w:rsidR="00945B17" w:rsidRPr="005734B8" w:rsidRDefault="00945B17" w:rsidP="00945B17">
      <w:pPr>
        <w:rPr>
          <w:rFonts w:ascii="Calibri" w:hAnsi="Calibri" w:cs="Calibri"/>
        </w:rPr>
      </w:pPr>
      <w:r w:rsidRPr="005734B8">
        <w:rPr>
          <w:rFonts w:ascii="Calibri" w:hAnsi="Calibri" w:cs="Calibri"/>
        </w:rPr>
        <w:t>Minister Tierney was elected to the Victorian Parliament as the Member for Western Victoria in 2006. She has been the Minister for Training and Skills since November 2016 and Minister for Higher Education since November 2018. She was Minister for Corrections from November 2016 to December 2018. Minister Tierney previously served as the Cabinet Secretary and Deputy President of the Victorian Legislative Council. She was Deputy Chair of the Rural and Regional Parliamentary Committee from March 2007 to November 2010, and Deputy Chair of the Education and Training Parliamentary Committee from February 2010 to June 2013.</w:t>
      </w:r>
    </w:p>
    <w:p w14:paraId="3A83B707" w14:textId="77777777" w:rsidR="00945B17" w:rsidRPr="005734B8" w:rsidRDefault="00945B17" w:rsidP="00945B17">
      <w:pPr>
        <w:rPr>
          <w:rFonts w:ascii="Calibri" w:hAnsi="Calibri" w:cs="Calibri"/>
        </w:rPr>
      </w:pPr>
    </w:p>
    <w:p w14:paraId="6A115757" w14:textId="1D086ED9" w:rsidR="00945B17" w:rsidRPr="005734B8" w:rsidRDefault="00945B17" w:rsidP="00945B17">
      <w:pPr>
        <w:rPr>
          <w:rFonts w:ascii="Calibri" w:hAnsi="Calibri" w:cs="Calibri"/>
        </w:rPr>
      </w:pPr>
      <w:r w:rsidRPr="005734B8">
        <w:rPr>
          <w:rFonts w:ascii="Calibri" w:hAnsi="Calibri" w:cs="Calibri"/>
        </w:rPr>
        <w:t>The Minister for Training and Skills is responsible for ensuring</w:t>
      </w:r>
      <w:r w:rsidR="005D6E52" w:rsidRPr="005734B8">
        <w:rPr>
          <w:rFonts w:ascii="Calibri" w:hAnsi="Calibri" w:cs="Calibri"/>
        </w:rPr>
        <w:t xml:space="preserve"> that</w:t>
      </w:r>
      <w:r w:rsidRPr="005734B8">
        <w:rPr>
          <w:rFonts w:ascii="Calibri" w:hAnsi="Calibri" w:cs="Calibri"/>
        </w:rPr>
        <w:t xml:space="preserve"> Victoria’s VET system plays a key role in achieving the economic and social objectives of government, industry, local communities and individual learners. </w:t>
      </w:r>
    </w:p>
    <w:p w14:paraId="36508F9B" w14:textId="77777777" w:rsidR="00945B17" w:rsidRPr="005734B8" w:rsidRDefault="00945B17" w:rsidP="00945B17">
      <w:pPr>
        <w:rPr>
          <w:rFonts w:ascii="Calibri" w:hAnsi="Calibri" w:cs="Calibri"/>
        </w:rPr>
      </w:pPr>
    </w:p>
    <w:p w14:paraId="4BA1EF78" w14:textId="77777777" w:rsidR="00945B17" w:rsidRPr="005734B8" w:rsidRDefault="00945B17" w:rsidP="00945B17">
      <w:pPr>
        <w:rPr>
          <w:rFonts w:ascii="Calibri" w:hAnsi="Calibri" w:cs="Calibri"/>
        </w:rPr>
      </w:pPr>
      <w:r w:rsidRPr="005734B8">
        <w:rPr>
          <w:rFonts w:ascii="Calibri" w:hAnsi="Calibri" w:cs="Calibri"/>
        </w:rPr>
        <w:t>The Minister for Higher Education administers legislation that establishes Victoria’s eight public universities, their governing bodies and accountability requirements. The Minister is also responsible for developing policy related to higher education in Victoria and representing Victorian universities and higher education providers within government.</w:t>
      </w:r>
    </w:p>
    <w:bookmarkEnd w:id="320"/>
    <w:p w14:paraId="11C0FE2B" w14:textId="77777777" w:rsidR="001966C1" w:rsidRPr="005734B8" w:rsidRDefault="001966C1">
      <w:pPr>
        <w:rPr>
          <w:rFonts w:ascii="Calibri" w:eastAsiaTheme="minorEastAsia" w:hAnsi="Calibri" w:cs="Calibri"/>
          <w:b/>
          <w:color w:val="53565A" w:themeColor="accent5"/>
          <w:szCs w:val="18"/>
          <w:lang w:val="en-US"/>
        </w:rPr>
      </w:pPr>
      <w:r w:rsidRPr="005734B8">
        <w:rPr>
          <w:rFonts w:ascii="Calibri" w:hAnsi="Calibri" w:cs="Calibri"/>
        </w:rPr>
        <w:br w:type="page"/>
      </w:r>
    </w:p>
    <w:p w14:paraId="69B2961E" w14:textId="44815973" w:rsidR="00945B17" w:rsidRPr="005734B8" w:rsidRDefault="00945B17" w:rsidP="00945B17">
      <w:pPr>
        <w:pStyle w:val="ESHeading3"/>
        <w:ind w:left="0" w:firstLine="0"/>
        <w:rPr>
          <w:rFonts w:ascii="Calibri" w:hAnsi="Calibri" w:cs="Calibri"/>
        </w:rPr>
      </w:pPr>
      <w:r w:rsidRPr="005734B8">
        <w:rPr>
          <w:rFonts w:ascii="Calibri" w:hAnsi="Calibri" w:cs="Calibri"/>
        </w:rPr>
        <w:lastRenderedPageBreak/>
        <w:t>Minister for Early Childhood and Minister for Workplace Safety</w:t>
      </w:r>
      <w:r w:rsidR="0085590F" w:rsidRPr="005734B8">
        <w:rPr>
          <w:rFonts w:ascii="Calibri" w:hAnsi="Calibri" w:cs="Calibri"/>
        </w:rPr>
        <w:t>—</w:t>
      </w:r>
      <w:r w:rsidR="00F01A2A">
        <w:rPr>
          <w:rFonts w:ascii="Calibri" w:hAnsi="Calibri" w:cs="Calibri"/>
        </w:rPr>
        <w:t>Ms</w:t>
      </w:r>
      <w:r w:rsidRPr="005734B8">
        <w:rPr>
          <w:rFonts w:ascii="Calibri" w:hAnsi="Calibri" w:cs="Calibri"/>
        </w:rPr>
        <w:t xml:space="preserve"> Ingrid Stitt, MP </w:t>
      </w:r>
    </w:p>
    <w:p w14:paraId="0335E4C1" w14:textId="77777777" w:rsidR="00945B17" w:rsidRPr="005734B8" w:rsidRDefault="00945B17" w:rsidP="00945B17">
      <w:pPr>
        <w:rPr>
          <w:rFonts w:ascii="Calibri" w:hAnsi="Calibri" w:cs="Calibri"/>
        </w:rPr>
      </w:pPr>
      <w:r w:rsidRPr="005734B8">
        <w:rPr>
          <w:rFonts w:ascii="Calibri" w:hAnsi="Calibri" w:cs="Calibri"/>
        </w:rPr>
        <w:t>Minister Stitt was elected to the Victorian Parliament as the Member for Western Metropolitan in 2018. She has been the Minister for Early Childhood and the Minister for Workplace Safety since September 2020.</w:t>
      </w:r>
    </w:p>
    <w:p w14:paraId="459577C9" w14:textId="77777777" w:rsidR="00945B17" w:rsidRPr="005734B8" w:rsidRDefault="00945B17" w:rsidP="00945B17">
      <w:pPr>
        <w:rPr>
          <w:rFonts w:ascii="Calibri" w:hAnsi="Calibri" w:cs="Calibri"/>
        </w:rPr>
      </w:pPr>
    </w:p>
    <w:p w14:paraId="1CD0B000" w14:textId="2514E2C5" w:rsidR="00C715C5" w:rsidRPr="005734B8" w:rsidRDefault="00945B17" w:rsidP="00945B17">
      <w:pPr>
        <w:rPr>
          <w:rFonts w:ascii="Calibri" w:hAnsi="Calibri" w:cs="Calibri"/>
        </w:rPr>
      </w:pPr>
      <w:r w:rsidRPr="005734B8">
        <w:rPr>
          <w:rFonts w:ascii="Calibri" w:hAnsi="Calibri" w:cs="Calibri"/>
        </w:rPr>
        <w:t xml:space="preserve">The Minister for Early Childhood oversees Victoria’s kindergarten system, the staged rollout of universally funded </w:t>
      </w:r>
      <w:r w:rsidR="005C1547">
        <w:rPr>
          <w:rFonts w:ascii="Calibri" w:hAnsi="Calibri" w:cs="Calibri"/>
        </w:rPr>
        <w:t>T</w:t>
      </w:r>
      <w:r w:rsidRPr="005734B8">
        <w:rPr>
          <w:rFonts w:ascii="Calibri" w:hAnsi="Calibri" w:cs="Calibri"/>
        </w:rPr>
        <w:t>hree-</w:t>
      </w:r>
      <w:r w:rsidR="005C1547">
        <w:rPr>
          <w:rFonts w:ascii="Calibri" w:hAnsi="Calibri" w:cs="Calibri"/>
        </w:rPr>
        <w:t>Y</w:t>
      </w:r>
      <w:r w:rsidRPr="005734B8">
        <w:rPr>
          <w:rFonts w:ascii="Calibri" w:hAnsi="Calibri" w:cs="Calibri"/>
        </w:rPr>
        <w:t>ear-</w:t>
      </w:r>
      <w:r w:rsidR="005C1547">
        <w:rPr>
          <w:rFonts w:ascii="Calibri" w:hAnsi="Calibri" w:cs="Calibri"/>
        </w:rPr>
        <w:t>O</w:t>
      </w:r>
      <w:r w:rsidRPr="005734B8">
        <w:rPr>
          <w:rFonts w:ascii="Calibri" w:hAnsi="Calibri" w:cs="Calibri"/>
        </w:rPr>
        <w:t>ld kindergarten, and early childhood education services, including for children with disability or developmental delay.</w:t>
      </w:r>
    </w:p>
    <w:p w14:paraId="12778674" w14:textId="0D0DD06A" w:rsidR="00E82D65" w:rsidRPr="005734B8" w:rsidRDefault="00E82D65" w:rsidP="00E82D65">
      <w:pPr>
        <w:pStyle w:val="ESHeading2"/>
        <w:rPr>
          <w:rFonts w:ascii="Calibri" w:hAnsi="Calibri" w:cs="Calibri"/>
        </w:rPr>
      </w:pPr>
      <w:bookmarkStart w:id="321" w:name="_Toc19271992"/>
      <w:bookmarkStart w:id="322" w:name="_Toc19272358"/>
      <w:bookmarkStart w:id="323" w:name="_Toc19273693"/>
      <w:bookmarkStart w:id="324" w:name="_Toc48402778"/>
      <w:bookmarkStart w:id="325" w:name="_Toc48403015"/>
      <w:bookmarkStart w:id="326" w:name="_Toc51332758"/>
      <w:bookmarkStart w:id="327" w:name="_Toc81315322"/>
      <w:r w:rsidRPr="005734B8">
        <w:rPr>
          <w:rFonts w:ascii="Calibri" w:hAnsi="Calibri" w:cs="Calibri"/>
        </w:rPr>
        <w:t>The Department’s senior executives</w:t>
      </w:r>
      <w:bookmarkEnd w:id="289"/>
      <w:bookmarkEnd w:id="290"/>
      <w:bookmarkEnd w:id="291"/>
      <w:bookmarkEnd w:id="292"/>
      <w:bookmarkEnd w:id="293"/>
      <w:bookmarkEnd w:id="294"/>
      <w:bookmarkEnd w:id="321"/>
      <w:bookmarkEnd w:id="322"/>
      <w:bookmarkEnd w:id="323"/>
      <w:bookmarkEnd w:id="324"/>
      <w:bookmarkEnd w:id="325"/>
      <w:bookmarkEnd w:id="326"/>
      <w:bookmarkEnd w:id="327"/>
      <w:r w:rsidRPr="005734B8">
        <w:rPr>
          <w:rFonts w:ascii="Calibri" w:hAnsi="Calibri" w:cs="Calibri"/>
        </w:rPr>
        <w:t xml:space="preserve"> </w:t>
      </w:r>
    </w:p>
    <w:p w14:paraId="595BEA56" w14:textId="4321E809" w:rsidR="00E82D65" w:rsidRPr="005734B8" w:rsidRDefault="00E82D65" w:rsidP="00E82D65">
      <w:pPr>
        <w:pStyle w:val="ESHeading3"/>
        <w:ind w:left="0" w:firstLine="0"/>
        <w:rPr>
          <w:rFonts w:ascii="Calibri" w:hAnsi="Calibri" w:cs="Calibri"/>
        </w:rPr>
      </w:pPr>
      <w:bookmarkStart w:id="328" w:name="_Toc11158183"/>
      <w:bookmarkStart w:id="329" w:name="_Toc11336190"/>
      <w:bookmarkStart w:id="330" w:name="_Toc14965414"/>
      <w:bookmarkStart w:id="331" w:name="_Toc19271993"/>
      <w:bookmarkStart w:id="332" w:name="_Toc19272359"/>
      <w:bookmarkStart w:id="333" w:name="_Toc19273694"/>
      <w:bookmarkStart w:id="334" w:name="_Toc10208707"/>
      <w:r w:rsidRPr="005734B8">
        <w:rPr>
          <w:rFonts w:ascii="Calibri" w:hAnsi="Calibri" w:cs="Calibri"/>
        </w:rPr>
        <w:t>Secretary</w:t>
      </w:r>
      <w:r w:rsidR="00CD2B89" w:rsidRPr="005734B8">
        <w:rPr>
          <w:rFonts w:ascii="Calibri" w:hAnsi="Calibri" w:cs="Calibri"/>
        </w:rPr>
        <w:t>—</w:t>
      </w:r>
      <w:r w:rsidRPr="005734B8">
        <w:rPr>
          <w:rFonts w:ascii="Calibri" w:hAnsi="Calibri" w:cs="Calibri"/>
        </w:rPr>
        <w:t>Ms Jenny Atta</w:t>
      </w:r>
      <w:bookmarkEnd w:id="328"/>
      <w:bookmarkEnd w:id="329"/>
      <w:bookmarkEnd w:id="330"/>
      <w:bookmarkEnd w:id="331"/>
      <w:bookmarkEnd w:id="332"/>
      <w:bookmarkEnd w:id="333"/>
      <w:r w:rsidRPr="005734B8">
        <w:rPr>
          <w:rFonts w:ascii="Calibri" w:hAnsi="Calibri" w:cs="Calibri"/>
        </w:rPr>
        <w:t xml:space="preserve"> </w:t>
      </w:r>
      <w:r w:rsidR="00757D03">
        <w:rPr>
          <w:rFonts w:ascii="Calibri" w:hAnsi="Calibri" w:cs="Calibri"/>
        </w:rPr>
        <w:t>PSM</w:t>
      </w:r>
    </w:p>
    <w:p w14:paraId="6BBF2F15" w14:textId="7E441C2D" w:rsidR="00277CDF" w:rsidRPr="005734B8" w:rsidRDefault="00277CDF" w:rsidP="00277CDF">
      <w:pPr>
        <w:rPr>
          <w:rFonts w:ascii="Calibri" w:hAnsi="Calibri" w:cs="Calibri"/>
        </w:rPr>
      </w:pPr>
      <w:bookmarkStart w:id="335" w:name="_Toc9432048"/>
      <w:bookmarkStart w:id="336" w:name="_Toc14965418"/>
      <w:bookmarkStart w:id="337" w:name="_Toc19271997"/>
      <w:bookmarkStart w:id="338" w:name="_Toc19272363"/>
      <w:bookmarkStart w:id="339" w:name="_Toc19273698"/>
      <w:bookmarkStart w:id="340" w:name="_Toc8899511"/>
      <w:bookmarkStart w:id="341" w:name="_Toc11158184"/>
      <w:bookmarkStart w:id="342" w:name="_Toc11336191"/>
      <w:bookmarkStart w:id="343" w:name="_Toc14965415"/>
      <w:bookmarkStart w:id="344" w:name="_Toc19271994"/>
      <w:bookmarkStart w:id="345" w:name="_Toc19272360"/>
      <w:bookmarkStart w:id="346" w:name="_Toc19273695"/>
      <w:bookmarkEnd w:id="334"/>
      <w:r w:rsidRPr="005734B8">
        <w:rPr>
          <w:rFonts w:ascii="Calibri" w:hAnsi="Calibri" w:cs="Calibri"/>
        </w:rPr>
        <w:t>Jenny Atta has been Secretary of the Department since March 2019. Prior to this, Jenny was Acting Secretary from November 2018.</w:t>
      </w:r>
    </w:p>
    <w:p w14:paraId="207E34CA" w14:textId="77777777" w:rsidR="00277CDF" w:rsidRPr="005734B8" w:rsidRDefault="00277CDF" w:rsidP="00277CDF">
      <w:pPr>
        <w:rPr>
          <w:rFonts w:ascii="Calibri" w:hAnsi="Calibri" w:cs="Calibri"/>
        </w:rPr>
      </w:pPr>
    </w:p>
    <w:p w14:paraId="24BBDC1C" w14:textId="0310D182" w:rsidR="00277CDF" w:rsidRPr="005734B8" w:rsidRDefault="00277CDF" w:rsidP="00277CDF">
      <w:pPr>
        <w:rPr>
          <w:rFonts w:ascii="Calibri" w:hAnsi="Calibri" w:cs="Calibri"/>
        </w:rPr>
      </w:pPr>
      <w:r w:rsidRPr="005734B8">
        <w:rPr>
          <w:rFonts w:ascii="Calibri" w:hAnsi="Calibri" w:cs="Calibri"/>
        </w:rPr>
        <w:t xml:space="preserve">Jenny is directly responsible for the management of the Department and </w:t>
      </w:r>
      <w:r w:rsidR="00D97DEC" w:rsidRPr="005734B8">
        <w:rPr>
          <w:rFonts w:ascii="Calibri" w:hAnsi="Calibri" w:cs="Calibri"/>
        </w:rPr>
        <w:t xml:space="preserve">for </w:t>
      </w:r>
      <w:r w:rsidR="00A71423" w:rsidRPr="005734B8">
        <w:rPr>
          <w:rFonts w:ascii="Calibri" w:hAnsi="Calibri" w:cs="Calibri"/>
        </w:rPr>
        <w:t>supporting</w:t>
      </w:r>
      <w:r w:rsidRPr="005734B8">
        <w:rPr>
          <w:rFonts w:ascii="Calibri" w:hAnsi="Calibri" w:cs="Calibri"/>
        </w:rPr>
        <w:t xml:space="preserve"> the </w:t>
      </w:r>
      <w:r w:rsidR="003E5FAF">
        <w:rPr>
          <w:rFonts w:ascii="Calibri" w:hAnsi="Calibri" w:cs="Calibri"/>
        </w:rPr>
        <w:t xml:space="preserve">early childhood, </w:t>
      </w:r>
      <w:r w:rsidRPr="005734B8">
        <w:rPr>
          <w:rFonts w:ascii="Calibri" w:hAnsi="Calibri" w:cs="Calibri"/>
        </w:rPr>
        <w:t>education and training portfolio Ministers in the management and administration of their portfolios.</w:t>
      </w:r>
    </w:p>
    <w:p w14:paraId="55F7F6E3" w14:textId="77777777" w:rsidR="00277CDF" w:rsidRPr="005734B8" w:rsidRDefault="00277CDF" w:rsidP="00277CDF">
      <w:pPr>
        <w:rPr>
          <w:rFonts w:ascii="Calibri" w:hAnsi="Calibri" w:cs="Calibri"/>
        </w:rPr>
      </w:pPr>
    </w:p>
    <w:p w14:paraId="1AC7B89F" w14:textId="31C41283" w:rsidR="00277CDF" w:rsidRPr="005734B8" w:rsidRDefault="00277CDF" w:rsidP="00277CDF">
      <w:pPr>
        <w:rPr>
          <w:rFonts w:ascii="Calibri" w:hAnsi="Calibri" w:cs="Calibri"/>
        </w:rPr>
      </w:pPr>
      <w:r w:rsidRPr="005734B8">
        <w:rPr>
          <w:rFonts w:ascii="Calibri" w:hAnsi="Calibri" w:cs="Calibri"/>
        </w:rPr>
        <w:t xml:space="preserve">Jenny joined the Department in December 2015 as Deputy Secretary, Infrastructure and Finance Services Group. In this role, </w:t>
      </w:r>
      <w:r w:rsidR="00FC5D41" w:rsidRPr="005734B8">
        <w:rPr>
          <w:rFonts w:ascii="Calibri" w:hAnsi="Calibri" w:cs="Calibri"/>
        </w:rPr>
        <w:t xml:space="preserve">Jenny </w:t>
      </w:r>
      <w:r w:rsidRPr="005734B8">
        <w:rPr>
          <w:rFonts w:ascii="Calibri" w:hAnsi="Calibri" w:cs="Calibri"/>
        </w:rPr>
        <w:t>was responsible for the management and oversight of the Department’s financial, procurement and information technology services, along with strategic advice and planning for State Budget processes, and infrastructure policy and delivery.</w:t>
      </w:r>
      <w:r w:rsidR="0038436B">
        <w:rPr>
          <w:rFonts w:ascii="Calibri" w:hAnsi="Calibri" w:cs="Calibri"/>
        </w:rPr>
        <w:t xml:space="preserve"> </w:t>
      </w:r>
      <w:r w:rsidRPr="005734B8">
        <w:rPr>
          <w:rFonts w:ascii="Calibri" w:hAnsi="Calibri" w:cs="Calibri"/>
        </w:rPr>
        <w:t>This followed a range of senior roles in the Victorian Public Service (VPS), including with the Department of Treasury and Finance (DTF) and the Department of Human Services.</w:t>
      </w:r>
    </w:p>
    <w:p w14:paraId="21773B09" w14:textId="3006CE3C" w:rsidR="00D528E9" w:rsidRDefault="00D528E9" w:rsidP="00484165">
      <w:pPr>
        <w:pStyle w:val="ESHeading3"/>
        <w:ind w:left="0" w:firstLine="0"/>
        <w:rPr>
          <w:rFonts w:ascii="Calibri" w:eastAsiaTheme="minorHAnsi" w:hAnsi="Calibri" w:cs="Calibri"/>
          <w:b w:val="0"/>
          <w:color w:val="auto"/>
          <w:szCs w:val="24"/>
          <w:lang w:val="en-GB"/>
        </w:rPr>
      </w:pPr>
      <w:bookmarkStart w:id="347" w:name="_Hlk81294540"/>
      <w:r w:rsidRPr="00D528E9">
        <w:rPr>
          <w:rFonts w:ascii="Calibri" w:eastAsiaTheme="minorHAnsi" w:hAnsi="Calibri" w:cs="Calibri"/>
          <w:b w:val="0"/>
          <w:color w:val="auto"/>
          <w:szCs w:val="24"/>
          <w:lang w:val="en-GB"/>
        </w:rPr>
        <w:t xml:space="preserve">Jenny holds a Bachelor of Applied Science and a Master of Public Policy and was awarded a Public Service Medal in June 2021 for outstanding public service to strategic social policy reform and delivery in Victoria. </w:t>
      </w:r>
      <w:r w:rsidR="00757D03">
        <w:rPr>
          <w:rFonts w:ascii="Calibri" w:eastAsiaTheme="minorHAnsi" w:hAnsi="Calibri" w:cs="Calibri"/>
          <w:b w:val="0"/>
          <w:color w:val="auto"/>
          <w:szCs w:val="24"/>
          <w:lang w:val="en-GB"/>
        </w:rPr>
        <w:t xml:space="preserve">In 2019, </w:t>
      </w:r>
      <w:r w:rsidRPr="00D528E9">
        <w:rPr>
          <w:rFonts w:ascii="Calibri" w:eastAsiaTheme="minorHAnsi" w:hAnsi="Calibri" w:cs="Calibri"/>
          <w:b w:val="0"/>
          <w:color w:val="auto"/>
          <w:szCs w:val="24"/>
          <w:lang w:val="en-GB"/>
        </w:rPr>
        <w:t>Jenny was inducted as an IPAA Victorian Fellow.</w:t>
      </w:r>
    </w:p>
    <w:p w14:paraId="492E415D" w14:textId="5ADB1310" w:rsidR="00484165" w:rsidRPr="005734B8" w:rsidRDefault="00484165" w:rsidP="00484165">
      <w:pPr>
        <w:pStyle w:val="ESHeading3"/>
        <w:ind w:left="0" w:firstLine="0"/>
        <w:rPr>
          <w:rFonts w:ascii="Calibri" w:hAnsi="Calibri" w:cs="Calibri"/>
        </w:rPr>
      </w:pPr>
      <w:r w:rsidRPr="005734B8">
        <w:rPr>
          <w:rFonts w:ascii="Calibri" w:hAnsi="Calibri" w:cs="Calibri"/>
        </w:rPr>
        <w:t>Deputy Secretary, Early Childhood Education</w:t>
      </w:r>
      <w:r w:rsidR="00FB4B6C" w:rsidRPr="005734B8">
        <w:rPr>
          <w:rFonts w:ascii="Calibri" w:hAnsi="Calibri" w:cs="Calibri"/>
        </w:rPr>
        <w:t>—</w:t>
      </w:r>
      <w:r w:rsidRPr="005734B8">
        <w:rPr>
          <w:rFonts w:ascii="Calibri" w:hAnsi="Calibri" w:cs="Calibri"/>
        </w:rPr>
        <w:t>Ms Kim Little</w:t>
      </w:r>
      <w:bookmarkEnd w:id="335"/>
      <w:bookmarkEnd w:id="336"/>
      <w:bookmarkEnd w:id="337"/>
      <w:bookmarkEnd w:id="338"/>
      <w:bookmarkEnd w:id="339"/>
      <w:r w:rsidRPr="005734B8">
        <w:rPr>
          <w:rFonts w:ascii="Calibri" w:hAnsi="Calibri" w:cs="Calibri"/>
        </w:rPr>
        <w:t xml:space="preserve"> </w:t>
      </w:r>
    </w:p>
    <w:p w14:paraId="5CB2D65E" w14:textId="7904D948" w:rsidR="004721EE" w:rsidRPr="005734B8" w:rsidRDefault="004721EE" w:rsidP="004721EE">
      <w:pPr>
        <w:rPr>
          <w:rFonts w:ascii="Calibri" w:hAnsi="Calibri" w:cs="Calibri"/>
        </w:rPr>
      </w:pPr>
      <w:r w:rsidRPr="005734B8">
        <w:rPr>
          <w:rFonts w:ascii="Calibri" w:hAnsi="Calibri" w:cs="Calibri"/>
        </w:rPr>
        <w:t xml:space="preserve">Kim Little leads the implementation of early childhood education components of the </w:t>
      </w:r>
      <w:r w:rsidRPr="005734B8">
        <w:rPr>
          <w:rFonts w:ascii="Calibri" w:hAnsi="Calibri" w:cs="Calibri"/>
          <w:i/>
          <w:iCs/>
        </w:rPr>
        <w:t>Education State Early Childhood Reform Plan: Ready for kinder, Ready for school, Ready for life</w:t>
      </w:r>
      <w:r w:rsidRPr="005734B8">
        <w:rPr>
          <w:rFonts w:ascii="Calibri" w:hAnsi="Calibri" w:cs="Calibri"/>
        </w:rPr>
        <w:t>, and the delivery of universal</w:t>
      </w:r>
      <w:r w:rsidR="00FB4B6C" w:rsidRPr="005734B8">
        <w:rPr>
          <w:rFonts w:ascii="Calibri" w:hAnsi="Calibri" w:cs="Calibri"/>
        </w:rPr>
        <w:t>ly</w:t>
      </w:r>
      <w:r w:rsidRPr="005734B8">
        <w:rPr>
          <w:rFonts w:ascii="Calibri" w:hAnsi="Calibri" w:cs="Calibri"/>
        </w:rPr>
        <w:t xml:space="preserve"> funded Three-Year-Old Kindergarten. Kim’s group is home to the critical work of the ECEC regulator, and the whole of-government effort to improve information sharing to promote the safety and wellbeing of children and young people. </w:t>
      </w:r>
    </w:p>
    <w:p w14:paraId="53D6AA64" w14:textId="77777777" w:rsidR="004721EE" w:rsidRPr="005734B8" w:rsidRDefault="004721EE" w:rsidP="004721EE">
      <w:pPr>
        <w:rPr>
          <w:rFonts w:ascii="Calibri" w:hAnsi="Calibri" w:cs="Calibri"/>
        </w:rPr>
      </w:pPr>
    </w:p>
    <w:p w14:paraId="6247951B" w14:textId="6C9A614C" w:rsidR="00AC7597" w:rsidRDefault="00484165" w:rsidP="00484165">
      <w:pPr>
        <w:rPr>
          <w:rFonts w:ascii="Calibri" w:hAnsi="Calibri" w:cs="Calibri"/>
        </w:rPr>
      </w:pPr>
      <w:r w:rsidRPr="005734B8">
        <w:rPr>
          <w:rFonts w:ascii="Calibri" w:hAnsi="Calibri" w:cs="Calibri"/>
        </w:rPr>
        <w:t xml:space="preserve">Prior to this appointment, Kim was the Assistant Deputy Secretary, Early Childhood Portfolio in </w:t>
      </w:r>
      <w:r w:rsidR="00AF2A7E" w:rsidRPr="005734B8">
        <w:rPr>
          <w:rFonts w:ascii="Calibri" w:hAnsi="Calibri" w:cs="Calibri"/>
        </w:rPr>
        <w:t xml:space="preserve">the </w:t>
      </w:r>
      <w:r w:rsidRPr="005734B8">
        <w:rPr>
          <w:rFonts w:ascii="Calibri" w:hAnsi="Calibri" w:cs="Calibri"/>
        </w:rPr>
        <w:t xml:space="preserve">Early Childhood and School Education </w:t>
      </w:r>
      <w:r w:rsidR="002334D8" w:rsidRPr="005734B8">
        <w:rPr>
          <w:rFonts w:ascii="Calibri" w:hAnsi="Calibri" w:cs="Calibri"/>
        </w:rPr>
        <w:t>g</w:t>
      </w:r>
      <w:r w:rsidRPr="005734B8">
        <w:rPr>
          <w:rFonts w:ascii="Calibri" w:hAnsi="Calibri" w:cs="Calibri"/>
        </w:rPr>
        <w:t xml:space="preserve">roup. </w:t>
      </w:r>
      <w:r w:rsidR="001D099E" w:rsidRPr="005734B8">
        <w:rPr>
          <w:rFonts w:ascii="Calibri" w:hAnsi="Calibri" w:cs="Calibri"/>
        </w:rPr>
        <w:t>Kim</w:t>
      </w:r>
      <w:r w:rsidRPr="005734B8">
        <w:rPr>
          <w:rFonts w:ascii="Calibri" w:hAnsi="Calibri" w:cs="Calibri"/>
        </w:rPr>
        <w:t xml:space="preserve"> has also worked in the Higher Education and Skills (HES) </w:t>
      </w:r>
      <w:r w:rsidR="002334D8" w:rsidRPr="005734B8">
        <w:rPr>
          <w:rFonts w:ascii="Calibri" w:hAnsi="Calibri" w:cs="Calibri"/>
        </w:rPr>
        <w:t>g</w:t>
      </w:r>
      <w:r w:rsidRPr="005734B8">
        <w:rPr>
          <w:rFonts w:ascii="Calibri" w:hAnsi="Calibri" w:cs="Calibri"/>
        </w:rPr>
        <w:t>roup</w:t>
      </w:r>
      <w:r w:rsidR="005205C7" w:rsidRPr="005734B8">
        <w:rPr>
          <w:rFonts w:ascii="Calibri" w:hAnsi="Calibri" w:cs="Calibri"/>
        </w:rPr>
        <w:t>,</w:t>
      </w:r>
      <w:r w:rsidRPr="005734B8">
        <w:rPr>
          <w:rFonts w:ascii="Calibri" w:hAnsi="Calibri" w:cs="Calibri"/>
        </w:rPr>
        <w:t xml:space="preserve"> with a focus on tertiary education policy matters, including market design and intervention. Before joining the Department, Kim </w:t>
      </w:r>
      <w:r w:rsidR="004721EE" w:rsidRPr="005734B8">
        <w:rPr>
          <w:rFonts w:ascii="Calibri" w:hAnsi="Calibri" w:cs="Calibri"/>
        </w:rPr>
        <w:t>was</w:t>
      </w:r>
      <w:r w:rsidRPr="005734B8">
        <w:rPr>
          <w:rFonts w:ascii="Calibri" w:hAnsi="Calibri" w:cs="Calibri"/>
        </w:rPr>
        <w:t xml:space="preserve"> in</w:t>
      </w:r>
      <w:r w:rsidR="00AF2A7E" w:rsidRPr="005734B8">
        <w:rPr>
          <w:rFonts w:ascii="Calibri" w:hAnsi="Calibri" w:cs="Calibri"/>
        </w:rPr>
        <w:t xml:space="preserve"> the</w:t>
      </w:r>
      <w:r w:rsidRPr="005734B8">
        <w:rPr>
          <w:rFonts w:ascii="Calibri" w:hAnsi="Calibri" w:cs="Calibri"/>
        </w:rPr>
        <w:t xml:space="preserve"> </w:t>
      </w:r>
      <w:r w:rsidR="00B04BDF" w:rsidRPr="005734B8">
        <w:rPr>
          <w:rFonts w:ascii="Calibri" w:hAnsi="Calibri" w:cs="Calibri"/>
        </w:rPr>
        <w:t>Department of Premier and Cabinet (</w:t>
      </w:r>
      <w:r w:rsidRPr="005734B8">
        <w:rPr>
          <w:rFonts w:ascii="Calibri" w:hAnsi="Calibri" w:cs="Calibri"/>
        </w:rPr>
        <w:t>DPC</w:t>
      </w:r>
      <w:r w:rsidR="004721EE" w:rsidRPr="005734B8">
        <w:rPr>
          <w:rFonts w:ascii="Calibri" w:hAnsi="Calibri" w:cs="Calibri"/>
        </w:rPr>
        <w:t>), focusing</w:t>
      </w:r>
      <w:r w:rsidRPr="005734B8">
        <w:rPr>
          <w:rFonts w:ascii="Calibri" w:hAnsi="Calibri" w:cs="Calibri"/>
        </w:rPr>
        <w:t xml:space="preserve"> on education and social policy issues.</w:t>
      </w:r>
    </w:p>
    <w:p w14:paraId="21845415" w14:textId="77777777" w:rsidR="00AC7597" w:rsidRDefault="00AC7597" w:rsidP="00484165">
      <w:pPr>
        <w:rPr>
          <w:rFonts w:ascii="Calibri" w:hAnsi="Calibri" w:cs="Calibri"/>
        </w:rPr>
      </w:pPr>
    </w:p>
    <w:p w14:paraId="5AA14A7B" w14:textId="72E85F59" w:rsidR="00484165" w:rsidRPr="005734B8" w:rsidRDefault="00AC7597" w:rsidP="00484165">
      <w:pPr>
        <w:rPr>
          <w:rFonts w:ascii="Calibri" w:hAnsi="Calibri" w:cs="Calibri"/>
          <w:highlight w:val="yellow"/>
        </w:rPr>
      </w:pPr>
      <w:r w:rsidRPr="00AC7597">
        <w:rPr>
          <w:rFonts w:ascii="Calibri" w:hAnsi="Calibri" w:cs="Calibri"/>
        </w:rPr>
        <w:t>Kim h</w:t>
      </w:r>
      <w:r>
        <w:rPr>
          <w:rFonts w:ascii="Calibri" w:hAnsi="Calibri" w:cs="Calibri"/>
        </w:rPr>
        <w:t>olds</w:t>
      </w:r>
      <w:r w:rsidRPr="00AC7597">
        <w:rPr>
          <w:rFonts w:ascii="Calibri" w:hAnsi="Calibri" w:cs="Calibri"/>
        </w:rPr>
        <w:t xml:space="preserve"> a Bachelor of Arts (</w:t>
      </w:r>
      <w:r w:rsidR="00E52825">
        <w:rPr>
          <w:rFonts w:ascii="Calibri" w:hAnsi="Calibri" w:cs="Calibri"/>
        </w:rPr>
        <w:t>Honours</w:t>
      </w:r>
      <w:r w:rsidRPr="00AC7597">
        <w:rPr>
          <w:rFonts w:ascii="Calibri" w:hAnsi="Calibri" w:cs="Calibri"/>
        </w:rPr>
        <w:t>), a Bachelor of Laws (Hon</w:t>
      </w:r>
      <w:r w:rsidR="00E52825">
        <w:rPr>
          <w:rFonts w:ascii="Calibri" w:hAnsi="Calibri" w:cs="Calibri"/>
        </w:rPr>
        <w:t>ours</w:t>
      </w:r>
      <w:r w:rsidRPr="00AC7597">
        <w:rPr>
          <w:rFonts w:ascii="Calibri" w:hAnsi="Calibri" w:cs="Calibri"/>
        </w:rPr>
        <w:t>) and a Master of Arts</w:t>
      </w:r>
      <w:r>
        <w:rPr>
          <w:rFonts w:ascii="Calibri" w:hAnsi="Calibri" w:cs="Calibri"/>
        </w:rPr>
        <w:t>.</w:t>
      </w:r>
      <w:r w:rsidR="00484165" w:rsidRPr="005734B8">
        <w:rPr>
          <w:rFonts w:ascii="Calibri" w:hAnsi="Calibri" w:cs="Calibri"/>
        </w:rPr>
        <w:t xml:space="preserve"> Kim has also worked as a philosopher at Monash University and as a corporate lawyer.</w:t>
      </w:r>
    </w:p>
    <w:p w14:paraId="7DDF07D5" w14:textId="0162672F" w:rsidR="008E3C51" w:rsidRPr="005734B8" w:rsidRDefault="008E3C51" w:rsidP="008E3C51">
      <w:pPr>
        <w:pStyle w:val="ESHeading3"/>
        <w:ind w:left="0" w:firstLine="0"/>
        <w:rPr>
          <w:rFonts w:ascii="Calibri" w:hAnsi="Calibri" w:cs="Calibri"/>
        </w:rPr>
      </w:pPr>
      <w:bookmarkStart w:id="348" w:name="_Toc11158185"/>
      <w:bookmarkStart w:id="349" w:name="_Toc11336192"/>
      <w:bookmarkStart w:id="350" w:name="_Toc14965416"/>
      <w:bookmarkStart w:id="351" w:name="_Toc19271995"/>
      <w:bookmarkStart w:id="352" w:name="_Toc19272361"/>
      <w:bookmarkStart w:id="353" w:name="_Toc19273696"/>
      <w:bookmarkEnd w:id="340"/>
      <w:bookmarkEnd w:id="341"/>
      <w:bookmarkEnd w:id="342"/>
      <w:bookmarkEnd w:id="343"/>
      <w:bookmarkEnd w:id="344"/>
      <w:bookmarkEnd w:id="345"/>
      <w:bookmarkEnd w:id="346"/>
      <w:r w:rsidRPr="005734B8">
        <w:rPr>
          <w:rFonts w:ascii="Calibri" w:hAnsi="Calibri" w:cs="Calibri"/>
        </w:rPr>
        <w:lastRenderedPageBreak/>
        <w:t>Deputy Secretary, Financial Policy and Information Services</w:t>
      </w:r>
      <w:r w:rsidR="00F1423D" w:rsidRPr="005734B8">
        <w:rPr>
          <w:rFonts w:ascii="Calibri" w:hAnsi="Calibri" w:cs="Calibri"/>
        </w:rPr>
        <w:t>—</w:t>
      </w:r>
      <w:r w:rsidRPr="005734B8">
        <w:rPr>
          <w:rFonts w:ascii="Calibri" w:hAnsi="Calibri" w:cs="Calibri"/>
        </w:rPr>
        <w:t xml:space="preserve">Mr Tony Bates </w:t>
      </w:r>
      <w:r w:rsidR="002C06F8" w:rsidRPr="005734B8">
        <w:rPr>
          <w:rFonts w:ascii="Calibri" w:hAnsi="Calibri" w:cs="Calibri"/>
        </w:rPr>
        <w:t>PSM</w:t>
      </w:r>
      <w:r w:rsidRPr="005734B8">
        <w:rPr>
          <w:rFonts w:ascii="Calibri" w:hAnsi="Calibri" w:cs="Calibri"/>
        </w:rPr>
        <w:t xml:space="preserve"> </w:t>
      </w:r>
    </w:p>
    <w:p w14:paraId="703C7BE6" w14:textId="7D4A3B37" w:rsidR="008E3C51" w:rsidRPr="005734B8" w:rsidRDefault="008E3C51" w:rsidP="008E3C51">
      <w:pPr>
        <w:rPr>
          <w:rFonts w:ascii="Calibri" w:hAnsi="Calibri" w:cs="Calibri"/>
        </w:rPr>
      </w:pPr>
      <w:r w:rsidRPr="005734B8">
        <w:rPr>
          <w:rFonts w:ascii="Calibri" w:hAnsi="Calibri" w:cs="Calibri"/>
        </w:rPr>
        <w:t>Tony Bates joined the Department as Deputy Secretary, Financial Policy and Information Services (FPIS)</w:t>
      </w:r>
      <w:r w:rsidR="005131C5" w:rsidRPr="005734B8">
        <w:rPr>
          <w:rFonts w:ascii="Calibri" w:hAnsi="Calibri" w:cs="Calibri"/>
        </w:rPr>
        <w:t xml:space="preserve"> in April 2019</w:t>
      </w:r>
      <w:r w:rsidRPr="005734B8">
        <w:rPr>
          <w:rFonts w:ascii="Calibri" w:hAnsi="Calibri" w:cs="Calibri"/>
        </w:rPr>
        <w:t xml:space="preserve">. Tony was also appointed as Associate Secretary from April to November 2020 to support the </w:t>
      </w:r>
      <w:r w:rsidR="008C17C2" w:rsidRPr="005734B8">
        <w:rPr>
          <w:rFonts w:ascii="Calibri" w:hAnsi="Calibri" w:cs="Calibri"/>
        </w:rPr>
        <w:t xml:space="preserve">Department </w:t>
      </w:r>
      <w:r w:rsidR="00344945" w:rsidRPr="005734B8">
        <w:rPr>
          <w:rFonts w:ascii="Calibri" w:hAnsi="Calibri" w:cs="Calibri"/>
        </w:rPr>
        <w:t xml:space="preserve">and </w:t>
      </w:r>
      <w:r w:rsidRPr="005734B8">
        <w:rPr>
          <w:rFonts w:ascii="Calibri" w:hAnsi="Calibri" w:cs="Calibri"/>
        </w:rPr>
        <w:t xml:space="preserve">the </w:t>
      </w:r>
      <w:r w:rsidR="008C17C2" w:rsidRPr="005734B8">
        <w:rPr>
          <w:rFonts w:ascii="Calibri" w:hAnsi="Calibri" w:cs="Calibri"/>
        </w:rPr>
        <w:t>Sta</w:t>
      </w:r>
      <w:r w:rsidR="008556A3" w:rsidRPr="005734B8">
        <w:rPr>
          <w:rFonts w:ascii="Calibri" w:hAnsi="Calibri" w:cs="Calibri"/>
        </w:rPr>
        <w:t>t</w:t>
      </w:r>
      <w:r w:rsidR="008C17C2" w:rsidRPr="005734B8">
        <w:rPr>
          <w:rFonts w:ascii="Calibri" w:hAnsi="Calibri" w:cs="Calibri"/>
        </w:rPr>
        <w:t>e Government</w:t>
      </w:r>
      <w:r w:rsidR="008556A3" w:rsidRPr="005734B8">
        <w:rPr>
          <w:rFonts w:ascii="Calibri" w:hAnsi="Calibri" w:cs="Calibri"/>
        </w:rPr>
        <w:t>’s</w:t>
      </w:r>
      <w:r w:rsidRPr="005734B8">
        <w:rPr>
          <w:rFonts w:ascii="Calibri" w:hAnsi="Calibri" w:cs="Calibri"/>
        </w:rPr>
        <w:t xml:space="preserve"> COVID-19 pandemic</w:t>
      </w:r>
      <w:r w:rsidR="008556A3" w:rsidRPr="005734B8">
        <w:rPr>
          <w:rFonts w:ascii="Calibri" w:hAnsi="Calibri" w:cs="Calibri"/>
        </w:rPr>
        <w:t xml:space="preserve"> </w:t>
      </w:r>
      <w:r w:rsidR="00BB24F1" w:rsidRPr="005734B8">
        <w:rPr>
          <w:rFonts w:ascii="Calibri" w:hAnsi="Calibri" w:cs="Calibri"/>
        </w:rPr>
        <w:t>response</w:t>
      </w:r>
      <w:r w:rsidRPr="005734B8">
        <w:rPr>
          <w:rFonts w:ascii="Calibri" w:hAnsi="Calibri" w:cs="Calibri"/>
        </w:rPr>
        <w:t>.</w:t>
      </w:r>
    </w:p>
    <w:p w14:paraId="5B6A1AC4" w14:textId="77777777" w:rsidR="008E3C51" w:rsidRPr="005734B8" w:rsidRDefault="008E3C51" w:rsidP="008E3C51">
      <w:pPr>
        <w:rPr>
          <w:rFonts w:ascii="Calibri" w:hAnsi="Calibri" w:cs="Calibri"/>
        </w:rPr>
      </w:pPr>
    </w:p>
    <w:p w14:paraId="7601D6D6" w14:textId="264D53A1" w:rsidR="008E3C51" w:rsidRPr="005734B8" w:rsidRDefault="008E3C51" w:rsidP="008E3C51">
      <w:pPr>
        <w:rPr>
          <w:rFonts w:ascii="Calibri" w:hAnsi="Calibri" w:cs="Calibri"/>
        </w:rPr>
      </w:pPr>
      <w:r w:rsidRPr="005734B8">
        <w:rPr>
          <w:rFonts w:ascii="Calibri" w:hAnsi="Calibri" w:cs="Calibri"/>
        </w:rPr>
        <w:t>Prior to joining the Department, Tony worked at the Department of Justice and Regulation, DPC, DTF and Victoria Police.</w:t>
      </w:r>
      <w:r w:rsidR="001966C1" w:rsidRPr="005734B8">
        <w:rPr>
          <w:rFonts w:ascii="Calibri" w:hAnsi="Calibri" w:cs="Calibri"/>
        </w:rPr>
        <w:t xml:space="preserve"> </w:t>
      </w:r>
      <w:r w:rsidRPr="005734B8">
        <w:rPr>
          <w:rFonts w:ascii="Calibri" w:hAnsi="Calibri" w:cs="Calibri"/>
        </w:rPr>
        <w:t>Tony has a breadth of experience in leading significant strategic reforms to public sector governance, corporate services</w:t>
      </w:r>
      <w:r w:rsidR="00F73ADD" w:rsidRPr="005734B8">
        <w:rPr>
          <w:rFonts w:ascii="Calibri" w:hAnsi="Calibri" w:cs="Calibri"/>
        </w:rPr>
        <w:t xml:space="preserve"> and</w:t>
      </w:r>
      <w:r w:rsidRPr="005734B8">
        <w:rPr>
          <w:rFonts w:ascii="Calibri" w:hAnsi="Calibri" w:cs="Calibri"/>
        </w:rPr>
        <w:t xml:space="preserve"> fiscal strategy, and in performance measurement.</w:t>
      </w:r>
    </w:p>
    <w:p w14:paraId="3F9BB63F" w14:textId="77777777" w:rsidR="008E3C51" w:rsidRPr="005734B8" w:rsidRDefault="008E3C51" w:rsidP="008E3C51">
      <w:pPr>
        <w:rPr>
          <w:rFonts w:ascii="Calibri" w:hAnsi="Calibri" w:cs="Calibri"/>
        </w:rPr>
      </w:pPr>
    </w:p>
    <w:p w14:paraId="53AB54F2" w14:textId="60F67F20" w:rsidR="000E6E95" w:rsidRPr="005734B8" w:rsidRDefault="008E3C51" w:rsidP="008E3C51">
      <w:pPr>
        <w:rPr>
          <w:rFonts w:ascii="Calibri" w:hAnsi="Calibri" w:cs="Calibri"/>
        </w:rPr>
      </w:pPr>
      <w:r w:rsidRPr="005734B8">
        <w:rPr>
          <w:rFonts w:ascii="Calibri" w:hAnsi="Calibri" w:cs="Calibri"/>
        </w:rPr>
        <w:t>Tony holds a Bachelor of Science (Honours) and Master of Science from the University of Melbourne, is a member of the Australian Institute of Company Directors (AICD) and an alumni of the Australia</w:t>
      </w:r>
      <w:r w:rsidR="002F4E2D" w:rsidRPr="005734B8">
        <w:rPr>
          <w:rFonts w:ascii="Calibri" w:hAnsi="Calibri" w:cs="Calibri"/>
        </w:rPr>
        <w:t>n</w:t>
      </w:r>
      <w:r w:rsidRPr="005734B8">
        <w:rPr>
          <w:rFonts w:ascii="Calibri" w:hAnsi="Calibri" w:cs="Calibri"/>
        </w:rPr>
        <w:t xml:space="preserve"> and New Zealand School of Government (ANZSOG) Executive Fellows Program. Tony was awarded a Public Service Medal in January 2016 for outstanding public service to fiscal management in Victoria.</w:t>
      </w:r>
    </w:p>
    <w:bookmarkEnd w:id="347"/>
    <w:p w14:paraId="7E105DB8" w14:textId="158AE8E5" w:rsidR="002E79C0" w:rsidRPr="005734B8" w:rsidRDefault="002E79C0" w:rsidP="002E79C0">
      <w:pPr>
        <w:pStyle w:val="ESHeading3"/>
        <w:ind w:left="0" w:firstLine="0"/>
        <w:rPr>
          <w:rFonts w:ascii="Calibri" w:hAnsi="Calibri" w:cs="Calibri"/>
        </w:rPr>
      </w:pPr>
      <w:r w:rsidRPr="005734B8">
        <w:rPr>
          <w:rFonts w:ascii="Calibri" w:hAnsi="Calibri" w:cs="Calibri"/>
        </w:rPr>
        <w:t>Deputy Secretary, Higher Education and Skills</w:t>
      </w:r>
      <w:r w:rsidR="003C0776" w:rsidRPr="005734B8">
        <w:rPr>
          <w:rFonts w:ascii="Calibri" w:hAnsi="Calibri" w:cs="Calibri"/>
        </w:rPr>
        <w:t>—</w:t>
      </w:r>
      <w:r w:rsidRPr="005734B8">
        <w:rPr>
          <w:rFonts w:ascii="Calibri" w:hAnsi="Calibri" w:cs="Calibri"/>
        </w:rPr>
        <w:t>Ms Lill Healy</w:t>
      </w:r>
    </w:p>
    <w:p w14:paraId="54E85B98" w14:textId="5EB3B33B" w:rsidR="002E79C0" w:rsidRPr="005734B8" w:rsidRDefault="002E79C0" w:rsidP="002E79C0">
      <w:pPr>
        <w:rPr>
          <w:rFonts w:ascii="Calibri" w:hAnsi="Calibri" w:cs="Calibri"/>
        </w:rPr>
      </w:pPr>
      <w:r w:rsidRPr="005734B8">
        <w:rPr>
          <w:rFonts w:ascii="Calibri" w:hAnsi="Calibri" w:cs="Calibri"/>
        </w:rPr>
        <w:t xml:space="preserve">Lill joined the Department as the Deputy Secretary of </w:t>
      </w:r>
      <w:r w:rsidR="005C4EC7" w:rsidRPr="005734B8">
        <w:rPr>
          <w:rFonts w:ascii="Calibri" w:hAnsi="Calibri" w:cs="Calibri"/>
        </w:rPr>
        <w:t>HES</w:t>
      </w:r>
      <w:r w:rsidRPr="005734B8">
        <w:rPr>
          <w:rFonts w:ascii="Calibri" w:hAnsi="Calibri" w:cs="Calibri"/>
        </w:rPr>
        <w:t xml:space="preserve"> in April 2021. Lill has worked across the community, private and public sectors and has held leadership positions in a diverse range of portfolios, all of which focused on greater economic and social inclusion for Victorian communities. </w:t>
      </w:r>
    </w:p>
    <w:p w14:paraId="710ECAE1" w14:textId="77777777" w:rsidR="002E79C0" w:rsidRPr="005734B8" w:rsidRDefault="002E79C0" w:rsidP="002E79C0">
      <w:pPr>
        <w:rPr>
          <w:rFonts w:ascii="Calibri" w:hAnsi="Calibri" w:cs="Calibri"/>
        </w:rPr>
      </w:pPr>
    </w:p>
    <w:p w14:paraId="5F8A12D2" w14:textId="077C8967" w:rsidR="002E79C0" w:rsidRPr="005734B8" w:rsidRDefault="002E79C0" w:rsidP="002E79C0">
      <w:pPr>
        <w:rPr>
          <w:rFonts w:ascii="Calibri" w:hAnsi="Calibri" w:cs="Calibri"/>
        </w:rPr>
      </w:pPr>
      <w:r w:rsidRPr="005734B8">
        <w:rPr>
          <w:rFonts w:ascii="Calibri" w:hAnsi="Calibri" w:cs="Calibri"/>
        </w:rPr>
        <w:t xml:space="preserve">As Deputy Secretary, </w:t>
      </w:r>
      <w:r w:rsidR="00995AE5" w:rsidRPr="005734B8">
        <w:rPr>
          <w:rFonts w:ascii="Calibri" w:hAnsi="Calibri" w:cs="Calibri"/>
        </w:rPr>
        <w:t xml:space="preserve">Service System Reform, </w:t>
      </w:r>
      <w:r w:rsidR="00AF652A" w:rsidRPr="005734B8">
        <w:rPr>
          <w:rFonts w:ascii="Calibri" w:hAnsi="Calibri" w:cs="Calibri"/>
        </w:rPr>
        <w:t>DPC</w:t>
      </w:r>
      <w:r w:rsidR="007E7008" w:rsidRPr="005734B8">
        <w:rPr>
          <w:rFonts w:ascii="Calibri" w:hAnsi="Calibri" w:cs="Calibri"/>
        </w:rPr>
        <w:t>,</w:t>
      </w:r>
      <w:r w:rsidRPr="005734B8">
        <w:rPr>
          <w:rFonts w:ascii="Calibri" w:hAnsi="Calibri" w:cs="Calibri"/>
        </w:rPr>
        <w:t xml:space="preserve"> Lill led a cross government team progress</w:t>
      </w:r>
      <w:r w:rsidR="00AF652A" w:rsidRPr="005734B8">
        <w:rPr>
          <w:rFonts w:ascii="Calibri" w:hAnsi="Calibri" w:cs="Calibri"/>
        </w:rPr>
        <w:t>ing</w:t>
      </w:r>
      <w:r w:rsidRPr="005734B8">
        <w:rPr>
          <w:rFonts w:ascii="Calibri" w:hAnsi="Calibri" w:cs="Calibri"/>
        </w:rPr>
        <w:t xml:space="preserve"> new ways of tackling entrenched socioeconomic disadvantage through community led</w:t>
      </w:r>
      <w:r w:rsidR="00AF652A" w:rsidRPr="005734B8">
        <w:rPr>
          <w:rFonts w:ascii="Calibri" w:hAnsi="Calibri" w:cs="Calibri"/>
        </w:rPr>
        <w:t>,</w:t>
      </w:r>
      <w:r w:rsidRPr="005734B8">
        <w:rPr>
          <w:rFonts w:ascii="Calibri" w:hAnsi="Calibri" w:cs="Calibri"/>
        </w:rPr>
        <w:t xml:space="preserve"> place-based approaches and wider service delivery reform. Previously, Lill served as Deputy Secretary</w:t>
      </w:r>
      <w:r w:rsidR="00995AE5" w:rsidRPr="005734B8">
        <w:rPr>
          <w:rFonts w:ascii="Calibri" w:hAnsi="Calibri" w:cs="Calibri"/>
        </w:rPr>
        <w:t>,</w:t>
      </w:r>
      <w:r w:rsidRPr="005734B8">
        <w:rPr>
          <w:rFonts w:ascii="Calibri" w:hAnsi="Calibri" w:cs="Calibri"/>
        </w:rPr>
        <w:t xml:space="preserve"> Policy, Programs, Small Business </w:t>
      </w:r>
      <w:r w:rsidR="00AF652A" w:rsidRPr="005734B8">
        <w:rPr>
          <w:rFonts w:ascii="Calibri" w:hAnsi="Calibri" w:cs="Calibri"/>
        </w:rPr>
        <w:t>and</w:t>
      </w:r>
      <w:r w:rsidRPr="005734B8">
        <w:rPr>
          <w:rFonts w:ascii="Calibri" w:hAnsi="Calibri" w:cs="Calibri"/>
        </w:rPr>
        <w:t xml:space="preserve"> Employment,</w:t>
      </w:r>
      <w:r w:rsidR="00337B35" w:rsidRPr="005734B8">
        <w:rPr>
          <w:rFonts w:ascii="Calibri" w:hAnsi="Calibri" w:cs="Calibri"/>
        </w:rPr>
        <w:t xml:space="preserve"> </w:t>
      </w:r>
      <w:r w:rsidR="00995AE5" w:rsidRPr="005734B8">
        <w:rPr>
          <w:rFonts w:ascii="Calibri" w:hAnsi="Calibri" w:cs="Calibri"/>
        </w:rPr>
        <w:t>DJPR</w:t>
      </w:r>
      <w:r w:rsidR="00F73ADD" w:rsidRPr="005734B8">
        <w:rPr>
          <w:rFonts w:ascii="Calibri" w:hAnsi="Calibri" w:cs="Calibri"/>
        </w:rPr>
        <w:t>,</w:t>
      </w:r>
      <w:r w:rsidRPr="005734B8">
        <w:rPr>
          <w:rFonts w:ascii="Calibri" w:hAnsi="Calibri" w:cs="Calibri"/>
        </w:rPr>
        <w:t xml:space="preserve"> where she oversaw the development of Jobs Victoria and the establishment of Victoria’s first Social Procurement Framework and Social Enterprise Strategy. </w:t>
      </w:r>
    </w:p>
    <w:p w14:paraId="4F00F082" w14:textId="77777777" w:rsidR="002E79C0" w:rsidRPr="005734B8" w:rsidRDefault="002E79C0" w:rsidP="002E79C0">
      <w:pPr>
        <w:rPr>
          <w:rFonts w:ascii="Calibri" w:hAnsi="Calibri" w:cs="Calibri"/>
        </w:rPr>
      </w:pPr>
    </w:p>
    <w:p w14:paraId="3E9F3BEE" w14:textId="0E75AE71" w:rsidR="005523A7" w:rsidRPr="005734B8" w:rsidRDefault="002E79C0" w:rsidP="002E79C0">
      <w:pPr>
        <w:rPr>
          <w:rFonts w:ascii="Calibri" w:hAnsi="Calibri" w:cs="Calibri"/>
        </w:rPr>
      </w:pPr>
      <w:r w:rsidRPr="005734B8">
        <w:rPr>
          <w:rFonts w:ascii="Calibri" w:hAnsi="Calibri" w:cs="Calibri"/>
        </w:rPr>
        <w:t>Lill holds a Bachelor of Business, Banking and Finance</w:t>
      </w:r>
      <w:r w:rsidR="00736722" w:rsidRPr="005734B8">
        <w:rPr>
          <w:rFonts w:ascii="Calibri" w:hAnsi="Calibri" w:cs="Calibri"/>
        </w:rPr>
        <w:t xml:space="preserve"> and</w:t>
      </w:r>
      <w:r w:rsidRPr="005734B8">
        <w:rPr>
          <w:rFonts w:ascii="Calibri" w:hAnsi="Calibri" w:cs="Calibri"/>
        </w:rPr>
        <w:t xml:space="preserve"> a Diploma of Youth Work</w:t>
      </w:r>
      <w:r w:rsidR="00BD0D79" w:rsidRPr="005734B8">
        <w:rPr>
          <w:rFonts w:ascii="Calibri" w:hAnsi="Calibri" w:cs="Calibri"/>
        </w:rPr>
        <w:t xml:space="preserve"> from Victoria University</w:t>
      </w:r>
      <w:r w:rsidRPr="005734B8">
        <w:rPr>
          <w:rFonts w:ascii="Calibri" w:hAnsi="Calibri" w:cs="Calibri"/>
        </w:rPr>
        <w:t xml:space="preserve"> and is an Executive Fellow of ANZSOG.</w:t>
      </w:r>
    </w:p>
    <w:p w14:paraId="436EEADC" w14:textId="57898124" w:rsidR="00E85FD1" w:rsidRPr="005734B8" w:rsidRDefault="00E85FD1" w:rsidP="00E85FD1">
      <w:pPr>
        <w:pStyle w:val="ESHeading3"/>
        <w:ind w:left="0" w:firstLine="0"/>
        <w:rPr>
          <w:rFonts w:ascii="Calibri" w:hAnsi="Calibri" w:cs="Calibri"/>
        </w:rPr>
      </w:pPr>
      <w:r w:rsidRPr="005734B8">
        <w:rPr>
          <w:rFonts w:ascii="Calibri" w:hAnsi="Calibri" w:cs="Calibri"/>
        </w:rPr>
        <w:t>Deputy Secretary, People and Executive Services</w:t>
      </w:r>
      <w:r w:rsidR="00E72641" w:rsidRPr="005734B8">
        <w:rPr>
          <w:rFonts w:ascii="Calibri" w:hAnsi="Calibri" w:cs="Calibri"/>
        </w:rPr>
        <w:t>—</w:t>
      </w:r>
      <w:r w:rsidRPr="005734B8">
        <w:rPr>
          <w:rFonts w:ascii="Calibri" w:hAnsi="Calibri" w:cs="Calibri"/>
        </w:rPr>
        <w:t>Ms Kate Rattigan</w:t>
      </w:r>
      <w:bookmarkEnd w:id="348"/>
      <w:bookmarkEnd w:id="349"/>
      <w:bookmarkEnd w:id="350"/>
      <w:bookmarkEnd w:id="351"/>
      <w:bookmarkEnd w:id="352"/>
      <w:bookmarkEnd w:id="353"/>
      <w:r w:rsidRPr="005734B8">
        <w:rPr>
          <w:rFonts w:ascii="Calibri" w:hAnsi="Calibri" w:cs="Calibri"/>
        </w:rPr>
        <w:t xml:space="preserve"> </w:t>
      </w:r>
    </w:p>
    <w:p w14:paraId="02BA8125" w14:textId="3243183E" w:rsidR="0006603A" w:rsidRPr="005734B8" w:rsidRDefault="0006603A" w:rsidP="0006603A">
      <w:pPr>
        <w:tabs>
          <w:tab w:val="left" w:pos="-720"/>
          <w:tab w:val="left" w:pos="0"/>
          <w:tab w:val="left" w:pos="720"/>
          <w:tab w:val="left" w:pos="1440"/>
          <w:tab w:val="left" w:pos="2160"/>
          <w:tab w:val="left" w:pos="2880"/>
          <w:tab w:val="left" w:pos="3600"/>
          <w:tab w:val="left" w:pos="4320"/>
        </w:tabs>
        <w:autoSpaceDE w:val="0"/>
        <w:autoSpaceDN w:val="0"/>
        <w:adjustRightInd w:val="0"/>
        <w:rPr>
          <w:rFonts w:ascii="Calibri" w:hAnsi="Calibri" w:cs="Calibri"/>
          <w:color w:val="000000"/>
        </w:rPr>
      </w:pPr>
      <w:bookmarkStart w:id="354" w:name="_Toc11158186"/>
      <w:bookmarkStart w:id="355" w:name="_Toc11336193"/>
      <w:bookmarkStart w:id="356" w:name="_Toc14965417"/>
      <w:bookmarkStart w:id="357" w:name="_Toc19271996"/>
      <w:bookmarkStart w:id="358" w:name="_Toc19272362"/>
      <w:bookmarkStart w:id="359" w:name="_Toc19273697"/>
      <w:bookmarkStart w:id="360" w:name="_Toc11158189"/>
      <w:bookmarkStart w:id="361" w:name="_Toc11336196"/>
      <w:bookmarkStart w:id="362" w:name="_Toc14965420"/>
      <w:bookmarkStart w:id="363" w:name="_Toc19271999"/>
      <w:bookmarkStart w:id="364" w:name="_Toc19272365"/>
      <w:bookmarkStart w:id="365" w:name="_Toc19273700"/>
      <w:bookmarkStart w:id="366" w:name="_Toc9432810"/>
      <w:r w:rsidRPr="005734B8">
        <w:rPr>
          <w:rFonts w:ascii="Calibri" w:hAnsi="Calibri" w:cs="Calibri"/>
          <w:color w:val="000000"/>
        </w:rPr>
        <w:t xml:space="preserve">Kate Rattigan </w:t>
      </w:r>
      <w:r w:rsidR="008A4C01" w:rsidRPr="005734B8">
        <w:rPr>
          <w:rFonts w:ascii="Calibri" w:hAnsi="Calibri" w:cs="Calibri"/>
          <w:color w:val="000000"/>
        </w:rPr>
        <w:t>joined</w:t>
      </w:r>
      <w:r w:rsidR="00E72641" w:rsidRPr="005734B8">
        <w:rPr>
          <w:rFonts w:ascii="Calibri" w:hAnsi="Calibri" w:cs="Calibri"/>
          <w:color w:val="000000"/>
        </w:rPr>
        <w:t xml:space="preserve"> the Department</w:t>
      </w:r>
      <w:r w:rsidRPr="005734B8">
        <w:rPr>
          <w:rFonts w:ascii="Calibri" w:hAnsi="Calibri" w:cs="Calibri"/>
          <w:color w:val="000000"/>
        </w:rPr>
        <w:t xml:space="preserve"> as Deputy Secretary, </w:t>
      </w:r>
      <w:r w:rsidR="000E7E4D" w:rsidRPr="005734B8">
        <w:rPr>
          <w:rFonts w:ascii="Calibri" w:hAnsi="Calibri" w:cs="Calibri"/>
          <w:color w:val="000000"/>
        </w:rPr>
        <w:t>People and Executive Services (</w:t>
      </w:r>
      <w:r w:rsidRPr="005734B8">
        <w:rPr>
          <w:rFonts w:ascii="Calibri" w:hAnsi="Calibri" w:cs="Calibri"/>
          <w:color w:val="000000"/>
        </w:rPr>
        <w:t>PES</w:t>
      </w:r>
      <w:r w:rsidR="000E7E4D" w:rsidRPr="005734B8">
        <w:rPr>
          <w:rFonts w:ascii="Calibri" w:hAnsi="Calibri" w:cs="Calibri"/>
          <w:color w:val="000000"/>
        </w:rPr>
        <w:t>)</w:t>
      </w:r>
      <w:r w:rsidRPr="005734B8">
        <w:rPr>
          <w:rFonts w:ascii="Calibri" w:hAnsi="Calibri" w:cs="Calibri"/>
          <w:color w:val="000000"/>
        </w:rPr>
        <w:t xml:space="preserve"> in October 2015.</w:t>
      </w:r>
    </w:p>
    <w:p w14:paraId="47F918EB" w14:textId="77777777" w:rsidR="0006603A" w:rsidRPr="005734B8" w:rsidRDefault="0006603A" w:rsidP="0006603A">
      <w:pPr>
        <w:tabs>
          <w:tab w:val="left" w:pos="-720"/>
          <w:tab w:val="left" w:pos="0"/>
          <w:tab w:val="left" w:pos="720"/>
          <w:tab w:val="left" w:pos="1440"/>
          <w:tab w:val="left" w:pos="2160"/>
          <w:tab w:val="left" w:pos="2880"/>
          <w:tab w:val="left" w:pos="3600"/>
          <w:tab w:val="left" w:pos="4320"/>
        </w:tabs>
        <w:autoSpaceDE w:val="0"/>
        <w:autoSpaceDN w:val="0"/>
        <w:adjustRightInd w:val="0"/>
        <w:rPr>
          <w:rFonts w:ascii="Calibri" w:hAnsi="Calibri" w:cs="Calibri"/>
          <w:color w:val="000000"/>
        </w:rPr>
      </w:pPr>
    </w:p>
    <w:p w14:paraId="1C11184A" w14:textId="77DA9264" w:rsidR="0006603A" w:rsidRPr="005734B8" w:rsidRDefault="0006603A" w:rsidP="0006603A">
      <w:pPr>
        <w:tabs>
          <w:tab w:val="left" w:pos="-720"/>
          <w:tab w:val="left" w:pos="0"/>
          <w:tab w:val="left" w:pos="720"/>
          <w:tab w:val="left" w:pos="1440"/>
          <w:tab w:val="left" w:pos="2160"/>
          <w:tab w:val="left" w:pos="2880"/>
          <w:tab w:val="left" w:pos="3600"/>
          <w:tab w:val="left" w:pos="4320"/>
        </w:tabs>
        <w:autoSpaceDE w:val="0"/>
        <w:autoSpaceDN w:val="0"/>
        <w:adjustRightInd w:val="0"/>
        <w:rPr>
          <w:rFonts w:ascii="Calibri" w:hAnsi="Calibri" w:cs="Calibri"/>
          <w:color w:val="000000"/>
        </w:rPr>
      </w:pPr>
      <w:r w:rsidRPr="005734B8">
        <w:rPr>
          <w:rFonts w:ascii="Calibri" w:hAnsi="Calibri" w:cs="Calibri"/>
          <w:color w:val="000000"/>
        </w:rPr>
        <w:t xml:space="preserve">Kate represents the Department on the Public Sector Administration Committee, the Public Sector </w:t>
      </w:r>
      <w:r w:rsidR="007538C7" w:rsidRPr="005734B8">
        <w:rPr>
          <w:rFonts w:ascii="Calibri" w:hAnsi="Calibri" w:cs="Calibri"/>
          <w:color w:val="000000"/>
        </w:rPr>
        <w:t>OHS</w:t>
      </w:r>
      <w:r w:rsidRPr="005734B8">
        <w:rPr>
          <w:rFonts w:ascii="Calibri" w:hAnsi="Calibri" w:cs="Calibri"/>
          <w:color w:val="000000"/>
        </w:rPr>
        <w:t xml:space="preserve"> Interdepartmental Committee, the Sexual Harassment Interdepartmental Committee, the Jobs and Skills Exchange Interdepartmental Committee, the VPS Agreement Interdepartmental Committee, the Royal Commission into Violence, Abuse, Neglect and Exploitation of People with Disability Interdepartmental Committee, the VPS Commission Deputy Secretary Disability Champion Round Table, and the Northern Metropolitan Partnership. </w:t>
      </w:r>
    </w:p>
    <w:p w14:paraId="257C1ABD" w14:textId="77777777" w:rsidR="0006603A" w:rsidRPr="005734B8" w:rsidRDefault="0006603A" w:rsidP="0006603A">
      <w:pPr>
        <w:tabs>
          <w:tab w:val="left" w:pos="-720"/>
          <w:tab w:val="left" w:pos="0"/>
          <w:tab w:val="left" w:pos="720"/>
          <w:tab w:val="left" w:pos="1440"/>
          <w:tab w:val="left" w:pos="2160"/>
          <w:tab w:val="left" w:pos="2880"/>
          <w:tab w:val="left" w:pos="3600"/>
          <w:tab w:val="left" w:pos="4320"/>
        </w:tabs>
        <w:autoSpaceDE w:val="0"/>
        <w:autoSpaceDN w:val="0"/>
        <w:adjustRightInd w:val="0"/>
        <w:rPr>
          <w:rFonts w:ascii="Calibri" w:hAnsi="Calibri" w:cs="Calibri"/>
          <w:color w:val="000000"/>
        </w:rPr>
      </w:pPr>
    </w:p>
    <w:p w14:paraId="62114F60" w14:textId="5664156E" w:rsidR="0006603A" w:rsidRPr="005734B8" w:rsidRDefault="0006603A" w:rsidP="0006603A">
      <w:pPr>
        <w:tabs>
          <w:tab w:val="left" w:pos="-720"/>
          <w:tab w:val="left" w:pos="0"/>
          <w:tab w:val="left" w:pos="720"/>
          <w:tab w:val="left" w:pos="1440"/>
          <w:tab w:val="left" w:pos="2160"/>
          <w:tab w:val="left" w:pos="2880"/>
          <w:tab w:val="left" w:pos="3600"/>
          <w:tab w:val="left" w:pos="4320"/>
        </w:tabs>
        <w:autoSpaceDE w:val="0"/>
        <w:autoSpaceDN w:val="0"/>
        <w:adjustRightInd w:val="0"/>
        <w:rPr>
          <w:rFonts w:ascii="Calibri" w:hAnsi="Calibri" w:cs="Calibri"/>
          <w:color w:val="000000"/>
        </w:rPr>
      </w:pPr>
      <w:r w:rsidRPr="005734B8">
        <w:rPr>
          <w:rFonts w:ascii="Calibri" w:hAnsi="Calibri" w:cs="Calibri"/>
          <w:color w:val="000000"/>
        </w:rPr>
        <w:t>Kate has worked in various departmental capacities, providing strategic oversight over complex operational matters and specialist and technical advice to ministers, the Secretary, executives, managers, regional directors, school principals and school councils.</w:t>
      </w:r>
    </w:p>
    <w:p w14:paraId="04D75C31" w14:textId="77777777" w:rsidR="0006603A" w:rsidRPr="005734B8" w:rsidRDefault="0006603A" w:rsidP="0006603A">
      <w:pPr>
        <w:tabs>
          <w:tab w:val="left" w:pos="-720"/>
          <w:tab w:val="left" w:pos="0"/>
          <w:tab w:val="left" w:pos="720"/>
          <w:tab w:val="left" w:pos="1440"/>
          <w:tab w:val="left" w:pos="2160"/>
          <w:tab w:val="left" w:pos="2880"/>
          <w:tab w:val="left" w:pos="3600"/>
          <w:tab w:val="left" w:pos="4320"/>
        </w:tabs>
        <w:autoSpaceDE w:val="0"/>
        <w:autoSpaceDN w:val="0"/>
        <w:adjustRightInd w:val="0"/>
        <w:rPr>
          <w:rFonts w:ascii="Calibri" w:hAnsi="Calibri" w:cs="Calibri"/>
          <w:color w:val="000000"/>
        </w:rPr>
      </w:pPr>
    </w:p>
    <w:p w14:paraId="54F8843D" w14:textId="64D1C2C3" w:rsidR="000E6E95" w:rsidRPr="005734B8" w:rsidRDefault="0006603A" w:rsidP="0006603A">
      <w:pPr>
        <w:tabs>
          <w:tab w:val="left" w:pos="-720"/>
          <w:tab w:val="left" w:pos="0"/>
          <w:tab w:val="left" w:pos="720"/>
          <w:tab w:val="left" w:pos="1440"/>
          <w:tab w:val="left" w:pos="2160"/>
          <w:tab w:val="left" w:pos="2880"/>
          <w:tab w:val="left" w:pos="3600"/>
          <w:tab w:val="left" w:pos="4320"/>
        </w:tabs>
        <w:autoSpaceDE w:val="0"/>
        <w:autoSpaceDN w:val="0"/>
        <w:adjustRightInd w:val="0"/>
        <w:rPr>
          <w:rFonts w:ascii="Calibri" w:hAnsi="Calibri" w:cs="Calibri"/>
          <w:color w:val="000000"/>
        </w:rPr>
      </w:pPr>
      <w:r w:rsidRPr="005734B8">
        <w:rPr>
          <w:rFonts w:ascii="Calibri" w:hAnsi="Calibri" w:cs="Calibri"/>
          <w:color w:val="000000"/>
        </w:rPr>
        <w:lastRenderedPageBreak/>
        <w:t>Kate holds a Bachelor of Law</w:t>
      </w:r>
      <w:r w:rsidR="00404454">
        <w:rPr>
          <w:rFonts w:ascii="Calibri" w:hAnsi="Calibri" w:cs="Calibri"/>
          <w:color w:val="000000"/>
        </w:rPr>
        <w:t>s</w:t>
      </w:r>
      <w:r w:rsidRPr="005734B8">
        <w:rPr>
          <w:rFonts w:ascii="Calibri" w:hAnsi="Calibri" w:cs="Calibri"/>
          <w:color w:val="000000"/>
        </w:rPr>
        <w:t xml:space="preserve"> (Honours), a Bachelor of Arts and a Master of Employment and Labour Relations Law from the University of Melbourne.</w:t>
      </w:r>
      <w:bookmarkEnd w:id="354"/>
      <w:bookmarkEnd w:id="355"/>
    </w:p>
    <w:p w14:paraId="2748B201" w14:textId="3600C81F" w:rsidR="0035666D" w:rsidRPr="005734B8" w:rsidRDefault="0035666D" w:rsidP="0035666D">
      <w:pPr>
        <w:pStyle w:val="ESHeading3"/>
        <w:ind w:left="0" w:firstLine="0"/>
        <w:rPr>
          <w:rFonts w:ascii="Calibri" w:hAnsi="Calibri" w:cs="Calibri"/>
        </w:rPr>
      </w:pPr>
      <w:r w:rsidRPr="005734B8">
        <w:rPr>
          <w:rFonts w:ascii="Calibri" w:hAnsi="Calibri" w:cs="Calibri"/>
        </w:rPr>
        <w:t>Deputy Secretary, Policy, Strategy and Performance</w:t>
      </w:r>
      <w:r w:rsidR="00F903FA" w:rsidRPr="005734B8">
        <w:rPr>
          <w:rFonts w:ascii="Calibri" w:hAnsi="Calibri" w:cs="Calibri"/>
        </w:rPr>
        <w:t>—</w:t>
      </w:r>
      <w:r w:rsidRPr="005734B8">
        <w:rPr>
          <w:rFonts w:ascii="Calibri" w:hAnsi="Calibri" w:cs="Calibri"/>
        </w:rPr>
        <w:t>Ms Kylie White</w:t>
      </w:r>
      <w:bookmarkEnd w:id="356"/>
      <w:bookmarkEnd w:id="357"/>
      <w:bookmarkEnd w:id="358"/>
      <w:bookmarkEnd w:id="359"/>
      <w:r w:rsidRPr="005734B8">
        <w:rPr>
          <w:rFonts w:ascii="Calibri" w:hAnsi="Calibri" w:cs="Calibri"/>
        </w:rPr>
        <w:t xml:space="preserve"> </w:t>
      </w:r>
    </w:p>
    <w:p w14:paraId="20D3CB61" w14:textId="77777777" w:rsidR="00515F49" w:rsidRPr="00515F49" w:rsidRDefault="00515F49" w:rsidP="00515F49">
      <w:pPr>
        <w:tabs>
          <w:tab w:val="left" w:pos="-720"/>
          <w:tab w:val="left" w:pos="0"/>
          <w:tab w:val="left" w:pos="720"/>
          <w:tab w:val="left" w:pos="1440"/>
          <w:tab w:val="left" w:pos="2160"/>
          <w:tab w:val="left" w:pos="2880"/>
          <w:tab w:val="left" w:pos="3600"/>
          <w:tab w:val="left" w:pos="4320"/>
        </w:tabs>
        <w:autoSpaceDE w:val="0"/>
        <w:autoSpaceDN w:val="0"/>
        <w:adjustRightInd w:val="0"/>
        <w:rPr>
          <w:rFonts w:ascii="Calibri" w:hAnsi="Calibri" w:cs="Calibri"/>
          <w:color w:val="000000"/>
        </w:rPr>
      </w:pPr>
      <w:r w:rsidRPr="00515F49">
        <w:rPr>
          <w:rFonts w:ascii="Calibri" w:hAnsi="Calibri" w:cs="Calibri"/>
          <w:color w:val="000000"/>
        </w:rPr>
        <w:t>Kylie White joined the Department as Deputy Secretary, Policy and Strategy Performance (PSP) in May 2021.</w:t>
      </w:r>
    </w:p>
    <w:p w14:paraId="782E0BF8" w14:textId="77777777" w:rsidR="00515F49" w:rsidRPr="00515F49" w:rsidRDefault="00515F49" w:rsidP="00515F49">
      <w:pPr>
        <w:tabs>
          <w:tab w:val="left" w:pos="-720"/>
          <w:tab w:val="left" w:pos="0"/>
          <w:tab w:val="left" w:pos="720"/>
          <w:tab w:val="left" w:pos="1440"/>
          <w:tab w:val="left" w:pos="2160"/>
          <w:tab w:val="left" w:pos="2880"/>
          <w:tab w:val="left" w:pos="3600"/>
          <w:tab w:val="left" w:pos="4320"/>
        </w:tabs>
        <w:autoSpaceDE w:val="0"/>
        <w:autoSpaceDN w:val="0"/>
        <w:adjustRightInd w:val="0"/>
        <w:rPr>
          <w:rFonts w:ascii="Calibri" w:hAnsi="Calibri" w:cs="Calibri"/>
          <w:color w:val="000000"/>
        </w:rPr>
      </w:pPr>
    </w:p>
    <w:p w14:paraId="198E3117" w14:textId="77777777" w:rsidR="00515F49" w:rsidRPr="00515F49" w:rsidRDefault="00515F49" w:rsidP="00515F49">
      <w:pPr>
        <w:tabs>
          <w:tab w:val="left" w:pos="-720"/>
          <w:tab w:val="left" w:pos="0"/>
          <w:tab w:val="left" w:pos="720"/>
          <w:tab w:val="left" w:pos="1440"/>
          <w:tab w:val="left" w:pos="2160"/>
          <w:tab w:val="left" w:pos="2880"/>
          <w:tab w:val="left" w:pos="3600"/>
          <w:tab w:val="left" w:pos="4320"/>
        </w:tabs>
        <w:autoSpaceDE w:val="0"/>
        <w:autoSpaceDN w:val="0"/>
        <w:adjustRightInd w:val="0"/>
        <w:rPr>
          <w:rFonts w:ascii="Calibri" w:hAnsi="Calibri" w:cs="Calibri"/>
          <w:color w:val="000000"/>
        </w:rPr>
      </w:pPr>
      <w:r w:rsidRPr="00515F49">
        <w:rPr>
          <w:rFonts w:ascii="Calibri" w:hAnsi="Calibri" w:cs="Calibri"/>
          <w:color w:val="000000"/>
        </w:rPr>
        <w:t>Previously Kylie was Deputy Secretary, Environment and Climate Change in the Victorian Department of Environment, Land, Water and Planning (DELWP) and prior to that Kylie was an Executive Director in DPC and has held senior roles in other Victorian public sector departments including the Department of Economic Development, Jobs Transport and Resources.</w:t>
      </w:r>
    </w:p>
    <w:p w14:paraId="7EFE0CE7" w14:textId="77777777" w:rsidR="00515F49" w:rsidRPr="00515F49" w:rsidRDefault="00515F49" w:rsidP="00515F49">
      <w:pPr>
        <w:tabs>
          <w:tab w:val="left" w:pos="-720"/>
          <w:tab w:val="left" w:pos="0"/>
          <w:tab w:val="left" w:pos="720"/>
          <w:tab w:val="left" w:pos="1440"/>
          <w:tab w:val="left" w:pos="2160"/>
          <w:tab w:val="left" w:pos="2880"/>
          <w:tab w:val="left" w:pos="3600"/>
          <w:tab w:val="left" w:pos="4320"/>
        </w:tabs>
        <w:autoSpaceDE w:val="0"/>
        <w:autoSpaceDN w:val="0"/>
        <w:adjustRightInd w:val="0"/>
        <w:rPr>
          <w:rFonts w:ascii="Calibri" w:hAnsi="Calibri" w:cs="Calibri"/>
          <w:color w:val="000000"/>
        </w:rPr>
      </w:pPr>
    </w:p>
    <w:p w14:paraId="7341FA0B" w14:textId="77777777" w:rsidR="00515F49" w:rsidRPr="00515F49" w:rsidRDefault="00515F49" w:rsidP="00515F49">
      <w:pPr>
        <w:tabs>
          <w:tab w:val="left" w:pos="-720"/>
          <w:tab w:val="left" w:pos="0"/>
          <w:tab w:val="left" w:pos="720"/>
          <w:tab w:val="left" w:pos="1440"/>
          <w:tab w:val="left" w:pos="2160"/>
          <w:tab w:val="left" w:pos="2880"/>
          <w:tab w:val="left" w:pos="3600"/>
          <w:tab w:val="left" w:pos="4320"/>
        </w:tabs>
        <w:autoSpaceDE w:val="0"/>
        <w:autoSpaceDN w:val="0"/>
        <w:adjustRightInd w:val="0"/>
        <w:rPr>
          <w:rFonts w:ascii="Calibri" w:hAnsi="Calibri" w:cs="Calibri"/>
          <w:color w:val="000000"/>
        </w:rPr>
      </w:pPr>
      <w:r w:rsidRPr="00515F49">
        <w:rPr>
          <w:rFonts w:ascii="Calibri" w:hAnsi="Calibri" w:cs="Calibri"/>
          <w:color w:val="000000"/>
        </w:rPr>
        <w:t>In 2018, Kylie was recognised by IPAA as a Victorian Fellow in recognition of her outstanding contribution of public administration.</w:t>
      </w:r>
    </w:p>
    <w:p w14:paraId="45226936" w14:textId="77777777" w:rsidR="0035666D" w:rsidRPr="005734B8" w:rsidRDefault="0035666D" w:rsidP="0035666D">
      <w:pPr>
        <w:tabs>
          <w:tab w:val="left" w:pos="-720"/>
          <w:tab w:val="left" w:pos="0"/>
          <w:tab w:val="left" w:pos="720"/>
          <w:tab w:val="left" w:pos="1440"/>
          <w:tab w:val="left" w:pos="2160"/>
          <w:tab w:val="left" w:pos="2880"/>
          <w:tab w:val="left" w:pos="3600"/>
          <w:tab w:val="left" w:pos="4320"/>
        </w:tabs>
        <w:autoSpaceDE w:val="0"/>
        <w:autoSpaceDN w:val="0"/>
        <w:adjustRightInd w:val="0"/>
        <w:rPr>
          <w:rFonts w:ascii="Calibri" w:hAnsi="Calibri" w:cs="Calibri"/>
          <w:color w:val="000000"/>
        </w:rPr>
      </w:pPr>
    </w:p>
    <w:p w14:paraId="75FE18FB" w14:textId="542B2823" w:rsidR="0035666D" w:rsidRPr="005734B8" w:rsidRDefault="0035666D" w:rsidP="0035666D">
      <w:pPr>
        <w:tabs>
          <w:tab w:val="left" w:pos="-720"/>
          <w:tab w:val="left" w:pos="0"/>
          <w:tab w:val="left" w:pos="720"/>
          <w:tab w:val="left" w:pos="1440"/>
          <w:tab w:val="left" w:pos="2160"/>
          <w:tab w:val="left" w:pos="2880"/>
          <w:tab w:val="left" w:pos="3600"/>
          <w:tab w:val="left" w:pos="4320"/>
        </w:tabs>
        <w:autoSpaceDE w:val="0"/>
        <w:autoSpaceDN w:val="0"/>
        <w:adjustRightInd w:val="0"/>
        <w:rPr>
          <w:rFonts w:ascii="Calibri" w:hAnsi="Calibri" w:cs="Calibri"/>
          <w:color w:val="000000"/>
        </w:rPr>
      </w:pPr>
      <w:r w:rsidRPr="005734B8">
        <w:rPr>
          <w:rFonts w:ascii="Calibri" w:hAnsi="Calibri" w:cs="Calibri"/>
          <w:color w:val="000000"/>
        </w:rPr>
        <w:t>Kylie h</w:t>
      </w:r>
      <w:r w:rsidR="004E605C" w:rsidRPr="005734B8">
        <w:rPr>
          <w:rFonts w:ascii="Calibri" w:hAnsi="Calibri" w:cs="Calibri"/>
          <w:color w:val="000000"/>
        </w:rPr>
        <w:t>olds</w:t>
      </w:r>
      <w:r w:rsidRPr="005734B8">
        <w:rPr>
          <w:rFonts w:ascii="Calibri" w:hAnsi="Calibri" w:cs="Calibri"/>
          <w:color w:val="000000"/>
        </w:rPr>
        <w:t xml:space="preserve"> a Bachelor of Forest Science</w:t>
      </w:r>
      <w:r w:rsidR="004E605C" w:rsidRPr="005734B8">
        <w:rPr>
          <w:rFonts w:ascii="Calibri" w:hAnsi="Calibri" w:cs="Calibri"/>
          <w:color w:val="000000"/>
        </w:rPr>
        <w:t xml:space="preserve"> from the Australian National University</w:t>
      </w:r>
      <w:r w:rsidR="00076935" w:rsidRPr="005734B8">
        <w:rPr>
          <w:rFonts w:ascii="Calibri" w:hAnsi="Calibri" w:cs="Calibri"/>
          <w:color w:val="000000"/>
        </w:rPr>
        <w:t xml:space="preserve"> and</w:t>
      </w:r>
      <w:r w:rsidRPr="005734B8">
        <w:rPr>
          <w:rFonts w:ascii="Calibri" w:hAnsi="Calibri" w:cs="Calibri"/>
          <w:color w:val="000000"/>
        </w:rPr>
        <w:t xml:space="preserve"> a Master of </w:t>
      </w:r>
      <w:r w:rsidR="00594886" w:rsidRPr="005734B8">
        <w:rPr>
          <w:rFonts w:ascii="Calibri" w:hAnsi="Calibri" w:cs="Calibri"/>
          <w:color w:val="000000"/>
        </w:rPr>
        <w:t xml:space="preserve">Environmental Management </w:t>
      </w:r>
      <w:r w:rsidR="00E10AA1" w:rsidRPr="005734B8">
        <w:rPr>
          <w:rFonts w:ascii="Calibri" w:hAnsi="Calibri" w:cs="Calibri"/>
          <w:color w:val="000000"/>
        </w:rPr>
        <w:t>from the University o</w:t>
      </w:r>
      <w:r w:rsidR="004E605C" w:rsidRPr="005734B8">
        <w:rPr>
          <w:rFonts w:ascii="Calibri" w:hAnsi="Calibri" w:cs="Calibri"/>
          <w:color w:val="000000"/>
        </w:rPr>
        <w:t>f New England</w:t>
      </w:r>
      <w:r w:rsidRPr="005734B8">
        <w:rPr>
          <w:rFonts w:ascii="Calibri" w:hAnsi="Calibri" w:cs="Calibri"/>
          <w:color w:val="000000"/>
        </w:rPr>
        <w:t xml:space="preserve"> and is a graduate of the Advanced Management Program </w:t>
      </w:r>
      <w:r w:rsidR="00076935" w:rsidRPr="005734B8">
        <w:rPr>
          <w:rFonts w:ascii="Calibri" w:hAnsi="Calibri" w:cs="Calibri"/>
          <w:color w:val="000000"/>
        </w:rPr>
        <w:t>at</w:t>
      </w:r>
      <w:r w:rsidRPr="005734B8">
        <w:rPr>
          <w:rFonts w:ascii="Calibri" w:hAnsi="Calibri" w:cs="Calibri"/>
          <w:color w:val="000000"/>
        </w:rPr>
        <w:t xml:space="preserve"> Harvard Business School.</w:t>
      </w:r>
    </w:p>
    <w:p w14:paraId="64E687E5" w14:textId="63EE5E5E" w:rsidR="00E85FD1" w:rsidRPr="005734B8" w:rsidRDefault="0083098F" w:rsidP="00E85FD1">
      <w:pPr>
        <w:pStyle w:val="ESHeading3"/>
        <w:ind w:left="0" w:firstLine="0"/>
        <w:rPr>
          <w:rFonts w:ascii="Calibri" w:hAnsi="Calibri" w:cs="Calibri"/>
        </w:rPr>
      </w:pPr>
      <w:r w:rsidRPr="005734B8">
        <w:rPr>
          <w:rFonts w:ascii="Calibri" w:hAnsi="Calibri" w:cs="Calibri"/>
        </w:rPr>
        <w:t xml:space="preserve">Acting </w:t>
      </w:r>
      <w:r w:rsidR="00E85FD1" w:rsidRPr="005734B8">
        <w:rPr>
          <w:rFonts w:ascii="Calibri" w:hAnsi="Calibri" w:cs="Calibri"/>
        </w:rPr>
        <w:t>Deputy Secretary, School Education Programs and Support</w:t>
      </w:r>
      <w:bookmarkEnd w:id="360"/>
      <w:bookmarkEnd w:id="361"/>
      <w:bookmarkEnd w:id="362"/>
      <w:bookmarkEnd w:id="363"/>
      <w:bookmarkEnd w:id="364"/>
      <w:bookmarkEnd w:id="365"/>
      <w:r w:rsidR="00E74687" w:rsidRPr="005734B8">
        <w:rPr>
          <w:rFonts w:ascii="Calibri" w:hAnsi="Calibri" w:cs="Calibri"/>
        </w:rPr>
        <w:t>—</w:t>
      </w:r>
      <w:r w:rsidR="00B409C9" w:rsidRPr="005734B8">
        <w:rPr>
          <w:rFonts w:ascii="Calibri" w:hAnsi="Calibri" w:cs="Calibri"/>
        </w:rPr>
        <w:t xml:space="preserve">Mr </w:t>
      </w:r>
      <w:r w:rsidRPr="005734B8">
        <w:rPr>
          <w:rFonts w:ascii="Calibri" w:hAnsi="Calibri" w:cs="Calibri"/>
        </w:rPr>
        <w:t>Ian Burrage</w:t>
      </w:r>
      <w:r w:rsidR="00E85FD1" w:rsidRPr="005734B8">
        <w:rPr>
          <w:rFonts w:ascii="Calibri" w:hAnsi="Calibri" w:cs="Calibri"/>
        </w:rPr>
        <w:t xml:space="preserve"> </w:t>
      </w:r>
    </w:p>
    <w:p w14:paraId="0A857D5C" w14:textId="37B2C2ED" w:rsidR="0083098F" w:rsidRPr="005734B8" w:rsidRDefault="0083098F" w:rsidP="0083098F">
      <w:pPr>
        <w:rPr>
          <w:rFonts w:ascii="Calibri" w:hAnsi="Calibri" w:cs="Calibri"/>
          <w:szCs w:val="22"/>
          <w:lang w:val="en-US"/>
        </w:rPr>
      </w:pPr>
      <w:bookmarkStart w:id="367" w:name="_Toc11158190"/>
      <w:bookmarkStart w:id="368" w:name="_Toc11336197"/>
      <w:r w:rsidRPr="005734B8">
        <w:rPr>
          <w:rFonts w:ascii="Calibri" w:hAnsi="Calibri" w:cs="Calibri"/>
          <w:szCs w:val="22"/>
          <w:lang w:val="en-US"/>
        </w:rPr>
        <w:t xml:space="preserve">Ian Burrage is Acting Deputy Secretary, School Education Programs and Support (SEPS), which is responsible for designing a learning, development and wellbeing system that provides every student with the knowledge, capabilities and attributes to thrive. </w:t>
      </w:r>
    </w:p>
    <w:p w14:paraId="3E26F795" w14:textId="77777777" w:rsidR="0083098F" w:rsidRPr="005734B8" w:rsidRDefault="0083098F" w:rsidP="0083098F">
      <w:pPr>
        <w:rPr>
          <w:rFonts w:ascii="Calibri" w:hAnsi="Calibri" w:cs="Calibri"/>
          <w:szCs w:val="22"/>
          <w:lang w:val="en-US"/>
        </w:rPr>
      </w:pPr>
    </w:p>
    <w:p w14:paraId="77F4DBB4" w14:textId="6F0B660D" w:rsidR="0083098F" w:rsidRPr="005734B8" w:rsidRDefault="0083098F" w:rsidP="0083098F">
      <w:pPr>
        <w:rPr>
          <w:rFonts w:ascii="Calibri" w:hAnsi="Calibri" w:cs="Calibri"/>
          <w:szCs w:val="22"/>
          <w:lang w:val="en-US"/>
        </w:rPr>
      </w:pPr>
      <w:r w:rsidRPr="005734B8">
        <w:rPr>
          <w:rFonts w:ascii="Calibri" w:hAnsi="Calibri" w:cs="Calibri"/>
          <w:szCs w:val="22"/>
          <w:lang w:val="en-US"/>
        </w:rPr>
        <w:t xml:space="preserve">Ian has extensive experience in the </w:t>
      </w:r>
      <w:r w:rsidR="001E5903" w:rsidRPr="005734B8">
        <w:rPr>
          <w:rFonts w:ascii="Calibri" w:hAnsi="Calibri" w:cs="Calibri"/>
          <w:szCs w:val="22"/>
          <w:lang w:val="en-US"/>
        </w:rPr>
        <w:t>VPS</w:t>
      </w:r>
      <w:r w:rsidRPr="005734B8">
        <w:rPr>
          <w:rFonts w:ascii="Calibri" w:hAnsi="Calibri" w:cs="Calibri"/>
          <w:szCs w:val="22"/>
          <w:lang w:val="en-US"/>
        </w:rPr>
        <w:t xml:space="preserve"> and has held various senior roles including policy implementation roles in the South Eastern Victoria Region. Prior to that Ian worked across different education policy areas including skills, early childhood and school education.</w:t>
      </w:r>
    </w:p>
    <w:p w14:paraId="079D7AA9" w14:textId="77777777" w:rsidR="0083098F" w:rsidRPr="005734B8" w:rsidRDefault="0083098F" w:rsidP="0083098F">
      <w:pPr>
        <w:rPr>
          <w:rFonts w:ascii="Calibri" w:hAnsi="Calibri" w:cs="Calibri"/>
          <w:szCs w:val="22"/>
          <w:lang w:val="en-US"/>
        </w:rPr>
      </w:pPr>
    </w:p>
    <w:p w14:paraId="7A4B2C06" w14:textId="784C5269" w:rsidR="00FB1ADB" w:rsidRPr="005734B8" w:rsidRDefault="0083098F" w:rsidP="00FB1ADB">
      <w:pPr>
        <w:rPr>
          <w:rFonts w:ascii="Calibri" w:hAnsi="Calibri" w:cs="Calibri"/>
          <w:highlight w:val="yellow"/>
        </w:rPr>
      </w:pPr>
      <w:r w:rsidRPr="005734B8">
        <w:rPr>
          <w:rFonts w:ascii="Calibri" w:hAnsi="Calibri" w:cs="Calibri"/>
          <w:szCs w:val="22"/>
          <w:lang w:val="en-US"/>
        </w:rPr>
        <w:t>Ian holds a Bachelor of Arts from Monash University and Master of Public Policy and Management from the University of Melbourne.</w:t>
      </w:r>
    </w:p>
    <w:p w14:paraId="29AAA8E6" w14:textId="41583797" w:rsidR="00206DFD" w:rsidRPr="005734B8" w:rsidRDefault="00206DFD" w:rsidP="00206DFD">
      <w:pPr>
        <w:pStyle w:val="ESHeading3"/>
        <w:ind w:left="0" w:firstLine="0"/>
        <w:rPr>
          <w:rFonts w:ascii="Calibri" w:hAnsi="Calibri" w:cs="Calibri"/>
        </w:rPr>
      </w:pPr>
      <w:bookmarkStart w:id="369" w:name="_Toc11158191"/>
      <w:bookmarkStart w:id="370" w:name="_Toc11336198"/>
      <w:bookmarkStart w:id="371" w:name="_Toc14965422"/>
      <w:bookmarkStart w:id="372" w:name="_Toc19272001"/>
      <w:bookmarkStart w:id="373" w:name="_Toc19272367"/>
      <w:bookmarkStart w:id="374" w:name="_Toc19273702"/>
      <w:bookmarkEnd w:id="367"/>
      <w:bookmarkEnd w:id="368"/>
      <w:r w:rsidRPr="005734B8">
        <w:rPr>
          <w:rFonts w:ascii="Calibri" w:hAnsi="Calibri" w:cs="Calibri"/>
        </w:rPr>
        <w:t>Deputy Secretary, Schools and Regional Services</w:t>
      </w:r>
      <w:r w:rsidR="00891E38" w:rsidRPr="005734B8">
        <w:rPr>
          <w:rFonts w:ascii="Calibri" w:hAnsi="Calibri" w:cs="Calibri"/>
        </w:rPr>
        <w:t>—</w:t>
      </w:r>
      <w:r w:rsidRPr="005734B8">
        <w:rPr>
          <w:rFonts w:ascii="Calibri" w:hAnsi="Calibri" w:cs="Calibri"/>
        </w:rPr>
        <w:t xml:space="preserve">Dr David Howes </w:t>
      </w:r>
    </w:p>
    <w:p w14:paraId="131E35F5" w14:textId="13ADA589" w:rsidR="00206DFD" w:rsidRPr="005734B8" w:rsidRDefault="00206DFD" w:rsidP="00206DFD">
      <w:pPr>
        <w:rPr>
          <w:rFonts w:ascii="Calibri" w:hAnsi="Calibri" w:cs="Calibri"/>
        </w:rPr>
      </w:pPr>
      <w:r w:rsidRPr="005734B8">
        <w:rPr>
          <w:rFonts w:ascii="Calibri" w:hAnsi="Calibri" w:cs="Calibri"/>
        </w:rPr>
        <w:t xml:space="preserve">David Howes is Deputy Secretary, </w:t>
      </w:r>
      <w:r w:rsidR="00065BC7" w:rsidRPr="005734B8">
        <w:rPr>
          <w:rFonts w:ascii="Calibri" w:hAnsi="Calibri" w:cs="Calibri"/>
        </w:rPr>
        <w:t>Schools and Regional Services (</w:t>
      </w:r>
      <w:r w:rsidRPr="005734B8">
        <w:rPr>
          <w:rFonts w:ascii="Calibri" w:hAnsi="Calibri" w:cs="Calibri"/>
        </w:rPr>
        <w:t>SRS</w:t>
      </w:r>
      <w:r w:rsidR="00065BC7" w:rsidRPr="005734B8">
        <w:rPr>
          <w:rFonts w:ascii="Calibri" w:hAnsi="Calibri" w:cs="Calibri"/>
        </w:rPr>
        <w:t>)</w:t>
      </w:r>
      <w:r w:rsidRPr="005734B8">
        <w:rPr>
          <w:rFonts w:ascii="Calibri" w:hAnsi="Calibri" w:cs="Calibri"/>
        </w:rPr>
        <w:t xml:space="preserve">. Immediately prior to this, David was CEO of the VCAA. </w:t>
      </w:r>
    </w:p>
    <w:p w14:paraId="0908A68A" w14:textId="77777777" w:rsidR="00206DFD" w:rsidRPr="005734B8" w:rsidRDefault="00206DFD" w:rsidP="00206DFD">
      <w:pPr>
        <w:rPr>
          <w:rFonts w:ascii="Calibri" w:hAnsi="Calibri" w:cs="Calibri"/>
        </w:rPr>
      </w:pPr>
    </w:p>
    <w:p w14:paraId="2BE9A7E4" w14:textId="5BA0BE6B" w:rsidR="00206DFD" w:rsidRPr="005734B8" w:rsidRDefault="00206DFD" w:rsidP="00206DFD">
      <w:pPr>
        <w:rPr>
          <w:rFonts w:ascii="Calibri" w:hAnsi="Calibri" w:cs="Calibri"/>
        </w:rPr>
      </w:pPr>
      <w:r w:rsidRPr="005734B8">
        <w:rPr>
          <w:rFonts w:ascii="Calibri" w:hAnsi="Calibri" w:cs="Calibri"/>
        </w:rPr>
        <w:t>David began his career as a teacher in the western suburbs of Melbourne, where he worked for 10 years as a teacher and in a range of school leadership roles. He was awarded a Public Service Medal in the 2021 Australia Day Honours for his commitment to deliver educational equity and excellence for Victoria</w:t>
      </w:r>
      <w:r w:rsidR="00D16135" w:rsidRPr="005734B8">
        <w:rPr>
          <w:rFonts w:ascii="Calibri" w:hAnsi="Calibri" w:cs="Calibri"/>
        </w:rPr>
        <w:t>’</w:t>
      </w:r>
      <w:r w:rsidRPr="005734B8">
        <w:rPr>
          <w:rFonts w:ascii="Calibri" w:hAnsi="Calibri" w:cs="Calibri"/>
        </w:rPr>
        <w:t>s school students.</w:t>
      </w:r>
    </w:p>
    <w:p w14:paraId="3DDAB2AA" w14:textId="77777777" w:rsidR="00206DFD" w:rsidRPr="005734B8" w:rsidRDefault="00206DFD" w:rsidP="00206DFD">
      <w:pPr>
        <w:rPr>
          <w:rFonts w:ascii="Calibri" w:hAnsi="Calibri" w:cs="Calibri"/>
        </w:rPr>
      </w:pPr>
    </w:p>
    <w:p w14:paraId="0A04FFA0" w14:textId="7054AC3E" w:rsidR="000E6E95" w:rsidRPr="005734B8" w:rsidRDefault="00206DFD" w:rsidP="00206DFD">
      <w:pPr>
        <w:rPr>
          <w:rFonts w:ascii="Calibri" w:hAnsi="Calibri" w:cs="Calibri"/>
        </w:rPr>
      </w:pPr>
      <w:r w:rsidRPr="005734B8">
        <w:rPr>
          <w:rFonts w:ascii="Calibri" w:hAnsi="Calibri" w:cs="Calibri"/>
        </w:rPr>
        <w:t>David holds a B</w:t>
      </w:r>
      <w:r w:rsidRPr="005734B8">
        <w:rPr>
          <w:rFonts w:ascii="Calibri" w:eastAsia="Times New Roman" w:hAnsi="Calibri" w:cs="Calibri"/>
        </w:rPr>
        <w:t>achelor of Arts</w:t>
      </w:r>
      <w:r w:rsidRPr="005734B8">
        <w:rPr>
          <w:rFonts w:ascii="Calibri" w:hAnsi="Calibri" w:cs="Calibri"/>
        </w:rPr>
        <w:t xml:space="preserve"> (Honours), Diploma of Education, Master of Education and Doctor of Philosophy degrees from the University of Melbourne. David also holds an Executive Master of Public Administration from ANZSOG.</w:t>
      </w:r>
    </w:p>
    <w:p w14:paraId="4B665727" w14:textId="4CBFAFD9" w:rsidR="00E82D65" w:rsidRPr="005734B8" w:rsidRDefault="00DE08D6" w:rsidP="00E85FD1">
      <w:pPr>
        <w:pStyle w:val="ESHeading3"/>
        <w:ind w:left="0" w:firstLine="0"/>
        <w:rPr>
          <w:rFonts w:ascii="Calibri" w:hAnsi="Calibri" w:cs="Calibri"/>
        </w:rPr>
      </w:pPr>
      <w:r w:rsidRPr="005734B8">
        <w:rPr>
          <w:rFonts w:ascii="Calibri" w:hAnsi="Calibri" w:cs="Calibri"/>
        </w:rPr>
        <w:t>C</w:t>
      </w:r>
      <w:r w:rsidR="00635E11" w:rsidRPr="005734B8">
        <w:rPr>
          <w:rFonts w:ascii="Calibri" w:hAnsi="Calibri" w:cs="Calibri"/>
        </w:rPr>
        <w:t xml:space="preserve">hief </w:t>
      </w:r>
      <w:r w:rsidRPr="005734B8">
        <w:rPr>
          <w:rFonts w:ascii="Calibri" w:hAnsi="Calibri" w:cs="Calibri"/>
        </w:rPr>
        <w:t>E</w:t>
      </w:r>
      <w:r w:rsidR="00635E11" w:rsidRPr="005734B8">
        <w:rPr>
          <w:rFonts w:ascii="Calibri" w:hAnsi="Calibri" w:cs="Calibri"/>
        </w:rPr>
        <w:t xml:space="preserve">xecutive </w:t>
      </w:r>
      <w:r w:rsidRPr="005734B8">
        <w:rPr>
          <w:rFonts w:ascii="Calibri" w:hAnsi="Calibri" w:cs="Calibri"/>
        </w:rPr>
        <w:t>O</w:t>
      </w:r>
      <w:r w:rsidR="00635E11" w:rsidRPr="005734B8">
        <w:rPr>
          <w:rFonts w:ascii="Calibri" w:hAnsi="Calibri" w:cs="Calibri"/>
        </w:rPr>
        <w:t>fficer</w:t>
      </w:r>
      <w:r w:rsidR="00E82D65" w:rsidRPr="005734B8">
        <w:rPr>
          <w:rFonts w:ascii="Calibri" w:hAnsi="Calibri" w:cs="Calibri"/>
        </w:rPr>
        <w:t>, Victorian School Building Authority</w:t>
      </w:r>
      <w:r w:rsidR="001736D3" w:rsidRPr="005734B8">
        <w:rPr>
          <w:rFonts w:ascii="Calibri" w:hAnsi="Calibri" w:cs="Calibri"/>
        </w:rPr>
        <w:t>—</w:t>
      </w:r>
      <w:r w:rsidR="00E82D65" w:rsidRPr="005734B8">
        <w:rPr>
          <w:rFonts w:ascii="Calibri" w:hAnsi="Calibri" w:cs="Calibri"/>
        </w:rPr>
        <w:t>Mr Chris Keating</w:t>
      </w:r>
      <w:bookmarkEnd w:id="366"/>
      <w:bookmarkEnd w:id="369"/>
      <w:bookmarkEnd w:id="370"/>
      <w:bookmarkEnd w:id="371"/>
      <w:bookmarkEnd w:id="372"/>
      <w:bookmarkEnd w:id="373"/>
      <w:bookmarkEnd w:id="374"/>
      <w:r w:rsidR="00E82D65" w:rsidRPr="005734B8">
        <w:rPr>
          <w:rFonts w:ascii="Calibri" w:hAnsi="Calibri" w:cs="Calibri"/>
        </w:rPr>
        <w:t xml:space="preserve"> </w:t>
      </w:r>
    </w:p>
    <w:p w14:paraId="744D7463" w14:textId="3953D6A7" w:rsidR="00594886" w:rsidRPr="005734B8" w:rsidRDefault="00594886" w:rsidP="00594886">
      <w:pPr>
        <w:rPr>
          <w:rFonts w:ascii="Calibri" w:hAnsi="Calibri" w:cs="Calibri"/>
        </w:rPr>
      </w:pPr>
      <w:r w:rsidRPr="005734B8">
        <w:rPr>
          <w:rFonts w:ascii="Calibri" w:hAnsi="Calibri" w:cs="Calibri"/>
        </w:rPr>
        <w:t xml:space="preserve">Chris Keating has been CEO of the Victorian School Building Authority (VSBA) since it was established in August 2016. He leads the planning and delivery of Victoria’s record $10.9 billion investment in schools and kindergartens. </w:t>
      </w:r>
    </w:p>
    <w:p w14:paraId="5A76E82F" w14:textId="77777777" w:rsidR="00594886" w:rsidRPr="005734B8" w:rsidRDefault="00594886" w:rsidP="00594886">
      <w:pPr>
        <w:rPr>
          <w:rFonts w:ascii="Calibri" w:hAnsi="Calibri" w:cs="Calibri"/>
        </w:rPr>
      </w:pPr>
    </w:p>
    <w:p w14:paraId="1EB63469" w14:textId="653F48E4" w:rsidR="00594886" w:rsidRPr="005734B8" w:rsidRDefault="00594886" w:rsidP="00594886">
      <w:pPr>
        <w:rPr>
          <w:rFonts w:ascii="Calibri" w:hAnsi="Calibri" w:cs="Calibri"/>
        </w:rPr>
      </w:pPr>
      <w:r w:rsidRPr="005734B8">
        <w:rPr>
          <w:rFonts w:ascii="Calibri" w:hAnsi="Calibri" w:cs="Calibri"/>
        </w:rPr>
        <w:t>In that time, Chris has overseen the building and opening of 55 new state of-the-art schools and more than 1,700 projects to upgrade or expand existing schools. The VSBA will open a further 14 new schools in early 2022. Chris is also helping oversee the construction, upgrade or expansion of almost 1,000 early learning centres over the next decade</w:t>
      </w:r>
      <w:r w:rsidR="009F0780" w:rsidRPr="005734B8">
        <w:rPr>
          <w:rFonts w:ascii="Calibri" w:hAnsi="Calibri" w:cs="Calibri"/>
        </w:rPr>
        <w:t>,</w:t>
      </w:r>
      <w:r w:rsidRPr="005734B8">
        <w:rPr>
          <w:rFonts w:ascii="Calibri" w:hAnsi="Calibri" w:cs="Calibri"/>
        </w:rPr>
        <w:t xml:space="preserve"> to meet the government’s commitment to offer funded kindergarten to every Victorian three-year-old.</w:t>
      </w:r>
    </w:p>
    <w:p w14:paraId="4F0551BF" w14:textId="77777777" w:rsidR="00594886" w:rsidRPr="005734B8" w:rsidRDefault="00594886" w:rsidP="00594886">
      <w:pPr>
        <w:rPr>
          <w:rFonts w:ascii="Calibri" w:hAnsi="Calibri" w:cs="Calibri"/>
        </w:rPr>
      </w:pPr>
    </w:p>
    <w:p w14:paraId="1A1DEFAB" w14:textId="77777777" w:rsidR="00594886" w:rsidRPr="005734B8" w:rsidRDefault="00594886" w:rsidP="00594886">
      <w:pPr>
        <w:rPr>
          <w:rFonts w:ascii="Calibri" w:hAnsi="Calibri" w:cs="Calibri"/>
        </w:rPr>
      </w:pPr>
      <w:r w:rsidRPr="005734B8">
        <w:rPr>
          <w:rFonts w:ascii="Calibri" w:hAnsi="Calibri" w:cs="Calibri"/>
        </w:rPr>
        <w:t>Before becoming the VSBA’s CEO, Chris led the Department’s Infrastructure and Sustainability Division. He has been involved in delivering public school building projects in Victoria since 2006.</w:t>
      </w:r>
    </w:p>
    <w:p w14:paraId="321767BA" w14:textId="4D610BCD" w:rsidR="0089638A" w:rsidRPr="005734B8" w:rsidRDefault="0089638A" w:rsidP="0089638A">
      <w:pPr>
        <w:rPr>
          <w:rFonts w:ascii="Calibri" w:hAnsi="Calibri" w:cs="Calibri"/>
        </w:rPr>
      </w:pPr>
    </w:p>
    <w:p w14:paraId="3E9BBFE8" w14:textId="7D58D6F0" w:rsidR="0089638A" w:rsidRPr="005734B8" w:rsidRDefault="0089638A" w:rsidP="0089638A">
      <w:pPr>
        <w:rPr>
          <w:rFonts w:ascii="Calibri" w:hAnsi="Calibri" w:cs="Calibri"/>
          <w:highlight w:val="yellow"/>
        </w:rPr>
      </w:pPr>
      <w:bookmarkStart w:id="375" w:name="_Toc11158192"/>
      <w:bookmarkStart w:id="376" w:name="_Toc11336199"/>
      <w:bookmarkStart w:id="377" w:name="_Toc10208708"/>
      <w:r w:rsidRPr="005734B8">
        <w:rPr>
          <w:rFonts w:ascii="Calibri" w:hAnsi="Calibri" w:cs="Calibri"/>
        </w:rPr>
        <w:t xml:space="preserve">Chris holds a </w:t>
      </w:r>
      <w:bookmarkStart w:id="378" w:name="_Hlk78288889"/>
      <w:r w:rsidRPr="005734B8">
        <w:rPr>
          <w:rFonts w:ascii="Calibri" w:hAnsi="Calibri" w:cs="Calibri"/>
        </w:rPr>
        <w:t xml:space="preserve">Bachelor of Arts </w:t>
      </w:r>
      <w:r w:rsidR="007D6D55" w:rsidRPr="005734B8">
        <w:rPr>
          <w:rFonts w:ascii="Calibri" w:hAnsi="Calibri" w:cs="Calibri"/>
        </w:rPr>
        <w:t xml:space="preserve">from the University of Melbourne </w:t>
      </w:r>
      <w:r w:rsidRPr="005734B8">
        <w:rPr>
          <w:rFonts w:ascii="Calibri" w:hAnsi="Calibri" w:cs="Calibri"/>
        </w:rPr>
        <w:t xml:space="preserve">and a Master </w:t>
      </w:r>
      <w:r w:rsidR="0052500A" w:rsidRPr="005734B8">
        <w:rPr>
          <w:rFonts w:ascii="Calibri" w:hAnsi="Calibri" w:cs="Calibri"/>
        </w:rPr>
        <w:t>of</w:t>
      </w:r>
      <w:r w:rsidRPr="005734B8">
        <w:rPr>
          <w:rFonts w:ascii="Calibri" w:hAnsi="Calibri" w:cs="Calibri"/>
        </w:rPr>
        <w:t xml:space="preserve"> Computer Science</w:t>
      </w:r>
      <w:bookmarkEnd w:id="378"/>
      <w:r w:rsidR="00594886" w:rsidRPr="005734B8">
        <w:rPr>
          <w:rFonts w:ascii="Calibri" w:hAnsi="Calibri" w:cs="Calibri"/>
        </w:rPr>
        <w:t xml:space="preserve"> from </w:t>
      </w:r>
      <w:r w:rsidR="007D6D55" w:rsidRPr="005734B8">
        <w:rPr>
          <w:rFonts w:ascii="Calibri" w:hAnsi="Calibri" w:cs="Calibri"/>
        </w:rPr>
        <w:t>RMIT University</w:t>
      </w:r>
      <w:r w:rsidRPr="005734B8">
        <w:rPr>
          <w:rFonts w:ascii="Calibri" w:hAnsi="Calibri" w:cs="Calibri"/>
        </w:rPr>
        <w:t>.</w:t>
      </w:r>
    </w:p>
    <w:p w14:paraId="77C35332" w14:textId="11368700" w:rsidR="00846A12" w:rsidRPr="005734B8" w:rsidRDefault="00846A12" w:rsidP="00846A12">
      <w:pPr>
        <w:pStyle w:val="ESHeading3"/>
        <w:ind w:left="0" w:firstLine="0"/>
        <w:rPr>
          <w:rFonts w:ascii="Calibri" w:hAnsi="Calibri" w:cs="Calibri"/>
        </w:rPr>
      </w:pPr>
      <w:bookmarkStart w:id="379" w:name="_Toc11158194"/>
      <w:bookmarkStart w:id="380" w:name="_Toc11336201"/>
      <w:bookmarkStart w:id="381" w:name="_Toc14965425"/>
      <w:bookmarkStart w:id="382" w:name="_Toc19272004"/>
      <w:bookmarkStart w:id="383" w:name="_Toc19272370"/>
      <w:bookmarkStart w:id="384" w:name="_Toc19273705"/>
      <w:bookmarkStart w:id="385" w:name="_Toc11158195"/>
      <w:bookmarkStart w:id="386" w:name="_Toc11336202"/>
      <w:bookmarkStart w:id="387" w:name="_Toc13656673"/>
      <w:bookmarkEnd w:id="375"/>
      <w:bookmarkEnd w:id="376"/>
      <w:r w:rsidRPr="005734B8">
        <w:rPr>
          <w:rFonts w:ascii="Calibri" w:hAnsi="Calibri" w:cs="Calibri"/>
        </w:rPr>
        <w:t>Assistant Deputy Secretary, Economic Recovery</w:t>
      </w:r>
      <w:r w:rsidR="00B17A21" w:rsidRPr="005734B8">
        <w:rPr>
          <w:rFonts w:ascii="Calibri" w:hAnsi="Calibri" w:cs="Calibri"/>
        </w:rPr>
        <w:t>—</w:t>
      </w:r>
      <w:r w:rsidRPr="005734B8">
        <w:rPr>
          <w:rFonts w:ascii="Calibri" w:hAnsi="Calibri" w:cs="Calibri"/>
        </w:rPr>
        <w:t xml:space="preserve">Ms Meena Naidu </w:t>
      </w:r>
    </w:p>
    <w:p w14:paraId="1B5B9050" w14:textId="77777777" w:rsidR="00846A12" w:rsidRPr="005734B8" w:rsidRDefault="00846A12" w:rsidP="00846A12">
      <w:pPr>
        <w:rPr>
          <w:rFonts w:ascii="Calibri" w:hAnsi="Calibri" w:cs="Calibri"/>
        </w:rPr>
      </w:pPr>
      <w:r w:rsidRPr="005734B8">
        <w:rPr>
          <w:rFonts w:ascii="Calibri" w:hAnsi="Calibri" w:cs="Calibri"/>
        </w:rPr>
        <w:t>Meena Naidu joined the Department as the Assistant Deputy Secretary, Economic Recovery in May 2021.</w:t>
      </w:r>
    </w:p>
    <w:p w14:paraId="22BC1D50" w14:textId="77777777" w:rsidR="00846A12" w:rsidRPr="005734B8" w:rsidRDefault="00846A12" w:rsidP="00846A12">
      <w:pPr>
        <w:rPr>
          <w:rFonts w:ascii="Calibri" w:hAnsi="Calibri" w:cs="Calibri"/>
        </w:rPr>
      </w:pPr>
    </w:p>
    <w:p w14:paraId="25BD4E25" w14:textId="314BED49" w:rsidR="00846A12" w:rsidRPr="005734B8" w:rsidRDefault="00846A12" w:rsidP="00846A12">
      <w:pPr>
        <w:rPr>
          <w:rFonts w:ascii="Calibri" w:hAnsi="Calibri" w:cs="Calibri"/>
        </w:rPr>
      </w:pPr>
      <w:r w:rsidRPr="005734B8">
        <w:rPr>
          <w:rFonts w:ascii="Calibri" w:hAnsi="Calibri" w:cs="Calibri"/>
        </w:rPr>
        <w:t xml:space="preserve">Meena has </w:t>
      </w:r>
      <w:r w:rsidR="00D10EFB" w:rsidRPr="005734B8">
        <w:rPr>
          <w:rFonts w:ascii="Calibri" w:hAnsi="Calibri" w:cs="Calibri"/>
        </w:rPr>
        <w:t>more than</w:t>
      </w:r>
      <w:r w:rsidRPr="005734B8">
        <w:rPr>
          <w:rFonts w:ascii="Calibri" w:hAnsi="Calibri" w:cs="Calibri"/>
        </w:rPr>
        <w:t xml:space="preserve"> 25 years’ experience in public policy and regulation. Meena’s</w:t>
      </w:r>
      <w:r w:rsidRPr="005734B8" w:rsidDel="00461A22">
        <w:rPr>
          <w:rFonts w:ascii="Calibri" w:hAnsi="Calibri" w:cs="Calibri"/>
        </w:rPr>
        <w:t xml:space="preserve"> </w:t>
      </w:r>
      <w:r w:rsidRPr="005734B8">
        <w:rPr>
          <w:rFonts w:ascii="Calibri" w:hAnsi="Calibri" w:cs="Calibri"/>
        </w:rPr>
        <w:t>early career focused on policy and regulation in transport and utilities in Australia, the UK and developing countries, supporting productivity and access to services. Meena has led agriculture policy and food regulation before refocusing on safeguarding community service providers.</w:t>
      </w:r>
    </w:p>
    <w:p w14:paraId="6A6BB13D" w14:textId="77777777" w:rsidR="00846A12" w:rsidRPr="005734B8" w:rsidRDefault="00846A12" w:rsidP="00846A12">
      <w:pPr>
        <w:rPr>
          <w:rFonts w:ascii="Calibri" w:hAnsi="Calibri" w:cs="Calibri"/>
        </w:rPr>
      </w:pPr>
    </w:p>
    <w:p w14:paraId="407B5C28" w14:textId="77777777" w:rsidR="00846A12" w:rsidRPr="005734B8" w:rsidRDefault="00846A12" w:rsidP="00846A12">
      <w:pPr>
        <w:rPr>
          <w:rFonts w:ascii="Calibri" w:hAnsi="Calibri" w:cs="Calibri"/>
        </w:rPr>
      </w:pPr>
      <w:r w:rsidRPr="005734B8">
        <w:rPr>
          <w:rFonts w:ascii="Calibri" w:hAnsi="Calibri" w:cs="Calibri"/>
        </w:rPr>
        <w:t>Prior to joining the Department, Meena led the establishment of Child Safe Standards and the Reportable Conduct Scheme in the Victorian Commission for Children and Young People at the Department of Health and Human Services (DHHS).</w:t>
      </w:r>
    </w:p>
    <w:p w14:paraId="578B530E" w14:textId="77777777" w:rsidR="00846A12" w:rsidRPr="005734B8" w:rsidRDefault="00846A12" w:rsidP="00846A12">
      <w:pPr>
        <w:rPr>
          <w:rFonts w:ascii="Calibri" w:hAnsi="Calibri" w:cs="Calibri"/>
        </w:rPr>
      </w:pPr>
    </w:p>
    <w:p w14:paraId="16FE28D7" w14:textId="73AB37B7" w:rsidR="00846A12" w:rsidRPr="005734B8" w:rsidRDefault="00846A12" w:rsidP="00846A12">
      <w:pPr>
        <w:rPr>
          <w:rFonts w:ascii="Calibri" w:hAnsi="Calibri" w:cs="Calibri"/>
        </w:rPr>
      </w:pPr>
      <w:r w:rsidRPr="005734B8">
        <w:rPr>
          <w:rFonts w:ascii="Calibri" w:hAnsi="Calibri" w:cs="Calibri"/>
        </w:rPr>
        <w:t>Meena has led Health and Human Services Regulation and Reform at DHHS</w:t>
      </w:r>
      <w:r w:rsidR="00D10EFB" w:rsidRPr="005734B8">
        <w:rPr>
          <w:rFonts w:ascii="Calibri" w:hAnsi="Calibri" w:cs="Calibri"/>
        </w:rPr>
        <w:t>.</w:t>
      </w:r>
      <w:r w:rsidRPr="005734B8">
        <w:rPr>
          <w:rFonts w:ascii="Calibri" w:hAnsi="Calibri" w:cs="Calibri"/>
        </w:rPr>
        <w:t xml:space="preserve"> In that role Meena focused on reforms of Assisted Reproductive Treatment, established the Victorian Disability Worker Commission and led changes to safeguarding arrangements for child protection, family violence, homelessness and supported residential services. Meena was also responsible for supporting </w:t>
      </w:r>
      <w:r w:rsidR="00D10EFB" w:rsidRPr="005734B8">
        <w:rPr>
          <w:rFonts w:ascii="Calibri" w:hAnsi="Calibri" w:cs="Calibri"/>
        </w:rPr>
        <w:t>more than</w:t>
      </w:r>
      <w:r w:rsidRPr="005734B8">
        <w:rPr>
          <w:rFonts w:ascii="Calibri" w:hAnsi="Calibri" w:cs="Calibri"/>
        </w:rPr>
        <w:t xml:space="preserve"> 450 cemetery trusts across Victoria.</w:t>
      </w:r>
    </w:p>
    <w:p w14:paraId="2F717109" w14:textId="77777777" w:rsidR="00846A12" w:rsidRPr="005734B8" w:rsidRDefault="00846A12" w:rsidP="00846A12">
      <w:pPr>
        <w:rPr>
          <w:rFonts w:ascii="Calibri" w:hAnsi="Calibri" w:cs="Calibri"/>
        </w:rPr>
      </w:pPr>
    </w:p>
    <w:p w14:paraId="2E0A3133" w14:textId="77777777" w:rsidR="00846A12" w:rsidRPr="005734B8" w:rsidRDefault="00846A12" w:rsidP="00846A12">
      <w:pPr>
        <w:rPr>
          <w:rFonts w:ascii="Calibri" w:hAnsi="Calibri" w:cs="Calibri"/>
        </w:rPr>
      </w:pPr>
      <w:r w:rsidRPr="005734B8">
        <w:rPr>
          <w:rFonts w:ascii="Calibri" w:hAnsi="Calibri" w:cs="Calibri"/>
        </w:rPr>
        <w:t xml:space="preserve">Meena holds a Bachelor of Commerce from Monash University and a Master of Science in Economic Regulation and Competition from the University of London. </w:t>
      </w:r>
    </w:p>
    <w:p w14:paraId="3F047A11" w14:textId="77777777" w:rsidR="003D6388" w:rsidRPr="005734B8" w:rsidRDefault="003D6388">
      <w:pPr>
        <w:rPr>
          <w:rFonts w:ascii="Calibri" w:eastAsiaTheme="minorEastAsia" w:hAnsi="Calibri" w:cs="Calibri"/>
          <w:b/>
          <w:color w:val="53565A" w:themeColor="accent5"/>
          <w:szCs w:val="18"/>
          <w:lang w:val="en-US"/>
        </w:rPr>
      </w:pPr>
      <w:r w:rsidRPr="005734B8">
        <w:rPr>
          <w:rFonts w:ascii="Calibri" w:hAnsi="Calibri" w:cs="Calibri"/>
        </w:rPr>
        <w:br w:type="page"/>
      </w:r>
    </w:p>
    <w:p w14:paraId="102CD79A" w14:textId="555395E9" w:rsidR="00846A12" w:rsidRPr="005734B8" w:rsidRDefault="00846A12" w:rsidP="00846A12">
      <w:pPr>
        <w:pStyle w:val="ESHeading3"/>
        <w:ind w:left="0" w:firstLine="0"/>
        <w:rPr>
          <w:rFonts w:ascii="Calibri" w:hAnsi="Calibri" w:cs="Calibri"/>
        </w:rPr>
      </w:pPr>
      <w:r w:rsidRPr="005734B8">
        <w:rPr>
          <w:rFonts w:ascii="Calibri" w:hAnsi="Calibri" w:cs="Calibri"/>
        </w:rPr>
        <w:lastRenderedPageBreak/>
        <w:t>Assistant Deputy Secretary, Quality and Implementation</w:t>
      </w:r>
      <w:r w:rsidR="003C387A" w:rsidRPr="005734B8">
        <w:rPr>
          <w:rFonts w:ascii="Calibri" w:hAnsi="Calibri" w:cs="Calibri"/>
        </w:rPr>
        <w:t>—</w:t>
      </w:r>
      <w:r w:rsidRPr="005734B8">
        <w:rPr>
          <w:rFonts w:ascii="Calibri" w:hAnsi="Calibri" w:cs="Calibri"/>
        </w:rPr>
        <w:t xml:space="preserve">Ms Lee Watts </w:t>
      </w:r>
    </w:p>
    <w:p w14:paraId="2357FBE6" w14:textId="490CE668" w:rsidR="00846A12" w:rsidRPr="005734B8" w:rsidRDefault="00846A12" w:rsidP="00846A12">
      <w:pPr>
        <w:rPr>
          <w:rFonts w:ascii="Calibri" w:hAnsi="Calibri" w:cs="Calibri"/>
        </w:rPr>
      </w:pPr>
      <w:r w:rsidRPr="005734B8">
        <w:rPr>
          <w:rFonts w:ascii="Calibri" w:hAnsi="Calibri" w:cs="Calibri"/>
        </w:rPr>
        <w:t>Lee Watts joined the Department as the Executive Director of Training Market Operations, HES. Lee was appointed to the role of Assistant Deputy Secretary, HES</w:t>
      </w:r>
      <w:r w:rsidR="003C387A" w:rsidRPr="005734B8">
        <w:rPr>
          <w:rFonts w:ascii="Calibri" w:hAnsi="Calibri" w:cs="Calibri"/>
        </w:rPr>
        <w:t>,</w:t>
      </w:r>
      <w:r w:rsidRPr="005734B8">
        <w:rPr>
          <w:rFonts w:ascii="Calibri" w:hAnsi="Calibri" w:cs="Calibri"/>
        </w:rPr>
        <w:t xml:space="preserve"> in 2016. </w:t>
      </w:r>
    </w:p>
    <w:p w14:paraId="01676EF1" w14:textId="77777777" w:rsidR="00846A12" w:rsidRPr="005734B8" w:rsidRDefault="00846A12" w:rsidP="00846A12">
      <w:pPr>
        <w:rPr>
          <w:rFonts w:ascii="Calibri" w:hAnsi="Calibri" w:cs="Calibri"/>
        </w:rPr>
      </w:pPr>
    </w:p>
    <w:p w14:paraId="7817B27E" w14:textId="5C9A8F93" w:rsidR="00846A12" w:rsidRPr="005734B8" w:rsidRDefault="00846A12" w:rsidP="00846A12">
      <w:pPr>
        <w:rPr>
          <w:rFonts w:ascii="Calibri" w:hAnsi="Calibri" w:cs="Calibri"/>
        </w:rPr>
      </w:pPr>
      <w:r w:rsidRPr="005734B8">
        <w:rPr>
          <w:rFonts w:ascii="Calibri" w:hAnsi="Calibri" w:cs="Calibri"/>
        </w:rPr>
        <w:t>Focused on quality and implementation, Lee is responsible for the overarching key government initiatives and coordinated delivery of priority projects</w:t>
      </w:r>
      <w:r w:rsidR="002D47C7" w:rsidRPr="005734B8">
        <w:rPr>
          <w:rFonts w:ascii="Calibri" w:hAnsi="Calibri" w:cs="Calibri"/>
        </w:rPr>
        <w:t xml:space="preserve"> </w:t>
      </w:r>
      <w:r w:rsidRPr="005734B8">
        <w:rPr>
          <w:rFonts w:ascii="Calibri" w:hAnsi="Calibri" w:cs="Calibri"/>
        </w:rPr>
        <w:t>in the training and skills and higher education portfolios.</w:t>
      </w:r>
    </w:p>
    <w:p w14:paraId="40278CA7" w14:textId="77777777" w:rsidR="00846A12" w:rsidRPr="005734B8" w:rsidRDefault="00846A12" w:rsidP="00846A12">
      <w:pPr>
        <w:rPr>
          <w:rFonts w:ascii="Calibri" w:hAnsi="Calibri" w:cs="Calibri"/>
        </w:rPr>
      </w:pPr>
    </w:p>
    <w:p w14:paraId="484BB1DE" w14:textId="77777777" w:rsidR="00846A12" w:rsidRPr="005734B8" w:rsidRDefault="00846A12" w:rsidP="00846A12">
      <w:pPr>
        <w:rPr>
          <w:rFonts w:ascii="Calibri" w:hAnsi="Calibri" w:cs="Calibri"/>
        </w:rPr>
      </w:pPr>
      <w:r w:rsidRPr="005734B8">
        <w:rPr>
          <w:rFonts w:ascii="Calibri" w:hAnsi="Calibri" w:cs="Calibri"/>
        </w:rPr>
        <w:t>Lee has extensive experience in the skills and higher education portfolios, including VET contract and program management, information system design and provider quality. Lee has responsibility for the design and implementation of a more managed, stable and competitive training system.</w:t>
      </w:r>
    </w:p>
    <w:p w14:paraId="35E26AE1" w14:textId="77777777" w:rsidR="00FF16A5" w:rsidRPr="005734B8" w:rsidRDefault="00FF16A5" w:rsidP="00846A12">
      <w:pPr>
        <w:rPr>
          <w:rFonts w:ascii="Calibri" w:hAnsi="Calibri" w:cs="Calibri"/>
        </w:rPr>
      </w:pPr>
    </w:p>
    <w:p w14:paraId="1AF36B44" w14:textId="733D0163" w:rsidR="00846A12" w:rsidRPr="005734B8" w:rsidRDefault="00846A12" w:rsidP="00592B49">
      <w:pPr>
        <w:rPr>
          <w:rFonts w:ascii="Calibri" w:hAnsi="Calibri" w:cs="Calibri"/>
        </w:rPr>
      </w:pPr>
      <w:r w:rsidRPr="005734B8">
        <w:rPr>
          <w:rFonts w:ascii="Calibri" w:hAnsi="Calibri" w:cs="Calibri"/>
        </w:rPr>
        <w:t>Prior to joining the Department, Lee was a senior consultant</w:t>
      </w:r>
      <w:r w:rsidR="00592B49">
        <w:rPr>
          <w:rFonts w:ascii="Calibri" w:hAnsi="Calibri" w:cs="Calibri"/>
        </w:rPr>
        <w:t xml:space="preserve"> at </w:t>
      </w:r>
      <w:r w:rsidR="00592B49" w:rsidRPr="00592B49">
        <w:rPr>
          <w:rFonts w:ascii="Calibri" w:hAnsi="Calibri" w:cs="Calibri"/>
        </w:rPr>
        <w:t>a US consulting firm</w:t>
      </w:r>
      <w:r w:rsidRPr="005734B8">
        <w:rPr>
          <w:rFonts w:ascii="Calibri" w:hAnsi="Calibri" w:cs="Calibri"/>
        </w:rPr>
        <w:t>. Lee has held senior teaching and research positions at several Australian universities, with a focus on workplace relations, alternative dispute resolution and change management.</w:t>
      </w:r>
    </w:p>
    <w:p w14:paraId="0766CC79" w14:textId="77777777" w:rsidR="00846A12" w:rsidRPr="005734B8" w:rsidRDefault="00846A12" w:rsidP="00846A12">
      <w:pPr>
        <w:rPr>
          <w:rFonts w:ascii="Calibri" w:hAnsi="Calibri" w:cs="Calibri"/>
        </w:rPr>
      </w:pPr>
    </w:p>
    <w:p w14:paraId="0DBEFD5A" w14:textId="580E3D94" w:rsidR="00846A12" w:rsidRPr="005734B8" w:rsidRDefault="00846A12" w:rsidP="00846A12">
      <w:pPr>
        <w:rPr>
          <w:rFonts w:ascii="Calibri" w:hAnsi="Calibri" w:cs="Calibri"/>
        </w:rPr>
      </w:pPr>
      <w:r w:rsidRPr="005734B8">
        <w:rPr>
          <w:rFonts w:ascii="Calibri" w:hAnsi="Calibri" w:cs="Calibri"/>
        </w:rPr>
        <w:t>Lee holds a Bachelor of Arts (Honours) and a Master of Arts from the University of Melbourne and has authored several books.</w:t>
      </w:r>
    </w:p>
    <w:p w14:paraId="0A76C8E4" w14:textId="3C172305" w:rsidR="00BF58AD" w:rsidRPr="005734B8" w:rsidRDefault="00BF58AD" w:rsidP="00BF58AD">
      <w:pPr>
        <w:pStyle w:val="ESHeading3"/>
        <w:ind w:left="0" w:firstLine="0"/>
        <w:rPr>
          <w:rFonts w:ascii="Calibri" w:hAnsi="Calibri" w:cs="Calibri"/>
        </w:rPr>
      </w:pPr>
      <w:r w:rsidRPr="005734B8">
        <w:rPr>
          <w:rFonts w:ascii="Calibri" w:hAnsi="Calibri" w:cs="Calibri"/>
        </w:rPr>
        <w:t>Assistant Deputy Secretary, Schools and Regional Services</w:t>
      </w:r>
      <w:r w:rsidR="00FF16A5" w:rsidRPr="005734B8">
        <w:rPr>
          <w:rFonts w:ascii="Calibri" w:hAnsi="Calibri" w:cs="Calibri"/>
        </w:rPr>
        <w:t>—</w:t>
      </w:r>
      <w:r w:rsidRPr="005734B8">
        <w:rPr>
          <w:rFonts w:ascii="Calibri" w:hAnsi="Calibri" w:cs="Calibri"/>
        </w:rPr>
        <w:t>Mr Chris Thompson</w:t>
      </w:r>
      <w:bookmarkEnd w:id="379"/>
      <w:bookmarkEnd w:id="380"/>
      <w:bookmarkEnd w:id="381"/>
      <w:bookmarkEnd w:id="382"/>
      <w:bookmarkEnd w:id="383"/>
      <w:bookmarkEnd w:id="384"/>
      <w:r w:rsidRPr="005734B8">
        <w:rPr>
          <w:rFonts w:ascii="Calibri" w:hAnsi="Calibri" w:cs="Calibri"/>
        </w:rPr>
        <w:t xml:space="preserve"> </w:t>
      </w:r>
    </w:p>
    <w:p w14:paraId="73B9D689" w14:textId="57008260" w:rsidR="00BF58AD" w:rsidRPr="005734B8" w:rsidRDefault="00BF58AD" w:rsidP="00BF58AD">
      <w:pPr>
        <w:rPr>
          <w:rFonts w:ascii="Calibri" w:hAnsi="Calibri" w:cs="Calibri"/>
          <w:lang w:val="en-AU"/>
        </w:rPr>
      </w:pPr>
      <w:r w:rsidRPr="005734B8">
        <w:rPr>
          <w:rFonts w:ascii="Calibri" w:hAnsi="Calibri" w:cs="Calibri"/>
        </w:rPr>
        <w:t xml:space="preserve">Chris Thompson was Assistant Deputy Secretary, SRS, until 4 June 2021, following which he commenced as Regional Director of South Western Victoria Region. The Assistant Deputy Secretary is responsible for supporting the strategy and operations of Victoria’s government school system, including the Department’s four regions as well as security and emergency management. </w:t>
      </w:r>
    </w:p>
    <w:p w14:paraId="3B682DD8" w14:textId="77777777" w:rsidR="00BF58AD" w:rsidRPr="005734B8" w:rsidRDefault="00BF58AD" w:rsidP="00BF58AD">
      <w:pPr>
        <w:rPr>
          <w:rFonts w:ascii="Calibri" w:hAnsi="Calibri" w:cs="Calibri"/>
        </w:rPr>
      </w:pPr>
    </w:p>
    <w:p w14:paraId="26B39CD9" w14:textId="078C8F13" w:rsidR="00BF58AD" w:rsidRPr="005734B8" w:rsidRDefault="00BF58AD" w:rsidP="00BF58AD">
      <w:pPr>
        <w:rPr>
          <w:rFonts w:ascii="Calibri" w:hAnsi="Calibri" w:cs="Calibri"/>
        </w:rPr>
      </w:pPr>
      <w:r w:rsidRPr="005734B8">
        <w:rPr>
          <w:rFonts w:ascii="Calibri" w:hAnsi="Calibri" w:cs="Calibri"/>
        </w:rPr>
        <w:t>Previously, Chris was Executive Director for the North East Melbourne Area, one of Victoria’s 17 education areas. Chris led a large multidisciplinary team responsible for supporting the operations and improvement of approximately 130 government schools and 350 early childhood services. This role followed a period acting as Deputy Regional Director for the North-Western Victoria Region.</w:t>
      </w:r>
    </w:p>
    <w:p w14:paraId="53950174" w14:textId="77777777" w:rsidR="00BF58AD" w:rsidRPr="005734B8" w:rsidRDefault="00BF58AD" w:rsidP="00BF58AD">
      <w:pPr>
        <w:rPr>
          <w:rFonts w:ascii="Calibri" w:hAnsi="Calibri" w:cs="Calibri"/>
        </w:rPr>
      </w:pPr>
    </w:p>
    <w:p w14:paraId="1665AA11" w14:textId="0789749A" w:rsidR="00BF58AD" w:rsidRPr="005734B8" w:rsidRDefault="00BF58AD" w:rsidP="00BF58AD">
      <w:pPr>
        <w:rPr>
          <w:rFonts w:ascii="Calibri" w:hAnsi="Calibri" w:cs="Calibri"/>
        </w:rPr>
      </w:pPr>
      <w:r w:rsidRPr="005734B8">
        <w:rPr>
          <w:rFonts w:ascii="Calibri" w:hAnsi="Calibri" w:cs="Calibri"/>
        </w:rPr>
        <w:t>Chris previously held executive roles in the Department relating to language education policy; sport; and multicultural, Koorie, and rural students. He also worked at DPC, the Department of Planning and Community Development, and the Department of Human Services.</w:t>
      </w:r>
    </w:p>
    <w:p w14:paraId="553A095E" w14:textId="77777777" w:rsidR="00BF58AD" w:rsidRPr="005734B8" w:rsidRDefault="00BF58AD" w:rsidP="00BF58AD">
      <w:pPr>
        <w:rPr>
          <w:rFonts w:ascii="Calibri" w:hAnsi="Calibri" w:cs="Calibri"/>
        </w:rPr>
      </w:pPr>
    </w:p>
    <w:p w14:paraId="4E8064D4" w14:textId="355D3E9E" w:rsidR="000320AA" w:rsidRPr="005734B8" w:rsidRDefault="00BF58AD" w:rsidP="00BF58AD">
      <w:pPr>
        <w:rPr>
          <w:rFonts w:ascii="Calibri" w:hAnsi="Calibri" w:cs="Calibri"/>
        </w:rPr>
      </w:pPr>
      <w:r w:rsidRPr="005734B8">
        <w:rPr>
          <w:rFonts w:ascii="Calibri" w:hAnsi="Calibri" w:cs="Calibri"/>
        </w:rPr>
        <w:t>Chris holds a Bachelor of Arts (Honours) and a Bachelor of Laws from Monash University, and an Executive Master of Public Administration from ANZSOG.</w:t>
      </w:r>
    </w:p>
    <w:p w14:paraId="0756A384" w14:textId="77777777" w:rsidR="003D6388" w:rsidRPr="005734B8" w:rsidRDefault="003D6388">
      <w:pPr>
        <w:rPr>
          <w:rFonts w:ascii="Calibri" w:eastAsiaTheme="minorEastAsia" w:hAnsi="Calibri" w:cs="Calibri"/>
          <w:b/>
          <w:color w:val="53565A" w:themeColor="accent5"/>
          <w:szCs w:val="18"/>
          <w:lang w:val="en-US"/>
        </w:rPr>
      </w:pPr>
      <w:r w:rsidRPr="005734B8">
        <w:rPr>
          <w:rFonts w:ascii="Calibri" w:hAnsi="Calibri" w:cs="Calibri"/>
        </w:rPr>
        <w:br w:type="page"/>
      </w:r>
    </w:p>
    <w:p w14:paraId="1F618AAF" w14:textId="4201FA20" w:rsidR="00B67160" w:rsidRPr="005734B8" w:rsidRDefault="00B67160" w:rsidP="00B67160">
      <w:pPr>
        <w:pStyle w:val="ESHeading3"/>
        <w:ind w:left="0" w:firstLine="0"/>
        <w:rPr>
          <w:rFonts w:ascii="Calibri" w:hAnsi="Calibri" w:cs="Calibri"/>
        </w:rPr>
      </w:pPr>
      <w:r w:rsidRPr="005734B8">
        <w:rPr>
          <w:rFonts w:ascii="Calibri" w:hAnsi="Calibri" w:cs="Calibri"/>
        </w:rPr>
        <w:lastRenderedPageBreak/>
        <w:t>Acting Assistant Deputy Secretary, Schools and Regional Services</w:t>
      </w:r>
      <w:r w:rsidR="00FF16A5" w:rsidRPr="005734B8">
        <w:rPr>
          <w:rFonts w:ascii="Calibri" w:hAnsi="Calibri" w:cs="Calibri"/>
        </w:rPr>
        <w:t>—</w:t>
      </w:r>
      <w:r w:rsidRPr="005734B8">
        <w:rPr>
          <w:rFonts w:ascii="Calibri" w:hAnsi="Calibri" w:cs="Calibri"/>
        </w:rPr>
        <w:t>Ms Ella McPherson</w:t>
      </w:r>
    </w:p>
    <w:p w14:paraId="7C120C33" w14:textId="01605A6E" w:rsidR="00B67160" w:rsidRPr="005734B8" w:rsidRDefault="00B67160" w:rsidP="00B67160">
      <w:pPr>
        <w:rPr>
          <w:rFonts w:ascii="Calibri" w:hAnsi="Calibri" w:cs="Calibri"/>
        </w:rPr>
      </w:pPr>
      <w:r w:rsidRPr="005734B8">
        <w:rPr>
          <w:rFonts w:ascii="Calibri" w:hAnsi="Calibri" w:cs="Calibri"/>
        </w:rPr>
        <w:t xml:space="preserve">Ella McPherson commenced as Acting Assistant Deputy Secretary, </w:t>
      </w:r>
      <w:r w:rsidR="00B15F9A" w:rsidRPr="005734B8">
        <w:rPr>
          <w:rFonts w:ascii="Calibri" w:hAnsi="Calibri" w:cs="Calibri"/>
        </w:rPr>
        <w:t>SRS</w:t>
      </w:r>
      <w:r w:rsidRPr="005734B8">
        <w:rPr>
          <w:rFonts w:ascii="Calibri" w:hAnsi="Calibri" w:cs="Calibri"/>
        </w:rPr>
        <w:t xml:space="preserve"> in June 2021.</w:t>
      </w:r>
    </w:p>
    <w:p w14:paraId="5B6AFC4F" w14:textId="77777777" w:rsidR="00B67160" w:rsidRPr="005734B8" w:rsidRDefault="00B67160" w:rsidP="00B67160">
      <w:pPr>
        <w:rPr>
          <w:rFonts w:ascii="Calibri" w:hAnsi="Calibri" w:cs="Calibri"/>
        </w:rPr>
      </w:pPr>
    </w:p>
    <w:p w14:paraId="325E3F3D" w14:textId="559695D6" w:rsidR="00B67160" w:rsidRPr="005734B8" w:rsidRDefault="00B67160" w:rsidP="00B67160">
      <w:pPr>
        <w:rPr>
          <w:rFonts w:ascii="Calibri" w:hAnsi="Calibri" w:cs="Calibri"/>
        </w:rPr>
      </w:pPr>
      <w:r w:rsidRPr="005734B8">
        <w:rPr>
          <w:rFonts w:ascii="Calibri" w:hAnsi="Calibri" w:cs="Calibri"/>
        </w:rPr>
        <w:t xml:space="preserve">Ella has worked across a number of departments and agencies, including the Victorian Equal Opportunity and Human Rights Commission and led </w:t>
      </w:r>
      <w:r w:rsidR="001E3BD3">
        <w:rPr>
          <w:rFonts w:ascii="Calibri" w:hAnsi="Calibri" w:cs="Calibri"/>
        </w:rPr>
        <w:t>c</w:t>
      </w:r>
      <w:r w:rsidRPr="005734B8">
        <w:rPr>
          <w:rFonts w:ascii="Calibri" w:hAnsi="Calibri" w:cs="Calibri"/>
        </w:rPr>
        <w:t>ommunications for the Department of Health and Human Services.</w:t>
      </w:r>
    </w:p>
    <w:p w14:paraId="64ACC726" w14:textId="77777777" w:rsidR="00B67160" w:rsidRPr="005734B8" w:rsidRDefault="00B67160" w:rsidP="00B67160">
      <w:pPr>
        <w:rPr>
          <w:rFonts w:ascii="Calibri" w:hAnsi="Calibri" w:cs="Calibri"/>
        </w:rPr>
      </w:pPr>
    </w:p>
    <w:p w14:paraId="5360DB4A" w14:textId="61FA85FD" w:rsidR="00B67160" w:rsidRPr="005734B8" w:rsidRDefault="00B67160" w:rsidP="00B67160">
      <w:pPr>
        <w:rPr>
          <w:rFonts w:ascii="Calibri" w:hAnsi="Calibri" w:cs="Calibri"/>
        </w:rPr>
      </w:pPr>
      <w:r w:rsidRPr="005734B8">
        <w:rPr>
          <w:rFonts w:ascii="Calibri" w:hAnsi="Calibri" w:cs="Calibri"/>
        </w:rPr>
        <w:t>Since joining the Department in 2016, she has worked across the change management, integrity and assurance, organisational reform and executive services functions. In 2019 she commenced as Chief Operating Officer for the Victorian School Building Authority, leading the VSBA’s corporate services, with a particular focus on integrity and oversight.</w:t>
      </w:r>
    </w:p>
    <w:p w14:paraId="45C98198" w14:textId="77777777" w:rsidR="00B67160" w:rsidRPr="005734B8" w:rsidRDefault="00B67160" w:rsidP="00B67160">
      <w:pPr>
        <w:rPr>
          <w:rFonts w:ascii="Calibri" w:hAnsi="Calibri" w:cs="Calibri"/>
        </w:rPr>
      </w:pPr>
    </w:p>
    <w:p w14:paraId="0F2C0566" w14:textId="209224C4" w:rsidR="001966C1" w:rsidRPr="005734B8" w:rsidRDefault="00B67160" w:rsidP="001966C1">
      <w:pPr>
        <w:rPr>
          <w:rFonts w:ascii="Calibri" w:hAnsi="Calibri" w:cs="Calibri"/>
        </w:rPr>
      </w:pPr>
      <w:r w:rsidRPr="005734B8">
        <w:rPr>
          <w:rFonts w:ascii="Calibri" w:hAnsi="Calibri" w:cs="Calibri"/>
        </w:rPr>
        <w:t>Ella holds a Bachelor of Arts (Honours), a Master of Public and International Law and a Master of Business Administration from the University of Melbourne, and a Master of Arts (Communications) from RMIT. She is an AICD graduate and is currently a board member of McAuley Community Services for Women.</w:t>
      </w:r>
    </w:p>
    <w:p w14:paraId="5AD4ACAD" w14:textId="5A669B0C" w:rsidR="001966C1" w:rsidRPr="005734B8" w:rsidRDefault="001966C1" w:rsidP="001966C1">
      <w:pPr>
        <w:pStyle w:val="ESHeading3"/>
        <w:ind w:left="0" w:firstLine="0"/>
        <w:rPr>
          <w:rFonts w:ascii="Calibri" w:hAnsi="Calibri" w:cs="Calibri"/>
        </w:rPr>
      </w:pPr>
      <w:r w:rsidRPr="005734B8">
        <w:rPr>
          <w:rFonts w:ascii="Calibri" w:hAnsi="Calibri" w:cs="Calibri"/>
        </w:rPr>
        <w:t>Assistant Deputy Secretary, Senior Secondary Pathways Reform Taskforce</w:t>
      </w:r>
      <w:r w:rsidR="0080397D" w:rsidRPr="005734B8">
        <w:rPr>
          <w:rFonts w:ascii="Calibri" w:hAnsi="Calibri" w:cs="Calibri"/>
        </w:rPr>
        <w:t>—</w:t>
      </w:r>
      <w:r w:rsidRPr="005734B8">
        <w:rPr>
          <w:rFonts w:ascii="Calibri" w:hAnsi="Calibri" w:cs="Calibri"/>
        </w:rPr>
        <w:t xml:space="preserve">Mr Scott Widmer </w:t>
      </w:r>
    </w:p>
    <w:p w14:paraId="3E545342" w14:textId="555E5F46" w:rsidR="001966C1" w:rsidRPr="005734B8" w:rsidRDefault="001966C1" w:rsidP="001966C1">
      <w:pPr>
        <w:rPr>
          <w:rFonts w:ascii="Calibri" w:hAnsi="Calibri" w:cs="Calibri"/>
        </w:rPr>
      </w:pPr>
      <w:r w:rsidRPr="005734B8">
        <w:rPr>
          <w:rFonts w:ascii="Calibri" w:hAnsi="Calibri" w:cs="Calibri"/>
        </w:rPr>
        <w:t xml:space="preserve">Scott Widmer commenced as Assistant Deputy Secretary, Senior Secondary Pathways Reform Taskforce in February 2021. </w:t>
      </w:r>
      <w:r w:rsidR="002E5ACA" w:rsidRPr="005734B8">
        <w:rPr>
          <w:rFonts w:ascii="Calibri" w:hAnsi="Calibri" w:cs="Calibri"/>
        </w:rPr>
        <w:t>The role</w:t>
      </w:r>
      <w:r w:rsidRPr="005734B8">
        <w:rPr>
          <w:rFonts w:ascii="Calibri" w:hAnsi="Calibri" w:cs="Calibri"/>
        </w:rPr>
        <w:t xml:space="preserve"> is responsible for leading the development and implementation of a range of reforms that support all Victorian secondary school students to access high</w:t>
      </w:r>
      <w:r w:rsidR="002E5ACA" w:rsidRPr="005734B8">
        <w:rPr>
          <w:rFonts w:ascii="Calibri" w:hAnsi="Calibri" w:cs="Calibri"/>
        </w:rPr>
        <w:noBreakHyphen/>
      </w:r>
      <w:r w:rsidRPr="005734B8">
        <w:rPr>
          <w:rFonts w:ascii="Calibri" w:hAnsi="Calibri" w:cs="Calibri"/>
        </w:rPr>
        <w:t xml:space="preserve">quality vocational and applied learning pathways. This work includes implementing the recommendations of the </w:t>
      </w:r>
      <w:r w:rsidR="002E5ACA" w:rsidRPr="005734B8">
        <w:rPr>
          <w:rFonts w:ascii="Calibri" w:hAnsi="Calibri" w:cs="Calibri"/>
        </w:rPr>
        <w:t>R</w:t>
      </w:r>
      <w:r w:rsidRPr="005734B8">
        <w:rPr>
          <w:rFonts w:ascii="Calibri" w:hAnsi="Calibri" w:cs="Calibri"/>
        </w:rPr>
        <w:t xml:space="preserve">eview into vocational and applied learning pathways in senior secondary schooling. </w:t>
      </w:r>
    </w:p>
    <w:p w14:paraId="440AF334" w14:textId="77777777" w:rsidR="001966C1" w:rsidRPr="005734B8" w:rsidRDefault="001966C1" w:rsidP="001966C1">
      <w:pPr>
        <w:rPr>
          <w:rFonts w:ascii="Calibri" w:hAnsi="Calibri" w:cs="Calibri"/>
        </w:rPr>
      </w:pPr>
    </w:p>
    <w:p w14:paraId="72BAC5EC" w14:textId="2F0A72DD" w:rsidR="002E5ACA" w:rsidRPr="005734B8" w:rsidRDefault="002E5ACA" w:rsidP="001966C1">
      <w:pPr>
        <w:rPr>
          <w:rFonts w:ascii="Calibri" w:hAnsi="Calibri" w:cs="Calibri"/>
        </w:rPr>
      </w:pPr>
      <w:r w:rsidRPr="005734B8">
        <w:rPr>
          <w:rFonts w:ascii="Calibri" w:hAnsi="Calibri" w:cs="Calibri"/>
        </w:rPr>
        <w:t>Previously</w:t>
      </w:r>
      <w:r w:rsidR="001966C1" w:rsidRPr="005734B8">
        <w:rPr>
          <w:rFonts w:ascii="Calibri" w:hAnsi="Calibri" w:cs="Calibri"/>
        </w:rPr>
        <w:t>, Scott was Executive Director, Portfolio Strategy and Planning</w:t>
      </w:r>
      <w:r w:rsidRPr="005734B8">
        <w:rPr>
          <w:rFonts w:ascii="Calibri" w:hAnsi="Calibri" w:cs="Calibri"/>
        </w:rPr>
        <w:t xml:space="preserve">/ </w:t>
      </w:r>
      <w:r w:rsidR="001966C1" w:rsidRPr="005734B8">
        <w:rPr>
          <w:rFonts w:ascii="Calibri" w:hAnsi="Calibri" w:cs="Calibri"/>
        </w:rPr>
        <w:t xml:space="preserve">Intergovernmental Relations in the </w:t>
      </w:r>
      <w:r w:rsidRPr="005734B8">
        <w:rPr>
          <w:rFonts w:ascii="Calibri" w:hAnsi="Calibri" w:cs="Calibri"/>
        </w:rPr>
        <w:t xml:space="preserve">Department’s </w:t>
      </w:r>
      <w:r w:rsidR="001966C1" w:rsidRPr="005734B8">
        <w:rPr>
          <w:rFonts w:ascii="Calibri" w:hAnsi="Calibri" w:cs="Calibri"/>
        </w:rPr>
        <w:t xml:space="preserve">Policy Strategy and Performance Group. Scott brings broad experience to the role, having previously led operational and legal policy work at </w:t>
      </w:r>
      <w:r w:rsidR="0080397D" w:rsidRPr="005734B8">
        <w:rPr>
          <w:rFonts w:ascii="Calibri" w:hAnsi="Calibri" w:cs="Calibri"/>
        </w:rPr>
        <w:t>DHHS</w:t>
      </w:r>
      <w:r w:rsidR="001966C1" w:rsidRPr="005734B8">
        <w:rPr>
          <w:rFonts w:ascii="Calibri" w:hAnsi="Calibri" w:cs="Calibri"/>
        </w:rPr>
        <w:t xml:space="preserve"> and </w:t>
      </w:r>
      <w:r w:rsidR="0080397D" w:rsidRPr="005734B8">
        <w:rPr>
          <w:rFonts w:ascii="Calibri" w:hAnsi="Calibri" w:cs="Calibri"/>
        </w:rPr>
        <w:t>DPC</w:t>
      </w:r>
      <w:r w:rsidR="001966C1" w:rsidRPr="005734B8">
        <w:rPr>
          <w:rFonts w:ascii="Calibri" w:hAnsi="Calibri" w:cs="Calibri"/>
        </w:rPr>
        <w:t xml:space="preserve">. </w:t>
      </w:r>
    </w:p>
    <w:p w14:paraId="1C168567" w14:textId="77777777" w:rsidR="002E5ACA" w:rsidRPr="005734B8" w:rsidRDefault="002E5ACA" w:rsidP="001966C1">
      <w:pPr>
        <w:rPr>
          <w:rFonts w:ascii="Calibri" w:hAnsi="Calibri" w:cs="Calibri"/>
        </w:rPr>
      </w:pPr>
    </w:p>
    <w:p w14:paraId="516A5931" w14:textId="0EF29A12" w:rsidR="000B4D91" w:rsidRPr="005734B8" w:rsidRDefault="001966C1">
      <w:pPr>
        <w:rPr>
          <w:rFonts w:ascii="Calibri" w:hAnsi="Calibri" w:cs="Calibri"/>
        </w:rPr>
      </w:pPr>
      <w:r w:rsidRPr="005734B8">
        <w:rPr>
          <w:rFonts w:ascii="Calibri" w:hAnsi="Calibri" w:cs="Calibri"/>
        </w:rPr>
        <w:t>Scott has practi</w:t>
      </w:r>
      <w:r w:rsidR="0080397D" w:rsidRPr="005734B8">
        <w:rPr>
          <w:rFonts w:ascii="Calibri" w:hAnsi="Calibri" w:cs="Calibri"/>
        </w:rPr>
        <w:t>s</w:t>
      </w:r>
      <w:r w:rsidRPr="005734B8">
        <w:rPr>
          <w:rFonts w:ascii="Calibri" w:hAnsi="Calibri" w:cs="Calibri"/>
        </w:rPr>
        <w:t>ed law in Australia and overseas and holds</w:t>
      </w:r>
      <w:r w:rsidR="00273183">
        <w:rPr>
          <w:rFonts w:ascii="Calibri" w:hAnsi="Calibri" w:cs="Calibri"/>
        </w:rPr>
        <w:t xml:space="preserve"> </w:t>
      </w:r>
      <w:r w:rsidR="001E3BD3" w:rsidRPr="005734B8">
        <w:rPr>
          <w:rFonts w:ascii="Calibri" w:hAnsi="Calibri" w:cs="Calibri"/>
        </w:rPr>
        <w:t>Bachelor</w:t>
      </w:r>
      <w:r w:rsidR="004E24F1">
        <w:rPr>
          <w:rFonts w:ascii="Calibri" w:hAnsi="Calibri" w:cs="Calibri"/>
        </w:rPr>
        <w:t>s</w:t>
      </w:r>
      <w:r w:rsidR="001E3BD3" w:rsidRPr="005734B8">
        <w:rPr>
          <w:rFonts w:ascii="Calibri" w:hAnsi="Calibri" w:cs="Calibri"/>
        </w:rPr>
        <w:t xml:space="preserve"> of Arts and Law </w:t>
      </w:r>
      <w:r w:rsidRPr="005734B8">
        <w:rPr>
          <w:rFonts w:ascii="Calibri" w:hAnsi="Calibri" w:cs="Calibri"/>
        </w:rPr>
        <w:t>a</w:t>
      </w:r>
      <w:r w:rsidR="001E3BD3">
        <w:rPr>
          <w:rFonts w:ascii="Calibri" w:hAnsi="Calibri" w:cs="Calibri"/>
        </w:rPr>
        <w:t>nd a</w:t>
      </w:r>
      <w:r w:rsidRPr="005734B8">
        <w:rPr>
          <w:rFonts w:ascii="Calibri" w:hAnsi="Calibri" w:cs="Calibri"/>
        </w:rPr>
        <w:t xml:space="preserve"> Master of Public Policy and Management and from the University of Melbourne.</w:t>
      </w:r>
      <w:r w:rsidR="000B4D91" w:rsidRPr="005734B8">
        <w:rPr>
          <w:rFonts w:ascii="Calibri" w:hAnsi="Calibri" w:cs="Calibri"/>
          <w:highlight w:val="yellow"/>
        </w:rPr>
        <w:br w:type="page"/>
      </w:r>
    </w:p>
    <w:p w14:paraId="01525DFB" w14:textId="1F210931" w:rsidR="00E82D65" w:rsidRPr="005734B8" w:rsidRDefault="00E82D65" w:rsidP="00E85FD1">
      <w:pPr>
        <w:pStyle w:val="ESHeading2"/>
        <w:rPr>
          <w:rFonts w:ascii="Calibri" w:hAnsi="Calibri" w:cs="Calibri"/>
        </w:rPr>
      </w:pPr>
      <w:bookmarkStart w:id="388" w:name="_Toc14965426"/>
      <w:bookmarkStart w:id="389" w:name="_Toc15985259"/>
      <w:bookmarkStart w:id="390" w:name="_Toc19272005"/>
      <w:bookmarkStart w:id="391" w:name="_Toc19272371"/>
      <w:bookmarkStart w:id="392" w:name="_Toc19273706"/>
      <w:bookmarkStart w:id="393" w:name="_Toc48402779"/>
      <w:bookmarkStart w:id="394" w:name="_Toc48403016"/>
      <w:bookmarkStart w:id="395" w:name="_Toc51332759"/>
      <w:bookmarkStart w:id="396" w:name="_Toc81315323"/>
      <w:r w:rsidRPr="005734B8">
        <w:rPr>
          <w:rFonts w:ascii="Calibri" w:hAnsi="Calibri" w:cs="Calibri"/>
        </w:rPr>
        <w:lastRenderedPageBreak/>
        <w:t>Organisational structure</w:t>
      </w:r>
      <w:bookmarkEnd w:id="377"/>
      <w:bookmarkEnd w:id="385"/>
      <w:bookmarkEnd w:id="386"/>
      <w:bookmarkEnd w:id="387"/>
      <w:bookmarkEnd w:id="388"/>
      <w:bookmarkEnd w:id="389"/>
      <w:bookmarkEnd w:id="390"/>
      <w:bookmarkEnd w:id="391"/>
      <w:bookmarkEnd w:id="392"/>
      <w:bookmarkEnd w:id="393"/>
      <w:bookmarkEnd w:id="394"/>
      <w:bookmarkEnd w:id="395"/>
      <w:bookmarkEnd w:id="396"/>
    </w:p>
    <w:p w14:paraId="1D54AEDD" w14:textId="10E1CE33" w:rsidR="00904261" w:rsidRPr="005734B8" w:rsidRDefault="00904261" w:rsidP="00904261">
      <w:pPr>
        <w:pStyle w:val="ESTableintroheading"/>
        <w:keepNext w:val="0"/>
        <w:rPr>
          <w:rFonts w:ascii="Calibri" w:hAnsi="Calibri" w:cs="Calibri"/>
          <w:highlight w:val="yellow"/>
          <w:lang w:val="en-AU"/>
        </w:rPr>
      </w:pPr>
      <w:bookmarkStart w:id="397" w:name="_Toc10208709"/>
      <w:r w:rsidRPr="005734B8">
        <w:rPr>
          <w:rFonts w:ascii="Calibri" w:hAnsi="Calibri" w:cs="Calibri"/>
          <w:lang w:val="en-AU"/>
        </w:rPr>
        <w:t>Organisational structure at 30 June 20</w:t>
      </w:r>
      <w:r w:rsidR="00E66FF4" w:rsidRPr="005734B8">
        <w:rPr>
          <w:rFonts w:ascii="Calibri" w:hAnsi="Calibri" w:cs="Calibri"/>
          <w:lang w:val="en-AU"/>
        </w:rPr>
        <w:t>2</w:t>
      </w:r>
      <w:r w:rsidR="00ED638F" w:rsidRPr="005734B8">
        <w:rPr>
          <w:rFonts w:ascii="Calibri" w:hAnsi="Calibri" w:cs="Calibri"/>
          <w:lang w:val="en-AU"/>
        </w:rPr>
        <w:t>1</w:t>
      </w:r>
    </w:p>
    <w:p w14:paraId="652721F7" w14:textId="7694DAAC" w:rsidR="0013050B" w:rsidRPr="005734B8" w:rsidRDefault="00896FA9">
      <w:pPr>
        <w:rPr>
          <w:rFonts w:ascii="Calibri" w:eastAsiaTheme="minorEastAsia" w:hAnsi="Calibri" w:cs="Calibri"/>
          <w:b/>
          <w:color w:val="53565A" w:themeColor="accent5"/>
          <w:szCs w:val="18"/>
          <w:highlight w:val="yellow"/>
          <w:lang w:val="en-US"/>
        </w:rPr>
      </w:pPr>
      <w:r w:rsidRPr="005734B8">
        <w:rPr>
          <w:rFonts w:ascii="Calibri" w:hAnsi="Calibri" w:cs="Calibri"/>
          <w:noProof/>
          <w:lang w:val="en-AU"/>
        </w:rPr>
        <mc:AlternateContent>
          <mc:Choice Requires="wps">
            <w:drawing>
              <wp:anchor distT="0" distB="0" distL="114300" distR="114300" simplePos="0" relativeHeight="251658241" behindDoc="0" locked="0" layoutInCell="1" allowOverlap="1" wp14:anchorId="01C5B2F6" wp14:editId="489967B0">
                <wp:simplePos x="0" y="0"/>
                <wp:positionH relativeFrom="column">
                  <wp:posOffset>1575434</wp:posOffset>
                </wp:positionH>
                <wp:positionV relativeFrom="paragraph">
                  <wp:posOffset>4088129</wp:posOffset>
                </wp:positionV>
                <wp:extent cx="223520" cy="1000125"/>
                <wp:effectExtent l="0" t="0" r="24130" b="28575"/>
                <wp:wrapNone/>
                <wp:docPr id="11" name="Connector: Elbow 11"/>
                <wp:cNvGraphicFramePr/>
                <a:graphic xmlns:a="http://schemas.openxmlformats.org/drawingml/2006/main">
                  <a:graphicData uri="http://schemas.microsoft.com/office/word/2010/wordprocessingShape">
                    <wps:wsp>
                      <wps:cNvCnPr/>
                      <wps:spPr>
                        <a:xfrm flipH="1">
                          <a:off x="0" y="0"/>
                          <a:ext cx="223520" cy="1000125"/>
                        </a:xfrm>
                        <a:prstGeom prst="bentConnector3">
                          <a:avLst>
                            <a:gd name="adj1" fmla="val 73605"/>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A54AF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 o:spid="_x0000_s1026" type="#_x0000_t34" style="position:absolute;margin-left:124.05pt;margin-top:321.9pt;width:17.6pt;height:78.75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" adj="15899" strokecolor="#a5a59d [2404]" strokeweight="1pt"/>
            </w:pict>
          </mc:Fallback>
        </mc:AlternateContent>
      </w:r>
      <w:r w:rsidRPr="005734B8">
        <w:rPr>
          <w:rFonts w:ascii="Calibri" w:hAnsi="Calibri" w:cs="Calibri"/>
          <w:noProof/>
          <w:highlight w:val="yellow"/>
          <w:lang w:eastAsia="en-AU"/>
        </w:rPr>
        <mc:AlternateContent>
          <mc:Choice Requires="wps">
            <w:drawing>
              <wp:anchor distT="0" distB="0" distL="114300" distR="114300" simplePos="0" relativeHeight="251658240" behindDoc="0" locked="0" layoutInCell="1" allowOverlap="1" wp14:anchorId="35CF5ABE" wp14:editId="15652B62">
                <wp:simplePos x="0" y="0"/>
                <wp:positionH relativeFrom="column">
                  <wp:posOffset>1575435</wp:posOffset>
                </wp:positionH>
                <wp:positionV relativeFrom="paragraph">
                  <wp:posOffset>3106420</wp:posOffset>
                </wp:positionV>
                <wp:extent cx="214630" cy="981075"/>
                <wp:effectExtent l="0" t="0" r="13970" b="28575"/>
                <wp:wrapNone/>
                <wp:docPr id="2" name="Elbow Connector 2"/>
                <wp:cNvGraphicFramePr/>
                <a:graphic xmlns:a="http://schemas.openxmlformats.org/drawingml/2006/main">
                  <a:graphicData uri="http://schemas.microsoft.com/office/word/2010/wordprocessingShape">
                    <wps:wsp>
                      <wps:cNvCnPr/>
                      <wps:spPr>
                        <a:xfrm>
                          <a:off x="0" y="0"/>
                          <a:ext cx="214630" cy="981075"/>
                        </a:xfrm>
                        <a:prstGeom prst="bentConnector3">
                          <a:avLst>
                            <a:gd name="adj1" fmla="val 26101"/>
                          </a:avLst>
                        </a:prstGeom>
                        <a:ln>
                          <a:solidFill>
                            <a:schemeClr val="accent5">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D3AE88" id="Elbow Connector 2" o:spid="_x0000_s1026" type="#_x0000_t34" style="position:absolute;margin-left:124.05pt;margin-top:244.6pt;width:16.9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" adj="5638" strokecolor="#b8bbbe [1304]" strokeweight=".5pt"/>
            </w:pict>
          </mc:Fallback>
        </mc:AlternateContent>
      </w:r>
      <w:r w:rsidR="00F02936" w:rsidRPr="005734B8">
        <w:rPr>
          <w:rFonts w:ascii="Calibri" w:hAnsi="Calibri" w:cs="Calibri"/>
          <w:noProof/>
          <w:lang w:eastAsia="en-AU"/>
        </w:rPr>
        <w:drawing>
          <wp:inline distT="0" distB="0" distL="0" distR="0" wp14:anchorId="7F8856DE" wp14:editId="4FC393F2">
            <wp:extent cx="5036185" cy="8164262"/>
            <wp:effectExtent l="0" t="0" r="0" b="825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B29211E" w14:textId="458002B8" w:rsidR="004D1420" w:rsidRPr="005734B8" w:rsidRDefault="004D1420" w:rsidP="004D1420">
      <w:pPr>
        <w:pStyle w:val="ESHeading3"/>
        <w:ind w:left="0" w:firstLine="0"/>
        <w:rPr>
          <w:rFonts w:ascii="Calibri" w:hAnsi="Calibri" w:cs="Calibri"/>
        </w:rPr>
      </w:pPr>
      <w:bookmarkStart w:id="398" w:name="_Toc11158196"/>
      <w:bookmarkStart w:id="399" w:name="_Toc11336203"/>
      <w:bookmarkStart w:id="400" w:name="_Toc14965427"/>
      <w:bookmarkStart w:id="401" w:name="_Toc19272006"/>
      <w:bookmarkStart w:id="402" w:name="_Toc19272372"/>
      <w:bookmarkStart w:id="403" w:name="_Toc19273707"/>
      <w:bookmarkStart w:id="404" w:name="_Toc10208710"/>
      <w:bookmarkEnd w:id="397"/>
      <w:r w:rsidRPr="005734B8">
        <w:rPr>
          <w:rFonts w:ascii="Calibri" w:hAnsi="Calibri" w:cs="Calibri"/>
        </w:rPr>
        <w:lastRenderedPageBreak/>
        <w:t>Early Childhood Education</w:t>
      </w:r>
      <w:r w:rsidR="001E3BD3">
        <w:rPr>
          <w:rFonts w:ascii="Calibri" w:hAnsi="Calibri" w:cs="Calibri"/>
        </w:rPr>
        <w:t xml:space="preserve"> (ECE)</w:t>
      </w:r>
    </w:p>
    <w:p w14:paraId="03E8596A" w14:textId="286FA8B2" w:rsidR="004D1420" w:rsidRPr="005734B8" w:rsidRDefault="004D1420" w:rsidP="004D1420">
      <w:pPr>
        <w:shd w:val="clear" w:color="auto" w:fill="FFFFFF"/>
        <w:spacing w:before="100" w:beforeAutospacing="1" w:after="100" w:afterAutospacing="1"/>
        <w:rPr>
          <w:rFonts w:ascii="Calibri" w:hAnsi="Calibri" w:cs="Calibri"/>
          <w:highlight w:val="yellow"/>
        </w:rPr>
      </w:pPr>
      <w:r w:rsidRPr="005734B8">
        <w:rPr>
          <w:rFonts w:ascii="Calibri" w:hAnsi="Calibri" w:cs="Calibri"/>
        </w:rPr>
        <w:t xml:space="preserve">ECE has lead responsibility for the </w:t>
      </w:r>
      <w:r w:rsidR="004721EE" w:rsidRPr="005734B8">
        <w:rPr>
          <w:rFonts w:ascii="Calibri" w:hAnsi="Calibri" w:cs="Calibri"/>
        </w:rPr>
        <w:t xml:space="preserve">early childhood education components of </w:t>
      </w:r>
      <w:r w:rsidRPr="005734B8">
        <w:rPr>
          <w:rFonts w:ascii="Calibri" w:hAnsi="Calibri" w:cs="Calibri"/>
          <w:i/>
        </w:rPr>
        <w:t>Education State Early Childhood Reform Plan</w:t>
      </w:r>
      <w:r w:rsidR="00C95FB2" w:rsidRPr="005734B8">
        <w:rPr>
          <w:rFonts w:ascii="Calibri" w:hAnsi="Calibri" w:cs="Calibri"/>
          <w:i/>
        </w:rPr>
        <w:t xml:space="preserve">: </w:t>
      </w:r>
      <w:r w:rsidRPr="005734B8">
        <w:rPr>
          <w:rFonts w:ascii="Calibri" w:hAnsi="Calibri" w:cs="Calibri"/>
          <w:i/>
        </w:rPr>
        <w:t>Ready for kinder, Ready for school, Ready for life</w:t>
      </w:r>
      <w:r w:rsidRPr="005734B8">
        <w:rPr>
          <w:rFonts w:ascii="Calibri" w:hAnsi="Calibri" w:cs="Calibri"/>
        </w:rPr>
        <w:t xml:space="preserve">, and </w:t>
      </w:r>
      <w:r w:rsidR="00F36B34" w:rsidRPr="005734B8">
        <w:rPr>
          <w:rFonts w:ascii="Calibri" w:hAnsi="Calibri" w:cs="Calibri"/>
        </w:rPr>
        <w:t>for</w:t>
      </w:r>
      <w:r w:rsidRPr="005734B8">
        <w:rPr>
          <w:rFonts w:ascii="Calibri" w:hAnsi="Calibri" w:cs="Calibri"/>
        </w:rPr>
        <w:t xml:space="preserve"> major early childhood reform commitments, such as the progressive implementation of </w:t>
      </w:r>
      <w:r w:rsidR="00C95FB2" w:rsidRPr="005734B8">
        <w:rPr>
          <w:rFonts w:ascii="Calibri" w:hAnsi="Calibri" w:cs="Calibri"/>
        </w:rPr>
        <w:t>T</w:t>
      </w:r>
      <w:r w:rsidRPr="005734B8">
        <w:rPr>
          <w:rFonts w:ascii="Calibri" w:hAnsi="Calibri" w:cs="Calibri"/>
        </w:rPr>
        <w:t>hree-</w:t>
      </w:r>
      <w:r w:rsidR="00C95FB2" w:rsidRPr="005734B8">
        <w:rPr>
          <w:rFonts w:ascii="Calibri" w:hAnsi="Calibri" w:cs="Calibri"/>
        </w:rPr>
        <w:t>Y</w:t>
      </w:r>
      <w:r w:rsidRPr="005734B8">
        <w:rPr>
          <w:rFonts w:ascii="Calibri" w:hAnsi="Calibri" w:cs="Calibri"/>
        </w:rPr>
        <w:t>ear-</w:t>
      </w:r>
      <w:r w:rsidR="00C95FB2" w:rsidRPr="005734B8">
        <w:rPr>
          <w:rFonts w:ascii="Calibri" w:hAnsi="Calibri" w:cs="Calibri"/>
        </w:rPr>
        <w:t>O</w:t>
      </w:r>
      <w:r w:rsidRPr="005734B8">
        <w:rPr>
          <w:rFonts w:ascii="Calibri" w:hAnsi="Calibri" w:cs="Calibri"/>
        </w:rPr>
        <w:t>ld</w:t>
      </w:r>
      <w:r w:rsidR="00C95FB2" w:rsidRPr="005734B8">
        <w:rPr>
          <w:rFonts w:ascii="Calibri" w:hAnsi="Calibri" w:cs="Calibri"/>
        </w:rPr>
        <w:t xml:space="preserve"> Kindergarten</w:t>
      </w:r>
      <w:r w:rsidRPr="005734B8">
        <w:rPr>
          <w:rFonts w:ascii="Calibri" w:hAnsi="Calibri" w:cs="Calibri"/>
        </w:rPr>
        <w:t xml:space="preserve">, </w:t>
      </w:r>
      <w:r w:rsidR="004721EE" w:rsidRPr="005734B8">
        <w:rPr>
          <w:rFonts w:ascii="Calibri" w:hAnsi="Calibri" w:cs="Calibri"/>
        </w:rPr>
        <w:t>School Readiness Funding</w:t>
      </w:r>
      <w:r w:rsidRPr="005734B8">
        <w:rPr>
          <w:rFonts w:ascii="Calibri" w:hAnsi="Calibri" w:cs="Calibri"/>
        </w:rPr>
        <w:t xml:space="preserve"> and </w:t>
      </w:r>
      <w:r w:rsidR="004721EE" w:rsidRPr="005734B8">
        <w:rPr>
          <w:rFonts w:ascii="Calibri" w:hAnsi="Calibri" w:cs="Calibri"/>
        </w:rPr>
        <w:t>initiatives to improve</w:t>
      </w:r>
      <w:r w:rsidRPr="005734B8">
        <w:rPr>
          <w:rFonts w:ascii="Calibri" w:hAnsi="Calibri" w:cs="Calibri"/>
        </w:rPr>
        <w:t xml:space="preserve"> kindergarten </w:t>
      </w:r>
      <w:r w:rsidR="004721EE" w:rsidRPr="005734B8">
        <w:rPr>
          <w:rFonts w:ascii="Calibri" w:hAnsi="Calibri" w:cs="Calibri"/>
        </w:rPr>
        <w:t>access and participation.</w:t>
      </w:r>
      <w:r w:rsidRPr="005734B8">
        <w:rPr>
          <w:rFonts w:ascii="Calibri" w:hAnsi="Calibri" w:cs="Calibri"/>
        </w:rPr>
        <w:t xml:space="preserve"> ECE group provides oversight of the </w:t>
      </w:r>
      <w:r w:rsidR="004721EE" w:rsidRPr="005734B8">
        <w:rPr>
          <w:rFonts w:ascii="Calibri" w:hAnsi="Calibri" w:cs="Calibri"/>
        </w:rPr>
        <w:t>kindergarten sector</w:t>
      </w:r>
      <w:r w:rsidRPr="005734B8">
        <w:rPr>
          <w:rFonts w:ascii="Calibri" w:hAnsi="Calibri" w:cs="Calibri"/>
        </w:rPr>
        <w:t xml:space="preserve">, regulates early childhood services (as required by the </w:t>
      </w:r>
      <w:r w:rsidRPr="005734B8">
        <w:rPr>
          <w:rFonts w:ascii="Calibri" w:hAnsi="Calibri" w:cs="Calibri"/>
          <w:i/>
        </w:rPr>
        <w:t>Education and Care Services National Law Act 2010</w:t>
      </w:r>
      <w:r w:rsidRPr="005734B8">
        <w:rPr>
          <w:rFonts w:ascii="Calibri" w:hAnsi="Calibri" w:cs="Calibri"/>
        </w:rPr>
        <w:t xml:space="preserve"> and the </w:t>
      </w:r>
      <w:r w:rsidRPr="005734B8">
        <w:rPr>
          <w:rFonts w:ascii="Calibri" w:hAnsi="Calibri" w:cs="Calibri"/>
          <w:i/>
        </w:rPr>
        <w:t>Children’s Services Act 1996</w:t>
      </w:r>
      <w:r w:rsidRPr="005734B8">
        <w:rPr>
          <w:rFonts w:ascii="Calibri" w:hAnsi="Calibri" w:cs="Calibri"/>
        </w:rPr>
        <w:t xml:space="preserve">) and leads </w:t>
      </w:r>
      <w:r w:rsidR="004721EE" w:rsidRPr="005734B8">
        <w:rPr>
          <w:rFonts w:ascii="Calibri" w:hAnsi="Calibri" w:cs="Calibri"/>
        </w:rPr>
        <w:t xml:space="preserve">the </w:t>
      </w:r>
      <w:r w:rsidRPr="005734B8">
        <w:rPr>
          <w:rFonts w:ascii="Calibri" w:hAnsi="Calibri" w:cs="Calibri"/>
        </w:rPr>
        <w:t xml:space="preserve">implementation of relevant legislative reforms such as Child Link and the </w:t>
      </w:r>
      <w:r w:rsidR="006E37A4" w:rsidRPr="005734B8">
        <w:rPr>
          <w:rFonts w:ascii="Calibri" w:hAnsi="Calibri" w:cs="Calibri"/>
        </w:rPr>
        <w:t>C</w:t>
      </w:r>
      <w:r w:rsidR="00B93EFD" w:rsidRPr="005734B8">
        <w:rPr>
          <w:rFonts w:ascii="Calibri" w:hAnsi="Calibri" w:cs="Calibri"/>
        </w:rPr>
        <w:t xml:space="preserve">hild </w:t>
      </w:r>
      <w:r w:rsidR="006E37A4" w:rsidRPr="005734B8">
        <w:rPr>
          <w:rFonts w:ascii="Calibri" w:hAnsi="Calibri" w:cs="Calibri"/>
        </w:rPr>
        <w:t>I</w:t>
      </w:r>
      <w:r w:rsidR="00B93EFD" w:rsidRPr="005734B8">
        <w:rPr>
          <w:rFonts w:ascii="Calibri" w:hAnsi="Calibri" w:cs="Calibri"/>
        </w:rPr>
        <w:t xml:space="preserve">nformation </w:t>
      </w:r>
      <w:r w:rsidR="006E37A4" w:rsidRPr="005734B8">
        <w:rPr>
          <w:rFonts w:ascii="Calibri" w:hAnsi="Calibri" w:cs="Calibri"/>
        </w:rPr>
        <w:t>S</w:t>
      </w:r>
      <w:r w:rsidR="00B93EFD" w:rsidRPr="005734B8">
        <w:rPr>
          <w:rFonts w:ascii="Calibri" w:hAnsi="Calibri" w:cs="Calibri"/>
        </w:rPr>
        <w:t xml:space="preserve">haring </w:t>
      </w:r>
      <w:r w:rsidR="006E37A4" w:rsidRPr="005734B8">
        <w:rPr>
          <w:rFonts w:ascii="Calibri" w:hAnsi="Calibri" w:cs="Calibri"/>
        </w:rPr>
        <w:t>S</w:t>
      </w:r>
      <w:r w:rsidR="00B93EFD" w:rsidRPr="005734B8">
        <w:rPr>
          <w:rFonts w:ascii="Calibri" w:hAnsi="Calibri" w:cs="Calibri"/>
        </w:rPr>
        <w:t>cheme</w:t>
      </w:r>
      <w:r w:rsidRPr="005734B8">
        <w:rPr>
          <w:rFonts w:ascii="Calibri" w:hAnsi="Calibri" w:cs="Calibri"/>
        </w:rPr>
        <w:t>.</w:t>
      </w:r>
    </w:p>
    <w:p w14:paraId="62C63116" w14:textId="3B9A279C" w:rsidR="00B12486" w:rsidRPr="005734B8" w:rsidRDefault="00B12486" w:rsidP="00B12486">
      <w:pPr>
        <w:pStyle w:val="ESHeading3"/>
        <w:ind w:left="0" w:firstLine="0"/>
        <w:rPr>
          <w:rFonts w:ascii="Calibri" w:hAnsi="Calibri" w:cs="Calibri"/>
        </w:rPr>
      </w:pPr>
      <w:r w:rsidRPr="005734B8">
        <w:rPr>
          <w:rFonts w:ascii="Calibri" w:hAnsi="Calibri" w:cs="Calibri"/>
        </w:rPr>
        <w:t>Financial Policy and Information Services</w:t>
      </w:r>
      <w:bookmarkEnd w:id="398"/>
      <w:bookmarkEnd w:id="399"/>
      <w:bookmarkEnd w:id="400"/>
      <w:bookmarkEnd w:id="401"/>
      <w:bookmarkEnd w:id="402"/>
      <w:bookmarkEnd w:id="403"/>
      <w:r w:rsidR="001E3BD3">
        <w:rPr>
          <w:rFonts w:ascii="Calibri" w:hAnsi="Calibri" w:cs="Calibri"/>
        </w:rPr>
        <w:t xml:space="preserve"> (FPIS)</w:t>
      </w:r>
    </w:p>
    <w:p w14:paraId="48C68A79" w14:textId="3B8C4BCC" w:rsidR="0031532E" w:rsidRPr="005734B8" w:rsidRDefault="0031532E" w:rsidP="00F45D3D">
      <w:pPr>
        <w:rPr>
          <w:rFonts w:ascii="Calibri" w:hAnsi="Calibri" w:cs="Calibri"/>
          <w:b/>
        </w:rPr>
      </w:pPr>
      <w:bookmarkStart w:id="405" w:name="_Toc11158197"/>
      <w:bookmarkStart w:id="406" w:name="_Toc11336204"/>
      <w:bookmarkStart w:id="407" w:name="_Toc14965428"/>
      <w:bookmarkStart w:id="408" w:name="_Toc19272007"/>
      <w:bookmarkStart w:id="409" w:name="_Toc19272373"/>
      <w:bookmarkStart w:id="410" w:name="_Toc19273708"/>
      <w:r w:rsidRPr="005734B8">
        <w:rPr>
          <w:rFonts w:ascii="Calibri" w:hAnsi="Calibri" w:cs="Calibri"/>
        </w:rPr>
        <w:t xml:space="preserve">FPIS </w:t>
      </w:r>
      <w:r w:rsidR="008556A3" w:rsidRPr="005734B8">
        <w:rPr>
          <w:rFonts w:ascii="Calibri" w:hAnsi="Calibri" w:cs="Calibri"/>
        </w:rPr>
        <w:t>delivers</w:t>
      </w:r>
      <w:r w:rsidRPr="005734B8">
        <w:rPr>
          <w:rFonts w:ascii="Calibri" w:hAnsi="Calibri" w:cs="Calibri"/>
        </w:rPr>
        <w:t xml:space="preserve"> crucial corporate service </w:t>
      </w:r>
      <w:r w:rsidR="008556A3" w:rsidRPr="005734B8">
        <w:rPr>
          <w:rFonts w:ascii="Calibri" w:hAnsi="Calibri" w:cs="Calibri"/>
        </w:rPr>
        <w:t>for</w:t>
      </w:r>
      <w:r w:rsidRPr="005734B8">
        <w:rPr>
          <w:rFonts w:ascii="Calibri" w:hAnsi="Calibri" w:cs="Calibri"/>
        </w:rPr>
        <w:t xml:space="preserve"> the Department. Its primary purpose is to provide strategic and technical advice on budget, finance and resourcing, information technology and procurement. It plays a key role in financial management, oversight and reporting across the education, early childhood</w:t>
      </w:r>
      <w:r w:rsidR="006C167C" w:rsidRPr="005734B8">
        <w:rPr>
          <w:rFonts w:ascii="Calibri" w:hAnsi="Calibri" w:cs="Calibri"/>
        </w:rPr>
        <w:t>,</w:t>
      </w:r>
      <w:r w:rsidRPr="005734B8">
        <w:rPr>
          <w:rFonts w:ascii="Calibri" w:hAnsi="Calibri" w:cs="Calibri"/>
        </w:rPr>
        <w:t xml:space="preserve"> and higher education and training and skills portfolios</w:t>
      </w:r>
      <w:r w:rsidR="008556A3" w:rsidRPr="005734B8">
        <w:rPr>
          <w:rFonts w:ascii="Calibri" w:hAnsi="Calibri" w:cs="Calibri"/>
        </w:rPr>
        <w:t>.</w:t>
      </w:r>
    </w:p>
    <w:p w14:paraId="6B07EBC8" w14:textId="149766E4" w:rsidR="004D1420" w:rsidRPr="005734B8" w:rsidRDefault="004D1420" w:rsidP="004D1420">
      <w:pPr>
        <w:pStyle w:val="ESHeading3"/>
        <w:ind w:left="0" w:firstLine="0"/>
        <w:rPr>
          <w:rFonts w:ascii="Calibri" w:hAnsi="Calibri" w:cs="Calibri"/>
        </w:rPr>
      </w:pPr>
      <w:r w:rsidRPr="005734B8">
        <w:rPr>
          <w:rFonts w:ascii="Calibri" w:hAnsi="Calibri" w:cs="Calibri"/>
        </w:rPr>
        <w:t>Higher Education and Skills</w:t>
      </w:r>
      <w:r w:rsidR="001E3BD3">
        <w:rPr>
          <w:rFonts w:ascii="Calibri" w:hAnsi="Calibri" w:cs="Calibri"/>
        </w:rPr>
        <w:t xml:space="preserve"> (HES)</w:t>
      </w:r>
    </w:p>
    <w:p w14:paraId="150169BD" w14:textId="77777777" w:rsidR="007274E6" w:rsidRPr="005734B8" w:rsidRDefault="007274E6" w:rsidP="007274E6">
      <w:pPr>
        <w:rPr>
          <w:rFonts w:ascii="Calibri" w:hAnsi="Calibri" w:cs="Calibri"/>
        </w:rPr>
      </w:pPr>
      <w:r w:rsidRPr="005734B8">
        <w:rPr>
          <w:rFonts w:ascii="Calibri" w:hAnsi="Calibri" w:cs="Calibri"/>
        </w:rPr>
        <w:t xml:space="preserve">HES oversees tertiary education in Victoria, including VET, higher education, adult education and lifelong learning. </w:t>
      </w:r>
    </w:p>
    <w:p w14:paraId="7242291C" w14:textId="77777777" w:rsidR="007274E6" w:rsidRPr="005734B8" w:rsidRDefault="007274E6" w:rsidP="007274E6">
      <w:pPr>
        <w:rPr>
          <w:rFonts w:ascii="Calibri" w:hAnsi="Calibri" w:cs="Calibri"/>
        </w:rPr>
      </w:pPr>
    </w:p>
    <w:p w14:paraId="6F3012E0" w14:textId="1BB0880B" w:rsidR="007274E6" w:rsidRPr="005734B8" w:rsidRDefault="007274E6" w:rsidP="007274E6">
      <w:pPr>
        <w:rPr>
          <w:rFonts w:ascii="Calibri" w:hAnsi="Calibri" w:cs="Calibri"/>
        </w:rPr>
      </w:pPr>
      <w:r w:rsidRPr="005734B8">
        <w:rPr>
          <w:rFonts w:ascii="Calibri" w:hAnsi="Calibri" w:cs="Calibri"/>
        </w:rPr>
        <w:t xml:space="preserve">HES contributes to the </w:t>
      </w:r>
      <w:r w:rsidR="007E2825" w:rsidRPr="005734B8">
        <w:rPr>
          <w:rFonts w:ascii="Calibri" w:hAnsi="Calibri" w:cs="Calibri"/>
        </w:rPr>
        <w:t>Department’s vision and</w:t>
      </w:r>
      <w:r w:rsidRPr="005734B8">
        <w:rPr>
          <w:rFonts w:ascii="Calibri" w:hAnsi="Calibri" w:cs="Calibri"/>
        </w:rPr>
        <w:t xml:space="preserve"> objectives by ensuring</w:t>
      </w:r>
      <w:r w:rsidR="00CB2370" w:rsidRPr="005734B8">
        <w:rPr>
          <w:rFonts w:ascii="Calibri" w:hAnsi="Calibri" w:cs="Calibri"/>
        </w:rPr>
        <w:t xml:space="preserve"> that</w:t>
      </w:r>
      <w:r w:rsidRPr="005734B8">
        <w:rPr>
          <w:rFonts w:ascii="Calibri" w:hAnsi="Calibri" w:cs="Calibri"/>
        </w:rPr>
        <w:t xml:space="preserve"> Victorians have equitable access to high-quality and relevant post</w:t>
      </w:r>
      <w:r w:rsidRPr="005734B8">
        <w:rPr>
          <w:rFonts w:ascii="Calibri" w:hAnsi="Calibri" w:cs="Calibri"/>
        </w:rPr>
        <w:noBreakHyphen/>
        <w:t>school education and training</w:t>
      </w:r>
      <w:r w:rsidR="006C167C" w:rsidRPr="005734B8">
        <w:rPr>
          <w:rFonts w:ascii="Calibri" w:hAnsi="Calibri" w:cs="Calibri"/>
        </w:rPr>
        <w:t>. These education settings</w:t>
      </w:r>
      <w:r w:rsidRPr="005734B8" w:rsidDel="006C167C">
        <w:rPr>
          <w:rFonts w:ascii="Calibri" w:hAnsi="Calibri" w:cs="Calibri"/>
        </w:rPr>
        <w:t xml:space="preserve"> </w:t>
      </w:r>
      <w:r w:rsidRPr="005734B8">
        <w:rPr>
          <w:rFonts w:ascii="Calibri" w:hAnsi="Calibri" w:cs="Calibri"/>
        </w:rPr>
        <w:t xml:space="preserve">enable individuals to develop deep knowledge, skills and attributes needed for current and future jobs. </w:t>
      </w:r>
    </w:p>
    <w:p w14:paraId="163A64BA" w14:textId="5B95BDD7" w:rsidR="0084219F" w:rsidRPr="005734B8" w:rsidRDefault="0084219F" w:rsidP="0084219F">
      <w:pPr>
        <w:pStyle w:val="ESHeading3"/>
        <w:ind w:left="0" w:firstLine="0"/>
        <w:rPr>
          <w:rFonts w:ascii="Calibri" w:hAnsi="Calibri" w:cs="Calibri"/>
        </w:rPr>
      </w:pPr>
      <w:bookmarkStart w:id="411" w:name="_Toc11158201"/>
      <w:bookmarkStart w:id="412" w:name="_Toc11336208"/>
      <w:bookmarkStart w:id="413" w:name="_Toc14965433"/>
      <w:bookmarkStart w:id="414" w:name="_Toc19272011"/>
      <w:bookmarkStart w:id="415" w:name="_Toc19272377"/>
      <w:bookmarkStart w:id="416" w:name="_Toc19273712"/>
      <w:bookmarkEnd w:id="405"/>
      <w:bookmarkEnd w:id="406"/>
      <w:bookmarkEnd w:id="407"/>
      <w:bookmarkEnd w:id="408"/>
      <w:bookmarkEnd w:id="409"/>
      <w:bookmarkEnd w:id="410"/>
      <w:r w:rsidRPr="005734B8">
        <w:rPr>
          <w:rFonts w:ascii="Calibri" w:hAnsi="Calibri" w:cs="Calibri"/>
        </w:rPr>
        <w:t>People and Executive Services</w:t>
      </w:r>
      <w:r w:rsidR="001E3BD3">
        <w:rPr>
          <w:rFonts w:ascii="Calibri" w:hAnsi="Calibri" w:cs="Calibri"/>
        </w:rPr>
        <w:t xml:space="preserve"> (PES)</w:t>
      </w:r>
    </w:p>
    <w:p w14:paraId="0DB87E1B" w14:textId="1FED8AF7" w:rsidR="0084219F" w:rsidRPr="005734B8" w:rsidRDefault="0084219F" w:rsidP="0084219F">
      <w:pPr>
        <w:rPr>
          <w:rFonts w:ascii="Calibri" w:hAnsi="Calibri" w:cs="Calibri"/>
        </w:rPr>
      </w:pPr>
      <w:bookmarkStart w:id="417" w:name="_Hlk51657209"/>
      <w:bookmarkStart w:id="418" w:name="_Hlk51505458"/>
      <w:bookmarkStart w:id="419" w:name="_Toc11158198"/>
      <w:bookmarkStart w:id="420" w:name="_Toc11336205"/>
      <w:bookmarkStart w:id="421" w:name="_Toc14965429"/>
      <w:bookmarkStart w:id="422" w:name="_Toc19272008"/>
      <w:bookmarkStart w:id="423" w:name="_Toc19272374"/>
      <w:bookmarkStart w:id="424" w:name="_Toc19273709"/>
      <w:r w:rsidRPr="005734B8">
        <w:rPr>
          <w:rFonts w:ascii="Calibri" w:hAnsi="Calibri" w:cs="Calibri"/>
        </w:rPr>
        <w:t xml:space="preserve">PES </w:t>
      </w:r>
      <w:r w:rsidR="009166CC" w:rsidRPr="005734B8">
        <w:rPr>
          <w:rFonts w:ascii="Calibri" w:hAnsi="Calibri" w:cs="Calibri"/>
        </w:rPr>
        <w:t>oversees</w:t>
      </w:r>
      <w:r w:rsidRPr="005734B8">
        <w:rPr>
          <w:rFonts w:ascii="Calibri" w:hAnsi="Calibri" w:cs="Calibri"/>
        </w:rPr>
        <w:t xml:space="preserve"> </w:t>
      </w:r>
      <w:r w:rsidR="009166CC" w:rsidRPr="005734B8">
        <w:rPr>
          <w:rFonts w:ascii="Calibri" w:hAnsi="Calibri" w:cs="Calibri"/>
        </w:rPr>
        <w:t>essential</w:t>
      </w:r>
      <w:r w:rsidRPr="005734B8">
        <w:rPr>
          <w:rFonts w:ascii="Calibri" w:hAnsi="Calibri" w:cs="Calibri"/>
        </w:rPr>
        <w:t xml:space="preserve"> systems such as people services, workplace accommodation, and employee health, safety and wellbeing.</w:t>
      </w:r>
      <w:bookmarkEnd w:id="417"/>
      <w:r w:rsidRPr="005734B8">
        <w:rPr>
          <w:rFonts w:ascii="Calibri" w:hAnsi="Calibri" w:cs="Calibri"/>
        </w:rPr>
        <w:t xml:space="preserve"> PES also delivers school operational policy reform and engagement, and provides the Department with communications and media support, legal services, and ministerial services, including for Cabinet and Parliament support. Other functions PES provides for the Department include knowledge and records management, privacy, FOI, integrity, audit and assurance.</w:t>
      </w:r>
    </w:p>
    <w:bookmarkEnd w:id="418"/>
    <w:bookmarkEnd w:id="419"/>
    <w:bookmarkEnd w:id="420"/>
    <w:bookmarkEnd w:id="421"/>
    <w:bookmarkEnd w:id="422"/>
    <w:bookmarkEnd w:id="423"/>
    <w:bookmarkEnd w:id="424"/>
    <w:p w14:paraId="40DDC261" w14:textId="0CEE3B26" w:rsidR="00236C51" w:rsidRPr="005734B8" w:rsidRDefault="00236C51" w:rsidP="00236C51">
      <w:pPr>
        <w:pStyle w:val="ESHeading3"/>
        <w:ind w:left="0" w:firstLine="0"/>
        <w:rPr>
          <w:rFonts w:ascii="Calibri" w:hAnsi="Calibri" w:cs="Calibri"/>
        </w:rPr>
      </w:pPr>
      <w:r w:rsidRPr="005734B8">
        <w:rPr>
          <w:rFonts w:ascii="Calibri" w:hAnsi="Calibri" w:cs="Calibri"/>
        </w:rPr>
        <w:t>Policy, Strategy and Performance</w:t>
      </w:r>
      <w:r w:rsidR="001E3BD3">
        <w:rPr>
          <w:rFonts w:ascii="Calibri" w:hAnsi="Calibri" w:cs="Calibri"/>
        </w:rPr>
        <w:t xml:space="preserve"> (PSP)</w:t>
      </w:r>
    </w:p>
    <w:p w14:paraId="1676E3C0" w14:textId="203C3D37" w:rsidR="00A015C3" w:rsidRPr="005734B8" w:rsidRDefault="00236C51" w:rsidP="00236C51">
      <w:pPr>
        <w:rPr>
          <w:rFonts w:ascii="Calibri" w:hAnsi="Calibri" w:cs="Calibri"/>
        </w:rPr>
      </w:pPr>
      <w:r w:rsidRPr="005734B8">
        <w:rPr>
          <w:rFonts w:ascii="Calibri" w:hAnsi="Calibri" w:cs="Calibri"/>
        </w:rPr>
        <w:t xml:space="preserve">PSP supports the Department </w:t>
      </w:r>
      <w:r w:rsidR="00CB2370" w:rsidRPr="005734B8">
        <w:rPr>
          <w:rFonts w:ascii="Calibri" w:hAnsi="Calibri" w:cs="Calibri"/>
        </w:rPr>
        <w:t xml:space="preserve">to </w:t>
      </w:r>
      <w:r w:rsidRPr="005734B8">
        <w:rPr>
          <w:rFonts w:ascii="Calibri" w:hAnsi="Calibri" w:cs="Calibri"/>
        </w:rPr>
        <w:t>maintain its intensive focus on delivery, performance and engagement to achieve the Education State reform agenda and the Department’s vision. It aligns policy leadership with strategy, planning, risk, governance and performance to enable evidence-informed decisions that drive current and future system-wide reforms</w:t>
      </w:r>
      <w:r w:rsidR="00FE4E3C" w:rsidRPr="005734B8">
        <w:rPr>
          <w:rFonts w:ascii="Calibri" w:hAnsi="Calibri" w:cs="Calibri"/>
        </w:rPr>
        <w:t xml:space="preserve"> </w:t>
      </w:r>
      <w:r w:rsidRPr="005734B8">
        <w:rPr>
          <w:rFonts w:ascii="Calibri" w:hAnsi="Calibri" w:cs="Calibri"/>
        </w:rPr>
        <w:t>improv</w:t>
      </w:r>
      <w:r w:rsidR="00FE4E3C" w:rsidRPr="005734B8">
        <w:rPr>
          <w:rFonts w:ascii="Calibri" w:hAnsi="Calibri" w:cs="Calibri"/>
        </w:rPr>
        <w:t>ing</w:t>
      </w:r>
      <w:r w:rsidRPr="005734B8">
        <w:rPr>
          <w:rFonts w:ascii="Calibri" w:hAnsi="Calibri" w:cs="Calibri"/>
        </w:rPr>
        <w:t xml:space="preserve"> outcomes for all Victorians.</w:t>
      </w:r>
      <w:r w:rsidR="00A015C3" w:rsidRPr="005734B8">
        <w:rPr>
          <w:rFonts w:ascii="Calibri" w:hAnsi="Calibri" w:cs="Calibri"/>
        </w:rPr>
        <w:br w:type="page"/>
      </w:r>
    </w:p>
    <w:p w14:paraId="25635397" w14:textId="71FF69D1" w:rsidR="00B12486" w:rsidRPr="005734B8" w:rsidRDefault="00B12486" w:rsidP="00B12486">
      <w:pPr>
        <w:pStyle w:val="ESHeading3"/>
        <w:ind w:left="0" w:firstLine="0"/>
        <w:rPr>
          <w:rFonts w:ascii="Calibri" w:hAnsi="Calibri" w:cs="Calibri"/>
        </w:rPr>
      </w:pPr>
      <w:r w:rsidRPr="005734B8">
        <w:rPr>
          <w:rFonts w:ascii="Calibri" w:hAnsi="Calibri" w:cs="Calibri"/>
        </w:rPr>
        <w:lastRenderedPageBreak/>
        <w:t>School Education Programs and Support</w:t>
      </w:r>
      <w:bookmarkEnd w:id="411"/>
      <w:bookmarkEnd w:id="412"/>
      <w:bookmarkEnd w:id="413"/>
      <w:bookmarkEnd w:id="414"/>
      <w:bookmarkEnd w:id="415"/>
      <w:bookmarkEnd w:id="416"/>
      <w:r w:rsidR="00066CBF" w:rsidRPr="005734B8">
        <w:rPr>
          <w:rFonts w:ascii="Calibri" w:hAnsi="Calibri" w:cs="Calibri"/>
        </w:rPr>
        <w:t xml:space="preserve"> </w:t>
      </w:r>
      <w:r w:rsidR="001E3BD3">
        <w:rPr>
          <w:rFonts w:ascii="Calibri" w:hAnsi="Calibri" w:cs="Calibri"/>
        </w:rPr>
        <w:t>(SEPS)</w:t>
      </w:r>
    </w:p>
    <w:p w14:paraId="30555E1D" w14:textId="018C33A4" w:rsidR="009B138F" w:rsidRPr="005734B8" w:rsidRDefault="005300AD" w:rsidP="004D1420">
      <w:pPr>
        <w:rPr>
          <w:rFonts w:ascii="Calibri" w:hAnsi="Calibri" w:cs="Calibri"/>
        </w:rPr>
      </w:pPr>
      <w:r w:rsidRPr="005734B8">
        <w:rPr>
          <w:rFonts w:ascii="Calibri" w:hAnsi="Calibri" w:cs="Calibri"/>
        </w:rPr>
        <w:t xml:space="preserve">SEPS </w:t>
      </w:r>
      <w:r w:rsidR="009B138F" w:rsidRPr="005734B8">
        <w:rPr>
          <w:rFonts w:ascii="Calibri" w:hAnsi="Calibri" w:cs="Calibri"/>
        </w:rPr>
        <w:t>shapes</w:t>
      </w:r>
      <w:r w:rsidRPr="005734B8">
        <w:rPr>
          <w:rFonts w:ascii="Calibri" w:hAnsi="Calibri" w:cs="Calibri"/>
        </w:rPr>
        <w:t xml:space="preserve"> the </w:t>
      </w:r>
      <w:r w:rsidR="009B138F" w:rsidRPr="005734B8">
        <w:rPr>
          <w:rFonts w:ascii="Calibri" w:hAnsi="Calibri" w:cs="Calibri"/>
        </w:rPr>
        <w:t>schooling system to foster development and wellbeing, and</w:t>
      </w:r>
      <w:r w:rsidR="009626B9" w:rsidRPr="005734B8">
        <w:rPr>
          <w:rFonts w:ascii="Calibri" w:hAnsi="Calibri" w:cs="Calibri"/>
        </w:rPr>
        <w:t xml:space="preserve"> to</w:t>
      </w:r>
      <w:r w:rsidR="009B138F" w:rsidRPr="005734B8">
        <w:rPr>
          <w:rFonts w:ascii="Calibri" w:hAnsi="Calibri" w:cs="Calibri"/>
        </w:rPr>
        <w:t xml:space="preserve"> provide students with the knowledge and capabilities required for the modern world</w:t>
      </w:r>
      <w:r w:rsidRPr="005734B8">
        <w:rPr>
          <w:rFonts w:ascii="Calibri" w:hAnsi="Calibri" w:cs="Calibri"/>
        </w:rPr>
        <w:t xml:space="preserve">. </w:t>
      </w:r>
      <w:r w:rsidR="009B138F" w:rsidRPr="005734B8">
        <w:rPr>
          <w:rFonts w:ascii="Calibri" w:hAnsi="Calibri" w:cs="Calibri"/>
        </w:rPr>
        <w:t>It leads policy development and program design to improve educational and wellbeing outcomes, and</w:t>
      </w:r>
      <w:r w:rsidR="009626B9" w:rsidRPr="005734B8">
        <w:rPr>
          <w:rFonts w:ascii="Calibri" w:hAnsi="Calibri" w:cs="Calibri"/>
        </w:rPr>
        <w:t xml:space="preserve"> to</w:t>
      </w:r>
      <w:r w:rsidR="009B138F" w:rsidRPr="005734B8">
        <w:rPr>
          <w:rFonts w:ascii="Calibri" w:hAnsi="Calibri" w:cs="Calibri"/>
        </w:rPr>
        <w:t xml:space="preserve"> ensure</w:t>
      </w:r>
      <w:r w:rsidR="009626B9" w:rsidRPr="005734B8">
        <w:rPr>
          <w:rFonts w:ascii="Calibri" w:hAnsi="Calibri" w:cs="Calibri"/>
        </w:rPr>
        <w:t xml:space="preserve"> that</w:t>
      </w:r>
      <w:r w:rsidR="009B138F" w:rsidRPr="005734B8">
        <w:rPr>
          <w:rFonts w:ascii="Calibri" w:hAnsi="Calibri" w:cs="Calibri"/>
        </w:rPr>
        <w:t xml:space="preserve"> all learners are engaged and active.</w:t>
      </w:r>
    </w:p>
    <w:p w14:paraId="18BD51DA" w14:textId="475EA2D5" w:rsidR="009B138F" w:rsidRPr="005734B8" w:rsidRDefault="009B138F" w:rsidP="009B138F">
      <w:pPr>
        <w:rPr>
          <w:rFonts w:ascii="Calibri" w:hAnsi="Calibri" w:cs="Calibri"/>
          <w:noProof/>
          <w:color w:val="000000" w:themeColor="text2"/>
          <w:szCs w:val="18"/>
          <w:lang w:val="en-US"/>
        </w:rPr>
      </w:pPr>
      <w:r w:rsidRPr="005734B8">
        <w:rPr>
          <w:rFonts w:ascii="Calibri" w:hAnsi="Calibri" w:cs="Calibri"/>
          <w:noProof/>
          <w:szCs w:val="18"/>
          <w:lang w:val="en-US"/>
        </w:rPr>
        <w:br/>
      </w:r>
      <w:r w:rsidRPr="005734B8">
        <w:rPr>
          <w:rFonts w:ascii="Calibri" w:hAnsi="Calibri" w:cs="Calibri"/>
        </w:rPr>
        <w:t>SEPS works in close collaboration and partnership with, statutory authorities, service delivery partners, parents and families to lead, monitor and refine the Victorian school improvement agenda.</w:t>
      </w:r>
    </w:p>
    <w:p w14:paraId="5439A010" w14:textId="5B85CDD5" w:rsidR="00B12486" w:rsidRPr="005734B8" w:rsidRDefault="00B409C9" w:rsidP="00B12486">
      <w:pPr>
        <w:pStyle w:val="ESHeading3"/>
        <w:ind w:left="0" w:firstLine="0"/>
        <w:rPr>
          <w:rFonts w:ascii="Calibri" w:hAnsi="Calibri" w:cs="Calibri"/>
        </w:rPr>
      </w:pPr>
      <w:bookmarkStart w:id="425" w:name="_Toc14965434"/>
      <w:bookmarkStart w:id="426" w:name="_Toc19272012"/>
      <w:bookmarkStart w:id="427" w:name="_Toc19272378"/>
      <w:bookmarkStart w:id="428" w:name="_Toc19273713"/>
      <w:bookmarkStart w:id="429" w:name="_Hlk51572912"/>
      <w:r w:rsidRPr="005734B8">
        <w:rPr>
          <w:rFonts w:ascii="Calibri" w:hAnsi="Calibri" w:cs="Calibri"/>
        </w:rPr>
        <w:t xml:space="preserve">Schools and </w:t>
      </w:r>
      <w:r w:rsidR="00172D1F" w:rsidRPr="005734B8">
        <w:rPr>
          <w:rFonts w:ascii="Calibri" w:hAnsi="Calibri" w:cs="Calibri"/>
        </w:rPr>
        <w:t>R</w:t>
      </w:r>
      <w:r w:rsidR="00B12486" w:rsidRPr="005734B8">
        <w:rPr>
          <w:rFonts w:ascii="Calibri" w:hAnsi="Calibri" w:cs="Calibri"/>
        </w:rPr>
        <w:t>egional Services</w:t>
      </w:r>
      <w:bookmarkEnd w:id="425"/>
      <w:bookmarkEnd w:id="426"/>
      <w:bookmarkEnd w:id="427"/>
      <w:bookmarkEnd w:id="428"/>
      <w:r w:rsidR="001E3BD3">
        <w:rPr>
          <w:rFonts w:ascii="Calibri" w:hAnsi="Calibri" w:cs="Calibri"/>
        </w:rPr>
        <w:t xml:space="preserve"> (SRS)</w:t>
      </w:r>
    </w:p>
    <w:p w14:paraId="433948AC" w14:textId="7AA5C55C" w:rsidR="00523D1B" w:rsidRPr="005734B8" w:rsidRDefault="00523D1B" w:rsidP="00523D1B">
      <w:pPr>
        <w:rPr>
          <w:rFonts w:ascii="Calibri" w:hAnsi="Calibri" w:cs="Calibri"/>
        </w:rPr>
      </w:pPr>
      <w:bookmarkStart w:id="430" w:name="_Hlk51572132"/>
      <w:r w:rsidRPr="005734B8">
        <w:rPr>
          <w:rFonts w:ascii="Calibri" w:hAnsi="Calibri" w:cs="Calibri"/>
        </w:rPr>
        <w:t>SRS delivers frontline education, health and professional development services. It is responsible for building the capability of professional workforces, developing excellence in leadership, teaching quality and educational practice.</w:t>
      </w:r>
    </w:p>
    <w:p w14:paraId="4B114F37" w14:textId="77777777" w:rsidR="00523D1B" w:rsidRPr="005734B8" w:rsidRDefault="00523D1B" w:rsidP="00523D1B">
      <w:pPr>
        <w:rPr>
          <w:rFonts w:ascii="Calibri" w:hAnsi="Calibri" w:cs="Calibri"/>
        </w:rPr>
      </w:pPr>
    </w:p>
    <w:p w14:paraId="634A9AC2" w14:textId="23974B53" w:rsidR="00523D1B" w:rsidRPr="005734B8" w:rsidRDefault="0051394F" w:rsidP="00780E5B">
      <w:pPr>
        <w:rPr>
          <w:rFonts w:ascii="Calibri" w:hAnsi="Calibri" w:cs="Calibri"/>
        </w:rPr>
      </w:pPr>
      <w:r w:rsidRPr="005734B8">
        <w:rPr>
          <w:rFonts w:ascii="Calibri" w:hAnsi="Calibri" w:cs="Calibri"/>
        </w:rPr>
        <w:t xml:space="preserve">SRS is the primary </w:t>
      </w:r>
      <w:r w:rsidRPr="005734B8">
        <w:rPr>
          <w:rFonts w:ascii="Calibri" w:hAnsi="Calibri" w:cs="Calibri"/>
          <w:szCs w:val="22"/>
          <w:lang w:val="en-AU"/>
        </w:rPr>
        <w:t>interface between the Department’s central office, schools and service providers</w:t>
      </w:r>
      <w:r w:rsidRPr="005734B8">
        <w:rPr>
          <w:rFonts w:ascii="Calibri" w:hAnsi="Calibri" w:cs="Calibri"/>
        </w:rPr>
        <w:t>. It</w:t>
      </w:r>
      <w:r w:rsidR="00523D1B" w:rsidRPr="005734B8">
        <w:rPr>
          <w:rFonts w:ascii="Calibri" w:hAnsi="Calibri" w:cs="Calibri"/>
        </w:rPr>
        <w:t xml:space="preserve"> guides effective policy and program implementation, creating local opportunities for engagement, partnership and the spreading of best</w:t>
      </w:r>
      <w:r w:rsidR="009626B9" w:rsidRPr="005734B8">
        <w:rPr>
          <w:rFonts w:ascii="Calibri" w:hAnsi="Calibri" w:cs="Calibri"/>
        </w:rPr>
        <w:t>-</w:t>
      </w:r>
      <w:r w:rsidR="00523D1B" w:rsidRPr="005734B8">
        <w:rPr>
          <w:rFonts w:ascii="Calibri" w:hAnsi="Calibri" w:cs="Calibri"/>
        </w:rPr>
        <w:t xml:space="preserve">practice approaches. It </w:t>
      </w:r>
      <w:r w:rsidRPr="005734B8">
        <w:rPr>
          <w:rFonts w:ascii="Calibri" w:hAnsi="Calibri" w:cs="Calibri"/>
        </w:rPr>
        <w:t>also</w:t>
      </w:r>
      <w:r w:rsidR="00523D1B" w:rsidRPr="005734B8">
        <w:rPr>
          <w:rFonts w:ascii="Calibri" w:hAnsi="Calibri" w:cs="Calibri"/>
        </w:rPr>
        <w:t xml:space="preserve"> embeds continuous improvement through performance monitoring and delivers emergency management policy across early childhood services, schools and higher education providers. </w:t>
      </w:r>
    </w:p>
    <w:p w14:paraId="42483A3C" w14:textId="5692F9D5" w:rsidR="00B12486" w:rsidRPr="005734B8" w:rsidRDefault="00B12486" w:rsidP="00FC1148">
      <w:pPr>
        <w:pStyle w:val="ESHeading3"/>
        <w:ind w:left="0" w:firstLine="0"/>
        <w:rPr>
          <w:rFonts w:ascii="Calibri" w:hAnsi="Calibri" w:cs="Calibri"/>
        </w:rPr>
      </w:pPr>
      <w:bookmarkStart w:id="431" w:name="_Toc11158203"/>
      <w:bookmarkStart w:id="432" w:name="_Toc11336210"/>
      <w:bookmarkStart w:id="433" w:name="_Toc14965435"/>
      <w:bookmarkStart w:id="434" w:name="_Toc19272013"/>
      <w:bookmarkStart w:id="435" w:name="_Toc19272379"/>
      <w:bookmarkStart w:id="436" w:name="_Toc19273714"/>
      <w:bookmarkEnd w:id="429"/>
      <w:bookmarkEnd w:id="430"/>
      <w:r w:rsidRPr="005734B8">
        <w:rPr>
          <w:rFonts w:ascii="Calibri" w:hAnsi="Calibri" w:cs="Calibri"/>
        </w:rPr>
        <w:t>Victorian School Building Authority</w:t>
      </w:r>
      <w:bookmarkEnd w:id="431"/>
      <w:bookmarkEnd w:id="432"/>
      <w:bookmarkEnd w:id="433"/>
      <w:bookmarkEnd w:id="434"/>
      <w:bookmarkEnd w:id="435"/>
      <w:bookmarkEnd w:id="436"/>
      <w:r w:rsidR="001E3BD3">
        <w:rPr>
          <w:rFonts w:ascii="Calibri" w:hAnsi="Calibri" w:cs="Calibri"/>
        </w:rPr>
        <w:t xml:space="preserve"> (VSBA)</w:t>
      </w:r>
    </w:p>
    <w:p w14:paraId="386CC57E" w14:textId="31DD1C84" w:rsidR="00616A93" w:rsidRPr="005734B8" w:rsidRDefault="0089638A" w:rsidP="00D54B92">
      <w:pPr>
        <w:rPr>
          <w:rFonts w:ascii="Calibri" w:hAnsi="Calibri" w:cs="Calibri"/>
          <w:highlight w:val="yellow"/>
        </w:rPr>
      </w:pPr>
      <w:r w:rsidRPr="005734B8">
        <w:rPr>
          <w:rFonts w:ascii="Calibri" w:hAnsi="Calibri" w:cs="Calibri"/>
        </w:rPr>
        <w:t>The VSBA designs</w:t>
      </w:r>
      <w:r w:rsidR="00594886" w:rsidRPr="005734B8">
        <w:rPr>
          <w:rFonts w:ascii="Calibri" w:hAnsi="Calibri" w:cs="Calibri"/>
        </w:rPr>
        <w:t>,</w:t>
      </w:r>
      <w:r w:rsidRPr="005734B8">
        <w:rPr>
          <w:rFonts w:ascii="Calibri" w:hAnsi="Calibri" w:cs="Calibri"/>
        </w:rPr>
        <w:t xml:space="preserve"> builds</w:t>
      </w:r>
      <w:r w:rsidR="00594886" w:rsidRPr="005734B8">
        <w:rPr>
          <w:rFonts w:ascii="Calibri" w:hAnsi="Calibri" w:cs="Calibri"/>
        </w:rPr>
        <w:t xml:space="preserve">, maintains and upgrades </w:t>
      </w:r>
      <w:r w:rsidRPr="005734B8">
        <w:rPr>
          <w:rFonts w:ascii="Calibri" w:hAnsi="Calibri" w:cs="Calibri"/>
        </w:rPr>
        <w:t xml:space="preserve">schools and </w:t>
      </w:r>
      <w:r w:rsidR="00594886" w:rsidRPr="005734B8">
        <w:rPr>
          <w:rFonts w:ascii="Calibri" w:hAnsi="Calibri" w:cs="Calibri"/>
        </w:rPr>
        <w:t>kindergartens</w:t>
      </w:r>
      <w:r w:rsidRPr="005734B8">
        <w:rPr>
          <w:rFonts w:ascii="Calibri" w:hAnsi="Calibri" w:cs="Calibri"/>
        </w:rPr>
        <w:t xml:space="preserve"> to cater for Victoria’s rapidly growing student population</w:t>
      </w:r>
      <w:r w:rsidR="00594886" w:rsidRPr="005734B8">
        <w:rPr>
          <w:rFonts w:ascii="Calibri" w:hAnsi="Calibri" w:cs="Calibri"/>
        </w:rPr>
        <w:t xml:space="preserve"> and to meet the changing needs of modern education. </w:t>
      </w:r>
      <w:r w:rsidR="00ED70D7" w:rsidRPr="005734B8">
        <w:rPr>
          <w:rFonts w:ascii="Calibri" w:hAnsi="Calibri" w:cs="Calibri"/>
        </w:rPr>
        <w:t>T</w:t>
      </w:r>
      <w:r w:rsidR="00594886" w:rsidRPr="005734B8">
        <w:rPr>
          <w:rFonts w:ascii="Calibri" w:hAnsi="Calibri" w:cs="Calibri"/>
        </w:rPr>
        <w:t>he VSBA br</w:t>
      </w:r>
      <w:r w:rsidR="00ED70D7" w:rsidRPr="005734B8">
        <w:rPr>
          <w:rFonts w:ascii="Calibri" w:hAnsi="Calibri" w:cs="Calibri"/>
        </w:rPr>
        <w:t>ings</w:t>
      </w:r>
      <w:r w:rsidR="00594886" w:rsidRPr="005734B8">
        <w:rPr>
          <w:rFonts w:ascii="Calibri" w:hAnsi="Calibri" w:cs="Calibri"/>
        </w:rPr>
        <w:t xml:space="preserve"> a different approach to planning education infrastructure, with greater community input, new partnerships with local governments, universities and the private sector, as well as school designs geared to modern teaching.</w:t>
      </w:r>
    </w:p>
    <w:p w14:paraId="1F67C208" w14:textId="4E193A6B" w:rsidR="002E5ACA" w:rsidRPr="005734B8" w:rsidRDefault="00CC2DAB" w:rsidP="002E5ACA">
      <w:pPr>
        <w:pStyle w:val="ESHeading3"/>
        <w:ind w:left="0" w:firstLine="0"/>
        <w:rPr>
          <w:rFonts w:ascii="Calibri" w:hAnsi="Calibri" w:cs="Calibri"/>
          <w:highlight w:val="yellow"/>
        </w:rPr>
      </w:pPr>
      <w:r w:rsidRPr="005734B8">
        <w:rPr>
          <w:rFonts w:ascii="Calibri" w:hAnsi="Calibri" w:cs="Calibri"/>
        </w:rPr>
        <w:t>Senior Secondary Pathways Reform Taskforce</w:t>
      </w:r>
    </w:p>
    <w:p w14:paraId="03F6F37F" w14:textId="1D386378" w:rsidR="002E5ACA" w:rsidRPr="005734B8" w:rsidRDefault="002E5ACA" w:rsidP="00D54B92">
      <w:pPr>
        <w:rPr>
          <w:rFonts w:ascii="Calibri" w:hAnsi="Calibri" w:cs="Calibri"/>
          <w:highlight w:val="yellow"/>
        </w:rPr>
      </w:pPr>
      <w:r w:rsidRPr="005734B8">
        <w:rPr>
          <w:rFonts w:ascii="Calibri" w:hAnsi="Calibri" w:cs="Calibri"/>
        </w:rPr>
        <w:t>On 24 November 2020, the</w:t>
      </w:r>
      <w:r w:rsidR="00367BC4" w:rsidRPr="005734B8">
        <w:rPr>
          <w:rFonts w:ascii="Calibri" w:hAnsi="Calibri" w:cs="Calibri"/>
        </w:rPr>
        <w:t xml:space="preserve"> Victorian</w:t>
      </w:r>
      <w:r w:rsidRPr="005734B8">
        <w:rPr>
          <w:rFonts w:ascii="Calibri" w:hAnsi="Calibri" w:cs="Calibri"/>
        </w:rPr>
        <w:t xml:space="preserve"> Government published the Review into vocational and applied learning pathways in senior secondary schooling and confirmed</w:t>
      </w:r>
      <w:r w:rsidR="00367BC4" w:rsidRPr="005734B8">
        <w:rPr>
          <w:rFonts w:ascii="Calibri" w:hAnsi="Calibri" w:cs="Calibri"/>
        </w:rPr>
        <w:t xml:space="preserve"> that</w:t>
      </w:r>
      <w:r w:rsidRPr="005734B8">
        <w:rPr>
          <w:rFonts w:ascii="Calibri" w:hAnsi="Calibri" w:cs="Calibri"/>
        </w:rPr>
        <w:t xml:space="preserve"> it accepted </w:t>
      </w:r>
      <w:r w:rsidR="00367BC4" w:rsidRPr="005734B8">
        <w:rPr>
          <w:rFonts w:ascii="Calibri" w:hAnsi="Calibri" w:cs="Calibri"/>
        </w:rPr>
        <w:t xml:space="preserve">in principle </w:t>
      </w:r>
      <w:r w:rsidRPr="005734B8">
        <w:rPr>
          <w:rFonts w:ascii="Calibri" w:hAnsi="Calibri" w:cs="Calibri"/>
        </w:rPr>
        <w:t xml:space="preserve">all </w:t>
      </w:r>
      <w:r w:rsidR="00367BC4" w:rsidRPr="005734B8">
        <w:rPr>
          <w:rFonts w:ascii="Calibri" w:hAnsi="Calibri" w:cs="Calibri"/>
        </w:rPr>
        <w:t xml:space="preserve">the </w:t>
      </w:r>
      <w:r w:rsidR="00CC2DAB" w:rsidRPr="005734B8">
        <w:rPr>
          <w:rFonts w:ascii="Calibri" w:hAnsi="Calibri" w:cs="Calibri"/>
        </w:rPr>
        <w:t>review</w:t>
      </w:r>
      <w:r w:rsidR="00367BC4" w:rsidRPr="005734B8">
        <w:rPr>
          <w:rFonts w:ascii="Calibri" w:hAnsi="Calibri" w:cs="Calibri"/>
        </w:rPr>
        <w:t>’s</w:t>
      </w:r>
      <w:r w:rsidR="00CC2DAB" w:rsidRPr="005734B8">
        <w:rPr>
          <w:rFonts w:ascii="Calibri" w:hAnsi="Calibri" w:cs="Calibri"/>
        </w:rPr>
        <w:t xml:space="preserve"> </w:t>
      </w:r>
      <w:r w:rsidRPr="005734B8">
        <w:rPr>
          <w:rFonts w:ascii="Calibri" w:hAnsi="Calibri" w:cs="Calibri"/>
        </w:rPr>
        <w:t>recommendation</w:t>
      </w:r>
      <w:r w:rsidR="00367BC4" w:rsidRPr="005734B8">
        <w:rPr>
          <w:rFonts w:ascii="Calibri" w:hAnsi="Calibri" w:cs="Calibri"/>
        </w:rPr>
        <w:t>s</w:t>
      </w:r>
      <w:r w:rsidRPr="005734B8">
        <w:rPr>
          <w:rFonts w:ascii="Calibri" w:hAnsi="Calibri" w:cs="Calibri"/>
        </w:rPr>
        <w:t xml:space="preserve"> </w:t>
      </w:r>
      <w:r w:rsidR="00CC2DAB" w:rsidRPr="005734B8">
        <w:rPr>
          <w:rFonts w:ascii="Calibri" w:hAnsi="Calibri" w:cs="Calibri"/>
        </w:rPr>
        <w:t>in</w:t>
      </w:r>
      <w:r w:rsidR="00CC2DAB" w:rsidRPr="005734B8">
        <w:rPr>
          <w:rFonts w:ascii="Calibri" w:hAnsi="Calibri" w:cs="Calibri"/>
        </w:rPr>
        <w:noBreakHyphen/>
        <w:t>principle</w:t>
      </w:r>
      <w:r w:rsidRPr="005734B8">
        <w:rPr>
          <w:rFonts w:ascii="Calibri" w:hAnsi="Calibri" w:cs="Calibri"/>
        </w:rPr>
        <w:t xml:space="preserve">. The Department established the Senior Secondary Pathways Reform Taskforce to lead design and implementation of reforms, working in close partnership with the </w:t>
      </w:r>
      <w:r w:rsidR="00CC2DAB" w:rsidRPr="005734B8">
        <w:rPr>
          <w:rFonts w:ascii="Calibri" w:hAnsi="Calibri" w:cs="Calibri"/>
        </w:rPr>
        <w:t>VCAA</w:t>
      </w:r>
      <w:r w:rsidR="00367BC4" w:rsidRPr="005734B8">
        <w:rPr>
          <w:rFonts w:ascii="Calibri" w:hAnsi="Calibri" w:cs="Calibri"/>
        </w:rPr>
        <w:t>,</w:t>
      </w:r>
      <w:r w:rsidRPr="005734B8">
        <w:rPr>
          <w:rFonts w:ascii="Calibri" w:hAnsi="Calibri" w:cs="Calibri"/>
        </w:rPr>
        <w:t xml:space="preserve"> which is responsible for design</w:t>
      </w:r>
      <w:r w:rsidR="00CC2DAB" w:rsidRPr="005734B8">
        <w:rPr>
          <w:rFonts w:ascii="Calibri" w:hAnsi="Calibri" w:cs="Calibri"/>
        </w:rPr>
        <w:t>ing</w:t>
      </w:r>
      <w:r w:rsidRPr="005734B8">
        <w:rPr>
          <w:rFonts w:ascii="Calibri" w:hAnsi="Calibri" w:cs="Calibri"/>
        </w:rPr>
        <w:t xml:space="preserve"> the</w:t>
      </w:r>
      <w:r w:rsidR="00CC2DAB" w:rsidRPr="005734B8">
        <w:rPr>
          <w:rFonts w:ascii="Calibri" w:hAnsi="Calibri" w:cs="Calibri"/>
        </w:rPr>
        <w:t xml:space="preserve"> new</w:t>
      </w:r>
      <w:r w:rsidRPr="005734B8">
        <w:rPr>
          <w:rFonts w:ascii="Calibri" w:hAnsi="Calibri" w:cs="Calibri"/>
        </w:rPr>
        <w:t xml:space="preserve"> </w:t>
      </w:r>
      <w:r w:rsidR="005F3792" w:rsidRPr="005734B8">
        <w:rPr>
          <w:rFonts w:ascii="Calibri" w:hAnsi="Calibri" w:cs="Calibri"/>
        </w:rPr>
        <w:t>Victorian senior secondary certificates</w:t>
      </w:r>
      <w:r w:rsidRPr="005734B8">
        <w:rPr>
          <w:rFonts w:ascii="Calibri" w:hAnsi="Calibri" w:cs="Calibri"/>
        </w:rPr>
        <w:t>.</w:t>
      </w:r>
    </w:p>
    <w:p w14:paraId="25558462" w14:textId="77777777" w:rsidR="00616A93" w:rsidRPr="005734B8" w:rsidRDefault="00616A93">
      <w:pPr>
        <w:rPr>
          <w:rFonts w:ascii="Calibri" w:hAnsi="Calibri" w:cs="Calibri"/>
          <w:highlight w:val="yellow"/>
        </w:rPr>
      </w:pPr>
      <w:r w:rsidRPr="005734B8">
        <w:rPr>
          <w:rFonts w:ascii="Calibri" w:hAnsi="Calibri" w:cs="Calibri"/>
          <w:highlight w:val="yellow"/>
        </w:rPr>
        <w:br w:type="page"/>
      </w:r>
    </w:p>
    <w:p w14:paraId="4349F9C2" w14:textId="77777777" w:rsidR="00E506A9" w:rsidRPr="005734B8" w:rsidRDefault="00E506A9" w:rsidP="00E506A9">
      <w:pPr>
        <w:pStyle w:val="ESHeading2"/>
        <w:rPr>
          <w:rFonts w:ascii="Calibri" w:hAnsi="Calibri" w:cs="Calibri"/>
        </w:rPr>
      </w:pPr>
      <w:bookmarkStart w:id="437" w:name="_Toc11158204"/>
      <w:bookmarkStart w:id="438" w:name="_Toc11336211"/>
      <w:bookmarkStart w:id="439" w:name="_Toc13656674"/>
      <w:bookmarkStart w:id="440" w:name="_Toc14965436"/>
      <w:bookmarkStart w:id="441" w:name="_Toc15985260"/>
      <w:bookmarkStart w:id="442" w:name="_Toc19272014"/>
      <w:bookmarkStart w:id="443" w:name="_Toc19272380"/>
      <w:bookmarkStart w:id="444" w:name="_Toc19273715"/>
      <w:bookmarkStart w:id="445" w:name="_Toc48402780"/>
      <w:bookmarkStart w:id="446" w:name="_Toc48403017"/>
      <w:bookmarkStart w:id="447" w:name="_Toc51332760"/>
      <w:bookmarkStart w:id="448" w:name="_Toc71208224"/>
      <w:bookmarkStart w:id="449" w:name="_Toc81315324"/>
      <w:bookmarkStart w:id="450" w:name="_Toc10208713"/>
      <w:bookmarkStart w:id="451" w:name="_Toc11158207"/>
      <w:bookmarkStart w:id="452" w:name="_Toc11336214"/>
      <w:bookmarkStart w:id="453" w:name="_Toc13656675"/>
      <w:bookmarkStart w:id="454" w:name="_Toc14965439"/>
      <w:bookmarkStart w:id="455" w:name="_Toc15985261"/>
      <w:bookmarkStart w:id="456" w:name="_Toc521587806"/>
      <w:bookmarkStart w:id="457" w:name="_Toc521654168"/>
      <w:bookmarkStart w:id="458" w:name="_Toc10208723"/>
      <w:bookmarkStart w:id="459" w:name="_Toc11158228"/>
      <w:bookmarkStart w:id="460" w:name="_Toc11336235"/>
      <w:bookmarkStart w:id="461" w:name="_Toc13656676"/>
      <w:bookmarkStart w:id="462" w:name="_Toc14965460"/>
      <w:bookmarkStart w:id="463" w:name="_Toc15985262"/>
      <w:bookmarkEnd w:id="404"/>
      <w:r w:rsidRPr="005734B8">
        <w:rPr>
          <w:rFonts w:ascii="Calibri" w:hAnsi="Calibri" w:cs="Calibri"/>
        </w:rPr>
        <w:lastRenderedPageBreak/>
        <w:t>Governance structure</w:t>
      </w:r>
      <w:bookmarkEnd w:id="437"/>
      <w:bookmarkEnd w:id="438"/>
      <w:bookmarkEnd w:id="439"/>
      <w:bookmarkEnd w:id="440"/>
      <w:bookmarkEnd w:id="441"/>
      <w:bookmarkEnd w:id="442"/>
      <w:bookmarkEnd w:id="443"/>
      <w:bookmarkEnd w:id="444"/>
      <w:bookmarkEnd w:id="445"/>
      <w:bookmarkEnd w:id="446"/>
      <w:bookmarkEnd w:id="447"/>
      <w:bookmarkEnd w:id="448"/>
      <w:bookmarkEnd w:id="449"/>
    </w:p>
    <w:p w14:paraId="07FF5C13" w14:textId="389AC7D7" w:rsidR="00E506A9" w:rsidRPr="005734B8" w:rsidRDefault="00E506A9" w:rsidP="00E506A9">
      <w:pPr>
        <w:rPr>
          <w:rFonts w:ascii="Calibri" w:hAnsi="Calibri" w:cs="Calibri"/>
        </w:rPr>
      </w:pPr>
      <w:bookmarkStart w:id="464" w:name="_Toc8821265"/>
      <w:bookmarkStart w:id="465" w:name="_Toc8899514"/>
      <w:r w:rsidRPr="005734B8">
        <w:rPr>
          <w:rFonts w:ascii="Calibri" w:hAnsi="Calibri" w:cs="Calibri"/>
        </w:rPr>
        <w:t>The Department is led by the Secretary</w:t>
      </w:r>
      <w:r w:rsidR="003F36F6" w:rsidRPr="005734B8">
        <w:rPr>
          <w:rFonts w:ascii="Calibri" w:hAnsi="Calibri" w:cs="Calibri"/>
        </w:rPr>
        <w:t>,</w:t>
      </w:r>
      <w:r w:rsidRPr="005734B8">
        <w:rPr>
          <w:rFonts w:ascii="Calibri" w:hAnsi="Calibri" w:cs="Calibri"/>
        </w:rPr>
        <w:t xml:space="preserve"> who reports to the Minister for Education, the Minister for Early Childhood, the Minister for Higher Education</w:t>
      </w:r>
      <w:r w:rsidR="00A30C6C" w:rsidRPr="005734B8">
        <w:rPr>
          <w:rFonts w:ascii="Calibri" w:hAnsi="Calibri" w:cs="Calibri"/>
        </w:rPr>
        <w:t>,</w:t>
      </w:r>
      <w:r w:rsidRPr="005734B8">
        <w:rPr>
          <w:rFonts w:ascii="Calibri" w:hAnsi="Calibri" w:cs="Calibri"/>
        </w:rPr>
        <w:t xml:space="preserve"> and the Minister for Training and Skills.</w:t>
      </w:r>
      <w:r w:rsidR="009230FA" w:rsidRPr="005734B8">
        <w:rPr>
          <w:rFonts w:ascii="Calibri" w:hAnsi="Calibri" w:cs="Calibri"/>
        </w:rPr>
        <w:t xml:space="preserve"> </w:t>
      </w:r>
    </w:p>
    <w:p w14:paraId="6A7BFB26" w14:textId="77777777" w:rsidR="00E506A9" w:rsidRPr="005734B8" w:rsidRDefault="00E506A9" w:rsidP="00E506A9">
      <w:pPr>
        <w:pStyle w:val="ESHeading3"/>
        <w:ind w:left="0" w:firstLine="0"/>
        <w:rPr>
          <w:rFonts w:ascii="Calibri" w:hAnsi="Calibri" w:cs="Calibri"/>
        </w:rPr>
      </w:pPr>
      <w:bookmarkStart w:id="466" w:name="_Toc8821266"/>
      <w:bookmarkStart w:id="467" w:name="_Toc10208711"/>
      <w:bookmarkStart w:id="468" w:name="_Toc11158205"/>
      <w:bookmarkStart w:id="469" w:name="_Toc11336212"/>
      <w:bookmarkStart w:id="470" w:name="_Toc14965437"/>
      <w:bookmarkStart w:id="471" w:name="_Toc19272015"/>
      <w:bookmarkStart w:id="472" w:name="_Toc19272381"/>
      <w:bookmarkStart w:id="473" w:name="_Toc19273716"/>
      <w:bookmarkStart w:id="474" w:name="_Toc39835779"/>
      <w:bookmarkStart w:id="475" w:name="_Toc10208712"/>
      <w:bookmarkStart w:id="476" w:name="_Toc11158206"/>
      <w:bookmarkStart w:id="477" w:name="_Toc11336213"/>
      <w:bookmarkStart w:id="478" w:name="_Toc14965438"/>
      <w:bookmarkStart w:id="479" w:name="_Toc19272016"/>
      <w:bookmarkStart w:id="480" w:name="_Toc19272382"/>
      <w:bookmarkStart w:id="481" w:name="_Toc19273717"/>
      <w:bookmarkStart w:id="482" w:name="_Toc39835780"/>
      <w:bookmarkEnd w:id="464"/>
      <w:bookmarkEnd w:id="465"/>
      <w:r w:rsidRPr="005734B8">
        <w:rPr>
          <w:rFonts w:ascii="Calibri" w:hAnsi="Calibri" w:cs="Calibri"/>
        </w:rPr>
        <w:t>Executive Board</w:t>
      </w:r>
      <w:bookmarkEnd w:id="466"/>
      <w:bookmarkEnd w:id="467"/>
      <w:bookmarkEnd w:id="468"/>
      <w:bookmarkEnd w:id="469"/>
      <w:bookmarkEnd w:id="470"/>
      <w:bookmarkEnd w:id="471"/>
      <w:bookmarkEnd w:id="472"/>
      <w:bookmarkEnd w:id="473"/>
      <w:bookmarkEnd w:id="474"/>
    </w:p>
    <w:p w14:paraId="315ECE20" w14:textId="77777777" w:rsidR="00E506A9" w:rsidRPr="005734B8" w:rsidRDefault="00E506A9" w:rsidP="00E506A9">
      <w:pPr>
        <w:rPr>
          <w:rFonts w:ascii="Calibri" w:hAnsi="Calibri" w:cs="Calibri"/>
        </w:rPr>
      </w:pPr>
      <w:bookmarkStart w:id="483" w:name="_Hlk51505706"/>
      <w:r w:rsidRPr="005734B8">
        <w:rPr>
          <w:rFonts w:ascii="Calibri" w:hAnsi="Calibri" w:cs="Calibri"/>
        </w:rPr>
        <w:t xml:space="preserve">The Executive Board provides stewardship by giving a whole-of-department perspective to advise the Secretary (who, in turn, is responsible to Government and Ministers). </w:t>
      </w:r>
    </w:p>
    <w:p w14:paraId="1D167BFE" w14:textId="77777777" w:rsidR="00E506A9" w:rsidRPr="005734B8" w:rsidRDefault="00E506A9" w:rsidP="00E506A9">
      <w:pPr>
        <w:rPr>
          <w:rFonts w:ascii="Calibri" w:hAnsi="Calibri" w:cs="Calibri"/>
        </w:rPr>
      </w:pPr>
    </w:p>
    <w:p w14:paraId="029F7500" w14:textId="77777777" w:rsidR="00E506A9" w:rsidRPr="005734B8" w:rsidRDefault="00E506A9" w:rsidP="00E506A9">
      <w:pPr>
        <w:rPr>
          <w:rFonts w:ascii="Calibri" w:hAnsi="Calibri" w:cs="Calibri"/>
        </w:rPr>
      </w:pPr>
      <w:r w:rsidRPr="005734B8">
        <w:rPr>
          <w:rFonts w:ascii="Calibri" w:hAnsi="Calibri" w:cs="Calibri"/>
        </w:rPr>
        <w:t xml:space="preserve">The Executive Board assists the Secretary with strategic leadership of the Department, its agencies and the Department’s portfolios as a whole, including vision, purpose, strategic direction and objectives. </w:t>
      </w:r>
    </w:p>
    <w:p w14:paraId="3A583D8B" w14:textId="77777777" w:rsidR="00E506A9" w:rsidRPr="005734B8" w:rsidRDefault="00E506A9" w:rsidP="00E506A9">
      <w:pPr>
        <w:rPr>
          <w:rFonts w:ascii="Calibri" w:hAnsi="Calibri" w:cs="Calibri"/>
        </w:rPr>
      </w:pPr>
    </w:p>
    <w:p w14:paraId="663DCE58" w14:textId="2B399C5D" w:rsidR="00E506A9" w:rsidRPr="005734B8" w:rsidRDefault="00E506A9" w:rsidP="00E506A9">
      <w:pPr>
        <w:rPr>
          <w:rFonts w:ascii="Calibri" w:hAnsi="Calibri" w:cs="Calibri"/>
        </w:rPr>
      </w:pPr>
      <w:r w:rsidRPr="005734B8">
        <w:rPr>
          <w:rFonts w:ascii="Calibri" w:hAnsi="Calibri" w:cs="Calibri"/>
        </w:rPr>
        <w:t xml:space="preserve">The Executive Board plays a central coordinating and authorising role for whole-of-department issues, prioritising resources and monitoring performance. </w:t>
      </w:r>
    </w:p>
    <w:p w14:paraId="6C21F66F" w14:textId="77777777" w:rsidR="00E506A9" w:rsidRPr="005734B8" w:rsidRDefault="00E506A9" w:rsidP="00E506A9">
      <w:pPr>
        <w:rPr>
          <w:rFonts w:ascii="Calibri" w:hAnsi="Calibri" w:cs="Calibri"/>
        </w:rPr>
      </w:pPr>
    </w:p>
    <w:p w14:paraId="6DF7F2D0" w14:textId="59486FF1" w:rsidR="00E506A9" w:rsidRPr="005734B8" w:rsidRDefault="00E506A9" w:rsidP="00E506A9">
      <w:pPr>
        <w:rPr>
          <w:rFonts w:ascii="Calibri" w:hAnsi="Calibri" w:cs="Calibri"/>
        </w:rPr>
      </w:pPr>
      <w:r w:rsidRPr="005734B8">
        <w:rPr>
          <w:rFonts w:ascii="Calibri" w:hAnsi="Calibri" w:cs="Calibri"/>
        </w:rPr>
        <w:t>The Executive Board also oversees the financial and operational performance of the Department by monitoring the delivery of key priorities, ensuring integration and alignment across groups and agencies</w:t>
      </w:r>
      <w:r w:rsidR="00A30C6C" w:rsidRPr="005734B8">
        <w:rPr>
          <w:rFonts w:ascii="Calibri" w:hAnsi="Calibri" w:cs="Calibri"/>
        </w:rPr>
        <w:t xml:space="preserve">. The Executive Board </w:t>
      </w:r>
      <w:r w:rsidRPr="005734B8">
        <w:rPr>
          <w:rFonts w:ascii="Calibri" w:hAnsi="Calibri" w:cs="Calibri"/>
        </w:rPr>
        <w:t>driv</w:t>
      </w:r>
      <w:r w:rsidR="00A30C6C" w:rsidRPr="005734B8">
        <w:rPr>
          <w:rFonts w:ascii="Calibri" w:hAnsi="Calibri" w:cs="Calibri"/>
        </w:rPr>
        <w:t>es</w:t>
      </w:r>
      <w:r w:rsidRPr="005734B8">
        <w:rPr>
          <w:rFonts w:ascii="Calibri" w:hAnsi="Calibri" w:cs="Calibri"/>
        </w:rPr>
        <w:t xml:space="preserve"> strong leadership and a high</w:t>
      </w:r>
      <w:r w:rsidR="003F36F6" w:rsidRPr="005734B8">
        <w:rPr>
          <w:rFonts w:ascii="Calibri" w:hAnsi="Calibri" w:cs="Calibri"/>
        </w:rPr>
        <w:t>-</w:t>
      </w:r>
      <w:r w:rsidRPr="005734B8">
        <w:rPr>
          <w:rFonts w:ascii="Calibri" w:hAnsi="Calibri" w:cs="Calibri"/>
        </w:rPr>
        <w:t>performing culture across the Department’s portfolios.</w:t>
      </w:r>
    </w:p>
    <w:bookmarkEnd w:id="483"/>
    <w:p w14:paraId="5C2B0461" w14:textId="77777777" w:rsidR="00E506A9" w:rsidRPr="005734B8" w:rsidRDefault="00E506A9" w:rsidP="00E506A9">
      <w:pPr>
        <w:rPr>
          <w:rFonts w:ascii="Calibri" w:hAnsi="Calibri" w:cs="Calibri"/>
          <w:highlight w:val="yellow"/>
        </w:rPr>
      </w:pPr>
    </w:p>
    <w:p w14:paraId="7953EFF3" w14:textId="6081868D" w:rsidR="00E506A9" w:rsidRPr="005734B8" w:rsidRDefault="00E506A9" w:rsidP="00E506A9">
      <w:pPr>
        <w:rPr>
          <w:rFonts w:ascii="Calibri" w:hAnsi="Calibri" w:cs="Calibri"/>
        </w:rPr>
      </w:pPr>
      <w:r w:rsidRPr="005734B8">
        <w:rPr>
          <w:rFonts w:ascii="Calibri" w:hAnsi="Calibri" w:cs="Calibri"/>
        </w:rPr>
        <w:t>The Executive Board continues lead</w:t>
      </w:r>
      <w:r w:rsidR="00A30C6C" w:rsidRPr="005734B8">
        <w:rPr>
          <w:rFonts w:ascii="Calibri" w:hAnsi="Calibri" w:cs="Calibri"/>
        </w:rPr>
        <w:t>ing</w:t>
      </w:r>
      <w:r w:rsidRPr="005734B8">
        <w:rPr>
          <w:rFonts w:ascii="Calibri" w:hAnsi="Calibri" w:cs="Calibri"/>
        </w:rPr>
        <w:t xml:space="preserve"> the Department’s response to the COVID-19 pandemic.</w:t>
      </w:r>
    </w:p>
    <w:p w14:paraId="24294101" w14:textId="77777777" w:rsidR="00E506A9" w:rsidRPr="005734B8" w:rsidRDefault="00E506A9" w:rsidP="00E506A9">
      <w:pPr>
        <w:rPr>
          <w:rFonts w:ascii="Calibri" w:hAnsi="Calibri" w:cs="Calibri"/>
        </w:rPr>
      </w:pPr>
    </w:p>
    <w:p w14:paraId="5DAF836D" w14:textId="04D21922" w:rsidR="00E506A9" w:rsidRPr="005734B8" w:rsidRDefault="00E506A9" w:rsidP="00E506A9">
      <w:pPr>
        <w:rPr>
          <w:rFonts w:ascii="Calibri" w:hAnsi="Calibri" w:cs="Calibri"/>
        </w:rPr>
      </w:pPr>
      <w:r w:rsidRPr="005734B8">
        <w:rPr>
          <w:rFonts w:ascii="Calibri" w:hAnsi="Calibri" w:cs="Calibri"/>
        </w:rPr>
        <w:t>The Executive Board comprises:</w:t>
      </w:r>
    </w:p>
    <w:p w14:paraId="3151D20D" w14:textId="77777777" w:rsidR="00E506A9" w:rsidRPr="005734B8" w:rsidRDefault="00E506A9" w:rsidP="00E506A9">
      <w:pPr>
        <w:pStyle w:val="ListParagraph"/>
        <w:numPr>
          <w:ilvl w:val="0"/>
          <w:numId w:val="22"/>
        </w:numPr>
        <w:rPr>
          <w:rFonts w:ascii="Calibri" w:hAnsi="Calibri" w:cs="Calibri"/>
        </w:rPr>
      </w:pPr>
      <w:r w:rsidRPr="005734B8">
        <w:rPr>
          <w:rFonts w:ascii="Calibri" w:hAnsi="Calibri" w:cs="Calibri"/>
        </w:rPr>
        <w:t>Secretary (Chair)</w:t>
      </w:r>
    </w:p>
    <w:p w14:paraId="2AF41451" w14:textId="6413CBE7" w:rsidR="00E506A9" w:rsidRPr="005734B8" w:rsidRDefault="00A30C6C" w:rsidP="00E506A9">
      <w:pPr>
        <w:pStyle w:val="ListParagraph"/>
        <w:numPr>
          <w:ilvl w:val="0"/>
          <w:numId w:val="22"/>
        </w:numPr>
        <w:rPr>
          <w:rFonts w:ascii="Calibri" w:hAnsi="Calibri" w:cs="Calibri"/>
        </w:rPr>
      </w:pPr>
      <w:r w:rsidRPr="005734B8">
        <w:rPr>
          <w:rFonts w:ascii="Calibri" w:hAnsi="Calibri" w:cs="Calibri"/>
        </w:rPr>
        <w:t>a</w:t>
      </w:r>
      <w:r w:rsidR="00E506A9" w:rsidRPr="005734B8">
        <w:rPr>
          <w:rFonts w:ascii="Calibri" w:hAnsi="Calibri" w:cs="Calibri"/>
        </w:rPr>
        <w:t>ll Deputy Secretaries</w:t>
      </w:r>
    </w:p>
    <w:p w14:paraId="70BC27DD" w14:textId="56A975B9" w:rsidR="00E506A9" w:rsidRPr="005734B8" w:rsidRDefault="00BF6A6B" w:rsidP="00E506A9">
      <w:pPr>
        <w:pStyle w:val="ListParagraph"/>
        <w:numPr>
          <w:ilvl w:val="0"/>
          <w:numId w:val="22"/>
        </w:numPr>
        <w:rPr>
          <w:rFonts w:ascii="Calibri" w:hAnsi="Calibri" w:cs="Calibri"/>
        </w:rPr>
      </w:pPr>
      <w:r w:rsidRPr="005734B8">
        <w:rPr>
          <w:rFonts w:ascii="Calibri" w:hAnsi="Calibri" w:cs="Calibri"/>
        </w:rPr>
        <w:t>CEO</w:t>
      </w:r>
      <w:r w:rsidR="00E506A9" w:rsidRPr="005734B8">
        <w:rPr>
          <w:rFonts w:ascii="Calibri" w:hAnsi="Calibri" w:cs="Calibri"/>
        </w:rPr>
        <w:t xml:space="preserve">, </w:t>
      </w:r>
      <w:r w:rsidR="002F378E" w:rsidRPr="005734B8">
        <w:rPr>
          <w:rFonts w:ascii="Calibri" w:hAnsi="Calibri" w:cs="Calibri"/>
        </w:rPr>
        <w:t>VCAA</w:t>
      </w:r>
    </w:p>
    <w:p w14:paraId="7D522B37" w14:textId="167A6970" w:rsidR="00E506A9" w:rsidRPr="005734B8" w:rsidRDefault="00BF6A6B" w:rsidP="00E506A9">
      <w:pPr>
        <w:pStyle w:val="ListParagraph"/>
        <w:numPr>
          <w:ilvl w:val="0"/>
          <w:numId w:val="22"/>
        </w:numPr>
        <w:rPr>
          <w:rFonts w:ascii="Calibri" w:hAnsi="Calibri" w:cs="Calibri"/>
        </w:rPr>
      </w:pPr>
      <w:r w:rsidRPr="005734B8">
        <w:rPr>
          <w:rFonts w:ascii="Calibri" w:hAnsi="Calibri" w:cs="Calibri"/>
        </w:rPr>
        <w:t>CEO</w:t>
      </w:r>
      <w:r w:rsidR="00E506A9" w:rsidRPr="005734B8">
        <w:rPr>
          <w:rFonts w:ascii="Calibri" w:hAnsi="Calibri" w:cs="Calibri"/>
        </w:rPr>
        <w:t xml:space="preserve">, </w:t>
      </w:r>
      <w:r w:rsidR="002F378E" w:rsidRPr="005734B8">
        <w:rPr>
          <w:rFonts w:ascii="Calibri" w:hAnsi="Calibri" w:cs="Calibri"/>
        </w:rPr>
        <w:t>VSBA</w:t>
      </w:r>
    </w:p>
    <w:p w14:paraId="5450C667" w14:textId="66824059" w:rsidR="00E506A9" w:rsidRPr="005734B8" w:rsidRDefault="00A30C6C" w:rsidP="00E506A9">
      <w:pPr>
        <w:pStyle w:val="ListParagraph"/>
        <w:numPr>
          <w:ilvl w:val="0"/>
          <w:numId w:val="22"/>
        </w:numPr>
        <w:rPr>
          <w:rFonts w:ascii="Calibri" w:hAnsi="Calibri" w:cs="Calibri"/>
        </w:rPr>
      </w:pPr>
      <w:r w:rsidRPr="005734B8">
        <w:rPr>
          <w:rFonts w:ascii="Calibri" w:hAnsi="Calibri" w:cs="Calibri"/>
        </w:rPr>
        <w:t>o</w:t>
      </w:r>
      <w:r w:rsidR="00E506A9" w:rsidRPr="005734B8">
        <w:rPr>
          <w:rFonts w:ascii="Calibri" w:hAnsi="Calibri" w:cs="Calibri"/>
        </w:rPr>
        <w:t>ne Assistant Deputy Secretary, rotating on a quarterly basis.</w:t>
      </w:r>
    </w:p>
    <w:p w14:paraId="39D84D23" w14:textId="77777777" w:rsidR="00E506A9" w:rsidRPr="005734B8" w:rsidRDefault="00E506A9" w:rsidP="00E506A9">
      <w:pPr>
        <w:pStyle w:val="ESHeading3"/>
        <w:ind w:left="0" w:firstLine="0"/>
        <w:rPr>
          <w:rFonts w:ascii="Calibri" w:hAnsi="Calibri" w:cs="Calibri"/>
        </w:rPr>
      </w:pPr>
      <w:r w:rsidRPr="005734B8">
        <w:rPr>
          <w:rFonts w:ascii="Calibri" w:hAnsi="Calibri" w:cs="Calibri"/>
        </w:rPr>
        <w:t>Education State Board</w:t>
      </w:r>
      <w:bookmarkEnd w:id="475"/>
      <w:bookmarkEnd w:id="476"/>
      <w:bookmarkEnd w:id="477"/>
      <w:bookmarkEnd w:id="478"/>
      <w:bookmarkEnd w:id="479"/>
      <w:bookmarkEnd w:id="480"/>
      <w:bookmarkEnd w:id="481"/>
      <w:bookmarkEnd w:id="482"/>
    </w:p>
    <w:p w14:paraId="3A140AE3" w14:textId="77777777" w:rsidR="00E506A9" w:rsidRPr="005734B8" w:rsidRDefault="00E506A9" w:rsidP="00E506A9">
      <w:pPr>
        <w:rPr>
          <w:rFonts w:ascii="Calibri" w:hAnsi="Calibri" w:cs="Calibri"/>
        </w:rPr>
      </w:pPr>
      <w:r w:rsidRPr="005734B8">
        <w:rPr>
          <w:rFonts w:ascii="Calibri" w:hAnsi="Calibri" w:cs="Calibri"/>
        </w:rPr>
        <w:t>The Education State Board is an advisory body to the Executive Board for the Department’s strategic policy thinking. On referral from the Executive Board, the Education State Board considers and provides advice on major policies or reforms that progress the Education State agenda. The Education State Board acts as an escalation point for critical risks, issues and decisions impacting the reform agenda, and is responsible for ensuring that all relevant activities of the Department align with the Education State agenda.</w:t>
      </w:r>
    </w:p>
    <w:p w14:paraId="2DF271C5" w14:textId="77777777" w:rsidR="00E506A9" w:rsidRPr="005734B8" w:rsidRDefault="00E506A9" w:rsidP="00E506A9">
      <w:pPr>
        <w:rPr>
          <w:rFonts w:ascii="Calibri" w:hAnsi="Calibri" w:cs="Calibri"/>
          <w:highlight w:val="yellow"/>
        </w:rPr>
      </w:pPr>
    </w:p>
    <w:p w14:paraId="49035B19" w14:textId="77777777" w:rsidR="00E506A9" w:rsidRPr="005734B8" w:rsidRDefault="00E506A9" w:rsidP="00E506A9">
      <w:pPr>
        <w:rPr>
          <w:rFonts w:ascii="Calibri" w:hAnsi="Calibri" w:cs="Calibri"/>
        </w:rPr>
      </w:pPr>
      <w:r w:rsidRPr="005734B8">
        <w:rPr>
          <w:rFonts w:ascii="Calibri" w:hAnsi="Calibri" w:cs="Calibri"/>
        </w:rPr>
        <w:t>The Education State Board comprises:</w:t>
      </w:r>
    </w:p>
    <w:p w14:paraId="20CAA154" w14:textId="77777777" w:rsidR="00E506A9" w:rsidRPr="005734B8" w:rsidRDefault="00E506A9" w:rsidP="00E506A9">
      <w:pPr>
        <w:pStyle w:val="ListParagraph"/>
        <w:numPr>
          <w:ilvl w:val="0"/>
          <w:numId w:val="22"/>
        </w:numPr>
        <w:rPr>
          <w:rFonts w:ascii="Calibri" w:hAnsi="Calibri" w:cs="Calibri"/>
        </w:rPr>
      </w:pPr>
      <w:r w:rsidRPr="005734B8">
        <w:rPr>
          <w:rFonts w:ascii="Calibri" w:hAnsi="Calibri" w:cs="Calibri"/>
        </w:rPr>
        <w:t>Secretary (Chair)</w:t>
      </w:r>
    </w:p>
    <w:p w14:paraId="189BE5CA" w14:textId="4CFB2CDE" w:rsidR="00E506A9" w:rsidRPr="005734B8" w:rsidRDefault="005B12B0" w:rsidP="00E506A9">
      <w:pPr>
        <w:pStyle w:val="ListParagraph"/>
        <w:numPr>
          <w:ilvl w:val="0"/>
          <w:numId w:val="22"/>
        </w:numPr>
        <w:rPr>
          <w:rFonts w:ascii="Calibri" w:hAnsi="Calibri" w:cs="Calibri"/>
        </w:rPr>
      </w:pPr>
      <w:r w:rsidRPr="005734B8">
        <w:rPr>
          <w:rFonts w:ascii="Calibri" w:hAnsi="Calibri" w:cs="Calibri"/>
        </w:rPr>
        <w:t>a</w:t>
      </w:r>
      <w:r w:rsidR="00E506A9" w:rsidRPr="005734B8">
        <w:rPr>
          <w:rFonts w:ascii="Calibri" w:hAnsi="Calibri" w:cs="Calibri"/>
        </w:rPr>
        <w:t>ll Deputy Secretaries</w:t>
      </w:r>
    </w:p>
    <w:p w14:paraId="2FCB3ACB" w14:textId="08C246A7" w:rsidR="00E506A9" w:rsidRPr="005734B8" w:rsidRDefault="005B12B0" w:rsidP="00E506A9">
      <w:pPr>
        <w:pStyle w:val="ListParagraph"/>
        <w:numPr>
          <w:ilvl w:val="0"/>
          <w:numId w:val="22"/>
        </w:numPr>
        <w:rPr>
          <w:rFonts w:ascii="Calibri" w:hAnsi="Calibri" w:cs="Calibri"/>
        </w:rPr>
      </w:pPr>
      <w:r w:rsidRPr="005734B8">
        <w:rPr>
          <w:rFonts w:ascii="Calibri" w:hAnsi="Calibri" w:cs="Calibri"/>
        </w:rPr>
        <w:t>a</w:t>
      </w:r>
      <w:r w:rsidR="00E506A9" w:rsidRPr="005734B8">
        <w:rPr>
          <w:rFonts w:ascii="Calibri" w:hAnsi="Calibri" w:cs="Calibri"/>
        </w:rPr>
        <w:t>ll Assistant Deputy Secretaries</w:t>
      </w:r>
    </w:p>
    <w:p w14:paraId="229B515E" w14:textId="19D92245" w:rsidR="00E506A9" w:rsidRPr="005734B8" w:rsidRDefault="005B12B0" w:rsidP="00E506A9">
      <w:pPr>
        <w:pStyle w:val="ListParagraph"/>
        <w:numPr>
          <w:ilvl w:val="0"/>
          <w:numId w:val="22"/>
        </w:numPr>
        <w:rPr>
          <w:rFonts w:ascii="Calibri" w:hAnsi="Calibri" w:cs="Calibri"/>
        </w:rPr>
      </w:pPr>
      <w:r w:rsidRPr="005734B8">
        <w:rPr>
          <w:rFonts w:ascii="Calibri" w:hAnsi="Calibri" w:cs="Calibri"/>
        </w:rPr>
        <w:t>a</w:t>
      </w:r>
      <w:r w:rsidR="00E506A9" w:rsidRPr="005734B8">
        <w:rPr>
          <w:rFonts w:ascii="Calibri" w:hAnsi="Calibri" w:cs="Calibri"/>
        </w:rPr>
        <w:t>ll Regional Directors</w:t>
      </w:r>
    </w:p>
    <w:p w14:paraId="3B8D51E6" w14:textId="77777777" w:rsidR="00E506A9" w:rsidRPr="005734B8" w:rsidRDefault="00E506A9" w:rsidP="00E506A9">
      <w:pPr>
        <w:pStyle w:val="ListParagraph"/>
        <w:numPr>
          <w:ilvl w:val="0"/>
          <w:numId w:val="22"/>
        </w:numPr>
        <w:rPr>
          <w:rFonts w:ascii="Calibri" w:hAnsi="Calibri" w:cs="Calibri"/>
        </w:rPr>
      </w:pPr>
      <w:r w:rsidRPr="005734B8">
        <w:rPr>
          <w:rFonts w:ascii="Calibri" w:hAnsi="Calibri" w:cs="Calibri"/>
        </w:rPr>
        <w:t>CEO, VCAA</w:t>
      </w:r>
    </w:p>
    <w:p w14:paraId="378BBAB9" w14:textId="77777777" w:rsidR="00E506A9" w:rsidRPr="005734B8" w:rsidRDefault="00E506A9" w:rsidP="00E506A9">
      <w:pPr>
        <w:pStyle w:val="ListParagraph"/>
        <w:numPr>
          <w:ilvl w:val="0"/>
          <w:numId w:val="22"/>
        </w:numPr>
        <w:rPr>
          <w:rFonts w:ascii="Calibri" w:hAnsi="Calibri" w:cs="Calibri"/>
        </w:rPr>
      </w:pPr>
      <w:r w:rsidRPr="005734B8">
        <w:rPr>
          <w:rFonts w:ascii="Calibri" w:hAnsi="Calibri" w:cs="Calibri"/>
        </w:rPr>
        <w:t>CEO, VSBA.</w:t>
      </w:r>
    </w:p>
    <w:p w14:paraId="7132420A" w14:textId="77777777" w:rsidR="006C5E3B" w:rsidRPr="005734B8" w:rsidRDefault="006C5E3B" w:rsidP="006C5E3B">
      <w:pPr>
        <w:rPr>
          <w:rFonts w:ascii="Calibri" w:eastAsiaTheme="majorEastAsia" w:hAnsi="Calibri" w:cs="Calibri"/>
          <w:bCs/>
          <w:color w:val="8A2A2F" w:themeColor="text1"/>
          <w:spacing w:val="5"/>
          <w:kern w:val="28"/>
          <w:sz w:val="28"/>
          <w:szCs w:val="20"/>
          <w:highlight w:val="yellow"/>
          <w:lang w:val="en-US"/>
        </w:rPr>
      </w:pPr>
      <w:r w:rsidRPr="005734B8">
        <w:rPr>
          <w:rFonts w:ascii="Calibri" w:hAnsi="Calibri" w:cs="Calibri"/>
          <w:highlight w:val="yellow"/>
        </w:rPr>
        <w:br w:type="page"/>
      </w:r>
    </w:p>
    <w:p w14:paraId="32890F59" w14:textId="77777777" w:rsidR="003D402B" w:rsidRPr="005734B8" w:rsidRDefault="003D402B" w:rsidP="003D402B">
      <w:pPr>
        <w:pStyle w:val="ESHeading2"/>
        <w:rPr>
          <w:rFonts w:ascii="Calibri" w:hAnsi="Calibri" w:cs="Calibri"/>
        </w:rPr>
      </w:pPr>
      <w:bookmarkStart w:id="484" w:name="_Toc19272017"/>
      <w:bookmarkStart w:id="485" w:name="_Toc19272383"/>
      <w:bookmarkStart w:id="486" w:name="_Toc19273718"/>
      <w:bookmarkStart w:id="487" w:name="_Toc39835781"/>
      <w:bookmarkStart w:id="488" w:name="_Toc48402781"/>
      <w:bookmarkStart w:id="489" w:name="_Toc48403018"/>
      <w:bookmarkStart w:id="490" w:name="_Toc51332761"/>
      <w:bookmarkStart w:id="491" w:name="_Toc71208225"/>
      <w:bookmarkStart w:id="492" w:name="_Toc81315325"/>
      <w:bookmarkStart w:id="493" w:name="_Toc9325613"/>
      <w:bookmarkStart w:id="494" w:name="_Toc10208715"/>
      <w:bookmarkStart w:id="495" w:name="_Toc11158212"/>
      <w:bookmarkStart w:id="496" w:name="_Toc11336219"/>
      <w:bookmarkStart w:id="497" w:name="_Toc14965444"/>
      <w:bookmarkStart w:id="498" w:name="_Toc19272022"/>
      <w:bookmarkStart w:id="499" w:name="_Toc19272388"/>
      <w:bookmarkStart w:id="500" w:name="_Toc19273723"/>
      <w:bookmarkStart w:id="501" w:name="_Toc39835783"/>
      <w:bookmarkStart w:id="502" w:name="_Toc8899515"/>
      <w:bookmarkEnd w:id="450"/>
      <w:bookmarkEnd w:id="451"/>
      <w:bookmarkEnd w:id="452"/>
      <w:bookmarkEnd w:id="453"/>
      <w:bookmarkEnd w:id="454"/>
      <w:bookmarkEnd w:id="455"/>
      <w:r w:rsidRPr="005734B8">
        <w:rPr>
          <w:rFonts w:ascii="Calibri" w:hAnsi="Calibri" w:cs="Calibri"/>
        </w:rPr>
        <w:lastRenderedPageBreak/>
        <w:t>Committee structure</w:t>
      </w:r>
      <w:bookmarkEnd w:id="484"/>
      <w:bookmarkEnd w:id="485"/>
      <w:bookmarkEnd w:id="486"/>
      <w:bookmarkEnd w:id="487"/>
      <w:bookmarkEnd w:id="488"/>
      <w:bookmarkEnd w:id="489"/>
      <w:bookmarkEnd w:id="490"/>
      <w:bookmarkEnd w:id="491"/>
      <w:bookmarkEnd w:id="492"/>
    </w:p>
    <w:p w14:paraId="590AFB6C" w14:textId="77777777" w:rsidR="00E00759" w:rsidRPr="005734B8" w:rsidRDefault="00E00759" w:rsidP="00E00759">
      <w:pPr>
        <w:pStyle w:val="ESbullet1"/>
        <w:spacing w:after="0"/>
        <w:ind w:left="0" w:firstLine="0"/>
        <w:rPr>
          <w:rFonts w:ascii="Calibri" w:hAnsi="Calibri" w:cs="Calibri"/>
        </w:rPr>
      </w:pPr>
      <w:r w:rsidRPr="005734B8">
        <w:rPr>
          <w:rFonts w:ascii="Calibri" w:hAnsi="Calibri" w:cs="Calibri"/>
        </w:rPr>
        <w:t>The Department’s committees and their membership as at 30 June 2021 are reported below.</w:t>
      </w:r>
    </w:p>
    <w:p w14:paraId="155C3933" w14:textId="77777777" w:rsidR="00E00759" w:rsidRPr="005734B8" w:rsidRDefault="00E00759" w:rsidP="00E00759">
      <w:pPr>
        <w:pStyle w:val="ESbullet1"/>
        <w:spacing w:after="0"/>
        <w:ind w:left="0" w:firstLine="0"/>
        <w:rPr>
          <w:rFonts w:ascii="Calibri" w:hAnsi="Calibri" w:cs="Calibri"/>
        </w:rPr>
      </w:pPr>
    </w:p>
    <w:p w14:paraId="0E0B20A3" w14:textId="77777777" w:rsidR="00E00759" w:rsidRPr="005734B8" w:rsidRDefault="00E00759" w:rsidP="00E00759">
      <w:pPr>
        <w:rPr>
          <w:rFonts w:ascii="Calibri" w:hAnsi="Calibri" w:cs="Calibri"/>
        </w:rPr>
      </w:pPr>
      <w:r w:rsidRPr="005734B8">
        <w:rPr>
          <w:rFonts w:ascii="Calibri" w:hAnsi="Calibri" w:cs="Calibri"/>
        </w:rPr>
        <w:t>Three committees report to the Secretary:</w:t>
      </w:r>
    </w:p>
    <w:p w14:paraId="5BEFCF26" w14:textId="77777777" w:rsidR="00E00759" w:rsidRPr="005734B8" w:rsidRDefault="00E00759" w:rsidP="00E00759">
      <w:pPr>
        <w:pStyle w:val="ESbullet1"/>
        <w:numPr>
          <w:ilvl w:val="0"/>
          <w:numId w:val="23"/>
        </w:numPr>
        <w:spacing w:after="0"/>
        <w:rPr>
          <w:rFonts w:ascii="Calibri" w:hAnsi="Calibri" w:cs="Calibri"/>
        </w:rPr>
      </w:pPr>
      <w:r w:rsidRPr="005734B8">
        <w:rPr>
          <w:rFonts w:ascii="Calibri" w:hAnsi="Calibri" w:cs="Calibri"/>
        </w:rPr>
        <w:t>the Audit and Risk Committee (ARC)</w:t>
      </w:r>
    </w:p>
    <w:p w14:paraId="19EADF04" w14:textId="77777777" w:rsidR="00E00759" w:rsidRPr="005734B8" w:rsidRDefault="00E00759" w:rsidP="00E00759">
      <w:pPr>
        <w:pStyle w:val="ESbullet1"/>
        <w:numPr>
          <w:ilvl w:val="0"/>
          <w:numId w:val="23"/>
        </w:numPr>
        <w:spacing w:after="0"/>
        <w:rPr>
          <w:rFonts w:ascii="Calibri" w:hAnsi="Calibri" w:cs="Calibri"/>
        </w:rPr>
      </w:pPr>
      <w:r w:rsidRPr="005734B8">
        <w:rPr>
          <w:rFonts w:ascii="Calibri" w:hAnsi="Calibri" w:cs="Calibri"/>
        </w:rPr>
        <w:t>the Executive Remuneration Committee (ERC)</w:t>
      </w:r>
    </w:p>
    <w:p w14:paraId="627A59BE" w14:textId="77777777" w:rsidR="00E00759" w:rsidRPr="005734B8" w:rsidRDefault="00E00759" w:rsidP="00E00759">
      <w:pPr>
        <w:pStyle w:val="ESbullet1"/>
        <w:numPr>
          <w:ilvl w:val="0"/>
          <w:numId w:val="23"/>
        </w:numPr>
        <w:spacing w:after="0"/>
        <w:rPr>
          <w:rFonts w:ascii="Calibri" w:hAnsi="Calibri" w:cs="Calibri"/>
        </w:rPr>
      </w:pPr>
      <w:r w:rsidRPr="005734B8">
        <w:rPr>
          <w:rFonts w:ascii="Calibri" w:hAnsi="Calibri" w:cs="Calibri"/>
        </w:rPr>
        <w:t>the Integrity Committee (IC).</w:t>
      </w:r>
    </w:p>
    <w:p w14:paraId="0AD1BE32" w14:textId="77777777" w:rsidR="00E00759" w:rsidRPr="005734B8" w:rsidRDefault="00E00759" w:rsidP="00E00759">
      <w:pPr>
        <w:rPr>
          <w:rFonts w:ascii="Calibri" w:hAnsi="Calibri" w:cs="Calibri"/>
        </w:rPr>
      </w:pPr>
    </w:p>
    <w:p w14:paraId="2B7A346B" w14:textId="77777777" w:rsidR="00E00759" w:rsidRPr="005734B8" w:rsidRDefault="00E00759" w:rsidP="00E00759">
      <w:pPr>
        <w:rPr>
          <w:rFonts w:ascii="Calibri" w:hAnsi="Calibri" w:cs="Calibri"/>
        </w:rPr>
      </w:pPr>
      <w:r w:rsidRPr="005734B8">
        <w:rPr>
          <w:rFonts w:ascii="Calibri" w:hAnsi="Calibri" w:cs="Calibri"/>
        </w:rPr>
        <w:t>Six committees report to the Executive Board:</w:t>
      </w:r>
    </w:p>
    <w:p w14:paraId="0A39C5D1" w14:textId="77777777" w:rsidR="00E00759" w:rsidRPr="005734B8" w:rsidRDefault="00E00759" w:rsidP="00E00759">
      <w:pPr>
        <w:pStyle w:val="ESbullet1"/>
        <w:numPr>
          <w:ilvl w:val="0"/>
          <w:numId w:val="23"/>
        </w:numPr>
        <w:spacing w:after="0"/>
        <w:rPr>
          <w:rFonts w:ascii="Calibri" w:hAnsi="Calibri" w:cs="Calibri"/>
        </w:rPr>
      </w:pPr>
      <w:r w:rsidRPr="005734B8">
        <w:rPr>
          <w:rFonts w:ascii="Calibri" w:hAnsi="Calibri" w:cs="Calibri"/>
        </w:rPr>
        <w:t>the Budget and Financial Management Committee (BFMC)</w:t>
      </w:r>
    </w:p>
    <w:p w14:paraId="65668757" w14:textId="77777777" w:rsidR="00E00759" w:rsidRPr="005734B8" w:rsidRDefault="00E00759" w:rsidP="00E00759">
      <w:pPr>
        <w:pStyle w:val="ESbullet1"/>
        <w:numPr>
          <w:ilvl w:val="0"/>
          <w:numId w:val="23"/>
        </w:numPr>
        <w:spacing w:after="0"/>
        <w:rPr>
          <w:rFonts w:ascii="Calibri" w:hAnsi="Calibri" w:cs="Calibri"/>
        </w:rPr>
      </w:pPr>
      <w:r w:rsidRPr="005734B8">
        <w:rPr>
          <w:rFonts w:ascii="Calibri" w:hAnsi="Calibri" w:cs="Calibri"/>
        </w:rPr>
        <w:t>the Culture and People Committee (CPC)</w:t>
      </w:r>
    </w:p>
    <w:p w14:paraId="2962F916" w14:textId="77777777" w:rsidR="00E00759" w:rsidRPr="005734B8" w:rsidRDefault="00E00759" w:rsidP="00E00759">
      <w:pPr>
        <w:pStyle w:val="ESbullet1"/>
        <w:numPr>
          <w:ilvl w:val="0"/>
          <w:numId w:val="23"/>
        </w:numPr>
        <w:spacing w:after="0"/>
        <w:rPr>
          <w:rFonts w:ascii="Calibri" w:hAnsi="Calibri" w:cs="Calibri"/>
        </w:rPr>
      </w:pPr>
      <w:r w:rsidRPr="005734B8">
        <w:rPr>
          <w:rFonts w:ascii="Calibri" w:hAnsi="Calibri" w:cs="Calibri"/>
        </w:rPr>
        <w:t>the Government Schools Reform Committee (GSRC)</w:t>
      </w:r>
    </w:p>
    <w:p w14:paraId="54FA8AB8" w14:textId="77777777" w:rsidR="00E00759" w:rsidRPr="005734B8" w:rsidRDefault="00E00759" w:rsidP="00E00759">
      <w:pPr>
        <w:pStyle w:val="ESbullet1"/>
        <w:numPr>
          <w:ilvl w:val="0"/>
          <w:numId w:val="23"/>
        </w:numPr>
        <w:spacing w:after="0"/>
        <w:rPr>
          <w:rFonts w:ascii="Calibri" w:hAnsi="Calibri" w:cs="Calibri"/>
        </w:rPr>
      </w:pPr>
      <w:r w:rsidRPr="005734B8">
        <w:rPr>
          <w:rFonts w:ascii="Calibri" w:hAnsi="Calibri" w:cs="Calibri"/>
        </w:rPr>
        <w:t>the Information Management and Technology Committee (IMTC)</w:t>
      </w:r>
    </w:p>
    <w:p w14:paraId="2AA8AADC" w14:textId="77777777" w:rsidR="00E00759" w:rsidRPr="005734B8" w:rsidRDefault="00E00759" w:rsidP="00E00759">
      <w:pPr>
        <w:pStyle w:val="ESbullet1"/>
        <w:numPr>
          <w:ilvl w:val="0"/>
          <w:numId w:val="23"/>
        </w:numPr>
        <w:spacing w:after="0"/>
        <w:rPr>
          <w:rFonts w:ascii="Calibri" w:hAnsi="Calibri" w:cs="Calibri"/>
        </w:rPr>
      </w:pPr>
      <w:r w:rsidRPr="005734B8">
        <w:rPr>
          <w:rFonts w:ascii="Calibri" w:hAnsi="Calibri" w:cs="Calibri"/>
        </w:rPr>
        <w:t>the Infrastructure Planning and Delivery Committee (IPDC)</w:t>
      </w:r>
    </w:p>
    <w:p w14:paraId="23AF709F" w14:textId="77777777" w:rsidR="00E00759" w:rsidRPr="005734B8" w:rsidRDefault="00E00759" w:rsidP="00E00759">
      <w:pPr>
        <w:pStyle w:val="ESbullet1"/>
        <w:numPr>
          <w:ilvl w:val="0"/>
          <w:numId w:val="23"/>
        </w:numPr>
        <w:spacing w:after="0"/>
        <w:rPr>
          <w:rFonts w:ascii="Calibri" w:hAnsi="Calibri" w:cs="Calibri"/>
        </w:rPr>
      </w:pPr>
      <w:r w:rsidRPr="005734B8">
        <w:rPr>
          <w:rFonts w:ascii="Calibri" w:hAnsi="Calibri" w:cs="Calibri"/>
        </w:rPr>
        <w:t>the Procurement and Probity Committee (PPC).</w:t>
      </w:r>
    </w:p>
    <w:p w14:paraId="46822907" w14:textId="77777777" w:rsidR="00A67163" w:rsidRPr="005734B8" w:rsidRDefault="00A67163" w:rsidP="00A67163">
      <w:pPr>
        <w:pStyle w:val="ESHeading3"/>
        <w:ind w:left="0" w:firstLine="0"/>
        <w:rPr>
          <w:rFonts w:ascii="Calibri" w:hAnsi="Calibri" w:cs="Calibri"/>
        </w:rPr>
      </w:pPr>
      <w:bookmarkStart w:id="503" w:name="_Toc9325614"/>
      <w:bookmarkStart w:id="504" w:name="_Toc10208716"/>
      <w:bookmarkStart w:id="505" w:name="_Toc11158218"/>
      <w:bookmarkStart w:id="506" w:name="_Toc11336225"/>
      <w:bookmarkStart w:id="507" w:name="_Toc14965450"/>
      <w:bookmarkStart w:id="508" w:name="_Toc19272028"/>
      <w:bookmarkStart w:id="509" w:name="_Toc19272394"/>
      <w:bookmarkStart w:id="510" w:name="_Toc19273729"/>
      <w:bookmarkStart w:id="511" w:name="_Toc39835784"/>
      <w:bookmarkEnd w:id="493"/>
      <w:bookmarkEnd w:id="494"/>
      <w:bookmarkEnd w:id="495"/>
      <w:bookmarkEnd w:id="496"/>
      <w:bookmarkEnd w:id="497"/>
      <w:bookmarkEnd w:id="498"/>
      <w:bookmarkEnd w:id="499"/>
      <w:bookmarkEnd w:id="500"/>
      <w:bookmarkEnd w:id="501"/>
      <w:r w:rsidRPr="005734B8">
        <w:rPr>
          <w:rFonts w:ascii="Calibri" w:hAnsi="Calibri" w:cs="Calibri"/>
        </w:rPr>
        <w:t>Audit and Risk Committee</w:t>
      </w:r>
    </w:p>
    <w:p w14:paraId="0A6CD14E" w14:textId="77777777" w:rsidR="00A67163" w:rsidRPr="005734B8" w:rsidRDefault="00A67163" w:rsidP="00A67163">
      <w:pPr>
        <w:rPr>
          <w:rFonts w:ascii="Calibri" w:hAnsi="Calibri" w:cs="Calibri"/>
        </w:rPr>
      </w:pPr>
      <w:bookmarkStart w:id="512" w:name="_Hlk74234063"/>
      <w:r w:rsidRPr="005734B8">
        <w:rPr>
          <w:rFonts w:ascii="Calibri" w:hAnsi="Calibri" w:cs="Calibri"/>
        </w:rPr>
        <w:t>The ARC assists the Secretary to fulfil governance responsibilities and obligations under the FM Act</w:t>
      </w:r>
      <w:r w:rsidRPr="005734B8">
        <w:rPr>
          <w:rFonts w:ascii="Calibri" w:hAnsi="Calibri" w:cs="Calibri"/>
          <w:i/>
        </w:rPr>
        <w:t>.</w:t>
      </w:r>
    </w:p>
    <w:p w14:paraId="0BA6560F" w14:textId="77777777" w:rsidR="00A67163" w:rsidRPr="005734B8" w:rsidRDefault="00A67163" w:rsidP="00A67163">
      <w:pPr>
        <w:rPr>
          <w:rFonts w:ascii="Calibri" w:hAnsi="Calibri" w:cs="Calibri"/>
        </w:rPr>
      </w:pPr>
    </w:p>
    <w:p w14:paraId="0740442F" w14:textId="77777777" w:rsidR="00A67163" w:rsidRPr="005734B8" w:rsidRDefault="00A67163" w:rsidP="00A67163">
      <w:pPr>
        <w:rPr>
          <w:rFonts w:ascii="Calibri" w:hAnsi="Calibri" w:cs="Calibri"/>
        </w:rPr>
      </w:pPr>
      <w:r w:rsidRPr="005734B8">
        <w:rPr>
          <w:rFonts w:ascii="Calibri" w:hAnsi="Calibri" w:cs="Calibri"/>
        </w:rPr>
        <w:t xml:space="preserve">The ARC was established in 2003 in compliance with the Standing Directions under the FM Act, which require ‘each public sector agency to appoint an audit committee to oversee and advise the public sector agency on matters of accountability and internal control affecting the operations of the agency’. The ARC directly advises the Secretary on governance, risk management, audit and control assurance activities. </w:t>
      </w:r>
    </w:p>
    <w:bookmarkEnd w:id="512"/>
    <w:p w14:paraId="47848488" w14:textId="77777777" w:rsidR="00A67163" w:rsidRPr="005734B8" w:rsidRDefault="00A67163" w:rsidP="00A67163">
      <w:pPr>
        <w:rPr>
          <w:rFonts w:ascii="Calibri" w:hAnsi="Calibri" w:cs="Calibri"/>
        </w:rPr>
      </w:pPr>
    </w:p>
    <w:p w14:paraId="41DD3DDB" w14:textId="37EE0657" w:rsidR="00A67163" w:rsidRPr="005734B8" w:rsidRDefault="00A67163" w:rsidP="00A67163">
      <w:pPr>
        <w:rPr>
          <w:rFonts w:ascii="Calibri" w:hAnsi="Calibri" w:cs="Calibri"/>
        </w:rPr>
      </w:pPr>
      <w:r w:rsidRPr="005734B8">
        <w:rPr>
          <w:rFonts w:ascii="Calibri" w:hAnsi="Calibri" w:cs="Calibri"/>
        </w:rPr>
        <w:t>The ARC comprises the following members:</w:t>
      </w:r>
    </w:p>
    <w:p w14:paraId="5F9ADC57" w14:textId="77777777" w:rsidR="00A67163" w:rsidRPr="005734B8" w:rsidRDefault="00A67163" w:rsidP="00A67163">
      <w:pPr>
        <w:pStyle w:val="ListParagraph"/>
        <w:numPr>
          <w:ilvl w:val="0"/>
          <w:numId w:val="23"/>
        </w:numPr>
        <w:rPr>
          <w:rFonts w:ascii="Calibri" w:hAnsi="Calibri" w:cs="Calibri"/>
        </w:rPr>
      </w:pPr>
      <w:r w:rsidRPr="005734B8">
        <w:rPr>
          <w:rFonts w:ascii="Calibri" w:hAnsi="Calibri" w:cs="Calibri"/>
        </w:rPr>
        <w:t>Ms Helen Thornton, Independent member, (Chair)</w:t>
      </w:r>
    </w:p>
    <w:p w14:paraId="6327A90A" w14:textId="77777777" w:rsidR="000B7122" w:rsidRPr="005734B8" w:rsidRDefault="000B7122" w:rsidP="000B7122">
      <w:pPr>
        <w:pStyle w:val="ListParagraph"/>
        <w:numPr>
          <w:ilvl w:val="0"/>
          <w:numId w:val="23"/>
        </w:numPr>
        <w:rPr>
          <w:rFonts w:ascii="Calibri" w:hAnsi="Calibri" w:cs="Calibri"/>
        </w:rPr>
      </w:pPr>
      <w:r w:rsidRPr="005734B8">
        <w:rPr>
          <w:rFonts w:ascii="Calibri" w:hAnsi="Calibri" w:cs="Calibri"/>
        </w:rPr>
        <w:t>Mr Stuart Alford, Independent member</w:t>
      </w:r>
    </w:p>
    <w:p w14:paraId="0789ED17" w14:textId="5CD3AF4A" w:rsidR="00A67163" w:rsidRPr="005734B8" w:rsidRDefault="00A67163" w:rsidP="00A67163">
      <w:pPr>
        <w:pStyle w:val="ListParagraph"/>
        <w:numPr>
          <w:ilvl w:val="0"/>
          <w:numId w:val="23"/>
        </w:numPr>
        <w:rPr>
          <w:rFonts w:ascii="Calibri" w:hAnsi="Calibri" w:cs="Calibri"/>
        </w:rPr>
      </w:pPr>
      <w:r w:rsidRPr="005734B8">
        <w:rPr>
          <w:rFonts w:ascii="Calibri" w:hAnsi="Calibri" w:cs="Calibri"/>
        </w:rPr>
        <w:t>Ms Natalie Foeng, Independent member</w:t>
      </w:r>
    </w:p>
    <w:p w14:paraId="573469EA" w14:textId="6A98FB6C" w:rsidR="000B7122" w:rsidRPr="005734B8" w:rsidRDefault="000B7122">
      <w:pPr>
        <w:pStyle w:val="ListParagraph"/>
        <w:numPr>
          <w:ilvl w:val="0"/>
          <w:numId w:val="23"/>
        </w:numPr>
        <w:rPr>
          <w:rFonts w:ascii="Calibri" w:hAnsi="Calibri" w:cs="Calibri"/>
        </w:rPr>
      </w:pPr>
      <w:r w:rsidRPr="005734B8">
        <w:rPr>
          <w:rFonts w:ascii="Calibri" w:hAnsi="Calibri" w:cs="Calibri"/>
        </w:rPr>
        <w:t>Mr Andrew Nicolaou, Independent member</w:t>
      </w:r>
    </w:p>
    <w:p w14:paraId="16732FFA" w14:textId="33503E4E" w:rsidR="000B7122" w:rsidRPr="005734B8" w:rsidRDefault="000B7122" w:rsidP="000B7122">
      <w:pPr>
        <w:pStyle w:val="ListParagraph"/>
        <w:numPr>
          <w:ilvl w:val="0"/>
          <w:numId w:val="23"/>
        </w:numPr>
        <w:rPr>
          <w:rFonts w:ascii="Calibri" w:hAnsi="Calibri" w:cs="Calibri"/>
        </w:rPr>
      </w:pPr>
      <w:r w:rsidRPr="005734B8">
        <w:rPr>
          <w:rFonts w:ascii="Calibri" w:hAnsi="Calibri" w:cs="Calibri"/>
        </w:rPr>
        <w:t>Ms Kate Rattigan, Deputy Secretary</w:t>
      </w:r>
    </w:p>
    <w:p w14:paraId="4BB3FEEF" w14:textId="0FF1876A" w:rsidR="000B7122" w:rsidRPr="005734B8" w:rsidRDefault="000B7122" w:rsidP="000B7122">
      <w:pPr>
        <w:pStyle w:val="ListParagraph"/>
        <w:numPr>
          <w:ilvl w:val="0"/>
          <w:numId w:val="23"/>
        </w:numPr>
        <w:rPr>
          <w:rFonts w:ascii="Calibri" w:hAnsi="Calibri" w:cs="Calibri"/>
        </w:rPr>
      </w:pPr>
      <w:r w:rsidRPr="005734B8">
        <w:rPr>
          <w:rFonts w:ascii="Calibri" w:hAnsi="Calibri" w:cs="Calibri"/>
        </w:rPr>
        <w:t>Mr Chris Thompson, Regional Director.</w:t>
      </w:r>
    </w:p>
    <w:p w14:paraId="2CCAE960" w14:textId="77777777" w:rsidR="00A67163" w:rsidRPr="005734B8" w:rsidRDefault="00A67163" w:rsidP="00A67163">
      <w:pPr>
        <w:pStyle w:val="ESHeading3"/>
        <w:ind w:left="0" w:firstLine="0"/>
        <w:rPr>
          <w:rFonts w:ascii="Calibri" w:hAnsi="Calibri" w:cs="Calibri"/>
        </w:rPr>
      </w:pPr>
      <w:bookmarkStart w:id="513" w:name="_Toc11158219"/>
      <w:bookmarkStart w:id="514" w:name="_Toc11336226"/>
      <w:bookmarkStart w:id="515" w:name="_Toc14965451"/>
      <w:bookmarkStart w:id="516" w:name="_Toc19272029"/>
      <w:bookmarkStart w:id="517" w:name="_Toc19272395"/>
      <w:bookmarkStart w:id="518" w:name="_Toc19273730"/>
      <w:bookmarkEnd w:id="503"/>
      <w:bookmarkEnd w:id="504"/>
      <w:bookmarkEnd w:id="505"/>
      <w:bookmarkEnd w:id="506"/>
      <w:bookmarkEnd w:id="507"/>
      <w:bookmarkEnd w:id="508"/>
      <w:bookmarkEnd w:id="509"/>
      <w:bookmarkEnd w:id="510"/>
      <w:bookmarkEnd w:id="511"/>
      <w:r w:rsidRPr="005734B8">
        <w:rPr>
          <w:rFonts w:ascii="Calibri" w:hAnsi="Calibri" w:cs="Calibri"/>
        </w:rPr>
        <w:t>Executive Remuneration Committee</w:t>
      </w:r>
    </w:p>
    <w:p w14:paraId="10D53095" w14:textId="1109BF00" w:rsidR="00A67163" w:rsidRPr="0094296E" w:rsidRDefault="00A67163" w:rsidP="0094296E">
      <w:pPr>
        <w:rPr>
          <w:rFonts w:ascii="Calibri" w:hAnsi="Calibri" w:cs="Calibri"/>
        </w:rPr>
      </w:pPr>
      <w:r w:rsidRPr="005734B8">
        <w:rPr>
          <w:rFonts w:ascii="Calibri" w:hAnsi="Calibri" w:cs="Calibri"/>
        </w:rPr>
        <w:t>The ERC reviews and sets executive remuneration for all executive appointments. The purpose of the ERC is to ensure that a consistent and rigorous approach is taken to setting and adjusting remuneration for senior executive services</w:t>
      </w:r>
      <w:r w:rsidR="00480B35" w:rsidRPr="005734B8">
        <w:rPr>
          <w:rFonts w:ascii="Calibri" w:hAnsi="Calibri" w:cs="Calibri"/>
        </w:rPr>
        <w:t xml:space="preserve"> </w:t>
      </w:r>
      <w:r w:rsidRPr="005734B8">
        <w:rPr>
          <w:rFonts w:ascii="Calibri" w:hAnsi="Calibri" w:cs="Calibri"/>
        </w:rPr>
        <w:t xml:space="preserve">in the Department and its statutory authorities. This approach is required to comply with the VPS Commission’s </w:t>
      </w:r>
      <w:r w:rsidRPr="005734B8">
        <w:rPr>
          <w:rFonts w:ascii="Calibri" w:hAnsi="Calibri" w:cs="Calibri"/>
          <w:i/>
          <w:iCs/>
        </w:rPr>
        <w:t>Victorian public service executive employment handbook</w:t>
      </w:r>
      <w:r w:rsidRPr="005734B8">
        <w:rPr>
          <w:rFonts w:ascii="Calibri" w:hAnsi="Calibri" w:cs="Calibri"/>
        </w:rPr>
        <w:t xml:space="preserve"> (2019).</w:t>
      </w:r>
      <w:r w:rsidRPr="0094296E">
        <w:rPr>
          <w:rFonts w:ascii="Calibri" w:hAnsi="Calibri" w:cs="Calibri"/>
        </w:rPr>
        <w:br w:type="page"/>
      </w:r>
    </w:p>
    <w:p w14:paraId="662FD10B" w14:textId="4277EAD6" w:rsidR="00A67163" w:rsidRPr="005734B8" w:rsidRDefault="00A67163" w:rsidP="00A67163">
      <w:pPr>
        <w:pStyle w:val="ESHeading3"/>
        <w:ind w:left="0" w:firstLine="0"/>
        <w:rPr>
          <w:rFonts w:ascii="Calibri" w:hAnsi="Calibri" w:cs="Calibri"/>
        </w:rPr>
      </w:pPr>
      <w:bookmarkStart w:id="519" w:name="_Toc9325612"/>
      <w:bookmarkStart w:id="520" w:name="_Toc10208714"/>
      <w:bookmarkStart w:id="521" w:name="_Toc11158208"/>
      <w:bookmarkStart w:id="522" w:name="_Toc11336215"/>
      <w:bookmarkStart w:id="523" w:name="_Toc14965440"/>
      <w:bookmarkStart w:id="524" w:name="_Toc19272018"/>
      <w:bookmarkStart w:id="525" w:name="_Toc19272384"/>
      <w:bookmarkStart w:id="526" w:name="_Toc19273719"/>
      <w:bookmarkStart w:id="527" w:name="_Toc39835782"/>
      <w:bookmarkStart w:id="528" w:name="_Toc10208717"/>
      <w:bookmarkStart w:id="529" w:name="_Toc11158220"/>
      <w:bookmarkStart w:id="530" w:name="_Toc11336227"/>
      <w:bookmarkStart w:id="531" w:name="_Toc14965452"/>
      <w:bookmarkStart w:id="532" w:name="_Toc19272030"/>
      <w:bookmarkStart w:id="533" w:name="_Toc19272396"/>
      <w:bookmarkStart w:id="534" w:name="_Toc19273731"/>
      <w:bookmarkStart w:id="535" w:name="_Toc39835785"/>
      <w:bookmarkEnd w:id="513"/>
      <w:bookmarkEnd w:id="514"/>
      <w:bookmarkEnd w:id="515"/>
      <w:bookmarkEnd w:id="516"/>
      <w:bookmarkEnd w:id="517"/>
      <w:bookmarkEnd w:id="518"/>
      <w:r w:rsidRPr="005734B8">
        <w:rPr>
          <w:rFonts w:ascii="Calibri" w:hAnsi="Calibri" w:cs="Calibri"/>
        </w:rPr>
        <w:lastRenderedPageBreak/>
        <w:t>Integrity Committee</w:t>
      </w:r>
      <w:bookmarkEnd w:id="519"/>
      <w:bookmarkEnd w:id="520"/>
      <w:bookmarkEnd w:id="521"/>
      <w:bookmarkEnd w:id="522"/>
      <w:bookmarkEnd w:id="523"/>
      <w:bookmarkEnd w:id="524"/>
      <w:bookmarkEnd w:id="525"/>
      <w:bookmarkEnd w:id="526"/>
      <w:bookmarkEnd w:id="527"/>
    </w:p>
    <w:p w14:paraId="5373838A" w14:textId="77777777" w:rsidR="00A67163" w:rsidRPr="005734B8" w:rsidRDefault="00A67163" w:rsidP="00A67163">
      <w:pPr>
        <w:rPr>
          <w:rFonts w:ascii="Calibri" w:hAnsi="Calibri" w:cs="Calibri"/>
        </w:rPr>
      </w:pPr>
      <w:r w:rsidRPr="005734B8">
        <w:rPr>
          <w:rFonts w:ascii="Calibri" w:hAnsi="Calibri" w:cs="Calibri"/>
        </w:rPr>
        <w:t>The IC provides assurance to the Secretary that the Department has a robust framework for managing integrity risks and for lifting integrity performance. It does this by approving and overseeing the development and delivery of integrity reforms that strengthen the Department’s three lines of defence for risk management. The IC leads the Department’s efforts in supporting all corporate and school staff to strive for the highest standards of integrity and public trust.</w:t>
      </w:r>
    </w:p>
    <w:p w14:paraId="118A183B" w14:textId="77777777" w:rsidR="00A67163" w:rsidRPr="005734B8" w:rsidRDefault="00A67163" w:rsidP="00A67163">
      <w:pPr>
        <w:rPr>
          <w:rFonts w:ascii="Calibri" w:hAnsi="Calibri" w:cs="Calibri"/>
        </w:rPr>
      </w:pPr>
    </w:p>
    <w:p w14:paraId="482A7938" w14:textId="4803F492" w:rsidR="00A67163" w:rsidRPr="0094296E" w:rsidRDefault="00A67163" w:rsidP="00A67163">
      <w:pPr>
        <w:rPr>
          <w:rFonts w:ascii="Calibri" w:hAnsi="Calibri" w:cs="Calibri"/>
        </w:rPr>
      </w:pPr>
      <w:r w:rsidRPr="005734B8">
        <w:rPr>
          <w:rFonts w:ascii="Calibri" w:hAnsi="Calibri" w:cs="Calibri"/>
        </w:rPr>
        <w:t>The IC undertakes a stewardship role for portfolio statutory entities (the TAFE sector and funded services) that reflects the Department’s governance responsibilities and operational relationships.</w:t>
      </w:r>
    </w:p>
    <w:p w14:paraId="56AB667F" w14:textId="77777777" w:rsidR="00A67163" w:rsidRPr="005734B8" w:rsidRDefault="00A67163" w:rsidP="00A67163">
      <w:pPr>
        <w:pStyle w:val="ESHeading3"/>
        <w:ind w:left="0" w:firstLine="0"/>
        <w:rPr>
          <w:rFonts w:ascii="Calibri" w:hAnsi="Calibri" w:cs="Calibri"/>
        </w:rPr>
      </w:pPr>
      <w:bookmarkStart w:id="536" w:name="_Toc8899516"/>
      <w:bookmarkStart w:id="537" w:name="_Toc10208718"/>
      <w:bookmarkStart w:id="538" w:name="_Toc11158222"/>
      <w:bookmarkStart w:id="539" w:name="_Toc11336229"/>
      <w:bookmarkStart w:id="540" w:name="_Toc14965454"/>
      <w:bookmarkStart w:id="541" w:name="_Toc19272032"/>
      <w:bookmarkStart w:id="542" w:name="_Toc19272398"/>
      <w:bookmarkStart w:id="543" w:name="_Toc19273733"/>
      <w:bookmarkStart w:id="544" w:name="_Toc39835786"/>
      <w:bookmarkEnd w:id="502"/>
      <w:bookmarkEnd w:id="528"/>
      <w:bookmarkEnd w:id="529"/>
      <w:bookmarkEnd w:id="530"/>
      <w:bookmarkEnd w:id="531"/>
      <w:bookmarkEnd w:id="532"/>
      <w:bookmarkEnd w:id="533"/>
      <w:bookmarkEnd w:id="534"/>
      <w:bookmarkEnd w:id="535"/>
      <w:r w:rsidRPr="005734B8">
        <w:rPr>
          <w:rFonts w:ascii="Calibri" w:hAnsi="Calibri" w:cs="Calibri"/>
        </w:rPr>
        <w:t>Budget and Financial Management Committee</w:t>
      </w:r>
    </w:p>
    <w:p w14:paraId="0887EB69" w14:textId="77777777" w:rsidR="00A67163" w:rsidRPr="005734B8" w:rsidRDefault="00A67163" w:rsidP="00A67163">
      <w:pPr>
        <w:rPr>
          <w:rFonts w:ascii="Calibri" w:hAnsi="Calibri" w:cs="Calibri"/>
        </w:rPr>
      </w:pPr>
      <w:r w:rsidRPr="005734B8">
        <w:rPr>
          <w:rFonts w:ascii="Calibri" w:hAnsi="Calibri" w:cs="Calibri"/>
        </w:rPr>
        <w:t>The BFMC advises the Executive Board on priorities for budget and finance matters, provides oversight of the Department’s budget and finances, and acts as the decision-maker for the Executive Board on budget and finance matters.</w:t>
      </w:r>
    </w:p>
    <w:p w14:paraId="615EC361" w14:textId="77777777" w:rsidR="00A67163" w:rsidRPr="005734B8" w:rsidRDefault="00A67163" w:rsidP="00A67163">
      <w:pPr>
        <w:rPr>
          <w:rFonts w:ascii="Calibri" w:hAnsi="Calibri" w:cs="Calibri"/>
        </w:rPr>
      </w:pPr>
    </w:p>
    <w:p w14:paraId="0B7A4ED6" w14:textId="77777777" w:rsidR="00A67163" w:rsidRPr="005734B8" w:rsidRDefault="00A67163" w:rsidP="00A67163">
      <w:pPr>
        <w:rPr>
          <w:rFonts w:ascii="Calibri" w:hAnsi="Calibri" w:cs="Calibri"/>
        </w:rPr>
      </w:pPr>
      <w:r w:rsidRPr="005734B8">
        <w:rPr>
          <w:rFonts w:ascii="Calibri" w:hAnsi="Calibri" w:cs="Calibri"/>
        </w:rPr>
        <w:t xml:space="preserve">The BFMC leads the Department’s drive for improved financial sustainability and ensures effective oversight and allocation of financial resources in alignment with </w:t>
      </w:r>
      <w:r w:rsidRPr="0094296E">
        <w:rPr>
          <w:rFonts w:ascii="Calibri" w:hAnsi="Calibri" w:cs="Calibri"/>
        </w:rPr>
        <w:t>the Department’s service delivery, planning objectives and government priorities.</w:t>
      </w:r>
    </w:p>
    <w:p w14:paraId="64D7D6D5" w14:textId="77777777" w:rsidR="00A67163" w:rsidRPr="005734B8" w:rsidRDefault="00A67163" w:rsidP="00A67163">
      <w:pPr>
        <w:pStyle w:val="ESHeading3"/>
        <w:ind w:left="0" w:firstLine="0"/>
        <w:rPr>
          <w:rFonts w:ascii="Calibri" w:hAnsi="Calibri" w:cs="Calibri"/>
        </w:rPr>
      </w:pPr>
      <w:r w:rsidRPr="005734B8">
        <w:rPr>
          <w:rFonts w:ascii="Calibri" w:hAnsi="Calibri" w:cs="Calibri"/>
        </w:rPr>
        <w:t>Culture and People Committee</w:t>
      </w:r>
    </w:p>
    <w:p w14:paraId="47598E75" w14:textId="36895BB9" w:rsidR="00A67163" w:rsidRPr="005734B8" w:rsidRDefault="00A67163" w:rsidP="00A67163">
      <w:pPr>
        <w:rPr>
          <w:rFonts w:ascii="Calibri" w:hAnsi="Calibri" w:cs="Calibri"/>
        </w:rPr>
      </w:pPr>
      <w:r w:rsidRPr="005734B8">
        <w:rPr>
          <w:rFonts w:ascii="Calibri" w:hAnsi="Calibri" w:cs="Calibri"/>
        </w:rPr>
        <w:t>The CPC advises the Executive Board on significant and strategic culture and capability matters related to the Department’s VPS workforce. CPC also provides oversight and assurance over strategies to promote diversity and inclusion, and over OHS matters across the breadth of the Department’s workforce.</w:t>
      </w:r>
    </w:p>
    <w:p w14:paraId="56C1DF02" w14:textId="77777777" w:rsidR="00580E49" w:rsidRPr="005734B8" w:rsidRDefault="00580E49" w:rsidP="00580E49">
      <w:pPr>
        <w:pStyle w:val="ESHeading3"/>
        <w:ind w:left="0" w:firstLine="0"/>
        <w:rPr>
          <w:rFonts w:ascii="Calibri" w:hAnsi="Calibri" w:cs="Calibri"/>
        </w:rPr>
      </w:pPr>
      <w:r w:rsidRPr="005734B8">
        <w:rPr>
          <w:rFonts w:ascii="Calibri" w:hAnsi="Calibri" w:cs="Calibri"/>
        </w:rPr>
        <w:t>Government Schools Reform Committee</w:t>
      </w:r>
    </w:p>
    <w:p w14:paraId="790D17CC" w14:textId="5822B4DF" w:rsidR="00F83FFE" w:rsidRPr="0094296E" w:rsidRDefault="00580E49" w:rsidP="0094296E">
      <w:pPr>
        <w:rPr>
          <w:rFonts w:ascii="Calibri" w:hAnsi="Calibri" w:cs="Calibri"/>
        </w:rPr>
      </w:pPr>
      <w:r w:rsidRPr="005734B8">
        <w:rPr>
          <w:rFonts w:ascii="Calibri" w:hAnsi="Calibri" w:cs="Calibri"/>
        </w:rPr>
        <w:t>The GSRC advises the Executive Board on government schools reform from policy design to implementation and evaluation. It also provides strategic oversight of significant reform activities.</w:t>
      </w:r>
    </w:p>
    <w:p w14:paraId="74F8A3D0" w14:textId="77777777" w:rsidR="00A67163" w:rsidRPr="005734B8" w:rsidRDefault="00A67163" w:rsidP="00A67163">
      <w:pPr>
        <w:pStyle w:val="ESHeading3"/>
        <w:ind w:left="0" w:firstLine="0"/>
        <w:rPr>
          <w:rFonts w:ascii="Calibri" w:hAnsi="Calibri" w:cs="Calibri"/>
        </w:rPr>
      </w:pPr>
      <w:bookmarkStart w:id="545" w:name="_Toc8899517"/>
      <w:bookmarkStart w:id="546" w:name="_Toc10208721"/>
      <w:bookmarkStart w:id="547" w:name="_Toc11158226"/>
      <w:bookmarkStart w:id="548" w:name="_Toc11336233"/>
      <w:bookmarkStart w:id="549" w:name="_Toc14965458"/>
      <w:bookmarkStart w:id="550" w:name="_Toc19272036"/>
      <w:bookmarkStart w:id="551" w:name="_Toc19272402"/>
      <w:bookmarkStart w:id="552" w:name="_Toc19273737"/>
      <w:bookmarkStart w:id="553" w:name="_Toc39835789"/>
      <w:bookmarkEnd w:id="536"/>
      <w:bookmarkEnd w:id="537"/>
      <w:bookmarkEnd w:id="538"/>
      <w:bookmarkEnd w:id="539"/>
      <w:bookmarkEnd w:id="540"/>
      <w:bookmarkEnd w:id="541"/>
      <w:bookmarkEnd w:id="542"/>
      <w:bookmarkEnd w:id="543"/>
      <w:bookmarkEnd w:id="544"/>
      <w:r w:rsidRPr="005734B8">
        <w:rPr>
          <w:rFonts w:ascii="Calibri" w:hAnsi="Calibri" w:cs="Calibri"/>
        </w:rPr>
        <w:t>Information Management and Technology Committee</w:t>
      </w:r>
    </w:p>
    <w:p w14:paraId="01B16B3C" w14:textId="6D04186E" w:rsidR="00A67163" w:rsidRPr="005734B8" w:rsidRDefault="00A67163" w:rsidP="00A67163">
      <w:pPr>
        <w:rPr>
          <w:rFonts w:ascii="Calibri" w:hAnsi="Calibri" w:cs="Calibri"/>
        </w:rPr>
      </w:pPr>
      <w:r w:rsidRPr="005734B8">
        <w:rPr>
          <w:rFonts w:ascii="Calibri" w:hAnsi="Calibri" w:cs="Calibri"/>
        </w:rPr>
        <w:t xml:space="preserve">The IMTC advises the Executive Board on priorities relating to information management and technology (IMT) matters, and to provide oversight and decision-making authority on the Department’s IMT business objectives. IMTC ensures that departmental information systems are compliant with relevant legislation and standards, including the Victorian Government Information and Communication Technology </w:t>
      </w:r>
      <w:r w:rsidR="0086495A" w:rsidRPr="005734B8">
        <w:rPr>
          <w:rFonts w:ascii="Calibri" w:hAnsi="Calibri" w:cs="Calibri"/>
        </w:rPr>
        <w:t>(ICT)</w:t>
      </w:r>
      <w:r w:rsidRPr="005734B8">
        <w:rPr>
          <w:rFonts w:ascii="Calibri" w:hAnsi="Calibri" w:cs="Calibri"/>
        </w:rPr>
        <w:t xml:space="preserve"> Governance Framework, and the Victorian Protective Data Security Standards.</w:t>
      </w:r>
    </w:p>
    <w:p w14:paraId="34244C23" w14:textId="77777777" w:rsidR="00A67163" w:rsidRPr="005734B8" w:rsidRDefault="00A67163" w:rsidP="00A67163">
      <w:pPr>
        <w:pStyle w:val="ESHeading3"/>
        <w:ind w:left="0" w:firstLine="0"/>
        <w:rPr>
          <w:rFonts w:ascii="Calibri" w:hAnsi="Calibri" w:cs="Calibri"/>
        </w:rPr>
      </w:pPr>
      <w:r w:rsidRPr="005734B8">
        <w:rPr>
          <w:rFonts w:ascii="Calibri" w:hAnsi="Calibri" w:cs="Calibri"/>
        </w:rPr>
        <w:t>Infrastructure Planning and Delivery Committee</w:t>
      </w:r>
    </w:p>
    <w:p w14:paraId="6F899947" w14:textId="77777777" w:rsidR="00A67163" w:rsidRPr="005734B8" w:rsidRDefault="00A67163" w:rsidP="00A67163">
      <w:pPr>
        <w:rPr>
          <w:rFonts w:ascii="Calibri" w:hAnsi="Calibri" w:cs="Calibri"/>
        </w:rPr>
      </w:pPr>
      <w:r w:rsidRPr="005734B8">
        <w:rPr>
          <w:rFonts w:ascii="Calibri" w:hAnsi="Calibri" w:cs="Calibri"/>
        </w:rPr>
        <w:t xml:space="preserve">The IPDC provides assurance to the Executive Board that the Department has a robust framework for developing and implementing infrastructure delivery, and for managing strategic development, implementation and delivery of departmental physical (non-financial) assets. </w:t>
      </w:r>
    </w:p>
    <w:p w14:paraId="0CCA2C56" w14:textId="77777777" w:rsidR="001921EB" w:rsidRPr="005734B8" w:rsidRDefault="001921EB" w:rsidP="00A67163">
      <w:pPr>
        <w:rPr>
          <w:rFonts w:ascii="Calibri" w:hAnsi="Calibri" w:cs="Calibri"/>
        </w:rPr>
      </w:pPr>
    </w:p>
    <w:p w14:paraId="43139651" w14:textId="77777777" w:rsidR="00A67163" w:rsidRPr="005734B8" w:rsidRDefault="00A67163" w:rsidP="00A67163">
      <w:pPr>
        <w:rPr>
          <w:rFonts w:ascii="Calibri" w:hAnsi="Calibri" w:cs="Calibri"/>
        </w:rPr>
      </w:pPr>
      <w:r w:rsidRPr="005734B8">
        <w:rPr>
          <w:rFonts w:ascii="Calibri" w:hAnsi="Calibri" w:cs="Calibri"/>
        </w:rPr>
        <w:t xml:space="preserve">IPDC fulfils this role by approving and overseeing the infrastructure planning and implementation components of the Education State reform agenda in alignment with the Department’s service delivery and planning objectives. </w:t>
      </w:r>
    </w:p>
    <w:bookmarkEnd w:id="545"/>
    <w:bookmarkEnd w:id="546"/>
    <w:bookmarkEnd w:id="547"/>
    <w:bookmarkEnd w:id="548"/>
    <w:bookmarkEnd w:id="549"/>
    <w:bookmarkEnd w:id="550"/>
    <w:bookmarkEnd w:id="551"/>
    <w:bookmarkEnd w:id="552"/>
    <w:bookmarkEnd w:id="553"/>
    <w:p w14:paraId="034F7255" w14:textId="77777777" w:rsidR="00A67163" w:rsidRPr="005734B8" w:rsidRDefault="00A67163" w:rsidP="00A67163">
      <w:pPr>
        <w:pStyle w:val="ESHeading3"/>
        <w:ind w:left="0" w:firstLine="0"/>
        <w:rPr>
          <w:rFonts w:ascii="Calibri" w:hAnsi="Calibri" w:cs="Calibri"/>
        </w:rPr>
      </w:pPr>
      <w:r w:rsidRPr="005734B8">
        <w:rPr>
          <w:rFonts w:ascii="Calibri" w:hAnsi="Calibri" w:cs="Calibri"/>
        </w:rPr>
        <w:lastRenderedPageBreak/>
        <w:t>Procurement and Probity Committee</w:t>
      </w:r>
    </w:p>
    <w:p w14:paraId="19E1E1C6" w14:textId="787B484A" w:rsidR="00A67163" w:rsidRPr="005734B8" w:rsidRDefault="00A67163" w:rsidP="00A67163">
      <w:pPr>
        <w:rPr>
          <w:rFonts w:ascii="Calibri" w:hAnsi="Calibri" w:cs="Calibri"/>
        </w:rPr>
      </w:pPr>
      <w:r w:rsidRPr="005734B8">
        <w:rPr>
          <w:rFonts w:ascii="Calibri" w:hAnsi="Calibri" w:cs="Calibri"/>
        </w:rPr>
        <w:t>The PPC oversees procurement activities</w:t>
      </w:r>
      <w:r w:rsidR="006F10E0" w:rsidRPr="005734B8">
        <w:rPr>
          <w:rFonts w:ascii="Calibri" w:hAnsi="Calibri" w:cs="Calibri"/>
        </w:rPr>
        <w:t xml:space="preserve"> </w:t>
      </w:r>
      <w:r w:rsidRPr="005734B8">
        <w:rPr>
          <w:rFonts w:ascii="Calibri" w:hAnsi="Calibri" w:cs="Calibri"/>
        </w:rPr>
        <w:t>in the Department to ensure appropriate rigour is exercised in accordance with procurement policies. In doing so, it supports the Secretary’s obligations under the Victorian Government Purchasing Board policies and the FM Act. The PPC also considers the procurement of goods and services by certain statutory authorities (VCAA, VRQA and the Merit Protection Board</w:t>
      </w:r>
      <w:r w:rsidR="00554368" w:rsidRPr="005734B8">
        <w:rPr>
          <w:rFonts w:ascii="Calibri" w:hAnsi="Calibri" w:cs="Calibri"/>
        </w:rPr>
        <w:t>s</w:t>
      </w:r>
      <w:r w:rsidRPr="005734B8">
        <w:rPr>
          <w:rFonts w:ascii="Calibri" w:hAnsi="Calibri" w:cs="Calibri"/>
        </w:rPr>
        <w:t xml:space="preserve">). It does not consider procurement related to construction or property. </w:t>
      </w:r>
    </w:p>
    <w:p w14:paraId="36016D92" w14:textId="5B2BB03A" w:rsidR="00925174" w:rsidRPr="0094296E" w:rsidRDefault="00925174" w:rsidP="0094296E">
      <w:pPr>
        <w:rPr>
          <w:rFonts w:ascii="Calibri" w:hAnsi="Calibri" w:cs="Calibri"/>
        </w:rPr>
      </w:pPr>
      <w:r w:rsidRPr="0094296E">
        <w:rPr>
          <w:rFonts w:ascii="Calibri" w:hAnsi="Calibri" w:cs="Calibri"/>
        </w:rPr>
        <w:br w:type="page"/>
      </w:r>
    </w:p>
    <w:p w14:paraId="74FF70F8" w14:textId="77777777" w:rsidR="00AE06A6" w:rsidRPr="005734B8" w:rsidRDefault="00AE06A6" w:rsidP="00AE06A6">
      <w:pPr>
        <w:pStyle w:val="ESHeading2"/>
        <w:rPr>
          <w:rFonts w:ascii="Calibri" w:hAnsi="Calibri" w:cs="Calibri"/>
        </w:rPr>
      </w:pPr>
      <w:bookmarkStart w:id="554" w:name="_Toc81315326"/>
      <w:bookmarkEnd w:id="456"/>
      <w:bookmarkEnd w:id="457"/>
      <w:bookmarkEnd w:id="458"/>
      <w:bookmarkEnd w:id="459"/>
      <w:bookmarkEnd w:id="460"/>
      <w:bookmarkEnd w:id="461"/>
      <w:bookmarkEnd w:id="462"/>
      <w:bookmarkEnd w:id="463"/>
      <w:r w:rsidRPr="005734B8">
        <w:rPr>
          <w:rFonts w:ascii="Calibri" w:hAnsi="Calibri" w:cs="Calibri"/>
        </w:rPr>
        <w:lastRenderedPageBreak/>
        <w:t>Statutory authorities and boards</w:t>
      </w:r>
      <w:bookmarkEnd w:id="554"/>
    </w:p>
    <w:p w14:paraId="069DDA00" w14:textId="77777777" w:rsidR="00AE06A6" w:rsidRPr="005734B8" w:rsidRDefault="00AE06A6" w:rsidP="00AE06A6">
      <w:pPr>
        <w:rPr>
          <w:rFonts w:ascii="Calibri" w:hAnsi="Calibri" w:cs="Calibri"/>
        </w:rPr>
      </w:pPr>
      <w:r w:rsidRPr="005734B8">
        <w:rPr>
          <w:rFonts w:ascii="Calibri" w:hAnsi="Calibri" w:cs="Calibri"/>
        </w:rPr>
        <w:t>The Department works in conjunction with the following statutory authorities and boards:</w:t>
      </w:r>
    </w:p>
    <w:p w14:paraId="70C0E7DF" w14:textId="77777777" w:rsidR="00AE06A6" w:rsidRPr="005734B8" w:rsidRDefault="00AE06A6" w:rsidP="00AE06A6">
      <w:pPr>
        <w:pStyle w:val="ESbullet1"/>
        <w:numPr>
          <w:ilvl w:val="0"/>
          <w:numId w:val="24"/>
        </w:numPr>
        <w:spacing w:after="0"/>
        <w:rPr>
          <w:rFonts w:ascii="Calibri" w:hAnsi="Calibri" w:cs="Calibri"/>
        </w:rPr>
      </w:pPr>
      <w:r w:rsidRPr="005734B8">
        <w:rPr>
          <w:rFonts w:ascii="Calibri" w:hAnsi="Calibri" w:cs="Calibri"/>
        </w:rPr>
        <w:t>ACFE Board</w:t>
      </w:r>
    </w:p>
    <w:p w14:paraId="338C46DB" w14:textId="77777777" w:rsidR="00AE06A6" w:rsidRPr="005734B8" w:rsidRDefault="00AE06A6" w:rsidP="00AE06A6">
      <w:pPr>
        <w:pStyle w:val="ESbullet1"/>
        <w:numPr>
          <w:ilvl w:val="0"/>
          <w:numId w:val="24"/>
        </w:numPr>
        <w:spacing w:after="0"/>
        <w:rPr>
          <w:rFonts w:ascii="Calibri" w:hAnsi="Calibri" w:cs="Calibri"/>
        </w:rPr>
      </w:pPr>
      <w:r w:rsidRPr="005734B8">
        <w:rPr>
          <w:rFonts w:ascii="Calibri" w:hAnsi="Calibri" w:cs="Calibri"/>
        </w:rPr>
        <w:t>AMES Australia</w:t>
      </w:r>
    </w:p>
    <w:p w14:paraId="27870851" w14:textId="77777777" w:rsidR="00AE06A6" w:rsidRPr="005734B8" w:rsidRDefault="00AE06A6" w:rsidP="00AE06A6">
      <w:pPr>
        <w:pStyle w:val="ESbullet1"/>
        <w:numPr>
          <w:ilvl w:val="0"/>
          <w:numId w:val="24"/>
        </w:numPr>
        <w:spacing w:after="0"/>
        <w:rPr>
          <w:rFonts w:ascii="Calibri" w:hAnsi="Calibri" w:cs="Calibri"/>
        </w:rPr>
      </w:pPr>
      <w:r w:rsidRPr="005734B8">
        <w:rPr>
          <w:rFonts w:ascii="Calibri" w:hAnsi="Calibri" w:cs="Calibri"/>
        </w:rPr>
        <w:t>Centre for Adult Education</w:t>
      </w:r>
    </w:p>
    <w:p w14:paraId="0256CD38" w14:textId="77777777" w:rsidR="00AE06A6" w:rsidRPr="005734B8" w:rsidRDefault="00AE06A6" w:rsidP="00AE06A6">
      <w:pPr>
        <w:pStyle w:val="ESbullet1"/>
        <w:numPr>
          <w:ilvl w:val="0"/>
          <w:numId w:val="24"/>
        </w:numPr>
        <w:spacing w:after="0"/>
        <w:rPr>
          <w:rFonts w:ascii="Calibri" w:hAnsi="Calibri" w:cs="Calibri"/>
        </w:rPr>
      </w:pPr>
      <w:r w:rsidRPr="005734B8">
        <w:rPr>
          <w:rFonts w:ascii="Calibri" w:hAnsi="Calibri" w:cs="Calibri"/>
        </w:rPr>
        <w:t>Children’s Services Coordination Board</w:t>
      </w:r>
    </w:p>
    <w:p w14:paraId="570B7CE3" w14:textId="3DA68BF4" w:rsidR="00AE06A6" w:rsidRPr="005734B8" w:rsidRDefault="00AE06A6" w:rsidP="00AE06A6">
      <w:pPr>
        <w:pStyle w:val="ESbullet1"/>
        <w:numPr>
          <w:ilvl w:val="0"/>
          <w:numId w:val="24"/>
        </w:numPr>
        <w:spacing w:after="0"/>
        <w:rPr>
          <w:rFonts w:ascii="Calibri" w:hAnsi="Calibri" w:cs="Calibri"/>
        </w:rPr>
      </w:pPr>
      <w:r w:rsidRPr="005734B8">
        <w:rPr>
          <w:rFonts w:ascii="Calibri" w:hAnsi="Calibri" w:cs="Calibri"/>
        </w:rPr>
        <w:t>Disciplinary Appeals Board</w:t>
      </w:r>
      <w:r w:rsidR="006B4E1A" w:rsidRPr="005734B8">
        <w:rPr>
          <w:rFonts w:ascii="Calibri" w:hAnsi="Calibri" w:cs="Calibri"/>
        </w:rPr>
        <w:t>s</w:t>
      </w:r>
    </w:p>
    <w:p w14:paraId="6EC2FC5D" w14:textId="77777777" w:rsidR="00AE06A6" w:rsidRPr="005734B8" w:rsidRDefault="00AE06A6" w:rsidP="00AE06A6">
      <w:pPr>
        <w:pStyle w:val="ESbullet1"/>
        <w:numPr>
          <w:ilvl w:val="0"/>
          <w:numId w:val="24"/>
        </w:numPr>
        <w:spacing w:after="0"/>
        <w:rPr>
          <w:rFonts w:ascii="Calibri" w:hAnsi="Calibri" w:cs="Calibri"/>
        </w:rPr>
      </w:pPr>
      <w:r w:rsidRPr="005734B8">
        <w:rPr>
          <w:rFonts w:ascii="Calibri" w:hAnsi="Calibri" w:cs="Calibri"/>
        </w:rPr>
        <w:t>Independent Office for School Dispute Resolution</w:t>
      </w:r>
    </w:p>
    <w:p w14:paraId="49585BD8" w14:textId="3953E596" w:rsidR="00AE06A6" w:rsidRPr="005734B8" w:rsidRDefault="00AE06A6" w:rsidP="00AE06A6">
      <w:pPr>
        <w:pStyle w:val="ESbullet1"/>
        <w:numPr>
          <w:ilvl w:val="0"/>
          <w:numId w:val="24"/>
        </w:numPr>
        <w:spacing w:after="0"/>
        <w:rPr>
          <w:rFonts w:ascii="Calibri" w:hAnsi="Calibri" w:cs="Calibri"/>
        </w:rPr>
      </w:pPr>
      <w:r w:rsidRPr="005734B8">
        <w:rPr>
          <w:rFonts w:ascii="Calibri" w:hAnsi="Calibri" w:cs="Calibri"/>
        </w:rPr>
        <w:t>Merit Protection Board</w:t>
      </w:r>
      <w:r w:rsidR="006B4E1A" w:rsidRPr="005734B8">
        <w:rPr>
          <w:rFonts w:ascii="Calibri" w:hAnsi="Calibri" w:cs="Calibri"/>
        </w:rPr>
        <w:t>s</w:t>
      </w:r>
    </w:p>
    <w:p w14:paraId="5DC84236" w14:textId="77777777" w:rsidR="00AE06A6" w:rsidRPr="005734B8" w:rsidRDefault="00AE06A6" w:rsidP="00AE06A6">
      <w:pPr>
        <w:pStyle w:val="ESbullet1"/>
        <w:numPr>
          <w:ilvl w:val="0"/>
          <w:numId w:val="24"/>
        </w:numPr>
        <w:spacing w:after="0"/>
        <w:rPr>
          <w:rFonts w:ascii="Calibri" w:hAnsi="Calibri" w:cs="Calibri"/>
        </w:rPr>
      </w:pPr>
      <w:r w:rsidRPr="005734B8">
        <w:rPr>
          <w:rFonts w:ascii="Calibri" w:hAnsi="Calibri" w:cs="Calibri"/>
        </w:rPr>
        <w:t>TAFE institutes</w:t>
      </w:r>
    </w:p>
    <w:p w14:paraId="66A0FC2A" w14:textId="77777777" w:rsidR="00AE06A6" w:rsidRPr="005734B8" w:rsidRDefault="00AE06A6" w:rsidP="00AE06A6">
      <w:pPr>
        <w:pStyle w:val="ESbullet1"/>
        <w:numPr>
          <w:ilvl w:val="0"/>
          <w:numId w:val="24"/>
        </w:numPr>
        <w:spacing w:after="0"/>
        <w:rPr>
          <w:rFonts w:ascii="Calibri" w:hAnsi="Calibri" w:cs="Calibri"/>
        </w:rPr>
      </w:pPr>
      <w:r w:rsidRPr="005734B8">
        <w:rPr>
          <w:rFonts w:ascii="Calibri" w:hAnsi="Calibri" w:cs="Calibri"/>
        </w:rPr>
        <w:t>VCAA</w:t>
      </w:r>
    </w:p>
    <w:p w14:paraId="48F6BC56" w14:textId="77777777" w:rsidR="00AE06A6" w:rsidRPr="005734B8" w:rsidRDefault="00AE06A6" w:rsidP="00AE06A6">
      <w:pPr>
        <w:pStyle w:val="ESbullet1"/>
        <w:numPr>
          <w:ilvl w:val="0"/>
          <w:numId w:val="24"/>
        </w:numPr>
        <w:spacing w:after="0"/>
        <w:rPr>
          <w:rFonts w:ascii="Calibri" w:hAnsi="Calibri" w:cs="Calibri"/>
        </w:rPr>
      </w:pPr>
      <w:r w:rsidRPr="005734B8">
        <w:rPr>
          <w:rFonts w:ascii="Calibri" w:hAnsi="Calibri" w:cs="Calibri"/>
        </w:rPr>
        <w:t>Victorian Children’s Council</w:t>
      </w:r>
    </w:p>
    <w:p w14:paraId="3CA40A5B" w14:textId="77777777" w:rsidR="00AE06A6" w:rsidRPr="005734B8" w:rsidRDefault="00AE06A6" w:rsidP="00AE06A6">
      <w:pPr>
        <w:pStyle w:val="ESbullet1"/>
        <w:numPr>
          <w:ilvl w:val="0"/>
          <w:numId w:val="24"/>
        </w:numPr>
        <w:spacing w:after="0"/>
        <w:rPr>
          <w:rFonts w:ascii="Calibri" w:hAnsi="Calibri" w:cs="Calibri"/>
        </w:rPr>
      </w:pPr>
      <w:r w:rsidRPr="005734B8">
        <w:rPr>
          <w:rFonts w:ascii="Calibri" w:hAnsi="Calibri" w:cs="Calibri"/>
        </w:rPr>
        <w:t>VIT</w:t>
      </w:r>
    </w:p>
    <w:p w14:paraId="7C2E1A19" w14:textId="77777777" w:rsidR="00AE06A6" w:rsidRPr="005734B8" w:rsidRDefault="00AE06A6" w:rsidP="00AE06A6">
      <w:pPr>
        <w:pStyle w:val="ESbullet1"/>
        <w:numPr>
          <w:ilvl w:val="0"/>
          <w:numId w:val="24"/>
        </w:numPr>
        <w:spacing w:after="0"/>
        <w:rPr>
          <w:rFonts w:ascii="Calibri" w:hAnsi="Calibri" w:cs="Calibri"/>
        </w:rPr>
      </w:pPr>
      <w:r w:rsidRPr="005734B8">
        <w:rPr>
          <w:rFonts w:ascii="Calibri" w:hAnsi="Calibri" w:cs="Calibri"/>
        </w:rPr>
        <w:t>VRQA.</w:t>
      </w:r>
    </w:p>
    <w:p w14:paraId="0FAC3782" w14:textId="77777777" w:rsidR="00AE06A6" w:rsidRPr="005734B8" w:rsidRDefault="00AE06A6" w:rsidP="00AE06A6">
      <w:pPr>
        <w:pStyle w:val="ESbullet1"/>
        <w:spacing w:after="0"/>
        <w:ind w:left="0" w:firstLine="0"/>
        <w:rPr>
          <w:rFonts w:ascii="Calibri" w:hAnsi="Calibri" w:cs="Calibri"/>
        </w:rPr>
      </w:pPr>
    </w:p>
    <w:p w14:paraId="5CDA249B" w14:textId="77777777" w:rsidR="00AE06A6" w:rsidRPr="005734B8" w:rsidRDefault="00AE06A6" w:rsidP="00AE06A6">
      <w:pPr>
        <w:rPr>
          <w:rFonts w:ascii="Calibri" w:hAnsi="Calibri" w:cs="Calibri"/>
        </w:rPr>
      </w:pPr>
      <w:r w:rsidRPr="005734B8">
        <w:rPr>
          <w:rFonts w:ascii="Calibri" w:hAnsi="Calibri" w:cs="Calibri"/>
        </w:rPr>
        <w:t>Statutory authorities and boards produce their own annual reports.</w:t>
      </w:r>
    </w:p>
    <w:p w14:paraId="37BB38DC" w14:textId="77777777" w:rsidR="00AE06A6" w:rsidRPr="005734B8" w:rsidRDefault="00AE06A6" w:rsidP="00AE06A6">
      <w:pPr>
        <w:rPr>
          <w:rFonts w:ascii="Calibri" w:hAnsi="Calibri" w:cs="Calibri"/>
        </w:rPr>
      </w:pPr>
    </w:p>
    <w:p w14:paraId="24810EA4" w14:textId="71DFDA67" w:rsidR="00AE06A6" w:rsidRPr="005734B8" w:rsidRDefault="00AE06A6" w:rsidP="00AE06A6">
      <w:pPr>
        <w:rPr>
          <w:rFonts w:ascii="Calibri" w:hAnsi="Calibri" w:cs="Calibri"/>
        </w:rPr>
      </w:pPr>
      <w:r w:rsidRPr="005734B8">
        <w:rPr>
          <w:rFonts w:ascii="Calibri" w:hAnsi="Calibri" w:cs="Calibri"/>
        </w:rPr>
        <w:t>The statutory authorities and boards that produce financial year reports (1 July – 30</w:t>
      </w:r>
      <w:r w:rsidR="00D07BAE" w:rsidRPr="005734B8">
        <w:rPr>
          <w:rFonts w:ascii="Calibri" w:hAnsi="Calibri" w:cs="Calibri"/>
        </w:rPr>
        <w:t> </w:t>
      </w:r>
      <w:r w:rsidRPr="005734B8">
        <w:rPr>
          <w:rFonts w:ascii="Calibri" w:hAnsi="Calibri" w:cs="Calibri"/>
        </w:rPr>
        <w:t>June) are:</w:t>
      </w:r>
    </w:p>
    <w:p w14:paraId="061B5E55" w14:textId="77777777" w:rsidR="00AE06A6" w:rsidRPr="005734B8" w:rsidRDefault="00AE06A6" w:rsidP="00AE06A6">
      <w:pPr>
        <w:pStyle w:val="ESbullet1"/>
        <w:numPr>
          <w:ilvl w:val="0"/>
          <w:numId w:val="25"/>
        </w:numPr>
        <w:spacing w:after="0"/>
        <w:rPr>
          <w:rFonts w:ascii="Calibri" w:hAnsi="Calibri" w:cs="Calibri"/>
        </w:rPr>
      </w:pPr>
      <w:r w:rsidRPr="005734B8">
        <w:rPr>
          <w:rFonts w:ascii="Calibri" w:hAnsi="Calibri" w:cs="Calibri"/>
        </w:rPr>
        <w:t>ACFE Board</w:t>
      </w:r>
    </w:p>
    <w:p w14:paraId="62FE918F" w14:textId="77777777" w:rsidR="00AE06A6" w:rsidRPr="005734B8" w:rsidRDefault="00AE06A6" w:rsidP="00AE06A6">
      <w:pPr>
        <w:pStyle w:val="ESbullet1"/>
        <w:numPr>
          <w:ilvl w:val="0"/>
          <w:numId w:val="25"/>
        </w:numPr>
        <w:spacing w:after="0"/>
        <w:rPr>
          <w:rFonts w:ascii="Calibri" w:hAnsi="Calibri" w:cs="Calibri"/>
        </w:rPr>
      </w:pPr>
      <w:r w:rsidRPr="005734B8">
        <w:rPr>
          <w:rFonts w:ascii="Calibri" w:hAnsi="Calibri" w:cs="Calibri"/>
        </w:rPr>
        <w:t>AMES Australia</w:t>
      </w:r>
    </w:p>
    <w:p w14:paraId="5B22FB02" w14:textId="77777777" w:rsidR="00AE06A6" w:rsidRPr="005734B8" w:rsidRDefault="00AE06A6" w:rsidP="00AE06A6">
      <w:pPr>
        <w:pStyle w:val="ESbullet1"/>
        <w:numPr>
          <w:ilvl w:val="0"/>
          <w:numId w:val="25"/>
        </w:numPr>
        <w:spacing w:after="0"/>
        <w:rPr>
          <w:rFonts w:ascii="Calibri" w:hAnsi="Calibri" w:cs="Calibri"/>
        </w:rPr>
      </w:pPr>
      <w:r w:rsidRPr="005734B8">
        <w:rPr>
          <w:rFonts w:ascii="Calibri" w:hAnsi="Calibri" w:cs="Calibri"/>
        </w:rPr>
        <w:t>VCAA</w:t>
      </w:r>
    </w:p>
    <w:p w14:paraId="68045052" w14:textId="77777777" w:rsidR="00AE06A6" w:rsidRPr="005734B8" w:rsidRDefault="00AE06A6" w:rsidP="00AE06A6">
      <w:pPr>
        <w:pStyle w:val="ESbullet1"/>
        <w:numPr>
          <w:ilvl w:val="0"/>
          <w:numId w:val="25"/>
        </w:numPr>
        <w:spacing w:after="0"/>
        <w:rPr>
          <w:rFonts w:ascii="Calibri" w:hAnsi="Calibri" w:cs="Calibri"/>
        </w:rPr>
      </w:pPr>
      <w:r w:rsidRPr="005734B8">
        <w:rPr>
          <w:rFonts w:ascii="Calibri" w:hAnsi="Calibri" w:cs="Calibri"/>
        </w:rPr>
        <w:t>VIT</w:t>
      </w:r>
    </w:p>
    <w:p w14:paraId="088A3667" w14:textId="77777777" w:rsidR="00AE06A6" w:rsidRPr="005734B8" w:rsidRDefault="00AE06A6" w:rsidP="00AE06A6">
      <w:pPr>
        <w:pStyle w:val="ESbullet1"/>
        <w:numPr>
          <w:ilvl w:val="0"/>
          <w:numId w:val="25"/>
        </w:numPr>
        <w:spacing w:after="0"/>
        <w:rPr>
          <w:rFonts w:ascii="Calibri" w:hAnsi="Calibri" w:cs="Calibri"/>
        </w:rPr>
      </w:pPr>
      <w:r w:rsidRPr="005734B8">
        <w:rPr>
          <w:rFonts w:ascii="Calibri" w:hAnsi="Calibri" w:cs="Calibri"/>
        </w:rPr>
        <w:t>VRQA.</w:t>
      </w:r>
    </w:p>
    <w:p w14:paraId="3955D460" w14:textId="77777777" w:rsidR="00AE06A6" w:rsidRPr="005734B8" w:rsidRDefault="00AE06A6" w:rsidP="00AE06A6">
      <w:pPr>
        <w:pStyle w:val="ESbullet1"/>
        <w:spacing w:after="0"/>
        <w:ind w:left="0" w:firstLine="0"/>
        <w:rPr>
          <w:rFonts w:ascii="Calibri" w:hAnsi="Calibri" w:cs="Calibri"/>
        </w:rPr>
      </w:pPr>
    </w:p>
    <w:p w14:paraId="2CC1413D" w14:textId="7C7F66EC" w:rsidR="00AE06A6" w:rsidRPr="005734B8" w:rsidRDefault="00AE06A6" w:rsidP="00AE06A6">
      <w:pPr>
        <w:rPr>
          <w:rFonts w:ascii="Calibri" w:hAnsi="Calibri" w:cs="Calibri"/>
        </w:rPr>
      </w:pPr>
      <w:r w:rsidRPr="005734B8">
        <w:rPr>
          <w:rFonts w:ascii="Calibri" w:hAnsi="Calibri" w:cs="Calibri"/>
        </w:rPr>
        <w:t>The statutory authorities and boards that produce calendar year reports (1 January – 31</w:t>
      </w:r>
      <w:r w:rsidR="00D07BAE" w:rsidRPr="005734B8">
        <w:rPr>
          <w:rFonts w:ascii="Calibri" w:hAnsi="Calibri" w:cs="Calibri"/>
        </w:rPr>
        <w:t> </w:t>
      </w:r>
      <w:r w:rsidRPr="005734B8">
        <w:rPr>
          <w:rFonts w:ascii="Calibri" w:hAnsi="Calibri" w:cs="Calibri"/>
        </w:rPr>
        <w:t>December) are:</w:t>
      </w:r>
    </w:p>
    <w:p w14:paraId="0CF09D40" w14:textId="77777777" w:rsidR="00AE06A6" w:rsidRPr="005734B8" w:rsidRDefault="00AE06A6" w:rsidP="00AE06A6">
      <w:pPr>
        <w:pStyle w:val="ESbullet1"/>
        <w:numPr>
          <w:ilvl w:val="0"/>
          <w:numId w:val="26"/>
        </w:numPr>
        <w:spacing w:after="0"/>
        <w:rPr>
          <w:rFonts w:ascii="Calibri" w:hAnsi="Calibri" w:cs="Calibri"/>
        </w:rPr>
      </w:pPr>
      <w:r w:rsidRPr="005734B8">
        <w:rPr>
          <w:rFonts w:ascii="Calibri" w:hAnsi="Calibri" w:cs="Calibri"/>
        </w:rPr>
        <w:t>Centre for Adult Education</w:t>
      </w:r>
    </w:p>
    <w:p w14:paraId="05CD5CCC" w14:textId="77777777" w:rsidR="00AE06A6" w:rsidRPr="005734B8" w:rsidRDefault="00AE06A6" w:rsidP="00AE06A6">
      <w:pPr>
        <w:pStyle w:val="ESbullet1"/>
        <w:numPr>
          <w:ilvl w:val="0"/>
          <w:numId w:val="26"/>
        </w:numPr>
        <w:spacing w:after="0"/>
        <w:rPr>
          <w:rFonts w:ascii="Calibri" w:hAnsi="Calibri" w:cs="Calibri"/>
        </w:rPr>
      </w:pPr>
      <w:r w:rsidRPr="005734B8">
        <w:rPr>
          <w:rFonts w:ascii="Calibri" w:hAnsi="Calibri" w:cs="Calibri"/>
        </w:rPr>
        <w:t>TAFE institutes.</w:t>
      </w:r>
    </w:p>
    <w:p w14:paraId="326DA898" w14:textId="77777777" w:rsidR="00AE06A6" w:rsidRPr="005734B8" w:rsidRDefault="00AE06A6" w:rsidP="00AE06A6">
      <w:pPr>
        <w:pStyle w:val="ESbullet1"/>
        <w:spacing w:after="0"/>
        <w:ind w:left="0" w:firstLine="0"/>
        <w:rPr>
          <w:rFonts w:ascii="Calibri" w:hAnsi="Calibri" w:cs="Calibri"/>
        </w:rPr>
      </w:pPr>
    </w:p>
    <w:p w14:paraId="33E9A8AF" w14:textId="7F8E2B21" w:rsidR="00AE06A6" w:rsidRPr="005734B8" w:rsidRDefault="00AE06A6" w:rsidP="00AE06A6">
      <w:pPr>
        <w:rPr>
          <w:rFonts w:ascii="Calibri" w:hAnsi="Calibri" w:cs="Calibri"/>
        </w:rPr>
      </w:pPr>
      <w:r w:rsidRPr="005734B8">
        <w:rPr>
          <w:rFonts w:ascii="Calibri" w:hAnsi="Calibri" w:cs="Calibri"/>
        </w:rPr>
        <w:t>Reports of the Children’s Services Coordination Board, Disciplinary Appeals Board</w:t>
      </w:r>
      <w:r w:rsidR="006B4E1A" w:rsidRPr="005734B8">
        <w:rPr>
          <w:rFonts w:ascii="Calibri" w:hAnsi="Calibri" w:cs="Calibri"/>
        </w:rPr>
        <w:t>s</w:t>
      </w:r>
      <w:r w:rsidRPr="005734B8">
        <w:rPr>
          <w:rFonts w:ascii="Calibri" w:hAnsi="Calibri" w:cs="Calibri"/>
        </w:rPr>
        <w:t>, Independent Office for School Dispute Resolution, Merit Protection Board</w:t>
      </w:r>
      <w:r w:rsidR="006B4E1A" w:rsidRPr="005734B8">
        <w:rPr>
          <w:rFonts w:ascii="Calibri" w:hAnsi="Calibri" w:cs="Calibri"/>
        </w:rPr>
        <w:t>s</w:t>
      </w:r>
      <w:r w:rsidRPr="005734B8">
        <w:rPr>
          <w:rFonts w:ascii="Calibri" w:hAnsi="Calibri" w:cs="Calibri"/>
        </w:rPr>
        <w:t xml:space="preserve"> and Victorian Children’s Council are included in Appendix 3 of this report.</w:t>
      </w:r>
    </w:p>
    <w:p w14:paraId="53B73DBF" w14:textId="77777777" w:rsidR="001D6E3A" w:rsidRPr="005734B8" w:rsidRDefault="001D6E3A">
      <w:pPr>
        <w:rPr>
          <w:rFonts w:ascii="Calibri" w:hAnsi="Calibri" w:cs="Calibri"/>
          <w:highlight w:val="yellow"/>
        </w:rPr>
      </w:pPr>
      <w:r w:rsidRPr="005734B8">
        <w:rPr>
          <w:rFonts w:ascii="Calibri" w:hAnsi="Calibri" w:cs="Calibri"/>
          <w:highlight w:val="yellow"/>
        </w:rPr>
        <w:br w:type="page"/>
      </w:r>
    </w:p>
    <w:p w14:paraId="7588DAB5" w14:textId="748FB9D5" w:rsidR="001D6E3A" w:rsidRPr="005734B8" w:rsidRDefault="001D6E3A" w:rsidP="001D6E3A">
      <w:pPr>
        <w:pStyle w:val="ESHeading1"/>
        <w:rPr>
          <w:rFonts w:ascii="Calibri" w:hAnsi="Calibri" w:cs="Calibri"/>
        </w:rPr>
      </w:pPr>
      <w:bookmarkStart w:id="555" w:name="_Toc9432469"/>
      <w:bookmarkStart w:id="556" w:name="_Toc11158229"/>
      <w:bookmarkStart w:id="557" w:name="_Toc11336236"/>
      <w:bookmarkStart w:id="558" w:name="_Toc13656677"/>
      <w:bookmarkStart w:id="559" w:name="_Toc14965461"/>
      <w:bookmarkStart w:id="560" w:name="_Toc15985263"/>
      <w:bookmarkStart w:id="561" w:name="_Toc19272039"/>
      <w:bookmarkStart w:id="562" w:name="_Toc19272405"/>
      <w:bookmarkStart w:id="563" w:name="_Toc19273740"/>
      <w:bookmarkStart w:id="564" w:name="_Toc48402783"/>
      <w:bookmarkStart w:id="565" w:name="_Toc48403020"/>
      <w:bookmarkStart w:id="566" w:name="_Toc51332763"/>
      <w:bookmarkStart w:id="567" w:name="_Toc81315327"/>
      <w:r w:rsidRPr="005734B8">
        <w:rPr>
          <w:rFonts w:ascii="Calibri" w:hAnsi="Calibri" w:cs="Calibri"/>
        </w:rPr>
        <w:lastRenderedPageBreak/>
        <w:t>Workforce data</w:t>
      </w:r>
      <w:bookmarkEnd w:id="555"/>
      <w:bookmarkEnd w:id="556"/>
      <w:bookmarkEnd w:id="557"/>
      <w:bookmarkEnd w:id="558"/>
      <w:bookmarkEnd w:id="559"/>
      <w:bookmarkEnd w:id="560"/>
      <w:bookmarkEnd w:id="561"/>
      <w:bookmarkEnd w:id="562"/>
      <w:bookmarkEnd w:id="563"/>
      <w:bookmarkEnd w:id="564"/>
      <w:bookmarkEnd w:id="565"/>
      <w:bookmarkEnd w:id="566"/>
      <w:bookmarkEnd w:id="567"/>
    </w:p>
    <w:p w14:paraId="1E3B575A" w14:textId="20E8B526" w:rsidR="001D6E3A" w:rsidRPr="005734B8" w:rsidRDefault="001D6E3A" w:rsidP="001D6E3A">
      <w:pPr>
        <w:pStyle w:val="ESHeading2"/>
        <w:rPr>
          <w:rFonts w:ascii="Calibri" w:hAnsi="Calibri" w:cs="Calibri"/>
        </w:rPr>
      </w:pPr>
      <w:bookmarkStart w:id="568" w:name="_Toc9432470"/>
      <w:bookmarkStart w:id="569" w:name="_Toc11158230"/>
      <w:bookmarkStart w:id="570" w:name="_Toc11336237"/>
      <w:bookmarkStart w:id="571" w:name="_Toc13656678"/>
      <w:bookmarkStart w:id="572" w:name="_Toc14965462"/>
      <w:bookmarkStart w:id="573" w:name="_Toc15985264"/>
      <w:bookmarkStart w:id="574" w:name="_Toc19272040"/>
      <w:bookmarkStart w:id="575" w:name="_Toc19272406"/>
      <w:bookmarkStart w:id="576" w:name="_Toc19273741"/>
      <w:bookmarkStart w:id="577" w:name="_Toc48402784"/>
      <w:bookmarkStart w:id="578" w:name="_Toc48403021"/>
      <w:bookmarkStart w:id="579" w:name="_Toc51332764"/>
      <w:bookmarkStart w:id="580" w:name="_Toc81315328"/>
      <w:r w:rsidRPr="005734B8">
        <w:rPr>
          <w:rFonts w:ascii="Calibri" w:hAnsi="Calibri" w:cs="Calibri"/>
        </w:rPr>
        <w:t>Public sector values and employment principles</w:t>
      </w:r>
      <w:bookmarkEnd w:id="568"/>
      <w:bookmarkEnd w:id="569"/>
      <w:bookmarkEnd w:id="570"/>
      <w:bookmarkEnd w:id="571"/>
      <w:bookmarkEnd w:id="572"/>
      <w:bookmarkEnd w:id="573"/>
      <w:bookmarkEnd w:id="574"/>
      <w:bookmarkEnd w:id="575"/>
      <w:bookmarkEnd w:id="576"/>
      <w:bookmarkEnd w:id="577"/>
      <w:bookmarkEnd w:id="578"/>
      <w:bookmarkEnd w:id="579"/>
      <w:bookmarkEnd w:id="580"/>
    </w:p>
    <w:p w14:paraId="0E59B6A4" w14:textId="642B0726" w:rsidR="006168F5" w:rsidRPr="005734B8" w:rsidRDefault="00433905" w:rsidP="00433905">
      <w:pPr>
        <w:rPr>
          <w:rFonts w:ascii="Calibri" w:hAnsi="Calibri" w:cs="Calibri"/>
        </w:rPr>
      </w:pPr>
      <w:bookmarkStart w:id="581" w:name="_Toc9432471"/>
      <w:bookmarkStart w:id="582" w:name="_Toc11158231"/>
      <w:bookmarkStart w:id="583" w:name="_Toc11336238"/>
      <w:bookmarkStart w:id="584" w:name="_Toc13656679"/>
      <w:bookmarkStart w:id="585" w:name="_Toc14965463"/>
      <w:bookmarkStart w:id="586" w:name="_Toc15985265"/>
      <w:bookmarkStart w:id="587" w:name="_Toc19272041"/>
      <w:bookmarkStart w:id="588" w:name="_Toc19272407"/>
      <w:bookmarkStart w:id="589" w:name="_Toc19273742"/>
      <w:bookmarkStart w:id="590" w:name="_Toc48402785"/>
      <w:bookmarkStart w:id="591" w:name="_Toc48403022"/>
      <w:bookmarkStart w:id="592" w:name="_Toc51332765"/>
      <w:r w:rsidRPr="005734B8">
        <w:rPr>
          <w:rFonts w:ascii="Calibri" w:hAnsi="Calibri" w:cs="Calibri"/>
        </w:rPr>
        <w:t xml:space="preserve">The Department adopts the public sector values set out in the Code of Conduct for Victorian Public Sector Employees. The Department’s values underpin how employees interact with colleagues, learners and families, members of the community and suppliers. </w:t>
      </w:r>
    </w:p>
    <w:p w14:paraId="22C05FF6" w14:textId="77777777" w:rsidR="006168F5" w:rsidRPr="005734B8" w:rsidRDefault="006168F5" w:rsidP="00433905">
      <w:pPr>
        <w:rPr>
          <w:rFonts w:ascii="Calibri" w:hAnsi="Calibri" w:cs="Calibri"/>
        </w:rPr>
      </w:pPr>
    </w:p>
    <w:p w14:paraId="492E248D" w14:textId="10A99BEB" w:rsidR="00433905" w:rsidRPr="005734B8" w:rsidRDefault="00433905" w:rsidP="00433905">
      <w:pPr>
        <w:rPr>
          <w:rFonts w:ascii="Calibri" w:hAnsi="Calibri" w:cs="Calibri"/>
        </w:rPr>
      </w:pPr>
      <w:r w:rsidRPr="005734B8">
        <w:rPr>
          <w:rFonts w:ascii="Calibri" w:hAnsi="Calibri" w:cs="Calibri"/>
        </w:rPr>
        <w:t>When employees act in accordance with the Department’s values, the Department is more effective, achieves outcomes and ensures the public has trust and confidence in the education system. This adherence also builds trust between employees and leaders, as everyone operates under the same principles and can be confident they are doing the right thing.</w:t>
      </w:r>
    </w:p>
    <w:p w14:paraId="0A3D1A4E" w14:textId="77777777" w:rsidR="006168F5" w:rsidRPr="005734B8" w:rsidRDefault="006168F5" w:rsidP="00433905">
      <w:pPr>
        <w:rPr>
          <w:rFonts w:ascii="Calibri" w:hAnsi="Calibri" w:cs="Calibri"/>
        </w:rPr>
      </w:pPr>
    </w:p>
    <w:p w14:paraId="6526D715" w14:textId="3FF2EC87" w:rsidR="00433905" w:rsidRPr="005734B8" w:rsidRDefault="00433905" w:rsidP="00433905">
      <w:pPr>
        <w:rPr>
          <w:rFonts w:ascii="Calibri" w:hAnsi="Calibri" w:cs="Calibri"/>
        </w:rPr>
      </w:pPr>
      <w:r w:rsidRPr="005734B8">
        <w:rPr>
          <w:rFonts w:ascii="Calibri" w:hAnsi="Calibri" w:cs="Calibri"/>
        </w:rPr>
        <w:t xml:space="preserve">A suite of materials developed for use across the Department ensures consistent interpretation, strong engagement and connection with these values among employees. These materials inform, educate and guide employees on what each of the seven values means in the Department’s context, and how </w:t>
      </w:r>
      <w:r w:rsidR="007D6DA4" w:rsidRPr="005734B8">
        <w:rPr>
          <w:rFonts w:ascii="Calibri" w:hAnsi="Calibri" w:cs="Calibri"/>
        </w:rPr>
        <w:t>employees</w:t>
      </w:r>
      <w:r w:rsidRPr="005734B8">
        <w:rPr>
          <w:rFonts w:ascii="Calibri" w:hAnsi="Calibri" w:cs="Calibri"/>
        </w:rPr>
        <w:t xml:space="preserve"> can demonstrate the</w:t>
      </w:r>
      <w:r w:rsidR="007D6DA4" w:rsidRPr="005734B8">
        <w:rPr>
          <w:rFonts w:ascii="Calibri" w:hAnsi="Calibri" w:cs="Calibri"/>
        </w:rPr>
        <w:t>se values</w:t>
      </w:r>
      <w:r w:rsidRPr="005734B8">
        <w:rPr>
          <w:rFonts w:ascii="Calibri" w:hAnsi="Calibri" w:cs="Calibri"/>
        </w:rPr>
        <w:t xml:space="preserve"> through </w:t>
      </w:r>
      <w:r w:rsidR="007D6DA4" w:rsidRPr="005734B8">
        <w:rPr>
          <w:rFonts w:ascii="Calibri" w:hAnsi="Calibri" w:cs="Calibri"/>
        </w:rPr>
        <w:t xml:space="preserve">their </w:t>
      </w:r>
      <w:r w:rsidRPr="005734B8">
        <w:rPr>
          <w:rFonts w:ascii="Calibri" w:hAnsi="Calibri" w:cs="Calibri"/>
        </w:rPr>
        <w:t>actions and decisions.</w:t>
      </w:r>
    </w:p>
    <w:p w14:paraId="08BA6734" w14:textId="63142FB8" w:rsidR="001D6E3A" w:rsidRPr="005734B8" w:rsidRDefault="001D6E3A" w:rsidP="00433905">
      <w:pPr>
        <w:pStyle w:val="ESHeading2"/>
        <w:rPr>
          <w:rFonts w:ascii="Calibri" w:hAnsi="Calibri" w:cs="Calibri"/>
        </w:rPr>
      </w:pPr>
      <w:bookmarkStart w:id="593" w:name="_Toc81315329"/>
      <w:r w:rsidRPr="005734B8">
        <w:rPr>
          <w:rFonts w:ascii="Calibri" w:hAnsi="Calibri" w:cs="Calibri"/>
        </w:rPr>
        <w:t>Occupational health and safety</w:t>
      </w:r>
      <w:bookmarkEnd w:id="581"/>
      <w:bookmarkEnd w:id="582"/>
      <w:bookmarkEnd w:id="583"/>
      <w:bookmarkEnd w:id="584"/>
      <w:bookmarkEnd w:id="585"/>
      <w:bookmarkEnd w:id="586"/>
      <w:bookmarkEnd w:id="587"/>
      <w:bookmarkEnd w:id="588"/>
      <w:bookmarkEnd w:id="589"/>
      <w:bookmarkEnd w:id="590"/>
      <w:bookmarkEnd w:id="591"/>
      <w:bookmarkEnd w:id="592"/>
      <w:bookmarkEnd w:id="593"/>
    </w:p>
    <w:p w14:paraId="00F51E1A" w14:textId="3ABC3591" w:rsidR="004206E5" w:rsidRPr="005734B8" w:rsidRDefault="004206E5" w:rsidP="004206E5">
      <w:pPr>
        <w:rPr>
          <w:rFonts w:ascii="Calibri" w:hAnsi="Calibri" w:cs="Calibri"/>
          <w:szCs w:val="22"/>
        </w:rPr>
      </w:pPr>
      <w:bookmarkStart w:id="594" w:name="_Hlk47419215"/>
      <w:bookmarkStart w:id="595" w:name="_Toc11158232"/>
      <w:bookmarkStart w:id="596" w:name="_Toc11336239"/>
      <w:bookmarkStart w:id="597" w:name="_Toc14965465"/>
      <w:bookmarkStart w:id="598" w:name="_Hlk47700796"/>
      <w:r w:rsidRPr="005734B8">
        <w:rPr>
          <w:rFonts w:ascii="Calibri" w:hAnsi="Calibri" w:cs="Calibri"/>
          <w:szCs w:val="22"/>
        </w:rPr>
        <w:t xml:space="preserve">The Safe and Well in Education Strategy 2019–24 and its corresponding framework are the foundations for building health, safety and wellbeing in schools and corporate workplaces. The </w:t>
      </w:r>
      <w:r w:rsidR="00D07BAE" w:rsidRPr="005734B8">
        <w:rPr>
          <w:rFonts w:ascii="Calibri" w:hAnsi="Calibri" w:cs="Calibri"/>
          <w:iCs/>
          <w:szCs w:val="22"/>
        </w:rPr>
        <w:t>strategy</w:t>
      </w:r>
      <w:r w:rsidRPr="005734B8">
        <w:rPr>
          <w:rFonts w:ascii="Calibri" w:hAnsi="Calibri" w:cs="Calibri"/>
          <w:szCs w:val="22"/>
        </w:rPr>
        <w:t xml:space="preserve"> positioned the Department to respond to the COVID</w:t>
      </w:r>
      <w:r w:rsidR="00D07BAE" w:rsidRPr="005734B8">
        <w:rPr>
          <w:rFonts w:ascii="Calibri" w:hAnsi="Calibri" w:cs="Calibri"/>
          <w:szCs w:val="22"/>
        </w:rPr>
        <w:noBreakHyphen/>
      </w:r>
      <w:r w:rsidRPr="005734B8">
        <w:rPr>
          <w:rFonts w:ascii="Calibri" w:hAnsi="Calibri" w:cs="Calibri"/>
          <w:szCs w:val="22"/>
        </w:rPr>
        <w:t xml:space="preserve">19 pandemic and implement </w:t>
      </w:r>
      <w:r w:rsidR="00D07BAE" w:rsidRPr="005734B8">
        <w:rPr>
          <w:rFonts w:ascii="Calibri" w:hAnsi="Calibri" w:cs="Calibri"/>
          <w:szCs w:val="22"/>
        </w:rPr>
        <w:t>appropriate</w:t>
      </w:r>
      <w:r w:rsidRPr="005734B8">
        <w:rPr>
          <w:rFonts w:ascii="Calibri" w:hAnsi="Calibri" w:cs="Calibri"/>
          <w:szCs w:val="22"/>
        </w:rPr>
        <w:t xml:space="preserve"> health and safety measures</w:t>
      </w:r>
      <w:r w:rsidR="00D07BAE" w:rsidRPr="005734B8">
        <w:rPr>
          <w:rFonts w:ascii="Calibri" w:hAnsi="Calibri" w:cs="Calibri"/>
          <w:szCs w:val="22"/>
        </w:rPr>
        <w:t xml:space="preserve">. </w:t>
      </w:r>
      <w:r w:rsidR="00B33079" w:rsidRPr="005734B8">
        <w:rPr>
          <w:rFonts w:ascii="Calibri" w:hAnsi="Calibri" w:cs="Calibri"/>
          <w:szCs w:val="22"/>
        </w:rPr>
        <w:t>During 2020–21, t</w:t>
      </w:r>
      <w:r w:rsidR="00553259" w:rsidRPr="005734B8">
        <w:rPr>
          <w:rFonts w:ascii="Calibri" w:hAnsi="Calibri" w:cs="Calibri"/>
          <w:szCs w:val="22"/>
        </w:rPr>
        <w:t>he Department provided support and advice on COVID-19 hazard management. This included more than 5,070 communications with schools, 859 site visits, and assistance to 488 government schools on implementing COVID-19 safety measures through the COVID safe assurance program</w:t>
      </w:r>
      <w:r w:rsidR="00B37985" w:rsidRPr="005734B8">
        <w:rPr>
          <w:rFonts w:ascii="Calibri" w:hAnsi="Calibri" w:cs="Calibri"/>
          <w:szCs w:val="22"/>
        </w:rPr>
        <w:t xml:space="preserve">. The Department also delivered a new eLearning module ‘School </w:t>
      </w:r>
      <w:r w:rsidR="00462789" w:rsidRPr="005734B8">
        <w:rPr>
          <w:rFonts w:ascii="Calibri" w:hAnsi="Calibri" w:cs="Calibri"/>
          <w:szCs w:val="22"/>
        </w:rPr>
        <w:t>i</w:t>
      </w:r>
      <w:r w:rsidR="00B37985" w:rsidRPr="005734B8">
        <w:rPr>
          <w:rFonts w:ascii="Calibri" w:hAnsi="Calibri" w:cs="Calibri"/>
          <w:szCs w:val="22"/>
        </w:rPr>
        <w:t>nfection prevention and control’ during the COVID-19 pandemic to more than 70,000 government school staff.</w:t>
      </w:r>
      <w:r w:rsidR="00B37985" w:rsidRPr="005734B8" w:rsidDel="007449B5">
        <w:rPr>
          <w:rFonts w:ascii="Calibri" w:hAnsi="Calibri" w:cs="Calibri"/>
          <w:szCs w:val="22"/>
        </w:rPr>
        <w:t xml:space="preserve"> </w:t>
      </w:r>
    </w:p>
    <w:p w14:paraId="32D18C4A" w14:textId="77777777" w:rsidR="000D5A15" w:rsidRPr="005734B8" w:rsidRDefault="000D5A15" w:rsidP="000D5A15">
      <w:pPr>
        <w:rPr>
          <w:rFonts w:ascii="Calibri" w:hAnsi="Calibri" w:cs="Calibri"/>
          <w:szCs w:val="22"/>
        </w:rPr>
      </w:pPr>
    </w:p>
    <w:p w14:paraId="6F5558A1" w14:textId="070E58F9" w:rsidR="005A45F7" w:rsidRPr="005734B8" w:rsidRDefault="005A45F7" w:rsidP="005A45F7">
      <w:pPr>
        <w:rPr>
          <w:rFonts w:ascii="Calibri" w:hAnsi="Calibri" w:cs="Calibri"/>
          <w:szCs w:val="22"/>
        </w:rPr>
      </w:pPr>
      <w:r w:rsidRPr="005734B8">
        <w:rPr>
          <w:rFonts w:ascii="Calibri" w:hAnsi="Calibri" w:cs="Calibri"/>
          <w:szCs w:val="22"/>
        </w:rPr>
        <w:t>More broadly, the Department continue</w:t>
      </w:r>
      <w:r w:rsidR="00EC128C" w:rsidRPr="005734B8">
        <w:rPr>
          <w:rFonts w:ascii="Calibri" w:hAnsi="Calibri" w:cs="Calibri"/>
          <w:szCs w:val="22"/>
        </w:rPr>
        <w:t>s</w:t>
      </w:r>
      <w:r w:rsidRPr="005734B8">
        <w:rPr>
          <w:rFonts w:ascii="Calibri" w:hAnsi="Calibri" w:cs="Calibri"/>
          <w:szCs w:val="22"/>
        </w:rPr>
        <w:t xml:space="preserve"> to improve occupational health and safety for corporate and school</w:t>
      </w:r>
      <w:r w:rsidR="004206E5" w:rsidRPr="005734B8">
        <w:rPr>
          <w:rFonts w:ascii="Calibri" w:hAnsi="Calibri" w:cs="Calibri"/>
          <w:szCs w:val="22"/>
        </w:rPr>
        <w:t xml:space="preserve"> staff</w:t>
      </w:r>
      <w:r w:rsidRPr="005734B8">
        <w:rPr>
          <w:rFonts w:ascii="Calibri" w:hAnsi="Calibri" w:cs="Calibri"/>
          <w:szCs w:val="22"/>
        </w:rPr>
        <w:t xml:space="preserve"> by:</w:t>
      </w:r>
    </w:p>
    <w:p w14:paraId="4ACEC424" w14:textId="36F08903" w:rsidR="005A45F7" w:rsidRPr="005734B8" w:rsidRDefault="005A45F7" w:rsidP="005A45F7">
      <w:pPr>
        <w:pStyle w:val="ListParagraph"/>
        <w:numPr>
          <w:ilvl w:val="0"/>
          <w:numId w:val="34"/>
        </w:numPr>
        <w:rPr>
          <w:rFonts w:ascii="Calibri" w:hAnsi="Calibri" w:cs="Calibri"/>
          <w:szCs w:val="22"/>
        </w:rPr>
      </w:pPr>
      <w:r w:rsidRPr="005734B8">
        <w:rPr>
          <w:rFonts w:ascii="Calibri" w:hAnsi="Calibri" w:cs="Calibri"/>
          <w:szCs w:val="22"/>
        </w:rPr>
        <w:t xml:space="preserve">enabling </w:t>
      </w:r>
      <w:r w:rsidR="007D6DA4" w:rsidRPr="005734B8">
        <w:rPr>
          <w:rFonts w:ascii="Calibri" w:hAnsi="Calibri" w:cs="Calibri"/>
          <w:szCs w:val="22"/>
        </w:rPr>
        <w:t>employees</w:t>
      </w:r>
      <w:r w:rsidR="004206E5" w:rsidRPr="005734B8">
        <w:rPr>
          <w:rFonts w:ascii="Calibri" w:hAnsi="Calibri" w:cs="Calibri"/>
          <w:szCs w:val="22"/>
        </w:rPr>
        <w:t xml:space="preserve"> and their families to access a total of 8,921 hours from the </w:t>
      </w:r>
      <w:r w:rsidR="00E32B32" w:rsidRPr="005734B8">
        <w:rPr>
          <w:rFonts w:ascii="Calibri" w:hAnsi="Calibri" w:cs="Calibri"/>
          <w:szCs w:val="22"/>
        </w:rPr>
        <w:t>e</w:t>
      </w:r>
      <w:r w:rsidR="004206E5" w:rsidRPr="005734B8">
        <w:rPr>
          <w:rFonts w:ascii="Calibri" w:hAnsi="Calibri" w:cs="Calibri"/>
          <w:szCs w:val="22"/>
        </w:rPr>
        <w:t xml:space="preserve">mployee </w:t>
      </w:r>
      <w:r w:rsidR="00E32B32" w:rsidRPr="005734B8">
        <w:rPr>
          <w:rFonts w:ascii="Calibri" w:hAnsi="Calibri" w:cs="Calibri"/>
          <w:szCs w:val="22"/>
        </w:rPr>
        <w:t>a</w:t>
      </w:r>
      <w:r w:rsidR="004206E5" w:rsidRPr="005734B8">
        <w:rPr>
          <w:rFonts w:ascii="Calibri" w:hAnsi="Calibri" w:cs="Calibri"/>
          <w:szCs w:val="22"/>
        </w:rPr>
        <w:t xml:space="preserve">ssistance </w:t>
      </w:r>
      <w:r w:rsidR="00E32B32" w:rsidRPr="005734B8">
        <w:rPr>
          <w:rFonts w:ascii="Calibri" w:hAnsi="Calibri" w:cs="Calibri"/>
          <w:szCs w:val="22"/>
        </w:rPr>
        <w:t>p</w:t>
      </w:r>
      <w:r w:rsidR="004206E5" w:rsidRPr="005734B8">
        <w:rPr>
          <w:rFonts w:ascii="Calibri" w:hAnsi="Calibri" w:cs="Calibri"/>
          <w:szCs w:val="22"/>
        </w:rPr>
        <w:t>rogram counselling, manager assist contacts, critical incident response and onsite support counselling services</w:t>
      </w:r>
    </w:p>
    <w:p w14:paraId="34AACB00" w14:textId="731AE386" w:rsidR="004206E5" w:rsidRPr="005734B8" w:rsidRDefault="004206E5" w:rsidP="005A45F7">
      <w:pPr>
        <w:pStyle w:val="ListParagraph"/>
        <w:numPr>
          <w:ilvl w:val="0"/>
          <w:numId w:val="34"/>
        </w:numPr>
        <w:rPr>
          <w:rFonts w:ascii="Calibri" w:hAnsi="Calibri" w:cs="Calibri"/>
          <w:szCs w:val="22"/>
        </w:rPr>
      </w:pPr>
      <w:r w:rsidRPr="005734B8">
        <w:rPr>
          <w:rFonts w:ascii="Calibri" w:hAnsi="Calibri" w:cs="Calibri"/>
          <w:szCs w:val="22"/>
        </w:rPr>
        <w:t>enabling workplaces to access 698 hours of conflict resolution services</w:t>
      </w:r>
      <w:r w:rsidR="007D6DA4" w:rsidRPr="005734B8">
        <w:rPr>
          <w:rFonts w:ascii="Calibri" w:hAnsi="Calibri" w:cs="Calibri"/>
          <w:szCs w:val="22"/>
        </w:rPr>
        <w:t>,</w:t>
      </w:r>
      <w:r w:rsidRPr="005734B8">
        <w:rPr>
          <w:rFonts w:ascii="Calibri" w:hAnsi="Calibri" w:cs="Calibri"/>
          <w:szCs w:val="22"/>
        </w:rPr>
        <w:t xml:space="preserve"> including mediation, conflict coaching and team facilitations</w:t>
      </w:r>
      <w:r w:rsidR="005A45F7" w:rsidRPr="005734B8">
        <w:rPr>
          <w:rFonts w:ascii="Calibri" w:hAnsi="Calibri" w:cs="Calibri"/>
          <w:szCs w:val="22"/>
        </w:rPr>
        <w:t xml:space="preserve"> and </w:t>
      </w:r>
      <w:r w:rsidRPr="005734B8">
        <w:rPr>
          <w:rFonts w:ascii="Calibri" w:hAnsi="Calibri" w:cs="Calibri"/>
          <w:szCs w:val="22"/>
        </w:rPr>
        <w:t xml:space="preserve">developing and delivering wellbeing webinars to 2,565 staff </w:t>
      </w:r>
      <w:r w:rsidR="00E32B32" w:rsidRPr="005734B8">
        <w:rPr>
          <w:rFonts w:ascii="Calibri" w:hAnsi="Calibri" w:cs="Calibri"/>
          <w:szCs w:val="22"/>
        </w:rPr>
        <w:t>in</w:t>
      </w:r>
      <w:r w:rsidRPr="005734B8">
        <w:rPr>
          <w:rFonts w:ascii="Calibri" w:hAnsi="Calibri" w:cs="Calibri"/>
          <w:szCs w:val="22"/>
        </w:rPr>
        <w:t xml:space="preserve"> </w:t>
      </w:r>
      <w:r w:rsidR="007D6DA4" w:rsidRPr="005734B8">
        <w:rPr>
          <w:rFonts w:ascii="Calibri" w:hAnsi="Calibri" w:cs="Calibri"/>
          <w:szCs w:val="22"/>
        </w:rPr>
        <w:t>more than</w:t>
      </w:r>
      <w:r w:rsidRPr="005734B8">
        <w:rPr>
          <w:rFonts w:ascii="Calibri" w:hAnsi="Calibri" w:cs="Calibri"/>
          <w:szCs w:val="22"/>
        </w:rPr>
        <w:t xml:space="preserve"> 51 sessions</w:t>
      </w:r>
      <w:r w:rsidR="005A45F7" w:rsidRPr="005734B8">
        <w:rPr>
          <w:rFonts w:ascii="Calibri" w:hAnsi="Calibri" w:cs="Calibri"/>
          <w:szCs w:val="22"/>
        </w:rPr>
        <w:t xml:space="preserve">. </w:t>
      </w:r>
    </w:p>
    <w:p w14:paraId="03168CF1" w14:textId="69978DE7" w:rsidR="00C34AFD" w:rsidRPr="005734B8" w:rsidRDefault="004206E5" w:rsidP="00462789">
      <w:pPr>
        <w:pStyle w:val="ESbullet1"/>
        <w:numPr>
          <w:ilvl w:val="0"/>
          <w:numId w:val="26"/>
        </w:numPr>
        <w:spacing w:after="0"/>
        <w:rPr>
          <w:rFonts w:ascii="Calibri" w:hAnsi="Calibri" w:cs="Calibri"/>
        </w:rPr>
      </w:pPr>
      <w:r w:rsidRPr="005734B8">
        <w:rPr>
          <w:rFonts w:ascii="Calibri" w:hAnsi="Calibri" w:cs="Calibri"/>
        </w:rPr>
        <w:t>providing protective intervention training to more than 86 schools</w:t>
      </w:r>
      <w:r w:rsidR="007D6DA4" w:rsidRPr="005734B8">
        <w:rPr>
          <w:rFonts w:ascii="Calibri" w:hAnsi="Calibri" w:cs="Calibri"/>
        </w:rPr>
        <w:t>,</w:t>
      </w:r>
      <w:r w:rsidRPr="005734B8">
        <w:rPr>
          <w:rFonts w:ascii="Calibri" w:hAnsi="Calibri" w:cs="Calibri"/>
        </w:rPr>
        <w:t xml:space="preserve"> to equip school staff with the tools to manage and de-escalate challenging student behaviour while maintaining personal safety</w:t>
      </w:r>
      <w:r w:rsidR="006411A9" w:rsidRPr="005734B8">
        <w:rPr>
          <w:rFonts w:ascii="Calibri" w:hAnsi="Calibri" w:cs="Calibri"/>
        </w:rPr>
        <w:t>.</w:t>
      </w:r>
    </w:p>
    <w:p w14:paraId="596777E4" w14:textId="3730B550" w:rsidR="004A7C18" w:rsidRPr="005734B8" w:rsidRDefault="004A7C18" w:rsidP="004A7C18">
      <w:pPr>
        <w:pStyle w:val="ESHeading3"/>
        <w:ind w:left="0" w:firstLine="0"/>
        <w:rPr>
          <w:rFonts w:ascii="Calibri" w:hAnsi="Calibri" w:cs="Calibri"/>
        </w:rPr>
      </w:pPr>
      <w:bookmarkStart w:id="599" w:name="_Toc11158233"/>
      <w:bookmarkStart w:id="600" w:name="_Toc11336240"/>
      <w:bookmarkStart w:id="601" w:name="_Toc13656680"/>
      <w:bookmarkStart w:id="602" w:name="_Toc14965466"/>
      <w:bookmarkStart w:id="603" w:name="_Toc15985266"/>
      <w:bookmarkStart w:id="604" w:name="_Toc19272044"/>
      <w:bookmarkStart w:id="605" w:name="_Toc19272410"/>
      <w:bookmarkStart w:id="606" w:name="_Toc19273745"/>
      <w:bookmarkStart w:id="607" w:name="_Toc48402786"/>
      <w:bookmarkStart w:id="608" w:name="_Toc48403023"/>
      <w:bookmarkStart w:id="609" w:name="_Toc51332766"/>
      <w:bookmarkEnd w:id="594"/>
      <w:bookmarkEnd w:id="595"/>
      <w:bookmarkEnd w:id="596"/>
      <w:bookmarkEnd w:id="597"/>
      <w:bookmarkEnd w:id="598"/>
      <w:r w:rsidRPr="005734B8">
        <w:rPr>
          <w:rFonts w:ascii="Calibri" w:hAnsi="Calibri" w:cs="Calibri"/>
        </w:rPr>
        <w:t xml:space="preserve">Incident and hazard management </w:t>
      </w:r>
    </w:p>
    <w:p w14:paraId="1D087D7D" w14:textId="77777777" w:rsidR="004A7C18" w:rsidRPr="005734B8" w:rsidRDefault="004A7C18" w:rsidP="004A7C18">
      <w:pPr>
        <w:rPr>
          <w:rFonts w:ascii="Calibri" w:hAnsi="Calibri" w:cs="Calibri"/>
        </w:rPr>
      </w:pPr>
      <w:r w:rsidRPr="005734B8">
        <w:rPr>
          <w:rFonts w:ascii="Calibri" w:hAnsi="Calibri" w:cs="Calibri"/>
        </w:rPr>
        <w:t>Incidents, including injuries and other hazard-related events, increased from 20.59 per 100 FTE in 2019–20 to 21.35 per 100 FTE in 2020–21. This equates to an increase of 1,232 reports, totalling 15,634 in 2020–21 compared with 14,402 in 2019–20.</w:t>
      </w:r>
    </w:p>
    <w:p w14:paraId="69C2E871" w14:textId="77777777" w:rsidR="004A7C18" w:rsidRPr="005734B8" w:rsidRDefault="004A7C18" w:rsidP="004A7C18">
      <w:pPr>
        <w:pStyle w:val="ESTableintroheading"/>
        <w:rPr>
          <w:rFonts w:ascii="Calibri" w:hAnsi="Calibri" w:cs="Calibri"/>
        </w:rPr>
      </w:pPr>
      <w:r w:rsidRPr="005734B8">
        <w:rPr>
          <w:rFonts w:ascii="Calibri" w:hAnsi="Calibri" w:cs="Calibri"/>
        </w:rPr>
        <w:lastRenderedPageBreak/>
        <w:t>Number of incidents and hazards rate per 100 FTE: 2018–19 to 2020–21</w:t>
      </w:r>
    </w:p>
    <w:p w14:paraId="3B0B26D2" w14:textId="022BC349" w:rsidR="006411A9" w:rsidRPr="005734B8" w:rsidRDefault="004A7C18" w:rsidP="00B33079">
      <w:pPr>
        <w:pStyle w:val="ESTableintroheading"/>
        <w:rPr>
          <w:rFonts w:ascii="Calibri" w:hAnsi="Calibri" w:cs="Calibri"/>
        </w:rPr>
      </w:pPr>
      <w:r w:rsidRPr="005734B8">
        <w:rPr>
          <w:rFonts w:ascii="Calibri" w:hAnsi="Calibri" w:cs="Calibri"/>
          <w:noProof/>
        </w:rPr>
        <w:drawing>
          <wp:inline distT="0" distB="0" distL="0" distR="0" wp14:anchorId="6D590EF0" wp14:editId="0C9F0800">
            <wp:extent cx="5013609" cy="26569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2761" cy="2661786"/>
                    </a:xfrm>
                    <a:prstGeom prst="rect">
                      <a:avLst/>
                    </a:prstGeom>
                    <a:noFill/>
                  </pic:spPr>
                </pic:pic>
              </a:graphicData>
            </a:graphic>
          </wp:inline>
        </w:drawing>
      </w:r>
      <w:bookmarkEnd w:id="599"/>
      <w:bookmarkEnd w:id="600"/>
      <w:bookmarkEnd w:id="601"/>
      <w:bookmarkEnd w:id="602"/>
      <w:bookmarkEnd w:id="603"/>
      <w:bookmarkEnd w:id="604"/>
      <w:bookmarkEnd w:id="605"/>
      <w:bookmarkEnd w:id="606"/>
      <w:bookmarkEnd w:id="607"/>
      <w:bookmarkEnd w:id="608"/>
      <w:bookmarkEnd w:id="609"/>
    </w:p>
    <w:p w14:paraId="4A60EFE4" w14:textId="259F15DF" w:rsidR="004A7C18" w:rsidRPr="005734B8" w:rsidRDefault="004A7C18" w:rsidP="004A7C18">
      <w:pPr>
        <w:pStyle w:val="ESHeading2"/>
        <w:rPr>
          <w:rFonts w:ascii="Calibri" w:hAnsi="Calibri" w:cs="Calibri"/>
        </w:rPr>
      </w:pPr>
      <w:bookmarkStart w:id="610" w:name="_Toc81315330"/>
      <w:r w:rsidRPr="005734B8">
        <w:rPr>
          <w:rFonts w:ascii="Calibri" w:hAnsi="Calibri" w:cs="Calibri"/>
        </w:rPr>
        <w:t>Workers’ compensation</w:t>
      </w:r>
      <w:bookmarkEnd w:id="610"/>
    </w:p>
    <w:p w14:paraId="72CDF806" w14:textId="25FA9223" w:rsidR="00B31B21" w:rsidRPr="005734B8" w:rsidRDefault="004A7C18" w:rsidP="004A7C18">
      <w:pPr>
        <w:rPr>
          <w:rFonts w:ascii="Calibri" w:hAnsi="Calibri" w:cs="Calibri"/>
        </w:rPr>
      </w:pPr>
      <w:r w:rsidRPr="005734B8">
        <w:rPr>
          <w:rFonts w:ascii="Calibri" w:hAnsi="Calibri" w:cs="Calibri"/>
        </w:rPr>
        <w:t>In line with the Safe and Well in Education Strategy, the Department has enhanc</w:t>
      </w:r>
      <w:r w:rsidR="007D6DA4" w:rsidRPr="005734B8">
        <w:rPr>
          <w:rFonts w:ascii="Calibri" w:hAnsi="Calibri" w:cs="Calibri"/>
        </w:rPr>
        <w:t>ed</w:t>
      </w:r>
      <w:r w:rsidRPr="005734B8">
        <w:rPr>
          <w:rFonts w:ascii="Calibri" w:hAnsi="Calibri" w:cs="Calibri"/>
        </w:rPr>
        <w:t xml:space="preserve"> supports to schools to assist them to promote safer, more efficient and sustainable return</w:t>
      </w:r>
      <w:r w:rsidRPr="005734B8">
        <w:rPr>
          <w:rFonts w:ascii="Calibri" w:hAnsi="Calibri" w:cs="Calibri"/>
        </w:rPr>
        <w:noBreakHyphen/>
        <w:t>to</w:t>
      </w:r>
      <w:r w:rsidRPr="005734B8">
        <w:rPr>
          <w:rFonts w:ascii="Calibri" w:hAnsi="Calibri" w:cs="Calibri"/>
        </w:rPr>
        <w:noBreakHyphen/>
        <w:t xml:space="preserve">work processes for injured employees. This includes the Department’s Return to Work </w:t>
      </w:r>
      <w:r w:rsidR="000E7E4D" w:rsidRPr="005734B8">
        <w:rPr>
          <w:rFonts w:ascii="Calibri" w:hAnsi="Calibri" w:cs="Calibri"/>
        </w:rPr>
        <w:t>(RTW)</w:t>
      </w:r>
      <w:r w:rsidRPr="005734B8">
        <w:rPr>
          <w:rFonts w:ascii="Calibri" w:hAnsi="Calibri" w:cs="Calibri"/>
        </w:rPr>
        <w:t xml:space="preserve"> and Compensation team provid</w:t>
      </w:r>
      <w:r w:rsidR="007D6DA4" w:rsidRPr="005734B8">
        <w:rPr>
          <w:rFonts w:ascii="Calibri" w:hAnsi="Calibri" w:cs="Calibri"/>
        </w:rPr>
        <w:t>ing</w:t>
      </w:r>
      <w:r w:rsidR="00B31B21" w:rsidRPr="005734B8">
        <w:rPr>
          <w:rFonts w:ascii="Calibri" w:hAnsi="Calibri" w:cs="Calibri"/>
        </w:rPr>
        <w:t>:</w:t>
      </w:r>
    </w:p>
    <w:p w14:paraId="2B3D6958" w14:textId="77777777" w:rsidR="00B31B21" w:rsidRPr="005734B8" w:rsidRDefault="004A7C18" w:rsidP="00B31B21">
      <w:pPr>
        <w:pStyle w:val="ListParagraph"/>
        <w:numPr>
          <w:ilvl w:val="0"/>
          <w:numId w:val="34"/>
        </w:numPr>
        <w:rPr>
          <w:rFonts w:ascii="Calibri" w:hAnsi="Calibri" w:cs="Calibri"/>
        </w:rPr>
      </w:pPr>
      <w:r w:rsidRPr="005734B8">
        <w:rPr>
          <w:rFonts w:ascii="Calibri" w:hAnsi="Calibri" w:cs="Calibri"/>
        </w:rPr>
        <w:t>early triage of new workers’ compensation claims to identify claims that may benefit from centralised support and guidance</w:t>
      </w:r>
    </w:p>
    <w:p w14:paraId="54ED430E" w14:textId="77777777" w:rsidR="00B31B21" w:rsidRPr="005734B8" w:rsidRDefault="004A7C18" w:rsidP="00B31B21">
      <w:pPr>
        <w:pStyle w:val="ListParagraph"/>
        <w:numPr>
          <w:ilvl w:val="0"/>
          <w:numId w:val="34"/>
        </w:numPr>
        <w:rPr>
          <w:rFonts w:ascii="Calibri" w:hAnsi="Calibri" w:cs="Calibri"/>
        </w:rPr>
      </w:pPr>
      <w:r w:rsidRPr="005734B8">
        <w:rPr>
          <w:rFonts w:ascii="Calibri" w:hAnsi="Calibri" w:cs="Calibri"/>
        </w:rPr>
        <w:t>enhanc</w:t>
      </w:r>
      <w:r w:rsidR="00B31B21" w:rsidRPr="005734B8">
        <w:rPr>
          <w:rFonts w:ascii="Calibri" w:hAnsi="Calibri" w:cs="Calibri"/>
        </w:rPr>
        <w:t>ed</w:t>
      </w:r>
      <w:r w:rsidRPr="005734B8">
        <w:rPr>
          <w:rFonts w:ascii="Calibri" w:hAnsi="Calibri" w:cs="Calibri"/>
        </w:rPr>
        <w:t xml:space="preserve"> systems to reduce the administrative burden of claims management</w:t>
      </w:r>
    </w:p>
    <w:p w14:paraId="524563E9" w14:textId="09D561A0" w:rsidR="004A7C18" w:rsidRPr="005734B8" w:rsidRDefault="004A7C18" w:rsidP="00B31B21">
      <w:pPr>
        <w:pStyle w:val="ListParagraph"/>
        <w:numPr>
          <w:ilvl w:val="0"/>
          <w:numId w:val="34"/>
        </w:numPr>
        <w:rPr>
          <w:rFonts w:ascii="Calibri" w:hAnsi="Calibri" w:cs="Calibri"/>
        </w:rPr>
      </w:pPr>
      <w:r w:rsidRPr="005734B8">
        <w:rPr>
          <w:rFonts w:ascii="Calibri" w:hAnsi="Calibri" w:cs="Calibri"/>
        </w:rPr>
        <w:t>suppor</w:t>
      </w:r>
      <w:r w:rsidR="00B31B21" w:rsidRPr="005734B8">
        <w:rPr>
          <w:rFonts w:ascii="Calibri" w:hAnsi="Calibri" w:cs="Calibri"/>
        </w:rPr>
        <w:t>t to</w:t>
      </w:r>
      <w:r w:rsidRPr="005734B8">
        <w:rPr>
          <w:rFonts w:ascii="Calibri" w:hAnsi="Calibri" w:cs="Calibri"/>
        </w:rPr>
        <w:t xml:space="preserve"> schools to identify suitable duties for injured employees to complete while they recover from their injuries. </w:t>
      </w:r>
    </w:p>
    <w:p w14:paraId="4B16B617" w14:textId="77777777" w:rsidR="004A7C18" w:rsidRPr="005734B8" w:rsidRDefault="004A7C18" w:rsidP="004A7C18">
      <w:pPr>
        <w:rPr>
          <w:rFonts w:ascii="Calibri" w:hAnsi="Calibri" w:cs="Calibri"/>
        </w:rPr>
      </w:pPr>
    </w:p>
    <w:p w14:paraId="41545F08" w14:textId="5861F197" w:rsidR="004A7C18" w:rsidRPr="005734B8" w:rsidRDefault="004A7C18" w:rsidP="004A7C18">
      <w:pPr>
        <w:rPr>
          <w:rFonts w:ascii="Calibri" w:hAnsi="Calibri" w:cs="Calibri"/>
          <w:szCs w:val="22"/>
        </w:rPr>
      </w:pPr>
      <w:r w:rsidRPr="005734B8">
        <w:rPr>
          <w:rFonts w:ascii="Calibri" w:hAnsi="Calibri" w:cs="Calibri"/>
        </w:rPr>
        <w:t xml:space="preserve">During 2020–21, the Department </w:t>
      </w:r>
      <w:r w:rsidRPr="005734B8">
        <w:rPr>
          <w:rFonts w:ascii="Calibri" w:hAnsi="Calibri" w:cs="Calibri"/>
          <w:szCs w:val="22"/>
        </w:rPr>
        <w:t>also improved workers’ compensation practices and supports by:</w:t>
      </w:r>
    </w:p>
    <w:p w14:paraId="5CCE851B" w14:textId="53A786DD" w:rsidR="004A7C18" w:rsidRPr="005734B8" w:rsidRDefault="004A7C18" w:rsidP="004A7C18">
      <w:pPr>
        <w:pStyle w:val="ListParagraph"/>
        <w:numPr>
          <w:ilvl w:val="0"/>
          <w:numId w:val="34"/>
        </w:numPr>
        <w:rPr>
          <w:rFonts w:ascii="Calibri" w:hAnsi="Calibri" w:cs="Calibri"/>
        </w:rPr>
      </w:pPr>
      <w:r w:rsidRPr="005734B8">
        <w:rPr>
          <w:rFonts w:ascii="Calibri" w:hAnsi="Calibri" w:cs="Calibri"/>
        </w:rPr>
        <w:t xml:space="preserve">streamlining and supporting claims administration, </w:t>
      </w:r>
      <w:r w:rsidR="007D6DA4" w:rsidRPr="005734B8">
        <w:rPr>
          <w:rFonts w:ascii="Calibri" w:hAnsi="Calibri" w:cs="Calibri"/>
        </w:rPr>
        <w:t xml:space="preserve">thereby </w:t>
      </w:r>
      <w:r w:rsidRPr="005734B8">
        <w:rPr>
          <w:rFonts w:ascii="Calibri" w:hAnsi="Calibri" w:cs="Calibri"/>
        </w:rPr>
        <w:t>freeing up schools to focus on support for injured workers</w:t>
      </w:r>
    </w:p>
    <w:p w14:paraId="79D5366B" w14:textId="1B1E4DBB" w:rsidR="004A7C18" w:rsidRPr="005734B8" w:rsidRDefault="004A7C18" w:rsidP="004A7C18">
      <w:pPr>
        <w:pStyle w:val="ListParagraph"/>
        <w:numPr>
          <w:ilvl w:val="0"/>
          <w:numId w:val="34"/>
        </w:numPr>
        <w:rPr>
          <w:rFonts w:ascii="Calibri" w:hAnsi="Calibri" w:cs="Calibri"/>
          <w:szCs w:val="22"/>
        </w:rPr>
      </w:pPr>
      <w:r w:rsidRPr="005734B8">
        <w:rPr>
          <w:rFonts w:ascii="Calibri" w:hAnsi="Calibri" w:cs="Calibri"/>
          <w:szCs w:val="22"/>
        </w:rPr>
        <w:t>supporting schools to manage new workers</w:t>
      </w:r>
      <w:r w:rsidR="007D6DA4" w:rsidRPr="005734B8">
        <w:rPr>
          <w:rFonts w:ascii="Calibri" w:hAnsi="Calibri" w:cs="Calibri"/>
          <w:szCs w:val="22"/>
        </w:rPr>
        <w:t>’</w:t>
      </w:r>
      <w:r w:rsidRPr="005734B8">
        <w:rPr>
          <w:rFonts w:ascii="Calibri" w:hAnsi="Calibri" w:cs="Calibri"/>
          <w:szCs w:val="22"/>
        </w:rPr>
        <w:t xml:space="preserve"> compensation claims, aligned to a new best-practice Injury Management Framework </w:t>
      </w:r>
    </w:p>
    <w:p w14:paraId="0395B05E" w14:textId="44D38A72" w:rsidR="00F7019E" w:rsidRPr="005734B8" w:rsidRDefault="004A7C18" w:rsidP="004A7C18">
      <w:pPr>
        <w:pStyle w:val="ListParagraph"/>
        <w:numPr>
          <w:ilvl w:val="0"/>
          <w:numId w:val="34"/>
        </w:numPr>
        <w:rPr>
          <w:rFonts w:ascii="Calibri" w:hAnsi="Calibri" w:cs="Calibri"/>
        </w:rPr>
      </w:pPr>
      <w:r w:rsidRPr="005734B8">
        <w:rPr>
          <w:rFonts w:ascii="Calibri" w:hAnsi="Calibri" w:cs="Calibri"/>
        </w:rPr>
        <w:t xml:space="preserve">introducing a new suite of workers’ compensation webinars to improve the capability of </w:t>
      </w:r>
      <w:r w:rsidR="000E7E4D" w:rsidRPr="005734B8">
        <w:rPr>
          <w:rFonts w:ascii="Calibri" w:hAnsi="Calibri" w:cs="Calibri"/>
        </w:rPr>
        <w:t>RTW</w:t>
      </w:r>
      <w:r w:rsidRPr="005734B8">
        <w:rPr>
          <w:rFonts w:ascii="Calibri" w:hAnsi="Calibri" w:cs="Calibri"/>
        </w:rPr>
        <w:t xml:space="preserve"> coordinators and </w:t>
      </w:r>
      <w:r w:rsidR="007D6DA4" w:rsidRPr="005734B8">
        <w:rPr>
          <w:rFonts w:ascii="Calibri" w:hAnsi="Calibri" w:cs="Calibri"/>
        </w:rPr>
        <w:t>the</w:t>
      </w:r>
      <w:r w:rsidRPr="005734B8">
        <w:rPr>
          <w:rFonts w:ascii="Calibri" w:hAnsi="Calibri" w:cs="Calibri"/>
        </w:rPr>
        <w:t xml:space="preserve"> management of work-related injuries.</w:t>
      </w:r>
    </w:p>
    <w:p w14:paraId="4BBA7383" w14:textId="5EBA0680" w:rsidR="004A7C18" w:rsidRPr="005734B8" w:rsidRDefault="004A7C18" w:rsidP="004A7C18">
      <w:pPr>
        <w:pStyle w:val="ESHeading3"/>
        <w:ind w:left="0" w:firstLine="0"/>
        <w:rPr>
          <w:rFonts w:ascii="Calibri" w:hAnsi="Calibri" w:cs="Calibri"/>
        </w:rPr>
      </w:pPr>
      <w:r w:rsidRPr="005734B8">
        <w:rPr>
          <w:rFonts w:ascii="Calibri" w:hAnsi="Calibri" w:cs="Calibri"/>
        </w:rPr>
        <w:t>Claims management</w:t>
      </w:r>
    </w:p>
    <w:p w14:paraId="79FAEDBD" w14:textId="623785A4" w:rsidR="00E85583" w:rsidRPr="005734B8" w:rsidRDefault="00B31B21" w:rsidP="004A7C18">
      <w:pPr>
        <w:rPr>
          <w:rFonts w:ascii="Calibri" w:hAnsi="Calibri" w:cs="Calibri"/>
        </w:rPr>
      </w:pPr>
      <w:r w:rsidRPr="005734B8">
        <w:rPr>
          <w:rFonts w:ascii="Calibri" w:hAnsi="Calibri" w:cs="Calibri"/>
        </w:rPr>
        <w:t>The number of standard claims decreased from 843 in 2019–20 to 773 in 2020–21. This reduction represented a decrease per staff member from 1.21 claims per 100 FTE in 2019–20 to 1.06 claims per 100 FTE in 2020–21</w:t>
      </w:r>
      <w:r w:rsidR="004A7C18" w:rsidRPr="005734B8">
        <w:rPr>
          <w:rFonts w:ascii="Calibri" w:hAnsi="Calibri" w:cs="Calibri"/>
        </w:rPr>
        <w:t xml:space="preserve">. </w:t>
      </w:r>
    </w:p>
    <w:p w14:paraId="415652BA" w14:textId="77777777" w:rsidR="00B33079" w:rsidRPr="005734B8" w:rsidRDefault="00B33079">
      <w:pPr>
        <w:rPr>
          <w:rFonts w:ascii="Calibri" w:eastAsiaTheme="minorEastAsia" w:hAnsi="Calibri" w:cs="Calibri"/>
          <w:b/>
          <w:color w:val="AF272F" w:themeColor="accent4"/>
          <w:sz w:val="20"/>
          <w:szCs w:val="18"/>
          <w:lang w:val="en-AU"/>
        </w:rPr>
      </w:pPr>
      <w:r w:rsidRPr="005734B8">
        <w:rPr>
          <w:rFonts w:ascii="Calibri" w:hAnsi="Calibri" w:cs="Calibri"/>
          <w:lang w:val="en-AU"/>
        </w:rPr>
        <w:br w:type="page"/>
      </w:r>
    </w:p>
    <w:p w14:paraId="32156085" w14:textId="77EC5A6F" w:rsidR="004A7C18" w:rsidRPr="005734B8" w:rsidRDefault="004A7C18" w:rsidP="004A7C18">
      <w:pPr>
        <w:pStyle w:val="ESTableintroheading"/>
        <w:keepNext w:val="0"/>
        <w:rPr>
          <w:rFonts w:ascii="Calibri" w:hAnsi="Calibri" w:cs="Calibri"/>
          <w:lang w:val="en-AU"/>
        </w:rPr>
      </w:pPr>
      <w:r w:rsidRPr="005734B8">
        <w:rPr>
          <w:rFonts w:ascii="Calibri" w:hAnsi="Calibri" w:cs="Calibri"/>
          <w:lang w:val="en-AU"/>
        </w:rPr>
        <w:lastRenderedPageBreak/>
        <w:t xml:space="preserve">Number of </w:t>
      </w:r>
      <w:r w:rsidRPr="005734B8">
        <w:rPr>
          <w:rFonts w:ascii="Calibri" w:hAnsi="Calibri" w:cs="Calibri"/>
        </w:rPr>
        <w:t>standard claims and rate per 100 FTE: 2018–19 to 2020–21</w:t>
      </w:r>
    </w:p>
    <w:p w14:paraId="7924AB39" w14:textId="6E7D30AA" w:rsidR="004A7C18" w:rsidRPr="005734B8" w:rsidRDefault="00B31B21" w:rsidP="004A7C18">
      <w:pPr>
        <w:pStyle w:val="ESTableintroheading"/>
        <w:keepNext w:val="0"/>
        <w:rPr>
          <w:rFonts w:ascii="Calibri" w:hAnsi="Calibri" w:cs="Calibri"/>
          <w:highlight w:val="yellow"/>
          <w:lang w:val="en-AU"/>
        </w:rPr>
      </w:pPr>
      <w:r w:rsidRPr="005734B8">
        <w:rPr>
          <w:rFonts w:ascii="Calibri" w:hAnsi="Calibri" w:cs="Calibri"/>
          <w:noProof/>
        </w:rPr>
        <w:drawing>
          <wp:inline distT="0" distB="0" distL="0" distR="0" wp14:anchorId="53C0D0B5" wp14:editId="2CCCAAE5">
            <wp:extent cx="5036185" cy="2658745"/>
            <wp:effectExtent l="0" t="0" r="0" b="8255"/>
            <wp:docPr id="4" name="Chart 4">
              <a:extLst xmlns:a="http://schemas.openxmlformats.org/drawingml/2006/main">
                <a:ext uri="{FF2B5EF4-FFF2-40B4-BE49-F238E27FC236}">
                  <a16:creationId xmlns:a16="http://schemas.microsoft.com/office/drawing/2014/main" id="{1F05B0A7-1CCE-458E-BBFF-3C32E96727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2EB21A8" w14:textId="49EDB93C" w:rsidR="006411A9" w:rsidRPr="005734B8" w:rsidRDefault="00B31B21">
      <w:pPr>
        <w:rPr>
          <w:rFonts w:ascii="Calibri" w:hAnsi="Calibri" w:cs="Calibri"/>
        </w:rPr>
      </w:pPr>
      <w:r w:rsidRPr="005734B8">
        <w:rPr>
          <w:rFonts w:ascii="Calibri" w:hAnsi="Calibri" w:cs="Calibri"/>
        </w:rPr>
        <w:t>This reduction can in part be associated with the COVID-19 pandemic</w:t>
      </w:r>
      <w:r w:rsidR="00B25C85" w:rsidRPr="005734B8">
        <w:rPr>
          <w:rFonts w:ascii="Calibri" w:hAnsi="Calibri" w:cs="Calibri"/>
        </w:rPr>
        <w:t>,</w:t>
      </w:r>
      <w:r w:rsidRPr="005734B8">
        <w:rPr>
          <w:rFonts w:ascii="Calibri" w:hAnsi="Calibri" w:cs="Calibri"/>
        </w:rPr>
        <w:t xml:space="preserve"> when school and VPS staff worked remotely</w:t>
      </w:r>
      <w:r w:rsidR="004A7C18" w:rsidRPr="005734B8">
        <w:rPr>
          <w:rFonts w:ascii="Calibri" w:hAnsi="Calibri" w:cs="Calibri"/>
        </w:rPr>
        <w:t>.</w:t>
      </w:r>
    </w:p>
    <w:p w14:paraId="00D73DBE" w14:textId="67B1560B" w:rsidR="00621EB9" w:rsidRPr="005734B8" w:rsidRDefault="00621EB9" w:rsidP="00621EB9">
      <w:pPr>
        <w:pStyle w:val="ESTableintroheading"/>
        <w:keepNext w:val="0"/>
        <w:rPr>
          <w:rFonts w:ascii="Calibri" w:hAnsi="Calibri" w:cs="Calibri"/>
          <w:lang w:val="en-AU"/>
        </w:rPr>
      </w:pPr>
      <w:r w:rsidRPr="005734B8">
        <w:rPr>
          <w:rFonts w:ascii="Calibri" w:hAnsi="Calibri" w:cs="Calibri"/>
          <w:lang w:val="en-AU"/>
        </w:rPr>
        <w:t xml:space="preserve">Lost time claims and rate per 100 FTE: </w:t>
      </w:r>
      <w:r w:rsidRPr="005734B8">
        <w:rPr>
          <w:rFonts w:ascii="Calibri" w:hAnsi="Calibri" w:cs="Calibri"/>
        </w:rPr>
        <w:t>2018–19 to 2020–21</w:t>
      </w:r>
    </w:p>
    <w:p w14:paraId="5C683FD8" w14:textId="388676A4" w:rsidR="00621EB9" w:rsidRPr="005734B8" w:rsidRDefault="00B31B21" w:rsidP="00621EB9">
      <w:pPr>
        <w:pStyle w:val="ESTableintroheading"/>
        <w:keepNext w:val="0"/>
        <w:rPr>
          <w:rFonts w:ascii="Calibri" w:eastAsiaTheme="minorHAnsi" w:hAnsi="Calibri" w:cs="Calibri"/>
          <w:b w:val="0"/>
          <w:color w:val="auto"/>
          <w:sz w:val="22"/>
          <w:szCs w:val="24"/>
          <w:highlight w:val="yellow"/>
          <w:lang w:val="en-AU"/>
        </w:rPr>
      </w:pPr>
      <w:r w:rsidRPr="005734B8">
        <w:rPr>
          <w:rFonts w:ascii="Calibri" w:hAnsi="Calibri" w:cs="Calibri"/>
          <w:noProof/>
        </w:rPr>
        <w:drawing>
          <wp:inline distT="0" distB="0" distL="0" distR="0" wp14:anchorId="19824234" wp14:editId="42DD76B0">
            <wp:extent cx="5036185" cy="2675255"/>
            <wp:effectExtent l="0" t="0" r="0" b="0"/>
            <wp:docPr id="5" name="Chart 5">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E264858" w14:textId="7B93926C" w:rsidR="00896BCB" w:rsidRPr="005734B8" w:rsidRDefault="00783D89" w:rsidP="00646E82">
      <w:pPr>
        <w:tabs>
          <w:tab w:val="left" w:pos="7938"/>
        </w:tabs>
        <w:rPr>
          <w:rFonts w:ascii="Calibri" w:hAnsi="Calibri" w:cs="Calibri"/>
        </w:rPr>
      </w:pPr>
      <w:r w:rsidRPr="005734B8">
        <w:rPr>
          <w:rFonts w:ascii="Calibri" w:hAnsi="Calibri" w:cs="Calibri"/>
        </w:rPr>
        <w:t xml:space="preserve">The number of claims exceeding 13 weeks decreased to 212 claims in 2020–21 </w:t>
      </w:r>
      <w:r w:rsidR="00B25C85" w:rsidRPr="005734B8">
        <w:rPr>
          <w:rFonts w:ascii="Calibri" w:hAnsi="Calibri" w:cs="Calibri"/>
        </w:rPr>
        <w:t>from</w:t>
      </w:r>
      <w:r w:rsidRPr="005734B8">
        <w:rPr>
          <w:rFonts w:ascii="Calibri" w:hAnsi="Calibri" w:cs="Calibri"/>
        </w:rPr>
        <w:t xml:space="preserve"> 287 claims in 2019–20. This represented a decrease per staff </w:t>
      </w:r>
      <w:r w:rsidR="00B25C85" w:rsidRPr="005734B8">
        <w:rPr>
          <w:rFonts w:ascii="Calibri" w:hAnsi="Calibri" w:cs="Calibri"/>
        </w:rPr>
        <w:t xml:space="preserve">per 100 FTE </w:t>
      </w:r>
      <w:r w:rsidRPr="005734B8">
        <w:rPr>
          <w:rFonts w:ascii="Calibri" w:hAnsi="Calibri" w:cs="Calibri"/>
        </w:rPr>
        <w:t xml:space="preserve">0.41 claims exceeding 13 weeks in 2019–20 to 0.29 </w:t>
      </w:r>
      <w:r w:rsidR="00B25C85" w:rsidRPr="005734B8">
        <w:rPr>
          <w:rFonts w:ascii="Calibri" w:hAnsi="Calibri" w:cs="Calibri"/>
        </w:rPr>
        <w:t xml:space="preserve">per 100 FTE </w:t>
      </w:r>
      <w:r w:rsidRPr="005734B8">
        <w:rPr>
          <w:rFonts w:ascii="Calibri" w:hAnsi="Calibri" w:cs="Calibri"/>
        </w:rPr>
        <w:t>exceeding 13 weeks in 2020–21.</w:t>
      </w:r>
    </w:p>
    <w:p w14:paraId="6E8638A0" w14:textId="77777777" w:rsidR="00B33079" w:rsidRPr="005734B8" w:rsidRDefault="00B33079">
      <w:pPr>
        <w:rPr>
          <w:rFonts w:ascii="Calibri" w:eastAsiaTheme="minorEastAsia" w:hAnsi="Calibri" w:cs="Calibri"/>
          <w:b/>
          <w:color w:val="AF272F" w:themeColor="accent4"/>
          <w:sz w:val="20"/>
          <w:szCs w:val="18"/>
          <w:lang w:val="en-AU"/>
        </w:rPr>
      </w:pPr>
      <w:r w:rsidRPr="005734B8">
        <w:rPr>
          <w:rFonts w:ascii="Calibri" w:hAnsi="Calibri" w:cs="Calibri"/>
          <w:lang w:val="en-AU"/>
        </w:rPr>
        <w:br w:type="page"/>
      </w:r>
    </w:p>
    <w:p w14:paraId="391A53E3" w14:textId="3827EB9A" w:rsidR="00CE5EF1" w:rsidRPr="005734B8" w:rsidRDefault="00CE5EF1" w:rsidP="00CE5EF1">
      <w:pPr>
        <w:pStyle w:val="ESTableintroheading"/>
        <w:keepNext w:val="0"/>
        <w:rPr>
          <w:rFonts w:ascii="Calibri" w:hAnsi="Calibri" w:cs="Calibri"/>
          <w:lang w:val="en-AU"/>
        </w:rPr>
      </w:pPr>
      <w:r w:rsidRPr="005734B8">
        <w:rPr>
          <w:rFonts w:ascii="Calibri" w:hAnsi="Calibri" w:cs="Calibri"/>
          <w:lang w:val="en-AU"/>
        </w:rPr>
        <w:lastRenderedPageBreak/>
        <w:t>Claims exceeding 13 weeks</w:t>
      </w:r>
      <w:r w:rsidRPr="005734B8">
        <w:rPr>
          <w:rFonts w:ascii="Calibri" w:hAnsi="Calibri" w:cs="Calibri"/>
        </w:rPr>
        <w:t xml:space="preserve"> and rate per 100 FTE: 2018–19 to 2020–21</w:t>
      </w:r>
    </w:p>
    <w:p w14:paraId="4210EDA0" w14:textId="30A0696E" w:rsidR="00CE5EF1" w:rsidRPr="005734B8" w:rsidRDefault="00783D89" w:rsidP="00CE5EF1">
      <w:pPr>
        <w:pStyle w:val="ESTableintroheading"/>
        <w:keepNext w:val="0"/>
        <w:rPr>
          <w:rFonts w:ascii="Calibri" w:hAnsi="Calibri" w:cs="Calibri"/>
          <w:highlight w:val="yellow"/>
          <w:lang w:val="en-AU"/>
        </w:rPr>
      </w:pPr>
      <w:r w:rsidRPr="005734B8">
        <w:rPr>
          <w:rFonts w:ascii="Calibri" w:hAnsi="Calibri" w:cs="Calibri"/>
          <w:noProof/>
        </w:rPr>
        <w:drawing>
          <wp:inline distT="0" distB="0" distL="0" distR="0" wp14:anchorId="14F97F00" wp14:editId="2C400DE2">
            <wp:extent cx="5036185" cy="2666365"/>
            <wp:effectExtent l="0" t="0" r="0" b="635"/>
            <wp:docPr id="6" name="Chart 6">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89565B3" w14:textId="77777777" w:rsidR="00783D89" w:rsidRPr="005734B8" w:rsidRDefault="00783D89" w:rsidP="00783D89">
      <w:pPr>
        <w:rPr>
          <w:rFonts w:ascii="Calibri" w:hAnsi="Calibri" w:cs="Calibri"/>
        </w:rPr>
      </w:pPr>
      <w:r w:rsidRPr="005734B8">
        <w:rPr>
          <w:rFonts w:ascii="Calibri" w:hAnsi="Calibri" w:cs="Calibri"/>
        </w:rPr>
        <w:t>The Department’s workers’ compensation premium is a function of the premium rate as calculated by WorkSafe and the Department’s remuneration. Further, the Department’s premium rate is determined by adjusting the industry’s premium rate with the Employer Performance Rating (EPR). The EPR is a measure of the Department’s claims cost relative to the industry’s claims costs.</w:t>
      </w:r>
    </w:p>
    <w:p w14:paraId="466B734C" w14:textId="77777777" w:rsidR="00783D89" w:rsidRPr="005734B8" w:rsidRDefault="00783D89" w:rsidP="00783D89">
      <w:pPr>
        <w:rPr>
          <w:rFonts w:ascii="Calibri" w:hAnsi="Calibri" w:cs="Calibri"/>
        </w:rPr>
      </w:pPr>
    </w:p>
    <w:p w14:paraId="61BE460C" w14:textId="21D2331B" w:rsidR="00CE5EF1" w:rsidRPr="005734B8" w:rsidRDefault="00783D89" w:rsidP="00CE5EF1">
      <w:pPr>
        <w:rPr>
          <w:rFonts w:ascii="Calibri" w:hAnsi="Calibri" w:cs="Calibri"/>
        </w:rPr>
      </w:pPr>
      <w:r w:rsidRPr="005734B8">
        <w:rPr>
          <w:rFonts w:ascii="Calibri" w:hAnsi="Calibri" w:cs="Calibri"/>
        </w:rPr>
        <w:t>The Department’s premium increased from $80.7 million (excluding goods and services tax (GST)) in 2019–20 to $97.7 million (excluding GST) in 2020–21. This increase was the net effect of an increase in the Department’s remuneration and an increase in industry rate from 1.23 per cent in 2019–20 to 1.41 per cent in 2020–21. The increase in the Department’s premium rate was driven by an increase in the industry’s premium rate from 1.13 per cent in 2019–20 to 1.27 per cent in 2020–21</w:t>
      </w:r>
      <w:r w:rsidR="00CE5EF1" w:rsidRPr="005734B8">
        <w:rPr>
          <w:rFonts w:ascii="Calibri" w:hAnsi="Calibri" w:cs="Calibri"/>
        </w:rPr>
        <w:t>.</w:t>
      </w:r>
    </w:p>
    <w:p w14:paraId="02AD05F2" w14:textId="77777777" w:rsidR="00CE5EF1" w:rsidRPr="005734B8" w:rsidRDefault="00CE5EF1" w:rsidP="00CE5EF1">
      <w:pPr>
        <w:pStyle w:val="ESTableintroheading"/>
        <w:keepNext w:val="0"/>
        <w:rPr>
          <w:rFonts w:ascii="Calibri" w:hAnsi="Calibri" w:cs="Calibri"/>
          <w:lang w:val="en-AU"/>
        </w:rPr>
      </w:pPr>
      <w:r w:rsidRPr="005734B8">
        <w:rPr>
          <w:rFonts w:ascii="Calibri" w:hAnsi="Calibri" w:cs="Calibri"/>
          <w:lang w:val="en-AU"/>
        </w:rPr>
        <w:t>Premium rate:</w:t>
      </w:r>
      <w:r w:rsidRPr="005734B8">
        <w:rPr>
          <w:rFonts w:ascii="Calibri" w:hAnsi="Calibri" w:cs="Calibri"/>
        </w:rPr>
        <w:t xml:space="preserve"> 2018–19 to 2020–21</w:t>
      </w:r>
    </w:p>
    <w:p w14:paraId="42C9C518" w14:textId="77777777" w:rsidR="00CE5EF1" w:rsidRPr="005734B8" w:rsidRDefault="00CE5EF1" w:rsidP="00CE5EF1">
      <w:pPr>
        <w:pStyle w:val="ESTableintroheading"/>
        <w:keepNext w:val="0"/>
        <w:rPr>
          <w:rFonts w:ascii="Calibri" w:hAnsi="Calibri" w:cs="Calibri"/>
          <w:highlight w:val="yellow"/>
          <w:lang w:val="en-AU"/>
        </w:rPr>
      </w:pPr>
      <w:r w:rsidRPr="005734B8">
        <w:rPr>
          <w:rFonts w:ascii="Calibri" w:hAnsi="Calibri" w:cs="Calibri"/>
          <w:noProof/>
          <w:highlight w:val="yellow"/>
          <w:lang w:val="en-AU"/>
        </w:rPr>
        <w:drawing>
          <wp:inline distT="0" distB="0" distL="0" distR="0" wp14:anchorId="156CF4EE" wp14:editId="0FFD1C8A">
            <wp:extent cx="5020573" cy="267579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8373" cy="2685278"/>
                    </a:xfrm>
                    <a:prstGeom prst="rect">
                      <a:avLst/>
                    </a:prstGeom>
                    <a:noFill/>
                  </pic:spPr>
                </pic:pic>
              </a:graphicData>
            </a:graphic>
          </wp:inline>
        </w:drawing>
      </w:r>
    </w:p>
    <w:p w14:paraId="519AFBB1" w14:textId="77777777" w:rsidR="00CE5EF1" w:rsidRPr="005734B8" w:rsidRDefault="00CE5EF1" w:rsidP="00CE5EF1">
      <w:pPr>
        <w:rPr>
          <w:rFonts w:ascii="Calibri" w:hAnsi="Calibri" w:cs="Calibri"/>
          <w:highlight w:val="yellow"/>
        </w:rPr>
      </w:pPr>
    </w:p>
    <w:p w14:paraId="56C6487A" w14:textId="77777777" w:rsidR="00B25C85" w:rsidRPr="005734B8" w:rsidRDefault="00B25C85">
      <w:pPr>
        <w:rPr>
          <w:rFonts w:ascii="Calibri" w:hAnsi="Calibri" w:cs="Calibri"/>
        </w:rPr>
      </w:pPr>
      <w:r w:rsidRPr="005734B8">
        <w:rPr>
          <w:rFonts w:ascii="Calibri" w:hAnsi="Calibri" w:cs="Calibri"/>
        </w:rPr>
        <w:br w:type="page"/>
      </w:r>
    </w:p>
    <w:p w14:paraId="41B69B34" w14:textId="14F359BC" w:rsidR="00CE5EF1" w:rsidRPr="005734B8" w:rsidRDefault="00502FFA" w:rsidP="00CE5EF1">
      <w:pPr>
        <w:rPr>
          <w:rFonts w:ascii="Calibri" w:hAnsi="Calibri" w:cs="Calibri"/>
        </w:rPr>
      </w:pPr>
      <w:r w:rsidRPr="005734B8">
        <w:rPr>
          <w:rFonts w:ascii="Calibri" w:hAnsi="Calibri" w:cs="Calibri"/>
        </w:rPr>
        <w:lastRenderedPageBreak/>
        <w:t xml:space="preserve">The Department’s EPR reflects the employer’s claims experience compared </w:t>
      </w:r>
      <w:r w:rsidR="00B25C85" w:rsidRPr="005734B8">
        <w:rPr>
          <w:rFonts w:ascii="Calibri" w:hAnsi="Calibri" w:cs="Calibri"/>
        </w:rPr>
        <w:t>with</w:t>
      </w:r>
      <w:r w:rsidRPr="005734B8">
        <w:rPr>
          <w:rFonts w:ascii="Calibri" w:hAnsi="Calibri" w:cs="Calibri"/>
        </w:rPr>
        <w:t xml:space="preserve"> employers across the industry. An EPR greater than one reflects a higher claim costs experience when compared to the employer’s industry. The EPR has increased from 1.082 in 2019–20 to 1.114 in 2020–21</w:t>
      </w:r>
      <w:r w:rsidR="00CE5EF1" w:rsidRPr="005734B8">
        <w:rPr>
          <w:rFonts w:ascii="Calibri" w:hAnsi="Calibri" w:cs="Calibri"/>
        </w:rPr>
        <w:t>.</w:t>
      </w:r>
    </w:p>
    <w:p w14:paraId="06354E8B" w14:textId="77777777" w:rsidR="00CE5EF1" w:rsidRPr="005734B8" w:rsidRDefault="00CE5EF1" w:rsidP="00CE5EF1">
      <w:pPr>
        <w:pStyle w:val="ESTableintroheading"/>
        <w:keepNext w:val="0"/>
        <w:rPr>
          <w:rFonts w:ascii="Calibri" w:hAnsi="Calibri" w:cs="Calibri"/>
          <w:lang w:val="en-AU"/>
        </w:rPr>
      </w:pPr>
      <w:r w:rsidRPr="005734B8">
        <w:rPr>
          <w:rFonts w:ascii="Calibri" w:hAnsi="Calibri" w:cs="Calibri"/>
          <w:lang w:val="en-AU"/>
        </w:rPr>
        <w:t>Employer performance:</w:t>
      </w:r>
      <w:r w:rsidRPr="005734B8">
        <w:rPr>
          <w:rFonts w:ascii="Calibri" w:hAnsi="Calibri" w:cs="Calibri"/>
        </w:rPr>
        <w:t xml:space="preserve"> 2018–19 to 2020–21</w:t>
      </w:r>
    </w:p>
    <w:p w14:paraId="1B7F59E7" w14:textId="055BBBE4" w:rsidR="00CE5EF1" w:rsidRPr="005734B8" w:rsidRDefault="00CE5EF1" w:rsidP="00CE5EF1">
      <w:pPr>
        <w:pStyle w:val="ESTableintroheading"/>
        <w:keepNext w:val="0"/>
        <w:rPr>
          <w:rFonts w:ascii="Calibri" w:hAnsi="Calibri" w:cs="Calibri"/>
          <w:highlight w:val="yellow"/>
          <w:lang w:val="en-AU"/>
        </w:rPr>
      </w:pPr>
      <w:r w:rsidRPr="005734B8">
        <w:rPr>
          <w:rFonts w:ascii="Calibri" w:hAnsi="Calibri" w:cs="Calibri"/>
          <w:noProof/>
          <w:lang w:val="en-AU"/>
        </w:rPr>
        <w:drawing>
          <wp:inline distT="0" distB="0" distL="0" distR="0" wp14:anchorId="5CF16A18" wp14:editId="347FF981">
            <wp:extent cx="5020573" cy="2665856"/>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4363" cy="2673178"/>
                    </a:xfrm>
                    <a:prstGeom prst="rect">
                      <a:avLst/>
                    </a:prstGeom>
                    <a:noFill/>
                  </pic:spPr>
                </pic:pic>
              </a:graphicData>
            </a:graphic>
          </wp:inline>
        </w:drawing>
      </w:r>
    </w:p>
    <w:p w14:paraId="5752DC10" w14:textId="77777777" w:rsidR="009A078C" w:rsidRPr="005734B8" w:rsidRDefault="009A078C">
      <w:pPr>
        <w:rPr>
          <w:rFonts w:ascii="Calibri" w:eastAsiaTheme="minorEastAsia" w:hAnsi="Calibri" w:cs="Calibri"/>
          <w:b/>
          <w:color w:val="AF272F" w:themeColor="accent4"/>
          <w:sz w:val="20"/>
          <w:szCs w:val="18"/>
          <w:highlight w:val="yellow"/>
          <w:lang w:val="en-US"/>
        </w:rPr>
      </w:pPr>
      <w:r w:rsidRPr="005734B8">
        <w:rPr>
          <w:rFonts w:ascii="Calibri" w:hAnsi="Calibri" w:cs="Calibri"/>
          <w:highlight w:val="yellow"/>
        </w:rPr>
        <w:br w:type="page"/>
      </w:r>
    </w:p>
    <w:p w14:paraId="4E0CF573" w14:textId="57D083E6" w:rsidR="001D6E3A" w:rsidRPr="005734B8" w:rsidRDefault="001D6E3A" w:rsidP="001D6E3A">
      <w:pPr>
        <w:pStyle w:val="ESTableintroheading"/>
        <w:keepNext w:val="0"/>
        <w:rPr>
          <w:rFonts w:ascii="Calibri" w:hAnsi="Calibri" w:cs="Calibri"/>
        </w:rPr>
      </w:pPr>
      <w:r w:rsidRPr="005734B8">
        <w:rPr>
          <w:rFonts w:ascii="Calibri" w:hAnsi="Calibri" w:cs="Calibri"/>
        </w:rPr>
        <w:lastRenderedPageBreak/>
        <w:t xml:space="preserve">Performance against </w:t>
      </w:r>
      <w:r w:rsidR="00F12C53" w:rsidRPr="005734B8">
        <w:rPr>
          <w:rFonts w:ascii="Calibri" w:hAnsi="Calibri" w:cs="Calibri"/>
        </w:rPr>
        <w:t>OHS</w:t>
      </w:r>
      <w:r w:rsidRPr="005734B8">
        <w:rPr>
          <w:rFonts w:ascii="Calibri" w:hAnsi="Calibri" w:cs="Calibri"/>
        </w:rPr>
        <w:t xml:space="preserve"> and workers’ compensation management measure</w:t>
      </w:r>
      <w:r w:rsidR="002579A7" w:rsidRPr="005734B8">
        <w:rPr>
          <w:rFonts w:ascii="Calibri" w:hAnsi="Calibri" w:cs="Calibri"/>
        </w:rPr>
        <w:t>s</w:t>
      </w:r>
    </w:p>
    <w:tbl>
      <w:tblPr>
        <w:tblStyle w:val="TableGrid"/>
        <w:tblW w:w="479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682"/>
        <w:gridCol w:w="2129"/>
        <w:gridCol w:w="1264"/>
        <w:gridCol w:w="1264"/>
        <w:gridCol w:w="1264"/>
      </w:tblGrid>
      <w:tr w:rsidR="00F900AD" w:rsidRPr="005734B8" w14:paraId="2BBC0E75" w14:textId="77777777" w:rsidTr="00502FFA">
        <w:trPr>
          <w:cantSplit/>
          <w:trHeight w:val="242"/>
          <w:tblHeader/>
        </w:trPr>
        <w:tc>
          <w:tcPr>
            <w:tcW w:w="1682" w:type="dxa"/>
            <w:tcBorders>
              <w:bottom w:val="single" w:sz="4" w:space="0" w:color="FFFFFF" w:themeColor="background1"/>
            </w:tcBorders>
            <w:shd w:val="clear" w:color="auto" w:fill="AF272F" w:themeFill="accent4"/>
          </w:tcPr>
          <w:p w14:paraId="72EA3F97" w14:textId="77777777" w:rsidR="00F900AD" w:rsidRPr="005734B8" w:rsidRDefault="00F900AD" w:rsidP="004660D6">
            <w:pPr>
              <w:pStyle w:val="ESTableheadingwhite"/>
              <w:rPr>
                <w:rFonts w:ascii="Calibri" w:hAnsi="Calibri" w:cs="Calibri"/>
                <w:sz w:val="18"/>
              </w:rPr>
            </w:pPr>
            <w:r w:rsidRPr="005734B8">
              <w:rPr>
                <w:rFonts w:ascii="Calibri" w:hAnsi="Calibri" w:cs="Calibri"/>
                <w:sz w:val="18"/>
              </w:rPr>
              <w:t>Measure</w:t>
            </w:r>
          </w:p>
        </w:tc>
        <w:tc>
          <w:tcPr>
            <w:tcW w:w="2129" w:type="dxa"/>
            <w:tcBorders>
              <w:bottom w:val="single" w:sz="4" w:space="0" w:color="FFFFFF" w:themeColor="background1"/>
            </w:tcBorders>
            <w:shd w:val="clear" w:color="auto" w:fill="AF272F" w:themeFill="accent4"/>
          </w:tcPr>
          <w:p w14:paraId="1F968350" w14:textId="77777777" w:rsidR="00F900AD" w:rsidRPr="005734B8" w:rsidRDefault="00F900AD" w:rsidP="004660D6">
            <w:pPr>
              <w:pStyle w:val="ESTableheadingwhite"/>
              <w:rPr>
                <w:rFonts w:ascii="Calibri" w:hAnsi="Calibri" w:cs="Calibri"/>
                <w:sz w:val="18"/>
              </w:rPr>
            </w:pPr>
            <w:r w:rsidRPr="005734B8">
              <w:rPr>
                <w:rFonts w:ascii="Calibri" w:hAnsi="Calibri" w:cs="Calibri"/>
                <w:sz w:val="18"/>
              </w:rPr>
              <w:t>Key performance indicator</w:t>
            </w:r>
          </w:p>
        </w:tc>
        <w:tc>
          <w:tcPr>
            <w:tcW w:w="1264" w:type="dxa"/>
            <w:tcBorders>
              <w:bottom w:val="single" w:sz="4" w:space="0" w:color="FFFFFF" w:themeColor="background1"/>
            </w:tcBorders>
            <w:shd w:val="clear" w:color="auto" w:fill="AF272F" w:themeFill="accent4"/>
          </w:tcPr>
          <w:p w14:paraId="6C38467D" w14:textId="77777777" w:rsidR="00F900AD" w:rsidRPr="005734B8" w:rsidRDefault="00F900AD" w:rsidP="004660D6">
            <w:pPr>
              <w:pStyle w:val="ESTableheadingwhite"/>
              <w:jc w:val="right"/>
              <w:rPr>
                <w:rFonts w:ascii="Calibri" w:hAnsi="Calibri" w:cs="Calibri"/>
                <w:sz w:val="18"/>
              </w:rPr>
            </w:pPr>
            <w:r w:rsidRPr="005734B8">
              <w:rPr>
                <w:rFonts w:ascii="Calibri" w:hAnsi="Calibri" w:cs="Calibri"/>
                <w:sz w:val="18"/>
              </w:rPr>
              <w:t xml:space="preserve">2018–19 </w:t>
            </w:r>
          </w:p>
        </w:tc>
        <w:tc>
          <w:tcPr>
            <w:tcW w:w="1264" w:type="dxa"/>
            <w:tcBorders>
              <w:bottom w:val="single" w:sz="4" w:space="0" w:color="FFFFFF" w:themeColor="background1"/>
            </w:tcBorders>
            <w:shd w:val="clear" w:color="auto" w:fill="AF272F" w:themeFill="accent4"/>
          </w:tcPr>
          <w:p w14:paraId="45F50C9D" w14:textId="77777777" w:rsidR="00F900AD" w:rsidRPr="005734B8" w:rsidRDefault="00F900AD" w:rsidP="004660D6">
            <w:pPr>
              <w:pStyle w:val="ESTableheadingwhite"/>
              <w:jc w:val="right"/>
              <w:rPr>
                <w:rFonts w:ascii="Calibri" w:hAnsi="Calibri" w:cs="Calibri"/>
                <w:sz w:val="18"/>
              </w:rPr>
            </w:pPr>
            <w:r w:rsidRPr="005734B8">
              <w:rPr>
                <w:rFonts w:ascii="Calibri" w:hAnsi="Calibri" w:cs="Calibri"/>
                <w:sz w:val="18"/>
              </w:rPr>
              <w:t xml:space="preserve">2019–20 </w:t>
            </w:r>
          </w:p>
        </w:tc>
        <w:tc>
          <w:tcPr>
            <w:tcW w:w="1264" w:type="dxa"/>
            <w:tcBorders>
              <w:bottom w:val="single" w:sz="4" w:space="0" w:color="FFFFFF" w:themeColor="background1"/>
            </w:tcBorders>
            <w:shd w:val="clear" w:color="auto" w:fill="AF272F" w:themeFill="accent4"/>
          </w:tcPr>
          <w:p w14:paraId="64F1CFC1" w14:textId="77777777" w:rsidR="00F900AD" w:rsidRPr="005734B8" w:rsidRDefault="00F900AD" w:rsidP="004660D6">
            <w:pPr>
              <w:pStyle w:val="ESTableheadingwhite"/>
              <w:jc w:val="right"/>
              <w:rPr>
                <w:rFonts w:ascii="Calibri" w:hAnsi="Calibri" w:cs="Calibri"/>
                <w:sz w:val="18"/>
              </w:rPr>
            </w:pPr>
            <w:r w:rsidRPr="005734B8">
              <w:rPr>
                <w:rFonts w:ascii="Calibri" w:hAnsi="Calibri" w:cs="Calibri"/>
                <w:sz w:val="18"/>
              </w:rPr>
              <w:t xml:space="preserve">2020–21 </w:t>
            </w:r>
          </w:p>
        </w:tc>
      </w:tr>
      <w:tr w:rsidR="00F900AD" w:rsidRPr="005734B8" w14:paraId="6E7C0466" w14:textId="77777777" w:rsidTr="00502FFA">
        <w:trPr>
          <w:cantSplit/>
          <w:trHeight w:val="335"/>
        </w:trPr>
        <w:tc>
          <w:tcPr>
            <w:tcW w:w="1682" w:type="dxa"/>
            <w:tcBorders>
              <w:top w:val="single" w:sz="4" w:space="0" w:color="53565A" w:themeColor="accent5"/>
              <w:bottom w:val="nil"/>
            </w:tcBorders>
            <w:shd w:val="clear" w:color="auto" w:fill="auto"/>
          </w:tcPr>
          <w:p w14:paraId="68837532" w14:textId="18C3185F" w:rsidR="00F900AD" w:rsidRPr="005734B8" w:rsidRDefault="00F900AD" w:rsidP="004660D6">
            <w:pPr>
              <w:pStyle w:val="ESTablebody"/>
              <w:rPr>
                <w:rFonts w:ascii="Calibri" w:hAnsi="Calibri" w:cs="Calibri"/>
                <w:sz w:val="18"/>
              </w:rPr>
            </w:pPr>
            <w:r w:rsidRPr="005734B8">
              <w:rPr>
                <w:rFonts w:ascii="Calibri" w:hAnsi="Calibri" w:cs="Calibri"/>
                <w:sz w:val="18"/>
              </w:rPr>
              <w:t>Incidents</w:t>
            </w:r>
          </w:p>
        </w:tc>
        <w:tc>
          <w:tcPr>
            <w:tcW w:w="2129" w:type="dxa"/>
            <w:tcBorders>
              <w:top w:val="single" w:sz="4" w:space="0" w:color="53565A" w:themeColor="accent5"/>
              <w:bottom w:val="nil"/>
            </w:tcBorders>
          </w:tcPr>
          <w:p w14:paraId="1633DF13" w14:textId="77777777" w:rsidR="00F900AD" w:rsidRPr="005734B8" w:rsidRDefault="00F900AD" w:rsidP="004660D6">
            <w:pPr>
              <w:pStyle w:val="ESTablenumberrightaligned"/>
              <w:jc w:val="left"/>
              <w:rPr>
                <w:rFonts w:ascii="Calibri" w:hAnsi="Calibri" w:cs="Calibri"/>
                <w:sz w:val="18"/>
              </w:rPr>
            </w:pPr>
            <w:r w:rsidRPr="005734B8">
              <w:rPr>
                <w:rFonts w:ascii="Calibri" w:hAnsi="Calibri" w:cs="Calibri"/>
                <w:sz w:val="18"/>
              </w:rPr>
              <w:t>Number of incidents</w:t>
            </w:r>
          </w:p>
        </w:tc>
        <w:tc>
          <w:tcPr>
            <w:tcW w:w="1264" w:type="dxa"/>
            <w:tcBorders>
              <w:top w:val="single" w:sz="4" w:space="0" w:color="53565A" w:themeColor="accent5"/>
              <w:bottom w:val="nil"/>
            </w:tcBorders>
            <w:vAlign w:val="center"/>
          </w:tcPr>
          <w:p w14:paraId="5F01A28F" w14:textId="77777777" w:rsidR="00F900AD" w:rsidRPr="005734B8" w:rsidRDefault="00F900AD" w:rsidP="004660D6">
            <w:pPr>
              <w:pStyle w:val="ESTablenumberrightaligned"/>
              <w:rPr>
                <w:rFonts w:ascii="Calibri" w:hAnsi="Calibri" w:cs="Calibri"/>
                <w:sz w:val="18"/>
              </w:rPr>
            </w:pPr>
            <w:r w:rsidRPr="005734B8">
              <w:rPr>
                <w:rFonts w:ascii="Calibri" w:hAnsi="Calibri" w:cs="Calibri"/>
                <w:sz w:val="18"/>
              </w:rPr>
              <w:t>14,923</w:t>
            </w:r>
          </w:p>
        </w:tc>
        <w:tc>
          <w:tcPr>
            <w:tcW w:w="1264" w:type="dxa"/>
            <w:tcBorders>
              <w:top w:val="single" w:sz="4" w:space="0" w:color="53565A" w:themeColor="accent5"/>
              <w:bottom w:val="nil"/>
            </w:tcBorders>
            <w:vAlign w:val="center"/>
          </w:tcPr>
          <w:p w14:paraId="5CC62CCD" w14:textId="77777777" w:rsidR="00F900AD" w:rsidRPr="005734B8" w:rsidRDefault="00F900AD" w:rsidP="004660D6">
            <w:pPr>
              <w:pStyle w:val="ESTablenumberrightaligned"/>
              <w:rPr>
                <w:rFonts w:ascii="Calibri" w:hAnsi="Calibri" w:cs="Calibri"/>
                <w:sz w:val="18"/>
              </w:rPr>
            </w:pPr>
            <w:r w:rsidRPr="005734B8">
              <w:rPr>
                <w:rFonts w:ascii="Calibri" w:hAnsi="Calibri" w:cs="Calibri"/>
                <w:sz w:val="18"/>
              </w:rPr>
              <w:t>13,297</w:t>
            </w:r>
          </w:p>
        </w:tc>
        <w:tc>
          <w:tcPr>
            <w:tcW w:w="1264" w:type="dxa"/>
            <w:tcBorders>
              <w:top w:val="single" w:sz="4" w:space="0" w:color="53565A" w:themeColor="accent5"/>
              <w:bottom w:val="nil"/>
            </w:tcBorders>
            <w:shd w:val="clear" w:color="auto" w:fill="D9D9D6"/>
            <w:vAlign w:val="center"/>
          </w:tcPr>
          <w:p w14:paraId="39B1A10B" w14:textId="77777777" w:rsidR="00F900AD" w:rsidRPr="005734B8" w:rsidRDefault="00F900AD" w:rsidP="004660D6">
            <w:pPr>
              <w:pStyle w:val="ESTablenumberrightaligned"/>
              <w:rPr>
                <w:rFonts w:ascii="Calibri" w:hAnsi="Calibri" w:cs="Calibri"/>
                <w:sz w:val="18"/>
              </w:rPr>
            </w:pPr>
            <w:r w:rsidRPr="005734B8">
              <w:rPr>
                <w:rFonts w:ascii="Calibri" w:hAnsi="Calibri" w:cs="Calibri"/>
                <w:sz w:val="18"/>
              </w:rPr>
              <w:t>14,280</w:t>
            </w:r>
          </w:p>
        </w:tc>
      </w:tr>
      <w:tr w:rsidR="00F900AD" w:rsidRPr="005734B8" w14:paraId="08E813E6" w14:textId="77777777" w:rsidTr="00502FFA">
        <w:trPr>
          <w:cantSplit/>
        </w:trPr>
        <w:tc>
          <w:tcPr>
            <w:tcW w:w="1682" w:type="dxa"/>
            <w:tcBorders>
              <w:top w:val="nil"/>
              <w:bottom w:val="nil"/>
            </w:tcBorders>
            <w:shd w:val="clear" w:color="auto" w:fill="auto"/>
            <w:vAlign w:val="center"/>
          </w:tcPr>
          <w:p w14:paraId="26C1C25B" w14:textId="77777777" w:rsidR="00F900AD" w:rsidRPr="005734B8" w:rsidRDefault="00F900AD" w:rsidP="004660D6">
            <w:pPr>
              <w:pStyle w:val="ESTablebody"/>
              <w:rPr>
                <w:rFonts w:ascii="Calibri" w:hAnsi="Calibri" w:cs="Calibri"/>
                <w:sz w:val="18"/>
              </w:rPr>
            </w:pPr>
          </w:p>
        </w:tc>
        <w:tc>
          <w:tcPr>
            <w:tcW w:w="2129" w:type="dxa"/>
            <w:tcBorders>
              <w:top w:val="nil"/>
              <w:bottom w:val="nil"/>
            </w:tcBorders>
            <w:vAlign w:val="center"/>
          </w:tcPr>
          <w:p w14:paraId="7249D5ED" w14:textId="77777777" w:rsidR="00F900AD" w:rsidRPr="005734B8" w:rsidRDefault="00F900AD" w:rsidP="004660D6">
            <w:pPr>
              <w:pStyle w:val="ESTablenumberrightaligned"/>
              <w:jc w:val="left"/>
              <w:rPr>
                <w:rFonts w:ascii="Calibri" w:hAnsi="Calibri" w:cs="Calibri"/>
                <w:sz w:val="18"/>
              </w:rPr>
            </w:pPr>
            <w:r w:rsidRPr="005734B8">
              <w:rPr>
                <w:rFonts w:ascii="Calibri" w:hAnsi="Calibri" w:cs="Calibri"/>
                <w:sz w:val="18"/>
              </w:rPr>
              <w:t>Rate per 100 FTE</w:t>
            </w:r>
          </w:p>
        </w:tc>
        <w:tc>
          <w:tcPr>
            <w:tcW w:w="1264" w:type="dxa"/>
            <w:tcBorders>
              <w:top w:val="nil"/>
              <w:bottom w:val="nil"/>
            </w:tcBorders>
            <w:vAlign w:val="center"/>
          </w:tcPr>
          <w:p w14:paraId="15A0E022" w14:textId="77777777" w:rsidR="00F900AD" w:rsidRPr="005734B8" w:rsidRDefault="00F900AD" w:rsidP="004660D6">
            <w:pPr>
              <w:pStyle w:val="ESTablenumberrightaligned"/>
              <w:rPr>
                <w:rFonts w:ascii="Calibri" w:hAnsi="Calibri" w:cs="Calibri"/>
                <w:sz w:val="18"/>
              </w:rPr>
            </w:pPr>
            <w:r w:rsidRPr="005734B8">
              <w:rPr>
                <w:rFonts w:ascii="Calibri" w:hAnsi="Calibri" w:cs="Calibri"/>
                <w:sz w:val="18"/>
              </w:rPr>
              <w:t>21.90</w:t>
            </w:r>
          </w:p>
        </w:tc>
        <w:tc>
          <w:tcPr>
            <w:tcW w:w="1264" w:type="dxa"/>
            <w:tcBorders>
              <w:top w:val="nil"/>
              <w:bottom w:val="nil"/>
            </w:tcBorders>
            <w:vAlign w:val="center"/>
          </w:tcPr>
          <w:p w14:paraId="57C335B7" w14:textId="5367E594" w:rsidR="00F900AD" w:rsidRPr="005734B8" w:rsidRDefault="00F900AD" w:rsidP="004660D6">
            <w:pPr>
              <w:pStyle w:val="ESTablenumberrightaligned"/>
              <w:rPr>
                <w:rFonts w:ascii="Calibri" w:hAnsi="Calibri" w:cs="Calibri"/>
                <w:sz w:val="18"/>
              </w:rPr>
            </w:pPr>
            <w:r w:rsidRPr="005734B8">
              <w:rPr>
                <w:rFonts w:ascii="Calibri" w:hAnsi="Calibri" w:cs="Calibri"/>
                <w:sz w:val="18"/>
              </w:rPr>
              <w:t>19.01</w:t>
            </w:r>
          </w:p>
        </w:tc>
        <w:tc>
          <w:tcPr>
            <w:tcW w:w="1264" w:type="dxa"/>
            <w:tcBorders>
              <w:top w:val="nil"/>
              <w:bottom w:val="nil"/>
            </w:tcBorders>
            <w:shd w:val="clear" w:color="auto" w:fill="D9D9D6"/>
            <w:vAlign w:val="center"/>
          </w:tcPr>
          <w:p w14:paraId="76F0A49D" w14:textId="77777777" w:rsidR="00F900AD" w:rsidRPr="005734B8" w:rsidRDefault="00F900AD" w:rsidP="004660D6">
            <w:pPr>
              <w:pStyle w:val="ESTablenumberrightaligned"/>
              <w:rPr>
                <w:rFonts w:ascii="Calibri" w:hAnsi="Calibri" w:cs="Calibri"/>
                <w:sz w:val="18"/>
              </w:rPr>
            </w:pPr>
            <w:r w:rsidRPr="005734B8">
              <w:rPr>
                <w:rFonts w:ascii="Calibri" w:hAnsi="Calibri" w:cs="Calibri"/>
                <w:sz w:val="18"/>
              </w:rPr>
              <w:t>19.50</w:t>
            </w:r>
          </w:p>
        </w:tc>
      </w:tr>
      <w:tr w:rsidR="00F900AD" w:rsidRPr="005734B8" w14:paraId="7C0B5EDC" w14:textId="77777777" w:rsidTr="00502FFA">
        <w:trPr>
          <w:cantSplit/>
        </w:trPr>
        <w:tc>
          <w:tcPr>
            <w:tcW w:w="1682" w:type="dxa"/>
            <w:tcBorders>
              <w:top w:val="nil"/>
              <w:bottom w:val="single" w:sz="4" w:space="0" w:color="53565A" w:themeColor="accent5"/>
            </w:tcBorders>
            <w:shd w:val="clear" w:color="auto" w:fill="auto"/>
            <w:vAlign w:val="center"/>
          </w:tcPr>
          <w:p w14:paraId="4A501195" w14:textId="77777777" w:rsidR="00F900AD" w:rsidRPr="005734B8" w:rsidRDefault="00F900AD" w:rsidP="004660D6">
            <w:pPr>
              <w:pStyle w:val="ESTablenumberrightaligned"/>
              <w:rPr>
                <w:rFonts w:ascii="Calibri" w:hAnsi="Calibri" w:cs="Calibri"/>
                <w:sz w:val="18"/>
              </w:rPr>
            </w:pPr>
          </w:p>
        </w:tc>
        <w:tc>
          <w:tcPr>
            <w:tcW w:w="2129" w:type="dxa"/>
            <w:tcBorders>
              <w:top w:val="nil"/>
              <w:bottom w:val="single" w:sz="4" w:space="0" w:color="53565A" w:themeColor="accent5"/>
            </w:tcBorders>
            <w:vAlign w:val="center"/>
          </w:tcPr>
          <w:p w14:paraId="7CBF4F5A" w14:textId="77777777" w:rsidR="00F900AD" w:rsidRPr="005734B8" w:rsidRDefault="00F900AD" w:rsidP="004660D6">
            <w:pPr>
              <w:pStyle w:val="ESTablenumberrightaligned"/>
              <w:jc w:val="left"/>
              <w:rPr>
                <w:rFonts w:ascii="Calibri" w:hAnsi="Calibri" w:cs="Calibri"/>
                <w:sz w:val="18"/>
              </w:rPr>
            </w:pPr>
            <w:r w:rsidRPr="005734B8">
              <w:rPr>
                <w:rFonts w:ascii="Calibri" w:hAnsi="Calibri" w:cs="Calibri"/>
                <w:sz w:val="18"/>
              </w:rPr>
              <w:t>Number of incidents requiring first aid and/or medical treatment</w:t>
            </w:r>
          </w:p>
        </w:tc>
        <w:tc>
          <w:tcPr>
            <w:tcW w:w="1264" w:type="dxa"/>
            <w:tcBorders>
              <w:top w:val="nil"/>
              <w:bottom w:val="single" w:sz="4" w:space="0" w:color="53565A" w:themeColor="accent5"/>
            </w:tcBorders>
            <w:vAlign w:val="center"/>
          </w:tcPr>
          <w:p w14:paraId="525421CF" w14:textId="77777777" w:rsidR="00F900AD" w:rsidRPr="005734B8" w:rsidRDefault="00F900AD" w:rsidP="004660D6">
            <w:pPr>
              <w:pStyle w:val="ESTablenumberrightaligned"/>
              <w:rPr>
                <w:rFonts w:ascii="Calibri" w:hAnsi="Calibri" w:cs="Calibri"/>
                <w:sz w:val="18"/>
              </w:rPr>
            </w:pPr>
            <w:r w:rsidRPr="005734B8">
              <w:rPr>
                <w:rFonts w:ascii="Calibri" w:hAnsi="Calibri" w:cs="Calibri"/>
                <w:sz w:val="18"/>
              </w:rPr>
              <w:t>6,346</w:t>
            </w:r>
          </w:p>
        </w:tc>
        <w:tc>
          <w:tcPr>
            <w:tcW w:w="1264" w:type="dxa"/>
            <w:tcBorders>
              <w:top w:val="nil"/>
              <w:bottom w:val="single" w:sz="4" w:space="0" w:color="53565A" w:themeColor="accent5"/>
            </w:tcBorders>
            <w:vAlign w:val="center"/>
          </w:tcPr>
          <w:p w14:paraId="00A1F49E" w14:textId="77777777" w:rsidR="00F900AD" w:rsidRPr="005734B8" w:rsidRDefault="00F900AD" w:rsidP="004660D6">
            <w:pPr>
              <w:pStyle w:val="ESTablenumberrightaligned"/>
              <w:rPr>
                <w:rFonts w:ascii="Calibri" w:hAnsi="Calibri" w:cs="Calibri"/>
                <w:sz w:val="18"/>
              </w:rPr>
            </w:pPr>
            <w:r w:rsidRPr="005734B8">
              <w:rPr>
                <w:rFonts w:ascii="Calibri" w:hAnsi="Calibri" w:cs="Calibri"/>
                <w:sz w:val="18"/>
              </w:rPr>
              <w:t>5,190</w:t>
            </w:r>
          </w:p>
        </w:tc>
        <w:tc>
          <w:tcPr>
            <w:tcW w:w="1264" w:type="dxa"/>
            <w:tcBorders>
              <w:top w:val="nil"/>
              <w:bottom w:val="single" w:sz="4" w:space="0" w:color="53565A" w:themeColor="accent5"/>
            </w:tcBorders>
            <w:shd w:val="clear" w:color="auto" w:fill="D9D9D6"/>
            <w:vAlign w:val="center"/>
          </w:tcPr>
          <w:p w14:paraId="603212E2" w14:textId="77777777" w:rsidR="00F900AD" w:rsidRPr="005734B8" w:rsidRDefault="00F900AD" w:rsidP="004660D6">
            <w:pPr>
              <w:pStyle w:val="ESTablenumberrightaligned"/>
              <w:rPr>
                <w:rFonts w:ascii="Calibri" w:hAnsi="Calibri" w:cs="Calibri"/>
                <w:sz w:val="18"/>
              </w:rPr>
            </w:pPr>
            <w:r w:rsidRPr="005734B8">
              <w:rPr>
                <w:rFonts w:ascii="Calibri" w:hAnsi="Calibri" w:cs="Calibri"/>
                <w:sz w:val="18"/>
              </w:rPr>
              <w:t>4,886</w:t>
            </w:r>
          </w:p>
        </w:tc>
      </w:tr>
      <w:tr w:rsidR="00F900AD" w:rsidRPr="005734B8" w14:paraId="1DBDD875" w14:textId="77777777" w:rsidTr="00502FFA">
        <w:trPr>
          <w:cantSplit/>
        </w:trPr>
        <w:tc>
          <w:tcPr>
            <w:tcW w:w="1682" w:type="dxa"/>
            <w:tcBorders>
              <w:top w:val="nil"/>
              <w:bottom w:val="nil"/>
            </w:tcBorders>
            <w:shd w:val="clear" w:color="auto" w:fill="auto"/>
            <w:vAlign w:val="center"/>
          </w:tcPr>
          <w:p w14:paraId="5B4325C4" w14:textId="77777777" w:rsidR="00F900AD" w:rsidRPr="005734B8" w:rsidRDefault="00F900AD" w:rsidP="004660D6">
            <w:pPr>
              <w:pStyle w:val="ESTablebody"/>
              <w:rPr>
                <w:rFonts w:ascii="Calibri" w:hAnsi="Calibri" w:cs="Calibri"/>
                <w:sz w:val="18"/>
              </w:rPr>
            </w:pPr>
            <w:r w:rsidRPr="005734B8">
              <w:rPr>
                <w:rFonts w:ascii="Calibri" w:hAnsi="Calibri" w:cs="Calibri"/>
                <w:sz w:val="18"/>
              </w:rPr>
              <w:t>Hazards</w:t>
            </w:r>
          </w:p>
        </w:tc>
        <w:tc>
          <w:tcPr>
            <w:tcW w:w="2129" w:type="dxa"/>
            <w:tcBorders>
              <w:top w:val="nil"/>
              <w:bottom w:val="nil"/>
            </w:tcBorders>
            <w:vAlign w:val="center"/>
          </w:tcPr>
          <w:p w14:paraId="3A0CB62E" w14:textId="77777777" w:rsidR="00F900AD" w:rsidRPr="005734B8" w:rsidRDefault="00F900AD" w:rsidP="004660D6">
            <w:pPr>
              <w:pStyle w:val="ESTablenumberrightaligned"/>
              <w:jc w:val="left"/>
              <w:rPr>
                <w:rFonts w:ascii="Calibri" w:hAnsi="Calibri" w:cs="Calibri"/>
                <w:sz w:val="18"/>
              </w:rPr>
            </w:pPr>
            <w:r w:rsidRPr="005734B8">
              <w:rPr>
                <w:rFonts w:ascii="Calibri" w:hAnsi="Calibri" w:cs="Calibri"/>
                <w:sz w:val="18"/>
              </w:rPr>
              <w:t>Total number of hazards reported</w:t>
            </w:r>
          </w:p>
        </w:tc>
        <w:tc>
          <w:tcPr>
            <w:tcW w:w="1264" w:type="dxa"/>
            <w:tcBorders>
              <w:top w:val="nil"/>
              <w:bottom w:val="nil"/>
            </w:tcBorders>
            <w:vAlign w:val="center"/>
          </w:tcPr>
          <w:p w14:paraId="14B5E4B8" w14:textId="77777777" w:rsidR="00F900AD" w:rsidRPr="005734B8" w:rsidRDefault="00F900AD" w:rsidP="004660D6">
            <w:pPr>
              <w:pStyle w:val="ESTablenumberrightaligned"/>
              <w:rPr>
                <w:rFonts w:ascii="Calibri" w:hAnsi="Calibri" w:cs="Calibri"/>
                <w:sz w:val="18"/>
              </w:rPr>
            </w:pPr>
            <w:r w:rsidRPr="005734B8">
              <w:rPr>
                <w:rFonts w:ascii="Calibri" w:hAnsi="Calibri" w:cs="Calibri"/>
                <w:sz w:val="18"/>
              </w:rPr>
              <w:t>912</w:t>
            </w:r>
          </w:p>
        </w:tc>
        <w:tc>
          <w:tcPr>
            <w:tcW w:w="1264" w:type="dxa"/>
            <w:tcBorders>
              <w:top w:val="nil"/>
              <w:bottom w:val="nil"/>
            </w:tcBorders>
            <w:vAlign w:val="center"/>
          </w:tcPr>
          <w:p w14:paraId="211430CD" w14:textId="77777777" w:rsidR="00F900AD" w:rsidRPr="005734B8" w:rsidRDefault="00F900AD" w:rsidP="004660D6">
            <w:pPr>
              <w:pStyle w:val="ESTablenumberrightaligned"/>
              <w:rPr>
                <w:rFonts w:ascii="Calibri" w:hAnsi="Calibri" w:cs="Calibri"/>
                <w:sz w:val="18"/>
              </w:rPr>
            </w:pPr>
            <w:r w:rsidRPr="005734B8">
              <w:rPr>
                <w:rFonts w:ascii="Calibri" w:hAnsi="Calibri" w:cs="Calibri"/>
                <w:sz w:val="18"/>
              </w:rPr>
              <w:t>1,105</w:t>
            </w:r>
          </w:p>
        </w:tc>
        <w:tc>
          <w:tcPr>
            <w:tcW w:w="1264" w:type="dxa"/>
            <w:tcBorders>
              <w:top w:val="nil"/>
              <w:bottom w:val="nil"/>
            </w:tcBorders>
            <w:shd w:val="clear" w:color="auto" w:fill="D9D9D6"/>
            <w:vAlign w:val="center"/>
          </w:tcPr>
          <w:p w14:paraId="1EA0E6AA" w14:textId="77777777" w:rsidR="00F900AD" w:rsidRPr="005734B8" w:rsidRDefault="00F900AD" w:rsidP="004660D6">
            <w:pPr>
              <w:pStyle w:val="ESTablenumberrightaligned"/>
              <w:rPr>
                <w:rFonts w:ascii="Calibri" w:hAnsi="Calibri" w:cs="Calibri"/>
                <w:sz w:val="18"/>
              </w:rPr>
            </w:pPr>
            <w:r w:rsidRPr="005734B8">
              <w:rPr>
                <w:rFonts w:ascii="Calibri" w:hAnsi="Calibri" w:cs="Calibri"/>
                <w:sz w:val="18"/>
              </w:rPr>
              <w:t>1,354</w:t>
            </w:r>
          </w:p>
        </w:tc>
      </w:tr>
      <w:tr w:rsidR="00F900AD" w:rsidRPr="005734B8" w14:paraId="5343CD58" w14:textId="77777777" w:rsidTr="00502FFA">
        <w:trPr>
          <w:cantSplit/>
        </w:trPr>
        <w:tc>
          <w:tcPr>
            <w:tcW w:w="1682" w:type="dxa"/>
            <w:tcBorders>
              <w:top w:val="nil"/>
              <w:bottom w:val="single" w:sz="4" w:space="0" w:color="53565A" w:themeColor="accent5"/>
            </w:tcBorders>
            <w:shd w:val="clear" w:color="auto" w:fill="auto"/>
            <w:vAlign w:val="center"/>
          </w:tcPr>
          <w:p w14:paraId="1725CC09" w14:textId="77777777" w:rsidR="00F900AD" w:rsidRPr="005734B8" w:rsidRDefault="00F900AD" w:rsidP="004660D6">
            <w:pPr>
              <w:pStyle w:val="ESTablebody"/>
              <w:rPr>
                <w:rFonts w:ascii="Calibri" w:hAnsi="Calibri" w:cs="Calibri"/>
                <w:sz w:val="18"/>
              </w:rPr>
            </w:pPr>
          </w:p>
        </w:tc>
        <w:tc>
          <w:tcPr>
            <w:tcW w:w="2129" w:type="dxa"/>
            <w:tcBorders>
              <w:top w:val="nil"/>
              <w:bottom w:val="single" w:sz="4" w:space="0" w:color="53565A" w:themeColor="accent5"/>
            </w:tcBorders>
            <w:vAlign w:val="center"/>
          </w:tcPr>
          <w:p w14:paraId="20112C58" w14:textId="77777777" w:rsidR="00F900AD" w:rsidRPr="005734B8" w:rsidRDefault="00F900AD" w:rsidP="004660D6">
            <w:pPr>
              <w:pStyle w:val="ESTablenumberrightaligned"/>
              <w:jc w:val="left"/>
              <w:rPr>
                <w:rFonts w:ascii="Calibri" w:hAnsi="Calibri" w:cs="Calibri"/>
                <w:sz w:val="18"/>
              </w:rPr>
            </w:pPr>
            <w:r w:rsidRPr="005734B8">
              <w:rPr>
                <w:rFonts w:ascii="Calibri" w:hAnsi="Calibri" w:cs="Calibri"/>
                <w:sz w:val="18"/>
              </w:rPr>
              <w:t>Rate per 100 FTE</w:t>
            </w:r>
          </w:p>
        </w:tc>
        <w:tc>
          <w:tcPr>
            <w:tcW w:w="1264" w:type="dxa"/>
            <w:tcBorders>
              <w:top w:val="nil"/>
              <w:bottom w:val="single" w:sz="4" w:space="0" w:color="53565A" w:themeColor="accent5"/>
            </w:tcBorders>
            <w:vAlign w:val="center"/>
          </w:tcPr>
          <w:p w14:paraId="4DDEF2DA" w14:textId="77777777" w:rsidR="00F900AD" w:rsidRPr="005734B8" w:rsidRDefault="00F900AD" w:rsidP="004660D6">
            <w:pPr>
              <w:pStyle w:val="ESTablenumberrightaligned"/>
              <w:rPr>
                <w:rFonts w:ascii="Calibri" w:hAnsi="Calibri" w:cs="Calibri"/>
                <w:sz w:val="18"/>
              </w:rPr>
            </w:pPr>
            <w:r w:rsidRPr="005734B8">
              <w:rPr>
                <w:rFonts w:ascii="Calibri" w:hAnsi="Calibri" w:cs="Calibri"/>
                <w:sz w:val="18"/>
              </w:rPr>
              <w:t>1.34</w:t>
            </w:r>
          </w:p>
        </w:tc>
        <w:tc>
          <w:tcPr>
            <w:tcW w:w="1264" w:type="dxa"/>
            <w:tcBorders>
              <w:top w:val="nil"/>
              <w:bottom w:val="single" w:sz="4" w:space="0" w:color="53565A" w:themeColor="accent5"/>
            </w:tcBorders>
            <w:vAlign w:val="center"/>
          </w:tcPr>
          <w:p w14:paraId="7D176896" w14:textId="77777777" w:rsidR="00F900AD" w:rsidRPr="005734B8" w:rsidRDefault="00F900AD" w:rsidP="004660D6">
            <w:pPr>
              <w:pStyle w:val="ESTablenumberrightaligned"/>
              <w:rPr>
                <w:rFonts w:ascii="Calibri" w:hAnsi="Calibri" w:cs="Calibri"/>
                <w:sz w:val="18"/>
              </w:rPr>
            </w:pPr>
            <w:r w:rsidRPr="005734B8">
              <w:rPr>
                <w:rFonts w:ascii="Calibri" w:hAnsi="Calibri" w:cs="Calibri"/>
                <w:sz w:val="18"/>
              </w:rPr>
              <w:t>1.58</w:t>
            </w:r>
          </w:p>
        </w:tc>
        <w:tc>
          <w:tcPr>
            <w:tcW w:w="1264" w:type="dxa"/>
            <w:tcBorders>
              <w:top w:val="nil"/>
              <w:bottom w:val="single" w:sz="4" w:space="0" w:color="53565A" w:themeColor="accent5"/>
            </w:tcBorders>
            <w:shd w:val="clear" w:color="auto" w:fill="D9D9D6"/>
            <w:vAlign w:val="center"/>
          </w:tcPr>
          <w:p w14:paraId="06144911" w14:textId="77777777" w:rsidR="00F900AD" w:rsidRPr="005734B8" w:rsidRDefault="00F900AD" w:rsidP="004660D6">
            <w:pPr>
              <w:pStyle w:val="ESTablenumberrightaligned"/>
              <w:rPr>
                <w:rFonts w:ascii="Calibri" w:hAnsi="Calibri" w:cs="Calibri"/>
                <w:sz w:val="18"/>
              </w:rPr>
            </w:pPr>
            <w:r w:rsidRPr="005734B8">
              <w:rPr>
                <w:rFonts w:ascii="Calibri" w:hAnsi="Calibri" w:cs="Calibri"/>
                <w:sz w:val="18"/>
              </w:rPr>
              <w:t>1.85</w:t>
            </w:r>
          </w:p>
        </w:tc>
      </w:tr>
      <w:tr w:rsidR="00502FFA" w:rsidRPr="005734B8" w14:paraId="64AF4EBF" w14:textId="77777777" w:rsidTr="00502FFA">
        <w:trPr>
          <w:cantSplit/>
        </w:trPr>
        <w:tc>
          <w:tcPr>
            <w:tcW w:w="1682" w:type="dxa"/>
            <w:tcBorders>
              <w:top w:val="single" w:sz="4" w:space="0" w:color="53565A" w:themeColor="accent5"/>
              <w:bottom w:val="nil"/>
            </w:tcBorders>
            <w:shd w:val="clear" w:color="auto" w:fill="auto"/>
            <w:vAlign w:val="center"/>
          </w:tcPr>
          <w:p w14:paraId="6B297D56" w14:textId="77777777" w:rsidR="00502FFA" w:rsidRPr="005734B8" w:rsidRDefault="00502FFA" w:rsidP="00502FFA">
            <w:pPr>
              <w:pStyle w:val="ESTablebody"/>
              <w:rPr>
                <w:rFonts w:ascii="Calibri" w:hAnsi="Calibri" w:cs="Calibri"/>
                <w:sz w:val="18"/>
              </w:rPr>
            </w:pPr>
            <w:r w:rsidRPr="005734B8">
              <w:rPr>
                <w:rFonts w:ascii="Calibri" w:hAnsi="Calibri" w:cs="Calibri"/>
                <w:sz w:val="18"/>
              </w:rPr>
              <w:t>Claims</w:t>
            </w:r>
          </w:p>
        </w:tc>
        <w:tc>
          <w:tcPr>
            <w:tcW w:w="2129" w:type="dxa"/>
            <w:tcBorders>
              <w:top w:val="single" w:sz="4" w:space="0" w:color="53565A" w:themeColor="accent5"/>
              <w:bottom w:val="nil"/>
            </w:tcBorders>
            <w:vAlign w:val="center"/>
          </w:tcPr>
          <w:p w14:paraId="31BA3A50" w14:textId="77777777"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Number of standard claims</w:t>
            </w:r>
          </w:p>
        </w:tc>
        <w:tc>
          <w:tcPr>
            <w:tcW w:w="1264" w:type="dxa"/>
            <w:tcBorders>
              <w:top w:val="single" w:sz="4" w:space="0" w:color="53565A" w:themeColor="accent5"/>
              <w:bottom w:val="nil"/>
            </w:tcBorders>
            <w:vAlign w:val="center"/>
          </w:tcPr>
          <w:p w14:paraId="505BE275"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867</w:t>
            </w:r>
          </w:p>
        </w:tc>
        <w:tc>
          <w:tcPr>
            <w:tcW w:w="1264" w:type="dxa"/>
            <w:tcBorders>
              <w:top w:val="single" w:sz="4" w:space="0" w:color="53565A" w:themeColor="accent5"/>
              <w:bottom w:val="nil"/>
            </w:tcBorders>
            <w:vAlign w:val="center"/>
          </w:tcPr>
          <w:p w14:paraId="700B82B6"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843</w:t>
            </w:r>
          </w:p>
        </w:tc>
        <w:tc>
          <w:tcPr>
            <w:tcW w:w="1264" w:type="dxa"/>
            <w:tcBorders>
              <w:top w:val="single" w:sz="4" w:space="0" w:color="53565A" w:themeColor="accent5"/>
              <w:bottom w:val="nil"/>
            </w:tcBorders>
            <w:shd w:val="clear" w:color="auto" w:fill="D9D9D6"/>
            <w:vAlign w:val="center"/>
          </w:tcPr>
          <w:p w14:paraId="04A262A7" w14:textId="1635785A" w:rsidR="00502FFA" w:rsidRPr="005734B8" w:rsidRDefault="00502FFA" w:rsidP="00502FFA">
            <w:pPr>
              <w:pStyle w:val="ESTablenumberrightaligned"/>
              <w:rPr>
                <w:rFonts w:ascii="Calibri" w:hAnsi="Calibri" w:cs="Calibri"/>
                <w:sz w:val="18"/>
              </w:rPr>
            </w:pPr>
            <w:r w:rsidRPr="005734B8">
              <w:rPr>
                <w:rFonts w:ascii="Calibri" w:hAnsi="Calibri" w:cs="Calibri"/>
                <w:sz w:val="18"/>
              </w:rPr>
              <w:t>773</w:t>
            </w:r>
          </w:p>
        </w:tc>
      </w:tr>
      <w:tr w:rsidR="00502FFA" w:rsidRPr="005734B8" w14:paraId="0AB6249D" w14:textId="77777777" w:rsidTr="00502FFA">
        <w:trPr>
          <w:cantSplit/>
        </w:trPr>
        <w:tc>
          <w:tcPr>
            <w:tcW w:w="1682" w:type="dxa"/>
            <w:tcBorders>
              <w:top w:val="nil"/>
              <w:bottom w:val="nil"/>
            </w:tcBorders>
            <w:shd w:val="clear" w:color="auto" w:fill="auto"/>
            <w:vAlign w:val="center"/>
          </w:tcPr>
          <w:p w14:paraId="346CEA6D" w14:textId="77777777" w:rsidR="00502FFA" w:rsidRPr="005734B8" w:rsidRDefault="00502FFA" w:rsidP="00502FFA">
            <w:pPr>
              <w:pStyle w:val="ESTablebody"/>
              <w:rPr>
                <w:rFonts w:ascii="Calibri" w:hAnsi="Calibri" w:cs="Calibri"/>
                <w:sz w:val="18"/>
              </w:rPr>
            </w:pPr>
          </w:p>
        </w:tc>
        <w:tc>
          <w:tcPr>
            <w:tcW w:w="2129" w:type="dxa"/>
            <w:tcBorders>
              <w:top w:val="nil"/>
              <w:bottom w:val="nil"/>
            </w:tcBorders>
            <w:vAlign w:val="center"/>
          </w:tcPr>
          <w:p w14:paraId="516A26CC" w14:textId="77777777" w:rsidR="00502FFA" w:rsidRPr="005734B8" w:rsidRDefault="00502FFA" w:rsidP="00502FFA">
            <w:pPr>
              <w:pStyle w:val="ESTablenumberrightaligned"/>
              <w:jc w:val="left"/>
              <w:rPr>
                <w:rFonts w:ascii="Calibri" w:hAnsi="Calibri" w:cs="Calibri"/>
                <w:sz w:val="18"/>
                <w:vertAlign w:val="superscript"/>
              </w:rPr>
            </w:pPr>
            <w:r w:rsidRPr="005734B8">
              <w:rPr>
                <w:rFonts w:ascii="Calibri" w:hAnsi="Calibri" w:cs="Calibri"/>
                <w:sz w:val="18"/>
              </w:rPr>
              <w:t>Rate per 100 FTE</w:t>
            </w:r>
            <w:r w:rsidRPr="005734B8">
              <w:rPr>
                <w:rFonts w:ascii="Calibri" w:hAnsi="Calibri" w:cs="Calibri"/>
                <w:sz w:val="18"/>
                <w:vertAlign w:val="superscript"/>
              </w:rPr>
              <w:t>42</w:t>
            </w:r>
          </w:p>
        </w:tc>
        <w:tc>
          <w:tcPr>
            <w:tcW w:w="1264" w:type="dxa"/>
            <w:tcBorders>
              <w:top w:val="nil"/>
              <w:bottom w:val="nil"/>
            </w:tcBorders>
            <w:vAlign w:val="center"/>
          </w:tcPr>
          <w:p w14:paraId="705F39B9"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1.27</w:t>
            </w:r>
          </w:p>
        </w:tc>
        <w:tc>
          <w:tcPr>
            <w:tcW w:w="1264" w:type="dxa"/>
            <w:tcBorders>
              <w:top w:val="nil"/>
              <w:bottom w:val="nil"/>
            </w:tcBorders>
            <w:vAlign w:val="center"/>
          </w:tcPr>
          <w:p w14:paraId="10365157"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1.21</w:t>
            </w:r>
          </w:p>
        </w:tc>
        <w:tc>
          <w:tcPr>
            <w:tcW w:w="1264" w:type="dxa"/>
            <w:tcBorders>
              <w:top w:val="nil"/>
              <w:bottom w:val="nil"/>
            </w:tcBorders>
            <w:shd w:val="clear" w:color="auto" w:fill="D9D9D6"/>
            <w:vAlign w:val="center"/>
          </w:tcPr>
          <w:p w14:paraId="0EDB3613" w14:textId="1C56DF8D" w:rsidR="00502FFA" w:rsidRPr="005734B8" w:rsidRDefault="00502FFA" w:rsidP="00502FFA">
            <w:pPr>
              <w:pStyle w:val="ESTablenumberrightaligned"/>
              <w:rPr>
                <w:rFonts w:ascii="Calibri" w:hAnsi="Calibri" w:cs="Calibri"/>
                <w:sz w:val="18"/>
              </w:rPr>
            </w:pPr>
            <w:r w:rsidRPr="005734B8">
              <w:rPr>
                <w:rFonts w:ascii="Calibri" w:hAnsi="Calibri" w:cs="Calibri"/>
                <w:sz w:val="18"/>
              </w:rPr>
              <w:t>1.06</w:t>
            </w:r>
          </w:p>
        </w:tc>
      </w:tr>
      <w:tr w:rsidR="00502FFA" w:rsidRPr="005734B8" w14:paraId="05332FD4" w14:textId="77777777" w:rsidTr="00502FFA">
        <w:trPr>
          <w:cantSplit/>
        </w:trPr>
        <w:tc>
          <w:tcPr>
            <w:tcW w:w="1682" w:type="dxa"/>
            <w:tcBorders>
              <w:top w:val="nil"/>
              <w:bottom w:val="nil"/>
            </w:tcBorders>
            <w:shd w:val="clear" w:color="auto" w:fill="auto"/>
            <w:vAlign w:val="center"/>
          </w:tcPr>
          <w:p w14:paraId="08A746DF" w14:textId="77777777" w:rsidR="00502FFA" w:rsidRPr="005734B8" w:rsidRDefault="00502FFA" w:rsidP="00502FFA">
            <w:pPr>
              <w:pStyle w:val="ESTablebody"/>
              <w:rPr>
                <w:rFonts w:ascii="Calibri" w:hAnsi="Calibri" w:cs="Calibri"/>
                <w:sz w:val="18"/>
              </w:rPr>
            </w:pPr>
          </w:p>
        </w:tc>
        <w:tc>
          <w:tcPr>
            <w:tcW w:w="2129" w:type="dxa"/>
            <w:tcBorders>
              <w:top w:val="nil"/>
              <w:bottom w:val="nil"/>
            </w:tcBorders>
            <w:vAlign w:val="center"/>
          </w:tcPr>
          <w:p w14:paraId="14569675" w14:textId="547AF394"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Number of lost</w:t>
            </w:r>
            <w:r w:rsidR="00B25C85" w:rsidRPr="005734B8">
              <w:rPr>
                <w:rFonts w:ascii="Calibri" w:hAnsi="Calibri" w:cs="Calibri"/>
                <w:sz w:val="18"/>
              </w:rPr>
              <w:noBreakHyphen/>
            </w:r>
            <w:r w:rsidRPr="005734B8">
              <w:rPr>
                <w:rFonts w:ascii="Calibri" w:hAnsi="Calibri" w:cs="Calibri"/>
                <w:sz w:val="18"/>
              </w:rPr>
              <w:t>time claims</w:t>
            </w:r>
          </w:p>
        </w:tc>
        <w:tc>
          <w:tcPr>
            <w:tcW w:w="1264" w:type="dxa"/>
            <w:tcBorders>
              <w:top w:val="nil"/>
              <w:bottom w:val="nil"/>
            </w:tcBorders>
            <w:vAlign w:val="center"/>
          </w:tcPr>
          <w:p w14:paraId="58D6B7E1"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419</w:t>
            </w:r>
          </w:p>
        </w:tc>
        <w:tc>
          <w:tcPr>
            <w:tcW w:w="1264" w:type="dxa"/>
            <w:tcBorders>
              <w:top w:val="nil"/>
              <w:bottom w:val="nil"/>
            </w:tcBorders>
            <w:vAlign w:val="center"/>
          </w:tcPr>
          <w:p w14:paraId="4059277A"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458</w:t>
            </w:r>
          </w:p>
        </w:tc>
        <w:tc>
          <w:tcPr>
            <w:tcW w:w="1264" w:type="dxa"/>
            <w:tcBorders>
              <w:top w:val="nil"/>
              <w:bottom w:val="nil"/>
            </w:tcBorders>
            <w:shd w:val="clear" w:color="auto" w:fill="D9D9D6"/>
            <w:vAlign w:val="center"/>
          </w:tcPr>
          <w:p w14:paraId="374C4D03" w14:textId="4BCAE94E" w:rsidR="00502FFA" w:rsidRPr="005734B8" w:rsidRDefault="00502FFA" w:rsidP="00502FFA">
            <w:pPr>
              <w:pStyle w:val="ESTablenumberrightaligned"/>
              <w:rPr>
                <w:rFonts w:ascii="Calibri" w:hAnsi="Calibri" w:cs="Calibri"/>
                <w:sz w:val="18"/>
              </w:rPr>
            </w:pPr>
            <w:r w:rsidRPr="005734B8">
              <w:rPr>
                <w:rFonts w:ascii="Calibri" w:hAnsi="Calibri" w:cs="Calibri"/>
                <w:sz w:val="18"/>
              </w:rPr>
              <w:t>377</w:t>
            </w:r>
          </w:p>
        </w:tc>
      </w:tr>
      <w:tr w:rsidR="00502FFA" w:rsidRPr="005734B8" w14:paraId="7E62CEEB" w14:textId="77777777" w:rsidTr="00502FFA">
        <w:trPr>
          <w:cantSplit/>
        </w:trPr>
        <w:tc>
          <w:tcPr>
            <w:tcW w:w="1682" w:type="dxa"/>
            <w:tcBorders>
              <w:top w:val="nil"/>
              <w:bottom w:val="nil"/>
            </w:tcBorders>
            <w:shd w:val="clear" w:color="auto" w:fill="auto"/>
            <w:vAlign w:val="center"/>
          </w:tcPr>
          <w:p w14:paraId="17BE9349" w14:textId="77777777" w:rsidR="00502FFA" w:rsidRPr="005734B8" w:rsidRDefault="00502FFA" w:rsidP="00502FFA">
            <w:pPr>
              <w:pStyle w:val="ESTablebody"/>
              <w:rPr>
                <w:rFonts w:ascii="Calibri" w:hAnsi="Calibri" w:cs="Calibri"/>
                <w:sz w:val="18"/>
              </w:rPr>
            </w:pPr>
          </w:p>
        </w:tc>
        <w:tc>
          <w:tcPr>
            <w:tcW w:w="2129" w:type="dxa"/>
            <w:tcBorders>
              <w:top w:val="nil"/>
              <w:bottom w:val="nil"/>
            </w:tcBorders>
            <w:vAlign w:val="center"/>
          </w:tcPr>
          <w:p w14:paraId="05252500" w14:textId="77777777"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Rate per 100 FTE</w:t>
            </w:r>
            <w:r w:rsidRPr="005734B8">
              <w:rPr>
                <w:rFonts w:ascii="Calibri" w:hAnsi="Calibri" w:cs="Calibri"/>
                <w:sz w:val="18"/>
                <w:vertAlign w:val="superscript"/>
              </w:rPr>
              <w:t>42</w:t>
            </w:r>
          </w:p>
        </w:tc>
        <w:tc>
          <w:tcPr>
            <w:tcW w:w="1264" w:type="dxa"/>
            <w:tcBorders>
              <w:top w:val="nil"/>
              <w:bottom w:val="nil"/>
            </w:tcBorders>
            <w:vAlign w:val="center"/>
          </w:tcPr>
          <w:p w14:paraId="7D091D6E"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0.615</w:t>
            </w:r>
          </w:p>
        </w:tc>
        <w:tc>
          <w:tcPr>
            <w:tcW w:w="1264" w:type="dxa"/>
            <w:tcBorders>
              <w:top w:val="nil"/>
              <w:bottom w:val="nil"/>
            </w:tcBorders>
            <w:vAlign w:val="center"/>
          </w:tcPr>
          <w:p w14:paraId="61BAFA26"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0.655</w:t>
            </w:r>
          </w:p>
        </w:tc>
        <w:tc>
          <w:tcPr>
            <w:tcW w:w="1264" w:type="dxa"/>
            <w:tcBorders>
              <w:top w:val="nil"/>
              <w:bottom w:val="nil"/>
            </w:tcBorders>
            <w:shd w:val="clear" w:color="auto" w:fill="D9D9D6"/>
            <w:vAlign w:val="center"/>
          </w:tcPr>
          <w:p w14:paraId="5D1B60F0" w14:textId="4265414F" w:rsidR="00502FFA" w:rsidRPr="005734B8" w:rsidRDefault="00502FFA" w:rsidP="00502FFA">
            <w:pPr>
              <w:pStyle w:val="ESTablenumberrightaligned"/>
              <w:rPr>
                <w:rFonts w:ascii="Calibri" w:hAnsi="Calibri" w:cs="Calibri"/>
                <w:sz w:val="18"/>
              </w:rPr>
            </w:pPr>
            <w:r w:rsidRPr="005734B8">
              <w:rPr>
                <w:rFonts w:ascii="Calibri" w:hAnsi="Calibri" w:cs="Calibri"/>
                <w:sz w:val="18"/>
              </w:rPr>
              <w:t>0.515</w:t>
            </w:r>
          </w:p>
        </w:tc>
      </w:tr>
      <w:tr w:rsidR="00502FFA" w:rsidRPr="005734B8" w14:paraId="1BE756EE" w14:textId="77777777" w:rsidTr="00502FFA">
        <w:trPr>
          <w:cantSplit/>
        </w:trPr>
        <w:tc>
          <w:tcPr>
            <w:tcW w:w="1682" w:type="dxa"/>
            <w:tcBorders>
              <w:top w:val="nil"/>
              <w:bottom w:val="nil"/>
            </w:tcBorders>
            <w:shd w:val="clear" w:color="auto" w:fill="auto"/>
            <w:vAlign w:val="center"/>
          </w:tcPr>
          <w:p w14:paraId="2FA9179D" w14:textId="77777777" w:rsidR="00502FFA" w:rsidRPr="005734B8" w:rsidRDefault="00502FFA" w:rsidP="00502FFA">
            <w:pPr>
              <w:pStyle w:val="ESTablebody"/>
              <w:rPr>
                <w:rFonts w:ascii="Calibri" w:hAnsi="Calibri" w:cs="Calibri"/>
                <w:sz w:val="18"/>
              </w:rPr>
            </w:pPr>
          </w:p>
        </w:tc>
        <w:tc>
          <w:tcPr>
            <w:tcW w:w="2129" w:type="dxa"/>
            <w:tcBorders>
              <w:top w:val="nil"/>
              <w:bottom w:val="nil"/>
            </w:tcBorders>
            <w:vAlign w:val="center"/>
          </w:tcPr>
          <w:p w14:paraId="04FBC0D3" w14:textId="77777777"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Number of claims exceeding 13 weeks</w:t>
            </w:r>
          </w:p>
        </w:tc>
        <w:tc>
          <w:tcPr>
            <w:tcW w:w="1264" w:type="dxa"/>
            <w:tcBorders>
              <w:top w:val="nil"/>
              <w:bottom w:val="nil"/>
            </w:tcBorders>
            <w:vAlign w:val="center"/>
          </w:tcPr>
          <w:p w14:paraId="49210983"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202</w:t>
            </w:r>
          </w:p>
        </w:tc>
        <w:tc>
          <w:tcPr>
            <w:tcW w:w="1264" w:type="dxa"/>
            <w:tcBorders>
              <w:top w:val="nil"/>
              <w:bottom w:val="nil"/>
            </w:tcBorders>
            <w:vAlign w:val="center"/>
          </w:tcPr>
          <w:p w14:paraId="1376BC89"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287</w:t>
            </w:r>
          </w:p>
        </w:tc>
        <w:tc>
          <w:tcPr>
            <w:tcW w:w="1264" w:type="dxa"/>
            <w:tcBorders>
              <w:top w:val="nil"/>
              <w:bottom w:val="nil"/>
            </w:tcBorders>
            <w:shd w:val="clear" w:color="auto" w:fill="D9D9D6"/>
            <w:vAlign w:val="center"/>
          </w:tcPr>
          <w:p w14:paraId="4D2B945B" w14:textId="418743B9" w:rsidR="00502FFA" w:rsidRPr="005734B8" w:rsidRDefault="00502FFA" w:rsidP="00502FFA">
            <w:pPr>
              <w:pStyle w:val="ESTablenumberrightaligned"/>
              <w:rPr>
                <w:rFonts w:ascii="Calibri" w:hAnsi="Calibri" w:cs="Calibri"/>
                <w:sz w:val="18"/>
              </w:rPr>
            </w:pPr>
            <w:r w:rsidRPr="005734B8">
              <w:rPr>
                <w:rFonts w:ascii="Calibri" w:hAnsi="Calibri" w:cs="Calibri"/>
                <w:sz w:val="18"/>
              </w:rPr>
              <w:t>212</w:t>
            </w:r>
          </w:p>
        </w:tc>
      </w:tr>
      <w:tr w:rsidR="00502FFA" w:rsidRPr="005734B8" w14:paraId="2375EC1E" w14:textId="77777777" w:rsidTr="00502FFA">
        <w:trPr>
          <w:cantSplit/>
        </w:trPr>
        <w:tc>
          <w:tcPr>
            <w:tcW w:w="1682" w:type="dxa"/>
            <w:tcBorders>
              <w:top w:val="nil"/>
              <w:bottom w:val="single" w:sz="4" w:space="0" w:color="53565A" w:themeColor="accent5"/>
            </w:tcBorders>
            <w:shd w:val="clear" w:color="auto" w:fill="auto"/>
            <w:vAlign w:val="center"/>
          </w:tcPr>
          <w:p w14:paraId="14FEA335" w14:textId="77777777" w:rsidR="00502FFA" w:rsidRPr="005734B8" w:rsidRDefault="00502FFA" w:rsidP="00502FFA">
            <w:pPr>
              <w:pStyle w:val="ESTablebody"/>
              <w:rPr>
                <w:rFonts w:ascii="Calibri" w:hAnsi="Calibri" w:cs="Calibri"/>
                <w:sz w:val="18"/>
              </w:rPr>
            </w:pPr>
          </w:p>
        </w:tc>
        <w:tc>
          <w:tcPr>
            <w:tcW w:w="2129" w:type="dxa"/>
            <w:tcBorders>
              <w:top w:val="nil"/>
              <w:bottom w:val="single" w:sz="4" w:space="0" w:color="53565A" w:themeColor="accent5"/>
            </w:tcBorders>
            <w:vAlign w:val="center"/>
          </w:tcPr>
          <w:p w14:paraId="07C7EB52" w14:textId="77777777"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Rate per 100 FTE</w:t>
            </w:r>
            <w:r w:rsidRPr="005734B8">
              <w:rPr>
                <w:rFonts w:ascii="Calibri" w:hAnsi="Calibri" w:cs="Calibri"/>
                <w:sz w:val="18"/>
                <w:vertAlign w:val="superscript"/>
              </w:rPr>
              <w:t>42</w:t>
            </w:r>
          </w:p>
        </w:tc>
        <w:tc>
          <w:tcPr>
            <w:tcW w:w="1264" w:type="dxa"/>
            <w:tcBorders>
              <w:top w:val="nil"/>
              <w:bottom w:val="single" w:sz="4" w:space="0" w:color="53565A" w:themeColor="accent5"/>
            </w:tcBorders>
            <w:vAlign w:val="center"/>
          </w:tcPr>
          <w:p w14:paraId="1B9B4BB5"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0.296</w:t>
            </w:r>
          </w:p>
        </w:tc>
        <w:tc>
          <w:tcPr>
            <w:tcW w:w="1264" w:type="dxa"/>
            <w:tcBorders>
              <w:top w:val="nil"/>
              <w:bottom w:val="single" w:sz="4" w:space="0" w:color="53565A" w:themeColor="accent5"/>
            </w:tcBorders>
            <w:vAlign w:val="center"/>
          </w:tcPr>
          <w:p w14:paraId="2FB42AF5"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0.410</w:t>
            </w:r>
          </w:p>
        </w:tc>
        <w:tc>
          <w:tcPr>
            <w:tcW w:w="1264" w:type="dxa"/>
            <w:tcBorders>
              <w:top w:val="nil"/>
              <w:bottom w:val="single" w:sz="4" w:space="0" w:color="53565A" w:themeColor="accent5"/>
            </w:tcBorders>
            <w:shd w:val="clear" w:color="auto" w:fill="D9D9D6"/>
            <w:vAlign w:val="center"/>
          </w:tcPr>
          <w:p w14:paraId="2DE0C86E" w14:textId="7D3DE9BE" w:rsidR="00502FFA" w:rsidRPr="005734B8" w:rsidRDefault="00502FFA" w:rsidP="00502FFA">
            <w:pPr>
              <w:pStyle w:val="ESTablenumberrightaligned"/>
              <w:rPr>
                <w:rFonts w:ascii="Calibri" w:hAnsi="Calibri" w:cs="Calibri"/>
                <w:sz w:val="18"/>
              </w:rPr>
            </w:pPr>
            <w:r w:rsidRPr="005734B8">
              <w:rPr>
                <w:rFonts w:ascii="Calibri" w:hAnsi="Calibri" w:cs="Calibri"/>
                <w:sz w:val="18"/>
              </w:rPr>
              <w:t>0.289</w:t>
            </w:r>
          </w:p>
        </w:tc>
      </w:tr>
      <w:tr w:rsidR="00502FFA" w:rsidRPr="005734B8" w14:paraId="3284D6C7" w14:textId="77777777" w:rsidTr="00385F52">
        <w:trPr>
          <w:cantSplit/>
        </w:trPr>
        <w:tc>
          <w:tcPr>
            <w:tcW w:w="1682" w:type="dxa"/>
            <w:tcBorders>
              <w:top w:val="single" w:sz="4" w:space="0" w:color="53565A" w:themeColor="accent5"/>
              <w:bottom w:val="single" w:sz="4" w:space="0" w:color="53565A" w:themeColor="accent5"/>
            </w:tcBorders>
            <w:shd w:val="clear" w:color="auto" w:fill="auto"/>
            <w:vAlign w:val="center"/>
          </w:tcPr>
          <w:p w14:paraId="7DF011A9" w14:textId="77777777" w:rsidR="00502FFA" w:rsidRPr="005734B8" w:rsidRDefault="00502FFA" w:rsidP="00502FFA">
            <w:pPr>
              <w:pStyle w:val="ESTablebody"/>
              <w:rPr>
                <w:rFonts w:ascii="Calibri" w:hAnsi="Calibri" w:cs="Calibri"/>
                <w:sz w:val="18"/>
              </w:rPr>
            </w:pPr>
            <w:r w:rsidRPr="005734B8">
              <w:rPr>
                <w:rFonts w:ascii="Calibri" w:hAnsi="Calibri" w:cs="Calibri"/>
                <w:sz w:val="18"/>
              </w:rPr>
              <w:t>Fatalities</w:t>
            </w:r>
          </w:p>
        </w:tc>
        <w:tc>
          <w:tcPr>
            <w:tcW w:w="2129" w:type="dxa"/>
            <w:tcBorders>
              <w:top w:val="single" w:sz="4" w:space="0" w:color="53565A" w:themeColor="accent5"/>
              <w:bottom w:val="single" w:sz="4" w:space="0" w:color="53565A" w:themeColor="accent5"/>
            </w:tcBorders>
            <w:vAlign w:val="center"/>
          </w:tcPr>
          <w:p w14:paraId="7DE28DA2" w14:textId="77777777"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Fatality claims</w:t>
            </w:r>
          </w:p>
        </w:tc>
        <w:tc>
          <w:tcPr>
            <w:tcW w:w="1264" w:type="dxa"/>
            <w:tcBorders>
              <w:top w:val="single" w:sz="4" w:space="0" w:color="53565A" w:themeColor="accent5"/>
              <w:bottom w:val="single" w:sz="4" w:space="0" w:color="53565A" w:themeColor="accent5"/>
            </w:tcBorders>
            <w:vAlign w:val="center"/>
          </w:tcPr>
          <w:p w14:paraId="776068D3" w14:textId="2D80631C" w:rsidR="00502FFA" w:rsidRPr="005734B8" w:rsidRDefault="00B25C85" w:rsidP="00502FFA">
            <w:pPr>
              <w:pStyle w:val="ESTablenumberrightaligned"/>
              <w:rPr>
                <w:rFonts w:ascii="Calibri" w:hAnsi="Calibri" w:cs="Calibri"/>
                <w:sz w:val="18"/>
              </w:rPr>
            </w:pPr>
            <w:r w:rsidRPr="005734B8">
              <w:rPr>
                <w:rFonts w:ascii="Calibri" w:hAnsi="Calibri" w:cs="Calibri"/>
                <w:sz w:val="18"/>
              </w:rPr>
              <w:t xml:space="preserve"> –</w:t>
            </w:r>
          </w:p>
        </w:tc>
        <w:tc>
          <w:tcPr>
            <w:tcW w:w="1264" w:type="dxa"/>
            <w:tcBorders>
              <w:top w:val="single" w:sz="4" w:space="0" w:color="53565A" w:themeColor="accent5"/>
              <w:bottom w:val="single" w:sz="4" w:space="0" w:color="53565A" w:themeColor="accent5"/>
            </w:tcBorders>
          </w:tcPr>
          <w:p w14:paraId="48A252EC" w14:textId="48769FF6" w:rsidR="00502FFA" w:rsidRPr="005734B8" w:rsidRDefault="00B25C85" w:rsidP="00502FFA">
            <w:pPr>
              <w:pStyle w:val="ESTablenumberrightaligned"/>
              <w:rPr>
                <w:rFonts w:ascii="Calibri" w:hAnsi="Calibri" w:cs="Calibri"/>
                <w:sz w:val="18"/>
              </w:rPr>
            </w:pPr>
            <w:r w:rsidRPr="005734B8">
              <w:rPr>
                <w:rFonts w:ascii="Calibri" w:hAnsi="Calibri" w:cs="Calibri"/>
                <w:sz w:val="18"/>
              </w:rPr>
              <w:t xml:space="preserve"> –</w:t>
            </w:r>
          </w:p>
        </w:tc>
        <w:tc>
          <w:tcPr>
            <w:tcW w:w="1264" w:type="dxa"/>
            <w:tcBorders>
              <w:top w:val="single" w:sz="4" w:space="0" w:color="53565A" w:themeColor="accent5"/>
              <w:bottom w:val="single" w:sz="4" w:space="0" w:color="53565A" w:themeColor="accent5"/>
            </w:tcBorders>
            <w:shd w:val="clear" w:color="auto" w:fill="D9D9D6"/>
          </w:tcPr>
          <w:p w14:paraId="165413B5" w14:textId="74FF8A01" w:rsidR="00502FFA" w:rsidRPr="005734B8" w:rsidRDefault="00B25C85" w:rsidP="00502FFA">
            <w:pPr>
              <w:pStyle w:val="ESTablenumberrightaligned"/>
              <w:rPr>
                <w:rFonts w:ascii="Calibri" w:hAnsi="Calibri" w:cs="Calibri"/>
                <w:sz w:val="18"/>
              </w:rPr>
            </w:pPr>
            <w:r w:rsidRPr="005734B8">
              <w:rPr>
                <w:rFonts w:ascii="Calibri" w:hAnsi="Calibri" w:cs="Calibri"/>
                <w:sz w:val="18"/>
              </w:rPr>
              <w:t xml:space="preserve"> –</w:t>
            </w:r>
          </w:p>
        </w:tc>
      </w:tr>
      <w:tr w:rsidR="00502FFA" w:rsidRPr="005734B8" w14:paraId="64A222DB" w14:textId="77777777" w:rsidTr="00502FFA">
        <w:trPr>
          <w:cantSplit/>
        </w:trPr>
        <w:tc>
          <w:tcPr>
            <w:tcW w:w="1682" w:type="dxa"/>
            <w:tcBorders>
              <w:top w:val="single" w:sz="4" w:space="0" w:color="53565A" w:themeColor="accent5"/>
              <w:bottom w:val="single" w:sz="4" w:space="0" w:color="53565A" w:themeColor="accent5"/>
            </w:tcBorders>
            <w:shd w:val="clear" w:color="auto" w:fill="auto"/>
            <w:vAlign w:val="center"/>
          </w:tcPr>
          <w:p w14:paraId="2D3069D5" w14:textId="77777777" w:rsidR="00502FFA" w:rsidRPr="005734B8" w:rsidRDefault="00502FFA" w:rsidP="00502FFA">
            <w:pPr>
              <w:pStyle w:val="ESTablebody"/>
              <w:rPr>
                <w:rFonts w:ascii="Calibri" w:hAnsi="Calibri" w:cs="Calibri"/>
                <w:sz w:val="18"/>
              </w:rPr>
            </w:pPr>
            <w:r w:rsidRPr="005734B8">
              <w:rPr>
                <w:rFonts w:ascii="Calibri" w:hAnsi="Calibri" w:cs="Calibri"/>
                <w:sz w:val="18"/>
              </w:rPr>
              <w:t>Claim costs</w:t>
            </w:r>
          </w:p>
        </w:tc>
        <w:tc>
          <w:tcPr>
            <w:tcW w:w="2129" w:type="dxa"/>
            <w:tcBorders>
              <w:top w:val="single" w:sz="4" w:space="0" w:color="53565A" w:themeColor="accent5"/>
              <w:bottom w:val="single" w:sz="4" w:space="0" w:color="53565A" w:themeColor="accent5"/>
            </w:tcBorders>
            <w:vAlign w:val="center"/>
          </w:tcPr>
          <w:p w14:paraId="3558EC8B" w14:textId="0F8AB4F4"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Average cost per standard claim ($)</w:t>
            </w:r>
          </w:p>
        </w:tc>
        <w:tc>
          <w:tcPr>
            <w:tcW w:w="1264" w:type="dxa"/>
            <w:tcBorders>
              <w:top w:val="single" w:sz="4" w:space="0" w:color="53565A" w:themeColor="accent5"/>
              <w:bottom w:val="single" w:sz="4" w:space="0" w:color="53565A" w:themeColor="accent5"/>
            </w:tcBorders>
            <w:vAlign w:val="center"/>
          </w:tcPr>
          <w:p w14:paraId="2F775402"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73,124</w:t>
            </w:r>
          </w:p>
        </w:tc>
        <w:tc>
          <w:tcPr>
            <w:tcW w:w="1264" w:type="dxa"/>
            <w:tcBorders>
              <w:top w:val="single" w:sz="4" w:space="0" w:color="53565A" w:themeColor="accent5"/>
              <w:bottom w:val="single" w:sz="4" w:space="0" w:color="53565A" w:themeColor="accent5"/>
            </w:tcBorders>
            <w:vAlign w:val="center"/>
          </w:tcPr>
          <w:p w14:paraId="0FDE9D75"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96,182</w:t>
            </w:r>
          </w:p>
        </w:tc>
        <w:tc>
          <w:tcPr>
            <w:tcW w:w="1264" w:type="dxa"/>
            <w:tcBorders>
              <w:top w:val="single" w:sz="4" w:space="0" w:color="53565A" w:themeColor="accent5"/>
              <w:bottom w:val="single" w:sz="4" w:space="0" w:color="53565A" w:themeColor="accent5"/>
            </w:tcBorders>
            <w:shd w:val="clear" w:color="auto" w:fill="D9D9D6"/>
            <w:vAlign w:val="center"/>
          </w:tcPr>
          <w:p w14:paraId="6A4B44FA" w14:textId="031684E3" w:rsidR="00502FFA" w:rsidRPr="005734B8" w:rsidRDefault="00502FFA" w:rsidP="00502FFA">
            <w:pPr>
              <w:pStyle w:val="ESTablenumberrightaligned"/>
              <w:rPr>
                <w:rFonts w:ascii="Calibri" w:hAnsi="Calibri" w:cs="Calibri"/>
                <w:sz w:val="18"/>
              </w:rPr>
            </w:pPr>
            <w:r w:rsidRPr="005734B8">
              <w:rPr>
                <w:rFonts w:ascii="Calibri" w:hAnsi="Calibri" w:cs="Calibri"/>
                <w:sz w:val="18"/>
              </w:rPr>
              <w:t>120,885</w:t>
            </w:r>
          </w:p>
        </w:tc>
      </w:tr>
      <w:tr w:rsidR="00502FFA" w:rsidRPr="005734B8" w14:paraId="7CE64AFE" w14:textId="77777777" w:rsidTr="00502FFA">
        <w:trPr>
          <w:cantSplit/>
        </w:trPr>
        <w:tc>
          <w:tcPr>
            <w:tcW w:w="1682" w:type="dxa"/>
            <w:tcBorders>
              <w:top w:val="single" w:sz="4" w:space="0" w:color="53565A" w:themeColor="accent5"/>
              <w:bottom w:val="single" w:sz="4" w:space="0" w:color="53565A" w:themeColor="accent5"/>
            </w:tcBorders>
            <w:shd w:val="clear" w:color="auto" w:fill="auto"/>
            <w:vAlign w:val="center"/>
          </w:tcPr>
          <w:p w14:paraId="3B2004F3" w14:textId="77777777" w:rsidR="00502FFA" w:rsidRPr="005734B8" w:rsidRDefault="00502FFA" w:rsidP="00502FFA">
            <w:pPr>
              <w:pStyle w:val="ESTablebody"/>
              <w:rPr>
                <w:rFonts w:ascii="Calibri" w:hAnsi="Calibri" w:cs="Calibri"/>
                <w:sz w:val="18"/>
              </w:rPr>
            </w:pPr>
            <w:r w:rsidRPr="005734B8">
              <w:rPr>
                <w:rFonts w:ascii="Calibri" w:hAnsi="Calibri" w:cs="Calibri"/>
                <w:sz w:val="18"/>
              </w:rPr>
              <w:t>RTW</w:t>
            </w:r>
            <w:r w:rsidRPr="005734B8">
              <w:rPr>
                <w:rStyle w:val="FootnoteReference"/>
                <w:rFonts w:ascii="Calibri" w:hAnsi="Calibri" w:cs="Calibri"/>
                <w:sz w:val="18"/>
              </w:rPr>
              <w:footnoteReference w:id="34"/>
            </w:r>
          </w:p>
        </w:tc>
        <w:tc>
          <w:tcPr>
            <w:tcW w:w="2129" w:type="dxa"/>
            <w:tcBorders>
              <w:top w:val="single" w:sz="4" w:space="0" w:color="53565A" w:themeColor="accent5"/>
              <w:bottom w:val="single" w:sz="4" w:space="0" w:color="53565A" w:themeColor="accent5"/>
            </w:tcBorders>
            <w:vAlign w:val="center"/>
          </w:tcPr>
          <w:p w14:paraId="566AAC80" w14:textId="6FC563CD"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Percent</w:t>
            </w:r>
            <w:r w:rsidR="00B25C85" w:rsidRPr="005734B8">
              <w:rPr>
                <w:rFonts w:ascii="Calibri" w:hAnsi="Calibri" w:cs="Calibri"/>
                <w:sz w:val="18"/>
              </w:rPr>
              <w:t>age</w:t>
            </w:r>
            <w:r w:rsidRPr="005734B8">
              <w:rPr>
                <w:rFonts w:ascii="Calibri" w:hAnsi="Calibri" w:cs="Calibri"/>
                <w:sz w:val="18"/>
              </w:rPr>
              <w:t xml:space="preserve"> of claims with RTW plan &lt;</w:t>
            </w:r>
            <w:r w:rsidR="00B25C85" w:rsidRPr="005734B8">
              <w:rPr>
                <w:rFonts w:ascii="Calibri" w:hAnsi="Calibri" w:cs="Calibri"/>
                <w:sz w:val="18"/>
              </w:rPr>
              <w:t xml:space="preserve"> </w:t>
            </w:r>
            <w:r w:rsidRPr="005734B8">
              <w:rPr>
                <w:rFonts w:ascii="Calibri" w:hAnsi="Calibri" w:cs="Calibri"/>
                <w:sz w:val="18"/>
              </w:rPr>
              <w:t>30 days</w:t>
            </w:r>
          </w:p>
        </w:tc>
        <w:tc>
          <w:tcPr>
            <w:tcW w:w="1264" w:type="dxa"/>
            <w:tcBorders>
              <w:top w:val="single" w:sz="4" w:space="0" w:color="53565A" w:themeColor="accent5"/>
              <w:bottom w:val="single" w:sz="4" w:space="0" w:color="53565A" w:themeColor="accent5"/>
            </w:tcBorders>
            <w:vAlign w:val="center"/>
          </w:tcPr>
          <w:p w14:paraId="55689C9D" w14:textId="4A98CD12" w:rsidR="00502FFA" w:rsidRPr="005734B8" w:rsidRDefault="00502FFA" w:rsidP="00502FFA">
            <w:pPr>
              <w:pStyle w:val="ESTablenumberrightaligned"/>
              <w:rPr>
                <w:rFonts w:ascii="Calibri" w:hAnsi="Calibri" w:cs="Calibri"/>
                <w:sz w:val="18"/>
              </w:rPr>
            </w:pPr>
            <w:r w:rsidRPr="005734B8">
              <w:rPr>
                <w:rFonts w:ascii="Calibri" w:hAnsi="Calibri" w:cs="Calibri"/>
                <w:sz w:val="18"/>
              </w:rPr>
              <w:t>–</w:t>
            </w:r>
          </w:p>
        </w:tc>
        <w:tc>
          <w:tcPr>
            <w:tcW w:w="1264" w:type="dxa"/>
            <w:tcBorders>
              <w:top w:val="single" w:sz="4" w:space="0" w:color="53565A" w:themeColor="accent5"/>
              <w:bottom w:val="single" w:sz="4" w:space="0" w:color="53565A" w:themeColor="accent5"/>
            </w:tcBorders>
            <w:vAlign w:val="center"/>
          </w:tcPr>
          <w:p w14:paraId="294D2561" w14:textId="10E7026B" w:rsidR="00502FFA" w:rsidRPr="005734B8" w:rsidRDefault="00502FFA" w:rsidP="00502FFA">
            <w:pPr>
              <w:pStyle w:val="ESTablenumberrightaligned"/>
              <w:rPr>
                <w:rFonts w:ascii="Calibri" w:hAnsi="Calibri" w:cs="Calibri"/>
                <w:sz w:val="18"/>
              </w:rPr>
            </w:pPr>
            <w:r w:rsidRPr="005734B8">
              <w:rPr>
                <w:rFonts w:ascii="Calibri" w:hAnsi="Calibri" w:cs="Calibri"/>
                <w:sz w:val="18"/>
              </w:rPr>
              <w:t>–</w:t>
            </w:r>
          </w:p>
        </w:tc>
        <w:tc>
          <w:tcPr>
            <w:tcW w:w="1264" w:type="dxa"/>
            <w:tcBorders>
              <w:top w:val="single" w:sz="4" w:space="0" w:color="53565A" w:themeColor="accent5"/>
              <w:bottom w:val="single" w:sz="4" w:space="0" w:color="53565A" w:themeColor="accent5"/>
            </w:tcBorders>
            <w:shd w:val="clear" w:color="auto" w:fill="D9D9D6"/>
            <w:vAlign w:val="center"/>
          </w:tcPr>
          <w:p w14:paraId="0F9FB4C3" w14:textId="06759B38" w:rsidR="00502FFA" w:rsidRPr="005734B8" w:rsidRDefault="00502FFA" w:rsidP="00502FFA">
            <w:pPr>
              <w:pStyle w:val="ESTablenumberrightaligned"/>
              <w:rPr>
                <w:rFonts w:ascii="Calibri" w:hAnsi="Calibri" w:cs="Calibri"/>
                <w:sz w:val="18"/>
              </w:rPr>
            </w:pPr>
            <w:r w:rsidRPr="005734B8">
              <w:rPr>
                <w:rFonts w:ascii="Calibri" w:hAnsi="Calibri" w:cs="Calibri"/>
                <w:sz w:val="18"/>
              </w:rPr>
              <w:t>–</w:t>
            </w:r>
          </w:p>
        </w:tc>
      </w:tr>
      <w:tr w:rsidR="00502FFA" w:rsidRPr="005734B8" w14:paraId="4321A3E0" w14:textId="77777777" w:rsidTr="00502FFA">
        <w:trPr>
          <w:cantSplit/>
        </w:trPr>
        <w:tc>
          <w:tcPr>
            <w:tcW w:w="1682" w:type="dxa"/>
            <w:tcBorders>
              <w:top w:val="single" w:sz="4" w:space="0" w:color="53565A" w:themeColor="accent5"/>
              <w:bottom w:val="nil"/>
            </w:tcBorders>
            <w:shd w:val="clear" w:color="auto" w:fill="auto"/>
            <w:vAlign w:val="center"/>
          </w:tcPr>
          <w:p w14:paraId="29D7EE48" w14:textId="2928D2F8" w:rsidR="00502FFA" w:rsidRPr="005734B8" w:rsidRDefault="00502FFA" w:rsidP="00502FFA">
            <w:pPr>
              <w:pStyle w:val="ESTablebody"/>
              <w:rPr>
                <w:rFonts w:ascii="Calibri" w:hAnsi="Calibri" w:cs="Calibri"/>
                <w:sz w:val="18"/>
              </w:rPr>
            </w:pPr>
            <w:r w:rsidRPr="005734B8">
              <w:rPr>
                <w:rFonts w:ascii="Calibri" w:hAnsi="Calibri" w:cs="Calibri"/>
                <w:sz w:val="18"/>
              </w:rPr>
              <w:t>Occupational Health and Safety Management System (OHSMS) development and implementation/ review and improvement</w:t>
            </w:r>
          </w:p>
        </w:tc>
        <w:tc>
          <w:tcPr>
            <w:tcW w:w="2129" w:type="dxa"/>
            <w:tcBorders>
              <w:top w:val="single" w:sz="4" w:space="0" w:color="53565A" w:themeColor="accent5"/>
              <w:bottom w:val="nil"/>
            </w:tcBorders>
            <w:vAlign w:val="center"/>
          </w:tcPr>
          <w:p w14:paraId="5BDD0B4F" w14:textId="77777777"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Number of policies, procedures, guidelines and templates reviewed and/or updated</w:t>
            </w:r>
          </w:p>
        </w:tc>
        <w:tc>
          <w:tcPr>
            <w:tcW w:w="1264" w:type="dxa"/>
            <w:tcBorders>
              <w:top w:val="single" w:sz="4" w:space="0" w:color="53565A" w:themeColor="accent5"/>
              <w:bottom w:val="nil"/>
            </w:tcBorders>
            <w:vAlign w:val="center"/>
          </w:tcPr>
          <w:p w14:paraId="4A07B6A8" w14:textId="77777777" w:rsidR="00502FFA" w:rsidRPr="005734B8" w:rsidRDefault="00502FFA" w:rsidP="00502FFA">
            <w:pPr>
              <w:pStyle w:val="ESTablenumberrightaligned"/>
              <w:rPr>
                <w:rFonts w:ascii="Calibri" w:hAnsi="Calibri" w:cs="Calibri"/>
                <w:sz w:val="18"/>
              </w:rPr>
            </w:pPr>
          </w:p>
          <w:p w14:paraId="24F72685" w14:textId="79FAFE4B" w:rsidR="00502FFA" w:rsidRPr="005734B8" w:rsidRDefault="00502FFA" w:rsidP="00502FFA">
            <w:pPr>
              <w:pStyle w:val="ESTablenumberrightaligned"/>
              <w:ind w:left="720"/>
              <w:rPr>
                <w:rFonts w:ascii="Calibri" w:hAnsi="Calibri" w:cs="Calibri"/>
                <w:sz w:val="18"/>
              </w:rPr>
            </w:pPr>
            <w:r w:rsidRPr="005734B8">
              <w:rPr>
                <w:rFonts w:ascii="Calibri" w:hAnsi="Calibri" w:cs="Calibri"/>
                <w:sz w:val="18"/>
              </w:rPr>
              <w:t xml:space="preserve">309 </w:t>
            </w:r>
          </w:p>
          <w:p w14:paraId="388D8DD7" w14:textId="77777777" w:rsidR="00502FFA" w:rsidRPr="005734B8" w:rsidRDefault="00502FFA" w:rsidP="00502FFA">
            <w:pPr>
              <w:pStyle w:val="ESTablenumberrightaligned"/>
              <w:rPr>
                <w:rFonts w:ascii="Calibri" w:hAnsi="Calibri" w:cs="Calibri"/>
                <w:sz w:val="18"/>
              </w:rPr>
            </w:pPr>
          </w:p>
        </w:tc>
        <w:tc>
          <w:tcPr>
            <w:tcW w:w="1264" w:type="dxa"/>
            <w:tcBorders>
              <w:top w:val="single" w:sz="4" w:space="0" w:color="53565A" w:themeColor="accent5"/>
              <w:bottom w:val="nil"/>
            </w:tcBorders>
            <w:vAlign w:val="center"/>
          </w:tcPr>
          <w:p w14:paraId="29873C8F"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58</w:t>
            </w:r>
          </w:p>
        </w:tc>
        <w:tc>
          <w:tcPr>
            <w:tcW w:w="1264" w:type="dxa"/>
            <w:tcBorders>
              <w:top w:val="single" w:sz="4" w:space="0" w:color="53565A" w:themeColor="accent5"/>
              <w:bottom w:val="nil"/>
            </w:tcBorders>
            <w:shd w:val="clear" w:color="auto" w:fill="D9D9D6"/>
            <w:vAlign w:val="center"/>
          </w:tcPr>
          <w:p w14:paraId="442B106B"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150</w:t>
            </w:r>
          </w:p>
        </w:tc>
      </w:tr>
      <w:tr w:rsidR="00502FFA" w:rsidRPr="005734B8" w14:paraId="4D1F0DA4" w14:textId="77777777" w:rsidTr="00502FFA">
        <w:trPr>
          <w:cantSplit/>
        </w:trPr>
        <w:tc>
          <w:tcPr>
            <w:tcW w:w="1682" w:type="dxa"/>
            <w:tcBorders>
              <w:top w:val="nil"/>
              <w:bottom w:val="single" w:sz="4" w:space="0" w:color="FFFFFF" w:themeColor="background1"/>
            </w:tcBorders>
            <w:shd w:val="clear" w:color="auto" w:fill="auto"/>
            <w:vAlign w:val="center"/>
          </w:tcPr>
          <w:p w14:paraId="7C989B64" w14:textId="77777777" w:rsidR="00502FFA" w:rsidRPr="005734B8" w:rsidRDefault="00502FFA" w:rsidP="00502FFA">
            <w:pPr>
              <w:pStyle w:val="ESTablebody"/>
              <w:rPr>
                <w:rFonts w:ascii="Calibri" w:hAnsi="Calibri" w:cs="Calibri"/>
                <w:sz w:val="18"/>
              </w:rPr>
            </w:pPr>
          </w:p>
        </w:tc>
        <w:tc>
          <w:tcPr>
            <w:tcW w:w="2129" w:type="dxa"/>
            <w:tcBorders>
              <w:top w:val="nil"/>
              <w:bottom w:val="single" w:sz="4" w:space="0" w:color="FFFFFF" w:themeColor="background1"/>
            </w:tcBorders>
            <w:vAlign w:val="center"/>
          </w:tcPr>
          <w:p w14:paraId="058E556D" w14:textId="77777777"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School audits completed</w:t>
            </w:r>
          </w:p>
        </w:tc>
        <w:tc>
          <w:tcPr>
            <w:tcW w:w="1264" w:type="dxa"/>
            <w:tcBorders>
              <w:top w:val="nil"/>
              <w:bottom w:val="single" w:sz="4" w:space="0" w:color="FFFFFF" w:themeColor="background1"/>
            </w:tcBorders>
            <w:vAlign w:val="center"/>
          </w:tcPr>
          <w:p w14:paraId="406FE115"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468</w:t>
            </w:r>
          </w:p>
        </w:tc>
        <w:tc>
          <w:tcPr>
            <w:tcW w:w="1264" w:type="dxa"/>
            <w:tcBorders>
              <w:top w:val="nil"/>
              <w:bottom w:val="single" w:sz="4" w:space="0" w:color="FFFFFF" w:themeColor="background1"/>
            </w:tcBorders>
            <w:vAlign w:val="center"/>
          </w:tcPr>
          <w:p w14:paraId="1F1ABC18"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325</w:t>
            </w:r>
          </w:p>
        </w:tc>
        <w:tc>
          <w:tcPr>
            <w:tcW w:w="1264" w:type="dxa"/>
            <w:tcBorders>
              <w:top w:val="nil"/>
              <w:bottom w:val="single" w:sz="4" w:space="0" w:color="FFFFFF" w:themeColor="background1"/>
            </w:tcBorders>
            <w:shd w:val="clear" w:color="auto" w:fill="D9D9D6"/>
            <w:vAlign w:val="center"/>
          </w:tcPr>
          <w:p w14:paraId="5FAEB9E9"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47</w:t>
            </w:r>
          </w:p>
        </w:tc>
      </w:tr>
      <w:tr w:rsidR="00502FFA" w:rsidRPr="005734B8" w14:paraId="20C80EE8" w14:textId="77777777" w:rsidTr="00502FFA">
        <w:trPr>
          <w:cantSplit/>
        </w:trPr>
        <w:tc>
          <w:tcPr>
            <w:tcW w:w="1682" w:type="dxa"/>
            <w:tcBorders>
              <w:top w:val="nil"/>
              <w:bottom w:val="single" w:sz="4" w:space="0" w:color="FFFFFF" w:themeColor="background1"/>
            </w:tcBorders>
            <w:shd w:val="clear" w:color="auto" w:fill="auto"/>
            <w:vAlign w:val="center"/>
          </w:tcPr>
          <w:p w14:paraId="3B5B18EE" w14:textId="77777777" w:rsidR="00502FFA" w:rsidRPr="005734B8" w:rsidRDefault="00502FFA" w:rsidP="00502FFA">
            <w:pPr>
              <w:pStyle w:val="ESTablebody"/>
              <w:rPr>
                <w:rFonts w:ascii="Calibri" w:hAnsi="Calibri" w:cs="Calibri"/>
                <w:sz w:val="18"/>
              </w:rPr>
            </w:pPr>
          </w:p>
        </w:tc>
        <w:tc>
          <w:tcPr>
            <w:tcW w:w="2129" w:type="dxa"/>
            <w:tcBorders>
              <w:top w:val="nil"/>
              <w:bottom w:val="single" w:sz="4" w:space="0" w:color="FFFFFF" w:themeColor="background1"/>
            </w:tcBorders>
            <w:vAlign w:val="center"/>
          </w:tcPr>
          <w:p w14:paraId="30D83FD3" w14:textId="77777777"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Average OHSMS audit score (schools)</w:t>
            </w:r>
          </w:p>
        </w:tc>
        <w:tc>
          <w:tcPr>
            <w:tcW w:w="1264" w:type="dxa"/>
            <w:tcBorders>
              <w:top w:val="nil"/>
              <w:bottom w:val="single" w:sz="4" w:space="0" w:color="FFFFFF" w:themeColor="background1"/>
            </w:tcBorders>
            <w:vAlign w:val="center"/>
          </w:tcPr>
          <w:p w14:paraId="73154190"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78</w:t>
            </w:r>
          </w:p>
        </w:tc>
        <w:tc>
          <w:tcPr>
            <w:tcW w:w="1264" w:type="dxa"/>
            <w:tcBorders>
              <w:top w:val="nil"/>
              <w:bottom w:val="single" w:sz="4" w:space="0" w:color="FFFFFF" w:themeColor="background1"/>
            </w:tcBorders>
            <w:vAlign w:val="center"/>
          </w:tcPr>
          <w:p w14:paraId="11812F32"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80</w:t>
            </w:r>
          </w:p>
        </w:tc>
        <w:tc>
          <w:tcPr>
            <w:tcW w:w="1264" w:type="dxa"/>
            <w:tcBorders>
              <w:top w:val="nil"/>
              <w:bottom w:val="single" w:sz="4" w:space="0" w:color="FFFFFF" w:themeColor="background1"/>
            </w:tcBorders>
            <w:shd w:val="clear" w:color="auto" w:fill="D9D9D6"/>
            <w:vAlign w:val="center"/>
          </w:tcPr>
          <w:p w14:paraId="23FC4AA3"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87</w:t>
            </w:r>
          </w:p>
        </w:tc>
      </w:tr>
      <w:tr w:rsidR="00502FFA" w:rsidRPr="005734B8" w14:paraId="31B674B5" w14:textId="77777777" w:rsidTr="00502FFA">
        <w:trPr>
          <w:cantSplit/>
        </w:trPr>
        <w:tc>
          <w:tcPr>
            <w:tcW w:w="1682" w:type="dxa"/>
            <w:tcBorders>
              <w:top w:val="single" w:sz="4" w:space="0" w:color="FFFFFF" w:themeColor="background1"/>
              <w:bottom w:val="single" w:sz="4" w:space="0" w:color="53565A" w:themeColor="accent5"/>
            </w:tcBorders>
            <w:shd w:val="clear" w:color="auto" w:fill="auto"/>
            <w:vAlign w:val="center"/>
          </w:tcPr>
          <w:p w14:paraId="35F09CE5" w14:textId="77777777" w:rsidR="00502FFA" w:rsidRPr="005734B8" w:rsidRDefault="00502FFA" w:rsidP="00502FFA">
            <w:pPr>
              <w:pStyle w:val="ESTablebody"/>
              <w:rPr>
                <w:rFonts w:ascii="Calibri" w:hAnsi="Calibri" w:cs="Calibri"/>
                <w:sz w:val="18"/>
              </w:rPr>
            </w:pPr>
          </w:p>
        </w:tc>
        <w:tc>
          <w:tcPr>
            <w:tcW w:w="2129" w:type="dxa"/>
            <w:tcBorders>
              <w:top w:val="single" w:sz="4" w:space="0" w:color="FFFFFF" w:themeColor="background1"/>
              <w:bottom w:val="single" w:sz="4" w:space="0" w:color="53565A" w:themeColor="accent5"/>
            </w:tcBorders>
            <w:vAlign w:val="center"/>
          </w:tcPr>
          <w:p w14:paraId="6ABFC306" w14:textId="55E49E71"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Percent</w:t>
            </w:r>
            <w:r w:rsidR="00B25C85" w:rsidRPr="005734B8">
              <w:rPr>
                <w:rFonts w:ascii="Calibri" w:hAnsi="Calibri" w:cs="Calibri"/>
                <w:sz w:val="18"/>
              </w:rPr>
              <w:t>age</w:t>
            </w:r>
            <w:r w:rsidRPr="005734B8">
              <w:rPr>
                <w:rFonts w:ascii="Calibri" w:hAnsi="Calibri" w:cs="Calibri"/>
                <w:sz w:val="18"/>
              </w:rPr>
              <w:t xml:space="preserve"> of corrective actions completed</w:t>
            </w:r>
            <w:r w:rsidR="00B25C85" w:rsidRPr="005734B8">
              <w:rPr>
                <w:rFonts w:ascii="Calibri" w:hAnsi="Calibri" w:cs="Calibri"/>
                <w:sz w:val="18"/>
              </w:rPr>
              <w:t>—</w:t>
            </w:r>
            <w:r w:rsidRPr="005734B8">
              <w:rPr>
                <w:rFonts w:ascii="Calibri" w:hAnsi="Calibri" w:cs="Calibri"/>
                <w:sz w:val="18"/>
              </w:rPr>
              <w:t>incident reports</w:t>
            </w:r>
          </w:p>
        </w:tc>
        <w:tc>
          <w:tcPr>
            <w:tcW w:w="1264" w:type="dxa"/>
            <w:tcBorders>
              <w:top w:val="single" w:sz="4" w:space="0" w:color="FFFFFF" w:themeColor="background1"/>
              <w:bottom w:val="single" w:sz="4" w:space="0" w:color="53565A" w:themeColor="accent5"/>
            </w:tcBorders>
            <w:vAlign w:val="center"/>
          </w:tcPr>
          <w:p w14:paraId="59A9A21B"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58</w:t>
            </w:r>
          </w:p>
        </w:tc>
        <w:tc>
          <w:tcPr>
            <w:tcW w:w="1264" w:type="dxa"/>
            <w:tcBorders>
              <w:top w:val="single" w:sz="4" w:space="0" w:color="FFFFFF" w:themeColor="background1"/>
              <w:bottom w:val="single" w:sz="4" w:space="0" w:color="53565A" w:themeColor="accent5"/>
            </w:tcBorders>
            <w:vAlign w:val="center"/>
          </w:tcPr>
          <w:p w14:paraId="5BBCD959"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55</w:t>
            </w:r>
          </w:p>
        </w:tc>
        <w:tc>
          <w:tcPr>
            <w:tcW w:w="1264" w:type="dxa"/>
            <w:tcBorders>
              <w:top w:val="single" w:sz="4" w:space="0" w:color="FFFFFF" w:themeColor="background1"/>
              <w:bottom w:val="single" w:sz="4" w:space="0" w:color="53565A" w:themeColor="accent5"/>
            </w:tcBorders>
            <w:shd w:val="clear" w:color="auto" w:fill="D9D9D6"/>
            <w:vAlign w:val="center"/>
          </w:tcPr>
          <w:p w14:paraId="76EB089D" w14:textId="7D09462C" w:rsidR="00502FFA" w:rsidRPr="005734B8" w:rsidRDefault="00502FFA" w:rsidP="00502FFA">
            <w:pPr>
              <w:pStyle w:val="ESTablenumberrightaligned"/>
              <w:rPr>
                <w:rFonts w:ascii="Calibri" w:hAnsi="Calibri" w:cs="Calibri"/>
                <w:sz w:val="18"/>
              </w:rPr>
            </w:pPr>
            <w:r w:rsidRPr="005734B8">
              <w:rPr>
                <w:rFonts w:ascii="Calibri" w:hAnsi="Calibri" w:cs="Calibri"/>
                <w:sz w:val="18"/>
              </w:rPr>
              <w:t>57</w:t>
            </w:r>
          </w:p>
        </w:tc>
      </w:tr>
      <w:tr w:rsidR="00502FFA" w:rsidRPr="005734B8" w14:paraId="40A1407A" w14:textId="77777777" w:rsidTr="00502FFA">
        <w:trPr>
          <w:cantSplit/>
        </w:trPr>
        <w:tc>
          <w:tcPr>
            <w:tcW w:w="1682" w:type="dxa"/>
            <w:tcBorders>
              <w:top w:val="single" w:sz="4" w:space="0" w:color="53565A" w:themeColor="accent5"/>
              <w:bottom w:val="nil"/>
            </w:tcBorders>
            <w:shd w:val="clear" w:color="auto" w:fill="auto"/>
          </w:tcPr>
          <w:p w14:paraId="3FA81F64" w14:textId="77777777" w:rsidR="00502FFA" w:rsidRPr="005734B8" w:rsidRDefault="00502FFA" w:rsidP="00502FFA">
            <w:pPr>
              <w:pStyle w:val="ESTablebody"/>
              <w:rPr>
                <w:rFonts w:ascii="Calibri" w:hAnsi="Calibri" w:cs="Calibri"/>
                <w:sz w:val="18"/>
              </w:rPr>
            </w:pPr>
            <w:r w:rsidRPr="005734B8">
              <w:rPr>
                <w:rFonts w:ascii="Calibri" w:hAnsi="Calibri" w:cs="Calibri"/>
                <w:sz w:val="18"/>
              </w:rPr>
              <w:t>Management commitment</w:t>
            </w:r>
          </w:p>
        </w:tc>
        <w:tc>
          <w:tcPr>
            <w:tcW w:w="2129" w:type="dxa"/>
            <w:tcBorders>
              <w:top w:val="single" w:sz="4" w:space="0" w:color="53565A" w:themeColor="accent5"/>
              <w:bottom w:val="nil"/>
            </w:tcBorders>
            <w:vAlign w:val="center"/>
          </w:tcPr>
          <w:p w14:paraId="2FC91ECA" w14:textId="77777777"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Evidence of OHS policy statement, objectives, regular reporting to senior management and plans (signed by CEO or equivalent)</w:t>
            </w:r>
          </w:p>
        </w:tc>
        <w:tc>
          <w:tcPr>
            <w:tcW w:w="1264" w:type="dxa"/>
            <w:tcBorders>
              <w:top w:val="single" w:sz="4" w:space="0" w:color="53565A" w:themeColor="accent5"/>
              <w:bottom w:val="nil"/>
            </w:tcBorders>
            <w:vAlign w:val="center"/>
          </w:tcPr>
          <w:p w14:paraId="51AEEE98"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Complete</w:t>
            </w:r>
          </w:p>
        </w:tc>
        <w:tc>
          <w:tcPr>
            <w:tcW w:w="1264" w:type="dxa"/>
            <w:tcBorders>
              <w:top w:val="single" w:sz="4" w:space="0" w:color="53565A" w:themeColor="accent5"/>
              <w:bottom w:val="nil"/>
            </w:tcBorders>
            <w:vAlign w:val="center"/>
          </w:tcPr>
          <w:p w14:paraId="3F041470"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Complete</w:t>
            </w:r>
          </w:p>
        </w:tc>
        <w:tc>
          <w:tcPr>
            <w:tcW w:w="1264" w:type="dxa"/>
            <w:tcBorders>
              <w:top w:val="single" w:sz="4" w:space="0" w:color="53565A" w:themeColor="accent5"/>
              <w:bottom w:val="nil"/>
            </w:tcBorders>
            <w:shd w:val="clear" w:color="auto" w:fill="D9D9D6"/>
            <w:vAlign w:val="center"/>
          </w:tcPr>
          <w:p w14:paraId="1A90D0A6"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Complete</w:t>
            </w:r>
          </w:p>
        </w:tc>
      </w:tr>
      <w:tr w:rsidR="00502FFA" w:rsidRPr="005734B8" w14:paraId="039581F0" w14:textId="77777777" w:rsidTr="00502FFA">
        <w:trPr>
          <w:cantSplit/>
        </w:trPr>
        <w:tc>
          <w:tcPr>
            <w:tcW w:w="1682" w:type="dxa"/>
            <w:tcBorders>
              <w:top w:val="nil"/>
              <w:bottom w:val="nil"/>
            </w:tcBorders>
            <w:shd w:val="clear" w:color="auto" w:fill="auto"/>
          </w:tcPr>
          <w:p w14:paraId="05336FCD" w14:textId="77777777" w:rsidR="00502FFA" w:rsidRPr="005734B8" w:rsidRDefault="00502FFA" w:rsidP="00502FFA">
            <w:pPr>
              <w:pStyle w:val="ESTablebody"/>
              <w:rPr>
                <w:rFonts w:ascii="Calibri" w:hAnsi="Calibri" w:cs="Calibri"/>
                <w:sz w:val="18"/>
              </w:rPr>
            </w:pPr>
          </w:p>
        </w:tc>
        <w:tc>
          <w:tcPr>
            <w:tcW w:w="2129" w:type="dxa"/>
            <w:tcBorders>
              <w:top w:val="nil"/>
              <w:bottom w:val="nil"/>
            </w:tcBorders>
            <w:vAlign w:val="center"/>
          </w:tcPr>
          <w:p w14:paraId="2154B908" w14:textId="77777777"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Evidence of OHS criteria in purchasing guidelines (including goods, services and personnel)</w:t>
            </w:r>
          </w:p>
        </w:tc>
        <w:tc>
          <w:tcPr>
            <w:tcW w:w="1264" w:type="dxa"/>
            <w:tcBorders>
              <w:top w:val="nil"/>
              <w:bottom w:val="nil"/>
            </w:tcBorders>
            <w:vAlign w:val="center"/>
          </w:tcPr>
          <w:p w14:paraId="4A4B2C2A"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Complete</w:t>
            </w:r>
          </w:p>
        </w:tc>
        <w:tc>
          <w:tcPr>
            <w:tcW w:w="1264" w:type="dxa"/>
            <w:tcBorders>
              <w:top w:val="nil"/>
              <w:bottom w:val="nil"/>
            </w:tcBorders>
            <w:vAlign w:val="center"/>
          </w:tcPr>
          <w:p w14:paraId="40EA334E"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Complete</w:t>
            </w:r>
          </w:p>
        </w:tc>
        <w:tc>
          <w:tcPr>
            <w:tcW w:w="1264" w:type="dxa"/>
            <w:tcBorders>
              <w:top w:val="nil"/>
              <w:bottom w:val="nil"/>
            </w:tcBorders>
            <w:shd w:val="clear" w:color="auto" w:fill="D9D9D6"/>
            <w:vAlign w:val="center"/>
          </w:tcPr>
          <w:p w14:paraId="73BF0E53"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Complete</w:t>
            </w:r>
          </w:p>
        </w:tc>
      </w:tr>
      <w:tr w:rsidR="00502FFA" w:rsidRPr="005734B8" w14:paraId="7615CE04" w14:textId="77777777" w:rsidTr="00502FFA">
        <w:trPr>
          <w:cantSplit/>
        </w:trPr>
        <w:tc>
          <w:tcPr>
            <w:tcW w:w="1682" w:type="dxa"/>
            <w:tcBorders>
              <w:top w:val="nil"/>
              <w:bottom w:val="nil"/>
            </w:tcBorders>
            <w:shd w:val="clear" w:color="auto" w:fill="auto"/>
          </w:tcPr>
          <w:p w14:paraId="19A68A5D" w14:textId="77777777" w:rsidR="00502FFA" w:rsidRPr="005734B8" w:rsidRDefault="00502FFA" w:rsidP="00502FFA">
            <w:pPr>
              <w:pStyle w:val="ESTablebody"/>
              <w:rPr>
                <w:rFonts w:ascii="Calibri" w:hAnsi="Calibri" w:cs="Calibri"/>
                <w:sz w:val="18"/>
              </w:rPr>
            </w:pPr>
          </w:p>
        </w:tc>
        <w:tc>
          <w:tcPr>
            <w:tcW w:w="2129" w:type="dxa"/>
            <w:tcBorders>
              <w:top w:val="nil"/>
              <w:bottom w:val="nil"/>
            </w:tcBorders>
            <w:vAlign w:val="center"/>
          </w:tcPr>
          <w:p w14:paraId="2516D1C7" w14:textId="77777777"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Management engagement in audits</w:t>
            </w:r>
            <w:r w:rsidRPr="005734B8">
              <w:rPr>
                <w:rStyle w:val="FootnoteReference"/>
                <w:rFonts w:ascii="Calibri" w:hAnsi="Calibri" w:cs="Calibri"/>
                <w:sz w:val="18"/>
              </w:rPr>
              <w:footnoteReference w:id="35"/>
            </w:r>
          </w:p>
        </w:tc>
        <w:tc>
          <w:tcPr>
            <w:tcW w:w="1264" w:type="dxa"/>
            <w:tcBorders>
              <w:top w:val="nil"/>
              <w:bottom w:val="nil"/>
            </w:tcBorders>
          </w:tcPr>
          <w:p w14:paraId="777A7769" w14:textId="1BC0B216" w:rsidR="00502FFA" w:rsidRPr="005734B8" w:rsidRDefault="00502FFA" w:rsidP="00502FFA">
            <w:pPr>
              <w:pStyle w:val="ESTablenumberrightaligned"/>
              <w:rPr>
                <w:rFonts w:ascii="Calibri" w:hAnsi="Calibri" w:cs="Calibri"/>
                <w:sz w:val="18"/>
              </w:rPr>
            </w:pPr>
            <w:r w:rsidRPr="005734B8">
              <w:rPr>
                <w:rFonts w:ascii="Calibri" w:hAnsi="Calibri" w:cs="Calibri"/>
                <w:sz w:val="18"/>
              </w:rPr>
              <w:t>–</w:t>
            </w:r>
          </w:p>
        </w:tc>
        <w:tc>
          <w:tcPr>
            <w:tcW w:w="1264" w:type="dxa"/>
            <w:tcBorders>
              <w:top w:val="nil"/>
              <w:bottom w:val="nil"/>
            </w:tcBorders>
          </w:tcPr>
          <w:p w14:paraId="3043F939" w14:textId="2F7204BF" w:rsidR="00502FFA" w:rsidRPr="005734B8" w:rsidRDefault="00502FFA" w:rsidP="00502FFA">
            <w:pPr>
              <w:pStyle w:val="ESTablenumberrightaligned"/>
              <w:rPr>
                <w:rFonts w:ascii="Calibri" w:hAnsi="Calibri" w:cs="Calibri"/>
                <w:sz w:val="18"/>
              </w:rPr>
            </w:pPr>
            <w:r w:rsidRPr="005734B8">
              <w:rPr>
                <w:rFonts w:ascii="Calibri" w:hAnsi="Calibri" w:cs="Calibri"/>
                <w:sz w:val="18"/>
              </w:rPr>
              <w:t>–</w:t>
            </w:r>
          </w:p>
        </w:tc>
        <w:tc>
          <w:tcPr>
            <w:tcW w:w="1264" w:type="dxa"/>
            <w:tcBorders>
              <w:top w:val="nil"/>
              <w:bottom w:val="nil"/>
            </w:tcBorders>
            <w:shd w:val="clear" w:color="auto" w:fill="D9D9D6"/>
          </w:tcPr>
          <w:p w14:paraId="3ABCBFC5" w14:textId="05D89252" w:rsidR="00502FFA" w:rsidRPr="005734B8" w:rsidRDefault="00502FFA" w:rsidP="00502FFA">
            <w:pPr>
              <w:pStyle w:val="ESTablenumberrightaligned"/>
              <w:rPr>
                <w:rFonts w:ascii="Calibri" w:hAnsi="Calibri" w:cs="Calibri"/>
                <w:sz w:val="18"/>
              </w:rPr>
            </w:pPr>
            <w:r w:rsidRPr="005734B8">
              <w:rPr>
                <w:rFonts w:ascii="Calibri" w:hAnsi="Calibri" w:cs="Calibri"/>
                <w:sz w:val="18"/>
              </w:rPr>
              <w:t>–</w:t>
            </w:r>
          </w:p>
        </w:tc>
      </w:tr>
      <w:tr w:rsidR="00502FFA" w:rsidRPr="005734B8" w14:paraId="4E20B3DC" w14:textId="77777777" w:rsidTr="00502FFA">
        <w:trPr>
          <w:cantSplit/>
        </w:trPr>
        <w:tc>
          <w:tcPr>
            <w:tcW w:w="1682" w:type="dxa"/>
            <w:tcBorders>
              <w:top w:val="nil"/>
              <w:bottom w:val="single" w:sz="4" w:space="0" w:color="FFFFFF" w:themeColor="background1"/>
            </w:tcBorders>
            <w:shd w:val="clear" w:color="auto" w:fill="auto"/>
          </w:tcPr>
          <w:p w14:paraId="3D8D6D68" w14:textId="77777777" w:rsidR="00502FFA" w:rsidRPr="005734B8" w:rsidRDefault="00502FFA" w:rsidP="00502FFA">
            <w:pPr>
              <w:pStyle w:val="ESTablebody"/>
              <w:rPr>
                <w:rFonts w:ascii="Calibri" w:hAnsi="Calibri" w:cs="Calibri"/>
                <w:sz w:val="18"/>
              </w:rPr>
            </w:pPr>
          </w:p>
        </w:tc>
        <w:tc>
          <w:tcPr>
            <w:tcW w:w="2129" w:type="dxa"/>
            <w:tcBorders>
              <w:top w:val="nil"/>
              <w:bottom w:val="single" w:sz="4" w:space="0" w:color="FFFFFF" w:themeColor="background1"/>
            </w:tcBorders>
            <w:vAlign w:val="center"/>
          </w:tcPr>
          <w:p w14:paraId="75AB15A8" w14:textId="15B112F3"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Senior management commitment</w:t>
            </w:r>
            <w:r w:rsidR="00B25C85" w:rsidRPr="005734B8">
              <w:rPr>
                <w:rFonts w:ascii="Calibri" w:hAnsi="Calibri" w:cs="Calibri"/>
                <w:sz w:val="18"/>
              </w:rPr>
              <w:t>—</w:t>
            </w:r>
            <w:r w:rsidRPr="005734B8">
              <w:rPr>
                <w:rFonts w:ascii="Calibri" w:hAnsi="Calibri" w:cs="Calibri"/>
                <w:sz w:val="18"/>
              </w:rPr>
              <w:t>OHSMS review</w:t>
            </w:r>
            <w:r w:rsidRPr="005734B8">
              <w:rPr>
                <w:rStyle w:val="FootnoteReference"/>
                <w:rFonts w:ascii="Calibri" w:hAnsi="Calibri" w:cs="Calibri"/>
                <w:sz w:val="18"/>
              </w:rPr>
              <w:footnoteReference w:id="36"/>
            </w:r>
          </w:p>
        </w:tc>
        <w:tc>
          <w:tcPr>
            <w:tcW w:w="1264" w:type="dxa"/>
            <w:tcBorders>
              <w:top w:val="nil"/>
              <w:bottom w:val="single" w:sz="4" w:space="0" w:color="FFFFFF" w:themeColor="background1"/>
            </w:tcBorders>
            <w:vAlign w:val="center"/>
          </w:tcPr>
          <w:p w14:paraId="3F6AB6EE"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Yes</w:t>
            </w:r>
          </w:p>
        </w:tc>
        <w:tc>
          <w:tcPr>
            <w:tcW w:w="1264" w:type="dxa"/>
            <w:tcBorders>
              <w:top w:val="nil"/>
              <w:bottom w:val="single" w:sz="4" w:space="0" w:color="FFFFFF" w:themeColor="background1"/>
            </w:tcBorders>
            <w:vAlign w:val="center"/>
          </w:tcPr>
          <w:p w14:paraId="7BF8ADB0"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Yes</w:t>
            </w:r>
          </w:p>
        </w:tc>
        <w:tc>
          <w:tcPr>
            <w:tcW w:w="1264" w:type="dxa"/>
            <w:tcBorders>
              <w:top w:val="nil"/>
              <w:bottom w:val="single" w:sz="4" w:space="0" w:color="FFFFFF" w:themeColor="background1"/>
            </w:tcBorders>
            <w:shd w:val="clear" w:color="auto" w:fill="D9D9D6"/>
            <w:vAlign w:val="center"/>
          </w:tcPr>
          <w:p w14:paraId="0E2C21FE"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Yes</w:t>
            </w:r>
          </w:p>
        </w:tc>
      </w:tr>
      <w:tr w:rsidR="00502FFA" w:rsidRPr="005734B8" w14:paraId="5B70C06D" w14:textId="77777777" w:rsidTr="00502FFA">
        <w:trPr>
          <w:cantSplit/>
        </w:trPr>
        <w:tc>
          <w:tcPr>
            <w:tcW w:w="1682" w:type="dxa"/>
            <w:tcBorders>
              <w:top w:val="single" w:sz="4" w:space="0" w:color="53565A" w:themeColor="accent5"/>
              <w:bottom w:val="nil"/>
            </w:tcBorders>
            <w:shd w:val="clear" w:color="auto" w:fill="auto"/>
          </w:tcPr>
          <w:p w14:paraId="57A0EDAA" w14:textId="77777777" w:rsidR="00502FFA" w:rsidRPr="005734B8" w:rsidRDefault="00502FFA" w:rsidP="00502FFA">
            <w:pPr>
              <w:pStyle w:val="ESTablebody"/>
              <w:rPr>
                <w:rFonts w:ascii="Calibri" w:hAnsi="Calibri" w:cs="Calibri"/>
                <w:sz w:val="18"/>
              </w:rPr>
            </w:pPr>
            <w:r w:rsidRPr="005734B8">
              <w:rPr>
                <w:rFonts w:ascii="Calibri" w:hAnsi="Calibri" w:cs="Calibri"/>
                <w:sz w:val="18"/>
              </w:rPr>
              <w:t>Consultation and participation</w:t>
            </w:r>
          </w:p>
        </w:tc>
        <w:tc>
          <w:tcPr>
            <w:tcW w:w="2129" w:type="dxa"/>
            <w:tcBorders>
              <w:top w:val="single" w:sz="4" w:space="0" w:color="53565A" w:themeColor="accent5"/>
              <w:bottom w:val="nil"/>
            </w:tcBorders>
            <w:vAlign w:val="center"/>
          </w:tcPr>
          <w:p w14:paraId="53CA7E6E" w14:textId="77777777"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Evidence of agreed structure of designated workgroups, health and safety representatives, and issue resolution procedures</w:t>
            </w:r>
          </w:p>
        </w:tc>
        <w:tc>
          <w:tcPr>
            <w:tcW w:w="1264" w:type="dxa"/>
            <w:tcBorders>
              <w:top w:val="single" w:sz="4" w:space="0" w:color="53565A" w:themeColor="accent5"/>
              <w:bottom w:val="nil"/>
            </w:tcBorders>
            <w:vAlign w:val="center"/>
          </w:tcPr>
          <w:p w14:paraId="1A611C7A"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Complete</w:t>
            </w:r>
          </w:p>
        </w:tc>
        <w:tc>
          <w:tcPr>
            <w:tcW w:w="1264" w:type="dxa"/>
            <w:tcBorders>
              <w:top w:val="single" w:sz="4" w:space="0" w:color="53565A" w:themeColor="accent5"/>
              <w:bottom w:val="nil"/>
            </w:tcBorders>
            <w:vAlign w:val="center"/>
          </w:tcPr>
          <w:p w14:paraId="1A8E37FC"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Complete</w:t>
            </w:r>
          </w:p>
        </w:tc>
        <w:tc>
          <w:tcPr>
            <w:tcW w:w="1264" w:type="dxa"/>
            <w:tcBorders>
              <w:top w:val="single" w:sz="4" w:space="0" w:color="53565A" w:themeColor="accent5"/>
              <w:bottom w:val="nil"/>
            </w:tcBorders>
            <w:shd w:val="clear" w:color="auto" w:fill="D9D9D6"/>
            <w:vAlign w:val="center"/>
          </w:tcPr>
          <w:p w14:paraId="5D0672D8"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Complete</w:t>
            </w:r>
          </w:p>
        </w:tc>
      </w:tr>
      <w:tr w:rsidR="00502FFA" w:rsidRPr="005734B8" w14:paraId="2B53D00E" w14:textId="77777777" w:rsidTr="00502FFA">
        <w:trPr>
          <w:cantSplit/>
        </w:trPr>
        <w:tc>
          <w:tcPr>
            <w:tcW w:w="1682" w:type="dxa"/>
            <w:tcBorders>
              <w:top w:val="nil"/>
              <w:bottom w:val="nil"/>
            </w:tcBorders>
            <w:shd w:val="clear" w:color="auto" w:fill="auto"/>
          </w:tcPr>
          <w:p w14:paraId="0F930E63" w14:textId="77777777" w:rsidR="00502FFA" w:rsidRPr="005734B8" w:rsidRDefault="00502FFA" w:rsidP="00502FFA">
            <w:pPr>
              <w:pStyle w:val="ESTablebody"/>
              <w:rPr>
                <w:rFonts w:ascii="Calibri" w:hAnsi="Calibri" w:cs="Calibri"/>
                <w:sz w:val="18"/>
              </w:rPr>
            </w:pPr>
          </w:p>
        </w:tc>
        <w:tc>
          <w:tcPr>
            <w:tcW w:w="2129" w:type="dxa"/>
            <w:tcBorders>
              <w:top w:val="nil"/>
              <w:bottom w:val="nil"/>
            </w:tcBorders>
            <w:vAlign w:val="center"/>
          </w:tcPr>
          <w:p w14:paraId="179B97F3" w14:textId="77336C8A"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Percent</w:t>
            </w:r>
            <w:r w:rsidR="00B25C85" w:rsidRPr="005734B8">
              <w:rPr>
                <w:rFonts w:ascii="Calibri" w:hAnsi="Calibri" w:cs="Calibri"/>
                <w:sz w:val="18"/>
              </w:rPr>
              <w:t>age</w:t>
            </w:r>
            <w:r w:rsidRPr="005734B8">
              <w:rPr>
                <w:rFonts w:ascii="Calibri" w:hAnsi="Calibri" w:cs="Calibri"/>
                <w:sz w:val="18"/>
              </w:rPr>
              <w:t xml:space="preserve"> of schools reported to have health and safety representatives and OHS committees based on audit results</w:t>
            </w:r>
          </w:p>
        </w:tc>
        <w:tc>
          <w:tcPr>
            <w:tcW w:w="1264" w:type="dxa"/>
            <w:tcBorders>
              <w:top w:val="nil"/>
              <w:bottom w:val="nil"/>
            </w:tcBorders>
            <w:vAlign w:val="center"/>
          </w:tcPr>
          <w:p w14:paraId="472110A8"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68</w:t>
            </w:r>
          </w:p>
        </w:tc>
        <w:tc>
          <w:tcPr>
            <w:tcW w:w="1264" w:type="dxa"/>
            <w:tcBorders>
              <w:top w:val="nil"/>
              <w:bottom w:val="nil"/>
            </w:tcBorders>
            <w:vAlign w:val="center"/>
          </w:tcPr>
          <w:p w14:paraId="5A88CC87"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63</w:t>
            </w:r>
          </w:p>
        </w:tc>
        <w:tc>
          <w:tcPr>
            <w:tcW w:w="1264" w:type="dxa"/>
            <w:tcBorders>
              <w:top w:val="nil"/>
              <w:bottom w:val="nil"/>
            </w:tcBorders>
            <w:shd w:val="clear" w:color="auto" w:fill="D9D9D6"/>
            <w:vAlign w:val="center"/>
          </w:tcPr>
          <w:p w14:paraId="4D1B4C88"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64</w:t>
            </w:r>
          </w:p>
        </w:tc>
      </w:tr>
      <w:tr w:rsidR="00502FFA" w:rsidRPr="005734B8" w14:paraId="65D92E91" w14:textId="77777777" w:rsidTr="00502FFA">
        <w:trPr>
          <w:cantSplit/>
        </w:trPr>
        <w:tc>
          <w:tcPr>
            <w:tcW w:w="1682" w:type="dxa"/>
            <w:tcBorders>
              <w:top w:val="nil"/>
              <w:bottom w:val="nil"/>
            </w:tcBorders>
            <w:shd w:val="clear" w:color="auto" w:fill="auto"/>
          </w:tcPr>
          <w:p w14:paraId="496169F9" w14:textId="77777777" w:rsidR="00502FFA" w:rsidRPr="005734B8" w:rsidRDefault="00502FFA" w:rsidP="00502FFA">
            <w:pPr>
              <w:pStyle w:val="ESTablebody"/>
              <w:rPr>
                <w:rFonts w:ascii="Calibri" w:hAnsi="Calibri" w:cs="Calibri"/>
                <w:sz w:val="18"/>
              </w:rPr>
            </w:pPr>
          </w:p>
        </w:tc>
        <w:tc>
          <w:tcPr>
            <w:tcW w:w="2129" w:type="dxa"/>
            <w:tcBorders>
              <w:top w:val="nil"/>
              <w:bottom w:val="nil"/>
            </w:tcBorders>
            <w:vAlign w:val="center"/>
          </w:tcPr>
          <w:p w14:paraId="392B5AD6" w14:textId="212F2C17"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Senior management involvement in consultation and communication</w:t>
            </w:r>
            <w:r w:rsidRPr="005734B8">
              <w:rPr>
                <w:rStyle w:val="FootnoteReference"/>
                <w:rFonts w:ascii="Calibri" w:hAnsi="Calibri" w:cs="Calibri"/>
                <w:sz w:val="18"/>
              </w:rPr>
              <w:footnoteReference w:id="37"/>
            </w:r>
            <w:r w:rsidRPr="005734B8">
              <w:rPr>
                <w:rFonts w:ascii="Calibri" w:hAnsi="Calibri" w:cs="Calibri"/>
                <w:sz w:val="18"/>
              </w:rPr>
              <w:t xml:space="preserve"> </w:t>
            </w:r>
          </w:p>
        </w:tc>
        <w:tc>
          <w:tcPr>
            <w:tcW w:w="1264" w:type="dxa"/>
            <w:tcBorders>
              <w:top w:val="nil"/>
              <w:bottom w:val="nil"/>
            </w:tcBorders>
            <w:vAlign w:val="center"/>
          </w:tcPr>
          <w:p w14:paraId="4F48945D" w14:textId="1364F82B" w:rsidR="00502FFA" w:rsidRPr="005734B8" w:rsidRDefault="00502FFA" w:rsidP="00502FFA">
            <w:pPr>
              <w:pStyle w:val="ESTablenumberrightaligned"/>
              <w:rPr>
                <w:rFonts w:ascii="Calibri" w:hAnsi="Calibri" w:cs="Calibri"/>
                <w:sz w:val="18"/>
              </w:rPr>
            </w:pPr>
            <w:r w:rsidRPr="005734B8">
              <w:rPr>
                <w:rFonts w:ascii="Calibri" w:hAnsi="Calibri" w:cs="Calibri"/>
                <w:sz w:val="18"/>
              </w:rPr>
              <w:t>–</w:t>
            </w:r>
          </w:p>
        </w:tc>
        <w:tc>
          <w:tcPr>
            <w:tcW w:w="1264" w:type="dxa"/>
            <w:tcBorders>
              <w:top w:val="nil"/>
              <w:bottom w:val="nil"/>
            </w:tcBorders>
            <w:vAlign w:val="center"/>
          </w:tcPr>
          <w:p w14:paraId="2E709EB6" w14:textId="1803E12F" w:rsidR="00502FFA" w:rsidRPr="005734B8" w:rsidRDefault="00502FFA" w:rsidP="00502FFA">
            <w:pPr>
              <w:pStyle w:val="ESTablenumberrightaligned"/>
              <w:rPr>
                <w:rFonts w:ascii="Calibri" w:hAnsi="Calibri" w:cs="Calibri"/>
                <w:sz w:val="18"/>
              </w:rPr>
            </w:pPr>
            <w:r w:rsidRPr="005734B8">
              <w:rPr>
                <w:rFonts w:ascii="Calibri" w:hAnsi="Calibri" w:cs="Calibri"/>
                <w:sz w:val="18"/>
              </w:rPr>
              <w:t>–</w:t>
            </w:r>
          </w:p>
        </w:tc>
        <w:tc>
          <w:tcPr>
            <w:tcW w:w="1264" w:type="dxa"/>
            <w:tcBorders>
              <w:top w:val="nil"/>
              <w:bottom w:val="nil"/>
            </w:tcBorders>
            <w:shd w:val="clear" w:color="auto" w:fill="D9D9D6"/>
            <w:vAlign w:val="center"/>
          </w:tcPr>
          <w:p w14:paraId="31856750" w14:textId="79FD7B9C" w:rsidR="00502FFA" w:rsidRPr="005734B8" w:rsidRDefault="00502FFA" w:rsidP="00502FFA">
            <w:pPr>
              <w:pStyle w:val="ESTablenumberrightaligned"/>
              <w:rPr>
                <w:rFonts w:ascii="Calibri" w:hAnsi="Calibri" w:cs="Calibri"/>
                <w:sz w:val="18"/>
              </w:rPr>
            </w:pPr>
            <w:r w:rsidRPr="005734B8">
              <w:rPr>
                <w:rFonts w:ascii="Calibri" w:hAnsi="Calibri" w:cs="Calibri"/>
                <w:sz w:val="18"/>
              </w:rPr>
              <w:t>–</w:t>
            </w:r>
          </w:p>
        </w:tc>
      </w:tr>
      <w:tr w:rsidR="00502FFA" w:rsidRPr="005734B8" w14:paraId="69AF7FF4" w14:textId="77777777" w:rsidTr="00502FFA">
        <w:trPr>
          <w:cantSplit/>
        </w:trPr>
        <w:tc>
          <w:tcPr>
            <w:tcW w:w="1682" w:type="dxa"/>
            <w:tcBorders>
              <w:top w:val="nil"/>
              <w:bottom w:val="single" w:sz="4" w:space="0" w:color="53565A" w:themeColor="accent5"/>
            </w:tcBorders>
            <w:shd w:val="clear" w:color="auto" w:fill="auto"/>
          </w:tcPr>
          <w:p w14:paraId="57DC6DF4" w14:textId="77777777" w:rsidR="00502FFA" w:rsidRPr="005734B8" w:rsidRDefault="00502FFA" w:rsidP="00502FFA">
            <w:pPr>
              <w:pStyle w:val="ESTablebody"/>
              <w:rPr>
                <w:rFonts w:ascii="Calibri" w:hAnsi="Calibri" w:cs="Calibri"/>
                <w:sz w:val="18"/>
              </w:rPr>
            </w:pPr>
          </w:p>
        </w:tc>
        <w:tc>
          <w:tcPr>
            <w:tcW w:w="2129" w:type="dxa"/>
            <w:tcBorders>
              <w:top w:val="nil"/>
              <w:bottom w:val="single" w:sz="4" w:space="0" w:color="53565A" w:themeColor="accent5"/>
            </w:tcBorders>
            <w:vAlign w:val="center"/>
          </w:tcPr>
          <w:p w14:paraId="3E731E74" w14:textId="77777777"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Compliance with agreed structure of above</w:t>
            </w:r>
          </w:p>
        </w:tc>
        <w:tc>
          <w:tcPr>
            <w:tcW w:w="1264" w:type="dxa"/>
            <w:tcBorders>
              <w:top w:val="nil"/>
              <w:bottom w:val="single" w:sz="4" w:space="0" w:color="53565A" w:themeColor="accent5"/>
            </w:tcBorders>
            <w:vAlign w:val="center"/>
          </w:tcPr>
          <w:p w14:paraId="616428CC"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Completed</w:t>
            </w:r>
          </w:p>
        </w:tc>
        <w:tc>
          <w:tcPr>
            <w:tcW w:w="1264" w:type="dxa"/>
            <w:tcBorders>
              <w:top w:val="nil"/>
              <w:bottom w:val="single" w:sz="4" w:space="0" w:color="53565A" w:themeColor="accent5"/>
            </w:tcBorders>
            <w:vAlign w:val="center"/>
          </w:tcPr>
          <w:p w14:paraId="5A7E0016"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Completed</w:t>
            </w:r>
          </w:p>
        </w:tc>
        <w:tc>
          <w:tcPr>
            <w:tcW w:w="1264" w:type="dxa"/>
            <w:tcBorders>
              <w:top w:val="nil"/>
              <w:bottom w:val="single" w:sz="4" w:space="0" w:color="53565A" w:themeColor="accent5"/>
            </w:tcBorders>
            <w:shd w:val="clear" w:color="auto" w:fill="D9D9D6"/>
            <w:vAlign w:val="center"/>
          </w:tcPr>
          <w:p w14:paraId="2ED62E00"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Completed</w:t>
            </w:r>
          </w:p>
        </w:tc>
      </w:tr>
      <w:tr w:rsidR="00502FFA" w:rsidRPr="005734B8" w14:paraId="445D835E" w14:textId="77777777" w:rsidTr="00502FFA">
        <w:trPr>
          <w:cantSplit/>
        </w:trPr>
        <w:tc>
          <w:tcPr>
            <w:tcW w:w="1682" w:type="dxa"/>
            <w:tcBorders>
              <w:top w:val="single" w:sz="4" w:space="0" w:color="53565A" w:themeColor="accent5"/>
              <w:bottom w:val="nil"/>
            </w:tcBorders>
            <w:shd w:val="clear" w:color="auto" w:fill="auto"/>
            <w:vAlign w:val="center"/>
          </w:tcPr>
          <w:p w14:paraId="0CCC9833" w14:textId="77777777" w:rsidR="00502FFA" w:rsidRPr="005734B8" w:rsidRDefault="00502FFA" w:rsidP="00502FFA">
            <w:pPr>
              <w:pStyle w:val="ESTablebody"/>
              <w:rPr>
                <w:rFonts w:ascii="Calibri" w:hAnsi="Calibri" w:cs="Calibri"/>
                <w:sz w:val="18"/>
              </w:rPr>
            </w:pPr>
            <w:r w:rsidRPr="005734B8">
              <w:rPr>
                <w:rFonts w:ascii="Calibri" w:hAnsi="Calibri" w:cs="Calibri"/>
                <w:sz w:val="18"/>
              </w:rPr>
              <w:t>Risk management</w:t>
            </w:r>
          </w:p>
        </w:tc>
        <w:tc>
          <w:tcPr>
            <w:tcW w:w="2129" w:type="dxa"/>
            <w:tcBorders>
              <w:top w:val="single" w:sz="4" w:space="0" w:color="53565A" w:themeColor="accent5"/>
              <w:bottom w:val="nil"/>
            </w:tcBorders>
            <w:vAlign w:val="center"/>
          </w:tcPr>
          <w:p w14:paraId="1FF786DD" w14:textId="7B693A38"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Percent</w:t>
            </w:r>
            <w:r w:rsidR="00B25C85" w:rsidRPr="005734B8">
              <w:rPr>
                <w:rFonts w:ascii="Calibri" w:hAnsi="Calibri" w:cs="Calibri"/>
                <w:sz w:val="18"/>
              </w:rPr>
              <w:t>age</w:t>
            </w:r>
            <w:r w:rsidRPr="005734B8">
              <w:rPr>
                <w:rFonts w:ascii="Calibri" w:hAnsi="Calibri" w:cs="Calibri"/>
                <w:sz w:val="18"/>
              </w:rPr>
              <w:t xml:space="preserve"> of internal audits/inspections conducted as planned</w:t>
            </w:r>
          </w:p>
        </w:tc>
        <w:tc>
          <w:tcPr>
            <w:tcW w:w="1264" w:type="dxa"/>
            <w:tcBorders>
              <w:top w:val="single" w:sz="4" w:space="0" w:color="53565A" w:themeColor="accent5"/>
              <w:bottom w:val="nil"/>
            </w:tcBorders>
            <w:vAlign w:val="center"/>
          </w:tcPr>
          <w:p w14:paraId="75FD97CF"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100</w:t>
            </w:r>
          </w:p>
        </w:tc>
        <w:tc>
          <w:tcPr>
            <w:tcW w:w="1264" w:type="dxa"/>
            <w:tcBorders>
              <w:top w:val="single" w:sz="4" w:space="0" w:color="53565A" w:themeColor="accent5"/>
              <w:bottom w:val="nil"/>
            </w:tcBorders>
            <w:vAlign w:val="center"/>
          </w:tcPr>
          <w:p w14:paraId="1CB5E400"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79</w:t>
            </w:r>
          </w:p>
        </w:tc>
        <w:tc>
          <w:tcPr>
            <w:tcW w:w="1264" w:type="dxa"/>
            <w:tcBorders>
              <w:top w:val="single" w:sz="4" w:space="0" w:color="53565A" w:themeColor="accent5"/>
              <w:bottom w:val="nil"/>
            </w:tcBorders>
            <w:shd w:val="clear" w:color="auto" w:fill="D9D9D6"/>
            <w:vAlign w:val="center"/>
          </w:tcPr>
          <w:p w14:paraId="08F89AF6"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62</w:t>
            </w:r>
          </w:p>
        </w:tc>
      </w:tr>
      <w:tr w:rsidR="00502FFA" w:rsidRPr="005734B8" w14:paraId="626A4B96" w14:textId="77777777" w:rsidTr="00502FFA">
        <w:trPr>
          <w:cantSplit/>
        </w:trPr>
        <w:tc>
          <w:tcPr>
            <w:tcW w:w="1682" w:type="dxa"/>
            <w:tcBorders>
              <w:top w:val="nil"/>
              <w:bottom w:val="nil"/>
            </w:tcBorders>
            <w:shd w:val="clear" w:color="auto" w:fill="auto"/>
            <w:vAlign w:val="center"/>
          </w:tcPr>
          <w:p w14:paraId="5285893C" w14:textId="77777777" w:rsidR="00502FFA" w:rsidRPr="005734B8" w:rsidRDefault="00502FFA" w:rsidP="00502FFA">
            <w:pPr>
              <w:pStyle w:val="ESTablebody"/>
              <w:rPr>
                <w:rFonts w:ascii="Calibri" w:hAnsi="Calibri" w:cs="Calibri"/>
                <w:sz w:val="18"/>
              </w:rPr>
            </w:pPr>
          </w:p>
        </w:tc>
        <w:tc>
          <w:tcPr>
            <w:tcW w:w="2129" w:type="dxa"/>
            <w:tcBorders>
              <w:top w:val="nil"/>
              <w:bottom w:val="nil"/>
            </w:tcBorders>
            <w:vAlign w:val="center"/>
          </w:tcPr>
          <w:p w14:paraId="67EEA5B3" w14:textId="65ED4CE8"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Percent</w:t>
            </w:r>
            <w:r w:rsidR="00B25C85" w:rsidRPr="005734B8">
              <w:rPr>
                <w:rFonts w:ascii="Calibri" w:hAnsi="Calibri" w:cs="Calibri"/>
                <w:sz w:val="18"/>
              </w:rPr>
              <w:t>age</w:t>
            </w:r>
            <w:r w:rsidRPr="005734B8">
              <w:rPr>
                <w:rFonts w:ascii="Calibri" w:hAnsi="Calibri" w:cs="Calibri"/>
                <w:sz w:val="18"/>
              </w:rPr>
              <w:t xml:space="preserve"> of reported incidents investigated</w:t>
            </w:r>
          </w:p>
        </w:tc>
        <w:tc>
          <w:tcPr>
            <w:tcW w:w="1264" w:type="dxa"/>
            <w:tcBorders>
              <w:top w:val="nil"/>
              <w:bottom w:val="nil"/>
            </w:tcBorders>
            <w:vAlign w:val="center"/>
          </w:tcPr>
          <w:p w14:paraId="45B6ECA0" w14:textId="60DA4BB1" w:rsidR="00502FFA" w:rsidRPr="005734B8" w:rsidRDefault="00502FFA" w:rsidP="00502FFA">
            <w:pPr>
              <w:pStyle w:val="ESTablenumberrightaligned"/>
              <w:rPr>
                <w:rFonts w:ascii="Calibri" w:hAnsi="Calibri" w:cs="Calibri"/>
                <w:sz w:val="18"/>
              </w:rPr>
            </w:pPr>
            <w:r w:rsidRPr="005734B8">
              <w:rPr>
                <w:rFonts w:ascii="Calibri" w:hAnsi="Calibri" w:cs="Calibri"/>
                <w:sz w:val="18"/>
              </w:rPr>
              <w:t>59</w:t>
            </w:r>
          </w:p>
        </w:tc>
        <w:tc>
          <w:tcPr>
            <w:tcW w:w="1264" w:type="dxa"/>
            <w:tcBorders>
              <w:top w:val="nil"/>
              <w:bottom w:val="nil"/>
            </w:tcBorders>
            <w:vAlign w:val="center"/>
          </w:tcPr>
          <w:p w14:paraId="15A08B52"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55</w:t>
            </w:r>
          </w:p>
        </w:tc>
        <w:tc>
          <w:tcPr>
            <w:tcW w:w="1264" w:type="dxa"/>
            <w:tcBorders>
              <w:top w:val="nil"/>
              <w:bottom w:val="nil"/>
            </w:tcBorders>
            <w:shd w:val="clear" w:color="auto" w:fill="D9D9D6"/>
            <w:vAlign w:val="center"/>
          </w:tcPr>
          <w:p w14:paraId="4B0D906C" w14:textId="68BFC4E8" w:rsidR="00502FFA" w:rsidRPr="005734B8" w:rsidRDefault="00787E79" w:rsidP="00502FFA">
            <w:pPr>
              <w:pStyle w:val="ESTablenumberrightaligned"/>
              <w:rPr>
                <w:rFonts w:ascii="Calibri" w:hAnsi="Calibri" w:cs="Calibri"/>
                <w:sz w:val="18"/>
              </w:rPr>
            </w:pPr>
            <w:r w:rsidRPr="005734B8">
              <w:rPr>
                <w:rFonts w:ascii="Calibri" w:hAnsi="Calibri" w:cs="Calibri"/>
                <w:sz w:val="18"/>
              </w:rPr>
              <w:t>57</w:t>
            </w:r>
          </w:p>
        </w:tc>
      </w:tr>
      <w:tr w:rsidR="00502FFA" w:rsidRPr="005734B8" w14:paraId="10DD0F4D" w14:textId="77777777" w:rsidTr="00502FFA">
        <w:trPr>
          <w:cantSplit/>
        </w:trPr>
        <w:tc>
          <w:tcPr>
            <w:tcW w:w="1682" w:type="dxa"/>
            <w:tcBorders>
              <w:top w:val="nil"/>
              <w:bottom w:val="nil"/>
            </w:tcBorders>
            <w:shd w:val="clear" w:color="auto" w:fill="auto"/>
            <w:vAlign w:val="center"/>
          </w:tcPr>
          <w:p w14:paraId="22E296DB" w14:textId="77777777" w:rsidR="00502FFA" w:rsidRPr="005734B8" w:rsidRDefault="00502FFA" w:rsidP="00502FFA">
            <w:pPr>
              <w:pStyle w:val="ESTablebody"/>
              <w:rPr>
                <w:rFonts w:ascii="Calibri" w:hAnsi="Calibri" w:cs="Calibri"/>
                <w:sz w:val="18"/>
              </w:rPr>
            </w:pPr>
          </w:p>
        </w:tc>
        <w:tc>
          <w:tcPr>
            <w:tcW w:w="2129" w:type="dxa"/>
            <w:tcBorders>
              <w:top w:val="nil"/>
              <w:bottom w:val="nil"/>
            </w:tcBorders>
            <w:vAlign w:val="center"/>
          </w:tcPr>
          <w:p w14:paraId="69C20F78" w14:textId="0F4D6AAB"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 xml:space="preserve">Number of </w:t>
            </w:r>
            <w:r w:rsidR="00B25C85" w:rsidRPr="005734B8">
              <w:rPr>
                <w:rFonts w:ascii="Calibri" w:hAnsi="Calibri" w:cs="Calibri"/>
                <w:sz w:val="18"/>
              </w:rPr>
              <w:t>i</w:t>
            </w:r>
            <w:r w:rsidRPr="005734B8">
              <w:rPr>
                <w:rFonts w:ascii="Calibri" w:hAnsi="Calibri" w:cs="Calibri"/>
                <w:sz w:val="18"/>
              </w:rPr>
              <w:t>mprovement notices issued by WorkSafe inspector</w:t>
            </w:r>
            <w:r w:rsidRPr="005734B8">
              <w:rPr>
                <w:rStyle w:val="FootnoteReference"/>
                <w:rFonts w:ascii="Calibri" w:hAnsi="Calibri" w:cs="Calibri"/>
                <w:sz w:val="18"/>
              </w:rPr>
              <w:footnoteReference w:id="38"/>
            </w:r>
          </w:p>
        </w:tc>
        <w:tc>
          <w:tcPr>
            <w:tcW w:w="1264" w:type="dxa"/>
            <w:tcBorders>
              <w:top w:val="nil"/>
              <w:bottom w:val="nil"/>
            </w:tcBorders>
            <w:vAlign w:val="center"/>
          </w:tcPr>
          <w:p w14:paraId="54D86C79"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105</w:t>
            </w:r>
          </w:p>
        </w:tc>
        <w:tc>
          <w:tcPr>
            <w:tcW w:w="1264" w:type="dxa"/>
            <w:tcBorders>
              <w:top w:val="nil"/>
              <w:bottom w:val="nil"/>
            </w:tcBorders>
            <w:vAlign w:val="center"/>
          </w:tcPr>
          <w:p w14:paraId="0DC63DCB"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98</w:t>
            </w:r>
          </w:p>
        </w:tc>
        <w:tc>
          <w:tcPr>
            <w:tcW w:w="1264" w:type="dxa"/>
            <w:tcBorders>
              <w:top w:val="nil"/>
              <w:bottom w:val="nil"/>
            </w:tcBorders>
            <w:shd w:val="clear" w:color="auto" w:fill="D9D9D6"/>
            <w:vAlign w:val="center"/>
          </w:tcPr>
          <w:p w14:paraId="093D5470"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56</w:t>
            </w:r>
          </w:p>
        </w:tc>
      </w:tr>
      <w:tr w:rsidR="00502FFA" w:rsidRPr="005734B8" w14:paraId="0DBBCB8D" w14:textId="77777777" w:rsidTr="00502FFA">
        <w:trPr>
          <w:cantSplit/>
        </w:trPr>
        <w:tc>
          <w:tcPr>
            <w:tcW w:w="1682" w:type="dxa"/>
            <w:tcBorders>
              <w:top w:val="nil"/>
              <w:bottom w:val="nil"/>
            </w:tcBorders>
            <w:shd w:val="clear" w:color="auto" w:fill="auto"/>
            <w:vAlign w:val="center"/>
          </w:tcPr>
          <w:p w14:paraId="0BA0C2CF" w14:textId="77777777" w:rsidR="00502FFA" w:rsidRPr="005734B8" w:rsidRDefault="00502FFA" w:rsidP="00502FFA">
            <w:pPr>
              <w:pStyle w:val="ESTablebody"/>
              <w:rPr>
                <w:rFonts w:ascii="Calibri" w:hAnsi="Calibri" w:cs="Calibri"/>
                <w:sz w:val="18"/>
              </w:rPr>
            </w:pPr>
          </w:p>
        </w:tc>
        <w:tc>
          <w:tcPr>
            <w:tcW w:w="2129" w:type="dxa"/>
            <w:tcBorders>
              <w:top w:val="nil"/>
              <w:bottom w:val="nil"/>
            </w:tcBorders>
            <w:vAlign w:val="center"/>
          </w:tcPr>
          <w:p w14:paraId="315E3DC4" w14:textId="1FCB127F"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Percent</w:t>
            </w:r>
            <w:r w:rsidR="00B25C85" w:rsidRPr="005734B8">
              <w:rPr>
                <w:rFonts w:ascii="Calibri" w:hAnsi="Calibri" w:cs="Calibri"/>
                <w:sz w:val="18"/>
              </w:rPr>
              <w:t>age</w:t>
            </w:r>
            <w:r w:rsidRPr="005734B8">
              <w:rPr>
                <w:rFonts w:ascii="Calibri" w:hAnsi="Calibri" w:cs="Calibri"/>
                <w:sz w:val="18"/>
              </w:rPr>
              <w:t xml:space="preserve"> of issues actioned as part of the total issues identified in:</w:t>
            </w:r>
          </w:p>
        </w:tc>
        <w:tc>
          <w:tcPr>
            <w:tcW w:w="1264" w:type="dxa"/>
            <w:tcBorders>
              <w:top w:val="nil"/>
              <w:bottom w:val="nil"/>
            </w:tcBorders>
            <w:vAlign w:val="center"/>
          </w:tcPr>
          <w:p w14:paraId="07745562" w14:textId="77777777" w:rsidR="00502FFA" w:rsidRPr="005734B8" w:rsidRDefault="00502FFA" w:rsidP="00502FFA">
            <w:pPr>
              <w:pStyle w:val="ESTablenumberrightaligned"/>
              <w:rPr>
                <w:rFonts w:ascii="Calibri" w:hAnsi="Calibri" w:cs="Calibri"/>
                <w:sz w:val="18"/>
              </w:rPr>
            </w:pPr>
          </w:p>
        </w:tc>
        <w:tc>
          <w:tcPr>
            <w:tcW w:w="1264" w:type="dxa"/>
            <w:tcBorders>
              <w:top w:val="nil"/>
              <w:bottom w:val="nil"/>
            </w:tcBorders>
            <w:vAlign w:val="center"/>
          </w:tcPr>
          <w:p w14:paraId="14FC4787" w14:textId="77777777" w:rsidR="00502FFA" w:rsidRPr="005734B8" w:rsidRDefault="00502FFA" w:rsidP="00502FFA">
            <w:pPr>
              <w:pStyle w:val="ESTablenumberrightaligned"/>
              <w:rPr>
                <w:rFonts w:ascii="Calibri" w:hAnsi="Calibri" w:cs="Calibri"/>
                <w:sz w:val="18"/>
              </w:rPr>
            </w:pPr>
          </w:p>
        </w:tc>
        <w:tc>
          <w:tcPr>
            <w:tcW w:w="1264" w:type="dxa"/>
            <w:tcBorders>
              <w:top w:val="nil"/>
              <w:bottom w:val="nil"/>
            </w:tcBorders>
            <w:shd w:val="clear" w:color="auto" w:fill="D9D9D6"/>
            <w:vAlign w:val="center"/>
          </w:tcPr>
          <w:p w14:paraId="2D50BEFD" w14:textId="77777777" w:rsidR="00502FFA" w:rsidRPr="005734B8" w:rsidRDefault="00502FFA" w:rsidP="00502FFA">
            <w:pPr>
              <w:pStyle w:val="ESTablenumberrightaligned"/>
              <w:rPr>
                <w:rFonts w:ascii="Calibri" w:hAnsi="Calibri" w:cs="Calibri"/>
                <w:sz w:val="18"/>
              </w:rPr>
            </w:pPr>
          </w:p>
        </w:tc>
      </w:tr>
      <w:tr w:rsidR="00502FFA" w:rsidRPr="005734B8" w14:paraId="75140FE7" w14:textId="77777777" w:rsidTr="00502FFA">
        <w:trPr>
          <w:cantSplit/>
        </w:trPr>
        <w:tc>
          <w:tcPr>
            <w:tcW w:w="1682" w:type="dxa"/>
            <w:tcBorders>
              <w:top w:val="nil"/>
              <w:bottom w:val="nil"/>
            </w:tcBorders>
            <w:shd w:val="clear" w:color="auto" w:fill="auto"/>
            <w:vAlign w:val="center"/>
          </w:tcPr>
          <w:p w14:paraId="787C9951" w14:textId="77777777" w:rsidR="00502FFA" w:rsidRPr="005734B8" w:rsidRDefault="00502FFA" w:rsidP="00502FFA">
            <w:pPr>
              <w:pStyle w:val="ESTablebody"/>
              <w:rPr>
                <w:rFonts w:ascii="Calibri" w:hAnsi="Calibri" w:cs="Calibri"/>
                <w:sz w:val="18"/>
              </w:rPr>
            </w:pPr>
          </w:p>
        </w:tc>
        <w:tc>
          <w:tcPr>
            <w:tcW w:w="2129" w:type="dxa"/>
            <w:tcBorders>
              <w:top w:val="nil"/>
              <w:bottom w:val="nil"/>
            </w:tcBorders>
            <w:vAlign w:val="center"/>
          </w:tcPr>
          <w:p w14:paraId="5F12A200" w14:textId="77777777" w:rsidR="00502FFA" w:rsidRPr="005734B8" w:rsidRDefault="00502FFA" w:rsidP="00502FFA">
            <w:pPr>
              <w:pStyle w:val="ESTablenumberrightaligned"/>
              <w:numPr>
                <w:ilvl w:val="0"/>
                <w:numId w:val="7"/>
              </w:numPr>
              <w:jc w:val="left"/>
              <w:rPr>
                <w:rFonts w:ascii="Calibri" w:hAnsi="Calibri" w:cs="Calibri"/>
                <w:sz w:val="18"/>
              </w:rPr>
            </w:pPr>
            <w:r w:rsidRPr="005734B8">
              <w:rPr>
                <w:rFonts w:ascii="Calibri" w:hAnsi="Calibri" w:cs="Calibri"/>
                <w:sz w:val="18"/>
              </w:rPr>
              <w:t>internal audits</w:t>
            </w:r>
          </w:p>
        </w:tc>
        <w:tc>
          <w:tcPr>
            <w:tcW w:w="1264" w:type="dxa"/>
            <w:tcBorders>
              <w:top w:val="nil"/>
              <w:bottom w:val="nil"/>
            </w:tcBorders>
            <w:vAlign w:val="center"/>
          </w:tcPr>
          <w:p w14:paraId="68DDB14A"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69</w:t>
            </w:r>
          </w:p>
        </w:tc>
        <w:tc>
          <w:tcPr>
            <w:tcW w:w="1264" w:type="dxa"/>
            <w:tcBorders>
              <w:top w:val="nil"/>
              <w:bottom w:val="nil"/>
            </w:tcBorders>
            <w:vAlign w:val="center"/>
          </w:tcPr>
          <w:p w14:paraId="1BE7552D"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50</w:t>
            </w:r>
          </w:p>
        </w:tc>
        <w:tc>
          <w:tcPr>
            <w:tcW w:w="1264" w:type="dxa"/>
            <w:tcBorders>
              <w:top w:val="nil"/>
              <w:bottom w:val="nil"/>
            </w:tcBorders>
            <w:shd w:val="clear" w:color="auto" w:fill="D9D9D6"/>
            <w:vAlign w:val="center"/>
          </w:tcPr>
          <w:p w14:paraId="14BB6B67"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6</w:t>
            </w:r>
          </w:p>
        </w:tc>
      </w:tr>
      <w:tr w:rsidR="00502FFA" w:rsidRPr="005734B8" w14:paraId="43165BBB" w14:textId="77777777" w:rsidTr="00502FFA">
        <w:trPr>
          <w:cantSplit/>
        </w:trPr>
        <w:tc>
          <w:tcPr>
            <w:tcW w:w="1682" w:type="dxa"/>
            <w:tcBorders>
              <w:top w:val="nil"/>
              <w:bottom w:val="nil"/>
            </w:tcBorders>
            <w:shd w:val="clear" w:color="auto" w:fill="auto"/>
            <w:vAlign w:val="center"/>
          </w:tcPr>
          <w:p w14:paraId="1DB307AF" w14:textId="77777777" w:rsidR="00502FFA" w:rsidRPr="005734B8" w:rsidRDefault="00502FFA" w:rsidP="00502FFA">
            <w:pPr>
              <w:pStyle w:val="ESTablebody"/>
              <w:rPr>
                <w:rFonts w:ascii="Calibri" w:hAnsi="Calibri" w:cs="Calibri"/>
                <w:sz w:val="18"/>
              </w:rPr>
            </w:pPr>
          </w:p>
        </w:tc>
        <w:tc>
          <w:tcPr>
            <w:tcW w:w="2129" w:type="dxa"/>
            <w:tcBorders>
              <w:top w:val="nil"/>
              <w:bottom w:val="nil"/>
            </w:tcBorders>
            <w:vAlign w:val="center"/>
          </w:tcPr>
          <w:p w14:paraId="783A744D" w14:textId="77777777" w:rsidR="00502FFA" w:rsidRPr="005734B8" w:rsidRDefault="00502FFA" w:rsidP="00502FFA">
            <w:pPr>
              <w:pStyle w:val="ESTablenumberrightaligned"/>
              <w:numPr>
                <w:ilvl w:val="0"/>
                <w:numId w:val="7"/>
              </w:numPr>
              <w:jc w:val="left"/>
              <w:rPr>
                <w:rFonts w:ascii="Calibri" w:hAnsi="Calibri" w:cs="Calibri"/>
                <w:sz w:val="18"/>
              </w:rPr>
            </w:pPr>
            <w:r w:rsidRPr="005734B8">
              <w:rPr>
                <w:rFonts w:ascii="Calibri" w:hAnsi="Calibri" w:cs="Calibri"/>
                <w:sz w:val="18"/>
              </w:rPr>
              <w:t>health and safety representatives provisional improvement notices</w:t>
            </w:r>
            <w:r w:rsidRPr="005734B8">
              <w:rPr>
                <w:rStyle w:val="FootnoteReference"/>
                <w:rFonts w:ascii="Calibri" w:hAnsi="Calibri" w:cs="Calibri"/>
                <w:sz w:val="18"/>
              </w:rPr>
              <w:footnoteReference w:id="39"/>
            </w:r>
          </w:p>
        </w:tc>
        <w:tc>
          <w:tcPr>
            <w:tcW w:w="1264" w:type="dxa"/>
            <w:tcBorders>
              <w:top w:val="nil"/>
              <w:bottom w:val="nil"/>
            </w:tcBorders>
            <w:vAlign w:val="center"/>
          </w:tcPr>
          <w:p w14:paraId="758CA2DC" w14:textId="0F938973" w:rsidR="00502FFA" w:rsidRPr="005734B8" w:rsidRDefault="00502FFA" w:rsidP="00502FFA">
            <w:pPr>
              <w:pStyle w:val="ESTablenumberrightaligned"/>
              <w:rPr>
                <w:rFonts w:ascii="Calibri" w:hAnsi="Calibri" w:cs="Calibri"/>
                <w:sz w:val="18"/>
              </w:rPr>
            </w:pPr>
            <w:r w:rsidRPr="005734B8">
              <w:rPr>
                <w:rFonts w:ascii="Calibri" w:hAnsi="Calibri" w:cs="Calibri"/>
                <w:sz w:val="18"/>
              </w:rPr>
              <w:t>–</w:t>
            </w:r>
          </w:p>
        </w:tc>
        <w:tc>
          <w:tcPr>
            <w:tcW w:w="1264" w:type="dxa"/>
            <w:tcBorders>
              <w:top w:val="nil"/>
              <w:bottom w:val="nil"/>
            </w:tcBorders>
            <w:vAlign w:val="center"/>
          </w:tcPr>
          <w:p w14:paraId="2F50B98D" w14:textId="481DA8BD" w:rsidR="00502FFA" w:rsidRPr="005734B8" w:rsidRDefault="00502FFA" w:rsidP="00502FFA">
            <w:pPr>
              <w:pStyle w:val="ESTablenumberrightaligned"/>
              <w:rPr>
                <w:rFonts w:ascii="Calibri" w:hAnsi="Calibri" w:cs="Calibri"/>
                <w:sz w:val="18"/>
              </w:rPr>
            </w:pPr>
            <w:r w:rsidRPr="005734B8">
              <w:rPr>
                <w:rFonts w:ascii="Calibri" w:hAnsi="Calibri" w:cs="Calibri"/>
                <w:sz w:val="18"/>
              </w:rPr>
              <w:t>–</w:t>
            </w:r>
          </w:p>
        </w:tc>
        <w:tc>
          <w:tcPr>
            <w:tcW w:w="1264" w:type="dxa"/>
            <w:tcBorders>
              <w:top w:val="nil"/>
              <w:bottom w:val="nil"/>
            </w:tcBorders>
            <w:shd w:val="clear" w:color="auto" w:fill="D9D9D6"/>
            <w:vAlign w:val="center"/>
          </w:tcPr>
          <w:p w14:paraId="46EB11CA" w14:textId="6FE59B94" w:rsidR="00502FFA" w:rsidRPr="005734B8" w:rsidRDefault="00502FFA" w:rsidP="00502FFA">
            <w:pPr>
              <w:pStyle w:val="ESTablenumberrightaligned"/>
              <w:rPr>
                <w:rFonts w:ascii="Calibri" w:hAnsi="Calibri" w:cs="Calibri"/>
                <w:sz w:val="18"/>
              </w:rPr>
            </w:pPr>
            <w:r w:rsidRPr="005734B8">
              <w:rPr>
                <w:rFonts w:ascii="Calibri" w:hAnsi="Calibri" w:cs="Calibri"/>
                <w:sz w:val="18"/>
              </w:rPr>
              <w:t>–</w:t>
            </w:r>
          </w:p>
        </w:tc>
      </w:tr>
      <w:tr w:rsidR="00502FFA" w:rsidRPr="005734B8" w14:paraId="625329C8" w14:textId="77777777" w:rsidTr="00502FFA">
        <w:trPr>
          <w:cantSplit/>
        </w:trPr>
        <w:tc>
          <w:tcPr>
            <w:tcW w:w="1682" w:type="dxa"/>
            <w:tcBorders>
              <w:top w:val="nil"/>
              <w:bottom w:val="single" w:sz="4" w:space="0" w:color="53565A" w:themeColor="accent5"/>
            </w:tcBorders>
            <w:shd w:val="clear" w:color="auto" w:fill="auto"/>
            <w:vAlign w:val="center"/>
          </w:tcPr>
          <w:p w14:paraId="4BC9FD9C" w14:textId="77777777" w:rsidR="00502FFA" w:rsidRPr="005734B8" w:rsidRDefault="00502FFA" w:rsidP="00502FFA">
            <w:pPr>
              <w:pStyle w:val="ESTablebody"/>
              <w:rPr>
                <w:rFonts w:ascii="Calibri" w:hAnsi="Calibri" w:cs="Calibri"/>
                <w:sz w:val="18"/>
              </w:rPr>
            </w:pPr>
          </w:p>
        </w:tc>
        <w:tc>
          <w:tcPr>
            <w:tcW w:w="2129" w:type="dxa"/>
            <w:tcBorders>
              <w:top w:val="nil"/>
              <w:bottom w:val="single" w:sz="4" w:space="0" w:color="53565A" w:themeColor="accent5"/>
            </w:tcBorders>
            <w:vAlign w:val="center"/>
          </w:tcPr>
          <w:p w14:paraId="1F1319FF" w14:textId="77777777" w:rsidR="00502FFA" w:rsidRPr="005734B8" w:rsidRDefault="00502FFA" w:rsidP="00502FFA">
            <w:pPr>
              <w:pStyle w:val="ESTablenumberrightaligned"/>
              <w:numPr>
                <w:ilvl w:val="0"/>
                <w:numId w:val="7"/>
              </w:numPr>
              <w:jc w:val="left"/>
              <w:rPr>
                <w:rFonts w:ascii="Calibri" w:hAnsi="Calibri" w:cs="Calibri"/>
                <w:sz w:val="18"/>
              </w:rPr>
            </w:pPr>
            <w:r w:rsidRPr="005734B8">
              <w:rPr>
                <w:rFonts w:ascii="Calibri" w:hAnsi="Calibri" w:cs="Calibri"/>
                <w:sz w:val="18"/>
              </w:rPr>
              <w:t>WorkSafe notices</w:t>
            </w:r>
          </w:p>
        </w:tc>
        <w:tc>
          <w:tcPr>
            <w:tcW w:w="1264" w:type="dxa"/>
            <w:tcBorders>
              <w:top w:val="nil"/>
              <w:bottom w:val="single" w:sz="4" w:space="0" w:color="53565A" w:themeColor="accent5"/>
            </w:tcBorders>
            <w:vAlign w:val="center"/>
          </w:tcPr>
          <w:p w14:paraId="3AD91AB0"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100</w:t>
            </w:r>
          </w:p>
        </w:tc>
        <w:tc>
          <w:tcPr>
            <w:tcW w:w="1264" w:type="dxa"/>
            <w:tcBorders>
              <w:top w:val="nil"/>
              <w:bottom w:val="single" w:sz="4" w:space="0" w:color="53565A" w:themeColor="accent5"/>
            </w:tcBorders>
            <w:vAlign w:val="center"/>
          </w:tcPr>
          <w:p w14:paraId="35E19D9E"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100</w:t>
            </w:r>
          </w:p>
        </w:tc>
        <w:tc>
          <w:tcPr>
            <w:tcW w:w="1264" w:type="dxa"/>
            <w:tcBorders>
              <w:top w:val="nil"/>
              <w:bottom w:val="single" w:sz="4" w:space="0" w:color="53565A" w:themeColor="accent5"/>
            </w:tcBorders>
            <w:shd w:val="clear" w:color="auto" w:fill="D9D9D6"/>
            <w:vAlign w:val="center"/>
          </w:tcPr>
          <w:p w14:paraId="2B687B69"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100</w:t>
            </w:r>
          </w:p>
        </w:tc>
      </w:tr>
      <w:tr w:rsidR="00502FFA" w:rsidRPr="005734B8" w14:paraId="0E810CCA" w14:textId="77777777" w:rsidTr="00502FFA">
        <w:trPr>
          <w:cantSplit/>
        </w:trPr>
        <w:tc>
          <w:tcPr>
            <w:tcW w:w="1682" w:type="dxa"/>
            <w:tcBorders>
              <w:top w:val="single" w:sz="4" w:space="0" w:color="53565A" w:themeColor="accent5"/>
              <w:bottom w:val="nil"/>
            </w:tcBorders>
            <w:shd w:val="clear" w:color="auto" w:fill="auto"/>
          </w:tcPr>
          <w:p w14:paraId="2B76D82A" w14:textId="77777777" w:rsidR="00502FFA" w:rsidRPr="005734B8" w:rsidRDefault="00502FFA" w:rsidP="00502FFA">
            <w:pPr>
              <w:pStyle w:val="ESTablebody"/>
              <w:rPr>
                <w:rFonts w:ascii="Calibri" w:hAnsi="Calibri" w:cs="Calibri"/>
                <w:sz w:val="18"/>
              </w:rPr>
            </w:pPr>
            <w:r w:rsidRPr="005734B8">
              <w:rPr>
                <w:rFonts w:ascii="Calibri" w:hAnsi="Calibri" w:cs="Calibri"/>
                <w:sz w:val="18"/>
              </w:rPr>
              <w:t>Training</w:t>
            </w:r>
          </w:p>
        </w:tc>
        <w:tc>
          <w:tcPr>
            <w:tcW w:w="2129" w:type="dxa"/>
            <w:tcBorders>
              <w:top w:val="single" w:sz="4" w:space="0" w:color="53565A" w:themeColor="accent5"/>
              <w:bottom w:val="nil"/>
            </w:tcBorders>
            <w:vAlign w:val="center"/>
          </w:tcPr>
          <w:p w14:paraId="094F9C6D" w14:textId="440254D9"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Percent</w:t>
            </w:r>
            <w:r w:rsidR="002B5648" w:rsidRPr="005734B8">
              <w:rPr>
                <w:rFonts w:ascii="Calibri" w:hAnsi="Calibri" w:cs="Calibri"/>
                <w:sz w:val="18"/>
              </w:rPr>
              <w:t>age</w:t>
            </w:r>
            <w:r w:rsidRPr="005734B8">
              <w:rPr>
                <w:rFonts w:ascii="Calibri" w:hAnsi="Calibri" w:cs="Calibri"/>
                <w:sz w:val="18"/>
              </w:rPr>
              <w:t xml:space="preserve"> of managers and staff who have received OHS training:</w:t>
            </w:r>
          </w:p>
        </w:tc>
        <w:tc>
          <w:tcPr>
            <w:tcW w:w="1264" w:type="dxa"/>
            <w:tcBorders>
              <w:top w:val="single" w:sz="4" w:space="0" w:color="53565A" w:themeColor="accent5"/>
              <w:bottom w:val="nil"/>
            </w:tcBorders>
            <w:vAlign w:val="center"/>
          </w:tcPr>
          <w:p w14:paraId="4E30BAEB" w14:textId="77777777" w:rsidR="00502FFA" w:rsidRPr="005734B8" w:rsidRDefault="00502FFA" w:rsidP="00502FFA">
            <w:pPr>
              <w:pStyle w:val="ESTablenumberrightaligned"/>
              <w:rPr>
                <w:rFonts w:ascii="Calibri" w:hAnsi="Calibri" w:cs="Calibri"/>
                <w:sz w:val="18"/>
              </w:rPr>
            </w:pPr>
          </w:p>
        </w:tc>
        <w:tc>
          <w:tcPr>
            <w:tcW w:w="1264" w:type="dxa"/>
            <w:tcBorders>
              <w:top w:val="single" w:sz="4" w:space="0" w:color="53565A" w:themeColor="accent5"/>
              <w:bottom w:val="nil"/>
            </w:tcBorders>
            <w:vAlign w:val="center"/>
          </w:tcPr>
          <w:p w14:paraId="3E7FA17D" w14:textId="77777777" w:rsidR="00502FFA" w:rsidRPr="005734B8" w:rsidRDefault="00502FFA" w:rsidP="00502FFA">
            <w:pPr>
              <w:pStyle w:val="ESTablenumberrightaligned"/>
              <w:rPr>
                <w:rFonts w:ascii="Calibri" w:hAnsi="Calibri" w:cs="Calibri"/>
                <w:sz w:val="18"/>
              </w:rPr>
            </w:pPr>
          </w:p>
        </w:tc>
        <w:tc>
          <w:tcPr>
            <w:tcW w:w="1264" w:type="dxa"/>
            <w:tcBorders>
              <w:top w:val="single" w:sz="4" w:space="0" w:color="53565A" w:themeColor="accent5"/>
              <w:bottom w:val="nil"/>
            </w:tcBorders>
            <w:shd w:val="clear" w:color="auto" w:fill="D9D9D6"/>
            <w:vAlign w:val="center"/>
          </w:tcPr>
          <w:p w14:paraId="41630344" w14:textId="77777777" w:rsidR="00502FFA" w:rsidRPr="005734B8" w:rsidRDefault="00502FFA" w:rsidP="00502FFA">
            <w:pPr>
              <w:pStyle w:val="ESTablenumberrightaligned"/>
              <w:rPr>
                <w:rFonts w:ascii="Calibri" w:hAnsi="Calibri" w:cs="Calibri"/>
                <w:sz w:val="18"/>
              </w:rPr>
            </w:pPr>
          </w:p>
        </w:tc>
      </w:tr>
      <w:tr w:rsidR="00502FFA" w:rsidRPr="005734B8" w14:paraId="73B9BDEC" w14:textId="77777777" w:rsidTr="00502FFA">
        <w:trPr>
          <w:cantSplit/>
        </w:trPr>
        <w:tc>
          <w:tcPr>
            <w:tcW w:w="1682" w:type="dxa"/>
            <w:tcBorders>
              <w:top w:val="nil"/>
              <w:bottom w:val="nil"/>
            </w:tcBorders>
            <w:shd w:val="clear" w:color="auto" w:fill="auto"/>
          </w:tcPr>
          <w:p w14:paraId="07D466FF" w14:textId="77777777" w:rsidR="00502FFA" w:rsidRPr="005734B8" w:rsidRDefault="00502FFA" w:rsidP="00502FFA">
            <w:pPr>
              <w:pStyle w:val="ESTablebody"/>
              <w:rPr>
                <w:rFonts w:ascii="Calibri" w:hAnsi="Calibri" w:cs="Calibri"/>
                <w:sz w:val="18"/>
              </w:rPr>
            </w:pPr>
          </w:p>
        </w:tc>
        <w:tc>
          <w:tcPr>
            <w:tcW w:w="2129" w:type="dxa"/>
            <w:tcBorders>
              <w:top w:val="nil"/>
              <w:bottom w:val="nil"/>
            </w:tcBorders>
            <w:vAlign w:val="center"/>
          </w:tcPr>
          <w:p w14:paraId="7A7FEE4B" w14:textId="77777777" w:rsidR="00502FFA" w:rsidRPr="005734B8" w:rsidRDefault="00502FFA" w:rsidP="00502FFA">
            <w:pPr>
              <w:pStyle w:val="ESTablenumberrightaligned"/>
              <w:numPr>
                <w:ilvl w:val="0"/>
                <w:numId w:val="7"/>
              </w:numPr>
              <w:jc w:val="left"/>
              <w:rPr>
                <w:rFonts w:ascii="Calibri" w:hAnsi="Calibri" w:cs="Calibri"/>
                <w:sz w:val="18"/>
              </w:rPr>
            </w:pPr>
            <w:r w:rsidRPr="005734B8">
              <w:rPr>
                <w:rFonts w:ascii="Calibri" w:hAnsi="Calibri" w:cs="Calibri"/>
                <w:sz w:val="18"/>
              </w:rPr>
              <w:t>induction</w:t>
            </w:r>
          </w:p>
        </w:tc>
        <w:tc>
          <w:tcPr>
            <w:tcW w:w="1264" w:type="dxa"/>
            <w:tcBorders>
              <w:top w:val="nil"/>
              <w:bottom w:val="nil"/>
            </w:tcBorders>
            <w:vAlign w:val="center"/>
          </w:tcPr>
          <w:p w14:paraId="18E5B327"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72</w:t>
            </w:r>
          </w:p>
        </w:tc>
        <w:tc>
          <w:tcPr>
            <w:tcW w:w="1264" w:type="dxa"/>
            <w:tcBorders>
              <w:top w:val="nil"/>
              <w:bottom w:val="nil"/>
            </w:tcBorders>
            <w:vAlign w:val="center"/>
          </w:tcPr>
          <w:p w14:paraId="3F16950B"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79</w:t>
            </w:r>
          </w:p>
        </w:tc>
        <w:tc>
          <w:tcPr>
            <w:tcW w:w="1264" w:type="dxa"/>
            <w:tcBorders>
              <w:top w:val="nil"/>
              <w:bottom w:val="nil"/>
            </w:tcBorders>
            <w:shd w:val="clear" w:color="auto" w:fill="D9D9D6"/>
            <w:vAlign w:val="center"/>
          </w:tcPr>
          <w:p w14:paraId="60609179"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77</w:t>
            </w:r>
          </w:p>
        </w:tc>
      </w:tr>
      <w:tr w:rsidR="00502FFA" w:rsidRPr="005734B8" w14:paraId="28F4CF99" w14:textId="77777777" w:rsidTr="00502FFA">
        <w:trPr>
          <w:cantSplit/>
        </w:trPr>
        <w:tc>
          <w:tcPr>
            <w:tcW w:w="1682" w:type="dxa"/>
            <w:tcBorders>
              <w:top w:val="nil"/>
              <w:bottom w:val="nil"/>
            </w:tcBorders>
            <w:shd w:val="clear" w:color="auto" w:fill="auto"/>
          </w:tcPr>
          <w:p w14:paraId="37B80750" w14:textId="77777777" w:rsidR="00502FFA" w:rsidRPr="005734B8" w:rsidRDefault="00502FFA" w:rsidP="00502FFA">
            <w:pPr>
              <w:pStyle w:val="ESTablebody"/>
              <w:rPr>
                <w:rFonts w:ascii="Calibri" w:hAnsi="Calibri" w:cs="Calibri"/>
                <w:sz w:val="18"/>
              </w:rPr>
            </w:pPr>
          </w:p>
        </w:tc>
        <w:tc>
          <w:tcPr>
            <w:tcW w:w="2129" w:type="dxa"/>
            <w:tcBorders>
              <w:top w:val="nil"/>
              <w:bottom w:val="nil"/>
            </w:tcBorders>
            <w:vAlign w:val="center"/>
          </w:tcPr>
          <w:p w14:paraId="29FD5637" w14:textId="77777777" w:rsidR="00502FFA" w:rsidRPr="005734B8" w:rsidRDefault="00502FFA" w:rsidP="00502FFA">
            <w:pPr>
              <w:pStyle w:val="ESTablenumberrightaligned"/>
              <w:numPr>
                <w:ilvl w:val="0"/>
                <w:numId w:val="7"/>
              </w:numPr>
              <w:ind w:hanging="392"/>
              <w:jc w:val="left"/>
              <w:rPr>
                <w:rFonts w:ascii="Calibri" w:hAnsi="Calibri" w:cs="Calibri"/>
                <w:sz w:val="18"/>
              </w:rPr>
            </w:pPr>
            <w:r w:rsidRPr="005734B8">
              <w:rPr>
                <w:rFonts w:ascii="Calibri" w:hAnsi="Calibri" w:cs="Calibri"/>
                <w:sz w:val="18"/>
              </w:rPr>
              <w:t>management training (OHS for principals)</w:t>
            </w:r>
          </w:p>
        </w:tc>
        <w:tc>
          <w:tcPr>
            <w:tcW w:w="1264" w:type="dxa"/>
            <w:tcBorders>
              <w:top w:val="nil"/>
              <w:bottom w:val="nil"/>
            </w:tcBorders>
            <w:vAlign w:val="center"/>
          </w:tcPr>
          <w:p w14:paraId="76E140C3"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70</w:t>
            </w:r>
          </w:p>
        </w:tc>
        <w:tc>
          <w:tcPr>
            <w:tcW w:w="1264" w:type="dxa"/>
            <w:tcBorders>
              <w:top w:val="nil"/>
              <w:bottom w:val="nil"/>
            </w:tcBorders>
            <w:vAlign w:val="center"/>
          </w:tcPr>
          <w:p w14:paraId="3A7E6F4D"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74</w:t>
            </w:r>
          </w:p>
        </w:tc>
        <w:tc>
          <w:tcPr>
            <w:tcW w:w="1264" w:type="dxa"/>
            <w:tcBorders>
              <w:top w:val="nil"/>
              <w:bottom w:val="nil"/>
            </w:tcBorders>
            <w:shd w:val="clear" w:color="auto" w:fill="D9D9D6"/>
            <w:vAlign w:val="center"/>
          </w:tcPr>
          <w:p w14:paraId="1F80BD8F"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71</w:t>
            </w:r>
          </w:p>
        </w:tc>
      </w:tr>
      <w:tr w:rsidR="00502FFA" w:rsidRPr="005734B8" w14:paraId="436C278C" w14:textId="77777777" w:rsidTr="00502FFA">
        <w:trPr>
          <w:cantSplit/>
        </w:trPr>
        <w:tc>
          <w:tcPr>
            <w:tcW w:w="1682" w:type="dxa"/>
            <w:tcBorders>
              <w:top w:val="nil"/>
              <w:bottom w:val="nil"/>
            </w:tcBorders>
            <w:shd w:val="clear" w:color="auto" w:fill="auto"/>
          </w:tcPr>
          <w:p w14:paraId="52CCE058" w14:textId="77777777" w:rsidR="00502FFA" w:rsidRPr="005734B8" w:rsidRDefault="00502FFA" w:rsidP="00502FFA">
            <w:pPr>
              <w:pStyle w:val="ESTablebody"/>
              <w:rPr>
                <w:rFonts w:ascii="Calibri" w:hAnsi="Calibri" w:cs="Calibri"/>
                <w:sz w:val="18"/>
              </w:rPr>
            </w:pPr>
          </w:p>
        </w:tc>
        <w:tc>
          <w:tcPr>
            <w:tcW w:w="2129" w:type="dxa"/>
            <w:tcBorders>
              <w:top w:val="nil"/>
              <w:bottom w:val="nil"/>
            </w:tcBorders>
            <w:vAlign w:val="center"/>
          </w:tcPr>
          <w:p w14:paraId="18C77FEA" w14:textId="77777777" w:rsidR="00502FFA" w:rsidRPr="005734B8" w:rsidRDefault="00502FFA" w:rsidP="00502FFA">
            <w:pPr>
              <w:pStyle w:val="ESTablenumberrightaligned"/>
              <w:numPr>
                <w:ilvl w:val="0"/>
                <w:numId w:val="7"/>
              </w:numPr>
              <w:jc w:val="left"/>
              <w:rPr>
                <w:rFonts w:ascii="Calibri" w:hAnsi="Calibri" w:cs="Calibri"/>
                <w:sz w:val="18"/>
              </w:rPr>
            </w:pPr>
            <w:r w:rsidRPr="005734B8">
              <w:rPr>
                <w:rFonts w:ascii="Calibri" w:hAnsi="Calibri" w:cs="Calibri"/>
                <w:sz w:val="18"/>
              </w:rPr>
              <w:t>contractors and temporary staff</w:t>
            </w:r>
            <w:r w:rsidRPr="005734B8">
              <w:rPr>
                <w:rStyle w:val="FootnoteReference"/>
                <w:rFonts w:ascii="Calibri" w:hAnsi="Calibri" w:cs="Calibri"/>
                <w:sz w:val="18"/>
              </w:rPr>
              <w:footnoteReference w:id="40"/>
            </w:r>
          </w:p>
        </w:tc>
        <w:tc>
          <w:tcPr>
            <w:tcW w:w="1264" w:type="dxa"/>
            <w:tcBorders>
              <w:top w:val="nil"/>
              <w:bottom w:val="nil"/>
            </w:tcBorders>
            <w:vAlign w:val="center"/>
          </w:tcPr>
          <w:p w14:paraId="3882F5B9" w14:textId="30188D67" w:rsidR="00502FFA" w:rsidRPr="005734B8" w:rsidRDefault="00502FFA" w:rsidP="00502FFA">
            <w:pPr>
              <w:pStyle w:val="ESTablenumberrightaligned"/>
              <w:rPr>
                <w:rFonts w:ascii="Calibri" w:hAnsi="Calibri" w:cs="Calibri"/>
                <w:sz w:val="18"/>
              </w:rPr>
            </w:pPr>
            <w:r w:rsidRPr="005734B8">
              <w:rPr>
                <w:rFonts w:ascii="Calibri" w:hAnsi="Calibri" w:cs="Calibri"/>
                <w:sz w:val="18"/>
              </w:rPr>
              <w:t>–</w:t>
            </w:r>
          </w:p>
        </w:tc>
        <w:tc>
          <w:tcPr>
            <w:tcW w:w="1264" w:type="dxa"/>
            <w:tcBorders>
              <w:top w:val="nil"/>
              <w:bottom w:val="nil"/>
            </w:tcBorders>
            <w:vAlign w:val="center"/>
          </w:tcPr>
          <w:p w14:paraId="13197926" w14:textId="39404171" w:rsidR="00502FFA" w:rsidRPr="005734B8" w:rsidRDefault="00502FFA" w:rsidP="00502FFA">
            <w:pPr>
              <w:pStyle w:val="ESTablenumberrightaligned"/>
              <w:rPr>
                <w:rFonts w:ascii="Calibri" w:hAnsi="Calibri" w:cs="Calibri"/>
                <w:sz w:val="18"/>
              </w:rPr>
            </w:pPr>
            <w:r w:rsidRPr="005734B8">
              <w:rPr>
                <w:rFonts w:ascii="Calibri" w:hAnsi="Calibri" w:cs="Calibri"/>
                <w:sz w:val="18"/>
              </w:rPr>
              <w:t>–</w:t>
            </w:r>
          </w:p>
        </w:tc>
        <w:tc>
          <w:tcPr>
            <w:tcW w:w="1264" w:type="dxa"/>
            <w:tcBorders>
              <w:top w:val="nil"/>
              <w:bottom w:val="nil"/>
            </w:tcBorders>
            <w:shd w:val="clear" w:color="auto" w:fill="D9D9D6"/>
            <w:vAlign w:val="center"/>
          </w:tcPr>
          <w:p w14:paraId="53497075" w14:textId="3F5DB8D3" w:rsidR="00502FFA" w:rsidRPr="005734B8" w:rsidRDefault="00502FFA" w:rsidP="00502FFA">
            <w:pPr>
              <w:pStyle w:val="ESTablenumberrightaligned"/>
              <w:rPr>
                <w:rFonts w:ascii="Calibri" w:hAnsi="Calibri" w:cs="Calibri"/>
                <w:sz w:val="18"/>
              </w:rPr>
            </w:pPr>
            <w:r w:rsidRPr="005734B8">
              <w:rPr>
                <w:rFonts w:ascii="Calibri" w:hAnsi="Calibri" w:cs="Calibri"/>
                <w:sz w:val="18"/>
              </w:rPr>
              <w:t>–</w:t>
            </w:r>
          </w:p>
        </w:tc>
      </w:tr>
      <w:tr w:rsidR="00502FFA" w:rsidRPr="005734B8" w14:paraId="47F67E4B" w14:textId="77777777" w:rsidTr="00502FFA">
        <w:trPr>
          <w:cantSplit/>
        </w:trPr>
        <w:tc>
          <w:tcPr>
            <w:tcW w:w="1682" w:type="dxa"/>
            <w:tcBorders>
              <w:top w:val="nil"/>
              <w:bottom w:val="nil"/>
            </w:tcBorders>
            <w:shd w:val="clear" w:color="auto" w:fill="auto"/>
            <w:vAlign w:val="center"/>
          </w:tcPr>
          <w:p w14:paraId="2736070B" w14:textId="77777777" w:rsidR="00502FFA" w:rsidRPr="005734B8" w:rsidRDefault="00502FFA" w:rsidP="00502FFA">
            <w:pPr>
              <w:pStyle w:val="ESTablebody"/>
              <w:rPr>
                <w:rFonts w:ascii="Calibri" w:hAnsi="Calibri" w:cs="Calibri"/>
                <w:sz w:val="18"/>
              </w:rPr>
            </w:pPr>
          </w:p>
        </w:tc>
        <w:tc>
          <w:tcPr>
            <w:tcW w:w="2129" w:type="dxa"/>
            <w:tcBorders>
              <w:top w:val="nil"/>
              <w:bottom w:val="nil"/>
            </w:tcBorders>
            <w:vAlign w:val="center"/>
          </w:tcPr>
          <w:p w14:paraId="5EB8FB06" w14:textId="09288C3F"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Percent</w:t>
            </w:r>
            <w:r w:rsidR="002B5648" w:rsidRPr="005734B8">
              <w:rPr>
                <w:rFonts w:ascii="Calibri" w:hAnsi="Calibri" w:cs="Calibri"/>
                <w:sz w:val="18"/>
              </w:rPr>
              <w:t>age</w:t>
            </w:r>
            <w:r w:rsidRPr="005734B8">
              <w:rPr>
                <w:rFonts w:ascii="Calibri" w:hAnsi="Calibri" w:cs="Calibri"/>
                <w:sz w:val="18"/>
              </w:rPr>
              <w:t xml:space="preserve"> of health and safety representatives trained:</w:t>
            </w:r>
          </w:p>
        </w:tc>
        <w:tc>
          <w:tcPr>
            <w:tcW w:w="1264" w:type="dxa"/>
            <w:tcBorders>
              <w:top w:val="nil"/>
              <w:bottom w:val="nil"/>
            </w:tcBorders>
            <w:vAlign w:val="center"/>
          </w:tcPr>
          <w:p w14:paraId="798300B3" w14:textId="77777777" w:rsidR="00502FFA" w:rsidRPr="005734B8" w:rsidRDefault="00502FFA" w:rsidP="00502FFA">
            <w:pPr>
              <w:pStyle w:val="ESTablenumberrightaligned"/>
              <w:rPr>
                <w:rFonts w:ascii="Calibri" w:hAnsi="Calibri" w:cs="Calibri"/>
                <w:sz w:val="18"/>
              </w:rPr>
            </w:pPr>
          </w:p>
        </w:tc>
        <w:tc>
          <w:tcPr>
            <w:tcW w:w="1264" w:type="dxa"/>
            <w:tcBorders>
              <w:top w:val="nil"/>
              <w:bottom w:val="nil"/>
            </w:tcBorders>
            <w:vAlign w:val="center"/>
          </w:tcPr>
          <w:p w14:paraId="31BEC5F8" w14:textId="77777777" w:rsidR="00502FFA" w:rsidRPr="005734B8" w:rsidRDefault="00502FFA" w:rsidP="00502FFA">
            <w:pPr>
              <w:pStyle w:val="ESTablenumberrightaligned"/>
              <w:rPr>
                <w:rFonts w:ascii="Calibri" w:hAnsi="Calibri" w:cs="Calibri"/>
                <w:sz w:val="18"/>
              </w:rPr>
            </w:pPr>
          </w:p>
        </w:tc>
        <w:tc>
          <w:tcPr>
            <w:tcW w:w="1264" w:type="dxa"/>
            <w:tcBorders>
              <w:top w:val="nil"/>
              <w:bottom w:val="nil"/>
            </w:tcBorders>
            <w:shd w:val="clear" w:color="auto" w:fill="D9D9D6"/>
            <w:vAlign w:val="center"/>
          </w:tcPr>
          <w:p w14:paraId="7EBD8724" w14:textId="77777777" w:rsidR="00502FFA" w:rsidRPr="005734B8" w:rsidRDefault="00502FFA" w:rsidP="00502FFA">
            <w:pPr>
              <w:pStyle w:val="ESTablenumberrightaligned"/>
              <w:rPr>
                <w:rFonts w:ascii="Calibri" w:hAnsi="Calibri" w:cs="Calibri"/>
                <w:sz w:val="18"/>
              </w:rPr>
            </w:pPr>
          </w:p>
        </w:tc>
      </w:tr>
      <w:tr w:rsidR="00502FFA" w:rsidRPr="005734B8" w14:paraId="1FF0BA25" w14:textId="77777777" w:rsidTr="00502FFA">
        <w:trPr>
          <w:cantSplit/>
        </w:trPr>
        <w:tc>
          <w:tcPr>
            <w:tcW w:w="1682" w:type="dxa"/>
            <w:tcBorders>
              <w:top w:val="nil"/>
              <w:bottom w:val="nil"/>
            </w:tcBorders>
            <w:shd w:val="clear" w:color="auto" w:fill="auto"/>
            <w:vAlign w:val="center"/>
          </w:tcPr>
          <w:p w14:paraId="5657D3CB" w14:textId="77777777" w:rsidR="00502FFA" w:rsidRPr="005734B8" w:rsidRDefault="00502FFA" w:rsidP="00502FFA">
            <w:pPr>
              <w:pStyle w:val="ESTablebody"/>
              <w:rPr>
                <w:rFonts w:ascii="Calibri" w:hAnsi="Calibri" w:cs="Calibri"/>
                <w:sz w:val="18"/>
              </w:rPr>
            </w:pPr>
          </w:p>
        </w:tc>
        <w:tc>
          <w:tcPr>
            <w:tcW w:w="2129" w:type="dxa"/>
            <w:tcBorders>
              <w:top w:val="nil"/>
              <w:bottom w:val="nil"/>
            </w:tcBorders>
            <w:vAlign w:val="center"/>
          </w:tcPr>
          <w:p w14:paraId="0264F6B4" w14:textId="77777777" w:rsidR="00502FFA" w:rsidRPr="005734B8" w:rsidRDefault="00502FFA" w:rsidP="00502FFA">
            <w:pPr>
              <w:pStyle w:val="ESTablenumberrightaligned"/>
              <w:numPr>
                <w:ilvl w:val="0"/>
                <w:numId w:val="7"/>
              </w:numPr>
              <w:jc w:val="left"/>
              <w:rPr>
                <w:rFonts w:ascii="Calibri" w:hAnsi="Calibri" w:cs="Calibri"/>
                <w:sz w:val="18"/>
              </w:rPr>
            </w:pPr>
            <w:r w:rsidRPr="005734B8">
              <w:rPr>
                <w:rFonts w:ascii="Calibri" w:hAnsi="Calibri" w:cs="Calibri"/>
                <w:sz w:val="18"/>
              </w:rPr>
              <w:t>acceptance of role (initial training)</w:t>
            </w:r>
          </w:p>
        </w:tc>
        <w:tc>
          <w:tcPr>
            <w:tcW w:w="1264" w:type="dxa"/>
            <w:tcBorders>
              <w:top w:val="nil"/>
              <w:bottom w:val="nil"/>
            </w:tcBorders>
            <w:vAlign w:val="center"/>
          </w:tcPr>
          <w:p w14:paraId="765916B4"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75</w:t>
            </w:r>
          </w:p>
        </w:tc>
        <w:tc>
          <w:tcPr>
            <w:tcW w:w="1264" w:type="dxa"/>
            <w:tcBorders>
              <w:top w:val="nil"/>
              <w:bottom w:val="nil"/>
            </w:tcBorders>
            <w:vAlign w:val="center"/>
          </w:tcPr>
          <w:p w14:paraId="52C8E3E3"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68</w:t>
            </w:r>
          </w:p>
        </w:tc>
        <w:tc>
          <w:tcPr>
            <w:tcW w:w="1264" w:type="dxa"/>
            <w:tcBorders>
              <w:top w:val="nil"/>
              <w:bottom w:val="nil"/>
            </w:tcBorders>
            <w:shd w:val="clear" w:color="auto" w:fill="D9D9D6"/>
            <w:vAlign w:val="center"/>
          </w:tcPr>
          <w:p w14:paraId="7FDB6CFA"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77</w:t>
            </w:r>
          </w:p>
        </w:tc>
      </w:tr>
      <w:tr w:rsidR="00502FFA" w:rsidRPr="005734B8" w14:paraId="6A05988A" w14:textId="77777777" w:rsidTr="00502FFA">
        <w:trPr>
          <w:cantSplit/>
        </w:trPr>
        <w:tc>
          <w:tcPr>
            <w:tcW w:w="1682" w:type="dxa"/>
            <w:tcBorders>
              <w:top w:val="nil"/>
              <w:bottom w:val="nil"/>
            </w:tcBorders>
            <w:shd w:val="clear" w:color="auto" w:fill="auto"/>
            <w:vAlign w:val="center"/>
          </w:tcPr>
          <w:p w14:paraId="7121D2B6" w14:textId="77777777" w:rsidR="00502FFA" w:rsidRPr="005734B8" w:rsidRDefault="00502FFA" w:rsidP="00502FFA">
            <w:pPr>
              <w:pStyle w:val="ESTablebody"/>
              <w:rPr>
                <w:rFonts w:ascii="Calibri" w:hAnsi="Calibri" w:cs="Calibri"/>
                <w:sz w:val="18"/>
              </w:rPr>
            </w:pPr>
          </w:p>
        </w:tc>
        <w:tc>
          <w:tcPr>
            <w:tcW w:w="2129" w:type="dxa"/>
            <w:tcBorders>
              <w:top w:val="nil"/>
              <w:bottom w:val="nil"/>
            </w:tcBorders>
            <w:vAlign w:val="center"/>
          </w:tcPr>
          <w:p w14:paraId="399D95F1" w14:textId="7398FA97" w:rsidR="00502FFA" w:rsidRPr="005734B8" w:rsidRDefault="00502FFA" w:rsidP="00502FFA">
            <w:pPr>
              <w:pStyle w:val="ESTablenumberrightaligned"/>
              <w:numPr>
                <w:ilvl w:val="0"/>
                <w:numId w:val="7"/>
              </w:numPr>
              <w:jc w:val="left"/>
              <w:rPr>
                <w:rFonts w:ascii="Calibri" w:hAnsi="Calibri" w:cs="Calibri"/>
                <w:sz w:val="18"/>
              </w:rPr>
            </w:pPr>
            <w:r w:rsidRPr="005734B8">
              <w:rPr>
                <w:rFonts w:ascii="Calibri" w:hAnsi="Calibri" w:cs="Calibri"/>
                <w:sz w:val="18"/>
              </w:rPr>
              <w:t>retraining (annual refresher)</w:t>
            </w:r>
          </w:p>
        </w:tc>
        <w:tc>
          <w:tcPr>
            <w:tcW w:w="1264" w:type="dxa"/>
            <w:tcBorders>
              <w:top w:val="nil"/>
              <w:bottom w:val="nil"/>
            </w:tcBorders>
            <w:vAlign w:val="center"/>
          </w:tcPr>
          <w:p w14:paraId="6D8E01E9"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53</w:t>
            </w:r>
          </w:p>
        </w:tc>
        <w:tc>
          <w:tcPr>
            <w:tcW w:w="1264" w:type="dxa"/>
            <w:tcBorders>
              <w:top w:val="nil"/>
              <w:bottom w:val="nil"/>
            </w:tcBorders>
            <w:vAlign w:val="center"/>
          </w:tcPr>
          <w:p w14:paraId="7BEC2CCB"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51</w:t>
            </w:r>
          </w:p>
        </w:tc>
        <w:tc>
          <w:tcPr>
            <w:tcW w:w="1264" w:type="dxa"/>
            <w:tcBorders>
              <w:top w:val="nil"/>
              <w:bottom w:val="nil"/>
            </w:tcBorders>
            <w:shd w:val="clear" w:color="auto" w:fill="D9D9D6"/>
            <w:vAlign w:val="center"/>
          </w:tcPr>
          <w:p w14:paraId="2E7F7057"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70</w:t>
            </w:r>
          </w:p>
        </w:tc>
      </w:tr>
      <w:tr w:rsidR="00502FFA" w:rsidRPr="005734B8" w14:paraId="5253F765" w14:textId="77777777" w:rsidTr="00502FFA">
        <w:trPr>
          <w:cantSplit/>
        </w:trPr>
        <w:tc>
          <w:tcPr>
            <w:tcW w:w="1682" w:type="dxa"/>
            <w:tcBorders>
              <w:top w:val="nil"/>
              <w:bottom w:val="single" w:sz="4" w:space="0" w:color="auto"/>
            </w:tcBorders>
            <w:shd w:val="clear" w:color="auto" w:fill="auto"/>
            <w:vAlign w:val="center"/>
          </w:tcPr>
          <w:p w14:paraId="73B9C54A" w14:textId="77777777" w:rsidR="00502FFA" w:rsidRPr="005734B8" w:rsidRDefault="00502FFA" w:rsidP="00502FFA">
            <w:pPr>
              <w:pStyle w:val="ESTablebody"/>
              <w:rPr>
                <w:rFonts w:ascii="Calibri" w:hAnsi="Calibri" w:cs="Calibri"/>
                <w:sz w:val="18"/>
              </w:rPr>
            </w:pPr>
          </w:p>
        </w:tc>
        <w:tc>
          <w:tcPr>
            <w:tcW w:w="2129" w:type="dxa"/>
            <w:tcBorders>
              <w:top w:val="nil"/>
              <w:bottom w:val="single" w:sz="4" w:space="0" w:color="auto"/>
            </w:tcBorders>
            <w:shd w:val="clear" w:color="auto" w:fill="auto"/>
            <w:vAlign w:val="center"/>
          </w:tcPr>
          <w:p w14:paraId="38D29BF3" w14:textId="77777777" w:rsidR="00502FFA" w:rsidRPr="005734B8" w:rsidRDefault="00502FFA" w:rsidP="00502FFA">
            <w:pPr>
              <w:pStyle w:val="ESTablenumberrightaligned"/>
              <w:jc w:val="left"/>
              <w:rPr>
                <w:rFonts w:ascii="Calibri" w:hAnsi="Calibri" w:cs="Calibri"/>
                <w:sz w:val="18"/>
              </w:rPr>
            </w:pPr>
            <w:r w:rsidRPr="005734B8">
              <w:rPr>
                <w:rFonts w:ascii="Calibri" w:hAnsi="Calibri" w:cs="Calibri"/>
                <w:sz w:val="18"/>
              </w:rPr>
              <w:t>Total number of mental health training sessions</w:t>
            </w:r>
          </w:p>
        </w:tc>
        <w:tc>
          <w:tcPr>
            <w:tcW w:w="1264" w:type="dxa"/>
            <w:tcBorders>
              <w:top w:val="nil"/>
              <w:bottom w:val="single" w:sz="4" w:space="0" w:color="auto"/>
            </w:tcBorders>
            <w:vAlign w:val="center"/>
          </w:tcPr>
          <w:p w14:paraId="02B57AB2"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15 people managers and human resources staff</w:t>
            </w:r>
          </w:p>
          <w:p w14:paraId="0730A1BC"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3 executives</w:t>
            </w:r>
          </w:p>
        </w:tc>
        <w:tc>
          <w:tcPr>
            <w:tcW w:w="1264" w:type="dxa"/>
            <w:tcBorders>
              <w:top w:val="nil"/>
              <w:bottom w:val="single" w:sz="4" w:space="0" w:color="auto"/>
            </w:tcBorders>
            <w:vAlign w:val="center"/>
          </w:tcPr>
          <w:p w14:paraId="6FB95D12"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73</w:t>
            </w:r>
          </w:p>
        </w:tc>
        <w:tc>
          <w:tcPr>
            <w:tcW w:w="1264" w:type="dxa"/>
            <w:tcBorders>
              <w:top w:val="nil"/>
              <w:bottom w:val="single" w:sz="4" w:space="0" w:color="auto"/>
            </w:tcBorders>
            <w:shd w:val="clear" w:color="auto" w:fill="D9D9D6"/>
            <w:vAlign w:val="center"/>
          </w:tcPr>
          <w:p w14:paraId="35348014"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13 people managers and human resources staff</w:t>
            </w:r>
          </w:p>
          <w:p w14:paraId="3A225642"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 xml:space="preserve">8 executives </w:t>
            </w:r>
          </w:p>
        </w:tc>
      </w:tr>
      <w:tr w:rsidR="00502FFA" w:rsidRPr="005734B8" w14:paraId="219E782C" w14:textId="77777777" w:rsidTr="00502FFA">
        <w:trPr>
          <w:cantSplit/>
        </w:trPr>
        <w:tc>
          <w:tcPr>
            <w:tcW w:w="1682" w:type="dxa"/>
            <w:tcBorders>
              <w:top w:val="single" w:sz="4" w:space="0" w:color="auto"/>
              <w:bottom w:val="single" w:sz="4" w:space="0" w:color="auto"/>
            </w:tcBorders>
            <w:shd w:val="clear" w:color="auto" w:fill="auto"/>
            <w:vAlign w:val="center"/>
          </w:tcPr>
          <w:p w14:paraId="7A46BA3A" w14:textId="77777777" w:rsidR="00502FFA" w:rsidRPr="005734B8" w:rsidRDefault="00502FFA" w:rsidP="00502FFA">
            <w:pPr>
              <w:pStyle w:val="ESTablebody"/>
              <w:rPr>
                <w:rFonts w:ascii="Calibri" w:hAnsi="Calibri" w:cs="Calibri"/>
                <w:sz w:val="18"/>
              </w:rPr>
            </w:pPr>
            <w:r w:rsidRPr="005734B8">
              <w:rPr>
                <w:rFonts w:ascii="Calibri" w:hAnsi="Calibri" w:cs="Calibri"/>
                <w:sz w:val="18"/>
              </w:rPr>
              <w:lastRenderedPageBreak/>
              <w:t>Absenteeism</w:t>
            </w:r>
          </w:p>
        </w:tc>
        <w:tc>
          <w:tcPr>
            <w:tcW w:w="2129" w:type="dxa"/>
            <w:tcBorders>
              <w:top w:val="single" w:sz="4" w:space="0" w:color="auto"/>
              <w:bottom w:val="single" w:sz="4" w:space="0" w:color="auto"/>
            </w:tcBorders>
            <w:shd w:val="clear" w:color="auto" w:fill="auto"/>
            <w:vAlign w:val="center"/>
          </w:tcPr>
          <w:p w14:paraId="0663296D" w14:textId="77777777" w:rsidR="00502FFA" w:rsidRPr="005734B8" w:rsidRDefault="00502FFA" w:rsidP="00502FFA">
            <w:pPr>
              <w:pStyle w:val="ESTablenumberrightaligned"/>
              <w:numPr>
                <w:ilvl w:val="0"/>
                <w:numId w:val="7"/>
              </w:numPr>
              <w:jc w:val="left"/>
              <w:rPr>
                <w:rFonts w:ascii="Calibri" w:hAnsi="Calibri" w:cs="Calibri"/>
                <w:sz w:val="18"/>
              </w:rPr>
            </w:pPr>
            <w:r w:rsidRPr="005734B8">
              <w:rPr>
                <w:rFonts w:ascii="Calibri" w:hAnsi="Calibri" w:cs="Calibri"/>
                <w:sz w:val="18"/>
              </w:rPr>
              <w:t>Total number of days of absence due to injury or illness</w:t>
            </w:r>
          </w:p>
          <w:p w14:paraId="2538F2DF" w14:textId="77777777" w:rsidR="00502FFA" w:rsidRPr="005734B8" w:rsidRDefault="00502FFA" w:rsidP="00502FFA">
            <w:pPr>
              <w:pStyle w:val="ESTablenumberrightaligned"/>
              <w:numPr>
                <w:ilvl w:val="0"/>
                <w:numId w:val="7"/>
              </w:numPr>
              <w:jc w:val="left"/>
              <w:rPr>
                <w:rFonts w:ascii="Calibri" w:hAnsi="Calibri" w:cs="Calibri"/>
                <w:sz w:val="18"/>
              </w:rPr>
            </w:pPr>
            <w:r w:rsidRPr="005734B8">
              <w:rPr>
                <w:rFonts w:ascii="Calibri" w:hAnsi="Calibri" w:cs="Calibri"/>
                <w:sz w:val="18"/>
              </w:rPr>
              <w:t>Rate per 100 FTE</w:t>
            </w:r>
          </w:p>
        </w:tc>
        <w:tc>
          <w:tcPr>
            <w:tcW w:w="1264" w:type="dxa"/>
            <w:tcBorders>
              <w:top w:val="single" w:sz="4" w:space="0" w:color="auto"/>
              <w:bottom w:val="single" w:sz="4" w:space="0" w:color="auto"/>
            </w:tcBorders>
            <w:vAlign w:val="center"/>
          </w:tcPr>
          <w:p w14:paraId="14CA184D"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639,518</w:t>
            </w:r>
          </w:p>
          <w:p w14:paraId="2812F9CC" w14:textId="77777777" w:rsidR="00502FFA" w:rsidRPr="005734B8" w:rsidRDefault="00502FFA" w:rsidP="00502FFA">
            <w:pPr>
              <w:pStyle w:val="ESTablenumberrightaligned"/>
              <w:rPr>
                <w:rFonts w:ascii="Calibri" w:hAnsi="Calibri" w:cs="Calibri"/>
                <w:sz w:val="18"/>
              </w:rPr>
            </w:pPr>
          </w:p>
          <w:p w14:paraId="7B05C6F2" w14:textId="77777777" w:rsidR="00502FFA" w:rsidRPr="005734B8" w:rsidRDefault="00502FFA" w:rsidP="00502FFA">
            <w:pPr>
              <w:pStyle w:val="ESTablenumberrightaligned"/>
              <w:rPr>
                <w:rFonts w:ascii="Calibri" w:hAnsi="Calibri" w:cs="Calibri"/>
                <w:sz w:val="18"/>
              </w:rPr>
            </w:pPr>
          </w:p>
          <w:p w14:paraId="27AE28D4"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939</w:t>
            </w:r>
          </w:p>
        </w:tc>
        <w:tc>
          <w:tcPr>
            <w:tcW w:w="1264" w:type="dxa"/>
            <w:tcBorders>
              <w:top w:val="single" w:sz="4" w:space="0" w:color="auto"/>
              <w:bottom w:val="single" w:sz="4" w:space="0" w:color="auto"/>
            </w:tcBorders>
            <w:vAlign w:val="center"/>
          </w:tcPr>
          <w:p w14:paraId="5F610AAE"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628,411</w:t>
            </w:r>
          </w:p>
          <w:p w14:paraId="28E3A1DC" w14:textId="77777777" w:rsidR="00502FFA" w:rsidRPr="005734B8" w:rsidRDefault="00502FFA" w:rsidP="00502FFA">
            <w:pPr>
              <w:pStyle w:val="ESTablenumberrightaligned"/>
              <w:rPr>
                <w:rFonts w:ascii="Calibri" w:hAnsi="Calibri" w:cs="Calibri"/>
                <w:sz w:val="18"/>
              </w:rPr>
            </w:pPr>
          </w:p>
          <w:p w14:paraId="3FC536EF" w14:textId="77777777" w:rsidR="00502FFA" w:rsidRPr="005734B8" w:rsidRDefault="00502FFA" w:rsidP="00502FFA">
            <w:pPr>
              <w:pStyle w:val="ESTablenumberrightaligned"/>
              <w:rPr>
                <w:rFonts w:ascii="Calibri" w:hAnsi="Calibri" w:cs="Calibri"/>
                <w:sz w:val="18"/>
              </w:rPr>
            </w:pPr>
          </w:p>
          <w:p w14:paraId="0BD949A4"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898</w:t>
            </w:r>
          </w:p>
        </w:tc>
        <w:tc>
          <w:tcPr>
            <w:tcW w:w="1264" w:type="dxa"/>
            <w:tcBorders>
              <w:top w:val="single" w:sz="4" w:space="0" w:color="auto"/>
              <w:bottom w:val="single" w:sz="4" w:space="0" w:color="auto"/>
            </w:tcBorders>
            <w:shd w:val="clear" w:color="auto" w:fill="D9D9D6"/>
            <w:vAlign w:val="center"/>
          </w:tcPr>
          <w:p w14:paraId="29EAD1C0" w14:textId="54EECBE5" w:rsidR="00502FFA" w:rsidRPr="005734B8" w:rsidRDefault="0008659D" w:rsidP="00502FFA">
            <w:pPr>
              <w:pStyle w:val="ESTablenumberrightaligned"/>
              <w:rPr>
                <w:rFonts w:ascii="Calibri" w:hAnsi="Calibri" w:cs="Calibri"/>
                <w:sz w:val="18"/>
              </w:rPr>
            </w:pPr>
            <w:r w:rsidRPr="005734B8">
              <w:rPr>
                <w:rFonts w:ascii="Calibri" w:hAnsi="Calibri" w:cs="Calibri"/>
                <w:sz w:val="18"/>
              </w:rPr>
              <w:t>627,543</w:t>
            </w:r>
          </w:p>
          <w:p w14:paraId="307D7CEE" w14:textId="77777777" w:rsidR="00502FFA" w:rsidRPr="005734B8" w:rsidRDefault="00502FFA" w:rsidP="00502FFA">
            <w:pPr>
              <w:pStyle w:val="ESTablenumberrightaligned"/>
              <w:rPr>
                <w:rFonts w:ascii="Calibri" w:hAnsi="Calibri" w:cs="Calibri"/>
                <w:sz w:val="18"/>
              </w:rPr>
            </w:pPr>
          </w:p>
          <w:p w14:paraId="592E898E" w14:textId="77777777" w:rsidR="00502FFA" w:rsidRPr="005734B8" w:rsidRDefault="00502FFA" w:rsidP="00502FFA">
            <w:pPr>
              <w:pStyle w:val="ESTablenumberrightaligned"/>
              <w:rPr>
                <w:rFonts w:ascii="Calibri" w:hAnsi="Calibri" w:cs="Calibri"/>
                <w:sz w:val="18"/>
              </w:rPr>
            </w:pPr>
          </w:p>
          <w:p w14:paraId="695FF748" w14:textId="3190DAC1" w:rsidR="00502FFA" w:rsidRPr="005734B8" w:rsidRDefault="0008659D" w:rsidP="00502FFA">
            <w:pPr>
              <w:pStyle w:val="ESTablenumberrightaligned"/>
              <w:rPr>
                <w:rFonts w:ascii="Calibri" w:hAnsi="Calibri" w:cs="Calibri"/>
                <w:sz w:val="18"/>
              </w:rPr>
            </w:pPr>
            <w:r w:rsidRPr="005734B8">
              <w:rPr>
                <w:rFonts w:ascii="Calibri" w:hAnsi="Calibri" w:cs="Calibri"/>
                <w:sz w:val="18"/>
              </w:rPr>
              <w:t>857</w:t>
            </w:r>
          </w:p>
        </w:tc>
      </w:tr>
      <w:tr w:rsidR="00502FFA" w:rsidRPr="005734B8" w14:paraId="3B30B30C" w14:textId="77777777" w:rsidTr="00502FFA">
        <w:trPr>
          <w:cantSplit/>
        </w:trPr>
        <w:tc>
          <w:tcPr>
            <w:tcW w:w="1682" w:type="dxa"/>
            <w:tcBorders>
              <w:top w:val="single" w:sz="4" w:space="0" w:color="auto"/>
              <w:bottom w:val="nil"/>
            </w:tcBorders>
            <w:shd w:val="clear" w:color="auto" w:fill="auto"/>
            <w:vAlign w:val="center"/>
          </w:tcPr>
          <w:p w14:paraId="577502DB" w14:textId="77777777" w:rsidR="00502FFA" w:rsidRPr="005734B8" w:rsidRDefault="00502FFA" w:rsidP="00502FFA">
            <w:pPr>
              <w:pStyle w:val="ESTablebody"/>
              <w:rPr>
                <w:rFonts w:ascii="Calibri" w:hAnsi="Calibri" w:cs="Calibri"/>
                <w:sz w:val="18"/>
              </w:rPr>
            </w:pPr>
            <w:r w:rsidRPr="005734B8">
              <w:rPr>
                <w:rFonts w:ascii="Calibri" w:hAnsi="Calibri" w:cs="Calibri"/>
                <w:sz w:val="18"/>
              </w:rPr>
              <w:t>People Matter survey results</w:t>
            </w:r>
          </w:p>
        </w:tc>
        <w:tc>
          <w:tcPr>
            <w:tcW w:w="2129" w:type="dxa"/>
            <w:tcBorders>
              <w:top w:val="single" w:sz="4" w:space="0" w:color="auto"/>
              <w:bottom w:val="nil"/>
            </w:tcBorders>
            <w:shd w:val="clear" w:color="auto" w:fill="auto"/>
            <w:vAlign w:val="center"/>
          </w:tcPr>
          <w:p w14:paraId="3EFB615A" w14:textId="77777777" w:rsidR="00502FFA" w:rsidRPr="005734B8" w:rsidRDefault="00502FFA" w:rsidP="00502FFA">
            <w:pPr>
              <w:pStyle w:val="ESTablenumberrightaligned"/>
              <w:numPr>
                <w:ilvl w:val="0"/>
                <w:numId w:val="7"/>
              </w:numPr>
              <w:jc w:val="left"/>
              <w:rPr>
                <w:rFonts w:ascii="Calibri" w:hAnsi="Calibri" w:cs="Calibri"/>
                <w:sz w:val="18"/>
              </w:rPr>
            </w:pPr>
            <w:r w:rsidRPr="005734B8">
              <w:rPr>
                <w:rFonts w:ascii="Calibri" w:hAnsi="Calibri" w:cs="Calibri"/>
                <w:sz w:val="18"/>
              </w:rPr>
              <w:t>Response rate (%)</w:t>
            </w:r>
          </w:p>
        </w:tc>
        <w:tc>
          <w:tcPr>
            <w:tcW w:w="1264" w:type="dxa"/>
            <w:tcBorders>
              <w:top w:val="single" w:sz="4" w:space="0" w:color="auto"/>
              <w:bottom w:val="nil"/>
            </w:tcBorders>
            <w:vAlign w:val="center"/>
          </w:tcPr>
          <w:p w14:paraId="4CD292B6"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79</w:t>
            </w:r>
          </w:p>
        </w:tc>
        <w:tc>
          <w:tcPr>
            <w:tcW w:w="1264" w:type="dxa"/>
            <w:tcBorders>
              <w:top w:val="single" w:sz="4" w:space="0" w:color="auto"/>
              <w:bottom w:val="nil"/>
            </w:tcBorders>
            <w:vAlign w:val="center"/>
          </w:tcPr>
          <w:p w14:paraId="455321DD" w14:textId="4DFDCF1D" w:rsidR="00502FFA" w:rsidRPr="005734B8" w:rsidRDefault="00502FFA" w:rsidP="00502FFA">
            <w:pPr>
              <w:pStyle w:val="ESTablenumberrightaligned"/>
              <w:rPr>
                <w:rFonts w:ascii="Calibri" w:hAnsi="Calibri" w:cs="Calibri"/>
                <w:sz w:val="18"/>
              </w:rPr>
            </w:pPr>
            <w:r w:rsidRPr="005734B8">
              <w:rPr>
                <w:rFonts w:ascii="Calibri" w:hAnsi="Calibri" w:cs="Calibri"/>
                <w:sz w:val="18"/>
              </w:rPr>
              <w:t>–</w:t>
            </w:r>
            <w:r w:rsidRPr="005734B8">
              <w:rPr>
                <w:rStyle w:val="FootnoteReference"/>
                <w:rFonts w:ascii="Calibri" w:hAnsi="Calibri" w:cs="Calibri"/>
                <w:sz w:val="18"/>
              </w:rPr>
              <w:footnoteReference w:id="41"/>
            </w:r>
          </w:p>
        </w:tc>
        <w:tc>
          <w:tcPr>
            <w:tcW w:w="1264" w:type="dxa"/>
            <w:tcBorders>
              <w:top w:val="single" w:sz="4" w:space="0" w:color="auto"/>
              <w:bottom w:val="nil"/>
            </w:tcBorders>
            <w:shd w:val="clear" w:color="auto" w:fill="D9D9D6"/>
            <w:vAlign w:val="center"/>
          </w:tcPr>
          <w:p w14:paraId="2146FBA5"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71</w:t>
            </w:r>
          </w:p>
        </w:tc>
      </w:tr>
      <w:tr w:rsidR="00502FFA" w:rsidRPr="005734B8" w14:paraId="2CBAED58" w14:textId="77777777" w:rsidTr="00502FFA">
        <w:trPr>
          <w:cantSplit/>
        </w:trPr>
        <w:tc>
          <w:tcPr>
            <w:tcW w:w="1682" w:type="dxa"/>
            <w:tcBorders>
              <w:top w:val="nil"/>
              <w:bottom w:val="single" w:sz="4" w:space="0" w:color="auto"/>
            </w:tcBorders>
            <w:shd w:val="clear" w:color="auto" w:fill="auto"/>
            <w:vAlign w:val="center"/>
          </w:tcPr>
          <w:p w14:paraId="56519F7C" w14:textId="77777777" w:rsidR="00502FFA" w:rsidRPr="005734B8" w:rsidRDefault="00502FFA" w:rsidP="00502FFA">
            <w:pPr>
              <w:pStyle w:val="ESTablebody"/>
              <w:rPr>
                <w:rFonts w:ascii="Calibri" w:hAnsi="Calibri" w:cs="Calibri"/>
                <w:sz w:val="18"/>
              </w:rPr>
            </w:pPr>
          </w:p>
        </w:tc>
        <w:tc>
          <w:tcPr>
            <w:tcW w:w="2129" w:type="dxa"/>
            <w:tcBorders>
              <w:top w:val="nil"/>
              <w:bottom w:val="single" w:sz="4" w:space="0" w:color="auto"/>
            </w:tcBorders>
            <w:shd w:val="clear" w:color="auto" w:fill="auto"/>
            <w:vAlign w:val="center"/>
          </w:tcPr>
          <w:p w14:paraId="146046DE" w14:textId="7168A819" w:rsidR="00502FFA" w:rsidRPr="005734B8" w:rsidRDefault="00502FFA" w:rsidP="00502FFA">
            <w:pPr>
              <w:pStyle w:val="ESTablenumberrightaligned"/>
              <w:numPr>
                <w:ilvl w:val="0"/>
                <w:numId w:val="7"/>
              </w:numPr>
              <w:jc w:val="left"/>
              <w:rPr>
                <w:rFonts w:ascii="Calibri" w:hAnsi="Calibri" w:cs="Calibri"/>
                <w:sz w:val="18"/>
              </w:rPr>
            </w:pPr>
            <w:r w:rsidRPr="005734B8">
              <w:rPr>
                <w:rFonts w:ascii="Calibri" w:hAnsi="Calibri" w:cs="Calibri"/>
                <w:sz w:val="18"/>
              </w:rPr>
              <w:t>Percent</w:t>
            </w:r>
            <w:r w:rsidR="002B5648" w:rsidRPr="005734B8">
              <w:rPr>
                <w:rFonts w:ascii="Calibri" w:hAnsi="Calibri" w:cs="Calibri"/>
                <w:sz w:val="18"/>
              </w:rPr>
              <w:t>age</w:t>
            </w:r>
            <w:r w:rsidRPr="005734B8">
              <w:rPr>
                <w:rFonts w:ascii="Calibri" w:hAnsi="Calibri" w:cs="Calibri"/>
                <w:sz w:val="18"/>
              </w:rPr>
              <w:t xml:space="preserve"> of respondents who think the Department provides a safe work environment </w:t>
            </w:r>
          </w:p>
        </w:tc>
        <w:tc>
          <w:tcPr>
            <w:tcW w:w="1264" w:type="dxa"/>
            <w:tcBorders>
              <w:top w:val="nil"/>
              <w:bottom w:val="single" w:sz="4" w:space="0" w:color="auto"/>
            </w:tcBorders>
            <w:vAlign w:val="center"/>
          </w:tcPr>
          <w:p w14:paraId="4C8B7EED"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81</w:t>
            </w:r>
          </w:p>
        </w:tc>
        <w:tc>
          <w:tcPr>
            <w:tcW w:w="1264" w:type="dxa"/>
            <w:tcBorders>
              <w:top w:val="nil"/>
              <w:bottom w:val="single" w:sz="4" w:space="0" w:color="auto"/>
            </w:tcBorders>
            <w:vAlign w:val="center"/>
          </w:tcPr>
          <w:p w14:paraId="1E91207E" w14:textId="10369F24" w:rsidR="00502FFA" w:rsidRPr="005734B8" w:rsidRDefault="00502FFA" w:rsidP="00502FFA">
            <w:pPr>
              <w:pStyle w:val="ESTablenumberrightaligned"/>
              <w:rPr>
                <w:rFonts w:ascii="Calibri" w:hAnsi="Calibri" w:cs="Calibri"/>
                <w:sz w:val="18"/>
              </w:rPr>
            </w:pPr>
            <w:r w:rsidRPr="005734B8">
              <w:rPr>
                <w:rFonts w:ascii="Calibri" w:hAnsi="Calibri" w:cs="Calibri"/>
                <w:sz w:val="18"/>
              </w:rPr>
              <w:t>–</w:t>
            </w:r>
          </w:p>
        </w:tc>
        <w:tc>
          <w:tcPr>
            <w:tcW w:w="1264" w:type="dxa"/>
            <w:tcBorders>
              <w:top w:val="nil"/>
              <w:bottom w:val="single" w:sz="4" w:space="0" w:color="auto"/>
            </w:tcBorders>
            <w:shd w:val="clear" w:color="auto" w:fill="D9D9D6"/>
            <w:vAlign w:val="center"/>
          </w:tcPr>
          <w:p w14:paraId="409845CF" w14:textId="18CAE811" w:rsidR="00502FFA" w:rsidRPr="005734B8" w:rsidRDefault="00A41E3D" w:rsidP="00502FFA">
            <w:pPr>
              <w:pStyle w:val="ESTablenumberrightaligned"/>
              <w:rPr>
                <w:rFonts w:ascii="Calibri" w:hAnsi="Calibri" w:cs="Calibri"/>
                <w:sz w:val="18"/>
              </w:rPr>
            </w:pPr>
            <w:r w:rsidRPr="005734B8">
              <w:rPr>
                <w:rFonts w:ascii="Calibri" w:hAnsi="Calibri" w:cs="Calibri"/>
                <w:sz w:val="18"/>
              </w:rPr>
              <w:t>86</w:t>
            </w:r>
          </w:p>
        </w:tc>
      </w:tr>
      <w:tr w:rsidR="00502FFA" w:rsidRPr="005734B8" w14:paraId="4B6393A9" w14:textId="77777777" w:rsidTr="00502FFA">
        <w:trPr>
          <w:cantSplit/>
        </w:trPr>
        <w:tc>
          <w:tcPr>
            <w:tcW w:w="1682" w:type="dxa"/>
            <w:tcBorders>
              <w:top w:val="single" w:sz="4" w:space="0" w:color="auto"/>
              <w:bottom w:val="single" w:sz="4" w:space="0" w:color="auto"/>
            </w:tcBorders>
            <w:shd w:val="clear" w:color="auto" w:fill="auto"/>
            <w:vAlign w:val="center"/>
          </w:tcPr>
          <w:p w14:paraId="1A3005F7" w14:textId="77777777" w:rsidR="00502FFA" w:rsidRPr="005734B8" w:rsidRDefault="00502FFA" w:rsidP="00502FFA">
            <w:pPr>
              <w:pStyle w:val="ESTablebody"/>
              <w:rPr>
                <w:rFonts w:ascii="Calibri" w:hAnsi="Calibri" w:cs="Calibri"/>
                <w:sz w:val="18"/>
              </w:rPr>
            </w:pPr>
            <w:r w:rsidRPr="005734B8">
              <w:rPr>
                <w:rFonts w:ascii="Calibri" w:hAnsi="Calibri" w:cs="Calibri"/>
                <w:sz w:val="18"/>
              </w:rPr>
              <w:t>Prosecutions</w:t>
            </w:r>
          </w:p>
        </w:tc>
        <w:tc>
          <w:tcPr>
            <w:tcW w:w="2129" w:type="dxa"/>
            <w:tcBorders>
              <w:top w:val="single" w:sz="4" w:space="0" w:color="auto"/>
              <w:bottom w:val="single" w:sz="4" w:space="0" w:color="auto"/>
            </w:tcBorders>
            <w:shd w:val="clear" w:color="auto" w:fill="auto"/>
            <w:vAlign w:val="center"/>
          </w:tcPr>
          <w:p w14:paraId="3F6182A9" w14:textId="77777777" w:rsidR="00502FFA" w:rsidRPr="005734B8" w:rsidRDefault="00502FFA" w:rsidP="00502FFA">
            <w:pPr>
              <w:pStyle w:val="ESTablenumberrightaligned"/>
              <w:numPr>
                <w:ilvl w:val="0"/>
                <w:numId w:val="7"/>
              </w:numPr>
              <w:jc w:val="left"/>
              <w:rPr>
                <w:rFonts w:ascii="Calibri" w:hAnsi="Calibri" w:cs="Calibri"/>
                <w:sz w:val="18"/>
              </w:rPr>
            </w:pPr>
            <w:r w:rsidRPr="005734B8">
              <w:rPr>
                <w:rFonts w:ascii="Calibri" w:hAnsi="Calibri" w:cs="Calibri"/>
                <w:sz w:val="18"/>
              </w:rPr>
              <w:t>Total number of prosecutions</w:t>
            </w:r>
          </w:p>
        </w:tc>
        <w:tc>
          <w:tcPr>
            <w:tcW w:w="1264" w:type="dxa"/>
            <w:tcBorders>
              <w:top w:val="single" w:sz="4" w:space="0" w:color="auto"/>
              <w:bottom w:val="single" w:sz="4" w:space="0" w:color="auto"/>
            </w:tcBorders>
          </w:tcPr>
          <w:p w14:paraId="1ADE7480" w14:textId="581D4289" w:rsidR="00502FFA" w:rsidRPr="005734B8" w:rsidRDefault="002B5648" w:rsidP="00502FFA">
            <w:pPr>
              <w:pStyle w:val="ESTablenumberrightaligned"/>
              <w:rPr>
                <w:rFonts w:ascii="Calibri" w:hAnsi="Calibri" w:cs="Calibri"/>
                <w:sz w:val="18"/>
              </w:rPr>
            </w:pPr>
            <w:r w:rsidRPr="005734B8">
              <w:rPr>
                <w:rFonts w:ascii="Calibri" w:hAnsi="Calibri" w:cs="Calibri"/>
                <w:sz w:val="18"/>
              </w:rPr>
              <w:t>–</w:t>
            </w:r>
          </w:p>
        </w:tc>
        <w:tc>
          <w:tcPr>
            <w:tcW w:w="1264" w:type="dxa"/>
            <w:tcBorders>
              <w:top w:val="single" w:sz="4" w:space="0" w:color="auto"/>
              <w:bottom w:val="single" w:sz="4" w:space="0" w:color="auto"/>
            </w:tcBorders>
          </w:tcPr>
          <w:p w14:paraId="63280394" w14:textId="73F82356" w:rsidR="00502FFA" w:rsidRPr="005734B8" w:rsidRDefault="002B5648" w:rsidP="00502FFA">
            <w:pPr>
              <w:pStyle w:val="ESTablenumberrightaligned"/>
              <w:rPr>
                <w:rFonts w:ascii="Calibri" w:hAnsi="Calibri" w:cs="Calibri"/>
                <w:sz w:val="18"/>
              </w:rPr>
            </w:pPr>
            <w:r w:rsidRPr="005734B8">
              <w:rPr>
                <w:rFonts w:ascii="Calibri" w:hAnsi="Calibri" w:cs="Calibri"/>
                <w:sz w:val="18"/>
              </w:rPr>
              <w:t>–</w:t>
            </w:r>
          </w:p>
        </w:tc>
        <w:tc>
          <w:tcPr>
            <w:tcW w:w="1264" w:type="dxa"/>
            <w:tcBorders>
              <w:top w:val="single" w:sz="4" w:space="0" w:color="auto"/>
              <w:bottom w:val="single" w:sz="4" w:space="0" w:color="auto"/>
            </w:tcBorders>
            <w:shd w:val="clear" w:color="auto" w:fill="D9D9D6"/>
          </w:tcPr>
          <w:p w14:paraId="111E1DA2" w14:textId="28495482" w:rsidR="00502FFA" w:rsidRPr="005734B8" w:rsidRDefault="002B5648" w:rsidP="00502FFA">
            <w:pPr>
              <w:pStyle w:val="ESTablenumberrightaligned"/>
              <w:rPr>
                <w:rFonts w:ascii="Calibri" w:hAnsi="Calibri" w:cs="Calibri"/>
                <w:sz w:val="18"/>
              </w:rPr>
            </w:pPr>
            <w:r w:rsidRPr="005734B8">
              <w:rPr>
                <w:rFonts w:ascii="Calibri" w:hAnsi="Calibri" w:cs="Calibri"/>
                <w:sz w:val="18"/>
              </w:rPr>
              <w:t>–</w:t>
            </w:r>
          </w:p>
        </w:tc>
      </w:tr>
      <w:tr w:rsidR="00502FFA" w:rsidRPr="005734B8" w14:paraId="5D8EBD1E" w14:textId="77777777" w:rsidTr="00502FFA">
        <w:trPr>
          <w:cantSplit/>
        </w:trPr>
        <w:tc>
          <w:tcPr>
            <w:tcW w:w="1682" w:type="dxa"/>
            <w:tcBorders>
              <w:top w:val="single" w:sz="4" w:space="0" w:color="auto"/>
              <w:bottom w:val="nil"/>
            </w:tcBorders>
            <w:shd w:val="clear" w:color="auto" w:fill="auto"/>
            <w:vAlign w:val="center"/>
          </w:tcPr>
          <w:p w14:paraId="4624A2FF" w14:textId="77777777" w:rsidR="00502FFA" w:rsidRPr="005734B8" w:rsidRDefault="00502FFA" w:rsidP="00502FFA">
            <w:pPr>
              <w:pStyle w:val="ESTablebody"/>
              <w:rPr>
                <w:rFonts w:ascii="Calibri" w:hAnsi="Calibri" w:cs="Calibri"/>
                <w:sz w:val="18"/>
              </w:rPr>
            </w:pPr>
            <w:r w:rsidRPr="005734B8">
              <w:rPr>
                <w:rFonts w:ascii="Calibri" w:hAnsi="Calibri" w:cs="Calibri"/>
                <w:sz w:val="18"/>
              </w:rPr>
              <w:t>Mental health and wellbeing</w:t>
            </w:r>
          </w:p>
        </w:tc>
        <w:tc>
          <w:tcPr>
            <w:tcW w:w="2129" w:type="dxa"/>
            <w:tcBorders>
              <w:top w:val="single" w:sz="4" w:space="0" w:color="auto"/>
              <w:bottom w:val="nil"/>
            </w:tcBorders>
            <w:shd w:val="clear" w:color="auto" w:fill="auto"/>
            <w:vAlign w:val="center"/>
          </w:tcPr>
          <w:p w14:paraId="068DD9FF" w14:textId="77777777" w:rsidR="00502FFA" w:rsidRPr="005734B8" w:rsidRDefault="00502FFA" w:rsidP="00502FFA">
            <w:pPr>
              <w:pStyle w:val="ESTablenumberrightaligned"/>
              <w:numPr>
                <w:ilvl w:val="0"/>
                <w:numId w:val="7"/>
              </w:numPr>
              <w:jc w:val="left"/>
              <w:rPr>
                <w:rFonts w:ascii="Calibri" w:hAnsi="Calibri" w:cs="Calibri"/>
                <w:sz w:val="18"/>
              </w:rPr>
            </w:pPr>
            <w:r w:rsidRPr="005734B8">
              <w:rPr>
                <w:rFonts w:ascii="Calibri" w:hAnsi="Calibri" w:cs="Calibri"/>
                <w:sz w:val="18"/>
              </w:rPr>
              <w:t>Mental health audit</w:t>
            </w:r>
            <w:r w:rsidRPr="005734B8">
              <w:rPr>
                <w:rStyle w:val="FootnoteReference"/>
                <w:rFonts w:ascii="Calibri" w:hAnsi="Calibri" w:cs="Calibri"/>
                <w:sz w:val="18"/>
              </w:rPr>
              <w:footnoteReference w:id="42"/>
            </w:r>
          </w:p>
        </w:tc>
        <w:tc>
          <w:tcPr>
            <w:tcW w:w="1264" w:type="dxa"/>
            <w:tcBorders>
              <w:top w:val="single" w:sz="4" w:space="0" w:color="auto"/>
              <w:bottom w:val="nil"/>
            </w:tcBorders>
            <w:vAlign w:val="center"/>
          </w:tcPr>
          <w:p w14:paraId="0AF0B873" w14:textId="500642B2" w:rsidR="00502FFA" w:rsidRPr="005734B8" w:rsidRDefault="00502FFA" w:rsidP="00502FFA">
            <w:pPr>
              <w:pStyle w:val="ESTablenumberrightaligned"/>
              <w:rPr>
                <w:rFonts w:ascii="Calibri" w:hAnsi="Calibri" w:cs="Calibri"/>
                <w:sz w:val="18"/>
              </w:rPr>
            </w:pPr>
            <w:r w:rsidRPr="005734B8">
              <w:rPr>
                <w:rFonts w:ascii="Calibri" w:hAnsi="Calibri" w:cs="Calibri"/>
                <w:sz w:val="18"/>
              </w:rPr>
              <w:t>–</w:t>
            </w:r>
          </w:p>
        </w:tc>
        <w:tc>
          <w:tcPr>
            <w:tcW w:w="1264" w:type="dxa"/>
            <w:tcBorders>
              <w:top w:val="single" w:sz="4" w:space="0" w:color="auto"/>
              <w:bottom w:val="nil"/>
            </w:tcBorders>
            <w:vAlign w:val="center"/>
          </w:tcPr>
          <w:p w14:paraId="4FE0B8B7" w14:textId="0A22EE19" w:rsidR="00502FFA" w:rsidRPr="005734B8" w:rsidRDefault="00502FFA" w:rsidP="00502FFA">
            <w:pPr>
              <w:pStyle w:val="ESTablenumberrightaligned"/>
              <w:rPr>
                <w:rFonts w:ascii="Calibri" w:hAnsi="Calibri" w:cs="Calibri"/>
                <w:sz w:val="18"/>
              </w:rPr>
            </w:pPr>
            <w:r w:rsidRPr="005734B8">
              <w:rPr>
                <w:rFonts w:ascii="Calibri" w:hAnsi="Calibri" w:cs="Calibri"/>
                <w:sz w:val="18"/>
              </w:rPr>
              <w:t>–</w:t>
            </w:r>
          </w:p>
        </w:tc>
        <w:tc>
          <w:tcPr>
            <w:tcW w:w="1264" w:type="dxa"/>
            <w:tcBorders>
              <w:top w:val="single" w:sz="4" w:space="0" w:color="auto"/>
              <w:bottom w:val="nil"/>
            </w:tcBorders>
            <w:shd w:val="clear" w:color="auto" w:fill="D9D9D6"/>
            <w:vAlign w:val="center"/>
          </w:tcPr>
          <w:p w14:paraId="7B1B335F" w14:textId="305BBC72" w:rsidR="00502FFA" w:rsidRPr="005734B8" w:rsidRDefault="00502FFA" w:rsidP="00502FFA">
            <w:pPr>
              <w:pStyle w:val="ESTablenumberrightaligned"/>
              <w:rPr>
                <w:rFonts w:ascii="Calibri" w:hAnsi="Calibri" w:cs="Calibri"/>
                <w:sz w:val="18"/>
              </w:rPr>
            </w:pPr>
            <w:r w:rsidRPr="005734B8">
              <w:rPr>
                <w:rFonts w:ascii="Calibri" w:hAnsi="Calibri" w:cs="Calibri"/>
                <w:sz w:val="18"/>
              </w:rPr>
              <w:t>–</w:t>
            </w:r>
          </w:p>
        </w:tc>
      </w:tr>
      <w:tr w:rsidR="00502FFA" w:rsidRPr="005734B8" w14:paraId="49200A6E" w14:textId="77777777" w:rsidTr="00502FFA">
        <w:trPr>
          <w:cantSplit/>
        </w:trPr>
        <w:tc>
          <w:tcPr>
            <w:tcW w:w="1682" w:type="dxa"/>
            <w:tcBorders>
              <w:top w:val="nil"/>
              <w:bottom w:val="single" w:sz="4" w:space="0" w:color="auto"/>
            </w:tcBorders>
            <w:shd w:val="clear" w:color="auto" w:fill="auto"/>
            <w:vAlign w:val="center"/>
          </w:tcPr>
          <w:p w14:paraId="47FA209C" w14:textId="77777777" w:rsidR="00502FFA" w:rsidRPr="005734B8" w:rsidRDefault="00502FFA" w:rsidP="00502FFA">
            <w:pPr>
              <w:pStyle w:val="ESTablebody"/>
              <w:rPr>
                <w:rFonts w:ascii="Calibri" w:hAnsi="Calibri" w:cs="Calibri"/>
                <w:sz w:val="18"/>
              </w:rPr>
            </w:pPr>
          </w:p>
        </w:tc>
        <w:tc>
          <w:tcPr>
            <w:tcW w:w="2129" w:type="dxa"/>
            <w:tcBorders>
              <w:top w:val="nil"/>
              <w:bottom w:val="single" w:sz="4" w:space="0" w:color="auto"/>
            </w:tcBorders>
            <w:shd w:val="clear" w:color="auto" w:fill="auto"/>
            <w:vAlign w:val="center"/>
          </w:tcPr>
          <w:p w14:paraId="61C1CC0C" w14:textId="77777777" w:rsidR="00502FFA" w:rsidRPr="005734B8" w:rsidRDefault="00502FFA" w:rsidP="00502FFA">
            <w:pPr>
              <w:pStyle w:val="ESTablenumberrightaligned"/>
              <w:numPr>
                <w:ilvl w:val="0"/>
                <w:numId w:val="7"/>
              </w:numPr>
              <w:jc w:val="left"/>
              <w:rPr>
                <w:rFonts w:ascii="Calibri" w:hAnsi="Calibri" w:cs="Calibri"/>
                <w:sz w:val="18"/>
              </w:rPr>
            </w:pPr>
            <w:r w:rsidRPr="005734B8">
              <w:rPr>
                <w:rFonts w:ascii="Calibri" w:hAnsi="Calibri" w:cs="Calibri"/>
                <w:sz w:val="18"/>
              </w:rPr>
              <w:t>Calendar of mental health and wellbeing activities</w:t>
            </w:r>
            <w:r w:rsidRPr="005734B8">
              <w:rPr>
                <w:rStyle w:val="FootnoteReference"/>
                <w:rFonts w:ascii="Calibri" w:hAnsi="Calibri" w:cs="Calibri"/>
                <w:sz w:val="18"/>
              </w:rPr>
              <w:footnoteReference w:id="43"/>
            </w:r>
          </w:p>
        </w:tc>
        <w:tc>
          <w:tcPr>
            <w:tcW w:w="1264" w:type="dxa"/>
            <w:tcBorders>
              <w:top w:val="nil"/>
              <w:bottom w:val="single" w:sz="4" w:space="0" w:color="auto"/>
            </w:tcBorders>
            <w:vAlign w:val="center"/>
          </w:tcPr>
          <w:p w14:paraId="62BDDE38" w14:textId="5826ED9E" w:rsidR="00502FFA" w:rsidRPr="005734B8" w:rsidRDefault="00502FFA" w:rsidP="00502FFA">
            <w:pPr>
              <w:pStyle w:val="ESTablenumberrightaligned"/>
              <w:rPr>
                <w:rFonts w:ascii="Calibri" w:hAnsi="Calibri" w:cs="Calibri"/>
                <w:sz w:val="18"/>
              </w:rPr>
            </w:pPr>
            <w:r w:rsidRPr="005734B8">
              <w:rPr>
                <w:rFonts w:ascii="Calibri" w:hAnsi="Calibri" w:cs="Calibri"/>
                <w:sz w:val="18"/>
              </w:rPr>
              <w:t>–</w:t>
            </w:r>
          </w:p>
        </w:tc>
        <w:tc>
          <w:tcPr>
            <w:tcW w:w="1264" w:type="dxa"/>
            <w:tcBorders>
              <w:top w:val="nil"/>
              <w:bottom w:val="single" w:sz="4" w:space="0" w:color="auto"/>
            </w:tcBorders>
            <w:vAlign w:val="center"/>
          </w:tcPr>
          <w:p w14:paraId="2902FFD5"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Yes</w:t>
            </w:r>
          </w:p>
        </w:tc>
        <w:tc>
          <w:tcPr>
            <w:tcW w:w="1264" w:type="dxa"/>
            <w:tcBorders>
              <w:top w:val="nil"/>
              <w:bottom w:val="single" w:sz="4" w:space="0" w:color="auto"/>
            </w:tcBorders>
            <w:shd w:val="clear" w:color="auto" w:fill="D9D9D6"/>
            <w:vAlign w:val="center"/>
          </w:tcPr>
          <w:p w14:paraId="731D6106" w14:textId="77777777" w:rsidR="00502FFA" w:rsidRPr="005734B8" w:rsidRDefault="00502FFA" w:rsidP="00502FFA">
            <w:pPr>
              <w:pStyle w:val="ESTablenumberrightaligned"/>
              <w:rPr>
                <w:rFonts w:ascii="Calibri" w:hAnsi="Calibri" w:cs="Calibri"/>
                <w:sz w:val="18"/>
              </w:rPr>
            </w:pPr>
            <w:r w:rsidRPr="005734B8">
              <w:rPr>
                <w:rFonts w:ascii="Calibri" w:hAnsi="Calibri" w:cs="Calibri"/>
                <w:sz w:val="18"/>
              </w:rPr>
              <w:t>Yes</w:t>
            </w:r>
          </w:p>
        </w:tc>
      </w:tr>
    </w:tbl>
    <w:p w14:paraId="5A4CF503" w14:textId="03B56AB2" w:rsidR="000475DA" w:rsidRPr="005734B8" w:rsidRDefault="000475DA" w:rsidP="00A210A0">
      <w:pPr>
        <w:rPr>
          <w:rFonts w:ascii="Calibri" w:hAnsi="Calibri" w:cs="Calibri"/>
          <w:highlight w:val="yellow"/>
        </w:rPr>
      </w:pPr>
    </w:p>
    <w:p w14:paraId="591F063E" w14:textId="39EF2FFC" w:rsidR="001D6E3A" w:rsidRPr="005734B8" w:rsidRDefault="001D6E3A" w:rsidP="001D6E3A">
      <w:pPr>
        <w:rPr>
          <w:rFonts w:ascii="Calibri" w:hAnsi="Calibri" w:cs="Calibri"/>
          <w:highlight w:val="yellow"/>
        </w:rPr>
      </w:pPr>
    </w:p>
    <w:p w14:paraId="2810B170" w14:textId="3E92AFF0" w:rsidR="001D6E3A" w:rsidRPr="005734B8" w:rsidRDefault="001D6E3A" w:rsidP="001D6E3A">
      <w:pPr>
        <w:rPr>
          <w:rFonts w:ascii="Calibri" w:hAnsi="Calibri" w:cs="Calibri"/>
          <w:highlight w:val="yellow"/>
        </w:rPr>
      </w:pPr>
    </w:p>
    <w:p w14:paraId="374A2EFD" w14:textId="2C9DACF2" w:rsidR="00CC06F5" w:rsidRPr="005734B8" w:rsidRDefault="00CC06F5" w:rsidP="00CC06F5">
      <w:pPr>
        <w:rPr>
          <w:rFonts w:ascii="Calibri" w:hAnsi="Calibri" w:cs="Calibri"/>
          <w:highlight w:val="yellow"/>
        </w:rPr>
      </w:pPr>
    </w:p>
    <w:p w14:paraId="3D4A9D86" w14:textId="77777777" w:rsidR="00D646D6" w:rsidRPr="005734B8" w:rsidRDefault="00D646D6" w:rsidP="001D6E3A">
      <w:pPr>
        <w:rPr>
          <w:rFonts w:ascii="Calibri" w:hAnsi="Calibri" w:cs="Calibri"/>
          <w:highlight w:val="yellow"/>
        </w:rPr>
        <w:sectPr w:rsidR="00D646D6" w:rsidRPr="005734B8" w:rsidSect="00197533">
          <w:footerReference w:type="default" r:id="rId35"/>
          <w:pgSz w:w="11900" w:h="16840"/>
          <w:pgMar w:top="1440" w:right="1134" w:bottom="1440" w:left="2835" w:header="709" w:footer="709" w:gutter="0"/>
          <w:cols w:space="708"/>
          <w:docGrid w:linePitch="360"/>
        </w:sectPr>
      </w:pPr>
    </w:p>
    <w:p w14:paraId="28763AD4" w14:textId="1EF62CFC" w:rsidR="00F900AD" w:rsidRPr="005734B8" w:rsidRDefault="00F900AD" w:rsidP="00F900AD">
      <w:pPr>
        <w:pStyle w:val="ESHeading2"/>
        <w:rPr>
          <w:rFonts w:ascii="Calibri" w:hAnsi="Calibri" w:cs="Calibri"/>
        </w:rPr>
      </w:pPr>
      <w:bookmarkStart w:id="611" w:name="_Toc9432474"/>
      <w:bookmarkStart w:id="612" w:name="_Toc11158234"/>
      <w:bookmarkStart w:id="613" w:name="_Toc11336241"/>
      <w:bookmarkStart w:id="614" w:name="_Toc13656681"/>
      <w:bookmarkStart w:id="615" w:name="_Toc14965467"/>
      <w:bookmarkStart w:id="616" w:name="_Toc15985267"/>
      <w:bookmarkStart w:id="617" w:name="_Toc19272045"/>
      <w:bookmarkStart w:id="618" w:name="_Toc19272411"/>
      <w:bookmarkStart w:id="619" w:name="_Toc19273746"/>
      <w:bookmarkStart w:id="620" w:name="_Toc48402787"/>
      <w:bookmarkStart w:id="621" w:name="_Toc48403024"/>
      <w:bookmarkStart w:id="622" w:name="_Toc51332767"/>
      <w:bookmarkStart w:id="623" w:name="_Toc71037321"/>
      <w:bookmarkStart w:id="624" w:name="_Toc81315331"/>
      <w:r w:rsidRPr="005734B8">
        <w:rPr>
          <w:rFonts w:ascii="Calibri" w:hAnsi="Calibri" w:cs="Calibri"/>
        </w:rPr>
        <w:lastRenderedPageBreak/>
        <w:t>Comparative workforce data</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5ABBAA42" w14:textId="635F7D96" w:rsidR="00F900AD" w:rsidRPr="005734B8" w:rsidRDefault="00F900AD" w:rsidP="00F900AD">
      <w:pPr>
        <w:rPr>
          <w:rFonts w:ascii="Calibri" w:hAnsi="Calibri" w:cs="Calibri"/>
        </w:rPr>
      </w:pPr>
      <w:r w:rsidRPr="005734B8">
        <w:rPr>
          <w:rFonts w:ascii="Calibri" w:hAnsi="Calibri" w:cs="Calibri"/>
        </w:rPr>
        <w:t>The following tables disclose the head</w:t>
      </w:r>
      <w:r w:rsidR="002B5648" w:rsidRPr="005734B8">
        <w:rPr>
          <w:rFonts w:ascii="Calibri" w:hAnsi="Calibri" w:cs="Calibri"/>
        </w:rPr>
        <w:t xml:space="preserve"> </w:t>
      </w:r>
      <w:r w:rsidRPr="005734B8">
        <w:rPr>
          <w:rFonts w:ascii="Calibri" w:hAnsi="Calibri" w:cs="Calibri"/>
        </w:rPr>
        <w:t xml:space="preserve">count and FTE of all active public service employees of the Department </w:t>
      </w:r>
      <w:r w:rsidRPr="005734B8">
        <w:rPr>
          <w:rStyle w:val="FootnoteReference"/>
          <w:rFonts w:ascii="Calibri" w:hAnsi="Calibri" w:cs="Calibri"/>
        </w:rPr>
        <w:footnoteReference w:id="44"/>
      </w:r>
      <w:r w:rsidRPr="005734B8">
        <w:rPr>
          <w:rFonts w:ascii="Calibri" w:hAnsi="Calibri" w:cs="Calibri"/>
        </w:rPr>
        <w:t xml:space="preserve"> </w:t>
      </w:r>
      <w:r w:rsidRPr="005734B8">
        <w:rPr>
          <w:rStyle w:val="FootnoteReference"/>
          <w:rFonts w:ascii="Calibri" w:hAnsi="Calibri" w:cs="Calibri"/>
        </w:rPr>
        <w:footnoteReference w:id="45"/>
      </w:r>
      <w:r w:rsidRPr="005734B8">
        <w:rPr>
          <w:rFonts w:ascii="Calibri" w:hAnsi="Calibri" w:cs="Calibri"/>
        </w:rPr>
        <w:t xml:space="preserve"> </w:t>
      </w:r>
      <w:r w:rsidRPr="005734B8">
        <w:rPr>
          <w:rStyle w:val="FootnoteReference"/>
          <w:rFonts w:ascii="Calibri" w:hAnsi="Calibri" w:cs="Calibri"/>
        </w:rPr>
        <w:footnoteReference w:id="46"/>
      </w:r>
      <w:r w:rsidRPr="005734B8">
        <w:rPr>
          <w:rFonts w:ascii="Calibri" w:hAnsi="Calibri" w:cs="Calibri"/>
        </w:rPr>
        <w:t xml:space="preserve"> </w:t>
      </w:r>
      <w:r w:rsidRPr="005734B8">
        <w:rPr>
          <w:rStyle w:val="FootnoteReference"/>
          <w:rFonts w:ascii="Calibri" w:hAnsi="Calibri" w:cs="Calibri"/>
        </w:rPr>
        <w:footnoteReference w:id="47"/>
      </w:r>
      <w:r w:rsidRPr="005734B8">
        <w:rPr>
          <w:rFonts w:ascii="Calibri" w:hAnsi="Calibri" w:cs="Calibri"/>
        </w:rPr>
        <w:t xml:space="preserve"> </w:t>
      </w:r>
      <w:r w:rsidRPr="005734B8">
        <w:rPr>
          <w:rStyle w:val="FootnoteReference"/>
          <w:rFonts w:ascii="Calibri" w:hAnsi="Calibri" w:cs="Calibri"/>
        </w:rPr>
        <w:footnoteReference w:id="48"/>
      </w:r>
      <w:r w:rsidRPr="005734B8">
        <w:rPr>
          <w:rFonts w:ascii="Calibri" w:hAnsi="Calibri" w:cs="Calibri"/>
        </w:rPr>
        <w:t xml:space="preserve"> </w:t>
      </w:r>
    </w:p>
    <w:p w14:paraId="6C7F9E9C" w14:textId="2B43DC24" w:rsidR="00F900AD" w:rsidRPr="005734B8" w:rsidRDefault="00F900AD" w:rsidP="00F900AD">
      <w:pPr>
        <w:pStyle w:val="ESTableintroheading"/>
        <w:rPr>
          <w:rFonts w:ascii="Calibri" w:hAnsi="Calibri" w:cs="Calibri"/>
        </w:rPr>
      </w:pPr>
      <w:r w:rsidRPr="005734B8">
        <w:rPr>
          <w:rFonts w:ascii="Calibri" w:hAnsi="Calibri" w:cs="Calibri"/>
        </w:rPr>
        <w:t>VPS staff employment levels as at June 2020 and 2021</w:t>
      </w:r>
    </w:p>
    <w:tbl>
      <w:tblPr>
        <w:tblStyle w:val="DTFFinancialTable"/>
        <w:tblW w:w="5000" w:type="pct"/>
        <w:tblBorders>
          <w:top w:val="single" w:sz="4" w:space="0" w:color="FFFFFF" w:themeColor="background1"/>
          <w:left w:val="single" w:sz="4" w:space="0" w:color="FFFFFF" w:themeColor="background1"/>
          <w:bottom w:val="single" w:sz="2" w:space="0" w:color="53565A" w:themeColor="accent5"/>
          <w:right w:val="single" w:sz="4" w:space="0" w:color="FFFFFF" w:themeColor="background1"/>
          <w:insideH w:val="single" w:sz="2" w:space="0" w:color="53565A" w:themeColor="accent5"/>
          <w:insideV w:val="single" w:sz="4" w:space="0" w:color="FFFFFF" w:themeColor="background1"/>
        </w:tblBorders>
        <w:tblLayout w:type="fixed"/>
        <w:tblCellMar>
          <w:left w:w="43" w:type="dxa"/>
          <w:right w:w="43" w:type="dxa"/>
        </w:tblCellMar>
        <w:tblLook w:val="06A0" w:firstRow="1" w:lastRow="0" w:firstColumn="1" w:lastColumn="0" w:noHBand="1" w:noVBand="1"/>
      </w:tblPr>
      <w:tblGrid>
        <w:gridCol w:w="534"/>
        <w:gridCol w:w="1276"/>
        <w:gridCol w:w="867"/>
        <w:gridCol w:w="834"/>
        <w:gridCol w:w="900"/>
        <w:gridCol w:w="867"/>
        <w:gridCol w:w="926"/>
        <w:gridCol w:w="808"/>
        <w:gridCol w:w="893"/>
        <w:gridCol w:w="842"/>
        <w:gridCol w:w="718"/>
        <w:gridCol w:w="1016"/>
        <w:gridCol w:w="867"/>
        <w:gridCol w:w="810"/>
        <w:gridCol w:w="924"/>
        <w:gridCol w:w="868"/>
      </w:tblGrid>
      <w:tr w:rsidR="004660D6" w:rsidRPr="005734B8" w14:paraId="729B6E48" w14:textId="77777777" w:rsidTr="002B56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shd w:val="clear" w:color="auto" w:fill="AF272F" w:themeFill="accent4"/>
          </w:tcPr>
          <w:p w14:paraId="119A48BE" w14:textId="77777777" w:rsidR="004660D6" w:rsidRPr="005734B8" w:rsidRDefault="004660D6" w:rsidP="004660D6">
            <w:pPr>
              <w:pStyle w:val="ESTableheadingwhite"/>
              <w:jc w:val="center"/>
              <w:rPr>
                <w:rFonts w:ascii="Calibri" w:hAnsi="Calibri" w:cs="Calibri"/>
                <w:sz w:val="18"/>
              </w:rPr>
            </w:pPr>
          </w:p>
        </w:tc>
        <w:tc>
          <w:tcPr>
            <w:tcW w:w="1276" w:type="dxa"/>
            <w:shd w:val="clear" w:color="auto" w:fill="AF272F" w:themeFill="accent4"/>
          </w:tcPr>
          <w:p w14:paraId="66E55EEA" w14:textId="77777777" w:rsidR="004660D6" w:rsidRPr="005734B8" w:rsidRDefault="004660D6" w:rsidP="004660D6">
            <w:pPr>
              <w:pStyle w:val="ESTableheadingwhite"/>
              <w:cnfStyle w:val="100000000000" w:firstRow="1" w:lastRow="0" w:firstColumn="0" w:lastColumn="0" w:oddVBand="0" w:evenVBand="0" w:oddHBand="0" w:evenHBand="0" w:firstRowFirstColumn="0" w:firstRowLastColumn="0" w:lastRowFirstColumn="0" w:lastRowLastColumn="0"/>
              <w:rPr>
                <w:rFonts w:ascii="Calibri" w:hAnsi="Calibri" w:cs="Calibri"/>
                <w:sz w:val="18"/>
              </w:rPr>
            </w:pPr>
          </w:p>
        </w:tc>
        <w:tc>
          <w:tcPr>
            <w:tcW w:w="6095" w:type="dxa"/>
            <w:gridSpan w:val="7"/>
            <w:shd w:val="clear" w:color="auto" w:fill="AF272F" w:themeFill="accent4"/>
          </w:tcPr>
          <w:p w14:paraId="08771233" w14:textId="77777777" w:rsidR="004660D6" w:rsidRPr="005734B8" w:rsidRDefault="004660D6" w:rsidP="004660D6">
            <w:pPr>
              <w:pStyle w:val="ESTableheadingwhite"/>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7"/>
                <w:szCs w:val="17"/>
              </w:rPr>
            </w:pPr>
            <w:r w:rsidRPr="005734B8">
              <w:rPr>
                <w:rFonts w:ascii="Calibri" w:hAnsi="Calibri" w:cs="Calibri"/>
                <w:sz w:val="17"/>
                <w:szCs w:val="17"/>
              </w:rPr>
              <w:t>June 2021</w:t>
            </w:r>
          </w:p>
        </w:tc>
        <w:tc>
          <w:tcPr>
            <w:tcW w:w="6045" w:type="dxa"/>
            <w:gridSpan w:val="7"/>
            <w:shd w:val="clear" w:color="auto" w:fill="AF272F" w:themeFill="accent4"/>
          </w:tcPr>
          <w:p w14:paraId="5B01E42D" w14:textId="77777777" w:rsidR="004660D6" w:rsidRPr="005734B8" w:rsidRDefault="004660D6" w:rsidP="004660D6">
            <w:pPr>
              <w:pStyle w:val="ESTableheadingwhite"/>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7"/>
                <w:szCs w:val="17"/>
              </w:rPr>
            </w:pPr>
            <w:r w:rsidRPr="005734B8">
              <w:rPr>
                <w:rFonts w:ascii="Calibri" w:hAnsi="Calibri" w:cs="Calibri"/>
                <w:sz w:val="17"/>
                <w:szCs w:val="17"/>
              </w:rPr>
              <w:t>June 2020</w:t>
            </w:r>
          </w:p>
        </w:tc>
      </w:tr>
      <w:tr w:rsidR="00175CCF" w:rsidRPr="005734B8" w14:paraId="68785F45" w14:textId="77777777" w:rsidTr="002B56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shd w:val="clear" w:color="auto" w:fill="53565A" w:themeFill="accent5"/>
          </w:tcPr>
          <w:p w14:paraId="4FE2BB7D" w14:textId="77777777" w:rsidR="004660D6" w:rsidRPr="005734B8" w:rsidRDefault="004660D6" w:rsidP="004660D6">
            <w:pPr>
              <w:pStyle w:val="ESTableheadingwhite"/>
              <w:jc w:val="center"/>
              <w:rPr>
                <w:rFonts w:ascii="Calibri" w:hAnsi="Calibri" w:cs="Calibri"/>
                <w:sz w:val="18"/>
              </w:rPr>
            </w:pPr>
          </w:p>
        </w:tc>
        <w:tc>
          <w:tcPr>
            <w:tcW w:w="1276" w:type="dxa"/>
            <w:shd w:val="clear" w:color="auto" w:fill="53565A" w:themeFill="accent5"/>
          </w:tcPr>
          <w:p w14:paraId="483F83A6" w14:textId="77777777" w:rsidR="004660D6" w:rsidRPr="005734B8" w:rsidRDefault="004660D6" w:rsidP="004660D6">
            <w:pPr>
              <w:pStyle w:val="ESTableheadingwhite"/>
              <w:cnfStyle w:val="100000000000" w:firstRow="1" w:lastRow="0" w:firstColumn="0" w:lastColumn="0" w:oddVBand="0" w:evenVBand="0" w:oddHBand="0" w:evenHBand="0" w:firstRowFirstColumn="0" w:firstRowLastColumn="0" w:lastRowFirstColumn="0" w:lastRowLastColumn="0"/>
              <w:rPr>
                <w:rFonts w:ascii="Calibri" w:hAnsi="Calibri" w:cs="Calibri"/>
                <w:sz w:val="18"/>
              </w:rPr>
            </w:pPr>
          </w:p>
        </w:tc>
        <w:tc>
          <w:tcPr>
            <w:tcW w:w="1701" w:type="dxa"/>
            <w:gridSpan w:val="2"/>
            <w:shd w:val="clear" w:color="auto" w:fill="53565A" w:themeFill="accent5"/>
            <w:vAlign w:val="center"/>
          </w:tcPr>
          <w:p w14:paraId="47AA5DF5" w14:textId="77777777" w:rsidR="004660D6" w:rsidRPr="005734B8" w:rsidRDefault="004660D6" w:rsidP="004660D6">
            <w:pPr>
              <w:pStyle w:val="ESTableheadingwhite"/>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7"/>
                <w:szCs w:val="17"/>
              </w:rPr>
            </w:pPr>
            <w:r w:rsidRPr="005734B8">
              <w:rPr>
                <w:rFonts w:ascii="Calibri" w:hAnsi="Calibri" w:cs="Calibri"/>
                <w:sz w:val="17"/>
                <w:szCs w:val="17"/>
              </w:rPr>
              <w:t>All employees</w:t>
            </w:r>
          </w:p>
        </w:tc>
        <w:tc>
          <w:tcPr>
            <w:tcW w:w="2693" w:type="dxa"/>
            <w:gridSpan w:val="3"/>
            <w:shd w:val="clear" w:color="auto" w:fill="53565A" w:themeFill="accent5"/>
            <w:vAlign w:val="center"/>
          </w:tcPr>
          <w:p w14:paraId="6DE353FF" w14:textId="77777777" w:rsidR="004660D6" w:rsidRPr="005734B8" w:rsidRDefault="004660D6" w:rsidP="004660D6">
            <w:pPr>
              <w:pStyle w:val="ESTableheadingwhite"/>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7"/>
                <w:szCs w:val="17"/>
              </w:rPr>
            </w:pPr>
            <w:r w:rsidRPr="005734B8">
              <w:rPr>
                <w:rFonts w:ascii="Calibri" w:hAnsi="Calibri" w:cs="Calibri"/>
                <w:sz w:val="17"/>
                <w:szCs w:val="17"/>
              </w:rPr>
              <w:t>Ongoing</w:t>
            </w:r>
          </w:p>
        </w:tc>
        <w:tc>
          <w:tcPr>
            <w:tcW w:w="1701" w:type="dxa"/>
            <w:gridSpan w:val="2"/>
            <w:shd w:val="clear" w:color="auto" w:fill="53565A" w:themeFill="accent5"/>
            <w:vAlign w:val="center"/>
          </w:tcPr>
          <w:p w14:paraId="451A4F3A" w14:textId="77777777" w:rsidR="004660D6" w:rsidRPr="005734B8" w:rsidRDefault="004660D6" w:rsidP="004660D6">
            <w:pPr>
              <w:pStyle w:val="ESTableheadingwhite"/>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7"/>
                <w:szCs w:val="17"/>
              </w:rPr>
            </w:pPr>
            <w:r w:rsidRPr="005734B8">
              <w:rPr>
                <w:rFonts w:ascii="Calibri" w:hAnsi="Calibri" w:cs="Calibri"/>
                <w:sz w:val="17"/>
                <w:szCs w:val="17"/>
              </w:rPr>
              <w:t xml:space="preserve">Fixed term </w:t>
            </w:r>
            <w:r w:rsidRPr="005734B8">
              <w:rPr>
                <w:rFonts w:ascii="Calibri" w:hAnsi="Calibri" w:cs="Calibri"/>
                <w:sz w:val="17"/>
                <w:szCs w:val="17"/>
              </w:rPr>
              <w:br/>
              <w:t>and casual</w:t>
            </w:r>
          </w:p>
        </w:tc>
        <w:tc>
          <w:tcPr>
            <w:tcW w:w="1560" w:type="dxa"/>
            <w:gridSpan w:val="2"/>
            <w:shd w:val="clear" w:color="auto" w:fill="53565A" w:themeFill="accent5"/>
            <w:vAlign w:val="center"/>
          </w:tcPr>
          <w:p w14:paraId="1D5E4C00" w14:textId="77777777" w:rsidR="004660D6" w:rsidRPr="005734B8" w:rsidRDefault="004660D6" w:rsidP="004660D6">
            <w:pPr>
              <w:pStyle w:val="ESTableheadingwhite"/>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7"/>
                <w:szCs w:val="17"/>
              </w:rPr>
            </w:pPr>
            <w:r w:rsidRPr="005734B8">
              <w:rPr>
                <w:rFonts w:ascii="Calibri" w:hAnsi="Calibri" w:cs="Calibri"/>
                <w:sz w:val="17"/>
                <w:szCs w:val="17"/>
              </w:rPr>
              <w:t>All employees</w:t>
            </w:r>
          </w:p>
        </w:tc>
        <w:tc>
          <w:tcPr>
            <w:tcW w:w="2693" w:type="dxa"/>
            <w:gridSpan w:val="3"/>
            <w:shd w:val="clear" w:color="auto" w:fill="53565A" w:themeFill="accent5"/>
            <w:vAlign w:val="center"/>
          </w:tcPr>
          <w:p w14:paraId="45964D01" w14:textId="77777777" w:rsidR="004660D6" w:rsidRPr="005734B8" w:rsidRDefault="004660D6" w:rsidP="004660D6">
            <w:pPr>
              <w:pStyle w:val="ESTableheadingwhite"/>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7"/>
                <w:szCs w:val="17"/>
              </w:rPr>
            </w:pPr>
            <w:r w:rsidRPr="005734B8">
              <w:rPr>
                <w:rFonts w:ascii="Calibri" w:hAnsi="Calibri" w:cs="Calibri"/>
                <w:sz w:val="17"/>
                <w:szCs w:val="17"/>
              </w:rPr>
              <w:t>Ongoing</w:t>
            </w:r>
          </w:p>
        </w:tc>
        <w:tc>
          <w:tcPr>
            <w:tcW w:w="1792" w:type="dxa"/>
            <w:gridSpan w:val="2"/>
            <w:shd w:val="clear" w:color="auto" w:fill="53565A" w:themeFill="accent5"/>
            <w:vAlign w:val="center"/>
          </w:tcPr>
          <w:p w14:paraId="3214F143" w14:textId="77777777" w:rsidR="004660D6" w:rsidRPr="005734B8" w:rsidRDefault="004660D6" w:rsidP="004660D6">
            <w:pPr>
              <w:pStyle w:val="ESTableheadingwhite"/>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7"/>
                <w:szCs w:val="17"/>
              </w:rPr>
            </w:pPr>
            <w:r w:rsidRPr="005734B8">
              <w:rPr>
                <w:rFonts w:ascii="Calibri" w:hAnsi="Calibri" w:cs="Calibri"/>
                <w:sz w:val="17"/>
                <w:szCs w:val="17"/>
              </w:rPr>
              <w:t xml:space="preserve">Fixed term </w:t>
            </w:r>
            <w:r w:rsidRPr="005734B8">
              <w:rPr>
                <w:rFonts w:ascii="Calibri" w:hAnsi="Calibri" w:cs="Calibri"/>
                <w:sz w:val="17"/>
                <w:szCs w:val="17"/>
              </w:rPr>
              <w:br/>
              <w:t>and casual</w:t>
            </w:r>
          </w:p>
        </w:tc>
      </w:tr>
      <w:tr w:rsidR="005734B8" w:rsidRPr="005734B8" w14:paraId="16FD7282" w14:textId="77777777" w:rsidTr="004660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shd w:val="clear" w:color="auto" w:fill="D9D9D6" w:themeFill="accent6"/>
          </w:tcPr>
          <w:p w14:paraId="6CEBC24A" w14:textId="77777777" w:rsidR="004660D6" w:rsidRPr="005734B8" w:rsidRDefault="004660D6" w:rsidP="004660D6">
            <w:pPr>
              <w:pStyle w:val="ESTableheadingwhite"/>
              <w:jc w:val="center"/>
              <w:rPr>
                <w:rFonts w:ascii="Calibri" w:hAnsi="Calibri" w:cs="Calibri"/>
                <w:color w:val="000000" w:themeColor="text2"/>
                <w:sz w:val="18"/>
              </w:rPr>
            </w:pPr>
          </w:p>
        </w:tc>
        <w:tc>
          <w:tcPr>
            <w:tcW w:w="1276" w:type="dxa"/>
            <w:shd w:val="clear" w:color="auto" w:fill="D9D9D6" w:themeFill="accent6"/>
          </w:tcPr>
          <w:p w14:paraId="2B898420" w14:textId="77777777" w:rsidR="004660D6" w:rsidRPr="005734B8" w:rsidRDefault="004660D6" w:rsidP="004660D6">
            <w:pPr>
              <w:pStyle w:val="ESTableheadingwhite"/>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2"/>
                <w:sz w:val="18"/>
              </w:rPr>
            </w:pPr>
          </w:p>
        </w:tc>
        <w:tc>
          <w:tcPr>
            <w:tcW w:w="867" w:type="dxa"/>
            <w:shd w:val="clear" w:color="auto" w:fill="D9D9D6" w:themeFill="accent6"/>
          </w:tcPr>
          <w:p w14:paraId="559E8130" w14:textId="77777777" w:rsidR="004660D6" w:rsidRPr="005734B8" w:rsidRDefault="004660D6" w:rsidP="004660D6">
            <w:pPr>
              <w:pStyle w:val="ESTablenumberrightaligne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Number (head</w:t>
            </w:r>
            <w:r w:rsidRPr="005734B8">
              <w:rPr>
                <w:rFonts w:ascii="Calibri" w:hAnsi="Calibri" w:cs="Calibri"/>
                <w:b/>
                <w:color w:val="000000" w:themeColor="text2"/>
                <w:sz w:val="16"/>
                <w:szCs w:val="16"/>
              </w:rPr>
              <w:t xml:space="preserve"> </w:t>
            </w:r>
            <w:r w:rsidRPr="005734B8">
              <w:rPr>
                <w:rFonts w:ascii="Calibri" w:hAnsi="Calibri" w:cs="Calibri"/>
                <w:color w:val="000000" w:themeColor="text2"/>
                <w:sz w:val="16"/>
                <w:szCs w:val="16"/>
              </w:rPr>
              <w:t>count)</w:t>
            </w:r>
          </w:p>
        </w:tc>
        <w:tc>
          <w:tcPr>
            <w:tcW w:w="834" w:type="dxa"/>
            <w:shd w:val="clear" w:color="auto" w:fill="D9D9D6" w:themeFill="accent6"/>
          </w:tcPr>
          <w:p w14:paraId="3CCEE5CE" w14:textId="77777777" w:rsidR="004660D6" w:rsidRPr="005734B8" w:rsidRDefault="004660D6" w:rsidP="004660D6">
            <w:pPr>
              <w:pStyle w:val="ESTablenumberrightaligne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FTE</w:t>
            </w:r>
          </w:p>
        </w:tc>
        <w:tc>
          <w:tcPr>
            <w:tcW w:w="900" w:type="dxa"/>
            <w:shd w:val="clear" w:color="auto" w:fill="D9D9D6" w:themeFill="accent6"/>
          </w:tcPr>
          <w:p w14:paraId="6852E1BB" w14:textId="77777777" w:rsidR="004660D6" w:rsidRPr="005734B8" w:rsidRDefault="004660D6" w:rsidP="004660D6">
            <w:pPr>
              <w:pStyle w:val="ESTablenumberrightaligne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Full-time (head</w:t>
            </w:r>
            <w:r w:rsidRPr="005734B8">
              <w:rPr>
                <w:rFonts w:ascii="Calibri" w:hAnsi="Calibri" w:cs="Calibri"/>
                <w:b/>
                <w:color w:val="000000" w:themeColor="text2"/>
                <w:sz w:val="16"/>
                <w:szCs w:val="16"/>
              </w:rPr>
              <w:t xml:space="preserve"> </w:t>
            </w:r>
            <w:r w:rsidRPr="005734B8">
              <w:rPr>
                <w:rFonts w:ascii="Calibri" w:hAnsi="Calibri" w:cs="Calibri"/>
                <w:color w:val="000000" w:themeColor="text2"/>
                <w:sz w:val="16"/>
                <w:szCs w:val="16"/>
              </w:rPr>
              <w:t>count)</w:t>
            </w:r>
          </w:p>
        </w:tc>
        <w:tc>
          <w:tcPr>
            <w:tcW w:w="867" w:type="dxa"/>
            <w:shd w:val="clear" w:color="auto" w:fill="D9D9D6" w:themeFill="accent6"/>
          </w:tcPr>
          <w:p w14:paraId="4EAAB13A" w14:textId="77777777" w:rsidR="004660D6" w:rsidRPr="005734B8" w:rsidRDefault="004660D6" w:rsidP="004660D6">
            <w:pPr>
              <w:pStyle w:val="ESTablenumberrightaligne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Part-time (head</w:t>
            </w:r>
            <w:r w:rsidRPr="005734B8">
              <w:rPr>
                <w:rFonts w:ascii="Calibri" w:hAnsi="Calibri" w:cs="Calibri"/>
                <w:b/>
                <w:color w:val="000000" w:themeColor="text2"/>
                <w:sz w:val="16"/>
                <w:szCs w:val="16"/>
              </w:rPr>
              <w:t xml:space="preserve"> </w:t>
            </w:r>
            <w:r w:rsidRPr="005734B8">
              <w:rPr>
                <w:rFonts w:ascii="Calibri" w:hAnsi="Calibri" w:cs="Calibri"/>
                <w:color w:val="000000" w:themeColor="text2"/>
                <w:sz w:val="16"/>
                <w:szCs w:val="16"/>
              </w:rPr>
              <w:t>count)</w:t>
            </w:r>
          </w:p>
        </w:tc>
        <w:tc>
          <w:tcPr>
            <w:tcW w:w="926" w:type="dxa"/>
            <w:shd w:val="clear" w:color="auto" w:fill="D9D9D6" w:themeFill="accent6"/>
          </w:tcPr>
          <w:p w14:paraId="055DE64D" w14:textId="77777777" w:rsidR="004660D6" w:rsidRPr="005734B8" w:rsidRDefault="004660D6" w:rsidP="004660D6">
            <w:pPr>
              <w:pStyle w:val="ESTablenumberrightaligne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FTE</w:t>
            </w:r>
          </w:p>
        </w:tc>
        <w:tc>
          <w:tcPr>
            <w:tcW w:w="808" w:type="dxa"/>
            <w:shd w:val="clear" w:color="auto" w:fill="D9D9D6" w:themeFill="accent6"/>
          </w:tcPr>
          <w:p w14:paraId="7E58BE7B" w14:textId="77777777" w:rsidR="004660D6" w:rsidRPr="005734B8" w:rsidRDefault="004660D6" w:rsidP="004660D6">
            <w:pPr>
              <w:pStyle w:val="ESTablenumberrightaligne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Number (head</w:t>
            </w:r>
            <w:r w:rsidRPr="005734B8">
              <w:rPr>
                <w:rFonts w:ascii="Calibri" w:hAnsi="Calibri" w:cs="Calibri"/>
                <w:b/>
                <w:color w:val="000000" w:themeColor="text2"/>
                <w:sz w:val="16"/>
                <w:szCs w:val="16"/>
              </w:rPr>
              <w:t xml:space="preserve"> </w:t>
            </w:r>
            <w:r w:rsidRPr="005734B8">
              <w:rPr>
                <w:rFonts w:ascii="Calibri" w:hAnsi="Calibri" w:cs="Calibri"/>
                <w:color w:val="000000" w:themeColor="text2"/>
                <w:sz w:val="16"/>
                <w:szCs w:val="16"/>
              </w:rPr>
              <w:t>count)</w:t>
            </w:r>
          </w:p>
        </w:tc>
        <w:tc>
          <w:tcPr>
            <w:tcW w:w="893" w:type="dxa"/>
            <w:shd w:val="clear" w:color="auto" w:fill="D9D9D6" w:themeFill="accent6"/>
          </w:tcPr>
          <w:p w14:paraId="2D9082D3" w14:textId="77777777" w:rsidR="004660D6" w:rsidRPr="005734B8" w:rsidRDefault="004660D6" w:rsidP="004660D6">
            <w:pPr>
              <w:pStyle w:val="ESTablenumberrightaligne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FTE</w:t>
            </w:r>
          </w:p>
        </w:tc>
        <w:tc>
          <w:tcPr>
            <w:tcW w:w="842" w:type="dxa"/>
            <w:shd w:val="clear" w:color="auto" w:fill="D9D9D6" w:themeFill="accent6"/>
          </w:tcPr>
          <w:p w14:paraId="1BF7A229" w14:textId="77777777" w:rsidR="004660D6" w:rsidRPr="005734B8" w:rsidRDefault="004660D6" w:rsidP="004660D6">
            <w:pPr>
              <w:pStyle w:val="ESTablenumberrightaligne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Number (head</w:t>
            </w:r>
            <w:r w:rsidRPr="005734B8">
              <w:rPr>
                <w:rFonts w:ascii="Calibri" w:hAnsi="Calibri" w:cs="Calibri"/>
                <w:b/>
                <w:color w:val="000000" w:themeColor="text2"/>
                <w:sz w:val="16"/>
                <w:szCs w:val="16"/>
              </w:rPr>
              <w:t xml:space="preserve"> </w:t>
            </w:r>
            <w:r w:rsidRPr="005734B8">
              <w:rPr>
                <w:rFonts w:ascii="Calibri" w:hAnsi="Calibri" w:cs="Calibri"/>
                <w:color w:val="000000" w:themeColor="text2"/>
                <w:sz w:val="16"/>
                <w:szCs w:val="16"/>
              </w:rPr>
              <w:t>count)</w:t>
            </w:r>
          </w:p>
        </w:tc>
        <w:tc>
          <w:tcPr>
            <w:tcW w:w="718" w:type="dxa"/>
            <w:shd w:val="clear" w:color="auto" w:fill="D9D9D6" w:themeFill="accent6"/>
          </w:tcPr>
          <w:p w14:paraId="0614B9A4" w14:textId="77777777" w:rsidR="004660D6" w:rsidRPr="005734B8" w:rsidRDefault="004660D6" w:rsidP="004660D6">
            <w:pPr>
              <w:pStyle w:val="ESTablenumberrightaligne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FTE</w:t>
            </w:r>
          </w:p>
        </w:tc>
        <w:tc>
          <w:tcPr>
            <w:tcW w:w="1016" w:type="dxa"/>
            <w:shd w:val="clear" w:color="auto" w:fill="D9D9D6" w:themeFill="accent6"/>
          </w:tcPr>
          <w:p w14:paraId="64228BA3" w14:textId="77777777" w:rsidR="004660D6" w:rsidRPr="005734B8" w:rsidRDefault="004660D6" w:rsidP="004660D6">
            <w:pPr>
              <w:pStyle w:val="ESTablenumberrightaligne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Full-time (head</w:t>
            </w:r>
            <w:r w:rsidRPr="005734B8">
              <w:rPr>
                <w:rFonts w:ascii="Calibri" w:hAnsi="Calibri" w:cs="Calibri"/>
                <w:b/>
                <w:color w:val="000000" w:themeColor="text2"/>
                <w:sz w:val="16"/>
                <w:szCs w:val="16"/>
              </w:rPr>
              <w:t xml:space="preserve"> </w:t>
            </w:r>
            <w:r w:rsidRPr="005734B8">
              <w:rPr>
                <w:rFonts w:ascii="Calibri" w:hAnsi="Calibri" w:cs="Calibri"/>
                <w:color w:val="000000" w:themeColor="text2"/>
                <w:sz w:val="16"/>
                <w:szCs w:val="16"/>
              </w:rPr>
              <w:t>count)</w:t>
            </w:r>
          </w:p>
        </w:tc>
        <w:tc>
          <w:tcPr>
            <w:tcW w:w="867" w:type="dxa"/>
            <w:shd w:val="clear" w:color="auto" w:fill="D9D9D6" w:themeFill="accent6"/>
          </w:tcPr>
          <w:p w14:paraId="1C53DBDC" w14:textId="77777777" w:rsidR="004660D6" w:rsidRPr="005734B8" w:rsidRDefault="004660D6" w:rsidP="004660D6">
            <w:pPr>
              <w:pStyle w:val="ESTablenumberrightaligne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Part-time (head</w:t>
            </w:r>
            <w:r w:rsidRPr="005734B8">
              <w:rPr>
                <w:rFonts w:ascii="Calibri" w:hAnsi="Calibri" w:cs="Calibri"/>
                <w:b/>
                <w:color w:val="000000" w:themeColor="text2"/>
                <w:sz w:val="16"/>
                <w:szCs w:val="16"/>
              </w:rPr>
              <w:t xml:space="preserve"> </w:t>
            </w:r>
            <w:r w:rsidRPr="005734B8">
              <w:rPr>
                <w:rFonts w:ascii="Calibri" w:hAnsi="Calibri" w:cs="Calibri"/>
                <w:color w:val="000000" w:themeColor="text2"/>
                <w:sz w:val="16"/>
                <w:szCs w:val="16"/>
              </w:rPr>
              <w:t>count)</w:t>
            </w:r>
          </w:p>
        </w:tc>
        <w:tc>
          <w:tcPr>
            <w:tcW w:w="810" w:type="dxa"/>
            <w:shd w:val="clear" w:color="auto" w:fill="D9D9D6" w:themeFill="accent6"/>
          </w:tcPr>
          <w:p w14:paraId="5826531F" w14:textId="77777777" w:rsidR="004660D6" w:rsidRPr="005734B8" w:rsidRDefault="004660D6" w:rsidP="004660D6">
            <w:pPr>
              <w:pStyle w:val="ESTablenumberrightaligne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FTE</w:t>
            </w:r>
          </w:p>
        </w:tc>
        <w:tc>
          <w:tcPr>
            <w:tcW w:w="924" w:type="dxa"/>
            <w:shd w:val="clear" w:color="auto" w:fill="D9D9D6" w:themeFill="accent6"/>
          </w:tcPr>
          <w:p w14:paraId="514FC20C" w14:textId="77777777" w:rsidR="004660D6" w:rsidRPr="005734B8" w:rsidRDefault="004660D6" w:rsidP="004660D6">
            <w:pPr>
              <w:pStyle w:val="ESTablenumberrightaligne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Number (head</w:t>
            </w:r>
            <w:r w:rsidRPr="005734B8">
              <w:rPr>
                <w:rFonts w:ascii="Calibri" w:hAnsi="Calibri" w:cs="Calibri"/>
                <w:b/>
                <w:color w:val="000000" w:themeColor="text2"/>
                <w:sz w:val="16"/>
                <w:szCs w:val="16"/>
              </w:rPr>
              <w:t xml:space="preserve"> </w:t>
            </w:r>
            <w:r w:rsidRPr="005734B8">
              <w:rPr>
                <w:rFonts w:ascii="Calibri" w:hAnsi="Calibri" w:cs="Calibri"/>
                <w:color w:val="000000" w:themeColor="text2"/>
                <w:sz w:val="16"/>
                <w:szCs w:val="16"/>
              </w:rPr>
              <w:t>count)</w:t>
            </w:r>
          </w:p>
        </w:tc>
        <w:tc>
          <w:tcPr>
            <w:tcW w:w="868" w:type="dxa"/>
            <w:shd w:val="clear" w:color="auto" w:fill="D9D9D6" w:themeFill="accent6"/>
          </w:tcPr>
          <w:p w14:paraId="7BD434E0" w14:textId="77777777" w:rsidR="004660D6" w:rsidRPr="005734B8" w:rsidRDefault="004660D6" w:rsidP="004660D6">
            <w:pPr>
              <w:pStyle w:val="ESTablenumberrightaligne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FTE</w:t>
            </w:r>
          </w:p>
        </w:tc>
      </w:tr>
      <w:tr w:rsidR="00175CCF" w:rsidRPr="005734B8" w14:paraId="459325D8" w14:textId="77777777" w:rsidTr="002B5648">
        <w:tc>
          <w:tcPr>
            <w:cnfStyle w:val="001000000000" w:firstRow="0" w:lastRow="0" w:firstColumn="1" w:lastColumn="0" w:oddVBand="0" w:evenVBand="0" w:oddHBand="0" w:evenHBand="0" w:firstRowFirstColumn="0" w:firstRowLastColumn="0" w:lastRowFirstColumn="0" w:lastRowLastColumn="0"/>
            <w:tcW w:w="534" w:type="dxa"/>
            <w:vMerge w:val="restart"/>
            <w:textDirection w:val="btLr"/>
          </w:tcPr>
          <w:p w14:paraId="141EA5E5" w14:textId="77777777" w:rsidR="004660D6" w:rsidRPr="005734B8" w:rsidRDefault="004660D6" w:rsidP="004660D6">
            <w:pPr>
              <w:pStyle w:val="ESTablebody"/>
              <w:jc w:val="center"/>
              <w:rPr>
                <w:rFonts w:ascii="Calibri" w:hAnsi="Calibri" w:cs="Calibri"/>
                <w:b/>
                <w:sz w:val="18"/>
              </w:rPr>
            </w:pPr>
            <w:r w:rsidRPr="005734B8">
              <w:rPr>
                <w:rFonts w:ascii="Calibri" w:hAnsi="Calibri" w:cs="Calibri"/>
                <w:b/>
                <w:sz w:val="18"/>
              </w:rPr>
              <w:t>Demographic data</w:t>
            </w:r>
          </w:p>
        </w:tc>
        <w:tc>
          <w:tcPr>
            <w:tcW w:w="1276" w:type="dxa"/>
          </w:tcPr>
          <w:p w14:paraId="76CEEC4C"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Gender</w:t>
            </w:r>
          </w:p>
        </w:tc>
        <w:tc>
          <w:tcPr>
            <w:tcW w:w="867" w:type="dxa"/>
            <w:shd w:val="clear" w:color="auto" w:fill="F2F2F2" w:themeFill="background1" w:themeFillShade="F2"/>
            <w:vAlign w:val="center"/>
          </w:tcPr>
          <w:p w14:paraId="7B4C22F5"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34" w:type="dxa"/>
            <w:shd w:val="clear" w:color="auto" w:fill="F2F2F2" w:themeFill="background1" w:themeFillShade="F2"/>
            <w:vAlign w:val="center"/>
          </w:tcPr>
          <w:p w14:paraId="32E5FAE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900" w:type="dxa"/>
            <w:shd w:val="clear" w:color="auto" w:fill="F2F2F2" w:themeFill="background1" w:themeFillShade="F2"/>
            <w:vAlign w:val="center"/>
          </w:tcPr>
          <w:p w14:paraId="3BD6568A"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67" w:type="dxa"/>
            <w:shd w:val="clear" w:color="auto" w:fill="F2F2F2" w:themeFill="background1" w:themeFillShade="F2"/>
            <w:vAlign w:val="center"/>
          </w:tcPr>
          <w:p w14:paraId="28C2CCF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926" w:type="dxa"/>
            <w:shd w:val="clear" w:color="auto" w:fill="F2F2F2" w:themeFill="background1" w:themeFillShade="F2"/>
            <w:vAlign w:val="center"/>
          </w:tcPr>
          <w:p w14:paraId="543D071A"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08" w:type="dxa"/>
            <w:shd w:val="clear" w:color="auto" w:fill="F2F2F2" w:themeFill="background1" w:themeFillShade="F2"/>
            <w:vAlign w:val="center"/>
          </w:tcPr>
          <w:p w14:paraId="44464A36"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93" w:type="dxa"/>
            <w:shd w:val="clear" w:color="auto" w:fill="F2F2F2" w:themeFill="background1" w:themeFillShade="F2"/>
            <w:vAlign w:val="center"/>
          </w:tcPr>
          <w:p w14:paraId="5799C452"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42" w:type="dxa"/>
            <w:shd w:val="clear" w:color="auto" w:fill="FFFFFF" w:themeFill="background1"/>
            <w:vAlign w:val="center"/>
          </w:tcPr>
          <w:p w14:paraId="410D5B4D"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718" w:type="dxa"/>
            <w:shd w:val="clear" w:color="auto" w:fill="FFFFFF" w:themeFill="background1"/>
            <w:vAlign w:val="center"/>
          </w:tcPr>
          <w:p w14:paraId="387466D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1016" w:type="dxa"/>
            <w:shd w:val="clear" w:color="auto" w:fill="FFFFFF" w:themeFill="background1"/>
            <w:vAlign w:val="center"/>
          </w:tcPr>
          <w:p w14:paraId="64997BED"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67" w:type="dxa"/>
            <w:shd w:val="clear" w:color="auto" w:fill="FFFFFF" w:themeFill="background1"/>
            <w:vAlign w:val="center"/>
          </w:tcPr>
          <w:p w14:paraId="6F3413AD"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10" w:type="dxa"/>
            <w:shd w:val="clear" w:color="auto" w:fill="FFFFFF" w:themeFill="background1"/>
            <w:vAlign w:val="center"/>
          </w:tcPr>
          <w:p w14:paraId="3BE3D938"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924" w:type="dxa"/>
            <w:shd w:val="clear" w:color="auto" w:fill="FFFFFF" w:themeFill="background1"/>
            <w:vAlign w:val="center"/>
          </w:tcPr>
          <w:p w14:paraId="2F111F79"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68" w:type="dxa"/>
            <w:shd w:val="clear" w:color="auto" w:fill="FFFFFF" w:themeFill="background1"/>
            <w:vAlign w:val="center"/>
          </w:tcPr>
          <w:p w14:paraId="3EF12E89"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r>
      <w:tr w:rsidR="004660D6" w:rsidRPr="005734B8" w14:paraId="71163B5E" w14:textId="77777777" w:rsidTr="004660D6">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391FB4C6" w14:textId="77777777" w:rsidR="004660D6" w:rsidRPr="005734B8" w:rsidRDefault="004660D6" w:rsidP="004660D6">
            <w:pPr>
              <w:pStyle w:val="ESTablebody"/>
              <w:jc w:val="center"/>
              <w:rPr>
                <w:rFonts w:ascii="Calibri" w:hAnsi="Calibri" w:cs="Calibri"/>
                <w:b/>
                <w:sz w:val="18"/>
              </w:rPr>
            </w:pPr>
          </w:p>
        </w:tc>
        <w:tc>
          <w:tcPr>
            <w:tcW w:w="1276" w:type="dxa"/>
          </w:tcPr>
          <w:p w14:paraId="1066D996"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 xml:space="preserve">Women </w:t>
            </w:r>
          </w:p>
        </w:tc>
        <w:tc>
          <w:tcPr>
            <w:tcW w:w="867" w:type="dxa"/>
            <w:shd w:val="clear" w:color="auto" w:fill="F2F2F2" w:themeFill="background1" w:themeFillShade="F2"/>
          </w:tcPr>
          <w:p w14:paraId="54B6182C"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3,302</w:t>
            </w:r>
          </w:p>
        </w:tc>
        <w:tc>
          <w:tcPr>
            <w:tcW w:w="834" w:type="dxa"/>
            <w:shd w:val="clear" w:color="auto" w:fill="F2F2F2" w:themeFill="background1" w:themeFillShade="F2"/>
          </w:tcPr>
          <w:p w14:paraId="68CA312A"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2,986.7</w:t>
            </w:r>
          </w:p>
        </w:tc>
        <w:tc>
          <w:tcPr>
            <w:tcW w:w="900" w:type="dxa"/>
            <w:shd w:val="clear" w:color="auto" w:fill="F2F2F2" w:themeFill="background1" w:themeFillShade="F2"/>
          </w:tcPr>
          <w:p w14:paraId="2FCD08A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1,896</w:t>
            </w:r>
          </w:p>
        </w:tc>
        <w:tc>
          <w:tcPr>
            <w:tcW w:w="867" w:type="dxa"/>
            <w:shd w:val="clear" w:color="auto" w:fill="F2F2F2" w:themeFill="background1" w:themeFillShade="F2"/>
          </w:tcPr>
          <w:p w14:paraId="67D1B3D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839</w:t>
            </w:r>
          </w:p>
        </w:tc>
        <w:tc>
          <w:tcPr>
            <w:tcW w:w="926" w:type="dxa"/>
            <w:shd w:val="clear" w:color="auto" w:fill="F2F2F2" w:themeFill="background1" w:themeFillShade="F2"/>
          </w:tcPr>
          <w:p w14:paraId="72EC989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2,461.2</w:t>
            </w:r>
          </w:p>
        </w:tc>
        <w:tc>
          <w:tcPr>
            <w:tcW w:w="808" w:type="dxa"/>
            <w:shd w:val="clear" w:color="auto" w:fill="F2F2F2" w:themeFill="background1" w:themeFillShade="F2"/>
          </w:tcPr>
          <w:p w14:paraId="79A6CB1E"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567</w:t>
            </w:r>
          </w:p>
        </w:tc>
        <w:tc>
          <w:tcPr>
            <w:tcW w:w="893" w:type="dxa"/>
            <w:shd w:val="clear" w:color="auto" w:fill="F2F2F2" w:themeFill="background1" w:themeFillShade="F2"/>
          </w:tcPr>
          <w:p w14:paraId="0ECB3E4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525.5</w:t>
            </w:r>
          </w:p>
        </w:tc>
        <w:tc>
          <w:tcPr>
            <w:tcW w:w="842" w:type="dxa"/>
            <w:shd w:val="clear" w:color="auto" w:fill="FFFFFF" w:themeFill="background1"/>
          </w:tcPr>
          <w:p w14:paraId="261FFCEF"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3,162</w:t>
            </w:r>
          </w:p>
        </w:tc>
        <w:tc>
          <w:tcPr>
            <w:tcW w:w="718" w:type="dxa"/>
            <w:shd w:val="clear" w:color="auto" w:fill="FFFFFF" w:themeFill="background1"/>
          </w:tcPr>
          <w:p w14:paraId="343734F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2,849.3</w:t>
            </w:r>
          </w:p>
        </w:tc>
        <w:tc>
          <w:tcPr>
            <w:tcW w:w="1016" w:type="dxa"/>
            <w:shd w:val="clear" w:color="auto" w:fill="FFFFFF" w:themeFill="background1"/>
          </w:tcPr>
          <w:p w14:paraId="44F6CC6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1,760</w:t>
            </w:r>
          </w:p>
        </w:tc>
        <w:tc>
          <w:tcPr>
            <w:tcW w:w="867" w:type="dxa"/>
            <w:shd w:val="clear" w:color="auto" w:fill="FFFFFF" w:themeFill="background1"/>
          </w:tcPr>
          <w:p w14:paraId="4B0C76DD"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830</w:t>
            </w:r>
          </w:p>
        </w:tc>
        <w:tc>
          <w:tcPr>
            <w:tcW w:w="810" w:type="dxa"/>
            <w:shd w:val="clear" w:color="auto" w:fill="FFFFFF" w:themeFill="background1"/>
          </w:tcPr>
          <w:p w14:paraId="3838E842"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2,322.1</w:t>
            </w:r>
          </w:p>
        </w:tc>
        <w:tc>
          <w:tcPr>
            <w:tcW w:w="924" w:type="dxa"/>
            <w:shd w:val="clear" w:color="auto" w:fill="FFFFFF" w:themeFill="background1"/>
          </w:tcPr>
          <w:p w14:paraId="7A32FBFF"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572</w:t>
            </w:r>
          </w:p>
        </w:tc>
        <w:tc>
          <w:tcPr>
            <w:tcW w:w="868" w:type="dxa"/>
            <w:shd w:val="clear" w:color="auto" w:fill="FFFFFF" w:themeFill="background1"/>
          </w:tcPr>
          <w:p w14:paraId="10FA658B"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527.1</w:t>
            </w:r>
          </w:p>
        </w:tc>
      </w:tr>
      <w:tr w:rsidR="004660D6" w:rsidRPr="005734B8" w14:paraId="32C7514F" w14:textId="77777777" w:rsidTr="004660D6">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7CF075FD" w14:textId="77777777" w:rsidR="004660D6" w:rsidRPr="005734B8" w:rsidRDefault="004660D6" w:rsidP="004660D6">
            <w:pPr>
              <w:pStyle w:val="ESTablebody"/>
              <w:jc w:val="center"/>
              <w:rPr>
                <w:rFonts w:ascii="Calibri" w:hAnsi="Calibri" w:cs="Calibri"/>
                <w:b/>
                <w:sz w:val="18"/>
              </w:rPr>
            </w:pPr>
          </w:p>
        </w:tc>
        <w:tc>
          <w:tcPr>
            <w:tcW w:w="1276" w:type="dxa"/>
          </w:tcPr>
          <w:p w14:paraId="2FEB5A08"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Men</w:t>
            </w:r>
          </w:p>
        </w:tc>
        <w:tc>
          <w:tcPr>
            <w:tcW w:w="867" w:type="dxa"/>
            <w:shd w:val="clear" w:color="auto" w:fill="F2F2F2" w:themeFill="background1" w:themeFillShade="F2"/>
          </w:tcPr>
          <w:p w14:paraId="72E9A6C4"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1,248</w:t>
            </w:r>
          </w:p>
        </w:tc>
        <w:tc>
          <w:tcPr>
            <w:tcW w:w="834" w:type="dxa"/>
            <w:shd w:val="clear" w:color="auto" w:fill="F2F2F2" w:themeFill="background1" w:themeFillShade="F2"/>
          </w:tcPr>
          <w:p w14:paraId="08AFA072"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1,212.4</w:t>
            </w:r>
          </w:p>
        </w:tc>
        <w:tc>
          <w:tcPr>
            <w:tcW w:w="900" w:type="dxa"/>
            <w:shd w:val="clear" w:color="auto" w:fill="F2F2F2" w:themeFill="background1" w:themeFillShade="F2"/>
          </w:tcPr>
          <w:p w14:paraId="54AAF6FA"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885</w:t>
            </w:r>
          </w:p>
        </w:tc>
        <w:tc>
          <w:tcPr>
            <w:tcW w:w="867" w:type="dxa"/>
            <w:shd w:val="clear" w:color="auto" w:fill="F2F2F2" w:themeFill="background1" w:themeFillShade="F2"/>
          </w:tcPr>
          <w:p w14:paraId="3DD1AC3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76</w:t>
            </w:r>
          </w:p>
        </w:tc>
        <w:tc>
          <w:tcPr>
            <w:tcW w:w="926" w:type="dxa"/>
            <w:shd w:val="clear" w:color="auto" w:fill="F2F2F2" w:themeFill="background1" w:themeFillShade="F2"/>
          </w:tcPr>
          <w:p w14:paraId="2FC77F56"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938.9</w:t>
            </w:r>
          </w:p>
        </w:tc>
        <w:tc>
          <w:tcPr>
            <w:tcW w:w="808" w:type="dxa"/>
            <w:shd w:val="clear" w:color="auto" w:fill="F2F2F2" w:themeFill="background1" w:themeFillShade="F2"/>
          </w:tcPr>
          <w:p w14:paraId="136CCE2D"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287</w:t>
            </w:r>
          </w:p>
        </w:tc>
        <w:tc>
          <w:tcPr>
            <w:tcW w:w="893" w:type="dxa"/>
            <w:shd w:val="clear" w:color="auto" w:fill="F2F2F2" w:themeFill="background1" w:themeFillShade="F2"/>
          </w:tcPr>
          <w:p w14:paraId="502E5635"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273.5</w:t>
            </w:r>
          </w:p>
        </w:tc>
        <w:tc>
          <w:tcPr>
            <w:tcW w:w="842" w:type="dxa"/>
            <w:shd w:val="clear" w:color="auto" w:fill="FFFFFF" w:themeFill="background1"/>
          </w:tcPr>
          <w:p w14:paraId="1CAE227F"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1,117</w:t>
            </w:r>
          </w:p>
        </w:tc>
        <w:tc>
          <w:tcPr>
            <w:tcW w:w="718" w:type="dxa"/>
            <w:shd w:val="clear" w:color="auto" w:fill="FFFFFF" w:themeFill="background1"/>
          </w:tcPr>
          <w:p w14:paraId="5F6E238C"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1,091.3</w:t>
            </w:r>
          </w:p>
        </w:tc>
        <w:tc>
          <w:tcPr>
            <w:tcW w:w="1016" w:type="dxa"/>
            <w:shd w:val="clear" w:color="auto" w:fill="FFFFFF" w:themeFill="background1"/>
          </w:tcPr>
          <w:p w14:paraId="1F56A1A8"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800</w:t>
            </w:r>
          </w:p>
        </w:tc>
        <w:tc>
          <w:tcPr>
            <w:tcW w:w="867" w:type="dxa"/>
            <w:shd w:val="clear" w:color="auto" w:fill="FFFFFF" w:themeFill="background1"/>
          </w:tcPr>
          <w:p w14:paraId="59845DCE"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67</w:t>
            </w:r>
          </w:p>
        </w:tc>
        <w:tc>
          <w:tcPr>
            <w:tcW w:w="810" w:type="dxa"/>
            <w:shd w:val="clear" w:color="auto" w:fill="FFFFFF" w:themeFill="background1"/>
          </w:tcPr>
          <w:p w14:paraId="460F9562"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847.9</w:t>
            </w:r>
          </w:p>
        </w:tc>
        <w:tc>
          <w:tcPr>
            <w:tcW w:w="924" w:type="dxa"/>
            <w:shd w:val="clear" w:color="auto" w:fill="FFFFFF" w:themeFill="background1"/>
          </w:tcPr>
          <w:p w14:paraId="5EE2998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250</w:t>
            </w:r>
          </w:p>
        </w:tc>
        <w:tc>
          <w:tcPr>
            <w:tcW w:w="868" w:type="dxa"/>
            <w:shd w:val="clear" w:color="auto" w:fill="FFFFFF" w:themeFill="background1"/>
          </w:tcPr>
          <w:p w14:paraId="3627DFF4"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243.4</w:t>
            </w:r>
          </w:p>
        </w:tc>
      </w:tr>
      <w:tr w:rsidR="004660D6" w:rsidRPr="005734B8" w14:paraId="4AE84F34" w14:textId="77777777" w:rsidTr="004660D6">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238709FC" w14:textId="77777777" w:rsidR="004660D6" w:rsidRPr="005734B8" w:rsidRDefault="004660D6" w:rsidP="004660D6">
            <w:pPr>
              <w:pStyle w:val="ESTablebody"/>
              <w:jc w:val="center"/>
              <w:rPr>
                <w:rFonts w:ascii="Calibri" w:hAnsi="Calibri" w:cs="Calibri"/>
                <w:b/>
                <w:sz w:val="18"/>
              </w:rPr>
            </w:pPr>
          </w:p>
        </w:tc>
        <w:tc>
          <w:tcPr>
            <w:tcW w:w="1276" w:type="dxa"/>
          </w:tcPr>
          <w:p w14:paraId="0E96CA90"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Self-described</w:t>
            </w:r>
          </w:p>
        </w:tc>
        <w:tc>
          <w:tcPr>
            <w:tcW w:w="867" w:type="dxa"/>
            <w:shd w:val="clear" w:color="auto" w:fill="F2F2F2" w:themeFill="background1" w:themeFillShade="F2"/>
          </w:tcPr>
          <w:p w14:paraId="49E5AAC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w:t>
            </w:r>
          </w:p>
        </w:tc>
        <w:tc>
          <w:tcPr>
            <w:tcW w:w="834" w:type="dxa"/>
            <w:shd w:val="clear" w:color="auto" w:fill="F2F2F2" w:themeFill="background1" w:themeFillShade="F2"/>
          </w:tcPr>
          <w:p w14:paraId="0AD4DA6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8.7</w:t>
            </w:r>
          </w:p>
        </w:tc>
        <w:tc>
          <w:tcPr>
            <w:tcW w:w="900" w:type="dxa"/>
            <w:shd w:val="clear" w:color="auto" w:fill="F2F2F2" w:themeFill="background1" w:themeFillShade="F2"/>
          </w:tcPr>
          <w:p w14:paraId="22CA5F0E"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w:t>
            </w:r>
          </w:p>
        </w:tc>
        <w:tc>
          <w:tcPr>
            <w:tcW w:w="867" w:type="dxa"/>
            <w:shd w:val="clear" w:color="auto" w:fill="F2F2F2" w:themeFill="background1" w:themeFillShade="F2"/>
          </w:tcPr>
          <w:p w14:paraId="48AD6F2E"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w:t>
            </w:r>
          </w:p>
        </w:tc>
        <w:tc>
          <w:tcPr>
            <w:tcW w:w="926" w:type="dxa"/>
            <w:shd w:val="clear" w:color="auto" w:fill="F2F2F2" w:themeFill="background1" w:themeFillShade="F2"/>
          </w:tcPr>
          <w:p w14:paraId="408F2269"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6.9</w:t>
            </w:r>
          </w:p>
        </w:tc>
        <w:tc>
          <w:tcPr>
            <w:tcW w:w="808" w:type="dxa"/>
            <w:shd w:val="clear" w:color="auto" w:fill="F2F2F2" w:themeFill="background1" w:themeFillShade="F2"/>
          </w:tcPr>
          <w:p w14:paraId="4E27E2CC"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w:t>
            </w:r>
          </w:p>
        </w:tc>
        <w:tc>
          <w:tcPr>
            <w:tcW w:w="893" w:type="dxa"/>
            <w:shd w:val="clear" w:color="auto" w:fill="F2F2F2" w:themeFill="background1" w:themeFillShade="F2"/>
          </w:tcPr>
          <w:p w14:paraId="6B347EFA"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1.8</w:t>
            </w:r>
          </w:p>
        </w:tc>
        <w:tc>
          <w:tcPr>
            <w:tcW w:w="842" w:type="dxa"/>
            <w:shd w:val="clear" w:color="auto" w:fill="FFFFFF" w:themeFill="background1"/>
          </w:tcPr>
          <w:p w14:paraId="57F838FA"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11</w:t>
            </w:r>
          </w:p>
        </w:tc>
        <w:tc>
          <w:tcPr>
            <w:tcW w:w="718" w:type="dxa"/>
            <w:shd w:val="clear" w:color="auto" w:fill="FFFFFF" w:themeFill="background1"/>
          </w:tcPr>
          <w:p w14:paraId="68AEA7E8"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10.3</w:t>
            </w:r>
          </w:p>
        </w:tc>
        <w:tc>
          <w:tcPr>
            <w:tcW w:w="1016" w:type="dxa"/>
            <w:shd w:val="clear" w:color="auto" w:fill="FFFFFF" w:themeFill="background1"/>
          </w:tcPr>
          <w:p w14:paraId="0F6C6E5D"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5</w:t>
            </w:r>
          </w:p>
        </w:tc>
        <w:tc>
          <w:tcPr>
            <w:tcW w:w="867" w:type="dxa"/>
            <w:shd w:val="clear" w:color="auto" w:fill="FFFFFF" w:themeFill="background1"/>
          </w:tcPr>
          <w:p w14:paraId="4DD29BA8"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w:t>
            </w:r>
          </w:p>
        </w:tc>
        <w:tc>
          <w:tcPr>
            <w:tcW w:w="810" w:type="dxa"/>
            <w:shd w:val="clear" w:color="auto" w:fill="FFFFFF" w:themeFill="background1"/>
          </w:tcPr>
          <w:p w14:paraId="23AA6CE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6.7</w:t>
            </w:r>
          </w:p>
        </w:tc>
        <w:tc>
          <w:tcPr>
            <w:tcW w:w="924" w:type="dxa"/>
            <w:shd w:val="clear" w:color="auto" w:fill="FFFFFF" w:themeFill="background1"/>
          </w:tcPr>
          <w:p w14:paraId="5C1F95FB"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w:t>
            </w:r>
          </w:p>
        </w:tc>
        <w:tc>
          <w:tcPr>
            <w:tcW w:w="868" w:type="dxa"/>
            <w:shd w:val="clear" w:color="auto" w:fill="FFFFFF" w:themeFill="background1"/>
          </w:tcPr>
          <w:p w14:paraId="42C99866"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3.6</w:t>
            </w:r>
          </w:p>
        </w:tc>
      </w:tr>
      <w:tr w:rsidR="005734B8" w:rsidRPr="005734B8" w14:paraId="430A60C8" w14:textId="77777777" w:rsidTr="004660D6">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4D33690A" w14:textId="77777777" w:rsidR="004660D6" w:rsidRPr="005734B8" w:rsidRDefault="004660D6" w:rsidP="004660D6">
            <w:pPr>
              <w:pStyle w:val="ESTablebody"/>
              <w:jc w:val="center"/>
              <w:rPr>
                <w:rFonts w:ascii="Calibri" w:hAnsi="Calibri" w:cs="Calibri"/>
                <w:b/>
                <w:sz w:val="18"/>
              </w:rPr>
            </w:pPr>
          </w:p>
        </w:tc>
        <w:tc>
          <w:tcPr>
            <w:tcW w:w="1276" w:type="dxa"/>
            <w:shd w:val="clear" w:color="auto" w:fill="D9D9D6" w:themeFill="accent6"/>
          </w:tcPr>
          <w:p w14:paraId="485174BB"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Age</w:t>
            </w:r>
          </w:p>
        </w:tc>
        <w:tc>
          <w:tcPr>
            <w:tcW w:w="867" w:type="dxa"/>
            <w:shd w:val="clear" w:color="auto" w:fill="D9D9D6" w:themeFill="accent6"/>
            <w:vAlign w:val="center"/>
          </w:tcPr>
          <w:p w14:paraId="77F80A7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34" w:type="dxa"/>
            <w:shd w:val="clear" w:color="auto" w:fill="D9D9D6" w:themeFill="accent6"/>
            <w:vAlign w:val="center"/>
          </w:tcPr>
          <w:p w14:paraId="01B56918"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900" w:type="dxa"/>
            <w:shd w:val="clear" w:color="auto" w:fill="D9D9D6" w:themeFill="accent6"/>
            <w:vAlign w:val="center"/>
          </w:tcPr>
          <w:p w14:paraId="278D81AE"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67" w:type="dxa"/>
            <w:shd w:val="clear" w:color="auto" w:fill="D9D9D6" w:themeFill="accent6"/>
            <w:vAlign w:val="center"/>
          </w:tcPr>
          <w:p w14:paraId="7AB4C062"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926" w:type="dxa"/>
            <w:shd w:val="clear" w:color="auto" w:fill="D9D9D6" w:themeFill="accent6"/>
            <w:vAlign w:val="center"/>
          </w:tcPr>
          <w:p w14:paraId="03456E16"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08" w:type="dxa"/>
            <w:shd w:val="clear" w:color="auto" w:fill="D9D9D6" w:themeFill="accent6"/>
            <w:vAlign w:val="center"/>
          </w:tcPr>
          <w:p w14:paraId="199CE67C"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93" w:type="dxa"/>
            <w:shd w:val="clear" w:color="auto" w:fill="D9D9D6" w:themeFill="accent6"/>
            <w:vAlign w:val="center"/>
          </w:tcPr>
          <w:p w14:paraId="3342E822"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42" w:type="dxa"/>
            <w:shd w:val="clear" w:color="auto" w:fill="D9D9D6" w:themeFill="accent6"/>
            <w:vAlign w:val="center"/>
          </w:tcPr>
          <w:p w14:paraId="28D03CF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718" w:type="dxa"/>
            <w:shd w:val="clear" w:color="auto" w:fill="D9D9D6" w:themeFill="accent6"/>
            <w:vAlign w:val="center"/>
          </w:tcPr>
          <w:p w14:paraId="57BF96B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1016" w:type="dxa"/>
            <w:shd w:val="clear" w:color="auto" w:fill="D9D9D6" w:themeFill="accent6"/>
            <w:vAlign w:val="center"/>
          </w:tcPr>
          <w:p w14:paraId="6C04B84C"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67" w:type="dxa"/>
            <w:shd w:val="clear" w:color="auto" w:fill="D9D9D6" w:themeFill="accent6"/>
            <w:vAlign w:val="center"/>
          </w:tcPr>
          <w:p w14:paraId="0C1F3E1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10" w:type="dxa"/>
            <w:shd w:val="clear" w:color="auto" w:fill="D9D9D6" w:themeFill="accent6"/>
            <w:vAlign w:val="center"/>
          </w:tcPr>
          <w:p w14:paraId="259CA86E"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924" w:type="dxa"/>
            <w:shd w:val="clear" w:color="auto" w:fill="D9D9D6" w:themeFill="accent6"/>
            <w:vAlign w:val="center"/>
          </w:tcPr>
          <w:p w14:paraId="05F65BC8"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68" w:type="dxa"/>
            <w:shd w:val="clear" w:color="auto" w:fill="D9D9D6" w:themeFill="accent6"/>
            <w:vAlign w:val="center"/>
          </w:tcPr>
          <w:p w14:paraId="572BB6A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r>
      <w:tr w:rsidR="004660D6" w:rsidRPr="005734B8" w14:paraId="66424F90" w14:textId="77777777" w:rsidTr="004660D6">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002FC322" w14:textId="77777777" w:rsidR="004660D6" w:rsidRPr="005734B8" w:rsidRDefault="004660D6" w:rsidP="004660D6">
            <w:pPr>
              <w:pStyle w:val="ESTablebody"/>
              <w:jc w:val="center"/>
              <w:rPr>
                <w:rFonts w:ascii="Calibri" w:hAnsi="Calibri" w:cs="Calibri"/>
                <w:b/>
                <w:sz w:val="18"/>
              </w:rPr>
            </w:pPr>
          </w:p>
        </w:tc>
        <w:tc>
          <w:tcPr>
            <w:tcW w:w="1276" w:type="dxa"/>
          </w:tcPr>
          <w:p w14:paraId="435DA719"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Under 25</w:t>
            </w:r>
          </w:p>
        </w:tc>
        <w:tc>
          <w:tcPr>
            <w:tcW w:w="867" w:type="dxa"/>
            <w:shd w:val="clear" w:color="auto" w:fill="F2F2F2" w:themeFill="background1" w:themeFillShade="F2"/>
          </w:tcPr>
          <w:p w14:paraId="7AE0495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66</w:t>
            </w:r>
          </w:p>
        </w:tc>
        <w:tc>
          <w:tcPr>
            <w:tcW w:w="834" w:type="dxa"/>
            <w:shd w:val="clear" w:color="auto" w:fill="F2F2F2" w:themeFill="background1" w:themeFillShade="F2"/>
          </w:tcPr>
          <w:p w14:paraId="09698B7C"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59.3</w:t>
            </w:r>
          </w:p>
        </w:tc>
        <w:tc>
          <w:tcPr>
            <w:tcW w:w="900" w:type="dxa"/>
            <w:shd w:val="clear" w:color="auto" w:fill="F2F2F2" w:themeFill="background1" w:themeFillShade="F2"/>
          </w:tcPr>
          <w:p w14:paraId="3118CC9E"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23</w:t>
            </w:r>
          </w:p>
        </w:tc>
        <w:tc>
          <w:tcPr>
            <w:tcW w:w="867" w:type="dxa"/>
            <w:shd w:val="clear" w:color="auto" w:fill="F2F2F2" w:themeFill="background1" w:themeFillShade="F2"/>
          </w:tcPr>
          <w:p w14:paraId="1F6EA88F"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w:t>
            </w:r>
          </w:p>
        </w:tc>
        <w:tc>
          <w:tcPr>
            <w:tcW w:w="926" w:type="dxa"/>
            <w:shd w:val="clear" w:color="auto" w:fill="F2F2F2" w:themeFill="background1" w:themeFillShade="F2"/>
          </w:tcPr>
          <w:p w14:paraId="734543A6"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23.6</w:t>
            </w:r>
          </w:p>
        </w:tc>
        <w:tc>
          <w:tcPr>
            <w:tcW w:w="808" w:type="dxa"/>
            <w:shd w:val="clear" w:color="auto" w:fill="F2F2F2" w:themeFill="background1" w:themeFillShade="F2"/>
          </w:tcPr>
          <w:p w14:paraId="43411F0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42</w:t>
            </w:r>
          </w:p>
        </w:tc>
        <w:tc>
          <w:tcPr>
            <w:tcW w:w="893" w:type="dxa"/>
            <w:shd w:val="clear" w:color="auto" w:fill="F2F2F2" w:themeFill="background1" w:themeFillShade="F2"/>
          </w:tcPr>
          <w:p w14:paraId="344F523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35.7</w:t>
            </w:r>
          </w:p>
        </w:tc>
        <w:tc>
          <w:tcPr>
            <w:tcW w:w="842" w:type="dxa"/>
            <w:shd w:val="clear" w:color="auto" w:fill="FFFFFF" w:themeFill="background1"/>
          </w:tcPr>
          <w:p w14:paraId="6210D9B2"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55</w:t>
            </w:r>
          </w:p>
        </w:tc>
        <w:tc>
          <w:tcPr>
            <w:tcW w:w="718" w:type="dxa"/>
            <w:shd w:val="clear" w:color="auto" w:fill="FFFFFF" w:themeFill="background1"/>
          </w:tcPr>
          <w:p w14:paraId="3B7C6ED6"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47.4</w:t>
            </w:r>
          </w:p>
        </w:tc>
        <w:tc>
          <w:tcPr>
            <w:tcW w:w="1016" w:type="dxa"/>
            <w:shd w:val="clear" w:color="auto" w:fill="FFFFFF" w:themeFill="background1"/>
          </w:tcPr>
          <w:p w14:paraId="2FB4D42C"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18</w:t>
            </w:r>
          </w:p>
        </w:tc>
        <w:tc>
          <w:tcPr>
            <w:tcW w:w="867" w:type="dxa"/>
            <w:shd w:val="clear" w:color="auto" w:fill="FFFFFF" w:themeFill="background1"/>
          </w:tcPr>
          <w:p w14:paraId="473C59F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w:t>
            </w:r>
          </w:p>
        </w:tc>
        <w:tc>
          <w:tcPr>
            <w:tcW w:w="810" w:type="dxa"/>
            <w:shd w:val="clear" w:color="auto" w:fill="FFFFFF" w:themeFill="background1"/>
          </w:tcPr>
          <w:p w14:paraId="7153A16E"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20.5</w:t>
            </w:r>
          </w:p>
        </w:tc>
        <w:tc>
          <w:tcPr>
            <w:tcW w:w="924" w:type="dxa"/>
            <w:shd w:val="clear" w:color="auto" w:fill="FFFFFF" w:themeFill="background1"/>
          </w:tcPr>
          <w:p w14:paraId="3064F73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33</w:t>
            </w:r>
          </w:p>
        </w:tc>
        <w:tc>
          <w:tcPr>
            <w:tcW w:w="868" w:type="dxa"/>
            <w:shd w:val="clear" w:color="auto" w:fill="FFFFFF" w:themeFill="background1"/>
          </w:tcPr>
          <w:p w14:paraId="2C6CD55E"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26.9</w:t>
            </w:r>
          </w:p>
        </w:tc>
      </w:tr>
      <w:tr w:rsidR="004660D6" w:rsidRPr="005734B8" w14:paraId="41E85F91" w14:textId="77777777" w:rsidTr="004660D6">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18F32E0B" w14:textId="77777777" w:rsidR="004660D6" w:rsidRPr="005734B8" w:rsidRDefault="004660D6" w:rsidP="004660D6">
            <w:pPr>
              <w:pStyle w:val="ESTablebody"/>
              <w:jc w:val="center"/>
              <w:rPr>
                <w:rFonts w:ascii="Calibri" w:hAnsi="Calibri" w:cs="Calibri"/>
                <w:b/>
                <w:sz w:val="18"/>
              </w:rPr>
            </w:pPr>
          </w:p>
        </w:tc>
        <w:tc>
          <w:tcPr>
            <w:tcW w:w="1276" w:type="dxa"/>
          </w:tcPr>
          <w:p w14:paraId="443A1099"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25-34</w:t>
            </w:r>
          </w:p>
        </w:tc>
        <w:tc>
          <w:tcPr>
            <w:tcW w:w="867" w:type="dxa"/>
            <w:shd w:val="clear" w:color="auto" w:fill="F2F2F2" w:themeFill="background1" w:themeFillShade="F2"/>
          </w:tcPr>
          <w:p w14:paraId="029B84B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954</w:t>
            </w:r>
          </w:p>
        </w:tc>
        <w:tc>
          <w:tcPr>
            <w:tcW w:w="834" w:type="dxa"/>
            <w:shd w:val="clear" w:color="auto" w:fill="F2F2F2" w:themeFill="background1" w:themeFillShade="F2"/>
          </w:tcPr>
          <w:p w14:paraId="233E3C3D"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888.7</w:t>
            </w:r>
          </w:p>
        </w:tc>
        <w:tc>
          <w:tcPr>
            <w:tcW w:w="900" w:type="dxa"/>
            <w:shd w:val="clear" w:color="auto" w:fill="F2F2F2" w:themeFill="background1" w:themeFillShade="F2"/>
          </w:tcPr>
          <w:p w14:paraId="2599C402"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551</w:t>
            </w:r>
          </w:p>
        </w:tc>
        <w:tc>
          <w:tcPr>
            <w:tcW w:w="867" w:type="dxa"/>
            <w:shd w:val="clear" w:color="auto" w:fill="F2F2F2" w:themeFill="background1" w:themeFillShade="F2"/>
          </w:tcPr>
          <w:p w14:paraId="17015506"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135</w:t>
            </w:r>
          </w:p>
        </w:tc>
        <w:tc>
          <w:tcPr>
            <w:tcW w:w="926" w:type="dxa"/>
            <w:shd w:val="clear" w:color="auto" w:fill="F2F2F2" w:themeFill="background1" w:themeFillShade="F2"/>
          </w:tcPr>
          <w:p w14:paraId="292787EB"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639.0</w:t>
            </w:r>
          </w:p>
        </w:tc>
        <w:tc>
          <w:tcPr>
            <w:tcW w:w="808" w:type="dxa"/>
            <w:shd w:val="clear" w:color="auto" w:fill="F2F2F2" w:themeFill="background1" w:themeFillShade="F2"/>
          </w:tcPr>
          <w:p w14:paraId="6C9619CF"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268</w:t>
            </w:r>
          </w:p>
        </w:tc>
        <w:tc>
          <w:tcPr>
            <w:tcW w:w="893" w:type="dxa"/>
            <w:shd w:val="clear" w:color="auto" w:fill="F2F2F2" w:themeFill="background1" w:themeFillShade="F2"/>
          </w:tcPr>
          <w:p w14:paraId="5569196D"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249.7</w:t>
            </w:r>
          </w:p>
        </w:tc>
        <w:tc>
          <w:tcPr>
            <w:tcW w:w="842" w:type="dxa"/>
            <w:shd w:val="clear" w:color="auto" w:fill="FFFFFF" w:themeFill="background1"/>
          </w:tcPr>
          <w:p w14:paraId="3C0154EC"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931</w:t>
            </w:r>
          </w:p>
        </w:tc>
        <w:tc>
          <w:tcPr>
            <w:tcW w:w="718" w:type="dxa"/>
            <w:shd w:val="clear" w:color="auto" w:fill="FFFFFF" w:themeFill="background1"/>
          </w:tcPr>
          <w:p w14:paraId="1A23B1E9"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876.8</w:t>
            </w:r>
          </w:p>
        </w:tc>
        <w:tc>
          <w:tcPr>
            <w:tcW w:w="1016" w:type="dxa"/>
            <w:shd w:val="clear" w:color="auto" w:fill="FFFFFF" w:themeFill="background1"/>
          </w:tcPr>
          <w:p w14:paraId="666CF8C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542</w:t>
            </w:r>
          </w:p>
        </w:tc>
        <w:tc>
          <w:tcPr>
            <w:tcW w:w="867" w:type="dxa"/>
            <w:shd w:val="clear" w:color="auto" w:fill="FFFFFF" w:themeFill="background1"/>
          </w:tcPr>
          <w:p w14:paraId="7D8FFE65"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112</w:t>
            </w:r>
          </w:p>
        </w:tc>
        <w:tc>
          <w:tcPr>
            <w:tcW w:w="810" w:type="dxa"/>
            <w:shd w:val="clear" w:color="auto" w:fill="FFFFFF" w:themeFill="background1"/>
          </w:tcPr>
          <w:p w14:paraId="181F535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613.9</w:t>
            </w:r>
          </w:p>
        </w:tc>
        <w:tc>
          <w:tcPr>
            <w:tcW w:w="924" w:type="dxa"/>
            <w:shd w:val="clear" w:color="auto" w:fill="FFFFFF" w:themeFill="background1"/>
          </w:tcPr>
          <w:p w14:paraId="04CC103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277</w:t>
            </w:r>
          </w:p>
        </w:tc>
        <w:tc>
          <w:tcPr>
            <w:tcW w:w="868" w:type="dxa"/>
            <w:shd w:val="clear" w:color="auto" w:fill="FFFFFF" w:themeFill="background1"/>
          </w:tcPr>
          <w:p w14:paraId="2395B909"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262.9</w:t>
            </w:r>
          </w:p>
        </w:tc>
      </w:tr>
      <w:tr w:rsidR="004660D6" w:rsidRPr="005734B8" w14:paraId="2298C7B5" w14:textId="77777777" w:rsidTr="004660D6">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0AA71A97" w14:textId="77777777" w:rsidR="004660D6" w:rsidRPr="005734B8" w:rsidRDefault="004660D6" w:rsidP="004660D6">
            <w:pPr>
              <w:pStyle w:val="ESTablebody"/>
              <w:jc w:val="center"/>
              <w:rPr>
                <w:rFonts w:ascii="Calibri" w:hAnsi="Calibri" w:cs="Calibri"/>
                <w:b/>
                <w:sz w:val="18"/>
              </w:rPr>
            </w:pPr>
          </w:p>
        </w:tc>
        <w:tc>
          <w:tcPr>
            <w:tcW w:w="1276" w:type="dxa"/>
          </w:tcPr>
          <w:p w14:paraId="47B3CF53"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35-44</w:t>
            </w:r>
          </w:p>
        </w:tc>
        <w:tc>
          <w:tcPr>
            <w:tcW w:w="867" w:type="dxa"/>
            <w:shd w:val="clear" w:color="auto" w:fill="F2F2F2" w:themeFill="background1" w:themeFillShade="F2"/>
          </w:tcPr>
          <w:p w14:paraId="58256D08"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1,384</w:t>
            </w:r>
          </w:p>
        </w:tc>
        <w:tc>
          <w:tcPr>
            <w:tcW w:w="834" w:type="dxa"/>
            <w:shd w:val="clear" w:color="auto" w:fill="F2F2F2" w:themeFill="background1" w:themeFillShade="F2"/>
          </w:tcPr>
          <w:p w14:paraId="2ED4A97E"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1,258.0</w:t>
            </w:r>
          </w:p>
        </w:tc>
        <w:tc>
          <w:tcPr>
            <w:tcW w:w="900" w:type="dxa"/>
            <w:shd w:val="clear" w:color="auto" w:fill="F2F2F2" w:themeFill="background1" w:themeFillShade="F2"/>
          </w:tcPr>
          <w:p w14:paraId="2F771B98"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763</w:t>
            </w:r>
          </w:p>
        </w:tc>
        <w:tc>
          <w:tcPr>
            <w:tcW w:w="867" w:type="dxa"/>
            <w:shd w:val="clear" w:color="auto" w:fill="F2F2F2" w:themeFill="background1" w:themeFillShade="F2"/>
          </w:tcPr>
          <w:p w14:paraId="076A616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344</w:t>
            </w:r>
          </w:p>
        </w:tc>
        <w:tc>
          <w:tcPr>
            <w:tcW w:w="926" w:type="dxa"/>
            <w:shd w:val="clear" w:color="auto" w:fill="F2F2F2" w:themeFill="background1" w:themeFillShade="F2"/>
          </w:tcPr>
          <w:p w14:paraId="17265A79"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997.4</w:t>
            </w:r>
          </w:p>
        </w:tc>
        <w:tc>
          <w:tcPr>
            <w:tcW w:w="808" w:type="dxa"/>
            <w:shd w:val="clear" w:color="auto" w:fill="F2F2F2" w:themeFill="background1" w:themeFillShade="F2"/>
          </w:tcPr>
          <w:p w14:paraId="35698915"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277</w:t>
            </w:r>
          </w:p>
        </w:tc>
        <w:tc>
          <w:tcPr>
            <w:tcW w:w="893" w:type="dxa"/>
            <w:shd w:val="clear" w:color="auto" w:fill="F2F2F2" w:themeFill="background1" w:themeFillShade="F2"/>
          </w:tcPr>
          <w:p w14:paraId="2CBCBC2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260.6</w:t>
            </w:r>
          </w:p>
        </w:tc>
        <w:tc>
          <w:tcPr>
            <w:tcW w:w="842" w:type="dxa"/>
            <w:shd w:val="clear" w:color="auto" w:fill="FFFFFF" w:themeFill="background1"/>
          </w:tcPr>
          <w:p w14:paraId="5F8AEF9F"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1,287</w:t>
            </w:r>
          </w:p>
        </w:tc>
        <w:tc>
          <w:tcPr>
            <w:tcW w:w="718" w:type="dxa"/>
            <w:shd w:val="clear" w:color="auto" w:fill="FFFFFF" w:themeFill="background1"/>
          </w:tcPr>
          <w:p w14:paraId="70177D3A"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1,163.2</w:t>
            </w:r>
          </w:p>
        </w:tc>
        <w:tc>
          <w:tcPr>
            <w:tcW w:w="1016" w:type="dxa"/>
            <w:shd w:val="clear" w:color="auto" w:fill="FFFFFF" w:themeFill="background1"/>
          </w:tcPr>
          <w:p w14:paraId="502C0B7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691</w:t>
            </w:r>
          </w:p>
        </w:tc>
        <w:tc>
          <w:tcPr>
            <w:tcW w:w="867" w:type="dxa"/>
            <w:shd w:val="clear" w:color="auto" w:fill="FFFFFF" w:themeFill="background1"/>
          </w:tcPr>
          <w:p w14:paraId="44BF9AC8"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347</w:t>
            </w:r>
          </w:p>
        </w:tc>
        <w:tc>
          <w:tcPr>
            <w:tcW w:w="810" w:type="dxa"/>
            <w:shd w:val="clear" w:color="auto" w:fill="FFFFFF" w:themeFill="background1"/>
          </w:tcPr>
          <w:p w14:paraId="05A1D55C"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927.5</w:t>
            </w:r>
          </w:p>
        </w:tc>
        <w:tc>
          <w:tcPr>
            <w:tcW w:w="924" w:type="dxa"/>
            <w:shd w:val="clear" w:color="auto" w:fill="FFFFFF" w:themeFill="background1"/>
          </w:tcPr>
          <w:p w14:paraId="2C82D0B6"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249</w:t>
            </w:r>
          </w:p>
        </w:tc>
        <w:tc>
          <w:tcPr>
            <w:tcW w:w="868" w:type="dxa"/>
            <w:shd w:val="clear" w:color="auto" w:fill="FFFFFF" w:themeFill="background1"/>
          </w:tcPr>
          <w:p w14:paraId="318DA8FD"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235.7</w:t>
            </w:r>
          </w:p>
        </w:tc>
      </w:tr>
      <w:tr w:rsidR="004660D6" w:rsidRPr="005734B8" w14:paraId="5DAB7430" w14:textId="77777777" w:rsidTr="004660D6">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5A321D67" w14:textId="77777777" w:rsidR="004660D6" w:rsidRPr="005734B8" w:rsidRDefault="004660D6" w:rsidP="004660D6">
            <w:pPr>
              <w:pStyle w:val="ESTablebody"/>
              <w:jc w:val="center"/>
              <w:rPr>
                <w:rFonts w:ascii="Calibri" w:hAnsi="Calibri" w:cs="Calibri"/>
                <w:b/>
                <w:sz w:val="18"/>
              </w:rPr>
            </w:pPr>
          </w:p>
        </w:tc>
        <w:tc>
          <w:tcPr>
            <w:tcW w:w="1276" w:type="dxa"/>
          </w:tcPr>
          <w:p w14:paraId="4F9EF087"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45-54</w:t>
            </w:r>
          </w:p>
        </w:tc>
        <w:tc>
          <w:tcPr>
            <w:tcW w:w="867" w:type="dxa"/>
            <w:shd w:val="clear" w:color="auto" w:fill="F2F2F2" w:themeFill="background1" w:themeFillShade="F2"/>
          </w:tcPr>
          <w:p w14:paraId="1F7E4B6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1,084</w:t>
            </w:r>
          </w:p>
        </w:tc>
        <w:tc>
          <w:tcPr>
            <w:tcW w:w="834" w:type="dxa"/>
            <w:shd w:val="clear" w:color="auto" w:fill="F2F2F2" w:themeFill="background1" w:themeFillShade="F2"/>
          </w:tcPr>
          <w:p w14:paraId="4B1F7886"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1,023.4</w:t>
            </w:r>
          </w:p>
        </w:tc>
        <w:tc>
          <w:tcPr>
            <w:tcW w:w="900" w:type="dxa"/>
            <w:shd w:val="clear" w:color="auto" w:fill="F2F2F2" w:themeFill="background1" w:themeFillShade="F2"/>
          </w:tcPr>
          <w:p w14:paraId="115F78CF"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735</w:t>
            </w:r>
          </w:p>
        </w:tc>
        <w:tc>
          <w:tcPr>
            <w:tcW w:w="867" w:type="dxa"/>
            <w:shd w:val="clear" w:color="auto" w:fill="F2F2F2" w:themeFill="background1" w:themeFillShade="F2"/>
          </w:tcPr>
          <w:p w14:paraId="16AA65A8"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194</w:t>
            </w:r>
          </w:p>
        </w:tc>
        <w:tc>
          <w:tcPr>
            <w:tcW w:w="926" w:type="dxa"/>
            <w:shd w:val="clear" w:color="auto" w:fill="F2F2F2" w:themeFill="background1" w:themeFillShade="F2"/>
          </w:tcPr>
          <w:p w14:paraId="220AAA4F"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872.4</w:t>
            </w:r>
          </w:p>
        </w:tc>
        <w:tc>
          <w:tcPr>
            <w:tcW w:w="808" w:type="dxa"/>
            <w:shd w:val="clear" w:color="auto" w:fill="F2F2F2" w:themeFill="background1" w:themeFillShade="F2"/>
          </w:tcPr>
          <w:p w14:paraId="0E346F18"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155</w:t>
            </w:r>
          </w:p>
        </w:tc>
        <w:tc>
          <w:tcPr>
            <w:tcW w:w="893" w:type="dxa"/>
            <w:shd w:val="clear" w:color="auto" w:fill="F2F2F2" w:themeFill="background1" w:themeFillShade="F2"/>
          </w:tcPr>
          <w:p w14:paraId="0C96AFC2"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151.0</w:t>
            </w:r>
          </w:p>
        </w:tc>
        <w:tc>
          <w:tcPr>
            <w:tcW w:w="842" w:type="dxa"/>
            <w:shd w:val="clear" w:color="auto" w:fill="FFFFFF" w:themeFill="background1"/>
          </w:tcPr>
          <w:p w14:paraId="0BE15642"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996</w:t>
            </w:r>
          </w:p>
        </w:tc>
        <w:tc>
          <w:tcPr>
            <w:tcW w:w="718" w:type="dxa"/>
            <w:shd w:val="clear" w:color="auto" w:fill="FFFFFF" w:themeFill="background1"/>
          </w:tcPr>
          <w:p w14:paraId="5EB6DEF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928.7</w:t>
            </w:r>
          </w:p>
        </w:tc>
        <w:tc>
          <w:tcPr>
            <w:tcW w:w="1016" w:type="dxa"/>
            <w:shd w:val="clear" w:color="auto" w:fill="FFFFFF" w:themeFill="background1"/>
          </w:tcPr>
          <w:p w14:paraId="2894A464"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637</w:t>
            </w:r>
          </w:p>
        </w:tc>
        <w:tc>
          <w:tcPr>
            <w:tcW w:w="867" w:type="dxa"/>
            <w:shd w:val="clear" w:color="auto" w:fill="FFFFFF" w:themeFill="background1"/>
          </w:tcPr>
          <w:p w14:paraId="6973511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209</w:t>
            </w:r>
          </w:p>
        </w:tc>
        <w:tc>
          <w:tcPr>
            <w:tcW w:w="810" w:type="dxa"/>
            <w:shd w:val="clear" w:color="auto" w:fill="FFFFFF" w:themeFill="background1"/>
          </w:tcPr>
          <w:p w14:paraId="07F9D09F"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786.8</w:t>
            </w:r>
          </w:p>
        </w:tc>
        <w:tc>
          <w:tcPr>
            <w:tcW w:w="924" w:type="dxa"/>
            <w:shd w:val="clear" w:color="auto" w:fill="FFFFFF" w:themeFill="background1"/>
          </w:tcPr>
          <w:p w14:paraId="15C51644"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150</w:t>
            </w:r>
          </w:p>
        </w:tc>
        <w:tc>
          <w:tcPr>
            <w:tcW w:w="868" w:type="dxa"/>
            <w:shd w:val="clear" w:color="auto" w:fill="FFFFFF" w:themeFill="background1"/>
          </w:tcPr>
          <w:p w14:paraId="44F3F28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141.9</w:t>
            </w:r>
          </w:p>
        </w:tc>
      </w:tr>
      <w:tr w:rsidR="004660D6" w:rsidRPr="005734B8" w14:paraId="37B14261" w14:textId="77777777" w:rsidTr="004660D6">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15954529" w14:textId="77777777" w:rsidR="004660D6" w:rsidRPr="005734B8" w:rsidRDefault="004660D6" w:rsidP="004660D6">
            <w:pPr>
              <w:pStyle w:val="ESTablebody"/>
              <w:jc w:val="center"/>
              <w:rPr>
                <w:rFonts w:ascii="Calibri" w:hAnsi="Calibri" w:cs="Calibri"/>
                <w:b/>
                <w:sz w:val="18"/>
              </w:rPr>
            </w:pPr>
          </w:p>
        </w:tc>
        <w:tc>
          <w:tcPr>
            <w:tcW w:w="1276" w:type="dxa"/>
          </w:tcPr>
          <w:p w14:paraId="1A8AE2B4"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55-64</w:t>
            </w:r>
          </w:p>
        </w:tc>
        <w:tc>
          <w:tcPr>
            <w:tcW w:w="867" w:type="dxa"/>
            <w:shd w:val="clear" w:color="auto" w:fill="F2F2F2" w:themeFill="background1" w:themeFillShade="F2"/>
          </w:tcPr>
          <w:p w14:paraId="5D27DEB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844</w:t>
            </w:r>
          </w:p>
        </w:tc>
        <w:tc>
          <w:tcPr>
            <w:tcW w:w="834" w:type="dxa"/>
            <w:shd w:val="clear" w:color="auto" w:fill="F2F2F2" w:themeFill="background1" w:themeFillShade="F2"/>
          </w:tcPr>
          <w:p w14:paraId="5D971B3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782.5</w:t>
            </w:r>
          </w:p>
        </w:tc>
        <w:tc>
          <w:tcPr>
            <w:tcW w:w="900" w:type="dxa"/>
            <w:shd w:val="clear" w:color="auto" w:fill="F2F2F2" w:themeFill="background1" w:themeFillShade="F2"/>
          </w:tcPr>
          <w:p w14:paraId="08FB206A"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579</w:t>
            </w:r>
          </w:p>
        </w:tc>
        <w:tc>
          <w:tcPr>
            <w:tcW w:w="867" w:type="dxa"/>
            <w:shd w:val="clear" w:color="auto" w:fill="F2F2F2" w:themeFill="background1" w:themeFillShade="F2"/>
          </w:tcPr>
          <w:p w14:paraId="25172E6B"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165</w:t>
            </w:r>
          </w:p>
        </w:tc>
        <w:tc>
          <w:tcPr>
            <w:tcW w:w="926" w:type="dxa"/>
            <w:shd w:val="clear" w:color="auto" w:fill="F2F2F2" w:themeFill="background1" w:themeFillShade="F2"/>
          </w:tcPr>
          <w:p w14:paraId="055C8349"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688.6</w:t>
            </w:r>
          </w:p>
        </w:tc>
        <w:tc>
          <w:tcPr>
            <w:tcW w:w="808" w:type="dxa"/>
            <w:shd w:val="clear" w:color="auto" w:fill="F2F2F2" w:themeFill="background1" w:themeFillShade="F2"/>
          </w:tcPr>
          <w:p w14:paraId="492534C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100</w:t>
            </w:r>
          </w:p>
        </w:tc>
        <w:tc>
          <w:tcPr>
            <w:tcW w:w="893" w:type="dxa"/>
            <w:shd w:val="clear" w:color="auto" w:fill="F2F2F2" w:themeFill="background1" w:themeFillShade="F2"/>
          </w:tcPr>
          <w:p w14:paraId="3366850B"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93.9</w:t>
            </w:r>
          </w:p>
        </w:tc>
        <w:tc>
          <w:tcPr>
            <w:tcW w:w="842" w:type="dxa"/>
            <w:shd w:val="clear" w:color="auto" w:fill="FFFFFF" w:themeFill="background1"/>
          </w:tcPr>
          <w:p w14:paraId="7F0ACD29"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825</w:t>
            </w:r>
          </w:p>
        </w:tc>
        <w:tc>
          <w:tcPr>
            <w:tcW w:w="718" w:type="dxa"/>
            <w:shd w:val="clear" w:color="auto" w:fill="FFFFFF" w:themeFill="background1"/>
          </w:tcPr>
          <w:p w14:paraId="5C6D99C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767.1</w:t>
            </w:r>
          </w:p>
        </w:tc>
        <w:tc>
          <w:tcPr>
            <w:tcW w:w="1016" w:type="dxa"/>
            <w:shd w:val="clear" w:color="auto" w:fill="FFFFFF" w:themeFill="background1"/>
          </w:tcPr>
          <w:p w14:paraId="73B03E54"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569</w:t>
            </w:r>
          </w:p>
        </w:tc>
        <w:tc>
          <w:tcPr>
            <w:tcW w:w="867" w:type="dxa"/>
            <w:shd w:val="clear" w:color="auto" w:fill="FFFFFF" w:themeFill="background1"/>
          </w:tcPr>
          <w:p w14:paraId="4B5405B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156</w:t>
            </w:r>
          </w:p>
        </w:tc>
        <w:tc>
          <w:tcPr>
            <w:tcW w:w="810" w:type="dxa"/>
            <w:shd w:val="clear" w:color="auto" w:fill="FFFFFF" w:themeFill="background1"/>
          </w:tcPr>
          <w:p w14:paraId="716C183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674.0</w:t>
            </w:r>
          </w:p>
        </w:tc>
        <w:tc>
          <w:tcPr>
            <w:tcW w:w="924" w:type="dxa"/>
            <w:shd w:val="clear" w:color="auto" w:fill="FFFFFF" w:themeFill="background1"/>
          </w:tcPr>
          <w:p w14:paraId="5AE9F4E8"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100</w:t>
            </w:r>
          </w:p>
        </w:tc>
        <w:tc>
          <w:tcPr>
            <w:tcW w:w="868" w:type="dxa"/>
            <w:shd w:val="clear" w:color="auto" w:fill="FFFFFF" w:themeFill="background1"/>
          </w:tcPr>
          <w:p w14:paraId="5C655D18"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93.1</w:t>
            </w:r>
          </w:p>
        </w:tc>
      </w:tr>
      <w:tr w:rsidR="004660D6" w:rsidRPr="005734B8" w14:paraId="51F7CAD8" w14:textId="77777777" w:rsidTr="004660D6">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264C42DB" w14:textId="77777777" w:rsidR="004660D6" w:rsidRPr="005734B8" w:rsidRDefault="004660D6" w:rsidP="004660D6">
            <w:pPr>
              <w:pStyle w:val="ESTablebody"/>
              <w:jc w:val="center"/>
              <w:rPr>
                <w:rFonts w:ascii="Calibri" w:hAnsi="Calibri" w:cs="Calibri"/>
                <w:b/>
                <w:sz w:val="18"/>
              </w:rPr>
            </w:pPr>
          </w:p>
        </w:tc>
        <w:tc>
          <w:tcPr>
            <w:tcW w:w="1276" w:type="dxa"/>
          </w:tcPr>
          <w:p w14:paraId="56AD8733"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65+</w:t>
            </w:r>
          </w:p>
        </w:tc>
        <w:tc>
          <w:tcPr>
            <w:tcW w:w="867" w:type="dxa"/>
            <w:shd w:val="clear" w:color="auto" w:fill="F2F2F2" w:themeFill="background1" w:themeFillShade="F2"/>
          </w:tcPr>
          <w:p w14:paraId="5A289FD8"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227</w:t>
            </w:r>
          </w:p>
        </w:tc>
        <w:tc>
          <w:tcPr>
            <w:tcW w:w="834" w:type="dxa"/>
            <w:shd w:val="clear" w:color="auto" w:fill="F2F2F2" w:themeFill="background1" w:themeFillShade="F2"/>
          </w:tcPr>
          <w:p w14:paraId="63890605"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196.0</w:t>
            </w:r>
          </w:p>
        </w:tc>
        <w:tc>
          <w:tcPr>
            <w:tcW w:w="900" w:type="dxa"/>
            <w:shd w:val="clear" w:color="auto" w:fill="F2F2F2" w:themeFill="background1" w:themeFillShade="F2"/>
          </w:tcPr>
          <w:p w14:paraId="1AB8E4E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136</w:t>
            </w:r>
          </w:p>
        </w:tc>
        <w:tc>
          <w:tcPr>
            <w:tcW w:w="867" w:type="dxa"/>
            <w:shd w:val="clear" w:color="auto" w:fill="F2F2F2" w:themeFill="background1" w:themeFillShade="F2"/>
          </w:tcPr>
          <w:p w14:paraId="42315744"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77</w:t>
            </w:r>
          </w:p>
        </w:tc>
        <w:tc>
          <w:tcPr>
            <w:tcW w:w="926" w:type="dxa"/>
            <w:shd w:val="clear" w:color="auto" w:fill="F2F2F2" w:themeFill="background1" w:themeFillShade="F2"/>
          </w:tcPr>
          <w:p w14:paraId="79EDA92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186.0</w:t>
            </w:r>
          </w:p>
        </w:tc>
        <w:tc>
          <w:tcPr>
            <w:tcW w:w="808" w:type="dxa"/>
            <w:shd w:val="clear" w:color="auto" w:fill="F2F2F2" w:themeFill="background1" w:themeFillShade="F2"/>
          </w:tcPr>
          <w:p w14:paraId="2D7E90F6"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14</w:t>
            </w:r>
          </w:p>
        </w:tc>
        <w:tc>
          <w:tcPr>
            <w:tcW w:w="893" w:type="dxa"/>
            <w:shd w:val="clear" w:color="auto" w:fill="F2F2F2" w:themeFill="background1" w:themeFillShade="F2"/>
          </w:tcPr>
          <w:p w14:paraId="6B8C00E9"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9.9</w:t>
            </w:r>
          </w:p>
        </w:tc>
        <w:tc>
          <w:tcPr>
            <w:tcW w:w="842" w:type="dxa"/>
            <w:shd w:val="clear" w:color="auto" w:fill="FFFFFF" w:themeFill="background1"/>
          </w:tcPr>
          <w:p w14:paraId="750BD8C9"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196</w:t>
            </w:r>
          </w:p>
        </w:tc>
        <w:tc>
          <w:tcPr>
            <w:tcW w:w="718" w:type="dxa"/>
            <w:shd w:val="clear" w:color="auto" w:fill="FFFFFF" w:themeFill="background1"/>
          </w:tcPr>
          <w:p w14:paraId="628897D2"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167.7</w:t>
            </w:r>
          </w:p>
        </w:tc>
        <w:tc>
          <w:tcPr>
            <w:tcW w:w="1016" w:type="dxa"/>
            <w:shd w:val="clear" w:color="auto" w:fill="FFFFFF" w:themeFill="background1"/>
          </w:tcPr>
          <w:p w14:paraId="2D35366C"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108</w:t>
            </w:r>
          </w:p>
        </w:tc>
        <w:tc>
          <w:tcPr>
            <w:tcW w:w="867" w:type="dxa"/>
            <w:shd w:val="clear" w:color="auto" w:fill="FFFFFF" w:themeFill="background1"/>
          </w:tcPr>
          <w:p w14:paraId="6D758C9F"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71</w:t>
            </w:r>
          </w:p>
        </w:tc>
        <w:tc>
          <w:tcPr>
            <w:tcW w:w="810" w:type="dxa"/>
            <w:shd w:val="clear" w:color="auto" w:fill="FFFFFF" w:themeFill="background1"/>
          </w:tcPr>
          <w:p w14:paraId="51A0A33A"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154.0</w:t>
            </w:r>
          </w:p>
        </w:tc>
        <w:tc>
          <w:tcPr>
            <w:tcW w:w="924" w:type="dxa"/>
            <w:shd w:val="clear" w:color="auto" w:fill="FFFFFF" w:themeFill="background1"/>
          </w:tcPr>
          <w:p w14:paraId="1AA2BE7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17</w:t>
            </w:r>
          </w:p>
        </w:tc>
        <w:tc>
          <w:tcPr>
            <w:tcW w:w="868" w:type="dxa"/>
            <w:shd w:val="clear" w:color="auto" w:fill="FFFFFF" w:themeFill="background1"/>
          </w:tcPr>
          <w:p w14:paraId="70719F4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13.7</w:t>
            </w:r>
          </w:p>
        </w:tc>
      </w:tr>
      <w:tr w:rsidR="00175CCF" w:rsidRPr="005734B8" w14:paraId="2D112DB1" w14:textId="77777777" w:rsidTr="002B5648">
        <w:trPr>
          <w:trHeight w:val="443"/>
        </w:trPr>
        <w:tc>
          <w:tcPr>
            <w:cnfStyle w:val="001000000000" w:firstRow="0" w:lastRow="0" w:firstColumn="1" w:lastColumn="0" w:oddVBand="0" w:evenVBand="0" w:oddHBand="0" w:evenHBand="0" w:firstRowFirstColumn="0" w:firstRowLastColumn="0" w:lastRowFirstColumn="0" w:lastRowLastColumn="0"/>
            <w:tcW w:w="534" w:type="dxa"/>
            <w:vMerge w:val="restart"/>
            <w:textDirection w:val="btLr"/>
          </w:tcPr>
          <w:p w14:paraId="2A2DA3E6" w14:textId="77777777" w:rsidR="004660D6" w:rsidRPr="005734B8" w:rsidRDefault="004660D6" w:rsidP="004660D6">
            <w:pPr>
              <w:pStyle w:val="ESTablebody"/>
              <w:jc w:val="center"/>
              <w:rPr>
                <w:rFonts w:ascii="Calibri" w:hAnsi="Calibri" w:cs="Calibri"/>
                <w:b/>
                <w:sz w:val="18"/>
              </w:rPr>
            </w:pPr>
            <w:r w:rsidRPr="005734B8">
              <w:rPr>
                <w:rFonts w:ascii="Calibri" w:hAnsi="Calibri" w:cs="Calibri"/>
                <w:b/>
                <w:sz w:val="18"/>
              </w:rPr>
              <w:lastRenderedPageBreak/>
              <w:t>Classification data</w:t>
            </w:r>
          </w:p>
        </w:tc>
        <w:tc>
          <w:tcPr>
            <w:tcW w:w="1276" w:type="dxa"/>
            <w:vAlign w:val="center"/>
          </w:tcPr>
          <w:p w14:paraId="33F589D2"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VPS 1–6 grades</w:t>
            </w:r>
          </w:p>
        </w:tc>
        <w:tc>
          <w:tcPr>
            <w:tcW w:w="867" w:type="dxa"/>
            <w:shd w:val="clear" w:color="auto" w:fill="F2F2F2" w:themeFill="background1" w:themeFillShade="F2"/>
            <w:vAlign w:val="center"/>
          </w:tcPr>
          <w:p w14:paraId="6DB4F9E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3,634</w:t>
            </w:r>
          </w:p>
        </w:tc>
        <w:tc>
          <w:tcPr>
            <w:tcW w:w="834" w:type="dxa"/>
            <w:shd w:val="clear" w:color="auto" w:fill="F2F2F2" w:themeFill="background1" w:themeFillShade="F2"/>
            <w:vAlign w:val="center"/>
          </w:tcPr>
          <w:p w14:paraId="52E41119"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3,441.4</w:t>
            </w:r>
          </w:p>
        </w:tc>
        <w:tc>
          <w:tcPr>
            <w:tcW w:w="900" w:type="dxa"/>
            <w:shd w:val="clear" w:color="auto" w:fill="F2F2F2" w:themeFill="background1" w:themeFillShade="F2"/>
            <w:vAlign w:val="center"/>
          </w:tcPr>
          <w:p w14:paraId="1270C16E"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2,321</w:t>
            </w:r>
          </w:p>
        </w:tc>
        <w:tc>
          <w:tcPr>
            <w:tcW w:w="867" w:type="dxa"/>
            <w:shd w:val="clear" w:color="auto" w:fill="F2F2F2" w:themeFill="background1" w:themeFillShade="F2"/>
            <w:vAlign w:val="center"/>
          </w:tcPr>
          <w:p w14:paraId="0AB9482B"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509</w:t>
            </w:r>
          </w:p>
        </w:tc>
        <w:tc>
          <w:tcPr>
            <w:tcW w:w="926" w:type="dxa"/>
            <w:shd w:val="clear" w:color="auto" w:fill="F2F2F2" w:themeFill="background1" w:themeFillShade="F2"/>
            <w:vAlign w:val="center"/>
          </w:tcPr>
          <w:p w14:paraId="01125DBC"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2,683.3</w:t>
            </w:r>
          </w:p>
        </w:tc>
        <w:tc>
          <w:tcPr>
            <w:tcW w:w="808" w:type="dxa"/>
            <w:shd w:val="clear" w:color="auto" w:fill="F2F2F2" w:themeFill="background1" w:themeFillShade="F2"/>
            <w:vAlign w:val="center"/>
          </w:tcPr>
          <w:p w14:paraId="38A2AD0B"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804</w:t>
            </w:r>
          </w:p>
        </w:tc>
        <w:tc>
          <w:tcPr>
            <w:tcW w:w="893" w:type="dxa"/>
            <w:shd w:val="clear" w:color="auto" w:fill="F2F2F2" w:themeFill="background1" w:themeFillShade="F2"/>
            <w:vAlign w:val="center"/>
          </w:tcPr>
          <w:p w14:paraId="53D55E3B"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758.1</w:t>
            </w:r>
          </w:p>
        </w:tc>
        <w:tc>
          <w:tcPr>
            <w:tcW w:w="842" w:type="dxa"/>
            <w:shd w:val="clear" w:color="auto" w:fill="FFFFFF" w:themeFill="background1"/>
            <w:vAlign w:val="center"/>
          </w:tcPr>
          <w:p w14:paraId="3B8CDD9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3,338</w:t>
            </w:r>
          </w:p>
        </w:tc>
        <w:tc>
          <w:tcPr>
            <w:tcW w:w="718" w:type="dxa"/>
            <w:shd w:val="clear" w:color="auto" w:fill="FFFFFF" w:themeFill="background1"/>
            <w:vAlign w:val="center"/>
          </w:tcPr>
          <w:p w14:paraId="261CDF3D"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3,161.4</w:t>
            </w:r>
          </w:p>
        </w:tc>
        <w:tc>
          <w:tcPr>
            <w:tcW w:w="1016" w:type="dxa"/>
            <w:shd w:val="clear" w:color="auto" w:fill="FFFFFF" w:themeFill="background1"/>
            <w:vAlign w:val="center"/>
          </w:tcPr>
          <w:p w14:paraId="3CACFFA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2,096</w:t>
            </w:r>
          </w:p>
        </w:tc>
        <w:tc>
          <w:tcPr>
            <w:tcW w:w="867" w:type="dxa"/>
            <w:shd w:val="clear" w:color="auto" w:fill="FFFFFF" w:themeFill="background1"/>
            <w:vAlign w:val="center"/>
          </w:tcPr>
          <w:p w14:paraId="53D8710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482</w:t>
            </w:r>
          </w:p>
        </w:tc>
        <w:tc>
          <w:tcPr>
            <w:tcW w:w="810" w:type="dxa"/>
            <w:shd w:val="clear" w:color="auto" w:fill="FFFFFF" w:themeFill="background1"/>
            <w:vAlign w:val="center"/>
          </w:tcPr>
          <w:p w14:paraId="3173E3D8"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2,442.8</w:t>
            </w:r>
          </w:p>
        </w:tc>
        <w:tc>
          <w:tcPr>
            <w:tcW w:w="924" w:type="dxa"/>
            <w:shd w:val="clear" w:color="auto" w:fill="FFFFFF" w:themeFill="background1"/>
            <w:vAlign w:val="center"/>
          </w:tcPr>
          <w:p w14:paraId="45F89CF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760</w:t>
            </w:r>
          </w:p>
        </w:tc>
        <w:tc>
          <w:tcPr>
            <w:tcW w:w="868" w:type="dxa"/>
            <w:shd w:val="clear" w:color="auto" w:fill="FFFFFF" w:themeFill="background1"/>
            <w:vAlign w:val="center"/>
          </w:tcPr>
          <w:p w14:paraId="6DA9FB0E"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718.6</w:t>
            </w:r>
          </w:p>
        </w:tc>
      </w:tr>
      <w:tr w:rsidR="005734B8" w:rsidRPr="005734B8" w14:paraId="2DAE9473" w14:textId="77777777" w:rsidTr="00CE133F">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07129E78" w14:textId="77777777" w:rsidR="004660D6" w:rsidRPr="005734B8" w:rsidRDefault="004660D6" w:rsidP="004660D6">
            <w:pPr>
              <w:pStyle w:val="ESTablebody"/>
              <w:jc w:val="center"/>
              <w:rPr>
                <w:rFonts w:ascii="Calibri" w:hAnsi="Calibri" w:cs="Calibri"/>
                <w:b/>
                <w:sz w:val="19"/>
                <w:szCs w:val="19"/>
              </w:rPr>
            </w:pPr>
          </w:p>
        </w:tc>
        <w:tc>
          <w:tcPr>
            <w:tcW w:w="1276" w:type="dxa"/>
            <w:vAlign w:val="center"/>
          </w:tcPr>
          <w:p w14:paraId="705619CA"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VPS 1</w:t>
            </w:r>
          </w:p>
        </w:tc>
        <w:tc>
          <w:tcPr>
            <w:tcW w:w="867" w:type="dxa"/>
            <w:shd w:val="clear" w:color="auto" w:fill="F2F2F2" w:themeFill="background1" w:themeFillShade="F2"/>
          </w:tcPr>
          <w:p w14:paraId="32283D1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27</w:t>
            </w:r>
          </w:p>
        </w:tc>
        <w:tc>
          <w:tcPr>
            <w:tcW w:w="834" w:type="dxa"/>
            <w:shd w:val="clear" w:color="auto" w:fill="F2F2F2" w:themeFill="background1" w:themeFillShade="F2"/>
          </w:tcPr>
          <w:p w14:paraId="4CBB713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25.5</w:t>
            </w:r>
          </w:p>
        </w:tc>
        <w:tc>
          <w:tcPr>
            <w:tcW w:w="900" w:type="dxa"/>
            <w:shd w:val="clear" w:color="auto" w:fill="F2F2F2" w:themeFill="background1" w:themeFillShade="F2"/>
          </w:tcPr>
          <w:p w14:paraId="4DF25199" w14:textId="5CD34DC4" w:rsidR="004660D6" w:rsidRPr="005734B8" w:rsidRDefault="002B5648"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w:t>
            </w:r>
          </w:p>
        </w:tc>
        <w:tc>
          <w:tcPr>
            <w:tcW w:w="867" w:type="dxa"/>
            <w:shd w:val="clear" w:color="auto" w:fill="F2F2F2" w:themeFill="background1" w:themeFillShade="F2"/>
          </w:tcPr>
          <w:p w14:paraId="64312A87" w14:textId="5F0A599F" w:rsidR="004660D6" w:rsidRPr="005734B8" w:rsidRDefault="002B5648"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w:t>
            </w:r>
          </w:p>
        </w:tc>
        <w:tc>
          <w:tcPr>
            <w:tcW w:w="926" w:type="dxa"/>
            <w:shd w:val="clear" w:color="auto" w:fill="F2F2F2" w:themeFill="background1" w:themeFillShade="F2"/>
          </w:tcPr>
          <w:p w14:paraId="4D3975FA" w14:textId="126CC5F5" w:rsidR="004660D6" w:rsidRPr="005734B8" w:rsidRDefault="002B5648"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w:t>
            </w:r>
          </w:p>
        </w:tc>
        <w:tc>
          <w:tcPr>
            <w:tcW w:w="808" w:type="dxa"/>
            <w:shd w:val="clear" w:color="auto" w:fill="F2F2F2" w:themeFill="background1" w:themeFillShade="F2"/>
          </w:tcPr>
          <w:p w14:paraId="306FD81B"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27</w:t>
            </w:r>
          </w:p>
        </w:tc>
        <w:tc>
          <w:tcPr>
            <w:tcW w:w="893" w:type="dxa"/>
            <w:shd w:val="clear" w:color="auto" w:fill="F2F2F2" w:themeFill="background1" w:themeFillShade="F2"/>
          </w:tcPr>
          <w:p w14:paraId="4DC246F2"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25.5</w:t>
            </w:r>
          </w:p>
        </w:tc>
        <w:tc>
          <w:tcPr>
            <w:tcW w:w="842" w:type="dxa"/>
            <w:shd w:val="clear" w:color="auto" w:fill="FFFFFF" w:themeFill="background1"/>
            <w:vAlign w:val="center"/>
          </w:tcPr>
          <w:p w14:paraId="3128822A"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w:t>
            </w:r>
          </w:p>
        </w:tc>
        <w:tc>
          <w:tcPr>
            <w:tcW w:w="718" w:type="dxa"/>
            <w:shd w:val="clear" w:color="auto" w:fill="FFFFFF" w:themeFill="background1"/>
            <w:vAlign w:val="center"/>
          </w:tcPr>
          <w:p w14:paraId="7A164D56"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9.0</w:t>
            </w:r>
          </w:p>
        </w:tc>
        <w:tc>
          <w:tcPr>
            <w:tcW w:w="1016" w:type="dxa"/>
            <w:shd w:val="clear" w:color="auto" w:fill="FFFFFF" w:themeFill="background1"/>
          </w:tcPr>
          <w:p w14:paraId="44A1D267" w14:textId="464F0422" w:rsidR="004660D6" w:rsidRPr="005734B8" w:rsidRDefault="002B5648"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w:t>
            </w:r>
          </w:p>
        </w:tc>
        <w:tc>
          <w:tcPr>
            <w:tcW w:w="867" w:type="dxa"/>
            <w:shd w:val="clear" w:color="auto" w:fill="FFFFFF" w:themeFill="background1"/>
          </w:tcPr>
          <w:p w14:paraId="0F11A47E" w14:textId="1F4145F6" w:rsidR="004660D6" w:rsidRPr="005734B8" w:rsidRDefault="002B5648"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w:t>
            </w:r>
          </w:p>
        </w:tc>
        <w:tc>
          <w:tcPr>
            <w:tcW w:w="810" w:type="dxa"/>
            <w:shd w:val="clear" w:color="auto" w:fill="FFFFFF" w:themeFill="background1"/>
          </w:tcPr>
          <w:p w14:paraId="32E03EE8" w14:textId="0CDB6BDA" w:rsidR="004660D6" w:rsidRPr="005734B8" w:rsidRDefault="002B5648"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w:t>
            </w:r>
          </w:p>
        </w:tc>
        <w:tc>
          <w:tcPr>
            <w:tcW w:w="924" w:type="dxa"/>
            <w:shd w:val="clear" w:color="auto" w:fill="FFFFFF" w:themeFill="background1"/>
            <w:vAlign w:val="center"/>
          </w:tcPr>
          <w:p w14:paraId="5FDA088C"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w:t>
            </w:r>
          </w:p>
        </w:tc>
        <w:tc>
          <w:tcPr>
            <w:tcW w:w="868" w:type="dxa"/>
            <w:shd w:val="clear" w:color="auto" w:fill="FFFFFF" w:themeFill="background1"/>
            <w:vAlign w:val="center"/>
          </w:tcPr>
          <w:p w14:paraId="4A86BA86"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9.0</w:t>
            </w:r>
          </w:p>
        </w:tc>
      </w:tr>
      <w:tr w:rsidR="004660D6" w:rsidRPr="005734B8" w14:paraId="14E330AF" w14:textId="77777777" w:rsidTr="004660D6">
        <w:tc>
          <w:tcPr>
            <w:cnfStyle w:val="001000000000" w:firstRow="0" w:lastRow="0" w:firstColumn="1" w:lastColumn="0" w:oddVBand="0" w:evenVBand="0" w:oddHBand="0" w:evenHBand="0" w:firstRowFirstColumn="0" w:firstRowLastColumn="0" w:lastRowFirstColumn="0" w:lastRowLastColumn="0"/>
            <w:tcW w:w="534" w:type="dxa"/>
            <w:vMerge/>
          </w:tcPr>
          <w:p w14:paraId="1D81DD97" w14:textId="77777777" w:rsidR="004660D6" w:rsidRPr="005734B8" w:rsidRDefault="004660D6" w:rsidP="004660D6">
            <w:pPr>
              <w:pStyle w:val="ESTablebody"/>
              <w:jc w:val="center"/>
              <w:rPr>
                <w:rFonts w:ascii="Calibri" w:hAnsi="Calibri" w:cs="Calibri"/>
                <w:b/>
                <w:sz w:val="19"/>
                <w:szCs w:val="19"/>
              </w:rPr>
            </w:pPr>
          </w:p>
        </w:tc>
        <w:tc>
          <w:tcPr>
            <w:tcW w:w="1276" w:type="dxa"/>
            <w:vAlign w:val="center"/>
          </w:tcPr>
          <w:p w14:paraId="1A1EAD38"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VPS 2</w:t>
            </w:r>
          </w:p>
        </w:tc>
        <w:tc>
          <w:tcPr>
            <w:tcW w:w="867" w:type="dxa"/>
            <w:shd w:val="clear" w:color="auto" w:fill="F2F2F2" w:themeFill="background1" w:themeFillShade="F2"/>
          </w:tcPr>
          <w:p w14:paraId="25E7FC2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114</w:t>
            </w:r>
          </w:p>
        </w:tc>
        <w:tc>
          <w:tcPr>
            <w:tcW w:w="834" w:type="dxa"/>
            <w:shd w:val="clear" w:color="auto" w:fill="F2F2F2" w:themeFill="background1" w:themeFillShade="F2"/>
          </w:tcPr>
          <w:p w14:paraId="4FC0866F"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99.2</w:t>
            </w:r>
          </w:p>
        </w:tc>
        <w:tc>
          <w:tcPr>
            <w:tcW w:w="900" w:type="dxa"/>
            <w:shd w:val="clear" w:color="auto" w:fill="F2F2F2" w:themeFill="background1" w:themeFillShade="F2"/>
          </w:tcPr>
          <w:p w14:paraId="27F2214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70</w:t>
            </w:r>
          </w:p>
        </w:tc>
        <w:tc>
          <w:tcPr>
            <w:tcW w:w="867" w:type="dxa"/>
            <w:shd w:val="clear" w:color="auto" w:fill="F2F2F2" w:themeFill="background1" w:themeFillShade="F2"/>
          </w:tcPr>
          <w:p w14:paraId="0EF24E5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17</w:t>
            </w:r>
          </w:p>
        </w:tc>
        <w:tc>
          <w:tcPr>
            <w:tcW w:w="926" w:type="dxa"/>
            <w:shd w:val="clear" w:color="auto" w:fill="F2F2F2" w:themeFill="background1" w:themeFillShade="F2"/>
          </w:tcPr>
          <w:p w14:paraId="00B370DE"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80.6</w:t>
            </w:r>
          </w:p>
        </w:tc>
        <w:tc>
          <w:tcPr>
            <w:tcW w:w="808" w:type="dxa"/>
            <w:shd w:val="clear" w:color="auto" w:fill="F2F2F2" w:themeFill="background1" w:themeFillShade="F2"/>
          </w:tcPr>
          <w:p w14:paraId="7EFD964A"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27</w:t>
            </w:r>
          </w:p>
        </w:tc>
        <w:tc>
          <w:tcPr>
            <w:tcW w:w="893" w:type="dxa"/>
            <w:shd w:val="clear" w:color="auto" w:fill="F2F2F2" w:themeFill="background1" w:themeFillShade="F2"/>
          </w:tcPr>
          <w:p w14:paraId="617B841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18.7</w:t>
            </w:r>
          </w:p>
        </w:tc>
        <w:tc>
          <w:tcPr>
            <w:tcW w:w="842" w:type="dxa"/>
            <w:shd w:val="clear" w:color="auto" w:fill="FFFFFF" w:themeFill="background1"/>
            <w:vAlign w:val="center"/>
          </w:tcPr>
          <w:p w14:paraId="5A86C78F"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126</w:t>
            </w:r>
          </w:p>
        </w:tc>
        <w:tc>
          <w:tcPr>
            <w:tcW w:w="718" w:type="dxa"/>
            <w:shd w:val="clear" w:color="auto" w:fill="FFFFFF" w:themeFill="background1"/>
            <w:vAlign w:val="center"/>
          </w:tcPr>
          <w:p w14:paraId="7FA2A00C"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109.4</w:t>
            </w:r>
          </w:p>
        </w:tc>
        <w:tc>
          <w:tcPr>
            <w:tcW w:w="1016" w:type="dxa"/>
            <w:shd w:val="clear" w:color="auto" w:fill="FFFFFF" w:themeFill="background1"/>
            <w:vAlign w:val="center"/>
          </w:tcPr>
          <w:p w14:paraId="1CE2EA2B"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79</w:t>
            </w:r>
          </w:p>
        </w:tc>
        <w:tc>
          <w:tcPr>
            <w:tcW w:w="867" w:type="dxa"/>
            <w:shd w:val="clear" w:color="auto" w:fill="FFFFFF" w:themeFill="background1"/>
            <w:vAlign w:val="center"/>
          </w:tcPr>
          <w:p w14:paraId="483E263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22</w:t>
            </w:r>
          </w:p>
        </w:tc>
        <w:tc>
          <w:tcPr>
            <w:tcW w:w="810" w:type="dxa"/>
            <w:shd w:val="clear" w:color="auto" w:fill="FFFFFF" w:themeFill="background1"/>
            <w:vAlign w:val="center"/>
          </w:tcPr>
          <w:p w14:paraId="134C3D4F"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93.4</w:t>
            </w:r>
          </w:p>
        </w:tc>
        <w:tc>
          <w:tcPr>
            <w:tcW w:w="924" w:type="dxa"/>
            <w:shd w:val="clear" w:color="auto" w:fill="FFFFFF" w:themeFill="background1"/>
            <w:vAlign w:val="center"/>
          </w:tcPr>
          <w:p w14:paraId="6ED8BDD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25</w:t>
            </w:r>
          </w:p>
        </w:tc>
        <w:tc>
          <w:tcPr>
            <w:tcW w:w="868" w:type="dxa"/>
            <w:shd w:val="clear" w:color="auto" w:fill="FFFFFF" w:themeFill="background1"/>
            <w:vAlign w:val="center"/>
          </w:tcPr>
          <w:p w14:paraId="0BF6C4A9"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16.0</w:t>
            </w:r>
          </w:p>
        </w:tc>
      </w:tr>
      <w:tr w:rsidR="004660D6" w:rsidRPr="005734B8" w14:paraId="151EDD5E" w14:textId="77777777" w:rsidTr="004660D6">
        <w:tc>
          <w:tcPr>
            <w:cnfStyle w:val="001000000000" w:firstRow="0" w:lastRow="0" w:firstColumn="1" w:lastColumn="0" w:oddVBand="0" w:evenVBand="0" w:oddHBand="0" w:evenHBand="0" w:firstRowFirstColumn="0" w:firstRowLastColumn="0" w:lastRowFirstColumn="0" w:lastRowLastColumn="0"/>
            <w:tcW w:w="534" w:type="dxa"/>
            <w:vMerge/>
          </w:tcPr>
          <w:p w14:paraId="6ACF6045" w14:textId="77777777" w:rsidR="004660D6" w:rsidRPr="005734B8" w:rsidRDefault="004660D6" w:rsidP="004660D6">
            <w:pPr>
              <w:pStyle w:val="ESTablebody"/>
              <w:jc w:val="center"/>
              <w:rPr>
                <w:rFonts w:ascii="Calibri" w:hAnsi="Calibri" w:cs="Calibri"/>
                <w:b/>
                <w:sz w:val="19"/>
                <w:szCs w:val="19"/>
              </w:rPr>
            </w:pPr>
          </w:p>
        </w:tc>
        <w:tc>
          <w:tcPr>
            <w:tcW w:w="1276" w:type="dxa"/>
            <w:vAlign w:val="center"/>
          </w:tcPr>
          <w:p w14:paraId="30AD27D6"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VPS 3</w:t>
            </w:r>
          </w:p>
        </w:tc>
        <w:tc>
          <w:tcPr>
            <w:tcW w:w="867" w:type="dxa"/>
            <w:shd w:val="clear" w:color="auto" w:fill="F2F2F2" w:themeFill="background1" w:themeFillShade="F2"/>
          </w:tcPr>
          <w:p w14:paraId="7DDDFE7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460</w:t>
            </w:r>
          </w:p>
        </w:tc>
        <w:tc>
          <w:tcPr>
            <w:tcW w:w="834" w:type="dxa"/>
            <w:shd w:val="clear" w:color="auto" w:fill="F2F2F2" w:themeFill="background1" w:themeFillShade="F2"/>
          </w:tcPr>
          <w:p w14:paraId="48778D72"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433.3</w:t>
            </w:r>
          </w:p>
        </w:tc>
        <w:tc>
          <w:tcPr>
            <w:tcW w:w="900" w:type="dxa"/>
            <w:shd w:val="clear" w:color="auto" w:fill="F2F2F2" w:themeFill="background1" w:themeFillShade="F2"/>
          </w:tcPr>
          <w:p w14:paraId="2D7A1812"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323</w:t>
            </w:r>
          </w:p>
        </w:tc>
        <w:tc>
          <w:tcPr>
            <w:tcW w:w="867" w:type="dxa"/>
            <w:shd w:val="clear" w:color="auto" w:fill="F2F2F2" w:themeFill="background1" w:themeFillShade="F2"/>
          </w:tcPr>
          <w:p w14:paraId="3FFA3338"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66</w:t>
            </w:r>
          </w:p>
        </w:tc>
        <w:tc>
          <w:tcPr>
            <w:tcW w:w="926" w:type="dxa"/>
            <w:shd w:val="clear" w:color="auto" w:fill="F2F2F2" w:themeFill="background1" w:themeFillShade="F2"/>
          </w:tcPr>
          <w:p w14:paraId="7C8BCC86"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368.0</w:t>
            </w:r>
          </w:p>
        </w:tc>
        <w:tc>
          <w:tcPr>
            <w:tcW w:w="808" w:type="dxa"/>
            <w:shd w:val="clear" w:color="auto" w:fill="F2F2F2" w:themeFill="background1" w:themeFillShade="F2"/>
          </w:tcPr>
          <w:p w14:paraId="1A32211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71</w:t>
            </w:r>
          </w:p>
        </w:tc>
        <w:tc>
          <w:tcPr>
            <w:tcW w:w="893" w:type="dxa"/>
            <w:shd w:val="clear" w:color="auto" w:fill="F2F2F2" w:themeFill="background1" w:themeFillShade="F2"/>
          </w:tcPr>
          <w:p w14:paraId="102B9B1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65.4</w:t>
            </w:r>
          </w:p>
        </w:tc>
        <w:tc>
          <w:tcPr>
            <w:tcW w:w="842" w:type="dxa"/>
            <w:shd w:val="clear" w:color="auto" w:fill="FFFFFF" w:themeFill="background1"/>
            <w:vAlign w:val="center"/>
          </w:tcPr>
          <w:p w14:paraId="73E8816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409</w:t>
            </w:r>
          </w:p>
        </w:tc>
        <w:tc>
          <w:tcPr>
            <w:tcW w:w="718" w:type="dxa"/>
            <w:shd w:val="clear" w:color="auto" w:fill="FFFFFF" w:themeFill="background1"/>
            <w:vAlign w:val="center"/>
          </w:tcPr>
          <w:p w14:paraId="39B8A53B"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381.5</w:t>
            </w:r>
          </w:p>
        </w:tc>
        <w:tc>
          <w:tcPr>
            <w:tcW w:w="1016" w:type="dxa"/>
            <w:shd w:val="clear" w:color="auto" w:fill="FFFFFF" w:themeFill="background1"/>
            <w:vAlign w:val="center"/>
          </w:tcPr>
          <w:p w14:paraId="7BA7A26B"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257</w:t>
            </w:r>
          </w:p>
        </w:tc>
        <w:tc>
          <w:tcPr>
            <w:tcW w:w="867" w:type="dxa"/>
            <w:shd w:val="clear" w:color="auto" w:fill="FFFFFF" w:themeFill="background1"/>
            <w:vAlign w:val="center"/>
          </w:tcPr>
          <w:p w14:paraId="690EE8D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68</w:t>
            </w:r>
          </w:p>
        </w:tc>
        <w:tc>
          <w:tcPr>
            <w:tcW w:w="810" w:type="dxa"/>
            <w:shd w:val="clear" w:color="auto" w:fill="FFFFFF" w:themeFill="background1"/>
            <w:vAlign w:val="center"/>
          </w:tcPr>
          <w:p w14:paraId="7C07779D"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304.5</w:t>
            </w:r>
          </w:p>
        </w:tc>
        <w:tc>
          <w:tcPr>
            <w:tcW w:w="924" w:type="dxa"/>
            <w:shd w:val="clear" w:color="auto" w:fill="FFFFFF" w:themeFill="background1"/>
            <w:vAlign w:val="center"/>
          </w:tcPr>
          <w:p w14:paraId="4584B75F"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84</w:t>
            </w:r>
          </w:p>
        </w:tc>
        <w:tc>
          <w:tcPr>
            <w:tcW w:w="868" w:type="dxa"/>
            <w:shd w:val="clear" w:color="auto" w:fill="FFFFFF" w:themeFill="background1"/>
            <w:vAlign w:val="center"/>
          </w:tcPr>
          <w:p w14:paraId="0F7BA2BD"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77.0</w:t>
            </w:r>
          </w:p>
        </w:tc>
      </w:tr>
      <w:tr w:rsidR="004660D6" w:rsidRPr="005734B8" w14:paraId="38C0191E" w14:textId="77777777" w:rsidTr="004660D6">
        <w:tc>
          <w:tcPr>
            <w:cnfStyle w:val="001000000000" w:firstRow="0" w:lastRow="0" w:firstColumn="1" w:lastColumn="0" w:oddVBand="0" w:evenVBand="0" w:oddHBand="0" w:evenHBand="0" w:firstRowFirstColumn="0" w:firstRowLastColumn="0" w:lastRowFirstColumn="0" w:lastRowLastColumn="0"/>
            <w:tcW w:w="534" w:type="dxa"/>
            <w:vMerge/>
          </w:tcPr>
          <w:p w14:paraId="5C1F152C" w14:textId="77777777" w:rsidR="004660D6" w:rsidRPr="005734B8" w:rsidRDefault="004660D6" w:rsidP="004660D6">
            <w:pPr>
              <w:pStyle w:val="ESTablebody"/>
              <w:jc w:val="center"/>
              <w:rPr>
                <w:rFonts w:ascii="Calibri" w:hAnsi="Calibri" w:cs="Calibri"/>
                <w:b/>
                <w:sz w:val="19"/>
                <w:szCs w:val="19"/>
              </w:rPr>
            </w:pPr>
          </w:p>
        </w:tc>
        <w:tc>
          <w:tcPr>
            <w:tcW w:w="1276" w:type="dxa"/>
            <w:vAlign w:val="center"/>
          </w:tcPr>
          <w:p w14:paraId="2F7C1167"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VPS 4</w:t>
            </w:r>
          </w:p>
        </w:tc>
        <w:tc>
          <w:tcPr>
            <w:tcW w:w="867" w:type="dxa"/>
            <w:shd w:val="clear" w:color="auto" w:fill="F2F2F2" w:themeFill="background1" w:themeFillShade="F2"/>
          </w:tcPr>
          <w:p w14:paraId="45B45CC8"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660</w:t>
            </w:r>
          </w:p>
        </w:tc>
        <w:tc>
          <w:tcPr>
            <w:tcW w:w="834" w:type="dxa"/>
            <w:shd w:val="clear" w:color="auto" w:fill="F2F2F2" w:themeFill="background1" w:themeFillShade="F2"/>
          </w:tcPr>
          <w:p w14:paraId="33583F9F"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633.1</w:t>
            </w:r>
          </w:p>
        </w:tc>
        <w:tc>
          <w:tcPr>
            <w:tcW w:w="900" w:type="dxa"/>
            <w:shd w:val="clear" w:color="auto" w:fill="F2F2F2" w:themeFill="background1" w:themeFillShade="F2"/>
          </w:tcPr>
          <w:p w14:paraId="5B8D7DDE"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439</w:t>
            </w:r>
          </w:p>
        </w:tc>
        <w:tc>
          <w:tcPr>
            <w:tcW w:w="867" w:type="dxa"/>
            <w:shd w:val="clear" w:color="auto" w:fill="F2F2F2" w:themeFill="background1" w:themeFillShade="F2"/>
          </w:tcPr>
          <w:p w14:paraId="5E2295F2"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81</w:t>
            </w:r>
          </w:p>
        </w:tc>
        <w:tc>
          <w:tcPr>
            <w:tcW w:w="926" w:type="dxa"/>
            <w:shd w:val="clear" w:color="auto" w:fill="F2F2F2" w:themeFill="background1" w:themeFillShade="F2"/>
          </w:tcPr>
          <w:p w14:paraId="6FDF5F1F"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495.8</w:t>
            </w:r>
          </w:p>
        </w:tc>
        <w:tc>
          <w:tcPr>
            <w:tcW w:w="808" w:type="dxa"/>
            <w:shd w:val="clear" w:color="auto" w:fill="F2F2F2" w:themeFill="background1" w:themeFillShade="F2"/>
          </w:tcPr>
          <w:p w14:paraId="67510BEA"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140</w:t>
            </w:r>
          </w:p>
        </w:tc>
        <w:tc>
          <w:tcPr>
            <w:tcW w:w="893" w:type="dxa"/>
            <w:shd w:val="clear" w:color="auto" w:fill="F2F2F2" w:themeFill="background1" w:themeFillShade="F2"/>
          </w:tcPr>
          <w:p w14:paraId="2B430054"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137.2</w:t>
            </w:r>
          </w:p>
        </w:tc>
        <w:tc>
          <w:tcPr>
            <w:tcW w:w="842" w:type="dxa"/>
            <w:shd w:val="clear" w:color="auto" w:fill="FFFFFF" w:themeFill="background1"/>
            <w:vAlign w:val="center"/>
          </w:tcPr>
          <w:p w14:paraId="447054B5"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659</w:t>
            </w:r>
          </w:p>
        </w:tc>
        <w:tc>
          <w:tcPr>
            <w:tcW w:w="718" w:type="dxa"/>
            <w:shd w:val="clear" w:color="auto" w:fill="FFFFFF" w:themeFill="background1"/>
            <w:vAlign w:val="center"/>
          </w:tcPr>
          <w:p w14:paraId="246E7474"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626.5</w:t>
            </w:r>
          </w:p>
        </w:tc>
        <w:tc>
          <w:tcPr>
            <w:tcW w:w="1016" w:type="dxa"/>
            <w:shd w:val="clear" w:color="auto" w:fill="FFFFFF" w:themeFill="background1"/>
            <w:vAlign w:val="center"/>
          </w:tcPr>
          <w:p w14:paraId="3C7651AB"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414</w:t>
            </w:r>
          </w:p>
        </w:tc>
        <w:tc>
          <w:tcPr>
            <w:tcW w:w="867" w:type="dxa"/>
            <w:shd w:val="clear" w:color="auto" w:fill="FFFFFF" w:themeFill="background1"/>
            <w:vAlign w:val="center"/>
          </w:tcPr>
          <w:p w14:paraId="2227EA8F"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87</w:t>
            </w:r>
          </w:p>
        </w:tc>
        <w:tc>
          <w:tcPr>
            <w:tcW w:w="810" w:type="dxa"/>
            <w:shd w:val="clear" w:color="auto" w:fill="FFFFFF" w:themeFill="background1"/>
            <w:vAlign w:val="center"/>
          </w:tcPr>
          <w:p w14:paraId="705E36D4"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474.4</w:t>
            </w:r>
          </w:p>
        </w:tc>
        <w:tc>
          <w:tcPr>
            <w:tcW w:w="924" w:type="dxa"/>
            <w:shd w:val="clear" w:color="auto" w:fill="FFFFFF" w:themeFill="background1"/>
            <w:vAlign w:val="center"/>
          </w:tcPr>
          <w:p w14:paraId="696A5CC6"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158</w:t>
            </w:r>
          </w:p>
        </w:tc>
        <w:tc>
          <w:tcPr>
            <w:tcW w:w="868" w:type="dxa"/>
            <w:shd w:val="clear" w:color="auto" w:fill="FFFFFF" w:themeFill="background1"/>
            <w:vAlign w:val="center"/>
          </w:tcPr>
          <w:p w14:paraId="3075F83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152.1</w:t>
            </w:r>
          </w:p>
        </w:tc>
      </w:tr>
      <w:tr w:rsidR="004660D6" w:rsidRPr="005734B8" w14:paraId="0D1A5E86" w14:textId="77777777" w:rsidTr="004660D6">
        <w:tc>
          <w:tcPr>
            <w:cnfStyle w:val="001000000000" w:firstRow="0" w:lastRow="0" w:firstColumn="1" w:lastColumn="0" w:oddVBand="0" w:evenVBand="0" w:oddHBand="0" w:evenHBand="0" w:firstRowFirstColumn="0" w:firstRowLastColumn="0" w:lastRowFirstColumn="0" w:lastRowLastColumn="0"/>
            <w:tcW w:w="534" w:type="dxa"/>
            <w:vMerge/>
          </w:tcPr>
          <w:p w14:paraId="3C906426" w14:textId="77777777" w:rsidR="004660D6" w:rsidRPr="005734B8" w:rsidRDefault="004660D6" w:rsidP="004660D6">
            <w:pPr>
              <w:pStyle w:val="ESTablebody"/>
              <w:jc w:val="center"/>
              <w:rPr>
                <w:rFonts w:ascii="Calibri" w:hAnsi="Calibri" w:cs="Calibri"/>
                <w:b/>
                <w:sz w:val="19"/>
                <w:szCs w:val="19"/>
              </w:rPr>
            </w:pPr>
          </w:p>
        </w:tc>
        <w:tc>
          <w:tcPr>
            <w:tcW w:w="1276" w:type="dxa"/>
            <w:vAlign w:val="center"/>
          </w:tcPr>
          <w:p w14:paraId="0A5ECDE4"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VPS 5</w:t>
            </w:r>
          </w:p>
        </w:tc>
        <w:tc>
          <w:tcPr>
            <w:tcW w:w="867" w:type="dxa"/>
            <w:shd w:val="clear" w:color="auto" w:fill="F2F2F2" w:themeFill="background1" w:themeFillShade="F2"/>
          </w:tcPr>
          <w:p w14:paraId="720D4D4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1,585</w:t>
            </w:r>
          </w:p>
        </w:tc>
        <w:tc>
          <w:tcPr>
            <w:tcW w:w="834" w:type="dxa"/>
            <w:shd w:val="clear" w:color="auto" w:fill="F2F2F2" w:themeFill="background1" w:themeFillShade="F2"/>
          </w:tcPr>
          <w:p w14:paraId="0359EE5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1,488.9</w:t>
            </w:r>
          </w:p>
        </w:tc>
        <w:tc>
          <w:tcPr>
            <w:tcW w:w="900" w:type="dxa"/>
            <w:shd w:val="clear" w:color="auto" w:fill="F2F2F2" w:themeFill="background1" w:themeFillShade="F2"/>
          </w:tcPr>
          <w:p w14:paraId="2C1941C5"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920</w:t>
            </w:r>
          </w:p>
        </w:tc>
        <w:tc>
          <w:tcPr>
            <w:tcW w:w="867" w:type="dxa"/>
            <w:shd w:val="clear" w:color="auto" w:fill="F2F2F2" w:themeFill="background1" w:themeFillShade="F2"/>
          </w:tcPr>
          <w:p w14:paraId="5FFCE4F4"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258</w:t>
            </w:r>
          </w:p>
        </w:tc>
        <w:tc>
          <w:tcPr>
            <w:tcW w:w="926" w:type="dxa"/>
            <w:shd w:val="clear" w:color="auto" w:fill="F2F2F2" w:themeFill="background1" w:themeFillShade="F2"/>
          </w:tcPr>
          <w:p w14:paraId="03E83BF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1,103.1</w:t>
            </w:r>
          </w:p>
        </w:tc>
        <w:tc>
          <w:tcPr>
            <w:tcW w:w="808" w:type="dxa"/>
            <w:shd w:val="clear" w:color="auto" w:fill="F2F2F2" w:themeFill="background1" w:themeFillShade="F2"/>
          </w:tcPr>
          <w:p w14:paraId="7F500AC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407</w:t>
            </w:r>
          </w:p>
        </w:tc>
        <w:tc>
          <w:tcPr>
            <w:tcW w:w="893" w:type="dxa"/>
            <w:shd w:val="clear" w:color="auto" w:fill="F2F2F2" w:themeFill="background1" w:themeFillShade="F2"/>
          </w:tcPr>
          <w:p w14:paraId="3CB95A2B"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385.9</w:t>
            </w:r>
          </w:p>
        </w:tc>
        <w:tc>
          <w:tcPr>
            <w:tcW w:w="842" w:type="dxa"/>
            <w:shd w:val="clear" w:color="auto" w:fill="FFFFFF" w:themeFill="background1"/>
            <w:vAlign w:val="center"/>
          </w:tcPr>
          <w:p w14:paraId="2DC4E52F"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1,405</w:t>
            </w:r>
          </w:p>
        </w:tc>
        <w:tc>
          <w:tcPr>
            <w:tcW w:w="718" w:type="dxa"/>
            <w:shd w:val="clear" w:color="auto" w:fill="FFFFFF" w:themeFill="background1"/>
            <w:vAlign w:val="center"/>
          </w:tcPr>
          <w:p w14:paraId="7599137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1,331.2</w:t>
            </w:r>
          </w:p>
        </w:tc>
        <w:tc>
          <w:tcPr>
            <w:tcW w:w="1016" w:type="dxa"/>
            <w:shd w:val="clear" w:color="auto" w:fill="FFFFFF" w:themeFill="background1"/>
            <w:vAlign w:val="center"/>
          </w:tcPr>
          <w:p w14:paraId="0C8BA7F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837</w:t>
            </w:r>
          </w:p>
        </w:tc>
        <w:tc>
          <w:tcPr>
            <w:tcW w:w="867" w:type="dxa"/>
            <w:shd w:val="clear" w:color="auto" w:fill="FFFFFF" w:themeFill="background1"/>
            <w:vAlign w:val="center"/>
          </w:tcPr>
          <w:p w14:paraId="64B6DD48"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215</w:t>
            </w:r>
          </w:p>
        </w:tc>
        <w:tc>
          <w:tcPr>
            <w:tcW w:w="810" w:type="dxa"/>
            <w:shd w:val="clear" w:color="auto" w:fill="FFFFFF" w:themeFill="background1"/>
            <w:vAlign w:val="center"/>
          </w:tcPr>
          <w:p w14:paraId="56540259"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992.5</w:t>
            </w:r>
          </w:p>
        </w:tc>
        <w:tc>
          <w:tcPr>
            <w:tcW w:w="924" w:type="dxa"/>
            <w:shd w:val="clear" w:color="auto" w:fill="FFFFFF" w:themeFill="background1"/>
            <w:vAlign w:val="center"/>
          </w:tcPr>
          <w:p w14:paraId="6FEAFF7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353</w:t>
            </w:r>
          </w:p>
        </w:tc>
        <w:tc>
          <w:tcPr>
            <w:tcW w:w="868" w:type="dxa"/>
            <w:shd w:val="clear" w:color="auto" w:fill="FFFFFF" w:themeFill="background1"/>
            <w:vAlign w:val="center"/>
          </w:tcPr>
          <w:p w14:paraId="2556C6EE"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338.7</w:t>
            </w:r>
          </w:p>
        </w:tc>
      </w:tr>
      <w:tr w:rsidR="004660D6" w:rsidRPr="005734B8" w14:paraId="7053BB9E" w14:textId="77777777" w:rsidTr="004660D6">
        <w:tc>
          <w:tcPr>
            <w:cnfStyle w:val="001000000000" w:firstRow="0" w:lastRow="0" w:firstColumn="1" w:lastColumn="0" w:oddVBand="0" w:evenVBand="0" w:oddHBand="0" w:evenHBand="0" w:firstRowFirstColumn="0" w:firstRowLastColumn="0" w:lastRowFirstColumn="0" w:lastRowLastColumn="0"/>
            <w:tcW w:w="534" w:type="dxa"/>
            <w:vMerge/>
          </w:tcPr>
          <w:p w14:paraId="47A8E7C9" w14:textId="77777777" w:rsidR="004660D6" w:rsidRPr="005734B8" w:rsidRDefault="004660D6" w:rsidP="004660D6">
            <w:pPr>
              <w:pStyle w:val="ESTablebody"/>
              <w:jc w:val="center"/>
              <w:rPr>
                <w:rFonts w:ascii="Calibri" w:hAnsi="Calibri" w:cs="Calibri"/>
                <w:b/>
                <w:sz w:val="19"/>
                <w:szCs w:val="19"/>
              </w:rPr>
            </w:pPr>
          </w:p>
        </w:tc>
        <w:tc>
          <w:tcPr>
            <w:tcW w:w="1276" w:type="dxa"/>
            <w:vAlign w:val="center"/>
          </w:tcPr>
          <w:p w14:paraId="35D0F132"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VPS 6</w:t>
            </w:r>
          </w:p>
        </w:tc>
        <w:tc>
          <w:tcPr>
            <w:tcW w:w="867" w:type="dxa"/>
            <w:shd w:val="clear" w:color="auto" w:fill="F2F2F2" w:themeFill="background1" w:themeFillShade="F2"/>
          </w:tcPr>
          <w:p w14:paraId="2BC1E99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788</w:t>
            </w:r>
          </w:p>
        </w:tc>
        <w:tc>
          <w:tcPr>
            <w:tcW w:w="834" w:type="dxa"/>
            <w:shd w:val="clear" w:color="auto" w:fill="F2F2F2" w:themeFill="background1" w:themeFillShade="F2"/>
          </w:tcPr>
          <w:p w14:paraId="492A8125"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761.3</w:t>
            </w:r>
          </w:p>
        </w:tc>
        <w:tc>
          <w:tcPr>
            <w:tcW w:w="900" w:type="dxa"/>
            <w:shd w:val="clear" w:color="auto" w:fill="F2F2F2" w:themeFill="background1" w:themeFillShade="F2"/>
          </w:tcPr>
          <w:p w14:paraId="7EA952FC"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569</w:t>
            </w:r>
          </w:p>
        </w:tc>
        <w:tc>
          <w:tcPr>
            <w:tcW w:w="867" w:type="dxa"/>
            <w:shd w:val="clear" w:color="auto" w:fill="F2F2F2" w:themeFill="background1" w:themeFillShade="F2"/>
          </w:tcPr>
          <w:p w14:paraId="40E198FD"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87</w:t>
            </w:r>
          </w:p>
        </w:tc>
        <w:tc>
          <w:tcPr>
            <w:tcW w:w="926" w:type="dxa"/>
            <w:shd w:val="clear" w:color="auto" w:fill="F2F2F2" w:themeFill="background1" w:themeFillShade="F2"/>
          </w:tcPr>
          <w:p w14:paraId="29B6FD19"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5734B8">
              <w:rPr>
                <w:rFonts w:ascii="Calibri" w:hAnsi="Calibri" w:cs="Calibri"/>
                <w:sz w:val="16"/>
                <w:szCs w:val="16"/>
              </w:rPr>
              <w:t>635.8</w:t>
            </w:r>
          </w:p>
        </w:tc>
        <w:tc>
          <w:tcPr>
            <w:tcW w:w="808" w:type="dxa"/>
            <w:shd w:val="clear" w:color="auto" w:fill="F2F2F2" w:themeFill="background1" w:themeFillShade="F2"/>
          </w:tcPr>
          <w:p w14:paraId="6C18841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132</w:t>
            </w:r>
          </w:p>
        </w:tc>
        <w:tc>
          <w:tcPr>
            <w:tcW w:w="893" w:type="dxa"/>
            <w:shd w:val="clear" w:color="auto" w:fill="F2F2F2" w:themeFill="background1" w:themeFillShade="F2"/>
          </w:tcPr>
          <w:p w14:paraId="039068A9"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125.5</w:t>
            </w:r>
          </w:p>
        </w:tc>
        <w:tc>
          <w:tcPr>
            <w:tcW w:w="842" w:type="dxa"/>
            <w:shd w:val="clear" w:color="auto" w:fill="FFFFFF" w:themeFill="background1"/>
            <w:vAlign w:val="center"/>
          </w:tcPr>
          <w:p w14:paraId="560BCA1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730</w:t>
            </w:r>
          </w:p>
        </w:tc>
        <w:tc>
          <w:tcPr>
            <w:tcW w:w="718" w:type="dxa"/>
            <w:shd w:val="clear" w:color="auto" w:fill="FFFFFF" w:themeFill="background1"/>
            <w:vAlign w:val="center"/>
          </w:tcPr>
          <w:p w14:paraId="1D541AF6"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703.9</w:t>
            </w:r>
          </w:p>
        </w:tc>
        <w:tc>
          <w:tcPr>
            <w:tcW w:w="1016" w:type="dxa"/>
            <w:shd w:val="clear" w:color="auto" w:fill="FFFFFF" w:themeFill="background1"/>
            <w:vAlign w:val="center"/>
          </w:tcPr>
          <w:p w14:paraId="3E9B23F6"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509</w:t>
            </w:r>
          </w:p>
        </w:tc>
        <w:tc>
          <w:tcPr>
            <w:tcW w:w="867" w:type="dxa"/>
            <w:shd w:val="clear" w:color="auto" w:fill="FFFFFF" w:themeFill="background1"/>
            <w:vAlign w:val="center"/>
          </w:tcPr>
          <w:p w14:paraId="60BF70FA"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90</w:t>
            </w:r>
          </w:p>
        </w:tc>
        <w:tc>
          <w:tcPr>
            <w:tcW w:w="810" w:type="dxa"/>
            <w:shd w:val="clear" w:color="auto" w:fill="FFFFFF" w:themeFill="background1"/>
            <w:vAlign w:val="center"/>
          </w:tcPr>
          <w:p w14:paraId="2B5E1424"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578.1</w:t>
            </w:r>
          </w:p>
        </w:tc>
        <w:tc>
          <w:tcPr>
            <w:tcW w:w="924" w:type="dxa"/>
            <w:shd w:val="clear" w:color="auto" w:fill="FFFFFF" w:themeFill="background1"/>
            <w:vAlign w:val="center"/>
          </w:tcPr>
          <w:p w14:paraId="5337837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131</w:t>
            </w:r>
          </w:p>
        </w:tc>
        <w:tc>
          <w:tcPr>
            <w:tcW w:w="868" w:type="dxa"/>
            <w:shd w:val="clear" w:color="auto" w:fill="FFFFFF" w:themeFill="background1"/>
            <w:vAlign w:val="center"/>
          </w:tcPr>
          <w:p w14:paraId="13BA6224"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125.8</w:t>
            </w:r>
          </w:p>
        </w:tc>
      </w:tr>
      <w:tr w:rsidR="00175CCF" w:rsidRPr="005734B8" w14:paraId="22ECF131" w14:textId="77777777" w:rsidTr="002B5648">
        <w:tc>
          <w:tcPr>
            <w:cnfStyle w:val="001000000000" w:firstRow="0" w:lastRow="0" w:firstColumn="1" w:lastColumn="0" w:oddVBand="0" w:evenVBand="0" w:oddHBand="0" w:evenHBand="0" w:firstRowFirstColumn="0" w:firstRowLastColumn="0" w:lastRowFirstColumn="0" w:lastRowLastColumn="0"/>
            <w:tcW w:w="534" w:type="dxa"/>
            <w:vMerge/>
          </w:tcPr>
          <w:p w14:paraId="5751939C" w14:textId="77777777" w:rsidR="004660D6" w:rsidRPr="005734B8" w:rsidRDefault="004660D6" w:rsidP="004660D6">
            <w:pPr>
              <w:pStyle w:val="ESTablebody"/>
              <w:jc w:val="center"/>
              <w:rPr>
                <w:rFonts w:ascii="Calibri" w:hAnsi="Calibri" w:cs="Calibri"/>
                <w:b/>
                <w:sz w:val="19"/>
                <w:szCs w:val="19"/>
              </w:rPr>
            </w:pPr>
          </w:p>
        </w:tc>
        <w:tc>
          <w:tcPr>
            <w:tcW w:w="1276" w:type="dxa"/>
            <w:vAlign w:val="center"/>
          </w:tcPr>
          <w:p w14:paraId="6F98A135"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Senior employees</w:t>
            </w:r>
          </w:p>
        </w:tc>
        <w:tc>
          <w:tcPr>
            <w:tcW w:w="867" w:type="dxa"/>
            <w:shd w:val="clear" w:color="auto" w:fill="F2F2F2" w:themeFill="background1" w:themeFillShade="F2"/>
            <w:vAlign w:val="center"/>
          </w:tcPr>
          <w:p w14:paraId="4D6D70C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121</w:t>
            </w:r>
          </w:p>
        </w:tc>
        <w:tc>
          <w:tcPr>
            <w:tcW w:w="834" w:type="dxa"/>
            <w:shd w:val="clear" w:color="auto" w:fill="F2F2F2" w:themeFill="background1" w:themeFillShade="F2"/>
            <w:vAlign w:val="center"/>
          </w:tcPr>
          <w:p w14:paraId="7A8C6C5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119.0</w:t>
            </w:r>
          </w:p>
        </w:tc>
        <w:tc>
          <w:tcPr>
            <w:tcW w:w="900" w:type="dxa"/>
            <w:shd w:val="clear" w:color="auto" w:fill="F2F2F2" w:themeFill="background1" w:themeFillShade="F2"/>
            <w:vAlign w:val="center"/>
          </w:tcPr>
          <w:p w14:paraId="78243A16"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109</w:t>
            </w:r>
          </w:p>
        </w:tc>
        <w:tc>
          <w:tcPr>
            <w:tcW w:w="867" w:type="dxa"/>
            <w:shd w:val="clear" w:color="auto" w:fill="F2F2F2" w:themeFill="background1" w:themeFillShade="F2"/>
            <w:vAlign w:val="center"/>
          </w:tcPr>
          <w:p w14:paraId="20D5561B"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11</w:t>
            </w:r>
          </w:p>
        </w:tc>
        <w:tc>
          <w:tcPr>
            <w:tcW w:w="926" w:type="dxa"/>
            <w:shd w:val="clear" w:color="auto" w:fill="F2F2F2" w:themeFill="background1" w:themeFillShade="F2"/>
            <w:vAlign w:val="center"/>
          </w:tcPr>
          <w:p w14:paraId="335503E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6"/>
                <w:szCs w:val="16"/>
              </w:rPr>
            </w:pPr>
            <w:r w:rsidRPr="005734B8">
              <w:rPr>
                <w:rFonts w:ascii="Calibri" w:hAnsi="Calibri" w:cs="Calibri"/>
                <w:b/>
                <w:sz w:val="16"/>
                <w:szCs w:val="16"/>
              </w:rPr>
              <w:t>118.0</w:t>
            </w:r>
          </w:p>
        </w:tc>
        <w:tc>
          <w:tcPr>
            <w:tcW w:w="808" w:type="dxa"/>
            <w:shd w:val="clear" w:color="auto" w:fill="F2F2F2" w:themeFill="background1" w:themeFillShade="F2"/>
            <w:vAlign w:val="center"/>
          </w:tcPr>
          <w:p w14:paraId="5F829FCF"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1</w:t>
            </w:r>
          </w:p>
        </w:tc>
        <w:tc>
          <w:tcPr>
            <w:tcW w:w="893" w:type="dxa"/>
            <w:shd w:val="clear" w:color="auto" w:fill="F2F2F2" w:themeFill="background1" w:themeFillShade="F2"/>
            <w:vAlign w:val="center"/>
          </w:tcPr>
          <w:p w14:paraId="3139B692"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1.0</w:t>
            </w:r>
          </w:p>
        </w:tc>
        <w:tc>
          <w:tcPr>
            <w:tcW w:w="842" w:type="dxa"/>
            <w:shd w:val="clear" w:color="auto" w:fill="FFFFFF" w:themeFill="background1"/>
            <w:vAlign w:val="center"/>
          </w:tcPr>
          <w:p w14:paraId="0E1DC7DF"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123</w:t>
            </w:r>
          </w:p>
        </w:tc>
        <w:tc>
          <w:tcPr>
            <w:tcW w:w="718" w:type="dxa"/>
            <w:shd w:val="clear" w:color="auto" w:fill="FFFFFF" w:themeFill="background1"/>
            <w:vAlign w:val="center"/>
          </w:tcPr>
          <w:p w14:paraId="27897EC5"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120.4</w:t>
            </w:r>
          </w:p>
        </w:tc>
        <w:tc>
          <w:tcPr>
            <w:tcW w:w="1016" w:type="dxa"/>
            <w:shd w:val="clear" w:color="auto" w:fill="FFFFFF" w:themeFill="background1"/>
            <w:vAlign w:val="center"/>
          </w:tcPr>
          <w:p w14:paraId="60D10D5A"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107</w:t>
            </w:r>
          </w:p>
        </w:tc>
        <w:tc>
          <w:tcPr>
            <w:tcW w:w="867" w:type="dxa"/>
            <w:shd w:val="clear" w:color="auto" w:fill="FFFFFF" w:themeFill="background1"/>
            <w:vAlign w:val="center"/>
          </w:tcPr>
          <w:p w14:paraId="4EFA21F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13</w:t>
            </w:r>
          </w:p>
        </w:tc>
        <w:tc>
          <w:tcPr>
            <w:tcW w:w="810" w:type="dxa"/>
            <w:shd w:val="clear" w:color="auto" w:fill="FFFFFF" w:themeFill="background1"/>
            <w:vAlign w:val="center"/>
          </w:tcPr>
          <w:p w14:paraId="6CF5ECA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117.4</w:t>
            </w:r>
          </w:p>
        </w:tc>
        <w:tc>
          <w:tcPr>
            <w:tcW w:w="924" w:type="dxa"/>
            <w:shd w:val="clear" w:color="auto" w:fill="FFFFFF" w:themeFill="background1"/>
            <w:vAlign w:val="center"/>
          </w:tcPr>
          <w:p w14:paraId="3183A58B"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3</w:t>
            </w:r>
          </w:p>
        </w:tc>
        <w:tc>
          <w:tcPr>
            <w:tcW w:w="868" w:type="dxa"/>
            <w:shd w:val="clear" w:color="auto" w:fill="FFFFFF" w:themeFill="background1"/>
            <w:vAlign w:val="center"/>
          </w:tcPr>
          <w:p w14:paraId="2272A33C"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3.0</w:t>
            </w:r>
          </w:p>
        </w:tc>
      </w:tr>
      <w:tr w:rsidR="00175CCF" w:rsidRPr="005734B8" w14:paraId="60B8D5B5" w14:textId="77777777" w:rsidTr="002B5648">
        <w:tc>
          <w:tcPr>
            <w:cnfStyle w:val="001000000000" w:firstRow="0" w:lastRow="0" w:firstColumn="1" w:lastColumn="0" w:oddVBand="0" w:evenVBand="0" w:oddHBand="0" w:evenHBand="0" w:firstRowFirstColumn="0" w:firstRowLastColumn="0" w:lastRowFirstColumn="0" w:lastRowLastColumn="0"/>
            <w:tcW w:w="534" w:type="dxa"/>
            <w:vMerge/>
          </w:tcPr>
          <w:p w14:paraId="76EDA7B5" w14:textId="77777777" w:rsidR="004660D6" w:rsidRPr="005734B8" w:rsidRDefault="004660D6" w:rsidP="004660D6">
            <w:pPr>
              <w:pStyle w:val="ESTablebody"/>
              <w:jc w:val="center"/>
              <w:rPr>
                <w:rFonts w:ascii="Calibri" w:hAnsi="Calibri" w:cs="Calibri"/>
                <w:b/>
                <w:sz w:val="19"/>
                <w:szCs w:val="19"/>
              </w:rPr>
            </w:pPr>
          </w:p>
        </w:tc>
        <w:tc>
          <w:tcPr>
            <w:tcW w:w="1276" w:type="dxa"/>
            <w:vAlign w:val="center"/>
          </w:tcPr>
          <w:p w14:paraId="1647D2D4"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STS</w:t>
            </w:r>
          </w:p>
        </w:tc>
        <w:tc>
          <w:tcPr>
            <w:tcW w:w="867" w:type="dxa"/>
            <w:shd w:val="clear" w:color="auto" w:fill="F2F2F2" w:themeFill="background1" w:themeFillShade="F2"/>
            <w:vAlign w:val="center"/>
          </w:tcPr>
          <w:p w14:paraId="5C6FBD18"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28</w:t>
            </w:r>
          </w:p>
        </w:tc>
        <w:tc>
          <w:tcPr>
            <w:tcW w:w="834" w:type="dxa"/>
            <w:shd w:val="clear" w:color="auto" w:fill="F2F2F2" w:themeFill="background1" w:themeFillShade="F2"/>
            <w:vAlign w:val="center"/>
          </w:tcPr>
          <w:p w14:paraId="45B636C2"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27.4</w:t>
            </w:r>
          </w:p>
        </w:tc>
        <w:tc>
          <w:tcPr>
            <w:tcW w:w="900" w:type="dxa"/>
            <w:shd w:val="clear" w:color="auto" w:fill="F2F2F2" w:themeFill="background1" w:themeFillShade="F2"/>
            <w:vAlign w:val="center"/>
          </w:tcPr>
          <w:p w14:paraId="7A5F7FAC"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24</w:t>
            </w:r>
          </w:p>
        </w:tc>
        <w:tc>
          <w:tcPr>
            <w:tcW w:w="867" w:type="dxa"/>
            <w:shd w:val="clear" w:color="auto" w:fill="F2F2F2" w:themeFill="background1" w:themeFillShade="F2"/>
            <w:vAlign w:val="center"/>
          </w:tcPr>
          <w:p w14:paraId="3CB1E976"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w:t>
            </w:r>
          </w:p>
        </w:tc>
        <w:tc>
          <w:tcPr>
            <w:tcW w:w="926" w:type="dxa"/>
            <w:shd w:val="clear" w:color="auto" w:fill="F2F2F2" w:themeFill="background1" w:themeFillShade="F2"/>
            <w:vAlign w:val="center"/>
          </w:tcPr>
          <w:p w14:paraId="1056370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5734B8">
              <w:rPr>
                <w:rFonts w:ascii="Calibri" w:hAnsi="Calibri" w:cs="Calibri"/>
                <w:sz w:val="16"/>
                <w:szCs w:val="16"/>
              </w:rPr>
              <w:t>26.4</w:t>
            </w:r>
          </w:p>
        </w:tc>
        <w:tc>
          <w:tcPr>
            <w:tcW w:w="808" w:type="dxa"/>
            <w:shd w:val="clear" w:color="auto" w:fill="F2F2F2" w:themeFill="background1" w:themeFillShade="F2"/>
            <w:vAlign w:val="center"/>
          </w:tcPr>
          <w:p w14:paraId="5688BA6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w:t>
            </w:r>
          </w:p>
        </w:tc>
        <w:tc>
          <w:tcPr>
            <w:tcW w:w="893" w:type="dxa"/>
            <w:shd w:val="clear" w:color="auto" w:fill="F2F2F2" w:themeFill="background1" w:themeFillShade="F2"/>
            <w:vAlign w:val="center"/>
          </w:tcPr>
          <w:p w14:paraId="56635B6E"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1.0</w:t>
            </w:r>
          </w:p>
        </w:tc>
        <w:tc>
          <w:tcPr>
            <w:tcW w:w="842" w:type="dxa"/>
            <w:shd w:val="clear" w:color="auto" w:fill="FFFFFF" w:themeFill="background1"/>
            <w:vAlign w:val="center"/>
          </w:tcPr>
          <w:p w14:paraId="3CB7614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28</w:t>
            </w:r>
          </w:p>
        </w:tc>
        <w:tc>
          <w:tcPr>
            <w:tcW w:w="718" w:type="dxa"/>
            <w:shd w:val="clear" w:color="auto" w:fill="FFFFFF" w:themeFill="background1"/>
            <w:vAlign w:val="center"/>
          </w:tcPr>
          <w:p w14:paraId="621BC439"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27.3</w:t>
            </w:r>
          </w:p>
        </w:tc>
        <w:tc>
          <w:tcPr>
            <w:tcW w:w="1016" w:type="dxa"/>
            <w:shd w:val="clear" w:color="auto" w:fill="FFFFFF" w:themeFill="background1"/>
            <w:vAlign w:val="center"/>
          </w:tcPr>
          <w:p w14:paraId="5E4399F8"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22</w:t>
            </w:r>
          </w:p>
        </w:tc>
        <w:tc>
          <w:tcPr>
            <w:tcW w:w="867" w:type="dxa"/>
            <w:shd w:val="clear" w:color="auto" w:fill="FFFFFF" w:themeFill="background1"/>
            <w:vAlign w:val="center"/>
          </w:tcPr>
          <w:p w14:paraId="6276A212"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w:t>
            </w:r>
          </w:p>
        </w:tc>
        <w:tc>
          <w:tcPr>
            <w:tcW w:w="810" w:type="dxa"/>
            <w:shd w:val="clear" w:color="auto" w:fill="FFFFFF" w:themeFill="background1"/>
            <w:vAlign w:val="center"/>
          </w:tcPr>
          <w:p w14:paraId="7C348AB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24.3</w:t>
            </w:r>
          </w:p>
        </w:tc>
        <w:tc>
          <w:tcPr>
            <w:tcW w:w="924" w:type="dxa"/>
            <w:shd w:val="clear" w:color="auto" w:fill="FFFFFF" w:themeFill="background1"/>
            <w:vAlign w:val="center"/>
          </w:tcPr>
          <w:p w14:paraId="06BA8A3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w:t>
            </w:r>
          </w:p>
        </w:tc>
        <w:tc>
          <w:tcPr>
            <w:tcW w:w="868" w:type="dxa"/>
            <w:shd w:val="clear" w:color="auto" w:fill="FFFFFF" w:themeFill="background1"/>
            <w:vAlign w:val="center"/>
          </w:tcPr>
          <w:p w14:paraId="3D542915"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3.0</w:t>
            </w:r>
          </w:p>
        </w:tc>
      </w:tr>
      <w:tr w:rsidR="00175CCF" w:rsidRPr="005734B8" w14:paraId="7028C72D" w14:textId="77777777" w:rsidTr="002B5648">
        <w:tc>
          <w:tcPr>
            <w:cnfStyle w:val="001000000000" w:firstRow="0" w:lastRow="0" w:firstColumn="1" w:lastColumn="0" w:oddVBand="0" w:evenVBand="0" w:oddHBand="0" w:evenHBand="0" w:firstRowFirstColumn="0" w:firstRowLastColumn="0" w:lastRowFirstColumn="0" w:lastRowLastColumn="0"/>
            <w:tcW w:w="534" w:type="dxa"/>
            <w:vMerge/>
          </w:tcPr>
          <w:p w14:paraId="2DEB5ABF" w14:textId="77777777" w:rsidR="004660D6" w:rsidRPr="005734B8" w:rsidRDefault="004660D6" w:rsidP="004660D6">
            <w:pPr>
              <w:pStyle w:val="ESTablebody"/>
              <w:jc w:val="center"/>
              <w:rPr>
                <w:rFonts w:ascii="Calibri" w:hAnsi="Calibri" w:cs="Calibri"/>
                <w:b/>
                <w:sz w:val="19"/>
                <w:szCs w:val="19"/>
              </w:rPr>
            </w:pPr>
          </w:p>
        </w:tc>
        <w:tc>
          <w:tcPr>
            <w:tcW w:w="1276" w:type="dxa"/>
            <w:vAlign w:val="center"/>
          </w:tcPr>
          <w:p w14:paraId="39050AA2"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Executive Officers</w:t>
            </w:r>
            <w:r w:rsidRPr="005734B8">
              <w:rPr>
                <w:rStyle w:val="FootnoteReference"/>
                <w:rFonts w:ascii="Calibri" w:hAnsi="Calibri" w:cs="Calibri"/>
                <w:sz w:val="16"/>
                <w:szCs w:val="16"/>
              </w:rPr>
              <w:footnoteReference w:id="49"/>
            </w:r>
          </w:p>
        </w:tc>
        <w:tc>
          <w:tcPr>
            <w:tcW w:w="867" w:type="dxa"/>
            <w:shd w:val="clear" w:color="auto" w:fill="F2F2F2" w:themeFill="background1" w:themeFillShade="F2"/>
            <w:vAlign w:val="center"/>
          </w:tcPr>
          <w:p w14:paraId="1175BA0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93</w:t>
            </w:r>
          </w:p>
        </w:tc>
        <w:tc>
          <w:tcPr>
            <w:tcW w:w="834" w:type="dxa"/>
            <w:shd w:val="clear" w:color="auto" w:fill="F2F2F2" w:themeFill="background1" w:themeFillShade="F2"/>
            <w:vAlign w:val="center"/>
          </w:tcPr>
          <w:p w14:paraId="6C6D60F9"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91.6</w:t>
            </w:r>
          </w:p>
        </w:tc>
        <w:tc>
          <w:tcPr>
            <w:tcW w:w="900" w:type="dxa"/>
            <w:shd w:val="clear" w:color="auto" w:fill="F2F2F2" w:themeFill="background1" w:themeFillShade="F2"/>
            <w:vAlign w:val="center"/>
          </w:tcPr>
          <w:p w14:paraId="3B2E1B88"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85</w:t>
            </w:r>
          </w:p>
        </w:tc>
        <w:tc>
          <w:tcPr>
            <w:tcW w:w="867" w:type="dxa"/>
            <w:shd w:val="clear" w:color="auto" w:fill="F2F2F2" w:themeFill="background1" w:themeFillShade="F2"/>
            <w:vAlign w:val="center"/>
          </w:tcPr>
          <w:p w14:paraId="72E2F99C"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w:t>
            </w:r>
          </w:p>
        </w:tc>
        <w:tc>
          <w:tcPr>
            <w:tcW w:w="926" w:type="dxa"/>
            <w:shd w:val="clear" w:color="auto" w:fill="F2F2F2" w:themeFill="background1" w:themeFillShade="F2"/>
            <w:vAlign w:val="center"/>
          </w:tcPr>
          <w:p w14:paraId="088EC146"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91.6</w:t>
            </w:r>
          </w:p>
        </w:tc>
        <w:tc>
          <w:tcPr>
            <w:tcW w:w="808" w:type="dxa"/>
            <w:shd w:val="clear" w:color="auto" w:fill="F2F2F2" w:themeFill="background1" w:themeFillShade="F2"/>
            <w:vAlign w:val="center"/>
          </w:tcPr>
          <w:p w14:paraId="6799479C" w14:textId="01B6CA43" w:rsidR="004660D6" w:rsidRPr="005734B8" w:rsidRDefault="002B5648"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w:t>
            </w:r>
          </w:p>
        </w:tc>
        <w:tc>
          <w:tcPr>
            <w:tcW w:w="893" w:type="dxa"/>
            <w:shd w:val="clear" w:color="auto" w:fill="F2F2F2" w:themeFill="background1" w:themeFillShade="F2"/>
            <w:vAlign w:val="center"/>
          </w:tcPr>
          <w:p w14:paraId="7E5D19D0" w14:textId="5500C823" w:rsidR="004660D6" w:rsidRPr="005734B8" w:rsidRDefault="002B5648"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w:t>
            </w:r>
          </w:p>
        </w:tc>
        <w:tc>
          <w:tcPr>
            <w:tcW w:w="842" w:type="dxa"/>
            <w:shd w:val="clear" w:color="auto" w:fill="FFFFFF" w:themeFill="background1"/>
            <w:vAlign w:val="center"/>
          </w:tcPr>
          <w:p w14:paraId="54B4413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95</w:t>
            </w:r>
          </w:p>
        </w:tc>
        <w:tc>
          <w:tcPr>
            <w:tcW w:w="718" w:type="dxa"/>
            <w:shd w:val="clear" w:color="auto" w:fill="FFFFFF" w:themeFill="background1"/>
            <w:vAlign w:val="center"/>
          </w:tcPr>
          <w:p w14:paraId="2236B02D"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93.1</w:t>
            </w:r>
          </w:p>
        </w:tc>
        <w:tc>
          <w:tcPr>
            <w:tcW w:w="1016" w:type="dxa"/>
            <w:shd w:val="clear" w:color="auto" w:fill="FFFFFF" w:themeFill="background1"/>
            <w:vAlign w:val="center"/>
          </w:tcPr>
          <w:p w14:paraId="271175FB"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85</w:t>
            </w:r>
          </w:p>
        </w:tc>
        <w:tc>
          <w:tcPr>
            <w:tcW w:w="867" w:type="dxa"/>
            <w:shd w:val="clear" w:color="auto" w:fill="FFFFFF" w:themeFill="background1"/>
            <w:vAlign w:val="center"/>
          </w:tcPr>
          <w:p w14:paraId="63E7EA89"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10</w:t>
            </w:r>
          </w:p>
        </w:tc>
        <w:tc>
          <w:tcPr>
            <w:tcW w:w="810" w:type="dxa"/>
            <w:shd w:val="clear" w:color="auto" w:fill="FFFFFF" w:themeFill="background1"/>
            <w:vAlign w:val="center"/>
          </w:tcPr>
          <w:p w14:paraId="531D672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93.1</w:t>
            </w:r>
          </w:p>
        </w:tc>
        <w:tc>
          <w:tcPr>
            <w:tcW w:w="924" w:type="dxa"/>
            <w:shd w:val="clear" w:color="auto" w:fill="FFFFFF" w:themeFill="background1"/>
            <w:vAlign w:val="center"/>
          </w:tcPr>
          <w:p w14:paraId="2A0A4344" w14:textId="47C77C96" w:rsidR="004660D6" w:rsidRPr="005734B8" w:rsidRDefault="002B5648"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w:t>
            </w:r>
          </w:p>
        </w:tc>
        <w:tc>
          <w:tcPr>
            <w:tcW w:w="868" w:type="dxa"/>
            <w:shd w:val="clear" w:color="auto" w:fill="FFFFFF" w:themeFill="background1"/>
            <w:vAlign w:val="center"/>
          </w:tcPr>
          <w:p w14:paraId="66C35F38" w14:textId="5951A88B" w:rsidR="004660D6" w:rsidRPr="005734B8" w:rsidRDefault="002B5648"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w:t>
            </w:r>
          </w:p>
        </w:tc>
      </w:tr>
      <w:tr w:rsidR="009172F9" w:rsidRPr="005734B8" w14:paraId="784C6748" w14:textId="77777777" w:rsidTr="004B76CC">
        <w:tc>
          <w:tcPr>
            <w:cnfStyle w:val="001000000000" w:firstRow="0" w:lastRow="0" w:firstColumn="1" w:lastColumn="0" w:oddVBand="0" w:evenVBand="0" w:oddHBand="0" w:evenHBand="0" w:firstRowFirstColumn="0" w:firstRowLastColumn="0" w:lastRowFirstColumn="0" w:lastRowLastColumn="0"/>
            <w:tcW w:w="534" w:type="dxa"/>
            <w:vMerge/>
          </w:tcPr>
          <w:p w14:paraId="676DEF66" w14:textId="77777777" w:rsidR="004660D6" w:rsidRPr="005734B8" w:rsidRDefault="004660D6" w:rsidP="004660D6">
            <w:pPr>
              <w:pStyle w:val="ESTablebody"/>
              <w:jc w:val="center"/>
              <w:rPr>
                <w:rFonts w:ascii="Calibri" w:hAnsi="Calibri" w:cs="Calibri"/>
                <w:b/>
                <w:sz w:val="19"/>
                <w:szCs w:val="19"/>
              </w:rPr>
            </w:pPr>
          </w:p>
        </w:tc>
        <w:tc>
          <w:tcPr>
            <w:tcW w:w="1276" w:type="dxa"/>
            <w:vAlign w:val="center"/>
          </w:tcPr>
          <w:p w14:paraId="7F86052D"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b/>
                <w:sz w:val="16"/>
                <w:szCs w:val="16"/>
              </w:rPr>
              <w:t>Other</w:t>
            </w:r>
          </w:p>
        </w:tc>
        <w:tc>
          <w:tcPr>
            <w:tcW w:w="867" w:type="dxa"/>
            <w:shd w:val="clear" w:color="auto" w:fill="F2F2F2" w:themeFill="background1" w:themeFillShade="F2"/>
          </w:tcPr>
          <w:p w14:paraId="5381897B"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804</w:t>
            </w:r>
          </w:p>
        </w:tc>
        <w:tc>
          <w:tcPr>
            <w:tcW w:w="834" w:type="dxa"/>
            <w:shd w:val="clear" w:color="auto" w:fill="F2F2F2" w:themeFill="background1" w:themeFillShade="F2"/>
          </w:tcPr>
          <w:p w14:paraId="2B841085"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647.5</w:t>
            </w:r>
          </w:p>
        </w:tc>
        <w:tc>
          <w:tcPr>
            <w:tcW w:w="900" w:type="dxa"/>
            <w:shd w:val="clear" w:color="auto" w:fill="F2F2F2" w:themeFill="background1" w:themeFillShade="F2"/>
          </w:tcPr>
          <w:p w14:paraId="047A9A2F"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357</w:t>
            </w:r>
          </w:p>
        </w:tc>
        <w:tc>
          <w:tcPr>
            <w:tcW w:w="867" w:type="dxa"/>
            <w:shd w:val="clear" w:color="auto" w:fill="F2F2F2" w:themeFill="background1" w:themeFillShade="F2"/>
          </w:tcPr>
          <w:p w14:paraId="6E79A4B5"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396</w:t>
            </w:r>
          </w:p>
        </w:tc>
        <w:tc>
          <w:tcPr>
            <w:tcW w:w="926" w:type="dxa"/>
            <w:shd w:val="clear" w:color="auto" w:fill="F2F2F2" w:themeFill="background1" w:themeFillShade="F2"/>
          </w:tcPr>
          <w:p w14:paraId="4BB0B754"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605.8</w:t>
            </w:r>
          </w:p>
        </w:tc>
        <w:tc>
          <w:tcPr>
            <w:tcW w:w="808" w:type="dxa"/>
            <w:shd w:val="clear" w:color="auto" w:fill="F2F2F2" w:themeFill="background1" w:themeFillShade="F2"/>
            <w:vAlign w:val="center"/>
          </w:tcPr>
          <w:p w14:paraId="5575E9DB"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51</w:t>
            </w:r>
          </w:p>
        </w:tc>
        <w:tc>
          <w:tcPr>
            <w:tcW w:w="893" w:type="dxa"/>
            <w:shd w:val="clear" w:color="auto" w:fill="F2F2F2" w:themeFill="background1" w:themeFillShade="F2"/>
            <w:vAlign w:val="center"/>
          </w:tcPr>
          <w:p w14:paraId="27995652"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41.7</w:t>
            </w:r>
          </w:p>
        </w:tc>
        <w:tc>
          <w:tcPr>
            <w:tcW w:w="842" w:type="dxa"/>
            <w:shd w:val="clear" w:color="auto" w:fill="FFFFFF" w:themeFill="background1"/>
            <w:vAlign w:val="center"/>
          </w:tcPr>
          <w:p w14:paraId="4091408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829</w:t>
            </w:r>
          </w:p>
        </w:tc>
        <w:tc>
          <w:tcPr>
            <w:tcW w:w="718" w:type="dxa"/>
            <w:shd w:val="clear" w:color="auto" w:fill="FFFFFF" w:themeFill="background1"/>
            <w:vAlign w:val="center"/>
          </w:tcPr>
          <w:p w14:paraId="1F64A85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b/>
                <w:sz w:val="16"/>
                <w:szCs w:val="16"/>
              </w:rPr>
              <w:t>669.1</w:t>
            </w:r>
          </w:p>
        </w:tc>
        <w:tc>
          <w:tcPr>
            <w:tcW w:w="1016" w:type="dxa"/>
            <w:shd w:val="clear" w:color="auto" w:fill="FFFFFF" w:themeFill="background1"/>
            <w:vAlign w:val="center"/>
          </w:tcPr>
          <w:p w14:paraId="739A3D9C"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b/>
                <w:sz w:val="16"/>
                <w:szCs w:val="16"/>
              </w:rPr>
              <w:t>362</w:t>
            </w:r>
          </w:p>
        </w:tc>
        <w:tc>
          <w:tcPr>
            <w:tcW w:w="867" w:type="dxa"/>
            <w:shd w:val="clear" w:color="auto" w:fill="FFFFFF" w:themeFill="background1"/>
            <w:vAlign w:val="center"/>
          </w:tcPr>
          <w:p w14:paraId="7F3A721E"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b/>
                <w:sz w:val="16"/>
                <w:szCs w:val="16"/>
              </w:rPr>
              <w:t>404</w:t>
            </w:r>
          </w:p>
        </w:tc>
        <w:tc>
          <w:tcPr>
            <w:tcW w:w="810" w:type="dxa"/>
            <w:shd w:val="clear" w:color="auto" w:fill="FFFFFF" w:themeFill="background1"/>
            <w:vAlign w:val="center"/>
          </w:tcPr>
          <w:p w14:paraId="0038F132"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b/>
                <w:sz w:val="16"/>
                <w:szCs w:val="16"/>
              </w:rPr>
              <w:t>616.6</w:t>
            </w:r>
          </w:p>
        </w:tc>
        <w:tc>
          <w:tcPr>
            <w:tcW w:w="924" w:type="dxa"/>
            <w:shd w:val="clear" w:color="auto" w:fill="FFFFFF" w:themeFill="background1"/>
            <w:vAlign w:val="center"/>
          </w:tcPr>
          <w:p w14:paraId="2389CE3A"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b/>
                <w:sz w:val="16"/>
                <w:szCs w:val="16"/>
              </w:rPr>
              <w:t>63</w:t>
            </w:r>
          </w:p>
        </w:tc>
        <w:tc>
          <w:tcPr>
            <w:tcW w:w="868" w:type="dxa"/>
            <w:shd w:val="clear" w:color="auto" w:fill="FFFFFF" w:themeFill="background1"/>
            <w:vAlign w:val="center"/>
          </w:tcPr>
          <w:p w14:paraId="78B95059"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b/>
                <w:sz w:val="16"/>
                <w:szCs w:val="16"/>
              </w:rPr>
              <w:t>52.5</w:t>
            </w:r>
          </w:p>
        </w:tc>
      </w:tr>
      <w:tr w:rsidR="009172F9" w:rsidRPr="005734B8" w14:paraId="0FABAA3D" w14:textId="77777777" w:rsidTr="00F409D5">
        <w:tc>
          <w:tcPr>
            <w:cnfStyle w:val="001000000000" w:firstRow="0" w:lastRow="0" w:firstColumn="1" w:lastColumn="0" w:oddVBand="0" w:evenVBand="0" w:oddHBand="0" w:evenHBand="0" w:firstRowFirstColumn="0" w:firstRowLastColumn="0" w:lastRowFirstColumn="0" w:lastRowLastColumn="0"/>
            <w:tcW w:w="534" w:type="dxa"/>
            <w:vMerge/>
          </w:tcPr>
          <w:p w14:paraId="2623263A" w14:textId="77777777" w:rsidR="004660D6" w:rsidRPr="005734B8" w:rsidRDefault="004660D6" w:rsidP="004660D6">
            <w:pPr>
              <w:pStyle w:val="ESTablebody"/>
              <w:jc w:val="center"/>
              <w:rPr>
                <w:rFonts w:ascii="Calibri" w:hAnsi="Calibri" w:cs="Calibri"/>
                <w:b/>
                <w:sz w:val="19"/>
                <w:szCs w:val="19"/>
              </w:rPr>
            </w:pPr>
          </w:p>
        </w:tc>
        <w:tc>
          <w:tcPr>
            <w:tcW w:w="1276" w:type="dxa"/>
            <w:vAlign w:val="center"/>
          </w:tcPr>
          <w:p w14:paraId="2D7E364B"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Allied health</w:t>
            </w:r>
          </w:p>
        </w:tc>
        <w:tc>
          <w:tcPr>
            <w:tcW w:w="867" w:type="dxa"/>
            <w:shd w:val="clear" w:color="auto" w:fill="F2F2F2" w:themeFill="background1" w:themeFillShade="F2"/>
          </w:tcPr>
          <w:p w14:paraId="5DF5B010" w14:textId="0E018E50" w:rsidR="004660D6" w:rsidRPr="005734B8" w:rsidRDefault="00D52747"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D52747">
              <w:rPr>
                <w:rFonts w:ascii="Calibri" w:hAnsi="Calibri" w:cs="Calibri"/>
                <w:bCs/>
                <w:sz w:val="16"/>
                <w:szCs w:val="16"/>
              </w:rPr>
              <w:t>576</w:t>
            </w:r>
          </w:p>
        </w:tc>
        <w:tc>
          <w:tcPr>
            <w:tcW w:w="834" w:type="dxa"/>
            <w:shd w:val="clear" w:color="auto" w:fill="F2F2F2" w:themeFill="background1" w:themeFillShade="F2"/>
          </w:tcPr>
          <w:p w14:paraId="35704754" w14:textId="324564F5" w:rsidR="004660D6" w:rsidRPr="005734B8" w:rsidRDefault="00D52747"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D52747">
              <w:rPr>
                <w:rFonts w:ascii="Calibri" w:hAnsi="Calibri" w:cs="Calibri"/>
                <w:bCs/>
                <w:sz w:val="16"/>
                <w:szCs w:val="16"/>
              </w:rPr>
              <w:t>473.3</w:t>
            </w:r>
          </w:p>
        </w:tc>
        <w:tc>
          <w:tcPr>
            <w:tcW w:w="900" w:type="dxa"/>
            <w:shd w:val="clear" w:color="auto" w:fill="F2F2F2" w:themeFill="background1" w:themeFillShade="F2"/>
          </w:tcPr>
          <w:p w14:paraId="2F6D4279" w14:textId="226037E0" w:rsidR="004660D6" w:rsidRPr="005734B8" w:rsidRDefault="00D52747"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D52747">
              <w:rPr>
                <w:rFonts w:ascii="Calibri" w:hAnsi="Calibri" w:cs="Calibri"/>
                <w:bCs/>
                <w:sz w:val="16"/>
                <w:szCs w:val="16"/>
              </w:rPr>
              <w:t>283</w:t>
            </w:r>
          </w:p>
        </w:tc>
        <w:tc>
          <w:tcPr>
            <w:tcW w:w="867" w:type="dxa"/>
            <w:shd w:val="clear" w:color="auto" w:fill="F2F2F2" w:themeFill="background1" w:themeFillShade="F2"/>
          </w:tcPr>
          <w:p w14:paraId="0D9BF773" w14:textId="67FB22B6" w:rsidR="004660D6" w:rsidRPr="005734B8" w:rsidRDefault="00D52747"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D52747">
              <w:rPr>
                <w:rFonts w:ascii="Calibri" w:hAnsi="Calibri" w:cs="Calibri"/>
                <w:bCs/>
                <w:sz w:val="16"/>
                <w:szCs w:val="16"/>
              </w:rPr>
              <w:t>257</w:t>
            </w:r>
          </w:p>
        </w:tc>
        <w:tc>
          <w:tcPr>
            <w:tcW w:w="926" w:type="dxa"/>
            <w:shd w:val="clear" w:color="auto" w:fill="F2F2F2" w:themeFill="background1" w:themeFillShade="F2"/>
          </w:tcPr>
          <w:p w14:paraId="3370A1F0" w14:textId="59ABE665" w:rsidR="004660D6" w:rsidRPr="005734B8" w:rsidRDefault="00D52747"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D52747">
              <w:rPr>
                <w:rFonts w:ascii="Calibri" w:hAnsi="Calibri" w:cs="Calibri"/>
                <w:bCs/>
                <w:sz w:val="16"/>
                <w:szCs w:val="16"/>
              </w:rPr>
              <w:t>442</w:t>
            </w:r>
            <w:r w:rsidR="004660D6" w:rsidRPr="005734B8">
              <w:rPr>
                <w:rFonts w:ascii="Calibri" w:hAnsi="Calibri" w:cs="Calibri"/>
                <w:sz w:val="16"/>
                <w:szCs w:val="16"/>
              </w:rPr>
              <w:t>.8</w:t>
            </w:r>
          </w:p>
        </w:tc>
        <w:tc>
          <w:tcPr>
            <w:tcW w:w="808" w:type="dxa"/>
            <w:shd w:val="clear" w:color="auto" w:fill="F2F2F2" w:themeFill="background1" w:themeFillShade="F2"/>
            <w:vAlign w:val="center"/>
          </w:tcPr>
          <w:p w14:paraId="03013FA5"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36</w:t>
            </w:r>
          </w:p>
        </w:tc>
        <w:tc>
          <w:tcPr>
            <w:tcW w:w="893" w:type="dxa"/>
            <w:shd w:val="clear" w:color="auto" w:fill="F2F2F2" w:themeFill="background1" w:themeFillShade="F2"/>
            <w:vAlign w:val="center"/>
          </w:tcPr>
          <w:p w14:paraId="61F34D0B"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30.5</w:t>
            </w:r>
          </w:p>
        </w:tc>
        <w:tc>
          <w:tcPr>
            <w:tcW w:w="842" w:type="dxa"/>
            <w:shd w:val="clear" w:color="auto" w:fill="FFFFFF" w:themeFill="background1"/>
            <w:vAlign w:val="center"/>
          </w:tcPr>
          <w:p w14:paraId="4DDF905D"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601</w:t>
            </w:r>
          </w:p>
        </w:tc>
        <w:tc>
          <w:tcPr>
            <w:tcW w:w="718" w:type="dxa"/>
            <w:shd w:val="clear" w:color="auto" w:fill="FFFFFF" w:themeFill="background1"/>
            <w:vAlign w:val="center"/>
          </w:tcPr>
          <w:p w14:paraId="14B229D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495.0</w:t>
            </w:r>
          </w:p>
        </w:tc>
        <w:tc>
          <w:tcPr>
            <w:tcW w:w="1016" w:type="dxa"/>
            <w:shd w:val="clear" w:color="auto" w:fill="FFFFFF" w:themeFill="background1"/>
            <w:vAlign w:val="center"/>
          </w:tcPr>
          <w:p w14:paraId="11FAC4DE"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285</w:t>
            </w:r>
          </w:p>
        </w:tc>
        <w:tc>
          <w:tcPr>
            <w:tcW w:w="867" w:type="dxa"/>
            <w:shd w:val="clear" w:color="auto" w:fill="FFFFFF" w:themeFill="background1"/>
            <w:vAlign w:val="center"/>
          </w:tcPr>
          <w:p w14:paraId="5C5F23E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267</w:t>
            </w:r>
          </w:p>
        </w:tc>
        <w:tc>
          <w:tcPr>
            <w:tcW w:w="810" w:type="dxa"/>
            <w:shd w:val="clear" w:color="auto" w:fill="FFFFFF" w:themeFill="background1"/>
            <w:vAlign w:val="center"/>
          </w:tcPr>
          <w:p w14:paraId="48F06786"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452.4</w:t>
            </w:r>
          </w:p>
        </w:tc>
        <w:tc>
          <w:tcPr>
            <w:tcW w:w="924" w:type="dxa"/>
            <w:shd w:val="clear" w:color="auto" w:fill="FFFFFF" w:themeFill="background1"/>
            <w:vAlign w:val="center"/>
          </w:tcPr>
          <w:p w14:paraId="49C0520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49</w:t>
            </w:r>
          </w:p>
        </w:tc>
        <w:tc>
          <w:tcPr>
            <w:tcW w:w="868" w:type="dxa"/>
            <w:shd w:val="clear" w:color="auto" w:fill="FFFFFF" w:themeFill="background1"/>
            <w:vAlign w:val="center"/>
          </w:tcPr>
          <w:p w14:paraId="7217A1EB"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42.6</w:t>
            </w:r>
          </w:p>
        </w:tc>
      </w:tr>
      <w:tr w:rsidR="009172F9" w:rsidRPr="005734B8" w14:paraId="156307CC" w14:textId="77777777" w:rsidTr="004B76CC">
        <w:tc>
          <w:tcPr>
            <w:cnfStyle w:val="001000000000" w:firstRow="0" w:lastRow="0" w:firstColumn="1" w:lastColumn="0" w:oddVBand="0" w:evenVBand="0" w:oddHBand="0" w:evenHBand="0" w:firstRowFirstColumn="0" w:firstRowLastColumn="0" w:lastRowFirstColumn="0" w:lastRowLastColumn="0"/>
            <w:tcW w:w="534" w:type="dxa"/>
            <w:vMerge/>
          </w:tcPr>
          <w:p w14:paraId="47AE8EFF" w14:textId="77777777" w:rsidR="004660D6" w:rsidRPr="005734B8" w:rsidRDefault="004660D6" w:rsidP="004660D6">
            <w:pPr>
              <w:pStyle w:val="ESTablebody"/>
              <w:jc w:val="center"/>
              <w:rPr>
                <w:rFonts w:ascii="Calibri" w:hAnsi="Calibri" w:cs="Calibri"/>
                <w:b/>
                <w:sz w:val="19"/>
                <w:szCs w:val="19"/>
              </w:rPr>
            </w:pPr>
          </w:p>
        </w:tc>
        <w:tc>
          <w:tcPr>
            <w:tcW w:w="1276" w:type="dxa"/>
            <w:tcBorders>
              <w:bottom w:val="single" w:sz="18" w:space="0" w:color="53565A"/>
            </w:tcBorders>
            <w:vAlign w:val="center"/>
          </w:tcPr>
          <w:p w14:paraId="0EB0A641"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Nurses</w:t>
            </w:r>
          </w:p>
        </w:tc>
        <w:tc>
          <w:tcPr>
            <w:tcW w:w="867" w:type="dxa"/>
            <w:tcBorders>
              <w:bottom w:val="single" w:sz="18" w:space="0" w:color="53565A"/>
            </w:tcBorders>
            <w:shd w:val="clear" w:color="auto" w:fill="F2F2F2" w:themeFill="background1" w:themeFillShade="F2"/>
          </w:tcPr>
          <w:p w14:paraId="29E6C862" w14:textId="0A3969E3" w:rsidR="004660D6" w:rsidRPr="005734B8" w:rsidRDefault="00D52747"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D52747">
              <w:rPr>
                <w:rFonts w:ascii="Calibri" w:hAnsi="Calibri" w:cs="Calibri"/>
                <w:bCs/>
                <w:sz w:val="16"/>
                <w:szCs w:val="16"/>
              </w:rPr>
              <w:t>228</w:t>
            </w:r>
          </w:p>
        </w:tc>
        <w:tc>
          <w:tcPr>
            <w:tcW w:w="834" w:type="dxa"/>
            <w:tcBorders>
              <w:bottom w:val="single" w:sz="18" w:space="0" w:color="53565A"/>
            </w:tcBorders>
            <w:shd w:val="clear" w:color="auto" w:fill="F2F2F2" w:themeFill="background1" w:themeFillShade="F2"/>
          </w:tcPr>
          <w:p w14:paraId="15A216FE" w14:textId="2B8CD3FB" w:rsidR="004660D6" w:rsidRPr="005734B8" w:rsidRDefault="00D52747"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D52747">
              <w:rPr>
                <w:rFonts w:ascii="Calibri" w:hAnsi="Calibri" w:cs="Calibri"/>
                <w:bCs/>
                <w:sz w:val="16"/>
                <w:szCs w:val="16"/>
              </w:rPr>
              <w:t>174.2</w:t>
            </w:r>
          </w:p>
        </w:tc>
        <w:tc>
          <w:tcPr>
            <w:tcW w:w="900" w:type="dxa"/>
            <w:tcBorders>
              <w:bottom w:val="single" w:sz="18" w:space="0" w:color="53565A"/>
            </w:tcBorders>
            <w:shd w:val="clear" w:color="auto" w:fill="F2F2F2" w:themeFill="background1" w:themeFillShade="F2"/>
          </w:tcPr>
          <w:p w14:paraId="0658DB61" w14:textId="103D5FAA" w:rsidR="004660D6" w:rsidRPr="005734B8" w:rsidRDefault="00D52747"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D52747">
              <w:rPr>
                <w:rFonts w:ascii="Calibri" w:hAnsi="Calibri" w:cs="Calibri"/>
                <w:bCs/>
                <w:sz w:val="16"/>
                <w:szCs w:val="16"/>
              </w:rPr>
              <w:t>74</w:t>
            </w:r>
          </w:p>
        </w:tc>
        <w:tc>
          <w:tcPr>
            <w:tcW w:w="867" w:type="dxa"/>
            <w:tcBorders>
              <w:bottom w:val="single" w:sz="18" w:space="0" w:color="53565A"/>
            </w:tcBorders>
            <w:shd w:val="clear" w:color="auto" w:fill="F2F2F2" w:themeFill="background1" w:themeFillShade="F2"/>
          </w:tcPr>
          <w:p w14:paraId="19E4C832" w14:textId="15C91EE2" w:rsidR="004660D6" w:rsidRPr="005734B8" w:rsidRDefault="00D52747"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D52747">
              <w:rPr>
                <w:rFonts w:ascii="Calibri" w:hAnsi="Calibri" w:cs="Calibri"/>
                <w:bCs/>
                <w:sz w:val="16"/>
                <w:szCs w:val="16"/>
              </w:rPr>
              <w:t>139</w:t>
            </w:r>
          </w:p>
        </w:tc>
        <w:tc>
          <w:tcPr>
            <w:tcW w:w="926" w:type="dxa"/>
            <w:tcBorders>
              <w:bottom w:val="single" w:sz="18" w:space="0" w:color="53565A"/>
            </w:tcBorders>
            <w:shd w:val="clear" w:color="auto" w:fill="F2F2F2" w:themeFill="background1" w:themeFillShade="F2"/>
          </w:tcPr>
          <w:p w14:paraId="78E0E33A" w14:textId="5C297FDE" w:rsidR="004660D6" w:rsidRPr="005734B8" w:rsidRDefault="00D52747"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D52747">
              <w:rPr>
                <w:rFonts w:ascii="Calibri" w:hAnsi="Calibri" w:cs="Calibri"/>
                <w:bCs/>
                <w:sz w:val="16"/>
                <w:szCs w:val="16"/>
              </w:rPr>
              <w:t>163.0</w:t>
            </w:r>
          </w:p>
        </w:tc>
        <w:tc>
          <w:tcPr>
            <w:tcW w:w="808" w:type="dxa"/>
            <w:tcBorders>
              <w:bottom w:val="single" w:sz="18" w:space="0" w:color="53565A"/>
            </w:tcBorders>
            <w:shd w:val="clear" w:color="auto" w:fill="F2F2F2" w:themeFill="background1" w:themeFillShade="F2"/>
            <w:vAlign w:val="center"/>
          </w:tcPr>
          <w:p w14:paraId="667A29B2"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15</w:t>
            </w:r>
          </w:p>
        </w:tc>
        <w:tc>
          <w:tcPr>
            <w:tcW w:w="893" w:type="dxa"/>
            <w:tcBorders>
              <w:bottom w:val="single" w:sz="18" w:space="0" w:color="53565A"/>
            </w:tcBorders>
            <w:shd w:val="clear" w:color="auto" w:fill="F2F2F2" w:themeFill="background1" w:themeFillShade="F2"/>
            <w:vAlign w:val="center"/>
          </w:tcPr>
          <w:p w14:paraId="779E74CB"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11.2</w:t>
            </w:r>
          </w:p>
        </w:tc>
        <w:tc>
          <w:tcPr>
            <w:tcW w:w="842" w:type="dxa"/>
            <w:tcBorders>
              <w:bottom w:val="single" w:sz="18" w:space="0" w:color="53565A"/>
            </w:tcBorders>
            <w:shd w:val="clear" w:color="auto" w:fill="FFFFFF" w:themeFill="background1"/>
            <w:vAlign w:val="center"/>
          </w:tcPr>
          <w:p w14:paraId="14F3758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228</w:t>
            </w:r>
          </w:p>
        </w:tc>
        <w:tc>
          <w:tcPr>
            <w:tcW w:w="718" w:type="dxa"/>
            <w:tcBorders>
              <w:bottom w:val="single" w:sz="18" w:space="0" w:color="53565A"/>
            </w:tcBorders>
            <w:shd w:val="clear" w:color="auto" w:fill="FFFFFF" w:themeFill="background1"/>
            <w:vAlign w:val="center"/>
          </w:tcPr>
          <w:p w14:paraId="5AEF7CC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174.2</w:t>
            </w:r>
          </w:p>
        </w:tc>
        <w:tc>
          <w:tcPr>
            <w:tcW w:w="1016" w:type="dxa"/>
            <w:tcBorders>
              <w:bottom w:val="single" w:sz="18" w:space="0" w:color="53565A"/>
            </w:tcBorders>
            <w:shd w:val="clear" w:color="auto" w:fill="FFFFFF" w:themeFill="background1"/>
            <w:vAlign w:val="center"/>
          </w:tcPr>
          <w:p w14:paraId="3091B60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77</w:t>
            </w:r>
          </w:p>
        </w:tc>
        <w:tc>
          <w:tcPr>
            <w:tcW w:w="867" w:type="dxa"/>
            <w:tcBorders>
              <w:bottom w:val="single" w:sz="18" w:space="0" w:color="53565A"/>
            </w:tcBorders>
            <w:shd w:val="clear" w:color="auto" w:fill="FFFFFF" w:themeFill="background1"/>
            <w:vAlign w:val="center"/>
          </w:tcPr>
          <w:p w14:paraId="61001F8D"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137</w:t>
            </w:r>
          </w:p>
        </w:tc>
        <w:tc>
          <w:tcPr>
            <w:tcW w:w="810" w:type="dxa"/>
            <w:tcBorders>
              <w:bottom w:val="single" w:sz="18" w:space="0" w:color="53565A"/>
            </w:tcBorders>
            <w:shd w:val="clear" w:color="auto" w:fill="FFFFFF" w:themeFill="background1"/>
            <w:vAlign w:val="center"/>
          </w:tcPr>
          <w:p w14:paraId="5CC7403C"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164.3</w:t>
            </w:r>
          </w:p>
        </w:tc>
        <w:tc>
          <w:tcPr>
            <w:tcW w:w="924" w:type="dxa"/>
            <w:tcBorders>
              <w:bottom w:val="single" w:sz="18" w:space="0" w:color="53565A"/>
            </w:tcBorders>
            <w:shd w:val="clear" w:color="auto" w:fill="FFFFFF" w:themeFill="background1"/>
            <w:vAlign w:val="center"/>
          </w:tcPr>
          <w:p w14:paraId="62F819BB"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14</w:t>
            </w:r>
          </w:p>
        </w:tc>
        <w:tc>
          <w:tcPr>
            <w:tcW w:w="868" w:type="dxa"/>
            <w:tcBorders>
              <w:bottom w:val="single" w:sz="18" w:space="0" w:color="53565A"/>
            </w:tcBorders>
            <w:shd w:val="clear" w:color="auto" w:fill="FFFFFF" w:themeFill="background1"/>
            <w:vAlign w:val="center"/>
          </w:tcPr>
          <w:p w14:paraId="63001644"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9.9</w:t>
            </w:r>
          </w:p>
        </w:tc>
      </w:tr>
      <w:tr w:rsidR="00175CCF" w:rsidRPr="005734B8" w14:paraId="7DFCB912" w14:textId="77777777" w:rsidTr="002B5648">
        <w:tc>
          <w:tcPr>
            <w:cnfStyle w:val="001000000000" w:firstRow="0" w:lastRow="0" w:firstColumn="1" w:lastColumn="0" w:oddVBand="0" w:evenVBand="0" w:oddHBand="0" w:evenHBand="0" w:firstRowFirstColumn="0" w:firstRowLastColumn="0" w:lastRowFirstColumn="0" w:lastRowLastColumn="0"/>
            <w:tcW w:w="534" w:type="dxa"/>
            <w:vMerge/>
          </w:tcPr>
          <w:p w14:paraId="132ECF77" w14:textId="77777777" w:rsidR="004660D6" w:rsidRPr="005734B8" w:rsidRDefault="004660D6" w:rsidP="004660D6">
            <w:pPr>
              <w:pStyle w:val="ESTablebody"/>
              <w:jc w:val="center"/>
              <w:rPr>
                <w:rFonts w:ascii="Calibri" w:hAnsi="Calibri" w:cs="Calibri"/>
                <w:b/>
                <w:sz w:val="19"/>
                <w:szCs w:val="19"/>
              </w:rPr>
            </w:pPr>
          </w:p>
        </w:tc>
        <w:tc>
          <w:tcPr>
            <w:tcW w:w="1276" w:type="dxa"/>
            <w:tcBorders>
              <w:top w:val="single" w:sz="18" w:space="0" w:color="53565A"/>
              <w:bottom w:val="single" w:sz="18" w:space="0" w:color="53565A"/>
            </w:tcBorders>
            <w:vAlign w:val="center"/>
          </w:tcPr>
          <w:p w14:paraId="05D9BE1C"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b/>
                <w:sz w:val="16"/>
                <w:szCs w:val="16"/>
              </w:rPr>
              <w:t>Total employees</w:t>
            </w:r>
          </w:p>
        </w:tc>
        <w:tc>
          <w:tcPr>
            <w:tcW w:w="867" w:type="dxa"/>
            <w:tcBorders>
              <w:top w:val="single" w:sz="18" w:space="0" w:color="53565A"/>
              <w:bottom w:val="single" w:sz="18" w:space="0" w:color="53565A"/>
            </w:tcBorders>
            <w:shd w:val="clear" w:color="auto" w:fill="F2F2F2" w:themeFill="background1" w:themeFillShade="F2"/>
            <w:vAlign w:val="center"/>
          </w:tcPr>
          <w:p w14:paraId="0D5EDC4A"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4,559</w:t>
            </w:r>
          </w:p>
        </w:tc>
        <w:tc>
          <w:tcPr>
            <w:tcW w:w="834" w:type="dxa"/>
            <w:tcBorders>
              <w:top w:val="single" w:sz="18" w:space="0" w:color="53565A"/>
              <w:bottom w:val="single" w:sz="18" w:space="0" w:color="53565A"/>
            </w:tcBorders>
            <w:shd w:val="clear" w:color="auto" w:fill="F2F2F2" w:themeFill="background1" w:themeFillShade="F2"/>
            <w:vAlign w:val="center"/>
          </w:tcPr>
          <w:p w14:paraId="0B35CB7E"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4,207.8</w:t>
            </w:r>
          </w:p>
        </w:tc>
        <w:tc>
          <w:tcPr>
            <w:tcW w:w="900" w:type="dxa"/>
            <w:tcBorders>
              <w:top w:val="single" w:sz="18" w:space="0" w:color="53565A"/>
              <w:bottom w:val="single" w:sz="18" w:space="0" w:color="53565A"/>
            </w:tcBorders>
            <w:shd w:val="clear" w:color="auto" w:fill="F2F2F2" w:themeFill="background1" w:themeFillShade="F2"/>
            <w:vAlign w:val="center"/>
          </w:tcPr>
          <w:p w14:paraId="29CC54A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2,787</w:t>
            </w:r>
          </w:p>
        </w:tc>
        <w:tc>
          <w:tcPr>
            <w:tcW w:w="867" w:type="dxa"/>
            <w:tcBorders>
              <w:top w:val="single" w:sz="18" w:space="0" w:color="53565A"/>
              <w:bottom w:val="single" w:sz="18" w:space="0" w:color="53565A"/>
            </w:tcBorders>
            <w:shd w:val="clear" w:color="auto" w:fill="F2F2F2" w:themeFill="background1" w:themeFillShade="F2"/>
            <w:vAlign w:val="center"/>
          </w:tcPr>
          <w:p w14:paraId="1ED74C4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916</w:t>
            </w:r>
          </w:p>
        </w:tc>
        <w:tc>
          <w:tcPr>
            <w:tcW w:w="926" w:type="dxa"/>
            <w:tcBorders>
              <w:top w:val="single" w:sz="18" w:space="0" w:color="53565A"/>
              <w:bottom w:val="single" w:sz="18" w:space="0" w:color="53565A"/>
            </w:tcBorders>
            <w:shd w:val="clear" w:color="auto" w:fill="F2F2F2" w:themeFill="background1" w:themeFillShade="F2"/>
            <w:vAlign w:val="center"/>
          </w:tcPr>
          <w:p w14:paraId="44960494"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3,407.0</w:t>
            </w:r>
          </w:p>
        </w:tc>
        <w:tc>
          <w:tcPr>
            <w:tcW w:w="808" w:type="dxa"/>
            <w:tcBorders>
              <w:top w:val="single" w:sz="18" w:space="0" w:color="53565A"/>
              <w:bottom w:val="single" w:sz="18" w:space="0" w:color="53565A"/>
            </w:tcBorders>
            <w:shd w:val="clear" w:color="auto" w:fill="F2F2F2" w:themeFill="background1" w:themeFillShade="F2"/>
            <w:vAlign w:val="center"/>
          </w:tcPr>
          <w:p w14:paraId="4A3A71DD"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856</w:t>
            </w:r>
          </w:p>
        </w:tc>
        <w:tc>
          <w:tcPr>
            <w:tcW w:w="893" w:type="dxa"/>
            <w:tcBorders>
              <w:top w:val="single" w:sz="18" w:space="0" w:color="53565A"/>
              <w:bottom w:val="single" w:sz="18" w:space="0" w:color="53565A"/>
            </w:tcBorders>
            <w:shd w:val="clear" w:color="auto" w:fill="F2F2F2" w:themeFill="background1" w:themeFillShade="F2"/>
            <w:vAlign w:val="center"/>
          </w:tcPr>
          <w:p w14:paraId="3F2F0BCB"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800.8</w:t>
            </w:r>
          </w:p>
        </w:tc>
        <w:tc>
          <w:tcPr>
            <w:tcW w:w="842" w:type="dxa"/>
            <w:tcBorders>
              <w:top w:val="single" w:sz="18" w:space="0" w:color="53565A"/>
              <w:bottom w:val="single" w:sz="18" w:space="0" w:color="53565A"/>
            </w:tcBorders>
            <w:shd w:val="clear" w:color="auto" w:fill="FFFFFF" w:themeFill="background1"/>
            <w:vAlign w:val="center"/>
          </w:tcPr>
          <w:p w14:paraId="0AE442CA"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b/>
                <w:sz w:val="16"/>
                <w:szCs w:val="16"/>
              </w:rPr>
              <w:t>4,290</w:t>
            </w:r>
          </w:p>
        </w:tc>
        <w:tc>
          <w:tcPr>
            <w:tcW w:w="718" w:type="dxa"/>
            <w:tcBorders>
              <w:top w:val="single" w:sz="18" w:space="0" w:color="53565A"/>
              <w:bottom w:val="single" w:sz="18" w:space="0" w:color="53565A"/>
            </w:tcBorders>
            <w:shd w:val="clear" w:color="auto" w:fill="FFFFFF" w:themeFill="background1"/>
            <w:vAlign w:val="center"/>
          </w:tcPr>
          <w:p w14:paraId="71E30344"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b/>
                <w:sz w:val="16"/>
                <w:szCs w:val="16"/>
              </w:rPr>
              <w:t>3,950.9</w:t>
            </w:r>
          </w:p>
        </w:tc>
        <w:tc>
          <w:tcPr>
            <w:tcW w:w="1016" w:type="dxa"/>
            <w:tcBorders>
              <w:top w:val="single" w:sz="18" w:space="0" w:color="53565A"/>
              <w:bottom w:val="single" w:sz="18" w:space="0" w:color="53565A"/>
            </w:tcBorders>
            <w:shd w:val="clear" w:color="auto" w:fill="FFFFFF" w:themeFill="background1"/>
            <w:vAlign w:val="center"/>
          </w:tcPr>
          <w:p w14:paraId="2D013746"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b/>
                <w:sz w:val="16"/>
                <w:szCs w:val="16"/>
              </w:rPr>
              <w:t>2,565</w:t>
            </w:r>
          </w:p>
        </w:tc>
        <w:tc>
          <w:tcPr>
            <w:tcW w:w="867" w:type="dxa"/>
            <w:tcBorders>
              <w:top w:val="single" w:sz="18" w:space="0" w:color="53565A"/>
              <w:bottom w:val="single" w:sz="18" w:space="0" w:color="53565A"/>
            </w:tcBorders>
            <w:shd w:val="clear" w:color="auto" w:fill="FFFFFF" w:themeFill="background1"/>
            <w:vAlign w:val="center"/>
          </w:tcPr>
          <w:p w14:paraId="22B23DBE"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b/>
                <w:sz w:val="16"/>
                <w:szCs w:val="16"/>
              </w:rPr>
              <w:t>899</w:t>
            </w:r>
          </w:p>
        </w:tc>
        <w:tc>
          <w:tcPr>
            <w:tcW w:w="810" w:type="dxa"/>
            <w:tcBorders>
              <w:top w:val="single" w:sz="18" w:space="0" w:color="53565A"/>
              <w:bottom w:val="single" w:sz="18" w:space="0" w:color="53565A"/>
            </w:tcBorders>
            <w:shd w:val="clear" w:color="auto" w:fill="FFFFFF" w:themeFill="background1"/>
            <w:vAlign w:val="center"/>
          </w:tcPr>
          <w:p w14:paraId="2AF7562D"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b/>
                <w:sz w:val="16"/>
                <w:szCs w:val="16"/>
              </w:rPr>
              <w:t>3,176.8</w:t>
            </w:r>
          </w:p>
        </w:tc>
        <w:tc>
          <w:tcPr>
            <w:tcW w:w="924" w:type="dxa"/>
            <w:tcBorders>
              <w:top w:val="single" w:sz="18" w:space="0" w:color="53565A"/>
              <w:bottom w:val="single" w:sz="18" w:space="0" w:color="53565A"/>
            </w:tcBorders>
            <w:shd w:val="clear" w:color="auto" w:fill="FFFFFF" w:themeFill="background1"/>
            <w:vAlign w:val="center"/>
          </w:tcPr>
          <w:p w14:paraId="6DB1C00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b/>
                <w:sz w:val="16"/>
                <w:szCs w:val="16"/>
              </w:rPr>
              <w:t>826</w:t>
            </w:r>
          </w:p>
        </w:tc>
        <w:tc>
          <w:tcPr>
            <w:tcW w:w="868" w:type="dxa"/>
            <w:tcBorders>
              <w:top w:val="single" w:sz="18" w:space="0" w:color="53565A"/>
              <w:bottom w:val="single" w:sz="18" w:space="0" w:color="53565A"/>
            </w:tcBorders>
            <w:shd w:val="clear" w:color="auto" w:fill="FFFFFF" w:themeFill="background1"/>
            <w:vAlign w:val="center"/>
          </w:tcPr>
          <w:p w14:paraId="571FE764"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b/>
                <w:sz w:val="16"/>
                <w:szCs w:val="16"/>
              </w:rPr>
              <w:t>774.1</w:t>
            </w:r>
          </w:p>
        </w:tc>
      </w:tr>
      <w:tr w:rsidR="005734B8" w:rsidRPr="005734B8" w14:paraId="4F15AFF0" w14:textId="77777777" w:rsidTr="004660D6">
        <w:tc>
          <w:tcPr>
            <w:cnfStyle w:val="001000000000" w:firstRow="0" w:lastRow="0" w:firstColumn="1" w:lastColumn="0" w:oddVBand="0" w:evenVBand="0" w:oddHBand="0" w:evenHBand="0" w:firstRowFirstColumn="0" w:firstRowLastColumn="0" w:lastRowFirstColumn="0" w:lastRowLastColumn="0"/>
            <w:tcW w:w="534" w:type="dxa"/>
            <w:vMerge/>
          </w:tcPr>
          <w:p w14:paraId="6354EE42" w14:textId="77777777" w:rsidR="004660D6" w:rsidRPr="005734B8" w:rsidRDefault="004660D6" w:rsidP="004660D6">
            <w:pPr>
              <w:pStyle w:val="ESTablebody"/>
              <w:jc w:val="center"/>
              <w:rPr>
                <w:rFonts w:ascii="Calibri" w:hAnsi="Calibri" w:cs="Calibri"/>
                <w:b/>
                <w:sz w:val="19"/>
                <w:szCs w:val="19"/>
              </w:rPr>
            </w:pPr>
          </w:p>
        </w:tc>
        <w:tc>
          <w:tcPr>
            <w:tcW w:w="1276" w:type="dxa"/>
            <w:tcBorders>
              <w:top w:val="single" w:sz="18" w:space="0" w:color="53565A"/>
              <w:bottom w:val="single" w:sz="18" w:space="0" w:color="53565A"/>
            </w:tcBorders>
            <w:vAlign w:val="center"/>
          </w:tcPr>
          <w:p w14:paraId="4C454A98" w14:textId="77777777" w:rsidR="004660D6" w:rsidRPr="005734B8" w:rsidRDefault="004660D6" w:rsidP="004660D6">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8"/>
              </w:rPr>
            </w:pPr>
          </w:p>
        </w:tc>
        <w:tc>
          <w:tcPr>
            <w:tcW w:w="867" w:type="dxa"/>
            <w:tcBorders>
              <w:top w:val="single" w:sz="18" w:space="0" w:color="53565A"/>
              <w:bottom w:val="single" w:sz="18" w:space="0" w:color="53565A"/>
            </w:tcBorders>
            <w:shd w:val="clear" w:color="auto" w:fill="F2F2F2" w:themeFill="background1" w:themeFillShade="F2"/>
          </w:tcPr>
          <w:p w14:paraId="194B8349"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8"/>
              </w:rPr>
            </w:pPr>
          </w:p>
        </w:tc>
        <w:tc>
          <w:tcPr>
            <w:tcW w:w="834" w:type="dxa"/>
            <w:tcBorders>
              <w:top w:val="single" w:sz="18" w:space="0" w:color="53565A"/>
              <w:bottom w:val="single" w:sz="18" w:space="0" w:color="53565A"/>
            </w:tcBorders>
            <w:shd w:val="clear" w:color="auto" w:fill="F2F2F2" w:themeFill="background1" w:themeFillShade="F2"/>
          </w:tcPr>
          <w:p w14:paraId="00F847BD"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8"/>
              </w:rPr>
            </w:pPr>
          </w:p>
        </w:tc>
        <w:tc>
          <w:tcPr>
            <w:tcW w:w="900" w:type="dxa"/>
            <w:tcBorders>
              <w:top w:val="single" w:sz="18" w:space="0" w:color="53565A"/>
              <w:bottom w:val="single" w:sz="18" w:space="0" w:color="53565A"/>
            </w:tcBorders>
            <w:shd w:val="clear" w:color="auto" w:fill="F2F2F2" w:themeFill="background1" w:themeFillShade="F2"/>
          </w:tcPr>
          <w:p w14:paraId="4FE4C453"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8"/>
              </w:rPr>
            </w:pPr>
          </w:p>
        </w:tc>
        <w:tc>
          <w:tcPr>
            <w:tcW w:w="867" w:type="dxa"/>
            <w:tcBorders>
              <w:top w:val="single" w:sz="18" w:space="0" w:color="53565A"/>
              <w:bottom w:val="single" w:sz="18" w:space="0" w:color="53565A"/>
            </w:tcBorders>
            <w:shd w:val="clear" w:color="auto" w:fill="F2F2F2" w:themeFill="background1" w:themeFillShade="F2"/>
          </w:tcPr>
          <w:p w14:paraId="164C738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8"/>
              </w:rPr>
            </w:pPr>
          </w:p>
        </w:tc>
        <w:tc>
          <w:tcPr>
            <w:tcW w:w="926" w:type="dxa"/>
            <w:tcBorders>
              <w:top w:val="single" w:sz="18" w:space="0" w:color="53565A"/>
              <w:bottom w:val="single" w:sz="18" w:space="0" w:color="53565A"/>
            </w:tcBorders>
            <w:shd w:val="clear" w:color="auto" w:fill="F2F2F2" w:themeFill="background1" w:themeFillShade="F2"/>
          </w:tcPr>
          <w:p w14:paraId="0DF7E885"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8"/>
              </w:rPr>
            </w:pPr>
          </w:p>
        </w:tc>
        <w:tc>
          <w:tcPr>
            <w:tcW w:w="808" w:type="dxa"/>
            <w:tcBorders>
              <w:top w:val="single" w:sz="18" w:space="0" w:color="53565A"/>
              <w:bottom w:val="single" w:sz="18" w:space="0" w:color="53565A"/>
            </w:tcBorders>
            <w:shd w:val="clear" w:color="auto" w:fill="F2F2F2" w:themeFill="background1" w:themeFillShade="F2"/>
          </w:tcPr>
          <w:p w14:paraId="7A9FE2D2"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8"/>
              </w:rPr>
            </w:pPr>
          </w:p>
        </w:tc>
        <w:tc>
          <w:tcPr>
            <w:tcW w:w="893" w:type="dxa"/>
            <w:tcBorders>
              <w:top w:val="single" w:sz="18" w:space="0" w:color="53565A"/>
              <w:bottom w:val="single" w:sz="18" w:space="0" w:color="53565A"/>
            </w:tcBorders>
            <w:shd w:val="clear" w:color="auto" w:fill="F2F2F2" w:themeFill="background1" w:themeFillShade="F2"/>
          </w:tcPr>
          <w:p w14:paraId="62CD8E72"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8"/>
              </w:rPr>
            </w:pPr>
          </w:p>
        </w:tc>
        <w:tc>
          <w:tcPr>
            <w:tcW w:w="842" w:type="dxa"/>
            <w:tcBorders>
              <w:top w:val="single" w:sz="18" w:space="0" w:color="53565A"/>
              <w:bottom w:val="single" w:sz="18" w:space="0" w:color="53565A"/>
            </w:tcBorders>
            <w:shd w:val="clear" w:color="auto" w:fill="FFFFFF" w:themeFill="background1"/>
            <w:vAlign w:val="center"/>
          </w:tcPr>
          <w:p w14:paraId="02DE8482"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8"/>
              </w:rPr>
            </w:pPr>
          </w:p>
        </w:tc>
        <w:tc>
          <w:tcPr>
            <w:tcW w:w="718" w:type="dxa"/>
            <w:tcBorders>
              <w:top w:val="single" w:sz="18" w:space="0" w:color="53565A"/>
              <w:bottom w:val="single" w:sz="18" w:space="0" w:color="53565A"/>
            </w:tcBorders>
            <w:shd w:val="clear" w:color="auto" w:fill="FFFFFF" w:themeFill="background1"/>
            <w:vAlign w:val="center"/>
          </w:tcPr>
          <w:p w14:paraId="2D8E2194"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8"/>
              </w:rPr>
            </w:pPr>
          </w:p>
        </w:tc>
        <w:tc>
          <w:tcPr>
            <w:tcW w:w="1016" w:type="dxa"/>
            <w:tcBorders>
              <w:top w:val="single" w:sz="18" w:space="0" w:color="53565A"/>
              <w:bottom w:val="single" w:sz="18" w:space="0" w:color="53565A"/>
            </w:tcBorders>
            <w:shd w:val="clear" w:color="auto" w:fill="FFFFFF" w:themeFill="background1"/>
            <w:vAlign w:val="center"/>
          </w:tcPr>
          <w:p w14:paraId="40AB0701"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8"/>
              </w:rPr>
            </w:pPr>
          </w:p>
        </w:tc>
        <w:tc>
          <w:tcPr>
            <w:tcW w:w="867" w:type="dxa"/>
            <w:tcBorders>
              <w:top w:val="single" w:sz="18" w:space="0" w:color="53565A"/>
              <w:bottom w:val="single" w:sz="18" w:space="0" w:color="53565A"/>
            </w:tcBorders>
            <w:shd w:val="clear" w:color="auto" w:fill="FFFFFF" w:themeFill="background1"/>
            <w:vAlign w:val="center"/>
          </w:tcPr>
          <w:p w14:paraId="7C3892D7"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8"/>
              </w:rPr>
            </w:pPr>
          </w:p>
        </w:tc>
        <w:tc>
          <w:tcPr>
            <w:tcW w:w="810" w:type="dxa"/>
            <w:tcBorders>
              <w:top w:val="single" w:sz="18" w:space="0" w:color="53565A"/>
              <w:bottom w:val="single" w:sz="18" w:space="0" w:color="53565A"/>
            </w:tcBorders>
            <w:shd w:val="clear" w:color="auto" w:fill="FFFFFF" w:themeFill="background1"/>
            <w:vAlign w:val="center"/>
          </w:tcPr>
          <w:p w14:paraId="21664E60"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8"/>
              </w:rPr>
            </w:pPr>
          </w:p>
        </w:tc>
        <w:tc>
          <w:tcPr>
            <w:tcW w:w="924" w:type="dxa"/>
            <w:tcBorders>
              <w:top w:val="single" w:sz="18" w:space="0" w:color="53565A"/>
              <w:bottom w:val="single" w:sz="18" w:space="0" w:color="53565A"/>
            </w:tcBorders>
            <w:shd w:val="clear" w:color="auto" w:fill="FFFFFF" w:themeFill="background1"/>
            <w:vAlign w:val="center"/>
          </w:tcPr>
          <w:p w14:paraId="6CD96D8C"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8"/>
              </w:rPr>
            </w:pPr>
          </w:p>
        </w:tc>
        <w:tc>
          <w:tcPr>
            <w:tcW w:w="868" w:type="dxa"/>
            <w:tcBorders>
              <w:top w:val="single" w:sz="18" w:space="0" w:color="53565A"/>
              <w:bottom w:val="single" w:sz="18" w:space="0" w:color="53565A"/>
            </w:tcBorders>
            <w:shd w:val="clear" w:color="auto" w:fill="FFFFFF" w:themeFill="background1"/>
            <w:vAlign w:val="center"/>
          </w:tcPr>
          <w:p w14:paraId="6C4C884C" w14:textId="77777777" w:rsidR="004660D6" w:rsidRPr="005734B8" w:rsidRDefault="004660D6" w:rsidP="004660D6">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Calibri" w:hAnsi="Calibri" w:cs="Calibri"/>
                <w:b/>
                <w:sz w:val="18"/>
              </w:rPr>
            </w:pPr>
          </w:p>
        </w:tc>
      </w:tr>
    </w:tbl>
    <w:p w14:paraId="3E0A34F0" w14:textId="77777777" w:rsidR="00D646D6" w:rsidRPr="005734B8" w:rsidRDefault="00D646D6" w:rsidP="00D646D6">
      <w:pPr>
        <w:rPr>
          <w:rFonts w:ascii="Calibri" w:hAnsi="Calibri" w:cs="Calibri"/>
          <w:highlight w:val="yellow"/>
        </w:rPr>
      </w:pPr>
    </w:p>
    <w:p w14:paraId="57300F0A" w14:textId="1986300A" w:rsidR="004660D6" w:rsidRPr="005734B8" w:rsidRDefault="004660D6" w:rsidP="004660D6">
      <w:pPr>
        <w:pStyle w:val="ESTableintroheading"/>
        <w:rPr>
          <w:rFonts w:ascii="Calibri" w:hAnsi="Calibri" w:cs="Calibri"/>
        </w:rPr>
      </w:pPr>
      <w:r w:rsidRPr="005734B8">
        <w:rPr>
          <w:rFonts w:ascii="Calibri" w:hAnsi="Calibri" w:cs="Calibri"/>
        </w:rPr>
        <w:lastRenderedPageBreak/>
        <w:t>Government teaching service staff employment levels as at June 2020 and 2021</w:t>
      </w:r>
    </w:p>
    <w:tbl>
      <w:tblPr>
        <w:tblStyle w:val="DTFFinancialTable"/>
        <w:tblW w:w="5000" w:type="pct"/>
        <w:tblBorders>
          <w:top w:val="single" w:sz="4" w:space="0" w:color="FFFFFF" w:themeColor="background1"/>
          <w:left w:val="single" w:sz="4" w:space="0" w:color="FFFFFF" w:themeColor="background1"/>
          <w:bottom w:val="single" w:sz="2" w:space="0" w:color="53565A" w:themeColor="accent5"/>
          <w:right w:val="single" w:sz="4" w:space="0" w:color="FFFFFF" w:themeColor="background1"/>
          <w:insideH w:val="single" w:sz="2" w:space="0" w:color="53565A" w:themeColor="accent5"/>
          <w:insideV w:val="single" w:sz="4" w:space="0" w:color="FFFFFF" w:themeColor="background1"/>
        </w:tblBorders>
        <w:tblLayout w:type="fixed"/>
        <w:tblCellMar>
          <w:left w:w="43" w:type="dxa"/>
          <w:right w:w="43" w:type="dxa"/>
        </w:tblCellMar>
        <w:tblLook w:val="06A0" w:firstRow="1" w:lastRow="0" w:firstColumn="1" w:lastColumn="0" w:noHBand="1" w:noVBand="1"/>
      </w:tblPr>
      <w:tblGrid>
        <w:gridCol w:w="534"/>
        <w:gridCol w:w="1276"/>
        <w:gridCol w:w="867"/>
        <w:gridCol w:w="834"/>
        <w:gridCol w:w="900"/>
        <w:gridCol w:w="867"/>
        <w:gridCol w:w="926"/>
        <w:gridCol w:w="808"/>
        <w:gridCol w:w="893"/>
        <w:gridCol w:w="842"/>
        <w:gridCol w:w="859"/>
        <w:gridCol w:w="875"/>
        <w:gridCol w:w="867"/>
        <w:gridCol w:w="810"/>
        <w:gridCol w:w="924"/>
        <w:gridCol w:w="868"/>
      </w:tblGrid>
      <w:tr w:rsidR="004660D6" w:rsidRPr="005734B8" w14:paraId="1A9300E9" w14:textId="77777777" w:rsidTr="004660D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4" w:type="dxa"/>
            <w:shd w:val="clear" w:color="auto" w:fill="AF272F" w:themeFill="accent4"/>
            <w:vAlign w:val="top"/>
          </w:tcPr>
          <w:p w14:paraId="7823E8FE" w14:textId="77777777" w:rsidR="004660D6" w:rsidRPr="005734B8" w:rsidRDefault="004660D6" w:rsidP="004660D6">
            <w:pPr>
              <w:pStyle w:val="ESTableheadingwhite"/>
              <w:spacing w:before="0" w:after="0"/>
              <w:jc w:val="center"/>
              <w:rPr>
                <w:rFonts w:ascii="Calibri" w:hAnsi="Calibri" w:cs="Calibri"/>
                <w:sz w:val="17"/>
                <w:szCs w:val="17"/>
              </w:rPr>
            </w:pPr>
          </w:p>
        </w:tc>
        <w:tc>
          <w:tcPr>
            <w:tcW w:w="1276" w:type="dxa"/>
            <w:shd w:val="clear" w:color="auto" w:fill="AF272F" w:themeFill="accent4"/>
            <w:vAlign w:val="top"/>
          </w:tcPr>
          <w:p w14:paraId="14AE5EC6" w14:textId="77777777" w:rsidR="004660D6" w:rsidRPr="005734B8" w:rsidRDefault="004660D6" w:rsidP="004660D6">
            <w:pPr>
              <w:pStyle w:val="ESTableheadingwhite"/>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sz w:val="17"/>
                <w:szCs w:val="17"/>
              </w:rPr>
            </w:pPr>
          </w:p>
        </w:tc>
        <w:tc>
          <w:tcPr>
            <w:tcW w:w="6095" w:type="dxa"/>
            <w:gridSpan w:val="7"/>
            <w:shd w:val="clear" w:color="auto" w:fill="AF272F" w:themeFill="accent4"/>
            <w:vAlign w:val="top"/>
          </w:tcPr>
          <w:p w14:paraId="00768735" w14:textId="77777777" w:rsidR="004660D6" w:rsidRPr="005734B8" w:rsidRDefault="004660D6" w:rsidP="004660D6">
            <w:pPr>
              <w:pStyle w:val="ESTableheadingwhit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7"/>
                <w:szCs w:val="17"/>
              </w:rPr>
            </w:pPr>
            <w:r w:rsidRPr="005734B8">
              <w:rPr>
                <w:rFonts w:ascii="Calibri" w:hAnsi="Calibri" w:cs="Calibri"/>
                <w:sz w:val="17"/>
                <w:szCs w:val="17"/>
              </w:rPr>
              <w:t>June 2021</w:t>
            </w:r>
          </w:p>
        </w:tc>
        <w:tc>
          <w:tcPr>
            <w:tcW w:w="6045" w:type="dxa"/>
            <w:gridSpan w:val="7"/>
            <w:shd w:val="clear" w:color="auto" w:fill="AF272F" w:themeFill="accent4"/>
            <w:vAlign w:val="top"/>
          </w:tcPr>
          <w:p w14:paraId="5E2DB559" w14:textId="77777777" w:rsidR="004660D6" w:rsidRPr="005734B8" w:rsidRDefault="004660D6" w:rsidP="004660D6">
            <w:pPr>
              <w:pStyle w:val="ESTableheadingwhit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7"/>
                <w:szCs w:val="17"/>
              </w:rPr>
            </w:pPr>
            <w:r w:rsidRPr="005734B8">
              <w:rPr>
                <w:rFonts w:ascii="Calibri" w:hAnsi="Calibri" w:cs="Calibri"/>
                <w:sz w:val="17"/>
                <w:szCs w:val="17"/>
              </w:rPr>
              <w:t>June 2020</w:t>
            </w:r>
          </w:p>
        </w:tc>
      </w:tr>
      <w:tr w:rsidR="004660D6" w:rsidRPr="005734B8" w14:paraId="332D8CF9" w14:textId="77777777" w:rsidTr="004660D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4" w:type="dxa"/>
            <w:shd w:val="clear" w:color="auto" w:fill="53565A" w:themeFill="accent5"/>
            <w:vAlign w:val="top"/>
          </w:tcPr>
          <w:p w14:paraId="1496A6F7" w14:textId="77777777" w:rsidR="004660D6" w:rsidRPr="005734B8" w:rsidRDefault="004660D6" w:rsidP="004660D6">
            <w:pPr>
              <w:pStyle w:val="ESTableheadingwhite"/>
              <w:spacing w:before="0" w:after="0"/>
              <w:jc w:val="center"/>
              <w:rPr>
                <w:rFonts w:ascii="Calibri" w:hAnsi="Calibri" w:cs="Calibri"/>
                <w:sz w:val="17"/>
                <w:szCs w:val="17"/>
              </w:rPr>
            </w:pPr>
          </w:p>
        </w:tc>
        <w:tc>
          <w:tcPr>
            <w:tcW w:w="1276" w:type="dxa"/>
            <w:shd w:val="clear" w:color="auto" w:fill="53565A" w:themeFill="accent5"/>
            <w:vAlign w:val="top"/>
          </w:tcPr>
          <w:p w14:paraId="72900DAC" w14:textId="77777777" w:rsidR="004660D6" w:rsidRPr="005734B8" w:rsidRDefault="004660D6" w:rsidP="004660D6">
            <w:pPr>
              <w:pStyle w:val="ESTableheadingwhite"/>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sz w:val="17"/>
                <w:szCs w:val="17"/>
              </w:rPr>
            </w:pPr>
          </w:p>
        </w:tc>
        <w:tc>
          <w:tcPr>
            <w:tcW w:w="1701" w:type="dxa"/>
            <w:gridSpan w:val="2"/>
            <w:shd w:val="clear" w:color="auto" w:fill="53565A" w:themeFill="accent5"/>
            <w:vAlign w:val="center"/>
          </w:tcPr>
          <w:p w14:paraId="1B696551" w14:textId="77777777" w:rsidR="004660D6" w:rsidRPr="005734B8" w:rsidRDefault="004660D6" w:rsidP="004660D6">
            <w:pPr>
              <w:pStyle w:val="ESTableheadingwhit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7"/>
                <w:szCs w:val="17"/>
              </w:rPr>
            </w:pPr>
            <w:r w:rsidRPr="005734B8">
              <w:rPr>
                <w:rFonts w:ascii="Calibri" w:hAnsi="Calibri" w:cs="Calibri"/>
                <w:sz w:val="17"/>
                <w:szCs w:val="17"/>
              </w:rPr>
              <w:t>All employees</w:t>
            </w:r>
          </w:p>
        </w:tc>
        <w:tc>
          <w:tcPr>
            <w:tcW w:w="2693" w:type="dxa"/>
            <w:gridSpan w:val="3"/>
            <w:shd w:val="clear" w:color="auto" w:fill="53565A" w:themeFill="accent5"/>
            <w:vAlign w:val="center"/>
          </w:tcPr>
          <w:p w14:paraId="35608235" w14:textId="77777777" w:rsidR="004660D6" w:rsidRPr="005734B8" w:rsidRDefault="004660D6" w:rsidP="004660D6">
            <w:pPr>
              <w:pStyle w:val="ESTableheadingwhit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7"/>
                <w:szCs w:val="17"/>
              </w:rPr>
            </w:pPr>
            <w:r w:rsidRPr="005734B8">
              <w:rPr>
                <w:rFonts w:ascii="Calibri" w:hAnsi="Calibri" w:cs="Calibri"/>
                <w:sz w:val="17"/>
                <w:szCs w:val="17"/>
              </w:rPr>
              <w:t>Ongoing</w:t>
            </w:r>
          </w:p>
        </w:tc>
        <w:tc>
          <w:tcPr>
            <w:tcW w:w="1701" w:type="dxa"/>
            <w:gridSpan w:val="2"/>
            <w:shd w:val="clear" w:color="auto" w:fill="53565A" w:themeFill="accent5"/>
            <w:vAlign w:val="center"/>
          </w:tcPr>
          <w:p w14:paraId="5270046B" w14:textId="77777777" w:rsidR="004660D6" w:rsidRPr="005734B8" w:rsidRDefault="004660D6" w:rsidP="004660D6">
            <w:pPr>
              <w:pStyle w:val="ESTableheadingwhit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7"/>
                <w:szCs w:val="17"/>
              </w:rPr>
            </w:pPr>
            <w:r w:rsidRPr="005734B8">
              <w:rPr>
                <w:rFonts w:ascii="Calibri" w:hAnsi="Calibri" w:cs="Calibri"/>
                <w:sz w:val="17"/>
                <w:szCs w:val="17"/>
              </w:rPr>
              <w:t xml:space="preserve">Fixed term </w:t>
            </w:r>
            <w:r w:rsidRPr="005734B8">
              <w:rPr>
                <w:rFonts w:ascii="Calibri" w:hAnsi="Calibri" w:cs="Calibri"/>
                <w:sz w:val="17"/>
                <w:szCs w:val="17"/>
              </w:rPr>
              <w:br/>
              <w:t>and casual</w:t>
            </w:r>
          </w:p>
        </w:tc>
        <w:tc>
          <w:tcPr>
            <w:tcW w:w="1701" w:type="dxa"/>
            <w:gridSpan w:val="2"/>
            <w:shd w:val="clear" w:color="auto" w:fill="53565A" w:themeFill="accent5"/>
            <w:vAlign w:val="center"/>
          </w:tcPr>
          <w:p w14:paraId="2E665C8E" w14:textId="77777777" w:rsidR="004660D6" w:rsidRPr="005734B8" w:rsidRDefault="004660D6" w:rsidP="004660D6">
            <w:pPr>
              <w:pStyle w:val="ESTableheadingwhit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7"/>
                <w:szCs w:val="17"/>
              </w:rPr>
            </w:pPr>
            <w:r w:rsidRPr="005734B8">
              <w:rPr>
                <w:rFonts w:ascii="Calibri" w:hAnsi="Calibri" w:cs="Calibri"/>
                <w:sz w:val="17"/>
                <w:szCs w:val="17"/>
              </w:rPr>
              <w:t>All employees</w:t>
            </w:r>
          </w:p>
        </w:tc>
        <w:tc>
          <w:tcPr>
            <w:tcW w:w="2552" w:type="dxa"/>
            <w:gridSpan w:val="3"/>
            <w:shd w:val="clear" w:color="auto" w:fill="53565A" w:themeFill="accent5"/>
            <w:vAlign w:val="center"/>
          </w:tcPr>
          <w:p w14:paraId="27F98BB4" w14:textId="77777777" w:rsidR="004660D6" w:rsidRPr="005734B8" w:rsidRDefault="004660D6" w:rsidP="004660D6">
            <w:pPr>
              <w:pStyle w:val="ESTableheadingwhit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7"/>
                <w:szCs w:val="17"/>
              </w:rPr>
            </w:pPr>
            <w:r w:rsidRPr="005734B8">
              <w:rPr>
                <w:rFonts w:ascii="Calibri" w:hAnsi="Calibri" w:cs="Calibri"/>
                <w:sz w:val="17"/>
                <w:szCs w:val="17"/>
              </w:rPr>
              <w:t>Ongoing</w:t>
            </w:r>
          </w:p>
        </w:tc>
        <w:tc>
          <w:tcPr>
            <w:tcW w:w="1792" w:type="dxa"/>
            <w:gridSpan w:val="2"/>
            <w:shd w:val="clear" w:color="auto" w:fill="53565A" w:themeFill="accent5"/>
            <w:vAlign w:val="center"/>
          </w:tcPr>
          <w:p w14:paraId="2B71433F" w14:textId="77777777" w:rsidR="004660D6" w:rsidRPr="005734B8" w:rsidRDefault="004660D6" w:rsidP="004660D6">
            <w:pPr>
              <w:pStyle w:val="ESTableheadingwhite"/>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7"/>
                <w:szCs w:val="17"/>
              </w:rPr>
            </w:pPr>
            <w:r w:rsidRPr="005734B8">
              <w:rPr>
                <w:rFonts w:ascii="Calibri" w:hAnsi="Calibri" w:cs="Calibri"/>
                <w:sz w:val="17"/>
                <w:szCs w:val="17"/>
              </w:rPr>
              <w:t xml:space="preserve">Fixed term </w:t>
            </w:r>
            <w:r w:rsidRPr="005734B8">
              <w:rPr>
                <w:rFonts w:ascii="Calibri" w:hAnsi="Calibri" w:cs="Calibri"/>
                <w:sz w:val="17"/>
                <w:szCs w:val="17"/>
              </w:rPr>
              <w:br/>
              <w:t>and casual</w:t>
            </w:r>
          </w:p>
        </w:tc>
      </w:tr>
      <w:tr w:rsidR="005734B8" w:rsidRPr="005734B8" w14:paraId="2CC389EF" w14:textId="77777777" w:rsidTr="004660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shd w:val="clear" w:color="auto" w:fill="D9D9D6" w:themeFill="accent6"/>
          </w:tcPr>
          <w:p w14:paraId="7585F210" w14:textId="77777777" w:rsidR="004660D6" w:rsidRPr="005734B8" w:rsidRDefault="004660D6" w:rsidP="004660D6">
            <w:pPr>
              <w:pStyle w:val="ESTableheadingwhite"/>
              <w:spacing w:before="0" w:after="0"/>
              <w:jc w:val="center"/>
              <w:rPr>
                <w:rFonts w:ascii="Calibri" w:hAnsi="Calibri" w:cs="Calibri"/>
                <w:color w:val="000000" w:themeColor="text2"/>
                <w:sz w:val="16"/>
                <w:szCs w:val="16"/>
              </w:rPr>
            </w:pPr>
          </w:p>
        </w:tc>
        <w:tc>
          <w:tcPr>
            <w:tcW w:w="1276" w:type="dxa"/>
            <w:shd w:val="clear" w:color="auto" w:fill="D9D9D6" w:themeFill="accent6"/>
          </w:tcPr>
          <w:p w14:paraId="2EA44633" w14:textId="77777777" w:rsidR="004660D6" w:rsidRPr="005734B8" w:rsidRDefault="004660D6" w:rsidP="004660D6">
            <w:pPr>
              <w:pStyle w:val="ESTableheadingwhite"/>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2"/>
                <w:sz w:val="16"/>
                <w:szCs w:val="16"/>
              </w:rPr>
            </w:pPr>
          </w:p>
        </w:tc>
        <w:tc>
          <w:tcPr>
            <w:tcW w:w="867" w:type="dxa"/>
            <w:shd w:val="clear" w:color="auto" w:fill="D9D9D6" w:themeFill="accent6"/>
          </w:tcPr>
          <w:p w14:paraId="6F25EC10" w14:textId="77777777" w:rsidR="004660D6" w:rsidRPr="005734B8" w:rsidRDefault="004660D6" w:rsidP="004660D6">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Number (head</w:t>
            </w:r>
            <w:r w:rsidRPr="005734B8">
              <w:rPr>
                <w:rFonts w:ascii="Calibri" w:hAnsi="Calibri" w:cs="Calibri"/>
                <w:b/>
                <w:color w:val="000000" w:themeColor="text2"/>
                <w:sz w:val="16"/>
                <w:szCs w:val="16"/>
              </w:rPr>
              <w:t xml:space="preserve"> </w:t>
            </w:r>
            <w:r w:rsidRPr="005734B8">
              <w:rPr>
                <w:rFonts w:ascii="Calibri" w:hAnsi="Calibri" w:cs="Calibri"/>
                <w:color w:val="000000" w:themeColor="text2"/>
                <w:sz w:val="16"/>
                <w:szCs w:val="16"/>
              </w:rPr>
              <w:t>count)</w:t>
            </w:r>
          </w:p>
        </w:tc>
        <w:tc>
          <w:tcPr>
            <w:tcW w:w="834" w:type="dxa"/>
            <w:shd w:val="clear" w:color="auto" w:fill="D9D9D6" w:themeFill="accent6"/>
          </w:tcPr>
          <w:p w14:paraId="1CDE2457" w14:textId="77777777" w:rsidR="004660D6" w:rsidRPr="005734B8" w:rsidRDefault="004660D6" w:rsidP="004660D6">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FTE</w:t>
            </w:r>
          </w:p>
        </w:tc>
        <w:tc>
          <w:tcPr>
            <w:tcW w:w="900" w:type="dxa"/>
            <w:shd w:val="clear" w:color="auto" w:fill="D9D9D6" w:themeFill="accent6"/>
          </w:tcPr>
          <w:p w14:paraId="1124E145" w14:textId="77777777" w:rsidR="004660D6" w:rsidRPr="005734B8" w:rsidRDefault="004660D6" w:rsidP="004660D6">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Full-time (head</w:t>
            </w:r>
            <w:r w:rsidRPr="005734B8">
              <w:rPr>
                <w:rFonts w:ascii="Calibri" w:hAnsi="Calibri" w:cs="Calibri"/>
                <w:b/>
                <w:color w:val="000000" w:themeColor="text2"/>
                <w:sz w:val="16"/>
                <w:szCs w:val="16"/>
              </w:rPr>
              <w:t xml:space="preserve"> </w:t>
            </w:r>
            <w:r w:rsidRPr="005734B8">
              <w:rPr>
                <w:rFonts w:ascii="Calibri" w:hAnsi="Calibri" w:cs="Calibri"/>
                <w:color w:val="000000" w:themeColor="text2"/>
                <w:sz w:val="16"/>
                <w:szCs w:val="16"/>
              </w:rPr>
              <w:t>count)</w:t>
            </w:r>
          </w:p>
        </w:tc>
        <w:tc>
          <w:tcPr>
            <w:tcW w:w="867" w:type="dxa"/>
            <w:shd w:val="clear" w:color="auto" w:fill="D9D9D6" w:themeFill="accent6"/>
          </w:tcPr>
          <w:p w14:paraId="4EE2C85E" w14:textId="77777777" w:rsidR="004660D6" w:rsidRPr="005734B8" w:rsidRDefault="004660D6" w:rsidP="004660D6">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Part-time (head</w:t>
            </w:r>
            <w:r w:rsidRPr="005734B8">
              <w:rPr>
                <w:rFonts w:ascii="Calibri" w:hAnsi="Calibri" w:cs="Calibri"/>
                <w:b/>
                <w:color w:val="000000" w:themeColor="text2"/>
                <w:sz w:val="16"/>
                <w:szCs w:val="16"/>
              </w:rPr>
              <w:t xml:space="preserve"> </w:t>
            </w:r>
            <w:r w:rsidRPr="005734B8">
              <w:rPr>
                <w:rFonts w:ascii="Calibri" w:hAnsi="Calibri" w:cs="Calibri"/>
                <w:color w:val="000000" w:themeColor="text2"/>
                <w:sz w:val="16"/>
                <w:szCs w:val="16"/>
              </w:rPr>
              <w:t>count)</w:t>
            </w:r>
          </w:p>
        </w:tc>
        <w:tc>
          <w:tcPr>
            <w:tcW w:w="926" w:type="dxa"/>
            <w:shd w:val="clear" w:color="auto" w:fill="D9D9D6" w:themeFill="accent6"/>
          </w:tcPr>
          <w:p w14:paraId="6D2D8FBE" w14:textId="77777777" w:rsidR="004660D6" w:rsidRPr="005734B8" w:rsidRDefault="004660D6" w:rsidP="004660D6">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FTE</w:t>
            </w:r>
          </w:p>
        </w:tc>
        <w:tc>
          <w:tcPr>
            <w:tcW w:w="808" w:type="dxa"/>
            <w:shd w:val="clear" w:color="auto" w:fill="D9D9D6" w:themeFill="accent6"/>
          </w:tcPr>
          <w:p w14:paraId="07F064D0" w14:textId="77777777" w:rsidR="004660D6" w:rsidRPr="005734B8" w:rsidRDefault="004660D6" w:rsidP="004660D6">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Number (head</w:t>
            </w:r>
            <w:r w:rsidRPr="005734B8">
              <w:rPr>
                <w:rFonts w:ascii="Calibri" w:hAnsi="Calibri" w:cs="Calibri"/>
                <w:b/>
                <w:color w:val="000000" w:themeColor="text2"/>
                <w:sz w:val="16"/>
                <w:szCs w:val="16"/>
              </w:rPr>
              <w:t xml:space="preserve"> </w:t>
            </w:r>
            <w:r w:rsidRPr="005734B8">
              <w:rPr>
                <w:rFonts w:ascii="Calibri" w:hAnsi="Calibri" w:cs="Calibri"/>
                <w:color w:val="000000" w:themeColor="text2"/>
                <w:sz w:val="16"/>
                <w:szCs w:val="16"/>
              </w:rPr>
              <w:t>count)</w:t>
            </w:r>
          </w:p>
        </w:tc>
        <w:tc>
          <w:tcPr>
            <w:tcW w:w="893" w:type="dxa"/>
            <w:shd w:val="clear" w:color="auto" w:fill="D9D9D6" w:themeFill="accent6"/>
          </w:tcPr>
          <w:p w14:paraId="2C582B8C" w14:textId="77777777" w:rsidR="004660D6" w:rsidRPr="005734B8" w:rsidRDefault="004660D6" w:rsidP="004660D6">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FTE</w:t>
            </w:r>
          </w:p>
        </w:tc>
        <w:tc>
          <w:tcPr>
            <w:tcW w:w="842" w:type="dxa"/>
            <w:shd w:val="clear" w:color="auto" w:fill="D9D9D6" w:themeFill="accent6"/>
          </w:tcPr>
          <w:p w14:paraId="4D8B653D" w14:textId="77777777" w:rsidR="004660D6" w:rsidRPr="005734B8" w:rsidRDefault="004660D6" w:rsidP="004660D6">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Number (head</w:t>
            </w:r>
            <w:r w:rsidRPr="005734B8">
              <w:rPr>
                <w:rFonts w:ascii="Calibri" w:hAnsi="Calibri" w:cs="Calibri"/>
                <w:b/>
                <w:color w:val="000000" w:themeColor="text2"/>
                <w:sz w:val="16"/>
                <w:szCs w:val="16"/>
              </w:rPr>
              <w:t xml:space="preserve"> </w:t>
            </w:r>
            <w:r w:rsidRPr="005734B8">
              <w:rPr>
                <w:rFonts w:ascii="Calibri" w:hAnsi="Calibri" w:cs="Calibri"/>
                <w:color w:val="000000" w:themeColor="text2"/>
                <w:sz w:val="16"/>
                <w:szCs w:val="16"/>
              </w:rPr>
              <w:t>count)</w:t>
            </w:r>
          </w:p>
        </w:tc>
        <w:tc>
          <w:tcPr>
            <w:tcW w:w="859" w:type="dxa"/>
            <w:shd w:val="clear" w:color="auto" w:fill="D9D9D6" w:themeFill="accent6"/>
          </w:tcPr>
          <w:p w14:paraId="77B7A4A8" w14:textId="77777777" w:rsidR="004660D6" w:rsidRPr="005734B8" w:rsidRDefault="004660D6" w:rsidP="004660D6">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FTE</w:t>
            </w:r>
          </w:p>
        </w:tc>
        <w:tc>
          <w:tcPr>
            <w:tcW w:w="875" w:type="dxa"/>
            <w:shd w:val="clear" w:color="auto" w:fill="D9D9D6" w:themeFill="accent6"/>
          </w:tcPr>
          <w:p w14:paraId="5B34B684" w14:textId="77777777" w:rsidR="004660D6" w:rsidRPr="005734B8" w:rsidRDefault="004660D6" w:rsidP="004660D6">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Full-time (head</w:t>
            </w:r>
            <w:r w:rsidRPr="005734B8">
              <w:rPr>
                <w:rFonts w:ascii="Calibri" w:hAnsi="Calibri" w:cs="Calibri"/>
                <w:b/>
                <w:color w:val="000000" w:themeColor="text2"/>
                <w:sz w:val="16"/>
                <w:szCs w:val="16"/>
              </w:rPr>
              <w:t xml:space="preserve"> </w:t>
            </w:r>
            <w:r w:rsidRPr="005734B8">
              <w:rPr>
                <w:rFonts w:ascii="Calibri" w:hAnsi="Calibri" w:cs="Calibri"/>
                <w:color w:val="000000" w:themeColor="text2"/>
                <w:sz w:val="16"/>
                <w:szCs w:val="16"/>
              </w:rPr>
              <w:t>count)</w:t>
            </w:r>
          </w:p>
        </w:tc>
        <w:tc>
          <w:tcPr>
            <w:tcW w:w="867" w:type="dxa"/>
            <w:shd w:val="clear" w:color="auto" w:fill="D9D9D6" w:themeFill="accent6"/>
          </w:tcPr>
          <w:p w14:paraId="104ADEF7" w14:textId="77777777" w:rsidR="004660D6" w:rsidRPr="005734B8" w:rsidRDefault="004660D6" w:rsidP="004660D6">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Part-time (head</w:t>
            </w:r>
            <w:r w:rsidRPr="005734B8">
              <w:rPr>
                <w:rFonts w:ascii="Calibri" w:hAnsi="Calibri" w:cs="Calibri"/>
                <w:b/>
                <w:color w:val="000000" w:themeColor="text2"/>
                <w:sz w:val="16"/>
                <w:szCs w:val="16"/>
              </w:rPr>
              <w:t xml:space="preserve"> </w:t>
            </w:r>
            <w:r w:rsidRPr="005734B8">
              <w:rPr>
                <w:rFonts w:ascii="Calibri" w:hAnsi="Calibri" w:cs="Calibri"/>
                <w:color w:val="000000" w:themeColor="text2"/>
                <w:sz w:val="16"/>
                <w:szCs w:val="16"/>
              </w:rPr>
              <w:t>count)</w:t>
            </w:r>
          </w:p>
        </w:tc>
        <w:tc>
          <w:tcPr>
            <w:tcW w:w="810" w:type="dxa"/>
            <w:shd w:val="clear" w:color="auto" w:fill="D9D9D6" w:themeFill="accent6"/>
          </w:tcPr>
          <w:p w14:paraId="23586A9F" w14:textId="77777777" w:rsidR="004660D6" w:rsidRPr="005734B8" w:rsidRDefault="004660D6" w:rsidP="004660D6">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FTE</w:t>
            </w:r>
          </w:p>
        </w:tc>
        <w:tc>
          <w:tcPr>
            <w:tcW w:w="924" w:type="dxa"/>
            <w:shd w:val="clear" w:color="auto" w:fill="D9D9D6" w:themeFill="accent6"/>
          </w:tcPr>
          <w:p w14:paraId="11FF14C8" w14:textId="77777777" w:rsidR="004660D6" w:rsidRPr="005734B8" w:rsidRDefault="004660D6" w:rsidP="004660D6">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Number (head</w:t>
            </w:r>
            <w:r w:rsidRPr="005734B8">
              <w:rPr>
                <w:rFonts w:ascii="Calibri" w:hAnsi="Calibri" w:cs="Calibri"/>
                <w:b/>
                <w:color w:val="000000" w:themeColor="text2"/>
                <w:sz w:val="16"/>
                <w:szCs w:val="16"/>
              </w:rPr>
              <w:t xml:space="preserve"> </w:t>
            </w:r>
            <w:r w:rsidRPr="005734B8">
              <w:rPr>
                <w:rFonts w:ascii="Calibri" w:hAnsi="Calibri" w:cs="Calibri"/>
                <w:color w:val="000000" w:themeColor="text2"/>
                <w:sz w:val="16"/>
                <w:szCs w:val="16"/>
              </w:rPr>
              <w:t>count)</w:t>
            </w:r>
          </w:p>
        </w:tc>
        <w:tc>
          <w:tcPr>
            <w:tcW w:w="868" w:type="dxa"/>
            <w:shd w:val="clear" w:color="auto" w:fill="D9D9D6" w:themeFill="accent6"/>
          </w:tcPr>
          <w:p w14:paraId="01CCE6EC" w14:textId="77777777" w:rsidR="004660D6" w:rsidRPr="005734B8" w:rsidRDefault="004660D6" w:rsidP="004660D6">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2"/>
                <w:sz w:val="16"/>
                <w:szCs w:val="16"/>
              </w:rPr>
            </w:pPr>
            <w:r w:rsidRPr="005734B8">
              <w:rPr>
                <w:rFonts w:ascii="Calibri" w:hAnsi="Calibri" w:cs="Calibri"/>
                <w:color w:val="000000" w:themeColor="text2"/>
                <w:sz w:val="16"/>
                <w:szCs w:val="16"/>
              </w:rPr>
              <w:t>FTE</w:t>
            </w:r>
          </w:p>
        </w:tc>
      </w:tr>
      <w:tr w:rsidR="004660D6" w:rsidRPr="005734B8" w14:paraId="077EB63E" w14:textId="77777777" w:rsidTr="004660D6">
        <w:tc>
          <w:tcPr>
            <w:cnfStyle w:val="001000000000" w:firstRow="0" w:lastRow="0" w:firstColumn="1" w:lastColumn="0" w:oddVBand="0" w:evenVBand="0" w:oddHBand="0" w:evenHBand="0" w:firstRowFirstColumn="0" w:firstRowLastColumn="0" w:lastRowFirstColumn="0" w:lastRowLastColumn="0"/>
            <w:tcW w:w="534" w:type="dxa"/>
            <w:vMerge w:val="restart"/>
            <w:textDirection w:val="btLr"/>
          </w:tcPr>
          <w:p w14:paraId="648F5105" w14:textId="77777777" w:rsidR="004660D6" w:rsidRPr="005734B8" w:rsidRDefault="004660D6" w:rsidP="004660D6">
            <w:pPr>
              <w:pStyle w:val="ESTablebody"/>
              <w:spacing w:before="0" w:after="0"/>
              <w:jc w:val="center"/>
              <w:rPr>
                <w:rFonts w:ascii="Calibri" w:hAnsi="Calibri" w:cs="Calibri"/>
                <w:b/>
                <w:sz w:val="16"/>
                <w:szCs w:val="16"/>
              </w:rPr>
            </w:pPr>
            <w:r w:rsidRPr="005734B8">
              <w:rPr>
                <w:rFonts w:ascii="Calibri" w:hAnsi="Calibri" w:cs="Calibri"/>
                <w:b/>
                <w:sz w:val="16"/>
                <w:szCs w:val="16"/>
              </w:rPr>
              <w:t>Demographic data</w:t>
            </w:r>
          </w:p>
        </w:tc>
        <w:tc>
          <w:tcPr>
            <w:tcW w:w="1276" w:type="dxa"/>
          </w:tcPr>
          <w:p w14:paraId="69240A53" w14:textId="77777777" w:rsidR="004660D6" w:rsidRPr="005734B8" w:rsidRDefault="004660D6" w:rsidP="004660D6">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Gender</w:t>
            </w:r>
          </w:p>
        </w:tc>
        <w:tc>
          <w:tcPr>
            <w:tcW w:w="867" w:type="dxa"/>
            <w:shd w:val="clear" w:color="auto" w:fill="F2F2F2" w:themeFill="background1" w:themeFillShade="F2"/>
            <w:vAlign w:val="center"/>
          </w:tcPr>
          <w:p w14:paraId="26AD065E"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34" w:type="dxa"/>
            <w:shd w:val="clear" w:color="auto" w:fill="F2F2F2" w:themeFill="background1" w:themeFillShade="F2"/>
            <w:vAlign w:val="center"/>
          </w:tcPr>
          <w:p w14:paraId="56DA136C"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900" w:type="dxa"/>
            <w:shd w:val="clear" w:color="auto" w:fill="F2F2F2" w:themeFill="background1" w:themeFillShade="F2"/>
            <w:vAlign w:val="center"/>
          </w:tcPr>
          <w:p w14:paraId="0727F6D2"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67" w:type="dxa"/>
            <w:shd w:val="clear" w:color="auto" w:fill="F2F2F2" w:themeFill="background1" w:themeFillShade="F2"/>
            <w:vAlign w:val="center"/>
          </w:tcPr>
          <w:p w14:paraId="23348EF0"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926" w:type="dxa"/>
            <w:shd w:val="clear" w:color="auto" w:fill="F2F2F2" w:themeFill="background1" w:themeFillShade="F2"/>
            <w:vAlign w:val="center"/>
          </w:tcPr>
          <w:p w14:paraId="325C4CF4"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08" w:type="dxa"/>
            <w:shd w:val="clear" w:color="auto" w:fill="F2F2F2" w:themeFill="background1" w:themeFillShade="F2"/>
            <w:vAlign w:val="center"/>
          </w:tcPr>
          <w:p w14:paraId="1A00F639"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93" w:type="dxa"/>
            <w:shd w:val="clear" w:color="auto" w:fill="F2F2F2" w:themeFill="background1" w:themeFillShade="F2"/>
            <w:vAlign w:val="center"/>
          </w:tcPr>
          <w:p w14:paraId="31F2AA6C"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42" w:type="dxa"/>
            <w:shd w:val="clear" w:color="auto" w:fill="FFFFFF" w:themeFill="background1"/>
            <w:vAlign w:val="center"/>
          </w:tcPr>
          <w:p w14:paraId="4580B02D"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59" w:type="dxa"/>
            <w:shd w:val="clear" w:color="auto" w:fill="FFFFFF" w:themeFill="background1"/>
            <w:vAlign w:val="center"/>
          </w:tcPr>
          <w:p w14:paraId="74F37800"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75" w:type="dxa"/>
            <w:shd w:val="clear" w:color="auto" w:fill="FFFFFF" w:themeFill="background1"/>
            <w:vAlign w:val="center"/>
          </w:tcPr>
          <w:p w14:paraId="3B4F870B"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67" w:type="dxa"/>
            <w:shd w:val="clear" w:color="auto" w:fill="FFFFFF" w:themeFill="background1"/>
            <w:vAlign w:val="center"/>
          </w:tcPr>
          <w:p w14:paraId="74FC9253"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10" w:type="dxa"/>
            <w:shd w:val="clear" w:color="auto" w:fill="FFFFFF" w:themeFill="background1"/>
            <w:vAlign w:val="center"/>
          </w:tcPr>
          <w:p w14:paraId="1886787C"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924" w:type="dxa"/>
            <w:shd w:val="clear" w:color="auto" w:fill="FFFFFF" w:themeFill="background1"/>
            <w:vAlign w:val="center"/>
          </w:tcPr>
          <w:p w14:paraId="79C8EA1C"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68" w:type="dxa"/>
            <w:shd w:val="clear" w:color="auto" w:fill="FFFFFF" w:themeFill="background1"/>
            <w:vAlign w:val="center"/>
          </w:tcPr>
          <w:p w14:paraId="2BCA35CD"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r>
      <w:tr w:rsidR="00175CCF" w:rsidRPr="005734B8" w14:paraId="77976DFD" w14:textId="77777777" w:rsidTr="002B5648">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232227EA" w14:textId="77777777" w:rsidR="004660D6" w:rsidRPr="005734B8" w:rsidRDefault="004660D6" w:rsidP="004660D6">
            <w:pPr>
              <w:pStyle w:val="ESTablebody"/>
              <w:spacing w:before="0" w:after="0"/>
              <w:jc w:val="center"/>
              <w:rPr>
                <w:rFonts w:ascii="Calibri" w:hAnsi="Calibri" w:cs="Calibri"/>
                <w:b/>
                <w:sz w:val="16"/>
                <w:szCs w:val="16"/>
              </w:rPr>
            </w:pPr>
          </w:p>
        </w:tc>
        <w:tc>
          <w:tcPr>
            <w:tcW w:w="1276" w:type="dxa"/>
          </w:tcPr>
          <w:p w14:paraId="7062091B" w14:textId="77777777" w:rsidR="004660D6" w:rsidRPr="005734B8" w:rsidRDefault="004660D6" w:rsidP="004660D6">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 xml:space="preserve">Women </w:t>
            </w:r>
          </w:p>
        </w:tc>
        <w:tc>
          <w:tcPr>
            <w:tcW w:w="867" w:type="dxa"/>
            <w:shd w:val="clear" w:color="auto" w:fill="F2F2F2" w:themeFill="background1" w:themeFillShade="F2"/>
            <w:vAlign w:val="center"/>
          </w:tcPr>
          <w:p w14:paraId="7C044D7C"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62,143</w:t>
            </w:r>
          </w:p>
        </w:tc>
        <w:tc>
          <w:tcPr>
            <w:tcW w:w="834" w:type="dxa"/>
            <w:shd w:val="clear" w:color="auto" w:fill="F2F2F2" w:themeFill="background1" w:themeFillShade="F2"/>
            <w:vAlign w:val="center"/>
          </w:tcPr>
          <w:p w14:paraId="4C1D97D7"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51,798.6</w:t>
            </w:r>
          </w:p>
        </w:tc>
        <w:tc>
          <w:tcPr>
            <w:tcW w:w="900" w:type="dxa"/>
            <w:shd w:val="clear" w:color="auto" w:fill="F2F2F2" w:themeFill="background1" w:themeFillShade="F2"/>
            <w:vAlign w:val="center"/>
          </w:tcPr>
          <w:p w14:paraId="2656EE72"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28,169</w:t>
            </w:r>
          </w:p>
        </w:tc>
        <w:tc>
          <w:tcPr>
            <w:tcW w:w="867" w:type="dxa"/>
            <w:shd w:val="clear" w:color="auto" w:fill="F2F2F2" w:themeFill="background1" w:themeFillShade="F2"/>
            <w:vAlign w:val="center"/>
          </w:tcPr>
          <w:p w14:paraId="70064EFF"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23,620</w:t>
            </w:r>
          </w:p>
        </w:tc>
        <w:tc>
          <w:tcPr>
            <w:tcW w:w="926" w:type="dxa"/>
            <w:shd w:val="clear" w:color="auto" w:fill="F2F2F2" w:themeFill="background1" w:themeFillShade="F2"/>
            <w:vAlign w:val="center"/>
          </w:tcPr>
          <w:p w14:paraId="3D1186B2"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43,348.3</w:t>
            </w:r>
          </w:p>
        </w:tc>
        <w:tc>
          <w:tcPr>
            <w:tcW w:w="808" w:type="dxa"/>
            <w:shd w:val="clear" w:color="auto" w:fill="F2F2F2" w:themeFill="background1" w:themeFillShade="F2"/>
            <w:vAlign w:val="center"/>
          </w:tcPr>
          <w:p w14:paraId="64693074"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10,354</w:t>
            </w:r>
          </w:p>
        </w:tc>
        <w:tc>
          <w:tcPr>
            <w:tcW w:w="893" w:type="dxa"/>
            <w:shd w:val="clear" w:color="auto" w:fill="F2F2F2" w:themeFill="background1" w:themeFillShade="F2"/>
            <w:vAlign w:val="center"/>
          </w:tcPr>
          <w:p w14:paraId="3274D185"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8,450.3</w:t>
            </w:r>
          </w:p>
        </w:tc>
        <w:tc>
          <w:tcPr>
            <w:tcW w:w="842" w:type="dxa"/>
            <w:shd w:val="clear" w:color="auto" w:fill="FFFFFF" w:themeFill="background1"/>
            <w:vAlign w:val="center"/>
          </w:tcPr>
          <w:p w14:paraId="4696AD10"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59,214</w:t>
            </w:r>
          </w:p>
        </w:tc>
        <w:tc>
          <w:tcPr>
            <w:tcW w:w="859" w:type="dxa"/>
            <w:shd w:val="clear" w:color="auto" w:fill="FFFFFF" w:themeFill="background1"/>
            <w:vAlign w:val="center"/>
          </w:tcPr>
          <w:p w14:paraId="1D7A1F2C"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49,544.8</w:t>
            </w:r>
          </w:p>
        </w:tc>
        <w:tc>
          <w:tcPr>
            <w:tcW w:w="875" w:type="dxa"/>
            <w:shd w:val="clear" w:color="auto" w:fill="FFFFFF" w:themeFill="background1"/>
            <w:vAlign w:val="center"/>
          </w:tcPr>
          <w:p w14:paraId="710AA516"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27,450</w:t>
            </w:r>
          </w:p>
        </w:tc>
        <w:tc>
          <w:tcPr>
            <w:tcW w:w="867" w:type="dxa"/>
            <w:shd w:val="clear" w:color="auto" w:fill="FFFFFF" w:themeFill="background1"/>
            <w:vAlign w:val="center"/>
          </w:tcPr>
          <w:p w14:paraId="406C2F7C"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22,976</w:t>
            </w:r>
          </w:p>
        </w:tc>
        <w:tc>
          <w:tcPr>
            <w:tcW w:w="810" w:type="dxa"/>
            <w:shd w:val="clear" w:color="auto" w:fill="FFFFFF" w:themeFill="background1"/>
            <w:vAlign w:val="center"/>
          </w:tcPr>
          <w:p w14:paraId="11667081"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42,110.7</w:t>
            </w:r>
          </w:p>
        </w:tc>
        <w:tc>
          <w:tcPr>
            <w:tcW w:w="924" w:type="dxa"/>
            <w:shd w:val="clear" w:color="auto" w:fill="FFFFFF" w:themeFill="background1"/>
            <w:vAlign w:val="center"/>
          </w:tcPr>
          <w:p w14:paraId="21F6D124"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8,788</w:t>
            </w:r>
          </w:p>
        </w:tc>
        <w:tc>
          <w:tcPr>
            <w:tcW w:w="868" w:type="dxa"/>
            <w:shd w:val="clear" w:color="auto" w:fill="FFFFFF" w:themeFill="background1"/>
            <w:vAlign w:val="center"/>
          </w:tcPr>
          <w:p w14:paraId="14C22879"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7,434.2</w:t>
            </w:r>
          </w:p>
        </w:tc>
      </w:tr>
      <w:tr w:rsidR="00175CCF" w:rsidRPr="005734B8" w14:paraId="2E37F055" w14:textId="77777777" w:rsidTr="002B5648">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0763806B" w14:textId="77777777" w:rsidR="004660D6" w:rsidRPr="005734B8" w:rsidRDefault="004660D6" w:rsidP="004660D6">
            <w:pPr>
              <w:pStyle w:val="ESTablebody"/>
              <w:spacing w:before="0" w:after="0"/>
              <w:jc w:val="center"/>
              <w:rPr>
                <w:rFonts w:ascii="Calibri" w:hAnsi="Calibri" w:cs="Calibri"/>
                <w:b/>
                <w:sz w:val="16"/>
                <w:szCs w:val="16"/>
              </w:rPr>
            </w:pPr>
          </w:p>
        </w:tc>
        <w:tc>
          <w:tcPr>
            <w:tcW w:w="1276" w:type="dxa"/>
          </w:tcPr>
          <w:p w14:paraId="0F4245F1" w14:textId="77777777" w:rsidR="004660D6" w:rsidRPr="005734B8" w:rsidRDefault="004660D6" w:rsidP="004660D6">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Men</w:t>
            </w:r>
          </w:p>
        </w:tc>
        <w:tc>
          <w:tcPr>
            <w:tcW w:w="867" w:type="dxa"/>
            <w:shd w:val="clear" w:color="auto" w:fill="F2F2F2" w:themeFill="background1" w:themeFillShade="F2"/>
            <w:vAlign w:val="center"/>
          </w:tcPr>
          <w:p w14:paraId="7C81E372"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18,608</w:t>
            </w:r>
          </w:p>
        </w:tc>
        <w:tc>
          <w:tcPr>
            <w:tcW w:w="834" w:type="dxa"/>
            <w:shd w:val="clear" w:color="auto" w:fill="F2F2F2" w:themeFill="background1" w:themeFillShade="F2"/>
            <w:vAlign w:val="center"/>
          </w:tcPr>
          <w:p w14:paraId="1DFF95C3"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17,187.6</w:t>
            </w:r>
          </w:p>
        </w:tc>
        <w:tc>
          <w:tcPr>
            <w:tcW w:w="900" w:type="dxa"/>
            <w:shd w:val="clear" w:color="auto" w:fill="F2F2F2" w:themeFill="background1" w:themeFillShade="F2"/>
            <w:vAlign w:val="center"/>
          </w:tcPr>
          <w:p w14:paraId="71210B5D"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12,449</w:t>
            </w:r>
          </w:p>
        </w:tc>
        <w:tc>
          <w:tcPr>
            <w:tcW w:w="867" w:type="dxa"/>
            <w:shd w:val="clear" w:color="auto" w:fill="F2F2F2" w:themeFill="background1" w:themeFillShade="F2"/>
            <w:vAlign w:val="center"/>
          </w:tcPr>
          <w:p w14:paraId="1BBDF176"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2,911</w:t>
            </w:r>
          </w:p>
        </w:tc>
        <w:tc>
          <w:tcPr>
            <w:tcW w:w="926" w:type="dxa"/>
            <w:shd w:val="clear" w:color="auto" w:fill="F2F2F2" w:themeFill="background1" w:themeFillShade="F2"/>
            <w:vAlign w:val="center"/>
          </w:tcPr>
          <w:p w14:paraId="60E50D50"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14,379.3</w:t>
            </w:r>
          </w:p>
        </w:tc>
        <w:tc>
          <w:tcPr>
            <w:tcW w:w="808" w:type="dxa"/>
            <w:shd w:val="clear" w:color="auto" w:fill="F2F2F2" w:themeFill="background1" w:themeFillShade="F2"/>
            <w:vAlign w:val="center"/>
          </w:tcPr>
          <w:p w14:paraId="4E3CA0E9"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3,248</w:t>
            </w:r>
          </w:p>
        </w:tc>
        <w:tc>
          <w:tcPr>
            <w:tcW w:w="893" w:type="dxa"/>
            <w:shd w:val="clear" w:color="auto" w:fill="F2F2F2" w:themeFill="background1" w:themeFillShade="F2"/>
            <w:vAlign w:val="center"/>
          </w:tcPr>
          <w:p w14:paraId="06F5E53D"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2,808.2</w:t>
            </w:r>
          </w:p>
        </w:tc>
        <w:tc>
          <w:tcPr>
            <w:tcW w:w="842" w:type="dxa"/>
            <w:shd w:val="clear" w:color="auto" w:fill="FFFFFF" w:themeFill="background1"/>
            <w:vAlign w:val="center"/>
          </w:tcPr>
          <w:p w14:paraId="2267F96D"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17,694</w:t>
            </w:r>
          </w:p>
        </w:tc>
        <w:tc>
          <w:tcPr>
            <w:tcW w:w="859" w:type="dxa"/>
            <w:shd w:val="clear" w:color="auto" w:fill="FFFFFF" w:themeFill="background1"/>
            <w:vAlign w:val="center"/>
          </w:tcPr>
          <w:p w14:paraId="09D8A125"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16,421.9</w:t>
            </w:r>
          </w:p>
        </w:tc>
        <w:tc>
          <w:tcPr>
            <w:tcW w:w="875" w:type="dxa"/>
            <w:shd w:val="clear" w:color="auto" w:fill="FFFFFF" w:themeFill="background1"/>
            <w:vAlign w:val="center"/>
          </w:tcPr>
          <w:p w14:paraId="56AAB40C"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12,019</w:t>
            </w:r>
          </w:p>
        </w:tc>
        <w:tc>
          <w:tcPr>
            <w:tcW w:w="867" w:type="dxa"/>
            <w:shd w:val="clear" w:color="auto" w:fill="FFFFFF" w:themeFill="background1"/>
            <w:vAlign w:val="center"/>
          </w:tcPr>
          <w:p w14:paraId="6DCA259F"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2,825</w:t>
            </w:r>
          </w:p>
        </w:tc>
        <w:tc>
          <w:tcPr>
            <w:tcW w:w="810" w:type="dxa"/>
            <w:shd w:val="clear" w:color="auto" w:fill="FFFFFF" w:themeFill="background1"/>
            <w:vAlign w:val="center"/>
          </w:tcPr>
          <w:p w14:paraId="7F1228DD"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13,902.6</w:t>
            </w:r>
          </w:p>
        </w:tc>
        <w:tc>
          <w:tcPr>
            <w:tcW w:w="924" w:type="dxa"/>
            <w:shd w:val="clear" w:color="auto" w:fill="FFFFFF" w:themeFill="background1"/>
            <w:vAlign w:val="center"/>
          </w:tcPr>
          <w:p w14:paraId="76B699E6"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2,850</w:t>
            </w:r>
          </w:p>
        </w:tc>
        <w:tc>
          <w:tcPr>
            <w:tcW w:w="868" w:type="dxa"/>
            <w:shd w:val="clear" w:color="auto" w:fill="FFFFFF" w:themeFill="background1"/>
            <w:vAlign w:val="center"/>
          </w:tcPr>
          <w:p w14:paraId="563AF0E2"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2,519.3</w:t>
            </w:r>
          </w:p>
        </w:tc>
      </w:tr>
      <w:tr w:rsidR="00175CCF" w:rsidRPr="005734B8" w14:paraId="49FF2169" w14:textId="77777777" w:rsidTr="002B5648">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330BCBBD" w14:textId="77777777" w:rsidR="004660D6" w:rsidRPr="005734B8" w:rsidRDefault="004660D6" w:rsidP="004660D6">
            <w:pPr>
              <w:pStyle w:val="ESTablebody"/>
              <w:spacing w:before="0" w:after="0"/>
              <w:jc w:val="center"/>
              <w:rPr>
                <w:rFonts w:ascii="Calibri" w:hAnsi="Calibri" w:cs="Calibri"/>
                <w:b/>
                <w:sz w:val="16"/>
                <w:szCs w:val="16"/>
              </w:rPr>
            </w:pPr>
          </w:p>
        </w:tc>
        <w:tc>
          <w:tcPr>
            <w:tcW w:w="1276" w:type="dxa"/>
          </w:tcPr>
          <w:p w14:paraId="6693E9D9" w14:textId="77777777" w:rsidR="004660D6" w:rsidRPr="005734B8" w:rsidRDefault="004660D6" w:rsidP="004660D6">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Self-described</w:t>
            </w:r>
          </w:p>
        </w:tc>
        <w:tc>
          <w:tcPr>
            <w:tcW w:w="867" w:type="dxa"/>
            <w:shd w:val="clear" w:color="auto" w:fill="F2F2F2" w:themeFill="background1" w:themeFillShade="F2"/>
            <w:vAlign w:val="center"/>
          </w:tcPr>
          <w:p w14:paraId="537F2204"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58</w:t>
            </w:r>
          </w:p>
        </w:tc>
        <w:tc>
          <w:tcPr>
            <w:tcW w:w="834" w:type="dxa"/>
            <w:shd w:val="clear" w:color="auto" w:fill="F2F2F2" w:themeFill="background1" w:themeFillShade="F2"/>
            <w:vAlign w:val="center"/>
          </w:tcPr>
          <w:p w14:paraId="4F48DAC7"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48.6</w:t>
            </w:r>
          </w:p>
        </w:tc>
        <w:tc>
          <w:tcPr>
            <w:tcW w:w="900" w:type="dxa"/>
            <w:shd w:val="clear" w:color="auto" w:fill="F2F2F2" w:themeFill="background1" w:themeFillShade="F2"/>
            <w:vAlign w:val="center"/>
          </w:tcPr>
          <w:p w14:paraId="38FDF0A4"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23</w:t>
            </w:r>
          </w:p>
        </w:tc>
        <w:tc>
          <w:tcPr>
            <w:tcW w:w="867" w:type="dxa"/>
            <w:shd w:val="clear" w:color="auto" w:fill="F2F2F2" w:themeFill="background1" w:themeFillShade="F2"/>
            <w:vAlign w:val="center"/>
          </w:tcPr>
          <w:p w14:paraId="01059016"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16</w:t>
            </w:r>
          </w:p>
        </w:tc>
        <w:tc>
          <w:tcPr>
            <w:tcW w:w="926" w:type="dxa"/>
            <w:shd w:val="clear" w:color="auto" w:fill="F2F2F2" w:themeFill="background1" w:themeFillShade="F2"/>
            <w:vAlign w:val="center"/>
          </w:tcPr>
          <w:p w14:paraId="4D753A90"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34.1</w:t>
            </w:r>
          </w:p>
        </w:tc>
        <w:tc>
          <w:tcPr>
            <w:tcW w:w="808" w:type="dxa"/>
            <w:shd w:val="clear" w:color="auto" w:fill="F2F2F2" w:themeFill="background1" w:themeFillShade="F2"/>
            <w:vAlign w:val="center"/>
          </w:tcPr>
          <w:p w14:paraId="2554845A"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19</w:t>
            </w:r>
          </w:p>
        </w:tc>
        <w:tc>
          <w:tcPr>
            <w:tcW w:w="893" w:type="dxa"/>
            <w:shd w:val="clear" w:color="auto" w:fill="F2F2F2" w:themeFill="background1" w:themeFillShade="F2"/>
            <w:vAlign w:val="center"/>
          </w:tcPr>
          <w:p w14:paraId="36662E10"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14.5</w:t>
            </w:r>
          </w:p>
        </w:tc>
        <w:tc>
          <w:tcPr>
            <w:tcW w:w="842" w:type="dxa"/>
            <w:shd w:val="clear" w:color="auto" w:fill="FFFFFF" w:themeFill="background1"/>
            <w:vAlign w:val="center"/>
          </w:tcPr>
          <w:p w14:paraId="0901EC97"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35</w:t>
            </w:r>
          </w:p>
        </w:tc>
        <w:tc>
          <w:tcPr>
            <w:tcW w:w="859" w:type="dxa"/>
            <w:shd w:val="clear" w:color="auto" w:fill="FFFFFF" w:themeFill="background1"/>
            <w:vAlign w:val="center"/>
          </w:tcPr>
          <w:p w14:paraId="29DE08FD"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29.9</w:t>
            </w:r>
          </w:p>
        </w:tc>
        <w:tc>
          <w:tcPr>
            <w:tcW w:w="875" w:type="dxa"/>
            <w:shd w:val="clear" w:color="auto" w:fill="FFFFFF" w:themeFill="background1"/>
            <w:vAlign w:val="center"/>
          </w:tcPr>
          <w:p w14:paraId="460BAB3A"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15</w:t>
            </w:r>
          </w:p>
        </w:tc>
        <w:tc>
          <w:tcPr>
            <w:tcW w:w="867" w:type="dxa"/>
            <w:shd w:val="clear" w:color="auto" w:fill="FFFFFF" w:themeFill="background1"/>
            <w:vAlign w:val="center"/>
          </w:tcPr>
          <w:p w14:paraId="48B49754"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14</w:t>
            </w:r>
          </w:p>
        </w:tc>
        <w:tc>
          <w:tcPr>
            <w:tcW w:w="810" w:type="dxa"/>
            <w:shd w:val="clear" w:color="auto" w:fill="FFFFFF" w:themeFill="background1"/>
            <w:vAlign w:val="center"/>
          </w:tcPr>
          <w:p w14:paraId="531E4163"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25.3</w:t>
            </w:r>
          </w:p>
        </w:tc>
        <w:tc>
          <w:tcPr>
            <w:tcW w:w="924" w:type="dxa"/>
            <w:shd w:val="clear" w:color="auto" w:fill="FFFFFF" w:themeFill="background1"/>
            <w:vAlign w:val="center"/>
          </w:tcPr>
          <w:p w14:paraId="4ABF64EE"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w:t>
            </w:r>
          </w:p>
        </w:tc>
        <w:tc>
          <w:tcPr>
            <w:tcW w:w="868" w:type="dxa"/>
            <w:shd w:val="clear" w:color="auto" w:fill="FFFFFF" w:themeFill="background1"/>
            <w:vAlign w:val="center"/>
          </w:tcPr>
          <w:p w14:paraId="2B8FE2DE"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4.6</w:t>
            </w:r>
          </w:p>
        </w:tc>
      </w:tr>
      <w:tr w:rsidR="005734B8" w:rsidRPr="005734B8" w14:paraId="6646B026" w14:textId="77777777" w:rsidTr="002B5648">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5BB18CEA" w14:textId="77777777" w:rsidR="004660D6" w:rsidRPr="005734B8" w:rsidRDefault="004660D6" w:rsidP="004660D6">
            <w:pPr>
              <w:pStyle w:val="ESTablebody"/>
              <w:spacing w:before="0" w:after="0"/>
              <w:jc w:val="center"/>
              <w:rPr>
                <w:rFonts w:ascii="Calibri" w:hAnsi="Calibri" w:cs="Calibri"/>
                <w:b/>
                <w:sz w:val="16"/>
                <w:szCs w:val="16"/>
              </w:rPr>
            </w:pPr>
          </w:p>
        </w:tc>
        <w:tc>
          <w:tcPr>
            <w:tcW w:w="1276" w:type="dxa"/>
            <w:shd w:val="clear" w:color="auto" w:fill="D9D9D6" w:themeFill="accent6"/>
          </w:tcPr>
          <w:p w14:paraId="4577C9B2" w14:textId="77777777" w:rsidR="004660D6" w:rsidRPr="005734B8" w:rsidRDefault="004660D6" w:rsidP="004660D6">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Age</w:t>
            </w:r>
          </w:p>
        </w:tc>
        <w:tc>
          <w:tcPr>
            <w:tcW w:w="867" w:type="dxa"/>
            <w:shd w:val="clear" w:color="auto" w:fill="D9D9D6" w:themeFill="accent6"/>
            <w:vAlign w:val="center"/>
          </w:tcPr>
          <w:p w14:paraId="1F817F97"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34" w:type="dxa"/>
            <w:shd w:val="clear" w:color="auto" w:fill="D9D9D6" w:themeFill="accent6"/>
            <w:vAlign w:val="center"/>
          </w:tcPr>
          <w:p w14:paraId="46089A19"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900" w:type="dxa"/>
            <w:shd w:val="clear" w:color="auto" w:fill="D9D9D6" w:themeFill="accent6"/>
            <w:vAlign w:val="center"/>
          </w:tcPr>
          <w:p w14:paraId="530C8D8B"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67" w:type="dxa"/>
            <w:shd w:val="clear" w:color="auto" w:fill="D9D9D6" w:themeFill="accent6"/>
            <w:vAlign w:val="center"/>
          </w:tcPr>
          <w:p w14:paraId="239EECE2"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926" w:type="dxa"/>
            <w:shd w:val="clear" w:color="auto" w:fill="D9D9D6" w:themeFill="accent6"/>
            <w:vAlign w:val="center"/>
          </w:tcPr>
          <w:p w14:paraId="22F25659"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08" w:type="dxa"/>
            <w:shd w:val="clear" w:color="auto" w:fill="D9D9D6" w:themeFill="accent6"/>
            <w:vAlign w:val="center"/>
          </w:tcPr>
          <w:p w14:paraId="45E7494E"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93" w:type="dxa"/>
            <w:shd w:val="clear" w:color="auto" w:fill="D9D9D6" w:themeFill="accent6"/>
            <w:vAlign w:val="center"/>
          </w:tcPr>
          <w:p w14:paraId="54F41F49"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42" w:type="dxa"/>
            <w:shd w:val="clear" w:color="auto" w:fill="D9D9D6" w:themeFill="accent6"/>
            <w:vAlign w:val="center"/>
          </w:tcPr>
          <w:p w14:paraId="34610737"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59" w:type="dxa"/>
            <w:shd w:val="clear" w:color="auto" w:fill="D9D9D6" w:themeFill="accent6"/>
            <w:vAlign w:val="center"/>
          </w:tcPr>
          <w:p w14:paraId="095E9EB4"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75" w:type="dxa"/>
            <w:shd w:val="clear" w:color="auto" w:fill="D9D9D6" w:themeFill="accent6"/>
            <w:vAlign w:val="center"/>
          </w:tcPr>
          <w:p w14:paraId="0DFB0B14"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67" w:type="dxa"/>
            <w:shd w:val="clear" w:color="auto" w:fill="D9D9D6" w:themeFill="accent6"/>
            <w:vAlign w:val="center"/>
          </w:tcPr>
          <w:p w14:paraId="72E4ADC4"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10" w:type="dxa"/>
            <w:shd w:val="clear" w:color="auto" w:fill="D9D9D6" w:themeFill="accent6"/>
            <w:vAlign w:val="center"/>
          </w:tcPr>
          <w:p w14:paraId="49EB3E8D"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924" w:type="dxa"/>
            <w:shd w:val="clear" w:color="auto" w:fill="D9D9D6" w:themeFill="accent6"/>
            <w:vAlign w:val="center"/>
          </w:tcPr>
          <w:p w14:paraId="60CB74EC"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c>
          <w:tcPr>
            <w:tcW w:w="868" w:type="dxa"/>
            <w:shd w:val="clear" w:color="auto" w:fill="D9D9D6" w:themeFill="accent6"/>
            <w:vAlign w:val="center"/>
          </w:tcPr>
          <w:p w14:paraId="7851696F"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p>
        </w:tc>
      </w:tr>
      <w:tr w:rsidR="00175CCF" w:rsidRPr="005734B8" w14:paraId="7A841760" w14:textId="77777777" w:rsidTr="002B5648">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40E08024" w14:textId="77777777" w:rsidR="004660D6" w:rsidRPr="005734B8" w:rsidRDefault="004660D6" w:rsidP="004660D6">
            <w:pPr>
              <w:pStyle w:val="ESTablebody"/>
              <w:spacing w:before="0" w:after="0"/>
              <w:jc w:val="center"/>
              <w:rPr>
                <w:rFonts w:ascii="Calibri" w:hAnsi="Calibri" w:cs="Calibri"/>
                <w:b/>
                <w:sz w:val="16"/>
                <w:szCs w:val="16"/>
              </w:rPr>
            </w:pPr>
          </w:p>
        </w:tc>
        <w:tc>
          <w:tcPr>
            <w:tcW w:w="1276" w:type="dxa"/>
          </w:tcPr>
          <w:p w14:paraId="7FA0B2DA" w14:textId="77777777" w:rsidR="004660D6" w:rsidRPr="005734B8" w:rsidRDefault="004660D6" w:rsidP="004660D6">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Under 25</w:t>
            </w:r>
          </w:p>
        </w:tc>
        <w:tc>
          <w:tcPr>
            <w:tcW w:w="867" w:type="dxa"/>
            <w:shd w:val="clear" w:color="auto" w:fill="F2F2F2" w:themeFill="background1" w:themeFillShade="F2"/>
            <w:vAlign w:val="center"/>
          </w:tcPr>
          <w:p w14:paraId="52FA43DD"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3,473</w:t>
            </w:r>
          </w:p>
        </w:tc>
        <w:tc>
          <w:tcPr>
            <w:tcW w:w="834" w:type="dxa"/>
            <w:shd w:val="clear" w:color="auto" w:fill="F2F2F2" w:themeFill="background1" w:themeFillShade="F2"/>
            <w:vAlign w:val="center"/>
          </w:tcPr>
          <w:p w14:paraId="660A5A10"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2,982.1</w:t>
            </w:r>
          </w:p>
        </w:tc>
        <w:tc>
          <w:tcPr>
            <w:tcW w:w="900" w:type="dxa"/>
            <w:shd w:val="clear" w:color="auto" w:fill="F2F2F2" w:themeFill="background1" w:themeFillShade="F2"/>
            <w:vAlign w:val="center"/>
          </w:tcPr>
          <w:p w14:paraId="362DFD6B"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750</w:t>
            </w:r>
          </w:p>
        </w:tc>
        <w:tc>
          <w:tcPr>
            <w:tcW w:w="867" w:type="dxa"/>
            <w:shd w:val="clear" w:color="auto" w:fill="F2F2F2" w:themeFill="background1" w:themeFillShade="F2"/>
            <w:vAlign w:val="center"/>
          </w:tcPr>
          <w:p w14:paraId="1D5FB10A"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618</w:t>
            </w:r>
          </w:p>
        </w:tc>
        <w:tc>
          <w:tcPr>
            <w:tcW w:w="926" w:type="dxa"/>
            <w:shd w:val="clear" w:color="auto" w:fill="F2F2F2" w:themeFill="background1" w:themeFillShade="F2"/>
            <w:vAlign w:val="center"/>
          </w:tcPr>
          <w:p w14:paraId="7B1784D3"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1,162.5</w:t>
            </w:r>
          </w:p>
        </w:tc>
        <w:tc>
          <w:tcPr>
            <w:tcW w:w="808" w:type="dxa"/>
            <w:shd w:val="clear" w:color="auto" w:fill="F2F2F2" w:themeFill="background1" w:themeFillShade="F2"/>
            <w:vAlign w:val="center"/>
          </w:tcPr>
          <w:p w14:paraId="504F9BB2"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2,105</w:t>
            </w:r>
          </w:p>
        </w:tc>
        <w:tc>
          <w:tcPr>
            <w:tcW w:w="893" w:type="dxa"/>
            <w:shd w:val="clear" w:color="auto" w:fill="F2F2F2" w:themeFill="background1" w:themeFillShade="F2"/>
            <w:vAlign w:val="center"/>
          </w:tcPr>
          <w:p w14:paraId="1914DE0C"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1,819.5</w:t>
            </w:r>
          </w:p>
        </w:tc>
        <w:tc>
          <w:tcPr>
            <w:tcW w:w="842" w:type="dxa"/>
            <w:shd w:val="clear" w:color="auto" w:fill="FFFFFF" w:themeFill="background1"/>
            <w:vAlign w:val="center"/>
          </w:tcPr>
          <w:p w14:paraId="509738CB"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3,261</w:t>
            </w:r>
          </w:p>
        </w:tc>
        <w:tc>
          <w:tcPr>
            <w:tcW w:w="859" w:type="dxa"/>
            <w:shd w:val="clear" w:color="auto" w:fill="FFFFFF" w:themeFill="background1"/>
            <w:vAlign w:val="center"/>
          </w:tcPr>
          <w:p w14:paraId="546A93B2"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2,883.1</w:t>
            </w:r>
          </w:p>
        </w:tc>
        <w:tc>
          <w:tcPr>
            <w:tcW w:w="875" w:type="dxa"/>
            <w:shd w:val="clear" w:color="auto" w:fill="FFFFFF" w:themeFill="background1"/>
            <w:vAlign w:val="center"/>
          </w:tcPr>
          <w:p w14:paraId="17B0E63D"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829</w:t>
            </w:r>
          </w:p>
        </w:tc>
        <w:tc>
          <w:tcPr>
            <w:tcW w:w="867" w:type="dxa"/>
            <w:shd w:val="clear" w:color="auto" w:fill="FFFFFF" w:themeFill="background1"/>
            <w:vAlign w:val="center"/>
          </w:tcPr>
          <w:p w14:paraId="787D6C14"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609</w:t>
            </w:r>
          </w:p>
        </w:tc>
        <w:tc>
          <w:tcPr>
            <w:tcW w:w="810" w:type="dxa"/>
            <w:shd w:val="clear" w:color="auto" w:fill="FFFFFF" w:themeFill="background1"/>
            <w:vAlign w:val="center"/>
          </w:tcPr>
          <w:p w14:paraId="7EA824C3"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1,232.1</w:t>
            </w:r>
          </w:p>
        </w:tc>
        <w:tc>
          <w:tcPr>
            <w:tcW w:w="924" w:type="dxa"/>
            <w:shd w:val="clear" w:color="auto" w:fill="FFFFFF" w:themeFill="background1"/>
            <w:vAlign w:val="center"/>
          </w:tcPr>
          <w:p w14:paraId="13974374"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1,823</w:t>
            </w:r>
          </w:p>
        </w:tc>
        <w:tc>
          <w:tcPr>
            <w:tcW w:w="868" w:type="dxa"/>
            <w:shd w:val="clear" w:color="auto" w:fill="FFFFFF" w:themeFill="background1"/>
            <w:vAlign w:val="center"/>
          </w:tcPr>
          <w:p w14:paraId="2D03814C"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1,651.0</w:t>
            </w:r>
          </w:p>
        </w:tc>
      </w:tr>
      <w:tr w:rsidR="00175CCF" w:rsidRPr="005734B8" w14:paraId="11BF454C" w14:textId="77777777" w:rsidTr="002B5648">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3881A4C1" w14:textId="77777777" w:rsidR="004660D6" w:rsidRPr="005734B8" w:rsidRDefault="004660D6" w:rsidP="004660D6">
            <w:pPr>
              <w:pStyle w:val="ESTablebody"/>
              <w:spacing w:before="0" w:after="0"/>
              <w:jc w:val="center"/>
              <w:rPr>
                <w:rFonts w:ascii="Calibri" w:hAnsi="Calibri" w:cs="Calibri"/>
                <w:b/>
                <w:sz w:val="16"/>
                <w:szCs w:val="16"/>
              </w:rPr>
            </w:pPr>
          </w:p>
        </w:tc>
        <w:tc>
          <w:tcPr>
            <w:tcW w:w="1276" w:type="dxa"/>
          </w:tcPr>
          <w:p w14:paraId="609A42B9" w14:textId="4EB6605E" w:rsidR="004660D6" w:rsidRPr="005734B8" w:rsidRDefault="004660D6" w:rsidP="004660D6">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25</w:t>
            </w:r>
            <w:r w:rsidR="002B5648" w:rsidRPr="005734B8">
              <w:rPr>
                <w:rFonts w:ascii="Calibri" w:hAnsi="Calibri" w:cs="Calibri"/>
                <w:sz w:val="16"/>
                <w:szCs w:val="16"/>
              </w:rPr>
              <w:t>–</w:t>
            </w:r>
            <w:r w:rsidRPr="005734B8">
              <w:rPr>
                <w:rFonts w:ascii="Calibri" w:hAnsi="Calibri" w:cs="Calibri"/>
                <w:sz w:val="16"/>
                <w:szCs w:val="16"/>
              </w:rPr>
              <w:t>34</w:t>
            </w:r>
          </w:p>
        </w:tc>
        <w:tc>
          <w:tcPr>
            <w:tcW w:w="867" w:type="dxa"/>
            <w:shd w:val="clear" w:color="auto" w:fill="F2F2F2" w:themeFill="background1" w:themeFillShade="F2"/>
            <w:vAlign w:val="center"/>
          </w:tcPr>
          <w:p w14:paraId="18FE9F68"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21,724</w:t>
            </w:r>
          </w:p>
        </w:tc>
        <w:tc>
          <w:tcPr>
            <w:tcW w:w="834" w:type="dxa"/>
            <w:shd w:val="clear" w:color="auto" w:fill="F2F2F2" w:themeFill="background1" w:themeFillShade="F2"/>
            <w:vAlign w:val="center"/>
          </w:tcPr>
          <w:p w14:paraId="7B361758"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19,899.9</w:t>
            </w:r>
          </w:p>
        </w:tc>
        <w:tc>
          <w:tcPr>
            <w:tcW w:w="900" w:type="dxa"/>
            <w:shd w:val="clear" w:color="auto" w:fill="F2F2F2" w:themeFill="background1" w:themeFillShade="F2"/>
            <w:vAlign w:val="center"/>
          </w:tcPr>
          <w:p w14:paraId="652A7E82"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12,734</w:t>
            </w:r>
          </w:p>
        </w:tc>
        <w:tc>
          <w:tcPr>
            <w:tcW w:w="867" w:type="dxa"/>
            <w:shd w:val="clear" w:color="auto" w:fill="F2F2F2" w:themeFill="background1" w:themeFillShade="F2"/>
            <w:vAlign w:val="center"/>
          </w:tcPr>
          <w:p w14:paraId="2A441EAA"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3,477</w:t>
            </w:r>
          </w:p>
        </w:tc>
        <w:tc>
          <w:tcPr>
            <w:tcW w:w="926" w:type="dxa"/>
            <w:shd w:val="clear" w:color="auto" w:fill="F2F2F2" w:themeFill="background1" w:themeFillShade="F2"/>
            <w:vAlign w:val="center"/>
          </w:tcPr>
          <w:p w14:paraId="125926A5"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14,891.9</w:t>
            </w:r>
          </w:p>
        </w:tc>
        <w:tc>
          <w:tcPr>
            <w:tcW w:w="808" w:type="dxa"/>
            <w:shd w:val="clear" w:color="auto" w:fill="F2F2F2" w:themeFill="background1" w:themeFillShade="F2"/>
            <w:vAlign w:val="center"/>
          </w:tcPr>
          <w:p w14:paraId="012C34FA"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5,513</w:t>
            </w:r>
          </w:p>
        </w:tc>
        <w:tc>
          <w:tcPr>
            <w:tcW w:w="893" w:type="dxa"/>
            <w:shd w:val="clear" w:color="auto" w:fill="F2F2F2" w:themeFill="background1" w:themeFillShade="F2"/>
            <w:vAlign w:val="center"/>
          </w:tcPr>
          <w:p w14:paraId="17F914AB"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5,008.0</w:t>
            </w:r>
          </w:p>
        </w:tc>
        <w:tc>
          <w:tcPr>
            <w:tcW w:w="842" w:type="dxa"/>
            <w:shd w:val="clear" w:color="auto" w:fill="FFFFFF" w:themeFill="background1"/>
            <w:vAlign w:val="center"/>
          </w:tcPr>
          <w:p w14:paraId="499AA04A"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20,689</w:t>
            </w:r>
          </w:p>
        </w:tc>
        <w:tc>
          <w:tcPr>
            <w:tcW w:w="859" w:type="dxa"/>
            <w:shd w:val="clear" w:color="auto" w:fill="FFFFFF" w:themeFill="background1"/>
            <w:vAlign w:val="center"/>
          </w:tcPr>
          <w:p w14:paraId="4C0416C1"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19,038.0</w:t>
            </w:r>
          </w:p>
        </w:tc>
        <w:tc>
          <w:tcPr>
            <w:tcW w:w="875" w:type="dxa"/>
            <w:shd w:val="clear" w:color="auto" w:fill="FFFFFF" w:themeFill="background1"/>
            <w:vAlign w:val="center"/>
          </w:tcPr>
          <w:p w14:paraId="53E9C06E"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12,557</w:t>
            </w:r>
          </w:p>
        </w:tc>
        <w:tc>
          <w:tcPr>
            <w:tcW w:w="867" w:type="dxa"/>
            <w:shd w:val="clear" w:color="auto" w:fill="FFFFFF" w:themeFill="background1"/>
            <w:vAlign w:val="center"/>
          </w:tcPr>
          <w:p w14:paraId="49881F64"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3,242</w:t>
            </w:r>
          </w:p>
        </w:tc>
        <w:tc>
          <w:tcPr>
            <w:tcW w:w="810" w:type="dxa"/>
            <w:shd w:val="clear" w:color="auto" w:fill="FFFFFF" w:themeFill="background1"/>
            <w:vAlign w:val="center"/>
          </w:tcPr>
          <w:p w14:paraId="06291A98"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14,536.1</w:t>
            </w:r>
          </w:p>
        </w:tc>
        <w:tc>
          <w:tcPr>
            <w:tcW w:w="924" w:type="dxa"/>
            <w:shd w:val="clear" w:color="auto" w:fill="FFFFFF" w:themeFill="background1"/>
            <w:vAlign w:val="center"/>
          </w:tcPr>
          <w:p w14:paraId="71EDF5D5"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4,890</w:t>
            </w:r>
          </w:p>
        </w:tc>
        <w:tc>
          <w:tcPr>
            <w:tcW w:w="868" w:type="dxa"/>
            <w:shd w:val="clear" w:color="auto" w:fill="FFFFFF" w:themeFill="background1"/>
            <w:vAlign w:val="center"/>
          </w:tcPr>
          <w:p w14:paraId="50FCEA8F"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4,501.8</w:t>
            </w:r>
          </w:p>
        </w:tc>
      </w:tr>
      <w:tr w:rsidR="00175CCF" w:rsidRPr="005734B8" w14:paraId="05263C02" w14:textId="77777777" w:rsidTr="002B5648">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71D223D0" w14:textId="77777777" w:rsidR="004660D6" w:rsidRPr="005734B8" w:rsidRDefault="004660D6" w:rsidP="004660D6">
            <w:pPr>
              <w:pStyle w:val="ESTablebody"/>
              <w:spacing w:before="0" w:after="0"/>
              <w:jc w:val="center"/>
              <w:rPr>
                <w:rFonts w:ascii="Calibri" w:hAnsi="Calibri" w:cs="Calibri"/>
                <w:b/>
                <w:sz w:val="16"/>
                <w:szCs w:val="16"/>
              </w:rPr>
            </w:pPr>
          </w:p>
        </w:tc>
        <w:tc>
          <w:tcPr>
            <w:tcW w:w="1276" w:type="dxa"/>
          </w:tcPr>
          <w:p w14:paraId="25B4CD0A" w14:textId="0E08F934" w:rsidR="004660D6" w:rsidRPr="005734B8" w:rsidRDefault="004660D6" w:rsidP="004660D6">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35</w:t>
            </w:r>
            <w:r w:rsidR="002B5648" w:rsidRPr="005734B8">
              <w:rPr>
                <w:rFonts w:ascii="Calibri" w:hAnsi="Calibri" w:cs="Calibri"/>
                <w:sz w:val="16"/>
                <w:szCs w:val="16"/>
              </w:rPr>
              <w:t>–</w:t>
            </w:r>
            <w:r w:rsidRPr="005734B8">
              <w:rPr>
                <w:rFonts w:ascii="Calibri" w:hAnsi="Calibri" w:cs="Calibri"/>
                <w:sz w:val="16"/>
                <w:szCs w:val="16"/>
              </w:rPr>
              <w:t>44</w:t>
            </w:r>
          </w:p>
        </w:tc>
        <w:tc>
          <w:tcPr>
            <w:tcW w:w="867" w:type="dxa"/>
            <w:shd w:val="clear" w:color="auto" w:fill="F2F2F2" w:themeFill="background1" w:themeFillShade="F2"/>
            <w:vAlign w:val="center"/>
          </w:tcPr>
          <w:p w14:paraId="242AB075"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19,727</w:t>
            </w:r>
          </w:p>
        </w:tc>
        <w:tc>
          <w:tcPr>
            <w:tcW w:w="834" w:type="dxa"/>
            <w:shd w:val="clear" w:color="auto" w:fill="F2F2F2" w:themeFill="background1" w:themeFillShade="F2"/>
            <w:vAlign w:val="center"/>
          </w:tcPr>
          <w:p w14:paraId="14C03859"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16,353.0</w:t>
            </w:r>
          </w:p>
        </w:tc>
        <w:tc>
          <w:tcPr>
            <w:tcW w:w="900" w:type="dxa"/>
            <w:shd w:val="clear" w:color="auto" w:fill="F2F2F2" w:themeFill="background1" w:themeFillShade="F2"/>
            <w:vAlign w:val="center"/>
          </w:tcPr>
          <w:p w14:paraId="2D3E5885"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9,579</w:t>
            </w:r>
          </w:p>
        </w:tc>
        <w:tc>
          <w:tcPr>
            <w:tcW w:w="867" w:type="dxa"/>
            <w:shd w:val="clear" w:color="auto" w:fill="F2F2F2" w:themeFill="background1" w:themeFillShade="F2"/>
            <w:vAlign w:val="center"/>
          </w:tcPr>
          <w:p w14:paraId="4BD6A3E8"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7,403</w:t>
            </w:r>
          </w:p>
        </w:tc>
        <w:tc>
          <w:tcPr>
            <w:tcW w:w="926" w:type="dxa"/>
            <w:shd w:val="clear" w:color="auto" w:fill="F2F2F2" w:themeFill="background1" w:themeFillShade="F2"/>
            <w:vAlign w:val="center"/>
          </w:tcPr>
          <w:p w14:paraId="045AE0F7"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14,237.3</w:t>
            </w:r>
          </w:p>
        </w:tc>
        <w:tc>
          <w:tcPr>
            <w:tcW w:w="808" w:type="dxa"/>
            <w:shd w:val="clear" w:color="auto" w:fill="F2F2F2" w:themeFill="background1" w:themeFillShade="F2"/>
            <w:vAlign w:val="center"/>
          </w:tcPr>
          <w:p w14:paraId="2D750380"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2,745</w:t>
            </w:r>
          </w:p>
        </w:tc>
        <w:tc>
          <w:tcPr>
            <w:tcW w:w="893" w:type="dxa"/>
            <w:shd w:val="clear" w:color="auto" w:fill="F2F2F2" w:themeFill="background1" w:themeFillShade="F2"/>
            <w:vAlign w:val="center"/>
          </w:tcPr>
          <w:p w14:paraId="7D141FEF"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2,115.7</w:t>
            </w:r>
          </w:p>
        </w:tc>
        <w:tc>
          <w:tcPr>
            <w:tcW w:w="842" w:type="dxa"/>
            <w:shd w:val="clear" w:color="auto" w:fill="FFFFFF" w:themeFill="background1"/>
            <w:vAlign w:val="center"/>
          </w:tcPr>
          <w:p w14:paraId="081A1D3F"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18,452</w:t>
            </w:r>
          </w:p>
        </w:tc>
        <w:tc>
          <w:tcPr>
            <w:tcW w:w="859" w:type="dxa"/>
            <w:shd w:val="clear" w:color="auto" w:fill="FFFFFF" w:themeFill="background1"/>
            <w:vAlign w:val="center"/>
          </w:tcPr>
          <w:p w14:paraId="6CE0B275"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15,330.3</w:t>
            </w:r>
          </w:p>
        </w:tc>
        <w:tc>
          <w:tcPr>
            <w:tcW w:w="875" w:type="dxa"/>
            <w:shd w:val="clear" w:color="auto" w:fill="FFFFFF" w:themeFill="background1"/>
            <w:vAlign w:val="center"/>
          </w:tcPr>
          <w:p w14:paraId="032B11AB"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9,081</w:t>
            </w:r>
          </w:p>
        </w:tc>
        <w:tc>
          <w:tcPr>
            <w:tcW w:w="867" w:type="dxa"/>
            <w:shd w:val="clear" w:color="auto" w:fill="FFFFFF" w:themeFill="background1"/>
            <w:vAlign w:val="center"/>
          </w:tcPr>
          <w:p w14:paraId="2651749C"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6,996</w:t>
            </w:r>
          </w:p>
        </w:tc>
        <w:tc>
          <w:tcPr>
            <w:tcW w:w="810" w:type="dxa"/>
            <w:shd w:val="clear" w:color="auto" w:fill="FFFFFF" w:themeFill="background1"/>
            <w:vAlign w:val="center"/>
          </w:tcPr>
          <w:p w14:paraId="1DF353F3"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13,454.2</w:t>
            </w:r>
          </w:p>
        </w:tc>
        <w:tc>
          <w:tcPr>
            <w:tcW w:w="924" w:type="dxa"/>
            <w:shd w:val="clear" w:color="auto" w:fill="FFFFFF" w:themeFill="background1"/>
            <w:vAlign w:val="center"/>
          </w:tcPr>
          <w:p w14:paraId="1AE86281"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2,375</w:t>
            </w:r>
          </w:p>
        </w:tc>
        <w:tc>
          <w:tcPr>
            <w:tcW w:w="868" w:type="dxa"/>
            <w:shd w:val="clear" w:color="auto" w:fill="FFFFFF" w:themeFill="background1"/>
            <w:vAlign w:val="center"/>
          </w:tcPr>
          <w:p w14:paraId="60179E71"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1,876.1</w:t>
            </w:r>
          </w:p>
        </w:tc>
      </w:tr>
      <w:tr w:rsidR="00175CCF" w:rsidRPr="005734B8" w14:paraId="6C1800A8" w14:textId="77777777" w:rsidTr="002B5648">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26D8BBDF" w14:textId="77777777" w:rsidR="004660D6" w:rsidRPr="005734B8" w:rsidRDefault="004660D6" w:rsidP="004660D6">
            <w:pPr>
              <w:pStyle w:val="ESTablebody"/>
              <w:spacing w:before="0" w:after="0"/>
              <w:jc w:val="center"/>
              <w:rPr>
                <w:rFonts w:ascii="Calibri" w:hAnsi="Calibri" w:cs="Calibri"/>
                <w:b/>
                <w:sz w:val="16"/>
                <w:szCs w:val="16"/>
              </w:rPr>
            </w:pPr>
          </w:p>
        </w:tc>
        <w:tc>
          <w:tcPr>
            <w:tcW w:w="1276" w:type="dxa"/>
          </w:tcPr>
          <w:p w14:paraId="63AC14C1" w14:textId="69EFF9FF" w:rsidR="004660D6" w:rsidRPr="005734B8" w:rsidRDefault="004660D6" w:rsidP="004660D6">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45</w:t>
            </w:r>
            <w:r w:rsidR="002B5648" w:rsidRPr="005734B8">
              <w:rPr>
                <w:rFonts w:ascii="Calibri" w:hAnsi="Calibri" w:cs="Calibri"/>
                <w:sz w:val="16"/>
                <w:szCs w:val="16"/>
              </w:rPr>
              <w:t>–</w:t>
            </w:r>
            <w:r w:rsidRPr="005734B8">
              <w:rPr>
                <w:rFonts w:ascii="Calibri" w:hAnsi="Calibri" w:cs="Calibri"/>
                <w:sz w:val="16"/>
                <w:szCs w:val="16"/>
              </w:rPr>
              <w:t>54</w:t>
            </w:r>
          </w:p>
        </w:tc>
        <w:tc>
          <w:tcPr>
            <w:tcW w:w="867" w:type="dxa"/>
            <w:shd w:val="clear" w:color="auto" w:fill="F2F2F2" w:themeFill="background1" w:themeFillShade="F2"/>
            <w:vAlign w:val="center"/>
          </w:tcPr>
          <w:p w14:paraId="5BA51989"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18,298</w:t>
            </w:r>
          </w:p>
        </w:tc>
        <w:tc>
          <w:tcPr>
            <w:tcW w:w="834" w:type="dxa"/>
            <w:shd w:val="clear" w:color="auto" w:fill="F2F2F2" w:themeFill="background1" w:themeFillShade="F2"/>
            <w:vAlign w:val="center"/>
          </w:tcPr>
          <w:p w14:paraId="67D18C69"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15,493.6</w:t>
            </w:r>
          </w:p>
        </w:tc>
        <w:tc>
          <w:tcPr>
            <w:tcW w:w="900" w:type="dxa"/>
            <w:shd w:val="clear" w:color="auto" w:fill="F2F2F2" w:themeFill="background1" w:themeFillShade="F2"/>
            <w:vAlign w:val="center"/>
          </w:tcPr>
          <w:p w14:paraId="6D048AB5"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9,201</w:t>
            </w:r>
          </w:p>
        </w:tc>
        <w:tc>
          <w:tcPr>
            <w:tcW w:w="867" w:type="dxa"/>
            <w:shd w:val="clear" w:color="auto" w:fill="F2F2F2" w:themeFill="background1" w:themeFillShade="F2"/>
            <w:vAlign w:val="center"/>
          </w:tcPr>
          <w:p w14:paraId="624A378A"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7,169</w:t>
            </w:r>
          </w:p>
        </w:tc>
        <w:tc>
          <w:tcPr>
            <w:tcW w:w="926" w:type="dxa"/>
            <w:shd w:val="clear" w:color="auto" w:fill="F2F2F2" w:themeFill="background1" w:themeFillShade="F2"/>
            <w:vAlign w:val="center"/>
          </w:tcPr>
          <w:p w14:paraId="544197A7"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14,000.3</w:t>
            </w:r>
          </w:p>
        </w:tc>
        <w:tc>
          <w:tcPr>
            <w:tcW w:w="808" w:type="dxa"/>
            <w:shd w:val="clear" w:color="auto" w:fill="F2F2F2" w:themeFill="background1" w:themeFillShade="F2"/>
            <w:vAlign w:val="center"/>
          </w:tcPr>
          <w:p w14:paraId="7363B86F"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1,928</w:t>
            </w:r>
          </w:p>
        </w:tc>
        <w:tc>
          <w:tcPr>
            <w:tcW w:w="893" w:type="dxa"/>
            <w:shd w:val="clear" w:color="auto" w:fill="F2F2F2" w:themeFill="background1" w:themeFillShade="F2"/>
            <w:vAlign w:val="center"/>
          </w:tcPr>
          <w:p w14:paraId="53A76133"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1,493.3</w:t>
            </w:r>
          </w:p>
        </w:tc>
        <w:tc>
          <w:tcPr>
            <w:tcW w:w="842" w:type="dxa"/>
            <w:shd w:val="clear" w:color="auto" w:fill="FFFFFF" w:themeFill="background1"/>
            <w:vAlign w:val="center"/>
          </w:tcPr>
          <w:p w14:paraId="5748CA80"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17,869</w:t>
            </w:r>
          </w:p>
        </w:tc>
        <w:tc>
          <w:tcPr>
            <w:tcW w:w="859" w:type="dxa"/>
            <w:shd w:val="clear" w:color="auto" w:fill="FFFFFF" w:themeFill="background1"/>
            <w:vAlign w:val="center"/>
          </w:tcPr>
          <w:p w14:paraId="1E8D7CB3"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15,050.5</w:t>
            </w:r>
          </w:p>
        </w:tc>
        <w:tc>
          <w:tcPr>
            <w:tcW w:w="875" w:type="dxa"/>
            <w:shd w:val="clear" w:color="auto" w:fill="FFFFFF" w:themeFill="background1"/>
            <w:vAlign w:val="center"/>
          </w:tcPr>
          <w:p w14:paraId="34F59D98"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8,915</w:t>
            </w:r>
          </w:p>
        </w:tc>
        <w:tc>
          <w:tcPr>
            <w:tcW w:w="867" w:type="dxa"/>
            <w:shd w:val="clear" w:color="auto" w:fill="FFFFFF" w:themeFill="background1"/>
            <w:vAlign w:val="center"/>
          </w:tcPr>
          <w:p w14:paraId="4DAB9D65"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7,253</w:t>
            </w:r>
          </w:p>
        </w:tc>
        <w:tc>
          <w:tcPr>
            <w:tcW w:w="810" w:type="dxa"/>
            <w:shd w:val="clear" w:color="auto" w:fill="FFFFFF" w:themeFill="background1"/>
            <w:vAlign w:val="center"/>
          </w:tcPr>
          <w:p w14:paraId="4BC208FA"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13,727.4</w:t>
            </w:r>
          </w:p>
        </w:tc>
        <w:tc>
          <w:tcPr>
            <w:tcW w:w="924" w:type="dxa"/>
            <w:shd w:val="clear" w:color="auto" w:fill="FFFFFF" w:themeFill="background1"/>
            <w:vAlign w:val="center"/>
          </w:tcPr>
          <w:p w14:paraId="6DDF3E20"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1,701</w:t>
            </w:r>
          </w:p>
        </w:tc>
        <w:tc>
          <w:tcPr>
            <w:tcW w:w="868" w:type="dxa"/>
            <w:shd w:val="clear" w:color="auto" w:fill="FFFFFF" w:themeFill="background1"/>
            <w:vAlign w:val="center"/>
          </w:tcPr>
          <w:p w14:paraId="285F53A1"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1,323.1</w:t>
            </w:r>
          </w:p>
        </w:tc>
      </w:tr>
      <w:tr w:rsidR="00175CCF" w:rsidRPr="005734B8" w14:paraId="2678772B" w14:textId="77777777" w:rsidTr="002B5648">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6FDE1D92" w14:textId="77777777" w:rsidR="004660D6" w:rsidRPr="005734B8" w:rsidRDefault="004660D6" w:rsidP="004660D6">
            <w:pPr>
              <w:pStyle w:val="ESTablebody"/>
              <w:spacing w:before="0" w:after="0"/>
              <w:jc w:val="center"/>
              <w:rPr>
                <w:rFonts w:ascii="Calibri" w:hAnsi="Calibri" w:cs="Calibri"/>
                <w:b/>
                <w:sz w:val="16"/>
                <w:szCs w:val="16"/>
              </w:rPr>
            </w:pPr>
          </w:p>
        </w:tc>
        <w:tc>
          <w:tcPr>
            <w:tcW w:w="1276" w:type="dxa"/>
          </w:tcPr>
          <w:p w14:paraId="372163A6" w14:textId="3447DD15" w:rsidR="004660D6" w:rsidRPr="005734B8" w:rsidRDefault="004660D6" w:rsidP="004660D6">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55</w:t>
            </w:r>
            <w:r w:rsidR="002B5648" w:rsidRPr="005734B8">
              <w:rPr>
                <w:rFonts w:ascii="Calibri" w:hAnsi="Calibri" w:cs="Calibri"/>
                <w:sz w:val="16"/>
                <w:szCs w:val="16"/>
              </w:rPr>
              <w:t>–</w:t>
            </w:r>
            <w:r w:rsidRPr="005734B8">
              <w:rPr>
                <w:rFonts w:ascii="Calibri" w:hAnsi="Calibri" w:cs="Calibri"/>
                <w:sz w:val="16"/>
                <w:szCs w:val="16"/>
              </w:rPr>
              <w:t>64</w:t>
            </w:r>
          </w:p>
        </w:tc>
        <w:tc>
          <w:tcPr>
            <w:tcW w:w="867" w:type="dxa"/>
            <w:shd w:val="clear" w:color="auto" w:fill="F2F2F2" w:themeFill="background1" w:themeFillShade="F2"/>
            <w:vAlign w:val="center"/>
          </w:tcPr>
          <w:p w14:paraId="16F8A9A7"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14,499</w:t>
            </w:r>
          </w:p>
        </w:tc>
        <w:tc>
          <w:tcPr>
            <w:tcW w:w="834" w:type="dxa"/>
            <w:shd w:val="clear" w:color="auto" w:fill="F2F2F2" w:themeFill="background1" w:themeFillShade="F2"/>
            <w:vAlign w:val="center"/>
          </w:tcPr>
          <w:p w14:paraId="5C91370B"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12,034.4</w:t>
            </w:r>
          </w:p>
        </w:tc>
        <w:tc>
          <w:tcPr>
            <w:tcW w:w="900" w:type="dxa"/>
            <w:shd w:val="clear" w:color="auto" w:fill="F2F2F2" w:themeFill="background1" w:themeFillShade="F2"/>
            <w:vAlign w:val="center"/>
          </w:tcPr>
          <w:p w14:paraId="49F996DC"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7,208</w:t>
            </w:r>
          </w:p>
        </w:tc>
        <w:tc>
          <w:tcPr>
            <w:tcW w:w="867" w:type="dxa"/>
            <w:shd w:val="clear" w:color="auto" w:fill="F2F2F2" w:themeFill="background1" w:themeFillShade="F2"/>
            <w:vAlign w:val="center"/>
          </w:tcPr>
          <w:p w14:paraId="071D450D"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6,336</w:t>
            </w:r>
          </w:p>
        </w:tc>
        <w:tc>
          <w:tcPr>
            <w:tcW w:w="926" w:type="dxa"/>
            <w:shd w:val="clear" w:color="auto" w:fill="F2F2F2" w:themeFill="background1" w:themeFillShade="F2"/>
            <w:vAlign w:val="center"/>
          </w:tcPr>
          <w:p w14:paraId="08EEB002"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11,391.1</w:t>
            </w:r>
          </w:p>
        </w:tc>
        <w:tc>
          <w:tcPr>
            <w:tcW w:w="808" w:type="dxa"/>
            <w:shd w:val="clear" w:color="auto" w:fill="F2F2F2" w:themeFill="background1" w:themeFillShade="F2"/>
            <w:vAlign w:val="center"/>
          </w:tcPr>
          <w:p w14:paraId="47E2FD9D"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955</w:t>
            </w:r>
          </w:p>
        </w:tc>
        <w:tc>
          <w:tcPr>
            <w:tcW w:w="893" w:type="dxa"/>
            <w:shd w:val="clear" w:color="auto" w:fill="F2F2F2" w:themeFill="background1" w:themeFillShade="F2"/>
            <w:vAlign w:val="center"/>
          </w:tcPr>
          <w:p w14:paraId="6A285569"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643.3</w:t>
            </w:r>
          </w:p>
        </w:tc>
        <w:tc>
          <w:tcPr>
            <w:tcW w:w="842" w:type="dxa"/>
            <w:shd w:val="clear" w:color="auto" w:fill="FFFFFF" w:themeFill="background1"/>
            <w:vAlign w:val="center"/>
          </w:tcPr>
          <w:p w14:paraId="28619422"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14,098</w:t>
            </w:r>
          </w:p>
        </w:tc>
        <w:tc>
          <w:tcPr>
            <w:tcW w:w="859" w:type="dxa"/>
            <w:shd w:val="clear" w:color="auto" w:fill="FFFFFF" w:themeFill="background1"/>
            <w:vAlign w:val="center"/>
          </w:tcPr>
          <w:p w14:paraId="427CA0E9"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11,754.5</w:t>
            </w:r>
          </w:p>
        </w:tc>
        <w:tc>
          <w:tcPr>
            <w:tcW w:w="875" w:type="dxa"/>
            <w:shd w:val="clear" w:color="auto" w:fill="FFFFFF" w:themeFill="background1"/>
            <w:vAlign w:val="center"/>
          </w:tcPr>
          <w:p w14:paraId="4235EC34"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7,079</w:t>
            </w:r>
          </w:p>
        </w:tc>
        <w:tc>
          <w:tcPr>
            <w:tcW w:w="867" w:type="dxa"/>
            <w:shd w:val="clear" w:color="auto" w:fill="FFFFFF" w:themeFill="background1"/>
            <w:vAlign w:val="center"/>
          </w:tcPr>
          <w:p w14:paraId="29B34D66"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6,313</w:t>
            </w:r>
          </w:p>
        </w:tc>
        <w:tc>
          <w:tcPr>
            <w:tcW w:w="810" w:type="dxa"/>
            <w:shd w:val="clear" w:color="auto" w:fill="FFFFFF" w:themeFill="background1"/>
            <w:vAlign w:val="center"/>
          </w:tcPr>
          <w:p w14:paraId="5EAD18F8"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11,236.0</w:t>
            </w:r>
          </w:p>
        </w:tc>
        <w:tc>
          <w:tcPr>
            <w:tcW w:w="924" w:type="dxa"/>
            <w:shd w:val="clear" w:color="auto" w:fill="FFFFFF" w:themeFill="background1"/>
            <w:vAlign w:val="center"/>
          </w:tcPr>
          <w:p w14:paraId="31A3D6E8"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706</w:t>
            </w:r>
          </w:p>
        </w:tc>
        <w:tc>
          <w:tcPr>
            <w:tcW w:w="868" w:type="dxa"/>
            <w:shd w:val="clear" w:color="auto" w:fill="FFFFFF" w:themeFill="background1"/>
            <w:vAlign w:val="center"/>
          </w:tcPr>
          <w:p w14:paraId="757862F0"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518.5</w:t>
            </w:r>
          </w:p>
        </w:tc>
      </w:tr>
      <w:tr w:rsidR="00175CCF" w:rsidRPr="005734B8" w14:paraId="467D4FC9" w14:textId="77777777" w:rsidTr="002B5648">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76806856" w14:textId="77777777" w:rsidR="004660D6" w:rsidRPr="005734B8" w:rsidRDefault="004660D6" w:rsidP="004660D6">
            <w:pPr>
              <w:pStyle w:val="ESTablebody"/>
              <w:spacing w:before="0" w:after="0"/>
              <w:jc w:val="center"/>
              <w:rPr>
                <w:rFonts w:ascii="Calibri" w:hAnsi="Calibri" w:cs="Calibri"/>
                <w:b/>
                <w:sz w:val="16"/>
                <w:szCs w:val="16"/>
              </w:rPr>
            </w:pPr>
          </w:p>
        </w:tc>
        <w:tc>
          <w:tcPr>
            <w:tcW w:w="1276" w:type="dxa"/>
          </w:tcPr>
          <w:p w14:paraId="372FA287" w14:textId="77777777" w:rsidR="004660D6" w:rsidRPr="005734B8" w:rsidRDefault="004660D6" w:rsidP="004660D6">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65+</w:t>
            </w:r>
          </w:p>
        </w:tc>
        <w:tc>
          <w:tcPr>
            <w:tcW w:w="867" w:type="dxa"/>
            <w:shd w:val="clear" w:color="auto" w:fill="F2F2F2" w:themeFill="background1" w:themeFillShade="F2"/>
            <w:vAlign w:val="center"/>
          </w:tcPr>
          <w:p w14:paraId="397AF57A"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3,088</w:t>
            </w:r>
          </w:p>
        </w:tc>
        <w:tc>
          <w:tcPr>
            <w:tcW w:w="834" w:type="dxa"/>
            <w:shd w:val="clear" w:color="auto" w:fill="F2F2F2" w:themeFill="background1" w:themeFillShade="F2"/>
            <w:vAlign w:val="center"/>
          </w:tcPr>
          <w:p w14:paraId="3D281A65"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2,271.8</w:t>
            </w:r>
          </w:p>
        </w:tc>
        <w:tc>
          <w:tcPr>
            <w:tcW w:w="900" w:type="dxa"/>
            <w:shd w:val="clear" w:color="auto" w:fill="F2F2F2" w:themeFill="background1" w:themeFillShade="F2"/>
            <w:vAlign w:val="center"/>
          </w:tcPr>
          <w:p w14:paraId="46895CB3"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1,169</w:t>
            </w:r>
          </w:p>
        </w:tc>
        <w:tc>
          <w:tcPr>
            <w:tcW w:w="867" w:type="dxa"/>
            <w:shd w:val="clear" w:color="auto" w:fill="F2F2F2" w:themeFill="background1" w:themeFillShade="F2"/>
            <w:vAlign w:val="center"/>
          </w:tcPr>
          <w:p w14:paraId="1EB607DC"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1,544</w:t>
            </w:r>
          </w:p>
        </w:tc>
        <w:tc>
          <w:tcPr>
            <w:tcW w:w="926" w:type="dxa"/>
            <w:shd w:val="clear" w:color="auto" w:fill="F2F2F2" w:themeFill="background1" w:themeFillShade="F2"/>
            <w:vAlign w:val="center"/>
          </w:tcPr>
          <w:p w14:paraId="48584BAD"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2,078.6</w:t>
            </w:r>
          </w:p>
        </w:tc>
        <w:tc>
          <w:tcPr>
            <w:tcW w:w="808" w:type="dxa"/>
            <w:shd w:val="clear" w:color="auto" w:fill="F2F2F2" w:themeFill="background1" w:themeFillShade="F2"/>
            <w:vAlign w:val="center"/>
          </w:tcPr>
          <w:p w14:paraId="7E5C13FF"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375</w:t>
            </w:r>
          </w:p>
        </w:tc>
        <w:tc>
          <w:tcPr>
            <w:tcW w:w="893" w:type="dxa"/>
            <w:shd w:val="clear" w:color="auto" w:fill="F2F2F2" w:themeFill="background1" w:themeFillShade="F2"/>
            <w:vAlign w:val="center"/>
          </w:tcPr>
          <w:p w14:paraId="2D7809E9"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193.3</w:t>
            </w:r>
          </w:p>
        </w:tc>
        <w:tc>
          <w:tcPr>
            <w:tcW w:w="842" w:type="dxa"/>
            <w:shd w:val="clear" w:color="auto" w:fill="FFFFFF" w:themeFill="background1"/>
            <w:vAlign w:val="center"/>
          </w:tcPr>
          <w:p w14:paraId="7120F540"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2,574</w:t>
            </w:r>
          </w:p>
        </w:tc>
        <w:tc>
          <w:tcPr>
            <w:tcW w:w="859" w:type="dxa"/>
            <w:shd w:val="clear" w:color="auto" w:fill="FFFFFF" w:themeFill="background1"/>
            <w:vAlign w:val="center"/>
          </w:tcPr>
          <w:p w14:paraId="186D8EA4"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1,940.4</w:t>
            </w:r>
          </w:p>
        </w:tc>
        <w:tc>
          <w:tcPr>
            <w:tcW w:w="875" w:type="dxa"/>
            <w:shd w:val="clear" w:color="auto" w:fill="FFFFFF" w:themeFill="background1"/>
            <w:vAlign w:val="center"/>
          </w:tcPr>
          <w:p w14:paraId="3E05DCC1"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1,023</w:t>
            </w:r>
          </w:p>
        </w:tc>
        <w:tc>
          <w:tcPr>
            <w:tcW w:w="867" w:type="dxa"/>
            <w:shd w:val="clear" w:color="auto" w:fill="FFFFFF" w:themeFill="background1"/>
            <w:vAlign w:val="center"/>
          </w:tcPr>
          <w:p w14:paraId="01F2B447"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1,402</w:t>
            </w:r>
          </w:p>
        </w:tc>
        <w:tc>
          <w:tcPr>
            <w:tcW w:w="810" w:type="dxa"/>
            <w:shd w:val="clear" w:color="auto" w:fill="FFFFFF" w:themeFill="background1"/>
            <w:vAlign w:val="center"/>
          </w:tcPr>
          <w:p w14:paraId="56FACB4D"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1,852.8</w:t>
            </w:r>
          </w:p>
        </w:tc>
        <w:tc>
          <w:tcPr>
            <w:tcW w:w="924" w:type="dxa"/>
            <w:shd w:val="clear" w:color="auto" w:fill="FFFFFF" w:themeFill="background1"/>
            <w:vAlign w:val="center"/>
          </w:tcPr>
          <w:p w14:paraId="6E563C10"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149</w:t>
            </w:r>
          </w:p>
        </w:tc>
        <w:tc>
          <w:tcPr>
            <w:tcW w:w="868" w:type="dxa"/>
            <w:shd w:val="clear" w:color="auto" w:fill="FFFFFF" w:themeFill="background1"/>
            <w:vAlign w:val="center"/>
          </w:tcPr>
          <w:p w14:paraId="7D4B22A7"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87.6</w:t>
            </w:r>
          </w:p>
        </w:tc>
      </w:tr>
      <w:tr w:rsidR="00175CCF" w:rsidRPr="005734B8" w14:paraId="616A4910" w14:textId="77777777" w:rsidTr="002B5648">
        <w:trPr>
          <w:trHeight w:val="443"/>
        </w:trPr>
        <w:tc>
          <w:tcPr>
            <w:cnfStyle w:val="001000000000" w:firstRow="0" w:lastRow="0" w:firstColumn="1" w:lastColumn="0" w:oddVBand="0" w:evenVBand="0" w:oddHBand="0" w:evenHBand="0" w:firstRowFirstColumn="0" w:firstRowLastColumn="0" w:lastRowFirstColumn="0" w:lastRowLastColumn="0"/>
            <w:tcW w:w="534" w:type="dxa"/>
            <w:vMerge w:val="restart"/>
            <w:textDirection w:val="btLr"/>
          </w:tcPr>
          <w:p w14:paraId="506ABA3E" w14:textId="77777777" w:rsidR="004660D6" w:rsidRPr="005734B8" w:rsidRDefault="004660D6" w:rsidP="004660D6">
            <w:pPr>
              <w:pStyle w:val="ESTablebody"/>
              <w:spacing w:before="0" w:after="0"/>
              <w:jc w:val="center"/>
              <w:rPr>
                <w:rFonts w:ascii="Calibri" w:hAnsi="Calibri" w:cs="Calibri"/>
                <w:b/>
                <w:sz w:val="16"/>
                <w:szCs w:val="16"/>
              </w:rPr>
            </w:pPr>
            <w:r w:rsidRPr="005734B8">
              <w:rPr>
                <w:rFonts w:ascii="Calibri" w:hAnsi="Calibri" w:cs="Calibri"/>
                <w:b/>
                <w:sz w:val="16"/>
                <w:szCs w:val="16"/>
              </w:rPr>
              <w:t>Classification data</w:t>
            </w:r>
          </w:p>
        </w:tc>
        <w:tc>
          <w:tcPr>
            <w:tcW w:w="1276" w:type="dxa"/>
          </w:tcPr>
          <w:p w14:paraId="2977CFC4" w14:textId="77777777" w:rsidR="004660D6" w:rsidRPr="005734B8" w:rsidRDefault="004660D6" w:rsidP="004660D6">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Executive class</w:t>
            </w:r>
          </w:p>
        </w:tc>
        <w:tc>
          <w:tcPr>
            <w:tcW w:w="867" w:type="dxa"/>
            <w:shd w:val="clear" w:color="auto" w:fill="F2F2F2" w:themeFill="background1" w:themeFillShade="F2"/>
            <w:vAlign w:val="center"/>
          </w:tcPr>
          <w:p w14:paraId="746A539D"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sz w:val="16"/>
                <w:szCs w:val="16"/>
              </w:rPr>
              <w:t>171</w:t>
            </w:r>
          </w:p>
        </w:tc>
        <w:tc>
          <w:tcPr>
            <w:tcW w:w="834" w:type="dxa"/>
            <w:shd w:val="clear" w:color="auto" w:fill="F2F2F2" w:themeFill="background1" w:themeFillShade="F2"/>
            <w:vAlign w:val="center"/>
          </w:tcPr>
          <w:p w14:paraId="2E169DD4"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sz w:val="16"/>
                <w:szCs w:val="16"/>
              </w:rPr>
              <w:t>169.6</w:t>
            </w:r>
          </w:p>
        </w:tc>
        <w:tc>
          <w:tcPr>
            <w:tcW w:w="900" w:type="dxa"/>
            <w:shd w:val="clear" w:color="auto" w:fill="F2F2F2" w:themeFill="background1" w:themeFillShade="F2"/>
            <w:vAlign w:val="center"/>
          </w:tcPr>
          <w:p w14:paraId="34B1A828"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sz w:val="16"/>
                <w:szCs w:val="16"/>
              </w:rPr>
              <w:t>162</w:t>
            </w:r>
          </w:p>
        </w:tc>
        <w:tc>
          <w:tcPr>
            <w:tcW w:w="867" w:type="dxa"/>
            <w:shd w:val="clear" w:color="auto" w:fill="F2F2F2" w:themeFill="background1" w:themeFillShade="F2"/>
            <w:vAlign w:val="center"/>
          </w:tcPr>
          <w:p w14:paraId="1E8CCDB7"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sz w:val="16"/>
                <w:szCs w:val="16"/>
              </w:rPr>
              <w:t>2</w:t>
            </w:r>
          </w:p>
        </w:tc>
        <w:tc>
          <w:tcPr>
            <w:tcW w:w="926" w:type="dxa"/>
            <w:shd w:val="clear" w:color="auto" w:fill="F2F2F2" w:themeFill="background1" w:themeFillShade="F2"/>
            <w:vAlign w:val="center"/>
          </w:tcPr>
          <w:p w14:paraId="1ABCAE63"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sz w:val="16"/>
                <w:szCs w:val="16"/>
              </w:rPr>
              <w:t>163.0</w:t>
            </w:r>
          </w:p>
        </w:tc>
        <w:tc>
          <w:tcPr>
            <w:tcW w:w="808" w:type="dxa"/>
            <w:shd w:val="clear" w:color="auto" w:fill="F2F2F2" w:themeFill="background1" w:themeFillShade="F2"/>
            <w:vAlign w:val="center"/>
          </w:tcPr>
          <w:p w14:paraId="537ADBB0"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sz w:val="16"/>
                <w:szCs w:val="16"/>
              </w:rPr>
              <w:t>7</w:t>
            </w:r>
          </w:p>
        </w:tc>
        <w:tc>
          <w:tcPr>
            <w:tcW w:w="893" w:type="dxa"/>
            <w:shd w:val="clear" w:color="auto" w:fill="F2F2F2" w:themeFill="background1" w:themeFillShade="F2"/>
            <w:vAlign w:val="center"/>
          </w:tcPr>
          <w:p w14:paraId="2B4AD2F8"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sz w:val="16"/>
                <w:szCs w:val="16"/>
              </w:rPr>
              <w:t>6.6</w:t>
            </w:r>
          </w:p>
        </w:tc>
        <w:tc>
          <w:tcPr>
            <w:tcW w:w="842" w:type="dxa"/>
            <w:shd w:val="clear" w:color="auto" w:fill="FFFFFF" w:themeFill="background1"/>
            <w:vAlign w:val="center"/>
          </w:tcPr>
          <w:p w14:paraId="708C3A60"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sz w:val="16"/>
                <w:szCs w:val="16"/>
              </w:rPr>
              <w:t>158</w:t>
            </w:r>
          </w:p>
        </w:tc>
        <w:tc>
          <w:tcPr>
            <w:tcW w:w="859" w:type="dxa"/>
            <w:shd w:val="clear" w:color="auto" w:fill="FFFFFF" w:themeFill="background1"/>
            <w:vAlign w:val="center"/>
          </w:tcPr>
          <w:p w14:paraId="4EA85D40"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sz w:val="16"/>
                <w:szCs w:val="16"/>
              </w:rPr>
              <w:t>156.6</w:t>
            </w:r>
          </w:p>
        </w:tc>
        <w:tc>
          <w:tcPr>
            <w:tcW w:w="875" w:type="dxa"/>
            <w:shd w:val="clear" w:color="auto" w:fill="FFFFFF" w:themeFill="background1"/>
            <w:vAlign w:val="center"/>
          </w:tcPr>
          <w:p w14:paraId="2C0E3B24"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sz w:val="16"/>
                <w:szCs w:val="16"/>
              </w:rPr>
              <w:t>143</w:t>
            </w:r>
          </w:p>
        </w:tc>
        <w:tc>
          <w:tcPr>
            <w:tcW w:w="867" w:type="dxa"/>
            <w:shd w:val="clear" w:color="auto" w:fill="FFFFFF" w:themeFill="background1"/>
            <w:vAlign w:val="center"/>
          </w:tcPr>
          <w:p w14:paraId="38FF9438"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sz w:val="16"/>
                <w:szCs w:val="16"/>
              </w:rPr>
              <w:t>2</w:t>
            </w:r>
          </w:p>
        </w:tc>
        <w:tc>
          <w:tcPr>
            <w:tcW w:w="810" w:type="dxa"/>
            <w:shd w:val="clear" w:color="auto" w:fill="FFFFFF" w:themeFill="background1"/>
            <w:vAlign w:val="center"/>
          </w:tcPr>
          <w:p w14:paraId="3FE5EE67"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sz w:val="16"/>
                <w:szCs w:val="16"/>
              </w:rPr>
              <w:t>144.1</w:t>
            </w:r>
          </w:p>
        </w:tc>
        <w:tc>
          <w:tcPr>
            <w:tcW w:w="924" w:type="dxa"/>
            <w:shd w:val="clear" w:color="auto" w:fill="FFFFFF" w:themeFill="background1"/>
            <w:vAlign w:val="center"/>
          </w:tcPr>
          <w:p w14:paraId="72F7B8E3"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sz w:val="16"/>
                <w:szCs w:val="16"/>
              </w:rPr>
              <w:t>13</w:t>
            </w:r>
          </w:p>
        </w:tc>
        <w:tc>
          <w:tcPr>
            <w:tcW w:w="868" w:type="dxa"/>
            <w:shd w:val="clear" w:color="auto" w:fill="FFFFFF" w:themeFill="background1"/>
            <w:vAlign w:val="center"/>
          </w:tcPr>
          <w:p w14:paraId="247CC3A5"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sz w:val="16"/>
                <w:szCs w:val="16"/>
              </w:rPr>
              <w:t>12.5</w:t>
            </w:r>
          </w:p>
        </w:tc>
      </w:tr>
      <w:tr w:rsidR="00175CCF" w:rsidRPr="005734B8" w14:paraId="3EC801E5" w14:textId="77777777" w:rsidTr="002B5648">
        <w:tc>
          <w:tcPr>
            <w:cnfStyle w:val="001000000000" w:firstRow="0" w:lastRow="0" w:firstColumn="1" w:lastColumn="0" w:oddVBand="0" w:evenVBand="0" w:oddHBand="0" w:evenHBand="0" w:firstRowFirstColumn="0" w:firstRowLastColumn="0" w:lastRowFirstColumn="0" w:lastRowLastColumn="0"/>
            <w:tcW w:w="534" w:type="dxa"/>
            <w:vMerge/>
          </w:tcPr>
          <w:p w14:paraId="4581C686" w14:textId="77777777" w:rsidR="004660D6" w:rsidRPr="005734B8" w:rsidRDefault="004660D6" w:rsidP="004660D6">
            <w:pPr>
              <w:pStyle w:val="ESTablebody"/>
              <w:spacing w:before="0" w:after="0"/>
              <w:jc w:val="center"/>
              <w:rPr>
                <w:rFonts w:ascii="Calibri" w:hAnsi="Calibri" w:cs="Calibri"/>
                <w:b/>
                <w:sz w:val="16"/>
                <w:szCs w:val="16"/>
              </w:rPr>
            </w:pPr>
          </w:p>
        </w:tc>
        <w:tc>
          <w:tcPr>
            <w:tcW w:w="1276" w:type="dxa"/>
          </w:tcPr>
          <w:p w14:paraId="1EA9E91C" w14:textId="77777777" w:rsidR="004660D6" w:rsidRPr="005734B8" w:rsidRDefault="004660D6" w:rsidP="004660D6">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Principal class</w:t>
            </w:r>
            <w:r w:rsidRPr="005734B8">
              <w:rPr>
                <w:rStyle w:val="FootnoteReference"/>
                <w:rFonts w:ascii="Calibri" w:hAnsi="Calibri" w:cs="Calibri"/>
                <w:sz w:val="16"/>
                <w:szCs w:val="16"/>
              </w:rPr>
              <w:footnoteReference w:id="50"/>
            </w:r>
          </w:p>
        </w:tc>
        <w:tc>
          <w:tcPr>
            <w:tcW w:w="867" w:type="dxa"/>
            <w:shd w:val="clear" w:color="auto" w:fill="F2F2F2" w:themeFill="background1" w:themeFillShade="F2"/>
            <w:vAlign w:val="center"/>
          </w:tcPr>
          <w:p w14:paraId="77609642"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3,385</w:t>
            </w:r>
          </w:p>
        </w:tc>
        <w:tc>
          <w:tcPr>
            <w:tcW w:w="834" w:type="dxa"/>
            <w:shd w:val="clear" w:color="auto" w:fill="F2F2F2" w:themeFill="background1" w:themeFillShade="F2"/>
            <w:vAlign w:val="center"/>
          </w:tcPr>
          <w:p w14:paraId="4F715FEE"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3,349.3</w:t>
            </w:r>
          </w:p>
        </w:tc>
        <w:tc>
          <w:tcPr>
            <w:tcW w:w="900" w:type="dxa"/>
            <w:shd w:val="clear" w:color="auto" w:fill="F2F2F2" w:themeFill="background1" w:themeFillShade="F2"/>
            <w:vAlign w:val="center"/>
          </w:tcPr>
          <w:p w14:paraId="4B7A1456"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3,270</w:t>
            </w:r>
          </w:p>
        </w:tc>
        <w:tc>
          <w:tcPr>
            <w:tcW w:w="867" w:type="dxa"/>
            <w:shd w:val="clear" w:color="auto" w:fill="F2F2F2" w:themeFill="background1" w:themeFillShade="F2"/>
            <w:vAlign w:val="center"/>
          </w:tcPr>
          <w:p w14:paraId="256B1025"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115</w:t>
            </w:r>
          </w:p>
        </w:tc>
        <w:tc>
          <w:tcPr>
            <w:tcW w:w="926" w:type="dxa"/>
            <w:shd w:val="clear" w:color="auto" w:fill="F2F2F2" w:themeFill="background1" w:themeFillShade="F2"/>
            <w:vAlign w:val="center"/>
          </w:tcPr>
          <w:p w14:paraId="17571A4F"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3,349.3</w:t>
            </w:r>
          </w:p>
        </w:tc>
        <w:tc>
          <w:tcPr>
            <w:tcW w:w="808" w:type="dxa"/>
            <w:shd w:val="clear" w:color="auto" w:fill="F2F2F2" w:themeFill="background1" w:themeFillShade="F2"/>
            <w:vAlign w:val="center"/>
          </w:tcPr>
          <w:p w14:paraId="03990B64" w14:textId="4C865EF7" w:rsidR="004660D6" w:rsidRPr="005734B8" w:rsidRDefault="002B5648"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w:t>
            </w:r>
          </w:p>
        </w:tc>
        <w:tc>
          <w:tcPr>
            <w:tcW w:w="893" w:type="dxa"/>
            <w:shd w:val="clear" w:color="auto" w:fill="F2F2F2" w:themeFill="background1" w:themeFillShade="F2"/>
            <w:vAlign w:val="center"/>
          </w:tcPr>
          <w:p w14:paraId="2156A1C5" w14:textId="4E35E6BC" w:rsidR="004660D6" w:rsidRPr="005734B8" w:rsidRDefault="002B5648"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w:t>
            </w:r>
          </w:p>
        </w:tc>
        <w:tc>
          <w:tcPr>
            <w:tcW w:w="842" w:type="dxa"/>
            <w:shd w:val="clear" w:color="auto" w:fill="FFFFFF" w:themeFill="background1"/>
            <w:vAlign w:val="center"/>
          </w:tcPr>
          <w:p w14:paraId="1388BD03"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3,306</w:t>
            </w:r>
          </w:p>
        </w:tc>
        <w:tc>
          <w:tcPr>
            <w:tcW w:w="859" w:type="dxa"/>
            <w:shd w:val="clear" w:color="auto" w:fill="FFFFFF" w:themeFill="background1"/>
            <w:vAlign w:val="center"/>
          </w:tcPr>
          <w:p w14:paraId="7FC7E9A3"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3,276.4</w:t>
            </w:r>
          </w:p>
        </w:tc>
        <w:tc>
          <w:tcPr>
            <w:tcW w:w="875" w:type="dxa"/>
            <w:shd w:val="clear" w:color="auto" w:fill="FFFFFF" w:themeFill="background1"/>
            <w:vAlign w:val="center"/>
          </w:tcPr>
          <w:p w14:paraId="335B1258"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3,202</w:t>
            </w:r>
          </w:p>
        </w:tc>
        <w:tc>
          <w:tcPr>
            <w:tcW w:w="867" w:type="dxa"/>
            <w:shd w:val="clear" w:color="auto" w:fill="FFFFFF" w:themeFill="background1"/>
            <w:vAlign w:val="center"/>
          </w:tcPr>
          <w:p w14:paraId="47DB84D2"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104</w:t>
            </w:r>
          </w:p>
        </w:tc>
        <w:tc>
          <w:tcPr>
            <w:tcW w:w="810" w:type="dxa"/>
            <w:shd w:val="clear" w:color="auto" w:fill="FFFFFF" w:themeFill="background1"/>
            <w:vAlign w:val="center"/>
          </w:tcPr>
          <w:p w14:paraId="4B8357BC"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3,276.4</w:t>
            </w:r>
          </w:p>
        </w:tc>
        <w:tc>
          <w:tcPr>
            <w:tcW w:w="924" w:type="dxa"/>
            <w:shd w:val="clear" w:color="auto" w:fill="FFFFFF" w:themeFill="background1"/>
          </w:tcPr>
          <w:p w14:paraId="08C9B346" w14:textId="360FA21F" w:rsidR="004660D6" w:rsidRPr="005734B8" w:rsidRDefault="002B5648"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w:t>
            </w:r>
          </w:p>
        </w:tc>
        <w:tc>
          <w:tcPr>
            <w:tcW w:w="868" w:type="dxa"/>
            <w:shd w:val="clear" w:color="auto" w:fill="FFFFFF" w:themeFill="background1"/>
          </w:tcPr>
          <w:p w14:paraId="3CEF2E17" w14:textId="61D02704" w:rsidR="004660D6" w:rsidRPr="005734B8" w:rsidRDefault="002B5648"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w:t>
            </w:r>
          </w:p>
        </w:tc>
      </w:tr>
      <w:tr w:rsidR="00175CCF" w:rsidRPr="005734B8" w14:paraId="6CFCC0A4" w14:textId="77777777" w:rsidTr="002B5648">
        <w:tc>
          <w:tcPr>
            <w:cnfStyle w:val="001000000000" w:firstRow="0" w:lastRow="0" w:firstColumn="1" w:lastColumn="0" w:oddVBand="0" w:evenVBand="0" w:oddHBand="0" w:evenHBand="0" w:firstRowFirstColumn="0" w:firstRowLastColumn="0" w:lastRowFirstColumn="0" w:lastRowLastColumn="0"/>
            <w:tcW w:w="534" w:type="dxa"/>
            <w:vMerge/>
          </w:tcPr>
          <w:p w14:paraId="19FD8A5B" w14:textId="77777777" w:rsidR="004660D6" w:rsidRPr="005734B8" w:rsidRDefault="004660D6" w:rsidP="004660D6">
            <w:pPr>
              <w:pStyle w:val="ESTablebody"/>
              <w:spacing w:before="0" w:after="0"/>
              <w:jc w:val="center"/>
              <w:rPr>
                <w:rFonts w:ascii="Calibri" w:hAnsi="Calibri" w:cs="Calibri"/>
                <w:b/>
                <w:sz w:val="16"/>
                <w:szCs w:val="16"/>
              </w:rPr>
            </w:pPr>
          </w:p>
        </w:tc>
        <w:tc>
          <w:tcPr>
            <w:tcW w:w="1276" w:type="dxa"/>
          </w:tcPr>
          <w:p w14:paraId="2EB18892" w14:textId="77777777" w:rsidR="004660D6" w:rsidRPr="005734B8" w:rsidRDefault="004660D6" w:rsidP="004660D6">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Teacher class</w:t>
            </w:r>
            <w:r w:rsidRPr="005734B8">
              <w:rPr>
                <w:rStyle w:val="FootnoteReference"/>
                <w:rFonts w:ascii="Calibri" w:hAnsi="Calibri" w:cs="Calibri"/>
                <w:sz w:val="16"/>
                <w:szCs w:val="16"/>
              </w:rPr>
              <w:footnoteReference w:id="51"/>
            </w:r>
          </w:p>
        </w:tc>
        <w:tc>
          <w:tcPr>
            <w:tcW w:w="867" w:type="dxa"/>
            <w:shd w:val="clear" w:color="auto" w:fill="F2F2F2" w:themeFill="background1" w:themeFillShade="F2"/>
            <w:vAlign w:val="center"/>
          </w:tcPr>
          <w:p w14:paraId="6BD115C3"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52,066</w:t>
            </w:r>
          </w:p>
        </w:tc>
        <w:tc>
          <w:tcPr>
            <w:tcW w:w="834" w:type="dxa"/>
            <w:shd w:val="clear" w:color="auto" w:fill="F2F2F2" w:themeFill="background1" w:themeFillShade="F2"/>
            <w:vAlign w:val="center"/>
          </w:tcPr>
          <w:p w14:paraId="4F3CDA0B"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46,546.1</w:t>
            </w:r>
          </w:p>
        </w:tc>
        <w:tc>
          <w:tcPr>
            <w:tcW w:w="900" w:type="dxa"/>
            <w:shd w:val="clear" w:color="auto" w:fill="F2F2F2" w:themeFill="background1" w:themeFillShade="F2"/>
            <w:vAlign w:val="center"/>
          </w:tcPr>
          <w:p w14:paraId="6C85A9BE"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30,363</w:t>
            </w:r>
          </w:p>
        </w:tc>
        <w:tc>
          <w:tcPr>
            <w:tcW w:w="867" w:type="dxa"/>
            <w:shd w:val="clear" w:color="auto" w:fill="F2F2F2" w:themeFill="background1" w:themeFillShade="F2"/>
            <w:vAlign w:val="center"/>
          </w:tcPr>
          <w:p w14:paraId="5ECDBE61"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11,686</w:t>
            </w:r>
          </w:p>
        </w:tc>
        <w:tc>
          <w:tcPr>
            <w:tcW w:w="926" w:type="dxa"/>
            <w:shd w:val="clear" w:color="auto" w:fill="F2F2F2" w:themeFill="background1" w:themeFillShade="F2"/>
            <w:vAlign w:val="center"/>
          </w:tcPr>
          <w:p w14:paraId="160D7FDC"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37,698.9</w:t>
            </w:r>
          </w:p>
        </w:tc>
        <w:tc>
          <w:tcPr>
            <w:tcW w:w="808" w:type="dxa"/>
            <w:shd w:val="clear" w:color="auto" w:fill="F2F2F2" w:themeFill="background1" w:themeFillShade="F2"/>
            <w:vAlign w:val="center"/>
          </w:tcPr>
          <w:p w14:paraId="1EEECEA0"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10,017</w:t>
            </w:r>
          </w:p>
        </w:tc>
        <w:tc>
          <w:tcPr>
            <w:tcW w:w="893" w:type="dxa"/>
            <w:shd w:val="clear" w:color="auto" w:fill="F2F2F2" w:themeFill="background1" w:themeFillShade="F2"/>
            <w:vAlign w:val="center"/>
          </w:tcPr>
          <w:p w14:paraId="4A799057"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8,847.2</w:t>
            </w:r>
          </w:p>
        </w:tc>
        <w:tc>
          <w:tcPr>
            <w:tcW w:w="842" w:type="dxa"/>
            <w:shd w:val="clear" w:color="auto" w:fill="FFFFFF" w:themeFill="background1"/>
            <w:vAlign w:val="center"/>
          </w:tcPr>
          <w:p w14:paraId="34A326A2"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49,360</w:t>
            </w:r>
          </w:p>
        </w:tc>
        <w:tc>
          <w:tcPr>
            <w:tcW w:w="859" w:type="dxa"/>
            <w:shd w:val="clear" w:color="auto" w:fill="FFFFFF" w:themeFill="background1"/>
            <w:vAlign w:val="center"/>
          </w:tcPr>
          <w:p w14:paraId="720DE433"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44,407.6</w:t>
            </w:r>
          </w:p>
        </w:tc>
        <w:tc>
          <w:tcPr>
            <w:tcW w:w="875" w:type="dxa"/>
            <w:shd w:val="clear" w:color="auto" w:fill="FFFFFF" w:themeFill="background1"/>
            <w:vAlign w:val="center"/>
          </w:tcPr>
          <w:p w14:paraId="19F86015"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29,492</w:t>
            </w:r>
          </w:p>
        </w:tc>
        <w:tc>
          <w:tcPr>
            <w:tcW w:w="867" w:type="dxa"/>
            <w:shd w:val="clear" w:color="auto" w:fill="FFFFFF" w:themeFill="background1"/>
            <w:vAlign w:val="center"/>
          </w:tcPr>
          <w:p w14:paraId="688ABA4D"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11,269</w:t>
            </w:r>
          </w:p>
        </w:tc>
        <w:tc>
          <w:tcPr>
            <w:tcW w:w="810" w:type="dxa"/>
            <w:shd w:val="clear" w:color="auto" w:fill="FFFFFF" w:themeFill="background1"/>
            <w:vAlign w:val="center"/>
          </w:tcPr>
          <w:p w14:paraId="2D1A106A"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36,530.0</w:t>
            </w:r>
          </w:p>
        </w:tc>
        <w:tc>
          <w:tcPr>
            <w:tcW w:w="924" w:type="dxa"/>
            <w:shd w:val="clear" w:color="auto" w:fill="FFFFFF" w:themeFill="background1"/>
            <w:vAlign w:val="center"/>
          </w:tcPr>
          <w:p w14:paraId="5BF47053"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8,599</w:t>
            </w:r>
          </w:p>
        </w:tc>
        <w:tc>
          <w:tcPr>
            <w:tcW w:w="868" w:type="dxa"/>
            <w:shd w:val="clear" w:color="auto" w:fill="FFFFFF" w:themeFill="background1"/>
            <w:vAlign w:val="center"/>
          </w:tcPr>
          <w:p w14:paraId="4B85F45F"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7,877.5</w:t>
            </w:r>
          </w:p>
        </w:tc>
      </w:tr>
      <w:tr w:rsidR="00175CCF" w:rsidRPr="005734B8" w14:paraId="4D24E4B1" w14:textId="77777777" w:rsidTr="002B5648">
        <w:tc>
          <w:tcPr>
            <w:cnfStyle w:val="001000000000" w:firstRow="0" w:lastRow="0" w:firstColumn="1" w:lastColumn="0" w:oddVBand="0" w:evenVBand="0" w:oddHBand="0" w:evenHBand="0" w:firstRowFirstColumn="0" w:firstRowLastColumn="0" w:lastRowFirstColumn="0" w:lastRowLastColumn="0"/>
            <w:tcW w:w="534" w:type="dxa"/>
            <w:vMerge/>
          </w:tcPr>
          <w:p w14:paraId="37775581" w14:textId="77777777" w:rsidR="004660D6" w:rsidRPr="005734B8" w:rsidRDefault="004660D6" w:rsidP="004660D6">
            <w:pPr>
              <w:pStyle w:val="ESTablebody"/>
              <w:spacing w:before="0" w:after="0"/>
              <w:jc w:val="center"/>
              <w:rPr>
                <w:rFonts w:ascii="Calibri" w:hAnsi="Calibri" w:cs="Calibri"/>
                <w:b/>
                <w:sz w:val="16"/>
                <w:szCs w:val="16"/>
              </w:rPr>
            </w:pPr>
          </w:p>
        </w:tc>
        <w:tc>
          <w:tcPr>
            <w:tcW w:w="1276" w:type="dxa"/>
          </w:tcPr>
          <w:p w14:paraId="78180E80" w14:textId="77777777" w:rsidR="004660D6" w:rsidRPr="005734B8" w:rsidRDefault="004660D6" w:rsidP="004660D6">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Education support class</w:t>
            </w:r>
          </w:p>
        </w:tc>
        <w:tc>
          <w:tcPr>
            <w:tcW w:w="867" w:type="dxa"/>
            <w:shd w:val="clear" w:color="auto" w:fill="F2F2F2" w:themeFill="background1" w:themeFillShade="F2"/>
            <w:vAlign w:val="center"/>
          </w:tcPr>
          <w:p w14:paraId="4DF14022"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25,187</w:t>
            </w:r>
          </w:p>
        </w:tc>
        <w:tc>
          <w:tcPr>
            <w:tcW w:w="834" w:type="dxa"/>
            <w:shd w:val="clear" w:color="auto" w:fill="F2F2F2" w:themeFill="background1" w:themeFillShade="F2"/>
            <w:vAlign w:val="center"/>
          </w:tcPr>
          <w:p w14:paraId="3B36271A"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18,969.7</w:t>
            </w:r>
          </w:p>
        </w:tc>
        <w:tc>
          <w:tcPr>
            <w:tcW w:w="900" w:type="dxa"/>
            <w:shd w:val="clear" w:color="auto" w:fill="F2F2F2" w:themeFill="background1" w:themeFillShade="F2"/>
            <w:vAlign w:val="center"/>
          </w:tcPr>
          <w:p w14:paraId="2786E69D"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6,846</w:t>
            </w:r>
          </w:p>
        </w:tc>
        <w:tc>
          <w:tcPr>
            <w:tcW w:w="867" w:type="dxa"/>
            <w:shd w:val="clear" w:color="auto" w:fill="F2F2F2" w:themeFill="background1" w:themeFillShade="F2"/>
            <w:vAlign w:val="center"/>
          </w:tcPr>
          <w:p w14:paraId="7D49EA86"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14,744</w:t>
            </w:r>
          </w:p>
        </w:tc>
        <w:tc>
          <w:tcPr>
            <w:tcW w:w="926" w:type="dxa"/>
            <w:shd w:val="clear" w:color="auto" w:fill="F2F2F2" w:themeFill="background1" w:themeFillShade="F2"/>
            <w:vAlign w:val="center"/>
          </w:tcPr>
          <w:p w14:paraId="17B7208D"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16,550.5</w:t>
            </w:r>
          </w:p>
        </w:tc>
        <w:tc>
          <w:tcPr>
            <w:tcW w:w="808" w:type="dxa"/>
            <w:shd w:val="clear" w:color="auto" w:fill="F2F2F2" w:themeFill="background1" w:themeFillShade="F2"/>
            <w:vAlign w:val="center"/>
          </w:tcPr>
          <w:p w14:paraId="67687D17"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3,597</w:t>
            </w:r>
          </w:p>
        </w:tc>
        <w:tc>
          <w:tcPr>
            <w:tcW w:w="893" w:type="dxa"/>
            <w:shd w:val="clear" w:color="auto" w:fill="F2F2F2" w:themeFill="background1" w:themeFillShade="F2"/>
            <w:vAlign w:val="center"/>
          </w:tcPr>
          <w:p w14:paraId="2E93BA37"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2,419.2</w:t>
            </w:r>
          </w:p>
        </w:tc>
        <w:tc>
          <w:tcPr>
            <w:tcW w:w="842" w:type="dxa"/>
            <w:shd w:val="clear" w:color="auto" w:fill="FFFFFF" w:themeFill="background1"/>
            <w:vAlign w:val="center"/>
          </w:tcPr>
          <w:p w14:paraId="745BA82B"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24,119</w:t>
            </w:r>
          </w:p>
        </w:tc>
        <w:tc>
          <w:tcPr>
            <w:tcW w:w="859" w:type="dxa"/>
            <w:shd w:val="clear" w:color="auto" w:fill="FFFFFF" w:themeFill="background1"/>
            <w:vAlign w:val="center"/>
          </w:tcPr>
          <w:p w14:paraId="7B4F71CE"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18,156.1</w:t>
            </w:r>
          </w:p>
        </w:tc>
        <w:tc>
          <w:tcPr>
            <w:tcW w:w="875" w:type="dxa"/>
            <w:shd w:val="clear" w:color="auto" w:fill="FFFFFF" w:themeFill="background1"/>
            <w:vAlign w:val="center"/>
          </w:tcPr>
          <w:p w14:paraId="31CDD32A"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6,647</w:t>
            </w:r>
          </w:p>
        </w:tc>
        <w:tc>
          <w:tcPr>
            <w:tcW w:w="867" w:type="dxa"/>
            <w:shd w:val="clear" w:color="auto" w:fill="FFFFFF" w:themeFill="background1"/>
            <w:vAlign w:val="center"/>
          </w:tcPr>
          <w:p w14:paraId="402AB851"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14,440</w:t>
            </w:r>
          </w:p>
        </w:tc>
        <w:tc>
          <w:tcPr>
            <w:tcW w:w="810" w:type="dxa"/>
            <w:shd w:val="clear" w:color="auto" w:fill="FFFFFF" w:themeFill="background1"/>
            <w:vAlign w:val="center"/>
          </w:tcPr>
          <w:p w14:paraId="41EDCEE5"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16,088.1</w:t>
            </w:r>
          </w:p>
        </w:tc>
        <w:tc>
          <w:tcPr>
            <w:tcW w:w="924" w:type="dxa"/>
            <w:shd w:val="clear" w:color="auto" w:fill="FFFFFF" w:themeFill="background1"/>
            <w:vAlign w:val="center"/>
          </w:tcPr>
          <w:p w14:paraId="5B270E5E"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3,032</w:t>
            </w:r>
          </w:p>
        </w:tc>
        <w:tc>
          <w:tcPr>
            <w:tcW w:w="868" w:type="dxa"/>
            <w:shd w:val="clear" w:color="auto" w:fill="FFFFFF" w:themeFill="background1"/>
            <w:vAlign w:val="center"/>
          </w:tcPr>
          <w:p w14:paraId="045F0A90"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5734B8">
              <w:rPr>
                <w:rFonts w:ascii="Calibri" w:hAnsi="Calibri" w:cs="Calibri"/>
                <w:sz w:val="16"/>
                <w:szCs w:val="16"/>
              </w:rPr>
              <w:t>2,068.0</w:t>
            </w:r>
          </w:p>
        </w:tc>
      </w:tr>
      <w:tr w:rsidR="00175CCF" w:rsidRPr="005734B8" w14:paraId="755D406B" w14:textId="77777777" w:rsidTr="002B5648">
        <w:tc>
          <w:tcPr>
            <w:cnfStyle w:val="001000000000" w:firstRow="0" w:lastRow="0" w:firstColumn="1" w:lastColumn="0" w:oddVBand="0" w:evenVBand="0" w:oddHBand="0" w:evenHBand="0" w:firstRowFirstColumn="0" w:firstRowLastColumn="0" w:lastRowFirstColumn="0" w:lastRowLastColumn="0"/>
            <w:tcW w:w="534" w:type="dxa"/>
            <w:vMerge/>
          </w:tcPr>
          <w:p w14:paraId="1B6644DA" w14:textId="77777777" w:rsidR="004660D6" w:rsidRPr="005734B8" w:rsidRDefault="004660D6" w:rsidP="004660D6">
            <w:pPr>
              <w:pStyle w:val="ESTablebody"/>
              <w:spacing w:before="0" w:after="0"/>
              <w:jc w:val="center"/>
              <w:rPr>
                <w:rFonts w:ascii="Calibri" w:hAnsi="Calibri" w:cs="Calibri"/>
                <w:b/>
                <w:sz w:val="16"/>
                <w:szCs w:val="16"/>
              </w:rPr>
            </w:pPr>
          </w:p>
        </w:tc>
        <w:tc>
          <w:tcPr>
            <w:tcW w:w="1276" w:type="dxa"/>
            <w:tcBorders>
              <w:top w:val="single" w:sz="18" w:space="0" w:color="53565A"/>
              <w:bottom w:val="single" w:sz="18" w:space="0" w:color="53565A"/>
            </w:tcBorders>
          </w:tcPr>
          <w:p w14:paraId="3D6C1DE9" w14:textId="77777777" w:rsidR="004660D6" w:rsidRPr="005734B8" w:rsidRDefault="004660D6" w:rsidP="004660D6">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Total employees</w:t>
            </w:r>
          </w:p>
        </w:tc>
        <w:tc>
          <w:tcPr>
            <w:tcW w:w="867" w:type="dxa"/>
            <w:tcBorders>
              <w:top w:val="single" w:sz="18" w:space="0" w:color="53565A"/>
              <w:bottom w:val="single" w:sz="18" w:space="0" w:color="53565A"/>
            </w:tcBorders>
            <w:shd w:val="clear" w:color="auto" w:fill="F2F2F2" w:themeFill="background1" w:themeFillShade="F2"/>
            <w:vAlign w:val="center"/>
          </w:tcPr>
          <w:p w14:paraId="77C44EC1"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80,809</w:t>
            </w:r>
          </w:p>
        </w:tc>
        <w:tc>
          <w:tcPr>
            <w:tcW w:w="834" w:type="dxa"/>
            <w:tcBorders>
              <w:top w:val="single" w:sz="18" w:space="0" w:color="53565A"/>
              <w:bottom w:val="single" w:sz="18" w:space="0" w:color="53565A"/>
            </w:tcBorders>
            <w:shd w:val="clear" w:color="auto" w:fill="F2F2F2" w:themeFill="background1" w:themeFillShade="F2"/>
            <w:vAlign w:val="center"/>
          </w:tcPr>
          <w:p w14:paraId="410E3D85"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69,034.7</w:t>
            </w:r>
          </w:p>
        </w:tc>
        <w:tc>
          <w:tcPr>
            <w:tcW w:w="900" w:type="dxa"/>
            <w:tcBorders>
              <w:top w:val="single" w:sz="18" w:space="0" w:color="53565A"/>
              <w:bottom w:val="single" w:sz="18" w:space="0" w:color="53565A"/>
            </w:tcBorders>
            <w:shd w:val="clear" w:color="auto" w:fill="F2F2F2" w:themeFill="background1" w:themeFillShade="F2"/>
            <w:vAlign w:val="center"/>
          </w:tcPr>
          <w:p w14:paraId="5A5AF773"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40,641</w:t>
            </w:r>
          </w:p>
        </w:tc>
        <w:tc>
          <w:tcPr>
            <w:tcW w:w="867" w:type="dxa"/>
            <w:tcBorders>
              <w:top w:val="single" w:sz="18" w:space="0" w:color="53565A"/>
              <w:bottom w:val="single" w:sz="18" w:space="0" w:color="53565A"/>
            </w:tcBorders>
            <w:shd w:val="clear" w:color="auto" w:fill="F2F2F2" w:themeFill="background1" w:themeFillShade="F2"/>
            <w:vAlign w:val="center"/>
          </w:tcPr>
          <w:p w14:paraId="6ED3D256"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26,547</w:t>
            </w:r>
          </w:p>
        </w:tc>
        <w:tc>
          <w:tcPr>
            <w:tcW w:w="926" w:type="dxa"/>
            <w:tcBorders>
              <w:top w:val="single" w:sz="18" w:space="0" w:color="53565A"/>
              <w:bottom w:val="single" w:sz="18" w:space="0" w:color="53565A"/>
            </w:tcBorders>
            <w:shd w:val="clear" w:color="auto" w:fill="F2F2F2" w:themeFill="background1" w:themeFillShade="F2"/>
            <w:vAlign w:val="center"/>
          </w:tcPr>
          <w:p w14:paraId="4F392C18"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57,761.8</w:t>
            </w:r>
          </w:p>
        </w:tc>
        <w:tc>
          <w:tcPr>
            <w:tcW w:w="808" w:type="dxa"/>
            <w:tcBorders>
              <w:top w:val="single" w:sz="18" w:space="0" w:color="53565A"/>
              <w:bottom w:val="single" w:sz="18" w:space="0" w:color="53565A"/>
            </w:tcBorders>
            <w:shd w:val="clear" w:color="auto" w:fill="F2F2F2" w:themeFill="background1" w:themeFillShade="F2"/>
            <w:vAlign w:val="center"/>
          </w:tcPr>
          <w:p w14:paraId="5F5D827D"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13,621</w:t>
            </w:r>
          </w:p>
        </w:tc>
        <w:tc>
          <w:tcPr>
            <w:tcW w:w="893" w:type="dxa"/>
            <w:tcBorders>
              <w:top w:val="single" w:sz="18" w:space="0" w:color="53565A"/>
              <w:bottom w:val="single" w:sz="18" w:space="0" w:color="53565A"/>
            </w:tcBorders>
            <w:shd w:val="clear" w:color="auto" w:fill="F2F2F2" w:themeFill="background1" w:themeFillShade="F2"/>
            <w:vAlign w:val="center"/>
          </w:tcPr>
          <w:p w14:paraId="2163D339"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11,273.0</w:t>
            </w:r>
          </w:p>
        </w:tc>
        <w:tc>
          <w:tcPr>
            <w:tcW w:w="842" w:type="dxa"/>
            <w:tcBorders>
              <w:top w:val="single" w:sz="18" w:space="0" w:color="53565A"/>
              <w:bottom w:val="single" w:sz="18" w:space="0" w:color="53565A"/>
            </w:tcBorders>
            <w:shd w:val="clear" w:color="auto" w:fill="FFFFFF" w:themeFill="background1"/>
            <w:vAlign w:val="center"/>
          </w:tcPr>
          <w:p w14:paraId="0DAAF512"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76,943</w:t>
            </w:r>
          </w:p>
        </w:tc>
        <w:tc>
          <w:tcPr>
            <w:tcW w:w="859" w:type="dxa"/>
            <w:tcBorders>
              <w:top w:val="single" w:sz="18" w:space="0" w:color="53565A"/>
              <w:bottom w:val="single" w:sz="18" w:space="0" w:color="53565A"/>
            </w:tcBorders>
            <w:shd w:val="clear" w:color="auto" w:fill="FFFFFF" w:themeFill="background1"/>
            <w:vAlign w:val="center"/>
          </w:tcPr>
          <w:p w14:paraId="72887254"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65,996.7</w:t>
            </w:r>
          </w:p>
        </w:tc>
        <w:tc>
          <w:tcPr>
            <w:tcW w:w="875" w:type="dxa"/>
            <w:tcBorders>
              <w:top w:val="single" w:sz="18" w:space="0" w:color="53565A"/>
              <w:bottom w:val="single" w:sz="18" w:space="0" w:color="53565A"/>
            </w:tcBorders>
            <w:shd w:val="clear" w:color="auto" w:fill="FFFFFF" w:themeFill="background1"/>
            <w:vAlign w:val="center"/>
          </w:tcPr>
          <w:p w14:paraId="7796E298"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39,484</w:t>
            </w:r>
          </w:p>
        </w:tc>
        <w:tc>
          <w:tcPr>
            <w:tcW w:w="867" w:type="dxa"/>
            <w:tcBorders>
              <w:top w:val="single" w:sz="18" w:space="0" w:color="53565A"/>
              <w:bottom w:val="single" w:sz="18" w:space="0" w:color="53565A"/>
            </w:tcBorders>
            <w:shd w:val="clear" w:color="auto" w:fill="FFFFFF" w:themeFill="background1"/>
            <w:vAlign w:val="center"/>
          </w:tcPr>
          <w:p w14:paraId="727FD894"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25,815</w:t>
            </w:r>
          </w:p>
        </w:tc>
        <w:tc>
          <w:tcPr>
            <w:tcW w:w="810" w:type="dxa"/>
            <w:tcBorders>
              <w:top w:val="single" w:sz="18" w:space="0" w:color="53565A"/>
              <w:bottom w:val="single" w:sz="18" w:space="0" w:color="53565A"/>
            </w:tcBorders>
            <w:shd w:val="clear" w:color="auto" w:fill="FFFFFF" w:themeFill="background1"/>
            <w:vAlign w:val="center"/>
          </w:tcPr>
          <w:p w14:paraId="2DA48D3E"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56,038.6</w:t>
            </w:r>
          </w:p>
        </w:tc>
        <w:tc>
          <w:tcPr>
            <w:tcW w:w="924" w:type="dxa"/>
            <w:tcBorders>
              <w:top w:val="single" w:sz="18" w:space="0" w:color="53565A"/>
              <w:bottom w:val="single" w:sz="18" w:space="0" w:color="53565A"/>
            </w:tcBorders>
            <w:shd w:val="clear" w:color="auto" w:fill="FFFFFF" w:themeFill="background1"/>
            <w:vAlign w:val="center"/>
          </w:tcPr>
          <w:p w14:paraId="1CCB5785"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11,644</w:t>
            </w:r>
          </w:p>
        </w:tc>
        <w:tc>
          <w:tcPr>
            <w:tcW w:w="868" w:type="dxa"/>
            <w:tcBorders>
              <w:top w:val="single" w:sz="18" w:space="0" w:color="53565A"/>
              <w:bottom w:val="single" w:sz="18" w:space="0" w:color="53565A"/>
            </w:tcBorders>
            <w:shd w:val="clear" w:color="auto" w:fill="FFFFFF" w:themeFill="background1"/>
            <w:vAlign w:val="center"/>
          </w:tcPr>
          <w:p w14:paraId="3FE9548B" w14:textId="77777777" w:rsidR="004660D6" w:rsidRPr="005734B8" w:rsidRDefault="004660D6" w:rsidP="004660D6">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5734B8">
              <w:rPr>
                <w:rFonts w:ascii="Calibri" w:hAnsi="Calibri" w:cs="Calibri"/>
                <w:b/>
                <w:sz w:val="16"/>
                <w:szCs w:val="16"/>
              </w:rPr>
              <w:t>9,958.1</w:t>
            </w:r>
          </w:p>
        </w:tc>
      </w:tr>
    </w:tbl>
    <w:p w14:paraId="4BEDAD73" w14:textId="77777777" w:rsidR="004660D6" w:rsidRPr="005734B8" w:rsidRDefault="004660D6" w:rsidP="004660D6">
      <w:pPr>
        <w:pStyle w:val="ESTableintroheading"/>
        <w:rPr>
          <w:rFonts w:ascii="Calibri" w:hAnsi="Calibri" w:cs="Calibri"/>
        </w:rPr>
      </w:pPr>
    </w:p>
    <w:p w14:paraId="51B595DA" w14:textId="65E46F59" w:rsidR="00D646D6" w:rsidRPr="005734B8" w:rsidRDefault="00D646D6" w:rsidP="001D6E3A">
      <w:pPr>
        <w:rPr>
          <w:rFonts w:ascii="Calibri" w:hAnsi="Calibri" w:cs="Calibri"/>
          <w:highlight w:val="yellow"/>
        </w:rPr>
        <w:sectPr w:rsidR="00D646D6" w:rsidRPr="005734B8" w:rsidSect="00D646D6">
          <w:pgSz w:w="16840" w:h="11900" w:orient="landscape"/>
          <w:pgMar w:top="1418" w:right="1440" w:bottom="1134" w:left="1440" w:header="708" w:footer="708" w:gutter="0"/>
          <w:cols w:space="708"/>
          <w:docGrid w:linePitch="360"/>
        </w:sectPr>
      </w:pPr>
    </w:p>
    <w:p w14:paraId="145DB01C" w14:textId="493B4DD3" w:rsidR="004660D6" w:rsidRPr="005734B8" w:rsidRDefault="004660D6" w:rsidP="004660D6">
      <w:pPr>
        <w:rPr>
          <w:rFonts w:ascii="Calibri" w:hAnsi="Calibri" w:cs="Calibri"/>
        </w:rPr>
      </w:pPr>
      <w:r w:rsidRPr="005734B8">
        <w:rPr>
          <w:rFonts w:ascii="Calibri" w:hAnsi="Calibri" w:cs="Calibri"/>
        </w:rPr>
        <w:lastRenderedPageBreak/>
        <w:t xml:space="preserve">The following table discloses the annualised total salary of Department senior employees, categorised by classification. The salary amount is reported as the full-time annualised salary excluding superannuation. </w:t>
      </w:r>
    </w:p>
    <w:p w14:paraId="3B17E1F8" w14:textId="226F795C" w:rsidR="004660D6" w:rsidRPr="005734B8" w:rsidRDefault="004660D6" w:rsidP="004660D6">
      <w:pPr>
        <w:pStyle w:val="ESTableintroheading"/>
        <w:rPr>
          <w:rFonts w:ascii="Calibri" w:hAnsi="Calibri" w:cs="Calibri"/>
        </w:rPr>
      </w:pPr>
      <w:r w:rsidRPr="005734B8">
        <w:rPr>
          <w:rFonts w:ascii="Calibri" w:hAnsi="Calibri" w:cs="Calibri"/>
          <w:lang w:val="en-AU"/>
        </w:rPr>
        <w:t>Annualised</w:t>
      </w:r>
      <w:r w:rsidRPr="005734B8">
        <w:rPr>
          <w:rFonts w:ascii="Calibri" w:hAnsi="Calibri" w:cs="Calibri"/>
        </w:rPr>
        <w:t xml:space="preserve"> total salary (by $20,000 bands) for executives and other senior non</w:t>
      </w:r>
      <w:r w:rsidRPr="005734B8">
        <w:rPr>
          <w:rFonts w:ascii="Calibri" w:hAnsi="Calibri" w:cs="Calibri"/>
        </w:rPr>
        <w:noBreakHyphen/>
        <w:t>executive staff</w:t>
      </w:r>
    </w:p>
    <w:tbl>
      <w:tblPr>
        <w:tblStyle w:val="TableGrid"/>
        <w:tblW w:w="493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27"/>
        <w:gridCol w:w="1157"/>
        <w:gridCol w:w="788"/>
        <w:gridCol w:w="784"/>
        <w:gridCol w:w="789"/>
        <w:gridCol w:w="788"/>
        <w:gridCol w:w="791"/>
      </w:tblGrid>
      <w:tr w:rsidR="004660D6" w:rsidRPr="005734B8" w14:paraId="18F6678A" w14:textId="77777777" w:rsidTr="004660D6">
        <w:trPr>
          <w:cantSplit/>
          <w:trHeight w:val="242"/>
          <w:tblHeader/>
        </w:trPr>
        <w:tc>
          <w:tcPr>
            <w:tcW w:w="2727" w:type="dxa"/>
            <w:tcBorders>
              <w:bottom w:val="single" w:sz="4" w:space="0" w:color="FFFFFF" w:themeColor="background1"/>
            </w:tcBorders>
            <w:shd w:val="clear" w:color="auto" w:fill="AF272F"/>
          </w:tcPr>
          <w:p w14:paraId="200AF83C" w14:textId="77777777" w:rsidR="004660D6" w:rsidRPr="005734B8" w:rsidRDefault="004660D6" w:rsidP="004660D6">
            <w:pPr>
              <w:pStyle w:val="ESTableheadingwhite"/>
              <w:rPr>
                <w:rFonts w:ascii="Calibri" w:hAnsi="Calibri" w:cs="Calibri"/>
                <w:sz w:val="18"/>
              </w:rPr>
            </w:pPr>
            <w:r w:rsidRPr="005734B8">
              <w:rPr>
                <w:rFonts w:ascii="Calibri" w:hAnsi="Calibri" w:cs="Calibri"/>
                <w:sz w:val="18"/>
              </w:rPr>
              <w:t>Income band (salary)</w:t>
            </w:r>
          </w:p>
        </w:tc>
        <w:tc>
          <w:tcPr>
            <w:tcW w:w="1157" w:type="dxa"/>
            <w:tcBorders>
              <w:bottom w:val="single" w:sz="4" w:space="0" w:color="FFFFFF" w:themeColor="background1"/>
            </w:tcBorders>
            <w:shd w:val="clear" w:color="auto" w:fill="AF272F" w:themeFill="accent4"/>
          </w:tcPr>
          <w:p w14:paraId="5FE1DF60" w14:textId="77777777" w:rsidR="004660D6" w:rsidRPr="005734B8" w:rsidRDefault="004660D6" w:rsidP="004660D6">
            <w:pPr>
              <w:pStyle w:val="ESTableheadingwhite"/>
              <w:jc w:val="right"/>
              <w:rPr>
                <w:rFonts w:ascii="Calibri" w:hAnsi="Calibri" w:cs="Calibri"/>
                <w:sz w:val="18"/>
              </w:rPr>
            </w:pPr>
            <w:r w:rsidRPr="005734B8">
              <w:rPr>
                <w:rFonts w:ascii="Calibri" w:hAnsi="Calibri" w:cs="Calibri"/>
                <w:sz w:val="18"/>
              </w:rPr>
              <w:t>Executives</w:t>
            </w:r>
          </w:p>
        </w:tc>
        <w:tc>
          <w:tcPr>
            <w:tcW w:w="788" w:type="dxa"/>
            <w:tcBorders>
              <w:bottom w:val="single" w:sz="4" w:space="0" w:color="FFFFFF" w:themeColor="background1"/>
            </w:tcBorders>
            <w:shd w:val="clear" w:color="auto" w:fill="AF272F" w:themeFill="accent4"/>
          </w:tcPr>
          <w:p w14:paraId="77434DF3" w14:textId="77777777" w:rsidR="004660D6" w:rsidRPr="005734B8" w:rsidRDefault="004660D6" w:rsidP="004660D6">
            <w:pPr>
              <w:pStyle w:val="ESTableheadingwhite"/>
              <w:jc w:val="right"/>
              <w:rPr>
                <w:rFonts w:ascii="Calibri" w:hAnsi="Calibri" w:cs="Calibri"/>
                <w:sz w:val="18"/>
              </w:rPr>
            </w:pPr>
            <w:r w:rsidRPr="005734B8">
              <w:rPr>
                <w:rFonts w:ascii="Calibri" w:hAnsi="Calibri" w:cs="Calibri"/>
                <w:sz w:val="18"/>
              </w:rPr>
              <w:t>STS</w:t>
            </w:r>
          </w:p>
        </w:tc>
        <w:tc>
          <w:tcPr>
            <w:tcW w:w="784" w:type="dxa"/>
            <w:tcBorders>
              <w:bottom w:val="single" w:sz="4" w:space="0" w:color="FFFFFF" w:themeColor="background1"/>
            </w:tcBorders>
            <w:shd w:val="clear" w:color="auto" w:fill="AF272F" w:themeFill="accent4"/>
          </w:tcPr>
          <w:p w14:paraId="6C124894" w14:textId="77777777" w:rsidR="004660D6" w:rsidRPr="005734B8" w:rsidRDefault="004660D6" w:rsidP="004660D6">
            <w:pPr>
              <w:pStyle w:val="ESTableheadingwhite"/>
              <w:jc w:val="right"/>
              <w:rPr>
                <w:rFonts w:ascii="Calibri" w:hAnsi="Calibri" w:cs="Calibri"/>
                <w:sz w:val="18"/>
              </w:rPr>
            </w:pPr>
            <w:r w:rsidRPr="005734B8">
              <w:rPr>
                <w:rFonts w:ascii="Calibri" w:hAnsi="Calibri" w:cs="Calibri"/>
                <w:sz w:val="18"/>
              </w:rPr>
              <w:t>PS</w:t>
            </w:r>
          </w:p>
        </w:tc>
        <w:tc>
          <w:tcPr>
            <w:tcW w:w="789" w:type="dxa"/>
            <w:tcBorders>
              <w:bottom w:val="single" w:sz="4" w:space="0" w:color="FFFFFF" w:themeColor="background1"/>
            </w:tcBorders>
            <w:shd w:val="clear" w:color="auto" w:fill="AF272F" w:themeFill="accent4"/>
          </w:tcPr>
          <w:p w14:paraId="147745C9" w14:textId="77777777" w:rsidR="004660D6" w:rsidRPr="005734B8" w:rsidRDefault="004660D6" w:rsidP="004660D6">
            <w:pPr>
              <w:pStyle w:val="ESTableheadingwhite"/>
              <w:jc w:val="right"/>
              <w:rPr>
                <w:rFonts w:ascii="Calibri" w:hAnsi="Calibri" w:cs="Calibri"/>
                <w:sz w:val="18"/>
              </w:rPr>
            </w:pPr>
            <w:r w:rsidRPr="005734B8">
              <w:rPr>
                <w:rFonts w:ascii="Calibri" w:hAnsi="Calibri" w:cs="Calibri"/>
                <w:sz w:val="18"/>
              </w:rPr>
              <w:t>SMA</w:t>
            </w:r>
          </w:p>
        </w:tc>
        <w:tc>
          <w:tcPr>
            <w:tcW w:w="788" w:type="dxa"/>
            <w:tcBorders>
              <w:bottom w:val="single" w:sz="4" w:space="0" w:color="FFFFFF" w:themeColor="background1"/>
            </w:tcBorders>
            <w:shd w:val="clear" w:color="auto" w:fill="AF272F" w:themeFill="accent4"/>
          </w:tcPr>
          <w:p w14:paraId="3EBCF8C6" w14:textId="77777777" w:rsidR="004660D6" w:rsidRPr="005734B8" w:rsidRDefault="004660D6" w:rsidP="004660D6">
            <w:pPr>
              <w:pStyle w:val="ESTableheadingwhite"/>
              <w:jc w:val="right"/>
              <w:rPr>
                <w:rFonts w:ascii="Calibri" w:hAnsi="Calibri" w:cs="Calibri"/>
                <w:sz w:val="18"/>
              </w:rPr>
            </w:pPr>
            <w:r w:rsidRPr="005734B8">
              <w:rPr>
                <w:rFonts w:ascii="Calibri" w:hAnsi="Calibri" w:cs="Calibri"/>
                <w:sz w:val="18"/>
              </w:rPr>
              <w:t>SRA</w:t>
            </w:r>
          </w:p>
        </w:tc>
        <w:tc>
          <w:tcPr>
            <w:tcW w:w="791" w:type="dxa"/>
            <w:tcBorders>
              <w:bottom w:val="single" w:sz="4" w:space="0" w:color="FFFFFF" w:themeColor="background1"/>
            </w:tcBorders>
            <w:shd w:val="clear" w:color="auto" w:fill="AF272F" w:themeFill="accent4"/>
          </w:tcPr>
          <w:p w14:paraId="72A0AC14" w14:textId="77777777" w:rsidR="004660D6" w:rsidRPr="005734B8" w:rsidRDefault="004660D6" w:rsidP="004660D6">
            <w:pPr>
              <w:pStyle w:val="ESTableheadingwhite"/>
              <w:jc w:val="right"/>
              <w:rPr>
                <w:rFonts w:ascii="Calibri" w:hAnsi="Calibri" w:cs="Calibri"/>
                <w:sz w:val="18"/>
              </w:rPr>
            </w:pPr>
            <w:r w:rsidRPr="005734B8">
              <w:rPr>
                <w:rFonts w:ascii="Calibri" w:hAnsi="Calibri" w:cs="Calibri"/>
                <w:sz w:val="18"/>
              </w:rPr>
              <w:t>Other</w:t>
            </w:r>
          </w:p>
        </w:tc>
      </w:tr>
      <w:tr w:rsidR="004660D6" w:rsidRPr="005734B8" w14:paraId="087C9199" w14:textId="77777777" w:rsidTr="004660D6">
        <w:trPr>
          <w:cantSplit/>
        </w:trPr>
        <w:tc>
          <w:tcPr>
            <w:tcW w:w="2727" w:type="dxa"/>
            <w:tcBorders>
              <w:top w:val="single" w:sz="4" w:space="0" w:color="FFFFFF" w:themeColor="background1"/>
              <w:bottom w:val="single" w:sz="4" w:space="0" w:color="53565A" w:themeColor="accent5"/>
            </w:tcBorders>
            <w:shd w:val="clear" w:color="auto" w:fill="auto"/>
          </w:tcPr>
          <w:p w14:paraId="3FEEDEBE" w14:textId="77777777" w:rsidR="004660D6" w:rsidRPr="005734B8" w:rsidRDefault="004660D6" w:rsidP="004660D6">
            <w:pPr>
              <w:pStyle w:val="ESTablebody"/>
              <w:rPr>
                <w:rFonts w:ascii="Calibri" w:hAnsi="Calibri" w:cs="Calibri"/>
                <w:sz w:val="18"/>
              </w:rPr>
            </w:pPr>
            <w:r w:rsidRPr="005734B8">
              <w:rPr>
                <w:rFonts w:ascii="Calibri" w:hAnsi="Calibri" w:cs="Calibri"/>
                <w:sz w:val="18"/>
              </w:rPr>
              <w:t>&lt; $160,000</w:t>
            </w:r>
          </w:p>
        </w:tc>
        <w:tc>
          <w:tcPr>
            <w:tcW w:w="1157" w:type="dxa"/>
            <w:tcBorders>
              <w:top w:val="single" w:sz="4" w:space="0" w:color="FFFFFF" w:themeColor="background1"/>
              <w:bottom w:val="single" w:sz="4" w:space="0" w:color="53565A" w:themeColor="accent5"/>
            </w:tcBorders>
          </w:tcPr>
          <w:p w14:paraId="49E3EF0C" w14:textId="77777777" w:rsidR="004660D6" w:rsidRPr="005734B8" w:rsidRDefault="004660D6" w:rsidP="004660D6">
            <w:pPr>
              <w:pStyle w:val="ESTablebody"/>
              <w:jc w:val="center"/>
              <w:rPr>
                <w:rFonts w:ascii="Calibri" w:hAnsi="Calibri" w:cs="Calibri"/>
                <w:color w:val="FF0000"/>
                <w:sz w:val="18"/>
                <w:lang w:val="en-AU"/>
              </w:rPr>
            </w:pPr>
            <w:r w:rsidRPr="005734B8">
              <w:rPr>
                <w:rFonts w:ascii="Calibri" w:hAnsi="Calibri" w:cs="Calibri"/>
                <w:sz w:val="18"/>
              </w:rPr>
              <w:t>4</w:t>
            </w:r>
            <w:r w:rsidRPr="005734B8">
              <w:rPr>
                <w:rStyle w:val="FootnoteReference"/>
                <w:rFonts w:ascii="Calibri" w:hAnsi="Calibri" w:cs="Calibri"/>
                <w:sz w:val="18"/>
              </w:rPr>
              <w:footnoteReference w:id="52"/>
            </w:r>
            <w:r w:rsidRPr="005734B8">
              <w:rPr>
                <w:rFonts w:ascii="Calibri" w:hAnsi="Calibri" w:cs="Calibri"/>
                <w:sz w:val="18"/>
              </w:rPr>
              <w:t xml:space="preserve"> </w:t>
            </w:r>
          </w:p>
        </w:tc>
        <w:tc>
          <w:tcPr>
            <w:tcW w:w="788" w:type="dxa"/>
            <w:tcBorders>
              <w:top w:val="single" w:sz="4" w:space="0" w:color="FFFFFF" w:themeColor="background1"/>
              <w:bottom w:val="single" w:sz="4" w:space="0" w:color="53565A" w:themeColor="accent5"/>
            </w:tcBorders>
          </w:tcPr>
          <w:p w14:paraId="485678E6" w14:textId="77777777" w:rsidR="004660D6" w:rsidRPr="005734B8" w:rsidRDefault="004660D6" w:rsidP="004660D6">
            <w:pPr>
              <w:pStyle w:val="ESTablebody"/>
              <w:jc w:val="center"/>
              <w:rPr>
                <w:rFonts w:ascii="Calibri" w:hAnsi="Calibri" w:cs="Calibri"/>
                <w:color w:val="FF0000"/>
                <w:sz w:val="18"/>
                <w:lang w:val="en-AU"/>
              </w:rPr>
            </w:pPr>
            <w:r w:rsidRPr="005734B8">
              <w:rPr>
                <w:rFonts w:ascii="Calibri" w:hAnsi="Calibri" w:cs="Calibri"/>
                <w:sz w:val="18"/>
              </w:rPr>
              <w:t>2</w:t>
            </w:r>
            <w:r w:rsidRPr="005734B8">
              <w:rPr>
                <w:rStyle w:val="FootnoteReference"/>
                <w:rFonts w:ascii="Calibri" w:hAnsi="Calibri" w:cs="Calibri"/>
                <w:sz w:val="18"/>
              </w:rPr>
              <w:footnoteReference w:id="53"/>
            </w:r>
            <w:r w:rsidRPr="005734B8">
              <w:rPr>
                <w:rFonts w:ascii="Calibri" w:hAnsi="Calibri" w:cs="Calibri"/>
                <w:sz w:val="18"/>
              </w:rPr>
              <w:t xml:space="preserve"> </w:t>
            </w:r>
          </w:p>
        </w:tc>
        <w:tc>
          <w:tcPr>
            <w:tcW w:w="784" w:type="dxa"/>
            <w:tcBorders>
              <w:top w:val="single" w:sz="4" w:space="0" w:color="FFFFFF" w:themeColor="background1"/>
              <w:bottom w:val="single" w:sz="4" w:space="0" w:color="53565A" w:themeColor="accent5"/>
            </w:tcBorders>
          </w:tcPr>
          <w:p w14:paraId="3868EBB8" w14:textId="59E449D3"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9" w:type="dxa"/>
            <w:tcBorders>
              <w:top w:val="single" w:sz="4" w:space="0" w:color="FFFFFF" w:themeColor="background1"/>
              <w:bottom w:val="single" w:sz="4" w:space="0" w:color="53565A" w:themeColor="accent5"/>
            </w:tcBorders>
          </w:tcPr>
          <w:p w14:paraId="2C27B55B" w14:textId="2ECB3D6C"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8" w:type="dxa"/>
            <w:tcBorders>
              <w:top w:val="single" w:sz="4" w:space="0" w:color="FFFFFF" w:themeColor="background1"/>
              <w:bottom w:val="single" w:sz="4" w:space="0" w:color="53565A" w:themeColor="accent5"/>
            </w:tcBorders>
          </w:tcPr>
          <w:p w14:paraId="0A6530CA" w14:textId="4EBDCBC3"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91" w:type="dxa"/>
            <w:tcBorders>
              <w:top w:val="single" w:sz="4" w:space="0" w:color="FFFFFF" w:themeColor="background1"/>
              <w:bottom w:val="single" w:sz="4" w:space="0" w:color="53565A" w:themeColor="accent5"/>
            </w:tcBorders>
            <w:shd w:val="clear" w:color="auto" w:fill="auto"/>
          </w:tcPr>
          <w:p w14:paraId="670D68DB" w14:textId="26311E4E" w:rsidR="004660D6" w:rsidRPr="005734B8" w:rsidRDefault="002B5648" w:rsidP="004660D6">
            <w:pPr>
              <w:pStyle w:val="ESTablebody"/>
              <w:jc w:val="right"/>
              <w:rPr>
                <w:rFonts w:ascii="Calibri" w:hAnsi="Calibri" w:cs="Calibri"/>
                <w:color w:val="FF0000"/>
                <w:sz w:val="18"/>
              </w:rPr>
            </w:pPr>
            <w:r w:rsidRPr="005734B8">
              <w:rPr>
                <w:rFonts w:ascii="Calibri" w:hAnsi="Calibri" w:cs="Calibri"/>
                <w:sz w:val="16"/>
                <w:szCs w:val="16"/>
              </w:rPr>
              <w:t>–</w:t>
            </w:r>
          </w:p>
        </w:tc>
      </w:tr>
      <w:tr w:rsidR="004660D6" w:rsidRPr="005734B8" w14:paraId="1861281A" w14:textId="77777777" w:rsidTr="004660D6">
        <w:trPr>
          <w:cantSplit/>
        </w:trPr>
        <w:tc>
          <w:tcPr>
            <w:tcW w:w="2727" w:type="dxa"/>
            <w:tcBorders>
              <w:top w:val="single" w:sz="4" w:space="0" w:color="53565A" w:themeColor="accent5"/>
              <w:bottom w:val="single" w:sz="4" w:space="0" w:color="53565A" w:themeColor="accent5"/>
            </w:tcBorders>
            <w:shd w:val="clear" w:color="auto" w:fill="F2F2F2" w:themeFill="background1" w:themeFillShade="F2"/>
          </w:tcPr>
          <w:p w14:paraId="2DEA4D9C" w14:textId="77777777" w:rsidR="004660D6" w:rsidRPr="005734B8" w:rsidRDefault="004660D6" w:rsidP="004660D6">
            <w:pPr>
              <w:pStyle w:val="ESTablebody"/>
              <w:rPr>
                <w:rFonts w:ascii="Calibri" w:hAnsi="Calibri" w:cs="Calibri"/>
                <w:sz w:val="18"/>
              </w:rPr>
            </w:pPr>
            <w:r w:rsidRPr="005734B8">
              <w:rPr>
                <w:rFonts w:ascii="Calibri" w:hAnsi="Calibri" w:cs="Calibri"/>
                <w:sz w:val="18"/>
              </w:rPr>
              <w:t>$160,000 – $179,999</w:t>
            </w:r>
          </w:p>
        </w:tc>
        <w:tc>
          <w:tcPr>
            <w:tcW w:w="1157" w:type="dxa"/>
            <w:tcBorders>
              <w:top w:val="single" w:sz="4" w:space="0" w:color="53565A" w:themeColor="accent5"/>
              <w:bottom w:val="single" w:sz="4" w:space="0" w:color="53565A" w:themeColor="accent5"/>
            </w:tcBorders>
            <w:shd w:val="clear" w:color="auto" w:fill="F2F2F2" w:themeFill="background1" w:themeFillShade="F2"/>
          </w:tcPr>
          <w:p w14:paraId="10B027E6" w14:textId="77777777" w:rsidR="004660D6" w:rsidRPr="005734B8" w:rsidRDefault="004660D6" w:rsidP="004660D6">
            <w:pPr>
              <w:pStyle w:val="ESTablebody"/>
              <w:jc w:val="center"/>
              <w:rPr>
                <w:rFonts w:ascii="Calibri" w:hAnsi="Calibri" w:cs="Calibri"/>
                <w:color w:val="FF0000"/>
                <w:sz w:val="18"/>
                <w:lang w:val="en-AU"/>
              </w:rPr>
            </w:pPr>
            <w:r w:rsidRPr="005734B8">
              <w:rPr>
                <w:rFonts w:ascii="Calibri" w:hAnsi="Calibri" w:cs="Calibri"/>
                <w:sz w:val="18"/>
              </w:rPr>
              <w:t>1</w:t>
            </w:r>
            <w:r w:rsidRPr="005734B8">
              <w:rPr>
                <w:rStyle w:val="FootnoteReference"/>
                <w:rFonts w:ascii="Calibri" w:hAnsi="Calibri" w:cs="Calibri"/>
                <w:sz w:val="18"/>
              </w:rPr>
              <w:footnoteReference w:id="54"/>
            </w:r>
            <w:r w:rsidRPr="005734B8">
              <w:rPr>
                <w:rFonts w:ascii="Calibri" w:hAnsi="Calibri" w:cs="Calibri"/>
                <w:sz w:val="18"/>
              </w:rPr>
              <w:t xml:space="preserve"> </w:t>
            </w: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50F76E4E" w14:textId="77777777" w:rsidR="004660D6" w:rsidRPr="005734B8" w:rsidRDefault="004660D6" w:rsidP="004660D6">
            <w:pPr>
              <w:pStyle w:val="ESTablebody"/>
              <w:jc w:val="center"/>
              <w:rPr>
                <w:rFonts w:ascii="Calibri" w:hAnsi="Calibri" w:cs="Calibri"/>
                <w:color w:val="FF0000"/>
                <w:sz w:val="18"/>
                <w:lang w:val="en-AU"/>
              </w:rPr>
            </w:pPr>
            <w:r w:rsidRPr="005734B8">
              <w:rPr>
                <w:rFonts w:ascii="Calibri" w:hAnsi="Calibri" w:cs="Calibri"/>
                <w:sz w:val="18"/>
              </w:rPr>
              <w:t>4</w:t>
            </w:r>
            <w:r w:rsidRPr="005734B8">
              <w:rPr>
                <w:rStyle w:val="FootnoteReference"/>
                <w:rFonts w:ascii="Calibri" w:hAnsi="Calibri" w:cs="Calibri"/>
                <w:sz w:val="18"/>
              </w:rPr>
              <w:footnoteReference w:id="55"/>
            </w:r>
            <w:r w:rsidRPr="005734B8">
              <w:rPr>
                <w:rFonts w:ascii="Calibri" w:hAnsi="Calibri" w:cs="Calibri"/>
                <w:sz w:val="18"/>
              </w:rPr>
              <w:t xml:space="preserve"> </w:t>
            </w:r>
          </w:p>
        </w:tc>
        <w:tc>
          <w:tcPr>
            <w:tcW w:w="784" w:type="dxa"/>
            <w:tcBorders>
              <w:top w:val="single" w:sz="4" w:space="0" w:color="53565A" w:themeColor="accent5"/>
              <w:bottom w:val="single" w:sz="4" w:space="0" w:color="53565A" w:themeColor="accent5"/>
            </w:tcBorders>
            <w:shd w:val="clear" w:color="auto" w:fill="F2F2F2" w:themeFill="background1" w:themeFillShade="F2"/>
          </w:tcPr>
          <w:p w14:paraId="3F4F98AD" w14:textId="25F0FDCB"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9" w:type="dxa"/>
            <w:tcBorders>
              <w:top w:val="single" w:sz="4" w:space="0" w:color="53565A" w:themeColor="accent5"/>
              <w:bottom w:val="single" w:sz="4" w:space="0" w:color="53565A" w:themeColor="accent5"/>
            </w:tcBorders>
            <w:shd w:val="clear" w:color="auto" w:fill="F2F2F2" w:themeFill="background1" w:themeFillShade="F2"/>
          </w:tcPr>
          <w:p w14:paraId="6BA105BA" w14:textId="46002EDA"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1B65AB75" w14:textId="623EC70A"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91" w:type="dxa"/>
            <w:tcBorders>
              <w:top w:val="single" w:sz="4" w:space="0" w:color="53565A" w:themeColor="accent5"/>
              <w:bottom w:val="single" w:sz="4" w:space="0" w:color="53565A" w:themeColor="accent5"/>
            </w:tcBorders>
            <w:shd w:val="clear" w:color="auto" w:fill="F2F2F2" w:themeFill="background1" w:themeFillShade="F2"/>
          </w:tcPr>
          <w:p w14:paraId="266F56C9" w14:textId="45645EF1" w:rsidR="004660D6" w:rsidRPr="005734B8" w:rsidRDefault="002B5648" w:rsidP="004660D6">
            <w:pPr>
              <w:pStyle w:val="ESTablebody"/>
              <w:jc w:val="right"/>
              <w:rPr>
                <w:rFonts w:ascii="Calibri" w:hAnsi="Calibri" w:cs="Calibri"/>
                <w:color w:val="FF0000"/>
                <w:sz w:val="18"/>
              </w:rPr>
            </w:pPr>
            <w:r w:rsidRPr="005734B8">
              <w:rPr>
                <w:rFonts w:ascii="Calibri" w:hAnsi="Calibri" w:cs="Calibri"/>
                <w:sz w:val="16"/>
                <w:szCs w:val="16"/>
              </w:rPr>
              <w:t>–</w:t>
            </w:r>
          </w:p>
        </w:tc>
      </w:tr>
      <w:tr w:rsidR="004660D6" w:rsidRPr="005734B8" w14:paraId="2EBD7881" w14:textId="77777777" w:rsidTr="004660D6">
        <w:trPr>
          <w:cantSplit/>
        </w:trPr>
        <w:tc>
          <w:tcPr>
            <w:tcW w:w="2727" w:type="dxa"/>
            <w:tcBorders>
              <w:top w:val="single" w:sz="4" w:space="0" w:color="53565A" w:themeColor="accent5"/>
              <w:bottom w:val="single" w:sz="4" w:space="0" w:color="53565A" w:themeColor="accent5"/>
            </w:tcBorders>
            <w:shd w:val="clear" w:color="auto" w:fill="auto"/>
          </w:tcPr>
          <w:p w14:paraId="624C2112" w14:textId="77777777" w:rsidR="004660D6" w:rsidRPr="005734B8" w:rsidRDefault="004660D6" w:rsidP="004660D6">
            <w:pPr>
              <w:pStyle w:val="ESTablebody"/>
              <w:rPr>
                <w:rFonts w:ascii="Calibri" w:hAnsi="Calibri" w:cs="Calibri"/>
                <w:sz w:val="18"/>
              </w:rPr>
            </w:pPr>
            <w:r w:rsidRPr="005734B8">
              <w:rPr>
                <w:rFonts w:ascii="Calibri" w:hAnsi="Calibri" w:cs="Calibri"/>
                <w:sz w:val="18"/>
              </w:rPr>
              <w:t>$180,000 – $199,999</w:t>
            </w:r>
          </w:p>
        </w:tc>
        <w:tc>
          <w:tcPr>
            <w:tcW w:w="1157" w:type="dxa"/>
            <w:tcBorders>
              <w:top w:val="single" w:sz="4" w:space="0" w:color="53565A" w:themeColor="accent5"/>
              <w:bottom w:val="single" w:sz="4" w:space="0" w:color="53565A" w:themeColor="accent5"/>
            </w:tcBorders>
          </w:tcPr>
          <w:p w14:paraId="1D9D8F26" w14:textId="77777777" w:rsidR="004660D6" w:rsidRPr="005734B8" w:rsidRDefault="004660D6" w:rsidP="004660D6">
            <w:pPr>
              <w:pStyle w:val="ESTablebody"/>
              <w:jc w:val="center"/>
              <w:rPr>
                <w:rFonts w:ascii="Calibri" w:hAnsi="Calibri" w:cs="Calibri"/>
                <w:color w:val="FF0000"/>
                <w:sz w:val="18"/>
                <w:lang w:val="en-AU"/>
              </w:rPr>
            </w:pPr>
            <w:r w:rsidRPr="005734B8">
              <w:rPr>
                <w:rFonts w:ascii="Calibri" w:hAnsi="Calibri" w:cs="Calibri"/>
                <w:sz w:val="18"/>
              </w:rPr>
              <w:t>19</w:t>
            </w:r>
            <w:r w:rsidRPr="005734B8">
              <w:rPr>
                <w:rStyle w:val="FootnoteReference"/>
                <w:rFonts w:ascii="Calibri" w:hAnsi="Calibri" w:cs="Calibri"/>
                <w:sz w:val="18"/>
              </w:rPr>
              <w:footnoteReference w:id="56"/>
            </w:r>
            <w:r w:rsidRPr="005734B8">
              <w:rPr>
                <w:rFonts w:ascii="Calibri" w:hAnsi="Calibri" w:cs="Calibri"/>
                <w:sz w:val="18"/>
              </w:rPr>
              <w:t xml:space="preserve"> </w:t>
            </w:r>
          </w:p>
        </w:tc>
        <w:tc>
          <w:tcPr>
            <w:tcW w:w="788" w:type="dxa"/>
            <w:tcBorders>
              <w:top w:val="single" w:sz="4" w:space="0" w:color="53565A" w:themeColor="accent5"/>
              <w:bottom w:val="single" w:sz="4" w:space="0" w:color="53565A" w:themeColor="accent5"/>
            </w:tcBorders>
          </w:tcPr>
          <w:p w14:paraId="408975F4" w14:textId="77777777" w:rsidR="004660D6" w:rsidRPr="005734B8" w:rsidRDefault="004660D6" w:rsidP="004660D6">
            <w:pPr>
              <w:pStyle w:val="ESTablebody"/>
              <w:jc w:val="center"/>
              <w:rPr>
                <w:rFonts w:ascii="Calibri" w:hAnsi="Calibri" w:cs="Calibri"/>
                <w:color w:val="FF0000"/>
                <w:sz w:val="18"/>
                <w:lang w:val="en-AU"/>
              </w:rPr>
            </w:pPr>
            <w:r w:rsidRPr="005734B8">
              <w:rPr>
                <w:rFonts w:ascii="Calibri" w:hAnsi="Calibri" w:cs="Calibri"/>
                <w:sz w:val="18"/>
              </w:rPr>
              <w:t>14</w:t>
            </w:r>
            <w:r w:rsidRPr="005734B8">
              <w:rPr>
                <w:rStyle w:val="FootnoteReference"/>
                <w:rFonts w:ascii="Calibri" w:hAnsi="Calibri" w:cs="Calibri"/>
                <w:sz w:val="18"/>
              </w:rPr>
              <w:footnoteReference w:id="57"/>
            </w:r>
            <w:r w:rsidRPr="005734B8">
              <w:rPr>
                <w:rFonts w:ascii="Calibri" w:hAnsi="Calibri" w:cs="Calibri"/>
                <w:sz w:val="18"/>
              </w:rPr>
              <w:t xml:space="preserve"> </w:t>
            </w:r>
          </w:p>
        </w:tc>
        <w:tc>
          <w:tcPr>
            <w:tcW w:w="784" w:type="dxa"/>
            <w:tcBorders>
              <w:top w:val="single" w:sz="4" w:space="0" w:color="53565A" w:themeColor="accent5"/>
              <w:bottom w:val="single" w:sz="4" w:space="0" w:color="53565A" w:themeColor="accent5"/>
            </w:tcBorders>
          </w:tcPr>
          <w:p w14:paraId="747EE09D" w14:textId="29451BEE"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9" w:type="dxa"/>
            <w:tcBorders>
              <w:top w:val="single" w:sz="4" w:space="0" w:color="53565A" w:themeColor="accent5"/>
              <w:bottom w:val="single" w:sz="4" w:space="0" w:color="53565A" w:themeColor="accent5"/>
            </w:tcBorders>
          </w:tcPr>
          <w:p w14:paraId="427BD21C" w14:textId="10123A23"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8" w:type="dxa"/>
            <w:tcBorders>
              <w:top w:val="single" w:sz="4" w:space="0" w:color="53565A" w:themeColor="accent5"/>
              <w:bottom w:val="single" w:sz="4" w:space="0" w:color="53565A" w:themeColor="accent5"/>
            </w:tcBorders>
          </w:tcPr>
          <w:p w14:paraId="23384561" w14:textId="1D66A440"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91" w:type="dxa"/>
            <w:tcBorders>
              <w:top w:val="single" w:sz="4" w:space="0" w:color="53565A" w:themeColor="accent5"/>
              <w:bottom w:val="single" w:sz="4" w:space="0" w:color="53565A" w:themeColor="accent5"/>
            </w:tcBorders>
            <w:shd w:val="clear" w:color="auto" w:fill="auto"/>
          </w:tcPr>
          <w:p w14:paraId="40CA5F79" w14:textId="369B1DC4" w:rsidR="004660D6" w:rsidRPr="005734B8" w:rsidRDefault="002B5648" w:rsidP="004660D6">
            <w:pPr>
              <w:pStyle w:val="ESTablebody"/>
              <w:jc w:val="right"/>
              <w:rPr>
                <w:rFonts w:ascii="Calibri" w:hAnsi="Calibri" w:cs="Calibri"/>
                <w:color w:val="FF0000"/>
                <w:sz w:val="18"/>
              </w:rPr>
            </w:pPr>
            <w:r w:rsidRPr="005734B8">
              <w:rPr>
                <w:rFonts w:ascii="Calibri" w:hAnsi="Calibri" w:cs="Calibri"/>
                <w:sz w:val="16"/>
                <w:szCs w:val="16"/>
              </w:rPr>
              <w:t>–</w:t>
            </w:r>
          </w:p>
        </w:tc>
      </w:tr>
      <w:tr w:rsidR="004660D6" w:rsidRPr="005734B8" w14:paraId="00A43BB5" w14:textId="77777777" w:rsidTr="004660D6">
        <w:trPr>
          <w:cantSplit/>
        </w:trPr>
        <w:tc>
          <w:tcPr>
            <w:tcW w:w="2727" w:type="dxa"/>
            <w:tcBorders>
              <w:top w:val="single" w:sz="4" w:space="0" w:color="53565A" w:themeColor="accent5"/>
              <w:bottom w:val="single" w:sz="4" w:space="0" w:color="53565A" w:themeColor="accent5"/>
            </w:tcBorders>
            <w:shd w:val="clear" w:color="auto" w:fill="F2F2F2" w:themeFill="background1" w:themeFillShade="F2"/>
          </w:tcPr>
          <w:p w14:paraId="35C4B4A5" w14:textId="77777777" w:rsidR="004660D6" w:rsidRPr="005734B8" w:rsidRDefault="004660D6" w:rsidP="004660D6">
            <w:pPr>
              <w:pStyle w:val="ESTablebody"/>
              <w:rPr>
                <w:rFonts w:ascii="Calibri" w:hAnsi="Calibri" w:cs="Calibri"/>
                <w:sz w:val="18"/>
              </w:rPr>
            </w:pPr>
            <w:r w:rsidRPr="005734B8">
              <w:rPr>
                <w:rFonts w:ascii="Calibri" w:hAnsi="Calibri" w:cs="Calibri"/>
                <w:sz w:val="18"/>
              </w:rPr>
              <w:t>$200,000 – $219,999</w:t>
            </w:r>
          </w:p>
        </w:tc>
        <w:tc>
          <w:tcPr>
            <w:tcW w:w="1157" w:type="dxa"/>
            <w:tcBorders>
              <w:top w:val="single" w:sz="4" w:space="0" w:color="53565A" w:themeColor="accent5"/>
              <w:bottom w:val="single" w:sz="4" w:space="0" w:color="53565A" w:themeColor="accent5"/>
            </w:tcBorders>
            <w:shd w:val="clear" w:color="auto" w:fill="F2F2F2" w:themeFill="background1" w:themeFillShade="F2"/>
          </w:tcPr>
          <w:p w14:paraId="5652F83B" w14:textId="77777777" w:rsidR="004660D6" w:rsidRPr="005734B8" w:rsidRDefault="004660D6" w:rsidP="004660D6">
            <w:pPr>
              <w:pStyle w:val="ESTablebody"/>
              <w:jc w:val="center"/>
              <w:rPr>
                <w:rFonts w:ascii="Calibri" w:hAnsi="Calibri" w:cs="Calibri"/>
                <w:color w:val="FF0000"/>
                <w:sz w:val="18"/>
                <w:lang w:val="en-AU"/>
              </w:rPr>
            </w:pPr>
            <w:r w:rsidRPr="005734B8">
              <w:rPr>
                <w:rFonts w:ascii="Calibri" w:hAnsi="Calibri" w:cs="Calibri"/>
                <w:sz w:val="18"/>
              </w:rPr>
              <w:t>15</w:t>
            </w: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4809C48D" w14:textId="77777777" w:rsidR="004660D6" w:rsidRPr="005734B8" w:rsidRDefault="004660D6" w:rsidP="004660D6">
            <w:pPr>
              <w:pStyle w:val="ESTablebody"/>
              <w:jc w:val="center"/>
              <w:rPr>
                <w:rFonts w:ascii="Calibri" w:hAnsi="Calibri" w:cs="Calibri"/>
                <w:color w:val="FF0000"/>
                <w:sz w:val="18"/>
                <w:lang w:val="en-AU"/>
              </w:rPr>
            </w:pPr>
            <w:r w:rsidRPr="005734B8">
              <w:rPr>
                <w:rFonts w:ascii="Calibri" w:hAnsi="Calibri" w:cs="Calibri"/>
                <w:sz w:val="18"/>
              </w:rPr>
              <w:t>6</w:t>
            </w:r>
          </w:p>
        </w:tc>
        <w:tc>
          <w:tcPr>
            <w:tcW w:w="784" w:type="dxa"/>
            <w:tcBorders>
              <w:top w:val="single" w:sz="4" w:space="0" w:color="53565A" w:themeColor="accent5"/>
              <w:bottom w:val="single" w:sz="4" w:space="0" w:color="53565A" w:themeColor="accent5"/>
            </w:tcBorders>
            <w:shd w:val="clear" w:color="auto" w:fill="F2F2F2" w:themeFill="background1" w:themeFillShade="F2"/>
          </w:tcPr>
          <w:p w14:paraId="39C63C40" w14:textId="5B4D425D"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9" w:type="dxa"/>
            <w:tcBorders>
              <w:top w:val="single" w:sz="4" w:space="0" w:color="53565A" w:themeColor="accent5"/>
              <w:bottom w:val="single" w:sz="4" w:space="0" w:color="53565A" w:themeColor="accent5"/>
            </w:tcBorders>
            <w:shd w:val="clear" w:color="auto" w:fill="F2F2F2" w:themeFill="background1" w:themeFillShade="F2"/>
          </w:tcPr>
          <w:p w14:paraId="050233BA" w14:textId="264D1B7F"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40871D31" w14:textId="05B7E805"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91" w:type="dxa"/>
            <w:tcBorders>
              <w:top w:val="single" w:sz="4" w:space="0" w:color="53565A" w:themeColor="accent5"/>
              <w:bottom w:val="single" w:sz="4" w:space="0" w:color="53565A" w:themeColor="accent5"/>
            </w:tcBorders>
            <w:shd w:val="clear" w:color="auto" w:fill="F2F2F2" w:themeFill="background1" w:themeFillShade="F2"/>
          </w:tcPr>
          <w:p w14:paraId="1A77CA9A" w14:textId="77D1B65A" w:rsidR="004660D6" w:rsidRPr="005734B8" w:rsidRDefault="002B5648" w:rsidP="004660D6">
            <w:pPr>
              <w:pStyle w:val="ESTablebody"/>
              <w:jc w:val="right"/>
              <w:rPr>
                <w:rFonts w:ascii="Calibri" w:hAnsi="Calibri" w:cs="Calibri"/>
                <w:color w:val="FF0000"/>
                <w:sz w:val="18"/>
              </w:rPr>
            </w:pPr>
            <w:r w:rsidRPr="005734B8">
              <w:rPr>
                <w:rFonts w:ascii="Calibri" w:hAnsi="Calibri" w:cs="Calibri"/>
                <w:sz w:val="16"/>
                <w:szCs w:val="16"/>
              </w:rPr>
              <w:t>–</w:t>
            </w:r>
          </w:p>
        </w:tc>
      </w:tr>
      <w:tr w:rsidR="004660D6" w:rsidRPr="005734B8" w14:paraId="50710051" w14:textId="77777777" w:rsidTr="004660D6">
        <w:trPr>
          <w:cantSplit/>
        </w:trPr>
        <w:tc>
          <w:tcPr>
            <w:tcW w:w="2727" w:type="dxa"/>
            <w:tcBorders>
              <w:top w:val="single" w:sz="4" w:space="0" w:color="53565A" w:themeColor="accent5"/>
              <w:bottom w:val="single" w:sz="4" w:space="0" w:color="53565A" w:themeColor="accent5"/>
            </w:tcBorders>
            <w:shd w:val="clear" w:color="auto" w:fill="auto"/>
          </w:tcPr>
          <w:p w14:paraId="3793465A" w14:textId="77777777" w:rsidR="004660D6" w:rsidRPr="005734B8" w:rsidRDefault="004660D6" w:rsidP="004660D6">
            <w:pPr>
              <w:pStyle w:val="ESTablebody"/>
              <w:rPr>
                <w:rFonts w:ascii="Calibri" w:hAnsi="Calibri" w:cs="Calibri"/>
                <w:sz w:val="18"/>
              </w:rPr>
            </w:pPr>
            <w:r w:rsidRPr="005734B8">
              <w:rPr>
                <w:rFonts w:ascii="Calibri" w:hAnsi="Calibri" w:cs="Calibri"/>
                <w:sz w:val="18"/>
              </w:rPr>
              <w:t>$220,000 – $239,999</w:t>
            </w:r>
          </w:p>
        </w:tc>
        <w:tc>
          <w:tcPr>
            <w:tcW w:w="1157" w:type="dxa"/>
            <w:tcBorders>
              <w:top w:val="single" w:sz="4" w:space="0" w:color="53565A" w:themeColor="accent5"/>
              <w:bottom w:val="single" w:sz="4" w:space="0" w:color="53565A" w:themeColor="accent5"/>
            </w:tcBorders>
          </w:tcPr>
          <w:p w14:paraId="27FEBBFF" w14:textId="77777777" w:rsidR="004660D6" w:rsidRPr="005734B8" w:rsidRDefault="004660D6" w:rsidP="004660D6">
            <w:pPr>
              <w:pStyle w:val="ESTablebody"/>
              <w:jc w:val="center"/>
              <w:rPr>
                <w:rFonts w:ascii="Calibri" w:hAnsi="Calibri" w:cs="Calibri"/>
                <w:color w:val="FF0000"/>
                <w:sz w:val="18"/>
                <w:lang w:val="en-AU"/>
              </w:rPr>
            </w:pPr>
            <w:r w:rsidRPr="005734B8">
              <w:rPr>
                <w:rFonts w:ascii="Calibri" w:hAnsi="Calibri" w:cs="Calibri"/>
                <w:sz w:val="18"/>
              </w:rPr>
              <w:t>5</w:t>
            </w:r>
            <w:r w:rsidRPr="005734B8">
              <w:rPr>
                <w:rStyle w:val="FootnoteReference"/>
                <w:rFonts w:ascii="Calibri" w:hAnsi="Calibri" w:cs="Calibri"/>
                <w:sz w:val="18"/>
              </w:rPr>
              <w:footnoteReference w:id="58"/>
            </w:r>
            <w:r w:rsidRPr="005734B8">
              <w:rPr>
                <w:rFonts w:ascii="Calibri" w:hAnsi="Calibri" w:cs="Calibri"/>
                <w:sz w:val="18"/>
              </w:rPr>
              <w:t xml:space="preserve"> </w:t>
            </w:r>
          </w:p>
        </w:tc>
        <w:tc>
          <w:tcPr>
            <w:tcW w:w="788" w:type="dxa"/>
            <w:tcBorders>
              <w:top w:val="single" w:sz="4" w:space="0" w:color="53565A" w:themeColor="accent5"/>
              <w:bottom w:val="single" w:sz="4" w:space="0" w:color="53565A" w:themeColor="accent5"/>
            </w:tcBorders>
          </w:tcPr>
          <w:p w14:paraId="727EE7A5" w14:textId="77777777" w:rsidR="004660D6" w:rsidRPr="005734B8" w:rsidRDefault="004660D6" w:rsidP="004660D6">
            <w:pPr>
              <w:pStyle w:val="ESTablebody"/>
              <w:jc w:val="center"/>
              <w:rPr>
                <w:rFonts w:ascii="Calibri" w:hAnsi="Calibri" w:cs="Calibri"/>
                <w:color w:val="FF0000"/>
                <w:sz w:val="18"/>
                <w:lang w:val="en-AU"/>
              </w:rPr>
            </w:pPr>
            <w:r w:rsidRPr="005734B8">
              <w:rPr>
                <w:rFonts w:ascii="Calibri" w:hAnsi="Calibri" w:cs="Calibri"/>
                <w:sz w:val="18"/>
              </w:rPr>
              <w:t>2</w:t>
            </w:r>
          </w:p>
        </w:tc>
        <w:tc>
          <w:tcPr>
            <w:tcW w:w="784" w:type="dxa"/>
            <w:tcBorders>
              <w:top w:val="single" w:sz="4" w:space="0" w:color="53565A" w:themeColor="accent5"/>
              <w:bottom w:val="single" w:sz="4" w:space="0" w:color="53565A" w:themeColor="accent5"/>
            </w:tcBorders>
          </w:tcPr>
          <w:p w14:paraId="0989A61F" w14:textId="3DF7DFDF"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9" w:type="dxa"/>
            <w:tcBorders>
              <w:top w:val="single" w:sz="4" w:space="0" w:color="53565A" w:themeColor="accent5"/>
              <w:bottom w:val="single" w:sz="4" w:space="0" w:color="53565A" w:themeColor="accent5"/>
            </w:tcBorders>
          </w:tcPr>
          <w:p w14:paraId="00B6AC70" w14:textId="77249540"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8" w:type="dxa"/>
            <w:tcBorders>
              <w:top w:val="single" w:sz="4" w:space="0" w:color="53565A" w:themeColor="accent5"/>
              <w:bottom w:val="single" w:sz="4" w:space="0" w:color="53565A" w:themeColor="accent5"/>
            </w:tcBorders>
          </w:tcPr>
          <w:p w14:paraId="7B01E880" w14:textId="7B4CC734"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91" w:type="dxa"/>
            <w:tcBorders>
              <w:top w:val="single" w:sz="4" w:space="0" w:color="53565A" w:themeColor="accent5"/>
              <w:bottom w:val="single" w:sz="4" w:space="0" w:color="53565A" w:themeColor="accent5"/>
            </w:tcBorders>
            <w:shd w:val="clear" w:color="auto" w:fill="auto"/>
          </w:tcPr>
          <w:p w14:paraId="13416FF7" w14:textId="434D85D8" w:rsidR="004660D6" w:rsidRPr="005734B8" w:rsidRDefault="002B5648" w:rsidP="004660D6">
            <w:pPr>
              <w:pStyle w:val="ESTablebody"/>
              <w:jc w:val="right"/>
              <w:rPr>
                <w:rFonts w:ascii="Calibri" w:hAnsi="Calibri" w:cs="Calibri"/>
                <w:color w:val="FF0000"/>
                <w:sz w:val="18"/>
              </w:rPr>
            </w:pPr>
            <w:r w:rsidRPr="005734B8">
              <w:rPr>
                <w:rFonts w:ascii="Calibri" w:hAnsi="Calibri" w:cs="Calibri"/>
                <w:sz w:val="16"/>
                <w:szCs w:val="16"/>
              </w:rPr>
              <w:t>–</w:t>
            </w:r>
          </w:p>
        </w:tc>
      </w:tr>
      <w:tr w:rsidR="004660D6" w:rsidRPr="005734B8" w14:paraId="4D456A71" w14:textId="77777777" w:rsidTr="004660D6">
        <w:trPr>
          <w:cantSplit/>
        </w:trPr>
        <w:tc>
          <w:tcPr>
            <w:tcW w:w="2727" w:type="dxa"/>
            <w:tcBorders>
              <w:top w:val="single" w:sz="4" w:space="0" w:color="53565A" w:themeColor="accent5"/>
              <w:bottom w:val="single" w:sz="4" w:space="0" w:color="53565A" w:themeColor="accent5"/>
            </w:tcBorders>
            <w:shd w:val="clear" w:color="auto" w:fill="F2F2F2" w:themeFill="background1" w:themeFillShade="F2"/>
          </w:tcPr>
          <w:p w14:paraId="1A25F600" w14:textId="77777777" w:rsidR="004660D6" w:rsidRPr="005734B8" w:rsidRDefault="004660D6" w:rsidP="004660D6">
            <w:pPr>
              <w:pStyle w:val="ESTablebody"/>
              <w:rPr>
                <w:rFonts w:ascii="Calibri" w:hAnsi="Calibri" w:cs="Calibri"/>
                <w:sz w:val="18"/>
              </w:rPr>
            </w:pPr>
            <w:r w:rsidRPr="005734B8">
              <w:rPr>
                <w:rFonts w:ascii="Calibri" w:hAnsi="Calibri" w:cs="Calibri"/>
                <w:sz w:val="18"/>
              </w:rPr>
              <w:t>$240,000 – $259,999</w:t>
            </w:r>
          </w:p>
        </w:tc>
        <w:tc>
          <w:tcPr>
            <w:tcW w:w="1157" w:type="dxa"/>
            <w:tcBorders>
              <w:top w:val="single" w:sz="4" w:space="0" w:color="53565A" w:themeColor="accent5"/>
              <w:bottom w:val="single" w:sz="4" w:space="0" w:color="53565A" w:themeColor="accent5"/>
            </w:tcBorders>
            <w:shd w:val="clear" w:color="auto" w:fill="F2F2F2" w:themeFill="background1" w:themeFillShade="F2"/>
          </w:tcPr>
          <w:p w14:paraId="3D5B17EC" w14:textId="77777777" w:rsidR="004660D6" w:rsidRPr="005734B8" w:rsidRDefault="004660D6" w:rsidP="004660D6">
            <w:pPr>
              <w:pStyle w:val="ESTablebody"/>
              <w:jc w:val="center"/>
              <w:rPr>
                <w:rFonts w:ascii="Calibri" w:hAnsi="Calibri" w:cs="Calibri"/>
                <w:color w:val="FF0000"/>
                <w:sz w:val="18"/>
                <w:lang w:val="en-AU"/>
              </w:rPr>
            </w:pPr>
            <w:r w:rsidRPr="005734B8">
              <w:rPr>
                <w:rFonts w:ascii="Calibri" w:hAnsi="Calibri" w:cs="Calibri"/>
                <w:sz w:val="18"/>
              </w:rPr>
              <w:t>16</w:t>
            </w:r>
            <w:r w:rsidRPr="005734B8">
              <w:rPr>
                <w:rStyle w:val="FootnoteReference"/>
                <w:rFonts w:ascii="Calibri" w:hAnsi="Calibri" w:cs="Calibri"/>
                <w:sz w:val="18"/>
              </w:rPr>
              <w:footnoteReference w:id="59"/>
            </w:r>
            <w:r w:rsidRPr="005734B8">
              <w:rPr>
                <w:rFonts w:ascii="Calibri" w:hAnsi="Calibri" w:cs="Calibri"/>
                <w:sz w:val="18"/>
              </w:rPr>
              <w:t xml:space="preserve"> </w:t>
            </w: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6AB17BDE" w14:textId="4303881F" w:rsidR="004660D6" w:rsidRPr="005734B8" w:rsidRDefault="002B5648" w:rsidP="004660D6">
            <w:pPr>
              <w:pStyle w:val="ESTablebody"/>
              <w:jc w:val="center"/>
              <w:rPr>
                <w:rFonts w:ascii="Calibri" w:hAnsi="Calibri" w:cs="Calibri"/>
                <w:color w:val="FF0000"/>
                <w:sz w:val="18"/>
                <w:lang w:val="en-AU"/>
              </w:rPr>
            </w:pPr>
            <w:r w:rsidRPr="005734B8">
              <w:rPr>
                <w:rFonts w:ascii="Calibri" w:hAnsi="Calibri" w:cs="Calibri"/>
                <w:sz w:val="16"/>
                <w:szCs w:val="16"/>
              </w:rPr>
              <w:t>–</w:t>
            </w:r>
          </w:p>
        </w:tc>
        <w:tc>
          <w:tcPr>
            <w:tcW w:w="784" w:type="dxa"/>
            <w:tcBorders>
              <w:top w:val="single" w:sz="4" w:space="0" w:color="53565A" w:themeColor="accent5"/>
              <w:bottom w:val="single" w:sz="4" w:space="0" w:color="53565A" w:themeColor="accent5"/>
            </w:tcBorders>
            <w:shd w:val="clear" w:color="auto" w:fill="F2F2F2" w:themeFill="background1" w:themeFillShade="F2"/>
          </w:tcPr>
          <w:p w14:paraId="35E9EA43" w14:textId="6954520A"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9" w:type="dxa"/>
            <w:tcBorders>
              <w:top w:val="single" w:sz="4" w:space="0" w:color="53565A" w:themeColor="accent5"/>
              <w:bottom w:val="single" w:sz="4" w:space="0" w:color="53565A" w:themeColor="accent5"/>
            </w:tcBorders>
            <w:shd w:val="clear" w:color="auto" w:fill="F2F2F2" w:themeFill="background1" w:themeFillShade="F2"/>
          </w:tcPr>
          <w:p w14:paraId="69CCD46B" w14:textId="517EA858"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71FE0308" w14:textId="4B83095B"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91" w:type="dxa"/>
            <w:tcBorders>
              <w:top w:val="single" w:sz="4" w:space="0" w:color="53565A" w:themeColor="accent5"/>
              <w:bottom w:val="single" w:sz="4" w:space="0" w:color="53565A" w:themeColor="accent5"/>
            </w:tcBorders>
            <w:shd w:val="clear" w:color="auto" w:fill="F2F2F2" w:themeFill="background1" w:themeFillShade="F2"/>
          </w:tcPr>
          <w:p w14:paraId="38C734E8" w14:textId="10147FB8" w:rsidR="004660D6" w:rsidRPr="005734B8" w:rsidRDefault="002B5648" w:rsidP="004660D6">
            <w:pPr>
              <w:pStyle w:val="ESTablebody"/>
              <w:jc w:val="right"/>
              <w:rPr>
                <w:rFonts w:ascii="Calibri" w:hAnsi="Calibri" w:cs="Calibri"/>
                <w:color w:val="FF0000"/>
                <w:sz w:val="18"/>
              </w:rPr>
            </w:pPr>
            <w:r w:rsidRPr="005734B8">
              <w:rPr>
                <w:rFonts w:ascii="Calibri" w:hAnsi="Calibri" w:cs="Calibri"/>
                <w:sz w:val="16"/>
                <w:szCs w:val="16"/>
              </w:rPr>
              <w:t>–</w:t>
            </w:r>
          </w:p>
        </w:tc>
      </w:tr>
      <w:tr w:rsidR="004660D6" w:rsidRPr="005734B8" w14:paraId="600D5CB6" w14:textId="77777777" w:rsidTr="004660D6">
        <w:trPr>
          <w:cantSplit/>
        </w:trPr>
        <w:tc>
          <w:tcPr>
            <w:tcW w:w="2727" w:type="dxa"/>
            <w:tcBorders>
              <w:top w:val="single" w:sz="4" w:space="0" w:color="53565A" w:themeColor="accent5"/>
              <w:bottom w:val="single" w:sz="4" w:space="0" w:color="53565A" w:themeColor="accent5"/>
            </w:tcBorders>
            <w:shd w:val="clear" w:color="auto" w:fill="auto"/>
          </w:tcPr>
          <w:p w14:paraId="7B1159CC" w14:textId="77777777" w:rsidR="004660D6" w:rsidRPr="005734B8" w:rsidRDefault="004660D6" w:rsidP="004660D6">
            <w:pPr>
              <w:pStyle w:val="ESTablebody"/>
              <w:rPr>
                <w:rFonts w:ascii="Calibri" w:hAnsi="Calibri" w:cs="Calibri"/>
                <w:sz w:val="18"/>
              </w:rPr>
            </w:pPr>
            <w:r w:rsidRPr="005734B8">
              <w:rPr>
                <w:rFonts w:ascii="Calibri" w:hAnsi="Calibri" w:cs="Calibri"/>
                <w:sz w:val="18"/>
              </w:rPr>
              <w:t>$260,000 – $279,999</w:t>
            </w:r>
          </w:p>
        </w:tc>
        <w:tc>
          <w:tcPr>
            <w:tcW w:w="1157" w:type="dxa"/>
            <w:tcBorders>
              <w:top w:val="single" w:sz="4" w:space="0" w:color="53565A" w:themeColor="accent5"/>
              <w:bottom w:val="single" w:sz="4" w:space="0" w:color="53565A" w:themeColor="accent5"/>
            </w:tcBorders>
          </w:tcPr>
          <w:p w14:paraId="63AEE4C3" w14:textId="77777777" w:rsidR="004660D6" w:rsidRPr="005734B8" w:rsidRDefault="004660D6" w:rsidP="004660D6">
            <w:pPr>
              <w:pStyle w:val="ESTablebody"/>
              <w:jc w:val="center"/>
              <w:rPr>
                <w:rFonts w:ascii="Calibri" w:hAnsi="Calibri" w:cs="Calibri"/>
                <w:color w:val="FF0000"/>
                <w:sz w:val="18"/>
                <w:lang w:val="en-AU"/>
              </w:rPr>
            </w:pPr>
            <w:r w:rsidRPr="005734B8">
              <w:rPr>
                <w:rFonts w:ascii="Calibri" w:hAnsi="Calibri" w:cs="Calibri"/>
                <w:sz w:val="18"/>
              </w:rPr>
              <w:t>6</w:t>
            </w:r>
          </w:p>
        </w:tc>
        <w:tc>
          <w:tcPr>
            <w:tcW w:w="788" w:type="dxa"/>
            <w:tcBorders>
              <w:top w:val="single" w:sz="4" w:space="0" w:color="53565A" w:themeColor="accent5"/>
              <w:bottom w:val="single" w:sz="4" w:space="0" w:color="53565A" w:themeColor="accent5"/>
            </w:tcBorders>
          </w:tcPr>
          <w:p w14:paraId="478AFE35" w14:textId="3ABE5EC1" w:rsidR="004660D6" w:rsidRPr="005734B8" w:rsidRDefault="002B5648" w:rsidP="004660D6">
            <w:pPr>
              <w:pStyle w:val="ESTablebody"/>
              <w:jc w:val="center"/>
              <w:rPr>
                <w:rFonts w:ascii="Calibri" w:hAnsi="Calibri" w:cs="Calibri"/>
                <w:color w:val="FF0000"/>
                <w:sz w:val="18"/>
                <w:lang w:val="en-AU"/>
              </w:rPr>
            </w:pPr>
            <w:r w:rsidRPr="005734B8">
              <w:rPr>
                <w:rFonts w:ascii="Calibri" w:hAnsi="Calibri" w:cs="Calibri"/>
                <w:sz w:val="16"/>
                <w:szCs w:val="16"/>
              </w:rPr>
              <w:t>–</w:t>
            </w:r>
          </w:p>
        </w:tc>
        <w:tc>
          <w:tcPr>
            <w:tcW w:w="784" w:type="dxa"/>
            <w:tcBorders>
              <w:top w:val="single" w:sz="4" w:space="0" w:color="53565A" w:themeColor="accent5"/>
              <w:bottom w:val="single" w:sz="4" w:space="0" w:color="53565A" w:themeColor="accent5"/>
            </w:tcBorders>
          </w:tcPr>
          <w:p w14:paraId="3A470A46" w14:textId="62DC3647"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9" w:type="dxa"/>
            <w:tcBorders>
              <w:top w:val="single" w:sz="4" w:space="0" w:color="53565A" w:themeColor="accent5"/>
              <w:bottom w:val="single" w:sz="4" w:space="0" w:color="53565A" w:themeColor="accent5"/>
            </w:tcBorders>
          </w:tcPr>
          <w:p w14:paraId="52620329" w14:textId="030D079F"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8" w:type="dxa"/>
            <w:tcBorders>
              <w:top w:val="single" w:sz="4" w:space="0" w:color="53565A" w:themeColor="accent5"/>
              <w:bottom w:val="single" w:sz="4" w:space="0" w:color="53565A" w:themeColor="accent5"/>
            </w:tcBorders>
          </w:tcPr>
          <w:p w14:paraId="15200CAC" w14:textId="7D0ABE73"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91" w:type="dxa"/>
            <w:tcBorders>
              <w:top w:val="single" w:sz="4" w:space="0" w:color="53565A" w:themeColor="accent5"/>
              <w:bottom w:val="single" w:sz="4" w:space="0" w:color="53565A" w:themeColor="accent5"/>
            </w:tcBorders>
            <w:shd w:val="clear" w:color="auto" w:fill="auto"/>
          </w:tcPr>
          <w:p w14:paraId="0992CE9F" w14:textId="7D747DEC" w:rsidR="004660D6" w:rsidRPr="005734B8" w:rsidRDefault="002B5648" w:rsidP="004660D6">
            <w:pPr>
              <w:pStyle w:val="ESTablebody"/>
              <w:jc w:val="right"/>
              <w:rPr>
                <w:rFonts w:ascii="Calibri" w:hAnsi="Calibri" w:cs="Calibri"/>
                <w:color w:val="FF0000"/>
                <w:sz w:val="18"/>
              </w:rPr>
            </w:pPr>
            <w:r w:rsidRPr="005734B8">
              <w:rPr>
                <w:rFonts w:ascii="Calibri" w:hAnsi="Calibri" w:cs="Calibri"/>
                <w:sz w:val="16"/>
                <w:szCs w:val="16"/>
              </w:rPr>
              <w:t>–</w:t>
            </w:r>
          </w:p>
        </w:tc>
      </w:tr>
      <w:tr w:rsidR="004660D6" w:rsidRPr="005734B8" w14:paraId="50951D04" w14:textId="77777777" w:rsidTr="004660D6">
        <w:trPr>
          <w:cantSplit/>
        </w:trPr>
        <w:tc>
          <w:tcPr>
            <w:tcW w:w="2727" w:type="dxa"/>
            <w:tcBorders>
              <w:top w:val="single" w:sz="4" w:space="0" w:color="53565A" w:themeColor="accent5"/>
              <w:bottom w:val="single" w:sz="4" w:space="0" w:color="53565A" w:themeColor="accent5"/>
            </w:tcBorders>
            <w:shd w:val="clear" w:color="auto" w:fill="F2F2F2" w:themeFill="background1" w:themeFillShade="F2"/>
          </w:tcPr>
          <w:p w14:paraId="7BAA9FBC" w14:textId="77777777" w:rsidR="004660D6" w:rsidRPr="005734B8" w:rsidRDefault="004660D6" w:rsidP="004660D6">
            <w:pPr>
              <w:pStyle w:val="ESTablebody"/>
              <w:rPr>
                <w:rFonts w:ascii="Calibri" w:hAnsi="Calibri" w:cs="Calibri"/>
                <w:sz w:val="18"/>
              </w:rPr>
            </w:pPr>
            <w:r w:rsidRPr="005734B8">
              <w:rPr>
                <w:rFonts w:ascii="Calibri" w:hAnsi="Calibri" w:cs="Calibri"/>
                <w:sz w:val="18"/>
              </w:rPr>
              <w:t>$280,000 – $299,999</w:t>
            </w:r>
          </w:p>
        </w:tc>
        <w:tc>
          <w:tcPr>
            <w:tcW w:w="1157" w:type="dxa"/>
            <w:tcBorders>
              <w:top w:val="single" w:sz="4" w:space="0" w:color="53565A" w:themeColor="accent5"/>
              <w:bottom w:val="single" w:sz="4" w:space="0" w:color="53565A" w:themeColor="accent5"/>
            </w:tcBorders>
            <w:shd w:val="clear" w:color="auto" w:fill="F2F2F2" w:themeFill="background1" w:themeFillShade="F2"/>
          </w:tcPr>
          <w:p w14:paraId="5BBEE588" w14:textId="77777777" w:rsidR="004660D6" w:rsidRPr="005734B8" w:rsidRDefault="004660D6" w:rsidP="004660D6">
            <w:pPr>
              <w:pStyle w:val="ESTablebody"/>
              <w:jc w:val="center"/>
              <w:rPr>
                <w:rFonts w:ascii="Calibri" w:hAnsi="Calibri" w:cs="Calibri"/>
                <w:color w:val="FF0000"/>
                <w:sz w:val="18"/>
                <w:lang w:val="en-AU"/>
              </w:rPr>
            </w:pPr>
            <w:r w:rsidRPr="005734B8">
              <w:rPr>
                <w:rFonts w:ascii="Calibri" w:hAnsi="Calibri" w:cs="Calibri"/>
                <w:sz w:val="18"/>
              </w:rPr>
              <w:t>5</w:t>
            </w:r>
            <w:r w:rsidRPr="005734B8">
              <w:rPr>
                <w:rStyle w:val="FootnoteReference"/>
                <w:rFonts w:ascii="Calibri" w:hAnsi="Calibri" w:cs="Calibri"/>
                <w:sz w:val="18"/>
              </w:rPr>
              <w:footnoteReference w:id="60"/>
            </w:r>
            <w:r w:rsidRPr="005734B8">
              <w:rPr>
                <w:rFonts w:ascii="Calibri" w:hAnsi="Calibri" w:cs="Calibri"/>
                <w:sz w:val="18"/>
              </w:rPr>
              <w:t xml:space="preserve"> </w:t>
            </w: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45788486" w14:textId="7A993460" w:rsidR="004660D6" w:rsidRPr="005734B8" w:rsidRDefault="002B5648" w:rsidP="004660D6">
            <w:pPr>
              <w:pStyle w:val="ESTablebody"/>
              <w:jc w:val="center"/>
              <w:rPr>
                <w:rFonts w:ascii="Calibri" w:hAnsi="Calibri" w:cs="Calibri"/>
                <w:color w:val="FF0000"/>
                <w:sz w:val="18"/>
                <w:lang w:val="en-AU"/>
              </w:rPr>
            </w:pPr>
            <w:r w:rsidRPr="005734B8">
              <w:rPr>
                <w:rFonts w:ascii="Calibri" w:hAnsi="Calibri" w:cs="Calibri"/>
                <w:sz w:val="16"/>
                <w:szCs w:val="16"/>
              </w:rPr>
              <w:t>–</w:t>
            </w:r>
          </w:p>
        </w:tc>
        <w:tc>
          <w:tcPr>
            <w:tcW w:w="784" w:type="dxa"/>
            <w:tcBorders>
              <w:top w:val="single" w:sz="4" w:space="0" w:color="53565A" w:themeColor="accent5"/>
              <w:bottom w:val="single" w:sz="4" w:space="0" w:color="53565A" w:themeColor="accent5"/>
            </w:tcBorders>
            <w:shd w:val="clear" w:color="auto" w:fill="F2F2F2" w:themeFill="background1" w:themeFillShade="F2"/>
          </w:tcPr>
          <w:p w14:paraId="3B80D4A8" w14:textId="351B2A2B"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9" w:type="dxa"/>
            <w:tcBorders>
              <w:top w:val="single" w:sz="4" w:space="0" w:color="53565A" w:themeColor="accent5"/>
              <w:bottom w:val="single" w:sz="4" w:space="0" w:color="53565A" w:themeColor="accent5"/>
            </w:tcBorders>
            <w:shd w:val="clear" w:color="auto" w:fill="F2F2F2" w:themeFill="background1" w:themeFillShade="F2"/>
          </w:tcPr>
          <w:p w14:paraId="586B11EA" w14:textId="25EA1576"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1E9B1287" w14:textId="20392C2E"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91" w:type="dxa"/>
            <w:tcBorders>
              <w:top w:val="single" w:sz="4" w:space="0" w:color="53565A" w:themeColor="accent5"/>
              <w:bottom w:val="single" w:sz="4" w:space="0" w:color="53565A" w:themeColor="accent5"/>
            </w:tcBorders>
            <w:shd w:val="clear" w:color="auto" w:fill="F2F2F2" w:themeFill="background1" w:themeFillShade="F2"/>
          </w:tcPr>
          <w:p w14:paraId="3E229AB0" w14:textId="790FBCE5" w:rsidR="004660D6" w:rsidRPr="005734B8" w:rsidRDefault="002B5648" w:rsidP="004660D6">
            <w:pPr>
              <w:pStyle w:val="ESTablebody"/>
              <w:jc w:val="right"/>
              <w:rPr>
                <w:rFonts w:ascii="Calibri" w:hAnsi="Calibri" w:cs="Calibri"/>
                <w:color w:val="FF0000"/>
                <w:sz w:val="18"/>
              </w:rPr>
            </w:pPr>
            <w:r w:rsidRPr="005734B8">
              <w:rPr>
                <w:rFonts w:ascii="Calibri" w:hAnsi="Calibri" w:cs="Calibri"/>
                <w:sz w:val="16"/>
                <w:szCs w:val="16"/>
              </w:rPr>
              <w:t>–</w:t>
            </w:r>
          </w:p>
        </w:tc>
      </w:tr>
      <w:tr w:rsidR="004660D6" w:rsidRPr="005734B8" w14:paraId="111E35C7" w14:textId="77777777" w:rsidTr="004660D6">
        <w:trPr>
          <w:cantSplit/>
        </w:trPr>
        <w:tc>
          <w:tcPr>
            <w:tcW w:w="2727" w:type="dxa"/>
            <w:tcBorders>
              <w:top w:val="single" w:sz="4" w:space="0" w:color="53565A" w:themeColor="accent5"/>
              <w:bottom w:val="single" w:sz="4" w:space="0" w:color="53565A" w:themeColor="accent5"/>
            </w:tcBorders>
            <w:shd w:val="clear" w:color="auto" w:fill="auto"/>
          </w:tcPr>
          <w:p w14:paraId="0386FC72" w14:textId="77777777" w:rsidR="004660D6" w:rsidRPr="005734B8" w:rsidRDefault="004660D6" w:rsidP="004660D6">
            <w:pPr>
              <w:pStyle w:val="ESTablebody"/>
              <w:rPr>
                <w:rFonts w:ascii="Calibri" w:hAnsi="Calibri" w:cs="Calibri"/>
                <w:sz w:val="18"/>
              </w:rPr>
            </w:pPr>
            <w:r w:rsidRPr="005734B8">
              <w:rPr>
                <w:rFonts w:ascii="Calibri" w:hAnsi="Calibri" w:cs="Calibri"/>
                <w:sz w:val="18"/>
              </w:rPr>
              <w:t>$300,000 – $319,999</w:t>
            </w:r>
          </w:p>
        </w:tc>
        <w:tc>
          <w:tcPr>
            <w:tcW w:w="1157" w:type="dxa"/>
            <w:tcBorders>
              <w:top w:val="single" w:sz="4" w:space="0" w:color="53565A" w:themeColor="accent5"/>
              <w:bottom w:val="single" w:sz="4" w:space="0" w:color="53565A" w:themeColor="accent5"/>
            </w:tcBorders>
          </w:tcPr>
          <w:p w14:paraId="6C8F5AA8" w14:textId="77777777" w:rsidR="004660D6" w:rsidRPr="005734B8" w:rsidRDefault="004660D6" w:rsidP="004660D6">
            <w:pPr>
              <w:pStyle w:val="ESTablebody"/>
              <w:jc w:val="center"/>
              <w:rPr>
                <w:rFonts w:ascii="Calibri" w:hAnsi="Calibri" w:cs="Calibri"/>
                <w:color w:val="FF0000"/>
                <w:sz w:val="18"/>
                <w:lang w:val="en-AU"/>
              </w:rPr>
            </w:pPr>
            <w:r w:rsidRPr="005734B8">
              <w:rPr>
                <w:rFonts w:ascii="Calibri" w:hAnsi="Calibri" w:cs="Calibri"/>
                <w:sz w:val="18"/>
              </w:rPr>
              <w:t>10</w:t>
            </w:r>
            <w:r w:rsidRPr="005734B8">
              <w:rPr>
                <w:rStyle w:val="FootnoteReference"/>
                <w:rFonts w:ascii="Calibri" w:hAnsi="Calibri" w:cs="Calibri"/>
                <w:sz w:val="18"/>
              </w:rPr>
              <w:footnoteReference w:id="61"/>
            </w:r>
            <w:r w:rsidRPr="005734B8">
              <w:rPr>
                <w:rFonts w:ascii="Calibri" w:hAnsi="Calibri" w:cs="Calibri"/>
                <w:sz w:val="18"/>
              </w:rPr>
              <w:t xml:space="preserve"> </w:t>
            </w:r>
          </w:p>
        </w:tc>
        <w:tc>
          <w:tcPr>
            <w:tcW w:w="788" w:type="dxa"/>
            <w:tcBorders>
              <w:top w:val="single" w:sz="4" w:space="0" w:color="53565A" w:themeColor="accent5"/>
              <w:bottom w:val="single" w:sz="4" w:space="0" w:color="53565A" w:themeColor="accent5"/>
            </w:tcBorders>
          </w:tcPr>
          <w:p w14:paraId="5295D68B" w14:textId="2FCCCBB8" w:rsidR="004660D6" w:rsidRPr="005734B8" w:rsidRDefault="002B5648" w:rsidP="004660D6">
            <w:pPr>
              <w:pStyle w:val="ESTablebody"/>
              <w:jc w:val="center"/>
              <w:rPr>
                <w:rFonts w:ascii="Calibri" w:hAnsi="Calibri" w:cs="Calibri"/>
                <w:color w:val="FF0000"/>
                <w:sz w:val="18"/>
                <w:lang w:val="en-AU"/>
              </w:rPr>
            </w:pPr>
            <w:r w:rsidRPr="005734B8">
              <w:rPr>
                <w:rFonts w:ascii="Calibri" w:hAnsi="Calibri" w:cs="Calibri"/>
                <w:sz w:val="16"/>
                <w:szCs w:val="16"/>
              </w:rPr>
              <w:t>–</w:t>
            </w:r>
          </w:p>
        </w:tc>
        <w:tc>
          <w:tcPr>
            <w:tcW w:w="784" w:type="dxa"/>
            <w:tcBorders>
              <w:top w:val="single" w:sz="4" w:space="0" w:color="53565A" w:themeColor="accent5"/>
              <w:bottom w:val="single" w:sz="4" w:space="0" w:color="53565A" w:themeColor="accent5"/>
            </w:tcBorders>
          </w:tcPr>
          <w:p w14:paraId="5954618B" w14:textId="6E2D8E6F"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9" w:type="dxa"/>
            <w:tcBorders>
              <w:top w:val="single" w:sz="4" w:space="0" w:color="53565A" w:themeColor="accent5"/>
              <w:bottom w:val="single" w:sz="4" w:space="0" w:color="53565A" w:themeColor="accent5"/>
            </w:tcBorders>
          </w:tcPr>
          <w:p w14:paraId="152F038A" w14:textId="20461A47"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8" w:type="dxa"/>
            <w:tcBorders>
              <w:top w:val="single" w:sz="4" w:space="0" w:color="53565A" w:themeColor="accent5"/>
              <w:bottom w:val="single" w:sz="4" w:space="0" w:color="53565A" w:themeColor="accent5"/>
            </w:tcBorders>
          </w:tcPr>
          <w:p w14:paraId="47A78A24" w14:textId="4C60917D"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91" w:type="dxa"/>
            <w:tcBorders>
              <w:top w:val="single" w:sz="4" w:space="0" w:color="53565A" w:themeColor="accent5"/>
              <w:bottom w:val="single" w:sz="4" w:space="0" w:color="53565A" w:themeColor="accent5"/>
            </w:tcBorders>
            <w:shd w:val="clear" w:color="auto" w:fill="auto"/>
          </w:tcPr>
          <w:p w14:paraId="016B6C16" w14:textId="6BCE8843" w:rsidR="004660D6" w:rsidRPr="005734B8" w:rsidRDefault="002B5648" w:rsidP="004660D6">
            <w:pPr>
              <w:pStyle w:val="ESTablebody"/>
              <w:jc w:val="right"/>
              <w:rPr>
                <w:rFonts w:ascii="Calibri" w:hAnsi="Calibri" w:cs="Calibri"/>
                <w:color w:val="FF0000"/>
                <w:sz w:val="18"/>
              </w:rPr>
            </w:pPr>
            <w:r w:rsidRPr="005734B8">
              <w:rPr>
                <w:rFonts w:ascii="Calibri" w:hAnsi="Calibri" w:cs="Calibri"/>
                <w:sz w:val="16"/>
                <w:szCs w:val="16"/>
              </w:rPr>
              <w:t>–</w:t>
            </w:r>
          </w:p>
        </w:tc>
      </w:tr>
      <w:tr w:rsidR="004660D6" w:rsidRPr="005734B8" w14:paraId="21CFDBA0" w14:textId="77777777" w:rsidTr="004660D6">
        <w:trPr>
          <w:cantSplit/>
        </w:trPr>
        <w:tc>
          <w:tcPr>
            <w:tcW w:w="2727" w:type="dxa"/>
            <w:tcBorders>
              <w:top w:val="single" w:sz="4" w:space="0" w:color="53565A" w:themeColor="accent5"/>
              <w:bottom w:val="single" w:sz="4" w:space="0" w:color="53565A" w:themeColor="accent5"/>
            </w:tcBorders>
            <w:shd w:val="clear" w:color="auto" w:fill="F2F2F2" w:themeFill="background1" w:themeFillShade="F2"/>
          </w:tcPr>
          <w:p w14:paraId="4F01C618" w14:textId="77777777" w:rsidR="004660D6" w:rsidRPr="005734B8" w:rsidRDefault="004660D6" w:rsidP="004660D6">
            <w:pPr>
              <w:pStyle w:val="ESTablebody"/>
              <w:rPr>
                <w:rFonts w:ascii="Calibri" w:hAnsi="Calibri" w:cs="Calibri"/>
                <w:sz w:val="18"/>
              </w:rPr>
            </w:pPr>
            <w:r w:rsidRPr="005734B8">
              <w:rPr>
                <w:rFonts w:ascii="Calibri" w:hAnsi="Calibri" w:cs="Calibri"/>
                <w:sz w:val="18"/>
              </w:rPr>
              <w:t>$320,000 – $339,999</w:t>
            </w:r>
          </w:p>
        </w:tc>
        <w:tc>
          <w:tcPr>
            <w:tcW w:w="1157" w:type="dxa"/>
            <w:tcBorders>
              <w:top w:val="single" w:sz="4" w:space="0" w:color="53565A" w:themeColor="accent5"/>
              <w:bottom w:val="single" w:sz="4" w:space="0" w:color="53565A" w:themeColor="accent5"/>
            </w:tcBorders>
            <w:shd w:val="clear" w:color="auto" w:fill="F2F2F2" w:themeFill="background1" w:themeFillShade="F2"/>
          </w:tcPr>
          <w:p w14:paraId="121971E8" w14:textId="77777777" w:rsidR="004660D6" w:rsidRPr="005734B8" w:rsidRDefault="004660D6" w:rsidP="004660D6">
            <w:pPr>
              <w:pStyle w:val="ESTablebody"/>
              <w:jc w:val="center"/>
              <w:rPr>
                <w:rFonts w:ascii="Calibri" w:hAnsi="Calibri" w:cs="Calibri"/>
                <w:color w:val="FF0000"/>
                <w:sz w:val="18"/>
                <w:lang w:val="en-AU"/>
              </w:rPr>
            </w:pPr>
            <w:r w:rsidRPr="005734B8">
              <w:rPr>
                <w:rFonts w:ascii="Calibri" w:hAnsi="Calibri" w:cs="Calibri"/>
                <w:sz w:val="18"/>
              </w:rPr>
              <w:t>3</w:t>
            </w: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753391B7" w14:textId="256F226F" w:rsidR="004660D6" w:rsidRPr="005734B8" w:rsidRDefault="002B5648" w:rsidP="004660D6">
            <w:pPr>
              <w:pStyle w:val="ESTablebody"/>
              <w:jc w:val="center"/>
              <w:rPr>
                <w:rFonts w:ascii="Calibri" w:hAnsi="Calibri" w:cs="Calibri"/>
                <w:color w:val="FF0000"/>
                <w:sz w:val="18"/>
                <w:lang w:val="en-AU"/>
              </w:rPr>
            </w:pPr>
            <w:r w:rsidRPr="005734B8">
              <w:rPr>
                <w:rFonts w:ascii="Calibri" w:hAnsi="Calibri" w:cs="Calibri"/>
                <w:sz w:val="16"/>
                <w:szCs w:val="16"/>
              </w:rPr>
              <w:t>–</w:t>
            </w:r>
          </w:p>
        </w:tc>
        <w:tc>
          <w:tcPr>
            <w:tcW w:w="784" w:type="dxa"/>
            <w:tcBorders>
              <w:top w:val="single" w:sz="4" w:space="0" w:color="53565A" w:themeColor="accent5"/>
              <w:bottom w:val="single" w:sz="4" w:space="0" w:color="53565A" w:themeColor="accent5"/>
            </w:tcBorders>
            <w:shd w:val="clear" w:color="auto" w:fill="F2F2F2" w:themeFill="background1" w:themeFillShade="F2"/>
          </w:tcPr>
          <w:p w14:paraId="566A21C6" w14:textId="64BE17DB"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9" w:type="dxa"/>
            <w:tcBorders>
              <w:top w:val="single" w:sz="4" w:space="0" w:color="53565A" w:themeColor="accent5"/>
              <w:bottom w:val="single" w:sz="4" w:space="0" w:color="53565A" w:themeColor="accent5"/>
            </w:tcBorders>
            <w:shd w:val="clear" w:color="auto" w:fill="F2F2F2" w:themeFill="background1" w:themeFillShade="F2"/>
          </w:tcPr>
          <w:p w14:paraId="409E925B" w14:textId="3C6AC812"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1E617657" w14:textId="2FBA4BC4"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91" w:type="dxa"/>
            <w:tcBorders>
              <w:top w:val="single" w:sz="4" w:space="0" w:color="53565A" w:themeColor="accent5"/>
              <w:bottom w:val="single" w:sz="4" w:space="0" w:color="53565A" w:themeColor="accent5"/>
            </w:tcBorders>
            <w:shd w:val="clear" w:color="auto" w:fill="F2F2F2" w:themeFill="background1" w:themeFillShade="F2"/>
          </w:tcPr>
          <w:p w14:paraId="1C05B3CF" w14:textId="6D4E61E8" w:rsidR="004660D6" w:rsidRPr="005734B8" w:rsidRDefault="002B5648" w:rsidP="004660D6">
            <w:pPr>
              <w:pStyle w:val="ESTablebody"/>
              <w:jc w:val="right"/>
              <w:rPr>
                <w:rFonts w:ascii="Calibri" w:hAnsi="Calibri" w:cs="Calibri"/>
                <w:color w:val="FF0000"/>
                <w:sz w:val="18"/>
              </w:rPr>
            </w:pPr>
            <w:r w:rsidRPr="005734B8">
              <w:rPr>
                <w:rFonts w:ascii="Calibri" w:hAnsi="Calibri" w:cs="Calibri"/>
                <w:sz w:val="16"/>
                <w:szCs w:val="16"/>
              </w:rPr>
              <w:t>–</w:t>
            </w:r>
          </w:p>
        </w:tc>
      </w:tr>
      <w:tr w:rsidR="004660D6" w:rsidRPr="005734B8" w14:paraId="7F356493" w14:textId="77777777" w:rsidTr="004660D6">
        <w:trPr>
          <w:cantSplit/>
        </w:trPr>
        <w:tc>
          <w:tcPr>
            <w:tcW w:w="2727" w:type="dxa"/>
            <w:tcBorders>
              <w:top w:val="single" w:sz="4" w:space="0" w:color="53565A" w:themeColor="accent5"/>
              <w:bottom w:val="single" w:sz="4" w:space="0" w:color="53565A" w:themeColor="accent5"/>
            </w:tcBorders>
            <w:shd w:val="clear" w:color="auto" w:fill="auto"/>
          </w:tcPr>
          <w:p w14:paraId="3E295148" w14:textId="77777777" w:rsidR="004660D6" w:rsidRPr="005734B8" w:rsidRDefault="004660D6" w:rsidP="004660D6">
            <w:pPr>
              <w:pStyle w:val="ESTablebody"/>
              <w:rPr>
                <w:rFonts w:ascii="Calibri" w:hAnsi="Calibri" w:cs="Calibri"/>
                <w:sz w:val="18"/>
              </w:rPr>
            </w:pPr>
            <w:r w:rsidRPr="005734B8">
              <w:rPr>
                <w:rFonts w:ascii="Calibri" w:hAnsi="Calibri" w:cs="Calibri"/>
                <w:sz w:val="18"/>
              </w:rPr>
              <w:t>$340,000 – $359,999</w:t>
            </w:r>
          </w:p>
        </w:tc>
        <w:tc>
          <w:tcPr>
            <w:tcW w:w="1157" w:type="dxa"/>
            <w:tcBorders>
              <w:top w:val="single" w:sz="4" w:space="0" w:color="53565A" w:themeColor="accent5"/>
              <w:bottom w:val="single" w:sz="4" w:space="0" w:color="53565A" w:themeColor="accent5"/>
            </w:tcBorders>
          </w:tcPr>
          <w:p w14:paraId="52200DEC" w14:textId="4201C17F" w:rsidR="004660D6" w:rsidRPr="005734B8" w:rsidRDefault="002B5648" w:rsidP="004660D6">
            <w:pPr>
              <w:pStyle w:val="ESTablebody"/>
              <w:jc w:val="center"/>
              <w:rPr>
                <w:rFonts w:ascii="Calibri" w:hAnsi="Calibri" w:cs="Calibri"/>
                <w:color w:val="FF0000"/>
                <w:sz w:val="18"/>
              </w:rPr>
            </w:pPr>
            <w:r w:rsidRPr="005734B8">
              <w:rPr>
                <w:rFonts w:ascii="Calibri" w:hAnsi="Calibri" w:cs="Calibri"/>
                <w:sz w:val="16"/>
                <w:szCs w:val="16"/>
              </w:rPr>
              <w:t>–</w:t>
            </w:r>
          </w:p>
        </w:tc>
        <w:tc>
          <w:tcPr>
            <w:tcW w:w="788" w:type="dxa"/>
            <w:tcBorders>
              <w:top w:val="single" w:sz="4" w:space="0" w:color="53565A" w:themeColor="accent5"/>
              <w:bottom w:val="single" w:sz="4" w:space="0" w:color="53565A" w:themeColor="accent5"/>
            </w:tcBorders>
          </w:tcPr>
          <w:p w14:paraId="32C2FD9D" w14:textId="1E3D381A" w:rsidR="004660D6" w:rsidRPr="005734B8" w:rsidRDefault="002B5648" w:rsidP="004660D6">
            <w:pPr>
              <w:pStyle w:val="ESTablebody"/>
              <w:jc w:val="center"/>
              <w:rPr>
                <w:rFonts w:ascii="Calibri" w:hAnsi="Calibri" w:cs="Calibri"/>
                <w:color w:val="FF0000"/>
                <w:sz w:val="18"/>
              </w:rPr>
            </w:pPr>
            <w:r w:rsidRPr="005734B8">
              <w:rPr>
                <w:rFonts w:ascii="Calibri" w:hAnsi="Calibri" w:cs="Calibri"/>
                <w:sz w:val="16"/>
                <w:szCs w:val="16"/>
              </w:rPr>
              <w:t>–</w:t>
            </w:r>
          </w:p>
        </w:tc>
        <w:tc>
          <w:tcPr>
            <w:tcW w:w="784" w:type="dxa"/>
            <w:tcBorders>
              <w:top w:val="single" w:sz="4" w:space="0" w:color="53565A" w:themeColor="accent5"/>
              <w:bottom w:val="single" w:sz="4" w:space="0" w:color="53565A" w:themeColor="accent5"/>
            </w:tcBorders>
          </w:tcPr>
          <w:p w14:paraId="7D883291" w14:textId="6BA61D2C" w:rsidR="004660D6" w:rsidRPr="005734B8" w:rsidRDefault="002B5648" w:rsidP="004660D6">
            <w:pPr>
              <w:pStyle w:val="ESTablebody"/>
              <w:jc w:val="right"/>
              <w:rPr>
                <w:rFonts w:ascii="Calibri" w:hAnsi="Calibri" w:cs="Calibri"/>
                <w:color w:val="FF0000"/>
                <w:sz w:val="18"/>
              </w:rPr>
            </w:pPr>
            <w:r w:rsidRPr="005734B8">
              <w:rPr>
                <w:rFonts w:ascii="Calibri" w:hAnsi="Calibri" w:cs="Calibri"/>
                <w:sz w:val="16"/>
                <w:szCs w:val="16"/>
              </w:rPr>
              <w:t>–</w:t>
            </w:r>
          </w:p>
        </w:tc>
        <w:tc>
          <w:tcPr>
            <w:tcW w:w="789" w:type="dxa"/>
            <w:tcBorders>
              <w:top w:val="single" w:sz="4" w:space="0" w:color="53565A" w:themeColor="accent5"/>
              <w:bottom w:val="single" w:sz="4" w:space="0" w:color="53565A" w:themeColor="accent5"/>
            </w:tcBorders>
          </w:tcPr>
          <w:p w14:paraId="6D08F044" w14:textId="678A2FCE" w:rsidR="004660D6" w:rsidRPr="005734B8" w:rsidRDefault="002B5648" w:rsidP="004660D6">
            <w:pPr>
              <w:pStyle w:val="ESTablebody"/>
              <w:jc w:val="right"/>
              <w:rPr>
                <w:rFonts w:ascii="Calibri" w:hAnsi="Calibri" w:cs="Calibri"/>
                <w:color w:val="FF0000"/>
                <w:sz w:val="18"/>
              </w:rPr>
            </w:pPr>
            <w:r w:rsidRPr="005734B8">
              <w:rPr>
                <w:rFonts w:ascii="Calibri" w:hAnsi="Calibri" w:cs="Calibri"/>
                <w:sz w:val="16"/>
                <w:szCs w:val="16"/>
              </w:rPr>
              <w:t>–</w:t>
            </w:r>
          </w:p>
        </w:tc>
        <w:tc>
          <w:tcPr>
            <w:tcW w:w="788" w:type="dxa"/>
            <w:tcBorders>
              <w:top w:val="single" w:sz="4" w:space="0" w:color="53565A" w:themeColor="accent5"/>
              <w:bottom w:val="single" w:sz="4" w:space="0" w:color="53565A" w:themeColor="accent5"/>
            </w:tcBorders>
          </w:tcPr>
          <w:p w14:paraId="0AF649D5" w14:textId="18F97280" w:rsidR="004660D6" w:rsidRPr="005734B8" w:rsidRDefault="002B5648" w:rsidP="004660D6">
            <w:pPr>
              <w:pStyle w:val="ESTablebody"/>
              <w:jc w:val="right"/>
              <w:rPr>
                <w:rFonts w:ascii="Calibri" w:hAnsi="Calibri" w:cs="Calibri"/>
                <w:color w:val="FF0000"/>
                <w:sz w:val="18"/>
              </w:rPr>
            </w:pPr>
            <w:r w:rsidRPr="005734B8">
              <w:rPr>
                <w:rFonts w:ascii="Calibri" w:hAnsi="Calibri" w:cs="Calibri"/>
                <w:sz w:val="16"/>
                <w:szCs w:val="16"/>
              </w:rPr>
              <w:t>–</w:t>
            </w:r>
          </w:p>
        </w:tc>
        <w:tc>
          <w:tcPr>
            <w:tcW w:w="791" w:type="dxa"/>
            <w:tcBorders>
              <w:top w:val="single" w:sz="4" w:space="0" w:color="53565A" w:themeColor="accent5"/>
              <w:bottom w:val="single" w:sz="4" w:space="0" w:color="53565A" w:themeColor="accent5"/>
            </w:tcBorders>
            <w:shd w:val="clear" w:color="auto" w:fill="auto"/>
          </w:tcPr>
          <w:p w14:paraId="257B1DDD" w14:textId="730EECF3" w:rsidR="004660D6" w:rsidRPr="005734B8" w:rsidRDefault="002B5648" w:rsidP="004660D6">
            <w:pPr>
              <w:pStyle w:val="ESTablebody"/>
              <w:jc w:val="right"/>
              <w:rPr>
                <w:rFonts w:ascii="Calibri" w:hAnsi="Calibri" w:cs="Calibri"/>
                <w:color w:val="FF0000"/>
                <w:sz w:val="18"/>
              </w:rPr>
            </w:pPr>
            <w:r w:rsidRPr="005734B8">
              <w:rPr>
                <w:rFonts w:ascii="Calibri" w:hAnsi="Calibri" w:cs="Calibri"/>
                <w:sz w:val="16"/>
                <w:szCs w:val="16"/>
              </w:rPr>
              <w:t>–</w:t>
            </w:r>
          </w:p>
        </w:tc>
      </w:tr>
      <w:tr w:rsidR="004660D6" w:rsidRPr="005734B8" w14:paraId="1096B8BC" w14:textId="77777777" w:rsidTr="004660D6">
        <w:trPr>
          <w:cantSplit/>
        </w:trPr>
        <w:tc>
          <w:tcPr>
            <w:tcW w:w="2727" w:type="dxa"/>
            <w:tcBorders>
              <w:top w:val="single" w:sz="4" w:space="0" w:color="53565A" w:themeColor="accent5"/>
              <w:bottom w:val="single" w:sz="4" w:space="0" w:color="53565A" w:themeColor="accent5"/>
            </w:tcBorders>
            <w:shd w:val="clear" w:color="auto" w:fill="F2F2F2" w:themeFill="background1" w:themeFillShade="F2"/>
          </w:tcPr>
          <w:p w14:paraId="3E604B92" w14:textId="77777777" w:rsidR="004660D6" w:rsidRPr="005734B8" w:rsidRDefault="004660D6" w:rsidP="004660D6">
            <w:pPr>
              <w:pStyle w:val="ESTablebody"/>
              <w:rPr>
                <w:rFonts w:ascii="Calibri" w:hAnsi="Calibri" w:cs="Calibri"/>
                <w:sz w:val="18"/>
              </w:rPr>
            </w:pPr>
            <w:r w:rsidRPr="005734B8">
              <w:rPr>
                <w:rFonts w:ascii="Calibri" w:hAnsi="Calibri" w:cs="Calibri"/>
                <w:sz w:val="18"/>
              </w:rPr>
              <w:t>$360,000 – $379,999</w:t>
            </w:r>
          </w:p>
        </w:tc>
        <w:tc>
          <w:tcPr>
            <w:tcW w:w="1157" w:type="dxa"/>
            <w:tcBorders>
              <w:top w:val="single" w:sz="4" w:space="0" w:color="53565A" w:themeColor="accent5"/>
              <w:bottom w:val="single" w:sz="4" w:space="0" w:color="53565A" w:themeColor="accent5"/>
            </w:tcBorders>
            <w:shd w:val="clear" w:color="auto" w:fill="F2F2F2" w:themeFill="background1" w:themeFillShade="F2"/>
          </w:tcPr>
          <w:p w14:paraId="0F3FF6BC" w14:textId="77777777" w:rsidR="004660D6" w:rsidRPr="005734B8" w:rsidRDefault="004660D6" w:rsidP="004660D6">
            <w:pPr>
              <w:pStyle w:val="ESTablebody"/>
              <w:jc w:val="center"/>
              <w:rPr>
                <w:rFonts w:ascii="Calibri" w:hAnsi="Calibri" w:cs="Calibri"/>
                <w:color w:val="FF0000"/>
                <w:sz w:val="18"/>
                <w:lang w:val="en-AU"/>
              </w:rPr>
            </w:pPr>
            <w:r w:rsidRPr="005734B8">
              <w:rPr>
                <w:rFonts w:ascii="Calibri" w:hAnsi="Calibri" w:cs="Calibri"/>
                <w:sz w:val="18"/>
              </w:rPr>
              <w:t>5</w:t>
            </w: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23E943D8" w14:textId="23C80A84" w:rsidR="004660D6" w:rsidRPr="005734B8" w:rsidRDefault="002B5648" w:rsidP="004660D6">
            <w:pPr>
              <w:pStyle w:val="ESTablebody"/>
              <w:jc w:val="center"/>
              <w:rPr>
                <w:rFonts w:ascii="Calibri" w:hAnsi="Calibri" w:cs="Calibri"/>
                <w:color w:val="FF0000"/>
                <w:sz w:val="18"/>
                <w:lang w:val="en-AU"/>
              </w:rPr>
            </w:pPr>
            <w:r w:rsidRPr="005734B8">
              <w:rPr>
                <w:rFonts w:ascii="Calibri" w:hAnsi="Calibri" w:cs="Calibri"/>
                <w:sz w:val="16"/>
                <w:szCs w:val="16"/>
              </w:rPr>
              <w:t>–</w:t>
            </w:r>
          </w:p>
        </w:tc>
        <w:tc>
          <w:tcPr>
            <w:tcW w:w="784" w:type="dxa"/>
            <w:tcBorders>
              <w:top w:val="single" w:sz="4" w:space="0" w:color="53565A" w:themeColor="accent5"/>
              <w:bottom w:val="single" w:sz="4" w:space="0" w:color="53565A" w:themeColor="accent5"/>
            </w:tcBorders>
            <w:shd w:val="clear" w:color="auto" w:fill="F2F2F2" w:themeFill="background1" w:themeFillShade="F2"/>
          </w:tcPr>
          <w:p w14:paraId="46DC7C20" w14:textId="5EBA2169"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9" w:type="dxa"/>
            <w:tcBorders>
              <w:top w:val="single" w:sz="4" w:space="0" w:color="53565A" w:themeColor="accent5"/>
              <w:bottom w:val="single" w:sz="4" w:space="0" w:color="53565A" w:themeColor="accent5"/>
            </w:tcBorders>
            <w:shd w:val="clear" w:color="auto" w:fill="F2F2F2" w:themeFill="background1" w:themeFillShade="F2"/>
          </w:tcPr>
          <w:p w14:paraId="1392BC7B" w14:textId="3B58E6CD"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7F5580E3" w14:textId="34AA593D"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91" w:type="dxa"/>
            <w:tcBorders>
              <w:top w:val="single" w:sz="4" w:space="0" w:color="53565A" w:themeColor="accent5"/>
              <w:bottom w:val="single" w:sz="4" w:space="0" w:color="53565A" w:themeColor="accent5"/>
            </w:tcBorders>
            <w:shd w:val="clear" w:color="auto" w:fill="F2F2F2" w:themeFill="background1" w:themeFillShade="F2"/>
          </w:tcPr>
          <w:p w14:paraId="0E3E8C3D" w14:textId="1EA5273B" w:rsidR="004660D6" w:rsidRPr="005734B8" w:rsidRDefault="002B5648" w:rsidP="004660D6">
            <w:pPr>
              <w:pStyle w:val="ESTablebody"/>
              <w:jc w:val="right"/>
              <w:rPr>
                <w:rFonts w:ascii="Calibri" w:hAnsi="Calibri" w:cs="Calibri"/>
                <w:color w:val="FF0000"/>
                <w:sz w:val="18"/>
              </w:rPr>
            </w:pPr>
            <w:r w:rsidRPr="005734B8">
              <w:rPr>
                <w:rFonts w:ascii="Calibri" w:hAnsi="Calibri" w:cs="Calibri"/>
                <w:sz w:val="16"/>
                <w:szCs w:val="16"/>
              </w:rPr>
              <w:t>–</w:t>
            </w:r>
          </w:p>
        </w:tc>
      </w:tr>
      <w:tr w:rsidR="004660D6" w:rsidRPr="005734B8" w14:paraId="6C1EEBA2" w14:textId="77777777" w:rsidTr="00AA658D">
        <w:trPr>
          <w:cantSplit/>
        </w:trPr>
        <w:tc>
          <w:tcPr>
            <w:tcW w:w="2727" w:type="dxa"/>
            <w:tcBorders>
              <w:top w:val="single" w:sz="4" w:space="0" w:color="53565A" w:themeColor="accent5"/>
              <w:bottom w:val="single" w:sz="4" w:space="0" w:color="53565A" w:themeColor="accent5"/>
            </w:tcBorders>
            <w:shd w:val="clear" w:color="auto" w:fill="auto"/>
          </w:tcPr>
          <w:p w14:paraId="0139BD19" w14:textId="77777777" w:rsidR="004660D6" w:rsidRPr="005734B8" w:rsidRDefault="004660D6" w:rsidP="004660D6">
            <w:pPr>
              <w:pStyle w:val="ESTablebody"/>
              <w:rPr>
                <w:rFonts w:ascii="Calibri" w:hAnsi="Calibri" w:cs="Calibri"/>
                <w:sz w:val="18"/>
              </w:rPr>
            </w:pPr>
            <w:r w:rsidRPr="005734B8">
              <w:rPr>
                <w:rFonts w:ascii="Calibri" w:hAnsi="Calibri" w:cs="Calibri"/>
                <w:sz w:val="18"/>
              </w:rPr>
              <w:t>$380,000 – $399,999</w:t>
            </w:r>
          </w:p>
        </w:tc>
        <w:tc>
          <w:tcPr>
            <w:tcW w:w="1157" w:type="dxa"/>
            <w:tcBorders>
              <w:top w:val="single" w:sz="4" w:space="0" w:color="53565A" w:themeColor="accent5"/>
              <w:bottom w:val="single" w:sz="4" w:space="0" w:color="53565A" w:themeColor="accent5"/>
            </w:tcBorders>
          </w:tcPr>
          <w:p w14:paraId="1F180F6C" w14:textId="77777777" w:rsidR="004660D6" w:rsidRPr="005734B8" w:rsidRDefault="004660D6" w:rsidP="004660D6">
            <w:pPr>
              <w:pStyle w:val="ESTablebody"/>
              <w:jc w:val="center"/>
              <w:rPr>
                <w:rFonts w:ascii="Calibri" w:hAnsi="Calibri" w:cs="Calibri"/>
                <w:color w:val="FF0000"/>
                <w:sz w:val="18"/>
                <w:lang w:val="en-AU"/>
              </w:rPr>
            </w:pPr>
            <w:r w:rsidRPr="005734B8">
              <w:rPr>
                <w:rFonts w:ascii="Calibri" w:hAnsi="Calibri" w:cs="Calibri"/>
                <w:sz w:val="18"/>
              </w:rPr>
              <w:t>2</w:t>
            </w:r>
          </w:p>
        </w:tc>
        <w:tc>
          <w:tcPr>
            <w:tcW w:w="788" w:type="dxa"/>
            <w:tcBorders>
              <w:top w:val="single" w:sz="4" w:space="0" w:color="53565A" w:themeColor="accent5"/>
              <w:bottom w:val="single" w:sz="4" w:space="0" w:color="53565A" w:themeColor="accent5"/>
            </w:tcBorders>
          </w:tcPr>
          <w:p w14:paraId="79146392" w14:textId="05EB7325" w:rsidR="004660D6" w:rsidRPr="005734B8" w:rsidRDefault="002B5648" w:rsidP="004660D6">
            <w:pPr>
              <w:pStyle w:val="ESTablebody"/>
              <w:jc w:val="center"/>
              <w:rPr>
                <w:rFonts w:ascii="Calibri" w:hAnsi="Calibri" w:cs="Calibri"/>
                <w:color w:val="FF0000"/>
                <w:sz w:val="18"/>
                <w:lang w:val="en-AU"/>
              </w:rPr>
            </w:pPr>
            <w:r w:rsidRPr="005734B8">
              <w:rPr>
                <w:rFonts w:ascii="Calibri" w:hAnsi="Calibri" w:cs="Calibri"/>
                <w:sz w:val="16"/>
                <w:szCs w:val="16"/>
              </w:rPr>
              <w:t>–</w:t>
            </w:r>
          </w:p>
        </w:tc>
        <w:tc>
          <w:tcPr>
            <w:tcW w:w="784" w:type="dxa"/>
            <w:tcBorders>
              <w:top w:val="single" w:sz="4" w:space="0" w:color="53565A" w:themeColor="accent5"/>
              <w:bottom w:val="single" w:sz="4" w:space="0" w:color="53565A" w:themeColor="accent5"/>
            </w:tcBorders>
          </w:tcPr>
          <w:p w14:paraId="1E3CCC5E" w14:textId="25A09FE0"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9" w:type="dxa"/>
            <w:tcBorders>
              <w:top w:val="single" w:sz="4" w:space="0" w:color="53565A" w:themeColor="accent5"/>
              <w:bottom w:val="single" w:sz="4" w:space="0" w:color="53565A" w:themeColor="accent5"/>
            </w:tcBorders>
          </w:tcPr>
          <w:p w14:paraId="1D78F8CF" w14:textId="5C9B0EB4"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8" w:type="dxa"/>
            <w:tcBorders>
              <w:top w:val="single" w:sz="4" w:space="0" w:color="53565A" w:themeColor="accent5"/>
              <w:bottom w:val="single" w:sz="4" w:space="0" w:color="53565A" w:themeColor="accent5"/>
            </w:tcBorders>
          </w:tcPr>
          <w:p w14:paraId="44EDDBB0" w14:textId="062E509B"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91" w:type="dxa"/>
            <w:tcBorders>
              <w:top w:val="single" w:sz="4" w:space="0" w:color="53565A" w:themeColor="accent5"/>
              <w:bottom w:val="single" w:sz="4" w:space="0" w:color="53565A" w:themeColor="accent5"/>
            </w:tcBorders>
            <w:shd w:val="clear" w:color="auto" w:fill="auto"/>
          </w:tcPr>
          <w:p w14:paraId="7411DB81" w14:textId="40DECD23" w:rsidR="004660D6" w:rsidRPr="005734B8" w:rsidRDefault="002B5648" w:rsidP="004660D6">
            <w:pPr>
              <w:pStyle w:val="ESTablebody"/>
              <w:jc w:val="right"/>
              <w:rPr>
                <w:rFonts w:ascii="Calibri" w:hAnsi="Calibri" w:cs="Calibri"/>
                <w:color w:val="FF0000"/>
                <w:sz w:val="18"/>
              </w:rPr>
            </w:pPr>
            <w:r w:rsidRPr="005734B8">
              <w:rPr>
                <w:rFonts w:ascii="Calibri" w:hAnsi="Calibri" w:cs="Calibri"/>
                <w:sz w:val="16"/>
                <w:szCs w:val="16"/>
              </w:rPr>
              <w:t>–</w:t>
            </w:r>
          </w:p>
        </w:tc>
      </w:tr>
      <w:tr w:rsidR="004660D6" w:rsidRPr="005734B8" w14:paraId="3A669000" w14:textId="77777777" w:rsidTr="004660D6">
        <w:trPr>
          <w:cantSplit/>
        </w:trPr>
        <w:tc>
          <w:tcPr>
            <w:tcW w:w="2727" w:type="dxa"/>
            <w:tcBorders>
              <w:top w:val="single" w:sz="4" w:space="0" w:color="53565A" w:themeColor="accent5"/>
              <w:bottom w:val="single" w:sz="4" w:space="0" w:color="53565A" w:themeColor="accent5"/>
            </w:tcBorders>
            <w:shd w:val="clear" w:color="auto" w:fill="F2F2F2" w:themeFill="background1" w:themeFillShade="F2"/>
          </w:tcPr>
          <w:p w14:paraId="794284C8" w14:textId="77777777" w:rsidR="004660D6" w:rsidRPr="005734B8" w:rsidRDefault="004660D6" w:rsidP="004660D6">
            <w:pPr>
              <w:pStyle w:val="ESTablebody"/>
              <w:rPr>
                <w:rFonts w:ascii="Calibri" w:hAnsi="Calibri" w:cs="Calibri"/>
                <w:sz w:val="18"/>
              </w:rPr>
            </w:pPr>
            <w:r w:rsidRPr="005734B8">
              <w:rPr>
                <w:rFonts w:ascii="Calibri" w:hAnsi="Calibri" w:cs="Calibri"/>
                <w:sz w:val="18"/>
              </w:rPr>
              <w:t>$400,000 – $419,999</w:t>
            </w:r>
          </w:p>
        </w:tc>
        <w:tc>
          <w:tcPr>
            <w:tcW w:w="1157" w:type="dxa"/>
            <w:tcBorders>
              <w:top w:val="single" w:sz="4" w:space="0" w:color="53565A" w:themeColor="accent5"/>
              <w:bottom w:val="single" w:sz="4" w:space="0" w:color="53565A" w:themeColor="accent5"/>
            </w:tcBorders>
            <w:shd w:val="clear" w:color="auto" w:fill="F2F2F2" w:themeFill="background1" w:themeFillShade="F2"/>
          </w:tcPr>
          <w:p w14:paraId="07ECF242" w14:textId="77777777" w:rsidR="004660D6" w:rsidRPr="005734B8" w:rsidRDefault="004660D6" w:rsidP="004660D6">
            <w:pPr>
              <w:pStyle w:val="ESTablebody"/>
              <w:jc w:val="center"/>
              <w:rPr>
                <w:rFonts w:ascii="Calibri" w:hAnsi="Calibri" w:cs="Calibri"/>
                <w:color w:val="FF0000"/>
                <w:sz w:val="18"/>
                <w:lang w:val="en-AU"/>
              </w:rPr>
            </w:pPr>
            <w:r w:rsidRPr="005734B8">
              <w:rPr>
                <w:rFonts w:ascii="Calibri" w:hAnsi="Calibri" w:cs="Calibri"/>
                <w:sz w:val="18"/>
              </w:rPr>
              <w:t>1</w:t>
            </w: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28167C5C" w14:textId="6D4A3439" w:rsidR="004660D6" w:rsidRPr="005734B8" w:rsidRDefault="002B5648" w:rsidP="004660D6">
            <w:pPr>
              <w:pStyle w:val="ESTablebody"/>
              <w:jc w:val="center"/>
              <w:rPr>
                <w:rFonts w:ascii="Calibri" w:hAnsi="Calibri" w:cs="Calibri"/>
                <w:color w:val="FF0000"/>
                <w:sz w:val="18"/>
                <w:lang w:val="en-AU"/>
              </w:rPr>
            </w:pPr>
            <w:r w:rsidRPr="005734B8">
              <w:rPr>
                <w:rFonts w:ascii="Calibri" w:hAnsi="Calibri" w:cs="Calibri"/>
                <w:sz w:val="16"/>
                <w:szCs w:val="16"/>
              </w:rPr>
              <w:t>–</w:t>
            </w:r>
          </w:p>
        </w:tc>
        <w:tc>
          <w:tcPr>
            <w:tcW w:w="784" w:type="dxa"/>
            <w:tcBorders>
              <w:top w:val="single" w:sz="4" w:space="0" w:color="53565A" w:themeColor="accent5"/>
              <w:bottom w:val="single" w:sz="4" w:space="0" w:color="53565A" w:themeColor="accent5"/>
            </w:tcBorders>
            <w:shd w:val="clear" w:color="auto" w:fill="F2F2F2" w:themeFill="background1" w:themeFillShade="F2"/>
          </w:tcPr>
          <w:p w14:paraId="01AD999C" w14:textId="1E2208FA"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9" w:type="dxa"/>
            <w:tcBorders>
              <w:top w:val="single" w:sz="4" w:space="0" w:color="53565A" w:themeColor="accent5"/>
              <w:bottom w:val="single" w:sz="4" w:space="0" w:color="53565A" w:themeColor="accent5"/>
            </w:tcBorders>
            <w:shd w:val="clear" w:color="auto" w:fill="F2F2F2" w:themeFill="background1" w:themeFillShade="F2"/>
          </w:tcPr>
          <w:p w14:paraId="7BEAB462" w14:textId="438FED20"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76171514" w14:textId="39D6FCD0"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91" w:type="dxa"/>
            <w:tcBorders>
              <w:top w:val="single" w:sz="4" w:space="0" w:color="53565A" w:themeColor="accent5"/>
              <w:bottom w:val="single" w:sz="4" w:space="0" w:color="53565A" w:themeColor="accent5"/>
            </w:tcBorders>
            <w:shd w:val="clear" w:color="auto" w:fill="F2F2F2" w:themeFill="background1" w:themeFillShade="F2"/>
          </w:tcPr>
          <w:p w14:paraId="6E908C62" w14:textId="3E70953A" w:rsidR="004660D6" w:rsidRPr="005734B8" w:rsidRDefault="002B5648" w:rsidP="004660D6">
            <w:pPr>
              <w:pStyle w:val="ESTablebody"/>
              <w:jc w:val="right"/>
              <w:rPr>
                <w:rFonts w:ascii="Calibri" w:hAnsi="Calibri" w:cs="Calibri"/>
                <w:color w:val="FF0000"/>
                <w:sz w:val="18"/>
              </w:rPr>
            </w:pPr>
            <w:r w:rsidRPr="005734B8">
              <w:rPr>
                <w:rFonts w:ascii="Calibri" w:hAnsi="Calibri" w:cs="Calibri"/>
                <w:sz w:val="16"/>
                <w:szCs w:val="16"/>
              </w:rPr>
              <w:t>–</w:t>
            </w:r>
          </w:p>
        </w:tc>
      </w:tr>
      <w:tr w:rsidR="004660D6" w:rsidRPr="005734B8" w14:paraId="5A843252" w14:textId="77777777" w:rsidTr="0078384A">
        <w:trPr>
          <w:cantSplit/>
        </w:trPr>
        <w:tc>
          <w:tcPr>
            <w:tcW w:w="2727" w:type="dxa"/>
            <w:tcBorders>
              <w:top w:val="single" w:sz="4" w:space="0" w:color="53565A" w:themeColor="accent5"/>
              <w:bottom w:val="single" w:sz="4" w:space="0" w:color="53565A" w:themeColor="accent5"/>
            </w:tcBorders>
            <w:shd w:val="clear" w:color="auto" w:fill="auto"/>
          </w:tcPr>
          <w:p w14:paraId="0BAF2858" w14:textId="77777777" w:rsidR="004660D6" w:rsidRPr="005734B8" w:rsidRDefault="004660D6" w:rsidP="004660D6">
            <w:pPr>
              <w:pStyle w:val="ESTablebody"/>
              <w:rPr>
                <w:rFonts w:ascii="Calibri" w:hAnsi="Calibri" w:cs="Calibri"/>
                <w:sz w:val="18"/>
              </w:rPr>
            </w:pPr>
            <w:r w:rsidRPr="005734B8">
              <w:rPr>
                <w:rFonts w:ascii="Calibri" w:hAnsi="Calibri" w:cs="Calibri"/>
                <w:sz w:val="18"/>
              </w:rPr>
              <w:t>$420,000 – $439,999</w:t>
            </w:r>
          </w:p>
        </w:tc>
        <w:tc>
          <w:tcPr>
            <w:tcW w:w="1157" w:type="dxa"/>
            <w:tcBorders>
              <w:top w:val="single" w:sz="4" w:space="0" w:color="53565A" w:themeColor="accent5"/>
              <w:bottom w:val="single" w:sz="4" w:space="0" w:color="53565A" w:themeColor="accent5"/>
            </w:tcBorders>
          </w:tcPr>
          <w:p w14:paraId="59AB715D" w14:textId="4DE680F6" w:rsidR="004660D6" w:rsidRPr="005734B8" w:rsidRDefault="002B5648" w:rsidP="004660D6">
            <w:pPr>
              <w:pStyle w:val="ESTablebody"/>
              <w:jc w:val="center"/>
              <w:rPr>
                <w:rFonts w:ascii="Calibri" w:hAnsi="Calibri" w:cs="Calibri"/>
                <w:sz w:val="18"/>
                <w:lang w:val="en-AU"/>
              </w:rPr>
            </w:pPr>
            <w:r w:rsidRPr="005734B8">
              <w:rPr>
                <w:rFonts w:ascii="Calibri" w:hAnsi="Calibri" w:cs="Calibri"/>
                <w:sz w:val="16"/>
                <w:szCs w:val="16"/>
              </w:rPr>
              <w:t>–</w:t>
            </w:r>
          </w:p>
        </w:tc>
        <w:tc>
          <w:tcPr>
            <w:tcW w:w="788" w:type="dxa"/>
            <w:tcBorders>
              <w:top w:val="single" w:sz="4" w:space="0" w:color="53565A" w:themeColor="accent5"/>
              <w:bottom w:val="single" w:sz="4" w:space="0" w:color="53565A" w:themeColor="accent5"/>
            </w:tcBorders>
          </w:tcPr>
          <w:p w14:paraId="2128DBDF" w14:textId="03490A78" w:rsidR="004660D6" w:rsidRPr="005734B8" w:rsidRDefault="002B5648" w:rsidP="004660D6">
            <w:pPr>
              <w:pStyle w:val="ESTablebody"/>
              <w:jc w:val="center"/>
              <w:rPr>
                <w:rFonts w:ascii="Calibri" w:hAnsi="Calibri" w:cs="Calibri"/>
                <w:sz w:val="18"/>
                <w:lang w:val="en-AU"/>
              </w:rPr>
            </w:pPr>
            <w:r w:rsidRPr="005734B8">
              <w:rPr>
                <w:rFonts w:ascii="Calibri" w:hAnsi="Calibri" w:cs="Calibri"/>
                <w:sz w:val="16"/>
                <w:szCs w:val="16"/>
              </w:rPr>
              <w:t>–</w:t>
            </w:r>
          </w:p>
        </w:tc>
        <w:tc>
          <w:tcPr>
            <w:tcW w:w="784" w:type="dxa"/>
            <w:tcBorders>
              <w:top w:val="single" w:sz="4" w:space="0" w:color="53565A" w:themeColor="accent5"/>
              <w:bottom w:val="single" w:sz="4" w:space="0" w:color="53565A" w:themeColor="accent5"/>
            </w:tcBorders>
          </w:tcPr>
          <w:p w14:paraId="3787C0BF" w14:textId="1ABF25EE"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9" w:type="dxa"/>
            <w:tcBorders>
              <w:top w:val="single" w:sz="4" w:space="0" w:color="53565A" w:themeColor="accent5"/>
              <w:bottom w:val="single" w:sz="4" w:space="0" w:color="53565A" w:themeColor="accent5"/>
            </w:tcBorders>
          </w:tcPr>
          <w:p w14:paraId="6DFA24D8" w14:textId="0388C762"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8" w:type="dxa"/>
            <w:tcBorders>
              <w:top w:val="single" w:sz="4" w:space="0" w:color="53565A" w:themeColor="accent5"/>
              <w:bottom w:val="single" w:sz="4" w:space="0" w:color="53565A" w:themeColor="accent5"/>
            </w:tcBorders>
          </w:tcPr>
          <w:p w14:paraId="30645AEC" w14:textId="07AD7B60"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91" w:type="dxa"/>
            <w:tcBorders>
              <w:top w:val="single" w:sz="4" w:space="0" w:color="53565A" w:themeColor="accent5"/>
              <w:bottom w:val="single" w:sz="4" w:space="0" w:color="53565A" w:themeColor="accent5"/>
            </w:tcBorders>
            <w:shd w:val="clear" w:color="auto" w:fill="auto"/>
          </w:tcPr>
          <w:p w14:paraId="1500CB4E" w14:textId="00199FED" w:rsidR="004660D6" w:rsidRPr="005734B8" w:rsidRDefault="002B5648" w:rsidP="004660D6">
            <w:pPr>
              <w:pStyle w:val="ESTablebody"/>
              <w:jc w:val="right"/>
              <w:rPr>
                <w:rFonts w:ascii="Calibri" w:hAnsi="Calibri" w:cs="Calibri"/>
                <w:color w:val="FF0000"/>
                <w:sz w:val="18"/>
              </w:rPr>
            </w:pPr>
            <w:r w:rsidRPr="005734B8">
              <w:rPr>
                <w:rFonts w:ascii="Calibri" w:hAnsi="Calibri" w:cs="Calibri"/>
                <w:sz w:val="16"/>
                <w:szCs w:val="16"/>
              </w:rPr>
              <w:t>–</w:t>
            </w:r>
          </w:p>
        </w:tc>
      </w:tr>
      <w:tr w:rsidR="004660D6" w:rsidRPr="005734B8" w14:paraId="5C8A99CB" w14:textId="77777777" w:rsidTr="0078384A">
        <w:trPr>
          <w:cantSplit/>
        </w:trPr>
        <w:tc>
          <w:tcPr>
            <w:tcW w:w="2727" w:type="dxa"/>
            <w:tcBorders>
              <w:top w:val="single" w:sz="4" w:space="0" w:color="53565A" w:themeColor="accent5"/>
              <w:bottom w:val="single" w:sz="4" w:space="0" w:color="53565A" w:themeColor="accent5"/>
            </w:tcBorders>
            <w:shd w:val="clear" w:color="auto" w:fill="F2F2F2" w:themeFill="background1" w:themeFillShade="F2"/>
          </w:tcPr>
          <w:p w14:paraId="1C8B5C77" w14:textId="77777777" w:rsidR="004660D6" w:rsidRPr="005734B8" w:rsidRDefault="004660D6" w:rsidP="004660D6">
            <w:pPr>
              <w:pStyle w:val="ESTablebody"/>
              <w:rPr>
                <w:rFonts w:ascii="Calibri" w:hAnsi="Calibri" w:cs="Calibri"/>
                <w:sz w:val="18"/>
              </w:rPr>
            </w:pPr>
            <w:r w:rsidRPr="005734B8">
              <w:rPr>
                <w:rFonts w:ascii="Calibri" w:hAnsi="Calibri" w:cs="Calibri"/>
                <w:sz w:val="18"/>
              </w:rPr>
              <w:t>$440,000 – $459,999</w:t>
            </w:r>
          </w:p>
        </w:tc>
        <w:tc>
          <w:tcPr>
            <w:tcW w:w="1157" w:type="dxa"/>
            <w:tcBorders>
              <w:top w:val="single" w:sz="4" w:space="0" w:color="53565A" w:themeColor="accent5"/>
              <w:bottom w:val="single" w:sz="4" w:space="0" w:color="53565A" w:themeColor="accent5"/>
            </w:tcBorders>
            <w:shd w:val="clear" w:color="auto" w:fill="F2F2F2" w:themeFill="background1" w:themeFillShade="F2"/>
          </w:tcPr>
          <w:p w14:paraId="2967118E" w14:textId="32B1EA79" w:rsidR="004660D6" w:rsidRPr="005734B8" w:rsidRDefault="002B5648" w:rsidP="004660D6">
            <w:pPr>
              <w:pStyle w:val="ESTablebody"/>
              <w:jc w:val="center"/>
              <w:rPr>
                <w:rFonts w:ascii="Calibri" w:hAnsi="Calibri" w:cs="Calibri"/>
                <w:sz w:val="18"/>
                <w:lang w:val="en-AU"/>
              </w:rPr>
            </w:pPr>
            <w:r w:rsidRPr="005734B8">
              <w:rPr>
                <w:rFonts w:ascii="Calibri" w:hAnsi="Calibri" w:cs="Calibri"/>
                <w:sz w:val="16"/>
                <w:szCs w:val="16"/>
              </w:rPr>
              <w:t>–</w:t>
            </w: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721943A2" w14:textId="79239A22" w:rsidR="004660D6" w:rsidRPr="005734B8" w:rsidRDefault="002B5648" w:rsidP="004660D6">
            <w:pPr>
              <w:pStyle w:val="ESTablebody"/>
              <w:jc w:val="center"/>
              <w:rPr>
                <w:rFonts w:ascii="Calibri" w:hAnsi="Calibri" w:cs="Calibri"/>
                <w:sz w:val="18"/>
                <w:lang w:val="en-AU"/>
              </w:rPr>
            </w:pPr>
            <w:r w:rsidRPr="005734B8">
              <w:rPr>
                <w:rFonts w:ascii="Calibri" w:hAnsi="Calibri" w:cs="Calibri"/>
                <w:sz w:val="16"/>
                <w:szCs w:val="16"/>
              </w:rPr>
              <w:t>–</w:t>
            </w:r>
          </w:p>
        </w:tc>
        <w:tc>
          <w:tcPr>
            <w:tcW w:w="784" w:type="dxa"/>
            <w:tcBorders>
              <w:top w:val="single" w:sz="4" w:space="0" w:color="53565A" w:themeColor="accent5"/>
              <w:bottom w:val="single" w:sz="4" w:space="0" w:color="53565A" w:themeColor="accent5"/>
            </w:tcBorders>
            <w:shd w:val="clear" w:color="auto" w:fill="F2F2F2" w:themeFill="background1" w:themeFillShade="F2"/>
          </w:tcPr>
          <w:p w14:paraId="4E448FE4" w14:textId="321EDD66"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9" w:type="dxa"/>
            <w:tcBorders>
              <w:top w:val="single" w:sz="4" w:space="0" w:color="53565A" w:themeColor="accent5"/>
              <w:bottom w:val="single" w:sz="4" w:space="0" w:color="53565A" w:themeColor="accent5"/>
            </w:tcBorders>
            <w:shd w:val="clear" w:color="auto" w:fill="F2F2F2" w:themeFill="background1" w:themeFillShade="F2"/>
          </w:tcPr>
          <w:p w14:paraId="3751095A" w14:textId="3155BD84"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3AE08E46" w14:textId="2562D41D"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91" w:type="dxa"/>
            <w:tcBorders>
              <w:top w:val="single" w:sz="4" w:space="0" w:color="53565A" w:themeColor="accent5"/>
              <w:bottom w:val="single" w:sz="4" w:space="0" w:color="53565A" w:themeColor="accent5"/>
            </w:tcBorders>
            <w:shd w:val="clear" w:color="auto" w:fill="F2F2F2" w:themeFill="background1" w:themeFillShade="F2"/>
          </w:tcPr>
          <w:p w14:paraId="53BEDF55" w14:textId="7218F001" w:rsidR="004660D6" w:rsidRPr="005734B8" w:rsidRDefault="002B5648" w:rsidP="004660D6">
            <w:pPr>
              <w:pStyle w:val="ESTablebody"/>
              <w:jc w:val="right"/>
              <w:rPr>
                <w:rFonts w:ascii="Calibri" w:hAnsi="Calibri" w:cs="Calibri"/>
                <w:color w:val="FF0000"/>
                <w:sz w:val="18"/>
              </w:rPr>
            </w:pPr>
            <w:r w:rsidRPr="005734B8">
              <w:rPr>
                <w:rFonts w:ascii="Calibri" w:hAnsi="Calibri" w:cs="Calibri"/>
                <w:sz w:val="16"/>
                <w:szCs w:val="16"/>
              </w:rPr>
              <w:t>–</w:t>
            </w:r>
          </w:p>
        </w:tc>
      </w:tr>
      <w:tr w:rsidR="004660D6" w:rsidRPr="005734B8" w14:paraId="643D96F0" w14:textId="77777777" w:rsidTr="0078384A">
        <w:trPr>
          <w:cantSplit/>
        </w:trPr>
        <w:tc>
          <w:tcPr>
            <w:tcW w:w="2727" w:type="dxa"/>
            <w:tcBorders>
              <w:top w:val="single" w:sz="4" w:space="0" w:color="53565A" w:themeColor="accent5"/>
              <w:bottom w:val="single" w:sz="4" w:space="0" w:color="53565A" w:themeColor="accent5"/>
            </w:tcBorders>
            <w:shd w:val="clear" w:color="auto" w:fill="auto"/>
          </w:tcPr>
          <w:p w14:paraId="4C3AD963" w14:textId="77777777" w:rsidR="004660D6" w:rsidRPr="005734B8" w:rsidRDefault="004660D6" w:rsidP="004660D6">
            <w:pPr>
              <w:pStyle w:val="ESTablebody"/>
              <w:rPr>
                <w:rFonts w:ascii="Calibri" w:hAnsi="Calibri" w:cs="Calibri"/>
                <w:sz w:val="18"/>
              </w:rPr>
            </w:pPr>
            <w:r w:rsidRPr="005734B8">
              <w:rPr>
                <w:rFonts w:ascii="Calibri" w:hAnsi="Calibri" w:cs="Calibri"/>
                <w:sz w:val="18"/>
              </w:rPr>
              <w:t>$460,000 – $479,999</w:t>
            </w:r>
          </w:p>
        </w:tc>
        <w:tc>
          <w:tcPr>
            <w:tcW w:w="1157" w:type="dxa"/>
            <w:tcBorders>
              <w:top w:val="single" w:sz="4" w:space="0" w:color="53565A" w:themeColor="accent5"/>
              <w:bottom w:val="single" w:sz="4" w:space="0" w:color="53565A" w:themeColor="accent5"/>
            </w:tcBorders>
          </w:tcPr>
          <w:p w14:paraId="08B2803D" w14:textId="48BA53F7" w:rsidR="004660D6" w:rsidRPr="005734B8" w:rsidRDefault="002B5648" w:rsidP="004660D6">
            <w:pPr>
              <w:pStyle w:val="ESTablebody"/>
              <w:jc w:val="center"/>
              <w:rPr>
                <w:rFonts w:ascii="Calibri" w:hAnsi="Calibri" w:cs="Calibri"/>
                <w:sz w:val="18"/>
                <w:lang w:val="en-AU"/>
              </w:rPr>
            </w:pPr>
            <w:r w:rsidRPr="005734B8">
              <w:rPr>
                <w:rFonts w:ascii="Calibri" w:hAnsi="Calibri" w:cs="Calibri"/>
                <w:sz w:val="16"/>
                <w:szCs w:val="16"/>
              </w:rPr>
              <w:t>–</w:t>
            </w:r>
          </w:p>
        </w:tc>
        <w:tc>
          <w:tcPr>
            <w:tcW w:w="788" w:type="dxa"/>
            <w:tcBorders>
              <w:top w:val="single" w:sz="4" w:space="0" w:color="53565A" w:themeColor="accent5"/>
              <w:bottom w:val="single" w:sz="4" w:space="0" w:color="53565A" w:themeColor="accent5"/>
            </w:tcBorders>
          </w:tcPr>
          <w:p w14:paraId="42EE4C66" w14:textId="6BEABB55" w:rsidR="004660D6" w:rsidRPr="005734B8" w:rsidRDefault="002B5648" w:rsidP="004660D6">
            <w:pPr>
              <w:pStyle w:val="ESTablebody"/>
              <w:jc w:val="center"/>
              <w:rPr>
                <w:rFonts w:ascii="Calibri" w:hAnsi="Calibri" w:cs="Calibri"/>
                <w:sz w:val="18"/>
                <w:lang w:val="en-AU"/>
              </w:rPr>
            </w:pPr>
            <w:r w:rsidRPr="005734B8">
              <w:rPr>
                <w:rFonts w:ascii="Calibri" w:hAnsi="Calibri" w:cs="Calibri"/>
                <w:sz w:val="16"/>
                <w:szCs w:val="16"/>
              </w:rPr>
              <w:t>–</w:t>
            </w:r>
          </w:p>
        </w:tc>
        <w:tc>
          <w:tcPr>
            <w:tcW w:w="784" w:type="dxa"/>
            <w:tcBorders>
              <w:top w:val="single" w:sz="4" w:space="0" w:color="53565A" w:themeColor="accent5"/>
              <w:bottom w:val="single" w:sz="4" w:space="0" w:color="53565A" w:themeColor="accent5"/>
            </w:tcBorders>
          </w:tcPr>
          <w:p w14:paraId="4AF5AD49" w14:textId="652065E6"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9" w:type="dxa"/>
            <w:tcBorders>
              <w:top w:val="single" w:sz="4" w:space="0" w:color="53565A" w:themeColor="accent5"/>
              <w:bottom w:val="single" w:sz="4" w:space="0" w:color="53565A" w:themeColor="accent5"/>
            </w:tcBorders>
          </w:tcPr>
          <w:p w14:paraId="4E05A741" w14:textId="41542C4C"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8" w:type="dxa"/>
            <w:tcBorders>
              <w:top w:val="single" w:sz="4" w:space="0" w:color="53565A" w:themeColor="accent5"/>
              <w:bottom w:val="single" w:sz="4" w:space="0" w:color="53565A" w:themeColor="accent5"/>
            </w:tcBorders>
          </w:tcPr>
          <w:p w14:paraId="49EE4B5E" w14:textId="5B7025E3"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91" w:type="dxa"/>
            <w:tcBorders>
              <w:top w:val="single" w:sz="4" w:space="0" w:color="53565A" w:themeColor="accent5"/>
              <w:bottom w:val="single" w:sz="4" w:space="0" w:color="53565A" w:themeColor="accent5"/>
            </w:tcBorders>
            <w:shd w:val="clear" w:color="auto" w:fill="auto"/>
          </w:tcPr>
          <w:p w14:paraId="55CE3E6C" w14:textId="41BC5D50" w:rsidR="004660D6" w:rsidRPr="005734B8" w:rsidRDefault="002B5648" w:rsidP="004660D6">
            <w:pPr>
              <w:pStyle w:val="ESTablebody"/>
              <w:jc w:val="right"/>
              <w:rPr>
                <w:rFonts w:ascii="Calibri" w:hAnsi="Calibri" w:cs="Calibri"/>
                <w:color w:val="FF0000"/>
                <w:sz w:val="18"/>
              </w:rPr>
            </w:pPr>
            <w:r w:rsidRPr="005734B8">
              <w:rPr>
                <w:rFonts w:ascii="Calibri" w:hAnsi="Calibri" w:cs="Calibri"/>
                <w:sz w:val="16"/>
                <w:szCs w:val="16"/>
              </w:rPr>
              <w:t>–</w:t>
            </w:r>
          </w:p>
        </w:tc>
      </w:tr>
      <w:tr w:rsidR="004660D6" w:rsidRPr="005734B8" w14:paraId="722F0838" w14:textId="77777777" w:rsidTr="0078384A">
        <w:trPr>
          <w:cantSplit/>
        </w:trPr>
        <w:tc>
          <w:tcPr>
            <w:tcW w:w="2727" w:type="dxa"/>
            <w:tcBorders>
              <w:top w:val="single" w:sz="4" w:space="0" w:color="53565A" w:themeColor="accent5"/>
              <w:bottom w:val="single" w:sz="4" w:space="0" w:color="53565A" w:themeColor="accent5"/>
            </w:tcBorders>
            <w:shd w:val="clear" w:color="auto" w:fill="F2F2F2" w:themeFill="background1" w:themeFillShade="F2"/>
          </w:tcPr>
          <w:p w14:paraId="29D46FFF" w14:textId="77777777" w:rsidR="004660D6" w:rsidRPr="005734B8" w:rsidRDefault="004660D6" w:rsidP="004660D6">
            <w:pPr>
              <w:pStyle w:val="ESTablebody"/>
              <w:rPr>
                <w:rFonts w:ascii="Calibri" w:hAnsi="Calibri" w:cs="Calibri"/>
                <w:sz w:val="18"/>
              </w:rPr>
            </w:pPr>
            <w:r w:rsidRPr="005734B8">
              <w:rPr>
                <w:rFonts w:ascii="Calibri" w:hAnsi="Calibri" w:cs="Calibri"/>
                <w:sz w:val="18"/>
              </w:rPr>
              <w:t>$480,000 – $499,999</w:t>
            </w:r>
          </w:p>
        </w:tc>
        <w:tc>
          <w:tcPr>
            <w:tcW w:w="1157" w:type="dxa"/>
            <w:tcBorders>
              <w:top w:val="single" w:sz="4" w:space="0" w:color="53565A" w:themeColor="accent5"/>
              <w:bottom w:val="single" w:sz="4" w:space="0" w:color="53565A" w:themeColor="accent5"/>
            </w:tcBorders>
            <w:shd w:val="clear" w:color="auto" w:fill="F2F2F2" w:themeFill="background1" w:themeFillShade="F2"/>
          </w:tcPr>
          <w:p w14:paraId="55D9584F" w14:textId="7CB98303" w:rsidR="004660D6" w:rsidRPr="005734B8" w:rsidRDefault="002B5648" w:rsidP="004660D6">
            <w:pPr>
              <w:pStyle w:val="ESTablebody"/>
              <w:jc w:val="center"/>
              <w:rPr>
                <w:rFonts w:ascii="Calibri" w:hAnsi="Calibri" w:cs="Calibri"/>
                <w:sz w:val="18"/>
                <w:lang w:val="en-AU"/>
              </w:rPr>
            </w:pPr>
            <w:r w:rsidRPr="005734B8">
              <w:rPr>
                <w:rFonts w:ascii="Calibri" w:hAnsi="Calibri" w:cs="Calibri"/>
                <w:sz w:val="16"/>
                <w:szCs w:val="16"/>
              </w:rPr>
              <w:t>–</w:t>
            </w: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0E1DC444" w14:textId="4D0DCA6A" w:rsidR="004660D6" w:rsidRPr="005734B8" w:rsidRDefault="002B5648" w:rsidP="004660D6">
            <w:pPr>
              <w:pStyle w:val="ESTablebody"/>
              <w:jc w:val="center"/>
              <w:rPr>
                <w:rFonts w:ascii="Calibri" w:hAnsi="Calibri" w:cs="Calibri"/>
                <w:sz w:val="18"/>
                <w:lang w:val="en-AU"/>
              </w:rPr>
            </w:pPr>
            <w:r w:rsidRPr="005734B8">
              <w:rPr>
                <w:rFonts w:ascii="Calibri" w:hAnsi="Calibri" w:cs="Calibri"/>
                <w:sz w:val="16"/>
                <w:szCs w:val="16"/>
              </w:rPr>
              <w:t>–</w:t>
            </w:r>
          </w:p>
        </w:tc>
        <w:tc>
          <w:tcPr>
            <w:tcW w:w="784" w:type="dxa"/>
            <w:tcBorders>
              <w:top w:val="single" w:sz="4" w:space="0" w:color="53565A" w:themeColor="accent5"/>
              <w:bottom w:val="single" w:sz="4" w:space="0" w:color="53565A" w:themeColor="accent5"/>
            </w:tcBorders>
            <w:shd w:val="clear" w:color="auto" w:fill="F2F2F2" w:themeFill="background1" w:themeFillShade="F2"/>
          </w:tcPr>
          <w:p w14:paraId="26FF17F5" w14:textId="26F20C36"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9" w:type="dxa"/>
            <w:tcBorders>
              <w:top w:val="single" w:sz="4" w:space="0" w:color="53565A" w:themeColor="accent5"/>
              <w:bottom w:val="single" w:sz="4" w:space="0" w:color="53565A" w:themeColor="accent5"/>
            </w:tcBorders>
            <w:shd w:val="clear" w:color="auto" w:fill="F2F2F2" w:themeFill="background1" w:themeFillShade="F2"/>
          </w:tcPr>
          <w:p w14:paraId="2346CEC6" w14:textId="5534340D"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6E774151" w14:textId="786A6EFF" w:rsidR="004660D6" w:rsidRPr="005734B8" w:rsidRDefault="002B5648" w:rsidP="004660D6">
            <w:pPr>
              <w:pStyle w:val="ESTablebody"/>
              <w:jc w:val="right"/>
              <w:rPr>
                <w:rFonts w:ascii="Calibri" w:hAnsi="Calibri" w:cs="Calibri"/>
                <w:color w:val="FF0000"/>
                <w:sz w:val="18"/>
                <w:lang w:val="en-AU"/>
              </w:rPr>
            </w:pPr>
            <w:r w:rsidRPr="005734B8">
              <w:rPr>
                <w:rFonts w:ascii="Calibri" w:hAnsi="Calibri" w:cs="Calibri"/>
                <w:sz w:val="16"/>
                <w:szCs w:val="16"/>
              </w:rPr>
              <w:t>–</w:t>
            </w:r>
          </w:p>
        </w:tc>
        <w:tc>
          <w:tcPr>
            <w:tcW w:w="791" w:type="dxa"/>
            <w:tcBorders>
              <w:top w:val="single" w:sz="4" w:space="0" w:color="53565A" w:themeColor="accent5"/>
              <w:bottom w:val="single" w:sz="4" w:space="0" w:color="53565A" w:themeColor="accent5"/>
            </w:tcBorders>
            <w:shd w:val="clear" w:color="auto" w:fill="F2F2F2" w:themeFill="background1" w:themeFillShade="F2"/>
          </w:tcPr>
          <w:p w14:paraId="7011B3E3" w14:textId="72548C6B" w:rsidR="004660D6" w:rsidRPr="005734B8" w:rsidRDefault="002B5648" w:rsidP="004660D6">
            <w:pPr>
              <w:pStyle w:val="ESTablebody"/>
              <w:jc w:val="right"/>
              <w:rPr>
                <w:rFonts w:ascii="Calibri" w:hAnsi="Calibri" w:cs="Calibri"/>
                <w:color w:val="FF0000"/>
                <w:sz w:val="18"/>
              </w:rPr>
            </w:pPr>
            <w:r w:rsidRPr="005734B8">
              <w:rPr>
                <w:rFonts w:ascii="Calibri" w:hAnsi="Calibri" w:cs="Calibri"/>
                <w:sz w:val="16"/>
                <w:szCs w:val="16"/>
              </w:rPr>
              <w:t>–</w:t>
            </w:r>
          </w:p>
        </w:tc>
      </w:tr>
      <w:tr w:rsidR="004660D6" w:rsidRPr="005734B8" w14:paraId="185F93B7" w14:textId="77777777" w:rsidTr="004660D6">
        <w:trPr>
          <w:cantSplit/>
        </w:trPr>
        <w:tc>
          <w:tcPr>
            <w:tcW w:w="2727" w:type="dxa"/>
            <w:tcBorders>
              <w:top w:val="single" w:sz="18" w:space="0" w:color="53565A" w:themeColor="accent5"/>
              <w:bottom w:val="single" w:sz="18" w:space="0" w:color="53565A" w:themeColor="accent5"/>
            </w:tcBorders>
            <w:shd w:val="clear" w:color="auto" w:fill="auto"/>
            <w:vAlign w:val="center"/>
          </w:tcPr>
          <w:p w14:paraId="115B36D2" w14:textId="77777777" w:rsidR="004660D6" w:rsidRPr="005734B8" w:rsidRDefault="004660D6" w:rsidP="004660D6">
            <w:pPr>
              <w:pStyle w:val="ESTablebody"/>
              <w:rPr>
                <w:rFonts w:ascii="Calibri" w:hAnsi="Calibri" w:cs="Calibri"/>
                <w:sz w:val="18"/>
              </w:rPr>
            </w:pPr>
            <w:r w:rsidRPr="005734B8">
              <w:rPr>
                <w:rFonts w:ascii="Calibri" w:eastAsia="Times New Roman" w:hAnsi="Calibri" w:cs="Calibri"/>
                <w:b/>
                <w:sz w:val="18"/>
                <w:lang w:val="en-AU"/>
              </w:rPr>
              <w:t>Total</w:t>
            </w:r>
          </w:p>
        </w:tc>
        <w:tc>
          <w:tcPr>
            <w:tcW w:w="1157" w:type="dxa"/>
            <w:tcBorders>
              <w:top w:val="single" w:sz="18" w:space="0" w:color="53565A" w:themeColor="accent5"/>
              <w:bottom w:val="single" w:sz="18" w:space="0" w:color="53565A" w:themeColor="accent5"/>
            </w:tcBorders>
            <w:vAlign w:val="center"/>
          </w:tcPr>
          <w:p w14:paraId="7352CE1C" w14:textId="77777777" w:rsidR="004660D6" w:rsidRPr="005734B8" w:rsidRDefault="004660D6" w:rsidP="004660D6">
            <w:pPr>
              <w:pStyle w:val="ESTablebody"/>
              <w:jc w:val="center"/>
              <w:rPr>
                <w:rFonts w:ascii="Calibri" w:hAnsi="Calibri" w:cs="Calibri"/>
                <w:b/>
                <w:color w:val="FF0000"/>
                <w:sz w:val="18"/>
                <w:lang w:val="en-AU"/>
              </w:rPr>
            </w:pPr>
            <w:r w:rsidRPr="005734B8">
              <w:rPr>
                <w:rFonts w:ascii="Calibri" w:eastAsia="Times New Roman" w:hAnsi="Calibri" w:cs="Calibri"/>
                <w:b/>
                <w:bCs/>
                <w:color w:val="000000"/>
                <w:sz w:val="18"/>
                <w:lang w:eastAsia="en-AU"/>
              </w:rPr>
              <w:t>92</w:t>
            </w:r>
          </w:p>
        </w:tc>
        <w:tc>
          <w:tcPr>
            <w:tcW w:w="788" w:type="dxa"/>
            <w:tcBorders>
              <w:top w:val="single" w:sz="18" w:space="0" w:color="53565A" w:themeColor="accent5"/>
              <w:bottom w:val="single" w:sz="18" w:space="0" w:color="53565A" w:themeColor="accent5"/>
            </w:tcBorders>
            <w:vAlign w:val="center"/>
          </w:tcPr>
          <w:p w14:paraId="4AB9EE60" w14:textId="77777777" w:rsidR="004660D6" w:rsidRPr="005734B8" w:rsidRDefault="004660D6" w:rsidP="004660D6">
            <w:pPr>
              <w:pStyle w:val="ESTablebody"/>
              <w:jc w:val="center"/>
              <w:rPr>
                <w:rFonts w:ascii="Calibri" w:hAnsi="Calibri" w:cs="Calibri"/>
                <w:b/>
                <w:color w:val="FF0000"/>
                <w:sz w:val="18"/>
                <w:lang w:val="en-AU"/>
              </w:rPr>
            </w:pPr>
            <w:r w:rsidRPr="005734B8">
              <w:rPr>
                <w:rFonts w:ascii="Calibri" w:eastAsia="Times New Roman" w:hAnsi="Calibri" w:cs="Calibri"/>
                <w:b/>
                <w:bCs/>
                <w:color w:val="000000"/>
                <w:sz w:val="18"/>
                <w:lang w:eastAsia="en-AU"/>
              </w:rPr>
              <w:t>28</w:t>
            </w:r>
          </w:p>
        </w:tc>
        <w:tc>
          <w:tcPr>
            <w:tcW w:w="784" w:type="dxa"/>
            <w:tcBorders>
              <w:top w:val="single" w:sz="18" w:space="0" w:color="53565A" w:themeColor="accent5"/>
              <w:bottom w:val="single" w:sz="18" w:space="0" w:color="53565A" w:themeColor="accent5"/>
            </w:tcBorders>
          </w:tcPr>
          <w:p w14:paraId="59FAA96C" w14:textId="00AFB268" w:rsidR="004660D6" w:rsidRPr="005734B8" w:rsidRDefault="002B5648" w:rsidP="004660D6">
            <w:pPr>
              <w:pStyle w:val="ESTablebody"/>
              <w:jc w:val="right"/>
              <w:rPr>
                <w:rFonts w:ascii="Calibri" w:hAnsi="Calibri" w:cs="Calibri"/>
                <w:b/>
                <w:color w:val="FF0000"/>
                <w:sz w:val="18"/>
                <w:lang w:val="en-AU"/>
              </w:rPr>
            </w:pPr>
            <w:r w:rsidRPr="005734B8">
              <w:rPr>
                <w:rFonts w:ascii="Calibri" w:hAnsi="Calibri" w:cs="Calibri"/>
                <w:b/>
                <w:bCs/>
                <w:sz w:val="16"/>
                <w:szCs w:val="16"/>
              </w:rPr>
              <w:t>–</w:t>
            </w:r>
          </w:p>
        </w:tc>
        <w:tc>
          <w:tcPr>
            <w:tcW w:w="789" w:type="dxa"/>
            <w:tcBorders>
              <w:top w:val="single" w:sz="18" w:space="0" w:color="53565A" w:themeColor="accent5"/>
              <w:bottom w:val="single" w:sz="18" w:space="0" w:color="53565A" w:themeColor="accent5"/>
            </w:tcBorders>
          </w:tcPr>
          <w:p w14:paraId="00427831" w14:textId="6F5BFFC4" w:rsidR="004660D6" w:rsidRPr="005734B8" w:rsidRDefault="002B5648" w:rsidP="004660D6">
            <w:pPr>
              <w:pStyle w:val="ESTablebody"/>
              <w:jc w:val="right"/>
              <w:rPr>
                <w:rFonts w:ascii="Calibri" w:hAnsi="Calibri" w:cs="Calibri"/>
                <w:b/>
                <w:color w:val="FF0000"/>
                <w:sz w:val="18"/>
                <w:lang w:val="en-AU"/>
              </w:rPr>
            </w:pPr>
            <w:r w:rsidRPr="005734B8">
              <w:rPr>
                <w:rFonts w:ascii="Calibri" w:hAnsi="Calibri" w:cs="Calibri"/>
                <w:b/>
                <w:bCs/>
                <w:sz w:val="16"/>
                <w:szCs w:val="16"/>
              </w:rPr>
              <w:t>–</w:t>
            </w:r>
          </w:p>
        </w:tc>
        <w:tc>
          <w:tcPr>
            <w:tcW w:w="788" w:type="dxa"/>
            <w:tcBorders>
              <w:top w:val="single" w:sz="18" w:space="0" w:color="53565A" w:themeColor="accent5"/>
              <w:bottom w:val="single" w:sz="18" w:space="0" w:color="53565A" w:themeColor="accent5"/>
            </w:tcBorders>
          </w:tcPr>
          <w:p w14:paraId="1109AF1E" w14:textId="3770070E" w:rsidR="004660D6" w:rsidRPr="005734B8" w:rsidRDefault="002B5648" w:rsidP="004660D6">
            <w:pPr>
              <w:pStyle w:val="ESTablebody"/>
              <w:jc w:val="right"/>
              <w:rPr>
                <w:rFonts w:ascii="Calibri" w:hAnsi="Calibri" w:cs="Calibri"/>
                <w:b/>
                <w:color w:val="FF0000"/>
                <w:sz w:val="18"/>
                <w:lang w:val="en-AU"/>
              </w:rPr>
            </w:pPr>
            <w:r w:rsidRPr="005734B8">
              <w:rPr>
                <w:rFonts w:ascii="Calibri" w:hAnsi="Calibri" w:cs="Calibri"/>
                <w:b/>
                <w:bCs/>
                <w:sz w:val="16"/>
                <w:szCs w:val="16"/>
              </w:rPr>
              <w:t>–</w:t>
            </w:r>
          </w:p>
        </w:tc>
        <w:tc>
          <w:tcPr>
            <w:tcW w:w="791" w:type="dxa"/>
            <w:tcBorders>
              <w:top w:val="single" w:sz="18" w:space="0" w:color="53565A" w:themeColor="accent5"/>
              <w:bottom w:val="single" w:sz="18" w:space="0" w:color="53565A" w:themeColor="accent5"/>
            </w:tcBorders>
            <w:shd w:val="clear" w:color="auto" w:fill="auto"/>
          </w:tcPr>
          <w:p w14:paraId="3B8FD809" w14:textId="5FCB650C" w:rsidR="004660D6" w:rsidRPr="005734B8" w:rsidRDefault="002B5648" w:rsidP="004660D6">
            <w:pPr>
              <w:pStyle w:val="ESTablebody"/>
              <w:jc w:val="right"/>
              <w:rPr>
                <w:rFonts w:ascii="Calibri" w:hAnsi="Calibri" w:cs="Calibri"/>
                <w:b/>
                <w:color w:val="FF0000"/>
                <w:sz w:val="18"/>
              </w:rPr>
            </w:pPr>
            <w:r w:rsidRPr="005734B8">
              <w:rPr>
                <w:rFonts w:ascii="Calibri" w:hAnsi="Calibri" w:cs="Calibri"/>
                <w:b/>
                <w:bCs/>
                <w:sz w:val="16"/>
                <w:szCs w:val="16"/>
              </w:rPr>
              <w:t>–</w:t>
            </w:r>
          </w:p>
        </w:tc>
      </w:tr>
    </w:tbl>
    <w:p w14:paraId="77325A89" w14:textId="77777777" w:rsidR="00EA052B" w:rsidRPr="005734B8" w:rsidRDefault="00EA052B" w:rsidP="001D6E3A">
      <w:pPr>
        <w:rPr>
          <w:rFonts w:ascii="Calibri" w:hAnsi="Calibri" w:cs="Calibri"/>
          <w:highlight w:val="yellow"/>
        </w:rPr>
      </w:pPr>
    </w:p>
    <w:p w14:paraId="5694FFA4" w14:textId="77777777" w:rsidR="006E244E" w:rsidRPr="005734B8" w:rsidRDefault="006E244E">
      <w:pPr>
        <w:rPr>
          <w:rFonts w:ascii="Calibri" w:hAnsi="Calibri" w:cs="Calibri"/>
          <w:highlight w:val="yellow"/>
        </w:rPr>
      </w:pPr>
      <w:r w:rsidRPr="005734B8">
        <w:rPr>
          <w:rFonts w:ascii="Calibri" w:hAnsi="Calibri" w:cs="Calibri"/>
          <w:highlight w:val="yellow"/>
        </w:rPr>
        <w:br w:type="page"/>
      </w:r>
    </w:p>
    <w:p w14:paraId="4308876F" w14:textId="4AEFCA16" w:rsidR="004660D6" w:rsidRPr="005734B8" w:rsidRDefault="004660D6" w:rsidP="004660D6">
      <w:pPr>
        <w:pStyle w:val="ESHeading2"/>
        <w:rPr>
          <w:rFonts w:ascii="Calibri" w:hAnsi="Calibri" w:cs="Calibri"/>
        </w:rPr>
      </w:pPr>
      <w:bookmarkStart w:id="625" w:name="_Toc11158235"/>
      <w:bookmarkStart w:id="626" w:name="_Toc11336242"/>
      <w:bookmarkStart w:id="627" w:name="_Toc13656682"/>
      <w:bookmarkStart w:id="628" w:name="_Toc14965468"/>
      <w:bookmarkStart w:id="629" w:name="_Toc15985268"/>
      <w:bookmarkStart w:id="630" w:name="_Toc19272046"/>
      <w:bookmarkStart w:id="631" w:name="_Toc19272412"/>
      <w:bookmarkStart w:id="632" w:name="_Toc19273747"/>
      <w:bookmarkStart w:id="633" w:name="_Toc48402788"/>
      <w:bookmarkStart w:id="634" w:name="_Toc48403025"/>
      <w:bookmarkStart w:id="635" w:name="_Toc51332768"/>
      <w:bookmarkStart w:id="636" w:name="_Toc71037322"/>
      <w:bookmarkStart w:id="637" w:name="_Toc81315332"/>
      <w:r w:rsidRPr="005734B8">
        <w:rPr>
          <w:rFonts w:ascii="Calibri" w:hAnsi="Calibri" w:cs="Calibri"/>
        </w:rPr>
        <w:lastRenderedPageBreak/>
        <w:t>Workforce inclusion</w:t>
      </w:r>
      <w:bookmarkEnd w:id="625"/>
      <w:bookmarkEnd w:id="626"/>
      <w:bookmarkEnd w:id="627"/>
      <w:bookmarkEnd w:id="628"/>
      <w:bookmarkEnd w:id="629"/>
      <w:bookmarkEnd w:id="630"/>
      <w:bookmarkEnd w:id="631"/>
      <w:bookmarkEnd w:id="632"/>
      <w:bookmarkEnd w:id="633"/>
      <w:bookmarkEnd w:id="634"/>
      <w:bookmarkEnd w:id="635"/>
      <w:bookmarkEnd w:id="636"/>
      <w:bookmarkEnd w:id="637"/>
    </w:p>
    <w:p w14:paraId="394095C6" w14:textId="3926657C" w:rsidR="004660D6" w:rsidRPr="005734B8" w:rsidRDefault="004660D6" w:rsidP="004660D6">
      <w:pPr>
        <w:rPr>
          <w:rFonts w:ascii="Calibri" w:hAnsi="Calibri" w:cs="Calibri"/>
        </w:rPr>
      </w:pPr>
      <w:bookmarkStart w:id="638" w:name="_Hlk46308381"/>
      <w:r w:rsidRPr="005734B8">
        <w:rPr>
          <w:rFonts w:ascii="Calibri" w:hAnsi="Calibri" w:cs="Calibri"/>
        </w:rPr>
        <w:t xml:space="preserve">The Department is creating an inclusive working environment where equal opportunity and diversity are valued, and </w:t>
      </w:r>
      <w:r w:rsidR="00933D90" w:rsidRPr="005734B8">
        <w:rPr>
          <w:rFonts w:ascii="Calibri" w:hAnsi="Calibri" w:cs="Calibri"/>
        </w:rPr>
        <w:t>where the workforce</w:t>
      </w:r>
      <w:r w:rsidRPr="005734B8">
        <w:rPr>
          <w:rFonts w:ascii="Calibri" w:hAnsi="Calibri" w:cs="Calibri"/>
        </w:rPr>
        <w:t xml:space="preserve"> reflects the communities we serve.</w:t>
      </w:r>
      <w:r w:rsidRPr="005734B8" w:rsidDel="00E76EE8">
        <w:rPr>
          <w:rFonts w:ascii="Calibri" w:hAnsi="Calibri" w:cs="Calibri"/>
        </w:rPr>
        <w:t xml:space="preserve"> </w:t>
      </w:r>
      <w:r w:rsidRPr="005734B8">
        <w:rPr>
          <w:rFonts w:ascii="Calibri" w:hAnsi="Calibri" w:cs="Calibri"/>
        </w:rPr>
        <w:t>The Department</w:t>
      </w:r>
      <w:r w:rsidR="00C85541" w:rsidRPr="005734B8">
        <w:rPr>
          <w:rFonts w:ascii="Calibri" w:hAnsi="Calibri" w:cs="Calibri"/>
        </w:rPr>
        <w:t>’</w:t>
      </w:r>
      <w:r w:rsidRPr="005734B8">
        <w:rPr>
          <w:rFonts w:ascii="Calibri" w:hAnsi="Calibri" w:cs="Calibri"/>
        </w:rPr>
        <w:t xml:space="preserve">s policies and practices encourage people of all backgrounds to pursue challenging and rewarding public sector careers at all levels in the Department. Staff are valued and supported regardless of their age, ethnicity, race, abilities, religion, socioeconomic status, culture, sex, sexual orientation, and gender identity. </w:t>
      </w:r>
    </w:p>
    <w:p w14:paraId="7DBEAEB5" w14:textId="77777777" w:rsidR="004660D6" w:rsidRPr="005734B8" w:rsidRDefault="004660D6" w:rsidP="004660D6">
      <w:pPr>
        <w:rPr>
          <w:rFonts w:ascii="Calibri" w:hAnsi="Calibri" w:cs="Calibri"/>
        </w:rPr>
      </w:pPr>
    </w:p>
    <w:p w14:paraId="17415788" w14:textId="5B140F8F" w:rsidR="004660D6" w:rsidRPr="005734B8" w:rsidRDefault="004660D6" w:rsidP="004660D6">
      <w:pPr>
        <w:rPr>
          <w:rFonts w:ascii="Calibri" w:hAnsi="Calibri" w:cs="Calibri"/>
        </w:rPr>
      </w:pPr>
      <w:r w:rsidRPr="005734B8">
        <w:rPr>
          <w:rFonts w:ascii="Calibri" w:eastAsia="Arial" w:hAnsi="Calibri" w:cs="Calibri"/>
          <w:color w:val="000000"/>
        </w:rPr>
        <w:t>Striving to meet whole</w:t>
      </w:r>
      <w:r w:rsidRPr="005734B8">
        <w:rPr>
          <w:rFonts w:ascii="Calibri" w:eastAsia="Arial" w:hAnsi="Calibri" w:cs="Calibri"/>
          <w:color w:val="000000"/>
        </w:rPr>
        <w:noBreakHyphen/>
        <w:t>of</w:t>
      </w:r>
      <w:r w:rsidRPr="005734B8">
        <w:rPr>
          <w:rFonts w:ascii="Calibri" w:eastAsia="Arial" w:hAnsi="Calibri" w:cs="Calibri"/>
          <w:color w:val="000000"/>
        </w:rPr>
        <w:noBreakHyphen/>
        <w:t>government employment targets is one way to ensure that the Victorian community is represented in the Department’s workforce.</w:t>
      </w:r>
      <w:r w:rsidRPr="005734B8">
        <w:rPr>
          <w:rFonts w:ascii="Calibri" w:hAnsi="Calibri" w:cs="Calibri"/>
        </w:rPr>
        <w:t xml:space="preserve"> </w:t>
      </w:r>
    </w:p>
    <w:p w14:paraId="40C7C6F6" w14:textId="77777777" w:rsidR="004660D6" w:rsidRPr="005734B8" w:rsidRDefault="004660D6" w:rsidP="004660D6">
      <w:pPr>
        <w:rPr>
          <w:rFonts w:ascii="Calibri" w:hAnsi="Calibri" w:cs="Calibri"/>
        </w:rPr>
      </w:pPr>
    </w:p>
    <w:p w14:paraId="4B289AF1" w14:textId="4B3E22C4" w:rsidR="004660D6" w:rsidRPr="005734B8" w:rsidRDefault="004660D6" w:rsidP="004660D6">
      <w:pPr>
        <w:rPr>
          <w:rFonts w:ascii="Calibri" w:hAnsi="Calibri" w:cs="Calibri"/>
        </w:rPr>
      </w:pPr>
      <w:r w:rsidRPr="005734B8">
        <w:rPr>
          <w:rFonts w:ascii="Calibri" w:hAnsi="Calibri" w:cs="Calibri"/>
        </w:rPr>
        <w:t>The Department values staff with non-binary gender identities at all levels</w:t>
      </w:r>
      <w:r w:rsidR="00751945" w:rsidRPr="005734B8">
        <w:rPr>
          <w:rFonts w:ascii="Calibri" w:hAnsi="Calibri" w:cs="Calibri"/>
        </w:rPr>
        <w:t>,</w:t>
      </w:r>
      <w:r w:rsidRPr="005734B8">
        <w:rPr>
          <w:rFonts w:ascii="Calibri" w:hAnsi="Calibri" w:cs="Calibri"/>
        </w:rPr>
        <w:t xml:space="preserve"> from VPS officers through </w:t>
      </w:r>
      <w:r w:rsidR="004E5016" w:rsidRPr="005734B8">
        <w:rPr>
          <w:rFonts w:ascii="Calibri" w:hAnsi="Calibri" w:cs="Calibri"/>
        </w:rPr>
        <w:t xml:space="preserve">to </w:t>
      </w:r>
      <w:r w:rsidRPr="005734B8">
        <w:rPr>
          <w:rFonts w:ascii="Calibri" w:hAnsi="Calibri" w:cs="Calibri"/>
        </w:rPr>
        <w:t>executives. The Department acknowledges that</w:t>
      </w:r>
      <w:r w:rsidR="00751945" w:rsidRPr="005734B8">
        <w:rPr>
          <w:rFonts w:ascii="Calibri" w:hAnsi="Calibri" w:cs="Calibri"/>
        </w:rPr>
        <w:t>,</w:t>
      </w:r>
      <w:r w:rsidRPr="005734B8">
        <w:rPr>
          <w:rFonts w:ascii="Calibri" w:hAnsi="Calibri" w:cs="Calibri"/>
        </w:rPr>
        <w:t xml:space="preserve"> due to historic</w:t>
      </w:r>
      <w:r w:rsidR="00751945" w:rsidRPr="005734B8">
        <w:rPr>
          <w:rFonts w:ascii="Calibri" w:hAnsi="Calibri" w:cs="Calibri"/>
        </w:rPr>
        <w:t>al</w:t>
      </w:r>
      <w:r w:rsidRPr="005734B8">
        <w:rPr>
          <w:rFonts w:ascii="Calibri" w:hAnsi="Calibri" w:cs="Calibri"/>
        </w:rPr>
        <w:t xml:space="preserve"> and current barriers to disclosure of non-binary gender identities, staff may not choose to disclose this information. As a result, targets or quotas are not currently a useful way to promote opportunities for gender</w:t>
      </w:r>
      <w:r w:rsidR="00751945" w:rsidRPr="005734B8">
        <w:rPr>
          <w:rFonts w:ascii="Calibri" w:hAnsi="Calibri" w:cs="Calibri"/>
        </w:rPr>
        <w:noBreakHyphen/>
      </w:r>
      <w:r w:rsidRPr="005734B8">
        <w:rPr>
          <w:rFonts w:ascii="Calibri" w:hAnsi="Calibri" w:cs="Calibri"/>
        </w:rPr>
        <w:t xml:space="preserve">diverse staff at all levels. </w:t>
      </w:r>
    </w:p>
    <w:p w14:paraId="6FCCE5A4" w14:textId="77777777" w:rsidR="004660D6" w:rsidRPr="005734B8" w:rsidRDefault="004660D6" w:rsidP="004660D6">
      <w:pPr>
        <w:rPr>
          <w:rFonts w:ascii="Calibri" w:hAnsi="Calibri" w:cs="Calibri"/>
        </w:rPr>
      </w:pPr>
    </w:p>
    <w:p w14:paraId="57EA5F12" w14:textId="5DE43E22" w:rsidR="004660D6" w:rsidRPr="005734B8" w:rsidRDefault="004660D6" w:rsidP="00895793">
      <w:pPr>
        <w:rPr>
          <w:rFonts w:ascii="Calibri" w:eastAsia="Arial" w:hAnsi="Calibri" w:cs="Calibri"/>
          <w:color w:val="000000"/>
        </w:rPr>
      </w:pPr>
      <w:r w:rsidRPr="005734B8">
        <w:rPr>
          <w:rFonts w:ascii="Calibri" w:hAnsi="Calibri" w:cs="Calibri"/>
        </w:rPr>
        <w:t xml:space="preserve">The following table outlines the Department’s progress against </w:t>
      </w:r>
      <w:r w:rsidR="00933D90" w:rsidRPr="005734B8">
        <w:rPr>
          <w:rFonts w:ascii="Calibri" w:hAnsi="Calibri" w:cs="Calibri"/>
        </w:rPr>
        <w:t>current</w:t>
      </w:r>
      <w:r w:rsidRPr="005734B8">
        <w:rPr>
          <w:rFonts w:ascii="Calibri" w:hAnsi="Calibri" w:cs="Calibri"/>
        </w:rPr>
        <w:t xml:space="preserve"> corporate workforce targets</w:t>
      </w:r>
      <w:r w:rsidRPr="005734B8">
        <w:rPr>
          <w:rFonts w:ascii="Calibri" w:eastAsia="Arial" w:hAnsi="Calibri" w:cs="Calibri"/>
        </w:rPr>
        <w:t>.</w:t>
      </w:r>
      <w:r w:rsidRPr="005734B8">
        <w:rPr>
          <w:rFonts w:ascii="Calibri" w:eastAsia="Arial" w:hAnsi="Calibri" w:cs="Calibri"/>
          <w:color w:val="000000"/>
        </w:rPr>
        <w:t xml:space="preserve"> </w:t>
      </w:r>
    </w:p>
    <w:p w14:paraId="0BEF9A87" w14:textId="7E146703" w:rsidR="004660D6" w:rsidRPr="005734B8" w:rsidRDefault="004660D6" w:rsidP="004660D6">
      <w:pPr>
        <w:pStyle w:val="ESTableintroheading"/>
        <w:rPr>
          <w:rFonts w:ascii="Calibri" w:hAnsi="Calibri" w:cs="Calibri"/>
        </w:rPr>
      </w:pPr>
      <w:bookmarkStart w:id="639" w:name="_Hlk47699371"/>
      <w:bookmarkEnd w:id="638"/>
      <w:r w:rsidRPr="005734B8">
        <w:rPr>
          <w:rFonts w:ascii="Calibri" w:hAnsi="Calibri" w:cs="Calibri"/>
        </w:rPr>
        <w:t>Department’s progress against employment inclusion targets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8"/>
        <w:gridCol w:w="2125"/>
        <w:gridCol w:w="1984"/>
        <w:gridCol w:w="2114"/>
      </w:tblGrid>
      <w:tr w:rsidR="004660D6" w:rsidRPr="005734B8" w14:paraId="42F2784F" w14:textId="77777777" w:rsidTr="004660D6">
        <w:trPr>
          <w:cantSplit/>
          <w:trHeight w:val="246"/>
          <w:tblHeader/>
        </w:trPr>
        <w:tc>
          <w:tcPr>
            <w:tcW w:w="1698" w:type="dxa"/>
            <w:tcBorders>
              <w:bottom w:val="single" w:sz="4" w:space="0" w:color="FFFFFF" w:themeColor="background1"/>
            </w:tcBorders>
            <w:shd w:val="clear" w:color="auto" w:fill="AF272F" w:themeFill="accent4"/>
          </w:tcPr>
          <w:p w14:paraId="2CB0E821" w14:textId="77777777" w:rsidR="004660D6" w:rsidRPr="005734B8" w:rsidRDefault="004660D6" w:rsidP="004660D6">
            <w:pPr>
              <w:pStyle w:val="ESTableheadingwhite"/>
              <w:rPr>
                <w:rFonts w:ascii="Calibri" w:hAnsi="Calibri" w:cs="Calibri"/>
                <w:sz w:val="18"/>
              </w:rPr>
            </w:pPr>
            <w:r w:rsidRPr="005734B8">
              <w:rPr>
                <w:rFonts w:ascii="Calibri" w:hAnsi="Calibri" w:cs="Calibri"/>
                <w:sz w:val="18"/>
              </w:rPr>
              <w:t>Workforce inclusion initiative</w:t>
            </w:r>
          </w:p>
        </w:tc>
        <w:tc>
          <w:tcPr>
            <w:tcW w:w="2125" w:type="dxa"/>
            <w:tcBorders>
              <w:bottom w:val="single" w:sz="4" w:space="0" w:color="FFFFFF" w:themeColor="background1"/>
            </w:tcBorders>
            <w:shd w:val="clear" w:color="auto" w:fill="AF272F" w:themeFill="accent4"/>
          </w:tcPr>
          <w:p w14:paraId="19C5FE2D" w14:textId="77777777" w:rsidR="004660D6" w:rsidRPr="005734B8" w:rsidRDefault="004660D6" w:rsidP="004660D6">
            <w:pPr>
              <w:pStyle w:val="ESTableheadingwhite"/>
              <w:rPr>
                <w:rFonts w:ascii="Calibri" w:hAnsi="Calibri" w:cs="Calibri"/>
                <w:sz w:val="18"/>
              </w:rPr>
            </w:pPr>
            <w:r w:rsidRPr="005734B8">
              <w:rPr>
                <w:rFonts w:ascii="Calibri" w:hAnsi="Calibri" w:cs="Calibri"/>
                <w:sz w:val="18"/>
              </w:rPr>
              <w:t>Target</w:t>
            </w:r>
          </w:p>
        </w:tc>
        <w:tc>
          <w:tcPr>
            <w:tcW w:w="1984" w:type="dxa"/>
            <w:tcBorders>
              <w:bottom w:val="single" w:sz="4" w:space="0" w:color="FFFFFF" w:themeColor="background1"/>
            </w:tcBorders>
            <w:shd w:val="clear" w:color="auto" w:fill="AF272F" w:themeFill="accent4"/>
          </w:tcPr>
          <w:p w14:paraId="5BB4C310" w14:textId="77777777" w:rsidR="004660D6" w:rsidRPr="005734B8" w:rsidRDefault="004660D6" w:rsidP="004660D6">
            <w:pPr>
              <w:pStyle w:val="ESTableheadingwhite"/>
              <w:spacing w:after="0"/>
              <w:rPr>
                <w:rFonts w:ascii="Calibri" w:hAnsi="Calibri" w:cs="Calibri"/>
                <w:sz w:val="18"/>
              </w:rPr>
            </w:pPr>
            <w:r w:rsidRPr="005734B8">
              <w:rPr>
                <w:rFonts w:ascii="Calibri" w:hAnsi="Calibri" w:cs="Calibri"/>
                <w:sz w:val="18"/>
              </w:rPr>
              <w:t xml:space="preserve">Progress as at </w:t>
            </w:r>
          </w:p>
          <w:p w14:paraId="40AC17ED" w14:textId="77777777" w:rsidR="004660D6" w:rsidRPr="005734B8" w:rsidRDefault="004660D6" w:rsidP="004660D6">
            <w:pPr>
              <w:pStyle w:val="ESTableheadingwhite"/>
              <w:spacing w:before="0" w:after="0"/>
              <w:rPr>
                <w:rFonts w:ascii="Calibri" w:hAnsi="Calibri" w:cs="Calibri"/>
                <w:sz w:val="18"/>
              </w:rPr>
            </w:pPr>
            <w:r w:rsidRPr="005734B8">
              <w:rPr>
                <w:rFonts w:ascii="Calibri" w:hAnsi="Calibri" w:cs="Calibri"/>
                <w:sz w:val="18"/>
              </w:rPr>
              <w:t>30 June 2021</w:t>
            </w:r>
          </w:p>
        </w:tc>
        <w:tc>
          <w:tcPr>
            <w:tcW w:w="2114" w:type="dxa"/>
            <w:tcBorders>
              <w:bottom w:val="single" w:sz="4" w:space="0" w:color="FFFFFF" w:themeColor="background1"/>
            </w:tcBorders>
            <w:shd w:val="clear" w:color="auto" w:fill="AF272F" w:themeFill="accent4"/>
          </w:tcPr>
          <w:p w14:paraId="251EB425" w14:textId="77777777" w:rsidR="004660D6" w:rsidRPr="005734B8" w:rsidRDefault="004660D6" w:rsidP="004660D6">
            <w:pPr>
              <w:pStyle w:val="ESTableheadingwhite"/>
              <w:spacing w:after="0"/>
              <w:rPr>
                <w:rFonts w:ascii="Calibri" w:hAnsi="Calibri" w:cs="Calibri"/>
                <w:sz w:val="18"/>
              </w:rPr>
            </w:pPr>
            <w:r w:rsidRPr="005734B8">
              <w:rPr>
                <w:rFonts w:ascii="Calibri" w:hAnsi="Calibri" w:cs="Calibri"/>
                <w:sz w:val="18"/>
              </w:rPr>
              <w:t xml:space="preserve">Progress as at </w:t>
            </w:r>
          </w:p>
          <w:p w14:paraId="25F1A923" w14:textId="77777777" w:rsidR="004660D6" w:rsidRPr="005734B8" w:rsidRDefault="004660D6" w:rsidP="004660D6">
            <w:pPr>
              <w:pStyle w:val="ESTableheadingwhite"/>
              <w:spacing w:before="0" w:after="0"/>
              <w:rPr>
                <w:rFonts w:ascii="Calibri" w:hAnsi="Calibri" w:cs="Calibri"/>
                <w:sz w:val="18"/>
              </w:rPr>
            </w:pPr>
            <w:r w:rsidRPr="005734B8">
              <w:rPr>
                <w:rFonts w:ascii="Calibri" w:hAnsi="Calibri" w:cs="Calibri"/>
                <w:sz w:val="18"/>
              </w:rPr>
              <w:t>30 June 2020</w:t>
            </w:r>
          </w:p>
        </w:tc>
      </w:tr>
      <w:tr w:rsidR="0042442E" w:rsidRPr="005734B8" w14:paraId="72E297E7" w14:textId="77777777" w:rsidTr="004660D6">
        <w:trPr>
          <w:cantSplit/>
          <w:trHeight w:val="472"/>
        </w:trPr>
        <w:tc>
          <w:tcPr>
            <w:tcW w:w="1698" w:type="dxa"/>
            <w:tcBorders>
              <w:top w:val="single" w:sz="4" w:space="0" w:color="FFFFFF" w:themeColor="background1"/>
              <w:bottom w:val="single" w:sz="4" w:space="0" w:color="auto"/>
            </w:tcBorders>
            <w:shd w:val="clear" w:color="auto" w:fill="auto"/>
          </w:tcPr>
          <w:p w14:paraId="6AFE4B4F" w14:textId="77777777" w:rsidR="0042442E" w:rsidRPr="005734B8" w:rsidRDefault="0042442E" w:rsidP="0042442E">
            <w:pPr>
              <w:pStyle w:val="ESTablebody"/>
              <w:rPr>
                <w:rFonts w:ascii="Calibri" w:hAnsi="Calibri" w:cs="Calibri"/>
                <w:b/>
                <w:sz w:val="18"/>
              </w:rPr>
            </w:pPr>
            <w:r w:rsidRPr="005734B8">
              <w:rPr>
                <w:rFonts w:ascii="Calibri" w:hAnsi="Calibri" w:cs="Calibri"/>
                <w:b/>
                <w:sz w:val="18"/>
              </w:rPr>
              <w:t>Gender profile at executive levels</w:t>
            </w:r>
            <w:r w:rsidRPr="005734B8">
              <w:rPr>
                <w:rStyle w:val="FootnoteReference"/>
                <w:rFonts w:ascii="Calibri" w:hAnsi="Calibri" w:cs="Calibri"/>
                <w:b/>
                <w:sz w:val="18"/>
              </w:rPr>
              <w:footnoteReference w:id="62"/>
            </w:r>
            <w:r w:rsidRPr="005734B8">
              <w:rPr>
                <w:rFonts w:ascii="Calibri" w:hAnsi="Calibri" w:cs="Calibri"/>
                <w:b/>
                <w:sz w:val="18"/>
              </w:rPr>
              <w:t xml:space="preserve"> </w:t>
            </w:r>
          </w:p>
        </w:tc>
        <w:tc>
          <w:tcPr>
            <w:tcW w:w="2125" w:type="dxa"/>
            <w:tcBorders>
              <w:top w:val="single" w:sz="4" w:space="0" w:color="FFFFFF" w:themeColor="background1"/>
              <w:bottom w:val="single" w:sz="4" w:space="0" w:color="auto"/>
            </w:tcBorders>
            <w:shd w:val="clear" w:color="auto" w:fill="auto"/>
          </w:tcPr>
          <w:p w14:paraId="389C0305" w14:textId="200B66BE" w:rsidR="0042442E" w:rsidRPr="005734B8" w:rsidRDefault="0042442E" w:rsidP="0042442E">
            <w:pPr>
              <w:pStyle w:val="ESTablebody"/>
              <w:spacing w:before="0" w:after="0"/>
              <w:rPr>
                <w:rFonts w:ascii="Calibri" w:hAnsi="Calibri" w:cs="Calibri"/>
                <w:sz w:val="18"/>
              </w:rPr>
            </w:pPr>
            <w:r w:rsidRPr="005734B8">
              <w:rPr>
                <w:rFonts w:ascii="Calibri" w:hAnsi="Calibri" w:cs="Calibri"/>
                <w:sz w:val="18"/>
              </w:rPr>
              <w:t>50 per cent women, 50 per cent men</w:t>
            </w:r>
            <w:r w:rsidR="00933D90" w:rsidRPr="005734B8">
              <w:rPr>
                <w:rFonts w:ascii="Calibri" w:hAnsi="Calibri" w:cs="Calibri"/>
                <w:sz w:val="18"/>
              </w:rPr>
              <w:t>.</w:t>
            </w:r>
          </w:p>
        </w:tc>
        <w:tc>
          <w:tcPr>
            <w:tcW w:w="1984" w:type="dxa"/>
            <w:tcBorders>
              <w:top w:val="single" w:sz="4" w:space="0" w:color="FFFFFF" w:themeColor="background1"/>
              <w:bottom w:val="single" w:sz="4" w:space="0" w:color="auto"/>
            </w:tcBorders>
            <w:shd w:val="clear" w:color="auto" w:fill="D9D9D6" w:themeFill="accent1"/>
          </w:tcPr>
          <w:p w14:paraId="2C5B6EAF" w14:textId="77777777" w:rsidR="0042442E" w:rsidRPr="005734B8" w:rsidRDefault="0042442E" w:rsidP="0042442E">
            <w:pPr>
              <w:pStyle w:val="ESTablenumberrightaligned"/>
              <w:jc w:val="left"/>
              <w:rPr>
                <w:rFonts w:ascii="Calibri" w:hAnsi="Calibri" w:cs="Calibri"/>
                <w:sz w:val="18"/>
              </w:rPr>
            </w:pPr>
            <w:r w:rsidRPr="005734B8">
              <w:rPr>
                <w:rFonts w:ascii="Calibri" w:hAnsi="Calibri" w:cs="Calibri"/>
                <w:sz w:val="18"/>
              </w:rPr>
              <w:t>54.4 per cent women</w:t>
            </w:r>
          </w:p>
          <w:p w14:paraId="542CB141" w14:textId="4AB1E73F" w:rsidR="0042442E" w:rsidRPr="005734B8" w:rsidRDefault="0042442E" w:rsidP="0042442E">
            <w:pPr>
              <w:pStyle w:val="ESTablenumberrightaligned"/>
              <w:jc w:val="left"/>
              <w:rPr>
                <w:rFonts w:ascii="Calibri" w:hAnsi="Calibri" w:cs="Calibri"/>
                <w:sz w:val="18"/>
              </w:rPr>
            </w:pPr>
            <w:r w:rsidRPr="005734B8">
              <w:rPr>
                <w:rFonts w:ascii="Calibri" w:hAnsi="Calibri" w:cs="Calibri"/>
                <w:sz w:val="18"/>
              </w:rPr>
              <w:t>45.6 per cent men</w:t>
            </w:r>
          </w:p>
        </w:tc>
        <w:tc>
          <w:tcPr>
            <w:tcW w:w="2114" w:type="dxa"/>
            <w:tcBorders>
              <w:top w:val="single" w:sz="4" w:space="0" w:color="FFFFFF" w:themeColor="background1"/>
              <w:bottom w:val="single" w:sz="4" w:space="0" w:color="auto"/>
            </w:tcBorders>
          </w:tcPr>
          <w:p w14:paraId="5198EDAB" w14:textId="77777777" w:rsidR="0042442E" w:rsidRPr="005734B8" w:rsidRDefault="0042442E" w:rsidP="0042442E">
            <w:pPr>
              <w:pStyle w:val="ESTablenumberrightaligned"/>
              <w:jc w:val="left"/>
              <w:rPr>
                <w:rFonts w:ascii="Calibri" w:hAnsi="Calibri" w:cs="Calibri"/>
                <w:sz w:val="18"/>
              </w:rPr>
            </w:pPr>
            <w:r w:rsidRPr="005734B8">
              <w:rPr>
                <w:rFonts w:ascii="Calibri" w:hAnsi="Calibri" w:cs="Calibri"/>
                <w:sz w:val="18"/>
              </w:rPr>
              <w:t>55.8 per cent women 44.2 per cent men</w:t>
            </w:r>
          </w:p>
        </w:tc>
      </w:tr>
      <w:tr w:rsidR="0042442E" w:rsidRPr="005734B8" w14:paraId="0EE25477" w14:textId="77777777" w:rsidTr="004660D6">
        <w:trPr>
          <w:cantSplit/>
          <w:trHeight w:val="472"/>
        </w:trPr>
        <w:tc>
          <w:tcPr>
            <w:tcW w:w="1698" w:type="dxa"/>
            <w:tcBorders>
              <w:top w:val="single" w:sz="4" w:space="0" w:color="auto"/>
              <w:bottom w:val="single" w:sz="4" w:space="0" w:color="auto"/>
            </w:tcBorders>
            <w:shd w:val="clear" w:color="auto" w:fill="auto"/>
          </w:tcPr>
          <w:p w14:paraId="79EA7080" w14:textId="77777777" w:rsidR="0042442E" w:rsidRPr="005734B8" w:rsidRDefault="0042442E" w:rsidP="0042442E">
            <w:pPr>
              <w:pStyle w:val="ESTablebody"/>
              <w:rPr>
                <w:rFonts w:ascii="Calibri" w:hAnsi="Calibri" w:cs="Calibri"/>
                <w:b/>
                <w:sz w:val="18"/>
              </w:rPr>
            </w:pPr>
            <w:r w:rsidRPr="005734B8">
              <w:rPr>
                <w:rFonts w:ascii="Calibri" w:hAnsi="Calibri" w:cs="Calibri"/>
                <w:b/>
                <w:sz w:val="18"/>
              </w:rPr>
              <w:t>Aboriginal employment targets</w:t>
            </w:r>
          </w:p>
        </w:tc>
        <w:tc>
          <w:tcPr>
            <w:tcW w:w="2125" w:type="dxa"/>
            <w:tcBorders>
              <w:top w:val="single" w:sz="4" w:space="0" w:color="auto"/>
              <w:bottom w:val="single" w:sz="4" w:space="0" w:color="auto"/>
            </w:tcBorders>
            <w:shd w:val="clear" w:color="auto" w:fill="auto"/>
          </w:tcPr>
          <w:p w14:paraId="31EADACF" w14:textId="47E46534" w:rsidR="0042442E" w:rsidRPr="005734B8" w:rsidRDefault="0042442E" w:rsidP="0042442E">
            <w:pPr>
              <w:pStyle w:val="ESTablebody"/>
              <w:spacing w:after="0"/>
              <w:rPr>
                <w:rFonts w:ascii="Calibri" w:hAnsi="Calibri" w:cs="Calibri"/>
                <w:sz w:val="18"/>
              </w:rPr>
            </w:pPr>
            <w:r w:rsidRPr="005734B8">
              <w:rPr>
                <w:rFonts w:ascii="Calibri" w:hAnsi="Calibri" w:cs="Calibri"/>
                <w:sz w:val="18"/>
              </w:rPr>
              <w:t>Two per cent who are Aboriginal and/or Torres Strait Islander peoples</w:t>
            </w:r>
            <w:r w:rsidR="00933D90" w:rsidRPr="005734B8">
              <w:rPr>
                <w:rFonts w:ascii="Calibri" w:hAnsi="Calibri" w:cs="Calibri"/>
                <w:sz w:val="18"/>
              </w:rPr>
              <w:t>.</w:t>
            </w:r>
          </w:p>
        </w:tc>
        <w:tc>
          <w:tcPr>
            <w:tcW w:w="1984" w:type="dxa"/>
            <w:tcBorders>
              <w:top w:val="single" w:sz="4" w:space="0" w:color="auto"/>
              <w:bottom w:val="single" w:sz="4" w:space="0" w:color="auto"/>
            </w:tcBorders>
            <w:shd w:val="clear" w:color="auto" w:fill="D9D9D6" w:themeFill="accent1"/>
          </w:tcPr>
          <w:p w14:paraId="19D8F7DD" w14:textId="26013427" w:rsidR="0042442E" w:rsidRPr="005734B8" w:rsidRDefault="0042442E" w:rsidP="0042442E">
            <w:pPr>
              <w:pStyle w:val="ESTablenumberrightaligned"/>
              <w:jc w:val="left"/>
              <w:rPr>
                <w:rFonts w:ascii="Calibri" w:hAnsi="Calibri" w:cs="Calibri"/>
                <w:sz w:val="18"/>
              </w:rPr>
            </w:pPr>
            <w:r w:rsidRPr="005734B8">
              <w:rPr>
                <w:rFonts w:ascii="Calibri" w:hAnsi="Calibri" w:cs="Calibri"/>
                <w:sz w:val="18"/>
              </w:rPr>
              <w:t>0.4 per cent</w:t>
            </w:r>
          </w:p>
        </w:tc>
        <w:tc>
          <w:tcPr>
            <w:tcW w:w="2114" w:type="dxa"/>
            <w:tcBorders>
              <w:top w:val="single" w:sz="4" w:space="0" w:color="auto"/>
              <w:bottom w:val="single" w:sz="4" w:space="0" w:color="auto"/>
            </w:tcBorders>
          </w:tcPr>
          <w:p w14:paraId="33A9A9C2" w14:textId="77777777" w:rsidR="0042442E" w:rsidRPr="005734B8" w:rsidRDefault="0042442E" w:rsidP="0042442E">
            <w:pPr>
              <w:pStyle w:val="ESTablenumberrightaligned"/>
              <w:jc w:val="left"/>
              <w:rPr>
                <w:rFonts w:ascii="Calibri" w:hAnsi="Calibri" w:cs="Calibri"/>
                <w:sz w:val="18"/>
              </w:rPr>
            </w:pPr>
            <w:r w:rsidRPr="005734B8">
              <w:rPr>
                <w:rFonts w:ascii="Calibri" w:hAnsi="Calibri" w:cs="Calibri"/>
                <w:sz w:val="18"/>
              </w:rPr>
              <w:t>0.4 per cent</w:t>
            </w:r>
          </w:p>
        </w:tc>
      </w:tr>
      <w:tr w:rsidR="0042442E" w:rsidRPr="005734B8" w14:paraId="0F7372CF" w14:textId="77777777" w:rsidTr="004660D6">
        <w:trPr>
          <w:cantSplit/>
          <w:trHeight w:val="472"/>
        </w:trPr>
        <w:tc>
          <w:tcPr>
            <w:tcW w:w="1698" w:type="dxa"/>
            <w:tcBorders>
              <w:top w:val="single" w:sz="4" w:space="0" w:color="auto"/>
              <w:bottom w:val="single" w:sz="4" w:space="0" w:color="auto"/>
            </w:tcBorders>
            <w:shd w:val="clear" w:color="auto" w:fill="auto"/>
          </w:tcPr>
          <w:p w14:paraId="1BCF1CAB" w14:textId="77777777" w:rsidR="0042442E" w:rsidRPr="005734B8" w:rsidRDefault="0042442E" w:rsidP="0042442E">
            <w:pPr>
              <w:pStyle w:val="ESTablebody"/>
              <w:rPr>
                <w:rFonts w:ascii="Calibri" w:hAnsi="Calibri" w:cs="Calibri"/>
                <w:b/>
                <w:sz w:val="18"/>
              </w:rPr>
            </w:pPr>
            <w:r w:rsidRPr="005734B8">
              <w:rPr>
                <w:rFonts w:ascii="Calibri" w:hAnsi="Calibri" w:cs="Calibri"/>
                <w:b/>
                <w:sz w:val="18"/>
              </w:rPr>
              <w:t>Disability employment targets</w:t>
            </w:r>
          </w:p>
        </w:tc>
        <w:tc>
          <w:tcPr>
            <w:tcW w:w="2125" w:type="dxa"/>
            <w:tcBorders>
              <w:top w:val="single" w:sz="4" w:space="0" w:color="auto"/>
              <w:bottom w:val="single" w:sz="4" w:space="0" w:color="auto"/>
            </w:tcBorders>
            <w:shd w:val="clear" w:color="auto" w:fill="auto"/>
          </w:tcPr>
          <w:p w14:paraId="738B91E0" w14:textId="222A75B7" w:rsidR="0042442E" w:rsidRPr="005734B8" w:rsidRDefault="00933D90" w:rsidP="0042442E">
            <w:pPr>
              <w:pStyle w:val="ESTablebody"/>
              <w:rPr>
                <w:rFonts w:ascii="Calibri" w:hAnsi="Calibri" w:cs="Calibri"/>
                <w:sz w:val="18"/>
              </w:rPr>
            </w:pPr>
            <w:r w:rsidRPr="005734B8">
              <w:rPr>
                <w:rFonts w:ascii="Calibri" w:hAnsi="Calibri" w:cs="Calibri"/>
                <w:sz w:val="18"/>
              </w:rPr>
              <w:t>Twelve</w:t>
            </w:r>
            <w:r w:rsidR="004660D6" w:rsidRPr="005734B8">
              <w:rPr>
                <w:rFonts w:ascii="Calibri" w:hAnsi="Calibri" w:cs="Calibri"/>
                <w:sz w:val="18"/>
              </w:rPr>
              <w:t xml:space="preserve"> per cent by 2025</w:t>
            </w:r>
            <w:r w:rsidRPr="005734B8">
              <w:rPr>
                <w:rFonts w:ascii="Calibri" w:hAnsi="Calibri" w:cs="Calibri"/>
                <w:sz w:val="18"/>
              </w:rPr>
              <w:t>.</w:t>
            </w:r>
          </w:p>
        </w:tc>
        <w:tc>
          <w:tcPr>
            <w:tcW w:w="1984" w:type="dxa"/>
            <w:tcBorders>
              <w:top w:val="single" w:sz="4" w:space="0" w:color="auto"/>
              <w:bottom w:val="single" w:sz="4" w:space="0" w:color="auto"/>
            </w:tcBorders>
            <w:shd w:val="clear" w:color="auto" w:fill="D9D9D6" w:themeFill="accent1"/>
          </w:tcPr>
          <w:p w14:paraId="4C6842B3" w14:textId="173A94F6" w:rsidR="0042442E" w:rsidRPr="005734B8" w:rsidRDefault="0042442E" w:rsidP="0042442E">
            <w:pPr>
              <w:pStyle w:val="ESTablenumberrightaligned"/>
              <w:jc w:val="left"/>
              <w:rPr>
                <w:rFonts w:ascii="Calibri" w:hAnsi="Calibri" w:cs="Calibri"/>
                <w:sz w:val="18"/>
              </w:rPr>
            </w:pPr>
            <w:r w:rsidRPr="005734B8">
              <w:rPr>
                <w:rFonts w:ascii="Calibri" w:hAnsi="Calibri" w:cs="Calibri"/>
                <w:sz w:val="18"/>
              </w:rPr>
              <w:t>0.3 per cent</w:t>
            </w:r>
          </w:p>
        </w:tc>
        <w:tc>
          <w:tcPr>
            <w:tcW w:w="2114" w:type="dxa"/>
            <w:tcBorders>
              <w:top w:val="single" w:sz="4" w:space="0" w:color="auto"/>
              <w:bottom w:val="single" w:sz="4" w:space="0" w:color="auto"/>
            </w:tcBorders>
          </w:tcPr>
          <w:p w14:paraId="56D39E79" w14:textId="77777777" w:rsidR="0042442E" w:rsidRPr="005734B8" w:rsidRDefault="0042442E" w:rsidP="0042442E">
            <w:pPr>
              <w:pStyle w:val="ESTablenumberrightaligned"/>
              <w:jc w:val="left"/>
              <w:rPr>
                <w:rFonts w:ascii="Calibri" w:hAnsi="Calibri" w:cs="Calibri"/>
                <w:sz w:val="18"/>
              </w:rPr>
            </w:pPr>
            <w:r w:rsidRPr="005734B8">
              <w:rPr>
                <w:rFonts w:ascii="Calibri" w:hAnsi="Calibri" w:cs="Calibri"/>
                <w:sz w:val="18"/>
              </w:rPr>
              <w:t>0.1 per cent</w:t>
            </w:r>
          </w:p>
        </w:tc>
      </w:tr>
      <w:bookmarkEnd w:id="639"/>
    </w:tbl>
    <w:p w14:paraId="7C587A8A" w14:textId="2EA4ACA6" w:rsidR="006E244E" w:rsidRPr="005734B8" w:rsidRDefault="006E244E" w:rsidP="006E244E">
      <w:pPr>
        <w:rPr>
          <w:rFonts w:ascii="Calibri" w:hAnsi="Calibri" w:cs="Calibri"/>
          <w:highlight w:val="yellow"/>
        </w:rPr>
      </w:pPr>
    </w:p>
    <w:p w14:paraId="45B345F6" w14:textId="60FAC3D3" w:rsidR="001C585E" w:rsidRPr="005734B8" w:rsidRDefault="00895793" w:rsidP="00D009FE">
      <w:pPr>
        <w:rPr>
          <w:rFonts w:ascii="Calibri" w:eastAsia="Arial" w:hAnsi="Calibri" w:cs="Calibri"/>
        </w:rPr>
      </w:pPr>
      <w:bookmarkStart w:id="640" w:name="_Toc11158236"/>
      <w:bookmarkStart w:id="641" w:name="_Toc11336243"/>
      <w:bookmarkStart w:id="642" w:name="_Toc13656683"/>
      <w:bookmarkStart w:id="643" w:name="_Toc14965469"/>
      <w:bookmarkStart w:id="644" w:name="_Toc15985269"/>
      <w:bookmarkStart w:id="645" w:name="_Toc19272047"/>
      <w:bookmarkStart w:id="646" w:name="_Toc19272413"/>
      <w:bookmarkStart w:id="647" w:name="_Toc19273748"/>
      <w:bookmarkStart w:id="648" w:name="_Toc48402789"/>
      <w:bookmarkStart w:id="649" w:name="_Toc48403026"/>
      <w:bookmarkStart w:id="650" w:name="_Toc51332769"/>
      <w:r w:rsidRPr="005734B8">
        <w:rPr>
          <w:rFonts w:ascii="Calibri" w:eastAsia="Arial" w:hAnsi="Calibri" w:cs="Calibri"/>
        </w:rPr>
        <w:t>A diverse workforce provides a range of different skills, perspectives and experiences to inform the Department’s work. As well as informing policy development, the</w:t>
      </w:r>
      <w:r w:rsidR="001C585E" w:rsidRPr="005734B8">
        <w:rPr>
          <w:rFonts w:ascii="Calibri" w:eastAsia="Arial" w:hAnsi="Calibri" w:cs="Calibri"/>
        </w:rPr>
        <w:t xml:space="preserve"> </w:t>
      </w:r>
      <w:r w:rsidRPr="005734B8">
        <w:rPr>
          <w:rFonts w:ascii="Calibri" w:eastAsia="Arial" w:hAnsi="Calibri" w:cs="Calibri"/>
        </w:rPr>
        <w:t>Department’s thriving staff networks provide support, advice and social connections for staff. These networks include the Koorie Staff Network, the Enablers Network, the Pride Network, the Women of Colour Network, and the African Australian Network. Staff are also encouraged to participate in the sector</w:t>
      </w:r>
      <w:r w:rsidRPr="005734B8">
        <w:rPr>
          <w:rFonts w:ascii="Calibri" w:eastAsia="Arial" w:hAnsi="Calibri" w:cs="Calibri"/>
        </w:rPr>
        <w:noBreakHyphen/>
        <w:t>wide VPS staff networks.</w:t>
      </w:r>
    </w:p>
    <w:p w14:paraId="6C062AAA" w14:textId="77777777" w:rsidR="001C585E" w:rsidRPr="005734B8" w:rsidRDefault="001C585E" w:rsidP="00D009FE">
      <w:pPr>
        <w:rPr>
          <w:rFonts w:ascii="Calibri" w:eastAsia="Arial" w:hAnsi="Calibri" w:cs="Calibri"/>
        </w:rPr>
      </w:pPr>
    </w:p>
    <w:p w14:paraId="18FC2AD7" w14:textId="098FC85C" w:rsidR="00D009FE" w:rsidRPr="005734B8" w:rsidRDefault="00D009FE" w:rsidP="00D009FE">
      <w:pPr>
        <w:rPr>
          <w:rFonts w:ascii="Calibri" w:eastAsia="Arial" w:hAnsi="Calibri" w:cs="Calibri"/>
        </w:rPr>
      </w:pPr>
      <w:r w:rsidRPr="005734B8">
        <w:rPr>
          <w:rFonts w:ascii="Calibri" w:eastAsia="Arial" w:hAnsi="Calibri" w:cs="Calibri"/>
        </w:rPr>
        <w:t xml:space="preserve">Key highlights of our diversity and inclusion work completed over the past year include: </w:t>
      </w:r>
    </w:p>
    <w:p w14:paraId="717C42E5" w14:textId="54D1C4F2" w:rsidR="00D009FE" w:rsidRPr="005734B8" w:rsidRDefault="001C585E" w:rsidP="00670895">
      <w:pPr>
        <w:pStyle w:val="ListParagraph"/>
        <w:numPr>
          <w:ilvl w:val="0"/>
          <w:numId w:val="73"/>
        </w:numPr>
        <w:rPr>
          <w:rFonts w:ascii="Calibri" w:eastAsia="Arial" w:hAnsi="Calibri" w:cs="Calibri"/>
        </w:rPr>
      </w:pPr>
      <w:r w:rsidRPr="005734B8">
        <w:rPr>
          <w:rFonts w:ascii="Calibri" w:eastAsia="Arial" w:hAnsi="Calibri" w:cs="Calibri"/>
        </w:rPr>
        <w:t>launching</w:t>
      </w:r>
      <w:r w:rsidR="00D009FE" w:rsidRPr="005734B8">
        <w:rPr>
          <w:rFonts w:ascii="Calibri" w:eastAsia="Arial" w:hAnsi="Calibri" w:cs="Calibri"/>
        </w:rPr>
        <w:t xml:space="preserve"> </w:t>
      </w:r>
      <w:r w:rsidRPr="005734B8">
        <w:rPr>
          <w:rFonts w:ascii="Calibri" w:eastAsia="Arial" w:hAnsi="Calibri" w:cs="Calibri"/>
        </w:rPr>
        <w:t>the</w:t>
      </w:r>
      <w:r w:rsidR="00D009FE" w:rsidRPr="005734B8">
        <w:rPr>
          <w:rFonts w:ascii="Calibri" w:eastAsia="Arial" w:hAnsi="Calibri" w:cs="Calibri"/>
        </w:rPr>
        <w:t xml:space="preserve"> Aboriginal </w:t>
      </w:r>
      <w:r w:rsidR="005974EF" w:rsidRPr="005734B8">
        <w:rPr>
          <w:rFonts w:ascii="Calibri" w:eastAsia="Arial" w:hAnsi="Calibri" w:cs="Calibri"/>
        </w:rPr>
        <w:t>e</w:t>
      </w:r>
      <w:r w:rsidR="00D009FE" w:rsidRPr="005734B8">
        <w:rPr>
          <w:rFonts w:ascii="Calibri" w:eastAsia="Arial" w:hAnsi="Calibri" w:cs="Calibri"/>
        </w:rPr>
        <w:t xml:space="preserve">mployment </w:t>
      </w:r>
      <w:r w:rsidR="005974EF" w:rsidRPr="005734B8">
        <w:rPr>
          <w:rFonts w:ascii="Calibri" w:eastAsia="Arial" w:hAnsi="Calibri" w:cs="Calibri"/>
        </w:rPr>
        <w:t>p</w:t>
      </w:r>
      <w:r w:rsidR="00D009FE" w:rsidRPr="005734B8">
        <w:rPr>
          <w:rFonts w:ascii="Calibri" w:eastAsia="Arial" w:hAnsi="Calibri" w:cs="Calibri"/>
        </w:rPr>
        <w:t xml:space="preserve">lan </w:t>
      </w:r>
      <w:r w:rsidRPr="005734B8">
        <w:rPr>
          <w:rFonts w:ascii="Calibri" w:eastAsia="Arial" w:hAnsi="Calibri" w:cs="Calibri"/>
        </w:rPr>
        <w:t xml:space="preserve">in November 2020 to complement the Department’s existing work on Aboriginal Inclusion through Wirnalung Ganai. This included </w:t>
      </w:r>
      <w:r w:rsidR="00D009FE" w:rsidRPr="005734B8">
        <w:rPr>
          <w:rFonts w:ascii="Calibri" w:eastAsia="Arial" w:hAnsi="Calibri" w:cs="Calibri"/>
        </w:rPr>
        <w:t>deliver</w:t>
      </w:r>
      <w:r w:rsidRPr="005734B8">
        <w:rPr>
          <w:rFonts w:ascii="Calibri" w:eastAsia="Arial" w:hAnsi="Calibri" w:cs="Calibri"/>
        </w:rPr>
        <w:t>ing</w:t>
      </w:r>
      <w:r w:rsidR="00D009FE" w:rsidRPr="005734B8">
        <w:rPr>
          <w:rFonts w:ascii="Calibri" w:eastAsia="Arial" w:hAnsi="Calibri" w:cs="Calibri"/>
        </w:rPr>
        <w:t xml:space="preserve"> Aboriginal </w:t>
      </w:r>
      <w:r w:rsidR="005974EF" w:rsidRPr="005734B8">
        <w:rPr>
          <w:rFonts w:ascii="Calibri" w:eastAsia="Arial" w:hAnsi="Calibri" w:cs="Calibri"/>
        </w:rPr>
        <w:t>c</w:t>
      </w:r>
      <w:r w:rsidR="00D009FE" w:rsidRPr="005734B8">
        <w:rPr>
          <w:rFonts w:ascii="Calibri" w:eastAsia="Arial" w:hAnsi="Calibri" w:cs="Calibri"/>
        </w:rPr>
        <w:t xml:space="preserve">ultural </w:t>
      </w:r>
      <w:r w:rsidR="005974EF" w:rsidRPr="005734B8">
        <w:rPr>
          <w:rFonts w:ascii="Calibri" w:eastAsia="Arial" w:hAnsi="Calibri" w:cs="Calibri"/>
        </w:rPr>
        <w:t>a</w:t>
      </w:r>
      <w:r w:rsidR="00D009FE" w:rsidRPr="005734B8">
        <w:rPr>
          <w:rFonts w:ascii="Calibri" w:eastAsia="Arial" w:hAnsi="Calibri" w:cs="Calibri"/>
        </w:rPr>
        <w:t xml:space="preserve">wareness and Aboriginal </w:t>
      </w:r>
      <w:r w:rsidR="005974EF" w:rsidRPr="005734B8">
        <w:rPr>
          <w:rFonts w:ascii="Calibri" w:eastAsia="Arial" w:hAnsi="Calibri" w:cs="Calibri"/>
        </w:rPr>
        <w:t>c</w:t>
      </w:r>
      <w:r w:rsidR="00D009FE" w:rsidRPr="005734B8">
        <w:rPr>
          <w:rFonts w:ascii="Calibri" w:eastAsia="Arial" w:hAnsi="Calibri" w:cs="Calibri"/>
        </w:rPr>
        <w:t xml:space="preserve">ultural </w:t>
      </w:r>
      <w:r w:rsidR="005974EF" w:rsidRPr="005734B8">
        <w:rPr>
          <w:rFonts w:ascii="Calibri" w:eastAsia="Arial" w:hAnsi="Calibri" w:cs="Calibri"/>
        </w:rPr>
        <w:t>s</w:t>
      </w:r>
      <w:r w:rsidR="00D009FE" w:rsidRPr="005734B8">
        <w:rPr>
          <w:rFonts w:ascii="Calibri" w:eastAsia="Arial" w:hAnsi="Calibri" w:cs="Calibri"/>
        </w:rPr>
        <w:t xml:space="preserve">afety training to </w:t>
      </w:r>
      <w:r w:rsidR="00751945" w:rsidRPr="005734B8">
        <w:rPr>
          <w:rFonts w:ascii="Calibri" w:eastAsia="Arial" w:hAnsi="Calibri" w:cs="Calibri"/>
        </w:rPr>
        <w:t>more than</w:t>
      </w:r>
      <w:r w:rsidR="00D009FE" w:rsidRPr="005734B8">
        <w:rPr>
          <w:rFonts w:ascii="Calibri" w:eastAsia="Arial" w:hAnsi="Calibri" w:cs="Calibri"/>
        </w:rPr>
        <w:t xml:space="preserve"> 380 corporate staff </w:t>
      </w:r>
    </w:p>
    <w:p w14:paraId="471F3823" w14:textId="0DBECD03" w:rsidR="00D009FE" w:rsidRPr="005734B8" w:rsidRDefault="00D009FE" w:rsidP="00670895">
      <w:pPr>
        <w:pStyle w:val="ListParagraph"/>
        <w:numPr>
          <w:ilvl w:val="0"/>
          <w:numId w:val="73"/>
        </w:numPr>
        <w:rPr>
          <w:rFonts w:ascii="Calibri" w:eastAsia="Arial" w:hAnsi="Calibri" w:cs="Calibri"/>
        </w:rPr>
      </w:pPr>
      <w:r w:rsidRPr="005734B8">
        <w:rPr>
          <w:rFonts w:ascii="Calibri" w:eastAsia="Arial" w:hAnsi="Calibri" w:cs="Calibri"/>
        </w:rPr>
        <w:t>implement</w:t>
      </w:r>
      <w:r w:rsidR="001C585E" w:rsidRPr="005734B8">
        <w:rPr>
          <w:rFonts w:ascii="Calibri" w:eastAsia="Arial" w:hAnsi="Calibri" w:cs="Calibri"/>
        </w:rPr>
        <w:t>ing</w:t>
      </w:r>
      <w:r w:rsidRPr="005734B8">
        <w:rPr>
          <w:rFonts w:ascii="Calibri" w:eastAsia="Arial" w:hAnsi="Calibri" w:cs="Calibri"/>
        </w:rPr>
        <w:t xml:space="preserve"> the new whole</w:t>
      </w:r>
      <w:r w:rsidR="005974EF" w:rsidRPr="005734B8">
        <w:rPr>
          <w:rFonts w:ascii="Calibri" w:eastAsia="Arial" w:hAnsi="Calibri" w:cs="Calibri"/>
        </w:rPr>
        <w:noBreakHyphen/>
      </w:r>
      <w:r w:rsidRPr="005734B8">
        <w:rPr>
          <w:rFonts w:ascii="Calibri" w:eastAsia="Arial" w:hAnsi="Calibri" w:cs="Calibri"/>
        </w:rPr>
        <w:t>of</w:t>
      </w:r>
      <w:r w:rsidR="005974EF" w:rsidRPr="005734B8">
        <w:rPr>
          <w:rFonts w:ascii="Calibri" w:eastAsia="Arial" w:hAnsi="Calibri" w:cs="Calibri"/>
        </w:rPr>
        <w:noBreakHyphen/>
      </w:r>
      <w:r w:rsidRPr="005734B8">
        <w:rPr>
          <w:rFonts w:ascii="Calibri" w:eastAsia="Arial" w:hAnsi="Calibri" w:cs="Calibri"/>
        </w:rPr>
        <w:t xml:space="preserve">government </w:t>
      </w:r>
      <w:r w:rsidR="005974EF" w:rsidRPr="005734B8">
        <w:rPr>
          <w:rFonts w:ascii="Calibri" w:eastAsia="Arial" w:hAnsi="Calibri" w:cs="Calibri"/>
        </w:rPr>
        <w:t>f</w:t>
      </w:r>
      <w:r w:rsidRPr="005734B8">
        <w:rPr>
          <w:rFonts w:ascii="Calibri" w:eastAsia="Arial" w:hAnsi="Calibri" w:cs="Calibri"/>
        </w:rPr>
        <w:t xml:space="preserve">lexible </w:t>
      </w:r>
      <w:r w:rsidR="005974EF" w:rsidRPr="005734B8">
        <w:rPr>
          <w:rFonts w:ascii="Calibri" w:eastAsia="Arial" w:hAnsi="Calibri" w:cs="Calibri"/>
        </w:rPr>
        <w:t>w</w:t>
      </w:r>
      <w:r w:rsidRPr="005734B8">
        <w:rPr>
          <w:rFonts w:ascii="Calibri" w:eastAsia="Arial" w:hAnsi="Calibri" w:cs="Calibri"/>
        </w:rPr>
        <w:t xml:space="preserve">ork </w:t>
      </w:r>
      <w:r w:rsidR="005974EF" w:rsidRPr="005734B8">
        <w:rPr>
          <w:rFonts w:ascii="Calibri" w:eastAsia="Arial" w:hAnsi="Calibri" w:cs="Calibri"/>
        </w:rPr>
        <w:t>p</w:t>
      </w:r>
      <w:r w:rsidRPr="005734B8">
        <w:rPr>
          <w:rFonts w:ascii="Calibri" w:eastAsia="Arial" w:hAnsi="Calibri" w:cs="Calibri"/>
        </w:rPr>
        <w:t>olicy</w:t>
      </w:r>
    </w:p>
    <w:p w14:paraId="13B974C1" w14:textId="7624E184" w:rsidR="00D009FE" w:rsidRPr="005734B8" w:rsidRDefault="001C585E" w:rsidP="00670895">
      <w:pPr>
        <w:pStyle w:val="ListParagraph"/>
        <w:numPr>
          <w:ilvl w:val="0"/>
          <w:numId w:val="73"/>
        </w:numPr>
        <w:rPr>
          <w:rFonts w:ascii="Calibri" w:eastAsia="Arial" w:hAnsi="Calibri" w:cs="Calibri"/>
        </w:rPr>
      </w:pPr>
      <w:r w:rsidRPr="005734B8">
        <w:rPr>
          <w:rFonts w:ascii="Calibri" w:eastAsia="Arial" w:hAnsi="Calibri" w:cs="Calibri"/>
        </w:rPr>
        <w:t>commencing</w:t>
      </w:r>
      <w:r w:rsidR="00D009FE" w:rsidRPr="005734B8">
        <w:rPr>
          <w:rFonts w:ascii="Calibri" w:eastAsia="Arial" w:hAnsi="Calibri" w:cs="Calibri"/>
        </w:rPr>
        <w:t xml:space="preserve"> the development of the Department’s workplace </w:t>
      </w:r>
      <w:r w:rsidR="005974EF" w:rsidRPr="005734B8">
        <w:rPr>
          <w:rFonts w:ascii="Calibri" w:eastAsia="Arial" w:hAnsi="Calibri" w:cs="Calibri"/>
        </w:rPr>
        <w:t>g</w:t>
      </w:r>
      <w:r w:rsidR="00D009FE" w:rsidRPr="005734B8">
        <w:rPr>
          <w:rFonts w:ascii="Calibri" w:eastAsia="Arial" w:hAnsi="Calibri" w:cs="Calibri"/>
        </w:rPr>
        <w:t xml:space="preserve">ender </w:t>
      </w:r>
      <w:r w:rsidR="005974EF" w:rsidRPr="005734B8">
        <w:rPr>
          <w:rFonts w:ascii="Calibri" w:eastAsia="Arial" w:hAnsi="Calibri" w:cs="Calibri"/>
        </w:rPr>
        <w:t>e</w:t>
      </w:r>
      <w:r w:rsidR="00D009FE" w:rsidRPr="005734B8">
        <w:rPr>
          <w:rFonts w:ascii="Calibri" w:eastAsia="Arial" w:hAnsi="Calibri" w:cs="Calibri"/>
        </w:rPr>
        <w:t xml:space="preserve">quality </w:t>
      </w:r>
      <w:r w:rsidR="005974EF" w:rsidRPr="005734B8">
        <w:rPr>
          <w:rFonts w:ascii="Calibri" w:eastAsia="Arial" w:hAnsi="Calibri" w:cs="Calibri"/>
        </w:rPr>
        <w:t>a</w:t>
      </w:r>
      <w:r w:rsidR="00D009FE" w:rsidRPr="005734B8">
        <w:rPr>
          <w:rFonts w:ascii="Calibri" w:eastAsia="Arial" w:hAnsi="Calibri" w:cs="Calibri"/>
        </w:rPr>
        <w:t xml:space="preserve">ction </w:t>
      </w:r>
      <w:r w:rsidR="005974EF" w:rsidRPr="005734B8">
        <w:rPr>
          <w:rFonts w:ascii="Calibri" w:eastAsia="Arial" w:hAnsi="Calibri" w:cs="Calibri"/>
        </w:rPr>
        <w:t>p</w:t>
      </w:r>
      <w:r w:rsidR="00D009FE" w:rsidRPr="005734B8">
        <w:rPr>
          <w:rFonts w:ascii="Calibri" w:eastAsia="Arial" w:hAnsi="Calibri" w:cs="Calibri"/>
        </w:rPr>
        <w:t>lan</w:t>
      </w:r>
    </w:p>
    <w:p w14:paraId="4CC0C204" w14:textId="256AB62B" w:rsidR="00D009FE" w:rsidRPr="005734B8" w:rsidRDefault="001C585E" w:rsidP="00670895">
      <w:pPr>
        <w:pStyle w:val="ListParagraph"/>
        <w:numPr>
          <w:ilvl w:val="0"/>
          <w:numId w:val="73"/>
        </w:numPr>
        <w:rPr>
          <w:rFonts w:ascii="Calibri" w:eastAsia="Arial" w:hAnsi="Calibri" w:cs="Calibri"/>
        </w:rPr>
      </w:pPr>
      <w:r w:rsidRPr="005734B8">
        <w:rPr>
          <w:rFonts w:ascii="Calibri" w:eastAsia="Arial" w:hAnsi="Calibri" w:cs="Calibri"/>
        </w:rPr>
        <w:lastRenderedPageBreak/>
        <w:t>implementing</w:t>
      </w:r>
      <w:r w:rsidR="00D009FE" w:rsidRPr="005734B8">
        <w:rPr>
          <w:rFonts w:ascii="Calibri" w:eastAsia="Arial" w:hAnsi="Calibri" w:cs="Calibri"/>
        </w:rPr>
        <w:t xml:space="preserve"> our </w:t>
      </w:r>
      <w:r w:rsidR="005974EF" w:rsidRPr="005734B8">
        <w:rPr>
          <w:rFonts w:ascii="Calibri" w:eastAsia="Arial" w:hAnsi="Calibri" w:cs="Calibri"/>
        </w:rPr>
        <w:t>d</w:t>
      </w:r>
      <w:r w:rsidR="00D009FE" w:rsidRPr="005734B8">
        <w:rPr>
          <w:rFonts w:ascii="Calibri" w:eastAsia="Arial" w:hAnsi="Calibri" w:cs="Calibri"/>
        </w:rPr>
        <w:t xml:space="preserve">isability </w:t>
      </w:r>
      <w:r w:rsidR="005974EF" w:rsidRPr="005734B8">
        <w:rPr>
          <w:rFonts w:ascii="Calibri" w:eastAsia="Arial" w:hAnsi="Calibri" w:cs="Calibri"/>
        </w:rPr>
        <w:t>e</w:t>
      </w:r>
      <w:r w:rsidR="00D009FE" w:rsidRPr="005734B8">
        <w:rPr>
          <w:rFonts w:ascii="Calibri" w:eastAsia="Arial" w:hAnsi="Calibri" w:cs="Calibri"/>
        </w:rPr>
        <w:t xml:space="preserve">mployment </w:t>
      </w:r>
      <w:r w:rsidR="005974EF" w:rsidRPr="005734B8">
        <w:rPr>
          <w:rFonts w:ascii="Calibri" w:eastAsia="Arial" w:hAnsi="Calibri" w:cs="Calibri"/>
        </w:rPr>
        <w:t>p</w:t>
      </w:r>
      <w:r w:rsidR="00D009FE" w:rsidRPr="005734B8">
        <w:rPr>
          <w:rFonts w:ascii="Calibri" w:eastAsia="Arial" w:hAnsi="Calibri" w:cs="Calibri"/>
        </w:rPr>
        <w:t xml:space="preserve">rogram, including commencement of the RISE program </w:t>
      </w:r>
      <w:r w:rsidRPr="005734B8">
        <w:rPr>
          <w:rFonts w:ascii="Calibri" w:eastAsia="Arial" w:hAnsi="Calibri" w:cs="Calibri"/>
        </w:rPr>
        <w:t>to</w:t>
      </w:r>
      <w:r w:rsidR="00D009FE" w:rsidRPr="005734B8">
        <w:rPr>
          <w:rFonts w:ascii="Calibri" w:eastAsia="Arial" w:hAnsi="Calibri" w:cs="Calibri"/>
        </w:rPr>
        <w:t xml:space="preserve"> provide employment for people with autism</w:t>
      </w:r>
    </w:p>
    <w:p w14:paraId="3E76E9BB" w14:textId="278944E9" w:rsidR="00D009FE" w:rsidRPr="005734B8" w:rsidRDefault="00D009FE" w:rsidP="00670895">
      <w:pPr>
        <w:pStyle w:val="ListParagraph"/>
        <w:numPr>
          <w:ilvl w:val="0"/>
          <w:numId w:val="73"/>
        </w:numPr>
        <w:rPr>
          <w:rFonts w:ascii="Calibri" w:eastAsia="Arial" w:hAnsi="Calibri" w:cs="Calibri"/>
        </w:rPr>
      </w:pPr>
      <w:r w:rsidRPr="005734B8">
        <w:rPr>
          <w:rFonts w:ascii="Calibri" w:eastAsia="Arial" w:hAnsi="Calibri" w:cs="Calibri"/>
        </w:rPr>
        <w:t>achieving a silver award in the Australian Workplace Equality Index</w:t>
      </w:r>
      <w:r w:rsidR="00751945" w:rsidRPr="005734B8">
        <w:rPr>
          <w:rFonts w:ascii="Calibri" w:eastAsia="Arial" w:hAnsi="Calibri" w:cs="Calibri"/>
        </w:rPr>
        <w:t>—</w:t>
      </w:r>
      <w:r w:rsidRPr="005734B8">
        <w:rPr>
          <w:rFonts w:ascii="Calibri" w:eastAsia="Arial" w:hAnsi="Calibri" w:cs="Calibri"/>
        </w:rPr>
        <w:t>the national benchmark on LGBT</w:t>
      </w:r>
      <w:r w:rsidR="001C585E" w:rsidRPr="005734B8">
        <w:rPr>
          <w:rFonts w:ascii="Calibri" w:eastAsia="Arial" w:hAnsi="Calibri" w:cs="Calibri"/>
        </w:rPr>
        <w:t>I</w:t>
      </w:r>
      <w:r w:rsidRPr="005734B8">
        <w:rPr>
          <w:rFonts w:ascii="Calibri" w:eastAsia="Arial" w:hAnsi="Calibri" w:cs="Calibri"/>
        </w:rPr>
        <w:t>Q</w:t>
      </w:r>
      <w:r w:rsidR="001C585E" w:rsidRPr="005734B8">
        <w:rPr>
          <w:rFonts w:ascii="Calibri" w:eastAsia="Arial" w:hAnsi="Calibri" w:cs="Calibri"/>
        </w:rPr>
        <w:t>+</w:t>
      </w:r>
      <w:r w:rsidRPr="005734B8">
        <w:rPr>
          <w:rFonts w:ascii="Calibri" w:eastAsia="Arial" w:hAnsi="Calibri" w:cs="Calibri"/>
        </w:rPr>
        <w:t xml:space="preserve"> workplace inclusion</w:t>
      </w:r>
    </w:p>
    <w:p w14:paraId="50DF7630" w14:textId="267842DF" w:rsidR="00D009FE" w:rsidRPr="005734B8" w:rsidRDefault="00D009FE" w:rsidP="00670895">
      <w:pPr>
        <w:pStyle w:val="ListParagraph"/>
        <w:numPr>
          <w:ilvl w:val="0"/>
          <w:numId w:val="73"/>
        </w:numPr>
        <w:rPr>
          <w:rFonts w:ascii="Calibri" w:eastAsia="Arial" w:hAnsi="Calibri" w:cs="Calibri"/>
        </w:rPr>
      </w:pPr>
      <w:r w:rsidRPr="005734B8">
        <w:rPr>
          <w:rFonts w:ascii="Calibri" w:eastAsia="Arial" w:hAnsi="Calibri" w:cs="Calibri"/>
        </w:rPr>
        <w:t>releas</w:t>
      </w:r>
      <w:r w:rsidR="001C585E" w:rsidRPr="005734B8">
        <w:rPr>
          <w:rFonts w:ascii="Calibri" w:eastAsia="Arial" w:hAnsi="Calibri" w:cs="Calibri"/>
        </w:rPr>
        <w:t>ing</w:t>
      </w:r>
      <w:r w:rsidRPr="005734B8">
        <w:rPr>
          <w:rFonts w:ascii="Calibri" w:eastAsia="Arial" w:hAnsi="Calibri" w:cs="Calibri"/>
        </w:rPr>
        <w:t xml:space="preserve"> </w:t>
      </w:r>
      <w:r w:rsidR="001C585E" w:rsidRPr="005734B8">
        <w:rPr>
          <w:rFonts w:ascii="Calibri" w:eastAsia="Arial" w:hAnsi="Calibri" w:cs="Calibri"/>
        </w:rPr>
        <w:t>an</w:t>
      </w:r>
      <w:r w:rsidRPr="005734B8">
        <w:rPr>
          <w:rFonts w:ascii="Calibri" w:eastAsia="Arial" w:hAnsi="Calibri" w:cs="Calibri"/>
        </w:rPr>
        <w:t xml:space="preserve"> </w:t>
      </w:r>
      <w:r w:rsidR="005974EF" w:rsidRPr="005734B8">
        <w:rPr>
          <w:rFonts w:ascii="Calibri" w:eastAsia="Arial" w:hAnsi="Calibri" w:cs="Calibri"/>
        </w:rPr>
        <w:t>i</w:t>
      </w:r>
      <w:r w:rsidRPr="005734B8">
        <w:rPr>
          <w:rFonts w:ascii="Calibri" w:eastAsia="Arial" w:hAnsi="Calibri" w:cs="Calibri"/>
        </w:rPr>
        <w:t xml:space="preserve">nclusive </w:t>
      </w:r>
      <w:r w:rsidR="005974EF" w:rsidRPr="005734B8">
        <w:rPr>
          <w:rFonts w:ascii="Calibri" w:eastAsia="Arial" w:hAnsi="Calibri" w:cs="Calibri"/>
        </w:rPr>
        <w:t>r</w:t>
      </w:r>
      <w:r w:rsidRPr="005734B8">
        <w:rPr>
          <w:rFonts w:ascii="Calibri" w:eastAsia="Arial" w:hAnsi="Calibri" w:cs="Calibri"/>
        </w:rPr>
        <w:t xml:space="preserve">ecruitment </w:t>
      </w:r>
      <w:r w:rsidR="00C02B69" w:rsidRPr="005734B8">
        <w:rPr>
          <w:rFonts w:ascii="Calibri" w:eastAsia="Arial" w:hAnsi="Calibri" w:cs="Calibri"/>
        </w:rPr>
        <w:t>eLearning</w:t>
      </w:r>
      <w:r w:rsidRPr="005734B8">
        <w:rPr>
          <w:rFonts w:ascii="Calibri" w:eastAsia="Arial" w:hAnsi="Calibri" w:cs="Calibri"/>
        </w:rPr>
        <w:t xml:space="preserve"> module for all staff</w:t>
      </w:r>
      <w:r w:rsidR="001C585E" w:rsidRPr="005734B8">
        <w:rPr>
          <w:rFonts w:ascii="Calibri" w:eastAsia="Arial" w:hAnsi="Calibri" w:cs="Calibri"/>
        </w:rPr>
        <w:t xml:space="preserve"> and </w:t>
      </w:r>
      <w:r w:rsidRPr="005734B8">
        <w:rPr>
          <w:rFonts w:ascii="Calibri" w:eastAsia="Arial" w:hAnsi="Calibri" w:cs="Calibri"/>
        </w:rPr>
        <w:t xml:space="preserve">provided diversity and inclusion training to raise awareness and capability around LGBTIQ+ awareness, disability confidence, </w:t>
      </w:r>
      <w:r w:rsidR="00751945" w:rsidRPr="005734B8">
        <w:rPr>
          <w:rFonts w:ascii="Calibri" w:eastAsia="Arial" w:hAnsi="Calibri" w:cs="Calibri"/>
        </w:rPr>
        <w:t xml:space="preserve">and </w:t>
      </w:r>
      <w:r w:rsidR="005974EF" w:rsidRPr="005734B8">
        <w:rPr>
          <w:rFonts w:ascii="Calibri" w:eastAsia="Arial" w:hAnsi="Calibri" w:cs="Calibri"/>
        </w:rPr>
        <w:t>h</w:t>
      </w:r>
      <w:r w:rsidRPr="005734B8">
        <w:rPr>
          <w:rFonts w:ascii="Calibri" w:eastAsia="Arial" w:hAnsi="Calibri" w:cs="Calibri"/>
        </w:rPr>
        <w:t xml:space="preserve">uman </w:t>
      </w:r>
      <w:r w:rsidR="005974EF" w:rsidRPr="005734B8">
        <w:rPr>
          <w:rFonts w:ascii="Calibri" w:eastAsia="Arial" w:hAnsi="Calibri" w:cs="Calibri"/>
        </w:rPr>
        <w:t>r</w:t>
      </w:r>
      <w:r w:rsidRPr="005734B8">
        <w:rPr>
          <w:rFonts w:ascii="Calibri" w:eastAsia="Arial" w:hAnsi="Calibri" w:cs="Calibri"/>
        </w:rPr>
        <w:t>ights</w:t>
      </w:r>
      <w:r w:rsidR="00E150C7" w:rsidRPr="005734B8">
        <w:rPr>
          <w:rFonts w:ascii="Calibri" w:eastAsia="Arial" w:hAnsi="Calibri" w:cs="Calibri"/>
        </w:rPr>
        <w:t>.</w:t>
      </w:r>
    </w:p>
    <w:p w14:paraId="21759EBE" w14:textId="13F185EC" w:rsidR="008B7F3C" w:rsidRPr="005734B8" w:rsidRDefault="008B7F3C" w:rsidP="008B7F3C">
      <w:pPr>
        <w:pStyle w:val="ESHeading2"/>
        <w:rPr>
          <w:rFonts w:ascii="Calibri" w:hAnsi="Calibri" w:cs="Calibri"/>
        </w:rPr>
      </w:pPr>
      <w:bookmarkStart w:id="651" w:name="_Toc71037323"/>
      <w:bookmarkStart w:id="652" w:name="_Toc81315333"/>
      <w:bookmarkStart w:id="653" w:name="_Toc11158237"/>
      <w:bookmarkStart w:id="654" w:name="_Toc11336244"/>
      <w:bookmarkStart w:id="655" w:name="_Toc13656684"/>
      <w:bookmarkStart w:id="656" w:name="_Toc14965470"/>
      <w:bookmarkStart w:id="657" w:name="_Toc15985270"/>
      <w:bookmarkStart w:id="658" w:name="_Toc19272048"/>
      <w:bookmarkStart w:id="659" w:name="_Toc19272414"/>
      <w:bookmarkStart w:id="660" w:name="_Toc19273749"/>
      <w:bookmarkStart w:id="661" w:name="_Toc48402790"/>
      <w:bookmarkStart w:id="662" w:name="_Toc48403027"/>
      <w:bookmarkStart w:id="663" w:name="_Toc51332770"/>
      <w:bookmarkEnd w:id="640"/>
      <w:bookmarkEnd w:id="641"/>
      <w:bookmarkEnd w:id="642"/>
      <w:bookmarkEnd w:id="643"/>
      <w:bookmarkEnd w:id="644"/>
      <w:bookmarkEnd w:id="645"/>
      <w:bookmarkEnd w:id="646"/>
      <w:bookmarkEnd w:id="647"/>
      <w:bookmarkEnd w:id="648"/>
      <w:bookmarkEnd w:id="649"/>
      <w:bookmarkEnd w:id="650"/>
      <w:r w:rsidRPr="005734B8">
        <w:rPr>
          <w:rFonts w:ascii="Calibri" w:hAnsi="Calibri" w:cs="Calibri"/>
        </w:rPr>
        <w:t>Industrial relations</w:t>
      </w:r>
      <w:bookmarkEnd w:id="651"/>
      <w:bookmarkEnd w:id="652"/>
    </w:p>
    <w:p w14:paraId="44515B89" w14:textId="32F47178" w:rsidR="008B7F3C" w:rsidRPr="005734B8" w:rsidRDefault="008B7F3C" w:rsidP="008B7F3C">
      <w:pPr>
        <w:rPr>
          <w:rFonts w:ascii="Calibri" w:hAnsi="Calibri" w:cs="Calibri"/>
        </w:rPr>
      </w:pPr>
      <w:r w:rsidRPr="005734B8">
        <w:rPr>
          <w:rFonts w:ascii="Calibri" w:hAnsi="Calibri" w:cs="Calibri"/>
        </w:rPr>
        <w:t>Department employees, other than executive officers, are covered by industrial agreements. Industrial action is not permitted on specified matters in industrial agreements prior to their nominal expiry dates.</w:t>
      </w:r>
    </w:p>
    <w:p w14:paraId="00316D77" w14:textId="77777777" w:rsidR="008B7F3C" w:rsidRPr="005734B8" w:rsidRDefault="008B7F3C" w:rsidP="008B7F3C">
      <w:pPr>
        <w:rPr>
          <w:rFonts w:ascii="Calibri" w:hAnsi="Calibri" w:cs="Calibri"/>
        </w:rPr>
      </w:pPr>
    </w:p>
    <w:p w14:paraId="034127C8" w14:textId="4F366B96" w:rsidR="008B7F3C" w:rsidRPr="005734B8" w:rsidRDefault="008B7F3C" w:rsidP="008B7F3C">
      <w:pPr>
        <w:rPr>
          <w:rFonts w:ascii="Calibri" w:hAnsi="Calibri" w:cs="Calibri"/>
        </w:rPr>
      </w:pPr>
      <w:r w:rsidRPr="005734B8">
        <w:rPr>
          <w:rFonts w:ascii="Calibri" w:hAnsi="Calibri" w:cs="Calibri"/>
        </w:rPr>
        <w:t xml:space="preserve">The Victorian Government Schools Agreement 2017 commenced on 22 August 2017 with a nominal expiry date of 30 April 2021. This agreement applies to the government teaching service, including executives, principals, teachers, paraprofessionals and education support staff. </w:t>
      </w:r>
      <w:r w:rsidR="00751945" w:rsidRPr="005734B8">
        <w:rPr>
          <w:rFonts w:ascii="Calibri" w:hAnsi="Calibri" w:cs="Calibri"/>
        </w:rPr>
        <w:t>A</w:t>
      </w:r>
      <w:r w:rsidRPr="005734B8">
        <w:rPr>
          <w:rFonts w:ascii="Calibri" w:hAnsi="Calibri" w:cs="Calibri"/>
        </w:rPr>
        <w:t xml:space="preserve"> replacement agreement </w:t>
      </w:r>
      <w:r w:rsidR="00751945" w:rsidRPr="005734B8">
        <w:rPr>
          <w:rFonts w:ascii="Calibri" w:hAnsi="Calibri" w:cs="Calibri"/>
        </w:rPr>
        <w:t>is being negotiated</w:t>
      </w:r>
      <w:r w:rsidRPr="005734B8">
        <w:rPr>
          <w:rFonts w:ascii="Calibri" w:hAnsi="Calibri" w:cs="Calibri"/>
        </w:rPr>
        <w:t>.</w:t>
      </w:r>
    </w:p>
    <w:p w14:paraId="759FC3F3" w14:textId="77777777" w:rsidR="008B7F3C" w:rsidRPr="005734B8" w:rsidRDefault="008B7F3C" w:rsidP="008B7F3C">
      <w:pPr>
        <w:rPr>
          <w:rFonts w:ascii="Calibri" w:hAnsi="Calibri" w:cs="Calibri"/>
        </w:rPr>
      </w:pPr>
    </w:p>
    <w:p w14:paraId="3C28AB02" w14:textId="5743FA84" w:rsidR="008B7F3C" w:rsidRPr="005734B8" w:rsidRDefault="008B7F3C" w:rsidP="008B7F3C">
      <w:pPr>
        <w:rPr>
          <w:rFonts w:ascii="Calibri" w:hAnsi="Calibri" w:cs="Calibri"/>
        </w:rPr>
      </w:pPr>
      <w:r w:rsidRPr="005734B8">
        <w:rPr>
          <w:rFonts w:ascii="Calibri" w:hAnsi="Calibri" w:cs="Calibri"/>
        </w:rPr>
        <w:t>The VPS Agreement 2020 came into effect on 9 October 2020 and expires on 20</w:t>
      </w:r>
      <w:r w:rsidR="00751945" w:rsidRPr="005734B8">
        <w:rPr>
          <w:rFonts w:ascii="Calibri" w:hAnsi="Calibri" w:cs="Calibri"/>
        </w:rPr>
        <w:t> </w:t>
      </w:r>
      <w:r w:rsidRPr="005734B8">
        <w:rPr>
          <w:rFonts w:ascii="Calibri" w:hAnsi="Calibri" w:cs="Calibri"/>
        </w:rPr>
        <w:t>March</w:t>
      </w:r>
      <w:r w:rsidR="00751945" w:rsidRPr="005734B8">
        <w:rPr>
          <w:rFonts w:ascii="Calibri" w:hAnsi="Calibri" w:cs="Calibri"/>
        </w:rPr>
        <w:t> </w:t>
      </w:r>
      <w:r w:rsidRPr="005734B8">
        <w:rPr>
          <w:rFonts w:ascii="Calibri" w:hAnsi="Calibri" w:cs="Calibri"/>
        </w:rPr>
        <w:t>2024. The Nurses (Department) Agreement came into effect on 18</w:t>
      </w:r>
      <w:r w:rsidR="00751945" w:rsidRPr="005734B8">
        <w:rPr>
          <w:rFonts w:ascii="Calibri" w:hAnsi="Calibri" w:cs="Calibri"/>
        </w:rPr>
        <w:t> </w:t>
      </w:r>
      <w:r w:rsidRPr="005734B8">
        <w:rPr>
          <w:rFonts w:ascii="Calibri" w:hAnsi="Calibri" w:cs="Calibri"/>
        </w:rPr>
        <w:t>December</w:t>
      </w:r>
      <w:r w:rsidR="00751945" w:rsidRPr="005734B8">
        <w:rPr>
          <w:rFonts w:ascii="Calibri" w:hAnsi="Calibri" w:cs="Calibri"/>
        </w:rPr>
        <w:t> </w:t>
      </w:r>
      <w:r w:rsidRPr="005734B8">
        <w:rPr>
          <w:rFonts w:ascii="Calibri" w:hAnsi="Calibri" w:cs="Calibri"/>
        </w:rPr>
        <w:t xml:space="preserve">2006 and expired on 31 December 2020. </w:t>
      </w:r>
    </w:p>
    <w:p w14:paraId="7F354257" w14:textId="77777777" w:rsidR="008B7F3C" w:rsidRPr="005734B8" w:rsidRDefault="008B7F3C" w:rsidP="008B7F3C">
      <w:pPr>
        <w:rPr>
          <w:rFonts w:ascii="Calibri" w:hAnsi="Calibri" w:cs="Calibri"/>
        </w:rPr>
      </w:pPr>
    </w:p>
    <w:p w14:paraId="393F02E9" w14:textId="77777777" w:rsidR="008B7F3C" w:rsidRPr="005734B8" w:rsidRDefault="008B7F3C" w:rsidP="008B7F3C">
      <w:pPr>
        <w:rPr>
          <w:rFonts w:ascii="Calibri" w:hAnsi="Calibri" w:cs="Calibri"/>
        </w:rPr>
      </w:pPr>
      <w:r w:rsidRPr="005734B8">
        <w:rPr>
          <w:rFonts w:ascii="Calibri" w:hAnsi="Calibri" w:cs="Calibri"/>
        </w:rPr>
        <w:t>No time was lost due to industrial action during 2020–21.</w:t>
      </w:r>
    </w:p>
    <w:p w14:paraId="4A824C1F" w14:textId="77777777" w:rsidR="007B6C6A" w:rsidRPr="005734B8" w:rsidRDefault="007B6C6A" w:rsidP="007B6C6A">
      <w:pPr>
        <w:pStyle w:val="ESHeading2"/>
        <w:rPr>
          <w:rFonts w:ascii="Calibri" w:hAnsi="Calibri" w:cs="Calibri"/>
        </w:rPr>
      </w:pPr>
      <w:bookmarkStart w:id="664" w:name="_Toc71037324"/>
      <w:bookmarkStart w:id="665" w:name="_Toc81315334"/>
      <w:bookmarkEnd w:id="653"/>
      <w:bookmarkEnd w:id="654"/>
      <w:bookmarkEnd w:id="655"/>
      <w:bookmarkEnd w:id="656"/>
      <w:bookmarkEnd w:id="657"/>
      <w:bookmarkEnd w:id="658"/>
      <w:bookmarkEnd w:id="659"/>
      <w:bookmarkEnd w:id="660"/>
      <w:bookmarkEnd w:id="661"/>
      <w:bookmarkEnd w:id="662"/>
      <w:bookmarkEnd w:id="663"/>
      <w:r w:rsidRPr="005734B8">
        <w:rPr>
          <w:rFonts w:ascii="Calibri" w:hAnsi="Calibri" w:cs="Calibri"/>
        </w:rPr>
        <w:t>Executive officer data</w:t>
      </w:r>
      <w:bookmarkEnd w:id="664"/>
      <w:bookmarkEnd w:id="665"/>
    </w:p>
    <w:p w14:paraId="0B7BC7A2" w14:textId="1B71BE8E" w:rsidR="007B6C6A" w:rsidRPr="005734B8" w:rsidRDefault="007B6C6A" w:rsidP="007B6C6A">
      <w:pPr>
        <w:pStyle w:val="ESTableintroheading"/>
        <w:rPr>
          <w:rFonts w:ascii="Calibri" w:eastAsiaTheme="minorHAnsi" w:hAnsi="Calibri" w:cs="Calibri"/>
          <w:b w:val="0"/>
          <w:color w:val="auto"/>
          <w:sz w:val="22"/>
          <w:szCs w:val="24"/>
          <w:lang w:val="en-GB"/>
        </w:rPr>
      </w:pPr>
      <w:r w:rsidRPr="005734B8">
        <w:rPr>
          <w:rFonts w:ascii="Calibri" w:eastAsiaTheme="minorHAnsi" w:hAnsi="Calibri" w:cs="Calibri"/>
          <w:b w:val="0"/>
          <w:color w:val="auto"/>
          <w:sz w:val="22"/>
          <w:szCs w:val="24"/>
          <w:lang w:val="en-GB"/>
        </w:rPr>
        <w:t>The following tables disclose information about the executive officers of the Department and its portfolio agencies as at 30 June 2021.</w:t>
      </w:r>
    </w:p>
    <w:p w14:paraId="6255C25B" w14:textId="10FFE405" w:rsidR="007B6C6A" w:rsidRPr="005734B8" w:rsidRDefault="007B6C6A" w:rsidP="007B6C6A">
      <w:pPr>
        <w:pStyle w:val="ESTableintroheading"/>
        <w:rPr>
          <w:rFonts w:ascii="Calibri" w:hAnsi="Calibri" w:cs="Calibri"/>
        </w:rPr>
      </w:pPr>
      <w:r w:rsidRPr="005734B8">
        <w:rPr>
          <w:rFonts w:ascii="Calibri" w:hAnsi="Calibri" w:cs="Calibri"/>
        </w:rPr>
        <w:t>Total number of executive officers (FTE) in the Department by gender</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80"/>
        <w:gridCol w:w="880"/>
        <w:gridCol w:w="880"/>
        <w:gridCol w:w="880"/>
        <w:gridCol w:w="880"/>
        <w:gridCol w:w="880"/>
        <w:gridCol w:w="880"/>
        <w:gridCol w:w="880"/>
        <w:gridCol w:w="881"/>
      </w:tblGrid>
      <w:tr w:rsidR="007B6C6A" w:rsidRPr="005734B8" w14:paraId="301FD89F" w14:textId="77777777" w:rsidTr="007B6C6A">
        <w:trPr>
          <w:cantSplit/>
          <w:trHeight w:val="242"/>
          <w:tblHeader/>
        </w:trPr>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cPr>
          <w:p w14:paraId="7D0523A0" w14:textId="77777777" w:rsidR="007B6C6A" w:rsidRPr="005734B8" w:rsidRDefault="007B6C6A">
            <w:pPr>
              <w:pStyle w:val="ESTableheadingwhite"/>
              <w:rPr>
                <w:rFonts w:ascii="Calibri" w:hAnsi="Calibri" w:cs="Calibri"/>
                <w:sz w:val="18"/>
              </w:rPr>
            </w:pPr>
          </w:p>
        </w:tc>
        <w:tc>
          <w:tcPr>
            <w:tcW w:w="17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hemeFill="accent4"/>
            <w:hideMark/>
          </w:tcPr>
          <w:p w14:paraId="4934B11B" w14:textId="77777777" w:rsidR="007B6C6A" w:rsidRPr="005734B8" w:rsidRDefault="007B6C6A">
            <w:pPr>
              <w:pStyle w:val="ESTableheadingwhite"/>
              <w:jc w:val="center"/>
              <w:rPr>
                <w:rFonts w:ascii="Calibri" w:hAnsi="Calibri" w:cs="Calibri"/>
                <w:sz w:val="18"/>
              </w:rPr>
            </w:pPr>
            <w:r w:rsidRPr="005734B8">
              <w:rPr>
                <w:rFonts w:ascii="Calibri" w:hAnsi="Calibri" w:cs="Calibri"/>
                <w:sz w:val="18"/>
              </w:rPr>
              <w:t>All</w:t>
            </w:r>
          </w:p>
        </w:tc>
        <w:tc>
          <w:tcPr>
            <w:tcW w:w="17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hemeFill="accent4"/>
            <w:hideMark/>
          </w:tcPr>
          <w:p w14:paraId="057B2CA8" w14:textId="77777777" w:rsidR="007B6C6A" w:rsidRPr="005734B8" w:rsidRDefault="007B6C6A">
            <w:pPr>
              <w:pStyle w:val="ESTableheadingwhite"/>
              <w:jc w:val="center"/>
              <w:rPr>
                <w:rFonts w:ascii="Calibri" w:hAnsi="Calibri" w:cs="Calibri"/>
                <w:sz w:val="18"/>
              </w:rPr>
            </w:pPr>
            <w:r w:rsidRPr="005734B8">
              <w:rPr>
                <w:rFonts w:ascii="Calibri" w:hAnsi="Calibri" w:cs="Calibri"/>
                <w:sz w:val="18"/>
              </w:rPr>
              <w:t>Men</w:t>
            </w:r>
          </w:p>
        </w:tc>
        <w:tc>
          <w:tcPr>
            <w:tcW w:w="17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hemeFill="accent4"/>
            <w:hideMark/>
          </w:tcPr>
          <w:p w14:paraId="616CE652" w14:textId="77777777" w:rsidR="007B6C6A" w:rsidRPr="005734B8" w:rsidRDefault="007B6C6A">
            <w:pPr>
              <w:pStyle w:val="ESTableheadingwhite"/>
              <w:jc w:val="center"/>
              <w:rPr>
                <w:rFonts w:ascii="Calibri" w:hAnsi="Calibri" w:cs="Calibri"/>
                <w:sz w:val="18"/>
              </w:rPr>
            </w:pPr>
            <w:r w:rsidRPr="005734B8">
              <w:rPr>
                <w:rFonts w:ascii="Calibri" w:hAnsi="Calibri" w:cs="Calibri"/>
                <w:sz w:val="18"/>
              </w:rPr>
              <w:t>Women</w:t>
            </w:r>
          </w:p>
        </w:tc>
        <w:tc>
          <w:tcPr>
            <w:tcW w:w="17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hemeFill="accent4"/>
            <w:hideMark/>
          </w:tcPr>
          <w:p w14:paraId="29CCC7F5" w14:textId="77777777" w:rsidR="007B6C6A" w:rsidRPr="005734B8" w:rsidRDefault="007B6C6A">
            <w:pPr>
              <w:pStyle w:val="ESTableheadingwhite"/>
              <w:jc w:val="center"/>
              <w:rPr>
                <w:rFonts w:ascii="Calibri" w:hAnsi="Calibri" w:cs="Calibri"/>
                <w:sz w:val="18"/>
              </w:rPr>
            </w:pPr>
            <w:r w:rsidRPr="005734B8">
              <w:rPr>
                <w:rFonts w:ascii="Calibri" w:hAnsi="Calibri" w:cs="Calibri"/>
                <w:sz w:val="18"/>
              </w:rPr>
              <w:t>Self-described</w:t>
            </w:r>
          </w:p>
        </w:tc>
      </w:tr>
      <w:tr w:rsidR="007B6C6A" w:rsidRPr="005734B8" w14:paraId="26E19577" w14:textId="77777777" w:rsidTr="007B6C6A">
        <w:trPr>
          <w:cantSplit/>
          <w:trHeight w:val="242"/>
          <w:tblHeader/>
        </w:trPr>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hideMark/>
          </w:tcPr>
          <w:p w14:paraId="50C624B3" w14:textId="77777777" w:rsidR="007B6C6A" w:rsidRPr="005734B8" w:rsidRDefault="007B6C6A">
            <w:pPr>
              <w:pStyle w:val="ESTableheadingwhite"/>
              <w:rPr>
                <w:rFonts w:ascii="Calibri" w:hAnsi="Calibri" w:cs="Calibri"/>
                <w:sz w:val="18"/>
              </w:rPr>
            </w:pPr>
            <w:r w:rsidRPr="005734B8">
              <w:rPr>
                <w:rFonts w:ascii="Calibri" w:hAnsi="Calibri" w:cs="Calibri"/>
                <w:sz w:val="18"/>
              </w:rPr>
              <w:t>Class</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hideMark/>
          </w:tcPr>
          <w:p w14:paraId="5C7AD82B" w14:textId="77777777" w:rsidR="007B6C6A" w:rsidRPr="005734B8" w:rsidRDefault="007B6C6A">
            <w:pPr>
              <w:pStyle w:val="ESTableheadingwhite"/>
              <w:jc w:val="right"/>
              <w:rPr>
                <w:rFonts w:ascii="Calibri" w:hAnsi="Calibri" w:cs="Calibri"/>
                <w:sz w:val="18"/>
              </w:rPr>
            </w:pPr>
            <w:r w:rsidRPr="005734B8">
              <w:rPr>
                <w:rFonts w:ascii="Calibri" w:hAnsi="Calibri" w:cs="Calibri"/>
                <w:sz w:val="18"/>
              </w:rPr>
              <w:t>No.</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hideMark/>
          </w:tcPr>
          <w:p w14:paraId="6FC3CE19" w14:textId="77777777" w:rsidR="007B6C6A" w:rsidRPr="005734B8" w:rsidRDefault="007B6C6A">
            <w:pPr>
              <w:pStyle w:val="ESTableheadingwhite"/>
              <w:jc w:val="right"/>
              <w:rPr>
                <w:rFonts w:ascii="Calibri" w:hAnsi="Calibri" w:cs="Calibri"/>
                <w:sz w:val="18"/>
              </w:rPr>
            </w:pPr>
            <w:r w:rsidRPr="005734B8">
              <w:rPr>
                <w:rFonts w:ascii="Calibri" w:hAnsi="Calibri" w:cs="Calibri"/>
                <w:sz w:val="18"/>
              </w:rPr>
              <w:t>Var.</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hideMark/>
          </w:tcPr>
          <w:p w14:paraId="45C6852D" w14:textId="77777777" w:rsidR="007B6C6A" w:rsidRPr="005734B8" w:rsidRDefault="007B6C6A">
            <w:pPr>
              <w:pStyle w:val="ESTableheadingwhite"/>
              <w:jc w:val="right"/>
              <w:rPr>
                <w:rFonts w:ascii="Calibri" w:hAnsi="Calibri" w:cs="Calibri"/>
                <w:sz w:val="18"/>
              </w:rPr>
            </w:pPr>
            <w:r w:rsidRPr="005734B8">
              <w:rPr>
                <w:rFonts w:ascii="Calibri" w:hAnsi="Calibri" w:cs="Calibri"/>
                <w:sz w:val="18"/>
              </w:rPr>
              <w:t>No.</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hideMark/>
          </w:tcPr>
          <w:p w14:paraId="6BEFDEFE" w14:textId="77777777" w:rsidR="007B6C6A" w:rsidRPr="005734B8" w:rsidRDefault="007B6C6A">
            <w:pPr>
              <w:pStyle w:val="ESTableheadingwhite"/>
              <w:jc w:val="right"/>
              <w:rPr>
                <w:rFonts w:ascii="Calibri" w:hAnsi="Calibri" w:cs="Calibri"/>
                <w:sz w:val="18"/>
              </w:rPr>
            </w:pPr>
            <w:r w:rsidRPr="005734B8">
              <w:rPr>
                <w:rFonts w:ascii="Calibri" w:hAnsi="Calibri" w:cs="Calibri"/>
                <w:sz w:val="18"/>
              </w:rPr>
              <w:t>Var.</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hideMark/>
          </w:tcPr>
          <w:p w14:paraId="6C4AB9B2" w14:textId="77777777" w:rsidR="007B6C6A" w:rsidRPr="005734B8" w:rsidRDefault="007B6C6A">
            <w:pPr>
              <w:pStyle w:val="ESTableheadingwhite"/>
              <w:jc w:val="right"/>
              <w:rPr>
                <w:rFonts w:ascii="Calibri" w:hAnsi="Calibri" w:cs="Calibri"/>
                <w:sz w:val="18"/>
              </w:rPr>
            </w:pPr>
            <w:r w:rsidRPr="005734B8">
              <w:rPr>
                <w:rFonts w:ascii="Calibri" w:hAnsi="Calibri" w:cs="Calibri"/>
                <w:sz w:val="18"/>
              </w:rPr>
              <w:t>No.</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hideMark/>
          </w:tcPr>
          <w:p w14:paraId="09C2D296" w14:textId="77777777" w:rsidR="007B6C6A" w:rsidRPr="005734B8" w:rsidRDefault="007B6C6A">
            <w:pPr>
              <w:pStyle w:val="ESTableheadingwhite"/>
              <w:jc w:val="right"/>
              <w:rPr>
                <w:rFonts w:ascii="Calibri" w:hAnsi="Calibri" w:cs="Calibri"/>
                <w:sz w:val="18"/>
              </w:rPr>
            </w:pPr>
            <w:r w:rsidRPr="005734B8">
              <w:rPr>
                <w:rFonts w:ascii="Calibri" w:hAnsi="Calibri" w:cs="Calibri"/>
                <w:sz w:val="18"/>
              </w:rPr>
              <w:t>Var.</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hideMark/>
          </w:tcPr>
          <w:p w14:paraId="12156DC8" w14:textId="77777777" w:rsidR="007B6C6A" w:rsidRPr="005734B8" w:rsidRDefault="007B6C6A">
            <w:pPr>
              <w:pStyle w:val="ESTableheadingwhite"/>
              <w:jc w:val="right"/>
              <w:rPr>
                <w:rFonts w:ascii="Calibri" w:hAnsi="Calibri" w:cs="Calibri"/>
                <w:sz w:val="18"/>
              </w:rPr>
            </w:pPr>
            <w:r w:rsidRPr="005734B8">
              <w:rPr>
                <w:rFonts w:ascii="Calibri" w:hAnsi="Calibri" w:cs="Calibri"/>
                <w:sz w:val="18"/>
              </w:rPr>
              <w:t>No.</w:t>
            </w:r>
          </w:p>
        </w:tc>
        <w:tc>
          <w:tcPr>
            <w:tcW w:w="8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hideMark/>
          </w:tcPr>
          <w:p w14:paraId="5B21485A" w14:textId="77777777" w:rsidR="007B6C6A" w:rsidRPr="005734B8" w:rsidRDefault="007B6C6A">
            <w:pPr>
              <w:pStyle w:val="ESTableheadingwhite"/>
              <w:jc w:val="right"/>
              <w:rPr>
                <w:rFonts w:ascii="Calibri" w:hAnsi="Calibri" w:cs="Calibri"/>
                <w:sz w:val="18"/>
              </w:rPr>
            </w:pPr>
            <w:r w:rsidRPr="005734B8">
              <w:rPr>
                <w:rFonts w:ascii="Calibri" w:hAnsi="Calibri" w:cs="Calibri"/>
                <w:sz w:val="18"/>
              </w:rPr>
              <w:t>Var.</w:t>
            </w:r>
          </w:p>
        </w:tc>
      </w:tr>
      <w:tr w:rsidR="007B6C6A" w:rsidRPr="005734B8" w14:paraId="14FE9A0E" w14:textId="77777777" w:rsidTr="007B6C6A">
        <w:trPr>
          <w:cantSplit/>
        </w:trPr>
        <w:tc>
          <w:tcPr>
            <w:tcW w:w="880" w:type="dxa"/>
            <w:tcBorders>
              <w:top w:val="single" w:sz="4" w:space="0" w:color="FFFFFF" w:themeColor="background1"/>
              <w:left w:val="single" w:sz="4" w:space="0" w:color="FFFFFF" w:themeColor="background1"/>
              <w:bottom w:val="single" w:sz="4" w:space="0" w:color="53565A" w:themeColor="accent5"/>
              <w:right w:val="single" w:sz="4" w:space="0" w:color="FFFFFF" w:themeColor="background1"/>
            </w:tcBorders>
            <w:hideMark/>
          </w:tcPr>
          <w:p w14:paraId="372FB7DE" w14:textId="77777777" w:rsidR="007B6C6A" w:rsidRPr="005734B8" w:rsidRDefault="007B6C6A">
            <w:pPr>
              <w:pStyle w:val="ESTablebody"/>
              <w:rPr>
                <w:rFonts w:ascii="Calibri" w:hAnsi="Calibri" w:cs="Calibri"/>
                <w:sz w:val="18"/>
              </w:rPr>
            </w:pPr>
            <w:r w:rsidRPr="005734B8">
              <w:rPr>
                <w:rFonts w:ascii="Calibri" w:hAnsi="Calibri" w:cs="Calibri"/>
                <w:sz w:val="18"/>
              </w:rPr>
              <w:t>SES-3</w:t>
            </w:r>
          </w:p>
        </w:tc>
        <w:tc>
          <w:tcPr>
            <w:tcW w:w="880" w:type="dxa"/>
            <w:tcBorders>
              <w:top w:val="single" w:sz="4" w:space="0" w:color="FFFFFF" w:themeColor="background1"/>
              <w:left w:val="single" w:sz="4" w:space="0" w:color="FFFFFF" w:themeColor="background1"/>
              <w:bottom w:val="single" w:sz="4" w:space="0" w:color="53565A" w:themeColor="accent5"/>
              <w:right w:val="single" w:sz="4" w:space="0" w:color="FFFFFF" w:themeColor="background1"/>
            </w:tcBorders>
            <w:hideMark/>
          </w:tcPr>
          <w:p w14:paraId="3CAD9DFC" w14:textId="77777777" w:rsidR="007B6C6A" w:rsidRPr="005734B8" w:rsidRDefault="007B6C6A">
            <w:pPr>
              <w:pStyle w:val="ESTablebody"/>
              <w:jc w:val="right"/>
              <w:rPr>
                <w:rFonts w:ascii="Calibri" w:hAnsi="Calibri" w:cs="Calibri"/>
                <w:sz w:val="18"/>
                <w:lang w:val="en-AU"/>
              </w:rPr>
            </w:pPr>
            <w:r w:rsidRPr="005734B8">
              <w:rPr>
                <w:rFonts w:ascii="Calibri" w:hAnsi="Calibri" w:cs="Calibri"/>
                <w:sz w:val="18"/>
              </w:rPr>
              <w:t>8.0</w:t>
            </w:r>
          </w:p>
        </w:tc>
        <w:tc>
          <w:tcPr>
            <w:tcW w:w="880" w:type="dxa"/>
            <w:tcBorders>
              <w:top w:val="single" w:sz="4" w:space="0" w:color="FFFFFF" w:themeColor="background1"/>
              <w:left w:val="single" w:sz="4" w:space="0" w:color="FFFFFF" w:themeColor="background1"/>
              <w:bottom w:val="single" w:sz="4" w:space="0" w:color="53565A" w:themeColor="accent5"/>
              <w:right w:val="single" w:sz="4" w:space="0" w:color="FFFFFF" w:themeColor="background1"/>
            </w:tcBorders>
            <w:hideMark/>
          </w:tcPr>
          <w:p w14:paraId="6B929A52" w14:textId="372C9304" w:rsidR="007B6C6A" w:rsidRPr="005734B8" w:rsidRDefault="00751945">
            <w:pPr>
              <w:pStyle w:val="ESTablebody"/>
              <w:jc w:val="right"/>
              <w:rPr>
                <w:rFonts w:ascii="Calibri" w:hAnsi="Calibri" w:cs="Calibri"/>
                <w:sz w:val="18"/>
                <w:lang w:val="en-AU"/>
              </w:rPr>
            </w:pPr>
            <w:r w:rsidRPr="005734B8">
              <w:rPr>
                <w:rFonts w:ascii="Calibri" w:hAnsi="Calibri" w:cs="Calibri"/>
                <w:sz w:val="16"/>
                <w:szCs w:val="16"/>
              </w:rPr>
              <w:t>–</w:t>
            </w:r>
          </w:p>
        </w:tc>
        <w:tc>
          <w:tcPr>
            <w:tcW w:w="880" w:type="dxa"/>
            <w:tcBorders>
              <w:top w:val="single" w:sz="4" w:space="0" w:color="FFFFFF" w:themeColor="background1"/>
              <w:left w:val="single" w:sz="4" w:space="0" w:color="FFFFFF" w:themeColor="background1"/>
              <w:bottom w:val="single" w:sz="4" w:space="0" w:color="53565A" w:themeColor="accent5"/>
              <w:right w:val="single" w:sz="4" w:space="0" w:color="FFFFFF" w:themeColor="background1"/>
            </w:tcBorders>
            <w:hideMark/>
          </w:tcPr>
          <w:p w14:paraId="72372A75" w14:textId="77777777" w:rsidR="007B6C6A" w:rsidRPr="005734B8" w:rsidRDefault="007B6C6A">
            <w:pPr>
              <w:pStyle w:val="ESTablebody"/>
              <w:jc w:val="right"/>
              <w:rPr>
                <w:rFonts w:ascii="Calibri" w:hAnsi="Calibri" w:cs="Calibri"/>
                <w:sz w:val="18"/>
                <w:lang w:val="en-AU"/>
              </w:rPr>
            </w:pPr>
            <w:r w:rsidRPr="005734B8">
              <w:rPr>
                <w:rFonts w:ascii="Calibri" w:hAnsi="Calibri" w:cs="Calibri"/>
                <w:sz w:val="18"/>
              </w:rPr>
              <w:t>4.0</w:t>
            </w:r>
          </w:p>
        </w:tc>
        <w:tc>
          <w:tcPr>
            <w:tcW w:w="880" w:type="dxa"/>
            <w:tcBorders>
              <w:top w:val="single" w:sz="4" w:space="0" w:color="FFFFFF" w:themeColor="background1"/>
              <w:left w:val="single" w:sz="4" w:space="0" w:color="FFFFFF" w:themeColor="background1"/>
              <w:bottom w:val="single" w:sz="4" w:space="0" w:color="53565A" w:themeColor="accent5"/>
              <w:right w:val="single" w:sz="4" w:space="0" w:color="FFFFFF" w:themeColor="background1"/>
            </w:tcBorders>
            <w:hideMark/>
          </w:tcPr>
          <w:p w14:paraId="4964AF48" w14:textId="267B7ACF" w:rsidR="007B6C6A" w:rsidRPr="005734B8" w:rsidRDefault="00751945">
            <w:pPr>
              <w:pStyle w:val="ESTablebody"/>
              <w:jc w:val="right"/>
              <w:rPr>
                <w:rFonts w:ascii="Calibri" w:hAnsi="Calibri" w:cs="Calibri"/>
                <w:sz w:val="18"/>
                <w:lang w:val="en-AU"/>
              </w:rPr>
            </w:pPr>
            <w:r w:rsidRPr="005734B8">
              <w:rPr>
                <w:rFonts w:ascii="Calibri" w:hAnsi="Calibri" w:cs="Calibri"/>
                <w:sz w:val="16"/>
                <w:szCs w:val="16"/>
              </w:rPr>
              <w:t>–</w:t>
            </w:r>
          </w:p>
        </w:tc>
        <w:tc>
          <w:tcPr>
            <w:tcW w:w="880" w:type="dxa"/>
            <w:tcBorders>
              <w:top w:val="single" w:sz="4" w:space="0" w:color="FFFFFF" w:themeColor="background1"/>
              <w:left w:val="single" w:sz="4" w:space="0" w:color="FFFFFF" w:themeColor="background1"/>
              <w:bottom w:val="single" w:sz="4" w:space="0" w:color="53565A" w:themeColor="accent5"/>
              <w:right w:val="single" w:sz="4" w:space="0" w:color="FFFFFF" w:themeColor="background1"/>
            </w:tcBorders>
            <w:hideMark/>
          </w:tcPr>
          <w:p w14:paraId="36A542D6" w14:textId="77777777" w:rsidR="007B6C6A" w:rsidRPr="005734B8" w:rsidRDefault="007B6C6A">
            <w:pPr>
              <w:pStyle w:val="ESTablebody"/>
              <w:jc w:val="right"/>
              <w:rPr>
                <w:rFonts w:ascii="Calibri" w:hAnsi="Calibri" w:cs="Calibri"/>
                <w:sz w:val="18"/>
                <w:lang w:val="en-AU"/>
              </w:rPr>
            </w:pPr>
            <w:r w:rsidRPr="005734B8">
              <w:rPr>
                <w:rFonts w:ascii="Calibri" w:hAnsi="Calibri" w:cs="Calibri"/>
                <w:sz w:val="18"/>
              </w:rPr>
              <w:t>4.0</w:t>
            </w:r>
          </w:p>
        </w:tc>
        <w:tc>
          <w:tcPr>
            <w:tcW w:w="880" w:type="dxa"/>
            <w:tcBorders>
              <w:top w:val="single" w:sz="4" w:space="0" w:color="FFFFFF" w:themeColor="background1"/>
              <w:left w:val="single" w:sz="4" w:space="0" w:color="FFFFFF" w:themeColor="background1"/>
              <w:bottom w:val="single" w:sz="4" w:space="0" w:color="53565A" w:themeColor="accent5"/>
              <w:right w:val="single" w:sz="4" w:space="0" w:color="FFFFFF" w:themeColor="background1"/>
            </w:tcBorders>
            <w:hideMark/>
          </w:tcPr>
          <w:p w14:paraId="7D01D1DF" w14:textId="66CBDD55" w:rsidR="007B6C6A" w:rsidRPr="005734B8" w:rsidRDefault="00751945">
            <w:pPr>
              <w:pStyle w:val="ESTablebody"/>
              <w:jc w:val="right"/>
              <w:rPr>
                <w:rFonts w:ascii="Calibri" w:hAnsi="Calibri" w:cs="Calibri"/>
                <w:sz w:val="18"/>
                <w:lang w:val="en-AU"/>
              </w:rPr>
            </w:pPr>
            <w:r w:rsidRPr="005734B8">
              <w:rPr>
                <w:rFonts w:ascii="Calibri" w:hAnsi="Calibri" w:cs="Calibri"/>
                <w:sz w:val="16"/>
                <w:szCs w:val="16"/>
              </w:rPr>
              <w:t>–</w:t>
            </w:r>
          </w:p>
        </w:tc>
        <w:tc>
          <w:tcPr>
            <w:tcW w:w="880" w:type="dxa"/>
            <w:tcBorders>
              <w:top w:val="single" w:sz="4" w:space="0" w:color="FFFFFF" w:themeColor="background1"/>
              <w:left w:val="single" w:sz="4" w:space="0" w:color="FFFFFF" w:themeColor="background1"/>
              <w:bottom w:val="single" w:sz="4" w:space="0" w:color="53565A" w:themeColor="accent5"/>
              <w:right w:val="single" w:sz="4" w:space="0" w:color="FFFFFF" w:themeColor="background1"/>
            </w:tcBorders>
            <w:hideMark/>
          </w:tcPr>
          <w:p w14:paraId="49DD58D0" w14:textId="5C027B3A" w:rsidR="007B6C6A" w:rsidRPr="005734B8" w:rsidRDefault="00751945">
            <w:pPr>
              <w:pStyle w:val="ESTablebody"/>
              <w:jc w:val="right"/>
              <w:rPr>
                <w:rFonts w:ascii="Calibri" w:hAnsi="Calibri" w:cs="Calibri"/>
                <w:sz w:val="18"/>
                <w:lang w:val="en-AU"/>
              </w:rPr>
            </w:pPr>
            <w:r w:rsidRPr="005734B8">
              <w:rPr>
                <w:rFonts w:ascii="Calibri" w:hAnsi="Calibri" w:cs="Calibri"/>
                <w:sz w:val="16"/>
                <w:szCs w:val="16"/>
              </w:rPr>
              <w:t>–</w:t>
            </w:r>
          </w:p>
        </w:tc>
        <w:tc>
          <w:tcPr>
            <w:tcW w:w="881" w:type="dxa"/>
            <w:tcBorders>
              <w:top w:val="single" w:sz="4" w:space="0" w:color="FFFFFF" w:themeColor="background1"/>
              <w:left w:val="single" w:sz="4" w:space="0" w:color="FFFFFF" w:themeColor="background1"/>
              <w:bottom w:val="single" w:sz="4" w:space="0" w:color="53565A" w:themeColor="accent5"/>
              <w:right w:val="single" w:sz="4" w:space="0" w:color="FFFFFF" w:themeColor="background1"/>
            </w:tcBorders>
            <w:hideMark/>
          </w:tcPr>
          <w:p w14:paraId="4BA506B1" w14:textId="00C11D76" w:rsidR="007B6C6A" w:rsidRPr="005734B8" w:rsidRDefault="00751945">
            <w:pPr>
              <w:pStyle w:val="ESTablebody"/>
              <w:jc w:val="right"/>
              <w:rPr>
                <w:rFonts w:ascii="Calibri" w:hAnsi="Calibri" w:cs="Calibri"/>
                <w:sz w:val="18"/>
              </w:rPr>
            </w:pPr>
            <w:r w:rsidRPr="005734B8">
              <w:rPr>
                <w:rFonts w:ascii="Calibri" w:hAnsi="Calibri" w:cs="Calibri"/>
                <w:sz w:val="16"/>
                <w:szCs w:val="16"/>
              </w:rPr>
              <w:t>–</w:t>
            </w:r>
          </w:p>
        </w:tc>
      </w:tr>
      <w:tr w:rsidR="007B6C6A" w:rsidRPr="005734B8" w14:paraId="25016351" w14:textId="77777777" w:rsidTr="007B6C6A">
        <w:trPr>
          <w:cantSplit/>
        </w:trPr>
        <w:tc>
          <w:tcPr>
            <w:tcW w:w="88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shd w:val="clear" w:color="auto" w:fill="F2F2F2" w:themeFill="background1" w:themeFillShade="F2"/>
            <w:hideMark/>
          </w:tcPr>
          <w:p w14:paraId="0668D831" w14:textId="77777777" w:rsidR="007B6C6A" w:rsidRPr="005734B8" w:rsidRDefault="007B6C6A">
            <w:pPr>
              <w:pStyle w:val="ESTablebody"/>
              <w:rPr>
                <w:rFonts w:ascii="Calibri" w:hAnsi="Calibri" w:cs="Calibri"/>
                <w:sz w:val="18"/>
              </w:rPr>
            </w:pPr>
            <w:r w:rsidRPr="005734B8">
              <w:rPr>
                <w:rFonts w:ascii="Calibri" w:hAnsi="Calibri" w:cs="Calibri"/>
                <w:sz w:val="18"/>
              </w:rPr>
              <w:t>SES-2</w:t>
            </w:r>
          </w:p>
        </w:tc>
        <w:tc>
          <w:tcPr>
            <w:tcW w:w="88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shd w:val="clear" w:color="auto" w:fill="F2F2F2" w:themeFill="background1" w:themeFillShade="F2"/>
            <w:hideMark/>
          </w:tcPr>
          <w:p w14:paraId="7F3A7FC0" w14:textId="77777777" w:rsidR="007B6C6A" w:rsidRPr="005734B8" w:rsidRDefault="007B6C6A">
            <w:pPr>
              <w:pStyle w:val="ESTablebody"/>
              <w:jc w:val="right"/>
              <w:rPr>
                <w:rFonts w:ascii="Calibri" w:hAnsi="Calibri" w:cs="Calibri"/>
                <w:sz w:val="18"/>
                <w:lang w:val="en-AU"/>
              </w:rPr>
            </w:pPr>
            <w:r w:rsidRPr="005734B8">
              <w:rPr>
                <w:rFonts w:ascii="Calibri" w:hAnsi="Calibri" w:cs="Calibri"/>
                <w:sz w:val="18"/>
              </w:rPr>
              <w:t>39.9</w:t>
            </w:r>
          </w:p>
        </w:tc>
        <w:tc>
          <w:tcPr>
            <w:tcW w:w="88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shd w:val="clear" w:color="auto" w:fill="F2F2F2" w:themeFill="background1" w:themeFillShade="F2"/>
            <w:hideMark/>
          </w:tcPr>
          <w:p w14:paraId="0243F28C" w14:textId="57118FB7" w:rsidR="007B6C6A" w:rsidRPr="005734B8" w:rsidRDefault="00751945">
            <w:pPr>
              <w:pStyle w:val="ESTablebody"/>
              <w:jc w:val="right"/>
              <w:rPr>
                <w:rFonts w:ascii="Calibri" w:hAnsi="Calibri" w:cs="Calibri"/>
                <w:sz w:val="18"/>
                <w:lang w:val="en-AU"/>
              </w:rPr>
            </w:pPr>
            <w:r w:rsidRPr="005734B8">
              <w:rPr>
                <w:rFonts w:ascii="Calibri" w:hAnsi="Calibri" w:cs="Calibri"/>
                <w:sz w:val="16"/>
                <w:szCs w:val="16"/>
              </w:rPr>
              <w:t>–</w:t>
            </w:r>
          </w:p>
        </w:tc>
        <w:tc>
          <w:tcPr>
            <w:tcW w:w="88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shd w:val="clear" w:color="auto" w:fill="F2F2F2" w:themeFill="background1" w:themeFillShade="F2"/>
            <w:hideMark/>
          </w:tcPr>
          <w:p w14:paraId="03BC99D6" w14:textId="77777777" w:rsidR="007B6C6A" w:rsidRPr="005734B8" w:rsidRDefault="007B6C6A">
            <w:pPr>
              <w:pStyle w:val="ESTablebody"/>
              <w:jc w:val="right"/>
              <w:rPr>
                <w:rFonts w:ascii="Calibri" w:hAnsi="Calibri" w:cs="Calibri"/>
                <w:sz w:val="18"/>
                <w:lang w:val="en-AU"/>
              </w:rPr>
            </w:pPr>
            <w:r w:rsidRPr="005734B8">
              <w:rPr>
                <w:rFonts w:ascii="Calibri" w:hAnsi="Calibri" w:cs="Calibri"/>
                <w:sz w:val="18"/>
              </w:rPr>
              <w:t>19.0</w:t>
            </w:r>
          </w:p>
        </w:tc>
        <w:tc>
          <w:tcPr>
            <w:tcW w:w="88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shd w:val="clear" w:color="auto" w:fill="F2F2F2" w:themeFill="background1" w:themeFillShade="F2"/>
            <w:hideMark/>
          </w:tcPr>
          <w:p w14:paraId="75666A54" w14:textId="77777777" w:rsidR="007B6C6A" w:rsidRPr="005734B8" w:rsidRDefault="007B6C6A">
            <w:pPr>
              <w:pStyle w:val="ESTablebody"/>
              <w:jc w:val="right"/>
              <w:rPr>
                <w:rFonts w:ascii="Calibri" w:hAnsi="Calibri" w:cs="Calibri"/>
                <w:sz w:val="18"/>
                <w:lang w:val="en-AU"/>
              </w:rPr>
            </w:pPr>
            <w:r w:rsidRPr="005734B8">
              <w:rPr>
                <w:rFonts w:ascii="Calibri" w:hAnsi="Calibri" w:cs="Calibri"/>
                <w:sz w:val="18"/>
              </w:rPr>
              <w:t>+1.0</w:t>
            </w:r>
          </w:p>
        </w:tc>
        <w:tc>
          <w:tcPr>
            <w:tcW w:w="88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shd w:val="clear" w:color="auto" w:fill="F2F2F2" w:themeFill="background1" w:themeFillShade="F2"/>
            <w:hideMark/>
          </w:tcPr>
          <w:p w14:paraId="750A0334" w14:textId="77777777" w:rsidR="007B6C6A" w:rsidRPr="005734B8" w:rsidRDefault="007B6C6A">
            <w:pPr>
              <w:pStyle w:val="ESTablebody"/>
              <w:jc w:val="right"/>
              <w:rPr>
                <w:rFonts w:ascii="Calibri" w:hAnsi="Calibri" w:cs="Calibri"/>
                <w:sz w:val="18"/>
                <w:lang w:val="en-AU"/>
              </w:rPr>
            </w:pPr>
            <w:r w:rsidRPr="005734B8">
              <w:rPr>
                <w:rFonts w:ascii="Calibri" w:hAnsi="Calibri" w:cs="Calibri"/>
                <w:sz w:val="18"/>
              </w:rPr>
              <w:t>20.9</w:t>
            </w:r>
          </w:p>
        </w:tc>
        <w:tc>
          <w:tcPr>
            <w:tcW w:w="88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shd w:val="clear" w:color="auto" w:fill="F2F2F2" w:themeFill="background1" w:themeFillShade="F2"/>
            <w:hideMark/>
          </w:tcPr>
          <w:p w14:paraId="1C29C5C6" w14:textId="77777777" w:rsidR="007B6C6A" w:rsidRPr="005734B8" w:rsidRDefault="007B6C6A">
            <w:pPr>
              <w:pStyle w:val="ESTablebody"/>
              <w:jc w:val="right"/>
              <w:rPr>
                <w:rFonts w:ascii="Calibri" w:hAnsi="Calibri" w:cs="Calibri"/>
                <w:sz w:val="18"/>
                <w:lang w:val="en-AU"/>
              </w:rPr>
            </w:pPr>
            <w:r w:rsidRPr="005734B8">
              <w:rPr>
                <w:rFonts w:ascii="Calibri" w:hAnsi="Calibri" w:cs="Calibri"/>
                <w:sz w:val="18"/>
              </w:rPr>
              <w:t>-1.0</w:t>
            </w:r>
          </w:p>
        </w:tc>
        <w:tc>
          <w:tcPr>
            <w:tcW w:w="88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shd w:val="clear" w:color="auto" w:fill="F2F2F2" w:themeFill="background1" w:themeFillShade="F2"/>
            <w:hideMark/>
          </w:tcPr>
          <w:p w14:paraId="0994F55B" w14:textId="6BA97A64" w:rsidR="007B6C6A" w:rsidRPr="005734B8" w:rsidRDefault="00751945">
            <w:pPr>
              <w:pStyle w:val="ESTablebody"/>
              <w:jc w:val="right"/>
              <w:rPr>
                <w:rFonts w:ascii="Calibri" w:hAnsi="Calibri" w:cs="Calibri"/>
                <w:sz w:val="18"/>
                <w:lang w:val="en-AU"/>
              </w:rPr>
            </w:pPr>
            <w:r w:rsidRPr="005734B8">
              <w:rPr>
                <w:rFonts w:ascii="Calibri" w:hAnsi="Calibri" w:cs="Calibri"/>
                <w:sz w:val="16"/>
                <w:szCs w:val="16"/>
              </w:rPr>
              <w:t>–</w:t>
            </w:r>
          </w:p>
        </w:tc>
        <w:tc>
          <w:tcPr>
            <w:tcW w:w="881"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shd w:val="clear" w:color="auto" w:fill="F2F2F2" w:themeFill="background1" w:themeFillShade="F2"/>
            <w:hideMark/>
          </w:tcPr>
          <w:p w14:paraId="32954EEB" w14:textId="6344F499" w:rsidR="007B6C6A" w:rsidRPr="005734B8" w:rsidRDefault="00751945">
            <w:pPr>
              <w:pStyle w:val="ESTablebody"/>
              <w:jc w:val="right"/>
              <w:rPr>
                <w:rFonts w:ascii="Calibri" w:hAnsi="Calibri" w:cs="Calibri"/>
                <w:sz w:val="18"/>
              </w:rPr>
            </w:pPr>
            <w:r w:rsidRPr="005734B8">
              <w:rPr>
                <w:rFonts w:ascii="Calibri" w:hAnsi="Calibri" w:cs="Calibri"/>
                <w:sz w:val="16"/>
                <w:szCs w:val="16"/>
              </w:rPr>
              <w:t>–</w:t>
            </w:r>
          </w:p>
        </w:tc>
      </w:tr>
      <w:tr w:rsidR="007B6C6A" w:rsidRPr="005734B8" w14:paraId="4AD0CDAA" w14:textId="77777777" w:rsidTr="007B6C6A">
        <w:trPr>
          <w:cantSplit/>
        </w:trPr>
        <w:tc>
          <w:tcPr>
            <w:tcW w:w="88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414BDB04" w14:textId="77777777" w:rsidR="007B6C6A" w:rsidRPr="005734B8" w:rsidRDefault="007B6C6A">
            <w:pPr>
              <w:pStyle w:val="ESTablebody"/>
              <w:rPr>
                <w:rFonts w:ascii="Calibri" w:hAnsi="Calibri" w:cs="Calibri"/>
                <w:sz w:val="18"/>
              </w:rPr>
            </w:pPr>
            <w:r w:rsidRPr="005734B8">
              <w:rPr>
                <w:rFonts w:ascii="Calibri" w:hAnsi="Calibri" w:cs="Calibri"/>
                <w:sz w:val="18"/>
              </w:rPr>
              <w:t>SES-1</w:t>
            </w:r>
          </w:p>
        </w:tc>
        <w:tc>
          <w:tcPr>
            <w:tcW w:w="88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161DF1F6" w14:textId="77777777" w:rsidR="007B6C6A" w:rsidRPr="005734B8" w:rsidRDefault="007B6C6A">
            <w:pPr>
              <w:pStyle w:val="ESTablebody"/>
              <w:jc w:val="right"/>
              <w:rPr>
                <w:rFonts w:ascii="Calibri" w:hAnsi="Calibri" w:cs="Calibri"/>
                <w:sz w:val="18"/>
                <w:lang w:val="en-AU"/>
              </w:rPr>
            </w:pPr>
            <w:r w:rsidRPr="005734B8">
              <w:rPr>
                <w:rFonts w:ascii="Calibri" w:hAnsi="Calibri" w:cs="Calibri"/>
                <w:sz w:val="18"/>
              </w:rPr>
              <w:t>42.7</w:t>
            </w:r>
          </w:p>
        </w:tc>
        <w:tc>
          <w:tcPr>
            <w:tcW w:w="88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15D8251D" w14:textId="77777777" w:rsidR="007B6C6A" w:rsidRPr="005734B8" w:rsidRDefault="007B6C6A">
            <w:pPr>
              <w:pStyle w:val="ESTablebody"/>
              <w:jc w:val="right"/>
              <w:rPr>
                <w:rFonts w:ascii="Calibri" w:hAnsi="Calibri" w:cs="Calibri"/>
                <w:sz w:val="18"/>
                <w:lang w:val="en-AU"/>
              </w:rPr>
            </w:pPr>
            <w:r w:rsidRPr="005734B8">
              <w:rPr>
                <w:rFonts w:ascii="Calibri" w:hAnsi="Calibri" w:cs="Calibri"/>
                <w:sz w:val="18"/>
              </w:rPr>
              <w:t>-1.5</w:t>
            </w:r>
          </w:p>
        </w:tc>
        <w:tc>
          <w:tcPr>
            <w:tcW w:w="88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20148C99" w14:textId="77777777" w:rsidR="007B6C6A" w:rsidRPr="005734B8" w:rsidRDefault="007B6C6A">
            <w:pPr>
              <w:pStyle w:val="ESTablebody"/>
              <w:jc w:val="right"/>
              <w:rPr>
                <w:rFonts w:ascii="Calibri" w:hAnsi="Calibri" w:cs="Calibri"/>
                <w:sz w:val="18"/>
                <w:lang w:val="en-AU"/>
              </w:rPr>
            </w:pPr>
            <w:r w:rsidRPr="005734B8">
              <w:rPr>
                <w:rFonts w:ascii="Calibri" w:hAnsi="Calibri" w:cs="Calibri"/>
                <w:sz w:val="18"/>
              </w:rPr>
              <w:t>18.8</w:t>
            </w:r>
          </w:p>
        </w:tc>
        <w:tc>
          <w:tcPr>
            <w:tcW w:w="88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4F6292DC" w14:textId="77777777" w:rsidR="007B6C6A" w:rsidRPr="005734B8" w:rsidRDefault="007B6C6A">
            <w:pPr>
              <w:pStyle w:val="ESTablebody"/>
              <w:jc w:val="right"/>
              <w:rPr>
                <w:rFonts w:ascii="Calibri" w:hAnsi="Calibri" w:cs="Calibri"/>
                <w:sz w:val="18"/>
                <w:lang w:val="en-AU"/>
              </w:rPr>
            </w:pPr>
            <w:r w:rsidRPr="005734B8">
              <w:rPr>
                <w:rFonts w:ascii="Calibri" w:hAnsi="Calibri" w:cs="Calibri"/>
                <w:sz w:val="18"/>
              </w:rPr>
              <w:t>+0.1</w:t>
            </w:r>
          </w:p>
        </w:tc>
        <w:tc>
          <w:tcPr>
            <w:tcW w:w="88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13A8F47E" w14:textId="77777777" w:rsidR="007B6C6A" w:rsidRPr="005734B8" w:rsidRDefault="007B6C6A">
            <w:pPr>
              <w:pStyle w:val="ESTablebody"/>
              <w:jc w:val="right"/>
              <w:rPr>
                <w:rFonts w:ascii="Calibri" w:hAnsi="Calibri" w:cs="Calibri"/>
                <w:sz w:val="18"/>
                <w:lang w:val="en-AU"/>
              </w:rPr>
            </w:pPr>
            <w:r w:rsidRPr="005734B8">
              <w:rPr>
                <w:rFonts w:ascii="Calibri" w:hAnsi="Calibri" w:cs="Calibri"/>
                <w:sz w:val="18"/>
              </w:rPr>
              <w:t>23.9</w:t>
            </w:r>
          </w:p>
        </w:tc>
        <w:tc>
          <w:tcPr>
            <w:tcW w:w="88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53B82ED5" w14:textId="77777777" w:rsidR="007B6C6A" w:rsidRPr="005734B8" w:rsidRDefault="007B6C6A">
            <w:pPr>
              <w:pStyle w:val="ESTablebody"/>
              <w:jc w:val="right"/>
              <w:rPr>
                <w:rFonts w:ascii="Calibri" w:hAnsi="Calibri" w:cs="Calibri"/>
                <w:sz w:val="18"/>
                <w:lang w:val="en-AU"/>
              </w:rPr>
            </w:pPr>
            <w:r w:rsidRPr="005734B8">
              <w:rPr>
                <w:rFonts w:ascii="Calibri" w:hAnsi="Calibri" w:cs="Calibri"/>
                <w:sz w:val="18"/>
              </w:rPr>
              <w:t>-1.6</w:t>
            </w:r>
          </w:p>
        </w:tc>
        <w:tc>
          <w:tcPr>
            <w:tcW w:w="88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5BE98FE6" w14:textId="476C5973" w:rsidR="007B6C6A" w:rsidRPr="005734B8" w:rsidRDefault="00751945">
            <w:pPr>
              <w:pStyle w:val="ESTablebody"/>
              <w:jc w:val="right"/>
              <w:rPr>
                <w:rFonts w:ascii="Calibri" w:hAnsi="Calibri" w:cs="Calibri"/>
                <w:sz w:val="18"/>
                <w:lang w:val="en-AU"/>
              </w:rPr>
            </w:pPr>
            <w:r w:rsidRPr="005734B8">
              <w:rPr>
                <w:rFonts w:ascii="Calibri" w:hAnsi="Calibri" w:cs="Calibri"/>
                <w:sz w:val="16"/>
                <w:szCs w:val="16"/>
              </w:rPr>
              <w:t>–</w:t>
            </w:r>
          </w:p>
        </w:tc>
        <w:tc>
          <w:tcPr>
            <w:tcW w:w="881"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2A424153" w14:textId="2D217212" w:rsidR="007B6C6A" w:rsidRPr="005734B8" w:rsidRDefault="00751945">
            <w:pPr>
              <w:pStyle w:val="ESTablebody"/>
              <w:jc w:val="right"/>
              <w:rPr>
                <w:rFonts w:ascii="Calibri" w:hAnsi="Calibri" w:cs="Calibri"/>
                <w:sz w:val="18"/>
              </w:rPr>
            </w:pPr>
            <w:r w:rsidRPr="005734B8">
              <w:rPr>
                <w:rFonts w:ascii="Calibri" w:hAnsi="Calibri" w:cs="Calibri"/>
                <w:sz w:val="16"/>
                <w:szCs w:val="16"/>
              </w:rPr>
              <w:t>–</w:t>
            </w:r>
          </w:p>
        </w:tc>
      </w:tr>
      <w:tr w:rsidR="007B6C6A" w:rsidRPr="005734B8" w14:paraId="27D47BA0" w14:textId="77777777" w:rsidTr="007B6C6A">
        <w:trPr>
          <w:cantSplit/>
        </w:trPr>
        <w:tc>
          <w:tcPr>
            <w:tcW w:w="880" w:type="dxa"/>
            <w:tcBorders>
              <w:top w:val="single" w:sz="18" w:space="0" w:color="53565A" w:themeColor="accent5"/>
              <w:left w:val="single" w:sz="4" w:space="0" w:color="FFFFFF" w:themeColor="background1"/>
              <w:bottom w:val="single" w:sz="18" w:space="0" w:color="53565A" w:themeColor="accent5"/>
              <w:right w:val="single" w:sz="4" w:space="0" w:color="FFFFFF" w:themeColor="background1"/>
            </w:tcBorders>
            <w:vAlign w:val="center"/>
            <w:hideMark/>
          </w:tcPr>
          <w:p w14:paraId="476EDBA8" w14:textId="77777777" w:rsidR="007B6C6A" w:rsidRPr="005734B8" w:rsidRDefault="007B6C6A">
            <w:pPr>
              <w:pStyle w:val="ESTablebody"/>
              <w:rPr>
                <w:rFonts w:ascii="Calibri" w:hAnsi="Calibri" w:cs="Calibri"/>
                <w:sz w:val="18"/>
              </w:rPr>
            </w:pPr>
            <w:r w:rsidRPr="005734B8">
              <w:rPr>
                <w:rFonts w:ascii="Calibri" w:eastAsia="Times New Roman" w:hAnsi="Calibri" w:cs="Calibri"/>
                <w:b/>
                <w:sz w:val="18"/>
                <w:lang w:val="en-AU"/>
              </w:rPr>
              <w:t>Total</w:t>
            </w:r>
          </w:p>
        </w:tc>
        <w:tc>
          <w:tcPr>
            <w:tcW w:w="880" w:type="dxa"/>
            <w:tcBorders>
              <w:top w:val="single" w:sz="18" w:space="0" w:color="53565A" w:themeColor="accent5"/>
              <w:left w:val="single" w:sz="4" w:space="0" w:color="FFFFFF" w:themeColor="background1"/>
              <w:bottom w:val="single" w:sz="18" w:space="0" w:color="53565A" w:themeColor="accent5"/>
              <w:right w:val="single" w:sz="4" w:space="0" w:color="FFFFFF" w:themeColor="background1"/>
            </w:tcBorders>
            <w:hideMark/>
          </w:tcPr>
          <w:p w14:paraId="02EDA143" w14:textId="77777777" w:rsidR="007B6C6A" w:rsidRPr="005734B8" w:rsidRDefault="007B6C6A">
            <w:pPr>
              <w:pStyle w:val="ESTablebody"/>
              <w:jc w:val="right"/>
              <w:rPr>
                <w:rFonts w:ascii="Calibri" w:hAnsi="Calibri" w:cs="Calibri"/>
                <w:b/>
                <w:sz w:val="18"/>
                <w:lang w:val="en-AU"/>
              </w:rPr>
            </w:pPr>
            <w:r w:rsidRPr="005734B8">
              <w:rPr>
                <w:rFonts w:ascii="Calibri" w:hAnsi="Calibri" w:cs="Calibri"/>
                <w:sz w:val="18"/>
              </w:rPr>
              <w:t>90.6</w:t>
            </w:r>
          </w:p>
        </w:tc>
        <w:tc>
          <w:tcPr>
            <w:tcW w:w="880" w:type="dxa"/>
            <w:tcBorders>
              <w:top w:val="single" w:sz="18" w:space="0" w:color="53565A" w:themeColor="accent5"/>
              <w:left w:val="single" w:sz="4" w:space="0" w:color="FFFFFF" w:themeColor="background1"/>
              <w:bottom w:val="single" w:sz="18" w:space="0" w:color="53565A" w:themeColor="accent5"/>
              <w:right w:val="single" w:sz="4" w:space="0" w:color="FFFFFF" w:themeColor="background1"/>
            </w:tcBorders>
            <w:hideMark/>
          </w:tcPr>
          <w:p w14:paraId="71504A06" w14:textId="77777777" w:rsidR="007B6C6A" w:rsidRPr="005734B8" w:rsidRDefault="007B6C6A">
            <w:pPr>
              <w:pStyle w:val="ESTablebody"/>
              <w:jc w:val="right"/>
              <w:rPr>
                <w:rFonts w:ascii="Calibri" w:hAnsi="Calibri" w:cs="Calibri"/>
                <w:b/>
                <w:sz w:val="18"/>
                <w:lang w:val="en-AU"/>
              </w:rPr>
            </w:pPr>
            <w:r w:rsidRPr="005734B8">
              <w:rPr>
                <w:rFonts w:ascii="Calibri" w:hAnsi="Calibri" w:cs="Calibri"/>
                <w:sz w:val="18"/>
              </w:rPr>
              <w:t>-1.5</w:t>
            </w:r>
          </w:p>
        </w:tc>
        <w:tc>
          <w:tcPr>
            <w:tcW w:w="880" w:type="dxa"/>
            <w:tcBorders>
              <w:top w:val="single" w:sz="18" w:space="0" w:color="53565A" w:themeColor="accent5"/>
              <w:left w:val="single" w:sz="4" w:space="0" w:color="FFFFFF" w:themeColor="background1"/>
              <w:bottom w:val="single" w:sz="18" w:space="0" w:color="53565A" w:themeColor="accent5"/>
              <w:right w:val="single" w:sz="4" w:space="0" w:color="FFFFFF" w:themeColor="background1"/>
            </w:tcBorders>
            <w:hideMark/>
          </w:tcPr>
          <w:p w14:paraId="3034BB59" w14:textId="77777777" w:rsidR="007B6C6A" w:rsidRPr="005734B8" w:rsidRDefault="007B6C6A">
            <w:pPr>
              <w:pStyle w:val="ESTablebody"/>
              <w:jc w:val="right"/>
              <w:rPr>
                <w:rFonts w:ascii="Calibri" w:hAnsi="Calibri" w:cs="Calibri"/>
                <w:b/>
                <w:sz w:val="18"/>
                <w:lang w:val="en-AU"/>
              </w:rPr>
            </w:pPr>
            <w:r w:rsidRPr="005734B8">
              <w:rPr>
                <w:rFonts w:ascii="Calibri" w:hAnsi="Calibri" w:cs="Calibri"/>
                <w:sz w:val="18"/>
              </w:rPr>
              <w:t>41.8</w:t>
            </w:r>
          </w:p>
        </w:tc>
        <w:tc>
          <w:tcPr>
            <w:tcW w:w="880" w:type="dxa"/>
            <w:tcBorders>
              <w:top w:val="single" w:sz="18" w:space="0" w:color="53565A" w:themeColor="accent5"/>
              <w:left w:val="single" w:sz="4" w:space="0" w:color="FFFFFF" w:themeColor="background1"/>
              <w:bottom w:val="single" w:sz="18" w:space="0" w:color="53565A" w:themeColor="accent5"/>
              <w:right w:val="single" w:sz="4" w:space="0" w:color="FFFFFF" w:themeColor="background1"/>
            </w:tcBorders>
            <w:hideMark/>
          </w:tcPr>
          <w:p w14:paraId="720416C7" w14:textId="77777777" w:rsidR="007B6C6A" w:rsidRPr="005734B8" w:rsidRDefault="007B6C6A">
            <w:pPr>
              <w:pStyle w:val="ESTablebody"/>
              <w:jc w:val="right"/>
              <w:rPr>
                <w:rFonts w:ascii="Calibri" w:hAnsi="Calibri" w:cs="Calibri"/>
                <w:b/>
                <w:sz w:val="18"/>
                <w:lang w:val="en-AU"/>
              </w:rPr>
            </w:pPr>
            <w:r w:rsidRPr="005734B8">
              <w:rPr>
                <w:rFonts w:ascii="Calibri" w:hAnsi="Calibri" w:cs="Calibri"/>
                <w:sz w:val="18"/>
              </w:rPr>
              <w:t>+1.1</w:t>
            </w:r>
          </w:p>
        </w:tc>
        <w:tc>
          <w:tcPr>
            <w:tcW w:w="880" w:type="dxa"/>
            <w:tcBorders>
              <w:top w:val="single" w:sz="18" w:space="0" w:color="53565A" w:themeColor="accent5"/>
              <w:left w:val="single" w:sz="4" w:space="0" w:color="FFFFFF" w:themeColor="background1"/>
              <w:bottom w:val="single" w:sz="18" w:space="0" w:color="53565A" w:themeColor="accent5"/>
              <w:right w:val="single" w:sz="4" w:space="0" w:color="FFFFFF" w:themeColor="background1"/>
            </w:tcBorders>
            <w:hideMark/>
          </w:tcPr>
          <w:p w14:paraId="21EABB25" w14:textId="5458C55D" w:rsidR="007B6C6A" w:rsidRPr="005734B8" w:rsidRDefault="00751945">
            <w:pPr>
              <w:pStyle w:val="ESTablebody"/>
              <w:jc w:val="right"/>
              <w:rPr>
                <w:rFonts w:ascii="Calibri" w:hAnsi="Calibri" w:cs="Calibri"/>
                <w:b/>
                <w:sz w:val="18"/>
                <w:lang w:val="en-AU"/>
              </w:rPr>
            </w:pPr>
            <w:r w:rsidRPr="005734B8">
              <w:rPr>
                <w:rFonts w:ascii="Calibri" w:hAnsi="Calibri" w:cs="Calibri"/>
                <w:sz w:val="18"/>
              </w:rPr>
              <w:t>48</w:t>
            </w:r>
            <w:r w:rsidR="007B6C6A" w:rsidRPr="005734B8">
              <w:rPr>
                <w:rFonts w:ascii="Calibri" w:hAnsi="Calibri" w:cs="Calibri"/>
                <w:sz w:val="18"/>
              </w:rPr>
              <w:t>.8</w:t>
            </w:r>
          </w:p>
        </w:tc>
        <w:tc>
          <w:tcPr>
            <w:tcW w:w="880" w:type="dxa"/>
            <w:tcBorders>
              <w:top w:val="single" w:sz="18" w:space="0" w:color="53565A" w:themeColor="accent5"/>
              <w:left w:val="single" w:sz="4" w:space="0" w:color="FFFFFF" w:themeColor="background1"/>
              <w:bottom w:val="single" w:sz="18" w:space="0" w:color="53565A" w:themeColor="accent5"/>
              <w:right w:val="single" w:sz="4" w:space="0" w:color="FFFFFF" w:themeColor="background1"/>
            </w:tcBorders>
            <w:hideMark/>
          </w:tcPr>
          <w:p w14:paraId="451A2ED1" w14:textId="77777777" w:rsidR="007B6C6A" w:rsidRPr="005734B8" w:rsidRDefault="007B6C6A">
            <w:pPr>
              <w:pStyle w:val="ESTablebody"/>
              <w:jc w:val="right"/>
              <w:rPr>
                <w:rFonts w:ascii="Calibri" w:hAnsi="Calibri" w:cs="Calibri"/>
                <w:b/>
                <w:sz w:val="18"/>
                <w:lang w:val="en-AU"/>
              </w:rPr>
            </w:pPr>
            <w:r w:rsidRPr="005734B8">
              <w:rPr>
                <w:rFonts w:ascii="Calibri" w:hAnsi="Calibri" w:cs="Calibri"/>
                <w:sz w:val="18"/>
              </w:rPr>
              <w:t>-2.6</w:t>
            </w:r>
          </w:p>
        </w:tc>
        <w:tc>
          <w:tcPr>
            <w:tcW w:w="880" w:type="dxa"/>
            <w:tcBorders>
              <w:top w:val="single" w:sz="18" w:space="0" w:color="53565A" w:themeColor="accent5"/>
              <w:left w:val="single" w:sz="4" w:space="0" w:color="FFFFFF" w:themeColor="background1"/>
              <w:bottom w:val="single" w:sz="18" w:space="0" w:color="53565A" w:themeColor="accent5"/>
              <w:right w:val="single" w:sz="4" w:space="0" w:color="FFFFFF" w:themeColor="background1"/>
            </w:tcBorders>
            <w:hideMark/>
          </w:tcPr>
          <w:p w14:paraId="1882E07E" w14:textId="014F4A5A" w:rsidR="007B6C6A" w:rsidRPr="005734B8" w:rsidRDefault="00751945">
            <w:pPr>
              <w:pStyle w:val="ESTablebody"/>
              <w:jc w:val="right"/>
              <w:rPr>
                <w:rFonts w:ascii="Calibri" w:hAnsi="Calibri" w:cs="Calibri"/>
                <w:b/>
                <w:sz w:val="18"/>
                <w:lang w:val="en-AU"/>
              </w:rPr>
            </w:pPr>
            <w:r w:rsidRPr="005734B8">
              <w:rPr>
                <w:rFonts w:ascii="Calibri" w:hAnsi="Calibri" w:cs="Calibri"/>
                <w:b/>
                <w:bCs/>
                <w:sz w:val="16"/>
                <w:szCs w:val="16"/>
              </w:rPr>
              <w:t>–</w:t>
            </w:r>
          </w:p>
        </w:tc>
        <w:tc>
          <w:tcPr>
            <w:tcW w:w="881" w:type="dxa"/>
            <w:tcBorders>
              <w:top w:val="single" w:sz="18" w:space="0" w:color="53565A" w:themeColor="accent5"/>
              <w:left w:val="single" w:sz="4" w:space="0" w:color="FFFFFF" w:themeColor="background1"/>
              <w:bottom w:val="single" w:sz="18" w:space="0" w:color="53565A" w:themeColor="accent5"/>
              <w:right w:val="single" w:sz="4" w:space="0" w:color="FFFFFF" w:themeColor="background1"/>
            </w:tcBorders>
            <w:hideMark/>
          </w:tcPr>
          <w:p w14:paraId="6FEB1012" w14:textId="1B7AAC1A" w:rsidR="007B6C6A" w:rsidRPr="005734B8" w:rsidRDefault="00751945">
            <w:pPr>
              <w:pStyle w:val="ESTablebody"/>
              <w:jc w:val="right"/>
              <w:rPr>
                <w:rFonts w:ascii="Calibri" w:hAnsi="Calibri" w:cs="Calibri"/>
                <w:b/>
                <w:sz w:val="18"/>
              </w:rPr>
            </w:pPr>
            <w:r w:rsidRPr="005734B8">
              <w:rPr>
                <w:rFonts w:ascii="Calibri" w:hAnsi="Calibri" w:cs="Calibri"/>
                <w:b/>
                <w:bCs/>
                <w:sz w:val="16"/>
                <w:szCs w:val="16"/>
              </w:rPr>
              <w:t>–</w:t>
            </w:r>
          </w:p>
        </w:tc>
      </w:tr>
    </w:tbl>
    <w:p w14:paraId="13428AFC" w14:textId="77777777" w:rsidR="001C585E" w:rsidRPr="005734B8" w:rsidRDefault="001C585E" w:rsidP="007B6C6A">
      <w:pPr>
        <w:pStyle w:val="ESTableintroheading"/>
        <w:rPr>
          <w:rFonts w:ascii="Calibri" w:hAnsi="Calibri" w:cs="Calibri"/>
        </w:rPr>
      </w:pPr>
    </w:p>
    <w:p w14:paraId="3169531E" w14:textId="77777777" w:rsidR="001C585E" w:rsidRPr="005734B8" w:rsidRDefault="001C585E">
      <w:pPr>
        <w:rPr>
          <w:rFonts w:ascii="Calibri" w:eastAsiaTheme="minorEastAsia" w:hAnsi="Calibri" w:cs="Calibri"/>
          <w:b/>
          <w:color w:val="AF272F" w:themeColor="accent4"/>
          <w:sz w:val="20"/>
          <w:szCs w:val="18"/>
          <w:lang w:val="en-US"/>
        </w:rPr>
      </w:pPr>
      <w:r w:rsidRPr="005734B8">
        <w:rPr>
          <w:rFonts w:ascii="Calibri" w:hAnsi="Calibri" w:cs="Calibri"/>
        </w:rPr>
        <w:br w:type="page"/>
      </w:r>
    </w:p>
    <w:p w14:paraId="7BCC04AD" w14:textId="6C985839" w:rsidR="007B6C6A" w:rsidRPr="005734B8" w:rsidRDefault="007B6C6A" w:rsidP="007B6C6A">
      <w:pPr>
        <w:pStyle w:val="ESTableintroheading"/>
        <w:rPr>
          <w:rFonts w:ascii="Calibri" w:hAnsi="Calibri" w:cs="Calibri"/>
        </w:rPr>
      </w:pPr>
      <w:r w:rsidRPr="005734B8">
        <w:rPr>
          <w:rFonts w:ascii="Calibri" w:hAnsi="Calibri" w:cs="Calibri"/>
        </w:rPr>
        <w:lastRenderedPageBreak/>
        <w:t>Reconciliation of executive officer numbers (head</w:t>
      </w:r>
      <w:r w:rsidR="00751945" w:rsidRPr="005734B8">
        <w:rPr>
          <w:rFonts w:ascii="Calibri" w:hAnsi="Calibri" w:cs="Calibri"/>
        </w:rPr>
        <w:t xml:space="preserve"> </w:t>
      </w:r>
      <w:r w:rsidRPr="005734B8">
        <w:rPr>
          <w:rFonts w:ascii="Calibri" w:hAnsi="Calibri" w:cs="Calibri"/>
        </w:rPr>
        <w:t>count) excluding statutory authorities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10"/>
        <w:gridCol w:w="1270"/>
        <w:gridCol w:w="1441"/>
      </w:tblGrid>
      <w:tr w:rsidR="007B6C6A" w:rsidRPr="005734B8" w14:paraId="65698533" w14:textId="77777777" w:rsidTr="007B6C6A">
        <w:trPr>
          <w:cantSplit/>
          <w:trHeight w:val="242"/>
          <w:tblHeader/>
        </w:trPr>
        <w:tc>
          <w:tcPr>
            <w:tcW w:w="5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hemeFill="accent4"/>
          </w:tcPr>
          <w:p w14:paraId="734DB5BC" w14:textId="77777777" w:rsidR="007B6C6A" w:rsidRPr="005734B8" w:rsidRDefault="007B6C6A">
            <w:pPr>
              <w:pStyle w:val="ESTableheadingwhite"/>
              <w:rPr>
                <w:rFonts w:ascii="Calibri" w:hAnsi="Calibri" w:cs="Calibri"/>
                <w:sz w:val="18"/>
              </w:rPr>
            </w:pP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hemeFill="accent4"/>
            <w:hideMark/>
          </w:tcPr>
          <w:p w14:paraId="0741EFAD" w14:textId="77777777" w:rsidR="007B6C6A" w:rsidRPr="005734B8" w:rsidRDefault="007B6C6A">
            <w:pPr>
              <w:pStyle w:val="ESTableheadingwhite"/>
              <w:jc w:val="right"/>
              <w:rPr>
                <w:rFonts w:ascii="Calibri" w:hAnsi="Calibri" w:cs="Calibri"/>
                <w:sz w:val="18"/>
              </w:rPr>
            </w:pPr>
            <w:r w:rsidRPr="005734B8">
              <w:rPr>
                <w:rFonts w:ascii="Calibri" w:hAnsi="Calibri" w:cs="Calibri"/>
                <w:sz w:val="18"/>
              </w:rPr>
              <w:t>2021</w:t>
            </w:r>
          </w:p>
        </w:tc>
        <w:tc>
          <w:tcPr>
            <w:tcW w:w="14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hemeFill="accent4"/>
            <w:hideMark/>
          </w:tcPr>
          <w:p w14:paraId="0794756D" w14:textId="77777777" w:rsidR="007B6C6A" w:rsidRPr="005734B8" w:rsidRDefault="007B6C6A">
            <w:pPr>
              <w:pStyle w:val="ESTableheadingwhite"/>
              <w:jc w:val="right"/>
              <w:rPr>
                <w:rFonts w:ascii="Calibri" w:hAnsi="Calibri" w:cs="Calibri"/>
                <w:sz w:val="18"/>
              </w:rPr>
            </w:pPr>
            <w:r w:rsidRPr="005734B8">
              <w:rPr>
                <w:rFonts w:ascii="Calibri" w:hAnsi="Calibri" w:cs="Calibri"/>
                <w:sz w:val="18"/>
              </w:rPr>
              <w:t>2020</w:t>
            </w:r>
          </w:p>
        </w:tc>
      </w:tr>
      <w:tr w:rsidR="007B6C6A" w:rsidRPr="005734B8" w14:paraId="4714FE3A" w14:textId="77777777" w:rsidTr="007B6C6A">
        <w:trPr>
          <w:cantSplit/>
        </w:trPr>
        <w:tc>
          <w:tcPr>
            <w:tcW w:w="5210" w:type="dxa"/>
            <w:tcBorders>
              <w:top w:val="single" w:sz="4" w:space="0" w:color="FFFFFF" w:themeColor="background1"/>
              <w:left w:val="single" w:sz="4" w:space="0" w:color="FFFFFF" w:themeColor="background1"/>
              <w:bottom w:val="single" w:sz="4" w:space="0" w:color="53565A" w:themeColor="accent5"/>
              <w:right w:val="single" w:sz="4" w:space="0" w:color="FFFFFF" w:themeColor="background1"/>
            </w:tcBorders>
            <w:hideMark/>
          </w:tcPr>
          <w:p w14:paraId="1C27F4FC" w14:textId="01C15211" w:rsidR="007B6C6A" w:rsidRPr="005734B8" w:rsidRDefault="007B6C6A">
            <w:pPr>
              <w:pStyle w:val="ESTablebody"/>
              <w:rPr>
                <w:rFonts w:ascii="Calibri" w:hAnsi="Calibri" w:cs="Calibri"/>
                <w:sz w:val="18"/>
              </w:rPr>
            </w:pPr>
            <w:r w:rsidRPr="005734B8">
              <w:rPr>
                <w:rFonts w:ascii="Calibri" w:hAnsi="Calibri" w:cs="Calibri"/>
                <w:sz w:val="18"/>
                <w:lang w:val="en-AU"/>
              </w:rPr>
              <w:t>Executive</w:t>
            </w:r>
            <w:r w:rsidR="00751945" w:rsidRPr="005734B8">
              <w:rPr>
                <w:rFonts w:ascii="Calibri" w:hAnsi="Calibri" w:cs="Calibri"/>
                <w:sz w:val="18"/>
                <w:lang w:val="en-AU"/>
              </w:rPr>
              <w:t xml:space="preserve"> officer</w:t>
            </w:r>
            <w:r w:rsidRPr="005734B8">
              <w:rPr>
                <w:rFonts w:ascii="Calibri" w:hAnsi="Calibri" w:cs="Calibri"/>
                <w:sz w:val="18"/>
                <w:lang w:val="en-AU"/>
              </w:rPr>
              <w:t xml:space="preserve">s </w:t>
            </w:r>
          </w:p>
        </w:tc>
        <w:tc>
          <w:tcPr>
            <w:tcW w:w="1270" w:type="dxa"/>
            <w:tcBorders>
              <w:top w:val="single" w:sz="4" w:space="0" w:color="FFFFFF" w:themeColor="background1"/>
              <w:left w:val="single" w:sz="4" w:space="0" w:color="FFFFFF" w:themeColor="background1"/>
              <w:bottom w:val="single" w:sz="4" w:space="0" w:color="53565A" w:themeColor="accent5"/>
              <w:right w:val="single" w:sz="4" w:space="0" w:color="FFFFFF" w:themeColor="background1"/>
            </w:tcBorders>
            <w:shd w:val="clear" w:color="auto" w:fill="D9D9D6" w:themeFill="accent6"/>
            <w:hideMark/>
          </w:tcPr>
          <w:p w14:paraId="43EE19E6" w14:textId="77777777" w:rsidR="007B6C6A" w:rsidRPr="005734B8" w:rsidRDefault="007B6C6A">
            <w:pPr>
              <w:pStyle w:val="ESTablebody"/>
              <w:jc w:val="right"/>
              <w:rPr>
                <w:rFonts w:ascii="Calibri" w:hAnsi="Calibri" w:cs="Calibri"/>
                <w:sz w:val="18"/>
                <w:lang w:val="en-AU"/>
              </w:rPr>
            </w:pPr>
            <w:r w:rsidRPr="005734B8">
              <w:rPr>
                <w:rFonts w:ascii="Calibri" w:hAnsi="Calibri" w:cs="Calibri"/>
                <w:sz w:val="18"/>
              </w:rPr>
              <w:t>98</w:t>
            </w:r>
          </w:p>
        </w:tc>
        <w:tc>
          <w:tcPr>
            <w:tcW w:w="1441" w:type="dxa"/>
            <w:tcBorders>
              <w:top w:val="single" w:sz="4" w:space="0" w:color="FFFFFF" w:themeColor="background1"/>
              <w:left w:val="single" w:sz="4" w:space="0" w:color="FFFFFF" w:themeColor="background1"/>
              <w:bottom w:val="single" w:sz="4" w:space="0" w:color="53565A" w:themeColor="accent5"/>
              <w:right w:val="single" w:sz="4" w:space="0" w:color="FFFFFF" w:themeColor="background1"/>
            </w:tcBorders>
            <w:vAlign w:val="center"/>
            <w:hideMark/>
          </w:tcPr>
          <w:p w14:paraId="206468CB" w14:textId="77777777" w:rsidR="007B6C6A" w:rsidRPr="005734B8" w:rsidRDefault="007B6C6A">
            <w:pPr>
              <w:pStyle w:val="ESTablebody"/>
              <w:jc w:val="right"/>
              <w:rPr>
                <w:rFonts w:ascii="Calibri" w:hAnsi="Calibri" w:cs="Calibri"/>
                <w:sz w:val="18"/>
              </w:rPr>
            </w:pPr>
            <w:r w:rsidRPr="005734B8">
              <w:rPr>
                <w:rFonts w:ascii="Calibri" w:hAnsi="Calibri" w:cs="Calibri"/>
                <w:sz w:val="18"/>
              </w:rPr>
              <w:t>95</w:t>
            </w:r>
          </w:p>
        </w:tc>
      </w:tr>
      <w:tr w:rsidR="007B6C6A" w:rsidRPr="005734B8" w14:paraId="5FEF4997" w14:textId="77777777" w:rsidTr="007B6C6A">
        <w:trPr>
          <w:cantSplit/>
        </w:trPr>
        <w:tc>
          <w:tcPr>
            <w:tcW w:w="521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0B69BFAE" w14:textId="77777777" w:rsidR="007B6C6A" w:rsidRPr="005734B8" w:rsidRDefault="007B6C6A">
            <w:pPr>
              <w:pStyle w:val="ESTablebody"/>
              <w:rPr>
                <w:rFonts w:ascii="Calibri" w:hAnsi="Calibri" w:cs="Calibri"/>
                <w:sz w:val="18"/>
              </w:rPr>
            </w:pPr>
            <w:r w:rsidRPr="005734B8">
              <w:rPr>
                <w:rFonts w:ascii="Calibri" w:hAnsi="Calibri" w:cs="Calibri"/>
                <w:sz w:val="18"/>
                <w:lang w:val="en-AU"/>
              </w:rPr>
              <w:t>Accountable officer (Secretary)</w:t>
            </w:r>
          </w:p>
        </w:tc>
        <w:tc>
          <w:tcPr>
            <w:tcW w:w="127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shd w:val="clear" w:color="auto" w:fill="D9D9D6" w:themeFill="accent6"/>
            <w:hideMark/>
          </w:tcPr>
          <w:p w14:paraId="72EB2A0F" w14:textId="77777777" w:rsidR="007B6C6A" w:rsidRPr="005734B8" w:rsidRDefault="007B6C6A">
            <w:pPr>
              <w:pStyle w:val="ESTablebody"/>
              <w:jc w:val="right"/>
              <w:rPr>
                <w:rFonts w:ascii="Calibri" w:hAnsi="Calibri" w:cs="Calibri"/>
                <w:sz w:val="18"/>
                <w:lang w:val="en-AU"/>
              </w:rPr>
            </w:pPr>
            <w:r w:rsidRPr="005734B8">
              <w:rPr>
                <w:rFonts w:ascii="Calibri" w:hAnsi="Calibri" w:cs="Calibri"/>
                <w:sz w:val="18"/>
              </w:rPr>
              <w:t>1</w:t>
            </w:r>
          </w:p>
        </w:tc>
        <w:tc>
          <w:tcPr>
            <w:tcW w:w="1441"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vAlign w:val="center"/>
            <w:hideMark/>
          </w:tcPr>
          <w:p w14:paraId="42B975F6" w14:textId="77777777" w:rsidR="007B6C6A" w:rsidRPr="005734B8" w:rsidRDefault="007B6C6A">
            <w:pPr>
              <w:pStyle w:val="ESTablebody"/>
              <w:jc w:val="right"/>
              <w:rPr>
                <w:rFonts w:ascii="Calibri" w:hAnsi="Calibri" w:cs="Calibri"/>
                <w:sz w:val="18"/>
              </w:rPr>
            </w:pPr>
            <w:r w:rsidRPr="005734B8">
              <w:rPr>
                <w:rFonts w:ascii="Calibri" w:hAnsi="Calibri" w:cs="Calibri"/>
                <w:sz w:val="18"/>
              </w:rPr>
              <w:t>1</w:t>
            </w:r>
          </w:p>
        </w:tc>
      </w:tr>
      <w:tr w:rsidR="007B6C6A" w:rsidRPr="005734B8" w14:paraId="4D249272" w14:textId="77777777" w:rsidTr="007B6C6A">
        <w:trPr>
          <w:cantSplit/>
        </w:trPr>
        <w:tc>
          <w:tcPr>
            <w:tcW w:w="521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79E6FCEB" w14:textId="77777777" w:rsidR="007B6C6A" w:rsidRPr="005734B8" w:rsidRDefault="007B6C6A">
            <w:pPr>
              <w:pStyle w:val="ESTablebody"/>
              <w:rPr>
                <w:rFonts w:ascii="Calibri" w:hAnsi="Calibri" w:cs="Calibri"/>
                <w:sz w:val="18"/>
                <w:lang w:val="en-AU"/>
              </w:rPr>
            </w:pPr>
            <w:r w:rsidRPr="005734B8">
              <w:rPr>
                <w:rFonts w:ascii="Calibri" w:hAnsi="Calibri" w:cs="Calibri"/>
                <w:sz w:val="18"/>
                <w:lang w:val="en-AU"/>
              </w:rPr>
              <w:t>Less separations</w:t>
            </w:r>
            <w:r w:rsidRPr="005734B8">
              <w:rPr>
                <w:rStyle w:val="FootnoteReference"/>
                <w:rFonts w:ascii="Calibri" w:hAnsi="Calibri" w:cs="Calibri"/>
                <w:sz w:val="18"/>
                <w:lang w:val="en-AU"/>
              </w:rPr>
              <w:footnoteReference w:id="63"/>
            </w:r>
          </w:p>
        </w:tc>
        <w:tc>
          <w:tcPr>
            <w:tcW w:w="127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shd w:val="clear" w:color="auto" w:fill="D9D9D6" w:themeFill="accent6"/>
            <w:hideMark/>
          </w:tcPr>
          <w:p w14:paraId="2D81C61F" w14:textId="77777777" w:rsidR="007B6C6A" w:rsidRPr="005734B8" w:rsidRDefault="007B6C6A">
            <w:pPr>
              <w:pStyle w:val="ESTablebody"/>
              <w:jc w:val="right"/>
              <w:rPr>
                <w:rFonts w:ascii="Calibri" w:hAnsi="Calibri" w:cs="Calibri"/>
                <w:sz w:val="18"/>
              </w:rPr>
            </w:pPr>
            <w:r w:rsidRPr="005734B8">
              <w:rPr>
                <w:rFonts w:ascii="Calibri" w:hAnsi="Calibri" w:cs="Calibri"/>
                <w:sz w:val="18"/>
              </w:rPr>
              <w:t>(11)</w:t>
            </w:r>
          </w:p>
        </w:tc>
        <w:tc>
          <w:tcPr>
            <w:tcW w:w="1441"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vAlign w:val="center"/>
            <w:hideMark/>
          </w:tcPr>
          <w:p w14:paraId="669A6BC0" w14:textId="77777777" w:rsidR="007B6C6A" w:rsidRPr="005734B8" w:rsidRDefault="007B6C6A">
            <w:pPr>
              <w:pStyle w:val="ESTablebody"/>
              <w:jc w:val="right"/>
              <w:rPr>
                <w:rFonts w:ascii="Calibri" w:hAnsi="Calibri" w:cs="Calibri"/>
                <w:sz w:val="18"/>
              </w:rPr>
            </w:pPr>
            <w:r w:rsidRPr="005734B8">
              <w:rPr>
                <w:rFonts w:ascii="Calibri" w:hAnsi="Calibri" w:cs="Calibri"/>
                <w:sz w:val="18"/>
              </w:rPr>
              <w:t>(8)</w:t>
            </w:r>
          </w:p>
        </w:tc>
      </w:tr>
      <w:tr w:rsidR="007B6C6A" w:rsidRPr="005734B8" w14:paraId="6CED59C2" w14:textId="77777777" w:rsidTr="007B6C6A">
        <w:trPr>
          <w:cantSplit/>
        </w:trPr>
        <w:tc>
          <w:tcPr>
            <w:tcW w:w="5210" w:type="dxa"/>
            <w:tcBorders>
              <w:top w:val="single" w:sz="4" w:space="0" w:color="53565A" w:themeColor="accent5"/>
              <w:left w:val="single" w:sz="4" w:space="0" w:color="FFFFFF" w:themeColor="background1"/>
              <w:bottom w:val="single" w:sz="18" w:space="0" w:color="53565A" w:themeColor="accent5"/>
              <w:right w:val="single" w:sz="4" w:space="0" w:color="FFFFFF" w:themeColor="background1"/>
            </w:tcBorders>
            <w:hideMark/>
          </w:tcPr>
          <w:p w14:paraId="0F12F642" w14:textId="538E8589" w:rsidR="007B6C6A" w:rsidRPr="005734B8" w:rsidRDefault="007B6C6A">
            <w:pPr>
              <w:pStyle w:val="ESTablebody"/>
              <w:rPr>
                <w:rFonts w:ascii="Calibri" w:hAnsi="Calibri" w:cs="Calibri"/>
                <w:sz w:val="18"/>
              </w:rPr>
            </w:pPr>
            <w:r w:rsidRPr="005734B8">
              <w:rPr>
                <w:rFonts w:ascii="Calibri" w:hAnsi="Calibri" w:cs="Calibri"/>
                <w:sz w:val="18"/>
                <w:lang w:val="en-AU"/>
              </w:rPr>
              <w:t>Less Executive</w:t>
            </w:r>
            <w:r w:rsidR="00751945" w:rsidRPr="005734B8">
              <w:rPr>
                <w:rFonts w:ascii="Calibri" w:hAnsi="Calibri" w:cs="Calibri"/>
                <w:sz w:val="18"/>
                <w:lang w:val="en-AU"/>
              </w:rPr>
              <w:t xml:space="preserve"> officer</w:t>
            </w:r>
            <w:r w:rsidRPr="005734B8">
              <w:rPr>
                <w:rFonts w:ascii="Calibri" w:hAnsi="Calibri" w:cs="Calibri"/>
                <w:sz w:val="18"/>
                <w:lang w:val="en-AU"/>
              </w:rPr>
              <w:t>s employed by other departments</w:t>
            </w:r>
            <w:r w:rsidRPr="005734B8">
              <w:rPr>
                <w:rStyle w:val="FootnoteReference"/>
                <w:rFonts w:ascii="Calibri" w:hAnsi="Calibri" w:cs="Calibri"/>
                <w:sz w:val="18"/>
                <w:lang w:val="en-AU"/>
              </w:rPr>
              <w:footnoteReference w:id="64"/>
            </w:r>
          </w:p>
        </w:tc>
        <w:tc>
          <w:tcPr>
            <w:tcW w:w="1270" w:type="dxa"/>
            <w:tcBorders>
              <w:top w:val="single" w:sz="4" w:space="0" w:color="53565A" w:themeColor="accent5"/>
              <w:left w:val="single" w:sz="4" w:space="0" w:color="FFFFFF" w:themeColor="background1"/>
              <w:bottom w:val="single" w:sz="18" w:space="0" w:color="53565A" w:themeColor="accent5"/>
              <w:right w:val="single" w:sz="4" w:space="0" w:color="FFFFFF" w:themeColor="background1"/>
            </w:tcBorders>
            <w:shd w:val="clear" w:color="auto" w:fill="D9D9D6" w:themeFill="accent6"/>
            <w:hideMark/>
          </w:tcPr>
          <w:p w14:paraId="657E0975" w14:textId="77777777" w:rsidR="007B6C6A" w:rsidRPr="005734B8" w:rsidRDefault="007B6C6A">
            <w:pPr>
              <w:pStyle w:val="ESTablebody"/>
              <w:jc w:val="right"/>
              <w:rPr>
                <w:rFonts w:ascii="Calibri" w:hAnsi="Calibri" w:cs="Calibri"/>
                <w:sz w:val="18"/>
                <w:lang w:val="en-AU"/>
              </w:rPr>
            </w:pPr>
            <w:r w:rsidRPr="005734B8">
              <w:rPr>
                <w:rFonts w:ascii="Calibri" w:hAnsi="Calibri" w:cs="Calibri"/>
                <w:sz w:val="18"/>
              </w:rPr>
              <w:t>(1)</w:t>
            </w:r>
          </w:p>
        </w:tc>
        <w:tc>
          <w:tcPr>
            <w:tcW w:w="1441" w:type="dxa"/>
            <w:tcBorders>
              <w:top w:val="single" w:sz="4" w:space="0" w:color="53565A" w:themeColor="accent5"/>
              <w:left w:val="single" w:sz="4" w:space="0" w:color="FFFFFF" w:themeColor="background1"/>
              <w:bottom w:val="single" w:sz="18" w:space="0" w:color="53565A" w:themeColor="accent5"/>
              <w:right w:val="single" w:sz="4" w:space="0" w:color="FFFFFF" w:themeColor="background1"/>
            </w:tcBorders>
            <w:vAlign w:val="center"/>
            <w:hideMark/>
          </w:tcPr>
          <w:p w14:paraId="2F3DB249" w14:textId="77777777" w:rsidR="007B6C6A" w:rsidRPr="005734B8" w:rsidRDefault="007B6C6A">
            <w:pPr>
              <w:pStyle w:val="ESTablebody"/>
              <w:jc w:val="right"/>
              <w:rPr>
                <w:rFonts w:ascii="Calibri" w:hAnsi="Calibri" w:cs="Calibri"/>
                <w:sz w:val="18"/>
              </w:rPr>
            </w:pPr>
            <w:r w:rsidRPr="005734B8">
              <w:rPr>
                <w:rFonts w:ascii="Calibri" w:hAnsi="Calibri" w:cs="Calibri"/>
                <w:sz w:val="18"/>
              </w:rPr>
              <w:t>(1)</w:t>
            </w:r>
          </w:p>
        </w:tc>
      </w:tr>
      <w:tr w:rsidR="007B6C6A" w:rsidRPr="005734B8" w14:paraId="2EBD13B5" w14:textId="77777777" w:rsidTr="007B6C6A">
        <w:trPr>
          <w:cantSplit/>
        </w:trPr>
        <w:tc>
          <w:tcPr>
            <w:tcW w:w="5210" w:type="dxa"/>
            <w:tcBorders>
              <w:top w:val="single" w:sz="18" w:space="0" w:color="53565A" w:themeColor="accent5"/>
              <w:left w:val="single" w:sz="4" w:space="0" w:color="FFFFFF" w:themeColor="background1"/>
              <w:bottom w:val="single" w:sz="18" w:space="0" w:color="53565A" w:themeColor="accent5"/>
              <w:right w:val="single" w:sz="4" w:space="0" w:color="FFFFFF" w:themeColor="background1"/>
            </w:tcBorders>
            <w:hideMark/>
          </w:tcPr>
          <w:p w14:paraId="68994D01" w14:textId="77777777" w:rsidR="007B6C6A" w:rsidRPr="005734B8" w:rsidRDefault="007B6C6A">
            <w:pPr>
              <w:pStyle w:val="ESTablebody"/>
              <w:rPr>
                <w:rFonts w:ascii="Calibri" w:hAnsi="Calibri" w:cs="Calibri"/>
                <w:b/>
                <w:sz w:val="18"/>
                <w:lang w:val="en-AU"/>
              </w:rPr>
            </w:pPr>
            <w:r w:rsidRPr="005734B8">
              <w:rPr>
                <w:rFonts w:ascii="Calibri" w:hAnsi="Calibri" w:cs="Calibri"/>
                <w:b/>
                <w:sz w:val="18"/>
                <w:lang w:val="en-AU"/>
              </w:rPr>
              <w:t>Total executive officer numbers as at 30 June</w:t>
            </w:r>
          </w:p>
        </w:tc>
        <w:tc>
          <w:tcPr>
            <w:tcW w:w="1270" w:type="dxa"/>
            <w:tcBorders>
              <w:top w:val="single" w:sz="18" w:space="0" w:color="53565A" w:themeColor="accent5"/>
              <w:left w:val="single" w:sz="4" w:space="0" w:color="FFFFFF" w:themeColor="background1"/>
              <w:bottom w:val="single" w:sz="18" w:space="0" w:color="53565A" w:themeColor="accent5"/>
              <w:right w:val="single" w:sz="4" w:space="0" w:color="FFFFFF" w:themeColor="background1"/>
            </w:tcBorders>
            <w:shd w:val="clear" w:color="auto" w:fill="D9D9D6" w:themeFill="accent6"/>
            <w:hideMark/>
          </w:tcPr>
          <w:p w14:paraId="5C2BFDFF" w14:textId="77777777" w:rsidR="007B6C6A" w:rsidRPr="005734B8" w:rsidRDefault="007B6C6A">
            <w:pPr>
              <w:pStyle w:val="ESTablebody"/>
              <w:jc w:val="right"/>
              <w:rPr>
                <w:rFonts w:ascii="Calibri" w:hAnsi="Calibri" w:cs="Calibri"/>
                <w:b/>
                <w:sz w:val="18"/>
                <w:lang w:val="en-AU"/>
              </w:rPr>
            </w:pPr>
            <w:r w:rsidRPr="005734B8">
              <w:rPr>
                <w:rFonts w:ascii="Calibri" w:hAnsi="Calibri" w:cs="Calibri"/>
                <w:sz w:val="18"/>
              </w:rPr>
              <w:t>87</w:t>
            </w:r>
          </w:p>
        </w:tc>
        <w:tc>
          <w:tcPr>
            <w:tcW w:w="1441" w:type="dxa"/>
            <w:tcBorders>
              <w:top w:val="single" w:sz="18" w:space="0" w:color="53565A" w:themeColor="accent5"/>
              <w:left w:val="single" w:sz="4" w:space="0" w:color="FFFFFF" w:themeColor="background1"/>
              <w:bottom w:val="single" w:sz="18" w:space="0" w:color="53565A" w:themeColor="accent5"/>
              <w:right w:val="single" w:sz="4" w:space="0" w:color="FFFFFF" w:themeColor="background1"/>
            </w:tcBorders>
            <w:vAlign w:val="center"/>
            <w:hideMark/>
          </w:tcPr>
          <w:p w14:paraId="1EBC094A" w14:textId="77777777" w:rsidR="007B6C6A" w:rsidRPr="005734B8" w:rsidRDefault="007B6C6A">
            <w:pPr>
              <w:pStyle w:val="ESTablebody"/>
              <w:jc w:val="right"/>
              <w:rPr>
                <w:rFonts w:ascii="Calibri" w:hAnsi="Calibri" w:cs="Calibri"/>
                <w:b/>
                <w:sz w:val="18"/>
              </w:rPr>
            </w:pPr>
            <w:r w:rsidRPr="005734B8">
              <w:rPr>
                <w:rFonts w:ascii="Calibri" w:hAnsi="Calibri" w:cs="Calibri"/>
                <w:b/>
                <w:sz w:val="18"/>
              </w:rPr>
              <w:t>87</w:t>
            </w:r>
          </w:p>
        </w:tc>
      </w:tr>
    </w:tbl>
    <w:p w14:paraId="09B03526" w14:textId="1EB96579" w:rsidR="007B6C6A" w:rsidRPr="005734B8" w:rsidRDefault="007B6C6A" w:rsidP="007B6C6A">
      <w:pPr>
        <w:pStyle w:val="ESTableintroheading"/>
        <w:rPr>
          <w:rFonts w:ascii="Calibri" w:hAnsi="Calibri" w:cs="Calibri"/>
        </w:rPr>
      </w:pPr>
      <w:r w:rsidRPr="005734B8">
        <w:rPr>
          <w:rFonts w:ascii="Calibri" w:hAnsi="Calibri" w:cs="Calibri"/>
        </w:rPr>
        <w:t xml:space="preserve">Number of executive officers (FTE) </w:t>
      </w:r>
      <w:r w:rsidR="00751945" w:rsidRPr="005734B8">
        <w:rPr>
          <w:rFonts w:ascii="Calibri" w:hAnsi="Calibri" w:cs="Calibri"/>
        </w:rPr>
        <w:t>in</w:t>
      </w:r>
      <w:r w:rsidRPr="005734B8">
        <w:rPr>
          <w:rFonts w:ascii="Calibri" w:hAnsi="Calibri" w:cs="Calibri"/>
        </w:rPr>
        <w:t xml:space="preserve"> the Department’s statutory authorities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80"/>
        <w:gridCol w:w="880"/>
        <w:gridCol w:w="880"/>
        <w:gridCol w:w="880"/>
        <w:gridCol w:w="880"/>
        <w:gridCol w:w="880"/>
        <w:gridCol w:w="880"/>
        <w:gridCol w:w="880"/>
        <w:gridCol w:w="881"/>
      </w:tblGrid>
      <w:tr w:rsidR="007B6C6A" w:rsidRPr="005734B8" w14:paraId="6E1F29A5" w14:textId="77777777" w:rsidTr="007B6C6A">
        <w:trPr>
          <w:cantSplit/>
          <w:trHeight w:val="242"/>
          <w:tblHeader/>
        </w:trPr>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cPr>
          <w:p w14:paraId="5B1B52F7" w14:textId="77777777" w:rsidR="007B6C6A" w:rsidRPr="005734B8" w:rsidRDefault="007B6C6A">
            <w:pPr>
              <w:pStyle w:val="ESTableheadingwhite"/>
              <w:rPr>
                <w:rFonts w:ascii="Calibri" w:hAnsi="Calibri" w:cs="Calibri"/>
                <w:sz w:val="18"/>
              </w:rPr>
            </w:pPr>
          </w:p>
        </w:tc>
        <w:tc>
          <w:tcPr>
            <w:tcW w:w="17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hemeFill="accent4"/>
            <w:hideMark/>
          </w:tcPr>
          <w:p w14:paraId="424AC52B" w14:textId="77777777" w:rsidR="007B6C6A" w:rsidRPr="005734B8" w:rsidRDefault="007B6C6A">
            <w:pPr>
              <w:pStyle w:val="ESTableheadingwhite"/>
              <w:jc w:val="center"/>
              <w:rPr>
                <w:rFonts w:ascii="Calibri" w:hAnsi="Calibri" w:cs="Calibri"/>
                <w:sz w:val="18"/>
              </w:rPr>
            </w:pPr>
            <w:r w:rsidRPr="005734B8">
              <w:rPr>
                <w:rFonts w:ascii="Calibri" w:hAnsi="Calibri" w:cs="Calibri"/>
                <w:sz w:val="18"/>
              </w:rPr>
              <w:t>All</w:t>
            </w:r>
          </w:p>
        </w:tc>
        <w:tc>
          <w:tcPr>
            <w:tcW w:w="17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hemeFill="accent4"/>
            <w:hideMark/>
          </w:tcPr>
          <w:p w14:paraId="497ACAA0" w14:textId="77777777" w:rsidR="007B6C6A" w:rsidRPr="005734B8" w:rsidRDefault="007B6C6A">
            <w:pPr>
              <w:pStyle w:val="ESTableheadingwhite"/>
              <w:jc w:val="center"/>
              <w:rPr>
                <w:rFonts w:ascii="Calibri" w:hAnsi="Calibri" w:cs="Calibri"/>
                <w:sz w:val="18"/>
              </w:rPr>
            </w:pPr>
            <w:r w:rsidRPr="005734B8">
              <w:rPr>
                <w:rFonts w:ascii="Calibri" w:hAnsi="Calibri" w:cs="Calibri"/>
                <w:sz w:val="18"/>
              </w:rPr>
              <w:t>Men</w:t>
            </w:r>
          </w:p>
        </w:tc>
        <w:tc>
          <w:tcPr>
            <w:tcW w:w="17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hemeFill="accent4"/>
            <w:hideMark/>
          </w:tcPr>
          <w:p w14:paraId="06BC4B53" w14:textId="77777777" w:rsidR="007B6C6A" w:rsidRPr="005734B8" w:rsidRDefault="007B6C6A">
            <w:pPr>
              <w:pStyle w:val="ESTableheadingwhite"/>
              <w:jc w:val="center"/>
              <w:rPr>
                <w:rFonts w:ascii="Calibri" w:hAnsi="Calibri" w:cs="Calibri"/>
                <w:sz w:val="18"/>
              </w:rPr>
            </w:pPr>
            <w:r w:rsidRPr="005734B8">
              <w:rPr>
                <w:rFonts w:ascii="Calibri" w:hAnsi="Calibri" w:cs="Calibri"/>
                <w:sz w:val="18"/>
              </w:rPr>
              <w:t>Women</w:t>
            </w:r>
          </w:p>
        </w:tc>
        <w:tc>
          <w:tcPr>
            <w:tcW w:w="17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hemeFill="accent4"/>
            <w:hideMark/>
          </w:tcPr>
          <w:p w14:paraId="00A2518C" w14:textId="77777777" w:rsidR="007B6C6A" w:rsidRPr="005734B8" w:rsidRDefault="007B6C6A">
            <w:pPr>
              <w:pStyle w:val="ESTableheadingwhite"/>
              <w:jc w:val="center"/>
              <w:rPr>
                <w:rFonts w:ascii="Calibri" w:hAnsi="Calibri" w:cs="Calibri"/>
                <w:sz w:val="18"/>
              </w:rPr>
            </w:pPr>
            <w:r w:rsidRPr="005734B8">
              <w:rPr>
                <w:rFonts w:ascii="Calibri" w:hAnsi="Calibri" w:cs="Calibri"/>
                <w:sz w:val="18"/>
              </w:rPr>
              <w:t>Self-described</w:t>
            </w:r>
          </w:p>
        </w:tc>
      </w:tr>
      <w:tr w:rsidR="007B6C6A" w:rsidRPr="005734B8" w14:paraId="42F6ADF2" w14:textId="77777777" w:rsidTr="007B6C6A">
        <w:trPr>
          <w:cantSplit/>
          <w:trHeight w:val="242"/>
          <w:tblHeader/>
        </w:trPr>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hideMark/>
          </w:tcPr>
          <w:p w14:paraId="3C8D8B37" w14:textId="77777777" w:rsidR="007B6C6A" w:rsidRPr="005734B8" w:rsidRDefault="007B6C6A">
            <w:pPr>
              <w:pStyle w:val="ESTableheadingwhite"/>
              <w:rPr>
                <w:rFonts w:ascii="Calibri" w:hAnsi="Calibri" w:cs="Calibri"/>
                <w:sz w:val="18"/>
              </w:rPr>
            </w:pPr>
            <w:r w:rsidRPr="005734B8">
              <w:rPr>
                <w:rFonts w:ascii="Calibri" w:hAnsi="Calibri" w:cs="Calibri"/>
                <w:sz w:val="18"/>
              </w:rPr>
              <w:t>Class</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hideMark/>
          </w:tcPr>
          <w:p w14:paraId="1D228E21" w14:textId="77777777" w:rsidR="007B6C6A" w:rsidRPr="005734B8" w:rsidRDefault="007B6C6A">
            <w:pPr>
              <w:pStyle w:val="ESTableheadingwhite"/>
              <w:jc w:val="right"/>
              <w:rPr>
                <w:rFonts w:ascii="Calibri" w:hAnsi="Calibri" w:cs="Calibri"/>
                <w:sz w:val="18"/>
              </w:rPr>
            </w:pPr>
            <w:r w:rsidRPr="005734B8">
              <w:rPr>
                <w:rFonts w:ascii="Calibri" w:hAnsi="Calibri" w:cs="Calibri"/>
                <w:sz w:val="18"/>
              </w:rPr>
              <w:t>No.</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hideMark/>
          </w:tcPr>
          <w:p w14:paraId="51B356F6" w14:textId="77777777" w:rsidR="007B6C6A" w:rsidRPr="005734B8" w:rsidRDefault="007B6C6A">
            <w:pPr>
              <w:pStyle w:val="ESTableheadingwhite"/>
              <w:jc w:val="right"/>
              <w:rPr>
                <w:rFonts w:ascii="Calibri" w:hAnsi="Calibri" w:cs="Calibri"/>
                <w:sz w:val="18"/>
              </w:rPr>
            </w:pPr>
            <w:r w:rsidRPr="005734B8">
              <w:rPr>
                <w:rFonts w:ascii="Calibri" w:hAnsi="Calibri" w:cs="Calibri"/>
                <w:sz w:val="18"/>
              </w:rPr>
              <w:t>Var.</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hideMark/>
          </w:tcPr>
          <w:p w14:paraId="681C0670" w14:textId="77777777" w:rsidR="007B6C6A" w:rsidRPr="005734B8" w:rsidRDefault="007B6C6A">
            <w:pPr>
              <w:pStyle w:val="ESTableheadingwhite"/>
              <w:jc w:val="right"/>
              <w:rPr>
                <w:rFonts w:ascii="Calibri" w:hAnsi="Calibri" w:cs="Calibri"/>
                <w:sz w:val="18"/>
              </w:rPr>
            </w:pPr>
            <w:r w:rsidRPr="005734B8">
              <w:rPr>
                <w:rFonts w:ascii="Calibri" w:hAnsi="Calibri" w:cs="Calibri"/>
                <w:sz w:val="18"/>
              </w:rPr>
              <w:t>No.</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hideMark/>
          </w:tcPr>
          <w:p w14:paraId="162FE62F" w14:textId="77777777" w:rsidR="007B6C6A" w:rsidRPr="005734B8" w:rsidRDefault="007B6C6A">
            <w:pPr>
              <w:pStyle w:val="ESTableheadingwhite"/>
              <w:jc w:val="right"/>
              <w:rPr>
                <w:rFonts w:ascii="Calibri" w:hAnsi="Calibri" w:cs="Calibri"/>
                <w:sz w:val="18"/>
              </w:rPr>
            </w:pPr>
            <w:r w:rsidRPr="005734B8">
              <w:rPr>
                <w:rFonts w:ascii="Calibri" w:hAnsi="Calibri" w:cs="Calibri"/>
                <w:sz w:val="18"/>
              </w:rPr>
              <w:t>Var.</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hideMark/>
          </w:tcPr>
          <w:p w14:paraId="469E5757" w14:textId="77777777" w:rsidR="007B6C6A" w:rsidRPr="005734B8" w:rsidRDefault="007B6C6A">
            <w:pPr>
              <w:pStyle w:val="ESTableheadingwhite"/>
              <w:jc w:val="right"/>
              <w:rPr>
                <w:rFonts w:ascii="Calibri" w:hAnsi="Calibri" w:cs="Calibri"/>
                <w:sz w:val="18"/>
              </w:rPr>
            </w:pPr>
            <w:r w:rsidRPr="005734B8">
              <w:rPr>
                <w:rFonts w:ascii="Calibri" w:hAnsi="Calibri" w:cs="Calibri"/>
                <w:sz w:val="18"/>
              </w:rPr>
              <w:t>No.</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hideMark/>
          </w:tcPr>
          <w:p w14:paraId="43897C46" w14:textId="77777777" w:rsidR="007B6C6A" w:rsidRPr="005734B8" w:rsidRDefault="007B6C6A">
            <w:pPr>
              <w:pStyle w:val="ESTableheadingwhite"/>
              <w:jc w:val="right"/>
              <w:rPr>
                <w:rFonts w:ascii="Calibri" w:hAnsi="Calibri" w:cs="Calibri"/>
                <w:sz w:val="18"/>
              </w:rPr>
            </w:pPr>
            <w:r w:rsidRPr="005734B8">
              <w:rPr>
                <w:rFonts w:ascii="Calibri" w:hAnsi="Calibri" w:cs="Calibri"/>
                <w:sz w:val="18"/>
              </w:rPr>
              <w:t>Var.</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hideMark/>
          </w:tcPr>
          <w:p w14:paraId="0C7150D7" w14:textId="77777777" w:rsidR="007B6C6A" w:rsidRPr="005734B8" w:rsidRDefault="007B6C6A">
            <w:pPr>
              <w:pStyle w:val="ESTableheadingwhite"/>
              <w:jc w:val="right"/>
              <w:rPr>
                <w:rFonts w:ascii="Calibri" w:hAnsi="Calibri" w:cs="Calibri"/>
                <w:sz w:val="18"/>
              </w:rPr>
            </w:pPr>
            <w:r w:rsidRPr="005734B8">
              <w:rPr>
                <w:rFonts w:ascii="Calibri" w:hAnsi="Calibri" w:cs="Calibri"/>
                <w:sz w:val="18"/>
              </w:rPr>
              <w:t>No.</w:t>
            </w:r>
          </w:p>
        </w:tc>
        <w:tc>
          <w:tcPr>
            <w:tcW w:w="8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3565A" w:themeFill="accent5"/>
            <w:hideMark/>
          </w:tcPr>
          <w:p w14:paraId="7236FF8D" w14:textId="77777777" w:rsidR="007B6C6A" w:rsidRPr="005734B8" w:rsidRDefault="007B6C6A">
            <w:pPr>
              <w:pStyle w:val="ESTableheadingwhite"/>
              <w:jc w:val="right"/>
              <w:rPr>
                <w:rFonts w:ascii="Calibri" w:hAnsi="Calibri" w:cs="Calibri"/>
                <w:sz w:val="18"/>
              </w:rPr>
            </w:pPr>
            <w:r w:rsidRPr="005734B8">
              <w:rPr>
                <w:rFonts w:ascii="Calibri" w:hAnsi="Calibri" w:cs="Calibri"/>
                <w:sz w:val="18"/>
              </w:rPr>
              <w:t>Var.</w:t>
            </w:r>
          </w:p>
        </w:tc>
      </w:tr>
      <w:tr w:rsidR="007B6C6A" w:rsidRPr="005734B8" w14:paraId="4921D8D6" w14:textId="77777777" w:rsidTr="007B6C6A">
        <w:trPr>
          <w:cantSplit/>
        </w:trPr>
        <w:tc>
          <w:tcPr>
            <w:tcW w:w="880" w:type="dxa"/>
            <w:tcBorders>
              <w:top w:val="single" w:sz="4" w:space="0" w:color="FFFFFF" w:themeColor="background1"/>
              <w:left w:val="single" w:sz="4" w:space="0" w:color="FFFFFF" w:themeColor="background1"/>
              <w:bottom w:val="single" w:sz="4" w:space="0" w:color="53565A" w:themeColor="accent5"/>
              <w:right w:val="single" w:sz="4" w:space="0" w:color="FFFFFF" w:themeColor="background1"/>
            </w:tcBorders>
            <w:hideMark/>
          </w:tcPr>
          <w:p w14:paraId="0C7C0225" w14:textId="77777777" w:rsidR="007B6C6A" w:rsidRPr="005734B8" w:rsidRDefault="007B6C6A">
            <w:pPr>
              <w:pStyle w:val="ESTablebody"/>
              <w:rPr>
                <w:rFonts w:ascii="Calibri" w:hAnsi="Calibri" w:cs="Calibri"/>
                <w:sz w:val="18"/>
              </w:rPr>
            </w:pPr>
            <w:r w:rsidRPr="005734B8">
              <w:rPr>
                <w:rFonts w:ascii="Calibri" w:hAnsi="Calibri" w:cs="Calibri"/>
                <w:sz w:val="18"/>
              </w:rPr>
              <w:t>VCAA</w:t>
            </w:r>
          </w:p>
        </w:tc>
        <w:tc>
          <w:tcPr>
            <w:tcW w:w="880" w:type="dxa"/>
            <w:tcBorders>
              <w:top w:val="single" w:sz="4" w:space="0" w:color="FFFFFF" w:themeColor="background1"/>
              <w:left w:val="single" w:sz="4" w:space="0" w:color="FFFFFF" w:themeColor="background1"/>
              <w:bottom w:val="single" w:sz="4" w:space="0" w:color="53565A" w:themeColor="accent5"/>
              <w:right w:val="single" w:sz="4" w:space="0" w:color="FFFFFF" w:themeColor="background1"/>
            </w:tcBorders>
            <w:hideMark/>
          </w:tcPr>
          <w:p w14:paraId="0C6B0822" w14:textId="77777777" w:rsidR="007B6C6A" w:rsidRPr="005734B8" w:rsidRDefault="007B6C6A">
            <w:pPr>
              <w:pStyle w:val="ESTablebody"/>
              <w:jc w:val="right"/>
              <w:rPr>
                <w:rFonts w:ascii="Calibri" w:hAnsi="Calibri" w:cs="Calibri"/>
                <w:sz w:val="18"/>
                <w:lang w:val="en-AU"/>
              </w:rPr>
            </w:pPr>
            <w:r w:rsidRPr="005734B8">
              <w:rPr>
                <w:rFonts w:ascii="Calibri" w:hAnsi="Calibri" w:cs="Calibri"/>
                <w:sz w:val="18"/>
              </w:rPr>
              <w:t>5.0</w:t>
            </w:r>
          </w:p>
        </w:tc>
        <w:tc>
          <w:tcPr>
            <w:tcW w:w="880" w:type="dxa"/>
            <w:tcBorders>
              <w:top w:val="single" w:sz="4" w:space="0" w:color="FFFFFF" w:themeColor="background1"/>
              <w:left w:val="single" w:sz="4" w:space="0" w:color="FFFFFF" w:themeColor="background1"/>
              <w:bottom w:val="single" w:sz="4" w:space="0" w:color="53565A" w:themeColor="accent5"/>
              <w:right w:val="single" w:sz="4" w:space="0" w:color="FFFFFF" w:themeColor="background1"/>
            </w:tcBorders>
            <w:hideMark/>
          </w:tcPr>
          <w:p w14:paraId="0123A6CB" w14:textId="76D06A9F" w:rsidR="007B6C6A" w:rsidRPr="005734B8" w:rsidRDefault="00751945">
            <w:pPr>
              <w:pStyle w:val="ESTablebody"/>
              <w:jc w:val="right"/>
              <w:rPr>
                <w:rFonts w:ascii="Calibri" w:hAnsi="Calibri" w:cs="Calibri"/>
                <w:sz w:val="18"/>
                <w:lang w:val="en-AU"/>
              </w:rPr>
            </w:pPr>
            <w:r w:rsidRPr="005734B8">
              <w:rPr>
                <w:rFonts w:ascii="Calibri" w:hAnsi="Calibri" w:cs="Calibri"/>
                <w:sz w:val="16"/>
                <w:szCs w:val="16"/>
              </w:rPr>
              <w:t>–</w:t>
            </w:r>
          </w:p>
        </w:tc>
        <w:tc>
          <w:tcPr>
            <w:tcW w:w="880" w:type="dxa"/>
            <w:tcBorders>
              <w:top w:val="single" w:sz="4" w:space="0" w:color="FFFFFF" w:themeColor="background1"/>
              <w:left w:val="single" w:sz="4" w:space="0" w:color="FFFFFF" w:themeColor="background1"/>
              <w:bottom w:val="single" w:sz="4" w:space="0" w:color="53565A" w:themeColor="accent5"/>
              <w:right w:val="single" w:sz="4" w:space="0" w:color="FFFFFF" w:themeColor="background1"/>
            </w:tcBorders>
            <w:hideMark/>
          </w:tcPr>
          <w:p w14:paraId="4FC27431" w14:textId="77777777" w:rsidR="007B6C6A" w:rsidRPr="005734B8" w:rsidRDefault="007B6C6A">
            <w:pPr>
              <w:pStyle w:val="ESTablebody"/>
              <w:jc w:val="right"/>
              <w:rPr>
                <w:rFonts w:ascii="Calibri" w:hAnsi="Calibri" w:cs="Calibri"/>
                <w:sz w:val="18"/>
                <w:lang w:val="en-AU"/>
              </w:rPr>
            </w:pPr>
            <w:r w:rsidRPr="005734B8">
              <w:rPr>
                <w:rFonts w:ascii="Calibri" w:hAnsi="Calibri" w:cs="Calibri"/>
                <w:sz w:val="18"/>
              </w:rPr>
              <w:t>3.0</w:t>
            </w:r>
          </w:p>
        </w:tc>
        <w:tc>
          <w:tcPr>
            <w:tcW w:w="880" w:type="dxa"/>
            <w:tcBorders>
              <w:top w:val="single" w:sz="4" w:space="0" w:color="FFFFFF" w:themeColor="background1"/>
              <w:left w:val="single" w:sz="4" w:space="0" w:color="FFFFFF" w:themeColor="background1"/>
              <w:bottom w:val="single" w:sz="4" w:space="0" w:color="53565A" w:themeColor="accent5"/>
              <w:right w:val="single" w:sz="4" w:space="0" w:color="FFFFFF" w:themeColor="background1"/>
            </w:tcBorders>
            <w:hideMark/>
          </w:tcPr>
          <w:p w14:paraId="71F0495A" w14:textId="4B662049" w:rsidR="007B6C6A" w:rsidRPr="005734B8" w:rsidRDefault="00751945">
            <w:pPr>
              <w:pStyle w:val="ESTablebody"/>
              <w:jc w:val="right"/>
              <w:rPr>
                <w:rFonts w:ascii="Calibri" w:hAnsi="Calibri" w:cs="Calibri"/>
                <w:sz w:val="18"/>
                <w:lang w:val="en-AU"/>
              </w:rPr>
            </w:pPr>
            <w:r w:rsidRPr="005734B8">
              <w:rPr>
                <w:rFonts w:ascii="Calibri" w:hAnsi="Calibri" w:cs="Calibri"/>
                <w:sz w:val="16"/>
                <w:szCs w:val="16"/>
              </w:rPr>
              <w:t>–</w:t>
            </w:r>
          </w:p>
        </w:tc>
        <w:tc>
          <w:tcPr>
            <w:tcW w:w="880" w:type="dxa"/>
            <w:tcBorders>
              <w:top w:val="single" w:sz="4" w:space="0" w:color="FFFFFF" w:themeColor="background1"/>
              <w:left w:val="single" w:sz="4" w:space="0" w:color="FFFFFF" w:themeColor="background1"/>
              <w:bottom w:val="single" w:sz="4" w:space="0" w:color="53565A" w:themeColor="accent5"/>
              <w:right w:val="single" w:sz="4" w:space="0" w:color="FFFFFF" w:themeColor="background1"/>
            </w:tcBorders>
            <w:hideMark/>
          </w:tcPr>
          <w:p w14:paraId="2A3AE6ED" w14:textId="77777777" w:rsidR="007B6C6A" w:rsidRPr="005734B8" w:rsidRDefault="007B6C6A">
            <w:pPr>
              <w:pStyle w:val="ESTablebody"/>
              <w:jc w:val="right"/>
              <w:rPr>
                <w:rFonts w:ascii="Calibri" w:hAnsi="Calibri" w:cs="Calibri"/>
                <w:sz w:val="18"/>
                <w:lang w:val="en-AU"/>
              </w:rPr>
            </w:pPr>
            <w:r w:rsidRPr="005734B8">
              <w:rPr>
                <w:rFonts w:ascii="Calibri" w:hAnsi="Calibri" w:cs="Calibri"/>
                <w:sz w:val="18"/>
              </w:rPr>
              <w:t>2.0</w:t>
            </w:r>
          </w:p>
        </w:tc>
        <w:tc>
          <w:tcPr>
            <w:tcW w:w="880" w:type="dxa"/>
            <w:tcBorders>
              <w:top w:val="single" w:sz="4" w:space="0" w:color="FFFFFF" w:themeColor="background1"/>
              <w:left w:val="single" w:sz="4" w:space="0" w:color="FFFFFF" w:themeColor="background1"/>
              <w:bottom w:val="single" w:sz="4" w:space="0" w:color="53565A" w:themeColor="accent5"/>
              <w:right w:val="single" w:sz="4" w:space="0" w:color="FFFFFF" w:themeColor="background1"/>
            </w:tcBorders>
            <w:hideMark/>
          </w:tcPr>
          <w:p w14:paraId="30B9D4DC" w14:textId="67A33144" w:rsidR="007B6C6A" w:rsidRPr="005734B8" w:rsidRDefault="00751945">
            <w:pPr>
              <w:pStyle w:val="ESTablebody"/>
              <w:jc w:val="right"/>
              <w:rPr>
                <w:rFonts w:ascii="Calibri" w:hAnsi="Calibri" w:cs="Calibri"/>
                <w:sz w:val="18"/>
                <w:lang w:val="en-AU"/>
              </w:rPr>
            </w:pPr>
            <w:r w:rsidRPr="005734B8">
              <w:rPr>
                <w:rFonts w:ascii="Calibri" w:hAnsi="Calibri" w:cs="Calibri"/>
                <w:sz w:val="16"/>
                <w:szCs w:val="16"/>
              </w:rPr>
              <w:t>–</w:t>
            </w:r>
          </w:p>
        </w:tc>
        <w:tc>
          <w:tcPr>
            <w:tcW w:w="880" w:type="dxa"/>
            <w:tcBorders>
              <w:top w:val="single" w:sz="4" w:space="0" w:color="FFFFFF" w:themeColor="background1"/>
              <w:left w:val="single" w:sz="4" w:space="0" w:color="FFFFFF" w:themeColor="background1"/>
              <w:bottom w:val="single" w:sz="4" w:space="0" w:color="53565A" w:themeColor="accent5"/>
              <w:right w:val="single" w:sz="4" w:space="0" w:color="FFFFFF" w:themeColor="background1"/>
            </w:tcBorders>
            <w:hideMark/>
          </w:tcPr>
          <w:p w14:paraId="6427CFB1" w14:textId="38364B2E" w:rsidR="007B6C6A" w:rsidRPr="005734B8" w:rsidRDefault="00751945">
            <w:pPr>
              <w:pStyle w:val="ESTablebody"/>
              <w:jc w:val="right"/>
              <w:rPr>
                <w:rFonts w:ascii="Calibri" w:hAnsi="Calibri" w:cs="Calibri"/>
                <w:sz w:val="18"/>
                <w:lang w:val="en-AU"/>
              </w:rPr>
            </w:pPr>
            <w:r w:rsidRPr="005734B8">
              <w:rPr>
                <w:rFonts w:ascii="Calibri" w:hAnsi="Calibri" w:cs="Calibri"/>
                <w:sz w:val="16"/>
                <w:szCs w:val="16"/>
              </w:rPr>
              <w:t>–</w:t>
            </w:r>
          </w:p>
        </w:tc>
        <w:tc>
          <w:tcPr>
            <w:tcW w:w="881" w:type="dxa"/>
            <w:tcBorders>
              <w:top w:val="single" w:sz="4" w:space="0" w:color="FFFFFF" w:themeColor="background1"/>
              <w:left w:val="single" w:sz="4" w:space="0" w:color="FFFFFF" w:themeColor="background1"/>
              <w:bottom w:val="single" w:sz="4" w:space="0" w:color="53565A" w:themeColor="accent5"/>
              <w:right w:val="single" w:sz="4" w:space="0" w:color="FFFFFF" w:themeColor="background1"/>
            </w:tcBorders>
            <w:hideMark/>
          </w:tcPr>
          <w:p w14:paraId="665795FC" w14:textId="37158287" w:rsidR="007B6C6A" w:rsidRPr="005734B8" w:rsidRDefault="00751945">
            <w:pPr>
              <w:pStyle w:val="ESTablebody"/>
              <w:jc w:val="right"/>
              <w:rPr>
                <w:rFonts w:ascii="Calibri" w:hAnsi="Calibri" w:cs="Calibri"/>
                <w:sz w:val="18"/>
              </w:rPr>
            </w:pPr>
            <w:r w:rsidRPr="005734B8">
              <w:rPr>
                <w:rFonts w:ascii="Calibri" w:hAnsi="Calibri" w:cs="Calibri"/>
                <w:sz w:val="16"/>
                <w:szCs w:val="16"/>
              </w:rPr>
              <w:t>–</w:t>
            </w:r>
          </w:p>
        </w:tc>
      </w:tr>
      <w:tr w:rsidR="007B6C6A" w:rsidRPr="005734B8" w14:paraId="40C8159C" w14:textId="77777777" w:rsidTr="007B6C6A">
        <w:trPr>
          <w:cantSplit/>
        </w:trPr>
        <w:tc>
          <w:tcPr>
            <w:tcW w:w="88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32885FFC" w14:textId="77777777" w:rsidR="007B6C6A" w:rsidRPr="005734B8" w:rsidRDefault="007B6C6A">
            <w:pPr>
              <w:pStyle w:val="ESTablebody"/>
              <w:rPr>
                <w:rFonts w:ascii="Calibri" w:hAnsi="Calibri" w:cs="Calibri"/>
                <w:sz w:val="18"/>
              </w:rPr>
            </w:pPr>
            <w:r w:rsidRPr="005734B8">
              <w:rPr>
                <w:rFonts w:ascii="Calibri" w:hAnsi="Calibri" w:cs="Calibri"/>
                <w:sz w:val="18"/>
              </w:rPr>
              <w:t>VRQA</w:t>
            </w:r>
          </w:p>
        </w:tc>
        <w:tc>
          <w:tcPr>
            <w:tcW w:w="88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34D72302" w14:textId="77777777" w:rsidR="007B6C6A" w:rsidRPr="005734B8" w:rsidRDefault="007B6C6A">
            <w:pPr>
              <w:pStyle w:val="ESTablebody"/>
              <w:jc w:val="right"/>
              <w:rPr>
                <w:rFonts w:ascii="Calibri" w:hAnsi="Calibri" w:cs="Calibri"/>
                <w:sz w:val="18"/>
                <w:lang w:val="en-AU"/>
              </w:rPr>
            </w:pPr>
            <w:r w:rsidRPr="005734B8">
              <w:rPr>
                <w:rFonts w:ascii="Calibri" w:hAnsi="Calibri" w:cs="Calibri"/>
                <w:sz w:val="18"/>
              </w:rPr>
              <w:t>3.0</w:t>
            </w:r>
          </w:p>
        </w:tc>
        <w:tc>
          <w:tcPr>
            <w:tcW w:w="88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3C66E31C" w14:textId="29881BFC" w:rsidR="007B6C6A" w:rsidRPr="005734B8" w:rsidRDefault="00751945">
            <w:pPr>
              <w:pStyle w:val="ESTablebody"/>
              <w:jc w:val="right"/>
              <w:rPr>
                <w:rFonts w:ascii="Calibri" w:hAnsi="Calibri" w:cs="Calibri"/>
                <w:sz w:val="18"/>
                <w:lang w:val="en-AU"/>
              </w:rPr>
            </w:pPr>
            <w:r w:rsidRPr="005734B8">
              <w:rPr>
                <w:rFonts w:ascii="Calibri" w:hAnsi="Calibri" w:cs="Calibri"/>
                <w:sz w:val="16"/>
                <w:szCs w:val="16"/>
              </w:rPr>
              <w:t>–</w:t>
            </w:r>
          </w:p>
        </w:tc>
        <w:tc>
          <w:tcPr>
            <w:tcW w:w="88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52238BC7" w14:textId="77777777" w:rsidR="007B6C6A" w:rsidRPr="005734B8" w:rsidRDefault="007B6C6A">
            <w:pPr>
              <w:pStyle w:val="ESTablebody"/>
              <w:jc w:val="right"/>
              <w:rPr>
                <w:rFonts w:ascii="Calibri" w:hAnsi="Calibri" w:cs="Calibri"/>
                <w:sz w:val="18"/>
                <w:lang w:val="en-AU"/>
              </w:rPr>
            </w:pPr>
            <w:r w:rsidRPr="005734B8">
              <w:rPr>
                <w:rFonts w:ascii="Calibri" w:hAnsi="Calibri" w:cs="Calibri"/>
                <w:sz w:val="18"/>
              </w:rPr>
              <w:t>2.0</w:t>
            </w:r>
          </w:p>
        </w:tc>
        <w:tc>
          <w:tcPr>
            <w:tcW w:w="88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38B62CA2" w14:textId="76AEF8E1" w:rsidR="007B6C6A" w:rsidRPr="005734B8" w:rsidRDefault="00751945">
            <w:pPr>
              <w:pStyle w:val="ESTablebody"/>
              <w:jc w:val="right"/>
              <w:rPr>
                <w:rFonts w:ascii="Calibri" w:hAnsi="Calibri" w:cs="Calibri"/>
                <w:sz w:val="18"/>
                <w:lang w:val="en-AU"/>
              </w:rPr>
            </w:pPr>
            <w:r w:rsidRPr="005734B8">
              <w:rPr>
                <w:rFonts w:ascii="Calibri" w:hAnsi="Calibri" w:cs="Calibri"/>
                <w:sz w:val="16"/>
                <w:szCs w:val="16"/>
              </w:rPr>
              <w:t>–</w:t>
            </w:r>
          </w:p>
        </w:tc>
        <w:tc>
          <w:tcPr>
            <w:tcW w:w="88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3FDB0670" w14:textId="77777777" w:rsidR="007B6C6A" w:rsidRPr="005734B8" w:rsidRDefault="007B6C6A">
            <w:pPr>
              <w:pStyle w:val="ESTablebody"/>
              <w:jc w:val="right"/>
              <w:rPr>
                <w:rFonts w:ascii="Calibri" w:hAnsi="Calibri" w:cs="Calibri"/>
                <w:sz w:val="18"/>
                <w:lang w:val="en-AU"/>
              </w:rPr>
            </w:pPr>
            <w:r w:rsidRPr="005734B8">
              <w:rPr>
                <w:rFonts w:ascii="Calibri" w:hAnsi="Calibri" w:cs="Calibri"/>
                <w:sz w:val="18"/>
              </w:rPr>
              <w:t>1.0</w:t>
            </w:r>
          </w:p>
        </w:tc>
        <w:tc>
          <w:tcPr>
            <w:tcW w:w="88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5092CA62" w14:textId="4C52873B" w:rsidR="007B6C6A" w:rsidRPr="005734B8" w:rsidRDefault="00751945">
            <w:pPr>
              <w:pStyle w:val="ESTablebody"/>
              <w:jc w:val="right"/>
              <w:rPr>
                <w:rFonts w:ascii="Calibri" w:hAnsi="Calibri" w:cs="Calibri"/>
                <w:sz w:val="18"/>
                <w:lang w:val="en-AU"/>
              </w:rPr>
            </w:pPr>
            <w:r w:rsidRPr="005734B8">
              <w:rPr>
                <w:rFonts w:ascii="Calibri" w:hAnsi="Calibri" w:cs="Calibri"/>
                <w:sz w:val="16"/>
                <w:szCs w:val="16"/>
              </w:rPr>
              <w:t>–</w:t>
            </w:r>
          </w:p>
        </w:tc>
        <w:tc>
          <w:tcPr>
            <w:tcW w:w="880"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2A6AE752" w14:textId="0BC9E42D" w:rsidR="007B6C6A" w:rsidRPr="005734B8" w:rsidRDefault="00751945">
            <w:pPr>
              <w:pStyle w:val="ESTablebody"/>
              <w:jc w:val="right"/>
              <w:rPr>
                <w:rFonts w:ascii="Calibri" w:hAnsi="Calibri" w:cs="Calibri"/>
                <w:sz w:val="18"/>
                <w:lang w:val="en-AU"/>
              </w:rPr>
            </w:pPr>
            <w:r w:rsidRPr="005734B8">
              <w:rPr>
                <w:rFonts w:ascii="Calibri" w:hAnsi="Calibri" w:cs="Calibri"/>
                <w:sz w:val="16"/>
                <w:szCs w:val="16"/>
              </w:rPr>
              <w:t>–</w:t>
            </w:r>
          </w:p>
        </w:tc>
        <w:tc>
          <w:tcPr>
            <w:tcW w:w="881"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623906D5" w14:textId="7E5E41E4" w:rsidR="007B6C6A" w:rsidRPr="005734B8" w:rsidRDefault="00751945">
            <w:pPr>
              <w:pStyle w:val="ESTablebody"/>
              <w:jc w:val="right"/>
              <w:rPr>
                <w:rFonts w:ascii="Calibri" w:hAnsi="Calibri" w:cs="Calibri"/>
                <w:sz w:val="18"/>
              </w:rPr>
            </w:pPr>
            <w:r w:rsidRPr="005734B8">
              <w:rPr>
                <w:rFonts w:ascii="Calibri" w:hAnsi="Calibri" w:cs="Calibri"/>
                <w:sz w:val="16"/>
                <w:szCs w:val="16"/>
              </w:rPr>
              <w:t>–</w:t>
            </w:r>
          </w:p>
        </w:tc>
      </w:tr>
      <w:tr w:rsidR="007B6C6A" w:rsidRPr="005734B8" w14:paraId="74D4CA9F" w14:textId="77777777" w:rsidTr="007B6C6A">
        <w:trPr>
          <w:cantSplit/>
        </w:trPr>
        <w:tc>
          <w:tcPr>
            <w:tcW w:w="880" w:type="dxa"/>
            <w:tcBorders>
              <w:top w:val="single" w:sz="18" w:space="0" w:color="53565A" w:themeColor="accent5"/>
              <w:left w:val="single" w:sz="4" w:space="0" w:color="FFFFFF" w:themeColor="background1"/>
              <w:bottom w:val="single" w:sz="18" w:space="0" w:color="53565A" w:themeColor="accent5"/>
              <w:right w:val="single" w:sz="4" w:space="0" w:color="FFFFFF" w:themeColor="background1"/>
            </w:tcBorders>
            <w:vAlign w:val="center"/>
            <w:hideMark/>
          </w:tcPr>
          <w:p w14:paraId="56F1E1A7" w14:textId="77777777" w:rsidR="007B6C6A" w:rsidRPr="005734B8" w:rsidRDefault="007B6C6A">
            <w:pPr>
              <w:pStyle w:val="ESTablebody"/>
              <w:rPr>
                <w:rFonts w:ascii="Calibri" w:hAnsi="Calibri" w:cs="Calibri"/>
                <w:sz w:val="18"/>
              </w:rPr>
            </w:pPr>
            <w:r w:rsidRPr="005734B8">
              <w:rPr>
                <w:rFonts w:ascii="Calibri" w:eastAsia="Times New Roman" w:hAnsi="Calibri" w:cs="Calibri"/>
                <w:b/>
                <w:sz w:val="18"/>
                <w:lang w:val="en-AU"/>
              </w:rPr>
              <w:t>Total</w:t>
            </w:r>
          </w:p>
        </w:tc>
        <w:tc>
          <w:tcPr>
            <w:tcW w:w="880" w:type="dxa"/>
            <w:tcBorders>
              <w:top w:val="single" w:sz="18" w:space="0" w:color="53565A" w:themeColor="accent5"/>
              <w:left w:val="single" w:sz="4" w:space="0" w:color="FFFFFF" w:themeColor="background1"/>
              <w:bottom w:val="single" w:sz="18" w:space="0" w:color="53565A" w:themeColor="accent5"/>
              <w:right w:val="single" w:sz="4" w:space="0" w:color="FFFFFF" w:themeColor="background1"/>
            </w:tcBorders>
            <w:hideMark/>
          </w:tcPr>
          <w:p w14:paraId="186AB7A9" w14:textId="77777777" w:rsidR="007B6C6A" w:rsidRPr="005734B8" w:rsidRDefault="007B6C6A">
            <w:pPr>
              <w:pStyle w:val="ESTablebody"/>
              <w:jc w:val="right"/>
              <w:rPr>
                <w:rFonts w:ascii="Calibri" w:hAnsi="Calibri" w:cs="Calibri"/>
                <w:b/>
                <w:sz w:val="18"/>
                <w:lang w:val="en-AU"/>
              </w:rPr>
            </w:pPr>
            <w:r w:rsidRPr="005734B8">
              <w:rPr>
                <w:rFonts w:ascii="Calibri" w:hAnsi="Calibri" w:cs="Calibri"/>
                <w:b/>
                <w:sz w:val="18"/>
              </w:rPr>
              <w:t>8.0</w:t>
            </w:r>
          </w:p>
        </w:tc>
        <w:tc>
          <w:tcPr>
            <w:tcW w:w="880" w:type="dxa"/>
            <w:tcBorders>
              <w:top w:val="single" w:sz="18" w:space="0" w:color="53565A" w:themeColor="accent5"/>
              <w:left w:val="single" w:sz="4" w:space="0" w:color="FFFFFF" w:themeColor="background1"/>
              <w:bottom w:val="single" w:sz="18" w:space="0" w:color="53565A" w:themeColor="accent5"/>
              <w:right w:val="single" w:sz="4" w:space="0" w:color="FFFFFF" w:themeColor="background1"/>
            </w:tcBorders>
            <w:hideMark/>
          </w:tcPr>
          <w:p w14:paraId="511488C3" w14:textId="38B37083" w:rsidR="007B6C6A" w:rsidRPr="005734B8" w:rsidRDefault="00751945">
            <w:pPr>
              <w:pStyle w:val="ESTablebody"/>
              <w:jc w:val="right"/>
              <w:rPr>
                <w:rFonts w:ascii="Calibri" w:hAnsi="Calibri" w:cs="Calibri"/>
                <w:b/>
                <w:sz w:val="18"/>
                <w:lang w:val="en-AU"/>
              </w:rPr>
            </w:pPr>
            <w:r w:rsidRPr="005734B8">
              <w:rPr>
                <w:rFonts w:ascii="Calibri" w:hAnsi="Calibri" w:cs="Calibri"/>
                <w:b/>
                <w:bCs/>
                <w:sz w:val="16"/>
                <w:szCs w:val="16"/>
              </w:rPr>
              <w:t>–</w:t>
            </w:r>
          </w:p>
        </w:tc>
        <w:tc>
          <w:tcPr>
            <w:tcW w:w="880" w:type="dxa"/>
            <w:tcBorders>
              <w:top w:val="single" w:sz="18" w:space="0" w:color="53565A" w:themeColor="accent5"/>
              <w:left w:val="single" w:sz="4" w:space="0" w:color="FFFFFF" w:themeColor="background1"/>
              <w:bottom w:val="single" w:sz="18" w:space="0" w:color="53565A" w:themeColor="accent5"/>
              <w:right w:val="single" w:sz="4" w:space="0" w:color="FFFFFF" w:themeColor="background1"/>
            </w:tcBorders>
            <w:hideMark/>
          </w:tcPr>
          <w:p w14:paraId="1BCF8DCA" w14:textId="77777777" w:rsidR="007B6C6A" w:rsidRPr="005734B8" w:rsidRDefault="007B6C6A">
            <w:pPr>
              <w:pStyle w:val="ESTablebody"/>
              <w:jc w:val="right"/>
              <w:rPr>
                <w:rFonts w:ascii="Calibri" w:hAnsi="Calibri" w:cs="Calibri"/>
                <w:b/>
                <w:sz w:val="18"/>
                <w:lang w:val="en-AU"/>
              </w:rPr>
            </w:pPr>
            <w:r w:rsidRPr="005734B8">
              <w:rPr>
                <w:rFonts w:ascii="Calibri" w:hAnsi="Calibri" w:cs="Calibri"/>
                <w:b/>
                <w:sz w:val="18"/>
              </w:rPr>
              <w:t>5.0</w:t>
            </w:r>
          </w:p>
        </w:tc>
        <w:tc>
          <w:tcPr>
            <w:tcW w:w="880" w:type="dxa"/>
            <w:tcBorders>
              <w:top w:val="single" w:sz="18" w:space="0" w:color="53565A" w:themeColor="accent5"/>
              <w:left w:val="single" w:sz="4" w:space="0" w:color="FFFFFF" w:themeColor="background1"/>
              <w:bottom w:val="single" w:sz="18" w:space="0" w:color="53565A" w:themeColor="accent5"/>
              <w:right w:val="single" w:sz="4" w:space="0" w:color="FFFFFF" w:themeColor="background1"/>
            </w:tcBorders>
            <w:hideMark/>
          </w:tcPr>
          <w:p w14:paraId="047F35E9" w14:textId="4E47E83F" w:rsidR="007B6C6A" w:rsidRPr="005734B8" w:rsidRDefault="00751945">
            <w:pPr>
              <w:pStyle w:val="ESTablebody"/>
              <w:jc w:val="right"/>
              <w:rPr>
                <w:rFonts w:ascii="Calibri" w:hAnsi="Calibri" w:cs="Calibri"/>
                <w:b/>
                <w:sz w:val="18"/>
                <w:lang w:val="en-AU"/>
              </w:rPr>
            </w:pPr>
            <w:r w:rsidRPr="005734B8">
              <w:rPr>
                <w:rFonts w:ascii="Calibri" w:hAnsi="Calibri" w:cs="Calibri"/>
                <w:b/>
                <w:bCs/>
                <w:sz w:val="16"/>
                <w:szCs w:val="16"/>
              </w:rPr>
              <w:t>–</w:t>
            </w:r>
          </w:p>
        </w:tc>
        <w:tc>
          <w:tcPr>
            <w:tcW w:w="880" w:type="dxa"/>
            <w:tcBorders>
              <w:top w:val="single" w:sz="18" w:space="0" w:color="53565A" w:themeColor="accent5"/>
              <w:left w:val="single" w:sz="4" w:space="0" w:color="FFFFFF" w:themeColor="background1"/>
              <w:bottom w:val="single" w:sz="18" w:space="0" w:color="53565A" w:themeColor="accent5"/>
              <w:right w:val="single" w:sz="4" w:space="0" w:color="FFFFFF" w:themeColor="background1"/>
            </w:tcBorders>
            <w:hideMark/>
          </w:tcPr>
          <w:p w14:paraId="1F43CF9D" w14:textId="77777777" w:rsidR="007B6C6A" w:rsidRPr="005734B8" w:rsidRDefault="007B6C6A">
            <w:pPr>
              <w:pStyle w:val="ESTablebody"/>
              <w:jc w:val="right"/>
              <w:rPr>
                <w:rFonts w:ascii="Calibri" w:hAnsi="Calibri" w:cs="Calibri"/>
                <w:b/>
                <w:sz w:val="18"/>
                <w:lang w:val="en-AU"/>
              </w:rPr>
            </w:pPr>
            <w:r w:rsidRPr="005734B8">
              <w:rPr>
                <w:rFonts w:ascii="Calibri" w:hAnsi="Calibri" w:cs="Calibri"/>
                <w:b/>
                <w:sz w:val="18"/>
              </w:rPr>
              <w:t>3.0</w:t>
            </w:r>
          </w:p>
        </w:tc>
        <w:tc>
          <w:tcPr>
            <w:tcW w:w="880" w:type="dxa"/>
            <w:tcBorders>
              <w:top w:val="single" w:sz="18" w:space="0" w:color="53565A" w:themeColor="accent5"/>
              <w:left w:val="single" w:sz="4" w:space="0" w:color="FFFFFF" w:themeColor="background1"/>
              <w:bottom w:val="single" w:sz="18" w:space="0" w:color="53565A" w:themeColor="accent5"/>
              <w:right w:val="single" w:sz="4" w:space="0" w:color="FFFFFF" w:themeColor="background1"/>
            </w:tcBorders>
            <w:hideMark/>
          </w:tcPr>
          <w:p w14:paraId="078074B5" w14:textId="3CF223E5" w:rsidR="007B6C6A" w:rsidRPr="005734B8" w:rsidRDefault="00751945">
            <w:pPr>
              <w:pStyle w:val="ESTablebody"/>
              <w:jc w:val="right"/>
              <w:rPr>
                <w:rFonts w:ascii="Calibri" w:hAnsi="Calibri" w:cs="Calibri"/>
                <w:b/>
                <w:sz w:val="18"/>
                <w:lang w:val="en-AU"/>
              </w:rPr>
            </w:pPr>
            <w:r w:rsidRPr="005734B8">
              <w:rPr>
                <w:rFonts w:ascii="Calibri" w:hAnsi="Calibri" w:cs="Calibri"/>
                <w:b/>
                <w:bCs/>
                <w:sz w:val="16"/>
                <w:szCs w:val="16"/>
              </w:rPr>
              <w:t>–</w:t>
            </w:r>
          </w:p>
        </w:tc>
        <w:tc>
          <w:tcPr>
            <w:tcW w:w="880" w:type="dxa"/>
            <w:tcBorders>
              <w:top w:val="single" w:sz="18" w:space="0" w:color="53565A" w:themeColor="accent5"/>
              <w:left w:val="single" w:sz="4" w:space="0" w:color="FFFFFF" w:themeColor="background1"/>
              <w:bottom w:val="single" w:sz="18" w:space="0" w:color="53565A" w:themeColor="accent5"/>
              <w:right w:val="single" w:sz="4" w:space="0" w:color="FFFFFF" w:themeColor="background1"/>
            </w:tcBorders>
            <w:hideMark/>
          </w:tcPr>
          <w:p w14:paraId="6609FFD8" w14:textId="3E114A61" w:rsidR="007B6C6A" w:rsidRPr="005734B8" w:rsidRDefault="00751945">
            <w:pPr>
              <w:pStyle w:val="ESTablebody"/>
              <w:jc w:val="right"/>
              <w:rPr>
                <w:rFonts w:ascii="Calibri" w:hAnsi="Calibri" w:cs="Calibri"/>
                <w:b/>
                <w:sz w:val="18"/>
                <w:lang w:val="en-AU"/>
              </w:rPr>
            </w:pPr>
            <w:r w:rsidRPr="005734B8">
              <w:rPr>
                <w:rFonts w:ascii="Calibri" w:hAnsi="Calibri" w:cs="Calibri"/>
                <w:b/>
                <w:bCs/>
                <w:sz w:val="16"/>
                <w:szCs w:val="16"/>
              </w:rPr>
              <w:t>–</w:t>
            </w:r>
          </w:p>
        </w:tc>
        <w:tc>
          <w:tcPr>
            <w:tcW w:w="881" w:type="dxa"/>
            <w:tcBorders>
              <w:top w:val="single" w:sz="18" w:space="0" w:color="53565A" w:themeColor="accent5"/>
              <w:left w:val="single" w:sz="4" w:space="0" w:color="FFFFFF" w:themeColor="background1"/>
              <w:bottom w:val="single" w:sz="18" w:space="0" w:color="53565A" w:themeColor="accent5"/>
              <w:right w:val="single" w:sz="4" w:space="0" w:color="FFFFFF" w:themeColor="background1"/>
            </w:tcBorders>
            <w:hideMark/>
          </w:tcPr>
          <w:p w14:paraId="28A8F53C" w14:textId="4737BC2C" w:rsidR="007B6C6A" w:rsidRPr="005734B8" w:rsidRDefault="00751945">
            <w:pPr>
              <w:pStyle w:val="ESTablebody"/>
              <w:jc w:val="right"/>
              <w:rPr>
                <w:rFonts w:ascii="Calibri" w:hAnsi="Calibri" w:cs="Calibri"/>
                <w:b/>
                <w:sz w:val="18"/>
              </w:rPr>
            </w:pPr>
            <w:r w:rsidRPr="005734B8">
              <w:rPr>
                <w:rFonts w:ascii="Calibri" w:hAnsi="Calibri" w:cs="Calibri"/>
                <w:b/>
                <w:bCs/>
                <w:sz w:val="16"/>
                <w:szCs w:val="16"/>
              </w:rPr>
              <w:t>–</w:t>
            </w:r>
          </w:p>
        </w:tc>
      </w:tr>
    </w:tbl>
    <w:p w14:paraId="03F9414D" w14:textId="77777777" w:rsidR="006E244E" w:rsidRPr="005734B8" w:rsidRDefault="006E244E" w:rsidP="006E244E">
      <w:pPr>
        <w:rPr>
          <w:rFonts w:ascii="Calibri" w:hAnsi="Calibri" w:cs="Calibri"/>
          <w:highlight w:val="yellow"/>
        </w:rPr>
        <w:sectPr w:rsidR="006E244E" w:rsidRPr="005734B8" w:rsidSect="003B3A5C">
          <w:pgSz w:w="11900" w:h="16840"/>
          <w:pgMar w:top="1440" w:right="1134" w:bottom="1440" w:left="2835" w:header="708" w:footer="708" w:gutter="0"/>
          <w:cols w:space="708"/>
          <w:docGrid w:linePitch="360"/>
        </w:sectPr>
      </w:pPr>
    </w:p>
    <w:p w14:paraId="7AF6C5DD" w14:textId="4BF445F7" w:rsidR="00FE6BD6" w:rsidRPr="005734B8" w:rsidRDefault="00FE6BD6" w:rsidP="00FE6BD6">
      <w:pPr>
        <w:pStyle w:val="ESTableintroheading"/>
        <w:rPr>
          <w:rFonts w:ascii="Calibri" w:hAnsi="Calibri" w:cs="Calibri"/>
        </w:rPr>
      </w:pPr>
      <w:r w:rsidRPr="005734B8">
        <w:rPr>
          <w:rFonts w:ascii="Calibri" w:hAnsi="Calibri" w:cs="Calibri"/>
        </w:rPr>
        <w:lastRenderedPageBreak/>
        <w:t>Number of executive officers for the Department’s portfolio entities as at 30 June 20</w:t>
      </w:r>
      <w:r w:rsidR="00CC667C" w:rsidRPr="005734B8">
        <w:rPr>
          <w:rFonts w:ascii="Calibri" w:hAnsi="Calibri" w:cs="Calibri"/>
        </w:rPr>
        <w:t>2</w:t>
      </w:r>
      <w:r w:rsidR="005336AF" w:rsidRPr="005734B8">
        <w:rPr>
          <w:rFonts w:ascii="Calibri" w:hAnsi="Calibri" w:cs="Calibri"/>
        </w:rPr>
        <w:t>1</w:t>
      </w:r>
      <w:r w:rsidR="003A4C1B" w:rsidRPr="005734B8">
        <w:rPr>
          <w:rStyle w:val="FootnoteReference"/>
          <w:rFonts w:ascii="Calibri" w:hAnsi="Calibri" w:cs="Calibri"/>
        </w:rPr>
        <w:footnoteReference w:id="65"/>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Description w:val="Top level columns:  2019 2018 Change&#10;&#10;Second level columns: Portfolio agency Female Male Self-described Total Female Male Self-described Total Female Male Self-described Total&#10;"/>
      </w:tblPr>
      <w:tblGrid>
        <w:gridCol w:w="2029"/>
        <w:gridCol w:w="993"/>
        <w:gridCol w:w="942"/>
        <w:gridCol w:w="1134"/>
        <w:gridCol w:w="904"/>
        <w:gridCol w:w="994"/>
        <w:gridCol w:w="937"/>
        <w:gridCol w:w="1134"/>
        <w:gridCol w:w="909"/>
        <w:gridCol w:w="993"/>
        <w:gridCol w:w="933"/>
        <w:gridCol w:w="1134"/>
        <w:gridCol w:w="914"/>
      </w:tblGrid>
      <w:tr w:rsidR="00FE6BD6" w:rsidRPr="005734B8" w14:paraId="1BB9AFE1" w14:textId="77777777" w:rsidTr="00FE6BD6">
        <w:trPr>
          <w:cantSplit/>
          <w:trHeight w:val="242"/>
        </w:trPr>
        <w:tc>
          <w:tcPr>
            <w:tcW w:w="2029" w:type="dxa"/>
            <w:tcBorders>
              <w:bottom w:val="single" w:sz="4" w:space="0" w:color="FFFFFF" w:themeColor="background1"/>
            </w:tcBorders>
            <w:shd w:val="clear" w:color="auto" w:fill="AF272F" w:themeFill="accent4"/>
          </w:tcPr>
          <w:p w14:paraId="46492113" w14:textId="77777777" w:rsidR="00FE6BD6" w:rsidRPr="005734B8" w:rsidRDefault="00FE6BD6" w:rsidP="00FE6BD6">
            <w:pPr>
              <w:pStyle w:val="ESTableheadingwhite"/>
              <w:spacing w:beforeLines="20" w:before="48" w:afterLines="20" w:after="48"/>
              <w:rPr>
                <w:rFonts w:ascii="Calibri" w:hAnsi="Calibri" w:cs="Calibri"/>
                <w:sz w:val="18"/>
              </w:rPr>
            </w:pPr>
          </w:p>
        </w:tc>
        <w:tc>
          <w:tcPr>
            <w:tcW w:w="3973" w:type="dxa"/>
            <w:gridSpan w:val="4"/>
            <w:tcBorders>
              <w:bottom w:val="single" w:sz="4" w:space="0" w:color="FFFFFF" w:themeColor="background1"/>
            </w:tcBorders>
            <w:shd w:val="clear" w:color="auto" w:fill="AF272F" w:themeFill="accent4"/>
            <w:vAlign w:val="center"/>
          </w:tcPr>
          <w:p w14:paraId="7E86A027" w14:textId="55D4A386" w:rsidR="00FE6BD6" w:rsidRPr="005734B8" w:rsidRDefault="00FE6BD6" w:rsidP="00FE6BD6">
            <w:pPr>
              <w:pStyle w:val="ESTableheadingwhite"/>
              <w:spacing w:beforeLines="20" w:before="48" w:afterLines="20" w:after="48"/>
              <w:jc w:val="center"/>
              <w:rPr>
                <w:rFonts w:ascii="Calibri" w:hAnsi="Calibri" w:cs="Calibri"/>
                <w:sz w:val="18"/>
              </w:rPr>
            </w:pPr>
            <w:r w:rsidRPr="005734B8">
              <w:rPr>
                <w:rFonts w:ascii="Calibri" w:hAnsi="Calibri" w:cs="Calibri"/>
                <w:sz w:val="18"/>
              </w:rPr>
              <w:t>20</w:t>
            </w:r>
            <w:r w:rsidR="00CC667C" w:rsidRPr="005734B8">
              <w:rPr>
                <w:rFonts w:ascii="Calibri" w:hAnsi="Calibri" w:cs="Calibri"/>
                <w:sz w:val="18"/>
              </w:rPr>
              <w:t>2</w:t>
            </w:r>
            <w:r w:rsidR="008D2BE9" w:rsidRPr="005734B8">
              <w:rPr>
                <w:rFonts w:ascii="Calibri" w:hAnsi="Calibri" w:cs="Calibri"/>
                <w:sz w:val="18"/>
              </w:rPr>
              <w:t>1</w:t>
            </w:r>
          </w:p>
        </w:tc>
        <w:tc>
          <w:tcPr>
            <w:tcW w:w="3974" w:type="dxa"/>
            <w:gridSpan w:val="4"/>
            <w:tcBorders>
              <w:bottom w:val="single" w:sz="4" w:space="0" w:color="FFFFFF" w:themeColor="background1"/>
            </w:tcBorders>
            <w:shd w:val="clear" w:color="auto" w:fill="AF272F" w:themeFill="accent4"/>
            <w:vAlign w:val="center"/>
          </w:tcPr>
          <w:p w14:paraId="0DBAF899" w14:textId="1E06F943" w:rsidR="00FE6BD6" w:rsidRPr="005734B8" w:rsidRDefault="00FE6BD6" w:rsidP="00FE6BD6">
            <w:pPr>
              <w:pStyle w:val="ESTableheadingwhite"/>
              <w:spacing w:beforeLines="20" w:before="48" w:afterLines="20" w:after="48"/>
              <w:jc w:val="center"/>
              <w:rPr>
                <w:rFonts w:ascii="Calibri" w:hAnsi="Calibri" w:cs="Calibri"/>
                <w:sz w:val="18"/>
              </w:rPr>
            </w:pPr>
            <w:r w:rsidRPr="005734B8">
              <w:rPr>
                <w:rFonts w:ascii="Calibri" w:hAnsi="Calibri" w:cs="Calibri"/>
                <w:sz w:val="18"/>
              </w:rPr>
              <w:t>20</w:t>
            </w:r>
            <w:r w:rsidR="008D2BE9" w:rsidRPr="005734B8">
              <w:rPr>
                <w:rFonts w:ascii="Calibri" w:hAnsi="Calibri" w:cs="Calibri"/>
                <w:sz w:val="18"/>
              </w:rPr>
              <w:t>20</w:t>
            </w:r>
          </w:p>
        </w:tc>
        <w:tc>
          <w:tcPr>
            <w:tcW w:w="3974" w:type="dxa"/>
            <w:gridSpan w:val="4"/>
            <w:tcBorders>
              <w:bottom w:val="single" w:sz="4" w:space="0" w:color="FFFFFF" w:themeColor="background1"/>
            </w:tcBorders>
            <w:shd w:val="clear" w:color="auto" w:fill="AF272F" w:themeFill="accent4"/>
            <w:vAlign w:val="center"/>
          </w:tcPr>
          <w:p w14:paraId="58DFC5F2" w14:textId="77777777" w:rsidR="00FE6BD6" w:rsidRPr="005734B8" w:rsidRDefault="00FE6BD6" w:rsidP="00FE6BD6">
            <w:pPr>
              <w:pStyle w:val="ESTableheadingwhite"/>
              <w:spacing w:beforeLines="20" w:before="48" w:afterLines="20" w:after="48"/>
              <w:jc w:val="center"/>
              <w:rPr>
                <w:rFonts w:ascii="Calibri" w:hAnsi="Calibri" w:cs="Calibri"/>
                <w:sz w:val="18"/>
              </w:rPr>
            </w:pPr>
            <w:r w:rsidRPr="005734B8">
              <w:rPr>
                <w:rFonts w:ascii="Calibri" w:hAnsi="Calibri" w:cs="Calibri"/>
                <w:sz w:val="18"/>
              </w:rPr>
              <w:t>Change</w:t>
            </w:r>
          </w:p>
        </w:tc>
      </w:tr>
      <w:tr w:rsidR="008D2BE9" w:rsidRPr="005734B8" w14:paraId="55D84B6F" w14:textId="77777777" w:rsidTr="00FE6BD6">
        <w:trPr>
          <w:cantSplit/>
          <w:trHeight w:val="242"/>
        </w:trPr>
        <w:tc>
          <w:tcPr>
            <w:tcW w:w="2029" w:type="dxa"/>
            <w:tcBorders>
              <w:bottom w:val="single" w:sz="4" w:space="0" w:color="FFFFFF" w:themeColor="background1"/>
            </w:tcBorders>
            <w:shd w:val="clear" w:color="auto" w:fill="AF272F" w:themeFill="accent4"/>
          </w:tcPr>
          <w:p w14:paraId="3D9D11D9" w14:textId="77777777" w:rsidR="008D2BE9" w:rsidRPr="005734B8" w:rsidRDefault="008D2BE9" w:rsidP="008D2BE9">
            <w:pPr>
              <w:pStyle w:val="ESTableheadingwhite"/>
              <w:spacing w:beforeLines="20" w:before="48" w:afterLines="20" w:after="48"/>
              <w:rPr>
                <w:rFonts w:ascii="Calibri" w:hAnsi="Calibri" w:cs="Calibri"/>
                <w:sz w:val="18"/>
              </w:rPr>
            </w:pPr>
            <w:r w:rsidRPr="005734B8">
              <w:rPr>
                <w:rFonts w:ascii="Calibri" w:hAnsi="Calibri" w:cs="Calibri"/>
                <w:sz w:val="18"/>
              </w:rPr>
              <w:t>Portfolio agency</w:t>
            </w:r>
          </w:p>
        </w:tc>
        <w:tc>
          <w:tcPr>
            <w:tcW w:w="993" w:type="dxa"/>
            <w:tcBorders>
              <w:bottom w:val="single" w:sz="4" w:space="0" w:color="FFFFFF" w:themeColor="background1"/>
            </w:tcBorders>
            <w:shd w:val="clear" w:color="auto" w:fill="AF272F" w:themeFill="accent4"/>
            <w:vAlign w:val="center"/>
          </w:tcPr>
          <w:p w14:paraId="4DC273C5" w14:textId="77777777" w:rsidR="008D2BE9" w:rsidRPr="005734B8" w:rsidRDefault="008D2BE9" w:rsidP="008D2BE9">
            <w:pPr>
              <w:pStyle w:val="ESTableheadingwhite"/>
              <w:spacing w:beforeLines="20" w:before="48" w:afterLines="20" w:after="48"/>
              <w:jc w:val="center"/>
              <w:rPr>
                <w:rFonts w:ascii="Calibri" w:hAnsi="Calibri" w:cs="Calibri"/>
                <w:sz w:val="18"/>
              </w:rPr>
            </w:pPr>
            <w:r w:rsidRPr="005734B8">
              <w:rPr>
                <w:rFonts w:ascii="Calibri" w:hAnsi="Calibri" w:cs="Calibri"/>
                <w:sz w:val="18"/>
              </w:rPr>
              <w:t>Female</w:t>
            </w:r>
          </w:p>
        </w:tc>
        <w:tc>
          <w:tcPr>
            <w:tcW w:w="942" w:type="dxa"/>
            <w:tcBorders>
              <w:bottom w:val="single" w:sz="4" w:space="0" w:color="FFFFFF" w:themeColor="background1"/>
            </w:tcBorders>
            <w:shd w:val="clear" w:color="auto" w:fill="AF272F" w:themeFill="accent4"/>
            <w:vAlign w:val="center"/>
          </w:tcPr>
          <w:p w14:paraId="37E02069" w14:textId="77777777" w:rsidR="008D2BE9" w:rsidRPr="005734B8" w:rsidRDefault="008D2BE9" w:rsidP="008D2BE9">
            <w:pPr>
              <w:pStyle w:val="ESTableheadingwhite"/>
              <w:spacing w:beforeLines="20" w:before="48" w:afterLines="20" w:after="48"/>
              <w:jc w:val="center"/>
              <w:rPr>
                <w:rFonts w:ascii="Calibri" w:hAnsi="Calibri" w:cs="Calibri"/>
                <w:sz w:val="18"/>
              </w:rPr>
            </w:pPr>
            <w:r w:rsidRPr="005734B8">
              <w:rPr>
                <w:rFonts w:ascii="Calibri" w:hAnsi="Calibri" w:cs="Calibri"/>
                <w:sz w:val="18"/>
              </w:rPr>
              <w:t>Male</w:t>
            </w:r>
          </w:p>
        </w:tc>
        <w:tc>
          <w:tcPr>
            <w:tcW w:w="1134" w:type="dxa"/>
            <w:tcBorders>
              <w:bottom w:val="single" w:sz="4" w:space="0" w:color="FFFFFF" w:themeColor="background1"/>
            </w:tcBorders>
            <w:shd w:val="clear" w:color="auto" w:fill="AF272F" w:themeFill="accent4"/>
            <w:vAlign w:val="center"/>
          </w:tcPr>
          <w:p w14:paraId="2C483FCD" w14:textId="77777777" w:rsidR="008D2BE9" w:rsidRPr="005734B8" w:rsidRDefault="008D2BE9" w:rsidP="008D2BE9">
            <w:pPr>
              <w:pStyle w:val="ESTableheadingwhite"/>
              <w:spacing w:beforeLines="20" w:before="48" w:afterLines="20" w:after="48"/>
              <w:jc w:val="center"/>
              <w:rPr>
                <w:rFonts w:ascii="Calibri" w:hAnsi="Calibri" w:cs="Calibri"/>
                <w:sz w:val="18"/>
              </w:rPr>
            </w:pPr>
            <w:r w:rsidRPr="005734B8">
              <w:rPr>
                <w:rFonts w:ascii="Calibri" w:hAnsi="Calibri" w:cs="Calibri"/>
                <w:sz w:val="18"/>
              </w:rPr>
              <w:t>Self-described</w:t>
            </w:r>
          </w:p>
        </w:tc>
        <w:tc>
          <w:tcPr>
            <w:tcW w:w="904" w:type="dxa"/>
            <w:tcBorders>
              <w:bottom w:val="single" w:sz="4" w:space="0" w:color="FFFFFF" w:themeColor="background1"/>
            </w:tcBorders>
            <w:shd w:val="clear" w:color="auto" w:fill="AF272F" w:themeFill="accent4"/>
            <w:vAlign w:val="center"/>
          </w:tcPr>
          <w:p w14:paraId="6AC46546" w14:textId="77777777" w:rsidR="008D2BE9" w:rsidRPr="005734B8" w:rsidRDefault="008D2BE9" w:rsidP="008D2BE9">
            <w:pPr>
              <w:pStyle w:val="ESTableheadingwhite"/>
              <w:spacing w:beforeLines="20" w:before="48" w:afterLines="20" w:after="48"/>
              <w:jc w:val="center"/>
              <w:rPr>
                <w:rFonts w:ascii="Calibri" w:hAnsi="Calibri" w:cs="Calibri"/>
                <w:sz w:val="18"/>
              </w:rPr>
            </w:pPr>
            <w:r w:rsidRPr="005734B8">
              <w:rPr>
                <w:rFonts w:ascii="Calibri" w:hAnsi="Calibri" w:cs="Calibri"/>
                <w:sz w:val="18"/>
              </w:rPr>
              <w:t>Total</w:t>
            </w:r>
          </w:p>
        </w:tc>
        <w:tc>
          <w:tcPr>
            <w:tcW w:w="994" w:type="dxa"/>
            <w:tcBorders>
              <w:bottom w:val="single" w:sz="4" w:space="0" w:color="FFFFFF" w:themeColor="background1"/>
            </w:tcBorders>
            <w:shd w:val="clear" w:color="auto" w:fill="AF272F" w:themeFill="accent4"/>
            <w:vAlign w:val="center"/>
          </w:tcPr>
          <w:p w14:paraId="0B6E2B6A" w14:textId="77777777" w:rsidR="008D2BE9" w:rsidRPr="005734B8" w:rsidRDefault="008D2BE9" w:rsidP="008D2BE9">
            <w:pPr>
              <w:pStyle w:val="ESTableheadingwhite"/>
              <w:spacing w:beforeLines="20" w:before="48" w:afterLines="20" w:after="48"/>
              <w:jc w:val="center"/>
              <w:rPr>
                <w:rFonts w:ascii="Calibri" w:hAnsi="Calibri" w:cs="Calibri"/>
                <w:sz w:val="18"/>
              </w:rPr>
            </w:pPr>
            <w:r w:rsidRPr="005734B8">
              <w:rPr>
                <w:rFonts w:ascii="Calibri" w:hAnsi="Calibri" w:cs="Calibri"/>
                <w:sz w:val="18"/>
              </w:rPr>
              <w:t>Female</w:t>
            </w:r>
          </w:p>
        </w:tc>
        <w:tc>
          <w:tcPr>
            <w:tcW w:w="937" w:type="dxa"/>
            <w:tcBorders>
              <w:bottom w:val="single" w:sz="4" w:space="0" w:color="FFFFFF" w:themeColor="background1"/>
            </w:tcBorders>
            <w:shd w:val="clear" w:color="auto" w:fill="AF272F" w:themeFill="accent4"/>
            <w:vAlign w:val="center"/>
          </w:tcPr>
          <w:p w14:paraId="1C843416" w14:textId="77777777" w:rsidR="008D2BE9" w:rsidRPr="005734B8" w:rsidRDefault="008D2BE9" w:rsidP="008D2BE9">
            <w:pPr>
              <w:pStyle w:val="ESTableheadingwhite"/>
              <w:spacing w:beforeLines="20" w:before="48" w:afterLines="20" w:after="48"/>
              <w:jc w:val="center"/>
              <w:rPr>
                <w:rFonts w:ascii="Calibri" w:hAnsi="Calibri" w:cs="Calibri"/>
                <w:sz w:val="18"/>
              </w:rPr>
            </w:pPr>
            <w:r w:rsidRPr="005734B8">
              <w:rPr>
                <w:rFonts w:ascii="Calibri" w:hAnsi="Calibri" w:cs="Calibri"/>
                <w:sz w:val="18"/>
              </w:rPr>
              <w:t>Male</w:t>
            </w:r>
          </w:p>
        </w:tc>
        <w:tc>
          <w:tcPr>
            <w:tcW w:w="1134" w:type="dxa"/>
            <w:tcBorders>
              <w:bottom w:val="single" w:sz="4" w:space="0" w:color="FFFFFF" w:themeColor="background1"/>
            </w:tcBorders>
            <w:shd w:val="clear" w:color="auto" w:fill="AF272F" w:themeFill="accent4"/>
            <w:vAlign w:val="center"/>
          </w:tcPr>
          <w:p w14:paraId="16CEFAC6" w14:textId="77777777" w:rsidR="008D2BE9" w:rsidRPr="005734B8" w:rsidRDefault="008D2BE9" w:rsidP="008D2BE9">
            <w:pPr>
              <w:pStyle w:val="ESTableheadingwhite"/>
              <w:spacing w:beforeLines="20" w:before="48" w:afterLines="20" w:after="48"/>
              <w:jc w:val="center"/>
              <w:rPr>
                <w:rFonts w:ascii="Calibri" w:hAnsi="Calibri" w:cs="Calibri"/>
                <w:sz w:val="18"/>
              </w:rPr>
            </w:pPr>
            <w:r w:rsidRPr="005734B8">
              <w:rPr>
                <w:rFonts w:ascii="Calibri" w:hAnsi="Calibri" w:cs="Calibri"/>
                <w:sz w:val="18"/>
              </w:rPr>
              <w:t>Self-described</w:t>
            </w:r>
          </w:p>
        </w:tc>
        <w:tc>
          <w:tcPr>
            <w:tcW w:w="909" w:type="dxa"/>
            <w:tcBorders>
              <w:bottom w:val="single" w:sz="4" w:space="0" w:color="FFFFFF" w:themeColor="background1"/>
            </w:tcBorders>
            <w:shd w:val="clear" w:color="auto" w:fill="AF272F" w:themeFill="accent4"/>
            <w:vAlign w:val="center"/>
          </w:tcPr>
          <w:p w14:paraId="1D773C0C" w14:textId="77777777" w:rsidR="008D2BE9" w:rsidRPr="005734B8" w:rsidRDefault="008D2BE9" w:rsidP="008D2BE9">
            <w:pPr>
              <w:pStyle w:val="ESTableheadingwhite"/>
              <w:spacing w:beforeLines="20" w:before="48" w:afterLines="20" w:after="48"/>
              <w:jc w:val="center"/>
              <w:rPr>
                <w:rFonts w:ascii="Calibri" w:hAnsi="Calibri" w:cs="Calibri"/>
                <w:sz w:val="18"/>
              </w:rPr>
            </w:pPr>
            <w:r w:rsidRPr="005734B8">
              <w:rPr>
                <w:rFonts w:ascii="Calibri" w:hAnsi="Calibri" w:cs="Calibri"/>
                <w:sz w:val="18"/>
              </w:rPr>
              <w:t>Total</w:t>
            </w:r>
          </w:p>
        </w:tc>
        <w:tc>
          <w:tcPr>
            <w:tcW w:w="993" w:type="dxa"/>
            <w:tcBorders>
              <w:bottom w:val="single" w:sz="4" w:space="0" w:color="FFFFFF" w:themeColor="background1"/>
            </w:tcBorders>
            <w:shd w:val="clear" w:color="auto" w:fill="AF272F" w:themeFill="accent4"/>
            <w:vAlign w:val="center"/>
          </w:tcPr>
          <w:p w14:paraId="02476218" w14:textId="77777777" w:rsidR="008D2BE9" w:rsidRPr="005734B8" w:rsidRDefault="008D2BE9" w:rsidP="008D2BE9">
            <w:pPr>
              <w:pStyle w:val="ESTableheadingwhite"/>
              <w:spacing w:beforeLines="20" w:before="48" w:afterLines="20" w:after="48"/>
              <w:jc w:val="center"/>
              <w:rPr>
                <w:rFonts w:ascii="Calibri" w:hAnsi="Calibri" w:cs="Calibri"/>
                <w:sz w:val="18"/>
              </w:rPr>
            </w:pPr>
            <w:r w:rsidRPr="005734B8">
              <w:rPr>
                <w:rFonts w:ascii="Calibri" w:hAnsi="Calibri" w:cs="Calibri"/>
                <w:sz w:val="18"/>
              </w:rPr>
              <w:t>Female</w:t>
            </w:r>
          </w:p>
        </w:tc>
        <w:tc>
          <w:tcPr>
            <w:tcW w:w="933" w:type="dxa"/>
            <w:tcBorders>
              <w:bottom w:val="single" w:sz="4" w:space="0" w:color="FFFFFF" w:themeColor="background1"/>
            </w:tcBorders>
            <w:shd w:val="clear" w:color="auto" w:fill="AF272F" w:themeFill="accent4"/>
            <w:vAlign w:val="center"/>
          </w:tcPr>
          <w:p w14:paraId="078ADC02" w14:textId="77777777" w:rsidR="008D2BE9" w:rsidRPr="005734B8" w:rsidRDefault="008D2BE9" w:rsidP="008D2BE9">
            <w:pPr>
              <w:pStyle w:val="ESTableheadingwhite"/>
              <w:spacing w:beforeLines="20" w:before="48" w:afterLines="20" w:after="48"/>
              <w:jc w:val="center"/>
              <w:rPr>
                <w:rFonts w:ascii="Calibri" w:hAnsi="Calibri" w:cs="Calibri"/>
                <w:sz w:val="18"/>
              </w:rPr>
            </w:pPr>
            <w:r w:rsidRPr="005734B8">
              <w:rPr>
                <w:rFonts w:ascii="Calibri" w:hAnsi="Calibri" w:cs="Calibri"/>
                <w:sz w:val="18"/>
              </w:rPr>
              <w:t>Male</w:t>
            </w:r>
          </w:p>
        </w:tc>
        <w:tc>
          <w:tcPr>
            <w:tcW w:w="1134" w:type="dxa"/>
            <w:tcBorders>
              <w:bottom w:val="single" w:sz="4" w:space="0" w:color="FFFFFF" w:themeColor="background1"/>
            </w:tcBorders>
            <w:shd w:val="clear" w:color="auto" w:fill="AF272F" w:themeFill="accent4"/>
            <w:vAlign w:val="center"/>
          </w:tcPr>
          <w:p w14:paraId="7526EF6C" w14:textId="77777777" w:rsidR="008D2BE9" w:rsidRPr="005734B8" w:rsidRDefault="008D2BE9" w:rsidP="008D2BE9">
            <w:pPr>
              <w:pStyle w:val="ESTableheadingwhite"/>
              <w:spacing w:beforeLines="20" w:before="48" w:afterLines="20" w:after="48"/>
              <w:jc w:val="center"/>
              <w:rPr>
                <w:rFonts w:ascii="Calibri" w:hAnsi="Calibri" w:cs="Calibri"/>
                <w:sz w:val="18"/>
              </w:rPr>
            </w:pPr>
            <w:r w:rsidRPr="005734B8">
              <w:rPr>
                <w:rFonts w:ascii="Calibri" w:hAnsi="Calibri" w:cs="Calibri"/>
                <w:sz w:val="18"/>
              </w:rPr>
              <w:t>Self-described</w:t>
            </w:r>
          </w:p>
        </w:tc>
        <w:tc>
          <w:tcPr>
            <w:tcW w:w="914" w:type="dxa"/>
            <w:tcBorders>
              <w:bottom w:val="single" w:sz="4" w:space="0" w:color="FFFFFF" w:themeColor="background1"/>
            </w:tcBorders>
            <w:shd w:val="clear" w:color="auto" w:fill="AF272F" w:themeFill="accent4"/>
            <w:vAlign w:val="center"/>
          </w:tcPr>
          <w:p w14:paraId="71BC09FE" w14:textId="77777777" w:rsidR="008D2BE9" w:rsidRPr="005734B8" w:rsidRDefault="008D2BE9" w:rsidP="008D2BE9">
            <w:pPr>
              <w:pStyle w:val="ESTableheadingwhite"/>
              <w:spacing w:beforeLines="20" w:before="48" w:afterLines="20" w:after="48"/>
              <w:jc w:val="center"/>
              <w:rPr>
                <w:rFonts w:ascii="Calibri" w:hAnsi="Calibri" w:cs="Calibri"/>
                <w:sz w:val="18"/>
              </w:rPr>
            </w:pPr>
            <w:r w:rsidRPr="005734B8">
              <w:rPr>
                <w:rFonts w:ascii="Calibri" w:hAnsi="Calibri" w:cs="Calibri"/>
                <w:sz w:val="18"/>
              </w:rPr>
              <w:t>Total</w:t>
            </w:r>
          </w:p>
        </w:tc>
      </w:tr>
      <w:tr w:rsidR="000006AB" w:rsidRPr="005734B8" w14:paraId="2961C66A" w14:textId="77777777" w:rsidTr="004D5654">
        <w:trPr>
          <w:cantSplit/>
        </w:trPr>
        <w:tc>
          <w:tcPr>
            <w:tcW w:w="2029" w:type="dxa"/>
            <w:tcBorders>
              <w:top w:val="single" w:sz="4" w:space="0" w:color="53565A" w:themeColor="accent5"/>
              <w:bottom w:val="single" w:sz="4" w:space="0" w:color="53565A" w:themeColor="accent5"/>
            </w:tcBorders>
            <w:shd w:val="clear" w:color="auto" w:fill="auto"/>
          </w:tcPr>
          <w:p w14:paraId="65D2CC65" w14:textId="77777777" w:rsidR="000006AB" w:rsidRPr="005734B8" w:rsidRDefault="000006AB" w:rsidP="000006AB">
            <w:pPr>
              <w:pStyle w:val="ESTablebody"/>
              <w:spacing w:beforeLines="20" w:before="48" w:afterLines="20" w:after="48"/>
              <w:rPr>
                <w:rFonts w:ascii="Calibri" w:hAnsi="Calibri" w:cs="Calibri"/>
                <w:sz w:val="18"/>
              </w:rPr>
            </w:pPr>
            <w:r w:rsidRPr="005734B8">
              <w:rPr>
                <w:rFonts w:ascii="Calibri" w:hAnsi="Calibri" w:cs="Calibri"/>
                <w:sz w:val="18"/>
              </w:rPr>
              <w:t>AMES Australia</w:t>
            </w:r>
          </w:p>
        </w:tc>
        <w:tc>
          <w:tcPr>
            <w:tcW w:w="993" w:type="dxa"/>
            <w:tcBorders>
              <w:top w:val="single" w:sz="4" w:space="0" w:color="53565A" w:themeColor="accent5"/>
              <w:bottom w:val="single" w:sz="4" w:space="0" w:color="53565A" w:themeColor="accent5"/>
            </w:tcBorders>
            <w:vAlign w:val="center"/>
          </w:tcPr>
          <w:p w14:paraId="62F82E2F" w14:textId="4564662B"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4</w:t>
            </w:r>
          </w:p>
        </w:tc>
        <w:tc>
          <w:tcPr>
            <w:tcW w:w="942" w:type="dxa"/>
            <w:tcBorders>
              <w:top w:val="single" w:sz="4" w:space="0" w:color="53565A" w:themeColor="accent5"/>
              <w:bottom w:val="single" w:sz="4" w:space="0" w:color="53565A" w:themeColor="accent5"/>
            </w:tcBorders>
            <w:vAlign w:val="center"/>
          </w:tcPr>
          <w:p w14:paraId="6610A5B3" w14:textId="5C3729DD"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2</w:t>
            </w:r>
          </w:p>
        </w:tc>
        <w:tc>
          <w:tcPr>
            <w:tcW w:w="1134" w:type="dxa"/>
            <w:tcBorders>
              <w:top w:val="single" w:sz="4" w:space="0" w:color="53565A" w:themeColor="accent5"/>
              <w:bottom w:val="single" w:sz="4" w:space="0" w:color="53565A" w:themeColor="accent5"/>
            </w:tcBorders>
            <w:vAlign w:val="center"/>
          </w:tcPr>
          <w:p w14:paraId="27B1C20F" w14:textId="61B67FFB"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696E80DB" w14:textId="37225F19"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color w:val="000000"/>
                <w:sz w:val="18"/>
              </w:rPr>
              <w:t>6</w:t>
            </w:r>
          </w:p>
        </w:tc>
        <w:tc>
          <w:tcPr>
            <w:tcW w:w="994" w:type="dxa"/>
            <w:tcBorders>
              <w:top w:val="single" w:sz="4" w:space="0" w:color="53565A" w:themeColor="accent5"/>
              <w:bottom w:val="single" w:sz="4" w:space="0" w:color="53565A" w:themeColor="accent5"/>
            </w:tcBorders>
            <w:vAlign w:val="center"/>
          </w:tcPr>
          <w:p w14:paraId="4F522F5E" w14:textId="281ABAE0"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8"/>
              </w:rPr>
              <w:t>5</w:t>
            </w:r>
          </w:p>
        </w:tc>
        <w:tc>
          <w:tcPr>
            <w:tcW w:w="937" w:type="dxa"/>
            <w:tcBorders>
              <w:top w:val="single" w:sz="4" w:space="0" w:color="53565A" w:themeColor="accent5"/>
              <w:bottom w:val="single" w:sz="4" w:space="0" w:color="53565A" w:themeColor="accent5"/>
            </w:tcBorders>
            <w:vAlign w:val="center"/>
          </w:tcPr>
          <w:p w14:paraId="1EF012E0" w14:textId="2AAABAA0"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8"/>
              </w:rPr>
              <w:t>2</w:t>
            </w:r>
          </w:p>
        </w:tc>
        <w:tc>
          <w:tcPr>
            <w:tcW w:w="1134" w:type="dxa"/>
            <w:tcBorders>
              <w:top w:val="single" w:sz="4" w:space="0" w:color="53565A" w:themeColor="accent5"/>
              <w:bottom w:val="single" w:sz="4" w:space="0" w:color="53565A" w:themeColor="accent5"/>
            </w:tcBorders>
            <w:vAlign w:val="center"/>
          </w:tcPr>
          <w:p w14:paraId="7B10DA29" w14:textId="3C3AD941"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508E5F57" w14:textId="0ECF2FC5"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sz w:val="18"/>
              </w:rPr>
              <w:t>7</w:t>
            </w:r>
          </w:p>
        </w:tc>
        <w:tc>
          <w:tcPr>
            <w:tcW w:w="993" w:type="dxa"/>
            <w:tcBorders>
              <w:top w:val="single" w:sz="4" w:space="0" w:color="53565A" w:themeColor="accent5"/>
              <w:bottom w:val="single" w:sz="4" w:space="0" w:color="53565A" w:themeColor="accent5"/>
            </w:tcBorders>
            <w:shd w:val="clear" w:color="auto" w:fill="auto"/>
            <w:vAlign w:val="center"/>
          </w:tcPr>
          <w:p w14:paraId="00EC5D9B" w14:textId="3DB3A54B"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-1</w:t>
            </w:r>
          </w:p>
        </w:tc>
        <w:tc>
          <w:tcPr>
            <w:tcW w:w="933" w:type="dxa"/>
            <w:tcBorders>
              <w:top w:val="single" w:sz="4" w:space="0" w:color="53565A" w:themeColor="accent5"/>
              <w:bottom w:val="single" w:sz="4" w:space="0" w:color="53565A" w:themeColor="accent5"/>
            </w:tcBorders>
            <w:shd w:val="clear" w:color="auto" w:fill="auto"/>
            <w:vAlign w:val="center"/>
          </w:tcPr>
          <w:p w14:paraId="06CFC45A" w14:textId="68AACFE3"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1134" w:type="dxa"/>
            <w:tcBorders>
              <w:top w:val="single" w:sz="4" w:space="0" w:color="53565A" w:themeColor="accent5"/>
              <w:bottom w:val="single" w:sz="4" w:space="0" w:color="53565A" w:themeColor="accent5"/>
            </w:tcBorders>
            <w:vAlign w:val="center"/>
          </w:tcPr>
          <w:p w14:paraId="6BAC5748" w14:textId="3112C7A5"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4D9D5F67" w14:textId="02699E11"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color w:val="000000"/>
                <w:sz w:val="18"/>
              </w:rPr>
              <w:t>-1</w:t>
            </w:r>
          </w:p>
        </w:tc>
      </w:tr>
      <w:tr w:rsidR="000006AB" w:rsidRPr="005734B8" w14:paraId="25702D7C" w14:textId="77777777" w:rsidTr="004D5654">
        <w:trPr>
          <w:cantSplit/>
        </w:trPr>
        <w:tc>
          <w:tcPr>
            <w:tcW w:w="2029" w:type="dxa"/>
            <w:tcBorders>
              <w:top w:val="single" w:sz="4" w:space="0" w:color="53565A" w:themeColor="accent5"/>
              <w:bottom w:val="single" w:sz="4" w:space="0" w:color="53565A" w:themeColor="accent5"/>
            </w:tcBorders>
            <w:shd w:val="clear" w:color="auto" w:fill="auto"/>
          </w:tcPr>
          <w:p w14:paraId="27059BBD" w14:textId="77777777" w:rsidR="000006AB" w:rsidRPr="005734B8" w:rsidRDefault="000006AB" w:rsidP="000006AB">
            <w:pPr>
              <w:pStyle w:val="ESTablebody"/>
              <w:spacing w:beforeLines="20" w:before="48" w:afterLines="20" w:after="48"/>
              <w:rPr>
                <w:rFonts w:ascii="Calibri" w:hAnsi="Calibri" w:cs="Calibri"/>
                <w:sz w:val="18"/>
              </w:rPr>
            </w:pPr>
            <w:r w:rsidRPr="005734B8">
              <w:rPr>
                <w:rFonts w:ascii="Calibri" w:hAnsi="Calibri" w:cs="Calibri"/>
                <w:sz w:val="18"/>
              </w:rPr>
              <w:t>Bendigo Kangan Institute</w:t>
            </w:r>
          </w:p>
        </w:tc>
        <w:tc>
          <w:tcPr>
            <w:tcW w:w="993" w:type="dxa"/>
            <w:tcBorders>
              <w:top w:val="single" w:sz="4" w:space="0" w:color="53565A" w:themeColor="accent5"/>
              <w:bottom w:val="single" w:sz="4" w:space="0" w:color="53565A" w:themeColor="accent5"/>
            </w:tcBorders>
            <w:vAlign w:val="center"/>
          </w:tcPr>
          <w:p w14:paraId="1D34633A" w14:textId="37B05869"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4</w:t>
            </w:r>
          </w:p>
        </w:tc>
        <w:tc>
          <w:tcPr>
            <w:tcW w:w="942" w:type="dxa"/>
            <w:tcBorders>
              <w:top w:val="single" w:sz="4" w:space="0" w:color="53565A" w:themeColor="accent5"/>
              <w:bottom w:val="single" w:sz="4" w:space="0" w:color="53565A" w:themeColor="accent5"/>
            </w:tcBorders>
            <w:vAlign w:val="center"/>
          </w:tcPr>
          <w:p w14:paraId="7DCF5912" w14:textId="088CFF3E"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6</w:t>
            </w:r>
          </w:p>
        </w:tc>
        <w:tc>
          <w:tcPr>
            <w:tcW w:w="1134" w:type="dxa"/>
            <w:tcBorders>
              <w:top w:val="single" w:sz="4" w:space="0" w:color="53565A" w:themeColor="accent5"/>
              <w:bottom w:val="single" w:sz="4" w:space="0" w:color="53565A" w:themeColor="accent5"/>
            </w:tcBorders>
            <w:vAlign w:val="center"/>
          </w:tcPr>
          <w:p w14:paraId="1698FFCD" w14:textId="3471EC4B"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069A237C" w14:textId="3CA70CDC"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color w:val="000000"/>
                <w:sz w:val="18"/>
              </w:rPr>
              <w:t>10</w:t>
            </w:r>
          </w:p>
        </w:tc>
        <w:tc>
          <w:tcPr>
            <w:tcW w:w="994" w:type="dxa"/>
            <w:tcBorders>
              <w:top w:val="single" w:sz="4" w:space="0" w:color="53565A" w:themeColor="accent5"/>
              <w:bottom w:val="single" w:sz="4" w:space="0" w:color="53565A" w:themeColor="accent5"/>
            </w:tcBorders>
            <w:vAlign w:val="center"/>
          </w:tcPr>
          <w:p w14:paraId="624FEE83" w14:textId="647C5C34"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8"/>
              </w:rPr>
              <w:t>4</w:t>
            </w:r>
          </w:p>
        </w:tc>
        <w:tc>
          <w:tcPr>
            <w:tcW w:w="937" w:type="dxa"/>
            <w:tcBorders>
              <w:top w:val="single" w:sz="4" w:space="0" w:color="53565A" w:themeColor="accent5"/>
              <w:bottom w:val="single" w:sz="4" w:space="0" w:color="53565A" w:themeColor="accent5"/>
            </w:tcBorders>
            <w:vAlign w:val="center"/>
          </w:tcPr>
          <w:p w14:paraId="2F7E06B6" w14:textId="5C03A26E"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8"/>
              </w:rPr>
              <w:t>4</w:t>
            </w:r>
          </w:p>
        </w:tc>
        <w:tc>
          <w:tcPr>
            <w:tcW w:w="1134" w:type="dxa"/>
            <w:tcBorders>
              <w:top w:val="single" w:sz="4" w:space="0" w:color="53565A" w:themeColor="accent5"/>
              <w:bottom w:val="single" w:sz="4" w:space="0" w:color="53565A" w:themeColor="accent5"/>
            </w:tcBorders>
            <w:vAlign w:val="center"/>
          </w:tcPr>
          <w:p w14:paraId="10D435E8" w14:textId="70DE6788"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3824CB31" w14:textId="016B3A63"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sz w:val="18"/>
              </w:rPr>
              <w:t>8</w:t>
            </w:r>
          </w:p>
        </w:tc>
        <w:tc>
          <w:tcPr>
            <w:tcW w:w="993" w:type="dxa"/>
            <w:tcBorders>
              <w:top w:val="single" w:sz="4" w:space="0" w:color="53565A" w:themeColor="accent5"/>
              <w:bottom w:val="single" w:sz="4" w:space="0" w:color="53565A" w:themeColor="accent5"/>
            </w:tcBorders>
            <w:shd w:val="clear" w:color="auto" w:fill="auto"/>
            <w:vAlign w:val="center"/>
          </w:tcPr>
          <w:p w14:paraId="7693DC55" w14:textId="16A142AB"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33" w:type="dxa"/>
            <w:tcBorders>
              <w:top w:val="single" w:sz="4" w:space="0" w:color="53565A" w:themeColor="accent5"/>
              <w:bottom w:val="single" w:sz="4" w:space="0" w:color="53565A" w:themeColor="accent5"/>
            </w:tcBorders>
            <w:shd w:val="clear" w:color="auto" w:fill="auto"/>
            <w:vAlign w:val="center"/>
          </w:tcPr>
          <w:p w14:paraId="2178984D" w14:textId="7D98A9D8"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2</w:t>
            </w:r>
          </w:p>
        </w:tc>
        <w:tc>
          <w:tcPr>
            <w:tcW w:w="1134" w:type="dxa"/>
            <w:tcBorders>
              <w:top w:val="single" w:sz="4" w:space="0" w:color="53565A" w:themeColor="accent5"/>
              <w:bottom w:val="single" w:sz="4" w:space="0" w:color="53565A" w:themeColor="accent5"/>
            </w:tcBorders>
            <w:vAlign w:val="center"/>
          </w:tcPr>
          <w:p w14:paraId="2A777959" w14:textId="6A15A746"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447707B9" w14:textId="13C07909"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color w:val="000000"/>
                <w:sz w:val="18"/>
              </w:rPr>
              <w:t>2</w:t>
            </w:r>
          </w:p>
        </w:tc>
      </w:tr>
      <w:tr w:rsidR="000006AB" w:rsidRPr="005734B8" w14:paraId="49FF488D" w14:textId="77777777" w:rsidTr="004D5654">
        <w:trPr>
          <w:cantSplit/>
        </w:trPr>
        <w:tc>
          <w:tcPr>
            <w:tcW w:w="2029" w:type="dxa"/>
            <w:tcBorders>
              <w:top w:val="single" w:sz="4" w:space="0" w:color="53565A" w:themeColor="accent5"/>
              <w:bottom w:val="single" w:sz="4" w:space="0" w:color="53565A" w:themeColor="accent5"/>
            </w:tcBorders>
            <w:shd w:val="clear" w:color="auto" w:fill="auto"/>
          </w:tcPr>
          <w:p w14:paraId="5B8DA964" w14:textId="77777777" w:rsidR="000006AB" w:rsidRPr="005734B8" w:rsidRDefault="000006AB" w:rsidP="000006AB">
            <w:pPr>
              <w:pStyle w:val="ESTablebody"/>
              <w:spacing w:beforeLines="20" w:before="48" w:afterLines="20" w:after="48"/>
              <w:rPr>
                <w:rFonts w:ascii="Calibri" w:hAnsi="Calibri" w:cs="Calibri"/>
                <w:sz w:val="18"/>
              </w:rPr>
            </w:pPr>
            <w:r w:rsidRPr="005734B8">
              <w:rPr>
                <w:rFonts w:ascii="Calibri" w:hAnsi="Calibri" w:cs="Calibri"/>
                <w:sz w:val="18"/>
              </w:rPr>
              <w:t>Box Hill Institute</w:t>
            </w:r>
          </w:p>
        </w:tc>
        <w:tc>
          <w:tcPr>
            <w:tcW w:w="993" w:type="dxa"/>
            <w:tcBorders>
              <w:top w:val="single" w:sz="4" w:space="0" w:color="53565A" w:themeColor="accent5"/>
              <w:bottom w:val="single" w:sz="4" w:space="0" w:color="53565A" w:themeColor="accent5"/>
            </w:tcBorders>
            <w:vAlign w:val="center"/>
          </w:tcPr>
          <w:p w14:paraId="64A835C5" w14:textId="033C975B"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7</w:t>
            </w:r>
          </w:p>
        </w:tc>
        <w:tc>
          <w:tcPr>
            <w:tcW w:w="942" w:type="dxa"/>
            <w:tcBorders>
              <w:top w:val="single" w:sz="4" w:space="0" w:color="53565A" w:themeColor="accent5"/>
              <w:bottom w:val="single" w:sz="4" w:space="0" w:color="53565A" w:themeColor="accent5"/>
            </w:tcBorders>
            <w:vAlign w:val="center"/>
          </w:tcPr>
          <w:p w14:paraId="2423BB9B" w14:textId="48DA2A76"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2</w:t>
            </w:r>
          </w:p>
        </w:tc>
        <w:tc>
          <w:tcPr>
            <w:tcW w:w="1134" w:type="dxa"/>
            <w:tcBorders>
              <w:top w:val="single" w:sz="4" w:space="0" w:color="53565A" w:themeColor="accent5"/>
              <w:bottom w:val="single" w:sz="4" w:space="0" w:color="53565A" w:themeColor="accent5"/>
            </w:tcBorders>
            <w:vAlign w:val="center"/>
          </w:tcPr>
          <w:p w14:paraId="09E0F883" w14:textId="62140E3B"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16AA6CD8" w14:textId="6FA53866"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color w:val="000000"/>
                <w:sz w:val="18"/>
              </w:rPr>
              <w:t>9</w:t>
            </w:r>
          </w:p>
        </w:tc>
        <w:tc>
          <w:tcPr>
            <w:tcW w:w="994" w:type="dxa"/>
            <w:tcBorders>
              <w:top w:val="single" w:sz="4" w:space="0" w:color="53565A" w:themeColor="accent5"/>
              <w:bottom w:val="single" w:sz="4" w:space="0" w:color="53565A" w:themeColor="accent5"/>
            </w:tcBorders>
            <w:vAlign w:val="center"/>
          </w:tcPr>
          <w:p w14:paraId="231E573D" w14:textId="1846066A"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8"/>
              </w:rPr>
              <w:t>8</w:t>
            </w:r>
          </w:p>
        </w:tc>
        <w:tc>
          <w:tcPr>
            <w:tcW w:w="937" w:type="dxa"/>
            <w:tcBorders>
              <w:top w:val="single" w:sz="4" w:space="0" w:color="53565A" w:themeColor="accent5"/>
              <w:bottom w:val="single" w:sz="4" w:space="0" w:color="53565A" w:themeColor="accent5"/>
            </w:tcBorders>
            <w:vAlign w:val="center"/>
          </w:tcPr>
          <w:p w14:paraId="5E057E8C" w14:textId="714A578D"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8"/>
              </w:rPr>
              <w:t>5</w:t>
            </w:r>
          </w:p>
        </w:tc>
        <w:tc>
          <w:tcPr>
            <w:tcW w:w="1134" w:type="dxa"/>
            <w:tcBorders>
              <w:top w:val="single" w:sz="4" w:space="0" w:color="53565A" w:themeColor="accent5"/>
              <w:bottom w:val="single" w:sz="4" w:space="0" w:color="53565A" w:themeColor="accent5"/>
            </w:tcBorders>
            <w:vAlign w:val="center"/>
          </w:tcPr>
          <w:p w14:paraId="13D4B454" w14:textId="14FB06EC"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6216AA78" w14:textId="2F8F652D"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sz w:val="18"/>
              </w:rPr>
              <w:t>13</w:t>
            </w:r>
          </w:p>
        </w:tc>
        <w:tc>
          <w:tcPr>
            <w:tcW w:w="993" w:type="dxa"/>
            <w:tcBorders>
              <w:top w:val="single" w:sz="4" w:space="0" w:color="53565A" w:themeColor="accent5"/>
              <w:bottom w:val="single" w:sz="4" w:space="0" w:color="53565A" w:themeColor="accent5"/>
            </w:tcBorders>
            <w:shd w:val="clear" w:color="auto" w:fill="auto"/>
            <w:vAlign w:val="center"/>
          </w:tcPr>
          <w:p w14:paraId="1A96A107" w14:textId="1D93FD5C"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-1</w:t>
            </w:r>
          </w:p>
        </w:tc>
        <w:tc>
          <w:tcPr>
            <w:tcW w:w="933" w:type="dxa"/>
            <w:tcBorders>
              <w:top w:val="single" w:sz="4" w:space="0" w:color="53565A" w:themeColor="accent5"/>
              <w:bottom w:val="single" w:sz="4" w:space="0" w:color="53565A" w:themeColor="accent5"/>
            </w:tcBorders>
            <w:shd w:val="clear" w:color="auto" w:fill="auto"/>
            <w:vAlign w:val="center"/>
          </w:tcPr>
          <w:p w14:paraId="1FAC3E72" w14:textId="050CCF44"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w:t>
            </w:r>
            <w:r w:rsidR="004D5654" w:rsidRPr="005734B8">
              <w:rPr>
                <w:rFonts w:ascii="Calibri" w:hAnsi="Calibri" w:cs="Calibri"/>
                <w:color w:val="000000"/>
                <w:sz w:val="18"/>
              </w:rPr>
              <w:t>3</w:t>
            </w:r>
          </w:p>
        </w:tc>
        <w:tc>
          <w:tcPr>
            <w:tcW w:w="1134" w:type="dxa"/>
            <w:tcBorders>
              <w:top w:val="single" w:sz="4" w:space="0" w:color="53565A" w:themeColor="accent5"/>
              <w:bottom w:val="single" w:sz="4" w:space="0" w:color="53565A" w:themeColor="accent5"/>
            </w:tcBorders>
            <w:vAlign w:val="center"/>
          </w:tcPr>
          <w:p w14:paraId="2DE45808" w14:textId="4C78C3B3"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2C1202B9" w14:textId="343DDB79"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color w:val="000000"/>
                <w:sz w:val="18"/>
              </w:rPr>
              <w:t>-</w:t>
            </w:r>
            <w:r w:rsidR="004D5654" w:rsidRPr="005734B8">
              <w:rPr>
                <w:rFonts w:ascii="Calibri" w:hAnsi="Calibri" w:cs="Calibri"/>
                <w:b/>
                <w:bCs/>
                <w:color w:val="000000"/>
                <w:sz w:val="18"/>
              </w:rPr>
              <w:t>4</w:t>
            </w:r>
          </w:p>
        </w:tc>
      </w:tr>
      <w:tr w:rsidR="000006AB" w:rsidRPr="005734B8" w14:paraId="45B236C6" w14:textId="77777777" w:rsidTr="004D5654">
        <w:trPr>
          <w:cantSplit/>
        </w:trPr>
        <w:tc>
          <w:tcPr>
            <w:tcW w:w="2029" w:type="dxa"/>
            <w:tcBorders>
              <w:top w:val="single" w:sz="4" w:space="0" w:color="53565A" w:themeColor="accent5"/>
              <w:bottom w:val="single" w:sz="4" w:space="0" w:color="53565A" w:themeColor="accent5"/>
            </w:tcBorders>
            <w:shd w:val="clear" w:color="auto" w:fill="auto"/>
            <w:vAlign w:val="center"/>
          </w:tcPr>
          <w:p w14:paraId="618F1ECA" w14:textId="77777777" w:rsidR="000006AB" w:rsidRPr="005734B8" w:rsidRDefault="000006AB" w:rsidP="000006AB">
            <w:pPr>
              <w:pStyle w:val="ESTablebody"/>
              <w:spacing w:beforeLines="20" w:before="48" w:afterLines="20" w:after="48"/>
              <w:rPr>
                <w:rFonts w:ascii="Calibri" w:hAnsi="Calibri" w:cs="Calibri"/>
                <w:sz w:val="18"/>
              </w:rPr>
            </w:pPr>
            <w:r w:rsidRPr="005734B8">
              <w:rPr>
                <w:rFonts w:ascii="Calibri" w:hAnsi="Calibri" w:cs="Calibri"/>
                <w:color w:val="000000"/>
                <w:sz w:val="18"/>
              </w:rPr>
              <w:t>Chisholm Institute</w:t>
            </w:r>
          </w:p>
        </w:tc>
        <w:tc>
          <w:tcPr>
            <w:tcW w:w="993" w:type="dxa"/>
            <w:tcBorders>
              <w:top w:val="single" w:sz="4" w:space="0" w:color="53565A" w:themeColor="accent5"/>
              <w:bottom w:val="single" w:sz="4" w:space="0" w:color="53565A" w:themeColor="accent5"/>
            </w:tcBorders>
            <w:vAlign w:val="center"/>
          </w:tcPr>
          <w:p w14:paraId="4A9D15DB" w14:textId="46871E0E"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4</w:t>
            </w:r>
          </w:p>
        </w:tc>
        <w:tc>
          <w:tcPr>
            <w:tcW w:w="942" w:type="dxa"/>
            <w:tcBorders>
              <w:top w:val="single" w:sz="4" w:space="0" w:color="53565A" w:themeColor="accent5"/>
              <w:bottom w:val="single" w:sz="4" w:space="0" w:color="53565A" w:themeColor="accent5"/>
            </w:tcBorders>
            <w:vAlign w:val="center"/>
          </w:tcPr>
          <w:p w14:paraId="075C50AC" w14:textId="17381961"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3</w:t>
            </w:r>
          </w:p>
        </w:tc>
        <w:tc>
          <w:tcPr>
            <w:tcW w:w="1134" w:type="dxa"/>
            <w:tcBorders>
              <w:top w:val="single" w:sz="4" w:space="0" w:color="53565A" w:themeColor="accent5"/>
              <w:bottom w:val="single" w:sz="4" w:space="0" w:color="53565A" w:themeColor="accent5"/>
            </w:tcBorders>
            <w:vAlign w:val="center"/>
          </w:tcPr>
          <w:p w14:paraId="7B8F8F5A" w14:textId="71B75C06"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4D7B6ABA" w14:textId="30719126"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color w:val="000000"/>
                <w:sz w:val="18"/>
              </w:rPr>
              <w:t>7</w:t>
            </w:r>
          </w:p>
        </w:tc>
        <w:tc>
          <w:tcPr>
            <w:tcW w:w="994" w:type="dxa"/>
            <w:tcBorders>
              <w:top w:val="single" w:sz="4" w:space="0" w:color="53565A" w:themeColor="accent5"/>
              <w:bottom w:val="single" w:sz="4" w:space="0" w:color="53565A" w:themeColor="accent5"/>
            </w:tcBorders>
            <w:vAlign w:val="center"/>
          </w:tcPr>
          <w:p w14:paraId="12BA454E" w14:textId="6A53E352"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8"/>
              </w:rPr>
              <w:t>5</w:t>
            </w:r>
          </w:p>
        </w:tc>
        <w:tc>
          <w:tcPr>
            <w:tcW w:w="937" w:type="dxa"/>
            <w:tcBorders>
              <w:top w:val="single" w:sz="4" w:space="0" w:color="53565A" w:themeColor="accent5"/>
              <w:bottom w:val="single" w:sz="4" w:space="0" w:color="53565A" w:themeColor="accent5"/>
            </w:tcBorders>
            <w:vAlign w:val="center"/>
          </w:tcPr>
          <w:p w14:paraId="0F016BC0" w14:textId="7BC0C109"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8"/>
              </w:rPr>
              <w:t>2</w:t>
            </w:r>
          </w:p>
        </w:tc>
        <w:tc>
          <w:tcPr>
            <w:tcW w:w="1134" w:type="dxa"/>
            <w:tcBorders>
              <w:top w:val="single" w:sz="4" w:space="0" w:color="53565A" w:themeColor="accent5"/>
              <w:bottom w:val="single" w:sz="4" w:space="0" w:color="53565A" w:themeColor="accent5"/>
            </w:tcBorders>
            <w:vAlign w:val="center"/>
          </w:tcPr>
          <w:p w14:paraId="448F50E2" w14:textId="643DB04C"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491EC76A" w14:textId="432CFC80"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sz w:val="18"/>
              </w:rPr>
              <w:t>7</w:t>
            </w:r>
          </w:p>
        </w:tc>
        <w:tc>
          <w:tcPr>
            <w:tcW w:w="993" w:type="dxa"/>
            <w:tcBorders>
              <w:top w:val="single" w:sz="4" w:space="0" w:color="53565A" w:themeColor="accent5"/>
              <w:bottom w:val="single" w:sz="4" w:space="0" w:color="53565A" w:themeColor="accent5"/>
            </w:tcBorders>
            <w:shd w:val="clear" w:color="auto" w:fill="auto"/>
            <w:vAlign w:val="center"/>
          </w:tcPr>
          <w:p w14:paraId="3CD51B21" w14:textId="228C9F12"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-1</w:t>
            </w:r>
          </w:p>
        </w:tc>
        <w:tc>
          <w:tcPr>
            <w:tcW w:w="933" w:type="dxa"/>
            <w:tcBorders>
              <w:top w:val="single" w:sz="4" w:space="0" w:color="53565A" w:themeColor="accent5"/>
              <w:bottom w:val="single" w:sz="4" w:space="0" w:color="53565A" w:themeColor="accent5"/>
            </w:tcBorders>
            <w:shd w:val="clear" w:color="auto" w:fill="auto"/>
            <w:vAlign w:val="center"/>
          </w:tcPr>
          <w:p w14:paraId="567E90DC" w14:textId="4A8B7D29"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1</w:t>
            </w:r>
          </w:p>
        </w:tc>
        <w:tc>
          <w:tcPr>
            <w:tcW w:w="1134" w:type="dxa"/>
            <w:tcBorders>
              <w:top w:val="single" w:sz="4" w:space="0" w:color="53565A" w:themeColor="accent5"/>
              <w:bottom w:val="single" w:sz="4" w:space="0" w:color="53565A" w:themeColor="accent5"/>
            </w:tcBorders>
            <w:vAlign w:val="center"/>
          </w:tcPr>
          <w:p w14:paraId="508839E3" w14:textId="0D185F9D"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15219DDF" w14:textId="63C0E9E7" w:rsidR="000006AB" w:rsidRPr="005734B8" w:rsidRDefault="004D5654"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bCs/>
                <w:sz w:val="16"/>
                <w:szCs w:val="16"/>
              </w:rPr>
              <w:t>–</w:t>
            </w:r>
          </w:p>
        </w:tc>
      </w:tr>
      <w:tr w:rsidR="000006AB" w:rsidRPr="005734B8" w14:paraId="596F370E" w14:textId="77777777" w:rsidTr="004D5654">
        <w:trPr>
          <w:cantSplit/>
        </w:trPr>
        <w:tc>
          <w:tcPr>
            <w:tcW w:w="2029" w:type="dxa"/>
            <w:tcBorders>
              <w:top w:val="single" w:sz="4" w:space="0" w:color="53565A" w:themeColor="accent5"/>
              <w:bottom w:val="single" w:sz="4" w:space="0" w:color="53565A" w:themeColor="accent5"/>
            </w:tcBorders>
            <w:shd w:val="clear" w:color="auto" w:fill="auto"/>
            <w:vAlign w:val="center"/>
          </w:tcPr>
          <w:p w14:paraId="590D12C7" w14:textId="35C66350" w:rsidR="000006AB" w:rsidRPr="005734B8" w:rsidRDefault="000006AB" w:rsidP="000006AB">
            <w:pPr>
              <w:pStyle w:val="ESTablebody"/>
              <w:spacing w:beforeLines="20" w:before="48" w:afterLines="20" w:after="48"/>
              <w:rPr>
                <w:rFonts w:ascii="Calibri" w:hAnsi="Calibri" w:cs="Calibri"/>
                <w:color w:val="000000"/>
                <w:sz w:val="18"/>
              </w:rPr>
            </w:pPr>
            <w:r w:rsidRPr="005734B8">
              <w:rPr>
                <w:rFonts w:ascii="Calibri" w:hAnsi="Calibri" w:cs="Calibri"/>
                <w:color w:val="000000"/>
                <w:sz w:val="18"/>
              </w:rPr>
              <w:t>Gippsland Institute of TAFE</w:t>
            </w:r>
          </w:p>
        </w:tc>
        <w:tc>
          <w:tcPr>
            <w:tcW w:w="993" w:type="dxa"/>
            <w:tcBorders>
              <w:top w:val="single" w:sz="4" w:space="0" w:color="53565A" w:themeColor="accent5"/>
              <w:bottom w:val="single" w:sz="4" w:space="0" w:color="53565A" w:themeColor="accent5"/>
            </w:tcBorders>
            <w:vAlign w:val="center"/>
          </w:tcPr>
          <w:p w14:paraId="65963EF9" w14:textId="35AD0EF7"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42" w:type="dxa"/>
            <w:tcBorders>
              <w:top w:val="single" w:sz="4" w:space="0" w:color="53565A" w:themeColor="accent5"/>
              <w:bottom w:val="single" w:sz="4" w:space="0" w:color="53565A" w:themeColor="accent5"/>
            </w:tcBorders>
            <w:vAlign w:val="center"/>
          </w:tcPr>
          <w:p w14:paraId="4FFAB8C3" w14:textId="4B0E2FCF"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3</w:t>
            </w:r>
          </w:p>
        </w:tc>
        <w:tc>
          <w:tcPr>
            <w:tcW w:w="1134" w:type="dxa"/>
            <w:tcBorders>
              <w:top w:val="single" w:sz="4" w:space="0" w:color="53565A" w:themeColor="accent5"/>
              <w:bottom w:val="single" w:sz="4" w:space="0" w:color="53565A" w:themeColor="accent5"/>
            </w:tcBorders>
            <w:vAlign w:val="center"/>
          </w:tcPr>
          <w:p w14:paraId="608EF6AA" w14:textId="47E2315F"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6799D230" w14:textId="0FDA2E75"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color w:val="000000"/>
                <w:sz w:val="18"/>
              </w:rPr>
              <w:t>3</w:t>
            </w:r>
          </w:p>
        </w:tc>
        <w:tc>
          <w:tcPr>
            <w:tcW w:w="994" w:type="dxa"/>
            <w:tcBorders>
              <w:top w:val="single" w:sz="4" w:space="0" w:color="53565A" w:themeColor="accent5"/>
              <w:bottom w:val="single" w:sz="4" w:space="0" w:color="53565A" w:themeColor="accent5"/>
            </w:tcBorders>
            <w:vAlign w:val="center"/>
          </w:tcPr>
          <w:p w14:paraId="13217400" w14:textId="396CE5F1"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37" w:type="dxa"/>
            <w:tcBorders>
              <w:top w:val="single" w:sz="4" w:space="0" w:color="53565A" w:themeColor="accent5"/>
              <w:bottom w:val="single" w:sz="4" w:space="0" w:color="53565A" w:themeColor="accent5"/>
            </w:tcBorders>
            <w:vAlign w:val="center"/>
          </w:tcPr>
          <w:p w14:paraId="056BE172" w14:textId="4A1594DB"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8"/>
              </w:rPr>
              <w:t>3</w:t>
            </w:r>
          </w:p>
        </w:tc>
        <w:tc>
          <w:tcPr>
            <w:tcW w:w="1134" w:type="dxa"/>
            <w:tcBorders>
              <w:top w:val="single" w:sz="4" w:space="0" w:color="53565A" w:themeColor="accent5"/>
              <w:bottom w:val="single" w:sz="4" w:space="0" w:color="53565A" w:themeColor="accent5"/>
            </w:tcBorders>
            <w:vAlign w:val="center"/>
          </w:tcPr>
          <w:p w14:paraId="16B483CB" w14:textId="1D30D13E"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2630D11F" w14:textId="474A6DBA"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sz w:val="18"/>
              </w:rPr>
              <w:t>3</w:t>
            </w:r>
          </w:p>
        </w:tc>
        <w:tc>
          <w:tcPr>
            <w:tcW w:w="993" w:type="dxa"/>
            <w:tcBorders>
              <w:top w:val="single" w:sz="4" w:space="0" w:color="53565A" w:themeColor="accent5"/>
              <w:bottom w:val="single" w:sz="4" w:space="0" w:color="53565A" w:themeColor="accent5"/>
            </w:tcBorders>
            <w:shd w:val="clear" w:color="auto" w:fill="auto"/>
            <w:vAlign w:val="center"/>
          </w:tcPr>
          <w:p w14:paraId="39D36BF4" w14:textId="6B738CF0"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33" w:type="dxa"/>
            <w:tcBorders>
              <w:top w:val="single" w:sz="4" w:space="0" w:color="53565A" w:themeColor="accent5"/>
              <w:bottom w:val="single" w:sz="4" w:space="0" w:color="53565A" w:themeColor="accent5"/>
            </w:tcBorders>
            <w:shd w:val="clear" w:color="auto" w:fill="auto"/>
            <w:vAlign w:val="center"/>
          </w:tcPr>
          <w:p w14:paraId="7EE1335F" w14:textId="5D7419CD"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1134" w:type="dxa"/>
            <w:tcBorders>
              <w:top w:val="single" w:sz="4" w:space="0" w:color="53565A" w:themeColor="accent5"/>
              <w:bottom w:val="single" w:sz="4" w:space="0" w:color="53565A" w:themeColor="accent5"/>
            </w:tcBorders>
            <w:vAlign w:val="center"/>
          </w:tcPr>
          <w:p w14:paraId="207CCB82" w14:textId="02A0746F"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6E9807C6" w14:textId="1E291DA8" w:rsidR="000006AB" w:rsidRPr="005734B8" w:rsidRDefault="004D5654"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bCs/>
                <w:sz w:val="16"/>
                <w:szCs w:val="16"/>
              </w:rPr>
              <w:t>–</w:t>
            </w:r>
          </w:p>
        </w:tc>
      </w:tr>
      <w:tr w:rsidR="000006AB" w:rsidRPr="005734B8" w14:paraId="4CD78506" w14:textId="77777777" w:rsidTr="004D5654">
        <w:trPr>
          <w:cantSplit/>
        </w:trPr>
        <w:tc>
          <w:tcPr>
            <w:tcW w:w="2029" w:type="dxa"/>
            <w:tcBorders>
              <w:top w:val="single" w:sz="4" w:space="0" w:color="53565A" w:themeColor="accent5"/>
              <w:bottom w:val="single" w:sz="4" w:space="0" w:color="53565A" w:themeColor="accent5"/>
            </w:tcBorders>
            <w:shd w:val="clear" w:color="auto" w:fill="auto"/>
            <w:vAlign w:val="center"/>
          </w:tcPr>
          <w:p w14:paraId="001801B8" w14:textId="77777777" w:rsidR="000006AB" w:rsidRPr="005734B8" w:rsidRDefault="000006AB" w:rsidP="000006AB">
            <w:pPr>
              <w:pStyle w:val="ESTablebody"/>
              <w:spacing w:beforeLines="20" w:before="48" w:afterLines="20" w:after="48"/>
              <w:rPr>
                <w:rFonts w:ascii="Calibri" w:hAnsi="Calibri" w:cs="Calibri"/>
                <w:sz w:val="18"/>
              </w:rPr>
            </w:pPr>
            <w:r w:rsidRPr="005734B8">
              <w:rPr>
                <w:rFonts w:ascii="Calibri" w:hAnsi="Calibri" w:cs="Calibri"/>
                <w:color w:val="000000"/>
                <w:sz w:val="18"/>
              </w:rPr>
              <w:t>Gordon Institute of TAFE</w:t>
            </w:r>
          </w:p>
        </w:tc>
        <w:tc>
          <w:tcPr>
            <w:tcW w:w="993" w:type="dxa"/>
            <w:tcBorders>
              <w:top w:val="single" w:sz="4" w:space="0" w:color="53565A" w:themeColor="accent5"/>
              <w:bottom w:val="single" w:sz="4" w:space="0" w:color="53565A" w:themeColor="accent5"/>
            </w:tcBorders>
            <w:vAlign w:val="center"/>
          </w:tcPr>
          <w:p w14:paraId="340699A8" w14:textId="284021DF"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2</w:t>
            </w:r>
          </w:p>
        </w:tc>
        <w:tc>
          <w:tcPr>
            <w:tcW w:w="942" w:type="dxa"/>
            <w:tcBorders>
              <w:top w:val="single" w:sz="4" w:space="0" w:color="53565A" w:themeColor="accent5"/>
              <w:bottom w:val="single" w:sz="4" w:space="0" w:color="53565A" w:themeColor="accent5"/>
            </w:tcBorders>
            <w:vAlign w:val="center"/>
          </w:tcPr>
          <w:p w14:paraId="7C418324" w14:textId="741984DF"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3</w:t>
            </w:r>
          </w:p>
        </w:tc>
        <w:tc>
          <w:tcPr>
            <w:tcW w:w="1134" w:type="dxa"/>
            <w:tcBorders>
              <w:top w:val="single" w:sz="4" w:space="0" w:color="53565A" w:themeColor="accent5"/>
              <w:bottom w:val="single" w:sz="4" w:space="0" w:color="53565A" w:themeColor="accent5"/>
            </w:tcBorders>
            <w:vAlign w:val="center"/>
          </w:tcPr>
          <w:p w14:paraId="785103FF" w14:textId="758DB5CA"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57133AA8" w14:textId="4034F534"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color w:val="000000"/>
                <w:sz w:val="18"/>
              </w:rPr>
              <w:t>5</w:t>
            </w:r>
          </w:p>
        </w:tc>
        <w:tc>
          <w:tcPr>
            <w:tcW w:w="994" w:type="dxa"/>
            <w:tcBorders>
              <w:top w:val="single" w:sz="4" w:space="0" w:color="53565A" w:themeColor="accent5"/>
              <w:bottom w:val="single" w:sz="4" w:space="0" w:color="53565A" w:themeColor="accent5"/>
            </w:tcBorders>
            <w:vAlign w:val="center"/>
          </w:tcPr>
          <w:p w14:paraId="17BE23F6" w14:textId="2C92FE93"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8"/>
              </w:rPr>
              <w:t>3</w:t>
            </w:r>
          </w:p>
        </w:tc>
        <w:tc>
          <w:tcPr>
            <w:tcW w:w="937" w:type="dxa"/>
            <w:tcBorders>
              <w:top w:val="single" w:sz="4" w:space="0" w:color="53565A" w:themeColor="accent5"/>
              <w:bottom w:val="single" w:sz="4" w:space="0" w:color="53565A" w:themeColor="accent5"/>
            </w:tcBorders>
            <w:vAlign w:val="center"/>
          </w:tcPr>
          <w:p w14:paraId="7476618A" w14:textId="2B00483B"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8"/>
              </w:rPr>
              <w:t>2</w:t>
            </w:r>
          </w:p>
        </w:tc>
        <w:tc>
          <w:tcPr>
            <w:tcW w:w="1134" w:type="dxa"/>
            <w:tcBorders>
              <w:top w:val="single" w:sz="4" w:space="0" w:color="53565A" w:themeColor="accent5"/>
              <w:bottom w:val="single" w:sz="4" w:space="0" w:color="53565A" w:themeColor="accent5"/>
            </w:tcBorders>
            <w:vAlign w:val="center"/>
          </w:tcPr>
          <w:p w14:paraId="7C88EEC7" w14:textId="1C81581A"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2C3D4E0B" w14:textId="6BBCBA26"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sz w:val="18"/>
              </w:rPr>
              <w:t>5</w:t>
            </w:r>
          </w:p>
        </w:tc>
        <w:tc>
          <w:tcPr>
            <w:tcW w:w="993" w:type="dxa"/>
            <w:tcBorders>
              <w:top w:val="single" w:sz="4" w:space="0" w:color="53565A" w:themeColor="accent5"/>
              <w:bottom w:val="single" w:sz="4" w:space="0" w:color="53565A" w:themeColor="accent5"/>
            </w:tcBorders>
            <w:shd w:val="clear" w:color="auto" w:fill="auto"/>
            <w:vAlign w:val="center"/>
          </w:tcPr>
          <w:p w14:paraId="46E7B850" w14:textId="28D5154A"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-1</w:t>
            </w:r>
          </w:p>
        </w:tc>
        <w:tc>
          <w:tcPr>
            <w:tcW w:w="933" w:type="dxa"/>
            <w:tcBorders>
              <w:top w:val="single" w:sz="4" w:space="0" w:color="53565A" w:themeColor="accent5"/>
              <w:bottom w:val="single" w:sz="4" w:space="0" w:color="53565A" w:themeColor="accent5"/>
            </w:tcBorders>
            <w:shd w:val="clear" w:color="auto" w:fill="auto"/>
            <w:vAlign w:val="center"/>
          </w:tcPr>
          <w:p w14:paraId="4296B75E" w14:textId="6FF6E60D"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1</w:t>
            </w:r>
          </w:p>
        </w:tc>
        <w:tc>
          <w:tcPr>
            <w:tcW w:w="1134" w:type="dxa"/>
            <w:tcBorders>
              <w:top w:val="single" w:sz="4" w:space="0" w:color="53565A" w:themeColor="accent5"/>
              <w:bottom w:val="single" w:sz="4" w:space="0" w:color="53565A" w:themeColor="accent5"/>
            </w:tcBorders>
            <w:vAlign w:val="center"/>
          </w:tcPr>
          <w:p w14:paraId="2B0576FA" w14:textId="6086855A"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0BB228E5" w14:textId="46710841" w:rsidR="000006AB" w:rsidRPr="005734B8" w:rsidRDefault="004D5654"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bCs/>
                <w:sz w:val="16"/>
                <w:szCs w:val="16"/>
              </w:rPr>
              <w:t>–</w:t>
            </w:r>
          </w:p>
        </w:tc>
      </w:tr>
      <w:tr w:rsidR="000006AB" w:rsidRPr="005734B8" w14:paraId="5B1F0054" w14:textId="77777777" w:rsidTr="004D5654">
        <w:trPr>
          <w:cantSplit/>
        </w:trPr>
        <w:tc>
          <w:tcPr>
            <w:tcW w:w="2029" w:type="dxa"/>
            <w:tcBorders>
              <w:top w:val="single" w:sz="4" w:space="0" w:color="53565A" w:themeColor="accent5"/>
              <w:bottom w:val="single" w:sz="4" w:space="0" w:color="53565A" w:themeColor="accent5"/>
            </w:tcBorders>
            <w:shd w:val="clear" w:color="auto" w:fill="auto"/>
            <w:vAlign w:val="center"/>
          </w:tcPr>
          <w:p w14:paraId="03171AFD" w14:textId="77777777" w:rsidR="000006AB" w:rsidRPr="005734B8" w:rsidRDefault="000006AB" w:rsidP="000006AB">
            <w:pPr>
              <w:pStyle w:val="ESTablebody"/>
              <w:spacing w:beforeLines="20" w:before="48" w:afterLines="20" w:after="48"/>
              <w:rPr>
                <w:rFonts w:ascii="Calibri" w:hAnsi="Calibri" w:cs="Calibri"/>
                <w:sz w:val="18"/>
              </w:rPr>
            </w:pPr>
            <w:r w:rsidRPr="005734B8">
              <w:rPr>
                <w:rFonts w:ascii="Calibri" w:hAnsi="Calibri" w:cs="Calibri"/>
                <w:color w:val="000000"/>
                <w:sz w:val="18"/>
              </w:rPr>
              <w:t>Goulburn Ovens Institute of TAFE</w:t>
            </w:r>
          </w:p>
        </w:tc>
        <w:tc>
          <w:tcPr>
            <w:tcW w:w="993" w:type="dxa"/>
            <w:tcBorders>
              <w:top w:val="single" w:sz="4" w:space="0" w:color="53565A" w:themeColor="accent5"/>
              <w:bottom w:val="single" w:sz="4" w:space="0" w:color="53565A" w:themeColor="accent5"/>
            </w:tcBorders>
            <w:vAlign w:val="center"/>
          </w:tcPr>
          <w:p w14:paraId="28730D4A" w14:textId="3F603EDB"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2</w:t>
            </w:r>
          </w:p>
        </w:tc>
        <w:tc>
          <w:tcPr>
            <w:tcW w:w="942" w:type="dxa"/>
            <w:tcBorders>
              <w:top w:val="single" w:sz="4" w:space="0" w:color="53565A" w:themeColor="accent5"/>
              <w:bottom w:val="single" w:sz="4" w:space="0" w:color="53565A" w:themeColor="accent5"/>
            </w:tcBorders>
            <w:vAlign w:val="center"/>
          </w:tcPr>
          <w:p w14:paraId="60D19E42" w14:textId="58F496DD"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3</w:t>
            </w:r>
          </w:p>
        </w:tc>
        <w:tc>
          <w:tcPr>
            <w:tcW w:w="1134" w:type="dxa"/>
            <w:tcBorders>
              <w:top w:val="single" w:sz="4" w:space="0" w:color="53565A" w:themeColor="accent5"/>
              <w:bottom w:val="single" w:sz="4" w:space="0" w:color="53565A" w:themeColor="accent5"/>
            </w:tcBorders>
            <w:vAlign w:val="center"/>
          </w:tcPr>
          <w:p w14:paraId="64B13AAB" w14:textId="59DE32C1"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7E249326" w14:textId="4AAF964B"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color w:val="000000"/>
                <w:sz w:val="18"/>
              </w:rPr>
              <w:t>5</w:t>
            </w:r>
          </w:p>
        </w:tc>
        <w:tc>
          <w:tcPr>
            <w:tcW w:w="994" w:type="dxa"/>
            <w:tcBorders>
              <w:top w:val="single" w:sz="4" w:space="0" w:color="53565A" w:themeColor="accent5"/>
              <w:bottom w:val="single" w:sz="4" w:space="0" w:color="53565A" w:themeColor="accent5"/>
            </w:tcBorders>
            <w:vAlign w:val="center"/>
          </w:tcPr>
          <w:p w14:paraId="5C2E219F" w14:textId="6893202E"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8"/>
              </w:rPr>
              <w:t>3</w:t>
            </w:r>
          </w:p>
        </w:tc>
        <w:tc>
          <w:tcPr>
            <w:tcW w:w="937" w:type="dxa"/>
            <w:tcBorders>
              <w:top w:val="single" w:sz="4" w:space="0" w:color="53565A" w:themeColor="accent5"/>
              <w:bottom w:val="single" w:sz="4" w:space="0" w:color="53565A" w:themeColor="accent5"/>
            </w:tcBorders>
            <w:vAlign w:val="center"/>
          </w:tcPr>
          <w:p w14:paraId="70CCC4AC" w14:textId="7CD95409"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8"/>
              </w:rPr>
              <w:t>2</w:t>
            </w:r>
          </w:p>
        </w:tc>
        <w:tc>
          <w:tcPr>
            <w:tcW w:w="1134" w:type="dxa"/>
            <w:tcBorders>
              <w:top w:val="single" w:sz="4" w:space="0" w:color="53565A" w:themeColor="accent5"/>
              <w:bottom w:val="single" w:sz="4" w:space="0" w:color="53565A" w:themeColor="accent5"/>
            </w:tcBorders>
            <w:vAlign w:val="center"/>
          </w:tcPr>
          <w:p w14:paraId="7AA1FA9C" w14:textId="71A05920"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331823E4" w14:textId="2B323FF8"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sz w:val="18"/>
              </w:rPr>
              <w:t>5</w:t>
            </w:r>
          </w:p>
        </w:tc>
        <w:tc>
          <w:tcPr>
            <w:tcW w:w="993" w:type="dxa"/>
            <w:tcBorders>
              <w:top w:val="single" w:sz="4" w:space="0" w:color="53565A" w:themeColor="accent5"/>
              <w:bottom w:val="single" w:sz="4" w:space="0" w:color="53565A" w:themeColor="accent5"/>
            </w:tcBorders>
            <w:shd w:val="clear" w:color="auto" w:fill="auto"/>
            <w:vAlign w:val="center"/>
          </w:tcPr>
          <w:p w14:paraId="4025A6FD" w14:textId="080D5D21"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-1</w:t>
            </w:r>
          </w:p>
        </w:tc>
        <w:tc>
          <w:tcPr>
            <w:tcW w:w="933" w:type="dxa"/>
            <w:tcBorders>
              <w:top w:val="single" w:sz="4" w:space="0" w:color="53565A" w:themeColor="accent5"/>
              <w:bottom w:val="single" w:sz="4" w:space="0" w:color="53565A" w:themeColor="accent5"/>
            </w:tcBorders>
            <w:shd w:val="clear" w:color="auto" w:fill="auto"/>
            <w:vAlign w:val="center"/>
          </w:tcPr>
          <w:p w14:paraId="7F84047C" w14:textId="5359CD60"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1</w:t>
            </w:r>
          </w:p>
        </w:tc>
        <w:tc>
          <w:tcPr>
            <w:tcW w:w="1134" w:type="dxa"/>
            <w:tcBorders>
              <w:top w:val="single" w:sz="4" w:space="0" w:color="53565A" w:themeColor="accent5"/>
              <w:bottom w:val="single" w:sz="4" w:space="0" w:color="53565A" w:themeColor="accent5"/>
            </w:tcBorders>
            <w:vAlign w:val="center"/>
          </w:tcPr>
          <w:p w14:paraId="06ACFB51" w14:textId="358D332B"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3532060D" w14:textId="08AEBC6F" w:rsidR="000006AB" w:rsidRPr="005734B8" w:rsidRDefault="004D5654"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bCs/>
                <w:sz w:val="16"/>
                <w:szCs w:val="16"/>
              </w:rPr>
              <w:t>–</w:t>
            </w:r>
          </w:p>
        </w:tc>
      </w:tr>
      <w:tr w:rsidR="000006AB" w:rsidRPr="005734B8" w14:paraId="4A3306A9" w14:textId="77777777" w:rsidTr="004D5654">
        <w:trPr>
          <w:cantSplit/>
        </w:trPr>
        <w:tc>
          <w:tcPr>
            <w:tcW w:w="2029" w:type="dxa"/>
            <w:tcBorders>
              <w:top w:val="single" w:sz="4" w:space="0" w:color="53565A" w:themeColor="accent5"/>
              <w:bottom w:val="single" w:sz="4" w:space="0" w:color="53565A" w:themeColor="accent5"/>
            </w:tcBorders>
            <w:shd w:val="clear" w:color="auto" w:fill="auto"/>
            <w:vAlign w:val="center"/>
          </w:tcPr>
          <w:p w14:paraId="4F5C8E07" w14:textId="77777777" w:rsidR="000006AB" w:rsidRPr="005734B8" w:rsidRDefault="000006AB" w:rsidP="000006AB">
            <w:pPr>
              <w:pStyle w:val="ESTablebody"/>
              <w:spacing w:beforeLines="20" w:before="48" w:afterLines="20" w:after="48"/>
              <w:rPr>
                <w:rFonts w:ascii="Calibri" w:hAnsi="Calibri" w:cs="Calibri"/>
                <w:sz w:val="18"/>
              </w:rPr>
            </w:pPr>
            <w:r w:rsidRPr="005734B8">
              <w:rPr>
                <w:rFonts w:ascii="Calibri" w:hAnsi="Calibri" w:cs="Calibri"/>
                <w:color w:val="000000"/>
                <w:sz w:val="18"/>
              </w:rPr>
              <w:t>Holmesglen Institute</w:t>
            </w:r>
          </w:p>
        </w:tc>
        <w:tc>
          <w:tcPr>
            <w:tcW w:w="993" w:type="dxa"/>
            <w:tcBorders>
              <w:top w:val="single" w:sz="4" w:space="0" w:color="53565A" w:themeColor="accent5"/>
              <w:bottom w:val="single" w:sz="4" w:space="0" w:color="53565A" w:themeColor="accent5"/>
            </w:tcBorders>
            <w:vAlign w:val="center"/>
          </w:tcPr>
          <w:p w14:paraId="2CC17185" w14:textId="6A581F0A"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6</w:t>
            </w:r>
          </w:p>
        </w:tc>
        <w:tc>
          <w:tcPr>
            <w:tcW w:w="942" w:type="dxa"/>
            <w:tcBorders>
              <w:top w:val="single" w:sz="4" w:space="0" w:color="53565A" w:themeColor="accent5"/>
              <w:bottom w:val="single" w:sz="4" w:space="0" w:color="53565A" w:themeColor="accent5"/>
            </w:tcBorders>
            <w:vAlign w:val="center"/>
          </w:tcPr>
          <w:p w14:paraId="142CC007" w14:textId="25DA7314"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4</w:t>
            </w:r>
          </w:p>
        </w:tc>
        <w:tc>
          <w:tcPr>
            <w:tcW w:w="1134" w:type="dxa"/>
            <w:tcBorders>
              <w:top w:val="single" w:sz="4" w:space="0" w:color="53565A" w:themeColor="accent5"/>
              <w:bottom w:val="single" w:sz="4" w:space="0" w:color="53565A" w:themeColor="accent5"/>
            </w:tcBorders>
            <w:vAlign w:val="center"/>
          </w:tcPr>
          <w:p w14:paraId="13CF95AD" w14:textId="18BE29FE"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1DADCC1E" w14:textId="4D25A33F"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color w:val="000000"/>
                <w:sz w:val="18"/>
              </w:rPr>
              <w:t>10</w:t>
            </w:r>
          </w:p>
        </w:tc>
        <w:tc>
          <w:tcPr>
            <w:tcW w:w="994" w:type="dxa"/>
            <w:tcBorders>
              <w:top w:val="single" w:sz="4" w:space="0" w:color="53565A" w:themeColor="accent5"/>
              <w:bottom w:val="single" w:sz="4" w:space="0" w:color="53565A" w:themeColor="accent5"/>
            </w:tcBorders>
            <w:vAlign w:val="center"/>
          </w:tcPr>
          <w:p w14:paraId="2F7C4C34" w14:textId="6CDE0F54"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8"/>
              </w:rPr>
              <w:t>8</w:t>
            </w:r>
          </w:p>
        </w:tc>
        <w:tc>
          <w:tcPr>
            <w:tcW w:w="937" w:type="dxa"/>
            <w:tcBorders>
              <w:top w:val="single" w:sz="4" w:space="0" w:color="53565A" w:themeColor="accent5"/>
              <w:bottom w:val="single" w:sz="4" w:space="0" w:color="53565A" w:themeColor="accent5"/>
            </w:tcBorders>
            <w:vAlign w:val="center"/>
          </w:tcPr>
          <w:p w14:paraId="4E842E4C" w14:textId="464024E9"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8"/>
              </w:rPr>
              <w:t>4</w:t>
            </w:r>
          </w:p>
        </w:tc>
        <w:tc>
          <w:tcPr>
            <w:tcW w:w="1134" w:type="dxa"/>
            <w:tcBorders>
              <w:top w:val="single" w:sz="4" w:space="0" w:color="53565A" w:themeColor="accent5"/>
              <w:bottom w:val="single" w:sz="4" w:space="0" w:color="53565A" w:themeColor="accent5"/>
            </w:tcBorders>
            <w:vAlign w:val="center"/>
          </w:tcPr>
          <w:p w14:paraId="3FF0F76C" w14:textId="0FBA2C4E"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1A50AD99" w14:textId="6A51A30E"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sz w:val="18"/>
              </w:rPr>
              <w:t>12</w:t>
            </w:r>
          </w:p>
        </w:tc>
        <w:tc>
          <w:tcPr>
            <w:tcW w:w="993" w:type="dxa"/>
            <w:tcBorders>
              <w:top w:val="single" w:sz="4" w:space="0" w:color="53565A" w:themeColor="accent5"/>
              <w:bottom w:val="single" w:sz="4" w:space="0" w:color="53565A" w:themeColor="accent5"/>
            </w:tcBorders>
            <w:shd w:val="clear" w:color="auto" w:fill="auto"/>
            <w:vAlign w:val="center"/>
          </w:tcPr>
          <w:p w14:paraId="24208560" w14:textId="21BF61D2"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-2</w:t>
            </w:r>
          </w:p>
        </w:tc>
        <w:tc>
          <w:tcPr>
            <w:tcW w:w="933" w:type="dxa"/>
            <w:tcBorders>
              <w:top w:val="single" w:sz="4" w:space="0" w:color="53565A" w:themeColor="accent5"/>
              <w:bottom w:val="single" w:sz="4" w:space="0" w:color="53565A" w:themeColor="accent5"/>
            </w:tcBorders>
            <w:shd w:val="clear" w:color="auto" w:fill="auto"/>
            <w:vAlign w:val="center"/>
          </w:tcPr>
          <w:p w14:paraId="0EA96F99" w14:textId="5E9FD8E2"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1134" w:type="dxa"/>
            <w:tcBorders>
              <w:top w:val="single" w:sz="4" w:space="0" w:color="53565A" w:themeColor="accent5"/>
              <w:bottom w:val="single" w:sz="4" w:space="0" w:color="53565A" w:themeColor="accent5"/>
            </w:tcBorders>
            <w:vAlign w:val="center"/>
          </w:tcPr>
          <w:p w14:paraId="152AEB25" w14:textId="261FE688"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2A8BA483" w14:textId="0B38794D"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color w:val="000000"/>
                <w:sz w:val="18"/>
              </w:rPr>
              <w:t>-2</w:t>
            </w:r>
          </w:p>
        </w:tc>
      </w:tr>
      <w:tr w:rsidR="000006AB" w:rsidRPr="005734B8" w14:paraId="4CD928E0" w14:textId="77777777" w:rsidTr="004D5654">
        <w:trPr>
          <w:cantSplit/>
        </w:trPr>
        <w:tc>
          <w:tcPr>
            <w:tcW w:w="2029" w:type="dxa"/>
            <w:tcBorders>
              <w:top w:val="single" w:sz="4" w:space="0" w:color="53565A" w:themeColor="accent5"/>
              <w:bottom w:val="single" w:sz="4" w:space="0" w:color="53565A" w:themeColor="accent5"/>
            </w:tcBorders>
            <w:shd w:val="clear" w:color="auto" w:fill="auto"/>
            <w:vAlign w:val="center"/>
          </w:tcPr>
          <w:p w14:paraId="22936FC4" w14:textId="77777777" w:rsidR="000006AB" w:rsidRPr="005734B8" w:rsidRDefault="000006AB" w:rsidP="000006AB">
            <w:pPr>
              <w:pStyle w:val="ESTablebody"/>
              <w:spacing w:beforeLines="20" w:before="48" w:afterLines="20" w:after="48"/>
              <w:rPr>
                <w:rFonts w:ascii="Calibri" w:hAnsi="Calibri" w:cs="Calibri"/>
                <w:sz w:val="18"/>
              </w:rPr>
            </w:pPr>
            <w:r w:rsidRPr="005734B8">
              <w:rPr>
                <w:rFonts w:ascii="Calibri" w:hAnsi="Calibri" w:cs="Calibri"/>
                <w:sz w:val="18"/>
              </w:rPr>
              <w:t>Melbourne Polytechnic</w:t>
            </w:r>
          </w:p>
        </w:tc>
        <w:tc>
          <w:tcPr>
            <w:tcW w:w="993" w:type="dxa"/>
            <w:tcBorders>
              <w:top w:val="single" w:sz="4" w:space="0" w:color="53565A" w:themeColor="accent5"/>
              <w:bottom w:val="single" w:sz="4" w:space="0" w:color="53565A" w:themeColor="accent5"/>
            </w:tcBorders>
            <w:vAlign w:val="center"/>
          </w:tcPr>
          <w:p w14:paraId="0D337B09" w14:textId="51ABA769"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4</w:t>
            </w:r>
          </w:p>
        </w:tc>
        <w:tc>
          <w:tcPr>
            <w:tcW w:w="942" w:type="dxa"/>
            <w:tcBorders>
              <w:top w:val="single" w:sz="4" w:space="0" w:color="53565A" w:themeColor="accent5"/>
              <w:bottom w:val="single" w:sz="4" w:space="0" w:color="53565A" w:themeColor="accent5"/>
            </w:tcBorders>
            <w:vAlign w:val="center"/>
          </w:tcPr>
          <w:p w14:paraId="0B03D107" w14:textId="1409F94A"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8</w:t>
            </w:r>
          </w:p>
        </w:tc>
        <w:tc>
          <w:tcPr>
            <w:tcW w:w="1134" w:type="dxa"/>
            <w:tcBorders>
              <w:top w:val="single" w:sz="4" w:space="0" w:color="53565A" w:themeColor="accent5"/>
              <w:bottom w:val="single" w:sz="4" w:space="0" w:color="53565A" w:themeColor="accent5"/>
            </w:tcBorders>
            <w:vAlign w:val="center"/>
          </w:tcPr>
          <w:p w14:paraId="2C76BB55" w14:textId="6E227F4A"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61FD71C9" w14:textId="37F48639"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color w:val="000000"/>
                <w:sz w:val="18"/>
              </w:rPr>
              <w:t>12</w:t>
            </w:r>
          </w:p>
        </w:tc>
        <w:tc>
          <w:tcPr>
            <w:tcW w:w="994" w:type="dxa"/>
            <w:tcBorders>
              <w:top w:val="single" w:sz="4" w:space="0" w:color="53565A" w:themeColor="accent5"/>
              <w:bottom w:val="single" w:sz="4" w:space="0" w:color="53565A" w:themeColor="accent5"/>
            </w:tcBorders>
            <w:vAlign w:val="center"/>
          </w:tcPr>
          <w:p w14:paraId="530317EA" w14:textId="07B1AFF7"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8"/>
              </w:rPr>
              <w:t>5</w:t>
            </w:r>
          </w:p>
        </w:tc>
        <w:tc>
          <w:tcPr>
            <w:tcW w:w="937" w:type="dxa"/>
            <w:tcBorders>
              <w:top w:val="single" w:sz="4" w:space="0" w:color="53565A" w:themeColor="accent5"/>
              <w:bottom w:val="single" w:sz="4" w:space="0" w:color="53565A" w:themeColor="accent5"/>
            </w:tcBorders>
            <w:vAlign w:val="center"/>
          </w:tcPr>
          <w:p w14:paraId="38B95B6D" w14:textId="297EE859"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8"/>
              </w:rPr>
              <w:t>9</w:t>
            </w:r>
          </w:p>
        </w:tc>
        <w:tc>
          <w:tcPr>
            <w:tcW w:w="1134" w:type="dxa"/>
            <w:tcBorders>
              <w:top w:val="single" w:sz="4" w:space="0" w:color="53565A" w:themeColor="accent5"/>
              <w:bottom w:val="single" w:sz="4" w:space="0" w:color="53565A" w:themeColor="accent5"/>
            </w:tcBorders>
            <w:vAlign w:val="center"/>
          </w:tcPr>
          <w:p w14:paraId="39F54242" w14:textId="351435B0"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10FBB9C4" w14:textId="71A0FEA8"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sz w:val="18"/>
              </w:rPr>
              <w:t>14</w:t>
            </w:r>
          </w:p>
        </w:tc>
        <w:tc>
          <w:tcPr>
            <w:tcW w:w="993" w:type="dxa"/>
            <w:tcBorders>
              <w:top w:val="single" w:sz="4" w:space="0" w:color="53565A" w:themeColor="accent5"/>
              <w:bottom w:val="single" w:sz="4" w:space="0" w:color="53565A" w:themeColor="accent5"/>
            </w:tcBorders>
            <w:shd w:val="clear" w:color="auto" w:fill="auto"/>
            <w:vAlign w:val="center"/>
          </w:tcPr>
          <w:p w14:paraId="24125B3D" w14:textId="31DF7438"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-1</w:t>
            </w:r>
          </w:p>
        </w:tc>
        <w:tc>
          <w:tcPr>
            <w:tcW w:w="933" w:type="dxa"/>
            <w:tcBorders>
              <w:top w:val="single" w:sz="4" w:space="0" w:color="53565A" w:themeColor="accent5"/>
              <w:bottom w:val="single" w:sz="4" w:space="0" w:color="53565A" w:themeColor="accent5"/>
            </w:tcBorders>
            <w:shd w:val="clear" w:color="auto" w:fill="auto"/>
            <w:vAlign w:val="center"/>
          </w:tcPr>
          <w:p w14:paraId="6F42EE20" w14:textId="1C0AAEE3"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-1</w:t>
            </w:r>
          </w:p>
        </w:tc>
        <w:tc>
          <w:tcPr>
            <w:tcW w:w="1134" w:type="dxa"/>
            <w:tcBorders>
              <w:top w:val="single" w:sz="4" w:space="0" w:color="53565A" w:themeColor="accent5"/>
              <w:bottom w:val="single" w:sz="4" w:space="0" w:color="53565A" w:themeColor="accent5"/>
            </w:tcBorders>
            <w:vAlign w:val="center"/>
          </w:tcPr>
          <w:p w14:paraId="75B63FF3" w14:textId="78CD3E30"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6BC05711" w14:textId="546F6E65"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color w:val="000000"/>
                <w:sz w:val="18"/>
              </w:rPr>
              <w:t>-2</w:t>
            </w:r>
          </w:p>
        </w:tc>
      </w:tr>
      <w:tr w:rsidR="000006AB" w:rsidRPr="005734B8" w14:paraId="2C02787A" w14:textId="77777777" w:rsidTr="004D5654">
        <w:trPr>
          <w:cantSplit/>
        </w:trPr>
        <w:tc>
          <w:tcPr>
            <w:tcW w:w="2029" w:type="dxa"/>
            <w:tcBorders>
              <w:top w:val="single" w:sz="4" w:space="0" w:color="53565A" w:themeColor="accent5"/>
              <w:bottom w:val="single" w:sz="4" w:space="0" w:color="53565A" w:themeColor="accent5"/>
            </w:tcBorders>
            <w:shd w:val="clear" w:color="auto" w:fill="auto"/>
            <w:vAlign w:val="center"/>
          </w:tcPr>
          <w:p w14:paraId="42020366" w14:textId="77777777" w:rsidR="000006AB" w:rsidRPr="005734B8" w:rsidRDefault="000006AB" w:rsidP="000006AB">
            <w:pPr>
              <w:pStyle w:val="ESTablebody"/>
              <w:spacing w:beforeLines="20" w:before="48" w:afterLines="20" w:after="48"/>
              <w:rPr>
                <w:rFonts w:ascii="Calibri" w:hAnsi="Calibri" w:cs="Calibri"/>
                <w:sz w:val="18"/>
              </w:rPr>
            </w:pPr>
            <w:r w:rsidRPr="005734B8">
              <w:rPr>
                <w:rFonts w:ascii="Calibri" w:hAnsi="Calibri" w:cs="Calibri"/>
                <w:color w:val="000000"/>
                <w:sz w:val="18"/>
              </w:rPr>
              <w:t>South West Institute of TAFE</w:t>
            </w:r>
          </w:p>
        </w:tc>
        <w:tc>
          <w:tcPr>
            <w:tcW w:w="993" w:type="dxa"/>
            <w:tcBorders>
              <w:top w:val="single" w:sz="4" w:space="0" w:color="53565A" w:themeColor="accent5"/>
              <w:bottom w:val="single" w:sz="4" w:space="0" w:color="53565A" w:themeColor="accent5"/>
            </w:tcBorders>
            <w:vAlign w:val="center"/>
          </w:tcPr>
          <w:p w14:paraId="62493AB7" w14:textId="1F6B212E"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42" w:type="dxa"/>
            <w:tcBorders>
              <w:top w:val="single" w:sz="4" w:space="0" w:color="53565A" w:themeColor="accent5"/>
              <w:bottom w:val="single" w:sz="4" w:space="0" w:color="53565A" w:themeColor="accent5"/>
            </w:tcBorders>
            <w:vAlign w:val="center"/>
          </w:tcPr>
          <w:p w14:paraId="2E5E7671" w14:textId="5AE01888"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1</w:t>
            </w:r>
          </w:p>
        </w:tc>
        <w:tc>
          <w:tcPr>
            <w:tcW w:w="1134" w:type="dxa"/>
            <w:tcBorders>
              <w:top w:val="single" w:sz="4" w:space="0" w:color="53565A" w:themeColor="accent5"/>
              <w:bottom w:val="single" w:sz="4" w:space="0" w:color="53565A" w:themeColor="accent5"/>
            </w:tcBorders>
            <w:vAlign w:val="center"/>
          </w:tcPr>
          <w:p w14:paraId="78F29F78" w14:textId="3763D7B4"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0EDCB74E" w14:textId="3ACE067C"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color w:val="000000"/>
                <w:sz w:val="18"/>
              </w:rPr>
              <w:t>1</w:t>
            </w:r>
          </w:p>
        </w:tc>
        <w:tc>
          <w:tcPr>
            <w:tcW w:w="994" w:type="dxa"/>
            <w:tcBorders>
              <w:top w:val="single" w:sz="4" w:space="0" w:color="53565A" w:themeColor="accent5"/>
              <w:bottom w:val="single" w:sz="4" w:space="0" w:color="53565A" w:themeColor="accent5"/>
            </w:tcBorders>
            <w:vAlign w:val="center"/>
          </w:tcPr>
          <w:p w14:paraId="4470F6CA" w14:textId="23CE95AE"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37" w:type="dxa"/>
            <w:tcBorders>
              <w:top w:val="single" w:sz="4" w:space="0" w:color="53565A" w:themeColor="accent5"/>
              <w:bottom w:val="single" w:sz="4" w:space="0" w:color="53565A" w:themeColor="accent5"/>
            </w:tcBorders>
            <w:vAlign w:val="center"/>
          </w:tcPr>
          <w:p w14:paraId="3CB879DA" w14:textId="721F2DA4"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8"/>
              </w:rPr>
              <w:t>1</w:t>
            </w:r>
          </w:p>
        </w:tc>
        <w:tc>
          <w:tcPr>
            <w:tcW w:w="1134" w:type="dxa"/>
            <w:tcBorders>
              <w:top w:val="single" w:sz="4" w:space="0" w:color="53565A" w:themeColor="accent5"/>
              <w:bottom w:val="single" w:sz="4" w:space="0" w:color="53565A" w:themeColor="accent5"/>
            </w:tcBorders>
            <w:vAlign w:val="center"/>
          </w:tcPr>
          <w:p w14:paraId="0C276B34" w14:textId="6BD98D3E"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5F48568C" w14:textId="7243C2E3"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sz w:val="18"/>
              </w:rPr>
              <w:t>1</w:t>
            </w:r>
          </w:p>
        </w:tc>
        <w:tc>
          <w:tcPr>
            <w:tcW w:w="993" w:type="dxa"/>
            <w:tcBorders>
              <w:top w:val="single" w:sz="4" w:space="0" w:color="53565A" w:themeColor="accent5"/>
              <w:bottom w:val="single" w:sz="4" w:space="0" w:color="53565A" w:themeColor="accent5"/>
            </w:tcBorders>
            <w:shd w:val="clear" w:color="auto" w:fill="auto"/>
            <w:vAlign w:val="center"/>
          </w:tcPr>
          <w:p w14:paraId="752D1C96" w14:textId="5A6E989E"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33" w:type="dxa"/>
            <w:tcBorders>
              <w:top w:val="single" w:sz="4" w:space="0" w:color="53565A" w:themeColor="accent5"/>
              <w:bottom w:val="single" w:sz="4" w:space="0" w:color="53565A" w:themeColor="accent5"/>
            </w:tcBorders>
            <w:shd w:val="clear" w:color="auto" w:fill="auto"/>
            <w:vAlign w:val="center"/>
          </w:tcPr>
          <w:p w14:paraId="5EAE9DA0" w14:textId="37BBE22B"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1134" w:type="dxa"/>
            <w:tcBorders>
              <w:top w:val="single" w:sz="4" w:space="0" w:color="53565A" w:themeColor="accent5"/>
              <w:bottom w:val="single" w:sz="4" w:space="0" w:color="53565A" w:themeColor="accent5"/>
            </w:tcBorders>
            <w:vAlign w:val="center"/>
          </w:tcPr>
          <w:p w14:paraId="6BE1FC22" w14:textId="11738E80"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57928B9A" w14:textId="6ED525BA" w:rsidR="000006AB" w:rsidRPr="005734B8" w:rsidRDefault="004D5654"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bCs/>
                <w:sz w:val="16"/>
                <w:szCs w:val="16"/>
              </w:rPr>
              <w:t>–</w:t>
            </w:r>
          </w:p>
        </w:tc>
      </w:tr>
      <w:tr w:rsidR="000006AB" w:rsidRPr="005734B8" w14:paraId="564D711B" w14:textId="77777777" w:rsidTr="004D5654">
        <w:trPr>
          <w:cantSplit/>
        </w:trPr>
        <w:tc>
          <w:tcPr>
            <w:tcW w:w="2029" w:type="dxa"/>
            <w:tcBorders>
              <w:top w:val="single" w:sz="4" w:space="0" w:color="53565A" w:themeColor="accent5"/>
              <w:bottom w:val="single" w:sz="4" w:space="0" w:color="53565A" w:themeColor="accent5"/>
            </w:tcBorders>
            <w:shd w:val="clear" w:color="auto" w:fill="auto"/>
            <w:vAlign w:val="center"/>
          </w:tcPr>
          <w:p w14:paraId="75D49883" w14:textId="77777777" w:rsidR="000006AB" w:rsidRPr="005734B8" w:rsidRDefault="000006AB" w:rsidP="000006AB">
            <w:pPr>
              <w:pStyle w:val="ESTablebody"/>
              <w:spacing w:beforeLines="20" w:before="48" w:afterLines="20" w:after="48"/>
              <w:rPr>
                <w:rFonts w:ascii="Calibri" w:hAnsi="Calibri" w:cs="Calibri"/>
                <w:sz w:val="18"/>
              </w:rPr>
            </w:pPr>
            <w:r w:rsidRPr="005734B8">
              <w:rPr>
                <w:rFonts w:ascii="Calibri" w:hAnsi="Calibri" w:cs="Calibri"/>
                <w:color w:val="000000"/>
                <w:sz w:val="18"/>
              </w:rPr>
              <w:t>Sunraysia Institute of TAFE</w:t>
            </w:r>
          </w:p>
        </w:tc>
        <w:tc>
          <w:tcPr>
            <w:tcW w:w="993" w:type="dxa"/>
            <w:tcBorders>
              <w:top w:val="single" w:sz="4" w:space="0" w:color="53565A" w:themeColor="accent5"/>
              <w:bottom w:val="single" w:sz="4" w:space="0" w:color="53565A" w:themeColor="accent5"/>
            </w:tcBorders>
            <w:vAlign w:val="center"/>
          </w:tcPr>
          <w:p w14:paraId="77EBE2A1" w14:textId="3BA39F74"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42" w:type="dxa"/>
            <w:tcBorders>
              <w:top w:val="single" w:sz="4" w:space="0" w:color="53565A" w:themeColor="accent5"/>
              <w:bottom w:val="single" w:sz="4" w:space="0" w:color="53565A" w:themeColor="accent5"/>
            </w:tcBorders>
            <w:vAlign w:val="center"/>
          </w:tcPr>
          <w:p w14:paraId="2F62433C" w14:textId="621A0168"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1</w:t>
            </w:r>
          </w:p>
        </w:tc>
        <w:tc>
          <w:tcPr>
            <w:tcW w:w="1134" w:type="dxa"/>
            <w:tcBorders>
              <w:top w:val="single" w:sz="4" w:space="0" w:color="53565A" w:themeColor="accent5"/>
              <w:bottom w:val="single" w:sz="4" w:space="0" w:color="53565A" w:themeColor="accent5"/>
            </w:tcBorders>
            <w:vAlign w:val="center"/>
          </w:tcPr>
          <w:p w14:paraId="67BA1B4D" w14:textId="7D714570"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69B65640" w14:textId="0CDB8B5B"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color w:val="000000"/>
                <w:sz w:val="18"/>
              </w:rPr>
              <w:t>1</w:t>
            </w:r>
          </w:p>
        </w:tc>
        <w:tc>
          <w:tcPr>
            <w:tcW w:w="994" w:type="dxa"/>
            <w:tcBorders>
              <w:top w:val="single" w:sz="4" w:space="0" w:color="53565A" w:themeColor="accent5"/>
              <w:bottom w:val="single" w:sz="4" w:space="0" w:color="53565A" w:themeColor="accent5"/>
            </w:tcBorders>
            <w:vAlign w:val="center"/>
          </w:tcPr>
          <w:p w14:paraId="1317CA11" w14:textId="0608DA49"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37" w:type="dxa"/>
            <w:tcBorders>
              <w:top w:val="single" w:sz="4" w:space="0" w:color="53565A" w:themeColor="accent5"/>
              <w:bottom w:val="single" w:sz="4" w:space="0" w:color="53565A" w:themeColor="accent5"/>
            </w:tcBorders>
            <w:vAlign w:val="center"/>
          </w:tcPr>
          <w:p w14:paraId="12AFA879" w14:textId="11C53D49"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8"/>
              </w:rPr>
              <w:t>1</w:t>
            </w:r>
          </w:p>
        </w:tc>
        <w:tc>
          <w:tcPr>
            <w:tcW w:w="1134" w:type="dxa"/>
            <w:tcBorders>
              <w:top w:val="single" w:sz="4" w:space="0" w:color="53565A" w:themeColor="accent5"/>
              <w:bottom w:val="single" w:sz="4" w:space="0" w:color="53565A" w:themeColor="accent5"/>
            </w:tcBorders>
            <w:vAlign w:val="center"/>
          </w:tcPr>
          <w:p w14:paraId="77DEE991" w14:textId="3B43B510"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3DB3680C" w14:textId="72A0E86D"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sz w:val="18"/>
              </w:rPr>
              <w:t>1</w:t>
            </w:r>
          </w:p>
        </w:tc>
        <w:tc>
          <w:tcPr>
            <w:tcW w:w="993" w:type="dxa"/>
            <w:tcBorders>
              <w:top w:val="single" w:sz="4" w:space="0" w:color="53565A" w:themeColor="accent5"/>
              <w:bottom w:val="single" w:sz="4" w:space="0" w:color="53565A" w:themeColor="accent5"/>
            </w:tcBorders>
            <w:shd w:val="clear" w:color="auto" w:fill="auto"/>
            <w:vAlign w:val="center"/>
          </w:tcPr>
          <w:p w14:paraId="26AB5E51" w14:textId="759174E0"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33" w:type="dxa"/>
            <w:tcBorders>
              <w:top w:val="single" w:sz="4" w:space="0" w:color="53565A" w:themeColor="accent5"/>
              <w:bottom w:val="single" w:sz="4" w:space="0" w:color="53565A" w:themeColor="accent5"/>
            </w:tcBorders>
            <w:shd w:val="clear" w:color="auto" w:fill="auto"/>
            <w:vAlign w:val="center"/>
          </w:tcPr>
          <w:p w14:paraId="174E079E" w14:textId="61095AEC"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1134" w:type="dxa"/>
            <w:tcBorders>
              <w:top w:val="single" w:sz="4" w:space="0" w:color="53565A" w:themeColor="accent5"/>
              <w:bottom w:val="single" w:sz="4" w:space="0" w:color="53565A" w:themeColor="accent5"/>
            </w:tcBorders>
            <w:vAlign w:val="center"/>
          </w:tcPr>
          <w:p w14:paraId="27870919" w14:textId="27197F5B"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0274CF9D" w14:textId="076C663C" w:rsidR="000006AB" w:rsidRPr="005734B8" w:rsidRDefault="004D5654"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bCs/>
                <w:sz w:val="16"/>
                <w:szCs w:val="16"/>
              </w:rPr>
              <w:t>–</w:t>
            </w:r>
          </w:p>
        </w:tc>
      </w:tr>
      <w:tr w:rsidR="000006AB" w:rsidRPr="005734B8" w14:paraId="0DA4DD85" w14:textId="77777777" w:rsidTr="004D5654">
        <w:trPr>
          <w:cantSplit/>
        </w:trPr>
        <w:tc>
          <w:tcPr>
            <w:tcW w:w="2029" w:type="dxa"/>
            <w:tcBorders>
              <w:top w:val="single" w:sz="4" w:space="0" w:color="53565A" w:themeColor="accent5"/>
              <w:bottom w:val="single" w:sz="4" w:space="0" w:color="53565A" w:themeColor="accent5"/>
            </w:tcBorders>
            <w:shd w:val="clear" w:color="auto" w:fill="auto"/>
            <w:vAlign w:val="center"/>
          </w:tcPr>
          <w:p w14:paraId="73F9060E" w14:textId="77777777" w:rsidR="000006AB" w:rsidRPr="005734B8" w:rsidRDefault="000006AB" w:rsidP="000006AB">
            <w:pPr>
              <w:pStyle w:val="ESTablebody"/>
              <w:spacing w:beforeLines="20" w:before="48" w:afterLines="20" w:after="48"/>
              <w:rPr>
                <w:rFonts w:ascii="Calibri" w:hAnsi="Calibri" w:cs="Calibri"/>
                <w:sz w:val="18"/>
              </w:rPr>
            </w:pPr>
            <w:r w:rsidRPr="005734B8">
              <w:rPr>
                <w:rFonts w:ascii="Calibri" w:hAnsi="Calibri" w:cs="Calibri"/>
                <w:color w:val="000000"/>
                <w:sz w:val="18"/>
              </w:rPr>
              <w:t>VET Development Centre</w:t>
            </w:r>
          </w:p>
        </w:tc>
        <w:tc>
          <w:tcPr>
            <w:tcW w:w="993" w:type="dxa"/>
            <w:tcBorders>
              <w:top w:val="single" w:sz="4" w:space="0" w:color="53565A" w:themeColor="accent5"/>
              <w:bottom w:val="single" w:sz="4" w:space="0" w:color="53565A" w:themeColor="accent5"/>
            </w:tcBorders>
            <w:vAlign w:val="center"/>
          </w:tcPr>
          <w:p w14:paraId="336A317C" w14:textId="3382AC94"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42" w:type="dxa"/>
            <w:tcBorders>
              <w:top w:val="single" w:sz="4" w:space="0" w:color="53565A" w:themeColor="accent5"/>
              <w:bottom w:val="single" w:sz="4" w:space="0" w:color="53565A" w:themeColor="accent5"/>
            </w:tcBorders>
            <w:vAlign w:val="center"/>
          </w:tcPr>
          <w:p w14:paraId="0BF93931" w14:textId="1AB4D11E"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1</w:t>
            </w:r>
          </w:p>
        </w:tc>
        <w:tc>
          <w:tcPr>
            <w:tcW w:w="1134" w:type="dxa"/>
            <w:tcBorders>
              <w:top w:val="single" w:sz="4" w:space="0" w:color="53565A" w:themeColor="accent5"/>
              <w:bottom w:val="single" w:sz="4" w:space="0" w:color="53565A" w:themeColor="accent5"/>
            </w:tcBorders>
            <w:vAlign w:val="center"/>
          </w:tcPr>
          <w:p w14:paraId="7313C9CA" w14:textId="7B03A0D0"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5931450A" w14:textId="5D7DE066"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color w:val="000000"/>
                <w:sz w:val="18"/>
              </w:rPr>
              <w:t>1</w:t>
            </w:r>
          </w:p>
        </w:tc>
        <w:tc>
          <w:tcPr>
            <w:tcW w:w="994" w:type="dxa"/>
            <w:tcBorders>
              <w:top w:val="single" w:sz="4" w:space="0" w:color="53565A" w:themeColor="accent5"/>
              <w:bottom w:val="single" w:sz="4" w:space="0" w:color="53565A" w:themeColor="accent5"/>
            </w:tcBorders>
            <w:vAlign w:val="center"/>
          </w:tcPr>
          <w:p w14:paraId="523277CF" w14:textId="6130E5B0"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37" w:type="dxa"/>
            <w:tcBorders>
              <w:top w:val="single" w:sz="4" w:space="0" w:color="53565A" w:themeColor="accent5"/>
              <w:bottom w:val="single" w:sz="4" w:space="0" w:color="53565A" w:themeColor="accent5"/>
            </w:tcBorders>
            <w:vAlign w:val="center"/>
          </w:tcPr>
          <w:p w14:paraId="752B1E9B" w14:textId="4B50C655"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8"/>
              </w:rPr>
              <w:t>1</w:t>
            </w:r>
          </w:p>
        </w:tc>
        <w:tc>
          <w:tcPr>
            <w:tcW w:w="1134" w:type="dxa"/>
            <w:tcBorders>
              <w:top w:val="single" w:sz="4" w:space="0" w:color="53565A" w:themeColor="accent5"/>
              <w:bottom w:val="single" w:sz="4" w:space="0" w:color="53565A" w:themeColor="accent5"/>
            </w:tcBorders>
            <w:vAlign w:val="center"/>
          </w:tcPr>
          <w:p w14:paraId="12421B6B" w14:textId="44C521F7"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0D229C22" w14:textId="1F146556"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sz w:val="18"/>
              </w:rPr>
              <w:t>1</w:t>
            </w:r>
          </w:p>
        </w:tc>
        <w:tc>
          <w:tcPr>
            <w:tcW w:w="993" w:type="dxa"/>
            <w:tcBorders>
              <w:top w:val="single" w:sz="4" w:space="0" w:color="53565A" w:themeColor="accent5"/>
              <w:bottom w:val="single" w:sz="4" w:space="0" w:color="53565A" w:themeColor="accent5"/>
            </w:tcBorders>
            <w:shd w:val="clear" w:color="auto" w:fill="auto"/>
            <w:vAlign w:val="center"/>
          </w:tcPr>
          <w:p w14:paraId="03CC8A0A" w14:textId="2323B83D"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33" w:type="dxa"/>
            <w:tcBorders>
              <w:top w:val="single" w:sz="4" w:space="0" w:color="53565A" w:themeColor="accent5"/>
              <w:bottom w:val="single" w:sz="4" w:space="0" w:color="53565A" w:themeColor="accent5"/>
            </w:tcBorders>
            <w:shd w:val="clear" w:color="auto" w:fill="auto"/>
            <w:vAlign w:val="center"/>
          </w:tcPr>
          <w:p w14:paraId="58D85243" w14:textId="63B12605"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1134" w:type="dxa"/>
            <w:tcBorders>
              <w:top w:val="single" w:sz="4" w:space="0" w:color="53565A" w:themeColor="accent5"/>
              <w:bottom w:val="single" w:sz="4" w:space="0" w:color="53565A" w:themeColor="accent5"/>
            </w:tcBorders>
            <w:vAlign w:val="center"/>
          </w:tcPr>
          <w:p w14:paraId="7DD8A9C1" w14:textId="2668E9F9"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7BF55402" w14:textId="1EE27205" w:rsidR="000006AB" w:rsidRPr="005734B8" w:rsidRDefault="004D5654"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bCs/>
                <w:sz w:val="16"/>
                <w:szCs w:val="16"/>
              </w:rPr>
              <w:t>–</w:t>
            </w:r>
          </w:p>
        </w:tc>
      </w:tr>
      <w:tr w:rsidR="000006AB" w:rsidRPr="005734B8" w14:paraId="56A10E28" w14:textId="77777777" w:rsidTr="004D5654">
        <w:trPr>
          <w:cantSplit/>
        </w:trPr>
        <w:tc>
          <w:tcPr>
            <w:tcW w:w="2029" w:type="dxa"/>
            <w:tcBorders>
              <w:top w:val="single" w:sz="4" w:space="0" w:color="53565A" w:themeColor="accent5"/>
              <w:bottom w:val="single" w:sz="4" w:space="0" w:color="53565A" w:themeColor="accent5"/>
            </w:tcBorders>
            <w:shd w:val="clear" w:color="auto" w:fill="auto"/>
            <w:vAlign w:val="center"/>
          </w:tcPr>
          <w:p w14:paraId="08D2F67C" w14:textId="28DE91D2" w:rsidR="000006AB" w:rsidRPr="005734B8" w:rsidRDefault="000006AB" w:rsidP="000006AB">
            <w:pPr>
              <w:pStyle w:val="ESTablebody"/>
              <w:spacing w:beforeLines="20" w:before="48" w:afterLines="20" w:after="48"/>
              <w:rPr>
                <w:rFonts w:ascii="Calibri" w:hAnsi="Calibri" w:cs="Calibri"/>
                <w:color w:val="000000"/>
                <w:sz w:val="18"/>
              </w:rPr>
            </w:pPr>
            <w:r w:rsidRPr="005734B8">
              <w:rPr>
                <w:rFonts w:ascii="Calibri" w:hAnsi="Calibri" w:cs="Calibri"/>
                <w:color w:val="000000"/>
                <w:sz w:val="18"/>
              </w:rPr>
              <w:t>VIT</w:t>
            </w:r>
          </w:p>
        </w:tc>
        <w:tc>
          <w:tcPr>
            <w:tcW w:w="993" w:type="dxa"/>
            <w:tcBorders>
              <w:top w:val="single" w:sz="4" w:space="0" w:color="53565A" w:themeColor="accent5"/>
              <w:bottom w:val="single" w:sz="4" w:space="0" w:color="53565A" w:themeColor="accent5"/>
            </w:tcBorders>
            <w:vAlign w:val="center"/>
          </w:tcPr>
          <w:p w14:paraId="2046AB3F" w14:textId="69235B7A"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42" w:type="dxa"/>
            <w:tcBorders>
              <w:top w:val="single" w:sz="4" w:space="0" w:color="53565A" w:themeColor="accent5"/>
              <w:bottom w:val="single" w:sz="4" w:space="0" w:color="53565A" w:themeColor="accent5"/>
            </w:tcBorders>
            <w:vAlign w:val="center"/>
          </w:tcPr>
          <w:p w14:paraId="52244C34" w14:textId="25C739AD"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1</w:t>
            </w:r>
          </w:p>
        </w:tc>
        <w:tc>
          <w:tcPr>
            <w:tcW w:w="1134" w:type="dxa"/>
            <w:tcBorders>
              <w:top w:val="single" w:sz="4" w:space="0" w:color="53565A" w:themeColor="accent5"/>
              <w:bottom w:val="single" w:sz="4" w:space="0" w:color="53565A" w:themeColor="accent5"/>
            </w:tcBorders>
            <w:vAlign w:val="center"/>
          </w:tcPr>
          <w:p w14:paraId="558C4932" w14:textId="2C53E728"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01E0E8FF" w14:textId="411687B0"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color w:val="000000"/>
                <w:sz w:val="18"/>
              </w:rPr>
              <w:t>1</w:t>
            </w:r>
          </w:p>
        </w:tc>
        <w:tc>
          <w:tcPr>
            <w:tcW w:w="994" w:type="dxa"/>
            <w:tcBorders>
              <w:top w:val="single" w:sz="4" w:space="0" w:color="53565A" w:themeColor="accent5"/>
              <w:bottom w:val="single" w:sz="4" w:space="0" w:color="53565A" w:themeColor="accent5"/>
            </w:tcBorders>
            <w:vAlign w:val="center"/>
          </w:tcPr>
          <w:p w14:paraId="2C572C58" w14:textId="0E386743"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37" w:type="dxa"/>
            <w:tcBorders>
              <w:top w:val="single" w:sz="4" w:space="0" w:color="53565A" w:themeColor="accent5"/>
              <w:bottom w:val="single" w:sz="4" w:space="0" w:color="53565A" w:themeColor="accent5"/>
            </w:tcBorders>
            <w:vAlign w:val="center"/>
          </w:tcPr>
          <w:p w14:paraId="274CFE2B" w14:textId="7D284368"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8"/>
              </w:rPr>
              <w:t>1</w:t>
            </w:r>
          </w:p>
        </w:tc>
        <w:tc>
          <w:tcPr>
            <w:tcW w:w="1134" w:type="dxa"/>
            <w:tcBorders>
              <w:top w:val="single" w:sz="4" w:space="0" w:color="53565A" w:themeColor="accent5"/>
              <w:bottom w:val="single" w:sz="4" w:space="0" w:color="53565A" w:themeColor="accent5"/>
            </w:tcBorders>
            <w:vAlign w:val="center"/>
          </w:tcPr>
          <w:p w14:paraId="4FBF8C11" w14:textId="0C84E9F2"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026D36DB" w14:textId="61D4EF55"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sz w:val="18"/>
              </w:rPr>
              <w:t>1</w:t>
            </w:r>
          </w:p>
        </w:tc>
        <w:tc>
          <w:tcPr>
            <w:tcW w:w="993" w:type="dxa"/>
            <w:tcBorders>
              <w:top w:val="single" w:sz="4" w:space="0" w:color="53565A" w:themeColor="accent5"/>
              <w:bottom w:val="single" w:sz="4" w:space="0" w:color="53565A" w:themeColor="accent5"/>
            </w:tcBorders>
            <w:shd w:val="clear" w:color="auto" w:fill="auto"/>
            <w:vAlign w:val="center"/>
          </w:tcPr>
          <w:p w14:paraId="32DE1865" w14:textId="6F93DE5B"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33" w:type="dxa"/>
            <w:tcBorders>
              <w:top w:val="single" w:sz="4" w:space="0" w:color="53565A" w:themeColor="accent5"/>
              <w:bottom w:val="single" w:sz="4" w:space="0" w:color="53565A" w:themeColor="accent5"/>
            </w:tcBorders>
            <w:shd w:val="clear" w:color="auto" w:fill="auto"/>
            <w:vAlign w:val="center"/>
          </w:tcPr>
          <w:p w14:paraId="0D5AB450" w14:textId="5CFCE92F"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1134" w:type="dxa"/>
            <w:tcBorders>
              <w:top w:val="single" w:sz="4" w:space="0" w:color="53565A" w:themeColor="accent5"/>
              <w:bottom w:val="single" w:sz="4" w:space="0" w:color="53565A" w:themeColor="accent5"/>
            </w:tcBorders>
            <w:vAlign w:val="center"/>
          </w:tcPr>
          <w:p w14:paraId="6BC40E77" w14:textId="6030FC74"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5B6BEE47" w14:textId="6E692538" w:rsidR="000006AB" w:rsidRPr="005734B8" w:rsidRDefault="004D5654"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bCs/>
                <w:sz w:val="16"/>
                <w:szCs w:val="16"/>
              </w:rPr>
              <w:t>–</w:t>
            </w:r>
          </w:p>
        </w:tc>
      </w:tr>
      <w:tr w:rsidR="000006AB" w:rsidRPr="005734B8" w14:paraId="1C1C2DE2" w14:textId="77777777" w:rsidTr="004D5654">
        <w:trPr>
          <w:cantSplit/>
        </w:trPr>
        <w:tc>
          <w:tcPr>
            <w:tcW w:w="2029" w:type="dxa"/>
            <w:tcBorders>
              <w:top w:val="single" w:sz="4" w:space="0" w:color="53565A" w:themeColor="accent5"/>
              <w:bottom w:val="single" w:sz="4" w:space="0" w:color="53565A" w:themeColor="accent5"/>
            </w:tcBorders>
            <w:shd w:val="clear" w:color="auto" w:fill="auto"/>
            <w:vAlign w:val="center"/>
          </w:tcPr>
          <w:p w14:paraId="7BA8F1BD" w14:textId="77777777" w:rsidR="000006AB" w:rsidRPr="005734B8" w:rsidRDefault="000006AB" w:rsidP="000006AB">
            <w:pPr>
              <w:pStyle w:val="ESTablebody"/>
              <w:spacing w:beforeLines="20" w:before="48" w:afterLines="20" w:after="48"/>
              <w:rPr>
                <w:rFonts w:ascii="Calibri" w:hAnsi="Calibri" w:cs="Calibri"/>
                <w:color w:val="000000"/>
                <w:sz w:val="18"/>
              </w:rPr>
            </w:pPr>
            <w:r w:rsidRPr="005734B8">
              <w:rPr>
                <w:rFonts w:ascii="Calibri" w:hAnsi="Calibri" w:cs="Calibri"/>
                <w:color w:val="000000"/>
                <w:sz w:val="18"/>
              </w:rPr>
              <w:t>William Angliss Institute of TAFE</w:t>
            </w:r>
          </w:p>
        </w:tc>
        <w:tc>
          <w:tcPr>
            <w:tcW w:w="993" w:type="dxa"/>
            <w:tcBorders>
              <w:top w:val="single" w:sz="4" w:space="0" w:color="53565A" w:themeColor="accent5"/>
              <w:bottom w:val="single" w:sz="4" w:space="0" w:color="53565A" w:themeColor="accent5"/>
            </w:tcBorders>
            <w:vAlign w:val="center"/>
          </w:tcPr>
          <w:p w14:paraId="1B4EDE5E" w14:textId="5DB4D55D"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1</w:t>
            </w:r>
          </w:p>
        </w:tc>
        <w:tc>
          <w:tcPr>
            <w:tcW w:w="942" w:type="dxa"/>
            <w:tcBorders>
              <w:top w:val="single" w:sz="4" w:space="0" w:color="53565A" w:themeColor="accent5"/>
              <w:bottom w:val="single" w:sz="4" w:space="0" w:color="53565A" w:themeColor="accent5"/>
            </w:tcBorders>
            <w:vAlign w:val="center"/>
          </w:tcPr>
          <w:p w14:paraId="3BB5759E" w14:textId="66FC6A27"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2</w:t>
            </w:r>
          </w:p>
        </w:tc>
        <w:tc>
          <w:tcPr>
            <w:tcW w:w="1134" w:type="dxa"/>
            <w:tcBorders>
              <w:top w:val="single" w:sz="4" w:space="0" w:color="53565A" w:themeColor="accent5"/>
              <w:bottom w:val="single" w:sz="4" w:space="0" w:color="53565A" w:themeColor="accent5"/>
            </w:tcBorders>
            <w:vAlign w:val="center"/>
          </w:tcPr>
          <w:p w14:paraId="3B6E1474" w14:textId="54A88E1B"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091368C1" w14:textId="18605497"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color w:val="000000"/>
                <w:sz w:val="18"/>
              </w:rPr>
              <w:t>3</w:t>
            </w:r>
          </w:p>
        </w:tc>
        <w:tc>
          <w:tcPr>
            <w:tcW w:w="994" w:type="dxa"/>
            <w:tcBorders>
              <w:top w:val="single" w:sz="4" w:space="0" w:color="53565A" w:themeColor="accent5"/>
              <w:bottom w:val="single" w:sz="4" w:space="0" w:color="53565A" w:themeColor="accent5"/>
            </w:tcBorders>
            <w:vAlign w:val="center"/>
          </w:tcPr>
          <w:p w14:paraId="48A679F2" w14:textId="18D2C18E"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8"/>
              </w:rPr>
              <w:t>1</w:t>
            </w:r>
          </w:p>
        </w:tc>
        <w:tc>
          <w:tcPr>
            <w:tcW w:w="937" w:type="dxa"/>
            <w:tcBorders>
              <w:top w:val="single" w:sz="4" w:space="0" w:color="53565A" w:themeColor="accent5"/>
              <w:bottom w:val="single" w:sz="4" w:space="0" w:color="53565A" w:themeColor="accent5"/>
            </w:tcBorders>
            <w:vAlign w:val="center"/>
          </w:tcPr>
          <w:p w14:paraId="35A11DD8" w14:textId="1B31DADA"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8"/>
              </w:rPr>
              <w:t>2</w:t>
            </w:r>
          </w:p>
        </w:tc>
        <w:tc>
          <w:tcPr>
            <w:tcW w:w="1134" w:type="dxa"/>
            <w:tcBorders>
              <w:top w:val="single" w:sz="4" w:space="0" w:color="53565A" w:themeColor="accent5"/>
              <w:bottom w:val="single" w:sz="4" w:space="0" w:color="53565A" w:themeColor="accent5"/>
            </w:tcBorders>
            <w:vAlign w:val="center"/>
          </w:tcPr>
          <w:p w14:paraId="0102B4A6" w14:textId="0A826A6E"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5FD8FB3A" w14:textId="2E0A5ABD"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sz w:val="18"/>
              </w:rPr>
              <w:t>3</w:t>
            </w:r>
          </w:p>
        </w:tc>
        <w:tc>
          <w:tcPr>
            <w:tcW w:w="993" w:type="dxa"/>
            <w:tcBorders>
              <w:top w:val="single" w:sz="4" w:space="0" w:color="53565A" w:themeColor="accent5"/>
              <w:bottom w:val="single" w:sz="4" w:space="0" w:color="53565A" w:themeColor="accent5"/>
            </w:tcBorders>
            <w:shd w:val="clear" w:color="auto" w:fill="auto"/>
            <w:vAlign w:val="center"/>
          </w:tcPr>
          <w:p w14:paraId="222ABF62" w14:textId="4E9F5067"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33" w:type="dxa"/>
            <w:tcBorders>
              <w:top w:val="single" w:sz="4" w:space="0" w:color="53565A" w:themeColor="accent5"/>
              <w:bottom w:val="single" w:sz="4" w:space="0" w:color="53565A" w:themeColor="accent5"/>
            </w:tcBorders>
            <w:shd w:val="clear" w:color="auto" w:fill="auto"/>
            <w:vAlign w:val="center"/>
          </w:tcPr>
          <w:p w14:paraId="5CFCD357" w14:textId="7A0FC2B0"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1134" w:type="dxa"/>
            <w:tcBorders>
              <w:top w:val="single" w:sz="4" w:space="0" w:color="53565A" w:themeColor="accent5"/>
              <w:bottom w:val="single" w:sz="4" w:space="0" w:color="53565A" w:themeColor="accent5"/>
            </w:tcBorders>
            <w:vAlign w:val="center"/>
          </w:tcPr>
          <w:p w14:paraId="6A44880B" w14:textId="2ABBC874"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62240D39" w14:textId="09F1B55F" w:rsidR="000006AB" w:rsidRPr="005734B8" w:rsidRDefault="004D5654"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bCs/>
                <w:sz w:val="16"/>
                <w:szCs w:val="16"/>
              </w:rPr>
              <w:t>–</w:t>
            </w:r>
          </w:p>
        </w:tc>
      </w:tr>
      <w:tr w:rsidR="000006AB" w:rsidRPr="005734B8" w14:paraId="103305E5" w14:textId="77777777" w:rsidTr="004D5654">
        <w:trPr>
          <w:cantSplit/>
        </w:trPr>
        <w:tc>
          <w:tcPr>
            <w:tcW w:w="2029" w:type="dxa"/>
            <w:tcBorders>
              <w:top w:val="single" w:sz="4" w:space="0" w:color="53565A" w:themeColor="accent5"/>
              <w:bottom w:val="single" w:sz="18" w:space="0" w:color="53565A" w:themeColor="accent5"/>
            </w:tcBorders>
            <w:shd w:val="clear" w:color="auto" w:fill="auto"/>
            <w:vAlign w:val="center"/>
          </w:tcPr>
          <w:p w14:paraId="0018F958" w14:textId="77777777" w:rsidR="000006AB" w:rsidRPr="005734B8" w:rsidRDefault="000006AB" w:rsidP="000006AB">
            <w:pPr>
              <w:pStyle w:val="ESTablebody"/>
              <w:spacing w:beforeLines="20" w:before="48" w:afterLines="20" w:after="48"/>
              <w:rPr>
                <w:rFonts w:ascii="Calibri" w:hAnsi="Calibri" w:cs="Calibri"/>
                <w:sz w:val="18"/>
              </w:rPr>
            </w:pPr>
            <w:r w:rsidRPr="005734B8">
              <w:rPr>
                <w:rFonts w:ascii="Calibri" w:hAnsi="Calibri" w:cs="Calibri"/>
                <w:color w:val="000000"/>
                <w:sz w:val="18"/>
              </w:rPr>
              <w:t>Wodonga Institute of TAFE</w:t>
            </w:r>
          </w:p>
        </w:tc>
        <w:tc>
          <w:tcPr>
            <w:tcW w:w="993" w:type="dxa"/>
            <w:tcBorders>
              <w:top w:val="single" w:sz="4" w:space="0" w:color="53565A" w:themeColor="accent5"/>
              <w:bottom w:val="single" w:sz="18" w:space="0" w:color="53565A" w:themeColor="accent5"/>
            </w:tcBorders>
            <w:vAlign w:val="center"/>
          </w:tcPr>
          <w:p w14:paraId="592247F6" w14:textId="2BE05B81"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42" w:type="dxa"/>
            <w:tcBorders>
              <w:top w:val="single" w:sz="4" w:space="0" w:color="53565A" w:themeColor="accent5"/>
              <w:bottom w:val="single" w:sz="18" w:space="0" w:color="53565A" w:themeColor="accent5"/>
            </w:tcBorders>
            <w:vAlign w:val="center"/>
          </w:tcPr>
          <w:p w14:paraId="132F7B8B" w14:textId="7C813EDE"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color w:val="000000"/>
                <w:sz w:val="18"/>
              </w:rPr>
              <w:t>2</w:t>
            </w:r>
          </w:p>
        </w:tc>
        <w:tc>
          <w:tcPr>
            <w:tcW w:w="1134" w:type="dxa"/>
            <w:tcBorders>
              <w:top w:val="single" w:sz="4" w:space="0" w:color="53565A" w:themeColor="accent5"/>
              <w:bottom w:val="single" w:sz="18" w:space="0" w:color="53565A" w:themeColor="accent5"/>
            </w:tcBorders>
            <w:vAlign w:val="center"/>
          </w:tcPr>
          <w:p w14:paraId="1FA33613" w14:textId="4FC1A677"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4" w:type="dxa"/>
            <w:tcBorders>
              <w:top w:val="single" w:sz="4" w:space="0" w:color="53565A" w:themeColor="accent5"/>
              <w:bottom w:val="single" w:sz="18" w:space="0" w:color="53565A" w:themeColor="accent5"/>
            </w:tcBorders>
            <w:shd w:val="clear" w:color="auto" w:fill="D9D9D6" w:themeFill="accent6"/>
            <w:vAlign w:val="center"/>
          </w:tcPr>
          <w:p w14:paraId="535E41AE" w14:textId="4299DCAD"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color w:val="000000"/>
                <w:sz w:val="18"/>
              </w:rPr>
              <w:t>2</w:t>
            </w:r>
          </w:p>
        </w:tc>
        <w:tc>
          <w:tcPr>
            <w:tcW w:w="994" w:type="dxa"/>
            <w:tcBorders>
              <w:top w:val="single" w:sz="4" w:space="0" w:color="53565A" w:themeColor="accent5"/>
              <w:bottom w:val="single" w:sz="18" w:space="0" w:color="53565A" w:themeColor="accent5"/>
            </w:tcBorders>
            <w:vAlign w:val="center"/>
          </w:tcPr>
          <w:p w14:paraId="620A94B0" w14:textId="30DBEDBB"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37" w:type="dxa"/>
            <w:tcBorders>
              <w:top w:val="single" w:sz="4" w:space="0" w:color="53565A" w:themeColor="accent5"/>
              <w:bottom w:val="single" w:sz="18" w:space="0" w:color="53565A" w:themeColor="accent5"/>
            </w:tcBorders>
            <w:vAlign w:val="center"/>
          </w:tcPr>
          <w:p w14:paraId="4AF71408" w14:textId="168DA9FC" w:rsidR="000006AB" w:rsidRPr="005734B8" w:rsidRDefault="000006AB"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8"/>
              </w:rPr>
              <w:t>2</w:t>
            </w:r>
          </w:p>
        </w:tc>
        <w:tc>
          <w:tcPr>
            <w:tcW w:w="1134" w:type="dxa"/>
            <w:tcBorders>
              <w:top w:val="single" w:sz="4" w:space="0" w:color="53565A" w:themeColor="accent5"/>
              <w:bottom w:val="single" w:sz="18" w:space="0" w:color="53565A" w:themeColor="accent5"/>
            </w:tcBorders>
            <w:vAlign w:val="center"/>
          </w:tcPr>
          <w:p w14:paraId="03C8468F" w14:textId="66399FCD"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09" w:type="dxa"/>
            <w:tcBorders>
              <w:top w:val="single" w:sz="4" w:space="0" w:color="53565A" w:themeColor="accent5"/>
              <w:bottom w:val="single" w:sz="18" w:space="0" w:color="53565A" w:themeColor="accent5"/>
            </w:tcBorders>
            <w:shd w:val="clear" w:color="auto" w:fill="D9D9D6" w:themeFill="accent6"/>
            <w:vAlign w:val="center"/>
          </w:tcPr>
          <w:p w14:paraId="354792A6" w14:textId="0791D4E2"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sz w:val="18"/>
              </w:rPr>
              <w:t>2</w:t>
            </w:r>
          </w:p>
        </w:tc>
        <w:tc>
          <w:tcPr>
            <w:tcW w:w="993" w:type="dxa"/>
            <w:tcBorders>
              <w:top w:val="single" w:sz="4" w:space="0" w:color="53565A" w:themeColor="accent5"/>
              <w:bottom w:val="single" w:sz="18" w:space="0" w:color="53565A" w:themeColor="accent5"/>
            </w:tcBorders>
            <w:shd w:val="clear" w:color="auto" w:fill="auto"/>
            <w:vAlign w:val="center"/>
          </w:tcPr>
          <w:p w14:paraId="15D1B4B6" w14:textId="2F08B9C8"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33" w:type="dxa"/>
            <w:tcBorders>
              <w:top w:val="single" w:sz="4" w:space="0" w:color="53565A" w:themeColor="accent5"/>
              <w:bottom w:val="single" w:sz="18" w:space="0" w:color="53565A" w:themeColor="accent5"/>
            </w:tcBorders>
            <w:shd w:val="clear" w:color="auto" w:fill="auto"/>
            <w:vAlign w:val="center"/>
          </w:tcPr>
          <w:p w14:paraId="290E6BC2" w14:textId="08C0573E"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1134" w:type="dxa"/>
            <w:tcBorders>
              <w:top w:val="single" w:sz="4" w:space="0" w:color="53565A" w:themeColor="accent5"/>
              <w:bottom w:val="single" w:sz="18" w:space="0" w:color="53565A" w:themeColor="accent5"/>
            </w:tcBorders>
            <w:vAlign w:val="center"/>
          </w:tcPr>
          <w:p w14:paraId="2948A973" w14:textId="59C2E8F5" w:rsidR="000006AB" w:rsidRPr="005734B8" w:rsidRDefault="004D5654" w:rsidP="000006AB">
            <w:pPr>
              <w:pStyle w:val="ESTablenumberrightaligned"/>
              <w:spacing w:beforeLines="20" w:before="48" w:afterLines="20" w:after="48"/>
              <w:jc w:val="center"/>
              <w:rPr>
                <w:rFonts w:ascii="Calibri" w:hAnsi="Calibri" w:cs="Calibri"/>
                <w:sz w:val="18"/>
              </w:rPr>
            </w:pPr>
            <w:r w:rsidRPr="005734B8">
              <w:rPr>
                <w:rFonts w:ascii="Calibri" w:hAnsi="Calibri" w:cs="Calibri"/>
                <w:sz w:val="16"/>
                <w:szCs w:val="16"/>
              </w:rPr>
              <w:t>–</w:t>
            </w:r>
          </w:p>
        </w:tc>
        <w:tc>
          <w:tcPr>
            <w:tcW w:w="914" w:type="dxa"/>
            <w:tcBorders>
              <w:top w:val="single" w:sz="4" w:space="0" w:color="53565A" w:themeColor="accent5"/>
              <w:bottom w:val="single" w:sz="18" w:space="0" w:color="53565A" w:themeColor="accent5"/>
            </w:tcBorders>
            <w:shd w:val="clear" w:color="auto" w:fill="D9D9D6" w:themeFill="accent6"/>
            <w:vAlign w:val="center"/>
          </w:tcPr>
          <w:p w14:paraId="63996E8D" w14:textId="3DA7650F" w:rsidR="000006AB" w:rsidRPr="005734B8" w:rsidRDefault="004D5654"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bCs/>
                <w:sz w:val="16"/>
                <w:szCs w:val="16"/>
              </w:rPr>
              <w:t>–</w:t>
            </w:r>
          </w:p>
        </w:tc>
      </w:tr>
      <w:tr w:rsidR="000006AB" w:rsidRPr="005734B8" w14:paraId="060CE513" w14:textId="77777777" w:rsidTr="004D5654">
        <w:trPr>
          <w:cantSplit/>
        </w:trPr>
        <w:tc>
          <w:tcPr>
            <w:tcW w:w="2029" w:type="dxa"/>
            <w:tcBorders>
              <w:top w:val="single" w:sz="18" w:space="0" w:color="53565A" w:themeColor="accent5"/>
              <w:bottom w:val="single" w:sz="18" w:space="0" w:color="53565A" w:themeColor="accent5"/>
            </w:tcBorders>
            <w:shd w:val="clear" w:color="auto" w:fill="auto"/>
          </w:tcPr>
          <w:p w14:paraId="1075E089" w14:textId="77777777" w:rsidR="000006AB" w:rsidRPr="005734B8" w:rsidRDefault="000006AB" w:rsidP="000006AB">
            <w:pPr>
              <w:pStyle w:val="ESTablebody"/>
              <w:spacing w:beforeLines="20" w:before="48" w:afterLines="20" w:after="48"/>
              <w:rPr>
                <w:rFonts w:ascii="Calibri" w:hAnsi="Calibri" w:cs="Calibri"/>
                <w:b/>
                <w:sz w:val="18"/>
              </w:rPr>
            </w:pPr>
            <w:r w:rsidRPr="005734B8">
              <w:rPr>
                <w:rFonts w:ascii="Calibri" w:hAnsi="Calibri" w:cs="Calibri"/>
                <w:b/>
                <w:sz w:val="18"/>
              </w:rPr>
              <w:t>Total</w:t>
            </w:r>
          </w:p>
        </w:tc>
        <w:tc>
          <w:tcPr>
            <w:tcW w:w="993" w:type="dxa"/>
            <w:tcBorders>
              <w:top w:val="single" w:sz="18" w:space="0" w:color="53565A" w:themeColor="accent5"/>
              <w:bottom w:val="single" w:sz="18" w:space="0" w:color="53565A" w:themeColor="accent5"/>
            </w:tcBorders>
            <w:vAlign w:val="center"/>
          </w:tcPr>
          <w:p w14:paraId="1533A00B" w14:textId="1D602A5C"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sz w:val="18"/>
              </w:rPr>
              <w:t>34</w:t>
            </w:r>
          </w:p>
        </w:tc>
        <w:tc>
          <w:tcPr>
            <w:tcW w:w="942" w:type="dxa"/>
            <w:tcBorders>
              <w:top w:val="single" w:sz="18" w:space="0" w:color="53565A" w:themeColor="accent5"/>
              <w:bottom w:val="single" w:sz="18" w:space="0" w:color="53565A" w:themeColor="accent5"/>
            </w:tcBorders>
            <w:vAlign w:val="center"/>
          </w:tcPr>
          <w:p w14:paraId="788F8947" w14:textId="4179D784"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sz w:val="18"/>
              </w:rPr>
              <w:t>42</w:t>
            </w:r>
          </w:p>
        </w:tc>
        <w:tc>
          <w:tcPr>
            <w:tcW w:w="1134" w:type="dxa"/>
            <w:tcBorders>
              <w:top w:val="single" w:sz="18" w:space="0" w:color="53565A" w:themeColor="accent5"/>
              <w:bottom w:val="single" w:sz="18" w:space="0" w:color="53565A" w:themeColor="accent5"/>
            </w:tcBorders>
            <w:vAlign w:val="center"/>
          </w:tcPr>
          <w:p w14:paraId="35926D58" w14:textId="035084CC" w:rsidR="000006AB" w:rsidRPr="005734B8" w:rsidRDefault="004D5654"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sz w:val="16"/>
                <w:szCs w:val="16"/>
              </w:rPr>
              <w:t>–</w:t>
            </w:r>
          </w:p>
        </w:tc>
        <w:tc>
          <w:tcPr>
            <w:tcW w:w="904" w:type="dxa"/>
            <w:tcBorders>
              <w:top w:val="single" w:sz="18" w:space="0" w:color="53565A" w:themeColor="accent5"/>
              <w:bottom w:val="single" w:sz="18" w:space="0" w:color="53565A" w:themeColor="accent5"/>
            </w:tcBorders>
            <w:shd w:val="clear" w:color="auto" w:fill="D9D9D6" w:themeFill="accent6"/>
            <w:vAlign w:val="center"/>
          </w:tcPr>
          <w:p w14:paraId="4D7988E2" w14:textId="63DD8DB3"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color w:val="000000"/>
                <w:sz w:val="18"/>
              </w:rPr>
              <w:t>76</w:t>
            </w:r>
          </w:p>
        </w:tc>
        <w:tc>
          <w:tcPr>
            <w:tcW w:w="994" w:type="dxa"/>
            <w:tcBorders>
              <w:top w:val="single" w:sz="18" w:space="0" w:color="53565A" w:themeColor="accent5"/>
              <w:bottom w:val="single" w:sz="18" w:space="0" w:color="53565A" w:themeColor="accent5"/>
            </w:tcBorders>
            <w:vAlign w:val="center"/>
          </w:tcPr>
          <w:p w14:paraId="4A851D9E" w14:textId="1629756D"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sz w:val="18"/>
              </w:rPr>
              <w:t>42</w:t>
            </w:r>
          </w:p>
        </w:tc>
        <w:tc>
          <w:tcPr>
            <w:tcW w:w="937" w:type="dxa"/>
            <w:tcBorders>
              <w:top w:val="single" w:sz="18" w:space="0" w:color="53565A" w:themeColor="accent5"/>
              <w:bottom w:val="single" w:sz="18" w:space="0" w:color="53565A" w:themeColor="accent5"/>
            </w:tcBorders>
            <w:vAlign w:val="center"/>
          </w:tcPr>
          <w:p w14:paraId="6FCE163B" w14:textId="0799F08A"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sz w:val="18"/>
              </w:rPr>
              <w:t>41</w:t>
            </w:r>
          </w:p>
        </w:tc>
        <w:tc>
          <w:tcPr>
            <w:tcW w:w="1134" w:type="dxa"/>
            <w:tcBorders>
              <w:top w:val="single" w:sz="18" w:space="0" w:color="53565A" w:themeColor="accent5"/>
              <w:bottom w:val="single" w:sz="18" w:space="0" w:color="53565A" w:themeColor="accent5"/>
            </w:tcBorders>
            <w:vAlign w:val="center"/>
          </w:tcPr>
          <w:p w14:paraId="5037BB7C" w14:textId="173B8E18" w:rsidR="000006AB" w:rsidRPr="005734B8" w:rsidRDefault="004D5654"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sz w:val="16"/>
                <w:szCs w:val="16"/>
              </w:rPr>
              <w:t>–</w:t>
            </w:r>
          </w:p>
        </w:tc>
        <w:tc>
          <w:tcPr>
            <w:tcW w:w="909" w:type="dxa"/>
            <w:tcBorders>
              <w:top w:val="single" w:sz="18" w:space="0" w:color="53565A" w:themeColor="accent5"/>
              <w:bottom w:val="single" w:sz="18" w:space="0" w:color="53565A" w:themeColor="accent5"/>
            </w:tcBorders>
            <w:shd w:val="clear" w:color="auto" w:fill="D9D9D6" w:themeFill="accent6"/>
            <w:vAlign w:val="center"/>
          </w:tcPr>
          <w:p w14:paraId="05206D2D" w14:textId="4CE0EB80"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sz w:val="18"/>
              </w:rPr>
              <w:t>83</w:t>
            </w:r>
          </w:p>
        </w:tc>
        <w:tc>
          <w:tcPr>
            <w:tcW w:w="993" w:type="dxa"/>
            <w:tcBorders>
              <w:top w:val="single" w:sz="18" w:space="0" w:color="53565A" w:themeColor="accent5"/>
              <w:bottom w:val="single" w:sz="18" w:space="0" w:color="53565A" w:themeColor="accent5"/>
            </w:tcBorders>
            <w:shd w:val="clear" w:color="auto" w:fill="auto"/>
            <w:vAlign w:val="center"/>
          </w:tcPr>
          <w:p w14:paraId="480904C1" w14:textId="6CD49D6A"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sz w:val="18"/>
              </w:rPr>
              <w:t>-8</w:t>
            </w:r>
          </w:p>
        </w:tc>
        <w:tc>
          <w:tcPr>
            <w:tcW w:w="933" w:type="dxa"/>
            <w:tcBorders>
              <w:top w:val="single" w:sz="18" w:space="0" w:color="53565A" w:themeColor="accent5"/>
              <w:bottom w:val="single" w:sz="18" w:space="0" w:color="53565A" w:themeColor="accent5"/>
            </w:tcBorders>
            <w:shd w:val="clear" w:color="auto" w:fill="auto"/>
            <w:vAlign w:val="center"/>
          </w:tcPr>
          <w:p w14:paraId="1D083CCD" w14:textId="383287CB"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sz w:val="18"/>
              </w:rPr>
              <w:t>2</w:t>
            </w:r>
          </w:p>
        </w:tc>
        <w:tc>
          <w:tcPr>
            <w:tcW w:w="1134" w:type="dxa"/>
            <w:tcBorders>
              <w:top w:val="single" w:sz="18" w:space="0" w:color="53565A" w:themeColor="accent5"/>
              <w:bottom w:val="single" w:sz="18" w:space="0" w:color="53565A" w:themeColor="accent5"/>
            </w:tcBorders>
            <w:vAlign w:val="center"/>
          </w:tcPr>
          <w:p w14:paraId="60115265" w14:textId="52204E19" w:rsidR="000006AB" w:rsidRPr="005734B8" w:rsidRDefault="004D5654"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sz w:val="16"/>
                <w:szCs w:val="16"/>
              </w:rPr>
              <w:t>–</w:t>
            </w:r>
          </w:p>
        </w:tc>
        <w:tc>
          <w:tcPr>
            <w:tcW w:w="914" w:type="dxa"/>
            <w:tcBorders>
              <w:top w:val="single" w:sz="18" w:space="0" w:color="53565A" w:themeColor="accent5"/>
              <w:bottom w:val="single" w:sz="18" w:space="0" w:color="53565A" w:themeColor="accent5"/>
            </w:tcBorders>
            <w:shd w:val="clear" w:color="auto" w:fill="D9D9D6" w:themeFill="accent6"/>
            <w:vAlign w:val="center"/>
          </w:tcPr>
          <w:p w14:paraId="1392E94D" w14:textId="4656167F" w:rsidR="000006AB" w:rsidRPr="005734B8" w:rsidRDefault="000006AB" w:rsidP="000006AB">
            <w:pPr>
              <w:pStyle w:val="ESTablenumberrightaligned"/>
              <w:spacing w:beforeLines="20" w:before="48" w:afterLines="20" w:after="48"/>
              <w:jc w:val="center"/>
              <w:rPr>
                <w:rFonts w:ascii="Calibri" w:hAnsi="Calibri" w:cs="Calibri"/>
                <w:b/>
                <w:sz w:val="18"/>
              </w:rPr>
            </w:pPr>
            <w:r w:rsidRPr="005734B8">
              <w:rPr>
                <w:rFonts w:ascii="Calibri" w:hAnsi="Calibri" w:cs="Calibri"/>
                <w:b/>
                <w:color w:val="000000"/>
                <w:sz w:val="18"/>
              </w:rPr>
              <w:t>-6</w:t>
            </w:r>
          </w:p>
        </w:tc>
      </w:tr>
    </w:tbl>
    <w:p w14:paraId="497F4A8B" w14:textId="3F3C2430" w:rsidR="00FE6BD6" w:rsidRPr="005734B8" w:rsidRDefault="00FE6BD6" w:rsidP="00D15544">
      <w:pPr>
        <w:tabs>
          <w:tab w:val="left" w:pos="810"/>
        </w:tabs>
        <w:rPr>
          <w:rFonts w:ascii="Calibri" w:hAnsi="Calibri" w:cs="Calibri"/>
          <w:highlight w:val="yellow"/>
          <w:lang w:val="en-US"/>
        </w:rPr>
        <w:sectPr w:rsidR="00FE6BD6" w:rsidRPr="005734B8" w:rsidSect="00D15544">
          <w:pgSz w:w="16840" w:h="11900" w:orient="landscape"/>
          <w:pgMar w:top="1134" w:right="1440" w:bottom="1134" w:left="1440" w:header="708" w:footer="708" w:gutter="0"/>
          <w:cols w:space="708"/>
          <w:docGrid w:linePitch="360"/>
        </w:sectPr>
      </w:pPr>
    </w:p>
    <w:p w14:paraId="4F821D3C" w14:textId="4069C7E1" w:rsidR="00EE2105" w:rsidRPr="005734B8" w:rsidRDefault="00EE2105" w:rsidP="00EE2105">
      <w:pPr>
        <w:pStyle w:val="ESHeading2"/>
        <w:rPr>
          <w:rFonts w:ascii="Calibri" w:hAnsi="Calibri" w:cs="Calibri"/>
        </w:rPr>
      </w:pPr>
      <w:bookmarkStart w:id="666" w:name="_Toc9432478"/>
      <w:bookmarkStart w:id="667" w:name="_Toc11158238"/>
      <w:bookmarkStart w:id="668" w:name="_Toc11336245"/>
      <w:bookmarkStart w:id="669" w:name="_Toc13656685"/>
      <w:bookmarkStart w:id="670" w:name="_Toc14965471"/>
      <w:bookmarkStart w:id="671" w:name="_Toc15985271"/>
      <w:bookmarkStart w:id="672" w:name="_Toc19272049"/>
      <w:bookmarkStart w:id="673" w:name="_Toc19272415"/>
      <w:bookmarkStart w:id="674" w:name="_Toc19273750"/>
      <w:bookmarkStart w:id="675" w:name="_Toc48402791"/>
      <w:bookmarkStart w:id="676" w:name="_Toc48403028"/>
      <w:bookmarkStart w:id="677" w:name="_Toc51332771"/>
      <w:bookmarkStart w:id="678" w:name="_Toc71037325"/>
      <w:bookmarkStart w:id="679" w:name="_Toc81315335"/>
      <w:r w:rsidRPr="005734B8">
        <w:rPr>
          <w:rFonts w:ascii="Calibri" w:hAnsi="Calibri" w:cs="Calibri"/>
        </w:rPr>
        <w:lastRenderedPageBreak/>
        <w:t>Pecuniary interests</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0D24B88B" w14:textId="0CCA0F33" w:rsidR="00EE2105" w:rsidRPr="005734B8" w:rsidRDefault="00EE2105" w:rsidP="00EE2105">
      <w:pPr>
        <w:rPr>
          <w:rFonts w:ascii="Calibri" w:hAnsi="Calibri" w:cs="Calibri"/>
        </w:rPr>
      </w:pPr>
      <w:bookmarkStart w:id="680" w:name="_Toc9432479"/>
      <w:bookmarkStart w:id="681" w:name="_Toc11158239"/>
      <w:bookmarkStart w:id="682" w:name="_Toc11336246"/>
      <w:r w:rsidRPr="005734B8">
        <w:rPr>
          <w:rFonts w:ascii="Calibri" w:hAnsi="Calibri" w:cs="Calibri"/>
        </w:rPr>
        <w:t>All relevant officers have completed declarations of pecuniary interests.</w:t>
      </w:r>
    </w:p>
    <w:p w14:paraId="52F437D4" w14:textId="00DCD817" w:rsidR="00EE2105" w:rsidRPr="005734B8" w:rsidRDefault="00EE2105" w:rsidP="00EE2105">
      <w:pPr>
        <w:pStyle w:val="ESHeading2"/>
        <w:rPr>
          <w:rFonts w:ascii="Calibri" w:hAnsi="Calibri" w:cs="Calibri"/>
        </w:rPr>
      </w:pPr>
      <w:bookmarkStart w:id="683" w:name="_Toc13656686"/>
      <w:bookmarkStart w:id="684" w:name="_Toc14965472"/>
      <w:bookmarkStart w:id="685" w:name="_Toc15985272"/>
      <w:bookmarkStart w:id="686" w:name="_Toc19272050"/>
      <w:bookmarkStart w:id="687" w:name="_Toc19272416"/>
      <w:bookmarkStart w:id="688" w:name="_Toc19273751"/>
      <w:bookmarkStart w:id="689" w:name="_Toc48402792"/>
      <w:bookmarkStart w:id="690" w:name="_Toc48403029"/>
      <w:bookmarkStart w:id="691" w:name="_Toc51332772"/>
      <w:bookmarkStart w:id="692" w:name="_Toc71037326"/>
      <w:bookmarkStart w:id="693" w:name="_Toc81315336"/>
      <w:r w:rsidRPr="005734B8">
        <w:rPr>
          <w:rFonts w:ascii="Calibri" w:hAnsi="Calibri" w:cs="Calibri"/>
        </w:rPr>
        <w:t>Shares held by senior officers</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2145273E" w14:textId="77777777" w:rsidR="00EE2105" w:rsidRPr="005734B8" w:rsidRDefault="00EE2105" w:rsidP="00EE2105">
      <w:pPr>
        <w:rPr>
          <w:rFonts w:ascii="Calibri" w:hAnsi="Calibri" w:cs="Calibri"/>
        </w:rPr>
      </w:pPr>
      <w:bookmarkStart w:id="694" w:name="_Toc488410121"/>
      <w:bookmarkStart w:id="695" w:name="_Toc488767593"/>
      <w:bookmarkStart w:id="696" w:name="_Toc488769005"/>
      <w:r w:rsidRPr="005734B8">
        <w:rPr>
          <w:rFonts w:ascii="Calibri" w:hAnsi="Calibri" w:cs="Calibri"/>
        </w:rPr>
        <w:t>No shares are held by a senior officer as nominee or held beneficially in a statutory authority or subsidiary.</w:t>
      </w:r>
      <w:bookmarkEnd w:id="694"/>
      <w:bookmarkEnd w:id="695"/>
      <w:bookmarkEnd w:id="696"/>
    </w:p>
    <w:p w14:paraId="79AB0FD5" w14:textId="2F0E7B2B" w:rsidR="00CB0333" w:rsidRPr="005734B8" w:rsidRDefault="004B3205" w:rsidP="004B3205">
      <w:pPr>
        <w:pStyle w:val="ESHeading1"/>
        <w:rPr>
          <w:rFonts w:ascii="Calibri" w:hAnsi="Calibri" w:cs="Calibri"/>
        </w:rPr>
      </w:pPr>
      <w:bookmarkStart w:id="697" w:name="_Toc11158240"/>
      <w:bookmarkStart w:id="698" w:name="_Toc11336247"/>
      <w:bookmarkStart w:id="699" w:name="_Toc13656687"/>
      <w:bookmarkStart w:id="700" w:name="_Toc14965473"/>
      <w:bookmarkStart w:id="701" w:name="_Toc15985273"/>
      <w:bookmarkStart w:id="702" w:name="_Toc19272051"/>
      <w:bookmarkStart w:id="703" w:name="_Toc19272417"/>
      <w:bookmarkStart w:id="704" w:name="_Toc19273752"/>
      <w:bookmarkStart w:id="705" w:name="_Toc48402793"/>
      <w:bookmarkStart w:id="706" w:name="_Toc48403030"/>
      <w:bookmarkStart w:id="707" w:name="_Toc51332773"/>
      <w:bookmarkStart w:id="708" w:name="_Toc81315337"/>
      <w:r w:rsidRPr="005734B8">
        <w:rPr>
          <w:rFonts w:ascii="Calibri" w:hAnsi="Calibri" w:cs="Calibri"/>
        </w:rPr>
        <w:lastRenderedPageBreak/>
        <w:t xml:space="preserve">Other </w:t>
      </w:r>
      <w:r w:rsidR="001C39FB" w:rsidRPr="005734B8">
        <w:rPr>
          <w:rFonts w:ascii="Calibri" w:hAnsi="Calibri" w:cs="Calibri"/>
        </w:rPr>
        <w:t>d</w:t>
      </w:r>
      <w:r w:rsidRPr="005734B8">
        <w:rPr>
          <w:rFonts w:ascii="Calibri" w:hAnsi="Calibri" w:cs="Calibri"/>
        </w:rPr>
        <w:t>isclosures</w:t>
      </w:r>
      <w:bookmarkEnd w:id="697"/>
      <w:bookmarkEnd w:id="698"/>
      <w:bookmarkEnd w:id="699"/>
      <w:bookmarkEnd w:id="700"/>
      <w:bookmarkEnd w:id="701"/>
      <w:bookmarkEnd w:id="702"/>
      <w:bookmarkEnd w:id="703"/>
      <w:bookmarkEnd w:id="704"/>
      <w:bookmarkEnd w:id="705"/>
      <w:bookmarkEnd w:id="706"/>
      <w:bookmarkEnd w:id="707"/>
      <w:bookmarkEnd w:id="708"/>
    </w:p>
    <w:p w14:paraId="1B37CAD1" w14:textId="00B75D0D" w:rsidR="002B6980" w:rsidRPr="005734B8" w:rsidRDefault="002B6980" w:rsidP="002B6980">
      <w:pPr>
        <w:pStyle w:val="ESHeading2"/>
        <w:rPr>
          <w:rFonts w:ascii="Calibri" w:hAnsi="Calibri" w:cs="Calibri"/>
        </w:rPr>
      </w:pPr>
      <w:bookmarkStart w:id="709" w:name="_Toc71030733"/>
      <w:bookmarkStart w:id="710" w:name="_Toc81315338"/>
      <w:bookmarkStart w:id="711" w:name="_Toc11158241"/>
      <w:bookmarkStart w:id="712" w:name="_Toc11336248"/>
      <w:bookmarkStart w:id="713" w:name="_Toc13656688"/>
      <w:bookmarkStart w:id="714" w:name="_Toc14965474"/>
      <w:bookmarkStart w:id="715" w:name="_Toc15985274"/>
      <w:r w:rsidRPr="005734B8">
        <w:rPr>
          <w:rFonts w:ascii="Calibri" w:hAnsi="Calibri" w:cs="Calibri"/>
        </w:rPr>
        <w:t>Victoria’s Social Procurement Framework</w:t>
      </w:r>
      <w:bookmarkEnd w:id="709"/>
      <w:bookmarkEnd w:id="710"/>
    </w:p>
    <w:p w14:paraId="63389ACE" w14:textId="394ECD52" w:rsidR="002B6980" w:rsidRPr="005734B8" w:rsidRDefault="002B6980" w:rsidP="002B6980">
      <w:pPr>
        <w:rPr>
          <w:rFonts w:ascii="Calibri" w:hAnsi="Calibri" w:cs="Calibri"/>
        </w:rPr>
      </w:pPr>
      <w:r w:rsidRPr="005734B8">
        <w:rPr>
          <w:rFonts w:ascii="Calibri" w:hAnsi="Calibri" w:cs="Calibri"/>
        </w:rPr>
        <w:t>The Department implemented its Social Procurement Strategy in February 2019. The strategy prioritises the following social procurement objectives:</w:t>
      </w:r>
    </w:p>
    <w:p w14:paraId="0D97B099" w14:textId="5DAABFC3" w:rsidR="002B6980" w:rsidRPr="005734B8" w:rsidRDefault="002B6980" w:rsidP="002B6980">
      <w:pPr>
        <w:pStyle w:val="ListParagraph"/>
        <w:numPr>
          <w:ilvl w:val="0"/>
          <w:numId w:val="7"/>
        </w:numPr>
        <w:rPr>
          <w:rFonts w:ascii="Calibri" w:hAnsi="Calibri" w:cs="Calibri"/>
        </w:rPr>
      </w:pPr>
      <w:r w:rsidRPr="005734B8">
        <w:rPr>
          <w:rFonts w:ascii="Calibri" w:hAnsi="Calibri" w:cs="Calibri"/>
        </w:rPr>
        <w:t>opportunities for Victorian Aboriginal people</w:t>
      </w:r>
    </w:p>
    <w:p w14:paraId="0F5E964E" w14:textId="150BA5CA" w:rsidR="002B6980" w:rsidRPr="005734B8" w:rsidRDefault="002B6980" w:rsidP="002B6980">
      <w:pPr>
        <w:pStyle w:val="ListParagraph"/>
        <w:numPr>
          <w:ilvl w:val="0"/>
          <w:numId w:val="7"/>
        </w:numPr>
        <w:rPr>
          <w:rFonts w:ascii="Calibri" w:hAnsi="Calibri" w:cs="Calibri"/>
        </w:rPr>
      </w:pPr>
      <w:r w:rsidRPr="005734B8">
        <w:rPr>
          <w:rFonts w:ascii="Calibri" w:hAnsi="Calibri" w:cs="Calibri"/>
        </w:rPr>
        <w:t>women</w:t>
      </w:r>
      <w:r w:rsidR="00B15F9A" w:rsidRPr="005734B8">
        <w:rPr>
          <w:rFonts w:ascii="Calibri" w:hAnsi="Calibri" w:cs="Calibri"/>
        </w:rPr>
        <w:t>’</w:t>
      </w:r>
      <w:r w:rsidRPr="005734B8">
        <w:rPr>
          <w:rFonts w:ascii="Calibri" w:hAnsi="Calibri" w:cs="Calibri"/>
        </w:rPr>
        <w:t>s equality and safety</w:t>
      </w:r>
    </w:p>
    <w:p w14:paraId="3AB8F512" w14:textId="2C512614" w:rsidR="002B6980" w:rsidRPr="005734B8" w:rsidRDefault="002B6980" w:rsidP="002B6980">
      <w:pPr>
        <w:pStyle w:val="ListParagraph"/>
        <w:numPr>
          <w:ilvl w:val="0"/>
          <w:numId w:val="7"/>
        </w:numPr>
        <w:rPr>
          <w:rFonts w:ascii="Calibri" w:hAnsi="Calibri" w:cs="Calibri"/>
        </w:rPr>
      </w:pPr>
      <w:r w:rsidRPr="005734B8">
        <w:rPr>
          <w:rFonts w:ascii="Calibri" w:hAnsi="Calibri" w:cs="Calibri"/>
        </w:rPr>
        <w:t>opportunities for disadvantaged Victorians</w:t>
      </w:r>
    </w:p>
    <w:p w14:paraId="649E78FF" w14:textId="5D149EE1" w:rsidR="002B6980" w:rsidRPr="005734B8" w:rsidRDefault="002B6980" w:rsidP="002B6980">
      <w:pPr>
        <w:pStyle w:val="ListParagraph"/>
        <w:numPr>
          <w:ilvl w:val="0"/>
          <w:numId w:val="7"/>
        </w:numPr>
        <w:rPr>
          <w:rFonts w:ascii="Calibri" w:hAnsi="Calibri" w:cs="Calibri"/>
        </w:rPr>
      </w:pPr>
      <w:r w:rsidRPr="005734B8">
        <w:rPr>
          <w:rFonts w:ascii="Calibri" w:hAnsi="Calibri" w:cs="Calibri"/>
        </w:rPr>
        <w:t>supporting safe and fair workplaces</w:t>
      </w:r>
    </w:p>
    <w:p w14:paraId="2E94B717" w14:textId="411C1C37" w:rsidR="002B6980" w:rsidRPr="005734B8" w:rsidRDefault="002B6980" w:rsidP="002B6980">
      <w:pPr>
        <w:pStyle w:val="ListParagraph"/>
        <w:numPr>
          <w:ilvl w:val="0"/>
          <w:numId w:val="7"/>
        </w:numPr>
        <w:rPr>
          <w:rFonts w:ascii="Calibri" w:hAnsi="Calibri" w:cs="Calibri"/>
        </w:rPr>
      </w:pPr>
      <w:r w:rsidRPr="005734B8">
        <w:rPr>
          <w:rFonts w:ascii="Calibri" w:hAnsi="Calibri" w:cs="Calibri"/>
        </w:rPr>
        <w:t>environmentally sustainable outputs.</w:t>
      </w:r>
    </w:p>
    <w:p w14:paraId="6E733C2D" w14:textId="77777777" w:rsidR="002B6980" w:rsidRPr="005734B8" w:rsidRDefault="002B6980" w:rsidP="002B6980">
      <w:pPr>
        <w:rPr>
          <w:rFonts w:ascii="Calibri" w:hAnsi="Calibri" w:cs="Calibri"/>
          <w:highlight w:val="yellow"/>
        </w:rPr>
      </w:pPr>
    </w:p>
    <w:p w14:paraId="074CF744" w14:textId="65A494B0" w:rsidR="002B6980" w:rsidRPr="005734B8" w:rsidRDefault="002B6980" w:rsidP="002B6980">
      <w:pPr>
        <w:rPr>
          <w:rFonts w:ascii="Calibri" w:hAnsi="Calibri" w:cs="Calibri"/>
        </w:rPr>
      </w:pPr>
      <w:r w:rsidRPr="005734B8">
        <w:rPr>
          <w:rFonts w:ascii="Calibri" w:hAnsi="Calibri" w:cs="Calibri"/>
        </w:rPr>
        <w:t xml:space="preserve">In 2020–21, the Department spent a total of $11.4 million through direct engagement of 97 verified social benefit suppliers. This represents an increase of around $0.9 million on 2019–20. The total spend includes a </w:t>
      </w:r>
      <w:r w:rsidR="00DB0735" w:rsidRPr="005734B8">
        <w:rPr>
          <w:rFonts w:ascii="Calibri" w:hAnsi="Calibri" w:cs="Calibri"/>
        </w:rPr>
        <w:t>direct engagement</w:t>
      </w:r>
      <w:r w:rsidR="00152344" w:rsidRPr="005734B8">
        <w:rPr>
          <w:rFonts w:ascii="Calibri" w:hAnsi="Calibri" w:cs="Calibri"/>
        </w:rPr>
        <w:t xml:space="preserve"> </w:t>
      </w:r>
      <w:r w:rsidRPr="005734B8">
        <w:rPr>
          <w:rFonts w:ascii="Calibri" w:hAnsi="Calibri" w:cs="Calibri"/>
        </w:rPr>
        <w:t>of $</w:t>
      </w:r>
      <w:r w:rsidR="00872874" w:rsidRPr="005734B8">
        <w:rPr>
          <w:rFonts w:ascii="Calibri" w:hAnsi="Calibri" w:cs="Calibri"/>
        </w:rPr>
        <w:t>404,322</w:t>
      </w:r>
      <w:r w:rsidRPr="005734B8">
        <w:rPr>
          <w:rFonts w:ascii="Calibri" w:hAnsi="Calibri" w:cs="Calibri"/>
        </w:rPr>
        <w:t xml:space="preserve"> with 3</w:t>
      </w:r>
      <w:r w:rsidR="00872874" w:rsidRPr="005734B8">
        <w:rPr>
          <w:rFonts w:ascii="Calibri" w:hAnsi="Calibri" w:cs="Calibri"/>
        </w:rPr>
        <w:t>0</w:t>
      </w:r>
      <w:r w:rsidRPr="005734B8">
        <w:rPr>
          <w:rFonts w:ascii="Calibri" w:hAnsi="Calibri" w:cs="Calibri"/>
        </w:rPr>
        <w:t xml:space="preserve"> verified Victorian Aboriginal businesses.</w:t>
      </w:r>
    </w:p>
    <w:p w14:paraId="7C071BBE" w14:textId="77777777" w:rsidR="002B6980" w:rsidRPr="005734B8" w:rsidRDefault="002B6980" w:rsidP="002B6980">
      <w:pPr>
        <w:rPr>
          <w:rFonts w:ascii="Calibri" w:hAnsi="Calibri" w:cs="Calibri"/>
        </w:rPr>
      </w:pPr>
    </w:p>
    <w:p w14:paraId="37C053C4" w14:textId="56341B2E" w:rsidR="002B6980" w:rsidRPr="005734B8" w:rsidRDefault="002B6980" w:rsidP="002B6980">
      <w:pPr>
        <w:rPr>
          <w:rFonts w:ascii="Calibri" w:hAnsi="Calibri" w:cs="Calibri"/>
        </w:rPr>
      </w:pPr>
      <w:r w:rsidRPr="005734B8">
        <w:rPr>
          <w:rFonts w:ascii="Calibri" w:hAnsi="Calibri" w:cs="Calibri"/>
        </w:rPr>
        <w:t xml:space="preserve">All procurement procedures for goods and services </w:t>
      </w:r>
      <w:r w:rsidR="00D11D63" w:rsidRPr="005734B8">
        <w:rPr>
          <w:rFonts w:ascii="Calibri" w:hAnsi="Calibri" w:cs="Calibri"/>
        </w:rPr>
        <w:t>as well as</w:t>
      </w:r>
      <w:r w:rsidRPr="005734B8">
        <w:rPr>
          <w:rFonts w:ascii="Calibri" w:hAnsi="Calibri" w:cs="Calibri"/>
        </w:rPr>
        <w:t xml:space="preserve"> construction works are aligned with the Social Procurement Framework.</w:t>
      </w:r>
    </w:p>
    <w:p w14:paraId="685A56E6" w14:textId="77777777" w:rsidR="002B6980" w:rsidRPr="005734B8" w:rsidRDefault="002B6980" w:rsidP="002B6980">
      <w:pPr>
        <w:rPr>
          <w:rFonts w:ascii="Calibri" w:hAnsi="Calibri" w:cs="Calibri"/>
        </w:rPr>
      </w:pPr>
    </w:p>
    <w:p w14:paraId="6CC4A771" w14:textId="09695F06" w:rsidR="002B6980" w:rsidRPr="005734B8" w:rsidRDefault="002B6980" w:rsidP="002B6980">
      <w:pPr>
        <w:rPr>
          <w:rFonts w:ascii="Calibri" w:hAnsi="Calibri" w:cs="Calibri"/>
        </w:rPr>
      </w:pPr>
      <w:r w:rsidRPr="005734B8">
        <w:rPr>
          <w:rFonts w:ascii="Calibri" w:hAnsi="Calibri" w:cs="Calibri"/>
        </w:rPr>
        <w:t>All suppliers to the Department must attest to their commitment to the Victorian Government’s Supplier Code of Conduct when responding to the Department’s approaches to market.</w:t>
      </w:r>
    </w:p>
    <w:p w14:paraId="4F589DD9" w14:textId="77777777" w:rsidR="002B6980" w:rsidRPr="005734B8" w:rsidRDefault="002B6980" w:rsidP="002B6980">
      <w:pPr>
        <w:rPr>
          <w:rFonts w:ascii="Calibri" w:hAnsi="Calibri" w:cs="Calibri"/>
        </w:rPr>
      </w:pPr>
    </w:p>
    <w:p w14:paraId="1A40A8C7" w14:textId="14A99636" w:rsidR="002B6980" w:rsidRPr="005734B8" w:rsidRDefault="002B6980" w:rsidP="002B6980">
      <w:pPr>
        <w:rPr>
          <w:rFonts w:ascii="Calibri" w:hAnsi="Calibri" w:cs="Calibri"/>
        </w:rPr>
      </w:pPr>
      <w:r w:rsidRPr="005734B8">
        <w:rPr>
          <w:rFonts w:ascii="Calibri" w:hAnsi="Calibri" w:cs="Calibri"/>
        </w:rPr>
        <w:t>The Department established a Social Procurement Capability Development Plan in July 2019, which outlines a pathway to mature social procurement capability</w:t>
      </w:r>
      <w:r w:rsidR="00152344" w:rsidRPr="005734B8">
        <w:rPr>
          <w:rFonts w:ascii="Calibri" w:hAnsi="Calibri" w:cs="Calibri"/>
        </w:rPr>
        <w:t>. This work will progress</w:t>
      </w:r>
      <w:r w:rsidRPr="005734B8">
        <w:rPr>
          <w:rFonts w:ascii="Calibri" w:hAnsi="Calibri" w:cs="Calibri"/>
        </w:rPr>
        <w:t xml:space="preserve"> over the first three years of the Social Procurement Strategy. The online training modules for goods and services procurement</w:t>
      </w:r>
      <w:r w:rsidR="00152344" w:rsidRPr="005734B8">
        <w:rPr>
          <w:rFonts w:ascii="Calibri" w:hAnsi="Calibri" w:cs="Calibri"/>
        </w:rPr>
        <w:t>,</w:t>
      </w:r>
      <w:r w:rsidRPr="005734B8">
        <w:rPr>
          <w:rFonts w:ascii="Calibri" w:hAnsi="Calibri" w:cs="Calibri"/>
        </w:rPr>
        <w:t xml:space="preserve"> include social procurement considerations at key stages of the process.</w:t>
      </w:r>
    </w:p>
    <w:p w14:paraId="4DE32D91" w14:textId="77777777" w:rsidR="002B6980" w:rsidRPr="005734B8" w:rsidRDefault="002B6980" w:rsidP="002B6980">
      <w:pPr>
        <w:pStyle w:val="ESHeading3"/>
        <w:ind w:left="0" w:firstLine="0"/>
        <w:rPr>
          <w:rFonts w:ascii="Calibri" w:hAnsi="Calibri" w:cs="Calibri"/>
        </w:rPr>
      </w:pPr>
      <w:r w:rsidRPr="005734B8">
        <w:rPr>
          <w:rFonts w:ascii="Calibri" w:hAnsi="Calibri" w:cs="Calibri"/>
        </w:rPr>
        <w:t>Social procurement in school construction</w:t>
      </w:r>
    </w:p>
    <w:p w14:paraId="1F57E02E" w14:textId="375E8A7C" w:rsidR="002B6980" w:rsidRPr="005734B8" w:rsidRDefault="002B6980" w:rsidP="002B6980">
      <w:pPr>
        <w:rPr>
          <w:rFonts w:ascii="Calibri" w:hAnsi="Calibri" w:cs="Calibri"/>
        </w:rPr>
      </w:pPr>
      <w:r w:rsidRPr="005734B8">
        <w:rPr>
          <w:rFonts w:ascii="Calibri" w:hAnsi="Calibri" w:cs="Calibri"/>
        </w:rPr>
        <w:t>The Department requires all construction</w:t>
      </w:r>
      <w:r w:rsidR="00152344" w:rsidRPr="005734B8">
        <w:rPr>
          <w:rFonts w:ascii="Calibri" w:hAnsi="Calibri" w:cs="Calibri"/>
        </w:rPr>
        <w:t xml:space="preserve"> </w:t>
      </w:r>
      <w:r w:rsidRPr="005734B8">
        <w:rPr>
          <w:rFonts w:ascii="Calibri" w:hAnsi="Calibri" w:cs="Calibri"/>
        </w:rPr>
        <w:t>related projects to incorporate Social Procurement Framework objectives and outcomes. Evaluations of tender submissions are conducted to identify and recognise businesses whose practices support social and sustainable procurement objectives.</w:t>
      </w:r>
    </w:p>
    <w:p w14:paraId="094009A6" w14:textId="77777777" w:rsidR="002B6980" w:rsidRPr="005734B8" w:rsidRDefault="002B6980" w:rsidP="002B6980">
      <w:pPr>
        <w:rPr>
          <w:rFonts w:ascii="Calibri" w:hAnsi="Calibri" w:cs="Calibri"/>
        </w:rPr>
      </w:pPr>
    </w:p>
    <w:p w14:paraId="78BEDCF9" w14:textId="419AFEB6" w:rsidR="002B6980" w:rsidRPr="005734B8" w:rsidRDefault="002B6980" w:rsidP="002B6980">
      <w:pPr>
        <w:rPr>
          <w:rFonts w:ascii="Calibri" w:hAnsi="Calibri" w:cs="Calibri"/>
        </w:rPr>
      </w:pPr>
      <w:r w:rsidRPr="005734B8">
        <w:rPr>
          <w:rFonts w:ascii="Calibri" w:hAnsi="Calibri" w:cs="Calibri"/>
        </w:rPr>
        <w:t xml:space="preserve">Assessments are undertaken to review suppliers’ tender responses </w:t>
      </w:r>
      <w:r w:rsidR="00E0075E" w:rsidRPr="005734B8">
        <w:rPr>
          <w:rFonts w:ascii="Calibri" w:hAnsi="Calibri" w:cs="Calibri"/>
        </w:rPr>
        <w:t>for</w:t>
      </w:r>
      <w:r w:rsidRPr="005734B8">
        <w:rPr>
          <w:rFonts w:ascii="Calibri" w:hAnsi="Calibri" w:cs="Calibri"/>
        </w:rPr>
        <w:t xml:space="preserve"> the application of social and sustainable procurement objectives. Tender submissions are required to include responses </w:t>
      </w:r>
      <w:r w:rsidR="001C3933" w:rsidRPr="005734B8">
        <w:rPr>
          <w:rFonts w:ascii="Calibri" w:hAnsi="Calibri" w:cs="Calibri"/>
        </w:rPr>
        <w:t>to</w:t>
      </w:r>
      <w:r w:rsidRPr="005734B8">
        <w:rPr>
          <w:rFonts w:ascii="Calibri" w:hAnsi="Calibri" w:cs="Calibri"/>
        </w:rPr>
        <w:t xml:space="preserve"> the following criteria:</w:t>
      </w:r>
    </w:p>
    <w:p w14:paraId="4D303B16" w14:textId="4C186B7A" w:rsidR="002B6980" w:rsidRPr="005734B8" w:rsidRDefault="002B6980" w:rsidP="002B6980">
      <w:pPr>
        <w:pStyle w:val="ListParagraph"/>
        <w:numPr>
          <w:ilvl w:val="0"/>
          <w:numId w:val="14"/>
        </w:numPr>
        <w:rPr>
          <w:rFonts w:ascii="Calibri" w:hAnsi="Calibri" w:cs="Calibri"/>
        </w:rPr>
      </w:pPr>
      <w:r w:rsidRPr="005734B8">
        <w:rPr>
          <w:rFonts w:ascii="Calibri" w:hAnsi="Calibri" w:cs="Calibri"/>
        </w:rPr>
        <w:t>employment for Victorian Aboriginal people</w:t>
      </w:r>
    </w:p>
    <w:p w14:paraId="10D3029B" w14:textId="04B6D801" w:rsidR="002B6980" w:rsidRPr="005734B8" w:rsidRDefault="002B6980" w:rsidP="002B6980">
      <w:pPr>
        <w:pStyle w:val="ListParagraph"/>
        <w:numPr>
          <w:ilvl w:val="0"/>
          <w:numId w:val="14"/>
        </w:numPr>
        <w:rPr>
          <w:rFonts w:ascii="Calibri" w:hAnsi="Calibri" w:cs="Calibri"/>
        </w:rPr>
      </w:pPr>
      <w:r w:rsidRPr="005734B8">
        <w:rPr>
          <w:rFonts w:ascii="Calibri" w:hAnsi="Calibri" w:cs="Calibri"/>
        </w:rPr>
        <w:t>opportunities for disadvantaged Victorians</w:t>
      </w:r>
    </w:p>
    <w:p w14:paraId="74AB6D1B" w14:textId="77777777" w:rsidR="002B6980" w:rsidRPr="005734B8" w:rsidRDefault="002B6980" w:rsidP="002B6980">
      <w:pPr>
        <w:pStyle w:val="ListParagraph"/>
        <w:numPr>
          <w:ilvl w:val="0"/>
          <w:numId w:val="14"/>
        </w:numPr>
        <w:rPr>
          <w:rFonts w:ascii="Calibri" w:hAnsi="Calibri" w:cs="Calibri"/>
        </w:rPr>
      </w:pPr>
      <w:r w:rsidRPr="005734B8">
        <w:rPr>
          <w:rFonts w:ascii="Calibri" w:hAnsi="Calibri" w:cs="Calibri"/>
        </w:rPr>
        <w:t>environmentally sustainable outputs.</w:t>
      </w:r>
    </w:p>
    <w:p w14:paraId="6F859978" w14:textId="77777777" w:rsidR="002B6980" w:rsidRPr="005734B8" w:rsidRDefault="002B6980" w:rsidP="002B6980">
      <w:pPr>
        <w:rPr>
          <w:rFonts w:ascii="Calibri" w:hAnsi="Calibri" w:cs="Calibri"/>
        </w:rPr>
      </w:pPr>
    </w:p>
    <w:p w14:paraId="7FE146A4" w14:textId="722A52C6" w:rsidR="00E96F2A" w:rsidRPr="005734B8" w:rsidRDefault="002B6980" w:rsidP="00E96F2A">
      <w:pPr>
        <w:rPr>
          <w:rFonts w:ascii="Calibri" w:hAnsi="Calibri" w:cs="Calibri"/>
        </w:rPr>
      </w:pPr>
      <w:r w:rsidRPr="005734B8">
        <w:rPr>
          <w:rFonts w:ascii="Calibri" w:hAnsi="Calibri" w:cs="Calibri"/>
        </w:rPr>
        <w:t xml:space="preserve">The Department’s Capital Programs Assurance Service provides independent assurance on projects. It reviews the requirements in tender </w:t>
      </w:r>
      <w:r w:rsidR="006364BA" w:rsidRPr="005734B8">
        <w:rPr>
          <w:rFonts w:ascii="Calibri" w:hAnsi="Calibri" w:cs="Calibri"/>
        </w:rPr>
        <w:t>responses</w:t>
      </w:r>
      <w:r w:rsidRPr="005734B8">
        <w:rPr>
          <w:rFonts w:ascii="Calibri" w:hAnsi="Calibri" w:cs="Calibri"/>
        </w:rPr>
        <w:t xml:space="preserve"> against social procurement objectives. Based on these reviews</w:t>
      </w:r>
      <w:r w:rsidR="001C3933" w:rsidRPr="005734B8">
        <w:rPr>
          <w:rFonts w:ascii="Calibri" w:hAnsi="Calibri" w:cs="Calibri"/>
        </w:rPr>
        <w:t>,</w:t>
      </w:r>
      <w:r w:rsidRPr="005734B8">
        <w:rPr>
          <w:rFonts w:ascii="Calibri" w:hAnsi="Calibri" w:cs="Calibri"/>
        </w:rPr>
        <w:t xml:space="preserve"> </w:t>
      </w:r>
      <w:r w:rsidR="006364BA" w:rsidRPr="005734B8">
        <w:rPr>
          <w:rFonts w:ascii="Calibri" w:hAnsi="Calibri" w:cs="Calibri"/>
        </w:rPr>
        <w:t>VSBA</w:t>
      </w:r>
      <w:r w:rsidRPr="005734B8">
        <w:rPr>
          <w:rFonts w:ascii="Calibri" w:hAnsi="Calibri" w:cs="Calibri"/>
        </w:rPr>
        <w:t xml:space="preserve"> projects have demonstrated a </w:t>
      </w:r>
      <w:r w:rsidR="003B4676" w:rsidRPr="005734B8">
        <w:rPr>
          <w:rFonts w:ascii="Calibri" w:hAnsi="Calibri" w:cs="Calibri"/>
        </w:rPr>
        <w:t>high</w:t>
      </w:r>
      <w:r w:rsidRPr="005734B8">
        <w:rPr>
          <w:rFonts w:ascii="Calibri" w:hAnsi="Calibri" w:cs="Calibri"/>
        </w:rPr>
        <w:t xml:space="preserve"> level of compliance.</w:t>
      </w:r>
    </w:p>
    <w:p w14:paraId="423873CF" w14:textId="266E5982" w:rsidR="00E96F2A" w:rsidRPr="005734B8" w:rsidRDefault="005974EF" w:rsidP="00E96F2A">
      <w:pPr>
        <w:rPr>
          <w:rFonts w:ascii="Calibri" w:hAnsi="Calibri" w:cs="Calibri"/>
        </w:rPr>
      </w:pPr>
      <w:r w:rsidRPr="005734B8">
        <w:rPr>
          <w:rFonts w:ascii="Calibri" w:hAnsi="Calibri" w:cs="Calibri"/>
        </w:rPr>
        <w:br w:type="page"/>
      </w:r>
    </w:p>
    <w:p w14:paraId="083587D6" w14:textId="19AED2B1" w:rsidR="004B3205" w:rsidRPr="005734B8" w:rsidRDefault="004B3205" w:rsidP="004B3205">
      <w:pPr>
        <w:pStyle w:val="ESHeading2"/>
        <w:rPr>
          <w:rFonts w:ascii="Calibri" w:hAnsi="Calibri" w:cs="Calibri"/>
        </w:rPr>
      </w:pPr>
      <w:bookmarkStart w:id="716" w:name="_Toc19272053"/>
      <w:bookmarkStart w:id="717" w:name="_Toc19272419"/>
      <w:bookmarkStart w:id="718" w:name="_Toc19273754"/>
      <w:bookmarkStart w:id="719" w:name="_Toc48402795"/>
      <w:bookmarkStart w:id="720" w:name="_Toc48403032"/>
      <w:bookmarkStart w:id="721" w:name="_Toc51332775"/>
      <w:bookmarkStart w:id="722" w:name="_Toc81315339"/>
      <w:r w:rsidRPr="005734B8">
        <w:rPr>
          <w:rFonts w:ascii="Calibri" w:hAnsi="Calibri" w:cs="Calibri"/>
        </w:rPr>
        <w:lastRenderedPageBreak/>
        <w:t xml:space="preserve">Local </w:t>
      </w:r>
      <w:r w:rsidR="00A861B1" w:rsidRPr="005734B8">
        <w:rPr>
          <w:rFonts w:ascii="Calibri" w:hAnsi="Calibri" w:cs="Calibri"/>
        </w:rPr>
        <w:t xml:space="preserve">Jobs </w:t>
      </w:r>
      <w:r w:rsidR="00690237" w:rsidRPr="005734B8">
        <w:rPr>
          <w:rFonts w:ascii="Calibri" w:hAnsi="Calibri" w:cs="Calibri"/>
        </w:rPr>
        <w:t>F</w:t>
      </w:r>
      <w:r w:rsidRPr="005734B8">
        <w:rPr>
          <w:rFonts w:ascii="Calibri" w:hAnsi="Calibri" w:cs="Calibri"/>
        </w:rPr>
        <w:t>irst</w:t>
      </w:r>
      <w:bookmarkEnd w:id="711"/>
      <w:bookmarkEnd w:id="712"/>
      <w:bookmarkEnd w:id="713"/>
      <w:bookmarkEnd w:id="714"/>
      <w:bookmarkEnd w:id="715"/>
      <w:bookmarkEnd w:id="716"/>
      <w:bookmarkEnd w:id="717"/>
      <w:bookmarkEnd w:id="718"/>
      <w:bookmarkEnd w:id="719"/>
      <w:bookmarkEnd w:id="720"/>
      <w:bookmarkEnd w:id="721"/>
      <w:bookmarkEnd w:id="722"/>
    </w:p>
    <w:p w14:paraId="62B3F12F" w14:textId="31D8931B" w:rsidR="00D358B6" w:rsidRPr="005734B8" w:rsidRDefault="00690237" w:rsidP="00D358B6">
      <w:pPr>
        <w:rPr>
          <w:rFonts w:ascii="Calibri" w:hAnsi="Calibri" w:cs="Calibri"/>
        </w:rPr>
      </w:pPr>
      <w:r w:rsidRPr="005734B8">
        <w:rPr>
          <w:rFonts w:ascii="Calibri" w:hAnsi="Calibri" w:cs="Calibri"/>
        </w:rPr>
        <w:t>Introduced in August 2018, t</w:t>
      </w:r>
      <w:r w:rsidR="00D358B6" w:rsidRPr="005734B8">
        <w:rPr>
          <w:rFonts w:ascii="Calibri" w:hAnsi="Calibri" w:cs="Calibri"/>
        </w:rPr>
        <w:t xml:space="preserve">he </w:t>
      </w:r>
      <w:r w:rsidR="00D358B6" w:rsidRPr="005734B8">
        <w:rPr>
          <w:rFonts w:ascii="Calibri" w:hAnsi="Calibri" w:cs="Calibri"/>
          <w:i/>
        </w:rPr>
        <w:t>Local Jobs First Act 2003</w:t>
      </w:r>
      <w:r w:rsidR="00D358B6" w:rsidRPr="005734B8">
        <w:rPr>
          <w:rFonts w:ascii="Calibri" w:hAnsi="Calibri" w:cs="Calibri"/>
        </w:rPr>
        <w:t xml:space="preserve"> brings together the Victorian Industry Participation Policy (VIPP) and Major Project Skills Guarantee (MPSG) policy</w:t>
      </w:r>
      <w:r w:rsidR="007A0714" w:rsidRPr="005734B8">
        <w:rPr>
          <w:rFonts w:ascii="Calibri" w:hAnsi="Calibri" w:cs="Calibri"/>
        </w:rPr>
        <w:t>,</w:t>
      </w:r>
      <w:r w:rsidR="00D358B6" w:rsidRPr="005734B8">
        <w:rPr>
          <w:rFonts w:ascii="Calibri" w:hAnsi="Calibri" w:cs="Calibri"/>
        </w:rPr>
        <w:t xml:space="preserve"> which were previously administered separately.</w:t>
      </w:r>
    </w:p>
    <w:p w14:paraId="2C388938" w14:textId="77777777" w:rsidR="00D358B6" w:rsidRPr="005734B8" w:rsidRDefault="00D358B6" w:rsidP="00D358B6">
      <w:pPr>
        <w:rPr>
          <w:rFonts w:ascii="Calibri" w:hAnsi="Calibri" w:cs="Calibri"/>
        </w:rPr>
      </w:pPr>
    </w:p>
    <w:p w14:paraId="0FF4E776" w14:textId="5DA32E70" w:rsidR="00D358B6" w:rsidRPr="005734B8" w:rsidRDefault="00D358B6" w:rsidP="00D358B6">
      <w:pPr>
        <w:rPr>
          <w:rFonts w:ascii="Calibri" w:hAnsi="Calibri" w:cs="Calibri"/>
        </w:rPr>
      </w:pPr>
      <w:r w:rsidRPr="005734B8">
        <w:rPr>
          <w:rFonts w:ascii="Calibri" w:hAnsi="Calibri" w:cs="Calibri"/>
        </w:rPr>
        <w:t>Departments and public sector bodies are r</w:t>
      </w:r>
      <w:r w:rsidR="00E87711" w:rsidRPr="005734B8">
        <w:rPr>
          <w:rFonts w:ascii="Calibri" w:hAnsi="Calibri" w:cs="Calibri"/>
        </w:rPr>
        <w:t>equired to apply the Local Job</w:t>
      </w:r>
      <w:r w:rsidR="007A0714" w:rsidRPr="005734B8">
        <w:rPr>
          <w:rFonts w:ascii="Calibri" w:hAnsi="Calibri" w:cs="Calibri"/>
        </w:rPr>
        <w:t>s</w:t>
      </w:r>
      <w:r w:rsidR="00E87711" w:rsidRPr="005734B8">
        <w:rPr>
          <w:rFonts w:ascii="Calibri" w:hAnsi="Calibri" w:cs="Calibri"/>
        </w:rPr>
        <w:t xml:space="preserve"> F</w:t>
      </w:r>
      <w:r w:rsidRPr="005734B8">
        <w:rPr>
          <w:rFonts w:ascii="Calibri" w:hAnsi="Calibri" w:cs="Calibri"/>
        </w:rPr>
        <w:t xml:space="preserve">irst policy </w:t>
      </w:r>
      <w:r w:rsidR="007A0714" w:rsidRPr="005734B8">
        <w:rPr>
          <w:rFonts w:ascii="Calibri" w:hAnsi="Calibri" w:cs="Calibri"/>
        </w:rPr>
        <w:t>to</w:t>
      </w:r>
      <w:r w:rsidRPr="005734B8">
        <w:rPr>
          <w:rFonts w:ascii="Calibri" w:hAnsi="Calibri" w:cs="Calibri"/>
        </w:rPr>
        <w:t xml:space="preserve"> all </w:t>
      </w:r>
      <w:r w:rsidR="007A0714" w:rsidRPr="005734B8">
        <w:rPr>
          <w:rFonts w:ascii="Calibri" w:hAnsi="Calibri" w:cs="Calibri"/>
        </w:rPr>
        <w:t>m</w:t>
      </w:r>
      <w:r w:rsidR="00E87711" w:rsidRPr="005734B8">
        <w:rPr>
          <w:rFonts w:ascii="Calibri" w:hAnsi="Calibri" w:cs="Calibri"/>
        </w:rPr>
        <w:t xml:space="preserve">etropolitan Melbourne and statewide projects </w:t>
      </w:r>
      <w:r w:rsidRPr="005734B8">
        <w:rPr>
          <w:rFonts w:ascii="Calibri" w:hAnsi="Calibri" w:cs="Calibri"/>
        </w:rPr>
        <w:t>valued at $3 million or more, or</w:t>
      </w:r>
      <w:r w:rsidR="00E87711" w:rsidRPr="005734B8">
        <w:rPr>
          <w:rFonts w:ascii="Calibri" w:hAnsi="Calibri" w:cs="Calibri"/>
        </w:rPr>
        <w:t xml:space="preserve"> $1</w:t>
      </w:r>
      <w:r w:rsidR="00ED70D7" w:rsidRPr="005734B8">
        <w:rPr>
          <w:rFonts w:ascii="Calibri" w:hAnsi="Calibri" w:cs="Calibri"/>
        </w:rPr>
        <w:t> </w:t>
      </w:r>
      <w:r w:rsidR="00E87711" w:rsidRPr="005734B8">
        <w:rPr>
          <w:rFonts w:ascii="Calibri" w:hAnsi="Calibri" w:cs="Calibri"/>
        </w:rPr>
        <w:t>million or more</w:t>
      </w:r>
      <w:r w:rsidRPr="005734B8">
        <w:rPr>
          <w:rFonts w:ascii="Calibri" w:hAnsi="Calibri" w:cs="Calibri"/>
        </w:rPr>
        <w:t xml:space="preserve"> in regional Victoria.</w:t>
      </w:r>
    </w:p>
    <w:p w14:paraId="41606399" w14:textId="77777777" w:rsidR="00D358B6" w:rsidRPr="005734B8" w:rsidRDefault="00D358B6" w:rsidP="00D358B6">
      <w:pPr>
        <w:rPr>
          <w:rFonts w:ascii="Calibri" w:hAnsi="Calibri" w:cs="Calibri"/>
        </w:rPr>
      </w:pPr>
    </w:p>
    <w:p w14:paraId="025479AD" w14:textId="2E5AC851" w:rsidR="003305A4" w:rsidRPr="005734B8" w:rsidRDefault="00D358B6" w:rsidP="00D358B6">
      <w:pPr>
        <w:rPr>
          <w:rFonts w:ascii="Calibri" w:hAnsi="Calibri" w:cs="Calibri"/>
        </w:rPr>
      </w:pPr>
      <w:r w:rsidRPr="005734B8">
        <w:rPr>
          <w:rFonts w:ascii="Calibri" w:hAnsi="Calibri" w:cs="Calibri"/>
        </w:rPr>
        <w:t>MPSG applies to all construction projects valued at $20 million or more. The MPSG guidelines and VIPP guidelines continue to apply to MPSG applicable and VIPP applicable projects respectively</w:t>
      </w:r>
      <w:r w:rsidR="007A0714" w:rsidRPr="005734B8">
        <w:rPr>
          <w:rFonts w:ascii="Calibri" w:hAnsi="Calibri" w:cs="Calibri"/>
        </w:rPr>
        <w:t>,</w:t>
      </w:r>
      <w:r w:rsidRPr="005734B8">
        <w:rPr>
          <w:rFonts w:ascii="Calibri" w:hAnsi="Calibri" w:cs="Calibri"/>
        </w:rPr>
        <w:t xml:space="preserve"> where contracts have been entered </w:t>
      </w:r>
      <w:r w:rsidR="00690237" w:rsidRPr="005734B8">
        <w:rPr>
          <w:rFonts w:ascii="Calibri" w:hAnsi="Calibri" w:cs="Calibri"/>
        </w:rPr>
        <w:t>into</w:t>
      </w:r>
      <w:r w:rsidRPr="005734B8">
        <w:rPr>
          <w:rFonts w:ascii="Calibri" w:hAnsi="Calibri" w:cs="Calibri"/>
        </w:rPr>
        <w:t xml:space="preserve"> prior to 15 August 2018.</w:t>
      </w:r>
    </w:p>
    <w:p w14:paraId="6BC3A257" w14:textId="4B37D86B" w:rsidR="00C07966" w:rsidRPr="005734B8" w:rsidRDefault="00C07966" w:rsidP="00D358B6">
      <w:pPr>
        <w:rPr>
          <w:rFonts w:ascii="Calibri" w:hAnsi="Calibri" w:cs="Calibri"/>
          <w:highlight w:val="yellow"/>
        </w:rPr>
      </w:pPr>
    </w:p>
    <w:p w14:paraId="3876619B" w14:textId="5357FD2D" w:rsidR="00C07966" w:rsidRPr="005734B8" w:rsidRDefault="00C07966" w:rsidP="00D358B6">
      <w:pPr>
        <w:rPr>
          <w:rFonts w:ascii="Calibri" w:hAnsi="Calibri" w:cs="Calibri"/>
        </w:rPr>
      </w:pPr>
      <w:r w:rsidRPr="005734B8">
        <w:rPr>
          <w:rFonts w:ascii="Calibri" w:hAnsi="Calibri" w:cs="Calibri"/>
        </w:rPr>
        <w:t>During 20</w:t>
      </w:r>
      <w:r w:rsidR="00ED70D7" w:rsidRPr="005734B8">
        <w:rPr>
          <w:rFonts w:ascii="Calibri" w:hAnsi="Calibri" w:cs="Calibri"/>
        </w:rPr>
        <w:t>20</w:t>
      </w:r>
      <w:r w:rsidRPr="005734B8">
        <w:rPr>
          <w:rFonts w:ascii="Calibri" w:hAnsi="Calibri" w:cs="Calibri"/>
        </w:rPr>
        <w:t>–2</w:t>
      </w:r>
      <w:r w:rsidR="00ED70D7" w:rsidRPr="005734B8">
        <w:rPr>
          <w:rFonts w:ascii="Calibri" w:hAnsi="Calibri" w:cs="Calibri"/>
        </w:rPr>
        <w:t>1</w:t>
      </w:r>
      <w:r w:rsidRPr="005734B8">
        <w:rPr>
          <w:rFonts w:ascii="Calibri" w:hAnsi="Calibri" w:cs="Calibri"/>
        </w:rPr>
        <w:t xml:space="preserve">, the Department commenced or completed a total of </w:t>
      </w:r>
      <w:r w:rsidR="0097026E" w:rsidRPr="005734B8">
        <w:rPr>
          <w:rFonts w:ascii="Calibri" w:hAnsi="Calibri" w:cs="Calibri"/>
        </w:rPr>
        <w:t>130</w:t>
      </w:r>
      <w:r w:rsidRPr="005734B8">
        <w:rPr>
          <w:rFonts w:ascii="Calibri" w:hAnsi="Calibri" w:cs="Calibri"/>
        </w:rPr>
        <w:t xml:space="preserve"> Local Jobs First projects</w:t>
      </w:r>
      <w:r w:rsidR="001C3933" w:rsidRPr="005734B8">
        <w:rPr>
          <w:rFonts w:ascii="Calibri" w:hAnsi="Calibri" w:cs="Calibri"/>
        </w:rPr>
        <w:t>,</w:t>
      </w:r>
      <w:r w:rsidRPr="005734B8">
        <w:rPr>
          <w:rFonts w:ascii="Calibri" w:hAnsi="Calibri" w:cs="Calibri"/>
        </w:rPr>
        <w:t xml:space="preserve"> totalling $1.</w:t>
      </w:r>
      <w:r w:rsidR="0097026E" w:rsidRPr="005734B8">
        <w:rPr>
          <w:rFonts w:ascii="Calibri" w:hAnsi="Calibri" w:cs="Calibri"/>
        </w:rPr>
        <w:t>3</w:t>
      </w:r>
      <w:r w:rsidRPr="005734B8">
        <w:rPr>
          <w:rFonts w:ascii="Calibri" w:hAnsi="Calibri" w:cs="Calibri"/>
        </w:rPr>
        <w:t xml:space="preserve"> billion. This includes 1</w:t>
      </w:r>
      <w:r w:rsidR="00ED70D7" w:rsidRPr="005734B8">
        <w:rPr>
          <w:rFonts w:ascii="Calibri" w:hAnsi="Calibri" w:cs="Calibri"/>
        </w:rPr>
        <w:t>0</w:t>
      </w:r>
      <w:r w:rsidR="0097026E" w:rsidRPr="005734B8">
        <w:rPr>
          <w:rFonts w:ascii="Calibri" w:hAnsi="Calibri" w:cs="Calibri"/>
        </w:rPr>
        <w:t>6</w:t>
      </w:r>
      <w:r w:rsidRPr="005734B8">
        <w:rPr>
          <w:rFonts w:ascii="Calibri" w:hAnsi="Calibri" w:cs="Calibri"/>
        </w:rPr>
        <w:t xml:space="preserve"> standard projects and </w:t>
      </w:r>
      <w:r w:rsidR="00ED70D7" w:rsidRPr="005734B8">
        <w:rPr>
          <w:rFonts w:ascii="Calibri" w:hAnsi="Calibri" w:cs="Calibri"/>
        </w:rPr>
        <w:t>24</w:t>
      </w:r>
      <w:r w:rsidRPr="005734B8">
        <w:rPr>
          <w:rFonts w:ascii="Calibri" w:hAnsi="Calibri" w:cs="Calibri"/>
        </w:rPr>
        <w:t xml:space="preserve"> strategic projects.</w:t>
      </w:r>
      <w:r w:rsidR="0097026E" w:rsidRPr="005734B8">
        <w:rPr>
          <w:rFonts w:ascii="Calibri" w:hAnsi="Calibri" w:cs="Calibri"/>
        </w:rPr>
        <w:t xml:space="preserve"> The statewide projects averaged 70 per cent local content.</w:t>
      </w:r>
    </w:p>
    <w:p w14:paraId="7D0483B5" w14:textId="5F0E2E5C" w:rsidR="004B3205" w:rsidRPr="005734B8" w:rsidRDefault="004B3205" w:rsidP="004B3205">
      <w:pPr>
        <w:pStyle w:val="ESHeading3"/>
        <w:ind w:left="0" w:firstLine="0"/>
        <w:rPr>
          <w:rFonts w:ascii="Calibri" w:hAnsi="Calibri" w:cs="Calibri"/>
        </w:rPr>
      </w:pPr>
      <w:bookmarkStart w:id="723" w:name="_Toc11158242"/>
      <w:bookmarkStart w:id="724" w:name="_Toc11336249"/>
      <w:bookmarkStart w:id="725" w:name="_Toc14965475"/>
      <w:bookmarkStart w:id="726" w:name="_Toc19272054"/>
      <w:bookmarkStart w:id="727" w:name="_Toc19272420"/>
      <w:bookmarkStart w:id="728" w:name="_Toc19273755"/>
      <w:r w:rsidRPr="005734B8">
        <w:rPr>
          <w:rFonts w:ascii="Calibri" w:hAnsi="Calibri" w:cs="Calibri"/>
          <w:lang w:val="en-AU"/>
        </w:rPr>
        <w:t>Projects commenced</w:t>
      </w:r>
      <w:r w:rsidR="001C3933" w:rsidRPr="005734B8">
        <w:rPr>
          <w:rFonts w:ascii="Calibri" w:hAnsi="Calibri" w:cs="Calibri"/>
          <w:lang w:val="en-AU"/>
        </w:rPr>
        <w:t>—</w:t>
      </w:r>
      <w:r w:rsidRPr="005734B8">
        <w:rPr>
          <w:rFonts w:ascii="Calibri" w:hAnsi="Calibri" w:cs="Calibri"/>
          <w:lang w:val="en-AU"/>
        </w:rPr>
        <w:t xml:space="preserve">Local </w:t>
      </w:r>
      <w:r w:rsidR="00690237" w:rsidRPr="005734B8">
        <w:rPr>
          <w:rFonts w:ascii="Calibri" w:hAnsi="Calibri" w:cs="Calibri"/>
          <w:lang w:val="en-AU"/>
        </w:rPr>
        <w:t>J</w:t>
      </w:r>
      <w:r w:rsidRPr="005734B8">
        <w:rPr>
          <w:rFonts w:ascii="Calibri" w:hAnsi="Calibri" w:cs="Calibri"/>
          <w:lang w:val="en-AU"/>
        </w:rPr>
        <w:t xml:space="preserve">obs </w:t>
      </w:r>
      <w:r w:rsidR="00690237" w:rsidRPr="005734B8">
        <w:rPr>
          <w:rFonts w:ascii="Calibri" w:hAnsi="Calibri" w:cs="Calibri"/>
          <w:lang w:val="en-AU"/>
        </w:rPr>
        <w:t>F</w:t>
      </w:r>
      <w:r w:rsidRPr="005734B8">
        <w:rPr>
          <w:rFonts w:ascii="Calibri" w:hAnsi="Calibri" w:cs="Calibri"/>
          <w:lang w:val="en-AU"/>
        </w:rPr>
        <w:t xml:space="preserve">irst </w:t>
      </w:r>
      <w:r w:rsidR="00690237" w:rsidRPr="005734B8">
        <w:rPr>
          <w:rFonts w:ascii="Calibri" w:hAnsi="Calibri" w:cs="Calibri"/>
          <w:lang w:val="en-AU"/>
        </w:rPr>
        <w:t>S</w:t>
      </w:r>
      <w:r w:rsidRPr="005734B8">
        <w:rPr>
          <w:rFonts w:ascii="Calibri" w:hAnsi="Calibri" w:cs="Calibri"/>
          <w:lang w:val="en-AU"/>
        </w:rPr>
        <w:t>tandard</w:t>
      </w:r>
      <w:bookmarkEnd w:id="723"/>
      <w:bookmarkEnd w:id="724"/>
      <w:bookmarkEnd w:id="725"/>
      <w:bookmarkEnd w:id="726"/>
      <w:bookmarkEnd w:id="727"/>
      <w:bookmarkEnd w:id="728"/>
    </w:p>
    <w:p w14:paraId="7982F0D1" w14:textId="7198945E" w:rsidR="00E567F2" w:rsidRPr="005734B8" w:rsidRDefault="00D577EF" w:rsidP="00AC501A">
      <w:pPr>
        <w:rPr>
          <w:rFonts w:ascii="Calibri" w:hAnsi="Calibri" w:cs="Calibri"/>
        </w:rPr>
      </w:pPr>
      <w:bookmarkStart w:id="729" w:name="_Toc11158243"/>
      <w:bookmarkStart w:id="730" w:name="_Toc11336250"/>
      <w:r w:rsidRPr="005734B8">
        <w:rPr>
          <w:rFonts w:ascii="Calibri" w:hAnsi="Calibri" w:cs="Calibri"/>
          <w:szCs w:val="22"/>
        </w:rPr>
        <w:t>D</w:t>
      </w:r>
      <w:r w:rsidRPr="005734B8">
        <w:rPr>
          <w:rFonts w:ascii="Calibri" w:hAnsi="Calibri" w:cs="Calibri"/>
        </w:rPr>
        <w:t>uring 20</w:t>
      </w:r>
      <w:r w:rsidR="00ED70D7" w:rsidRPr="005734B8">
        <w:rPr>
          <w:rFonts w:ascii="Calibri" w:hAnsi="Calibri" w:cs="Calibri"/>
        </w:rPr>
        <w:t>20</w:t>
      </w:r>
      <w:r w:rsidRPr="005734B8">
        <w:rPr>
          <w:rFonts w:ascii="Calibri" w:hAnsi="Calibri" w:cs="Calibri"/>
        </w:rPr>
        <w:t>–</w:t>
      </w:r>
      <w:r w:rsidR="005E4446" w:rsidRPr="005734B8">
        <w:rPr>
          <w:rFonts w:ascii="Calibri" w:hAnsi="Calibri" w:cs="Calibri"/>
        </w:rPr>
        <w:t>2</w:t>
      </w:r>
      <w:r w:rsidR="00ED70D7" w:rsidRPr="005734B8">
        <w:rPr>
          <w:rFonts w:ascii="Calibri" w:hAnsi="Calibri" w:cs="Calibri"/>
        </w:rPr>
        <w:t>1</w:t>
      </w:r>
      <w:r w:rsidR="005E4446" w:rsidRPr="005734B8">
        <w:rPr>
          <w:rFonts w:ascii="Calibri" w:hAnsi="Calibri" w:cs="Calibri"/>
        </w:rPr>
        <w:t>,</w:t>
      </w:r>
      <w:r w:rsidRPr="005734B8">
        <w:rPr>
          <w:rFonts w:ascii="Calibri" w:hAnsi="Calibri" w:cs="Calibri"/>
        </w:rPr>
        <w:t xml:space="preserve"> t</w:t>
      </w:r>
      <w:r w:rsidR="00AC501A" w:rsidRPr="005734B8">
        <w:rPr>
          <w:rFonts w:ascii="Calibri" w:hAnsi="Calibri" w:cs="Calibri"/>
        </w:rPr>
        <w:t xml:space="preserve">he Department commenced </w:t>
      </w:r>
      <w:r w:rsidR="00ED70D7" w:rsidRPr="005734B8">
        <w:rPr>
          <w:rFonts w:ascii="Calibri" w:hAnsi="Calibri" w:cs="Calibri"/>
        </w:rPr>
        <w:t>5</w:t>
      </w:r>
      <w:r w:rsidR="0097026E" w:rsidRPr="005734B8">
        <w:rPr>
          <w:rFonts w:ascii="Calibri" w:hAnsi="Calibri" w:cs="Calibri"/>
        </w:rPr>
        <w:t>6</w:t>
      </w:r>
      <w:r w:rsidR="00AC501A" w:rsidRPr="005734B8">
        <w:rPr>
          <w:rFonts w:ascii="Calibri" w:hAnsi="Calibri" w:cs="Calibri"/>
        </w:rPr>
        <w:t xml:space="preserve"> Local Jobs First </w:t>
      </w:r>
      <w:r w:rsidR="00690237" w:rsidRPr="005734B8">
        <w:rPr>
          <w:rFonts w:ascii="Calibri" w:hAnsi="Calibri" w:cs="Calibri"/>
        </w:rPr>
        <w:t>S</w:t>
      </w:r>
      <w:r w:rsidR="00AC501A" w:rsidRPr="005734B8">
        <w:rPr>
          <w:rFonts w:ascii="Calibri" w:hAnsi="Calibri" w:cs="Calibri"/>
        </w:rPr>
        <w:t xml:space="preserve">tandard </w:t>
      </w:r>
      <w:r w:rsidR="00690237" w:rsidRPr="005734B8">
        <w:rPr>
          <w:rFonts w:ascii="Calibri" w:hAnsi="Calibri" w:cs="Calibri"/>
        </w:rPr>
        <w:t>p</w:t>
      </w:r>
      <w:r w:rsidR="00AC501A" w:rsidRPr="005734B8">
        <w:rPr>
          <w:rFonts w:ascii="Calibri" w:hAnsi="Calibri" w:cs="Calibri"/>
        </w:rPr>
        <w:t>rojects</w:t>
      </w:r>
      <w:r w:rsidR="001C3933" w:rsidRPr="005734B8">
        <w:rPr>
          <w:rFonts w:ascii="Calibri" w:hAnsi="Calibri" w:cs="Calibri"/>
        </w:rPr>
        <w:t>,</w:t>
      </w:r>
      <w:r w:rsidR="00AC501A" w:rsidRPr="005734B8">
        <w:rPr>
          <w:rFonts w:ascii="Calibri" w:hAnsi="Calibri" w:cs="Calibri"/>
        </w:rPr>
        <w:t xml:space="preserve"> valued at $</w:t>
      </w:r>
      <w:r w:rsidR="0097026E" w:rsidRPr="005734B8">
        <w:rPr>
          <w:rFonts w:ascii="Calibri" w:hAnsi="Calibri" w:cs="Calibri"/>
        </w:rPr>
        <w:t>407</w:t>
      </w:r>
      <w:r w:rsidR="00AC501A" w:rsidRPr="005734B8">
        <w:rPr>
          <w:rFonts w:ascii="Calibri" w:hAnsi="Calibri" w:cs="Calibri"/>
        </w:rPr>
        <w:t xml:space="preserve"> million. </w:t>
      </w:r>
      <w:r w:rsidR="00E567F2" w:rsidRPr="005734B8">
        <w:rPr>
          <w:rFonts w:ascii="Calibri" w:hAnsi="Calibri" w:cs="Calibri"/>
        </w:rPr>
        <w:t>The projects based in metropolitan Victoria averaged 9</w:t>
      </w:r>
      <w:r w:rsidR="00ED70D7" w:rsidRPr="005734B8">
        <w:rPr>
          <w:rFonts w:ascii="Calibri" w:hAnsi="Calibri" w:cs="Calibri"/>
        </w:rPr>
        <w:t>3</w:t>
      </w:r>
      <w:r w:rsidR="00E567F2" w:rsidRPr="005734B8">
        <w:rPr>
          <w:rFonts w:ascii="Calibri" w:hAnsi="Calibri" w:cs="Calibri"/>
        </w:rPr>
        <w:t xml:space="preserve"> per cent local content. The projects based in regional Victoria averaged </w:t>
      </w:r>
      <w:r w:rsidR="00ED70D7" w:rsidRPr="005734B8">
        <w:rPr>
          <w:rFonts w:ascii="Calibri" w:hAnsi="Calibri" w:cs="Calibri"/>
        </w:rPr>
        <w:t>92</w:t>
      </w:r>
      <w:r w:rsidR="00E567F2" w:rsidRPr="005734B8">
        <w:rPr>
          <w:rFonts w:ascii="Calibri" w:hAnsi="Calibri" w:cs="Calibri"/>
        </w:rPr>
        <w:t xml:space="preserve"> per cent local content.</w:t>
      </w:r>
    </w:p>
    <w:p w14:paraId="2E3401BE" w14:textId="77777777" w:rsidR="00E567F2" w:rsidRPr="005734B8" w:rsidRDefault="00E567F2" w:rsidP="00AC501A">
      <w:pPr>
        <w:rPr>
          <w:rFonts w:ascii="Calibri" w:hAnsi="Calibri" w:cs="Calibri"/>
        </w:rPr>
      </w:pPr>
    </w:p>
    <w:p w14:paraId="520C04CB" w14:textId="34262386" w:rsidR="00AC501A" w:rsidRPr="005734B8" w:rsidRDefault="00E567F2" w:rsidP="00AC501A">
      <w:pPr>
        <w:rPr>
          <w:rFonts w:ascii="Calibri" w:hAnsi="Calibri" w:cs="Calibri"/>
          <w:szCs w:val="22"/>
        </w:rPr>
      </w:pPr>
      <w:r w:rsidRPr="005734B8">
        <w:rPr>
          <w:rFonts w:ascii="Calibri" w:hAnsi="Calibri" w:cs="Calibri"/>
        </w:rPr>
        <w:t>T</w:t>
      </w:r>
      <w:r w:rsidR="00AC501A" w:rsidRPr="005734B8">
        <w:rPr>
          <w:rFonts w:ascii="Calibri" w:hAnsi="Calibri" w:cs="Calibri"/>
          <w:szCs w:val="22"/>
        </w:rPr>
        <w:t>he expected outcome</w:t>
      </w:r>
      <w:r w:rsidRPr="005734B8">
        <w:rPr>
          <w:rFonts w:ascii="Calibri" w:hAnsi="Calibri" w:cs="Calibri"/>
          <w:szCs w:val="22"/>
        </w:rPr>
        <w:t>s</w:t>
      </w:r>
      <w:r w:rsidRPr="005734B8">
        <w:rPr>
          <w:rFonts w:ascii="Calibri" w:hAnsi="Calibri" w:cs="Calibri"/>
        </w:rPr>
        <w:t xml:space="preserve"> based on the reported and extrapolated information are</w:t>
      </w:r>
      <w:r w:rsidR="00AC501A" w:rsidRPr="005734B8">
        <w:rPr>
          <w:rFonts w:ascii="Calibri" w:hAnsi="Calibri" w:cs="Calibri"/>
          <w:szCs w:val="22"/>
        </w:rPr>
        <w:t>:</w:t>
      </w:r>
    </w:p>
    <w:p w14:paraId="6CE34201" w14:textId="5A94E07F" w:rsidR="00E567F2" w:rsidRPr="005734B8" w:rsidRDefault="00E567F2" w:rsidP="00E567F2">
      <w:pPr>
        <w:pStyle w:val="ListParagraph"/>
        <w:numPr>
          <w:ilvl w:val="0"/>
          <w:numId w:val="7"/>
        </w:numPr>
        <w:rPr>
          <w:rFonts w:ascii="Calibri" w:hAnsi="Calibri" w:cs="Calibri"/>
        </w:rPr>
      </w:pPr>
      <w:r w:rsidRPr="005734B8">
        <w:rPr>
          <w:rFonts w:ascii="Calibri" w:hAnsi="Calibri" w:cs="Calibri"/>
        </w:rPr>
        <w:t>an average of 9</w:t>
      </w:r>
      <w:r w:rsidR="0097026E" w:rsidRPr="005734B8">
        <w:rPr>
          <w:rFonts w:ascii="Calibri" w:hAnsi="Calibri" w:cs="Calibri"/>
        </w:rPr>
        <w:t>1</w:t>
      </w:r>
      <w:r w:rsidRPr="005734B8">
        <w:rPr>
          <w:rFonts w:ascii="Calibri" w:hAnsi="Calibri" w:cs="Calibri"/>
        </w:rPr>
        <w:t xml:space="preserve"> per cent local content overall</w:t>
      </w:r>
    </w:p>
    <w:p w14:paraId="65680823" w14:textId="3F08766E" w:rsidR="00E567F2" w:rsidRPr="005734B8" w:rsidRDefault="00E567F2" w:rsidP="00E567F2">
      <w:pPr>
        <w:pStyle w:val="ListParagraph"/>
        <w:numPr>
          <w:ilvl w:val="0"/>
          <w:numId w:val="7"/>
        </w:numPr>
        <w:rPr>
          <w:rFonts w:ascii="Calibri" w:hAnsi="Calibri" w:cs="Calibri"/>
        </w:rPr>
      </w:pPr>
      <w:r w:rsidRPr="005734B8">
        <w:rPr>
          <w:rFonts w:ascii="Calibri" w:hAnsi="Calibri" w:cs="Calibri"/>
        </w:rPr>
        <w:t xml:space="preserve">a total of </w:t>
      </w:r>
      <w:r w:rsidR="00B33896" w:rsidRPr="005734B8">
        <w:rPr>
          <w:rFonts w:ascii="Calibri" w:hAnsi="Calibri" w:cs="Calibri"/>
        </w:rPr>
        <w:t>256</w:t>
      </w:r>
      <w:r w:rsidRPr="005734B8">
        <w:rPr>
          <w:rFonts w:ascii="Calibri" w:hAnsi="Calibri" w:cs="Calibri"/>
        </w:rPr>
        <w:t xml:space="preserve"> positions created and </w:t>
      </w:r>
      <w:r w:rsidR="00B33896" w:rsidRPr="005734B8">
        <w:rPr>
          <w:rFonts w:ascii="Calibri" w:hAnsi="Calibri" w:cs="Calibri"/>
        </w:rPr>
        <w:t>959</w:t>
      </w:r>
      <w:r w:rsidRPr="005734B8">
        <w:rPr>
          <w:rFonts w:ascii="Calibri" w:hAnsi="Calibri" w:cs="Calibri"/>
        </w:rPr>
        <w:t xml:space="preserve"> positions retained</w:t>
      </w:r>
    </w:p>
    <w:p w14:paraId="630D1695" w14:textId="59108ABF" w:rsidR="00E567F2" w:rsidRPr="005734B8" w:rsidRDefault="00E567F2" w:rsidP="00E567F2">
      <w:pPr>
        <w:pStyle w:val="ListParagraph"/>
        <w:numPr>
          <w:ilvl w:val="0"/>
          <w:numId w:val="7"/>
        </w:numPr>
        <w:rPr>
          <w:rFonts w:ascii="Calibri" w:hAnsi="Calibri" w:cs="Calibri"/>
        </w:rPr>
      </w:pPr>
      <w:r w:rsidRPr="005734B8">
        <w:rPr>
          <w:rFonts w:ascii="Calibri" w:hAnsi="Calibri" w:cs="Calibri"/>
        </w:rPr>
        <w:t xml:space="preserve">an estimated </w:t>
      </w:r>
      <w:r w:rsidR="00ED70D7" w:rsidRPr="005734B8">
        <w:rPr>
          <w:rFonts w:ascii="Calibri" w:hAnsi="Calibri" w:cs="Calibri"/>
        </w:rPr>
        <w:t>82</w:t>
      </w:r>
      <w:r w:rsidRPr="005734B8">
        <w:rPr>
          <w:rFonts w:ascii="Calibri" w:hAnsi="Calibri" w:cs="Calibri"/>
        </w:rPr>
        <w:t xml:space="preserve"> new apprenticeships and traineeships created</w:t>
      </w:r>
    </w:p>
    <w:p w14:paraId="782674DB" w14:textId="1DDD34F8" w:rsidR="00AC501A" w:rsidRPr="005734B8" w:rsidRDefault="00E567F2" w:rsidP="00E567F2">
      <w:pPr>
        <w:pStyle w:val="ListParagraph"/>
        <w:numPr>
          <w:ilvl w:val="0"/>
          <w:numId w:val="7"/>
        </w:numPr>
        <w:rPr>
          <w:rFonts w:ascii="Calibri" w:hAnsi="Calibri" w:cs="Calibri"/>
        </w:rPr>
      </w:pPr>
      <w:r w:rsidRPr="005734B8">
        <w:rPr>
          <w:rFonts w:ascii="Calibri" w:hAnsi="Calibri" w:cs="Calibri"/>
        </w:rPr>
        <w:t xml:space="preserve">an estimated </w:t>
      </w:r>
      <w:r w:rsidR="00ED70D7" w:rsidRPr="005734B8">
        <w:rPr>
          <w:rFonts w:ascii="Calibri" w:hAnsi="Calibri" w:cs="Calibri"/>
        </w:rPr>
        <w:t>159</w:t>
      </w:r>
      <w:r w:rsidRPr="005734B8">
        <w:rPr>
          <w:rFonts w:ascii="Calibri" w:hAnsi="Calibri" w:cs="Calibri"/>
        </w:rPr>
        <w:t xml:space="preserve"> existing apprenticeships and traineeships retained</w:t>
      </w:r>
      <w:r w:rsidR="00AC501A" w:rsidRPr="005734B8">
        <w:rPr>
          <w:rFonts w:ascii="Calibri" w:hAnsi="Calibri" w:cs="Calibri"/>
        </w:rPr>
        <w:t>.</w:t>
      </w:r>
    </w:p>
    <w:p w14:paraId="765DDF21" w14:textId="77777777" w:rsidR="009D5893" w:rsidRPr="005734B8" w:rsidRDefault="009D5893" w:rsidP="009D5893">
      <w:pPr>
        <w:rPr>
          <w:rFonts w:ascii="Calibri" w:hAnsi="Calibri" w:cs="Calibri"/>
        </w:rPr>
      </w:pPr>
    </w:p>
    <w:p w14:paraId="07DEF152" w14:textId="0C21ADA4" w:rsidR="009B7C54" w:rsidRPr="005734B8" w:rsidRDefault="00E567F2" w:rsidP="00AC501A">
      <w:pPr>
        <w:rPr>
          <w:rFonts w:ascii="Calibri" w:hAnsi="Calibri" w:cs="Calibri"/>
          <w:szCs w:val="22"/>
        </w:rPr>
      </w:pPr>
      <w:r w:rsidRPr="005734B8">
        <w:rPr>
          <w:rFonts w:ascii="Calibri" w:hAnsi="Calibri" w:cs="Calibri"/>
          <w:szCs w:val="22"/>
        </w:rPr>
        <w:t xml:space="preserve">MPSG projects provided an estimated </w:t>
      </w:r>
      <w:r w:rsidR="00ED70D7" w:rsidRPr="005734B8">
        <w:rPr>
          <w:rFonts w:ascii="Calibri" w:hAnsi="Calibri" w:cs="Calibri"/>
          <w:szCs w:val="22"/>
        </w:rPr>
        <w:t>32</w:t>
      </w:r>
      <w:r w:rsidRPr="005734B8">
        <w:rPr>
          <w:rFonts w:ascii="Calibri" w:hAnsi="Calibri" w:cs="Calibri"/>
          <w:szCs w:val="22"/>
        </w:rPr>
        <w:t xml:space="preserve">,000 annual work hours to </w:t>
      </w:r>
      <w:r w:rsidR="00ED70D7" w:rsidRPr="005734B8">
        <w:rPr>
          <w:rFonts w:ascii="Calibri" w:hAnsi="Calibri" w:cs="Calibri"/>
          <w:szCs w:val="22"/>
        </w:rPr>
        <w:t>13</w:t>
      </w:r>
      <w:r w:rsidRPr="005734B8">
        <w:rPr>
          <w:rFonts w:ascii="Calibri" w:hAnsi="Calibri" w:cs="Calibri"/>
          <w:szCs w:val="22"/>
        </w:rPr>
        <w:t xml:space="preserve"> apprentices, trainees, and cadets.</w:t>
      </w:r>
      <w:r w:rsidR="009B7C54" w:rsidRPr="005734B8">
        <w:rPr>
          <w:rFonts w:ascii="Calibri" w:hAnsi="Calibri" w:cs="Calibri"/>
          <w:szCs w:val="22"/>
        </w:rPr>
        <w:t xml:space="preserve"> </w:t>
      </w:r>
    </w:p>
    <w:p w14:paraId="5303F56B" w14:textId="1F17892A" w:rsidR="004B3205" w:rsidRPr="005734B8" w:rsidRDefault="004B3205" w:rsidP="004B3205">
      <w:pPr>
        <w:pStyle w:val="ESHeading3"/>
        <w:ind w:left="0" w:firstLine="0"/>
        <w:rPr>
          <w:rFonts w:ascii="Calibri" w:hAnsi="Calibri" w:cs="Calibri"/>
        </w:rPr>
      </w:pPr>
      <w:bookmarkStart w:id="731" w:name="_Toc14965476"/>
      <w:bookmarkStart w:id="732" w:name="_Toc19272055"/>
      <w:bookmarkStart w:id="733" w:name="_Toc19272421"/>
      <w:bookmarkStart w:id="734" w:name="_Toc19273756"/>
      <w:bookmarkStart w:id="735" w:name="_Hlk70493766"/>
      <w:r w:rsidRPr="005734B8">
        <w:rPr>
          <w:rFonts w:ascii="Calibri" w:hAnsi="Calibri" w:cs="Calibri"/>
          <w:lang w:val="en-AU"/>
        </w:rPr>
        <w:t>Projects completed</w:t>
      </w:r>
      <w:r w:rsidR="001C3933" w:rsidRPr="005734B8">
        <w:rPr>
          <w:rFonts w:ascii="Calibri" w:hAnsi="Calibri" w:cs="Calibri"/>
          <w:lang w:val="en-AU"/>
        </w:rPr>
        <w:t>—</w:t>
      </w:r>
      <w:r w:rsidRPr="005734B8">
        <w:rPr>
          <w:rFonts w:ascii="Calibri" w:hAnsi="Calibri" w:cs="Calibri"/>
          <w:lang w:val="en-AU"/>
        </w:rPr>
        <w:t xml:space="preserve">Local </w:t>
      </w:r>
      <w:bookmarkEnd w:id="729"/>
      <w:bookmarkEnd w:id="730"/>
      <w:bookmarkEnd w:id="731"/>
      <w:bookmarkEnd w:id="732"/>
      <w:bookmarkEnd w:id="733"/>
      <w:bookmarkEnd w:id="734"/>
      <w:r w:rsidR="00690237" w:rsidRPr="005734B8">
        <w:rPr>
          <w:rFonts w:ascii="Calibri" w:hAnsi="Calibri" w:cs="Calibri"/>
          <w:lang w:val="en-AU"/>
        </w:rPr>
        <w:t>Jobs First Standard</w:t>
      </w:r>
      <w:bookmarkEnd w:id="735"/>
    </w:p>
    <w:p w14:paraId="3219867A" w14:textId="6E7CEBE1" w:rsidR="00ED70D7" w:rsidRPr="005734B8" w:rsidRDefault="00ED70D7" w:rsidP="00ED70D7">
      <w:pPr>
        <w:rPr>
          <w:rFonts w:ascii="Calibri" w:hAnsi="Calibri" w:cs="Calibri"/>
          <w:szCs w:val="22"/>
        </w:rPr>
      </w:pPr>
      <w:bookmarkStart w:id="736" w:name="_Toc11158244"/>
      <w:bookmarkStart w:id="737" w:name="_Toc11336251"/>
      <w:bookmarkStart w:id="738" w:name="_Toc14965477"/>
      <w:r w:rsidRPr="005734B8">
        <w:rPr>
          <w:rFonts w:ascii="Calibri" w:hAnsi="Calibri" w:cs="Calibri"/>
          <w:szCs w:val="22"/>
        </w:rPr>
        <w:t xml:space="preserve">During </w:t>
      </w:r>
      <w:r w:rsidRPr="005734B8">
        <w:rPr>
          <w:rFonts w:ascii="Calibri" w:hAnsi="Calibri" w:cs="Calibri"/>
        </w:rPr>
        <w:t>2020–21</w:t>
      </w:r>
      <w:r w:rsidRPr="005734B8">
        <w:rPr>
          <w:rFonts w:ascii="Calibri" w:hAnsi="Calibri" w:cs="Calibri"/>
          <w:szCs w:val="22"/>
        </w:rPr>
        <w:t>, the Department completed 5</w:t>
      </w:r>
      <w:r w:rsidR="0097026E" w:rsidRPr="005734B8">
        <w:rPr>
          <w:rFonts w:ascii="Calibri" w:hAnsi="Calibri" w:cs="Calibri"/>
          <w:szCs w:val="22"/>
        </w:rPr>
        <w:t>0</w:t>
      </w:r>
      <w:r w:rsidRPr="005734B8">
        <w:rPr>
          <w:rFonts w:ascii="Calibri" w:hAnsi="Calibri" w:cs="Calibri"/>
          <w:szCs w:val="22"/>
        </w:rPr>
        <w:t xml:space="preserve"> Local Jobs First Standard Projects, with a total value of $2</w:t>
      </w:r>
      <w:r w:rsidR="0097026E" w:rsidRPr="005734B8">
        <w:rPr>
          <w:rFonts w:ascii="Calibri" w:hAnsi="Calibri" w:cs="Calibri"/>
          <w:szCs w:val="22"/>
        </w:rPr>
        <w:t>83</w:t>
      </w:r>
      <w:r w:rsidRPr="005734B8">
        <w:rPr>
          <w:rFonts w:ascii="Calibri" w:hAnsi="Calibri" w:cs="Calibri"/>
          <w:szCs w:val="22"/>
        </w:rPr>
        <w:t xml:space="preserve"> million. The projects based in metropolitan Victoria averaged 89 per cent local content, </w:t>
      </w:r>
      <w:r w:rsidR="001C3933" w:rsidRPr="005734B8">
        <w:rPr>
          <w:rFonts w:ascii="Calibri" w:hAnsi="Calibri" w:cs="Calibri"/>
          <w:szCs w:val="22"/>
        </w:rPr>
        <w:t>and</w:t>
      </w:r>
      <w:r w:rsidRPr="005734B8">
        <w:rPr>
          <w:rFonts w:ascii="Calibri" w:hAnsi="Calibri" w:cs="Calibri"/>
          <w:szCs w:val="22"/>
        </w:rPr>
        <w:t xml:space="preserve"> those based in regional Victoria averaged 89 per cent local content. </w:t>
      </w:r>
    </w:p>
    <w:p w14:paraId="2DF5B960" w14:textId="6989F4A8" w:rsidR="00AC501A" w:rsidRPr="005734B8" w:rsidRDefault="00AC501A" w:rsidP="00AC501A">
      <w:pPr>
        <w:rPr>
          <w:rFonts w:ascii="Calibri" w:hAnsi="Calibri" w:cs="Calibri"/>
          <w:szCs w:val="22"/>
        </w:rPr>
      </w:pPr>
    </w:p>
    <w:p w14:paraId="46D56859" w14:textId="2A985066" w:rsidR="00AC501A" w:rsidRPr="005734B8" w:rsidRDefault="00AC501A" w:rsidP="00AC501A">
      <w:pPr>
        <w:rPr>
          <w:rFonts w:ascii="Calibri" w:hAnsi="Calibri" w:cs="Calibri"/>
        </w:rPr>
      </w:pPr>
      <w:r w:rsidRPr="005734B8">
        <w:rPr>
          <w:rFonts w:ascii="Calibri" w:hAnsi="Calibri" w:cs="Calibri"/>
        </w:rPr>
        <w:t>The expected outcomes based on reported and extrapolated information are:</w:t>
      </w:r>
    </w:p>
    <w:p w14:paraId="79B03E9B" w14:textId="77777777" w:rsidR="00ED70D7" w:rsidRPr="005734B8" w:rsidRDefault="00ED70D7" w:rsidP="00ED70D7">
      <w:pPr>
        <w:pStyle w:val="ListParagraph"/>
        <w:numPr>
          <w:ilvl w:val="0"/>
          <w:numId w:val="7"/>
        </w:numPr>
        <w:rPr>
          <w:rFonts w:ascii="Calibri" w:hAnsi="Calibri" w:cs="Calibri"/>
        </w:rPr>
      </w:pPr>
      <w:r w:rsidRPr="005734B8">
        <w:rPr>
          <w:rFonts w:ascii="Calibri" w:hAnsi="Calibri" w:cs="Calibri"/>
        </w:rPr>
        <w:t>an average of 89 per cent local content</w:t>
      </w:r>
    </w:p>
    <w:p w14:paraId="795EA96E" w14:textId="415DF245" w:rsidR="00ED70D7" w:rsidRPr="005734B8" w:rsidRDefault="00ED70D7" w:rsidP="00ED70D7">
      <w:pPr>
        <w:pStyle w:val="ListParagraph"/>
        <w:numPr>
          <w:ilvl w:val="0"/>
          <w:numId w:val="7"/>
        </w:numPr>
        <w:rPr>
          <w:rFonts w:ascii="Calibri" w:hAnsi="Calibri" w:cs="Calibri"/>
        </w:rPr>
      </w:pPr>
      <w:r w:rsidRPr="005734B8">
        <w:rPr>
          <w:rFonts w:ascii="Calibri" w:hAnsi="Calibri" w:cs="Calibri"/>
        </w:rPr>
        <w:t xml:space="preserve">a total of </w:t>
      </w:r>
      <w:r w:rsidR="00B33896" w:rsidRPr="005734B8">
        <w:rPr>
          <w:rFonts w:ascii="Calibri" w:hAnsi="Calibri" w:cs="Calibri"/>
        </w:rPr>
        <w:t>371</w:t>
      </w:r>
      <w:r w:rsidRPr="005734B8">
        <w:rPr>
          <w:rFonts w:ascii="Calibri" w:hAnsi="Calibri" w:cs="Calibri"/>
        </w:rPr>
        <w:t xml:space="preserve"> positions created and 1</w:t>
      </w:r>
      <w:r w:rsidR="00A5305E" w:rsidRPr="005734B8">
        <w:rPr>
          <w:rFonts w:ascii="Calibri" w:hAnsi="Calibri" w:cs="Calibri"/>
        </w:rPr>
        <w:t>,</w:t>
      </w:r>
      <w:r w:rsidR="00B33896" w:rsidRPr="005734B8">
        <w:rPr>
          <w:rFonts w:ascii="Calibri" w:hAnsi="Calibri" w:cs="Calibri"/>
        </w:rPr>
        <w:t xml:space="preserve">351 </w:t>
      </w:r>
      <w:r w:rsidRPr="005734B8">
        <w:rPr>
          <w:rFonts w:ascii="Calibri" w:hAnsi="Calibri" w:cs="Calibri"/>
        </w:rPr>
        <w:t xml:space="preserve">positions retained </w:t>
      </w:r>
    </w:p>
    <w:p w14:paraId="3F96DB2B" w14:textId="1EE71671" w:rsidR="00ED70D7" w:rsidRPr="005734B8" w:rsidRDefault="00ED70D7" w:rsidP="00ED70D7">
      <w:pPr>
        <w:pStyle w:val="ListParagraph"/>
        <w:numPr>
          <w:ilvl w:val="0"/>
          <w:numId w:val="7"/>
        </w:numPr>
        <w:rPr>
          <w:rFonts w:ascii="Calibri" w:hAnsi="Calibri" w:cs="Calibri"/>
        </w:rPr>
      </w:pPr>
      <w:r w:rsidRPr="005734B8">
        <w:rPr>
          <w:rFonts w:ascii="Calibri" w:hAnsi="Calibri" w:cs="Calibri"/>
        </w:rPr>
        <w:t>an estimated 17</w:t>
      </w:r>
      <w:r w:rsidR="00B33896" w:rsidRPr="005734B8">
        <w:rPr>
          <w:rFonts w:ascii="Calibri" w:hAnsi="Calibri" w:cs="Calibri"/>
        </w:rPr>
        <w:t>9</w:t>
      </w:r>
      <w:r w:rsidRPr="005734B8">
        <w:rPr>
          <w:rFonts w:ascii="Calibri" w:hAnsi="Calibri" w:cs="Calibri"/>
        </w:rPr>
        <w:t xml:space="preserve"> new apprenticeships and traineeships created</w:t>
      </w:r>
    </w:p>
    <w:p w14:paraId="1962E45A" w14:textId="77777777" w:rsidR="00ED70D7" w:rsidRPr="005734B8" w:rsidRDefault="00ED70D7" w:rsidP="00ED70D7">
      <w:pPr>
        <w:pStyle w:val="ListParagraph"/>
        <w:numPr>
          <w:ilvl w:val="0"/>
          <w:numId w:val="7"/>
        </w:numPr>
        <w:rPr>
          <w:rFonts w:ascii="Calibri" w:hAnsi="Calibri" w:cs="Calibri"/>
        </w:rPr>
      </w:pPr>
      <w:r w:rsidRPr="005734B8">
        <w:rPr>
          <w:rFonts w:ascii="Calibri" w:hAnsi="Calibri" w:cs="Calibri"/>
        </w:rPr>
        <w:t>an estimated 121 existing apprenticeships and traineeships retained.</w:t>
      </w:r>
    </w:p>
    <w:p w14:paraId="01DF2179" w14:textId="77777777" w:rsidR="00ED70D7" w:rsidRPr="005734B8" w:rsidRDefault="00ED70D7" w:rsidP="00ED70D7">
      <w:pPr>
        <w:rPr>
          <w:rFonts w:ascii="Calibri" w:hAnsi="Calibri" w:cs="Calibri"/>
          <w:highlight w:val="yellow"/>
        </w:rPr>
      </w:pPr>
    </w:p>
    <w:p w14:paraId="6813CB16" w14:textId="66AB2E68" w:rsidR="001C3E7D" w:rsidRPr="005734B8" w:rsidRDefault="00ED70D7" w:rsidP="00ED70D7">
      <w:pPr>
        <w:rPr>
          <w:rFonts w:ascii="Calibri" w:hAnsi="Calibri" w:cs="Calibri"/>
          <w:szCs w:val="22"/>
        </w:rPr>
      </w:pPr>
      <w:r w:rsidRPr="005734B8">
        <w:rPr>
          <w:rFonts w:ascii="Calibri" w:hAnsi="Calibri" w:cs="Calibri"/>
          <w:szCs w:val="22"/>
        </w:rPr>
        <w:t xml:space="preserve">MPSG projects provided an estimated total of 41,000 annual work hours to </w:t>
      </w:r>
      <w:r w:rsidR="00A5305E" w:rsidRPr="005734B8">
        <w:rPr>
          <w:rFonts w:ascii="Calibri" w:hAnsi="Calibri" w:cs="Calibri"/>
          <w:szCs w:val="22"/>
        </w:rPr>
        <w:t>eight</w:t>
      </w:r>
      <w:r w:rsidRPr="005734B8">
        <w:rPr>
          <w:rFonts w:ascii="Calibri" w:hAnsi="Calibri" w:cs="Calibri"/>
          <w:szCs w:val="22"/>
        </w:rPr>
        <w:t xml:space="preserve"> apprentices, trainees and cadets.</w:t>
      </w:r>
      <w:r w:rsidR="001C3E7D" w:rsidRPr="005734B8">
        <w:rPr>
          <w:rFonts w:ascii="Calibri" w:hAnsi="Calibri" w:cs="Calibri"/>
          <w:szCs w:val="22"/>
        </w:rPr>
        <w:br w:type="page"/>
      </w:r>
    </w:p>
    <w:p w14:paraId="788C71CE" w14:textId="3521ABC8" w:rsidR="004B3205" w:rsidRPr="005734B8" w:rsidRDefault="004B3205" w:rsidP="004B3205">
      <w:pPr>
        <w:pStyle w:val="ESHeading3"/>
        <w:ind w:left="0" w:firstLine="0"/>
        <w:rPr>
          <w:rFonts w:ascii="Calibri" w:hAnsi="Calibri" w:cs="Calibri"/>
          <w:lang w:val="en-AU"/>
        </w:rPr>
      </w:pPr>
      <w:bookmarkStart w:id="739" w:name="_Toc19272056"/>
      <w:bookmarkStart w:id="740" w:name="_Toc19272422"/>
      <w:bookmarkStart w:id="741" w:name="_Toc19273757"/>
      <w:r w:rsidRPr="005734B8">
        <w:rPr>
          <w:rFonts w:ascii="Calibri" w:hAnsi="Calibri" w:cs="Calibri"/>
          <w:lang w:val="en-AU"/>
        </w:rPr>
        <w:lastRenderedPageBreak/>
        <w:t>Projects commenced</w:t>
      </w:r>
      <w:r w:rsidR="001C3933" w:rsidRPr="005734B8">
        <w:rPr>
          <w:rFonts w:ascii="Calibri" w:hAnsi="Calibri" w:cs="Calibri"/>
          <w:lang w:val="en-AU"/>
        </w:rPr>
        <w:t>—</w:t>
      </w:r>
      <w:r w:rsidRPr="005734B8">
        <w:rPr>
          <w:rFonts w:ascii="Calibri" w:hAnsi="Calibri" w:cs="Calibri"/>
          <w:lang w:val="en-AU"/>
        </w:rPr>
        <w:t xml:space="preserve">Local </w:t>
      </w:r>
      <w:r w:rsidR="005437B7" w:rsidRPr="005734B8">
        <w:rPr>
          <w:rFonts w:ascii="Calibri" w:hAnsi="Calibri" w:cs="Calibri"/>
          <w:lang w:val="en-AU"/>
        </w:rPr>
        <w:t>J</w:t>
      </w:r>
      <w:r w:rsidRPr="005734B8">
        <w:rPr>
          <w:rFonts w:ascii="Calibri" w:hAnsi="Calibri" w:cs="Calibri"/>
          <w:lang w:val="en-AU"/>
        </w:rPr>
        <w:t xml:space="preserve">obs </w:t>
      </w:r>
      <w:r w:rsidR="005437B7" w:rsidRPr="005734B8">
        <w:rPr>
          <w:rFonts w:ascii="Calibri" w:hAnsi="Calibri" w:cs="Calibri"/>
          <w:lang w:val="en-AU"/>
        </w:rPr>
        <w:t>F</w:t>
      </w:r>
      <w:r w:rsidRPr="005734B8">
        <w:rPr>
          <w:rFonts w:ascii="Calibri" w:hAnsi="Calibri" w:cs="Calibri"/>
          <w:lang w:val="en-AU"/>
        </w:rPr>
        <w:t xml:space="preserve">irst </w:t>
      </w:r>
      <w:r w:rsidR="005437B7" w:rsidRPr="005734B8">
        <w:rPr>
          <w:rFonts w:ascii="Calibri" w:hAnsi="Calibri" w:cs="Calibri"/>
          <w:lang w:val="en-AU"/>
        </w:rPr>
        <w:t>S</w:t>
      </w:r>
      <w:r w:rsidRPr="005734B8">
        <w:rPr>
          <w:rFonts w:ascii="Calibri" w:hAnsi="Calibri" w:cs="Calibri"/>
          <w:lang w:val="en-AU"/>
        </w:rPr>
        <w:t>trategic</w:t>
      </w:r>
      <w:bookmarkEnd w:id="736"/>
      <w:bookmarkEnd w:id="737"/>
      <w:bookmarkEnd w:id="738"/>
      <w:bookmarkEnd w:id="739"/>
      <w:bookmarkEnd w:id="740"/>
      <w:bookmarkEnd w:id="741"/>
    </w:p>
    <w:p w14:paraId="249D46BF" w14:textId="22A8B203" w:rsidR="00ED70D7" w:rsidRPr="005734B8" w:rsidRDefault="00ED70D7" w:rsidP="00ED70D7">
      <w:pPr>
        <w:rPr>
          <w:rFonts w:ascii="Calibri" w:hAnsi="Calibri" w:cs="Calibri"/>
          <w:szCs w:val="22"/>
        </w:rPr>
      </w:pPr>
      <w:r w:rsidRPr="005734B8">
        <w:rPr>
          <w:rFonts w:ascii="Calibri" w:hAnsi="Calibri" w:cs="Calibri"/>
          <w:szCs w:val="22"/>
        </w:rPr>
        <w:t xml:space="preserve">During </w:t>
      </w:r>
      <w:r w:rsidRPr="005734B8">
        <w:rPr>
          <w:rFonts w:ascii="Calibri" w:hAnsi="Calibri" w:cs="Calibri"/>
        </w:rPr>
        <w:t>2020</w:t>
      </w:r>
      <w:r w:rsidR="00A5305E" w:rsidRPr="005734B8">
        <w:rPr>
          <w:rFonts w:ascii="Calibri" w:hAnsi="Calibri" w:cs="Calibri"/>
        </w:rPr>
        <w:t>–</w:t>
      </w:r>
      <w:r w:rsidRPr="005734B8">
        <w:rPr>
          <w:rFonts w:ascii="Calibri" w:hAnsi="Calibri" w:cs="Calibri"/>
        </w:rPr>
        <w:t>21</w:t>
      </w:r>
      <w:r w:rsidRPr="005734B8">
        <w:rPr>
          <w:rFonts w:ascii="Calibri" w:hAnsi="Calibri" w:cs="Calibri"/>
          <w:szCs w:val="22"/>
        </w:rPr>
        <w:t xml:space="preserve">, the Department commenced 10 Local Jobs First Strategic Projects, valued at $233 million. The statewide projects expect to use 93 per cent local content. </w:t>
      </w:r>
    </w:p>
    <w:p w14:paraId="0834820D" w14:textId="2CCCADE9" w:rsidR="00613282" w:rsidRPr="005734B8" w:rsidRDefault="00613282" w:rsidP="00485E3C">
      <w:pPr>
        <w:rPr>
          <w:rFonts w:ascii="Calibri" w:hAnsi="Calibri" w:cs="Calibri"/>
          <w:szCs w:val="22"/>
        </w:rPr>
      </w:pPr>
      <w:bookmarkStart w:id="742" w:name="_Toc11158245"/>
      <w:bookmarkStart w:id="743" w:name="_Toc11336252"/>
      <w:bookmarkStart w:id="744" w:name="_Toc14965478"/>
    </w:p>
    <w:p w14:paraId="7E164FC1" w14:textId="4614B6DE" w:rsidR="00613282" w:rsidRPr="005734B8" w:rsidRDefault="00613282" w:rsidP="00613282">
      <w:pPr>
        <w:rPr>
          <w:rFonts w:ascii="Calibri" w:hAnsi="Calibri" w:cs="Calibri"/>
        </w:rPr>
      </w:pPr>
      <w:r w:rsidRPr="005734B8">
        <w:rPr>
          <w:rFonts w:ascii="Calibri" w:hAnsi="Calibri" w:cs="Calibri"/>
        </w:rPr>
        <w:t>The expected outcomes based on the reported and extrapolated information are:</w:t>
      </w:r>
    </w:p>
    <w:p w14:paraId="3A0FDB2F" w14:textId="77777777" w:rsidR="00ED70D7" w:rsidRPr="005734B8" w:rsidRDefault="00ED70D7" w:rsidP="00ED70D7">
      <w:pPr>
        <w:pStyle w:val="ListParagraph"/>
        <w:numPr>
          <w:ilvl w:val="0"/>
          <w:numId w:val="7"/>
        </w:numPr>
        <w:rPr>
          <w:rFonts w:ascii="Calibri" w:hAnsi="Calibri" w:cs="Calibri"/>
        </w:rPr>
      </w:pPr>
      <w:r w:rsidRPr="005734B8">
        <w:rPr>
          <w:rFonts w:ascii="Calibri" w:hAnsi="Calibri" w:cs="Calibri"/>
        </w:rPr>
        <w:t>an average of 93 per cent local content</w:t>
      </w:r>
    </w:p>
    <w:p w14:paraId="0D587C3C" w14:textId="202622DD" w:rsidR="00ED70D7" w:rsidRPr="005734B8" w:rsidRDefault="00ED70D7" w:rsidP="00ED70D7">
      <w:pPr>
        <w:pStyle w:val="ListParagraph"/>
        <w:numPr>
          <w:ilvl w:val="0"/>
          <w:numId w:val="7"/>
        </w:numPr>
        <w:rPr>
          <w:rFonts w:ascii="Calibri" w:hAnsi="Calibri" w:cs="Calibri"/>
        </w:rPr>
      </w:pPr>
      <w:r w:rsidRPr="005734B8">
        <w:rPr>
          <w:rFonts w:ascii="Calibri" w:hAnsi="Calibri" w:cs="Calibri"/>
        </w:rPr>
        <w:t xml:space="preserve">a total of </w:t>
      </w:r>
      <w:r w:rsidR="00B33896" w:rsidRPr="005734B8">
        <w:rPr>
          <w:rFonts w:ascii="Calibri" w:hAnsi="Calibri" w:cs="Calibri"/>
        </w:rPr>
        <w:t>113</w:t>
      </w:r>
      <w:r w:rsidRPr="005734B8">
        <w:rPr>
          <w:rFonts w:ascii="Calibri" w:hAnsi="Calibri" w:cs="Calibri"/>
        </w:rPr>
        <w:t xml:space="preserve"> positions created and 3</w:t>
      </w:r>
      <w:r w:rsidR="00B33896" w:rsidRPr="005734B8">
        <w:rPr>
          <w:rFonts w:ascii="Calibri" w:hAnsi="Calibri" w:cs="Calibri"/>
        </w:rPr>
        <w:t>84</w:t>
      </w:r>
      <w:r w:rsidRPr="005734B8">
        <w:rPr>
          <w:rFonts w:ascii="Calibri" w:hAnsi="Calibri" w:cs="Calibri"/>
        </w:rPr>
        <w:t xml:space="preserve"> positions retained</w:t>
      </w:r>
    </w:p>
    <w:p w14:paraId="16A2BB54" w14:textId="0C3E59BD" w:rsidR="00ED70D7" w:rsidRPr="005734B8" w:rsidRDefault="00ED70D7" w:rsidP="00ED70D7">
      <w:pPr>
        <w:pStyle w:val="ListParagraph"/>
        <w:numPr>
          <w:ilvl w:val="0"/>
          <w:numId w:val="7"/>
        </w:numPr>
        <w:rPr>
          <w:rFonts w:ascii="Calibri" w:hAnsi="Calibri" w:cs="Calibri"/>
        </w:rPr>
      </w:pPr>
      <w:r w:rsidRPr="005734B8">
        <w:rPr>
          <w:rFonts w:ascii="Calibri" w:hAnsi="Calibri" w:cs="Calibri"/>
        </w:rPr>
        <w:t>an estimated 3</w:t>
      </w:r>
      <w:r w:rsidR="00B33896" w:rsidRPr="005734B8">
        <w:rPr>
          <w:rFonts w:ascii="Calibri" w:hAnsi="Calibri" w:cs="Calibri"/>
        </w:rPr>
        <w:t>4</w:t>
      </w:r>
      <w:r w:rsidRPr="005734B8">
        <w:rPr>
          <w:rFonts w:ascii="Calibri" w:hAnsi="Calibri" w:cs="Calibri"/>
        </w:rPr>
        <w:t xml:space="preserve"> new apprenticeships and traineeships created</w:t>
      </w:r>
    </w:p>
    <w:p w14:paraId="7BF93B76" w14:textId="1AD9A726" w:rsidR="00ED70D7" w:rsidRPr="005734B8" w:rsidRDefault="00ED70D7" w:rsidP="00ED70D7">
      <w:pPr>
        <w:pStyle w:val="ListParagraph"/>
        <w:numPr>
          <w:ilvl w:val="0"/>
          <w:numId w:val="7"/>
        </w:numPr>
        <w:rPr>
          <w:rFonts w:ascii="Calibri" w:hAnsi="Calibri" w:cs="Calibri"/>
        </w:rPr>
      </w:pPr>
      <w:r w:rsidRPr="005734B8">
        <w:rPr>
          <w:rFonts w:ascii="Calibri" w:hAnsi="Calibri" w:cs="Calibri"/>
        </w:rPr>
        <w:t>an estimated 3</w:t>
      </w:r>
      <w:r w:rsidR="00B33896" w:rsidRPr="005734B8">
        <w:rPr>
          <w:rFonts w:ascii="Calibri" w:hAnsi="Calibri" w:cs="Calibri"/>
        </w:rPr>
        <w:t>9</w:t>
      </w:r>
      <w:r w:rsidRPr="005734B8">
        <w:rPr>
          <w:rFonts w:ascii="Calibri" w:hAnsi="Calibri" w:cs="Calibri"/>
        </w:rPr>
        <w:t xml:space="preserve"> existing apprenticeships and traineeships retained.</w:t>
      </w:r>
    </w:p>
    <w:p w14:paraId="236B15AE" w14:textId="77777777" w:rsidR="00ED70D7" w:rsidRPr="005734B8" w:rsidRDefault="00ED70D7" w:rsidP="00ED70D7">
      <w:pPr>
        <w:rPr>
          <w:rFonts w:ascii="Calibri" w:hAnsi="Calibri" w:cs="Calibri"/>
        </w:rPr>
      </w:pPr>
    </w:p>
    <w:p w14:paraId="5E2B78C5" w14:textId="38409559" w:rsidR="00ED70D7" w:rsidRPr="005734B8" w:rsidRDefault="00ED70D7" w:rsidP="00ED70D7">
      <w:pPr>
        <w:rPr>
          <w:rFonts w:ascii="Calibri" w:hAnsi="Calibri" w:cs="Calibri"/>
          <w:szCs w:val="22"/>
        </w:rPr>
      </w:pPr>
      <w:r w:rsidRPr="005734B8">
        <w:rPr>
          <w:rFonts w:ascii="Calibri" w:hAnsi="Calibri" w:cs="Calibri"/>
          <w:szCs w:val="22"/>
        </w:rPr>
        <w:t>MPSG projects provided an estimated total of 1</w:t>
      </w:r>
      <w:r w:rsidR="00B33896" w:rsidRPr="005734B8">
        <w:rPr>
          <w:rFonts w:ascii="Calibri" w:hAnsi="Calibri" w:cs="Calibri"/>
          <w:szCs w:val="22"/>
        </w:rPr>
        <w:t>38</w:t>
      </w:r>
      <w:r w:rsidRPr="005734B8">
        <w:rPr>
          <w:rFonts w:ascii="Calibri" w:hAnsi="Calibri" w:cs="Calibri"/>
          <w:szCs w:val="22"/>
        </w:rPr>
        <w:t xml:space="preserve">,000 annual hours to </w:t>
      </w:r>
      <w:r w:rsidR="00B33896" w:rsidRPr="005734B8">
        <w:rPr>
          <w:rFonts w:ascii="Calibri" w:hAnsi="Calibri" w:cs="Calibri"/>
          <w:szCs w:val="22"/>
        </w:rPr>
        <w:t>74</w:t>
      </w:r>
      <w:r w:rsidRPr="005734B8">
        <w:rPr>
          <w:rFonts w:ascii="Calibri" w:hAnsi="Calibri" w:cs="Calibri"/>
          <w:szCs w:val="22"/>
        </w:rPr>
        <w:t xml:space="preserve"> apprentices, trainees, and cadets.</w:t>
      </w:r>
    </w:p>
    <w:p w14:paraId="204E9E74" w14:textId="063ECC06" w:rsidR="004B3205" w:rsidRPr="005734B8" w:rsidRDefault="004B3205" w:rsidP="004B3205">
      <w:pPr>
        <w:pStyle w:val="ESHeading3"/>
        <w:ind w:left="0" w:firstLine="0"/>
        <w:rPr>
          <w:rFonts w:ascii="Calibri" w:hAnsi="Calibri" w:cs="Calibri"/>
          <w:lang w:val="en-AU"/>
        </w:rPr>
      </w:pPr>
      <w:bookmarkStart w:id="745" w:name="_Toc19272057"/>
      <w:bookmarkStart w:id="746" w:name="_Toc19272423"/>
      <w:bookmarkStart w:id="747" w:name="_Toc19273758"/>
      <w:r w:rsidRPr="005734B8">
        <w:rPr>
          <w:rFonts w:ascii="Calibri" w:hAnsi="Calibri" w:cs="Calibri"/>
          <w:lang w:val="en-AU"/>
        </w:rPr>
        <w:t>Projects completed</w:t>
      </w:r>
      <w:r w:rsidR="001C3933" w:rsidRPr="005734B8">
        <w:rPr>
          <w:rFonts w:ascii="Calibri" w:hAnsi="Calibri" w:cs="Calibri"/>
          <w:lang w:val="en-AU"/>
        </w:rPr>
        <w:t>—</w:t>
      </w:r>
      <w:r w:rsidRPr="005734B8">
        <w:rPr>
          <w:rFonts w:ascii="Calibri" w:hAnsi="Calibri" w:cs="Calibri"/>
          <w:lang w:val="en-AU"/>
        </w:rPr>
        <w:t xml:space="preserve">Local </w:t>
      </w:r>
      <w:r w:rsidR="005437B7" w:rsidRPr="005734B8">
        <w:rPr>
          <w:rFonts w:ascii="Calibri" w:hAnsi="Calibri" w:cs="Calibri"/>
          <w:lang w:val="en-AU"/>
        </w:rPr>
        <w:t>J</w:t>
      </w:r>
      <w:r w:rsidRPr="005734B8">
        <w:rPr>
          <w:rFonts w:ascii="Calibri" w:hAnsi="Calibri" w:cs="Calibri"/>
          <w:lang w:val="en-AU"/>
        </w:rPr>
        <w:t xml:space="preserve">obs </w:t>
      </w:r>
      <w:r w:rsidR="005437B7" w:rsidRPr="005734B8">
        <w:rPr>
          <w:rFonts w:ascii="Calibri" w:hAnsi="Calibri" w:cs="Calibri"/>
          <w:lang w:val="en-AU"/>
        </w:rPr>
        <w:t>F</w:t>
      </w:r>
      <w:r w:rsidRPr="005734B8">
        <w:rPr>
          <w:rFonts w:ascii="Calibri" w:hAnsi="Calibri" w:cs="Calibri"/>
          <w:lang w:val="en-AU"/>
        </w:rPr>
        <w:t xml:space="preserve">irst </w:t>
      </w:r>
      <w:r w:rsidR="005437B7" w:rsidRPr="005734B8">
        <w:rPr>
          <w:rFonts w:ascii="Calibri" w:hAnsi="Calibri" w:cs="Calibri"/>
          <w:lang w:val="en-AU"/>
        </w:rPr>
        <w:t>S</w:t>
      </w:r>
      <w:r w:rsidRPr="005734B8">
        <w:rPr>
          <w:rFonts w:ascii="Calibri" w:hAnsi="Calibri" w:cs="Calibri"/>
          <w:lang w:val="en-AU"/>
        </w:rPr>
        <w:t>trategic</w:t>
      </w:r>
      <w:bookmarkEnd w:id="742"/>
      <w:bookmarkEnd w:id="743"/>
      <w:bookmarkEnd w:id="744"/>
      <w:bookmarkEnd w:id="745"/>
      <w:bookmarkEnd w:id="746"/>
      <w:bookmarkEnd w:id="747"/>
    </w:p>
    <w:p w14:paraId="547C3522" w14:textId="743743E3" w:rsidR="00ED70D7" w:rsidRPr="005734B8" w:rsidRDefault="00ED70D7" w:rsidP="00ED70D7">
      <w:pPr>
        <w:rPr>
          <w:rFonts w:ascii="Calibri" w:hAnsi="Calibri" w:cs="Calibri"/>
          <w:szCs w:val="22"/>
        </w:rPr>
      </w:pPr>
      <w:r w:rsidRPr="005734B8">
        <w:rPr>
          <w:rFonts w:ascii="Calibri" w:hAnsi="Calibri" w:cs="Calibri"/>
          <w:szCs w:val="22"/>
        </w:rPr>
        <w:t xml:space="preserve">During </w:t>
      </w:r>
      <w:r w:rsidRPr="005734B8">
        <w:rPr>
          <w:rFonts w:ascii="Calibri" w:hAnsi="Calibri" w:cs="Calibri"/>
        </w:rPr>
        <w:t>2020–21</w:t>
      </w:r>
      <w:r w:rsidRPr="005734B8">
        <w:rPr>
          <w:rFonts w:ascii="Calibri" w:hAnsi="Calibri" w:cs="Calibri"/>
          <w:szCs w:val="22"/>
        </w:rPr>
        <w:t>, the Department completed 14 Local Jobs First Strategic Projects, with a total value of $379 million. The statewide projects used 88 per cent local content.</w:t>
      </w:r>
    </w:p>
    <w:p w14:paraId="3C0F3045" w14:textId="77777777" w:rsidR="00ED70D7" w:rsidRPr="005734B8" w:rsidRDefault="00ED70D7" w:rsidP="00ED70D7">
      <w:pPr>
        <w:rPr>
          <w:rFonts w:ascii="Calibri" w:hAnsi="Calibri" w:cs="Calibri"/>
          <w:szCs w:val="22"/>
          <w:highlight w:val="yellow"/>
        </w:rPr>
      </w:pPr>
    </w:p>
    <w:p w14:paraId="2DBB9585" w14:textId="77777777" w:rsidR="00ED70D7" w:rsidRPr="005734B8" w:rsidRDefault="00ED70D7" w:rsidP="00ED70D7">
      <w:pPr>
        <w:rPr>
          <w:rFonts w:ascii="Calibri" w:hAnsi="Calibri" w:cs="Calibri"/>
        </w:rPr>
      </w:pPr>
      <w:r w:rsidRPr="005734B8">
        <w:rPr>
          <w:rFonts w:ascii="Calibri" w:hAnsi="Calibri" w:cs="Calibri"/>
        </w:rPr>
        <w:t>The outcomes based on the reported and extrapolated information are:</w:t>
      </w:r>
    </w:p>
    <w:p w14:paraId="1063C99D" w14:textId="77777777" w:rsidR="00ED70D7" w:rsidRPr="005734B8" w:rsidRDefault="00ED70D7" w:rsidP="00ED70D7">
      <w:pPr>
        <w:pStyle w:val="ListParagraph"/>
        <w:numPr>
          <w:ilvl w:val="0"/>
          <w:numId w:val="7"/>
        </w:numPr>
        <w:rPr>
          <w:rFonts w:ascii="Calibri" w:hAnsi="Calibri" w:cs="Calibri"/>
        </w:rPr>
      </w:pPr>
      <w:r w:rsidRPr="005734B8">
        <w:rPr>
          <w:rFonts w:ascii="Calibri" w:hAnsi="Calibri" w:cs="Calibri"/>
        </w:rPr>
        <w:t>an average of 88 per cent local content</w:t>
      </w:r>
    </w:p>
    <w:p w14:paraId="5F3A4BA6" w14:textId="0EE5F09D" w:rsidR="00ED70D7" w:rsidRPr="005734B8" w:rsidRDefault="00ED70D7" w:rsidP="00ED70D7">
      <w:pPr>
        <w:pStyle w:val="ListParagraph"/>
        <w:numPr>
          <w:ilvl w:val="0"/>
          <w:numId w:val="7"/>
        </w:numPr>
        <w:rPr>
          <w:rFonts w:ascii="Calibri" w:hAnsi="Calibri" w:cs="Calibri"/>
        </w:rPr>
      </w:pPr>
      <w:r w:rsidRPr="005734B8">
        <w:rPr>
          <w:rFonts w:ascii="Calibri" w:hAnsi="Calibri" w:cs="Calibri"/>
        </w:rPr>
        <w:t xml:space="preserve">a total of </w:t>
      </w:r>
      <w:r w:rsidR="00B33896" w:rsidRPr="005734B8">
        <w:rPr>
          <w:rFonts w:ascii="Calibri" w:hAnsi="Calibri" w:cs="Calibri"/>
        </w:rPr>
        <w:t>13</w:t>
      </w:r>
      <w:r w:rsidR="0097026E" w:rsidRPr="005734B8">
        <w:rPr>
          <w:rFonts w:ascii="Calibri" w:hAnsi="Calibri" w:cs="Calibri"/>
        </w:rPr>
        <w:t>3</w:t>
      </w:r>
      <w:r w:rsidRPr="005734B8">
        <w:rPr>
          <w:rFonts w:ascii="Calibri" w:hAnsi="Calibri" w:cs="Calibri"/>
        </w:rPr>
        <w:t xml:space="preserve"> positions created and </w:t>
      </w:r>
      <w:r w:rsidR="00B33896" w:rsidRPr="005734B8">
        <w:rPr>
          <w:rFonts w:ascii="Calibri" w:hAnsi="Calibri" w:cs="Calibri"/>
        </w:rPr>
        <w:t>789</w:t>
      </w:r>
      <w:r w:rsidRPr="005734B8">
        <w:rPr>
          <w:rFonts w:ascii="Calibri" w:hAnsi="Calibri" w:cs="Calibri"/>
        </w:rPr>
        <w:t xml:space="preserve"> positions retained</w:t>
      </w:r>
    </w:p>
    <w:p w14:paraId="5A75014F" w14:textId="77777777" w:rsidR="00ED70D7" w:rsidRPr="005734B8" w:rsidRDefault="00ED70D7" w:rsidP="00ED70D7">
      <w:pPr>
        <w:pStyle w:val="ListParagraph"/>
        <w:numPr>
          <w:ilvl w:val="0"/>
          <w:numId w:val="7"/>
        </w:numPr>
        <w:rPr>
          <w:rFonts w:ascii="Calibri" w:hAnsi="Calibri" w:cs="Calibri"/>
        </w:rPr>
      </w:pPr>
      <w:r w:rsidRPr="005734B8">
        <w:rPr>
          <w:rFonts w:ascii="Calibri" w:hAnsi="Calibri" w:cs="Calibri"/>
        </w:rPr>
        <w:t>an estimated 61 new apprenticeships and traineeships created</w:t>
      </w:r>
    </w:p>
    <w:p w14:paraId="55C02404" w14:textId="77777777" w:rsidR="00ED70D7" w:rsidRPr="005734B8" w:rsidRDefault="00ED70D7" w:rsidP="00ED70D7">
      <w:pPr>
        <w:pStyle w:val="ListParagraph"/>
        <w:numPr>
          <w:ilvl w:val="0"/>
          <w:numId w:val="7"/>
        </w:numPr>
        <w:rPr>
          <w:rFonts w:ascii="Calibri" w:hAnsi="Calibri" w:cs="Calibri"/>
        </w:rPr>
      </w:pPr>
      <w:r w:rsidRPr="005734B8">
        <w:rPr>
          <w:rFonts w:ascii="Calibri" w:hAnsi="Calibri" w:cs="Calibri"/>
        </w:rPr>
        <w:t>an estimated 143 existing apprenticeships and traineeships retained.</w:t>
      </w:r>
    </w:p>
    <w:p w14:paraId="47329202" w14:textId="77777777" w:rsidR="00ED70D7" w:rsidRPr="005734B8" w:rsidRDefault="00ED70D7" w:rsidP="00ED70D7">
      <w:pPr>
        <w:rPr>
          <w:rFonts w:ascii="Calibri" w:hAnsi="Calibri" w:cs="Calibri"/>
          <w:highlight w:val="yellow"/>
        </w:rPr>
      </w:pPr>
    </w:p>
    <w:p w14:paraId="7A18276C" w14:textId="50202C5D" w:rsidR="00ED70D7" w:rsidRPr="005734B8" w:rsidRDefault="00ED70D7" w:rsidP="00ED70D7">
      <w:pPr>
        <w:rPr>
          <w:rFonts w:ascii="Calibri" w:hAnsi="Calibri" w:cs="Calibri"/>
          <w:szCs w:val="22"/>
        </w:rPr>
      </w:pPr>
      <w:r w:rsidRPr="005734B8">
        <w:rPr>
          <w:rFonts w:ascii="Calibri" w:hAnsi="Calibri" w:cs="Calibri"/>
          <w:szCs w:val="22"/>
        </w:rPr>
        <w:t>MPSG projects provided an estimated total of 45</w:t>
      </w:r>
      <w:r w:rsidR="00B33896" w:rsidRPr="005734B8">
        <w:rPr>
          <w:rFonts w:ascii="Calibri" w:hAnsi="Calibri" w:cs="Calibri"/>
          <w:szCs w:val="22"/>
        </w:rPr>
        <w:t>9</w:t>
      </w:r>
      <w:r w:rsidRPr="005734B8">
        <w:rPr>
          <w:rFonts w:ascii="Calibri" w:hAnsi="Calibri" w:cs="Calibri"/>
          <w:szCs w:val="22"/>
        </w:rPr>
        <w:t>,000 annual work hours to 204 apprentices, trainees and cadets.</w:t>
      </w:r>
    </w:p>
    <w:p w14:paraId="4B46E3A1" w14:textId="3D9D9E70" w:rsidR="004B3205" w:rsidRPr="005734B8" w:rsidRDefault="004B3205" w:rsidP="004B3205">
      <w:pPr>
        <w:pStyle w:val="ESHeading3"/>
        <w:ind w:left="0" w:firstLine="0"/>
        <w:rPr>
          <w:rFonts w:ascii="Calibri" w:hAnsi="Calibri" w:cs="Calibri"/>
        </w:rPr>
      </w:pPr>
      <w:bookmarkStart w:id="748" w:name="_Toc11158246"/>
      <w:bookmarkStart w:id="749" w:name="_Toc11336253"/>
      <w:bookmarkStart w:id="750" w:name="_Toc14965479"/>
      <w:bookmarkStart w:id="751" w:name="_Toc19272058"/>
      <w:bookmarkStart w:id="752" w:name="_Toc19272424"/>
      <w:bookmarkStart w:id="753" w:name="_Toc19273759"/>
      <w:r w:rsidRPr="005734B8">
        <w:rPr>
          <w:rFonts w:ascii="Calibri" w:hAnsi="Calibri" w:cs="Calibri"/>
          <w:lang w:val="en-AU"/>
        </w:rPr>
        <w:t>Reporting requirements</w:t>
      </w:r>
      <w:r w:rsidR="001C3933" w:rsidRPr="005734B8">
        <w:rPr>
          <w:rFonts w:ascii="Calibri" w:hAnsi="Calibri" w:cs="Calibri"/>
          <w:lang w:val="en-AU"/>
        </w:rPr>
        <w:t>—</w:t>
      </w:r>
      <w:r w:rsidRPr="005734B8">
        <w:rPr>
          <w:rFonts w:ascii="Calibri" w:hAnsi="Calibri" w:cs="Calibri"/>
          <w:lang w:val="en-AU"/>
        </w:rPr>
        <w:t>all projects</w:t>
      </w:r>
      <w:bookmarkEnd w:id="748"/>
      <w:bookmarkEnd w:id="749"/>
      <w:bookmarkEnd w:id="750"/>
      <w:bookmarkEnd w:id="751"/>
      <w:bookmarkEnd w:id="752"/>
      <w:bookmarkEnd w:id="753"/>
    </w:p>
    <w:p w14:paraId="79977DFD" w14:textId="25C804D2" w:rsidR="004B3205" w:rsidRPr="005734B8" w:rsidRDefault="0091486F" w:rsidP="004B3205">
      <w:pPr>
        <w:rPr>
          <w:rFonts w:ascii="Calibri" w:hAnsi="Calibri" w:cs="Calibri"/>
        </w:rPr>
      </w:pPr>
      <w:r w:rsidRPr="005734B8">
        <w:rPr>
          <w:rFonts w:ascii="Calibri" w:eastAsiaTheme="majorEastAsia" w:hAnsi="Calibri" w:cs="Calibri"/>
          <w:spacing w:val="-2"/>
          <w:szCs w:val="22"/>
        </w:rPr>
        <w:t xml:space="preserve">During </w:t>
      </w:r>
      <w:r w:rsidR="00ED70D7" w:rsidRPr="005734B8">
        <w:rPr>
          <w:rFonts w:ascii="Calibri" w:hAnsi="Calibri" w:cs="Calibri"/>
        </w:rPr>
        <w:t>2020–21</w:t>
      </w:r>
      <w:r w:rsidRPr="005734B8">
        <w:rPr>
          <w:rFonts w:ascii="Calibri" w:eastAsiaTheme="majorEastAsia" w:hAnsi="Calibri" w:cs="Calibri"/>
          <w:spacing w:val="-2"/>
          <w:szCs w:val="22"/>
        </w:rPr>
        <w:t xml:space="preserve">, there were </w:t>
      </w:r>
      <w:r w:rsidR="00ED70D7" w:rsidRPr="005734B8">
        <w:rPr>
          <w:rFonts w:ascii="Calibri" w:eastAsiaTheme="majorEastAsia" w:hAnsi="Calibri" w:cs="Calibri"/>
          <w:spacing w:val="-2"/>
          <w:szCs w:val="22"/>
        </w:rPr>
        <w:t>10,</w:t>
      </w:r>
      <w:r w:rsidR="00B33896" w:rsidRPr="005734B8">
        <w:rPr>
          <w:rFonts w:ascii="Calibri" w:eastAsiaTheme="majorEastAsia" w:hAnsi="Calibri" w:cs="Calibri"/>
          <w:spacing w:val="-2"/>
          <w:szCs w:val="22"/>
        </w:rPr>
        <w:t>430</w:t>
      </w:r>
      <w:r w:rsidRPr="005734B8">
        <w:rPr>
          <w:rFonts w:ascii="Calibri" w:eastAsiaTheme="majorEastAsia" w:hAnsi="Calibri" w:cs="Calibri"/>
          <w:spacing w:val="-2"/>
          <w:szCs w:val="22"/>
        </w:rPr>
        <w:t xml:space="preserve"> small to medium </w:t>
      </w:r>
      <w:r w:rsidR="005437B7" w:rsidRPr="005734B8">
        <w:rPr>
          <w:rFonts w:ascii="Calibri" w:eastAsiaTheme="majorEastAsia" w:hAnsi="Calibri" w:cs="Calibri"/>
          <w:spacing w:val="-2"/>
          <w:szCs w:val="22"/>
        </w:rPr>
        <w:t xml:space="preserve">sized </w:t>
      </w:r>
      <w:r w:rsidRPr="005734B8">
        <w:rPr>
          <w:rFonts w:ascii="Calibri" w:eastAsiaTheme="majorEastAsia" w:hAnsi="Calibri" w:cs="Calibri"/>
          <w:spacing w:val="-2"/>
          <w:szCs w:val="22"/>
        </w:rPr>
        <w:t>businesses engaged through</w:t>
      </w:r>
      <w:r w:rsidR="005437B7" w:rsidRPr="005734B8">
        <w:rPr>
          <w:rFonts w:ascii="Calibri" w:eastAsiaTheme="majorEastAsia" w:hAnsi="Calibri" w:cs="Calibri"/>
          <w:spacing w:val="-2"/>
          <w:szCs w:val="22"/>
        </w:rPr>
        <w:t>out</w:t>
      </w:r>
      <w:r w:rsidRPr="005734B8">
        <w:rPr>
          <w:rFonts w:ascii="Calibri" w:eastAsiaTheme="majorEastAsia" w:hAnsi="Calibri" w:cs="Calibri"/>
          <w:spacing w:val="-2"/>
          <w:szCs w:val="22"/>
        </w:rPr>
        <w:t xml:space="preserve"> the supply chain </w:t>
      </w:r>
      <w:r w:rsidR="005437B7" w:rsidRPr="005734B8">
        <w:rPr>
          <w:rFonts w:ascii="Calibri" w:eastAsiaTheme="majorEastAsia" w:hAnsi="Calibri" w:cs="Calibri"/>
          <w:spacing w:val="-2"/>
          <w:szCs w:val="22"/>
        </w:rPr>
        <w:t>in</w:t>
      </w:r>
      <w:r w:rsidRPr="005734B8">
        <w:rPr>
          <w:rFonts w:ascii="Calibri" w:eastAsiaTheme="majorEastAsia" w:hAnsi="Calibri" w:cs="Calibri"/>
          <w:spacing w:val="-2"/>
          <w:szCs w:val="22"/>
        </w:rPr>
        <w:t xml:space="preserve"> these projects.</w:t>
      </w:r>
    </w:p>
    <w:p w14:paraId="43C93F55" w14:textId="717D8CF3" w:rsidR="004B3205" w:rsidRPr="005734B8" w:rsidRDefault="004B3205" w:rsidP="004B3205">
      <w:pPr>
        <w:pStyle w:val="ESHeading3"/>
        <w:ind w:left="0" w:firstLine="0"/>
        <w:rPr>
          <w:rFonts w:ascii="Calibri" w:hAnsi="Calibri" w:cs="Calibri"/>
        </w:rPr>
      </w:pPr>
      <w:bookmarkStart w:id="754" w:name="_Toc11158247"/>
      <w:bookmarkStart w:id="755" w:name="_Toc11336254"/>
      <w:bookmarkStart w:id="756" w:name="_Toc14965480"/>
      <w:bookmarkStart w:id="757" w:name="_Toc19272059"/>
      <w:bookmarkStart w:id="758" w:name="_Toc19272425"/>
      <w:bookmarkStart w:id="759" w:name="_Toc19273760"/>
      <w:r w:rsidRPr="005734B8">
        <w:rPr>
          <w:rFonts w:ascii="Calibri" w:hAnsi="Calibri" w:cs="Calibri"/>
          <w:lang w:val="en-AU"/>
        </w:rPr>
        <w:t>Reporting requirements</w:t>
      </w:r>
      <w:r w:rsidR="001C3933" w:rsidRPr="005734B8">
        <w:rPr>
          <w:rFonts w:ascii="Calibri" w:hAnsi="Calibri" w:cs="Calibri"/>
          <w:lang w:val="en-AU"/>
        </w:rPr>
        <w:t>—</w:t>
      </w:r>
      <w:r w:rsidRPr="005734B8">
        <w:rPr>
          <w:rFonts w:ascii="Calibri" w:hAnsi="Calibri" w:cs="Calibri"/>
          <w:lang w:val="en-AU"/>
        </w:rPr>
        <w:t>grants</w:t>
      </w:r>
      <w:bookmarkEnd w:id="754"/>
      <w:bookmarkEnd w:id="755"/>
      <w:bookmarkEnd w:id="756"/>
      <w:bookmarkEnd w:id="757"/>
      <w:bookmarkEnd w:id="758"/>
      <w:bookmarkEnd w:id="759"/>
    </w:p>
    <w:p w14:paraId="75505011" w14:textId="301EC06A" w:rsidR="004B3205" w:rsidRPr="005734B8" w:rsidRDefault="00ED70D7" w:rsidP="005203E5">
      <w:pPr>
        <w:rPr>
          <w:rFonts w:ascii="Calibri" w:hAnsi="Calibri" w:cs="Calibri"/>
        </w:rPr>
        <w:sectPr w:rsidR="004B3205" w:rsidRPr="005734B8" w:rsidSect="003B3A5C">
          <w:pgSz w:w="11900" w:h="16840"/>
          <w:pgMar w:top="1440" w:right="1134" w:bottom="1440" w:left="2835" w:header="708" w:footer="708" w:gutter="0"/>
          <w:cols w:space="708"/>
          <w:docGrid w:linePitch="360"/>
        </w:sectPr>
      </w:pPr>
      <w:r w:rsidRPr="005734B8">
        <w:rPr>
          <w:rFonts w:ascii="Calibri" w:hAnsi="Calibri" w:cs="Calibri"/>
        </w:rPr>
        <w:t>For grants provided during 2020–21, a total of three Interaction Reference Numbers were required, which entailed an engagement with the Industry Capability Network (Victoria) Ltd.</w:t>
      </w:r>
      <w:r w:rsidR="00DE2DAB" w:rsidRPr="005734B8">
        <w:rPr>
          <w:rFonts w:ascii="Calibri" w:hAnsi="Calibri" w:cs="Calibri"/>
          <w:highlight w:val="yellow"/>
        </w:rPr>
        <w:br w:type="page"/>
      </w:r>
    </w:p>
    <w:p w14:paraId="5BBCFD09" w14:textId="576EEC7F" w:rsidR="00356A85" w:rsidRPr="005734B8" w:rsidRDefault="009847D0" w:rsidP="00356A85">
      <w:pPr>
        <w:pStyle w:val="ESHeading2"/>
        <w:rPr>
          <w:rFonts w:ascii="Calibri" w:hAnsi="Calibri" w:cs="Calibri"/>
        </w:rPr>
      </w:pPr>
      <w:bookmarkStart w:id="760" w:name="_Toc9432481"/>
      <w:bookmarkStart w:id="761" w:name="_Toc11158248"/>
      <w:bookmarkStart w:id="762" w:name="_Toc11336255"/>
      <w:bookmarkStart w:id="763" w:name="_Toc13656689"/>
      <w:bookmarkStart w:id="764" w:name="_Toc14965481"/>
      <w:bookmarkStart w:id="765" w:name="_Toc15985275"/>
      <w:bookmarkStart w:id="766" w:name="_Toc19272060"/>
      <w:bookmarkStart w:id="767" w:name="_Toc19272426"/>
      <w:bookmarkStart w:id="768" w:name="_Toc19273761"/>
      <w:bookmarkStart w:id="769" w:name="_Toc48402796"/>
      <w:bookmarkStart w:id="770" w:name="_Toc48403033"/>
      <w:bookmarkStart w:id="771" w:name="_Toc51332776"/>
      <w:bookmarkStart w:id="772" w:name="_Toc81315340"/>
      <w:r w:rsidRPr="005734B8">
        <w:rPr>
          <w:rFonts w:ascii="Calibri" w:hAnsi="Calibri" w:cs="Calibri"/>
        </w:rPr>
        <w:lastRenderedPageBreak/>
        <w:t>Government advertising expenditure</w:t>
      </w:r>
      <w:bookmarkEnd w:id="760"/>
      <w:bookmarkEnd w:id="761"/>
      <w:bookmarkEnd w:id="762"/>
      <w:bookmarkEnd w:id="763"/>
      <w:bookmarkEnd w:id="764"/>
      <w:bookmarkEnd w:id="765"/>
      <w:bookmarkEnd w:id="766"/>
      <w:bookmarkEnd w:id="767"/>
      <w:bookmarkEnd w:id="768"/>
      <w:bookmarkEnd w:id="769"/>
      <w:bookmarkEnd w:id="770"/>
      <w:bookmarkEnd w:id="771"/>
      <w:bookmarkEnd w:id="772"/>
    </w:p>
    <w:p w14:paraId="1F1379DA" w14:textId="538D2518" w:rsidR="00EE2105" w:rsidRPr="005734B8" w:rsidRDefault="00EE2105" w:rsidP="00356A85">
      <w:pPr>
        <w:pStyle w:val="ESTableintroheading"/>
        <w:rPr>
          <w:rFonts w:ascii="Calibri" w:hAnsi="Calibri" w:cs="Calibri"/>
        </w:rPr>
      </w:pPr>
      <w:r w:rsidRPr="005734B8">
        <w:rPr>
          <w:rFonts w:ascii="Calibri" w:hAnsi="Calibri" w:cs="Calibri"/>
        </w:rPr>
        <w:t xml:space="preserve">Campaigns with a media spend of $100,000 or greater </w:t>
      </w:r>
      <w:r w:rsidR="00530B42" w:rsidRPr="005734B8">
        <w:rPr>
          <w:rFonts w:ascii="Calibri" w:hAnsi="Calibri" w:cs="Calibri"/>
        </w:rPr>
        <w:t xml:space="preserve">(excluding GST) </w:t>
      </w:r>
      <w:r w:rsidRPr="005734B8">
        <w:rPr>
          <w:rFonts w:ascii="Calibri" w:hAnsi="Calibri" w:cs="Calibri"/>
        </w:rPr>
        <w:t xml:space="preserve">during 2020–21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3"/>
        <w:gridCol w:w="4961"/>
        <w:gridCol w:w="992"/>
        <w:gridCol w:w="1134"/>
        <w:gridCol w:w="1418"/>
        <w:gridCol w:w="1136"/>
        <w:gridCol w:w="943"/>
        <w:gridCol w:w="900"/>
        <w:gridCol w:w="1053"/>
      </w:tblGrid>
      <w:tr w:rsidR="00A96E5C" w:rsidRPr="005734B8" w14:paraId="08D2378D" w14:textId="77777777" w:rsidTr="00572894">
        <w:trPr>
          <w:cantSplit/>
          <w:trHeight w:val="242"/>
          <w:tblHeader/>
        </w:trPr>
        <w:tc>
          <w:tcPr>
            <w:tcW w:w="1413" w:type="dxa"/>
            <w:tcBorders>
              <w:bottom w:val="nil"/>
            </w:tcBorders>
            <w:shd w:val="clear" w:color="auto" w:fill="AF272F" w:themeFill="accent4"/>
          </w:tcPr>
          <w:p w14:paraId="333BA6A1" w14:textId="77777777" w:rsidR="00A96E5C" w:rsidRPr="005734B8" w:rsidRDefault="00A96E5C" w:rsidP="00356A85">
            <w:pPr>
              <w:pStyle w:val="ESTableheadingwhite"/>
              <w:rPr>
                <w:rFonts w:ascii="Calibri" w:hAnsi="Calibri" w:cs="Calibri"/>
                <w:sz w:val="18"/>
                <w:lang w:val="en-AU"/>
              </w:rPr>
            </w:pPr>
            <w:r w:rsidRPr="005734B8">
              <w:rPr>
                <w:rFonts w:ascii="Calibri" w:hAnsi="Calibri" w:cs="Calibri"/>
                <w:sz w:val="18"/>
                <w:lang w:val="en-AU"/>
              </w:rPr>
              <w:t>Campaign</w:t>
            </w:r>
          </w:p>
        </w:tc>
        <w:tc>
          <w:tcPr>
            <w:tcW w:w="4961" w:type="dxa"/>
            <w:tcBorders>
              <w:bottom w:val="nil"/>
            </w:tcBorders>
            <w:shd w:val="clear" w:color="auto" w:fill="AF272F" w:themeFill="accent4"/>
          </w:tcPr>
          <w:p w14:paraId="12744BED" w14:textId="77777777" w:rsidR="00A96E5C" w:rsidRPr="005734B8" w:rsidRDefault="00A96E5C" w:rsidP="00356A85">
            <w:pPr>
              <w:pStyle w:val="ESTableheadingwhite"/>
              <w:rPr>
                <w:rFonts w:ascii="Calibri" w:hAnsi="Calibri" w:cs="Calibri"/>
                <w:sz w:val="18"/>
                <w:lang w:val="en-AU"/>
              </w:rPr>
            </w:pPr>
            <w:r w:rsidRPr="005734B8">
              <w:rPr>
                <w:rFonts w:ascii="Calibri" w:hAnsi="Calibri" w:cs="Calibri"/>
                <w:sz w:val="18"/>
              </w:rPr>
              <w:t>Summary</w:t>
            </w:r>
          </w:p>
        </w:tc>
        <w:tc>
          <w:tcPr>
            <w:tcW w:w="992" w:type="dxa"/>
            <w:tcBorders>
              <w:bottom w:val="nil"/>
            </w:tcBorders>
            <w:shd w:val="clear" w:color="auto" w:fill="AF272F" w:themeFill="accent4"/>
          </w:tcPr>
          <w:p w14:paraId="129189FC" w14:textId="77777777" w:rsidR="00A96E5C" w:rsidRPr="005734B8" w:rsidRDefault="00A96E5C" w:rsidP="00356A85">
            <w:pPr>
              <w:pStyle w:val="ESTableheadingwhite"/>
              <w:rPr>
                <w:rFonts w:ascii="Calibri" w:hAnsi="Calibri" w:cs="Calibri"/>
                <w:sz w:val="18"/>
                <w:lang w:val="en-AU"/>
              </w:rPr>
            </w:pPr>
            <w:r w:rsidRPr="005734B8">
              <w:rPr>
                <w:rFonts w:ascii="Calibri" w:hAnsi="Calibri" w:cs="Calibri"/>
                <w:sz w:val="18"/>
                <w:lang w:val="en-AU"/>
              </w:rPr>
              <w:t>Start/</w:t>
            </w:r>
            <w:r w:rsidRPr="005734B8">
              <w:rPr>
                <w:rFonts w:ascii="Calibri" w:hAnsi="Calibri" w:cs="Calibri"/>
                <w:sz w:val="18"/>
              </w:rPr>
              <w:t>end</w:t>
            </w:r>
          </w:p>
        </w:tc>
        <w:tc>
          <w:tcPr>
            <w:tcW w:w="1134" w:type="dxa"/>
            <w:tcBorders>
              <w:bottom w:val="nil"/>
            </w:tcBorders>
            <w:shd w:val="clear" w:color="auto" w:fill="AF272F" w:themeFill="accent4"/>
          </w:tcPr>
          <w:p w14:paraId="74673593" w14:textId="77777777" w:rsidR="00A96E5C" w:rsidRPr="005734B8" w:rsidRDefault="00A96E5C" w:rsidP="00356A85">
            <w:pPr>
              <w:pStyle w:val="ESTableheadingwhite"/>
              <w:rPr>
                <w:rFonts w:ascii="Calibri" w:hAnsi="Calibri" w:cs="Calibri"/>
                <w:sz w:val="18"/>
                <w:lang w:val="en-AU"/>
              </w:rPr>
            </w:pPr>
            <w:r w:rsidRPr="005734B8">
              <w:rPr>
                <w:rFonts w:ascii="Calibri" w:hAnsi="Calibri" w:cs="Calibri"/>
                <w:sz w:val="18"/>
                <w:lang w:val="en-AU"/>
              </w:rPr>
              <w:t xml:space="preserve">Advertising (media) </w:t>
            </w:r>
          </w:p>
        </w:tc>
        <w:tc>
          <w:tcPr>
            <w:tcW w:w="1418" w:type="dxa"/>
            <w:tcBorders>
              <w:bottom w:val="nil"/>
            </w:tcBorders>
            <w:shd w:val="clear" w:color="auto" w:fill="AF272F" w:themeFill="accent4"/>
          </w:tcPr>
          <w:p w14:paraId="367F4EF9" w14:textId="77777777" w:rsidR="00A96E5C" w:rsidRPr="005734B8" w:rsidRDefault="00A96E5C" w:rsidP="00356A85">
            <w:pPr>
              <w:pStyle w:val="ESTableheadingwhite"/>
              <w:rPr>
                <w:rFonts w:ascii="Calibri" w:hAnsi="Calibri" w:cs="Calibri"/>
                <w:sz w:val="18"/>
                <w:lang w:val="en-AU"/>
              </w:rPr>
            </w:pPr>
            <w:r w:rsidRPr="005734B8">
              <w:rPr>
                <w:rFonts w:ascii="Calibri" w:hAnsi="Calibri" w:cs="Calibri"/>
                <w:sz w:val="18"/>
                <w:lang w:val="en-AU"/>
              </w:rPr>
              <w:t>Creative and campaign development</w:t>
            </w:r>
          </w:p>
        </w:tc>
        <w:tc>
          <w:tcPr>
            <w:tcW w:w="1136" w:type="dxa"/>
            <w:tcBorders>
              <w:bottom w:val="nil"/>
            </w:tcBorders>
            <w:shd w:val="clear" w:color="auto" w:fill="AF272F" w:themeFill="accent4"/>
          </w:tcPr>
          <w:p w14:paraId="4D0588FD" w14:textId="77777777" w:rsidR="00A96E5C" w:rsidRPr="005734B8" w:rsidRDefault="00A96E5C" w:rsidP="00356A85">
            <w:pPr>
              <w:pStyle w:val="ESTableheadingwhite"/>
              <w:rPr>
                <w:rFonts w:ascii="Calibri" w:hAnsi="Calibri" w:cs="Calibri"/>
                <w:sz w:val="18"/>
                <w:lang w:val="en-AU"/>
              </w:rPr>
            </w:pPr>
            <w:r w:rsidRPr="005734B8">
              <w:rPr>
                <w:rFonts w:ascii="Calibri" w:hAnsi="Calibri" w:cs="Calibri"/>
                <w:sz w:val="18"/>
                <w:lang w:val="en-AU"/>
              </w:rPr>
              <w:t>Research and evaluation</w:t>
            </w:r>
          </w:p>
        </w:tc>
        <w:tc>
          <w:tcPr>
            <w:tcW w:w="943" w:type="dxa"/>
            <w:tcBorders>
              <w:bottom w:val="nil"/>
            </w:tcBorders>
            <w:shd w:val="clear" w:color="auto" w:fill="AF272F" w:themeFill="accent4"/>
          </w:tcPr>
          <w:p w14:paraId="68652647" w14:textId="77777777" w:rsidR="00A96E5C" w:rsidRPr="005734B8" w:rsidRDefault="00A96E5C" w:rsidP="00356A85">
            <w:pPr>
              <w:pStyle w:val="ESTableheadingwhite"/>
              <w:rPr>
                <w:rFonts w:ascii="Calibri" w:hAnsi="Calibri" w:cs="Calibri"/>
                <w:sz w:val="18"/>
                <w:lang w:val="en-AU"/>
              </w:rPr>
            </w:pPr>
            <w:r w:rsidRPr="005734B8">
              <w:rPr>
                <w:rFonts w:ascii="Calibri" w:hAnsi="Calibri" w:cs="Calibri"/>
                <w:sz w:val="18"/>
                <w:lang w:val="en-AU"/>
              </w:rPr>
              <w:t xml:space="preserve">Print and </w:t>
            </w:r>
            <w:r w:rsidRPr="005734B8">
              <w:rPr>
                <w:rFonts w:ascii="Calibri" w:hAnsi="Calibri" w:cs="Calibri"/>
                <w:sz w:val="18"/>
              </w:rPr>
              <w:t>collateral</w:t>
            </w:r>
          </w:p>
        </w:tc>
        <w:tc>
          <w:tcPr>
            <w:tcW w:w="900" w:type="dxa"/>
            <w:tcBorders>
              <w:bottom w:val="nil"/>
            </w:tcBorders>
            <w:shd w:val="clear" w:color="auto" w:fill="AF272F" w:themeFill="accent4"/>
          </w:tcPr>
          <w:p w14:paraId="0B7A5FDE" w14:textId="77777777" w:rsidR="00A96E5C" w:rsidRPr="005734B8" w:rsidRDefault="00A96E5C" w:rsidP="00356A85">
            <w:pPr>
              <w:pStyle w:val="ESTableheadingwhite"/>
              <w:rPr>
                <w:rFonts w:ascii="Calibri" w:hAnsi="Calibri" w:cs="Calibri"/>
                <w:sz w:val="18"/>
                <w:lang w:val="en-AU"/>
              </w:rPr>
            </w:pPr>
            <w:r w:rsidRPr="005734B8">
              <w:rPr>
                <w:rFonts w:ascii="Calibri" w:hAnsi="Calibri" w:cs="Calibri"/>
                <w:sz w:val="18"/>
                <w:lang w:val="en-AU"/>
              </w:rPr>
              <w:t>Other</w:t>
            </w:r>
          </w:p>
        </w:tc>
        <w:tc>
          <w:tcPr>
            <w:tcW w:w="1053" w:type="dxa"/>
            <w:tcBorders>
              <w:bottom w:val="nil"/>
            </w:tcBorders>
            <w:shd w:val="clear" w:color="auto" w:fill="AF272F" w:themeFill="accent4"/>
          </w:tcPr>
          <w:p w14:paraId="70BC749A" w14:textId="77777777" w:rsidR="00A96E5C" w:rsidRPr="005734B8" w:rsidRDefault="00A96E5C" w:rsidP="00356A85">
            <w:pPr>
              <w:pStyle w:val="ESTableheadingwhite"/>
              <w:rPr>
                <w:rFonts w:ascii="Calibri" w:hAnsi="Calibri" w:cs="Calibri"/>
                <w:sz w:val="18"/>
                <w:lang w:val="en-AU"/>
              </w:rPr>
            </w:pPr>
            <w:r w:rsidRPr="005734B8">
              <w:rPr>
                <w:rFonts w:ascii="Calibri" w:hAnsi="Calibri" w:cs="Calibri"/>
                <w:sz w:val="18"/>
              </w:rPr>
              <w:t>Total</w:t>
            </w:r>
          </w:p>
        </w:tc>
      </w:tr>
      <w:tr w:rsidR="00A96E5C" w:rsidRPr="005734B8" w14:paraId="3879EB8D" w14:textId="77777777" w:rsidTr="00572894">
        <w:trPr>
          <w:cantSplit/>
        </w:trPr>
        <w:tc>
          <w:tcPr>
            <w:tcW w:w="1413" w:type="dxa"/>
            <w:tcBorders>
              <w:top w:val="nil"/>
              <w:left w:val="nil"/>
              <w:bottom w:val="single" w:sz="4" w:space="0" w:color="auto"/>
              <w:right w:val="nil"/>
            </w:tcBorders>
            <w:shd w:val="clear" w:color="auto" w:fill="auto"/>
          </w:tcPr>
          <w:p w14:paraId="03A9DC97" w14:textId="77777777" w:rsidR="00A96E5C" w:rsidRPr="005734B8" w:rsidRDefault="00A96E5C" w:rsidP="00356A85">
            <w:pPr>
              <w:pStyle w:val="ESTablebody"/>
              <w:rPr>
                <w:rFonts w:ascii="Calibri" w:hAnsi="Calibri" w:cs="Calibri"/>
                <w:sz w:val="18"/>
                <w:lang w:val="en-AU"/>
              </w:rPr>
            </w:pPr>
            <w:bookmarkStart w:id="773" w:name="_Hlk75958812"/>
            <w:r w:rsidRPr="005734B8">
              <w:rPr>
                <w:rFonts w:ascii="Calibri" w:hAnsi="Calibri" w:cs="Calibri"/>
                <w:sz w:val="18"/>
                <w:lang w:val="en-AU"/>
              </w:rPr>
              <w:t>More Free TAFE</w:t>
            </w:r>
            <w:bookmarkEnd w:id="773"/>
          </w:p>
        </w:tc>
        <w:tc>
          <w:tcPr>
            <w:tcW w:w="4961" w:type="dxa"/>
            <w:tcBorders>
              <w:top w:val="nil"/>
              <w:left w:val="nil"/>
              <w:bottom w:val="single" w:sz="4" w:space="0" w:color="auto"/>
              <w:right w:val="nil"/>
            </w:tcBorders>
          </w:tcPr>
          <w:p w14:paraId="26804175" w14:textId="77777777" w:rsidR="00A96E5C" w:rsidRPr="005734B8" w:rsidRDefault="00A96E5C" w:rsidP="00356A85">
            <w:pPr>
              <w:pStyle w:val="ESTablebody"/>
              <w:rPr>
                <w:rFonts w:ascii="Calibri" w:hAnsi="Calibri" w:cs="Calibri"/>
                <w:b/>
                <w:sz w:val="18"/>
              </w:rPr>
            </w:pPr>
            <w:bookmarkStart w:id="774" w:name="_Hlk77238516"/>
            <w:r w:rsidRPr="005734B8">
              <w:rPr>
                <w:rFonts w:ascii="Calibri" w:hAnsi="Calibri" w:cs="Calibri"/>
                <w:sz w:val="18"/>
                <w:lang w:val="en-AU"/>
              </w:rPr>
              <w:t xml:space="preserve">As part of the Skills for Economic Recovery package, 10,000 new Free TAFE places were made available to those who lost </w:t>
            </w:r>
            <w:r w:rsidRPr="005734B8">
              <w:rPr>
                <w:rFonts w:ascii="Calibri" w:hAnsi="Calibri" w:cs="Calibri"/>
                <w:sz w:val="18"/>
              </w:rPr>
              <w:t>their job as part of the COVID-19 pandemic.</w:t>
            </w:r>
            <w:bookmarkEnd w:id="774"/>
          </w:p>
          <w:p w14:paraId="215BEC9D"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 xml:space="preserve">The campaign aimed to raise awareness of the new Free TAFE places and promote four new courses. </w:t>
            </w:r>
          </w:p>
        </w:tc>
        <w:tc>
          <w:tcPr>
            <w:tcW w:w="992" w:type="dxa"/>
            <w:tcBorders>
              <w:top w:val="nil"/>
              <w:left w:val="nil"/>
              <w:bottom w:val="single" w:sz="4" w:space="0" w:color="auto"/>
              <w:right w:val="nil"/>
            </w:tcBorders>
          </w:tcPr>
          <w:p w14:paraId="5E9104F8" w14:textId="03452EBB"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20 July</w:t>
            </w:r>
            <w:r w:rsidR="00530B42" w:rsidRPr="005734B8">
              <w:rPr>
                <w:rFonts w:ascii="Calibri" w:hAnsi="Calibri" w:cs="Calibri"/>
                <w:sz w:val="18"/>
                <w:lang w:val="en-AU"/>
              </w:rPr>
              <w:t xml:space="preserve"> </w:t>
            </w:r>
            <w:r w:rsidRPr="005734B8">
              <w:rPr>
                <w:rFonts w:ascii="Calibri" w:hAnsi="Calibri" w:cs="Calibri"/>
                <w:sz w:val="18"/>
                <w:lang w:val="en-AU"/>
              </w:rPr>
              <w:t>–28 August 2020</w:t>
            </w:r>
          </w:p>
        </w:tc>
        <w:tc>
          <w:tcPr>
            <w:tcW w:w="1134" w:type="dxa"/>
            <w:tcBorders>
              <w:top w:val="nil"/>
              <w:left w:val="nil"/>
              <w:bottom w:val="single" w:sz="4" w:space="0" w:color="auto"/>
              <w:right w:val="nil"/>
            </w:tcBorders>
          </w:tcPr>
          <w:p w14:paraId="7C78984C"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$150,000</w:t>
            </w:r>
          </w:p>
        </w:tc>
        <w:tc>
          <w:tcPr>
            <w:tcW w:w="1418" w:type="dxa"/>
            <w:tcBorders>
              <w:top w:val="nil"/>
              <w:left w:val="nil"/>
              <w:bottom w:val="single" w:sz="4" w:space="0" w:color="auto"/>
              <w:right w:val="nil"/>
            </w:tcBorders>
          </w:tcPr>
          <w:p w14:paraId="3977A5A1"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$234,000</w:t>
            </w:r>
          </w:p>
        </w:tc>
        <w:tc>
          <w:tcPr>
            <w:tcW w:w="1136" w:type="dxa"/>
            <w:tcBorders>
              <w:top w:val="nil"/>
              <w:left w:val="nil"/>
              <w:bottom w:val="single" w:sz="4" w:space="0" w:color="auto"/>
              <w:right w:val="nil"/>
            </w:tcBorders>
          </w:tcPr>
          <w:p w14:paraId="3E19DB71" w14:textId="7CAD29C7" w:rsidR="00A96E5C" w:rsidRPr="005734B8" w:rsidRDefault="001C3933" w:rsidP="001C3933">
            <w:pPr>
              <w:pStyle w:val="ESTablebody"/>
              <w:jc w:val="center"/>
              <w:rPr>
                <w:rFonts w:ascii="Calibri" w:hAnsi="Calibri" w:cs="Calibri"/>
                <w:sz w:val="18"/>
                <w:lang w:val="en-AU"/>
              </w:rPr>
            </w:pPr>
            <w:r w:rsidRPr="005734B8">
              <w:rPr>
                <w:rFonts w:ascii="Calibri" w:hAnsi="Calibri" w:cs="Calibri"/>
                <w:sz w:val="18"/>
                <w:lang w:val="en-AU"/>
              </w:rPr>
              <w:t>–</w:t>
            </w:r>
          </w:p>
        </w:tc>
        <w:tc>
          <w:tcPr>
            <w:tcW w:w="943" w:type="dxa"/>
            <w:tcBorders>
              <w:top w:val="nil"/>
              <w:left w:val="nil"/>
              <w:bottom w:val="single" w:sz="4" w:space="0" w:color="auto"/>
              <w:right w:val="nil"/>
            </w:tcBorders>
          </w:tcPr>
          <w:p w14:paraId="0104629C" w14:textId="7CD2BFC5" w:rsidR="00A96E5C" w:rsidRPr="005734B8" w:rsidRDefault="001C3933" w:rsidP="001C3933">
            <w:pPr>
              <w:pStyle w:val="ESTablebody"/>
              <w:jc w:val="center"/>
              <w:rPr>
                <w:rFonts w:ascii="Calibri" w:hAnsi="Calibri" w:cs="Calibri"/>
                <w:sz w:val="18"/>
                <w:lang w:val="en-AU"/>
              </w:rPr>
            </w:pPr>
            <w:r w:rsidRPr="005734B8">
              <w:rPr>
                <w:rFonts w:ascii="Calibri" w:hAnsi="Calibri" w:cs="Calibri"/>
                <w:sz w:val="18"/>
                <w:lang w:val="en-AU"/>
              </w:rPr>
              <w:t>–</w:t>
            </w:r>
          </w:p>
        </w:tc>
        <w:tc>
          <w:tcPr>
            <w:tcW w:w="900" w:type="dxa"/>
            <w:tcBorders>
              <w:top w:val="nil"/>
              <w:left w:val="nil"/>
              <w:bottom w:val="single" w:sz="4" w:space="0" w:color="auto"/>
              <w:right w:val="nil"/>
            </w:tcBorders>
          </w:tcPr>
          <w:p w14:paraId="2047A502" w14:textId="45C4EB70" w:rsidR="00A96E5C" w:rsidRPr="005734B8" w:rsidRDefault="001C3933" w:rsidP="001C3933">
            <w:pPr>
              <w:pStyle w:val="ESTablebody"/>
              <w:jc w:val="center"/>
              <w:rPr>
                <w:rFonts w:ascii="Calibri" w:hAnsi="Calibri" w:cs="Calibri"/>
                <w:sz w:val="18"/>
                <w:lang w:val="en-AU"/>
              </w:rPr>
            </w:pPr>
            <w:r w:rsidRPr="005734B8">
              <w:rPr>
                <w:rFonts w:ascii="Calibri" w:hAnsi="Calibri" w:cs="Calibri"/>
                <w:sz w:val="18"/>
                <w:lang w:val="en-AU"/>
              </w:rPr>
              <w:t>–</w:t>
            </w:r>
          </w:p>
        </w:tc>
        <w:tc>
          <w:tcPr>
            <w:tcW w:w="1053" w:type="dxa"/>
            <w:tcBorders>
              <w:top w:val="nil"/>
              <w:left w:val="nil"/>
              <w:bottom w:val="single" w:sz="4" w:space="0" w:color="auto"/>
              <w:right w:val="nil"/>
            </w:tcBorders>
            <w:shd w:val="clear" w:color="auto" w:fill="D9D9D6" w:themeFill="accent6"/>
          </w:tcPr>
          <w:p w14:paraId="77920941"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$384,000</w:t>
            </w:r>
          </w:p>
        </w:tc>
      </w:tr>
      <w:tr w:rsidR="00A96E5C" w:rsidRPr="005734B8" w14:paraId="295C5BE3" w14:textId="77777777" w:rsidTr="00572894">
        <w:trPr>
          <w:cantSplit/>
        </w:trPr>
        <w:tc>
          <w:tcPr>
            <w:tcW w:w="1413" w:type="dxa"/>
            <w:tcBorders>
              <w:top w:val="single" w:sz="4" w:space="0" w:color="auto"/>
              <w:left w:val="nil"/>
              <w:bottom w:val="single" w:sz="4" w:space="0" w:color="auto"/>
              <w:right w:val="nil"/>
            </w:tcBorders>
            <w:shd w:val="clear" w:color="auto" w:fill="auto"/>
          </w:tcPr>
          <w:p w14:paraId="384E55DE" w14:textId="1CB53251" w:rsidR="00A96E5C" w:rsidRPr="005734B8" w:rsidRDefault="00A96E5C" w:rsidP="00356A85">
            <w:pPr>
              <w:pStyle w:val="ESTablebody"/>
              <w:rPr>
                <w:rFonts w:ascii="Calibri" w:hAnsi="Calibri" w:cs="Calibri"/>
                <w:sz w:val="18"/>
                <w:lang w:val="en-AU"/>
              </w:rPr>
            </w:pPr>
            <w:bookmarkStart w:id="775" w:name="_Hlk75958825"/>
            <w:r w:rsidRPr="005734B8">
              <w:rPr>
                <w:rFonts w:ascii="Calibri" w:hAnsi="Calibri" w:cs="Calibri"/>
                <w:sz w:val="18"/>
                <w:lang w:val="en-AU"/>
              </w:rPr>
              <w:t xml:space="preserve">Boosting Apprenticeships </w:t>
            </w:r>
            <w:bookmarkEnd w:id="775"/>
          </w:p>
        </w:tc>
        <w:tc>
          <w:tcPr>
            <w:tcW w:w="4961" w:type="dxa"/>
            <w:tcBorders>
              <w:top w:val="single" w:sz="4" w:space="0" w:color="auto"/>
              <w:left w:val="nil"/>
              <w:bottom w:val="single" w:sz="4" w:space="0" w:color="auto"/>
              <w:right w:val="nil"/>
            </w:tcBorders>
          </w:tcPr>
          <w:p w14:paraId="3040F0BA" w14:textId="77777777" w:rsidR="00A96E5C" w:rsidRPr="005734B8" w:rsidRDefault="00A96E5C" w:rsidP="00356A85">
            <w:pPr>
              <w:pStyle w:val="ESTablebody"/>
              <w:rPr>
                <w:rFonts w:ascii="Calibri" w:hAnsi="Calibri" w:cs="Calibri"/>
                <w:b/>
                <w:sz w:val="18"/>
              </w:rPr>
            </w:pPr>
            <w:r w:rsidRPr="005734B8">
              <w:rPr>
                <w:rFonts w:ascii="Calibri" w:hAnsi="Calibri" w:cs="Calibri"/>
                <w:sz w:val="18"/>
                <w:lang w:val="en-AU"/>
              </w:rPr>
              <w:t xml:space="preserve">The campaign aimed to inform employers and potential apprentices about the Boosting Apprenticeship Commencements Wage Subsidy. </w:t>
            </w:r>
          </w:p>
          <w:p w14:paraId="465FE98F"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The Commonwealth scheme supported businesses to take on new apprentices and trainees through a wage subsidy and quarterly payment.</w:t>
            </w:r>
          </w:p>
        </w:tc>
        <w:tc>
          <w:tcPr>
            <w:tcW w:w="992" w:type="dxa"/>
            <w:tcBorders>
              <w:top w:val="single" w:sz="4" w:space="0" w:color="auto"/>
              <w:left w:val="nil"/>
              <w:bottom w:val="single" w:sz="4" w:space="0" w:color="auto"/>
              <w:right w:val="nil"/>
            </w:tcBorders>
          </w:tcPr>
          <w:p w14:paraId="688FF28E" w14:textId="3A1D3BF1"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27 November–</w:t>
            </w:r>
            <w:r w:rsidR="00530B42" w:rsidRPr="005734B8">
              <w:rPr>
                <w:rFonts w:ascii="Calibri" w:hAnsi="Calibri" w:cs="Calibri"/>
                <w:sz w:val="18"/>
                <w:lang w:val="en-AU"/>
              </w:rPr>
              <w:t xml:space="preserve"> </w:t>
            </w:r>
            <w:r w:rsidRPr="005734B8">
              <w:rPr>
                <w:rFonts w:ascii="Calibri" w:hAnsi="Calibri" w:cs="Calibri"/>
                <w:sz w:val="18"/>
                <w:lang w:val="en-AU"/>
              </w:rPr>
              <w:t>17</w:t>
            </w:r>
            <w:r w:rsidR="00530B42" w:rsidRPr="005734B8">
              <w:rPr>
                <w:rFonts w:ascii="Calibri" w:hAnsi="Calibri" w:cs="Calibri"/>
                <w:sz w:val="18"/>
                <w:lang w:val="en-AU"/>
              </w:rPr>
              <w:t> </w:t>
            </w:r>
            <w:r w:rsidRPr="005734B8">
              <w:rPr>
                <w:rFonts w:ascii="Calibri" w:hAnsi="Calibri" w:cs="Calibri"/>
                <w:sz w:val="18"/>
                <w:lang w:val="en-AU"/>
              </w:rPr>
              <w:t>January 2020</w:t>
            </w:r>
          </w:p>
        </w:tc>
        <w:tc>
          <w:tcPr>
            <w:tcW w:w="1134" w:type="dxa"/>
            <w:tcBorders>
              <w:top w:val="single" w:sz="4" w:space="0" w:color="auto"/>
              <w:left w:val="nil"/>
              <w:bottom w:val="single" w:sz="4" w:space="0" w:color="auto"/>
              <w:right w:val="nil"/>
            </w:tcBorders>
          </w:tcPr>
          <w:p w14:paraId="75592918"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$99,359</w:t>
            </w:r>
          </w:p>
        </w:tc>
        <w:tc>
          <w:tcPr>
            <w:tcW w:w="1418" w:type="dxa"/>
            <w:tcBorders>
              <w:top w:val="single" w:sz="4" w:space="0" w:color="auto"/>
              <w:left w:val="nil"/>
              <w:bottom w:val="single" w:sz="4" w:space="0" w:color="auto"/>
              <w:right w:val="nil"/>
            </w:tcBorders>
          </w:tcPr>
          <w:p w14:paraId="788A730E"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$70,000</w:t>
            </w:r>
          </w:p>
        </w:tc>
        <w:tc>
          <w:tcPr>
            <w:tcW w:w="1136" w:type="dxa"/>
            <w:tcBorders>
              <w:top w:val="single" w:sz="4" w:space="0" w:color="auto"/>
              <w:left w:val="nil"/>
              <w:bottom w:val="single" w:sz="4" w:space="0" w:color="auto"/>
              <w:right w:val="nil"/>
            </w:tcBorders>
          </w:tcPr>
          <w:p w14:paraId="726CCB4E" w14:textId="264DFDE2" w:rsidR="00A96E5C" w:rsidRPr="005734B8" w:rsidRDefault="001C3933" w:rsidP="001C3933">
            <w:pPr>
              <w:pStyle w:val="ESTablebody"/>
              <w:jc w:val="center"/>
              <w:rPr>
                <w:rFonts w:ascii="Calibri" w:hAnsi="Calibri" w:cs="Calibri"/>
                <w:sz w:val="18"/>
                <w:lang w:val="en-AU"/>
              </w:rPr>
            </w:pPr>
            <w:r w:rsidRPr="005734B8">
              <w:rPr>
                <w:rFonts w:ascii="Calibri" w:hAnsi="Calibri" w:cs="Calibri"/>
                <w:sz w:val="18"/>
                <w:lang w:val="en-AU"/>
              </w:rPr>
              <w:t>–</w:t>
            </w:r>
          </w:p>
        </w:tc>
        <w:tc>
          <w:tcPr>
            <w:tcW w:w="943" w:type="dxa"/>
            <w:tcBorders>
              <w:top w:val="single" w:sz="4" w:space="0" w:color="auto"/>
              <w:left w:val="nil"/>
              <w:bottom w:val="single" w:sz="4" w:space="0" w:color="auto"/>
              <w:right w:val="nil"/>
            </w:tcBorders>
          </w:tcPr>
          <w:p w14:paraId="52C06CD7" w14:textId="61575096" w:rsidR="00A96E5C" w:rsidRPr="005734B8" w:rsidRDefault="001C3933" w:rsidP="001C3933">
            <w:pPr>
              <w:pStyle w:val="ESTablebody"/>
              <w:jc w:val="center"/>
              <w:rPr>
                <w:rFonts w:ascii="Calibri" w:hAnsi="Calibri" w:cs="Calibri"/>
                <w:sz w:val="18"/>
                <w:lang w:val="en-AU"/>
              </w:rPr>
            </w:pPr>
            <w:r w:rsidRPr="005734B8">
              <w:rPr>
                <w:rFonts w:ascii="Calibri" w:hAnsi="Calibri" w:cs="Calibri"/>
                <w:sz w:val="18"/>
                <w:lang w:val="en-AU"/>
              </w:rPr>
              <w:t>–</w:t>
            </w:r>
          </w:p>
        </w:tc>
        <w:tc>
          <w:tcPr>
            <w:tcW w:w="900" w:type="dxa"/>
            <w:tcBorders>
              <w:top w:val="single" w:sz="4" w:space="0" w:color="auto"/>
              <w:left w:val="nil"/>
              <w:bottom w:val="single" w:sz="4" w:space="0" w:color="auto"/>
              <w:right w:val="nil"/>
            </w:tcBorders>
          </w:tcPr>
          <w:p w14:paraId="3B1C5789" w14:textId="56380A4E" w:rsidR="00A96E5C" w:rsidRPr="005734B8" w:rsidRDefault="001C3933" w:rsidP="001C3933">
            <w:pPr>
              <w:pStyle w:val="ESTablebody"/>
              <w:jc w:val="center"/>
              <w:rPr>
                <w:rFonts w:ascii="Calibri" w:hAnsi="Calibri" w:cs="Calibri"/>
                <w:sz w:val="18"/>
                <w:lang w:val="en-AU"/>
              </w:rPr>
            </w:pPr>
            <w:r w:rsidRPr="005734B8">
              <w:rPr>
                <w:rFonts w:ascii="Calibri" w:hAnsi="Calibri" w:cs="Calibri"/>
                <w:sz w:val="18"/>
                <w:lang w:val="en-AU"/>
              </w:rPr>
              <w:t>–</w:t>
            </w:r>
          </w:p>
        </w:tc>
        <w:tc>
          <w:tcPr>
            <w:tcW w:w="1053" w:type="dxa"/>
            <w:tcBorders>
              <w:top w:val="single" w:sz="4" w:space="0" w:color="auto"/>
              <w:left w:val="nil"/>
              <w:bottom w:val="single" w:sz="4" w:space="0" w:color="auto"/>
              <w:right w:val="nil"/>
            </w:tcBorders>
            <w:shd w:val="clear" w:color="auto" w:fill="D9D9D6" w:themeFill="accent6"/>
          </w:tcPr>
          <w:p w14:paraId="4956FE08"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$169,359</w:t>
            </w:r>
          </w:p>
        </w:tc>
      </w:tr>
      <w:tr w:rsidR="00A96E5C" w:rsidRPr="005734B8" w14:paraId="23CA563A" w14:textId="77777777" w:rsidTr="00572894">
        <w:trPr>
          <w:cantSplit/>
        </w:trPr>
        <w:tc>
          <w:tcPr>
            <w:tcW w:w="1413" w:type="dxa"/>
            <w:tcBorders>
              <w:top w:val="single" w:sz="4" w:space="0" w:color="auto"/>
              <w:left w:val="nil"/>
              <w:bottom w:val="single" w:sz="4" w:space="0" w:color="auto"/>
              <w:right w:val="nil"/>
            </w:tcBorders>
            <w:shd w:val="clear" w:color="auto" w:fill="auto"/>
          </w:tcPr>
          <w:p w14:paraId="573DEB48" w14:textId="6E580A91" w:rsidR="00A96E5C" w:rsidRPr="005734B8" w:rsidRDefault="00A96E5C" w:rsidP="00356A85">
            <w:pPr>
              <w:pStyle w:val="ESTablebody"/>
              <w:rPr>
                <w:rFonts w:ascii="Calibri" w:hAnsi="Calibri" w:cs="Calibri"/>
                <w:sz w:val="18"/>
                <w:lang w:val="en-AU"/>
              </w:rPr>
            </w:pPr>
            <w:bookmarkStart w:id="776" w:name="_Hlk75958837"/>
            <w:r w:rsidRPr="005734B8">
              <w:rPr>
                <w:rFonts w:ascii="Calibri" w:hAnsi="Calibri" w:cs="Calibri"/>
                <w:sz w:val="18"/>
                <w:lang w:val="en-AU"/>
              </w:rPr>
              <w:t xml:space="preserve">Learn Local Core Skills </w:t>
            </w:r>
            <w:bookmarkEnd w:id="776"/>
          </w:p>
        </w:tc>
        <w:tc>
          <w:tcPr>
            <w:tcW w:w="4961" w:type="dxa"/>
            <w:tcBorders>
              <w:top w:val="single" w:sz="4" w:space="0" w:color="auto"/>
              <w:left w:val="nil"/>
              <w:bottom w:val="single" w:sz="4" w:space="0" w:color="auto"/>
              <w:right w:val="nil"/>
            </w:tcBorders>
          </w:tcPr>
          <w:p w14:paraId="7D77FE7F" w14:textId="0001F17E" w:rsidR="00A96E5C" w:rsidRPr="005734B8" w:rsidRDefault="00A96E5C" w:rsidP="00356A85">
            <w:pPr>
              <w:pStyle w:val="ESTablebody"/>
              <w:rPr>
                <w:rFonts w:ascii="Calibri" w:hAnsi="Calibri" w:cs="Calibri"/>
                <w:b/>
                <w:sz w:val="18"/>
              </w:rPr>
            </w:pPr>
            <w:r w:rsidRPr="005734B8">
              <w:rPr>
                <w:rFonts w:ascii="Calibri" w:hAnsi="Calibri" w:cs="Calibri"/>
                <w:sz w:val="18"/>
                <w:lang w:val="en-AU"/>
              </w:rPr>
              <w:t xml:space="preserve">The campaign was developed as part of the COVID-19 recovery to upskill those who may have lost employment due to the pandemic. </w:t>
            </w:r>
          </w:p>
          <w:p w14:paraId="7F6B4A11" w14:textId="77777777" w:rsidR="00A96E5C" w:rsidRPr="005734B8" w:rsidRDefault="00A96E5C" w:rsidP="00356A85">
            <w:pPr>
              <w:pStyle w:val="ESTablebody"/>
              <w:rPr>
                <w:rFonts w:ascii="Calibri" w:hAnsi="Calibri" w:cs="Calibri"/>
                <w:b/>
                <w:sz w:val="18"/>
              </w:rPr>
            </w:pPr>
            <w:r w:rsidRPr="005734B8">
              <w:rPr>
                <w:rFonts w:ascii="Calibri" w:hAnsi="Calibri" w:cs="Calibri"/>
                <w:sz w:val="18"/>
                <w:lang w:val="en-AU"/>
              </w:rPr>
              <w:t xml:space="preserve">The campaign promoted pre-accredited training as pathways to employment and further training. </w:t>
            </w:r>
          </w:p>
          <w:p w14:paraId="520558CC" w14:textId="7624F7D9"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 xml:space="preserve">The campaign targeted Victorians with low literacy, numeracy and digital literacy, with a specific focus on </w:t>
            </w:r>
            <w:r w:rsidR="00530B42" w:rsidRPr="005734B8">
              <w:rPr>
                <w:rFonts w:ascii="Calibri" w:hAnsi="Calibri" w:cs="Calibri"/>
                <w:sz w:val="18"/>
                <w:lang w:val="en-AU"/>
              </w:rPr>
              <w:t>culturally and linguistically diverse</w:t>
            </w:r>
            <w:r w:rsidRPr="005734B8">
              <w:rPr>
                <w:rFonts w:ascii="Calibri" w:hAnsi="Calibri" w:cs="Calibri"/>
                <w:sz w:val="18"/>
                <w:lang w:val="en-AU"/>
              </w:rPr>
              <w:t xml:space="preserve"> and regional Victorians. </w:t>
            </w:r>
          </w:p>
        </w:tc>
        <w:tc>
          <w:tcPr>
            <w:tcW w:w="992" w:type="dxa"/>
            <w:tcBorders>
              <w:top w:val="single" w:sz="4" w:space="0" w:color="auto"/>
              <w:left w:val="nil"/>
              <w:bottom w:val="single" w:sz="4" w:space="0" w:color="auto"/>
              <w:right w:val="nil"/>
            </w:tcBorders>
          </w:tcPr>
          <w:p w14:paraId="322C763B" w14:textId="4A58B48D"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12 May</w:t>
            </w:r>
            <w:r w:rsidR="00530B42" w:rsidRPr="005734B8">
              <w:rPr>
                <w:rFonts w:ascii="Calibri" w:hAnsi="Calibri" w:cs="Calibri"/>
                <w:sz w:val="18"/>
                <w:lang w:val="en-AU"/>
              </w:rPr>
              <w:t xml:space="preserve"> </w:t>
            </w:r>
            <w:r w:rsidR="001C3933" w:rsidRPr="005734B8">
              <w:rPr>
                <w:rFonts w:ascii="Calibri" w:hAnsi="Calibri" w:cs="Calibri"/>
                <w:sz w:val="18"/>
                <w:lang w:val="en-AU"/>
              </w:rPr>
              <w:t>–</w:t>
            </w:r>
            <w:r w:rsidR="00530B42" w:rsidRPr="005734B8">
              <w:rPr>
                <w:rFonts w:ascii="Calibri" w:hAnsi="Calibri" w:cs="Calibri"/>
                <w:sz w:val="18"/>
                <w:lang w:val="en-AU"/>
              </w:rPr>
              <w:t xml:space="preserve"> </w:t>
            </w:r>
            <w:r w:rsidRPr="005734B8">
              <w:rPr>
                <w:rFonts w:ascii="Calibri" w:hAnsi="Calibri" w:cs="Calibri"/>
                <w:sz w:val="18"/>
                <w:lang w:val="en-AU"/>
              </w:rPr>
              <w:t>3 June 2021</w:t>
            </w:r>
          </w:p>
        </w:tc>
        <w:tc>
          <w:tcPr>
            <w:tcW w:w="1134" w:type="dxa"/>
            <w:tcBorders>
              <w:top w:val="single" w:sz="4" w:space="0" w:color="auto"/>
              <w:left w:val="nil"/>
              <w:bottom w:val="single" w:sz="4" w:space="0" w:color="auto"/>
              <w:right w:val="nil"/>
            </w:tcBorders>
          </w:tcPr>
          <w:p w14:paraId="6EC09364"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$190,000</w:t>
            </w:r>
          </w:p>
        </w:tc>
        <w:tc>
          <w:tcPr>
            <w:tcW w:w="1418" w:type="dxa"/>
            <w:tcBorders>
              <w:top w:val="single" w:sz="4" w:space="0" w:color="auto"/>
              <w:left w:val="nil"/>
              <w:bottom w:val="single" w:sz="4" w:space="0" w:color="auto"/>
              <w:right w:val="nil"/>
            </w:tcBorders>
          </w:tcPr>
          <w:p w14:paraId="6CE35AFC"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$99,172</w:t>
            </w:r>
          </w:p>
        </w:tc>
        <w:tc>
          <w:tcPr>
            <w:tcW w:w="1136" w:type="dxa"/>
            <w:tcBorders>
              <w:top w:val="single" w:sz="4" w:space="0" w:color="auto"/>
              <w:left w:val="nil"/>
              <w:bottom w:val="single" w:sz="4" w:space="0" w:color="auto"/>
              <w:right w:val="nil"/>
            </w:tcBorders>
          </w:tcPr>
          <w:p w14:paraId="692678E5" w14:textId="52FC3EDF" w:rsidR="00A96E5C" w:rsidRPr="005734B8" w:rsidRDefault="001C3933" w:rsidP="001C3933">
            <w:pPr>
              <w:pStyle w:val="ESTablebody"/>
              <w:jc w:val="center"/>
              <w:rPr>
                <w:rFonts w:ascii="Calibri" w:hAnsi="Calibri" w:cs="Calibri"/>
                <w:sz w:val="18"/>
                <w:lang w:val="en-AU"/>
              </w:rPr>
            </w:pPr>
            <w:r w:rsidRPr="005734B8">
              <w:rPr>
                <w:rFonts w:ascii="Calibri" w:hAnsi="Calibri" w:cs="Calibri"/>
                <w:sz w:val="18"/>
                <w:lang w:val="en-AU"/>
              </w:rPr>
              <w:t>–</w:t>
            </w:r>
          </w:p>
        </w:tc>
        <w:tc>
          <w:tcPr>
            <w:tcW w:w="943" w:type="dxa"/>
            <w:tcBorders>
              <w:top w:val="single" w:sz="4" w:space="0" w:color="auto"/>
              <w:left w:val="nil"/>
              <w:bottom w:val="single" w:sz="4" w:space="0" w:color="auto"/>
              <w:right w:val="nil"/>
            </w:tcBorders>
          </w:tcPr>
          <w:p w14:paraId="03F8D312" w14:textId="4CB0D843" w:rsidR="00A96E5C" w:rsidRPr="005734B8" w:rsidRDefault="001C3933" w:rsidP="001C3933">
            <w:pPr>
              <w:pStyle w:val="ESTablebody"/>
              <w:jc w:val="center"/>
              <w:rPr>
                <w:rFonts w:ascii="Calibri" w:hAnsi="Calibri" w:cs="Calibri"/>
                <w:sz w:val="18"/>
                <w:lang w:val="en-AU"/>
              </w:rPr>
            </w:pPr>
            <w:r w:rsidRPr="005734B8">
              <w:rPr>
                <w:rFonts w:ascii="Calibri" w:hAnsi="Calibri" w:cs="Calibri"/>
                <w:sz w:val="18"/>
                <w:lang w:val="en-AU"/>
              </w:rPr>
              <w:t>–</w:t>
            </w:r>
          </w:p>
        </w:tc>
        <w:tc>
          <w:tcPr>
            <w:tcW w:w="900" w:type="dxa"/>
            <w:tcBorders>
              <w:top w:val="single" w:sz="4" w:space="0" w:color="auto"/>
              <w:left w:val="nil"/>
              <w:bottom w:val="single" w:sz="4" w:space="0" w:color="auto"/>
              <w:right w:val="nil"/>
            </w:tcBorders>
          </w:tcPr>
          <w:p w14:paraId="7BC5FFE6" w14:textId="1F31C824" w:rsidR="00A96E5C" w:rsidRPr="005734B8" w:rsidRDefault="001C3933" w:rsidP="001C3933">
            <w:pPr>
              <w:pStyle w:val="ESTablebody"/>
              <w:jc w:val="center"/>
              <w:rPr>
                <w:rFonts w:ascii="Calibri" w:hAnsi="Calibri" w:cs="Calibri"/>
                <w:sz w:val="18"/>
                <w:lang w:val="en-AU"/>
              </w:rPr>
            </w:pPr>
            <w:r w:rsidRPr="005734B8">
              <w:rPr>
                <w:rFonts w:ascii="Calibri" w:hAnsi="Calibri" w:cs="Calibri"/>
                <w:sz w:val="18"/>
                <w:lang w:val="en-AU"/>
              </w:rPr>
              <w:t>–</w:t>
            </w:r>
          </w:p>
        </w:tc>
        <w:tc>
          <w:tcPr>
            <w:tcW w:w="1053" w:type="dxa"/>
            <w:tcBorders>
              <w:top w:val="single" w:sz="4" w:space="0" w:color="auto"/>
              <w:left w:val="nil"/>
              <w:bottom w:val="single" w:sz="4" w:space="0" w:color="auto"/>
              <w:right w:val="nil"/>
            </w:tcBorders>
            <w:shd w:val="clear" w:color="auto" w:fill="D9D9D6" w:themeFill="accent6"/>
          </w:tcPr>
          <w:p w14:paraId="75F71AC1"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$289,172</w:t>
            </w:r>
          </w:p>
        </w:tc>
      </w:tr>
      <w:tr w:rsidR="00A96E5C" w:rsidRPr="005734B8" w14:paraId="109EC0E0" w14:textId="77777777" w:rsidTr="00572894">
        <w:trPr>
          <w:cantSplit/>
        </w:trPr>
        <w:tc>
          <w:tcPr>
            <w:tcW w:w="1413" w:type="dxa"/>
            <w:tcBorders>
              <w:top w:val="single" w:sz="4" w:space="0" w:color="auto"/>
              <w:left w:val="nil"/>
              <w:bottom w:val="single" w:sz="4" w:space="0" w:color="auto"/>
              <w:right w:val="nil"/>
            </w:tcBorders>
            <w:shd w:val="clear" w:color="auto" w:fill="auto"/>
          </w:tcPr>
          <w:p w14:paraId="245AA924"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lastRenderedPageBreak/>
              <w:t>Three-Year-Old Kinder: 2022 statewide roll-out</w:t>
            </w:r>
          </w:p>
        </w:tc>
        <w:tc>
          <w:tcPr>
            <w:tcW w:w="4961" w:type="dxa"/>
            <w:tcBorders>
              <w:top w:val="single" w:sz="4" w:space="0" w:color="auto"/>
              <w:left w:val="nil"/>
              <w:bottom w:val="single" w:sz="4" w:space="0" w:color="auto"/>
              <w:right w:val="nil"/>
            </w:tcBorders>
          </w:tcPr>
          <w:p w14:paraId="45179B27" w14:textId="77777777" w:rsidR="00A96E5C" w:rsidRPr="005734B8" w:rsidRDefault="00A96E5C" w:rsidP="00356A85">
            <w:pPr>
              <w:pStyle w:val="ESTablebody"/>
              <w:rPr>
                <w:rFonts w:ascii="Calibri" w:hAnsi="Calibri" w:cs="Calibri"/>
                <w:b/>
                <w:sz w:val="18"/>
              </w:rPr>
            </w:pPr>
            <w:r w:rsidRPr="005734B8">
              <w:rPr>
                <w:rFonts w:ascii="Calibri" w:hAnsi="Calibri" w:cs="Calibri"/>
                <w:sz w:val="18"/>
                <w:lang w:val="en-AU"/>
              </w:rPr>
              <w:t xml:space="preserve">Three-Year-Old Kindergarten will be </w:t>
            </w:r>
            <w:r w:rsidRPr="005734B8">
              <w:rPr>
                <w:rFonts w:ascii="Calibri" w:hAnsi="Calibri" w:cs="Calibri"/>
                <w:sz w:val="18"/>
              </w:rPr>
              <w:t>available across the state from 2022.</w:t>
            </w:r>
          </w:p>
          <w:p w14:paraId="35A7EF2D" w14:textId="77777777" w:rsidR="00A96E5C" w:rsidRPr="005734B8" w:rsidRDefault="00A96E5C" w:rsidP="00356A85">
            <w:pPr>
              <w:pStyle w:val="ESTablebody"/>
              <w:rPr>
                <w:rFonts w:ascii="Calibri" w:hAnsi="Calibri" w:cs="Calibri"/>
                <w:b/>
                <w:sz w:val="18"/>
              </w:rPr>
            </w:pPr>
            <w:r w:rsidRPr="005734B8">
              <w:rPr>
                <w:rFonts w:ascii="Calibri" w:hAnsi="Calibri" w:cs="Calibri"/>
                <w:sz w:val="18"/>
                <w:lang w:val="en-AU"/>
              </w:rPr>
              <w:t>Children will have access to at least five hours of a funded Three-Year-Old Kindergarten program from 2022.</w:t>
            </w:r>
          </w:p>
          <w:p w14:paraId="068F5A2F"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The advertising campaign aimed to inform families of the statewide roll-out of Three-Year-Old Kindergarten and encourage families of eligible children to enrol in preparation for 2022.</w:t>
            </w:r>
          </w:p>
        </w:tc>
        <w:tc>
          <w:tcPr>
            <w:tcW w:w="992" w:type="dxa"/>
            <w:tcBorders>
              <w:top w:val="single" w:sz="4" w:space="0" w:color="auto"/>
              <w:left w:val="nil"/>
              <w:bottom w:val="single" w:sz="4" w:space="0" w:color="auto"/>
              <w:right w:val="nil"/>
            </w:tcBorders>
          </w:tcPr>
          <w:p w14:paraId="44835F77" w14:textId="3B4EC01E"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18 April</w:t>
            </w:r>
            <w:r w:rsidR="00530B42" w:rsidRPr="005734B8">
              <w:rPr>
                <w:rFonts w:ascii="Calibri" w:hAnsi="Calibri" w:cs="Calibri"/>
                <w:sz w:val="18"/>
                <w:lang w:val="en-AU"/>
              </w:rPr>
              <w:t xml:space="preserve"> </w:t>
            </w:r>
            <w:r w:rsidRPr="005734B8">
              <w:rPr>
                <w:rFonts w:ascii="Calibri" w:hAnsi="Calibri" w:cs="Calibri"/>
                <w:sz w:val="18"/>
                <w:lang w:val="en-AU"/>
              </w:rPr>
              <w:t>–30 June 2021</w:t>
            </w:r>
          </w:p>
        </w:tc>
        <w:tc>
          <w:tcPr>
            <w:tcW w:w="1134" w:type="dxa"/>
            <w:tcBorders>
              <w:top w:val="single" w:sz="4" w:space="0" w:color="auto"/>
              <w:left w:val="nil"/>
              <w:bottom w:val="single" w:sz="4" w:space="0" w:color="auto"/>
              <w:right w:val="nil"/>
            </w:tcBorders>
          </w:tcPr>
          <w:p w14:paraId="7EF24061" w14:textId="049571D1"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$1,439,840</w:t>
            </w:r>
          </w:p>
        </w:tc>
        <w:tc>
          <w:tcPr>
            <w:tcW w:w="1418" w:type="dxa"/>
            <w:tcBorders>
              <w:top w:val="single" w:sz="4" w:space="0" w:color="auto"/>
              <w:left w:val="nil"/>
              <w:bottom w:val="single" w:sz="4" w:space="0" w:color="auto"/>
              <w:right w:val="nil"/>
            </w:tcBorders>
          </w:tcPr>
          <w:p w14:paraId="2E9CB583"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$291,430</w:t>
            </w:r>
          </w:p>
        </w:tc>
        <w:tc>
          <w:tcPr>
            <w:tcW w:w="1136" w:type="dxa"/>
            <w:tcBorders>
              <w:top w:val="single" w:sz="4" w:space="0" w:color="auto"/>
              <w:left w:val="nil"/>
              <w:bottom w:val="single" w:sz="4" w:space="0" w:color="auto"/>
              <w:right w:val="nil"/>
            </w:tcBorders>
          </w:tcPr>
          <w:p w14:paraId="4CEC2833" w14:textId="4541BF4B" w:rsidR="00A96E5C" w:rsidRPr="005734B8" w:rsidRDefault="00530B42" w:rsidP="00530B42">
            <w:pPr>
              <w:pStyle w:val="ESTablebody"/>
              <w:jc w:val="center"/>
              <w:rPr>
                <w:rFonts w:ascii="Calibri" w:hAnsi="Calibri" w:cs="Calibri"/>
                <w:sz w:val="18"/>
                <w:lang w:val="en-AU"/>
              </w:rPr>
            </w:pPr>
            <w:r w:rsidRPr="005734B8">
              <w:rPr>
                <w:rFonts w:ascii="Calibri" w:hAnsi="Calibri" w:cs="Calibri"/>
                <w:sz w:val="18"/>
                <w:lang w:val="en-AU"/>
              </w:rPr>
              <w:t>–</w:t>
            </w:r>
          </w:p>
        </w:tc>
        <w:tc>
          <w:tcPr>
            <w:tcW w:w="943" w:type="dxa"/>
            <w:tcBorders>
              <w:top w:val="single" w:sz="4" w:space="0" w:color="auto"/>
              <w:left w:val="nil"/>
              <w:bottom w:val="single" w:sz="4" w:space="0" w:color="auto"/>
              <w:right w:val="nil"/>
            </w:tcBorders>
          </w:tcPr>
          <w:p w14:paraId="1ACEFC8E"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$8,214</w:t>
            </w:r>
          </w:p>
        </w:tc>
        <w:tc>
          <w:tcPr>
            <w:tcW w:w="900" w:type="dxa"/>
            <w:tcBorders>
              <w:top w:val="single" w:sz="4" w:space="0" w:color="auto"/>
              <w:left w:val="nil"/>
              <w:bottom w:val="single" w:sz="4" w:space="0" w:color="auto"/>
              <w:right w:val="nil"/>
            </w:tcBorders>
          </w:tcPr>
          <w:p w14:paraId="11BB86C4"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$61,956</w:t>
            </w:r>
          </w:p>
        </w:tc>
        <w:tc>
          <w:tcPr>
            <w:tcW w:w="1053" w:type="dxa"/>
            <w:tcBorders>
              <w:top w:val="single" w:sz="4" w:space="0" w:color="auto"/>
              <w:left w:val="nil"/>
              <w:bottom w:val="single" w:sz="4" w:space="0" w:color="auto"/>
              <w:right w:val="nil"/>
            </w:tcBorders>
            <w:shd w:val="clear" w:color="auto" w:fill="D9D9D6" w:themeFill="accent6"/>
          </w:tcPr>
          <w:p w14:paraId="622DC300"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$1,801,440</w:t>
            </w:r>
          </w:p>
        </w:tc>
      </w:tr>
      <w:tr w:rsidR="00A96E5C" w:rsidRPr="005734B8" w14:paraId="3ECC60C7" w14:textId="77777777" w:rsidTr="00572894">
        <w:trPr>
          <w:cantSplit/>
        </w:trPr>
        <w:tc>
          <w:tcPr>
            <w:tcW w:w="1413" w:type="dxa"/>
            <w:tcBorders>
              <w:top w:val="single" w:sz="4" w:space="0" w:color="auto"/>
              <w:left w:val="nil"/>
              <w:bottom w:val="single" w:sz="4" w:space="0" w:color="auto"/>
              <w:right w:val="nil"/>
            </w:tcBorders>
            <w:shd w:val="clear" w:color="auto" w:fill="auto"/>
          </w:tcPr>
          <w:p w14:paraId="355A1E1A"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 xml:space="preserve">Three-Year-Old Kinder: workforce recruitment </w:t>
            </w:r>
          </w:p>
        </w:tc>
        <w:tc>
          <w:tcPr>
            <w:tcW w:w="4961" w:type="dxa"/>
            <w:tcBorders>
              <w:top w:val="single" w:sz="4" w:space="0" w:color="auto"/>
              <w:left w:val="nil"/>
              <w:bottom w:val="single" w:sz="4" w:space="0" w:color="auto"/>
              <w:right w:val="nil"/>
            </w:tcBorders>
          </w:tcPr>
          <w:p w14:paraId="5D41A548" w14:textId="77777777" w:rsidR="00A96E5C" w:rsidRPr="005734B8" w:rsidRDefault="00A96E5C" w:rsidP="00356A85">
            <w:pPr>
              <w:pStyle w:val="ESTablebody"/>
              <w:rPr>
                <w:rFonts w:ascii="Calibri" w:hAnsi="Calibri" w:cs="Calibri"/>
                <w:b/>
                <w:sz w:val="18"/>
              </w:rPr>
            </w:pPr>
            <w:r w:rsidRPr="005734B8">
              <w:rPr>
                <w:rFonts w:ascii="Calibri" w:hAnsi="Calibri" w:cs="Calibri"/>
                <w:sz w:val="18"/>
                <w:lang w:val="en-AU"/>
              </w:rPr>
              <w:t xml:space="preserve">The successful roll-out of Three-Year-Old </w:t>
            </w:r>
            <w:r w:rsidRPr="005734B8">
              <w:rPr>
                <w:rFonts w:ascii="Calibri" w:hAnsi="Calibri" w:cs="Calibri"/>
                <w:sz w:val="18"/>
              </w:rPr>
              <w:t>Kindergarten will require a significant increase in the number of early childhood teachers and educators delivering kindergarten services.</w:t>
            </w:r>
          </w:p>
          <w:p w14:paraId="3A6EB331" w14:textId="5D41AB20" w:rsidR="00A96E5C" w:rsidRPr="005734B8" w:rsidRDefault="00A96E5C" w:rsidP="00356A85">
            <w:pPr>
              <w:pStyle w:val="ESTablebody"/>
              <w:rPr>
                <w:rFonts w:ascii="Calibri" w:hAnsi="Calibri" w:cs="Calibri"/>
                <w:b/>
                <w:sz w:val="18"/>
              </w:rPr>
            </w:pPr>
            <w:r w:rsidRPr="005734B8">
              <w:rPr>
                <w:rFonts w:ascii="Calibri" w:hAnsi="Calibri" w:cs="Calibri"/>
                <w:sz w:val="18"/>
                <w:lang w:val="en-AU"/>
              </w:rPr>
              <w:t xml:space="preserve">The </w:t>
            </w:r>
            <w:r w:rsidRPr="005734B8">
              <w:rPr>
                <w:rFonts w:ascii="Calibri" w:hAnsi="Calibri" w:cs="Calibri"/>
                <w:sz w:val="18"/>
              </w:rPr>
              <w:t>campaign aimed to increase enrolments in workforce pathways by promoting early childhood teaching as a career</w:t>
            </w:r>
            <w:r w:rsidR="00530B42" w:rsidRPr="005734B8">
              <w:rPr>
                <w:rFonts w:ascii="Calibri" w:hAnsi="Calibri" w:cs="Calibri"/>
                <w:sz w:val="18"/>
              </w:rPr>
              <w:t>,</w:t>
            </w:r>
            <w:r w:rsidRPr="005734B8">
              <w:rPr>
                <w:rFonts w:ascii="Calibri" w:hAnsi="Calibri" w:cs="Calibri"/>
                <w:sz w:val="18"/>
              </w:rPr>
              <w:t xml:space="preserve"> and financial support to study.</w:t>
            </w:r>
          </w:p>
          <w:p w14:paraId="43DD3831" w14:textId="6F925E89"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The campaign targeted Year 12 students, recent school leavers, career</w:t>
            </w:r>
            <w:r w:rsidR="00530B42" w:rsidRPr="005734B8">
              <w:rPr>
                <w:rFonts w:ascii="Calibri" w:hAnsi="Calibri" w:cs="Calibri"/>
                <w:sz w:val="18"/>
                <w:lang w:val="en-AU"/>
              </w:rPr>
              <w:noBreakHyphen/>
            </w:r>
            <w:r w:rsidRPr="005734B8">
              <w:rPr>
                <w:rFonts w:ascii="Calibri" w:hAnsi="Calibri" w:cs="Calibri"/>
                <w:sz w:val="18"/>
                <w:lang w:val="en-AU"/>
              </w:rPr>
              <w:t>changers and potential upskillers (existing early childhood educators).</w:t>
            </w:r>
          </w:p>
        </w:tc>
        <w:tc>
          <w:tcPr>
            <w:tcW w:w="992" w:type="dxa"/>
            <w:tcBorders>
              <w:top w:val="single" w:sz="4" w:space="0" w:color="auto"/>
              <w:left w:val="nil"/>
              <w:bottom w:val="single" w:sz="4" w:space="0" w:color="auto"/>
              <w:right w:val="nil"/>
            </w:tcBorders>
          </w:tcPr>
          <w:p w14:paraId="18C17E07" w14:textId="54C04FFD"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16 August 2020</w:t>
            </w:r>
            <w:r w:rsidR="00530B42" w:rsidRPr="005734B8">
              <w:rPr>
                <w:rFonts w:ascii="Calibri" w:hAnsi="Calibri" w:cs="Calibri"/>
                <w:sz w:val="18"/>
                <w:lang w:val="en-AU"/>
              </w:rPr>
              <w:t xml:space="preserve"> </w:t>
            </w:r>
            <w:r w:rsidRPr="005734B8">
              <w:rPr>
                <w:rFonts w:ascii="Calibri" w:hAnsi="Calibri" w:cs="Calibri"/>
                <w:sz w:val="18"/>
                <w:lang w:val="en-AU"/>
              </w:rPr>
              <w:t>–</w:t>
            </w:r>
            <w:r w:rsidR="00530B42" w:rsidRPr="005734B8">
              <w:rPr>
                <w:rFonts w:ascii="Calibri" w:hAnsi="Calibri" w:cs="Calibri"/>
                <w:sz w:val="18"/>
                <w:lang w:val="en-AU"/>
              </w:rPr>
              <w:t xml:space="preserve"> </w:t>
            </w:r>
            <w:r w:rsidRPr="005734B8">
              <w:rPr>
                <w:rFonts w:ascii="Calibri" w:hAnsi="Calibri" w:cs="Calibri"/>
                <w:sz w:val="18"/>
                <w:lang w:val="en-AU"/>
              </w:rPr>
              <w:t>26</w:t>
            </w:r>
            <w:r w:rsidR="00530B42" w:rsidRPr="005734B8">
              <w:rPr>
                <w:rFonts w:ascii="Calibri" w:hAnsi="Calibri" w:cs="Calibri"/>
                <w:sz w:val="18"/>
                <w:lang w:val="en-AU"/>
              </w:rPr>
              <w:t> </w:t>
            </w:r>
            <w:r w:rsidRPr="005734B8">
              <w:rPr>
                <w:rFonts w:ascii="Calibri" w:hAnsi="Calibri" w:cs="Calibri"/>
                <w:sz w:val="18"/>
                <w:lang w:val="en-AU"/>
              </w:rPr>
              <w:t>June 2021</w:t>
            </w:r>
          </w:p>
        </w:tc>
        <w:tc>
          <w:tcPr>
            <w:tcW w:w="1134" w:type="dxa"/>
            <w:tcBorders>
              <w:top w:val="single" w:sz="4" w:space="0" w:color="auto"/>
              <w:left w:val="nil"/>
              <w:bottom w:val="single" w:sz="4" w:space="0" w:color="auto"/>
              <w:right w:val="nil"/>
            </w:tcBorders>
          </w:tcPr>
          <w:p w14:paraId="520C9E4B" w14:textId="743C0510"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$1,927,616</w:t>
            </w:r>
          </w:p>
        </w:tc>
        <w:tc>
          <w:tcPr>
            <w:tcW w:w="1418" w:type="dxa"/>
            <w:tcBorders>
              <w:top w:val="single" w:sz="4" w:space="0" w:color="auto"/>
              <w:left w:val="nil"/>
              <w:bottom w:val="single" w:sz="4" w:space="0" w:color="auto"/>
              <w:right w:val="nil"/>
            </w:tcBorders>
          </w:tcPr>
          <w:p w14:paraId="49219596"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$24,222</w:t>
            </w:r>
          </w:p>
        </w:tc>
        <w:tc>
          <w:tcPr>
            <w:tcW w:w="1136" w:type="dxa"/>
            <w:tcBorders>
              <w:top w:val="single" w:sz="4" w:space="0" w:color="auto"/>
              <w:left w:val="nil"/>
              <w:bottom w:val="single" w:sz="4" w:space="0" w:color="auto"/>
              <w:right w:val="nil"/>
            </w:tcBorders>
          </w:tcPr>
          <w:p w14:paraId="28747C60"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$81,652</w:t>
            </w:r>
          </w:p>
        </w:tc>
        <w:tc>
          <w:tcPr>
            <w:tcW w:w="943" w:type="dxa"/>
            <w:tcBorders>
              <w:top w:val="single" w:sz="4" w:space="0" w:color="auto"/>
              <w:left w:val="nil"/>
              <w:bottom w:val="single" w:sz="4" w:space="0" w:color="auto"/>
              <w:right w:val="nil"/>
            </w:tcBorders>
          </w:tcPr>
          <w:p w14:paraId="17D44366"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$559</w:t>
            </w:r>
          </w:p>
        </w:tc>
        <w:tc>
          <w:tcPr>
            <w:tcW w:w="900" w:type="dxa"/>
            <w:tcBorders>
              <w:top w:val="single" w:sz="4" w:space="0" w:color="auto"/>
              <w:left w:val="nil"/>
              <w:bottom w:val="single" w:sz="4" w:space="0" w:color="auto"/>
              <w:right w:val="nil"/>
            </w:tcBorders>
          </w:tcPr>
          <w:p w14:paraId="452A4F56"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$17,571</w:t>
            </w:r>
          </w:p>
        </w:tc>
        <w:tc>
          <w:tcPr>
            <w:tcW w:w="1053" w:type="dxa"/>
            <w:tcBorders>
              <w:top w:val="single" w:sz="4" w:space="0" w:color="auto"/>
              <w:left w:val="nil"/>
              <w:bottom w:val="single" w:sz="4" w:space="0" w:color="auto"/>
              <w:right w:val="nil"/>
            </w:tcBorders>
            <w:shd w:val="clear" w:color="auto" w:fill="D9D9D6" w:themeFill="accent6"/>
          </w:tcPr>
          <w:p w14:paraId="03326153"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$2,051,620</w:t>
            </w:r>
          </w:p>
        </w:tc>
      </w:tr>
      <w:tr w:rsidR="00A96E5C" w:rsidRPr="005734B8" w14:paraId="3E19A8C5" w14:textId="77777777" w:rsidTr="00572894">
        <w:trPr>
          <w:cantSplit/>
        </w:trPr>
        <w:tc>
          <w:tcPr>
            <w:tcW w:w="1413" w:type="dxa"/>
            <w:tcBorders>
              <w:top w:val="single" w:sz="4" w:space="0" w:color="auto"/>
              <w:left w:val="nil"/>
              <w:bottom w:val="single" w:sz="4" w:space="0" w:color="auto"/>
              <w:right w:val="nil"/>
            </w:tcBorders>
            <w:shd w:val="clear" w:color="auto" w:fill="auto"/>
          </w:tcPr>
          <w:p w14:paraId="41A991E7"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 xml:space="preserve">Kinder Tick </w:t>
            </w:r>
          </w:p>
        </w:tc>
        <w:tc>
          <w:tcPr>
            <w:tcW w:w="4961" w:type="dxa"/>
            <w:tcBorders>
              <w:top w:val="single" w:sz="4" w:space="0" w:color="auto"/>
              <w:left w:val="nil"/>
              <w:bottom w:val="single" w:sz="4" w:space="0" w:color="auto"/>
              <w:right w:val="nil"/>
            </w:tcBorders>
          </w:tcPr>
          <w:p w14:paraId="214F3312" w14:textId="06547DD6" w:rsidR="00A96E5C" w:rsidRPr="005734B8" w:rsidRDefault="00A96E5C" w:rsidP="00356A85">
            <w:pPr>
              <w:pStyle w:val="ESTablebody"/>
              <w:rPr>
                <w:rFonts w:ascii="Calibri" w:hAnsi="Calibri" w:cs="Calibri"/>
                <w:b/>
                <w:sz w:val="18"/>
              </w:rPr>
            </w:pPr>
            <w:r w:rsidRPr="005734B8">
              <w:rPr>
                <w:rFonts w:ascii="Calibri" w:hAnsi="Calibri" w:cs="Calibri"/>
                <w:sz w:val="18"/>
                <w:lang w:val="en-AU"/>
              </w:rPr>
              <w:t xml:space="preserve">The Kinder Tick is a brand to help families identify Victorian Government funded and approved kindergarten programs in both a long day care and standalone (sessional) kindergarten settings. </w:t>
            </w:r>
          </w:p>
          <w:p w14:paraId="6862A44F"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 xml:space="preserve">The campaign aimed to inform families about the Kinder Tick, and encourage families to enrol in Victorian Government funded and approved kindergarten programs. </w:t>
            </w:r>
          </w:p>
        </w:tc>
        <w:tc>
          <w:tcPr>
            <w:tcW w:w="992" w:type="dxa"/>
            <w:tcBorders>
              <w:top w:val="single" w:sz="4" w:space="0" w:color="auto"/>
              <w:left w:val="nil"/>
              <w:bottom w:val="single" w:sz="4" w:space="0" w:color="auto"/>
              <w:right w:val="nil"/>
            </w:tcBorders>
          </w:tcPr>
          <w:p w14:paraId="44FC0E8F" w14:textId="70C96EBB"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8 March</w:t>
            </w:r>
            <w:r w:rsidR="00530B42" w:rsidRPr="005734B8">
              <w:rPr>
                <w:rFonts w:ascii="Calibri" w:hAnsi="Calibri" w:cs="Calibri"/>
                <w:sz w:val="18"/>
                <w:lang w:val="en-AU"/>
              </w:rPr>
              <w:t xml:space="preserve"> </w:t>
            </w:r>
            <w:r w:rsidRPr="005734B8">
              <w:rPr>
                <w:rFonts w:ascii="Calibri" w:hAnsi="Calibri" w:cs="Calibri"/>
                <w:sz w:val="18"/>
                <w:lang w:val="en-AU"/>
              </w:rPr>
              <w:t>–30 June 2021</w:t>
            </w:r>
          </w:p>
        </w:tc>
        <w:tc>
          <w:tcPr>
            <w:tcW w:w="1134" w:type="dxa"/>
            <w:tcBorders>
              <w:top w:val="single" w:sz="4" w:space="0" w:color="auto"/>
              <w:left w:val="nil"/>
              <w:bottom w:val="single" w:sz="4" w:space="0" w:color="auto"/>
              <w:right w:val="nil"/>
            </w:tcBorders>
          </w:tcPr>
          <w:p w14:paraId="14C75FBD" w14:textId="6E641D5C"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w:t>
            </w:r>
            <w:r w:rsidR="00DA6B47" w:rsidRPr="005734B8">
              <w:rPr>
                <w:rFonts w:ascii="Calibri" w:hAnsi="Calibri" w:cs="Calibri"/>
                <w:sz w:val="18"/>
                <w:lang w:val="en-AU"/>
              </w:rPr>
              <w:t>582,008</w:t>
            </w:r>
          </w:p>
        </w:tc>
        <w:tc>
          <w:tcPr>
            <w:tcW w:w="1418" w:type="dxa"/>
            <w:tcBorders>
              <w:top w:val="single" w:sz="4" w:space="0" w:color="auto"/>
              <w:left w:val="nil"/>
              <w:bottom w:val="single" w:sz="4" w:space="0" w:color="auto"/>
              <w:right w:val="nil"/>
            </w:tcBorders>
          </w:tcPr>
          <w:p w14:paraId="3FB09CB1"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$172,247</w:t>
            </w:r>
          </w:p>
        </w:tc>
        <w:tc>
          <w:tcPr>
            <w:tcW w:w="1136" w:type="dxa"/>
            <w:tcBorders>
              <w:top w:val="single" w:sz="4" w:space="0" w:color="auto"/>
              <w:left w:val="nil"/>
              <w:bottom w:val="single" w:sz="4" w:space="0" w:color="auto"/>
              <w:right w:val="nil"/>
            </w:tcBorders>
          </w:tcPr>
          <w:p w14:paraId="757813A1"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$45,136</w:t>
            </w:r>
          </w:p>
        </w:tc>
        <w:tc>
          <w:tcPr>
            <w:tcW w:w="943" w:type="dxa"/>
            <w:tcBorders>
              <w:top w:val="single" w:sz="4" w:space="0" w:color="auto"/>
              <w:left w:val="nil"/>
              <w:bottom w:val="single" w:sz="4" w:space="0" w:color="auto"/>
              <w:right w:val="nil"/>
            </w:tcBorders>
          </w:tcPr>
          <w:p w14:paraId="1A9605D2"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$550,519</w:t>
            </w:r>
          </w:p>
        </w:tc>
        <w:tc>
          <w:tcPr>
            <w:tcW w:w="900" w:type="dxa"/>
            <w:tcBorders>
              <w:top w:val="single" w:sz="4" w:space="0" w:color="auto"/>
              <w:left w:val="nil"/>
              <w:bottom w:val="single" w:sz="4" w:space="0" w:color="auto"/>
              <w:right w:val="nil"/>
            </w:tcBorders>
          </w:tcPr>
          <w:p w14:paraId="086A065C"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$55,985</w:t>
            </w:r>
          </w:p>
        </w:tc>
        <w:tc>
          <w:tcPr>
            <w:tcW w:w="1053" w:type="dxa"/>
            <w:tcBorders>
              <w:top w:val="single" w:sz="4" w:space="0" w:color="auto"/>
              <w:left w:val="nil"/>
              <w:bottom w:val="single" w:sz="4" w:space="0" w:color="auto"/>
              <w:right w:val="nil"/>
            </w:tcBorders>
            <w:shd w:val="clear" w:color="auto" w:fill="D9D9D6" w:themeFill="accent6"/>
          </w:tcPr>
          <w:p w14:paraId="6682AC52" w14:textId="3C706881"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$1,40</w:t>
            </w:r>
            <w:r w:rsidR="00DA6B47" w:rsidRPr="005734B8">
              <w:rPr>
                <w:rFonts w:ascii="Calibri" w:hAnsi="Calibri" w:cs="Calibri"/>
                <w:sz w:val="18"/>
                <w:lang w:val="en-AU"/>
              </w:rPr>
              <w:t>5</w:t>
            </w:r>
            <w:r w:rsidRPr="005734B8">
              <w:rPr>
                <w:rFonts w:ascii="Calibri" w:hAnsi="Calibri" w:cs="Calibri"/>
                <w:sz w:val="18"/>
                <w:lang w:val="en-AU"/>
              </w:rPr>
              <w:t>,</w:t>
            </w:r>
            <w:r w:rsidR="00DA6B47" w:rsidRPr="005734B8">
              <w:rPr>
                <w:rFonts w:ascii="Calibri" w:hAnsi="Calibri" w:cs="Calibri"/>
                <w:sz w:val="18"/>
                <w:lang w:val="en-AU"/>
              </w:rPr>
              <w:t>89</w:t>
            </w:r>
            <w:r w:rsidR="004C2DD4" w:rsidRPr="005734B8">
              <w:rPr>
                <w:rFonts w:ascii="Calibri" w:hAnsi="Calibri" w:cs="Calibri"/>
                <w:sz w:val="18"/>
                <w:lang w:val="en-AU"/>
              </w:rPr>
              <w:t>5</w:t>
            </w:r>
          </w:p>
        </w:tc>
      </w:tr>
      <w:tr w:rsidR="00A96E5C" w:rsidRPr="005734B8" w14:paraId="4745FF12" w14:textId="77777777" w:rsidTr="00572894">
        <w:trPr>
          <w:cantSplit/>
        </w:trPr>
        <w:tc>
          <w:tcPr>
            <w:tcW w:w="1413" w:type="dxa"/>
            <w:tcBorders>
              <w:top w:val="single" w:sz="4" w:space="0" w:color="auto"/>
              <w:left w:val="nil"/>
              <w:bottom w:val="single" w:sz="4" w:space="0" w:color="auto"/>
              <w:right w:val="nil"/>
            </w:tcBorders>
            <w:shd w:val="clear" w:color="auto" w:fill="auto"/>
          </w:tcPr>
          <w:p w14:paraId="796C6561"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Free Kinder</w:t>
            </w:r>
          </w:p>
        </w:tc>
        <w:tc>
          <w:tcPr>
            <w:tcW w:w="4961" w:type="dxa"/>
            <w:tcBorders>
              <w:top w:val="single" w:sz="4" w:space="0" w:color="auto"/>
              <w:left w:val="nil"/>
              <w:bottom w:val="single" w:sz="4" w:space="0" w:color="auto"/>
              <w:right w:val="nil"/>
            </w:tcBorders>
          </w:tcPr>
          <w:p w14:paraId="4E7A35F2" w14:textId="7D39A728"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 xml:space="preserve">To help families recover from the COVID-19 pandemic the Victorian Government committed to </w:t>
            </w:r>
            <w:r w:rsidR="00530B42" w:rsidRPr="005734B8">
              <w:rPr>
                <w:rFonts w:ascii="Calibri" w:hAnsi="Calibri" w:cs="Calibri"/>
                <w:sz w:val="18"/>
                <w:lang w:val="en-AU"/>
              </w:rPr>
              <w:t>providing free kindergarten to</w:t>
            </w:r>
            <w:r w:rsidRPr="005734B8">
              <w:rPr>
                <w:rFonts w:ascii="Calibri" w:hAnsi="Calibri" w:cs="Calibri"/>
                <w:sz w:val="18"/>
                <w:lang w:val="en-AU"/>
              </w:rPr>
              <w:t xml:space="preserve"> Victorian families in 2021.</w:t>
            </w:r>
          </w:p>
          <w:p w14:paraId="41745A8F" w14:textId="27CEB6EC"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 xml:space="preserve">The campaign aimed to inform families about Free Kinder and encourage them to </w:t>
            </w:r>
            <w:r w:rsidR="00530B42" w:rsidRPr="005734B8">
              <w:rPr>
                <w:rFonts w:ascii="Calibri" w:hAnsi="Calibri" w:cs="Calibri"/>
                <w:sz w:val="18"/>
                <w:lang w:val="en-AU"/>
              </w:rPr>
              <w:t>enrol</w:t>
            </w:r>
            <w:r w:rsidRPr="005734B8">
              <w:rPr>
                <w:rFonts w:ascii="Calibri" w:hAnsi="Calibri" w:cs="Calibri"/>
                <w:sz w:val="18"/>
                <w:lang w:val="en-AU"/>
              </w:rPr>
              <w:t xml:space="preserve"> children for 2021. </w:t>
            </w:r>
          </w:p>
        </w:tc>
        <w:tc>
          <w:tcPr>
            <w:tcW w:w="992" w:type="dxa"/>
            <w:tcBorders>
              <w:top w:val="single" w:sz="4" w:space="0" w:color="auto"/>
              <w:left w:val="nil"/>
              <w:bottom w:val="single" w:sz="4" w:space="0" w:color="auto"/>
              <w:right w:val="nil"/>
            </w:tcBorders>
          </w:tcPr>
          <w:p w14:paraId="27C2EB07" w14:textId="22F1DC4F" w:rsidR="00A96E5C" w:rsidRPr="005734B8" w:rsidRDefault="00A96E5C" w:rsidP="005D50FA">
            <w:pPr>
              <w:pStyle w:val="ESTablebody"/>
              <w:rPr>
                <w:rFonts w:ascii="Calibri" w:hAnsi="Calibri" w:cs="Calibri"/>
                <w:sz w:val="18"/>
                <w:lang w:val="en-AU"/>
              </w:rPr>
            </w:pPr>
            <w:r w:rsidRPr="005734B8">
              <w:rPr>
                <w:rFonts w:ascii="Calibri" w:hAnsi="Calibri" w:cs="Calibri"/>
                <w:sz w:val="18"/>
                <w:lang w:val="en-AU"/>
              </w:rPr>
              <w:t>15 December 2020–</w:t>
            </w:r>
            <w:r w:rsidR="00C36AEB">
              <w:rPr>
                <w:rFonts w:ascii="Calibri" w:hAnsi="Calibri" w:cs="Calibri"/>
                <w:sz w:val="18"/>
                <w:lang w:val="en-AU"/>
              </w:rPr>
              <w:t xml:space="preserve">7 </w:t>
            </w:r>
            <w:r w:rsidRPr="005734B8">
              <w:rPr>
                <w:rFonts w:ascii="Calibri" w:hAnsi="Calibri" w:cs="Calibri"/>
                <w:sz w:val="18"/>
                <w:lang w:val="en-AU"/>
              </w:rPr>
              <w:t>February 2021</w:t>
            </w:r>
          </w:p>
        </w:tc>
        <w:tc>
          <w:tcPr>
            <w:tcW w:w="1134" w:type="dxa"/>
            <w:tcBorders>
              <w:top w:val="single" w:sz="4" w:space="0" w:color="auto"/>
              <w:left w:val="nil"/>
              <w:bottom w:val="single" w:sz="4" w:space="0" w:color="auto"/>
              <w:right w:val="nil"/>
            </w:tcBorders>
          </w:tcPr>
          <w:p w14:paraId="7BBF4587"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$298,207</w:t>
            </w:r>
          </w:p>
        </w:tc>
        <w:tc>
          <w:tcPr>
            <w:tcW w:w="1418" w:type="dxa"/>
            <w:tcBorders>
              <w:top w:val="single" w:sz="4" w:space="0" w:color="auto"/>
              <w:left w:val="nil"/>
              <w:bottom w:val="single" w:sz="4" w:space="0" w:color="auto"/>
              <w:right w:val="nil"/>
            </w:tcBorders>
          </w:tcPr>
          <w:p w14:paraId="73DB5203"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$42,885</w:t>
            </w:r>
          </w:p>
        </w:tc>
        <w:tc>
          <w:tcPr>
            <w:tcW w:w="1136" w:type="dxa"/>
            <w:tcBorders>
              <w:top w:val="single" w:sz="4" w:space="0" w:color="auto"/>
              <w:left w:val="nil"/>
              <w:bottom w:val="single" w:sz="4" w:space="0" w:color="auto"/>
              <w:right w:val="nil"/>
            </w:tcBorders>
          </w:tcPr>
          <w:p w14:paraId="3FE6349A" w14:textId="37385183" w:rsidR="00A96E5C" w:rsidRPr="005734B8" w:rsidRDefault="00530B42" w:rsidP="00530B42">
            <w:pPr>
              <w:pStyle w:val="ESTablebody"/>
              <w:jc w:val="center"/>
              <w:rPr>
                <w:rFonts w:ascii="Calibri" w:hAnsi="Calibri" w:cs="Calibri"/>
                <w:sz w:val="18"/>
                <w:lang w:val="en-AU"/>
              </w:rPr>
            </w:pPr>
            <w:r w:rsidRPr="005734B8">
              <w:rPr>
                <w:rFonts w:ascii="Calibri" w:hAnsi="Calibri" w:cs="Calibri"/>
                <w:sz w:val="18"/>
                <w:lang w:val="en-AU"/>
              </w:rPr>
              <w:t>–</w:t>
            </w:r>
          </w:p>
        </w:tc>
        <w:tc>
          <w:tcPr>
            <w:tcW w:w="943" w:type="dxa"/>
            <w:tcBorders>
              <w:top w:val="single" w:sz="4" w:space="0" w:color="auto"/>
              <w:left w:val="nil"/>
              <w:bottom w:val="single" w:sz="4" w:space="0" w:color="auto"/>
              <w:right w:val="nil"/>
            </w:tcBorders>
          </w:tcPr>
          <w:p w14:paraId="7D7CC6FE" w14:textId="26E88D5C" w:rsidR="00A96E5C" w:rsidRPr="005734B8" w:rsidRDefault="00530B42" w:rsidP="00530B42">
            <w:pPr>
              <w:pStyle w:val="ESTablebody"/>
              <w:jc w:val="center"/>
              <w:rPr>
                <w:rFonts w:ascii="Calibri" w:hAnsi="Calibri" w:cs="Calibri"/>
                <w:sz w:val="18"/>
                <w:lang w:val="en-AU"/>
              </w:rPr>
            </w:pPr>
            <w:r w:rsidRPr="005734B8">
              <w:rPr>
                <w:rFonts w:ascii="Calibri" w:hAnsi="Calibri" w:cs="Calibri"/>
                <w:sz w:val="18"/>
                <w:lang w:val="en-AU"/>
              </w:rPr>
              <w:t>–</w:t>
            </w:r>
          </w:p>
        </w:tc>
        <w:tc>
          <w:tcPr>
            <w:tcW w:w="900" w:type="dxa"/>
            <w:tcBorders>
              <w:top w:val="single" w:sz="4" w:space="0" w:color="auto"/>
              <w:left w:val="nil"/>
              <w:bottom w:val="single" w:sz="4" w:space="0" w:color="auto"/>
              <w:right w:val="nil"/>
            </w:tcBorders>
          </w:tcPr>
          <w:p w14:paraId="36EAF051"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$6,129</w:t>
            </w:r>
          </w:p>
        </w:tc>
        <w:tc>
          <w:tcPr>
            <w:tcW w:w="1053" w:type="dxa"/>
            <w:tcBorders>
              <w:top w:val="single" w:sz="4" w:space="0" w:color="auto"/>
              <w:left w:val="nil"/>
              <w:bottom w:val="single" w:sz="4" w:space="0" w:color="auto"/>
              <w:right w:val="nil"/>
            </w:tcBorders>
            <w:shd w:val="clear" w:color="auto" w:fill="D9D9D6" w:themeFill="accent6"/>
          </w:tcPr>
          <w:p w14:paraId="6E121895"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$347,221</w:t>
            </w:r>
          </w:p>
        </w:tc>
      </w:tr>
      <w:tr w:rsidR="00A96E5C" w:rsidRPr="005734B8" w14:paraId="38D45CFE" w14:textId="77777777" w:rsidTr="00572894">
        <w:trPr>
          <w:cantSplit/>
        </w:trPr>
        <w:tc>
          <w:tcPr>
            <w:tcW w:w="1413" w:type="dxa"/>
            <w:tcBorders>
              <w:top w:val="single" w:sz="4" w:space="0" w:color="auto"/>
              <w:left w:val="nil"/>
              <w:bottom w:val="single" w:sz="4" w:space="0" w:color="auto"/>
              <w:right w:val="nil"/>
            </w:tcBorders>
            <w:shd w:val="clear" w:color="auto" w:fill="auto"/>
          </w:tcPr>
          <w:p w14:paraId="63572197" w14:textId="404C4C48"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lastRenderedPageBreak/>
              <w:t xml:space="preserve">Teacher Recruitment </w:t>
            </w:r>
          </w:p>
        </w:tc>
        <w:tc>
          <w:tcPr>
            <w:tcW w:w="4961" w:type="dxa"/>
            <w:tcBorders>
              <w:top w:val="single" w:sz="4" w:space="0" w:color="auto"/>
              <w:left w:val="nil"/>
              <w:bottom w:val="single" w:sz="4" w:space="0" w:color="auto"/>
              <w:right w:val="nil"/>
            </w:tcBorders>
          </w:tcPr>
          <w:p w14:paraId="20B085B5" w14:textId="7420C072" w:rsidR="00A96E5C" w:rsidRPr="005734B8" w:rsidRDefault="00A96E5C" w:rsidP="00356A85">
            <w:pPr>
              <w:pStyle w:val="ESTablebody"/>
              <w:rPr>
                <w:rFonts w:ascii="Calibri" w:hAnsi="Calibri" w:cs="Calibri"/>
                <w:b/>
                <w:sz w:val="18"/>
              </w:rPr>
            </w:pPr>
            <w:r w:rsidRPr="005734B8">
              <w:rPr>
                <w:rFonts w:ascii="Calibri" w:hAnsi="Calibri" w:cs="Calibri"/>
                <w:sz w:val="18"/>
                <w:lang w:val="en-AU"/>
              </w:rPr>
              <w:t xml:space="preserve">The campaign aimed to generate an uplift in enrolments in teaching courses to help </w:t>
            </w:r>
            <w:r w:rsidR="00530B42" w:rsidRPr="005734B8">
              <w:rPr>
                <w:rFonts w:ascii="Calibri" w:hAnsi="Calibri" w:cs="Calibri"/>
                <w:sz w:val="18"/>
                <w:lang w:val="en-AU"/>
              </w:rPr>
              <w:t>meet</w:t>
            </w:r>
            <w:r w:rsidRPr="005734B8">
              <w:rPr>
                <w:rFonts w:ascii="Calibri" w:hAnsi="Calibri" w:cs="Calibri"/>
                <w:sz w:val="18"/>
                <w:lang w:val="en-AU"/>
              </w:rPr>
              <w:t xml:space="preserve"> an anticipated shortfall in new qualified teacher numbers over the coming years. </w:t>
            </w:r>
          </w:p>
          <w:p w14:paraId="2F064127"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The campaign targeted year 12 school leavers and career switchers.</w:t>
            </w:r>
          </w:p>
        </w:tc>
        <w:tc>
          <w:tcPr>
            <w:tcW w:w="992" w:type="dxa"/>
            <w:tcBorders>
              <w:top w:val="single" w:sz="4" w:space="0" w:color="auto"/>
              <w:left w:val="nil"/>
              <w:bottom w:val="single" w:sz="4" w:space="0" w:color="auto"/>
              <w:right w:val="nil"/>
            </w:tcBorders>
          </w:tcPr>
          <w:p w14:paraId="1DFE4B30" w14:textId="77777777" w:rsidR="00A96E5C" w:rsidRPr="005734B8" w:rsidRDefault="00A96E5C" w:rsidP="00356A85">
            <w:pPr>
              <w:pStyle w:val="ESTablebody"/>
              <w:rPr>
                <w:rFonts w:ascii="Calibri" w:hAnsi="Calibri" w:cs="Calibri"/>
                <w:b/>
                <w:sz w:val="18"/>
              </w:rPr>
            </w:pPr>
            <w:r w:rsidRPr="005734B8">
              <w:rPr>
                <w:rFonts w:ascii="Calibri" w:hAnsi="Calibri" w:cs="Calibri"/>
                <w:sz w:val="18"/>
                <w:lang w:val="en-AU"/>
              </w:rPr>
              <w:t>16 August 2020–30 June 2021</w:t>
            </w:r>
          </w:p>
          <w:p w14:paraId="3F9737FF" w14:textId="77777777" w:rsidR="00A96E5C" w:rsidRPr="005734B8" w:rsidRDefault="00A96E5C" w:rsidP="00356A85">
            <w:pPr>
              <w:pStyle w:val="ESTablebody"/>
              <w:rPr>
                <w:rFonts w:ascii="Calibri" w:hAnsi="Calibri" w:cs="Calibri"/>
                <w:sz w:val="18"/>
                <w:lang w:val="en-AU"/>
              </w:rPr>
            </w:pPr>
          </w:p>
        </w:tc>
        <w:tc>
          <w:tcPr>
            <w:tcW w:w="1134" w:type="dxa"/>
            <w:tcBorders>
              <w:top w:val="single" w:sz="4" w:space="0" w:color="auto"/>
              <w:left w:val="nil"/>
              <w:bottom w:val="single" w:sz="4" w:space="0" w:color="auto"/>
              <w:right w:val="nil"/>
            </w:tcBorders>
          </w:tcPr>
          <w:p w14:paraId="274BF706" w14:textId="46F0B759"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$3,</w:t>
            </w:r>
            <w:r w:rsidR="00513D08" w:rsidRPr="005734B8">
              <w:rPr>
                <w:rFonts w:ascii="Calibri" w:hAnsi="Calibri" w:cs="Calibri"/>
                <w:sz w:val="18"/>
                <w:lang w:val="en-AU"/>
              </w:rPr>
              <w:t>233</w:t>
            </w:r>
            <w:r w:rsidRPr="005734B8">
              <w:rPr>
                <w:rFonts w:ascii="Calibri" w:hAnsi="Calibri" w:cs="Calibri"/>
                <w:sz w:val="18"/>
                <w:lang w:val="en-AU"/>
              </w:rPr>
              <w:t>,</w:t>
            </w:r>
            <w:r w:rsidR="00513D08" w:rsidRPr="005734B8">
              <w:rPr>
                <w:rFonts w:ascii="Calibri" w:hAnsi="Calibri" w:cs="Calibri"/>
                <w:sz w:val="18"/>
                <w:lang w:val="en-AU"/>
              </w:rPr>
              <w:t>790</w:t>
            </w:r>
          </w:p>
        </w:tc>
        <w:tc>
          <w:tcPr>
            <w:tcW w:w="1418" w:type="dxa"/>
            <w:tcBorders>
              <w:top w:val="single" w:sz="4" w:space="0" w:color="auto"/>
              <w:left w:val="nil"/>
              <w:bottom w:val="single" w:sz="4" w:space="0" w:color="auto"/>
              <w:right w:val="nil"/>
            </w:tcBorders>
          </w:tcPr>
          <w:p w14:paraId="28505C4D"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$801,954</w:t>
            </w:r>
          </w:p>
        </w:tc>
        <w:tc>
          <w:tcPr>
            <w:tcW w:w="1136" w:type="dxa"/>
            <w:tcBorders>
              <w:top w:val="single" w:sz="4" w:space="0" w:color="auto"/>
              <w:left w:val="nil"/>
              <w:bottom w:val="single" w:sz="4" w:space="0" w:color="auto"/>
              <w:right w:val="nil"/>
            </w:tcBorders>
          </w:tcPr>
          <w:p w14:paraId="2DF1B583"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$108,685</w:t>
            </w:r>
          </w:p>
        </w:tc>
        <w:tc>
          <w:tcPr>
            <w:tcW w:w="943" w:type="dxa"/>
            <w:tcBorders>
              <w:top w:val="single" w:sz="4" w:space="0" w:color="auto"/>
              <w:left w:val="nil"/>
              <w:bottom w:val="single" w:sz="4" w:space="0" w:color="auto"/>
              <w:right w:val="nil"/>
            </w:tcBorders>
          </w:tcPr>
          <w:p w14:paraId="2CCD3DA1" w14:textId="39BA628A" w:rsidR="00A96E5C" w:rsidRPr="005734B8" w:rsidRDefault="00530B42" w:rsidP="00530B42">
            <w:pPr>
              <w:pStyle w:val="ESTablebody"/>
              <w:jc w:val="center"/>
              <w:rPr>
                <w:rFonts w:ascii="Calibri" w:hAnsi="Calibri" w:cs="Calibri"/>
                <w:sz w:val="18"/>
                <w:lang w:val="en-AU"/>
              </w:rPr>
            </w:pPr>
            <w:r w:rsidRPr="005734B8">
              <w:rPr>
                <w:rFonts w:ascii="Calibri" w:hAnsi="Calibri" w:cs="Calibri"/>
                <w:sz w:val="18"/>
                <w:lang w:val="en-AU"/>
              </w:rPr>
              <w:t>–</w:t>
            </w:r>
          </w:p>
        </w:tc>
        <w:tc>
          <w:tcPr>
            <w:tcW w:w="900" w:type="dxa"/>
            <w:tcBorders>
              <w:top w:val="single" w:sz="4" w:space="0" w:color="auto"/>
              <w:left w:val="nil"/>
              <w:bottom w:val="single" w:sz="4" w:space="0" w:color="auto"/>
              <w:right w:val="nil"/>
            </w:tcBorders>
          </w:tcPr>
          <w:p w14:paraId="58C21790"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$255,792</w:t>
            </w:r>
          </w:p>
        </w:tc>
        <w:tc>
          <w:tcPr>
            <w:tcW w:w="1053" w:type="dxa"/>
            <w:tcBorders>
              <w:top w:val="single" w:sz="4" w:space="0" w:color="auto"/>
              <w:left w:val="nil"/>
              <w:bottom w:val="single" w:sz="4" w:space="0" w:color="auto"/>
              <w:right w:val="nil"/>
            </w:tcBorders>
            <w:shd w:val="clear" w:color="auto" w:fill="D9D9D6" w:themeFill="accent6"/>
          </w:tcPr>
          <w:p w14:paraId="290ED37E" w14:textId="22D28B6C"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$4,4</w:t>
            </w:r>
            <w:r w:rsidR="00513D08" w:rsidRPr="005734B8">
              <w:rPr>
                <w:rFonts w:ascii="Calibri" w:hAnsi="Calibri" w:cs="Calibri"/>
                <w:sz w:val="18"/>
                <w:lang w:val="en-AU"/>
              </w:rPr>
              <w:t>00</w:t>
            </w:r>
            <w:r w:rsidR="00D51047" w:rsidRPr="005734B8">
              <w:rPr>
                <w:rFonts w:ascii="Calibri" w:hAnsi="Calibri" w:cs="Calibri"/>
                <w:sz w:val="18"/>
                <w:lang w:val="en-AU"/>
              </w:rPr>
              <w:t>,</w:t>
            </w:r>
            <w:r w:rsidR="00513D08" w:rsidRPr="005734B8">
              <w:rPr>
                <w:rFonts w:ascii="Calibri" w:hAnsi="Calibri" w:cs="Calibri"/>
                <w:sz w:val="18"/>
                <w:lang w:val="en-AU"/>
              </w:rPr>
              <w:t>221</w:t>
            </w:r>
          </w:p>
        </w:tc>
      </w:tr>
      <w:tr w:rsidR="00A96E5C" w:rsidRPr="005734B8" w14:paraId="05674B32" w14:textId="77777777" w:rsidTr="00572894">
        <w:trPr>
          <w:cantSplit/>
        </w:trPr>
        <w:tc>
          <w:tcPr>
            <w:tcW w:w="1413" w:type="dxa"/>
            <w:tcBorders>
              <w:top w:val="single" w:sz="4" w:space="0" w:color="auto"/>
              <w:left w:val="nil"/>
              <w:bottom w:val="single" w:sz="4" w:space="0" w:color="auto"/>
              <w:right w:val="nil"/>
            </w:tcBorders>
            <w:shd w:val="clear" w:color="auto" w:fill="auto"/>
          </w:tcPr>
          <w:p w14:paraId="46005C68" w14:textId="4A174A1C"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 xml:space="preserve">Active Schools ‘Get Your Move On’ </w:t>
            </w:r>
          </w:p>
        </w:tc>
        <w:tc>
          <w:tcPr>
            <w:tcW w:w="4961" w:type="dxa"/>
            <w:tcBorders>
              <w:top w:val="single" w:sz="4" w:space="0" w:color="auto"/>
              <w:left w:val="nil"/>
              <w:bottom w:val="single" w:sz="4" w:space="0" w:color="auto"/>
              <w:right w:val="nil"/>
            </w:tcBorders>
          </w:tcPr>
          <w:p w14:paraId="16E5DD59" w14:textId="2783CD00" w:rsidR="00A96E5C" w:rsidRPr="005734B8" w:rsidRDefault="00A96E5C" w:rsidP="00356A85">
            <w:pPr>
              <w:pStyle w:val="ESTablebody"/>
              <w:rPr>
                <w:rFonts w:ascii="Calibri" w:hAnsi="Calibri" w:cs="Calibri"/>
                <w:b/>
                <w:sz w:val="18"/>
              </w:rPr>
            </w:pPr>
            <w:r w:rsidRPr="005734B8">
              <w:rPr>
                <w:rFonts w:ascii="Calibri" w:hAnsi="Calibri" w:cs="Calibri"/>
                <w:sz w:val="18"/>
                <w:lang w:val="en-AU"/>
              </w:rPr>
              <w:t>The campaign aimed to increase the number of Victorian students participating in physical activity outside school hours.</w:t>
            </w:r>
          </w:p>
          <w:p w14:paraId="0B695176" w14:textId="6ED9D587" w:rsidR="00A96E5C" w:rsidRPr="005734B8" w:rsidRDefault="00A96E5C" w:rsidP="00356A85">
            <w:pPr>
              <w:pStyle w:val="ESTablebody"/>
              <w:rPr>
                <w:rFonts w:ascii="Calibri" w:hAnsi="Calibri" w:cs="Calibri"/>
                <w:b/>
                <w:sz w:val="18"/>
              </w:rPr>
            </w:pPr>
            <w:r w:rsidRPr="005734B8">
              <w:rPr>
                <w:rFonts w:ascii="Calibri" w:hAnsi="Calibri" w:cs="Calibri"/>
                <w:sz w:val="18"/>
                <w:lang w:val="en-AU"/>
              </w:rPr>
              <w:t>This campaign sought to inspire students</w:t>
            </w:r>
            <w:r w:rsidR="00530B42" w:rsidRPr="005734B8">
              <w:rPr>
                <w:rFonts w:ascii="Calibri" w:hAnsi="Calibri" w:cs="Calibri"/>
                <w:sz w:val="18"/>
                <w:lang w:val="en-AU"/>
              </w:rPr>
              <w:t xml:space="preserve"> and </w:t>
            </w:r>
            <w:r w:rsidRPr="005734B8">
              <w:rPr>
                <w:rFonts w:ascii="Calibri" w:hAnsi="Calibri" w:cs="Calibri"/>
                <w:sz w:val="18"/>
                <w:lang w:val="en-AU"/>
              </w:rPr>
              <w:t xml:space="preserve">young people to participate in physical activity and increase family awareness </w:t>
            </w:r>
            <w:r w:rsidR="00530B42" w:rsidRPr="005734B8">
              <w:rPr>
                <w:rFonts w:ascii="Calibri" w:hAnsi="Calibri" w:cs="Calibri"/>
                <w:sz w:val="18"/>
                <w:lang w:val="en-AU"/>
              </w:rPr>
              <w:t>of the</w:t>
            </w:r>
            <w:r w:rsidRPr="005734B8">
              <w:rPr>
                <w:rFonts w:ascii="Calibri" w:hAnsi="Calibri" w:cs="Calibri"/>
                <w:sz w:val="18"/>
                <w:lang w:val="en-AU"/>
              </w:rPr>
              <w:t xml:space="preserve"> value of physical education and activity. </w:t>
            </w:r>
          </w:p>
          <w:p w14:paraId="6266E332"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 xml:space="preserve">The campaign extends the reach of the Active Schools initiative. </w:t>
            </w:r>
          </w:p>
        </w:tc>
        <w:tc>
          <w:tcPr>
            <w:tcW w:w="992" w:type="dxa"/>
            <w:tcBorders>
              <w:top w:val="single" w:sz="4" w:space="0" w:color="auto"/>
              <w:left w:val="nil"/>
              <w:bottom w:val="single" w:sz="4" w:space="0" w:color="auto"/>
              <w:right w:val="nil"/>
            </w:tcBorders>
          </w:tcPr>
          <w:p w14:paraId="2026F25F"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19 April–30 June 2021</w:t>
            </w:r>
          </w:p>
        </w:tc>
        <w:tc>
          <w:tcPr>
            <w:tcW w:w="1134" w:type="dxa"/>
            <w:tcBorders>
              <w:top w:val="single" w:sz="4" w:space="0" w:color="auto"/>
              <w:left w:val="nil"/>
              <w:bottom w:val="single" w:sz="4" w:space="0" w:color="auto"/>
              <w:right w:val="nil"/>
            </w:tcBorders>
          </w:tcPr>
          <w:p w14:paraId="112CEDFF" w14:textId="7B51FD35"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$4</w:t>
            </w:r>
            <w:r w:rsidR="00DA6B47" w:rsidRPr="005734B8">
              <w:rPr>
                <w:rFonts w:ascii="Calibri" w:hAnsi="Calibri" w:cs="Calibri"/>
                <w:sz w:val="18"/>
                <w:lang w:val="en-AU"/>
              </w:rPr>
              <w:t>30</w:t>
            </w:r>
            <w:r w:rsidRPr="005734B8">
              <w:rPr>
                <w:rFonts w:ascii="Calibri" w:hAnsi="Calibri" w:cs="Calibri"/>
                <w:sz w:val="18"/>
                <w:lang w:val="en-AU"/>
              </w:rPr>
              <w:t>,</w:t>
            </w:r>
            <w:r w:rsidR="00DA6B47" w:rsidRPr="005734B8">
              <w:rPr>
                <w:rFonts w:ascii="Calibri" w:hAnsi="Calibri" w:cs="Calibri"/>
                <w:sz w:val="18"/>
                <w:lang w:val="en-AU"/>
              </w:rPr>
              <w:t>305</w:t>
            </w:r>
          </w:p>
        </w:tc>
        <w:tc>
          <w:tcPr>
            <w:tcW w:w="1418" w:type="dxa"/>
            <w:tcBorders>
              <w:top w:val="single" w:sz="4" w:space="0" w:color="auto"/>
              <w:left w:val="nil"/>
              <w:bottom w:val="single" w:sz="4" w:space="0" w:color="auto"/>
              <w:right w:val="nil"/>
            </w:tcBorders>
          </w:tcPr>
          <w:p w14:paraId="03B30E0E"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$429,350</w:t>
            </w:r>
          </w:p>
        </w:tc>
        <w:tc>
          <w:tcPr>
            <w:tcW w:w="1136" w:type="dxa"/>
            <w:tcBorders>
              <w:top w:val="single" w:sz="4" w:space="0" w:color="auto"/>
              <w:left w:val="nil"/>
              <w:bottom w:val="single" w:sz="4" w:space="0" w:color="auto"/>
              <w:right w:val="nil"/>
            </w:tcBorders>
          </w:tcPr>
          <w:p w14:paraId="072EEE54" w14:textId="77777777"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$42,680</w:t>
            </w:r>
          </w:p>
        </w:tc>
        <w:tc>
          <w:tcPr>
            <w:tcW w:w="943" w:type="dxa"/>
            <w:tcBorders>
              <w:top w:val="single" w:sz="4" w:space="0" w:color="auto"/>
              <w:left w:val="nil"/>
              <w:bottom w:val="single" w:sz="4" w:space="0" w:color="auto"/>
              <w:right w:val="nil"/>
            </w:tcBorders>
          </w:tcPr>
          <w:p w14:paraId="2E79CBAE" w14:textId="1F5E3520" w:rsidR="00A96E5C" w:rsidRPr="005734B8" w:rsidRDefault="00530B42" w:rsidP="00530B42">
            <w:pPr>
              <w:pStyle w:val="ESTablebody"/>
              <w:jc w:val="center"/>
              <w:rPr>
                <w:rFonts w:ascii="Calibri" w:hAnsi="Calibri" w:cs="Calibri"/>
                <w:sz w:val="18"/>
                <w:lang w:val="en-AU"/>
              </w:rPr>
            </w:pPr>
            <w:r w:rsidRPr="005734B8">
              <w:rPr>
                <w:rFonts w:ascii="Calibri" w:hAnsi="Calibri" w:cs="Calibri"/>
                <w:sz w:val="18"/>
                <w:lang w:val="en-AU"/>
              </w:rPr>
              <w:t>–</w:t>
            </w:r>
          </w:p>
        </w:tc>
        <w:tc>
          <w:tcPr>
            <w:tcW w:w="900" w:type="dxa"/>
            <w:tcBorders>
              <w:top w:val="single" w:sz="4" w:space="0" w:color="auto"/>
              <w:left w:val="nil"/>
              <w:bottom w:val="single" w:sz="4" w:space="0" w:color="auto"/>
              <w:right w:val="nil"/>
            </w:tcBorders>
          </w:tcPr>
          <w:p w14:paraId="1187B0C6" w14:textId="44444143" w:rsidR="00A96E5C" w:rsidRPr="005734B8" w:rsidRDefault="00530B42" w:rsidP="00530B42">
            <w:pPr>
              <w:pStyle w:val="ESTablebody"/>
              <w:jc w:val="center"/>
              <w:rPr>
                <w:rFonts w:ascii="Calibri" w:hAnsi="Calibri" w:cs="Calibri"/>
                <w:sz w:val="18"/>
                <w:lang w:val="en-AU"/>
              </w:rPr>
            </w:pPr>
            <w:r w:rsidRPr="005734B8">
              <w:rPr>
                <w:rFonts w:ascii="Calibri" w:hAnsi="Calibri" w:cs="Calibri"/>
                <w:sz w:val="18"/>
                <w:lang w:val="en-AU"/>
              </w:rPr>
              <w:t>–</w:t>
            </w:r>
          </w:p>
        </w:tc>
        <w:tc>
          <w:tcPr>
            <w:tcW w:w="1053" w:type="dxa"/>
            <w:tcBorders>
              <w:top w:val="single" w:sz="4" w:space="0" w:color="auto"/>
              <w:left w:val="nil"/>
              <w:bottom w:val="single" w:sz="4" w:space="0" w:color="auto"/>
              <w:right w:val="nil"/>
            </w:tcBorders>
            <w:shd w:val="clear" w:color="auto" w:fill="D9D9D6" w:themeFill="accent6"/>
          </w:tcPr>
          <w:p w14:paraId="1D955840" w14:textId="16C5FCFB" w:rsidR="00A96E5C" w:rsidRPr="005734B8" w:rsidRDefault="00A96E5C" w:rsidP="00356A85">
            <w:pPr>
              <w:pStyle w:val="ESTablebody"/>
              <w:rPr>
                <w:rFonts w:ascii="Calibri" w:hAnsi="Calibri" w:cs="Calibri"/>
                <w:sz w:val="18"/>
                <w:lang w:val="en-AU"/>
              </w:rPr>
            </w:pPr>
            <w:r w:rsidRPr="005734B8">
              <w:rPr>
                <w:rFonts w:ascii="Calibri" w:hAnsi="Calibri" w:cs="Calibri"/>
                <w:sz w:val="18"/>
                <w:lang w:val="en-AU"/>
              </w:rPr>
              <w:t>$</w:t>
            </w:r>
            <w:r w:rsidR="00DA6B47" w:rsidRPr="005734B8">
              <w:rPr>
                <w:rFonts w:ascii="Calibri" w:hAnsi="Calibri" w:cs="Calibri"/>
                <w:sz w:val="18"/>
                <w:lang w:val="en-AU"/>
              </w:rPr>
              <w:t>902,335</w:t>
            </w:r>
          </w:p>
        </w:tc>
      </w:tr>
    </w:tbl>
    <w:p w14:paraId="1F8D33DD" w14:textId="4F5FDA4E" w:rsidR="00A96E5C" w:rsidRPr="005734B8" w:rsidRDefault="00A96E5C" w:rsidP="005203E5">
      <w:pPr>
        <w:rPr>
          <w:rFonts w:ascii="Calibri" w:hAnsi="Calibri" w:cs="Calibri"/>
          <w:highlight w:val="yellow"/>
        </w:rPr>
      </w:pPr>
    </w:p>
    <w:p w14:paraId="2B17D028" w14:textId="77777777" w:rsidR="004B3205" w:rsidRPr="005734B8" w:rsidRDefault="004B3205" w:rsidP="005203E5">
      <w:pPr>
        <w:rPr>
          <w:rFonts w:ascii="Calibri" w:hAnsi="Calibri" w:cs="Calibri"/>
          <w:highlight w:val="yellow"/>
        </w:rPr>
        <w:sectPr w:rsidR="004B3205" w:rsidRPr="005734B8" w:rsidSect="004B3205">
          <w:pgSz w:w="16840" w:h="11900" w:orient="landscape"/>
          <w:pgMar w:top="1418" w:right="1440" w:bottom="1134" w:left="1440" w:header="708" w:footer="708" w:gutter="0"/>
          <w:cols w:space="708"/>
          <w:docGrid w:linePitch="360"/>
        </w:sectPr>
      </w:pPr>
    </w:p>
    <w:p w14:paraId="0E333C23" w14:textId="7EB865BA" w:rsidR="001D7432" w:rsidRPr="005734B8" w:rsidRDefault="001D7432" w:rsidP="001D7432">
      <w:pPr>
        <w:pStyle w:val="ESHeading2"/>
        <w:rPr>
          <w:rFonts w:ascii="Calibri" w:hAnsi="Calibri" w:cs="Calibri"/>
        </w:rPr>
      </w:pPr>
      <w:bookmarkStart w:id="777" w:name="_Toc71030734"/>
      <w:bookmarkStart w:id="778" w:name="_Toc51332777"/>
      <w:bookmarkStart w:id="779" w:name="_Toc48403621"/>
      <w:bookmarkStart w:id="780" w:name="_Toc48403034"/>
      <w:bookmarkStart w:id="781" w:name="_Toc48402797"/>
      <w:bookmarkStart w:id="782" w:name="_Toc19273762"/>
      <w:bookmarkStart w:id="783" w:name="_Toc19272427"/>
      <w:bookmarkStart w:id="784" w:name="_Toc19272061"/>
      <w:bookmarkStart w:id="785" w:name="_Toc15985276"/>
      <w:bookmarkStart w:id="786" w:name="_Toc14965482"/>
      <w:bookmarkStart w:id="787" w:name="_Toc13656690"/>
      <w:bookmarkStart w:id="788" w:name="_Toc11336256"/>
      <w:bookmarkStart w:id="789" w:name="_Toc11158249"/>
      <w:bookmarkStart w:id="790" w:name="_Hlk78356921"/>
      <w:bookmarkStart w:id="791" w:name="_Toc81315341"/>
      <w:bookmarkStart w:id="792" w:name="_Toc11158254"/>
      <w:bookmarkStart w:id="793" w:name="_Toc11336261"/>
      <w:bookmarkStart w:id="794" w:name="_Toc13656693"/>
      <w:bookmarkStart w:id="795" w:name="_Toc14965487"/>
      <w:bookmarkStart w:id="796" w:name="_Toc15985279"/>
      <w:bookmarkStart w:id="797" w:name="_Toc19272066"/>
      <w:bookmarkStart w:id="798" w:name="_Toc19272432"/>
      <w:bookmarkStart w:id="799" w:name="_Toc19273767"/>
      <w:bookmarkStart w:id="800" w:name="_Toc48402800"/>
      <w:bookmarkStart w:id="801" w:name="_Toc48403037"/>
      <w:bookmarkStart w:id="802" w:name="_Toc51332780"/>
      <w:r w:rsidRPr="005734B8">
        <w:rPr>
          <w:rFonts w:ascii="Calibri" w:hAnsi="Calibri" w:cs="Calibri"/>
        </w:rPr>
        <w:lastRenderedPageBreak/>
        <w:t>Consultancy expenditure</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14:paraId="25956AEB" w14:textId="1570EC69" w:rsidR="00EC7C44" w:rsidRPr="005734B8" w:rsidRDefault="00EC7C44" w:rsidP="00EC7C44">
      <w:pPr>
        <w:pStyle w:val="ESHeading3"/>
        <w:ind w:left="0" w:firstLine="0"/>
        <w:rPr>
          <w:rFonts w:ascii="Calibri" w:hAnsi="Calibri" w:cs="Calibri"/>
          <w:lang w:val="en-AU"/>
        </w:rPr>
      </w:pPr>
      <w:r w:rsidRPr="005734B8">
        <w:rPr>
          <w:rFonts w:ascii="Calibri" w:hAnsi="Calibri" w:cs="Calibri"/>
          <w:lang w:val="en-AU"/>
        </w:rPr>
        <w:t>Details of consultancies valued at $10,000 or greater</w:t>
      </w:r>
    </w:p>
    <w:p w14:paraId="26300005" w14:textId="426D767A" w:rsidR="00EC7C44" w:rsidRPr="005734B8" w:rsidRDefault="00EC7C44" w:rsidP="00EC7C44">
      <w:pPr>
        <w:rPr>
          <w:rFonts w:ascii="Calibri" w:hAnsi="Calibri" w:cs="Calibri"/>
        </w:rPr>
      </w:pPr>
      <w:r w:rsidRPr="005734B8">
        <w:rPr>
          <w:rFonts w:ascii="Calibri" w:hAnsi="Calibri" w:cs="Calibri"/>
        </w:rPr>
        <w:t>In 2020</w:t>
      </w:r>
      <w:r w:rsidR="004D7724" w:rsidRPr="005734B8">
        <w:rPr>
          <w:rFonts w:ascii="Calibri" w:hAnsi="Calibri" w:cs="Calibri"/>
        </w:rPr>
        <w:t>–</w:t>
      </w:r>
      <w:r w:rsidRPr="005734B8">
        <w:rPr>
          <w:rFonts w:ascii="Calibri" w:hAnsi="Calibri" w:cs="Calibri"/>
        </w:rPr>
        <w:t>21, there were 39 consultancies whose total fees were $10,000 or greater. The total expenditure incurred in 2020</w:t>
      </w:r>
      <w:r w:rsidR="004D7724" w:rsidRPr="005734B8">
        <w:rPr>
          <w:rFonts w:ascii="Calibri" w:hAnsi="Calibri" w:cs="Calibri"/>
        </w:rPr>
        <w:t>–</w:t>
      </w:r>
      <w:r w:rsidRPr="005734B8">
        <w:rPr>
          <w:rFonts w:ascii="Calibri" w:hAnsi="Calibri" w:cs="Calibri"/>
        </w:rPr>
        <w:t xml:space="preserve">21 in relation to these consultancies is $4.43 million (excluding GST). Details of the individual consultancies are outlined in </w:t>
      </w:r>
      <w:r w:rsidRPr="005734B8">
        <w:rPr>
          <w:rFonts w:ascii="Calibri" w:hAnsi="Calibri" w:cs="Calibri"/>
          <w:i/>
        </w:rPr>
        <w:t>Department of Education and Training Annual Report 2020</w:t>
      </w:r>
      <w:r w:rsidR="004D7724" w:rsidRPr="005734B8">
        <w:rPr>
          <w:rFonts w:ascii="Calibri" w:hAnsi="Calibri" w:cs="Calibri"/>
          <w:i/>
        </w:rPr>
        <w:t>–</w:t>
      </w:r>
      <w:r w:rsidRPr="005734B8">
        <w:rPr>
          <w:rFonts w:ascii="Calibri" w:hAnsi="Calibri" w:cs="Calibri"/>
          <w:i/>
        </w:rPr>
        <w:t>21 Additional Information</w:t>
      </w:r>
      <w:r w:rsidRPr="005734B8">
        <w:rPr>
          <w:rFonts w:ascii="Calibri" w:hAnsi="Calibri" w:cs="Calibri"/>
        </w:rPr>
        <w:t xml:space="preserve">, available at </w:t>
      </w:r>
      <w:hyperlink r:id="rId36" w:history="1">
        <w:r w:rsidRPr="005734B8">
          <w:rPr>
            <w:rStyle w:val="Hyperlink"/>
            <w:rFonts w:ascii="Calibri" w:hAnsi="Calibri" w:cs="Calibri"/>
          </w:rPr>
          <w:t>www.education.vic.gov.au</w:t>
        </w:r>
      </w:hyperlink>
      <w:r w:rsidRPr="005734B8">
        <w:rPr>
          <w:rFonts w:ascii="Calibri" w:hAnsi="Calibri" w:cs="Calibri"/>
        </w:rPr>
        <w:t>.</w:t>
      </w:r>
    </w:p>
    <w:p w14:paraId="12255CC3" w14:textId="77777777" w:rsidR="00EC7C44" w:rsidRPr="005734B8" w:rsidRDefault="00EC7C44" w:rsidP="00EC7C44">
      <w:pPr>
        <w:rPr>
          <w:rFonts w:ascii="Calibri" w:hAnsi="Calibri" w:cs="Calibri"/>
        </w:rPr>
      </w:pPr>
    </w:p>
    <w:p w14:paraId="018FDF3D" w14:textId="78DBEAA5" w:rsidR="00EC7C44" w:rsidRPr="005734B8" w:rsidRDefault="00EC7C44" w:rsidP="00EC7C44">
      <w:pPr>
        <w:pStyle w:val="ESHeading3"/>
        <w:spacing w:before="0" w:after="0"/>
        <w:ind w:left="0" w:firstLine="0"/>
        <w:rPr>
          <w:rFonts w:ascii="Calibri" w:hAnsi="Calibri" w:cs="Calibri"/>
        </w:rPr>
      </w:pPr>
      <w:bookmarkStart w:id="803" w:name="_Toc8899521"/>
      <w:bookmarkStart w:id="804" w:name="_Toc11158251"/>
      <w:bookmarkStart w:id="805" w:name="_Toc11336258"/>
      <w:bookmarkStart w:id="806" w:name="_Toc14965484"/>
      <w:bookmarkStart w:id="807" w:name="_Toc19272063"/>
      <w:bookmarkStart w:id="808" w:name="_Toc19272429"/>
      <w:bookmarkStart w:id="809" w:name="_Toc19273764"/>
      <w:r w:rsidRPr="005734B8">
        <w:rPr>
          <w:rFonts w:ascii="Calibri" w:hAnsi="Calibri" w:cs="Calibri"/>
          <w:lang w:val="en-AU"/>
        </w:rPr>
        <w:t>Details of consultancies valued at less than $10,000</w:t>
      </w:r>
      <w:bookmarkEnd w:id="803"/>
      <w:bookmarkEnd w:id="804"/>
      <w:bookmarkEnd w:id="805"/>
      <w:bookmarkEnd w:id="806"/>
      <w:bookmarkEnd w:id="807"/>
      <w:bookmarkEnd w:id="808"/>
      <w:bookmarkEnd w:id="809"/>
    </w:p>
    <w:p w14:paraId="2C75A29C" w14:textId="14CBEA19" w:rsidR="00EC7C44" w:rsidRPr="005734B8" w:rsidRDefault="00EC7C44" w:rsidP="00EC7C44">
      <w:pPr>
        <w:rPr>
          <w:rFonts w:ascii="Calibri" w:hAnsi="Calibri" w:cs="Calibri"/>
        </w:rPr>
      </w:pPr>
      <w:bookmarkStart w:id="810" w:name="_Toc8899522"/>
      <w:bookmarkStart w:id="811" w:name="_Toc11158252"/>
      <w:bookmarkStart w:id="812" w:name="_Toc11336259"/>
      <w:r w:rsidRPr="005734B8">
        <w:rPr>
          <w:rFonts w:ascii="Calibri" w:hAnsi="Calibri" w:cs="Calibri"/>
        </w:rPr>
        <w:t>In 2020</w:t>
      </w:r>
      <w:r w:rsidR="004D7724" w:rsidRPr="005734B8">
        <w:rPr>
          <w:rFonts w:ascii="Calibri" w:hAnsi="Calibri" w:cs="Calibri"/>
        </w:rPr>
        <w:t>–</w:t>
      </w:r>
      <w:r w:rsidRPr="005734B8">
        <w:rPr>
          <w:rFonts w:ascii="Calibri" w:hAnsi="Calibri" w:cs="Calibri"/>
        </w:rPr>
        <w:t xml:space="preserve">21, there were no consultancies whose total fees were less than $10,000. </w:t>
      </w:r>
    </w:p>
    <w:p w14:paraId="37EC08BF" w14:textId="77777777" w:rsidR="00EC7C44" w:rsidRPr="005734B8" w:rsidRDefault="00EC7C44" w:rsidP="00EC7C44">
      <w:pPr>
        <w:rPr>
          <w:rFonts w:ascii="Calibri" w:hAnsi="Calibri" w:cs="Calibri"/>
          <w:highlight w:val="yellow"/>
        </w:rPr>
      </w:pPr>
    </w:p>
    <w:p w14:paraId="3CD5D284" w14:textId="62CDBDB1" w:rsidR="00EC7C44" w:rsidRPr="005734B8" w:rsidRDefault="00EC7C44" w:rsidP="00EC7C44">
      <w:pPr>
        <w:pStyle w:val="ESHeading2"/>
        <w:spacing w:before="0" w:after="0"/>
        <w:rPr>
          <w:rFonts w:ascii="Calibri" w:hAnsi="Calibri" w:cs="Calibri"/>
        </w:rPr>
      </w:pPr>
      <w:bookmarkStart w:id="813" w:name="_Toc71030735"/>
      <w:bookmarkStart w:id="814" w:name="_Toc51332778"/>
      <w:bookmarkStart w:id="815" w:name="_Toc48403622"/>
      <w:bookmarkStart w:id="816" w:name="_Toc48403035"/>
      <w:bookmarkStart w:id="817" w:name="_Toc48402798"/>
      <w:bookmarkStart w:id="818" w:name="_Toc19273765"/>
      <w:bookmarkStart w:id="819" w:name="_Toc19272430"/>
      <w:bookmarkStart w:id="820" w:name="_Toc19272064"/>
      <w:bookmarkStart w:id="821" w:name="_Toc15985277"/>
      <w:bookmarkStart w:id="822" w:name="_Toc14965485"/>
      <w:bookmarkStart w:id="823" w:name="_Toc13656691"/>
      <w:bookmarkStart w:id="824" w:name="_Toc81315342"/>
      <w:r w:rsidRPr="005734B8">
        <w:rPr>
          <w:rFonts w:ascii="Calibri" w:hAnsi="Calibri" w:cs="Calibri"/>
          <w:lang w:val="en-AU" w:eastAsia="en-AU"/>
        </w:rPr>
        <w:t>Information and communication technology expenditure</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r w:rsidRPr="005734B8">
        <w:rPr>
          <w:rFonts w:ascii="Calibri" w:hAnsi="Calibri" w:cs="Calibri"/>
        </w:rPr>
        <w:t xml:space="preserve"> </w:t>
      </w:r>
    </w:p>
    <w:p w14:paraId="71F9DF20" w14:textId="77777777" w:rsidR="00EC7C44" w:rsidRPr="005734B8" w:rsidRDefault="00EC7C44" w:rsidP="00EC7C44">
      <w:pPr>
        <w:rPr>
          <w:rFonts w:ascii="Calibri" w:hAnsi="Calibri" w:cs="Calibri"/>
        </w:rPr>
      </w:pPr>
      <w:r w:rsidRPr="005734B8">
        <w:rPr>
          <w:rFonts w:ascii="Calibri" w:hAnsi="Calibri" w:cs="Calibri"/>
        </w:rPr>
        <w:t>In accordance with the VPS’s ICT reporting standard, the Department’s ICT expenditure is reported below.</w:t>
      </w:r>
    </w:p>
    <w:p w14:paraId="19F1D247" w14:textId="77777777" w:rsidR="00EC7C44" w:rsidRPr="005734B8" w:rsidRDefault="00EC7C44" w:rsidP="00EC7C44">
      <w:pPr>
        <w:pStyle w:val="ESTableintroheading"/>
        <w:rPr>
          <w:rFonts w:ascii="Calibri" w:hAnsi="Calibri" w:cs="Calibri"/>
        </w:rPr>
      </w:pPr>
      <w:bookmarkStart w:id="825" w:name="_Toc519861820"/>
      <w:bookmarkStart w:id="826" w:name="_Toc8826425"/>
      <w:r w:rsidRPr="005734B8">
        <w:rPr>
          <w:rFonts w:ascii="Calibri" w:hAnsi="Calibri" w:cs="Calibri"/>
        </w:rPr>
        <w:t>ICT expenditure</w:t>
      </w:r>
    </w:p>
    <w:tbl>
      <w:tblPr>
        <w:tblStyle w:val="TableGrid"/>
        <w:tblW w:w="491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232"/>
        <w:gridCol w:w="1561"/>
      </w:tblGrid>
      <w:tr w:rsidR="00EC7C44" w:rsidRPr="005734B8" w14:paraId="3034B8F6" w14:textId="77777777" w:rsidTr="00EC7C44">
        <w:trPr>
          <w:cantSplit/>
          <w:trHeight w:val="242"/>
          <w:tblHeader/>
        </w:trPr>
        <w:tc>
          <w:tcPr>
            <w:tcW w:w="6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hemeFill="accent4"/>
            <w:hideMark/>
          </w:tcPr>
          <w:p w14:paraId="6D1CA6D0" w14:textId="77777777" w:rsidR="00EC7C44" w:rsidRPr="005734B8" w:rsidRDefault="00EC7C44">
            <w:pPr>
              <w:pStyle w:val="ESTableheadingwhite"/>
              <w:rPr>
                <w:rFonts w:ascii="Calibri" w:hAnsi="Calibri" w:cs="Calibri"/>
                <w:sz w:val="18"/>
              </w:rPr>
            </w:pPr>
            <w:r w:rsidRPr="005734B8">
              <w:rPr>
                <w:rFonts w:ascii="Calibri" w:hAnsi="Calibri" w:cs="Calibri"/>
                <w:sz w:val="18"/>
              </w:rPr>
              <w:t>Measure</w:t>
            </w:r>
          </w:p>
        </w:tc>
        <w:tc>
          <w:tcPr>
            <w:tcW w:w="1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hemeFill="accent4"/>
            <w:hideMark/>
          </w:tcPr>
          <w:p w14:paraId="7F385C2A" w14:textId="1CD8D132" w:rsidR="00EC7C44" w:rsidRPr="005734B8" w:rsidRDefault="00EC7C44">
            <w:pPr>
              <w:pStyle w:val="ESTableheadingwhite"/>
              <w:jc w:val="right"/>
              <w:rPr>
                <w:rFonts w:ascii="Calibri" w:hAnsi="Calibri" w:cs="Calibri"/>
                <w:sz w:val="18"/>
              </w:rPr>
            </w:pPr>
            <w:r w:rsidRPr="005734B8">
              <w:rPr>
                <w:rFonts w:ascii="Calibri" w:hAnsi="Calibri" w:cs="Calibri"/>
                <w:sz w:val="18"/>
              </w:rPr>
              <w:t xml:space="preserve"> $</w:t>
            </w:r>
          </w:p>
        </w:tc>
      </w:tr>
      <w:tr w:rsidR="00EC7C44" w:rsidRPr="005734B8" w14:paraId="6507AF00" w14:textId="77777777" w:rsidTr="00EC7C44">
        <w:trPr>
          <w:cantSplit/>
        </w:trPr>
        <w:tc>
          <w:tcPr>
            <w:tcW w:w="6232" w:type="dxa"/>
            <w:tcBorders>
              <w:top w:val="single" w:sz="4" w:space="0" w:color="FFFFFF" w:themeColor="background1"/>
              <w:left w:val="single" w:sz="4" w:space="0" w:color="FFFFFF" w:themeColor="background1"/>
              <w:bottom w:val="single" w:sz="4" w:space="0" w:color="53565A" w:themeColor="accent5"/>
              <w:right w:val="single" w:sz="4" w:space="0" w:color="FFFFFF" w:themeColor="background1"/>
            </w:tcBorders>
            <w:hideMark/>
          </w:tcPr>
          <w:p w14:paraId="71A87906" w14:textId="160DECFF" w:rsidR="00EC7C44" w:rsidRPr="005734B8" w:rsidRDefault="00EC7C44">
            <w:pPr>
              <w:pStyle w:val="ESTablebody"/>
              <w:rPr>
                <w:rFonts w:ascii="Calibri" w:hAnsi="Calibri" w:cs="Calibri"/>
                <w:sz w:val="18"/>
              </w:rPr>
            </w:pPr>
            <w:r w:rsidRPr="005734B8">
              <w:rPr>
                <w:rFonts w:ascii="Calibri" w:hAnsi="Calibri" w:cs="Calibri"/>
                <w:sz w:val="18"/>
                <w:lang w:val="en-AU"/>
              </w:rPr>
              <w:t xml:space="preserve">Business as </w:t>
            </w:r>
            <w:r w:rsidR="0067707E" w:rsidRPr="005734B8">
              <w:rPr>
                <w:rFonts w:ascii="Calibri" w:hAnsi="Calibri" w:cs="Calibri"/>
                <w:sz w:val="18"/>
                <w:lang w:val="en-AU"/>
              </w:rPr>
              <w:t>u</w:t>
            </w:r>
            <w:r w:rsidRPr="005734B8">
              <w:rPr>
                <w:rFonts w:ascii="Calibri" w:hAnsi="Calibri" w:cs="Calibri"/>
                <w:sz w:val="18"/>
                <w:lang w:val="en-AU"/>
              </w:rPr>
              <w:t>sual ICT expenditure</w:t>
            </w:r>
          </w:p>
        </w:tc>
        <w:tc>
          <w:tcPr>
            <w:tcW w:w="1561" w:type="dxa"/>
            <w:tcBorders>
              <w:top w:val="single" w:sz="4" w:space="0" w:color="FFFFFF" w:themeColor="background1"/>
              <w:left w:val="single" w:sz="4" w:space="0" w:color="FFFFFF" w:themeColor="background1"/>
              <w:bottom w:val="single" w:sz="4" w:space="0" w:color="53565A" w:themeColor="accent5"/>
              <w:right w:val="single" w:sz="4" w:space="0" w:color="FFFFFF" w:themeColor="background1"/>
            </w:tcBorders>
            <w:hideMark/>
          </w:tcPr>
          <w:p w14:paraId="6737DC34" w14:textId="44DE25D5" w:rsidR="00EC7C44" w:rsidRPr="005734B8" w:rsidRDefault="00EC7C44" w:rsidP="00E01CA0">
            <w:pPr>
              <w:pStyle w:val="ESTablebody"/>
              <w:jc w:val="right"/>
              <w:rPr>
                <w:rFonts w:ascii="Calibri" w:hAnsi="Calibri" w:cs="Calibri"/>
                <w:sz w:val="18"/>
              </w:rPr>
            </w:pPr>
            <w:r w:rsidRPr="005734B8">
              <w:rPr>
                <w:rFonts w:ascii="Calibri" w:hAnsi="Calibri" w:cs="Calibri"/>
                <w:sz w:val="18"/>
              </w:rPr>
              <w:t>398,721,829</w:t>
            </w:r>
          </w:p>
        </w:tc>
      </w:tr>
      <w:tr w:rsidR="00EC7C44" w:rsidRPr="005734B8" w14:paraId="7AF4B93E" w14:textId="77777777" w:rsidTr="00EC7C44">
        <w:trPr>
          <w:cantSplit/>
        </w:trPr>
        <w:tc>
          <w:tcPr>
            <w:tcW w:w="6232"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shd w:val="clear" w:color="auto" w:fill="53565A" w:themeFill="accent5"/>
            <w:hideMark/>
          </w:tcPr>
          <w:p w14:paraId="72D1735B" w14:textId="37D30437" w:rsidR="00EC7C44" w:rsidRPr="005734B8" w:rsidRDefault="00EC7C44">
            <w:pPr>
              <w:pStyle w:val="ESTablebody"/>
              <w:rPr>
                <w:rFonts w:ascii="Calibri" w:hAnsi="Calibri" w:cs="Calibri"/>
                <w:b/>
                <w:sz w:val="18"/>
              </w:rPr>
            </w:pPr>
            <w:r w:rsidRPr="005734B8">
              <w:rPr>
                <w:rFonts w:ascii="Calibri" w:hAnsi="Calibri" w:cs="Calibri"/>
                <w:b/>
                <w:color w:val="FFFFFF" w:themeColor="background1"/>
                <w:sz w:val="18"/>
                <w:lang w:val="en-AU"/>
              </w:rPr>
              <w:t>Non-</w:t>
            </w:r>
            <w:r w:rsidR="0067707E" w:rsidRPr="005734B8">
              <w:rPr>
                <w:rFonts w:ascii="Calibri" w:hAnsi="Calibri" w:cs="Calibri"/>
                <w:b/>
                <w:color w:val="FFFFFF" w:themeColor="background1"/>
                <w:sz w:val="18"/>
                <w:lang w:val="en-AU"/>
              </w:rPr>
              <w:t>b</w:t>
            </w:r>
            <w:r w:rsidRPr="005734B8">
              <w:rPr>
                <w:rFonts w:ascii="Calibri" w:hAnsi="Calibri" w:cs="Calibri"/>
                <w:b/>
                <w:color w:val="FFFFFF" w:themeColor="background1"/>
                <w:sz w:val="18"/>
                <w:lang w:val="en-AU"/>
              </w:rPr>
              <w:t xml:space="preserve">usiness as </w:t>
            </w:r>
            <w:r w:rsidR="0067707E" w:rsidRPr="005734B8">
              <w:rPr>
                <w:rFonts w:ascii="Calibri" w:hAnsi="Calibri" w:cs="Calibri"/>
                <w:b/>
                <w:color w:val="FFFFFF" w:themeColor="background1"/>
                <w:sz w:val="18"/>
                <w:lang w:val="en-AU"/>
              </w:rPr>
              <w:t>u</w:t>
            </w:r>
            <w:r w:rsidRPr="005734B8">
              <w:rPr>
                <w:rFonts w:ascii="Calibri" w:hAnsi="Calibri" w:cs="Calibri"/>
                <w:b/>
                <w:color w:val="FFFFFF" w:themeColor="background1"/>
                <w:sz w:val="18"/>
                <w:lang w:val="en-AU"/>
              </w:rPr>
              <w:t>sual ICT expenditure</w:t>
            </w:r>
          </w:p>
        </w:tc>
        <w:tc>
          <w:tcPr>
            <w:tcW w:w="1561"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shd w:val="clear" w:color="auto" w:fill="53565A" w:themeFill="accent5"/>
          </w:tcPr>
          <w:p w14:paraId="68435A86" w14:textId="77777777" w:rsidR="00EC7C44" w:rsidRPr="005734B8" w:rsidRDefault="00EC7C44">
            <w:pPr>
              <w:pStyle w:val="ESTablebody"/>
              <w:jc w:val="right"/>
              <w:rPr>
                <w:rFonts w:ascii="Calibri" w:hAnsi="Calibri" w:cs="Calibri"/>
                <w:sz w:val="18"/>
              </w:rPr>
            </w:pPr>
          </w:p>
        </w:tc>
      </w:tr>
      <w:tr w:rsidR="00EC7C44" w:rsidRPr="005734B8" w14:paraId="245AA91D" w14:textId="77777777" w:rsidTr="00EC7C44">
        <w:trPr>
          <w:cantSplit/>
        </w:trPr>
        <w:tc>
          <w:tcPr>
            <w:tcW w:w="6232"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19737550" w14:textId="77777777" w:rsidR="00EC7C44" w:rsidRPr="005734B8" w:rsidRDefault="00EC7C44" w:rsidP="00EC7C44">
            <w:pPr>
              <w:pStyle w:val="ESTablebody"/>
              <w:numPr>
                <w:ilvl w:val="0"/>
                <w:numId w:val="32"/>
              </w:numPr>
              <w:rPr>
                <w:rFonts w:ascii="Calibri" w:hAnsi="Calibri" w:cs="Calibri"/>
                <w:sz w:val="18"/>
                <w:lang w:val="en-AU"/>
              </w:rPr>
            </w:pPr>
            <w:r w:rsidRPr="005734B8">
              <w:rPr>
                <w:rFonts w:ascii="Calibri" w:hAnsi="Calibri" w:cs="Calibri"/>
                <w:sz w:val="18"/>
                <w:lang w:val="en-AU"/>
              </w:rPr>
              <w:t>Operating expenditure</w:t>
            </w:r>
          </w:p>
        </w:tc>
        <w:tc>
          <w:tcPr>
            <w:tcW w:w="1561"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7D684637" w14:textId="195E3ED6" w:rsidR="00EC7C44" w:rsidRPr="005734B8" w:rsidRDefault="00EC7C44">
            <w:pPr>
              <w:pStyle w:val="ESTablebody"/>
              <w:jc w:val="right"/>
              <w:rPr>
                <w:rFonts w:ascii="Calibri" w:hAnsi="Calibri" w:cs="Calibri"/>
                <w:sz w:val="18"/>
                <w:lang w:val="en-AU"/>
              </w:rPr>
            </w:pPr>
            <w:r w:rsidRPr="005734B8">
              <w:rPr>
                <w:rFonts w:ascii="Calibri" w:hAnsi="Calibri" w:cs="Calibri"/>
                <w:sz w:val="18"/>
                <w:lang w:val="en-AU"/>
              </w:rPr>
              <w:t>6,205,410</w:t>
            </w:r>
          </w:p>
        </w:tc>
      </w:tr>
      <w:tr w:rsidR="00EC7C44" w:rsidRPr="005734B8" w14:paraId="56884BFC" w14:textId="77777777" w:rsidTr="00EC7C44">
        <w:trPr>
          <w:cantSplit/>
        </w:trPr>
        <w:tc>
          <w:tcPr>
            <w:tcW w:w="6232"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45167E33" w14:textId="77777777" w:rsidR="00EC7C44" w:rsidRPr="005734B8" w:rsidRDefault="00EC7C44" w:rsidP="00EC7C44">
            <w:pPr>
              <w:pStyle w:val="ESTablebody"/>
              <w:numPr>
                <w:ilvl w:val="0"/>
                <w:numId w:val="32"/>
              </w:numPr>
              <w:rPr>
                <w:rFonts w:ascii="Calibri" w:hAnsi="Calibri" w:cs="Calibri"/>
                <w:sz w:val="18"/>
                <w:lang w:val="en-AU"/>
              </w:rPr>
            </w:pPr>
            <w:r w:rsidRPr="005734B8">
              <w:rPr>
                <w:rFonts w:ascii="Calibri" w:hAnsi="Calibri" w:cs="Calibri"/>
                <w:sz w:val="18"/>
                <w:lang w:val="en-AU"/>
              </w:rPr>
              <w:t>Capital expenditure</w:t>
            </w:r>
          </w:p>
        </w:tc>
        <w:tc>
          <w:tcPr>
            <w:tcW w:w="1561"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0AF43B01" w14:textId="4F9D6524" w:rsidR="00EC7C44" w:rsidRPr="005734B8" w:rsidRDefault="00EC7C44">
            <w:pPr>
              <w:pStyle w:val="ESTablebody"/>
              <w:jc w:val="right"/>
              <w:rPr>
                <w:rFonts w:ascii="Calibri" w:hAnsi="Calibri" w:cs="Calibri"/>
                <w:sz w:val="18"/>
                <w:lang w:val="en-AU"/>
              </w:rPr>
            </w:pPr>
            <w:r w:rsidRPr="005734B8">
              <w:rPr>
                <w:rFonts w:ascii="Calibri" w:hAnsi="Calibri" w:cs="Calibri"/>
                <w:sz w:val="18"/>
                <w:lang w:val="en-AU"/>
              </w:rPr>
              <w:t>25,331,493</w:t>
            </w:r>
          </w:p>
        </w:tc>
      </w:tr>
      <w:tr w:rsidR="00EC7C44" w:rsidRPr="005734B8" w14:paraId="2778C851" w14:textId="77777777" w:rsidTr="00EC7C44">
        <w:trPr>
          <w:cantSplit/>
        </w:trPr>
        <w:tc>
          <w:tcPr>
            <w:tcW w:w="6232"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45D7EC58" w14:textId="77777777" w:rsidR="00EC7C44" w:rsidRPr="005734B8" w:rsidRDefault="00EC7C44">
            <w:pPr>
              <w:pStyle w:val="ESTablebody"/>
              <w:rPr>
                <w:rFonts w:ascii="Calibri" w:hAnsi="Calibri" w:cs="Calibri"/>
                <w:sz w:val="18"/>
                <w:lang w:val="en-AU"/>
              </w:rPr>
            </w:pPr>
            <w:r w:rsidRPr="005734B8">
              <w:rPr>
                <w:rFonts w:ascii="Calibri" w:hAnsi="Calibri" w:cs="Calibri"/>
                <w:sz w:val="18"/>
                <w:lang w:val="en-AU"/>
              </w:rPr>
              <w:t>Total ICT non-business as usual expenditure</w:t>
            </w:r>
          </w:p>
        </w:tc>
        <w:tc>
          <w:tcPr>
            <w:tcW w:w="1561"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0792D818" w14:textId="643E0844" w:rsidR="00EC7C44" w:rsidRPr="005734B8" w:rsidRDefault="00EC7C44">
            <w:pPr>
              <w:pStyle w:val="ESTablebody"/>
              <w:jc w:val="right"/>
              <w:rPr>
                <w:rFonts w:ascii="Calibri" w:hAnsi="Calibri" w:cs="Calibri"/>
                <w:sz w:val="18"/>
                <w:lang w:val="en-AU"/>
              </w:rPr>
            </w:pPr>
            <w:r w:rsidRPr="005734B8">
              <w:rPr>
                <w:rFonts w:ascii="Calibri" w:hAnsi="Calibri" w:cs="Calibri"/>
                <w:sz w:val="18"/>
                <w:lang w:val="en-AU"/>
              </w:rPr>
              <w:t>31,536,903</w:t>
            </w:r>
          </w:p>
        </w:tc>
      </w:tr>
      <w:tr w:rsidR="00EC7C44" w:rsidRPr="005734B8" w14:paraId="376B5BBB" w14:textId="77777777" w:rsidTr="00EC7C44">
        <w:trPr>
          <w:cantSplit/>
        </w:trPr>
        <w:tc>
          <w:tcPr>
            <w:tcW w:w="6232"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5FA99CB9" w14:textId="77777777" w:rsidR="00EC7C44" w:rsidRPr="005734B8" w:rsidRDefault="00EC7C44">
            <w:pPr>
              <w:pStyle w:val="ESTablebody"/>
              <w:rPr>
                <w:rFonts w:ascii="Calibri" w:hAnsi="Calibri" w:cs="Calibri"/>
                <w:sz w:val="18"/>
                <w:lang w:val="en-AU"/>
              </w:rPr>
            </w:pPr>
            <w:r w:rsidRPr="005734B8">
              <w:rPr>
                <w:rFonts w:ascii="Calibri" w:hAnsi="Calibri" w:cs="Calibri"/>
                <w:b/>
                <w:sz w:val="18"/>
                <w:lang w:val="en-AU"/>
              </w:rPr>
              <w:t>Total ICT expenditure</w:t>
            </w:r>
          </w:p>
        </w:tc>
        <w:tc>
          <w:tcPr>
            <w:tcW w:w="1561" w:type="dxa"/>
            <w:tcBorders>
              <w:top w:val="single" w:sz="4" w:space="0" w:color="53565A" w:themeColor="accent5"/>
              <w:left w:val="single" w:sz="4" w:space="0" w:color="FFFFFF" w:themeColor="background1"/>
              <w:bottom w:val="single" w:sz="4" w:space="0" w:color="53565A" w:themeColor="accent5"/>
              <w:right w:val="single" w:sz="4" w:space="0" w:color="FFFFFF" w:themeColor="background1"/>
            </w:tcBorders>
            <w:hideMark/>
          </w:tcPr>
          <w:p w14:paraId="08EE421F" w14:textId="3AD01203" w:rsidR="00EC7C44" w:rsidRPr="005734B8" w:rsidRDefault="00EC7C44">
            <w:pPr>
              <w:pStyle w:val="ESTablebody"/>
              <w:jc w:val="right"/>
              <w:rPr>
                <w:rFonts w:ascii="Calibri" w:hAnsi="Calibri" w:cs="Calibri"/>
                <w:b/>
                <w:sz w:val="18"/>
                <w:lang w:val="en-AU"/>
              </w:rPr>
            </w:pPr>
            <w:r w:rsidRPr="005734B8">
              <w:rPr>
                <w:rFonts w:ascii="Calibri" w:hAnsi="Calibri" w:cs="Calibri"/>
                <w:b/>
                <w:sz w:val="18"/>
                <w:lang w:val="en-AU"/>
              </w:rPr>
              <w:t>430,258,732</w:t>
            </w:r>
          </w:p>
        </w:tc>
      </w:tr>
    </w:tbl>
    <w:p w14:paraId="7F6A4CD5" w14:textId="10403D00" w:rsidR="00EC7C44" w:rsidRPr="005734B8" w:rsidRDefault="00EC7C44" w:rsidP="00EC7C44">
      <w:pPr>
        <w:pStyle w:val="ESHeading2"/>
        <w:rPr>
          <w:rFonts w:ascii="Calibri" w:hAnsi="Calibri" w:cs="Calibri"/>
          <w:lang w:val="en-AU" w:eastAsia="en-AU"/>
        </w:rPr>
      </w:pPr>
      <w:bookmarkStart w:id="827" w:name="_Toc71030736"/>
      <w:bookmarkStart w:id="828" w:name="_Toc51332779"/>
      <w:bookmarkStart w:id="829" w:name="_Toc48403623"/>
      <w:bookmarkStart w:id="830" w:name="_Toc48403036"/>
      <w:bookmarkStart w:id="831" w:name="_Toc48402799"/>
      <w:bookmarkStart w:id="832" w:name="_Toc19273766"/>
      <w:bookmarkStart w:id="833" w:name="_Toc19272431"/>
      <w:bookmarkStart w:id="834" w:name="_Toc19272065"/>
      <w:bookmarkStart w:id="835" w:name="_Toc15985278"/>
      <w:bookmarkStart w:id="836" w:name="_Toc14965486"/>
      <w:bookmarkStart w:id="837" w:name="_Toc13656692"/>
      <w:bookmarkStart w:id="838" w:name="_Toc11336260"/>
      <w:bookmarkStart w:id="839" w:name="_Toc11158253"/>
      <w:bookmarkStart w:id="840" w:name="_Toc81315343"/>
      <w:bookmarkStart w:id="841" w:name="_Hlk78357058"/>
      <w:bookmarkEnd w:id="825"/>
      <w:bookmarkEnd w:id="826"/>
      <w:r w:rsidRPr="005734B8">
        <w:rPr>
          <w:rFonts w:ascii="Calibri" w:hAnsi="Calibri" w:cs="Calibri"/>
          <w:lang w:val="en-AU" w:eastAsia="en-AU"/>
        </w:rPr>
        <w:t>Disclosure of major contracts</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2C127F57" w14:textId="4153313E" w:rsidR="00EC7C44" w:rsidRPr="005734B8" w:rsidRDefault="00EC7C44" w:rsidP="00EC7C44">
      <w:pPr>
        <w:rPr>
          <w:rFonts w:ascii="Calibri" w:hAnsi="Calibri" w:cs="Calibri"/>
        </w:rPr>
      </w:pPr>
      <w:r w:rsidRPr="005734B8">
        <w:rPr>
          <w:rFonts w:ascii="Calibri" w:hAnsi="Calibri" w:cs="Calibri"/>
        </w:rPr>
        <w:t xml:space="preserve">The Department disclosed, in accordance with the requirements of government policy and accompanying guidelines, all contracts with a value greater than $10 million entered into during the year ended 30 June 2021. Details of contracts disclosed in the Victorian government contracts’ publishing system can be viewed at </w:t>
      </w:r>
      <w:hyperlink r:id="rId37" w:history="1">
        <w:r w:rsidRPr="005734B8">
          <w:rPr>
            <w:rStyle w:val="Hyperlink"/>
            <w:rFonts w:ascii="Calibri" w:hAnsi="Calibri" w:cs="Calibri"/>
          </w:rPr>
          <w:t>www.procurement.vic.gov.au</w:t>
        </w:r>
      </w:hyperlink>
      <w:r w:rsidRPr="005734B8">
        <w:rPr>
          <w:rFonts w:ascii="Calibri" w:hAnsi="Calibri" w:cs="Calibri"/>
        </w:rPr>
        <w:t xml:space="preserve">. </w:t>
      </w:r>
    </w:p>
    <w:p w14:paraId="5CABFF1A" w14:textId="77777777" w:rsidR="00EC7C44" w:rsidRPr="005734B8" w:rsidRDefault="00EC7C44" w:rsidP="00EC7C44">
      <w:pPr>
        <w:rPr>
          <w:rFonts w:ascii="Calibri" w:hAnsi="Calibri" w:cs="Calibri"/>
        </w:rPr>
      </w:pPr>
    </w:p>
    <w:p w14:paraId="4D6661C2" w14:textId="0D34C4FE" w:rsidR="00EC7C44" w:rsidRPr="005734B8" w:rsidRDefault="00EC7C44" w:rsidP="00EC7C44">
      <w:pPr>
        <w:rPr>
          <w:rFonts w:ascii="Calibri" w:hAnsi="Calibri" w:cs="Calibri"/>
        </w:rPr>
      </w:pPr>
      <w:r w:rsidRPr="005734B8">
        <w:rPr>
          <w:rFonts w:ascii="Calibri" w:hAnsi="Calibri" w:cs="Calibri"/>
        </w:rPr>
        <w:t xml:space="preserve">Contractual details have not been disclosed for contracts that are exempted under the </w:t>
      </w:r>
      <w:r w:rsidRPr="005734B8">
        <w:rPr>
          <w:rFonts w:ascii="Calibri" w:hAnsi="Calibri" w:cs="Calibri"/>
          <w:i/>
        </w:rPr>
        <w:t>Freedom of Information Act 1982</w:t>
      </w:r>
      <w:r w:rsidRPr="005734B8">
        <w:rPr>
          <w:rFonts w:ascii="Calibri" w:hAnsi="Calibri" w:cs="Calibri"/>
        </w:rPr>
        <w:t xml:space="preserve"> (the FOI Act)</w:t>
      </w:r>
      <w:r w:rsidR="0067707E" w:rsidRPr="005734B8">
        <w:rPr>
          <w:rFonts w:ascii="Calibri" w:hAnsi="Calibri" w:cs="Calibri"/>
        </w:rPr>
        <w:t xml:space="preserve"> </w:t>
      </w:r>
      <w:r w:rsidRPr="005734B8">
        <w:rPr>
          <w:rFonts w:ascii="Calibri" w:hAnsi="Calibri" w:cs="Calibri"/>
        </w:rPr>
        <w:t>or government guidelines.</w:t>
      </w:r>
    </w:p>
    <w:p w14:paraId="6BC13D18" w14:textId="77777777" w:rsidR="00EC7C44" w:rsidRPr="005734B8" w:rsidRDefault="00EC7C44" w:rsidP="00EC7C44">
      <w:pPr>
        <w:rPr>
          <w:rFonts w:ascii="Calibri" w:hAnsi="Calibri" w:cs="Calibri"/>
        </w:rPr>
      </w:pPr>
    </w:p>
    <w:p w14:paraId="6F51B7F4" w14:textId="77777777" w:rsidR="00EC7C44" w:rsidRPr="005734B8" w:rsidRDefault="00EC7C44" w:rsidP="00EC7C44">
      <w:pPr>
        <w:pStyle w:val="ESHeading3"/>
        <w:spacing w:before="0" w:after="0"/>
        <w:ind w:left="0" w:firstLine="0"/>
        <w:rPr>
          <w:rFonts w:ascii="Calibri" w:hAnsi="Calibri" w:cs="Calibri"/>
          <w:lang w:val="en-AU"/>
        </w:rPr>
      </w:pPr>
      <w:r w:rsidRPr="005734B8">
        <w:rPr>
          <w:rFonts w:ascii="Calibri" w:hAnsi="Calibri" w:cs="Calibri"/>
          <w:lang w:val="en-AU"/>
        </w:rPr>
        <w:t>Procurement complaints</w:t>
      </w:r>
    </w:p>
    <w:p w14:paraId="2D0AFDC2" w14:textId="77777777" w:rsidR="00EC7C44" w:rsidRPr="005734B8" w:rsidRDefault="00EC7C44" w:rsidP="00EC7C44">
      <w:pPr>
        <w:rPr>
          <w:rFonts w:ascii="Calibri" w:hAnsi="Calibri" w:cs="Calibri"/>
        </w:rPr>
      </w:pPr>
      <w:r w:rsidRPr="005734B8">
        <w:rPr>
          <w:rFonts w:ascii="Calibri" w:hAnsi="Calibri" w:cs="Calibri"/>
        </w:rPr>
        <w:t>Under the Governance Policy of the Victorian Government Purchasing Board, the Department must disclose any formal complaints received through its procurement complaints management system.</w:t>
      </w:r>
    </w:p>
    <w:p w14:paraId="19B5C788" w14:textId="77777777" w:rsidR="00EC7C44" w:rsidRPr="005734B8" w:rsidRDefault="00EC7C44" w:rsidP="00EC7C44">
      <w:pPr>
        <w:rPr>
          <w:rFonts w:ascii="Calibri" w:hAnsi="Calibri" w:cs="Calibri"/>
        </w:rPr>
      </w:pPr>
    </w:p>
    <w:p w14:paraId="3DE8BA97" w14:textId="6BB2A05D" w:rsidR="00310415" w:rsidRPr="005734B8" w:rsidRDefault="00EC7C44" w:rsidP="00EC7C44">
      <w:pPr>
        <w:rPr>
          <w:rFonts w:ascii="Calibri" w:hAnsi="Calibri" w:cs="Calibri"/>
        </w:rPr>
      </w:pPr>
      <w:r w:rsidRPr="005734B8">
        <w:rPr>
          <w:rFonts w:ascii="Calibri" w:hAnsi="Calibri" w:cs="Calibri"/>
        </w:rPr>
        <w:t>The Department received no formal complaints through its procurement complaints management system in 2020–21.</w:t>
      </w:r>
      <w:r w:rsidR="00310415" w:rsidRPr="005734B8">
        <w:rPr>
          <w:rFonts w:ascii="Calibri" w:hAnsi="Calibri" w:cs="Calibri"/>
        </w:rPr>
        <w:br w:type="page"/>
      </w:r>
    </w:p>
    <w:p w14:paraId="244B08F3" w14:textId="77DF977E" w:rsidR="00EC7C44" w:rsidRPr="005734B8" w:rsidRDefault="00EC7C44" w:rsidP="00EC7C44">
      <w:pPr>
        <w:pStyle w:val="ESHeading3"/>
        <w:spacing w:before="0" w:after="0"/>
        <w:ind w:left="0" w:firstLine="0"/>
        <w:rPr>
          <w:rFonts w:ascii="Calibri" w:hAnsi="Calibri" w:cs="Calibri"/>
          <w:lang w:val="en-AU"/>
        </w:rPr>
      </w:pPr>
      <w:r w:rsidRPr="005734B8">
        <w:rPr>
          <w:rFonts w:ascii="Calibri" w:hAnsi="Calibri" w:cs="Calibri"/>
          <w:lang w:val="en-AU"/>
        </w:rPr>
        <w:lastRenderedPageBreak/>
        <w:t xml:space="preserve">Procurement </w:t>
      </w:r>
      <w:r w:rsidR="0067707E" w:rsidRPr="005734B8">
        <w:rPr>
          <w:rFonts w:ascii="Calibri" w:hAnsi="Calibri" w:cs="Calibri"/>
          <w:lang w:val="en-AU"/>
        </w:rPr>
        <w:t xml:space="preserve">during </w:t>
      </w:r>
      <w:r w:rsidRPr="005734B8">
        <w:rPr>
          <w:rFonts w:ascii="Calibri" w:hAnsi="Calibri" w:cs="Calibri"/>
          <w:lang w:val="en-AU"/>
        </w:rPr>
        <w:t>critical incidents</w:t>
      </w:r>
    </w:p>
    <w:p w14:paraId="6DA320CD" w14:textId="77777777" w:rsidR="00661335" w:rsidRPr="005734B8" w:rsidRDefault="00661335" w:rsidP="00661335">
      <w:pPr>
        <w:rPr>
          <w:rFonts w:ascii="Calibri" w:hAnsi="Calibri" w:cs="Calibri"/>
        </w:rPr>
      </w:pPr>
      <w:r w:rsidRPr="005734B8">
        <w:rPr>
          <w:rFonts w:ascii="Calibri" w:hAnsi="Calibri" w:cs="Calibri"/>
        </w:rPr>
        <w:t>Under the Market Approach Policy of the Victorian Government Purchasing Board, the Department is required to disclose summary information regarding procurement activity during a critical incident.</w:t>
      </w:r>
    </w:p>
    <w:p w14:paraId="262E401A" w14:textId="77777777" w:rsidR="00661335" w:rsidRPr="005734B8" w:rsidRDefault="00661335" w:rsidP="00661335">
      <w:pPr>
        <w:rPr>
          <w:rFonts w:ascii="Calibri" w:hAnsi="Calibri" w:cs="Calibri"/>
        </w:rPr>
      </w:pPr>
    </w:p>
    <w:p w14:paraId="575DE103" w14:textId="77777777" w:rsidR="00661335" w:rsidRPr="005734B8" w:rsidRDefault="00661335" w:rsidP="00661335">
      <w:pPr>
        <w:rPr>
          <w:rFonts w:ascii="Calibri" w:hAnsi="Calibri" w:cs="Calibri"/>
        </w:rPr>
      </w:pPr>
      <w:r w:rsidRPr="005734B8">
        <w:rPr>
          <w:rFonts w:ascii="Calibri" w:hAnsi="Calibri" w:cs="Calibri"/>
        </w:rPr>
        <w:t>Critical incident procurement protocols were implemented by the Department in response to the declaration of a State of Emergency made by the Victorian Government on 16 March 2020 in relation to the COVID-19 pandemic.</w:t>
      </w:r>
    </w:p>
    <w:p w14:paraId="478E1970" w14:textId="77777777" w:rsidR="00661335" w:rsidRPr="005734B8" w:rsidRDefault="00661335" w:rsidP="00661335">
      <w:pPr>
        <w:rPr>
          <w:rFonts w:ascii="Calibri" w:hAnsi="Calibri" w:cs="Calibri"/>
        </w:rPr>
      </w:pPr>
    </w:p>
    <w:p w14:paraId="1B30AE1C" w14:textId="2EA8F32D" w:rsidR="00EC7C44" w:rsidRPr="005734B8" w:rsidRDefault="00661335" w:rsidP="00661335">
      <w:pPr>
        <w:rPr>
          <w:rFonts w:ascii="Calibri" w:hAnsi="Calibri" w:cs="Calibri"/>
        </w:rPr>
      </w:pPr>
      <w:r w:rsidRPr="005734B8">
        <w:rPr>
          <w:rFonts w:ascii="Calibri" w:hAnsi="Calibri" w:cs="Calibri"/>
        </w:rPr>
        <w:t>That declaration and the critical incident protocols ended on 7 December 2020.</w:t>
      </w:r>
    </w:p>
    <w:p w14:paraId="35943739" w14:textId="77777777" w:rsidR="00EC7C44" w:rsidRPr="005734B8" w:rsidRDefault="00EC7C44" w:rsidP="00EC7C44">
      <w:pPr>
        <w:pStyle w:val="ESTableintroheading"/>
        <w:rPr>
          <w:rFonts w:ascii="Calibri" w:hAnsi="Calibri" w:cs="Calibri"/>
        </w:rPr>
      </w:pPr>
      <w:r w:rsidRPr="005734B8">
        <w:rPr>
          <w:rFonts w:ascii="Calibri" w:hAnsi="Calibri" w:cs="Calibri"/>
          <w:sz w:val="18"/>
        </w:rPr>
        <w:t>Total value of procurements made under critical incident protocols</w:t>
      </w:r>
    </w:p>
    <w:tbl>
      <w:tblPr>
        <w:tblStyle w:val="TableGrid"/>
        <w:tblW w:w="491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374"/>
        <w:gridCol w:w="1419"/>
      </w:tblGrid>
      <w:tr w:rsidR="00EC7C44" w:rsidRPr="005734B8" w14:paraId="78387888" w14:textId="77777777" w:rsidTr="00EC7C44">
        <w:trPr>
          <w:cantSplit/>
          <w:trHeight w:val="242"/>
          <w:tblHeader/>
        </w:trPr>
        <w:tc>
          <w:tcPr>
            <w:tcW w:w="63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hemeFill="accent4"/>
            <w:hideMark/>
          </w:tcPr>
          <w:p w14:paraId="4FA4C56E" w14:textId="77777777" w:rsidR="00EC7C44" w:rsidRPr="005734B8" w:rsidRDefault="00EC7C44">
            <w:pPr>
              <w:pStyle w:val="ESTableheadingwhite"/>
              <w:rPr>
                <w:rFonts w:ascii="Calibri" w:hAnsi="Calibri" w:cs="Calibri"/>
                <w:sz w:val="18"/>
              </w:rPr>
            </w:pPr>
            <w:r w:rsidRPr="005734B8">
              <w:rPr>
                <w:rFonts w:ascii="Calibri" w:hAnsi="Calibri" w:cs="Calibri"/>
                <w:sz w:val="18"/>
              </w:rPr>
              <w:t xml:space="preserve">Goods and services purchased under critical incident protocols </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272F" w:themeFill="accent4"/>
            <w:hideMark/>
          </w:tcPr>
          <w:p w14:paraId="7F36E692" w14:textId="3CB3175A" w:rsidR="00EC7C44" w:rsidRPr="005734B8" w:rsidRDefault="00EC7C44">
            <w:pPr>
              <w:pStyle w:val="ESTableheadingwhite"/>
              <w:jc w:val="right"/>
              <w:rPr>
                <w:rFonts w:ascii="Calibri" w:hAnsi="Calibri" w:cs="Calibri"/>
                <w:sz w:val="18"/>
              </w:rPr>
            </w:pPr>
            <w:r w:rsidRPr="005734B8">
              <w:rPr>
                <w:rFonts w:ascii="Calibri" w:hAnsi="Calibri" w:cs="Calibri"/>
                <w:sz w:val="18"/>
              </w:rPr>
              <w:t xml:space="preserve"> $ (ex GST)</w:t>
            </w:r>
          </w:p>
        </w:tc>
      </w:tr>
      <w:tr w:rsidR="00F123F1" w:rsidRPr="005734B8" w14:paraId="6589FAB7" w14:textId="77777777" w:rsidTr="00EC7C44">
        <w:trPr>
          <w:cantSplit/>
        </w:trPr>
        <w:tc>
          <w:tcPr>
            <w:tcW w:w="63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974DF3C" w14:textId="581AD5A7" w:rsidR="00F123F1" w:rsidRPr="005734B8" w:rsidRDefault="00F123F1" w:rsidP="00F123F1">
            <w:pPr>
              <w:pStyle w:val="ESTablebody"/>
              <w:rPr>
                <w:rFonts w:ascii="Calibri" w:hAnsi="Calibri" w:cs="Calibri"/>
                <w:sz w:val="18"/>
              </w:rPr>
            </w:pPr>
            <w:r w:rsidRPr="005734B8">
              <w:rPr>
                <w:rFonts w:ascii="Calibri" w:hAnsi="Calibri" w:cs="Calibri"/>
                <w:sz w:val="18"/>
              </w:rPr>
              <w:t>Goods purchased under protocols in 2020–21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3A4D4F2" w14:textId="57C3C478" w:rsidR="00F123F1" w:rsidRPr="005734B8" w:rsidRDefault="00F123F1" w:rsidP="00F123F1">
            <w:pPr>
              <w:pStyle w:val="ESTablebody"/>
              <w:jc w:val="right"/>
              <w:rPr>
                <w:rFonts w:ascii="Calibri" w:hAnsi="Calibri" w:cs="Calibri"/>
                <w:sz w:val="18"/>
              </w:rPr>
            </w:pPr>
            <w:r w:rsidRPr="005734B8">
              <w:rPr>
                <w:rFonts w:ascii="Calibri" w:hAnsi="Calibri" w:cs="Calibri"/>
                <w:sz w:val="18"/>
              </w:rPr>
              <w:t>16,625,561</w:t>
            </w:r>
          </w:p>
        </w:tc>
      </w:tr>
      <w:tr w:rsidR="00F123F1" w:rsidRPr="005734B8" w14:paraId="640272BA" w14:textId="77777777" w:rsidTr="00EC7C44">
        <w:trPr>
          <w:cantSplit/>
        </w:trPr>
        <w:tc>
          <w:tcPr>
            <w:tcW w:w="6374" w:type="dxa"/>
            <w:tcBorders>
              <w:top w:val="single" w:sz="4" w:space="0" w:color="auto"/>
              <w:left w:val="single" w:sz="4" w:space="0" w:color="FFFFFF" w:themeColor="background1"/>
              <w:bottom w:val="single" w:sz="4" w:space="0" w:color="auto"/>
              <w:right w:val="single" w:sz="4" w:space="0" w:color="FFFFFF" w:themeColor="background1"/>
            </w:tcBorders>
            <w:hideMark/>
          </w:tcPr>
          <w:p w14:paraId="79641E29" w14:textId="00B3D00A" w:rsidR="00F123F1" w:rsidRPr="005734B8" w:rsidRDefault="00F123F1" w:rsidP="00F123F1">
            <w:pPr>
              <w:pStyle w:val="ESTablebody"/>
              <w:rPr>
                <w:rFonts w:ascii="Calibri" w:hAnsi="Calibri" w:cs="Calibri"/>
                <w:sz w:val="18"/>
                <w:lang w:val="en-AU"/>
              </w:rPr>
            </w:pPr>
            <w:r w:rsidRPr="005734B8">
              <w:rPr>
                <w:rFonts w:ascii="Calibri" w:hAnsi="Calibri" w:cs="Calibri"/>
                <w:sz w:val="18"/>
              </w:rPr>
              <w:t>Services purchased under protocols in 2020–21</w:t>
            </w:r>
          </w:p>
        </w:tc>
        <w:tc>
          <w:tcPr>
            <w:tcW w:w="1419" w:type="dxa"/>
            <w:tcBorders>
              <w:top w:val="single" w:sz="4" w:space="0" w:color="auto"/>
              <w:left w:val="single" w:sz="4" w:space="0" w:color="FFFFFF" w:themeColor="background1"/>
              <w:bottom w:val="single" w:sz="4" w:space="0" w:color="auto"/>
              <w:right w:val="single" w:sz="4" w:space="0" w:color="FFFFFF" w:themeColor="background1"/>
            </w:tcBorders>
            <w:hideMark/>
          </w:tcPr>
          <w:p w14:paraId="10E60960" w14:textId="0C5507A3" w:rsidR="00F123F1" w:rsidRPr="005734B8" w:rsidRDefault="00F123F1" w:rsidP="00F123F1">
            <w:pPr>
              <w:pStyle w:val="ESTablebody"/>
              <w:jc w:val="right"/>
              <w:rPr>
                <w:rFonts w:ascii="Calibri" w:hAnsi="Calibri" w:cs="Calibri"/>
                <w:sz w:val="18"/>
              </w:rPr>
            </w:pPr>
            <w:r w:rsidRPr="005734B8">
              <w:rPr>
                <w:rFonts w:ascii="Calibri" w:hAnsi="Calibri" w:cs="Calibri"/>
                <w:sz w:val="18"/>
              </w:rPr>
              <w:t>18,665,752</w:t>
            </w:r>
          </w:p>
        </w:tc>
      </w:tr>
      <w:tr w:rsidR="00F123F1" w:rsidRPr="005734B8" w14:paraId="29C7139F" w14:textId="77777777" w:rsidTr="00EC7C44">
        <w:trPr>
          <w:cantSplit/>
        </w:trPr>
        <w:tc>
          <w:tcPr>
            <w:tcW w:w="6374" w:type="dxa"/>
            <w:tcBorders>
              <w:top w:val="single" w:sz="4" w:space="0" w:color="auto"/>
              <w:left w:val="single" w:sz="4" w:space="0" w:color="FFFFFF" w:themeColor="background1"/>
              <w:bottom w:val="single" w:sz="4" w:space="0" w:color="53565A" w:themeColor="accent5"/>
              <w:right w:val="single" w:sz="4" w:space="0" w:color="FFFFFF" w:themeColor="background1"/>
            </w:tcBorders>
            <w:hideMark/>
          </w:tcPr>
          <w:p w14:paraId="4CF83504" w14:textId="77777777" w:rsidR="00F123F1" w:rsidRPr="005734B8" w:rsidRDefault="00F123F1" w:rsidP="00F123F1">
            <w:pPr>
              <w:pStyle w:val="ESTablebody"/>
              <w:rPr>
                <w:rFonts w:ascii="Calibri" w:hAnsi="Calibri" w:cs="Calibri"/>
                <w:b/>
                <w:sz w:val="18"/>
              </w:rPr>
            </w:pPr>
            <w:r w:rsidRPr="005734B8">
              <w:rPr>
                <w:rFonts w:ascii="Calibri" w:hAnsi="Calibri" w:cs="Calibri"/>
                <w:b/>
                <w:sz w:val="18"/>
              </w:rPr>
              <w:t xml:space="preserve">Total </w:t>
            </w:r>
          </w:p>
        </w:tc>
        <w:tc>
          <w:tcPr>
            <w:tcW w:w="1419" w:type="dxa"/>
            <w:tcBorders>
              <w:top w:val="single" w:sz="4" w:space="0" w:color="auto"/>
              <w:left w:val="single" w:sz="4" w:space="0" w:color="FFFFFF" w:themeColor="background1"/>
              <w:bottom w:val="single" w:sz="4" w:space="0" w:color="53565A" w:themeColor="accent5"/>
              <w:right w:val="single" w:sz="4" w:space="0" w:color="FFFFFF" w:themeColor="background1"/>
            </w:tcBorders>
            <w:hideMark/>
          </w:tcPr>
          <w:p w14:paraId="6916C66C" w14:textId="3512BC1A" w:rsidR="00F123F1" w:rsidRPr="005734B8" w:rsidRDefault="00F123F1" w:rsidP="00F123F1">
            <w:pPr>
              <w:pStyle w:val="ESTablebody"/>
              <w:jc w:val="right"/>
              <w:rPr>
                <w:rFonts w:ascii="Calibri" w:hAnsi="Calibri" w:cs="Calibri"/>
                <w:b/>
                <w:bCs/>
                <w:sz w:val="18"/>
              </w:rPr>
            </w:pPr>
            <w:r w:rsidRPr="005734B8">
              <w:rPr>
                <w:rFonts w:ascii="Calibri" w:hAnsi="Calibri" w:cs="Calibri"/>
                <w:b/>
                <w:bCs/>
                <w:sz w:val="18"/>
              </w:rPr>
              <w:t>35,291,313</w:t>
            </w:r>
          </w:p>
        </w:tc>
      </w:tr>
    </w:tbl>
    <w:p w14:paraId="1B35D33C" w14:textId="6396B6BB" w:rsidR="00BA02C0" w:rsidRPr="005734B8" w:rsidRDefault="00BA02C0" w:rsidP="00BA02C0">
      <w:pPr>
        <w:pStyle w:val="ESHeading2"/>
        <w:rPr>
          <w:rFonts w:ascii="Calibri" w:hAnsi="Calibri" w:cs="Calibri"/>
        </w:rPr>
      </w:pPr>
      <w:bookmarkStart w:id="842" w:name="_Toc81315344"/>
      <w:bookmarkEnd w:id="841"/>
      <w:r w:rsidRPr="005734B8">
        <w:rPr>
          <w:rFonts w:ascii="Calibri" w:hAnsi="Calibri" w:cs="Calibri"/>
          <w:noProof/>
          <w:lang w:val="en-AU" w:eastAsia="en-AU"/>
        </w:rPr>
        <w:t>Freedom of information</w:t>
      </w:r>
      <w:bookmarkEnd w:id="792"/>
      <w:bookmarkEnd w:id="793"/>
      <w:bookmarkEnd w:id="794"/>
      <w:bookmarkEnd w:id="795"/>
      <w:bookmarkEnd w:id="796"/>
      <w:bookmarkEnd w:id="797"/>
      <w:bookmarkEnd w:id="798"/>
      <w:bookmarkEnd w:id="799"/>
      <w:bookmarkEnd w:id="800"/>
      <w:bookmarkEnd w:id="801"/>
      <w:bookmarkEnd w:id="802"/>
      <w:r w:rsidR="00696586">
        <w:rPr>
          <w:rFonts w:ascii="Calibri" w:hAnsi="Calibri" w:cs="Calibri"/>
          <w:noProof/>
          <w:lang w:val="en-AU" w:eastAsia="en-AU"/>
        </w:rPr>
        <w:t xml:space="preserve"> (FOI)</w:t>
      </w:r>
      <w:bookmarkEnd w:id="842"/>
      <w:r w:rsidRPr="005734B8">
        <w:rPr>
          <w:rFonts w:ascii="Calibri" w:hAnsi="Calibri" w:cs="Calibri"/>
        </w:rPr>
        <w:t xml:space="preserve"> </w:t>
      </w:r>
    </w:p>
    <w:p w14:paraId="0D7402A8" w14:textId="02AC215E" w:rsidR="009C737F" w:rsidRPr="005734B8" w:rsidRDefault="009C737F" w:rsidP="009C737F">
      <w:pPr>
        <w:rPr>
          <w:rFonts w:ascii="Calibri" w:hAnsi="Calibri" w:cs="Calibri"/>
        </w:rPr>
      </w:pPr>
      <w:bookmarkStart w:id="843" w:name="_Toc11158255"/>
      <w:bookmarkStart w:id="844" w:name="_Toc11336262"/>
      <w:bookmarkStart w:id="845" w:name="_Toc11158256"/>
      <w:bookmarkStart w:id="846" w:name="_Toc11336263"/>
      <w:bookmarkStart w:id="847" w:name="_Toc14965489"/>
      <w:bookmarkStart w:id="848" w:name="_Toc19272068"/>
      <w:bookmarkStart w:id="849" w:name="_Toc19272434"/>
      <w:bookmarkStart w:id="850" w:name="_Toc19273769"/>
      <w:r w:rsidRPr="005734B8">
        <w:rPr>
          <w:rFonts w:ascii="Calibri" w:hAnsi="Calibri" w:cs="Calibri"/>
        </w:rPr>
        <w:t>The FOI Act allows the public a right to access documents held by the Department. The purpose of the FOI Act is to extend as far as possible the community’s right to access information held by government departments, local councils, ministers and other bodies.</w:t>
      </w:r>
    </w:p>
    <w:p w14:paraId="3696988F" w14:textId="77777777" w:rsidR="009C737F" w:rsidRPr="005734B8" w:rsidRDefault="009C737F" w:rsidP="009C737F">
      <w:pPr>
        <w:rPr>
          <w:rFonts w:ascii="Calibri" w:hAnsi="Calibri" w:cs="Calibri"/>
        </w:rPr>
      </w:pPr>
    </w:p>
    <w:p w14:paraId="4A678243" w14:textId="32F7A5F4" w:rsidR="009C737F" w:rsidRPr="005734B8" w:rsidRDefault="009C737F" w:rsidP="009C737F">
      <w:pPr>
        <w:rPr>
          <w:rFonts w:ascii="Calibri" w:hAnsi="Calibri" w:cs="Calibri"/>
        </w:rPr>
      </w:pPr>
      <w:r w:rsidRPr="005734B8">
        <w:rPr>
          <w:rFonts w:ascii="Calibri" w:hAnsi="Calibri" w:cs="Calibri"/>
        </w:rPr>
        <w:t xml:space="preserve">People can apply to access documents created by, or supplied to, the Department. They may also obtain access to maps, films, microfiche, photographs, computer printouts, computer discs, tape recordings and videotapes. Information about the type of material produced by the Department is available at </w:t>
      </w:r>
      <w:hyperlink r:id="rId38" w:history="1">
        <w:r w:rsidRPr="005734B8">
          <w:rPr>
            <w:rStyle w:val="Hyperlink"/>
            <w:rFonts w:ascii="Calibri" w:hAnsi="Calibri" w:cs="Calibri"/>
          </w:rPr>
          <w:t>www.education.vic.gov.au/about/working/Pages/foi.aspx</w:t>
        </w:r>
      </w:hyperlink>
      <w:r w:rsidRPr="005734B8">
        <w:rPr>
          <w:rFonts w:ascii="Calibri" w:hAnsi="Calibri" w:cs="Calibri"/>
        </w:rPr>
        <w:t>.</w:t>
      </w:r>
    </w:p>
    <w:p w14:paraId="7FFD15C9" w14:textId="77777777" w:rsidR="009C737F" w:rsidRPr="005734B8" w:rsidRDefault="009C737F" w:rsidP="009C737F">
      <w:pPr>
        <w:rPr>
          <w:rFonts w:ascii="Calibri" w:hAnsi="Calibri" w:cs="Calibri"/>
        </w:rPr>
      </w:pPr>
    </w:p>
    <w:p w14:paraId="4C324809" w14:textId="635D6FBB" w:rsidR="009C737F" w:rsidRPr="005734B8" w:rsidRDefault="009C737F" w:rsidP="009C737F">
      <w:pPr>
        <w:rPr>
          <w:rFonts w:ascii="Calibri" w:hAnsi="Calibri" w:cs="Calibri"/>
        </w:rPr>
      </w:pPr>
      <w:r w:rsidRPr="005734B8">
        <w:rPr>
          <w:rFonts w:ascii="Calibri" w:hAnsi="Calibri" w:cs="Calibri"/>
        </w:rPr>
        <w:t xml:space="preserve">Under the FOI Act, the Department can refuse public access to certain documents or information, either fully or partially. Examples of documents that the Department may refuse access to include: </w:t>
      </w:r>
    </w:p>
    <w:p w14:paraId="5CE26A0E" w14:textId="77777777" w:rsidR="009C737F" w:rsidRPr="005734B8" w:rsidRDefault="009C737F" w:rsidP="009C737F">
      <w:pPr>
        <w:pStyle w:val="ListParagraph"/>
        <w:numPr>
          <w:ilvl w:val="0"/>
          <w:numId w:val="7"/>
        </w:numPr>
        <w:rPr>
          <w:rFonts w:ascii="Calibri" w:hAnsi="Calibri" w:cs="Calibri"/>
        </w:rPr>
      </w:pPr>
      <w:r w:rsidRPr="005734B8">
        <w:rPr>
          <w:rFonts w:ascii="Calibri" w:hAnsi="Calibri" w:cs="Calibri"/>
        </w:rPr>
        <w:t>cabinet documents</w:t>
      </w:r>
    </w:p>
    <w:p w14:paraId="594208C1" w14:textId="77777777" w:rsidR="009C737F" w:rsidRPr="005734B8" w:rsidRDefault="009C737F" w:rsidP="009C737F">
      <w:pPr>
        <w:pStyle w:val="ListParagraph"/>
        <w:numPr>
          <w:ilvl w:val="0"/>
          <w:numId w:val="7"/>
        </w:numPr>
        <w:rPr>
          <w:rFonts w:ascii="Calibri" w:hAnsi="Calibri" w:cs="Calibri"/>
        </w:rPr>
      </w:pPr>
      <w:r w:rsidRPr="005734B8">
        <w:rPr>
          <w:rFonts w:ascii="Calibri" w:hAnsi="Calibri" w:cs="Calibri"/>
        </w:rPr>
        <w:t>some internal working documents</w:t>
      </w:r>
    </w:p>
    <w:p w14:paraId="49524FDE" w14:textId="2E8A9DE7" w:rsidR="009C737F" w:rsidRPr="005734B8" w:rsidRDefault="009C737F" w:rsidP="009C737F">
      <w:pPr>
        <w:pStyle w:val="ListParagraph"/>
        <w:numPr>
          <w:ilvl w:val="0"/>
          <w:numId w:val="7"/>
        </w:numPr>
        <w:rPr>
          <w:rFonts w:ascii="Calibri" w:hAnsi="Calibri" w:cs="Calibri"/>
        </w:rPr>
      </w:pPr>
      <w:r w:rsidRPr="005734B8">
        <w:rPr>
          <w:rFonts w:ascii="Calibri" w:hAnsi="Calibri" w:cs="Calibri"/>
        </w:rPr>
        <w:t>law</w:t>
      </w:r>
      <w:r w:rsidR="0067707E" w:rsidRPr="005734B8">
        <w:rPr>
          <w:rFonts w:ascii="Calibri" w:hAnsi="Calibri" w:cs="Calibri"/>
        </w:rPr>
        <w:noBreakHyphen/>
      </w:r>
      <w:r w:rsidRPr="005734B8">
        <w:rPr>
          <w:rFonts w:ascii="Calibri" w:hAnsi="Calibri" w:cs="Calibri"/>
        </w:rPr>
        <w:t>enforcement documents</w:t>
      </w:r>
    </w:p>
    <w:p w14:paraId="4B2EB848" w14:textId="129446C8" w:rsidR="009C737F" w:rsidRPr="005734B8" w:rsidRDefault="009C737F" w:rsidP="009C737F">
      <w:pPr>
        <w:pStyle w:val="ListParagraph"/>
        <w:numPr>
          <w:ilvl w:val="0"/>
          <w:numId w:val="7"/>
        </w:numPr>
        <w:rPr>
          <w:rFonts w:ascii="Calibri" w:hAnsi="Calibri" w:cs="Calibri"/>
        </w:rPr>
      </w:pPr>
      <w:r w:rsidRPr="005734B8">
        <w:rPr>
          <w:rFonts w:ascii="Calibri" w:hAnsi="Calibri" w:cs="Calibri"/>
        </w:rPr>
        <w:t>documents covered by legal professional privilege, such as legal advice</w:t>
      </w:r>
    </w:p>
    <w:p w14:paraId="52BD8866" w14:textId="77777777" w:rsidR="009C737F" w:rsidRPr="005734B8" w:rsidRDefault="009C737F" w:rsidP="009C737F">
      <w:pPr>
        <w:pStyle w:val="ListParagraph"/>
        <w:numPr>
          <w:ilvl w:val="0"/>
          <w:numId w:val="7"/>
        </w:numPr>
        <w:rPr>
          <w:rFonts w:ascii="Calibri" w:hAnsi="Calibri" w:cs="Calibri"/>
        </w:rPr>
      </w:pPr>
      <w:r w:rsidRPr="005734B8">
        <w:rPr>
          <w:rFonts w:ascii="Calibri" w:hAnsi="Calibri" w:cs="Calibri"/>
        </w:rPr>
        <w:t>personal information about other people</w:t>
      </w:r>
    </w:p>
    <w:p w14:paraId="2B39AADE" w14:textId="588AB950" w:rsidR="009C737F" w:rsidRPr="005734B8" w:rsidRDefault="009C737F" w:rsidP="009C737F">
      <w:pPr>
        <w:pStyle w:val="ListParagraph"/>
        <w:numPr>
          <w:ilvl w:val="0"/>
          <w:numId w:val="7"/>
        </w:numPr>
        <w:rPr>
          <w:rFonts w:ascii="Calibri" w:hAnsi="Calibri" w:cs="Calibri"/>
        </w:rPr>
      </w:pPr>
      <w:r w:rsidRPr="005734B8">
        <w:rPr>
          <w:rFonts w:ascii="Calibri" w:hAnsi="Calibri" w:cs="Calibri"/>
        </w:rPr>
        <w:t>information provided to the Department in confidence.</w:t>
      </w:r>
    </w:p>
    <w:p w14:paraId="180D0EB6" w14:textId="2CDFE5DE" w:rsidR="009C737F" w:rsidRPr="005734B8" w:rsidRDefault="009C737F" w:rsidP="009C737F">
      <w:pPr>
        <w:rPr>
          <w:rFonts w:ascii="Calibri" w:hAnsi="Calibri" w:cs="Calibri"/>
        </w:rPr>
      </w:pPr>
    </w:p>
    <w:p w14:paraId="47FA0879" w14:textId="09913429" w:rsidR="00C76744" w:rsidRPr="005734B8" w:rsidRDefault="009C737F" w:rsidP="009C737F">
      <w:pPr>
        <w:rPr>
          <w:rFonts w:ascii="Calibri" w:hAnsi="Calibri" w:cs="Calibri"/>
        </w:rPr>
      </w:pPr>
      <w:r w:rsidRPr="005734B8">
        <w:rPr>
          <w:rFonts w:ascii="Calibri" w:hAnsi="Calibri" w:cs="Calibri"/>
        </w:rPr>
        <w:t>Under section 49A of the FOI Act, applicants not satisfied by a decision made by the Department can seek a review by the Office of the Victorian Information Commissioner within 28 days of receiving a decision on access.</w:t>
      </w:r>
      <w:r w:rsidR="00C76744" w:rsidRPr="005734B8">
        <w:rPr>
          <w:rFonts w:ascii="Calibri" w:hAnsi="Calibri" w:cs="Calibri"/>
        </w:rPr>
        <w:br w:type="page"/>
      </w:r>
    </w:p>
    <w:p w14:paraId="3C059BD4" w14:textId="38E5190D" w:rsidR="009C737F" w:rsidRPr="005734B8" w:rsidRDefault="0067707E" w:rsidP="009C737F">
      <w:pPr>
        <w:pStyle w:val="ESHeading3"/>
        <w:ind w:left="0" w:firstLine="0"/>
        <w:rPr>
          <w:rFonts w:ascii="Calibri" w:hAnsi="Calibri" w:cs="Calibri"/>
        </w:rPr>
      </w:pPr>
      <w:r w:rsidRPr="005734B8">
        <w:rPr>
          <w:rFonts w:ascii="Calibri" w:hAnsi="Calibri" w:cs="Calibri"/>
        </w:rPr>
        <w:lastRenderedPageBreak/>
        <w:t>Freedom of information</w:t>
      </w:r>
      <w:r w:rsidR="009C737F" w:rsidRPr="005734B8">
        <w:rPr>
          <w:rFonts w:ascii="Calibri" w:hAnsi="Calibri" w:cs="Calibri"/>
        </w:rPr>
        <w:t xml:space="preserve"> </w:t>
      </w:r>
      <w:r w:rsidRPr="005734B8">
        <w:rPr>
          <w:rFonts w:ascii="Calibri" w:hAnsi="Calibri" w:cs="Calibri"/>
        </w:rPr>
        <w:t>s</w:t>
      </w:r>
      <w:r w:rsidR="009C737F" w:rsidRPr="005734B8">
        <w:rPr>
          <w:rFonts w:ascii="Calibri" w:hAnsi="Calibri" w:cs="Calibri"/>
        </w:rPr>
        <w:t xml:space="preserve">tatistics </w:t>
      </w:r>
    </w:p>
    <w:p w14:paraId="3E37DB33" w14:textId="05AFBBB3" w:rsidR="009C737F" w:rsidRPr="005734B8" w:rsidRDefault="009C737F" w:rsidP="009C737F">
      <w:pPr>
        <w:rPr>
          <w:rFonts w:ascii="Calibri" w:hAnsi="Calibri" w:cs="Calibri"/>
        </w:rPr>
      </w:pPr>
      <w:r w:rsidRPr="005734B8">
        <w:rPr>
          <w:rFonts w:ascii="Calibri" w:hAnsi="Calibri" w:cs="Calibri"/>
        </w:rPr>
        <w:t>During 2020</w:t>
      </w:r>
      <w:r w:rsidR="004D7724" w:rsidRPr="005734B8">
        <w:rPr>
          <w:rFonts w:ascii="Calibri" w:hAnsi="Calibri" w:cs="Calibri"/>
        </w:rPr>
        <w:t>–</w:t>
      </w:r>
      <w:r w:rsidRPr="005734B8">
        <w:rPr>
          <w:rFonts w:ascii="Calibri" w:hAnsi="Calibri" w:cs="Calibri"/>
        </w:rPr>
        <w:t>21, the Department received 582</w:t>
      </w:r>
      <w:r w:rsidRPr="005734B8">
        <w:rPr>
          <w:rFonts w:ascii="Calibri" w:hAnsi="Calibri" w:cs="Calibri"/>
          <w:color w:val="FF0000"/>
        </w:rPr>
        <w:t xml:space="preserve"> </w:t>
      </w:r>
      <w:r w:rsidRPr="005734B8">
        <w:rPr>
          <w:rFonts w:ascii="Calibri" w:hAnsi="Calibri" w:cs="Calibri"/>
        </w:rPr>
        <w:t>FOI requests. Of these:</w:t>
      </w:r>
    </w:p>
    <w:p w14:paraId="7FE0FC6E" w14:textId="77777777" w:rsidR="009C737F" w:rsidRPr="005734B8" w:rsidRDefault="009C737F" w:rsidP="009C737F">
      <w:pPr>
        <w:pStyle w:val="ListParagraph"/>
        <w:numPr>
          <w:ilvl w:val="0"/>
          <w:numId w:val="7"/>
        </w:numPr>
        <w:rPr>
          <w:rFonts w:ascii="Calibri" w:hAnsi="Calibri" w:cs="Calibri"/>
        </w:rPr>
      </w:pPr>
      <w:r w:rsidRPr="005734B8">
        <w:rPr>
          <w:rFonts w:ascii="Calibri" w:hAnsi="Calibri" w:cs="Calibri"/>
        </w:rPr>
        <w:t>502 were from individuals seeking access to their own records</w:t>
      </w:r>
    </w:p>
    <w:p w14:paraId="7540FE0C" w14:textId="77777777" w:rsidR="009C737F" w:rsidRPr="005734B8" w:rsidRDefault="009C737F" w:rsidP="009C737F">
      <w:pPr>
        <w:pStyle w:val="ListParagraph"/>
        <w:numPr>
          <w:ilvl w:val="0"/>
          <w:numId w:val="7"/>
        </w:numPr>
        <w:rPr>
          <w:rFonts w:ascii="Calibri" w:hAnsi="Calibri" w:cs="Calibri"/>
        </w:rPr>
      </w:pPr>
      <w:r w:rsidRPr="005734B8">
        <w:rPr>
          <w:rFonts w:ascii="Calibri" w:hAnsi="Calibri" w:cs="Calibri"/>
        </w:rPr>
        <w:t>27 were requests from members of parliament</w:t>
      </w:r>
    </w:p>
    <w:p w14:paraId="595EF663" w14:textId="55B80BC6" w:rsidR="009C737F" w:rsidRPr="005734B8" w:rsidRDefault="009C737F" w:rsidP="009C737F">
      <w:pPr>
        <w:pStyle w:val="ListParagraph"/>
        <w:numPr>
          <w:ilvl w:val="0"/>
          <w:numId w:val="7"/>
        </w:numPr>
        <w:rPr>
          <w:rFonts w:ascii="Calibri" w:hAnsi="Calibri" w:cs="Calibri"/>
        </w:rPr>
      </w:pPr>
      <w:r w:rsidRPr="005734B8">
        <w:rPr>
          <w:rFonts w:ascii="Calibri" w:hAnsi="Calibri" w:cs="Calibri"/>
        </w:rPr>
        <w:t xml:space="preserve">21 </w:t>
      </w:r>
      <w:r w:rsidR="0067707E" w:rsidRPr="005734B8">
        <w:rPr>
          <w:rFonts w:ascii="Calibri" w:hAnsi="Calibri" w:cs="Calibri"/>
          <w:bCs/>
        </w:rPr>
        <w:t xml:space="preserve">were </w:t>
      </w:r>
      <w:r w:rsidRPr="005734B8">
        <w:rPr>
          <w:rFonts w:ascii="Calibri" w:hAnsi="Calibri" w:cs="Calibri"/>
        </w:rPr>
        <w:t>from media organisations</w:t>
      </w:r>
    </w:p>
    <w:p w14:paraId="24F4B79B" w14:textId="5FF0990E" w:rsidR="009C737F" w:rsidRPr="005734B8" w:rsidRDefault="009C737F" w:rsidP="009C737F">
      <w:pPr>
        <w:pStyle w:val="ListParagraph"/>
        <w:numPr>
          <w:ilvl w:val="0"/>
          <w:numId w:val="7"/>
        </w:numPr>
        <w:rPr>
          <w:rFonts w:ascii="Calibri" w:hAnsi="Calibri" w:cs="Calibri"/>
        </w:rPr>
      </w:pPr>
      <w:r w:rsidRPr="005734B8">
        <w:rPr>
          <w:rFonts w:ascii="Calibri" w:hAnsi="Calibri" w:cs="Calibri"/>
        </w:rPr>
        <w:t xml:space="preserve">32 </w:t>
      </w:r>
      <w:r w:rsidR="0067707E" w:rsidRPr="005734B8">
        <w:rPr>
          <w:rFonts w:ascii="Calibri" w:hAnsi="Calibri" w:cs="Calibri"/>
        </w:rPr>
        <w:t>were</w:t>
      </w:r>
      <w:r w:rsidRPr="005734B8">
        <w:rPr>
          <w:rFonts w:ascii="Calibri" w:hAnsi="Calibri" w:cs="Calibri"/>
        </w:rPr>
        <w:t xml:space="preserve"> from members of the public seeking policy-related and other miscellaneous documents.</w:t>
      </w:r>
    </w:p>
    <w:p w14:paraId="5B34864E" w14:textId="77777777" w:rsidR="009C737F" w:rsidRPr="005734B8" w:rsidRDefault="009C737F" w:rsidP="009C737F">
      <w:pPr>
        <w:rPr>
          <w:rFonts w:ascii="Calibri" w:hAnsi="Calibri" w:cs="Calibri"/>
        </w:rPr>
      </w:pPr>
    </w:p>
    <w:p w14:paraId="091145BE" w14:textId="0C868F9C" w:rsidR="009C737F" w:rsidRPr="005734B8" w:rsidRDefault="009C737F" w:rsidP="009C737F">
      <w:pPr>
        <w:rPr>
          <w:rFonts w:ascii="Calibri" w:hAnsi="Calibri" w:cs="Calibri"/>
        </w:rPr>
      </w:pPr>
      <w:r w:rsidRPr="005734B8">
        <w:rPr>
          <w:rFonts w:ascii="Calibri" w:hAnsi="Calibri" w:cs="Calibri"/>
        </w:rPr>
        <w:t>Mostly, the Department provided full or partial access to the requested documents. The Office of the Victorian Information Commissioner was asked to review 22 requests, and two</w:t>
      </w:r>
      <w:r w:rsidRPr="005734B8">
        <w:rPr>
          <w:rFonts w:ascii="Calibri" w:hAnsi="Calibri" w:cs="Calibri"/>
          <w:color w:val="FF0000"/>
        </w:rPr>
        <w:t xml:space="preserve"> </w:t>
      </w:r>
      <w:r w:rsidRPr="005734B8">
        <w:rPr>
          <w:rFonts w:ascii="Calibri" w:hAnsi="Calibri" w:cs="Calibri"/>
        </w:rPr>
        <w:t>went on appeal to the Victorian Civil and Administrative Tribunal.</w:t>
      </w:r>
    </w:p>
    <w:p w14:paraId="76AD309C" w14:textId="77777777" w:rsidR="009C737F" w:rsidRPr="005734B8" w:rsidRDefault="009C737F" w:rsidP="009C737F">
      <w:pPr>
        <w:rPr>
          <w:rFonts w:ascii="Calibri" w:hAnsi="Calibri" w:cs="Calibri"/>
        </w:rPr>
      </w:pPr>
    </w:p>
    <w:p w14:paraId="6D2EBF6A" w14:textId="7ECBFDCA" w:rsidR="009C737F" w:rsidRPr="005734B8" w:rsidRDefault="009C737F" w:rsidP="009C737F">
      <w:pPr>
        <w:rPr>
          <w:rFonts w:ascii="Calibri" w:hAnsi="Calibri" w:cs="Calibri"/>
        </w:rPr>
      </w:pPr>
      <w:r w:rsidRPr="005734B8">
        <w:rPr>
          <w:rFonts w:ascii="Calibri" w:hAnsi="Calibri" w:cs="Calibri"/>
        </w:rPr>
        <w:t xml:space="preserve">This annual report contains the information required to be published pursuant to section 7 of the FOI Act. Further information is available at: </w:t>
      </w:r>
      <w:hyperlink r:id="rId39" w:history="1">
        <w:r w:rsidRPr="005734B8">
          <w:rPr>
            <w:rStyle w:val="Hyperlink"/>
            <w:rFonts w:ascii="Calibri" w:hAnsi="Calibri" w:cs="Calibri"/>
          </w:rPr>
          <w:t>www.education.vic.gov.au/about/working/Pages/foi.aspx</w:t>
        </w:r>
      </w:hyperlink>
      <w:r w:rsidRPr="005734B8">
        <w:rPr>
          <w:rFonts w:ascii="Calibri" w:hAnsi="Calibri" w:cs="Calibri"/>
        </w:rPr>
        <w:t xml:space="preserve">. </w:t>
      </w:r>
    </w:p>
    <w:bookmarkEnd w:id="843"/>
    <w:bookmarkEnd w:id="844"/>
    <w:bookmarkEnd w:id="845"/>
    <w:bookmarkEnd w:id="846"/>
    <w:bookmarkEnd w:id="847"/>
    <w:bookmarkEnd w:id="848"/>
    <w:bookmarkEnd w:id="849"/>
    <w:bookmarkEnd w:id="850"/>
    <w:p w14:paraId="436DD360" w14:textId="77777777" w:rsidR="00FE3C40" w:rsidRPr="005734B8" w:rsidRDefault="00FE3C40" w:rsidP="00FE3C40">
      <w:pPr>
        <w:pStyle w:val="ESHeading3"/>
        <w:ind w:left="0" w:firstLine="0"/>
        <w:rPr>
          <w:rFonts w:ascii="Calibri" w:hAnsi="Calibri" w:cs="Calibri"/>
        </w:rPr>
      </w:pPr>
      <w:r w:rsidRPr="005734B8">
        <w:rPr>
          <w:rFonts w:ascii="Calibri" w:hAnsi="Calibri" w:cs="Calibri"/>
          <w:lang w:val="en-AU"/>
        </w:rPr>
        <w:t>Making a request</w:t>
      </w:r>
    </w:p>
    <w:p w14:paraId="6752F04D" w14:textId="77777777" w:rsidR="00FE3C40" w:rsidRPr="005734B8" w:rsidRDefault="00FE3C40" w:rsidP="00FE3C40">
      <w:pPr>
        <w:rPr>
          <w:rFonts w:ascii="Calibri" w:hAnsi="Calibri" w:cs="Calibri"/>
        </w:rPr>
      </w:pPr>
      <w:r w:rsidRPr="005734B8">
        <w:rPr>
          <w:rFonts w:ascii="Calibri" w:hAnsi="Calibri" w:cs="Calibri"/>
        </w:rPr>
        <w:t>A request for access to documents can be made by writing to the Department’s FOI Unit. A request must:</w:t>
      </w:r>
    </w:p>
    <w:p w14:paraId="73D99F6C" w14:textId="77777777" w:rsidR="00FE3C40" w:rsidRPr="005734B8" w:rsidRDefault="00FE3C40" w:rsidP="00FE3C40">
      <w:pPr>
        <w:pStyle w:val="ListParagraph"/>
        <w:numPr>
          <w:ilvl w:val="0"/>
          <w:numId w:val="7"/>
        </w:numPr>
        <w:rPr>
          <w:rFonts w:ascii="Calibri" w:hAnsi="Calibri" w:cs="Calibri"/>
        </w:rPr>
      </w:pPr>
      <w:r w:rsidRPr="005734B8">
        <w:rPr>
          <w:rFonts w:ascii="Calibri" w:hAnsi="Calibri" w:cs="Calibri"/>
        </w:rPr>
        <w:t>be in writing</w:t>
      </w:r>
    </w:p>
    <w:p w14:paraId="7EC5F02F" w14:textId="77777777" w:rsidR="00FE3C40" w:rsidRPr="005734B8" w:rsidRDefault="00FE3C40" w:rsidP="00FE3C40">
      <w:pPr>
        <w:pStyle w:val="ListParagraph"/>
        <w:numPr>
          <w:ilvl w:val="0"/>
          <w:numId w:val="7"/>
        </w:numPr>
        <w:rPr>
          <w:rFonts w:ascii="Calibri" w:hAnsi="Calibri" w:cs="Calibri"/>
        </w:rPr>
      </w:pPr>
      <w:r w:rsidRPr="005734B8">
        <w:rPr>
          <w:rFonts w:ascii="Calibri" w:hAnsi="Calibri" w:cs="Calibri"/>
        </w:rPr>
        <w:t>identify as clearly as possible the document(s) being requested</w:t>
      </w:r>
    </w:p>
    <w:p w14:paraId="0A9C4851" w14:textId="77777777" w:rsidR="00FE3C40" w:rsidRPr="005734B8" w:rsidRDefault="00FE3C40" w:rsidP="00FE3C40">
      <w:pPr>
        <w:pStyle w:val="ListParagraph"/>
        <w:numPr>
          <w:ilvl w:val="0"/>
          <w:numId w:val="7"/>
        </w:numPr>
        <w:rPr>
          <w:rFonts w:ascii="Calibri" w:hAnsi="Calibri" w:cs="Calibri"/>
        </w:rPr>
      </w:pPr>
      <w:r w:rsidRPr="005734B8">
        <w:rPr>
          <w:rFonts w:ascii="Calibri" w:hAnsi="Calibri" w:cs="Calibri"/>
        </w:rPr>
        <w:t xml:space="preserve">be accompanied by the appropriate application fee (the fee may be waived in certain circumstances). </w:t>
      </w:r>
    </w:p>
    <w:p w14:paraId="288F0E0A" w14:textId="77777777" w:rsidR="00FE3C40" w:rsidRPr="005734B8" w:rsidRDefault="00FE3C40" w:rsidP="00FE3C40">
      <w:pPr>
        <w:rPr>
          <w:rFonts w:ascii="Calibri" w:hAnsi="Calibri" w:cs="Calibri"/>
        </w:rPr>
      </w:pPr>
    </w:p>
    <w:p w14:paraId="131A5B78" w14:textId="77777777" w:rsidR="00FE3C40" w:rsidRPr="005734B8" w:rsidRDefault="00FE3C40" w:rsidP="00FE3C40">
      <w:pPr>
        <w:rPr>
          <w:rFonts w:ascii="Calibri" w:hAnsi="Calibri" w:cs="Calibri"/>
        </w:rPr>
      </w:pPr>
      <w:r w:rsidRPr="005734B8">
        <w:rPr>
          <w:rFonts w:ascii="Calibri" w:hAnsi="Calibri" w:cs="Calibri"/>
        </w:rPr>
        <w:t>Access charges may be required in certain circumstances. Examples of access charges include charges for search, retrieval, and extraction of certain documents from databases.</w:t>
      </w:r>
    </w:p>
    <w:p w14:paraId="7B6B5535" w14:textId="77777777" w:rsidR="00FE3C40" w:rsidRPr="005734B8" w:rsidRDefault="00FE3C40" w:rsidP="00FE3C40">
      <w:pPr>
        <w:pStyle w:val="ESTableintroheading"/>
        <w:rPr>
          <w:rFonts w:ascii="Calibri" w:hAnsi="Calibri" w:cs="Calibri"/>
        </w:rPr>
      </w:pPr>
      <w:bookmarkStart w:id="851" w:name="_Toc13656694"/>
      <w:bookmarkStart w:id="852" w:name="_Toc14965490"/>
      <w:bookmarkStart w:id="853" w:name="_Toc15985280"/>
      <w:bookmarkStart w:id="854" w:name="_Toc19272069"/>
      <w:bookmarkStart w:id="855" w:name="_Toc19272435"/>
      <w:bookmarkStart w:id="856" w:name="_Toc19273770"/>
      <w:bookmarkStart w:id="857" w:name="_Toc48402801"/>
      <w:bookmarkStart w:id="858" w:name="_Toc48403038"/>
      <w:bookmarkStart w:id="859" w:name="_Toc51332781"/>
      <w:bookmarkStart w:id="860" w:name="_Toc71208227"/>
      <w:bookmarkStart w:id="861" w:name="_Toc11158258"/>
      <w:bookmarkStart w:id="862" w:name="_Toc11336265"/>
      <w:bookmarkStart w:id="863" w:name="_Toc13656695"/>
      <w:bookmarkStart w:id="864" w:name="_Toc14965491"/>
      <w:bookmarkStart w:id="865" w:name="_Toc15985281"/>
      <w:bookmarkStart w:id="866" w:name="_Toc19272070"/>
      <w:bookmarkStart w:id="867" w:name="_Toc19272436"/>
      <w:bookmarkStart w:id="868" w:name="_Toc19273771"/>
      <w:bookmarkStart w:id="869" w:name="_Toc48402802"/>
      <w:bookmarkStart w:id="870" w:name="_Toc48403039"/>
      <w:bookmarkStart w:id="871" w:name="_Toc51332782"/>
      <w:bookmarkStart w:id="872" w:name="_Toc10208727"/>
      <w:r w:rsidRPr="005734B8">
        <w:rPr>
          <w:rFonts w:ascii="Calibri" w:hAnsi="Calibri" w:cs="Calibri"/>
        </w:rPr>
        <w:t>Freedom of information contacts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55"/>
        <w:gridCol w:w="2002"/>
        <w:gridCol w:w="2675"/>
        <w:gridCol w:w="1689"/>
      </w:tblGrid>
      <w:tr w:rsidR="00FE3C40" w:rsidRPr="005734B8" w14:paraId="18E4B5A9" w14:textId="77777777" w:rsidTr="0067707E">
        <w:trPr>
          <w:cantSplit/>
          <w:trHeight w:val="242"/>
          <w:tblHeader/>
        </w:trPr>
        <w:tc>
          <w:tcPr>
            <w:tcW w:w="1555" w:type="dxa"/>
            <w:tcBorders>
              <w:bottom w:val="single" w:sz="4" w:space="0" w:color="FFFFFF" w:themeColor="background1"/>
            </w:tcBorders>
            <w:shd w:val="clear" w:color="auto" w:fill="AF272F" w:themeFill="accent4"/>
          </w:tcPr>
          <w:p w14:paraId="5FB0D8D3" w14:textId="77777777" w:rsidR="00FE3C40" w:rsidRPr="005734B8" w:rsidRDefault="00FE3C40" w:rsidP="00C742B0">
            <w:pPr>
              <w:pStyle w:val="ESTableheadingwhite"/>
              <w:rPr>
                <w:rFonts w:ascii="Calibri" w:hAnsi="Calibri" w:cs="Calibri"/>
                <w:sz w:val="18"/>
              </w:rPr>
            </w:pPr>
            <w:r w:rsidRPr="005734B8">
              <w:rPr>
                <w:rFonts w:ascii="Calibri" w:hAnsi="Calibri" w:cs="Calibri"/>
                <w:sz w:val="18"/>
              </w:rPr>
              <w:t>Agency</w:t>
            </w:r>
          </w:p>
        </w:tc>
        <w:tc>
          <w:tcPr>
            <w:tcW w:w="2002" w:type="dxa"/>
            <w:tcBorders>
              <w:bottom w:val="single" w:sz="4" w:space="0" w:color="FFFFFF" w:themeColor="background1"/>
            </w:tcBorders>
            <w:shd w:val="clear" w:color="auto" w:fill="AF272F" w:themeFill="accent4"/>
          </w:tcPr>
          <w:p w14:paraId="1E7AF92F" w14:textId="77777777" w:rsidR="00FE3C40" w:rsidRPr="005734B8" w:rsidRDefault="00FE3C40" w:rsidP="00C742B0">
            <w:pPr>
              <w:pStyle w:val="ESTableheadingwhite"/>
              <w:jc w:val="right"/>
              <w:rPr>
                <w:rFonts w:ascii="Calibri" w:hAnsi="Calibri" w:cs="Calibri"/>
                <w:sz w:val="18"/>
              </w:rPr>
            </w:pPr>
            <w:r w:rsidRPr="005734B8">
              <w:rPr>
                <w:rFonts w:ascii="Calibri" w:hAnsi="Calibri" w:cs="Calibri"/>
                <w:sz w:val="18"/>
              </w:rPr>
              <w:t>Postal address</w:t>
            </w:r>
          </w:p>
        </w:tc>
        <w:tc>
          <w:tcPr>
            <w:tcW w:w="2675" w:type="dxa"/>
            <w:tcBorders>
              <w:bottom w:val="single" w:sz="4" w:space="0" w:color="FFFFFF" w:themeColor="background1"/>
            </w:tcBorders>
            <w:shd w:val="clear" w:color="auto" w:fill="AF272F" w:themeFill="accent4"/>
          </w:tcPr>
          <w:p w14:paraId="6EB65471" w14:textId="77777777" w:rsidR="00FE3C40" w:rsidRPr="005734B8" w:rsidRDefault="00FE3C40" w:rsidP="00C742B0">
            <w:pPr>
              <w:pStyle w:val="ESTableheadingwhite"/>
              <w:rPr>
                <w:rFonts w:ascii="Calibri" w:hAnsi="Calibri" w:cs="Calibri"/>
                <w:sz w:val="18"/>
              </w:rPr>
            </w:pPr>
            <w:r w:rsidRPr="005734B8">
              <w:rPr>
                <w:rFonts w:ascii="Calibri" w:hAnsi="Calibri" w:cs="Calibri"/>
                <w:sz w:val="18"/>
              </w:rPr>
              <w:t>Email</w:t>
            </w:r>
          </w:p>
        </w:tc>
        <w:tc>
          <w:tcPr>
            <w:tcW w:w="1689" w:type="dxa"/>
            <w:tcBorders>
              <w:bottom w:val="single" w:sz="4" w:space="0" w:color="FFFFFF" w:themeColor="background1"/>
            </w:tcBorders>
            <w:shd w:val="clear" w:color="auto" w:fill="AF272F" w:themeFill="accent4"/>
          </w:tcPr>
          <w:p w14:paraId="63D2611E" w14:textId="77777777" w:rsidR="00FE3C40" w:rsidRPr="005734B8" w:rsidRDefault="00FE3C40" w:rsidP="00C742B0">
            <w:pPr>
              <w:pStyle w:val="ESTableheadingwhite"/>
              <w:jc w:val="right"/>
              <w:rPr>
                <w:rFonts w:ascii="Calibri" w:hAnsi="Calibri" w:cs="Calibri"/>
                <w:sz w:val="18"/>
              </w:rPr>
            </w:pPr>
            <w:r w:rsidRPr="005734B8">
              <w:rPr>
                <w:rFonts w:ascii="Calibri" w:hAnsi="Calibri" w:cs="Calibri"/>
                <w:sz w:val="18"/>
              </w:rPr>
              <w:t>Telephone</w:t>
            </w:r>
          </w:p>
        </w:tc>
      </w:tr>
      <w:tr w:rsidR="00FE3C40" w:rsidRPr="005734B8" w14:paraId="0B87F981" w14:textId="77777777" w:rsidTr="0067707E">
        <w:trPr>
          <w:cantSplit/>
        </w:trPr>
        <w:tc>
          <w:tcPr>
            <w:tcW w:w="1555" w:type="dxa"/>
            <w:tcBorders>
              <w:top w:val="single" w:sz="4" w:space="0" w:color="FFFFFF" w:themeColor="background1"/>
              <w:bottom w:val="single" w:sz="4" w:space="0" w:color="53565A" w:themeColor="accent5"/>
            </w:tcBorders>
            <w:shd w:val="clear" w:color="auto" w:fill="auto"/>
          </w:tcPr>
          <w:p w14:paraId="1919CE3E" w14:textId="77777777" w:rsidR="00FE3C40" w:rsidRPr="005734B8" w:rsidRDefault="00FE3C40" w:rsidP="00C742B0">
            <w:pPr>
              <w:pStyle w:val="ESTablebody"/>
              <w:rPr>
                <w:rFonts w:ascii="Calibri" w:hAnsi="Calibri" w:cs="Calibri"/>
                <w:sz w:val="18"/>
              </w:rPr>
            </w:pPr>
            <w:r w:rsidRPr="005734B8">
              <w:rPr>
                <w:rFonts w:ascii="Calibri" w:hAnsi="Calibri" w:cs="Calibri"/>
                <w:sz w:val="18"/>
                <w:lang w:val="en-AU"/>
              </w:rPr>
              <w:t>Department of Education and Training</w:t>
            </w:r>
          </w:p>
        </w:tc>
        <w:tc>
          <w:tcPr>
            <w:tcW w:w="2002" w:type="dxa"/>
            <w:tcBorders>
              <w:top w:val="single" w:sz="4" w:space="0" w:color="FFFFFF" w:themeColor="background1"/>
              <w:bottom w:val="single" w:sz="4" w:space="0" w:color="53565A" w:themeColor="accent5"/>
            </w:tcBorders>
          </w:tcPr>
          <w:p w14:paraId="0E09DCB2" w14:textId="77777777" w:rsidR="00FE3C40" w:rsidRPr="005734B8" w:rsidRDefault="00FE3C40" w:rsidP="00AD0960">
            <w:pPr>
              <w:pStyle w:val="ESTablebody"/>
              <w:rPr>
                <w:rFonts w:ascii="Calibri" w:hAnsi="Calibri" w:cs="Calibri"/>
                <w:sz w:val="18"/>
                <w:lang w:val="en-AU"/>
              </w:rPr>
            </w:pPr>
            <w:r w:rsidRPr="005734B8">
              <w:rPr>
                <w:rFonts w:ascii="Calibri" w:hAnsi="Calibri" w:cs="Calibri"/>
                <w:sz w:val="18"/>
                <w:lang w:val="en-AU"/>
              </w:rPr>
              <w:t>Manager, Freedom of Information</w:t>
            </w:r>
            <w:r w:rsidRPr="005734B8">
              <w:rPr>
                <w:rFonts w:ascii="Calibri" w:hAnsi="Calibri" w:cs="Calibri"/>
                <w:sz w:val="18"/>
                <w:lang w:val="en-AU"/>
              </w:rPr>
              <w:br/>
              <w:t>Department of Education and Training</w:t>
            </w:r>
            <w:r w:rsidRPr="005734B8">
              <w:rPr>
                <w:rFonts w:ascii="Calibri" w:hAnsi="Calibri" w:cs="Calibri"/>
                <w:sz w:val="18"/>
                <w:lang w:val="en-AU"/>
              </w:rPr>
              <w:br/>
              <w:t>GPO Box 4367</w:t>
            </w:r>
            <w:r w:rsidRPr="005734B8">
              <w:rPr>
                <w:rFonts w:ascii="Calibri" w:hAnsi="Calibri" w:cs="Calibri"/>
                <w:sz w:val="18"/>
                <w:lang w:val="en-AU"/>
              </w:rPr>
              <w:br/>
              <w:t>Melbourne 3001</w:t>
            </w:r>
          </w:p>
        </w:tc>
        <w:tc>
          <w:tcPr>
            <w:tcW w:w="2675" w:type="dxa"/>
            <w:tcBorders>
              <w:top w:val="single" w:sz="4" w:space="0" w:color="FFFFFF" w:themeColor="background1"/>
              <w:bottom w:val="single" w:sz="4" w:space="0" w:color="53565A" w:themeColor="accent5"/>
            </w:tcBorders>
          </w:tcPr>
          <w:p w14:paraId="2B6446AC" w14:textId="77777777" w:rsidR="00FE3C40" w:rsidRPr="005734B8" w:rsidRDefault="006C463E" w:rsidP="00C742B0">
            <w:pPr>
              <w:pStyle w:val="ESTableBody0"/>
              <w:spacing w:before="120" w:after="120"/>
              <w:rPr>
                <w:rFonts w:ascii="Calibri" w:hAnsi="Calibri" w:cs="Calibri"/>
                <w:color w:val="AF272F"/>
                <w:szCs w:val="16"/>
                <w:u w:val="single"/>
                <w:lang w:val="en-AU"/>
              </w:rPr>
            </w:pPr>
            <w:hyperlink r:id="rId40" w:history="1">
              <w:r w:rsidR="00FE3C40" w:rsidRPr="005734B8">
                <w:rPr>
                  <w:rFonts w:ascii="Calibri" w:hAnsi="Calibri" w:cs="Calibri"/>
                  <w:color w:val="AF272F"/>
                  <w:szCs w:val="16"/>
                  <w:u w:val="single"/>
                  <w:lang w:val="en-AU"/>
                </w:rPr>
                <w:t>foi@education.vic.gov.au</w:t>
              </w:r>
            </w:hyperlink>
          </w:p>
          <w:p w14:paraId="40F7FC31" w14:textId="77777777" w:rsidR="00FE3C40" w:rsidRPr="005734B8" w:rsidRDefault="00FE3C40" w:rsidP="00C742B0">
            <w:pPr>
              <w:pStyle w:val="ESTablebody"/>
              <w:jc w:val="right"/>
              <w:rPr>
                <w:rFonts w:ascii="Calibri" w:hAnsi="Calibri" w:cs="Calibri"/>
                <w:color w:val="AF272F"/>
                <w:sz w:val="16"/>
                <w:szCs w:val="16"/>
                <w:u w:val="single"/>
                <w:lang w:val="en-AU"/>
              </w:rPr>
            </w:pPr>
          </w:p>
        </w:tc>
        <w:tc>
          <w:tcPr>
            <w:tcW w:w="1689" w:type="dxa"/>
            <w:tcBorders>
              <w:top w:val="single" w:sz="4" w:space="0" w:color="FFFFFF" w:themeColor="background1"/>
              <w:bottom w:val="single" w:sz="4" w:space="0" w:color="53565A" w:themeColor="accent5"/>
            </w:tcBorders>
            <w:shd w:val="clear" w:color="auto" w:fill="auto"/>
          </w:tcPr>
          <w:p w14:paraId="0492B720" w14:textId="77777777" w:rsidR="00FE3C40" w:rsidRPr="005734B8" w:rsidRDefault="00FE3C40" w:rsidP="00C742B0">
            <w:pPr>
              <w:pStyle w:val="ESTablebody"/>
              <w:jc w:val="right"/>
              <w:rPr>
                <w:rFonts w:ascii="Calibri" w:hAnsi="Calibri" w:cs="Calibri"/>
                <w:sz w:val="18"/>
                <w:lang w:val="en-AU"/>
              </w:rPr>
            </w:pPr>
            <w:r w:rsidRPr="005734B8">
              <w:rPr>
                <w:rFonts w:ascii="Calibri" w:hAnsi="Calibri" w:cs="Calibri"/>
                <w:sz w:val="18"/>
                <w:lang w:val="en-AU"/>
              </w:rPr>
              <w:t>(03) 7022 0856</w:t>
            </w:r>
          </w:p>
        </w:tc>
      </w:tr>
      <w:tr w:rsidR="00FE3C40" w:rsidRPr="005734B8" w14:paraId="2AB577BA" w14:textId="77777777" w:rsidTr="00AD0960">
        <w:trPr>
          <w:cantSplit/>
        </w:trPr>
        <w:tc>
          <w:tcPr>
            <w:tcW w:w="1555" w:type="dxa"/>
            <w:tcBorders>
              <w:top w:val="single" w:sz="4" w:space="0" w:color="53565A" w:themeColor="accent5"/>
              <w:bottom w:val="single" w:sz="4" w:space="0" w:color="53565A" w:themeColor="accent5"/>
            </w:tcBorders>
            <w:shd w:val="clear" w:color="auto" w:fill="auto"/>
          </w:tcPr>
          <w:p w14:paraId="7A7B8A26" w14:textId="77777777" w:rsidR="00FE3C40" w:rsidRPr="005734B8" w:rsidRDefault="00FE3C40" w:rsidP="00AD0960">
            <w:pPr>
              <w:pStyle w:val="ESTablebody"/>
              <w:rPr>
                <w:rFonts w:ascii="Calibri" w:hAnsi="Calibri" w:cs="Calibri"/>
                <w:sz w:val="18"/>
                <w:lang w:val="en-AU"/>
              </w:rPr>
            </w:pPr>
            <w:r w:rsidRPr="005734B8">
              <w:rPr>
                <w:rFonts w:ascii="Calibri" w:hAnsi="Calibri" w:cs="Calibri"/>
                <w:sz w:val="18"/>
                <w:lang w:val="en-AU"/>
              </w:rPr>
              <w:t>Victorian Curriculum and Assessment Authority</w:t>
            </w:r>
          </w:p>
        </w:tc>
        <w:tc>
          <w:tcPr>
            <w:tcW w:w="2002" w:type="dxa"/>
            <w:tcBorders>
              <w:top w:val="single" w:sz="4" w:space="0" w:color="53565A" w:themeColor="accent5"/>
              <w:bottom w:val="single" w:sz="4" w:space="0" w:color="53565A" w:themeColor="accent5"/>
            </w:tcBorders>
          </w:tcPr>
          <w:p w14:paraId="706FCE29" w14:textId="77777777" w:rsidR="00FE3C40" w:rsidRPr="005734B8" w:rsidRDefault="00FE3C40" w:rsidP="00AD0960">
            <w:pPr>
              <w:pStyle w:val="ESTablebody"/>
              <w:rPr>
                <w:rFonts w:ascii="Calibri" w:hAnsi="Calibri" w:cs="Calibri"/>
                <w:sz w:val="18"/>
                <w:lang w:val="en-AU"/>
              </w:rPr>
            </w:pPr>
            <w:r w:rsidRPr="005734B8">
              <w:rPr>
                <w:rFonts w:ascii="Calibri" w:hAnsi="Calibri" w:cs="Calibri"/>
                <w:sz w:val="18"/>
                <w:lang w:val="en-AU"/>
              </w:rPr>
              <w:t>Level 7</w:t>
            </w:r>
            <w:r w:rsidRPr="005734B8">
              <w:rPr>
                <w:rFonts w:ascii="Calibri" w:hAnsi="Calibri" w:cs="Calibri"/>
                <w:sz w:val="18"/>
                <w:lang w:val="en-AU"/>
              </w:rPr>
              <w:br/>
              <w:t>2 Lonsdale Street</w:t>
            </w:r>
            <w:r w:rsidRPr="005734B8">
              <w:rPr>
                <w:rFonts w:ascii="Calibri" w:hAnsi="Calibri" w:cs="Calibri"/>
                <w:sz w:val="18"/>
                <w:lang w:val="en-AU"/>
              </w:rPr>
              <w:br/>
              <w:t>Melbourne 3000</w:t>
            </w:r>
          </w:p>
        </w:tc>
        <w:tc>
          <w:tcPr>
            <w:tcW w:w="2675" w:type="dxa"/>
            <w:tcBorders>
              <w:top w:val="single" w:sz="4" w:space="0" w:color="53565A" w:themeColor="accent5"/>
              <w:bottom w:val="single" w:sz="4" w:space="0" w:color="53565A" w:themeColor="accent5"/>
            </w:tcBorders>
          </w:tcPr>
          <w:p w14:paraId="0C44EC90" w14:textId="77777777" w:rsidR="00FE3C40" w:rsidRPr="005734B8" w:rsidRDefault="006C463E" w:rsidP="002C68F5">
            <w:pPr>
              <w:pStyle w:val="ESTableBody0"/>
              <w:spacing w:before="120" w:after="120"/>
              <w:rPr>
                <w:rFonts w:ascii="Calibri" w:hAnsi="Calibri" w:cs="Calibri"/>
                <w:color w:val="AF272F"/>
                <w:szCs w:val="16"/>
                <w:u w:val="single"/>
                <w:lang w:val="en-AU"/>
              </w:rPr>
            </w:pPr>
            <w:hyperlink r:id="rId41" w:history="1">
              <w:r w:rsidR="00FE3C40" w:rsidRPr="005734B8">
                <w:rPr>
                  <w:rFonts w:ascii="Calibri" w:hAnsi="Calibri" w:cs="Calibri"/>
                  <w:color w:val="AF272F"/>
                  <w:szCs w:val="16"/>
                  <w:u w:val="single"/>
                  <w:lang w:val="en-AU"/>
                </w:rPr>
                <w:t>vcaa.foi@education.vic.gov.au</w:t>
              </w:r>
            </w:hyperlink>
          </w:p>
          <w:p w14:paraId="4B3418EB" w14:textId="77777777" w:rsidR="00FE3C40" w:rsidRPr="005734B8" w:rsidRDefault="00FE3C40" w:rsidP="002C68F5">
            <w:pPr>
              <w:pStyle w:val="ESTablebody"/>
              <w:jc w:val="right"/>
              <w:rPr>
                <w:rFonts w:ascii="Calibri" w:hAnsi="Calibri" w:cs="Calibri"/>
                <w:color w:val="AF272F"/>
                <w:sz w:val="16"/>
                <w:szCs w:val="16"/>
                <w:u w:val="single"/>
                <w:lang w:val="en-AU"/>
              </w:rPr>
            </w:pPr>
          </w:p>
        </w:tc>
        <w:tc>
          <w:tcPr>
            <w:tcW w:w="1689" w:type="dxa"/>
            <w:tcBorders>
              <w:top w:val="single" w:sz="4" w:space="0" w:color="53565A" w:themeColor="accent5"/>
              <w:bottom w:val="single" w:sz="4" w:space="0" w:color="53565A" w:themeColor="accent5"/>
            </w:tcBorders>
            <w:shd w:val="clear" w:color="auto" w:fill="auto"/>
          </w:tcPr>
          <w:p w14:paraId="28ACC996" w14:textId="77777777" w:rsidR="00FE3C40" w:rsidRPr="005734B8" w:rsidRDefault="00FE3C40" w:rsidP="00AD0960">
            <w:pPr>
              <w:pStyle w:val="ESTablebody"/>
              <w:jc w:val="right"/>
              <w:rPr>
                <w:rFonts w:ascii="Calibri" w:hAnsi="Calibri" w:cs="Calibri"/>
                <w:sz w:val="18"/>
                <w:lang w:val="en-AU"/>
              </w:rPr>
            </w:pPr>
            <w:r w:rsidRPr="005734B8">
              <w:rPr>
                <w:rFonts w:ascii="Calibri" w:hAnsi="Calibri" w:cs="Calibri"/>
                <w:sz w:val="18"/>
                <w:lang w:val="en-AU"/>
              </w:rPr>
              <w:t>(03) 9032 1700</w:t>
            </w:r>
          </w:p>
          <w:p w14:paraId="07BE4DA5" w14:textId="77777777" w:rsidR="00FE3C40" w:rsidRPr="005734B8" w:rsidRDefault="00FE3C40" w:rsidP="00AD0960">
            <w:pPr>
              <w:pStyle w:val="ESTablebody"/>
              <w:jc w:val="right"/>
              <w:rPr>
                <w:rFonts w:ascii="Calibri" w:hAnsi="Calibri" w:cs="Calibri"/>
                <w:sz w:val="18"/>
                <w:lang w:val="en-AU"/>
              </w:rPr>
            </w:pPr>
          </w:p>
        </w:tc>
      </w:tr>
      <w:tr w:rsidR="00FE3C40" w:rsidRPr="005734B8" w14:paraId="44115C60" w14:textId="77777777" w:rsidTr="00AD0960">
        <w:trPr>
          <w:cantSplit/>
        </w:trPr>
        <w:tc>
          <w:tcPr>
            <w:tcW w:w="1555" w:type="dxa"/>
            <w:tcBorders>
              <w:top w:val="single" w:sz="4" w:space="0" w:color="53565A" w:themeColor="accent5"/>
              <w:bottom w:val="single" w:sz="4" w:space="0" w:color="53565A" w:themeColor="accent5"/>
            </w:tcBorders>
            <w:shd w:val="clear" w:color="auto" w:fill="auto"/>
          </w:tcPr>
          <w:p w14:paraId="0EBEEAAC" w14:textId="77777777" w:rsidR="00FE3C40" w:rsidRPr="005734B8" w:rsidRDefault="00FE3C40" w:rsidP="00AD0960">
            <w:pPr>
              <w:pStyle w:val="ESTablebody"/>
              <w:rPr>
                <w:rFonts w:ascii="Calibri" w:hAnsi="Calibri" w:cs="Calibri"/>
                <w:sz w:val="18"/>
                <w:lang w:val="en-AU"/>
              </w:rPr>
            </w:pPr>
            <w:r w:rsidRPr="005734B8">
              <w:rPr>
                <w:rFonts w:ascii="Calibri" w:hAnsi="Calibri" w:cs="Calibri"/>
                <w:sz w:val="18"/>
                <w:lang w:val="en-AU"/>
              </w:rPr>
              <w:t>Victorian Registration and Qualifications Authority</w:t>
            </w:r>
          </w:p>
        </w:tc>
        <w:tc>
          <w:tcPr>
            <w:tcW w:w="2002" w:type="dxa"/>
            <w:tcBorders>
              <w:top w:val="single" w:sz="4" w:space="0" w:color="53565A" w:themeColor="accent5"/>
              <w:bottom w:val="single" w:sz="4" w:space="0" w:color="53565A" w:themeColor="accent5"/>
            </w:tcBorders>
          </w:tcPr>
          <w:p w14:paraId="4D3D82A1" w14:textId="77777777" w:rsidR="00FE3C40" w:rsidRPr="005734B8" w:rsidRDefault="00FE3C40" w:rsidP="00AD0960">
            <w:pPr>
              <w:pStyle w:val="ESTablebody"/>
              <w:rPr>
                <w:rFonts w:ascii="Calibri" w:hAnsi="Calibri" w:cs="Calibri"/>
                <w:sz w:val="18"/>
                <w:lang w:val="en-AU"/>
              </w:rPr>
            </w:pPr>
            <w:r w:rsidRPr="005734B8">
              <w:rPr>
                <w:rFonts w:ascii="Calibri" w:hAnsi="Calibri" w:cs="Calibri"/>
                <w:sz w:val="18"/>
                <w:lang w:val="en-AU"/>
              </w:rPr>
              <w:t xml:space="preserve">Level 4 </w:t>
            </w:r>
            <w:r w:rsidRPr="005734B8">
              <w:rPr>
                <w:rFonts w:ascii="Calibri" w:hAnsi="Calibri" w:cs="Calibri"/>
                <w:sz w:val="18"/>
                <w:lang w:val="en-AU"/>
              </w:rPr>
              <w:br/>
              <w:t>2 Lonsdale Street</w:t>
            </w:r>
            <w:r w:rsidRPr="005734B8">
              <w:rPr>
                <w:rFonts w:ascii="Calibri" w:hAnsi="Calibri" w:cs="Calibri"/>
                <w:sz w:val="18"/>
                <w:lang w:val="en-AU"/>
              </w:rPr>
              <w:br/>
              <w:t>Melbourne 3000</w:t>
            </w:r>
          </w:p>
        </w:tc>
        <w:tc>
          <w:tcPr>
            <w:tcW w:w="2675" w:type="dxa"/>
            <w:tcBorders>
              <w:top w:val="single" w:sz="4" w:space="0" w:color="53565A" w:themeColor="accent5"/>
              <w:bottom w:val="single" w:sz="4" w:space="0" w:color="53565A" w:themeColor="accent5"/>
            </w:tcBorders>
          </w:tcPr>
          <w:p w14:paraId="4BC93287" w14:textId="77777777" w:rsidR="00FE3C40" w:rsidRPr="005734B8" w:rsidRDefault="006C463E" w:rsidP="002C68F5">
            <w:pPr>
              <w:pStyle w:val="ESTableBody0"/>
              <w:spacing w:before="120" w:after="120"/>
              <w:rPr>
                <w:rFonts w:ascii="Calibri" w:hAnsi="Calibri" w:cs="Calibri"/>
                <w:color w:val="AF272F"/>
                <w:szCs w:val="16"/>
                <w:u w:val="single"/>
                <w:lang w:val="en-AU"/>
              </w:rPr>
            </w:pPr>
            <w:hyperlink r:id="rId42" w:history="1">
              <w:r w:rsidR="00FE3C40" w:rsidRPr="005734B8">
                <w:rPr>
                  <w:rFonts w:ascii="Calibri" w:hAnsi="Calibri" w:cs="Calibri"/>
                  <w:color w:val="AF272F"/>
                  <w:szCs w:val="16"/>
                  <w:u w:val="single"/>
                  <w:lang w:val="en-AU"/>
                </w:rPr>
                <w:t>vrqa@education.vic.gov.au</w:t>
              </w:r>
            </w:hyperlink>
          </w:p>
          <w:p w14:paraId="00A44F4C" w14:textId="77777777" w:rsidR="00FE3C40" w:rsidRPr="005734B8" w:rsidRDefault="00FE3C40" w:rsidP="002C68F5">
            <w:pPr>
              <w:pStyle w:val="ESTablebody"/>
              <w:jc w:val="right"/>
              <w:rPr>
                <w:rFonts w:ascii="Calibri" w:hAnsi="Calibri" w:cs="Calibri"/>
                <w:color w:val="AF272F"/>
                <w:sz w:val="16"/>
                <w:szCs w:val="16"/>
                <w:u w:val="single"/>
                <w:lang w:val="en-AU"/>
              </w:rPr>
            </w:pPr>
          </w:p>
        </w:tc>
        <w:tc>
          <w:tcPr>
            <w:tcW w:w="1689" w:type="dxa"/>
            <w:tcBorders>
              <w:top w:val="single" w:sz="4" w:space="0" w:color="53565A" w:themeColor="accent5"/>
              <w:bottom w:val="single" w:sz="4" w:space="0" w:color="53565A" w:themeColor="accent5"/>
            </w:tcBorders>
            <w:shd w:val="clear" w:color="auto" w:fill="auto"/>
          </w:tcPr>
          <w:p w14:paraId="3A82B974" w14:textId="77777777" w:rsidR="00FE3C40" w:rsidRPr="005734B8" w:rsidRDefault="00FE3C40" w:rsidP="00AD0960">
            <w:pPr>
              <w:pStyle w:val="ESTablebody"/>
              <w:jc w:val="right"/>
              <w:rPr>
                <w:rFonts w:ascii="Calibri" w:hAnsi="Calibri" w:cs="Calibri"/>
                <w:sz w:val="18"/>
                <w:lang w:val="en-AU"/>
              </w:rPr>
            </w:pPr>
            <w:r w:rsidRPr="005734B8">
              <w:rPr>
                <w:rFonts w:ascii="Calibri" w:hAnsi="Calibri" w:cs="Calibri"/>
                <w:sz w:val="18"/>
                <w:lang w:val="en-AU"/>
              </w:rPr>
              <w:t>(03) 9032 1554</w:t>
            </w:r>
          </w:p>
        </w:tc>
      </w:tr>
      <w:tr w:rsidR="00FE3C40" w:rsidRPr="005734B8" w14:paraId="418D92F8" w14:textId="77777777" w:rsidTr="00AD0960">
        <w:trPr>
          <w:cantSplit/>
        </w:trPr>
        <w:tc>
          <w:tcPr>
            <w:tcW w:w="1555" w:type="dxa"/>
            <w:tcBorders>
              <w:top w:val="single" w:sz="4" w:space="0" w:color="53565A" w:themeColor="accent5"/>
              <w:bottom w:val="single" w:sz="4" w:space="0" w:color="53565A" w:themeColor="accent5"/>
            </w:tcBorders>
            <w:shd w:val="clear" w:color="auto" w:fill="auto"/>
          </w:tcPr>
          <w:p w14:paraId="6911ADE2" w14:textId="77777777" w:rsidR="00FE3C40" w:rsidRPr="005734B8" w:rsidRDefault="00FE3C40" w:rsidP="00AD0960">
            <w:pPr>
              <w:pStyle w:val="ESTablebody"/>
              <w:rPr>
                <w:rFonts w:ascii="Calibri" w:hAnsi="Calibri" w:cs="Calibri"/>
                <w:sz w:val="18"/>
                <w:lang w:val="en-AU"/>
              </w:rPr>
            </w:pPr>
            <w:r w:rsidRPr="005734B8">
              <w:rPr>
                <w:rFonts w:ascii="Calibri" w:hAnsi="Calibri" w:cs="Calibri"/>
                <w:sz w:val="18"/>
                <w:lang w:val="en-AU"/>
              </w:rPr>
              <w:t>Merit Protection Boards</w:t>
            </w:r>
          </w:p>
        </w:tc>
        <w:tc>
          <w:tcPr>
            <w:tcW w:w="2002" w:type="dxa"/>
            <w:tcBorders>
              <w:top w:val="single" w:sz="4" w:space="0" w:color="53565A" w:themeColor="accent5"/>
              <w:bottom w:val="single" w:sz="4" w:space="0" w:color="53565A" w:themeColor="accent5"/>
            </w:tcBorders>
          </w:tcPr>
          <w:p w14:paraId="66489D3A" w14:textId="72913A36" w:rsidR="00FE3C40" w:rsidRPr="005734B8" w:rsidRDefault="00FE3C40" w:rsidP="00AD0960">
            <w:pPr>
              <w:pStyle w:val="ESTablebody"/>
              <w:rPr>
                <w:rFonts w:ascii="Calibri" w:hAnsi="Calibri" w:cs="Calibri"/>
                <w:sz w:val="18"/>
                <w:lang w:val="en-AU"/>
              </w:rPr>
            </w:pPr>
            <w:r w:rsidRPr="005734B8">
              <w:rPr>
                <w:rFonts w:ascii="Calibri" w:hAnsi="Calibri" w:cs="Calibri"/>
                <w:sz w:val="18"/>
                <w:lang w:val="en-AU"/>
              </w:rPr>
              <w:t>Level 4</w:t>
            </w:r>
            <w:r w:rsidR="00824B39" w:rsidRPr="005734B8">
              <w:rPr>
                <w:rFonts w:ascii="Calibri" w:hAnsi="Calibri" w:cs="Calibri"/>
                <w:sz w:val="18"/>
                <w:lang w:val="en-AU"/>
              </w:rPr>
              <w:br/>
            </w:r>
            <w:r w:rsidRPr="005734B8">
              <w:rPr>
                <w:rFonts w:ascii="Calibri" w:hAnsi="Calibri" w:cs="Calibri"/>
                <w:sz w:val="18"/>
                <w:lang w:val="en-AU"/>
              </w:rPr>
              <w:t>2 Lonsdale Street</w:t>
            </w:r>
            <w:r w:rsidRPr="005734B8">
              <w:rPr>
                <w:rFonts w:ascii="Calibri" w:hAnsi="Calibri" w:cs="Calibri"/>
                <w:sz w:val="18"/>
                <w:lang w:val="en-AU"/>
              </w:rPr>
              <w:br/>
              <w:t>Melbourne 3000</w:t>
            </w:r>
          </w:p>
        </w:tc>
        <w:tc>
          <w:tcPr>
            <w:tcW w:w="2675" w:type="dxa"/>
            <w:tcBorders>
              <w:top w:val="single" w:sz="4" w:space="0" w:color="53565A" w:themeColor="accent5"/>
              <w:bottom w:val="single" w:sz="4" w:space="0" w:color="53565A" w:themeColor="accent5"/>
            </w:tcBorders>
          </w:tcPr>
          <w:p w14:paraId="0AC4AA04" w14:textId="77777777" w:rsidR="00FE3C40" w:rsidRPr="005734B8" w:rsidRDefault="006C463E" w:rsidP="002C68F5">
            <w:pPr>
              <w:pStyle w:val="ESTableBody0"/>
              <w:spacing w:before="120" w:after="120"/>
              <w:rPr>
                <w:rFonts w:ascii="Calibri" w:hAnsi="Calibri" w:cs="Calibri"/>
                <w:color w:val="AF272F"/>
                <w:szCs w:val="16"/>
                <w:u w:val="single"/>
                <w:lang w:val="en-AU"/>
              </w:rPr>
            </w:pPr>
            <w:hyperlink r:id="rId43" w:history="1">
              <w:r w:rsidR="00FE3C40" w:rsidRPr="005734B8">
                <w:rPr>
                  <w:rFonts w:ascii="Calibri" w:hAnsi="Calibri" w:cs="Calibri"/>
                  <w:color w:val="AF272F"/>
                  <w:szCs w:val="16"/>
                  <w:u w:val="single"/>
                  <w:lang w:val="en-AU"/>
                </w:rPr>
                <w:t>meritboards@education.vic.gov.au</w:t>
              </w:r>
            </w:hyperlink>
          </w:p>
          <w:p w14:paraId="35BB1D2B" w14:textId="77777777" w:rsidR="00FE3C40" w:rsidRPr="005734B8" w:rsidRDefault="00FE3C40" w:rsidP="002C68F5">
            <w:pPr>
              <w:pStyle w:val="ESTablebody"/>
              <w:jc w:val="right"/>
              <w:rPr>
                <w:rFonts w:ascii="Calibri" w:hAnsi="Calibri" w:cs="Calibri"/>
                <w:color w:val="AF272F"/>
                <w:sz w:val="16"/>
                <w:szCs w:val="16"/>
                <w:u w:val="single"/>
                <w:lang w:val="en-AU"/>
              </w:rPr>
            </w:pPr>
          </w:p>
        </w:tc>
        <w:tc>
          <w:tcPr>
            <w:tcW w:w="1689" w:type="dxa"/>
            <w:tcBorders>
              <w:top w:val="single" w:sz="4" w:space="0" w:color="53565A" w:themeColor="accent5"/>
              <w:bottom w:val="single" w:sz="4" w:space="0" w:color="53565A" w:themeColor="accent5"/>
            </w:tcBorders>
            <w:shd w:val="clear" w:color="auto" w:fill="auto"/>
          </w:tcPr>
          <w:p w14:paraId="665AB98F" w14:textId="77777777" w:rsidR="00FE3C40" w:rsidRPr="005734B8" w:rsidRDefault="00FE3C40" w:rsidP="00AD0960">
            <w:pPr>
              <w:pStyle w:val="ESTablebody"/>
              <w:jc w:val="right"/>
              <w:rPr>
                <w:rFonts w:ascii="Calibri" w:hAnsi="Calibri" w:cs="Calibri"/>
                <w:sz w:val="18"/>
                <w:lang w:val="en-AU"/>
              </w:rPr>
            </w:pPr>
            <w:r w:rsidRPr="005734B8">
              <w:rPr>
                <w:rFonts w:ascii="Calibri" w:hAnsi="Calibri" w:cs="Calibri"/>
                <w:sz w:val="18"/>
                <w:lang w:val="en-AU"/>
              </w:rPr>
              <w:t>(03) 7022 0040</w:t>
            </w:r>
          </w:p>
        </w:tc>
      </w:tr>
      <w:tr w:rsidR="00FE3C40" w:rsidRPr="005734B8" w14:paraId="2844D5E5" w14:textId="77777777" w:rsidTr="00AD0960">
        <w:trPr>
          <w:cantSplit/>
        </w:trPr>
        <w:tc>
          <w:tcPr>
            <w:tcW w:w="1555" w:type="dxa"/>
            <w:tcBorders>
              <w:top w:val="single" w:sz="4" w:space="0" w:color="53565A" w:themeColor="accent5"/>
              <w:bottom w:val="single" w:sz="4" w:space="0" w:color="53565A" w:themeColor="accent5"/>
            </w:tcBorders>
            <w:shd w:val="clear" w:color="auto" w:fill="auto"/>
          </w:tcPr>
          <w:p w14:paraId="6F4BFCC6" w14:textId="77777777" w:rsidR="00FE3C40" w:rsidRPr="005734B8" w:rsidRDefault="00FE3C40" w:rsidP="00AD0960">
            <w:pPr>
              <w:pStyle w:val="ESTablebody"/>
              <w:rPr>
                <w:rFonts w:ascii="Calibri" w:hAnsi="Calibri" w:cs="Calibri"/>
                <w:sz w:val="18"/>
                <w:lang w:val="en-AU"/>
              </w:rPr>
            </w:pPr>
            <w:r w:rsidRPr="005734B8">
              <w:rPr>
                <w:rFonts w:ascii="Calibri" w:hAnsi="Calibri" w:cs="Calibri"/>
                <w:sz w:val="18"/>
                <w:lang w:val="en-AU"/>
              </w:rPr>
              <w:lastRenderedPageBreak/>
              <w:t>Victorian Institute of Teaching</w:t>
            </w:r>
          </w:p>
        </w:tc>
        <w:tc>
          <w:tcPr>
            <w:tcW w:w="2002" w:type="dxa"/>
            <w:tcBorders>
              <w:top w:val="single" w:sz="4" w:space="0" w:color="53565A" w:themeColor="accent5"/>
              <w:bottom w:val="single" w:sz="4" w:space="0" w:color="53565A" w:themeColor="accent5"/>
            </w:tcBorders>
          </w:tcPr>
          <w:p w14:paraId="4C908D54" w14:textId="77777777" w:rsidR="00AD0960" w:rsidRPr="005734B8" w:rsidRDefault="00FE3C40" w:rsidP="00AD0960">
            <w:pPr>
              <w:pStyle w:val="ESTablebody"/>
              <w:spacing w:after="0"/>
              <w:rPr>
                <w:rFonts w:ascii="Calibri" w:hAnsi="Calibri" w:cs="Calibri"/>
                <w:sz w:val="18"/>
                <w:lang w:val="en-AU"/>
              </w:rPr>
            </w:pPr>
            <w:r w:rsidRPr="005734B8">
              <w:rPr>
                <w:rFonts w:ascii="Calibri" w:hAnsi="Calibri" w:cs="Calibri"/>
                <w:sz w:val="18"/>
                <w:lang w:val="en-AU"/>
              </w:rPr>
              <w:t>Level 9</w:t>
            </w:r>
          </w:p>
          <w:p w14:paraId="512D191C" w14:textId="7B963588" w:rsidR="00FE3C40" w:rsidRPr="005734B8" w:rsidRDefault="00FE3C40" w:rsidP="00AD0960">
            <w:pPr>
              <w:pStyle w:val="ESTablebody"/>
              <w:rPr>
                <w:rFonts w:ascii="Calibri" w:hAnsi="Calibri" w:cs="Calibri"/>
                <w:sz w:val="18"/>
                <w:lang w:val="en-AU"/>
              </w:rPr>
            </w:pPr>
            <w:r w:rsidRPr="005734B8">
              <w:rPr>
                <w:rFonts w:ascii="Calibri" w:hAnsi="Calibri" w:cs="Calibri"/>
                <w:sz w:val="18"/>
                <w:lang w:val="en-AU"/>
              </w:rPr>
              <w:t>628 Bourke Street</w:t>
            </w:r>
            <w:r w:rsidRPr="005734B8">
              <w:rPr>
                <w:rFonts w:ascii="Calibri" w:hAnsi="Calibri" w:cs="Calibri"/>
                <w:sz w:val="18"/>
                <w:lang w:val="en-AU"/>
              </w:rPr>
              <w:br/>
              <w:t>Melbourne 3000</w:t>
            </w:r>
          </w:p>
        </w:tc>
        <w:tc>
          <w:tcPr>
            <w:tcW w:w="2675" w:type="dxa"/>
            <w:tcBorders>
              <w:top w:val="single" w:sz="4" w:space="0" w:color="53565A" w:themeColor="accent5"/>
              <w:bottom w:val="single" w:sz="4" w:space="0" w:color="53565A" w:themeColor="accent5"/>
            </w:tcBorders>
          </w:tcPr>
          <w:p w14:paraId="4A2937A4" w14:textId="77777777" w:rsidR="00FE3C40" w:rsidRPr="005734B8" w:rsidRDefault="006C463E" w:rsidP="002C68F5">
            <w:pPr>
              <w:pStyle w:val="ESTableBody0"/>
              <w:spacing w:before="120" w:after="120"/>
              <w:rPr>
                <w:rFonts w:ascii="Calibri" w:hAnsi="Calibri" w:cs="Calibri"/>
                <w:color w:val="AF272F"/>
                <w:szCs w:val="16"/>
                <w:u w:val="single"/>
                <w:lang w:val="en-AU"/>
              </w:rPr>
            </w:pPr>
            <w:hyperlink r:id="rId44" w:history="1">
              <w:r w:rsidR="00FE3C40" w:rsidRPr="005734B8">
                <w:rPr>
                  <w:rFonts w:ascii="Calibri" w:hAnsi="Calibri" w:cs="Calibri"/>
                  <w:color w:val="AF272F"/>
                  <w:szCs w:val="16"/>
                  <w:u w:val="single"/>
                  <w:lang w:val="en-AU"/>
                </w:rPr>
                <w:t>vit@vit.vic.edu.au</w:t>
              </w:r>
            </w:hyperlink>
          </w:p>
          <w:p w14:paraId="2A485AB5" w14:textId="77777777" w:rsidR="00FE3C40" w:rsidRPr="005734B8" w:rsidRDefault="00FE3C40" w:rsidP="002C68F5">
            <w:pPr>
              <w:pStyle w:val="ESTablebody"/>
              <w:jc w:val="right"/>
              <w:rPr>
                <w:rFonts w:ascii="Calibri" w:hAnsi="Calibri" w:cs="Calibri"/>
                <w:color w:val="AF272F"/>
                <w:sz w:val="16"/>
                <w:szCs w:val="16"/>
                <w:u w:val="single"/>
                <w:lang w:val="en-AU"/>
              </w:rPr>
            </w:pPr>
          </w:p>
        </w:tc>
        <w:tc>
          <w:tcPr>
            <w:tcW w:w="1689" w:type="dxa"/>
            <w:tcBorders>
              <w:top w:val="single" w:sz="4" w:space="0" w:color="53565A" w:themeColor="accent5"/>
              <w:bottom w:val="single" w:sz="4" w:space="0" w:color="53565A" w:themeColor="accent5"/>
            </w:tcBorders>
            <w:shd w:val="clear" w:color="auto" w:fill="auto"/>
          </w:tcPr>
          <w:p w14:paraId="34CC9A36" w14:textId="77777777" w:rsidR="00FE3C40" w:rsidRPr="005734B8" w:rsidRDefault="00FE3C40" w:rsidP="00AD0960">
            <w:pPr>
              <w:pStyle w:val="ESTablebody"/>
              <w:jc w:val="right"/>
              <w:rPr>
                <w:rFonts w:ascii="Calibri" w:hAnsi="Calibri" w:cs="Calibri"/>
                <w:sz w:val="18"/>
                <w:lang w:val="en-AU"/>
              </w:rPr>
            </w:pPr>
            <w:r w:rsidRPr="005734B8">
              <w:rPr>
                <w:rFonts w:ascii="Calibri" w:hAnsi="Calibri" w:cs="Calibri"/>
                <w:sz w:val="18"/>
                <w:lang w:val="en-AU"/>
              </w:rPr>
              <w:t>(03) 8601 6100</w:t>
            </w:r>
          </w:p>
        </w:tc>
      </w:tr>
      <w:tr w:rsidR="00FE3C40" w:rsidRPr="005734B8" w14:paraId="757972B6" w14:textId="77777777" w:rsidTr="00AD0960">
        <w:trPr>
          <w:cantSplit/>
        </w:trPr>
        <w:tc>
          <w:tcPr>
            <w:tcW w:w="1555" w:type="dxa"/>
            <w:tcBorders>
              <w:top w:val="single" w:sz="4" w:space="0" w:color="53565A" w:themeColor="accent5"/>
              <w:bottom w:val="single" w:sz="4" w:space="0" w:color="53565A" w:themeColor="accent5"/>
            </w:tcBorders>
            <w:shd w:val="clear" w:color="auto" w:fill="auto"/>
          </w:tcPr>
          <w:p w14:paraId="73CE8895" w14:textId="77777777" w:rsidR="00FE3C40" w:rsidRPr="005734B8" w:rsidRDefault="00FE3C40" w:rsidP="00C742B0">
            <w:pPr>
              <w:pStyle w:val="ESTablebody"/>
              <w:spacing w:before="0" w:after="0"/>
              <w:rPr>
                <w:rFonts w:ascii="Calibri" w:hAnsi="Calibri" w:cs="Calibri"/>
                <w:sz w:val="18"/>
              </w:rPr>
            </w:pPr>
            <w:r w:rsidRPr="005734B8">
              <w:rPr>
                <w:rFonts w:ascii="Calibri" w:hAnsi="Calibri" w:cs="Calibri"/>
                <w:sz w:val="18"/>
                <w:lang w:val="en-AU"/>
              </w:rPr>
              <w:t>Disciplinary Appeals Boards</w:t>
            </w:r>
          </w:p>
        </w:tc>
        <w:tc>
          <w:tcPr>
            <w:tcW w:w="2002" w:type="dxa"/>
            <w:tcBorders>
              <w:top w:val="single" w:sz="4" w:space="0" w:color="53565A" w:themeColor="accent5"/>
              <w:bottom w:val="single" w:sz="4" w:space="0" w:color="53565A" w:themeColor="accent5"/>
            </w:tcBorders>
          </w:tcPr>
          <w:p w14:paraId="555AA687" w14:textId="77777777" w:rsidR="00FE3C40" w:rsidRPr="005734B8" w:rsidRDefault="00FE3C40" w:rsidP="00AD0960">
            <w:pPr>
              <w:pStyle w:val="ESTablebody"/>
              <w:rPr>
                <w:rFonts w:ascii="Calibri" w:hAnsi="Calibri" w:cs="Calibri"/>
                <w:sz w:val="18"/>
                <w:lang w:val="en-AU"/>
              </w:rPr>
            </w:pPr>
            <w:r w:rsidRPr="005734B8">
              <w:rPr>
                <w:rFonts w:ascii="Calibri" w:hAnsi="Calibri" w:cs="Calibri"/>
                <w:sz w:val="18"/>
                <w:lang w:val="en-AU"/>
              </w:rPr>
              <w:t xml:space="preserve">Level 4 </w:t>
            </w:r>
            <w:r w:rsidRPr="005734B8">
              <w:rPr>
                <w:rFonts w:ascii="Calibri" w:hAnsi="Calibri" w:cs="Calibri"/>
                <w:sz w:val="18"/>
                <w:lang w:val="en-AU"/>
              </w:rPr>
              <w:br/>
              <w:t>2 Lonsdale Street</w:t>
            </w:r>
            <w:r w:rsidRPr="005734B8">
              <w:rPr>
                <w:rFonts w:ascii="Calibri" w:hAnsi="Calibri" w:cs="Calibri"/>
                <w:sz w:val="18"/>
                <w:lang w:val="en-AU"/>
              </w:rPr>
              <w:br/>
              <w:t>Melbourne 3000</w:t>
            </w:r>
          </w:p>
        </w:tc>
        <w:tc>
          <w:tcPr>
            <w:tcW w:w="2675" w:type="dxa"/>
            <w:tcBorders>
              <w:top w:val="single" w:sz="4" w:space="0" w:color="53565A" w:themeColor="accent5"/>
              <w:bottom w:val="single" w:sz="4" w:space="0" w:color="53565A" w:themeColor="accent5"/>
            </w:tcBorders>
          </w:tcPr>
          <w:p w14:paraId="11B36030" w14:textId="77777777" w:rsidR="00FE3C40" w:rsidRPr="005734B8" w:rsidRDefault="006C463E" w:rsidP="002C68F5">
            <w:pPr>
              <w:pStyle w:val="ESTableBody0"/>
              <w:spacing w:before="120" w:after="120"/>
              <w:rPr>
                <w:rFonts w:ascii="Calibri" w:hAnsi="Calibri" w:cs="Calibri"/>
                <w:color w:val="AF272F"/>
                <w:szCs w:val="16"/>
                <w:u w:val="single"/>
                <w:lang w:val="en-AU"/>
              </w:rPr>
            </w:pPr>
            <w:hyperlink r:id="rId45" w:history="1">
              <w:r w:rsidR="00FE3C40" w:rsidRPr="005734B8">
                <w:rPr>
                  <w:rFonts w:ascii="Calibri" w:hAnsi="Calibri" w:cs="Calibri"/>
                  <w:color w:val="AF272F"/>
                  <w:szCs w:val="16"/>
                  <w:u w:val="single"/>
                  <w:lang w:val="en-AU"/>
                </w:rPr>
                <w:t>dab@education.vic.gov.au</w:t>
              </w:r>
            </w:hyperlink>
          </w:p>
          <w:p w14:paraId="297DCE6E" w14:textId="77777777" w:rsidR="00FE3C40" w:rsidRPr="005734B8" w:rsidRDefault="00FE3C40" w:rsidP="002C68F5">
            <w:pPr>
              <w:pStyle w:val="ESTablebody"/>
              <w:jc w:val="right"/>
              <w:rPr>
                <w:rFonts w:ascii="Calibri" w:hAnsi="Calibri" w:cs="Calibri"/>
                <w:color w:val="AF272F"/>
                <w:sz w:val="16"/>
                <w:szCs w:val="16"/>
                <w:u w:val="single"/>
                <w:lang w:val="en-AU"/>
              </w:rPr>
            </w:pPr>
          </w:p>
        </w:tc>
        <w:tc>
          <w:tcPr>
            <w:tcW w:w="1689" w:type="dxa"/>
            <w:tcBorders>
              <w:top w:val="single" w:sz="4" w:space="0" w:color="53565A" w:themeColor="accent5"/>
              <w:bottom w:val="single" w:sz="4" w:space="0" w:color="53565A" w:themeColor="accent5"/>
            </w:tcBorders>
            <w:shd w:val="clear" w:color="auto" w:fill="auto"/>
          </w:tcPr>
          <w:p w14:paraId="5A652641" w14:textId="77777777" w:rsidR="00FE3C40" w:rsidRPr="005734B8" w:rsidRDefault="00FE3C40" w:rsidP="00AD0960">
            <w:pPr>
              <w:pStyle w:val="ESTablebody"/>
              <w:jc w:val="right"/>
              <w:rPr>
                <w:rFonts w:ascii="Calibri" w:hAnsi="Calibri" w:cs="Calibri"/>
                <w:sz w:val="18"/>
                <w:lang w:val="en-AU"/>
              </w:rPr>
            </w:pPr>
            <w:r w:rsidRPr="005734B8">
              <w:rPr>
                <w:rFonts w:ascii="Calibri" w:hAnsi="Calibri" w:cs="Calibri"/>
                <w:sz w:val="18"/>
                <w:lang w:val="en-AU"/>
              </w:rPr>
              <w:t>(03) 7022 0040</w:t>
            </w:r>
          </w:p>
        </w:tc>
      </w:tr>
    </w:tbl>
    <w:p w14:paraId="7BCCC61B" w14:textId="77777777" w:rsidR="00044CED" w:rsidRPr="005734B8" w:rsidRDefault="00044CED" w:rsidP="00FE3C40">
      <w:pPr>
        <w:rPr>
          <w:rFonts w:ascii="Calibri" w:hAnsi="Calibri" w:cs="Calibri"/>
        </w:rPr>
      </w:pPr>
    </w:p>
    <w:p w14:paraId="66470FAC" w14:textId="146EDACE" w:rsidR="00FE3C40" w:rsidRPr="005734B8" w:rsidRDefault="00FE3C40" w:rsidP="00FE3C40">
      <w:pPr>
        <w:rPr>
          <w:rFonts w:ascii="Calibri" w:hAnsi="Calibri" w:cs="Calibri"/>
        </w:rPr>
      </w:pPr>
      <w:r w:rsidRPr="005734B8">
        <w:rPr>
          <w:rFonts w:ascii="Calibri" w:hAnsi="Calibri" w:cs="Calibri"/>
        </w:rPr>
        <w:t xml:space="preserve">Further information regarding FOI can be found at </w:t>
      </w:r>
      <w:hyperlink r:id="rId46" w:history="1">
        <w:r w:rsidRPr="005734B8">
          <w:rPr>
            <w:rStyle w:val="Hyperlink"/>
            <w:rFonts w:ascii="Calibri" w:hAnsi="Calibri" w:cs="Calibri"/>
          </w:rPr>
          <w:t>www.foi.vic.gov.au</w:t>
        </w:r>
      </w:hyperlink>
      <w:r w:rsidRPr="005734B8">
        <w:rPr>
          <w:rFonts w:ascii="Calibri" w:hAnsi="Calibri" w:cs="Calibri"/>
        </w:rPr>
        <w:t>.</w:t>
      </w:r>
    </w:p>
    <w:p w14:paraId="0F3593DC" w14:textId="77777777" w:rsidR="00067863" w:rsidRPr="005734B8" w:rsidRDefault="00067863" w:rsidP="00067863">
      <w:pPr>
        <w:pStyle w:val="ESHeading2"/>
        <w:rPr>
          <w:rFonts w:ascii="Calibri" w:hAnsi="Calibri" w:cs="Calibri"/>
        </w:rPr>
      </w:pPr>
      <w:bookmarkStart w:id="873" w:name="_Toc81315345"/>
      <w:r w:rsidRPr="005734B8">
        <w:rPr>
          <w:rFonts w:ascii="Calibri" w:hAnsi="Calibri" w:cs="Calibri"/>
        </w:rPr>
        <w:t>Compliance with DataVic Access Policy</w:t>
      </w:r>
      <w:bookmarkEnd w:id="851"/>
      <w:bookmarkEnd w:id="852"/>
      <w:bookmarkEnd w:id="853"/>
      <w:bookmarkEnd w:id="854"/>
      <w:bookmarkEnd w:id="855"/>
      <w:bookmarkEnd w:id="856"/>
      <w:bookmarkEnd w:id="857"/>
      <w:bookmarkEnd w:id="858"/>
      <w:bookmarkEnd w:id="859"/>
      <w:bookmarkEnd w:id="860"/>
      <w:bookmarkEnd w:id="873"/>
    </w:p>
    <w:p w14:paraId="15761FD0" w14:textId="0DDC8294" w:rsidR="00067863" w:rsidRPr="005734B8" w:rsidRDefault="00067863" w:rsidP="00067863">
      <w:pPr>
        <w:rPr>
          <w:rFonts w:ascii="Calibri" w:hAnsi="Calibri" w:cs="Calibri"/>
        </w:rPr>
      </w:pPr>
      <w:r w:rsidRPr="005734B8">
        <w:rPr>
          <w:rFonts w:ascii="Calibri" w:hAnsi="Calibri" w:cs="Calibri"/>
        </w:rPr>
        <w:t xml:space="preserve">Consistent with the DataVic Access Policy issued by the Victorian Government in 2012, the Department made 12 data sets available on the DataVic website in 2020–21. The information listed below and </w:t>
      </w:r>
      <w:r w:rsidR="00945D82" w:rsidRPr="005734B8">
        <w:rPr>
          <w:rFonts w:ascii="Calibri" w:hAnsi="Calibri" w:cs="Calibri"/>
        </w:rPr>
        <w:t xml:space="preserve">elsewhere </w:t>
      </w:r>
      <w:r w:rsidRPr="005734B8">
        <w:rPr>
          <w:rFonts w:ascii="Calibri" w:hAnsi="Calibri" w:cs="Calibri"/>
        </w:rPr>
        <w:t xml:space="preserve">in this </w:t>
      </w:r>
      <w:r w:rsidR="00945D82" w:rsidRPr="005734B8">
        <w:rPr>
          <w:rFonts w:ascii="Calibri" w:hAnsi="Calibri" w:cs="Calibri"/>
        </w:rPr>
        <w:t>A</w:t>
      </w:r>
      <w:r w:rsidRPr="005734B8">
        <w:rPr>
          <w:rFonts w:ascii="Calibri" w:hAnsi="Calibri" w:cs="Calibri"/>
        </w:rPr>
        <w:t xml:space="preserve">nnual </w:t>
      </w:r>
      <w:r w:rsidR="00945D82" w:rsidRPr="005734B8">
        <w:rPr>
          <w:rFonts w:ascii="Calibri" w:hAnsi="Calibri" w:cs="Calibri"/>
        </w:rPr>
        <w:t>R</w:t>
      </w:r>
      <w:r w:rsidRPr="005734B8">
        <w:rPr>
          <w:rFonts w:ascii="Calibri" w:hAnsi="Calibri" w:cs="Calibri"/>
        </w:rPr>
        <w:t xml:space="preserve">eport is available in electronic readable format at </w:t>
      </w:r>
      <w:hyperlink r:id="rId47" w:history="1">
        <w:r w:rsidRPr="005734B8">
          <w:rPr>
            <w:rStyle w:val="Hyperlink"/>
            <w:rFonts w:ascii="Calibri" w:hAnsi="Calibri" w:cs="Calibri"/>
          </w:rPr>
          <w:t>www.data.vic.gov.au</w:t>
        </w:r>
      </w:hyperlink>
      <w:r w:rsidRPr="005734B8">
        <w:rPr>
          <w:rFonts w:ascii="Calibri" w:hAnsi="Calibri" w:cs="Calibri"/>
        </w:rPr>
        <w:t>:</w:t>
      </w:r>
    </w:p>
    <w:p w14:paraId="6FAF2D93" w14:textId="77777777" w:rsidR="00067863" w:rsidRPr="005734B8" w:rsidRDefault="00067863" w:rsidP="00067863">
      <w:pPr>
        <w:pStyle w:val="ESbullet1"/>
        <w:numPr>
          <w:ilvl w:val="0"/>
          <w:numId w:val="27"/>
        </w:numPr>
        <w:spacing w:after="0"/>
        <w:rPr>
          <w:rFonts w:ascii="Calibri" w:hAnsi="Calibri" w:cs="Calibri"/>
        </w:rPr>
      </w:pPr>
      <w:r w:rsidRPr="005734B8">
        <w:rPr>
          <w:rFonts w:ascii="Calibri" w:hAnsi="Calibri" w:cs="Calibri"/>
        </w:rPr>
        <w:t>progress towards achieving departmental objectives</w:t>
      </w:r>
    </w:p>
    <w:p w14:paraId="2E745764" w14:textId="77777777" w:rsidR="00067863" w:rsidRPr="005734B8" w:rsidRDefault="00067863" w:rsidP="00067863">
      <w:pPr>
        <w:pStyle w:val="ESbullet1"/>
        <w:numPr>
          <w:ilvl w:val="0"/>
          <w:numId w:val="27"/>
        </w:numPr>
        <w:spacing w:after="0"/>
        <w:rPr>
          <w:rFonts w:ascii="Calibri" w:hAnsi="Calibri" w:cs="Calibri"/>
        </w:rPr>
      </w:pPr>
      <w:r w:rsidRPr="005734B8">
        <w:rPr>
          <w:rFonts w:ascii="Calibri" w:hAnsi="Calibri" w:cs="Calibri"/>
        </w:rPr>
        <w:t>performance against output performance measures</w:t>
      </w:r>
    </w:p>
    <w:p w14:paraId="40495BE3" w14:textId="77777777" w:rsidR="00067863" w:rsidRPr="005734B8" w:rsidRDefault="00067863" w:rsidP="00067863">
      <w:pPr>
        <w:pStyle w:val="ESbullet1"/>
        <w:numPr>
          <w:ilvl w:val="0"/>
          <w:numId w:val="27"/>
        </w:numPr>
        <w:spacing w:after="0"/>
        <w:rPr>
          <w:rFonts w:ascii="Calibri" w:hAnsi="Calibri" w:cs="Calibri"/>
        </w:rPr>
      </w:pPr>
      <w:r w:rsidRPr="005734B8">
        <w:rPr>
          <w:rFonts w:ascii="Calibri" w:hAnsi="Calibri" w:cs="Calibri"/>
        </w:rPr>
        <w:t>five-year financial summary</w:t>
      </w:r>
    </w:p>
    <w:p w14:paraId="5956F505" w14:textId="3180DF51" w:rsidR="00067863" w:rsidRPr="005734B8" w:rsidRDefault="00067863" w:rsidP="00067863">
      <w:pPr>
        <w:pStyle w:val="ESbullet1"/>
        <w:numPr>
          <w:ilvl w:val="0"/>
          <w:numId w:val="27"/>
        </w:numPr>
        <w:spacing w:after="0"/>
        <w:rPr>
          <w:rFonts w:ascii="Calibri" w:hAnsi="Calibri" w:cs="Calibri"/>
        </w:rPr>
      </w:pPr>
      <w:r w:rsidRPr="005734B8">
        <w:rPr>
          <w:rFonts w:ascii="Calibri" w:hAnsi="Calibri" w:cs="Calibri"/>
        </w:rPr>
        <w:t>performance management of OHS and workers</w:t>
      </w:r>
      <w:r w:rsidR="00945D82" w:rsidRPr="005734B8">
        <w:rPr>
          <w:rFonts w:ascii="Calibri" w:hAnsi="Calibri" w:cs="Calibri"/>
        </w:rPr>
        <w:t>’</w:t>
      </w:r>
      <w:r w:rsidRPr="005734B8">
        <w:rPr>
          <w:rFonts w:ascii="Calibri" w:hAnsi="Calibri" w:cs="Calibri"/>
        </w:rPr>
        <w:t xml:space="preserve"> compensation management measures</w:t>
      </w:r>
    </w:p>
    <w:p w14:paraId="7802ADAF" w14:textId="77777777" w:rsidR="00067863" w:rsidRPr="005734B8" w:rsidRDefault="00067863" w:rsidP="00067863">
      <w:pPr>
        <w:pStyle w:val="ESbullet1"/>
        <w:numPr>
          <w:ilvl w:val="0"/>
          <w:numId w:val="27"/>
        </w:numPr>
        <w:spacing w:after="0"/>
        <w:rPr>
          <w:rFonts w:ascii="Calibri" w:hAnsi="Calibri" w:cs="Calibri"/>
        </w:rPr>
      </w:pPr>
      <w:r w:rsidRPr="005734B8">
        <w:rPr>
          <w:rFonts w:ascii="Calibri" w:hAnsi="Calibri" w:cs="Calibri"/>
        </w:rPr>
        <w:t>comparative workforce data</w:t>
      </w:r>
    </w:p>
    <w:p w14:paraId="19CE0FDB" w14:textId="77777777" w:rsidR="00067863" w:rsidRPr="005734B8" w:rsidRDefault="00067863" w:rsidP="00067863">
      <w:pPr>
        <w:pStyle w:val="ESbullet1"/>
        <w:numPr>
          <w:ilvl w:val="0"/>
          <w:numId w:val="27"/>
        </w:numPr>
        <w:spacing w:after="0"/>
        <w:rPr>
          <w:rFonts w:ascii="Calibri" w:hAnsi="Calibri" w:cs="Calibri"/>
        </w:rPr>
      </w:pPr>
      <w:r w:rsidRPr="005734B8">
        <w:rPr>
          <w:rFonts w:ascii="Calibri" w:hAnsi="Calibri" w:cs="Calibri"/>
        </w:rPr>
        <w:t>executive officer data</w:t>
      </w:r>
    </w:p>
    <w:p w14:paraId="11431303" w14:textId="77777777" w:rsidR="00067863" w:rsidRPr="005734B8" w:rsidRDefault="00067863" w:rsidP="00067863">
      <w:pPr>
        <w:pStyle w:val="ESbullet1"/>
        <w:numPr>
          <w:ilvl w:val="0"/>
          <w:numId w:val="27"/>
        </w:numPr>
        <w:spacing w:after="0"/>
        <w:rPr>
          <w:rFonts w:ascii="Calibri" w:hAnsi="Calibri" w:cs="Calibri"/>
        </w:rPr>
      </w:pPr>
      <w:r w:rsidRPr="005734B8">
        <w:rPr>
          <w:rFonts w:ascii="Calibri" w:hAnsi="Calibri" w:cs="Calibri"/>
        </w:rPr>
        <w:t>government advertising expenditure</w:t>
      </w:r>
    </w:p>
    <w:p w14:paraId="553D1462" w14:textId="77777777" w:rsidR="00067863" w:rsidRPr="005734B8" w:rsidRDefault="00067863" w:rsidP="00067863">
      <w:pPr>
        <w:pStyle w:val="ESbullet1"/>
        <w:numPr>
          <w:ilvl w:val="0"/>
          <w:numId w:val="27"/>
        </w:numPr>
        <w:spacing w:after="0"/>
        <w:rPr>
          <w:rFonts w:ascii="Calibri" w:hAnsi="Calibri" w:cs="Calibri"/>
        </w:rPr>
      </w:pPr>
      <w:r w:rsidRPr="005734B8">
        <w:rPr>
          <w:rFonts w:ascii="Calibri" w:hAnsi="Calibri" w:cs="Calibri"/>
        </w:rPr>
        <w:t>financial statements (key financial information)</w:t>
      </w:r>
    </w:p>
    <w:p w14:paraId="2343D995" w14:textId="77777777" w:rsidR="00067863" w:rsidRPr="005734B8" w:rsidRDefault="00067863" w:rsidP="00067863">
      <w:pPr>
        <w:pStyle w:val="ESbullet1"/>
        <w:numPr>
          <w:ilvl w:val="0"/>
          <w:numId w:val="27"/>
        </w:numPr>
        <w:spacing w:after="0"/>
        <w:rPr>
          <w:rFonts w:ascii="Calibri" w:hAnsi="Calibri" w:cs="Calibri"/>
        </w:rPr>
      </w:pPr>
      <w:r w:rsidRPr="005734B8">
        <w:rPr>
          <w:rFonts w:ascii="Calibri" w:hAnsi="Calibri" w:cs="Calibri"/>
        </w:rPr>
        <w:t>Appendix 2 budget portfolio outcomes.</w:t>
      </w:r>
    </w:p>
    <w:p w14:paraId="7D047A5D" w14:textId="32FD418A" w:rsidR="00CA4DA4" w:rsidRPr="005734B8" w:rsidRDefault="00CA4DA4" w:rsidP="00CA4DA4">
      <w:pPr>
        <w:pStyle w:val="ESHeading2"/>
        <w:rPr>
          <w:rFonts w:ascii="Calibri" w:hAnsi="Calibri" w:cs="Calibri"/>
          <w:i/>
        </w:rPr>
      </w:pPr>
      <w:bookmarkStart w:id="874" w:name="_Toc81315346"/>
      <w:r w:rsidRPr="005734B8">
        <w:rPr>
          <w:rFonts w:ascii="Calibri" w:hAnsi="Calibri" w:cs="Calibri"/>
          <w:lang w:val="en-AU" w:eastAsia="en-AU"/>
        </w:rPr>
        <w:t>Compliance with the Building Act 1993</w:t>
      </w:r>
      <w:bookmarkEnd w:id="861"/>
      <w:bookmarkEnd w:id="862"/>
      <w:bookmarkEnd w:id="863"/>
      <w:bookmarkEnd w:id="864"/>
      <w:bookmarkEnd w:id="865"/>
      <w:bookmarkEnd w:id="866"/>
      <w:bookmarkEnd w:id="867"/>
      <w:bookmarkEnd w:id="868"/>
      <w:bookmarkEnd w:id="869"/>
      <w:bookmarkEnd w:id="870"/>
      <w:bookmarkEnd w:id="871"/>
      <w:bookmarkEnd w:id="874"/>
    </w:p>
    <w:p w14:paraId="705EB4D4" w14:textId="56561205" w:rsidR="00CA4DA4" w:rsidRPr="005734B8" w:rsidRDefault="00CA4DA4" w:rsidP="00CA4DA4">
      <w:pPr>
        <w:pStyle w:val="ESHeading3"/>
        <w:ind w:left="0" w:firstLine="0"/>
        <w:rPr>
          <w:rFonts w:ascii="Calibri" w:hAnsi="Calibri" w:cs="Calibri"/>
        </w:rPr>
      </w:pPr>
      <w:bookmarkStart w:id="875" w:name="_Toc9432806"/>
      <w:bookmarkStart w:id="876" w:name="_Toc11158259"/>
      <w:bookmarkStart w:id="877" w:name="_Toc11336266"/>
      <w:bookmarkStart w:id="878" w:name="_Toc14965492"/>
      <w:bookmarkStart w:id="879" w:name="_Toc19272071"/>
      <w:bookmarkStart w:id="880" w:name="_Toc19272437"/>
      <w:bookmarkStart w:id="881" w:name="_Toc19273772"/>
      <w:r w:rsidRPr="005734B8">
        <w:rPr>
          <w:rFonts w:ascii="Calibri" w:hAnsi="Calibri" w:cs="Calibri"/>
          <w:lang w:val="en-AU"/>
        </w:rPr>
        <w:t>Mechanisms to ensure buildings conform to the building standards</w:t>
      </w:r>
      <w:bookmarkEnd w:id="875"/>
      <w:bookmarkEnd w:id="876"/>
      <w:bookmarkEnd w:id="877"/>
      <w:bookmarkEnd w:id="878"/>
      <w:bookmarkEnd w:id="879"/>
      <w:bookmarkEnd w:id="880"/>
      <w:bookmarkEnd w:id="881"/>
    </w:p>
    <w:p w14:paraId="7C4C2458" w14:textId="4FAC0231" w:rsidR="00CA4DA4" w:rsidRPr="005734B8" w:rsidRDefault="00D959D8" w:rsidP="00CA4DA4">
      <w:pPr>
        <w:rPr>
          <w:rFonts w:ascii="Calibri" w:hAnsi="Calibri" w:cs="Calibri"/>
        </w:rPr>
      </w:pPr>
      <w:r w:rsidRPr="005734B8">
        <w:rPr>
          <w:rFonts w:ascii="Calibri" w:hAnsi="Calibri" w:cs="Calibri"/>
        </w:rPr>
        <w:t xml:space="preserve">The Department complies with the </w:t>
      </w:r>
      <w:r w:rsidRPr="005734B8">
        <w:rPr>
          <w:rFonts w:ascii="Calibri" w:hAnsi="Calibri" w:cs="Calibri"/>
          <w:i/>
        </w:rPr>
        <w:t>Building Act 1993</w:t>
      </w:r>
      <w:r w:rsidRPr="005734B8">
        <w:rPr>
          <w:rFonts w:ascii="Calibri" w:hAnsi="Calibri" w:cs="Calibri"/>
        </w:rPr>
        <w:t>, the National Construction Code and other statutory obligations related to constructing and modernising educational facilities. The school modernisation and building compliance programs progressively ensure that existing buildings comply with relevant legislative requirements.</w:t>
      </w:r>
    </w:p>
    <w:p w14:paraId="101B4393" w14:textId="0BCFC306" w:rsidR="00CA4DA4" w:rsidRPr="005734B8" w:rsidRDefault="00CA4DA4" w:rsidP="00CA4DA4">
      <w:pPr>
        <w:pStyle w:val="ESHeading3"/>
        <w:ind w:left="0" w:firstLine="0"/>
        <w:rPr>
          <w:rFonts w:ascii="Calibri" w:hAnsi="Calibri" w:cs="Calibri"/>
        </w:rPr>
      </w:pPr>
      <w:bookmarkStart w:id="882" w:name="_Toc519861821"/>
      <w:bookmarkStart w:id="883" w:name="_Toc9432807"/>
      <w:bookmarkStart w:id="884" w:name="_Toc11158260"/>
      <w:bookmarkStart w:id="885" w:name="_Toc11336267"/>
      <w:bookmarkStart w:id="886" w:name="_Toc14965493"/>
      <w:bookmarkStart w:id="887" w:name="_Toc19272072"/>
      <w:bookmarkStart w:id="888" w:name="_Toc19272438"/>
      <w:bookmarkStart w:id="889" w:name="_Toc19273773"/>
      <w:r w:rsidRPr="005734B8">
        <w:rPr>
          <w:rFonts w:ascii="Calibri" w:hAnsi="Calibri" w:cs="Calibri"/>
          <w:lang w:val="en-AU"/>
        </w:rPr>
        <w:t>Major works projects (</w:t>
      </w:r>
      <w:r w:rsidR="00740B1E" w:rsidRPr="005734B8">
        <w:rPr>
          <w:rFonts w:ascii="Calibri" w:hAnsi="Calibri" w:cs="Calibri"/>
          <w:lang w:val="en-AU"/>
        </w:rPr>
        <w:t xml:space="preserve">with a value </w:t>
      </w:r>
      <w:r w:rsidRPr="005734B8">
        <w:rPr>
          <w:rFonts w:ascii="Calibri" w:hAnsi="Calibri" w:cs="Calibri"/>
          <w:lang w:val="en-AU"/>
        </w:rPr>
        <w:t>greater than $50,000)</w:t>
      </w:r>
      <w:bookmarkEnd w:id="882"/>
      <w:bookmarkEnd w:id="883"/>
      <w:bookmarkEnd w:id="884"/>
      <w:bookmarkEnd w:id="885"/>
      <w:bookmarkEnd w:id="886"/>
      <w:bookmarkEnd w:id="887"/>
      <w:bookmarkEnd w:id="888"/>
      <w:bookmarkEnd w:id="889"/>
    </w:p>
    <w:p w14:paraId="6A543AC0" w14:textId="6302ECF7" w:rsidR="00D959D8" w:rsidRPr="005734B8" w:rsidRDefault="00D959D8" w:rsidP="00D959D8">
      <w:pPr>
        <w:rPr>
          <w:rFonts w:ascii="Calibri" w:hAnsi="Calibri" w:cs="Calibri"/>
        </w:rPr>
      </w:pPr>
      <w:r w:rsidRPr="005734B8">
        <w:rPr>
          <w:rFonts w:ascii="Calibri" w:hAnsi="Calibri" w:cs="Calibri"/>
        </w:rPr>
        <w:t xml:space="preserve">For details of all such projects, see </w:t>
      </w:r>
      <w:r w:rsidR="00E87571" w:rsidRPr="005734B8">
        <w:rPr>
          <w:rFonts w:ascii="Calibri" w:hAnsi="Calibri" w:cs="Calibri"/>
        </w:rPr>
        <w:t xml:space="preserve">the </w:t>
      </w:r>
      <w:r w:rsidRPr="005734B8">
        <w:rPr>
          <w:rFonts w:ascii="Calibri" w:hAnsi="Calibri" w:cs="Calibri"/>
        </w:rPr>
        <w:t>20</w:t>
      </w:r>
      <w:r w:rsidR="00A5305E" w:rsidRPr="005734B8">
        <w:rPr>
          <w:rFonts w:ascii="Calibri" w:hAnsi="Calibri" w:cs="Calibri"/>
        </w:rPr>
        <w:t>21</w:t>
      </w:r>
      <w:r w:rsidRPr="005734B8">
        <w:rPr>
          <w:rFonts w:ascii="Calibri" w:hAnsi="Calibri" w:cs="Calibri"/>
        </w:rPr>
        <w:t>–</w:t>
      </w:r>
      <w:r w:rsidR="00A5305E" w:rsidRPr="005734B8">
        <w:rPr>
          <w:rFonts w:ascii="Calibri" w:hAnsi="Calibri" w:cs="Calibri"/>
        </w:rPr>
        <w:t>22</w:t>
      </w:r>
      <w:r w:rsidRPr="005734B8">
        <w:rPr>
          <w:rFonts w:ascii="Calibri" w:hAnsi="Calibri" w:cs="Calibri"/>
        </w:rPr>
        <w:t xml:space="preserve"> Budget Paper No. 4: State Capital Program.</w:t>
      </w:r>
    </w:p>
    <w:p w14:paraId="3C5ED927" w14:textId="77777777" w:rsidR="00D959D8" w:rsidRPr="005734B8" w:rsidRDefault="00D959D8" w:rsidP="00D959D8">
      <w:pPr>
        <w:rPr>
          <w:rFonts w:ascii="Calibri" w:hAnsi="Calibri" w:cs="Calibri"/>
          <w:highlight w:val="yellow"/>
        </w:rPr>
      </w:pPr>
    </w:p>
    <w:p w14:paraId="00FC1EC5" w14:textId="07730A4B" w:rsidR="00C76744" w:rsidRPr="005734B8" w:rsidRDefault="009B7C54" w:rsidP="00CA4DA4">
      <w:pPr>
        <w:rPr>
          <w:rFonts w:ascii="Calibri" w:hAnsi="Calibri" w:cs="Calibri"/>
        </w:rPr>
      </w:pPr>
      <w:r w:rsidRPr="005734B8">
        <w:rPr>
          <w:rFonts w:ascii="Calibri" w:hAnsi="Calibri" w:cs="Calibri"/>
        </w:rPr>
        <w:t xml:space="preserve">A list of </w:t>
      </w:r>
      <w:r w:rsidR="00740B1E" w:rsidRPr="005734B8">
        <w:rPr>
          <w:rFonts w:ascii="Calibri" w:hAnsi="Calibri" w:cs="Calibri"/>
        </w:rPr>
        <w:t xml:space="preserve">all </w:t>
      </w:r>
      <w:r w:rsidR="00443AD4" w:rsidRPr="005734B8">
        <w:rPr>
          <w:rFonts w:ascii="Calibri" w:hAnsi="Calibri" w:cs="Calibri"/>
        </w:rPr>
        <w:t>sites</w:t>
      </w:r>
      <w:r w:rsidRPr="005734B8">
        <w:rPr>
          <w:rFonts w:ascii="Calibri" w:hAnsi="Calibri" w:cs="Calibri"/>
        </w:rPr>
        <w:t xml:space="preserve"> that had capital works projects in a construction status during 20</w:t>
      </w:r>
      <w:r w:rsidR="00A5305E" w:rsidRPr="005734B8">
        <w:rPr>
          <w:rFonts w:ascii="Calibri" w:hAnsi="Calibri" w:cs="Calibri"/>
        </w:rPr>
        <w:t>20</w:t>
      </w:r>
      <w:r w:rsidRPr="005734B8">
        <w:rPr>
          <w:rFonts w:ascii="Calibri" w:hAnsi="Calibri" w:cs="Calibri"/>
        </w:rPr>
        <w:t>–2</w:t>
      </w:r>
      <w:r w:rsidR="00A5305E" w:rsidRPr="005734B8">
        <w:rPr>
          <w:rFonts w:ascii="Calibri" w:hAnsi="Calibri" w:cs="Calibri"/>
        </w:rPr>
        <w:t>1</w:t>
      </w:r>
      <w:r w:rsidRPr="005734B8">
        <w:rPr>
          <w:rFonts w:ascii="Calibri" w:hAnsi="Calibri" w:cs="Calibri"/>
        </w:rPr>
        <w:t xml:space="preserve"> is </w:t>
      </w:r>
      <w:r w:rsidR="00740B1E" w:rsidRPr="005734B8">
        <w:rPr>
          <w:rFonts w:ascii="Calibri" w:hAnsi="Calibri" w:cs="Calibri"/>
        </w:rPr>
        <w:t>provided</w:t>
      </w:r>
      <w:r w:rsidRPr="005734B8">
        <w:rPr>
          <w:rFonts w:ascii="Calibri" w:hAnsi="Calibri" w:cs="Calibri"/>
        </w:rPr>
        <w:t xml:space="preserve"> below.</w:t>
      </w:r>
      <w:r w:rsidR="00C76744" w:rsidRPr="005734B8">
        <w:rPr>
          <w:rFonts w:ascii="Calibri" w:hAnsi="Calibri" w:cs="Calibri"/>
        </w:rPr>
        <w:br w:type="page"/>
      </w:r>
    </w:p>
    <w:p w14:paraId="2ED2B1D9" w14:textId="59D1118E" w:rsidR="006043D4" w:rsidRPr="005734B8" w:rsidRDefault="006043D4" w:rsidP="006043D4">
      <w:pPr>
        <w:pStyle w:val="ESTableintroheading"/>
        <w:rPr>
          <w:rFonts w:ascii="Calibri" w:hAnsi="Calibri" w:cs="Calibri"/>
        </w:rPr>
      </w:pPr>
      <w:r w:rsidRPr="005734B8">
        <w:rPr>
          <w:rFonts w:ascii="Calibri" w:hAnsi="Calibri" w:cs="Calibri"/>
        </w:rPr>
        <w:lastRenderedPageBreak/>
        <w:t xml:space="preserve">Major works </w:t>
      </w:r>
      <w:r w:rsidR="00740B1E" w:rsidRPr="005734B8">
        <w:rPr>
          <w:rFonts w:ascii="Calibri" w:hAnsi="Calibri" w:cs="Calibri"/>
        </w:rPr>
        <w:t>sites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62"/>
        <w:gridCol w:w="18"/>
        <w:gridCol w:w="1944"/>
        <w:gridCol w:w="36"/>
        <w:gridCol w:w="1980"/>
        <w:gridCol w:w="9"/>
        <w:gridCol w:w="1900"/>
        <w:gridCol w:w="72"/>
      </w:tblGrid>
      <w:tr w:rsidR="00F52DF9" w:rsidRPr="005734B8" w14:paraId="7C1A577C" w14:textId="77777777" w:rsidTr="00F52DF9">
        <w:trPr>
          <w:cantSplit/>
          <w:trHeight w:val="242"/>
          <w:tblHeader/>
        </w:trPr>
        <w:tc>
          <w:tcPr>
            <w:tcW w:w="1980" w:type="dxa"/>
            <w:gridSpan w:val="2"/>
            <w:tcBorders>
              <w:bottom w:val="single" w:sz="4" w:space="0" w:color="FFFFFF" w:themeColor="background1"/>
            </w:tcBorders>
            <w:shd w:val="clear" w:color="auto" w:fill="AF272F" w:themeFill="accent4"/>
            <w:vAlign w:val="center"/>
          </w:tcPr>
          <w:p w14:paraId="2B294A5C" w14:textId="49494C11" w:rsidR="00F52DF9" w:rsidRPr="005734B8" w:rsidRDefault="00F52DF9" w:rsidP="00240206">
            <w:pPr>
              <w:pStyle w:val="ESTableheadingwhite"/>
              <w:rPr>
                <w:rFonts w:ascii="Calibri" w:hAnsi="Calibri" w:cs="Calibri"/>
                <w:sz w:val="18"/>
              </w:rPr>
            </w:pPr>
            <w:r w:rsidRPr="005734B8">
              <w:rPr>
                <w:rFonts w:ascii="Calibri" w:hAnsi="Calibri" w:cs="Calibri"/>
                <w:sz w:val="18"/>
              </w:rPr>
              <w:t>School</w:t>
            </w:r>
            <w:r w:rsidRPr="005734B8">
              <w:rPr>
                <w:rStyle w:val="FootnoteReference"/>
                <w:rFonts w:ascii="Calibri" w:hAnsi="Calibri" w:cs="Calibri"/>
                <w:sz w:val="18"/>
              </w:rPr>
              <w:footnoteReference w:id="66"/>
            </w:r>
          </w:p>
        </w:tc>
        <w:tc>
          <w:tcPr>
            <w:tcW w:w="1980" w:type="dxa"/>
            <w:gridSpan w:val="2"/>
            <w:tcBorders>
              <w:bottom w:val="single" w:sz="4" w:space="0" w:color="FFFFFF" w:themeColor="background1"/>
            </w:tcBorders>
            <w:shd w:val="clear" w:color="auto" w:fill="AF272F" w:themeFill="accent4"/>
          </w:tcPr>
          <w:p w14:paraId="3A364BB8" w14:textId="024C3502" w:rsidR="00F52DF9" w:rsidRPr="005734B8" w:rsidRDefault="00F52DF9" w:rsidP="00240206">
            <w:pPr>
              <w:pStyle w:val="ESTableheadingwhite"/>
              <w:rPr>
                <w:rFonts w:ascii="Calibri" w:hAnsi="Calibri" w:cs="Calibri"/>
                <w:sz w:val="18"/>
              </w:rPr>
            </w:pPr>
            <w:r w:rsidRPr="005734B8">
              <w:rPr>
                <w:rFonts w:ascii="Calibri" w:hAnsi="Calibri" w:cs="Calibri"/>
                <w:sz w:val="18"/>
              </w:rPr>
              <w:t>School</w:t>
            </w:r>
          </w:p>
        </w:tc>
        <w:tc>
          <w:tcPr>
            <w:tcW w:w="1980" w:type="dxa"/>
            <w:tcBorders>
              <w:bottom w:val="single" w:sz="4" w:space="0" w:color="FFFFFF" w:themeColor="background1"/>
            </w:tcBorders>
            <w:shd w:val="clear" w:color="auto" w:fill="AF272F" w:themeFill="accent4"/>
            <w:vAlign w:val="center"/>
          </w:tcPr>
          <w:p w14:paraId="05674BEC" w14:textId="77777777" w:rsidR="00F52DF9" w:rsidRPr="005734B8" w:rsidRDefault="00F52DF9" w:rsidP="00240206">
            <w:pPr>
              <w:pStyle w:val="ESTableheadingwhite"/>
              <w:rPr>
                <w:rFonts w:ascii="Calibri" w:hAnsi="Calibri" w:cs="Calibri"/>
                <w:sz w:val="18"/>
              </w:rPr>
            </w:pPr>
            <w:r w:rsidRPr="005734B8">
              <w:rPr>
                <w:rFonts w:ascii="Calibri" w:hAnsi="Calibri" w:cs="Calibri"/>
                <w:sz w:val="18"/>
              </w:rPr>
              <w:t>School</w:t>
            </w:r>
          </w:p>
        </w:tc>
        <w:tc>
          <w:tcPr>
            <w:tcW w:w="1981" w:type="dxa"/>
            <w:gridSpan w:val="3"/>
            <w:tcBorders>
              <w:bottom w:val="single" w:sz="4" w:space="0" w:color="FFFFFF" w:themeColor="background1"/>
            </w:tcBorders>
            <w:shd w:val="clear" w:color="auto" w:fill="AF272F" w:themeFill="accent4"/>
            <w:vAlign w:val="center"/>
          </w:tcPr>
          <w:p w14:paraId="6A167F31" w14:textId="086A9529" w:rsidR="00F52DF9" w:rsidRPr="005734B8" w:rsidRDefault="00F52DF9" w:rsidP="00240206">
            <w:pPr>
              <w:pStyle w:val="ESTableheadingwhite"/>
              <w:rPr>
                <w:rFonts w:ascii="Calibri" w:hAnsi="Calibri" w:cs="Calibri"/>
                <w:sz w:val="18"/>
              </w:rPr>
            </w:pPr>
            <w:r w:rsidRPr="005734B8">
              <w:rPr>
                <w:rFonts w:ascii="Calibri" w:hAnsi="Calibri" w:cs="Calibri"/>
                <w:sz w:val="18"/>
              </w:rPr>
              <w:t>School</w:t>
            </w:r>
          </w:p>
        </w:tc>
      </w:tr>
      <w:tr w:rsidR="00F52DF9" w:rsidRPr="005734B8" w14:paraId="4550EA82" w14:textId="77777777" w:rsidTr="00F52DF9">
        <w:trPr>
          <w:cantSplit/>
          <w:trHeight w:val="465"/>
        </w:trPr>
        <w:tc>
          <w:tcPr>
            <w:tcW w:w="1980" w:type="dxa"/>
            <w:gridSpan w:val="2"/>
            <w:tcBorders>
              <w:top w:val="single" w:sz="4" w:space="0" w:color="FFFFFF" w:themeColor="background1"/>
              <w:bottom w:val="single" w:sz="4" w:space="0" w:color="auto"/>
            </w:tcBorders>
            <w:shd w:val="clear" w:color="auto" w:fill="auto"/>
            <w:vAlign w:val="center"/>
          </w:tcPr>
          <w:p w14:paraId="199B2457" w14:textId="617AF4EB" w:rsidR="00F52DF9" w:rsidRPr="005734B8" w:rsidRDefault="00A5305E" w:rsidP="00E23988">
            <w:pPr>
              <w:pStyle w:val="ESTablebody"/>
              <w:spacing w:before="60" w:afterLines="60" w:after="144"/>
              <w:rPr>
                <w:rFonts w:ascii="Calibri" w:hAnsi="Calibri" w:cs="Calibri"/>
                <w:sz w:val="18"/>
                <w:highlight w:val="yellow"/>
              </w:rPr>
            </w:pPr>
            <w:r w:rsidRPr="005734B8">
              <w:rPr>
                <w:rFonts w:ascii="Calibri" w:hAnsi="Calibri" w:cs="Calibri"/>
                <w:sz w:val="18"/>
              </w:rPr>
              <w:t>Aberfeldie PS</w:t>
            </w:r>
          </w:p>
        </w:tc>
        <w:tc>
          <w:tcPr>
            <w:tcW w:w="1980" w:type="dxa"/>
            <w:gridSpan w:val="2"/>
            <w:tcBorders>
              <w:bottom w:val="single" w:sz="4" w:space="0" w:color="auto"/>
            </w:tcBorders>
            <w:vAlign w:val="center"/>
          </w:tcPr>
          <w:p w14:paraId="2548D13A" w14:textId="4512C23F"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Ainslie Parklands PS</w:t>
            </w:r>
          </w:p>
        </w:tc>
        <w:tc>
          <w:tcPr>
            <w:tcW w:w="1980" w:type="dxa"/>
            <w:tcBorders>
              <w:bottom w:val="single" w:sz="4" w:space="0" w:color="auto"/>
            </w:tcBorders>
            <w:shd w:val="clear" w:color="auto" w:fill="auto"/>
            <w:vAlign w:val="center"/>
          </w:tcPr>
          <w:p w14:paraId="003370E6" w14:textId="7BB2D3C8" w:rsidR="00F52DF9" w:rsidRPr="005734B8" w:rsidRDefault="00A5305E" w:rsidP="00E23988">
            <w:pPr>
              <w:pStyle w:val="ESTablebody"/>
              <w:spacing w:before="60" w:afterLines="60" w:after="144"/>
              <w:rPr>
                <w:rFonts w:ascii="Calibri" w:eastAsia="Calibri" w:hAnsi="Calibri" w:cs="Calibri"/>
                <w:sz w:val="18"/>
                <w:highlight w:val="yellow"/>
                <w:lang w:val="en-AU"/>
              </w:rPr>
            </w:pPr>
            <w:r w:rsidRPr="005734B8">
              <w:rPr>
                <w:rFonts w:ascii="Calibri" w:eastAsia="Calibri" w:hAnsi="Calibri" w:cs="Calibri"/>
                <w:sz w:val="18"/>
                <w:lang w:val="en-AU"/>
              </w:rPr>
              <w:t>Aintree PS</w:t>
            </w:r>
          </w:p>
        </w:tc>
        <w:tc>
          <w:tcPr>
            <w:tcW w:w="1981" w:type="dxa"/>
            <w:gridSpan w:val="3"/>
            <w:tcBorders>
              <w:bottom w:val="single" w:sz="4" w:space="0" w:color="auto"/>
            </w:tcBorders>
            <w:shd w:val="clear" w:color="auto" w:fill="auto"/>
            <w:vAlign w:val="center"/>
          </w:tcPr>
          <w:p w14:paraId="6FCDCD7B" w14:textId="1673AB40" w:rsidR="00F52DF9" w:rsidRPr="005734B8" w:rsidRDefault="00A5305E" w:rsidP="00E23988">
            <w:pPr>
              <w:pStyle w:val="ESTablebody"/>
              <w:spacing w:before="60" w:afterLines="60" w:after="144"/>
              <w:rPr>
                <w:rFonts w:ascii="Calibri" w:hAnsi="Calibri" w:cs="Calibri"/>
                <w:sz w:val="18"/>
                <w:highlight w:val="yellow"/>
              </w:rPr>
            </w:pPr>
            <w:r w:rsidRPr="005734B8">
              <w:rPr>
                <w:rFonts w:ascii="Calibri" w:hAnsi="Calibri" w:cs="Calibri"/>
                <w:sz w:val="18"/>
              </w:rPr>
              <w:t>Aireys Inlet PS</w:t>
            </w:r>
          </w:p>
        </w:tc>
      </w:tr>
      <w:tr w:rsidR="00F52DF9" w:rsidRPr="005734B8" w14:paraId="79FFE5E9" w14:textId="77777777" w:rsidTr="00F52DF9">
        <w:trPr>
          <w:cantSplit/>
          <w:trHeight w:val="465"/>
        </w:trPr>
        <w:tc>
          <w:tcPr>
            <w:tcW w:w="1980" w:type="dxa"/>
            <w:gridSpan w:val="2"/>
            <w:tcBorders>
              <w:top w:val="single" w:sz="4" w:space="0" w:color="auto"/>
              <w:bottom w:val="single" w:sz="4" w:space="0" w:color="auto"/>
            </w:tcBorders>
            <w:shd w:val="clear" w:color="auto" w:fill="auto"/>
            <w:vAlign w:val="center"/>
          </w:tcPr>
          <w:p w14:paraId="4C415CC2" w14:textId="6E7D7902" w:rsidR="00F52DF9" w:rsidRPr="005734B8" w:rsidRDefault="00A5305E" w:rsidP="00E23988">
            <w:pPr>
              <w:pStyle w:val="ESTablebody"/>
              <w:spacing w:before="60" w:afterLines="60" w:after="144"/>
              <w:rPr>
                <w:rFonts w:ascii="Calibri" w:hAnsi="Calibri" w:cs="Calibri"/>
                <w:sz w:val="18"/>
                <w:highlight w:val="yellow"/>
              </w:rPr>
            </w:pPr>
            <w:r w:rsidRPr="005734B8">
              <w:rPr>
                <w:rFonts w:ascii="Calibri" w:hAnsi="Calibri" w:cs="Calibri"/>
                <w:sz w:val="18"/>
              </w:rPr>
              <w:t>Aitken Creek PS</w:t>
            </w:r>
          </w:p>
        </w:tc>
        <w:tc>
          <w:tcPr>
            <w:tcW w:w="1980" w:type="dxa"/>
            <w:gridSpan w:val="2"/>
            <w:tcBorders>
              <w:top w:val="single" w:sz="4" w:space="0" w:color="auto"/>
              <w:bottom w:val="single" w:sz="4" w:space="0" w:color="auto"/>
            </w:tcBorders>
            <w:vAlign w:val="center"/>
          </w:tcPr>
          <w:p w14:paraId="480658AE" w14:textId="5E983BDC"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Aitken Hill PS</w:t>
            </w:r>
          </w:p>
        </w:tc>
        <w:tc>
          <w:tcPr>
            <w:tcW w:w="1980" w:type="dxa"/>
            <w:tcBorders>
              <w:top w:val="single" w:sz="4" w:space="0" w:color="auto"/>
              <w:bottom w:val="single" w:sz="4" w:space="0" w:color="auto"/>
            </w:tcBorders>
            <w:shd w:val="clear" w:color="auto" w:fill="auto"/>
            <w:vAlign w:val="center"/>
          </w:tcPr>
          <w:p w14:paraId="7F229C8A" w14:textId="7E63902D" w:rsidR="00F52DF9" w:rsidRPr="005734B8" w:rsidRDefault="00A5305E" w:rsidP="00E23988">
            <w:pPr>
              <w:pStyle w:val="ESTablebody"/>
              <w:spacing w:before="60" w:afterLines="60" w:after="144"/>
              <w:rPr>
                <w:rFonts w:ascii="Calibri" w:eastAsia="Calibri" w:hAnsi="Calibri" w:cs="Calibri"/>
                <w:sz w:val="18"/>
                <w:highlight w:val="yellow"/>
                <w:lang w:val="en-AU"/>
              </w:rPr>
            </w:pPr>
            <w:r w:rsidRPr="005734B8">
              <w:rPr>
                <w:rFonts w:ascii="Calibri" w:eastAsia="Calibri" w:hAnsi="Calibri" w:cs="Calibri"/>
                <w:sz w:val="18"/>
                <w:lang w:val="en-AU"/>
              </w:rPr>
              <w:t>Alamanda K</w:t>
            </w:r>
            <w:r w:rsidR="00945D82" w:rsidRPr="005734B8">
              <w:rPr>
                <w:rFonts w:ascii="Calibri" w:eastAsia="Calibri" w:hAnsi="Calibri" w:cs="Calibri"/>
                <w:sz w:val="18"/>
                <w:lang w:val="en-AU"/>
              </w:rPr>
              <w:t>–</w:t>
            </w:r>
            <w:r w:rsidRPr="005734B8">
              <w:rPr>
                <w:rFonts w:ascii="Calibri" w:eastAsia="Calibri" w:hAnsi="Calibri" w:cs="Calibri"/>
                <w:sz w:val="18"/>
                <w:lang w:val="en-AU"/>
              </w:rPr>
              <w:t>9 C</w:t>
            </w:r>
          </w:p>
        </w:tc>
        <w:tc>
          <w:tcPr>
            <w:tcW w:w="1981" w:type="dxa"/>
            <w:gridSpan w:val="3"/>
            <w:tcBorders>
              <w:top w:val="single" w:sz="4" w:space="0" w:color="auto"/>
              <w:bottom w:val="single" w:sz="4" w:space="0" w:color="auto"/>
            </w:tcBorders>
            <w:shd w:val="clear" w:color="auto" w:fill="auto"/>
            <w:vAlign w:val="center"/>
          </w:tcPr>
          <w:p w14:paraId="02906F06" w14:textId="765D4556" w:rsidR="00F52DF9" w:rsidRPr="005734B8" w:rsidRDefault="00A5305E" w:rsidP="00E23988">
            <w:pPr>
              <w:pStyle w:val="ESTablebody"/>
              <w:spacing w:before="60" w:afterLines="60" w:after="144"/>
              <w:rPr>
                <w:rFonts w:ascii="Calibri" w:hAnsi="Calibri" w:cs="Calibri"/>
                <w:sz w:val="18"/>
                <w:highlight w:val="yellow"/>
              </w:rPr>
            </w:pPr>
            <w:r w:rsidRPr="005734B8">
              <w:rPr>
                <w:rFonts w:ascii="Calibri" w:hAnsi="Calibri" w:cs="Calibri"/>
                <w:sz w:val="18"/>
              </w:rPr>
              <w:t>Albert</w:t>
            </w:r>
            <w:r w:rsidR="009B7C54" w:rsidRPr="005734B8">
              <w:rPr>
                <w:rFonts w:ascii="Calibri" w:hAnsi="Calibri" w:cs="Calibri"/>
                <w:sz w:val="18"/>
              </w:rPr>
              <w:t xml:space="preserve"> Park PS</w:t>
            </w:r>
          </w:p>
        </w:tc>
      </w:tr>
      <w:tr w:rsidR="00F52DF9" w:rsidRPr="005734B8" w14:paraId="722940CC" w14:textId="77777777" w:rsidTr="00F52DF9">
        <w:trPr>
          <w:cantSplit/>
          <w:trHeight w:val="465"/>
        </w:trPr>
        <w:tc>
          <w:tcPr>
            <w:tcW w:w="1980" w:type="dxa"/>
            <w:gridSpan w:val="2"/>
            <w:tcBorders>
              <w:top w:val="single" w:sz="4" w:space="0" w:color="auto"/>
              <w:bottom w:val="single" w:sz="4" w:space="0" w:color="auto"/>
            </w:tcBorders>
            <w:shd w:val="clear" w:color="auto" w:fill="auto"/>
            <w:vAlign w:val="center"/>
          </w:tcPr>
          <w:p w14:paraId="69240658" w14:textId="7339E89A"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Albion PS</w:t>
            </w:r>
          </w:p>
        </w:tc>
        <w:tc>
          <w:tcPr>
            <w:tcW w:w="1980" w:type="dxa"/>
            <w:gridSpan w:val="2"/>
            <w:tcBorders>
              <w:top w:val="single" w:sz="4" w:space="0" w:color="auto"/>
              <w:bottom w:val="single" w:sz="4" w:space="0" w:color="auto"/>
            </w:tcBorders>
            <w:vAlign w:val="center"/>
          </w:tcPr>
          <w:p w14:paraId="31CD1598" w14:textId="0F9D5F99"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Aldercourt PS</w:t>
            </w:r>
          </w:p>
        </w:tc>
        <w:tc>
          <w:tcPr>
            <w:tcW w:w="1980" w:type="dxa"/>
            <w:tcBorders>
              <w:top w:val="single" w:sz="4" w:space="0" w:color="auto"/>
              <w:bottom w:val="single" w:sz="4" w:space="0" w:color="auto"/>
            </w:tcBorders>
            <w:shd w:val="clear" w:color="auto" w:fill="auto"/>
            <w:vAlign w:val="center"/>
          </w:tcPr>
          <w:p w14:paraId="2B1FA8C8" w14:textId="2369299B" w:rsidR="00F52DF9" w:rsidRPr="005734B8" w:rsidRDefault="00A5305E" w:rsidP="00E23988">
            <w:pPr>
              <w:pStyle w:val="ESTablebody"/>
              <w:spacing w:before="60" w:afterLines="60" w:after="144"/>
              <w:rPr>
                <w:rFonts w:ascii="Calibri" w:eastAsia="Calibri" w:hAnsi="Calibri" w:cs="Calibri"/>
                <w:sz w:val="18"/>
                <w:highlight w:val="yellow"/>
                <w:lang w:val="en-AU"/>
              </w:rPr>
            </w:pPr>
            <w:r w:rsidRPr="005734B8">
              <w:rPr>
                <w:rFonts w:ascii="Calibri" w:eastAsia="Calibri" w:hAnsi="Calibri" w:cs="Calibri"/>
                <w:sz w:val="18"/>
                <w:lang w:val="en-AU"/>
              </w:rPr>
              <w:t>Alexandra PS</w:t>
            </w:r>
          </w:p>
        </w:tc>
        <w:tc>
          <w:tcPr>
            <w:tcW w:w="1981" w:type="dxa"/>
            <w:gridSpan w:val="3"/>
            <w:tcBorders>
              <w:top w:val="single" w:sz="4" w:space="0" w:color="auto"/>
              <w:bottom w:val="single" w:sz="4" w:space="0" w:color="auto"/>
            </w:tcBorders>
            <w:shd w:val="clear" w:color="auto" w:fill="auto"/>
            <w:vAlign w:val="center"/>
          </w:tcPr>
          <w:p w14:paraId="261441B3" w14:textId="146DDB8E"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Alkira SC</w:t>
            </w:r>
          </w:p>
        </w:tc>
      </w:tr>
      <w:tr w:rsidR="00F52DF9" w:rsidRPr="005734B8" w14:paraId="0D9C1447" w14:textId="77777777" w:rsidTr="00F52DF9">
        <w:trPr>
          <w:cantSplit/>
          <w:trHeight w:val="465"/>
        </w:trPr>
        <w:tc>
          <w:tcPr>
            <w:tcW w:w="1980" w:type="dxa"/>
            <w:gridSpan w:val="2"/>
            <w:tcBorders>
              <w:top w:val="single" w:sz="4" w:space="0" w:color="auto"/>
              <w:bottom w:val="single" w:sz="4" w:space="0" w:color="auto"/>
            </w:tcBorders>
            <w:shd w:val="clear" w:color="auto" w:fill="auto"/>
            <w:vAlign w:val="center"/>
          </w:tcPr>
          <w:p w14:paraId="33A7CAF8" w14:textId="78DAF393"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 xml:space="preserve">Allansford and District PS </w:t>
            </w:r>
          </w:p>
        </w:tc>
        <w:tc>
          <w:tcPr>
            <w:tcW w:w="1980" w:type="dxa"/>
            <w:gridSpan w:val="2"/>
            <w:tcBorders>
              <w:top w:val="single" w:sz="4" w:space="0" w:color="auto"/>
              <w:bottom w:val="single" w:sz="4" w:space="0" w:color="auto"/>
            </w:tcBorders>
            <w:vAlign w:val="center"/>
          </w:tcPr>
          <w:p w14:paraId="3D170392" w14:textId="0BD2D6E7"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Alphington PS</w:t>
            </w:r>
          </w:p>
        </w:tc>
        <w:tc>
          <w:tcPr>
            <w:tcW w:w="1980" w:type="dxa"/>
            <w:tcBorders>
              <w:top w:val="single" w:sz="4" w:space="0" w:color="auto"/>
              <w:bottom w:val="single" w:sz="4" w:space="0" w:color="auto"/>
            </w:tcBorders>
            <w:shd w:val="clear" w:color="auto" w:fill="auto"/>
            <w:vAlign w:val="center"/>
          </w:tcPr>
          <w:p w14:paraId="4794BA58" w14:textId="328B0940" w:rsidR="00F52DF9" w:rsidRPr="005734B8" w:rsidRDefault="00A5305E" w:rsidP="00E23988">
            <w:pPr>
              <w:pStyle w:val="ESTablebody"/>
              <w:spacing w:before="60" w:afterLines="60" w:after="144"/>
              <w:rPr>
                <w:rFonts w:ascii="Calibri" w:eastAsia="Calibri" w:hAnsi="Calibri" w:cs="Calibri"/>
                <w:sz w:val="18"/>
                <w:highlight w:val="yellow"/>
                <w:lang w:val="en-AU"/>
              </w:rPr>
            </w:pPr>
            <w:r w:rsidRPr="005734B8">
              <w:rPr>
                <w:rFonts w:ascii="Calibri" w:eastAsia="Calibri" w:hAnsi="Calibri" w:cs="Calibri"/>
                <w:sz w:val="18"/>
                <w:lang w:val="en-AU"/>
              </w:rPr>
              <w:t>Altona C</w:t>
            </w:r>
          </w:p>
        </w:tc>
        <w:tc>
          <w:tcPr>
            <w:tcW w:w="1981" w:type="dxa"/>
            <w:gridSpan w:val="3"/>
            <w:tcBorders>
              <w:top w:val="single" w:sz="4" w:space="0" w:color="auto"/>
              <w:bottom w:val="single" w:sz="4" w:space="0" w:color="auto"/>
            </w:tcBorders>
            <w:shd w:val="clear" w:color="auto" w:fill="auto"/>
            <w:vAlign w:val="center"/>
          </w:tcPr>
          <w:p w14:paraId="4722657C" w14:textId="1AEEB1F8"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Altona North PS</w:t>
            </w:r>
          </w:p>
        </w:tc>
      </w:tr>
      <w:tr w:rsidR="00F52DF9" w:rsidRPr="005734B8" w14:paraId="0007A39C" w14:textId="77777777" w:rsidTr="00F52DF9">
        <w:trPr>
          <w:cantSplit/>
          <w:trHeight w:val="465"/>
        </w:trPr>
        <w:tc>
          <w:tcPr>
            <w:tcW w:w="1980" w:type="dxa"/>
            <w:gridSpan w:val="2"/>
            <w:tcBorders>
              <w:top w:val="single" w:sz="4" w:space="0" w:color="auto"/>
              <w:bottom w:val="single" w:sz="4" w:space="0" w:color="auto"/>
            </w:tcBorders>
            <w:shd w:val="clear" w:color="auto" w:fill="auto"/>
            <w:vAlign w:val="center"/>
          </w:tcPr>
          <w:p w14:paraId="37C28D2F" w14:textId="522E4924"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rPr>
              <w:t>Altona PS</w:t>
            </w:r>
          </w:p>
        </w:tc>
        <w:tc>
          <w:tcPr>
            <w:tcW w:w="1980" w:type="dxa"/>
            <w:gridSpan w:val="2"/>
            <w:tcBorders>
              <w:top w:val="single" w:sz="4" w:space="0" w:color="auto"/>
              <w:bottom w:val="single" w:sz="4" w:space="0" w:color="auto"/>
            </w:tcBorders>
            <w:vAlign w:val="center"/>
          </w:tcPr>
          <w:p w14:paraId="3EC08727" w14:textId="54B8BFF2"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sz w:val="18"/>
              </w:rPr>
              <w:t>Anglesea PS</w:t>
            </w:r>
          </w:p>
        </w:tc>
        <w:tc>
          <w:tcPr>
            <w:tcW w:w="1980" w:type="dxa"/>
            <w:tcBorders>
              <w:top w:val="single" w:sz="4" w:space="0" w:color="auto"/>
              <w:bottom w:val="single" w:sz="4" w:space="0" w:color="auto"/>
            </w:tcBorders>
            <w:shd w:val="clear" w:color="auto" w:fill="auto"/>
            <w:vAlign w:val="center"/>
          </w:tcPr>
          <w:p w14:paraId="6749D558" w14:textId="4EA886E6" w:rsidR="00F52DF9" w:rsidRPr="005734B8" w:rsidRDefault="00A5305E" w:rsidP="00E23988">
            <w:pPr>
              <w:pStyle w:val="ESTablebody"/>
              <w:spacing w:before="60" w:afterLines="60" w:after="144"/>
              <w:rPr>
                <w:rFonts w:ascii="Calibri" w:eastAsia="Calibri" w:hAnsi="Calibri" w:cs="Calibri"/>
                <w:sz w:val="18"/>
                <w:highlight w:val="yellow"/>
                <w:lang w:val="en-AU"/>
              </w:rPr>
            </w:pPr>
            <w:r w:rsidRPr="005734B8">
              <w:rPr>
                <w:rFonts w:ascii="Calibri" w:hAnsi="Calibri" w:cs="Calibri"/>
                <w:sz w:val="18"/>
              </w:rPr>
              <w:t>Antonio Park PS</w:t>
            </w:r>
          </w:p>
        </w:tc>
        <w:tc>
          <w:tcPr>
            <w:tcW w:w="1981" w:type="dxa"/>
            <w:gridSpan w:val="3"/>
            <w:tcBorders>
              <w:top w:val="single" w:sz="4" w:space="0" w:color="auto"/>
              <w:bottom w:val="single" w:sz="4" w:space="0" w:color="auto"/>
            </w:tcBorders>
            <w:shd w:val="clear" w:color="auto" w:fill="auto"/>
            <w:vAlign w:val="center"/>
          </w:tcPr>
          <w:p w14:paraId="3DAF100D" w14:textId="324BF32E"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rPr>
              <w:t>Apsley PS</w:t>
            </w:r>
          </w:p>
        </w:tc>
      </w:tr>
      <w:tr w:rsidR="00F52DF9" w:rsidRPr="005734B8" w14:paraId="49594B1C" w14:textId="77777777" w:rsidTr="00F52DF9">
        <w:trPr>
          <w:cantSplit/>
          <w:trHeight w:val="465"/>
        </w:trPr>
        <w:tc>
          <w:tcPr>
            <w:tcW w:w="1980" w:type="dxa"/>
            <w:gridSpan w:val="2"/>
            <w:tcBorders>
              <w:top w:val="single" w:sz="4" w:space="0" w:color="auto"/>
              <w:bottom w:val="single" w:sz="4" w:space="0" w:color="auto"/>
            </w:tcBorders>
            <w:shd w:val="clear" w:color="auto" w:fill="auto"/>
            <w:vAlign w:val="center"/>
          </w:tcPr>
          <w:p w14:paraId="401C45D4" w14:textId="26BD0C72"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rPr>
              <w:t>Ararat PS</w:t>
            </w:r>
          </w:p>
        </w:tc>
        <w:tc>
          <w:tcPr>
            <w:tcW w:w="1980" w:type="dxa"/>
            <w:gridSpan w:val="2"/>
            <w:tcBorders>
              <w:top w:val="single" w:sz="4" w:space="0" w:color="auto"/>
              <w:bottom w:val="single" w:sz="4" w:space="0" w:color="auto"/>
            </w:tcBorders>
            <w:vAlign w:val="center"/>
          </w:tcPr>
          <w:p w14:paraId="78DED6D0" w14:textId="3D9337FF"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sz w:val="18"/>
              </w:rPr>
              <w:t>Ararat West PS</w:t>
            </w:r>
          </w:p>
        </w:tc>
        <w:tc>
          <w:tcPr>
            <w:tcW w:w="1980" w:type="dxa"/>
            <w:tcBorders>
              <w:top w:val="single" w:sz="4" w:space="0" w:color="auto"/>
              <w:bottom w:val="single" w:sz="4" w:space="0" w:color="auto"/>
            </w:tcBorders>
            <w:shd w:val="clear" w:color="auto" w:fill="auto"/>
            <w:vAlign w:val="center"/>
          </w:tcPr>
          <w:p w14:paraId="162F4189" w14:textId="53D80F85" w:rsidR="00F52DF9" w:rsidRPr="005734B8" w:rsidRDefault="00A5305E" w:rsidP="00E23988">
            <w:pPr>
              <w:pStyle w:val="ESTablebody"/>
              <w:spacing w:before="60" w:afterLines="60" w:after="144"/>
              <w:rPr>
                <w:rFonts w:ascii="Calibri" w:eastAsia="Calibri" w:hAnsi="Calibri" w:cs="Calibri"/>
                <w:sz w:val="18"/>
                <w:highlight w:val="yellow"/>
                <w:lang w:val="en-AU"/>
              </w:rPr>
            </w:pPr>
            <w:r w:rsidRPr="005734B8">
              <w:rPr>
                <w:rFonts w:ascii="Calibri" w:hAnsi="Calibri" w:cs="Calibri"/>
                <w:sz w:val="18"/>
              </w:rPr>
              <w:t>Ardeer PS</w:t>
            </w:r>
          </w:p>
        </w:tc>
        <w:tc>
          <w:tcPr>
            <w:tcW w:w="1981" w:type="dxa"/>
            <w:gridSpan w:val="3"/>
            <w:tcBorders>
              <w:top w:val="single" w:sz="4" w:space="0" w:color="auto"/>
              <w:bottom w:val="single" w:sz="4" w:space="0" w:color="auto"/>
            </w:tcBorders>
            <w:shd w:val="clear" w:color="auto" w:fill="auto"/>
            <w:vAlign w:val="center"/>
          </w:tcPr>
          <w:p w14:paraId="17AFABAA" w14:textId="22D85203"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rPr>
              <w:t>Armadale PS</w:t>
            </w:r>
          </w:p>
        </w:tc>
      </w:tr>
      <w:tr w:rsidR="00F52DF9" w:rsidRPr="005734B8" w14:paraId="3904D711"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79E97CD" w14:textId="5FCEF7C2"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rPr>
              <w:t>Armstrong Creek S</w:t>
            </w:r>
          </w:p>
        </w:tc>
        <w:tc>
          <w:tcPr>
            <w:tcW w:w="1962" w:type="dxa"/>
            <w:gridSpan w:val="2"/>
            <w:tcBorders>
              <w:top w:val="single" w:sz="4" w:space="0" w:color="auto"/>
              <w:bottom w:val="single" w:sz="4" w:space="0" w:color="auto"/>
            </w:tcBorders>
            <w:vAlign w:val="center"/>
          </w:tcPr>
          <w:p w14:paraId="5983B298" w14:textId="2203AFEF"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sz w:val="18"/>
              </w:rPr>
              <w:t>Arthurs Creek PS</w:t>
            </w:r>
          </w:p>
        </w:tc>
        <w:tc>
          <w:tcPr>
            <w:tcW w:w="2025" w:type="dxa"/>
            <w:gridSpan w:val="3"/>
            <w:tcBorders>
              <w:top w:val="single" w:sz="4" w:space="0" w:color="auto"/>
              <w:bottom w:val="single" w:sz="4" w:space="0" w:color="auto"/>
            </w:tcBorders>
            <w:shd w:val="clear" w:color="auto" w:fill="auto"/>
            <w:vAlign w:val="center"/>
          </w:tcPr>
          <w:p w14:paraId="2A3273E8" w14:textId="0281313B"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rPr>
              <w:t>Ashby PS</w:t>
            </w:r>
          </w:p>
        </w:tc>
        <w:tc>
          <w:tcPr>
            <w:tcW w:w="1900" w:type="dxa"/>
            <w:tcBorders>
              <w:top w:val="single" w:sz="4" w:space="0" w:color="auto"/>
              <w:bottom w:val="single" w:sz="4" w:space="0" w:color="auto"/>
            </w:tcBorders>
            <w:shd w:val="clear" w:color="auto" w:fill="auto"/>
            <w:vAlign w:val="center"/>
          </w:tcPr>
          <w:p w14:paraId="6C955C5A" w14:textId="314A49E6"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rPr>
              <w:t>Auburn HS</w:t>
            </w:r>
          </w:p>
        </w:tc>
      </w:tr>
      <w:tr w:rsidR="00F52DF9" w:rsidRPr="005734B8" w14:paraId="208F12EE"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9BB7016" w14:textId="0A01CF82"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rPr>
              <w:t>Aurora S</w:t>
            </w:r>
          </w:p>
        </w:tc>
        <w:tc>
          <w:tcPr>
            <w:tcW w:w="1962" w:type="dxa"/>
            <w:gridSpan w:val="2"/>
            <w:tcBorders>
              <w:top w:val="single" w:sz="4" w:space="0" w:color="auto"/>
              <w:bottom w:val="single" w:sz="4" w:space="0" w:color="auto"/>
            </w:tcBorders>
            <w:vAlign w:val="center"/>
          </w:tcPr>
          <w:p w14:paraId="7766FA52" w14:textId="02825545"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sz w:val="18"/>
              </w:rPr>
              <w:t>Avoca PS</w:t>
            </w:r>
          </w:p>
        </w:tc>
        <w:tc>
          <w:tcPr>
            <w:tcW w:w="2025" w:type="dxa"/>
            <w:gridSpan w:val="3"/>
            <w:tcBorders>
              <w:top w:val="single" w:sz="4" w:space="0" w:color="auto"/>
              <w:bottom w:val="single" w:sz="4" w:space="0" w:color="auto"/>
            </w:tcBorders>
            <w:shd w:val="clear" w:color="auto" w:fill="auto"/>
            <w:vAlign w:val="center"/>
          </w:tcPr>
          <w:p w14:paraId="76C7A559" w14:textId="5D0DDD87"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rPr>
              <w:t>Avondale PS</w:t>
            </w:r>
          </w:p>
        </w:tc>
        <w:tc>
          <w:tcPr>
            <w:tcW w:w="1900" w:type="dxa"/>
            <w:tcBorders>
              <w:top w:val="single" w:sz="4" w:space="0" w:color="auto"/>
              <w:bottom w:val="single" w:sz="4" w:space="0" w:color="auto"/>
            </w:tcBorders>
            <w:shd w:val="clear" w:color="auto" w:fill="auto"/>
            <w:vAlign w:val="center"/>
          </w:tcPr>
          <w:p w14:paraId="641F51B9" w14:textId="77F87D5A"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rPr>
              <w:t>Bacchus Marsh C</w:t>
            </w:r>
          </w:p>
        </w:tc>
      </w:tr>
      <w:tr w:rsidR="00F52DF9" w:rsidRPr="005734B8" w14:paraId="6BEC2D7B"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2BD5FD71" w14:textId="12EDD976"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rPr>
              <w:t>Bacchus Marsh PS</w:t>
            </w:r>
          </w:p>
        </w:tc>
        <w:tc>
          <w:tcPr>
            <w:tcW w:w="1962" w:type="dxa"/>
            <w:gridSpan w:val="2"/>
            <w:tcBorders>
              <w:top w:val="single" w:sz="4" w:space="0" w:color="auto"/>
              <w:bottom w:val="single" w:sz="4" w:space="0" w:color="auto"/>
            </w:tcBorders>
            <w:vAlign w:val="center"/>
          </w:tcPr>
          <w:p w14:paraId="1C1D7DA7" w14:textId="49BC4FC5"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sz w:val="18"/>
              </w:rPr>
              <w:t>Baimbridge C</w:t>
            </w:r>
          </w:p>
        </w:tc>
        <w:tc>
          <w:tcPr>
            <w:tcW w:w="2025" w:type="dxa"/>
            <w:gridSpan w:val="3"/>
            <w:tcBorders>
              <w:top w:val="single" w:sz="4" w:space="0" w:color="auto"/>
              <w:bottom w:val="single" w:sz="4" w:space="0" w:color="auto"/>
            </w:tcBorders>
            <w:shd w:val="clear" w:color="auto" w:fill="auto"/>
            <w:vAlign w:val="center"/>
          </w:tcPr>
          <w:p w14:paraId="4B68AEBE" w14:textId="584D127B"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rPr>
              <w:t>Bairnsdale SC</w:t>
            </w:r>
          </w:p>
        </w:tc>
        <w:tc>
          <w:tcPr>
            <w:tcW w:w="1900" w:type="dxa"/>
            <w:tcBorders>
              <w:top w:val="single" w:sz="4" w:space="0" w:color="auto"/>
              <w:bottom w:val="single" w:sz="4" w:space="0" w:color="auto"/>
            </w:tcBorders>
            <w:shd w:val="clear" w:color="auto" w:fill="auto"/>
            <w:vAlign w:val="center"/>
          </w:tcPr>
          <w:p w14:paraId="0A048EEF" w14:textId="1FCAD153"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rPr>
              <w:t>Ballam Park PS</w:t>
            </w:r>
          </w:p>
        </w:tc>
      </w:tr>
      <w:tr w:rsidR="00F52DF9" w:rsidRPr="005734B8" w14:paraId="602EF4CE"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E99AC89" w14:textId="42CD326C"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Ballarat HS</w:t>
            </w:r>
          </w:p>
        </w:tc>
        <w:tc>
          <w:tcPr>
            <w:tcW w:w="1962" w:type="dxa"/>
            <w:gridSpan w:val="2"/>
            <w:tcBorders>
              <w:top w:val="single" w:sz="4" w:space="0" w:color="auto"/>
              <w:bottom w:val="single" w:sz="4" w:space="0" w:color="auto"/>
            </w:tcBorders>
            <w:vAlign w:val="center"/>
          </w:tcPr>
          <w:p w14:paraId="084A04BF" w14:textId="551427D5"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Barnawartha PS</w:t>
            </w:r>
          </w:p>
        </w:tc>
        <w:tc>
          <w:tcPr>
            <w:tcW w:w="2025" w:type="dxa"/>
            <w:gridSpan w:val="3"/>
            <w:tcBorders>
              <w:top w:val="single" w:sz="4" w:space="0" w:color="auto"/>
              <w:bottom w:val="single" w:sz="4" w:space="0" w:color="auto"/>
            </w:tcBorders>
            <w:shd w:val="clear" w:color="auto" w:fill="auto"/>
            <w:vAlign w:val="center"/>
          </w:tcPr>
          <w:p w14:paraId="487CF07E" w14:textId="014904FA"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Barton PS</w:t>
            </w:r>
          </w:p>
        </w:tc>
        <w:tc>
          <w:tcPr>
            <w:tcW w:w="1900" w:type="dxa"/>
            <w:tcBorders>
              <w:top w:val="single" w:sz="4" w:space="0" w:color="auto"/>
              <w:bottom w:val="single" w:sz="4" w:space="0" w:color="auto"/>
            </w:tcBorders>
            <w:shd w:val="clear" w:color="auto" w:fill="auto"/>
            <w:vAlign w:val="center"/>
          </w:tcPr>
          <w:p w14:paraId="7C22DAC0" w14:textId="6950A231"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Barwon Heads PS</w:t>
            </w:r>
          </w:p>
        </w:tc>
      </w:tr>
      <w:tr w:rsidR="00F52DF9" w:rsidRPr="005734B8" w14:paraId="51D8E39B"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47262D3" w14:textId="556B148E"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Barwon Valley S</w:t>
            </w:r>
          </w:p>
        </w:tc>
        <w:tc>
          <w:tcPr>
            <w:tcW w:w="1962" w:type="dxa"/>
            <w:gridSpan w:val="2"/>
            <w:tcBorders>
              <w:top w:val="single" w:sz="4" w:space="0" w:color="auto"/>
              <w:bottom w:val="single" w:sz="4" w:space="0" w:color="auto"/>
            </w:tcBorders>
            <w:vAlign w:val="center"/>
          </w:tcPr>
          <w:p w14:paraId="4A6B34E7" w14:textId="08008054"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Bass Coast C</w:t>
            </w:r>
          </w:p>
        </w:tc>
        <w:tc>
          <w:tcPr>
            <w:tcW w:w="2025" w:type="dxa"/>
            <w:gridSpan w:val="3"/>
            <w:tcBorders>
              <w:top w:val="single" w:sz="4" w:space="0" w:color="auto"/>
              <w:bottom w:val="single" w:sz="4" w:space="0" w:color="auto"/>
            </w:tcBorders>
            <w:shd w:val="clear" w:color="auto" w:fill="auto"/>
            <w:vAlign w:val="center"/>
          </w:tcPr>
          <w:p w14:paraId="3345DFEA" w14:textId="1647C9D8"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Bass Coast SS</w:t>
            </w:r>
          </w:p>
        </w:tc>
        <w:tc>
          <w:tcPr>
            <w:tcW w:w="1900" w:type="dxa"/>
            <w:tcBorders>
              <w:top w:val="single" w:sz="4" w:space="0" w:color="auto"/>
              <w:bottom w:val="single" w:sz="4" w:space="0" w:color="auto"/>
            </w:tcBorders>
            <w:shd w:val="clear" w:color="auto" w:fill="auto"/>
            <w:vAlign w:val="center"/>
          </w:tcPr>
          <w:p w14:paraId="1AABF4BE" w14:textId="5B172734"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Bastow Victorian Academy of Teaching and Leadership</w:t>
            </w:r>
          </w:p>
        </w:tc>
      </w:tr>
      <w:tr w:rsidR="00F52DF9" w:rsidRPr="005734B8" w14:paraId="18708E4B"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8A08F33" w14:textId="2247D786"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Baxter PS</w:t>
            </w:r>
          </w:p>
        </w:tc>
        <w:tc>
          <w:tcPr>
            <w:tcW w:w="1962" w:type="dxa"/>
            <w:gridSpan w:val="2"/>
            <w:tcBorders>
              <w:top w:val="single" w:sz="4" w:space="0" w:color="auto"/>
              <w:bottom w:val="single" w:sz="4" w:space="0" w:color="auto"/>
            </w:tcBorders>
            <w:vAlign w:val="center"/>
          </w:tcPr>
          <w:p w14:paraId="4250A01F" w14:textId="3923FD28"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Bayles Regional PS</w:t>
            </w:r>
          </w:p>
        </w:tc>
        <w:tc>
          <w:tcPr>
            <w:tcW w:w="2025" w:type="dxa"/>
            <w:gridSpan w:val="3"/>
            <w:tcBorders>
              <w:top w:val="single" w:sz="4" w:space="0" w:color="auto"/>
              <w:bottom w:val="single" w:sz="4" w:space="0" w:color="auto"/>
            </w:tcBorders>
            <w:shd w:val="clear" w:color="auto" w:fill="auto"/>
            <w:vAlign w:val="center"/>
          </w:tcPr>
          <w:p w14:paraId="12A23B7F" w14:textId="5B76EE82"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Bayside P</w:t>
            </w:r>
            <w:r w:rsidR="00104F40" w:rsidRPr="005734B8">
              <w:rPr>
                <w:rFonts w:ascii="Calibri" w:hAnsi="Calibri" w:cs="Calibri"/>
                <w:sz w:val="18"/>
                <w:lang w:val="en-AU"/>
              </w:rPr>
              <w:t>–</w:t>
            </w:r>
            <w:r w:rsidRPr="005734B8">
              <w:rPr>
                <w:rFonts w:ascii="Calibri" w:hAnsi="Calibri" w:cs="Calibri"/>
                <w:sz w:val="18"/>
                <w:lang w:val="en-AU"/>
              </w:rPr>
              <w:t>12 C</w:t>
            </w:r>
          </w:p>
        </w:tc>
        <w:tc>
          <w:tcPr>
            <w:tcW w:w="1900" w:type="dxa"/>
            <w:tcBorders>
              <w:top w:val="single" w:sz="4" w:space="0" w:color="auto"/>
              <w:bottom w:val="single" w:sz="4" w:space="0" w:color="auto"/>
            </w:tcBorders>
            <w:shd w:val="clear" w:color="auto" w:fill="auto"/>
            <w:vAlign w:val="center"/>
          </w:tcPr>
          <w:p w14:paraId="74D131CD" w14:textId="6DFFF756"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Bayswater South PS</w:t>
            </w:r>
          </w:p>
        </w:tc>
      </w:tr>
      <w:tr w:rsidR="00F52DF9" w:rsidRPr="005734B8" w14:paraId="6916C2F8"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410FE00" w14:textId="0FC0A1BF"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Beaconsfield Upper PS</w:t>
            </w:r>
          </w:p>
        </w:tc>
        <w:tc>
          <w:tcPr>
            <w:tcW w:w="1962" w:type="dxa"/>
            <w:gridSpan w:val="2"/>
            <w:tcBorders>
              <w:top w:val="single" w:sz="4" w:space="0" w:color="auto"/>
              <w:bottom w:val="single" w:sz="4" w:space="0" w:color="auto"/>
            </w:tcBorders>
            <w:vAlign w:val="center"/>
          </w:tcPr>
          <w:p w14:paraId="1605FEA2" w14:textId="6C09C778"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Beaumaris SC</w:t>
            </w:r>
          </w:p>
        </w:tc>
        <w:tc>
          <w:tcPr>
            <w:tcW w:w="2025" w:type="dxa"/>
            <w:gridSpan w:val="3"/>
            <w:tcBorders>
              <w:top w:val="single" w:sz="4" w:space="0" w:color="auto"/>
              <w:bottom w:val="single" w:sz="4" w:space="0" w:color="auto"/>
            </w:tcBorders>
            <w:shd w:val="clear" w:color="auto" w:fill="auto"/>
            <w:vAlign w:val="center"/>
          </w:tcPr>
          <w:p w14:paraId="2AED30C6" w14:textId="4E363171"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Beechworth SC</w:t>
            </w:r>
          </w:p>
        </w:tc>
        <w:tc>
          <w:tcPr>
            <w:tcW w:w="1900" w:type="dxa"/>
            <w:tcBorders>
              <w:top w:val="single" w:sz="4" w:space="0" w:color="auto"/>
              <w:bottom w:val="single" w:sz="4" w:space="0" w:color="auto"/>
            </w:tcBorders>
            <w:shd w:val="clear" w:color="auto" w:fill="auto"/>
            <w:vAlign w:val="center"/>
          </w:tcPr>
          <w:p w14:paraId="6874EF8C" w14:textId="101396CB"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Bellaire PS</w:t>
            </w:r>
          </w:p>
        </w:tc>
      </w:tr>
      <w:tr w:rsidR="00F52DF9" w:rsidRPr="005734B8" w14:paraId="0DDE7727"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2942A0A0" w14:textId="5A8C9BF2"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Bellarine SC</w:t>
            </w:r>
          </w:p>
        </w:tc>
        <w:tc>
          <w:tcPr>
            <w:tcW w:w="1962" w:type="dxa"/>
            <w:gridSpan w:val="2"/>
            <w:tcBorders>
              <w:top w:val="single" w:sz="4" w:space="0" w:color="auto"/>
              <w:bottom w:val="single" w:sz="4" w:space="0" w:color="auto"/>
            </w:tcBorders>
            <w:vAlign w:val="center"/>
          </w:tcPr>
          <w:p w14:paraId="063DD9D1" w14:textId="5F478793"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Bellbrae PS</w:t>
            </w:r>
          </w:p>
        </w:tc>
        <w:tc>
          <w:tcPr>
            <w:tcW w:w="2025" w:type="dxa"/>
            <w:gridSpan w:val="3"/>
            <w:tcBorders>
              <w:top w:val="single" w:sz="4" w:space="0" w:color="auto"/>
              <w:bottom w:val="single" w:sz="4" w:space="0" w:color="auto"/>
            </w:tcBorders>
            <w:shd w:val="clear" w:color="auto" w:fill="auto"/>
            <w:vAlign w:val="center"/>
          </w:tcPr>
          <w:p w14:paraId="7C18EF9D" w14:textId="6A6E2068"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 xml:space="preserve">Belmont </w:t>
            </w:r>
            <w:r w:rsidR="00104F40" w:rsidRPr="005734B8">
              <w:rPr>
                <w:rFonts w:ascii="Calibri" w:hAnsi="Calibri" w:cs="Calibri"/>
                <w:sz w:val="18"/>
                <w:lang w:val="en-AU"/>
              </w:rPr>
              <w:t>HS</w:t>
            </w:r>
          </w:p>
        </w:tc>
        <w:tc>
          <w:tcPr>
            <w:tcW w:w="1900" w:type="dxa"/>
            <w:tcBorders>
              <w:top w:val="single" w:sz="4" w:space="0" w:color="auto"/>
              <w:bottom w:val="single" w:sz="4" w:space="0" w:color="auto"/>
            </w:tcBorders>
            <w:shd w:val="clear" w:color="auto" w:fill="auto"/>
            <w:vAlign w:val="center"/>
          </w:tcPr>
          <w:p w14:paraId="63AD63E7" w14:textId="7FAA8243"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Belvedere Park PS</w:t>
            </w:r>
          </w:p>
        </w:tc>
      </w:tr>
      <w:tr w:rsidR="00F52DF9" w:rsidRPr="005734B8" w14:paraId="411B0269"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2A8DCBAA" w14:textId="7748CFAD"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Benalla P</w:t>
            </w:r>
            <w:r w:rsidR="00104F40" w:rsidRPr="005734B8">
              <w:rPr>
                <w:rFonts w:ascii="Calibri" w:hAnsi="Calibri" w:cs="Calibri"/>
                <w:sz w:val="18"/>
                <w:lang w:val="en-AU"/>
              </w:rPr>
              <w:t>–</w:t>
            </w:r>
            <w:r w:rsidRPr="005734B8">
              <w:rPr>
                <w:rFonts w:ascii="Calibri" w:hAnsi="Calibri" w:cs="Calibri"/>
                <w:sz w:val="18"/>
                <w:lang w:val="en-AU"/>
              </w:rPr>
              <w:t>12 C</w:t>
            </w:r>
          </w:p>
        </w:tc>
        <w:tc>
          <w:tcPr>
            <w:tcW w:w="1962" w:type="dxa"/>
            <w:gridSpan w:val="2"/>
            <w:tcBorders>
              <w:top w:val="single" w:sz="4" w:space="0" w:color="auto"/>
              <w:bottom w:val="single" w:sz="4" w:space="0" w:color="auto"/>
            </w:tcBorders>
            <w:vAlign w:val="center"/>
          </w:tcPr>
          <w:p w14:paraId="58788B1D" w14:textId="7BF2ED83"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Bendigo PS</w:t>
            </w:r>
          </w:p>
        </w:tc>
        <w:tc>
          <w:tcPr>
            <w:tcW w:w="2025" w:type="dxa"/>
            <w:gridSpan w:val="3"/>
            <w:tcBorders>
              <w:top w:val="single" w:sz="4" w:space="0" w:color="auto"/>
              <w:bottom w:val="single" w:sz="4" w:space="0" w:color="auto"/>
            </w:tcBorders>
            <w:shd w:val="clear" w:color="auto" w:fill="auto"/>
            <w:vAlign w:val="center"/>
          </w:tcPr>
          <w:p w14:paraId="1CCB10F3" w14:textId="318EAFEE"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Bendigo Senior SC</w:t>
            </w:r>
          </w:p>
        </w:tc>
        <w:tc>
          <w:tcPr>
            <w:tcW w:w="1900" w:type="dxa"/>
            <w:tcBorders>
              <w:top w:val="single" w:sz="4" w:space="0" w:color="auto"/>
              <w:bottom w:val="single" w:sz="4" w:space="0" w:color="auto"/>
            </w:tcBorders>
            <w:shd w:val="clear" w:color="auto" w:fill="auto"/>
            <w:vAlign w:val="center"/>
          </w:tcPr>
          <w:p w14:paraId="35560C1A" w14:textId="3175890E"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Bendigo South East 7</w:t>
            </w:r>
            <w:r w:rsidR="00104F40" w:rsidRPr="005734B8">
              <w:rPr>
                <w:rFonts w:ascii="Calibri" w:hAnsi="Calibri" w:cs="Calibri"/>
                <w:sz w:val="18"/>
                <w:lang w:val="en-AU"/>
              </w:rPr>
              <w:t>–</w:t>
            </w:r>
            <w:r w:rsidRPr="005734B8">
              <w:rPr>
                <w:rFonts w:ascii="Calibri" w:hAnsi="Calibri" w:cs="Calibri"/>
                <w:sz w:val="18"/>
                <w:lang w:val="en-AU"/>
              </w:rPr>
              <w:t>10 SC</w:t>
            </w:r>
          </w:p>
        </w:tc>
      </w:tr>
      <w:tr w:rsidR="00F52DF9" w:rsidRPr="005734B8" w14:paraId="7C78A5C9"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4383C21" w14:textId="7D65DADA"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Berwick Chase PS</w:t>
            </w:r>
          </w:p>
        </w:tc>
        <w:tc>
          <w:tcPr>
            <w:tcW w:w="1962" w:type="dxa"/>
            <w:gridSpan w:val="2"/>
            <w:tcBorders>
              <w:top w:val="single" w:sz="4" w:space="0" w:color="auto"/>
              <w:bottom w:val="single" w:sz="4" w:space="0" w:color="auto"/>
            </w:tcBorders>
            <w:vAlign w:val="center"/>
          </w:tcPr>
          <w:p w14:paraId="4289D6FE" w14:textId="4789DFF2"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Berwick Fields PS</w:t>
            </w:r>
          </w:p>
        </w:tc>
        <w:tc>
          <w:tcPr>
            <w:tcW w:w="2025" w:type="dxa"/>
            <w:gridSpan w:val="3"/>
            <w:tcBorders>
              <w:top w:val="single" w:sz="4" w:space="0" w:color="auto"/>
              <w:bottom w:val="single" w:sz="4" w:space="0" w:color="auto"/>
            </w:tcBorders>
            <w:shd w:val="clear" w:color="auto" w:fill="auto"/>
            <w:vAlign w:val="center"/>
          </w:tcPr>
          <w:p w14:paraId="3C678A7E" w14:textId="0F611F68"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Berwick SC</w:t>
            </w:r>
          </w:p>
        </w:tc>
        <w:tc>
          <w:tcPr>
            <w:tcW w:w="1900" w:type="dxa"/>
            <w:tcBorders>
              <w:top w:val="single" w:sz="4" w:space="0" w:color="auto"/>
              <w:bottom w:val="single" w:sz="4" w:space="0" w:color="auto"/>
            </w:tcBorders>
            <w:shd w:val="clear" w:color="auto" w:fill="auto"/>
            <w:vAlign w:val="center"/>
          </w:tcPr>
          <w:p w14:paraId="6B38C8B5" w14:textId="1BFEA01E"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Bethal PS</w:t>
            </w:r>
          </w:p>
        </w:tc>
      </w:tr>
      <w:tr w:rsidR="00F52DF9" w:rsidRPr="005734B8" w14:paraId="6B963A8C"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3B7D0EB9" w14:textId="12514F61"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Beulah PS</w:t>
            </w:r>
          </w:p>
        </w:tc>
        <w:tc>
          <w:tcPr>
            <w:tcW w:w="1962" w:type="dxa"/>
            <w:gridSpan w:val="2"/>
            <w:tcBorders>
              <w:top w:val="single" w:sz="4" w:space="0" w:color="auto"/>
              <w:bottom w:val="single" w:sz="4" w:space="0" w:color="auto"/>
            </w:tcBorders>
            <w:vAlign w:val="center"/>
          </w:tcPr>
          <w:p w14:paraId="0DD84D5E" w14:textId="545F03B8"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Beverley Hill PS</w:t>
            </w:r>
          </w:p>
        </w:tc>
        <w:tc>
          <w:tcPr>
            <w:tcW w:w="2025" w:type="dxa"/>
            <w:gridSpan w:val="3"/>
            <w:tcBorders>
              <w:top w:val="single" w:sz="4" w:space="0" w:color="auto"/>
              <w:bottom w:val="single" w:sz="4" w:space="0" w:color="auto"/>
            </w:tcBorders>
            <w:shd w:val="clear" w:color="auto" w:fill="auto"/>
            <w:vAlign w:val="center"/>
          </w:tcPr>
          <w:p w14:paraId="47AAAF0A" w14:textId="5C1E8E9F"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Billanook PS</w:t>
            </w:r>
          </w:p>
        </w:tc>
        <w:tc>
          <w:tcPr>
            <w:tcW w:w="1900" w:type="dxa"/>
            <w:tcBorders>
              <w:top w:val="single" w:sz="4" w:space="0" w:color="auto"/>
              <w:bottom w:val="single" w:sz="4" w:space="0" w:color="auto"/>
            </w:tcBorders>
            <w:shd w:val="clear" w:color="auto" w:fill="auto"/>
            <w:vAlign w:val="center"/>
          </w:tcPr>
          <w:p w14:paraId="7A09F8AF" w14:textId="1B524F5E"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Birralee PS</w:t>
            </w:r>
          </w:p>
        </w:tc>
      </w:tr>
      <w:tr w:rsidR="00F52DF9" w:rsidRPr="005734B8" w14:paraId="2024F0BE"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7D50F921" w14:textId="3FBB8850"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Black Hill PS</w:t>
            </w:r>
          </w:p>
        </w:tc>
        <w:tc>
          <w:tcPr>
            <w:tcW w:w="1962" w:type="dxa"/>
            <w:gridSpan w:val="2"/>
            <w:tcBorders>
              <w:top w:val="single" w:sz="4" w:space="0" w:color="auto"/>
              <w:bottom w:val="single" w:sz="4" w:space="0" w:color="auto"/>
            </w:tcBorders>
            <w:vAlign w:val="center"/>
          </w:tcPr>
          <w:p w14:paraId="25EFEBAE" w14:textId="186943A0"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Blackburn Lake PS</w:t>
            </w:r>
          </w:p>
        </w:tc>
        <w:tc>
          <w:tcPr>
            <w:tcW w:w="2025" w:type="dxa"/>
            <w:gridSpan w:val="3"/>
            <w:tcBorders>
              <w:top w:val="single" w:sz="4" w:space="0" w:color="auto"/>
              <w:bottom w:val="single" w:sz="4" w:space="0" w:color="auto"/>
            </w:tcBorders>
            <w:shd w:val="clear" w:color="auto" w:fill="auto"/>
            <w:vAlign w:val="center"/>
          </w:tcPr>
          <w:p w14:paraId="267252F6" w14:textId="19540D72"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Blackburn PS</w:t>
            </w:r>
          </w:p>
        </w:tc>
        <w:tc>
          <w:tcPr>
            <w:tcW w:w="1900" w:type="dxa"/>
            <w:tcBorders>
              <w:top w:val="single" w:sz="4" w:space="0" w:color="auto"/>
              <w:bottom w:val="single" w:sz="4" w:space="0" w:color="auto"/>
            </w:tcBorders>
            <w:shd w:val="clear" w:color="auto" w:fill="auto"/>
            <w:vAlign w:val="center"/>
          </w:tcPr>
          <w:p w14:paraId="0AE57778" w14:textId="48948A5B"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Boisdale Consolidated S</w:t>
            </w:r>
          </w:p>
        </w:tc>
      </w:tr>
      <w:tr w:rsidR="00F52DF9" w:rsidRPr="005734B8" w14:paraId="01CF853D"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4345AB3" w14:textId="058CAAE4"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Bonbeach PS</w:t>
            </w:r>
          </w:p>
        </w:tc>
        <w:tc>
          <w:tcPr>
            <w:tcW w:w="1962" w:type="dxa"/>
            <w:gridSpan w:val="2"/>
            <w:tcBorders>
              <w:top w:val="single" w:sz="4" w:space="0" w:color="auto"/>
              <w:bottom w:val="single" w:sz="4" w:space="0" w:color="auto"/>
            </w:tcBorders>
            <w:vAlign w:val="center"/>
          </w:tcPr>
          <w:p w14:paraId="37849910" w14:textId="00849A8A"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Boronia Heights PS</w:t>
            </w:r>
          </w:p>
        </w:tc>
        <w:tc>
          <w:tcPr>
            <w:tcW w:w="2025" w:type="dxa"/>
            <w:gridSpan w:val="3"/>
            <w:tcBorders>
              <w:top w:val="single" w:sz="4" w:space="0" w:color="auto"/>
              <w:bottom w:val="single" w:sz="4" w:space="0" w:color="auto"/>
            </w:tcBorders>
            <w:shd w:val="clear" w:color="auto" w:fill="auto"/>
            <w:vAlign w:val="center"/>
          </w:tcPr>
          <w:p w14:paraId="27886F47" w14:textId="748DA48E"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Boronia K</w:t>
            </w:r>
            <w:r w:rsidR="00104F40" w:rsidRPr="005734B8">
              <w:rPr>
                <w:rFonts w:ascii="Calibri" w:hAnsi="Calibri" w:cs="Calibri"/>
                <w:sz w:val="18"/>
                <w:lang w:val="en-AU"/>
              </w:rPr>
              <w:t>–</w:t>
            </w:r>
            <w:r w:rsidRPr="005734B8">
              <w:rPr>
                <w:rFonts w:ascii="Calibri" w:hAnsi="Calibri" w:cs="Calibri"/>
                <w:sz w:val="18"/>
                <w:lang w:val="en-AU"/>
              </w:rPr>
              <w:t>12 C</w:t>
            </w:r>
          </w:p>
        </w:tc>
        <w:tc>
          <w:tcPr>
            <w:tcW w:w="1900" w:type="dxa"/>
            <w:tcBorders>
              <w:top w:val="single" w:sz="4" w:space="0" w:color="auto"/>
              <w:bottom w:val="single" w:sz="4" w:space="0" w:color="auto"/>
            </w:tcBorders>
            <w:shd w:val="clear" w:color="auto" w:fill="auto"/>
            <w:vAlign w:val="center"/>
          </w:tcPr>
          <w:p w14:paraId="3821C000" w14:textId="1D54268A"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Box Hill HS</w:t>
            </w:r>
          </w:p>
        </w:tc>
      </w:tr>
      <w:tr w:rsidR="00F52DF9" w:rsidRPr="005734B8" w14:paraId="54C1860C"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11372258" w14:textId="4057390D"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Box Hill North PS</w:t>
            </w:r>
          </w:p>
        </w:tc>
        <w:tc>
          <w:tcPr>
            <w:tcW w:w="1962" w:type="dxa"/>
            <w:gridSpan w:val="2"/>
            <w:tcBorders>
              <w:top w:val="single" w:sz="4" w:space="0" w:color="auto"/>
              <w:bottom w:val="single" w:sz="4" w:space="0" w:color="auto"/>
            </w:tcBorders>
            <w:vAlign w:val="center"/>
          </w:tcPr>
          <w:p w14:paraId="5C5333E4" w14:textId="6D34750C"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Box Hill Senior SC</w:t>
            </w:r>
          </w:p>
        </w:tc>
        <w:tc>
          <w:tcPr>
            <w:tcW w:w="2025" w:type="dxa"/>
            <w:gridSpan w:val="3"/>
            <w:tcBorders>
              <w:top w:val="single" w:sz="4" w:space="0" w:color="auto"/>
              <w:bottom w:val="single" w:sz="4" w:space="0" w:color="auto"/>
            </w:tcBorders>
            <w:shd w:val="clear" w:color="auto" w:fill="auto"/>
            <w:vAlign w:val="center"/>
          </w:tcPr>
          <w:p w14:paraId="0B2D51C2" w14:textId="107B3896"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Brandon Park PS</w:t>
            </w:r>
          </w:p>
        </w:tc>
        <w:tc>
          <w:tcPr>
            <w:tcW w:w="1900" w:type="dxa"/>
            <w:tcBorders>
              <w:top w:val="single" w:sz="4" w:space="0" w:color="auto"/>
              <w:bottom w:val="single" w:sz="4" w:space="0" w:color="auto"/>
            </w:tcBorders>
            <w:shd w:val="clear" w:color="auto" w:fill="auto"/>
            <w:vAlign w:val="center"/>
          </w:tcPr>
          <w:p w14:paraId="64A6240A" w14:textId="62368345"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color w:val="000000"/>
                <w:sz w:val="18"/>
              </w:rPr>
              <w:t>Brauer SC</w:t>
            </w:r>
          </w:p>
        </w:tc>
      </w:tr>
      <w:tr w:rsidR="00F52DF9" w:rsidRPr="005734B8" w14:paraId="66FE4E83"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1F406236" w14:textId="6056D16B"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Brentwood SC</w:t>
            </w:r>
          </w:p>
        </w:tc>
        <w:tc>
          <w:tcPr>
            <w:tcW w:w="1962" w:type="dxa"/>
            <w:gridSpan w:val="2"/>
            <w:tcBorders>
              <w:top w:val="single" w:sz="4" w:space="0" w:color="auto"/>
              <w:bottom w:val="single" w:sz="4" w:space="0" w:color="auto"/>
            </w:tcBorders>
            <w:vAlign w:val="center"/>
          </w:tcPr>
          <w:p w14:paraId="3662BD18" w14:textId="176D1AEC"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Bright P</w:t>
            </w:r>
            <w:r w:rsidR="00104F40" w:rsidRPr="005734B8">
              <w:rPr>
                <w:rFonts w:ascii="Calibri" w:hAnsi="Calibri" w:cs="Calibri"/>
                <w:sz w:val="18"/>
                <w:lang w:val="en-AU"/>
              </w:rPr>
              <w:t>–</w:t>
            </w:r>
            <w:r w:rsidRPr="005734B8">
              <w:rPr>
                <w:rFonts w:ascii="Calibri" w:hAnsi="Calibri" w:cs="Calibri"/>
                <w:color w:val="000000"/>
                <w:sz w:val="18"/>
              </w:rPr>
              <w:t>12 C</w:t>
            </w:r>
          </w:p>
        </w:tc>
        <w:tc>
          <w:tcPr>
            <w:tcW w:w="2025" w:type="dxa"/>
            <w:gridSpan w:val="3"/>
            <w:tcBorders>
              <w:top w:val="single" w:sz="4" w:space="0" w:color="auto"/>
              <w:bottom w:val="single" w:sz="4" w:space="0" w:color="auto"/>
            </w:tcBorders>
            <w:shd w:val="clear" w:color="auto" w:fill="auto"/>
            <w:vAlign w:val="center"/>
          </w:tcPr>
          <w:p w14:paraId="04048205" w14:textId="6E945224"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Brighton SC</w:t>
            </w:r>
          </w:p>
        </w:tc>
        <w:tc>
          <w:tcPr>
            <w:tcW w:w="1900" w:type="dxa"/>
            <w:tcBorders>
              <w:top w:val="single" w:sz="4" w:space="0" w:color="auto"/>
              <w:bottom w:val="single" w:sz="4" w:space="0" w:color="auto"/>
            </w:tcBorders>
            <w:shd w:val="clear" w:color="auto" w:fill="auto"/>
            <w:vAlign w:val="center"/>
          </w:tcPr>
          <w:p w14:paraId="3BFCA979" w14:textId="4B202CE2"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color w:val="000000"/>
                <w:sz w:val="18"/>
              </w:rPr>
              <w:t>Broadmeadows SDS</w:t>
            </w:r>
          </w:p>
        </w:tc>
      </w:tr>
      <w:tr w:rsidR="00F52DF9" w:rsidRPr="005734B8" w14:paraId="5D262335"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516E356" w14:textId="2C66B30B"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Brunswick North West PS</w:t>
            </w:r>
          </w:p>
        </w:tc>
        <w:tc>
          <w:tcPr>
            <w:tcW w:w="1962" w:type="dxa"/>
            <w:gridSpan w:val="2"/>
            <w:tcBorders>
              <w:top w:val="single" w:sz="4" w:space="0" w:color="auto"/>
              <w:bottom w:val="single" w:sz="4" w:space="0" w:color="auto"/>
            </w:tcBorders>
            <w:vAlign w:val="center"/>
          </w:tcPr>
          <w:p w14:paraId="2E99AED0" w14:textId="7AEF77C5"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Brunswick South West PS</w:t>
            </w:r>
          </w:p>
        </w:tc>
        <w:tc>
          <w:tcPr>
            <w:tcW w:w="2025" w:type="dxa"/>
            <w:gridSpan w:val="3"/>
            <w:tcBorders>
              <w:top w:val="single" w:sz="4" w:space="0" w:color="auto"/>
              <w:bottom w:val="single" w:sz="4" w:space="0" w:color="auto"/>
            </w:tcBorders>
            <w:shd w:val="clear" w:color="auto" w:fill="auto"/>
            <w:vAlign w:val="center"/>
          </w:tcPr>
          <w:p w14:paraId="1A1C3BBA" w14:textId="4FD2CB68"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Buckley Park C</w:t>
            </w:r>
          </w:p>
        </w:tc>
        <w:tc>
          <w:tcPr>
            <w:tcW w:w="1900" w:type="dxa"/>
            <w:tcBorders>
              <w:top w:val="single" w:sz="4" w:space="0" w:color="auto"/>
              <w:bottom w:val="single" w:sz="4" w:space="0" w:color="auto"/>
            </w:tcBorders>
            <w:shd w:val="clear" w:color="auto" w:fill="auto"/>
            <w:vAlign w:val="center"/>
          </w:tcPr>
          <w:p w14:paraId="482C0E1C" w14:textId="48731A29"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color w:val="000000"/>
                <w:sz w:val="18"/>
              </w:rPr>
              <w:t xml:space="preserve">Bunyip PS </w:t>
            </w:r>
          </w:p>
        </w:tc>
      </w:tr>
      <w:tr w:rsidR="00F52DF9" w:rsidRPr="005734B8" w14:paraId="7812BE0C"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1B219CB2" w14:textId="71ABF4E4"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Campbellfield Heights PS</w:t>
            </w:r>
          </w:p>
        </w:tc>
        <w:tc>
          <w:tcPr>
            <w:tcW w:w="1962" w:type="dxa"/>
            <w:gridSpan w:val="2"/>
            <w:tcBorders>
              <w:top w:val="single" w:sz="4" w:space="0" w:color="auto"/>
              <w:bottom w:val="single" w:sz="4" w:space="0" w:color="auto"/>
            </w:tcBorders>
            <w:vAlign w:val="center"/>
          </w:tcPr>
          <w:p w14:paraId="1D6E9BCE" w14:textId="6CDECE21"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Camperdown C</w:t>
            </w:r>
          </w:p>
        </w:tc>
        <w:tc>
          <w:tcPr>
            <w:tcW w:w="2025" w:type="dxa"/>
            <w:gridSpan w:val="3"/>
            <w:tcBorders>
              <w:top w:val="single" w:sz="4" w:space="0" w:color="auto"/>
              <w:bottom w:val="single" w:sz="4" w:space="0" w:color="auto"/>
            </w:tcBorders>
            <w:shd w:val="clear" w:color="auto" w:fill="auto"/>
            <w:vAlign w:val="center"/>
          </w:tcPr>
          <w:p w14:paraId="7385167A" w14:textId="3A96B935"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Canterbury Girls SC</w:t>
            </w:r>
          </w:p>
        </w:tc>
        <w:tc>
          <w:tcPr>
            <w:tcW w:w="1900" w:type="dxa"/>
            <w:tcBorders>
              <w:top w:val="single" w:sz="4" w:space="0" w:color="auto"/>
              <w:bottom w:val="single" w:sz="4" w:space="0" w:color="auto"/>
            </w:tcBorders>
            <w:shd w:val="clear" w:color="auto" w:fill="auto"/>
            <w:vAlign w:val="center"/>
          </w:tcPr>
          <w:p w14:paraId="53BC40E7" w14:textId="434BEB6A"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color w:val="000000"/>
                <w:sz w:val="18"/>
              </w:rPr>
              <w:t>Cape Clear PS</w:t>
            </w:r>
          </w:p>
        </w:tc>
      </w:tr>
      <w:tr w:rsidR="00F52DF9" w:rsidRPr="005734B8" w14:paraId="421EF7DB"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211D44A" w14:textId="52930E15"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Cardross PS</w:t>
            </w:r>
          </w:p>
        </w:tc>
        <w:tc>
          <w:tcPr>
            <w:tcW w:w="1962" w:type="dxa"/>
            <w:gridSpan w:val="2"/>
            <w:tcBorders>
              <w:top w:val="single" w:sz="4" w:space="0" w:color="auto"/>
              <w:bottom w:val="single" w:sz="4" w:space="0" w:color="auto"/>
            </w:tcBorders>
            <w:vAlign w:val="center"/>
          </w:tcPr>
          <w:p w14:paraId="27EF222A" w14:textId="6E902DE4"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Carlton PS</w:t>
            </w:r>
          </w:p>
        </w:tc>
        <w:tc>
          <w:tcPr>
            <w:tcW w:w="2025" w:type="dxa"/>
            <w:gridSpan w:val="3"/>
            <w:tcBorders>
              <w:top w:val="single" w:sz="4" w:space="0" w:color="auto"/>
              <w:bottom w:val="single" w:sz="4" w:space="0" w:color="auto"/>
            </w:tcBorders>
            <w:shd w:val="clear" w:color="auto" w:fill="auto"/>
            <w:vAlign w:val="center"/>
          </w:tcPr>
          <w:p w14:paraId="0109CD2A" w14:textId="2C3D841B"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Carraragarmungee PS</w:t>
            </w:r>
          </w:p>
        </w:tc>
        <w:tc>
          <w:tcPr>
            <w:tcW w:w="1900" w:type="dxa"/>
            <w:tcBorders>
              <w:top w:val="single" w:sz="4" w:space="0" w:color="auto"/>
              <w:bottom w:val="single" w:sz="4" w:space="0" w:color="auto"/>
            </w:tcBorders>
            <w:shd w:val="clear" w:color="auto" w:fill="auto"/>
            <w:vAlign w:val="center"/>
          </w:tcPr>
          <w:p w14:paraId="7010732A" w14:textId="4F01D873"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color w:val="000000"/>
                <w:sz w:val="18"/>
              </w:rPr>
              <w:t>Casey Fields PS</w:t>
            </w:r>
          </w:p>
        </w:tc>
      </w:tr>
      <w:tr w:rsidR="00F52DF9" w:rsidRPr="005734B8" w14:paraId="4E64FA7B"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7C521745" w14:textId="14D9890C"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lastRenderedPageBreak/>
              <w:t>Casterton PS</w:t>
            </w:r>
          </w:p>
        </w:tc>
        <w:tc>
          <w:tcPr>
            <w:tcW w:w="1962" w:type="dxa"/>
            <w:gridSpan w:val="2"/>
            <w:tcBorders>
              <w:top w:val="single" w:sz="4" w:space="0" w:color="auto"/>
              <w:bottom w:val="single" w:sz="4" w:space="0" w:color="auto"/>
            </w:tcBorders>
            <w:vAlign w:val="center"/>
          </w:tcPr>
          <w:p w14:paraId="370158F8" w14:textId="786B5FF5"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Castlemaine SC</w:t>
            </w:r>
          </w:p>
        </w:tc>
        <w:tc>
          <w:tcPr>
            <w:tcW w:w="2025" w:type="dxa"/>
            <w:gridSpan w:val="3"/>
            <w:tcBorders>
              <w:top w:val="single" w:sz="4" w:space="0" w:color="auto"/>
              <w:bottom w:val="single" w:sz="4" w:space="0" w:color="auto"/>
            </w:tcBorders>
            <w:shd w:val="clear" w:color="auto" w:fill="auto"/>
            <w:vAlign w:val="center"/>
          </w:tcPr>
          <w:p w14:paraId="7453BE2E" w14:textId="4A4D2899"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Caulfield PS</w:t>
            </w:r>
          </w:p>
        </w:tc>
        <w:tc>
          <w:tcPr>
            <w:tcW w:w="1900" w:type="dxa"/>
            <w:tcBorders>
              <w:top w:val="single" w:sz="4" w:space="0" w:color="auto"/>
              <w:bottom w:val="single" w:sz="4" w:space="0" w:color="auto"/>
            </w:tcBorders>
            <w:shd w:val="clear" w:color="auto" w:fill="auto"/>
            <w:vAlign w:val="center"/>
          </w:tcPr>
          <w:p w14:paraId="4BB3DE53" w14:textId="0D1B5352"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color w:val="000000"/>
                <w:sz w:val="18"/>
              </w:rPr>
              <w:t>Centre for Higher Education Studies</w:t>
            </w:r>
          </w:p>
        </w:tc>
      </w:tr>
      <w:tr w:rsidR="00F52DF9" w:rsidRPr="005734B8" w14:paraId="2C0136BA"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12EA22D8" w14:textId="0E9BCAA9"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Charles La Trobe P</w:t>
            </w:r>
            <w:r w:rsidR="00104F40" w:rsidRPr="005734B8">
              <w:rPr>
                <w:rFonts w:ascii="Calibri" w:hAnsi="Calibri" w:cs="Calibri"/>
                <w:sz w:val="18"/>
                <w:lang w:val="en-AU"/>
              </w:rPr>
              <w:t>–</w:t>
            </w:r>
            <w:r w:rsidRPr="005734B8">
              <w:rPr>
                <w:rFonts w:ascii="Calibri" w:hAnsi="Calibri" w:cs="Calibri"/>
                <w:sz w:val="18"/>
                <w:lang w:val="en-AU"/>
              </w:rPr>
              <w:t>12 C</w:t>
            </w:r>
          </w:p>
        </w:tc>
        <w:tc>
          <w:tcPr>
            <w:tcW w:w="1962" w:type="dxa"/>
            <w:gridSpan w:val="2"/>
            <w:tcBorders>
              <w:top w:val="single" w:sz="4" w:space="0" w:color="auto"/>
              <w:bottom w:val="single" w:sz="4" w:space="0" w:color="auto"/>
            </w:tcBorders>
            <w:vAlign w:val="center"/>
          </w:tcPr>
          <w:p w14:paraId="1D0653EA" w14:textId="0DCA26FD"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Chelsea Heights PS</w:t>
            </w:r>
          </w:p>
        </w:tc>
        <w:tc>
          <w:tcPr>
            <w:tcW w:w="2025" w:type="dxa"/>
            <w:gridSpan w:val="3"/>
            <w:tcBorders>
              <w:top w:val="single" w:sz="4" w:space="0" w:color="auto"/>
              <w:bottom w:val="single" w:sz="4" w:space="0" w:color="auto"/>
            </w:tcBorders>
            <w:shd w:val="clear" w:color="auto" w:fill="auto"/>
            <w:vAlign w:val="center"/>
          </w:tcPr>
          <w:p w14:paraId="3B4769FF" w14:textId="1F467355"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Chelsea PS</w:t>
            </w:r>
          </w:p>
        </w:tc>
        <w:tc>
          <w:tcPr>
            <w:tcW w:w="1900" w:type="dxa"/>
            <w:tcBorders>
              <w:top w:val="single" w:sz="4" w:space="0" w:color="auto"/>
              <w:bottom w:val="single" w:sz="4" w:space="0" w:color="auto"/>
            </w:tcBorders>
            <w:shd w:val="clear" w:color="auto" w:fill="auto"/>
            <w:vAlign w:val="center"/>
          </w:tcPr>
          <w:p w14:paraId="3DBA37F3" w14:textId="6CC338ED"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color w:val="000000"/>
                <w:sz w:val="18"/>
              </w:rPr>
              <w:t>Chirnside Park PS</w:t>
            </w:r>
          </w:p>
        </w:tc>
      </w:tr>
      <w:tr w:rsidR="00F52DF9" w:rsidRPr="005734B8" w14:paraId="6A1FAEDC"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59D420E" w14:textId="186BCD04"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Churchill PS</w:t>
            </w:r>
          </w:p>
        </w:tc>
        <w:tc>
          <w:tcPr>
            <w:tcW w:w="1962" w:type="dxa"/>
            <w:gridSpan w:val="2"/>
            <w:tcBorders>
              <w:top w:val="single" w:sz="4" w:space="0" w:color="auto"/>
              <w:bottom w:val="single" w:sz="4" w:space="0" w:color="auto"/>
            </w:tcBorders>
            <w:vAlign w:val="center"/>
          </w:tcPr>
          <w:p w14:paraId="296BC565" w14:textId="7AA4E219" w:rsidR="00F52DF9" w:rsidRPr="005734B8" w:rsidRDefault="00A5305E" w:rsidP="00E23988">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Clarinda PS</w:t>
            </w:r>
          </w:p>
        </w:tc>
        <w:tc>
          <w:tcPr>
            <w:tcW w:w="2025" w:type="dxa"/>
            <w:gridSpan w:val="3"/>
            <w:tcBorders>
              <w:top w:val="single" w:sz="4" w:space="0" w:color="auto"/>
              <w:bottom w:val="single" w:sz="4" w:space="0" w:color="auto"/>
            </w:tcBorders>
            <w:shd w:val="clear" w:color="auto" w:fill="auto"/>
            <w:vAlign w:val="center"/>
          </w:tcPr>
          <w:p w14:paraId="3CFBEDAD" w14:textId="2282DC82"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Clayton South PS</w:t>
            </w:r>
          </w:p>
        </w:tc>
        <w:tc>
          <w:tcPr>
            <w:tcW w:w="1900" w:type="dxa"/>
            <w:tcBorders>
              <w:top w:val="single" w:sz="4" w:space="0" w:color="auto"/>
              <w:bottom w:val="single" w:sz="4" w:space="0" w:color="auto"/>
            </w:tcBorders>
            <w:shd w:val="clear" w:color="auto" w:fill="auto"/>
            <w:vAlign w:val="center"/>
          </w:tcPr>
          <w:p w14:paraId="27D9D07A" w14:textId="115231C9" w:rsidR="00F52DF9" w:rsidRPr="005734B8" w:rsidRDefault="00A5305E" w:rsidP="00E23988">
            <w:pPr>
              <w:pStyle w:val="ESTablebody"/>
              <w:spacing w:before="60" w:afterLines="60" w:after="144"/>
              <w:rPr>
                <w:rFonts w:ascii="Calibri" w:hAnsi="Calibri" w:cs="Calibri"/>
                <w:sz w:val="18"/>
                <w:highlight w:val="yellow"/>
                <w:lang w:val="en-AU"/>
              </w:rPr>
            </w:pPr>
            <w:r w:rsidRPr="005734B8">
              <w:rPr>
                <w:rFonts w:ascii="Calibri" w:hAnsi="Calibri" w:cs="Calibri"/>
                <w:color w:val="000000"/>
                <w:sz w:val="18"/>
              </w:rPr>
              <w:t>Clifton Creek PS</w:t>
            </w:r>
          </w:p>
        </w:tc>
      </w:tr>
      <w:tr w:rsidR="008A288F" w:rsidRPr="005734B8" w14:paraId="12DE3CF0"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C842641" w14:textId="194C953C"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Clifton Hill PS</w:t>
            </w:r>
          </w:p>
        </w:tc>
        <w:tc>
          <w:tcPr>
            <w:tcW w:w="1962" w:type="dxa"/>
            <w:gridSpan w:val="2"/>
            <w:tcBorders>
              <w:top w:val="single" w:sz="4" w:space="0" w:color="auto"/>
              <w:bottom w:val="single" w:sz="4" w:space="0" w:color="auto"/>
            </w:tcBorders>
            <w:vAlign w:val="center"/>
          </w:tcPr>
          <w:p w14:paraId="04AC67B4" w14:textId="2A05CE87"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Clunes PS</w:t>
            </w:r>
          </w:p>
        </w:tc>
        <w:tc>
          <w:tcPr>
            <w:tcW w:w="2025" w:type="dxa"/>
            <w:gridSpan w:val="3"/>
            <w:tcBorders>
              <w:top w:val="single" w:sz="4" w:space="0" w:color="auto"/>
              <w:bottom w:val="single" w:sz="4" w:space="0" w:color="auto"/>
            </w:tcBorders>
            <w:shd w:val="clear" w:color="auto" w:fill="auto"/>
            <w:vAlign w:val="center"/>
          </w:tcPr>
          <w:p w14:paraId="54BC80E0" w14:textId="3BD0DF92"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Clyde Creek PS</w:t>
            </w:r>
          </w:p>
        </w:tc>
        <w:tc>
          <w:tcPr>
            <w:tcW w:w="1900" w:type="dxa"/>
            <w:tcBorders>
              <w:top w:val="single" w:sz="4" w:space="0" w:color="auto"/>
              <w:bottom w:val="single" w:sz="4" w:space="0" w:color="auto"/>
            </w:tcBorders>
            <w:shd w:val="clear" w:color="auto" w:fill="auto"/>
            <w:vAlign w:val="center"/>
          </w:tcPr>
          <w:p w14:paraId="5EA8F57A" w14:textId="571DA54D"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color w:val="000000"/>
                <w:sz w:val="18"/>
              </w:rPr>
              <w:t>Clyde PS</w:t>
            </w:r>
          </w:p>
        </w:tc>
      </w:tr>
      <w:tr w:rsidR="008A288F" w:rsidRPr="005734B8" w14:paraId="2198C8FA"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72D48113" w14:textId="275B5CD5"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Clyde SC</w:t>
            </w:r>
          </w:p>
        </w:tc>
        <w:tc>
          <w:tcPr>
            <w:tcW w:w="1962" w:type="dxa"/>
            <w:gridSpan w:val="2"/>
            <w:tcBorders>
              <w:top w:val="single" w:sz="4" w:space="0" w:color="auto"/>
              <w:bottom w:val="single" w:sz="4" w:space="0" w:color="auto"/>
            </w:tcBorders>
            <w:vAlign w:val="center"/>
          </w:tcPr>
          <w:p w14:paraId="6361ACA1" w14:textId="77051365"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Cobram PS</w:t>
            </w:r>
          </w:p>
        </w:tc>
        <w:tc>
          <w:tcPr>
            <w:tcW w:w="2025" w:type="dxa"/>
            <w:gridSpan w:val="3"/>
            <w:tcBorders>
              <w:top w:val="single" w:sz="4" w:space="0" w:color="auto"/>
              <w:bottom w:val="single" w:sz="4" w:space="0" w:color="auto"/>
            </w:tcBorders>
            <w:shd w:val="clear" w:color="auto" w:fill="auto"/>
            <w:vAlign w:val="center"/>
          </w:tcPr>
          <w:p w14:paraId="5D68B774" w14:textId="18C5F67D"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Cobram SC</w:t>
            </w:r>
          </w:p>
        </w:tc>
        <w:tc>
          <w:tcPr>
            <w:tcW w:w="1900" w:type="dxa"/>
            <w:tcBorders>
              <w:top w:val="single" w:sz="4" w:space="0" w:color="auto"/>
              <w:bottom w:val="single" w:sz="4" w:space="0" w:color="auto"/>
            </w:tcBorders>
            <w:shd w:val="clear" w:color="auto" w:fill="auto"/>
            <w:vAlign w:val="center"/>
          </w:tcPr>
          <w:p w14:paraId="1552B93B" w14:textId="7D8DE95B"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color w:val="000000"/>
                <w:sz w:val="18"/>
              </w:rPr>
              <w:t>Coburg HS</w:t>
            </w:r>
          </w:p>
        </w:tc>
      </w:tr>
      <w:tr w:rsidR="008A288F" w:rsidRPr="005734B8" w14:paraId="6EEB464F"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7D62EFAA" w14:textId="483E40FE"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Coburg North PS</w:t>
            </w:r>
          </w:p>
        </w:tc>
        <w:tc>
          <w:tcPr>
            <w:tcW w:w="1962" w:type="dxa"/>
            <w:gridSpan w:val="2"/>
            <w:tcBorders>
              <w:top w:val="single" w:sz="4" w:space="0" w:color="auto"/>
              <w:bottom w:val="single" w:sz="4" w:space="0" w:color="auto"/>
            </w:tcBorders>
            <w:vAlign w:val="center"/>
          </w:tcPr>
          <w:p w14:paraId="45225726" w14:textId="175030B5"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Coburn PS</w:t>
            </w:r>
          </w:p>
        </w:tc>
        <w:tc>
          <w:tcPr>
            <w:tcW w:w="2025" w:type="dxa"/>
            <w:gridSpan w:val="3"/>
            <w:tcBorders>
              <w:top w:val="single" w:sz="4" w:space="0" w:color="auto"/>
              <w:bottom w:val="single" w:sz="4" w:space="0" w:color="auto"/>
            </w:tcBorders>
            <w:shd w:val="clear" w:color="auto" w:fill="auto"/>
            <w:vAlign w:val="center"/>
          </w:tcPr>
          <w:p w14:paraId="57914C96" w14:textId="7A6960D3"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Cohuna CS</w:t>
            </w:r>
          </w:p>
        </w:tc>
        <w:tc>
          <w:tcPr>
            <w:tcW w:w="1900" w:type="dxa"/>
            <w:tcBorders>
              <w:top w:val="single" w:sz="4" w:space="0" w:color="auto"/>
              <w:bottom w:val="single" w:sz="4" w:space="0" w:color="auto"/>
            </w:tcBorders>
            <w:shd w:val="clear" w:color="auto" w:fill="auto"/>
            <w:vAlign w:val="center"/>
          </w:tcPr>
          <w:p w14:paraId="7C33EBD5" w14:textId="37B46D06"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Cohuna SC</w:t>
            </w:r>
          </w:p>
        </w:tc>
      </w:tr>
      <w:tr w:rsidR="008A288F" w:rsidRPr="005734B8" w14:paraId="699D3B9B"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2F52F52" w14:textId="1FC74816"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Colac West PS</w:t>
            </w:r>
          </w:p>
        </w:tc>
        <w:tc>
          <w:tcPr>
            <w:tcW w:w="1962" w:type="dxa"/>
            <w:gridSpan w:val="2"/>
            <w:tcBorders>
              <w:top w:val="single" w:sz="4" w:space="0" w:color="auto"/>
              <w:bottom w:val="single" w:sz="4" w:space="0" w:color="auto"/>
            </w:tcBorders>
            <w:vAlign w:val="center"/>
          </w:tcPr>
          <w:p w14:paraId="0399971D" w14:textId="3B2543B7"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Collingwood C</w:t>
            </w:r>
          </w:p>
        </w:tc>
        <w:tc>
          <w:tcPr>
            <w:tcW w:w="2025" w:type="dxa"/>
            <w:gridSpan w:val="3"/>
            <w:tcBorders>
              <w:top w:val="single" w:sz="4" w:space="0" w:color="auto"/>
              <w:bottom w:val="single" w:sz="4" w:space="0" w:color="auto"/>
            </w:tcBorders>
            <w:shd w:val="clear" w:color="auto" w:fill="auto"/>
            <w:vAlign w:val="center"/>
          </w:tcPr>
          <w:p w14:paraId="232548EA" w14:textId="1FA3A783"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Copperfield C</w:t>
            </w:r>
          </w:p>
        </w:tc>
        <w:tc>
          <w:tcPr>
            <w:tcW w:w="1900" w:type="dxa"/>
            <w:tcBorders>
              <w:top w:val="single" w:sz="4" w:space="0" w:color="auto"/>
              <w:bottom w:val="single" w:sz="4" w:space="0" w:color="auto"/>
            </w:tcBorders>
            <w:shd w:val="clear" w:color="auto" w:fill="auto"/>
            <w:vAlign w:val="center"/>
          </w:tcPr>
          <w:p w14:paraId="686AF09A" w14:textId="168AD2AB"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Coragulac and District K</w:t>
            </w:r>
            <w:r w:rsidR="00104F40" w:rsidRPr="005734B8">
              <w:rPr>
                <w:rFonts w:ascii="Calibri" w:hAnsi="Calibri" w:cs="Calibri"/>
                <w:sz w:val="18"/>
                <w:lang w:val="en-AU"/>
              </w:rPr>
              <w:t>indergarten</w:t>
            </w:r>
          </w:p>
        </w:tc>
      </w:tr>
      <w:tr w:rsidR="008A288F" w:rsidRPr="005734B8" w14:paraId="544453A8"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0048638" w14:textId="0806DD64"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Cowes PS</w:t>
            </w:r>
          </w:p>
        </w:tc>
        <w:tc>
          <w:tcPr>
            <w:tcW w:w="1962" w:type="dxa"/>
            <w:gridSpan w:val="2"/>
            <w:tcBorders>
              <w:top w:val="single" w:sz="4" w:space="0" w:color="auto"/>
              <w:bottom w:val="single" w:sz="4" w:space="0" w:color="auto"/>
            </w:tcBorders>
            <w:vAlign w:val="center"/>
          </w:tcPr>
          <w:p w14:paraId="753DC8DE" w14:textId="0A67F9C8"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Craigieburn SC</w:t>
            </w:r>
          </w:p>
        </w:tc>
        <w:tc>
          <w:tcPr>
            <w:tcW w:w="2025" w:type="dxa"/>
            <w:gridSpan w:val="3"/>
            <w:tcBorders>
              <w:top w:val="single" w:sz="4" w:space="0" w:color="auto"/>
              <w:bottom w:val="single" w:sz="4" w:space="0" w:color="auto"/>
            </w:tcBorders>
            <w:shd w:val="clear" w:color="auto" w:fill="auto"/>
            <w:vAlign w:val="center"/>
          </w:tcPr>
          <w:p w14:paraId="589DF52C" w14:textId="51E626D3"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Cranbourne East SC</w:t>
            </w:r>
          </w:p>
        </w:tc>
        <w:tc>
          <w:tcPr>
            <w:tcW w:w="1900" w:type="dxa"/>
            <w:tcBorders>
              <w:top w:val="single" w:sz="4" w:space="0" w:color="auto"/>
              <w:bottom w:val="single" w:sz="4" w:space="0" w:color="auto"/>
            </w:tcBorders>
            <w:shd w:val="clear" w:color="auto" w:fill="auto"/>
            <w:vAlign w:val="center"/>
          </w:tcPr>
          <w:p w14:paraId="3ED3893A" w14:textId="056C5D33"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Cranbourne SC</w:t>
            </w:r>
          </w:p>
        </w:tc>
      </w:tr>
      <w:tr w:rsidR="008A288F" w:rsidRPr="005734B8" w14:paraId="7D4A5B5E"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C4A28D9" w14:textId="29401A43"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Cranbourne South PS</w:t>
            </w:r>
          </w:p>
        </w:tc>
        <w:tc>
          <w:tcPr>
            <w:tcW w:w="1962" w:type="dxa"/>
            <w:gridSpan w:val="2"/>
            <w:tcBorders>
              <w:top w:val="single" w:sz="4" w:space="0" w:color="auto"/>
              <w:bottom w:val="single" w:sz="4" w:space="0" w:color="auto"/>
            </w:tcBorders>
            <w:vAlign w:val="center"/>
          </w:tcPr>
          <w:p w14:paraId="29A788C6" w14:textId="1B3C40AD"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Cranbourne</w:t>
            </w:r>
            <w:r w:rsidR="008A288F" w:rsidRPr="005734B8">
              <w:rPr>
                <w:rFonts w:ascii="Calibri" w:hAnsi="Calibri" w:cs="Calibri"/>
                <w:color w:val="000000"/>
                <w:sz w:val="18"/>
              </w:rPr>
              <w:t xml:space="preserve"> West PS</w:t>
            </w:r>
          </w:p>
        </w:tc>
        <w:tc>
          <w:tcPr>
            <w:tcW w:w="2025" w:type="dxa"/>
            <w:gridSpan w:val="3"/>
            <w:tcBorders>
              <w:top w:val="single" w:sz="4" w:space="0" w:color="auto"/>
              <w:bottom w:val="single" w:sz="4" w:space="0" w:color="auto"/>
            </w:tcBorders>
            <w:shd w:val="clear" w:color="auto" w:fill="auto"/>
            <w:vAlign w:val="center"/>
          </w:tcPr>
          <w:p w14:paraId="240DFE5A" w14:textId="7189F97F"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Cranbourne West SC</w:t>
            </w:r>
          </w:p>
        </w:tc>
        <w:tc>
          <w:tcPr>
            <w:tcW w:w="1900" w:type="dxa"/>
            <w:tcBorders>
              <w:top w:val="single" w:sz="4" w:space="0" w:color="auto"/>
              <w:bottom w:val="single" w:sz="4" w:space="0" w:color="auto"/>
            </w:tcBorders>
            <w:shd w:val="clear" w:color="auto" w:fill="auto"/>
            <w:vAlign w:val="center"/>
          </w:tcPr>
          <w:p w14:paraId="47E37D4A" w14:textId="5535765F"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Crib Point PS</w:t>
            </w:r>
          </w:p>
        </w:tc>
      </w:tr>
      <w:tr w:rsidR="008A288F" w:rsidRPr="005734B8" w14:paraId="51937FDA"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28A01D09" w14:textId="7F0AF073"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Croxton SS</w:t>
            </w:r>
          </w:p>
        </w:tc>
        <w:tc>
          <w:tcPr>
            <w:tcW w:w="1962" w:type="dxa"/>
            <w:gridSpan w:val="2"/>
            <w:tcBorders>
              <w:top w:val="single" w:sz="4" w:space="0" w:color="auto"/>
              <w:bottom w:val="single" w:sz="4" w:space="0" w:color="auto"/>
            </w:tcBorders>
            <w:vAlign w:val="center"/>
          </w:tcPr>
          <w:p w14:paraId="4EBF665D" w14:textId="61B77917"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Croydon Community S</w:t>
            </w:r>
          </w:p>
        </w:tc>
        <w:tc>
          <w:tcPr>
            <w:tcW w:w="2025" w:type="dxa"/>
            <w:gridSpan w:val="3"/>
            <w:tcBorders>
              <w:top w:val="single" w:sz="4" w:space="0" w:color="auto"/>
              <w:bottom w:val="single" w:sz="4" w:space="0" w:color="auto"/>
            </w:tcBorders>
            <w:shd w:val="clear" w:color="auto" w:fill="auto"/>
            <w:vAlign w:val="center"/>
          </w:tcPr>
          <w:p w14:paraId="2186ADB9" w14:textId="56AD575F"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Croydon Hills PS</w:t>
            </w:r>
          </w:p>
        </w:tc>
        <w:tc>
          <w:tcPr>
            <w:tcW w:w="1900" w:type="dxa"/>
            <w:tcBorders>
              <w:top w:val="single" w:sz="4" w:space="0" w:color="auto"/>
              <w:bottom w:val="single" w:sz="4" w:space="0" w:color="auto"/>
            </w:tcBorders>
            <w:shd w:val="clear" w:color="auto" w:fill="auto"/>
            <w:vAlign w:val="center"/>
          </w:tcPr>
          <w:p w14:paraId="46C368AD" w14:textId="52FDC68E"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Croydon SDS</w:t>
            </w:r>
          </w:p>
        </w:tc>
      </w:tr>
      <w:tr w:rsidR="008A288F" w:rsidRPr="005734B8" w14:paraId="25CE097A"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229CA138" w14:textId="6CB716C4"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Dandenong HS</w:t>
            </w:r>
          </w:p>
        </w:tc>
        <w:tc>
          <w:tcPr>
            <w:tcW w:w="1962" w:type="dxa"/>
            <w:gridSpan w:val="2"/>
            <w:tcBorders>
              <w:top w:val="single" w:sz="4" w:space="0" w:color="auto"/>
              <w:bottom w:val="single" w:sz="4" w:space="0" w:color="auto"/>
            </w:tcBorders>
            <w:vAlign w:val="center"/>
          </w:tcPr>
          <w:p w14:paraId="0C31A190" w14:textId="46F14D98"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Dandenong West PS</w:t>
            </w:r>
          </w:p>
        </w:tc>
        <w:tc>
          <w:tcPr>
            <w:tcW w:w="2025" w:type="dxa"/>
            <w:gridSpan w:val="3"/>
            <w:tcBorders>
              <w:top w:val="single" w:sz="4" w:space="0" w:color="auto"/>
              <w:bottom w:val="single" w:sz="4" w:space="0" w:color="auto"/>
            </w:tcBorders>
            <w:shd w:val="clear" w:color="auto" w:fill="auto"/>
            <w:vAlign w:val="center"/>
          </w:tcPr>
          <w:p w14:paraId="6DE19EB5" w14:textId="323AABBE"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Deanside PS</w:t>
            </w:r>
          </w:p>
        </w:tc>
        <w:tc>
          <w:tcPr>
            <w:tcW w:w="1900" w:type="dxa"/>
            <w:tcBorders>
              <w:top w:val="single" w:sz="4" w:space="0" w:color="auto"/>
              <w:bottom w:val="single" w:sz="4" w:space="0" w:color="auto"/>
            </w:tcBorders>
            <w:shd w:val="clear" w:color="auto" w:fill="auto"/>
            <w:vAlign w:val="center"/>
          </w:tcPr>
          <w:p w14:paraId="03927CE5" w14:textId="0FDB649A"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Debney Meadows PS</w:t>
            </w:r>
          </w:p>
        </w:tc>
      </w:tr>
      <w:tr w:rsidR="008A288F" w:rsidRPr="005734B8" w14:paraId="5CD6D3C0"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6C4E4E35" w14:textId="6EAF33D8"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Deer Park West PS</w:t>
            </w:r>
          </w:p>
        </w:tc>
        <w:tc>
          <w:tcPr>
            <w:tcW w:w="1962" w:type="dxa"/>
            <w:gridSpan w:val="2"/>
            <w:tcBorders>
              <w:top w:val="single" w:sz="4" w:space="0" w:color="auto"/>
              <w:bottom w:val="single" w:sz="4" w:space="0" w:color="auto"/>
            </w:tcBorders>
            <w:vAlign w:val="center"/>
          </w:tcPr>
          <w:p w14:paraId="4A674A75" w14:textId="5264E5BF"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Delacombe PS</w:t>
            </w:r>
          </w:p>
        </w:tc>
        <w:tc>
          <w:tcPr>
            <w:tcW w:w="2025" w:type="dxa"/>
            <w:gridSpan w:val="3"/>
            <w:tcBorders>
              <w:top w:val="single" w:sz="4" w:space="0" w:color="auto"/>
              <w:bottom w:val="single" w:sz="4" w:space="0" w:color="auto"/>
            </w:tcBorders>
            <w:shd w:val="clear" w:color="auto" w:fill="auto"/>
            <w:vAlign w:val="center"/>
          </w:tcPr>
          <w:p w14:paraId="131B2CA3" w14:textId="03CEA908"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Derinya PS</w:t>
            </w:r>
          </w:p>
        </w:tc>
        <w:tc>
          <w:tcPr>
            <w:tcW w:w="1900" w:type="dxa"/>
            <w:tcBorders>
              <w:top w:val="single" w:sz="4" w:space="0" w:color="auto"/>
              <w:bottom w:val="single" w:sz="4" w:space="0" w:color="auto"/>
            </w:tcBorders>
            <w:shd w:val="clear" w:color="auto" w:fill="auto"/>
            <w:vAlign w:val="center"/>
          </w:tcPr>
          <w:p w14:paraId="148C138D" w14:textId="0DABB06C"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Derrinallum P</w:t>
            </w:r>
            <w:r w:rsidR="00104F40" w:rsidRPr="005734B8">
              <w:rPr>
                <w:rFonts w:ascii="Calibri" w:hAnsi="Calibri" w:cs="Calibri"/>
                <w:sz w:val="18"/>
                <w:lang w:val="en-AU"/>
              </w:rPr>
              <w:t>–</w:t>
            </w:r>
            <w:r w:rsidRPr="005734B8">
              <w:rPr>
                <w:rFonts w:ascii="Calibri" w:hAnsi="Calibri" w:cs="Calibri"/>
                <w:sz w:val="18"/>
                <w:lang w:val="en-AU"/>
              </w:rPr>
              <w:t>12 C</w:t>
            </w:r>
          </w:p>
        </w:tc>
      </w:tr>
      <w:tr w:rsidR="008A288F" w:rsidRPr="005734B8" w14:paraId="38B69E48"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38864A30" w14:textId="25A4682A"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Diamond Creek East PS</w:t>
            </w:r>
          </w:p>
        </w:tc>
        <w:tc>
          <w:tcPr>
            <w:tcW w:w="1962" w:type="dxa"/>
            <w:gridSpan w:val="2"/>
            <w:tcBorders>
              <w:top w:val="single" w:sz="4" w:space="0" w:color="auto"/>
              <w:bottom w:val="single" w:sz="4" w:space="0" w:color="auto"/>
            </w:tcBorders>
            <w:vAlign w:val="center"/>
          </w:tcPr>
          <w:p w14:paraId="0CE3DC29" w14:textId="2F3CDB7D"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Diamond Valley C</w:t>
            </w:r>
          </w:p>
        </w:tc>
        <w:tc>
          <w:tcPr>
            <w:tcW w:w="2025" w:type="dxa"/>
            <w:gridSpan w:val="3"/>
            <w:tcBorders>
              <w:top w:val="single" w:sz="4" w:space="0" w:color="auto"/>
              <w:bottom w:val="single" w:sz="4" w:space="0" w:color="auto"/>
            </w:tcBorders>
            <w:shd w:val="clear" w:color="auto" w:fill="auto"/>
            <w:vAlign w:val="center"/>
          </w:tcPr>
          <w:p w14:paraId="12D8DA53" w14:textId="4CBD2825"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Diamond Valley SDS</w:t>
            </w:r>
          </w:p>
        </w:tc>
        <w:tc>
          <w:tcPr>
            <w:tcW w:w="1900" w:type="dxa"/>
            <w:tcBorders>
              <w:top w:val="single" w:sz="4" w:space="0" w:color="auto"/>
              <w:bottom w:val="single" w:sz="4" w:space="0" w:color="auto"/>
            </w:tcBorders>
            <w:shd w:val="clear" w:color="auto" w:fill="auto"/>
            <w:vAlign w:val="center"/>
          </w:tcPr>
          <w:p w14:paraId="243C4F30" w14:textId="0FB9F633"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Diggers Rest PS</w:t>
            </w:r>
          </w:p>
        </w:tc>
      </w:tr>
      <w:tr w:rsidR="008A288F" w:rsidRPr="005734B8" w14:paraId="7A2CFD19"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0E312B0" w14:textId="6C26C570"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Docklands PS</w:t>
            </w:r>
          </w:p>
        </w:tc>
        <w:tc>
          <w:tcPr>
            <w:tcW w:w="1962" w:type="dxa"/>
            <w:gridSpan w:val="2"/>
            <w:tcBorders>
              <w:top w:val="single" w:sz="4" w:space="0" w:color="auto"/>
              <w:bottom w:val="single" w:sz="4" w:space="0" w:color="auto"/>
            </w:tcBorders>
            <w:vAlign w:val="center"/>
          </w:tcPr>
          <w:p w14:paraId="2AB80A4E" w14:textId="4DF5E487"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Doherty</w:t>
            </w:r>
            <w:r w:rsidR="00B15F9A" w:rsidRPr="005734B8">
              <w:rPr>
                <w:rFonts w:ascii="Calibri" w:hAnsi="Calibri" w:cs="Calibri"/>
                <w:color w:val="000000"/>
                <w:sz w:val="18"/>
              </w:rPr>
              <w:t>’</w:t>
            </w:r>
            <w:r w:rsidRPr="005734B8">
              <w:rPr>
                <w:rFonts w:ascii="Calibri" w:hAnsi="Calibri" w:cs="Calibri"/>
                <w:color w:val="000000"/>
                <w:sz w:val="18"/>
              </w:rPr>
              <w:t>s Creek P</w:t>
            </w:r>
            <w:r w:rsidR="00104F40" w:rsidRPr="005734B8">
              <w:rPr>
                <w:rFonts w:ascii="Calibri" w:hAnsi="Calibri" w:cs="Calibri"/>
                <w:sz w:val="18"/>
                <w:lang w:val="en-AU"/>
              </w:rPr>
              <w:t>–</w:t>
            </w:r>
            <w:r w:rsidRPr="005734B8">
              <w:rPr>
                <w:rFonts w:ascii="Calibri" w:hAnsi="Calibri" w:cs="Calibri"/>
                <w:color w:val="000000"/>
                <w:sz w:val="18"/>
              </w:rPr>
              <w:t>9 C</w:t>
            </w:r>
          </w:p>
        </w:tc>
        <w:tc>
          <w:tcPr>
            <w:tcW w:w="2025" w:type="dxa"/>
            <w:gridSpan w:val="3"/>
            <w:tcBorders>
              <w:top w:val="single" w:sz="4" w:space="0" w:color="auto"/>
              <w:bottom w:val="single" w:sz="4" w:space="0" w:color="auto"/>
            </w:tcBorders>
            <w:shd w:val="clear" w:color="auto" w:fill="auto"/>
            <w:vAlign w:val="center"/>
          </w:tcPr>
          <w:p w14:paraId="3250BE4F" w14:textId="61006622"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Donvale PS</w:t>
            </w:r>
          </w:p>
        </w:tc>
        <w:tc>
          <w:tcPr>
            <w:tcW w:w="1900" w:type="dxa"/>
            <w:tcBorders>
              <w:top w:val="single" w:sz="4" w:space="0" w:color="auto"/>
              <w:bottom w:val="single" w:sz="4" w:space="0" w:color="auto"/>
            </w:tcBorders>
            <w:shd w:val="clear" w:color="auto" w:fill="auto"/>
            <w:vAlign w:val="center"/>
          </w:tcPr>
          <w:p w14:paraId="5EA1A467" w14:textId="675B1B63"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Dorset PS</w:t>
            </w:r>
          </w:p>
        </w:tc>
      </w:tr>
      <w:tr w:rsidR="008A288F" w:rsidRPr="005734B8" w14:paraId="5486754B"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2AF6A7B0" w14:textId="2D369A87"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Dromana SC</w:t>
            </w:r>
          </w:p>
        </w:tc>
        <w:tc>
          <w:tcPr>
            <w:tcW w:w="1962" w:type="dxa"/>
            <w:gridSpan w:val="2"/>
            <w:tcBorders>
              <w:top w:val="single" w:sz="4" w:space="0" w:color="auto"/>
              <w:bottom w:val="single" w:sz="4" w:space="0" w:color="auto"/>
            </w:tcBorders>
            <w:vAlign w:val="center"/>
          </w:tcPr>
          <w:p w14:paraId="229A07D2" w14:textId="22D306A9"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Drouin PS</w:t>
            </w:r>
          </w:p>
        </w:tc>
        <w:tc>
          <w:tcPr>
            <w:tcW w:w="2025" w:type="dxa"/>
            <w:gridSpan w:val="3"/>
            <w:tcBorders>
              <w:top w:val="single" w:sz="4" w:space="0" w:color="auto"/>
              <w:bottom w:val="single" w:sz="4" w:space="0" w:color="auto"/>
            </w:tcBorders>
            <w:shd w:val="clear" w:color="auto" w:fill="auto"/>
            <w:vAlign w:val="center"/>
          </w:tcPr>
          <w:p w14:paraId="538BCB4D" w14:textId="14B33E2A"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Drouin SC</w:t>
            </w:r>
          </w:p>
        </w:tc>
        <w:tc>
          <w:tcPr>
            <w:tcW w:w="1900" w:type="dxa"/>
            <w:tcBorders>
              <w:top w:val="single" w:sz="4" w:space="0" w:color="auto"/>
              <w:bottom w:val="single" w:sz="4" w:space="0" w:color="auto"/>
            </w:tcBorders>
            <w:shd w:val="clear" w:color="auto" w:fill="auto"/>
            <w:vAlign w:val="center"/>
          </w:tcPr>
          <w:p w14:paraId="350323F0" w14:textId="3B6490A6"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Drysdale PS</w:t>
            </w:r>
          </w:p>
        </w:tc>
      </w:tr>
      <w:tr w:rsidR="008A288F" w:rsidRPr="005734B8" w14:paraId="7631DB50"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54EA68C" w14:textId="1C0DFD69"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Dunkeld Consolidated S</w:t>
            </w:r>
          </w:p>
        </w:tc>
        <w:tc>
          <w:tcPr>
            <w:tcW w:w="1962" w:type="dxa"/>
            <w:gridSpan w:val="2"/>
            <w:tcBorders>
              <w:top w:val="single" w:sz="4" w:space="0" w:color="auto"/>
              <w:bottom w:val="single" w:sz="4" w:space="0" w:color="auto"/>
            </w:tcBorders>
            <w:vAlign w:val="center"/>
          </w:tcPr>
          <w:p w14:paraId="71A69D10" w14:textId="5FBF5519"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East Doncaster SC</w:t>
            </w:r>
          </w:p>
        </w:tc>
        <w:tc>
          <w:tcPr>
            <w:tcW w:w="2025" w:type="dxa"/>
            <w:gridSpan w:val="3"/>
            <w:tcBorders>
              <w:top w:val="single" w:sz="4" w:space="0" w:color="auto"/>
              <w:bottom w:val="single" w:sz="4" w:space="0" w:color="auto"/>
            </w:tcBorders>
            <w:shd w:val="clear" w:color="auto" w:fill="auto"/>
            <w:vAlign w:val="center"/>
          </w:tcPr>
          <w:p w14:paraId="75581CB4" w14:textId="38881F28"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East Loddon P</w:t>
            </w:r>
            <w:r w:rsidR="00104F40" w:rsidRPr="005734B8">
              <w:rPr>
                <w:rFonts w:ascii="Calibri" w:hAnsi="Calibri" w:cs="Calibri"/>
                <w:sz w:val="18"/>
                <w:lang w:val="en-AU"/>
              </w:rPr>
              <w:t>–</w:t>
            </w:r>
            <w:r w:rsidRPr="005734B8">
              <w:rPr>
                <w:rFonts w:ascii="Calibri" w:hAnsi="Calibri" w:cs="Calibri"/>
                <w:sz w:val="18"/>
                <w:lang w:val="en-AU"/>
              </w:rPr>
              <w:t>12 C</w:t>
            </w:r>
          </w:p>
        </w:tc>
        <w:tc>
          <w:tcPr>
            <w:tcW w:w="1900" w:type="dxa"/>
            <w:tcBorders>
              <w:top w:val="single" w:sz="4" w:space="0" w:color="auto"/>
              <w:bottom w:val="single" w:sz="4" w:space="0" w:color="auto"/>
            </w:tcBorders>
            <w:shd w:val="clear" w:color="auto" w:fill="auto"/>
            <w:vAlign w:val="center"/>
          </w:tcPr>
          <w:p w14:paraId="5052090B" w14:textId="423213DA"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Eastern Ranges S</w:t>
            </w:r>
          </w:p>
        </w:tc>
      </w:tr>
      <w:tr w:rsidR="008A288F" w:rsidRPr="005734B8" w14:paraId="5BF431C2"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71B7709D" w14:textId="1630752E"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Echuca Regeneration</w:t>
            </w:r>
          </w:p>
        </w:tc>
        <w:tc>
          <w:tcPr>
            <w:tcW w:w="1962" w:type="dxa"/>
            <w:gridSpan w:val="2"/>
            <w:tcBorders>
              <w:top w:val="single" w:sz="4" w:space="0" w:color="auto"/>
              <w:bottom w:val="single" w:sz="4" w:space="0" w:color="auto"/>
            </w:tcBorders>
            <w:vAlign w:val="center"/>
          </w:tcPr>
          <w:p w14:paraId="3559CE9A" w14:textId="5C0C172A"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Edenbrooke SC</w:t>
            </w:r>
          </w:p>
        </w:tc>
        <w:tc>
          <w:tcPr>
            <w:tcW w:w="2025" w:type="dxa"/>
            <w:gridSpan w:val="3"/>
            <w:tcBorders>
              <w:top w:val="single" w:sz="4" w:space="0" w:color="auto"/>
              <w:bottom w:val="single" w:sz="4" w:space="0" w:color="auto"/>
            </w:tcBorders>
            <w:shd w:val="clear" w:color="auto" w:fill="auto"/>
            <w:vAlign w:val="center"/>
          </w:tcPr>
          <w:p w14:paraId="25682E3F" w14:textId="56E17B9A"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Edgars Creek PS</w:t>
            </w:r>
          </w:p>
        </w:tc>
        <w:tc>
          <w:tcPr>
            <w:tcW w:w="1900" w:type="dxa"/>
            <w:tcBorders>
              <w:top w:val="single" w:sz="4" w:space="0" w:color="auto"/>
              <w:bottom w:val="single" w:sz="4" w:space="0" w:color="auto"/>
            </w:tcBorders>
            <w:shd w:val="clear" w:color="auto" w:fill="auto"/>
            <w:vAlign w:val="center"/>
          </w:tcPr>
          <w:p w14:paraId="28C3006E" w14:textId="234F9884"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Edgars Creek SC</w:t>
            </w:r>
          </w:p>
        </w:tc>
      </w:tr>
      <w:tr w:rsidR="008A288F" w:rsidRPr="005734B8" w14:paraId="653F2D92"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225C95A" w14:textId="3F9AC410"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Edithvale PS</w:t>
            </w:r>
          </w:p>
        </w:tc>
        <w:tc>
          <w:tcPr>
            <w:tcW w:w="1962" w:type="dxa"/>
            <w:gridSpan w:val="2"/>
            <w:tcBorders>
              <w:top w:val="single" w:sz="4" w:space="0" w:color="auto"/>
              <w:bottom w:val="single" w:sz="4" w:space="0" w:color="auto"/>
            </w:tcBorders>
            <w:vAlign w:val="center"/>
          </w:tcPr>
          <w:p w14:paraId="6CF6C16B" w14:textId="2F6077EC"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Elevation SC</w:t>
            </w:r>
          </w:p>
        </w:tc>
        <w:tc>
          <w:tcPr>
            <w:tcW w:w="2025" w:type="dxa"/>
            <w:gridSpan w:val="3"/>
            <w:tcBorders>
              <w:top w:val="single" w:sz="4" w:space="0" w:color="auto"/>
              <w:bottom w:val="single" w:sz="4" w:space="0" w:color="auto"/>
            </w:tcBorders>
            <w:shd w:val="clear" w:color="auto" w:fill="auto"/>
            <w:vAlign w:val="center"/>
          </w:tcPr>
          <w:p w14:paraId="3EAA4E6C" w14:textId="22E577F8"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Elisabeth Murdoch C</w:t>
            </w:r>
          </w:p>
        </w:tc>
        <w:tc>
          <w:tcPr>
            <w:tcW w:w="1900" w:type="dxa"/>
            <w:tcBorders>
              <w:top w:val="single" w:sz="4" w:space="0" w:color="auto"/>
              <w:bottom w:val="single" w:sz="4" w:space="0" w:color="auto"/>
            </w:tcBorders>
            <w:shd w:val="clear" w:color="auto" w:fill="auto"/>
            <w:vAlign w:val="center"/>
          </w:tcPr>
          <w:p w14:paraId="268F5F13" w14:textId="583839C3"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Eltham HS</w:t>
            </w:r>
          </w:p>
        </w:tc>
      </w:tr>
      <w:tr w:rsidR="008A288F" w:rsidRPr="005734B8" w14:paraId="4BD2ED98"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3C439CB" w14:textId="000CD16C"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Eltham North PS</w:t>
            </w:r>
          </w:p>
        </w:tc>
        <w:tc>
          <w:tcPr>
            <w:tcW w:w="1962" w:type="dxa"/>
            <w:gridSpan w:val="2"/>
            <w:tcBorders>
              <w:top w:val="single" w:sz="4" w:space="0" w:color="auto"/>
              <w:bottom w:val="single" w:sz="4" w:space="0" w:color="auto"/>
            </w:tcBorders>
            <w:vAlign w:val="center"/>
          </w:tcPr>
          <w:p w14:paraId="08D9A71F" w14:textId="06CADF13"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Elwood C</w:t>
            </w:r>
          </w:p>
        </w:tc>
        <w:tc>
          <w:tcPr>
            <w:tcW w:w="2025" w:type="dxa"/>
            <w:gridSpan w:val="3"/>
            <w:tcBorders>
              <w:top w:val="single" w:sz="4" w:space="0" w:color="auto"/>
              <w:bottom w:val="single" w:sz="4" w:space="0" w:color="auto"/>
            </w:tcBorders>
            <w:shd w:val="clear" w:color="auto" w:fill="auto"/>
            <w:vAlign w:val="center"/>
          </w:tcPr>
          <w:p w14:paraId="59E9EEF8" w14:textId="2FDC9048"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Elwood PS</w:t>
            </w:r>
          </w:p>
        </w:tc>
        <w:tc>
          <w:tcPr>
            <w:tcW w:w="1900" w:type="dxa"/>
            <w:tcBorders>
              <w:top w:val="single" w:sz="4" w:space="0" w:color="auto"/>
              <w:bottom w:val="single" w:sz="4" w:space="0" w:color="auto"/>
            </w:tcBorders>
            <w:shd w:val="clear" w:color="auto" w:fill="auto"/>
            <w:vAlign w:val="center"/>
          </w:tcPr>
          <w:p w14:paraId="7E819235" w14:textId="3B97DA04"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Emerson S</w:t>
            </w:r>
          </w:p>
        </w:tc>
      </w:tr>
      <w:tr w:rsidR="008A288F" w:rsidRPr="005734B8" w14:paraId="4842691A"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75F1C13F" w14:textId="4B939422"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Endeavour Hills SS</w:t>
            </w:r>
          </w:p>
        </w:tc>
        <w:tc>
          <w:tcPr>
            <w:tcW w:w="1962" w:type="dxa"/>
            <w:gridSpan w:val="2"/>
            <w:tcBorders>
              <w:top w:val="single" w:sz="4" w:space="0" w:color="auto"/>
              <w:bottom w:val="single" w:sz="4" w:space="0" w:color="auto"/>
            </w:tcBorders>
            <w:vAlign w:val="center"/>
          </w:tcPr>
          <w:p w14:paraId="2B164815" w14:textId="77A6BD88"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Epping SC</w:t>
            </w:r>
          </w:p>
        </w:tc>
        <w:tc>
          <w:tcPr>
            <w:tcW w:w="2025" w:type="dxa"/>
            <w:gridSpan w:val="3"/>
            <w:tcBorders>
              <w:top w:val="single" w:sz="4" w:space="0" w:color="auto"/>
              <w:bottom w:val="single" w:sz="4" w:space="0" w:color="auto"/>
            </w:tcBorders>
            <w:shd w:val="clear" w:color="auto" w:fill="auto"/>
            <w:vAlign w:val="center"/>
          </w:tcPr>
          <w:p w14:paraId="568F96B4" w14:textId="52C1FACC"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Epsom PS</w:t>
            </w:r>
          </w:p>
        </w:tc>
        <w:tc>
          <w:tcPr>
            <w:tcW w:w="1900" w:type="dxa"/>
            <w:tcBorders>
              <w:top w:val="single" w:sz="4" w:space="0" w:color="auto"/>
              <w:bottom w:val="single" w:sz="4" w:space="0" w:color="auto"/>
            </w:tcBorders>
            <w:shd w:val="clear" w:color="auto" w:fill="auto"/>
            <w:vAlign w:val="center"/>
          </w:tcPr>
          <w:p w14:paraId="5D956B4E" w14:textId="76BF4FA1"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Essendon East Keilor District C</w:t>
            </w:r>
          </w:p>
        </w:tc>
      </w:tr>
      <w:tr w:rsidR="008A288F" w:rsidRPr="005734B8" w14:paraId="445C7011"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36C6D526" w14:textId="245EC66E"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Essendon North PS</w:t>
            </w:r>
          </w:p>
        </w:tc>
        <w:tc>
          <w:tcPr>
            <w:tcW w:w="1962" w:type="dxa"/>
            <w:gridSpan w:val="2"/>
            <w:tcBorders>
              <w:top w:val="single" w:sz="4" w:space="0" w:color="auto"/>
              <w:bottom w:val="single" w:sz="4" w:space="0" w:color="auto"/>
            </w:tcBorders>
            <w:vAlign w:val="center"/>
          </w:tcPr>
          <w:p w14:paraId="28357992" w14:textId="62EF3603"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Euroa SC</w:t>
            </w:r>
          </w:p>
        </w:tc>
        <w:tc>
          <w:tcPr>
            <w:tcW w:w="2025" w:type="dxa"/>
            <w:gridSpan w:val="3"/>
            <w:tcBorders>
              <w:top w:val="single" w:sz="4" w:space="0" w:color="auto"/>
              <w:bottom w:val="single" w:sz="4" w:space="0" w:color="auto"/>
            </w:tcBorders>
            <w:shd w:val="clear" w:color="auto" w:fill="auto"/>
            <w:vAlign w:val="center"/>
          </w:tcPr>
          <w:p w14:paraId="04EBF052" w14:textId="0DF7F8F2"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Exford PS</w:t>
            </w:r>
          </w:p>
        </w:tc>
        <w:tc>
          <w:tcPr>
            <w:tcW w:w="1900" w:type="dxa"/>
            <w:tcBorders>
              <w:top w:val="single" w:sz="4" w:space="0" w:color="auto"/>
              <w:bottom w:val="single" w:sz="4" w:space="0" w:color="auto"/>
            </w:tcBorders>
            <w:shd w:val="clear" w:color="auto" w:fill="auto"/>
            <w:vAlign w:val="center"/>
          </w:tcPr>
          <w:p w14:paraId="6A6F2146" w14:textId="7D1605F2"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Eynesbury PS</w:t>
            </w:r>
          </w:p>
        </w:tc>
      </w:tr>
      <w:tr w:rsidR="008A288F" w:rsidRPr="005734B8" w14:paraId="53D4FBED"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29441CC3" w14:textId="50EF114B"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Fairfield PS</w:t>
            </w:r>
          </w:p>
        </w:tc>
        <w:tc>
          <w:tcPr>
            <w:tcW w:w="1962" w:type="dxa"/>
            <w:gridSpan w:val="2"/>
            <w:tcBorders>
              <w:top w:val="single" w:sz="4" w:space="0" w:color="auto"/>
              <w:bottom w:val="single" w:sz="4" w:space="0" w:color="auto"/>
            </w:tcBorders>
            <w:vAlign w:val="center"/>
          </w:tcPr>
          <w:p w14:paraId="2E4BAD65" w14:textId="7E77582A"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Fairhills HS</w:t>
            </w:r>
          </w:p>
        </w:tc>
        <w:tc>
          <w:tcPr>
            <w:tcW w:w="2025" w:type="dxa"/>
            <w:gridSpan w:val="3"/>
            <w:tcBorders>
              <w:top w:val="single" w:sz="4" w:space="0" w:color="auto"/>
              <w:bottom w:val="single" w:sz="4" w:space="0" w:color="auto"/>
            </w:tcBorders>
            <w:shd w:val="clear" w:color="auto" w:fill="auto"/>
            <w:vAlign w:val="center"/>
          </w:tcPr>
          <w:p w14:paraId="35101D7D" w14:textId="437E2F01"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Falls Creek PS</w:t>
            </w:r>
          </w:p>
        </w:tc>
        <w:tc>
          <w:tcPr>
            <w:tcW w:w="1900" w:type="dxa"/>
            <w:tcBorders>
              <w:top w:val="single" w:sz="4" w:space="0" w:color="auto"/>
              <w:bottom w:val="single" w:sz="4" w:space="0" w:color="auto"/>
            </w:tcBorders>
            <w:shd w:val="clear" w:color="auto" w:fill="auto"/>
            <w:vAlign w:val="center"/>
          </w:tcPr>
          <w:p w14:paraId="4648042D" w14:textId="3CB9005C"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Featherbrook P</w:t>
            </w:r>
            <w:r w:rsidR="00104F40" w:rsidRPr="005734B8">
              <w:rPr>
                <w:rFonts w:ascii="Calibri" w:hAnsi="Calibri" w:cs="Calibri"/>
                <w:sz w:val="18"/>
                <w:lang w:val="en-AU"/>
              </w:rPr>
              <w:t>–</w:t>
            </w:r>
            <w:r w:rsidRPr="005734B8">
              <w:rPr>
                <w:rFonts w:ascii="Calibri" w:hAnsi="Calibri" w:cs="Calibri"/>
                <w:sz w:val="18"/>
                <w:lang w:val="en-AU"/>
              </w:rPr>
              <w:t>9 C</w:t>
            </w:r>
          </w:p>
        </w:tc>
      </w:tr>
      <w:tr w:rsidR="008A288F" w:rsidRPr="005734B8" w14:paraId="48D402D1"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2CD19B2D" w14:textId="15BE761E"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eastAsia="Calibri" w:hAnsi="Calibri" w:cs="Calibri"/>
                <w:sz w:val="18"/>
                <w:lang w:val="en-AU"/>
              </w:rPr>
              <w:t>Fitzroy Gasworks SC</w:t>
            </w:r>
          </w:p>
        </w:tc>
        <w:tc>
          <w:tcPr>
            <w:tcW w:w="1962" w:type="dxa"/>
            <w:gridSpan w:val="2"/>
            <w:tcBorders>
              <w:top w:val="single" w:sz="4" w:space="0" w:color="auto"/>
              <w:bottom w:val="single" w:sz="4" w:space="0" w:color="auto"/>
            </w:tcBorders>
            <w:vAlign w:val="center"/>
          </w:tcPr>
          <w:p w14:paraId="0E97F763" w14:textId="46C60955"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Footscray City C</w:t>
            </w:r>
          </w:p>
        </w:tc>
        <w:tc>
          <w:tcPr>
            <w:tcW w:w="2025" w:type="dxa"/>
            <w:gridSpan w:val="3"/>
            <w:tcBorders>
              <w:top w:val="single" w:sz="4" w:space="0" w:color="auto"/>
              <w:bottom w:val="single" w:sz="4" w:space="0" w:color="auto"/>
            </w:tcBorders>
            <w:shd w:val="clear" w:color="auto" w:fill="auto"/>
            <w:vAlign w:val="center"/>
          </w:tcPr>
          <w:p w14:paraId="003ACC4B" w14:textId="3660D0B4"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Footscray Learning Precinct</w:t>
            </w:r>
          </w:p>
        </w:tc>
        <w:tc>
          <w:tcPr>
            <w:tcW w:w="1900" w:type="dxa"/>
            <w:tcBorders>
              <w:top w:val="single" w:sz="4" w:space="0" w:color="auto"/>
              <w:bottom w:val="single" w:sz="4" w:space="0" w:color="auto"/>
            </w:tcBorders>
            <w:shd w:val="clear" w:color="auto" w:fill="auto"/>
            <w:vAlign w:val="center"/>
          </w:tcPr>
          <w:p w14:paraId="6ABBFC89" w14:textId="3B336687"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Footscray North PS</w:t>
            </w:r>
          </w:p>
        </w:tc>
      </w:tr>
      <w:tr w:rsidR="008A288F" w:rsidRPr="005734B8" w14:paraId="487D4B6A"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87CD522" w14:textId="3DF11A6A"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eastAsia="Calibri" w:hAnsi="Calibri" w:cs="Calibri"/>
                <w:sz w:val="18"/>
                <w:lang w:val="en-AU"/>
              </w:rPr>
              <w:t>Forest Hill C</w:t>
            </w:r>
          </w:p>
        </w:tc>
        <w:tc>
          <w:tcPr>
            <w:tcW w:w="1962" w:type="dxa"/>
            <w:gridSpan w:val="2"/>
            <w:tcBorders>
              <w:top w:val="single" w:sz="4" w:space="0" w:color="auto"/>
              <w:bottom w:val="single" w:sz="4" w:space="0" w:color="auto"/>
            </w:tcBorders>
            <w:vAlign w:val="center"/>
          </w:tcPr>
          <w:p w14:paraId="0272C2BC" w14:textId="658F3863"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Fountain Gate SC</w:t>
            </w:r>
          </w:p>
        </w:tc>
        <w:tc>
          <w:tcPr>
            <w:tcW w:w="2025" w:type="dxa"/>
            <w:gridSpan w:val="3"/>
            <w:tcBorders>
              <w:top w:val="single" w:sz="4" w:space="0" w:color="auto"/>
              <w:bottom w:val="single" w:sz="4" w:space="0" w:color="auto"/>
            </w:tcBorders>
            <w:shd w:val="clear" w:color="auto" w:fill="auto"/>
            <w:vAlign w:val="center"/>
          </w:tcPr>
          <w:p w14:paraId="38093E96" w14:textId="42730CAD"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Frankston East PS</w:t>
            </w:r>
          </w:p>
        </w:tc>
        <w:tc>
          <w:tcPr>
            <w:tcW w:w="1900" w:type="dxa"/>
            <w:tcBorders>
              <w:top w:val="single" w:sz="4" w:space="0" w:color="auto"/>
              <w:bottom w:val="single" w:sz="4" w:space="0" w:color="auto"/>
            </w:tcBorders>
            <w:shd w:val="clear" w:color="auto" w:fill="auto"/>
            <w:vAlign w:val="center"/>
          </w:tcPr>
          <w:p w14:paraId="55B2D409" w14:textId="52BA131A"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Frankston Heights PS</w:t>
            </w:r>
          </w:p>
        </w:tc>
      </w:tr>
      <w:tr w:rsidR="008A288F" w:rsidRPr="005734B8" w14:paraId="41F89A65"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3291338" w14:textId="477BA682" w:rsidR="008A288F" w:rsidRPr="005734B8" w:rsidRDefault="00A5305E" w:rsidP="008A288F">
            <w:pPr>
              <w:pStyle w:val="ESTablebody"/>
              <w:spacing w:before="60" w:afterLines="60" w:after="144"/>
              <w:rPr>
                <w:rFonts w:ascii="Calibri" w:eastAsia="Calibri" w:hAnsi="Calibri" w:cs="Calibri"/>
                <w:sz w:val="18"/>
                <w:highlight w:val="yellow"/>
                <w:lang w:val="en-AU"/>
              </w:rPr>
            </w:pPr>
            <w:r w:rsidRPr="005734B8">
              <w:rPr>
                <w:rFonts w:ascii="Calibri" w:eastAsia="Calibri" w:hAnsi="Calibri" w:cs="Calibri"/>
                <w:sz w:val="18"/>
                <w:lang w:val="en-AU"/>
              </w:rPr>
              <w:t>Frankston HS</w:t>
            </w:r>
          </w:p>
        </w:tc>
        <w:tc>
          <w:tcPr>
            <w:tcW w:w="1962" w:type="dxa"/>
            <w:gridSpan w:val="2"/>
            <w:tcBorders>
              <w:top w:val="single" w:sz="4" w:space="0" w:color="auto"/>
              <w:bottom w:val="single" w:sz="4" w:space="0" w:color="auto"/>
            </w:tcBorders>
            <w:vAlign w:val="center"/>
          </w:tcPr>
          <w:p w14:paraId="5FC4AFB4" w14:textId="6DAFAFCD"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Frankston North Education Precinct</w:t>
            </w:r>
          </w:p>
        </w:tc>
        <w:tc>
          <w:tcPr>
            <w:tcW w:w="2025" w:type="dxa"/>
            <w:gridSpan w:val="3"/>
            <w:tcBorders>
              <w:top w:val="single" w:sz="4" w:space="0" w:color="auto"/>
              <w:bottom w:val="single" w:sz="4" w:space="0" w:color="auto"/>
            </w:tcBorders>
            <w:shd w:val="clear" w:color="auto" w:fill="auto"/>
            <w:vAlign w:val="center"/>
          </w:tcPr>
          <w:p w14:paraId="59D2F41A" w14:textId="07F83EDE"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Gaayip-Yagila PS</w:t>
            </w:r>
          </w:p>
        </w:tc>
        <w:tc>
          <w:tcPr>
            <w:tcW w:w="1900" w:type="dxa"/>
            <w:tcBorders>
              <w:top w:val="single" w:sz="4" w:space="0" w:color="auto"/>
              <w:bottom w:val="single" w:sz="4" w:space="0" w:color="auto"/>
            </w:tcBorders>
            <w:shd w:val="clear" w:color="auto" w:fill="auto"/>
            <w:vAlign w:val="center"/>
          </w:tcPr>
          <w:p w14:paraId="0CEB8276" w14:textId="599073A2"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Garfield PS</w:t>
            </w:r>
          </w:p>
        </w:tc>
      </w:tr>
      <w:tr w:rsidR="008A288F" w:rsidRPr="005734B8" w14:paraId="4DE05AD1"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7947F100" w14:textId="15B0F568" w:rsidR="008A288F" w:rsidRPr="005734B8" w:rsidRDefault="00A5305E" w:rsidP="008A288F">
            <w:pPr>
              <w:pStyle w:val="ESTablebody"/>
              <w:spacing w:before="60" w:afterLines="60" w:after="144"/>
              <w:rPr>
                <w:rFonts w:ascii="Calibri" w:eastAsia="Calibri" w:hAnsi="Calibri" w:cs="Calibri"/>
                <w:sz w:val="18"/>
                <w:highlight w:val="yellow"/>
                <w:lang w:val="en-AU"/>
              </w:rPr>
            </w:pPr>
            <w:r w:rsidRPr="005734B8">
              <w:rPr>
                <w:rFonts w:ascii="Calibri" w:eastAsia="Calibri" w:hAnsi="Calibri" w:cs="Calibri"/>
                <w:sz w:val="18"/>
                <w:lang w:val="en-AU"/>
              </w:rPr>
              <w:t>Garrang Wilam PS</w:t>
            </w:r>
          </w:p>
        </w:tc>
        <w:tc>
          <w:tcPr>
            <w:tcW w:w="1962" w:type="dxa"/>
            <w:gridSpan w:val="2"/>
            <w:tcBorders>
              <w:top w:val="single" w:sz="4" w:space="0" w:color="auto"/>
              <w:bottom w:val="single" w:sz="4" w:space="0" w:color="auto"/>
            </w:tcBorders>
            <w:vAlign w:val="center"/>
          </w:tcPr>
          <w:p w14:paraId="762D39A0" w14:textId="40C34B4E"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Gembrook PS</w:t>
            </w:r>
          </w:p>
        </w:tc>
        <w:tc>
          <w:tcPr>
            <w:tcW w:w="2025" w:type="dxa"/>
            <w:gridSpan w:val="3"/>
            <w:tcBorders>
              <w:top w:val="single" w:sz="4" w:space="0" w:color="auto"/>
              <w:bottom w:val="single" w:sz="4" w:space="0" w:color="auto"/>
            </w:tcBorders>
            <w:shd w:val="clear" w:color="auto" w:fill="auto"/>
            <w:vAlign w:val="center"/>
          </w:tcPr>
          <w:p w14:paraId="57F584CF" w14:textId="1F2CD5D7"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George St PS (Hamilton)</w:t>
            </w:r>
          </w:p>
        </w:tc>
        <w:tc>
          <w:tcPr>
            <w:tcW w:w="1900" w:type="dxa"/>
            <w:tcBorders>
              <w:top w:val="single" w:sz="4" w:space="0" w:color="auto"/>
              <w:bottom w:val="single" w:sz="4" w:space="0" w:color="auto"/>
            </w:tcBorders>
            <w:shd w:val="clear" w:color="auto" w:fill="auto"/>
            <w:vAlign w:val="center"/>
          </w:tcPr>
          <w:p w14:paraId="00F4E420" w14:textId="16145F2B"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Gisborne PS</w:t>
            </w:r>
          </w:p>
        </w:tc>
      </w:tr>
      <w:tr w:rsidR="008A288F" w:rsidRPr="005734B8" w14:paraId="68F38D33"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3308F0CD" w14:textId="2693A1BB" w:rsidR="008A288F" w:rsidRPr="005734B8" w:rsidRDefault="00A5305E" w:rsidP="008A288F">
            <w:pPr>
              <w:pStyle w:val="ESTablebody"/>
              <w:spacing w:before="60" w:afterLines="60" w:after="144"/>
              <w:rPr>
                <w:rFonts w:ascii="Calibri" w:eastAsia="Calibri" w:hAnsi="Calibri" w:cs="Calibri"/>
                <w:sz w:val="18"/>
                <w:highlight w:val="yellow"/>
                <w:lang w:val="en-AU"/>
              </w:rPr>
            </w:pPr>
            <w:r w:rsidRPr="005734B8">
              <w:rPr>
                <w:rFonts w:ascii="Calibri" w:eastAsia="Calibri" w:hAnsi="Calibri" w:cs="Calibri"/>
                <w:sz w:val="18"/>
                <w:lang w:val="en-AU"/>
              </w:rPr>
              <w:lastRenderedPageBreak/>
              <w:t>Gladstone Park PS</w:t>
            </w:r>
          </w:p>
        </w:tc>
        <w:tc>
          <w:tcPr>
            <w:tcW w:w="1962" w:type="dxa"/>
            <w:gridSpan w:val="2"/>
            <w:tcBorders>
              <w:top w:val="single" w:sz="4" w:space="0" w:color="auto"/>
              <w:bottom w:val="single" w:sz="4" w:space="0" w:color="auto"/>
            </w:tcBorders>
            <w:vAlign w:val="center"/>
          </w:tcPr>
          <w:p w14:paraId="1F09337D" w14:textId="08B043C0"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Gladstone Views PS</w:t>
            </w:r>
          </w:p>
        </w:tc>
        <w:tc>
          <w:tcPr>
            <w:tcW w:w="2025" w:type="dxa"/>
            <w:gridSpan w:val="3"/>
            <w:tcBorders>
              <w:top w:val="single" w:sz="4" w:space="0" w:color="auto"/>
              <w:bottom w:val="single" w:sz="4" w:space="0" w:color="auto"/>
            </w:tcBorders>
            <w:shd w:val="clear" w:color="auto" w:fill="auto"/>
            <w:vAlign w:val="center"/>
          </w:tcPr>
          <w:p w14:paraId="790AA47D" w14:textId="6D23D4CB"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Glen Eira C</w:t>
            </w:r>
          </w:p>
        </w:tc>
        <w:tc>
          <w:tcPr>
            <w:tcW w:w="1900" w:type="dxa"/>
            <w:tcBorders>
              <w:top w:val="single" w:sz="4" w:space="0" w:color="auto"/>
              <w:bottom w:val="single" w:sz="4" w:space="0" w:color="auto"/>
            </w:tcBorders>
            <w:shd w:val="clear" w:color="auto" w:fill="auto"/>
            <w:vAlign w:val="center"/>
          </w:tcPr>
          <w:p w14:paraId="28553C35" w14:textId="12A76ADB"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Glen Katherine PS</w:t>
            </w:r>
          </w:p>
        </w:tc>
      </w:tr>
      <w:tr w:rsidR="008A288F" w:rsidRPr="005734B8" w14:paraId="150E4496"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627CD676" w14:textId="3BBB17D2" w:rsidR="008A288F" w:rsidRPr="005734B8" w:rsidRDefault="00A5305E" w:rsidP="008A288F">
            <w:pPr>
              <w:pStyle w:val="ESTablebody"/>
              <w:spacing w:before="60" w:afterLines="60" w:after="144"/>
              <w:rPr>
                <w:rFonts w:ascii="Calibri" w:eastAsia="Calibri" w:hAnsi="Calibri" w:cs="Calibri"/>
                <w:sz w:val="18"/>
                <w:highlight w:val="yellow"/>
                <w:lang w:val="en-AU"/>
              </w:rPr>
            </w:pPr>
            <w:r w:rsidRPr="005734B8">
              <w:rPr>
                <w:rFonts w:ascii="Calibri" w:eastAsia="Calibri" w:hAnsi="Calibri" w:cs="Calibri"/>
                <w:sz w:val="18"/>
                <w:lang w:val="en-AU"/>
              </w:rPr>
              <w:t>Glen Waverley PS</w:t>
            </w:r>
          </w:p>
        </w:tc>
        <w:tc>
          <w:tcPr>
            <w:tcW w:w="1962" w:type="dxa"/>
            <w:gridSpan w:val="2"/>
            <w:tcBorders>
              <w:top w:val="single" w:sz="4" w:space="0" w:color="auto"/>
              <w:bottom w:val="single" w:sz="4" w:space="0" w:color="auto"/>
            </w:tcBorders>
            <w:vAlign w:val="center"/>
          </w:tcPr>
          <w:p w14:paraId="62823FE8" w14:textId="138D98FA"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Glen Waverley SC</w:t>
            </w:r>
          </w:p>
        </w:tc>
        <w:tc>
          <w:tcPr>
            <w:tcW w:w="2025" w:type="dxa"/>
            <w:gridSpan w:val="3"/>
            <w:tcBorders>
              <w:top w:val="single" w:sz="4" w:space="0" w:color="auto"/>
              <w:bottom w:val="single" w:sz="4" w:space="0" w:color="auto"/>
            </w:tcBorders>
            <w:shd w:val="clear" w:color="auto" w:fill="auto"/>
            <w:vAlign w:val="center"/>
          </w:tcPr>
          <w:p w14:paraId="6A3C4D26" w14:textId="3A325F73"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Glen Waverley South PS</w:t>
            </w:r>
          </w:p>
        </w:tc>
        <w:tc>
          <w:tcPr>
            <w:tcW w:w="1900" w:type="dxa"/>
            <w:tcBorders>
              <w:top w:val="single" w:sz="4" w:space="0" w:color="auto"/>
              <w:bottom w:val="single" w:sz="4" w:space="0" w:color="auto"/>
            </w:tcBorders>
            <w:shd w:val="clear" w:color="auto" w:fill="auto"/>
            <w:vAlign w:val="center"/>
          </w:tcPr>
          <w:p w14:paraId="2668944E" w14:textId="39849432"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Glendal PS</w:t>
            </w:r>
          </w:p>
        </w:tc>
      </w:tr>
      <w:tr w:rsidR="008A288F" w:rsidRPr="005734B8" w14:paraId="562A8D34"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F69F692" w14:textId="2E361EB4" w:rsidR="008A288F" w:rsidRPr="005734B8" w:rsidRDefault="00A5305E" w:rsidP="008A288F">
            <w:pPr>
              <w:pStyle w:val="ESTablebody"/>
              <w:spacing w:before="60" w:afterLines="60" w:after="144"/>
              <w:rPr>
                <w:rFonts w:ascii="Calibri" w:eastAsia="Calibri" w:hAnsi="Calibri" w:cs="Calibri"/>
                <w:sz w:val="18"/>
                <w:highlight w:val="yellow"/>
                <w:lang w:val="en-AU"/>
              </w:rPr>
            </w:pPr>
            <w:r w:rsidRPr="005734B8">
              <w:rPr>
                <w:rFonts w:ascii="Calibri" w:eastAsia="Calibri" w:hAnsi="Calibri" w:cs="Calibri"/>
                <w:sz w:val="18"/>
                <w:lang w:val="en-AU"/>
              </w:rPr>
              <w:t>Gleneagles SC</w:t>
            </w:r>
          </w:p>
        </w:tc>
        <w:tc>
          <w:tcPr>
            <w:tcW w:w="1962" w:type="dxa"/>
            <w:gridSpan w:val="2"/>
            <w:tcBorders>
              <w:top w:val="single" w:sz="4" w:space="0" w:color="auto"/>
              <w:bottom w:val="single" w:sz="4" w:space="0" w:color="auto"/>
            </w:tcBorders>
            <w:vAlign w:val="center"/>
          </w:tcPr>
          <w:p w14:paraId="24DF291E" w14:textId="6D449F60"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Glenrowan PS</w:t>
            </w:r>
          </w:p>
        </w:tc>
        <w:tc>
          <w:tcPr>
            <w:tcW w:w="2025" w:type="dxa"/>
            <w:gridSpan w:val="3"/>
            <w:tcBorders>
              <w:top w:val="single" w:sz="4" w:space="0" w:color="auto"/>
              <w:bottom w:val="single" w:sz="4" w:space="0" w:color="auto"/>
            </w:tcBorders>
            <w:shd w:val="clear" w:color="auto" w:fill="auto"/>
            <w:vAlign w:val="center"/>
          </w:tcPr>
          <w:p w14:paraId="7F253533" w14:textId="7CA32AB8"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Glenroy SC</w:t>
            </w:r>
          </w:p>
        </w:tc>
        <w:tc>
          <w:tcPr>
            <w:tcW w:w="1900" w:type="dxa"/>
            <w:tcBorders>
              <w:top w:val="single" w:sz="4" w:space="0" w:color="auto"/>
              <w:bottom w:val="single" w:sz="4" w:space="0" w:color="auto"/>
            </w:tcBorders>
            <w:shd w:val="clear" w:color="auto" w:fill="auto"/>
            <w:vAlign w:val="center"/>
          </w:tcPr>
          <w:p w14:paraId="5176D086" w14:textId="1AAAD6FF"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Glenroy West PS</w:t>
            </w:r>
          </w:p>
        </w:tc>
      </w:tr>
      <w:tr w:rsidR="008A288F" w:rsidRPr="005734B8" w14:paraId="3032009B"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3977ECA4" w14:textId="2706BBBF" w:rsidR="008A288F" w:rsidRPr="005734B8" w:rsidRDefault="00A5305E" w:rsidP="008A288F">
            <w:pPr>
              <w:pStyle w:val="ESTablebody"/>
              <w:spacing w:before="60" w:afterLines="60" w:after="144"/>
              <w:rPr>
                <w:rFonts w:ascii="Calibri" w:eastAsia="Calibri" w:hAnsi="Calibri" w:cs="Calibri"/>
                <w:sz w:val="18"/>
                <w:highlight w:val="yellow"/>
                <w:lang w:val="en-AU"/>
              </w:rPr>
            </w:pPr>
            <w:r w:rsidRPr="005734B8">
              <w:rPr>
                <w:rFonts w:ascii="Calibri" w:eastAsia="Calibri" w:hAnsi="Calibri" w:cs="Calibri"/>
                <w:sz w:val="18"/>
                <w:lang w:val="en-AU"/>
              </w:rPr>
              <w:t>Gordon PS</w:t>
            </w:r>
          </w:p>
        </w:tc>
        <w:tc>
          <w:tcPr>
            <w:tcW w:w="1962" w:type="dxa"/>
            <w:gridSpan w:val="2"/>
            <w:tcBorders>
              <w:top w:val="single" w:sz="4" w:space="0" w:color="auto"/>
              <w:bottom w:val="single" w:sz="4" w:space="0" w:color="auto"/>
            </w:tcBorders>
            <w:vAlign w:val="center"/>
          </w:tcPr>
          <w:p w14:paraId="3D2BD694" w14:textId="485D5053"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Greater Shepparton SC</w:t>
            </w:r>
          </w:p>
        </w:tc>
        <w:tc>
          <w:tcPr>
            <w:tcW w:w="2025" w:type="dxa"/>
            <w:gridSpan w:val="3"/>
            <w:tcBorders>
              <w:top w:val="single" w:sz="4" w:space="0" w:color="auto"/>
              <w:bottom w:val="single" w:sz="4" w:space="0" w:color="auto"/>
            </w:tcBorders>
            <w:shd w:val="clear" w:color="auto" w:fill="auto"/>
            <w:vAlign w:val="center"/>
          </w:tcPr>
          <w:p w14:paraId="48BE26DF" w14:textId="3EDF53FF"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Greensborough SC</w:t>
            </w:r>
          </w:p>
        </w:tc>
        <w:tc>
          <w:tcPr>
            <w:tcW w:w="1900" w:type="dxa"/>
            <w:tcBorders>
              <w:top w:val="single" w:sz="4" w:space="0" w:color="auto"/>
              <w:bottom w:val="single" w:sz="4" w:space="0" w:color="auto"/>
            </w:tcBorders>
            <w:shd w:val="clear" w:color="auto" w:fill="auto"/>
            <w:vAlign w:val="center"/>
          </w:tcPr>
          <w:p w14:paraId="41E603F1" w14:textId="18A6414B"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Greenvale SC</w:t>
            </w:r>
          </w:p>
        </w:tc>
      </w:tr>
      <w:tr w:rsidR="008A288F" w:rsidRPr="005734B8" w14:paraId="37E17E72"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94DFBCD" w14:textId="3D23A40D" w:rsidR="008A288F" w:rsidRPr="005734B8" w:rsidRDefault="00A5305E" w:rsidP="008A288F">
            <w:pPr>
              <w:pStyle w:val="ESTablebody"/>
              <w:spacing w:before="60" w:afterLines="60" w:after="144"/>
              <w:rPr>
                <w:rFonts w:ascii="Calibri" w:eastAsia="Calibri" w:hAnsi="Calibri" w:cs="Calibri"/>
                <w:sz w:val="18"/>
                <w:highlight w:val="yellow"/>
                <w:lang w:val="en-AU"/>
              </w:rPr>
            </w:pPr>
            <w:r w:rsidRPr="005734B8">
              <w:rPr>
                <w:rFonts w:ascii="Calibri" w:eastAsia="Calibri" w:hAnsi="Calibri" w:cs="Calibri"/>
                <w:sz w:val="18"/>
                <w:lang w:val="en-AU"/>
              </w:rPr>
              <w:t>Greythorn PS</w:t>
            </w:r>
          </w:p>
        </w:tc>
        <w:tc>
          <w:tcPr>
            <w:tcW w:w="1962" w:type="dxa"/>
            <w:gridSpan w:val="2"/>
            <w:tcBorders>
              <w:top w:val="single" w:sz="4" w:space="0" w:color="auto"/>
              <w:bottom w:val="single" w:sz="4" w:space="0" w:color="auto"/>
            </w:tcBorders>
            <w:vAlign w:val="center"/>
          </w:tcPr>
          <w:p w14:paraId="228258E7" w14:textId="1B595D58" w:rsidR="008A288F" w:rsidRPr="005734B8" w:rsidRDefault="00A5305E" w:rsidP="008A288F">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Hallam Senior SC</w:t>
            </w:r>
          </w:p>
        </w:tc>
        <w:tc>
          <w:tcPr>
            <w:tcW w:w="2025" w:type="dxa"/>
            <w:gridSpan w:val="3"/>
            <w:tcBorders>
              <w:top w:val="single" w:sz="4" w:space="0" w:color="auto"/>
              <w:bottom w:val="single" w:sz="4" w:space="0" w:color="auto"/>
            </w:tcBorders>
            <w:shd w:val="clear" w:color="auto" w:fill="auto"/>
            <w:vAlign w:val="center"/>
          </w:tcPr>
          <w:p w14:paraId="0FC19183" w14:textId="4E5EAB8B"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Hampton Park SC</w:t>
            </w:r>
          </w:p>
        </w:tc>
        <w:tc>
          <w:tcPr>
            <w:tcW w:w="1900" w:type="dxa"/>
            <w:tcBorders>
              <w:top w:val="single" w:sz="4" w:space="0" w:color="auto"/>
              <w:bottom w:val="single" w:sz="4" w:space="0" w:color="auto"/>
            </w:tcBorders>
            <w:shd w:val="clear" w:color="auto" w:fill="auto"/>
            <w:vAlign w:val="center"/>
          </w:tcPr>
          <w:p w14:paraId="0FF7FE3F" w14:textId="20E7E4A4" w:rsidR="008A288F" w:rsidRPr="005734B8" w:rsidRDefault="00A5305E" w:rsidP="008A288F">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Harcourt Preschool</w:t>
            </w:r>
          </w:p>
        </w:tc>
      </w:tr>
      <w:tr w:rsidR="00A5305E" w:rsidRPr="005734B8" w14:paraId="78704386"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FC0471D" w14:textId="7B3B25B1" w:rsidR="00A5305E" w:rsidRPr="005734B8" w:rsidRDefault="00A5305E" w:rsidP="00A5305E">
            <w:pPr>
              <w:pStyle w:val="ESTablebody"/>
              <w:spacing w:before="60" w:afterLines="60" w:after="144"/>
              <w:rPr>
                <w:rFonts w:ascii="Calibri" w:eastAsia="Calibri" w:hAnsi="Calibri" w:cs="Calibri"/>
                <w:sz w:val="18"/>
                <w:highlight w:val="yellow"/>
                <w:lang w:val="en-AU"/>
              </w:rPr>
            </w:pPr>
            <w:r w:rsidRPr="005734B8">
              <w:rPr>
                <w:rFonts w:ascii="Calibri" w:eastAsia="Calibri" w:hAnsi="Calibri" w:cs="Calibri"/>
                <w:sz w:val="18"/>
                <w:lang w:val="en-AU"/>
              </w:rPr>
              <w:t>Harvest Home PS</w:t>
            </w:r>
          </w:p>
        </w:tc>
        <w:tc>
          <w:tcPr>
            <w:tcW w:w="1962" w:type="dxa"/>
            <w:gridSpan w:val="2"/>
            <w:tcBorders>
              <w:top w:val="single" w:sz="4" w:space="0" w:color="auto"/>
              <w:bottom w:val="single" w:sz="4" w:space="0" w:color="auto"/>
            </w:tcBorders>
            <w:vAlign w:val="center"/>
          </w:tcPr>
          <w:p w14:paraId="1E74F955" w14:textId="2B67C54E" w:rsidR="00A5305E" w:rsidRPr="005734B8" w:rsidRDefault="00A5305E" w:rsidP="00A5305E">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Hawkesdale P</w:t>
            </w:r>
            <w:r w:rsidR="00104F40" w:rsidRPr="005734B8">
              <w:rPr>
                <w:rFonts w:ascii="Calibri" w:hAnsi="Calibri" w:cs="Calibri"/>
                <w:sz w:val="18"/>
                <w:lang w:val="en-AU"/>
              </w:rPr>
              <w:t>–</w:t>
            </w:r>
            <w:r w:rsidRPr="005734B8">
              <w:rPr>
                <w:rFonts w:ascii="Calibri" w:hAnsi="Calibri" w:cs="Calibri"/>
                <w:color w:val="000000"/>
                <w:sz w:val="18"/>
              </w:rPr>
              <w:t>12 C</w:t>
            </w:r>
          </w:p>
        </w:tc>
        <w:tc>
          <w:tcPr>
            <w:tcW w:w="2025" w:type="dxa"/>
            <w:gridSpan w:val="3"/>
            <w:tcBorders>
              <w:top w:val="single" w:sz="4" w:space="0" w:color="auto"/>
              <w:bottom w:val="single" w:sz="4" w:space="0" w:color="auto"/>
            </w:tcBorders>
            <w:shd w:val="clear" w:color="auto" w:fill="auto"/>
            <w:vAlign w:val="center"/>
          </w:tcPr>
          <w:p w14:paraId="088DE489" w14:textId="5AB6DD57" w:rsidR="00A5305E" w:rsidRPr="005734B8" w:rsidRDefault="00A5305E" w:rsidP="00A5305E">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Hawthorn West PS</w:t>
            </w:r>
          </w:p>
        </w:tc>
        <w:tc>
          <w:tcPr>
            <w:tcW w:w="1900" w:type="dxa"/>
            <w:tcBorders>
              <w:top w:val="single" w:sz="4" w:space="0" w:color="auto"/>
              <w:bottom w:val="single" w:sz="4" w:space="0" w:color="auto"/>
            </w:tcBorders>
            <w:shd w:val="clear" w:color="auto" w:fill="auto"/>
            <w:vAlign w:val="center"/>
          </w:tcPr>
          <w:p w14:paraId="46850727" w14:textId="34562FAB" w:rsidR="00A5305E" w:rsidRPr="005734B8" w:rsidRDefault="00A5305E" w:rsidP="00A5305E">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Healesville HS</w:t>
            </w:r>
          </w:p>
        </w:tc>
      </w:tr>
      <w:tr w:rsidR="00A5305E" w:rsidRPr="005734B8" w14:paraId="1728E0CA"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7EF824A9" w14:textId="696F7D86" w:rsidR="00A5305E" w:rsidRPr="005734B8" w:rsidRDefault="00A5305E" w:rsidP="00A5305E">
            <w:pPr>
              <w:pStyle w:val="ESTablebody"/>
              <w:spacing w:before="60" w:afterLines="60" w:after="144"/>
              <w:rPr>
                <w:rFonts w:ascii="Calibri" w:eastAsia="Calibri" w:hAnsi="Calibri" w:cs="Calibri"/>
                <w:sz w:val="18"/>
                <w:highlight w:val="yellow"/>
                <w:lang w:val="en-AU"/>
              </w:rPr>
            </w:pPr>
            <w:r w:rsidRPr="005734B8">
              <w:rPr>
                <w:rFonts w:ascii="Calibri" w:eastAsia="Calibri" w:hAnsi="Calibri" w:cs="Calibri"/>
                <w:sz w:val="18"/>
                <w:lang w:val="en-AU"/>
              </w:rPr>
              <w:t>Heathmont C</w:t>
            </w:r>
          </w:p>
        </w:tc>
        <w:tc>
          <w:tcPr>
            <w:tcW w:w="1962" w:type="dxa"/>
            <w:gridSpan w:val="2"/>
            <w:tcBorders>
              <w:top w:val="single" w:sz="4" w:space="0" w:color="auto"/>
              <w:bottom w:val="single" w:sz="4" w:space="0" w:color="auto"/>
            </w:tcBorders>
            <w:vAlign w:val="center"/>
          </w:tcPr>
          <w:p w14:paraId="10A354DE" w14:textId="752F65AD" w:rsidR="00A5305E" w:rsidRPr="005734B8" w:rsidRDefault="00A5305E" w:rsidP="00A5305E">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Heyfield PS</w:t>
            </w:r>
          </w:p>
        </w:tc>
        <w:tc>
          <w:tcPr>
            <w:tcW w:w="2025" w:type="dxa"/>
            <w:gridSpan w:val="3"/>
            <w:tcBorders>
              <w:top w:val="single" w:sz="4" w:space="0" w:color="auto"/>
              <w:bottom w:val="single" w:sz="4" w:space="0" w:color="auto"/>
            </w:tcBorders>
            <w:shd w:val="clear" w:color="auto" w:fill="auto"/>
            <w:vAlign w:val="center"/>
          </w:tcPr>
          <w:p w14:paraId="64FB8AA9" w14:textId="365CA28C" w:rsidR="00A5305E" w:rsidRPr="005734B8" w:rsidRDefault="00A5305E" w:rsidP="00A5305E">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Highton PS</w:t>
            </w:r>
          </w:p>
        </w:tc>
        <w:tc>
          <w:tcPr>
            <w:tcW w:w="1900" w:type="dxa"/>
            <w:tcBorders>
              <w:top w:val="single" w:sz="4" w:space="0" w:color="auto"/>
              <w:bottom w:val="single" w:sz="4" w:space="0" w:color="auto"/>
            </w:tcBorders>
            <w:shd w:val="clear" w:color="auto" w:fill="auto"/>
            <w:vAlign w:val="center"/>
          </w:tcPr>
          <w:p w14:paraId="21035036" w14:textId="1AD4A2B6" w:rsidR="00A5305E" w:rsidRPr="005734B8" w:rsidRDefault="00A5305E" w:rsidP="00A5305E">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Horsham C</w:t>
            </w:r>
          </w:p>
        </w:tc>
      </w:tr>
      <w:tr w:rsidR="00A5305E" w:rsidRPr="005734B8" w14:paraId="7B0094A3"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3BE2BD9" w14:textId="6A72EF64" w:rsidR="00A5305E" w:rsidRPr="005734B8" w:rsidRDefault="00A5305E" w:rsidP="00A5305E">
            <w:pPr>
              <w:pStyle w:val="ESTablebody"/>
              <w:spacing w:before="60" w:afterLines="60" w:after="144"/>
              <w:rPr>
                <w:rFonts w:ascii="Calibri" w:eastAsia="Calibri" w:hAnsi="Calibri" w:cs="Calibri"/>
                <w:sz w:val="18"/>
                <w:highlight w:val="yellow"/>
                <w:lang w:val="en-AU"/>
              </w:rPr>
            </w:pPr>
            <w:r w:rsidRPr="005734B8">
              <w:rPr>
                <w:rFonts w:ascii="Calibri" w:eastAsia="Calibri" w:hAnsi="Calibri" w:cs="Calibri"/>
                <w:sz w:val="18"/>
                <w:lang w:val="en-AU"/>
              </w:rPr>
              <w:t>Horsham PS</w:t>
            </w:r>
          </w:p>
        </w:tc>
        <w:tc>
          <w:tcPr>
            <w:tcW w:w="1962" w:type="dxa"/>
            <w:gridSpan w:val="2"/>
            <w:tcBorders>
              <w:top w:val="single" w:sz="4" w:space="0" w:color="auto"/>
              <w:bottom w:val="single" w:sz="4" w:space="0" w:color="auto"/>
            </w:tcBorders>
            <w:vAlign w:val="center"/>
          </w:tcPr>
          <w:p w14:paraId="31A4C447" w14:textId="5656AFE9" w:rsidR="00A5305E" w:rsidRPr="005734B8" w:rsidRDefault="00A5305E" w:rsidP="00A5305E">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Horsham 298 PS</w:t>
            </w:r>
          </w:p>
        </w:tc>
        <w:tc>
          <w:tcPr>
            <w:tcW w:w="2025" w:type="dxa"/>
            <w:gridSpan w:val="3"/>
            <w:tcBorders>
              <w:top w:val="single" w:sz="4" w:space="0" w:color="auto"/>
              <w:bottom w:val="single" w:sz="4" w:space="0" w:color="auto"/>
            </w:tcBorders>
            <w:shd w:val="clear" w:color="auto" w:fill="auto"/>
            <w:vAlign w:val="center"/>
          </w:tcPr>
          <w:p w14:paraId="190AA439" w14:textId="56A75CA7" w:rsidR="00A5305E" w:rsidRPr="005734B8" w:rsidRDefault="00A5305E" w:rsidP="00A5305E">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Hume Central SC (Blair St Campus)</w:t>
            </w:r>
          </w:p>
        </w:tc>
        <w:tc>
          <w:tcPr>
            <w:tcW w:w="1900" w:type="dxa"/>
            <w:tcBorders>
              <w:top w:val="single" w:sz="4" w:space="0" w:color="auto"/>
              <w:bottom w:val="single" w:sz="4" w:space="0" w:color="auto"/>
            </w:tcBorders>
            <w:shd w:val="clear" w:color="auto" w:fill="auto"/>
            <w:vAlign w:val="center"/>
          </w:tcPr>
          <w:p w14:paraId="484ADCAC" w14:textId="6D9A58CB" w:rsidR="00A5305E" w:rsidRPr="005734B8" w:rsidRDefault="00A5305E" w:rsidP="00A5305E">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Hume Central SC (Town Park Campus)</w:t>
            </w:r>
          </w:p>
        </w:tc>
      </w:tr>
      <w:tr w:rsidR="00A5305E" w:rsidRPr="005734B8" w14:paraId="7F9005F1"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28A8E28" w14:textId="554D53B0" w:rsidR="00A5305E" w:rsidRPr="005734B8" w:rsidRDefault="00A5305E" w:rsidP="00A5305E">
            <w:pPr>
              <w:pStyle w:val="ESTablebody"/>
              <w:spacing w:before="60" w:afterLines="60" w:after="144"/>
              <w:rPr>
                <w:rFonts w:ascii="Calibri" w:eastAsia="Calibri" w:hAnsi="Calibri" w:cs="Calibri"/>
                <w:sz w:val="18"/>
                <w:highlight w:val="yellow"/>
                <w:lang w:val="en-AU"/>
              </w:rPr>
            </w:pPr>
            <w:r w:rsidRPr="005734B8">
              <w:rPr>
                <w:rFonts w:ascii="Calibri" w:eastAsia="Calibri" w:hAnsi="Calibri" w:cs="Calibri"/>
                <w:sz w:val="18"/>
                <w:lang w:val="en-AU"/>
              </w:rPr>
              <w:t>Hume Central SC (Dimboola Rd Campus)</w:t>
            </w:r>
          </w:p>
        </w:tc>
        <w:tc>
          <w:tcPr>
            <w:tcW w:w="1962" w:type="dxa"/>
            <w:gridSpan w:val="2"/>
            <w:tcBorders>
              <w:top w:val="single" w:sz="4" w:space="0" w:color="auto"/>
              <w:bottom w:val="single" w:sz="4" w:space="0" w:color="auto"/>
            </w:tcBorders>
            <w:vAlign w:val="center"/>
          </w:tcPr>
          <w:p w14:paraId="187C4BAE" w14:textId="12906F2A" w:rsidR="00A5305E" w:rsidRPr="005734B8" w:rsidRDefault="00A5305E" w:rsidP="00A5305E">
            <w:pPr>
              <w:pStyle w:val="ESTablebody"/>
              <w:spacing w:before="60" w:afterLines="60" w:after="144"/>
              <w:rPr>
                <w:rFonts w:ascii="Calibri" w:hAnsi="Calibri" w:cs="Calibri"/>
                <w:color w:val="000000"/>
                <w:sz w:val="18"/>
                <w:highlight w:val="yellow"/>
              </w:rPr>
            </w:pPr>
            <w:r w:rsidRPr="005734B8">
              <w:rPr>
                <w:rFonts w:ascii="Calibri" w:hAnsi="Calibri" w:cs="Calibri"/>
                <w:color w:val="000000"/>
                <w:sz w:val="18"/>
              </w:rPr>
              <w:t>Huntingdale PS</w:t>
            </w:r>
          </w:p>
        </w:tc>
        <w:tc>
          <w:tcPr>
            <w:tcW w:w="2025" w:type="dxa"/>
            <w:gridSpan w:val="3"/>
            <w:tcBorders>
              <w:top w:val="single" w:sz="4" w:space="0" w:color="auto"/>
              <w:bottom w:val="single" w:sz="4" w:space="0" w:color="auto"/>
            </w:tcBorders>
            <w:shd w:val="clear" w:color="auto" w:fill="auto"/>
            <w:vAlign w:val="center"/>
          </w:tcPr>
          <w:p w14:paraId="73702010" w14:textId="4A056B22" w:rsidR="00A5305E" w:rsidRPr="005734B8" w:rsidRDefault="00A5305E" w:rsidP="00A5305E">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Huntly PS</w:t>
            </w:r>
          </w:p>
        </w:tc>
        <w:tc>
          <w:tcPr>
            <w:tcW w:w="1900" w:type="dxa"/>
            <w:tcBorders>
              <w:top w:val="single" w:sz="4" w:space="0" w:color="auto"/>
              <w:bottom w:val="single" w:sz="4" w:space="0" w:color="auto"/>
            </w:tcBorders>
            <w:shd w:val="clear" w:color="auto" w:fill="auto"/>
            <w:vAlign w:val="center"/>
          </w:tcPr>
          <w:p w14:paraId="2F8AEC17" w14:textId="4CEBDF20" w:rsidR="00A5305E" w:rsidRPr="005734B8" w:rsidRDefault="00A5305E" w:rsidP="00A5305E">
            <w:pPr>
              <w:pStyle w:val="ESTablebody"/>
              <w:spacing w:before="60" w:afterLines="60" w:after="144"/>
              <w:rPr>
                <w:rFonts w:ascii="Calibri" w:hAnsi="Calibri" w:cs="Calibri"/>
                <w:sz w:val="18"/>
                <w:highlight w:val="yellow"/>
                <w:lang w:val="en-AU"/>
              </w:rPr>
            </w:pPr>
            <w:r w:rsidRPr="005734B8">
              <w:rPr>
                <w:rFonts w:ascii="Calibri" w:hAnsi="Calibri" w:cs="Calibri"/>
                <w:sz w:val="18"/>
                <w:lang w:val="en-AU"/>
              </w:rPr>
              <w:t>Inglewood PS</w:t>
            </w:r>
          </w:p>
        </w:tc>
      </w:tr>
      <w:tr w:rsidR="00A5305E" w:rsidRPr="005734B8" w14:paraId="1FB1B24A"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7BECF7B4" w14:textId="7F118510"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Iramoo PS</w:t>
            </w:r>
          </w:p>
        </w:tc>
        <w:tc>
          <w:tcPr>
            <w:tcW w:w="1962" w:type="dxa"/>
            <w:gridSpan w:val="2"/>
            <w:tcBorders>
              <w:top w:val="single" w:sz="4" w:space="0" w:color="auto"/>
              <w:bottom w:val="single" w:sz="4" w:space="0" w:color="auto"/>
            </w:tcBorders>
            <w:vAlign w:val="center"/>
          </w:tcPr>
          <w:p w14:paraId="4CE7B6B1" w14:textId="5E2AC241"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Irymple PS</w:t>
            </w:r>
          </w:p>
        </w:tc>
        <w:tc>
          <w:tcPr>
            <w:tcW w:w="2025" w:type="dxa"/>
            <w:gridSpan w:val="3"/>
            <w:tcBorders>
              <w:top w:val="single" w:sz="4" w:space="0" w:color="auto"/>
              <w:bottom w:val="single" w:sz="4" w:space="0" w:color="auto"/>
            </w:tcBorders>
            <w:shd w:val="clear" w:color="auto" w:fill="auto"/>
            <w:vAlign w:val="center"/>
          </w:tcPr>
          <w:p w14:paraId="70587957" w14:textId="296B12CD"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Ivanhoe East PS</w:t>
            </w:r>
          </w:p>
        </w:tc>
        <w:tc>
          <w:tcPr>
            <w:tcW w:w="1900" w:type="dxa"/>
            <w:tcBorders>
              <w:top w:val="single" w:sz="4" w:space="0" w:color="auto"/>
              <w:bottom w:val="single" w:sz="4" w:space="0" w:color="auto"/>
            </w:tcBorders>
            <w:shd w:val="clear" w:color="auto" w:fill="auto"/>
            <w:vAlign w:val="center"/>
          </w:tcPr>
          <w:p w14:paraId="0D340508" w14:textId="0BBD1E7D"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Ivanhoe PS</w:t>
            </w:r>
          </w:p>
        </w:tc>
      </w:tr>
      <w:tr w:rsidR="00A5305E" w:rsidRPr="005734B8" w14:paraId="7BC451D5"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3ABC5323" w14:textId="358446AD"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Jackson School</w:t>
            </w:r>
          </w:p>
        </w:tc>
        <w:tc>
          <w:tcPr>
            <w:tcW w:w="1962" w:type="dxa"/>
            <w:gridSpan w:val="2"/>
            <w:tcBorders>
              <w:top w:val="single" w:sz="4" w:space="0" w:color="auto"/>
              <w:bottom w:val="single" w:sz="4" w:space="0" w:color="auto"/>
            </w:tcBorders>
            <w:vAlign w:val="center"/>
          </w:tcPr>
          <w:p w14:paraId="65CE30F1" w14:textId="2E981CB6"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John Fawkner SC</w:t>
            </w:r>
          </w:p>
        </w:tc>
        <w:tc>
          <w:tcPr>
            <w:tcW w:w="2025" w:type="dxa"/>
            <w:gridSpan w:val="3"/>
            <w:tcBorders>
              <w:top w:val="single" w:sz="4" w:space="0" w:color="auto"/>
              <w:bottom w:val="single" w:sz="4" w:space="0" w:color="auto"/>
            </w:tcBorders>
            <w:shd w:val="clear" w:color="auto" w:fill="auto"/>
            <w:vAlign w:val="center"/>
          </w:tcPr>
          <w:p w14:paraId="3238757A" w14:textId="1C923EFF"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John Henry PS</w:t>
            </w:r>
          </w:p>
        </w:tc>
        <w:tc>
          <w:tcPr>
            <w:tcW w:w="1900" w:type="dxa"/>
            <w:tcBorders>
              <w:top w:val="single" w:sz="4" w:space="0" w:color="auto"/>
              <w:bottom w:val="single" w:sz="4" w:space="0" w:color="auto"/>
            </w:tcBorders>
            <w:shd w:val="clear" w:color="auto" w:fill="auto"/>
            <w:vAlign w:val="center"/>
          </w:tcPr>
          <w:p w14:paraId="3AFFA0B0" w14:textId="31877E0D"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Kalianna SS</w:t>
            </w:r>
          </w:p>
        </w:tc>
      </w:tr>
      <w:tr w:rsidR="00A5305E" w:rsidRPr="005734B8" w14:paraId="3182DB57"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916A873" w14:textId="042558C0"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Kalkallo Commons PS</w:t>
            </w:r>
          </w:p>
        </w:tc>
        <w:tc>
          <w:tcPr>
            <w:tcW w:w="1962" w:type="dxa"/>
            <w:gridSpan w:val="2"/>
            <w:tcBorders>
              <w:top w:val="single" w:sz="4" w:space="0" w:color="auto"/>
              <w:bottom w:val="single" w:sz="4" w:space="0" w:color="auto"/>
            </w:tcBorders>
            <w:vAlign w:val="center"/>
          </w:tcPr>
          <w:p w14:paraId="554927CE" w14:textId="27CA5D72"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Kalkallo Interim Preschool</w:t>
            </w:r>
          </w:p>
        </w:tc>
        <w:tc>
          <w:tcPr>
            <w:tcW w:w="2025" w:type="dxa"/>
            <w:gridSpan w:val="3"/>
            <w:tcBorders>
              <w:top w:val="single" w:sz="4" w:space="0" w:color="auto"/>
              <w:bottom w:val="single" w:sz="4" w:space="0" w:color="auto"/>
            </w:tcBorders>
            <w:shd w:val="clear" w:color="auto" w:fill="auto"/>
            <w:vAlign w:val="center"/>
          </w:tcPr>
          <w:p w14:paraId="7288F67B" w14:textId="196FB1E3"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Kallista PS</w:t>
            </w:r>
          </w:p>
        </w:tc>
        <w:tc>
          <w:tcPr>
            <w:tcW w:w="1900" w:type="dxa"/>
            <w:tcBorders>
              <w:top w:val="single" w:sz="4" w:space="0" w:color="auto"/>
              <w:bottom w:val="single" w:sz="4" w:space="0" w:color="auto"/>
            </w:tcBorders>
            <w:shd w:val="clear" w:color="auto" w:fill="auto"/>
            <w:vAlign w:val="center"/>
          </w:tcPr>
          <w:p w14:paraId="0B64B510" w14:textId="6D081247"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Kananook PS</w:t>
            </w:r>
          </w:p>
        </w:tc>
      </w:tr>
      <w:tr w:rsidR="00A5305E" w:rsidRPr="005734B8" w14:paraId="41B388CA"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1557C935" w14:textId="1F937817"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Kangaroo Ground PS</w:t>
            </w:r>
          </w:p>
        </w:tc>
        <w:tc>
          <w:tcPr>
            <w:tcW w:w="1962" w:type="dxa"/>
            <w:gridSpan w:val="2"/>
            <w:tcBorders>
              <w:top w:val="single" w:sz="4" w:space="0" w:color="auto"/>
              <w:bottom w:val="single" w:sz="4" w:space="0" w:color="auto"/>
            </w:tcBorders>
            <w:vAlign w:val="center"/>
          </w:tcPr>
          <w:p w14:paraId="63CEC30E" w14:textId="7772C180"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Kaniva C</w:t>
            </w:r>
          </w:p>
        </w:tc>
        <w:tc>
          <w:tcPr>
            <w:tcW w:w="2025" w:type="dxa"/>
            <w:gridSpan w:val="3"/>
            <w:tcBorders>
              <w:top w:val="single" w:sz="4" w:space="0" w:color="auto"/>
              <w:bottom w:val="single" w:sz="4" w:space="0" w:color="auto"/>
            </w:tcBorders>
            <w:shd w:val="clear" w:color="auto" w:fill="auto"/>
            <w:vAlign w:val="center"/>
          </w:tcPr>
          <w:p w14:paraId="0E1DD0E6" w14:textId="08763FB8"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Keelonith PS</w:t>
            </w:r>
          </w:p>
        </w:tc>
        <w:tc>
          <w:tcPr>
            <w:tcW w:w="1900" w:type="dxa"/>
            <w:tcBorders>
              <w:top w:val="single" w:sz="4" w:space="0" w:color="auto"/>
              <w:bottom w:val="single" w:sz="4" w:space="0" w:color="auto"/>
            </w:tcBorders>
            <w:shd w:val="clear" w:color="auto" w:fill="auto"/>
            <w:vAlign w:val="center"/>
          </w:tcPr>
          <w:p w14:paraId="28E3AEBE" w14:textId="3B771ED5"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Kensington PS</w:t>
            </w:r>
          </w:p>
        </w:tc>
      </w:tr>
      <w:tr w:rsidR="00A5305E" w:rsidRPr="005734B8" w14:paraId="49BDA86E"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3CD4D704" w14:textId="0BF355A3"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Kerang PS</w:t>
            </w:r>
          </w:p>
        </w:tc>
        <w:tc>
          <w:tcPr>
            <w:tcW w:w="1962" w:type="dxa"/>
            <w:gridSpan w:val="2"/>
            <w:tcBorders>
              <w:top w:val="single" w:sz="4" w:space="0" w:color="auto"/>
              <w:bottom w:val="single" w:sz="4" w:space="0" w:color="auto"/>
            </w:tcBorders>
            <w:vAlign w:val="center"/>
          </w:tcPr>
          <w:p w14:paraId="4C499BA1" w14:textId="1129013F"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Kew HS</w:t>
            </w:r>
          </w:p>
        </w:tc>
        <w:tc>
          <w:tcPr>
            <w:tcW w:w="2025" w:type="dxa"/>
            <w:gridSpan w:val="3"/>
            <w:tcBorders>
              <w:top w:val="single" w:sz="4" w:space="0" w:color="auto"/>
              <w:bottom w:val="single" w:sz="4" w:space="0" w:color="auto"/>
            </w:tcBorders>
            <w:shd w:val="clear" w:color="auto" w:fill="auto"/>
            <w:vAlign w:val="center"/>
          </w:tcPr>
          <w:p w14:paraId="3EE4595D" w14:textId="6D2175BF"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Killara PS</w:t>
            </w:r>
          </w:p>
        </w:tc>
        <w:tc>
          <w:tcPr>
            <w:tcW w:w="1900" w:type="dxa"/>
            <w:tcBorders>
              <w:top w:val="single" w:sz="4" w:space="0" w:color="auto"/>
              <w:bottom w:val="single" w:sz="4" w:space="0" w:color="auto"/>
            </w:tcBorders>
            <w:shd w:val="clear" w:color="auto" w:fill="auto"/>
            <w:vAlign w:val="center"/>
          </w:tcPr>
          <w:p w14:paraId="59451183" w14:textId="37AF1281"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Kingsbury PS</w:t>
            </w:r>
          </w:p>
        </w:tc>
      </w:tr>
      <w:tr w:rsidR="00A5305E" w:rsidRPr="005734B8" w14:paraId="13AAA2D4"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F95B9C1" w14:textId="14356D18"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Kingsville PS</w:t>
            </w:r>
          </w:p>
        </w:tc>
        <w:tc>
          <w:tcPr>
            <w:tcW w:w="1962" w:type="dxa"/>
            <w:gridSpan w:val="2"/>
            <w:tcBorders>
              <w:top w:val="single" w:sz="4" w:space="0" w:color="auto"/>
              <w:bottom w:val="single" w:sz="4" w:space="0" w:color="auto"/>
            </w:tcBorders>
            <w:vAlign w:val="center"/>
          </w:tcPr>
          <w:p w14:paraId="0E040CDD" w14:textId="60A6EF88"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Knox Central PS</w:t>
            </w:r>
          </w:p>
        </w:tc>
        <w:tc>
          <w:tcPr>
            <w:tcW w:w="2025" w:type="dxa"/>
            <w:gridSpan w:val="3"/>
            <w:tcBorders>
              <w:top w:val="single" w:sz="4" w:space="0" w:color="auto"/>
              <w:bottom w:val="single" w:sz="4" w:space="0" w:color="auto"/>
            </w:tcBorders>
            <w:shd w:val="clear" w:color="auto" w:fill="auto"/>
            <w:vAlign w:val="center"/>
          </w:tcPr>
          <w:p w14:paraId="4C6E3567" w14:textId="7F402EFC"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Knox Gardens PS</w:t>
            </w:r>
          </w:p>
        </w:tc>
        <w:tc>
          <w:tcPr>
            <w:tcW w:w="1900" w:type="dxa"/>
            <w:tcBorders>
              <w:top w:val="single" w:sz="4" w:space="0" w:color="auto"/>
              <w:bottom w:val="single" w:sz="4" w:space="0" w:color="auto"/>
            </w:tcBorders>
            <w:shd w:val="clear" w:color="auto" w:fill="auto"/>
            <w:vAlign w:val="center"/>
          </w:tcPr>
          <w:p w14:paraId="3B039652" w14:textId="5C57800B"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Koo Wee Rup SC</w:t>
            </w:r>
          </w:p>
        </w:tc>
      </w:tr>
      <w:tr w:rsidR="00A5305E" w:rsidRPr="005734B8" w14:paraId="6027155C"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606F7743" w14:textId="566B52F2"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Koonung SC</w:t>
            </w:r>
          </w:p>
        </w:tc>
        <w:tc>
          <w:tcPr>
            <w:tcW w:w="1962" w:type="dxa"/>
            <w:gridSpan w:val="2"/>
            <w:tcBorders>
              <w:top w:val="single" w:sz="4" w:space="0" w:color="auto"/>
              <w:bottom w:val="single" w:sz="4" w:space="0" w:color="auto"/>
            </w:tcBorders>
            <w:vAlign w:val="center"/>
          </w:tcPr>
          <w:p w14:paraId="2F3F3BF4" w14:textId="6E59F6A9"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Kororoit Creek PS</w:t>
            </w:r>
          </w:p>
        </w:tc>
        <w:tc>
          <w:tcPr>
            <w:tcW w:w="2025" w:type="dxa"/>
            <w:gridSpan w:val="3"/>
            <w:tcBorders>
              <w:top w:val="single" w:sz="4" w:space="0" w:color="auto"/>
              <w:bottom w:val="single" w:sz="4" w:space="0" w:color="auto"/>
            </w:tcBorders>
            <w:shd w:val="clear" w:color="auto" w:fill="auto"/>
            <w:vAlign w:val="center"/>
          </w:tcPr>
          <w:p w14:paraId="27EBC7B9" w14:textId="0C58AF0E"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Korumburra SC</w:t>
            </w:r>
          </w:p>
        </w:tc>
        <w:tc>
          <w:tcPr>
            <w:tcW w:w="1900" w:type="dxa"/>
            <w:tcBorders>
              <w:top w:val="single" w:sz="4" w:space="0" w:color="auto"/>
              <w:bottom w:val="single" w:sz="4" w:space="0" w:color="auto"/>
            </w:tcBorders>
            <w:shd w:val="clear" w:color="auto" w:fill="auto"/>
            <w:vAlign w:val="center"/>
          </w:tcPr>
          <w:p w14:paraId="1B59D402" w14:textId="414050BA"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Kunyung PS</w:t>
            </w:r>
          </w:p>
        </w:tc>
      </w:tr>
      <w:tr w:rsidR="00A5305E" w:rsidRPr="005734B8" w14:paraId="5E7A57DB"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10EA6DD8" w14:textId="168955B0"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Kurnai C</w:t>
            </w:r>
          </w:p>
        </w:tc>
        <w:tc>
          <w:tcPr>
            <w:tcW w:w="1962" w:type="dxa"/>
            <w:gridSpan w:val="2"/>
            <w:tcBorders>
              <w:top w:val="single" w:sz="4" w:space="0" w:color="auto"/>
              <w:bottom w:val="single" w:sz="4" w:space="0" w:color="auto"/>
            </w:tcBorders>
            <w:vAlign w:val="center"/>
          </w:tcPr>
          <w:p w14:paraId="0C84BEBB" w14:textId="2DA8EE58"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Kurunjang PS</w:t>
            </w:r>
          </w:p>
        </w:tc>
        <w:tc>
          <w:tcPr>
            <w:tcW w:w="2025" w:type="dxa"/>
            <w:gridSpan w:val="3"/>
            <w:tcBorders>
              <w:top w:val="single" w:sz="4" w:space="0" w:color="auto"/>
              <w:bottom w:val="single" w:sz="4" w:space="0" w:color="auto"/>
            </w:tcBorders>
            <w:shd w:val="clear" w:color="auto" w:fill="auto"/>
            <w:vAlign w:val="center"/>
          </w:tcPr>
          <w:p w14:paraId="5B95B571" w14:textId="44CC82A8"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Kurunjang SC</w:t>
            </w:r>
          </w:p>
        </w:tc>
        <w:tc>
          <w:tcPr>
            <w:tcW w:w="1900" w:type="dxa"/>
            <w:tcBorders>
              <w:top w:val="single" w:sz="4" w:space="0" w:color="auto"/>
              <w:bottom w:val="single" w:sz="4" w:space="0" w:color="auto"/>
            </w:tcBorders>
            <w:shd w:val="clear" w:color="auto" w:fill="auto"/>
            <w:vAlign w:val="center"/>
          </w:tcPr>
          <w:p w14:paraId="195EA205" w14:textId="74BD34F4"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Kyneton PS</w:t>
            </w:r>
          </w:p>
        </w:tc>
      </w:tr>
      <w:tr w:rsidR="00A5305E" w:rsidRPr="005734B8" w14:paraId="3B389CB5"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2E954946" w14:textId="05E0B196"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Lake Boga PS</w:t>
            </w:r>
          </w:p>
        </w:tc>
        <w:tc>
          <w:tcPr>
            <w:tcW w:w="1962" w:type="dxa"/>
            <w:gridSpan w:val="2"/>
            <w:tcBorders>
              <w:top w:val="single" w:sz="4" w:space="0" w:color="auto"/>
              <w:bottom w:val="single" w:sz="4" w:space="0" w:color="auto"/>
            </w:tcBorders>
            <w:vAlign w:val="center"/>
          </w:tcPr>
          <w:p w14:paraId="3028E09E" w14:textId="18097534"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Lakes Entrance SC</w:t>
            </w:r>
          </w:p>
        </w:tc>
        <w:tc>
          <w:tcPr>
            <w:tcW w:w="2025" w:type="dxa"/>
            <w:gridSpan w:val="3"/>
            <w:tcBorders>
              <w:top w:val="single" w:sz="4" w:space="0" w:color="auto"/>
              <w:bottom w:val="single" w:sz="4" w:space="0" w:color="auto"/>
            </w:tcBorders>
            <w:shd w:val="clear" w:color="auto" w:fill="auto"/>
            <w:vAlign w:val="center"/>
          </w:tcPr>
          <w:p w14:paraId="2B3DCD3D" w14:textId="3DE1F7B9"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Lal Lal PS</w:t>
            </w:r>
          </w:p>
        </w:tc>
        <w:tc>
          <w:tcPr>
            <w:tcW w:w="1900" w:type="dxa"/>
            <w:tcBorders>
              <w:top w:val="single" w:sz="4" w:space="0" w:color="auto"/>
              <w:bottom w:val="single" w:sz="4" w:space="0" w:color="auto"/>
            </w:tcBorders>
            <w:shd w:val="clear" w:color="auto" w:fill="auto"/>
            <w:vAlign w:val="center"/>
          </w:tcPr>
          <w:p w14:paraId="7CF76DB4" w14:textId="20E95804"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Lalor East PS</w:t>
            </w:r>
          </w:p>
        </w:tc>
      </w:tr>
      <w:tr w:rsidR="00A5305E" w:rsidRPr="005734B8" w14:paraId="7715D98C"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FF2C8AB" w14:textId="1C47D7C8"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Lalor SC</w:t>
            </w:r>
          </w:p>
        </w:tc>
        <w:tc>
          <w:tcPr>
            <w:tcW w:w="1962" w:type="dxa"/>
            <w:gridSpan w:val="2"/>
            <w:tcBorders>
              <w:top w:val="single" w:sz="4" w:space="0" w:color="auto"/>
              <w:bottom w:val="single" w:sz="4" w:space="0" w:color="auto"/>
            </w:tcBorders>
            <w:vAlign w:val="center"/>
          </w:tcPr>
          <w:p w14:paraId="00093BF7" w14:textId="0B2DDA51"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Lang Lang PS</w:t>
            </w:r>
          </w:p>
        </w:tc>
        <w:tc>
          <w:tcPr>
            <w:tcW w:w="2025" w:type="dxa"/>
            <w:gridSpan w:val="3"/>
            <w:tcBorders>
              <w:top w:val="single" w:sz="4" w:space="0" w:color="auto"/>
              <w:bottom w:val="single" w:sz="4" w:space="0" w:color="auto"/>
            </w:tcBorders>
            <w:shd w:val="clear" w:color="auto" w:fill="auto"/>
            <w:vAlign w:val="center"/>
          </w:tcPr>
          <w:p w14:paraId="7D4E1F29" w14:textId="791D13EA"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Langwarrin PS</w:t>
            </w:r>
          </w:p>
        </w:tc>
        <w:tc>
          <w:tcPr>
            <w:tcW w:w="1900" w:type="dxa"/>
            <w:tcBorders>
              <w:top w:val="single" w:sz="4" w:space="0" w:color="auto"/>
              <w:bottom w:val="single" w:sz="4" w:space="0" w:color="auto"/>
            </w:tcBorders>
            <w:shd w:val="clear" w:color="auto" w:fill="auto"/>
            <w:vAlign w:val="center"/>
          </w:tcPr>
          <w:p w14:paraId="390E5D16" w14:textId="6B91E494"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Latrobe SDS</w:t>
            </w:r>
          </w:p>
        </w:tc>
      </w:tr>
      <w:tr w:rsidR="00A5305E" w:rsidRPr="005734B8" w14:paraId="6C825DA7"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1BF1516" w14:textId="4119F967"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Lavers Hill P</w:t>
            </w:r>
            <w:r w:rsidR="00104F40" w:rsidRPr="005734B8">
              <w:rPr>
                <w:rFonts w:ascii="Calibri" w:hAnsi="Calibri" w:cs="Calibri"/>
                <w:sz w:val="18"/>
                <w:lang w:val="en-AU"/>
              </w:rPr>
              <w:t>–</w:t>
            </w:r>
            <w:r w:rsidRPr="005734B8">
              <w:rPr>
                <w:rFonts w:ascii="Calibri" w:eastAsia="Calibri" w:hAnsi="Calibri" w:cs="Calibri"/>
                <w:sz w:val="18"/>
                <w:lang w:val="en-AU"/>
              </w:rPr>
              <w:t>12 C</w:t>
            </w:r>
          </w:p>
        </w:tc>
        <w:tc>
          <w:tcPr>
            <w:tcW w:w="1962" w:type="dxa"/>
            <w:gridSpan w:val="2"/>
            <w:tcBorders>
              <w:top w:val="single" w:sz="4" w:space="0" w:color="auto"/>
              <w:bottom w:val="single" w:sz="4" w:space="0" w:color="auto"/>
            </w:tcBorders>
            <w:vAlign w:val="center"/>
          </w:tcPr>
          <w:p w14:paraId="1A989754" w14:textId="37DD021E"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Laverton P</w:t>
            </w:r>
            <w:r w:rsidR="00104F40" w:rsidRPr="005734B8">
              <w:rPr>
                <w:rFonts w:ascii="Calibri" w:hAnsi="Calibri" w:cs="Calibri"/>
                <w:sz w:val="18"/>
                <w:lang w:val="en-AU"/>
              </w:rPr>
              <w:t>–</w:t>
            </w:r>
            <w:r w:rsidRPr="005734B8">
              <w:rPr>
                <w:rFonts w:ascii="Calibri" w:hAnsi="Calibri" w:cs="Calibri"/>
                <w:color w:val="000000"/>
                <w:sz w:val="18"/>
              </w:rPr>
              <w:t>12 C</w:t>
            </w:r>
          </w:p>
        </w:tc>
        <w:tc>
          <w:tcPr>
            <w:tcW w:w="2025" w:type="dxa"/>
            <w:gridSpan w:val="3"/>
            <w:tcBorders>
              <w:top w:val="single" w:sz="4" w:space="0" w:color="auto"/>
              <w:bottom w:val="single" w:sz="4" w:space="0" w:color="auto"/>
            </w:tcBorders>
            <w:shd w:val="clear" w:color="auto" w:fill="auto"/>
            <w:vAlign w:val="center"/>
          </w:tcPr>
          <w:p w14:paraId="6AF23D0B" w14:textId="1711478D"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Le Page PS</w:t>
            </w:r>
          </w:p>
        </w:tc>
        <w:tc>
          <w:tcPr>
            <w:tcW w:w="1900" w:type="dxa"/>
            <w:tcBorders>
              <w:top w:val="single" w:sz="4" w:space="0" w:color="auto"/>
              <w:bottom w:val="single" w:sz="4" w:space="0" w:color="auto"/>
            </w:tcBorders>
            <w:shd w:val="clear" w:color="auto" w:fill="auto"/>
            <w:vAlign w:val="center"/>
          </w:tcPr>
          <w:p w14:paraId="6A1CC36F" w14:textId="0CF2B595"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Leitchville PS</w:t>
            </w:r>
          </w:p>
        </w:tc>
      </w:tr>
      <w:tr w:rsidR="00A5305E" w:rsidRPr="005734B8" w14:paraId="7DFBF977"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1A8F927A" w14:textId="469E5453"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Leongatha PS</w:t>
            </w:r>
          </w:p>
        </w:tc>
        <w:tc>
          <w:tcPr>
            <w:tcW w:w="1962" w:type="dxa"/>
            <w:gridSpan w:val="2"/>
            <w:tcBorders>
              <w:top w:val="single" w:sz="4" w:space="0" w:color="auto"/>
              <w:bottom w:val="single" w:sz="4" w:space="0" w:color="auto"/>
            </w:tcBorders>
            <w:vAlign w:val="center"/>
          </w:tcPr>
          <w:p w14:paraId="10F31DC7" w14:textId="4315C500"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Leongatha SC</w:t>
            </w:r>
          </w:p>
        </w:tc>
        <w:tc>
          <w:tcPr>
            <w:tcW w:w="2025" w:type="dxa"/>
            <w:gridSpan w:val="3"/>
            <w:tcBorders>
              <w:top w:val="single" w:sz="4" w:space="0" w:color="auto"/>
              <w:bottom w:val="single" w:sz="4" w:space="0" w:color="auto"/>
            </w:tcBorders>
            <w:shd w:val="clear" w:color="auto" w:fill="auto"/>
            <w:vAlign w:val="center"/>
          </w:tcPr>
          <w:p w14:paraId="59CA0B65" w14:textId="35336A77"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Lilydale Heights C</w:t>
            </w:r>
          </w:p>
        </w:tc>
        <w:tc>
          <w:tcPr>
            <w:tcW w:w="1900" w:type="dxa"/>
            <w:tcBorders>
              <w:top w:val="single" w:sz="4" w:space="0" w:color="auto"/>
              <w:bottom w:val="single" w:sz="4" w:space="0" w:color="auto"/>
            </w:tcBorders>
            <w:shd w:val="clear" w:color="auto" w:fill="auto"/>
            <w:vAlign w:val="center"/>
          </w:tcPr>
          <w:p w14:paraId="3724130F" w14:textId="10882C6D"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Lilydale HS</w:t>
            </w:r>
          </w:p>
        </w:tc>
      </w:tr>
      <w:tr w:rsidR="00A5305E" w:rsidRPr="005734B8" w14:paraId="59D134CE"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12F26679" w14:textId="49E3A67E"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Lower Plenty PS</w:t>
            </w:r>
          </w:p>
        </w:tc>
        <w:tc>
          <w:tcPr>
            <w:tcW w:w="1962" w:type="dxa"/>
            <w:gridSpan w:val="2"/>
            <w:tcBorders>
              <w:top w:val="single" w:sz="4" w:space="0" w:color="auto"/>
              <w:bottom w:val="single" w:sz="4" w:space="0" w:color="auto"/>
            </w:tcBorders>
            <w:vAlign w:val="center"/>
          </w:tcPr>
          <w:p w14:paraId="7851E96D" w14:textId="3D76F994"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Lucknow PS</w:t>
            </w:r>
          </w:p>
        </w:tc>
        <w:tc>
          <w:tcPr>
            <w:tcW w:w="2025" w:type="dxa"/>
            <w:gridSpan w:val="3"/>
            <w:tcBorders>
              <w:top w:val="single" w:sz="4" w:space="0" w:color="auto"/>
              <w:bottom w:val="single" w:sz="4" w:space="0" w:color="auto"/>
            </w:tcBorders>
            <w:shd w:val="clear" w:color="auto" w:fill="auto"/>
            <w:vAlign w:val="center"/>
          </w:tcPr>
          <w:p w14:paraId="7974E0A6" w14:textId="18517963"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Lynbrook PS</w:t>
            </w:r>
          </w:p>
        </w:tc>
        <w:tc>
          <w:tcPr>
            <w:tcW w:w="1900" w:type="dxa"/>
            <w:tcBorders>
              <w:top w:val="single" w:sz="4" w:space="0" w:color="auto"/>
              <w:bottom w:val="single" w:sz="4" w:space="0" w:color="auto"/>
            </w:tcBorders>
            <w:shd w:val="clear" w:color="auto" w:fill="auto"/>
            <w:vAlign w:val="center"/>
          </w:tcPr>
          <w:p w14:paraId="13DB296F" w14:textId="08AA7D8C"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Lyndhurst PS</w:t>
            </w:r>
          </w:p>
        </w:tc>
      </w:tr>
      <w:tr w:rsidR="00A5305E" w:rsidRPr="005734B8" w14:paraId="62BEAB26"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510DCBD" w14:textId="47B8B668"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Mackellar PS</w:t>
            </w:r>
          </w:p>
        </w:tc>
        <w:tc>
          <w:tcPr>
            <w:tcW w:w="1962" w:type="dxa"/>
            <w:gridSpan w:val="2"/>
            <w:tcBorders>
              <w:top w:val="single" w:sz="4" w:space="0" w:color="auto"/>
              <w:bottom w:val="single" w:sz="4" w:space="0" w:color="auto"/>
            </w:tcBorders>
            <w:vAlign w:val="center"/>
          </w:tcPr>
          <w:p w14:paraId="02F12F6E" w14:textId="143A9950"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Macleod C</w:t>
            </w:r>
          </w:p>
        </w:tc>
        <w:tc>
          <w:tcPr>
            <w:tcW w:w="2025" w:type="dxa"/>
            <w:gridSpan w:val="3"/>
            <w:tcBorders>
              <w:top w:val="single" w:sz="4" w:space="0" w:color="auto"/>
              <w:bottom w:val="single" w:sz="4" w:space="0" w:color="auto"/>
            </w:tcBorders>
            <w:shd w:val="clear" w:color="auto" w:fill="auto"/>
            <w:vAlign w:val="center"/>
          </w:tcPr>
          <w:p w14:paraId="79B55098" w14:textId="27184A43"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Mahogany Rise PS</w:t>
            </w:r>
          </w:p>
        </w:tc>
        <w:tc>
          <w:tcPr>
            <w:tcW w:w="1900" w:type="dxa"/>
            <w:tcBorders>
              <w:top w:val="single" w:sz="4" w:space="0" w:color="auto"/>
              <w:bottom w:val="single" w:sz="4" w:space="0" w:color="auto"/>
            </w:tcBorders>
            <w:shd w:val="clear" w:color="auto" w:fill="auto"/>
            <w:vAlign w:val="center"/>
          </w:tcPr>
          <w:p w14:paraId="3BE1DBEB" w14:textId="69E5A8A8"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Maiden Gully PS</w:t>
            </w:r>
          </w:p>
        </w:tc>
      </w:tr>
      <w:tr w:rsidR="00A5305E" w:rsidRPr="005734B8" w14:paraId="2463C41C"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187F3C75" w14:textId="443B60BD"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Mallacoota P</w:t>
            </w:r>
            <w:r w:rsidR="00104F40" w:rsidRPr="005734B8">
              <w:rPr>
                <w:rFonts w:ascii="Calibri" w:hAnsi="Calibri" w:cs="Calibri"/>
                <w:sz w:val="18"/>
                <w:lang w:val="en-AU"/>
              </w:rPr>
              <w:t>–</w:t>
            </w:r>
            <w:r w:rsidRPr="005734B8">
              <w:rPr>
                <w:rFonts w:ascii="Calibri" w:eastAsia="Calibri" w:hAnsi="Calibri" w:cs="Calibri"/>
                <w:sz w:val="18"/>
                <w:lang w:val="en-AU"/>
              </w:rPr>
              <w:t>12 C</w:t>
            </w:r>
          </w:p>
        </w:tc>
        <w:tc>
          <w:tcPr>
            <w:tcW w:w="1962" w:type="dxa"/>
            <w:gridSpan w:val="2"/>
            <w:tcBorders>
              <w:top w:val="single" w:sz="4" w:space="0" w:color="auto"/>
              <w:bottom w:val="single" w:sz="4" w:space="0" w:color="auto"/>
            </w:tcBorders>
            <w:vAlign w:val="center"/>
          </w:tcPr>
          <w:p w14:paraId="643F05E2" w14:textId="69C85608"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Malmsbury PS</w:t>
            </w:r>
          </w:p>
        </w:tc>
        <w:tc>
          <w:tcPr>
            <w:tcW w:w="2025" w:type="dxa"/>
            <w:gridSpan w:val="3"/>
            <w:tcBorders>
              <w:top w:val="single" w:sz="4" w:space="0" w:color="auto"/>
              <w:bottom w:val="single" w:sz="4" w:space="0" w:color="auto"/>
            </w:tcBorders>
            <w:shd w:val="clear" w:color="auto" w:fill="auto"/>
            <w:vAlign w:val="center"/>
          </w:tcPr>
          <w:p w14:paraId="60D188FA" w14:textId="78147EC8"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Manangatang P</w:t>
            </w:r>
            <w:r w:rsidR="00104F40" w:rsidRPr="005734B8">
              <w:rPr>
                <w:rFonts w:ascii="Calibri" w:hAnsi="Calibri" w:cs="Calibri"/>
                <w:sz w:val="18"/>
                <w:lang w:val="en-AU"/>
              </w:rPr>
              <w:t>–</w:t>
            </w:r>
            <w:r w:rsidRPr="005734B8">
              <w:rPr>
                <w:rFonts w:ascii="Calibri" w:hAnsi="Calibri" w:cs="Calibri"/>
                <w:sz w:val="18"/>
                <w:lang w:val="en-AU"/>
              </w:rPr>
              <w:t>12 C</w:t>
            </w:r>
          </w:p>
        </w:tc>
        <w:tc>
          <w:tcPr>
            <w:tcW w:w="1900" w:type="dxa"/>
            <w:tcBorders>
              <w:top w:val="single" w:sz="4" w:space="0" w:color="auto"/>
              <w:bottom w:val="single" w:sz="4" w:space="0" w:color="auto"/>
            </w:tcBorders>
            <w:shd w:val="clear" w:color="auto" w:fill="auto"/>
            <w:vAlign w:val="center"/>
          </w:tcPr>
          <w:p w14:paraId="6180C71E" w14:textId="04D7D8C1"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Manor Lakes P</w:t>
            </w:r>
            <w:r w:rsidR="00104F40" w:rsidRPr="005734B8">
              <w:rPr>
                <w:rFonts w:ascii="Calibri" w:hAnsi="Calibri" w:cs="Calibri"/>
                <w:sz w:val="18"/>
                <w:lang w:val="en-AU"/>
              </w:rPr>
              <w:t>–</w:t>
            </w:r>
            <w:r w:rsidRPr="005734B8">
              <w:rPr>
                <w:rFonts w:ascii="Calibri" w:hAnsi="Calibri" w:cs="Calibri"/>
                <w:sz w:val="18"/>
                <w:lang w:val="en-AU"/>
              </w:rPr>
              <w:t>12 C</w:t>
            </w:r>
          </w:p>
        </w:tc>
      </w:tr>
      <w:tr w:rsidR="00A5305E" w:rsidRPr="005734B8" w14:paraId="25F0500F"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AC58D58" w14:textId="0F3C17C2"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Mansfield SC</w:t>
            </w:r>
          </w:p>
        </w:tc>
        <w:tc>
          <w:tcPr>
            <w:tcW w:w="1962" w:type="dxa"/>
            <w:gridSpan w:val="2"/>
            <w:tcBorders>
              <w:top w:val="single" w:sz="4" w:space="0" w:color="auto"/>
              <w:bottom w:val="single" w:sz="4" w:space="0" w:color="auto"/>
            </w:tcBorders>
            <w:vAlign w:val="center"/>
          </w:tcPr>
          <w:p w14:paraId="57CC0D02" w14:textId="0F682BD2"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Maramba PS</w:t>
            </w:r>
          </w:p>
        </w:tc>
        <w:tc>
          <w:tcPr>
            <w:tcW w:w="2025" w:type="dxa"/>
            <w:gridSpan w:val="3"/>
            <w:tcBorders>
              <w:top w:val="single" w:sz="4" w:space="0" w:color="auto"/>
              <w:bottom w:val="single" w:sz="4" w:space="0" w:color="auto"/>
            </w:tcBorders>
            <w:shd w:val="clear" w:color="auto" w:fill="auto"/>
            <w:vAlign w:val="center"/>
          </w:tcPr>
          <w:p w14:paraId="4A1BEDBA" w14:textId="2A65CF90"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Maribyrnong SC</w:t>
            </w:r>
          </w:p>
        </w:tc>
        <w:tc>
          <w:tcPr>
            <w:tcW w:w="1900" w:type="dxa"/>
            <w:tcBorders>
              <w:top w:val="single" w:sz="4" w:space="0" w:color="auto"/>
              <w:bottom w:val="single" w:sz="4" w:space="0" w:color="auto"/>
            </w:tcBorders>
            <w:shd w:val="clear" w:color="auto" w:fill="auto"/>
            <w:vAlign w:val="center"/>
          </w:tcPr>
          <w:p w14:paraId="2C7BD6E8" w14:textId="1ED88A9A"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Marlborough PS</w:t>
            </w:r>
          </w:p>
        </w:tc>
      </w:tr>
      <w:tr w:rsidR="00A5305E" w:rsidRPr="005734B8" w14:paraId="3A53705C"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1871F6C" w14:textId="2E0A47CC"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Marnebek S Cranbourne</w:t>
            </w:r>
          </w:p>
        </w:tc>
        <w:tc>
          <w:tcPr>
            <w:tcW w:w="1962" w:type="dxa"/>
            <w:gridSpan w:val="2"/>
            <w:tcBorders>
              <w:top w:val="single" w:sz="4" w:space="0" w:color="auto"/>
              <w:bottom w:val="single" w:sz="4" w:space="0" w:color="auto"/>
            </w:tcBorders>
            <w:vAlign w:val="center"/>
          </w:tcPr>
          <w:p w14:paraId="47CD464E" w14:textId="5B7136CC"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Marong PS</w:t>
            </w:r>
          </w:p>
        </w:tc>
        <w:tc>
          <w:tcPr>
            <w:tcW w:w="2025" w:type="dxa"/>
            <w:gridSpan w:val="3"/>
            <w:tcBorders>
              <w:top w:val="single" w:sz="4" w:space="0" w:color="auto"/>
              <w:bottom w:val="single" w:sz="4" w:space="0" w:color="auto"/>
            </w:tcBorders>
            <w:shd w:val="clear" w:color="auto" w:fill="auto"/>
            <w:vAlign w:val="center"/>
          </w:tcPr>
          <w:p w14:paraId="290EF089" w14:textId="21501A36"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Marysville PS</w:t>
            </w:r>
          </w:p>
        </w:tc>
        <w:tc>
          <w:tcPr>
            <w:tcW w:w="1900" w:type="dxa"/>
            <w:tcBorders>
              <w:top w:val="single" w:sz="4" w:space="0" w:color="auto"/>
              <w:bottom w:val="single" w:sz="4" w:space="0" w:color="auto"/>
            </w:tcBorders>
            <w:shd w:val="clear" w:color="auto" w:fill="auto"/>
            <w:vAlign w:val="center"/>
          </w:tcPr>
          <w:p w14:paraId="3D2E7536" w14:textId="190A44E3"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Matthew Flinders Girls SC</w:t>
            </w:r>
          </w:p>
        </w:tc>
      </w:tr>
      <w:tr w:rsidR="00A5305E" w:rsidRPr="005734B8" w14:paraId="57B77AE9"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188F527F" w14:textId="34F32A31"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lastRenderedPageBreak/>
              <w:t>McKinnon SC (East Campus)</w:t>
            </w:r>
          </w:p>
        </w:tc>
        <w:tc>
          <w:tcPr>
            <w:tcW w:w="1962" w:type="dxa"/>
            <w:gridSpan w:val="2"/>
            <w:tcBorders>
              <w:top w:val="single" w:sz="4" w:space="0" w:color="auto"/>
              <w:bottom w:val="single" w:sz="4" w:space="0" w:color="auto"/>
            </w:tcBorders>
            <w:vAlign w:val="center"/>
          </w:tcPr>
          <w:p w14:paraId="4D5C8FA7" w14:textId="6FA662B4"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Mckinnon SC</w:t>
            </w:r>
          </w:p>
        </w:tc>
        <w:tc>
          <w:tcPr>
            <w:tcW w:w="2025" w:type="dxa"/>
            <w:gridSpan w:val="3"/>
            <w:tcBorders>
              <w:top w:val="single" w:sz="4" w:space="0" w:color="auto"/>
              <w:bottom w:val="single" w:sz="4" w:space="0" w:color="auto"/>
            </w:tcBorders>
            <w:shd w:val="clear" w:color="auto" w:fill="auto"/>
            <w:vAlign w:val="center"/>
          </w:tcPr>
          <w:p w14:paraId="72FFD860" w14:textId="34FB19EA"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w:t>
            </w:r>
            <w:r w:rsidR="00104F40" w:rsidRPr="005734B8">
              <w:rPr>
                <w:rFonts w:ascii="Calibri" w:hAnsi="Calibri" w:cs="Calibri"/>
                <w:sz w:val="18"/>
                <w:lang w:val="en-AU"/>
              </w:rPr>
              <w:t>a</w:t>
            </w:r>
            <w:r w:rsidRPr="005734B8">
              <w:rPr>
                <w:rFonts w:ascii="Calibri" w:hAnsi="Calibri" w:cs="Calibri"/>
                <w:sz w:val="18"/>
                <w:lang w:val="en-AU"/>
              </w:rPr>
              <w:t>cRobertson Girls HS</w:t>
            </w:r>
          </w:p>
        </w:tc>
        <w:tc>
          <w:tcPr>
            <w:tcW w:w="1900" w:type="dxa"/>
            <w:tcBorders>
              <w:top w:val="single" w:sz="4" w:space="0" w:color="auto"/>
              <w:bottom w:val="single" w:sz="4" w:space="0" w:color="auto"/>
            </w:tcBorders>
            <w:shd w:val="clear" w:color="auto" w:fill="auto"/>
            <w:vAlign w:val="center"/>
          </w:tcPr>
          <w:p w14:paraId="5C1CCB7E" w14:textId="0417F15B"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Meadows PS</w:t>
            </w:r>
          </w:p>
        </w:tc>
      </w:tr>
      <w:tr w:rsidR="00A5305E" w:rsidRPr="005734B8" w14:paraId="60EACCC1"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32709D3D" w14:textId="2ABDFD3A"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Melton SC</w:t>
            </w:r>
          </w:p>
        </w:tc>
        <w:tc>
          <w:tcPr>
            <w:tcW w:w="1962" w:type="dxa"/>
            <w:gridSpan w:val="2"/>
            <w:tcBorders>
              <w:top w:val="single" w:sz="4" w:space="0" w:color="auto"/>
              <w:bottom w:val="single" w:sz="4" w:space="0" w:color="auto"/>
            </w:tcBorders>
            <w:vAlign w:val="center"/>
          </w:tcPr>
          <w:p w14:paraId="254D0068" w14:textId="55A8703D"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Melton South PS</w:t>
            </w:r>
          </w:p>
        </w:tc>
        <w:tc>
          <w:tcPr>
            <w:tcW w:w="2025" w:type="dxa"/>
            <w:gridSpan w:val="3"/>
            <w:tcBorders>
              <w:top w:val="single" w:sz="4" w:space="0" w:color="auto"/>
              <w:bottom w:val="single" w:sz="4" w:space="0" w:color="auto"/>
            </w:tcBorders>
            <w:shd w:val="clear" w:color="auto" w:fill="auto"/>
            <w:vAlign w:val="center"/>
          </w:tcPr>
          <w:p w14:paraId="1615680E" w14:textId="39E6A9A7"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Mernda Central P-12 C</w:t>
            </w:r>
          </w:p>
        </w:tc>
        <w:tc>
          <w:tcPr>
            <w:tcW w:w="1900" w:type="dxa"/>
            <w:tcBorders>
              <w:top w:val="single" w:sz="4" w:space="0" w:color="auto"/>
              <w:bottom w:val="single" w:sz="4" w:space="0" w:color="auto"/>
            </w:tcBorders>
            <w:shd w:val="clear" w:color="auto" w:fill="auto"/>
            <w:vAlign w:val="center"/>
          </w:tcPr>
          <w:p w14:paraId="4E45A57F" w14:textId="61074F2C"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Merrifield North K</w:t>
            </w:r>
          </w:p>
        </w:tc>
      </w:tr>
      <w:tr w:rsidR="00A5305E" w:rsidRPr="005734B8" w14:paraId="0533AD88"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20935138" w14:textId="2A94EC9C"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Mickleham PS</w:t>
            </w:r>
          </w:p>
        </w:tc>
        <w:tc>
          <w:tcPr>
            <w:tcW w:w="1962" w:type="dxa"/>
            <w:gridSpan w:val="2"/>
            <w:tcBorders>
              <w:top w:val="single" w:sz="4" w:space="0" w:color="auto"/>
              <w:bottom w:val="single" w:sz="4" w:space="0" w:color="auto"/>
            </w:tcBorders>
            <w:vAlign w:val="center"/>
          </w:tcPr>
          <w:p w14:paraId="4E9FA603" w14:textId="2E45EAF9"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Mildura PS</w:t>
            </w:r>
          </w:p>
        </w:tc>
        <w:tc>
          <w:tcPr>
            <w:tcW w:w="2025" w:type="dxa"/>
            <w:gridSpan w:val="3"/>
            <w:tcBorders>
              <w:top w:val="single" w:sz="4" w:space="0" w:color="auto"/>
              <w:bottom w:val="single" w:sz="4" w:space="0" w:color="auto"/>
            </w:tcBorders>
            <w:shd w:val="clear" w:color="auto" w:fill="auto"/>
            <w:vAlign w:val="center"/>
          </w:tcPr>
          <w:p w14:paraId="5DB0A4AB" w14:textId="4B54252D"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Mildura Senior C</w:t>
            </w:r>
          </w:p>
        </w:tc>
        <w:tc>
          <w:tcPr>
            <w:tcW w:w="1900" w:type="dxa"/>
            <w:tcBorders>
              <w:top w:val="single" w:sz="4" w:space="0" w:color="auto"/>
              <w:bottom w:val="single" w:sz="4" w:space="0" w:color="auto"/>
            </w:tcBorders>
            <w:shd w:val="clear" w:color="auto" w:fill="auto"/>
            <w:vAlign w:val="center"/>
          </w:tcPr>
          <w:p w14:paraId="5CAA1D52" w14:textId="76231D90"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Mildura South PS</w:t>
            </w:r>
          </w:p>
        </w:tc>
      </w:tr>
      <w:tr w:rsidR="00A5305E" w:rsidRPr="005734B8" w14:paraId="5366EC58"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86A6D66" w14:textId="2E85DCAA"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Mildura West PS</w:t>
            </w:r>
          </w:p>
        </w:tc>
        <w:tc>
          <w:tcPr>
            <w:tcW w:w="1962" w:type="dxa"/>
            <w:gridSpan w:val="2"/>
            <w:tcBorders>
              <w:top w:val="single" w:sz="4" w:space="0" w:color="auto"/>
              <w:bottom w:val="single" w:sz="4" w:space="0" w:color="auto"/>
            </w:tcBorders>
            <w:vAlign w:val="center"/>
          </w:tcPr>
          <w:p w14:paraId="05F3C6B0" w14:textId="606F206D"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Milgate PS</w:t>
            </w:r>
          </w:p>
        </w:tc>
        <w:tc>
          <w:tcPr>
            <w:tcW w:w="2025" w:type="dxa"/>
            <w:gridSpan w:val="3"/>
            <w:tcBorders>
              <w:top w:val="single" w:sz="4" w:space="0" w:color="auto"/>
              <w:bottom w:val="single" w:sz="4" w:space="0" w:color="auto"/>
            </w:tcBorders>
            <w:shd w:val="clear" w:color="auto" w:fill="auto"/>
            <w:vAlign w:val="center"/>
          </w:tcPr>
          <w:p w14:paraId="7419FF3D" w14:textId="223BD80E"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Millwarra PS (Millgrove Campus)</w:t>
            </w:r>
          </w:p>
        </w:tc>
        <w:tc>
          <w:tcPr>
            <w:tcW w:w="1900" w:type="dxa"/>
            <w:tcBorders>
              <w:top w:val="single" w:sz="4" w:space="0" w:color="auto"/>
              <w:bottom w:val="single" w:sz="4" w:space="0" w:color="auto"/>
            </w:tcBorders>
            <w:shd w:val="clear" w:color="auto" w:fill="auto"/>
            <w:vAlign w:val="center"/>
          </w:tcPr>
          <w:p w14:paraId="2461B4EF" w14:textId="6CDC5E7C"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Millwarra PS (Warburton East Campus)</w:t>
            </w:r>
          </w:p>
        </w:tc>
      </w:tr>
      <w:tr w:rsidR="00A5305E" w:rsidRPr="005734B8" w14:paraId="094F3B98"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6BBD5BAF" w14:textId="3FADE546"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Miners Rest PS</w:t>
            </w:r>
          </w:p>
        </w:tc>
        <w:tc>
          <w:tcPr>
            <w:tcW w:w="1962" w:type="dxa"/>
            <w:gridSpan w:val="2"/>
            <w:tcBorders>
              <w:top w:val="single" w:sz="4" w:space="0" w:color="auto"/>
              <w:bottom w:val="single" w:sz="4" w:space="0" w:color="auto"/>
            </w:tcBorders>
            <w:vAlign w:val="center"/>
          </w:tcPr>
          <w:p w14:paraId="5A7343AE" w14:textId="0D418AF8"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Mitcham PS</w:t>
            </w:r>
          </w:p>
        </w:tc>
        <w:tc>
          <w:tcPr>
            <w:tcW w:w="2025" w:type="dxa"/>
            <w:gridSpan w:val="3"/>
            <w:tcBorders>
              <w:top w:val="single" w:sz="4" w:space="0" w:color="auto"/>
              <w:bottom w:val="single" w:sz="4" w:space="0" w:color="auto"/>
            </w:tcBorders>
            <w:shd w:val="clear" w:color="auto" w:fill="auto"/>
            <w:vAlign w:val="center"/>
          </w:tcPr>
          <w:p w14:paraId="12F854D6" w14:textId="267D0C16"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Monash SDS</w:t>
            </w:r>
          </w:p>
        </w:tc>
        <w:tc>
          <w:tcPr>
            <w:tcW w:w="1900" w:type="dxa"/>
            <w:tcBorders>
              <w:top w:val="single" w:sz="4" w:space="0" w:color="auto"/>
              <w:bottom w:val="single" w:sz="4" w:space="0" w:color="auto"/>
            </w:tcBorders>
            <w:shd w:val="clear" w:color="auto" w:fill="auto"/>
            <w:vAlign w:val="center"/>
          </w:tcPr>
          <w:p w14:paraId="5BDB5B6D" w14:textId="2645601E"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Monbulk C</w:t>
            </w:r>
          </w:p>
        </w:tc>
      </w:tr>
      <w:tr w:rsidR="00A5305E" w:rsidRPr="005734B8" w14:paraId="7BAEC3BE"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6711F74C" w14:textId="7A98456F"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Monbulk PS</w:t>
            </w:r>
          </w:p>
        </w:tc>
        <w:tc>
          <w:tcPr>
            <w:tcW w:w="1962" w:type="dxa"/>
            <w:gridSpan w:val="2"/>
            <w:tcBorders>
              <w:top w:val="single" w:sz="4" w:space="0" w:color="auto"/>
              <w:bottom w:val="single" w:sz="4" w:space="0" w:color="auto"/>
            </w:tcBorders>
            <w:vAlign w:val="center"/>
          </w:tcPr>
          <w:p w14:paraId="3749008B" w14:textId="3EACA571"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Monterey SC</w:t>
            </w:r>
          </w:p>
        </w:tc>
        <w:tc>
          <w:tcPr>
            <w:tcW w:w="2025" w:type="dxa"/>
            <w:gridSpan w:val="3"/>
            <w:tcBorders>
              <w:top w:val="single" w:sz="4" w:space="0" w:color="auto"/>
              <w:bottom w:val="single" w:sz="4" w:space="0" w:color="auto"/>
            </w:tcBorders>
            <w:shd w:val="clear" w:color="auto" w:fill="auto"/>
            <w:vAlign w:val="center"/>
          </w:tcPr>
          <w:p w14:paraId="06A6977C" w14:textId="0053AC1B"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Montmorency SC</w:t>
            </w:r>
          </w:p>
        </w:tc>
        <w:tc>
          <w:tcPr>
            <w:tcW w:w="1900" w:type="dxa"/>
            <w:tcBorders>
              <w:top w:val="single" w:sz="4" w:space="0" w:color="auto"/>
              <w:bottom w:val="single" w:sz="4" w:space="0" w:color="auto"/>
            </w:tcBorders>
            <w:shd w:val="clear" w:color="auto" w:fill="auto"/>
            <w:vAlign w:val="center"/>
          </w:tcPr>
          <w:p w14:paraId="400E325C" w14:textId="24FE494C"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Montrose PS</w:t>
            </w:r>
          </w:p>
        </w:tc>
      </w:tr>
      <w:tr w:rsidR="00A5305E" w:rsidRPr="005734B8" w14:paraId="7460E991"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0CF7A07" w14:textId="44ED5264"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Moomba Park PS</w:t>
            </w:r>
          </w:p>
        </w:tc>
        <w:tc>
          <w:tcPr>
            <w:tcW w:w="1962" w:type="dxa"/>
            <w:gridSpan w:val="2"/>
            <w:tcBorders>
              <w:top w:val="single" w:sz="4" w:space="0" w:color="auto"/>
              <w:bottom w:val="single" w:sz="4" w:space="0" w:color="auto"/>
            </w:tcBorders>
            <w:vAlign w:val="center"/>
          </w:tcPr>
          <w:p w14:paraId="3289061B" w14:textId="201DE506"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Moora</w:t>
            </w:r>
            <w:r w:rsidR="00104F40" w:rsidRPr="005734B8">
              <w:rPr>
                <w:rFonts w:ascii="Calibri" w:hAnsi="Calibri" w:cs="Calibri"/>
                <w:color w:val="000000"/>
                <w:sz w:val="18"/>
              </w:rPr>
              <w:t>b</w:t>
            </w:r>
            <w:r w:rsidRPr="005734B8">
              <w:rPr>
                <w:rFonts w:ascii="Calibri" w:hAnsi="Calibri" w:cs="Calibri"/>
                <w:color w:val="000000"/>
                <w:sz w:val="18"/>
              </w:rPr>
              <w:t>bin PS</w:t>
            </w:r>
          </w:p>
        </w:tc>
        <w:tc>
          <w:tcPr>
            <w:tcW w:w="2025" w:type="dxa"/>
            <w:gridSpan w:val="3"/>
            <w:tcBorders>
              <w:top w:val="single" w:sz="4" w:space="0" w:color="auto"/>
              <w:bottom w:val="single" w:sz="4" w:space="0" w:color="auto"/>
            </w:tcBorders>
            <w:shd w:val="clear" w:color="auto" w:fill="auto"/>
            <w:vAlign w:val="center"/>
          </w:tcPr>
          <w:p w14:paraId="4DBC100D" w14:textId="185D5D17"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Mooroolbark C</w:t>
            </w:r>
          </w:p>
        </w:tc>
        <w:tc>
          <w:tcPr>
            <w:tcW w:w="1900" w:type="dxa"/>
            <w:tcBorders>
              <w:top w:val="single" w:sz="4" w:space="0" w:color="auto"/>
              <w:bottom w:val="single" w:sz="4" w:space="0" w:color="auto"/>
            </w:tcBorders>
            <w:shd w:val="clear" w:color="auto" w:fill="auto"/>
            <w:vAlign w:val="center"/>
          </w:tcPr>
          <w:p w14:paraId="42C0AAB0" w14:textId="50C8E863"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Mooroolbark East PS</w:t>
            </w:r>
          </w:p>
        </w:tc>
      </w:tr>
      <w:tr w:rsidR="00A5305E" w:rsidRPr="005734B8" w14:paraId="3219B9CC"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E31023E" w14:textId="1FF988AD"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Mooroopna P ELC</w:t>
            </w:r>
          </w:p>
        </w:tc>
        <w:tc>
          <w:tcPr>
            <w:tcW w:w="1962" w:type="dxa"/>
            <w:gridSpan w:val="2"/>
            <w:tcBorders>
              <w:top w:val="single" w:sz="4" w:space="0" w:color="auto"/>
              <w:bottom w:val="single" w:sz="4" w:space="0" w:color="auto"/>
            </w:tcBorders>
            <w:vAlign w:val="center"/>
          </w:tcPr>
          <w:p w14:paraId="492FDDC3" w14:textId="42FD05DA"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Mordialloc C</w:t>
            </w:r>
          </w:p>
        </w:tc>
        <w:tc>
          <w:tcPr>
            <w:tcW w:w="2025" w:type="dxa"/>
            <w:gridSpan w:val="3"/>
            <w:tcBorders>
              <w:top w:val="single" w:sz="4" w:space="0" w:color="auto"/>
              <w:bottom w:val="single" w:sz="4" w:space="0" w:color="auto"/>
            </w:tcBorders>
            <w:shd w:val="clear" w:color="auto" w:fill="auto"/>
            <w:vAlign w:val="center"/>
          </w:tcPr>
          <w:p w14:paraId="4C5B687E" w14:textId="7FD64E17"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Moreland K</w:t>
            </w:r>
          </w:p>
        </w:tc>
        <w:tc>
          <w:tcPr>
            <w:tcW w:w="1900" w:type="dxa"/>
            <w:tcBorders>
              <w:top w:val="single" w:sz="4" w:space="0" w:color="auto"/>
              <w:bottom w:val="single" w:sz="4" w:space="0" w:color="auto"/>
            </w:tcBorders>
            <w:shd w:val="clear" w:color="auto" w:fill="auto"/>
            <w:vAlign w:val="center"/>
          </w:tcPr>
          <w:p w14:paraId="69C47DC4" w14:textId="5B7EB6A6"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Mornington PS</w:t>
            </w:r>
          </w:p>
        </w:tc>
      </w:tr>
      <w:tr w:rsidR="00A5305E" w:rsidRPr="005734B8" w14:paraId="084C44E1"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35BE2EC1" w14:textId="1CB48E66"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Mortlake P</w:t>
            </w:r>
            <w:r w:rsidR="00104F40" w:rsidRPr="005734B8">
              <w:rPr>
                <w:rFonts w:ascii="Calibri" w:hAnsi="Calibri" w:cs="Calibri"/>
                <w:sz w:val="18"/>
                <w:lang w:val="en-AU"/>
              </w:rPr>
              <w:t>–</w:t>
            </w:r>
            <w:r w:rsidRPr="005734B8">
              <w:rPr>
                <w:rFonts w:ascii="Calibri" w:eastAsia="Calibri" w:hAnsi="Calibri" w:cs="Calibri"/>
                <w:sz w:val="18"/>
                <w:lang w:val="en-AU"/>
              </w:rPr>
              <w:t>12 C</w:t>
            </w:r>
          </w:p>
        </w:tc>
        <w:tc>
          <w:tcPr>
            <w:tcW w:w="1962" w:type="dxa"/>
            <w:gridSpan w:val="2"/>
            <w:tcBorders>
              <w:top w:val="single" w:sz="4" w:space="0" w:color="auto"/>
              <w:bottom w:val="single" w:sz="4" w:space="0" w:color="auto"/>
            </w:tcBorders>
            <w:vAlign w:val="center"/>
          </w:tcPr>
          <w:p w14:paraId="5C14694B" w14:textId="6FBAD230"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Mossfield PS</w:t>
            </w:r>
          </w:p>
        </w:tc>
        <w:tc>
          <w:tcPr>
            <w:tcW w:w="2025" w:type="dxa"/>
            <w:gridSpan w:val="3"/>
            <w:tcBorders>
              <w:top w:val="single" w:sz="4" w:space="0" w:color="auto"/>
              <w:bottom w:val="single" w:sz="4" w:space="0" w:color="auto"/>
            </w:tcBorders>
            <w:shd w:val="clear" w:color="auto" w:fill="auto"/>
            <w:vAlign w:val="center"/>
          </w:tcPr>
          <w:p w14:paraId="16185184" w14:textId="65754FC1"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Mount Alexander 7</w:t>
            </w:r>
            <w:r w:rsidR="00104F40" w:rsidRPr="005734B8">
              <w:rPr>
                <w:rFonts w:ascii="Calibri" w:hAnsi="Calibri" w:cs="Calibri"/>
                <w:sz w:val="18"/>
                <w:lang w:val="en-AU"/>
              </w:rPr>
              <w:t>–</w:t>
            </w:r>
            <w:r w:rsidRPr="005734B8">
              <w:rPr>
                <w:rFonts w:ascii="Calibri" w:hAnsi="Calibri" w:cs="Calibri"/>
                <w:sz w:val="18"/>
                <w:lang w:val="en-AU"/>
              </w:rPr>
              <w:t>12 C</w:t>
            </w:r>
          </w:p>
        </w:tc>
        <w:tc>
          <w:tcPr>
            <w:tcW w:w="1900" w:type="dxa"/>
            <w:tcBorders>
              <w:top w:val="single" w:sz="4" w:space="0" w:color="auto"/>
              <w:bottom w:val="single" w:sz="4" w:space="0" w:color="auto"/>
            </w:tcBorders>
            <w:shd w:val="clear" w:color="auto" w:fill="auto"/>
            <w:vAlign w:val="center"/>
          </w:tcPr>
          <w:p w14:paraId="3DFC04AD" w14:textId="45A25284"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Mount Beauty SC</w:t>
            </w:r>
          </w:p>
        </w:tc>
      </w:tr>
      <w:tr w:rsidR="00A5305E" w:rsidRPr="005734B8" w14:paraId="663BA7F0"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EA2D7A6" w14:textId="19A69069"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Mount Clear C</w:t>
            </w:r>
          </w:p>
        </w:tc>
        <w:tc>
          <w:tcPr>
            <w:tcW w:w="1962" w:type="dxa"/>
            <w:gridSpan w:val="2"/>
            <w:tcBorders>
              <w:top w:val="single" w:sz="4" w:space="0" w:color="auto"/>
              <w:bottom w:val="single" w:sz="4" w:space="0" w:color="auto"/>
            </w:tcBorders>
            <w:vAlign w:val="center"/>
          </w:tcPr>
          <w:p w14:paraId="1837AFAF" w14:textId="25FEC70A"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Mount Clear PS</w:t>
            </w:r>
          </w:p>
        </w:tc>
        <w:tc>
          <w:tcPr>
            <w:tcW w:w="2025" w:type="dxa"/>
            <w:gridSpan w:val="3"/>
            <w:tcBorders>
              <w:top w:val="single" w:sz="4" w:space="0" w:color="auto"/>
              <w:bottom w:val="single" w:sz="4" w:space="0" w:color="auto"/>
            </w:tcBorders>
            <w:shd w:val="clear" w:color="auto" w:fill="auto"/>
            <w:vAlign w:val="center"/>
          </w:tcPr>
          <w:p w14:paraId="2B5B7EC7" w14:textId="3A269BA2"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Mount Duneed Regional PS</w:t>
            </w:r>
          </w:p>
        </w:tc>
        <w:tc>
          <w:tcPr>
            <w:tcW w:w="1900" w:type="dxa"/>
            <w:tcBorders>
              <w:top w:val="single" w:sz="4" w:space="0" w:color="auto"/>
              <w:bottom w:val="single" w:sz="4" w:space="0" w:color="auto"/>
            </w:tcBorders>
            <w:shd w:val="clear" w:color="auto" w:fill="auto"/>
            <w:vAlign w:val="center"/>
          </w:tcPr>
          <w:p w14:paraId="701B6697" w14:textId="762D56E3"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Mount Erin SC</w:t>
            </w:r>
          </w:p>
        </w:tc>
      </w:tr>
      <w:tr w:rsidR="00A5305E" w:rsidRPr="005734B8" w14:paraId="44D841BD"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65D42609" w14:textId="375ECE12"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Mount Evelyn PS</w:t>
            </w:r>
          </w:p>
        </w:tc>
        <w:tc>
          <w:tcPr>
            <w:tcW w:w="1962" w:type="dxa"/>
            <w:gridSpan w:val="2"/>
            <w:tcBorders>
              <w:top w:val="single" w:sz="4" w:space="0" w:color="auto"/>
              <w:bottom w:val="single" w:sz="4" w:space="0" w:color="auto"/>
            </w:tcBorders>
            <w:vAlign w:val="center"/>
          </w:tcPr>
          <w:p w14:paraId="16C424C7" w14:textId="4B145D48"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Mount Pleasant Rd Nunawading PS</w:t>
            </w:r>
          </w:p>
        </w:tc>
        <w:tc>
          <w:tcPr>
            <w:tcW w:w="2025" w:type="dxa"/>
            <w:gridSpan w:val="3"/>
            <w:tcBorders>
              <w:top w:val="single" w:sz="4" w:space="0" w:color="auto"/>
              <w:bottom w:val="single" w:sz="4" w:space="0" w:color="auto"/>
            </w:tcBorders>
            <w:shd w:val="clear" w:color="auto" w:fill="auto"/>
            <w:vAlign w:val="center"/>
          </w:tcPr>
          <w:p w14:paraId="7DC3A348" w14:textId="67599D24"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Mount Ridley P</w:t>
            </w:r>
            <w:r w:rsidR="00104F40" w:rsidRPr="005734B8">
              <w:rPr>
                <w:rFonts w:ascii="Calibri" w:hAnsi="Calibri" w:cs="Calibri"/>
                <w:sz w:val="18"/>
                <w:lang w:val="en-AU"/>
              </w:rPr>
              <w:t>–</w:t>
            </w:r>
            <w:r w:rsidRPr="005734B8">
              <w:rPr>
                <w:rFonts w:ascii="Calibri" w:hAnsi="Calibri" w:cs="Calibri"/>
                <w:sz w:val="18"/>
                <w:lang w:val="en-AU"/>
              </w:rPr>
              <w:t>12 C</w:t>
            </w:r>
          </w:p>
        </w:tc>
        <w:tc>
          <w:tcPr>
            <w:tcW w:w="1900" w:type="dxa"/>
            <w:tcBorders>
              <w:top w:val="single" w:sz="4" w:space="0" w:color="auto"/>
              <w:bottom w:val="single" w:sz="4" w:space="0" w:color="auto"/>
            </w:tcBorders>
            <w:shd w:val="clear" w:color="auto" w:fill="auto"/>
            <w:vAlign w:val="center"/>
          </w:tcPr>
          <w:p w14:paraId="555BFBD0" w14:textId="56224778"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Mount Rowan SC</w:t>
            </w:r>
          </w:p>
        </w:tc>
      </w:tr>
      <w:tr w:rsidR="00A5305E" w:rsidRPr="005734B8" w14:paraId="3CA697DB"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497895B" w14:textId="5E1C9408"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Mount Waverley Heights PS</w:t>
            </w:r>
          </w:p>
        </w:tc>
        <w:tc>
          <w:tcPr>
            <w:tcW w:w="1962" w:type="dxa"/>
            <w:gridSpan w:val="2"/>
            <w:tcBorders>
              <w:top w:val="single" w:sz="4" w:space="0" w:color="auto"/>
              <w:bottom w:val="single" w:sz="4" w:space="0" w:color="auto"/>
            </w:tcBorders>
            <w:vAlign w:val="center"/>
          </w:tcPr>
          <w:p w14:paraId="447D2B45" w14:textId="0967F131"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Mount Waverley North PS</w:t>
            </w:r>
          </w:p>
        </w:tc>
        <w:tc>
          <w:tcPr>
            <w:tcW w:w="2025" w:type="dxa"/>
            <w:gridSpan w:val="3"/>
            <w:tcBorders>
              <w:top w:val="single" w:sz="4" w:space="0" w:color="auto"/>
              <w:bottom w:val="single" w:sz="4" w:space="0" w:color="auto"/>
            </w:tcBorders>
            <w:shd w:val="clear" w:color="auto" w:fill="auto"/>
            <w:vAlign w:val="center"/>
          </w:tcPr>
          <w:p w14:paraId="10F1CD49" w14:textId="739CA90F"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Movelle PS</w:t>
            </w:r>
          </w:p>
        </w:tc>
        <w:tc>
          <w:tcPr>
            <w:tcW w:w="1900" w:type="dxa"/>
            <w:tcBorders>
              <w:top w:val="single" w:sz="4" w:space="0" w:color="auto"/>
              <w:bottom w:val="single" w:sz="4" w:space="0" w:color="auto"/>
            </w:tcBorders>
            <w:shd w:val="clear" w:color="auto" w:fill="auto"/>
            <w:vAlign w:val="center"/>
          </w:tcPr>
          <w:p w14:paraId="275D2D7B" w14:textId="5C0E907F"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Mullum PS</w:t>
            </w:r>
          </w:p>
        </w:tc>
      </w:tr>
      <w:tr w:rsidR="00A5305E" w:rsidRPr="005734B8" w14:paraId="09BD002F"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22246885" w14:textId="32BCB0EA"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Murrayville Community C</w:t>
            </w:r>
          </w:p>
        </w:tc>
        <w:tc>
          <w:tcPr>
            <w:tcW w:w="1962" w:type="dxa"/>
            <w:gridSpan w:val="2"/>
            <w:tcBorders>
              <w:top w:val="single" w:sz="4" w:space="0" w:color="auto"/>
              <w:bottom w:val="single" w:sz="4" w:space="0" w:color="auto"/>
            </w:tcBorders>
            <w:vAlign w:val="center"/>
          </w:tcPr>
          <w:p w14:paraId="69CA7FD2" w14:textId="0BDBD06F"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Murrumbeena PS</w:t>
            </w:r>
          </w:p>
        </w:tc>
        <w:tc>
          <w:tcPr>
            <w:tcW w:w="2025" w:type="dxa"/>
            <w:gridSpan w:val="3"/>
            <w:tcBorders>
              <w:top w:val="single" w:sz="4" w:space="0" w:color="auto"/>
              <w:bottom w:val="single" w:sz="4" w:space="0" w:color="auto"/>
            </w:tcBorders>
            <w:shd w:val="clear" w:color="auto" w:fill="auto"/>
            <w:vAlign w:val="center"/>
          </w:tcPr>
          <w:p w14:paraId="18967C66" w14:textId="0AD7FA7C"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Murtoa C</w:t>
            </w:r>
          </w:p>
        </w:tc>
        <w:tc>
          <w:tcPr>
            <w:tcW w:w="1900" w:type="dxa"/>
            <w:tcBorders>
              <w:top w:val="single" w:sz="4" w:space="0" w:color="auto"/>
              <w:bottom w:val="single" w:sz="4" w:space="0" w:color="auto"/>
            </w:tcBorders>
            <w:shd w:val="clear" w:color="auto" w:fill="auto"/>
            <w:vAlign w:val="center"/>
          </w:tcPr>
          <w:p w14:paraId="602F181D" w14:textId="1AB11774"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Myrrhee PS</w:t>
            </w:r>
          </w:p>
        </w:tc>
      </w:tr>
      <w:tr w:rsidR="00A5305E" w:rsidRPr="005734B8" w14:paraId="7E66189C"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177F33E6" w14:textId="2DCB1C8C"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Narre Warren North PS</w:t>
            </w:r>
          </w:p>
        </w:tc>
        <w:tc>
          <w:tcPr>
            <w:tcW w:w="1962" w:type="dxa"/>
            <w:gridSpan w:val="2"/>
            <w:tcBorders>
              <w:top w:val="single" w:sz="4" w:space="0" w:color="auto"/>
              <w:bottom w:val="single" w:sz="4" w:space="0" w:color="auto"/>
            </w:tcBorders>
            <w:vAlign w:val="center"/>
          </w:tcPr>
          <w:p w14:paraId="05F6B901" w14:textId="184F6847"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Narre Warren South P</w:t>
            </w:r>
            <w:r w:rsidR="00104F40" w:rsidRPr="005734B8">
              <w:rPr>
                <w:rFonts w:ascii="Calibri" w:hAnsi="Calibri" w:cs="Calibri"/>
                <w:sz w:val="18"/>
                <w:lang w:val="en-AU"/>
              </w:rPr>
              <w:t>–</w:t>
            </w:r>
            <w:r w:rsidRPr="005734B8">
              <w:rPr>
                <w:rFonts w:ascii="Calibri" w:hAnsi="Calibri" w:cs="Calibri"/>
                <w:color w:val="000000"/>
                <w:sz w:val="18"/>
              </w:rPr>
              <w:t>12 C</w:t>
            </w:r>
          </w:p>
        </w:tc>
        <w:tc>
          <w:tcPr>
            <w:tcW w:w="2025" w:type="dxa"/>
            <w:gridSpan w:val="3"/>
            <w:tcBorders>
              <w:top w:val="single" w:sz="4" w:space="0" w:color="auto"/>
              <w:bottom w:val="single" w:sz="4" w:space="0" w:color="auto"/>
            </w:tcBorders>
            <w:shd w:val="clear" w:color="auto" w:fill="auto"/>
            <w:vAlign w:val="center"/>
          </w:tcPr>
          <w:p w14:paraId="6524028D" w14:textId="4642B964"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Nathalia PS</w:t>
            </w:r>
          </w:p>
        </w:tc>
        <w:tc>
          <w:tcPr>
            <w:tcW w:w="1900" w:type="dxa"/>
            <w:tcBorders>
              <w:top w:val="single" w:sz="4" w:space="0" w:color="auto"/>
              <w:bottom w:val="single" w:sz="4" w:space="0" w:color="auto"/>
            </w:tcBorders>
            <w:shd w:val="clear" w:color="auto" w:fill="auto"/>
            <w:vAlign w:val="center"/>
          </w:tcPr>
          <w:p w14:paraId="3182B4FD" w14:textId="08CF11EA"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Nathalia SC</w:t>
            </w:r>
          </w:p>
        </w:tc>
      </w:tr>
      <w:tr w:rsidR="00A5305E" w:rsidRPr="005734B8" w14:paraId="73373375"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76A6566" w14:textId="27BDFB07"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Natimuk PS</w:t>
            </w:r>
          </w:p>
        </w:tc>
        <w:tc>
          <w:tcPr>
            <w:tcW w:w="1962" w:type="dxa"/>
            <w:gridSpan w:val="2"/>
            <w:tcBorders>
              <w:top w:val="single" w:sz="4" w:space="0" w:color="auto"/>
              <w:bottom w:val="single" w:sz="4" w:space="0" w:color="auto"/>
            </w:tcBorders>
            <w:vAlign w:val="center"/>
          </w:tcPr>
          <w:p w14:paraId="17C09D59" w14:textId="3E540832"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Neerim District SC</w:t>
            </w:r>
          </w:p>
        </w:tc>
        <w:tc>
          <w:tcPr>
            <w:tcW w:w="2025" w:type="dxa"/>
            <w:gridSpan w:val="3"/>
            <w:tcBorders>
              <w:top w:val="single" w:sz="4" w:space="0" w:color="auto"/>
              <w:bottom w:val="single" w:sz="4" w:space="0" w:color="auto"/>
            </w:tcBorders>
            <w:shd w:val="clear" w:color="auto" w:fill="auto"/>
            <w:vAlign w:val="center"/>
          </w:tcPr>
          <w:p w14:paraId="53612803" w14:textId="38CB3909"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New Gisborne PS</w:t>
            </w:r>
          </w:p>
        </w:tc>
        <w:tc>
          <w:tcPr>
            <w:tcW w:w="1900" w:type="dxa"/>
            <w:tcBorders>
              <w:top w:val="single" w:sz="4" w:space="0" w:color="auto"/>
              <w:bottom w:val="single" w:sz="4" w:space="0" w:color="auto"/>
            </w:tcBorders>
            <w:shd w:val="clear" w:color="auto" w:fill="auto"/>
            <w:vAlign w:val="center"/>
          </w:tcPr>
          <w:p w14:paraId="5148DC45" w14:textId="6757E40F"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Newborough East PS</w:t>
            </w:r>
          </w:p>
        </w:tc>
      </w:tr>
      <w:tr w:rsidR="00A5305E" w:rsidRPr="005734B8" w14:paraId="1653000C"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31A84A0E" w14:textId="09358EE6"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Newbury PS</w:t>
            </w:r>
          </w:p>
        </w:tc>
        <w:tc>
          <w:tcPr>
            <w:tcW w:w="1962" w:type="dxa"/>
            <w:gridSpan w:val="2"/>
            <w:tcBorders>
              <w:top w:val="single" w:sz="4" w:space="0" w:color="auto"/>
              <w:bottom w:val="single" w:sz="4" w:space="0" w:color="auto"/>
            </w:tcBorders>
            <w:vAlign w:val="center"/>
          </w:tcPr>
          <w:p w14:paraId="202DCA83" w14:textId="66B7CC6B"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Newcomb Park PS</w:t>
            </w:r>
          </w:p>
        </w:tc>
        <w:tc>
          <w:tcPr>
            <w:tcW w:w="2025" w:type="dxa"/>
            <w:gridSpan w:val="3"/>
            <w:tcBorders>
              <w:top w:val="single" w:sz="4" w:space="0" w:color="auto"/>
              <w:bottom w:val="single" w:sz="4" w:space="0" w:color="auto"/>
            </w:tcBorders>
            <w:shd w:val="clear" w:color="auto" w:fill="auto"/>
            <w:vAlign w:val="center"/>
          </w:tcPr>
          <w:p w14:paraId="17BECBC0" w14:textId="342A0DEC"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Newcomb SC</w:t>
            </w:r>
          </w:p>
        </w:tc>
        <w:tc>
          <w:tcPr>
            <w:tcW w:w="1900" w:type="dxa"/>
            <w:tcBorders>
              <w:top w:val="single" w:sz="4" w:space="0" w:color="auto"/>
              <w:bottom w:val="single" w:sz="4" w:space="0" w:color="auto"/>
            </w:tcBorders>
            <w:shd w:val="clear" w:color="auto" w:fill="auto"/>
            <w:vAlign w:val="center"/>
          </w:tcPr>
          <w:p w14:paraId="0D9B3528" w14:textId="4C64E389"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Newham PS</w:t>
            </w:r>
          </w:p>
        </w:tc>
      </w:tr>
      <w:tr w:rsidR="00A5305E" w:rsidRPr="005734B8" w14:paraId="0A6B19BC"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8E3275F" w14:textId="49C70110"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Newlands PS</w:t>
            </w:r>
          </w:p>
        </w:tc>
        <w:tc>
          <w:tcPr>
            <w:tcW w:w="1962" w:type="dxa"/>
            <w:gridSpan w:val="2"/>
            <w:tcBorders>
              <w:top w:val="single" w:sz="4" w:space="0" w:color="auto"/>
              <w:bottom w:val="single" w:sz="4" w:space="0" w:color="auto"/>
            </w:tcBorders>
            <w:vAlign w:val="center"/>
          </w:tcPr>
          <w:p w14:paraId="1D6A5BBA" w14:textId="72808C64"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Newport Gardens PS</w:t>
            </w:r>
          </w:p>
        </w:tc>
        <w:tc>
          <w:tcPr>
            <w:tcW w:w="2025" w:type="dxa"/>
            <w:gridSpan w:val="3"/>
            <w:tcBorders>
              <w:top w:val="single" w:sz="4" w:space="0" w:color="auto"/>
              <w:bottom w:val="single" w:sz="4" w:space="0" w:color="auto"/>
            </w:tcBorders>
            <w:shd w:val="clear" w:color="auto" w:fill="auto"/>
            <w:vAlign w:val="center"/>
          </w:tcPr>
          <w:p w14:paraId="144DBDD9" w14:textId="4896C067"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Newport Lakes PS</w:t>
            </w:r>
          </w:p>
        </w:tc>
        <w:tc>
          <w:tcPr>
            <w:tcW w:w="1900" w:type="dxa"/>
            <w:tcBorders>
              <w:top w:val="single" w:sz="4" w:space="0" w:color="auto"/>
              <w:bottom w:val="single" w:sz="4" w:space="0" w:color="auto"/>
            </w:tcBorders>
            <w:shd w:val="clear" w:color="auto" w:fill="auto"/>
            <w:vAlign w:val="center"/>
          </w:tcPr>
          <w:p w14:paraId="0578E80E" w14:textId="5A6014CB"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Newtown PS</w:t>
            </w:r>
          </w:p>
        </w:tc>
      </w:tr>
      <w:tr w:rsidR="00A5305E" w:rsidRPr="005734B8" w14:paraId="2E84E76C"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29713EB3" w14:textId="3BAEDFFE"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Niddrie Autistic S</w:t>
            </w:r>
          </w:p>
        </w:tc>
        <w:tc>
          <w:tcPr>
            <w:tcW w:w="1962" w:type="dxa"/>
            <w:gridSpan w:val="2"/>
            <w:tcBorders>
              <w:top w:val="single" w:sz="4" w:space="0" w:color="auto"/>
              <w:bottom w:val="single" w:sz="4" w:space="0" w:color="auto"/>
            </w:tcBorders>
            <w:vAlign w:val="center"/>
          </w:tcPr>
          <w:p w14:paraId="787F277A" w14:textId="3ED3F13C"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Niddrie PS</w:t>
            </w:r>
          </w:p>
        </w:tc>
        <w:tc>
          <w:tcPr>
            <w:tcW w:w="2025" w:type="dxa"/>
            <w:gridSpan w:val="3"/>
            <w:tcBorders>
              <w:top w:val="single" w:sz="4" w:space="0" w:color="auto"/>
              <w:bottom w:val="single" w:sz="4" w:space="0" w:color="auto"/>
            </w:tcBorders>
            <w:shd w:val="clear" w:color="auto" w:fill="auto"/>
            <w:vAlign w:val="center"/>
          </w:tcPr>
          <w:p w14:paraId="411A6AFB" w14:textId="63DA5C18"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Noble Park English Language S</w:t>
            </w:r>
          </w:p>
        </w:tc>
        <w:tc>
          <w:tcPr>
            <w:tcW w:w="1900" w:type="dxa"/>
            <w:tcBorders>
              <w:top w:val="single" w:sz="4" w:space="0" w:color="auto"/>
              <w:bottom w:val="single" w:sz="4" w:space="0" w:color="auto"/>
            </w:tcBorders>
            <w:shd w:val="clear" w:color="auto" w:fill="auto"/>
            <w:vAlign w:val="center"/>
          </w:tcPr>
          <w:p w14:paraId="2D86FC2C" w14:textId="4B0BE1A1"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Noble Park SC</w:t>
            </w:r>
          </w:p>
        </w:tc>
      </w:tr>
      <w:tr w:rsidR="00A5305E" w:rsidRPr="005734B8" w14:paraId="6FAA87DC"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3B5CBA8E" w14:textId="7C2AFBA1"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Norris Bank PS</w:t>
            </w:r>
          </w:p>
        </w:tc>
        <w:tc>
          <w:tcPr>
            <w:tcW w:w="1962" w:type="dxa"/>
            <w:gridSpan w:val="2"/>
            <w:tcBorders>
              <w:top w:val="single" w:sz="4" w:space="0" w:color="auto"/>
              <w:bottom w:val="single" w:sz="4" w:space="0" w:color="auto"/>
            </w:tcBorders>
            <w:vAlign w:val="center"/>
          </w:tcPr>
          <w:p w14:paraId="6F6DBA8A" w14:textId="1804414F"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North Melbourne PS</w:t>
            </w:r>
          </w:p>
        </w:tc>
        <w:tc>
          <w:tcPr>
            <w:tcW w:w="2025" w:type="dxa"/>
            <w:gridSpan w:val="3"/>
            <w:tcBorders>
              <w:top w:val="single" w:sz="4" w:space="0" w:color="auto"/>
              <w:bottom w:val="single" w:sz="4" w:space="0" w:color="auto"/>
            </w:tcBorders>
            <w:shd w:val="clear" w:color="auto" w:fill="auto"/>
            <w:vAlign w:val="center"/>
          </w:tcPr>
          <w:p w14:paraId="5F9A41FB" w14:textId="764A23E0"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Northern S for Autism</w:t>
            </w:r>
          </w:p>
        </w:tc>
        <w:tc>
          <w:tcPr>
            <w:tcW w:w="1900" w:type="dxa"/>
            <w:tcBorders>
              <w:top w:val="single" w:sz="4" w:space="0" w:color="auto"/>
              <w:bottom w:val="single" w:sz="4" w:space="0" w:color="auto"/>
            </w:tcBorders>
            <w:shd w:val="clear" w:color="auto" w:fill="auto"/>
            <w:vAlign w:val="center"/>
          </w:tcPr>
          <w:p w14:paraId="3BE23225" w14:textId="154F40B6"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Norwood SC</w:t>
            </w:r>
          </w:p>
        </w:tc>
      </w:tr>
      <w:tr w:rsidR="00A5305E" w:rsidRPr="005734B8" w14:paraId="2927E2D3"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14F71396" w14:textId="7A357A36"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Nungurner PS</w:t>
            </w:r>
          </w:p>
        </w:tc>
        <w:tc>
          <w:tcPr>
            <w:tcW w:w="1962" w:type="dxa"/>
            <w:gridSpan w:val="2"/>
            <w:tcBorders>
              <w:top w:val="single" w:sz="4" w:space="0" w:color="auto"/>
              <w:bottom w:val="single" w:sz="4" w:space="0" w:color="auto"/>
            </w:tcBorders>
            <w:vAlign w:val="center"/>
          </w:tcPr>
          <w:p w14:paraId="65B7145E" w14:textId="709E6758"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Oberon HS</w:t>
            </w:r>
          </w:p>
        </w:tc>
        <w:tc>
          <w:tcPr>
            <w:tcW w:w="2025" w:type="dxa"/>
            <w:gridSpan w:val="3"/>
            <w:tcBorders>
              <w:top w:val="single" w:sz="4" w:space="0" w:color="auto"/>
              <w:bottom w:val="single" w:sz="4" w:space="0" w:color="auto"/>
            </w:tcBorders>
            <w:shd w:val="clear" w:color="auto" w:fill="auto"/>
            <w:vAlign w:val="center"/>
          </w:tcPr>
          <w:p w14:paraId="3B9540CD" w14:textId="07EF9362"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Oberon South PS</w:t>
            </w:r>
          </w:p>
        </w:tc>
        <w:tc>
          <w:tcPr>
            <w:tcW w:w="1900" w:type="dxa"/>
            <w:tcBorders>
              <w:top w:val="single" w:sz="4" w:space="0" w:color="auto"/>
              <w:bottom w:val="single" w:sz="4" w:space="0" w:color="auto"/>
            </w:tcBorders>
            <w:shd w:val="clear" w:color="auto" w:fill="auto"/>
            <w:vAlign w:val="center"/>
          </w:tcPr>
          <w:p w14:paraId="67E3CC77" w14:textId="0CF5C62F"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Ocean Grove PS</w:t>
            </w:r>
          </w:p>
        </w:tc>
      </w:tr>
      <w:tr w:rsidR="00A5305E" w:rsidRPr="005734B8" w14:paraId="65417F4A"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16212277" w14:textId="1CBD2F00"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Officer SS</w:t>
            </w:r>
          </w:p>
        </w:tc>
        <w:tc>
          <w:tcPr>
            <w:tcW w:w="1962" w:type="dxa"/>
            <w:gridSpan w:val="2"/>
            <w:tcBorders>
              <w:top w:val="single" w:sz="4" w:space="0" w:color="auto"/>
              <w:bottom w:val="single" w:sz="4" w:space="0" w:color="auto"/>
            </w:tcBorders>
            <w:vAlign w:val="center"/>
          </w:tcPr>
          <w:p w14:paraId="1033DC1E" w14:textId="20C0C2CE"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Orbost SC</w:t>
            </w:r>
          </w:p>
        </w:tc>
        <w:tc>
          <w:tcPr>
            <w:tcW w:w="2025" w:type="dxa"/>
            <w:gridSpan w:val="3"/>
            <w:tcBorders>
              <w:top w:val="single" w:sz="4" w:space="0" w:color="auto"/>
              <w:bottom w:val="single" w:sz="4" w:space="0" w:color="auto"/>
            </w:tcBorders>
            <w:shd w:val="clear" w:color="auto" w:fill="auto"/>
            <w:vAlign w:val="center"/>
          </w:tcPr>
          <w:p w14:paraId="309016CF" w14:textId="1DFE2E55"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Orchard Park PS</w:t>
            </w:r>
          </w:p>
        </w:tc>
        <w:tc>
          <w:tcPr>
            <w:tcW w:w="1900" w:type="dxa"/>
            <w:tcBorders>
              <w:top w:val="single" w:sz="4" w:space="0" w:color="auto"/>
              <w:bottom w:val="single" w:sz="4" w:space="0" w:color="auto"/>
            </w:tcBorders>
            <w:shd w:val="clear" w:color="auto" w:fill="auto"/>
            <w:vAlign w:val="center"/>
          </w:tcPr>
          <w:p w14:paraId="22C7C79C" w14:textId="3B443005"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Ormond PS</w:t>
            </w:r>
          </w:p>
        </w:tc>
      </w:tr>
      <w:tr w:rsidR="00A5305E" w:rsidRPr="005734B8" w14:paraId="30A2F438"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7000022E" w14:textId="767FE15B"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Osborne PS</w:t>
            </w:r>
          </w:p>
        </w:tc>
        <w:tc>
          <w:tcPr>
            <w:tcW w:w="1962" w:type="dxa"/>
            <w:gridSpan w:val="2"/>
            <w:tcBorders>
              <w:top w:val="single" w:sz="4" w:space="0" w:color="auto"/>
              <w:bottom w:val="single" w:sz="4" w:space="0" w:color="auto"/>
            </w:tcBorders>
            <w:vAlign w:val="center"/>
          </w:tcPr>
          <w:p w14:paraId="4B608B0F" w14:textId="22F5582C"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Outdoor School (Bogong Campus)</w:t>
            </w:r>
          </w:p>
        </w:tc>
        <w:tc>
          <w:tcPr>
            <w:tcW w:w="2025" w:type="dxa"/>
            <w:gridSpan w:val="3"/>
            <w:tcBorders>
              <w:top w:val="single" w:sz="4" w:space="0" w:color="auto"/>
              <w:bottom w:val="single" w:sz="4" w:space="0" w:color="auto"/>
            </w:tcBorders>
            <w:shd w:val="clear" w:color="auto" w:fill="auto"/>
            <w:vAlign w:val="center"/>
          </w:tcPr>
          <w:p w14:paraId="51C38B1A" w14:textId="39444A0E"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Outdoor School (Fifteen Mile Creek Campus)</w:t>
            </w:r>
          </w:p>
        </w:tc>
        <w:tc>
          <w:tcPr>
            <w:tcW w:w="1900" w:type="dxa"/>
            <w:tcBorders>
              <w:top w:val="single" w:sz="4" w:space="0" w:color="auto"/>
              <w:bottom w:val="single" w:sz="4" w:space="0" w:color="auto"/>
            </w:tcBorders>
            <w:shd w:val="clear" w:color="auto" w:fill="auto"/>
            <w:vAlign w:val="center"/>
          </w:tcPr>
          <w:p w14:paraId="55BC3751" w14:textId="16FBCC0A"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Ouyen P</w:t>
            </w:r>
            <w:r w:rsidR="00104F40" w:rsidRPr="005734B8">
              <w:rPr>
                <w:rFonts w:ascii="Calibri" w:hAnsi="Calibri" w:cs="Calibri"/>
                <w:sz w:val="18"/>
                <w:lang w:val="en-AU"/>
              </w:rPr>
              <w:t>–</w:t>
            </w:r>
            <w:r w:rsidRPr="005734B8">
              <w:rPr>
                <w:rFonts w:ascii="Calibri" w:hAnsi="Calibri" w:cs="Calibri"/>
                <w:sz w:val="18"/>
                <w:lang w:val="en-AU"/>
              </w:rPr>
              <w:t>12 C</w:t>
            </w:r>
          </w:p>
        </w:tc>
      </w:tr>
      <w:tr w:rsidR="00A5305E" w:rsidRPr="005734B8" w14:paraId="076290C7"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1DBD8C5D" w14:textId="6B58E953"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Pakenham CS</w:t>
            </w:r>
          </w:p>
        </w:tc>
        <w:tc>
          <w:tcPr>
            <w:tcW w:w="1962" w:type="dxa"/>
            <w:gridSpan w:val="2"/>
            <w:tcBorders>
              <w:top w:val="single" w:sz="4" w:space="0" w:color="auto"/>
              <w:bottom w:val="single" w:sz="4" w:space="0" w:color="auto"/>
            </w:tcBorders>
            <w:vAlign w:val="center"/>
          </w:tcPr>
          <w:p w14:paraId="0BBE9152" w14:textId="4CFBF67C"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Park Orchards PS</w:t>
            </w:r>
          </w:p>
        </w:tc>
        <w:tc>
          <w:tcPr>
            <w:tcW w:w="2025" w:type="dxa"/>
            <w:gridSpan w:val="3"/>
            <w:tcBorders>
              <w:top w:val="single" w:sz="4" w:space="0" w:color="auto"/>
              <w:bottom w:val="single" w:sz="4" w:space="0" w:color="auto"/>
            </w:tcBorders>
            <w:shd w:val="clear" w:color="auto" w:fill="auto"/>
            <w:vAlign w:val="center"/>
          </w:tcPr>
          <w:p w14:paraId="28D9BFD9" w14:textId="792BCB16"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Parkdale PS</w:t>
            </w:r>
          </w:p>
        </w:tc>
        <w:tc>
          <w:tcPr>
            <w:tcW w:w="1900" w:type="dxa"/>
            <w:tcBorders>
              <w:top w:val="single" w:sz="4" w:space="0" w:color="auto"/>
              <w:bottom w:val="single" w:sz="4" w:space="0" w:color="auto"/>
            </w:tcBorders>
            <w:shd w:val="clear" w:color="auto" w:fill="auto"/>
            <w:vAlign w:val="center"/>
          </w:tcPr>
          <w:p w14:paraId="44A19F21" w14:textId="201AF53E"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Parkdale SC</w:t>
            </w:r>
          </w:p>
        </w:tc>
      </w:tr>
      <w:tr w:rsidR="00A5305E" w:rsidRPr="005734B8" w14:paraId="6F541452"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70D12571" w14:textId="079C72A5"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Parkhill PS</w:t>
            </w:r>
          </w:p>
        </w:tc>
        <w:tc>
          <w:tcPr>
            <w:tcW w:w="1962" w:type="dxa"/>
            <w:gridSpan w:val="2"/>
            <w:tcBorders>
              <w:top w:val="single" w:sz="4" w:space="0" w:color="auto"/>
              <w:bottom w:val="single" w:sz="4" w:space="0" w:color="auto"/>
            </w:tcBorders>
            <w:vAlign w:val="center"/>
          </w:tcPr>
          <w:p w14:paraId="229658B0" w14:textId="17E6EA4D"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Parktone PS</w:t>
            </w:r>
          </w:p>
        </w:tc>
        <w:tc>
          <w:tcPr>
            <w:tcW w:w="2025" w:type="dxa"/>
            <w:gridSpan w:val="3"/>
            <w:tcBorders>
              <w:top w:val="single" w:sz="4" w:space="0" w:color="auto"/>
              <w:bottom w:val="single" w:sz="4" w:space="0" w:color="auto"/>
            </w:tcBorders>
            <w:shd w:val="clear" w:color="auto" w:fill="auto"/>
            <w:vAlign w:val="center"/>
          </w:tcPr>
          <w:p w14:paraId="7CD51C7E" w14:textId="10B754F5"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Pascoe Vale Girls SC</w:t>
            </w:r>
          </w:p>
        </w:tc>
        <w:tc>
          <w:tcPr>
            <w:tcW w:w="1900" w:type="dxa"/>
            <w:tcBorders>
              <w:top w:val="single" w:sz="4" w:space="0" w:color="auto"/>
              <w:bottom w:val="single" w:sz="4" w:space="0" w:color="auto"/>
            </w:tcBorders>
            <w:shd w:val="clear" w:color="auto" w:fill="auto"/>
            <w:vAlign w:val="center"/>
          </w:tcPr>
          <w:p w14:paraId="16B315B2" w14:textId="6442EB55"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Pascoe Vale North PS</w:t>
            </w:r>
          </w:p>
        </w:tc>
      </w:tr>
      <w:tr w:rsidR="00A5305E" w:rsidRPr="005734B8" w14:paraId="77F402EB"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368E80B2" w14:textId="6720EEF3"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lastRenderedPageBreak/>
              <w:t>Pascoe Vale PS</w:t>
            </w:r>
          </w:p>
        </w:tc>
        <w:tc>
          <w:tcPr>
            <w:tcW w:w="1962" w:type="dxa"/>
            <w:gridSpan w:val="2"/>
            <w:tcBorders>
              <w:top w:val="single" w:sz="4" w:space="0" w:color="auto"/>
              <w:bottom w:val="single" w:sz="4" w:space="0" w:color="auto"/>
            </w:tcBorders>
            <w:vAlign w:val="center"/>
          </w:tcPr>
          <w:p w14:paraId="13EC0BFA" w14:textId="757BCA99"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Pascoe Vale South PS</w:t>
            </w:r>
          </w:p>
        </w:tc>
        <w:tc>
          <w:tcPr>
            <w:tcW w:w="2025" w:type="dxa"/>
            <w:gridSpan w:val="3"/>
            <w:tcBorders>
              <w:top w:val="single" w:sz="4" w:space="0" w:color="auto"/>
              <w:bottom w:val="single" w:sz="4" w:space="0" w:color="auto"/>
            </w:tcBorders>
            <w:shd w:val="clear" w:color="auto" w:fill="auto"/>
            <w:vAlign w:val="center"/>
          </w:tcPr>
          <w:p w14:paraId="61942B18" w14:textId="2918461F"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Patterson Lakes PS</w:t>
            </w:r>
          </w:p>
        </w:tc>
        <w:tc>
          <w:tcPr>
            <w:tcW w:w="1900" w:type="dxa"/>
            <w:tcBorders>
              <w:top w:val="single" w:sz="4" w:space="0" w:color="auto"/>
              <w:bottom w:val="single" w:sz="4" w:space="0" w:color="auto"/>
            </w:tcBorders>
            <w:shd w:val="clear" w:color="auto" w:fill="auto"/>
            <w:vAlign w:val="center"/>
          </w:tcPr>
          <w:p w14:paraId="0C46172E" w14:textId="2346D487"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Patterson River SC</w:t>
            </w:r>
          </w:p>
        </w:tc>
      </w:tr>
      <w:tr w:rsidR="00A5305E" w:rsidRPr="005734B8" w14:paraId="5B9F2E76"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9113EA8" w14:textId="04C6454E"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Penders Grove PS</w:t>
            </w:r>
          </w:p>
        </w:tc>
        <w:tc>
          <w:tcPr>
            <w:tcW w:w="1962" w:type="dxa"/>
            <w:gridSpan w:val="2"/>
            <w:tcBorders>
              <w:top w:val="single" w:sz="4" w:space="0" w:color="auto"/>
              <w:bottom w:val="single" w:sz="4" w:space="0" w:color="auto"/>
            </w:tcBorders>
            <w:vAlign w:val="center"/>
          </w:tcPr>
          <w:p w14:paraId="759D6D53" w14:textId="455D6C0C"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Pentland PS</w:t>
            </w:r>
          </w:p>
        </w:tc>
        <w:tc>
          <w:tcPr>
            <w:tcW w:w="2025" w:type="dxa"/>
            <w:gridSpan w:val="3"/>
            <w:tcBorders>
              <w:top w:val="single" w:sz="4" w:space="0" w:color="auto"/>
              <w:bottom w:val="single" w:sz="4" w:space="0" w:color="auto"/>
            </w:tcBorders>
            <w:shd w:val="clear" w:color="auto" w:fill="auto"/>
            <w:vAlign w:val="center"/>
          </w:tcPr>
          <w:p w14:paraId="3377EF21" w14:textId="2C06D05E"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Phillip Island K/ Cowes PS</w:t>
            </w:r>
          </w:p>
        </w:tc>
        <w:tc>
          <w:tcPr>
            <w:tcW w:w="1900" w:type="dxa"/>
            <w:tcBorders>
              <w:top w:val="single" w:sz="4" w:space="0" w:color="auto"/>
              <w:bottom w:val="single" w:sz="4" w:space="0" w:color="auto"/>
            </w:tcBorders>
            <w:shd w:val="clear" w:color="auto" w:fill="auto"/>
            <w:vAlign w:val="center"/>
          </w:tcPr>
          <w:p w14:paraId="1B1DA712" w14:textId="32C6D811"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Phoenix P</w:t>
            </w:r>
            <w:r w:rsidR="00104F40" w:rsidRPr="005734B8">
              <w:rPr>
                <w:rFonts w:ascii="Calibri" w:hAnsi="Calibri" w:cs="Calibri"/>
                <w:sz w:val="18"/>
                <w:lang w:val="en-AU"/>
              </w:rPr>
              <w:t>–</w:t>
            </w:r>
            <w:r w:rsidRPr="005734B8">
              <w:rPr>
                <w:rFonts w:ascii="Calibri" w:hAnsi="Calibri" w:cs="Calibri"/>
                <w:sz w:val="18"/>
                <w:lang w:val="en-AU"/>
              </w:rPr>
              <w:t>12 Community C</w:t>
            </w:r>
          </w:p>
        </w:tc>
      </w:tr>
      <w:tr w:rsidR="00A5305E" w:rsidRPr="005734B8" w14:paraId="45B7BB4B"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B7CEA77" w14:textId="34990437"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Port Melbourne PS</w:t>
            </w:r>
          </w:p>
        </w:tc>
        <w:tc>
          <w:tcPr>
            <w:tcW w:w="1962" w:type="dxa"/>
            <w:gridSpan w:val="2"/>
            <w:tcBorders>
              <w:top w:val="single" w:sz="4" w:space="0" w:color="auto"/>
              <w:bottom w:val="single" w:sz="4" w:space="0" w:color="auto"/>
            </w:tcBorders>
            <w:vAlign w:val="center"/>
          </w:tcPr>
          <w:p w14:paraId="123BB4E5" w14:textId="6D436EE5"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Port Melbourne SC</w:t>
            </w:r>
          </w:p>
        </w:tc>
        <w:tc>
          <w:tcPr>
            <w:tcW w:w="2025" w:type="dxa"/>
            <w:gridSpan w:val="3"/>
            <w:tcBorders>
              <w:top w:val="single" w:sz="4" w:space="0" w:color="auto"/>
              <w:bottom w:val="single" w:sz="4" w:space="0" w:color="auto"/>
            </w:tcBorders>
            <w:shd w:val="clear" w:color="auto" w:fill="auto"/>
            <w:vAlign w:val="center"/>
          </w:tcPr>
          <w:p w14:paraId="17976A9E" w14:textId="4F023AE1"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Port Philip SS</w:t>
            </w:r>
          </w:p>
        </w:tc>
        <w:tc>
          <w:tcPr>
            <w:tcW w:w="1900" w:type="dxa"/>
            <w:tcBorders>
              <w:top w:val="single" w:sz="4" w:space="0" w:color="auto"/>
              <w:bottom w:val="single" w:sz="4" w:space="0" w:color="auto"/>
            </w:tcBorders>
            <w:shd w:val="clear" w:color="auto" w:fill="auto"/>
            <w:vAlign w:val="center"/>
          </w:tcPr>
          <w:p w14:paraId="26E1F66F" w14:textId="2399B4F6"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Portland SC</w:t>
            </w:r>
          </w:p>
        </w:tc>
      </w:tr>
      <w:tr w:rsidR="00A5305E" w:rsidRPr="005734B8" w14:paraId="72D0623C"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5FDB752" w14:textId="3F5587F7"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Preston HS</w:t>
            </w:r>
          </w:p>
        </w:tc>
        <w:tc>
          <w:tcPr>
            <w:tcW w:w="1962" w:type="dxa"/>
            <w:gridSpan w:val="2"/>
            <w:tcBorders>
              <w:top w:val="single" w:sz="4" w:space="0" w:color="auto"/>
              <w:bottom w:val="single" w:sz="4" w:space="0" w:color="auto"/>
            </w:tcBorders>
            <w:vAlign w:val="center"/>
          </w:tcPr>
          <w:p w14:paraId="716E6588" w14:textId="4F4DE56C"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Preston South PS</w:t>
            </w:r>
          </w:p>
        </w:tc>
        <w:tc>
          <w:tcPr>
            <w:tcW w:w="2025" w:type="dxa"/>
            <w:gridSpan w:val="3"/>
            <w:tcBorders>
              <w:top w:val="single" w:sz="4" w:space="0" w:color="auto"/>
              <w:bottom w:val="single" w:sz="4" w:space="0" w:color="auto"/>
            </w:tcBorders>
            <w:shd w:val="clear" w:color="auto" w:fill="auto"/>
            <w:vAlign w:val="center"/>
          </w:tcPr>
          <w:p w14:paraId="3339FAB5" w14:textId="7A674024"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Princes Hill SC (Mirrimbah Country Centre)</w:t>
            </w:r>
          </w:p>
        </w:tc>
        <w:tc>
          <w:tcPr>
            <w:tcW w:w="1900" w:type="dxa"/>
            <w:tcBorders>
              <w:top w:val="single" w:sz="4" w:space="0" w:color="auto"/>
              <w:bottom w:val="single" w:sz="4" w:space="0" w:color="auto"/>
            </w:tcBorders>
            <w:shd w:val="clear" w:color="auto" w:fill="auto"/>
            <w:vAlign w:val="center"/>
          </w:tcPr>
          <w:p w14:paraId="5253C599" w14:textId="66149219"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Princess Hill K</w:t>
            </w:r>
          </w:p>
        </w:tc>
      </w:tr>
      <w:tr w:rsidR="00A5305E" w:rsidRPr="005734B8" w14:paraId="1CFE34ED"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727C7FB" w14:textId="5F413845"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Puckapunyal PS</w:t>
            </w:r>
          </w:p>
        </w:tc>
        <w:tc>
          <w:tcPr>
            <w:tcW w:w="1962" w:type="dxa"/>
            <w:gridSpan w:val="2"/>
            <w:tcBorders>
              <w:top w:val="single" w:sz="4" w:space="0" w:color="auto"/>
              <w:bottom w:val="single" w:sz="4" w:space="0" w:color="auto"/>
            </w:tcBorders>
            <w:vAlign w:val="center"/>
          </w:tcPr>
          <w:p w14:paraId="5C2FC7A4" w14:textId="6418968A"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Pyalong PS</w:t>
            </w:r>
          </w:p>
        </w:tc>
        <w:tc>
          <w:tcPr>
            <w:tcW w:w="2025" w:type="dxa"/>
            <w:gridSpan w:val="3"/>
            <w:tcBorders>
              <w:top w:val="single" w:sz="4" w:space="0" w:color="auto"/>
              <w:bottom w:val="single" w:sz="4" w:space="0" w:color="auto"/>
            </w:tcBorders>
            <w:shd w:val="clear" w:color="auto" w:fill="auto"/>
            <w:vAlign w:val="center"/>
          </w:tcPr>
          <w:p w14:paraId="300AC827" w14:textId="1E54266B"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Pyramid Hill C</w:t>
            </w:r>
          </w:p>
        </w:tc>
        <w:tc>
          <w:tcPr>
            <w:tcW w:w="1900" w:type="dxa"/>
            <w:tcBorders>
              <w:top w:val="single" w:sz="4" w:space="0" w:color="auto"/>
              <w:bottom w:val="single" w:sz="4" w:space="0" w:color="auto"/>
            </w:tcBorders>
            <w:shd w:val="clear" w:color="auto" w:fill="auto"/>
            <w:vAlign w:val="center"/>
          </w:tcPr>
          <w:p w14:paraId="28AD5763" w14:textId="1D529B22"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Quarry Hill PS</w:t>
            </w:r>
          </w:p>
        </w:tc>
      </w:tr>
      <w:tr w:rsidR="00A5305E" w:rsidRPr="005734B8" w14:paraId="6E177BFE"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1B57F085" w14:textId="15FCA8A0"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Ramleigh Park PS</w:t>
            </w:r>
          </w:p>
        </w:tc>
        <w:tc>
          <w:tcPr>
            <w:tcW w:w="1962" w:type="dxa"/>
            <w:gridSpan w:val="2"/>
            <w:tcBorders>
              <w:top w:val="single" w:sz="4" w:space="0" w:color="auto"/>
              <w:bottom w:val="single" w:sz="4" w:space="0" w:color="auto"/>
            </w:tcBorders>
            <w:vAlign w:val="center"/>
          </w:tcPr>
          <w:p w14:paraId="17B2DD69" w14:textId="18DDC497"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Ranfurly PS</w:t>
            </w:r>
          </w:p>
        </w:tc>
        <w:tc>
          <w:tcPr>
            <w:tcW w:w="2025" w:type="dxa"/>
            <w:gridSpan w:val="3"/>
            <w:tcBorders>
              <w:top w:val="single" w:sz="4" w:space="0" w:color="auto"/>
              <w:bottom w:val="single" w:sz="4" w:space="0" w:color="auto"/>
            </w:tcBorders>
            <w:shd w:val="clear" w:color="auto" w:fill="auto"/>
            <w:vAlign w:val="center"/>
          </w:tcPr>
          <w:p w14:paraId="43E4B65F" w14:textId="0ECB8CC1"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Rangeview PS</w:t>
            </w:r>
          </w:p>
        </w:tc>
        <w:tc>
          <w:tcPr>
            <w:tcW w:w="1900" w:type="dxa"/>
            <w:tcBorders>
              <w:top w:val="single" w:sz="4" w:space="0" w:color="auto"/>
              <w:bottom w:val="single" w:sz="4" w:space="0" w:color="auto"/>
            </w:tcBorders>
            <w:shd w:val="clear" w:color="auto" w:fill="auto"/>
            <w:vAlign w:val="center"/>
          </w:tcPr>
          <w:p w14:paraId="38354150" w14:textId="31E38EEC"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Red Hill CS</w:t>
            </w:r>
          </w:p>
        </w:tc>
      </w:tr>
      <w:tr w:rsidR="00A5305E" w:rsidRPr="005734B8" w14:paraId="23095E6F"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6DDC29F4" w14:textId="39789B6C"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Research PS</w:t>
            </w:r>
          </w:p>
        </w:tc>
        <w:tc>
          <w:tcPr>
            <w:tcW w:w="1962" w:type="dxa"/>
            <w:gridSpan w:val="2"/>
            <w:tcBorders>
              <w:top w:val="single" w:sz="4" w:space="0" w:color="auto"/>
              <w:bottom w:val="single" w:sz="4" w:space="0" w:color="auto"/>
            </w:tcBorders>
            <w:vAlign w:val="center"/>
          </w:tcPr>
          <w:p w14:paraId="32426E5A" w14:textId="62EF4291"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Reservoir HS</w:t>
            </w:r>
          </w:p>
        </w:tc>
        <w:tc>
          <w:tcPr>
            <w:tcW w:w="2025" w:type="dxa"/>
            <w:gridSpan w:val="3"/>
            <w:tcBorders>
              <w:top w:val="single" w:sz="4" w:space="0" w:color="auto"/>
              <w:bottom w:val="single" w:sz="4" w:space="0" w:color="auto"/>
            </w:tcBorders>
            <w:shd w:val="clear" w:color="auto" w:fill="auto"/>
            <w:vAlign w:val="center"/>
          </w:tcPr>
          <w:p w14:paraId="39903E26" w14:textId="0FD9A7B2"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Reservoir PS</w:t>
            </w:r>
          </w:p>
        </w:tc>
        <w:tc>
          <w:tcPr>
            <w:tcW w:w="1900" w:type="dxa"/>
            <w:tcBorders>
              <w:top w:val="single" w:sz="4" w:space="0" w:color="auto"/>
              <w:bottom w:val="single" w:sz="4" w:space="0" w:color="auto"/>
            </w:tcBorders>
            <w:shd w:val="clear" w:color="auto" w:fill="auto"/>
            <w:vAlign w:val="center"/>
          </w:tcPr>
          <w:p w14:paraId="6DAD0E45" w14:textId="2C03042C"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Reservoir Views PS</w:t>
            </w:r>
          </w:p>
        </w:tc>
      </w:tr>
      <w:tr w:rsidR="00A5305E" w:rsidRPr="005734B8" w14:paraId="4CEADD31"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1AD6709" w14:textId="693472C5"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Richmond West PS</w:t>
            </w:r>
          </w:p>
        </w:tc>
        <w:tc>
          <w:tcPr>
            <w:tcW w:w="1962" w:type="dxa"/>
            <w:gridSpan w:val="2"/>
            <w:tcBorders>
              <w:top w:val="single" w:sz="4" w:space="0" w:color="auto"/>
              <w:bottom w:val="single" w:sz="4" w:space="0" w:color="auto"/>
            </w:tcBorders>
            <w:vAlign w:val="center"/>
          </w:tcPr>
          <w:p w14:paraId="34569066" w14:textId="1C23E4D5"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Ringwood North PS</w:t>
            </w:r>
          </w:p>
        </w:tc>
        <w:tc>
          <w:tcPr>
            <w:tcW w:w="2025" w:type="dxa"/>
            <w:gridSpan w:val="3"/>
            <w:tcBorders>
              <w:top w:val="single" w:sz="4" w:space="0" w:color="auto"/>
              <w:bottom w:val="single" w:sz="4" w:space="0" w:color="auto"/>
            </w:tcBorders>
            <w:shd w:val="clear" w:color="auto" w:fill="auto"/>
            <w:vAlign w:val="center"/>
          </w:tcPr>
          <w:p w14:paraId="77EE6182" w14:textId="280E7D1F"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Ringwood SC</w:t>
            </w:r>
          </w:p>
        </w:tc>
        <w:tc>
          <w:tcPr>
            <w:tcW w:w="1900" w:type="dxa"/>
            <w:tcBorders>
              <w:top w:val="single" w:sz="4" w:space="0" w:color="auto"/>
              <w:bottom w:val="single" w:sz="4" w:space="0" w:color="auto"/>
            </w:tcBorders>
            <w:shd w:val="clear" w:color="auto" w:fill="auto"/>
            <w:vAlign w:val="center"/>
          </w:tcPr>
          <w:p w14:paraId="0F1FAADF" w14:textId="4EE2DB83"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Ripponlea K</w:t>
            </w:r>
          </w:p>
        </w:tc>
      </w:tr>
      <w:tr w:rsidR="00A5305E" w:rsidRPr="005734B8" w14:paraId="35623916"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EB66EAF" w14:textId="1434D597"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Riverbend PS</w:t>
            </w:r>
          </w:p>
        </w:tc>
        <w:tc>
          <w:tcPr>
            <w:tcW w:w="1962" w:type="dxa"/>
            <w:gridSpan w:val="2"/>
            <w:tcBorders>
              <w:top w:val="single" w:sz="4" w:space="0" w:color="auto"/>
              <w:bottom w:val="single" w:sz="4" w:space="0" w:color="auto"/>
            </w:tcBorders>
            <w:vAlign w:val="center"/>
          </w:tcPr>
          <w:p w14:paraId="47C114A7" w14:textId="49F2B81A"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Rollins PS</w:t>
            </w:r>
          </w:p>
        </w:tc>
        <w:tc>
          <w:tcPr>
            <w:tcW w:w="2025" w:type="dxa"/>
            <w:gridSpan w:val="3"/>
            <w:tcBorders>
              <w:top w:val="single" w:sz="4" w:space="0" w:color="auto"/>
              <w:bottom w:val="single" w:sz="4" w:space="0" w:color="auto"/>
            </w:tcBorders>
            <w:shd w:val="clear" w:color="auto" w:fill="auto"/>
            <w:vAlign w:val="center"/>
          </w:tcPr>
          <w:p w14:paraId="554225C8" w14:textId="7F8DAAC3"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Romsey PS</w:t>
            </w:r>
          </w:p>
        </w:tc>
        <w:tc>
          <w:tcPr>
            <w:tcW w:w="1900" w:type="dxa"/>
            <w:tcBorders>
              <w:top w:val="single" w:sz="4" w:space="0" w:color="auto"/>
              <w:bottom w:val="single" w:sz="4" w:space="0" w:color="auto"/>
            </w:tcBorders>
            <w:shd w:val="clear" w:color="auto" w:fill="auto"/>
            <w:vAlign w:val="center"/>
          </w:tcPr>
          <w:p w14:paraId="65B03EB3" w14:textId="78DCFB90"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Rosanna PS</w:t>
            </w:r>
          </w:p>
        </w:tc>
      </w:tr>
      <w:tr w:rsidR="00A5305E" w:rsidRPr="005734B8" w14:paraId="660AF930"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220457A" w14:textId="4E069D93"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Rosebud PS</w:t>
            </w:r>
          </w:p>
        </w:tc>
        <w:tc>
          <w:tcPr>
            <w:tcW w:w="1962" w:type="dxa"/>
            <w:gridSpan w:val="2"/>
            <w:tcBorders>
              <w:top w:val="single" w:sz="4" w:space="0" w:color="auto"/>
              <w:bottom w:val="single" w:sz="4" w:space="0" w:color="auto"/>
            </w:tcBorders>
            <w:vAlign w:val="center"/>
          </w:tcPr>
          <w:p w14:paraId="2B161A96" w14:textId="6ED7E2E5"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Rosehill SC</w:t>
            </w:r>
          </w:p>
        </w:tc>
        <w:tc>
          <w:tcPr>
            <w:tcW w:w="2025" w:type="dxa"/>
            <w:gridSpan w:val="3"/>
            <w:tcBorders>
              <w:top w:val="single" w:sz="4" w:space="0" w:color="auto"/>
              <w:bottom w:val="single" w:sz="4" w:space="0" w:color="auto"/>
            </w:tcBorders>
            <w:shd w:val="clear" w:color="auto" w:fill="auto"/>
            <w:vAlign w:val="center"/>
          </w:tcPr>
          <w:p w14:paraId="0A06A7FE" w14:textId="6B286ADE"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Rosewood Downs PS</w:t>
            </w:r>
          </w:p>
        </w:tc>
        <w:tc>
          <w:tcPr>
            <w:tcW w:w="1900" w:type="dxa"/>
            <w:tcBorders>
              <w:top w:val="single" w:sz="4" w:space="0" w:color="auto"/>
              <w:bottom w:val="single" w:sz="4" w:space="0" w:color="auto"/>
            </w:tcBorders>
            <w:shd w:val="clear" w:color="auto" w:fill="auto"/>
            <w:vAlign w:val="center"/>
          </w:tcPr>
          <w:p w14:paraId="3C6767EE" w14:textId="0898B446"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Rowellyn Park PS</w:t>
            </w:r>
          </w:p>
        </w:tc>
      </w:tr>
      <w:tr w:rsidR="00A5305E" w:rsidRPr="005734B8" w14:paraId="2E61FD39"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6A902B65" w14:textId="003C3293"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Rowville PS</w:t>
            </w:r>
          </w:p>
        </w:tc>
        <w:tc>
          <w:tcPr>
            <w:tcW w:w="1962" w:type="dxa"/>
            <w:gridSpan w:val="2"/>
            <w:tcBorders>
              <w:top w:val="single" w:sz="4" w:space="0" w:color="auto"/>
              <w:bottom w:val="single" w:sz="4" w:space="0" w:color="auto"/>
            </w:tcBorders>
            <w:vAlign w:val="center"/>
          </w:tcPr>
          <w:p w14:paraId="37DDB036" w14:textId="206CF417"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Roxburgh C</w:t>
            </w:r>
          </w:p>
        </w:tc>
        <w:tc>
          <w:tcPr>
            <w:tcW w:w="2025" w:type="dxa"/>
            <w:gridSpan w:val="3"/>
            <w:tcBorders>
              <w:top w:val="single" w:sz="4" w:space="0" w:color="auto"/>
              <w:bottom w:val="single" w:sz="4" w:space="0" w:color="auto"/>
            </w:tcBorders>
            <w:shd w:val="clear" w:color="auto" w:fill="auto"/>
            <w:vAlign w:val="center"/>
          </w:tcPr>
          <w:p w14:paraId="4EBDDE62" w14:textId="0EDCE329"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Roxburgh Rise PS</w:t>
            </w:r>
          </w:p>
        </w:tc>
        <w:tc>
          <w:tcPr>
            <w:tcW w:w="1900" w:type="dxa"/>
            <w:tcBorders>
              <w:top w:val="single" w:sz="4" w:space="0" w:color="auto"/>
              <w:bottom w:val="single" w:sz="4" w:space="0" w:color="auto"/>
            </w:tcBorders>
            <w:shd w:val="clear" w:color="auto" w:fill="auto"/>
            <w:vAlign w:val="center"/>
          </w:tcPr>
          <w:p w14:paraId="65093C7A" w14:textId="4B0364B9"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Rutherglen PS</w:t>
            </w:r>
          </w:p>
        </w:tc>
      </w:tr>
      <w:tr w:rsidR="00A5305E" w:rsidRPr="005734B8" w14:paraId="48E4218E"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6920B04A" w14:textId="72E81C8D"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Sale PS</w:t>
            </w:r>
          </w:p>
        </w:tc>
        <w:tc>
          <w:tcPr>
            <w:tcW w:w="1962" w:type="dxa"/>
            <w:gridSpan w:val="2"/>
            <w:tcBorders>
              <w:top w:val="single" w:sz="4" w:space="0" w:color="auto"/>
              <w:bottom w:val="single" w:sz="4" w:space="0" w:color="auto"/>
            </w:tcBorders>
            <w:vAlign w:val="center"/>
          </w:tcPr>
          <w:p w14:paraId="2617E48C" w14:textId="090E3769"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Saltwater P</w:t>
            </w:r>
            <w:r w:rsidR="00104F40" w:rsidRPr="005734B8">
              <w:rPr>
                <w:rFonts w:ascii="Calibri" w:hAnsi="Calibri" w:cs="Calibri"/>
                <w:sz w:val="18"/>
                <w:lang w:val="en-AU"/>
              </w:rPr>
              <w:t>–</w:t>
            </w:r>
            <w:r w:rsidRPr="005734B8">
              <w:rPr>
                <w:rFonts w:ascii="Calibri" w:hAnsi="Calibri" w:cs="Calibri"/>
                <w:color w:val="000000"/>
                <w:sz w:val="18"/>
              </w:rPr>
              <w:t>9 C</w:t>
            </w:r>
          </w:p>
        </w:tc>
        <w:tc>
          <w:tcPr>
            <w:tcW w:w="2025" w:type="dxa"/>
            <w:gridSpan w:val="3"/>
            <w:tcBorders>
              <w:top w:val="single" w:sz="4" w:space="0" w:color="auto"/>
              <w:bottom w:val="single" w:sz="4" w:space="0" w:color="auto"/>
            </w:tcBorders>
            <w:shd w:val="clear" w:color="auto" w:fill="auto"/>
            <w:vAlign w:val="center"/>
          </w:tcPr>
          <w:p w14:paraId="7DA78448" w14:textId="7BFD9243"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San Remo PS</w:t>
            </w:r>
          </w:p>
        </w:tc>
        <w:tc>
          <w:tcPr>
            <w:tcW w:w="1900" w:type="dxa"/>
            <w:tcBorders>
              <w:top w:val="single" w:sz="4" w:space="0" w:color="auto"/>
              <w:bottom w:val="single" w:sz="4" w:space="0" w:color="auto"/>
            </w:tcBorders>
            <w:shd w:val="clear" w:color="auto" w:fill="auto"/>
            <w:vAlign w:val="center"/>
          </w:tcPr>
          <w:p w14:paraId="1E8AAB8E" w14:textId="49E10688"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Sandringham PS</w:t>
            </w:r>
          </w:p>
        </w:tc>
      </w:tr>
      <w:tr w:rsidR="00A5305E" w:rsidRPr="005734B8" w14:paraId="2176DFBC"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6C9939AF" w14:textId="6871EAF0"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Seaford North PS</w:t>
            </w:r>
          </w:p>
        </w:tc>
        <w:tc>
          <w:tcPr>
            <w:tcW w:w="1962" w:type="dxa"/>
            <w:gridSpan w:val="2"/>
            <w:tcBorders>
              <w:top w:val="single" w:sz="4" w:space="0" w:color="auto"/>
              <w:bottom w:val="single" w:sz="4" w:space="0" w:color="auto"/>
            </w:tcBorders>
            <w:vAlign w:val="center"/>
          </w:tcPr>
          <w:p w14:paraId="4D46D916" w14:textId="754EE981"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Seaford Park PS</w:t>
            </w:r>
          </w:p>
        </w:tc>
        <w:tc>
          <w:tcPr>
            <w:tcW w:w="2025" w:type="dxa"/>
            <w:gridSpan w:val="3"/>
            <w:tcBorders>
              <w:top w:val="single" w:sz="4" w:space="0" w:color="auto"/>
              <w:bottom w:val="single" w:sz="4" w:space="0" w:color="auto"/>
            </w:tcBorders>
            <w:shd w:val="clear" w:color="auto" w:fill="auto"/>
            <w:vAlign w:val="center"/>
          </w:tcPr>
          <w:p w14:paraId="3202EF71" w14:textId="6F60DE6A"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Seaford PS</w:t>
            </w:r>
          </w:p>
        </w:tc>
        <w:tc>
          <w:tcPr>
            <w:tcW w:w="1900" w:type="dxa"/>
            <w:tcBorders>
              <w:top w:val="single" w:sz="4" w:space="0" w:color="auto"/>
              <w:bottom w:val="single" w:sz="4" w:space="0" w:color="auto"/>
            </w:tcBorders>
            <w:shd w:val="clear" w:color="auto" w:fill="auto"/>
            <w:vAlign w:val="center"/>
          </w:tcPr>
          <w:p w14:paraId="35A8A2B6" w14:textId="72417FB7"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Sebastopol PS</w:t>
            </w:r>
          </w:p>
        </w:tc>
      </w:tr>
      <w:tr w:rsidR="00A5305E" w:rsidRPr="005734B8" w14:paraId="6628C662"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01EF84D" w14:textId="454F8408"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Sherbrooke Community S</w:t>
            </w:r>
          </w:p>
        </w:tc>
        <w:tc>
          <w:tcPr>
            <w:tcW w:w="1962" w:type="dxa"/>
            <w:gridSpan w:val="2"/>
            <w:tcBorders>
              <w:top w:val="single" w:sz="4" w:space="0" w:color="auto"/>
              <w:bottom w:val="single" w:sz="4" w:space="0" w:color="auto"/>
            </w:tcBorders>
            <w:vAlign w:val="center"/>
          </w:tcPr>
          <w:p w14:paraId="3F2849C3" w14:textId="1688F176"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Sherburne PS</w:t>
            </w:r>
          </w:p>
        </w:tc>
        <w:tc>
          <w:tcPr>
            <w:tcW w:w="2025" w:type="dxa"/>
            <w:gridSpan w:val="3"/>
            <w:tcBorders>
              <w:top w:val="single" w:sz="4" w:space="0" w:color="auto"/>
              <w:bottom w:val="single" w:sz="4" w:space="0" w:color="auto"/>
            </w:tcBorders>
            <w:shd w:val="clear" w:color="auto" w:fill="auto"/>
            <w:vAlign w:val="center"/>
          </w:tcPr>
          <w:p w14:paraId="07A282A1" w14:textId="1EA40B72"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Skye PS</w:t>
            </w:r>
          </w:p>
        </w:tc>
        <w:tc>
          <w:tcPr>
            <w:tcW w:w="1900" w:type="dxa"/>
            <w:tcBorders>
              <w:top w:val="single" w:sz="4" w:space="0" w:color="auto"/>
              <w:bottom w:val="single" w:sz="4" w:space="0" w:color="auto"/>
            </w:tcBorders>
            <w:shd w:val="clear" w:color="auto" w:fill="auto"/>
            <w:vAlign w:val="center"/>
          </w:tcPr>
          <w:p w14:paraId="007A129D" w14:textId="1657C425"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Somers School Camp</w:t>
            </w:r>
          </w:p>
        </w:tc>
      </w:tr>
      <w:tr w:rsidR="00A5305E" w:rsidRPr="005734B8" w14:paraId="7A885F3B"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206A61C3" w14:textId="5CBA510B"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Somerville PS</w:t>
            </w:r>
          </w:p>
        </w:tc>
        <w:tc>
          <w:tcPr>
            <w:tcW w:w="1962" w:type="dxa"/>
            <w:gridSpan w:val="2"/>
            <w:tcBorders>
              <w:top w:val="single" w:sz="4" w:space="0" w:color="auto"/>
              <w:bottom w:val="single" w:sz="4" w:space="0" w:color="auto"/>
            </w:tcBorders>
            <w:vAlign w:val="center"/>
          </w:tcPr>
          <w:p w14:paraId="2C3545CA" w14:textId="72C40183"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Somerville Rise PS</w:t>
            </w:r>
          </w:p>
        </w:tc>
        <w:tc>
          <w:tcPr>
            <w:tcW w:w="2025" w:type="dxa"/>
            <w:gridSpan w:val="3"/>
            <w:tcBorders>
              <w:top w:val="single" w:sz="4" w:space="0" w:color="auto"/>
              <w:bottom w:val="single" w:sz="4" w:space="0" w:color="auto"/>
            </w:tcBorders>
            <w:shd w:val="clear" w:color="auto" w:fill="auto"/>
            <w:vAlign w:val="center"/>
          </w:tcPr>
          <w:p w14:paraId="12C328F5" w14:textId="647AFBB8"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Somerville SC</w:t>
            </w:r>
          </w:p>
        </w:tc>
        <w:tc>
          <w:tcPr>
            <w:tcW w:w="1900" w:type="dxa"/>
            <w:tcBorders>
              <w:top w:val="single" w:sz="4" w:space="0" w:color="auto"/>
              <w:bottom w:val="single" w:sz="4" w:space="0" w:color="auto"/>
            </w:tcBorders>
            <w:shd w:val="clear" w:color="auto" w:fill="auto"/>
            <w:vAlign w:val="center"/>
          </w:tcPr>
          <w:p w14:paraId="6406F8EC" w14:textId="5D17A8DE"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South Gippsland SS</w:t>
            </w:r>
          </w:p>
        </w:tc>
      </w:tr>
      <w:tr w:rsidR="00A5305E" w:rsidRPr="005734B8" w14:paraId="340B94F4"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7120371" w14:textId="3B5E209E"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South Melbourne Park PS</w:t>
            </w:r>
          </w:p>
        </w:tc>
        <w:tc>
          <w:tcPr>
            <w:tcW w:w="1962" w:type="dxa"/>
            <w:gridSpan w:val="2"/>
            <w:tcBorders>
              <w:top w:val="single" w:sz="4" w:space="0" w:color="auto"/>
              <w:bottom w:val="single" w:sz="4" w:space="0" w:color="auto"/>
            </w:tcBorders>
            <w:vAlign w:val="center"/>
          </w:tcPr>
          <w:p w14:paraId="691AD7B8" w14:textId="25162E48"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Southern Autistic S</w:t>
            </w:r>
          </w:p>
        </w:tc>
        <w:tc>
          <w:tcPr>
            <w:tcW w:w="2025" w:type="dxa"/>
            <w:gridSpan w:val="3"/>
            <w:tcBorders>
              <w:top w:val="single" w:sz="4" w:space="0" w:color="auto"/>
              <w:bottom w:val="single" w:sz="4" w:space="0" w:color="auto"/>
            </w:tcBorders>
            <w:shd w:val="clear" w:color="auto" w:fill="auto"/>
            <w:vAlign w:val="center"/>
          </w:tcPr>
          <w:p w14:paraId="45D2AD99" w14:textId="5EFA54AC"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Southern Cross PS</w:t>
            </w:r>
          </w:p>
        </w:tc>
        <w:tc>
          <w:tcPr>
            <w:tcW w:w="1900" w:type="dxa"/>
            <w:tcBorders>
              <w:top w:val="single" w:sz="4" w:space="0" w:color="auto"/>
              <w:bottom w:val="single" w:sz="4" w:space="0" w:color="auto"/>
            </w:tcBorders>
            <w:shd w:val="clear" w:color="auto" w:fill="auto"/>
            <w:vAlign w:val="center"/>
          </w:tcPr>
          <w:p w14:paraId="3E5A94CF" w14:textId="448F467E"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Spensley Street PS</w:t>
            </w:r>
          </w:p>
        </w:tc>
      </w:tr>
      <w:tr w:rsidR="00A5305E" w:rsidRPr="005734B8" w14:paraId="5487F223"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2E1EB72F" w14:textId="7E610732"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Spotswood PS</w:t>
            </w:r>
          </w:p>
        </w:tc>
        <w:tc>
          <w:tcPr>
            <w:tcW w:w="1962" w:type="dxa"/>
            <w:gridSpan w:val="2"/>
            <w:tcBorders>
              <w:top w:val="single" w:sz="4" w:space="0" w:color="auto"/>
              <w:bottom w:val="single" w:sz="4" w:space="0" w:color="auto"/>
            </w:tcBorders>
            <w:vAlign w:val="center"/>
          </w:tcPr>
          <w:p w14:paraId="6B664AEE" w14:textId="6B5E0B3D"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Springside West SC</w:t>
            </w:r>
          </w:p>
        </w:tc>
        <w:tc>
          <w:tcPr>
            <w:tcW w:w="2025" w:type="dxa"/>
            <w:gridSpan w:val="3"/>
            <w:tcBorders>
              <w:top w:val="single" w:sz="4" w:space="0" w:color="auto"/>
              <w:bottom w:val="single" w:sz="4" w:space="0" w:color="auto"/>
            </w:tcBorders>
            <w:shd w:val="clear" w:color="auto" w:fill="auto"/>
            <w:vAlign w:val="center"/>
          </w:tcPr>
          <w:p w14:paraId="4E5589E4" w14:textId="11E20997"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Springvale Rise PS</w:t>
            </w:r>
          </w:p>
        </w:tc>
        <w:tc>
          <w:tcPr>
            <w:tcW w:w="1900" w:type="dxa"/>
            <w:tcBorders>
              <w:top w:val="single" w:sz="4" w:space="0" w:color="auto"/>
              <w:bottom w:val="single" w:sz="4" w:space="0" w:color="auto"/>
            </w:tcBorders>
            <w:shd w:val="clear" w:color="auto" w:fill="auto"/>
            <w:vAlign w:val="center"/>
          </w:tcPr>
          <w:p w14:paraId="4297CC5D" w14:textId="2796A506"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St Albans East PS</w:t>
            </w:r>
          </w:p>
        </w:tc>
      </w:tr>
      <w:tr w:rsidR="00A5305E" w:rsidRPr="005734B8" w14:paraId="4B094558"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7791A1B" w14:textId="3DB61AA9"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St Albans Heights PS</w:t>
            </w:r>
          </w:p>
        </w:tc>
        <w:tc>
          <w:tcPr>
            <w:tcW w:w="1962" w:type="dxa"/>
            <w:gridSpan w:val="2"/>
            <w:tcBorders>
              <w:top w:val="single" w:sz="4" w:space="0" w:color="auto"/>
              <w:bottom w:val="single" w:sz="4" w:space="0" w:color="auto"/>
            </w:tcBorders>
            <w:vAlign w:val="center"/>
          </w:tcPr>
          <w:p w14:paraId="4BEB29A4" w14:textId="0E298922"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St Albans North PS</w:t>
            </w:r>
          </w:p>
        </w:tc>
        <w:tc>
          <w:tcPr>
            <w:tcW w:w="2025" w:type="dxa"/>
            <w:gridSpan w:val="3"/>
            <w:tcBorders>
              <w:top w:val="single" w:sz="4" w:space="0" w:color="auto"/>
              <w:bottom w:val="single" w:sz="4" w:space="0" w:color="auto"/>
            </w:tcBorders>
            <w:shd w:val="clear" w:color="auto" w:fill="auto"/>
            <w:vAlign w:val="center"/>
          </w:tcPr>
          <w:p w14:paraId="17A95C63" w14:textId="6A7E989E"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St Albans SC</w:t>
            </w:r>
          </w:p>
        </w:tc>
        <w:tc>
          <w:tcPr>
            <w:tcW w:w="1900" w:type="dxa"/>
            <w:tcBorders>
              <w:top w:val="single" w:sz="4" w:space="0" w:color="auto"/>
              <w:bottom w:val="single" w:sz="4" w:space="0" w:color="auto"/>
            </w:tcBorders>
            <w:shd w:val="clear" w:color="auto" w:fill="auto"/>
            <w:vAlign w:val="center"/>
          </w:tcPr>
          <w:p w14:paraId="5749F357" w14:textId="15B1D93E"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St Helena SC</w:t>
            </w:r>
          </w:p>
        </w:tc>
      </w:tr>
      <w:tr w:rsidR="00A5305E" w:rsidRPr="005734B8" w14:paraId="6D285955"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16705CE3" w14:textId="3FF8074B"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St Johns K</w:t>
            </w:r>
          </w:p>
        </w:tc>
        <w:tc>
          <w:tcPr>
            <w:tcW w:w="1962" w:type="dxa"/>
            <w:gridSpan w:val="2"/>
            <w:tcBorders>
              <w:top w:val="single" w:sz="4" w:space="0" w:color="auto"/>
              <w:bottom w:val="single" w:sz="4" w:space="0" w:color="auto"/>
            </w:tcBorders>
            <w:vAlign w:val="center"/>
          </w:tcPr>
          <w:p w14:paraId="6FA824B0" w14:textId="293C9400"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St Kilda PS</w:t>
            </w:r>
          </w:p>
        </w:tc>
        <w:tc>
          <w:tcPr>
            <w:tcW w:w="2025" w:type="dxa"/>
            <w:gridSpan w:val="3"/>
            <w:tcBorders>
              <w:top w:val="single" w:sz="4" w:space="0" w:color="auto"/>
              <w:bottom w:val="single" w:sz="4" w:space="0" w:color="auto"/>
            </w:tcBorders>
            <w:shd w:val="clear" w:color="auto" w:fill="auto"/>
            <w:vAlign w:val="center"/>
          </w:tcPr>
          <w:p w14:paraId="209464EE" w14:textId="14068FFB"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St Leonards PS</w:t>
            </w:r>
          </w:p>
        </w:tc>
        <w:tc>
          <w:tcPr>
            <w:tcW w:w="1900" w:type="dxa"/>
            <w:tcBorders>
              <w:top w:val="single" w:sz="4" w:space="0" w:color="auto"/>
              <w:bottom w:val="single" w:sz="4" w:space="0" w:color="auto"/>
            </w:tcBorders>
            <w:shd w:val="clear" w:color="auto" w:fill="auto"/>
            <w:vAlign w:val="center"/>
          </w:tcPr>
          <w:p w14:paraId="77F0D500" w14:textId="5ACE4AB4"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Staughton C</w:t>
            </w:r>
          </w:p>
        </w:tc>
      </w:tr>
      <w:tr w:rsidR="00A5305E" w:rsidRPr="005734B8" w14:paraId="6FB9CAE2"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636B45AA" w14:textId="45A924BC"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Stawell SC</w:t>
            </w:r>
          </w:p>
        </w:tc>
        <w:tc>
          <w:tcPr>
            <w:tcW w:w="1962" w:type="dxa"/>
            <w:gridSpan w:val="2"/>
            <w:tcBorders>
              <w:top w:val="single" w:sz="4" w:space="0" w:color="auto"/>
              <w:bottom w:val="single" w:sz="4" w:space="0" w:color="auto"/>
            </w:tcBorders>
            <w:vAlign w:val="center"/>
          </w:tcPr>
          <w:p w14:paraId="255C8245" w14:textId="04F3089B"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Stevensville PS</w:t>
            </w:r>
          </w:p>
        </w:tc>
        <w:tc>
          <w:tcPr>
            <w:tcW w:w="2025" w:type="dxa"/>
            <w:gridSpan w:val="3"/>
            <w:tcBorders>
              <w:top w:val="single" w:sz="4" w:space="0" w:color="auto"/>
              <w:bottom w:val="single" w:sz="4" w:space="0" w:color="auto"/>
            </w:tcBorders>
            <w:shd w:val="clear" w:color="auto" w:fill="auto"/>
            <w:vAlign w:val="center"/>
          </w:tcPr>
          <w:p w14:paraId="68FE600A" w14:textId="7A9DE0A5"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Strathmore SC</w:t>
            </w:r>
          </w:p>
        </w:tc>
        <w:tc>
          <w:tcPr>
            <w:tcW w:w="1900" w:type="dxa"/>
            <w:tcBorders>
              <w:top w:val="single" w:sz="4" w:space="0" w:color="auto"/>
              <w:bottom w:val="single" w:sz="4" w:space="0" w:color="auto"/>
            </w:tcBorders>
            <w:shd w:val="clear" w:color="auto" w:fill="auto"/>
            <w:vAlign w:val="center"/>
          </w:tcPr>
          <w:p w14:paraId="01B74AB6" w14:textId="15C01EF1"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Strathtulloh PS</w:t>
            </w:r>
          </w:p>
        </w:tc>
      </w:tr>
      <w:tr w:rsidR="00A5305E" w:rsidRPr="005734B8" w14:paraId="641AF4D6"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DBEE6A3" w14:textId="792F99C5"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Sunbury and Macedon Ranges SS Bullengarook</w:t>
            </w:r>
          </w:p>
        </w:tc>
        <w:tc>
          <w:tcPr>
            <w:tcW w:w="1962" w:type="dxa"/>
            <w:gridSpan w:val="2"/>
            <w:tcBorders>
              <w:top w:val="single" w:sz="4" w:space="0" w:color="auto"/>
              <w:bottom w:val="single" w:sz="4" w:space="0" w:color="auto"/>
            </w:tcBorders>
            <w:vAlign w:val="center"/>
          </w:tcPr>
          <w:p w14:paraId="7FA2F2A6" w14:textId="322B0737"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Sunbury and Macedon Ranges SS Sunbury</w:t>
            </w:r>
          </w:p>
        </w:tc>
        <w:tc>
          <w:tcPr>
            <w:tcW w:w="2025" w:type="dxa"/>
            <w:gridSpan w:val="3"/>
            <w:tcBorders>
              <w:top w:val="single" w:sz="4" w:space="0" w:color="auto"/>
              <w:bottom w:val="single" w:sz="4" w:space="0" w:color="auto"/>
            </w:tcBorders>
            <w:shd w:val="clear" w:color="auto" w:fill="auto"/>
            <w:vAlign w:val="center"/>
          </w:tcPr>
          <w:p w14:paraId="2943B8AD" w14:textId="37C08B25"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Sunbury PS</w:t>
            </w:r>
          </w:p>
        </w:tc>
        <w:tc>
          <w:tcPr>
            <w:tcW w:w="1900" w:type="dxa"/>
            <w:tcBorders>
              <w:top w:val="single" w:sz="4" w:space="0" w:color="auto"/>
              <w:bottom w:val="single" w:sz="4" w:space="0" w:color="auto"/>
            </w:tcBorders>
            <w:shd w:val="clear" w:color="auto" w:fill="auto"/>
            <w:vAlign w:val="center"/>
          </w:tcPr>
          <w:p w14:paraId="26108DC1" w14:textId="70A6CCD3"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Sunshine C</w:t>
            </w:r>
          </w:p>
        </w:tc>
      </w:tr>
      <w:tr w:rsidR="00A5305E" w:rsidRPr="005734B8" w14:paraId="517E5F86"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26B6AE39" w14:textId="78237184"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Sunshine Heights PS</w:t>
            </w:r>
          </w:p>
        </w:tc>
        <w:tc>
          <w:tcPr>
            <w:tcW w:w="1962" w:type="dxa"/>
            <w:gridSpan w:val="2"/>
            <w:tcBorders>
              <w:top w:val="single" w:sz="4" w:space="0" w:color="auto"/>
              <w:bottom w:val="single" w:sz="4" w:space="0" w:color="auto"/>
            </w:tcBorders>
            <w:vAlign w:val="center"/>
          </w:tcPr>
          <w:p w14:paraId="49469A3F" w14:textId="02C6CCFE"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Sunshine SDS</w:t>
            </w:r>
          </w:p>
        </w:tc>
        <w:tc>
          <w:tcPr>
            <w:tcW w:w="2025" w:type="dxa"/>
            <w:gridSpan w:val="3"/>
            <w:tcBorders>
              <w:top w:val="single" w:sz="4" w:space="0" w:color="auto"/>
              <w:bottom w:val="single" w:sz="4" w:space="0" w:color="auto"/>
            </w:tcBorders>
            <w:shd w:val="clear" w:color="auto" w:fill="auto"/>
            <w:vAlign w:val="center"/>
          </w:tcPr>
          <w:p w14:paraId="34983F0D" w14:textId="1FB2DF74"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Surfcoast SC</w:t>
            </w:r>
          </w:p>
        </w:tc>
        <w:tc>
          <w:tcPr>
            <w:tcW w:w="1900" w:type="dxa"/>
            <w:tcBorders>
              <w:top w:val="single" w:sz="4" w:space="0" w:color="auto"/>
              <w:bottom w:val="single" w:sz="4" w:space="0" w:color="auto"/>
            </w:tcBorders>
            <w:shd w:val="clear" w:color="auto" w:fill="auto"/>
            <w:vAlign w:val="center"/>
          </w:tcPr>
          <w:p w14:paraId="4FB7993B" w14:textId="2C331AF1"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Surfside PS</w:t>
            </w:r>
          </w:p>
        </w:tc>
      </w:tr>
      <w:tr w:rsidR="00A5305E" w:rsidRPr="005734B8" w14:paraId="62A237CF"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F6627BC" w14:textId="0443E775"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Surrey Hills PS</w:t>
            </w:r>
          </w:p>
        </w:tc>
        <w:tc>
          <w:tcPr>
            <w:tcW w:w="1962" w:type="dxa"/>
            <w:gridSpan w:val="2"/>
            <w:tcBorders>
              <w:top w:val="single" w:sz="4" w:space="0" w:color="auto"/>
              <w:bottom w:val="single" w:sz="4" w:space="0" w:color="auto"/>
            </w:tcBorders>
            <w:vAlign w:val="center"/>
          </w:tcPr>
          <w:p w14:paraId="6D0F309C" w14:textId="3C132329"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Swan Hill C</w:t>
            </w:r>
          </w:p>
        </w:tc>
        <w:tc>
          <w:tcPr>
            <w:tcW w:w="2025" w:type="dxa"/>
            <w:gridSpan w:val="3"/>
            <w:tcBorders>
              <w:top w:val="single" w:sz="4" w:space="0" w:color="auto"/>
              <w:bottom w:val="single" w:sz="4" w:space="0" w:color="auto"/>
            </w:tcBorders>
            <w:shd w:val="clear" w:color="auto" w:fill="auto"/>
            <w:vAlign w:val="center"/>
          </w:tcPr>
          <w:p w14:paraId="7AC8BE4A" w14:textId="4538A373"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Swan Hill PS</w:t>
            </w:r>
          </w:p>
        </w:tc>
        <w:tc>
          <w:tcPr>
            <w:tcW w:w="1900" w:type="dxa"/>
            <w:tcBorders>
              <w:top w:val="single" w:sz="4" w:space="0" w:color="auto"/>
              <w:bottom w:val="single" w:sz="4" w:space="0" w:color="auto"/>
            </w:tcBorders>
            <w:shd w:val="clear" w:color="auto" w:fill="auto"/>
            <w:vAlign w:val="center"/>
          </w:tcPr>
          <w:p w14:paraId="02391333" w14:textId="28E35E87"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Swan Reach PS</w:t>
            </w:r>
          </w:p>
        </w:tc>
      </w:tr>
      <w:tr w:rsidR="00A5305E" w:rsidRPr="005734B8" w14:paraId="3AC3203F"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6CED41C9" w14:textId="6AB8DA8A"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Tarneit Rise PS</w:t>
            </w:r>
          </w:p>
        </w:tc>
        <w:tc>
          <w:tcPr>
            <w:tcW w:w="1962" w:type="dxa"/>
            <w:gridSpan w:val="2"/>
            <w:tcBorders>
              <w:top w:val="single" w:sz="4" w:space="0" w:color="auto"/>
              <w:bottom w:val="single" w:sz="4" w:space="0" w:color="auto"/>
            </w:tcBorders>
            <w:vAlign w:val="center"/>
          </w:tcPr>
          <w:p w14:paraId="6501B27B" w14:textId="3B2F26BE"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 xml:space="preserve">Tarneit </w:t>
            </w:r>
            <w:r w:rsidR="00104F40" w:rsidRPr="005734B8">
              <w:rPr>
                <w:rFonts w:ascii="Calibri" w:hAnsi="Calibri" w:cs="Calibri"/>
                <w:color w:val="000000"/>
                <w:sz w:val="18"/>
              </w:rPr>
              <w:t>S</w:t>
            </w:r>
            <w:r w:rsidRPr="005734B8">
              <w:rPr>
                <w:rFonts w:ascii="Calibri" w:hAnsi="Calibri" w:cs="Calibri"/>
                <w:color w:val="000000"/>
                <w:sz w:val="18"/>
              </w:rPr>
              <w:t>C</w:t>
            </w:r>
          </w:p>
        </w:tc>
        <w:tc>
          <w:tcPr>
            <w:tcW w:w="2025" w:type="dxa"/>
            <w:gridSpan w:val="3"/>
            <w:tcBorders>
              <w:top w:val="single" w:sz="4" w:space="0" w:color="auto"/>
              <w:bottom w:val="single" w:sz="4" w:space="0" w:color="auto"/>
            </w:tcBorders>
            <w:shd w:val="clear" w:color="auto" w:fill="auto"/>
            <w:vAlign w:val="center"/>
          </w:tcPr>
          <w:p w14:paraId="0D28F945" w14:textId="5DACD287"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Tawonga PS</w:t>
            </w:r>
          </w:p>
        </w:tc>
        <w:tc>
          <w:tcPr>
            <w:tcW w:w="1900" w:type="dxa"/>
            <w:tcBorders>
              <w:top w:val="single" w:sz="4" w:space="0" w:color="auto"/>
              <w:bottom w:val="single" w:sz="4" w:space="0" w:color="auto"/>
            </w:tcBorders>
            <w:shd w:val="clear" w:color="auto" w:fill="auto"/>
            <w:vAlign w:val="center"/>
          </w:tcPr>
          <w:p w14:paraId="77EF84B6" w14:textId="4A15756F"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Tecoma PS</w:t>
            </w:r>
          </w:p>
        </w:tc>
      </w:tr>
      <w:tr w:rsidR="00A5305E" w:rsidRPr="005734B8" w14:paraId="46D59454"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24AB6F12" w14:textId="0AA839C1"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Teesdale PS</w:t>
            </w:r>
          </w:p>
        </w:tc>
        <w:tc>
          <w:tcPr>
            <w:tcW w:w="1962" w:type="dxa"/>
            <w:gridSpan w:val="2"/>
            <w:tcBorders>
              <w:top w:val="single" w:sz="4" w:space="0" w:color="auto"/>
              <w:bottom w:val="single" w:sz="4" w:space="0" w:color="auto"/>
            </w:tcBorders>
            <w:vAlign w:val="center"/>
          </w:tcPr>
          <w:p w14:paraId="5FD0DAE1" w14:textId="72BC4F6B"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Templestowe C</w:t>
            </w:r>
          </w:p>
        </w:tc>
        <w:tc>
          <w:tcPr>
            <w:tcW w:w="2025" w:type="dxa"/>
            <w:gridSpan w:val="3"/>
            <w:tcBorders>
              <w:top w:val="single" w:sz="4" w:space="0" w:color="auto"/>
              <w:bottom w:val="single" w:sz="4" w:space="0" w:color="auto"/>
            </w:tcBorders>
            <w:shd w:val="clear" w:color="auto" w:fill="auto"/>
            <w:vAlign w:val="center"/>
          </w:tcPr>
          <w:p w14:paraId="6A69E5AB" w14:textId="3D3F9F74"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Templestowe Park PS</w:t>
            </w:r>
          </w:p>
        </w:tc>
        <w:tc>
          <w:tcPr>
            <w:tcW w:w="1900" w:type="dxa"/>
            <w:tcBorders>
              <w:top w:val="single" w:sz="4" w:space="0" w:color="auto"/>
              <w:bottom w:val="single" w:sz="4" w:space="0" w:color="auto"/>
            </w:tcBorders>
            <w:shd w:val="clear" w:color="auto" w:fill="auto"/>
            <w:vAlign w:val="center"/>
          </w:tcPr>
          <w:p w14:paraId="7B9CBB97" w14:textId="4CD4E80D"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Templestowe Valley PS</w:t>
            </w:r>
          </w:p>
        </w:tc>
      </w:tr>
      <w:tr w:rsidR="00A5305E" w:rsidRPr="005734B8" w14:paraId="60D273C2"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692A5E01" w14:textId="04AFBCE9"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lastRenderedPageBreak/>
              <w:t>Tempy PS</w:t>
            </w:r>
          </w:p>
        </w:tc>
        <w:tc>
          <w:tcPr>
            <w:tcW w:w="1962" w:type="dxa"/>
            <w:gridSpan w:val="2"/>
            <w:tcBorders>
              <w:top w:val="single" w:sz="4" w:space="0" w:color="auto"/>
              <w:bottom w:val="single" w:sz="4" w:space="0" w:color="auto"/>
            </w:tcBorders>
            <w:vAlign w:val="center"/>
          </w:tcPr>
          <w:p w14:paraId="19652F7F" w14:textId="64EEEB8B"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Terang C</w:t>
            </w:r>
          </w:p>
        </w:tc>
        <w:tc>
          <w:tcPr>
            <w:tcW w:w="2025" w:type="dxa"/>
            <w:gridSpan w:val="3"/>
            <w:tcBorders>
              <w:top w:val="single" w:sz="4" w:space="0" w:color="auto"/>
              <w:bottom w:val="single" w:sz="4" w:space="0" w:color="auto"/>
            </w:tcBorders>
            <w:shd w:val="clear" w:color="auto" w:fill="auto"/>
            <w:vAlign w:val="center"/>
          </w:tcPr>
          <w:p w14:paraId="59DBDA86" w14:textId="3CCF167A"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The Alpine S</w:t>
            </w:r>
          </w:p>
        </w:tc>
        <w:tc>
          <w:tcPr>
            <w:tcW w:w="1900" w:type="dxa"/>
            <w:tcBorders>
              <w:top w:val="single" w:sz="4" w:space="0" w:color="auto"/>
              <w:bottom w:val="single" w:sz="4" w:space="0" w:color="auto"/>
            </w:tcBorders>
            <w:shd w:val="clear" w:color="auto" w:fill="auto"/>
            <w:vAlign w:val="center"/>
          </w:tcPr>
          <w:p w14:paraId="625B3A24" w14:textId="6F9E1E22"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The Basin PS</w:t>
            </w:r>
          </w:p>
        </w:tc>
      </w:tr>
      <w:tr w:rsidR="00A5305E" w:rsidRPr="005734B8" w14:paraId="2419C68C"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77BF18B0" w14:textId="3BFC9521"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The Grange P</w:t>
            </w:r>
            <w:r w:rsidR="00104F40" w:rsidRPr="005734B8">
              <w:rPr>
                <w:rFonts w:ascii="Calibri" w:hAnsi="Calibri" w:cs="Calibri"/>
                <w:sz w:val="18"/>
                <w:lang w:val="en-AU"/>
              </w:rPr>
              <w:t>–</w:t>
            </w:r>
            <w:r w:rsidRPr="005734B8">
              <w:rPr>
                <w:rFonts w:ascii="Calibri" w:eastAsia="Calibri" w:hAnsi="Calibri" w:cs="Calibri"/>
                <w:sz w:val="18"/>
                <w:lang w:val="en-AU"/>
              </w:rPr>
              <w:t>12 C</w:t>
            </w:r>
          </w:p>
        </w:tc>
        <w:tc>
          <w:tcPr>
            <w:tcW w:w="1962" w:type="dxa"/>
            <w:gridSpan w:val="2"/>
            <w:tcBorders>
              <w:top w:val="single" w:sz="4" w:space="0" w:color="auto"/>
              <w:bottom w:val="single" w:sz="4" w:space="0" w:color="auto"/>
            </w:tcBorders>
            <w:vAlign w:val="center"/>
          </w:tcPr>
          <w:p w14:paraId="79230F72" w14:textId="10A294C3"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The Lake PS</w:t>
            </w:r>
          </w:p>
        </w:tc>
        <w:tc>
          <w:tcPr>
            <w:tcW w:w="2025" w:type="dxa"/>
            <w:gridSpan w:val="3"/>
            <w:tcBorders>
              <w:top w:val="single" w:sz="4" w:space="0" w:color="auto"/>
              <w:bottom w:val="single" w:sz="4" w:space="0" w:color="auto"/>
            </w:tcBorders>
            <w:shd w:val="clear" w:color="auto" w:fill="auto"/>
            <w:vAlign w:val="center"/>
          </w:tcPr>
          <w:p w14:paraId="51147DD3" w14:textId="4831AC1F"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The Patch PS</w:t>
            </w:r>
          </w:p>
        </w:tc>
        <w:tc>
          <w:tcPr>
            <w:tcW w:w="1900" w:type="dxa"/>
            <w:tcBorders>
              <w:top w:val="single" w:sz="4" w:space="0" w:color="auto"/>
              <w:bottom w:val="single" w:sz="4" w:space="0" w:color="auto"/>
            </w:tcBorders>
            <w:shd w:val="clear" w:color="auto" w:fill="auto"/>
            <w:vAlign w:val="center"/>
          </w:tcPr>
          <w:p w14:paraId="1A2BF9C5" w14:textId="34A4EC57"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Thomastown East PS</w:t>
            </w:r>
          </w:p>
        </w:tc>
      </w:tr>
      <w:tr w:rsidR="00A5305E" w:rsidRPr="005734B8" w14:paraId="6FA4499E"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17CE760" w14:textId="0CA93899"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Thomastown SC</w:t>
            </w:r>
          </w:p>
        </w:tc>
        <w:tc>
          <w:tcPr>
            <w:tcW w:w="1962" w:type="dxa"/>
            <w:gridSpan w:val="2"/>
            <w:tcBorders>
              <w:top w:val="single" w:sz="4" w:space="0" w:color="auto"/>
              <w:bottom w:val="single" w:sz="4" w:space="0" w:color="auto"/>
            </w:tcBorders>
            <w:vAlign w:val="center"/>
          </w:tcPr>
          <w:p w14:paraId="3FC5393F" w14:textId="52ED0558"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Thornbury PS</w:t>
            </w:r>
          </w:p>
        </w:tc>
        <w:tc>
          <w:tcPr>
            <w:tcW w:w="2025" w:type="dxa"/>
            <w:gridSpan w:val="3"/>
            <w:tcBorders>
              <w:top w:val="single" w:sz="4" w:space="0" w:color="auto"/>
              <w:bottom w:val="single" w:sz="4" w:space="0" w:color="auto"/>
            </w:tcBorders>
            <w:shd w:val="clear" w:color="auto" w:fill="auto"/>
            <w:vAlign w:val="center"/>
          </w:tcPr>
          <w:p w14:paraId="0C320AE5" w14:textId="54BAFFCE"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Timbarra P</w:t>
            </w:r>
            <w:r w:rsidR="00104F40" w:rsidRPr="005734B8">
              <w:rPr>
                <w:rFonts w:ascii="Calibri" w:hAnsi="Calibri" w:cs="Calibri"/>
                <w:sz w:val="18"/>
                <w:lang w:val="en-AU"/>
              </w:rPr>
              <w:t>–</w:t>
            </w:r>
            <w:r w:rsidRPr="005734B8">
              <w:rPr>
                <w:rFonts w:ascii="Calibri" w:hAnsi="Calibri" w:cs="Calibri"/>
                <w:sz w:val="18"/>
                <w:lang w:val="en-AU"/>
              </w:rPr>
              <w:t>9 C</w:t>
            </w:r>
          </w:p>
        </w:tc>
        <w:tc>
          <w:tcPr>
            <w:tcW w:w="1900" w:type="dxa"/>
            <w:tcBorders>
              <w:top w:val="single" w:sz="4" w:space="0" w:color="auto"/>
              <w:bottom w:val="single" w:sz="4" w:space="0" w:color="auto"/>
            </w:tcBorders>
            <w:shd w:val="clear" w:color="auto" w:fill="auto"/>
            <w:vAlign w:val="center"/>
          </w:tcPr>
          <w:p w14:paraId="76D8A0F8" w14:textId="281102B9"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Toolern Vale and District PS</w:t>
            </w:r>
          </w:p>
        </w:tc>
      </w:tr>
      <w:tr w:rsidR="00A5305E" w:rsidRPr="005734B8" w14:paraId="5FE6E6A2"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CCCC3C4" w14:textId="382AC432"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Toorloo Arm PS</w:t>
            </w:r>
          </w:p>
        </w:tc>
        <w:tc>
          <w:tcPr>
            <w:tcW w:w="1962" w:type="dxa"/>
            <w:gridSpan w:val="2"/>
            <w:tcBorders>
              <w:top w:val="single" w:sz="4" w:space="0" w:color="auto"/>
              <w:bottom w:val="single" w:sz="4" w:space="0" w:color="auto"/>
            </w:tcBorders>
            <w:vAlign w:val="center"/>
          </w:tcPr>
          <w:p w14:paraId="667F197B" w14:textId="5BB588DB"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Torquay Coast PS</w:t>
            </w:r>
          </w:p>
        </w:tc>
        <w:tc>
          <w:tcPr>
            <w:tcW w:w="2025" w:type="dxa"/>
            <w:gridSpan w:val="3"/>
            <w:tcBorders>
              <w:top w:val="single" w:sz="4" w:space="0" w:color="auto"/>
              <w:bottom w:val="single" w:sz="4" w:space="0" w:color="auto"/>
            </w:tcBorders>
            <w:shd w:val="clear" w:color="auto" w:fill="auto"/>
            <w:vAlign w:val="center"/>
          </w:tcPr>
          <w:p w14:paraId="350182D7" w14:textId="4F2E3958"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Torquay P</w:t>
            </w:r>
            <w:r w:rsidR="00104F40" w:rsidRPr="005734B8">
              <w:rPr>
                <w:rFonts w:ascii="Calibri" w:hAnsi="Calibri" w:cs="Calibri"/>
                <w:sz w:val="18"/>
                <w:lang w:val="en-AU"/>
              </w:rPr>
              <w:t>–</w:t>
            </w:r>
            <w:r w:rsidRPr="005734B8">
              <w:rPr>
                <w:rFonts w:ascii="Calibri" w:hAnsi="Calibri" w:cs="Calibri"/>
                <w:sz w:val="18"/>
                <w:lang w:val="en-AU"/>
              </w:rPr>
              <w:t>6 C</w:t>
            </w:r>
          </w:p>
        </w:tc>
        <w:tc>
          <w:tcPr>
            <w:tcW w:w="1900" w:type="dxa"/>
            <w:tcBorders>
              <w:top w:val="single" w:sz="4" w:space="0" w:color="auto"/>
              <w:bottom w:val="single" w:sz="4" w:space="0" w:color="auto"/>
            </w:tcBorders>
            <w:shd w:val="clear" w:color="auto" w:fill="auto"/>
            <w:vAlign w:val="center"/>
          </w:tcPr>
          <w:p w14:paraId="16052EF3" w14:textId="41EDD740"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Traralgon (Kosciuszko Street) PS</w:t>
            </w:r>
          </w:p>
        </w:tc>
      </w:tr>
      <w:tr w:rsidR="00A5305E" w:rsidRPr="005734B8" w14:paraId="6A4CDB93"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3EF699B8" w14:textId="21907C88"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Traralgon SC</w:t>
            </w:r>
          </w:p>
        </w:tc>
        <w:tc>
          <w:tcPr>
            <w:tcW w:w="1962" w:type="dxa"/>
            <w:gridSpan w:val="2"/>
            <w:tcBorders>
              <w:top w:val="single" w:sz="4" w:space="0" w:color="auto"/>
              <w:bottom w:val="single" w:sz="4" w:space="0" w:color="auto"/>
            </w:tcBorders>
            <w:vAlign w:val="center"/>
          </w:tcPr>
          <w:p w14:paraId="1573F5B2" w14:textId="3F0636FC"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Traralgon South PS</w:t>
            </w:r>
          </w:p>
        </w:tc>
        <w:tc>
          <w:tcPr>
            <w:tcW w:w="2025" w:type="dxa"/>
            <w:gridSpan w:val="3"/>
            <w:tcBorders>
              <w:top w:val="single" w:sz="4" w:space="0" w:color="auto"/>
              <w:bottom w:val="single" w:sz="4" w:space="0" w:color="auto"/>
            </w:tcBorders>
            <w:shd w:val="clear" w:color="auto" w:fill="auto"/>
            <w:vAlign w:val="center"/>
          </w:tcPr>
          <w:p w14:paraId="1CA57CF1" w14:textId="24AA0D9D"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Truganina P</w:t>
            </w:r>
            <w:r w:rsidR="00104F40" w:rsidRPr="005734B8">
              <w:rPr>
                <w:rFonts w:ascii="Calibri" w:hAnsi="Calibri" w:cs="Calibri"/>
                <w:sz w:val="18"/>
                <w:lang w:val="en-AU"/>
              </w:rPr>
              <w:t>–</w:t>
            </w:r>
            <w:r w:rsidRPr="005734B8">
              <w:rPr>
                <w:rFonts w:ascii="Calibri" w:hAnsi="Calibri" w:cs="Calibri"/>
                <w:sz w:val="18"/>
                <w:lang w:val="en-AU"/>
              </w:rPr>
              <w:t>9 C</w:t>
            </w:r>
          </w:p>
        </w:tc>
        <w:tc>
          <w:tcPr>
            <w:tcW w:w="1900" w:type="dxa"/>
            <w:tcBorders>
              <w:top w:val="single" w:sz="4" w:space="0" w:color="auto"/>
              <w:bottom w:val="single" w:sz="4" w:space="0" w:color="auto"/>
            </w:tcBorders>
            <w:shd w:val="clear" w:color="auto" w:fill="auto"/>
            <w:vAlign w:val="center"/>
          </w:tcPr>
          <w:p w14:paraId="13B6E3C6" w14:textId="5DAD3E10"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Tucker Road Bentleigh PS</w:t>
            </w:r>
          </w:p>
        </w:tc>
      </w:tr>
      <w:tr w:rsidR="00A5305E" w:rsidRPr="005734B8" w14:paraId="629CF183"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BA9C222" w14:textId="39EA2C18"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Tulliallan PS</w:t>
            </w:r>
          </w:p>
        </w:tc>
        <w:tc>
          <w:tcPr>
            <w:tcW w:w="1962" w:type="dxa"/>
            <w:gridSpan w:val="2"/>
            <w:tcBorders>
              <w:top w:val="single" w:sz="4" w:space="0" w:color="auto"/>
              <w:bottom w:val="single" w:sz="4" w:space="0" w:color="auto"/>
            </w:tcBorders>
            <w:vAlign w:val="center"/>
          </w:tcPr>
          <w:p w14:paraId="0A895AD0" w14:textId="67AA7812"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Tyabb Railway Station PS</w:t>
            </w:r>
          </w:p>
        </w:tc>
        <w:tc>
          <w:tcPr>
            <w:tcW w:w="2025" w:type="dxa"/>
            <w:gridSpan w:val="3"/>
            <w:tcBorders>
              <w:top w:val="single" w:sz="4" w:space="0" w:color="auto"/>
              <w:bottom w:val="single" w:sz="4" w:space="0" w:color="auto"/>
            </w:tcBorders>
            <w:shd w:val="clear" w:color="auto" w:fill="auto"/>
            <w:vAlign w:val="center"/>
          </w:tcPr>
          <w:p w14:paraId="526D837A" w14:textId="11CD4533"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Tyers PS</w:t>
            </w:r>
          </w:p>
        </w:tc>
        <w:tc>
          <w:tcPr>
            <w:tcW w:w="1900" w:type="dxa"/>
            <w:tcBorders>
              <w:top w:val="single" w:sz="4" w:space="0" w:color="auto"/>
              <w:bottom w:val="single" w:sz="4" w:space="0" w:color="auto"/>
            </w:tcBorders>
            <w:shd w:val="clear" w:color="auto" w:fill="auto"/>
            <w:vAlign w:val="center"/>
          </w:tcPr>
          <w:p w14:paraId="4E59B5B6" w14:textId="0AE47645"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Tyrrell C</w:t>
            </w:r>
          </w:p>
        </w:tc>
      </w:tr>
      <w:tr w:rsidR="00A5305E" w:rsidRPr="005734B8" w14:paraId="5BEB129F"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3ADCFD27" w14:textId="6436332E"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Ultima PS</w:t>
            </w:r>
          </w:p>
        </w:tc>
        <w:tc>
          <w:tcPr>
            <w:tcW w:w="1962" w:type="dxa"/>
            <w:gridSpan w:val="2"/>
            <w:tcBorders>
              <w:top w:val="single" w:sz="4" w:space="0" w:color="auto"/>
              <w:bottom w:val="single" w:sz="4" w:space="0" w:color="auto"/>
            </w:tcBorders>
            <w:vAlign w:val="center"/>
          </w:tcPr>
          <w:p w14:paraId="4AE89516" w14:textId="0E564840"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Underbool PS</w:t>
            </w:r>
          </w:p>
        </w:tc>
        <w:tc>
          <w:tcPr>
            <w:tcW w:w="2025" w:type="dxa"/>
            <w:gridSpan w:val="3"/>
            <w:tcBorders>
              <w:top w:val="single" w:sz="4" w:space="0" w:color="auto"/>
              <w:bottom w:val="single" w:sz="4" w:space="0" w:color="auto"/>
            </w:tcBorders>
            <w:shd w:val="clear" w:color="auto" w:fill="auto"/>
            <w:vAlign w:val="center"/>
          </w:tcPr>
          <w:p w14:paraId="57AC579D" w14:textId="1F1E7F3E"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University HS</w:t>
            </w:r>
          </w:p>
        </w:tc>
        <w:tc>
          <w:tcPr>
            <w:tcW w:w="1900" w:type="dxa"/>
            <w:tcBorders>
              <w:top w:val="single" w:sz="4" w:space="0" w:color="auto"/>
              <w:bottom w:val="single" w:sz="4" w:space="0" w:color="auto"/>
            </w:tcBorders>
            <w:shd w:val="clear" w:color="auto" w:fill="auto"/>
            <w:vAlign w:val="center"/>
          </w:tcPr>
          <w:p w14:paraId="09AA0E16" w14:textId="700425A4"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Upper Yarra SC</w:t>
            </w:r>
          </w:p>
        </w:tc>
      </w:tr>
      <w:tr w:rsidR="00A5305E" w:rsidRPr="005734B8" w14:paraId="2DFBB6F8"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102EB635" w14:textId="2CA715DF"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Upwey HS</w:t>
            </w:r>
          </w:p>
        </w:tc>
        <w:tc>
          <w:tcPr>
            <w:tcW w:w="1962" w:type="dxa"/>
            <w:gridSpan w:val="2"/>
            <w:tcBorders>
              <w:top w:val="single" w:sz="4" w:space="0" w:color="auto"/>
              <w:bottom w:val="single" w:sz="4" w:space="0" w:color="auto"/>
            </w:tcBorders>
            <w:vAlign w:val="center"/>
          </w:tcPr>
          <w:p w14:paraId="6B10CAD2" w14:textId="20FED452"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Urquhart Park PS</w:t>
            </w:r>
          </w:p>
        </w:tc>
        <w:tc>
          <w:tcPr>
            <w:tcW w:w="2025" w:type="dxa"/>
            <w:gridSpan w:val="3"/>
            <w:tcBorders>
              <w:top w:val="single" w:sz="4" w:space="0" w:color="auto"/>
              <w:bottom w:val="single" w:sz="4" w:space="0" w:color="auto"/>
            </w:tcBorders>
            <w:shd w:val="clear" w:color="auto" w:fill="auto"/>
            <w:vAlign w:val="center"/>
          </w:tcPr>
          <w:p w14:paraId="7E41C3A3" w14:textId="6B240C21"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Vermont South SS</w:t>
            </w:r>
          </w:p>
        </w:tc>
        <w:tc>
          <w:tcPr>
            <w:tcW w:w="1900" w:type="dxa"/>
            <w:tcBorders>
              <w:top w:val="single" w:sz="4" w:space="0" w:color="auto"/>
              <w:bottom w:val="single" w:sz="4" w:space="0" w:color="auto"/>
            </w:tcBorders>
            <w:shd w:val="clear" w:color="auto" w:fill="auto"/>
            <w:vAlign w:val="center"/>
          </w:tcPr>
          <w:p w14:paraId="3BFB2D0A" w14:textId="60F22C9F"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Verney Rd S</w:t>
            </w:r>
          </w:p>
        </w:tc>
      </w:tr>
      <w:tr w:rsidR="00A5305E" w:rsidRPr="005734B8" w14:paraId="00FA7F33"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791415A6" w14:textId="24EE8A11"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Victoria Rd PS</w:t>
            </w:r>
          </w:p>
        </w:tc>
        <w:tc>
          <w:tcPr>
            <w:tcW w:w="1962" w:type="dxa"/>
            <w:gridSpan w:val="2"/>
            <w:tcBorders>
              <w:top w:val="single" w:sz="4" w:space="0" w:color="auto"/>
              <w:bottom w:val="single" w:sz="4" w:space="0" w:color="auto"/>
            </w:tcBorders>
            <w:vAlign w:val="center"/>
          </w:tcPr>
          <w:p w14:paraId="128F78BE" w14:textId="6E336D0A"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Victoria Rd PS / Lilydale West PS</w:t>
            </w:r>
          </w:p>
        </w:tc>
        <w:tc>
          <w:tcPr>
            <w:tcW w:w="2025" w:type="dxa"/>
            <w:gridSpan w:val="3"/>
            <w:tcBorders>
              <w:top w:val="single" w:sz="4" w:space="0" w:color="auto"/>
              <w:bottom w:val="single" w:sz="4" w:space="0" w:color="auto"/>
            </w:tcBorders>
            <w:shd w:val="clear" w:color="auto" w:fill="auto"/>
            <w:vAlign w:val="center"/>
          </w:tcPr>
          <w:p w14:paraId="2517D92E" w14:textId="45EB0D2F"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Victoria University SC</w:t>
            </w:r>
          </w:p>
        </w:tc>
        <w:tc>
          <w:tcPr>
            <w:tcW w:w="1900" w:type="dxa"/>
            <w:tcBorders>
              <w:top w:val="single" w:sz="4" w:space="0" w:color="auto"/>
              <w:bottom w:val="single" w:sz="4" w:space="0" w:color="auto"/>
            </w:tcBorders>
            <w:shd w:val="clear" w:color="auto" w:fill="auto"/>
            <w:vAlign w:val="center"/>
          </w:tcPr>
          <w:p w14:paraId="1EF3907B" w14:textId="65659F8F"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Viewbank PS</w:t>
            </w:r>
          </w:p>
        </w:tc>
      </w:tr>
      <w:tr w:rsidR="00A5305E" w:rsidRPr="005734B8" w14:paraId="6DF0F264"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43CBE94" w14:textId="4F8FD3F3"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Wales Street PS</w:t>
            </w:r>
          </w:p>
        </w:tc>
        <w:tc>
          <w:tcPr>
            <w:tcW w:w="1962" w:type="dxa"/>
            <w:gridSpan w:val="2"/>
            <w:tcBorders>
              <w:top w:val="single" w:sz="4" w:space="0" w:color="auto"/>
              <w:bottom w:val="single" w:sz="4" w:space="0" w:color="auto"/>
            </w:tcBorders>
            <w:vAlign w:val="center"/>
          </w:tcPr>
          <w:p w14:paraId="3968177F" w14:textId="5BC2E139"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Wallington PS</w:t>
            </w:r>
          </w:p>
        </w:tc>
        <w:tc>
          <w:tcPr>
            <w:tcW w:w="2025" w:type="dxa"/>
            <w:gridSpan w:val="3"/>
            <w:tcBorders>
              <w:top w:val="single" w:sz="4" w:space="0" w:color="auto"/>
              <w:bottom w:val="single" w:sz="4" w:space="0" w:color="auto"/>
            </w:tcBorders>
            <w:shd w:val="clear" w:color="auto" w:fill="auto"/>
            <w:vAlign w:val="center"/>
          </w:tcPr>
          <w:p w14:paraId="695A33E8" w14:textId="5E4740A4"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Walwa PS</w:t>
            </w:r>
          </w:p>
        </w:tc>
        <w:tc>
          <w:tcPr>
            <w:tcW w:w="1900" w:type="dxa"/>
            <w:tcBorders>
              <w:top w:val="single" w:sz="4" w:space="0" w:color="auto"/>
              <w:bottom w:val="single" w:sz="4" w:space="0" w:color="auto"/>
            </w:tcBorders>
            <w:shd w:val="clear" w:color="auto" w:fill="auto"/>
            <w:vAlign w:val="center"/>
          </w:tcPr>
          <w:p w14:paraId="44864424" w14:textId="6E87B3DC"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Wangaratta District SS and Appin Park PS</w:t>
            </w:r>
          </w:p>
        </w:tc>
      </w:tr>
      <w:tr w:rsidR="00A5305E" w:rsidRPr="005734B8" w14:paraId="18053ACF"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30668F05" w14:textId="1BADE341"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Wangaratta HS (Edwards Street Campus)</w:t>
            </w:r>
          </w:p>
        </w:tc>
        <w:tc>
          <w:tcPr>
            <w:tcW w:w="1962" w:type="dxa"/>
            <w:gridSpan w:val="2"/>
            <w:tcBorders>
              <w:top w:val="single" w:sz="4" w:space="0" w:color="auto"/>
              <w:bottom w:val="single" w:sz="4" w:space="0" w:color="auto"/>
            </w:tcBorders>
            <w:vAlign w:val="center"/>
          </w:tcPr>
          <w:p w14:paraId="698974FA" w14:textId="78F3F619"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Wangaratta PS</w:t>
            </w:r>
          </w:p>
        </w:tc>
        <w:tc>
          <w:tcPr>
            <w:tcW w:w="2025" w:type="dxa"/>
            <w:gridSpan w:val="3"/>
            <w:tcBorders>
              <w:top w:val="single" w:sz="4" w:space="0" w:color="auto"/>
              <w:bottom w:val="single" w:sz="4" w:space="0" w:color="auto"/>
            </w:tcBorders>
            <w:shd w:val="clear" w:color="auto" w:fill="auto"/>
            <w:vAlign w:val="center"/>
          </w:tcPr>
          <w:p w14:paraId="59598392" w14:textId="423513D8"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Wangaratta West PS</w:t>
            </w:r>
          </w:p>
        </w:tc>
        <w:tc>
          <w:tcPr>
            <w:tcW w:w="1900" w:type="dxa"/>
            <w:tcBorders>
              <w:top w:val="single" w:sz="4" w:space="0" w:color="auto"/>
              <w:bottom w:val="single" w:sz="4" w:space="0" w:color="auto"/>
            </w:tcBorders>
            <w:shd w:val="clear" w:color="auto" w:fill="auto"/>
            <w:vAlign w:val="center"/>
          </w:tcPr>
          <w:p w14:paraId="5A194F54" w14:textId="09471B91"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Warrandyte HS</w:t>
            </w:r>
          </w:p>
        </w:tc>
      </w:tr>
      <w:tr w:rsidR="00A5305E" w:rsidRPr="005734B8" w14:paraId="74E043DC"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61F0A3A2" w14:textId="5A985784"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Warringa Park S</w:t>
            </w:r>
          </w:p>
        </w:tc>
        <w:tc>
          <w:tcPr>
            <w:tcW w:w="1962" w:type="dxa"/>
            <w:gridSpan w:val="2"/>
            <w:tcBorders>
              <w:top w:val="single" w:sz="4" w:space="0" w:color="auto"/>
              <w:bottom w:val="single" w:sz="4" w:space="0" w:color="auto"/>
            </w:tcBorders>
            <w:vAlign w:val="center"/>
          </w:tcPr>
          <w:p w14:paraId="67C272F6" w14:textId="216241E4"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Warrnambool C</w:t>
            </w:r>
          </w:p>
        </w:tc>
        <w:tc>
          <w:tcPr>
            <w:tcW w:w="2025" w:type="dxa"/>
            <w:gridSpan w:val="3"/>
            <w:tcBorders>
              <w:top w:val="single" w:sz="4" w:space="0" w:color="auto"/>
              <w:bottom w:val="single" w:sz="4" w:space="0" w:color="auto"/>
            </w:tcBorders>
            <w:shd w:val="clear" w:color="auto" w:fill="auto"/>
            <w:vAlign w:val="center"/>
          </w:tcPr>
          <w:p w14:paraId="29C143E6" w14:textId="5186809F"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Warrnambool C (Wave Campus)</w:t>
            </w:r>
          </w:p>
        </w:tc>
        <w:tc>
          <w:tcPr>
            <w:tcW w:w="1900" w:type="dxa"/>
            <w:tcBorders>
              <w:top w:val="single" w:sz="4" w:space="0" w:color="auto"/>
              <w:bottom w:val="single" w:sz="4" w:space="0" w:color="auto"/>
            </w:tcBorders>
            <w:shd w:val="clear" w:color="auto" w:fill="auto"/>
            <w:vAlign w:val="center"/>
          </w:tcPr>
          <w:p w14:paraId="7656A40B" w14:textId="300147D4"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Watsonia North PS</w:t>
            </w:r>
          </w:p>
        </w:tc>
      </w:tr>
      <w:tr w:rsidR="00A5305E" w:rsidRPr="005734B8" w14:paraId="3FE8D3E7"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06BBDD5" w14:textId="62160A99"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Watsonia PS</w:t>
            </w:r>
          </w:p>
        </w:tc>
        <w:tc>
          <w:tcPr>
            <w:tcW w:w="1962" w:type="dxa"/>
            <w:gridSpan w:val="2"/>
            <w:tcBorders>
              <w:top w:val="single" w:sz="4" w:space="0" w:color="auto"/>
              <w:bottom w:val="single" w:sz="4" w:space="0" w:color="auto"/>
            </w:tcBorders>
            <w:vAlign w:val="center"/>
          </w:tcPr>
          <w:p w14:paraId="005E695A" w14:textId="02A18CF1"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Wattle Glen PS</w:t>
            </w:r>
          </w:p>
        </w:tc>
        <w:tc>
          <w:tcPr>
            <w:tcW w:w="2025" w:type="dxa"/>
            <w:gridSpan w:val="3"/>
            <w:tcBorders>
              <w:top w:val="single" w:sz="4" w:space="0" w:color="auto"/>
              <w:bottom w:val="single" w:sz="4" w:space="0" w:color="auto"/>
            </w:tcBorders>
            <w:shd w:val="clear" w:color="auto" w:fill="auto"/>
            <w:vAlign w:val="center"/>
          </w:tcPr>
          <w:p w14:paraId="40FC546C" w14:textId="0AA8A89C"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Wattle View PS</w:t>
            </w:r>
          </w:p>
        </w:tc>
        <w:tc>
          <w:tcPr>
            <w:tcW w:w="1900" w:type="dxa"/>
            <w:tcBorders>
              <w:top w:val="single" w:sz="4" w:space="0" w:color="auto"/>
              <w:bottom w:val="single" w:sz="4" w:space="0" w:color="auto"/>
            </w:tcBorders>
            <w:shd w:val="clear" w:color="auto" w:fill="auto"/>
            <w:vAlign w:val="center"/>
          </w:tcPr>
          <w:p w14:paraId="2B3F8BF4" w14:textId="03591EDA"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Waubra PS</w:t>
            </w:r>
          </w:p>
        </w:tc>
      </w:tr>
      <w:tr w:rsidR="00A5305E" w:rsidRPr="005734B8" w14:paraId="73253091"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6FCA802F" w14:textId="74C518F8"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Waverley Meadows PS</w:t>
            </w:r>
          </w:p>
        </w:tc>
        <w:tc>
          <w:tcPr>
            <w:tcW w:w="1962" w:type="dxa"/>
            <w:gridSpan w:val="2"/>
            <w:tcBorders>
              <w:top w:val="single" w:sz="4" w:space="0" w:color="auto"/>
              <w:bottom w:val="single" w:sz="4" w:space="0" w:color="auto"/>
            </w:tcBorders>
            <w:vAlign w:val="center"/>
          </w:tcPr>
          <w:p w14:paraId="46A47D7D" w14:textId="485BCA52"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Wedderburn C</w:t>
            </w:r>
          </w:p>
        </w:tc>
        <w:tc>
          <w:tcPr>
            <w:tcW w:w="2025" w:type="dxa"/>
            <w:gridSpan w:val="3"/>
            <w:tcBorders>
              <w:top w:val="single" w:sz="4" w:space="0" w:color="auto"/>
              <w:bottom w:val="single" w:sz="4" w:space="0" w:color="auto"/>
            </w:tcBorders>
            <w:shd w:val="clear" w:color="auto" w:fill="auto"/>
            <w:vAlign w:val="center"/>
          </w:tcPr>
          <w:p w14:paraId="2F6F0C56" w14:textId="046D78BF"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Wedge Park PS</w:t>
            </w:r>
          </w:p>
        </w:tc>
        <w:tc>
          <w:tcPr>
            <w:tcW w:w="1900" w:type="dxa"/>
            <w:tcBorders>
              <w:top w:val="single" w:sz="4" w:space="0" w:color="auto"/>
              <w:bottom w:val="single" w:sz="4" w:space="0" w:color="auto"/>
            </w:tcBorders>
            <w:shd w:val="clear" w:color="auto" w:fill="auto"/>
            <w:vAlign w:val="center"/>
          </w:tcPr>
          <w:p w14:paraId="5239169C" w14:textId="76BDD967"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Wellington SC</w:t>
            </w:r>
          </w:p>
        </w:tc>
      </w:tr>
      <w:tr w:rsidR="00A5305E" w:rsidRPr="005734B8" w14:paraId="50AAA751"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F616472" w14:textId="3DE1B993"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Wembley PS</w:t>
            </w:r>
          </w:p>
        </w:tc>
        <w:tc>
          <w:tcPr>
            <w:tcW w:w="1962" w:type="dxa"/>
            <w:gridSpan w:val="2"/>
            <w:tcBorders>
              <w:top w:val="single" w:sz="4" w:space="0" w:color="auto"/>
              <w:bottom w:val="single" w:sz="4" w:space="0" w:color="auto"/>
            </w:tcBorders>
            <w:vAlign w:val="center"/>
          </w:tcPr>
          <w:p w14:paraId="2657152D" w14:textId="17990C81"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Werribee PS</w:t>
            </w:r>
          </w:p>
        </w:tc>
        <w:tc>
          <w:tcPr>
            <w:tcW w:w="2025" w:type="dxa"/>
            <w:gridSpan w:val="3"/>
            <w:tcBorders>
              <w:top w:val="single" w:sz="4" w:space="0" w:color="auto"/>
              <w:bottom w:val="single" w:sz="4" w:space="0" w:color="auto"/>
            </w:tcBorders>
            <w:shd w:val="clear" w:color="auto" w:fill="auto"/>
            <w:vAlign w:val="center"/>
          </w:tcPr>
          <w:p w14:paraId="75D415D1" w14:textId="65816B01"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Werribee SC</w:t>
            </w:r>
          </w:p>
        </w:tc>
        <w:tc>
          <w:tcPr>
            <w:tcW w:w="1900" w:type="dxa"/>
            <w:tcBorders>
              <w:top w:val="single" w:sz="4" w:space="0" w:color="auto"/>
              <w:bottom w:val="single" w:sz="4" w:space="0" w:color="auto"/>
            </w:tcBorders>
            <w:shd w:val="clear" w:color="auto" w:fill="auto"/>
            <w:vAlign w:val="center"/>
          </w:tcPr>
          <w:p w14:paraId="6455F526" w14:textId="61CEA591"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Werrimull P</w:t>
            </w:r>
            <w:r w:rsidR="00104F40" w:rsidRPr="005734B8">
              <w:rPr>
                <w:rFonts w:ascii="Calibri" w:hAnsi="Calibri" w:cs="Calibri"/>
                <w:sz w:val="18"/>
                <w:lang w:val="en-AU"/>
              </w:rPr>
              <w:t>–</w:t>
            </w:r>
            <w:r w:rsidRPr="005734B8">
              <w:rPr>
                <w:rFonts w:ascii="Calibri" w:hAnsi="Calibri" w:cs="Calibri"/>
                <w:sz w:val="18"/>
                <w:lang w:val="en-AU"/>
              </w:rPr>
              <w:t>12 C</w:t>
            </w:r>
          </w:p>
        </w:tc>
      </w:tr>
      <w:tr w:rsidR="00A5305E" w:rsidRPr="005734B8" w14:paraId="318AB939"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64ACBC61" w14:textId="31F08B16"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Westbreen PS</w:t>
            </w:r>
          </w:p>
        </w:tc>
        <w:tc>
          <w:tcPr>
            <w:tcW w:w="1962" w:type="dxa"/>
            <w:gridSpan w:val="2"/>
            <w:tcBorders>
              <w:top w:val="single" w:sz="4" w:space="0" w:color="auto"/>
              <w:bottom w:val="single" w:sz="4" w:space="0" w:color="auto"/>
            </w:tcBorders>
            <w:vAlign w:val="center"/>
          </w:tcPr>
          <w:p w14:paraId="51C3AFE7" w14:textId="74149A7D"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Western Port SC</w:t>
            </w:r>
          </w:p>
        </w:tc>
        <w:tc>
          <w:tcPr>
            <w:tcW w:w="2025" w:type="dxa"/>
            <w:gridSpan w:val="3"/>
            <w:tcBorders>
              <w:top w:val="single" w:sz="4" w:space="0" w:color="auto"/>
              <w:bottom w:val="single" w:sz="4" w:space="0" w:color="auto"/>
            </w:tcBorders>
            <w:shd w:val="clear" w:color="auto" w:fill="auto"/>
            <w:vAlign w:val="center"/>
          </w:tcPr>
          <w:p w14:paraId="5B400283" w14:textId="5577A2E6"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Westgarth PS</w:t>
            </w:r>
          </w:p>
        </w:tc>
        <w:tc>
          <w:tcPr>
            <w:tcW w:w="1900" w:type="dxa"/>
            <w:tcBorders>
              <w:top w:val="single" w:sz="4" w:space="0" w:color="auto"/>
              <w:bottom w:val="single" w:sz="4" w:space="0" w:color="auto"/>
            </w:tcBorders>
            <w:shd w:val="clear" w:color="auto" w:fill="auto"/>
            <w:vAlign w:val="center"/>
          </w:tcPr>
          <w:p w14:paraId="41AD5460" w14:textId="69B12433"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Wheelers Hill PS</w:t>
            </w:r>
          </w:p>
        </w:tc>
      </w:tr>
      <w:tr w:rsidR="00A5305E" w:rsidRPr="005734B8" w14:paraId="6F0ECF6D"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F8C367D" w14:textId="2638758C"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White Hills PS</w:t>
            </w:r>
          </w:p>
        </w:tc>
        <w:tc>
          <w:tcPr>
            <w:tcW w:w="1962" w:type="dxa"/>
            <w:gridSpan w:val="2"/>
            <w:tcBorders>
              <w:top w:val="single" w:sz="4" w:space="0" w:color="auto"/>
              <w:bottom w:val="single" w:sz="4" w:space="0" w:color="auto"/>
            </w:tcBorders>
            <w:vAlign w:val="center"/>
          </w:tcPr>
          <w:p w14:paraId="51134648" w14:textId="5F023388"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Wilandra Rise PS</w:t>
            </w:r>
          </w:p>
        </w:tc>
        <w:tc>
          <w:tcPr>
            <w:tcW w:w="2025" w:type="dxa"/>
            <w:gridSpan w:val="3"/>
            <w:tcBorders>
              <w:top w:val="single" w:sz="4" w:space="0" w:color="auto"/>
              <w:bottom w:val="single" w:sz="4" w:space="0" w:color="auto"/>
            </w:tcBorders>
            <w:shd w:val="clear" w:color="auto" w:fill="auto"/>
            <w:vAlign w:val="center"/>
          </w:tcPr>
          <w:p w14:paraId="6B7C0F12" w14:textId="727FC0AB"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Williamstown HS</w:t>
            </w:r>
          </w:p>
        </w:tc>
        <w:tc>
          <w:tcPr>
            <w:tcW w:w="1900" w:type="dxa"/>
            <w:tcBorders>
              <w:top w:val="single" w:sz="4" w:space="0" w:color="auto"/>
              <w:bottom w:val="single" w:sz="4" w:space="0" w:color="auto"/>
            </w:tcBorders>
            <w:shd w:val="clear" w:color="auto" w:fill="auto"/>
            <w:vAlign w:val="center"/>
          </w:tcPr>
          <w:p w14:paraId="115B1A5B" w14:textId="2A0F5F47"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Williamstown PS</w:t>
            </w:r>
          </w:p>
        </w:tc>
      </w:tr>
      <w:tr w:rsidR="00A5305E" w:rsidRPr="005734B8" w14:paraId="57FA7359"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34C84486" w14:textId="3E27FC91"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Willow Grove PS</w:t>
            </w:r>
          </w:p>
        </w:tc>
        <w:tc>
          <w:tcPr>
            <w:tcW w:w="1962" w:type="dxa"/>
            <w:gridSpan w:val="2"/>
            <w:tcBorders>
              <w:top w:val="single" w:sz="4" w:space="0" w:color="auto"/>
              <w:bottom w:val="single" w:sz="4" w:space="0" w:color="auto"/>
            </w:tcBorders>
            <w:vAlign w:val="center"/>
          </w:tcPr>
          <w:p w14:paraId="01F9A119" w14:textId="1F111B59"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Willowbank PS</w:t>
            </w:r>
          </w:p>
        </w:tc>
        <w:tc>
          <w:tcPr>
            <w:tcW w:w="2025" w:type="dxa"/>
            <w:gridSpan w:val="3"/>
            <w:tcBorders>
              <w:top w:val="single" w:sz="4" w:space="0" w:color="auto"/>
              <w:bottom w:val="single" w:sz="4" w:space="0" w:color="auto"/>
            </w:tcBorders>
            <w:shd w:val="clear" w:color="auto" w:fill="auto"/>
            <w:vAlign w:val="center"/>
          </w:tcPr>
          <w:p w14:paraId="60A5FC72" w14:textId="6E52E28C"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Winchelsea PS</w:t>
            </w:r>
          </w:p>
        </w:tc>
        <w:tc>
          <w:tcPr>
            <w:tcW w:w="1900" w:type="dxa"/>
            <w:tcBorders>
              <w:top w:val="single" w:sz="4" w:space="0" w:color="auto"/>
              <w:bottom w:val="single" w:sz="4" w:space="0" w:color="auto"/>
            </w:tcBorders>
            <w:shd w:val="clear" w:color="auto" w:fill="auto"/>
            <w:vAlign w:val="center"/>
          </w:tcPr>
          <w:p w14:paraId="5AD27C61" w14:textId="7CC9FE0E"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Windsor PS</w:t>
            </w:r>
          </w:p>
        </w:tc>
      </w:tr>
      <w:tr w:rsidR="00A5305E" w:rsidRPr="005734B8" w14:paraId="25D6A4D2"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BB9B2A2" w14:textId="367DCB9B"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Wodonga Senior SC</w:t>
            </w:r>
          </w:p>
        </w:tc>
        <w:tc>
          <w:tcPr>
            <w:tcW w:w="1962" w:type="dxa"/>
            <w:gridSpan w:val="2"/>
            <w:tcBorders>
              <w:top w:val="single" w:sz="4" w:space="0" w:color="auto"/>
              <w:bottom w:val="single" w:sz="4" w:space="0" w:color="auto"/>
            </w:tcBorders>
            <w:vAlign w:val="center"/>
          </w:tcPr>
          <w:p w14:paraId="2E06CF0A" w14:textId="12F8BF72"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Wollert East PS</w:t>
            </w:r>
          </w:p>
        </w:tc>
        <w:tc>
          <w:tcPr>
            <w:tcW w:w="2025" w:type="dxa"/>
            <w:gridSpan w:val="3"/>
            <w:tcBorders>
              <w:top w:val="single" w:sz="4" w:space="0" w:color="auto"/>
              <w:bottom w:val="single" w:sz="4" w:space="0" w:color="auto"/>
            </w:tcBorders>
            <w:shd w:val="clear" w:color="auto" w:fill="auto"/>
            <w:vAlign w:val="center"/>
          </w:tcPr>
          <w:p w14:paraId="56417278" w14:textId="6BD52C7D"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Wonga Park PS</w:t>
            </w:r>
          </w:p>
        </w:tc>
        <w:tc>
          <w:tcPr>
            <w:tcW w:w="1900" w:type="dxa"/>
            <w:tcBorders>
              <w:top w:val="single" w:sz="4" w:space="0" w:color="auto"/>
              <w:bottom w:val="single" w:sz="4" w:space="0" w:color="auto"/>
            </w:tcBorders>
            <w:shd w:val="clear" w:color="auto" w:fill="auto"/>
            <w:vAlign w:val="center"/>
          </w:tcPr>
          <w:p w14:paraId="27D15C82" w14:textId="6C189A77"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Wonthaggi North PS</w:t>
            </w:r>
          </w:p>
        </w:tc>
      </w:tr>
      <w:tr w:rsidR="00A5305E" w:rsidRPr="005734B8" w14:paraId="414C7DBC"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DFB516E" w14:textId="2E8077E7"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Wonthaggi PS</w:t>
            </w:r>
          </w:p>
        </w:tc>
        <w:tc>
          <w:tcPr>
            <w:tcW w:w="1962" w:type="dxa"/>
            <w:gridSpan w:val="2"/>
            <w:tcBorders>
              <w:top w:val="single" w:sz="4" w:space="0" w:color="auto"/>
              <w:bottom w:val="single" w:sz="4" w:space="0" w:color="auto"/>
            </w:tcBorders>
            <w:vAlign w:val="center"/>
          </w:tcPr>
          <w:p w14:paraId="3D6FBB75" w14:textId="1184B442"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Wonthaggi SC</w:t>
            </w:r>
          </w:p>
        </w:tc>
        <w:tc>
          <w:tcPr>
            <w:tcW w:w="2025" w:type="dxa"/>
            <w:gridSpan w:val="3"/>
            <w:tcBorders>
              <w:top w:val="single" w:sz="4" w:space="0" w:color="auto"/>
              <w:bottom w:val="single" w:sz="4" w:space="0" w:color="auto"/>
            </w:tcBorders>
            <w:shd w:val="clear" w:color="auto" w:fill="auto"/>
            <w:vAlign w:val="center"/>
          </w:tcPr>
          <w:p w14:paraId="027750D3" w14:textId="2B040B90"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Woodend PS</w:t>
            </w:r>
          </w:p>
        </w:tc>
        <w:tc>
          <w:tcPr>
            <w:tcW w:w="1900" w:type="dxa"/>
            <w:tcBorders>
              <w:top w:val="single" w:sz="4" w:space="0" w:color="auto"/>
              <w:bottom w:val="single" w:sz="4" w:space="0" w:color="auto"/>
            </w:tcBorders>
            <w:shd w:val="clear" w:color="auto" w:fill="auto"/>
            <w:vAlign w:val="center"/>
          </w:tcPr>
          <w:p w14:paraId="36644F8C" w14:textId="553C6702"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Woodlands PS</w:t>
            </w:r>
          </w:p>
        </w:tc>
      </w:tr>
      <w:tr w:rsidR="00A5305E" w:rsidRPr="005734B8" w14:paraId="749800F9"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D3637DC" w14:textId="066A3F21"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Woodmans Hill SC</w:t>
            </w:r>
          </w:p>
        </w:tc>
        <w:tc>
          <w:tcPr>
            <w:tcW w:w="1962" w:type="dxa"/>
            <w:gridSpan w:val="2"/>
            <w:tcBorders>
              <w:top w:val="single" w:sz="4" w:space="0" w:color="auto"/>
              <w:bottom w:val="single" w:sz="4" w:space="0" w:color="auto"/>
            </w:tcBorders>
            <w:vAlign w:val="center"/>
          </w:tcPr>
          <w:p w14:paraId="7409B442" w14:textId="35049368"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Woodside PS</w:t>
            </w:r>
          </w:p>
        </w:tc>
        <w:tc>
          <w:tcPr>
            <w:tcW w:w="2025" w:type="dxa"/>
            <w:gridSpan w:val="3"/>
            <w:tcBorders>
              <w:top w:val="single" w:sz="4" w:space="0" w:color="auto"/>
              <w:bottom w:val="single" w:sz="4" w:space="0" w:color="auto"/>
            </w:tcBorders>
            <w:shd w:val="clear" w:color="auto" w:fill="auto"/>
            <w:vAlign w:val="center"/>
          </w:tcPr>
          <w:p w14:paraId="335530CD" w14:textId="0B97BC06"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Wooranna Park PS</w:t>
            </w:r>
          </w:p>
        </w:tc>
        <w:tc>
          <w:tcPr>
            <w:tcW w:w="1900" w:type="dxa"/>
            <w:tcBorders>
              <w:top w:val="single" w:sz="4" w:space="0" w:color="auto"/>
              <w:bottom w:val="single" w:sz="4" w:space="0" w:color="auto"/>
            </w:tcBorders>
            <w:shd w:val="clear" w:color="auto" w:fill="auto"/>
            <w:vAlign w:val="center"/>
          </w:tcPr>
          <w:p w14:paraId="663E06CE" w14:textId="3F30DB62"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 xml:space="preserve">Wycheproof </w:t>
            </w:r>
            <w:r w:rsidR="00E3772C" w:rsidRPr="005734B8">
              <w:rPr>
                <w:rFonts w:ascii="Calibri" w:hAnsi="Calibri" w:cs="Calibri"/>
                <w:sz w:val="18"/>
                <w:lang w:val="en-AU"/>
              </w:rPr>
              <w:t>Early Learning Centre</w:t>
            </w:r>
          </w:p>
        </w:tc>
      </w:tr>
      <w:tr w:rsidR="00A5305E" w:rsidRPr="005734B8" w14:paraId="006F725B"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32DCB6F1" w14:textId="4E82C04F"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Wyndham Central SC</w:t>
            </w:r>
          </w:p>
        </w:tc>
        <w:tc>
          <w:tcPr>
            <w:tcW w:w="1962" w:type="dxa"/>
            <w:gridSpan w:val="2"/>
            <w:tcBorders>
              <w:top w:val="single" w:sz="4" w:space="0" w:color="auto"/>
              <w:bottom w:val="single" w:sz="4" w:space="0" w:color="auto"/>
            </w:tcBorders>
            <w:vAlign w:val="center"/>
          </w:tcPr>
          <w:p w14:paraId="58630DE5" w14:textId="091879D6"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Wyndham Vale PS</w:t>
            </w:r>
          </w:p>
        </w:tc>
        <w:tc>
          <w:tcPr>
            <w:tcW w:w="2025" w:type="dxa"/>
            <w:gridSpan w:val="3"/>
            <w:tcBorders>
              <w:top w:val="single" w:sz="4" w:space="0" w:color="auto"/>
              <w:bottom w:val="single" w:sz="4" w:space="0" w:color="auto"/>
            </w:tcBorders>
            <w:shd w:val="clear" w:color="auto" w:fill="auto"/>
            <w:vAlign w:val="center"/>
          </w:tcPr>
          <w:p w14:paraId="6B18FBEE" w14:textId="0B06AB3C"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Yaapeet PS</w:t>
            </w:r>
          </w:p>
        </w:tc>
        <w:tc>
          <w:tcPr>
            <w:tcW w:w="1900" w:type="dxa"/>
            <w:tcBorders>
              <w:top w:val="single" w:sz="4" w:space="0" w:color="auto"/>
              <w:bottom w:val="single" w:sz="4" w:space="0" w:color="auto"/>
            </w:tcBorders>
            <w:shd w:val="clear" w:color="auto" w:fill="auto"/>
            <w:vAlign w:val="center"/>
          </w:tcPr>
          <w:p w14:paraId="3885CF53" w14:textId="19E3E1E2"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Yarra Glen PS</w:t>
            </w:r>
          </w:p>
        </w:tc>
      </w:tr>
      <w:tr w:rsidR="00A5305E" w:rsidRPr="005734B8" w14:paraId="3E4B4A94"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6DAA98D2" w14:textId="6978DDFD"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Yarra Me School</w:t>
            </w:r>
          </w:p>
        </w:tc>
        <w:tc>
          <w:tcPr>
            <w:tcW w:w="1962" w:type="dxa"/>
            <w:gridSpan w:val="2"/>
            <w:tcBorders>
              <w:top w:val="single" w:sz="4" w:space="0" w:color="auto"/>
              <w:bottom w:val="single" w:sz="4" w:space="0" w:color="auto"/>
            </w:tcBorders>
            <w:vAlign w:val="center"/>
          </w:tcPr>
          <w:p w14:paraId="44B5A361" w14:textId="5CE92506"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Yarra Ranges SDS</w:t>
            </w:r>
          </w:p>
        </w:tc>
        <w:tc>
          <w:tcPr>
            <w:tcW w:w="2025" w:type="dxa"/>
            <w:gridSpan w:val="3"/>
            <w:tcBorders>
              <w:top w:val="single" w:sz="4" w:space="0" w:color="auto"/>
              <w:bottom w:val="single" w:sz="4" w:space="0" w:color="auto"/>
            </w:tcBorders>
            <w:shd w:val="clear" w:color="auto" w:fill="auto"/>
            <w:vAlign w:val="center"/>
          </w:tcPr>
          <w:p w14:paraId="07499A15" w14:textId="773E4984"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Yarrabah S</w:t>
            </w:r>
          </w:p>
        </w:tc>
        <w:tc>
          <w:tcPr>
            <w:tcW w:w="1900" w:type="dxa"/>
            <w:tcBorders>
              <w:top w:val="single" w:sz="4" w:space="0" w:color="auto"/>
              <w:bottom w:val="single" w:sz="4" w:space="0" w:color="auto"/>
            </w:tcBorders>
            <w:shd w:val="clear" w:color="auto" w:fill="auto"/>
            <w:vAlign w:val="center"/>
          </w:tcPr>
          <w:p w14:paraId="2DA8C2F0" w14:textId="2B975433" w:rsidR="00A5305E" w:rsidRPr="005734B8" w:rsidRDefault="00A5305E" w:rsidP="00A5305E">
            <w:pPr>
              <w:pStyle w:val="ESTablebody"/>
              <w:spacing w:before="60" w:afterLines="60" w:after="144"/>
              <w:rPr>
                <w:rFonts w:ascii="Calibri" w:hAnsi="Calibri" w:cs="Calibri"/>
                <w:sz w:val="18"/>
                <w:lang w:val="en-AU"/>
              </w:rPr>
            </w:pPr>
            <w:r w:rsidRPr="005734B8">
              <w:rPr>
                <w:rFonts w:ascii="Calibri" w:hAnsi="Calibri" w:cs="Calibri"/>
                <w:sz w:val="18"/>
                <w:lang w:val="en-AU"/>
              </w:rPr>
              <w:t>Yarragon PS</w:t>
            </w:r>
          </w:p>
        </w:tc>
      </w:tr>
      <w:tr w:rsidR="00A5305E" w:rsidRPr="005734B8" w14:paraId="303247A3" w14:textId="77777777" w:rsidTr="00A5305E">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A752B9D" w14:textId="13F314FB" w:rsidR="00A5305E" w:rsidRPr="005734B8" w:rsidRDefault="00A5305E" w:rsidP="00A5305E">
            <w:pPr>
              <w:pStyle w:val="ESTablebody"/>
              <w:spacing w:before="60" w:afterLines="60" w:after="144"/>
              <w:rPr>
                <w:rFonts w:ascii="Calibri" w:eastAsia="Calibri" w:hAnsi="Calibri" w:cs="Calibri"/>
                <w:sz w:val="18"/>
                <w:lang w:val="en-AU"/>
              </w:rPr>
            </w:pPr>
            <w:r w:rsidRPr="005734B8">
              <w:rPr>
                <w:rFonts w:ascii="Calibri" w:eastAsia="Calibri" w:hAnsi="Calibri" w:cs="Calibri"/>
                <w:sz w:val="18"/>
                <w:lang w:val="en-AU"/>
              </w:rPr>
              <w:t>Yarraville SDS</w:t>
            </w:r>
          </w:p>
        </w:tc>
        <w:tc>
          <w:tcPr>
            <w:tcW w:w="1962" w:type="dxa"/>
            <w:gridSpan w:val="2"/>
            <w:tcBorders>
              <w:top w:val="single" w:sz="4" w:space="0" w:color="auto"/>
              <w:bottom w:val="single" w:sz="4" w:space="0" w:color="auto"/>
            </w:tcBorders>
            <w:vAlign w:val="center"/>
          </w:tcPr>
          <w:p w14:paraId="4C16EE13" w14:textId="1EF8334B" w:rsidR="00A5305E" w:rsidRPr="005734B8" w:rsidRDefault="00A5305E" w:rsidP="00A5305E">
            <w:pPr>
              <w:pStyle w:val="ESTablebody"/>
              <w:spacing w:before="60" w:afterLines="60" w:after="144"/>
              <w:rPr>
                <w:rFonts w:ascii="Calibri" w:hAnsi="Calibri" w:cs="Calibri"/>
                <w:color w:val="000000"/>
                <w:sz w:val="18"/>
              </w:rPr>
            </w:pPr>
            <w:r w:rsidRPr="005734B8">
              <w:rPr>
                <w:rFonts w:ascii="Calibri" w:hAnsi="Calibri" w:cs="Calibri"/>
                <w:color w:val="000000"/>
                <w:sz w:val="18"/>
              </w:rPr>
              <w:t>Yarrawonga P</w:t>
            </w:r>
            <w:r w:rsidR="00E3772C" w:rsidRPr="005734B8">
              <w:rPr>
                <w:rFonts w:ascii="Calibri" w:hAnsi="Calibri" w:cs="Calibri"/>
                <w:sz w:val="18"/>
                <w:lang w:val="en-AU"/>
              </w:rPr>
              <w:t>–</w:t>
            </w:r>
            <w:r w:rsidRPr="005734B8">
              <w:rPr>
                <w:rFonts w:ascii="Calibri" w:hAnsi="Calibri" w:cs="Calibri"/>
                <w:color w:val="000000"/>
                <w:sz w:val="18"/>
              </w:rPr>
              <w:t>12 C</w:t>
            </w:r>
          </w:p>
        </w:tc>
        <w:tc>
          <w:tcPr>
            <w:tcW w:w="2025" w:type="dxa"/>
            <w:gridSpan w:val="3"/>
            <w:tcBorders>
              <w:top w:val="single" w:sz="4" w:space="0" w:color="auto"/>
              <w:bottom w:val="single" w:sz="4" w:space="0" w:color="auto"/>
            </w:tcBorders>
            <w:shd w:val="clear" w:color="auto" w:fill="auto"/>
            <w:vAlign w:val="center"/>
          </w:tcPr>
          <w:p w14:paraId="26B83DC5" w14:textId="77777777" w:rsidR="00A5305E" w:rsidRPr="005734B8" w:rsidRDefault="00A5305E" w:rsidP="00A5305E">
            <w:pPr>
              <w:pStyle w:val="ESTablebody"/>
              <w:spacing w:before="60" w:afterLines="60" w:after="144"/>
              <w:rPr>
                <w:rFonts w:ascii="Calibri" w:hAnsi="Calibri" w:cs="Calibri"/>
                <w:sz w:val="18"/>
                <w:lang w:val="en-AU"/>
              </w:rPr>
            </w:pPr>
          </w:p>
        </w:tc>
        <w:tc>
          <w:tcPr>
            <w:tcW w:w="1900" w:type="dxa"/>
            <w:tcBorders>
              <w:top w:val="single" w:sz="4" w:space="0" w:color="auto"/>
              <w:bottom w:val="single" w:sz="4" w:space="0" w:color="auto"/>
            </w:tcBorders>
            <w:shd w:val="clear" w:color="auto" w:fill="auto"/>
            <w:vAlign w:val="center"/>
          </w:tcPr>
          <w:p w14:paraId="05267A66" w14:textId="77777777" w:rsidR="00A5305E" w:rsidRPr="005734B8" w:rsidRDefault="00A5305E" w:rsidP="00A5305E">
            <w:pPr>
              <w:pStyle w:val="ESTablebody"/>
              <w:spacing w:before="60" w:afterLines="60" w:after="144"/>
              <w:rPr>
                <w:rFonts w:ascii="Calibri" w:hAnsi="Calibri" w:cs="Calibri"/>
                <w:sz w:val="18"/>
                <w:lang w:val="en-AU"/>
              </w:rPr>
            </w:pPr>
          </w:p>
        </w:tc>
      </w:tr>
    </w:tbl>
    <w:p w14:paraId="050A957F" w14:textId="6D3794DD" w:rsidR="00CA4DA4" w:rsidRPr="005734B8" w:rsidRDefault="00CA4DA4" w:rsidP="00CA4DA4">
      <w:pPr>
        <w:pStyle w:val="ESHeading3"/>
        <w:ind w:left="0" w:firstLine="0"/>
        <w:rPr>
          <w:rFonts w:ascii="Calibri" w:hAnsi="Calibri" w:cs="Calibri"/>
        </w:rPr>
      </w:pPr>
      <w:bookmarkStart w:id="890" w:name="_Toc11158261"/>
      <w:bookmarkStart w:id="891" w:name="_Toc11336268"/>
      <w:bookmarkStart w:id="892" w:name="_Toc14965494"/>
      <w:bookmarkStart w:id="893" w:name="_Toc19272073"/>
      <w:bookmarkStart w:id="894" w:name="_Toc19272439"/>
      <w:bookmarkStart w:id="895" w:name="_Toc19273774"/>
      <w:r w:rsidRPr="005734B8">
        <w:rPr>
          <w:rFonts w:ascii="Calibri" w:hAnsi="Calibri" w:cs="Calibri"/>
        </w:rPr>
        <w:lastRenderedPageBreak/>
        <w:t>N</w:t>
      </w:r>
      <w:r w:rsidRPr="005734B8">
        <w:rPr>
          <w:rFonts w:ascii="Calibri" w:hAnsi="Calibri" w:cs="Calibri"/>
          <w:lang w:val="en-AU"/>
        </w:rPr>
        <w:t>umber of building permits, occupancy permits</w:t>
      </w:r>
      <w:r w:rsidR="00793897" w:rsidRPr="005734B8">
        <w:rPr>
          <w:rFonts w:ascii="Calibri" w:hAnsi="Calibri" w:cs="Calibri"/>
          <w:lang w:val="en-AU"/>
        </w:rPr>
        <w:t>,</w:t>
      </w:r>
      <w:r w:rsidRPr="005734B8">
        <w:rPr>
          <w:rFonts w:ascii="Calibri" w:hAnsi="Calibri" w:cs="Calibri"/>
          <w:lang w:val="en-AU"/>
        </w:rPr>
        <w:t xml:space="preserve"> or certificate</w:t>
      </w:r>
      <w:r w:rsidR="001E6B54" w:rsidRPr="005734B8">
        <w:rPr>
          <w:rFonts w:ascii="Calibri" w:hAnsi="Calibri" w:cs="Calibri"/>
          <w:lang w:val="en-AU"/>
        </w:rPr>
        <w:t>s</w:t>
      </w:r>
      <w:r w:rsidRPr="005734B8">
        <w:rPr>
          <w:rFonts w:ascii="Calibri" w:hAnsi="Calibri" w:cs="Calibri"/>
          <w:lang w:val="en-AU"/>
        </w:rPr>
        <w:t xml:space="preserve"> of final inspection issued in relation to buildings owned by the </w:t>
      </w:r>
      <w:r w:rsidR="00740B1E" w:rsidRPr="005734B8">
        <w:rPr>
          <w:rFonts w:ascii="Calibri" w:hAnsi="Calibri" w:cs="Calibri"/>
          <w:lang w:val="en-AU"/>
        </w:rPr>
        <w:t>D</w:t>
      </w:r>
      <w:r w:rsidRPr="005734B8">
        <w:rPr>
          <w:rFonts w:ascii="Calibri" w:hAnsi="Calibri" w:cs="Calibri"/>
          <w:lang w:val="en-AU"/>
        </w:rPr>
        <w:t>epartment</w:t>
      </w:r>
      <w:bookmarkEnd w:id="890"/>
      <w:bookmarkEnd w:id="891"/>
      <w:bookmarkEnd w:id="892"/>
      <w:bookmarkEnd w:id="893"/>
      <w:bookmarkEnd w:id="894"/>
      <w:bookmarkEnd w:id="895"/>
      <w:r w:rsidRPr="005734B8">
        <w:rPr>
          <w:rFonts w:ascii="Calibri" w:hAnsi="Calibri" w:cs="Calibri"/>
        </w:rPr>
        <w:t xml:space="preserve"> </w:t>
      </w:r>
    </w:p>
    <w:p w14:paraId="36F35490" w14:textId="7FB1674E" w:rsidR="00887AFB" w:rsidRPr="005734B8" w:rsidRDefault="00887AFB" w:rsidP="00887AFB">
      <w:pPr>
        <w:rPr>
          <w:rFonts w:ascii="Calibri" w:hAnsi="Calibri" w:cs="Calibri"/>
        </w:rPr>
      </w:pPr>
      <w:bookmarkStart w:id="896" w:name="_Toc11158262"/>
      <w:bookmarkStart w:id="897" w:name="_Toc11336269"/>
      <w:bookmarkStart w:id="898" w:name="_Toc14965495"/>
      <w:bookmarkStart w:id="899" w:name="_Toc19272074"/>
      <w:bookmarkStart w:id="900" w:name="_Toc19272440"/>
      <w:bookmarkStart w:id="901" w:name="_Toc19273775"/>
      <w:r w:rsidRPr="005734B8">
        <w:rPr>
          <w:rFonts w:ascii="Calibri" w:hAnsi="Calibri" w:cs="Calibri"/>
        </w:rPr>
        <w:t>During 20</w:t>
      </w:r>
      <w:r w:rsidR="004458C5" w:rsidRPr="005734B8">
        <w:rPr>
          <w:rFonts w:ascii="Calibri" w:hAnsi="Calibri" w:cs="Calibri"/>
        </w:rPr>
        <w:t>20</w:t>
      </w:r>
      <w:r w:rsidR="0001047D" w:rsidRPr="005734B8">
        <w:rPr>
          <w:rFonts w:ascii="Calibri" w:hAnsi="Calibri" w:cs="Calibri"/>
        </w:rPr>
        <w:t>–</w:t>
      </w:r>
      <w:r w:rsidRPr="005734B8">
        <w:rPr>
          <w:rFonts w:ascii="Calibri" w:hAnsi="Calibri" w:cs="Calibri"/>
        </w:rPr>
        <w:t>2</w:t>
      </w:r>
      <w:r w:rsidR="004458C5" w:rsidRPr="005734B8">
        <w:rPr>
          <w:rFonts w:ascii="Calibri" w:hAnsi="Calibri" w:cs="Calibri"/>
        </w:rPr>
        <w:t>1</w:t>
      </w:r>
      <w:r w:rsidRPr="005734B8">
        <w:rPr>
          <w:rFonts w:ascii="Calibri" w:hAnsi="Calibri" w:cs="Calibri"/>
        </w:rPr>
        <w:t xml:space="preserve"> the Department had </w:t>
      </w:r>
      <w:r w:rsidR="004458C5" w:rsidRPr="005734B8">
        <w:rPr>
          <w:rFonts w:ascii="Calibri" w:hAnsi="Calibri" w:cs="Calibri"/>
        </w:rPr>
        <w:t>162</w:t>
      </w:r>
      <w:r w:rsidRPr="005734B8">
        <w:rPr>
          <w:rFonts w:ascii="Calibri" w:hAnsi="Calibri" w:cs="Calibri"/>
        </w:rPr>
        <w:t xml:space="preserve"> building permits, </w:t>
      </w:r>
      <w:r w:rsidR="004458C5" w:rsidRPr="005734B8">
        <w:rPr>
          <w:rFonts w:ascii="Calibri" w:hAnsi="Calibri" w:cs="Calibri"/>
        </w:rPr>
        <w:t>68</w:t>
      </w:r>
      <w:r w:rsidRPr="005734B8">
        <w:rPr>
          <w:rFonts w:ascii="Calibri" w:hAnsi="Calibri" w:cs="Calibri"/>
        </w:rPr>
        <w:t xml:space="preserve"> occupancy permits, and </w:t>
      </w:r>
      <w:r w:rsidR="004458C5" w:rsidRPr="005734B8">
        <w:rPr>
          <w:rFonts w:ascii="Calibri" w:hAnsi="Calibri" w:cs="Calibri"/>
        </w:rPr>
        <w:t>54</w:t>
      </w:r>
      <w:r w:rsidRPr="005734B8">
        <w:rPr>
          <w:rFonts w:ascii="Calibri" w:hAnsi="Calibri" w:cs="Calibri"/>
        </w:rPr>
        <w:t xml:space="preserve"> certificates of final inspection issued.</w:t>
      </w:r>
    </w:p>
    <w:p w14:paraId="1D44331F" w14:textId="06FC9571" w:rsidR="00CA4DA4" w:rsidRPr="005734B8" w:rsidRDefault="00CA4DA4" w:rsidP="00CA4DA4">
      <w:pPr>
        <w:pStyle w:val="ESHeading3"/>
        <w:ind w:left="0" w:firstLine="0"/>
        <w:rPr>
          <w:rFonts w:ascii="Calibri" w:hAnsi="Calibri" w:cs="Calibri"/>
        </w:rPr>
      </w:pPr>
      <w:r w:rsidRPr="005734B8">
        <w:rPr>
          <w:rFonts w:ascii="Calibri" w:hAnsi="Calibri" w:cs="Calibri"/>
        </w:rPr>
        <w:t>Mechanisms for inspection, reporting, scheduling and carrying out of maintenance works on existing buildings</w:t>
      </w:r>
      <w:bookmarkEnd w:id="896"/>
      <w:bookmarkEnd w:id="897"/>
      <w:bookmarkEnd w:id="898"/>
      <w:bookmarkEnd w:id="899"/>
      <w:bookmarkEnd w:id="900"/>
      <w:bookmarkEnd w:id="901"/>
      <w:r w:rsidRPr="005734B8">
        <w:rPr>
          <w:rFonts w:ascii="Calibri" w:hAnsi="Calibri" w:cs="Calibri"/>
        </w:rPr>
        <w:t xml:space="preserve"> </w:t>
      </w:r>
    </w:p>
    <w:p w14:paraId="3E9E8EE4" w14:textId="18E2C1C5" w:rsidR="00DD2536" w:rsidRPr="005734B8" w:rsidRDefault="00DD2536" w:rsidP="00FD345D">
      <w:pPr>
        <w:rPr>
          <w:rFonts w:ascii="Calibri" w:hAnsi="Calibri" w:cs="Calibri"/>
        </w:rPr>
      </w:pPr>
      <w:bookmarkStart w:id="902" w:name="_Toc11158263"/>
      <w:bookmarkStart w:id="903" w:name="_Toc11336270"/>
      <w:bookmarkStart w:id="904" w:name="_Toc14965496"/>
      <w:r w:rsidRPr="005734B8">
        <w:rPr>
          <w:rFonts w:ascii="Calibri" w:hAnsi="Calibri" w:cs="Calibri"/>
        </w:rPr>
        <w:t xml:space="preserve">The Department engages compliance program managers to carry out inspections, reporting, scheduling, and rectification works to </w:t>
      </w:r>
      <w:r w:rsidR="00FA2AE4" w:rsidRPr="005734B8">
        <w:rPr>
          <w:rFonts w:ascii="Calibri" w:hAnsi="Calibri" w:cs="Calibri"/>
        </w:rPr>
        <w:t>ensure</w:t>
      </w:r>
      <w:r w:rsidRPr="005734B8">
        <w:rPr>
          <w:rFonts w:ascii="Calibri" w:hAnsi="Calibri" w:cs="Calibri"/>
        </w:rPr>
        <w:t xml:space="preserve"> </w:t>
      </w:r>
      <w:r w:rsidR="00E3772C" w:rsidRPr="005734B8">
        <w:rPr>
          <w:rFonts w:ascii="Calibri" w:hAnsi="Calibri" w:cs="Calibri"/>
        </w:rPr>
        <w:t>that</w:t>
      </w:r>
      <w:r w:rsidRPr="005734B8">
        <w:rPr>
          <w:rFonts w:ascii="Calibri" w:hAnsi="Calibri" w:cs="Calibri"/>
        </w:rPr>
        <w:t xml:space="preserve"> existing buildings compl</w:t>
      </w:r>
      <w:r w:rsidR="00FA2AE4" w:rsidRPr="005734B8">
        <w:rPr>
          <w:rFonts w:ascii="Calibri" w:hAnsi="Calibri" w:cs="Calibri"/>
        </w:rPr>
        <w:t>y</w:t>
      </w:r>
      <w:r w:rsidRPr="005734B8">
        <w:rPr>
          <w:rFonts w:ascii="Calibri" w:hAnsi="Calibri" w:cs="Calibri"/>
        </w:rPr>
        <w:t xml:space="preserve"> with current building regulations. Compliance programs cover areas such as asbestos removal, fire service upgrades, integration (disability access), environmental </w:t>
      </w:r>
      <w:r w:rsidR="00740B1E" w:rsidRPr="005734B8">
        <w:rPr>
          <w:rFonts w:ascii="Calibri" w:hAnsi="Calibri" w:cs="Calibri"/>
        </w:rPr>
        <w:t xml:space="preserve">works </w:t>
      </w:r>
      <w:r w:rsidRPr="005734B8">
        <w:rPr>
          <w:rFonts w:ascii="Calibri" w:hAnsi="Calibri" w:cs="Calibri"/>
        </w:rPr>
        <w:t xml:space="preserve">(such as the removal of underground petroleum storage systems) and works aimed at preventing falls. </w:t>
      </w:r>
    </w:p>
    <w:p w14:paraId="37586970" w14:textId="6D765541" w:rsidR="00E56B1C" w:rsidRPr="005734B8" w:rsidRDefault="00E56B1C" w:rsidP="00FD345D">
      <w:pPr>
        <w:rPr>
          <w:rFonts w:ascii="Calibri" w:hAnsi="Calibri" w:cs="Calibri"/>
        </w:rPr>
      </w:pPr>
    </w:p>
    <w:p w14:paraId="6FB1917A" w14:textId="16707755" w:rsidR="00E56B1C" w:rsidRPr="005734B8" w:rsidRDefault="00E56B1C" w:rsidP="00FD345D">
      <w:pPr>
        <w:rPr>
          <w:rFonts w:ascii="Calibri" w:hAnsi="Calibri" w:cs="Calibri"/>
        </w:rPr>
      </w:pPr>
      <w:r w:rsidRPr="005734B8">
        <w:rPr>
          <w:rFonts w:ascii="Calibri" w:hAnsi="Calibri" w:cs="Calibri"/>
        </w:rPr>
        <w:t xml:space="preserve">The Department also operates the </w:t>
      </w:r>
      <w:r w:rsidR="00740B1E" w:rsidRPr="005734B8">
        <w:rPr>
          <w:rFonts w:ascii="Calibri" w:hAnsi="Calibri" w:cs="Calibri"/>
        </w:rPr>
        <w:t>E</w:t>
      </w:r>
      <w:r w:rsidRPr="005734B8">
        <w:rPr>
          <w:rFonts w:ascii="Calibri" w:hAnsi="Calibri" w:cs="Calibri"/>
        </w:rPr>
        <w:t xml:space="preserve">mergency </w:t>
      </w:r>
      <w:r w:rsidR="00740B1E" w:rsidRPr="005734B8">
        <w:rPr>
          <w:rFonts w:ascii="Calibri" w:hAnsi="Calibri" w:cs="Calibri"/>
        </w:rPr>
        <w:t>M</w:t>
      </w:r>
      <w:r w:rsidRPr="005734B8">
        <w:rPr>
          <w:rFonts w:ascii="Calibri" w:hAnsi="Calibri" w:cs="Calibri"/>
        </w:rPr>
        <w:t xml:space="preserve">aintenance and Make Safe </w:t>
      </w:r>
      <w:r w:rsidR="00740B1E" w:rsidRPr="005734B8">
        <w:rPr>
          <w:rFonts w:ascii="Calibri" w:hAnsi="Calibri" w:cs="Calibri"/>
        </w:rPr>
        <w:t>p</w:t>
      </w:r>
      <w:r w:rsidRPr="005734B8">
        <w:rPr>
          <w:rFonts w:ascii="Calibri" w:hAnsi="Calibri" w:cs="Calibri"/>
        </w:rPr>
        <w:t xml:space="preserve">rograms. The Make Safe </w:t>
      </w:r>
      <w:r w:rsidR="00740B1E" w:rsidRPr="005734B8">
        <w:rPr>
          <w:rFonts w:ascii="Calibri" w:hAnsi="Calibri" w:cs="Calibri"/>
        </w:rPr>
        <w:t>p</w:t>
      </w:r>
      <w:r w:rsidRPr="005734B8">
        <w:rPr>
          <w:rFonts w:ascii="Calibri" w:hAnsi="Calibri" w:cs="Calibri"/>
        </w:rPr>
        <w:t xml:space="preserve">rogram involves works to eliminate the risk of immediate hazards resulting from an incident (fire) or event (storm). The Emergency Maintenance </w:t>
      </w:r>
      <w:r w:rsidR="00740B1E" w:rsidRPr="005734B8">
        <w:rPr>
          <w:rFonts w:ascii="Calibri" w:hAnsi="Calibri" w:cs="Calibri"/>
        </w:rPr>
        <w:t>p</w:t>
      </w:r>
      <w:r w:rsidRPr="005734B8">
        <w:rPr>
          <w:rFonts w:ascii="Calibri" w:hAnsi="Calibri" w:cs="Calibri"/>
        </w:rPr>
        <w:t xml:space="preserve">rogram addresses unforeseen, urgent infrastructure maintenance issues </w:t>
      </w:r>
      <w:r w:rsidR="00740B1E" w:rsidRPr="005734B8">
        <w:rPr>
          <w:rFonts w:ascii="Calibri" w:hAnsi="Calibri" w:cs="Calibri"/>
        </w:rPr>
        <w:t>that</w:t>
      </w:r>
      <w:r w:rsidRPr="005734B8">
        <w:rPr>
          <w:rFonts w:ascii="Calibri" w:hAnsi="Calibri" w:cs="Calibri"/>
        </w:rPr>
        <w:t xml:space="preserve"> pose a risk to safety, where schools do not have the financial capacity to rectify the issue.</w:t>
      </w:r>
    </w:p>
    <w:p w14:paraId="66E6E53E" w14:textId="7BC18988" w:rsidR="00CA4DA4" w:rsidRPr="005734B8" w:rsidRDefault="00CA4DA4" w:rsidP="00CA4DA4">
      <w:pPr>
        <w:pStyle w:val="ESHeading3"/>
        <w:ind w:left="0" w:firstLine="0"/>
        <w:rPr>
          <w:rFonts w:ascii="Calibri" w:hAnsi="Calibri" w:cs="Calibri"/>
        </w:rPr>
      </w:pPr>
      <w:bookmarkStart w:id="905" w:name="_Toc19272075"/>
      <w:bookmarkStart w:id="906" w:name="_Toc19272441"/>
      <w:bookmarkStart w:id="907" w:name="_Toc19273776"/>
      <w:r w:rsidRPr="005734B8">
        <w:rPr>
          <w:rFonts w:ascii="Calibri" w:hAnsi="Calibri" w:cs="Calibri"/>
        </w:rPr>
        <w:t>Number of emergency orders and building orders issued in relation to buildings</w:t>
      </w:r>
      <w:bookmarkEnd w:id="902"/>
      <w:bookmarkEnd w:id="903"/>
      <w:bookmarkEnd w:id="904"/>
      <w:bookmarkEnd w:id="905"/>
      <w:bookmarkEnd w:id="906"/>
      <w:bookmarkEnd w:id="907"/>
      <w:r w:rsidRPr="005734B8">
        <w:rPr>
          <w:rFonts w:ascii="Calibri" w:hAnsi="Calibri" w:cs="Calibri"/>
        </w:rPr>
        <w:t xml:space="preserve"> </w:t>
      </w:r>
    </w:p>
    <w:p w14:paraId="42F5785B" w14:textId="7D7668C4" w:rsidR="00CA4DA4" w:rsidRPr="005734B8" w:rsidRDefault="00DD2536" w:rsidP="00CA4DA4">
      <w:pPr>
        <w:rPr>
          <w:rFonts w:ascii="Calibri" w:hAnsi="Calibri" w:cs="Calibri"/>
        </w:rPr>
      </w:pPr>
      <w:r w:rsidRPr="005734B8">
        <w:rPr>
          <w:rFonts w:ascii="Calibri" w:hAnsi="Calibri" w:cs="Calibri"/>
        </w:rPr>
        <w:t>No emergency</w:t>
      </w:r>
      <w:r w:rsidR="00541859" w:rsidRPr="005734B8">
        <w:rPr>
          <w:rFonts w:ascii="Calibri" w:hAnsi="Calibri" w:cs="Calibri"/>
        </w:rPr>
        <w:t xml:space="preserve"> orders or building orders were </w:t>
      </w:r>
      <w:r w:rsidRPr="005734B8">
        <w:rPr>
          <w:rFonts w:ascii="Calibri" w:hAnsi="Calibri" w:cs="Calibri"/>
        </w:rPr>
        <w:t>issued</w:t>
      </w:r>
      <w:r w:rsidR="00541859" w:rsidRPr="005734B8">
        <w:rPr>
          <w:rFonts w:ascii="Calibri" w:hAnsi="Calibri" w:cs="Calibri"/>
        </w:rPr>
        <w:t xml:space="preserve"> in 20</w:t>
      </w:r>
      <w:r w:rsidR="004458C5" w:rsidRPr="005734B8">
        <w:rPr>
          <w:rFonts w:ascii="Calibri" w:hAnsi="Calibri" w:cs="Calibri"/>
        </w:rPr>
        <w:t>20</w:t>
      </w:r>
      <w:r w:rsidR="00541859" w:rsidRPr="005734B8">
        <w:rPr>
          <w:rFonts w:ascii="Calibri" w:hAnsi="Calibri" w:cs="Calibri"/>
        </w:rPr>
        <w:t>–</w:t>
      </w:r>
      <w:r w:rsidR="00E56B1C" w:rsidRPr="005734B8">
        <w:rPr>
          <w:rFonts w:ascii="Calibri" w:hAnsi="Calibri" w:cs="Calibri"/>
        </w:rPr>
        <w:t>2</w:t>
      </w:r>
      <w:r w:rsidR="004458C5" w:rsidRPr="005734B8">
        <w:rPr>
          <w:rFonts w:ascii="Calibri" w:hAnsi="Calibri" w:cs="Calibri"/>
        </w:rPr>
        <w:t>1</w:t>
      </w:r>
      <w:r w:rsidRPr="005734B8">
        <w:rPr>
          <w:rFonts w:ascii="Calibri" w:hAnsi="Calibri" w:cs="Calibri"/>
        </w:rPr>
        <w:t>.</w:t>
      </w:r>
    </w:p>
    <w:p w14:paraId="5E17060F" w14:textId="2DBE6C1D" w:rsidR="00CA4DA4" w:rsidRPr="005734B8" w:rsidRDefault="00CA4DA4" w:rsidP="00CA4DA4">
      <w:pPr>
        <w:pStyle w:val="ESHeading3"/>
        <w:ind w:left="0" w:firstLine="0"/>
        <w:rPr>
          <w:rFonts w:ascii="Calibri" w:hAnsi="Calibri" w:cs="Calibri"/>
        </w:rPr>
      </w:pPr>
      <w:bookmarkStart w:id="908" w:name="_Toc11158264"/>
      <w:bookmarkStart w:id="909" w:name="_Toc11336271"/>
      <w:bookmarkStart w:id="910" w:name="_Toc14965497"/>
      <w:bookmarkStart w:id="911" w:name="_Toc19272076"/>
      <w:bookmarkStart w:id="912" w:name="_Toc19272442"/>
      <w:bookmarkStart w:id="913" w:name="_Toc19273777"/>
      <w:r w:rsidRPr="005734B8">
        <w:rPr>
          <w:rFonts w:ascii="Calibri" w:hAnsi="Calibri" w:cs="Calibri"/>
        </w:rPr>
        <w:t>Number of buildings that have been brought into conformity with building standards during the reporting period</w:t>
      </w:r>
      <w:bookmarkEnd w:id="908"/>
      <w:bookmarkEnd w:id="909"/>
      <w:bookmarkEnd w:id="910"/>
      <w:bookmarkEnd w:id="911"/>
      <w:bookmarkEnd w:id="912"/>
      <w:bookmarkEnd w:id="913"/>
      <w:r w:rsidRPr="005734B8">
        <w:rPr>
          <w:rFonts w:ascii="Calibri" w:hAnsi="Calibri" w:cs="Calibri"/>
        </w:rPr>
        <w:t xml:space="preserve"> </w:t>
      </w:r>
    </w:p>
    <w:p w14:paraId="345066D6" w14:textId="1DDE249F" w:rsidR="00CA4DA4" w:rsidRPr="005734B8" w:rsidRDefault="00541859" w:rsidP="00CA4DA4">
      <w:pPr>
        <w:rPr>
          <w:rFonts w:ascii="Calibri" w:hAnsi="Calibri" w:cs="Calibri"/>
        </w:rPr>
      </w:pPr>
      <w:r w:rsidRPr="005734B8">
        <w:rPr>
          <w:rFonts w:ascii="Calibri" w:hAnsi="Calibri" w:cs="Calibri"/>
        </w:rPr>
        <w:t>During 20</w:t>
      </w:r>
      <w:r w:rsidR="004458C5" w:rsidRPr="005734B8">
        <w:rPr>
          <w:rFonts w:ascii="Calibri" w:hAnsi="Calibri" w:cs="Calibri"/>
        </w:rPr>
        <w:t>20</w:t>
      </w:r>
      <w:r w:rsidRPr="005734B8">
        <w:rPr>
          <w:rFonts w:ascii="Calibri" w:hAnsi="Calibri" w:cs="Calibri"/>
        </w:rPr>
        <w:t>–</w:t>
      </w:r>
      <w:r w:rsidR="00E56B1C" w:rsidRPr="005734B8">
        <w:rPr>
          <w:rFonts w:ascii="Calibri" w:hAnsi="Calibri" w:cs="Calibri"/>
        </w:rPr>
        <w:t>2</w:t>
      </w:r>
      <w:r w:rsidR="004458C5" w:rsidRPr="005734B8">
        <w:rPr>
          <w:rFonts w:ascii="Calibri" w:hAnsi="Calibri" w:cs="Calibri"/>
        </w:rPr>
        <w:t>1</w:t>
      </w:r>
      <w:r w:rsidRPr="005734B8">
        <w:rPr>
          <w:rFonts w:ascii="Calibri" w:hAnsi="Calibri" w:cs="Calibri"/>
        </w:rPr>
        <w:t>, no buildings were required to be brought in</w:t>
      </w:r>
      <w:r w:rsidR="00DD2536" w:rsidRPr="005734B8">
        <w:rPr>
          <w:rFonts w:ascii="Calibri" w:hAnsi="Calibri" w:cs="Calibri"/>
        </w:rPr>
        <w:t>to conformity with building standards.</w:t>
      </w:r>
    </w:p>
    <w:p w14:paraId="0B2D8854" w14:textId="04D8AFBD" w:rsidR="004458C5" w:rsidRPr="005734B8" w:rsidRDefault="004458C5" w:rsidP="004458C5">
      <w:pPr>
        <w:pStyle w:val="ESHeading2"/>
        <w:rPr>
          <w:rFonts w:ascii="Calibri" w:hAnsi="Calibri" w:cs="Calibri"/>
          <w:lang w:val="en-AU" w:eastAsia="en-AU"/>
        </w:rPr>
      </w:pPr>
      <w:bookmarkStart w:id="914" w:name="_Toc71033020"/>
      <w:bookmarkStart w:id="915" w:name="_Toc81315347"/>
      <w:bookmarkStart w:id="916" w:name="_Toc11158266"/>
      <w:bookmarkStart w:id="917" w:name="_Toc11336273"/>
      <w:bookmarkStart w:id="918" w:name="_Toc13656697"/>
      <w:bookmarkStart w:id="919" w:name="_Toc14965499"/>
      <w:bookmarkStart w:id="920" w:name="_Toc15985283"/>
      <w:bookmarkStart w:id="921" w:name="_Toc19272078"/>
      <w:bookmarkStart w:id="922" w:name="_Toc19272444"/>
      <w:bookmarkStart w:id="923" w:name="_Toc19273779"/>
      <w:bookmarkStart w:id="924" w:name="_Toc48402804"/>
      <w:bookmarkStart w:id="925" w:name="_Toc48403041"/>
      <w:bookmarkStart w:id="926" w:name="_Toc51332784"/>
      <w:r w:rsidRPr="005734B8">
        <w:rPr>
          <w:rFonts w:ascii="Calibri" w:hAnsi="Calibri" w:cs="Calibri"/>
          <w:lang w:val="en-AU" w:eastAsia="en-AU"/>
        </w:rPr>
        <w:t xml:space="preserve">Asset Management </w:t>
      </w:r>
      <w:r w:rsidR="00E3772C" w:rsidRPr="005734B8">
        <w:rPr>
          <w:rFonts w:ascii="Calibri" w:hAnsi="Calibri" w:cs="Calibri"/>
          <w:lang w:val="en-AU" w:eastAsia="en-AU"/>
        </w:rPr>
        <w:t xml:space="preserve">Accountability </w:t>
      </w:r>
      <w:r w:rsidRPr="005734B8">
        <w:rPr>
          <w:rFonts w:ascii="Calibri" w:hAnsi="Calibri" w:cs="Calibri"/>
          <w:lang w:val="en-AU" w:eastAsia="en-AU"/>
        </w:rPr>
        <w:t>Framework Maturity Assessment</w:t>
      </w:r>
      <w:bookmarkEnd w:id="914"/>
      <w:bookmarkEnd w:id="915"/>
      <w:r w:rsidRPr="005734B8">
        <w:rPr>
          <w:rFonts w:ascii="Calibri" w:hAnsi="Calibri" w:cs="Calibri"/>
          <w:lang w:val="en-AU" w:eastAsia="en-AU"/>
        </w:rPr>
        <w:t xml:space="preserve"> </w:t>
      </w:r>
    </w:p>
    <w:p w14:paraId="10F5A839" w14:textId="66D0154B" w:rsidR="004458C5" w:rsidRPr="005734B8" w:rsidRDefault="004458C5" w:rsidP="004458C5">
      <w:pPr>
        <w:rPr>
          <w:rFonts w:ascii="Calibri" w:hAnsi="Calibri" w:cs="Calibri"/>
        </w:rPr>
      </w:pPr>
      <w:r w:rsidRPr="005734B8">
        <w:rPr>
          <w:rFonts w:ascii="Calibri" w:hAnsi="Calibri" w:cs="Calibri"/>
        </w:rPr>
        <w:t xml:space="preserve">The following sections summarise the </w:t>
      </w:r>
      <w:r w:rsidR="00E3772C" w:rsidRPr="005734B8">
        <w:rPr>
          <w:rFonts w:ascii="Calibri" w:hAnsi="Calibri" w:cs="Calibri"/>
        </w:rPr>
        <w:t>D</w:t>
      </w:r>
      <w:r w:rsidRPr="005734B8">
        <w:rPr>
          <w:rFonts w:ascii="Calibri" w:hAnsi="Calibri" w:cs="Calibri"/>
        </w:rPr>
        <w:t>epartment</w:t>
      </w:r>
      <w:r w:rsidR="00B15F9A" w:rsidRPr="005734B8">
        <w:rPr>
          <w:rFonts w:ascii="Calibri" w:hAnsi="Calibri" w:cs="Calibri"/>
        </w:rPr>
        <w:t>’</w:t>
      </w:r>
      <w:r w:rsidRPr="005734B8">
        <w:rPr>
          <w:rFonts w:ascii="Calibri" w:hAnsi="Calibri" w:cs="Calibri"/>
        </w:rPr>
        <w:t>s assessment of maturity against the requirements of the Asset Management Accountability Framework (AMAF). The AMAF is a non-prescriptive, devolved accountability model of asset management that requires compliance with 41 mandatory requirements</w:t>
      </w:r>
      <w:r w:rsidR="00D206B5" w:rsidRPr="005734B8">
        <w:rPr>
          <w:rFonts w:ascii="Calibri" w:hAnsi="Calibri" w:cs="Calibri"/>
        </w:rPr>
        <w:t>. Some requirements are broken into sub-requirements, bringing the total number of requirements and sub-requirements to 47</w:t>
      </w:r>
      <w:r w:rsidRPr="005734B8">
        <w:rPr>
          <w:rFonts w:ascii="Calibri" w:hAnsi="Calibri" w:cs="Calibri"/>
        </w:rPr>
        <w:t>. These can be found on the DTF website (</w:t>
      </w:r>
      <w:hyperlink r:id="rId48" w:history="1">
        <w:r w:rsidRPr="005734B8">
          <w:rPr>
            <w:rStyle w:val="Hyperlink"/>
            <w:rFonts w:ascii="Calibri" w:hAnsi="Calibri" w:cs="Calibri"/>
          </w:rPr>
          <w:t>https://www.dtf.vic.gov.au/infrastructure-investment/asset-management-accountability-framework</w:t>
        </w:r>
      </w:hyperlink>
      <w:r w:rsidRPr="005734B8">
        <w:rPr>
          <w:rFonts w:ascii="Calibri" w:hAnsi="Calibri" w:cs="Calibri"/>
        </w:rPr>
        <w:t xml:space="preserve">). </w:t>
      </w:r>
    </w:p>
    <w:p w14:paraId="3B4355C5" w14:textId="77777777" w:rsidR="004458C5" w:rsidRPr="005734B8" w:rsidRDefault="004458C5" w:rsidP="004458C5">
      <w:pPr>
        <w:rPr>
          <w:rFonts w:ascii="Calibri" w:hAnsi="Calibri" w:cs="Calibri"/>
        </w:rPr>
      </w:pPr>
    </w:p>
    <w:p w14:paraId="213E2FD9" w14:textId="3989CB6F" w:rsidR="004458C5" w:rsidRPr="005734B8" w:rsidRDefault="004458C5" w:rsidP="004458C5">
      <w:pPr>
        <w:rPr>
          <w:rFonts w:ascii="Calibri" w:hAnsi="Calibri" w:cs="Calibri"/>
        </w:rPr>
      </w:pPr>
      <w:r w:rsidRPr="005734B8">
        <w:rPr>
          <w:rFonts w:ascii="Calibri" w:hAnsi="Calibri" w:cs="Calibri"/>
        </w:rPr>
        <w:t>The Department</w:t>
      </w:r>
      <w:r w:rsidR="00B15F9A" w:rsidRPr="005734B8">
        <w:rPr>
          <w:rFonts w:ascii="Calibri" w:hAnsi="Calibri" w:cs="Calibri"/>
        </w:rPr>
        <w:t>’</w:t>
      </w:r>
      <w:r w:rsidRPr="005734B8">
        <w:rPr>
          <w:rFonts w:ascii="Calibri" w:hAnsi="Calibri" w:cs="Calibri"/>
        </w:rPr>
        <w:t xml:space="preserve">s target maturity rating is </w:t>
      </w:r>
      <w:r w:rsidR="00B15F9A" w:rsidRPr="005734B8">
        <w:rPr>
          <w:rFonts w:ascii="Calibri" w:hAnsi="Calibri" w:cs="Calibri"/>
        </w:rPr>
        <w:t>‘</w:t>
      </w:r>
      <w:r w:rsidRPr="005734B8">
        <w:rPr>
          <w:rFonts w:ascii="Calibri" w:hAnsi="Calibri" w:cs="Calibri"/>
        </w:rPr>
        <w:t>competence</w:t>
      </w:r>
      <w:r w:rsidR="00B15F9A" w:rsidRPr="005734B8">
        <w:rPr>
          <w:rFonts w:ascii="Calibri" w:hAnsi="Calibri" w:cs="Calibri"/>
        </w:rPr>
        <w:t>’</w:t>
      </w:r>
      <w:r w:rsidRPr="005734B8">
        <w:rPr>
          <w:rFonts w:ascii="Calibri" w:hAnsi="Calibri" w:cs="Calibri"/>
        </w:rPr>
        <w:t>, meaning that systems and processes are fully in place, are consistently applied and</w:t>
      </w:r>
      <w:r w:rsidR="00D206B5" w:rsidRPr="005734B8">
        <w:rPr>
          <w:rFonts w:ascii="Calibri" w:hAnsi="Calibri" w:cs="Calibri"/>
        </w:rPr>
        <w:t xml:space="preserve"> are</w:t>
      </w:r>
      <w:r w:rsidRPr="005734B8">
        <w:rPr>
          <w:rFonts w:ascii="Calibri" w:hAnsi="Calibri" w:cs="Calibri"/>
        </w:rPr>
        <w:t xml:space="preserve"> systematically meeting the AMAF requirement</w:t>
      </w:r>
      <w:r w:rsidR="00D206B5" w:rsidRPr="005734B8">
        <w:rPr>
          <w:rFonts w:ascii="Calibri" w:hAnsi="Calibri" w:cs="Calibri"/>
        </w:rPr>
        <w:t>s</w:t>
      </w:r>
      <w:r w:rsidRPr="005734B8">
        <w:rPr>
          <w:rFonts w:ascii="Calibri" w:hAnsi="Calibri" w:cs="Calibri"/>
        </w:rPr>
        <w:t xml:space="preserve">, including a continuous improvement process to expand </w:t>
      </w:r>
    </w:p>
    <w:p w14:paraId="69BE6408" w14:textId="236AC69D" w:rsidR="004458C5" w:rsidRPr="005734B8" w:rsidRDefault="004458C5" w:rsidP="004458C5">
      <w:pPr>
        <w:rPr>
          <w:rFonts w:ascii="Calibri" w:hAnsi="Calibri" w:cs="Calibri"/>
        </w:rPr>
      </w:pPr>
      <w:r w:rsidRPr="005734B8">
        <w:rPr>
          <w:rFonts w:ascii="Calibri" w:hAnsi="Calibri" w:cs="Calibri"/>
        </w:rPr>
        <w:t>system performance above the minimum requirements.</w:t>
      </w:r>
    </w:p>
    <w:p w14:paraId="2A12CCDC" w14:textId="77777777" w:rsidR="00E3772C" w:rsidRPr="005734B8" w:rsidRDefault="00E3772C">
      <w:pPr>
        <w:rPr>
          <w:rFonts w:ascii="Calibri" w:eastAsiaTheme="minorEastAsia" w:hAnsi="Calibri" w:cs="Calibri"/>
          <w:b/>
          <w:color w:val="AF272F" w:themeColor="accent4"/>
          <w:sz w:val="20"/>
          <w:szCs w:val="18"/>
          <w:lang w:val="en-US"/>
        </w:rPr>
      </w:pPr>
      <w:r w:rsidRPr="005734B8">
        <w:rPr>
          <w:rFonts w:ascii="Calibri" w:hAnsi="Calibri" w:cs="Calibri"/>
        </w:rPr>
        <w:br w:type="page"/>
      </w:r>
    </w:p>
    <w:p w14:paraId="540F1CEB" w14:textId="229492E6" w:rsidR="00E3772C" w:rsidRPr="005734B8" w:rsidRDefault="00E3772C" w:rsidP="00E3772C">
      <w:pPr>
        <w:pStyle w:val="ESTableintroheading"/>
        <w:rPr>
          <w:rFonts w:ascii="Calibri" w:hAnsi="Calibri" w:cs="Calibri"/>
        </w:rPr>
      </w:pPr>
      <w:r w:rsidRPr="005734B8">
        <w:rPr>
          <w:rFonts w:ascii="Calibri" w:hAnsi="Calibri" w:cs="Calibri"/>
        </w:rPr>
        <w:lastRenderedPageBreak/>
        <w:t xml:space="preserve">The Department’s AMAF rating against each of the 41 requirements </w:t>
      </w:r>
    </w:p>
    <w:p w14:paraId="4069B6A0" w14:textId="24D06834" w:rsidR="004458C5" w:rsidRPr="005734B8" w:rsidRDefault="00E3772C" w:rsidP="004458C5">
      <w:pPr>
        <w:rPr>
          <w:rFonts w:ascii="Calibri" w:hAnsi="Calibri" w:cs="Calibri"/>
        </w:rPr>
      </w:pPr>
      <w:r w:rsidRPr="005734B8">
        <w:rPr>
          <w:rFonts w:ascii="Calibri" w:hAnsi="Calibri" w:cs="Calibri"/>
          <w:noProof/>
        </w:rPr>
        <w:drawing>
          <wp:anchor distT="0" distB="0" distL="114300" distR="114300" simplePos="0" relativeHeight="251658243" behindDoc="0" locked="0" layoutInCell="1" allowOverlap="1" wp14:anchorId="0426DA98" wp14:editId="7CD7E292">
            <wp:simplePos x="0" y="0"/>
            <wp:positionH relativeFrom="column">
              <wp:posOffset>-409575</wp:posOffset>
            </wp:positionH>
            <wp:positionV relativeFrom="paragraph">
              <wp:posOffset>94615</wp:posOffset>
            </wp:positionV>
            <wp:extent cx="4448175" cy="3067050"/>
            <wp:effectExtent l="0" t="0" r="0" b="0"/>
            <wp:wrapSquare wrapText="bothSides"/>
            <wp:docPr id="15" name="Chart 15">
              <a:extLst xmlns:a="http://schemas.openxmlformats.org/drawingml/2006/main">
                <a:ext uri="{FF2B5EF4-FFF2-40B4-BE49-F238E27FC236}">
                  <a16:creationId xmlns:a16="http://schemas.microsoft.com/office/drawing/2014/main" id="{00000000-0008-0000-0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55F21188" w14:textId="12997955" w:rsidR="004458C5" w:rsidRPr="005734B8" w:rsidRDefault="004458C5" w:rsidP="004458C5">
      <w:pPr>
        <w:rPr>
          <w:rFonts w:ascii="Calibri" w:hAnsi="Calibri" w:cs="Calibri"/>
        </w:rPr>
      </w:pPr>
    </w:p>
    <w:p w14:paraId="4F5CED0B" w14:textId="77777777" w:rsidR="00D206B5" w:rsidRPr="005734B8" w:rsidRDefault="00D206B5" w:rsidP="006C770B">
      <w:pPr>
        <w:rPr>
          <w:rFonts w:ascii="Calibri" w:hAnsi="Calibri" w:cs="Calibri"/>
        </w:rPr>
      </w:pPr>
    </w:p>
    <w:p w14:paraId="547F184F" w14:textId="77777777" w:rsidR="00D206B5" w:rsidRPr="005734B8" w:rsidRDefault="00D206B5" w:rsidP="006C770B">
      <w:pPr>
        <w:rPr>
          <w:rFonts w:ascii="Calibri" w:hAnsi="Calibri" w:cs="Calibri"/>
        </w:rPr>
      </w:pPr>
    </w:p>
    <w:p w14:paraId="3416ECA6" w14:textId="07E68A79" w:rsidR="00D206B5" w:rsidRPr="005734B8" w:rsidRDefault="006C770B" w:rsidP="006C770B">
      <w:pPr>
        <w:rPr>
          <w:rFonts w:ascii="Calibri" w:hAnsi="Calibri" w:cs="Calibri"/>
        </w:rPr>
      </w:pPr>
      <w:r w:rsidRPr="005734B8">
        <w:rPr>
          <w:rFonts w:ascii="Calibri" w:hAnsi="Calibri" w:cs="Calibri"/>
          <w:noProof/>
        </w:rPr>
        <w:drawing>
          <wp:anchor distT="0" distB="0" distL="114300" distR="114300" simplePos="0" relativeHeight="251658242" behindDoc="0" locked="0" layoutInCell="1" allowOverlap="1" wp14:anchorId="7C300F87" wp14:editId="40EAA4DC">
            <wp:simplePos x="0" y="0"/>
            <wp:positionH relativeFrom="margin">
              <wp:posOffset>3493135</wp:posOffset>
            </wp:positionH>
            <wp:positionV relativeFrom="margin">
              <wp:posOffset>800100</wp:posOffset>
            </wp:positionV>
            <wp:extent cx="1762125" cy="15144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762125" cy="1514475"/>
                    </a:xfrm>
                    <a:prstGeom prst="rect">
                      <a:avLst/>
                    </a:prstGeom>
                  </pic:spPr>
                </pic:pic>
              </a:graphicData>
            </a:graphic>
          </wp:anchor>
        </w:drawing>
      </w:r>
    </w:p>
    <w:p w14:paraId="7456E0E0" w14:textId="77777777" w:rsidR="00D206B5" w:rsidRPr="005734B8" w:rsidRDefault="00D206B5" w:rsidP="006C770B">
      <w:pPr>
        <w:rPr>
          <w:rFonts w:ascii="Calibri" w:hAnsi="Calibri" w:cs="Calibri"/>
        </w:rPr>
      </w:pPr>
    </w:p>
    <w:p w14:paraId="075DE306" w14:textId="37DB0471" w:rsidR="006C770B" w:rsidRPr="005734B8" w:rsidRDefault="006C770B" w:rsidP="006C770B">
      <w:pPr>
        <w:rPr>
          <w:rFonts w:ascii="Calibri" w:hAnsi="Calibri" w:cs="Calibri"/>
        </w:rPr>
      </w:pPr>
    </w:p>
    <w:p w14:paraId="684643C8" w14:textId="6AA33C9A" w:rsidR="006C770B" w:rsidRPr="005734B8" w:rsidRDefault="006C770B" w:rsidP="006C770B">
      <w:pPr>
        <w:rPr>
          <w:rFonts w:ascii="Calibri" w:hAnsi="Calibri" w:cs="Calibri"/>
        </w:rPr>
      </w:pPr>
    </w:p>
    <w:p w14:paraId="1358BDD5" w14:textId="4E775EB5" w:rsidR="006C770B" w:rsidRPr="005734B8" w:rsidRDefault="006C770B" w:rsidP="006C770B">
      <w:pPr>
        <w:rPr>
          <w:rFonts w:ascii="Calibri" w:hAnsi="Calibri" w:cs="Calibri"/>
        </w:rPr>
      </w:pPr>
    </w:p>
    <w:p w14:paraId="547926C9" w14:textId="77777777" w:rsidR="006C770B" w:rsidRPr="005734B8" w:rsidRDefault="006C770B" w:rsidP="006C770B">
      <w:pPr>
        <w:rPr>
          <w:rFonts w:ascii="Calibri" w:hAnsi="Calibri" w:cs="Calibri"/>
        </w:rPr>
      </w:pPr>
    </w:p>
    <w:p w14:paraId="03ED50EB" w14:textId="2A688C99" w:rsidR="009126F4" w:rsidRPr="005734B8" w:rsidRDefault="009126F4" w:rsidP="009126F4">
      <w:pPr>
        <w:pStyle w:val="ESHeading3"/>
        <w:ind w:left="0" w:firstLine="0"/>
        <w:rPr>
          <w:rFonts w:ascii="Calibri" w:hAnsi="Calibri" w:cs="Calibri"/>
        </w:rPr>
      </w:pPr>
      <w:r w:rsidRPr="005734B8">
        <w:rPr>
          <w:rFonts w:ascii="Calibri" w:hAnsi="Calibri" w:cs="Calibri"/>
        </w:rPr>
        <w:t>Leadership and Accountability (requirements 1</w:t>
      </w:r>
      <w:r w:rsidR="002D344A" w:rsidRPr="005734B8">
        <w:rPr>
          <w:rFonts w:ascii="Calibri" w:hAnsi="Calibri" w:cs="Calibri"/>
        </w:rPr>
        <w:t>–</w:t>
      </w:r>
      <w:r w:rsidRPr="005734B8">
        <w:rPr>
          <w:rFonts w:ascii="Calibri" w:hAnsi="Calibri" w:cs="Calibri"/>
        </w:rPr>
        <w:t>19)</w:t>
      </w:r>
    </w:p>
    <w:p w14:paraId="4245F11B" w14:textId="3268CA1F" w:rsidR="009126F4" w:rsidRPr="005734B8" w:rsidRDefault="009126F4" w:rsidP="009126F4">
      <w:pPr>
        <w:rPr>
          <w:rFonts w:ascii="Calibri" w:hAnsi="Calibri" w:cs="Calibri"/>
        </w:rPr>
      </w:pPr>
      <w:r w:rsidRPr="005734B8">
        <w:rPr>
          <w:rFonts w:ascii="Calibri" w:hAnsi="Calibri" w:cs="Calibri"/>
        </w:rPr>
        <w:t xml:space="preserve">The Department is rated as either </w:t>
      </w:r>
      <w:r w:rsidRPr="005734B8">
        <w:rPr>
          <w:rFonts w:ascii="Calibri" w:hAnsi="Calibri" w:cs="Calibri"/>
          <w:i/>
          <w:iCs/>
        </w:rPr>
        <w:t>developing</w:t>
      </w:r>
      <w:r w:rsidR="00D206B5" w:rsidRPr="005734B8">
        <w:rPr>
          <w:rFonts w:ascii="Calibri" w:hAnsi="Calibri" w:cs="Calibri"/>
          <w:i/>
          <w:iCs/>
        </w:rPr>
        <w:t xml:space="preserve">, </w:t>
      </w:r>
      <w:r w:rsidRPr="005734B8">
        <w:rPr>
          <w:rFonts w:ascii="Calibri" w:hAnsi="Calibri" w:cs="Calibri"/>
          <w:i/>
          <w:iCs/>
        </w:rPr>
        <w:t>competence</w:t>
      </w:r>
      <w:r w:rsidR="00D1082B" w:rsidRPr="005734B8">
        <w:rPr>
          <w:rFonts w:ascii="Calibri" w:hAnsi="Calibri" w:cs="Calibri"/>
          <w:i/>
          <w:iCs/>
        </w:rPr>
        <w:t xml:space="preserve"> </w:t>
      </w:r>
      <w:r w:rsidR="00D1082B" w:rsidRPr="005734B8">
        <w:rPr>
          <w:rFonts w:ascii="Calibri" w:hAnsi="Calibri" w:cs="Calibri"/>
        </w:rPr>
        <w:t xml:space="preserve">or </w:t>
      </w:r>
      <w:r w:rsidR="00D1082B" w:rsidRPr="005734B8">
        <w:rPr>
          <w:rFonts w:ascii="Calibri" w:hAnsi="Calibri" w:cs="Calibri"/>
          <w:i/>
          <w:iCs/>
        </w:rPr>
        <w:t>optimising</w:t>
      </w:r>
      <w:r w:rsidRPr="005734B8">
        <w:rPr>
          <w:rFonts w:ascii="Calibri" w:hAnsi="Calibri" w:cs="Calibri"/>
        </w:rPr>
        <w:t xml:space="preserve"> for all requirements in this category, with one material non-compliance reported. A plan for strengthening the Department</w:t>
      </w:r>
      <w:r w:rsidR="00B15F9A" w:rsidRPr="005734B8">
        <w:rPr>
          <w:rFonts w:ascii="Calibri" w:hAnsi="Calibri" w:cs="Calibri"/>
        </w:rPr>
        <w:t>’</w:t>
      </w:r>
      <w:r w:rsidRPr="005734B8">
        <w:rPr>
          <w:rFonts w:ascii="Calibri" w:hAnsi="Calibri" w:cs="Calibri"/>
        </w:rPr>
        <w:t>s maturity rating in this category is in place.</w:t>
      </w:r>
    </w:p>
    <w:p w14:paraId="103F7952" w14:textId="18C5C807" w:rsidR="009126F4" w:rsidRPr="005734B8" w:rsidRDefault="009126F4" w:rsidP="009126F4">
      <w:pPr>
        <w:pStyle w:val="ESHeading3"/>
        <w:ind w:left="0" w:firstLine="0"/>
        <w:rPr>
          <w:rFonts w:ascii="Calibri" w:hAnsi="Calibri" w:cs="Calibri"/>
        </w:rPr>
      </w:pPr>
      <w:r w:rsidRPr="005734B8">
        <w:rPr>
          <w:rFonts w:ascii="Calibri" w:hAnsi="Calibri" w:cs="Calibri"/>
        </w:rPr>
        <w:t>Planning (requirements 20</w:t>
      </w:r>
      <w:r w:rsidR="002D344A" w:rsidRPr="005734B8">
        <w:rPr>
          <w:rFonts w:ascii="Calibri" w:hAnsi="Calibri" w:cs="Calibri"/>
        </w:rPr>
        <w:t>–</w:t>
      </w:r>
      <w:r w:rsidRPr="005734B8">
        <w:rPr>
          <w:rFonts w:ascii="Calibri" w:hAnsi="Calibri" w:cs="Calibri"/>
        </w:rPr>
        <w:t>23)</w:t>
      </w:r>
    </w:p>
    <w:p w14:paraId="6E1DF077" w14:textId="2DB79643" w:rsidR="009126F4" w:rsidRPr="005734B8" w:rsidRDefault="009126F4" w:rsidP="009126F4">
      <w:pPr>
        <w:rPr>
          <w:rFonts w:ascii="Calibri" w:hAnsi="Calibri" w:cs="Calibri"/>
        </w:rPr>
      </w:pPr>
      <w:r w:rsidRPr="005734B8">
        <w:rPr>
          <w:rFonts w:ascii="Calibri" w:hAnsi="Calibri" w:cs="Calibri"/>
        </w:rPr>
        <w:t xml:space="preserve">The Department is rated as </w:t>
      </w:r>
      <w:r w:rsidRPr="005734B8">
        <w:rPr>
          <w:rFonts w:ascii="Calibri" w:hAnsi="Calibri" w:cs="Calibri"/>
          <w:i/>
          <w:iCs/>
        </w:rPr>
        <w:t>developing</w:t>
      </w:r>
      <w:r w:rsidR="00D1082B" w:rsidRPr="005734B8">
        <w:rPr>
          <w:rFonts w:ascii="Calibri" w:hAnsi="Calibri" w:cs="Calibri"/>
          <w:i/>
          <w:iCs/>
        </w:rPr>
        <w:t xml:space="preserve"> </w:t>
      </w:r>
      <w:r w:rsidR="00D1082B" w:rsidRPr="005734B8">
        <w:rPr>
          <w:rFonts w:ascii="Calibri" w:hAnsi="Calibri" w:cs="Calibri"/>
        </w:rPr>
        <w:t xml:space="preserve">or </w:t>
      </w:r>
      <w:r w:rsidR="00D1082B" w:rsidRPr="005734B8">
        <w:rPr>
          <w:rFonts w:ascii="Calibri" w:hAnsi="Calibri" w:cs="Calibri"/>
          <w:i/>
          <w:iCs/>
        </w:rPr>
        <w:t>competence</w:t>
      </w:r>
      <w:r w:rsidRPr="005734B8">
        <w:rPr>
          <w:rFonts w:ascii="Calibri" w:hAnsi="Calibri" w:cs="Calibri"/>
          <w:i/>
          <w:iCs/>
        </w:rPr>
        <w:t xml:space="preserve"> </w:t>
      </w:r>
      <w:r w:rsidRPr="005734B8">
        <w:rPr>
          <w:rFonts w:ascii="Calibri" w:hAnsi="Calibri" w:cs="Calibri"/>
        </w:rPr>
        <w:t>for all requirements in this category. A plan for strengthening the Department</w:t>
      </w:r>
      <w:r w:rsidR="00B15F9A" w:rsidRPr="005734B8">
        <w:rPr>
          <w:rFonts w:ascii="Calibri" w:hAnsi="Calibri" w:cs="Calibri"/>
        </w:rPr>
        <w:t>’</w:t>
      </w:r>
      <w:r w:rsidRPr="005734B8">
        <w:rPr>
          <w:rFonts w:ascii="Calibri" w:hAnsi="Calibri" w:cs="Calibri"/>
        </w:rPr>
        <w:t>s maturity rating in this category is in place.</w:t>
      </w:r>
    </w:p>
    <w:p w14:paraId="0D9EEF7B" w14:textId="77777777" w:rsidR="009126F4" w:rsidRPr="005734B8" w:rsidRDefault="009126F4" w:rsidP="009126F4">
      <w:pPr>
        <w:pStyle w:val="ESHeading3"/>
        <w:ind w:left="0" w:firstLine="0"/>
        <w:rPr>
          <w:rFonts w:ascii="Calibri" w:hAnsi="Calibri" w:cs="Calibri"/>
        </w:rPr>
      </w:pPr>
      <w:r w:rsidRPr="005734B8">
        <w:rPr>
          <w:rFonts w:ascii="Calibri" w:hAnsi="Calibri" w:cs="Calibri"/>
        </w:rPr>
        <w:t xml:space="preserve">Acquisition (requirements 24 and 25) </w:t>
      </w:r>
    </w:p>
    <w:p w14:paraId="25560B0A" w14:textId="73198684" w:rsidR="009126F4" w:rsidRPr="005734B8" w:rsidRDefault="009126F4" w:rsidP="009126F4">
      <w:pPr>
        <w:rPr>
          <w:rFonts w:ascii="Calibri" w:hAnsi="Calibri" w:cs="Calibri"/>
        </w:rPr>
      </w:pPr>
      <w:r w:rsidRPr="005734B8">
        <w:rPr>
          <w:rFonts w:ascii="Calibri" w:hAnsi="Calibri" w:cs="Calibri"/>
        </w:rPr>
        <w:t xml:space="preserve">The Department exceeded its target maturity level </w:t>
      </w:r>
      <w:r w:rsidR="00D1082B" w:rsidRPr="005734B8">
        <w:rPr>
          <w:rFonts w:ascii="Calibri" w:hAnsi="Calibri" w:cs="Calibri"/>
        </w:rPr>
        <w:t xml:space="preserve">and is rated as </w:t>
      </w:r>
      <w:r w:rsidR="00D1082B" w:rsidRPr="005734B8">
        <w:rPr>
          <w:rFonts w:ascii="Calibri" w:hAnsi="Calibri" w:cs="Calibri"/>
          <w:i/>
          <w:iCs/>
        </w:rPr>
        <w:t>optimising</w:t>
      </w:r>
      <w:r w:rsidR="00D1082B" w:rsidRPr="005734B8">
        <w:rPr>
          <w:rFonts w:ascii="Calibri" w:hAnsi="Calibri" w:cs="Calibri"/>
        </w:rPr>
        <w:t xml:space="preserve"> for all</w:t>
      </w:r>
      <w:r w:rsidRPr="005734B8">
        <w:rPr>
          <w:rFonts w:ascii="Calibri" w:hAnsi="Calibri" w:cs="Calibri"/>
        </w:rPr>
        <w:t xml:space="preserve"> requirements in this category.</w:t>
      </w:r>
    </w:p>
    <w:p w14:paraId="70F251CD" w14:textId="29D1C13E" w:rsidR="009126F4" w:rsidRPr="005734B8" w:rsidRDefault="009126F4" w:rsidP="009126F4">
      <w:pPr>
        <w:pStyle w:val="ESHeading3"/>
        <w:ind w:left="0" w:firstLine="0"/>
        <w:rPr>
          <w:rFonts w:ascii="Calibri" w:hAnsi="Calibri" w:cs="Calibri"/>
        </w:rPr>
      </w:pPr>
      <w:r w:rsidRPr="005734B8">
        <w:rPr>
          <w:rFonts w:ascii="Calibri" w:hAnsi="Calibri" w:cs="Calibri"/>
        </w:rPr>
        <w:t>Operation (requirements 26</w:t>
      </w:r>
      <w:r w:rsidR="002D344A" w:rsidRPr="005734B8">
        <w:rPr>
          <w:rFonts w:ascii="Calibri" w:hAnsi="Calibri" w:cs="Calibri"/>
        </w:rPr>
        <w:t>–</w:t>
      </w:r>
      <w:r w:rsidRPr="005734B8">
        <w:rPr>
          <w:rFonts w:ascii="Calibri" w:hAnsi="Calibri" w:cs="Calibri"/>
        </w:rPr>
        <w:t>40)</w:t>
      </w:r>
    </w:p>
    <w:p w14:paraId="1B391724" w14:textId="2D64FB52" w:rsidR="009126F4" w:rsidRPr="005734B8" w:rsidRDefault="009126F4" w:rsidP="009126F4">
      <w:pPr>
        <w:rPr>
          <w:rFonts w:ascii="Calibri" w:hAnsi="Calibri" w:cs="Calibri"/>
        </w:rPr>
      </w:pPr>
      <w:r w:rsidRPr="005734B8">
        <w:rPr>
          <w:rFonts w:ascii="Calibri" w:hAnsi="Calibri" w:cs="Calibri"/>
        </w:rPr>
        <w:t xml:space="preserve">The Department is rated as either </w:t>
      </w:r>
      <w:r w:rsidRPr="005734B8">
        <w:rPr>
          <w:rFonts w:ascii="Calibri" w:hAnsi="Calibri" w:cs="Calibri"/>
          <w:i/>
          <w:iCs/>
        </w:rPr>
        <w:t>developing</w:t>
      </w:r>
      <w:r w:rsidR="00D1082B" w:rsidRPr="005734B8">
        <w:rPr>
          <w:rFonts w:ascii="Calibri" w:hAnsi="Calibri" w:cs="Calibri"/>
          <w:i/>
          <w:iCs/>
        </w:rPr>
        <w:t xml:space="preserve">, </w:t>
      </w:r>
      <w:r w:rsidRPr="005734B8">
        <w:rPr>
          <w:rFonts w:ascii="Calibri" w:hAnsi="Calibri" w:cs="Calibri"/>
          <w:i/>
          <w:iCs/>
        </w:rPr>
        <w:t>competence</w:t>
      </w:r>
      <w:r w:rsidR="00D1082B" w:rsidRPr="005734B8">
        <w:rPr>
          <w:rFonts w:ascii="Calibri" w:hAnsi="Calibri" w:cs="Calibri"/>
          <w:i/>
          <w:iCs/>
        </w:rPr>
        <w:t xml:space="preserve"> </w:t>
      </w:r>
      <w:r w:rsidR="00D1082B" w:rsidRPr="005734B8">
        <w:rPr>
          <w:rFonts w:ascii="Calibri" w:hAnsi="Calibri" w:cs="Calibri"/>
        </w:rPr>
        <w:t xml:space="preserve">or </w:t>
      </w:r>
      <w:r w:rsidR="00D1082B" w:rsidRPr="005734B8">
        <w:rPr>
          <w:rFonts w:ascii="Calibri" w:hAnsi="Calibri" w:cs="Calibri"/>
          <w:i/>
          <w:iCs/>
        </w:rPr>
        <w:t>optimising</w:t>
      </w:r>
      <w:r w:rsidRPr="005734B8">
        <w:rPr>
          <w:rFonts w:ascii="Calibri" w:hAnsi="Calibri" w:cs="Calibri"/>
        </w:rPr>
        <w:t xml:space="preserve"> for all requirements in this category. A plan for strengthening the Department</w:t>
      </w:r>
      <w:r w:rsidR="00B15F9A" w:rsidRPr="005734B8">
        <w:rPr>
          <w:rFonts w:ascii="Calibri" w:hAnsi="Calibri" w:cs="Calibri"/>
        </w:rPr>
        <w:t>’</w:t>
      </w:r>
      <w:r w:rsidRPr="005734B8">
        <w:rPr>
          <w:rFonts w:ascii="Calibri" w:hAnsi="Calibri" w:cs="Calibri"/>
        </w:rPr>
        <w:t>s maturity rating in this category is in place.</w:t>
      </w:r>
    </w:p>
    <w:p w14:paraId="783988AE" w14:textId="77777777" w:rsidR="009126F4" w:rsidRPr="005734B8" w:rsidRDefault="009126F4" w:rsidP="009126F4">
      <w:pPr>
        <w:pStyle w:val="ESHeading3"/>
        <w:ind w:left="0" w:firstLine="0"/>
        <w:rPr>
          <w:rFonts w:ascii="Calibri" w:hAnsi="Calibri" w:cs="Calibri"/>
        </w:rPr>
      </w:pPr>
      <w:r w:rsidRPr="005734B8">
        <w:rPr>
          <w:rFonts w:ascii="Calibri" w:hAnsi="Calibri" w:cs="Calibri"/>
        </w:rPr>
        <w:t>Disposal (requirement 41)</w:t>
      </w:r>
    </w:p>
    <w:p w14:paraId="70B5A7A5" w14:textId="68612D73" w:rsidR="009126F4" w:rsidRPr="005734B8" w:rsidRDefault="009126F4" w:rsidP="004458C5">
      <w:pPr>
        <w:rPr>
          <w:rFonts w:ascii="Calibri" w:hAnsi="Calibri" w:cs="Calibri"/>
        </w:rPr>
      </w:pPr>
      <w:r w:rsidRPr="005734B8">
        <w:rPr>
          <w:rFonts w:ascii="Calibri" w:hAnsi="Calibri" w:cs="Calibri"/>
        </w:rPr>
        <w:t xml:space="preserve">The Department </w:t>
      </w:r>
      <w:r w:rsidR="00D1082B" w:rsidRPr="005734B8">
        <w:rPr>
          <w:rFonts w:ascii="Calibri" w:hAnsi="Calibri" w:cs="Calibri"/>
        </w:rPr>
        <w:t>exceeded</w:t>
      </w:r>
      <w:r w:rsidRPr="005734B8">
        <w:rPr>
          <w:rFonts w:ascii="Calibri" w:hAnsi="Calibri" w:cs="Calibri"/>
        </w:rPr>
        <w:t xml:space="preserve"> its target maturity level</w:t>
      </w:r>
      <w:r w:rsidR="00D1082B" w:rsidRPr="005734B8">
        <w:rPr>
          <w:rFonts w:ascii="Calibri" w:hAnsi="Calibri" w:cs="Calibri"/>
        </w:rPr>
        <w:t xml:space="preserve"> and is rated as </w:t>
      </w:r>
      <w:r w:rsidR="00D1082B" w:rsidRPr="005734B8">
        <w:rPr>
          <w:rFonts w:ascii="Calibri" w:hAnsi="Calibri" w:cs="Calibri"/>
          <w:i/>
          <w:iCs/>
        </w:rPr>
        <w:t>optimising</w:t>
      </w:r>
      <w:r w:rsidRPr="005734B8">
        <w:rPr>
          <w:rFonts w:ascii="Calibri" w:hAnsi="Calibri" w:cs="Calibri"/>
        </w:rPr>
        <w:t xml:space="preserve"> in this category.</w:t>
      </w:r>
    </w:p>
    <w:p w14:paraId="7508F974" w14:textId="3E87B8BF" w:rsidR="006043D4" w:rsidRPr="005734B8" w:rsidRDefault="006043D4" w:rsidP="006043D4">
      <w:pPr>
        <w:pStyle w:val="ESHeading2"/>
        <w:rPr>
          <w:rFonts w:ascii="Calibri" w:hAnsi="Calibri" w:cs="Calibri"/>
          <w:i/>
        </w:rPr>
      </w:pPr>
      <w:bookmarkStart w:id="927" w:name="_Toc81315348"/>
      <w:r w:rsidRPr="005734B8">
        <w:rPr>
          <w:rFonts w:ascii="Calibri" w:hAnsi="Calibri" w:cs="Calibri"/>
        </w:rPr>
        <w:t>Compliance with the P</w:t>
      </w:r>
      <w:r w:rsidR="00ED233B" w:rsidRPr="005734B8">
        <w:rPr>
          <w:rFonts w:ascii="Calibri" w:hAnsi="Calibri" w:cs="Calibri"/>
        </w:rPr>
        <w:t xml:space="preserve">ublic Interest Disclosures </w:t>
      </w:r>
      <w:r w:rsidRPr="005734B8">
        <w:rPr>
          <w:rFonts w:ascii="Calibri" w:hAnsi="Calibri" w:cs="Calibri"/>
        </w:rPr>
        <w:t>Act 2012</w:t>
      </w:r>
      <w:bookmarkEnd w:id="916"/>
      <w:bookmarkEnd w:id="917"/>
      <w:bookmarkEnd w:id="918"/>
      <w:bookmarkEnd w:id="919"/>
      <w:bookmarkEnd w:id="920"/>
      <w:bookmarkEnd w:id="921"/>
      <w:bookmarkEnd w:id="922"/>
      <w:bookmarkEnd w:id="923"/>
      <w:bookmarkEnd w:id="924"/>
      <w:bookmarkEnd w:id="925"/>
      <w:bookmarkEnd w:id="926"/>
      <w:bookmarkEnd w:id="927"/>
    </w:p>
    <w:p w14:paraId="7CE0F1EE" w14:textId="57B67657" w:rsidR="008142B3" w:rsidRPr="005734B8" w:rsidRDefault="008142B3" w:rsidP="008142B3">
      <w:pPr>
        <w:rPr>
          <w:rFonts w:ascii="Calibri" w:hAnsi="Calibri" w:cs="Calibri"/>
        </w:rPr>
      </w:pPr>
      <w:bookmarkStart w:id="928" w:name="_Toc9432487"/>
      <w:bookmarkStart w:id="929" w:name="_Toc14965500"/>
      <w:bookmarkStart w:id="930" w:name="_Toc19272079"/>
      <w:bookmarkStart w:id="931" w:name="_Toc19272445"/>
      <w:bookmarkStart w:id="932" w:name="_Toc19273780"/>
      <w:r w:rsidRPr="005734B8">
        <w:rPr>
          <w:rFonts w:ascii="Calibri" w:hAnsi="Calibri" w:cs="Calibri"/>
        </w:rPr>
        <w:t xml:space="preserve">The </w:t>
      </w:r>
      <w:r w:rsidRPr="005734B8">
        <w:rPr>
          <w:rFonts w:ascii="Calibri" w:hAnsi="Calibri" w:cs="Calibri"/>
          <w:i/>
        </w:rPr>
        <w:t>Public Interest Disclosures Act 2012</w:t>
      </w:r>
      <w:r w:rsidRPr="005734B8">
        <w:rPr>
          <w:rFonts w:ascii="Calibri" w:hAnsi="Calibri" w:cs="Calibri"/>
        </w:rPr>
        <w:t xml:space="preserve"> (PID Act) encourages and assists people to make disclosures of improper conduct by public officers and public bodies. It protects people who make disclosures and establishes a system for investigation and rectification.</w:t>
      </w:r>
    </w:p>
    <w:p w14:paraId="5CAE33C5" w14:textId="77777777" w:rsidR="008142B3" w:rsidRPr="005734B8" w:rsidRDefault="008142B3" w:rsidP="008142B3">
      <w:pPr>
        <w:rPr>
          <w:rFonts w:ascii="Calibri" w:hAnsi="Calibri" w:cs="Calibri"/>
        </w:rPr>
      </w:pPr>
    </w:p>
    <w:p w14:paraId="2204E429" w14:textId="77777777" w:rsidR="008142B3" w:rsidRPr="005734B8" w:rsidRDefault="008142B3" w:rsidP="008142B3">
      <w:pPr>
        <w:rPr>
          <w:rFonts w:ascii="Calibri" w:hAnsi="Calibri" w:cs="Calibri"/>
        </w:rPr>
      </w:pPr>
      <w:r w:rsidRPr="005734B8">
        <w:rPr>
          <w:rFonts w:ascii="Calibri" w:hAnsi="Calibri" w:cs="Calibri"/>
        </w:rPr>
        <w:t xml:space="preserve">Improper employee conduct is not tolerated, nor are reprisals against those who disclose such conduct. The Department ensures transparency and accountability in administrative and management practices and supports disclosures that reveal improper conduct, including corrupt conduct, conduct involving a substantial mismanagement of public resources, or conduct involving a substantial risk to the health and safety of individuals or the environment. </w:t>
      </w:r>
    </w:p>
    <w:p w14:paraId="30B1B956" w14:textId="77777777" w:rsidR="008142B3" w:rsidRPr="005734B8" w:rsidRDefault="008142B3" w:rsidP="008142B3">
      <w:pPr>
        <w:rPr>
          <w:rFonts w:ascii="Calibri" w:hAnsi="Calibri" w:cs="Calibri"/>
        </w:rPr>
      </w:pPr>
    </w:p>
    <w:p w14:paraId="2D1FD3D0" w14:textId="77777777" w:rsidR="008142B3" w:rsidRPr="005734B8" w:rsidRDefault="008142B3" w:rsidP="008142B3">
      <w:pPr>
        <w:rPr>
          <w:rFonts w:ascii="Calibri" w:hAnsi="Calibri" w:cs="Calibri"/>
        </w:rPr>
      </w:pPr>
      <w:r w:rsidRPr="005734B8">
        <w:rPr>
          <w:rFonts w:ascii="Calibri" w:hAnsi="Calibri" w:cs="Calibri"/>
        </w:rPr>
        <w:t xml:space="preserve">The Department takes all reasonable steps to protect people who make disclosures from reprisals. It also affords natural justice to the person who is the subject of the disclosure to the extent that is legally possible. </w:t>
      </w:r>
    </w:p>
    <w:bookmarkEnd w:id="928"/>
    <w:bookmarkEnd w:id="929"/>
    <w:bookmarkEnd w:id="930"/>
    <w:bookmarkEnd w:id="931"/>
    <w:bookmarkEnd w:id="932"/>
    <w:p w14:paraId="6383822B" w14:textId="77777777" w:rsidR="008142B3" w:rsidRPr="005734B8" w:rsidRDefault="008142B3" w:rsidP="008142B3">
      <w:pPr>
        <w:pStyle w:val="ESHeading3"/>
        <w:ind w:left="0" w:firstLine="0"/>
        <w:rPr>
          <w:rFonts w:ascii="Calibri" w:hAnsi="Calibri" w:cs="Calibri"/>
        </w:rPr>
      </w:pPr>
      <w:r w:rsidRPr="005734B8">
        <w:rPr>
          <w:rFonts w:ascii="Calibri" w:hAnsi="Calibri" w:cs="Calibri"/>
        </w:rPr>
        <w:t>Reporting procedures</w:t>
      </w:r>
    </w:p>
    <w:p w14:paraId="472593FF" w14:textId="77777777" w:rsidR="008142B3" w:rsidRPr="005734B8" w:rsidRDefault="008142B3" w:rsidP="008142B3">
      <w:pPr>
        <w:rPr>
          <w:rFonts w:ascii="Calibri" w:hAnsi="Calibri" w:cs="Calibri"/>
        </w:rPr>
      </w:pPr>
      <w:r w:rsidRPr="005734B8">
        <w:rPr>
          <w:rFonts w:ascii="Calibri" w:hAnsi="Calibri" w:cs="Calibri"/>
        </w:rPr>
        <w:t xml:space="preserve">Disclosures of improper conduct or detrimental action by the Department or any of its employees, may be made to the Department’s: </w:t>
      </w:r>
    </w:p>
    <w:p w14:paraId="07AB7874" w14:textId="77777777" w:rsidR="008142B3" w:rsidRPr="005734B8" w:rsidRDefault="008142B3" w:rsidP="008142B3">
      <w:pPr>
        <w:pStyle w:val="ListParagraph"/>
        <w:numPr>
          <w:ilvl w:val="0"/>
          <w:numId w:val="7"/>
        </w:numPr>
        <w:rPr>
          <w:rFonts w:ascii="Calibri" w:hAnsi="Calibri" w:cs="Calibri"/>
        </w:rPr>
      </w:pPr>
      <w:r w:rsidRPr="005734B8">
        <w:rPr>
          <w:rFonts w:ascii="Calibri" w:hAnsi="Calibri" w:cs="Calibri"/>
        </w:rPr>
        <w:t>Secretary</w:t>
      </w:r>
    </w:p>
    <w:p w14:paraId="5838B34F" w14:textId="110F2E30" w:rsidR="008142B3" w:rsidRPr="005734B8" w:rsidRDefault="008142B3" w:rsidP="008142B3">
      <w:pPr>
        <w:pStyle w:val="ListParagraph"/>
        <w:numPr>
          <w:ilvl w:val="0"/>
          <w:numId w:val="7"/>
        </w:numPr>
        <w:rPr>
          <w:rFonts w:ascii="Calibri" w:hAnsi="Calibri" w:cs="Calibri"/>
        </w:rPr>
      </w:pPr>
      <w:r w:rsidRPr="005734B8">
        <w:rPr>
          <w:rFonts w:ascii="Calibri" w:hAnsi="Calibri" w:cs="Calibri"/>
        </w:rPr>
        <w:t xml:space="preserve">Public Interest Disclosure Coordinator or public interest disclosure officers </w:t>
      </w:r>
    </w:p>
    <w:p w14:paraId="1243CE3F" w14:textId="77777777" w:rsidR="008142B3" w:rsidRPr="005734B8" w:rsidRDefault="008142B3" w:rsidP="008142B3">
      <w:pPr>
        <w:pStyle w:val="ListParagraph"/>
        <w:numPr>
          <w:ilvl w:val="0"/>
          <w:numId w:val="7"/>
        </w:numPr>
        <w:rPr>
          <w:rFonts w:ascii="Calibri" w:hAnsi="Calibri" w:cs="Calibri"/>
        </w:rPr>
      </w:pPr>
      <w:r w:rsidRPr="005734B8">
        <w:rPr>
          <w:rFonts w:ascii="Calibri" w:hAnsi="Calibri" w:cs="Calibri"/>
        </w:rPr>
        <w:t xml:space="preserve">manager or supervisor of the discloser </w:t>
      </w:r>
    </w:p>
    <w:p w14:paraId="4E4BF39E" w14:textId="77777777" w:rsidR="008142B3" w:rsidRPr="005734B8" w:rsidRDefault="008142B3" w:rsidP="008142B3">
      <w:pPr>
        <w:pStyle w:val="ListParagraph"/>
        <w:numPr>
          <w:ilvl w:val="0"/>
          <w:numId w:val="7"/>
        </w:numPr>
        <w:rPr>
          <w:rFonts w:ascii="Calibri" w:hAnsi="Calibri" w:cs="Calibri"/>
        </w:rPr>
      </w:pPr>
      <w:r w:rsidRPr="005734B8">
        <w:rPr>
          <w:rFonts w:ascii="Calibri" w:hAnsi="Calibri" w:cs="Calibri"/>
        </w:rPr>
        <w:t xml:space="preserve">manager or supervisor of the person who is the subject of the disclosure. </w:t>
      </w:r>
    </w:p>
    <w:p w14:paraId="52CDDF18" w14:textId="77777777" w:rsidR="008142B3" w:rsidRPr="005734B8" w:rsidRDefault="008142B3" w:rsidP="008142B3">
      <w:pPr>
        <w:rPr>
          <w:rFonts w:ascii="Calibri" w:hAnsi="Calibri" w:cs="Calibri"/>
        </w:rPr>
      </w:pPr>
      <w:r w:rsidRPr="005734B8">
        <w:rPr>
          <w:rFonts w:ascii="Calibri" w:hAnsi="Calibri" w:cs="Calibri"/>
        </w:rPr>
        <w:t> </w:t>
      </w:r>
    </w:p>
    <w:p w14:paraId="3EF48EBC" w14:textId="77777777" w:rsidR="008142B3" w:rsidRPr="005734B8" w:rsidRDefault="008142B3" w:rsidP="008142B3">
      <w:pPr>
        <w:rPr>
          <w:rFonts w:ascii="Calibri" w:hAnsi="Calibri" w:cs="Calibri"/>
        </w:rPr>
      </w:pPr>
      <w:r w:rsidRPr="005734B8">
        <w:rPr>
          <w:rFonts w:ascii="Calibri" w:hAnsi="Calibri" w:cs="Calibri"/>
        </w:rPr>
        <w:t xml:space="preserve">Alternatively, disclosures can also be made directly to the Independent Broad-based Anti-Corruption Commission: </w:t>
      </w:r>
    </w:p>
    <w:p w14:paraId="4714952B" w14:textId="77777777" w:rsidR="008142B3" w:rsidRPr="005734B8" w:rsidRDefault="008142B3" w:rsidP="008142B3">
      <w:pPr>
        <w:rPr>
          <w:rFonts w:ascii="Calibri" w:hAnsi="Calibri" w:cs="Calibri"/>
        </w:rPr>
      </w:pPr>
    </w:p>
    <w:p w14:paraId="7BAB6869" w14:textId="77777777" w:rsidR="008142B3" w:rsidRPr="005734B8" w:rsidRDefault="008142B3" w:rsidP="008142B3">
      <w:pPr>
        <w:rPr>
          <w:rFonts w:ascii="Calibri" w:hAnsi="Calibri" w:cs="Calibri"/>
        </w:rPr>
      </w:pPr>
      <w:r w:rsidRPr="005734B8">
        <w:rPr>
          <w:rFonts w:ascii="Calibri" w:hAnsi="Calibri" w:cs="Calibri"/>
        </w:rPr>
        <w:t>Level 1, North Tower, 459 Collins Street</w:t>
      </w:r>
    </w:p>
    <w:p w14:paraId="79D18385" w14:textId="77777777" w:rsidR="008142B3" w:rsidRPr="005734B8" w:rsidRDefault="008142B3" w:rsidP="008142B3">
      <w:pPr>
        <w:rPr>
          <w:rFonts w:ascii="Calibri" w:hAnsi="Calibri" w:cs="Calibri"/>
        </w:rPr>
      </w:pPr>
      <w:r w:rsidRPr="005734B8">
        <w:rPr>
          <w:rFonts w:ascii="Calibri" w:hAnsi="Calibri" w:cs="Calibri"/>
        </w:rPr>
        <w:t>Melbourne Vic 3000</w:t>
      </w:r>
    </w:p>
    <w:p w14:paraId="75AF7D6C" w14:textId="77777777" w:rsidR="008142B3" w:rsidRPr="005734B8" w:rsidRDefault="008142B3" w:rsidP="008142B3">
      <w:pPr>
        <w:rPr>
          <w:rFonts w:ascii="Calibri" w:hAnsi="Calibri" w:cs="Calibri"/>
        </w:rPr>
      </w:pPr>
    </w:p>
    <w:p w14:paraId="686B9F07" w14:textId="77777777" w:rsidR="008142B3" w:rsidRPr="005734B8" w:rsidRDefault="008142B3" w:rsidP="008142B3">
      <w:pPr>
        <w:rPr>
          <w:rFonts w:ascii="Calibri" w:hAnsi="Calibri" w:cs="Calibri"/>
        </w:rPr>
      </w:pPr>
      <w:r w:rsidRPr="005734B8">
        <w:rPr>
          <w:rFonts w:ascii="Calibri" w:hAnsi="Calibri" w:cs="Calibri"/>
          <w:b/>
        </w:rPr>
        <w:t>Phone</w:t>
      </w:r>
      <w:r w:rsidRPr="005734B8">
        <w:rPr>
          <w:rFonts w:ascii="Calibri" w:hAnsi="Calibri" w:cs="Calibri"/>
        </w:rPr>
        <w:t>: 1300 735 135</w:t>
      </w:r>
    </w:p>
    <w:p w14:paraId="03C0C70F" w14:textId="77777777" w:rsidR="008142B3" w:rsidRPr="005734B8" w:rsidRDefault="008142B3" w:rsidP="008142B3">
      <w:pPr>
        <w:rPr>
          <w:rFonts w:ascii="Calibri" w:hAnsi="Calibri" w:cs="Calibri"/>
        </w:rPr>
      </w:pPr>
      <w:r w:rsidRPr="005734B8">
        <w:rPr>
          <w:rFonts w:ascii="Calibri" w:hAnsi="Calibri" w:cs="Calibri"/>
          <w:b/>
        </w:rPr>
        <w:t>Internet</w:t>
      </w:r>
      <w:r w:rsidRPr="005734B8">
        <w:rPr>
          <w:rFonts w:ascii="Calibri" w:hAnsi="Calibri" w:cs="Calibri"/>
        </w:rPr>
        <w:t xml:space="preserve">: </w:t>
      </w:r>
      <w:hyperlink r:id="rId51" w:history="1">
        <w:r w:rsidRPr="005734B8">
          <w:rPr>
            <w:rStyle w:val="Hyperlink"/>
            <w:rFonts w:ascii="Calibri" w:hAnsi="Calibri" w:cs="Calibri"/>
          </w:rPr>
          <w:t>www.ibac.vic.gov.au</w:t>
        </w:r>
      </w:hyperlink>
      <w:r w:rsidRPr="005734B8">
        <w:rPr>
          <w:rFonts w:ascii="Calibri" w:hAnsi="Calibri" w:cs="Calibri"/>
        </w:rPr>
        <w:t xml:space="preserve"> </w:t>
      </w:r>
    </w:p>
    <w:p w14:paraId="15A13310" w14:textId="509E9AA1" w:rsidR="008142B3" w:rsidRPr="005734B8" w:rsidRDefault="008142B3" w:rsidP="008142B3">
      <w:pPr>
        <w:rPr>
          <w:rFonts w:ascii="Calibri" w:hAnsi="Calibri" w:cs="Calibri"/>
        </w:rPr>
      </w:pPr>
      <w:r w:rsidRPr="005734B8">
        <w:rPr>
          <w:rFonts w:ascii="Calibri" w:hAnsi="Calibri" w:cs="Calibri"/>
          <w:b/>
        </w:rPr>
        <w:t>Email</w:t>
      </w:r>
      <w:r w:rsidRPr="005734B8">
        <w:rPr>
          <w:rFonts w:ascii="Calibri" w:hAnsi="Calibri" w:cs="Calibri"/>
        </w:rPr>
        <w:t xml:space="preserve">: See the website above for the secure email disclosure process, which also provides for anonymous disclosures. </w:t>
      </w:r>
    </w:p>
    <w:p w14:paraId="6430B185" w14:textId="77777777" w:rsidR="008142B3" w:rsidRPr="005734B8" w:rsidRDefault="008142B3" w:rsidP="008142B3">
      <w:pPr>
        <w:pStyle w:val="ESHeading3"/>
        <w:ind w:left="0" w:firstLine="0"/>
        <w:rPr>
          <w:rFonts w:ascii="Calibri" w:hAnsi="Calibri" w:cs="Calibri"/>
        </w:rPr>
      </w:pPr>
      <w:bookmarkStart w:id="933" w:name="_Toc9432488"/>
      <w:bookmarkStart w:id="934" w:name="_Toc14965501"/>
      <w:bookmarkStart w:id="935" w:name="_Toc19272080"/>
      <w:bookmarkStart w:id="936" w:name="_Toc19272446"/>
      <w:bookmarkStart w:id="937" w:name="_Toc19273781"/>
      <w:r w:rsidRPr="005734B8">
        <w:rPr>
          <w:rFonts w:ascii="Calibri" w:hAnsi="Calibri" w:cs="Calibri"/>
        </w:rPr>
        <w:t>Further information</w:t>
      </w:r>
      <w:bookmarkEnd w:id="933"/>
      <w:bookmarkEnd w:id="934"/>
      <w:bookmarkEnd w:id="935"/>
      <w:bookmarkEnd w:id="936"/>
      <w:bookmarkEnd w:id="937"/>
    </w:p>
    <w:p w14:paraId="3B172ACF" w14:textId="77777777" w:rsidR="008142B3" w:rsidRPr="005734B8" w:rsidRDefault="008142B3" w:rsidP="008142B3">
      <w:pPr>
        <w:rPr>
          <w:rFonts w:ascii="Calibri" w:hAnsi="Calibri" w:cs="Calibri"/>
        </w:rPr>
      </w:pPr>
      <w:r w:rsidRPr="005734B8">
        <w:rPr>
          <w:rFonts w:ascii="Calibri" w:hAnsi="Calibri" w:cs="Calibri"/>
        </w:rPr>
        <w:t>The Department has published guidelines regarding the procedures it has instituted to comply with the PID Act at</w:t>
      </w:r>
    </w:p>
    <w:p w14:paraId="468DFDD4" w14:textId="727A5BB0" w:rsidR="00AD2F5F" w:rsidRPr="005734B8" w:rsidRDefault="006C463E" w:rsidP="00AD2F5F">
      <w:pPr>
        <w:rPr>
          <w:rFonts w:ascii="Calibri" w:hAnsi="Calibri" w:cs="Calibri"/>
        </w:rPr>
      </w:pPr>
      <w:hyperlink r:id="rId52" w:history="1">
        <w:r w:rsidR="008142B3" w:rsidRPr="005734B8">
          <w:rPr>
            <w:rStyle w:val="Hyperlink"/>
            <w:rFonts w:ascii="Calibri" w:hAnsi="Calibri" w:cs="Calibri"/>
          </w:rPr>
          <w:t>www.education.vic.gov.au/about/contact/Pages/reportingfraud.aspx</w:t>
        </w:r>
      </w:hyperlink>
    </w:p>
    <w:p w14:paraId="5B1C64E0" w14:textId="77777777" w:rsidR="00E01CA0" w:rsidRPr="005734B8" w:rsidRDefault="00E01CA0" w:rsidP="00AD2F5F">
      <w:pPr>
        <w:rPr>
          <w:rFonts w:ascii="Calibri" w:hAnsi="Calibri" w:cs="Calibri"/>
        </w:rPr>
      </w:pPr>
    </w:p>
    <w:p w14:paraId="30AC56ED" w14:textId="0BD82C2A" w:rsidR="008142B3" w:rsidRPr="005734B8" w:rsidRDefault="008142B3" w:rsidP="008142B3">
      <w:pPr>
        <w:pStyle w:val="ESTableintroheading"/>
        <w:rPr>
          <w:rFonts w:ascii="Calibri" w:hAnsi="Calibri" w:cs="Calibri"/>
        </w:rPr>
      </w:pPr>
      <w:bookmarkStart w:id="938" w:name="_Toc11158269"/>
      <w:bookmarkStart w:id="939" w:name="_Toc11336276"/>
      <w:bookmarkStart w:id="940" w:name="_Toc13656698"/>
      <w:bookmarkStart w:id="941" w:name="_Toc14965502"/>
      <w:bookmarkStart w:id="942" w:name="_Toc15985284"/>
      <w:bookmarkStart w:id="943" w:name="_Toc19272081"/>
      <w:bookmarkStart w:id="944" w:name="_Toc19272447"/>
      <w:bookmarkStart w:id="945" w:name="_Toc19273782"/>
      <w:bookmarkStart w:id="946" w:name="_Toc48402805"/>
      <w:bookmarkStart w:id="947" w:name="_Toc48403042"/>
      <w:bookmarkStart w:id="948" w:name="_Toc51332785"/>
      <w:bookmarkStart w:id="949" w:name="_Toc11158275"/>
      <w:bookmarkStart w:id="950" w:name="_Toc11336282"/>
      <w:bookmarkStart w:id="951" w:name="_Toc13656700"/>
      <w:r w:rsidRPr="005734B8">
        <w:rPr>
          <w:rFonts w:ascii="Calibri" w:hAnsi="Calibri" w:cs="Calibri"/>
        </w:rPr>
        <w:t>Disclosures under the P</w:t>
      </w:r>
      <w:r w:rsidR="00E3772C" w:rsidRPr="005734B8">
        <w:rPr>
          <w:rFonts w:ascii="Calibri" w:hAnsi="Calibri" w:cs="Calibri"/>
        </w:rPr>
        <w:t xml:space="preserve">ublic </w:t>
      </w:r>
      <w:r w:rsidRPr="005734B8">
        <w:rPr>
          <w:rFonts w:ascii="Calibri" w:hAnsi="Calibri" w:cs="Calibri"/>
        </w:rPr>
        <w:t>I</w:t>
      </w:r>
      <w:r w:rsidR="00E3772C" w:rsidRPr="005734B8">
        <w:rPr>
          <w:rFonts w:ascii="Calibri" w:hAnsi="Calibri" w:cs="Calibri"/>
        </w:rPr>
        <w:t xml:space="preserve">nterest </w:t>
      </w:r>
      <w:r w:rsidRPr="005734B8">
        <w:rPr>
          <w:rFonts w:ascii="Calibri" w:hAnsi="Calibri" w:cs="Calibri"/>
        </w:rPr>
        <w:t>D</w:t>
      </w:r>
      <w:r w:rsidR="00E3772C" w:rsidRPr="005734B8">
        <w:rPr>
          <w:rFonts w:ascii="Calibri" w:hAnsi="Calibri" w:cs="Calibri"/>
        </w:rPr>
        <w:t>isclosure</w:t>
      </w:r>
      <w:r w:rsidRPr="005734B8">
        <w:rPr>
          <w:rFonts w:ascii="Calibri" w:hAnsi="Calibri" w:cs="Calibri"/>
        </w:rPr>
        <w:t xml:space="preserve"> Act</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964"/>
        <w:gridCol w:w="989"/>
        <w:gridCol w:w="989"/>
        <w:gridCol w:w="989"/>
        <w:gridCol w:w="990"/>
      </w:tblGrid>
      <w:tr w:rsidR="008142B3" w:rsidRPr="005734B8" w14:paraId="448E9EA7" w14:textId="77777777" w:rsidTr="00C742B0">
        <w:trPr>
          <w:cantSplit/>
          <w:trHeight w:val="242"/>
          <w:tblHeader/>
        </w:trPr>
        <w:tc>
          <w:tcPr>
            <w:tcW w:w="3964" w:type="dxa"/>
            <w:tcBorders>
              <w:bottom w:val="single" w:sz="4" w:space="0" w:color="53565A" w:themeColor="accent5"/>
            </w:tcBorders>
            <w:shd w:val="clear" w:color="auto" w:fill="AF272F" w:themeFill="accent4"/>
          </w:tcPr>
          <w:p w14:paraId="5E8F8109" w14:textId="7F230465" w:rsidR="008142B3" w:rsidRPr="005734B8" w:rsidRDefault="008142B3" w:rsidP="00C742B0">
            <w:pPr>
              <w:pStyle w:val="ESTableheadingwhite"/>
              <w:rPr>
                <w:rFonts w:ascii="Calibri" w:hAnsi="Calibri" w:cs="Calibri"/>
                <w:sz w:val="18"/>
              </w:rPr>
            </w:pPr>
          </w:p>
        </w:tc>
        <w:tc>
          <w:tcPr>
            <w:tcW w:w="989" w:type="dxa"/>
            <w:tcBorders>
              <w:bottom w:val="single" w:sz="4" w:space="0" w:color="53565A" w:themeColor="accent5"/>
            </w:tcBorders>
            <w:shd w:val="clear" w:color="auto" w:fill="AF272F" w:themeFill="accent4"/>
            <w:vAlign w:val="center"/>
          </w:tcPr>
          <w:p w14:paraId="4256264A" w14:textId="77777777" w:rsidR="008142B3" w:rsidRPr="005734B8" w:rsidRDefault="008142B3" w:rsidP="00C742B0">
            <w:pPr>
              <w:pStyle w:val="ESTableheadingwhite"/>
              <w:jc w:val="center"/>
              <w:rPr>
                <w:rFonts w:ascii="Calibri" w:hAnsi="Calibri" w:cs="Calibri"/>
                <w:sz w:val="18"/>
              </w:rPr>
            </w:pPr>
            <w:r w:rsidRPr="005734B8">
              <w:rPr>
                <w:rFonts w:ascii="Calibri" w:hAnsi="Calibri" w:cs="Calibri"/>
                <w:sz w:val="18"/>
              </w:rPr>
              <w:t>2020–21</w:t>
            </w:r>
          </w:p>
        </w:tc>
        <w:tc>
          <w:tcPr>
            <w:tcW w:w="989" w:type="dxa"/>
            <w:tcBorders>
              <w:bottom w:val="single" w:sz="4" w:space="0" w:color="53565A" w:themeColor="accent5"/>
            </w:tcBorders>
            <w:shd w:val="clear" w:color="auto" w:fill="AF272F" w:themeFill="accent4"/>
            <w:vAlign w:val="center"/>
          </w:tcPr>
          <w:p w14:paraId="7E07AD8F" w14:textId="77777777" w:rsidR="008142B3" w:rsidRPr="005734B8" w:rsidRDefault="008142B3" w:rsidP="00C742B0">
            <w:pPr>
              <w:pStyle w:val="ESTableheadingwhite"/>
              <w:jc w:val="center"/>
              <w:rPr>
                <w:rFonts w:ascii="Calibri" w:hAnsi="Calibri" w:cs="Calibri"/>
                <w:sz w:val="18"/>
              </w:rPr>
            </w:pPr>
            <w:r w:rsidRPr="005734B8">
              <w:rPr>
                <w:rFonts w:ascii="Calibri" w:hAnsi="Calibri" w:cs="Calibri"/>
                <w:sz w:val="18"/>
              </w:rPr>
              <w:t>2019–20</w:t>
            </w:r>
          </w:p>
        </w:tc>
        <w:tc>
          <w:tcPr>
            <w:tcW w:w="989" w:type="dxa"/>
            <w:tcBorders>
              <w:bottom w:val="single" w:sz="4" w:space="0" w:color="53565A" w:themeColor="accent5"/>
            </w:tcBorders>
            <w:shd w:val="clear" w:color="auto" w:fill="AF272F" w:themeFill="accent4"/>
            <w:vAlign w:val="center"/>
          </w:tcPr>
          <w:p w14:paraId="079A4E80" w14:textId="77777777" w:rsidR="008142B3" w:rsidRPr="005734B8" w:rsidRDefault="008142B3" w:rsidP="00C742B0">
            <w:pPr>
              <w:pStyle w:val="ESTableheadingwhite"/>
              <w:jc w:val="center"/>
              <w:rPr>
                <w:rFonts w:ascii="Calibri" w:hAnsi="Calibri" w:cs="Calibri"/>
                <w:sz w:val="18"/>
              </w:rPr>
            </w:pPr>
            <w:r w:rsidRPr="005734B8">
              <w:rPr>
                <w:rFonts w:ascii="Calibri" w:hAnsi="Calibri" w:cs="Calibri"/>
                <w:sz w:val="18"/>
              </w:rPr>
              <w:t>2018–19</w:t>
            </w:r>
          </w:p>
        </w:tc>
        <w:tc>
          <w:tcPr>
            <w:tcW w:w="990" w:type="dxa"/>
            <w:tcBorders>
              <w:bottom w:val="single" w:sz="4" w:space="0" w:color="53565A" w:themeColor="accent5"/>
            </w:tcBorders>
            <w:shd w:val="clear" w:color="auto" w:fill="AF272F" w:themeFill="accent4"/>
            <w:vAlign w:val="center"/>
          </w:tcPr>
          <w:p w14:paraId="45C2283E" w14:textId="77777777" w:rsidR="008142B3" w:rsidRPr="005734B8" w:rsidRDefault="008142B3" w:rsidP="00C742B0">
            <w:pPr>
              <w:pStyle w:val="ESTableheadingwhite"/>
              <w:jc w:val="center"/>
              <w:rPr>
                <w:rFonts w:ascii="Calibri" w:hAnsi="Calibri" w:cs="Calibri"/>
                <w:sz w:val="18"/>
              </w:rPr>
            </w:pPr>
            <w:r w:rsidRPr="005734B8">
              <w:rPr>
                <w:rFonts w:ascii="Calibri" w:hAnsi="Calibri" w:cs="Calibri"/>
                <w:sz w:val="18"/>
              </w:rPr>
              <w:t>2017–18</w:t>
            </w:r>
          </w:p>
        </w:tc>
      </w:tr>
      <w:tr w:rsidR="008142B3" w:rsidRPr="005734B8" w14:paraId="7649110F" w14:textId="77777777" w:rsidTr="00C742B0">
        <w:trPr>
          <w:cantSplit/>
        </w:trPr>
        <w:tc>
          <w:tcPr>
            <w:tcW w:w="3964" w:type="dxa"/>
            <w:tcBorders>
              <w:top w:val="single" w:sz="4" w:space="0" w:color="53565A" w:themeColor="accent5"/>
              <w:bottom w:val="single" w:sz="4" w:space="0" w:color="auto"/>
            </w:tcBorders>
            <w:shd w:val="clear" w:color="auto" w:fill="auto"/>
          </w:tcPr>
          <w:p w14:paraId="2E693520" w14:textId="77777777" w:rsidR="008142B3" w:rsidRPr="005734B8" w:rsidRDefault="008142B3" w:rsidP="00C742B0">
            <w:pPr>
              <w:pStyle w:val="ESTablebody"/>
              <w:rPr>
                <w:rFonts w:ascii="Calibri" w:hAnsi="Calibri" w:cs="Calibri"/>
                <w:sz w:val="18"/>
              </w:rPr>
            </w:pPr>
            <w:r w:rsidRPr="005734B8">
              <w:rPr>
                <w:rFonts w:ascii="Calibri" w:hAnsi="Calibri" w:cs="Calibri"/>
                <w:sz w:val="18"/>
                <w:lang w:val="en-AU"/>
              </w:rPr>
              <w:t>The number of disclosures made by an individual to the Department and notified to</w:t>
            </w:r>
            <w:r w:rsidRPr="005734B8">
              <w:rPr>
                <w:rFonts w:ascii="Calibri" w:hAnsi="Calibri" w:cs="Calibri"/>
              </w:rPr>
              <w:t xml:space="preserve"> </w:t>
            </w:r>
            <w:r w:rsidRPr="005734B8">
              <w:rPr>
                <w:rFonts w:ascii="Calibri" w:hAnsi="Calibri" w:cs="Calibri"/>
                <w:sz w:val="18"/>
                <w:lang w:val="en-AU"/>
              </w:rPr>
              <w:t>the Independent Broad-based Anti-Corruption Commission: assessable disclosures.</w:t>
            </w:r>
          </w:p>
        </w:tc>
        <w:tc>
          <w:tcPr>
            <w:tcW w:w="989" w:type="dxa"/>
            <w:tcBorders>
              <w:top w:val="single" w:sz="4" w:space="0" w:color="53565A" w:themeColor="accent5"/>
              <w:bottom w:val="single" w:sz="4" w:space="0" w:color="auto"/>
            </w:tcBorders>
            <w:shd w:val="clear" w:color="auto" w:fill="D9D9D6" w:themeFill="accent6"/>
            <w:vAlign w:val="center"/>
          </w:tcPr>
          <w:p w14:paraId="1527D8E8" w14:textId="77777777" w:rsidR="008142B3" w:rsidRPr="005734B8" w:rsidRDefault="008142B3" w:rsidP="00C742B0">
            <w:pPr>
              <w:pStyle w:val="ESTablenumberrightaligned"/>
              <w:jc w:val="center"/>
              <w:rPr>
                <w:rFonts w:ascii="Calibri" w:hAnsi="Calibri" w:cs="Calibri"/>
                <w:sz w:val="18"/>
              </w:rPr>
            </w:pPr>
            <w:r w:rsidRPr="005734B8">
              <w:rPr>
                <w:rFonts w:ascii="Calibri" w:hAnsi="Calibri" w:cs="Calibri"/>
                <w:sz w:val="18"/>
              </w:rPr>
              <w:t>10</w:t>
            </w:r>
          </w:p>
        </w:tc>
        <w:tc>
          <w:tcPr>
            <w:tcW w:w="989" w:type="dxa"/>
            <w:tcBorders>
              <w:top w:val="single" w:sz="4" w:space="0" w:color="53565A" w:themeColor="accent5"/>
              <w:bottom w:val="single" w:sz="4" w:space="0" w:color="auto"/>
            </w:tcBorders>
            <w:shd w:val="clear" w:color="auto" w:fill="auto"/>
            <w:vAlign w:val="center"/>
          </w:tcPr>
          <w:p w14:paraId="34B8EC50" w14:textId="77777777" w:rsidR="008142B3" w:rsidRPr="005734B8" w:rsidRDefault="008142B3" w:rsidP="00C742B0">
            <w:pPr>
              <w:pStyle w:val="ESTablenumberrightaligned"/>
              <w:jc w:val="center"/>
              <w:rPr>
                <w:rFonts w:ascii="Calibri" w:hAnsi="Calibri" w:cs="Calibri"/>
                <w:sz w:val="18"/>
              </w:rPr>
            </w:pPr>
            <w:r w:rsidRPr="005734B8">
              <w:rPr>
                <w:rFonts w:ascii="Calibri" w:hAnsi="Calibri" w:cs="Calibri"/>
                <w:sz w:val="18"/>
              </w:rPr>
              <w:t>8</w:t>
            </w:r>
          </w:p>
        </w:tc>
        <w:tc>
          <w:tcPr>
            <w:tcW w:w="989" w:type="dxa"/>
            <w:tcBorders>
              <w:top w:val="single" w:sz="4" w:space="0" w:color="53565A" w:themeColor="accent5"/>
              <w:bottom w:val="single" w:sz="4" w:space="0" w:color="auto"/>
            </w:tcBorders>
            <w:shd w:val="clear" w:color="auto" w:fill="FFFFFF" w:themeFill="background1"/>
            <w:vAlign w:val="center"/>
          </w:tcPr>
          <w:p w14:paraId="354E7D19" w14:textId="77777777" w:rsidR="008142B3" w:rsidRPr="005734B8" w:rsidRDefault="008142B3" w:rsidP="00C742B0">
            <w:pPr>
              <w:pStyle w:val="ESTablenumberrightaligned"/>
              <w:jc w:val="center"/>
              <w:rPr>
                <w:rFonts w:ascii="Calibri" w:hAnsi="Calibri" w:cs="Calibri"/>
                <w:sz w:val="18"/>
              </w:rPr>
            </w:pPr>
            <w:r w:rsidRPr="005734B8">
              <w:rPr>
                <w:rFonts w:ascii="Calibri" w:hAnsi="Calibri" w:cs="Calibri"/>
                <w:sz w:val="18"/>
              </w:rPr>
              <w:t>18</w:t>
            </w:r>
          </w:p>
        </w:tc>
        <w:tc>
          <w:tcPr>
            <w:tcW w:w="990" w:type="dxa"/>
            <w:tcBorders>
              <w:top w:val="single" w:sz="4" w:space="0" w:color="53565A" w:themeColor="accent5"/>
              <w:bottom w:val="single" w:sz="4" w:space="0" w:color="auto"/>
            </w:tcBorders>
            <w:shd w:val="clear" w:color="auto" w:fill="FFFFFF" w:themeFill="background1"/>
            <w:vAlign w:val="center"/>
          </w:tcPr>
          <w:p w14:paraId="1F21FF3A" w14:textId="77777777" w:rsidR="008142B3" w:rsidRPr="005734B8" w:rsidRDefault="008142B3" w:rsidP="00C742B0">
            <w:pPr>
              <w:pStyle w:val="ESTablenumberrightaligned"/>
              <w:jc w:val="center"/>
              <w:rPr>
                <w:rFonts w:ascii="Calibri" w:hAnsi="Calibri" w:cs="Calibri"/>
                <w:sz w:val="18"/>
              </w:rPr>
            </w:pPr>
            <w:r w:rsidRPr="005734B8">
              <w:rPr>
                <w:rFonts w:ascii="Calibri" w:hAnsi="Calibri" w:cs="Calibri"/>
                <w:sz w:val="18"/>
              </w:rPr>
              <w:t>9</w:t>
            </w:r>
          </w:p>
        </w:tc>
      </w:tr>
    </w:tbl>
    <w:p w14:paraId="35319A49" w14:textId="09DCAF72" w:rsidR="00F44BA3" w:rsidRPr="005734B8" w:rsidRDefault="00F44BA3" w:rsidP="00E14DFD">
      <w:pPr>
        <w:pStyle w:val="ESHeading2"/>
        <w:rPr>
          <w:rFonts w:ascii="Calibri" w:hAnsi="Calibri" w:cs="Calibri"/>
        </w:rPr>
      </w:pPr>
      <w:bookmarkStart w:id="952" w:name="_Toc81315349"/>
      <w:r w:rsidRPr="005734B8">
        <w:rPr>
          <w:rFonts w:ascii="Calibri" w:hAnsi="Calibri" w:cs="Calibri"/>
        </w:rPr>
        <w:t>Competitive Neutrality Policy</w:t>
      </w:r>
      <w:bookmarkEnd w:id="952"/>
    </w:p>
    <w:p w14:paraId="6B0F5126" w14:textId="77777777" w:rsidR="00F44BA3" w:rsidRPr="005734B8" w:rsidRDefault="00F44BA3" w:rsidP="00F44BA3">
      <w:pPr>
        <w:rPr>
          <w:rFonts w:ascii="Calibri" w:hAnsi="Calibri" w:cs="Calibri"/>
        </w:rPr>
      </w:pPr>
      <w:r w:rsidRPr="005734B8">
        <w:rPr>
          <w:rFonts w:ascii="Calibri" w:hAnsi="Calibri" w:cs="Calibri"/>
        </w:rPr>
        <w:t xml:space="preserve">Competitive neutrality requires government businesses to ensure, where services compete or potentially compete with the private sector, that any advantage arising solely from being government owned is removed if that advantage is not in the public interest. Government businesses must cost and price these services as if they were </w:t>
      </w:r>
      <w:r w:rsidRPr="005734B8">
        <w:rPr>
          <w:rFonts w:ascii="Calibri" w:hAnsi="Calibri" w:cs="Calibri"/>
        </w:rPr>
        <w:lastRenderedPageBreak/>
        <w:t>privately owned. Competitive Neutrality Policy supports fair competition between public and private businesses and helps government businesses make better resource allocation decisions. This policy is focused on efficient service provision and does not override other government policy objectives.</w:t>
      </w:r>
    </w:p>
    <w:p w14:paraId="45A90E86" w14:textId="77777777" w:rsidR="00F44BA3" w:rsidRPr="005734B8" w:rsidRDefault="00F44BA3" w:rsidP="00F44BA3">
      <w:pPr>
        <w:rPr>
          <w:rFonts w:ascii="Calibri" w:hAnsi="Calibri" w:cs="Calibri"/>
        </w:rPr>
      </w:pPr>
    </w:p>
    <w:p w14:paraId="019EFDEE" w14:textId="2504401B" w:rsidR="00F44BA3" w:rsidRPr="005734B8" w:rsidRDefault="00F44BA3" w:rsidP="00F44BA3">
      <w:pPr>
        <w:rPr>
          <w:rFonts w:ascii="Calibri" w:hAnsi="Calibri" w:cs="Calibri"/>
        </w:rPr>
      </w:pPr>
      <w:r w:rsidRPr="005734B8">
        <w:rPr>
          <w:rFonts w:ascii="Calibri" w:hAnsi="Calibri" w:cs="Calibri"/>
        </w:rPr>
        <w:t>The Department continues to comply with the National Competition Policy. All new legislation and regulations enacted in the portfolio during 2020–2</w:t>
      </w:r>
      <w:r w:rsidR="00E3772C" w:rsidRPr="005734B8">
        <w:rPr>
          <w:rFonts w:ascii="Calibri" w:hAnsi="Calibri" w:cs="Calibri"/>
        </w:rPr>
        <w:t>1</w:t>
      </w:r>
      <w:r w:rsidRPr="005734B8">
        <w:rPr>
          <w:rFonts w:ascii="Calibri" w:hAnsi="Calibri" w:cs="Calibri"/>
        </w:rPr>
        <w:t xml:space="preserve"> was subject to a regulatory burden assessment, which included consideration of the National Competition Policy principles as well as competitive neutrality.</w:t>
      </w:r>
    </w:p>
    <w:p w14:paraId="3C804887" w14:textId="770FD37F" w:rsidR="00E14DFD" w:rsidRPr="005734B8" w:rsidRDefault="00E14DFD" w:rsidP="00E14DFD">
      <w:pPr>
        <w:pStyle w:val="ESHeading2"/>
        <w:rPr>
          <w:rFonts w:ascii="Calibri" w:hAnsi="Calibri" w:cs="Calibri"/>
        </w:rPr>
      </w:pPr>
      <w:bookmarkStart w:id="953" w:name="_Toc81315350"/>
      <w:r w:rsidRPr="005734B8">
        <w:rPr>
          <w:rFonts w:ascii="Calibri" w:hAnsi="Calibri" w:cs="Calibri"/>
        </w:rPr>
        <w:t xml:space="preserve">Compliance with </w:t>
      </w:r>
      <w:r w:rsidR="00740B1E" w:rsidRPr="005734B8">
        <w:rPr>
          <w:rFonts w:ascii="Calibri" w:hAnsi="Calibri" w:cs="Calibri"/>
        </w:rPr>
        <w:t>the</w:t>
      </w:r>
      <w:r w:rsidRPr="005734B8">
        <w:rPr>
          <w:rFonts w:ascii="Calibri" w:hAnsi="Calibri" w:cs="Calibri"/>
        </w:rPr>
        <w:t xml:space="preserve"> Disability Act 2006</w:t>
      </w:r>
      <w:bookmarkEnd w:id="938"/>
      <w:bookmarkEnd w:id="939"/>
      <w:bookmarkEnd w:id="940"/>
      <w:bookmarkEnd w:id="941"/>
      <w:bookmarkEnd w:id="942"/>
      <w:bookmarkEnd w:id="943"/>
      <w:bookmarkEnd w:id="944"/>
      <w:bookmarkEnd w:id="945"/>
      <w:bookmarkEnd w:id="946"/>
      <w:bookmarkEnd w:id="947"/>
      <w:bookmarkEnd w:id="948"/>
      <w:bookmarkEnd w:id="953"/>
    </w:p>
    <w:p w14:paraId="55B41ECF" w14:textId="7B2A0A76" w:rsidR="005958BD" w:rsidRPr="005734B8" w:rsidRDefault="005958BD" w:rsidP="005958BD">
      <w:pPr>
        <w:rPr>
          <w:rFonts w:ascii="Calibri" w:hAnsi="Calibri" w:cs="Calibri"/>
        </w:rPr>
      </w:pPr>
      <w:bookmarkStart w:id="954" w:name="_Toc11158270"/>
      <w:bookmarkStart w:id="955" w:name="_Toc11336277"/>
      <w:bookmarkStart w:id="956" w:name="_Toc14965503"/>
      <w:bookmarkStart w:id="957" w:name="_Toc19272082"/>
      <w:bookmarkStart w:id="958" w:name="_Toc19272448"/>
      <w:bookmarkStart w:id="959" w:name="_Toc19273783"/>
      <w:r w:rsidRPr="005734B8">
        <w:rPr>
          <w:rFonts w:ascii="Calibri" w:hAnsi="Calibri" w:cs="Calibri"/>
        </w:rPr>
        <w:t>The Disability Act 2006 reaffirms and strengthens the rights of people with disability</w:t>
      </w:r>
      <w:r w:rsidR="00E3772C" w:rsidRPr="005734B8">
        <w:rPr>
          <w:rFonts w:ascii="Calibri" w:hAnsi="Calibri" w:cs="Calibri"/>
        </w:rPr>
        <w:t>,</w:t>
      </w:r>
      <w:r w:rsidRPr="005734B8">
        <w:rPr>
          <w:rFonts w:ascii="Calibri" w:hAnsi="Calibri" w:cs="Calibri"/>
        </w:rPr>
        <w:t xml:space="preserve"> and recognises </w:t>
      </w:r>
      <w:r w:rsidR="00E3772C" w:rsidRPr="005734B8">
        <w:rPr>
          <w:rFonts w:ascii="Calibri" w:hAnsi="Calibri" w:cs="Calibri"/>
        </w:rPr>
        <w:t xml:space="preserve">that </w:t>
      </w:r>
      <w:r w:rsidRPr="005734B8">
        <w:rPr>
          <w:rFonts w:ascii="Calibri" w:hAnsi="Calibri" w:cs="Calibri"/>
        </w:rPr>
        <w:t>this requires support across government and community.</w:t>
      </w:r>
    </w:p>
    <w:p w14:paraId="7A0EC5C9" w14:textId="77777777" w:rsidR="00443653" w:rsidRPr="005734B8" w:rsidRDefault="00443653" w:rsidP="005958BD">
      <w:pPr>
        <w:rPr>
          <w:rFonts w:ascii="Calibri" w:hAnsi="Calibri" w:cs="Calibri"/>
        </w:rPr>
      </w:pPr>
    </w:p>
    <w:p w14:paraId="23C6A103" w14:textId="5E7DC70E" w:rsidR="005958BD" w:rsidRPr="005734B8" w:rsidRDefault="005958BD" w:rsidP="005958BD">
      <w:pPr>
        <w:rPr>
          <w:rFonts w:ascii="Calibri" w:hAnsi="Calibri" w:cs="Calibri"/>
        </w:rPr>
      </w:pPr>
      <w:r w:rsidRPr="005734B8">
        <w:rPr>
          <w:rFonts w:ascii="Calibri" w:hAnsi="Calibri" w:cs="Calibri"/>
        </w:rPr>
        <w:t>The Disability Act requires that public sector bodies (including all government departments) prepare a disability action plan</w:t>
      </w:r>
      <w:r w:rsidR="00E3772C" w:rsidRPr="005734B8">
        <w:rPr>
          <w:rFonts w:ascii="Calibri" w:hAnsi="Calibri" w:cs="Calibri"/>
        </w:rPr>
        <w:t>,</w:t>
      </w:r>
      <w:r w:rsidRPr="005734B8">
        <w:rPr>
          <w:rFonts w:ascii="Calibri" w:hAnsi="Calibri" w:cs="Calibri"/>
        </w:rPr>
        <w:t xml:space="preserve"> and report on its implementation in their </w:t>
      </w:r>
      <w:r w:rsidR="00E3772C" w:rsidRPr="005734B8">
        <w:rPr>
          <w:rFonts w:ascii="Calibri" w:hAnsi="Calibri" w:cs="Calibri"/>
        </w:rPr>
        <w:t>A</w:t>
      </w:r>
      <w:r w:rsidRPr="005734B8">
        <w:rPr>
          <w:rFonts w:ascii="Calibri" w:hAnsi="Calibri" w:cs="Calibri"/>
        </w:rPr>
        <w:t xml:space="preserve">nnual </w:t>
      </w:r>
      <w:r w:rsidR="00E3772C" w:rsidRPr="005734B8">
        <w:rPr>
          <w:rFonts w:ascii="Calibri" w:hAnsi="Calibri" w:cs="Calibri"/>
        </w:rPr>
        <w:t>R</w:t>
      </w:r>
      <w:r w:rsidRPr="005734B8">
        <w:rPr>
          <w:rFonts w:ascii="Calibri" w:hAnsi="Calibri" w:cs="Calibri"/>
        </w:rPr>
        <w:t xml:space="preserve">eport. </w:t>
      </w:r>
    </w:p>
    <w:p w14:paraId="161BC6A3" w14:textId="77777777" w:rsidR="005958BD" w:rsidRPr="005734B8" w:rsidRDefault="005958BD" w:rsidP="005958BD">
      <w:pPr>
        <w:rPr>
          <w:rFonts w:ascii="Calibri" w:hAnsi="Calibri" w:cs="Calibri"/>
        </w:rPr>
      </w:pPr>
    </w:p>
    <w:p w14:paraId="42A006D3" w14:textId="77777777" w:rsidR="005958BD" w:rsidRPr="005734B8" w:rsidRDefault="005958BD" w:rsidP="005958BD">
      <w:pPr>
        <w:rPr>
          <w:rFonts w:ascii="Calibri" w:hAnsi="Calibri" w:cs="Calibri"/>
        </w:rPr>
      </w:pPr>
      <w:r w:rsidRPr="005734B8">
        <w:rPr>
          <w:rFonts w:ascii="Calibri" w:hAnsi="Calibri" w:cs="Calibri"/>
        </w:rPr>
        <w:t>A disability action plan is a strategy to remove barriers that prevent people with a disability from using the Department’s goods, services and facilities, and from gaining and keeping employment. Disability action planning also strives to promote the inclusion and participation of people with disability in the community and achieve changes in attitudes and practices to eliminate discrimination.</w:t>
      </w:r>
    </w:p>
    <w:p w14:paraId="10329B8E" w14:textId="77777777" w:rsidR="005958BD" w:rsidRPr="005734B8" w:rsidRDefault="005958BD" w:rsidP="005958BD">
      <w:pPr>
        <w:rPr>
          <w:rFonts w:ascii="Calibri" w:hAnsi="Calibri" w:cs="Calibri"/>
        </w:rPr>
      </w:pPr>
    </w:p>
    <w:p w14:paraId="00865455" w14:textId="35C23211" w:rsidR="005958BD" w:rsidRPr="005734B8" w:rsidRDefault="005958BD" w:rsidP="005958BD">
      <w:pPr>
        <w:rPr>
          <w:rFonts w:ascii="Calibri" w:hAnsi="Calibri" w:cs="Calibri"/>
        </w:rPr>
      </w:pPr>
      <w:r w:rsidRPr="005734B8">
        <w:rPr>
          <w:rFonts w:ascii="Calibri" w:hAnsi="Calibri" w:cs="Calibri"/>
        </w:rPr>
        <w:t>The Department’s Disability Action Plan 2018–2021 highlights how the Department supports the Victorian Government’s vision of an inclusive Victoria. It outlines the actions taken by the Department to support people with a disability to use departmental services and to engage with, or work for</w:t>
      </w:r>
      <w:r w:rsidR="0078526F" w:rsidRPr="005734B8">
        <w:rPr>
          <w:rFonts w:ascii="Calibri" w:hAnsi="Calibri" w:cs="Calibri"/>
        </w:rPr>
        <w:t>,</w:t>
      </w:r>
      <w:r w:rsidRPr="005734B8">
        <w:rPr>
          <w:rFonts w:ascii="Calibri" w:hAnsi="Calibri" w:cs="Calibri"/>
        </w:rPr>
        <w:t xml:space="preserve"> the Department. It is aligned to the State Disability Plan: Absolutely Everyone. </w:t>
      </w:r>
    </w:p>
    <w:p w14:paraId="56222D2A" w14:textId="1663918D" w:rsidR="00C742B0" w:rsidRPr="005734B8" w:rsidRDefault="00C742B0" w:rsidP="00C742B0">
      <w:pPr>
        <w:pStyle w:val="ESHeading3"/>
        <w:ind w:left="0" w:firstLine="0"/>
        <w:rPr>
          <w:rFonts w:ascii="Calibri" w:hAnsi="Calibri" w:cs="Calibri"/>
        </w:rPr>
      </w:pPr>
      <w:bookmarkStart w:id="960" w:name="_Toc11158271"/>
      <w:bookmarkStart w:id="961" w:name="_Toc11336278"/>
      <w:bookmarkStart w:id="962" w:name="_Toc14965504"/>
      <w:bookmarkStart w:id="963" w:name="_Toc19272083"/>
      <w:bookmarkStart w:id="964" w:name="_Toc19272449"/>
      <w:bookmarkStart w:id="965" w:name="_Toc19273784"/>
      <w:bookmarkEnd w:id="954"/>
      <w:bookmarkEnd w:id="955"/>
      <w:bookmarkEnd w:id="956"/>
      <w:bookmarkEnd w:id="957"/>
      <w:bookmarkEnd w:id="958"/>
      <w:bookmarkEnd w:id="959"/>
      <w:r w:rsidRPr="005734B8">
        <w:rPr>
          <w:rFonts w:ascii="Calibri" w:hAnsi="Calibri" w:cs="Calibri"/>
        </w:rPr>
        <w:t>Reducing barriers to accessing goods, services and facilities</w:t>
      </w:r>
    </w:p>
    <w:p w14:paraId="31CA69DE" w14:textId="6DB35E71" w:rsidR="00C742B0" w:rsidRPr="005734B8" w:rsidRDefault="00C742B0" w:rsidP="00C742B0">
      <w:pPr>
        <w:rPr>
          <w:rFonts w:ascii="Calibri" w:hAnsi="Calibri" w:cs="Calibri"/>
        </w:rPr>
      </w:pPr>
      <w:r w:rsidRPr="005734B8">
        <w:rPr>
          <w:rFonts w:ascii="Calibri" w:hAnsi="Calibri" w:cs="Calibri"/>
        </w:rPr>
        <w:t>Every year the Department delivers and regulates statewide learning and development services for at least one-third of all Victorians. The Department is building an inclusive education system that allows all students to learn and thrive on the same basis as their peers. In 2019–20 the Department continued to develop resources and deliver professional training across a range of areas</w:t>
      </w:r>
      <w:r w:rsidR="0078526F" w:rsidRPr="005734B8">
        <w:rPr>
          <w:rFonts w:ascii="Calibri" w:hAnsi="Calibri" w:cs="Calibri"/>
        </w:rPr>
        <w:t>,</w:t>
      </w:r>
      <w:r w:rsidRPr="005734B8">
        <w:rPr>
          <w:rFonts w:ascii="Calibri" w:hAnsi="Calibri" w:cs="Calibri"/>
        </w:rPr>
        <w:t xml:space="preserve"> including inclusive education practices, learning difficulties, and disability awareness. This work included the Department’s partnership with Deakin University to develop AllPlay Learn—an evidence</w:t>
      </w:r>
      <w:r w:rsidRPr="005734B8">
        <w:rPr>
          <w:rFonts w:ascii="Calibri" w:hAnsi="Calibri" w:cs="Calibri"/>
        </w:rPr>
        <w:noBreakHyphen/>
        <w:t xml:space="preserve">based online suite of inclusive education resources for students, families and schools. The </w:t>
      </w:r>
      <w:r w:rsidR="009B7DC2" w:rsidRPr="005734B8">
        <w:rPr>
          <w:rFonts w:ascii="Calibri" w:hAnsi="Calibri" w:cs="Calibri"/>
        </w:rPr>
        <w:t>A</w:t>
      </w:r>
      <w:r w:rsidRPr="005734B8">
        <w:rPr>
          <w:rFonts w:ascii="Calibri" w:hAnsi="Calibri" w:cs="Calibri"/>
        </w:rPr>
        <w:t xml:space="preserve">ccessible </w:t>
      </w:r>
      <w:r w:rsidR="009B7DC2" w:rsidRPr="005734B8">
        <w:rPr>
          <w:rFonts w:ascii="Calibri" w:hAnsi="Calibri" w:cs="Calibri"/>
        </w:rPr>
        <w:t>B</w:t>
      </w:r>
      <w:r w:rsidRPr="005734B8">
        <w:rPr>
          <w:rFonts w:ascii="Calibri" w:hAnsi="Calibri" w:cs="Calibri"/>
        </w:rPr>
        <w:t xml:space="preserve">uildings </w:t>
      </w:r>
      <w:r w:rsidR="009B7DC2" w:rsidRPr="005734B8">
        <w:rPr>
          <w:rFonts w:ascii="Calibri" w:hAnsi="Calibri" w:cs="Calibri"/>
        </w:rPr>
        <w:t>P</w:t>
      </w:r>
      <w:r w:rsidRPr="005734B8">
        <w:rPr>
          <w:rFonts w:ascii="Calibri" w:hAnsi="Calibri" w:cs="Calibri"/>
        </w:rPr>
        <w:t xml:space="preserve">rogram improved access to school buildings for students, staff and community members with disabilities. The Department’s revised Building Quality Standard Handbook (2020) ensures that all school facilities are built to include students with disabilities. </w:t>
      </w:r>
    </w:p>
    <w:p w14:paraId="399F5F17" w14:textId="3491F9B7" w:rsidR="00C742B0" w:rsidRPr="005734B8" w:rsidRDefault="00C742B0" w:rsidP="00C742B0">
      <w:pPr>
        <w:pStyle w:val="ESHeading3"/>
        <w:ind w:left="0" w:firstLine="0"/>
        <w:rPr>
          <w:rFonts w:ascii="Calibri" w:hAnsi="Calibri" w:cs="Calibri"/>
        </w:rPr>
      </w:pPr>
      <w:bookmarkStart w:id="966" w:name="_Toc11158272"/>
      <w:bookmarkStart w:id="967" w:name="_Toc11336279"/>
      <w:bookmarkStart w:id="968" w:name="_Toc14965505"/>
      <w:bookmarkStart w:id="969" w:name="_Toc19272084"/>
      <w:bookmarkStart w:id="970" w:name="_Toc19272450"/>
      <w:bookmarkStart w:id="971" w:name="_Toc19273785"/>
      <w:bookmarkEnd w:id="960"/>
      <w:bookmarkEnd w:id="961"/>
      <w:bookmarkEnd w:id="962"/>
      <w:bookmarkEnd w:id="963"/>
      <w:bookmarkEnd w:id="964"/>
      <w:bookmarkEnd w:id="965"/>
      <w:r w:rsidRPr="005734B8">
        <w:rPr>
          <w:rFonts w:ascii="Calibri" w:hAnsi="Calibri" w:cs="Calibri"/>
        </w:rPr>
        <w:t>Reducing barriers to persons with a disability obtaining and maintaining employment</w:t>
      </w:r>
    </w:p>
    <w:p w14:paraId="23DCCF6E" w14:textId="4A1BA05F" w:rsidR="00215D8D" w:rsidRPr="005734B8" w:rsidRDefault="00C742B0" w:rsidP="00C742B0">
      <w:pPr>
        <w:rPr>
          <w:rFonts w:ascii="Calibri" w:hAnsi="Calibri" w:cs="Calibri"/>
        </w:rPr>
      </w:pPr>
      <w:r w:rsidRPr="005734B8">
        <w:rPr>
          <w:rFonts w:ascii="Calibri" w:hAnsi="Calibri" w:cs="Calibri"/>
        </w:rPr>
        <w:t xml:space="preserve">The Department, in conjunction with staff, developed a </w:t>
      </w:r>
      <w:hyperlink r:id="rId53" w:history="1">
        <w:r w:rsidRPr="005734B8">
          <w:rPr>
            <w:rFonts w:ascii="Calibri" w:hAnsi="Calibri" w:cs="Calibri"/>
          </w:rPr>
          <w:t>Disability Employment Plan 2019–22</w:t>
        </w:r>
      </w:hyperlink>
      <w:r w:rsidRPr="005734B8">
        <w:rPr>
          <w:rFonts w:ascii="Calibri" w:hAnsi="Calibri" w:cs="Calibri"/>
        </w:rPr>
        <w:t xml:space="preserve">. This plan describes the Department’s commitment to boosting employment opportunities and career experiences for people with disability. The plan continues to improve employment opportunities and outcomes for people with disability in the Department. </w:t>
      </w:r>
      <w:r w:rsidR="00215D8D" w:rsidRPr="005734B8">
        <w:rPr>
          <w:rFonts w:ascii="Calibri" w:hAnsi="Calibri" w:cs="Calibri"/>
        </w:rPr>
        <w:br w:type="page"/>
      </w:r>
    </w:p>
    <w:p w14:paraId="320FB592" w14:textId="2A03FE8A" w:rsidR="00C742B0" w:rsidRPr="005734B8" w:rsidRDefault="00C742B0" w:rsidP="00C742B0">
      <w:pPr>
        <w:pStyle w:val="ESHeading3"/>
        <w:ind w:left="0" w:firstLine="0"/>
        <w:rPr>
          <w:rFonts w:ascii="Calibri" w:hAnsi="Calibri" w:cs="Calibri"/>
        </w:rPr>
      </w:pPr>
      <w:bookmarkStart w:id="972" w:name="_Toc11158273"/>
      <w:bookmarkStart w:id="973" w:name="_Toc11336280"/>
      <w:bookmarkStart w:id="974" w:name="_Toc14965506"/>
      <w:bookmarkStart w:id="975" w:name="_Toc19272085"/>
      <w:bookmarkStart w:id="976" w:name="_Toc19272451"/>
      <w:bookmarkStart w:id="977" w:name="_Toc19273786"/>
      <w:bookmarkEnd w:id="966"/>
      <w:bookmarkEnd w:id="967"/>
      <w:bookmarkEnd w:id="968"/>
      <w:bookmarkEnd w:id="969"/>
      <w:bookmarkEnd w:id="970"/>
      <w:bookmarkEnd w:id="971"/>
      <w:r w:rsidRPr="005734B8">
        <w:rPr>
          <w:rFonts w:ascii="Calibri" w:hAnsi="Calibri" w:cs="Calibri"/>
        </w:rPr>
        <w:lastRenderedPageBreak/>
        <w:t>Promoting inclusion and participation in the community</w:t>
      </w:r>
    </w:p>
    <w:p w14:paraId="72DB4649" w14:textId="153B09CB" w:rsidR="00C742B0" w:rsidRPr="005734B8" w:rsidRDefault="00C742B0" w:rsidP="00C742B0">
      <w:pPr>
        <w:autoSpaceDE w:val="0"/>
        <w:autoSpaceDN w:val="0"/>
        <w:adjustRightInd w:val="0"/>
        <w:rPr>
          <w:rFonts w:ascii="Calibri" w:hAnsi="Calibri" w:cs="Calibri"/>
        </w:rPr>
      </w:pPr>
      <w:r w:rsidRPr="005734B8">
        <w:rPr>
          <w:rFonts w:ascii="Calibri" w:hAnsi="Calibri" w:cs="Calibri"/>
        </w:rPr>
        <w:t xml:space="preserve">The Department’s Disability Action Plan 2018–21 identifies priorities and actions to build inclusive education for people with disability across Victoria—in early childhood centres, schools and higher education settings. The Department also manages a suite of policies and programs to strengthen inclusive education in Victorian government schools, including the Program for Students with </w:t>
      </w:r>
      <w:r w:rsidRPr="005734B8" w:rsidDel="00793897">
        <w:rPr>
          <w:rFonts w:ascii="Calibri" w:hAnsi="Calibri" w:cs="Calibri"/>
        </w:rPr>
        <w:t>Disabilities</w:t>
      </w:r>
      <w:r w:rsidRPr="005734B8">
        <w:rPr>
          <w:rFonts w:ascii="Calibri" w:hAnsi="Calibri" w:cs="Calibri"/>
        </w:rPr>
        <w:t>, the Inclusive Schools Fund, the Inclusive Kindergarten Facilities Program</w:t>
      </w:r>
      <w:r w:rsidR="0078526F" w:rsidRPr="005734B8">
        <w:rPr>
          <w:rFonts w:ascii="Calibri" w:hAnsi="Calibri" w:cs="Calibri"/>
        </w:rPr>
        <w:t>,</w:t>
      </w:r>
      <w:r w:rsidRPr="005734B8">
        <w:rPr>
          <w:rFonts w:ascii="Calibri" w:hAnsi="Calibri" w:cs="Calibri"/>
        </w:rPr>
        <w:t xml:space="preserve"> and additional transport, welfare and support services for students and children with disability.</w:t>
      </w:r>
    </w:p>
    <w:p w14:paraId="0E72AE87" w14:textId="34F1A37D" w:rsidR="00C742B0" w:rsidRPr="005734B8" w:rsidRDefault="00C742B0" w:rsidP="00C742B0">
      <w:pPr>
        <w:pStyle w:val="ESHeading3"/>
        <w:ind w:left="0" w:firstLine="0"/>
        <w:rPr>
          <w:rFonts w:ascii="Calibri" w:hAnsi="Calibri" w:cs="Calibri"/>
        </w:rPr>
      </w:pPr>
      <w:bookmarkStart w:id="978" w:name="_Toc11158274"/>
      <w:bookmarkStart w:id="979" w:name="_Toc11336281"/>
      <w:bookmarkStart w:id="980" w:name="_Toc13656699"/>
      <w:bookmarkStart w:id="981" w:name="_Toc14965507"/>
      <w:bookmarkStart w:id="982" w:name="_Toc15985285"/>
      <w:bookmarkStart w:id="983" w:name="_Toc19272086"/>
      <w:bookmarkStart w:id="984" w:name="_Toc19272452"/>
      <w:bookmarkStart w:id="985" w:name="_Toc19273787"/>
      <w:bookmarkStart w:id="986" w:name="_Toc48402806"/>
      <w:bookmarkStart w:id="987" w:name="_Toc48403043"/>
      <w:bookmarkStart w:id="988" w:name="_Toc51332786"/>
      <w:bookmarkEnd w:id="972"/>
      <w:bookmarkEnd w:id="973"/>
      <w:bookmarkEnd w:id="974"/>
      <w:bookmarkEnd w:id="975"/>
      <w:bookmarkEnd w:id="976"/>
      <w:bookmarkEnd w:id="977"/>
      <w:r w:rsidRPr="005734B8">
        <w:rPr>
          <w:rFonts w:ascii="Calibri" w:hAnsi="Calibri" w:cs="Calibri"/>
        </w:rPr>
        <w:t>Achieving tangible changes in attitudes and practices that discriminate against people with a disability</w:t>
      </w:r>
    </w:p>
    <w:p w14:paraId="609E323B" w14:textId="3CE6F3C8" w:rsidR="00C742B0" w:rsidRPr="005734B8" w:rsidRDefault="00C742B0" w:rsidP="00C742B0">
      <w:pPr>
        <w:rPr>
          <w:rFonts w:ascii="Calibri" w:hAnsi="Calibri" w:cs="Calibri"/>
        </w:rPr>
      </w:pPr>
      <w:r w:rsidRPr="005734B8">
        <w:rPr>
          <w:rFonts w:ascii="Calibri" w:hAnsi="Calibri" w:cs="Calibri"/>
        </w:rPr>
        <w:t>The Department’s disability champion, the Deputy Secretary, PES continues to champion disability inclusion across the Department. A key focus of the role is to raise awareness across the Department to ensure accessibility and inclusion. In addition, the Deputy Secretary, FPIS is the executive sponsor for the Department’s Enablers Network. The network is a conduit for staff with lived experience of disability policy and program development.</w:t>
      </w:r>
    </w:p>
    <w:p w14:paraId="2FF9DC53" w14:textId="781D89FF" w:rsidR="00E14DFD" w:rsidRPr="005734B8" w:rsidRDefault="00E14DFD" w:rsidP="00E14DFD">
      <w:pPr>
        <w:pStyle w:val="ESHeading2"/>
        <w:rPr>
          <w:rFonts w:ascii="Calibri" w:hAnsi="Calibri" w:cs="Calibri"/>
          <w:i/>
        </w:rPr>
      </w:pPr>
      <w:bookmarkStart w:id="989" w:name="_Toc81315351"/>
      <w:r w:rsidRPr="005734B8">
        <w:rPr>
          <w:rFonts w:ascii="Calibri" w:hAnsi="Calibri" w:cs="Calibri"/>
        </w:rPr>
        <w:t>Compliance with Carers Recognition Act 2012</w:t>
      </w:r>
      <w:bookmarkEnd w:id="978"/>
      <w:bookmarkEnd w:id="979"/>
      <w:bookmarkEnd w:id="980"/>
      <w:bookmarkEnd w:id="981"/>
      <w:bookmarkEnd w:id="982"/>
      <w:bookmarkEnd w:id="983"/>
      <w:bookmarkEnd w:id="984"/>
      <w:bookmarkEnd w:id="985"/>
      <w:bookmarkEnd w:id="986"/>
      <w:bookmarkEnd w:id="987"/>
      <w:bookmarkEnd w:id="988"/>
      <w:bookmarkEnd w:id="989"/>
    </w:p>
    <w:p w14:paraId="1F861C4B" w14:textId="6B54FD14" w:rsidR="00C742B0" w:rsidRPr="005734B8" w:rsidRDefault="00C742B0" w:rsidP="00C742B0">
      <w:pPr>
        <w:rPr>
          <w:rFonts w:ascii="Calibri" w:hAnsi="Calibri" w:cs="Calibri"/>
        </w:rPr>
      </w:pPr>
      <w:bookmarkStart w:id="990" w:name="_Toc14965508"/>
      <w:bookmarkStart w:id="991" w:name="_Toc15985286"/>
      <w:bookmarkStart w:id="992" w:name="_Toc19272087"/>
      <w:bookmarkStart w:id="993" w:name="_Toc19272453"/>
      <w:bookmarkStart w:id="994" w:name="_Toc19273788"/>
      <w:bookmarkStart w:id="995" w:name="_Toc48402807"/>
      <w:bookmarkStart w:id="996" w:name="_Toc48403044"/>
      <w:bookmarkStart w:id="997" w:name="_Toc51332787"/>
      <w:r w:rsidRPr="005734B8">
        <w:rPr>
          <w:rFonts w:ascii="Calibri" w:hAnsi="Calibri" w:cs="Calibri"/>
        </w:rPr>
        <w:t xml:space="preserve">The Department ensures that the rights and interests articulated in the </w:t>
      </w:r>
      <w:r w:rsidRPr="005734B8">
        <w:rPr>
          <w:rFonts w:ascii="Calibri" w:hAnsi="Calibri" w:cs="Calibri"/>
          <w:i/>
        </w:rPr>
        <w:t>Carers Recognition Act 2012</w:t>
      </w:r>
      <w:r w:rsidRPr="005734B8">
        <w:rPr>
          <w:rFonts w:ascii="Calibri" w:hAnsi="Calibri" w:cs="Calibri"/>
        </w:rPr>
        <w:t xml:space="preserve"> are considered when delivering its services to clients </w:t>
      </w:r>
      <w:r w:rsidR="0078526F" w:rsidRPr="005734B8">
        <w:rPr>
          <w:rFonts w:ascii="Calibri" w:hAnsi="Calibri" w:cs="Calibri"/>
        </w:rPr>
        <w:t>who are</w:t>
      </w:r>
      <w:r w:rsidRPr="005734B8">
        <w:rPr>
          <w:rFonts w:ascii="Calibri" w:hAnsi="Calibri" w:cs="Calibri"/>
        </w:rPr>
        <w:t xml:space="preserve"> in a care relationship. The Department has taken all practical measures to comply with its obligations under this Act.</w:t>
      </w:r>
    </w:p>
    <w:p w14:paraId="5866776F" w14:textId="5C487DDC" w:rsidR="004E24D9" w:rsidRPr="005734B8" w:rsidRDefault="004E24D9" w:rsidP="004E24D9">
      <w:pPr>
        <w:pStyle w:val="ESHeading2"/>
        <w:rPr>
          <w:rFonts w:ascii="Calibri" w:hAnsi="Calibri" w:cs="Calibri"/>
          <w:i/>
        </w:rPr>
      </w:pPr>
      <w:bookmarkStart w:id="998" w:name="_Toc81315352"/>
      <w:r w:rsidRPr="005734B8">
        <w:rPr>
          <w:rFonts w:ascii="Calibri" w:hAnsi="Calibri" w:cs="Calibri"/>
        </w:rPr>
        <w:t>Office-based environmental impacts</w:t>
      </w:r>
      <w:bookmarkEnd w:id="949"/>
      <w:bookmarkEnd w:id="950"/>
      <w:bookmarkEnd w:id="951"/>
      <w:bookmarkEnd w:id="990"/>
      <w:bookmarkEnd w:id="991"/>
      <w:bookmarkEnd w:id="992"/>
      <w:bookmarkEnd w:id="993"/>
      <w:bookmarkEnd w:id="994"/>
      <w:bookmarkEnd w:id="995"/>
      <w:bookmarkEnd w:id="996"/>
      <w:bookmarkEnd w:id="997"/>
      <w:bookmarkEnd w:id="998"/>
    </w:p>
    <w:p w14:paraId="1AEBBDB8" w14:textId="3497D297" w:rsidR="00F30FCD" w:rsidRPr="005734B8" w:rsidRDefault="00F30FCD" w:rsidP="00F30FCD">
      <w:pPr>
        <w:rPr>
          <w:rFonts w:ascii="Calibri" w:hAnsi="Calibri" w:cs="Calibri"/>
        </w:rPr>
      </w:pPr>
      <w:r w:rsidRPr="005734B8">
        <w:rPr>
          <w:rFonts w:ascii="Calibri" w:hAnsi="Calibri" w:cs="Calibri"/>
        </w:rPr>
        <w:t xml:space="preserve">The Department’s Environment Management System was established to meet government requirements under Financial Reporting Direction </w:t>
      </w:r>
      <w:r w:rsidR="003245C3" w:rsidRPr="005734B8">
        <w:rPr>
          <w:rFonts w:ascii="Calibri" w:hAnsi="Calibri" w:cs="Calibri"/>
        </w:rPr>
        <w:t>(FRD)</w:t>
      </w:r>
      <w:r w:rsidRPr="005734B8">
        <w:rPr>
          <w:rFonts w:ascii="Calibri" w:hAnsi="Calibri" w:cs="Calibri"/>
        </w:rPr>
        <w:t xml:space="preserve"> 24D</w:t>
      </w:r>
    </w:p>
    <w:p w14:paraId="60D9EABF" w14:textId="18CEC7FB" w:rsidR="00F30FCD" w:rsidRPr="005734B8" w:rsidRDefault="00F30FCD" w:rsidP="00F30FCD">
      <w:pPr>
        <w:rPr>
          <w:rFonts w:ascii="Calibri" w:hAnsi="Calibri" w:cs="Calibri"/>
        </w:rPr>
      </w:pPr>
      <w:r w:rsidRPr="005734B8">
        <w:rPr>
          <w:rFonts w:ascii="Calibri" w:hAnsi="Calibri" w:cs="Calibri"/>
        </w:rPr>
        <w:t xml:space="preserve">and to reduce </w:t>
      </w:r>
      <w:r w:rsidR="005B527C" w:rsidRPr="005734B8">
        <w:rPr>
          <w:rFonts w:ascii="Calibri" w:hAnsi="Calibri" w:cs="Calibri"/>
        </w:rPr>
        <w:t xml:space="preserve">environmental </w:t>
      </w:r>
      <w:r w:rsidRPr="005734B8">
        <w:rPr>
          <w:rFonts w:ascii="Calibri" w:hAnsi="Calibri" w:cs="Calibri"/>
        </w:rPr>
        <w:t>impact</w:t>
      </w:r>
      <w:r w:rsidR="005B527C" w:rsidRPr="005734B8">
        <w:rPr>
          <w:rFonts w:ascii="Calibri" w:hAnsi="Calibri" w:cs="Calibri"/>
        </w:rPr>
        <w:t>s</w:t>
      </w:r>
      <w:r w:rsidRPr="005734B8">
        <w:rPr>
          <w:rFonts w:ascii="Calibri" w:hAnsi="Calibri" w:cs="Calibri"/>
        </w:rPr>
        <w:t xml:space="preserve">. It allows the Department to monitor environmental performance and further </w:t>
      </w:r>
      <w:r w:rsidR="003245C3" w:rsidRPr="005734B8">
        <w:rPr>
          <w:rFonts w:ascii="Calibri" w:hAnsi="Calibri" w:cs="Calibri"/>
        </w:rPr>
        <w:t>r</w:t>
      </w:r>
      <w:r w:rsidRPr="005734B8">
        <w:rPr>
          <w:rFonts w:ascii="Calibri" w:hAnsi="Calibri" w:cs="Calibri"/>
        </w:rPr>
        <w:t>educe environmental impacts of office-based activities.</w:t>
      </w:r>
    </w:p>
    <w:p w14:paraId="230F965A" w14:textId="77777777" w:rsidR="00F30FCD" w:rsidRPr="005734B8" w:rsidRDefault="00F30FCD" w:rsidP="00F30FCD">
      <w:pPr>
        <w:rPr>
          <w:rFonts w:ascii="Calibri" w:hAnsi="Calibri" w:cs="Calibri"/>
          <w:highlight w:val="cyan"/>
        </w:rPr>
      </w:pPr>
    </w:p>
    <w:p w14:paraId="2807C2EE" w14:textId="111E7319" w:rsidR="00F30FCD" w:rsidRPr="005734B8" w:rsidRDefault="00F30FCD" w:rsidP="00F30FCD">
      <w:pPr>
        <w:rPr>
          <w:rFonts w:ascii="Calibri" w:hAnsi="Calibri" w:cs="Calibri"/>
        </w:rPr>
      </w:pPr>
      <w:r w:rsidRPr="005734B8">
        <w:rPr>
          <w:rFonts w:ascii="Calibri" w:hAnsi="Calibri" w:cs="Calibri"/>
        </w:rPr>
        <w:t xml:space="preserve">In line with government directives, the Department reports against a range of indicators for energy and water consumption, transportation, waste generation, paper purchasing, green procurement and greenhouse gas emissions. Consumption and usage are captured through the Energy and Sustainability Platform (ESP) provided by the Shared Services Provider’s (SSP) contractor, Jones Lang LaSalle. This online tool allows reporting across </w:t>
      </w:r>
      <w:r w:rsidR="005B527C" w:rsidRPr="005734B8">
        <w:rPr>
          <w:rFonts w:ascii="Calibri" w:hAnsi="Calibri" w:cs="Calibri"/>
        </w:rPr>
        <w:t>t</w:t>
      </w:r>
      <w:r w:rsidRPr="005734B8">
        <w:rPr>
          <w:rFonts w:ascii="Calibri" w:hAnsi="Calibri" w:cs="Calibri"/>
        </w:rPr>
        <w:t xml:space="preserve">he Department’s </w:t>
      </w:r>
      <w:r w:rsidR="005B527C" w:rsidRPr="005734B8">
        <w:rPr>
          <w:rFonts w:ascii="Calibri" w:hAnsi="Calibri" w:cs="Calibri"/>
        </w:rPr>
        <w:t xml:space="preserve">Victorian </w:t>
      </w:r>
      <w:r w:rsidRPr="005734B8">
        <w:rPr>
          <w:rFonts w:ascii="Calibri" w:hAnsi="Calibri" w:cs="Calibri"/>
        </w:rPr>
        <w:t>offices.</w:t>
      </w:r>
    </w:p>
    <w:p w14:paraId="05C13C30" w14:textId="77777777" w:rsidR="0092292C" w:rsidRPr="005734B8" w:rsidRDefault="0092292C" w:rsidP="00F30FCD">
      <w:pPr>
        <w:rPr>
          <w:rFonts w:ascii="Calibri" w:hAnsi="Calibri" w:cs="Calibri"/>
        </w:rPr>
      </w:pPr>
    </w:p>
    <w:p w14:paraId="10775D23" w14:textId="341E176C" w:rsidR="00F30FCD" w:rsidRPr="005734B8" w:rsidRDefault="00F30FCD" w:rsidP="00F30FCD">
      <w:pPr>
        <w:rPr>
          <w:rFonts w:ascii="Calibri" w:hAnsi="Calibri" w:cs="Calibri"/>
        </w:rPr>
      </w:pPr>
      <w:r w:rsidRPr="005734B8">
        <w:rPr>
          <w:rFonts w:ascii="Calibri" w:hAnsi="Calibri" w:cs="Calibri"/>
        </w:rPr>
        <w:t xml:space="preserve">The </w:t>
      </w:r>
      <w:r w:rsidR="008B538A" w:rsidRPr="005734B8">
        <w:rPr>
          <w:rFonts w:ascii="Calibri" w:hAnsi="Calibri" w:cs="Calibri"/>
        </w:rPr>
        <w:t>environment management system</w:t>
      </w:r>
      <w:r w:rsidRPr="005734B8">
        <w:rPr>
          <w:rFonts w:ascii="Calibri" w:hAnsi="Calibri" w:cs="Calibri"/>
        </w:rPr>
        <w:t xml:space="preserve"> objectives include:</w:t>
      </w:r>
    </w:p>
    <w:p w14:paraId="2D375FDA" w14:textId="302E7D8B" w:rsidR="00F30FCD" w:rsidRPr="005734B8" w:rsidRDefault="00F30FCD" w:rsidP="00F30FCD">
      <w:pPr>
        <w:pStyle w:val="ListParagraph"/>
        <w:numPr>
          <w:ilvl w:val="0"/>
          <w:numId w:val="8"/>
        </w:numPr>
        <w:rPr>
          <w:rFonts w:ascii="Calibri" w:hAnsi="Calibri" w:cs="Calibri"/>
        </w:rPr>
      </w:pPr>
      <w:r w:rsidRPr="005734B8">
        <w:rPr>
          <w:rFonts w:ascii="Calibri" w:hAnsi="Calibri" w:cs="Calibri"/>
        </w:rPr>
        <w:t>reducing greenhouse gas emissions</w:t>
      </w:r>
    </w:p>
    <w:p w14:paraId="4064E8B7" w14:textId="5B4FE553" w:rsidR="00F30FCD" w:rsidRPr="005734B8" w:rsidRDefault="00F30FCD" w:rsidP="00F30FCD">
      <w:pPr>
        <w:pStyle w:val="ListParagraph"/>
        <w:numPr>
          <w:ilvl w:val="0"/>
          <w:numId w:val="8"/>
        </w:numPr>
        <w:rPr>
          <w:rFonts w:ascii="Calibri" w:hAnsi="Calibri" w:cs="Calibri"/>
        </w:rPr>
      </w:pPr>
      <w:r w:rsidRPr="005734B8">
        <w:rPr>
          <w:rFonts w:ascii="Calibri" w:hAnsi="Calibri" w:cs="Calibri"/>
        </w:rPr>
        <w:t>reducing the amount of waste and maximising the amount of reused and recycled resources</w:t>
      </w:r>
    </w:p>
    <w:p w14:paraId="7A4088FF" w14:textId="60C49434" w:rsidR="00F30FCD" w:rsidRPr="005734B8" w:rsidRDefault="00F30FCD" w:rsidP="00F30FCD">
      <w:pPr>
        <w:pStyle w:val="ListParagraph"/>
        <w:numPr>
          <w:ilvl w:val="0"/>
          <w:numId w:val="8"/>
        </w:numPr>
        <w:rPr>
          <w:rFonts w:ascii="Calibri" w:hAnsi="Calibri" w:cs="Calibri"/>
        </w:rPr>
      </w:pPr>
      <w:r w:rsidRPr="005734B8">
        <w:rPr>
          <w:rFonts w:ascii="Calibri" w:hAnsi="Calibri" w:cs="Calibri"/>
        </w:rPr>
        <w:t xml:space="preserve">ensuring </w:t>
      </w:r>
      <w:r w:rsidR="0078526F" w:rsidRPr="005734B8">
        <w:rPr>
          <w:rFonts w:ascii="Calibri" w:hAnsi="Calibri" w:cs="Calibri"/>
        </w:rPr>
        <w:t xml:space="preserve">that </w:t>
      </w:r>
      <w:r w:rsidRPr="005734B8">
        <w:rPr>
          <w:rFonts w:ascii="Calibri" w:hAnsi="Calibri" w:cs="Calibri"/>
        </w:rPr>
        <w:t>new capital works incorporate environmentally sustainable principles</w:t>
      </w:r>
    </w:p>
    <w:p w14:paraId="5B4726DD" w14:textId="3F0C938A" w:rsidR="00F30FCD" w:rsidRPr="005734B8" w:rsidRDefault="00F30FCD" w:rsidP="00F30FCD">
      <w:pPr>
        <w:pStyle w:val="ListParagraph"/>
        <w:numPr>
          <w:ilvl w:val="0"/>
          <w:numId w:val="8"/>
        </w:numPr>
        <w:rPr>
          <w:rFonts w:ascii="Calibri" w:hAnsi="Calibri" w:cs="Calibri"/>
        </w:rPr>
      </w:pPr>
      <w:r w:rsidRPr="005734B8">
        <w:rPr>
          <w:rFonts w:ascii="Calibri" w:hAnsi="Calibri" w:cs="Calibri"/>
        </w:rPr>
        <w:t>making environmentally sound purchasing decisions for capital items and consumables</w:t>
      </w:r>
    </w:p>
    <w:p w14:paraId="2F3D7719" w14:textId="6896C3B1" w:rsidR="00F30FCD" w:rsidRPr="005734B8" w:rsidRDefault="00F30FCD" w:rsidP="00F30FCD">
      <w:pPr>
        <w:pStyle w:val="ListParagraph"/>
        <w:numPr>
          <w:ilvl w:val="0"/>
          <w:numId w:val="8"/>
        </w:numPr>
        <w:rPr>
          <w:rFonts w:ascii="Calibri" w:hAnsi="Calibri" w:cs="Calibri"/>
        </w:rPr>
      </w:pPr>
      <w:r w:rsidRPr="005734B8">
        <w:rPr>
          <w:rFonts w:ascii="Calibri" w:hAnsi="Calibri" w:cs="Calibri"/>
        </w:rPr>
        <w:t>encouraging staff to reduce environmental impacts</w:t>
      </w:r>
    </w:p>
    <w:p w14:paraId="640EB4AD" w14:textId="3FCCEE80" w:rsidR="00F30FCD" w:rsidRPr="005734B8" w:rsidRDefault="00F30FCD" w:rsidP="00F30FCD">
      <w:pPr>
        <w:pStyle w:val="ListParagraph"/>
        <w:numPr>
          <w:ilvl w:val="0"/>
          <w:numId w:val="8"/>
        </w:numPr>
        <w:rPr>
          <w:rFonts w:ascii="Calibri" w:hAnsi="Calibri" w:cs="Calibri"/>
        </w:rPr>
      </w:pPr>
      <w:r w:rsidRPr="005734B8">
        <w:rPr>
          <w:rFonts w:ascii="Calibri" w:hAnsi="Calibri" w:cs="Calibri"/>
        </w:rPr>
        <w:t>regularly reporting on environmental performance</w:t>
      </w:r>
    </w:p>
    <w:p w14:paraId="23362C56" w14:textId="1F2205ED" w:rsidR="00F30FCD" w:rsidRPr="005734B8" w:rsidRDefault="00F30FCD" w:rsidP="00F30FCD">
      <w:pPr>
        <w:pStyle w:val="ListParagraph"/>
        <w:numPr>
          <w:ilvl w:val="0"/>
          <w:numId w:val="8"/>
        </w:numPr>
        <w:rPr>
          <w:rFonts w:ascii="Calibri" w:hAnsi="Calibri" w:cs="Calibri"/>
        </w:rPr>
      </w:pPr>
      <w:r w:rsidRPr="005734B8">
        <w:rPr>
          <w:rFonts w:ascii="Calibri" w:hAnsi="Calibri" w:cs="Calibri"/>
        </w:rPr>
        <w:t>adopting an environmental management system based on ISO14001 to drive continual environmental improvement across the Department.</w:t>
      </w:r>
    </w:p>
    <w:p w14:paraId="3570E35A" w14:textId="77777777" w:rsidR="00F30FCD" w:rsidRPr="005734B8" w:rsidRDefault="00F30FCD" w:rsidP="00F30FCD">
      <w:pPr>
        <w:pStyle w:val="ESHeading3"/>
        <w:ind w:left="0" w:firstLine="0"/>
        <w:rPr>
          <w:rFonts w:ascii="Calibri" w:hAnsi="Calibri" w:cs="Calibri"/>
        </w:rPr>
      </w:pPr>
      <w:r w:rsidRPr="005734B8">
        <w:rPr>
          <w:rFonts w:ascii="Calibri" w:hAnsi="Calibri" w:cs="Calibri"/>
        </w:rPr>
        <w:lastRenderedPageBreak/>
        <w:t>Key updates from last year’s annual reporting</w:t>
      </w:r>
    </w:p>
    <w:p w14:paraId="46CEB482" w14:textId="7E4671F5" w:rsidR="00F30FCD" w:rsidRPr="005734B8" w:rsidRDefault="00F30FCD" w:rsidP="00F30FCD">
      <w:pPr>
        <w:pStyle w:val="ListParagraph"/>
        <w:numPr>
          <w:ilvl w:val="0"/>
          <w:numId w:val="8"/>
        </w:numPr>
        <w:rPr>
          <w:rFonts w:ascii="Calibri" w:hAnsi="Calibri" w:cs="Calibri"/>
        </w:rPr>
      </w:pPr>
      <w:r w:rsidRPr="005734B8">
        <w:rPr>
          <w:rFonts w:ascii="Calibri" w:hAnsi="Calibri" w:cs="Calibri"/>
        </w:rPr>
        <w:t>ESP</w:t>
      </w:r>
      <w:r w:rsidRPr="005734B8">
        <w:rPr>
          <w:rStyle w:val="FootnoteReference"/>
          <w:rFonts w:ascii="Calibri" w:hAnsi="Calibri" w:cs="Calibri"/>
        </w:rPr>
        <w:footnoteReference w:id="67"/>
      </w:r>
      <w:r w:rsidRPr="005734B8">
        <w:rPr>
          <w:rFonts w:ascii="Calibri" w:hAnsi="Calibri" w:cs="Calibri"/>
        </w:rPr>
        <w:t xml:space="preserve"> has become the exclusive source of data for electricity, gas, water and waste for accuracy, transparency and consistency.</w:t>
      </w:r>
    </w:p>
    <w:p w14:paraId="02EFBDA4" w14:textId="092C29A6" w:rsidR="00F30FCD" w:rsidRPr="005734B8" w:rsidRDefault="00F30FCD" w:rsidP="00F30FCD">
      <w:pPr>
        <w:pStyle w:val="ListParagraph"/>
        <w:numPr>
          <w:ilvl w:val="0"/>
          <w:numId w:val="8"/>
        </w:numPr>
        <w:rPr>
          <w:rFonts w:ascii="Calibri" w:hAnsi="Calibri" w:cs="Calibri"/>
        </w:rPr>
      </w:pPr>
      <w:r w:rsidRPr="005734B8">
        <w:rPr>
          <w:rFonts w:ascii="Calibri" w:hAnsi="Calibri" w:cs="Calibri"/>
        </w:rPr>
        <w:t>New data from three sites has been added to the reportable site list through the ESP this year</w:t>
      </w:r>
      <w:r w:rsidR="0078526F" w:rsidRPr="005734B8">
        <w:rPr>
          <w:rFonts w:ascii="Calibri" w:hAnsi="Calibri" w:cs="Calibri"/>
        </w:rPr>
        <w:t>, thereby</w:t>
      </w:r>
      <w:r w:rsidRPr="005734B8">
        <w:rPr>
          <w:rFonts w:ascii="Calibri" w:hAnsi="Calibri" w:cs="Calibri"/>
        </w:rPr>
        <w:t xml:space="preserve"> improving efficiency and accountability.</w:t>
      </w:r>
    </w:p>
    <w:p w14:paraId="424AEAF5" w14:textId="5FC4B59D" w:rsidR="00F30FCD" w:rsidRPr="005734B8" w:rsidRDefault="00F30FCD" w:rsidP="00F30FCD">
      <w:pPr>
        <w:pStyle w:val="ListParagraph"/>
        <w:numPr>
          <w:ilvl w:val="0"/>
          <w:numId w:val="8"/>
        </w:numPr>
        <w:rPr>
          <w:rFonts w:ascii="Calibri" w:hAnsi="Calibri" w:cs="Calibri"/>
        </w:rPr>
      </w:pPr>
      <w:r w:rsidRPr="005734B8">
        <w:rPr>
          <w:rFonts w:ascii="Calibri" w:hAnsi="Calibri" w:cs="Calibri"/>
        </w:rPr>
        <w:t xml:space="preserve">A new role has been created to manage and coordinate the </w:t>
      </w:r>
      <w:r w:rsidR="0078526F" w:rsidRPr="005734B8">
        <w:rPr>
          <w:rFonts w:ascii="Calibri" w:hAnsi="Calibri" w:cs="Calibri"/>
        </w:rPr>
        <w:t>environmental management system</w:t>
      </w:r>
      <w:r w:rsidRPr="005734B8">
        <w:rPr>
          <w:rFonts w:ascii="Calibri" w:hAnsi="Calibri" w:cs="Calibri"/>
        </w:rPr>
        <w:t>.</w:t>
      </w:r>
    </w:p>
    <w:p w14:paraId="4F24A38E" w14:textId="77777777" w:rsidR="0033202B" w:rsidRPr="005734B8" w:rsidRDefault="0033202B" w:rsidP="00F30FCD">
      <w:pPr>
        <w:rPr>
          <w:rFonts w:ascii="Calibri" w:hAnsi="Calibri" w:cs="Calibri"/>
        </w:rPr>
      </w:pPr>
    </w:p>
    <w:p w14:paraId="4BA3544E" w14:textId="684BAA71" w:rsidR="00F30FCD" w:rsidRPr="005734B8" w:rsidRDefault="00F30FCD" w:rsidP="00F30FCD">
      <w:pPr>
        <w:rPr>
          <w:rFonts w:ascii="Calibri" w:hAnsi="Calibri" w:cs="Calibri"/>
        </w:rPr>
      </w:pPr>
      <w:r w:rsidRPr="005734B8">
        <w:rPr>
          <w:rFonts w:ascii="Calibri" w:hAnsi="Calibri" w:cs="Calibri"/>
        </w:rPr>
        <w:t xml:space="preserve">Unless otherwise stated, all consumption data is for 1 April 2020 – 31 March 2021 to allow for a full reporting year and to improve accuracy for annual reporting. </w:t>
      </w:r>
      <w:r w:rsidR="005B527C" w:rsidRPr="005734B8">
        <w:rPr>
          <w:rFonts w:ascii="Calibri" w:hAnsi="Calibri" w:cs="Calibri"/>
        </w:rPr>
        <w:t>V</w:t>
      </w:r>
      <w:r w:rsidRPr="005734B8">
        <w:rPr>
          <w:rFonts w:ascii="Calibri" w:hAnsi="Calibri" w:cs="Calibri"/>
        </w:rPr>
        <w:t xml:space="preserve">ariance in consumption for most indicators from 2019–20 to 2020–21 can largely be attributed to the impact of </w:t>
      </w:r>
      <w:r w:rsidR="007127CD" w:rsidRPr="005734B8">
        <w:rPr>
          <w:rFonts w:ascii="Calibri" w:hAnsi="Calibri" w:cs="Calibri"/>
        </w:rPr>
        <w:t xml:space="preserve">the </w:t>
      </w:r>
      <w:r w:rsidRPr="005734B8">
        <w:rPr>
          <w:rFonts w:ascii="Calibri" w:hAnsi="Calibri" w:cs="Calibri"/>
        </w:rPr>
        <w:t>COVID-19 pandemic and should be considered when reviewing these figures.</w:t>
      </w:r>
    </w:p>
    <w:p w14:paraId="53E60662" w14:textId="77777777" w:rsidR="00F30FCD" w:rsidRPr="005734B8" w:rsidRDefault="00F30FCD" w:rsidP="00F30FCD">
      <w:pPr>
        <w:pStyle w:val="ESHeading3"/>
        <w:ind w:left="0" w:firstLine="0"/>
        <w:rPr>
          <w:rFonts w:ascii="Calibri" w:hAnsi="Calibri" w:cs="Calibri"/>
        </w:rPr>
      </w:pPr>
      <w:r w:rsidRPr="005734B8">
        <w:rPr>
          <w:rFonts w:ascii="Calibri" w:hAnsi="Calibri" w:cs="Calibri"/>
        </w:rPr>
        <w:t>Organisational boundary for the purpose of environmental reporting</w:t>
      </w:r>
    </w:p>
    <w:p w14:paraId="3A8FB378" w14:textId="10CF0832" w:rsidR="00F30FCD" w:rsidRPr="005734B8" w:rsidRDefault="00F30FCD" w:rsidP="00F30FCD">
      <w:pPr>
        <w:rPr>
          <w:rFonts w:ascii="Calibri" w:hAnsi="Calibri" w:cs="Calibri"/>
        </w:rPr>
      </w:pPr>
      <w:r w:rsidRPr="005734B8">
        <w:rPr>
          <w:rFonts w:ascii="Calibri" w:hAnsi="Calibri" w:cs="Calibri"/>
        </w:rPr>
        <w:t xml:space="preserve">The reportable site list excludes schools, early childhood facilities, TAFEs and ACFE facilities. </w:t>
      </w:r>
      <w:r w:rsidR="001A1BD7" w:rsidRPr="005734B8">
        <w:rPr>
          <w:rFonts w:ascii="Calibri" w:hAnsi="Calibri" w:cs="Calibri"/>
        </w:rPr>
        <w:t>It also</w:t>
      </w:r>
      <w:r w:rsidRPr="005734B8">
        <w:rPr>
          <w:rFonts w:ascii="Calibri" w:hAnsi="Calibri" w:cs="Calibri"/>
        </w:rPr>
        <w:t xml:space="preserve"> excludes office-based locations not in the ESP database and with </w:t>
      </w:r>
      <w:r w:rsidR="0078526F" w:rsidRPr="005734B8">
        <w:rPr>
          <w:rFonts w:ascii="Calibri" w:hAnsi="Calibri" w:cs="Calibri"/>
        </w:rPr>
        <w:t>fewer</w:t>
      </w:r>
      <w:r w:rsidRPr="005734B8">
        <w:rPr>
          <w:rFonts w:ascii="Calibri" w:hAnsi="Calibri" w:cs="Calibri"/>
        </w:rPr>
        <w:t xml:space="preserve"> than 10 FTE. Office staff numbers (FTE) and office tenancy net lettable area (NLA) details used for reporting calculations are shown in the table below.</w:t>
      </w:r>
    </w:p>
    <w:p w14:paraId="49D558AF" w14:textId="77777777" w:rsidR="00EE40D7" w:rsidRPr="005734B8" w:rsidRDefault="00EE40D7" w:rsidP="00F30FCD">
      <w:pPr>
        <w:rPr>
          <w:rFonts w:ascii="Calibri" w:hAnsi="Calibri" w:cs="Calibri"/>
        </w:rPr>
      </w:pPr>
    </w:p>
    <w:p w14:paraId="11A27E10" w14:textId="22E4F470" w:rsidR="00F30FCD" w:rsidRPr="005734B8" w:rsidRDefault="0078526F" w:rsidP="00EE40D7">
      <w:pPr>
        <w:pStyle w:val="ESTableintroheading"/>
        <w:spacing w:before="0" w:after="0"/>
        <w:rPr>
          <w:rFonts w:ascii="Calibri" w:hAnsi="Calibri" w:cs="Calibri"/>
        </w:rPr>
      </w:pPr>
      <w:r w:rsidRPr="005734B8">
        <w:rPr>
          <w:rFonts w:ascii="Calibri" w:hAnsi="Calibri" w:cs="Calibri"/>
        </w:rPr>
        <w:t>Full-time equivalent staff and net lettable area</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2"/>
        <w:gridCol w:w="1389"/>
        <w:gridCol w:w="1363"/>
        <w:gridCol w:w="1637"/>
      </w:tblGrid>
      <w:tr w:rsidR="00F30FCD" w:rsidRPr="005734B8" w14:paraId="6F41FE32" w14:textId="77777777" w:rsidTr="00F30FCD">
        <w:trPr>
          <w:cantSplit/>
          <w:trHeight w:val="242"/>
          <w:tblHeader/>
        </w:trPr>
        <w:tc>
          <w:tcPr>
            <w:tcW w:w="3532" w:type="dxa"/>
            <w:tcBorders>
              <w:bottom w:val="single" w:sz="4" w:space="0" w:color="FFFFFF" w:themeColor="background1"/>
            </w:tcBorders>
            <w:shd w:val="clear" w:color="auto" w:fill="AF272F" w:themeFill="accent4"/>
          </w:tcPr>
          <w:p w14:paraId="21CAF266" w14:textId="77777777" w:rsidR="00F30FCD" w:rsidRPr="005734B8" w:rsidRDefault="00F30FCD" w:rsidP="00F30FCD">
            <w:pPr>
              <w:pStyle w:val="ESTableheadingwhite"/>
              <w:rPr>
                <w:rFonts w:ascii="Calibri" w:hAnsi="Calibri" w:cs="Calibri"/>
                <w:sz w:val="22"/>
                <w:szCs w:val="22"/>
              </w:rPr>
            </w:pPr>
            <w:r w:rsidRPr="005734B8">
              <w:rPr>
                <w:rFonts w:ascii="Calibri" w:hAnsi="Calibri" w:cs="Calibri"/>
                <w:sz w:val="22"/>
                <w:szCs w:val="22"/>
              </w:rPr>
              <w:t>Indicator</w:t>
            </w:r>
          </w:p>
        </w:tc>
        <w:tc>
          <w:tcPr>
            <w:tcW w:w="1389" w:type="dxa"/>
            <w:tcBorders>
              <w:bottom w:val="single" w:sz="4" w:space="0" w:color="FFFFFF" w:themeColor="background1"/>
            </w:tcBorders>
            <w:shd w:val="clear" w:color="auto" w:fill="AF272F" w:themeFill="accent4"/>
          </w:tcPr>
          <w:p w14:paraId="01C1EA95" w14:textId="77777777" w:rsidR="00F30FCD" w:rsidRPr="005734B8" w:rsidRDefault="00F30FCD" w:rsidP="00F30FCD">
            <w:pPr>
              <w:pStyle w:val="ESTableheadingwhite"/>
              <w:jc w:val="right"/>
              <w:rPr>
                <w:rFonts w:ascii="Calibri" w:hAnsi="Calibri" w:cs="Calibri"/>
                <w:sz w:val="22"/>
                <w:szCs w:val="22"/>
              </w:rPr>
            </w:pPr>
            <w:r w:rsidRPr="005734B8">
              <w:rPr>
                <w:rFonts w:ascii="Calibri" w:hAnsi="Calibri" w:cs="Calibri"/>
                <w:sz w:val="22"/>
                <w:szCs w:val="22"/>
              </w:rPr>
              <w:t>2020–21</w:t>
            </w:r>
          </w:p>
        </w:tc>
        <w:tc>
          <w:tcPr>
            <w:tcW w:w="1363" w:type="dxa"/>
            <w:tcBorders>
              <w:bottom w:val="single" w:sz="4" w:space="0" w:color="FFFFFF" w:themeColor="background1"/>
            </w:tcBorders>
            <w:shd w:val="clear" w:color="auto" w:fill="AF272F" w:themeFill="accent4"/>
          </w:tcPr>
          <w:p w14:paraId="0750FA19" w14:textId="77777777" w:rsidR="00F30FCD" w:rsidRPr="005734B8" w:rsidRDefault="00F30FCD" w:rsidP="00F30FCD">
            <w:pPr>
              <w:pStyle w:val="ESTableheadingwhite"/>
              <w:jc w:val="right"/>
              <w:rPr>
                <w:rFonts w:ascii="Calibri" w:hAnsi="Calibri" w:cs="Calibri"/>
                <w:sz w:val="22"/>
                <w:szCs w:val="22"/>
              </w:rPr>
            </w:pPr>
            <w:r w:rsidRPr="005734B8">
              <w:rPr>
                <w:rFonts w:ascii="Calibri" w:hAnsi="Calibri" w:cs="Calibri"/>
                <w:sz w:val="22"/>
                <w:szCs w:val="22"/>
              </w:rPr>
              <w:t>2019–20</w:t>
            </w:r>
          </w:p>
        </w:tc>
        <w:tc>
          <w:tcPr>
            <w:tcW w:w="1637" w:type="dxa"/>
            <w:tcBorders>
              <w:bottom w:val="single" w:sz="4" w:space="0" w:color="FFFFFF" w:themeColor="background1"/>
            </w:tcBorders>
            <w:shd w:val="clear" w:color="auto" w:fill="AF272F" w:themeFill="accent4"/>
          </w:tcPr>
          <w:p w14:paraId="48974BC1" w14:textId="77777777" w:rsidR="00F30FCD" w:rsidRPr="005734B8" w:rsidRDefault="00F30FCD" w:rsidP="00F30FCD">
            <w:pPr>
              <w:pStyle w:val="ESTableheadingwhite"/>
              <w:jc w:val="right"/>
              <w:rPr>
                <w:rFonts w:ascii="Calibri" w:hAnsi="Calibri" w:cs="Calibri"/>
                <w:sz w:val="22"/>
                <w:szCs w:val="22"/>
              </w:rPr>
            </w:pPr>
            <w:r w:rsidRPr="005734B8">
              <w:rPr>
                <w:rFonts w:ascii="Calibri" w:hAnsi="Calibri" w:cs="Calibri"/>
                <w:sz w:val="22"/>
                <w:szCs w:val="22"/>
              </w:rPr>
              <w:t>2018–19</w:t>
            </w:r>
          </w:p>
        </w:tc>
      </w:tr>
      <w:tr w:rsidR="00F30FCD" w:rsidRPr="005734B8" w14:paraId="6B791C43" w14:textId="77777777" w:rsidTr="00F30FCD">
        <w:trPr>
          <w:cantSplit/>
        </w:trPr>
        <w:tc>
          <w:tcPr>
            <w:tcW w:w="3532" w:type="dxa"/>
            <w:tcBorders>
              <w:top w:val="single" w:sz="4" w:space="0" w:color="53565A" w:themeColor="accent5"/>
              <w:bottom w:val="single" w:sz="4" w:space="0" w:color="53565A" w:themeColor="accent5"/>
            </w:tcBorders>
            <w:shd w:val="clear" w:color="auto" w:fill="auto"/>
            <w:vAlign w:val="center"/>
          </w:tcPr>
          <w:p w14:paraId="51C1C5F0" w14:textId="76AD5F97" w:rsidR="00F30FCD" w:rsidRPr="005734B8" w:rsidRDefault="00F30FCD" w:rsidP="00F30FCD">
            <w:pPr>
              <w:pStyle w:val="ESTablebody"/>
              <w:rPr>
                <w:rFonts w:ascii="Calibri" w:hAnsi="Calibri" w:cs="Calibri"/>
                <w:sz w:val="22"/>
                <w:szCs w:val="22"/>
              </w:rPr>
            </w:pPr>
            <w:r w:rsidRPr="005734B8">
              <w:rPr>
                <w:rFonts w:ascii="Calibri" w:hAnsi="Calibri" w:cs="Calibri"/>
                <w:sz w:val="22"/>
                <w:szCs w:val="22"/>
              </w:rPr>
              <w:t>Office FTE</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11D3791C" w14:textId="68641D03" w:rsidR="00F30FCD" w:rsidRPr="005734B8" w:rsidRDefault="00F30FCD" w:rsidP="00F30FCD">
            <w:pPr>
              <w:pStyle w:val="ESTablenumberrightaligned"/>
              <w:rPr>
                <w:rFonts w:ascii="Calibri" w:hAnsi="Calibri" w:cs="Calibri"/>
                <w:color w:val="000000"/>
                <w:sz w:val="22"/>
                <w:szCs w:val="22"/>
                <w:highlight w:val="yellow"/>
              </w:rPr>
            </w:pPr>
            <w:bookmarkStart w:id="999" w:name="_Hlk76650370"/>
            <w:r w:rsidRPr="005734B8">
              <w:rPr>
                <w:rFonts w:ascii="Calibri" w:hAnsi="Calibri" w:cs="Calibri"/>
                <w:color w:val="000000"/>
                <w:sz w:val="22"/>
                <w:szCs w:val="22"/>
              </w:rPr>
              <w:t>4,667.7</w:t>
            </w:r>
            <w:bookmarkEnd w:id="999"/>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78D9D061"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4,500.8</w:t>
            </w:r>
          </w:p>
        </w:tc>
        <w:tc>
          <w:tcPr>
            <w:tcW w:w="1637" w:type="dxa"/>
            <w:tcBorders>
              <w:top w:val="single" w:sz="4" w:space="0" w:color="53565A" w:themeColor="accent5"/>
              <w:bottom w:val="single" w:sz="4" w:space="0" w:color="53565A" w:themeColor="accent5"/>
            </w:tcBorders>
            <w:vAlign w:val="center"/>
          </w:tcPr>
          <w:p w14:paraId="571C15B1"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4,427.8</w:t>
            </w:r>
          </w:p>
        </w:tc>
      </w:tr>
      <w:tr w:rsidR="00F30FCD" w:rsidRPr="005734B8" w14:paraId="044B0F78" w14:textId="77777777" w:rsidTr="00F30FCD">
        <w:trPr>
          <w:cantSplit/>
        </w:trPr>
        <w:tc>
          <w:tcPr>
            <w:tcW w:w="3532" w:type="dxa"/>
            <w:tcBorders>
              <w:top w:val="single" w:sz="4" w:space="0" w:color="53565A" w:themeColor="accent5"/>
              <w:bottom w:val="single" w:sz="4" w:space="0" w:color="53565A" w:themeColor="accent5"/>
            </w:tcBorders>
            <w:shd w:val="clear" w:color="auto" w:fill="auto"/>
            <w:vAlign w:val="center"/>
          </w:tcPr>
          <w:p w14:paraId="203E24F0" w14:textId="77777777" w:rsidR="00F30FCD" w:rsidRPr="005734B8" w:rsidRDefault="00F30FCD" w:rsidP="00F30FCD">
            <w:pPr>
              <w:pStyle w:val="ESTablebody"/>
              <w:rPr>
                <w:rFonts w:ascii="Calibri" w:hAnsi="Calibri" w:cs="Calibri"/>
                <w:sz w:val="22"/>
                <w:szCs w:val="22"/>
              </w:rPr>
            </w:pPr>
            <w:r w:rsidRPr="005734B8">
              <w:rPr>
                <w:rFonts w:ascii="Calibri" w:hAnsi="Calibri" w:cs="Calibri"/>
                <w:sz w:val="22"/>
                <w:szCs w:val="22"/>
              </w:rPr>
              <w:t>Office NLA</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0B1BC290"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74,775</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4303CAB4"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74,775</w:t>
            </w:r>
          </w:p>
        </w:tc>
        <w:tc>
          <w:tcPr>
            <w:tcW w:w="1637" w:type="dxa"/>
            <w:tcBorders>
              <w:top w:val="single" w:sz="4" w:space="0" w:color="53565A" w:themeColor="accent5"/>
              <w:bottom w:val="single" w:sz="4" w:space="0" w:color="53565A" w:themeColor="accent5"/>
            </w:tcBorders>
            <w:vAlign w:val="center"/>
          </w:tcPr>
          <w:p w14:paraId="038444AB" w14:textId="60C38AE5" w:rsidR="00F30FCD" w:rsidRPr="005734B8" w:rsidRDefault="0078526F" w:rsidP="00F30FCD">
            <w:pPr>
              <w:pStyle w:val="ESTablenumberrightaligned"/>
              <w:rPr>
                <w:rFonts w:ascii="Calibri" w:hAnsi="Calibri" w:cs="Calibri"/>
                <w:sz w:val="22"/>
                <w:szCs w:val="22"/>
              </w:rPr>
            </w:pPr>
            <w:r w:rsidRPr="005734B8">
              <w:rPr>
                <w:rFonts w:ascii="Calibri" w:hAnsi="Calibri" w:cs="Calibri"/>
                <w:sz w:val="22"/>
                <w:szCs w:val="22"/>
              </w:rPr>
              <w:t>–</w:t>
            </w:r>
          </w:p>
        </w:tc>
      </w:tr>
      <w:tr w:rsidR="00F30FCD" w:rsidRPr="005734B8" w14:paraId="2558AAB3" w14:textId="77777777" w:rsidTr="00F30FCD">
        <w:trPr>
          <w:cantSplit/>
        </w:trPr>
        <w:tc>
          <w:tcPr>
            <w:tcW w:w="3532" w:type="dxa"/>
            <w:tcBorders>
              <w:top w:val="single" w:sz="4" w:space="0" w:color="53565A" w:themeColor="accent5"/>
              <w:bottom w:val="single" w:sz="4" w:space="0" w:color="53565A" w:themeColor="accent5"/>
            </w:tcBorders>
            <w:shd w:val="clear" w:color="auto" w:fill="auto"/>
            <w:vAlign w:val="center"/>
          </w:tcPr>
          <w:p w14:paraId="4E9D1CAD" w14:textId="77777777" w:rsidR="00F30FCD" w:rsidRPr="005734B8" w:rsidRDefault="00F30FCD" w:rsidP="00F30FCD">
            <w:pPr>
              <w:pStyle w:val="ESTablebody"/>
              <w:rPr>
                <w:rFonts w:ascii="Calibri" w:hAnsi="Calibri" w:cs="Calibri"/>
                <w:sz w:val="22"/>
                <w:szCs w:val="22"/>
              </w:rPr>
            </w:pPr>
            <w:r w:rsidRPr="005734B8">
              <w:rPr>
                <w:rFonts w:ascii="Calibri" w:hAnsi="Calibri" w:cs="Calibri"/>
                <w:sz w:val="22"/>
                <w:szCs w:val="22"/>
              </w:rPr>
              <w:t>Number of offices</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7C61E785"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35</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52FBCEE1"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35</w:t>
            </w:r>
          </w:p>
        </w:tc>
        <w:tc>
          <w:tcPr>
            <w:tcW w:w="1637" w:type="dxa"/>
            <w:tcBorders>
              <w:top w:val="single" w:sz="4" w:space="0" w:color="53565A" w:themeColor="accent5"/>
              <w:bottom w:val="single" w:sz="4" w:space="0" w:color="53565A" w:themeColor="accent5"/>
            </w:tcBorders>
            <w:vAlign w:val="center"/>
          </w:tcPr>
          <w:p w14:paraId="213C676E" w14:textId="4807887F" w:rsidR="00F30FCD" w:rsidRPr="005734B8" w:rsidRDefault="0078526F" w:rsidP="00F30FCD">
            <w:pPr>
              <w:pStyle w:val="ESTablenumberrightaligned"/>
              <w:rPr>
                <w:rFonts w:ascii="Calibri" w:hAnsi="Calibri" w:cs="Calibri"/>
                <w:sz w:val="22"/>
                <w:szCs w:val="22"/>
              </w:rPr>
            </w:pPr>
            <w:r w:rsidRPr="005734B8">
              <w:rPr>
                <w:rFonts w:ascii="Calibri" w:hAnsi="Calibri" w:cs="Calibri"/>
                <w:sz w:val="22"/>
                <w:szCs w:val="22"/>
              </w:rPr>
              <w:t>–</w:t>
            </w:r>
          </w:p>
        </w:tc>
      </w:tr>
    </w:tbl>
    <w:p w14:paraId="4C49464E" w14:textId="77777777" w:rsidR="005B527C" w:rsidRPr="005734B8" w:rsidRDefault="005B527C" w:rsidP="00F30FCD">
      <w:pPr>
        <w:rPr>
          <w:rFonts w:ascii="Calibri" w:hAnsi="Calibri" w:cs="Calibri"/>
        </w:rPr>
      </w:pPr>
    </w:p>
    <w:p w14:paraId="75AA4115" w14:textId="0CF493CC" w:rsidR="00F30FCD" w:rsidRPr="005734B8" w:rsidRDefault="00F30FCD" w:rsidP="00F30FCD">
      <w:pPr>
        <w:rPr>
          <w:rFonts w:ascii="Calibri" w:hAnsi="Calibri" w:cs="Calibri"/>
        </w:rPr>
      </w:pPr>
      <w:r w:rsidRPr="005734B8">
        <w:rPr>
          <w:rFonts w:ascii="Calibri" w:hAnsi="Calibri" w:cs="Calibri"/>
        </w:rPr>
        <w:t>In 2020</w:t>
      </w:r>
      <w:r w:rsidR="004D7724" w:rsidRPr="005734B8">
        <w:rPr>
          <w:rFonts w:ascii="Calibri" w:hAnsi="Calibri" w:cs="Calibri"/>
        </w:rPr>
        <w:t>–</w:t>
      </w:r>
      <w:r w:rsidRPr="005734B8">
        <w:rPr>
          <w:rFonts w:ascii="Calibri" w:hAnsi="Calibri" w:cs="Calibri"/>
        </w:rPr>
        <w:t xml:space="preserve">21 the Department’s FTE increased by 3.7 per cent. </w:t>
      </w:r>
    </w:p>
    <w:p w14:paraId="5DC6D3B3" w14:textId="77777777" w:rsidR="00F30FCD" w:rsidRPr="005734B8" w:rsidRDefault="00F30FCD" w:rsidP="00F30FCD">
      <w:pPr>
        <w:pStyle w:val="ESTableintroheading"/>
        <w:rPr>
          <w:rFonts w:ascii="Calibri" w:hAnsi="Calibri" w:cs="Calibri"/>
          <w:sz w:val="22"/>
          <w:szCs w:val="22"/>
        </w:rPr>
      </w:pPr>
      <w:bookmarkStart w:id="1000" w:name="_Toc11158277"/>
      <w:bookmarkStart w:id="1001" w:name="_Toc11336284"/>
      <w:bookmarkStart w:id="1002" w:name="_Toc14965510"/>
      <w:bookmarkStart w:id="1003" w:name="_Toc19272089"/>
      <w:bookmarkStart w:id="1004" w:name="_Toc19272455"/>
      <w:bookmarkStart w:id="1005" w:name="_Toc19273790"/>
      <w:r w:rsidRPr="005734B8">
        <w:rPr>
          <w:rFonts w:ascii="Calibri" w:hAnsi="Calibri" w:cs="Calibri"/>
          <w:sz w:val="22"/>
          <w:szCs w:val="22"/>
        </w:rPr>
        <w:t>Energy consumption</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2"/>
        <w:gridCol w:w="1389"/>
        <w:gridCol w:w="1363"/>
        <w:gridCol w:w="1637"/>
      </w:tblGrid>
      <w:tr w:rsidR="00F30FCD" w:rsidRPr="005734B8" w14:paraId="4D589ECD" w14:textId="77777777" w:rsidTr="00F30FCD">
        <w:trPr>
          <w:cantSplit/>
          <w:trHeight w:val="242"/>
          <w:tblHeader/>
        </w:trPr>
        <w:tc>
          <w:tcPr>
            <w:tcW w:w="3532" w:type="dxa"/>
            <w:tcBorders>
              <w:bottom w:val="single" w:sz="4" w:space="0" w:color="FFFFFF" w:themeColor="background1"/>
            </w:tcBorders>
            <w:shd w:val="clear" w:color="auto" w:fill="AF272F" w:themeFill="accent4"/>
          </w:tcPr>
          <w:p w14:paraId="2FB44F5F" w14:textId="77777777" w:rsidR="00F30FCD" w:rsidRPr="005734B8" w:rsidRDefault="00F30FCD" w:rsidP="00F30FCD">
            <w:pPr>
              <w:pStyle w:val="ESTableheadingwhite"/>
              <w:rPr>
                <w:rFonts w:ascii="Calibri" w:hAnsi="Calibri" w:cs="Calibri"/>
                <w:sz w:val="22"/>
                <w:szCs w:val="22"/>
              </w:rPr>
            </w:pPr>
            <w:r w:rsidRPr="005734B8">
              <w:rPr>
                <w:rFonts w:ascii="Calibri" w:hAnsi="Calibri" w:cs="Calibri"/>
                <w:sz w:val="22"/>
                <w:szCs w:val="22"/>
              </w:rPr>
              <w:t>Indicator</w:t>
            </w:r>
          </w:p>
        </w:tc>
        <w:tc>
          <w:tcPr>
            <w:tcW w:w="1389" w:type="dxa"/>
            <w:tcBorders>
              <w:bottom w:val="single" w:sz="4" w:space="0" w:color="FFFFFF" w:themeColor="background1"/>
            </w:tcBorders>
            <w:shd w:val="clear" w:color="auto" w:fill="AF272F" w:themeFill="accent4"/>
          </w:tcPr>
          <w:p w14:paraId="3355C515" w14:textId="77777777" w:rsidR="00F30FCD" w:rsidRPr="005734B8" w:rsidRDefault="00F30FCD" w:rsidP="00F30FCD">
            <w:pPr>
              <w:pStyle w:val="ESTableheadingwhite"/>
              <w:jc w:val="right"/>
              <w:rPr>
                <w:rFonts w:ascii="Calibri" w:hAnsi="Calibri" w:cs="Calibri"/>
                <w:sz w:val="22"/>
                <w:szCs w:val="22"/>
              </w:rPr>
            </w:pPr>
            <w:r w:rsidRPr="005734B8">
              <w:rPr>
                <w:rFonts w:ascii="Calibri" w:hAnsi="Calibri" w:cs="Calibri"/>
                <w:sz w:val="22"/>
                <w:szCs w:val="22"/>
              </w:rPr>
              <w:t>2020–21</w:t>
            </w:r>
          </w:p>
        </w:tc>
        <w:tc>
          <w:tcPr>
            <w:tcW w:w="1363" w:type="dxa"/>
            <w:tcBorders>
              <w:bottom w:val="single" w:sz="4" w:space="0" w:color="FFFFFF" w:themeColor="background1"/>
            </w:tcBorders>
            <w:shd w:val="clear" w:color="auto" w:fill="AF272F" w:themeFill="accent4"/>
          </w:tcPr>
          <w:p w14:paraId="7C767ABC" w14:textId="77777777" w:rsidR="00F30FCD" w:rsidRPr="005734B8" w:rsidRDefault="00F30FCD" w:rsidP="00F30FCD">
            <w:pPr>
              <w:pStyle w:val="ESTableheadingwhite"/>
              <w:jc w:val="right"/>
              <w:rPr>
                <w:rFonts w:ascii="Calibri" w:hAnsi="Calibri" w:cs="Calibri"/>
                <w:sz w:val="22"/>
                <w:szCs w:val="22"/>
              </w:rPr>
            </w:pPr>
            <w:r w:rsidRPr="005734B8">
              <w:rPr>
                <w:rFonts w:ascii="Calibri" w:hAnsi="Calibri" w:cs="Calibri"/>
                <w:sz w:val="22"/>
                <w:szCs w:val="22"/>
              </w:rPr>
              <w:t>2019–20</w:t>
            </w:r>
          </w:p>
        </w:tc>
        <w:tc>
          <w:tcPr>
            <w:tcW w:w="1637" w:type="dxa"/>
            <w:tcBorders>
              <w:bottom w:val="single" w:sz="4" w:space="0" w:color="FFFFFF" w:themeColor="background1"/>
            </w:tcBorders>
            <w:shd w:val="clear" w:color="auto" w:fill="AF272F" w:themeFill="accent4"/>
          </w:tcPr>
          <w:p w14:paraId="684F82C5" w14:textId="77777777" w:rsidR="00F30FCD" w:rsidRPr="005734B8" w:rsidRDefault="00F30FCD" w:rsidP="00F30FCD">
            <w:pPr>
              <w:pStyle w:val="ESTableheadingwhite"/>
              <w:jc w:val="right"/>
              <w:rPr>
                <w:rFonts w:ascii="Calibri" w:hAnsi="Calibri" w:cs="Calibri"/>
                <w:sz w:val="22"/>
                <w:szCs w:val="22"/>
              </w:rPr>
            </w:pPr>
            <w:r w:rsidRPr="005734B8">
              <w:rPr>
                <w:rFonts w:ascii="Calibri" w:hAnsi="Calibri" w:cs="Calibri"/>
                <w:sz w:val="22"/>
                <w:szCs w:val="22"/>
              </w:rPr>
              <w:t>2018–19</w:t>
            </w:r>
          </w:p>
        </w:tc>
      </w:tr>
      <w:tr w:rsidR="00F30FCD" w:rsidRPr="005734B8" w14:paraId="127D2B8D" w14:textId="77777777" w:rsidTr="00F30FCD">
        <w:trPr>
          <w:cantSplit/>
        </w:trPr>
        <w:tc>
          <w:tcPr>
            <w:tcW w:w="3532" w:type="dxa"/>
            <w:tcBorders>
              <w:top w:val="single" w:sz="4" w:space="0" w:color="53565A" w:themeColor="accent5"/>
              <w:bottom w:val="single" w:sz="4" w:space="0" w:color="53565A" w:themeColor="accent5"/>
            </w:tcBorders>
            <w:shd w:val="clear" w:color="auto" w:fill="D9D9D6" w:themeFill="accent6"/>
            <w:vAlign w:val="center"/>
          </w:tcPr>
          <w:p w14:paraId="5BD0F324" w14:textId="77777777" w:rsidR="00F30FCD" w:rsidRPr="005734B8" w:rsidRDefault="00F30FCD" w:rsidP="00F30FCD">
            <w:pPr>
              <w:pStyle w:val="ESTablebody"/>
              <w:rPr>
                <w:rFonts w:ascii="Calibri" w:hAnsi="Calibri" w:cs="Calibri"/>
                <w:b/>
                <w:sz w:val="22"/>
                <w:szCs w:val="22"/>
              </w:rPr>
            </w:pPr>
            <w:r w:rsidRPr="005734B8">
              <w:rPr>
                <w:rFonts w:ascii="Calibri" w:hAnsi="Calibri" w:cs="Calibri"/>
                <w:b/>
                <w:sz w:val="22"/>
                <w:szCs w:val="22"/>
                <w:lang w:val="en-AU"/>
              </w:rPr>
              <w:t>E1. Total energy usage segmented by primary source (MJ)</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7A0C8FA8" w14:textId="77777777" w:rsidR="00F30FCD" w:rsidRPr="005734B8" w:rsidRDefault="00F30FCD" w:rsidP="00F30FCD">
            <w:pPr>
              <w:pStyle w:val="ESTablenumberrightaligned"/>
              <w:rPr>
                <w:rFonts w:ascii="Calibri" w:hAnsi="Calibri" w:cs="Calibri"/>
                <w:b/>
                <w:sz w:val="22"/>
                <w:szCs w:val="22"/>
              </w:rPr>
            </w:pPr>
            <w:r w:rsidRPr="005734B8">
              <w:rPr>
                <w:rFonts w:ascii="Calibri" w:hAnsi="Calibri" w:cs="Calibri"/>
                <w:b/>
                <w:sz w:val="22"/>
                <w:szCs w:val="22"/>
              </w:rPr>
              <w:t>28,866,316</w:t>
            </w:r>
          </w:p>
        </w:tc>
        <w:tc>
          <w:tcPr>
            <w:tcW w:w="1363" w:type="dxa"/>
            <w:tcBorders>
              <w:top w:val="single" w:sz="4" w:space="0" w:color="53565A" w:themeColor="accent5"/>
              <w:bottom w:val="single" w:sz="4" w:space="0" w:color="53565A" w:themeColor="accent5"/>
            </w:tcBorders>
            <w:shd w:val="clear" w:color="auto" w:fill="D9D9D6" w:themeFill="accent6"/>
            <w:vAlign w:val="center"/>
          </w:tcPr>
          <w:p w14:paraId="4EF0093B" w14:textId="77777777" w:rsidR="00F30FCD" w:rsidRPr="005734B8" w:rsidRDefault="00F30FCD" w:rsidP="00F30FCD">
            <w:pPr>
              <w:pStyle w:val="ESTablenumberrightaligned"/>
              <w:rPr>
                <w:rFonts w:ascii="Calibri" w:hAnsi="Calibri" w:cs="Calibri"/>
                <w:b/>
                <w:sz w:val="22"/>
                <w:szCs w:val="22"/>
              </w:rPr>
            </w:pPr>
            <w:r w:rsidRPr="005734B8">
              <w:rPr>
                <w:rFonts w:ascii="Calibri" w:hAnsi="Calibri" w:cs="Calibri"/>
                <w:b/>
                <w:sz w:val="22"/>
                <w:szCs w:val="22"/>
              </w:rPr>
              <w:t>33,277,172</w:t>
            </w:r>
          </w:p>
        </w:tc>
        <w:tc>
          <w:tcPr>
            <w:tcW w:w="1637" w:type="dxa"/>
            <w:tcBorders>
              <w:top w:val="single" w:sz="4" w:space="0" w:color="53565A" w:themeColor="accent5"/>
              <w:bottom w:val="single" w:sz="4" w:space="0" w:color="53565A" w:themeColor="accent5"/>
            </w:tcBorders>
            <w:shd w:val="clear" w:color="auto" w:fill="D9D9D6" w:themeFill="accent6"/>
            <w:vAlign w:val="center"/>
          </w:tcPr>
          <w:p w14:paraId="699EF72B"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b/>
                <w:color w:val="000000"/>
                <w:sz w:val="22"/>
                <w:szCs w:val="22"/>
              </w:rPr>
              <w:t>31,530,055</w:t>
            </w:r>
          </w:p>
        </w:tc>
      </w:tr>
      <w:tr w:rsidR="00F30FCD" w:rsidRPr="005734B8" w14:paraId="23C90DF1" w14:textId="77777777" w:rsidTr="00F30FCD">
        <w:trPr>
          <w:cantSplit/>
        </w:trPr>
        <w:tc>
          <w:tcPr>
            <w:tcW w:w="3532" w:type="dxa"/>
            <w:tcBorders>
              <w:top w:val="single" w:sz="4" w:space="0" w:color="53565A" w:themeColor="accent5"/>
              <w:bottom w:val="single" w:sz="4" w:space="0" w:color="53565A" w:themeColor="accent5"/>
            </w:tcBorders>
            <w:shd w:val="clear" w:color="auto" w:fill="auto"/>
            <w:vAlign w:val="center"/>
          </w:tcPr>
          <w:p w14:paraId="66FC8E85" w14:textId="684EECF0" w:rsidR="00F30FCD" w:rsidRPr="005734B8" w:rsidRDefault="00F30FCD" w:rsidP="00F30FCD">
            <w:pPr>
              <w:pStyle w:val="ESTablebody"/>
              <w:rPr>
                <w:rFonts w:ascii="Calibri" w:hAnsi="Calibri" w:cs="Calibri"/>
                <w:sz w:val="22"/>
                <w:szCs w:val="22"/>
              </w:rPr>
            </w:pPr>
            <w:r w:rsidRPr="005734B8">
              <w:rPr>
                <w:rFonts w:ascii="Calibri" w:hAnsi="Calibri" w:cs="Calibri"/>
                <w:sz w:val="22"/>
                <w:szCs w:val="22"/>
                <w:lang w:val="en-AU"/>
              </w:rPr>
              <w:t>Electricity (MJ)</w:t>
            </w:r>
            <w:r w:rsidR="0078526F" w:rsidRPr="005734B8">
              <w:rPr>
                <w:rFonts w:ascii="Calibri" w:hAnsi="Calibri" w:cs="Calibri"/>
                <w:sz w:val="22"/>
                <w:szCs w:val="22"/>
                <w:lang w:val="en-AU"/>
              </w:rPr>
              <w:t>—</w:t>
            </w:r>
            <w:r w:rsidRPr="005734B8">
              <w:rPr>
                <w:rFonts w:ascii="Calibri" w:hAnsi="Calibri" w:cs="Calibri"/>
                <w:sz w:val="22"/>
                <w:szCs w:val="22"/>
                <w:lang w:val="en-AU"/>
              </w:rPr>
              <w:t xml:space="preserve">excluding </w:t>
            </w:r>
            <w:r w:rsidR="0078526F" w:rsidRPr="005734B8">
              <w:rPr>
                <w:rFonts w:ascii="Calibri" w:hAnsi="Calibri" w:cs="Calibri"/>
                <w:sz w:val="22"/>
                <w:szCs w:val="22"/>
                <w:lang w:val="en-AU"/>
              </w:rPr>
              <w:t>g</w:t>
            </w:r>
            <w:r w:rsidRPr="005734B8">
              <w:rPr>
                <w:rFonts w:ascii="Calibri" w:hAnsi="Calibri" w:cs="Calibri"/>
                <w:sz w:val="22"/>
                <w:szCs w:val="22"/>
                <w:lang w:val="en-AU"/>
              </w:rPr>
              <w:t xml:space="preserve">reen </w:t>
            </w:r>
            <w:r w:rsidR="0078526F" w:rsidRPr="005734B8">
              <w:rPr>
                <w:rFonts w:ascii="Calibri" w:hAnsi="Calibri" w:cs="Calibri"/>
                <w:sz w:val="22"/>
                <w:szCs w:val="22"/>
                <w:lang w:val="en-AU"/>
              </w:rPr>
              <w:t>p</w:t>
            </w:r>
            <w:r w:rsidRPr="005734B8">
              <w:rPr>
                <w:rFonts w:ascii="Calibri" w:hAnsi="Calibri" w:cs="Calibri"/>
                <w:sz w:val="22"/>
                <w:szCs w:val="22"/>
                <w:lang w:val="en-AU"/>
              </w:rPr>
              <w:t>ower</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01F47D68" w14:textId="77777777" w:rsidR="00F30FCD" w:rsidRPr="005734B8" w:rsidRDefault="00F30FCD" w:rsidP="00F30FCD">
            <w:pPr>
              <w:pStyle w:val="ESTablenumberrightaligned"/>
              <w:rPr>
                <w:rFonts w:ascii="Calibri" w:hAnsi="Calibri" w:cs="Calibri"/>
                <w:color w:val="000000"/>
                <w:sz w:val="22"/>
                <w:szCs w:val="22"/>
              </w:rPr>
            </w:pPr>
            <w:r w:rsidRPr="005734B8">
              <w:rPr>
                <w:rFonts w:ascii="Calibri" w:hAnsi="Calibri" w:cs="Calibri"/>
                <w:color w:val="000000"/>
                <w:sz w:val="22"/>
                <w:szCs w:val="22"/>
              </w:rPr>
              <w:t>22,764,191</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1B7BA047" w14:textId="77777777" w:rsidR="00F30FCD" w:rsidRPr="005734B8" w:rsidRDefault="00F30FCD" w:rsidP="00F30FCD">
            <w:pPr>
              <w:pStyle w:val="ESTablenumberrightaligned"/>
              <w:rPr>
                <w:rFonts w:ascii="Calibri" w:hAnsi="Calibri" w:cs="Calibri"/>
                <w:color w:val="000000"/>
                <w:sz w:val="22"/>
                <w:szCs w:val="22"/>
              </w:rPr>
            </w:pPr>
            <w:r w:rsidRPr="005734B8">
              <w:rPr>
                <w:rFonts w:ascii="Calibri" w:hAnsi="Calibri" w:cs="Calibri"/>
                <w:color w:val="000000"/>
                <w:sz w:val="22"/>
                <w:szCs w:val="22"/>
              </w:rPr>
              <w:t>26,434,947</w:t>
            </w:r>
          </w:p>
        </w:tc>
        <w:tc>
          <w:tcPr>
            <w:tcW w:w="1637" w:type="dxa"/>
            <w:tcBorders>
              <w:top w:val="single" w:sz="4" w:space="0" w:color="53565A" w:themeColor="accent5"/>
              <w:bottom w:val="single" w:sz="4" w:space="0" w:color="53565A" w:themeColor="accent5"/>
            </w:tcBorders>
            <w:vAlign w:val="center"/>
          </w:tcPr>
          <w:p w14:paraId="70C07EB0"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color w:val="000000"/>
                <w:sz w:val="22"/>
                <w:szCs w:val="22"/>
              </w:rPr>
              <w:t>25,006,672</w:t>
            </w:r>
          </w:p>
        </w:tc>
      </w:tr>
      <w:tr w:rsidR="00F30FCD" w:rsidRPr="005734B8" w14:paraId="4A97FD34" w14:textId="77777777" w:rsidTr="00F30FCD">
        <w:trPr>
          <w:cantSplit/>
        </w:trPr>
        <w:tc>
          <w:tcPr>
            <w:tcW w:w="3532" w:type="dxa"/>
            <w:tcBorders>
              <w:top w:val="single" w:sz="4" w:space="0" w:color="53565A" w:themeColor="accent5"/>
              <w:bottom w:val="single" w:sz="4" w:space="0" w:color="53565A" w:themeColor="accent5"/>
            </w:tcBorders>
            <w:shd w:val="clear" w:color="auto" w:fill="auto"/>
            <w:vAlign w:val="center"/>
          </w:tcPr>
          <w:p w14:paraId="73288E85" w14:textId="77777777" w:rsidR="00F30FCD" w:rsidRPr="005734B8" w:rsidRDefault="00F30FCD" w:rsidP="00F30FCD">
            <w:pPr>
              <w:pStyle w:val="ESTablebody"/>
              <w:rPr>
                <w:rFonts w:ascii="Calibri" w:hAnsi="Calibri" w:cs="Calibri"/>
                <w:sz w:val="22"/>
                <w:szCs w:val="22"/>
              </w:rPr>
            </w:pPr>
            <w:r w:rsidRPr="005734B8">
              <w:rPr>
                <w:rFonts w:ascii="Calibri" w:hAnsi="Calibri" w:cs="Calibri"/>
                <w:sz w:val="22"/>
                <w:szCs w:val="22"/>
                <w:lang w:val="en-AU"/>
              </w:rPr>
              <w:t>Natural gas (MJ)</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75F07874" w14:textId="77777777" w:rsidR="00F30FCD" w:rsidRPr="005734B8" w:rsidRDefault="00F30FCD" w:rsidP="00F30FCD">
            <w:pPr>
              <w:pStyle w:val="ESTablenumberrightaligned"/>
              <w:rPr>
                <w:rFonts w:ascii="Calibri" w:hAnsi="Calibri" w:cs="Calibri"/>
                <w:color w:val="000000"/>
                <w:sz w:val="22"/>
                <w:szCs w:val="22"/>
              </w:rPr>
            </w:pPr>
            <w:r w:rsidRPr="005734B8">
              <w:rPr>
                <w:rFonts w:ascii="Calibri" w:hAnsi="Calibri" w:cs="Calibri"/>
                <w:color w:val="000000"/>
                <w:sz w:val="22"/>
                <w:szCs w:val="22"/>
              </w:rPr>
              <w:t>6,102,125</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2549E8F6"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color w:val="000000"/>
                <w:sz w:val="22"/>
                <w:szCs w:val="22"/>
              </w:rPr>
              <w:t>6,842,225</w:t>
            </w:r>
          </w:p>
        </w:tc>
        <w:tc>
          <w:tcPr>
            <w:tcW w:w="1637" w:type="dxa"/>
            <w:tcBorders>
              <w:top w:val="single" w:sz="4" w:space="0" w:color="53565A" w:themeColor="accent5"/>
              <w:bottom w:val="single" w:sz="4" w:space="0" w:color="53565A" w:themeColor="accent5"/>
            </w:tcBorders>
            <w:vAlign w:val="center"/>
          </w:tcPr>
          <w:p w14:paraId="1F7AF1B9"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color w:val="000000"/>
                <w:sz w:val="22"/>
                <w:szCs w:val="22"/>
              </w:rPr>
              <w:t>6,523,383</w:t>
            </w:r>
          </w:p>
        </w:tc>
      </w:tr>
      <w:tr w:rsidR="00F30FCD" w:rsidRPr="005734B8" w14:paraId="7622E89E" w14:textId="77777777" w:rsidTr="00461740">
        <w:trPr>
          <w:cantSplit/>
        </w:trPr>
        <w:tc>
          <w:tcPr>
            <w:tcW w:w="3532" w:type="dxa"/>
            <w:tcBorders>
              <w:top w:val="single" w:sz="4" w:space="0" w:color="53565A" w:themeColor="accent5"/>
              <w:bottom w:val="single" w:sz="4" w:space="0" w:color="53565A" w:themeColor="accent5"/>
            </w:tcBorders>
            <w:shd w:val="clear" w:color="auto" w:fill="auto"/>
            <w:vAlign w:val="center"/>
          </w:tcPr>
          <w:p w14:paraId="43D99A2B" w14:textId="7E24BC1C" w:rsidR="00F30FCD" w:rsidRPr="005734B8" w:rsidRDefault="00F30FCD" w:rsidP="00F30FCD">
            <w:pPr>
              <w:pStyle w:val="ESTablebody"/>
              <w:rPr>
                <w:rFonts w:ascii="Calibri" w:hAnsi="Calibri" w:cs="Calibri"/>
                <w:sz w:val="22"/>
                <w:szCs w:val="22"/>
              </w:rPr>
            </w:pPr>
            <w:r w:rsidRPr="005734B8">
              <w:rPr>
                <w:rFonts w:ascii="Calibri" w:hAnsi="Calibri" w:cs="Calibri"/>
                <w:sz w:val="22"/>
                <w:szCs w:val="22"/>
                <w:lang w:val="en-AU"/>
              </w:rPr>
              <w:t xml:space="preserve">Green </w:t>
            </w:r>
            <w:r w:rsidR="0078526F" w:rsidRPr="005734B8">
              <w:rPr>
                <w:rFonts w:ascii="Calibri" w:hAnsi="Calibri" w:cs="Calibri"/>
                <w:sz w:val="22"/>
                <w:szCs w:val="22"/>
                <w:lang w:val="en-AU"/>
              </w:rPr>
              <w:t>power</w:t>
            </w:r>
            <w:r w:rsidRPr="005734B8">
              <w:rPr>
                <w:rFonts w:ascii="Calibri" w:hAnsi="Calibri" w:cs="Calibri"/>
                <w:sz w:val="22"/>
                <w:szCs w:val="22"/>
                <w:lang w:val="en-AU"/>
              </w:rPr>
              <w:t xml:space="preserve"> (MJ)</w:t>
            </w:r>
          </w:p>
        </w:tc>
        <w:tc>
          <w:tcPr>
            <w:tcW w:w="1389" w:type="dxa"/>
            <w:tcBorders>
              <w:top w:val="single" w:sz="4" w:space="0" w:color="53565A" w:themeColor="accent5"/>
              <w:bottom w:val="single" w:sz="4" w:space="0" w:color="53565A" w:themeColor="accent5"/>
            </w:tcBorders>
            <w:shd w:val="clear" w:color="auto" w:fill="D9D9D6" w:themeFill="accent6"/>
          </w:tcPr>
          <w:p w14:paraId="0DFC3B24" w14:textId="094E80B1" w:rsidR="00F30FCD" w:rsidRPr="005734B8" w:rsidRDefault="0078526F" w:rsidP="00F30FCD">
            <w:pPr>
              <w:pStyle w:val="ESTablenumberrightaligned"/>
              <w:rPr>
                <w:rFonts w:ascii="Calibri" w:hAnsi="Calibri" w:cs="Calibri"/>
                <w:sz w:val="22"/>
                <w:szCs w:val="22"/>
              </w:rPr>
            </w:pPr>
            <w:r w:rsidRPr="005734B8">
              <w:rPr>
                <w:rFonts w:ascii="Calibri" w:hAnsi="Calibri" w:cs="Calibri"/>
                <w:sz w:val="22"/>
                <w:szCs w:val="22"/>
              </w:rPr>
              <w:t>–</w:t>
            </w:r>
          </w:p>
        </w:tc>
        <w:tc>
          <w:tcPr>
            <w:tcW w:w="1363" w:type="dxa"/>
            <w:tcBorders>
              <w:top w:val="single" w:sz="4" w:space="0" w:color="53565A" w:themeColor="accent5"/>
              <w:bottom w:val="single" w:sz="4" w:space="0" w:color="53565A" w:themeColor="accent5"/>
            </w:tcBorders>
            <w:shd w:val="clear" w:color="auto" w:fill="FFFFFF" w:themeFill="background1"/>
          </w:tcPr>
          <w:p w14:paraId="20758D8D" w14:textId="177F13AE" w:rsidR="00F30FCD" w:rsidRPr="005734B8" w:rsidRDefault="0078526F" w:rsidP="00F30FCD">
            <w:pPr>
              <w:pStyle w:val="ESTablenumberrightaligned"/>
              <w:rPr>
                <w:rFonts w:ascii="Calibri" w:hAnsi="Calibri" w:cs="Calibri"/>
                <w:sz w:val="22"/>
                <w:szCs w:val="22"/>
              </w:rPr>
            </w:pPr>
            <w:r w:rsidRPr="005734B8">
              <w:rPr>
                <w:rFonts w:ascii="Calibri" w:hAnsi="Calibri" w:cs="Calibri"/>
                <w:sz w:val="22"/>
                <w:szCs w:val="22"/>
              </w:rPr>
              <w:t>–</w:t>
            </w:r>
          </w:p>
        </w:tc>
        <w:tc>
          <w:tcPr>
            <w:tcW w:w="1637" w:type="dxa"/>
            <w:tcBorders>
              <w:top w:val="single" w:sz="4" w:space="0" w:color="53565A" w:themeColor="accent5"/>
              <w:bottom w:val="single" w:sz="4" w:space="0" w:color="53565A" w:themeColor="accent5"/>
            </w:tcBorders>
          </w:tcPr>
          <w:p w14:paraId="58C419E9" w14:textId="5B9C2B8A" w:rsidR="00F30FCD" w:rsidRPr="005734B8" w:rsidRDefault="0078526F" w:rsidP="00F30FCD">
            <w:pPr>
              <w:pStyle w:val="ESTablenumberrightaligned"/>
              <w:rPr>
                <w:rFonts w:ascii="Calibri" w:hAnsi="Calibri" w:cs="Calibri"/>
                <w:sz w:val="22"/>
                <w:szCs w:val="22"/>
              </w:rPr>
            </w:pPr>
            <w:r w:rsidRPr="005734B8">
              <w:rPr>
                <w:rFonts w:ascii="Calibri" w:hAnsi="Calibri" w:cs="Calibri"/>
                <w:sz w:val="22"/>
                <w:szCs w:val="22"/>
              </w:rPr>
              <w:t>–</w:t>
            </w:r>
          </w:p>
        </w:tc>
      </w:tr>
      <w:tr w:rsidR="00F30FCD" w:rsidRPr="005734B8" w14:paraId="424F27E7" w14:textId="77777777" w:rsidTr="00461740">
        <w:trPr>
          <w:cantSplit/>
        </w:trPr>
        <w:tc>
          <w:tcPr>
            <w:tcW w:w="3532" w:type="dxa"/>
            <w:tcBorders>
              <w:top w:val="single" w:sz="4" w:space="0" w:color="53565A" w:themeColor="accent5"/>
              <w:bottom w:val="single" w:sz="4" w:space="0" w:color="53565A" w:themeColor="accent5"/>
            </w:tcBorders>
            <w:shd w:val="clear" w:color="auto" w:fill="auto"/>
            <w:vAlign w:val="center"/>
          </w:tcPr>
          <w:p w14:paraId="3442E199" w14:textId="77777777" w:rsidR="00F30FCD" w:rsidRPr="005734B8" w:rsidRDefault="00F30FCD" w:rsidP="00F30FCD">
            <w:pPr>
              <w:pStyle w:val="ESTablebody"/>
              <w:rPr>
                <w:rFonts w:ascii="Calibri" w:hAnsi="Calibri" w:cs="Calibri"/>
                <w:sz w:val="22"/>
                <w:szCs w:val="22"/>
              </w:rPr>
            </w:pPr>
            <w:r w:rsidRPr="005734B8">
              <w:rPr>
                <w:rFonts w:ascii="Calibri" w:hAnsi="Calibri" w:cs="Calibri"/>
                <w:sz w:val="22"/>
                <w:szCs w:val="22"/>
                <w:lang w:val="en-AU"/>
              </w:rPr>
              <w:t>LPG (MJ)</w:t>
            </w:r>
          </w:p>
        </w:tc>
        <w:tc>
          <w:tcPr>
            <w:tcW w:w="1389" w:type="dxa"/>
            <w:tcBorders>
              <w:top w:val="single" w:sz="4" w:space="0" w:color="53565A" w:themeColor="accent5"/>
              <w:bottom w:val="single" w:sz="4" w:space="0" w:color="53565A" w:themeColor="accent5"/>
            </w:tcBorders>
            <w:shd w:val="clear" w:color="auto" w:fill="D9D9D6" w:themeFill="accent6"/>
          </w:tcPr>
          <w:p w14:paraId="04D56927" w14:textId="0DF7597C" w:rsidR="00F30FCD" w:rsidRPr="005734B8" w:rsidRDefault="0078526F" w:rsidP="00F30FCD">
            <w:pPr>
              <w:pStyle w:val="ESTablenumberrightaligned"/>
              <w:rPr>
                <w:rFonts w:ascii="Calibri" w:hAnsi="Calibri" w:cs="Calibri"/>
                <w:sz w:val="22"/>
                <w:szCs w:val="22"/>
              </w:rPr>
            </w:pPr>
            <w:r w:rsidRPr="005734B8">
              <w:rPr>
                <w:rFonts w:ascii="Calibri" w:hAnsi="Calibri" w:cs="Calibri"/>
                <w:sz w:val="22"/>
                <w:szCs w:val="22"/>
              </w:rPr>
              <w:t>–</w:t>
            </w:r>
          </w:p>
        </w:tc>
        <w:tc>
          <w:tcPr>
            <w:tcW w:w="1363" w:type="dxa"/>
            <w:tcBorders>
              <w:top w:val="single" w:sz="4" w:space="0" w:color="53565A" w:themeColor="accent5"/>
              <w:bottom w:val="single" w:sz="4" w:space="0" w:color="53565A" w:themeColor="accent5"/>
            </w:tcBorders>
            <w:shd w:val="clear" w:color="auto" w:fill="FFFFFF" w:themeFill="background1"/>
          </w:tcPr>
          <w:p w14:paraId="0A2FA3FC" w14:textId="2A6E0A9C" w:rsidR="00F30FCD" w:rsidRPr="005734B8" w:rsidRDefault="0078526F" w:rsidP="00F30FCD">
            <w:pPr>
              <w:pStyle w:val="ESTablenumberrightaligned"/>
              <w:rPr>
                <w:rFonts w:ascii="Calibri" w:hAnsi="Calibri" w:cs="Calibri"/>
                <w:sz w:val="22"/>
                <w:szCs w:val="22"/>
              </w:rPr>
            </w:pPr>
            <w:r w:rsidRPr="005734B8">
              <w:rPr>
                <w:rFonts w:ascii="Calibri" w:hAnsi="Calibri" w:cs="Calibri"/>
                <w:sz w:val="22"/>
                <w:szCs w:val="22"/>
              </w:rPr>
              <w:t>–</w:t>
            </w:r>
          </w:p>
        </w:tc>
        <w:tc>
          <w:tcPr>
            <w:tcW w:w="1637" w:type="dxa"/>
            <w:tcBorders>
              <w:top w:val="single" w:sz="4" w:space="0" w:color="53565A" w:themeColor="accent5"/>
              <w:bottom w:val="single" w:sz="4" w:space="0" w:color="53565A" w:themeColor="accent5"/>
            </w:tcBorders>
          </w:tcPr>
          <w:p w14:paraId="60B2B178" w14:textId="3EDB0F39" w:rsidR="00F30FCD" w:rsidRPr="005734B8" w:rsidRDefault="0078526F" w:rsidP="00F30FCD">
            <w:pPr>
              <w:pStyle w:val="ESTablenumberrightaligned"/>
              <w:rPr>
                <w:rFonts w:ascii="Calibri" w:hAnsi="Calibri" w:cs="Calibri"/>
                <w:sz w:val="22"/>
                <w:szCs w:val="22"/>
              </w:rPr>
            </w:pPr>
            <w:r w:rsidRPr="005734B8">
              <w:rPr>
                <w:rFonts w:ascii="Calibri" w:hAnsi="Calibri" w:cs="Calibri"/>
                <w:sz w:val="22"/>
                <w:szCs w:val="22"/>
              </w:rPr>
              <w:t>–</w:t>
            </w:r>
          </w:p>
        </w:tc>
      </w:tr>
      <w:tr w:rsidR="00F30FCD" w:rsidRPr="005734B8" w14:paraId="761041DD" w14:textId="77777777" w:rsidTr="00F30FCD">
        <w:trPr>
          <w:cantSplit/>
        </w:trPr>
        <w:tc>
          <w:tcPr>
            <w:tcW w:w="3532" w:type="dxa"/>
            <w:tcBorders>
              <w:top w:val="single" w:sz="4" w:space="0" w:color="53565A" w:themeColor="accent5"/>
              <w:bottom w:val="single" w:sz="4" w:space="0" w:color="53565A" w:themeColor="accent5"/>
            </w:tcBorders>
            <w:shd w:val="clear" w:color="auto" w:fill="D9D9D6" w:themeFill="accent6"/>
            <w:vAlign w:val="center"/>
          </w:tcPr>
          <w:p w14:paraId="71BAA48D" w14:textId="77777777" w:rsidR="00F30FCD" w:rsidRPr="005734B8" w:rsidRDefault="00F30FCD" w:rsidP="00F30FCD">
            <w:pPr>
              <w:pStyle w:val="ESTablebody"/>
              <w:rPr>
                <w:rFonts w:ascii="Calibri" w:hAnsi="Calibri" w:cs="Calibri"/>
                <w:b/>
                <w:sz w:val="22"/>
                <w:szCs w:val="22"/>
              </w:rPr>
            </w:pPr>
            <w:r w:rsidRPr="005734B8">
              <w:rPr>
                <w:rFonts w:ascii="Calibri" w:hAnsi="Calibri" w:cs="Calibri"/>
                <w:b/>
                <w:sz w:val="22"/>
                <w:szCs w:val="22"/>
                <w:lang w:val="en-AU"/>
              </w:rPr>
              <w:lastRenderedPageBreak/>
              <w:t>E.2 Total greenhouse gas emissions from energy consumption (tonnes CO</w:t>
            </w:r>
            <w:r w:rsidRPr="005734B8">
              <w:rPr>
                <w:rFonts w:ascii="Calibri" w:hAnsi="Calibri" w:cs="Calibri"/>
                <w:b/>
                <w:sz w:val="22"/>
                <w:szCs w:val="22"/>
                <w:vertAlign w:val="subscript"/>
                <w:lang w:val="en-AU"/>
              </w:rPr>
              <w:t>2</w:t>
            </w:r>
            <w:r w:rsidRPr="005734B8">
              <w:rPr>
                <w:rFonts w:ascii="Calibri" w:hAnsi="Calibri" w:cs="Calibri"/>
                <w:b/>
                <w:sz w:val="22"/>
                <w:szCs w:val="22"/>
                <w:lang w:val="en-AU"/>
              </w:rPr>
              <w:t>-e)</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2047BB0C" w14:textId="77777777" w:rsidR="00F30FCD" w:rsidRPr="005734B8" w:rsidRDefault="00F30FCD" w:rsidP="00F30FCD">
            <w:pPr>
              <w:pStyle w:val="ESTablenumberrightaligned"/>
              <w:rPr>
                <w:rFonts w:ascii="Calibri" w:hAnsi="Calibri" w:cs="Calibri"/>
                <w:b/>
                <w:sz w:val="22"/>
                <w:szCs w:val="22"/>
                <w:highlight w:val="red"/>
              </w:rPr>
            </w:pPr>
            <w:r w:rsidRPr="005734B8">
              <w:rPr>
                <w:rFonts w:ascii="Calibri" w:hAnsi="Calibri" w:cs="Calibri"/>
                <w:b/>
                <w:sz w:val="22"/>
                <w:szCs w:val="22"/>
              </w:rPr>
              <w:t>6,511</w:t>
            </w:r>
          </w:p>
        </w:tc>
        <w:tc>
          <w:tcPr>
            <w:tcW w:w="1363" w:type="dxa"/>
            <w:tcBorders>
              <w:top w:val="single" w:sz="4" w:space="0" w:color="53565A" w:themeColor="accent5"/>
              <w:bottom w:val="single" w:sz="4" w:space="0" w:color="53565A" w:themeColor="accent5"/>
            </w:tcBorders>
            <w:shd w:val="clear" w:color="auto" w:fill="D9D9D6" w:themeFill="accent6"/>
            <w:vAlign w:val="center"/>
          </w:tcPr>
          <w:p w14:paraId="7ADF7EB7"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b/>
                <w:sz w:val="22"/>
                <w:szCs w:val="22"/>
              </w:rPr>
              <w:t>8,601</w:t>
            </w:r>
          </w:p>
        </w:tc>
        <w:tc>
          <w:tcPr>
            <w:tcW w:w="1637" w:type="dxa"/>
            <w:tcBorders>
              <w:top w:val="single" w:sz="4" w:space="0" w:color="53565A" w:themeColor="accent5"/>
              <w:bottom w:val="single" w:sz="4" w:space="0" w:color="53565A" w:themeColor="accent5"/>
            </w:tcBorders>
            <w:shd w:val="clear" w:color="auto" w:fill="D9D9D6" w:themeFill="accent6"/>
            <w:vAlign w:val="center"/>
          </w:tcPr>
          <w:p w14:paraId="6B0D3DFF"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b/>
                <w:sz w:val="22"/>
                <w:szCs w:val="22"/>
              </w:rPr>
              <w:t>8,453</w:t>
            </w:r>
          </w:p>
        </w:tc>
      </w:tr>
      <w:tr w:rsidR="00F30FCD" w:rsidRPr="005734B8" w14:paraId="562D300B" w14:textId="77777777" w:rsidTr="00F30FCD">
        <w:trPr>
          <w:cantSplit/>
        </w:trPr>
        <w:tc>
          <w:tcPr>
            <w:tcW w:w="3532" w:type="dxa"/>
            <w:tcBorders>
              <w:top w:val="single" w:sz="4" w:space="0" w:color="53565A" w:themeColor="accent5"/>
              <w:bottom w:val="single" w:sz="4" w:space="0" w:color="53565A" w:themeColor="accent5"/>
            </w:tcBorders>
            <w:shd w:val="clear" w:color="auto" w:fill="auto"/>
            <w:vAlign w:val="center"/>
          </w:tcPr>
          <w:p w14:paraId="68BBC095" w14:textId="7B310A02" w:rsidR="00F30FCD" w:rsidRPr="005734B8" w:rsidRDefault="00F30FCD" w:rsidP="00F30FCD">
            <w:pPr>
              <w:pStyle w:val="ESTablebody"/>
              <w:rPr>
                <w:rFonts w:ascii="Calibri" w:hAnsi="Calibri" w:cs="Calibri"/>
                <w:sz w:val="22"/>
                <w:szCs w:val="22"/>
              </w:rPr>
            </w:pPr>
            <w:r w:rsidRPr="005734B8">
              <w:rPr>
                <w:rFonts w:ascii="Calibri" w:hAnsi="Calibri" w:cs="Calibri"/>
                <w:sz w:val="22"/>
                <w:szCs w:val="22"/>
                <w:lang w:val="en-AU"/>
              </w:rPr>
              <w:t>Electricity (tonnes CO</w:t>
            </w:r>
            <w:r w:rsidRPr="005734B8">
              <w:rPr>
                <w:rFonts w:ascii="Calibri" w:hAnsi="Calibri" w:cs="Calibri"/>
                <w:sz w:val="22"/>
                <w:szCs w:val="22"/>
                <w:vertAlign w:val="subscript"/>
                <w:lang w:val="en-AU"/>
              </w:rPr>
              <w:t>2</w:t>
            </w:r>
            <w:r w:rsidRPr="005734B8">
              <w:rPr>
                <w:rFonts w:ascii="Calibri" w:hAnsi="Calibri" w:cs="Calibri"/>
                <w:sz w:val="22"/>
                <w:szCs w:val="22"/>
                <w:lang w:val="en-AU"/>
              </w:rPr>
              <w:t>-e)</w:t>
            </w:r>
            <w:r w:rsidR="0078526F" w:rsidRPr="005734B8">
              <w:rPr>
                <w:rFonts w:ascii="Calibri" w:hAnsi="Calibri" w:cs="Calibri"/>
                <w:sz w:val="22"/>
                <w:szCs w:val="22"/>
                <w:lang w:val="en-AU"/>
              </w:rPr>
              <w:t>—</w:t>
            </w:r>
            <w:r w:rsidRPr="005734B8">
              <w:rPr>
                <w:rFonts w:ascii="Calibri" w:hAnsi="Calibri" w:cs="Calibri"/>
                <w:sz w:val="22"/>
                <w:szCs w:val="22"/>
                <w:lang w:val="en-AU"/>
              </w:rPr>
              <w:t>excluding green power</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05D7F35E"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6,197</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48A00B74"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8,221</w:t>
            </w:r>
          </w:p>
        </w:tc>
        <w:tc>
          <w:tcPr>
            <w:tcW w:w="1637" w:type="dxa"/>
            <w:tcBorders>
              <w:top w:val="single" w:sz="4" w:space="0" w:color="53565A" w:themeColor="accent5"/>
              <w:bottom w:val="single" w:sz="4" w:space="0" w:color="53565A" w:themeColor="accent5"/>
            </w:tcBorders>
            <w:vAlign w:val="center"/>
          </w:tcPr>
          <w:p w14:paraId="3EE444B9"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8,091</w:t>
            </w:r>
          </w:p>
        </w:tc>
      </w:tr>
      <w:tr w:rsidR="00F30FCD" w:rsidRPr="005734B8" w14:paraId="68FC2EB5" w14:textId="77777777" w:rsidTr="00F30FCD">
        <w:trPr>
          <w:cantSplit/>
        </w:trPr>
        <w:tc>
          <w:tcPr>
            <w:tcW w:w="3532" w:type="dxa"/>
            <w:tcBorders>
              <w:top w:val="single" w:sz="4" w:space="0" w:color="53565A" w:themeColor="accent5"/>
              <w:bottom w:val="single" w:sz="4" w:space="0" w:color="53565A" w:themeColor="accent5"/>
            </w:tcBorders>
            <w:shd w:val="clear" w:color="auto" w:fill="auto"/>
            <w:vAlign w:val="center"/>
          </w:tcPr>
          <w:p w14:paraId="1E98F0BD" w14:textId="77777777" w:rsidR="00F30FCD" w:rsidRPr="005734B8" w:rsidRDefault="00F30FCD" w:rsidP="00F30FCD">
            <w:pPr>
              <w:pStyle w:val="ESTablebody"/>
              <w:rPr>
                <w:rFonts w:ascii="Calibri" w:hAnsi="Calibri" w:cs="Calibri"/>
                <w:sz w:val="22"/>
                <w:szCs w:val="22"/>
              </w:rPr>
            </w:pPr>
            <w:r w:rsidRPr="005734B8">
              <w:rPr>
                <w:rFonts w:ascii="Calibri" w:hAnsi="Calibri" w:cs="Calibri"/>
                <w:sz w:val="22"/>
                <w:szCs w:val="22"/>
                <w:lang w:val="en-AU"/>
              </w:rPr>
              <w:t>Natural gas (tonnes CO</w:t>
            </w:r>
            <w:r w:rsidRPr="005734B8">
              <w:rPr>
                <w:rFonts w:ascii="Calibri" w:hAnsi="Calibri" w:cs="Calibri"/>
                <w:sz w:val="22"/>
                <w:szCs w:val="22"/>
                <w:vertAlign w:val="subscript"/>
                <w:lang w:val="en-AU"/>
              </w:rPr>
              <w:t>2</w:t>
            </w:r>
            <w:r w:rsidRPr="005734B8">
              <w:rPr>
                <w:rFonts w:ascii="Calibri" w:hAnsi="Calibri" w:cs="Calibri"/>
                <w:sz w:val="22"/>
                <w:szCs w:val="22"/>
                <w:lang w:val="en-AU"/>
              </w:rPr>
              <w:t>-e)</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6C5834DC"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314</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0EF0D097"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379</w:t>
            </w:r>
          </w:p>
        </w:tc>
        <w:tc>
          <w:tcPr>
            <w:tcW w:w="1637" w:type="dxa"/>
            <w:tcBorders>
              <w:top w:val="single" w:sz="4" w:space="0" w:color="53565A" w:themeColor="accent5"/>
              <w:bottom w:val="single" w:sz="4" w:space="0" w:color="53565A" w:themeColor="accent5"/>
            </w:tcBorders>
            <w:vAlign w:val="center"/>
          </w:tcPr>
          <w:p w14:paraId="477EDD4A"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362</w:t>
            </w:r>
          </w:p>
        </w:tc>
      </w:tr>
      <w:tr w:rsidR="00F30FCD" w:rsidRPr="005734B8" w14:paraId="6B46D606" w14:textId="77777777" w:rsidTr="00355F5F">
        <w:trPr>
          <w:cantSplit/>
        </w:trPr>
        <w:tc>
          <w:tcPr>
            <w:tcW w:w="3532" w:type="dxa"/>
            <w:tcBorders>
              <w:top w:val="single" w:sz="4" w:space="0" w:color="53565A" w:themeColor="accent5"/>
              <w:bottom w:val="single" w:sz="18" w:space="0" w:color="53565A" w:themeColor="accent5"/>
            </w:tcBorders>
            <w:shd w:val="clear" w:color="auto" w:fill="auto"/>
            <w:vAlign w:val="center"/>
          </w:tcPr>
          <w:p w14:paraId="2D98B2E4" w14:textId="77777777" w:rsidR="00F30FCD" w:rsidRPr="005734B8" w:rsidRDefault="00F30FCD" w:rsidP="00F30FCD">
            <w:pPr>
              <w:pStyle w:val="ESTablebody"/>
              <w:rPr>
                <w:rFonts w:ascii="Calibri" w:hAnsi="Calibri" w:cs="Calibri"/>
                <w:sz w:val="22"/>
                <w:szCs w:val="22"/>
              </w:rPr>
            </w:pPr>
            <w:r w:rsidRPr="005734B8">
              <w:rPr>
                <w:rFonts w:ascii="Calibri" w:hAnsi="Calibri" w:cs="Calibri"/>
                <w:sz w:val="22"/>
                <w:szCs w:val="22"/>
                <w:lang w:val="en-AU"/>
              </w:rPr>
              <w:t>LPG (tonnes CO</w:t>
            </w:r>
            <w:r w:rsidRPr="005734B8">
              <w:rPr>
                <w:rFonts w:ascii="Calibri" w:hAnsi="Calibri" w:cs="Calibri"/>
                <w:sz w:val="22"/>
                <w:szCs w:val="22"/>
                <w:vertAlign w:val="subscript"/>
                <w:lang w:val="en-AU"/>
              </w:rPr>
              <w:t>2</w:t>
            </w:r>
            <w:r w:rsidRPr="005734B8">
              <w:rPr>
                <w:rFonts w:ascii="Calibri" w:hAnsi="Calibri" w:cs="Calibri"/>
                <w:sz w:val="22"/>
                <w:szCs w:val="22"/>
                <w:lang w:val="en-AU"/>
              </w:rPr>
              <w:t>-e)</w:t>
            </w:r>
          </w:p>
        </w:tc>
        <w:tc>
          <w:tcPr>
            <w:tcW w:w="1389" w:type="dxa"/>
            <w:tcBorders>
              <w:top w:val="single" w:sz="4" w:space="0" w:color="53565A" w:themeColor="accent5"/>
              <w:bottom w:val="single" w:sz="18" w:space="0" w:color="53565A" w:themeColor="accent5"/>
            </w:tcBorders>
            <w:shd w:val="clear" w:color="auto" w:fill="D9D9D6" w:themeFill="accent6"/>
          </w:tcPr>
          <w:p w14:paraId="5613A633" w14:textId="40D66FD7" w:rsidR="00F30FCD" w:rsidRPr="005734B8" w:rsidRDefault="0078526F" w:rsidP="00F30FCD">
            <w:pPr>
              <w:pStyle w:val="ESTablenumberrightaligned"/>
              <w:rPr>
                <w:rFonts w:ascii="Calibri" w:hAnsi="Calibri" w:cs="Calibri"/>
                <w:sz w:val="22"/>
                <w:szCs w:val="22"/>
              </w:rPr>
            </w:pPr>
            <w:r w:rsidRPr="005734B8">
              <w:rPr>
                <w:rFonts w:ascii="Calibri" w:hAnsi="Calibri" w:cs="Calibri"/>
                <w:sz w:val="22"/>
                <w:szCs w:val="22"/>
              </w:rPr>
              <w:t>–</w:t>
            </w:r>
          </w:p>
        </w:tc>
        <w:tc>
          <w:tcPr>
            <w:tcW w:w="1363" w:type="dxa"/>
            <w:tcBorders>
              <w:top w:val="single" w:sz="4" w:space="0" w:color="53565A" w:themeColor="accent5"/>
              <w:bottom w:val="single" w:sz="18" w:space="0" w:color="53565A" w:themeColor="accent5"/>
            </w:tcBorders>
            <w:shd w:val="clear" w:color="auto" w:fill="FFFFFF" w:themeFill="background1"/>
          </w:tcPr>
          <w:p w14:paraId="4ADBD668" w14:textId="12514929" w:rsidR="00F30FCD" w:rsidRPr="005734B8" w:rsidRDefault="0078526F" w:rsidP="00F30FCD">
            <w:pPr>
              <w:pStyle w:val="ESTablenumberrightaligned"/>
              <w:rPr>
                <w:rFonts w:ascii="Calibri" w:hAnsi="Calibri" w:cs="Calibri"/>
                <w:sz w:val="22"/>
                <w:szCs w:val="22"/>
              </w:rPr>
            </w:pPr>
            <w:r w:rsidRPr="005734B8">
              <w:rPr>
                <w:rFonts w:ascii="Calibri" w:hAnsi="Calibri" w:cs="Calibri"/>
                <w:sz w:val="22"/>
                <w:szCs w:val="22"/>
              </w:rPr>
              <w:t>–</w:t>
            </w:r>
          </w:p>
        </w:tc>
        <w:tc>
          <w:tcPr>
            <w:tcW w:w="1637" w:type="dxa"/>
            <w:tcBorders>
              <w:top w:val="single" w:sz="4" w:space="0" w:color="53565A" w:themeColor="accent5"/>
              <w:bottom w:val="single" w:sz="18" w:space="0" w:color="53565A" w:themeColor="accent5"/>
            </w:tcBorders>
          </w:tcPr>
          <w:p w14:paraId="6EBD327D" w14:textId="397B9F90" w:rsidR="00F30FCD" w:rsidRPr="005734B8" w:rsidRDefault="0078526F" w:rsidP="00F30FCD">
            <w:pPr>
              <w:pStyle w:val="ESTablenumberrightaligned"/>
              <w:rPr>
                <w:rFonts w:ascii="Calibri" w:hAnsi="Calibri" w:cs="Calibri"/>
                <w:sz w:val="22"/>
                <w:szCs w:val="22"/>
              </w:rPr>
            </w:pPr>
            <w:r w:rsidRPr="005734B8">
              <w:rPr>
                <w:rFonts w:ascii="Calibri" w:hAnsi="Calibri" w:cs="Calibri"/>
                <w:sz w:val="22"/>
                <w:szCs w:val="22"/>
              </w:rPr>
              <w:t>–</w:t>
            </w:r>
          </w:p>
        </w:tc>
      </w:tr>
      <w:tr w:rsidR="00F30FCD" w:rsidRPr="005734B8" w14:paraId="632A9E62" w14:textId="77777777" w:rsidTr="00F30FCD">
        <w:trPr>
          <w:cantSplit/>
        </w:trPr>
        <w:tc>
          <w:tcPr>
            <w:tcW w:w="3532" w:type="dxa"/>
            <w:tcBorders>
              <w:top w:val="single" w:sz="18" w:space="0" w:color="53565A" w:themeColor="accent5"/>
              <w:bottom w:val="single" w:sz="4" w:space="0" w:color="53565A" w:themeColor="accent5"/>
            </w:tcBorders>
            <w:shd w:val="clear" w:color="auto" w:fill="auto"/>
            <w:vAlign w:val="center"/>
          </w:tcPr>
          <w:p w14:paraId="178DA4AF" w14:textId="77777777" w:rsidR="00F30FCD" w:rsidRPr="005734B8" w:rsidRDefault="00F30FCD" w:rsidP="00F30FCD">
            <w:pPr>
              <w:pStyle w:val="ESTablebody"/>
              <w:rPr>
                <w:rFonts w:ascii="Calibri" w:hAnsi="Calibri" w:cs="Calibri"/>
                <w:b/>
                <w:sz w:val="22"/>
                <w:szCs w:val="22"/>
              </w:rPr>
            </w:pPr>
            <w:r w:rsidRPr="005734B8">
              <w:rPr>
                <w:rFonts w:ascii="Calibri" w:hAnsi="Calibri" w:cs="Calibri"/>
                <w:b/>
                <w:sz w:val="22"/>
                <w:szCs w:val="22"/>
                <w:lang w:val="en-AU"/>
              </w:rPr>
              <w:t>E.3 Percentage of electricity purchased as green power (%)</w:t>
            </w:r>
          </w:p>
        </w:tc>
        <w:tc>
          <w:tcPr>
            <w:tcW w:w="1389" w:type="dxa"/>
            <w:tcBorders>
              <w:top w:val="single" w:sz="18" w:space="0" w:color="53565A" w:themeColor="accent5"/>
              <w:bottom w:val="single" w:sz="4" w:space="0" w:color="53565A" w:themeColor="accent5"/>
            </w:tcBorders>
            <w:shd w:val="clear" w:color="auto" w:fill="D9D9D6" w:themeFill="accent6"/>
            <w:vAlign w:val="center"/>
          </w:tcPr>
          <w:p w14:paraId="2FF394D5" w14:textId="32E53AEB" w:rsidR="00F30FCD" w:rsidRPr="005734B8" w:rsidRDefault="0078526F" w:rsidP="00F30FCD">
            <w:pPr>
              <w:pStyle w:val="ESTablenumberrightaligned"/>
              <w:rPr>
                <w:rFonts w:ascii="Calibri" w:hAnsi="Calibri" w:cs="Calibri"/>
                <w:b/>
                <w:sz w:val="22"/>
                <w:szCs w:val="22"/>
              </w:rPr>
            </w:pPr>
            <w:r w:rsidRPr="005734B8">
              <w:rPr>
                <w:rFonts w:ascii="Calibri" w:hAnsi="Calibri" w:cs="Calibri"/>
                <w:b/>
                <w:bCs/>
                <w:sz w:val="22"/>
                <w:szCs w:val="22"/>
              </w:rPr>
              <w:t>–</w:t>
            </w:r>
          </w:p>
        </w:tc>
        <w:tc>
          <w:tcPr>
            <w:tcW w:w="1363" w:type="dxa"/>
            <w:tcBorders>
              <w:top w:val="single" w:sz="18" w:space="0" w:color="53565A" w:themeColor="accent5"/>
              <w:bottom w:val="single" w:sz="4" w:space="0" w:color="53565A" w:themeColor="accent5"/>
            </w:tcBorders>
            <w:shd w:val="clear" w:color="auto" w:fill="FFFFFF" w:themeFill="background1"/>
            <w:vAlign w:val="center"/>
          </w:tcPr>
          <w:p w14:paraId="2EA17F41" w14:textId="18591B95" w:rsidR="00F30FCD" w:rsidRPr="005734B8" w:rsidRDefault="0078526F" w:rsidP="00F30FCD">
            <w:pPr>
              <w:pStyle w:val="ESTablenumberrightaligned"/>
              <w:rPr>
                <w:rFonts w:ascii="Calibri" w:hAnsi="Calibri" w:cs="Calibri"/>
                <w:b/>
                <w:sz w:val="22"/>
                <w:szCs w:val="22"/>
              </w:rPr>
            </w:pPr>
            <w:r w:rsidRPr="005734B8">
              <w:rPr>
                <w:rFonts w:ascii="Calibri" w:hAnsi="Calibri" w:cs="Calibri"/>
                <w:b/>
                <w:bCs/>
                <w:sz w:val="22"/>
                <w:szCs w:val="22"/>
              </w:rPr>
              <w:t>–</w:t>
            </w:r>
          </w:p>
        </w:tc>
        <w:tc>
          <w:tcPr>
            <w:tcW w:w="1637" w:type="dxa"/>
            <w:tcBorders>
              <w:top w:val="single" w:sz="18" w:space="0" w:color="53565A" w:themeColor="accent5"/>
              <w:bottom w:val="single" w:sz="4" w:space="0" w:color="53565A" w:themeColor="accent5"/>
            </w:tcBorders>
            <w:vAlign w:val="center"/>
          </w:tcPr>
          <w:p w14:paraId="049BAC38" w14:textId="18F14723" w:rsidR="00F30FCD" w:rsidRPr="005734B8" w:rsidRDefault="0078526F" w:rsidP="00F30FCD">
            <w:pPr>
              <w:pStyle w:val="ESTablenumberrightaligned"/>
              <w:rPr>
                <w:rFonts w:ascii="Calibri" w:hAnsi="Calibri" w:cs="Calibri"/>
                <w:b/>
                <w:sz w:val="22"/>
                <w:szCs w:val="22"/>
              </w:rPr>
            </w:pPr>
            <w:r w:rsidRPr="005734B8">
              <w:rPr>
                <w:rFonts w:ascii="Calibri" w:hAnsi="Calibri" w:cs="Calibri"/>
                <w:b/>
                <w:bCs/>
                <w:sz w:val="22"/>
                <w:szCs w:val="22"/>
              </w:rPr>
              <w:t>–</w:t>
            </w:r>
          </w:p>
        </w:tc>
      </w:tr>
      <w:tr w:rsidR="00F30FCD" w:rsidRPr="005734B8" w14:paraId="77F0B401" w14:textId="77777777" w:rsidTr="00F30FCD">
        <w:trPr>
          <w:cantSplit/>
        </w:trPr>
        <w:tc>
          <w:tcPr>
            <w:tcW w:w="3532" w:type="dxa"/>
            <w:tcBorders>
              <w:top w:val="single" w:sz="18" w:space="0" w:color="53565A" w:themeColor="accent5"/>
              <w:bottom w:val="single" w:sz="4" w:space="0" w:color="53565A" w:themeColor="accent5"/>
            </w:tcBorders>
            <w:shd w:val="clear" w:color="auto" w:fill="auto"/>
            <w:vAlign w:val="center"/>
          </w:tcPr>
          <w:p w14:paraId="750AFEB9" w14:textId="77777777" w:rsidR="00F30FCD" w:rsidRPr="005734B8" w:rsidRDefault="00F30FCD" w:rsidP="00F30FCD">
            <w:pPr>
              <w:pStyle w:val="ESTablebody"/>
              <w:rPr>
                <w:rFonts w:ascii="Calibri" w:hAnsi="Calibri" w:cs="Calibri"/>
                <w:b/>
                <w:sz w:val="22"/>
                <w:szCs w:val="22"/>
              </w:rPr>
            </w:pPr>
            <w:r w:rsidRPr="005734B8">
              <w:rPr>
                <w:rFonts w:ascii="Calibri" w:hAnsi="Calibri" w:cs="Calibri"/>
                <w:b/>
                <w:sz w:val="22"/>
                <w:szCs w:val="22"/>
                <w:lang w:val="en-AU"/>
              </w:rPr>
              <w:t>E.4 Units of office energy used per FTE (MJ/FTE)</w:t>
            </w:r>
          </w:p>
        </w:tc>
        <w:tc>
          <w:tcPr>
            <w:tcW w:w="1389" w:type="dxa"/>
            <w:tcBorders>
              <w:top w:val="single" w:sz="18" w:space="0" w:color="53565A" w:themeColor="accent5"/>
              <w:bottom w:val="single" w:sz="4" w:space="0" w:color="53565A" w:themeColor="accent5"/>
            </w:tcBorders>
            <w:shd w:val="clear" w:color="auto" w:fill="D9D9D6" w:themeFill="accent6"/>
            <w:vAlign w:val="center"/>
          </w:tcPr>
          <w:p w14:paraId="41DAF957" w14:textId="77777777" w:rsidR="00F30FCD" w:rsidRPr="005734B8" w:rsidRDefault="00F30FCD" w:rsidP="00F30FCD">
            <w:pPr>
              <w:pStyle w:val="ESTablenumberrightaligned"/>
              <w:rPr>
                <w:rFonts w:ascii="Calibri" w:hAnsi="Calibri" w:cs="Calibri"/>
                <w:b/>
                <w:sz w:val="22"/>
                <w:szCs w:val="22"/>
              </w:rPr>
            </w:pPr>
            <w:r w:rsidRPr="005734B8">
              <w:rPr>
                <w:rFonts w:ascii="Calibri" w:hAnsi="Calibri" w:cs="Calibri"/>
                <w:b/>
                <w:sz w:val="22"/>
                <w:szCs w:val="22"/>
              </w:rPr>
              <w:t>6,971</w:t>
            </w:r>
          </w:p>
        </w:tc>
        <w:tc>
          <w:tcPr>
            <w:tcW w:w="1363" w:type="dxa"/>
            <w:tcBorders>
              <w:top w:val="single" w:sz="18" w:space="0" w:color="53565A" w:themeColor="accent5"/>
              <w:bottom w:val="single" w:sz="4" w:space="0" w:color="53565A" w:themeColor="accent5"/>
            </w:tcBorders>
            <w:shd w:val="clear" w:color="auto" w:fill="FFFFFF" w:themeFill="background1"/>
            <w:vAlign w:val="center"/>
          </w:tcPr>
          <w:p w14:paraId="089C5B72" w14:textId="77777777" w:rsidR="00F30FCD" w:rsidRPr="005734B8" w:rsidRDefault="00F30FCD" w:rsidP="00F30FCD">
            <w:pPr>
              <w:pStyle w:val="ESTablenumberrightaligned"/>
              <w:rPr>
                <w:rFonts w:ascii="Calibri" w:hAnsi="Calibri" w:cs="Calibri"/>
                <w:b/>
                <w:sz w:val="22"/>
                <w:szCs w:val="22"/>
              </w:rPr>
            </w:pPr>
            <w:r w:rsidRPr="005734B8">
              <w:rPr>
                <w:rFonts w:ascii="Calibri" w:hAnsi="Calibri" w:cs="Calibri"/>
                <w:b/>
                <w:sz w:val="22"/>
                <w:szCs w:val="22"/>
              </w:rPr>
              <w:t>7,394</w:t>
            </w:r>
          </w:p>
        </w:tc>
        <w:tc>
          <w:tcPr>
            <w:tcW w:w="1637" w:type="dxa"/>
            <w:tcBorders>
              <w:top w:val="single" w:sz="18" w:space="0" w:color="53565A" w:themeColor="accent5"/>
              <w:bottom w:val="single" w:sz="4" w:space="0" w:color="53565A" w:themeColor="accent5"/>
            </w:tcBorders>
            <w:vAlign w:val="center"/>
          </w:tcPr>
          <w:p w14:paraId="716CD9E9" w14:textId="77777777" w:rsidR="00F30FCD" w:rsidRPr="005734B8" w:rsidRDefault="00F30FCD" w:rsidP="00F30FCD">
            <w:pPr>
              <w:pStyle w:val="ESTablenumberrightaligned"/>
              <w:rPr>
                <w:rFonts w:ascii="Calibri" w:hAnsi="Calibri" w:cs="Calibri"/>
                <w:b/>
                <w:sz w:val="22"/>
                <w:szCs w:val="22"/>
              </w:rPr>
            </w:pPr>
            <w:r w:rsidRPr="005734B8">
              <w:rPr>
                <w:rFonts w:ascii="Calibri" w:hAnsi="Calibri" w:cs="Calibri"/>
                <w:b/>
                <w:sz w:val="22"/>
                <w:szCs w:val="22"/>
              </w:rPr>
              <w:t>7,121</w:t>
            </w:r>
          </w:p>
        </w:tc>
      </w:tr>
      <w:tr w:rsidR="00F30FCD" w:rsidRPr="005734B8" w14:paraId="0D6EC955" w14:textId="77777777" w:rsidTr="00F30FCD">
        <w:trPr>
          <w:cantSplit/>
        </w:trPr>
        <w:tc>
          <w:tcPr>
            <w:tcW w:w="3532" w:type="dxa"/>
            <w:tcBorders>
              <w:top w:val="single" w:sz="18" w:space="0" w:color="53565A" w:themeColor="accent5"/>
              <w:bottom w:val="single" w:sz="18" w:space="0" w:color="53565A" w:themeColor="accent5"/>
            </w:tcBorders>
            <w:shd w:val="clear" w:color="auto" w:fill="auto"/>
            <w:vAlign w:val="center"/>
          </w:tcPr>
          <w:p w14:paraId="68368E03" w14:textId="77777777" w:rsidR="00F30FCD" w:rsidRPr="005734B8" w:rsidRDefault="00F30FCD" w:rsidP="00F30FCD">
            <w:pPr>
              <w:pStyle w:val="ESTablebody"/>
              <w:rPr>
                <w:rFonts w:ascii="Calibri" w:hAnsi="Calibri" w:cs="Calibri"/>
                <w:b/>
                <w:sz w:val="22"/>
                <w:szCs w:val="22"/>
                <w:lang w:val="en-AU"/>
              </w:rPr>
            </w:pPr>
            <w:r w:rsidRPr="005734B8">
              <w:rPr>
                <w:rFonts w:ascii="Calibri" w:hAnsi="Calibri" w:cs="Calibri"/>
                <w:b/>
                <w:sz w:val="22"/>
                <w:szCs w:val="22"/>
                <w:lang w:val="en-AU"/>
              </w:rPr>
              <w:t>E.5 Units of office energy used per office area (MJ/m2)</w:t>
            </w:r>
          </w:p>
        </w:tc>
        <w:tc>
          <w:tcPr>
            <w:tcW w:w="1389" w:type="dxa"/>
            <w:tcBorders>
              <w:top w:val="single" w:sz="18" w:space="0" w:color="53565A" w:themeColor="accent5"/>
              <w:bottom w:val="single" w:sz="18" w:space="0" w:color="53565A" w:themeColor="accent5"/>
            </w:tcBorders>
            <w:shd w:val="clear" w:color="auto" w:fill="D9D9D6" w:themeFill="accent6"/>
            <w:vAlign w:val="center"/>
          </w:tcPr>
          <w:p w14:paraId="0FF2E87A" w14:textId="77777777" w:rsidR="00F30FCD" w:rsidRPr="005734B8" w:rsidRDefault="00F30FCD" w:rsidP="00F30FCD">
            <w:pPr>
              <w:pStyle w:val="ESTablenumberrightaligned"/>
              <w:rPr>
                <w:rFonts w:ascii="Calibri" w:hAnsi="Calibri" w:cs="Calibri"/>
                <w:b/>
                <w:sz w:val="22"/>
                <w:szCs w:val="22"/>
                <w:lang w:val="en-AU"/>
              </w:rPr>
            </w:pPr>
            <w:r w:rsidRPr="005734B8">
              <w:rPr>
                <w:rFonts w:ascii="Calibri" w:hAnsi="Calibri" w:cs="Calibri"/>
                <w:b/>
                <w:sz w:val="22"/>
                <w:szCs w:val="22"/>
                <w:lang w:val="en-AU"/>
              </w:rPr>
              <w:t>439</w:t>
            </w:r>
          </w:p>
        </w:tc>
        <w:tc>
          <w:tcPr>
            <w:tcW w:w="1363" w:type="dxa"/>
            <w:tcBorders>
              <w:top w:val="single" w:sz="18" w:space="0" w:color="53565A" w:themeColor="accent5"/>
              <w:bottom w:val="single" w:sz="18" w:space="0" w:color="53565A" w:themeColor="accent5"/>
            </w:tcBorders>
            <w:shd w:val="clear" w:color="auto" w:fill="FFFFFF" w:themeFill="background1"/>
            <w:vAlign w:val="center"/>
          </w:tcPr>
          <w:p w14:paraId="74CD4C8F" w14:textId="77777777" w:rsidR="00F30FCD" w:rsidRPr="005734B8" w:rsidRDefault="00F30FCD" w:rsidP="00F30FCD">
            <w:pPr>
              <w:pStyle w:val="ESTablenumberrightaligned"/>
              <w:rPr>
                <w:rFonts w:ascii="Calibri" w:hAnsi="Calibri" w:cs="Calibri"/>
                <w:b/>
                <w:sz w:val="22"/>
                <w:szCs w:val="22"/>
                <w:lang w:val="en-AU"/>
              </w:rPr>
            </w:pPr>
            <w:r w:rsidRPr="005734B8">
              <w:rPr>
                <w:rFonts w:ascii="Calibri" w:hAnsi="Calibri" w:cs="Calibri"/>
                <w:b/>
                <w:sz w:val="22"/>
                <w:szCs w:val="22"/>
                <w:lang w:val="en-AU"/>
              </w:rPr>
              <w:t>473</w:t>
            </w:r>
          </w:p>
        </w:tc>
        <w:tc>
          <w:tcPr>
            <w:tcW w:w="1637" w:type="dxa"/>
            <w:tcBorders>
              <w:top w:val="single" w:sz="18" w:space="0" w:color="53565A" w:themeColor="accent5"/>
              <w:bottom w:val="single" w:sz="18" w:space="0" w:color="53565A" w:themeColor="accent5"/>
            </w:tcBorders>
            <w:vAlign w:val="center"/>
          </w:tcPr>
          <w:p w14:paraId="02FF0BA7" w14:textId="77777777" w:rsidR="00F30FCD" w:rsidRPr="005734B8" w:rsidRDefault="00F30FCD" w:rsidP="00F30FCD">
            <w:pPr>
              <w:pStyle w:val="ESTablenumberrightaligned"/>
              <w:rPr>
                <w:rFonts w:ascii="Calibri" w:hAnsi="Calibri" w:cs="Calibri"/>
                <w:b/>
                <w:sz w:val="22"/>
                <w:szCs w:val="22"/>
                <w:lang w:val="en-AU"/>
              </w:rPr>
            </w:pPr>
            <w:r w:rsidRPr="005734B8">
              <w:rPr>
                <w:rFonts w:ascii="Calibri" w:hAnsi="Calibri" w:cs="Calibri"/>
                <w:b/>
                <w:sz w:val="22"/>
                <w:szCs w:val="22"/>
                <w:lang w:val="en-AU"/>
              </w:rPr>
              <w:t>444</w:t>
            </w:r>
          </w:p>
        </w:tc>
      </w:tr>
      <w:tr w:rsidR="00F30FCD" w:rsidRPr="005734B8" w14:paraId="167C451B" w14:textId="77777777" w:rsidTr="00CC6A9C">
        <w:trPr>
          <w:cantSplit/>
          <w:trHeight w:val="759"/>
        </w:trPr>
        <w:tc>
          <w:tcPr>
            <w:tcW w:w="3532" w:type="dxa"/>
            <w:tcBorders>
              <w:top w:val="single" w:sz="18" w:space="0" w:color="53565A" w:themeColor="accent5"/>
              <w:bottom w:val="single" w:sz="8" w:space="0" w:color="53565A" w:themeColor="accent5"/>
            </w:tcBorders>
            <w:shd w:val="clear" w:color="auto" w:fill="D9D9D6" w:themeFill="accent6"/>
            <w:vAlign w:val="center"/>
          </w:tcPr>
          <w:p w14:paraId="6E2E762E" w14:textId="5632205E" w:rsidR="00F30FCD" w:rsidRPr="005734B8" w:rsidRDefault="00F30FCD" w:rsidP="00F30FCD">
            <w:pPr>
              <w:pStyle w:val="ESTablebody"/>
              <w:rPr>
                <w:rFonts w:ascii="Calibri" w:hAnsi="Calibri" w:cs="Calibri"/>
                <w:b/>
                <w:sz w:val="22"/>
                <w:szCs w:val="22"/>
                <w:lang w:val="en-AU"/>
              </w:rPr>
            </w:pPr>
            <w:r w:rsidRPr="005734B8">
              <w:rPr>
                <w:rFonts w:ascii="Calibri" w:hAnsi="Calibri" w:cs="Calibri"/>
                <w:b/>
                <w:sz w:val="22"/>
                <w:szCs w:val="22"/>
                <w:lang w:val="en-AU"/>
              </w:rPr>
              <w:t>Voluntary/</w:t>
            </w:r>
            <w:r w:rsidR="0078526F" w:rsidRPr="005734B8">
              <w:rPr>
                <w:rFonts w:ascii="Calibri" w:hAnsi="Calibri" w:cs="Calibri"/>
                <w:b/>
                <w:sz w:val="22"/>
                <w:szCs w:val="22"/>
                <w:lang w:val="en-AU"/>
              </w:rPr>
              <w:t>o</w:t>
            </w:r>
            <w:r w:rsidRPr="005734B8">
              <w:rPr>
                <w:rFonts w:ascii="Calibri" w:hAnsi="Calibri" w:cs="Calibri"/>
                <w:b/>
                <w:sz w:val="22"/>
                <w:szCs w:val="22"/>
                <w:lang w:val="en-AU"/>
              </w:rPr>
              <w:t xml:space="preserve">ptional </w:t>
            </w:r>
            <w:r w:rsidR="0078526F" w:rsidRPr="005734B8">
              <w:rPr>
                <w:rFonts w:ascii="Calibri" w:hAnsi="Calibri" w:cs="Calibri"/>
                <w:b/>
                <w:sz w:val="22"/>
                <w:szCs w:val="22"/>
                <w:lang w:val="en-AU"/>
              </w:rPr>
              <w:t>i</w:t>
            </w:r>
            <w:r w:rsidRPr="005734B8">
              <w:rPr>
                <w:rFonts w:ascii="Calibri" w:hAnsi="Calibri" w:cs="Calibri"/>
                <w:b/>
                <w:sz w:val="22"/>
                <w:szCs w:val="22"/>
                <w:lang w:val="en-AU"/>
              </w:rPr>
              <w:t>ndicators</w:t>
            </w:r>
          </w:p>
          <w:p w14:paraId="4DB499D3" w14:textId="03F4BD21" w:rsidR="00F30FCD" w:rsidRPr="005734B8" w:rsidRDefault="00F30FCD" w:rsidP="00F30FCD">
            <w:pPr>
              <w:pStyle w:val="ESTablebody"/>
              <w:rPr>
                <w:rFonts w:ascii="Calibri" w:hAnsi="Calibri" w:cs="Calibri"/>
                <w:sz w:val="22"/>
                <w:szCs w:val="22"/>
                <w:lang w:val="en-AU"/>
              </w:rPr>
            </w:pPr>
            <w:r w:rsidRPr="005734B8">
              <w:rPr>
                <w:rFonts w:ascii="Calibri" w:hAnsi="Calibri" w:cs="Calibri"/>
                <w:sz w:val="22"/>
                <w:szCs w:val="22"/>
                <w:lang w:val="en-AU"/>
              </w:rPr>
              <w:t>Details of NABERS energy ratings achieved (star rating)</w:t>
            </w:r>
          </w:p>
        </w:tc>
        <w:tc>
          <w:tcPr>
            <w:tcW w:w="1389" w:type="dxa"/>
            <w:tcBorders>
              <w:top w:val="single" w:sz="18" w:space="0" w:color="53565A" w:themeColor="accent5"/>
              <w:bottom w:val="single" w:sz="8" w:space="0" w:color="53565A" w:themeColor="accent5"/>
            </w:tcBorders>
            <w:shd w:val="clear" w:color="auto" w:fill="D9D9D6" w:themeFill="accent6"/>
            <w:vAlign w:val="center"/>
          </w:tcPr>
          <w:p w14:paraId="75D7131B" w14:textId="6193714F" w:rsidR="00F30FCD" w:rsidRPr="005734B8" w:rsidRDefault="00F30FCD" w:rsidP="00F30FCD">
            <w:pPr>
              <w:pStyle w:val="ESTablenumberrightaligned"/>
              <w:rPr>
                <w:rFonts w:ascii="Calibri" w:hAnsi="Calibri" w:cs="Calibri"/>
                <w:sz w:val="22"/>
                <w:szCs w:val="22"/>
                <w:lang w:val="en-AU"/>
              </w:rPr>
            </w:pPr>
          </w:p>
        </w:tc>
        <w:tc>
          <w:tcPr>
            <w:tcW w:w="1363" w:type="dxa"/>
            <w:tcBorders>
              <w:top w:val="single" w:sz="18" w:space="0" w:color="53565A" w:themeColor="accent5"/>
              <w:bottom w:val="single" w:sz="8" w:space="0" w:color="53565A" w:themeColor="accent5"/>
            </w:tcBorders>
            <w:shd w:val="clear" w:color="auto" w:fill="D9D9D6" w:themeFill="accent6"/>
            <w:vAlign w:val="center"/>
          </w:tcPr>
          <w:p w14:paraId="38E2004D" w14:textId="77777777" w:rsidR="00F30FCD" w:rsidRPr="005734B8" w:rsidRDefault="00F30FCD" w:rsidP="00F30FCD">
            <w:pPr>
              <w:pStyle w:val="ESTablenumberrightaligned"/>
              <w:rPr>
                <w:rFonts w:ascii="Calibri" w:hAnsi="Calibri" w:cs="Calibri"/>
                <w:sz w:val="22"/>
                <w:szCs w:val="22"/>
                <w:lang w:val="en-AU"/>
              </w:rPr>
            </w:pPr>
          </w:p>
        </w:tc>
        <w:tc>
          <w:tcPr>
            <w:tcW w:w="1637" w:type="dxa"/>
            <w:tcBorders>
              <w:top w:val="single" w:sz="18" w:space="0" w:color="53565A" w:themeColor="accent5"/>
              <w:bottom w:val="single" w:sz="8" w:space="0" w:color="53565A" w:themeColor="accent5"/>
            </w:tcBorders>
            <w:shd w:val="clear" w:color="auto" w:fill="D9D9D6" w:themeFill="accent6"/>
            <w:vAlign w:val="center"/>
          </w:tcPr>
          <w:p w14:paraId="51326C94" w14:textId="77777777" w:rsidR="00F30FCD" w:rsidRPr="005734B8" w:rsidRDefault="00F30FCD" w:rsidP="00F30FCD">
            <w:pPr>
              <w:pStyle w:val="ESTablenumberrightaligned"/>
              <w:jc w:val="left"/>
              <w:rPr>
                <w:rFonts w:ascii="Calibri" w:hAnsi="Calibri" w:cs="Calibri"/>
                <w:b/>
                <w:sz w:val="22"/>
                <w:szCs w:val="22"/>
                <w:lang w:val="en-AU"/>
              </w:rPr>
            </w:pPr>
          </w:p>
        </w:tc>
      </w:tr>
      <w:tr w:rsidR="004D7724" w:rsidRPr="005734B8" w14:paraId="295E4159" w14:textId="77777777" w:rsidTr="00CC6A9C">
        <w:trPr>
          <w:cantSplit/>
        </w:trPr>
        <w:tc>
          <w:tcPr>
            <w:tcW w:w="3532" w:type="dxa"/>
            <w:tcBorders>
              <w:top w:val="single" w:sz="8" w:space="0" w:color="53565A" w:themeColor="accent5"/>
              <w:bottom w:val="single" w:sz="8" w:space="0" w:color="53565A" w:themeColor="accent5"/>
            </w:tcBorders>
            <w:shd w:val="clear" w:color="auto" w:fill="auto"/>
            <w:vAlign w:val="center"/>
          </w:tcPr>
          <w:p w14:paraId="3C7AA0A9" w14:textId="310436C9" w:rsidR="004D7724" w:rsidRPr="005734B8" w:rsidRDefault="004D7724" w:rsidP="004D7724">
            <w:pPr>
              <w:pStyle w:val="ESTablebody"/>
              <w:rPr>
                <w:rFonts w:ascii="Calibri" w:hAnsi="Calibri" w:cs="Calibri"/>
                <w:bCs/>
                <w:sz w:val="22"/>
                <w:szCs w:val="22"/>
                <w:lang w:val="en-AU"/>
              </w:rPr>
            </w:pPr>
            <w:r w:rsidRPr="005734B8">
              <w:rPr>
                <w:rFonts w:ascii="Calibri" w:hAnsi="Calibri" w:cs="Calibri"/>
                <w:bCs/>
                <w:sz w:val="22"/>
                <w:szCs w:val="22"/>
                <w:lang w:val="en-AU"/>
              </w:rPr>
              <w:t>2 Lonsdale Street, Melbourne (base building and tenancy)</w:t>
            </w:r>
          </w:p>
        </w:tc>
        <w:tc>
          <w:tcPr>
            <w:tcW w:w="1389" w:type="dxa"/>
            <w:tcBorders>
              <w:top w:val="single" w:sz="8" w:space="0" w:color="53565A" w:themeColor="accent5"/>
              <w:bottom w:val="single" w:sz="8" w:space="0" w:color="53565A" w:themeColor="accent5"/>
            </w:tcBorders>
            <w:shd w:val="clear" w:color="auto" w:fill="D9D9D6" w:themeFill="accent6"/>
            <w:vAlign w:val="center"/>
          </w:tcPr>
          <w:p w14:paraId="477236E8" w14:textId="074C2703" w:rsidR="004D7724" w:rsidRPr="005734B8" w:rsidRDefault="004D7724" w:rsidP="004D7724">
            <w:pPr>
              <w:pStyle w:val="ESTablenumberrightaligned"/>
              <w:rPr>
                <w:rFonts w:ascii="Calibri" w:hAnsi="Calibri" w:cs="Calibri"/>
                <w:bCs/>
                <w:sz w:val="22"/>
                <w:szCs w:val="22"/>
                <w:lang w:val="en-AU"/>
              </w:rPr>
            </w:pPr>
            <w:r w:rsidRPr="005734B8">
              <w:rPr>
                <w:rFonts w:ascii="Calibri" w:hAnsi="Calibri" w:cs="Calibri"/>
                <w:bCs/>
                <w:sz w:val="22"/>
                <w:szCs w:val="22"/>
                <w:lang w:val="en-AU"/>
              </w:rPr>
              <w:t xml:space="preserve">5.0 </w:t>
            </w:r>
            <w:r w:rsidR="0078526F" w:rsidRPr="005734B8">
              <w:rPr>
                <w:rFonts w:ascii="Calibri" w:hAnsi="Calibri" w:cs="Calibri"/>
                <w:bCs/>
                <w:sz w:val="22"/>
                <w:szCs w:val="22"/>
                <w:lang w:val="en-AU"/>
              </w:rPr>
              <w:t>s</w:t>
            </w:r>
            <w:r w:rsidRPr="005734B8">
              <w:rPr>
                <w:rFonts w:ascii="Calibri" w:hAnsi="Calibri" w:cs="Calibri"/>
                <w:bCs/>
                <w:sz w:val="22"/>
                <w:szCs w:val="22"/>
                <w:lang w:val="en-AU"/>
              </w:rPr>
              <w:t>tars</w:t>
            </w:r>
          </w:p>
        </w:tc>
        <w:tc>
          <w:tcPr>
            <w:tcW w:w="1363" w:type="dxa"/>
            <w:tcBorders>
              <w:top w:val="single" w:sz="8" w:space="0" w:color="53565A" w:themeColor="accent5"/>
              <w:bottom w:val="single" w:sz="8" w:space="0" w:color="53565A" w:themeColor="accent5"/>
            </w:tcBorders>
            <w:shd w:val="clear" w:color="auto" w:fill="FFFFFF" w:themeFill="background1"/>
            <w:vAlign w:val="center"/>
          </w:tcPr>
          <w:p w14:paraId="03B12F03" w14:textId="2669455C" w:rsidR="004D7724" w:rsidRPr="005734B8" w:rsidRDefault="004D7724" w:rsidP="004D7724">
            <w:pPr>
              <w:pStyle w:val="ESTablenumberrightaligned"/>
              <w:rPr>
                <w:rFonts w:ascii="Calibri" w:hAnsi="Calibri" w:cs="Calibri"/>
                <w:bCs/>
                <w:sz w:val="22"/>
                <w:szCs w:val="22"/>
                <w:lang w:val="en-AU"/>
              </w:rPr>
            </w:pPr>
            <w:r w:rsidRPr="005734B8">
              <w:rPr>
                <w:rFonts w:ascii="Calibri" w:hAnsi="Calibri" w:cs="Calibri"/>
                <w:bCs/>
                <w:sz w:val="22"/>
                <w:szCs w:val="22"/>
                <w:lang w:val="en-AU"/>
              </w:rPr>
              <w:t xml:space="preserve">4.5 </w:t>
            </w:r>
            <w:r w:rsidR="0078526F" w:rsidRPr="005734B8">
              <w:rPr>
                <w:rFonts w:ascii="Calibri" w:hAnsi="Calibri" w:cs="Calibri"/>
                <w:bCs/>
                <w:sz w:val="22"/>
                <w:szCs w:val="22"/>
                <w:lang w:val="en-AU"/>
              </w:rPr>
              <w:t>s</w:t>
            </w:r>
            <w:r w:rsidRPr="005734B8">
              <w:rPr>
                <w:rFonts w:ascii="Calibri" w:hAnsi="Calibri" w:cs="Calibri"/>
                <w:bCs/>
                <w:sz w:val="22"/>
                <w:szCs w:val="22"/>
                <w:lang w:val="en-AU"/>
              </w:rPr>
              <w:t>tars</w:t>
            </w:r>
          </w:p>
        </w:tc>
        <w:tc>
          <w:tcPr>
            <w:tcW w:w="1637" w:type="dxa"/>
            <w:tcBorders>
              <w:top w:val="single" w:sz="8" w:space="0" w:color="53565A" w:themeColor="accent5"/>
              <w:bottom w:val="single" w:sz="8" w:space="0" w:color="53565A" w:themeColor="accent5"/>
            </w:tcBorders>
            <w:vAlign w:val="center"/>
          </w:tcPr>
          <w:p w14:paraId="3F653991" w14:textId="16703967" w:rsidR="004D7724" w:rsidRPr="005734B8" w:rsidRDefault="004D7724" w:rsidP="004D7724">
            <w:pPr>
              <w:pStyle w:val="ESTablenumberrightaligned"/>
              <w:rPr>
                <w:rFonts w:ascii="Calibri" w:hAnsi="Calibri" w:cs="Calibri"/>
                <w:b/>
                <w:sz w:val="22"/>
                <w:szCs w:val="22"/>
                <w:lang w:val="en-AU"/>
              </w:rPr>
            </w:pPr>
            <w:r w:rsidRPr="005734B8">
              <w:rPr>
                <w:rFonts w:ascii="Calibri" w:hAnsi="Calibri" w:cs="Calibri"/>
                <w:bCs/>
                <w:sz w:val="22"/>
                <w:szCs w:val="22"/>
                <w:lang w:val="en-AU"/>
              </w:rPr>
              <w:t>–</w:t>
            </w:r>
          </w:p>
        </w:tc>
      </w:tr>
      <w:tr w:rsidR="004D7724" w:rsidRPr="005734B8" w14:paraId="47E48A4F" w14:textId="77777777" w:rsidTr="00CC6A9C">
        <w:trPr>
          <w:cantSplit/>
        </w:trPr>
        <w:tc>
          <w:tcPr>
            <w:tcW w:w="3532" w:type="dxa"/>
            <w:tcBorders>
              <w:top w:val="single" w:sz="8" w:space="0" w:color="53565A" w:themeColor="accent5"/>
              <w:bottom w:val="single" w:sz="8" w:space="0" w:color="53565A" w:themeColor="accent5"/>
            </w:tcBorders>
            <w:shd w:val="clear" w:color="auto" w:fill="auto"/>
            <w:vAlign w:val="center"/>
          </w:tcPr>
          <w:p w14:paraId="0FD07769" w14:textId="3B171AFE" w:rsidR="004D7724" w:rsidRPr="005734B8" w:rsidRDefault="004D7724" w:rsidP="004D7724">
            <w:pPr>
              <w:pStyle w:val="ESTablebody"/>
              <w:rPr>
                <w:rFonts w:ascii="Calibri" w:hAnsi="Calibri" w:cs="Calibri"/>
                <w:b/>
                <w:sz w:val="22"/>
                <w:szCs w:val="22"/>
                <w:lang w:val="en-AU"/>
              </w:rPr>
            </w:pPr>
            <w:r w:rsidRPr="005734B8">
              <w:rPr>
                <w:rFonts w:ascii="Calibri" w:hAnsi="Calibri" w:cs="Calibri"/>
                <w:bCs/>
                <w:sz w:val="22"/>
                <w:szCs w:val="22"/>
                <w:lang w:val="en-AU"/>
              </w:rPr>
              <w:t>80 Collins Street, Melbourne (base building)</w:t>
            </w:r>
          </w:p>
        </w:tc>
        <w:tc>
          <w:tcPr>
            <w:tcW w:w="1389" w:type="dxa"/>
            <w:tcBorders>
              <w:top w:val="single" w:sz="8" w:space="0" w:color="53565A" w:themeColor="accent5"/>
              <w:bottom w:val="single" w:sz="8" w:space="0" w:color="53565A" w:themeColor="accent5"/>
            </w:tcBorders>
            <w:shd w:val="clear" w:color="auto" w:fill="D9D9D6" w:themeFill="accent6"/>
            <w:vAlign w:val="center"/>
          </w:tcPr>
          <w:p w14:paraId="4B81A54D" w14:textId="6E7960FA" w:rsidR="004D7724" w:rsidRPr="005734B8" w:rsidRDefault="004D7724" w:rsidP="004D7724">
            <w:pPr>
              <w:pStyle w:val="ESTablenumberrightaligned"/>
              <w:rPr>
                <w:rFonts w:ascii="Calibri" w:hAnsi="Calibri" w:cs="Calibri"/>
                <w:bCs/>
                <w:sz w:val="22"/>
                <w:szCs w:val="22"/>
                <w:lang w:val="en-AU"/>
              </w:rPr>
            </w:pPr>
            <w:r w:rsidRPr="005734B8">
              <w:rPr>
                <w:rFonts w:ascii="Calibri" w:hAnsi="Calibri" w:cs="Calibri"/>
                <w:bCs/>
                <w:sz w:val="22"/>
                <w:szCs w:val="22"/>
                <w:lang w:val="en-AU"/>
              </w:rPr>
              <w:t xml:space="preserve">5.0 </w:t>
            </w:r>
            <w:r w:rsidR="0078526F" w:rsidRPr="005734B8">
              <w:rPr>
                <w:rFonts w:ascii="Calibri" w:hAnsi="Calibri" w:cs="Calibri"/>
                <w:bCs/>
                <w:sz w:val="22"/>
                <w:szCs w:val="22"/>
                <w:lang w:val="en-AU"/>
              </w:rPr>
              <w:t>s</w:t>
            </w:r>
            <w:r w:rsidRPr="005734B8">
              <w:rPr>
                <w:rFonts w:ascii="Calibri" w:hAnsi="Calibri" w:cs="Calibri"/>
                <w:bCs/>
                <w:sz w:val="22"/>
                <w:szCs w:val="22"/>
                <w:lang w:val="en-AU"/>
              </w:rPr>
              <w:t>tars</w:t>
            </w:r>
          </w:p>
        </w:tc>
        <w:tc>
          <w:tcPr>
            <w:tcW w:w="1363" w:type="dxa"/>
            <w:tcBorders>
              <w:top w:val="single" w:sz="8" w:space="0" w:color="53565A" w:themeColor="accent5"/>
              <w:bottom w:val="single" w:sz="8" w:space="0" w:color="53565A" w:themeColor="accent5"/>
            </w:tcBorders>
            <w:shd w:val="clear" w:color="auto" w:fill="FFFFFF" w:themeFill="background1"/>
            <w:vAlign w:val="center"/>
          </w:tcPr>
          <w:p w14:paraId="47AF509E" w14:textId="3F6F4F7A" w:rsidR="004D7724" w:rsidRPr="005734B8" w:rsidRDefault="004D7724" w:rsidP="004D7724">
            <w:pPr>
              <w:pStyle w:val="ESTablenumberrightaligned"/>
              <w:rPr>
                <w:rFonts w:ascii="Calibri" w:hAnsi="Calibri" w:cs="Calibri"/>
                <w:bCs/>
                <w:sz w:val="22"/>
                <w:szCs w:val="22"/>
                <w:lang w:val="en-AU"/>
              </w:rPr>
            </w:pPr>
            <w:r w:rsidRPr="005734B8">
              <w:rPr>
                <w:rFonts w:ascii="Calibri" w:hAnsi="Calibri" w:cs="Calibri"/>
                <w:bCs/>
                <w:sz w:val="22"/>
                <w:szCs w:val="22"/>
                <w:lang w:val="en-AU"/>
              </w:rPr>
              <w:t xml:space="preserve">4.5 </w:t>
            </w:r>
            <w:r w:rsidR="0078526F" w:rsidRPr="005734B8">
              <w:rPr>
                <w:rFonts w:ascii="Calibri" w:hAnsi="Calibri" w:cs="Calibri"/>
                <w:bCs/>
                <w:sz w:val="22"/>
                <w:szCs w:val="22"/>
                <w:lang w:val="en-AU"/>
              </w:rPr>
              <w:t>s</w:t>
            </w:r>
            <w:r w:rsidRPr="005734B8">
              <w:rPr>
                <w:rFonts w:ascii="Calibri" w:hAnsi="Calibri" w:cs="Calibri"/>
                <w:bCs/>
                <w:sz w:val="22"/>
                <w:szCs w:val="22"/>
                <w:lang w:val="en-AU"/>
              </w:rPr>
              <w:t>tars</w:t>
            </w:r>
          </w:p>
        </w:tc>
        <w:tc>
          <w:tcPr>
            <w:tcW w:w="1637" w:type="dxa"/>
            <w:tcBorders>
              <w:top w:val="single" w:sz="8" w:space="0" w:color="53565A" w:themeColor="accent5"/>
              <w:bottom w:val="single" w:sz="8" w:space="0" w:color="53565A" w:themeColor="accent5"/>
            </w:tcBorders>
            <w:vAlign w:val="center"/>
          </w:tcPr>
          <w:p w14:paraId="2BB4887A" w14:textId="6A56D15F" w:rsidR="004D7724" w:rsidRPr="005734B8" w:rsidRDefault="004D7724" w:rsidP="004D7724">
            <w:pPr>
              <w:pStyle w:val="ESTablenumberrightaligned"/>
              <w:rPr>
                <w:rFonts w:ascii="Calibri" w:hAnsi="Calibri" w:cs="Calibri"/>
                <w:b/>
                <w:sz w:val="22"/>
                <w:szCs w:val="22"/>
                <w:lang w:val="en-AU"/>
              </w:rPr>
            </w:pPr>
            <w:r w:rsidRPr="005734B8">
              <w:rPr>
                <w:rFonts w:ascii="Calibri" w:hAnsi="Calibri" w:cs="Calibri"/>
                <w:bCs/>
                <w:sz w:val="22"/>
                <w:szCs w:val="22"/>
                <w:lang w:val="en-AU"/>
              </w:rPr>
              <w:t>–</w:t>
            </w:r>
          </w:p>
        </w:tc>
      </w:tr>
      <w:tr w:rsidR="004D7724" w:rsidRPr="005734B8" w14:paraId="71F8BBA5" w14:textId="77777777" w:rsidTr="00CC6A9C">
        <w:trPr>
          <w:cantSplit/>
        </w:trPr>
        <w:tc>
          <w:tcPr>
            <w:tcW w:w="3532" w:type="dxa"/>
            <w:tcBorders>
              <w:top w:val="single" w:sz="8" w:space="0" w:color="53565A" w:themeColor="accent5"/>
              <w:bottom w:val="single" w:sz="8" w:space="0" w:color="53565A" w:themeColor="accent5"/>
            </w:tcBorders>
            <w:shd w:val="clear" w:color="auto" w:fill="auto"/>
            <w:vAlign w:val="center"/>
          </w:tcPr>
          <w:p w14:paraId="23107EC7" w14:textId="0C59CAF6" w:rsidR="004D7724" w:rsidRPr="005734B8" w:rsidRDefault="004D7724" w:rsidP="004D7724">
            <w:pPr>
              <w:pStyle w:val="ESTablebody"/>
              <w:rPr>
                <w:rFonts w:ascii="Calibri" w:hAnsi="Calibri" w:cs="Calibri"/>
                <w:b/>
                <w:sz w:val="22"/>
                <w:szCs w:val="22"/>
                <w:lang w:val="en-AU"/>
              </w:rPr>
            </w:pPr>
            <w:r w:rsidRPr="005734B8">
              <w:rPr>
                <w:rFonts w:ascii="Calibri" w:hAnsi="Calibri" w:cs="Calibri"/>
                <w:bCs/>
                <w:sz w:val="22"/>
                <w:szCs w:val="22"/>
                <w:lang w:val="en-AU"/>
              </w:rPr>
              <w:t>35 Collins Street, Melbourne (base building)</w:t>
            </w:r>
          </w:p>
        </w:tc>
        <w:tc>
          <w:tcPr>
            <w:tcW w:w="1389" w:type="dxa"/>
            <w:tcBorders>
              <w:top w:val="single" w:sz="8" w:space="0" w:color="53565A" w:themeColor="accent5"/>
              <w:bottom w:val="single" w:sz="8" w:space="0" w:color="53565A" w:themeColor="accent5"/>
            </w:tcBorders>
            <w:shd w:val="clear" w:color="auto" w:fill="D9D9D6" w:themeFill="accent6"/>
            <w:vAlign w:val="center"/>
          </w:tcPr>
          <w:p w14:paraId="4ADC568F" w14:textId="6F599F9E" w:rsidR="004D7724" w:rsidRPr="005734B8" w:rsidRDefault="004D7724" w:rsidP="004D7724">
            <w:pPr>
              <w:pStyle w:val="ESTablenumberrightaligned"/>
              <w:rPr>
                <w:rFonts w:ascii="Calibri" w:hAnsi="Calibri" w:cs="Calibri"/>
                <w:bCs/>
                <w:sz w:val="22"/>
                <w:szCs w:val="22"/>
                <w:lang w:val="en-AU"/>
              </w:rPr>
            </w:pPr>
            <w:r w:rsidRPr="005734B8">
              <w:rPr>
                <w:rFonts w:ascii="Calibri" w:hAnsi="Calibri" w:cs="Calibri"/>
                <w:bCs/>
                <w:sz w:val="22"/>
                <w:szCs w:val="22"/>
                <w:lang w:val="en-AU"/>
              </w:rPr>
              <w:t xml:space="preserve">4.0 </w:t>
            </w:r>
            <w:r w:rsidR="0078526F" w:rsidRPr="005734B8">
              <w:rPr>
                <w:rFonts w:ascii="Calibri" w:hAnsi="Calibri" w:cs="Calibri"/>
                <w:bCs/>
                <w:sz w:val="22"/>
                <w:szCs w:val="22"/>
                <w:lang w:val="en-AU"/>
              </w:rPr>
              <w:t>s</w:t>
            </w:r>
            <w:r w:rsidRPr="005734B8">
              <w:rPr>
                <w:rFonts w:ascii="Calibri" w:hAnsi="Calibri" w:cs="Calibri"/>
                <w:bCs/>
                <w:sz w:val="22"/>
                <w:szCs w:val="22"/>
                <w:lang w:val="en-AU"/>
              </w:rPr>
              <w:t>tars</w:t>
            </w:r>
          </w:p>
        </w:tc>
        <w:tc>
          <w:tcPr>
            <w:tcW w:w="1363" w:type="dxa"/>
            <w:tcBorders>
              <w:top w:val="single" w:sz="8" w:space="0" w:color="53565A" w:themeColor="accent5"/>
              <w:bottom w:val="single" w:sz="8" w:space="0" w:color="53565A" w:themeColor="accent5"/>
            </w:tcBorders>
            <w:shd w:val="clear" w:color="auto" w:fill="FFFFFF" w:themeFill="background1"/>
            <w:vAlign w:val="center"/>
          </w:tcPr>
          <w:p w14:paraId="01F1839F" w14:textId="30FB868C" w:rsidR="004D7724" w:rsidRPr="005734B8" w:rsidRDefault="004D7724" w:rsidP="004D7724">
            <w:pPr>
              <w:pStyle w:val="ESTablenumberrightaligned"/>
              <w:rPr>
                <w:rFonts w:ascii="Calibri" w:hAnsi="Calibri" w:cs="Calibri"/>
                <w:bCs/>
                <w:sz w:val="22"/>
                <w:szCs w:val="22"/>
                <w:lang w:val="en-AU"/>
              </w:rPr>
            </w:pPr>
            <w:r w:rsidRPr="005734B8">
              <w:rPr>
                <w:rFonts w:ascii="Calibri" w:hAnsi="Calibri" w:cs="Calibri"/>
                <w:bCs/>
                <w:sz w:val="22"/>
                <w:szCs w:val="22"/>
                <w:lang w:val="en-AU"/>
              </w:rPr>
              <w:t>–</w:t>
            </w:r>
          </w:p>
        </w:tc>
        <w:tc>
          <w:tcPr>
            <w:tcW w:w="1637" w:type="dxa"/>
            <w:tcBorders>
              <w:top w:val="single" w:sz="8" w:space="0" w:color="53565A" w:themeColor="accent5"/>
              <w:bottom w:val="single" w:sz="8" w:space="0" w:color="53565A" w:themeColor="accent5"/>
            </w:tcBorders>
            <w:vAlign w:val="center"/>
          </w:tcPr>
          <w:p w14:paraId="29530BCF" w14:textId="04552431" w:rsidR="004D7724" w:rsidRPr="005734B8" w:rsidRDefault="004D7724" w:rsidP="004D7724">
            <w:pPr>
              <w:pStyle w:val="ESTablenumberrightaligned"/>
              <w:rPr>
                <w:rFonts w:ascii="Calibri" w:hAnsi="Calibri" w:cs="Calibri"/>
                <w:b/>
                <w:sz w:val="22"/>
                <w:szCs w:val="22"/>
                <w:lang w:val="en-AU"/>
              </w:rPr>
            </w:pPr>
            <w:r w:rsidRPr="005734B8">
              <w:rPr>
                <w:rFonts w:ascii="Calibri" w:hAnsi="Calibri" w:cs="Calibri"/>
                <w:bCs/>
                <w:sz w:val="22"/>
                <w:szCs w:val="22"/>
                <w:lang w:val="en-AU"/>
              </w:rPr>
              <w:t>–</w:t>
            </w:r>
          </w:p>
        </w:tc>
      </w:tr>
      <w:tr w:rsidR="004D7724" w:rsidRPr="005734B8" w14:paraId="70EC561B" w14:textId="77777777" w:rsidTr="00CC6A9C">
        <w:trPr>
          <w:cantSplit/>
        </w:trPr>
        <w:tc>
          <w:tcPr>
            <w:tcW w:w="3532" w:type="dxa"/>
            <w:tcBorders>
              <w:top w:val="single" w:sz="8" w:space="0" w:color="53565A" w:themeColor="accent5"/>
              <w:bottom w:val="single" w:sz="18" w:space="0" w:color="53565A" w:themeColor="accent5"/>
            </w:tcBorders>
            <w:shd w:val="clear" w:color="auto" w:fill="auto"/>
            <w:vAlign w:val="center"/>
          </w:tcPr>
          <w:p w14:paraId="65A3863E" w14:textId="7949E86C" w:rsidR="004D7724" w:rsidRPr="005734B8" w:rsidRDefault="004D7724" w:rsidP="004D7724">
            <w:pPr>
              <w:pStyle w:val="ESTablebody"/>
              <w:rPr>
                <w:rFonts w:ascii="Calibri" w:hAnsi="Calibri" w:cs="Calibri"/>
                <w:bCs/>
                <w:sz w:val="22"/>
                <w:szCs w:val="22"/>
                <w:lang w:val="en-AU"/>
              </w:rPr>
            </w:pPr>
            <w:r w:rsidRPr="005734B8">
              <w:rPr>
                <w:rFonts w:ascii="Calibri" w:hAnsi="Calibri" w:cs="Calibri"/>
                <w:bCs/>
                <w:sz w:val="22"/>
                <w:szCs w:val="22"/>
                <w:lang w:val="en-AU"/>
              </w:rPr>
              <w:t>7-15 McLaren Street, Bendigo (whole building)</w:t>
            </w:r>
          </w:p>
        </w:tc>
        <w:tc>
          <w:tcPr>
            <w:tcW w:w="1389" w:type="dxa"/>
            <w:tcBorders>
              <w:top w:val="single" w:sz="8" w:space="0" w:color="53565A" w:themeColor="accent5"/>
              <w:bottom w:val="single" w:sz="18" w:space="0" w:color="53565A" w:themeColor="accent5"/>
            </w:tcBorders>
            <w:shd w:val="clear" w:color="auto" w:fill="D9D9D6" w:themeFill="accent6"/>
            <w:vAlign w:val="center"/>
          </w:tcPr>
          <w:p w14:paraId="4D61D4D6" w14:textId="1E845CB2" w:rsidR="004D7724" w:rsidRPr="005734B8" w:rsidRDefault="004D7724" w:rsidP="004D7724">
            <w:pPr>
              <w:pStyle w:val="ESTablenumberrightaligned"/>
              <w:rPr>
                <w:rFonts w:ascii="Calibri" w:hAnsi="Calibri" w:cs="Calibri"/>
                <w:bCs/>
                <w:sz w:val="22"/>
                <w:szCs w:val="22"/>
                <w:lang w:val="en-AU"/>
              </w:rPr>
            </w:pPr>
            <w:r w:rsidRPr="005734B8">
              <w:rPr>
                <w:rFonts w:ascii="Calibri" w:hAnsi="Calibri" w:cs="Calibri"/>
                <w:bCs/>
                <w:sz w:val="22"/>
                <w:szCs w:val="22"/>
                <w:lang w:val="en-AU"/>
              </w:rPr>
              <w:t xml:space="preserve">6.0 </w:t>
            </w:r>
            <w:r w:rsidR="0078526F" w:rsidRPr="005734B8">
              <w:rPr>
                <w:rFonts w:ascii="Calibri" w:hAnsi="Calibri" w:cs="Calibri"/>
                <w:bCs/>
                <w:sz w:val="22"/>
                <w:szCs w:val="22"/>
                <w:lang w:val="en-AU"/>
              </w:rPr>
              <w:t>s</w:t>
            </w:r>
            <w:r w:rsidRPr="005734B8">
              <w:rPr>
                <w:rFonts w:ascii="Calibri" w:hAnsi="Calibri" w:cs="Calibri"/>
                <w:bCs/>
                <w:sz w:val="22"/>
                <w:szCs w:val="22"/>
                <w:lang w:val="en-AU"/>
              </w:rPr>
              <w:t>tars</w:t>
            </w:r>
          </w:p>
        </w:tc>
        <w:tc>
          <w:tcPr>
            <w:tcW w:w="1363" w:type="dxa"/>
            <w:tcBorders>
              <w:top w:val="single" w:sz="8" w:space="0" w:color="53565A" w:themeColor="accent5"/>
              <w:bottom w:val="single" w:sz="18" w:space="0" w:color="53565A" w:themeColor="accent5"/>
            </w:tcBorders>
            <w:shd w:val="clear" w:color="auto" w:fill="FFFFFF" w:themeFill="background1"/>
            <w:vAlign w:val="center"/>
          </w:tcPr>
          <w:p w14:paraId="3D2EE731" w14:textId="2F845F71" w:rsidR="004D7724" w:rsidRPr="005734B8" w:rsidRDefault="004D7724" w:rsidP="004D7724">
            <w:pPr>
              <w:pStyle w:val="ESTablenumberrightaligned"/>
              <w:rPr>
                <w:rFonts w:ascii="Calibri" w:hAnsi="Calibri" w:cs="Calibri"/>
                <w:bCs/>
                <w:sz w:val="22"/>
                <w:szCs w:val="22"/>
                <w:lang w:val="en-AU"/>
              </w:rPr>
            </w:pPr>
            <w:r w:rsidRPr="005734B8">
              <w:rPr>
                <w:rFonts w:ascii="Calibri" w:hAnsi="Calibri" w:cs="Calibri"/>
                <w:bCs/>
                <w:sz w:val="22"/>
                <w:szCs w:val="22"/>
                <w:lang w:val="en-AU"/>
              </w:rPr>
              <w:t>–</w:t>
            </w:r>
          </w:p>
        </w:tc>
        <w:tc>
          <w:tcPr>
            <w:tcW w:w="1637" w:type="dxa"/>
            <w:tcBorders>
              <w:top w:val="single" w:sz="8" w:space="0" w:color="53565A" w:themeColor="accent5"/>
              <w:bottom w:val="single" w:sz="18" w:space="0" w:color="53565A" w:themeColor="accent5"/>
            </w:tcBorders>
            <w:vAlign w:val="center"/>
          </w:tcPr>
          <w:p w14:paraId="4B680749" w14:textId="515A196E" w:rsidR="004D7724" w:rsidRPr="005734B8" w:rsidRDefault="004D7724" w:rsidP="004D7724">
            <w:pPr>
              <w:pStyle w:val="ESTablenumberrightaligned"/>
              <w:rPr>
                <w:rFonts w:ascii="Calibri" w:hAnsi="Calibri" w:cs="Calibri"/>
                <w:b/>
                <w:sz w:val="22"/>
                <w:szCs w:val="22"/>
                <w:lang w:val="en-AU"/>
              </w:rPr>
            </w:pPr>
            <w:r w:rsidRPr="005734B8">
              <w:rPr>
                <w:rFonts w:ascii="Calibri" w:hAnsi="Calibri" w:cs="Calibri"/>
                <w:bCs/>
                <w:sz w:val="22"/>
                <w:szCs w:val="22"/>
                <w:lang w:val="en-AU"/>
              </w:rPr>
              <w:t>–</w:t>
            </w:r>
          </w:p>
        </w:tc>
      </w:tr>
    </w:tbl>
    <w:bookmarkEnd w:id="1000"/>
    <w:bookmarkEnd w:id="1001"/>
    <w:bookmarkEnd w:id="1002"/>
    <w:bookmarkEnd w:id="1003"/>
    <w:bookmarkEnd w:id="1004"/>
    <w:bookmarkEnd w:id="1005"/>
    <w:p w14:paraId="15AABC31" w14:textId="3FED1605" w:rsidR="00F30FCD" w:rsidRPr="005734B8" w:rsidRDefault="00F30FCD" w:rsidP="00F30FCD">
      <w:pPr>
        <w:pStyle w:val="ESHeading4"/>
        <w:ind w:left="0" w:firstLine="0"/>
        <w:rPr>
          <w:rFonts w:ascii="Calibri" w:hAnsi="Calibri" w:cs="Calibri"/>
        </w:rPr>
      </w:pPr>
      <w:r w:rsidRPr="005734B8">
        <w:rPr>
          <w:rFonts w:ascii="Calibri" w:hAnsi="Calibri" w:cs="Calibri"/>
        </w:rPr>
        <w:t>Actions undertaken</w:t>
      </w:r>
    </w:p>
    <w:p w14:paraId="7C8F2DB1" w14:textId="29B30B92" w:rsidR="00F30FCD" w:rsidRPr="005734B8" w:rsidRDefault="00F30FCD" w:rsidP="00670895">
      <w:pPr>
        <w:pStyle w:val="ListParagraph"/>
        <w:numPr>
          <w:ilvl w:val="0"/>
          <w:numId w:val="74"/>
        </w:numPr>
        <w:rPr>
          <w:rFonts w:ascii="Calibri" w:hAnsi="Calibri" w:cs="Calibri"/>
        </w:rPr>
      </w:pPr>
      <w:r w:rsidRPr="005734B8">
        <w:rPr>
          <w:rFonts w:ascii="Calibri" w:hAnsi="Calibri" w:cs="Calibri"/>
        </w:rPr>
        <w:t>Refurbished level 3 at 35 Collins St</w:t>
      </w:r>
      <w:r w:rsidR="00113133" w:rsidRPr="005734B8">
        <w:rPr>
          <w:rFonts w:ascii="Calibri" w:hAnsi="Calibri" w:cs="Calibri"/>
        </w:rPr>
        <w:t>reet</w:t>
      </w:r>
      <w:r w:rsidRPr="005734B8">
        <w:rPr>
          <w:rFonts w:ascii="Calibri" w:hAnsi="Calibri" w:cs="Calibri"/>
        </w:rPr>
        <w:t>, Melbourne</w:t>
      </w:r>
      <w:r w:rsidR="00113133" w:rsidRPr="005734B8">
        <w:rPr>
          <w:rFonts w:ascii="Calibri" w:hAnsi="Calibri" w:cs="Calibri"/>
        </w:rPr>
        <w:t>,</w:t>
      </w:r>
      <w:r w:rsidRPr="005734B8">
        <w:rPr>
          <w:rFonts w:ascii="Calibri" w:hAnsi="Calibri" w:cs="Calibri"/>
        </w:rPr>
        <w:t xml:space="preserve"> and accomplished ratings of </w:t>
      </w:r>
      <w:r w:rsidR="00E61406" w:rsidRPr="005734B8">
        <w:rPr>
          <w:rFonts w:ascii="Calibri" w:hAnsi="Calibri" w:cs="Calibri"/>
        </w:rPr>
        <w:t>Six</w:t>
      </w:r>
      <w:r w:rsidRPr="005734B8">
        <w:rPr>
          <w:rFonts w:ascii="Calibri" w:hAnsi="Calibri" w:cs="Calibri"/>
        </w:rPr>
        <w:t> Star</w:t>
      </w:r>
      <w:r w:rsidR="00C16495" w:rsidRPr="005734B8">
        <w:rPr>
          <w:rFonts w:ascii="Calibri" w:hAnsi="Calibri" w:cs="Calibri"/>
        </w:rPr>
        <w:t>,</w:t>
      </w:r>
      <w:r w:rsidRPr="005734B8">
        <w:rPr>
          <w:rFonts w:ascii="Calibri" w:hAnsi="Calibri" w:cs="Calibri"/>
        </w:rPr>
        <w:t xml:space="preserve"> Green Star and Gold WELL</w:t>
      </w:r>
      <w:r w:rsidR="00000C1C" w:rsidRPr="005734B8">
        <w:rPr>
          <w:rFonts w:ascii="Calibri" w:hAnsi="Calibri" w:cs="Calibri"/>
        </w:rPr>
        <w:t>.</w:t>
      </w:r>
    </w:p>
    <w:p w14:paraId="1BD8D5D7" w14:textId="5E0B0F3C" w:rsidR="00F30FCD" w:rsidRPr="005734B8" w:rsidRDefault="00CF752B" w:rsidP="00670895">
      <w:pPr>
        <w:pStyle w:val="ListParagraph"/>
        <w:numPr>
          <w:ilvl w:val="0"/>
          <w:numId w:val="74"/>
        </w:numPr>
        <w:rPr>
          <w:rFonts w:ascii="Calibri" w:hAnsi="Calibri" w:cs="Calibri"/>
        </w:rPr>
      </w:pPr>
      <w:r w:rsidRPr="005734B8">
        <w:rPr>
          <w:rFonts w:ascii="Calibri" w:hAnsi="Calibri" w:cs="Calibri"/>
        </w:rPr>
        <w:t>E</w:t>
      </w:r>
      <w:r w:rsidR="00F30FCD" w:rsidRPr="005734B8">
        <w:rPr>
          <w:rFonts w:ascii="Calibri" w:hAnsi="Calibri" w:cs="Calibri"/>
        </w:rPr>
        <w:t>xplored further solar capacity and opportunities at the leased site (Bendigo)</w:t>
      </w:r>
      <w:r w:rsidR="00000C1C" w:rsidRPr="005734B8">
        <w:rPr>
          <w:rFonts w:ascii="Calibri" w:hAnsi="Calibri" w:cs="Calibri"/>
        </w:rPr>
        <w:t>.</w:t>
      </w:r>
    </w:p>
    <w:p w14:paraId="68905A5E" w14:textId="54CFB202" w:rsidR="00F30FCD" w:rsidRPr="005734B8" w:rsidRDefault="00CF752B" w:rsidP="00670895">
      <w:pPr>
        <w:pStyle w:val="ListParagraph"/>
        <w:numPr>
          <w:ilvl w:val="0"/>
          <w:numId w:val="74"/>
        </w:numPr>
        <w:rPr>
          <w:rFonts w:ascii="Calibri" w:hAnsi="Calibri" w:cs="Calibri"/>
        </w:rPr>
      </w:pPr>
      <w:r w:rsidRPr="005734B8">
        <w:rPr>
          <w:rFonts w:ascii="Calibri" w:hAnsi="Calibri" w:cs="Calibri"/>
        </w:rPr>
        <w:t>R</w:t>
      </w:r>
      <w:r w:rsidR="00F30FCD" w:rsidRPr="005734B8">
        <w:rPr>
          <w:rFonts w:ascii="Calibri" w:hAnsi="Calibri" w:cs="Calibri"/>
        </w:rPr>
        <w:t>educed electricity consumption by 50 per cent at the Beaumaris office building</w:t>
      </w:r>
      <w:r w:rsidR="00000C1C" w:rsidRPr="005734B8">
        <w:rPr>
          <w:rFonts w:ascii="Calibri" w:hAnsi="Calibri" w:cs="Calibri"/>
        </w:rPr>
        <w:t>.</w:t>
      </w:r>
    </w:p>
    <w:p w14:paraId="04E7AA02" w14:textId="3EECEBFD" w:rsidR="00F30FCD" w:rsidRPr="005734B8" w:rsidRDefault="00CF752B" w:rsidP="00670895">
      <w:pPr>
        <w:pStyle w:val="ListParagraph"/>
        <w:numPr>
          <w:ilvl w:val="0"/>
          <w:numId w:val="74"/>
        </w:numPr>
        <w:rPr>
          <w:rFonts w:ascii="Calibri" w:hAnsi="Calibri" w:cs="Calibri"/>
        </w:rPr>
      </w:pPr>
      <w:r w:rsidRPr="005734B8">
        <w:rPr>
          <w:rFonts w:ascii="Calibri" w:hAnsi="Calibri" w:cs="Calibri"/>
        </w:rPr>
        <w:t>C</w:t>
      </w:r>
      <w:r w:rsidR="00F30FCD" w:rsidRPr="005734B8">
        <w:rPr>
          <w:rFonts w:ascii="Calibri" w:hAnsi="Calibri" w:cs="Calibri"/>
        </w:rPr>
        <w:t>onducted an energy efficiency audit to maximise the thermal comfort of staff (Coburg), demonstrating an environmental sustainability approach to capital upgrades</w:t>
      </w:r>
      <w:r w:rsidR="00000C1C" w:rsidRPr="005734B8">
        <w:rPr>
          <w:rFonts w:ascii="Calibri" w:hAnsi="Calibri" w:cs="Calibri"/>
        </w:rPr>
        <w:t>.</w:t>
      </w:r>
    </w:p>
    <w:p w14:paraId="4671CABE" w14:textId="181E60E8" w:rsidR="00426E02" w:rsidRPr="005734B8" w:rsidRDefault="00CF752B" w:rsidP="00670895">
      <w:pPr>
        <w:pStyle w:val="ListParagraph"/>
        <w:numPr>
          <w:ilvl w:val="0"/>
          <w:numId w:val="74"/>
        </w:numPr>
        <w:rPr>
          <w:rFonts w:ascii="Calibri" w:hAnsi="Calibri" w:cs="Calibri"/>
        </w:rPr>
      </w:pPr>
      <w:r w:rsidRPr="005734B8">
        <w:rPr>
          <w:rFonts w:ascii="Calibri" w:hAnsi="Calibri" w:cs="Calibri"/>
        </w:rPr>
        <w:t>E</w:t>
      </w:r>
      <w:r w:rsidR="00F30FCD" w:rsidRPr="005734B8">
        <w:rPr>
          <w:rFonts w:ascii="Calibri" w:hAnsi="Calibri" w:cs="Calibri"/>
        </w:rPr>
        <w:t xml:space="preserve">stablished a new </w:t>
      </w:r>
      <w:r w:rsidR="007A6E77" w:rsidRPr="005734B8">
        <w:rPr>
          <w:rFonts w:ascii="Calibri" w:hAnsi="Calibri" w:cs="Calibri"/>
        </w:rPr>
        <w:t>environmental</w:t>
      </w:r>
      <w:r w:rsidR="00113133" w:rsidRPr="005734B8">
        <w:rPr>
          <w:rFonts w:ascii="Calibri" w:hAnsi="Calibri" w:cs="Calibri"/>
        </w:rPr>
        <w:t xml:space="preserve"> management system</w:t>
      </w:r>
      <w:r w:rsidR="00F30FCD" w:rsidRPr="005734B8">
        <w:rPr>
          <w:rFonts w:ascii="Calibri" w:hAnsi="Calibri" w:cs="Calibri"/>
        </w:rPr>
        <w:t xml:space="preserve"> dedicated role and environmental sustainability team to continue to explore energy efficiency opportunities at its sites.</w:t>
      </w:r>
      <w:r w:rsidR="00426E02" w:rsidRPr="005734B8">
        <w:rPr>
          <w:rFonts w:ascii="Calibri" w:hAnsi="Calibri" w:cs="Calibri"/>
        </w:rPr>
        <w:br w:type="page"/>
      </w:r>
    </w:p>
    <w:p w14:paraId="0ABFCEE2" w14:textId="5F4FD378" w:rsidR="00F30FCD" w:rsidRPr="005734B8" w:rsidRDefault="00F30FCD" w:rsidP="00F30FCD">
      <w:pPr>
        <w:pStyle w:val="ESHeading4"/>
        <w:ind w:left="0" w:firstLine="0"/>
        <w:rPr>
          <w:rFonts w:ascii="Calibri" w:hAnsi="Calibri" w:cs="Calibri"/>
        </w:rPr>
      </w:pPr>
      <w:r w:rsidRPr="005734B8">
        <w:rPr>
          <w:rFonts w:ascii="Calibri" w:hAnsi="Calibri" w:cs="Calibri"/>
        </w:rPr>
        <w:lastRenderedPageBreak/>
        <w:t>Target</w:t>
      </w:r>
    </w:p>
    <w:p w14:paraId="25AD933D" w14:textId="5A2F0904" w:rsidR="00F30FCD" w:rsidRPr="005734B8" w:rsidRDefault="00F30FCD" w:rsidP="00F30FCD">
      <w:pPr>
        <w:rPr>
          <w:rFonts w:ascii="Calibri" w:hAnsi="Calibri" w:cs="Calibri"/>
        </w:rPr>
      </w:pPr>
      <w:r w:rsidRPr="005734B8">
        <w:rPr>
          <w:rFonts w:ascii="Calibri" w:hAnsi="Calibri" w:cs="Calibri"/>
        </w:rPr>
        <w:t>The following target was set in 2020</w:t>
      </w:r>
      <w:r w:rsidR="006D388C" w:rsidRPr="005734B8">
        <w:rPr>
          <w:rFonts w:ascii="Calibri" w:hAnsi="Calibri" w:cs="Calibri"/>
          <w:szCs w:val="22"/>
        </w:rPr>
        <w:t>–</w:t>
      </w:r>
      <w:r w:rsidRPr="005734B8">
        <w:rPr>
          <w:rFonts w:ascii="Calibri" w:hAnsi="Calibri" w:cs="Calibri"/>
        </w:rPr>
        <w:t>21</w:t>
      </w:r>
      <w:r w:rsidR="00515B07" w:rsidRPr="005734B8">
        <w:rPr>
          <w:rFonts w:ascii="Calibri" w:hAnsi="Calibri" w:cs="Calibri"/>
        </w:rPr>
        <w:t>:</w:t>
      </w:r>
    </w:p>
    <w:p w14:paraId="0EF65DBC" w14:textId="1A55422A" w:rsidR="00F30FCD" w:rsidRPr="005734B8" w:rsidRDefault="00F30FCD" w:rsidP="00670895">
      <w:pPr>
        <w:pStyle w:val="ListParagraph"/>
        <w:numPr>
          <w:ilvl w:val="0"/>
          <w:numId w:val="75"/>
        </w:numPr>
        <w:rPr>
          <w:rFonts w:ascii="Calibri" w:hAnsi="Calibri" w:cs="Calibri"/>
        </w:rPr>
      </w:pPr>
      <w:r w:rsidRPr="005734B8">
        <w:rPr>
          <w:rFonts w:ascii="Calibri" w:hAnsi="Calibri" w:cs="Calibri"/>
        </w:rPr>
        <w:t>Reduce energy consumption per square metre by 5</w:t>
      </w:r>
      <w:r w:rsidR="007A6E77" w:rsidRPr="005734B8">
        <w:rPr>
          <w:rFonts w:ascii="Calibri" w:hAnsi="Calibri" w:cs="Calibri"/>
        </w:rPr>
        <w:t>–</w:t>
      </w:r>
      <w:r w:rsidRPr="005734B8">
        <w:rPr>
          <w:rFonts w:ascii="Calibri" w:hAnsi="Calibri" w:cs="Calibri"/>
        </w:rPr>
        <w:t>10 per cent below 2019</w:t>
      </w:r>
      <w:r w:rsidR="006D388C" w:rsidRPr="005734B8">
        <w:rPr>
          <w:rFonts w:ascii="Calibri" w:hAnsi="Calibri" w:cs="Calibri"/>
          <w:szCs w:val="22"/>
        </w:rPr>
        <w:t>–</w:t>
      </w:r>
      <w:r w:rsidRPr="005734B8">
        <w:rPr>
          <w:rFonts w:ascii="Calibri" w:hAnsi="Calibri" w:cs="Calibri"/>
        </w:rPr>
        <w:t>20 levels by 31 March 2021.</w:t>
      </w:r>
    </w:p>
    <w:p w14:paraId="102CBA7C" w14:textId="77777777" w:rsidR="00F30FCD" w:rsidRPr="005734B8" w:rsidRDefault="00F30FCD" w:rsidP="00F30FCD">
      <w:pPr>
        <w:pStyle w:val="ESHeading4"/>
        <w:ind w:left="0" w:firstLine="0"/>
        <w:rPr>
          <w:rFonts w:ascii="Calibri" w:hAnsi="Calibri" w:cs="Calibri"/>
        </w:rPr>
      </w:pPr>
      <w:r w:rsidRPr="005734B8">
        <w:rPr>
          <w:rFonts w:ascii="Calibri" w:hAnsi="Calibri" w:cs="Calibri"/>
        </w:rPr>
        <w:t>Explanatory notes</w:t>
      </w:r>
    </w:p>
    <w:p w14:paraId="1EFAD0EF" w14:textId="6FA457A0" w:rsidR="00F30FCD" w:rsidRPr="005734B8" w:rsidRDefault="00CC6A9C" w:rsidP="00CC6A9C">
      <w:pPr>
        <w:rPr>
          <w:rFonts w:ascii="Calibri" w:hAnsi="Calibri" w:cs="Calibri"/>
        </w:rPr>
      </w:pPr>
      <w:r w:rsidRPr="005734B8">
        <w:rPr>
          <w:rFonts w:ascii="Calibri" w:hAnsi="Calibri" w:cs="Calibri"/>
        </w:rPr>
        <w:t>The 2020–21</w:t>
      </w:r>
      <w:r w:rsidR="00F30FCD" w:rsidRPr="005734B8">
        <w:rPr>
          <w:rFonts w:ascii="Calibri" w:hAnsi="Calibri" w:cs="Calibri"/>
        </w:rPr>
        <w:t xml:space="preserve"> target was met with a reduction in energy consumption per </w:t>
      </w:r>
      <w:r w:rsidRPr="005734B8">
        <w:rPr>
          <w:rFonts w:ascii="Calibri" w:hAnsi="Calibri" w:cs="Calibri"/>
        </w:rPr>
        <w:t>metre squared</w:t>
      </w:r>
      <w:r w:rsidR="00F30FCD" w:rsidRPr="005734B8">
        <w:rPr>
          <w:rFonts w:ascii="Calibri" w:hAnsi="Calibri" w:cs="Calibri"/>
        </w:rPr>
        <w:t xml:space="preserve"> by </w:t>
      </w:r>
      <w:r w:rsidRPr="005734B8">
        <w:rPr>
          <w:rFonts w:ascii="Calibri" w:hAnsi="Calibri" w:cs="Calibri"/>
        </w:rPr>
        <w:t>seven</w:t>
      </w:r>
      <w:r w:rsidR="00F30FCD" w:rsidRPr="005734B8">
        <w:rPr>
          <w:rFonts w:ascii="Calibri" w:hAnsi="Calibri" w:cs="Calibri"/>
        </w:rPr>
        <w:t xml:space="preserve"> per cent </w:t>
      </w:r>
      <w:r w:rsidR="007A6E77" w:rsidRPr="005734B8">
        <w:rPr>
          <w:rFonts w:ascii="Calibri" w:hAnsi="Calibri" w:cs="Calibri"/>
        </w:rPr>
        <w:t>from</w:t>
      </w:r>
      <w:r w:rsidR="00F30FCD" w:rsidRPr="005734B8">
        <w:rPr>
          <w:rFonts w:ascii="Calibri" w:hAnsi="Calibri" w:cs="Calibri"/>
        </w:rPr>
        <w:t xml:space="preserve"> last year’s levels. Total energy use decreased by 13.25 per cent </w:t>
      </w:r>
      <w:r w:rsidR="007A6E77" w:rsidRPr="005734B8">
        <w:rPr>
          <w:rFonts w:ascii="Calibri" w:hAnsi="Calibri" w:cs="Calibri"/>
        </w:rPr>
        <w:t>from</w:t>
      </w:r>
      <w:r w:rsidR="00F30FCD" w:rsidRPr="005734B8">
        <w:rPr>
          <w:rFonts w:ascii="Calibri" w:hAnsi="Calibri" w:cs="Calibri"/>
        </w:rPr>
        <w:t xml:space="preserve"> 2019</w:t>
      </w:r>
      <w:r w:rsidR="006E431F" w:rsidRPr="005734B8">
        <w:rPr>
          <w:rFonts w:ascii="Calibri" w:hAnsi="Calibri" w:cs="Calibri"/>
          <w:szCs w:val="22"/>
        </w:rPr>
        <w:t>–</w:t>
      </w:r>
      <w:r w:rsidR="00F30FCD" w:rsidRPr="005734B8">
        <w:rPr>
          <w:rFonts w:ascii="Calibri" w:hAnsi="Calibri" w:cs="Calibri"/>
        </w:rPr>
        <w:t xml:space="preserve">20. </w:t>
      </w:r>
    </w:p>
    <w:p w14:paraId="064F33E5" w14:textId="77777777" w:rsidR="00CC6A9C" w:rsidRPr="005734B8" w:rsidRDefault="00CC6A9C" w:rsidP="00CC6A9C">
      <w:pPr>
        <w:rPr>
          <w:rFonts w:ascii="Calibri" w:hAnsi="Calibri" w:cs="Calibri"/>
        </w:rPr>
      </w:pPr>
    </w:p>
    <w:p w14:paraId="60E41C14" w14:textId="69405580" w:rsidR="00F30FCD" w:rsidRPr="005734B8" w:rsidRDefault="00F30FCD" w:rsidP="00CC6A9C">
      <w:pPr>
        <w:rPr>
          <w:rFonts w:ascii="Calibri" w:hAnsi="Calibri" w:cs="Calibri"/>
        </w:rPr>
      </w:pPr>
      <w:r w:rsidRPr="005734B8">
        <w:rPr>
          <w:rFonts w:ascii="Calibri" w:hAnsi="Calibri" w:cs="Calibri"/>
        </w:rPr>
        <w:t xml:space="preserve">Total energy consumption per FTE decreased by </w:t>
      </w:r>
      <w:r w:rsidR="00CC6A9C" w:rsidRPr="005734B8">
        <w:rPr>
          <w:rFonts w:ascii="Calibri" w:hAnsi="Calibri" w:cs="Calibri"/>
        </w:rPr>
        <w:t>six</w:t>
      </w:r>
      <w:r w:rsidRPr="005734B8">
        <w:rPr>
          <w:rFonts w:ascii="Calibri" w:hAnsi="Calibri" w:cs="Calibri"/>
        </w:rPr>
        <w:t xml:space="preserve"> per cent and total energy consumption per </w:t>
      </w:r>
      <w:r w:rsidR="00CC6A9C" w:rsidRPr="005734B8">
        <w:rPr>
          <w:rFonts w:ascii="Calibri" w:hAnsi="Calibri" w:cs="Calibri"/>
        </w:rPr>
        <w:t>square metre</w:t>
      </w:r>
      <w:r w:rsidRPr="005734B8">
        <w:rPr>
          <w:rFonts w:ascii="Calibri" w:hAnsi="Calibri" w:cs="Calibri"/>
        </w:rPr>
        <w:t xml:space="preserve"> decreased by </w:t>
      </w:r>
      <w:r w:rsidR="00CC6A9C" w:rsidRPr="005734B8">
        <w:rPr>
          <w:rFonts w:ascii="Calibri" w:hAnsi="Calibri" w:cs="Calibri"/>
        </w:rPr>
        <w:t>seven</w:t>
      </w:r>
      <w:r w:rsidRPr="005734B8">
        <w:rPr>
          <w:rFonts w:ascii="Calibri" w:hAnsi="Calibri" w:cs="Calibri"/>
        </w:rPr>
        <w:t xml:space="preserve"> per cent. The reduction in energy (electricity and gas) for 2020</w:t>
      </w:r>
      <w:r w:rsidR="005D50FA" w:rsidRPr="005734B8">
        <w:rPr>
          <w:rFonts w:ascii="Calibri" w:hAnsi="Calibri" w:cs="Calibri"/>
        </w:rPr>
        <w:t>–</w:t>
      </w:r>
      <w:r w:rsidRPr="005734B8">
        <w:rPr>
          <w:rFonts w:ascii="Calibri" w:hAnsi="Calibri" w:cs="Calibri"/>
        </w:rPr>
        <w:t xml:space="preserve">21 can be attributed to the absence of staff on sites across Victoria due to the impact of </w:t>
      </w:r>
      <w:r w:rsidR="005D50FA" w:rsidRPr="005734B8">
        <w:rPr>
          <w:rFonts w:ascii="Calibri" w:hAnsi="Calibri" w:cs="Calibri"/>
        </w:rPr>
        <w:t>the</w:t>
      </w:r>
      <w:r w:rsidRPr="005734B8">
        <w:rPr>
          <w:rFonts w:ascii="Calibri" w:hAnsi="Calibri" w:cs="Calibri"/>
        </w:rPr>
        <w:t xml:space="preserve"> COVID-19 pandemic. The Department is continuously looking for opportunities to further reduce energy consumption across all sites. </w:t>
      </w:r>
    </w:p>
    <w:p w14:paraId="0421074A" w14:textId="77777777" w:rsidR="00F30FCD" w:rsidRPr="005734B8" w:rsidRDefault="00F30FCD" w:rsidP="00F30FCD">
      <w:pPr>
        <w:pStyle w:val="ESHeading3"/>
        <w:ind w:left="0" w:firstLine="0"/>
        <w:rPr>
          <w:rFonts w:ascii="Calibri" w:hAnsi="Calibri" w:cs="Calibri"/>
        </w:rPr>
      </w:pPr>
      <w:r w:rsidRPr="005734B8">
        <w:rPr>
          <w:rFonts w:ascii="Calibri" w:hAnsi="Calibri" w:cs="Calibri"/>
          <w:lang w:val="en-AU"/>
        </w:rPr>
        <w:t>Waste and recycling</w:t>
      </w:r>
    </w:p>
    <w:p w14:paraId="02215091" w14:textId="5D4093E3" w:rsidR="00F30FCD" w:rsidRPr="005734B8" w:rsidRDefault="00F30FCD" w:rsidP="00F30FCD">
      <w:pPr>
        <w:rPr>
          <w:rFonts w:ascii="Calibri" w:hAnsi="Calibri" w:cs="Calibri"/>
        </w:rPr>
      </w:pPr>
      <w:r w:rsidRPr="005734B8">
        <w:rPr>
          <w:rFonts w:ascii="Calibri" w:hAnsi="Calibri" w:cs="Calibri"/>
        </w:rPr>
        <w:t xml:space="preserve">The data below was collected through the ESP and represents 63 per cent of its sites and about 75 per cent of FTE. This is 142 per cent and 85 per cent improvement in collection of data (respectively) compared to last year. </w:t>
      </w:r>
      <w:r w:rsidRPr="005734B8">
        <w:rPr>
          <w:rFonts w:ascii="Calibri" w:hAnsi="Calibri" w:cs="Calibri"/>
          <w:szCs w:val="22"/>
        </w:rPr>
        <w:t>The Department continues to address waste generation through a variety of re-use and recycling methods and initiatives.</w:t>
      </w:r>
    </w:p>
    <w:p w14:paraId="531C845F" w14:textId="77777777" w:rsidR="00F30FCD" w:rsidRPr="005734B8" w:rsidRDefault="00F30FCD" w:rsidP="00F30FCD">
      <w:pPr>
        <w:rPr>
          <w:rFonts w:ascii="Calibri" w:hAnsi="Calibri" w:cs="Calibri"/>
        </w:rPr>
      </w:pPr>
    </w:p>
    <w:p w14:paraId="080F051D" w14:textId="3F495587" w:rsidR="00F30FCD" w:rsidRPr="005734B8" w:rsidRDefault="00F30FCD" w:rsidP="00F30FCD">
      <w:pPr>
        <w:rPr>
          <w:rFonts w:ascii="Calibri" w:hAnsi="Calibri" w:cs="Calibri"/>
        </w:rPr>
      </w:pPr>
      <w:r w:rsidRPr="005734B8">
        <w:rPr>
          <w:rFonts w:ascii="Calibri" w:hAnsi="Calibri" w:cs="Calibri"/>
        </w:rPr>
        <w:t xml:space="preserve">Waste generation would normally be supplemented </w:t>
      </w:r>
      <w:r w:rsidR="007A6E77" w:rsidRPr="005734B8">
        <w:rPr>
          <w:rFonts w:ascii="Calibri" w:hAnsi="Calibri" w:cs="Calibri"/>
        </w:rPr>
        <w:t>by</w:t>
      </w:r>
      <w:r w:rsidRPr="005734B8">
        <w:rPr>
          <w:rFonts w:ascii="Calibri" w:hAnsi="Calibri" w:cs="Calibri"/>
        </w:rPr>
        <w:t xml:space="preserve"> the results of a waste audit to a cohort of sites occupied by the Department </w:t>
      </w:r>
      <w:r w:rsidR="007A6E77" w:rsidRPr="005734B8">
        <w:rPr>
          <w:rFonts w:ascii="Calibri" w:hAnsi="Calibri" w:cs="Calibri"/>
        </w:rPr>
        <w:t>that</w:t>
      </w:r>
      <w:r w:rsidRPr="005734B8">
        <w:rPr>
          <w:rFonts w:ascii="Calibri" w:hAnsi="Calibri" w:cs="Calibri"/>
        </w:rPr>
        <w:t xml:space="preserve"> represent about 30 per cent of FTE. However, the waste audit was not </w:t>
      </w:r>
      <w:r w:rsidR="007A6E77" w:rsidRPr="005734B8">
        <w:rPr>
          <w:rFonts w:ascii="Calibri" w:hAnsi="Calibri" w:cs="Calibri"/>
        </w:rPr>
        <w:t>possible</w:t>
      </w:r>
      <w:r w:rsidRPr="005734B8">
        <w:rPr>
          <w:rFonts w:ascii="Calibri" w:hAnsi="Calibri" w:cs="Calibri"/>
        </w:rPr>
        <w:t xml:space="preserve"> in March 2021 due</w:t>
      </w:r>
      <w:r w:rsidR="000D6D95" w:rsidRPr="005734B8">
        <w:rPr>
          <w:rFonts w:ascii="Calibri" w:hAnsi="Calibri" w:cs="Calibri"/>
        </w:rPr>
        <w:t xml:space="preserve"> to the</w:t>
      </w:r>
      <w:r w:rsidRPr="005734B8">
        <w:rPr>
          <w:rFonts w:ascii="Calibri" w:hAnsi="Calibri" w:cs="Calibri"/>
        </w:rPr>
        <w:t xml:space="preserve"> COVID-19 pandemic</w:t>
      </w:r>
      <w:r w:rsidR="00696586">
        <w:rPr>
          <w:rFonts w:ascii="Calibri" w:hAnsi="Calibri" w:cs="Calibri"/>
        </w:rPr>
        <w:t xml:space="preserve"> response</w:t>
      </w:r>
      <w:r w:rsidRPr="005734B8">
        <w:rPr>
          <w:rFonts w:ascii="Calibri" w:hAnsi="Calibri" w:cs="Calibri"/>
        </w:rPr>
        <w:t>. Like last year, during this time most office-based staff were working from home and waste audit</w:t>
      </w:r>
      <w:r w:rsidR="00CC6A9C" w:rsidRPr="005734B8">
        <w:rPr>
          <w:rFonts w:ascii="Calibri" w:hAnsi="Calibri" w:cs="Calibri"/>
        </w:rPr>
        <w:t>s</w:t>
      </w:r>
      <w:r w:rsidRPr="005734B8">
        <w:rPr>
          <w:rFonts w:ascii="Calibri" w:hAnsi="Calibri" w:cs="Calibri"/>
        </w:rPr>
        <w:t xml:space="preserve"> would not have been representative of normal operating conditions. </w:t>
      </w:r>
    </w:p>
    <w:p w14:paraId="4637014A" w14:textId="77777777" w:rsidR="00F30FCD" w:rsidRPr="005734B8" w:rsidRDefault="00F30FCD" w:rsidP="00F30FCD">
      <w:pPr>
        <w:pStyle w:val="ESTableintroheading"/>
        <w:rPr>
          <w:rFonts w:ascii="Calibri" w:hAnsi="Calibri" w:cs="Calibri"/>
          <w:sz w:val="22"/>
          <w:szCs w:val="22"/>
        </w:rPr>
      </w:pPr>
      <w:r w:rsidRPr="005734B8">
        <w:rPr>
          <w:rFonts w:ascii="Calibri" w:hAnsi="Calibri" w:cs="Calibri"/>
          <w:sz w:val="22"/>
          <w:szCs w:val="22"/>
        </w:rPr>
        <w:t>Waste and recycling</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2"/>
        <w:gridCol w:w="1389"/>
        <w:gridCol w:w="1363"/>
        <w:gridCol w:w="1637"/>
      </w:tblGrid>
      <w:tr w:rsidR="00F30FCD" w:rsidRPr="005734B8" w14:paraId="69D741EF" w14:textId="77777777" w:rsidTr="00F30FCD">
        <w:trPr>
          <w:cantSplit/>
          <w:trHeight w:val="242"/>
          <w:tblHeader/>
        </w:trPr>
        <w:tc>
          <w:tcPr>
            <w:tcW w:w="3532" w:type="dxa"/>
            <w:tcBorders>
              <w:bottom w:val="single" w:sz="4" w:space="0" w:color="FFFFFF" w:themeColor="background1"/>
            </w:tcBorders>
            <w:shd w:val="clear" w:color="auto" w:fill="AF272F" w:themeFill="accent4"/>
          </w:tcPr>
          <w:p w14:paraId="47394CBF" w14:textId="77777777" w:rsidR="00F30FCD" w:rsidRPr="005734B8" w:rsidRDefault="00F30FCD" w:rsidP="00F30FCD">
            <w:pPr>
              <w:pStyle w:val="ESTableheadingwhite"/>
              <w:rPr>
                <w:rFonts w:ascii="Calibri" w:hAnsi="Calibri" w:cs="Calibri"/>
                <w:sz w:val="22"/>
                <w:szCs w:val="22"/>
              </w:rPr>
            </w:pPr>
            <w:r w:rsidRPr="005734B8">
              <w:rPr>
                <w:rFonts w:ascii="Calibri" w:hAnsi="Calibri" w:cs="Calibri"/>
                <w:sz w:val="22"/>
                <w:szCs w:val="22"/>
              </w:rPr>
              <w:t>Indicator</w:t>
            </w:r>
          </w:p>
        </w:tc>
        <w:tc>
          <w:tcPr>
            <w:tcW w:w="1389" w:type="dxa"/>
            <w:tcBorders>
              <w:bottom w:val="single" w:sz="4" w:space="0" w:color="FFFFFF" w:themeColor="background1"/>
            </w:tcBorders>
            <w:shd w:val="clear" w:color="auto" w:fill="AF272F" w:themeFill="accent4"/>
          </w:tcPr>
          <w:p w14:paraId="7C42258F" w14:textId="77777777" w:rsidR="00F30FCD" w:rsidRPr="005734B8" w:rsidRDefault="00F30FCD" w:rsidP="00F30FCD">
            <w:pPr>
              <w:pStyle w:val="ESTableheadingwhite"/>
              <w:jc w:val="right"/>
              <w:rPr>
                <w:rFonts w:ascii="Calibri" w:hAnsi="Calibri" w:cs="Calibri"/>
                <w:sz w:val="22"/>
                <w:szCs w:val="22"/>
              </w:rPr>
            </w:pPr>
            <w:r w:rsidRPr="005734B8">
              <w:rPr>
                <w:rFonts w:ascii="Calibri" w:hAnsi="Calibri" w:cs="Calibri"/>
                <w:sz w:val="22"/>
                <w:szCs w:val="22"/>
              </w:rPr>
              <w:t>2020–21</w:t>
            </w:r>
          </w:p>
        </w:tc>
        <w:tc>
          <w:tcPr>
            <w:tcW w:w="1363" w:type="dxa"/>
            <w:tcBorders>
              <w:bottom w:val="single" w:sz="4" w:space="0" w:color="FFFFFF" w:themeColor="background1"/>
            </w:tcBorders>
            <w:shd w:val="clear" w:color="auto" w:fill="AF272F" w:themeFill="accent4"/>
          </w:tcPr>
          <w:p w14:paraId="10A7C78D" w14:textId="77777777" w:rsidR="00F30FCD" w:rsidRPr="005734B8" w:rsidRDefault="00F30FCD" w:rsidP="00F30FCD">
            <w:pPr>
              <w:pStyle w:val="ESTableheadingwhite"/>
              <w:jc w:val="right"/>
              <w:rPr>
                <w:rFonts w:ascii="Calibri" w:hAnsi="Calibri" w:cs="Calibri"/>
                <w:sz w:val="22"/>
                <w:szCs w:val="22"/>
              </w:rPr>
            </w:pPr>
            <w:r w:rsidRPr="005734B8">
              <w:rPr>
                <w:rFonts w:ascii="Calibri" w:hAnsi="Calibri" w:cs="Calibri"/>
                <w:sz w:val="22"/>
                <w:szCs w:val="22"/>
              </w:rPr>
              <w:t>2019–20</w:t>
            </w:r>
          </w:p>
        </w:tc>
        <w:tc>
          <w:tcPr>
            <w:tcW w:w="1637" w:type="dxa"/>
            <w:tcBorders>
              <w:bottom w:val="single" w:sz="4" w:space="0" w:color="FFFFFF" w:themeColor="background1"/>
            </w:tcBorders>
            <w:shd w:val="clear" w:color="auto" w:fill="AF272F" w:themeFill="accent4"/>
          </w:tcPr>
          <w:p w14:paraId="0F9F3595" w14:textId="77777777" w:rsidR="00F30FCD" w:rsidRPr="005734B8" w:rsidRDefault="00F30FCD" w:rsidP="00F30FCD">
            <w:pPr>
              <w:pStyle w:val="ESTableheadingwhite"/>
              <w:jc w:val="right"/>
              <w:rPr>
                <w:rFonts w:ascii="Calibri" w:hAnsi="Calibri" w:cs="Calibri"/>
                <w:sz w:val="22"/>
                <w:szCs w:val="22"/>
              </w:rPr>
            </w:pPr>
            <w:r w:rsidRPr="005734B8">
              <w:rPr>
                <w:rFonts w:ascii="Calibri" w:hAnsi="Calibri" w:cs="Calibri"/>
                <w:sz w:val="22"/>
                <w:szCs w:val="22"/>
              </w:rPr>
              <w:t>2018–19</w:t>
            </w:r>
          </w:p>
        </w:tc>
      </w:tr>
      <w:tr w:rsidR="00F30FCD" w:rsidRPr="005734B8" w14:paraId="7F3B361F" w14:textId="77777777" w:rsidTr="00F30FCD">
        <w:trPr>
          <w:cantSplit/>
        </w:trPr>
        <w:tc>
          <w:tcPr>
            <w:tcW w:w="3532" w:type="dxa"/>
            <w:tcBorders>
              <w:top w:val="single" w:sz="4" w:space="0" w:color="53565A" w:themeColor="accent5"/>
              <w:bottom w:val="single" w:sz="4" w:space="0" w:color="53565A" w:themeColor="accent5"/>
            </w:tcBorders>
            <w:shd w:val="clear" w:color="auto" w:fill="D9D9D6" w:themeFill="accent6"/>
            <w:vAlign w:val="center"/>
          </w:tcPr>
          <w:p w14:paraId="02095F7F" w14:textId="77777777" w:rsidR="00F30FCD" w:rsidRPr="005734B8" w:rsidRDefault="00F30FCD" w:rsidP="00F30FCD">
            <w:pPr>
              <w:pStyle w:val="ESTablebody"/>
              <w:rPr>
                <w:rFonts w:ascii="Calibri" w:hAnsi="Calibri" w:cs="Calibri"/>
                <w:b/>
                <w:sz w:val="22"/>
                <w:szCs w:val="22"/>
              </w:rPr>
            </w:pPr>
            <w:r w:rsidRPr="005734B8">
              <w:rPr>
                <w:rFonts w:ascii="Calibri" w:hAnsi="Calibri" w:cs="Calibri"/>
                <w:b/>
                <w:sz w:val="22"/>
                <w:szCs w:val="22"/>
                <w:lang w:val="en-AU"/>
              </w:rPr>
              <w:t>Ws1: Total units of waste disposed of by destination (kg)</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3CA12D4E" w14:textId="77777777" w:rsidR="00F30FCD" w:rsidRPr="005734B8" w:rsidRDefault="00F30FCD" w:rsidP="00F30FCD">
            <w:pPr>
              <w:pStyle w:val="ESTablenumberrightaligned"/>
              <w:rPr>
                <w:rFonts w:ascii="Calibri" w:hAnsi="Calibri" w:cs="Calibri"/>
                <w:b/>
                <w:sz w:val="22"/>
                <w:szCs w:val="22"/>
                <w:highlight w:val="red"/>
              </w:rPr>
            </w:pPr>
            <w:r w:rsidRPr="005734B8">
              <w:rPr>
                <w:rFonts w:ascii="Calibri" w:hAnsi="Calibri" w:cs="Calibri"/>
                <w:b/>
                <w:sz w:val="22"/>
                <w:szCs w:val="22"/>
              </w:rPr>
              <w:t>94,844</w:t>
            </w:r>
          </w:p>
        </w:tc>
        <w:tc>
          <w:tcPr>
            <w:tcW w:w="1363" w:type="dxa"/>
            <w:tcBorders>
              <w:top w:val="single" w:sz="4" w:space="0" w:color="53565A" w:themeColor="accent5"/>
              <w:bottom w:val="single" w:sz="4" w:space="0" w:color="53565A" w:themeColor="accent5"/>
            </w:tcBorders>
            <w:shd w:val="clear" w:color="auto" w:fill="D9D9D6" w:themeFill="accent6"/>
            <w:vAlign w:val="center"/>
          </w:tcPr>
          <w:p w14:paraId="0E53DC96"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b/>
                <w:color w:val="000000"/>
                <w:sz w:val="22"/>
                <w:szCs w:val="22"/>
              </w:rPr>
              <w:t>107,531</w:t>
            </w:r>
          </w:p>
        </w:tc>
        <w:tc>
          <w:tcPr>
            <w:tcW w:w="1637" w:type="dxa"/>
            <w:tcBorders>
              <w:top w:val="single" w:sz="4" w:space="0" w:color="53565A" w:themeColor="accent5"/>
              <w:bottom w:val="single" w:sz="4" w:space="0" w:color="53565A" w:themeColor="accent5"/>
            </w:tcBorders>
            <w:shd w:val="clear" w:color="auto" w:fill="D9D9D6" w:themeFill="accent6"/>
            <w:vAlign w:val="center"/>
          </w:tcPr>
          <w:p w14:paraId="42422967"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b/>
                <w:color w:val="000000"/>
                <w:sz w:val="22"/>
                <w:szCs w:val="22"/>
              </w:rPr>
              <w:t>88,343</w:t>
            </w:r>
          </w:p>
        </w:tc>
      </w:tr>
      <w:tr w:rsidR="00F30FCD" w:rsidRPr="005734B8" w14:paraId="053DC13B" w14:textId="77777777" w:rsidTr="00F30FCD">
        <w:trPr>
          <w:cantSplit/>
        </w:trPr>
        <w:tc>
          <w:tcPr>
            <w:tcW w:w="3532" w:type="dxa"/>
            <w:tcBorders>
              <w:top w:val="single" w:sz="4" w:space="0" w:color="53565A" w:themeColor="accent5"/>
              <w:bottom w:val="single" w:sz="4" w:space="0" w:color="53565A" w:themeColor="accent5"/>
            </w:tcBorders>
            <w:shd w:val="clear" w:color="auto" w:fill="auto"/>
            <w:vAlign w:val="center"/>
          </w:tcPr>
          <w:p w14:paraId="1D983E12" w14:textId="77777777" w:rsidR="00F30FCD" w:rsidRPr="005734B8" w:rsidRDefault="00F30FCD" w:rsidP="00F30FCD">
            <w:pPr>
              <w:pStyle w:val="ESTablebody"/>
              <w:rPr>
                <w:rFonts w:ascii="Calibri" w:hAnsi="Calibri" w:cs="Calibri"/>
                <w:sz w:val="22"/>
                <w:szCs w:val="22"/>
              </w:rPr>
            </w:pPr>
            <w:r w:rsidRPr="005734B8">
              <w:rPr>
                <w:rFonts w:ascii="Calibri" w:hAnsi="Calibri" w:cs="Calibri"/>
                <w:sz w:val="22"/>
                <w:szCs w:val="22"/>
                <w:lang w:val="en-AU"/>
              </w:rPr>
              <w:t>Landfill (kg)</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74920749" w14:textId="77777777" w:rsidR="00F30FCD" w:rsidRPr="005734B8" w:rsidRDefault="00F30FCD" w:rsidP="00F30FCD">
            <w:pPr>
              <w:pStyle w:val="ESTablenumberrightaligned"/>
              <w:rPr>
                <w:rFonts w:ascii="Calibri" w:hAnsi="Calibri" w:cs="Calibri"/>
                <w:sz w:val="22"/>
                <w:szCs w:val="22"/>
                <w:highlight w:val="red"/>
              </w:rPr>
            </w:pPr>
            <w:r w:rsidRPr="005734B8">
              <w:rPr>
                <w:rFonts w:ascii="Calibri" w:hAnsi="Calibri" w:cs="Calibri"/>
                <w:sz w:val="22"/>
                <w:szCs w:val="22"/>
              </w:rPr>
              <w:t>21,452</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212E780D"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41,161</w:t>
            </w:r>
          </w:p>
        </w:tc>
        <w:tc>
          <w:tcPr>
            <w:tcW w:w="1637" w:type="dxa"/>
            <w:tcBorders>
              <w:top w:val="single" w:sz="4" w:space="0" w:color="53565A" w:themeColor="accent5"/>
              <w:bottom w:val="single" w:sz="4" w:space="0" w:color="53565A" w:themeColor="accent5"/>
            </w:tcBorders>
            <w:vAlign w:val="center"/>
          </w:tcPr>
          <w:p w14:paraId="0EC0605E"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38,752</w:t>
            </w:r>
          </w:p>
        </w:tc>
      </w:tr>
      <w:tr w:rsidR="00F30FCD" w:rsidRPr="005734B8" w14:paraId="0097D1D0" w14:textId="77777777" w:rsidTr="00F30FCD">
        <w:trPr>
          <w:cantSplit/>
        </w:trPr>
        <w:tc>
          <w:tcPr>
            <w:tcW w:w="3532" w:type="dxa"/>
            <w:tcBorders>
              <w:top w:val="single" w:sz="4" w:space="0" w:color="53565A" w:themeColor="accent5"/>
              <w:bottom w:val="single" w:sz="4" w:space="0" w:color="53565A" w:themeColor="accent5"/>
            </w:tcBorders>
            <w:shd w:val="clear" w:color="auto" w:fill="auto"/>
            <w:vAlign w:val="center"/>
          </w:tcPr>
          <w:p w14:paraId="2D2AA810" w14:textId="77777777" w:rsidR="00F30FCD" w:rsidRPr="005734B8" w:rsidRDefault="00F30FCD" w:rsidP="00F30FCD">
            <w:pPr>
              <w:pStyle w:val="ESTablebody"/>
              <w:rPr>
                <w:rFonts w:ascii="Calibri" w:hAnsi="Calibri" w:cs="Calibri"/>
                <w:sz w:val="22"/>
                <w:szCs w:val="22"/>
              </w:rPr>
            </w:pPr>
            <w:r w:rsidRPr="005734B8">
              <w:rPr>
                <w:rFonts w:ascii="Calibri" w:hAnsi="Calibri" w:cs="Calibri"/>
                <w:sz w:val="22"/>
                <w:szCs w:val="22"/>
                <w:lang w:val="en-AU"/>
              </w:rPr>
              <w:t>Comingled recycling (kg)</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587E270E" w14:textId="77777777" w:rsidR="00F30FCD" w:rsidRPr="005734B8" w:rsidRDefault="00F30FCD" w:rsidP="00F30FCD">
            <w:pPr>
              <w:pStyle w:val="ESTablenumberrightaligned"/>
              <w:rPr>
                <w:rFonts w:ascii="Calibri" w:hAnsi="Calibri" w:cs="Calibri"/>
                <w:sz w:val="22"/>
                <w:szCs w:val="22"/>
                <w:highlight w:val="red"/>
              </w:rPr>
            </w:pPr>
            <w:r w:rsidRPr="005734B8">
              <w:rPr>
                <w:rFonts w:ascii="Calibri" w:hAnsi="Calibri" w:cs="Calibri"/>
                <w:sz w:val="22"/>
                <w:szCs w:val="22"/>
              </w:rPr>
              <w:t>5,633</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7AAD3B98"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12,685</w:t>
            </w:r>
          </w:p>
        </w:tc>
        <w:tc>
          <w:tcPr>
            <w:tcW w:w="1637" w:type="dxa"/>
            <w:tcBorders>
              <w:top w:val="single" w:sz="4" w:space="0" w:color="53565A" w:themeColor="accent5"/>
              <w:bottom w:val="single" w:sz="4" w:space="0" w:color="53565A" w:themeColor="accent5"/>
            </w:tcBorders>
            <w:vAlign w:val="center"/>
          </w:tcPr>
          <w:p w14:paraId="62D42B8E"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16,552</w:t>
            </w:r>
          </w:p>
        </w:tc>
      </w:tr>
      <w:tr w:rsidR="00F30FCD" w:rsidRPr="005734B8" w14:paraId="5703F15A" w14:textId="77777777" w:rsidTr="00F30FCD">
        <w:trPr>
          <w:cantSplit/>
        </w:trPr>
        <w:tc>
          <w:tcPr>
            <w:tcW w:w="3532" w:type="dxa"/>
            <w:tcBorders>
              <w:top w:val="single" w:sz="4" w:space="0" w:color="53565A" w:themeColor="accent5"/>
              <w:bottom w:val="single" w:sz="4" w:space="0" w:color="53565A" w:themeColor="accent5"/>
            </w:tcBorders>
            <w:shd w:val="clear" w:color="auto" w:fill="auto"/>
            <w:vAlign w:val="center"/>
          </w:tcPr>
          <w:p w14:paraId="5B58C944" w14:textId="77777777" w:rsidR="00F30FCD" w:rsidRPr="005734B8" w:rsidRDefault="00F30FCD" w:rsidP="00F30FCD">
            <w:pPr>
              <w:pStyle w:val="ESTablebody"/>
              <w:rPr>
                <w:rFonts w:ascii="Calibri" w:hAnsi="Calibri" w:cs="Calibri"/>
                <w:sz w:val="22"/>
                <w:szCs w:val="22"/>
              </w:rPr>
            </w:pPr>
            <w:r w:rsidRPr="005734B8">
              <w:rPr>
                <w:rFonts w:ascii="Calibri" w:hAnsi="Calibri" w:cs="Calibri"/>
                <w:sz w:val="22"/>
                <w:szCs w:val="22"/>
                <w:lang w:val="en-AU"/>
              </w:rPr>
              <w:t>Paper and card (kg)</w:t>
            </w:r>
          </w:p>
        </w:tc>
        <w:tc>
          <w:tcPr>
            <w:tcW w:w="1389" w:type="dxa"/>
            <w:tcBorders>
              <w:top w:val="single" w:sz="4" w:space="0" w:color="53565A" w:themeColor="accent5"/>
              <w:bottom w:val="single" w:sz="4" w:space="0" w:color="53565A" w:themeColor="accent5"/>
            </w:tcBorders>
            <w:shd w:val="clear" w:color="auto" w:fill="D9D9D6" w:themeFill="accent6"/>
          </w:tcPr>
          <w:p w14:paraId="782E1216" w14:textId="77777777" w:rsidR="00F30FCD" w:rsidRPr="005734B8" w:rsidRDefault="00F30FCD" w:rsidP="00F30FCD">
            <w:pPr>
              <w:pStyle w:val="ESTablenumberrightaligned"/>
              <w:rPr>
                <w:rFonts w:ascii="Calibri" w:hAnsi="Calibri" w:cs="Calibri"/>
                <w:sz w:val="22"/>
                <w:szCs w:val="22"/>
                <w:highlight w:val="red"/>
              </w:rPr>
            </w:pPr>
            <w:r w:rsidRPr="005734B8">
              <w:rPr>
                <w:rFonts w:ascii="Calibri" w:hAnsi="Calibri" w:cs="Calibri"/>
                <w:sz w:val="22"/>
                <w:szCs w:val="22"/>
              </w:rPr>
              <w:t>6,277</w:t>
            </w:r>
          </w:p>
        </w:tc>
        <w:tc>
          <w:tcPr>
            <w:tcW w:w="1363" w:type="dxa"/>
            <w:tcBorders>
              <w:top w:val="single" w:sz="4" w:space="0" w:color="53565A" w:themeColor="accent5"/>
              <w:bottom w:val="single" w:sz="4" w:space="0" w:color="53565A" w:themeColor="accent5"/>
            </w:tcBorders>
            <w:shd w:val="clear" w:color="auto" w:fill="FFFFFF" w:themeFill="background1"/>
          </w:tcPr>
          <w:p w14:paraId="1A78E03D"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15,486</w:t>
            </w:r>
          </w:p>
        </w:tc>
        <w:tc>
          <w:tcPr>
            <w:tcW w:w="1637" w:type="dxa"/>
            <w:tcBorders>
              <w:top w:val="single" w:sz="4" w:space="0" w:color="53565A" w:themeColor="accent5"/>
              <w:bottom w:val="single" w:sz="4" w:space="0" w:color="53565A" w:themeColor="accent5"/>
            </w:tcBorders>
          </w:tcPr>
          <w:p w14:paraId="2A3F3C95"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19,666</w:t>
            </w:r>
          </w:p>
        </w:tc>
      </w:tr>
      <w:tr w:rsidR="00F30FCD" w:rsidRPr="005734B8" w14:paraId="303C715C" w14:textId="77777777" w:rsidTr="00F30FCD">
        <w:trPr>
          <w:cantSplit/>
        </w:trPr>
        <w:tc>
          <w:tcPr>
            <w:tcW w:w="3532" w:type="dxa"/>
            <w:tcBorders>
              <w:top w:val="single" w:sz="4" w:space="0" w:color="53565A" w:themeColor="accent5"/>
              <w:bottom w:val="single" w:sz="4" w:space="0" w:color="53565A" w:themeColor="accent5"/>
            </w:tcBorders>
            <w:shd w:val="clear" w:color="auto" w:fill="auto"/>
            <w:vAlign w:val="center"/>
          </w:tcPr>
          <w:p w14:paraId="4D4EDFA3" w14:textId="77777777" w:rsidR="00F30FCD" w:rsidRPr="005734B8" w:rsidRDefault="00F30FCD" w:rsidP="00F30FCD">
            <w:pPr>
              <w:pStyle w:val="ESTablebody"/>
              <w:rPr>
                <w:rFonts w:ascii="Calibri" w:hAnsi="Calibri" w:cs="Calibri"/>
                <w:sz w:val="22"/>
                <w:szCs w:val="22"/>
                <w:lang w:val="en-AU"/>
              </w:rPr>
            </w:pPr>
            <w:r w:rsidRPr="005734B8">
              <w:rPr>
                <w:rFonts w:ascii="Calibri" w:hAnsi="Calibri" w:cs="Calibri"/>
                <w:sz w:val="22"/>
                <w:szCs w:val="22"/>
                <w:lang w:val="en-AU"/>
              </w:rPr>
              <w:t>Secure documents (kg)</w:t>
            </w:r>
          </w:p>
        </w:tc>
        <w:tc>
          <w:tcPr>
            <w:tcW w:w="1389" w:type="dxa"/>
            <w:tcBorders>
              <w:top w:val="single" w:sz="4" w:space="0" w:color="53565A" w:themeColor="accent5"/>
              <w:bottom w:val="single" w:sz="4" w:space="0" w:color="53565A" w:themeColor="accent5"/>
            </w:tcBorders>
            <w:shd w:val="clear" w:color="auto" w:fill="D9D9D6" w:themeFill="accent6"/>
          </w:tcPr>
          <w:p w14:paraId="65E6572A" w14:textId="77777777" w:rsidR="00F30FCD" w:rsidRPr="005734B8" w:rsidRDefault="00F30FCD" w:rsidP="00F30FCD">
            <w:pPr>
              <w:pStyle w:val="ESTablenumberrightaligned"/>
              <w:rPr>
                <w:rFonts w:ascii="Calibri" w:hAnsi="Calibri" w:cs="Calibri"/>
                <w:sz w:val="22"/>
                <w:szCs w:val="22"/>
                <w:highlight w:val="red"/>
              </w:rPr>
            </w:pPr>
            <w:r w:rsidRPr="005734B8">
              <w:rPr>
                <w:rFonts w:ascii="Calibri" w:hAnsi="Calibri" w:cs="Calibri"/>
                <w:sz w:val="22"/>
                <w:szCs w:val="22"/>
              </w:rPr>
              <w:t>54,105</w:t>
            </w:r>
          </w:p>
        </w:tc>
        <w:tc>
          <w:tcPr>
            <w:tcW w:w="1363" w:type="dxa"/>
            <w:tcBorders>
              <w:top w:val="single" w:sz="4" w:space="0" w:color="53565A" w:themeColor="accent5"/>
              <w:bottom w:val="single" w:sz="4" w:space="0" w:color="53565A" w:themeColor="accent5"/>
            </w:tcBorders>
            <w:shd w:val="clear" w:color="auto" w:fill="FFFFFF" w:themeFill="background1"/>
          </w:tcPr>
          <w:p w14:paraId="50AAD620" w14:textId="77777777" w:rsidR="00F30FCD" w:rsidRPr="005734B8" w:rsidRDefault="00F30FCD" w:rsidP="00F30FCD">
            <w:pPr>
              <w:pStyle w:val="ESTablenumberrightaligned"/>
              <w:rPr>
                <w:rFonts w:ascii="Calibri" w:hAnsi="Calibri" w:cs="Calibri"/>
                <w:color w:val="000000"/>
                <w:sz w:val="22"/>
                <w:szCs w:val="22"/>
              </w:rPr>
            </w:pPr>
            <w:r w:rsidRPr="005734B8">
              <w:rPr>
                <w:rFonts w:ascii="Calibri" w:hAnsi="Calibri" w:cs="Calibri"/>
                <w:sz w:val="22"/>
                <w:szCs w:val="22"/>
              </w:rPr>
              <w:t>31,987</w:t>
            </w:r>
          </w:p>
        </w:tc>
        <w:tc>
          <w:tcPr>
            <w:tcW w:w="1637" w:type="dxa"/>
            <w:tcBorders>
              <w:top w:val="single" w:sz="4" w:space="0" w:color="53565A" w:themeColor="accent5"/>
              <w:bottom w:val="single" w:sz="4" w:space="0" w:color="53565A" w:themeColor="accent5"/>
            </w:tcBorders>
          </w:tcPr>
          <w:p w14:paraId="44E56ABB" w14:textId="16D06CB3" w:rsidR="00F30FCD" w:rsidRPr="005734B8" w:rsidRDefault="000F58D2" w:rsidP="00F30FCD">
            <w:pPr>
              <w:pStyle w:val="ESTablenumberrightaligned"/>
              <w:rPr>
                <w:rFonts w:ascii="Calibri" w:hAnsi="Calibri" w:cs="Calibri"/>
                <w:color w:val="000000"/>
                <w:sz w:val="22"/>
                <w:szCs w:val="22"/>
              </w:rPr>
            </w:pPr>
            <w:r w:rsidRPr="005734B8">
              <w:rPr>
                <w:rFonts w:ascii="Calibri" w:hAnsi="Calibri" w:cs="Calibri"/>
                <w:color w:val="000000"/>
                <w:sz w:val="22"/>
                <w:szCs w:val="22"/>
              </w:rPr>
              <w:t>–</w:t>
            </w:r>
          </w:p>
        </w:tc>
      </w:tr>
      <w:tr w:rsidR="00F30FCD" w:rsidRPr="005734B8" w14:paraId="6ABA3DEC" w14:textId="77777777" w:rsidTr="00F30FCD">
        <w:trPr>
          <w:cantSplit/>
        </w:trPr>
        <w:tc>
          <w:tcPr>
            <w:tcW w:w="3532" w:type="dxa"/>
            <w:tcBorders>
              <w:top w:val="single" w:sz="4" w:space="0" w:color="53565A" w:themeColor="accent5"/>
              <w:bottom w:val="single" w:sz="4" w:space="0" w:color="53565A" w:themeColor="accent5"/>
            </w:tcBorders>
            <w:shd w:val="clear" w:color="auto" w:fill="auto"/>
            <w:vAlign w:val="center"/>
          </w:tcPr>
          <w:p w14:paraId="19D59FB4" w14:textId="77777777" w:rsidR="00F30FCD" w:rsidRPr="005734B8" w:rsidRDefault="00F30FCD" w:rsidP="00F30FCD">
            <w:pPr>
              <w:pStyle w:val="ESTablebody"/>
              <w:rPr>
                <w:rFonts w:ascii="Calibri" w:hAnsi="Calibri" w:cs="Calibri"/>
                <w:sz w:val="22"/>
                <w:szCs w:val="22"/>
              </w:rPr>
            </w:pPr>
            <w:r w:rsidRPr="005734B8">
              <w:rPr>
                <w:rFonts w:ascii="Calibri" w:hAnsi="Calibri" w:cs="Calibri"/>
                <w:sz w:val="22"/>
                <w:szCs w:val="22"/>
                <w:lang w:val="en-AU"/>
              </w:rPr>
              <w:t>Organics (kg)</w:t>
            </w:r>
          </w:p>
        </w:tc>
        <w:tc>
          <w:tcPr>
            <w:tcW w:w="1389" w:type="dxa"/>
            <w:tcBorders>
              <w:top w:val="single" w:sz="4" w:space="0" w:color="53565A" w:themeColor="accent5"/>
              <w:bottom w:val="single" w:sz="4" w:space="0" w:color="53565A" w:themeColor="accent5"/>
            </w:tcBorders>
            <w:shd w:val="clear" w:color="auto" w:fill="D9D9D6" w:themeFill="accent6"/>
          </w:tcPr>
          <w:p w14:paraId="335C8898" w14:textId="77777777" w:rsidR="00F30FCD" w:rsidRPr="005734B8" w:rsidRDefault="00F30FCD" w:rsidP="00F30FCD">
            <w:pPr>
              <w:pStyle w:val="ESTablenumberrightaligned"/>
              <w:rPr>
                <w:rFonts w:ascii="Calibri" w:hAnsi="Calibri" w:cs="Calibri"/>
                <w:sz w:val="22"/>
                <w:szCs w:val="22"/>
                <w:highlight w:val="red"/>
              </w:rPr>
            </w:pPr>
            <w:r w:rsidRPr="005734B8">
              <w:rPr>
                <w:rFonts w:ascii="Calibri" w:hAnsi="Calibri" w:cs="Calibri"/>
                <w:sz w:val="22"/>
                <w:szCs w:val="22"/>
              </w:rPr>
              <w:t>7,378</w:t>
            </w:r>
          </w:p>
        </w:tc>
        <w:tc>
          <w:tcPr>
            <w:tcW w:w="1363" w:type="dxa"/>
            <w:tcBorders>
              <w:top w:val="single" w:sz="4" w:space="0" w:color="53565A" w:themeColor="accent5"/>
              <w:bottom w:val="single" w:sz="4" w:space="0" w:color="53565A" w:themeColor="accent5"/>
            </w:tcBorders>
            <w:shd w:val="clear" w:color="auto" w:fill="FFFFFF" w:themeFill="background1"/>
          </w:tcPr>
          <w:p w14:paraId="7FF0FEA4"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6,212</w:t>
            </w:r>
          </w:p>
        </w:tc>
        <w:tc>
          <w:tcPr>
            <w:tcW w:w="1637" w:type="dxa"/>
            <w:tcBorders>
              <w:top w:val="single" w:sz="4" w:space="0" w:color="53565A" w:themeColor="accent5"/>
              <w:bottom w:val="single" w:sz="4" w:space="0" w:color="53565A" w:themeColor="accent5"/>
            </w:tcBorders>
          </w:tcPr>
          <w:p w14:paraId="5B65C819"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13,373</w:t>
            </w:r>
          </w:p>
        </w:tc>
      </w:tr>
      <w:tr w:rsidR="00F30FCD" w:rsidRPr="005734B8" w14:paraId="2FE4EB4F" w14:textId="77777777" w:rsidTr="00F30FCD">
        <w:trPr>
          <w:cantSplit/>
        </w:trPr>
        <w:tc>
          <w:tcPr>
            <w:tcW w:w="3532" w:type="dxa"/>
            <w:tcBorders>
              <w:top w:val="single" w:sz="4" w:space="0" w:color="53565A" w:themeColor="accent5"/>
              <w:bottom w:val="single" w:sz="4" w:space="0" w:color="53565A" w:themeColor="accent5"/>
            </w:tcBorders>
            <w:shd w:val="clear" w:color="auto" w:fill="D9D9D6" w:themeFill="accent6"/>
            <w:vAlign w:val="center"/>
          </w:tcPr>
          <w:p w14:paraId="05E67495" w14:textId="77777777" w:rsidR="00F30FCD" w:rsidRPr="005734B8" w:rsidRDefault="00F30FCD" w:rsidP="00F30FCD">
            <w:pPr>
              <w:pStyle w:val="ESTablebody"/>
              <w:rPr>
                <w:rFonts w:ascii="Calibri" w:hAnsi="Calibri" w:cs="Calibri"/>
                <w:b/>
                <w:sz w:val="22"/>
                <w:szCs w:val="22"/>
              </w:rPr>
            </w:pPr>
            <w:r w:rsidRPr="005734B8">
              <w:rPr>
                <w:rFonts w:ascii="Calibri" w:hAnsi="Calibri" w:cs="Calibri"/>
                <w:b/>
                <w:sz w:val="22"/>
                <w:szCs w:val="22"/>
                <w:lang w:val="en-AU"/>
              </w:rPr>
              <w:t>Ws2: Total units of waste disposed of per FTE by destination (kg/FTE)</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7513368B" w14:textId="77777777" w:rsidR="00F30FCD" w:rsidRPr="005734B8" w:rsidRDefault="00F30FCD" w:rsidP="00F30FCD">
            <w:pPr>
              <w:pStyle w:val="ESTablenumberrightaligned"/>
              <w:rPr>
                <w:rFonts w:ascii="Calibri" w:hAnsi="Calibri" w:cs="Calibri"/>
                <w:b/>
                <w:sz w:val="22"/>
                <w:szCs w:val="22"/>
              </w:rPr>
            </w:pPr>
            <w:r w:rsidRPr="005734B8">
              <w:rPr>
                <w:rFonts w:ascii="Calibri" w:hAnsi="Calibri" w:cs="Calibri"/>
                <w:b/>
                <w:sz w:val="22"/>
                <w:szCs w:val="22"/>
              </w:rPr>
              <w:t>45</w:t>
            </w:r>
          </w:p>
        </w:tc>
        <w:tc>
          <w:tcPr>
            <w:tcW w:w="1363" w:type="dxa"/>
            <w:tcBorders>
              <w:top w:val="single" w:sz="4" w:space="0" w:color="53565A" w:themeColor="accent5"/>
              <w:bottom w:val="single" w:sz="4" w:space="0" w:color="53565A" w:themeColor="accent5"/>
            </w:tcBorders>
            <w:shd w:val="clear" w:color="auto" w:fill="D9D9D6" w:themeFill="accent6"/>
            <w:vAlign w:val="center"/>
          </w:tcPr>
          <w:p w14:paraId="7D205818"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b/>
                <w:sz w:val="22"/>
                <w:szCs w:val="22"/>
              </w:rPr>
              <w:t>46</w:t>
            </w:r>
          </w:p>
        </w:tc>
        <w:tc>
          <w:tcPr>
            <w:tcW w:w="1637" w:type="dxa"/>
            <w:tcBorders>
              <w:top w:val="single" w:sz="4" w:space="0" w:color="53565A" w:themeColor="accent5"/>
              <w:bottom w:val="single" w:sz="4" w:space="0" w:color="53565A" w:themeColor="accent5"/>
            </w:tcBorders>
            <w:shd w:val="clear" w:color="auto" w:fill="D9D9D6" w:themeFill="accent6"/>
            <w:vAlign w:val="center"/>
          </w:tcPr>
          <w:p w14:paraId="5CE09C9C"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b/>
                <w:sz w:val="22"/>
                <w:szCs w:val="22"/>
              </w:rPr>
              <w:t>51</w:t>
            </w:r>
          </w:p>
        </w:tc>
      </w:tr>
      <w:tr w:rsidR="00F30FCD" w:rsidRPr="005734B8" w14:paraId="456EB42F" w14:textId="77777777" w:rsidTr="00F30FCD">
        <w:trPr>
          <w:cantSplit/>
        </w:trPr>
        <w:tc>
          <w:tcPr>
            <w:tcW w:w="3532" w:type="dxa"/>
            <w:tcBorders>
              <w:top w:val="single" w:sz="4" w:space="0" w:color="53565A" w:themeColor="accent5"/>
              <w:bottom w:val="single" w:sz="4" w:space="0" w:color="53565A" w:themeColor="accent5"/>
            </w:tcBorders>
            <w:shd w:val="clear" w:color="auto" w:fill="auto"/>
            <w:vAlign w:val="center"/>
          </w:tcPr>
          <w:p w14:paraId="7C23F8FB" w14:textId="77777777" w:rsidR="00F30FCD" w:rsidRPr="005734B8" w:rsidRDefault="00F30FCD" w:rsidP="00F30FCD">
            <w:pPr>
              <w:pStyle w:val="ESTablebody"/>
              <w:rPr>
                <w:rFonts w:ascii="Calibri" w:hAnsi="Calibri" w:cs="Calibri"/>
                <w:sz w:val="22"/>
                <w:szCs w:val="22"/>
              </w:rPr>
            </w:pPr>
            <w:r w:rsidRPr="005734B8">
              <w:rPr>
                <w:rFonts w:ascii="Calibri" w:hAnsi="Calibri" w:cs="Calibri"/>
                <w:sz w:val="22"/>
                <w:szCs w:val="22"/>
                <w:lang w:val="en-AU"/>
              </w:rPr>
              <w:t>Landfill (kg/FTE)</w:t>
            </w:r>
          </w:p>
        </w:tc>
        <w:tc>
          <w:tcPr>
            <w:tcW w:w="1389" w:type="dxa"/>
            <w:tcBorders>
              <w:top w:val="single" w:sz="4" w:space="0" w:color="53565A" w:themeColor="accent5"/>
              <w:bottom w:val="single" w:sz="4" w:space="0" w:color="53565A" w:themeColor="accent5"/>
            </w:tcBorders>
            <w:shd w:val="clear" w:color="auto" w:fill="D9D9D6" w:themeFill="accent6"/>
          </w:tcPr>
          <w:p w14:paraId="0B13B9BC"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13</w:t>
            </w:r>
          </w:p>
        </w:tc>
        <w:tc>
          <w:tcPr>
            <w:tcW w:w="1363" w:type="dxa"/>
            <w:tcBorders>
              <w:top w:val="single" w:sz="4" w:space="0" w:color="53565A" w:themeColor="accent5"/>
              <w:bottom w:val="single" w:sz="4" w:space="0" w:color="53565A" w:themeColor="accent5"/>
            </w:tcBorders>
            <w:shd w:val="clear" w:color="auto" w:fill="FFFFFF" w:themeFill="background1"/>
          </w:tcPr>
          <w:p w14:paraId="0EC92137"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18</w:t>
            </w:r>
          </w:p>
        </w:tc>
        <w:tc>
          <w:tcPr>
            <w:tcW w:w="1637" w:type="dxa"/>
            <w:tcBorders>
              <w:top w:val="single" w:sz="4" w:space="0" w:color="53565A" w:themeColor="accent5"/>
              <w:bottom w:val="single" w:sz="4" w:space="0" w:color="53565A" w:themeColor="accent5"/>
            </w:tcBorders>
          </w:tcPr>
          <w:p w14:paraId="550BEC22"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22</w:t>
            </w:r>
          </w:p>
        </w:tc>
      </w:tr>
      <w:tr w:rsidR="00F30FCD" w:rsidRPr="005734B8" w14:paraId="63021CE2" w14:textId="77777777" w:rsidTr="00F30FCD">
        <w:trPr>
          <w:cantSplit/>
        </w:trPr>
        <w:tc>
          <w:tcPr>
            <w:tcW w:w="3532" w:type="dxa"/>
            <w:tcBorders>
              <w:top w:val="single" w:sz="4" w:space="0" w:color="53565A" w:themeColor="accent5"/>
              <w:bottom w:val="single" w:sz="4" w:space="0" w:color="53565A" w:themeColor="accent5"/>
            </w:tcBorders>
            <w:shd w:val="clear" w:color="auto" w:fill="auto"/>
            <w:vAlign w:val="center"/>
          </w:tcPr>
          <w:p w14:paraId="43035520" w14:textId="77777777" w:rsidR="00F30FCD" w:rsidRPr="005734B8" w:rsidRDefault="00F30FCD" w:rsidP="00F30FCD">
            <w:pPr>
              <w:pStyle w:val="ESTablebody"/>
              <w:rPr>
                <w:rFonts w:ascii="Calibri" w:hAnsi="Calibri" w:cs="Calibri"/>
                <w:sz w:val="22"/>
                <w:szCs w:val="22"/>
              </w:rPr>
            </w:pPr>
            <w:r w:rsidRPr="005734B8">
              <w:rPr>
                <w:rFonts w:ascii="Calibri" w:hAnsi="Calibri" w:cs="Calibri"/>
                <w:sz w:val="22"/>
                <w:szCs w:val="22"/>
                <w:lang w:val="en-AU"/>
              </w:rPr>
              <w:lastRenderedPageBreak/>
              <w:t>Comingled recycling (kg/FTE)</w:t>
            </w:r>
          </w:p>
        </w:tc>
        <w:tc>
          <w:tcPr>
            <w:tcW w:w="1389" w:type="dxa"/>
            <w:tcBorders>
              <w:top w:val="single" w:sz="4" w:space="0" w:color="53565A" w:themeColor="accent5"/>
              <w:bottom w:val="single" w:sz="4" w:space="0" w:color="53565A" w:themeColor="accent5"/>
            </w:tcBorders>
            <w:shd w:val="clear" w:color="auto" w:fill="D9D9D6" w:themeFill="accent6"/>
          </w:tcPr>
          <w:p w14:paraId="71E59599"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4</w:t>
            </w:r>
          </w:p>
        </w:tc>
        <w:tc>
          <w:tcPr>
            <w:tcW w:w="1363" w:type="dxa"/>
            <w:tcBorders>
              <w:top w:val="single" w:sz="4" w:space="0" w:color="53565A" w:themeColor="accent5"/>
              <w:bottom w:val="single" w:sz="4" w:space="0" w:color="53565A" w:themeColor="accent5"/>
            </w:tcBorders>
            <w:shd w:val="clear" w:color="auto" w:fill="FFFFFF" w:themeFill="background1"/>
          </w:tcPr>
          <w:p w14:paraId="0FA8FAC8"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5</w:t>
            </w:r>
          </w:p>
        </w:tc>
        <w:tc>
          <w:tcPr>
            <w:tcW w:w="1637" w:type="dxa"/>
            <w:tcBorders>
              <w:top w:val="single" w:sz="4" w:space="0" w:color="53565A" w:themeColor="accent5"/>
              <w:bottom w:val="single" w:sz="4" w:space="0" w:color="53565A" w:themeColor="accent5"/>
            </w:tcBorders>
          </w:tcPr>
          <w:p w14:paraId="60A98938"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9</w:t>
            </w:r>
          </w:p>
        </w:tc>
      </w:tr>
      <w:tr w:rsidR="00F30FCD" w:rsidRPr="005734B8" w14:paraId="1A85106E" w14:textId="77777777" w:rsidTr="00F30FCD">
        <w:trPr>
          <w:cantSplit/>
        </w:trPr>
        <w:tc>
          <w:tcPr>
            <w:tcW w:w="3532" w:type="dxa"/>
            <w:tcBorders>
              <w:top w:val="single" w:sz="4" w:space="0" w:color="53565A" w:themeColor="accent5"/>
              <w:bottom w:val="single" w:sz="4" w:space="0" w:color="53565A" w:themeColor="accent5"/>
            </w:tcBorders>
            <w:shd w:val="clear" w:color="auto" w:fill="auto"/>
            <w:vAlign w:val="center"/>
          </w:tcPr>
          <w:p w14:paraId="631AE763" w14:textId="77777777" w:rsidR="00F30FCD" w:rsidRPr="005734B8" w:rsidRDefault="00F30FCD" w:rsidP="00F30FCD">
            <w:pPr>
              <w:pStyle w:val="ESTablebody"/>
              <w:rPr>
                <w:rFonts w:ascii="Calibri" w:hAnsi="Calibri" w:cs="Calibri"/>
                <w:sz w:val="22"/>
                <w:szCs w:val="22"/>
                <w:lang w:val="en-AU"/>
              </w:rPr>
            </w:pPr>
            <w:r w:rsidRPr="005734B8">
              <w:rPr>
                <w:rFonts w:ascii="Calibri" w:hAnsi="Calibri" w:cs="Calibri"/>
                <w:sz w:val="22"/>
                <w:szCs w:val="22"/>
                <w:lang w:val="en-AU"/>
              </w:rPr>
              <w:t>Paper and card (kg/FTE)</w:t>
            </w:r>
          </w:p>
        </w:tc>
        <w:tc>
          <w:tcPr>
            <w:tcW w:w="1389" w:type="dxa"/>
            <w:tcBorders>
              <w:top w:val="single" w:sz="4" w:space="0" w:color="53565A" w:themeColor="accent5"/>
              <w:bottom w:val="single" w:sz="4" w:space="0" w:color="53565A" w:themeColor="accent5"/>
            </w:tcBorders>
            <w:shd w:val="clear" w:color="auto" w:fill="D9D9D6" w:themeFill="accent6"/>
          </w:tcPr>
          <w:p w14:paraId="1A2BA047"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5</w:t>
            </w:r>
          </w:p>
        </w:tc>
        <w:tc>
          <w:tcPr>
            <w:tcW w:w="1363" w:type="dxa"/>
            <w:tcBorders>
              <w:top w:val="single" w:sz="4" w:space="0" w:color="53565A" w:themeColor="accent5"/>
              <w:bottom w:val="single" w:sz="4" w:space="0" w:color="53565A" w:themeColor="accent5"/>
            </w:tcBorders>
            <w:shd w:val="clear" w:color="auto" w:fill="FFFFFF" w:themeFill="background1"/>
          </w:tcPr>
          <w:p w14:paraId="16B07912" w14:textId="77777777" w:rsidR="00F30FCD" w:rsidRPr="005734B8" w:rsidRDefault="00F30FCD" w:rsidP="00F30FCD">
            <w:pPr>
              <w:pStyle w:val="ESTablenumberrightaligned"/>
              <w:rPr>
                <w:rFonts w:ascii="Calibri" w:hAnsi="Calibri" w:cs="Calibri"/>
                <w:sz w:val="22"/>
                <w:szCs w:val="22"/>
                <w:lang w:val="en-AU"/>
              </w:rPr>
            </w:pPr>
            <w:r w:rsidRPr="005734B8">
              <w:rPr>
                <w:rFonts w:ascii="Calibri" w:hAnsi="Calibri" w:cs="Calibri"/>
                <w:sz w:val="22"/>
                <w:szCs w:val="22"/>
              </w:rPr>
              <w:t>7</w:t>
            </w:r>
          </w:p>
        </w:tc>
        <w:tc>
          <w:tcPr>
            <w:tcW w:w="1637" w:type="dxa"/>
            <w:tcBorders>
              <w:top w:val="single" w:sz="4" w:space="0" w:color="53565A" w:themeColor="accent5"/>
              <w:bottom w:val="single" w:sz="4" w:space="0" w:color="53565A" w:themeColor="accent5"/>
            </w:tcBorders>
          </w:tcPr>
          <w:p w14:paraId="0B2160A3" w14:textId="77777777" w:rsidR="00F30FCD" w:rsidRPr="005734B8" w:rsidRDefault="00F30FCD" w:rsidP="00F30FCD">
            <w:pPr>
              <w:pStyle w:val="ESTablenumberrightaligned"/>
              <w:rPr>
                <w:rFonts w:ascii="Calibri" w:hAnsi="Calibri" w:cs="Calibri"/>
                <w:color w:val="000000"/>
                <w:sz w:val="22"/>
                <w:szCs w:val="22"/>
              </w:rPr>
            </w:pPr>
            <w:r w:rsidRPr="005734B8">
              <w:rPr>
                <w:rFonts w:ascii="Calibri" w:hAnsi="Calibri" w:cs="Calibri"/>
                <w:sz w:val="22"/>
                <w:szCs w:val="22"/>
              </w:rPr>
              <w:t>11</w:t>
            </w:r>
          </w:p>
        </w:tc>
      </w:tr>
      <w:tr w:rsidR="00F30FCD" w:rsidRPr="005734B8" w14:paraId="5276E11C" w14:textId="77777777" w:rsidTr="00F30FCD">
        <w:trPr>
          <w:cantSplit/>
        </w:trPr>
        <w:tc>
          <w:tcPr>
            <w:tcW w:w="3532" w:type="dxa"/>
            <w:tcBorders>
              <w:top w:val="single" w:sz="4" w:space="0" w:color="53565A" w:themeColor="accent5"/>
              <w:bottom w:val="single" w:sz="4" w:space="0" w:color="53565A" w:themeColor="accent5"/>
            </w:tcBorders>
            <w:shd w:val="clear" w:color="auto" w:fill="auto"/>
            <w:vAlign w:val="center"/>
          </w:tcPr>
          <w:p w14:paraId="7DD3FCD0" w14:textId="77777777" w:rsidR="00F30FCD" w:rsidRPr="005734B8" w:rsidRDefault="00F30FCD" w:rsidP="00F30FCD">
            <w:pPr>
              <w:pStyle w:val="ESTablebody"/>
              <w:rPr>
                <w:rFonts w:ascii="Calibri" w:hAnsi="Calibri" w:cs="Calibri"/>
                <w:sz w:val="22"/>
                <w:szCs w:val="22"/>
                <w:lang w:val="en-AU"/>
              </w:rPr>
            </w:pPr>
            <w:r w:rsidRPr="005734B8">
              <w:rPr>
                <w:rFonts w:ascii="Calibri" w:hAnsi="Calibri" w:cs="Calibri"/>
                <w:sz w:val="22"/>
                <w:szCs w:val="22"/>
                <w:lang w:val="en-AU"/>
              </w:rPr>
              <w:t>Secure documents (kg/FTE)</w:t>
            </w:r>
          </w:p>
        </w:tc>
        <w:tc>
          <w:tcPr>
            <w:tcW w:w="1389" w:type="dxa"/>
            <w:tcBorders>
              <w:top w:val="single" w:sz="4" w:space="0" w:color="53565A" w:themeColor="accent5"/>
              <w:bottom w:val="single" w:sz="4" w:space="0" w:color="53565A" w:themeColor="accent5"/>
            </w:tcBorders>
            <w:shd w:val="clear" w:color="auto" w:fill="D9D9D6" w:themeFill="accent6"/>
          </w:tcPr>
          <w:p w14:paraId="4896A1E3"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17</w:t>
            </w:r>
          </w:p>
        </w:tc>
        <w:tc>
          <w:tcPr>
            <w:tcW w:w="1363" w:type="dxa"/>
            <w:tcBorders>
              <w:top w:val="single" w:sz="4" w:space="0" w:color="53565A" w:themeColor="accent5"/>
              <w:bottom w:val="single" w:sz="4" w:space="0" w:color="53565A" w:themeColor="accent5"/>
            </w:tcBorders>
            <w:shd w:val="clear" w:color="auto" w:fill="FFFFFF" w:themeFill="background1"/>
          </w:tcPr>
          <w:p w14:paraId="55CD51B6" w14:textId="77777777" w:rsidR="00F30FCD" w:rsidRPr="005734B8" w:rsidRDefault="00F30FCD" w:rsidP="00F30FCD">
            <w:pPr>
              <w:pStyle w:val="ESTablenumberrightaligned"/>
              <w:rPr>
                <w:rFonts w:ascii="Calibri" w:hAnsi="Calibri" w:cs="Calibri"/>
                <w:sz w:val="22"/>
                <w:szCs w:val="22"/>
                <w:lang w:val="en-AU"/>
              </w:rPr>
            </w:pPr>
            <w:r w:rsidRPr="005734B8">
              <w:rPr>
                <w:rFonts w:ascii="Calibri" w:hAnsi="Calibri" w:cs="Calibri"/>
                <w:sz w:val="22"/>
                <w:szCs w:val="22"/>
              </w:rPr>
              <w:t>14</w:t>
            </w:r>
          </w:p>
        </w:tc>
        <w:tc>
          <w:tcPr>
            <w:tcW w:w="1637" w:type="dxa"/>
            <w:tcBorders>
              <w:top w:val="single" w:sz="4" w:space="0" w:color="53565A" w:themeColor="accent5"/>
              <w:bottom w:val="single" w:sz="4" w:space="0" w:color="53565A" w:themeColor="accent5"/>
            </w:tcBorders>
          </w:tcPr>
          <w:p w14:paraId="40C4A190" w14:textId="36946737" w:rsidR="00F30FCD" w:rsidRPr="005734B8" w:rsidRDefault="000F58D2" w:rsidP="00F30FCD">
            <w:pPr>
              <w:pStyle w:val="ESTablenumberrightaligned"/>
              <w:rPr>
                <w:rFonts w:ascii="Calibri" w:hAnsi="Calibri" w:cs="Calibri"/>
                <w:color w:val="000000"/>
                <w:sz w:val="22"/>
                <w:szCs w:val="22"/>
              </w:rPr>
            </w:pPr>
            <w:r w:rsidRPr="005734B8">
              <w:rPr>
                <w:rFonts w:ascii="Calibri" w:hAnsi="Calibri" w:cs="Calibri"/>
                <w:color w:val="000000"/>
                <w:sz w:val="22"/>
                <w:szCs w:val="22"/>
              </w:rPr>
              <w:t>–</w:t>
            </w:r>
          </w:p>
        </w:tc>
      </w:tr>
      <w:tr w:rsidR="00F30FCD" w:rsidRPr="005734B8" w14:paraId="601F46A5" w14:textId="77777777" w:rsidTr="00F30FCD">
        <w:trPr>
          <w:cantSplit/>
        </w:trPr>
        <w:tc>
          <w:tcPr>
            <w:tcW w:w="3532" w:type="dxa"/>
            <w:tcBorders>
              <w:top w:val="single" w:sz="4" w:space="0" w:color="53565A" w:themeColor="accent5"/>
              <w:bottom w:val="single" w:sz="18" w:space="0" w:color="53565A" w:themeColor="accent5"/>
            </w:tcBorders>
            <w:shd w:val="clear" w:color="auto" w:fill="auto"/>
            <w:vAlign w:val="center"/>
          </w:tcPr>
          <w:p w14:paraId="35A6DA2C" w14:textId="77777777" w:rsidR="00F30FCD" w:rsidRPr="005734B8" w:rsidRDefault="00F30FCD" w:rsidP="00F30FCD">
            <w:pPr>
              <w:pStyle w:val="ESTablebody"/>
              <w:rPr>
                <w:rFonts w:ascii="Calibri" w:hAnsi="Calibri" w:cs="Calibri"/>
                <w:sz w:val="22"/>
                <w:szCs w:val="22"/>
              </w:rPr>
            </w:pPr>
            <w:r w:rsidRPr="005734B8">
              <w:rPr>
                <w:rFonts w:ascii="Calibri" w:hAnsi="Calibri" w:cs="Calibri"/>
                <w:sz w:val="22"/>
                <w:szCs w:val="22"/>
                <w:lang w:val="en-AU"/>
              </w:rPr>
              <w:t>Organics (kg/FTE)</w:t>
            </w:r>
          </w:p>
        </w:tc>
        <w:tc>
          <w:tcPr>
            <w:tcW w:w="1389" w:type="dxa"/>
            <w:tcBorders>
              <w:top w:val="single" w:sz="4" w:space="0" w:color="53565A" w:themeColor="accent5"/>
              <w:bottom w:val="single" w:sz="18" w:space="0" w:color="53565A" w:themeColor="accent5"/>
            </w:tcBorders>
            <w:shd w:val="clear" w:color="auto" w:fill="D9D9D6" w:themeFill="accent6"/>
          </w:tcPr>
          <w:p w14:paraId="5D0C8C25"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6</w:t>
            </w:r>
          </w:p>
        </w:tc>
        <w:tc>
          <w:tcPr>
            <w:tcW w:w="1363" w:type="dxa"/>
            <w:tcBorders>
              <w:top w:val="single" w:sz="4" w:space="0" w:color="53565A" w:themeColor="accent5"/>
              <w:bottom w:val="single" w:sz="18" w:space="0" w:color="53565A" w:themeColor="accent5"/>
            </w:tcBorders>
            <w:shd w:val="clear" w:color="auto" w:fill="FFFFFF" w:themeFill="background1"/>
          </w:tcPr>
          <w:p w14:paraId="45695031"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3</w:t>
            </w:r>
          </w:p>
        </w:tc>
        <w:tc>
          <w:tcPr>
            <w:tcW w:w="1637" w:type="dxa"/>
            <w:tcBorders>
              <w:top w:val="single" w:sz="4" w:space="0" w:color="53565A" w:themeColor="accent5"/>
              <w:bottom w:val="single" w:sz="18" w:space="0" w:color="53565A" w:themeColor="accent5"/>
            </w:tcBorders>
          </w:tcPr>
          <w:p w14:paraId="74363F17" w14:textId="77777777" w:rsidR="00F30FCD" w:rsidRPr="005734B8" w:rsidRDefault="00F30FCD" w:rsidP="00F30FCD">
            <w:pPr>
              <w:pStyle w:val="ESTablenumberrightaligned"/>
              <w:rPr>
                <w:rFonts w:ascii="Calibri" w:hAnsi="Calibri" w:cs="Calibri"/>
                <w:sz w:val="22"/>
                <w:szCs w:val="22"/>
              </w:rPr>
            </w:pPr>
            <w:r w:rsidRPr="005734B8">
              <w:rPr>
                <w:rFonts w:ascii="Calibri" w:hAnsi="Calibri" w:cs="Calibri"/>
                <w:sz w:val="22"/>
                <w:szCs w:val="22"/>
              </w:rPr>
              <w:t>8</w:t>
            </w:r>
          </w:p>
        </w:tc>
      </w:tr>
      <w:tr w:rsidR="00F30FCD" w:rsidRPr="005734B8" w14:paraId="1B52C6A3" w14:textId="77777777" w:rsidTr="00F30FCD">
        <w:trPr>
          <w:cantSplit/>
        </w:trPr>
        <w:tc>
          <w:tcPr>
            <w:tcW w:w="3532" w:type="dxa"/>
            <w:tcBorders>
              <w:top w:val="single" w:sz="18" w:space="0" w:color="53565A" w:themeColor="accent5"/>
              <w:bottom w:val="single" w:sz="18" w:space="0" w:color="53565A" w:themeColor="accent5"/>
            </w:tcBorders>
            <w:shd w:val="clear" w:color="auto" w:fill="D9D9D9" w:themeFill="background1" w:themeFillShade="D9"/>
            <w:vAlign w:val="center"/>
          </w:tcPr>
          <w:p w14:paraId="3E90348C" w14:textId="77777777" w:rsidR="00F30FCD" w:rsidRPr="005734B8" w:rsidRDefault="00F30FCD" w:rsidP="00F30FCD">
            <w:pPr>
              <w:pStyle w:val="ESTablebody"/>
              <w:rPr>
                <w:rFonts w:ascii="Calibri" w:hAnsi="Calibri" w:cs="Calibri"/>
                <w:b/>
                <w:sz w:val="22"/>
                <w:szCs w:val="22"/>
                <w:lang w:val="en-AU"/>
              </w:rPr>
            </w:pPr>
            <w:r w:rsidRPr="005734B8">
              <w:rPr>
                <w:rFonts w:ascii="Calibri" w:hAnsi="Calibri" w:cs="Calibri"/>
                <w:b/>
                <w:sz w:val="22"/>
                <w:szCs w:val="22"/>
                <w:lang w:val="en-AU"/>
              </w:rPr>
              <w:t>Ws3: Recycling rate (%)</w:t>
            </w:r>
          </w:p>
        </w:tc>
        <w:tc>
          <w:tcPr>
            <w:tcW w:w="1389" w:type="dxa"/>
            <w:tcBorders>
              <w:top w:val="single" w:sz="18" w:space="0" w:color="53565A" w:themeColor="accent5"/>
              <w:bottom w:val="single" w:sz="18" w:space="0" w:color="53565A" w:themeColor="accent5"/>
            </w:tcBorders>
            <w:shd w:val="clear" w:color="auto" w:fill="D9D9D9" w:themeFill="background1" w:themeFillShade="D9"/>
          </w:tcPr>
          <w:p w14:paraId="3D3CC74F" w14:textId="77777777" w:rsidR="00F30FCD" w:rsidRPr="005734B8" w:rsidRDefault="00F30FCD" w:rsidP="00F30FCD">
            <w:pPr>
              <w:pStyle w:val="ESTablenumberrightaligned"/>
              <w:rPr>
                <w:rFonts w:ascii="Calibri" w:hAnsi="Calibri" w:cs="Calibri"/>
                <w:b/>
                <w:sz w:val="22"/>
                <w:szCs w:val="22"/>
                <w:lang w:val="en-AU"/>
              </w:rPr>
            </w:pPr>
            <w:r w:rsidRPr="005734B8">
              <w:rPr>
                <w:rFonts w:ascii="Calibri" w:hAnsi="Calibri" w:cs="Calibri"/>
                <w:b/>
                <w:sz w:val="22"/>
                <w:szCs w:val="22"/>
                <w:lang w:val="en-AU"/>
              </w:rPr>
              <w:t>77</w:t>
            </w:r>
          </w:p>
        </w:tc>
        <w:tc>
          <w:tcPr>
            <w:tcW w:w="1363" w:type="dxa"/>
            <w:tcBorders>
              <w:top w:val="single" w:sz="18" w:space="0" w:color="53565A" w:themeColor="accent5"/>
              <w:bottom w:val="single" w:sz="18" w:space="0" w:color="53565A" w:themeColor="accent5"/>
            </w:tcBorders>
            <w:shd w:val="clear" w:color="auto" w:fill="D9D9D9" w:themeFill="background1" w:themeFillShade="D9"/>
          </w:tcPr>
          <w:p w14:paraId="5FB7037B" w14:textId="77777777" w:rsidR="00F30FCD" w:rsidRPr="005734B8" w:rsidRDefault="00F30FCD" w:rsidP="00F30FCD">
            <w:pPr>
              <w:pStyle w:val="ESTablenumberrightaligned"/>
              <w:rPr>
                <w:rFonts w:ascii="Calibri" w:hAnsi="Calibri" w:cs="Calibri"/>
                <w:b/>
                <w:sz w:val="22"/>
                <w:szCs w:val="22"/>
                <w:lang w:val="en-AU"/>
              </w:rPr>
            </w:pPr>
            <w:r w:rsidRPr="005734B8">
              <w:rPr>
                <w:rFonts w:ascii="Calibri" w:hAnsi="Calibri" w:cs="Calibri"/>
                <w:b/>
                <w:sz w:val="22"/>
                <w:szCs w:val="22"/>
                <w:lang w:val="en-AU"/>
              </w:rPr>
              <w:t>62</w:t>
            </w:r>
          </w:p>
        </w:tc>
        <w:tc>
          <w:tcPr>
            <w:tcW w:w="1637" w:type="dxa"/>
            <w:tcBorders>
              <w:top w:val="single" w:sz="18" w:space="0" w:color="53565A" w:themeColor="accent5"/>
              <w:bottom w:val="single" w:sz="18" w:space="0" w:color="53565A" w:themeColor="accent5"/>
            </w:tcBorders>
            <w:shd w:val="clear" w:color="auto" w:fill="D9D9D9" w:themeFill="background1" w:themeFillShade="D9"/>
          </w:tcPr>
          <w:p w14:paraId="0B0D611A" w14:textId="77777777" w:rsidR="00F30FCD" w:rsidRPr="005734B8" w:rsidRDefault="00F30FCD" w:rsidP="00F30FCD">
            <w:pPr>
              <w:pStyle w:val="ESTablenumberrightaligned"/>
              <w:rPr>
                <w:rFonts w:ascii="Calibri" w:hAnsi="Calibri" w:cs="Calibri"/>
                <w:b/>
                <w:sz w:val="22"/>
                <w:szCs w:val="22"/>
                <w:lang w:val="en-AU"/>
              </w:rPr>
            </w:pPr>
            <w:r w:rsidRPr="005734B8">
              <w:rPr>
                <w:rFonts w:ascii="Calibri" w:hAnsi="Calibri" w:cs="Calibri"/>
                <w:b/>
                <w:sz w:val="22"/>
                <w:szCs w:val="22"/>
                <w:lang w:val="en-AU"/>
              </w:rPr>
              <w:t>56</w:t>
            </w:r>
          </w:p>
        </w:tc>
      </w:tr>
      <w:tr w:rsidR="00F30FCD" w:rsidRPr="005734B8" w14:paraId="1F0FFF94" w14:textId="77777777" w:rsidTr="00F30FCD">
        <w:trPr>
          <w:cantSplit/>
          <w:trHeight w:val="596"/>
        </w:trPr>
        <w:tc>
          <w:tcPr>
            <w:tcW w:w="3532" w:type="dxa"/>
            <w:tcBorders>
              <w:top w:val="single" w:sz="18" w:space="0" w:color="53565A" w:themeColor="accent5"/>
              <w:bottom w:val="single" w:sz="18" w:space="0" w:color="53565A" w:themeColor="accent5"/>
            </w:tcBorders>
            <w:shd w:val="clear" w:color="auto" w:fill="D9D9D9" w:themeFill="background1" w:themeFillShade="D9"/>
            <w:vAlign w:val="center"/>
          </w:tcPr>
          <w:p w14:paraId="519B2ACA" w14:textId="354A6ED2" w:rsidR="00F30FCD" w:rsidRPr="005734B8" w:rsidRDefault="00F30FCD" w:rsidP="00F30FCD">
            <w:pPr>
              <w:pStyle w:val="ESTablebody"/>
              <w:rPr>
                <w:rFonts w:ascii="Calibri" w:hAnsi="Calibri" w:cs="Calibri"/>
                <w:b/>
                <w:sz w:val="22"/>
                <w:szCs w:val="22"/>
                <w:lang w:val="en-AU"/>
              </w:rPr>
            </w:pPr>
            <w:r w:rsidRPr="005734B8">
              <w:rPr>
                <w:rFonts w:ascii="Calibri" w:hAnsi="Calibri" w:cs="Calibri"/>
                <w:b/>
                <w:sz w:val="22"/>
                <w:szCs w:val="22"/>
                <w:lang w:val="en-AU"/>
              </w:rPr>
              <w:t>Ws4: Greenhouse gas emissions associated with waste disposal (</w:t>
            </w:r>
            <w:r w:rsidR="000F58D2" w:rsidRPr="005734B8">
              <w:rPr>
                <w:rFonts w:ascii="Calibri" w:hAnsi="Calibri" w:cs="Calibri"/>
                <w:b/>
                <w:sz w:val="22"/>
                <w:szCs w:val="22"/>
                <w:lang w:val="en-AU"/>
              </w:rPr>
              <w:t>t</w:t>
            </w:r>
            <w:r w:rsidRPr="005734B8">
              <w:rPr>
                <w:rFonts w:ascii="Calibri" w:hAnsi="Calibri" w:cs="Calibri"/>
                <w:b/>
                <w:sz w:val="22"/>
                <w:szCs w:val="22"/>
                <w:lang w:val="en-AU"/>
              </w:rPr>
              <w:t>onnes CO2-e)</w:t>
            </w:r>
          </w:p>
        </w:tc>
        <w:tc>
          <w:tcPr>
            <w:tcW w:w="1389" w:type="dxa"/>
            <w:tcBorders>
              <w:top w:val="single" w:sz="18" w:space="0" w:color="53565A" w:themeColor="accent5"/>
              <w:bottom w:val="single" w:sz="18" w:space="0" w:color="53565A" w:themeColor="accent5"/>
            </w:tcBorders>
            <w:shd w:val="clear" w:color="auto" w:fill="D9D9D9" w:themeFill="background1" w:themeFillShade="D9"/>
          </w:tcPr>
          <w:p w14:paraId="48C55D7A" w14:textId="77777777" w:rsidR="00F30FCD" w:rsidRPr="005734B8" w:rsidRDefault="00F30FCD" w:rsidP="00F30FCD">
            <w:pPr>
              <w:pStyle w:val="ESTablenumberrightaligned"/>
              <w:rPr>
                <w:rFonts w:ascii="Calibri" w:hAnsi="Calibri" w:cs="Calibri"/>
                <w:b/>
                <w:sz w:val="22"/>
                <w:szCs w:val="22"/>
              </w:rPr>
            </w:pPr>
            <w:r w:rsidRPr="005734B8">
              <w:rPr>
                <w:rFonts w:ascii="Calibri" w:hAnsi="Calibri" w:cs="Calibri"/>
                <w:b/>
                <w:sz w:val="22"/>
                <w:szCs w:val="22"/>
              </w:rPr>
              <w:t>34</w:t>
            </w:r>
          </w:p>
        </w:tc>
        <w:tc>
          <w:tcPr>
            <w:tcW w:w="1363" w:type="dxa"/>
            <w:tcBorders>
              <w:top w:val="single" w:sz="18" w:space="0" w:color="53565A" w:themeColor="accent5"/>
              <w:bottom w:val="single" w:sz="18" w:space="0" w:color="53565A" w:themeColor="accent5"/>
            </w:tcBorders>
            <w:shd w:val="clear" w:color="auto" w:fill="D9D9D9" w:themeFill="background1" w:themeFillShade="D9"/>
          </w:tcPr>
          <w:p w14:paraId="569FDFD8" w14:textId="77777777" w:rsidR="00F30FCD" w:rsidRPr="005734B8" w:rsidRDefault="00F30FCD" w:rsidP="00F30FCD">
            <w:pPr>
              <w:pStyle w:val="ESTablenumberrightaligned"/>
              <w:rPr>
                <w:rFonts w:ascii="Calibri" w:hAnsi="Calibri" w:cs="Calibri"/>
                <w:b/>
                <w:sz w:val="22"/>
                <w:szCs w:val="22"/>
              </w:rPr>
            </w:pPr>
            <w:r w:rsidRPr="005734B8">
              <w:rPr>
                <w:rFonts w:ascii="Calibri" w:hAnsi="Calibri" w:cs="Calibri"/>
                <w:b/>
                <w:sz w:val="22"/>
                <w:szCs w:val="22"/>
              </w:rPr>
              <w:t>58</w:t>
            </w:r>
          </w:p>
        </w:tc>
        <w:tc>
          <w:tcPr>
            <w:tcW w:w="1637" w:type="dxa"/>
            <w:tcBorders>
              <w:top w:val="single" w:sz="18" w:space="0" w:color="53565A" w:themeColor="accent5"/>
              <w:bottom w:val="single" w:sz="18" w:space="0" w:color="53565A" w:themeColor="accent5"/>
            </w:tcBorders>
            <w:shd w:val="clear" w:color="auto" w:fill="D9D9D9" w:themeFill="background1" w:themeFillShade="D9"/>
          </w:tcPr>
          <w:p w14:paraId="4E5B4918" w14:textId="77777777" w:rsidR="00F30FCD" w:rsidRPr="005734B8" w:rsidRDefault="00F30FCD" w:rsidP="00F30FCD">
            <w:pPr>
              <w:pStyle w:val="ESTablenumberrightaligned"/>
              <w:rPr>
                <w:rFonts w:ascii="Calibri" w:hAnsi="Calibri" w:cs="Calibri"/>
                <w:b/>
                <w:sz w:val="22"/>
                <w:szCs w:val="22"/>
              </w:rPr>
            </w:pPr>
            <w:r w:rsidRPr="005734B8">
              <w:rPr>
                <w:rFonts w:ascii="Calibri" w:hAnsi="Calibri" w:cs="Calibri"/>
                <w:b/>
                <w:sz w:val="22"/>
                <w:szCs w:val="22"/>
              </w:rPr>
              <w:t>47</w:t>
            </w:r>
          </w:p>
        </w:tc>
      </w:tr>
      <w:tr w:rsidR="00F30FCD" w:rsidRPr="005734B8" w14:paraId="79E4F1F9" w14:textId="77777777" w:rsidTr="000F58D2">
        <w:trPr>
          <w:cantSplit/>
        </w:trPr>
        <w:tc>
          <w:tcPr>
            <w:tcW w:w="3532" w:type="dxa"/>
            <w:tcBorders>
              <w:top w:val="single" w:sz="18" w:space="0" w:color="53565A" w:themeColor="accent5"/>
              <w:bottom w:val="single" w:sz="4" w:space="0" w:color="auto"/>
            </w:tcBorders>
            <w:shd w:val="clear" w:color="auto" w:fill="D9D9D9" w:themeFill="background1" w:themeFillShade="D9"/>
            <w:vAlign w:val="center"/>
          </w:tcPr>
          <w:p w14:paraId="61B1E3E8" w14:textId="4D8C0DA8" w:rsidR="00F30FCD" w:rsidRPr="005734B8" w:rsidRDefault="00F30FCD" w:rsidP="000F58D2">
            <w:pPr>
              <w:pStyle w:val="ESTablebody"/>
              <w:rPr>
                <w:rFonts w:ascii="Calibri" w:hAnsi="Calibri" w:cs="Calibri"/>
                <w:b/>
                <w:sz w:val="22"/>
                <w:szCs w:val="22"/>
                <w:lang w:val="en-AU"/>
              </w:rPr>
            </w:pPr>
            <w:r w:rsidRPr="005734B8">
              <w:rPr>
                <w:rFonts w:ascii="Calibri" w:hAnsi="Calibri" w:cs="Calibri"/>
                <w:b/>
                <w:sz w:val="22"/>
                <w:szCs w:val="22"/>
                <w:lang w:val="en-AU"/>
              </w:rPr>
              <w:t>Voluntary/optional indicators</w:t>
            </w:r>
          </w:p>
        </w:tc>
        <w:tc>
          <w:tcPr>
            <w:tcW w:w="1389" w:type="dxa"/>
            <w:tcBorders>
              <w:top w:val="single" w:sz="18" w:space="0" w:color="53565A" w:themeColor="accent5"/>
              <w:bottom w:val="single" w:sz="4" w:space="0" w:color="auto"/>
            </w:tcBorders>
            <w:shd w:val="clear" w:color="auto" w:fill="D9D9D9" w:themeFill="background1" w:themeFillShade="D9"/>
          </w:tcPr>
          <w:p w14:paraId="762A945E" w14:textId="3DB5B4A0" w:rsidR="00F30FCD" w:rsidRPr="005734B8" w:rsidRDefault="00F30FCD" w:rsidP="00F30FCD">
            <w:pPr>
              <w:pStyle w:val="ESTablenumberrightaligned"/>
              <w:rPr>
                <w:rFonts w:ascii="Calibri" w:hAnsi="Calibri" w:cs="Calibri"/>
                <w:sz w:val="22"/>
                <w:szCs w:val="22"/>
              </w:rPr>
            </w:pPr>
          </w:p>
        </w:tc>
        <w:tc>
          <w:tcPr>
            <w:tcW w:w="1363" w:type="dxa"/>
            <w:tcBorders>
              <w:top w:val="single" w:sz="18" w:space="0" w:color="53565A" w:themeColor="accent5"/>
              <w:bottom w:val="single" w:sz="4" w:space="0" w:color="auto"/>
            </w:tcBorders>
            <w:shd w:val="clear" w:color="auto" w:fill="D9D9D9" w:themeFill="background1" w:themeFillShade="D9"/>
          </w:tcPr>
          <w:p w14:paraId="18BA1082" w14:textId="3D07DA92" w:rsidR="00F30FCD" w:rsidRPr="005734B8" w:rsidRDefault="00F30FCD" w:rsidP="00F30FCD">
            <w:pPr>
              <w:pStyle w:val="ESTablenumberrightaligned"/>
              <w:rPr>
                <w:rFonts w:ascii="Calibri" w:hAnsi="Calibri" w:cs="Calibri"/>
                <w:b/>
                <w:sz w:val="22"/>
                <w:szCs w:val="22"/>
              </w:rPr>
            </w:pPr>
          </w:p>
        </w:tc>
        <w:tc>
          <w:tcPr>
            <w:tcW w:w="1637" w:type="dxa"/>
            <w:tcBorders>
              <w:top w:val="single" w:sz="18" w:space="0" w:color="53565A" w:themeColor="accent5"/>
              <w:bottom w:val="single" w:sz="4" w:space="0" w:color="auto"/>
            </w:tcBorders>
            <w:shd w:val="clear" w:color="auto" w:fill="D9D9D9" w:themeFill="background1" w:themeFillShade="D9"/>
          </w:tcPr>
          <w:p w14:paraId="76A6D922" w14:textId="497DE869" w:rsidR="00F30FCD" w:rsidRPr="005734B8" w:rsidRDefault="00F30FCD" w:rsidP="00F30FCD">
            <w:pPr>
              <w:pStyle w:val="ESTablenumberrightaligned"/>
              <w:rPr>
                <w:rFonts w:ascii="Calibri" w:hAnsi="Calibri" w:cs="Calibri"/>
                <w:b/>
                <w:sz w:val="22"/>
                <w:szCs w:val="22"/>
              </w:rPr>
            </w:pPr>
          </w:p>
        </w:tc>
      </w:tr>
      <w:tr w:rsidR="000F58D2" w:rsidRPr="005734B8" w14:paraId="6E9CFDF4" w14:textId="77777777" w:rsidTr="000F58D2">
        <w:trPr>
          <w:cantSplit/>
        </w:trPr>
        <w:tc>
          <w:tcPr>
            <w:tcW w:w="3532" w:type="dxa"/>
            <w:tcBorders>
              <w:top w:val="single" w:sz="4" w:space="0" w:color="auto"/>
              <w:bottom w:val="single" w:sz="18" w:space="0" w:color="53565A" w:themeColor="accent5"/>
            </w:tcBorders>
            <w:shd w:val="clear" w:color="auto" w:fill="auto"/>
            <w:vAlign w:val="center"/>
          </w:tcPr>
          <w:p w14:paraId="2B84AC15" w14:textId="171E6EF2" w:rsidR="000F58D2" w:rsidRPr="005734B8" w:rsidRDefault="000F58D2" w:rsidP="000F58D2">
            <w:pPr>
              <w:pStyle w:val="ESTablebody"/>
              <w:rPr>
                <w:rFonts w:ascii="Calibri" w:hAnsi="Calibri" w:cs="Calibri"/>
                <w:b/>
                <w:sz w:val="22"/>
                <w:szCs w:val="22"/>
                <w:lang w:val="en-AU"/>
              </w:rPr>
            </w:pPr>
            <w:r w:rsidRPr="005734B8">
              <w:rPr>
                <w:rFonts w:ascii="Calibri" w:hAnsi="Calibri" w:cs="Calibri"/>
                <w:sz w:val="22"/>
                <w:szCs w:val="22"/>
                <w:lang w:val="en-AU"/>
              </w:rPr>
              <w:t>Green collect donations (kg)</w:t>
            </w:r>
          </w:p>
        </w:tc>
        <w:tc>
          <w:tcPr>
            <w:tcW w:w="1389" w:type="dxa"/>
            <w:tcBorders>
              <w:top w:val="single" w:sz="4" w:space="0" w:color="auto"/>
              <w:bottom w:val="single" w:sz="18" w:space="0" w:color="53565A" w:themeColor="accent5"/>
            </w:tcBorders>
            <w:shd w:val="clear" w:color="auto" w:fill="auto"/>
          </w:tcPr>
          <w:p w14:paraId="1BCA5B54" w14:textId="421FB6C8" w:rsidR="000F58D2" w:rsidRPr="005734B8" w:rsidRDefault="000F58D2" w:rsidP="000F58D2">
            <w:pPr>
              <w:pStyle w:val="ESTablenumberrightaligned"/>
              <w:rPr>
                <w:rFonts w:ascii="Calibri" w:hAnsi="Calibri" w:cs="Calibri"/>
                <w:b/>
                <w:sz w:val="22"/>
                <w:szCs w:val="22"/>
              </w:rPr>
            </w:pPr>
            <w:r w:rsidRPr="005734B8">
              <w:rPr>
                <w:rFonts w:ascii="Calibri" w:hAnsi="Calibri" w:cs="Calibri"/>
                <w:sz w:val="22"/>
                <w:szCs w:val="22"/>
              </w:rPr>
              <w:t>1,318</w:t>
            </w:r>
          </w:p>
        </w:tc>
        <w:tc>
          <w:tcPr>
            <w:tcW w:w="1363" w:type="dxa"/>
            <w:tcBorders>
              <w:top w:val="single" w:sz="4" w:space="0" w:color="auto"/>
              <w:bottom w:val="single" w:sz="18" w:space="0" w:color="53565A" w:themeColor="accent5"/>
            </w:tcBorders>
            <w:shd w:val="clear" w:color="auto" w:fill="auto"/>
          </w:tcPr>
          <w:p w14:paraId="3D1E53BF" w14:textId="6D48CAA3" w:rsidR="000F58D2" w:rsidRPr="005734B8" w:rsidRDefault="000F58D2" w:rsidP="000F58D2">
            <w:pPr>
              <w:pStyle w:val="ESTablenumberrightaligned"/>
              <w:rPr>
                <w:rFonts w:ascii="Calibri" w:hAnsi="Calibri" w:cs="Calibri"/>
                <w:b/>
                <w:sz w:val="22"/>
                <w:szCs w:val="22"/>
              </w:rPr>
            </w:pPr>
            <w:r w:rsidRPr="005734B8">
              <w:rPr>
                <w:rFonts w:ascii="Calibri" w:hAnsi="Calibri" w:cs="Calibri"/>
                <w:color w:val="000000"/>
                <w:sz w:val="22"/>
                <w:szCs w:val="22"/>
              </w:rPr>
              <w:t>–</w:t>
            </w:r>
          </w:p>
        </w:tc>
        <w:tc>
          <w:tcPr>
            <w:tcW w:w="1637" w:type="dxa"/>
            <w:tcBorders>
              <w:top w:val="single" w:sz="4" w:space="0" w:color="auto"/>
              <w:bottom w:val="single" w:sz="18" w:space="0" w:color="53565A" w:themeColor="accent5"/>
            </w:tcBorders>
            <w:shd w:val="clear" w:color="auto" w:fill="auto"/>
          </w:tcPr>
          <w:p w14:paraId="4F7FA2FF" w14:textId="475A0B8C" w:rsidR="000F58D2" w:rsidRPr="005734B8" w:rsidRDefault="000F58D2" w:rsidP="000F58D2">
            <w:pPr>
              <w:pStyle w:val="ESTablenumberrightaligned"/>
              <w:rPr>
                <w:rFonts w:ascii="Calibri" w:hAnsi="Calibri" w:cs="Calibri"/>
                <w:b/>
                <w:sz w:val="22"/>
                <w:szCs w:val="22"/>
              </w:rPr>
            </w:pPr>
            <w:r w:rsidRPr="005734B8">
              <w:rPr>
                <w:rFonts w:ascii="Calibri" w:hAnsi="Calibri" w:cs="Calibri"/>
                <w:color w:val="000000"/>
                <w:sz w:val="22"/>
                <w:szCs w:val="22"/>
              </w:rPr>
              <w:t>–</w:t>
            </w:r>
          </w:p>
        </w:tc>
      </w:tr>
    </w:tbl>
    <w:p w14:paraId="7C0C6B3F" w14:textId="3D31186A" w:rsidR="00F30FCD" w:rsidRPr="005734B8" w:rsidRDefault="00F30FCD" w:rsidP="00F30FCD">
      <w:pPr>
        <w:pStyle w:val="ESHeading4"/>
        <w:ind w:left="0" w:firstLine="0"/>
        <w:rPr>
          <w:rFonts w:ascii="Calibri" w:hAnsi="Calibri" w:cs="Calibri"/>
        </w:rPr>
      </w:pPr>
      <w:bookmarkStart w:id="1006" w:name="_Toc11158283"/>
      <w:bookmarkStart w:id="1007" w:name="_Toc11336290"/>
      <w:bookmarkStart w:id="1008" w:name="_Toc14965516"/>
      <w:bookmarkStart w:id="1009" w:name="_Toc19272094"/>
      <w:bookmarkStart w:id="1010" w:name="_Toc19272460"/>
      <w:bookmarkStart w:id="1011" w:name="_Toc19273795"/>
      <w:r w:rsidRPr="005734B8">
        <w:rPr>
          <w:rFonts w:ascii="Calibri" w:hAnsi="Calibri" w:cs="Calibri"/>
        </w:rPr>
        <w:t>Actions undertaken</w:t>
      </w:r>
      <w:r w:rsidR="000F58D2" w:rsidRPr="005734B8">
        <w:rPr>
          <w:rFonts w:ascii="Calibri" w:hAnsi="Calibri" w:cs="Calibri"/>
        </w:rPr>
        <w:t>:</w:t>
      </w:r>
    </w:p>
    <w:p w14:paraId="037B3F3C" w14:textId="77777777" w:rsidR="00F30FCD" w:rsidRPr="005734B8" w:rsidRDefault="00F30FCD" w:rsidP="00670895">
      <w:pPr>
        <w:pStyle w:val="ListParagraph"/>
        <w:numPr>
          <w:ilvl w:val="0"/>
          <w:numId w:val="75"/>
        </w:numPr>
        <w:rPr>
          <w:rFonts w:ascii="Calibri" w:hAnsi="Calibri" w:cs="Calibri"/>
        </w:rPr>
      </w:pPr>
      <w:r w:rsidRPr="005734B8">
        <w:rPr>
          <w:rFonts w:ascii="Calibri" w:hAnsi="Calibri" w:cs="Calibri"/>
        </w:rPr>
        <w:t>The Department continues to establish three</w:t>
      </w:r>
      <w:r w:rsidRPr="005734B8">
        <w:rPr>
          <w:rFonts w:ascii="Calibri" w:hAnsi="Calibri" w:cs="Calibri"/>
        </w:rPr>
        <w:noBreakHyphen/>
        <w:t xml:space="preserve">stream (landfill, recycling and organic) waste management practices in all office accommodations (new included). </w:t>
      </w:r>
    </w:p>
    <w:p w14:paraId="2A359147" w14:textId="0570DAF9" w:rsidR="00F30FCD" w:rsidRPr="005734B8" w:rsidRDefault="00F30FCD" w:rsidP="00670895">
      <w:pPr>
        <w:pStyle w:val="ListParagraph"/>
        <w:numPr>
          <w:ilvl w:val="0"/>
          <w:numId w:val="75"/>
        </w:numPr>
        <w:rPr>
          <w:rFonts w:ascii="Calibri" w:hAnsi="Calibri" w:cs="Calibri"/>
        </w:rPr>
      </w:pPr>
      <w:r w:rsidRPr="005734B8">
        <w:rPr>
          <w:rFonts w:ascii="Calibri" w:hAnsi="Calibri" w:cs="Calibri"/>
        </w:rPr>
        <w:t xml:space="preserve">New signage has been displayed and is under trial </w:t>
      </w:r>
      <w:r w:rsidR="000F58D2" w:rsidRPr="005734B8">
        <w:rPr>
          <w:rFonts w:ascii="Calibri" w:hAnsi="Calibri" w:cs="Calibri"/>
        </w:rPr>
        <w:t>on</w:t>
      </w:r>
      <w:r w:rsidRPr="005734B8">
        <w:rPr>
          <w:rFonts w:ascii="Calibri" w:hAnsi="Calibri" w:cs="Calibri"/>
        </w:rPr>
        <w:t xml:space="preserve"> level 3 </w:t>
      </w:r>
      <w:r w:rsidR="000F58D2" w:rsidRPr="005734B8">
        <w:rPr>
          <w:rFonts w:ascii="Calibri" w:hAnsi="Calibri" w:cs="Calibri"/>
        </w:rPr>
        <w:t>of</w:t>
      </w:r>
      <w:r w:rsidRPr="005734B8">
        <w:rPr>
          <w:rFonts w:ascii="Calibri" w:hAnsi="Calibri" w:cs="Calibri"/>
        </w:rPr>
        <w:t xml:space="preserve"> 35 Collins St</w:t>
      </w:r>
      <w:r w:rsidR="000F58D2" w:rsidRPr="005734B8">
        <w:rPr>
          <w:rFonts w:ascii="Calibri" w:hAnsi="Calibri" w:cs="Calibri"/>
        </w:rPr>
        <w:t>reet</w:t>
      </w:r>
      <w:r w:rsidRPr="005734B8">
        <w:rPr>
          <w:rFonts w:ascii="Calibri" w:hAnsi="Calibri" w:cs="Calibri"/>
        </w:rPr>
        <w:t xml:space="preserve">. </w:t>
      </w:r>
      <w:r w:rsidR="00CC6A9C" w:rsidRPr="005734B8">
        <w:rPr>
          <w:rFonts w:ascii="Calibri" w:hAnsi="Calibri" w:cs="Calibri"/>
        </w:rPr>
        <w:t>D</w:t>
      </w:r>
      <w:r w:rsidRPr="005734B8">
        <w:rPr>
          <w:rFonts w:ascii="Calibri" w:hAnsi="Calibri" w:cs="Calibri"/>
        </w:rPr>
        <w:t xml:space="preserve">ue to </w:t>
      </w:r>
      <w:r w:rsidR="007C0C69" w:rsidRPr="005734B8">
        <w:rPr>
          <w:rFonts w:ascii="Calibri" w:hAnsi="Calibri" w:cs="Calibri"/>
        </w:rPr>
        <w:t xml:space="preserve">the </w:t>
      </w:r>
      <w:r w:rsidRPr="005734B8">
        <w:rPr>
          <w:rFonts w:ascii="Calibri" w:hAnsi="Calibri" w:cs="Calibri"/>
        </w:rPr>
        <w:t>COVID-19 pandemic</w:t>
      </w:r>
      <w:r w:rsidR="00696586">
        <w:rPr>
          <w:rFonts w:ascii="Calibri" w:hAnsi="Calibri" w:cs="Calibri"/>
        </w:rPr>
        <w:t xml:space="preserve"> response</w:t>
      </w:r>
      <w:r w:rsidR="000F58D2" w:rsidRPr="005734B8">
        <w:rPr>
          <w:rFonts w:ascii="Calibri" w:hAnsi="Calibri" w:cs="Calibri"/>
        </w:rPr>
        <w:t>,</w:t>
      </w:r>
      <w:r w:rsidRPr="005734B8">
        <w:rPr>
          <w:rFonts w:ascii="Calibri" w:hAnsi="Calibri" w:cs="Calibri"/>
        </w:rPr>
        <w:t xml:space="preserve"> data gathered from the trial has not been consistent, accurate or sufficient to be reported.</w:t>
      </w:r>
    </w:p>
    <w:p w14:paraId="64131846" w14:textId="10DDCBFB" w:rsidR="00F30FCD" w:rsidRPr="005734B8" w:rsidRDefault="00F30FCD" w:rsidP="00670895">
      <w:pPr>
        <w:pStyle w:val="ListParagraph"/>
        <w:numPr>
          <w:ilvl w:val="0"/>
          <w:numId w:val="75"/>
        </w:numPr>
        <w:rPr>
          <w:rFonts w:ascii="Calibri" w:hAnsi="Calibri" w:cs="Calibri"/>
        </w:rPr>
      </w:pPr>
      <w:r w:rsidRPr="005734B8">
        <w:rPr>
          <w:rFonts w:ascii="Calibri" w:hAnsi="Calibri" w:cs="Calibri"/>
        </w:rPr>
        <w:t xml:space="preserve">The Red Cycle soft plastics recycling scheme is being trialled </w:t>
      </w:r>
      <w:r w:rsidR="000F58D2" w:rsidRPr="005734B8">
        <w:rPr>
          <w:rFonts w:ascii="Calibri" w:hAnsi="Calibri" w:cs="Calibri"/>
        </w:rPr>
        <w:t>on</w:t>
      </w:r>
      <w:r w:rsidRPr="005734B8">
        <w:rPr>
          <w:rFonts w:ascii="Calibri" w:hAnsi="Calibri" w:cs="Calibri"/>
        </w:rPr>
        <w:t xml:space="preserve"> level 3 </w:t>
      </w:r>
      <w:r w:rsidR="000F58D2" w:rsidRPr="005734B8">
        <w:rPr>
          <w:rFonts w:ascii="Calibri" w:hAnsi="Calibri" w:cs="Calibri"/>
        </w:rPr>
        <w:t>of</w:t>
      </w:r>
      <w:r w:rsidRPr="005734B8">
        <w:rPr>
          <w:rFonts w:ascii="Calibri" w:hAnsi="Calibri" w:cs="Calibri"/>
        </w:rPr>
        <w:t xml:space="preserve"> 35</w:t>
      </w:r>
      <w:r w:rsidR="000F58D2" w:rsidRPr="005734B8">
        <w:rPr>
          <w:rFonts w:ascii="Calibri" w:hAnsi="Calibri" w:cs="Calibri"/>
        </w:rPr>
        <w:t> </w:t>
      </w:r>
      <w:r w:rsidRPr="005734B8">
        <w:rPr>
          <w:rFonts w:ascii="Calibri" w:hAnsi="Calibri" w:cs="Calibri"/>
        </w:rPr>
        <w:t>Collins</w:t>
      </w:r>
      <w:r w:rsidR="000F58D2" w:rsidRPr="005734B8">
        <w:rPr>
          <w:rFonts w:ascii="Calibri" w:hAnsi="Calibri" w:cs="Calibri"/>
        </w:rPr>
        <w:t> </w:t>
      </w:r>
      <w:r w:rsidRPr="005734B8">
        <w:rPr>
          <w:rFonts w:ascii="Calibri" w:hAnsi="Calibri" w:cs="Calibri"/>
        </w:rPr>
        <w:t>S</w:t>
      </w:r>
      <w:r w:rsidR="000F58D2" w:rsidRPr="005734B8">
        <w:rPr>
          <w:rFonts w:ascii="Calibri" w:hAnsi="Calibri" w:cs="Calibri"/>
        </w:rPr>
        <w:t>treet</w:t>
      </w:r>
      <w:r w:rsidRPr="005734B8">
        <w:rPr>
          <w:rFonts w:ascii="Calibri" w:hAnsi="Calibri" w:cs="Calibri"/>
        </w:rPr>
        <w:t xml:space="preserve">. </w:t>
      </w:r>
    </w:p>
    <w:p w14:paraId="4B971A35" w14:textId="4D71B4DE" w:rsidR="00F30FCD" w:rsidRPr="005734B8" w:rsidRDefault="00F30FCD" w:rsidP="00670895">
      <w:pPr>
        <w:pStyle w:val="ListParagraph"/>
        <w:numPr>
          <w:ilvl w:val="0"/>
          <w:numId w:val="75"/>
        </w:numPr>
        <w:rPr>
          <w:rFonts w:ascii="Calibri" w:hAnsi="Calibri" w:cs="Calibri"/>
        </w:rPr>
      </w:pPr>
      <w:r w:rsidRPr="005734B8">
        <w:rPr>
          <w:rFonts w:ascii="Calibri" w:hAnsi="Calibri" w:cs="Calibri"/>
        </w:rPr>
        <w:t>The Green Collect initiative collected 919</w:t>
      </w:r>
      <w:r w:rsidR="000F58D2" w:rsidRPr="005734B8">
        <w:rPr>
          <w:rFonts w:ascii="Calibri" w:hAnsi="Calibri" w:cs="Calibri"/>
        </w:rPr>
        <w:t xml:space="preserve"> kilograms</w:t>
      </w:r>
      <w:r w:rsidRPr="005734B8">
        <w:rPr>
          <w:rFonts w:ascii="Calibri" w:hAnsi="Calibri" w:cs="Calibri"/>
        </w:rPr>
        <w:t xml:space="preserve"> of office supplies and 399</w:t>
      </w:r>
      <w:r w:rsidR="000F58D2" w:rsidRPr="005734B8">
        <w:rPr>
          <w:rFonts w:ascii="Calibri" w:hAnsi="Calibri" w:cs="Calibri"/>
        </w:rPr>
        <w:t xml:space="preserve"> kilograms</w:t>
      </w:r>
      <w:r w:rsidRPr="005734B8">
        <w:rPr>
          <w:rFonts w:ascii="Calibri" w:hAnsi="Calibri" w:cs="Calibri"/>
        </w:rPr>
        <w:t xml:space="preserve"> of folders. A total of 1,318</w:t>
      </w:r>
      <w:r w:rsidR="000F58D2" w:rsidRPr="005734B8">
        <w:rPr>
          <w:rFonts w:ascii="Calibri" w:hAnsi="Calibri" w:cs="Calibri"/>
        </w:rPr>
        <w:t xml:space="preserve"> kilograms</w:t>
      </w:r>
      <w:r w:rsidRPr="005734B8">
        <w:rPr>
          <w:rFonts w:ascii="Calibri" w:hAnsi="Calibri" w:cs="Calibri"/>
        </w:rPr>
        <w:t xml:space="preserve"> was diverted from landfill.</w:t>
      </w:r>
    </w:p>
    <w:p w14:paraId="7ED548DA" w14:textId="2F222EFF" w:rsidR="00F30FCD" w:rsidRPr="005734B8" w:rsidRDefault="00F30FCD" w:rsidP="00670895">
      <w:pPr>
        <w:pStyle w:val="ListParagraph"/>
        <w:numPr>
          <w:ilvl w:val="0"/>
          <w:numId w:val="75"/>
        </w:numPr>
        <w:rPr>
          <w:rFonts w:ascii="Calibri" w:hAnsi="Calibri" w:cs="Calibri"/>
        </w:rPr>
      </w:pPr>
      <w:r w:rsidRPr="005734B8">
        <w:rPr>
          <w:rFonts w:ascii="Calibri" w:hAnsi="Calibri" w:cs="Calibri"/>
        </w:rPr>
        <w:t xml:space="preserve">The Department continues to divert disused recycled office supplies from landfill via its ‘Swap shop’ and Green Collect (although the former has </w:t>
      </w:r>
      <w:r w:rsidR="000F58D2" w:rsidRPr="005734B8">
        <w:rPr>
          <w:rFonts w:ascii="Calibri" w:hAnsi="Calibri" w:cs="Calibri"/>
        </w:rPr>
        <w:t xml:space="preserve">been </w:t>
      </w:r>
      <w:r w:rsidRPr="005734B8">
        <w:rPr>
          <w:rFonts w:ascii="Calibri" w:hAnsi="Calibri" w:cs="Calibri"/>
        </w:rPr>
        <w:t xml:space="preserve">strongly impacted by </w:t>
      </w:r>
      <w:r w:rsidR="00BB485A" w:rsidRPr="005734B8">
        <w:rPr>
          <w:rFonts w:ascii="Calibri" w:hAnsi="Calibri" w:cs="Calibri"/>
        </w:rPr>
        <w:t xml:space="preserve">the </w:t>
      </w:r>
      <w:r w:rsidRPr="005734B8">
        <w:rPr>
          <w:rFonts w:ascii="Calibri" w:hAnsi="Calibri" w:cs="Calibri"/>
        </w:rPr>
        <w:t>COVID-19 pandemic restrictions).</w:t>
      </w:r>
    </w:p>
    <w:p w14:paraId="7FFAA684" w14:textId="77777777" w:rsidR="00F30FCD" w:rsidRPr="005734B8" w:rsidRDefault="00F30FCD" w:rsidP="00F30FCD">
      <w:pPr>
        <w:pStyle w:val="ESHeading4"/>
        <w:ind w:left="0" w:firstLine="0"/>
        <w:rPr>
          <w:rFonts w:ascii="Calibri" w:hAnsi="Calibri" w:cs="Calibri"/>
        </w:rPr>
      </w:pPr>
      <w:bookmarkStart w:id="1012" w:name="_Toc11158285"/>
      <w:bookmarkStart w:id="1013" w:name="_Toc11336292"/>
      <w:bookmarkStart w:id="1014" w:name="_Toc14965518"/>
      <w:bookmarkStart w:id="1015" w:name="_Toc19272095"/>
      <w:bookmarkStart w:id="1016" w:name="_Toc19272461"/>
      <w:bookmarkStart w:id="1017" w:name="_Toc19273796"/>
      <w:bookmarkEnd w:id="1006"/>
      <w:bookmarkEnd w:id="1007"/>
      <w:bookmarkEnd w:id="1008"/>
      <w:bookmarkEnd w:id="1009"/>
      <w:bookmarkEnd w:id="1010"/>
      <w:bookmarkEnd w:id="1011"/>
      <w:r w:rsidRPr="005734B8">
        <w:rPr>
          <w:rFonts w:ascii="Calibri" w:hAnsi="Calibri" w:cs="Calibri"/>
        </w:rPr>
        <w:t>Target</w:t>
      </w:r>
    </w:p>
    <w:p w14:paraId="70A21474" w14:textId="62971C8C" w:rsidR="00F30FCD" w:rsidRPr="005734B8" w:rsidRDefault="00F30FCD" w:rsidP="00F30FCD">
      <w:pPr>
        <w:rPr>
          <w:rFonts w:ascii="Calibri" w:hAnsi="Calibri" w:cs="Calibri"/>
        </w:rPr>
      </w:pPr>
      <w:r w:rsidRPr="005734B8">
        <w:rPr>
          <w:rFonts w:ascii="Calibri" w:hAnsi="Calibri" w:cs="Calibri"/>
        </w:rPr>
        <w:t>The following targets were set in 2020</w:t>
      </w:r>
      <w:r w:rsidR="005D50FA" w:rsidRPr="005734B8">
        <w:rPr>
          <w:rFonts w:ascii="Calibri" w:hAnsi="Calibri" w:cs="Calibri"/>
        </w:rPr>
        <w:t>–</w:t>
      </w:r>
      <w:r w:rsidRPr="005734B8">
        <w:rPr>
          <w:rFonts w:ascii="Calibri" w:hAnsi="Calibri" w:cs="Calibri"/>
        </w:rPr>
        <w:t>21</w:t>
      </w:r>
      <w:r w:rsidR="00515B07" w:rsidRPr="005734B8">
        <w:rPr>
          <w:rFonts w:ascii="Calibri" w:hAnsi="Calibri" w:cs="Calibri"/>
        </w:rPr>
        <w:t>:</w:t>
      </w:r>
    </w:p>
    <w:p w14:paraId="786B15AE" w14:textId="10A95A33" w:rsidR="00F30FCD" w:rsidRPr="005734B8" w:rsidRDefault="00F30FCD" w:rsidP="00670895">
      <w:pPr>
        <w:pStyle w:val="ListParagraph"/>
        <w:numPr>
          <w:ilvl w:val="0"/>
          <w:numId w:val="75"/>
        </w:numPr>
        <w:rPr>
          <w:rFonts w:ascii="Calibri" w:hAnsi="Calibri" w:cs="Calibri"/>
        </w:rPr>
      </w:pPr>
      <w:r w:rsidRPr="005734B8">
        <w:rPr>
          <w:rFonts w:ascii="Calibri" w:hAnsi="Calibri" w:cs="Calibri"/>
        </w:rPr>
        <w:t>Increase recycling rate to a minimum of 75 per cent by 31 March 2024. Annual Report (2019–20)</w:t>
      </w:r>
      <w:r w:rsidR="00E262C2" w:rsidRPr="005734B8">
        <w:rPr>
          <w:rFonts w:ascii="Calibri" w:hAnsi="Calibri" w:cs="Calibri"/>
        </w:rPr>
        <w:t>.</w:t>
      </w:r>
    </w:p>
    <w:p w14:paraId="3F2BADBF" w14:textId="07ACBA97" w:rsidR="00F30FCD" w:rsidRPr="005734B8" w:rsidRDefault="00F30FCD" w:rsidP="00670895">
      <w:pPr>
        <w:pStyle w:val="ListParagraph"/>
        <w:numPr>
          <w:ilvl w:val="0"/>
          <w:numId w:val="75"/>
        </w:numPr>
        <w:rPr>
          <w:rFonts w:ascii="Calibri" w:hAnsi="Calibri" w:cs="Calibri"/>
        </w:rPr>
      </w:pPr>
      <w:r w:rsidRPr="005734B8">
        <w:rPr>
          <w:rFonts w:ascii="Calibri" w:hAnsi="Calibri" w:cs="Calibri"/>
        </w:rPr>
        <w:t>Divert 80 per cent of waste from landfill by 2030, and an interim target of 72</w:t>
      </w:r>
      <w:r w:rsidR="000F58D2" w:rsidRPr="005734B8">
        <w:rPr>
          <w:rFonts w:ascii="Calibri" w:hAnsi="Calibri" w:cs="Calibri"/>
        </w:rPr>
        <w:t> </w:t>
      </w:r>
      <w:r w:rsidRPr="005734B8">
        <w:rPr>
          <w:rFonts w:ascii="Calibri" w:hAnsi="Calibri" w:cs="Calibri"/>
        </w:rPr>
        <w:t>per</w:t>
      </w:r>
      <w:r w:rsidR="000F58D2" w:rsidRPr="005734B8">
        <w:rPr>
          <w:rFonts w:ascii="Calibri" w:hAnsi="Calibri" w:cs="Calibri"/>
        </w:rPr>
        <w:t> </w:t>
      </w:r>
      <w:r w:rsidRPr="005734B8">
        <w:rPr>
          <w:rFonts w:ascii="Calibri" w:hAnsi="Calibri" w:cs="Calibri"/>
        </w:rPr>
        <w:t>cent by 2025.</w:t>
      </w:r>
    </w:p>
    <w:p w14:paraId="09B543D8" w14:textId="77777777" w:rsidR="00F30FCD" w:rsidRPr="005734B8" w:rsidRDefault="00F30FCD" w:rsidP="00670895">
      <w:pPr>
        <w:pStyle w:val="ListParagraph"/>
        <w:numPr>
          <w:ilvl w:val="0"/>
          <w:numId w:val="75"/>
        </w:numPr>
        <w:rPr>
          <w:rFonts w:ascii="Calibri" w:hAnsi="Calibri" w:cs="Calibri"/>
        </w:rPr>
      </w:pPr>
      <w:r w:rsidRPr="005734B8">
        <w:rPr>
          <w:rFonts w:ascii="Calibri" w:hAnsi="Calibri" w:cs="Calibri"/>
        </w:rPr>
        <w:t>Cut total waste generation by 15 per cent per capita by 2030.</w:t>
      </w:r>
    </w:p>
    <w:p w14:paraId="09F86594" w14:textId="77777777" w:rsidR="00F30FCD" w:rsidRPr="005734B8" w:rsidRDefault="00F30FCD" w:rsidP="00670895">
      <w:pPr>
        <w:pStyle w:val="ListParagraph"/>
        <w:numPr>
          <w:ilvl w:val="0"/>
          <w:numId w:val="75"/>
        </w:numPr>
        <w:rPr>
          <w:rFonts w:ascii="Calibri" w:hAnsi="Calibri" w:cs="Calibri"/>
        </w:rPr>
      </w:pPr>
      <w:r w:rsidRPr="005734B8">
        <w:rPr>
          <w:rFonts w:ascii="Calibri" w:hAnsi="Calibri" w:cs="Calibri"/>
        </w:rPr>
        <w:t>Halve the volume of organic material going to landfill between 2020 and 2030, with an interim target of 20 per cent reduction by 2025.</w:t>
      </w:r>
    </w:p>
    <w:bookmarkEnd w:id="1012"/>
    <w:bookmarkEnd w:id="1013"/>
    <w:bookmarkEnd w:id="1014"/>
    <w:bookmarkEnd w:id="1015"/>
    <w:bookmarkEnd w:id="1016"/>
    <w:bookmarkEnd w:id="1017"/>
    <w:p w14:paraId="227C8ECA" w14:textId="5D951E8C" w:rsidR="00F30FCD" w:rsidRPr="005734B8" w:rsidRDefault="00F30FCD" w:rsidP="005D50FA">
      <w:pPr>
        <w:pStyle w:val="ESHeading4"/>
        <w:ind w:left="0" w:firstLine="0"/>
        <w:rPr>
          <w:rFonts w:ascii="Calibri" w:hAnsi="Calibri" w:cs="Calibri"/>
        </w:rPr>
      </w:pPr>
      <w:r w:rsidRPr="005734B8">
        <w:rPr>
          <w:rFonts w:ascii="Calibri" w:hAnsi="Calibri" w:cs="Calibri"/>
        </w:rPr>
        <w:t>Explanatory notes</w:t>
      </w:r>
    </w:p>
    <w:p w14:paraId="19558CEE" w14:textId="1CF44BC4" w:rsidR="00F30FCD" w:rsidRPr="005734B8" w:rsidRDefault="00F30FCD" w:rsidP="00CC6A9C">
      <w:pPr>
        <w:rPr>
          <w:rFonts w:ascii="Calibri" w:hAnsi="Calibri" w:cs="Calibri"/>
        </w:rPr>
      </w:pPr>
      <w:r w:rsidRPr="005734B8">
        <w:rPr>
          <w:rFonts w:ascii="Calibri" w:hAnsi="Calibri" w:cs="Calibri"/>
        </w:rPr>
        <w:t>The Department is sharing its waste collection points at the Treasury Precinct with other tenants. Each bin collection point serves several organisations</w:t>
      </w:r>
      <w:r w:rsidR="007D3200" w:rsidRPr="005734B8">
        <w:rPr>
          <w:rFonts w:ascii="Calibri" w:hAnsi="Calibri" w:cs="Calibri"/>
        </w:rPr>
        <w:t>,</w:t>
      </w:r>
      <w:r w:rsidRPr="005734B8">
        <w:rPr>
          <w:rFonts w:ascii="Calibri" w:hAnsi="Calibri" w:cs="Calibri"/>
        </w:rPr>
        <w:t xml:space="preserve"> which make</w:t>
      </w:r>
      <w:r w:rsidR="007D3200" w:rsidRPr="005734B8">
        <w:rPr>
          <w:rFonts w:ascii="Calibri" w:hAnsi="Calibri" w:cs="Calibri"/>
        </w:rPr>
        <w:t>s</w:t>
      </w:r>
      <w:r w:rsidRPr="005734B8">
        <w:rPr>
          <w:rFonts w:ascii="Calibri" w:hAnsi="Calibri" w:cs="Calibri"/>
        </w:rPr>
        <w:t xml:space="preserve"> it difficult to accurate</w:t>
      </w:r>
      <w:r w:rsidR="007D3200" w:rsidRPr="005734B8">
        <w:rPr>
          <w:rFonts w:ascii="Calibri" w:hAnsi="Calibri" w:cs="Calibri"/>
        </w:rPr>
        <w:t>ly measure</w:t>
      </w:r>
      <w:r w:rsidRPr="005734B8">
        <w:rPr>
          <w:rFonts w:ascii="Calibri" w:hAnsi="Calibri" w:cs="Calibri"/>
        </w:rPr>
        <w:t xml:space="preserve"> waste contributed by the Department. A calculation provided by </w:t>
      </w:r>
      <w:r w:rsidRPr="005734B8">
        <w:rPr>
          <w:rFonts w:ascii="Calibri" w:hAnsi="Calibri" w:cs="Calibri"/>
        </w:rPr>
        <w:lastRenderedPageBreak/>
        <w:t xml:space="preserve">Shared Services Provider’s contractor Jones Lang LaSalle has been used to calculate waste disposed </w:t>
      </w:r>
      <w:r w:rsidR="007D3200" w:rsidRPr="005734B8">
        <w:rPr>
          <w:rFonts w:ascii="Calibri" w:hAnsi="Calibri" w:cs="Calibri"/>
        </w:rPr>
        <w:t>of</w:t>
      </w:r>
      <w:r w:rsidRPr="005734B8">
        <w:rPr>
          <w:rFonts w:ascii="Calibri" w:hAnsi="Calibri" w:cs="Calibri"/>
        </w:rPr>
        <w:t xml:space="preserve"> at 2 Treasury Place.</w:t>
      </w:r>
    </w:p>
    <w:p w14:paraId="605D19C7" w14:textId="77777777" w:rsidR="00CC6A9C" w:rsidRPr="005734B8" w:rsidRDefault="00CC6A9C" w:rsidP="00CC6A9C">
      <w:pPr>
        <w:rPr>
          <w:rFonts w:ascii="Calibri" w:hAnsi="Calibri" w:cs="Calibri"/>
        </w:rPr>
      </w:pPr>
    </w:p>
    <w:p w14:paraId="29794530" w14:textId="472930C6" w:rsidR="005033B6" w:rsidRPr="005734B8" w:rsidRDefault="005033B6" w:rsidP="00CC6A9C">
      <w:pPr>
        <w:rPr>
          <w:rFonts w:ascii="Calibri" w:hAnsi="Calibri" w:cs="Calibri"/>
        </w:rPr>
      </w:pPr>
      <w:r w:rsidRPr="005734B8">
        <w:rPr>
          <w:rFonts w:ascii="Calibri" w:hAnsi="Calibri" w:cs="Calibri"/>
        </w:rPr>
        <w:t>Waste</w:t>
      </w:r>
      <w:r w:rsidR="00F30FCD" w:rsidRPr="005734B8">
        <w:rPr>
          <w:rFonts w:ascii="Calibri" w:hAnsi="Calibri" w:cs="Calibri"/>
        </w:rPr>
        <w:t xml:space="preserve"> directed to landfill decreased by 48 per cent</w:t>
      </w:r>
      <w:r w:rsidR="007D3200" w:rsidRPr="005734B8">
        <w:rPr>
          <w:rFonts w:ascii="Calibri" w:hAnsi="Calibri" w:cs="Calibri"/>
        </w:rPr>
        <w:t>,</w:t>
      </w:r>
      <w:r w:rsidR="00F30FCD" w:rsidRPr="005734B8">
        <w:rPr>
          <w:rFonts w:ascii="Calibri" w:hAnsi="Calibri" w:cs="Calibri"/>
        </w:rPr>
        <w:t xml:space="preserve"> and comingled recycling decreased by 56 per cent</w:t>
      </w:r>
      <w:r w:rsidRPr="005734B8">
        <w:rPr>
          <w:rFonts w:ascii="Calibri" w:hAnsi="Calibri" w:cs="Calibri"/>
        </w:rPr>
        <w:t>, d</w:t>
      </w:r>
      <w:r w:rsidR="00F30FCD" w:rsidRPr="005734B8">
        <w:rPr>
          <w:rFonts w:ascii="Calibri" w:hAnsi="Calibri" w:cs="Calibri"/>
        </w:rPr>
        <w:t xml:space="preserve">espite the increase in FTE and </w:t>
      </w:r>
      <w:r w:rsidRPr="005734B8">
        <w:rPr>
          <w:rFonts w:ascii="Calibri" w:hAnsi="Calibri" w:cs="Calibri"/>
        </w:rPr>
        <w:t>an</w:t>
      </w:r>
      <w:r w:rsidR="00F30FCD" w:rsidRPr="005734B8">
        <w:rPr>
          <w:rFonts w:ascii="Calibri" w:hAnsi="Calibri" w:cs="Calibri"/>
        </w:rPr>
        <w:t xml:space="preserve"> addition of three office sites.</w:t>
      </w:r>
    </w:p>
    <w:p w14:paraId="7955B013" w14:textId="77777777" w:rsidR="005033B6" w:rsidRPr="005734B8" w:rsidRDefault="005033B6" w:rsidP="00CC6A9C">
      <w:pPr>
        <w:rPr>
          <w:rFonts w:ascii="Calibri" w:hAnsi="Calibri" w:cs="Calibri"/>
        </w:rPr>
      </w:pPr>
    </w:p>
    <w:p w14:paraId="2C08C77D" w14:textId="16DE891C" w:rsidR="00F30FCD" w:rsidRPr="005734B8" w:rsidRDefault="005033B6" w:rsidP="00CC6A9C">
      <w:pPr>
        <w:rPr>
          <w:rFonts w:ascii="Calibri" w:hAnsi="Calibri" w:cs="Calibri"/>
        </w:rPr>
      </w:pPr>
      <w:r w:rsidRPr="005734B8">
        <w:rPr>
          <w:rFonts w:ascii="Calibri" w:hAnsi="Calibri" w:cs="Calibri"/>
        </w:rPr>
        <w:t>The</w:t>
      </w:r>
      <w:r w:rsidR="00F30FCD" w:rsidRPr="005734B8">
        <w:rPr>
          <w:rFonts w:ascii="Calibri" w:hAnsi="Calibri" w:cs="Calibri"/>
        </w:rPr>
        <w:t xml:space="preserve"> recycling rate has increased by 24 per cent</w:t>
      </w:r>
      <w:r w:rsidRPr="005734B8">
        <w:rPr>
          <w:rFonts w:ascii="Calibri" w:hAnsi="Calibri" w:cs="Calibri"/>
        </w:rPr>
        <w:t xml:space="preserve"> </w:t>
      </w:r>
      <w:r w:rsidR="00F30FCD" w:rsidRPr="005734B8">
        <w:rPr>
          <w:rFonts w:ascii="Calibri" w:hAnsi="Calibri" w:cs="Calibri"/>
        </w:rPr>
        <w:t xml:space="preserve">from last year. Set targets will be met if this trend continues. </w:t>
      </w:r>
      <w:r w:rsidRPr="005734B8">
        <w:rPr>
          <w:rFonts w:ascii="Calibri" w:hAnsi="Calibri" w:cs="Calibri"/>
        </w:rPr>
        <w:t>T</w:t>
      </w:r>
      <w:r w:rsidR="00F30FCD" w:rsidRPr="005734B8">
        <w:rPr>
          <w:rFonts w:ascii="Calibri" w:hAnsi="Calibri" w:cs="Calibri"/>
        </w:rPr>
        <w:t>he reduction in waste generation for 2020</w:t>
      </w:r>
      <w:r w:rsidR="00D4619A" w:rsidRPr="005734B8">
        <w:rPr>
          <w:rFonts w:ascii="Calibri" w:hAnsi="Calibri" w:cs="Calibri"/>
        </w:rPr>
        <w:t>–</w:t>
      </w:r>
      <w:r w:rsidR="00F30FCD" w:rsidRPr="005734B8">
        <w:rPr>
          <w:rFonts w:ascii="Calibri" w:hAnsi="Calibri" w:cs="Calibri"/>
        </w:rPr>
        <w:t>21 can be attributed to the absence of staff on sites due to the impact of the COVID-19 pandemic.</w:t>
      </w:r>
    </w:p>
    <w:p w14:paraId="6BC32EC4" w14:textId="77777777" w:rsidR="00F30FCD" w:rsidRPr="005734B8" w:rsidRDefault="00F30FCD" w:rsidP="005D50FA">
      <w:pPr>
        <w:pStyle w:val="ESHeading3"/>
        <w:ind w:left="0" w:firstLine="0"/>
        <w:rPr>
          <w:rFonts w:ascii="Calibri" w:hAnsi="Calibri" w:cs="Calibri"/>
          <w:lang w:val="en-AU"/>
        </w:rPr>
      </w:pPr>
      <w:r w:rsidRPr="005734B8">
        <w:rPr>
          <w:rFonts w:ascii="Calibri" w:hAnsi="Calibri" w:cs="Calibri"/>
          <w:lang w:val="en-AU"/>
        </w:rPr>
        <w:t>Paper</w:t>
      </w:r>
    </w:p>
    <w:p w14:paraId="39E60B71" w14:textId="722E514B" w:rsidR="00F30FCD" w:rsidRPr="005734B8" w:rsidRDefault="00F30FCD" w:rsidP="005D50FA">
      <w:pPr>
        <w:rPr>
          <w:rFonts w:ascii="Calibri" w:eastAsia="Arial" w:hAnsi="Calibri" w:cs="Calibri"/>
        </w:rPr>
      </w:pPr>
      <w:r w:rsidRPr="005734B8">
        <w:rPr>
          <w:rFonts w:ascii="Calibri" w:hAnsi="Calibri" w:cs="Calibri"/>
        </w:rPr>
        <w:t>The data below was collected through the current Victorian Government mandated State Purchase Contract stationery supplier</w:t>
      </w:r>
      <w:r w:rsidR="007D3200" w:rsidRPr="005734B8">
        <w:rPr>
          <w:rFonts w:ascii="Calibri" w:hAnsi="Calibri" w:cs="Calibri"/>
        </w:rPr>
        <w:t>,</w:t>
      </w:r>
      <w:r w:rsidRPr="005734B8">
        <w:rPr>
          <w:rFonts w:ascii="Calibri" w:hAnsi="Calibri" w:cs="Calibri"/>
        </w:rPr>
        <w:t xml:space="preserve"> and represents 100 per cent of the Department’s (non-school) office sites and 100 per cent of FTE office-based staff. </w:t>
      </w:r>
      <w:r w:rsidRPr="005734B8">
        <w:rPr>
          <w:rFonts w:ascii="Calibri" w:eastAsia="Arial" w:hAnsi="Calibri" w:cs="Calibri"/>
        </w:rPr>
        <w:t>This data is for the period 1 April 2020</w:t>
      </w:r>
      <w:r w:rsidR="007D3200" w:rsidRPr="005734B8">
        <w:rPr>
          <w:rFonts w:ascii="Calibri" w:eastAsia="Arial" w:hAnsi="Calibri" w:cs="Calibri"/>
        </w:rPr>
        <w:t xml:space="preserve"> </w:t>
      </w:r>
      <w:r w:rsidRPr="005734B8">
        <w:rPr>
          <w:rFonts w:ascii="Calibri" w:eastAsia="Arial" w:hAnsi="Calibri" w:cs="Calibri"/>
        </w:rPr>
        <w:t>–</w:t>
      </w:r>
      <w:r w:rsidR="007D3200" w:rsidRPr="005734B8">
        <w:rPr>
          <w:rFonts w:ascii="Calibri" w:eastAsia="Arial" w:hAnsi="Calibri" w:cs="Calibri"/>
        </w:rPr>
        <w:t xml:space="preserve"> </w:t>
      </w:r>
      <w:r w:rsidRPr="005734B8">
        <w:rPr>
          <w:rFonts w:ascii="Calibri" w:eastAsia="Arial" w:hAnsi="Calibri" w:cs="Calibri"/>
        </w:rPr>
        <w:t>31 March 2021.</w:t>
      </w:r>
    </w:p>
    <w:p w14:paraId="49D50F7F" w14:textId="3A31A232" w:rsidR="00736226" w:rsidRPr="005734B8" w:rsidRDefault="00736226" w:rsidP="00736226">
      <w:pPr>
        <w:pStyle w:val="ESTableintroheading"/>
        <w:rPr>
          <w:rFonts w:ascii="Calibri" w:hAnsi="Calibri" w:cs="Calibri"/>
          <w:sz w:val="22"/>
          <w:szCs w:val="22"/>
        </w:rPr>
      </w:pPr>
      <w:bookmarkStart w:id="1018" w:name="_Toc11158291"/>
      <w:bookmarkStart w:id="1019" w:name="_Toc11336298"/>
      <w:bookmarkStart w:id="1020" w:name="_Toc14965524"/>
      <w:bookmarkStart w:id="1021" w:name="_Toc19272099"/>
      <w:bookmarkStart w:id="1022" w:name="_Toc19272465"/>
      <w:bookmarkStart w:id="1023" w:name="_Toc19273800"/>
      <w:r w:rsidRPr="005734B8">
        <w:rPr>
          <w:rFonts w:ascii="Calibri" w:hAnsi="Calibri" w:cs="Calibri"/>
          <w:sz w:val="22"/>
          <w:szCs w:val="22"/>
        </w:rPr>
        <w:t>Paper purchasing and usage</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2"/>
        <w:gridCol w:w="1389"/>
        <w:gridCol w:w="1363"/>
        <w:gridCol w:w="1637"/>
      </w:tblGrid>
      <w:tr w:rsidR="00736226" w:rsidRPr="005734B8" w14:paraId="6F9B7B32" w14:textId="77777777" w:rsidTr="00736226">
        <w:trPr>
          <w:cantSplit/>
          <w:trHeight w:val="242"/>
          <w:tblHeader/>
        </w:trPr>
        <w:tc>
          <w:tcPr>
            <w:tcW w:w="3532" w:type="dxa"/>
            <w:tcBorders>
              <w:bottom w:val="single" w:sz="4" w:space="0" w:color="FFFFFF" w:themeColor="background1"/>
            </w:tcBorders>
            <w:shd w:val="clear" w:color="auto" w:fill="AF272F" w:themeFill="accent4"/>
          </w:tcPr>
          <w:p w14:paraId="1EDAE098" w14:textId="77777777" w:rsidR="00736226" w:rsidRPr="005734B8" w:rsidRDefault="00736226" w:rsidP="00736226">
            <w:pPr>
              <w:pStyle w:val="ESTableheadingwhite"/>
              <w:rPr>
                <w:rFonts w:ascii="Calibri" w:hAnsi="Calibri" w:cs="Calibri"/>
                <w:sz w:val="22"/>
                <w:szCs w:val="22"/>
              </w:rPr>
            </w:pPr>
            <w:r w:rsidRPr="005734B8">
              <w:rPr>
                <w:rFonts w:ascii="Calibri" w:hAnsi="Calibri" w:cs="Calibri"/>
                <w:sz w:val="22"/>
                <w:szCs w:val="22"/>
              </w:rPr>
              <w:t>Indicator</w:t>
            </w:r>
          </w:p>
        </w:tc>
        <w:tc>
          <w:tcPr>
            <w:tcW w:w="1389" w:type="dxa"/>
            <w:tcBorders>
              <w:bottom w:val="single" w:sz="4" w:space="0" w:color="FFFFFF" w:themeColor="background1"/>
            </w:tcBorders>
            <w:shd w:val="clear" w:color="auto" w:fill="AF272F" w:themeFill="accent4"/>
          </w:tcPr>
          <w:p w14:paraId="4DE6D885" w14:textId="77777777" w:rsidR="00736226" w:rsidRPr="005734B8" w:rsidRDefault="00736226" w:rsidP="00736226">
            <w:pPr>
              <w:pStyle w:val="ESTableheadingwhite"/>
              <w:jc w:val="right"/>
              <w:rPr>
                <w:rFonts w:ascii="Calibri" w:hAnsi="Calibri" w:cs="Calibri"/>
                <w:sz w:val="22"/>
                <w:szCs w:val="22"/>
              </w:rPr>
            </w:pPr>
            <w:r w:rsidRPr="005734B8">
              <w:rPr>
                <w:rFonts w:ascii="Calibri" w:hAnsi="Calibri" w:cs="Calibri"/>
                <w:sz w:val="22"/>
                <w:szCs w:val="22"/>
              </w:rPr>
              <w:t>2020–21</w:t>
            </w:r>
          </w:p>
        </w:tc>
        <w:tc>
          <w:tcPr>
            <w:tcW w:w="1363" w:type="dxa"/>
            <w:tcBorders>
              <w:bottom w:val="single" w:sz="4" w:space="0" w:color="FFFFFF" w:themeColor="background1"/>
            </w:tcBorders>
            <w:shd w:val="clear" w:color="auto" w:fill="AF272F" w:themeFill="accent4"/>
          </w:tcPr>
          <w:p w14:paraId="2C0D5417" w14:textId="77777777" w:rsidR="00736226" w:rsidRPr="005734B8" w:rsidRDefault="00736226" w:rsidP="00736226">
            <w:pPr>
              <w:pStyle w:val="ESTableheadingwhite"/>
              <w:jc w:val="right"/>
              <w:rPr>
                <w:rFonts w:ascii="Calibri" w:hAnsi="Calibri" w:cs="Calibri"/>
                <w:sz w:val="22"/>
                <w:szCs w:val="22"/>
              </w:rPr>
            </w:pPr>
            <w:r w:rsidRPr="005734B8">
              <w:rPr>
                <w:rFonts w:ascii="Calibri" w:hAnsi="Calibri" w:cs="Calibri"/>
                <w:sz w:val="22"/>
                <w:szCs w:val="22"/>
              </w:rPr>
              <w:t>2019–20</w:t>
            </w:r>
          </w:p>
        </w:tc>
        <w:tc>
          <w:tcPr>
            <w:tcW w:w="1637" w:type="dxa"/>
            <w:tcBorders>
              <w:bottom w:val="single" w:sz="4" w:space="0" w:color="FFFFFF" w:themeColor="background1"/>
            </w:tcBorders>
            <w:shd w:val="clear" w:color="auto" w:fill="AF272F" w:themeFill="accent4"/>
          </w:tcPr>
          <w:p w14:paraId="165FADCE" w14:textId="77777777" w:rsidR="00736226" w:rsidRPr="005734B8" w:rsidRDefault="00736226" w:rsidP="00736226">
            <w:pPr>
              <w:pStyle w:val="ESTableheadingwhite"/>
              <w:jc w:val="right"/>
              <w:rPr>
                <w:rFonts w:ascii="Calibri" w:hAnsi="Calibri" w:cs="Calibri"/>
                <w:sz w:val="22"/>
                <w:szCs w:val="22"/>
              </w:rPr>
            </w:pPr>
            <w:r w:rsidRPr="005734B8">
              <w:rPr>
                <w:rFonts w:ascii="Calibri" w:hAnsi="Calibri" w:cs="Calibri"/>
                <w:sz w:val="22"/>
                <w:szCs w:val="22"/>
              </w:rPr>
              <w:t>2018–19</w:t>
            </w:r>
          </w:p>
        </w:tc>
      </w:tr>
      <w:tr w:rsidR="00736226" w:rsidRPr="005734B8" w14:paraId="0EB516A4" w14:textId="77777777" w:rsidTr="00736226">
        <w:trPr>
          <w:cantSplit/>
        </w:trPr>
        <w:tc>
          <w:tcPr>
            <w:tcW w:w="3532" w:type="dxa"/>
            <w:tcBorders>
              <w:top w:val="single" w:sz="4" w:space="0" w:color="53565A" w:themeColor="accent5"/>
              <w:bottom w:val="single" w:sz="4" w:space="0" w:color="53565A" w:themeColor="accent5"/>
            </w:tcBorders>
            <w:shd w:val="clear" w:color="auto" w:fill="FFFFFF" w:themeFill="background1"/>
            <w:vAlign w:val="center"/>
          </w:tcPr>
          <w:p w14:paraId="3AD21251" w14:textId="77777777" w:rsidR="00736226" w:rsidRPr="005734B8" w:rsidRDefault="00736226" w:rsidP="00736226">
            <w:pPr>
              <w:pStyle w:val="ESTablebody"/>
              <w:rPr>
                <w:rFonts w:ascii="Calibri" w:hAnsi="Calibri" w:cs="Calibri"/>
                <w:sz w:val="22"/>
                <w:szCs w:val="22"/>
              </w:rPr>
            </w:pPr>
            <w:r w:rsidRPr="005734B8">
              <w:rPr>
                <w:rFonts w:ascii="Calibri" w:hAnsi="Calibri" w:cs="Calibri"/>
                <w:sz w:val="22"/>
                <w:szCs w:val="22"/>
                <w:lang w:val="en-AU"/>
              </w:rPr>
              <w:t>P1: Total units of A4 equivalent copy paper used (reams)</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28158FA9" w14:textId="77777777" w:rsidR="00736226" w:rsidRPr="005734B8" w:rsidRDefault="00736226" w:rsidP="00736226">
            <w:pPr>
              <w:pStyle w:val="ESTablenumberrightaligned"/>
              <w:rPr>
                <w:rFonts w:ascii="Calibri" w:hAnsi="Calibri" w:cs="Calibri"/>
                <w:sz w:val="22"/>
                <w:szCs w:val="22"/>
              </w:rPr>
            </w:pPr>
            <w:r w:rsidRPr="005734B8">
              <w:rPr>
                <w:rFonts w:ascii="Calibri" w:hAnsi="Calibri" w:cs="Calibri"/>
                <w:sz w:val="22"/>
                <w:szCs w:val="22"/>
              </w:rPr>
              <w:t>3,799</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5E34FEE4" w14:textId="77777777" w:rsidR="00736226" w:rsidRPr="005734B8" w:rsidRDefault="00736226" w:rsidP="00736226">
            <w:pPr>
              <w:pStyle w:val="ESTablenumberrightaligned"/>
              <w:rPr>
                <w:rFonts w:ascii="Calibri" w:hAnsi="Calibri" w:cs="Calibri"/>
                <w:sz w:val="22"/>
                <w:szCs w:val="22"/>
              </w:rPr>
            </w:pPr>
            <w:r w:rsidRPr="005734B8">
              <w:rPr>
                <w:rFonts w:ascii="Calibri" w:eastAsia="Times New Roman" w:hAnsi="Calibri" w:cs="Calibri"/>
                <w:sz w:val="22"/>
                <w:szCs w:val="22"/>
              </w:rPr>
              <w:t>27,543</w:t>
            </w:r>
          </w:p>
        </w:tc>
        <w:tc>
          <w:tcPr>
            <w:tcW w:w="1637" w:type="dxa"/>
            <w:tcBorders>
              <w:top w:val="single" w:sz="4" w:space="0" w:color="53565A" w:themeColor="accent5"/>
              <w:bottom w:val="single" w:sz="4" w:space="0" w:color="53565A" w:themeColor="accent5"/>
            </w:tcBorders>
            <w:shd w:val="clear" w:color="auto" w:fill="FFFFFF" w:themeFill="background1"/>
            <w:vAlign w:val="center"/>
          </w:tcPr>
          <w:p w14:paraId="32234905" w14:textId="77777777" w:rsidR="00736226" w:rsidRPr="005734B8" w:rsidRDefault="00736226" w:rsidP="00736226">
            <w:pPr>
              <w:pStyle w:val="ESTablenumberrightaligned"/>
              <w:rPr>
                <w:rFonts w:ascii="Calibri" w:hAnsi="Calibri" w:cs="Calibri"/>
                <w:sz w:val="22"/>
                <w:szCs w:val="22"/>
              </w:rPr>
            </w:pPr>
            <w:r w:rsidRPr="005734B8">
              <w:rPr>
                <w:rFonts w:ascii="Calibri" w:hAnsi="Calibri" w:cs="Calibri"/>
                <w:sz w:val="22"/>
                <w:szCs w:val="22"/>
                <w:lang w:val="en-AU"/>
              </w:rPr>
              <w:t>42,025</w:t>
            </w:r>
          </w:p>
        </w:tc>
      </w:tr>
      <w:tr w:rsidR="00736226" w:rsidRPr="005734B8" w14:paraId="38FEBF8C" w14:textId="77777777" w:rsidTr="00736226">
        <w:trPr>
          <w:cantSplit/>
        </w:trPr>
        <w:tc>
          <w:tcPr>
            <w:tcW w:w="3532" w:type="dxa"/>
            <w:tcBorders>
              <w:top w:val="single" w:sz="4" w:space="0" w:color="53565A" w:themeColor="accent5"/>
              <w:bottom w:val="single" w:sz="4" w:space="0" w:color="53565A" w:themeColor="accent5"/>
            </w:tcBorders>
            <w:shd w:val="clear" w:color="auto" w:fill="auto"/>
            <w:vAlign w:val="center"/>
          </w:tcPr>
          <w:p w14:paraId="5432528A" w14:textId="77777777" w:rsidR="00736226" w:rsidRPr="005734B8" w:rsidRDefault="00736226" w:rsidP="00736226">
            <w:pPr>
              <w:pStyle w:val="ESTablebody"/>
              <w:rPr>
                <w:rFonts w:ascii="Calibri" w:hAnsi="Calibri" w:cs="Calibri"/>
                <w:sz w:val="22"/>
                <w:szCs w:val="22"/>
              </w:rPr>
            </w:pPr>
            <w:r w:rsidRPr="005734B8">
              <w:rPr>
                <w:rFonts w:ascii="Calibri" w:hAnsi="Calibri" w:cs="Calibri"/>
                <w:sz w:val="22"/>
                <w:szCs w:val="22"/>
                <w:lang w:val="en-AU"/>
              </w:rPr>
              <w:t xml:space="preserve">P2: Units of A4 equivalent copy paper used per FTE (reams/FTE) </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2995647B" w14:textId="14F4B374" w:rsidR="00736226" w:rsidRPr="005734B8" w:rsidRDefault="00736226" w:rsidP="00736226">
            <w:pPr>
              <w:pStyle w:val="ESTablenumberrightaligned"/>
              <w:rPr>
                <w:rFonts w:ascii="Calibri" w:hAnsi="Calibri" w:cs="Calibri"/>
                <w:sz w:val="22"/>
                <w:szCs w:val="22"/>
              </w:rPr>
            </w:pPr>
            <w:r w:rsidRPr="005734B8">
              <w:rPr>
                <w:rFonts w:ascii="Calibri" w:hAnsi="Calibri" w:cs="Calibri"/>
                <w:sz w:val="22"/>
                <w:szCs w:val="22"/>
              </w:rPr>
              <w:t>0.8</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633C8F2F" w14:textId="77777777" w:rsidR="00736226" w:rsidRPr="005734B8" w:rsidRDefault="00736226" w:rsidP="00736226">
            <w:pPr>
              <w:pStyle w:val="ESTablenumberrightaligned"/>
              <w:rPr>
                <w:rFonts w:ascii="Calibri" w:hAnsi="Calibri" w:cs="Calibri"/>
                <w:sz w:val="22"/>
                <w:szCs w:val="22"/>
              </w:rPr>
            </w:pPr>
            <w:r w:rsidRPr="005734B8">
              <w:rPr>
                <w:rFonts w:ascii="Calibri" w:eastAsia="Times New Roman" w:hAnsi="Calibri" w:cs="Calibri"/>
                <w:sz w:val="22"/>
                <w:szCs w:val="22"/>
              </w:rPr>
              <w:t>7</w:t>
            </w:r>
          </w:p>
        </w:tc>
        <w:tc>
          <w:tcPr>
            <w:tcW w:w="1637" w:type="dxa"/>
            <w:tcBorders>
              <w:top w:val="single" w:sz="4" w:space="0" w:color="53565A" w:themeColor="accent5"/>
              <w:bottom w:val="single" w:sz="4" w:space="0" w:color="53565A" w:themeColor="accent5"/>
            </w:tcBorders>
            <w:vAlign w:val="center"/>
          </w:tcPr>
          <w:p w14:paraId="254DE960" w14:textId="77777777" w:rsidR="00736226" w:rsidRPr="005734B8" w:rsidRDefault="00736226" w:rsidP="00736226">
            <w:pPr>
              <w:pStyle w:val="ESTablenumberrightaligned"/>
              <w:rPr>
                <w:rFonts w:ascii="Calibri" w:hAnsi="Calibri" w:cs="Calibri"/>
                <w:sz w:val="22"/>
                <w:szCs w:val="22"/>
              </w:rPr>
            </w:pPr>
            <w:r w:rsidRPr="005734B8">
              <w:rPr>
                <w:rFonts w:ascii="Calibri" w:hAnsi="Calibri" w:cs="Calibri"/>
                <w:sz w:val="22"/>
                <w:szCs w:val="22"/>
              </w:rPr>
              <w:t>11</w:t>
            </w:r>
          </w:p>
        </w:tc>
      </w:tr>
      <w:tr w:rsidR="00736226" w:rsidRPr="005734B8" w14:paraId="3A502216" w14:textId="77777777" w:rsidTr="00736226">
        <w:trPr>
          <w:cantSplit/>
        </w:trPr>
        <w:tc>
          <w:tcPr>
            <w:tcW w:w="3532" w:type="dxa"/>
            <w:tcBorders>
              <w:top w:val="single" w:sz="4" w:space="0" w:color="53565A" w:themeColor="accent5"/>
              <w:bottom w:val="single" w:sz="4" w:space="0" w:color="53565A" w:themeColor="accent5"/>
            </w:tcBorders>
            <w:shd w:val="clear" w:color="auto" w:fill="auto"/>
            <w:vAlign w:val="center"/>
          </w:tcPr>
          <w:p w14:paraId="20073621" w14:textId="77777777" w:rsidR="00736226" w:rsidRPr="005734B8" w:rsidRDefault="00736226" w:rsidP="00736226">
            <w:pPr>
              <w:pStyle w:val="ESTablebody"/>
              <w:rPr>
                <w:rFonts w:ascii="Calibri" w:hAnsi="Calibri" w:cs="Calibri"/>
                <w:sz w:val="22"/>
                <w:szCs w:val="22"/>
              </w:rPr>
            </w:pPr>
            <w:r w:rsidRPr="005734B8">
              <w:rPr>
                <w:rFonts w:ascii="Calibri" w:hAnsi="Calibri" w:cs="Calibri"/>
                <w:sz w:val="22"/>
                <w:szCs w:val="22"/>
                <w:lang w:val="en-AU"/>
              </w:rPr>
              <w:t>P3: Percentage of 75–100% recycled content copy paper purchased (%)</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4FB4426A" w14:textId="77777777" w:rsidR="00736226" w:rsidRPr="005734B8" w:rsidRDefault="00736226" w:rsidP="00736226">
            <w:pPr>
              <w:pStyle w:val="ESTablenumberrightaligned"/>
              <w:rPr>
                <w:rFonts w:ascii="Calibri" w:hAnsi="Calibri" w:cs="Calibri"/>
                <w:sz w:val="22"/>
                <w:szCs w:val="22"/>
              </w:rPr>
            </w:pPr>
            <w:r w:rsidRPr="005734B8">
              <w:rPr>
                <w:rFonts w:ascii="Calibri" w:hAnsi="Calibri" w:cs="Calibri"/>
                <w:sz w:val="22"/>
                <w:szCs w:val="22"/>
              </w:rPr>
              <w:t>64</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5164BFB6" w14:textId="77777777" w:rsidR="00736226" w:rsidRPr="005734B8" w:rsidRDefault="00736226" w:rsidP="00736226">
            <w:pPr>
              <w:pStyle w:val="ESTablenumberrightaligned"/>
              <w:rPr>
                <w:rFonts w:ascii="Calibri" w:hAnsi="Calibri" w:cs="Calibri"/>
                <w:sz w:val="22"/>
                <w:szCs w:val="22"/>
              </w:rPr>
            </w:pPr>
            <w:r w:rsidRPr="005734B8">
              <w:rPr>
                <w:rFonts w:ascii="Calibri" w:eastAsia="Times New Roman" w:hAnsi="Calibri" w:cs="Calibri"/>
                <w:sz w:val="22"/>
                <w:szCs w:val="22"/>
              </w:rPr>
              <w:t>59</w:t>
            </w:r>
          </w:p>
        </w:tc>
        <w:tc>
          <w:tcPr>
            <w:tcW w:w="1637" w:type="dxa"/>
            <w:tcBorders>
              <w:top w:val="single" w:sz="4" w:space="0" w:color="53565A" w:themeColor="accent5"/>
              <w:bottom w:val="single" w:sz="4" w:space="0" w:color="53565A" w:themeColor="accent5"/>
            </w:tcBorders>
            <w:vAlign w:val="center"/>
          </w:tcPr>
          <w:p w14:paraId="211B95D7" w14:textId="77777777" w:rsidR="00736226" w:rsidRPr="005734B8" w:rsidRDefault="00736226" w:rsidP="00736226">
            <w:pPr>
              <w:pStyle w:val="ESTablenumberrightaligned"/>
              <w:rPr>
                <w:rFonts w:ascii="Calibri" w:hAnsi="Calibri" w:cs="Calibri"/>
                <w:sz w:val="22"/>
                <w:szCs w:val="22"/>
              </w:rPr>
            </w:pPr>
            <w:r w:rsidRPr="005734B8">
              <w:rPr>
                <w:rFonts w:ascii="Calibri" w:hAnsi="Calibri" w:cs="Calibri"/>
                <w:sz w:val="22"/>
                <w:szCs w:val="22"/>
              </w:rPr>
              <w:t>61</w:t>
            </w:r>
          </w:p>
        </w:tc>
      </w:tr>
      <w:tr w:rsidR="00736226" w:rsidRPr="005734B8" w14:paraId="2FA00919" w14:textId="77777777" w:rsidTr="00736226">
        <w:trPr>
          <w:cantSplit/>
        </w:trPr>
        <w:tc>
          <w:tcPr>
            <w:tcW w:w="3532" w:type="dxa"/>
            <w:tcBorders>
              <w:top w:val="single" w:sz="4" w:space="0" w:color="53565A" w:themeColor="accent5"/>
              <w:bottom w:val="single" w:sz="4" w:space="0" w:color="53565A" w:themeColor="accent5"/>
            </w:tcBorders>
            <w:shd w:val="clear" w:color="auto" w:fill="auto"/>
            <w:vAlign w:val="center"/>
          </w:tcPr>
          <w:p w14:paraId="2F387CB0" w14:textId="77777777" w:rsidR="00736226" w:rsidRPr="005734B8" w:rsidRDefault="00736226" w:rsidP="00736226">
            <w:pPr>
              <w:pStyle w:val="ESTablebody"/>
              <w:rPr>
                <w:rFonts w:ascii="Calibri" w:hAnsi="Calibri" w:cs="Calibri"/>
                <w:sz w:val="22"/>
                <w:szCs w:val="22"/>
              </w:rPr>
            </w:pPr>
            <w:r w:rsidRPr="005734B8">
              <w:rPr>
                <w:rFonts w:ascii="Calibri" w:hAnsi="Calibri" w:cs="Calibri"/>
                <w:sz w:val="22"/>
                <w:szCs w:val="22"/>
                <w:lang w:val="en-AU"/>
              </w:rPr>
              <w:t>P3: Percentage of 50–74% recycled content copy paper purchased (%)</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2514257C" w14:textId="69046F7D" w:rsidR="00736226" w:rsidRPr="005734B8" w:rsidRDefault="007D3200" w:rsidP="00736226">
            <w:pPr>
              <w:pStyle w:val="ESTablenumberrightaligned"/>
              <w:rPr>
                <w:rFonts w:ascii="Calibri" w:hAnsi="Calibri" w:cs="Calibri"/>
                <w:sz w:val="22"/>
                <w:szCs w:val="22"/>
              </w:rPr>
            </w:pPr>
            <w:r w:rsidRPr="005734B8">
              <w:rPr>
                <w:rFonts w:ascii="Calibri" w:hAnsi="Calibri" w:cs="Calibri"/>
                <w:sz w:val="22"/>
                <w:szCs w:val="22"/>
              </w:rPr>
              <w:t>–</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10EECCB5" w14:textId="02C6EA49" w:rsidR="00736226" w:rsidRPr="005734B8" w:rsidRDefault="007D3200" w:rsidP="00736226">
            <w:pPr>
              <w:pStyle w:val="ESTablenumberrightaligned"/>
              <w:rPr>
                <w:rFonts w:ascii="Calibri" w:hAnsi="Calibri" w:cs="Calibri"/>
                <w:sz w:val="22"/>
                <w:szCs w:val="22"/>
              </w:rPr>
            </w:pPr>
            <w:r w:rsidRPr="005734B8">
              <w:rPr>
                <w:rFonts w:ascii="Calibri" w:hAnsi="Calibri" w:cs="Calibri"/>
                <w:sz w:val="22"/>
                <w:szCs w:val="22"/>
              </w:rPr>
              <w:t>–</w:t>
            </w:r>
          </w:p>
        </w:tc>
        <w:tc>
          <w:tcPr>
            <w:tcW w:w="1637" w:type="dxa"/>
            <w:tcBorders>
              <w:top w:val="single" w:sz="4" w:space="0" w:color="53565A" w:themeColor="accent5"/>
              <w:bottom w:val="single" w:sz="4" w:space="0" w:color="53565A" w:themeColor="accent5"/>
            </w:tcBorders>
            <w:vAlign w:val="center"/>
          </w:tcPr>
          <w:p w14:paraId="342FFA3F" w14:textId="12640AE7" w:rsidR="00736226" w:rsidRPr="005734B8" w:rsidRDefault="007D3200" w:rsidP="00736226">
            <w:pPr>
              <w:pStyle w:val="ESTablenumberrightaligned"/>
              <w:rPr>
                <w:rFonts w:ascii="Calibri" w:hAnsi="Calibri" w:cs="Calibri"/>
                <w:sz w:val="22"/>
                <w:szCs w:val="22"/>
              </w:rPr>
            </w:pPr>
            <w:r w:rsidRPr="005734B8">
              <w:rPr>
                <w:rFonts w:ascii="Calibri" w:hAnsi="Calibri" w:cs="Calibri"/>
                <w:sz w:val="22"/>
                <w:szCs w:val="22"/>
              </w:rPr>
              <w:t>–</w:t>
            </w:r>
          </w:p>
        </w:tc>
      </w:tr>
      <w:tr w:rsidR="00736226" w:rsidRPr="005734B8" w14:paraId="3172ABB7" w14:textId="77777777" w:rsidTr="00736226">
        <w:trPr>
          <w:cantSplit/>
        </w:trPr>
        <w:tc>
          <w:tcPr>
            <w:tcW w:w="3532" w:type="dxa"/>
            <w:tcBorders>
              <w:top w:val="single" w:sz="4" w:space="0" w:color="53565A" w:themeColor="accent5"/>
              <w:bottom w:val="single" w:sz="4" w:space="0" w:color="53565A" w:themeColor="accent5"/>
            </w:tcBorders>
            <w:shd w:val="clear" w:color="auto" w:fill="auto"/>
            <w:vAlign w:val="center"/>
          </w:tcPr>
          <w:p w14:paraId="2989BF21" w14:textId="77777777" w:rsidR="00736226" w:rsidRPr="005734B8" w:rsidRDefault="00736226" w:rsidP="00736226">
            <w:pPr>
              <w:pStyle w:val="ESTablebody"/>
              <w:rPr>
                <w:rFonts w:ascii="Calibri" w:hAnsi="Calibri" w:cs="Calibri"/>
                <w:sz w:val="22"/>
                <w:szCs w:val="22"/>
                <w:lang w:val="en-AU"/>
              </w:rPr>
            </w:pPr>
            <w:r w:rsidRPr="005734B8">
              <w:rPr>
                <w:rFonts w:ascii="Calibri" w:hAnsi="Calibri" w:cs="Calibri"/>
                <w:sz w:val="22"/>
                <w:szCs w:val="22"/>
                <w:lang w:val="en-AU"/>
              </w:rPr>
              <w:t>P3: Percentage of 0–49% recycled content copy paper purchased (%)</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24760D90" w14:textId="77777777" w:rsidR="00736226" w:rsidRPr="005734B8" w:rsidRDefault="00736226" w:rsidP="00736226">
            <w:pPr>
              <w:pStyle w:val="ESTablenumberrightaligned"/>
              <w:rPr>
                <w:rFonts w:ascii="Calibri" w:hAnsi="Calibri" w:cs="Calibri"/>
                <w:sz w:val="22"/>
                <w:szCs w:val="22"/>
              </w:rPr>
            </w:pPr>
            <w:r w:rsidRPr="005734B8">
              <w:rPr>
                <w:rFonts w:ascii="Calibri" w:hAnsi="Calibri" w:cs="Calibri"/>
                <w:sz w:val="22"/>
                <w:szCs w:val="22"/>
              </w:rPr>
              <w:t>36</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5FF3061B" w14:textId="77777777" w:rsidR="00736226" w:rsidRPr="005734B8" w:rsidRDefault="00736226" w:rsidP="00736226">
            <w:pPr>
              <w:pStyle w:val="ESTablenumberrightaligned"/>
              <w:rPr>
                <w:rFonts w:ascii="Calibri" w:hAnsi="Calibri" w:cs="Calibri"/>
                <w:sz w:val="22"/>
                <w:szCs w:val="22"/>
                <w:lang w:val="en-AU"/>
              </w:rPr>
            </w:pPr>
            <w:r w:rsidRPr="005734B8">
              <w:rPr>
                <w:rFonts w:ascii="Calibri" w:eastAsia="Times New Roman" w:hAnsi="Calibri" w:cs="Calibri"/>
                <w:sz w:val="22"/>
                <w:szCs w:val="22"/>
              </w:rPr>
              <w:t>41</w:t>
            </w:r>
          </w:p>
        </w:tc>
        <w:tc>
          <w:tcPr>
            <w:tcW w:w="1637" w:type="dxa"/>
            <w:tcBorders>
              <w:top w:val="single" w:sz="4" w:space="0" w:color="53565A" w:themeColor="accent5"/>
              <w:bottom w:val="single" w:sz="4" w:space="0" w:color="53565A" w:themeColor="accent5"/>
            </w:tcBorders>
            <w:vAlign w:val="center"/>
          </w:tcPr>
          <w:p w14:paraId="093E2DE0" w14:textId="77777777" w:rsidR="00736226" w:rsidRPr="005734B8" w:rsidRDefault="00736226" w:rsidP="00736226">
            <w:pPr>
              <w:pStyle w:val="ESTablenumberrightaligned"/>
              <w:rPr>
                <w:rFonts w:ascii="Calibri" w:hAnsi="Calibri" w:cs="Calibri"/>
                <w:sz w:val="22"/>
                <w:szCs w:val="22"/>
                <w:lang w:val="en-AU"/>
              </w:rPr>
            </w:pPr>
            <w:r w:rsidRPr="005734B8">
              <w:rPr>
                <w:rFonts w:ascii="Calibri" w:hAnsi="Calibri" w:cs="Calibri"/>
                <w:sz w:val="22"/>
                <w:szCs w:val="22"/>
              </w:rPr>
              <w:t>39</w:t>
            </w:r>
          </w:p>
        </w:tc>
      </w:tr>
    </w:tbl>
    <w:p w14:paraId="791C2160" w14:textId="678AA50E" w:rsidR="00736226" w:rsidRPr="005734B8" w:rsidRDefault="00736226" w:rsidP="00736226">
      <w:pPr>
        <w:pStyle w:val="ESHeading4"/>
        <w:ind w:left="0" w:firstLine="0"/>
        <w:rPr>
          <w:rFonts w:ascii="Calibri" w:hAnsi="Calibri" w:cs="Calibri"/>
        </w:rPr>
      </w:pPr>
      <w:r w:rsidRPr="005734B8">
        <w:rPr>
          <w:rFonts w:ascii="Calibri" w:hAnsi="Calibri" w:cs="Calibri"/>
        </w:rPr>
        <w:t>Actions undertaken</w:t>
      </w:r>
    </w:p>
    <w:p w14:paraId="7FE4F4CF" w14:textId="77777777" w:rsidR="00736226" w:rsidRPr="005734B8" w:rsidRDefault="00736226" w:rsidP="005033B6">
      <w:pPr>
        <w:rPr>
          <w:rFonts w:ascii="Calibri" w:hAnsi="Calibri" w:cs="Calibri"/>
        </w:rPr>
      </w:pPr>
      <w:r w:rsidRPr="005734B8">
        <w:rPr>
          <w:rFonts w:ascii="Calibri" w:eastAsia="Arial" w:hAnsi="Calibri" w:cs="Calibri"/>
        </w:rPr>
        <w:t>As part of the State Purchase Contract arrangement during 2020–21, there has been a continued focus on redirecting product selection for white A4 copy paper purchases to a 100 per cent recycled product.</w:t>
      </w:r>
    </w:p>
    <w:p w14:paraId="66C31183" w14:textId="77777777" w:rsidR="00736226" w:rsidRPr="005734B8" w:rsidRDefault="00736226" w:rsidP="00736226">
      <w:pPr>
        <w:pStyle w:val="ESHeading4"/>
        <w:ind w:left="0" w:firstLine="0"/>
        <w:rPr>
          <w:rFonts w:ascii="Calibri" w:hAnsi="Calibri" w:cs="Calibri"/>
        </w:rPr>
      </w:pPr>
      <w:r w:rsidRPr="005734B8">
        <w:rPr>
          <w:rFonts w:ascii="Calibri" w:hAnsi="Calibri" w:cs="Calibri"/>
        </w:rPr>
        <w:t>Target</w:t>
      </w:r>
    </w:p>
    <w:p w14:paraId="46796963" w14:textId="38355A9A" w:rsidR="00736226" w:rsidRPr="005734B8" w:rsidRDefault="00736226" w:rsidP="00736226">
      <w:pPr>
        <w:rPr>
          <w:rFonts w:ascii="Calibri" w:hAnsi="Calibri" w:cs="Calibri"/>
        </w:rPr>
      </w:pPr>
      <w:r w:rsidRPr="005734B8">
        <w:rPr>
          <w:rFonts w:ascii="Calibri" w:hAnsi="Calibri" w:cs="Calibri"/>
        </w:rPr>
        <w:t>The following target was set in 2020</w:t>
      </w:r>
      <w:r w:rsidR="005D50FA" w:rsidRPr="005734B8">
        <w:rPr>
          <w:rFonts w:ascii="Calibri" w:hAnsi="Calibri" w:cs="Calibri"/>
        </w:rPr>
        <w:t>–</w:t>
      </w:r>
      <w:r w:rsidRPr="005734B8">
        <w:rPr>
          <w:rFonts w:ascii="Calibri" w:hAnsi="Calibri" w:cs="Calibri"/>
        </w:rPr>
        <w:t>21</w:t>
      </w:r>
      <w:r w:rsidR="00FB070F" w:rsidRPr="005734B8">
        <w:rPr>
          <w:rFonts w:ascii="Calibri" w:hAnsi="Calibri" w:cs="Calibri"/>
        </w:rPr>
        <w:t>:</w:t>
      </w:r>
    </w:p>
    <w:p w14:paraId="5FADAD44" w14:textId="77777777" w:rsidR="00736226" w:rsidRPr="005734B8" w:rsidRDefault="00736226" w:rsidP="00670895">
      <w:pPr>
        <w:pStyle w:val="ListParagraph"/>
        <w:numPr>
          <w:ilvl w:val="0"/>
          <w:numId w:val="76"/>
        </w:numPr>
        <w:rPr>
          <w:rFonts w:ascii="Calibri" w:hAnsi="Calibri" w:cs="Calibri"/>
        </w:rPr>
      </w:pPr>
      <w:r w:rsidRPr="005734B8">
        <w:rPr>
          <w:rFonts w:ascii="Calibri" w:hAnsi="Calibri" w:cs="Calibri"/>
        </w:rPr>
        <w:t>Reduce copy paper usage to six A4 reams per FTE by 31 March 2021.</w:t>
      </w:r>
    </w:p>
    <w:p w14:paraId="0C330AEA" w14:textId="7B07D7C7" w:rsidR="00736226" w:rsidRPr="005734B8" w:rsidRDefault="00736226" w:rsidP="00736226">
      <w:pPr>
        <w:pStyle w:val="ESHeading4"/>
        <w:ind w:left="0" w:firstLine="0"/>
        <w:rPr>
          <w:rFonts w:ascii="Calibri" w:hAnsi="Calibri" w:cs="Calibri"/>
        </w:rPr>
      </w:pPr>
      <w:r w:rsidRPr="005734B8">
        <w:rPr>
          <w:rFonts w:ascii="Calibri" w:hAnsi="Calibri" w:cs="Calibri"/>
        </w:rPr>
        <w:t>Explanatory notes</w:t>
      </w:r>
    </w:p>
    <w:p w14:paraId="4F1C098A" w14:textId="3AE40ACC" w:rsidR="00736226" w:rsidRPr="005734B8" w:rsidRDefault="00736226" w:rsidP="005033B6">
      <w:pPr>
        <w:rPr>
          <w:rFonts w:ascii="Calibri" w:eastAsia="Arial" w:hAnsi="Calibri" w:cs="Calibri"/>
        </w:rPr>
      </w:pPr>
      <w:r w:rsidRPr="005734B8">
        <w:rPr>
          <w:rFonts w:ascii="Calibri" w:eastAsia="Arial" w:hAnsi="Calibri" w:cs="Calibri"/>
        </w:rPr>
        <w:t xml:space="preserve">Total copy paper usage in 2020–21 </w:t>
      </w:r>
      <w:r w:rsidR="005033B6" w:rsidRPr="005734B8">
        <w:rPr>
          <w:rFonts w:ascii="Calibri" w:eastAsia="Arial" w:hAnsi="Calibri" w:cs="Calibri"/>
        </w:rPr>
        <w:t xml:space="preserve">reduced </w:t>
      </w:r>
      <w:r w:rsidR="00872BDA" w:rsidRPr="005734B8">
        <w:rPr>
          <w:rFonts w:ascii="Calibri" w:eastAsia="Arial" w:hAnsi="Calibri" w:cs="Calibri"/>
        </w:rPr>
        <w:t xml:space="preserve">by </w:t>
      </w:r>
      <w:r w:rsidR="005033B6" w:rsidRPr="005734B8">
        <w:rPr>
          <w:rFonts w:ascii="Calibri" w:eastAsia="Arial" w:hAnsi="Calibri" w:cs="Calibri"/>
        </w:rPr>
        <w:t xml:space="preserve">625 per cent </w:t>
      </w:r>
      <w:r w:rsidRPr="005734B8">
        <w:rPr>
          <w:rFonts w:ascii="Calibri" w:eastAsia="Arial" w:hAnsi="Calibri" w:cs="Calibri"/>
        </w:rPr>
        <w:t>due to the number of staff working from home. The target of six reams per FTE has been met, with less than one (0.8) ream of paper being used per FTE.</w:t>
      </w:r>
    </w:p>
    <w:p w14:paraId="00122C3C" w14:textId="77777777" w:rsidR="005033B6" w:rsidRPr="005734B8" w:rsidRDefault="005033B6" w:rsidP="005033B6">
      <w:pPr>
        <w:rPr>
          <w:rFonts w:ascii="Calibri" w:eastAsia="Arial" w:hAnsi="Calibri" w:cs="Calibri"/>
        </w:rPr>
      </w:pPr>
    </w:p>
    <w:p w14:paraId="32D70800" w14:textId="6D4B0A14" w:rsidR="00C65BC4" w:rsidRPr="005734B8" w:rsidRDefault="00736226" w:rsidP="005033B6">
      <w:pPr>
        <w:rPr>
          <w:rFonts w:ascii="Calibri" w:eastAsia="Arial" w:hAnsi="Calibri" w:cs="Calibri"/>
        </w:rPr>
      </w:pPr>
      <w:r w:rsidRPr="005734B8">
        <w:rPr>
          <w:rFonts w:ascii="Calibri" w:eastAsia="Arial" w:hAnsi="Calibri" w:cs="Calibri"/>
        </w:rPr>
        <w:t>The proportion of copy paper purchased with the highest recycled content increased to 64 per cent in 2020–21, compared to 59 per cent in 2019–20.</w:t>
      </w:r>
      <w:r w:rsidR="005033B6" w:rsidRPr="005734B8">
        <w:rPr>
          <w:rFonts w:ascii="Calibri" w:eastAsia="Arial" w:hAnsi="Calibri" w:cs="Calibri"/>
        </w:rPr>
        <w:t xml:space="preserve"> </w:t>
      </w:r>
      <w:r w:rsidRPr="005734B8">
        <w:rPr>
          <w:rFonts w:ascii="Calibri" w:eastAsia="Arial" w:hAnsi="Calibri" w:cs="Calibri"/>
        </w:rPr>
        <w:t xml:space="preserve">The Department will </w:t>
      </w:r>
      <w:r w:rsidRPr="005734B8">
        <w:rPr>
          <w:rFonts w:ascii="Calibri" w:eastAsia="Arial" w:hAnsi="Calibri" w:cs="Calibri"/>
        </w:rPr>
        <w:lastRenderedPageBreak/>
        <w:t>continue to drive higher levels of recycled content purchases in 2021–22 through internal promotion of the revised product selection available under the State Purchase Contract.</w:t>
      </w:r>
    </w:p>
    <w:bookmarkEnd w:id="1018"/>
    <w:bookmarkEnd w:id="1019"/>
    <w:bookmarkEnd w:id="1020"/>
    <w:bookmarkEnd w:id="1021"/>
    <w:bookmarkEnd w:id="1022"/>
    <w:bookmarkEnd w:id="1023"/>
    <w:p w14:paraId="7DFCA29A" w14:textId="29020E53" w:rsidR="000C2324" w:rsidRPr="005734B8" w:rsidRDefault="000C2324" w:rsidP="000C2324">
      <w:pPr>
        <w:pStyle w:val="ESHeading3"/>
        <w:ind w:left="0" w:firstLine="0"/>
        <w:rPr>
          <w:rFonts w:ascii="Calibri" w:hAnsi="Calibri" w:cs="Calibri"/>
          <w:lang w:val="en-AU"/>
        </w:rPr>
      </w:pPr>
      <w:r w:rsidRPr="005734B8">
        <w:rPr>
          <w:rFonts w:ascii="Calibri" w:hAnsi="Calibri" w:cs="Calibri"/>
          <w:lang w:val="en-AU"/>
        </w:rPr>
        <w:t>Water</w:t>
      </w:r>
    </w:p>
    <w:p w14:paraId="75E24AA9" w14:textId="2FD3B9A2" w:rsidR="000C2324" w:rsidRPr="005734B8" w:rsidRDefault="000C2324" w:rsidP="000C2324">
      <w:pPr>
        <w:rPr>
          <w:rFonts w:ascii="Calibri" w:hAnsi="Calibri" w:cs="Calibri"/>
        </w:rPr>
      </w:pPr>
      <w:r w:rsidRPr="005734B8">
        <w:rPr>
          <w:rFonts w:ascii="Calibri" w:hAnsi="Calibri" w:cs="Calibri"/>
        </w:rPr>
        <w:t xml:space="preserve">The data below is based on water meter readings that have been uploaded to the ESP database by </w:t>
      </w:r>
      <w:r w:rsidR="005B527C" w:rsidRPr="005734B8">
        <w:rPr>
          <w:rFonts w:ascii="Calibri" w:hAnsi="Calibri" w:cs="Calibri"/>
          <w:szCs w:val="22"/>
        </w:rPr>
        <w:t>Jones Lang LaSalle</w:t>
      </w:r>
      <w:r w:rsidRPr="005734B8">
        <w:rPr>
          <w:rFonts w:ascii="Calibri" w:hAnsi="Calibri" w:cs="Calibri"/>
          <w:szCs w:val="22"/>
        </w:rPr>
        <w:t>.</w:t>
      </w:r>
      <w:r w:rsidRPr="005734B8">
        <w:rPr>
          <w:rFonts w:ascii="Calibri" w:hAnsi="Calibri" w:cs="Calibri"/>
        </w:rPr>
        <w:t xml:space="preserve"> Data shows that 81 per cent of the Department’s office sites cover about 85 per cent of FTEs. This represents 47 per cent and 16 per cent improvement (respectively) in data collection compared to last year’s report.</w:t>
      </w:r>
    </w:p>
    <w:p w14:paraId="5B5F295B" w14:textId="41648519" w:rsidR="000C2324" w:rsidRPr="005734B8" w:rsidRDefault="000C2324" w:rsidP="000C2324">
      <w:pPr>
        <w:pStyle w:val="ESTableintroheading"/>
        <w:rPr>
          <w:rFonts w:ascii="Calibri" w:hAnsi="Calibri" w:cs="Calibri"/>
          <w:sz w:val="22"/>
          <w:szCs w:val="22"/>
        </w:rPr>
      </w:pPr>
      <w:r w:rsidRPr="005734B8">
        <w:rPr>
          <w:rFonts w:ascii="Calibri" w:hAnsi="Calibri" w:cs="Calibri"/>
          <w:sz w:val="22"/>
          <w:szCs w:val="22"/>
        </w:rPr>
        <w:t>Water consumption</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106"/>
        <w:gridCol w:w="1271"/>
        <w:gridCol w:w="1272"/>
        <w:gridCol w:w="1272"/>
      </w:tblGrid>
      <w:tr w:rsidR="000C2324" w:rsidRPr="005734B8" w14:paraId="462E8F17" w14:textId="77777777" w:rsidTr="00872BDA">
        <w:trPr>
          <w:cantSplit/>
          <w:trHeight w:val="242"/>
          <w:tblHeader/>
        </w:trPr>
        <w:tc>
          <w:tcPr>
            <w:tcW w:w="4106" w:type="dxa"/>
            <w:tcBorders>
              <w:bottom w:val="single" w:sz="4" w:space="0" w:color="FFFFFF" w:themeColor="background1"/>
            </w:tcBorders>
            <w:shd w:val="clear" w:color="auto" w:fill="AF272F" w:themeFill="accent4"/>
          </w:tcPr>
          <w:p w14:paraId="7EA17576" w14:textId="77777777" w:rsidR="000C2324" w:rsidRPr="005734B8" w:rsidRDefault="000C2324" w:rsidP="000C2324">
            <w:pPr>
              <w:pStyle w:val="ESTableheadingwhite"/>
              <w:rPr>
                <w:rFonts w:ascii="Calibri" w:hAnsi="Calibri" w:cs="Calibri"/>
                <w:sz w:val="22"/>
                <w:szCs w:val="22"/>
              </w:rPr>
            </w:pPr>
            <w:r w:rsidRPr="005734B8">
              <w:rPr>
                <w:rFonts w:ascii="Calibri" w:hAnsi="Calibri" w:cs="Calibri"/>
                <w:sz w:val="22"/>
                <w:szCs w:val="22"/>
              </w:rPr>
              <w:t>Indicator</w:t>
            </w:r>
          </w:p>
        </w:tc>
        <w:tc>
          <w:tcPr>
            <w:tcW w:w="1271" w:type="dxa"/>
            <w:tcBorders>
              <w:bottom w:val="single" w:sz="4" w:space="0" w:color="FFFFFF" w:themeColor="background1"/>
            </w:tcBorders>
            <w:shd w:val="clear" w:color="auto" w:fill="AF272F" w:themeFill="accent4"/>
          </w:tcPr>
          <w:p w14:paraId="132435B1" w14:textId="77777777" w:rsidR="000C2324" w:rsidRPr="005734B8" w:rsidRDefault="000C2324" w:rsidP="000C2324">
            <w:pPr>
              <w:pStyle w:val="ESTableheadingwhite"/>
              <w:jc w:val="right"/>
              <w:rPr>
                <w:rFonts w:ascii="Calibri" w:hAnsi="Calibri" w:cs="Calibri"/>
                <w:sz w:val="22"/>
                <w:szCs w:val="22"/>
              </w:rPr>
            </w:pPr>
            <w:r w:rsidRPr="005734B8">
              <w:rPr>
                <w:rFonts w:ascii="Calibri" w:hAnsi="Calibri" w:cs="Calibri"/>
                <w:sz w:val="22"/>
                <w:szCs w:val="22"/>
              </w:rPr>
              <w:t>2020–21</w:t>
            </w:r>
          </w:p>
        </w:tc>
        <w:tc>
          <w:tcPr>
            <w:tcW w:w="1272" w:type="dxa"/>
            <w:tcBorders>
              <w:bottom w:val="single" w:sz="4" w:space="0" w:color="FFFFFF" w:themeColor="background1"/>
            </w:tcBorders>
            <w:shd w:val="clear" w:color="auto" w:fill="AF272F" w:themeFill="accent4"/>
          </w:tcPr>
          <w:p w14:paraId="6F2C8AA9" w14:textId="77777777" w:rsidR="000C2324" w:rsidRPr="005734B8" w:rsidRDefault="000C2324" w:rsidP="000C2324">
            <w:pPr>
              <w:pStyle w:val="ESTableheadingwhite"/>
              <w:jc w:val="right"/>
              <w:rPr>
                <w:rFonts w:ascii="Calibri" w:hAnsi="Calibri" w:cs="Calibri"/>
                <w:sz w:val="22"/>
                <w:szCs w:val="22"/>
              </w:rPr>
            </w:pPr>
            <w:r w:rsidRPr="005734B8">
              <w:rPr>
                <w:rFonts w:ascii="Calibri" w:hAnsi="Calibri" w:cs="Calibri"/>
                <w:sz w:val="22"/>
                <w:szCs w:val="22"/>
              </w:rPr>
              <w:t>2019–20</w:t>
            </w:r>
          </w:p>
        </w:tc>
        <w:tc>
          <w:tcPr>
            <w:tcW w:w="1272" w:type="dxa"/>
            <w:tcBorders>
              <w:bottom w:val="single" w:sz="4" w:space="0" w:color="FFFFFF" w:themeColor="background1"/>
            </w:tcBorders>
            <w:shd w:val="clear" w:color="auto" w:fill="AF272F" w:themeFill="accent4"/>
          </w:tcPr>
          <w:p w14:paraId="1AD05A8D" w14:textId="77777777" w:rsidR="000C2324" w:rsidRPr="005734B8" w:rsidRDefault="000C2324" w:rsidP="000C2324">
            <w:pPr>
              <w:pStyle w:val="ESTableheadingwhite"/>
              <w:jc w:val="right"/>
              <w:rPr>
                <w:rFonts w:ascii="Calibri" w:hAnsi="Calibri" w:cs="Calibri"/>
                <w:sz w:val="22"/>
                <w:szCs w:val="22"/>
              </w:rPr>
            </w:pPr>
            <w:r w:rsidRPr="005734B8">
              <w:rPr>
                <w:rFonts w:ascii="Calibri" w:hAnsi="Calibri" w:cs="Calibri"/>
                <w:sz w:val="22"/>
                <w:szCs w:val="22"/>
              </w:rPr>
              <w:t>2018–19</w:t>
            </w:r>
          </w:p>
        </w:tc>
      </w:tr>
      <w:tr w:rsidR="000C2324" w:rsidRPr="005734B8" w14:paraId="32337E87" w14:textId="77777777" w:rsidTr="00872BDA">
        <w:trPr>
          <w:cantSplit/>
        </w:trPr>
        <w:tc>
          <w:tcPr>
            <w:tcW w:w="4106" w:type="dxa"/>
            <w:tcBorders>
              <w:top w:val="single" w:sz="4" w:space="0" w:color="53565A" w:themeColor="accent5"/>
              <w:bottom w:val="single" w:sz="4" w:space="0" w:color="53565A" w:themeColor="accent5"/>
            </w:tcBorders>
            <w:shd w:val="clear" w:color="auto" w:fill="FFFFFF" w:themeFill="background1"/>
            <w:vAlign w:val="center"/>
          </w:tcPr>
          <w:p w14:paraId="03344438" w14:textId="79A31C51" w:rsidR="000C2324" w:rsidRPr="005734B8" w:rsidRDefault="000C2324" w:rsidP="000C2324">
            <w:pPr>
              <w:pStyle w:val="ESTablebody"/>
              <w:rPr>
                <w:rFonts w:ascii="Calibri" w:hAnsi="Calibri" w:cs="Calibri"/>
                <w:sz w:val="22"/>
                <w:szCs w:val="22"/>
              </w:rPr>
            </w:pPr>
            <w:r w:rsidRPr="005734B8">
              <w:rPr>
                <w:rFonts w:ascii="Calibri" w:hAnsi="Calibri" w:cs="Calibri"/>
                <w:sz w:val="22"/>
                <w:szCs w:val="22"/>
                <w:lang w:val="en-AU"/>
              </w:rPr>
              <w:t xml:space="preserve">W1: Total </w:t>
            </w:r>
            <w:r w:rsidR="00872BDA" w:rsidRPr="005734B8">
              <w:rPr>
                <w:rFonts w:ascii="Calibri" w:hAnsi="Calibri" w:cs="Calibri"/>
                <w:sz w:val="22"/>
                <w:szCs w:val="22"/>
                <w:lang w:val="en-AU"/>
              </w:rPr>
              <w:t>u</w:t>
            </w:r>
            <w:r w:rsidRPr="005734B8">
              <w:rPr>
                <w:rFonts w:ascii="Calibri" w:hAnsi="Calibri" w:cs="Calibri"/>
                <w:sz w:val="22"/>
                <w:szCs w:val="22"/>
                <w:lang w:val="en-AU"/>
              </w:rPr>
              <w:t>nits of metered water consumed by water source (kilolitres)</w:t>
            </w:r>
          </w:p>
        </w:tc>
        <w:tc>
          <w:tcPr>
            <w:tcW w:w="1271" w:type="dxa"/>
            <w:tcBorders>
              <w:top w:val="single" w:sz="4" w:space="0" w:color="53565A" w:themeColor="accent5"/>
              <w:bottom w:val="single" w:sz="4" w:space="0" w:color="53565A" w:themeColor="accent5"/>
            </w:tcBorders>
            <w:shd w:val="clear" w:color="auto" w:fill="D9D9D6" w:themeFill="accent6"/>
            <w:vAlign w:val="center"/>
          </w:tcPr>
          <w:p w14:paraId="0729CA2D"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12,305</w:t>
            </w:r>
          </w:p>
        </w:tc>
        <w:tc>
          <w:tcPr>
            <w:tcW w:w="1272" w:type="dxa"/>
            <w:tcBorders>
              <w:top w:val="single" w:sz="4" w:space="0" w:color="53565A" w:themeColor="accent5"/>
              <w:bottom w:val="single" w:sz="4" w:space="0" w:color="53565A" w:themeColor="accent5"/>
            </w:tcBorders>
            <w:shd w:val="clear" w:color="auto" w:fill="FFFFFF" w:themeFill="background1"/>
            <w:vAlign w:val="center"/>
          </w:tcPr>
          <w:p w14:paraId="693DCBCE"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18,723</w:t>
            </w:r>
          </w:p>
        </w:tc>
        <w:tc>
          <w:tcPr>
            <w:tcW w:w="1272" w:type="dxa"/>
            <w:tcBorders>
              <w:top w:val="single" w:sz="4" w:space="0" w:color="53565A" w:themeColor="accent5"/>
              <w:bottom w:val="single" w:sz="4" w:space="0" w:color="53565A" w:themeColor="accent5"/>
            </w:tcBorders>
            <w:shd w:val="clear" w:color="auto" w:fill="FFFFFF" w:themeFill="background1"/>
            <w:vAlign w:val="center"/>
          </w:tcPr>
          <w:p w14:paraId="02C09C29"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18,420</w:t>
            </w:r>
          </w:p>
        </w:tc>
      </w:tr>
      <w:tr w:rsidR="000C2324" w:rsidRPr="005734B8" w14:paraId="05BDE449" w14:textId="77777777" w:rsidTr="00872BDA">
        <w:trPr>
          <w:cantSplit/>
        </w:trPr>
        <w:tc>
          <w:tcPr>
            <w:tcW w:w="4106" w:type="dxa"/>
            <w:tcBorders>
              <w:top w:val="single" w:sz="4" w:space="0" w:color="53565A" w:themeColor="accent5"/>
              <w:bottom w:val="single" w:sz="4" w:space="0" w:color="53565A" w:themeColor="accent5"/>
            </w:tcBorders>
            <w:shd w:val="clear" w:color="auto" w:fill="auto"/>
            <w:vAlign w:val="center"/>
          </w:tcPr>
          <w:p w14:paraId="7C89CC45" w14:textId="77777777" w:rsidR="000C2324" w:rsidRPr="005734B8" w:rsidRDefault="000C2324" w:rsidP="000C2324">
            <w:pPr>
              <w:pStyle w:val="ESTablebody"/>
              <w:rPr>
                <w:rFonts w:ascii="Calibri" w:hAnsi="Calibri" w:cs="Calibri"/>
                <w:sz w:val="22"/>
                <w:szCs w:val="22"/>
              </w:rPr>
            </w:pPr>
            <w:r w:rsidRPr="005734B8">
              <w:rPr>
                <w:rFonts w:ascii="Calibri" w:hAnsi="Calibri" w:cs="Calibri"/>
                <w:sz w:val="22"/>
                <w:szCs w:val="22"/>
                <w:lang w:val="en-AU"/>
              </w:rPr>
              <w:t>W2: Units of metered water consumed in offices per FTE by usage type (kilolitres/FTE)</w:t>
            </w:r>
          </w:p>
        </w:tc>
        <w:tc>
          <w:tcPr>
            <w:tcW w:w="1271" w:type="dxa"/>
            <w:tcBorders>
              <w:top w:val="single" w:sz="4" w:space="0" w:color="53565A" w:themeColor="accent5"/>
              <w:bottom w:val="single" w:sz="4" w:space="0" w:color="53565A" w:themeColor="accent5"/>
            </w:tcBorders>
            <w:shd w:val="clear" w:color="auto" w:fill="D9D9D6" w:themeFill="accent6"/>
            <w:vAlign w:val="center"/>
          </w:tcPr>
          <w:p w14:paraId="4D6E71FF"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3.3</w:t>
            </w:r>
          </w:p>
        </w:tc>
        <w:tc>
          <w:tcPr>
            <w:tcW w:w="1272" w:type="dxa"/>
            <w:tcBorders>
              <w:top w:val="single" w:sz="4" w:space="0" w:color="53565A" w:themeColor="accent5"/>
              <w:bottom w:val="single" w:sz="4" w:space="0" w:color="53565A" w:themeColor="accent5"/>
            </w:tcBorders>
            <w:shd w:val="clear" w:color="auto" w:fill="FFFFFF" w:themeFill="background1"/>
            <w:vAlign w:val="center"/>
          </w:tcPr>
          <w:p w14:paraId="21181217"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5.7</w:t>
            </w:r>
          </w:p>
        </w:tc>
        <w:tc>
          <w:tcPr>
            <w:tcW w:w="1272" w:type="dxa"/>
            <w:tcBorders>
              <w:top w:val="single" w:sz="4" w:space="0" w:color="53565A" w:themeColor="accent5"/>
              <w:bottom w:val="single" w:sz="4" w:space="0" w:color="53565A" w:themeColor="accent5"/>
            </w:tcBorders>
            <w:vAlign w:val="center"/>
          </w:tcPr>
          <w:p w14:paraId="337AB6A7"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5.7</w:t>
            </w:r>
          </w:p>
        </w:tc>
      </w:tr>
      <w:tr w:rsidR="000C2324" w:rsidRPr="005734B8" w14:paraId="37B4921A" w14:textId="77777777" w:rsidTr="00872BDA">
        <w:trPr>
          <w:cantSplit/>
        </w:trPr>
        <w:tc>
          <w:tcPr>
            <w:tcW w:w="4106" w:type="dxa"/>
            <w:tcBorders>
              <w:top w:val="single" w:sz="4" w:space="0" w:color="53565A" w:themeColor="accent5"/>
              <w:bottom w:val="single" w:sz="4" w:space="0" w:color="53565A" w:themeColor="accent5"/>
            </w:tcBorders>
            <w:shd w:val="clear" w:color="auto" w:fill="auto"/>
            <w:vAlign w:val="center"/>
          </w:tcPr>
          <w:p w14:paraId="60EB8029" w14:textId="1FF55374" w:rsidR="000C2324" w:rsidRPr="005734B8" w:rsidRDefault="000C2324" w:rsidP="000C2324">
            <w:pPr>
              <w:pStyle w:val="ESTablebody"/>
              <w:rPr>
                <w:rFonts w:ascii="Calibri" w:hAnsi="Calibri" w:cs="Calibri"/>
                <w:sz w:val="22"/>
                <w:szCs w:val="22"/>
              </w:rPr>
            </w:pPr>
            <w:r w:rsidRPr="005734B8">
              <w:rPr>
                <w:rFonts w:ascii="Calibri" w:hAnsi="Calibri" w:cs="Calibri"/>
                <w:sz w:val="22"/>
                <w:szCs w:val="22"/>
                <w:lang w:val="en-AU"/>
              </w:rPr>
              <w:t>W3: Units of metered water consumed in offices per unit of office space (kilolitres per m</w:t>
            </w:r>
            <w:r w:rsidR="00872BDA" w:rsidRPr="005734B8">
              <w:rPr>
                <w:rFonts w:ascii="Calibri" w:hAnsi="Calibri" w:cs="Calibri"/>
                <w:sz w:val="22"/>
                <w:szCs w:val="22"/>
                <w:lang w:val="en-AU"/>
              </w:rPr>
              <w:t>etre squared</w:t>
            </w:r>
            <w:r w:rsidRPr="005734B8">
              <w:rPr>
                <w:rFonts w:ascii="Calibri" w:hAnsi="Calibri" w:cs="Calibri"/>
                <w:sz w:val="22"/>
                <w:szCs w:val="22"/>
                <w:lang w:val="en-AU"/>
              </w:rPr>
              <w:t>)</w:t>
            </w:r>
          </w:p>
        </w:tc>
        <w:tc>
          <w:tcPr>
            <w:tcW w:w="1271" w:type="dxa"/>
            <w:tcBorders>
              <w:top w:val="single" w:sz="4" w:space="0" w:color="53565A" w:themeColor="accent5"/>
              <w:bottom w:val="single" w:sz="4" w:space="0" w:color="53565A" w:themeColor="accent5"/>
            </w:tcBorders>
            <w:shd w:val="clear" w:color="auto" w:fill="D9D9D6" w:themeFill="accent6"/>
            <w:vAlign w:val="center"/>
          </w:tcPr>
          <w:p w14:paraId="45A09536"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0.20</w:t>
            </w:r>
          </w:p>
        </w:tc>
        <w:tc>
          <w:tcPr>
            <w:tcW w:w="1272" w:type="dxa"/>
            <w:tcBorders>
              <w:top w:val="single" w:sz="4" w:space="0" w:color="53565A" w:themeColor="accent5"/>
              <w:bottom w:val="single" w:sz="4" w:space="0" w:color="53565A" w:themeColor="accent5"/>
            </w:tcBorders>
            <w:shd w:val="clear" w:color="auto" w:fill="FFFFFF" w:themeFill="background1"/>
            <w:vAlign w:val="center"/>
          </w:tcPr>
          <w:p w14:paraId="3C891D2C"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0.42</w:t>
            </w:r>
          </w:p>
        </w:tc>
        <w:tc>
          <w:tcPr>
            <w:tcW w:w="1272" w:type="dxa"/>
            <w:tcBorders>
              <w:top w:val="single" w:sz="4" w:space="0" w:color="53565A" w:themeColor="accent5"/>
              <w:bottom w:val="single" w:sz="4" w:space="0" w:color="53565A" w:themeColor="accent5"/>
            </w:tcBorders>
            <w:vAlign w:val="center"/>
          </w:tcPr>
          <w:p w14:paraId="7330F1AE"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0.42</w:t>
            </w:r>
          </w:p>
        </w:tc>
      </w:tr>
    </w:tbl>
    <w:p w14:paraId="2555CCE2" w14:textId="77777777" w:rsidR="000C2324" w:rsidRPr="005734B8" w:rsidRDefault="000C2324" w:rsidP="000C2324">
      <w:pPr>
        <w:pStyle w:val="ESHeading4"/>
        <w:ind w:left="0" w:firstLine="0"/>
        <w:rPr>
          <w:rFonts w:ascii="Calibri" w:hAnsi="Calibri" w:cs="Calibri"/>
        </w:rPr>
      </w:pPr>
      <w:r w:rsidRPr="005734B8">
        <w:rPr>
          <w:rFonts w:ascii="Calibri" w:hAnsi="Calibri" w:cs="Calibri"/>
        </w:rPr>
        <w:t>Actions undertaken</w:t>
      </w:r>
    </w:p>
    <w:p w14:paraId="67A1C0FB" w14:textId="345A129E" w:rsidR="000C2324" w:rsidRPr="005734B8" w:rsidRDefault="000C2324" w:rsidP="004F5425">
      <w:pPr>
        <w:rPr>
          <w:rFonts w:ascii="Calibri" w:hAnsi="Calibri" w:cs="Calibri"/>
        </w:rPr>
      </w:pPr>
      <w:r w:rsidRPr="005734B8">
        <w:rPr>
          <w:rFonts w:ascii="Calibri" w:hAnsi="Calibri" w:cs="Calibri"/>
        </w:rPr>
        <w:t>New office fit</w:t>
      </w:r>
      <w:r w:rsidR="00872BDA" w:rsidRPr="005734B8">
        <w:rPr>
          <w:rFonts w:ascii="Calibri" w:hAnsi="Calibri" w:cs="Calibri"/>
        </w:rPr>
        <w:noBreakHyphen/>
      </w:r>
      <w:r w:rsidRPr="005734B8">
        <w:rPr>
          <w:rFonts w:ascii="Calibri" w:hAnsi="Calibri" w:cs="Calibri"/>
        </w:rPr>
        <w:t>outs and upgrades</w:t>
      </w:r>
      <w:r w:rsidR="00872BDA" w:rsidRPr="005734B8">
        <w:rPr>
          <w:rFonts w:ascii="Calibri" w:hAnsi="Calibri" w:cs="Calibri"/>
        </w:rPr>
        <w:t>,</w:t>
      </w:r>
      <w:r w:rsidRPr="005734B8">
        <w:rPr>
          <w:rFonts w:ascii="Calibri" w:hAnsi="Calibri" w:cs="Calibri"/>
        </w:rPr>
        <w:t xml:space="preserve"> includ</w:t>
      </w:r>
      <w:r w:rsidR="00872BDA" w:rsidRPr="005734B8">
        <w:rPr>
          <w:rFonts w:ascii="Calibri" w:hAnsi="Calibri" w:cs="Calibri"/>
        </w:rPr>
        <w:t>ing</w:t>
      </w:r>
      <w:r w:rsidRPr="005734B8">
        <w:rPr>
          <w:rFonts w:ascii="Calibri" w:hAnsi="Calibri" w:cs="Calibri"/>
        </w:rPr>
        <w:t xml:space="preserve"> water saving systems </w:t>
      </w:r>
      <w:r w:rsidR="004F5425" w:rsidRPr="005734B8">
        <w:rPr>
          <w:rFonts w:ascii="Calibri" w:hAnsi="Calibri" w:cs="Calibri"/>
        </w:rPr>
        <w:t>have been made, including</w:t>
      </w:r>
      <w:r w:rsidRPr="005734B8">
        <w:rPr>
          <w:rFonts w:ascii="Calibri" w:hAnsi="Calibri" w:cs="Calibri"/>
        </w:rPr>
        <w:t xml:space="preserve"> </w:t>
      </w:r>
      <w:r w:rsidR="00872BDA" w:rsidRPr="005734B8">
        <w:rPr>
          <w:rFonts w:ascii="Calibri" w:hAnsi="Calibri" w:cs="Calibri"/>
        </w:rPr>
        <w:t>on</w:t>
      </w:r>
      <w:r w:rsidRPr="005734B8">
        <w:rPr>
          <w:rFonts w:ascii="Calibri" w:hAnsi="Calibri" w:cs="Calibri"/>
        </w:rPr>
        <w:t xml:space="preserve"> level 3 </w:t>
      </w:r>
      <w:r w:rsidR="00872BDA" w:rsidRPr="005734B8">
        <w:rPr>
          <w:rFonts w:ascii="Calibri" w:hAnsi="Calibri" w:cs="Calibri"/>
        </w:rPr>
        <w:t>of</w:t>
      </w:r>
      <w:r w:rsidRPr="005734B8">
        <w:rPr>
          <w:rFonts w:ascii="Calibri" w:hAnsi="Calibri" w:cs="Calibri"/>
        </w:rPr>
        <w:t xml:space="preserve"> 35 Collins St</w:t>
      </w:r>
      <w:r w:rsidR="00872BDA" w:rsidRPr="005734B8">
        <w:rPr>
          <w:rFonts w:ascii="Calibri" w:hAnsi="Calibri" w:cs="Calibri"/>
        </w:rPr>
        <w:t>reet</w:t>
      </w:r>
      <w:r w:rsidRPr="005734B8">
        <w:rPr>
          <w:rFonts w:ascii="Calibri" w:hAnsi="Calibri" w:cs="Calibri"/>
        </w:rPr>
        <w:t xml:space="preserve">, Melbourne. </w:t>
      </w:r>
    </w:p>
    <w:p w14:paraId="719E7E9F" w14:textId="77777777" w:rsidR="000C2324" w:rsidRPr="005734B8" w:rsidRDefault="000C2324" w:rsidP="000C2324">
      <w:pPr>
        <w:pStyle w:val="ESHeading4"/>
        <w:ind w:left="0" w:firstLine="0"/>
        <w:rPr>
          <w:rFonts w:ascii="Calibri" w:hAnsi="Calibri" w:cs="Calibri"/>
        </w:rPr>
      </w:pPr>
      <w:r w:rsidRPr="005734B8">
        <w:rPr>
          <w:rFonts w:ascii="Calibri" w:hAnsi="Calibri" w:cs="Calibri"/>
        </w:rPr>
        <w:t>Target</w:t>
      </w:r>
    </w:p>
    <w:p w14:paraId="07953BC3" w14:textId="69537DBD" w:rsidR="000C2324" w:rsidRPr="005734B8" w:rsidRDefault="000C2324" w:rsidP="000C2324">
      <w:pPr>
        <w:rPr>
          <w:rFonts w:ascii="Calibri" w:hAnsi="Calibri" w:cs="Calibri"/>
        </w:rPr>
      </w:pPr>
      <w:r w:rsidRPr="005734B8">
        <w:rPr>
          <w:rFonts w:ascii="Calibri" w:hAnsi="Calibri" w:cs="Calibri"/>
        </w:rPr>
        <w:t>The following target was set in 2020</w:t>
      </w:r>
      <w:r w:rsidR="005D50FA" w:rsidRPr="005734B8">
        <w:rPr>
          <w:rFonts w:ascii="Calibri" w:hAnsi="Calibri" w:cs="Calibri"/>
        </w:rPr>
        <w:t>–</w:t>
      </w:r>
      <w:r w:rsidRPr="005734B8">
        <w:rPr>
          <w:rFonts w:ascii="Calibri" w:hAnsi="Calibri" w:cs="Calibri"/>
        </w:rPr>
        <w:t>21</w:t>
      </w:r>
      <w:r w:rsidR="00506EA1" w:rsidRPr="005734B8">
        <w:rPr>
          <w:rFonts w:ascii="Calibri" w:hAnsi="Calibri" w:cs="Calibri"/>
        </w:rPr>
        <w:t>:</w:t>
      </w:r>
    </w:p>
    <w:p w14:paraId="59637518" w14:textId="0D4B2F99" w:rsidR="000C2324" w:rsidRPr="005734B8" w:rsidRDefault="000C2324" w:rsidP="00670895">
      <w:pPr>
        <w:pStyle w:val="ListParagraph"/>
        <w:numPr>
          <w:ilvl w:val="0"/>
          <w:numId w:val="76"/>
        </w:numPr>
        <w:rPr>
          <w:rFonts w:ascii="Calibri" w:hAnsi="Calibri" w:cs="Calibri"/>
        </w:rPr>
      </w:pPr>
      <w:r w:rsidRPr="005734B8">
        <w:rPr>
          <w:rFonts w:ascii="Calibri" w:hAnsi="Calibri" w:cs="Calibri"/>
        </w:rPr>
        <w:t>Reduce the litres of water consumed per FTE by 10 per cent of 2019</w:t>
      </w:r>
      <w:r w:rsidR="00452659" w:rsidRPr="005734B8">
        <w:rPr>
          <w:rFonts w:ascii="Calibri" w:hAnsi="Calibri" w:cs="Calibri"/>
          <w:szCs w:val="22"/>
        </w:rPr>
        <w:t>–</w:t>
      </w:r>
      <w:r w:rsidRPr="005734B8">
        <w:rPr>
          <w:rFonts w:ascii="Calibri" w:hAnsi="Calibri" w:cs="Calibri"/>
        </w:rPr>
        <w:t>20 levels by 31 March 2021</w:t>
      </w:r>
      <w:r w:rsidR="00316381" w:rsidRPr="005734B8">
        <w:rPr>
          <w:rFonts w:ascii="Calibri" w:hAnsi="Calibri" w:cs="Calibri"/>
        </w:rPr>
        <w:t>.</w:t>
      </w:r>
    </w:p>
    <w:p w14:paraId="6A2651B7" w14:textId="77777777" w:rsidR="000C2324" w:rsidRPr="005734B8" w:rsidRDefault="000C2324" w:rsidP="000C2324">
      <w:pPr>
        <w:pStyle w:val="ESHeading4"/>
        <w:ind w:left="0" w:firstLine="0"/>
        <w:rPr>
          <w:rFonts w:ascii="Calibri" w:hAnsi="Calibri" w:cs="Calibri"/>
        </w:rPr>
      </w:pPr>
      <w:r w:rsidRPr="005734B8">
        <w:rPr>
          <w:rFonts w:ascii="Calibri" w:hAnsi="Calibri" w:cs="Calibri"/>
        </w:rPr>
        <w:t>Explanatory notes</w:t>
      </w:r>
    </w:p>
    <w:p w14:paraId="4B87BAB5" w14:textId="5C24D02A" w:rsidR="000C2324" w:rsidRPr="005734B8" w:rsidRDefault="000C2324" w:rsidP="004F5425">
      <w:pPr>
        <w:rPr>
          <w:rFonts w:ascii="Calibri" w:hAnsi="Calibri" w:cs="Calibri"/>
        </w:rPr>
      </w:pPr>
      <w:r w:rsidRPr="005734B8">
        <w:rPr>
          <w:rFonts w:ascii="Calibri" w:eastAsia="Arial" w:hAnsi="Calibri" w:cs="Calibri"/>
        </w:rPr>
        <w:t xml:space="preserve">The target water use per FTE was met and exceeded by 42 per cent. </w:t>
      </w:r>
      <w:r w:rsidRPr="005734B8">
        <w:rPr>
          <w:rFonts w:ascii="Calibri" w:hAnsi="Calibri" w:cs="Calibri"/>
        </w:rPr>
        <w:t xml:space="preserve">Total water consumption decreased significantly by about 34 per cent compared to last year’s data. </w:t>
      </w:r>
      <w:r w:rsidR="00872BDA" w:rsidRPr="005734B8">
        <w:rPr>
          <w:rFonts w:ascii="Calibri" w:hAnsi="Calibri" w:cs="Calibri"/>
        </w:rPr>
        <w:t>Low w</w:t>
      </w:r>
      <w:r w:rsidRPr="005734B8">
        <w:rPr>
          <w:rFonts w:ascii="Calibri" w:hAnsi="Calibri" w:cs="Calibri"/>
        </w:rPr>
        <w:t>ater consumption for 2020</w:t>
      </w:r>
      <w:r w:rsidR="008B538A" w:rsidRPr="005734B8">
        <w:rPr>
          <w:rFonts w:ascii="Calibri" w:hAnsi="Calibri" w:cs="Calibri"/>
        </w:rPr>
        <w:t>–</w:t>
      </w:r>
      <w:r w:rsidRPr="005734B8">
        <w:rPr>
          <w:rFonts w:ascii="Calibri" w:hAnsi="Calibri" w:cs="Calibri"/>
        </w:rPr>
        <w:t xml:space="preserve">21 might be attributed to the absence of staff </w:t>
      </w:r>
      <w:r w:rsidR="00872BDA" w:rsidRPr="005734B8">
        <w:rPr>
          <w:rFonts w:ascii="Calibri" w:hAnsi="Calibri" w:cs="Calibri"/>
        </w:rPr>
        <w:t>from</w:t>
      </w:r>
      <w:r w:rsidRPr="005734B8">
        <w:rPr>
          <w:rFonts w:ascii="Calibri" w:hAnsi="Calibri" w:cs="Calibri"/>
        </w:rPr>
        <w:t xml:space="preserve"> offices across Victoria due to </w:t>
      </w:r>
      <w:r w:rsidR="008B538A" w:rsidRPr="005734B8">
        <w:rPr>
          <w:rFonts w:ascii="Calibri" w:hAnsi="Calibri" w:cs="Calibri"/>
        </w:rPr>
        <w:t xml:space="preserve">the </w:t>
      </w:r>
      <w:r w:rsidRPr="005734B8">
        <w:rPr>
          <w:rFonts w:ascii="Calibri" w:hAnsi="Calibri" w:cs="Calibri"/>
        </w:rPr>
        <w:t>COVID-19 pandemic restrictions.</w:t>
      </w:r>
    </w:p>
    <w:p w14:paraId="5EC426E7" w14:textId="77777777" w:rsidR="004F5425" w:rsidRPr="005734B8" w:rsidRDefault="004F5425" w:rsidP="004F5425">
      <w:pPr>
        <w:rPr>
          <w:rFonts w:ascii="Calibri" w:hAnsi="Calibri" w:cs="Calibri"/>
        </w:rPr>
      </w:pPr>
    </w:p>
    <w:p w14:paraId="2E0F4893" w14:textId="25C802DB" w:rsidR="000C2324" w:rsidRPr="005734B8" w:rsidRDefault="004F5425" w:rsidP="004F5425">
      <w:pPr>
        <w:rPr>
          <w:rFonts w:ascii="Calibri" w:hAnsi="Calibri" w:cs="Calibri"/>
        </w:rPr>
      </w:pPr>
      <w:r w:rsidRPr="005734B8">
        <w:rPr>
          <w:rFonts w:ascii="Calibri" w:hAnsi="Calibri" w:cs="Calibri"/>
        </w:rPr>
        <w:t>Some d</w:t>
      </w:r>
      <w:r w:rsidR="000C2324" w:rsidRPr="005734B8">
        <w:rPr>
          <w:rFonts w:ascii="Calibri" w:hAnsi="Calibri" w:cs="Calibri"/>
        </w:rPr>
        <w:t>epartment</w:t>
      </w:r>
      <w:r w:rsidRPr="005734B8">
        <w:rPr>
          <w:rFonts w:ascii="Calibri" w:hAnsi="Calibri" w:cs="Calibri"/>
        </w:rPr>
        <w:t>al</w:t>
      </w:r>
      <w:r w:rsidR="000C2324" w:rsidRPr="005734B8">
        <w:rPr>
          <w:rFonts w:ascii="Calibri" w:hAnsi="Calibri" w:cs="Calibri"/>
        </w:rPr>
        <w:t xml:space="preserve"> sites share water meters with other non-</w:t>
      </w:r>
      <w:r w:rsidRPr="005734B8">
        <w:rPr>
          <w:rFonts w:ascii="Calibri" w:hAnsi="Calibri" w:cs="Calibri"/>
        </w:rPr>
        <w:t>d</w:t>
      </w:r>
      <w:r w:rsidR="000C2324" w:rsidRPr="005734B8">
        <w:rPr>
          <w:rFonts w:ascii="Calibri" w:hAnsi="Calibri" w:cs="Calibri"/>
        </w:rPr>
        <w:t>epartment</w:t>
      </w:r>
      <w:r w:rsidRPr="005734B8">
        <w:rPr>
          <w:rFonts w:ascii="Calibri" w:hAnsi="Calibri" w:cs="Calibri"/>
        </w:rPr>
        <w:t>al</w:t>
      </w:r>
      <w:r w:rsidR="000C2324" w:rsidRPr="005734B8">
        <w:rPr>
          <w:rFonts w:ascii="Calibri" w:hAnsi="Calibri" w:cs="Calibri"/>
        </w:rPr>
        <w:t xml:space="preserve"> buildings or with other parts of the organisation that are not corporate. Data has been calculated based on the percentage of the net lettable area held by the Department’s buildings with water data from the ESP. </w:t>
      </w:r>
    </w:p>
    <w:p w14:paraId="26FDFE95" w14:textId="4D95748C" w:rsidR="00426E02" w:rsidRPr="005734B8" w:rsidRDefault="00426E02" w:rsidP="000C2324">
      <w:pPr>
        <w:rPr>
          <w:rFonts w:ascii="Calibri" w:hAnsi="Calibri" w:cs="Calibri"/>
        </w:rPr>
      </w:pPr>
      <w:r w:rsidRPr="005734B8">
        <w:rPr>
          <w:rFonts w:ascii="Calibri" w:hAnsi="Calibri" w:cs="Calibri"/>
        </w:rPr>
        <w:br w:type="page"/>
      </w:r>
    </w:p>
    <w:p w14:paraId="4D6C4B69" w14:textId="77777777" w:rsidR="000C2324" w:rsidRPr="005734B8" w:rsidRDefault="000C2324" w:rsidP="000C2324">
      <w:pPr>
        <w:pStyle w:val="ESHeading3"/>
        <w:ind w:left="0" w:firstLine="0"/>
        <w:rPr>
          <w:rFonts w:ascii="Calibri" w:hAnsi="Calibri" w:cs="Calibri"/>
          <w:lang w:val="en-AU"/>
        </w:rPr>
      </w:pPr>
      <w:bookmarkStart w:id="1024" w:name="_Hlk76654527"/>
      <w:r w:rsidRPr="005734B8">
        <w:rPr>
          <w:rFonts w:ascii="Calibri" w:hAnsi="Calibri" w:cs="Calibri"/>
          <w:lang w:val="en-AU"/>
        </w:rPr>
        <w:lastRenderedPageBreak/>
        <w:t>Transportation</w:t>
      </w:r>
    </w:p>
    <w:p w14:paraId="4E95E731" w14:textId="77777777" w:rsidR="000C2324" w:rsidRPr="005734B8" w:rsidRDefault="000C2324" w:rsidP="000C2324">
      <w:pPr>
        <w:rPr>
          <w:rFonts w:ascii="Calibri" w:hAnsi="Calibri" w:cs="Calibri"/>
        </w:rPr>
      </w:pPr>
      <w:r w:rsidRPr="005734B8">
        <w:rPr>
          <w:rFonts w:ascii="Calibri" w:hAnsi="Calibri" w:cs="Calibri"/>
        </w:rPr>
        <w:t>Of the Department-owned operational fleet of 372 vehicles:</w:t>
      </w:r>
    </w:p>
    <w:p w14:paraId="67D319CA" w14:textId="05226327" w:rsidR="000C2324" w:rsidRPr="005734B8" w:rsidRDefault="000C2324" w:rsidP="000C2324">
      <w:pPr>
        <w:pStyle w:val="ListParagraph"/>
        <w:numPr>
          <w:ilvl w:val="0"/>
          <w:numId w:val="7"/>
        </w:numPr>
        <w:rPr>
          <w:rFonts w:ascii="Calibri" w:hAnsi="Calibri" w:cs="Calibri"/>
        </w:rPr>
      </w:pPr>
      <w:r w:rsidRPr="005734B8">
        <w:rPr>
          <w:rFonts w:ascii="Calibri" w:hAnsi="Calibri" w:cs="Calibri"/>
        </w:rPr>
        <w:t>45.2 per cent are hybrid electric vehicles</w:t>
      </w:r>
    </w:p>
    <w:p w14:paraId="2891562B" w14:textId="13428F9C" w:rsidR="000C2324" w:rsidRPr="005734B8" w:rsidRDefault="000C2324" w:rsidP="000C2324">
      <w:pPr>
        <w:pStyle w:val="ListParagraph"/>
        <w:numPr>
          <w:ilvl w:val="0"/>
          <w:numId w:val="7"/>
        </w:numPr>
        <w:rPr>
          <w:rFonts w:ascii="Calibri" w:hAnsi="Calibri" w:cs="Calibri"/>
        </w:rPr>
      </w:pPr>
      <w:r w:rsidRPr="005734B8">
        <w:rPr>
          <w:rFonts w:ascii="Calibri" w:hAnsi="Calibri" w:cs="Calibri"/>
        </w:rPr>
        <w:t>55.2 per cent are petrol-fuelled</w:t>
      </w:r>
    </w:p>
    <w:p w14:paraId="1A826FA4" w14:textId="53B809C0" w:rsidR="000C2324" w:rsidRPr="005734B8" w:rsidRDefault="000C2324" w:rsidP="000C2324">
      <w:pPr>
        <w:pStyle w:val="ListParagraph"/>
        <w:numPr>
          <w:ilvl w:val="0"/>
          <w:numId w:val="7"/>
        </w:numPr>
        <w:rPr>
          <w:rFonts w:ascii="Calibri" w:hAnsi="Calibri" w:cs="Calibri"/>
        </w:rPr>
      </w:pPr>
      <w:r w:rsidRPr="005734B8">
        <w:rPr>
          <w:rFonts w:ascii="Calibri" w:hAnsi="Calibri" w:cs="Calibri"/>
        </w:rPr>
        <w:t>0.3 per cent are diesel-fuelled.</w:t>
      </w:r>
    </w:p>
    <w:bookmarkEnd w:id="1024"/>
    <w:p w14:paraId="6783BBA8" w14:textId="77777777" w:rsidR="000C2324" w:rsidRPr="005734B8" w:rsidRDefault="000C2324" w:rsidP="000C2324">
      <w:pPr>
        <w:rPr>
          <w:rFonts w:ascii="Calibri" w:hAnsi="Calibri" w:cs="Calibri"/>
        </w:rPr>
      </w:pPr>
    </w:p>
    <w:p w14:paraId="17318072" w14:textId="38D95AD0" w:rsidR="000C2324" w:rsidRPr="005734B8" w:rsidRDefault="000C2324" w:rsidP="000C2324">
      <w:pPr>
        <w:rPr>
          <w:rFonts w:ascii="Calibri" w:hAnsi="Calibri" w:cs="Calibri"/>
        </w:rPr>
      </w:pPr>
      <w:r w:rsidRPr="005734B8">
        <w:rPr>
          <w:rFonts w:ascii="Calibri" w:eastAsia="Arial" w:hAnsi="Calibri" w:cs="Calibri"/>
        </w:rPr>
        <w:t>The data below measures the kilometres, energy consumption and associated emissions for work-related travel by corporate employees, segmented by transport type, excluding public transport. This data includes Department-owned fleet and hired vehicles but excludes executive vehicles.</w:t>
      </w:r>
      <w:r w:rsidRPr="005734B8">
        <w:rPr>
          <w:rFonts w:ascii="Calibri" w:hAnsi="Calibri" w:cs="Calibri"/>
        </w:rPr>
        <w:t xml:space="preserve"> </w:t>
      </w:r>
    </w:p>
    <w:p w14:paraId="3F0EB91D" w14:textId="58883A5B" w:rsidR="000C2324" w:rsidRPr="005734B8" w:rsidRDefault="000C2324" w:rsidP="000C2324">
      <w:pPr>
        <w:pStyle w:val="ESTableintroheading"/>
        <w:rPr>
          <w:rFonts w:ascii="Calibri" w:hAnsi="Calibri" w:cs="Calibri"/>
          <w:sz w:val="22"/>
          <w:szCs w:val="22"/>
        </w:rPr>
      </w:pPr>
      <w:bookmarkStart w:id="1025" w:name="_Toc11158301"/>
      <w:bookmarkStart w:id="1026" w:name="_Toc11336308"/>
      <w:bookmarkStart w:id="1027" w:name="_Toc14965535"/>
      <w:bookmarkStart w:id="1028" w:name="_Toc19272107"/>
      <w:bookmarkStart w:id="1029" w:name="_Toc19272473"/>
      <w:bookmarkStart w:id="1030" w:name="_Toc19273808"/>
      <w:r w:rsidRPr="005734B8">
        <w:rPr>
          <w:rFonts w:ascii="Calibri" w:hAnsi="Calibri" w:cs="Calibri"/>
          <w:sz w:val="22"/>
          <w:szCs w:val="22"/>
        </w:rPr>
        <w:t>Energy consumption of operational vehicles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72"/>
        <w:gridCol w:w="560"/>
        <w:gridCol w:w="409"/>
        <w:gridCol w:w="980"/>
        <w:gridCol w:w="15"/>
        <w:gridCol w:w="995"/>
        <w:gridCol w:w="353"/>
        <w:gridCol w:w="642"/>
        <w:gridCol w:w="995"/>
      </w:tblGrid>
      <w:tr w:rsidR="000C2324" w:rsidRPr="005734B8" w14:paraId="781B7FA9" w14:textId="77777777" w:rsidTr="000C2324">
        <w:trPr>
          <w:cantSplit/>
          <w:trHeight w:val="242"/>
          <w:tblHeader/>
        </w:trPr>
        <w:tc>
          <w:tcPr>
            <w:tcW w:w="3532" w:type="dxa"/>
            <w:gridSpan w:val="2"/>
            <w:tcBorders>
              <w:bottom w:val="single" w:sz="4" w:space="0" w:color="FFFFFF" w:themeColor="background1"/>
            </w:tcBorders>
            <w:shd w:val="clear" w:color="auto" w:fill="AF272F" w:themeFill="accent4"/>
          </w:tcPr>
          <w:p w14:paraId="414662A8" w14:textId="77777777" w:rsidR="000C2324" w:rsidRPr="005734B8" w:rsidRDefault="000C2324" w:rsidP="000C2324">
            <w:pPr>
              <w:pStyle w:val="ESTableheadingwhite"/>
              <w:rPr>
                <w:rFonts w:ascii="Calibri" w:hAnsi="Calibri" w:cs="Calibri"/>
                <w:sz w:val="22"/>
                <w:szCs w:val="22"/>
              </w:rPr>
            </w:pPr>
            <w:r w:rsidRPr="005734B8">
              <w:rPr>
                <w:rFonts w:ascii="Calibri" w:hAnsi="Calibri" w:cs="Calibri"/>
                <w:sz w:val="22"/>
                <w:szCs w:val="22"/>
              </w:rPr>
              <w:t>Indicator</w:t>
            </w:r>
          </w:p>
        </w:tc>
        <w:tc>
          <w:tcPr>
            <w:tcW w:w="1389" w:type="dxa"/>
            <w:gridSpan w:val="2"/>
            <w:tcBorders>
              <w:bottom w:val="single" w:sz="4" w:space="0" w:color="FFFFFF" w:themeColor="background1"/>
            </w:tcBorders>
            <w:shd w:val="clear" w:color="auto" w:fill="AF272F" w:themeFill="accent4"/>
          </w:tcPr>
          <w:p w14:paraId="44438C0A" w14:textId="77777777" w:rsidR="000C2324" w:rsidRPr="005734B8" w:rsidRDefault="000C2324" w:rsidP="000C2324">
            <w:pPr>
              <w:pStyle w:val="ESTableheadingwhite"/>
              <w:jc w:val="right"/>
              <w:rPr>
                <w:rFonts w:ascii="Calibri" w:hAnsi="Calibri" w:cs="Calibri"/>
                <w:sz w:val="22"/>
                <w:szCs w:val="22"/>
              </w:rPr>
            </w:pPr>
            <w:r w:rsidRPr="005734B8">
              <w:rPr>
                <w:rFonts w:ascii="Calibri" w:hAnsi="Calibri" w:cs="Calibri"/>
                <w:sz w:val="22"/>
                <w:szCs w:val="22"/>
              </w:rPr>
              <w:t>2020–21</w:t>
            </w:r>
          </w:p>
        </w:tc>
        <w:tc>
          <w:tcPr>
            <w:tcW w:w="1363" w:type="dxa"/>
            <w:gridSpan w:val="3"/>
            <w:tcBorders>
              <w:bottom w:val="single" w:sz="4" w:space="0" w:color="FFFFFF" w:themeColor="background1"/>
            </w:tcBorders>
            <w:shd w:val="clear" w:color="auto" w:fill="AF272F" w:themeFill="accent4"/>
          </w:tcPr>
          <w:p w14:paraId="6E6040A2" w14:textId="77777777" w:rsidR="000C2324" w:rsidRPr="005734B8" w:rsidRDefault="000C2324" w:rsidP="000C2324">
            <w:pPr>
              <w:pStyle w:val="ESTableheadingwhite"/>
              <w:jc w:val="right"/>
              <w:rPr>
                <w:rFonts w:ascii="Calibri" w:hAnsi="Calibri" w:cs="Calibri"/>
                <w:sz w:val="22"/>
                <w:szCs w:val="22"/>
              </w:rPr>
            </w:pPr>
            <w:r w:rsidRPr="005734B8">
              <w:rPr>
                <w:rFonts w:ascii="Calibri" w:hAnsi="Calibri" w:cs="Calibri"/>
                <w:sz w:val="22"/>
                <w:szCs w:val="22"/>
              </w:rPr>
              <w:t>2019–20</w:t>
            </w:r>
          </w:p>
        </w:tc>
        <w:tc>
          <w:tcPr>
            <w:tcW w:w="1637" w:type="dxa"/>
            <w:gridSpan w:val="2"/>
            <w:tcBorders>
              <w:bottom w:val="single" w:sz="4" w:space="0" w:color="FFFFFF" w:themeColor="background1"/>
            </w:tcBorders>
            <w:shd w:val="clear" w:color="auto" w:fill="AF272F" w:themeFill="accent4"/>
          </w:tcPr>
          <w:p w14:paraId="7D9C815B" w14:textId="77777777" w:rsidR="000C2324" w:rsidRPr="005734B8" w:rsidRDefault="000C2324" w:rsidP="000C2324">
            <w:pPr>
              <w:pStyle w:val="ESTableheadingwhite"/>
              <w:jc w:val="right"/>
              <w:rPr>
                <w:rFonts w:ascii="Calibri" w:hAnsi="Calibri" w:cs="Calibri"/>
                <w:sz w:val="22"/>
                <w:szCs w:val="22"/>
              </w:rPr>
            </w:pPr>
            <w:r w:rsidRPr="005734B8">
              <w:rPr>
                <w:rFonts w:ascii="Calibri" w:hAnsi="Calibri" w:cs="Calibri"/>
                <w:sz w:val="22"/>
                <w:szCs w:val="22"/>
              </w:rPr>
              <w:t>2018–19</w:t>
            </w:r>
          </w:p>
        </w:tc>
      </w:tr>
      <w:tr w:rsidR="000C2324" w:rsidRPr="005734B8" w14:paraId="384DB718" w14:textId="77777777" w:rsidTr="000C2324">
        <w:trPr>
          <w:cantSplit/>
        </w:trPr>
        <w:tc>
          <w:tcPr>
            <w:tcW w:w="3532" w:type="dxa"/>
            <w:gridSpan w:val="2"/>
            <w:tcBorders>
              <w:top w:val="single" w:sz="4" w:space="0" w:color="53565A" w:themeColor="accent5"/>
              <w:bottom w:val="single" w:sz="4" w:space="0" w:color="53565A" w:themeColor="accent5"/>
            </w:tcBorders>
            <w:shd w:val="clear" w:color="auto" w:fill="D9D9D6" w:themeFill="accent6"/>
            <w:vAlign w:val="center"/>
          </w:tcPr>
          <w:p w14:paraId="51FD5D1F" w14:textId="77777777" w:rsidR="000C2324" w:rsidRPr="005734B8" w:rsidRDefault="000C2324" w:rsidP="000C2324">
            <w:pPr>
              <w:pStyle w:val="ESTablebody"/>
              <w:rPr>
                <w:rFonts w:ascii="Calibri" w:hAnsi="Calibri" w:cs="Calibri"/>
                <w:b/>
                <w:sz w:val="22"/>
                <w:szCs w:val="22"/>
              </w:rPr>
            </w:pPr>
            <w:r w:rsidRPr="005734B8">
              <w:rPr>
                <w:rFonts w:ascii="Calibri" w:hAnsi="Calibri" w:cs="Calibri"/>
                <w:b/>
                <w:sz w:val="22"/>
                <w:szCs w:val="22"/>
                <w:lang w:val="en-AU"/>
              </w:rPr>
              <w:t>T1: Total energy usage consumption by fleet vehicles (MJ)</w:t>
            </w:r>
          </w:p>
        </w:tc>
        <w:tc>
          <w:tcPr>
            <w:tcW w:w="1389" w:type="dxa"/>
            <w:gridSpan w:val="2"/>
            <w:tcBorders>
              <w:top w:val="single" w:sz="4" w:space="0" w:color="53565A" w:themeColor="accent5"/>
              <w:bottom w:val="single" w:sz="4" w:space="0" w:color="53565A" w:themeColor="accent5"/>
            </w:tcBorders>
            <w:shd w:val="clear" w:color="auto" w:fill="D9D9D6" w:themeFill="accent6"/>
            <w:vAlign w:val="center"/>
          </w:tcPr>
          <w:p w14:paraId="7FEA494C" w14:textId="77777777" w:rsidR="000C2324" w:rsidRPr="005734B8" w:rsidRDefault="000C2324" w:rsidP="000C2324">
            <w:pPr>
              <w:pStyle w:val="ESTablenumberrightaligned"/>
              <w:rPr>
                <w:rFonts w:ascii="Calibri" w:hAnsi="Calibri" w:cs="Calibri"/>
                <w:b/>
                <w:sz w:val="22"/>
                <w:szCs w:val="22"/>
              </w:rPr>
            </w:pPr>
            <w:r w:rsidRPr="005734B8">
              <w:rPr>
                <w:rFonts w:ascii="Calibri" w:hAnsi="Calibri" w:cs="Calibri"/>
                <w:b/>
                <w:sz w:val="22"/>
                <w:szCs w:val="22"/>
              </w:rPr>
              <w:t>2,595,797</w:t>
            </w:r>
          </w:p>
        </w:tc>
        <w:tc>
          <w:tcPr>
            <w:tcW w:w="1363" w:type="dxa"/>
            <w:gridSpan w:val="3"/>
            <w:tcBorders>
              <w:top w:val="single" w:sz="4" w:space="0" w:color="53565A" w:themeColor="accent5"/>
              <w:bottom w:val="single" w:sz="4" w:space="0" w:color="53565A" w:themeColor="accent5"/>
            </w:tcBorders>
            <w:shd w:val="clear" w:color="auto" w:fill="D9D9D6" w:themeFill="accent6"/>
            <w:vAlign w:val="center"/>
          </w:tcPr>
          <w:p w14:paraId="5A0ADD0C" w14:textId="77777777" w:rsidR="000C2324" w:rsidRPr="005734B8" w:rsidRDefault="000C2324" w:rsidP="000C2324">
            <w:pPr>
              <w:pStyle w:val="ESTablenumberrightaligned"/>
              <w:rPr>
                <w:rFonts w:ascii="Calibri" w:hAnsi="Calibri" w:cs="Calibri"/>
                <w:sz w:val="22"/>
                <w:szCs w:val="22"/>
              </w:rPr>
            </w:pPr>
            <w:r w:rsidRPr="005734B8">
              <w:rPr>
                <w:rFonts w:ascii="Calibri" w:eastAsia="Times New Roman" w:hAnsi="Calibri" w:cs="Calibri"/>
                <w:b/>
                <w:sz w:val="22"/>
                <w:szCs w:val="22"/>
              </w:rPr>
              <w:t>10,706,341</w:t>
            </w:r>
          </w:p>
        </w:tc>
        <w:tc>
          <w:tcPr>
            <w:tcW w:w="1637" w:type="dxa"/>
            <w:gridSpan w:val="2"/>
            <w:tcBorders>
              <w:top w:val="single" w:sz="4" w:space="0" w:color="53565A" w:themeColor="accent5"/>
              <w:bottom w:val="single" w:sz="4" w:space="0" w:color="53565A" w:themeColor="accent5"/>
            </w:tcBorders>
            <w:shd w:val="clear" w:color="auto" w:fill="D9D9D6" w:themeFill="accent6"/>
            <w:vAlign w:val="center"/>
          </w:tcPr>
          <w:p w14:paraId="6DCEF9B0"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b/>
                <w:sz w:val="22"/>
                <w:szCs w:val="22"/>
              </w:rPr>
              <w:t>14,185,486</w:t>
            </w:r>
          </w:p>
        </w:tc>
      </w:tr>
      <w:tr w:rsidR="000C2324" w:rsidRPr="005734B8" w14:paraId="4D7E7875" w14:textId="77777777" w:rsidTr="000C2324">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1875EBC3" w14:textId="77777777" w:rsidR="000C2324" w:rsidRPr="005734B8" w:rsidRDefault="000C2324" w:rsidP="000C2324">
            <w:pPr>
              <w:pStyle w:val="ESTablebody"/>
              <w:rPr>
                <w:rFonts w:ascii="Calibri" w:hAnsi="Calibri" w:cs="Calibri"/>
                <w:sz w:val="22"/>
                <w:szCs w:val="22"/>
              </w:rPr>
            </w:pPr>
            <w:r w:rsidRPr="005734B8">
              <w:rPr>
                <w:rFonts w:ascii="Calibri" w:hAnsi="Calibri" w:cs="Calibri"/>
                <w:sz w:val="22"/>
                <w:szCs w:val="22"/>
                <w:lang w:val="en-AU"/>
              </w:rPr>
              <w:t>Diesel</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7EE25BB9"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134,889</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4CE5B7C6" w14:textId="77777777" w:rsidR="000C2324" w:rsidRPr="005734B8" w:rsidRDefault="000C2324" w:rsidP="000C2324">
            <w:pPr>
              <w:pStyle w:val="ESTablenumberrightaligned"/>
              <w:rPr>
                <w:rFonts w:ascii="Calibri" w:hAnsi="Calibri" w:cs="Calibri"/>
                <w:sz w:val="22"/>
                <w:szCs w:val="22"/>
              </w:rPr>
            </w:pPr>
            <w:r w:rsidRPr="005734B8">
              <w:rPr>
                <w:rFonts w:ascii="Calibri" w:eastAsia="Times New Roman" w:hAnsi="Calibri" w:cs="Calibri"/>
                <w:sz w:val="22"/>
                <w:szCs w:val="22"/>
              </w:rPr>
              <w:t>308,542</w:t>
            </w:r>
          </w:p>
        </w:tc>
        <w:tc>
          <w:tcPr>
            <w:tcW w:w="1637" w:type="dxa"/>
            <w:gridSpan w:val="2"/>
            <w:tcBorders>
              <w:top w:val="single" w:sz="4" w:space="0" w:color="53565A" w:themeColor="accent5"/>
              <w:bottom w:val="single" w:sz="4" w:space="0" w:color="53565A" w:themeColor="accent5"/>
            </w:tcBorders>
          </w:tcPr>
          <w:p w14:paraId="23C8129B"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187,516</w:t>
            </w:r>
          </w:p>
        </w:tc>
      </w:tr>
      <w:tr w:rsidR="000C2324" w:rsidRPr="005734B8" w14:paraId="7A9ED03E" w14:textId="77777777" w:rsidTr="000C2324">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07E00A88" w14:textId="77777777" w:rsidR="000C2324" w:rsidRPr="005734B8" w:rsidRDefault="000C2324" w:rsidP="000C2324">
            <w:pPr>
              <w:pStyle w:val="ESTablebody"/>
              <w:rPr>
                <w:rFonts w:ascii="Calibri" w:hAnsi="Calibri" w:cs="Calibri"/>
                <w:sz w:val="22"/>
                <w:szCs w:val="22"/>
              </w:rPr>
            </w:pPr>
            <w:r w:rsidRPr="005734B8">
              <w:rPr>
                <w:rFonts w:ascii="Calibri" w:hAnsi="Calibri" w:cs="Calibri"/>
                <w:sz w:val="22"/>
                <w:szCs w:val="22"/>
                <w:lang w:val="en-AU"/>
              </w:rPr>
              <w:t>LPG</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3900B7B5" w14:textId="10A945D8" w:rsidR="000C2324" w:rsidRPr="005734B8" w:rsidRDefault="00872BDA" w:rsidP="000C2324">
            <w:pPr>
              <w:pStyle w:val="ESTablenumberrightaligned"/>
              <w:rPr>
                <w:rFonts w:ascii="Calibri" w:hAnsi="Calibri" w:cs="Calibri"/>
                <w:sz w:val="22"/>
                <w:szCs w:val="22"/>
              </w:rPr>
            </w:pPr>
            <w:r w:rsidRPr="005734B8">
              <w:rPr>
                <w:rFonts w:ascii="Calibri" w:hAnsi="Calibri" w:cs="Calibri"/>
                <w:sz w:val="22"/>
                <w:szCs w:val="22"/>
              </w:rPr>
              <w:t>–</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6B946C59" w14:textId="518BFF28" w:rsidR="000C2324" w:rsidRPr="005734B8" w:rsidRDefault="00872BDA" w:rsidP="000C2324">
            <w:pPr>
              <w:pStyle w:val="ESTablenumberrightaligned"/>
              <w:rPr>
                <w:rFonts w:ascii="Calibri" w:hAnsi="Calibri" w:cs="Calibri"/>
                <w:sz w:val="22"/>
                <w:szCs w:val="22"/>
              </w:rPr>
            </w:pPr>
            <w:r w:rsidRPr="005734B8">
              <w:rPr>
                <w:rFonts w:ascii="Calibri" w:hAnsi="Calibri" w:cs="Calibri"/>
                <w:sz w:val="22"/>
                <w:szCs w:val="22"/>
              </w:rPr>
              <w:t>–</w:t>
            </w:r>
          </w:p>
        </w:tc>
        <w:tc>
          <w:tcPr>
            <w:tcW w:w="1637" w:type="dxa"/>
            <w:gridSpan w:val="2"/>
            <w:tcBorders>
              <w:top w:val="single" w:sz="4" w:space="0" w:color="53565A" w:themeColor="accent5"/>
              <w:bottom w:val="single" w:sz="4" w:space="0" w:color="53565A" w:themeColor="accent5"/>
            </w:tcBorders>
          </w:tcPr>
          <w:p w14:paraId="380D8B1E"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14,641</w:t>
            </w:r>
          </w:p>
        </w:tc>
      </w:tr>
      <w:tr w:rsidR="000C2324" w:rsidRPr="005734B8" w14:paraId="66FAB87A" w14:textId="77777777" w:rsidTr="000C2324">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39A7CC44" w14:textId="77777777" w:rsidR="000C2324" w:rsidRPr="005734B8" w:rsidRDefault="000C2324" w:rsidP="000C2324">
            <w:pPr>
              <w:pStyle w:val="ESTablebody"/>
              <w:rPr>
                <w:rFonts w:ascii="Calibri" w:hAnsi="Calibri" w:cs="Calibri"/>
                <w:sz w:val="22"/>
                <w:szCs w:val="22"/>
              </w:rPr>
            </w:pPr>
            <w:r w:rsidRPr="005734B8">
              <w:rPr>
                <w:rFonts w:ascii="Calibri" w:hAnsi="Calibri" w:cs="Calibri"/>
                <w:sz w:val="22"/>
                <w:szCs w:val="22"/>
                <w:lang w:val="en-AU"/>
              </w:rPr>
              <w:t>Unleaded</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75541C59"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1,562,315</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36D085C2" w14:textId="77777777" w:rsidR="000C2324" w:rsidRPr="005734B8" w:rsidRDefault="000C2324" w:rsidP="000C2324">
            <w:pPr>
              <w:pStyle w:val="ESTablenumberrightaligned"/>
              <w:rPr>
                <w:rFonts w:ascii="Calibri" w:hAnsi="Calibri" w:cs="Calibri"/>
                <w:sz w:val="22"/>
                <w:szCs w:val="22"/>
              </w:rPr>
            </w:pPr>
            <w:r w:rsidRPr="005734B8">
              <w:rPr>
                <w:rFonts w:ascii="Calibri" w:eastAsia="Times New Roman" w:hAnsi="Calibri" w:cs="Calibri"/>
                <w:sz w:val="22"/>
                <w:szCs w:val="22"/>
              </w:rPr>
              <w:t>7,718,546</w:t>
            </w:r>
          </w:p>
        </w:tc>
        <w:tc>
          <w:tcPr>
            <w:tcW w:w="1637" w:type="dxa"/>
            <w:gridSpan w:val="2"/>
            <w:tcBorders>
              <w:top w:val="single" w:sz="4" w:space="0" w:color="53565A" w:themeColor="accent5"/>
              <w:bottom w:val="single" w:sz="4" w:space="0" w:color="53565A" w:themeColor="accent5"/>
            </w:tcBorders>
          </w:tcPr>
          <w:p w14:paraId="78A82E07"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10,804,335</w:t>
            </w:r>
          </w:p>
        </w:tc>
      </w:tr>
      <w:tr w:rsidR="000C2324" w:rsidRPr="005734B8" w14:paraId="05E06463" w14:textId="77777777" w:rsidTr="000C2324">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3B841CED" w14:textId="77777777" w:rsidR="000C2324" w:rsidRPr="005734B8" w:rsidRDefault="000C2324" w:rsidP="000C2324">
            <w:pPr>
              <w:pStyle w:val="ESTablebody"/>
              <w:rPr>
                <w:rFonts w:ascii="Calibri" w:hAnsi="Calibri" w:cs="Calibri"/>
                <w:sz w:val="22"/>
                <w:szCs w:val="22"/>
              </w:rPr>
            </w:pPr>
            <w:r w:rsidRPr="005734B8">
              <w:rPr>
                <w:rFonts w:ascii="Calibri" w:hAnsi="Calibri" w:cs="Calibri"/>
                <w:sz w:val="22"/>
                <w:szCs w:val="22"/>
                <w:lang w:val="en-AU"/>
              </w:rPr>
              <w:t>Hybrid</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56568C8F"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898,593</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515B2955" w14:textId="77777777" w:rsidR="000C2324" w:rsidRPr="005734B8" w:rsidRDefault="000C2324" w:rsidP="000C2324">
            <w:pPr>
              <w:pStyle w:val="ESTablenumberrightaligned"/>
              <w:rPr>
                <w:rFonts w:ascii="Calibri" w:hAnsi="Calibri" w:cs="Calibri"/>
                <w:sz w:val="22"/>
                <w:szCs w:val="22"/>
              </w:rPr>
            </w:pPr>
            <w:r w:rsidRPr="005734B8">
              <w:rPr>
                <w:rFonts w:ascii="Calibri" w:eastAsia="Times New Roman" w:hAnsi="Calibri" w:cs="Calibri"/>
                <w:sz w:val="22"/>
                <w:szCs w:val="22"/>
              </w:rPr>
              <w:t>2,679,253</w:t>
            </w:r>
          </w:p>
        </w:tc>
        <w:tc>
          <w:tcPr>
            <w:tcW w:w="1637" w:type="dxa"/>
            <w:gridSpan w:val="2"/>
            <w:tcBorders>
              <w:top w:val="single" w:sz="4" w:space="0" w:color="53565A" w:themeColor="accent5"/>
              <w:bottom w:val="single" w:sz="4" w:space="0" w:color="53565A" w:themeColor="accent5"/>
            </w:tcBorders>
          </w:tcPr>
          <w:p w14:paraId="314D847C"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3,178,994</w:t>
            </w:r>
          </w:p>
        </w:tc>
      </w:tr>
      <w:tr w:rsidR="000C2324" w:rsidRPr="005734B8" w14:paraId="17FD6F4A" w14:textId="77777777" w:rsidTr="000C2324">
        <w:trPr>
          <w:cantSplit/>
        </w:trPr>
        <w:tc>
          <w:tcPr>
            <w:tcW w:w="3532" w:type="dxa"/>
            <w:gridSpan w:val="2"/>
            <w:tcBorders>
              <w:top w:val="single" w:sz="4" w:space="0" w:color="53565A" w:themeColor="accent5"/>
              <w:bottom w:val="single" w:sz="4" w:space="0" w:color="53565A" w:themeColor="accent5"/>
            </w:tcBorders>
            <w:shd w:val="clear" w:color="auto" w:fill="D9D9D6" w:themeFill="accent6"/>
            <w:vAlign w:val="center"/>
          </w:tcPr>
          <w:p w14:paraId="0C77ED8E" w14:textId="77777777" w:rsidR="000C2324" w:rsidRPr="005734B8" w:rsidRDefault="000C2324" w:rsidP="000C2324">
            <w:pPr>
              <w:pStyle w:val="ESTablebody"/>
              <w:rPr>
                <w:rFonts w:ascii="Calibri" w:hAnsi="Calibri" w:cs="Calibri"/>
                <w:b/>
                <w:sz w:val="22"/>
                <w:szCs w:val="22"/>
              </w:rPr>
            </w:pPr>
            <w:r w:rsidRPr="005734B8">
              <w:rPr>
                <w:rFonts w:ascii="Calibri" w:hAnsi="Calibri" w:cs="Calibri"/>
                <w:b/>
                <w:sz w:val="22"/>
                <w:szCs w:val="22"/>
                <w:lang w:val="en-AU"/>
              </w:rPr>
              <w:t>T2: Total distance travelled by fleet vehicles (km)</w:t>
            </w:r>
          </w:p>
        </w:tc>
        <w:tc>
          <w:tcPr>
            <w:tcW w:w="1389" w:type="dxa"/>
            <w:gridSpan w:val="2"/>
            <w:tcBorders>
              <w:top w:val="single" w:sz="4" w:space="0" w:color="53565A" w:themeColor="accent5"/>
              <w:bottom w:val="single" w:sz="4" w:space="0" w:color="53565A" w:themeColor="accent5"/>
            </w:tcBorders>
            <w:shd w:val="clear" w:color="auto" w:fill="D9D9D6" w:themeFill="accent6"/>
            <w:vAlign w:val="center"/>
          </w:tcPr>
          <w:p w14:paraId="6FE10DEA" w14:textId="77777777" w:rsidR="000C2324" w:rsidRPr="005734B8" w:rsidRDefault="000C2324" w:rsidP="000C2324">
            <w:pPr>
              <w:pStyle w:val="ESTablenumberrightaligned"/>
              <w:rPr>
                <w:rFonts w:ascii="Calibri" w:hAnsi="Calibri" w:cs="Calibri"/>
                <w:b/>
                <w:sz w:val="22"/>
                <w:szCs w:val="22"/>
              </w:rPr>
            </w:pPr>
            <w:r w:rsidRPr="005734B8">
              <w:rPr>
                <w:rFonts w:ascii="Calibri" w:hAnsi="Calibri" w:cs="Calibri"/>
                <w:b/>
                <w:sz w:val="22"/>
                <w:szCs w:val="22"/>
              </w:rPr>
              <w:t>1,249,238</w:t>
            </w:r>
          </w:p>
        </w:tc>
        <w:tc>
          <w:tcPr>
            <w:tcW w:w="1363" w:type="dxa"/>
            <w:gridSpan w:val="3"/>
            <w:tcBorders>
              <w:top w:val="single" w:sz="4" w:space="0" w:color="53565A" w:themeColor="accent5"/>
              <w:bottom w:val="single" w:sz="4" w:space="0" w:color="53565A" w:themeColor="accent5"/>
            </w:tcBorders>
            <w:shd w:val="clear" w:color="auto" w:fill="D9D9D6" w:themeFill="accent6"/>
            <w:vAlign w:val="center"/>
          </w:tcPr>
          <w:p w14:paraId="27DFC617" w14:textId="77777777" w:rsidR="000C2324" w:rsidRPr="005734B8" w:rsidRDefault="000C2324" w:rsidP="000C2324">
            <w:pPr>
              <w:pStyle w:val="ESTablenumberrightaligned"/>
              <w:rPr>
                <w:rFonts w:ascii="Calibri" w:hAnsi="Calibri" w:cs="Calibri"/>
                <w:sz w:val="22"/>
                <w:szCs w:val="22"/>
              </w:rPr>
            </w:pPr>
            <w:r w:rsidRPr="005734B8">
              <w:rPr>
                <w:rFonts w:ascii="Calibri" w:eastAsia="Times New Roman" w:hAnsi="Calibri" w:cs="Calibri"/>
                <w:b/>
                <w:sz w:val="22"/>
                <w:szCs w:val="22"/>
              </w:rPr>
              <w:t>5,887,186</w:t>
            </w:r>
          </w:p>
        </w:tc>
        <w:tc>
          <w:tcPr>
            <w:tcW w:w="1637" w:type="dxa"/>
            <w:gridSpan w:val="2"/>
            <w:tcBorders>
              <w:top w:val="single" w:sz="4" w:space="0" w:color="53565A" w:themeColor="accent5"/>
              <w:bottom w:val="single" w:sz="4" w:space="0" w:color="53565A" w:themeColor="accent5"/>
            </w:tcBorders>
            <w:shd w:val="clear" w:color="auto" w:fill="D9D9D6" w:themeFill="accent6"/>
            <w:vAlign w:val="center"/>
          </w:tcPr>
          <w:p w14:paraId="4EBF3267"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b/>
                <w:sz w:val="22"/>
                <w:szCs w:val="22"/>
              </w:rPr>
              <w:t>6,661,279</w:t>
            </w:r>
          </w:p>
        </w:tc>
      </w:tr>
      <w:tr w:rsidR="000C2324" w:rsidRPr="005734B8" w14:paraId="4F544710" w14:textId="77777777" w:rsidTr="000C2324">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70A32380" w14:textId="77777777" w:rsidR="000C2324" w:rsidRPr="005734B8" w:rsidRDefault="000C2324" w:rsidP="000C2324">
            <w:pPr>
              <w:pStyle w:val="ESTablebody"/>
              <w:rPr>
                <w:rFonts w:ascii="Calibri" w:hAnsi="Calibri" w:cs="Calibri"/>
                <w:sz w:val="22"/>
                <w:szCs w:val="22"/>
              </w:rPr>
            </w:pPr>
            <w:r w:rsidRPr="005734B8">
              <w:rPr>
                <w:rFonts w:ascii="Calibri" w:hAnsi="Calibri" w:cs="Calibri"/>
                <w:sz w:val="22"/>
                <w:szCs w:val="22"/>
                <w:lang w:val="en-AU"/>
              </w:rPr>
              <w:t>Diesel</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3D95D97D"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51,274</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38C57125" w14:textId="77777777" w:rsidR="000C2324" w:rsidRPr="005734B8" w:rsidRDefault="000C2324" w:rsidP="000C2324">
            <w:pPr>
              <w:pStyle w:val="ESTablenumberrightaligned"/>
              <w:rPr>
                <w:rFonts w:ascii="Calibri" w:hAnsi="Calibri" w:cs="Calibri"/>
                <w:sz w:val="22"/>
                <w:szCs w:val="22"/>
              </w:rPr>
            </w:pPr>
            <w:r w:rsidRPr="005734B8">
              <w:rPr>
                <w:rFonts w:ascii="Calibri" w:eastAsia="Times New Roman" w:hAnsi="Calibri" w:cs="Calibri"/>
                <w:sz w:val="22"/>
                <w:szCs w:val="22"/>
              </w:rPr>
              <w:t>99,970</w:t>
            </w:r>
          </w:p>
        </w:tc>
        <w:tc>
          <w:tcPr>
            <w:tcW w:w="1637" w:type="dxa"/>
            <w:gridSpan w:val="2"/>
            <w:tcBorders>
              <w:top w:val="single" w:sz="4" w:space="0" w:color="53565A" w:themeColor="accent5"/>
              <w:bottom w:val="single" w:sz="4" w:space="0" w:color="53565A" w:themeColor="accent5"/>
            </w:tcBorders>
          </w:tcPr>
          <w:p w14:paraId="09925F07"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57,257</w:t>
            </w:r>
          </w:p>
        </w:tc>
      </w:tr>
      <w:tr w:rsidR="000C2324" w:rsidRPr="005734B8" w14:paraId="35D43379" w14:textId="77777777" w:rsidTr="000C2324">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6F372181" w14:textId="77777777" w:rsidR="000C2324" w:rsidRPr="005734B8" w:rsidRDefault="000C2324" w:rsidP="000C2324">
            <w:pPr>
              <w:pStyle w:val="ESTablebody"/>
              <w:rPr>
                <w:rFonts w:ascii="Calibri" w:hAnsi="Calibri" w:cs="Calibri"/>
                <w:sz w:val="22"/>
                <w:szCs w:val="22"/>
              </w:rPr>
            </w:pPr>
            <w:r w:rsidRPr="005734B8">
              <w:rPr>
                <w:rFonts w:ascii="Calibri" w:hAnsi="Calibri" w:cs="Calibri"/>
                <w:sz w:val="22"/>
                <w:szCs w:val="22"/>
                <w:lang w:val="en-AU"/>
              </w:rPr>
              <w:t>LPG</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310D32E6" w14:textId="3AEFF376" w:rsidR="000C2324" w:rsidRPr="005734B8" w:rsidRDefault="00872BDA" w:rsidP="000C2324">
            <w:pPr>
              <w:pStyle w:val="ESTablenumberrightaligned"/>
              <w:rPr>
                <w:rFonts w:ascii="Calibri" w:hAnsi="Calibri" w:cs="Calibri"/>
                <w:sz w:val="22"/>
                <w:szCs w:val="22"/>
              </w:rPr>
            </w:pPr>
            <w:r w:rsidRPr="005734B8">
              <w:rPr>
                <w:rFonts w:ascii="Calibri" w:hAnsi="Calibri" w:cs="Calibri"/>
                <w:sz w:val="22"/>
                <w:szCs w:val="22"/>
              </w:rPr>
              <w:t>–</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62665DB8" w14:textId="36CC0978" w:rsidR="000C2324" w:rsidRPr="005734B8" w:rsidRDefault="00872BDA" w:rsidP="000C2324">
            <w:pPr>
              <w:pStyle w:val="ESTablenumberrightaligned"/>
              <w:rPr>
                <w:rFonts w:ascii="Calibri" w:hAnsi="Calibri" w:cs="Calibri"/>
                <w:sz w:val="22"/>
                <w:szCs w:val="22"/>
              </w:rPr>
            </w:pPr>
            <w:r w:rsidRPr="005734B8">
              <w:rPr>
                <w:rFonts w:ascii="Calibri" w:hAnsi="Calibri" w:cs="Calibri"/>
                <w:sz w:val="22"/>
                <w:szCs w:val="22"/>
              </w:rPr>
              <w:t>–</w:t>
            </w:r>
          </w:p>
        </w:tc>
        <w:tc>
          <w:tcPr>
            <w:tcW w:w="1637" w:type="dxa"/>
            <w:gridSpan w:val="2"/>
            <w:tcBorders>
              <w:top w:val="single" w:sz="4" w:space="0" w:color="53565A" w:themeColor="accent5"/>
              <w:bottom w:val="single" w:sz="4" w:space="0" w:color="53565A" w:themeColor="accent5"/>
            </w:tcBorders>
          </w:tcPr>
          <w:p w14:paraId="0C265694"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5,148</w:t>
            </w:r>
          </w:p>
        </w:tc>
      </w:tr>
      <w:tr w:rsidR="000C2324" w:rsidRPr="005734B8" w14:paraId="4FACFA24" w14:textId="77777777" w:rsidTr="000C2324">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28C77C47" w14:textId="77777777" w:rsidR="000C2324" w:rsidRPr="005734B8" w:rsidRDefault="000C2324" w:rsidP="000C2324">
            <w:pPr>
              <w:pStyle w:val="ESTablebody"/>
              <w:rPr>
                <w:rFonts w:ascii="Calibri" w:hAnsi="Calibri" w:cs="Calibri"/>
                <w:sz w:val="22"/>
                <w:szCs w:val="22"/>
              </w:rPr>
            </w:pPr>
            <w:r w:rsidRPr="005734B8">
              <w:rPr>
                <w:rFonts w:ascii="Calibri" w:hAnsi="Calibri" w:cs="Calibri"/>
                <w:sz w:val="22"/>
                <w:szCs w:val="22"/>
                <w:lang w:val="en-AU"/>
              </w:rPr>
              <w:t>Unleaded</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07F78909"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667,184</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3E50DE8F" w14:textId="77777777" w:rsidR="000C2324" w:rsidRPr="005734B8" w:rsidRDefault="000C2324" w:rsidP="000C2324">
            <w:pPr>
              <w:pStyle w:val="ESTablenumberrightaligned"/>
              <w:rPr>
                <w:rFonts w:ascii="Calibri" w:hAnsi="Calibri" w:cs="Calibri"/>
                <w:sz w:val="22"/>
                <w:szCs w:val="22"/>
              </w:rPr>
            </w:pPr>
            <w:r w:rsidRPr="005734B8">
              <w:rPr>
                <w:rFonts w:ascii="Calibri" w:eastAsia="Times New Roman" w:hAnsi="Calibri" w:cs="Calibri"/>
                <w:sz w:val="22"/>
                <w:szCs w:val="22"/>
              </w:rPr>
              <w:t>3,890,864</w:t>
            </w:r>
          </w:p>
        </w:tc>
        <w:tc>
          <w:tcPr>
            <w:tcW w:w="1637" w:type="dxa"/>
            <w:gridSpan w:val="2"/>
            <w:tcBorders>
              <w:top w:val="single" w:sz="4" w:space="0" w:color="53565A" w:themeColor="accent5"/>
              <w:bottom w:val="single" w:sz="4" w:space="0" w:color="53565A" w:themeColor="accent5"/>
            </w:tcBorders>
          </w:tcPr>
          <w:p w14:paraId="3F76E7F2"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4,832,091</w:t>
            </w:r>
          </w:p>
        </w:tc>
      </w:tr>
      <w:tr w:rsidR="000C2324" w:rsidRPr="005734B8" w14:paraId="0146B4CD" w14:textId="77777777" w:rsidTr="000C2324">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3A051F01" w14:textId="77777777" w:rsidR="000C2324" w:rsidRPr="005734B8" w:rsidRDefault="000C2324" w:rsidP="000C2324">
            <w:pPr>
              <w:pStyle w:val="ESTablebody"/>
              <w:rPr>
                <w:rFonts w:ascii="Calibri" w:hAnsi="Calibri" w:cs="Calibri"/>
                <w:sz w:val="22"/>
                <w:szCs w:val="22"/>
              </w:rPr>
            </w:pPr>
            <w:r w:rsidRPr="005734B8">
              <w:rPr>
                <w:rFonts w:ascii="Calibri" w:hAnsi="Calibri" w:cs="Calibri"/>
                <w:sz w:val="22"/>
                <w:szCs w:val="22"/>
                <w:lang w:val="en-AU"/>
              </w:rPr>
              <w:t>Hybrid</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718340BA"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530,780</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535717D4" w14:textId="77777777" w:rsidR="000C2324" w:rsidRPr="005734B8" w:rsidRDefault="000C2324" w:rsidP="000C2324">
            <w:pPr>
              <w:pStyle w:val="ESTablenumberrightaligned"/>
              <w:rPr>
                <w:rFonts w:ascii="Calibri" w:hAnsi="Calibri" w:cs="Calibri"/>
                <w:sz w:val="22"/>
                <w:szCs w:val="22"/>
              </w:rPr>
            </w:pPr>
            <w:r w:rsidRPr="005734B8">
              <w:rPr>
                <w:rFonts w:ascii="Calibri" w:eastAsia="Times New Roman" w:hAnsi="Calibri" w:cs="Calibri"/>
                <w:sz w:val="22"/>
                <w:szCs w:val="22"/>
              </w:rPr>
              <w:t>1,896,352</w:t>
            </w:r>
          </w:p>
        </w:tc>
        <w:tc>
          <w:tcPr>
            <w:tcW w:w="1637" w:type="dxa"/>
            <w:gridSpan w:val="2"/>
            <w:tcBorders>
              <w:top w:val="single" w:sz="4" w:space="0" w:color="53565A" w:themeColor="accent5"/>
              <w:bottom w:val="single" w:sz="4" w:space="0" w:color="53565A" w:themeColor="accent5"/>
            </w:tcBorders>
          </w:tcPr>
          <w:p w14:paraId="4F3A0E62"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1,766,783</w:t>
            </w:r>
          </w:p>
        </w:tc>
      </w:tr>
      <w:tr w:rsidR="000C2324" w:rsidRPr="005734B8" w14:paraId="31B4F71B" w14:textId="77777777" w:rsidTr="000C2324">
        <w:trPr>
          <w:cantSplit/>
        </w:trPr>
        <w:tc>
          <w:tcPr>
            <w:tcW w:w="3532" w:type="dxa"/>
            <w:gridSpan w:val="2"/>
            <w:tcBorders>
              <w:top w:val="single" w:sz="4" w:space="0" w:color="53565A" w:themeColor="accent5"/>
              <w:bottom w:val="single" w:sz="4" w:space="0" w:color="53565A" w:themeColor="accent5"/>
            </w:tcBorders>
            <w:shd w:val="clear" w:color="auto" w:fill="D9D9D6" w:themeFill="accent6"/>
            <w:vAlign w:val="center"/>
          </w:tcPr>
          <w:p w14:paraId="1092BEDE" w14:textId="77777777" w:rsidR="000C2324" w:rsidRPr="005734B8" w:rsidRDefault="000C2324" w:rsidP="000C2324">
            <w:pPr>
              <w:pStyle w:val="ESTablebody"/>
              <w:rPr>
                <w:rFonts w:ascii="Calibri" w:hAnsi="Calibri" w:cs="Calibri"/>
                <w:b/>
                <w:sz w:val="22"/>
                <w:szCs w:val="22"/>
              </w:rPr>
            </w:pPr>
            <w:r w:rsidRPr="005734B8">
              <w:rPr>
                <w:rFonts w:ascii="Calibri" w:hAnsi="Calibri" w:cs="Calibri"/>
                <w:b/>
                <w:sz w:val="22"/>
                <w:szCs w:val="22"/>
                <w:lang w:val="en-AU"/>
              </w:rPr>
              <w:t>T3: Total greenhouse gas emissions from fleet vehicles (tonnes CO</w:t>
            </w:r>
            <w:r w:rsidRPr="005734B8">
              <w:rPr>
                <w:rFonts w:ascii="Calibri" w:hAnsi="Calibri" w:cs="Calibri"/>
                <w:b/>
                <w:sz w:val="22"/>
                <w:szCs w:val="22"/>
                <w:vertAlign w:val="subscript"/>
                <w:lang w:val="en-AU"/>
              </w:rPr>
              <w:t>2</w:t>
            </w:r>
            <w:r w:rsidRPr="005734B8">
              <w:rPr>
                <w:rFonts w:ascii="Calibri" w:hAnsi="Calibri" w:cs="Calibri"/>
                <w:b/>
                <w:sz w:val="22"/>
                <w:szCs w:val="22"/>
                <w:lang w:val="en-AU"/>
              </w:rPr>
              <w:t>-e)</w:t>
            </w:r>
          </w:p>
        </w:tc>
        <w:tc>
          <w:tcPr>
            <w:tcW w:w="1389" w:type="dxa"/>
            <w:gridSpan w:val="2"/>
            <w:tcBorders>
              <w:top w:val="single" w:sz="4" w:space="0" w:color="53565A" w:themeColor="accent5"/>
              <w:bottom w:val="single" w:sz="4" w:space="0" w:color="53565A" w:themeColor="accent5"/>
            </w:tcBorders>
            <w:shd w:val="clear" w:color="auto" w:fill="D9D9D6" w:themeFill="accent6"/>
            <w:vAlign w:val="center"/>
          </w:tcPr>
          <w:p w14:paraId="68B10C6F" w14:textId="77777777" w:rsidR="000C2324" w:rsidRPr="005734B8" w:rsidRDefault="000C2324" w:rsidP="000C2324">
            <w:pPr>
              <w:pStyle w:val="ESTablenumberrightaligned"/>
              <w:rPr>
                <w:rFonts w:ascii="Calibri" w:hAnsi="Calibri" w:cs="Calibri"/>
                <w:b/>
                <w:sz w:val="22"/>
                <w:szCs w:val="22"/>
              </w:rPr>
            </w:pPr>
            <w:r w:rsidRPr="005734B8">
              <w:rPr>
                <w:rFonts w:ascii="Calibri" w:hAnsi="Calibri" w:cs="Calibri"/>
                <w:b/>
                <w:sz w:val="22"/>
                <w:szCs w:val="22"/>
              </w:rPr>
              <w:t>185</w:t>
            </w:r>
          </w:p>
        </w:tc>
        <w:tc>
          <w:tcPr>
            <w:tcW w:w="1363" w:type="dxa"/>
            <w:gridSpan w:val="3"/>
            <w:tcBorders>
              <w:top w:val="single" w:sz="4" w:space="0" w:color="53565A" w:themeColor="accent5"/>
              <w:bottom w:val="single" w:sz="4" w:space="0" w:color="53565A" w:themeColor="accent5"/>
            </w:tcBorders>
            <w:shd w:val="clear" w:color="auto" w:fill="D9D9D6" w:themeFill="accent6"/>
            <w:vAlign w:val="center"/>
          </w:tcPr>
          <w:p w14:paraId="6B36F618" w14:textId="77777777" w:rsidR="000C2324" w:rsidRPr="005734B8" w:rsidRDefault="000C2324" w:rsidP="000C2324">
            <w:pPr>
              <w:pStyle w:val="ESTablenumberrightaligned"/>
              <w:rPr>
                <w:rFonts w:ascii="Calibri" w:hAnsi="Calibri" w:cs="Calibri"/>
                <w:sz w:val="22"/>
                <w:szCs w:val="22"/>
              </w:rPr>
            </w:pPr>
            <w:r w:rsidRPr="005734B8">
              <w:rPr>
                <w:rFonts w:ascii="Calibri" w:eastAsia="Times New Roman" w:hAnsi="Calibri" w:cs="Calibri"/>
                <w:b/>
                <w:sz w:val="22"/>
                <w:szCs w:val="22"/>
              </w:rPr>
              <w:t>763</w:t>
            </w:r>
          </w:p>
        </w:tc>
        <w:tc>
          <w:tcPr>
            <w:tcW w:w="1637" w:type="dxa"/>
            <w:gridSpan w:val="2"/>
            <w:tcBorders>
              <w:top w:val="single" w:sz="4" w:space="0" w:color="53565A" w:themeColor="accent5"/>
              <w:bottom w:val="single" w:sz="4" w:space="0" w:color="53565A" w:themeColor="accent5"/>
            </w:tcBorders>
            <w:shd w:val="clear" w:color="auto" w:fill="D9D9D6" w:themeFill="accent6"/>
            <w:vAlign w:val="center"/>
          </w:tcPr>
          <w:p w14:paraId="368BF14D"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b/>
                <w:sz w:val="22"/>
                <w:szCs w:val="22"/>
              </w:rPr>
              <w:t>1,011</w:t>
            </w:r>
          </w:p>
        </w:tc>
      </w:tr>
      <w:tr w:rsidR="000C2324" w:rsidRPr="005734B8" w14:paraId="01A599CA" w14:textId="77777777" w:rsidTr="000C2324">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0678A260" w14:textId="77777777" w:rsidR="000C2324" w:rsidRPr="005734B8" w:rsidRDefault="000C2324" w:rsidP="000C2324">
            <w:pPr>
              <w:pStyle w:val="ESTablebody"/>
              <w:rPr>
                <w:rFonts w:ascii="Calibri" w:hAnsi="Calibri" w:cs="Calibri"/>
                <w:sz w:val="22"/>
                <w:szCs w:val="22"/>
              </w:rPr>
            </w:pPr>
            <w:r w:rsidRPr="005734B8">
              <w:rPr>
                <w:rFonts w:ascii="Calibri" w:hAnsi="Calibri" w:cs="Calibri"/>
                <w:sz w:val="22"/>
                <w:szCs w:val="22"/>
                <w:lang w:val="en-AU"/>
              </w:rPr>
              <w:t>Diesel</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5CF9EF00"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10</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7B52C0B1" w14:textId="77777777" w:rsidR="000C2324" w:rsidRPr="005734B8" w:rsidRDefault="000C2324" w:rsidP="000C2324">
            <w:pPr>
              <w:pStyle w:val="ESTablenumberrightaligned"/>
              <w:rPr>
                <w:rFonts w:ascii="Calibri" w:hAnsi="Calibri" w:cs="Calibri"/>
                <w:sz w:val="22"/>
                <w:szCs w:val="22"/>
              </w:rPr>
            </w:pPr>
            <w:r w:rsidRPr="005734B8">
              <w:rPr>
                <w:rFonts w:ascii="Calibri" w:eastAsia="Times New Roman" w:hAnsi="Calibri" w:cs="Calibri"/>
                <w:sz w:val="22"/>
                <w:szCs w:val="22"/>
              </w:rPr>
              <w:t>23</w:t>
            </w:r>
          </w:p>
        </w:tc>
        <w:tc>
          <w:tcPr>
            <w:tcW w:w="1637" w:type="dxa"/>
            <w:gridSpan w:val="2"/>
            <w:tcBorders>
              <w:top w:val="single" w:sz="4" w:space="0" w:color="53565A" w:themeColor="accent5"/>
              <w:bottom w:val="single" w:sz="4" w:space="0" w:color="53565A" w:themeColor="accent5"/>
            </w:tcBorders>
          </w:tcPr>
          <w:p w14:paraId="30B74382"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14</w:t>
            </w:r>
          </w:p>
        </w:tc>
      </w:tr>
      <w:tr w:rsidR="000C2324" w:rsidRPr="005734B8" w14:paraId="394440D8" w14:textId="77777777" w:rsidTr="000C2324">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49097967" w14:textId="77777777" w:rsidR="000C2324" w:rsidRPr="005734B8" w:rsidRDefault="000C2324" w:rsidP="000C2324">
            <w:pPr>
              <w:pStyle w:val="ESTablebody"/>
              <w:rPr>
                <w:rFonts w:ascii="Calibri" w:hAnsi="Calibri" w:cs="Calibri"/>
                <w:sz w:val="22"/>
                <w:szCs w:val="22"/>
              </w:rPr>
            </w:pPr>
            <w:r w:rsidRPr="005734B8">
              <w:rPr>
                <w:rFonts w:ascii="Calibri" w:hAnsi="Calibri" w:cs="Calibri"/>
                <w:sz w:val="22"/>
                <w:szCs w:val="22"/>
                <w:lang w:val="en-AU"/>
              </w:rPr>
              <w:t>LPG</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0B8345E8" w14:textId="3886C964" w:rsidR="000C2324" w:rsidRPr="005734B8" w:rsidRDefault="00872BDA" w:rsidP="000C2324">
            <w:pPr>
              <w:pStyle w:val="ESTablenumberrightaligned"/>
              <w:rPr>
                <w:rFonts w:ascii="Calibri" w:hAnsi="Calibri" w:cs="Calibri"/>
                <w:sz w:val="22"/>
                <w:szCs w:val="22"/>
              </w:rPr>
            </w:pPr>
            <w:r w:rsidRPr="005734B8">
              <w:rPr>
                <w:rFonts w:ascii="Calibri" w:hAnsi="Calibri" w:cs="Calibri"/>
                <w:sz w:val="22"/>
                <w:szCs w:val="22"/>
              </w:rPr>
              <w:t>–</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461D79EC" w14:textId="725D8495" w:rsidR="000C2324" w:rsidRPr="005734B8" w:rsidRDefault="00872BDA" w:rsidP="000C2324">
            <w:pPr>
              <w:pStyle w:val="ESTablenumberrightaligned"/>
              <w:rPr>
                <w:rFonts w:ascii="Calibri" w:hAnsi="Calibri" w:cs="Calibri"/>
                <w:sz w:val="22"/>
                <w:szCs w:val="22"/>
              </w:rPr>
            </w:pPr>
            <w:r w:rsidRPr="005734B8">
              <w:rPr>
                <w:rFonts w:ascii="Calibri" w:hAnsi="Calibri" w:cs="Calibri"/>
                <w:sz w:val="22"/>
                <w:szCs w:val="22"/>
              </w:rPr>
              <w:t>–</w:t>
            </w:r>
          </w:p>
        </w:tc>
        <w:tc>
          <w:tcPr>
            <w:tcW w:w="1637" w:type="dxa"/>
            <w:gridSpan w:val="2"/>
            <w:tcBorders>
              <w:top w:val="single" w:sz="4" w:space="0" w:color="53565A" w:themeColor="accent5"/>
              <w:bottom w:val="single" w:sz="4" w:space="0" w:color="53565A" w:themeColor="accent5"/>
            </w:tcBorders>
          </w:tcPr>
          <w:p w14:paraId="73DB25C1"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1</w:t>
            </w:r>
          </w:p>
        </w:tc>
      </w:tr>
      <w:tr w:rsidR="000C2324" w:rsidRPr="005734B8" w14:paraId="23115BEB" w14:textId="77777777" w:rsidTr="000C2324">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0A786F52" w14:textId="77777777" w:rsidR="000C2324" w:rsidRPr="005734B8" w:rsidRDefault="000C2324" w:rsidP="000C2324">
            <w:pPr>
              <w:pStyle w:val="ESTablebody"/>
              <w:rPr>
                <w:rFonts w:ascii="Calibri" w:hAnsi="Calibri" w:cs="Calibri"/>
                <w:sz w:val="22"/>
                <w:szCs w:val="22"/>
              </w:rPr>
            </w:pPr>
            <w:r w:rsidRPr="005734B8">
              <w:rPr>
                <w:rFonts w:ascii="Calibri" w:hAnsi="Calibri" w:cs="Calibri"/>
                <w:sz w:val="22"/>
                <w:szCs w:val="22"/>
                <w:lang w:val="en-AU"/>
              </w:rPr>
              <w:t>Unleaded</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49534FE4"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111</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1C2CB306" w14:textId="77777777" w:rsidR="000C2324" w:rsidRPr="005734B8" w:rsidRDefault="000C2324" w:rsidP="000C2324">
            <w:pPr>
              <w:pStyle w:val="ESTablenumberrightaligned"/>
              <w:rPr>
                <w:rFonts w:ascii="Calibri" w:hAnsi="Calibri" w:cs="Calibri"/>
                <w:sz w:val="22"/>
                <w:szCs w:val="22"/>
              </w:rPr>
            </w:pPr>
            <w:r w:rsidRPr="005734B8">
              <w:rPr>
                <w:rFonts w:ascii="Calibri" w:eastAsia="Times New Roman" w:hAnsi="Calibri" w:cs="Calibri"/>
                <w:sz w:val="22"/>
                <w:szCs w:val="22"/>
              </w:rPr>
              <w:t>550</w:t>
            </w:r>
          </w:p>
        </w:tc>
        <w:tc>
          <w:tcPr>
            <w:tcW w:w="1637" w:type="dxa"/>
            <w:gridSpan w:val="2"/>
            <w:tcBorders>
              <w:top w:val="single" w:sz="4" w:space="0" w:color="53565A" w:themeColor="accent5"/>
              <w:bottom w:val="single" w:sz="4" w:space="0" w:color="53565A" w:themeColor="accent5"/>
            </w:tcBorders>
          </w:tcPr>
          <w:p w14:paraId="79DCB4CF"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769</w:t>
            </w:r>
          </w:p>
        </w:tc>
      </w:tr>
      <w:tr w:rsidR="000C2324" w:rsidRPr="005734B8" w14:paraId="642ACD80" w14:textId="77777777" w:rsidTr="000C2324">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6BFFFD71" w14:textId="77777777" w:rsidR="000C2324" w:rsidRPr="005734B8" w:rsidRDefault="000C2324" w:rsidP="000C2324">
            <w:pPr>
              <w:pStyle w:val="ESTablebody"/>
              <w:rPr>
                <w:rFonts w:ascii="Calibri" w:hAnsi="Calibri" w:cs="Calibri"/>
                <w:sz w:val="22"/>
                <w:szCs w:val="22"/>
              </w:rPr>
            </w:pPr>
            <w:r w:rsidRPr="005734B8">
              <w:rPr>
                <w:rFonts w:ascii="Calibri" w:hAnsi="Calibri" w:cs="Calibri"/>
                <w:sz w:val="22"/>
                <w:szCs w:val="22"/>
                <w:lang w:val="en-AU"/>
              </w:rPr>
              <w:t>Hybrid</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56AAC54C"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64</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705FC827" w14:textId="77777777" w:rsidR="000C2324" w:rsidRPr="005734B8" w:rsidRDefault="000C2324" w:rsidP="000C2324">
            <w:pPr>
              <w:pStyle w:val="ESTablenumberrightaligned"/>
              <w:rPr>
                <w:rFonts w:ascii="Calibri" w:hAnsi="Calibri" w:cs="Calibri"/>
                <w:sz w:val="22"/>
                <w:szCs w:val="22"/>
              </w:rPr>
            </w:pPr>
            <w:r w:rsidRPr="005734B8">
              <w:rPr>
                <w:rFonts w:ascii="Calibri" w:eastAsia="Times New Roman" w:hAnsi="Calibri" w:cs="Calibri"/>
                <w:sz w:val="22"/>
                <w:szCs w:val="22"/>
              </w:rPr>
              <w:t>191</w:t>
            </w:r>
          </w:p>
        </w:tc>
        <w:tc>
          <w:tcPr>
            <w:tcW w:w="1637" w:type="dxa"/>
            <w:gridSpan w:val="2"/>
            <w:tcBorders>
              <w:top w:val="single" w:sz="4" w:space="0" w:color="53565A" w:themeColor="accent5"/>
              <w:bottom w:val="single" w:sz="4" w:space="0" w:color="53565A" w:themeColor="accent5"/>
            </w:tcBorders>
          </w:tcPr>
          <w:p w14:paraId="258E6E51"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226</w:t>
            </w:r>
          </w:p>
        </w:tc>
      </w:tr>
      <w:tr w:rsidR="000C2324" w:rsidRPr="005734B8" w14:paraId="36A9621D" w14:textId="77777777" w:rsidTr="000C2324">
        <w:trPr>
          <w:cantSplit/>
        </w:trPr>
        <w:tc>
          <w:tcPr>
            <w:tcW w:w="3532" w:type="dxa"/>
            <w:gridSpan w:val="2"/>
            <w:tcBorders>
              <w:top w:val="single" w:sz="4" w:space="0" w:color="53565A" w:themeColor="accent5"/>
              <w:bottom w:val="single" w:sz="4" w:space="0" w:color="53565A" w:themeColor="accent5"/>
            </w:tcBorders>
            <w:shd w:val="clear" w:color="auto" w:fill="D9D9D6" w:themeFill="accent6"/>
            <w:vAlign w:val="center"/>
          </w:tcPr>
          <w:p w14:paraId="591A8A8E" w14:textId="77777777" w:rsidR="000C2324" w:rsidRPr="005734B8" w:rsidRDefault="000C2324" w:rsidP="000C2324">
            <w:pPr>
              <w:pStyle w:val="ESTablebody"/>
              <w:rPr>
                <w:rFonts w:ascii="Calibri" w:hAnsi="Calibri" w:cs="Calibri"/>
                <w:b/>
                <w:sz w:val="22"/>
                <w:szCs w:val="22"/>
              </w:rPr>
            </w:pPr>
            <w:r w:rsidRPr="005734B8">
              <w:rPr>
                <w:rFonts w:ascii="Calibri" w:hAnsi="Calibri" w:cs="Calibri"/>
                <w:b/>
                <w:sz w:val="22"/>
                <w:szCs w:val="22"/>
                <w:lang w:val="en-AU"/>
              </w:rPr>
              <w:t>T4: Greenhouse gas emissions from fleet vehicles per 1,000km (tonnes CO</w:t>
            </w:r>
            <w:r w:rsidRPr="005734B8">
              <w:rPr>
                <w:rFonts w:ascii="Calibri" w:hAnsi="Calibri" w:cs="Calibri"/>
                <w:b/>
                <w:sz w:val="22"/>
                <w:szCs w:val="22"/>
                <w:vertAlign w:val="subscript"/>
                <w:lang w:val="en-AU"/>
              </w:rPr>
              <w:t>2</w:t>
            </w:r>
            <w:r w:rsidRPr="005734B8">
              <w:rPr>
                <w:rFonts w:ascii="Calibri" w:hAnsi="Calibri" w:cs="Calibri"/>
                <w:b/>
                <w:sz w:val="22"/>
                <w:szCs w:val="22"/>
                <w:lang w:val="en-AU"/>
              </w:rPr>
              <w:t>-e)</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6A42485E" w14:textId="77777777" w:rsidR="000C2324" w:rsidRPr="005734B8" w:rsidRDefault="000C2324" w:rsidP="000C2324">
            <w:pPr>
              <w:pStyle w:val="ESTablenumberrightaligned"/>
              <w:rPr>
                <w:rFonts w:ascii="Calibri" w:hAnsi="Calibri" w:cs="Calibri"/>
                <w:sz w:val="22"/>
                <w:szCs w:val="22"/>
              </w:rPr>
            </w:pPr>
          </w:p>
        </w:tc>
        <w:tc>
          <w:tcPr>
            <w:tcW w:w="1363" w:type="dxa"/>
            <w:gridSpan w:val="3"/>
            <w:tcBorders>
              <w:top w:val="single" w:sz="4" w:space="0" w:color="53565A" w:themeColor="accent5"/>
              <w:bottom w:val="single" w:sz="4" w:space="0" w:color="53565A" w:themeColor="accent5"/>
            </w:tcBorders>
            <w:shd w:val="clear" w:color="auto" w:fill="D9D9D6" w:themeFill="accent6"/>
          </w:tcPr>
          <w:p w14:paraId="0BDF35BD" w14:textId="77777777" w:rsidR="000C2324" w:rsidRPr="005734B8" w:rsidRDefault="000C2324" w:rsidP="000C2324">
            <w:pPr>
              <w:pStyle w:val="ESTablenumberrightaligned"/>
              <w:rPr>
                <w:rFonts w:ascii="Calibri" w:hAnsi="Calibri" w:cs="Calibri"/>
                <w:sz w:val="22"/>
                <w:szCs w:val="22"/>
              </w:rPr>
            </w:pPr>
          </w:p>
        </w:tc>
        <w:tc>
          <w:tcPr>
            <w:tcW w:w="1637" w:type="dxa"/>
            <w:gridSpan w:val="2"/>
            <w:tcBorders>
              <w:top w:val="single" w:sz="4" w:space="0" w:color="53565A" w:themeColor="accent5"/>
              <w:bottom w:val="single" w:sz="4" w:space="0" w:color="53565A" w:themeColor="accent5"/>
            </w:tcBorders>
            <w:shd w:val="clear" w:color="auto" w:fill="D9D9D6" w:themeFill="accent6"/>
          </w:tcPr>
          <w:p w14:paraId="0D1D433E" w14:textId="77777777" w:rsidR="000C2324" w:rsidRPr="005734B8" w:rsidRDefault="000C2324" w:rsidP="000C2324">
            <w:pPr>
              <w:pStyle w:val="ESTablenumberrightaligned"/>
              <w:rPr>
                <w:rFonts w:ascii="Calibri" w:hAnsi="Calibri" w:cs="Calibri"/>
                <w:sz w:val="22"/>
                <w:szCs w:val="22"/>
              </w:rPr>
            </w:pPr>
          </w:p>
        </w:tc>
      </w:tr>
      <w:tr w:rsidR="000C2324" w:rsidRPr="005734B8" w14:paraId="167362A3" w14:textId="77777777" w:rsidTr="000C2324">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1B25BC0B" w14:textId="77777777" w:rsidR="000C2324" w:rsidRPr="005734B8" w:rsidRDefault="000C2324" w:rsidP="000C2324">
            <w:pPr>
              <w:pStyle w:val="ESTablebody"/>
              <w:rPr>
                <w:rFonts w:ascii="Calibri" w:hAnsi="Calibri" w:cs="Calibri"/>
                <w:sz w:val="22"/>
                <w:szCs w:val="22"/>
              </w:rPr>
            </w:pPr>
            <w:r w:rsidRPr="005734B8">
              <w:rPr>
                <w:rFonts w:ascii="Calibri" w:hAnsi="Calibri" w:cs="Calibri"/>
                <w:sz w:val="22"/>
                <w:szCs w:val="22"/>
                <w:lang w:val="en-AU"/>
              </w:rPr>
              <w:t>Diesel</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11ABACBE"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0.19</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020EB817" w14:textId="77777777" w:rsidR="000C2324" w:rsidRPr="005734B8" w:rsidRDefault="000C2324" w:rsidP="000C2324">
            <w:pPr>
              <w:pStyle w:val="ESTablenumberrightaligned"/>
              <w:rPr>
                <w:rFonts w:ascii="Calibri" w:hAnsi="Calibri" w:cs="Calibri"/>
                <w:sz w:val="22"/>
                <w:szCs w:val="22"/>
              </w:rPr>
            </w:pPr>
            <w:r w:rsidRPr="005734B8">
              <w:rPr>
                <w:rFonts w:ascii="Calibri" w:eastAsia="Times New Roman" w:hAnsi="Calibri" w:cs="Calibri"/>
                <w:sz w:val="22"/>
                <w:szCs w:val="22"/>
              </w:rPr>
              <w:t>0.23</w:t>
            </w:r>
          </w:p>
        </w:tc>
        <w:tc>
          <w:tcPr>
            <w:tcW w:w="1637" w:type="dxa"/>
            <w:gridSpan w:val="2"/>
            <w:tcBorders>
              <w:top w:val="single" w:sz="4" w:space="0" w:color="53565A" w:themeColor="accent5"/>
              <w:bottom w:val="single" w:sz="4" w:space="0" w:color="53565A" w:themeColor="accent5"/>
            </w:tcBorders>
          </w:tcPr>
          <w:p w14:paraId="09B8ED47"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0.50</w:t>
            </w:r>
          </w:p>
        </w:tc>
      </w:tr>
      <w:tr w:rsidR="000C2324" w:rsidRPr="005734B8" w14:paraId="617AEA3E" w14:textId="77777777" w:rsidTr="000C2324">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639BC744" w14:textId="77777777" w:rsidR="000C2324" w:rsidRPr="005734B8" w:rsidRDefault="000C2324" w:rsidP="000C2324">
            <w:pPr>
              <w:pStyle w:val="ESTablebody"/>
              <w:rPr>
                <w:rFonts w:ascii="Calibri" w:hAnsi="Calibri" w:cs="Calibri"/>
                <w:sz w:val="22"/>
                <w:szCs w:val="22"/>
              </w:rPr>
            </w:pPr>
            <w:r w:rsidRPr="005734B8">
              <w:rPr>
                <w:rFonts w:ascii="Calibri" w:hAnsi="Calibri" w:cs="Calibri"/>
                <w:sz w:val="22"/>
                <w:szCs w:val="22"/>
                <w:lang w:val="en-AU"/>
              </w:rPr>
              <w:lastRenderedPageBreak/>
              <w:t>LPG</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6A387845" w14:textId="6AC987EF" w:rsidR="000C2324" w:rsidRPr="005734B8" w:rsidRDefault="00872BDA" w:rsidP="000C2324">
            <w:pPr>
              <w:pStyle w:val="ESTablenumberrightaligned"/>
              <w:rPr>
                <w:rFonts w:ascii="Calibri" w:hAnsi="Calibri" w:cs="Calibri"/>
                <w:sz w:val="22"/>
                <w:szCs w:val="22"/>
              </w:rPr>
            </w:pPr>
            <w:r w:rsidRPr="005734B8">
              <w:rPr>
                <w:rFonts w:ascii="Calibri" w:hAnsi="Calibri" w:cs="Calibri"/>
                <w:sz w:val="22"/>
                <w:szCs w:val="22"/>
              </w:rPr>
              <w:t>–</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136ADB44" w14:textId="13B8D5AC" w:rsidR="000C2324" w:rsidRPr="005734B8" w:rsidRDefault="00872BDA" w:rsidP="000C2324">
            <w:pPr>
              <w:pStyle w:val="ESTablenumberrightaligned"/>
              <w:rPr>
                <w:rFonts w:ascii="Calibri" w:hAnsi="Calibri" w:cs="Calibri"/>
                <w:sz w:val="22"/>
                <w:szCs w:val="22"/>
              </w:rPr>
            </w:pPr>
            <w:r w:rsidRPr="005734B8">
              <w:rPr>
                <w:rFonts w:ascii="Calibri" w:hAnsi="Calibri" w:cs="Calibri"/>
                <w:sz w:val="22"/>
                <w:szCs w:val="22"/>
              </w:rPr>
              <w:t>–</w:t>
            </w:r>
          </w:p>
        </w:tc>
        <w:tc>
          <w:tcPr>
            <w:tcW w:w="1637" w:type="dxa"/>
            <w:gridSpan w:val="2"/>
            <w:tcBorders>
              <w:top w:val="single" w:sz="4" w:space="0" w:color="53565A" w:themeColor="accent5"/>
              <w:bottom w:val="single" w:sz="4" w:space="0" w:color="53565A" w:themeColor="accent5"/>
            </w:tcBorders>
          </w:tcPr>
          <w:p w14:paraId="056A7E46"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0.18</w:t>
            </w:r>
          </w:p>
        </w:tc>
      </w:tr>
      <w:tr w:rsidR="000C2324" w:rsidRPr="005734B8" w14:paraId="57B2BE99" w14:textId="77777777" w:rsidTr="000C2324">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437929CF" w14:textId="77777777" w:rsidR="000C2324" w:rsidRPr="005734B8" w:rsidRDefault="000C2324" w:rsidP="000C2324">
            <w:pPr>
              <w:pStyle w:val="ESTablebody"/>
              <w:rPr>
                <w:rFonts w:ascii="Calibri" w:hAnsi="Calibri" w:cs="Calibri"/>
                <w:sz w:val="22"/>
                <w:szCs w:val="22"/>
              </w:rPr>
            </w:pPr>
            <w:r w:rsidRPr="005734B8">
              <w:rPr>
                <w:rFonts w:ascii="Calibri" w:hAnsi="Calibri" w:cs="Calibri"/>
                <w:sz w:val="22"/>
                <w:szCs w:val="22"/>
                <w:lang w:val="en-AU"/>
              </w:rPr>
              <w:t>Unleaded</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1A45C983"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0.13</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02505BDE" w14:textId="77777777" w:rsidR="000C2324" w:rsidRPr="005734B8" w:rsidRDefault="000C2324" w:rsidP="000C2324">
            <w:pPr>
              <w:pStyle w:val="ESTablenumberrightaligned"/>
              <w:rPr>
                <w:rFonts w:ascii="Calibri" w:hAnsi="Calibri" w:cs="Calibri"/>
                <w:sz w:val="22"/>
                <w:szCs w:val="22"/>
              </w:rPr>
            </w:pPr>
            <w:r w:rsidRPr="005734B8">
              <w:rPr>
                <w:rFonts w:ascii="Calibri" w:eastAsia="Times New Roman" w:hAnsi="Calibri" w:cs="Calibri"/>
                <w:sz w:val="22"/>
                <w:szCs w:val="22"/>
              </w:rPr>
              <w:t>0.14</w:t>
            </w:r>
          </w:p>
        </w:tc>
        <w:tc>
          <w:tcPr>
            <w:tcW w:w="1637" w:type="dxa"/>
            <w:gridSpan w:val="2"/>
            <w:tcBorders>
              <w:top w:val="single" w:sz="4" w:space="0" w:color="53565A" w:themeColor="accent5"/>
              <w:bottom w:val="single" w:sz="4" w:space="0" w:color="53565A" w:themeColor="accent5"/>
            </w:tcBorders>
          </w:tcPr>
          <w:p w14:paraId="5FE10CBE"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0.34</w:t>
            </w:r>
          </w:p>
        </w:tc>
      </w:tr>
      <w:tr w:rsidR="000C2324" w:rsidRPr="005734B8" w14:paraId="70BA2004" w14:textId="77777777" w:rsidTr="000C2324">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7F46E1CC" w14:textId="77777777" w:rsidR="000C2324" w:rsidRPr="005734B8" w:rsidRDefault="000C2324" w:rsidP="000C2324">
            <w:pPr>
              <w:pStyle w:val="ESTablebody"/>
              <w:rPr>
                <w:rFonts w:ascii="Calibri" w:hAnsi="Calibri" w:cs="Calibri"/>
                <w:sz w:val="22"/>
                <w:szCs w:val="22"/>
              </w:rPr>
            </w:pPr>
            <w:r w:rsidRPr="005734B8">
              <w:rPr>
                <w:rFonts w:ascii="Calibri" w:hAnsi="Calibri" w:cs="Calibri"/>
                <w:sz w:val="22"/>
                <w:szCs w:val="22"/>
                <w:lang w:val="en-AU"/>
              </w:rPr>
              <w:t>Hybrid</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5D5156BA"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0.10</w:t>
            </w:r>
          </w:p>
        </w:tc>
        <w:tc>
          <w:tcPr>
            <w:tcW w:w="1363" w:type="dxa"/>
            <w:gridSpan w:val="3"/>
            <w:tcBorders>
              <w:top w:val="single" w:sz="4" w:space="0" w:color="53565A" w:themeColor="accent5"/>
              <w:bottom w:val="single" w:sz="4" w:space="0" w:color="53565A" w:themeColor="accent5"/>
            </w:tcBorders>
            <w:shd w:val="clear" w:color="auto" w:fill="FFFFFF" w:themeFill="background1"/>
            <w:vAlign w:val="center"/>
          </w:tcPr>
          <w:p w14:paraId="14791515" w14:textId="77777777" w:rsidR="000C2324" w:rsidRPr="005734B8" w:rsidRDefault="000C2324" w:rsidP="000C2324">
            <w:pPr>
              <w:pStyle w:val="ESTablenumberrightaligned"/>
              <w:rPr>
                <w:rFonts w:ascii="Calibri" w:hAnsi="Calibri" w:cs="Calibri"/>
                <w:sz w:val="22"/>
                <w:szCs w:val="22"/>
              </w:rPr>
            </w:pPr>
            <w:r w:rsidRPr="005734B8">
              <w:rPr>
                <w:rFonts w:ascii="Calibri" w:eastAsia="Times New Roman" w:hAnsi="Calibri" w:cs="Calibri"/>
                <w:sz w:val="22"/>
                <w:szCs w:val="22"/>
              </w:rPr>
              <w:t>0.10</w:t>
            </w:r>
          </w:p>
        </w:tc>
        <w:tc>
          <w:tcPr>
            <w:tcW w:w="1637" w:type="dxa"/>
            <w:gridSpan w:val="2"/>
            <w:tcBorders>
              <w:top w:val="single" w:sz="4" w:space="0" w:color="53565A" w:themeColor="accent5"/>
              <w:bottom w:val="single" w:sz="4" w:space="0" w:color="53565A" w:themeColor="accent5"/>
            </w:tcBorders>
            <w:vAlign w:val="center"/>
          </w:tcPr>
          <w:p w14:paraId="042A959B"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0.24</w:t>
            </w:r>
          </w:p>
        </w:tc>
      </w:tr>
      <w:tr w:rsidR="000C2324" w:rsidRPr="005734B8" w14:paraId="7DF55DA4" w14:textId="77777777" w:rsidTr="000C2324">
        <w:trPr>
          <w:cantSplit/>
        </w:trPr>
        <w:tc>
          <w:tcPr>
            <w:tcW w:w="3532" w:type="dxa"/>
            <w:gridSpan w:val="2"/>
            <w:tcBorders>
              <w:top w:val="single" w:sz="18" w:space="0" w:color="53565A" w:themeColor="accent5"/>
              <w:bottom w:val="single" w:sz="18" w:space="0" w:color="53565A" w:themeColor="accent5"/>
            </w:tcBorders>
            <w:shd w:val="clear" w:color="auto" w:fill="auto"/>
            <w:vAlign w:val="center"/>
          </w:tcPr>
          <w:p w14:paraId="2F6B28F3" w14:textId="77777777" w:rsidR="000C2324" w:rsidRPr="005734B8" w:rsidRDefault="000C2324" w:rsidP="000C2324">
            <w:pPr>
              <w:pStyle w:val="ESTablebody"/>
              <w:rPr>
                <w:rFonts w:ascii="Calibri" w:hAnsi="Calibri" w:cs="Calibri"/>
                <w:b/>
                <w:sz w:val="22"/>
                <w:szCs w:val="22"/>
              </w:rPr>
            </w:pPr>
            <w:r w:rsidRPr="005734B8">
              <w:rPr>
                <w:rFonts w:ascii="Calibri" w:hAnsi="Calibri" w:cs="Calibri"/>
                <w:b/>
                <w:sz w:val="22"/>
                <w:szCs w:val="22"/>
                <w:lang w:val="en-AU"/>
              </w:rPr>
              <w:t>Total distance travelled by air (km)</w:t>
            </w:r>
          </w:p>
        </w:tc>
        <w:tc>
          <w:tcPr>
            <w:tcW w:w="1389" w:type="dxa"/>
            <w:gridSpan w:val="2"/>
            <w:tcBorders>
              <w:top w:val="single" w:sz="18" w:space="0" w:color="53565A" w:themeColor="accent5"/>
              <w:bottom w:val="single" w:sz="18" w:space="0" w:color="53565A" w:themeColor="accent5"/>
            </w:tcBorders>
            <w:shd w:val="clear" w:color="auto" w:fill="D9D9D6" w:themeFill="accent6"/>
          </w:tcPr>
          <w:p w14:paraId="3D0EB08B" w14:textId="77777777" w:rsidR="000C2324" w:rsidRPr="005734B8" w:rsidRDefault="000C2324" w:rsidP="000C2324">
            <w:pPr>
              <w:pStyle w:val="ESTablenumberrightaligned"/>
              <w:rPr>
                <w:rFonts w:ascii="Calibri" w:hAnsi="Calibri" w:cs="Calibri"/>
                <w:b/>
                <w:sz w:val="22"/>
                <w:szCs w:val="22"/>
              </w:rPr>
            </w:pPr>
            <w:r w:rsidRPr="005734B8">
              <w:rPr>
                <w:rFonts w:ascii="Calibri" w:hAnsi="Calibri" w:cs="Calibri"/>
                <w:b/>
                <w:sz w:val="22"/>
                <w:szCs w:val="22"/>
              </w:rPr>
              <w:t>55,910</w:t>
            </w:r>
          </w:p>
        </w:tc>
        <w:tc>
          <w:tcPr>
            <w:tcW w:w="1363" w:type="dxa"/>
            <w:gridSpan w:val="3"/>
            <w:tcBorders>
              <w:top w:val="single" w:sz="18" w:space="0" w:color="53565A" w:themeColor="accent5"/>
              <w:bottom w:val="single" w:sz="18" w:space="0" w:color="53565A" w:themeColor="accent5"/>
            </w:tcBorders>
            <w:shd w:val="clear" w:color="auto" w:fill="FFFFFF" w:themeFill="background1"/>
          </w:tcPr>
          <w:p w14:paraId="77979C29" w14:textId="77777777" w:rsidR="000C2324" w:rsidRPr="005734B8" w:rsidRDefault="000C2324" w:rsidP="000C2324">
            <w:pPr>
              <w:pStyle w:val="ESTablenumberrightaligned"/>
              <w:rPr>
                <w:rFonts w:ascii="Calibri" w:hAnsi="Calibri" w:cs="Calibri"/>
                <w:b/>
                <w:sz w:val="22"/>
                <w:szCs w:val="22"/>
              </w:rPr>
            </w:pPr>
            <w:r w:rsidRPr="005734B8">
              <w:rPr>
                <w:rFonts w:ascii="Calibri" w:eastAsia="Times New Roman" w:hAnsi="Calibri" w:cs="Calibri"/>
                <w:b/>
                <w:sz w:val="22"/>
                <w:szCs w:val="22"/>
              </w:rPr>
              <w:t>2,395,060</w:t>
            </w:r>
          </w:p>
        </w:tc>
        <w:tc>
          <w:tcPr>
            <w:tcW w:w="1637" w:type="dxa"/>
            <w:gridSpan w:val="2"/>
            <w:tcBorders>
              <w:top w:val="single" w:sz="18" w:space="0" w:color="53565A" w:themeColor="accent5"/>
              <w:bottom w:val="single" w:sz="18" w:space="0" w:color="53565A" w:themeColor="accent5"/>
            </w:tcBorders>
          </w:tcPr>
          <w:p w14:paraId="0E4EBEAB" w14:textId="77777777" w:rsidR="000C2324" w:rsidRPr="005734B8" w:rsidRDefault="000C2324" w:rsidP="000C2324">
            <w:pPr>
              <w:pStyle w:val="ESTablenumberrightaligned"/>
              <w:rPr>
                <w:rFonts w:ascii="Calibri" w:hAnsi="Calibri" w:cs="Calibri"/>
                <w:b/>
                <w:sz w:val="22"/>
                <w:szCs w:val="22"/>
              </w:rPr>
            </w:pPr>
            <w:r w:rsidRPr="005734B8">
              <w:rPr>
                <w:rFonts w:ascii="Calibri" w:hAnsi="Calibri" w:cs="Calibri"/>
                <w:b/>
                <w:sz w:val="22"/>
                <w:szCs w:val="22"/>
              </w:rPr>
              <w:t>2,627,309</w:t>
            </w:r>
          </w:p>
        </w:tc>
      </w:tr>
      <w:tr w:rsidR="000C2324" w:rsidRPr="005734B8" w14:paraId="2BE22057" w14:textId="77777777" w:rsidTr="000C2324">
        <w:trPr>
          <w:cantSplit/>
        </w:trPr>
        <w:tc>
          <w:tcPr>
            <w:tcW w:w="3532" w:type="dxa"/>
            <w:gridSpan w:val="2"/>
            <w:tcBorders>
              <w:top w:val="single" w:sz="4" w:space="0" w:color="53565A" w:themeColor="accent5"/>
              <w:bottom w:val="single" w:sz="4" w:space="0" w:color="53565A" w:themeColor="accent5"/>
            </w:tcBorders>
            <w:shd w:val="clear" w:color="auto" w:fill="D9D9D6" w:themeFill="accent6"/>
            <w:vAlign w:val="center"/>
          </w:tcPr>
          <w:p w14:paraId="49164D45" w14:textId="77777777" w:rsidR="000C2324" w:rsidRPr="005734B8" w:rsidRDefault="000C2324" w:rsidP="000C2324">
            <w:pPr>
              <w:pStyle w:val="ESTablebody"/>
              <w:rPr>
                <w:rFonts w:ascii="Calibri" w:hAnsi="Calibri" w:cs="Calibri"/>
                <w:b/>
                <w:sz w:val="22"/>
                <w:szCs w:val="22"/>
              </w:rPr>
            </w:pPr>
            <w:r w:rsidRPr="005734B8">
              <w:rPr>
                <w:rFonts w:ascii="Calibri" w:hAnsi="Calibri" w:cs="Calibri"/>
                <w:b/>
                <w:sz w:val="22"/>
                <w:szCs w:val="22"/>
                <w:lang w:val="en-AU"/>
              </w:rPr>
              <w:t>T5: Percentage of staff using sustainable transport to get to and from work by locality</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779F3118" w14:textId="77777777" w:rsidR="000C2324" w:rsidRPr="005734B8" w:rsidRDefault="000C2324" w:rsidP="000C2324">
            <w:pPr>
              <w:pStyle w:val="ESTablenumberrightaligned"/>
              <w:rPr>
                <w:rFonts w:ascii="Calibri" w:hAnsi="Calibri" w:cs="Calibri"/>
                <w:sz w:val="22"/>
                <w:szCs w:val="22"/>
              </w:rPr>
            </w:pPr>
          </w:p>
        </w:tc>
        <w:tc>
          <w:tcPr>
            <w:tcW w:w="1363" w:type="dxa"/>
            <w:gridSpan w:val="3"/>
            <w:tcBorders>
              <w:top w:val="single" w:sz="4" w:space="0" w:color="53565A" w:themeColor="accent5"/>
              <w:bottom w:val="single" w:sz="4" w:space="0" w:color="53565A" w:themeColor="accent5"/>
            </w:tcBorders>
            <w:shd w:val="clear" w:color="auto" w:fill="D9D9D6" w:themeFill="accent6"/>
          </w:tcPr>
          <w:p w14:paraId="312B6E8A" w14:textId="77777777" w:rsidR="000C2324" w:rsidRPr="005734B8" w:rsidRDefault="000C2324" w:rsidP="000C2324">
            <w:pPr>
              <w:pStyle w:val="ESTablenumberrightaligned"/>
              <w:rPr>
                <w:rFonts w:ascii="Calibri" w:hAnsi="Calibri" w:cs="Calibri"/>
                <w:sz w:val="22"/>
                <w:szCs w:val="22"/>
              </w:rPr>
            </w:pPr>
          </w:p>
        </w:tc>
        <w:tc>
          <w:tcPr>
            <w:tcW w:w="1637" w:type="dxa"/>
            <w:gridSpan w:val="2"/>
            <w:tcBorders>
              <w:top w:val="single" w:sz="4" w:space="0" w:color="53565A" w:themeColor="accent5"/>
              <w:bottom w:val="single" w:sz="4" w:space="0" w:color="53565A" w:themeColor="accent5"/>
            </w:tcBorders>
            <w:shd w:val="clear" w:color="auto" w:fill="D9D9D6" w:themeFill="accent6"/>
          </w:tcPr>
          <w:p w14:paraId="6A3C71AE" w14:textId="77777777" w:rsidR="000C2324" w:rsidRPr="005734B8" w:rsidRDefault="000C2324" w:rsidP="000C2324">
            <w:pPr>
              <w:pStyle w:val="ESTablenumberrightaligned"/>
              <w:rPr>
                <w:rFonts w:ascii="Calibri" w:hAnsi="Calibri" w:cs="Calibri"/>
                <w:sz w:val="22"/>
                <w:szCs w:val="22"/>
              </w:rPr>
            </w:pPr>
          </w:p>
        </w:tc>
      </w:tr>
      <w:tr w:rsidR="000C2324" w:rsidRPr="005734B8" w14:paraId="37278C3B" w14:textId="77777777" w:rsidTr="000C2324">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1CFF7450" w14:textId="77777777" w:rsidR="000C2324" w:rsidRPr="005734B8" w:rsidRDefault="000C2324" w:rsidP="000C2324">
            <w:pPr>
              <w:pStyle w:val="ESTablebody"/>
              <w:rPr>
                <w:rFonts w:ascii="Calibri" w:hAnsi="Calibri" w:cs="Calibri"/>
                <w:sz w:val="22"/>
                <w:szCs w:val="22"/>
              </w:rPr>
            </w:pPr>
            <w:r w:rsidRPr="005734B8">
              <w:rPr>
                <w:rFonts w:ascii="Calibri" w:hAnsi="Calibri" w:cs="Calibri"/>
                <w:sz w:val="22"/>
                <w:szCs w:val="22"/>
                <w:lang w:val="en-AU"/>
              </w:rPr>
              <w:t>CBD</w:t>
            </w:r>
          </w:p>
        </w:tc>
        <w:tc>
          <w:tcPr>
            <w:tcW w:w="1389" w:type="dxa"/>
            <w:gridSpan w:val="2"/>
            <w:tcBorders>
              <w:top w:val="single" w:sz="4" w:space="0" w:color="53565A" w:themeColor="accent5"/>
              <w:bottom w:val="single" w:sz="4" w:space="0" w:color="53565A" w:themeColor="accent5"/>
            </w:tcBorders>
            <w:shd w:val="clear" w:color="auto" w:fill="D9D9D6" w:themeFill="accent6"/>
            <w:vAlign w:val="center"/>
          </w:tcPr>
          <w:p w14:paraId="0F1DD837" w14:textId="7B8C0F3D" w:rsidR="000C2324" w:rsidRPr="005734B8" w:rsidRDefault="007B48DF" w:rsidP="000C2324">
            <w:pPr>
              <w:pStyle w:val="ESTablenumberrightaligned"/>
              <w:rPr>
                <w:rFonts w:ascii="Calibri" w:hAnsi="Calibri" w:cs="Calibri"/>
                <w:sz w:val="22"/>
                <w:szCs w:val="22"/>
              </w:rPr>
            </w:pPr>
            <w:r w:rsidRPr="005734B8">
              <w:rPr>
                <w:rFonts w:ascii="Calibri" w:hAnsi="Calibri" w:cs="Calibri"/>
                <w:sz w:val="18"/>
              </w:rPr>
              <w:t>–</w:t>
            </w:r>
            <w:r w:rsidR="000C2324" w:rsidRPr="005734B8">
              <w:rPr>
                <w:rStyle w:val="FootnoteReference"/>
                <w:rFonts w:ascii="Calibri" w:eastAsia="Times New Roman" w:hAnsi="Calibri" w:cs="Calibri"/>
                <w:sz w:val="18"/>
              </w:rPr>
              <w:footnoteReference w:id="68"/>
            </w:r>
          </w:p>
        </w:tc>
        <w:tc>
          <w:tcPr>
            <w:tcW w:w="1363" w:type="dxa"/>
            <w:gridSpan w:val="3"/>
            <w:tcBorders>
              <w:top w:val="single" w:sz="4" w:space="0" w:color="53565A" w:themeColor="accent5"/>
              <w:bottom w:val="single" w:sz="4" w:space="0" w:color="53565A" w:themeColor="accent5"/>
            </w:tcBorders>
            <w:shd w:val="clear" w:color="auto" w:fill="FFFFFF" w:themeFill="background1"/>
            <w:vAlign w:val="center"/>
          </w:tcPr>
          <w:p w14:paraId="06FC5D79" w14:textId="035FC145" w:rsidR="000C2324" w:rsidRPr="005734B8" w:rsidRDefault="007B48DF" w:rsidP="000C2324">
            <w:pPr>
              <w:pStyle w:val="ESTablenumberrightaligned"/>
              <w:rPr>
                <w:rFonts w:ascii="Calibri" w:hAnsi="Calibri" w:cs="Calibri"/>
                <w:sz w:val="22"/>
                <w:szCs w:val="22"/>
              </w:rPr>
            </w:pPr>
            <w:r w:rsidRPr="005734B8">
              <w:rPr>
                <w:rFonts w:ascii="Calibri" w:hAnsi="Calibri" w:cs="Calibri"/>
                <w:sz w:val="18"/>
              </w:rPr>
              <w:t>–</w:t>
            </w:r>
          </w:p>
        </w:tc>
        <w:tc>
          <w:tcPr>
            <w:tcW w:w="1637" w:type="dxa"/>
            <w:gridSpan w:val="2"/>
            <w:tcBorders>
              <w:top w:val="single" w:sz="4" w:space="0" w:color="53565A" w:themeColor="accent5"/>
              <w:bottom w:val="single" w:sz="4" w:space="0" w:color="53565A" w:themeColor="accent5"/>
            </w:tcBorders>
            <w:vAlign w:val="center"/>
          </w:tcPr>
          <w:p w14:paraId="1A9A93DF"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92</w:t>
            </w:r>
          </w:p>
        </w:tc>
      </w:tr>
      <w:tr w:rsidR="000C2324" w:rsidRPr="005734B8" w14:paraId="6256539A" w14:textId="77777777" w:rsidTr="000C2324">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033B9272" w14:textId="77777777" w:rsidR="000C2324" w:rsidRPr="005734B8" w:rsidRDefault="000C2324" w:rsidP="000C2324">
            <w:pPr>
              <w:pStyle w:val="ESTablebody"/>
              <w:rPr>
                <w:rFonts w:ascii="Calibri" w:hAnsi="Calibri" w:cs="Calibri"/>
                <w:sz w:val="22"/>
                <w:szCs w:val="22"/>
              </w:rPr>
            </w:pPr>
            <w:r w:rsidRPr="005734B8">
              <w:rPr>
                <w:rFonts w:ascii="Calibri" w:hAnsi="Calibri" w:cs="Calibri"/>
                <w:sz w:val="22"/>
                <w:szCs w:val="22"/>
                <w:lang w:val="en-AU"/>
              </w:rPr>
              <w:t>Regional</w:t>
            </w:r>
          </w:p>
        </w:tc>
        <w:tc>
          <w:tcPr>
            <w:tcW w:w="1389" w:type="dxa"/>
            <w:gridSpan w:val="2"/>
            <w:tcBorders>
              <w:top w:val="single" w:sz="4" w:space="0" w:color="53565A" w:themeColor="accent5"/>
              <w:bottom w:val="single" w:sz="4" w:space="0" w:color="53565A" w:themeColor="accent5"/>
            </w:tcBorders>
            <w:shd w:val="clear" w:color="auto" w:fill="D9D9D6" w:themeFill="accent6"/>
            <w:vAlign w:val="center"/>
          </w:tcPr>
          <w:p w14:paraId="1F6DDF2E" w14:textId="4A3E83FD" w:rsidR="000C2324" w:rsidRPr="005734B8" w:rsidRDefault="007B48DF" w:rsidP="000C2324">
            <w:pPr>
              <w:pStyle w:val="ESTablenumberrightaligned"/>
              <w:rPr>
                <w:rFonts w:ascii="Calibri" w:hAnsi="Calibri" w:cs="Calibri"/>
                <w:sz w:val="22"/>
                <w:szCs w:val="22"/>
              </w:rPr>
            </w:pPr>
            <w:r w:rsidRPr="005734B8">
              <w:rPr>
                <w:rFonts w:ascii="Calibri" w:hAnsi="Calibri" w:cs="Calibri"/>
                <w:sz w:val="18"/>
              </w:rPr>
              <w:t>–</w:t>
            </w:r>
          </w:p>
        </w:tc>
        <w:tc>
          <w:tcPr>
            <w:tcW w:w="1363" w:type="dxa"/>
            <w:gridSpan w:val="3"/>
            <w:tcBorders>
              <w:top w:val="single" w:sz="4" w:space="0" w:color="53565A" w:themeColor="accent5"/>
              <w:bottom w:val="single" w:sz="4" w:space="0" w:color="53565A" w:themeColor="accent5"/>
            </w:tcBorders>
            <w:shd w:val="clear" w:color="auto" w:fill="FFFFFF" w:themeFill="background1"/>
            <w:vAlign w:val="center"/>
          </w:tcPr>
          <w:p w14:paraId="5517B14B" w14:textId="5EA7B10B" w:rsidR="000C2324" w:rsidRPr="005734B8" w:rsidRDefault="007B48DF" w:rsidP="000C2324">
            <w:pPr>
              <w:pStyle w:val="ESTablenumberrightaligned"/>
              <w:rPr>
                <w:rFonts w:ascii="Calibri" w:hAnsi="Calibri" w:cs="Calibri"/>
                <w:sz w:val="22"/>
                <w:szCs w:val="22"/>
              </w:rPr>
            </w:pPr>
            <w:r w:rsidRPr="005734B8">
              <w:rPr>
                <w:rFonts w:ascii="Calibri" w:hAnsi="Calibri" w:cs="Calibri"/>
                <w:sz w:val="18"/>
              </w:rPr>
              <w:t>–</w:t>
            </w:r>
          </w:p>
        </w:tc>
        <w:tc>
          <w:tcPr>
            <w:tcW w:w="1637" w:type="dxa"/>
            <w:gridSpan w:val="2"/>
            <w:tcBorders>
              <w:top w:val="single" w:sz="4" w:space="0" w:color="53565A" w:themeColor="accent5"/>
              <w:bottom w:val="single" w:sz="4" w:space="0" w:color="53565A" w:themeColor="accent5"/>
            </w:tcBorders>
            <w:vAlign w:val="center"/>
          </w:tcPr>
          <w:p w14:paraId="08F962F7"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26</w:t>
            </w:r>
          </w:p>
        </w:tc>
      </w:tr>
      <w:tr w:rsidR="000C2324" w:rsidRPr="005734B8" w14:paraId="0789CF5F" w14:textId="77777777" w:rsidTr="000C2324">
        <w:trPr>
          <w:cantSplit/>
        </w:trPr>
        <w:tc>
          <w:tcPr>
            <w:tcW w:w="2972" w:type="dxa"/>
            <w:tcBorders>
              <w:bottom w:val="single" w:sz="4" w:space="0" w:color="53565A" w:themeColor="accent5"/>
              <w:right w:val="nil"/>
            </w:tcBorders>
            <w:shd w:val="clear" w:color="auto" w:fill="53565A" w:themeFill="accent5"/>
          </w:tcPr>
          <w:p w14:paraId="24D22BCA" w14:textId="77777777" w:rsidR="000C2324" w:rsidRPr="005734B8" w:rsidRDefault="000C2324" w:rsidP="000C2324">
            <w:pPr>
              <w:pStyle w:val="ESTableheading"/>
              <w:rPr>
                <w:rFonts w:ascii="Calibri" w:hAnsi="Calibri" w:cs="Calibri"/>
                <w:sz w:val="22"/>
                <w:szCs w:val="22"/>
              </w:rPr>
            </w:pPr>
            <w:r w:rsidRPr="005734B8">
              <w:rPr>
                <w:rFonts w:ascii="Calibri" w:hAnsi="Calibri" w:cs="Calibri"/>
                <w:sz w:val="22"/>
                <w:szCs w:val="22"/>
              </w:rPr>
              <w:t>Voluntary indicators</w:t>
            </w:r>
          </w:p>
        </w:tc>
        <w:tc>
          <w:tcPr>
            <w:tcW w:w="969" w:type="dxa"/>
            <w:gridSpan w:val="2"/>
            <w:tcBorders>
              <w:left w:val="nil"/>
              <w:bottom w:val="single" w:sz="4" w:space="0" w:color="53565A" w:themeColor="accent5"/>
              <w:right w:val="nil"/>
            </w:tcBorders>
            <w:shd w:val="clear" w:color="auto" w:fill="53565A" w:themeFill="accent5"/>
          </w:tcPr>
          <w:p w14:paraId="2DE6ACFD" w14:textId="77777777" w:rsidR="000C2324" w:rsidRPr="005734B8" w:rsidRDefault="000C2324" w:rsidP="000C2324">
            <w:pPr>
              <w:pStyle w:val="ESTablenumberrightaligned"/>
              <w:rPr>
                <w:rFonts w:ascii="Calibri" w:hAnsi="Calibri" w:cs="Calibri"/>
                <w:b/>
                <w:color w:val="FFFFFF" w:themeColor="background1"/>
                <w:sz w:val="22"/>
                <w:szCs w:val="22"/>
              </w:rPr>
            </w:pPr>
          </w:p>
        </w:tc>
        <w:tc>
          <w:tcPr>
            <w:tcW w:w="995" w:type="dxa"/>
            <w:gridSpan w:val="2"/>
            <w:tcBorders>
              <w:left w:val="nil"/>
              <w:bottom w:val="single" w:sz="4" w:space="0" w:color="53565A" w:themeColor="accent5"/>
              <w:right w:val="nil"/>
            </w:tcBorders>
            <w:shd w:val="clear" w:color="auto" w:fill="53565A" w:themeFill="accent5"/>
          </w:tcPr>
          <w:p w14:paraId="05874021" w14:textId="77777777" w:rsidR="000C2324" w:rsidRPr="005734B8" w:rsidRDefault="000C2324" w:rsidP="000C2324">
            <w:pPr>
              <w:pStyle w:val="ESTablenumberrightaligned"/>
              <w:rPr>
                <w:rFonts w:ascii="Calibri" w:hAnsi="Calibri" w:cs="Calibri"/>
                <w:b/>
                <w:color w:val="FFFFFF" w:themeColor="background1"/>
                <w:sz w:val="22"/>
                <w:szCs w:val="22"/>
              </w:rPr>
            </w:pPr>
          </w:p>
        </w:tc>
        <w:tc>
          <w:tcPr>
            <w:tcW w:w="995" w:type="dxa"/>
            <w:tcBorders>
              <w:left w:val="nil"/>
              <w:bottom w:val="single" w:sz="4" w:space="0" w:color="53565A" w:themeColor="accent5"/>
              <w:right w:val="nil"/>
            </w:tcBorders>
            <w:shd w:val="clear" w:color="auto" w:fill="53565A" w:themeFill="accent5"/>
          </w:tcPr>
          <w:p w14:paraId="30B3D9C7" w14:textId="77777777" w:rsidR="000C2324" w:rsidRPr="005734B8" w:rsidRDefault="000C2324" w:rsidP="000C2324">
            <w:pPr>
              <w:pStyle w:val="ESTablenumberrightaligned"/>
              <w:rPr>
                <w:rFonts w:ascii="Calibri" w:hAnsi="Calibri" w:cs="Calibri"/>
                <w:b/>
                <w:color w:val="FFFFFF" w:themeColor="background1"/>
                <w:sz w:val="22"/>
                <w:szCs w:val="22"/>
              </w:rPr>
            </w:pPr>
          </w:p>
        </w:tc>
        <w:tc>
          <w:tcPr>
            <w:tcW w:w="995" w:type="dxa"/>
            <w:gridSpan w:val="2"/>
            <w:tcBorders>
              <w:left w:val="nil"/>
              <w:bottom w:val="single" w:sz="4" w:space="0" w:color="53565A" w:themeColor="accent5"/>
              <w:right w:val="nil"/>
            </w:tcBorders>
            <w:shd w:val="clear" w:color="auto" w:fill="53565A" w:themeFill="accent5"/>
          </w:tcPr>
          <w:p w14:paraId="7EB66C13" w14:textId="77777777" w:rsidR="000C2324" w:rsidRPr="005734B8" w:rsidRDefault="000C2324" w:rsidP="000C2324">
            <w:pPr>
              <w:pStyle w:val="ESTablenumberrightaligned"/>
              <w:rPr>
                <w:rFonts w:ascii="Calibri" w:hAnsi="Calibri" w:cs="Calibri"/>
                <w:b/>
                <w:color w:val="FFFFFF" w:themeColor="background1"/>
                <w:sz w:val="22"/>
                <w:szCs w:val="22"/>
              </w:rPr>
            </w:pPr>
          </w:p>
        </w:tc>
        <w:tc>
          <w:tcPr>
            <w:tcW w:w="995" w:type="dxa"/>
            <w:tcBorders>
              <w:left w:val="nil"/>
              <w:bottom w:val="single" w:sz="4" w:space="0" w:color="53565A" w:themeColor="accent5"/>
            </w:tcBorders>
            <w:shd w:val="clear" w:color="auto" w:fill="53565A" w:themeFill="accent5"/>
          </w:tcPr>
          <w:p w14:paraId="375D0B5D" w14:textId="77777777" w:rsidR="000C2324" w:rsidRPr="005734B8" w:rsidRDefault="000C2324" w:rsidP="000C2324">
            <w:pPr>
              <w:pStyle w:val="ESTablenumberrightaligned"/>
              <w:rPr>
                <w:rFonts w:ascii="Calibri" w:hAnsi="Calibri" w:cs="Calibri"/>
                <w:b/>
                <w:color w:val="FFFFFF" w:themeColor="background1"/>
                <w:sz w:val="22"/>
                <w:szCs w:val="22"/>
              </w:rPr>
            </w:pPr>
          </w:p>
        </w:tc>
      </w:tr>
      <w:tr w:rsidR="000C2324" w:rsidRPr="005734B8" w14:paraId="77F3B6B5" w14:textId="77777777" w:rsidTr="000C2324">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4CE52828" w14:textId="77777777" w:rsidR="000C2324" w:rsidRPr="005734B8" w:rsidRDefault="000C2324" w:rsidP="000C2324">
            <w:pPr>
              <w:pStyle w:val="ESTablebody"/>
              <w:rPr>
                <w:rFonts w:ascii="Calibri" w:hAnsi="Calibri" w:cs="Calibri"/>
                <w:sz w:val="22"/>
                <w:szCs w:val="22"/>
              </w:rPr>
            </w:pPr>
            <w:r w:rsidRPr="005734B8">
              <w:rPr>
                <w:rFonts w:ascii="Calibri" w:hAnsi="Calibri" w:cs="Calibri"/>
                <w:sz w:val="22"/>
                <w:szCs w:val="22"/>
                <w:lang w:val="en-AU"/>
              </w:rPr>
              <w:t>Number of petrol hybrid, electric and plug-in hybrid electric vehicles</w:t>
            </w:r>
          </w:p>
        </w:tc>
        <w:tc>
          <w:tcPr>
            <w:tcW w:w="1389" w:type="dxa"/>
            <w:gridSpan w:val="2"/>
            <w:tcBorders>
              <w:top w:val="single" w:sz="4" w:space="0" w:color="53565A" w:themeColor="accent5"/>
              <w:bottom w:val="single" w:sz="4" w:space="0" w:color="53565A" w:themeColor="accent5"/>
            </w:tcBorders>
            <w:shd w:val="clear" w:color="auto" w:fill="D9D9D6" w:themeFill="accent6"/>
            <w:vAlign w:val="center"/>
          </w:tcPr>
          <w:p w14:paraId="0E426CA9"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168</w:t>
            </w:r>
          </w:p>
        </w:tc>
        <w:tc>
          <w:tcPr>
            <w:tcW w:w="1363" w:type="dxa"/>
            <w:gridSpan w:val="3"/>
            <w:tcBorders>
              <w:top w:val="single" w:sz="4" w:space="0" w:color="53565A" w:themeColor="accent5"/>
              <w:bottom w:val="single" w:sz="4" w:space="0" w:color="53565A" w:themeColor="accent5"/>
            </w:tcBorders>
            <w:shd w:val="clear" w:color="auto" w:fill="FFFFFF" w:themeFill="background1"/>
            <w:vAlign w:val="center"/>
          </w:tcPr>
          <w:p w14:paraId="254F58FA"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178</w:t>
            </w:r>
          </w:p>
        </w:tc>
        <w:tc>
          <w:tcPr>
            <w:tcW w:w="1637" w:type="dxa"/>
            <w:gridSpan w:val="2"/>
            <w:tcBorders>
              <w:top w:val="single" w:sz="4" w:space="0" w:color="53565A" w:themeColor="accent5"/>
              <w:bottom w:val="single" w:sz="4" w:space="0" w:color="53565A" w:themeColor="accent5"/>
            </w:tcBorders>
            <w:vAlign w:val="center"/>
          </w:tcPr>
          <w:p w14:paraId="70153088" w14:textId="77777777" w:rsidR="000C2324" w:rsidRPr="005734B8" w:rsidRDefault="000C2324" w:rsidP="000C2324">
            <w:pPr>
              <w:pStyle w:val="ESTablenumberrightaligned"/>
              <w:rPr>
                <w:rFonts w:ascii="Calibri" w:hAnsi="Calibri" w:cs="Calibri"/>
                <w:sz w:val="22"/>
                <w:szCs w:val="22"/>
              </w:rPr>
            </w:pPr>
            <w:r w:rsidRPr="005734B8">
              <w:rPr>
                <w:rFonts w:ascii="Calibri" w:hAnsi="Calibri" w:cs="Calibri"/>
                <w:sz w:val="22"/>
                <w:szCs w:val="22"/>
              </w:rPr>
              <w:t>124</w:t>
            </w:r>
          </w:p>
        </w:tc>
      </w:tr>
    </w:tbl>
    <w:p w14:paraId="5BB52DC5" w14:textId="77777777" w:rsidR="000C2324" w:rsidRPr="005734B8" w:rsidRDefault="000C2324" w:rsidP="000C2324">
      <w:pPr>
        <w:pStyle w:val="ESHeading4"/>
        <w:ind w:left="0" w:firstLine="0"/>
        <w:rPr>
          <w:rFonts w:ascii="Calibri" w:hAnsi="Calibri" w:cs="Calibri"/>
        </w:rPr>
      </w:pPr>
      <w:r w:rsidRPr="005734B8">
        <w:rPr>
          <w:rFonts w:ascii="Calibri" w:hAnsi="Calibri" w:cs="Calibri"/>
        </w:rPr>
        <w:t>Actions undertaken</w:t>
      </w:r>
    </w:p>
    <w:p w14:paraId="12BC1A21" w14:textId="30DE5B16" w:rsidR="000C2324" w:rsidRPr="005734B8" w:rsidRDefault="000C2324" w:rsidP="004F5425">
      <w:pPr>
        <w:rPr>
          <w:rFonts w:ascii="Calibri" w:hAnsi="Calibri" w:cs="Calibri"/>
        </w:rPr>
      </w:pPr>
      <w:r w:rsidRPr="005734B8">
        <w:rPr>
          <w:rFonts w:ascii="Calibri" w:eastAsia="Arial" w:hAnsi="Calibri" w:cs="Calibri"/>
        </w:rPr>
        <w:t>The Department leases environmentally friendly operational vehicles</w:t>
      </w:r>
      <w:r w:rsidR="004F5425" w:rsidRPr="005734B8">
        <w:rPr>
          <w:rFonts w:ascii="Calibri" w:eastAsia="Arial" w:hAnsi="Calibri" w:cs="Calibri"/>
        </w:rPr>
        <w:t>, including</w:t>
      </w:r>
      <w:r w:rsidRPr="005734B8">
        <w:rPr>
          <w:rFonts w:ascii="Calibri" w:eastAsia="Arial" w:hAnsi="Calibri" w:cs="Calibri"/>
        </w:rPr>
        <w:t xml:space="preserve"> four</w:t>
      </w:r>
      <w:r w:rsidR="00872BDA" w:rsidRPr="005734B8">
        <w:rPr>
          <w:rFonts w:ascii="Calibri" w:eastAsia="Arial" w:hAnsi="Calibri" w:cs="Calibri"/>
        </w:rPr>
        <w:noBreakHyphen/>
      </w:r>
      <w:r w:rsidRPr="005734B8">
        <w:rPr>
          <w:rFonts w:ascii="Calibri" w:eastAsia="Arial" w:hAnsi="Calibri" w:cs="Calibri"/>
        </w:rPr>
        <w:t>cylinder or hybrids</w:t>
      </w:r>
      <w:r w:rsidR="004F5425" w:rsidRPr="005734B8">
        <w:rPr>
          <w:rFonts w:ascii="Calibri" w:eastAsia="Arial" w:hAnsi="Calibri" w:cs="Calibri"/>
        </w:rPr>
        <w:t>,</w:t>
      </w:r>
      <w:r w:rsidRPr="005734B8">
        <w:rPr>
          <w:rFonts w:ascii="Calibri" w:eastAsia="Arial" w:hAnsi="Calibri" w:cs="Calibri"/>
        </w:rPr>
        <w:t xml:space="preserve"> through the Approved Vehicle List from VicFleet, when they are available and suitable for use.</w:t>
      </w:r>
      <w:r w:rsidR="004F5425" w:rsidRPr="005734B8">
        <w:rPr>
          <w:rFonts w:ascii="Calibri" w:eastAsia="Arial" w:hAnsi="Calibri" w:cs="Calibri"/>
        </w:rPr>
        <w:t xml:space="preserve"> </w:t>
      </w:r>
      <w:r w:rsidRPr="005734B8">
        <w:rPr>
          <w:rFonts w:ascii="Calibri" w:hAnsi="Calibri" w:cs="Calibri"/>
        </w:rPr>
        <w:t>The Department also uses externally managed pool vehicles where suitable</w:t>
      </w:r>
      <w:r w:rsidR="00872BDA" w:rsidRPr="005734B8">
        <w:rPr>
          <w:rFonts w:ascii="Calibri" w:hAnsi="Calibri" w:cs="Calibri"/>
        </w:rPr>
        <w:t>,</w:t>
      </w:r>
      <w:r w:rsidRPr="005734B8">
        <w:rPr>
          <w:rFonts w:ascii="Calibri" w:hAnsi="Calibri" w:cs="Calibri"/>
        </w:rPr>
        <w:t xml:space="preserve"> to minimise fleet expansion.</w:t>
      </w:r>
    </w:p>
    <w:p w14:paraId="01C814AD" w14:textId="77777777" w:rsidR="000C2324" w:rsidRPr="005734B8" w:rsidRDefault="000C2324" w:rsidP="000C2324">
      <w:pPr>
        <w:pStyle w:val="ESHeading4"/>
        <w:ind w:left="0" w:firstLine="0"/>
        <w:rPr>
          <w:rFonts w:ascii="Calibri" w:hAnsi="Calibri" w:cs="Calibri"/>
        </w:rPr>
      </w:pPr>
      <w:r w:rsidRPr="005734B8">
        <w:rPr>
          <w:rFonts w:ascii="Calibri" w:hAnsi="Calibri" w:cs="Calibri"/>
        </w:rPr>
        <w:t>Target</w:t>
      </w:r>
    </w:p>
    <w:p w14:paraId="1F84A067" w14:textId="20001DB5" w:rsidR="000C2324" w:rsidRPr="005734B8" w:rsidRDefault="000C2324" w:rsidP="000C2324">
      <w:pPr>
        <w:rPr>
          <w:rFonts w:ascii="Calibri" w:hAnsi="Calibri" w:cs="Calibri"/>
        </w:rPr>
      </w:pPr>
      <w:r w:rsidRPr="005734B8">
        <w:rPr>
          <w:rFonts w:ascii="Calibri" w:hAnsi="Calibri" w:cs="Calibri"/>
        </w:rPr>
        <w:t>The following target was set in 2020</w:t>
      </w:r>
      <w:r w:rsidR="004D7724" w:rsidRPr="005734B8">
        <w:rPr>
          <w:rFonts w:ascii="Calibri" w:hAnsi="Calibri" w:cs="Calibri"/>
          <w:szCs w:val="22"/>
        </w:rPr>
        <w:t>–</w:t>
      </w:r>
      <w:r w:rsidRPr="005734B8">
        <w:rPr>
          <w:rFonts w:ascii="Calibri" w:hAnsi="Calibri" w:cs="Calibri"/>
        </w:rPr>
        <w:t>21</w:t>
      </w:r>
      <w:r w:rsidR="0068410C" w:rsidRPr="005734B8">
        <w:rPr>
          <w:rFonts w:ascii="Calibri" w:hAnsi="Calibri" w:cs="Calibri"/>
        </w:rPr>
        <w:t>:</w:t>
      </w:r>
    </w:p>
    <w:p w14:paraId="2B47B645" w14:textId="77777777" w:rsidR="000C2324" w:rsidRPr="005734B8" w:rsidRDefault="000C2324" w:rsidP="00670895">
      <w:pPr>
        <w:pStyle w:val="ListParagraph"/>
        <w:numPr>
          <w:ilvl w:val="0"/>
          <w:numId w:val="77"/>
        </w:numPr>
        <w:rPr>
          <w:rFonts w:ascii="Calibri" w:hAnsi="Calibri" w:cs="Calibri"/>
        </w:rPr>
      </w:pPr>
      <w:r w:rsidRPr="005734B8">
        <w:rPr>
          <w:rFonts w:ascii="Calibri" w:hAnsi="Calibri" w:cs="Calibri"/>
        </w:rPr>
        <w:t>Meet the cost reduction and environmental sustainability targets set by the Victorian Government (as per Whole of Government Standard Motor Vehicle Policy).</w:t>
      </w:r>
    </w:p>
    <w:p w14:paraId="6C7FBFE0" w14:textId="77777777" w:rsidR="000C2324" w:rsidRPr="005734B8" w:rsidRDefault="000C2324" w:rsidP="000C2324">
      <w:pPr>
        <w:pStyle w:val="ESHeading4"/>
        <w:ind w:left="0" w:firstLine="0"/>
        <w:rPr>
          <w:rFonts w:ascii="Calibri" w:hAnsi="Calibri" w:cs="Calibri"/>
        </w:rPr>
      </w:pPr>
      <w:r w:rsidRPr="005734B8">
        <w:rPr>
          <w:rFonts w:ascii="Calibri" w:hAnsi="Calibri" w:cs="Calibri"/>
        </w:rPr>
        <w:t>Explanatory notes</w:t>
      </w:r>
    </w:p>
    <w:p w14:paraId="00C9F68E" w14:textId="47EBB327" w:rsidR="000C2324" w:rsidRPr="005734B8" w:rsidRDefault="000C2324" w:rsidP="004F5425">
      <w:pPr>
        <w:rPr>
          <w:rFonts w:ascii="Calibri" w:hAnsi="Calibri" w:cs="Calibri"/>
        </w:rPr>
      </w:pPr>
      <w:r w:rsidRPr="005734B8">
        <w:rPr>
          <w:rFonts w:ascii="Calibri" w:hAnsi="Calibri" w:cs="Calibri"/>
        </w:rPr>
        <w:t>In 2020</w:t>
      </w:r>
      <w:r w:rsidR="004D7724" w:rsidRPr="005734B8">
        <w:rPr>
          <w:rFonts w:ascii="Calibri" w:hAnsi="Calibri" w:cs="Calibri"/>
          <w:szCs w:val="22"/>
        </w:rPr>
        <w:t>–</w:t>
      </w:r>
      <w:r w:rsidRPr="005734B8">
        <w:rPr>
          <w:rFonts w:ascii="Calibri" w:hAnsi="Calibri" w:cs="Calibri"/>
        </w:rPr>
        <w:t xml:space="preserve">21 the Department’s vehicle usage was impacted by </w:t>
      </w:r>
      <w:r w:rsidR="005B6BF3" w:rsidRPr="005734B8">
        <w:rPr>
          <w:rFonts w:ascii="Calibri" w:hAnsi="Calibri" w:cs="Calibri"/>
        </w:rPr>
        <w:t>the COVID-19 pandemic</w:t>
      </w:r>
      <w:r w:rsidRPr="005734B8">
        <w:rPr>
          <w:rFonts w:ascii="Calibri" w:hAnsi="Calibri" w:cs="Calibri"/>
        </w:rPr>
        <w:t xml:space="preserve"> </w:t>
      </w:r>
      <w:r w:rsidR="004F5425" w:rsidRPr="005734B8">
        <w:rPr>
          <w:rFonts w:ascii="Calibri" w:hAnsi="Calibri" w:cs="Calibri"/>
        </w:rPr>
        <w:t>and associated travel</w:t>
      </w:r>
      <w:r w:rsidRPr="005734B8">
        <w:rPr>
          <w:rFonts w:ascii="Calibri" w:hAnsi="Calibri" w:cs="Calibri"/>
        </w:rPr>
        <w:t xml:space="preserve"> restrictions. </w:t>
      </w:r>
    </w:p>
    <w:p w14:paraId="2299954C" w14:textId="77777777" w:rsidR="00BA2716" w:rsidRPr="005734B8" w:rsidRDefault="00BA2716" w:rsidP="00BA2716">
      <w:pPr>
        <w:rPr>
          <w:rFonts w:ascii="Calibri" w:hAnsi="Calibri" w:cs="Calibri"/>
        </w:rPr>
      </w:pPr>
    </w:p>
    <w:p w14:paraId="418F5261" w14:textId="433E1630" w:rsidR="000C2324" w:rsidRPr="005734B8" w:rsidRDefault="000C2324" w:rsidP="00BA2716">
      <w:pPr>
        <w:rPr>
          <w:rFonts w:ascii="Calibri" w:hAnsi="Calibri" w:cs="Calibri"/>
        </w:rPr>
      </w:pPr>
      <w:r w:rsidRPr="005734B8">
        <w:rPr>
          <w:rFonts w:ascii="Calibri" w:hAnsi="Calibri" w:cs="Calibri"/>
        </w:rPr>
        <w:t xml:space="preserve">The extended import timelines experienced by the new car industry </w:t>
      </w:r>
      <w:r w:rsidR="00B26A77" w:rsidRPr="005734B8">
        <w:rPr>
          <w:rFonts w:ascii="Calibri" w:hAnsi="Calibri" w:cs="Calibri"/>
        </w:rPr>
        <w:t>due to the COVID</w:t>
      </w:r>
      <w:r w:rsidR="00B26A77" w:rsidRPr="005734B8">
        <w:rPr>
          <w:rFonts w:ascii="Calibri" w:hAnsi="Calibri" w:cs="Calibri"/>
        </w:rPr>
        <w:noBreakHyphen/>
        <w:t xml:space="preserve">19 pandemic </w:t>
      </w:r>
      <w:r w:rsidRPr="005734B8">
        <w:rPr>
          <w:rFonts w:ascii="Calibri" w:hAnsi="Calibri" w:cs="Calibri"/>
        </w:rPr>
        <w:t xml:space="preserve">delayed the Department’s transition to a majority hybrid fleet. The Department has 195 new vehicles on order, of which 185 are hybrids, to replace vehicles that have reached the end of their lease terms. </w:t>
      </w:r>
    </w:p>
    <w:p w14:paraId="52D81282" w14:textId="77777777" w:rsidR="00BA2716" w:rsidRPr="005734B8" w:rsidRDefault="00BA2716" w:rsidP="00BA2716">
      <w:pPr>
        <w:rPr>
          <w:rFonts w:ascii="Calibri" w:hAnsi="Calibri" w:cs="Calibri"/>
        </w:rPr>
      </w:pPr>
    </w:p>
    <w:p w14:paraId="7A6779B6" w14:textId="1E06E90D" w:rsidR="000C2324" w:rsidRPr="005734B8" w:rsidRDefault="000C2324" w:rsidP="00BA2716">
      <w:pPr>
        <w:rPr>
          <w:rFonts w:ascii="Calibri" w:hAnsi="Calibri" w:cs="Calibri"/>
        </w:rPr>
      </w:pPr>
      <w:r w:rsidRPr="005734B8">
        <w:rPr>
          <w:rFonts w:ascii="Calibri" w:hAnsi="Calibri" w:cs="Calibri"/>
        </w:rPr>
        <w:t xml:space="preserve">The survey to provide the percentage of staff using sustainable transport to get to and from work was not undertaken </w:t>
      </w:r>
      <w:r w:rsidR="00BA2716" w:rsidRPr="005734B8">
        <w:rPr>
          <w:rFonts w:ascii="Calibri" w:hAnsi="Calibri" w:cs="Calibri"/>
        </w:rPr>
        <w:t>because m</w:t>
      </w:r>
      <w:r w:rsidRPr="005734B8">
        <w:rPr>
          <w:rFonts w:ascii="Calibri" w:hAnsi="Calibri" w:cs="Calibri"/>
        </w:rPr>
        <w:t xml:space="preserve">ost office-based staff have been working from home </w:t>
      </w:r>
      <w:r w:rsidR="00BA2716" w:rsidRPr="005734B8">
        <w:rPr>
          <w:rFonts w:ascii="Calibri" w:hAnsi="Calibri" w:cs="Calibri"/>
        </w:rPr>
        <w:t>and results would not be representative of normal operating conditions</w:t>
      </w:r>
      <w:r w:rsidRPr="005734B8">
        <w:rPr>
          <w:rFonts w:ascii="Calibri" w:hAnsi="Calibri" w:cs="Calibri"/>
        </w:rPr>
        <w:t>.</w:t>
      </w:r>
    </w:p>
    <w:p w14:paraId="3A3B8454" w14:textId="7595E067" w:rsidR="000C2324" w:rsidRPr="005734B8" w:rsidRDefault="000C2324" w:rsidP="00BA2716">
      <w:pPr>
        <w:rPr>
          <w:rFonts w:ascii="Calibri" w:hAnsi="Calibri" w:cs="Calibri"/>
        </w:rPr>
      </w:pPr>
      <w:r w:rsidRPr="005734B8">
        <w:rPr>
          <w:rFonts w:ascii="Calibri" w:eastAsia="Arial" w:hAnsi="Calibri" w:cs="Calibri"/>
        </w:rPr>
        <w:lastRenderedPageBreak/>
        <w:t>The data reported above for 2019</w:t>
      </w:r>
      <w:r w:rsidR="00BB7250" w:rsidRPr="005734B8">
        <w:rPr>
          <w:rFonts w:ascii="Calibri" w:eastAsia="Arial" w:hAnsi="Calibri" w:cs="Calibri"/>
        </w:rPr>
        <w:t>–</w:t>
      </w:r>
      <w:r w:rsidRPr="005734B8">
        <w:rPr>
          <w:rFonts w:ascii="Calibri" w:eastAsia="Arial" w:hAnsi="Calibri" w:cs="Calibri"/>
        </w:rPr>
        <w:t xml:space="preserve">20 and 2018–19 relates to transport that occurred in the financial year, data for 2020–21 relates to the period April to March to align transport data with other emissions data in this report. </w:t>
      </w:r>
    </w:p>
    <w:p w14:paraId="1F9A240B" w14:textId="532A4381" w:rsidR="005C4068" w:rsidRPr="005734B8" w:rsidRDefault="005C4068" w:rsidP="005C4068">
      <w:pPr>
        <w:pStyle w:val="ESHeading3"/>
        <w:ind w:left="0" w:firstLine="0"/>
        <w:rPr>
          <w:rFonts w:ascii="Calibri" w:hAnsi="Calibri" w:cs="Calibri"/>
          <w:lang w:val="en-AU"/>
        </w:rPr>
      </w:pPr>
      <w:bookmarkStart w:id="1031" w:name="_Toc15985287"/>
      <w:bookmarkStart w:id="1032" w:name="_Toc19272112"/>
      <w:bookmarkStart w:id="1033" w:name="_Toc19272478"/>
      <w:bookmarkStart w:id="1034" w:name="_Toc19273813"/>
      <w:bookmarkStart w:id="1035" w:name="_Toc48402808"/>
      <w:bookmarkStart w:id="1036" w:name="_Toc48403045"/>
      <w:bookmarkStart w:id="1037" w:name="_Toc51332788"/>
      <w:bookmarkStart w:id="1038" w:name="_Toc71208228"/>
      <w:bookmarkStart w:id="1039" w:name="_Toc10208728"/>
      <w:bookmarkStart w:id="1040" w:name="_Toc11158308"/>
      <w:bookmarkStart w:id="1041" w:name="_Toc11336315"/>
      <w:bookmarkStart w:id="1042" w:name="_Toc13656702"/>
      <w:bookmarkStart w:id="1043" w:name="_Toc14965542"/>
      <w:bookmarkStart w:id="1044" w:name="_Toc15985288"/>
      <w:bookmarkStart w:id="1045" w:name="_Toc19272113"/>
      <w:bookmarkStart w:id="1046" w:name="_Toc19272479"/>
      <w:bookmarkStart w:id="1047" w:name="_Toc19273814"/>
      <w:bookmarkEnd w:id="872"/>
      <w:bookmarkEnd w:id="1025"/>
      <w:bookmarkEnd w:id="1026"/>
      <w:bookmarkEnd w:id="1027"/>
      <w:bookmarkEnd w:id="1028"/>
      <w:bookmarkEnd w:id="1029"/>
      <w:bookmarkEnd w:id="1030"/>
      <w:r w:rsidRPr="005734B8">
        <w:rPr>
          <w:rFonts w:ascii="Calibri" w:hAnsi="Calibri" w:cs="Calibri"/>
          <w:lang w:val="en-AU"/>
        </w:rPr>
        <w:t>Greenhouse gas emissions</w:t>
      </w:r>
    </w:p>
    <w:p w14:paraId="59B9C048" w14:textId="1ED333DA" w:rsidR="005C4068" w:rsidRPr="005734B8" w:rsidRDefault="005C4068" w:rsidP="005C4068">
      <w:pPr>
        <w:rPr>
          <w:rFonts w:ascii="Calibri" w:hAnsi="Calibri" w:cs="Calibri"/>
        </w:rPr>
      </w:pPr>
      <w:r w:rsidRPr="005734B8">
        <w:rPr>
          <w:rFonts w:ascii="Calibri" w:hAnsi="Calibri" w:cs="Calibri"/>
        </w:rPr>
        <w:t xml:space="preserve">The emissions disclosed below are taken from the previous sections and combined to show the Department’s greenhouse </w:t>
      </w:r>
      <w:r w:rsidR="00A74EB9" w:rsidRPr="005734B8">
        <w:rPr>
          <w:rFonts w:ascii="Calibri" w:hAnsi="Calibri" w:cs="Calibri"/>
        </w:rPr>
        <w:t xml:space="preserve">gas </w:t>
      </w:r>
      <w:r w:rsidRPr="005734B8">
        <w:rPr>
          <w:rFonts w:ascii="Calibri" w:hAnsi="Calibri" w:cs="Calibri"/>
        </w:rPr>
        <w:t>footprint.</w:t>
      </w:r>
    </w:p>
    <w:p w14:paraId="48D3E148" w14:textId="528893B9" w:rsidR="005C4068" w:rsidRPr="005734B8" w:rsidRDefault="005C4068" w:rsidP="005C4068">
      <w:pPr>
        <w:pStyle w:val="ESTableintroheading"/>
        <w:rPr>
          <w:rFonts w:ascii="Calibri" w:hAnsi="Calibri" w:cs="Calibri"/>
          <w:sz w:val="22"/>
          <w:szCs w:val="22"/>
        </w:rPr>
      </w:pPr>
      <w:r w:rsidRPr="005734B8">
        <w:rPr>
          <w:rFonts w:ascii="Calibri" w:hAnsi="Calibri" w:cs="Calibri"/>
          <w:sz w:val="22"/>
          <w:szCs w:val="22"/>
        </w:rPr>
        <w:t>Department emissions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72"/>
        <w:gridCol w:w="560"/>
        <w:gridCol w:w="409"/>
        <w:gridCol w:w="980"/>
        <w:gridCol w:w="15"/>
        <w:gridCol w:w="995"/>
        <w:gridCol w:w="353"/>
        <w:gridCol w:w="642"/>
        <w:gridCol w:w="995"/>
      </w:tblGrid>
      <w:tr w:rsidR="005C4068" w:rsidRPr="005734B8" w14:paraId="48BCD25E" w14:textId="77777777" w:rsidTr="005C4068">
        <w:trPr>
          <w:cantSplit/>
          <w:trHeight w:val="242"/>
          <w:tblHeader/>
        </w:trPr>
        <w:tc>
          <w:tcPr>
            <w:tcW w:w="3532" w:type="dxa"/>
            <w:gridSpan w:val="2"/>
            <w:tcBorders>
              <w:bottom w:val="single" w:sz="4" w:space="0" w:color="FFFFFF" w:themeColor="background1"/>
            </w:tcBorders>
            <w:shd w:val="clear" w:color="auto" w:fill="AF272F" w:themeFill="accent4"/>
          </w:tcPr>
          <w:p w14:paraId="17DFFB39" w14:textId="77777777" w:rsidR="005C4068" w:rsidRPr="005734B8" w:rsidRDefault="005C4068" w:rsidP="005C4068">
            <w:pPr>
              <w:pStyle w:val="ESTableheadingwhite"/>
              <w:rPr>
                <w:rFonts w:ascii="Calibri" w:hAnsi="Calibri" w:cs="Calibri"/>
                <w:sz w:val="22"/>
                <w:szCs w:val="22"/>
              </w:rPr>
            </w:pPr>
            <w:r w:rsidRPr="005734B8">
              <w:rPr>
                <w:rFonts w:ascii="Calibri" w:hAnsi="Calibri" w:cs="Calibri"/>
                <w:sz w:val="22"/>
                <w:szCs w:val="22"/>
              </w:rPr>
              <w:t>Indicator</w:t>
            </w:r>
          </w:p>
        </w:tc>
        <w:tc>
          <w:tcPr>
            <w:tcW w:w="1389" w:type="dxa"/>
            <w:gridSpan w:val="2"/>
            <w:tcBorders>
              <w:bottom w:val="single" w:sz="4" w:space="0" w:color="FFFFFF" w:themeColor="background1"/>
            </w:tcBorders>
            <w:shd w:val="clear" w:color="auto" w:fill="AF272F" w:themeFill="accent4"/>
          </w:tcPr>
          <w:p w14:paraId="06B58996" w14:textId="77777777" w:rsidR="005C4068" w:rsidRPr="005734B8" w:rsidRDefault="005C4068" w:rsidP="005C4068">
            <w:pPr>
              <w:pStyle w:val="ESTableheadingwhite"/>
              <w:jc w:val="right"/>
              <w:rPr>
                <w:rFonts w:ascii="Calibri" w:hAnsi="Calibri" w:cs="Calibri"/>
                <w:sz w:val="22"/>
                <w:szCs w:val="22"/>
              </w:rPr>
            </w:pPr>
            <w:r w:rsidRPr="005734B8">
              <w:rPr>
                <w:rFonts w:ascii="Calibri" w:hAnsi="Calibri" w:cs="Calibri"/>
                <w:sz w:val="22"/>
                <w:szCs w:val="22"/>
              </w:rPr>
              <w:t>2020–21</w:t>
            </w:r>
          </w:p>
        </w:tc>
        <w:tc>
          <w:tcPr>
            <w:tcW w:w="1363" w:type="dxa"/>
            <w:gridSpan w:val="3"/>
            <w:tcBorders>
              <w:bottom w:val="single" w:sz="4" w:space="0" w:color="FFFFFF" w:themeColor="background1"/>
            </w:tcBorders>
            <w:shd w:val="clear" w:color="auto" w:fill="AF272F" w:themeFill="accent4"/>
          </w:tcPr>
          <w:p w14:paraId="7D6BE4BA" w14:textId="77777777" w:rsidR="005C4068" w:rsidRPr="005734B8" w:rsidRDefault="005C4068" w:rsidP="005C4068">
            <w:pPr>
              <w:pStyle w:val="ESTableheadingwhite"/>
              <w:jc w:val="right"/>
              <w:rPr>
                <w:rFonts w:ascii="Calibri" w:hAnsi="Calibri" w:cs="Calibri"/>
                <w:sz w:val="22"/>
                <w:szCs w:val="22"/>
              </w:rPr>
            </w:pPr>
            <w:r w:rsidRPr="005734B8">
              <w:rPr>
                <w:rFonts w:ascii="Calibri" w:hAnsi="Calibri" w:cs="Calibri"/>
                <w:sz w:val="22"/>
                <w:szCs w:val="22"/>
              </w:rPr>
              <w:t>2019–20</w:t>
            </w:r>
          </w:p>
        </w:tc>
        <w:tc>
          <w:tcPr>
            <w:tcW w:w="1637" w:type="dxa"/>
            <w:gridSpan w:val="2"/>
            <w:tcBorders>
              <w:bottom w:val="single" w:sz="4" w:space="0" w:color="FFFFFF" w:themeColor="background1"/>
            </w:tcBorders>
            <w:shd w:val="clear" w:color="auto" w:fill="AF272F" w:themeFill="accent4"/>
          </w:tcPr>
          <w:p w14:paraId="2F32BE57" w14:textId="77777777" w:rsidR="005C4068" w:rsidRPr="005734B8" w:rsidRDefault="005C4068" w:rsidP="005C4068">
            <w:pPr>
              <w:pStyle w:val="ESTableheadingwhite"/>
              <w:jc w:val="right"/>
              <w:rPr>
                <w:rFonts w:ascii="Calibri" w:hAnsi="Calibri" w:cs="Calibri"/>
                <w:sz w:val="22"/>
                <w:szCs w:val="22"/>
              </w:rPr>
            </w:pPr>
            <w:r w:rsidRPr="005734B8">
              <w:rPr>
                <w:rFonts w:ascii="Calibri" w:hAnsi="Calibri" w:cs="Calibri"/>
                <w:sz w:val="22"/>
                <w:szCs w:val="22"/>
              </w:rPr>
              <w:t>2018–19</w:t>
            </w:r>
          </w:p>
        </w:tc>
      </w:tr>
      <w:tr w:rsidR="005C4068" w:rsidRPr="005734B8" w14:paraId="72234C5B" w14:textId="77777777" w:rsidTr="005C4068">
        <w:trPr>
          <w:cantSplit/>
        </w:trPr>
        <w:tc>
          <w:tcPr>
            <w:tcW w:w="3532" w:type="dxa"/>
            <w:gridSpan w:val="2"/>
            <w:tcBorders>
              <w:top w:val="single" w:sz="4" w:space="0" w:color="53565A" w:themeColor="accent5"/>
              <w:bottom w:val="single" w:sz="4" w:space="0" w:color="53565A" w:themeColor="accent5"/>
            </w:tcBorders>
            <w:shd w:val="clear" w:color="auto" w:fill="FFFFFF" w:themeFill="background1"/>
            <w:vAlign w:val="center"/>
          </w:tcPr>
          <w:p w14:paraId="0EDF33EC" w14:textId="77777777" w:rsidR="005C4068" w:rsidRPr="005734B8" w:rsidRDefault="005C4068" w:rsidP="005C4068">
            <w:pPr>
              <w:pStyle w:val="ESTablebody"/>
              <w:rPr>
                <w:rFonts w:ascii="Calibri" w:hAnsi="Calibri" w:cs="Calibri"/>
                <w:sz w:val="22"/>
                <w:szCs w:val="22"/>
              </w:rPr>
            </w:pPr>
            <w:r w:rsidRPr="005734B8">
              <w:rPr>
                <w:rFonts w:ascii="Calibri" w:hAnsi="Calibri" w:cs="Calibri"/>
                <w:sz w:val="22"/>
                <w:szCs w:val="22"/>
                <w:lang w:val="en-AU"/>
              </w:rPr>
              <w:t>G1: Total greenhouse gas emissions from energy use (tonnes CO</w:t>
            </w:r>
            <w:r w:rsidRPr="005734B8">
              <w:rPr>
                <w:rFonts w:ascii="Calibri" w:hAnsi="Calibri" w:cs="Calibri"/>
                <w:sz w:val="22"/>
                <w:szCs w:val="22"/>
                <w:vertAlign w:val="subscript"/>
                <w:lang w:val="en-AU"/>
              </w:rPr>
              <w:t>2</w:t>
            </w:r>
            <w:r w:rsidRPr="005734B8">
              <w:rPr>
                <w:rFonts w:ascii="Calibri" w:hAnsi="Calibri" w:cs="Calibri"/>
                <w:sz w:val="22"/>
                <w:szCs w:val="22"/>
                <w:lang w:val="en-AU"/>
              </w:rPr>
              <w:t>-e)</w:t>
            </w:r>
          </w:p>
        </w:tc>
        <w:tc>
          <w:tcPr>
            <w:tcW w:w="1389" w:type="dxa"/>
            <w:gridSpan w:val="2"/>
            <w:tcBorders>
              <w:top w:val="single" w:sz="4" w:space="0" w:color="53565A" w:themeColor="accent5"/>
              <w:bottom w:val="single" w:sz="4" w:space="0" w:color="53565A" w:themeColor="accent5"/>
            </w:tcBorders>
            <w:shd w:val="clear" w:color="auto" w:fill="D9D9D6" w:themeFill="accent6"/>
            <w:vAlign w:val="center"/>
          </w:tcPr>
          <w:p w14:paraId="23D79B0F" w14:textId="77777777" w:rsidR="005C4068" w:rsidRPr="005734B8" w:rsidRDefault="005C4068" w:rsidP="005C4068">
            <w:pPr>
              <w:pStyle w:val="ESTablenumberrightaligned"/>
              <w:rPr>
                <w:rFonts w:ascii="Calibri" w:hAnsi="Calibri" w:cs="Calibri"/>
                <w:sz w:val="22"/>
                <w:szCs w:val="22"/>
              </w:rPr>
            </w:pPr>
            <w:r w:rsidRPr="005734B8">
              <w:rPr>
                <w:rFonts w:ascii="Calibri" w:hAnsi="Calibri" w:cs="Calibri"/>
                <w:sz w:val="22"/>
                <w:szCs w:val="22"/>
              </w:rPr>
              <w:t>6,511</w:t>
            </w:r>
          </w:p>
        </w:tc>
        <w:tc>
          <w:tcPr>
            <w:tcW w:w="1363" w:type="dxa"/>
            <w:gridSpan w:val="3"/>
            <w:tcBorders>
              <w:top w:val="single" w:sz="4" w:space="0" w:color="53565A" w:themeColor="accent5"/>
              <w:bottom w:val="single" w:sz="4" w:space="0" w:color="53565A" w:themeColor="accent5"/>
            </w:tcBorders>
            <w:shd w:val="clear" w:color="auto" w:fill="FFFFFF" w:themeFill="background1"/>
            <w:vAlign w:val="center"/>
          </w:tcPr>
          <w:p w14:paraId="21645C60" w14:textId="77777777" w:rsidR="005C4068" w:rsidRPr="005734B8" w:rsidRDefault="005C4068" w:rsidP="005C4068">
            <w:pPr>
              <w:pStyle w:val="ESTablenumberrightaligned"/>
              <w:rPr>
                <w:rFonts w:ascii="Calibri" w:hAnsi="Calibri" w:cs="Calibri"/>
                <w:sz w:val="22"/>
                <w:szCs w:val="22"/>
              </w:rPr>
            </w:pPr>
            <w:r w:rsidRPr="005734B8">
              <w:rPr>
                <w:rFonts w:ascii="Calibri" w:eastAsia="Times New Roman" w:hAnsi="Calibri" w:cs="Calibri"/>
                <w:sz w:val="22"/>
                <w:szCs w:val="22"/>
              </w:rPr>
              <w:t>8,601</w:t>
            </w:r>
          </w:p>
        </w:tc>
        <w:tc>
          <w:tcPr>
            <w:tcW w:w="1637" w:type="dxa"/>
            <w:gridSpan w:val="2"/>
            <w:tcBorders>
              <w:top w:val="single" w:sz="4" w:space="0" w:color="53565A" w:themeColor="accent5"/>
              <w:bottom w:val="single" w:sz="4" w:space="0" w:color="53565A" w:themeColor="accent5"/>
            </w:tcBorders>
            <w:shd w:val="clear" w:color="auto" w:fill="FFFFFF" w:themeFill="background1"/>
            <w:vAlign w:val="center"/>
          </w:tcPr>
          <w:p w14:paraId="2238A51F" w14:textId="77777777" w:rsidR="005C4068" w:rsidRPr="005734B8" w:rsidRDefault="005C4068" w:rsidP="005C4068">
            <w:pPr>
              <w:pStyle w:val="ESTablenumberrightaligned"/>
              <w:rPr>
                <w:rFonts w:ascii="Calibri" w:hAnsi="Calibri" w:cs="Calibri"/>
                <w:sz w:val="22"/>
                <w:szCs w:val="22"/>
              </w:rPr>
            </w:pPr>
            <w:r w:rsidRPr="005734B8">
              <w:rPr>
                <w:rFonts w:ascii="Calibri" w:hAnsi="Calibri" w:cs="Calibri"/>
                <w:sz w:val="22"/>
                <w:szCs w:val="22"/>
              </w:rPr>
              <w:t>8,453</w:t>
            </w:r>
          </w:p>
        </w:tc>
      </w:tr>
      <w:tr w:rsidR="005C4068" w:rsidRPr="005734B8" w14:paraId="42D6E87A" w14:textId="77777777" w:rsidTr="005C4068">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499D7584" w14:textId="05B62426" w:rsidR="005C4068" w:rsidRPr="005734B8" w:rsidRDefault="005C4068" w:rsidP="005C4068">
            <w:pPr>
              <w:pStyle w:val="ESTablebody"/>
              <w:rPr>
                <w:rFonts w:ascii="Calibri" w:hAnsi="Calibri" w:cs="Calibri"/>
                <w:sz w:val="22"/>
                <w:szCs w:val="22"/>
                <w:highlight w:val="yellow"/>
                <w:lang w:val="en-AU"/>
              </w:rPr>
            </w:pPr>
            <w:r w:rsidRPr="005734B8">
              <w:rPr>
                <w:rFonts w:ascii="Calibri" w:hAnsi="Calibri" w:cs="Calibri"/>
                <w:sz w:val="22"/>
                <w:szCs w:val="22"/>
                <w:lang w:val="en-AU"/>
              </w:rPr>
              <w:t>G2: Total greenhouse gas emissions from vehicle fleet (tonnes CO2-e)</w:t>
            </w:r>
          </w:p>
        </w:tc>
        <w:tc>
          <w:tcPr>
            <w:tcW w:w="1389" w:type="dxa"/>
            <w:gridSpan w:val="2"/>
            <w:tcBorders>
              <w:top w:val="single" w:sz="4" w:space="0" w:color="53565A" w:themeColor="accent5"/>
              <w:bottom w:val="single" w:sz="4" w:space="0" w:color="53565A" w:themeColor="accent5"/>
            </w:tcBorders>
            <w:shd w:val="clear" w:color="auto" w:fill="D9D9D6" w:themeFill="accent6"/>
            <w:vAlign w:val="center"/>
          </w:tcPr>
          <w:p w14:paraId="38B22B43" w14:textId="77777777" w:rsidR="005C4068" w:rsidRPr="005734B8" w:rsidRDefault="005C4068" w:rsidP="005C4068">
            <w:pPr>
              <w:pStyle w:val="ESTablenumberrightaligned"/>
              <w:rPr>
                <w:rFonts w:ascii="Calibri" w:hAnsi="Calibri" w:cs="Calibri"/>
                <w:sz w:val="22"/>
                <w:szCs w:val="22"/>
              </w:rPr>
            </w:pPr>
            <w:r w:rsidRPr="005734B8">
              <w:rPr>
                <w:rFonts w:ascii="Calibri" w:hAnsi="Calibri" w:cs="Calibri"/>
                <w:sz w:val="22"/>
                <w:szCs w:val="22"/>
              </w:rPr>
              <w:t>185</w:t>
            </w:r>
          </w:p>
        </w:tc>
        <w:tc>
          <w:tcPr>
            <w:tcW w:w="1363" w:type="dxa"/>
            <w:gridSpan w:val="3"/>
            <w:tcBorders>
              <w:top w:val="single" w:sz="4" w:space="0" w:color="53565A" w:themeColor="accent5"/>
              <w:bottom w:val="single" w:sz="4" w:space="0" w:color="53565A" w:themeColor="accent5"/>
            </w:tcBorders>
            <w:shd w:val="clear" w:color="auto" w:fill="FFFFFF" w:themeFill="background1"/>
            <w:vAlign w:val="center"/>
          </w:tcPr>
          <w:p w14:paraId="263268CE" w14:textId="77777777" w:rsidR="005C4068" w:rsidRPr="005734B8" w:rsidRDefault="005C4068" w:rsidP="005C4068">
            <w:pPr>
              <w:pStyle w:val="ESTablenumberrightaligned"/>
              <w:rPr>
                <w:rFonts w:ascii="Calibri" w:hAnsi="Calibri" w:cs="Calibri"/>
                <w:sz w:val="22"/>
                <w:szCs w:val="22"/>
              </w:rPr>
            </w:pPr>
            <w:r w:rsidRPr="005734B8">
              <w:rPr>
                <w:rFonts w:ascii="Calibri" w:eastAsia="Times New Roman" w:hAnsi="Calibri" w:cs="Calibri"/>
                <w:sz w:val="22"/>
                <w:szCs w:val="22"/>
              </w:rPr>
              <w:t>618</w:t>
            </w:r>
          </w:p>
        </w:tc>
        <w:tc>
          <w:tcPr>
            <w:tcW w:w="1637" w:type="dxa"/>
            <w:gridSpan w:val="2"/>
            <w:tcBorders>
              <w:top w:val="single" w:sz="4" w:space="0" w:color="53565A" w:themeColor="accent5"/>
              <w:bottom w:val="single" w:sz="4" w:space="0" w:color="53565A" w:themeColor="accent5"/>
            </w:tcBorders>
            <w:vAlign w:val="center"/>
          </w:tcPr>
          <w:p w14:paraId="76EB7AE7" w14:textId="77777777" w:rsidR="005C4068" w:rsidRPr="005734B8" w:rsidRDefault="005C4068" w:rsidP="005C4068">
            <w:pPr>
              <w:pStyle w:val="ESTablenumberrightaligned"/>
              <w:rPr>
                <w:rFonts w:ascii="Calibri" w:hAnsi="Calibri" w:cs="Calibri"/>
                <w:sz w:val="22"/>
                <w:szCs w:val="22"/>
              </w:rPr>
            </w:pPr>
            <w:r w:rsidRPr="005734B8">
              <w:rPr>
                <w:rFonts w:ascii="Calibri" w:hAnsi="Calibri" w:cs="Calibri"/>
                <w:sz w:val="22"/>
                <w:szCs w:val="22"/>
              </w:rPr>
              <w:t>837</w:t>
            </w:r>
          </w:p>
        </w:tc>
      </w:tr>
      <w:tr w:rsidR="005C4068" w:rsidRPr="005734B8" w14:paraId="58A3349D" w14:textId="77777777" w:rsidTr="005C4068">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49A17433" w14:textId="77777777" w:rsidR="005C4068" w:rsidRPr="005734B8" w:rsidRDefault="005C4068" w:rsidP="005C4068">
            <w:pPr>
              <w:pStyle w:val="ESTablebody"/>
              <w:rPr>
                <w:rFonts w:ascii="Calibri" w:hAnsi="Calibri" w:cs="Calibri"/>
                <w:sz w:val="22"/>
                <w:szCs w:val="22"/>
                <w:highlight w:val="yellow"/>
                <w:lang w:val="en-AU"/>
              </w:rPr>
            </w:pPr>
            <w:r w:rsidRPr="005734B8">
              <w:rPr>
                <w:rFonts w:ascii="Calibri" w:hAnsi="Calibri" w:cs="Calibri"/>
                <w:sz w:val="22"/>
                <w:szCs w:val="22"/>
                <w:lang w:val="en-AU"/>
              </w:rPr>
              <w:t>G3: Total greenhouse gas emissions from air travel (tonnes CO2-e)</w:t>
            </w:r>
          </w:p>
        </w:tc>
        <w:tc>
          <w:tcPr>
            <w:tcW w:w="1389" w:type="dxa"/>
            <w:gridSpan w:val="2"/>
            <w:tcBorders>
              <w:top w:val="single" w:sz="4" w:space="0" w:color="53565A" w:themeColor="accent5"/>
              <w:bottom w:val="single" w:sz="4" w:space="0" w:color="53565A" w:themeColor="accent5"/>
            </w:tcBorders>
            <w:shd w:val="clear" w:color="auto" w:fill="D9D9D6" w:themeFill="accent6"/>
            <w:vAlign w:val="center"/>
          </w:tcPr>
          <w:p w14:paraId="51F3A73C" w14:textId="77777777" w:rsidR="005C4068" w:rsidRPr="005734B8" w:rsidRDefault="005C4068" w:rsidP="005C4068">
            <w:pPr>
              <w:pStyle w:val="ESTablenumberrightaligned"/>
              <w:rPr>
                <w:rFonts w:ascii="Calibri" w:hAnsi="Calibri" w:cs="Calibri"/>
                <w:sz w:val="22"/>
                <w:szCs w:val="22"/>
              </w:rPr>
            </w:pPr>
            <w:r w:rsidRPr="005734B8">
              <w:rPr>
                <w:rFonts w:ascii="Calibri" w:hAnsi="Calibri" w:cs="Calibri"/>
                <w:sz w:val="22"/>
                <w:szCs w:val="22"/>
              </w:rPr>
              <w:t>10</w:t>
            </w:r>
          </w:p>
        </w:tc>
        <w:tc>
          <w:tcPr>
            <w:tcW w:w="1363" w:type="dxa"/>
            <w:gridSpan w:val="3"/>
            <w:tcBorders>
              <w:top w:val="single" w:sz="4" w:space="0" w:color="53565A" w:themeColor="accent5"/>
              <w:bottom w:val="single" w:sz="4" w:space="0" w:color="53565A" w:themeColor="accent5"/>
            </w:tcBorders>
            <w:shd w:val="clear" w:color="auto" w:fill="FFFFFF" w:themeFill="background1"/>
            <w:vAlign w:val="center"/>
          </w:tcPr>
          <w:p w14:paraId="0B63996B" w14:textId="77777777" w:rsidR="005C4068" w:rsidRPr="005734B8" w:rsidRDefault="005C4068" w:rsidP="005C4068">
            <w:pPr>
              <w:pStyle w:val="ESTablenumberrightaligned"/>
              <w:rPr>
                <w:rFonts w:ascii="Calibri" w:hAnsi="Calibri" w:cs="Calibri"/>
                <w:sz w:val="22"/>
                <w:szCs w:val="22"/>
              </w:rPr>
            </w:pPr>
            <w:r w:rsidRPr="005734B8">
              <w:rPr>
                <w:rFonts w:ascii="Calibri" w:eastAsia="Times New Roman" w:hAnsi="Calibri" w:cs="Calibri"/>
                <w:sz w:val="22"/>
                <w:szCs w:val="22"/>
              </w:rPr>
              <w:t>577</w:t>
            </w:r>
          </w:p>
        </w:tc>
        <w:tc>
          <w:tcPr>
            <w:tcW w:w="1637" w:type="dxa"/>
            <w:gridSpan w:val="2"/>
            <w:tcBorders>
              <w:top w:val="single" w:sz="4" w:space="0" w:color="53565A" w:themeColor="accent5"/>
              <w:bottom w:val="single" w:sz="4" w:space="0" w:color="53565A" w:themeColor="accent5"/>
            </w:tcBorders>
            <w:vAlign w:val="center"/>
          </w:tcPr>
          <w:p w14:paraId="07015193" w14:textId="77777777" w:rsidR="005C4068" w:rsidRPr="005734B8" w:rsidRDefault="005C4068" w:rsidP="005C4068">
            <w:pPr>
              <w:pStyle w:val="ESTablenumberrightaligned"/>
              <w:rPr>
                <w:rFonts w:ascii="Calibri" w:hAnsi="Calibri" w:cs="Calibri"/>
                <w:sz w:val="22"/>
                <w:szCs w:val="22"/>
              </w:rPr>
            </w:pPr>
            <w:r w:rsidRPr="005734B8">
              <w:rPr>
                <w:rFonts w:ascii="Calibri" w:hAnsi="Calibri" w:cs="Calibri"/>
                <w:sz w:val="22"/>
                <w:szCs w:val="22"/>
              </w:rPr>
              <w:t>538</w:t>
            </w:r>
          </w:p>
        </w:tc>
      </w:tr>
      <w:tr w:rsidR="005C4068" w:rsidRPr="005734B8" w14:paraId="0D878A67" w14:textId="77777777" w:rsidTr="005C4068">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08265E6E" w14:textId="77777777" w:rsidR="005C4068" w:rsidRPr="005734B8" w:rsidRDefault="005C4068" w:rsidP="005C4068">
            <w:pPr>
              <w:pStyle w:val="ESTablebody"/>
              <w:rPr>
                <w:rFonts w:ascii="Calibri" w:hAnsi="Calibri" w:cs="Calibri"/>
                <w:sz w:val="22"/>
                <w:szCs w:val="22"/>
                <w:lang w:val="en-AU"/>
              </w:rPr>
            </w:pPr>
            <w:r w:rsidRPr="005734B8">
              <w:rPr>
                <w:rFonts w:ascii="Calibri" w:hAnsi="Calibri" w:cs="Calibri"/>
                <w:sz w:val="22"/>
                <w:szCs w:val="22"/>
                <w:lang w:val="en-AU"/>
              </w:rPr>
              <w:t>G4: Total greenhouse gas emissions from waste disposal (tonnes CO2-e)</w:t>
            </w:r>
          </w:p>
        </w:tc>
        <w:tc>
          <w:tcPr>
            <w:tcW w:w="1389" w:type="dxa"/>
            <w:gridSpan w:val="2"/>
            <w:tcBorders>
              <w:top w:val="single" w:sz="4" w:space="0" w:color="53565A" w:themeColor="accent5"/>
              <w:bottom w:val="single" w:sz="4" w:space="0" w:color="53565A" w:themeColor="accent5"/>
            </w:tcBorders>
            <w:shd w:val="clear" w:color="auto" w:fill="D9D9D6" w:themeFill="accent6"/>
            <w:vAlign w:val="center"/>
          </w:tcPr>
          <w:p w14:paraId="43014AF2" w14:textId="77777777" w:rsidR="005C4068" w:rsidRPr="005734B8" w:rsidRDefault="005C4068" w:rsidP="005C4068">
            <w:pPr>
              <w:pStyle w:val="ESTablenumberrightaligned"/>
              <w:rPr>
                <w:rFonts w:ascii="Calibri" w:hAnsi="Calibri" w:cs="Calibri"/>
                <w:sz w:val="22"/>
                <w:szCs w:val="22"/>
              </w:rPr>
            </w:pPr>
            <w:r w:rsidRPr="005734B8">
              <w:rPr>
                <w:rFonts w:ascii="Calibri" w:hAnsi="Calibri" w:cs="Calibri"/>
                <w:sz w:val="22"/>
                <w:szCs w:val="22"/>
              </w:rPr>
              <w:t>34</w:t>
            </w:r>
          </w:p>
        </w:tc>
        <w:tc>
          <w:tcPr>
            <w:tcW w:w="1363" w:type="dxa"/>
            <w:gridSpan w:val="3"/>
            <w:tcBorders>
              <w:top w:val="single" w:sz="4" w:space="0" w:color="53565A" w:themeColor="accent5"/>
              <w:bottom w:val="single" w:sz="4" w:space="0" w:color="53565A" w:themeColor="accent5"/>
            </w:tcBorders>
            <w:shd w:val="clear" w:color="auto" w:fill="FFFFFF" w:themeFill="background1"/>
            <w:vAlign w:val="center"/>
          </w:tcPr>
          <w:p w14:paraId="23A50D78" w14:textId="77777777" w:rsidR="005C4068" w:rsidRPr="005734B8" w:rsidRDefault="005C4068" w:rsidP="005C4068">
            <w:pPr>
              <w:pStyle w:val="ESTablenumberrightaligned"/>
              <w:rPr>
                <w:rFonts w:ascii="Calibri" w:hAnsi="Calibri" w:cs="Calibri"/>
                <w:sz w:val="22"/>
                <w:szCs w:val="22"/>
              </w:rPr>
            </w:pPr>
            <w:r w:rsidRPr="005734B8">
              <w:rPr>
                <w:rFonts w:ascii="Calibri" w:eastAsia="Times New Roman" w:hAnsi="Calibri" w:cs="Calibri"/>
                <w:sz w:val="22"/>
                <w:szCs w:val="22"/>
              </w:rPr>
              <w:t>58</w:t>
            </w:r>
          </w:p>
        </w:tc>
        <w:tc>
          <w:tcPr>
            <w:tcW w:w="1637" w:type="dxa"/>
            <w:gridSpan w:val="2"/>
            <w:tcBorders>
              <w:top w:val="single" w:sz="4" w:space="0" w:color="53565A" w:themeColor="accent5"/>
              <w:bottom w:val="single" w:sz="4" w:space="0" w:color="53565A" w:themeColor="accent5"/>
            </w:tcBorders>
            <w:vAlign w:val="center"/>
          </w:tcPr>
          <w:p w14:paraId="0E02691F" w14:textId="77777777" w:rsidR="005C4068" w:rsidRPr="005734B8" w:rsidRDefault="005C4068" w:rsidP="005C4068">
            <w:pPr>
              <w:pStyle w:val="ESTablenumberrightaligned"/>
              <w:rPr>
                <w:rFonts w:ascii="Calibri" w:hAnsi="Calibri" w:cs="Calibri"/>
                <w:sz w:val="22"/>
                <w:szCs w:val="22"/>
              </w:rPr>
            </w:pPr>
            <w:r w:rsidRPr="005734B8">
              <w:rPr>
                <w:rFonts w:ascii="Calibri" w:hAnsi="Calibri" w:cs="Calibri"/>
                <w:sz w:val="22"/>
                <w:szCs w:val="22"/>
              </w:rPr>
              <w:t>47</w:t>
            </w:r>
            <w:r w:rsidRPr="005734B8">
              <w:rPr>
                <w:rStyle w:val="FootnoteReference"/>
                <w:rFonts w:ascii="Calibri" w:hAnsi="Calibri" w:cs="Calibri"/>
                <w:sz w:val="22"/>
                <w:szCs w:val="22"/>
                <w:lang w:val="en-AU"/>
              </w:rPr>
              <w:footnoteReference w:id="69"/>
            </w:r>
          </w:p>
        </w:tc>
      </w:tr>
      <w:tr w:rsidR="005C4068" w:rsidRPr="005734B8" w14:paraId="231A542B" w14:textId="77777777" w:rsidTr="005C4068">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23D5577A" w14:textId="77777777" w:rsidR="005C4068" w:rsidRPr="005734B8" w:rsidRDefault="005C4068" w:rsidP="005C4068">
            <w:pPr>
              <w:pStyle w:val="ESTablebody"/>
              <w:rPr>
                <w:rFonts w:ascii="Calibri" w:hAnsi="Calibri" w:cs="Calibri"/>
                <w:sz w:val="22"/>
                <w:szCs w:val="22"/>
                <w:lang w:val="en-AU"/>
              </w:rPr>
            </w:pPr>
            <w:r w:rsidRPr="005734B8">
              <w:rPr>
                <w:rFonts w:ascii="Calibri" w:hAnsi="Calibri" w:cs="Calibri"/>
                <w:sz w:val="22"/>
                <w:szCs w:val="22"/>
                <w:lang w:val="en-AU"/>
              </w:rPr>
              <w:t>G5: Greenhouse gas emissions offset purchased (tonnes CO</w:t>
            </w:r>
            <w:r w:rsidRPr="005734B8">
              <w:rPr>
                <w:rFonts w:ascii="Calibri" w:hAnsi="Calibri" w:cs="Calibri"/>
                <w:sz w:val="22"/>
                <w:szCs w:val="22"/>
                <w:vertAlign w:val="subscript"/>
                <w:lang w:val="en-AU"/>
              </w:rPr>
              <w:t>2</w:t>
            </w:r>
            <w:r w:rsidRPr="005734B8">
              <w:rPr>
                <w:rFonts w:ascii="Calibri" w:hAnsi="Calibri" w:cs="Calibri"/>
                <w:sz w:val="22"/>
                <w:szCs w:val="22"/>
                <w:lang w:val="en-AU"/>
              </w:rPr>
              <w:t>-e)</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4A89B6CA" w14:textId="77777777" w:rsidR="005C4068" w:rsidRPr="005734B8" w:rsidRDefault="005C4068" w:rsidP="005C4068">
            <w:pPr>
              <w:pStyle w:val="ESTablenumberrightaligned"/>
              <w:rPr>
                <w:rFonts w:ascii="Calibri" w:hAnsi="Calibri" w:cs="Calibri"/>
                <w:sz w:val="22"/>
                <w:szCs w:val="22"/>
              </w:rPr>
            </w:pPr>
            <w:r w:rsidRPr="005734B8">
              <w:rPr>
                <w:rFonts w:ascii="Calibri" w:hAnsi="Calibri" w:cs="Calibri"/>
                <w:sz w:val="22"/>
                <w:szCs w:val="22"/>
              </w:rPr>
              <w:t>(10)</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20364A90" w14:textId="77777777" w:rsidR="005C4068" w:rsidRPr="005734B8" w:rsidRDefault="005C4068" w:rsidP="005C4068">
            <w:pPr>
              <w:pStyle w:val="ESTablenumberrightaligned"/>
              <w:rPr>
                <w:rFonts w:ascii="Calibri" w:hAnsi="Calibri" w:cs="Calibri"/>
                <w:sz w:val="22"/>
                <w:szCs w:val="22"/>
                <w:lang w:val="en-AU"/>
              </w:rPr>
            </w:pPr>
            <w:r w:rsidRPr="005734B8">
              <w:rPr>
                <w:rFonts w:ascii="Calibri" w:eastAsia="Times New Roman" w:hAnsi="Calibri" w:cs="Calibri"/>
                <w:sz w:val="22"/>
                <w:szCs w:val="22"/>
              </w:rPr>
              <w:t>(577)</w:t>
            </w:r>
          </w:p>
        </w:tc>
        <w:tc>
          <w:tcPr>
            <w:tcW w:w="1637" w:type="dxa"/>
            <w:gridSpan w:val="2"/>
            <w:tcBorders>
              <w:top w:val="single" w:sz="4" w:space="0" w:color="53565A" w:themeColor="accent5"/>
              <w:bottom w:val="single" w:sz="4" w:space="0" w:color="53565A" w:themeColor="accent5"/>
            </w:tcBorders>
          </w:tcPr>
          <w:p w14:paraId="5DD72E5B" w14:textId="77777777" w:rsidR="005C4068" w:rsidRPr="005734B8" w:rsidRDefault="005C4068" w:rsidP="005C4068">
            <w:pPr>
              <w:pStyle w:val="ESTablenumberrightaligned"/>
              <w:rPr>
                <w:rFonts w:ascii="Calibri" w:hAnsi="Calibri" w:cs="Calibri"/>
                <w:sz w:val="22"/>
                <w:szCs w:val="22"/>
                <w:lang w:val="en-AU"/>
              </w:rPr>
            </w:pPr>
            <w:r w:rsidRPr="005734B8">
              <w:rPr>
                <w:rFonts w:ascii="Calibri" w:hAnsi="Calibri" w:cs="Calibri"/>
                <w:sz w:val="22"/>
                <w:szCs w:val="22"/>
              </w:rPr>
              <w:t>(538)</w:t>
            </w:r>
          </w:p>
        </w:tc>
      </w:tr>
      <w:tr w:rsidR="005C4068" w:rsidRPr="005734B8" w14:paraId="3741A806" w14:textId="77777777" w:rsidTr="005C4068">
        <w:trPr>
          <w:cantSplit/>
        </w:trPr>
        <w:tc>
          <w:tcPr>
            <w:tcW w:w="2972" w:type="dxa"/>
            <w:tcBorders>
              <w:bottom w:val="single" w:sz="4" w:space="0" w:color="53565A" w:themeColor="accent5"/>
              <w:right w:val="nil"/>
            </w:tcBorders>
            <w:shd w:val="clear" w:color="auto" w:fill="53565A" w:themeFill="accent5"/>
          </w:tcPr>
          <w:p w14:paraId="441BB9CE" w14:textId="77777777" w:rsidR="005C4068" w:rsidRPr="005734B8" w:rsidRDefault="005C4068" w:rsidP="005C4068">
            <w:pPr>
              <w:pStyle w:val="ESTableheading"/>
              <w:rPr>
                <w:rFonts w:ascii="Calibri" w:hAnsi="Calibri" w:cs="Calibri"/>
                <w:sz w:val="22"/>
                <w:szCs w:val="22"/>
              </w:rPr>
            </w:pPr>
            <w:r w:rsidRPr="005734B8">
              <w:rPr>
                <w:rFonts w:ascii="Calibri" w:hAnsi="Calibri" w:cs="Calibri"/>
                <w:sz w:val="22"/>
                <w:szCs w:val="22"/>
              </w:rPr>
              <w:t>Voluntary indicators</w:t>
            </w:r>
          </w:p>
        </w:tc>
        <w:tc>
          <w:tcPr>
            <w:tcW w:w="969" w:type="dxa"/>
            <w:gridSpan w:val="2"/>
            <w:tcBorders>
              <w:left w:val="nil"/>
              <w:bottom w:val="single" w:sz="4" w:space="0" w:color="53565A" w:themeColor="accent5"/>
              <w:right w:val="nil"/>
            </w:tcBorders>
            <w:shd w:val="clear" w:color="auto" w:fill="53565A" w:themeFill="accent5"/>
          </w:tcPr>
          <w:p w14:paraId="76B3F8E9" w14:textId="77777777" w:rsidR="005C4068" w:rsidRPr="005734B8" w:rsidRDefault="005C4068" w:rsidP="005C4068">
            <w:pPr>
              <w:pStyle w:val="ESTablenumberrightaligned"/>
              <w:rPr>
                <w:rFonts w:ascii="Calibri" w:hAnsi="Calibri" w:cs="Calibri"/>
                <w:b/>
                <w:color w:val="FFFFFF" w:themeColor="background1"/>
                <w:sz w:val="22"/>
                <w:szCs w:val="22"/>
              </w:rPr>
            </w:pPr>
          </w:p>
        </w:tc>
        <w:tc>
          <w:tcPr>
            <w:tcW w:w="995" w:type="dxa"/>
            <w:gridSpan w:val="2"/>
            <w:tcBorders>
              <w:left w:val="nil"/>
              <w:bottom w:val="single" w:sz="4" w:space="0" w:color="53565A" w:themeColor="accent5"/>
              <w:right w:val="nil"/>
            </w:tcBorders>
            <w:shd w:val="clear" w:color="auto" w:fill="53565A" w:themeFill="accent5"/>
          </w:tcPr>
          <w:p w14:paraId="7161041E" w14:textId="77777777" w:rsidR="005C4068" w:rsidRPr="005734B8" w:rsidRDefault="005C4068" w:rsidP="005C4068">
            <w:pPr>
              <w:pStyle w:val="ESTablenumberrightaligned"/>
              <w:rPr>
                <w:rFonts w:ascii="Calibri" w:hAnsi="Calibri" w:cs="Calibri"/>
                <w:b/>
                <w:color w:val="FFFFFF" w:themeColor="background1"/>
                <w:sz w:val="22"/>
                <w:szCs w:val="22"/>
              </w:rPr>
            </w:pPr>
          </w:p>
        </w:tc>
        <w:tc>
          <w:tcPr>
            <w:tcW w:w="995" w:type="dxa"/>
            <w:tcBorders>
              <w:left w:val="nil"/>
              <w:bottom w:val="single" w:sz="4" w:space="0" w:color="53565A" w:themeColor="accent5"/>
              <w:right w:val="nil"/>
            </w:tcBorders>
            <w:shd w:val="clear" w:color="auto" w:fill="53565A" w:themeFill="accent5"/>
          </w:tcPr>
          <w:p w14:paraId="31E7EE4E" w14:textId="77777777" w:rsidR="005C4068" w:rsidRPr="005734B8" w:rsidRDefault="005C4068" w:rsidP="005C4068">
            <w:pPr>
              <w:pStyle w:val="ESTablenumberrightaligned"/>
              <w:rPr>
                <w:rFonts w:ascii="Calibri" w:hAnsi="Calibri" w:cs="Calibri"/>
                <w:b/>
                <w:color w:val="FFFFFF" w:themeColor="background1"/>
                <w:sz w:val="22"/>
                <w:szCs w:val="22"/>
              </w:rPr>
            </w:pPr>
          </w:p>
        </w:tc>
        <w:tc>
          <w:tcPr>
            <w:tcW w:w="995" w:type="dxa"/>
            <w:gridSpan w:val="2"/>
            <w:tcBorders>
              <w:left w:val="nil"/>
              <w:bottom w:val="single" w:sz="4" w:space="0" w:color="53565A" w:themeColor="accent5"/>
              <w:right w:val="nil"/>
            </w:tcBorders>
            <w:shd w:val="clear" w:color="auto" w:fill="53565A" w:themeFill="accent5"/>
          </w:tcPr>
          <w:p w14:paraId="29AE0678" w14:textId="77777777" w:rsidR="005C4068" w:rsidRPr="005734B8" w:rsidRDefault="005C4068" w:rsidP="005C4068">
            <w:pPr>
              <w:pStyle w:val="ESTablenumberrightaligned"/>
              <w:rPr>
                <w:rFonts w:ascii="Calibri" w:hAnsi="Calibri" w:cs="Calibri"/>
                <w:b/>
                <w:color w:val="FFFFFF" w:themeColor="background1"/>
                <w:sz w:val="22"/>
                <w:szCs w:val="22"/>
              </w:rPr>
            </w:pPr>
          </w:p>
        </w:tc>
        <w:tc>
          <w:tcPr>
            <w:tcW w:w="995" w:type="dxa"/>
            <w:tcBorders>
              <w:left w:val="nil"/>
              <w:bottom w:val="single" w:sz="4" w:space="0" w:color="53565A" w:themeColor="accent5"/>
            </w:tcBorders>
            <w:shd w:val="clear" w:color="auto" w:fill="53565A" w:themeFill="accent5"/>
          </w:tcPr>
          <w:p w14:paraId="143B0529" w14:textId="77777777" w:rsidR="005C4068" w:rsidRPr="005734B8" w:rsidRDefault="005C4068" w:rsidP="005C4068">
            <w:pPr>
              <w:pStyle w:val="ESTablenumberrightaligned"/>
              <w:rPr>
                <w:rFonts w:ascii="Calibri" w:hAnsi="Calibri" w:cs="Calibri"/>
                <w:b/>
                <w:color w:val="FFFFFF" w:themeColor="background1"/>
                <w:sz w:val="22"/>
                <w:szCs w:val="22"/>
              </w:rPr>
            </w:pPr>
          </w:p>
        </w:tc>
      </w:tr>
      <w:tr w:rsidR="005C4068" w:rsidRPr="005734B8" w14:paraId="522F3B87" w14:textId="77777777" w:rsidTr="005C4068">
        <w:trPr>
          <w:cantSplit/>
        </w:trPr>
        <w:tc>
          <w:tcPr>
            <w:tcW w:w="3532" w:type="dxa"/>
            <w:gridSpan w:val="2"/>
            <w:tcBorders>
              <w:top w:val="single" w:sz="4" w:space="0" w:color="53565A" w:themeColor="accent5"/>
              <w:bottom w:val="single" w:sz="18" w:space="0" w:color="53565A" w:themeColor="accent5"/>
            </w:tcBorders>
            <w:shd w:val="clear" w:color="auto" w:fill="auto"/>
            <w:vAlign w:val="center"/>
          </w:tcPr>
          <w:p w14:paraId="6CD7B582" w14:textId="77777777" w:rsidR="005C4068" w:rsidRPr="005734B8" w:rsidRDefault="005C4068" w:rsidP="005C4068">
            <w:pPr>
              <w:pStyle w:val="ESTablebody"/>
              <w:rPr>
                <w:rFonts w:ascii="Calibri" w:hAnsi="Calibri" w:cs="Calibri"/>
                <w:sz w:val="22"/>
                <w:szCs w:val="22"/>
                <w:lang w:val="en-AU"/>
              </w:rPr>
            </w:pPr>
            <w:r w:rsidRPr="005734B8">
              <w:rPr>
                <w:rFonts w:ascii="Calibri" w:hAnsi="Calibri" w:cs="Calibri"/>
                <w:sz w:val="22"/>
                <w:szCs w:val="22"/>
                <w:lang w:val="en-AU"/>
              </w:rPr>
              <w:t>Total greenhouse gas emissions from water consumption (tonnes CO2-e)</w:t>
            </w:r>
            <w:r w:rsidRPr="005734B8">
              <w:rPr>
                <w:rStyle w:val="FootnoteReference"/>
                <w:rFonts w:ascii="Calibri" w:hAnsi="Calibri" w:cs="Calibri"/>
                <w:sz w:val="22"/>
                <w:szCs w:val="22"/>
                <w:lang w:val="en-AU"/>
              </w:rPr>
              <w:footnoteReference w:id="70"/>
            </w:r>
          </w:p>
        </w:tc>
        <w:tc>
          <w:tcPr>
            <w:tcW w:w="1389" w:type="dxa"/>
            <w:gridSpan w:val="2"/>
            <w:tcBorders>
              <w:top w:val="single" w:sz="4" w:space="0" w:color="53565A" w:themeColor="accent5"/>
              <w:bottom w:val="single" w:sz="18" w:space="0" w:color="53565A" w:themeColor="accent5"/>
            </w:tcBorders>
            <w:shd w:val="clear" w:color="auto" w:fill="D9D9D6" w:themeFill="accent6"/>
            <w:vAlign w:val="center"/>
          </w:tcPr>
          <w:p w14:paraId="2A5B396F" w14:textId="77777777" w:rsidR="005C4068" w:rsidRPr="005734B8" w:rsidRDefault="005C4068" w:rsidP="005C4068">
            <w:pPr>
              <w:pStyle w:val="ESTablenumberrightaligned"/>
              <w:rPr>
                <w:rFonts w:ascii="Calibri" w:hAnsi="Calibri" w:cs="Calibri"/>
                <w:sz w:val="22"/>
                <w:szCs w:val="22"/>
              </w:rPr>
            </w:pPr>
            <w:r w:rsidRPr="005734B8">
              <w:rPr>
                <w:rFonts w:ascii="Calibri" w:hAnsi="Calibri" w:cs="Calibri"/>
                <w:sz w:val="22"/>
                <w:szCs w:val="22"/>
              </w:rPr>
              <w:t>14</w:t>
            </w:r>
          </w:p>
        </w:tc>
        <w:tc>
          <w:tcPr>
            <w:tcW w:w="1363" w:type="dxa"/>
            <w:gridSpan w:val="3"/>
            <w:tcBorders>
              <w:top w:val="single" w:sz="4" w:space="0" w:color="53565A" w:themeColor="accent5"/>
              <w:bottom w:val="single" w:sz="18" w:space="0" w:color="53565A" w:themeColor="accent5"/>
            </w:tcBorders>
            <w:shd w:val="clear" w:color="auto" w:fill="FFFFFF" w:themeFill="background1"/>
            <w:vAlign w:val="center"/>
          </w:tcPr>
          <w:p w14:paraId="08B71EE2" w14:textId="77777777" w:rsidR="005C4068" w:rsidRPr="005734B8" w:rsidRDefault="005C4068" w:rsidP="005C4068">
            <w:pPr>
              <w:pStyle w:val="ESTablenumberrightaligned"/>
              <w:rPr>
                <w:rFonts w:ascii="Calibri" w:hAnsi="Calibri" w:cs="Calibri"/>
                <w:sz w:val="22"/>
                <w:szCs w:val="22"/>
                <w:lang w:val="en-AU"/>
              </w:rPr>
            </w:pPr>
            <w:r w:rsidRPr="005734B8">
              <w:rPr>
                <w:rFonts w:ascii="Calibri" w:hAnsi="Calibri" w:cs="Calibri"/>
                <w:sz w:val="22"/>
                <w:szCs w:val="22"/>
              </w:rPr>
              <w:t>23</w:t>
            </w:r>
          </w:p>
        </w:tc>
        <w:tc>
          <w:tcPr>
            <w:tcW w:w="1637" w:type="dxa"/>
            <w:gridSpan w:val="2"/>
            <w:tcBorders>
              <w:top w:val="single" w:sz="4" w:space="0" w:color="53565A" w:themeColor="accent5"/>
              <w:bottom w:val="single" w:sz="18" w:space="0" w:color="53565A" w:themeColor="accent5"/>
            </w:tcBorders>
            <w:vAlign w:val="center"/>
          </w:tcPr>
          <w:p w14:paraId="7428897B" w14:textId="77777777" w:rsidR="005C4068" w:rsidRPr="005734B8" w:rsidRDefault="005C4068" w:rsidP="005C4068">
            <w:pPr>
              <w:pStyle w:val="ESTablenumberrightaligned"/>
              <w:rPr>
                <w:rFonts w:ascii="Calibri" w:hAnsi="Calibri" w:cs="Calibri"/>
                <w:sz w:val="22"/>
                <w:szCs w:val="22"/>
                <w:lang w:val="en-AU"/>
              </w:rPr>
            </w:pPr>
            <w:r w:rsidRPr="005734B8">
              <w:rPr>
                <w:rFonts w:ascii="Calibri" w:hAnsi="Calibri" w:cs="Calibri"/>
                <w:sz w:val="22"/>
                <w:szCs w:val="22"/>
              </w:rPr>
              <w:t>25</w:t>
            </w:r>
          </w:p>
        </w:tc>
      </w:tr>
      <w:tr w:rsidR="005C4068" w:rsidRPr="005734B8" w14:paraId="63D33222" w14:textId="77777777" w:rsidTr="005C4068">
        <w:trPr>
          <w:cantSplit/>
        </w:trPr>
        <w:tc>
          <w:tcPr>
            <w:tcW w:w="3532" w:type="dxa"/>
            <w:gridSpan w:val="2"/>
            <w:tcBorders>
              <w:top w:val="single" w:sz="18" w:space="0" w:color="53565A" w:themeColor="accent5"/>
              <w:bottom w:val="single" w:sz="18" w:space="0" w:color="53565A" w:themeColor="accent5"/>
            </w:tcBorders>
            <w:shd w:val="clear" w:color="auto" w:fill="auto"/>
            <w:vAlign w:val="center"/>
          </w:tcPr>
          <w:p w14:paraId="790B9004" w14:textId="77777777" w:rsidR="005C4068" w:rsidRPr="005734B8" w:rsidRDefault="005C4068" w:rsidP="005C4068">
            <w:pPr>
              <w:pStyle w:val="ESTablebody"/>
              <w:rPr>
                <w:rFonts w:ascii="Calibri" w:hAnsi="Calibri" w:cs="Calibri"/>
                <w:sz w:val="22"/>
                <w:szCs w:val="22"/>
                <w:lang w:val="en-AU"/>
              </w:rPr>
            </w:pPr>
            <w:r w:rsidRPr="005734B8">
              <w:rPr>
                <w:rFonts w:ascii="Calibri" w:hAnsi="Calibri" w:cs="Calibri"/>
                <w:b/>
                <w:sz w:val="22"/>
                <w:szCs w:val="22"/>
                <w:lang w:val="en-AU"/>
              </w:rPr>
              <w:t>Grand total greenhouse gas emissions created by the Department</w:t>
            </w:r>
          </w:p>
        </w:tc>
        <w:tc>
          <w:tcPr>
            <w:tcW w:w="1389" w:type="dxa"/>
            <w:gridSpan w:val="2"/>
            <w:tcBorders>
              <w:top w:val="single" w:sz="18" w:space="0" w:color="53565A" w:themeColor="accent5"/>
              <w:bottom w:val="single" w:sz="18" w:space="0" w:color="53565A" w:themeColor="accent5"/>
            </w:tcBorders>
            <w:shd w:val="clear" w:color="auto" w:fill="D9D9D6" w:themeFill="accent6"/>
            <w:vAlign w:val="center"/>
          </w:tcPr>
          <w:p w14:paraId="4BA0F1D2" w14:textId="77777777" w:rsidR="005C4068" w:rsidRPr="005734B8" w:rsidRDefault="005C4068" w:rsidP="005C4068">
            <w:pPr>
              <w:pStyle w:val="ESTablenumberrightaligned"/>
              <w:rPr>
                <w:rFonts w:ascii="Calibri" w:hAnsi="Calibri" w:cs="Calibri"/>
                <w:b/>
                <w:sz w:val="22"/>
                <w:szCs w:val="22"/>
              </w:rPr>
            </w:pPr>
            <w:r w:rsidRPr="005734B8">
              <w:rPr>
                <w:rFonts w:ascii="Calibri" w:hAnsi="Calibri" w:cs="Calibri"/>
                <w:b/>
                <w:sz w:val="22"/>
                <w:szCs w:val="22"/>
              </w:rPr>
              <w:t>6,744</w:t>
            </w:r>
          </w:p>
        </w:tc>
        <w:tc>
          <w:tcPr>
            <w:tcW w:w="1363" w:type="dxa"/>
            <w:gridSpan w:val="3"/>
            <w:tcBorders>
              <w:top w:val="single" w:sz="18" w:space="0" w:color="53565A" w:themeColor="accent5"/>
              <w:bottom w:val="single" w:sz="18" w:space="0" w:color="53565A" w:themeColor="accent5"/>
            </w:tcBorders>
            <w:shd w:val="clear" w:color="auto" w:fill="FFFFFF" w:themeFill="background1"/>
            <w:vAlign w:val="center"/>
          </w:tcPr>
          <w:p w14:paraId="7869F59A" w14:textId="77777777" w:rsidR="005C4068" w:rsidRPr="005734B8" w:rsidRDefault="005C4068" w:rsidP="005C4068">
            <w:pPr>
              <w:pStyle w:val="ESTablenumberrightaligned"/>
              <w:rPr>
                <w:rFonts w:ascii="Calibri" w:hAnsi="Calibri" w:cs="Calibri"/>
                <w:sz w:val="22"/>
                <w:szCs w:val="22"/>
                <w:lang w:val="en-AU"/>
              </w:rPr>
            </w:pPr>
            <w:r w:rsidRPr="005734B8">
              <w:rPr>
                <w:rFonts w:ascii="Calibri" w:hAnsi="Calibri" w:cs="Calibri"/>
                <w:b/>
                <w:sz w:val="22"/>
                <w:szCs w:val="22"/>
              </w:rPr>
              <w:t>9,300</w:t>
            </w:r>
          </w:p>
        </w:tc>
        <w:tc>
          <w:tcPr>
            <w:tcW w:w="1637" w:type="dxa"/>
            <w:gridSpan w:val="2"/>
            <w:tcBorders>
              <w:top w:val="single" w:sz="18" w:space="0" w:color="53565A" w:themeColor="accent5"/>
              <w:bottom w:val="single" w:sz="18" w:space="0" w:color="53565A" w:themeColor="accent5"/>
            </w:tcBorders>
            <w:vAlign w:val="center"/>
          </w:tcPr>
          <w:p w14:paraId="14001FDE" w14:textId="77777777" w:rsidR="005C4068" w:rsidRPr="005734B8" w:rsidRDefault="005C4068" w:rsidP="005C4068">
            <w:pPr>
              <w:pStyle w:val="ESTablenumberrightaligned"/>
              <w:rPr>
                <w:rFonts w:ascii="Calibri" w:hAnsi="Calibri" w:cs="Calibri"/>
                <w:sz w:val="22"/>
                <w:szCs w:val="22"/>
                <w:lang w:val="en-AU"/>
              </w:rPr>
            </w:pPr>
            <w:r w:rsidRPr="005734B8">
              <w:rPr>
                <w:rFonts w:ascii="Calibri" w:hAnsi="Calibri" w:cs="Calibri"/>
                <w:b/>
                <w:sz w:val="22"/>
                <w:szCs w:val="22"/>
              </w:rPr>
              <w:t>9,362</w:t>
            </w:r>
            <w:r w:rsidRPr="005734B8">
              <w:rPr>
                <w:rStyle w:val="FootnoteReference"/>
                <w:rFonts w:ascii="Calibri" w:hAnsi="Calibri" w:cs="Calibri"/>
                <w:b/>
                <w:sz w:val="22"/>
                <w:szCs w:val="22"/>
              </w:rPr>
              <w:footnoteReference w:id="71"/>
            </w:r>
          </w:p>
        </w:tc>
      </w:tr>
    </w:tbl>
    <w:p w14:paraId="0727F21B" w14:textId="1E9259E3" w:rsidR="005C4068" w:rsidRPr="005734B8" w:rsidRDefault="005C4068" w:rsidP="005C4068">
      <w:pPr>
        <w:pStyle w:val="ESHeading4"/>
        <w:ind w:left="0" w:firstLine="0"/>
        <w:rPr>
          <w:rFonts w:ascii="Calibri" w:hAnsi="Calibri" w:cs="Calibri"/>
        </w:rPr>
      </w:pPr>
      <w:r w:rsidRPr="005734B8">
        <w:rPr>
          <w:rFonts w:ascii="Calibri" w:hAnsi="Calibri" w:cs="Calibri"/>
        </w:rPr>
        <w:t>Actions undertaken</w:t>
      </w:r>
    </w:p>
    <w:p w14:paraId="7F18CAE4" w14:textId="4B7D3AC5" w:rsidR="005C4068" w:rsidRPr="005734B8" w:rsidRDefault="005C4068" w:rsidP="00BA2716">
      <w:pPr>
        <w:rPr>
          <w:rFonts w:ascii="Calibri" w:hAnsi="Calibri" w:cs="Calibri"/>
        </w:rPr>
      </w:pPr>
      <w:r w:rsidRPr="005734B8">
        <w:rPr>
          <w:rFonts w:ascii="Calibri" w:eastAsia="Arial" w:hAnsi="Calibri" w:cs="Calibri"/>
        </w:rPr>
        <w:t>In 2020–21, the Department had a net</w:t>
      </w:r>
      <w:r w:rsidR="007523DE" w:rsidRPr="005734B8">
        <w:rPr>
          <w:rFonts w:ascii="Calibri" w:eastAsia="Arial" w:hAnsi="Calibri" w:cs="Calibri"/>
        </w:rPr>
        <w:noBreakHyphen/>
      </w:r>
      <w:r w:rsidRPr="005734B8">
        <w:rPr>
          <w:rFonts w:ascii="Calibri" w:eastAsia="Arial" w:hAnsi="Calibri" w:cs="Calibri"/>
        </w:rPr>
        <w:t>zero carbon footprint for its air travel by purchasing 10 tonnes of greenhouse gas emissions offset.</w:t>
      </w:r>
    </w:p>
    <w:p w14:paraId="18E12C6C" w14:textId="77777777" w:rsidR="005C4068" w:rsidRPr="005734B8" w:rsidRDefault="005C4068" w:rsidP="005C4068">
      <w:pPr>
        <w:pStyle w:val="ESHeading4"/>
        <w:ind w:left="0" w:firstLine="0"/>
        <w:rPr>
          <w:rFonts w:ascii="Calibri" w:hAnsi="Calibri" w:cs="Calibri"/>
        </w:rPr>
      </w:pPr>
      <w:r w:rsidRPr="005734B8">
        <w:rPr>
          <w:rFonts w:ascii="Calibri" w:hAnsi="Calibri" w:cs="Calibri"/>
        </w:rPr>
        <w:t>Target</w:t>
      </w:r>
    </w:p>
    <w:p w14:paraId="4725D4EE" w14:textId="0545160B" w:rsidR="005C4068" w:rsidRPr="005734B8" w:rsidRDefault="005C4068" w:rsidP="005C4068">
      <w:pPr>
        <w:rPr>
          <w:rFonts w:ascii="Calibri" w:hAnsi="Calibri" w:cs="Calibri"/>
        </w:rPr>
      </w:pPr>
      <w:r w:rsidRPr="005734B8">
        <w:rPr>
          <w:rFonts w:ascii="Calibri" w:hAnsi="Calibri" w:cs="Calibri"/>
        </w:rPr>
        <w:t>The following target was set in 2020</w:t>
      </w:r>
      <w:r w:rsidR="004D7724" w:rsidRPr="005734B8">
        <w:rPr>
          <w:rFonts w:ascii="Calibri" w:hAnsi="Calibri" w:cs="Calibri"/>
        </w:rPr>
        <w:t>–</w:t>
      </w:r>
      <w:r w:rsidRPr="005734B8">
        <w:rPr>
          <w:rFonts w:ascii="Calibri" w:hAnsi="Calibri" w:cs="Calibri"/>
        </w:rPr>
        <w:t>21</w:t>
      </w:r>
      <w:r w:rsidR="00AF59DC" w:rsidRPr="005734B8">
        <w:rPr>
          <w:rFonts w:ascii="Calibri" w:hAnsi="Calibri" w:cs="Calibri"/>
        </w:rPr>
        <w:t>:</w:t>
      </w:r>
    </w:p>
    <w:p w14:paraId="28732206" w14:textId="42A2B5BF" w:rsidR="001C2306" w:rsidRPr="005734B8" w:rsidRDefault="005C4068" w:rsidP="00670895">
      <w:pPr>
        <w:pStyle w:val="ListParagraph"/>
        <w:numPr>
          <w:ilvl w:val="0"/>
          <w:numId w:val="77"/>
        </w:numPr>
        <w:rPr>
          <w:rFonts w:ascii="Calibri" w:hAnsi="Calibri" w:cs="Calibri"/>
        </w:rPr>
      </w:pPr>
      <w:r w:rsidRPr="005734B8">
        <w:rPr>
          <w:rFonts w:ascii="Calibri" w:hAnsi="Calibri" w:cs="Calibri"/>
        </w:rPr>
        <w:t>Reduce greenhouse gas emissions by 15 per cent of 2013–14 levels by 31 March</w:t>
      </w:r>
      <w:r w:rsidR="007523DE" w:rsidRPr="005734B8">
        <w:rPr>
          <w:rFonts w:ascii="Calibri" w:hAnsi="Calibri" w:cs="Calibri"/>
        </w:rPr>
        <w:t> </w:t>
      </w:r>
      <w:r w:rsidRPr="005734B8">
        <w:rPr>
          <w:rFonts w:ascii="Calibri" w:hAnsi="Calibri" w:cs="Calibri"/>
        </w:rPr>
        <w:t>2024.</w:t>
      </w:r>
      <w:r w:rsidR="001C2306" w:rsidRPr="005734B8">
        <w:rPr>
          <w:rFonts w:ascii="Calibri" w:hAnsi="Calibri" w:cs="Calibri"/>
        </w:rPr>
        <w:br w:type="page"/>
      </w:r>
    </w:p>
    <w:p w14:paraId="14A281D4" w14:textId="77777777" w:rsidR="005C4068" w:rsidRPr="005734B8" w:rsidRDefault="005C4068" w:rsidP="005C4068">
      <w:pPr>
        <w:pStyle w:val="ESHeading4"/>
        <w:ind w:left="0" w:firstLine="0"/>
        <w:rPr>
          <w:rFonts w:ascii="Calibri" w:hAnsi="Calibri" w:cs="Calibri"/>
        </w:rPr>
      </w:pPr>
      <w:r w:rsidRPr="005734B8">
        <w:rPr>
          <w:rFonts w:ascii="Calibri" w:hAnsi="Calibri" w:cs="Calibri"/>
        </w:rPr>
        <w:lastRenderedPageBreak/>
        <w:t>Explanatory notes</w:t>
      </w:r>
    </w:p>
    <w:p w14:paraId="395B4C80" w14:textId="6946333A" w:rsidR="005C4068" w:rsidRPr="005734B8" w:rsidRDefault="005C4068" w:rsidP="00A46E1E">
      <w:pPr>
        <w:rPr>
          <w:rFonts w:ascii="Calibri" w:hAnsi="Calibri" w:cs="Calibri"/>
        </w:rPr>
      </w:pPr>
      <w:r w:rsidRPr="005734B8">
        <w:rPr>
          <w:rFonts w:ascii="Calibri" w:hAnsi="Calibri" w:cs="Calibri"/>
        </w:rPr>
        <w:t xml:space="preserve">The Department’s total greenhouse gas emissions decreased by around 38 per cent compared to last year’s data. There is a noticeable reduction in greenhouse gas emissions in aspects such as energy use, vehicle fleet, waste disposal and water consumption. Target will be met if this trend continues. </w:t>
      </w:r>
      <w:r w:rsidR="00A46E1E" w:rsidRPr="005734B8">
        <w:rPr>
          <w:rFonts w:ascii="Calibri" w:hAnsi="Calibri" w:cs="Calibri"/>
        </w:rPr>
        <w:t>Reductions</w:t>
      </w:r>
      <w:r w:rsidRPr="005734B8">
        <w:rPr>
          <w:rFonts w:ascii="Calibri" w:hAnsi="Calibri" w:cs="Calibri"/>
        </w:rPr>
        <w:t xml:space="preserve"> can </w:t>
      </w:r>
      <w:r w:rsidR="00A46E1E" w:rsidRPr="005734B8">
        <w:rPr>
          <w:rFonts w:ascii="Calibri" w:hAnsi="Calibri" w:cs="Calibri"/>
        </w:rPr>
        <w:t>largely</w:t>
      </w:r>
      <w:r w:rsidRPr="005734B8">
        <w:rPr>
          <w:rFonts w:ascii="Calibri" w:hAnsi="Calibri" w:cs="Calibri"/>
        </w:rPr>
        <w:t xml:space="preserve"> be attributed to the </w:t>
      </w:r>
      <w:r w:rsidR="00A46E1E" w:rsidRPr="005734B8">
        <w:rPr>
          <w:rFonts w:ascii="Calibri" w:hAnsi="Calibri" w:cs="Calibri"/>
        </w:rPr>
        <w:t xml:space="preserve">impacts of the </w:t>
      </w:r>
      <w:r w:rsidRPr="005734B8">
        <w:rPr>
          <w:rFonts w:ascii="Calibri" w:hAnsi="Calibri" w:cs="Calibri"/>
        </w:rPr>
        <w:t xml:space="preserve">COVID-19 pandemic. During this period, fleet vehicles were used with less frequency and staff did not attend </w:t>
      </w:r>
      <w:r w:rsidR="00A46E1E" w:rsidRPr="005734B8">
        <w:rPr>
          <w:rFonts w:ascii="Calibri" w:hAnsi="Calibri" w:cs="Calibri"/>
        </w:rPr>
        <w:t xml:space="preserve">office </w:t>
      </w:r>
      <w:r w:rsidRPr="005734B8">
        <w:rPr>
          <w:rFonts w:ascii="Calibri" w:hAnsi="Calibri" w:cs="Calibri"/>
        </w:rPr>
        <w:t xml:space="preserve">sites. </w:t>
      </w:r>
    </w:p>
    <w:p w14:paraId="3D44C02F" w14:textId="32D25D9D" w:rsidR="005C4068" w:rsidRPr="005734B8" w:rsidRDefault="005C4068" w:rsidP="005C4068">
      <w:pPr>
        <w:pStyle w:val="ESHeading3"/>
        <w:ind w:left="0" w:firstLine="0"/>
        <w:rPr>
          <w:rFonts w:ascii="Calibri" w:hAnsi="Calibri" w:cs="Calibri"/>
          <w:lang w:val="en-AU"/>
        </w:rPr>
      </w:pPr>
      <w:r w:rsidRPr="005734B8">
        <w:rPr>
          <w:rFonts w:ascii="Calibri" w:hAnsi="Calibri" w:cs="Calibri"/>
          <w:lang w:val="en-AU"/>
        </w:rPr>
        <w:t>Greener procurement</w:t>
      </w:r>
    </w:p>
    <w:p w14:paraId="5AA90FEC" w14:textId="77386205" w:rsidR="005C4068" w:rsidRPr="005734B8" w:rsidRDefault="005C4068" w:rsidP="005C4068">
      <w:pPr>
        <w:rPr>
          <w:rFonts w:ascii="Calibri" w:hAnsi="Calibri" w:cs="Calibri"/>
        </w:rPr>
      </w:pPr>
      <w:r w:rsidRPr="005734B8">
        <w:rPr>
          <w:rFonts w:ascii="Calibri" w:hAnsi="Calibri" w:cs="Calibri"/>
        </w:rPr>
        <w:t xml:space="preserve">The Department follows </w:t>
      </w:r>
      <w:r w:rsidR="00A46E1E" w:rsidRPr="005734B8">
        <w:rPr>
          <w:rFonts w:ascii="Calibri" w:hAnsi="Calibri" w:cs="Calibri"/>
        </w:rPr>
        <w:t>the</w:t>
      </w:r>
      <w:r w:rsidRPr="005734B8">
        <w:rPr>
          <w:rFonts w:ascii="Calibri" w:hAnsi="Calibri" w:cs="Calibri"/>
        </w:rPr>
        <w:t xml:space="preserve"> Social Procurement Framework and is committed to achieving positive environmental outcomes through sustainable procurement practices</w:t>
      </w:r>
      <w:r w:rsidR="00A46E1E" w:rsidRPr="005734B8">
        <w:rPr>
          <w:rFonts w:ascii="Calibri" w:hAnsi="Calibri" w:cs="Calibri"/>
        </w:rPr>
        <w:t xml:space="preserve"> that </w:t>
      </w:r>
      <w:r w:rsidRPr="005734B8">
        <w:rPr>
          <w:rFonts w:ascii="Calibri" w:hAnsi="Calibri" w:cs="Calibri"/>
        </w:rPr>
        <w:t xml:space="preserve">achieve value for money while minimising </w:t>
      </w:r>
      <w:r w:rsidR="00A46E1E" w:rsidRPr="005734B8">
        <w:rPr>
          <w:rFonts w:ascii="Calibri" w:hAnsi="Calibri" w:cs="Calibri"/>
        </w:rPr>
        <w:t xml:space="preserve">environmental </w:t>
      </w:r>
      <w:r w:rsidRPr="005734B8">
        <w:rPr>
          <w:rFonts w:ascii="Calibri" w:hAnsi="Calibri" w:cs="Calibri"/>
        </w:rPr>
        <w:t>impact</w:t>
      </w:r>
      <w:r w:rsidR="00A46E1E" w:rsidRPr="005734B8">
        <w:rPr>
          <w:rFonts w:ascii="Calibri" w:hAnsi="Calibri" w:cs="Calibri"/>
        </w:rPr>
        <w:t>s</w:t>
      </w:r>
      <w:r w:rsidRPr="005734B8">
        <w:rPr>
          <w:rFonts w:ascii="Calibri" w:hAnsi="Calibri" w:cs="Calibri"/>
        </w:rPr>
        <w:t xml:space="preserve">. </w:t>
      </w:r>
    </w:p>
    <w:p w14:paraId="22D4BECE" w14:textId="77777777" w:rsidR="005C4068" w:rsidRPr="005734B8" w:rsidRDefault="005C4068" w:rsidP="005C4068">
      <w:pPr>
        <w:rPr>
          <w:rFonts w:ascii="Calibri" w:hAnsi="Calibri" w:cs="Calibri"/>
        </w:rPr>
      </w:pPr>
    </w:p>
    <w:p w14:paraId="6F574F0A" w14:textId="5C4779B2" w:rsidR="005C4068" w:rsidRPr="005734B8" w:rsidRDefault="005C4068" w:rsidP="005C4068">
      <w:pPr>
        <w:rPr>
          <w:rFonts w:ascii="Calibri" w:hAnsi="Calibri" w:cs="Calibri"/>
        </w:rPr>
      </w:pPr>
      <w:r w:rsidRPr="005734B8">
        <w:rPr>
          <w:rFonts w:ascii="Calibri" w:hAnsi="Calibri" w:cs="Calibri"/>
        </w:rPr>
        <w:t xml:space="preserve">The Department continues to promote the purchase of environmentally friendly products, specifically stationery and office products. Business units are encouraged to re-use stationery through the Department’s ‘Swap Shop’. </w:t>
      </w:r>
    </w:p>
    <w:p w14:paraId="03802CB2" w14:textId="77777777" w:rsidR="005C4068" w:rsidRPr="005734B8" w:rsidRDefault="005C4068" w:rsidP="005C4068">
      <w:pPr>
        <w:rPr>
          <w:rFonts w:ascii="Calibri" w:hAnsi="Calibri" w:cs="Calibri"/>
        </w:rPr>
      </w:pPr>
    </w:p>
    <w:p w14:paraId="1438BC1D" w14:textId="673F5817" w:rsidR="005C4068" w:rsidRPr="005734B8" w:rsidRDefault="005C4068" w:rsidP="005C4068">
      <w:pPr>
        <w:rPr>
          <w:rFonts w:ascii="Calibri" w:hAnsi="Calibri" w:cs="Calibri"/>
        </w:rPr>
      </w:pPr>
      <w:r w:rsidRPr="005734B8">
        <w:rPr>
          <w:rFonts w:ascii="Calibri" w:hAnsi="Calibri" w:cs="Calibri"/>
        </w:rPr>
        <w:t>Infrastructure project tenders are also evaluated against the criteria of their ‘ability to satisfy environmental sustainability requirements’.</w:t>
      </w:r>
    </w:p>
    <w:p w14:paraId="0217DB58" w14:textId="77777777" w:rsidR="005C4068" w:rsidRPr="005734B8" w:rsidRDefault="005C4068" w:rsidP="005C4068">
      <w:pPr>
        <w:rPr>
          <w:rFonts w:ascii="Calibri" w:hAnsi="Calibri" w:cs="Calibri"/>
        </w:rPr>
      </w:pPr>
    </w:p>
    <w:p w14:paraId="684663D5" w14:textId="7561D70C" w:rsidR="005C4068" w:rsidRPr="005734B8" w:rsidRDefault="005C4068" w:rsidP="005C4068">
      <w:pPr>
        <w:rPr>
          <w:rFonts w:ascii="Calibri" w:hAnsi="Calibri" w:cs="Calibri"/>
        </w:rPr>
      </w:pPr>
      <w:r w:rsidRPr="005734B8">
        <w:rPr>
          <w:rFonts w:ascii="Calibri" w:hAnsi="Calibri" w:cs="Calibri"/>
        </w:rPr>
        <w:t>The following target</w:t>
      </w:r>
      <w:r w:rsidR="00EF53B0" w:rsidRPr="005734B8">
        <w:rPr>
          <w:rFonts w:ascii="Calibri" w:hAnsi="Calibri" w:cs="Calibri"/>
        </w:rPr>
        <w:t>s</w:t>
      </w:r>
      <w:r w:rsidRPr="005734B8">
        <w:rPr>
          <w:rFonts w:ascii="Calibri" w:hAnsi="Calibri" w:cs="Calibri"/>
        </w:rPr>
        <w:t xml:space="preserve"> w</w:t>
      </w:r>
      <w:r w:rsidR="00EF53B0" w:rsidRPr="005734B8">
        <w:rPr>
          <w:rFonts w:ascii="Calibri" w:hAnsi="Calibri" w:cs="Calibri"/>
        </w:rPr>
        <w:t>ere</w:t>
      </w:r>
      <w:r w:rsidRPr="005734B8">
        <w:rPr>
          <w:rFonts w:ascii="Calibri" w:hAnsi="Calibri" w:cs="Calibri"/>
        </w:rPr>
        <w:t xml:space="preserve"> set in 2020</w:t>
      </w:r>
      <w:r w:rsidR="004D7724" w:rsidRPr="005734B8">
        <w:rPr>
          <w:rFonts w:ascii="Calibri" w:hAnsi="Calibri" w:cs="Calibri"/>
        </w:rPr>
        <w:t>–</w:t>
      </w:r>
      <w:r w:rsidRPr="005734B8">
        <w:rPr>
          <w:rFonts w:ascii="Calibri" w:hAnsi="Calibri" w:cs="Calibri"/>
        </w:rPr>
        <w:t>21:</w:t>
      </w:r>
    </w:p>
    <w:p w14:paraId="550E00B4" w14:textId="77777777" w:rsidR="005C4068" w:rsidRPr="005734B8" w:rsidRDefault="005C4068" w:rsidP="00670895">
      <w:pPr>
        <w:pStyle w:val="ListParagraph"/>
        <w:numPr>
          <w:ilvl w:val="0"/>
          <w:numId w:val="77"/>
        </w:numPr>
        <w:rPr>
          <w:rFonts w:ascii="Calibri" w:hAnsi="Calibri" w:cs="Calibri"/>
        </w:rPr>
      </w:pPr>
      <w:r w:rsidRPr="005734B8">
        <w:rPr>
          <w:rFonts w:ascii="Calibri" w:hAnsi="Calibri" w:cs="Calibri"/>
        </w:rPr>
        <w:t xml:space="preserve">Purchase environmentally friendly vehicles (operational) providing they meet the business need (from 2020). </w:t>
      </w:r>
    </w:p>
    <w:p w14:paraId="03136B1F" w14:textId="2C659162" w:rsidR="005C4068" w:rsidRPr="005734B8" w:rsidRDefault="007523DE" w:rsidP="00670895">
      <w:pPr>
        <w:pStyle w:val="ListParagraph"/>
        <w:numPr>
          <w:ilvl w:val="0"/>
          <w:numId w:val="77"/>
        </w:numPr>
        <w:rPr>
          <w:rFonts w:ascii="Calibri" w:hAnsi="Calibri" w:cs="Calibri"/>
        </w:rPr>
      </w:pPr>
      <w:r w:rsidRPr="005734B8">
        <w:rPr>
          <w:rFonts w:ascii="Calibri" w:hAnsi="Calibri" w:cs="Calibri"/>
        </w:rPr>
        <w:t>All</w:t>
      </w:r>
      <w:r w:rsidR="005C4068" w:rsidRPr="005734B8">
        <w:rPr>
          <w:rFonts w:ascii="Calibri" w:hAnsi="Calibri" w:cs="Calibri"/>
        </w:rPr>
        <w:t xml:space="preserve"> copy paper </w:t>
      </w:r>
      <w:r w:rsidRPr="005734B8">
        <w:rPr>
          <w:rFonts w:ascii="Calibri" w:hAnsi="Calibri" w:cs="Calibri"/>
        </w:rPr>
        <w:t>purchased to have</w:t>
      </w:r>
      <w:r w:rsidR="005C4068" w:rsidRPr="005734B8">
        <w:rPr>
          <w:rFonts w:ascii="Calibri" w:hAnsi="Calibri" w:cs="Calibri"/>
        </w:rPr>
        <w:t xml:space="preserve"> 75–100 per cent recycled content by 31</w:t>
      </w:r>
      <w:r w:rsidRPr="005734B8">
        <w:rPr>
          <w:rFonts w:ascii="Calibri" w:hAnsi="Calibri" w:cs="Calibri"/>
        </w:rPr>
        <w:t> </w:t>
      </w:r>
      <w:r w:rsidR="005C4068" w:rsidRPr="005734B8">
        <w:rPr>
          <w:rFonts w:ascii="Calibri" w:hAnsi="Calibri" w:cs="Calibri"/>
        </w:rPr>
        <w:t>March</w:t>
      </w:r>
      <w:r w:rsidRPr="005734B8">
        <w:rPr>
          <w:rFonts w:ascii="Calibri" w:hAnsi="Calibri" w:cs="Calibri"/>
        </w:rPr>
        <w:t> </w:t>
      </w:r>
      <w:r w:rsidR="005C4068" w:rsidRPr="005734B8">
        <w:rPr>
          <w:rFonts w:ascii="Calibri" w:hAnsi="Calibri" w:cs="Calibri"/>
        </w:rPr>
        <w:t>2021.</w:t>
      </w:r>
    </w:p>
    <w:p w14:paraId="62314BD1" w14:textId="77777777" w:rsidR="00CA6280" w:rsidRPr="005734B8" w:rsidRDefault="00CA6280" w:rsidP="00CA6280">
      <w:pPr>
        <w:pStyle w:val="ESHeading2"/>
        <w:rPr>
          <w:rFonts w:ascii="Calibri" w:hAnsi="Calibri" w:cs="Calibri"/>
        </w:rPr>
      </w:pPr>
      <w:bookmarkStart w:id="1048" w:name="_Toc81315353"/>
      <w:r w:rsidRPr="005734B8">
        <w:rPr>
          <w:rFonts w:ascii="Calibri" w:hAnsi="Calibri" w:cs="Calibri"/>
        </w:rPr>
        <w:t>Details of changes in prices, fees, charges, rates and levies</w:t>
      </w:r>
      <w:bookmarkEnd w:id="1031"/>
      <w:bookmarkEnd w:id="1032"/>
      <w:bookmarkEnd w:id="1033"/>
      <w:bookmarkEnd w:id="1034"/>
      <w:bookmarkEnd w:id="1035"/>
      <w:bookmarkEnd w:id="1036"/>
      <w:bookmarkEnd w:id="1037"/>
      <w:bookmarkEnd w:id="1038"/>
      <w:bookmarkEnd w:id="1048"/>
    </w:p>
    <w:p w14:paraId="18367927" w14:textId="0EFB69C4" w:rsidR="00CA6280" w:rsidRPr="005734B8" w:rsidRDefault="00CA6280" w:rsidP="00CA6280">
      <w:pPr>
        <w:rPr>
          <w:rFonts w:ascii="Calibri" w:hAnsi="Calibri" w:cs="Calibri"/>
        </w:rPr>
      </w:pPr>
      <w:r w:rsidRPr="005734B8">
        <w:rPr>
          <w:rFonts w:ascii="Calibri" w:hAnsi="Calibri" w:cs="Calibri"/>
        </w:rPr>
        <w:t xml:space="preserve">Details of current prices, fees, charges, rates and levies charged by the Department are outlined at </w:t>
      </w:r>
      <w:hyperlink r:id="rId54" w:history="1">
        <w:r w:rsidRPr="005734B8">
          <w:rPr>
            <w:rStyle w:val="Hyperlink"/>
            <w:rFonts w:ascii="Calibri" w:hAnsi="Calibri" w:cs="Calibri"/>
          </w:rPr>
          <w:t>www.education.vic.gov.au/about/working/Pages/fees.aspx</w:t>
        </w:r>
      </w:hyperlink>
      <w:r w:rsidRPr="005734B8">
        <w:rPr>
          <w:rFonts w:ascii="Calibri" w:hAnsi="Calibri" w:cs="Calibri"/>
        </w:rPr>
        <w:t xml:space="preserve">. In compliance with the requirements of the Standing Directions 2018 under the </w:t>
      </w:r>
      <w:r w:rsidR="009827AA" w:rsidRPr="005734B8">
        <w:rPr>
          <w:rFonts w:ascii="Calibri" w:hAnsi="Calibri" w:cs="Calibri"/>
          <w:iCs/>
        </w:rPr>
        <w:t>FM</w:t>
      </w:r>
      <w:r w:rsidRPr="005734B8">
        <w:rPr>
          <w:rFonts w:ascii="Calibri" w:hAnsi="Calibri" w:cs="Calibri"/>
        </w:rPr>
        <w:t xml:space="preserve"> Act, changes in these details are available on request, subject to the provisions of the FOI Act.</w:t>
      </w:r>
    </w:p>
    <w:p w14:paraId="70A51116" w14:textId="77777777" w:rsidR="008D52D5" w:rsidRPr="005734B8" w:rsidRDefault="008D52D5">
      <w:pPr>
        <w:rPr>
          <w:rFonts w:ascii="Calibri" w:eastAsiaTheme="majorEastAsia" w:hAnsi="Calibri" w:cs="Calibri"/>
          <w:bCs/>
          <w:color w:val="8A2A2F" w:themeColor="text1"/>
          <w:spacing w:val="5"/>
          <w:kern w:val="28"/>
          <w:sz w:val="28"/>
          <w:szCs w:val="20"/>
          <w:highlight w:val="yellow"/>
          <w:lang w:val="en-US"/>
        </w:rPr>
      </w:pPr>
      <w:r w:rsidRPr="005734B8">
        <w:rPr>
          <w:rFonts w:ascii="Calibri" w:hAnsi="Calibri" w:cs="Calibri"/>
          <w:highlight w:val="yellow"/>
        </w:rPr>
        <w:br w:type="page"/>
      </w:r>
    </w:p>
    <w:p w14:paraId="4AF05F46" w14:textId="77777777" w:rsidR="00543A92" w:rsidRPr="005734B8" w:rsidRDefault="00543A92" w:rsidP="00543A92">
      <w:pPr>
        <w:pStyle w:val="ESHeading2"/>
        <w:rPr>
          <w:rFonts w:ascii="Calibri" w:hAnsi="Calibri" w:cs="Calibri"/>
        </w:rPr>
      </w:pPr>
      <w:bookmarkStart w:id="1049" w:name="_Toc48402809"/>
      <w:bookmarkStart w:id="1050" w:name="_Toc48403046"/>
      <w:bookmarkStart w:id="1051" w:name="_Toc51332789"/>
      <w:bookmarkStart w:id="1052" w:name="_Toc71208229"/>
      <w:bookmarkStart w:id="1053" w:name="_Toc81315354"/>
      <w:bookmarkStart w:id="1054" w:name="_Toc10208729"/>
      <w:bookmarkEnd w:id="1039"/>
      <w:bookmarkEnd w:id="1040"/>
      <w:bookmarkEnd w:id="1041"/>
      <w:bookmarkEnd w:id="1042"/>
      <w:bookmarkEnd w:id="1043"/>
      <w:bookmarkEnd w:id="1044"/>
      <w:bookmarkEnd w:id="1045"/>
      <w:bookmarkEnd w:id="1046"/>
      <w:bookmarkEnd w:id="1047"/>
      <w:r w:rsidRPr="005734B8">
        <w:rPr>
          <w:rFonts w:ascii="Calibri" w:hAnsi="Calibri" w:cs="Calibri"/>
        </w:rPr>
        <w:lastRenderedPageBreak/>
        <w:t>Additional information available on request</w:t>
      </w:r>
      <w:bookmarkEnd w:id="1049"/>
      <w:bookmarkEnd w:id="1050"/>
      <w:bookmarkEnd w:id="1051"/>
      <w:bookmarkEnd w:id="1052"/>
      <w:bookmarkEnd w:id="1053"/>
    </w:p>
    <w:p w14:paraId="0283D5C7" w14:textId="23EF63FD" w:rsidR="00543A92" w:rsidRPr="005734B8" w:rsidRDefault="00543A92" w:rsidP="00543A92">
      <w:pPr>
        <w:rPr>
          <w:rFonts w:ascii="Calibri" w:hAnsi="Calibri" w:cs="Calibri"/>
        </w:rPr>
      </w:pPr>
      <w:r w:rsidRPr="005734B8">
        <w:rPr>
          <w:rFonts w:ascii="Calibri" w:hAnsi="Calibri" w:cs="Calibri"/>
        </w:rPr>
        <w:t>FRD 22I requires the Accountable Officer to retain and make available specified information. This information may be made available to ministers, members of parliament and the public on request, subject to the provisions of the FOI Act.</w:t>
      </w:r>
    </w:p>
    <w:p w14:paraId="16ACE280" w14:textId="77777777" w:rsidR="00543A92" w:rsidRPr="005734B8" w:rsidRDefault="00543A92" w:rsidP="00543A92">
      <w:pPr>
        <w:rPr>
          <w:rFonts w:ascii="Calibri" w:hAnsi="Calibri" w:cs="Calibri"/>
        </w:rPr>
      </w:pPr>
    </w:p>
    <w:p w14:paraId="017A0C9E" w14:textId="77777777" w:rsidR="00543A92" w:rsidRPr="005734B8" w:rsidRDefault="00543A92" w:rsidP="00543A92">
      <w:pPr>
        <w:rPr>
          <w:rFonts w:ascii="Calibri" w:hAnsi="Calibri" w:cs="Calibri"/>
        </w:rPr>
      </w:pPr>
      <w:r w:rsidRPr="005734B8">
        <w:rPr>
          <w:rFonts w:ascii="Calibri" w:hAnsi="Calibri" w:cs="Calibri"/>
        </w:rPr>
        <w:t xml:space="preserve">The Department has made this information available (or provided details of how the material may be sourced) in the </w:t>
      </w:r>
      <w:r w:rsidRPr="005734B8">
        <w:rPr>
          <w:rFonts w:ascii="Calibri" w:hAnsi="Calibri" w:cs="Calibri"/>
          <w:i/>
        </w:rPr>
        <w:t>Department’s Annual Report 2020–21</w:t>
      </w:r>
      <w:r w:rsidRPr="005734B8">
        <w:rPr>
          <w:rFonts w:ascii="Calibri" w:hAnsi="Calibri" w:cs="Calibri"/>
        </w:rPr>
        <w:t xml:space="preserve"> or the </w:t>
      </w:r>
      <w:r w:rsidRPr="005734B8">
        <w:rPr>
          <w:rFonts w:ascii="Calibri" w:hAnsi="Calibri" w:cs="Calibri"/>
          <w:i/>
        </w:rPr>
        <w:t>Department’s Annual Report 2020–21</w:t>
      </w:r>
      <w:r w:rsidRPr="005734B8">
        <w:rPr>
          <w:rFonts w:ascii="Calibri" w:hAnsi="Calibri" w:cs="Calibri"/>
        </w:rPr>
        <w:t xml:space="preserve"> </w:t>
      </w:r>
      <w:r w:rsidRPr="005734B8">
        <w:rPr>
          <w:rFonts w:ascii="Calibri" w:hAnsi="Calibri" w:cs="Calibri"/>
          <w:i/>
        </w:rPr>
        <w:t>Additional Information</w:t>
      </w:r>
      <w:r w:rsidRPr="005734B8">
        <w:rPr>
          <w:rFonts w:ascii="Calibri" w:hAnsi="Calibri" w:cs="Calibri"/>
        </w:rPr>
        <w:t>.</w:t>
      </w:r>
    </w:p>
    <w:p w14:paraId="4242B1C9" w14:textId="77777777" w:rsidR="00543A92" w:rsidRPr="005734B8" w:rsidRDefault="00543A92" w:rsidP="00543A92">
      <w:pPr>
        <w:rPr>
          <w:rFonts w:ascii="Calibri" w:hAnsi="Calibri" w:cs="Calibri"/>
        </w:rPr>
      </w:pPr>
      <w:r w:rsidRPr="005734B8">
        <w:rPr>
          <w:rFonts w:ascii="Calibri" w:hAnsi="Calibri" w:cs="Calibri"/>
        </w:rPr>
        <w:t>Requirements covered in this annual report include:</w:t>
      </w:r>
    </w:p>
    <w:p w14:paraId="13AB4231" w14:textId="77777777" w:rsidR="00543A92" w:rsidRPr="005734B8" w:rsidRDefault="00543A92" w:rsidP="00543A92">
      <w:pPr>
        <w:pStyle w:val="ESbullet1"/>
        <w:numPr>
          <w:ilvl w:val="0"/>
          <w:numId w:val="28"/>
        </w:numPr>
        <w:spacing w:after="0"/>
        <w:rPr>
          <w:rFonts w:ascii="Calibri" w:hAnsi="Calibri" w:cs="Calibri"/>
        </w:rPr>
      </w:pPr>
      <w:r w:rsidRPr="005734B8">
        <w:rPr>
          <w:rFonts w:ascii="Calibri" w:hAnsi="Calibri" w:cs="Calibri"/>
        </w:rPr>
        <w:t>a statement that declarations of pecuniary interests have been duly completed by all relevant officers</w:t>
      </w:r>
    </w:p>
    <w:p w14:paraId="2C170C65" w14:textId="77777777" w:rsidR="00543A92" w:rsidRPr="005734B8" w:rsidRDefault="00543A92" w:rsidP="00543A92">
      <w:pPr>
        <w:pStyle w:val="ESbullet1"/>
        <w:numPr>
          <w:ilvl w:val="0"/>
          <w:numId w:val="28"/>
        </w:numPr>
        <w:spacing w:after="0"/>
        <w:rPr>
          <w:rFonts w:ascii="Calibri" w:hAnsi="Calibri" w:cs="Calibri"/>
        </w:rPr>
      </w:pPr>
      <w:r w:rsidRPr="005734B8">
        <w:rPr>
          <w:rFonts w:ascii="Calibri" w:hAnsi="Calibri" w:cs="Calibri"/>
        </w:rPr>
        <w:t>details of shares held by a senior officer as nominee or held beneficially in a statutory authority or subsidiary</w:t>
      </w:r>
    </w:p>
    <w:p w14:paraId="0B435A2F" w14:textId="77777777" w:rsidR="00543A92" w:rsidRPr="005734B8" w:rsidRDefault="00543A92" w:rsidP="00543A92">
      <w:pPr>
        <w:pStyle w:val="ESbullet1"/>
        <w:numPr>
          <w:ilvl w:val="0"/>
          <w:numId w:val="28"/>
        </w:numPr>
        <w:spacing w:after="0"/>
        <w:rPr>
          <w:rFonts w:ascii="Calibri" w:hAnsi="Calibri" w:cs="Calibri"/>
        </w:rPr>
      </w:pPr>
      <w:r w:rsidRPr="005734B8">
        <w:rPr>
          <w:rFonts w:ascii="Calibri" w:hAnsi="Calibri" w:cs="Calibri"/>
        </w:rPr>
        <w:t>details of publications produced by the Department about itself and how these can be obtained</w:t>
      </w:r>
    </w:p>
    <w:p w14:paraId="31E7683C" w14:textId="7D34F1C9" w:rsidR="00543A92" w:rsidRPr="005734B8" w:rsidRDefault="00543A92" w:rsidP="00543A92">
      <w:pPr>
        <w:pStyle w:val="ESbullet1"/>
        <w:numPr>
          <w:ilvl w:val="0"/>
          <w:numId w:val="28"/>
        </w:numPr>
        <w:spacing w:after="0"/>
        <w:rPr>
          <w:rFonts w:ascii="Calibri" w:hAnsi="Calibri" w:cs="Calibri"/>
        </w:rPr>
      </w:pPr>
      <w:r w:rsidRPr="005734B8">
        <w:rPr>
          <w:rFonts w:ascii="Calibri" w:hAnsi="Calibri" w:cs="Calibri"/>
        </w:rPr>
        <w:t>details of assessments and measures undertaken to improve the OHS of employees</w:t>
      </w:r>
    </w:p>
    <w:p w14:paraId="15969141" w14:textId="1EA95BD4" w:rsidR="00543A92" w:rsidRPr="005734B8" w:rsidRDefault="00543A92" w:rsidP="00543A92">
      <w:pPr>
        <w:pStyle w:val="ESbullet1"/>
        <w:numPr>
          <w:ilvl w:val="0"/>
          <w:numId w:val="28"/>
        </w:numPr>
        <w:spacing w:after="0"/>
        <w:rPr>
          <w:rFonts w:ascii="Calibri" w:hAnsi="Calibri" w:cs="Calibri"/>
        </w:rPr>
      </w:pPr>
      <w:r w:rsidRPr="005734B8">
        <w:rPr>
          <w:rFonts w:ascii="Calibri" w:hAnsi="Calibri" w:cs="Calibri"/>
        </w:rPr>
        <w:t>a statement on industrial relations in the Department and details of time lost through industrial accidents and disputes</w:t>
      </w:r>
    </w:p>
    <w:p w14:paraId="4C4F1AB8" w14:textId="77777777" w:rsidR="00543A92" w:rsidRPr="005734B8" w:rsidRDefault="00543A92" w:rsidP="00543A92">
      <w:pPr>
        <w:pStyle w:val="ESbullet1"/>
        <w:numPr>
          <w:ilvl w:val="0"/>
          <w:numId w:val="28"/>
        </w:numPr>
        <w:spacing w:after="0"/>
        <w:rPr>
          <w:rFonts w:ascii="Calibri" w:hAnsi="Calibri" w:cs="Calibri"/>
        </w:rPr>
      </w:pPr>
      <w:r w:rsidRPr="005734B8">
        <w:rPr>
          <w:rFonts w:ascii="Calibri" w:hAnsi="Calibri" w:cs="Calibri"/>
        </w:rPr>
        <w:t>details of changes in prices, fees, charges, rates and levies charged by the Department.</w:t>
      </w:r>
    </w:p>
    <w:p w14:paraId="11C0CFDA" w14:textId="77777777" w:rsidR="00543A92" w:rsidRPr="005734B8" w:rsidRDefault="00543A92" w:rsidP="00543A92">
      <w:pPr>
        <w:pStyle w:val="ESbullet1"/>
        <w:spacing w:after="0"/>
        <w:ind w:left="0" w:firstLine="0"/>
        <w:rPr>
          <w:rFonts w:ascii="Calibri" w:hAnsi="Calibri" w:cs="Calibri"/>
        </w:rPr>
      </w:pPr>
    </w:p>
    <w:p w14:paraId="2CF28ADB" w14:textId="62348FF5" w:rsidR="00543A92" w:rsidRPr="005734B8" w:rsidRDefault="00543A92" w:rsidP="00543A92">
      <w:pPr>
        <w:rPr>
          <w:rFonts w:ascii="Calibri" w:hAnsi="Calibri" w:cs="Calibri"/>
        </w:rPr>
      </w:pPr>
      <w:r w:rsidRPr="005734B8">
        <w:rPr>
          <w:rFonts w:ascii="Calibri" w:hAnsi="Calibri" w:cs="Calibri"/>
        </w:rPr>
        <w:t>The requirements listed below are included in the Department’s Annual Report 2020–21 Additional Information</w:t>
      </w:r>
      <w:r w:rsidR="007523DE" w:rsidRPr="005734B8">
        <w:rPr>
          <w:rFonts w:ascii="Calibri" w:hAnsi="Calibri" w:cs="Calibri"/>
        </w:rPr>
        <w:t>,</w:t>
      </w:r>
      <w:r w:rsidRPr="005734B8">
        <w:rPr>
          <w:rFonts w:ascii="Calibri" w:hAnsi="Calibri" w:cs="Calibri"/>
        </w:rPr>
        <w:t xml:space="preserve"> available from </w:t>
      </w:r>
      <w:hyperlink r:id="rId55" w:history="1">
        <w:r w:rsidRPr="005734B8">
          <w:rPr>
            <w:rStyle w:val="Hyperlink"/>
            <w:rFonts w:ascii="Calibri" w:hAnsi="Calibri" w:cs="Calibri"/>
          </w:rPr>
          <w:t>www.education.vic.gov.au</w:t>
        </w:r>
      </w:hyperlink>
      <w:r w:rsidRPr="005734B8">
        <w:rPr>
          <w:rFonts w:ascii="Calibri" w:hAnsi="Calibri" w:cs="Calibri"/>
        </w:rPr>
        <w:t xml:space="preserve"> and include:</w:t>
      </w:r>
    </w:p>
    <w:p w14:paraId="6FC5B0EC" w14:textId="77777777" w:rsidR="00543A92" w:rsidRPr="005734B8" w:rsidRDefault="00543A92" w:rsidP="00543A92">
      <w:pPr>
        <w:pStyle w:val="ESbullet1"/>
        <w:numPr>
          <w:ilvl w:val="0"/>
          <w:numId w:val="29"/>
        </w:numPr>
        <w:spacing w:after="0"/>
        <w:rPr>
          <w:rFonts w:ascii="Calibri" w:hAnsi="Calibri" w:cs="Calibri"/>
        </w:rPr>
      </w:pPr>
      <w:r w:rsidRPr="005734B8">
        <w:rPr>
          <w:rFonts w:ascii="Calibri" w:hAnsi="Calibri" w:cs="Calibri"/>
        </w:rPr>
        <w:t>details of any major external reviews carried out on the Department</w:t>
      </w:r>
    </w:p>
    <w:p w14:paraId="0E2144E0" w14:textId="77777777" w:rsidR="00543A92" w:rsidRPr="005734B8" w:rsidRDefault="00543A92" w:rsidP="00543A92">
      <w:pPr>
        <w:pStyle w:val="ESbullet1"/>
        <w:numPr>
          <w:ilvl w:val="0"/>
          <w:numId w:val="29"/>
        </w:numPr>
        <w:spacing w:after="0"/>
        <w:rPr>
          <w:rFonts w:ascii="Calibri" w:hAnsi="Calibri" w:cs="Calibri"/>
        </w:rPr>
      </w:pPr>
      <w:r w:rsidRPr="005734B8">
        <w:rPr>
          <w:rFonts w:ascii="Calibri" w:hAnsi="Calibri" w:cs="Calibri"/>
        </w:rPr>
        <w:t>details of major research and development activities undertaken by the Department</w:t>
      </w:r>
    </w:p>
    <w:p w14:paraId="2D5BF1A9" w14:textId="77777777" w:rsidR="00543A92" w:rsidRPr="005734B8" w:rsidRDefault="00543A92" w:rsidP="00543A92">
      <w:pPr>
        <w:pStyle w:val="ESbullet1"/>
        <w:numPr>
          <w:ilvl w:val="0"/>
          <w:numId w:val="29"/>
        </w:numPr>
        <w:spacing w:after="0"/>
        <w:rPr>
          <w:rFonts w:ascii="Calibri" w:hAnsi="Calibri" w:cs="Calibri"/>
        </w:rPr>
      </w:pPr>
      <w:r w:rsidRPr="005734B8">
        <w:rPr>
          <w:rFonts w:ascii="Calibri" w:hAnsi="Calibri" w:cs="Calibri"/>
        </w:rPr>
        <w:t>details of overseas visits undertaken, including a summary of the objectives and outcomes of each visit</w:t>
      </w:r>
    </w:p>
    <w:p w14:paraId="3B52A148" w14:textId="77777777" w:rsidR="00543A92" w:rsidRPr="005734B8" w:rsidRDefault="00543A92" w:rsidP="00543A92">
      <w:pPr>
        <w:pStyle w:val="ESbullet1"/>
        <w:numPr>
          <w:ilvl w:val="0"/>
          <w:numId w:val="29"/>
        </w:numPr>
        <w:spacing w:after="0"/>
        <w:rPr>
          <w:rFonts w:ascii="Calibri" w:hAnsi="Calibri" w:cs="Calibri"/>
        </w:rPr>
      </w:pPr>
      <w:r w:rsidRPr="005734B8">
        <w:rPr>
          <w:rFonts w:ascii="Calibri" w:hAnsi="Calibri" w:cs="Calibri"/>
        </w:rPr>
        <w:t>details of major promotional, public relations and marketing activities undertaken by the Department to develop community awareness of the Department and its services</w:t>
      </w:r>
    </w:p>
    <w:p w14:paraId="6C022C88" w14:textId="732CAE51" w:rsidR="00543A92" w:rsidRPr="005734B8" w:rsidRDefault="00543A92" w:rsidP="00543A92">
      <w:pPr>
        <w:pStyle w:val="ESbullet1"/>
        <w:numPr>
          <w:ilvl w:val="0"/>
          <w:numId w:val="29"/>
        </w:numPr>
        <w:spacing w:after="0"/>
        <w:rPr>
          <w:rFonts w:ascii="Calibri" w:hAnsi="Calibri" w:cs="Calibri"/>
        </w:rPr>
      </w:pPr>
      <w:r w:rsidRPr="005734B8">
        <w:rPr>
          <w:rFonts w:ascii="Calibri" w:hAnsi="Calibri" w:cs="Calibri"/>
        </w:rPr>
        <w:t>a list of major committees sponsored by the Department, the purposes of each committee</w:t>
      </w:r>
      <w:r w:rsidR="00E85DBD" w:rsidRPr="005734B8">
        <w:rPr>
          <w:rFonts w:ascii="Calibri" w:hAnsi="Calibri" w:cs="Calibri"/>
        </w:rPr>
        <w:t>,</w:t>
      </w:r>
      <w:r w:rsidRPr="005734B8">
        <w:rPr>
          <w:rFonts w:ascii="Calibri" w:hAnsi="Calibri" w:cs="Calibri"/>
        </w:rPr>
        <w:t xml:space="preserve"> and the extent to which the purposes have been achieved</w:t>
      </w:r>
    </w:p>
    <w:p w14:paraId="2A735465" w14:textId="1583A6D6" w:rsidR="00543A92" w:rsidRPr="005734B8" w:rsidRDefault="00543A92" w:rsidP="00543A92">
      <w:pPr>
        <w:pStyle w:val="ESbullet1"/>
        <w:numPr>
          <w:ilvl w:val="0"/>
          <w:numId w:val="29"/>
        </w:numPr>
        <w:spacing w:after="0"/>
        <w:rPr>
          <w:rFonts w:ascii="Calibri" w:hAnsi="Calibri" w:cs="Calibri"/>
        </w:rPr>
      </w:pPr>
      <w:r w:rsidRPr="005734B8">
        <w:rPr>
          <w:rFonts w:ascii="Calibri" w:hAnsi="Calibri" w:cs="Calibri"/>
        </w:rPr>
        <w:t>details of all consultancies and contractors</w:t>
      </w:r>
      <w:r w:rsidR="007523DE" w:rsidRPr="005734B8">
        <w:rPr>
          <w:rFonts w:ascii="Calibri" w:hAnsi="Calibri" w:cs="Calibri"/>
        </w:rPr>
        <w:t>,</w:t>
      </w:r>
      <w:r w:rsidRPr="005734B8">
        <w:rPr>
          <w:rFonts w:ascii="Calibri" w:hAnsi="Calibri" w:cs="Calibri"/>
        </w:rPr>
        <w:t xml:space="preserve"> including:</w:t>
      </w:r>
    </w:p>
    <w:p w14:paraId="25796B41" w14:textId="77777777" w:rsidR="00543A92" w:rsidRPr="005734B8" w:rsidRDefault="00543A92" w:rsidP="00543A92">
      <w:pPr>
        <w:pStyle w:val="ESbullet1"/>
        <w:numPr>
          <w:ilvl w:val="1"/>
          <w:numId w:val="2"/>
        </w:numPr>
        <w:spacing w:after="0"/>
        <w:rPr>
          <w:rFonts w:ascii="Calibri" w:hAnsi="Calibri" w:cs="Calibri"/>
        </w:rPr>
      </w:pPr>
      <w:r w:rsidRPr="005734B8">
        <w:rPr>
          <w:rFonts w:ascii="Calibri" w:hAnsi="Calibri" w:cs="Calibri"/>
        </w:rPr>
        <w:t>consultants/contractors engaged</w:t>
      </w:r>
    </w:p>
    <w:p w14:paraId="3E1457CF" w14:textId="77777777" w:rsidR="00543A92" w:rsidRPr="005734B8" w:rsidRDefault="00543A92" w:rsidP="00543A92">
      <w:pPr>
        <w:pStyle w:val="ESbullet1"/>
        <w:numPr>
          <w:ilvl w:val="1"/>
          <w:numId w:val="2"/>
        </w:numPr>
        <w:spacing w:after="0"/>
        <w:rPr>
          <w:rFonts w:ascii="Calibri" w:hAnsi="Calibri" w:cs="Calibri"/>
        </w:rPr>
      </w:pPr>
      <w:r w:rsidRPr="005734B8">
        <w:rPr>
          <w:rFonts w:ascii="Calibri" w:hAnsi="Calibri" w:cs="Calibri"/>
        </w:rPr>
        <w:t>services provided</w:t>
      </w:r>
    </w:p>
    <w:p w14:paraId="2D7966B5" w14:textId="77777777" w:rsidR="00543A92" w:rsidRPr="005734B8" w:rsidRDefault="00543A92" w:rsidP="00543A92">
      <w:pPr>
        <w:pStyle w:val="ESbullet1"/>
        <w:numPr>
          <w:ilvl w:val="1"/>
          <w:numId w:val="2"/>
        </w:numPr>
        <w:spacing w:after="0"/>
        <w:rPr>
          <w:rFonts w:ascii="Calibri" w:hAnsi="Calibri" w:cs="Calibri"/>
        </w:rPr>
      </w:pPr>
      <w:r w:rsidRPr="005734B8">
        <w:rPr>
          <w:rFonts w:ascii="Calibri" w:hAnsi="Calibri" w:cs="Calibri"/>
        </w:rPr>
        <w:t>expenditure committed to for each engagement.</w:t>
      </w:r>
    </w:p>
    <w:p w14:paraId="0F169BF0" w14:textId="77777777" w:rsidR="004E24D9" w:rsidRPr="005734B8" w:rsidRDefault="004E24D9">
      <w:pPr>
        <w:rPr>
          <w:rFonts w:ascii="Calibri" w:eastAsiaTheme="majorEastAsia" w:hAnsi="Calibri" w:cs="Calibri"/>
          <w:bCs/>
          <w:color w:val="8A2A2F" w:themeColor="text1"/>
          <w:spacing w:val="5"/>
          <w:kern w:val="28"/>
          <w:sz w:val="28"/>
          <w:szCs w:val="20"/>
          <w:highlight w:val="yellow"/>
          <w:lang w:val="en-US"/>
        </w:rPr>
      </w:pPr>
      <w:r w:rsidRPr="005734B8">
        <w:rPr>
          <w:rFonts w:ascii="Calibri" w:hAnsi="Calibri" w:cs="Calibri"/>
          <w:highlight w:val="yellow"/>
        </w:rPr>
        <w:br w:type="page"/>
      </w:r>
    </w:p>
    <w:p w14:paraId="67017A15" w14:textId="0094EA59" w:rsidR="00C211C3" w:rsidRPr="005734B8" w:rsidRDefault="00C211C3" w:rsidP="00C211C3">
      <w:pPr>
        <w:pStyle w:val="ESHeading2"/>
        <w:rPr>
          <w:rFonts w:ascii="Calibri" w:hAnsi="Calibri" w:cs="Calibri"/>
        </w:rPr>
      </w:pPr>
      <w:bookmarkStart w:id="1055" w:name="_Toc11158309"/>
      <w:bookmarkStart w:id="1056" w:name="_Toc11336316"/>
      <w:bookmarkStart w:id="1057" w:name="_Toc13656703"/>
      <w:bookmarkStart w:id="1058" w:name="_Toc14965543"/>
      <w:bookmarkStart w:id="1059" w:name="_Toc15985289"/>
      <w:bookmarkStart w:id="1060" w:name="_Toc19272114"/>
      <w:bookmarkStart w:id="1061" w:name="_Toc19272480"/>
      <w:bookmarkStart w:id="1062" w:name="_Toc19273815"/>
      <w:bookmarkStart w:id="1063" w:name="_Toc48402810"/>
      <w:bookmarkStart w:id="1064" w:name="_Toc48403047"/>
      <w:bookmarkStart w:id="1065" w:name="_Toc51332790"/>
      <w:bookmarkStart w:id="1066" w:name="_Toc81315355"/>
      <w:r w:rsidRPr="005734B8">
        <w:rPr>
          <w:rFonts w:ascii="Calibri" w:hAnsi="Calibri" w:cs="Calibri"/>
        </w:rPr>
        <w:lastRenderedPageBreak/>
        <w:t>Attestation for financial management compliance with Ministerial Standing Direction 5.1.4</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6BEF0D14" w14:textId="2FC6EDF1" w:rsidR="00882C45" w:rsidRPr="005734B8" w:rsidRDefault="00882C45" w:rsidP="00882C45">
      <w:pPr>
        <w:rPr>
          <w:rFonts w:ascii="Calibri" w:hAnsi="Calibri" w:cs="Calibri"/>
        </w:rPr>
      </w:pPr>
    </w:p>
    <w:p w14:paraId="64357319" w14:textId="77777777" w:rsidR="00AD1DC9" w:rsidRPr="005734B8" w:rsidRDefault="00AD1DC9" w:rsidP="00AD1DC9">
      <w:pPr>
        <w:spacing w:after="160" w:line="240" w:lineRule="exact"/>
        <w:jc w:val="both"/>
        <w:rPr>
          <w:rFonts w:ascii="Calibri" w:eastAsia="Calibri" w:hAnsi="Calibri" w:cs="Calibri"/>
          <w:szCs w:val="22"/>
          <w:lang w:val="en-AU"/>
        </w:rPr>
      </w:pPr>
      <w:r w:rsidRPr="005734B8">
        <w:rPr>
          <w:rFonts w:ascii="Calibri" w:eastAsia="Calibri" w:hAnsi="Calibri" w:cs="Calibri"/>
          <w:szCs w:val="22"/>
          <w:lang w:val="en-AU"/>
        </w:rPr>
        <w:t xml:space="preserve">I, Jenny Atta, certify that the Department of Education and Training </w:t>
      </w:r>
      <w:r w:rsidRPr="005734B8">
        <w:rPr>
          <w:rFonts w:ascii="Calibri" w:hAnsi="Calibri" w:cs="Calibri"/>
        </w:rPr>
        <w:t xml:space="preserve">has the following Material Compliance Deficiencies with respect to the applicable Standing Directions under the </w:t>
      </w:r>
      <w:r w:rsidRPr="005734B8">
        <w:rPr>
          <w:rFonts w:ascii="Calibri" w:hAnsi="Calibri" w:cs="Calibri"/>
          <w:i/>
        </w:rPr>
        <w:t>Financial Management Act 1994</w:t>
      </w:r>
      <w:r w:rsidRPr="005734B8">
        <w:rPr>
          <w:rFonts w:ascii="Calibri" w:hAnsi="Calibri" w:cs="Calibri"/>
        </w:rPr>
        <w:t xml:space="preserve"> and Instructions:</w:t>
      </w:r>
    </w:p>
    <w:p w14:paraId="718D713A" w14:textId="4AAB3612" w:rsidR="00AD1DC9" w:rsidRPr="005734B8" w:rsidRDefault="00AD1DC9" w:rsidP="00AD1DC9">
      <w:pPr>
        <w:spacing w:after="160" w:line="240" w:lineRule="exact"/>
        <w:jc w:val="both"/>
        <w:rPr>
          <w:rFonts w:ascii="Calibri" w:eastAsia="Calibri" w:hAnsi="Calibri" w:cs="Calibri"/>
          <w:b/>
          <w:i/>
          <w:szCs w:val="22"/>
          <w:lang w:val="en-AU"/>
        </w:rPr>
      </w:pPr>
      <w:r w:rsidRPr="005734B8">
        <w:rPr>
          <w:rFonts w:ascii="Calibri" w:eastAsia="Calibri" w:hAnsi="Calibri" w:cs="Calibri"/>
          <w:b/>
          <w:szCs w:val="22"/>
          <w:lang w:val="en-AU"/>
        </w:rPr>
        <w:t xml:space="preserve">Direction 4.2.3 </w:t>
      </w:r>
      <w:r w:rsidRPr="005734B8">
        <w:rPr>
          <w:rFonts w:ascii="Calibri" w:eastAsia="Calibri" w:hAnsi="Calibri" w:cs="Calibri"/>
          <w:b/>
          <w:i/>
          <w:szCs w:val="22"/>
          <w:lang w:val="en-AU"/>
        </w:rPr>
        <w:t>Asset management accountability</w:t>
      </w:r>
    </w:p>
    <w:p w14:paraId="5A3DB488" w14:textId="77777777" w:rsidR="00AD1DC9" w:rsidRPr="005734B8" w:rsidRDefault="00AD1DC9" w:rsidP="00AD1DC9">
      <w:pPr>
        <w:spacing w:after="160" w:line="240" w:lineRule="exact"/>
        <w:jc w:val="both"/>
        <w:rPr>
          <w:rFonts w:ascii="Calibri" w:eastAsia="Calibri" w:hAnsi="Calibri" w:cs="Calibri"/>
          <w:szCs w:val="22"/>
          <w:lang w:val="en-AU"/>
        </w:rPr>
      </w:pPr>
      <w:bookmarkStart w:id="1067" w:name="_Hlk48136905"/>
      <w:r w:rsidRPr="005734B8">
        <w:rPr>
          <w:rFonts w:ascii="Calibri" w:eastAsia="Calibri" w:hAnsi="Calibri" w:cs="Calibri"/>
          <w:szCs w:val="22"/>
          <w:lang w:val="en-AU"/>
        </w:rPr>
        <w:t xml:space="preserve">The Department has established solid foundations for its framework to manage the school asset portfolio, including policies, and corporate systems and processes. However, the material compliance deficiency primarily relates to the deployment of the framework for individual schools. </w:t>
      </w:r>
    </w:p>
    <w:p w14:paraId="1C876158" w14:textId="6D67C9CD" w:rsidR="00AD1DC9" w:rsidRPr="000F159E" w:rsidRDefault="00AD1DC9" w:rsidP="000F159E">
      <w:pPr>
        <w:spacing w:after="160" w:line="240" w:lineRule="exact"/>
        <w:jc w:val="both"/>
        <w:rPr>
          <w:rFonts w:ascii="Calibri" w:eastAsia="Calibri" w:hAnsi="Calibri" w:cs="Calibri"/>
          <w:szCs w:val="22"/>
          <w:lang w:val="en-AU"/>
        </w:rPr>
      </w:pPr>
      <w:r w:rsidRPr="005734B8">
        <w:rPr>
          <w:rFonts w:ascii="Calibri" w:eastAsia="Calibri" w:hAnsi="Calibri" w:cs="Calibri"/>
          <w:szCs w:val="22"/>
          <w:lang w:val="en-AU"/>
        </w:rPr>
        <w:t>A comprehensive program of activity continues to be progressively rolled out to 300 schools per year, over five years. On this basis, the deficiency will be addressed in full in early 2023, when the Department’s asset management framework has been deployed to all Victorian government schools.</w:t>
      </w:r>
      <w:bookmarkStart w:id="1068" w:name="_Hlk80715630"/>
      <w:bookmarkEnd w:id="1067"/>
    </w:p>
    <w:p w14:paraId="521A5874" w14:textId="39F885D0" w:rsidR="00EE40D7" w:rsidRPr="000F159E" w:rsidRDefault="00DB4CA5" w:rsidP="00AD1DC9">
      <w:pPr>
        <w:spacing w:after="160" w:line="259" w:lineRule="auto"/>
        <w:jc w:val="both"/>
        <w:rPr>
          <w:rFonts w:ascii="Calibri" w:hAnsi="Calibri" w:cs="Calibri"/>
          <w:noProof/>
          <w:highlight w:val="yellow"/>
        </w:rPr>
      </w:pPr>
      <w:r w:rsidRPr="00DB4CA5">
        <w:rPr>
          <w:rFonts w:ascii="Calibri" w:hAnsi="Calibri" w:cs="Calibri"/>
          <w:noProof/>
        </w:rPr>
        <w:drawing>
          <wp:inline distT="0" distB="0" distL="0" distR="0" wp14:anchorId="5E237DD7" wp14:editId="129F880F">
            <wp:extent cx="829310" cy="893445"/>
            <wp:effectExtent l="0" t="0" r="889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9310" cy="893445"/>
                    </a:xfrm>
                    <a:prstGeom prst="rect">
                      <a:avLst/>
                    </a:prstGeom>
                    <a:noFill/>
                    <a:ln>
                      <a:noFill/>
                    </a:ln>
                  </pic:spPr>
                </pic:pic>
              </a:graphicData>
            </a:graphic>
          </wp:inline>
        </w:drawing>
      </w:r>
    </w:p>
    <w:p w14:paraId="53A379A7" w14:textId="77777777" w:rsidR="00AD1DC9" w:rsidRPr="005734B8" w:rsidRDefault="00AD1DC9" w:rsidP="00AD1DC9">
      <w:pPr>
        <w:spacing w:after="160" w:line="259" w:lineRule="auto"/>
        <w:rPr>
          <w:rFonts w:ascii="Calibri" w:eastAsia="Calibri" w:hAnsi="Calibri" w:cs="Calibri"/>
          <w:szCs w:val="22"/>
          <w:lang w:val="en-AU"/>
        </w:rPr>
      </w:pPr>
      <w:r w:rsidRPr="005734B8">
        <w:rPr>
          <w:rFonts w:ascii="Calibri" w:eastAsia="Calibri" w:hAnsi="Calibri" w:cs="Calibri"/>
          <w:szCs w:val="22"/>
          <w:lang w:val="en-AU"/>
        </w:rPr>
        <w:t>Jenny Atta</w:t>
      </w:r>
    </w:p>
    <w:p w14:paraId="417EDCDA" w14:textId="77777777" w:rsidR="00AD1DC9" w:rsidRPr="005734B8" w:rsidRDefault="00AD1DC9" w:rsidP="00AD1DC9">
      <w:pPr>
        <w:spacing w:after="160" w:line="259" w:lineRule="auto"/>
        <w:rPr>
          <w:rFonts w:ascii="Calibri" w:eastAsia="Calibri" w:hAnsi="Calibri" w:cs="Calibri"/>
          <w:b/>
          <w:szCs w:val="22"/>
          <w:lang w:val="en-AU"/>
        </w:rPr>
      </w:pPr>
      <w:r w:rsidRPr="005734B8">
        <w:rPr>
          <w:rFonts w:ascii="Calibri" w:eastAsia="Calibri" w:hAnsi="Calibri" w:cs="Calibri"/>
          <w:b/>
          <w:szCs w:val="22"/>
          <w:lang w:val="en-AU"/>
        </w:rPr>
        <w:t>Secretary</w:t>
      </w:r>
    </w:p>
    <w:p w14:paraId="3AEB613A" w14:textId="77777777" w:rsidR="00AD1DC9" w:rsidRPr="005734B8" w:rsidRDefault="00AD1DC9" w:rsidP="00AD1DC9">
      <w:pPr>
        <w:spacing w:after="160" w:line="259" w:lineRule="auto"/>
        <w:rPr>
          <w:rFonts w:ascii="Calibri" w:eastAsia="Calibri" w:hAnsi="Calibri" w:cs="Calibri"/>
          <w:b/>
          <w:szCs w:val="22"/>
          <w:lang w:val="en-AU"/>
        </w:rPr>
      </w:pPr>
      <w:r w:rsidRPr="005734B8">
        <w:rPr>
          <w:rFonts w:ascii="Calibri" w:eastAsia="Calibri" w:hAnsi="Calibri" w:cs="Calibri"/>
          <w:b/>
          <w:szCs w:val="22"/>
          <w:lang w:val="en-AU"/>
        </w:rPr>
        <w:t>Department of Education and Training</w:t>
      </w:r>
    </w:p>
    <w:p w14:paraId="72FDB33A" w14:textId="77777777" w:rsidR="00AD1DC9" w:rsidRPr="005734B8" w:rsidRDefault="00AD1DC9" w:rsidP="00AD1DC9">
      <w:pPr>
        <w:spacing w:after="160" w:line="259" w:lineRule="auto"/>
        <w:rPr>
          <w:rFonts w:ascii="Calibri" w:eastAsia="Calibri" w:hAnsi="Calibri" w:cs="Calibri"/>
          <w:szCs w:val="22"/>
          <w:highlight w:val="yellow"/>
          <w:lang w:val="en-AU"/>
        </w:rPr>
      </w:pPr>
    </w:p>
    <w:p w14:paraId="09D1AB04" w14:textId="77777777" w:rsidR="00AD1DC9" w:rsidRPr="005734B8" w:rsidRDefault="00AD1DC9" w:rsidP="00B1731D">
      <w:pPr>
        <w:rPr>
          <w:rFonts w:ascii="Calibri" w:hAnsi="Calibri" w:cs="Calibri"/>
        </w:rPr>
      </w:pPr>
      <w:r w:rsidRPr="005734B8">
        <w:rPr>
          <w:rFonts w:ascii="Calibri" w:hAnsi="Calibri" w:cs="Calibri"/>
        </w:rPr>
        <w:t xml:space="preserve">Melbourne </w:t>
      </w:r>
    </w:p>
    <w:p w14:paraId="4B9A5E24" w14:textId="6C2DAC8B" w:rsidR="00AD1DC9" w:rsidRPr="005734B8" w:rsidRDefault="00E522F8" w:rsidP="00AD1DC9">
      <w:pPr>
        <w:spacing w:after="160" w:line="259" w:lineRule="auto"/>
        <w:rPr>
          <w:rFonts w:ascii="Calibri" w:eastAsia="Calibri" w:hAnsi="Calibri" w:cs="Calibri"/>
          <w:szCs w:val="22"/>
          <w:lang w:val="en-AU"/>
        </w:rPr>
      </w:pPr>
      <w:r>
        <w:rPr>
          <w:rFonts w:ascii="Calibri" w:eastAsia="Calibri" w:hAnsi="Calibri" w:cs="Calibri"/>
          <w:szCs w:val="22"/>
          <w:lang w:val="en-AU"/>
        </w:rPr>
        <w:t>31</w:t>
      </w:r>
      <w:r w:rsidR="00B1731D" w:rsidRPr="00473418">
        <w:rPr>
          <w:rFonts w:ascii="Calibri" w:eastAsia="Calibri" w:hAnsi="Calibri" w:cs="Calibri"/>
          <w:szCs w:val="22"/>
          <w:lang w:val="en-AU"/>
        </w:rPr>
        <w:t xml:space="preserve"> </w:t>
      </w:r>
      <w:r w:rsidR="004C01C8" w:rsidRPr="00473418">
        <w:rPr>
          <w:rFonts w:ascii="Calibri" w:eastAsia="Calibri" w:hAnsi="Calibri" w:cs="Calibri"/>
          <w:szCs w:val="22"/>
          <w:lang w:val="en-AU"/>
        </w:rPr>
        <w:t>August</w:t>
      </w:r>
      <w:r w:rsidR="00B1731D" w:rsidRPr="00473418">
        <w:rPr>
          <w:rFonts w:ascii="Calibri" w:eastAsia="Calibri" w:hAnsi="Calibri" w:cs="Calibri"/>
          <w:szCs w:val="22"/>
          <w:lang w:val="en-AU"/>
        </w:rPr>
        <w:t xml:space="preserve"> </w:t>
      </w:r>
      <w:r w:rsidR="001377A3" w:rsidRPr="00473418">
        <w:rPr>
          <w:rFonts w:ascii="Calibri" w:eastAsia="Calibri" w:hAnsi="Calibri" w:cs="Calibri"/>
          <w:szCs w:val="22"/>
          <w:lang w:val="en-AU"/>
        </w:rPr>
        <w:t>202</w:t>
      </w:r>
      <w:r w:rsidR="005A26FA" w:rsidRPr="00473418">
        <w:rPr>
          <w:rFonts w:ascii="Calibri" w:eastAsia="Calibri" w:hAnsi="Calibri" w:cs="Calibri"/>
          <w:szCs w:val="22"/>
          <w:lang w:val="en-AU"/>
        </w:rPr>
        <w:t>1</w:t>
      </w:r>
    </w:p>
    <w:bookmarkEnd w:id="1068"/>
    <w:p w14:paraId="3133374E" w14:textId="77777777" w:rsidR="00882C45" w:rsidRPr="005734B8" w:rsidRDefault="00882C45" w:rsidP="00882C45">
      <w:pPr>
        <w:rPr>
          <w:rFonts w:ascii="Calibri" w:hAnsi="Calibri" w:cs="Calibri"/>
          <w:highlight w:val="yellow"/>
        </w:rPr>
      </w:pPr>
    </w:p>
    <w:p w14:paraId="1CC981B5" w14:textId="77777777" w:rsidR="00882C45" w:rsidRPr="005734B8" w:rsidRDefault="00882C45" w:rsidP="00882C45">
      <w:pPr>
        <w:rPr>
          <w:rFonts w:ascii="Calibri" w:hAnsi="Calibri" w:cs="Calibri"/>
          <w:highlight w:val="yellow"/>
        </w:rPr>
      </w:pPr>
    </w:p>
    <w:p w14:paraId="3EB56147" w14:textId="2082D4B0" w:rsidR="00C211C3" w:rsidRPr="005734B8" w:rsidRDefault="00C211C3" w:rsidP="00D80EB1">
      <w:pPr>
        <w:rPr>
          <w:rFonts w:ascii="Calibri" w:hAnsi="Calibri" w:cs="Calibri"/>
          <w:highlight w:val="yellow"/>
        </w:rPr>
      </w:pPr>
    </w:p>
    <w:p w14:paraId="5C20D610" w14:textId="31B413A7" w:rsidR="004E24D9" w:rsidRPr="005734B8" w:rsidRDefault="004E24D9">
      <w:pPr>
        <w:rPr>
          <w:rFonts w:ascii="Calibri" w:eastAsiaTheme="majorEastAsia" w:hAnsi="Calibri" w:cs="Calibri"/>
          <w:bCs/>
          <w:color w:val="8A2A2F" w:themeColor="text1"/>
          <w:spacing w:val="5"/>
          <w:kern w:val="28"/>
          <w:sz w:val="28"/>
          <w:szCs w:val="20"/>
          <w:highlight w:val="yellow"/>
          <w:lang w:val="en-US"/>
        </w:rPr>
      </w:pPr>
      <w:bookmarkStart w:id="1069" w:name="_Toc10208730"/>
      <w:r w:rsidRPr="005734B8">
        <w:rPr>
          <w:rFonts w:ascii="Calibri" w:hAnsi="Calibri" w:cs="Calibri"/>
          <w:highlight w:val="yellow"/>
        </w:rPr>
        <w:br w:type="page"/>
      </w:r>
    </w:p>
    <w:p w14:paraId="45F24602" w14:textId="77777777" w:rsidR="002D2420" w:rsidRPr="005734B8" w:rsidRDefault="002D2420" w:rsidP="002D2420">
      <w:pPr>
        <w:pStyle w:val="ESHeading2"/>
        <w:rPr>
          <w:rFonts w:ascii="Calibri" w:hAnsi="Calibri" w:cs="Calibri"/>
        </w:rPr>
      </w:pPr>
      <w:bookmarkStart w:id="1070" w:name="_Toc11158310"/>
      <w:bookmarkStart w:id="1071" w:name="_Toc11336317"/>
      <w:bookmarkStart w:id="1072" w:name="_Toc13656704"/>
      <w:bookmarkStart w:id="1073" w:name="_Toc14965544"/>
      <w:bookmarkStart w:id="1074" w:name="_Toc15985290"/>
      <w:bookmarkStart w:id="1075" w:name="_Toc19272115"/>
      <w:bookmarkStart w:id="1076" w:name="_Toc19272481"/>
      <w:bookmarkStart w:id="1077" w:name="_Toc19273816"/>
      <w:bookmarkStart w:id="1078" w:name="_Toc48402811"/>
      <w:bookmarkStart w:id="1079" w:name="_Toc48403048"/>
      <w:bookmarkStart w:id="1080" w:name="_Toc51332791"/>
      <w:bookmarkStart w:id="1081" w:name="_Toc71208230"/>
      <w:bookmarkStart w:id="1082" w:name="_Toc81315356"/>
      <w:bookmarkEnd w:id="1069"/>
      <w:r w:rsidRPr="005734B8">
        <w:rPr>
          <w:rFonts w:ascii="Calibri" w:hAnsi="Calibri" w:cs="Calibri"/>
        </w:rPr>
        <w:lastRenderedPageBreak/>
        <w:t>Details of publications about the Department</w:t>
      </w:r>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14:paraId="7A748A39" w14:textId="77777777" w:rsidR="002D2420" w:rsidRPr="005734B8" w:rsidRDefault="002D2420" w:rsidP="002D2420">
      <w:pPr>
        <w:pStyle w:val="H5"/>
        <w:rPr>
          <w:rFonts w:ascii="Calibri" w:hAnsi="Calibri" w:cs="Calibri"/>
        </w:rPr>
      </w:pPr>
      <w:r w:rsidRPr="005734B8">
        <w:rPr>
          <w:rFonts w:ascii="Calibri" w:hAnsi="Calibri" w:cs="Calibri"/>
        </w:rPr>
        <w:t>Publications published by the Department about itself during 2020–21</w:t>
      </w:r>
    </w:p>
    <w:tbl>
      <w:tblPr>
        <w:tblStyle w:val="TableGrid"/>
        <w:tblW w:w="490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66"/>
        <w:gridCol w:w="1237"/>
        <w:gridCol w:w="5268"/>
      </w:tblGrid>
      <w:tr w:rsidR="002D2420" w:rsidRPr="005734B8" w14:paraId="6133D727" w14:textId="77777777" w:rsidTr="000E6F40">
        <w:trPr>
          <w:cantSplit/>
          <w:trHeight w:val="130"/>
          <w:tblHeader/>
        </w:trPr>
        <w:tc>
          <w:tcPr>
            <w:tcW w:w="1266" w:type="dxa"/>
            <w:tcBorders>
              <w:bottom w:val="single" w:sz="4" w:space="0" w:color="FFFFFF" w:themeColor="background1"/>
            </w:tcBorders>
            <w:shd w:val="clear" w:color="auto" w:fill="AF272F"/>
          </w:tcPr>
          <w:p w14:paraId="63E7A231" w14:textId="77777777" w:rsidR="002D2420" w:rsidRPr="005734B8" w:rsidRDefault="002D2420" w:rsidP="000E6F40">
            <w:pPr>
              <w:pStyle w:val="ESTableheadingwhite"/>
              <w:rPr>
                <w:rFonts w:ascii="Calibri" w:hAnsi="Calibri" w:cs="Calibri"/>
              </w:rPr>
            </w:pPr>
            <w:r w:rsidRPr="005734B8">
              <w:rPr>
                <w:rFonts w:ascii="Calibri" w:hAnsi="Calibri" w:cs="Calibri"/>
              </w:rPr>
              <w:t>Publication</w:t>
            </w:r>
          </w:p>
        </w:tc>
        <w:tc>
          <w:tcPr>
            <w:tcW w:w="1237" w:type="dxa"/>
            <w:tcBorders>
              <w:bottom w:val="single" w:sz="4" w:space="0" w:color="FFFFFF" w:themeColor="background1"/>
            </w:tcBorders>
            <w:shd w:val="clear" w:color="auto" w:fill="AF272F" w:themeFill="accent4"/>
          </w:tcPr>
          <w:p w14:paraId="48462ACF" w14:textId="77777777" w:rsidR="002D2420" w:rsidRPr="005734B8" w:rsidRDefault="002D2420" w:rsidP="000E6F40">
            <w:pPr>
              <w:pStyle w:val="ESTableheadingwhite"/>
              <w:rPr>
                <w:rFonts w:ascii="Calibri" w:hAnsi="Calibri" w:cs="Calibri"/>
              </w:rPr>
            </w:pPr>
            <w:r w:rsidRPr="005734B8">
              <w:rPr>
                <w:rFonts w:ascii="Calibri" w:hAnsi="Calibri" w:cs="Calibri"/>
              </w:rPr>
              <w:t>Date produced</w:t>
            </w:r>
          </w:p>
        </w:tc>
        <w:tc>
          <w:tcPr>
            <w:tcW w:w="5268" w:type="dxa"/>
            <w:tcBorders>
              <w:bottom w:val="single" w:sz="4" w:space="0" w:color="FFFFFF" w:themeColor="background1"/>
            </w:tcBorders>
            <w:shd w:val="clear" w:color="auto" w:fill="AF272F" w:themeFill="accent4"/>
          </w:tcPr>
          <w:p w14:paraId="46E52E73" w14:textId="77777777" w:rsidR="002D2420" w:rsidRPr="005734B8" w:rsidRDefault="002D2420" w:rsidP="000E6F40">
            <w:pPr>
              <w:pStyle w:val="ESTableheadingwhite"/>
              <w:rPr>
                <w:rFonts w:ascii="Calibri" w:hAnsi="Calibri" w:cs="Calibri"/>
              </w:rPr>
            </w:pPr>
            <w:r w:rsidRPr="005734B8">
              <w:rPr>
                <w:rFonts w:ascii="Calibri" w:hAnsi="Calibri" w:cs="Calibri"/>
              </w:rPr>
              <w:t>How to obtain a copy</w:t>
            </w:r>
          </w:p>
        </w:tc>
      </w:tr>
      <w:tr w:rsidR="002D2420" w:rsidRPr="005734B8" w14:paraId="620BAB83" w14:textId="77777777" w:rsidTr="000E6F40">
        <w:trPr>
          <w:cantSplit/>
          <w:trHeight w:val="804"/>
        </w:trPr>
        <w:tc>
          <w:tcPr>
            <w:tcW w:w="1266" w:type="dxa"/>
            <w:tcBorders>
              <w:top w:val="single" w:sz="4" w:space="0" w:color="auto"/>
              <w:bottom w:val="single" w:sz="4" w:space="0" w:color="53565A" w:themeColor="accent5"/>
            </w:tcBorders>
            <w:shd w:val="clear" w:color="auto" w:fill="auto"/>
          </w:tcPr>
          <w:p w14:paraId="1CD1EA28" w14:textId="77777777" w:rsidR="002D2420" w:rsidRPr="005734B8" w:rsidRDefault="002D2420" w:rsidP="000E6F40">
            <w:pPr>
              <w:pStyle w:val="ESTablebody"/>
              <w:rPr>
                <w:rFonts w:ascii="Calibri" w:hAnsi="Calibri" w:cs="Calibri"/>
                <w:sz w:val="16"/>
                <w:szCs w:val="16"/>
              </w:rPr>
            </w:pPr>
            <w:r w:rsidRPr="005734B8">
              <w:rPr>
                <w:rFonts w:ascii="Calibri" w:hAnsi="Calibri" w:cs="Calibri"/>
                <w:sz w:val="16"/>
                <w:szCs w:val="16"/>
              </w:rPr>
              <w:t>The Department’s Annual Report 2019–20</w:t>
            </w:r>
          </w:p>
        </w:tc>
        <w:tc>
          <w:tcPr>
            <w:tcW w:w="1237" w:type="dxa"/>
            <w:tcBorders>
              <w:top w:val="single" w:sz="4" w:space="0" w:color="auto"/>
              <w:bottom w:val="single" w:sz="4" w:space="0" w:color="53565A" w:themeColor="accent5"/>
            </w:tcBorders>
          </w:tcPr>
          <w:p w14:paraId="3C10C517" w14:textId="77777777" w:rsidR="002D2420" w:rsidRPr="005734B8" w:rsidRDefault="002D2420" w:rsidP="000E6F40">
            <w:pPr>
              <w:pStyle w:val="ESTablebody"/>
              <w:rPr>
                <w:rFonts w:ascii="Calibri" w:hAnsi="Calibri" w:cs="Calibri"/>
                <w:sz w:val="16"/>
                <w:szCs w:val="16"/>
                <w:lang w:val="en-AU"/>
              </w:rPr>
            </w:pPr>
            <w:r w:rsidRPr="005734B8">
              <w:rPr>
                <w:rFonts w:ascii="Calibri" w:hAnsi="Calibri" w:cs="Calibri"/>
                <w:sz w:val="16"/>
                <w:szCs w:val="16"/>
                <w:lang w:val="en-AU"/>
              </w:rPr>
              <w:t>October 2020</w:t>
            </w:r>
          </w:p>
        </w:tc>
        <w:tc>
          <w:tcPr>
            <w:tcW w:w="5268" w:type="dxa"/>
            <w:tcBorders>
              <w:top w:val="single" w:sz="4" w:space="0" w:color="auto"/>
              <w:bottom w:val="single" w:sz="4" w:space="0" w:color="53565A" w:themeColor="accent5"/>
            </w:tcBorders>
          </w:tcPr>
          <w:p w14:paraId="6A65E4E9" w14:textId="77777777" w:rsidR="002D2420" w:rsidRPr="005734B8" w:rsidRDefault="006C463E" w:rsidP="000E6F40">
            <w:pPr>
              <w:pStyle w:val="ESTablebody"/>
              <w:rPr>
                <w:rFonts w:ascii="Calibri" w:hAnsi="Calibri" w:cs="Calibri"/>
                <w:sz w:val="16"/>
                <w:szCs w:val="16"/>
                <w:lang w:val="en-AU"/>
              </w:rPr>
            </w:pPr>
            <w:hyperlink r:id="rId56" w:history="1">
              <w:r w:rsidR="002D2420" w:rsidRPr="005734B8">
                <w:rPr>
                  <w:rStyle w:val="Hyperlink"/>
                  <w:rFonts w:ascii="Calibri" w:hAnsi="Calibri" w:cs="Calibri"/>
                  <w:color w:val="auto"/>
                  <w:sz w:val="16"/>
                  <w:szCs w:val="16"/>
                </w:rPr>
                <w:t>www.education.vic.gov.au/about/department/Pages/annualreports.aspx</w:t>
              </w:r>
            </w:hyperlink>
            <w:r w:rsidR="002D2420" w:rsidRPr="005734B8">
              <w:rPr>
                <w:rFonts w:ascii="Calibri" w:hAnsi="Calibri" w:cs="Calibri"/>
                <w:sz w:val="16"/>
                <w:szCs w:val="16"/>
              </w:rPr>
              <w:t xml:space="preserve"> </w:t>
            </w:r>
          </w:p>
        </w:tc>
      </w:tr>
    </w:tbl>
    <w:p w14:paraId="74BFBDDE" w14:textId="77777777" w:rsidR="002D2420" w:rsidRPr="005734B8" w:rsidRDefault="002D2420" w:rsidP="002D2420">
      <w:pPr>
        <w:pStyle w:val="ESHeading2"/>
        <w:rPr>
          <w:rFonts w:ascii="Calibri" w:hAnsi="Calibri" w:cs="Calibri"/>
        </w:rPr>
      </w:pPr>
      <w:bookmarkStart w:id="1083" w:name="_Toc10208731"/>
      <w:bookmarkStart w:id="1084" w:name="_Toc11158311"/>
      <w:bookmarkStart w:id="1085" w:name="_Toc11336318"/>
      <w:bookmarkStart w:id="1086" w:name="_Toc13656705"/>
      <w:bookmarkStart w:id="1087" w:name="_Toc14965545"/>
      <w:bookmarkStart w:id="1088" w:name="_Toc15985291"/>
      <w:bookmarkStart w:id="1089" w:name="_Toc19272116"/>
      <w:bookmarkStart w:id="1090" w:name="_Toc19272482"/>
      <w:bookmarkStart w:id="1091" w:name="_Toc19273817"/>
      <w:bookmarkStart w:id="1092" w:name="_Toc48402812"/>
      <w:bookmarkStart w:id="1093" w:name="_Toc48403049"/>
      <w:bookmarkStart w:id="1094" w:name="_Toc51332792"/>
      <w:bookmarkStart w:id="1095" w:name="_Toc71208231"/>
      <w:bookmarkStart w:id="1096" w:name="_Toc81315357"/>
      <w:r w:rsidRPr="005734B8">
        <w:rPr>
          <w:rFonts w:ascii="Calibri" w:hAnsi="Calibri" w:cs="Calibri"/>
        </w:rPr>
        <w:t>About this report</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7AE3E275" w14:textId="5927BB5D" w:rsidR="002D2420" w:rsidRPr="005734B8" w:rsidRDefault="002D2420" w:rsidP="002D2420">
      <w:pPr>
        <w:rPr>
          <w:rFonts w:ascii="Calibri" w:hAnsi="Calibri" w:cs="Calibri"/>
        </w:rPr>
      </w:pPr>
      <w:r w:rsidRPr="005734B8">
        <w:rPr>
          <w:rFonts w:ascii="Calibri" w:hAnsi="Calibri" w:cs="Calibri"/>
        </w:rPr>
        <w:t xml:space="preserve">In accordance with Ministerial Reporting Direction FRD10A, the Department is required to include a disclosure index in its </w:t>
      </w:r>
      <w:r w:rsidR="007523DE" w:rsidRPr="005734B8">
        <w:rPr>
          <w:rFonts w:ascii="Calibri" w:hAnsi="Calibri" w:cs="Calibri"/>
        </w:rPr>
        <w:t>A</w:t>
      </w:r>
      <w:r w:rsidRPr="005734B8">
        <w:rPr>
          <w:rFonts w:ascii="Calibri" w:hAnsi="Calibri" w:cs="Calibri"/>
        </w:rPr>
        <w:t xml:space="preserve">nnual </w:t>
      </w:r>
      <w:r w:rsidR="007523DE" w:rsidRPr="005734B8">
        <w:rPr>
          <w:rFonts w:ascii="Calibri" w:hAnsi="Calibri" w:cs="Calibri"/>
        </w:rPr>
        <w:t>R</w:t>
      </w:r>
      <w:r w:rsidRPr="005734B8">
        <w:rPr>
          <w:rFonts w:ascii="Calibri" w:hAnsi="Calibri" w:cs="Calibri"/>
        </w:rPr>
        <w:t>eport that:</w:t>
      </w:r>
    </w:p>
    <w:p w14:paraId="1373A99A" w14:textId="77777777" w:rsidR="002D2420" w:rsidRPr="005734B8" w:rsidRDefault="002D2420" w:rsidP="002D2420">
      <w:pPr>
        <w:pStyle w:val="ESbullet1"/>
        <w:numPr>
          <w:ilvl w:val="0"/>
          <w:numId w:val="30"/>
        </w:numPr>
        <w:spacing w:after="0"/>
        <w:rPr>
          <w:rFonts w:ascii="Calibri" w:hAnsi="Calibri" w:cs="Calibri"/>
        </w:rPr>
      </w:pPr>
      <w:r w:rsidRPr="005734B8">
        <w:rPr>
          <w:rFonts w:ascii="Calibri" w:hAnsi="Calibri" w:cs="Calibri"/>
        </w:rPr>
        <w:t>lists relevant clauses of Victorian legislation with statutory disclosure requirements the Department must comply with</w:t>
      </w:r>
    </w:p>
    <w:p w14:paraId="573E3F9A" w14:textId="77777777" w:rsidR="002D2420" w:rsidRPr="005734B8" w:rsidRDefault="002D2420" w:rsidP="002D2420">
      <w:pPr>
        <w:pStyle w:val="ESbullet1"/>
        <w:numPr>
          <w:ilvl w:val="0"/>
          <w:numId w:val="30"/>
        </w:numPr>
        <w:spacing w:after="0"/>
        <w:rPr>
          <w:rFonts w:ascii="Calibri" w:hAnsi="Calibri" w:cs="Calibri"/>
        </w:rPr>
      </w:pPr>
      <w:r w:rsidRPr="005734B8">
        <w:rPr>
          <w:rFonts w:ascii="Calibri" w:hAnsi="Calibri" w:cs="Calibri"/>
        </w:rPr>
        <w:t>provides a short description of the relevant requirements</w:t>
      </w:r>
    </w:p>
    <w:p w14:paraId="0A1ADBCD" w14:textId="5C8E22DA" w:rsidR="002D2420" w:rsidRPr="005734B8" w:rsidRDefault="002D2420" w:rsidP="002D2420">
      <w:pPr>
        <w:pStyle w:val="ESbullet1"/>
        <w:numPr>
          <w:ilvl w:val="0"/>
          <w:numId w:val="30"/>
        </w:numPr>
        <w:spacing w:after="0"/>
        <w:rPr>
          <w:rFonts w:ascii="Calibri" w:hAnsi="Calibri" w:cs="Calibri"/>
        </w:rPr>
      </w:pPr>
      <w:r w:rsidRPr="005734B8">
        <w:rPr>
          <w:rFonts w:ascii="Calibri" w:hAnsi="Calibri" w:cs="Calibri"/>
        </w:rPr>
        <w:t xml:space="preserve">provides a page reference for the </w:t>
      </w:r>
      <w:r w:rsidR="007523DE" w:rsidRPr="005734B8">
        <w:rPr>
          <w:rFonts w:ascii="Calibri" w:hAnsi="Calibri" w:cs="Calibri"/>
        </w:rPr>
        <w:t>A</w:t>
      </w:r>
      <w:r w:rsidRPr="005734B8">
        <w:rPr>
          <w:rFonts w:ascii="Calibri" w:hAnsi="Calibri" w:cs="Calibri"/>
        </w:rPr>
        <w:t xml:space="preserve">nnual </w:t>
      </w:r>
      <w:r w:rsidR="007523DE" w:rsidRPr="005734B8">
        <w:rPr>
          <w:rFonts w:ascii="Calibri" w:hAnsi="Calibri" w:cs="Calibri"/>
        </w:rPr>
        <w:t>R</w:t>
      </w:r>
      <w:r w:rsidRPr="005734B8">
        <w:rPr>
          <w:rFonts w:ascii="Calibri" w:hAnsi="Calibri" w:cs="Calibri"/>
        </w:rPr>
        <w:t>eport where the disclosure for each requirement is made.</w:t>
      </w:r>
    </w:p>
    <w:p w14:paraId="436F0DAE" w14:textId="77777777" w:rsidR="002D2420" w:rsidRPr="005734B8" w:rsidRDefault="002D2420" w:rsidP="002D2420">
      <w:pPr>
        <w:pStyle w:val="ESbullet1"/>
        <w:spacing w:after="0"/>
        <w:ind w:left="0" w:firstLine="0"/>
        <w:rPr>
          <w:rFonts w:ascii="Calibri" w:hAnsi="Calibri" w:cs="Calibri"/>
        </w:rPr>
      </w:pPr>
    </w:p>
    <w:p w14:paraId="166CAD9F" w14:textId="77777777" w:rsidR="002D2420" w:rsidRPr="005734B8" w:rsidRDefault="002D2420" w:rsidP="002D2420">
      <w:pPr>
        <w:rPr>
          <w:rFonts w:ascii="Calibri" w:hAnsi="Calibri" w:cs="Calibri"/>
        </w:rPr>
        <w:sectPr w:rsidR="002D2420" w:rsidRPr="005734B8" w:rsidSect="00B60A07">
          <w:pgSz w:w="11900" w:h="16840"/>
          <w:pgMar w:top="1440" w:right="1134" w:bottom="1440" w:left="2835" w:header="709" w:footer="709" w:gutter="0"/>
          <w:cols w:space="708"/>
          <w:docGrid w:linePitch="360"/>
        </w:sectPr>
      </w:pPr>
      <w:r w:rsidRPr="005734B8">
        <w:rPr>
          <w:rFonts w:ascii="Calibri" w:hAnsi="Calibri" w:cs="Calibri"/>
        </w:rPr>
        <w:t>Material not required under relevant legislation and pronouncements is not included in this report. A disclosure index that identifies the Department’s compliance with statutory requirements is provided in Appendix 1.</w:t>
      </w:r>
    </w:p>
    <w:p w14:paraId="0DA4C777" w14:textId="77777777" w:rsidR="00595956" w:rsidRPr="005734B8" w:rsidRDefault="00595956" w:rsidP="00595956">
      <w:pPr>
        <w:pStyle w:val="ESHeading1"/>
        <w:rPr>
          <w:rFonts w:ascii="Calibri" w:hAnsi="Calibri" w:cs="Calibri"/>
        </w:rPr>
      </w:pPr>
      <w:bookmarkStart w:id="1097" w:name="_Toc11158312"/>
      <w:bookmarkStart w:id="1098" w:name="_Toc11336319"/>
      <w:bookmarkStart w:id="1099" w:name="_Toc13656706"/>
      <w:bookmarkStart w:id="1100" w:name="_Toc14965546"/>
      <w:bookmarkStart w:id="1101" w:name="_Toc16231943"/>
      <w:bookmarkStart w:id="1102" w:name="_Toc34033369"/>
      <w:bookmarkStart w:id="1103" w:name="_Toc36013335"/>
      <w:bookmarkStart w:id="1104" w:name="_Toc58243421"/>
      <w:bookmarkStart w:id="1105" w:name="_Toc72958071"/>
      <w:bookmarkStart w:id="1106" w:name="_Toc72958119"/>
      <w:bookmarkStart w:id="1107" w:name="_Toc81315358"/>
      <w:r w:rsidRPr="005734B8">
        <w:rPr>
          <w:rFonts w:ascii="Calibri" w:hAnsi="Calibri" w:cs="Calibri"/>
        </w:rPr>
        <w:lastRenderedPageBreak/>
        <w:t>Financial statements</w:t>
      </w:r>
      <w:bookmarkEnd w:id="1097"/>
      <w:bookmarkEnd w:id="1098"/>
      <w:bookmarkEnd w:id="1099"/>
      <w:bookmarkEnd w:id="1100"/>
      <w:bookmarkEnd w:id="1101"/>
      <w:bookmarkEnd w:id="1102"/>
      <w:bookmarkEnd w:id="1103"/>
      <w:bookmarkEnd w:id="1104"/>
      <w:bookmarkEnd w:id="1105"/>
      <w:bookmarkEnd w:id="1106"/>
      <w:bookmarkEnd w:id="1107"/>
    </w:p>
    <w:p w14:paraId="0584CCAB" w14:textId="77777777" w:rsidR="00595956" w:rsidRPr="005734B8" w:rsidRDefault="00595956" w:rsidP="00595956">
      <w:pPr>
        <w:rPr>
          <w:rFonts w:ascii="Calibri" w:hAnsi="Calibri" w:cs="Calibri"/>
        </w:rPr>
      </w:pPr>
      <w:r w:rsidRPr="005734B8">
        <w:rPr>
          <w:rFonts w:ascii="Calibri" w:hAnsi="Calibri" w:cs="Calibri"/>
        </w:rPr>
        <w:t>These financial statements cover the Department of Education and Training as an individual entity.</w:t>
      </w:r>
    </w:p>
    <w:p w14:paraId="52AC6495" w14:textId="77777777" w:rsidR="00595956" w:rsidRPr="005734B8" w:rsidRDefault="00595956" w:rsidP="00595956">
      <w:pPr>
        <w:rPr>
          <w:rFonts w:ascii="Calibri" w:hAnsi="Calibri" w:cs="Calibri"/>
        </w:rPr>
      </w:pPr>
    </w:p>
    <w:p w14:paraId="3A9B8544" w14:textId="77777777" w:rsidR="00595956" w:rsidRPr="005734B8" w:rsidRDefault="00595956" w:rsidP="00595956">
      <w:pPr>
        <w:rPr>
          <w:rFonts w:ascii="Calibri" w:hAnsi="Calibri" w:cs="Calibri"/>
        </w:rPr>
      </w:pPr>
      <w:r w:rsidRPr="005734B8">
        <w:rPr>
          <w:rFonts w:ascii="Calibri" w:hAnsi="Calibri" w:cs="Calibri"/>
        </w:rPr>
        <w:t>The Department of Education and Training is a government department of the State of Victoria.</w:t>
      </w:r>
    </w:p>
    <w:p w14:paraId="7B545312" w14:textId="77777777" w:rsidR="00595956" w:rsidRPr="005734B8" w:rsidRDefault="00595956" w:rsidP="00595956">
      <w:pPr>
        <w:rPr>
          <w:rFonts w:ascii="Calibri" w:hAnsi="Calibri" w:cs="Calibri"/>
        </w:rPr>
      </w:pPr>
    </w:p>
    <w:p w14:paraId="6D03E3C8" w14:textId="77777777" w:rsidR="00595956" w:rsidRPr="005734B8" w:rsidRDefault="00595956" w:rsidP="00595956">
      <w:pPr>
        <w:rPr>
          <w:rFonts w:ascii="Calibri" w:hAnsi="Calibri" w:cs="Calibri"/>
        </w:rPr>
      </w:pPr>
      <w:r w:rsidRPr="005734B8">
        <w:rPr>
          <w:rFonts w:ascii="Calibri" w:hAnsi="Calibri" w:cs="Calibri"/>
        </w:rPr>
        <w:t>A description of the nature of the Department’s operations and its principal activities is included at the start of this report.</w:t>
      </w:r>
    </w:p>
    <w:p w14:paraId="1B3576D3" w14:textId="6A2245B4" w:rsidR="002E4354" w:rsidRPr="005734B8" w:rsidRDefault="002E4354" w:rsidP="002E4354">
      <w:pPr>
        <w:rPr>
          <w:rFonts w:ascii="Calibri" w:hAnsi="Calibri" w:cs="Calibri"/>
          <w:highlight w:val="yellow"/>
        </w:rPr>
      </w:pPr>
    </w:p>
    <w:p w14:paraId="3FD8E79A" w14:textId="7F39D748" w:rsidR="00595956" w:rsidRPr="005734B8" w:rsidRDefault="00595956" w:rsidP="002E4354">
      <w:pPr>
        <w:rPr>
          <w:rFonts w:ascii="Calibri" w:hAnsi="Calibri" w:cs="Calibri"/>
          <w:highlight w:val="yellow"/>
        </w:rPr>
      </w:pPr>
    </w:p>
    <w:p w14:paraId="3FD709AA" w14:textId="77777777" w:rsidR="00595956" w:rsidRPr="005734B8" w:rsidRDefault="00595956" w:rsidP="00595956">
      <w:pPr>
        <w:tabs>
          <w:tab w:val="right" w:leader="dot" w:pos="7937"/>
        </w:tabs>
        <w:spacing w:after="100"/>
        <w:rPr>
          <w:rFonts w:ascii="Calibri" w:eastAsia="Times New Roman" w:hAnsi="Calibri" w:cs="Calibri"/>
          <w:b/>
          <w:szCs w:val="22"/>
          <w:lang w:val="en-AU"/>
        </w:rPr>
      </w:pPr>
      <w:r w:rsidRPr="005734B8">
        <w:rPr>
          <w:rFonts w:ascii="Calibri" w:eastAsia="Times New Roman" w:hAnsi="Calibri" w:cs="Calibri"/>
          <w:b/>
          <w:szCs w:val="22"/>
          <w:lang w:val="en-AU"/>
        </w:rPr>
        <w:t>CONTENTS</w:t>
      </w:r>
    </w:p>
    <w:p w14:paraId="379A92AE" w14:textId="06061B35" w:rsidR="00595956" w:rsidRPr="005734B8" w:rsidRDefault="00595956" w:rsidP="00595956">
      <w:pPr>
        <w:tabs>
          <w:tab w:val="right" w:leader="dot" w:pos="7937"/>
        </w:tabs>
        <w:spacing w:after="100"/>
        <w:rPr>
          <w:rFonts w:ascii="Calibri" w:eastAsia="Times New Roman" w:hAnsi="Calibri" w:cs="Calibri"/>
          <w:noProof/>
          <w:szCs w:val="22"/>
          <w:lang w:val="en-AU" w:eastAsia="en-AU"/>
        </w:rPr>
      </w:pPr>
      <w:r w:rsidRPr="005734B8">
        <w:rPr>
          <w:rFonts w:ascii="Calibri" w:eastAsia="Times New Roman" w:hAnsi="Calibri" w:cs="Calibri"/>
          <w:b/>
          <w:szCs w:val="22"/>
          <w:lang w:val="en-AU"/>
        </w:rPr>
        <w:fldChar w:fldCharType="begin"/>
      </w:r>
      <w:r w:rsidRPr="005734B8">
        <w:rPr>
          <w:rFonts w:ascii="Calibri" w:eastAsia="Times New Roman" w:hAnsi="Calibri" w:cs="Calibri"/>
          <w:b/>
          <w:szCs w:val="22"/>
          <w:lang w:val="en-AU"/>
        </w:rPr>
        <w:instrText xml:space="preserve"> TOC \o "1-2" \h \z \u </w:instrText>
      </w:r>
      <w:r w:rsidRPr="005734B8">
        <w:rPr>
          <w:rFonts w:ascii="Calibri" w:eastAsia="Times New Roman" w:hAnsi="Calibri" w:cs="Calibri"/>
          <w:b/>
          <w:szCs w:val="22"/>
          <w:lang w:val="en-AU"/>
        </w:rPr>
        <w:fldChar w:fldCharType="separate"/>
      </w:r>
      <w:hyperlink w:anchor="_Toc72958071" w:history="1">
        <w:r w:rsidRPr="005734B8">
          <w:rPr>
            <w:rFonts w:ascii="Calibri" w:eastAsia="Times New Roman" w:hAnsi="Calibri" w:cs="Calibri"/>
            <w:b/>
            <w:noProof/>
            <w:szCs w:val="22"/>
            <w:lang w:val="en-AU"/>
          </w:rPr>
          <w:t>Financial statements</w:t>
        </w:r>
        <w:r w:rsidRPr="005734B8">
          <w:rPr>
            <w:rFonts w:ascii="Calibri" w:eastAsia="Times New Roman" w:hAnsi="Calibri" w:cs="Calibri"/>
            <w:b/>
            <w:noProof/>
            <w:webHidden/>
            <w:szCs w:val="22"/>
            <w:lang w:val="en-AU"/>
          </w:rPr>
          <w:tab/>
        </w:r>
        <w:r w:rsidRPr="005734B8">
          <w:rPr>
            <w:rFonts w:ascii="Calibri" w:eastAsia="Times New Roman" w:hAnsi="Calibri" w:cs="Calibri"/>
            <w:b/>
            <w:noProof/>
            <w:webHidden/>
            <w:szCs w:val="22"/>
            <w:lang w:val="en-AU"/>
          </w:rPr>
          <w:fldChar w:fldCharType="begin"/>
        </w:r>
        <w:r w:rsidRPr="005734B8">
          <w:rPr>
            <w:rFonts w:ascii="Calibri" w:eastAsia="Times New Roman" w:hAnsi="Calibri" w:cs="Calibri"/>
            <w:b/>
            <w:noProof/>
            <w:webHidden/>
            <w:szCs w:val="22"/>
            <w:lang w:val="en-AU"/>
          </w:rPr>
          <w:instrText xml:space="preserve"> PAGEREF _Toc72958071 \h </w:instrText>
        </w:r>
        <w:r w:rsidRPr="005734B8">
          <w:rPr>
            <w:rFonts w:ascii="Calibri" w:eastAsia="Times New Roman" w:hAnsi="Calibri" w:cs="Calibri"/>
            <w:b/>
            <w:noProof/>
            <w:webHidden/>
            <w:szCs w:val="22"/>
            <w:lang w:val="en-AU"/>
          </w:rPr>
        </w:r>
        <w:r w:rsidR="006C463E">
          <w:rPr>
            <w:rFonts w:ascii="Calibri" w:eastAsia="Times New Roman" w:hAnsi="Calibri" w:cs="Calibri"/>
            <w:b/>
            <w:noProof/>
            <w:webHidden/>
            <w:szCs w:val="22"/>
            <w:lang w:val="en-AU"/>
          </w:rPr>
          <w:fldChar w:fldCharType="separate"/>
        </w:r>
        <w:r w:rsidRPr="005734B8">
          <w:rPr>
            <w:rFonts w:ascii="Calibri" w:eastAsia="Times New Roman" w:hAnsi="Calibri" w:cs="Calibri"/>
            <w:b/>
            <w:noProof/>
            <w:webHidden/>
            <w:szCs w:val="22"/>
            <w:lang w:val="en-AU"/>
          </w:rPr>
          <w:fldChar w:fldCharType="end"/>
        </w:r>
      </w:hyperlink>
    </w:p>
    <w:p w14:paraId="3FF9E179" w14:textId="334E6917" w:rsidR="00595956" w:rsidRPr="005734B8" w:rsidRDefault="006C463E" w:rsidP="00595956">
      <w:pPr>
        <w:tabs>
          <w:tab w:val="right" w:leader="dot" w:pos="7937"/>
        </w:tabs>
        <w:spacing w:after="100"/>
        <w:rPr>
          <w:rFonts w:ascii="Calibri" w:eastAsia="Times New Roman" w:hAnsi="Calibri" w:cs="Calibri"/>
          <w:noProof/>
          <w:szCs w:val="22"/>
          <w:lang w:val="en-AU" w:eastAsia="en-AU"/>
        </w:rPr>
      </w:pPr>
      <w:hyperlink w:anchor="_Toc72958072" w:history="1">
        <w:r w:rsidR="00595956" w:rsidRPr="005734B8">
          <w:rPr>
            <w:rFonts w:ascii="Calibri" w:eastAsia="Times New Roman" w:hAnsi="Calibri" w:cs="Calibri"/>
            <w:b/>
            <w:noProof/>
            <w:szCs w:val="22"/>
            <w:lang w:val="en-AU"/>
          </w:rPr>
          <w:t>Accountable Officer’s and Chief Finance and Accounting Officer’s declaration</w:t>
        </w:r>
        <w:r w:rsidR="00595956" w:rsidRPr="005734B8">
          <w:rPr>
            <w:rFonts w:ascii="Calibri" w:eastAsia="Times New Roman" w:hAnsi="Calibri" w:cs="Calibri"/>
            <w:b/>
            <w:noProof/>
            <w:webHidden/>
            <w:szCs w:val="22"/>
            <w:lang w:val="en-AU"/>
          </w:rPr>
          <w:tab/>
        </w:r>
        <w:r w:rsidR="00595956" w:rsidRPr="005734B8">
          <w:rPr>
            <w:rFonts w:ascii="Calibri" w:eastAsia="Times New Roman" w:hAnsi="Calibri" w:cs="Calibri"/>
            <w:b/>
            <w:noProof/>
            <w:webHidden/>
            <w:szCs w:val="22"/>
            <w:lang w:val="en-AU"/>
          </w:rPr>
          <w:fldChar w:fldCharType="begin"/>
        </w:r>
        <w:r w:rsidR="00595956" w:rsidRPr="005734B8">
          <w:rPr>
            <w:rFonts w:ascii="Calibri" w:eastAsia="Times New Roman" w:hAnsi="Calibri" w:cs="Calibri"/>
            <w:b/>
            <w:noProof/>
            <w:webHidden/>
            <w:szCs w:val="22"/>
            <w:lang w:val="en-AU"/>
          </w:rPr>
          <w:instrText xml:space="preserve"> PAGEREF _Toc72958072 \h </w:instrText>
        </w:r>
        <w:r w:rsidR="00595956" w:rsidRPr="005734B8">
          <w:rPr>
            <w:rFonts w:ascii="Calibri" w:eastAsia="Times New Roman" w:hAnsi="Calibri" w:cs="Calibri"/>
            <w:b/>
            <w:noProof/>
            <w:webHidden/>
            <w:szCs w:val="22"/>
            <w:lang w:val="en-AU"/>
          </w:rPr>
        </w:r>
        <w:r>
          <w:rPr>
            <w:rFonts w:ascii="Calibri" w:eastAsia="Times New Roman" w:hAnsi="Calibri" w:cs="Calibri"/>
            <w:b/>
            <w:noProof/>
            <w:webHidden/>
            <w:szCs w:val="22"/>
            <w:lang w:val="en-AU"/>
          </w:rPr>
          <w:fldChar w:fldCharType="separate"/>
        </w:r>
        <w:r w:rsidR="00595956" w:rsidRPr="005734B8">
          <w:rPr>
            <w:rFonts w:ascii="Calibri" w:eastAsia="Times New Roman" w:hAnsi="Calibri" w:cs="Calibri"/>
            <w:b/>
            <w:noProof/>
            <w:webHidden/>
            <w:szCs w:val="22"/>
            <w:lang w:val="en-AU"/>
          </w:rPr>
          <w:fldChar w:fldCharType="end"/>
        </w:r>
      </w:hyperlink>
    </w:p>
    <w:p w14:paraId="704BA4A3" w14:textId="622270F8" w:rsidR="00595956" w:rsidRPr="005734B8" w:rsidRDefault="006C463E" w:rsidP="00595956">
      <w:pPr>
        <w:tabs>
          <w:tab w:val="right" w:leader="dot" w:pos="7937"/>
        </w:tabs>
        <w:spacing w:after="100"/>
        <w:rPr>
          <w:rFonts w:ascii="Calibri" w:eastAsia="Times New Roman" w:hAnsi="Calibri" w:cs="Calibri"/>
          <w:noProof/>
          <w:szCs w:val="22"/>
          <w:lang w:val="en-AU" w:eastAsia="en-AU"/>
        </w:rPr>
      </w:pPr>
      <w:hyperlink w:anchor="_Toc72958073" w:history="1">
        <w:r w:rsidR="00595956" w:rsidRPr="005734B8">
          <w:rPr>
            <w:rFonts w:ascii="Calibri" w:eastAsia="Times New Roman" w:hAnsi="Calibri" w:cs="Calibri"/>
            <w:b/>
            <w:noProof/>
            <w:szCs w:val="22"/>
            <w:lang w:val="en-AU"/>
          </w:rPr>
          <w:t>Victorian Auditor-General’s Report</w:t>
        </w:r>
        <w:r w:rsidR="00595956" w:rsidRPr="005734B8">
          <w:rPr>
            <w:rFonts w:ascii="Calibri" w:eastAsia="Times New Roman" w:hAnsi="Calibri" w:cs="Calibri"/>
            <w:b/>
            <w:noProof/>
            <w:webHidden/>
            <w:szCs w:val="22"/>
            <w:lang w:val="en-AU"/>
          </w:rPr>
          <w:tab/>
        </w:r>
        <w:r w:rsidR="00595956" w:rsidRPr="005734B8">
          <w:rPr>
            <w:rFonts w:ascii="Calibri" w:eastAsia="Times New Roman" w:hAnsi="Calibri" w:cs="Calibri"/>
            <w:b/>
            <w:noProof/>
            <w:webHidden/>
            <w:szCs w:val="22"/>
            <w:lang w:val="en-AU"/>
          </w:rPr>
          <w:fldChar w:fldCharType="begin"/>
        </w:r>
        <w:r w:rsidR="00595956" w:rsidRPr="005734B8">
          <w:rPr>
            <w:rFonts w:ascii="Calibri" w:eastAsia="Times New Roman" w:hAnsi="Calibri" w:cs="Calibri"/>
            <w:b/>
            <w:noProof/>
            <w:webHidden/>
            <w:szCs w:val="22"/>
            <w:lang w:val="en-AU"/>
          </w:rPr>
          <w:instrText xml:space="preserve"> PAGEREF _Toc72958073 \h </w:instrText>
        </w:r>
        <w:r w:rsidR="00595956" w:rsidRPr="005734B8">
          <w:rPr>
            <w:rFonts w:ascii="Calibri" w:eastAsia="Times New Roman" w:hAnsi="Calibri" w:cs="Calibri"/>
            <w:b/>
            <w:noProof/>
            <w:webHidden/>
            <w:szCs w:val="22"/>
            <w:lang w:val="en-AU"/>
          </w:rPr>
        </w:r>
        <w:r>
          <w:rPr>
            <w:rFonts w:ascii="Calibri" w:eastAsia="Times New Roman" w:hAnsi="Calibri" w:cs="Calibri"/>
            <w:b/>
            <w:noProof/>
            <w:webHidden/>
            <w:szCs w:val="22"/>
            <w:lang w:val="en-AU"/>
          </w:rPr>
          <w:fldChar w:fldCharType="separate"/>
        </w:r>
        <w:r w:rsidR="00595956" w:rsidRPr="005734B8">
          <w:rPr>
            <w:rFonts w:ascii="Calibri" w:eastAsia="Times New Roman" w:hAnsi="Calibri" w:cs="Calibri"/>
            <w:b/>
            <w:noProof/>
            <w:webHidden/>
            <w:szCs w:val="22"/>
            <w:lang w:val="en-AU"/>
          </w:rPr>
          <w:fldChar w:fldCharType="end"/>
        </w:r>
      </w:hyperlink>
    </w:p>
    <w:p w14:paraId="20F7FE92" w14:textId="5E54BD39" w:rsidR="00595956" w:rsidRPr="005734B8" w:rsidRDefault="006C463E" w:rsidP="00595956">
      <w:pPr>
        <w:tabs>
          <w:tab w:val="right" w:leader="dot" w:pos="7937"/>
        </w:tabs>
        <w:spacing w:after="100"/>
        <w:rPr>
          <w:rFonts w:ascii="Calibri" w:eastAsia="Times New Roman" w:hAnsi="Calibri" w:cs="Calibri"/>
          <w:noProof/>
          <w:szCs w:val="22"/>
          <w:lang w:val="en-AU" w:eastAsia="en-AU"/>
        </w:rPr>
      </w:pPr>
      <w:hyperlink w:anchor="_Toc72958074" w:history="1">
        <w:r w:rsidR="00595956" w:rsidRPr="005734B8">
          <w:rPr>
            <w:rFonts w:ascii="Calibri" w:eastAsia="Times New Roman" w:hAnsi="Calibri" w:cs="Calibri"/>
            <w:b/>
            <w:noProof/>
            <w:szCs w:val="22"/>
            <w:lang w:val="en-AU"/>
          </w:rPr>
          <w:t>Comprehensive operating statement for the financial year ended 30 June 2021</w:t>
        </w:r>
        <w:r w:rsidR="00595956" w:rsidRPr="005734B8">
          <w:rPr>
            <w:rFonts w:ascii="Calibri" w:eastAsia="Times New Roman" w:hAnsi="Calibri" w:cs="Calibri"/>
            <w:b/>
            <w:noProof/>
            <w:webHidden/>
            <w:szCs w:val="22"/>
            <w:lang w:val="en-AU"/>
          </w:rPr>
          <w:tab/>
        </w:r>
        <w:r w:rsidR="00595956" w:rsidRPr="005734B8">
          <w:rPr>
            <w:rFonts w:ascii="Calibri" w:eastAsia="Times New Roman" w:hAnsi="Calibri" w:cs="Calibri"/>
            <w:b/>
            <w:noProof/>
            <w:webHidden/>
            <w:szCs w:val="22"/>
            <w:lang w:val="en-AU"/>
          </w:rPr>
          <w:fldChar w:fldCharType="begin"/>
        </w:r>
        <w:r w:rsidR="00595956" w:rsidRPr="005734B8">
          <w:rPr>
            <w:rFonts w:ascii="Calibri" w:eastAsia="Times New Roman" w:hAnsi="Calibri" w:cs="Calibri"/>
            <w:b/>
            <w:noProof/>
            <w:webHidden/>
            <w:szCs w:val="22"/>
            <w:lang w:val="en-AU"/>
          </w:rPr>
          <w:instrText xml:space="preserve"> PAGEREF _Toc72958074 \h </w:instrText>
        </w:r>
        <w:r w:rsidR="00595956" w:rsidRPr="005734B8">
          <w:rPr>
            <w:rFonts w:ascii="Calibri" w:eastAsia="Times New Roman" w:hAnsi="Calibri" w:cs="Calibri"/>
            <w:b/>
            <w:noProof/>
            <w:webHidden/>
            <w:szCs w:val="22"/>
            <w:lang w:val="en-AU"/>
          </w:rPr>
        </w:r>
        <w:r>
          <w:rPr>
            <w:rFonts w:ascii="Calibri" w:eastAsia="Times New Roman" w:hAnsi="Calibri" w:cs="Calibri"/>
            <w:b/>
            <w:noProof/>
            <w:webHidden/>
            <w:szCs w:val="22"/>
            <w:lang w:val="en-AU"/>
          </w:rPr>
          <w:fldChar w:fldCharType="separate"/>
        </w:r>
        <w:r w:rsidR="00595956" w:rsidRPr="005734B8">
          <w:rPr>
            <w:rFonts w:ascii="Calibri" w:eastAsia="Times New Roman" w:hAnsi="Calibri" w:cs="Calibri"/>
            <w:b/>
            <w:noProof/>
            <w:webHidden/>
            <w:szCs w:val="22"/>
            <w:lang w:val="en-AU"/>
          </w:rPr>
          <w:fldChar w:fldCharType="end"/>
        </w:r>
      </w:hyperlink>
    </w:p>
    <w:p w14:paraId="64EDFC88" w14:textId="73EC1975" w:rsidR="00595956" w:rsidRPr="005734B8" w:rsidRDefault="006C463E" w:rsidP="00595956">
      <w:pPr>
        <w:tabs>
          <w:tab w:val="right" w:leader="dot" w:pos="7937"/>
        </w:tabs>
        <w:spacing w:after="100"/>
        <w:rPr>
          <w:rFonts w:ascii="Calibri" w:eastAsia="Times New Roman" w:hAnsi="Calibri" w:cs="Calibri"/>
          <w:noProof/>
          <w:szCs w:val="22"/>
          <w:lang w:val="en-AU" w:eastAsia="en-AU"/>
        </w:rPr>
      </w:pPr>
      <w:hyperlink w:anchor="_Toc72958075" w:history="1">
        <w:r w:rsidR="00595956" w:rsidRPr="005734B8">
          <w:rPr>
            <w:rFonts w:ascii="Calibri" w:eastAsia="Times New Roman" w:hAnsi="Calibri" w:cs="Calibri"/>
            <w:b/>
            <w:noProof/>
            <w:szCs w:val="22"/>
            <w:lang w:val="en-AU"/>
          </w:rPr>
          <w:t>Balance sheet as at 30 June 2021</w:t>
        </w:r>
        <w:r w:rsidR="00595956" w:rsidRPr="005734B8">
          <w:rPr>
            <w:rFonts w:ascii="Calibri" w:eastAsia="Times New Roman" w:hAnsi="Calibri" w:cs="Calibri"/>
            <w:b/>
            <w:noProof/>
            <w:webHidden/>
            <w:szCs w:val="22"/>
            <w:lang w:val="en-AU"/>
          </w:rPr>
          <w:tab/>
        </w:r>
        <w:r w:rsidR="00595956" w:rsidRPr="005734B8">
          <w:rPr>
            <w:rFonts w:ascii="Calibri" w:eastAsia="Times New Roman" w:hAnsi="Calibri" w:cs="Calibri"/>
            <w:b/>
            <w:noProof/>
            <w:webHidden/>
            <w:szCs w:val="22"/>
            <w:lang w:val="en-AU"/>
          </w:rPr>
          <w:fldChar w:fldCharType="begin"/>
        </w:r>
        <w:r w:rsidR="00595956" w:rsidRPr="005734B8">
          <w:rPr>
            <w:rFonts w:ascii="Calibri" w:eastAsia="Times New Roman" w:hAnsi="Calibri" w:cs="Calibri"/>
            <w:b/>
            <w:noProof/>
            <w:webHidden/>
            <w:szCs w:val="22"/>
            <w:lang w:val="en-AU"/>
          </w:rPr>
          <w:instrText xml:space="preserve"> PAGEREF _Toc72958075 \h </w:instrText>
        </w:r>
        <w:r w:rsidR="00595956" w:rsidRPr="005734B8">
          <w:rPr>
            <w:rFonts w:ascii="Calibri" w:eastAsia="Times New Roman" w:hAnsi="Calibri" w:cs="Calibri"/>
            <w:b/>
            <w:noProof/>
            <w:webHidden/>
            <w:szCs w:val="22"/>
            <w:lang w:val="en-AU"/>
          </w:rPr>
        </w:r>
        <w:r>
          <w:rPr>
            <w:rFonts w:ascii="Calibri" w:eastAsia="Times New Roman" w:hAnsi="Calibri" w:cs="Calibri"/>
            <w:b/>
            <w:noProof/>
            <w:webHidden/>
            <w:szCs w:val="22"/>
            <w:lang w:val="en-AU"/>
          </w:rPr>
          <w:fldChar w:fldCharType="separate"/>
        </w:r>
        <w:r w:rsidR="00595956" w:rsidRPr="005734B8">
          <w:rPr>
            <w:rFonts w:ascii="Calibri" w:eastAsia="Times New Roman" w:hAnsi="Calibri" w:cs="Calibri"/>
            <w:b/>
            <w:noProof/>
            <w:webHidden/>
            <w:szCs w:val="22"/>
            <w:lang w:val="en-AU"/>
          </w:rPr>
          <w:fldChar w:fldCharType="end"/>
        </w:r>
      </w:hyperlink>
    </w:p>
    <w:p w14:paraId="18FDD0EA" w14:textId="439990F8" w:rsidR="00595956" w:rsidRPr="005734B8" w:rsidRDefault="006C463E" w:rsidP="00595956">
      <w:pPr>
        <w:tabs>
          <w:tab w:val="right" w:leader="dot" w:pos="7937"/>
        </w:tabs>
        <w:spacing w:after="100"/>
        <w:rPr>
          <w:rFonts w:ascii="Calibri" w:eastAsia="Times New Roman" w:hAnsi="Calibri" w:cs="Calibri"/>
          <w:noProof/>
          <w:szCs w:val="22"/>
          <w:lang w:val="en-AU" w:eastAsia="en-AU"/>
        </w:rPr>
      </w:pPr>
      <w:hyperlink w:anchor="_Toc72958076" w:history="1">
        <w:r w:rsidR="00595956" w:rsidRPr="005734B8">
          <w:rPr>
            <w:rFonts w:ascii="Calibri" w:eastAsia="Times New Roman" w:hAnsi="Calibri" w:cs="Calibri"/>
            <w:b/>
            <w:noProof/>
            <w:szCs w:val="22"/>
            <w:lang w:val="en-AU"/>
          </w:rPr>
          <w:t>Statement of changes in equity for the financial year ended 30 June 2021</w:t>
        </w:r>
        <w:r w:rsidR="00595956" w:rsidRPr="005734B8">
          <w:rPr>
            <w:rFonts w:ascii="Calibri" w:eastAsia="Times New Roman" w:hAnsi="Calibri" w:cs="Calibri"/>
            <w:b/>
            <w:noProof/>
            <w:webHidden/>
            <w:szCs w:val="22"/>
            <w:lang w:val="en-AU"/>
          </w:rPr>
          <w:tab/>
        </w:r>
        <w:r w:rsidR="00595956" w:rsidRPr="005734B8">
          <w:rPr>
            <w:rFonts w:ascii="Calibri" w:eastAsia="Times New Roman" w:hAnsi="Calibri" w:cs="Calibri"/>
            <w:b/>
            <w:noProof/>
            <w:webHidden/>
            <w:szCs w:val="22"/>
            <w:lang w:val="en-AU"/>
          </w:rPr>
          <w:fldChar w:fldCharType="begin"/>
        </w:r>
        <w:r w:rsidR="00595956" w:rsidRPr="005734B8">
          <w:rPr>
            <w:rFonts w:ascii="Calibri" w:eastAsia="Times New Roman" w:hAnsi="Calibri" w:cs="Calibri"/>
            <w:b/>
            <w:noProof/>
            <w:webHidden/>
            <w:szCs w:val="22"/>
            <w:lang w:val="en-AU"/>
          </w:rPr>
          <w:instrText xml:space="preserve"> PAGEREF _Toc72958076 \h </w:instrText>
        </w:r>
        <w:r w:rsidR="00595956" w:rsidRPr="005734B8">
          <w:rPr>
            <w:rFonts w:ascii="Calibri" w:eastAsia="Times New Roman" w:hAnsi="Calibri" w:cs="Calibri"/>
            <w:b/>
            <w:noProof/>
            <w:webHidden/>
            <w:szCs w:val="22"/>
            <w:lang w:val="en-AU"/>
          </w:rPr>
        </w:r>
        <w:r>
          <w:rPr>
            <w:rFonts w:ascii="Calibri" w:eastAsia="Times New Roman" w:hAnsi="Calibri" w:cs="Calibri"/>
            <w:b/>
            <w:noProof/>
            <w:webHidden/>
            <w:szCs w:val="22"/>
            <w:lang w:val="en-AU"/>
          </w:rPr>
          <w:fldChar w:fldCharType="separate"/>
        </w:r>
        <w:r w:rsidR="00595956" w:rsidRPr="005734B8">
          <w:rPr>
            <w:rFonts w:ascii="Calibri" w:eastAsia="Times New Roman" w:hAnsi="Calibri" w:cs="Calibri"/>
            <w:b/>
            <w:noProof/>
            <w:webHidden/>
            <w:szCs w:val="22"/>
            <w:lang w:val="en-AU"/>
          </w:rPr>
          <w:fldChar w:fldCharType="end"/>
        </w:r>
      </w:hyperlink>
    </w:p>
    <w:p w14:paraId="5C445CE0" w14:textId="755B507C" w:rsidR="00595956" w:rsidRPr="005734B8" w:rsidRDefault="006C463E" w:rsidP="00595956">
      <w:pPr>
        <w:tabs>
          <w:tab w:val="right" w:leader="dot" w:pos="7937"/>
        </w:tabs>
        <w:spacing w:after="100"/>
        <w:rPr>
          <w:rFonts w:ascii="Calibri" w:eastAsia="Times New Roman" w:hAnsi="Calibri" w:cs="Calibri"/>
          <w:noProof/>
          <w:szCs w:val="22"/>
          <w:lang w:val="en-AU" w:eastAsia="en-AU"/>
        </w:rPr>
      </w:pPr>
      <w:hyperlink w:anchor="_Toc72958077" w:history="1">
        <w:r w:rsidR="00595956" w:rsidRPr="005734B8">
          <w:rPr>
            <w:rFonts w:ascii="Calibri" w:eastAsia="Times New Roman" w:hAnsi="Calibri" w:cs="Calibri"/>
            <w:b/>
            <w:noProof/>
            <w:szCs w:val="22"/>
            <w:lang w:val="en-AU"/>
          </w:rPr>
          <w:t>Cash flow statement for the financial year ended 30 June 2021</w:t>
        </w:r>
        <w:r w:rsidR="00595956" w:rsidRPr="005734B8">
          <w:rPr>
            <w:rFonts w:ascii="Calibri" w:eastAsia="Times New Roman" w:hAnsi="Calibri" w:cs="Calibri"/>
            <w:b/>
            <w:noProof/>
            <w:webHidden/>
            <w:szCs w:val="22"/>
            <w:lang w:val="en-AU"/>
          </w:rPr>
          <w:tab/>
        </w:r>
        <w:r w:rsidR="00595956" w:rsidRPr="005734B8">
          <w:rPr>
            <w:rFonts w:ascii="Calibri" w:eastAsia="Times New Roman" w:hAnsi="Calibri" w:cs="Calibri"/>
            <w:b/>
            <w:noProof/>
            <w:webHidden/>
            <w:szCs w:val="22"/>
            <w:lang w:val="en-AU"/>
          </w:rPr>
          <w:fldChar w:fldCharType="begin"/>
        </w:r>
        <w:r w:rsidR="00595956" w:rsidRPr="005734B8">
          <w:rPr>
            <w:rFonts w:ascii="Calibri" w:eastAsia="Times New Roman" w:hAnsi="Calibri" w:cs="Calibri"/>
            <w:b/>
            <w:noProof/>
            <w:webHidden/>
            <w:szCs w:val="22"/>
            <w:lang w:val="en-AU"/>
          </w:rPr>
          <w:instrText xml:space="preserve"> PAGEREF _Toc72958077 \h </w:instrText>
        </w:r>
        <w:r w:rsidR="00595956" w:rsidRPr="005734B8">
          <w:rPr>
            <w:rFonts w:ascii="Calibri" w:eastAsia="Times New Roman" w:hAnsi="Calibri" w:cs="Calibri"/>
            <w:b/>
            <w:noProof/>
            <w:webHidden/>
            <w:szCs w:val="22"/>
            <w:lang w:val="en-AU"/>
          </w:rPr>
        </w:r>
        <w:r>
          <w:rPr>
            <w:rFonts w:ascii="Calibri" w:eastAsia="Times New Roman" w:hAnsi="Calibri" w:cs="Calibri"/>
            <w:b/>
            <w:noProof/>
            <w:webHidden/>
            <w:szCs w:val="22"/>
            <w:lang w:val="en-AU"/>
          </w:rPr>
          <w:fldChar w:fldCharType="separate"/>
        </w:r>
        <w:r w:rsidR="00595956" w:rsidRPr="005734B8">
          <w:rPr>
            <w:rFonts w:ascii="Calibri" w:eastAsia="Times New Roman" w:hAnsi="Calibri" w:cs="Calibri"/>
            <w:b/>
            <w:noProof/>
            <w:webHidden/>
            <w:szCs w:val="22"/>
            <w:lang w:val="en-AU"/>
          </w:rPr>
          <w:fldChar w:fldCharType="end"/>
        </w:r>
      </w:hyperlink>
    </w:p>
    <w:p w14:paraId="45ABDC3C" w14:textId="4B2B8F72" w:rsidR="00595956" w:rsidRPr="005734B8" w:rsidRDefault="006C463E" w:rsidP="00595956">
      <w:pPr>
        <w:tabs>
          <w:tab w:val="right" w:leader="dot" w:pos="7937"/>
        </w:tabs>
        <w:spacing w:after="100"/>
        <w:rPr>
          <w:rFonts w:ascii="Calibri" w:eastAsia="Times New Roman" w:hAnsi="Calibri" w:cs="Calibri"/>
          <w:noProof/>
          <w:szCs w:val="22"/>
          <w:lang w:val="en-AU" w:eastAsia="en-AU"/>
        </w:rPr>
      </w:pPr>
      <w:hyperlink w:anchor="_Toc72958078" w:history="1">
        <w:r w:rsidR="00595956" w:rsidRPr="005734B8">
          <w:rPr>
            <w:rFonts w:ascii="Calibri" w:eastAsia="Times New Roman" w:hAnsi="Calibri" w:cs="Calibri"/>
            <w:b/>
            <w:noProof/>
            <w:szCs w:val="22"/>
            <w:lang w:val="en-AU"/>
          </w:rPr>
          <w:t>Notes to the financial statements</w:t>
        </w:r>
        <w:r w:rsidR="00595956" w:rsidRPr="005734B8">
          <w:rPr>
            <w:rFonts w:ascii="Calibri" w:eastAsia="Times New Roman" w:hAnsi="Calibri" w:cs="Calibri"/>
            <w:b/>
            <w:noProof/>
            <w:webHidden/>
            <w:szCs w:val="22"/>
            <w:lang w:val="en-AU"/>
          </w:rPr>
          <w:tab/>
        </w:r>
        <w:r w:rsidR="00595956" w:rsidRPr="005734B8">
          <w:rPr>
            <w:rFonts w:ascii="Calibri" w:eastAsia="Times New Roman" w:hAnsi="Calibri" w:cs="Calibri"/>
            <w:b/>
            <w:noProof/>
            <w:webHidden/>
            <w:szCs w:val="22"/>
            <w:lang w:val="en-AU"/>
          </w:rPr>
          <w:fldChar w:fldCharType="begin"/>
        </w:r>
        <w:r w:rsidR="00595956" w:rsidRPr="005734B8">
          <w:rPr>
            <w:rFonts w:ascii="Calibri" w:eastAsia="Times New Roman" w:hAnsi="Calibri" w:cs="Calibri"/>
            <w:b/>
            <w:noProof/>
            <w:webHidden/>
            <w:szCs w:val="22"/>
            <w:lang w:val="en-AU"/>
          </w:rPr>
          <w:instrText xml:space="preserve"> PAGEREF _Toc72958078 \h </w:instrText>
        </w:r>
        <w:r w:rsidR="00595956" w:rsidRPr="005734B8">
          <w:rPr>
            <w:rFonts w:ascii="Calibri" w:eastAsia="Times New Roman" w:hAnsi="Calibri" w:cs="Calibri"/>
            <w:b/>
            <w:noProof/>
            <w:webHidden/>
            <w:szCs w:val="22"/>
            <w:lang w:val="en-AU"/>
          </w:rPr>
        </w:r>
        <w:r>
          <w:rPr>
            <w:rFonts w:ascii="Calibri" w:eastAsia="Times New Roman" w:hAnsi="Calibri" w:cs="Calibri"/>
            <w:b/>
            <w:noProof/>
            <w:webHidden/>
            <w:szCs w:val="22"/>
            <w:lang w:val="en-AU"/>
          </w:rPr>
          <w:fldChar w:fldCharType="separate"/>
        </w:r>
        <w:r w:rsidR="00595956" w:rsidRPr="005734B8">
          <w:rPr>
            <w:rFonts w:ascii="Calibri" w:eastAsia="Times New Roman" w:hAnsi="Calibri" w:cs="Calibri"/>
            <w:b/>
            <w:noProof/>
            <w:webHidden/>
            <w:szCs w:val="22"/>
            <w:lang w:val="en-AU"/>
          </w:rPr>
          <w:fldChar w:fldCharType="end"/>
        </w:r>
      </w:hyperlink>
    </w:p>
    <w:p w14:paraId="651CB3AD" w14:textId="4915F344" w:rsidR="00595956" w:rsidRPr="005734B8" w:rsidRDefault="00595956" w:rsidP="00595956">
      <w:pPr>
        <w:rPr>
          <w:rFonts w:ascii="Calibri" w:hAnsi="Calibri" w:cs="Calibri"/>
        </w:rPr>
      </w:pPr>
      <w:r w:rsidRPr="005734B8">
        <w:rPr>
          <w:rFonts w:ascii="Calibri" w:eastAsia="Times New Roman" w:hAnsi="Calibri" w:cs="Calibri"/>
          <w:b/>
          <w:szCs w:val="22"/>
          <w:lang w:val="en-AU"/>
        </w:rPr>
        <w:fldChar w:fldCharType="end"/>
      </w:r>
    </w:p>
    <w:p w14:paraId="3AF696D6" w14:textId="1D4AECE2" w:rsidR="002E4354" w:rsidRPr="005734B8" w:rsidRDefault="002E4354" w:rsidP="000F6516">
      <w:pPr>
        <w:pStyle w:val="TOC1"/>
        <w:rPr>
          <w:highlight w:val="yellow"/>
        </w:rPr>
      </w:pPr>
    </w:p>
    <w:p w14:paraId="21056995" w14:textId="77777777" w:rsidR="002E4354" w:rsidRPr="005734B8" w:rsidRDefault="002E4354" w:rsidP="002E4354">
      <w:pPr>
        <w:rPr>
          <w:rFonts w:ascii="Calibri" w:hAnsi="Calibri" w:cs="Calibri"/>
          <w:highlight w:val="yellow"/>
        </w:rPr>
      </w:pPr>
    </w:p>
    <w:p w14:paraId="67B04ACC" w14:textId="77777777" w:rsidR="002E4354" w:rsidRPr="005734B8" w:rsidRDefault="002E4354" w:rsidP="002E4354">
      <w:pPr>
        <w:rPr>
          <w:rFonts w:ascii="Calibri" w:hAnsi="Calibri" w:cs="Calibri"/>
          <w:highlight w:val="yellow"/>
        </w:rPr>
      </w:pPr>
      <w:r w:rsidRPr="005734B8">
        <w:rPr>
          <w:rFonts w:ascii="Calibri" w:hAnsi="Calibri" w:cs="Calibri"/>
          <w:highlight w:val="yellow"/>
        </w:rPr>
        <w:br w:type="page"/>
      </w:r>
    </w:p>
    <w:p w14:paraId="5A899B8B" w14:textId="77777777" w:rsidR="00595956" w:rsidRPr="005734B8" w:rsidRDefault="00595956" w:rsidP="00595956">
      <w:pPr>
        <w:pStyle w:val="ESHeading2"/>
        <w:rPr>
          <w:rFonts w:ascii="Calibri" w:hAnsi="Calibri" w:cs="Calibri"/>
        </w:rPr>
      </w:pPr>
      <w:bookmarkStart w:id="1108" w:name="_Toc34033370"/>
      <w:bookmarkStart w:id="1109" w:name="_Toc36013336"/>
      <w:bookmarkStart w:id="1110" w:name="_Toc72958072"/>
      <w:bookmarkStart w:id="1111" w:name="_Toc72958120"/>
      <w:bookmarkStart w:id="1112" w:name="_Toc80272060"/>
      <w:bookmarkStart w:id="1113" w:name="_Toc81315359"/>
      <w:r w:rsidRPr="005734B8">
        <w:rPr>
          <w:rFonts w:ascii="Calibri" w:hAnsi="Calibri" w:cs="Calibri"/>
        </w:rPr>
        <w:lastRenderedPageBreak/>
        <w:t>Accountable Officer’s and Chief Finance and Accounting Officer’s declaration</w:t>
      </w:r>
      <w:bookmarkEnd w:id="1108"/>
      <w:bookmarkEnd w:id="1109"/>
      <w:bookmarkEnd w:id="1110"/>
      <w:bookmarkEnd w:id="1111"/>
      <w:bookmarkEnd w:id="1112"/>
      <w:bookmarkEnd w:id="1113"/>
    </w:p>
    <w:p w14:paraId="6C20FDEF" w14:textId="77777777" w:rsidR="00595956" w:rsidRPr="005734B8" w:rsidRDefault="00595956" w:rsidP="00595956">
      <w:pPr>
        <w:rPr>
          <w:rFonts w:ascii="Calibri" w:hAnsi="Calibri" w:cs="Calibri"/>
        </w:rPr>
      </w:pPr>
    </w:p>
    <w:p w14:paraId="48BA9CE1" w14:textId="37AC97B9" w:rsidR="00595956" w:rsidRPr="005734B8" w:rsidRDefault="00595956" w:rsidP="00595956">
      <w:pPr>
        <w:rPr>
          <w:rFonts w:ascii="Calibri" w:hAnsi="Calibri" w:cs="Calibri"/>
        </w:rPr>
      </w:pPr>
      <w:r w:rsidRPr="005734B8">
        <w:rPr>
          <w:rFonts w:ascii="Calibri" w:hAnsi="Calibri" w:cs="Calibri"/>
        </w:rPr>
        <w:t xml:space="preserve">The financial statements for the Department have been prepared in accordance with Direction 5.2 of the Standing Directions of the Assistant Treasurer under the </w:t>
      </w:r>
      <w:r w:rsidRPr="005734B8">
        <w:rPr>
          <w:rFonts w:ascii="Calibri" w:hAnsi="Calibri" w:cs="Calibri"/>
          <w:i/>
        </w:rPr>
        <w:t>Financial Management Act 1994</w:t>
      </w:r>
      <w:r w:rsidRPr="005734B8">
        <w:rPr>
          <w:rFonts w:ascii="Calibri" w:hAnsi="Calibri" w:cs="Calibri"/>
        </w:rPr>
        <w:t xml:space="preserve">, applicable Financial Reporting Directions, Australian </w:t>
      </w:r>
      <w:r w:rsidR="0080592D" w:rsidRPr="005734B8">
        <w:rPr>
          <w:rFonts w:ascii="Calibri" w:hAnsi="Calibri" w:cs="Calibri"/>
        </w:rPr>
        <w:t>A</w:t>
      </w:r>
      <w:r w:rsidRPr="005734B8">
        <w:rPr>
          <w:rFonts w:ascii="Calibri" w:hAnsi="Calibri" w:cs="Calibri"/>
        </w:rPr>
        <w:t xml:space="preserve">ccounting </w:t>
      </w:r>
      <w:r w:rsidR="0080592D" w:rsidRPr="005734B8">
        <w:rPr>
          <w:rFonts w:ascii="Calibri" w:hAnsi="Calibri" w:cs="Calibri"/>
        </w:rPr>
        <w:t>S</w:t>
      </w:r>
      <w:r w:rsidRPr="005734B8">
        <w:rPr>
          <w:rFonts w:ascii="Calibri" w:hAnsi="Calibri" w:cs="Calibri"/>
        </w:rPr>
        <w:t>tandards including interpretations, and other mandatory professional reporting requirements.</w:t>
      </w:r>
    </w:p>
    <w:p w14:paraId="3A2142AC" w14:textId="77777777" w:rsidR="00595956" w:rsidRPr="005734B8" w:rsidRDefault="00595956" w:rsidP="00595956">
      <w:pPr>
        <w:rPr>
          <w:rFonts w:ascii="Calibri" w:hAnsi="Calibri" w:cs="Calibri"/>
        </w:rPr>
      </w:pPr>
    </w:p>
    <w:p w14:paraId="29079FA5" w14:textId="734556F7" w:rsidR="00595956" w:rsidRPr="005734B8" w:rsidRDefault="00595956" w:rsidP="00595956">
      <w:pPr>
        <w:rPr>
          <w:rFonts w:ascii="Calibri" w:hAnsi="Calibri" w:cs="Calibri"/>
        </w:rPr>
      </w:pPr>
      <w:r w:rsidRPr="005734B8">
        <w:rPr>
          <w:rFonts w:ascii="Calibri" w:hAnsi="Calibri" w:cs="Calibri"/>
        </w:rPr>
        <w:t>We further state that, in our opinion, the information set out in the comprehensive operating statement, balance sheet, statement of changes in equity, cash flow statement and accompanying notes presents fairly the financial transactions during the year ended 30 June 2021 and financial position of the Department as at 30 June 2021.</w:t>
      </w:r>
    </w:p>
    <w:p w14:paraId="24844AA5" w14:textId="77777777" w:rsidR="00595956" w:rsidRPr="005734B8" w:rsidRDefault="00595956" w:rsidP="00595956">
      <w:pPr>
        <w:rPr>
          <w:rFonts w:ascii="Calibri" w:hAnsi="Calibri" w:cs="Calibri"/>
        </w:rPr>
      </w:pPr>
    </w:p>
    <w:p w14:paraId="02305D48" w14:textId="552BC756" w:rsidR="00595956" w:rsidRPr="005734B8" w:rsidRDefault="00595956" w:rsidP="00595956">
      <w:pPr>
        <w:rPr>
          <w:rFonts w:ascii="Calibri" w:hAnsi="Calibri" w:cs="Calibri"/>
        </w:rPr>
      </w:pPr>
      <w:r w:rsidRPr="005734B8">
        <w:rPr>
          <w:rFonts w:ascii="Calibri" w:hAnsi="Calibri" w:cs="Calibri"/>
        </w:rPr>
        <w:t xml:space="preserve">At the time of signing, we are not aware of any circumstances </w:t>
      </w:r>
      <w:r w:rsidR="0080592D" w:rsidRPr="005734B8">
        <w:rPr>
          <w:rFonts w:ascii="Calibri" w:hAnsi="Calibri" w:cs="Calibri"/>
        </w:rPr>
        <w:t>that</w:t>
      </w:r>
      <w:r w:rsidRPr="005734B8">
        <w:rPr>
          <w:rFonts w:ascii="Calibri" w:hAnsi="Calibri" w:cs="Calibri"/>
        </w:rPr>
        <w:t xml:space="preserve"> would render any particulars included in the financial statements to be misleading or inaccurate.</w:t>
      </w:r>
    </w:p>
    <w:p w14:paraId="1477559F" w14:textId="77777777" w:rsidR="00595956" w:rsidRPr="005734B8" w:rsidRDefault="00595956" w:rsidP="00595956">
      <w:pPr>
        <w:rPr>
          <w:rFonts w:ascii="Calibri" w:hAnsi="Calibri" w:cs="Calibri"/>
        </w:rPr>
      </w:pPr>
    </w:p>
    <w:p w14:paraId="411C6CA9" w14:textId="14268A30" w:rsidR="00595956" w:rsidRPr="005734B8" w:rsidRDefault="00595956" w:rsidP="00595956">
      <w:pPr>
        <w:rPr>
          <w:rFonts w:ascii="Calibri" w:hAnsi="Calibri" w:cs="Calibri"/>
        </w:rPr>
      </w:pPr>
      <w:r w:rsidRPr="005734B8">
        <w:rPr>
          <w:rFonts w:ascii="Calibri" w:hAnsi="Calibri" w:cs="Calibri"/>
        </w:rPr>
        <w:t xml:space="preserve">We authorise the financial statements for issue on </w:t>
      </w:r>
      <w:r w:rsidR="0015138D">
        <w:rPr>
          <w:rFonts w:ascii="Calibri" w:hAnsi="Calibri" w:cs="Calibri"/>
        </w:rPr>
        <w:t>31</w:t>
      </w:r>
      <w:r w:rsidRPr="005734B8">
        <w:rPr>
          <w:rFonts w:ascii="Calibri" w:hAnsi="Calibri" w:cs="Calibri"/>
        </w:rPr>
        <w:t xml:space="preserve"> August </w:t>
      </w:r>
      <w:r w:rsidRPr="005734B8">
        <w:rPr>
          <w:rFonts w:ascii="Calibri" w:hAnsi="Calibri" w:cs="Calibri"/>
        </w:rPr>
        <w:fldChar w:fldCharType="begin"/>
      </w:r>
      <w:r w:rsidRPr="005734B8">
        <w:rPr>
          <w:rFonts w:ascii="Calibri" w:hAnsi="Calibri" w:cs="Calibri"/>
        </w:rPr>
        <w:instrText xml:space="preserve"> DOCPROPERTY  crYear  \* MERGEFORMAT </w:instrText>
      </w:r>
      <w:r w:rsidRPr="005734B8">
        <w:rPr>
          <w:rFonts w:ascii="Calibri" w:hAnsi="Calibri" w:cs="Calibri"/>
        </w:rPr>
        <w:fldChar w:fldCharType="separate"/>
      </w:r>
      <w:r w:rsidRPr="005734B8">
        <w:rPr>
          <w:rFonts w:ascii="Calibri" w:hAnsi="Calibri" w:cs="Calibri"/>
        </w:rPr>
        <w:t>2021</w:t>
      </w:r>
      <w:r w:rsidRPr="005734B8">
        <w:rPr>
          <w:rFonts w:ascii="Calibri" w:hAnsi="Calibri" w:cs="Calibri"/>
        </w:rPr>
        <w:fldChar w:fldCharType="end"/>
      </w:r>
      <w:r w:rsidRPr="005734B8">
        <w:rPr>
          <w:rFonts w:ascii="Calibri" w:hAnsi="Calibri" w:cs="Calibri"/>
        </w:rPr>
        <w:t>.</w:t>
      </w:r>
    </w:p>
    <w:p w14:paraId="7C9EE93C" w14:textId="52BFA62F" w:rsidR="002E4354" w:rsidRPr="005734B8" w:rsidRDefault="002E4354" w:rsidP="002E4354">
      <w:pPr>
        <w:rPr>
          <w:rFonts w:ascii="Calibri" w:hAnsi="Calibri" w:cs="Calibri"/>
          <w:highlight w:val="yellow"/>
        </w:rPr>
      </w:pPr>
    </w:p>
    <w:p w14:paraId="785B8C78" w14:textId="060A1B02" w:rsidR="002E4354" w:rsidRPr="005734B8" w:rsidRDefault="002E4354" w:rsidP="002E4354">
      <w:pPr>
        <w:rPr>
          <w:rFonts w:ascii="Calibri" w:hAnsi="Calibri" w:cs="Calibri"/>
          <w:noProof/>
          <w:highlight w:val="yellow"/>
        </w:rPr>
      </w:pPr>
    </w:p>
    <w:p w14:paraId="4CBAC935" w14:textId="0E67E9BC" w:rsidR="00882CD8" w:rsidRPr="005734B8" w:rsidRDefault="000F159E" w:rsidP="002E4354">
      <w:pPr>
        <w:rPr>
          <w:rFonts w:ascii="Calibri" w:hAnsi="Calibri" w:cs="Calibri"/>
          <w:noProof/>
          <w:highlight w:val="yellow"/>
        </w:rPr>
      </w:pPr>
      <w:r w:rsidRPr="000F159E">
        <w:rPr>
          <w:rFonts w:ascii="Calibri" w:hAnsi="Calibri" w:cs="Calibri"/>
          <w:noProof/>
          <w:highlight w:val="yellow"/>
        </w:rPr>
        <w:drawing>
          <wp:anchor distT="0" distB="0" distL="114300" distR="114300" simplePos="0" relativeHeight="251658245" behindDoc="1" locked="0" layoutInCell="1" allowOverlap="1" wp14:anchorId="7702DA9B" wp14:editId="555B7698">
            <wp:simplePos x="0" y="0"/>
            <wp:positionH relativeFrom="column">
              <wp:posOffset>2258060</wp:posOffset>
            </wp:positionH>
            <wp:positionV relativeFrom="paragraph">
              <wp:posOffset>13335</wp:posOffset>
            </wp:positionV>
            <wp:extent cx="1934210" cy="786130"/>
            <wp:effectExtent l="0" t="0" r="8890" b="0"/>
            <wp:wrapTight wrapText="bothSides">
              <wp:wrapPolygon edited="0">
                <wp:start x="0" y="0"/>
                <wp:lineTo x="0" y="20937"/>
                <wp:lineTo x="21487" y="20937"/>
                <wp:lineTo x="2148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4210" cy="78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59E">
        <w:rPr>
          <w:rFonts w:ascii="Calibri" w:hAnsi="Calibri" w:cs="Calibri"/>
          <w:noProof/>
          <w:highlight w:val="yellow"/>
        </w:rPr>
        <w:drawing>
          <wp:anchor distT="0" distB="0" distL="114300" distR="114300" simplePos="0" relativeHeight="251658244" behindDoc="0" locked="0" layoutInCell="1" allowOverlap="1" wp14:anchorId="49EE06E3" wp14:editId="09B28FEF">
            <wp:simplePos x="0" y="0"/>
            <wp:positionH relativeFrom="column">
              <wp:posOffset>87600</wp:posOffset>
            </wp:positionH>
            <wp:positionV relativeFrom="paragraph">
              <wp:posOffset>13231</wp:posOffset>
            </wp:positionV>
            <wp:extent cx="829310" cy="893445"/>
            <wp:effectExtent l="0" t="0" r="8890" b="1905"/>
            <wp:wrapThrough wrapText="bothSides">
              <wp:wrapPolygon edited="0">
                <wp:start x="0" y="0"/>
                <wp:lineTo x="0" y="21186"/>
                <wp:lineTo x="21335" y="21186"/>
                <wp:lineTo x="2133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9310" cy="893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216A2" w14:textId="7FDB0FB4" w:rsidR="00882CD8" w:rsidRPr="005734B8" w:rsidRDefault="00882CD8" w:rsidP="002E4354">
      <w:pPr>
        <w:rPr>
          <w:rFonts w:ascii="Calibri" w:hAnsi="Calibri" w:cs="Calibri"/>
          <w:noProof/>
          <w:highlight w:val="yellow"/>
        </w:rPr>
      </w:pPr>
    </w:p>
    <w:p w14:paraId="11F657D7" w14:textId="329498DD" w:rsidR="00882CD8" w:rsidRPr="005734B8" w:rsidRDefault="00882CD8" w:rsidP="002E4354">
      <w:pPr>
        <w:rPr>
          <w:rFonts w:ascii="Calibri" w:hAnsi="Calibri" w:cs="Calibri"/>
          <w:noProof/>
          <w:highlight w:val="yellow"/>
        </w:rPr>
      </w:pPr>
    </w:p>
    <w:p w14:paraId="09B93440" w14:textId="77777777" w:rsidR="00882CD8" w:rsidRPr="005734B8" w:rsidRDefault="00882CD8" w:rsidP="002E4354">
      <w:pPr>
        <w:rPr>
          <w:rFonts w:ascii="Calibri" w:hAnsi="Calibri" w:cs="Calibri"/>
          <w:highlight w:val="yellow"/>
        </w:rPr>
      </w:pPr>
    </w:p>
    <w:tbl>
      <w:tblPr>
        <w:tblStyle w:val="TableGrid"/>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8"/>
        <w:gridCol w:w="3288"/>
        <w:gridCol w:w="3288"/>
      </w:tblGrid>
      <w:tr w:rsidR="002E4354" w:rsidRPr="005734B8" w14:paraId="6AAB3CFA" w14:textId="77777777" w:rsidTr="002E4354">
        <w:tc>
          <w:tcPr>
            <w:tcW w:w="3288" w:type="dxa"/>
          </w:tcPr>
          <w:p w14:paraId="6B28D5C5" w14:textId="77777777" w:rsidR="002E4354" w:rsidRPr="005734B8" w:rsidRDefault="002E4354" w:rsidP="002E4354">
            <w:pPr>
              <w:pStyle w:val="ReferenceText"/>
              <w:rPr>
                <w:rFonts w:ascii="Calibri" w:hAnsi="Calibri" w:cs="Calibri"/>
                <w:highlight w:val="yellow"/>
              </w:rPr>
            </w:pPr>
          </w:p>
        </w:tc>
        <w:tc>
          <w:tcPr>
            <w:tcW w:w="3288" w:type="dxa"/>
          </w:tcPr>
          <w:p w14:paraId="189DE247" w14:textId="77777777" w:rsidR="002E4354" w:rsidRPr="005734B8" w:rsidRDefault="002E4354" w:rsidP="002E4354">
            <w:pPr>
              <w:pStyle w:val="ReferenceText"/>
              <w:rPr>
                <w:rFonts w:ascii="Calibri" w:hAnsi="Calibri" w:cs="Calibri"/>
                <w:highlight w:val="yellow"/>
              </w:rPr>
            </w:pPr>
          </w:p>
        </w:tc>
        <w:tc>
          <w:tcPr>
            <w:tcW w:w="3288" w:type="dxa"/>
          </w:tcPr>
          <w:p w14:paraId="7BFE6D12" w14:textId="77777777" w:rsidR="002E4354" w:rsidRPr="005734B8" w:rsidRDefault="002E4354" w:rsidP="002E4354">
            <w:pPr>
              <w:pStyle w:val="ReferenceText"/>
              <w:rPr>
                <w:rFonts w:ascii="Calibri" w:hAnsi="Calibri" w:cs="Calibri"/>
                <w:highlight w:val="yellow"/>
              </w:rPr>
            </w:pPr>
          </w:p>
        </w:tc>
      </w:tr>
    </w:tbl>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4"/>
        <w:gridCol w:w="3915"/>
      </w:tblGrid>
      <w:tr w:rsidR="00595956" w:rsidRPr="005734B8" w14:paraId="671F4225" w14:textId="77777777" w:rsidTr="00595956">
        <w:tc>
          <w:tcPr>
            <w:tcW w:w="3914" w:type="dxa"/>
          </w:tcPr>
          <w:p w14:paraId="464F4353" w14:textId="7E0213F5" w:rsidR="00595956" w:rsidRPr="005734B8" w:rsidRDefault="00595956" w:rsidP="00595956">
            <w:pPr>
              <w:rPr>
                <w:rFonts w:ascii="Calibri" w:hAnsi="Calibri" w:cs="Calibri"/>
                <w:highlight w:val="yellow"/>
              </w:rPr>
            </w:pPr>
            <w:r w:rsidRPr="005734B8">
              <w:rPr>
                <w:rFonts w:ascii="Calibri" w:hAnsi="Calibri" w:cs="Calibri"/>
              </w:rPr>
              <w:t>Jenny Atta</w:t>
            </w:r>
          </w:p>
        </w:tc>
        <w:tc>
          <w:tcPr>
            <w:tcW w:w="3915" w:type="dxa"/>
          </w:tcPr>
          <w:p w14:paraId="69D68E55" w14:textId="000A9F0B" w:rsidR="00595956" w:rsidRPr="005734B8" w:rsidRDefault="00595956" w:rsidP="00595956">
            <w:pPr>
              <w:rPr>
                <w:rFonts w:ascii="Calibri" w:hAnsi="Calibri" w:cs="Calibri"/>
                <w:highlight w:val="yellow"/>
              </w:rPr>
            </w:pPr>
            <w:r w:rsidRPr="005734B8">
              <w:rPr>
                <w:rFonts w:ascii="Calibri" w:hAnsi="Calibri" w:cs="Calibri"/>
              </w:rPr>
              <w:t>Tonella Costa</w:t>
            </w:r>
          </w:p>
        </w:tc>
      </w:tr>
      <w:tr w:rsidR="00595956" w:rsidRPr="005734B8" w14:paraId="5FA2752F" w14:textId="77777777" w:rsidTr="00595956">
        <w:tc>
          <w:tcPr>
            <w:tcW w:w="3914" w:type="dxa"/>
          </w:tcPr>
          <w:p w14:paraId="35397B88" w14:textId="135327F7" w:rsidR="00595956" w:rsidRPr="005734B8" w:rsidRDefault="00595956" w:rsidP="00595956">
            <w:pPr>
              <w:rPr>
                <w:rFonts w:ascii="Calibri" w:hAnsi="Calibri" w:cs="Calibri"/>
                <w:highlight w:val="yellow"/>
              </w:rPr>
            </w:pPr>
            <w:r w:rsidRPr="005734B8">
              <w:rPr>
                <w:rFonts w:ascii="Calibri" w:hAnsi="Calibri" w:cs="Calibri"/>
              </w:rPr>
              <w:t>Secretary</w:t>
            </w:r>
          </w:p>
        </w:tc>
        <w:tc>
          <w:tcPr>
            <w:tcW w:w="3915" w:type="dxa"/>
          </w:tcPr>
          <w:p w14:paraId="7944CE12" w14:textId="0A53CF89" w:rsidR="00595956" w:rsidRPr="005734B8" w:rsidRDefault="00595956" w:rsidP="00595956">
            <w:pPr>
              <w:rPr>
                <w:rFonts w:ascii="Calibri" w:hAnsi="Calibri" w:cs="Calibri"/>
                <w:highlight w:val="yellow"/>
              </w:rPr>
            </w:pPr>
            <w:r w:rsidRPr="005734B8">
              <w:rPr>
                <w:rFonts w:ascii="Calibri" w:hAnsi="Calibri" w:cs="Calibri"/>
              </w:rPr>
              <w:t>Acting Chief Finance Officer</w:t>
            </w:r>
          </w:p>
        </w:tc>
      </w:tr>
      <w:tr w:rsidR="00595956" w:rsidRPr="005734B8" w14:paraId="4B876652" w14:textId="77777777" w:rsidTr="00595956">
        <w:tc>
          <w:tcPr>
            <w:tcW w:w="3914" w:type="dxa"/>
          </w:tcPr>
          <w:p w14:paraId="76767499" w14:textId="532EE5AD" w:rsidR="00595956" w:rsidRPr="005734B8" w:rsidRDefault="00595956" w:rsidP="00595956">
            <w:pPr>
              <w:rPr>
                <w:rFonts w:ascii="Calibri" w:hAnsi="Calibri" w:cs="Calibri"/>
                <w:highlight w:val="yellow"/>
              </w:rPr>
            </w:pPr>
            <w:r w:rsidRPr="005734B8">
              <w:rPr>
                <w:rFonts w:ascii="Calibri" w:hAnsi="Calibri" w:cs="Calibri"/>
              </w:rPr>
              <w:t xml:space="preserve">Department </w:t>
            </w:r>
          </w:p>
        </w:tc>
        <w:tc>
          <w:tcPr>
            <w:tcW w:w="3915" w:type="dxa"/>
          </w:tcPr>
          <w:p w14:paraId="3963FA55" w14:textId="05445870" w:rsidR="00595956" w:rsidRPr="005734B8" w:rsidRDefault="00595956" w:rsidP="00595956">
            <w:pPr>
              <w:rPr>
                <w:rFonts w:ascii="Calibri" w:hAnsi="Calibri" w:cs="Calibri"/>
                <w:highlight w:val="yellow"/>
              </w:rPr>
            </w:pPr>
            <w:r w:rsidRPr="005734B8">
              <w:rPr>
                <w:rFonts w:ascii="Calibri" w:hAnsi="Calibri" w:cs="Calibri"/>
              </w:rPr>
              <w:t xml:space="preserve">Department </w:t>
            </w:r>
          </w:p>
        </w:tc>
      </w:tr>
      <w:tr w:rsidR="00595956" w:rsidRPr="005734B8" w14:paraId="1FC000B5" w14:textId="77777777" w:rsidTr="00595956">
        <w:tc>
          <w:tcPr>
            <w:tcW w:w="3914" w:type="dxa"/>
          </w:tcPr>
          <w:p w14:paraId="246D30A8" w14:textId="77777777" w:rsidR="00595956" w:rsidRPr="005734B8" w:rsidRDefault="00595956" w:rsidP="00595956">
            <w:pPr>
              <w:rPr>
                <w:rFonts w:ascii="Calibri" w:hAnsi="Calibri" w:cs="Calibri"/>
                <w:highlight w:val="yellow"/>
              </w:rPr>
            </w:pPr>
          </w:p>
        </w:tc>
        <w:tc>
          <w:tcPr>
            <w:tcW w:w="3915" w:type="dxa"/>
          </w:tcPr>
          <w:p w14:paraId="0BF060D8" w14:textId="2A017D02" w:rsidR="00595956" w:rsidRPr="005734B8" w:rsidRDefault="00595956" w:rsidP="00595956">
            <w:pPr>
              <w:rPr>
                <w:rFonts w:ascii="Calibri" w:hAnsi="Calibri" w:cs="Calibri"/>
                <w:highlight w:val="yellow"/>
              </w:rPr>
            </w:pPr>
            <w:r w:rsidRPr="005734B8">
              <w:rPr>
                <w:rFonts w:ascii="Calibri" w:hAnsi="Calibri" w:cs="Calibri"/>
              </w:rPr>
              <w:tab/>
            </w:r>
          </w:p>
        </w:tc>
      </w:tr>
      <w:tr w:rsidR="00595956" w:rsidRPr="005734B8" w14:paraId="3621BD46" w14:textId="77777777" w:rsidTr="00595956">
        <w:tc>
          <w:tcPr>
            <w:tcW w:w="3914" w:type="dxa"/>
          </w:tcPr>
          <w:p w14:paraId="23E7E91C" w14:textId="358692F3" w:rsidR="00595956" w:rsidRPr="005734B8" w:rsidRDefault="00595956" w:rsidP="00595956">
            <w:pPr>
              <w:rPr>
                <w:rFonts w:ascii="Calibri" w:hAnsi="Calibri" w:cs="Calibri"/>
                <w:highlight w:val="yellow"/>
              </w:rPr>
            </w:pPr>
            <w:r w:rsidRPr="005734B8">
              <w:rPr>
                <w:rFonts w:ascii="Calibri" w:hAnsi="Calibri" w:cs="Calibri"/>
              </w:rPr>
              <w:t>Melbourne</w:t>
            </w:r>
          </w:p>
        </w:tc>
        <w:tc>
          <w:tcPr>
            <w:tcW w:w="3915" w:type="dxa"/>
          </w:tcPr>
          <w:p w14:paraId="12E6AA58" w14:textId="19A45088" w:rsidR="00595956" w:rsidRPr="005734B8" w:rsidRDefault="00595956" w:rsidP="00595956">
            <w:pPr>
              <w:rPr>
                <w:rFonts w:ascii="Calibri" w:hAnsi="Calibri" w:cs="Calibri"/>
                <w:highlight w:val="yellow"/>
              </w:rPr>
            </w:pPr>
            <w:r w:rsidRPr="005734B8">
              <w:rPr>
                <w:rFonts w:ascii="Calibri" w:hAnsi="Calibri" w:cs="Calibri"/>
              </w:rPr>
              <w:t>Melbourne</w:t>
            </w:r>
          </w:p>
        </w:tc>
      </w:tr>
      <w:tr w:rsidR="00595956" w:rsidRPr="005734B8" w14:paraId="7BD8274E" w14:textId="77777777" w:rsidTr="00595956">
        <w:tc>
          <w:tcPr>
            <w:tcW w:w="3914" w:type="dxa"/>
          </w:tcPr>
          <w:p w14:paraId="4766EEF6" w14:textId="4A47B378" w:rsidR="00595956" w:rsidRPr="005734B8" w:rsidRDefault="00E522F8" w:rsidP="00595956">
            <w:pPr>
              <w:rPr>
                <w:rFonts w:ascii="Calibri" w:hAnsi="Calibri" w:cs="Calibri"/>
                <w:highlight w:val="yellow"/>
              </w:rPr>
            </w:pPr>
            <w:r>
              <w:rPr>
                <w:rFonts w:ascii="Calibri" w:hAnsi="Calibri" w:cs="Calibri"/>
              </w:rPr>
              <w:t>31</w:t>
            </w:r>
            <w:r w:rsidR="00595956" w:rsidRPr="005734B8">
              <w:rPr>
                <w:rFonts w:ascii="Calibri" w:hAnsi="Calibri" w:cs="Calibri"/>
              </w:rPr>
              <w:t xml:space="preserve"> August </w:t>
            </w:r>
            <w:r w:rsidR="00595956" w:rsidRPr="005734B8">
              <w:rPr>
                <w:rFonts w:ascii="Calibri" w:hAnsi="Calibri" w:cs="Calibri"/>
              </w:rPr>
              <w:fldChar w:fldCharType="begin"/>
            </w:r>
            <w:r w:rsidR="00595956" w:rsidRPr="005734B8">
              <w:rPr>
                <w:rFonts w:ascii="Calibri" w:hAnsi="Calibri" w:cs="Calibri"/>
              </w:rPr>
              <w:instrText xml:space="preserve"> DOCPROPERTY  crYear  \* MERGEFORMAT </w:instrText>
            </w:r>
            <w:r w:rsidR="00595956" w:rsidRPr="005734B8">
              <w:rPr>
                <w:rFonts w:ascii="Calibri" w:hAnsi="Calibri" w:cs="Calibri"/>
              </w:rPr>
              <w:fldChar w:fldCharType="separate"/>
            </w:r>
            <w:r w:rsidR="00595956" w:rsidRPr="005734B8">
              <w:rPr>
                <w:rFonts w:ascii="Calibri" w:hAnsi="Calibri" w:cs="Calibri"/>
              </w:rPr>
              <w:t>2021</w:t>
            </w:r>
            <w:r w:rsidR="00595956" w:rsidRPr="005734B8">
              <w:rPr>
                <w:rFonts w:ascii="Calibri" w:hAnsi="Calibri" w:cs="Calibri"/>
              </w:rPr>
              <w:fldChar w:fldCharType="end"/>
            </w:r>
          </w:p>
        </w:tc>
        <w:tc>
          <w:tcPr>
            <w:tcW w:w="3915" w:type="dxa"/>
          </w:tcPr>
          <w:p w14:paraId="52EA269D" w14:textId="2C1A1E15" w:rsidR="00595956" w:rsidRPr="005734B8" w:rsidRDefault="00E522F8" w:rsidP="00595956">
            <w:pPr>
              <w:rPr>
                <w:rFonts w:ascii="Calibri" w:hAnsi="Calibri" w:cs="Calibri"/>
                <w:highlight w:val="yellow"/>
              </w:rPr>
            </w:pPr>
            <w:r>
              <w:rPr>
                <w:rFonts w:ascii="Calibri" w:hAnsi="Calibri" w:cs="Calibri"/>
              </w:rPr>
              <w:t>31</w:t>
            </w:r>
            <w:r w:rsidR="00595956" w:rsidRPr="005734B8">
              <w:rPr>
                <w:rFonts w:ascii="Calibri" w:hAnsi="Calibri" w:cs="Calibri"/>
              </w:rPr>
              <w:t xml:space="preserve"> August </w:t>
            </w:r>
            <w:r w:rsidR="00595956" w:rsidRPr="005734B8">
              <w:rPr>
                <w:rFonts w:ascii="Calibri" w:hAnsi="Calibri" w:cs="Calibri"/>
              </w:rPr>
              <w:fldChar w:fldCharType="begin"/>
            </w:r>
            <w:r w:rsidR="00595956" w:rsidRPr="005734B8">
              <w:rPr>
                <w:rFonts w:ascii="Calibri" w:hAnsi="Calibri" w:cs="Calibri"/>
              </w:rPr>
              <w:instrText xml:space="preserve"> DOCPROPERTY  crYear  \* MERGEFORMAT </w:instrText>
            </w:r>
            <w:r w:rsidR="00595956" w:rsidRPr="005734B8">
              <w:rPr>
                <w:rFonts w:ascii="Calibri" w:hAnsi="Calibri" w:cs="Calibri"/>
              </w:rPr>
              <w:fldChar w:fldCharType="separate"/>
            </w:r>
            <w:r w:rsidR="00595956" w:rsidRPr="005734B8">
              <w:rPr>
                <w:rFonts w:ascii="Calibri" w:hAnsi="Calibri" w:cs="Calibri"/>
              </w:rPr>
              <w:t>2021</w:t>
            </w:r>
            <w:r w:rsidR="00595956" w:rsidRPr="005734B8">
              <w:rPr>
                <w:rFonts w:ascii="Calibri" w:hAnsi="Calibri" w:cs="Calibri"/>
              </w:rPr>
              <w:fldChar w:fldCharType="end"/>
            </w:r>
          </w:p>
        </w:tc>
      </w:tr>
    </w:tbl>
    <w:p w14:paraId="2E68C61C" w14:textId="77777777" w:rsidR="002E4354" w:rsidRPr="005734B8" w:rsidRDefault="002E4354" w:rsidP="002E4354">
      <w:pPr>
        <w:rPr>
          <w:rFonts w:ascii="Calibri" w:hAnsi="Calibri" w:cs="Calibri"/>
          <w:highlight w:val="yellow"/>
        </w:rPr>
      </w:pPr>
    </w:p>
    <w:p w14:paraId="0484F3DF" w14:textId="77777777" w:rsidR="002E4354" w:rsidRPr="005734B8" w:rsidRDefault="002E4354" w:rsidP="002E4354">
      <w:pPr>
        <w:rPr>
          <w:rFonts w:ascii="Calibri" w:hAnsi="Calibri" w:cs="Calibri"/>
          <w:highlight w:val="yellow"/>
        </w:rPr>
        <w:sectPr w:rsidR="002E4354" w:rsidRPr="005734B8" w:rsidSect="002E4354">
          <w:headerReference w:type="default" r:id="rId58"/>
          <w:footerReference w:type="default" r:id="rId59"/>
          <w:pgSz w:w="11906" w:h="16838" w:code="9"/>
          <w:pgMar w:top="1440" w:right="1134" w:bottom="1440" w:left="2835" w:header="958" w:footer="737" w:gutter="0"/>
          <w:cols w:space="708"/>
          <w:docGrid w:linePitch="360"/>
        </w:sectPr>
      </w:pPr>
    </w:p>
    <w:p w14:paraId="7CDB140A" w14:textId="119E41B6" w:rsidR="00595956" w:rsidRPr="005734B8" w:rsidRDefault="00595956" w:rsidP="00595956">
      <w:pPr>
        <w:pStyle w:val="ESHeading1"/>
        <w:rPr>
          <w:rFonts w:ascii="Calibri" w:hAnsi="Calibri" w:cs="Calibri"/>
        </w:rPr>
      </w:pPr>
      <w:bookmarkStart w:id="1114" w:name="_Toc36013337"/>
      <w:bookmarkStart w:id="1115" w:name="_Toc72958073"/>
      <w:bookmarkStart w:id="1116" w:name="_Toc72958121"/>
      <w:bookmarkStart w:id="1117" w:name="_Toc80272061"/>
      <w:bookmarkStart w:id="1118" w:name="_Toc81315360"/>
      <w:r w:rsidRPr="005734B8">
        <w:rPr>
          <w:rFonts w:ascii="Calibri" w:hAnsi="Calibri" w:cs="Calibri"/>
        </w:rPr>
        <w:lastRenderedPageBreak/>
        <w:t>Victorian Auditor-General’s Report</w:t>
      </w:r>
      <w:bookmarkEnd w:id="1114"/>
      <w:bookmarkEnd w:id="1115"/>
      <w:bookmarkEnd w:id="1116"/>
      <w:bookmarkEnd w:id="1117"/>
      <w:bookmarkEnd w:id="1118"/>
      <w:r w:rsidR="0022473B" w:rsidRPr="005734B8">
        <w:rPr>
          <w:rFonts w:ascii="Calibri" w:hAnsi="Calibri" w:cs="Calibri"/>
        </w:rPr>
        <w:t xml:space="preserve"> </w:t>
      </w:r>
      <w:r w:rsidR="00211639">
        <w:rPr>
          <w:noProof/>
        </w:rPr>
        <w:drawing>
          <wp:inline distT="0" distB="0" distL="0" distR="0" wp14:anchorId="7F4BB04A" wp14:editId="75A15530">
            <wp:extent cx="5507451" cy="780147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13460" cy="7809984"/>
                    </a:xfrm>
                    <a:prstGeom prst="rect">
                      <a:avLst/>
                    </a:prstGeom>
                  </pic:spPr>
                </pic:pic>
              </a:graphicData>
            </a:graphic>
          </wp:inline>
        </w:drawing>
      </w:r>
    </w:p>
    <w:p w14:paraId="746A5268" w14:textId="04644500" w:rsidR="006302F3" w:rsidRPr="005734B8" w:rsidRDefault="006302F3" w:rsidP="002E4354">
      <w:pPr>
        <w:tabs>
          <w:tab w:val="left" w:pos="6762"/>
        </w:tabs>
        <w:rPr>
          <w:rFonts w:ascii="Calibri" w:hAnsi="Calibri" w:cs="Calibri"/>
          <w:highlight w:val="yellow"/>
        </w:rPr>
      </w:pPr>
    </w:p>
    <w:p w14:paraId="47D3AB91" w14:textId="77777777" w:rsidR="006302F3" w:rsidRPr="005734B8" w:rsidRDefault="006302F3">
      <w:pPr>
        <w:rPr>
          <w:rFonts w:ascii="Calibri" w:hAnsi="Calibri" w:cs="Calibri"/>
        </w:rPr>
      </w:pPr>
      <w:r w:rsidRPr="005734B8">
        <w:rPr>
          <w:rFonts w:ascii="Calibri" w:hAnsi="Calibri" w:cs="Calibri"/>
        </w:rPr>
        <w:br w:type="page"/>
      </w:r>
    </w:p>
    <w:p w14:paraId="3012F5D5" w14:textId="014691F0" w:rsidR="002E4354" w:rsidRPr="005734B8" w:rsidRDefault="00EE0572" w:rsidP="002E4354">
      <w:pPr>
        <w:tabs>
          <w:tab w:val="left" w:pos="6762"/>
        </w:tabs>
        <w:rPr>
          <w:rFonts w:ascii="Calibri" w:hAnsi="Calibri" w:cs="Calibri"/>
        </w:rPr>
        <w:sectPr w:rsidR="002E4354" w:rsidRPr="005734B8" w:rsidSect="002E4354">
          <w:headerReference w:type="even" r:id="rId61"/>
          <w:headerReference w:type="default" r:id="rId62"/>
          <w:footerReference w:type="even" r:id="rId63"/>
          <w:footerReference w:type="default" r:id="rId64"/>
          <w:headerReference w:type="first" r:id="rId65"/>
          <w:footerReference w:type="first" r:id="rId66"/>
          <w:pgSz w:w="11906" w:h="16838" w:code="9"/>
          <w:pgMar w:top="1440" w:right="1134" w:bottom="1440" w:left="2835" w:header="958" w:footer="737" w:gutter="0"/>
          <w:cols w:space="708"/>
          <w:docGrid w:linePitch="360"/>
        </w:sectPr>
      </w:pPr>
      <w:r>
        <w:rPr>
          <w:noProof/>
        </w:rPr>
        <w:lastRenderedPageBreak/>
        <w:drawing>
          <wp:inline distT="0" distB="0" distL="0" distR="0" wp14:anchorId="0B59580B" wp14:editId="0497C3DE">
            <wp:extent cx="5039995" cy="772033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39995" cy="7720330"/>
                    </a:xfrm>
                    <a:prstGeom prst="rect">
                      <a:avLst/>
                    </a:prstGeom>
                  </pic:spPr>
                </pic:pic>
              </a:graphicData>
            </a:graphic>
          </wp:inline>
        </w:drawing>
      </w:r>
    </w:p>
    <w:p w14:paraId="32D0F007" w14:textId="570780E3" w:rsidR="00595956" w:rsidRPr="005734B8" w:rsidRDefault="00595956" w:rsidP="00A2478B">
      <w:pPr>
        <w:pStyle w:val="ESHeading2"/>
        <w:rPr>
          <w:rFonts w:ascii="Calibri" w:hAnsi="Calibri" w:cs="Calibri"/>
        </w:rPr>
      </w:pPr>
      <w:bookmarkStart w:id="1119" w:name="_Toc72958074"/>
      <w:bookmarkStart w:id="1120" w:name="_Toc72958122"/>
      <w:bookmarkStart w:id="1121" w:name="_Toc80272062"/>
      <w:bookmarkStart w:id="1122" w:name="_Toc81315361"/>
      <w:bookmarkStart w:id="1123" w:name="_Toc34033371"/>
      <w:bookmarkStart w:id="1124" w:name="_Toc36013338"/>
      <w:bookmarkStart w:id="1125" w:name="_Toc48403053"/>
      <w:bookmarkStart w:id="1126" w:name="_Toc48403640"/>
      <w:r w:rsidRPr="005734B8">
        <w:rPr>
          <w:rFonts w:ascii="Calibri" w:hAnsi="Calibri" w:cs="Calibri"/>
        </w:rPr>
        <w:lastRenderedPageBreak/>
        <w:t xml:space="preserve">Comprehensive operating statement for the financial year ended </w:t>
      </w:r>
      <w:r w:rsidRPr="005734B8">
        <w:rPr>
          <w:rFonts w:ascii="Calibri" w:hAnsi="Calibri" w:cs="Calibri"/>
        </w:rPr>
        <w:fldChar w:fldCharType="begin"/>
      </w:r>
      <w:r w:rsidRPr="005734B8">
        <w:rPr>
          <w:rFonts w:ascii="Calibri" w:hAnsi="Calibri" w:cs="Calibri"/>
        </w:rPr>
        <w:instrText xml:space="preserve"> DOCPROPERTY  pEnd  \* MERGEFORMAT </w:instrText>
      </w:r>
      <w:r w:rsidRPr="005734B8">
        <w:rPr>
          <w:rFonts w:ascii="Calibri" w:hAnsi="Calibri" w:cs="Calibri"/>
        </w:rPr>
        <w:fldChar w:fldCharType="separate"/>
      </w:r>
      <w:r w:rsidRPr="005734B8">
        <w:rPr>
          <w:rFonts w:ascii="Calibri" w:hAnsi="Calibri" w:cs="Calibri"/>
        </w:rPr>
        <w:t>30 June</w:t>
      </w:r>
      <w:r w:rsidRPr="005734B8">
        <w:rPr>
          <w:rFonts w:ascii="Calibri" w:hAnsi="Calibri" w:cs="Calibri"/>
        </w:rPr>
        <w:fldChar w:fldCharType="end"/>
      </w:r>
      <w:r w:rsidRPr="005734B8">
        <w:rPr>
          <w:rFonts w:ascii="Calibri" w:hAnsi="Calibri" w:cs="Calibri"/>
        </w:rPr>
        <w:t xml:space="preserve"> </w:t>
      </w:r>
      <w:r w:rsidRPr="005734B8">
        <w:rPr>
          <w:rFonts w:ascii="Calibri" w:hAnsi="Calibri" w:cs="Calibri"/>
        </w:rPr>
        <w:fldChar w:fldCharType="begin"/>
      </w:r>
      <w:r w:rsidRPr="005734B8">
        <w:rPr>
          <w:rFonts w:ascii="Calibri" w:hAnsi="Calibri" w:cs="Calibri"/>
        </w:rPr>
        <w:instrText xml:space="preserve"> DOCPROPERTY  crYear  \* MERGEFORMAT </w:instrText>
      </w:r>
      <w:r w:rsidRPr="005734B8">
        <w:rPr>
          <w:rFonts w:ascii="Calibri" w:hAnsi="Calibri" w:cs="Calibri"/>
        </w:rPr>
        <w:fldChar w:fldCharType="separate"/>
      </w:r>
      <w:r w:rsidRPr="005734B8">
        <w:rPr>
          <w:rFonts w:ascii="Calibri" w:hAnsi="Calibri" w:cs="Calibri"/>
        </w:rPr>
        <w:t>2021</w:t>
      </w:r>
      <w:bookmarkEnd w:id="1119"/>
      <w:bookmarkEnd w:id="1120"/>
      <w:bookmarkEnd w:id="1121"/>
      <w:bookmarkEnd w:id="1122"/>
      <w:r w:rsidRPr="005734B8">
        <w:rPr>
          <w:rFonts w:ascii="Calibri" w:hAnsi="Calibri" w:cs="Calibri"/>
        </w:rPr>
        <w:fldChar w:fldCharType="end"/>
      </w:r>
      <w:r w:rsidRPr="005734B8">
        <w:rPr>
          <w:rFonts w:ascii="Calibri" w:hAnsi="Calibri" w:cs="Calibri"/>
          <w:szCs w:val="18"/>
        </w:rPr>
        <w:fldChar w:fldCharType="begin"/>
      </w:r>
      <w:r w:rsidRPr="005734B8">
        <w:rPr>
          <w:rFonts w:ascii="Calibri" w:hAnsi="Calibri" w:cs="Calibri"/>
        </w:rPr>
        <w:instrText xml:space="preserve"> TC </w:instrText>
      </w:r>
      <w:r w:rsidR="00B15F9A" w:rsidRPr="005734B8">
        <w:rPr>
          <w:rFonts w:ascii="Calibri" w:hAnsi="Calibri" w:cs="Calibri"/>
        </w:rPr>
        <w:instrText>“</w:instrText>
      </w:r>
      <w:bookmarkStart w:id="1127" w:name="_Toc21426679"/>
      <w:r w:rsidRPr="005734B8">
        <w:rPr>
          <w:rFonts w:ascii="Calibri" w:hAnsi="Calibri" w:cs="Calibri"/>
        </w:rPr>
        <w:instrText>Statement of Comprehensive Income</w:instrText>
      </w:r>
      <w:bookmarkEnd w:id="1127"/>
      <w:r w:rsidR="00B15F9A" w:rsidRPr="005734B8">
        <w:rPr>
          <w:rFonts w:ascii="Calibri" w:hAnsi="Calibri" w:cs="Calibri"/>
        </w:rPr>
        <w:instrText>”</w:instrText>
      </w:r>
      <w:r w:rsidRPr="005734B8">
        <w:rPr>
          <w:rFonts w:ascii="Calibri" w:hAnsi="Calibri" w:cs="Calibri"/>
        </w:rPr>
        <w:instrText xml:space="preserve"> \f C \l </w:instrText>
      </w:r>
      <w:r w:rsidR="00B15F9A" w:rsidRPr="005734B8">
        <w:rPr>
          <w:rFonts w:ascii="Calibri" w:hAnsi="Calibri" w:cs="Calibri"/>
        </w:rPr>
        <w:instrText>“</w:instrText>
      </w:r>
      <w:r w:rsidRPr="005734B8">
        <w:rPr>
          <w:rFonts w:ascii="Calibri" w:hAnsi="Calibri" w:cs="Calibri"/>
        </w:rPr>
        <w:instrText>1</w:instrText>
      </w:r>
      <w:r w:rsidR="00B15F9A" w:rsidRPr="005734B8">
        <w:rPr>
          <w:rFonts w:ascii="Calibri" w:hAnsi="Calibri" w:cs="Calibri"/>
        </w:rPr>
        <w:instrText>”</w:instrText>
      </w:r>
      <w:r w:rsidRPr="005734B8">
        <w:rPr>
          <w:rFonts w:ascii="Calibri" w:hAnsi="Calibri" w:cs="Calibri"/>
        </w:rPr>
        <w:instrText xml:space="preserve"> </w:instrText>
      </w:r>
      <w:r w:rsidRPr="005734B8">
        <w:rPr>
          <w:rFonts w:ascii="Calibri" w:hAnsi="Calibri" w:cs="Calibri"/>
          <w:szCs w:val="18"/>
        </w:rPr>
        <w:fldChar w:fldCharType="end"/>
      </w:r>
    </w:p>
    <w:tbl>
      <w:tblPr>
        <w:tblW w:w="7625" w:type="dxa"/>
        <w:tblInd w:w="75" w:type="dxa"/>
        <w:tblLayout w:type="fixed"/>
        <w:tblLook w:val="04A0" w:firstRow="1" w:lastRow="0" w:firstColumn="1" w:lastColumn="0" w:noHBand="0" w:noVBand="1"/>
      </w:tblPr>
      <w:tblGrid>
        <w:gridCol w:w="3971"/>
        <w:gridCol w:w="1174"/>
        <w:gridCol w:w="1241"/>
        <w:gridCol w:w="1239"/>
      </w:tblGrid>
      <w:tr w:rsidR="00595956" w:rsidRPr="005734B8" w14:paraId="27CD229F" w14:textId="77777777" w:rsidTr="000F48B1">
        <w:trPr>
          <w:trHeight w:val="480"/>
        </w:trPr>
        <w:tc>
          <w:tcPr>
            <w:tcW w:w="3971" w:type="dxa"/>
            <w:tcBorders>
              <w:top w:val="nil"/>
              <w:left w:val="single" w:sz="4" w:space="0" w:color="FFFFFF"/>
              <w:bottom w:val="single" w:sz="4" w:space="0" w:color="FFFFFF"/>
              <w:right w:val="single" w:sz="4" w:space="0" w:color="FFFFFF"/>
            </w:tcBorders>
            <w:shd w:val="clear" w:color="000000" w:fill="AF272F"/>
            <w:vAlign w:val="center"/>
            <w:hideMark/>
          </w:tcPr>
          <w:p w14:paraId="14950AFF" w14:textId="77777777" w:rsidR="00595956" w:rsidRPr="005734B8" w:rsidRDefault="00595956" w:rsidP="000F48B1">
            <w:pPr>
              <w:jc w:val="center"/>
              <w:rPr>
                <w:rFonts w:ascii="Calibri" w:hAnsi="Calibri" w:cs="Calibri"/>
                <w:b/>
                <w:color w:val="FFFFFF"/>
                <w:sz w:val="18"/>
                <w:szCs w:val="18"/>
              </w:rPr>
            </w:pPr>
            <w:bookmarkStart w:id="1128" w:name="Note_DPLTABLE1" w:colFirst="0" w:colLast="0"/>
            <w:r w:rsidRPr="005734B8">
              <w:rPr>
                <w:rFonts w:ascii="Calibri" w:hAnsi="Calibri" w:cs="Calibri"/>
                <w:b/>
                <w:color w:val="FFFFFF"/>
                <w:sz w:val="18"/>
                <w:szCs w:val="18"/>
              </w:rPr>
              <w:t> </w:t>
            </w:r>
          </w:p>
        </w:tc>
        <w:tc>
          <w:tcPr>
            <w:tcW w:w="1174" w:type="dxa"/>
            <w:tcBorders>
              <w:top w:val="nil"/>
              <w:left w:val="nil"/>
              <w:bottom w:val="single" w:sz="4" w:space="0" w:color="FFFFFF"/>
              <w:right w:val="single" w:sz="4" w:space="0" w:color="FFFFFF"/>
            </w:tcBorders>
            <w:shd w:val="clear" w:color="000000" w:fill="AF272F"/>
            <w:hideMark/>
          </w:tcPr>
          <w:p w14:paraId="34D392EF" w14:textId="77777777" w:rsidR="00595956" w:rsidRPr="005734B8" w:rsidRDefault="00595956" w:rsidP="000F48B1">
            <w:pPr>
              <w:jc w:val="right"/>
              <w:rPr>
                <w:rFonts w:ascii="Calibri" w:hAnsi="Calibri" w:cs="Calibri"/>
                <w:b/>
                <w:color w:val="FFFFFF"/>
                <w:sz w:val="18"/>
                <w:szCs w:val="18"/>
              </w:rPr>
            </w:pPr>
            <w:r w:rsidRPr="005734B8">
              <w:rPr>
                <w:rFonts w:ascii="Calibri" w:hAnsi="Calibri" w:cs="Calibri"/>
                <w:b/>
                <w:color w:val="FFFFFF"/>
                <w:sz w:val="18"/>
                <w:szCs w:val="18"/>
              </w:rPr>
              <w:t>Notes</w:t>
            </w:r>
          </w:p>
        </w:tc>
        <w:tc>
          <w:tcPr>
            <w:tcW w:w="1241" w:type="dxa"/>
            <w:tcBorders>
              <w:top w:val="nil"/>
              <w:left w:val="nil"/>
              <w:bottom w:val="single" w:sz="4" w:space="0" w:color="FFFFFF"/>
              <w:right w:val="single" w:sz="4" w:space="0" w:color="FFFFFF"/>
            </w:tcBorders>
            <w:shd w:val="clear" w:color="000000" w:fill="AF272F"/>
            <w:hideMark/>
          </w:tcPr>
          <w:p w14:paraId="33B89A70" w14:textId="77777777" w:rsidR="00595956" w:rsidRPr="005734B8" w:rsidRDefault="00595956"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239" w:type="dxa"/>
            <w:tcBorders>
              <w:top w:val="nil"/>
              <w:left w:val="nil"/>
              <w:bottom w:val="single" w:sz="4" w:space="0" w:color="FFFFFF"/>
              <w:right w:val="single" w:sz="4" w:space="0" w:color="FFFFFF"/>
            </w:tcBorders>
            <w:shd w:val="clear" w:color="000000" w:fill="AF272F"/>
            <w:hideMark/>
          </w:tcPr>
          <w:p w14:paraId="4C099CB1" w14:textId="77777777" w:rsidR="00595956" w:rsidRPr="005734B8" w:rsidRDefault="00595956"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128"/>
      <w:tr w:rsidR="00595956" w:rsidRPr="005734B8" w14:paraId="07690A45" w14:textId="77777777" w:rsidTr="000F48B1">
        <w:trPr>
          <w:trHeight w:val="255"/>
        </w:trPr>
        <w:tc>
          <w:tcPr>
            <w:tcW w:w="3971" w:type="dxa"/>
            <w:tcBorders>
              <w:top w:val="nil"/>
              <w:left w:val="single" w:sz="4" w:space="0" w:color="FFFFFF"/>
              <w:bottom w:val="single" w:sz="4" w:space="0" w:color="auto"/>
              <w:right w:val="nil"/>
            </w:tcBorders>
            <w:shd w:val="clear" w:color="000000" w:fill="53565A"/>
            <w:vAlign w:val="center"/>
            <w:hideMark/>
          </w:tcPr>
          <w:p w14:paraId="03B5EBF5"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Continuing operations</w:t>
            </w:r>
          </w:p>
        </w:tc>
        <w:tc>
          <w:tcPr>
            <w:tcW w:w="1174" w:type="dxa"/>
            <w:tcBorders>
              <w:top w:val="nil"/>
              <w:left w:val="nil"/>
              <w:bottom w:val="single" w:sz="4" w:space="0" w:color="auto"/>
              <w:right w:val="nil"/>
            </w:tcBorders>
            <w:shd w:val="clear" w:color="000000" w:fill="53565A"/>
            <w:vAlign w:val="center"/>
            <w:hideMark/>
          </w:tcPr>
          <w:p w14:paraId="7529C056"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 </w:t>
            </w:r>
          </w:p>
        </w:tc>
        <w:tc>
          <w:tcPr>
            <w:tcW w:w="1241" w:type="dxa"/>
            <w:tcBorders>
              <w:top w:val="nil"/>
              <w:left w:val="nil"/>
              <w:bottom w:val="single" w:sz="4" w:space="0" w:color="auto"/>
              <w:right w:val="nil"/>
            </w:tcBorders>
            <w:shd w:val="clear" w:color="000000" w:fill="53565A"/>
            <w:vAlign w:val="center"/>
            <w:hideMark/>
          </w:tcPr>
          <w:p w14:paraId="5DC49522"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 </w:t>
            </w:r>
          </w:p>
        </w:tc>
        <w:tc>
          <w:tcPr>
            <w:tcW w:w="1239" w:type="dxa"/>
            <w:tcBorders>
              <w:top w:val="nil"/>
              <w:left w:val="nil"/>
              <w:bottom w:val="single" w:sz="4" w:space="0" w:color="auto"/>
              <w:right w:val="nil"/>
            </w:tcBorders>
            <w:shd w:val="clear" w:color="000000" w:fill="53565A"/>
            <w:vAlign w:val="center"/>
            <w:hideMark/>
          </w:tcPr>
          <w:p w14:paraId="599A16C9"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 </w:t>
            </w:r>
          </w:p>
        </w:tc>
      </w:tr>
      <w:tr w:rsidR="00595956" w:rsidRPr="005734B8" w14:paraId="33CFBF72" w14:textId="77777777" w:rsidTr="000F48B1">
        <w:trPr>
          <w:trHeight w:val="255"/>
        </w:trPr>
        <w:tc>
          <w:tcPr>
            <w:tcW w:w="3971" w:type="dxa"/>
            <w:tcBorders>
              <w:top w:val="nil"/>
              <w:left w:val="single" w:sz="4" w:space="0" w:color="FFFFFF"/>
              <w:bottom w:val="single" w:sz="4" w:space="0" w:color="auto"/>
              <w:right w:val="single" w:sz="4" w:space="0" w:color="FFFFFF"/>
            </w:tcBorders>
            <w:shd w:val="clear" w:color="000000" w:fill="D9D9D9"/>
            <w:vAlign w:val="center"/>
            <w:hideMark/>
          </w:tcPr>
          <w:p w14:paraId="63BBA619" w14:textId="350AB342" w:rsidR="00595956" w:rsidRPr="005734B8" w:rsidRDefault="001408AF" w:rsidP="000F48B1">
            <w:pPr>
              <w:rPr>
                <w:rFonts w:ascii="Calibri" w:hAnsi="Calibri" w:cs="Calibri"/>
                <w:b/>
                <w:sz w:val="18"/>
                <w:szCs w:val="18"/>
              </w:rPr>
            </w:pPr>
            <w:r w:rsidRPr="005734B8">
              <w:rPr>
                <w:rFonts w:ascii="Calibri" w:hAnsi="Calibri" w:cs="Calibri"/>
                <w:b/>
                <w:sz w:val="18"/>
                <w:szCs w:val="18"/>
              </w:rPr>
              <w:t>Revenue and i</w:t>
            </w:r>
            <w:r w:rsidR="00595956" w:rsidRPr="005734B8">
              <w:rPr>
                <w:rFonts w:ascii="Calibri" w:hAnsi="Calibri" w:cs="Calibri"/>
                <w:b/>
                <w:sz w:val="18"/>
                <w:szCs w:val="18"/>
              </w:rPr>
              <w:t>ncome from transactions</w:t>
            </w:r>
          </w:p>
        </w:tc>
        <w:tc>
          <w:tcPr>
            <w:tcW w:w="1174" w:type="dxa"/>
            <w:tcBorders>
              <w:top w:val="nil"/>
              <w:left w:val="nil"/>
              <w:bottom w:val="single" w:sz="4" w:space="0" w:color="auto"/>
              <w:right w:val="single" w:sz="4" w:space="0" w:color="FFFFFF"/>
            </w:tcBorders>
            <w:shd w:val="clear" w:color="000000" w:fill="D9D9D9"/>
            <w:vAlign w:val="bottom"/>
            <w:hideMark/>
          </w:tcPr>
          <w:p w14:paraId="30DFED4B"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241" w:type="dxa"/>
            <w:tcBorders>
              <w:top w:val="nil"/>
              <w:left w:val="nil"/>
              <w:bottom w:val="single" w:sz="4" w:space="0" w:color="auto"/>
              <w:right w:val="single" w:sz="4" w:space="0" w:color="FFFFFF"/>
            </w:tcBorders>
            <w:shd w:val="clear" w:color="000000" w:fill="D9D9D9"/>
            <w:vAlign w:val="bottom"/>
            <w:hideMark/>
          </w:tcPr>
          <w:p w14:paraId="199F126B"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239" w:type="dxa"/>
            <w:tcBorders>
              <w:top w:val="nil"/>
              <w:left w:val="nil"/>
              <w:bottom w:val="single" w:sz="4" w:space="0" w:color="auto"/>
              <w:right w:val="single" w:sz="4" w:space="0" w:color="FFFFFF"/>
            </w:tcBorders>
            <w:shd w:val="clear" w:color="000000" w:fill="D9D9D9"/>
            <w:vAlign w:val="bottom"/>
            <w:hideMark/>
          </w:tcPr>
          <w:p w14:paraId="069240E2"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r>
      <w:tr w:rsidR="00595956" w:rsidRPr="005734B8" w14:paraId="089C2B68" w14:textId="77777777" w:rsidTr="000F48B1">
        <w:trPr>
          <w:trHeight w:val="263"/>
        </w:trPr>
        <w:tc>
          <w:tcPr>
            <w:tcW w:w="3971" w:type="dxa"/>
            <w:tcBorders>
              <w:top w:val="nil"/>
              <w:left w:val="single" w:sz="4" w:space="0" w:color="FFFFFF"/>
              <w:bottom w:val="single" w:sz="4" w:space="0" w:color="auto"/>
              <w:right w:val="single" w:sz="4" w:space="0" w:color="FFFFFF"/>
            </w:tcBorders>
            <w:shd w:val="clear" w:color="FFFFFF" w:fill="FFFFFF"/>
            <w:vAlign w:val="center"/>
            <w:hideMark/>
          </w:tcPr>
          <w:p w14:paraId="43F04BBC"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Output appropriations</w:t>
            </w:r>
          </w:p>
        </w:tc>
        <w:tc>
          <w:tcPr>
            <w:tcW w:w="1174" w:type="dxa"/>
            <w:tcBorders>
              <w:top w:val="nil"/>
              <w:left w:val="nil"/>
              <w:bottom w:val="single" w:sz="4" w:space="0" w:color="auto"/>
              <w:right w:val="single" w:sz="4" w:space="0" w:color="FFFFFF"/>
            </w:tcBorders>
            <w:shd w:val="clear" w:color="FFFFFF" w:fill="FFFFFF"/>
            <w:noWrap/>
            <w:vAlign w:val="center"/>
            <w:hideMark/>
          </w:tcPr>
          <w:p w14:paraId="74964489"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2.3.1</w:t>
            </w:r>
          </w:p>
        </w:tc>
        <w:tc>
          <w:tcPr>
            <w:tcW w:w="1241" w:type="dxa"/>
            <w:tcBorders>
              <w:top w:val="nil"/>
              <w:left w:val="nil"/>
              <w:bottom w:val="single" w:sz="4" w:space="0" w:color="auto"/>
              <w:right w:val="single" w:sz="4" w:space="0" w:color="FFFFFF"/>
            </w:tcBorders>
            <w:shd w:val="clear" w:color="000000" w:fill="D9D9D9"/>
            <w:noWrap/>
            <w:vAlign w:val="center"/>
            <w:hideMark/>
          </w:tcPr>
          <w:p w14:paraId="43D0226C"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16,133.9 </w:t>
            </w:r>
          </w:p>
        </w:tc>
        <w:tc>
          <w:tcPr>
            <w:tcW w:w="1239" w:type="dxa"/>
            <w:tcBorders>
              <w:top w:val="nil"/>
              <w:left w:val="nil"/>
              <w:bottom w:val="single" w:sz="4" w:space="0" w:color="auto"/>
              <w:right w:val="single" w:sz="4" w:space="0" w:color="FFFFFF"/>
            </w:tcBorders>
            <w:shd w:val="clear" w:color="FFFFFF" w:fill="FFFFFF"/>
            <w:noWrap/>
            <w:vAlign w:val="center"/>
            <w:hideMark/>
          </w:tcPr>
          <w:p w14:paraId="22C55D62"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14,887.5 </w:t>
            </w:r>
          </w:p>
        </w:tc>
      </w:tr>
      <w:tr w:rsidR="00595956" w:rsidRPr="005734B8" w14:paraId="044F195E" w14:textId="77777777" w:rsidTr="000F48B1">
        <w:trPr>
          <w:trHeight w:val="255"/>
        </w:trPr>
        <w:tc>
          <w:tcPr>
            <w:tcW w:w="3971" w:type="dxa"/>
            <w:tcBorders>
              <w:top w:val="nil"/>
              <w:left w:val="single" w:sz="4" w:space="0" w:color="FFFFFF"/>
              <w:bottom w:val="single" w:sz="4" w:space="0" w:color="auto"/>
              <w:right w:val="single" w:sz="4" w:space="0" w:color="FFFFFF"/>
            </w:tcBorders>
            <w:shd w:val="clear" w:color="FFFFFF" w:fill="FFFFFF"/>
            <w:vAlign w:val="center"/>
            <w:hideMark/>
          </w:tcPr>
          <w:p w14:paraId="6A39EE19"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Special appropriations</w:t>
            </w:r>
          </w:p>
        </w:tc>
        <w:tc>
          <w:tcPr>
            <w:tcW w:w="1174" w:type="dxa"/>
            <w:tcBorders>
              <w:top w:val="nil"/>
              <w:left w:val="nil"/>
              <w:bottom w:val="single" w:sz="4" w:space="0" w:color="auto"/>
              <w:right w:val="single" w:sz="4" w:space="0" w:color="FFFFFF"/>
            </w:tcBorders>
            <w:shd w:val="clear" w:color="FFFFFF" w:fill="FFFFFF"/>
            <w:noWrap/>
            <w:vAlign w:val="center"/>
            <w:hideMark/>
          </w:tcPr>
          <w:p w14:paraId="4B703390"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2.3.2</w:t>
            </w:r>
          </w:p>
        </w:tc>
        <w:tc>
          <w:tcPr>
            <w:tcW w:w="1241" w:type="dxa"/>
            <w:tcBorders>
              <w:top w:val="nil"/>
              <w:left w:val="nil"/>
              <w:bottom w:val="single" w:sz="4" w:space="0" w:color="auto"/>
              <w:right w:val="single" w:sz="4" w:space="0" w:color="FFFFFF"/>
            </w:tcBorders>
            <w:shd w:val="clear" w:color="000000" w:fill="D9D9D9"/>
            <w:noWrap/>
            <w:vAlign w:val="center"/>
            <w:hideMark/>
          </w:tcPr>
          <w:p w14:paraId="2A76E62B"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5.8 </w:t>
            </w:r>
          </w:p>
        </w:tc>
        <w:tc>
          <w:tcPr>
            <w:tcW w:w="1239" w:type="dxa"/>
            <w:tcBorders>
              <w:top w:val="nil"/>
              <w:left w:val="nil"/>
              <w:bottom w:val="single" w:sz="4" w:space="0" w:color="auto"/>
              <w:right w:val="single" w:sz="4" w:space="0" w:color="FFFFFF"/>
            </w:tcBorders>
            <w:shd w:val="clear" w:color="FFFFFF" w:fill="FFFFFF"/>
            <w:noWrap/>
            <w:vAlign w:val="center"/>
            <w:hideMark/>
          </w:tcPr>
          <w:p w14:paraId="2E68C4B5"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8.0 </w:t>
            </w:r>
          </w:p>
        </w:tc>
      </w:tr>
      <w:tr w:rsidR="00595956" w:rsidRPr="005734B8" w14:paraId="399A39FC" w14:textId="77777777" w:rsidTr="000F48B1">
        <w:trPr>
          <w:trHeight w:val="255"/>
        </w:trPr>
        <w:tc>
          <w:tcPr>
            <w:tcW w:w="3971" w:type="dxa"/>
            <w:tcBorders>
              <w:top w:val="nil"/>
              <w:left w:val="single" w:sz="4" w:space="0" w:color="FFFFFF"/>
              <w:bottom w:val="single" w:sz="4" w:space="0" w:color="auto"/>
              <w:right w:val="single" w:sz="4" w:space="0" w:color="FFFFFF"/>
            </w:tcBorders>
            <w:shd w:val="clear" w:color="FFFFFF" w:fill="FFFFFF"/>
            <w:vAlign w:val="center"/>
            <w:hideMark/>
          </w:tcPr>
          <w:p w14:paraId="698CD4CE"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Grants</w:t>
            </w:r>
          </w:p>
        </w:tc>
        <w:tc>
          <w:tcPr>
            <w:tcW w:w="1174" w:type="dxa"/>
            <w:tcBorders>
              <w:top w:val="nil"/>
              <w:left w:val="nil"/>
              <w:bottom w:val="single" w:sz="4" w:space="0" w:color="auto"/>
              <w:right w:val="single" w:sz="4" w:space="0" w:color="FFFFFF"/>
            </w:tcBorders>
            <w:shd w:val="clear" w:color="FFFFFF" w:fill="FFFFFF"/>
            <w:noWrap/>
            <w:vAlign w:val="center"/>
            <w:hideMark/>
          </w:tcPr>
          <w:p w14:paraId="5ACCE2BD"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2.4.1</w:t>
            </w:r>
          </w:p>
        </w:tc>
        <w:tc>
          <w:tcPr>
            <w:tcW w:w="1241" w:type="dxa"/>
            <w:tcBorders>
              <w:top w:val="nil"/>
              <w:left w:val="nil"/>
              <w:bottom w:val="single" w:sz="4" w:space="0" w:color="auto"/>
              <w:right w:val="single" w:sz="4" w:space="0" w:color="FFFFFF"/>
            </w:tcBorders>
            <w:shd w:val="clear" w:color="000000" w:fill="D9D9D9"/>
            <w:noWrap/>
            <w:vAlign w:val="center"/>
            <w:hideMark/>
          </w:tcPr>
          <w:p w14:paraId="012348D3"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62.2 </w:t>
            </w:r>
          </w:p>
        </w:tc>
        <w:tc>
          <w:tcPr>
            <w:tcW w:w="1239" w:type="dxa"/>
            <w:tcBorders>
              <w:top w:val="nil"/>
              <w:left w:val="nil"/>
              <w:bottom w:val="single" w:sz="4" w:space="0" w:color="auto"/>
              <w:right w:val="single" w:sz="4" w:space="0" w:color="FFFFFF"/>
            </w:tcBorders>
            <w:shd w:val="clear" w:color="FFFFFF" w:fill="FFFFFF"/>
            <w:noWrap/>
            <w:vAlign w:val="center"/>
            <w:hideMark/>
          </w:tcPr>
          <w:p w14:paraId="41AD8A2A"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136.5 </w:t>
            </w:r>
          </w:p>
        </w:tc>
      </w:tr>
      <w:tr w:rsidR="00595956" w:rsidRPr="005734B8" w14:paraId="0FE387DF" w14:textId="77777777" w:rsidTr="000F48B1">
        <w:trPr>
          <w:trHeight w:val="255"/>
        </w:trPr>
        <w:tc>
          <w:tcPr>
            <w:tcW w:w="3971" w:type="dxa"/>
            <w:tcBorders>
              <w:top w:val="nil"/>
              <w:left w:val="single" w:sz="4" w:space="0" w:color="FFFFFF"/>
              <w:bottom w:val="single" w:sz="4" w:space="0" w:color="auto"/>
              <w:right w:val="single" w:sz="4" w:space="0" w:color="FFFFFF"/>
            </w:tcBorders>
            <w:shd w:val="clear" w:color="FFFFFF" w:fill="FFFFFF"/>
            <w:vAlign w:val="center"/>
            <w:hideMark/>
          </w:tcPr>
          <w:p w14:paraId="6CAF5DD9"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Sale of goods and services</w:t>
            </w:r>
          </w:p>
        </w:tc>
        <w:tc>
          <w:tcPr>
            <w:tcW w:w="1174" w:type="dxa"/>
            <w:tcBorders>
              <w:top w:val="nil"/>
              <w:left w:val="nil"/>
              <w:bottom w:val="single" w:sz="4" w:space="0" w:color="auto"/>
              <w:right w:val="single" w:sz="4" w:space="0" w:color="FFFFFF"/>
            </w:tcBorders>
            <w:shd w:val="clear" w:color="FFFFFF" w:fill="FFFFFF"/>
            <w:noWrap/>
            <w:vAlign w:val="center"/>
            <w:hideMark/>
          </w:tcPr>
          <w:p w14:paraId="1EB03DDA"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2.4.2</w:t>
            </w:r>
          </w:p>
        </w:tc>
        <w:tc>
          <w:tcPr>
            <w:tcW w:w="1241" w:type="dxa"/>
            <w:tcBorders>
              <w:top w:val="nil"/>
              <w:left w:val="nil"/>
              <w:bottom w:val="single" w:sz="4" w:space="0" w:color="auto"/>
              <w:right w:val="single" w:sz="4" w:space="0" w:color="FFFFFF"/>
            </w:tcBorders>
            <w:shd w:val="clear" w:color="000000" w:fill="D9D9D9"/>
            <w:noWrap/>
            <w:vAlign w:val="center"/>
            <w:hideMark/>
          </w:tcPr>
          <w:p w14:paraId="6A419CF3"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234.2 </w:t>
            </w:r>
          </w:p>
        </w:tc>
        <w:tc>
          <w:tcPr>
            <w:tcW w:w="1239" w:type="dxa"/>
            <w:tcBorders>
              <w:top w:val="nil"/>
              <w:left w:val="nil"/>
              <w:bottom w:val="single" w:sz="4" w:space="0" w:color="auto"/>
              <w:right w:val="single" w:sz="4" w:space="0" w:color="FFFFFF"/>
            </w:tcBorders>
            <w:shd w:val="clear" w:color="FFFFFF" w:fill="FFFFFF"/>
            <w:noWrap/>
            <w:vAlign w:val="center"/>
            <w:hideMark/>
          </w:tcPr>
          <w:p w14:paraId="722EFE6D"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280.1 </w:t>
            </w:r>
          </w:p>
        </w:tc>
      </w:tr>
      <w:tr w:rsidR="00595956" w:rsidRPr="005734B8" w14:paraId="78331031" w14:textId="77777777" w:rsidTr="000F48B1">
        <w:trPr>
          <w:trHeight w:val="270"/>
        </w:trPr>
        <w:tc>
          <w:tcPr>
            <w:tcW w:w="3971" w:type="dxa"/>
            <w:tcBorders>
              <w:top w:val="nil"/>
              <w:left w:val="single" w:sz="4" w:space="0" w:color="FFFFFF"/>
              <w:bottom w:val="single" w:sz="4" w:space="0" w:color="auto"/>
              <w:right w:val="single" w:sz="4" w:space="0" w:color="FFFFFF"/>
            </w:tcBorders>
            <w:shd w:val="clear" w:color="FFFFFF" w:fill="FFFFFF"/>
            <w:vAlign w:val="center"/>
            <w:hideMark/>
          </w:tcPr>
          <w:p w14:paraId="26E03B9F"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Other Income</w:t>
            </w:r>
          </w:p>
        </w:tc>
        <w:tc>
          <w:tcPr>
            <w:tcW w:w="1174" w:type="dxa"/>
            <w:tcBorders>
              <w:top w:val="nil"/>
              <w:left w:val="nil"/>
              <w:bottom w:val="single" w:sz="4" w:space="0" w:color="auto"/>
              <w:right w:val="single" w:sz="4" w:space="0" w:color="FFFFFF"/>
            </w:tcBorders>
            <w:shd w:val="clear" w:color="FFFFFF" w:fill="FFFFFF"/>
            <w:noWrap/>
            <w:vAlign w:val="center"/>
            <w:hideMark/>
          </w:tcPr>
          <w:p w14:paraId="035C12CA"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2.4.3</w:t>
            </w:r>
          </w:p>
        </w:tc>
        <w:tc>
          <w:tcPr>
            <w:tcW w:w="1241" w:type="dxa"/>
            <w:tcBorders>
              <w:top w:val="nil"/>
              <w:left w:val="nil"/>
              <w:bottom w:val="single" w:sz="4" w:space="0" w:color="auto"/>
              <w:right w:val="single" w:sz="4" w:space="0" w:color="FFFFFF"/>
            </w:tcBorders>
            <w:shd w:val="clear" w:color="000000" w:fill="D9D9D9"/>
            <w:noWrap/>
            <w:vAlign w:val="center"/>
            <w:hideMark/>
          </w:tcPr>
          <w:p w14:paraId="7E49828E"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295.5 </w:t>
            </w:r>
          </w:p>
        </w:tc>
        <w:tc>
          <w:tcPr>
            <w:tcW w:w="1239" w:type="dxa"/>
            <w:tcBorders>
              <w:top w:val="nil"/>
              <w:left w:val="nil"/>
              <w:bottom w:val="single" w:sz="4" w:space="0" w:color="auto"/>
              <w:right w:val="single" w:sz="4" w:space="0" w:color="FFFFFF"/>
            </w:tcBorders>
            <w:shd w:val="clear" w:color="FFFFFF" w:fill="FFFFFF"/>
            <w:noWrap/>
            <w:vAlign w:val="center"/>
            <w:hideMark/>
          </w:tcPr>
          <w:p w14:paraId="6522841C"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405.8 </w:t>
            </w:r>
          </w:p>
        </w:tc>
      </w:tr>
      <w:tr w:rsidR="00595956" w:rsidRPr="005734B8" w14:paraId="7A85FFCB" w14:textId="77777777" w:rsidTr="000F48B1">
        <w:trPr>
          <w:trHeight w:val="285"/>
        </w:trPr>
        <w:tc>
          <w:tcPr>
            <w:tcW w:w="397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A0128D3" w14:textId="5490CE50" w:rsidR="00595956" w:rsidRPr="005734B8" w:rsidRDefault="00595956" w:rsidP="000F48B1">
            <w:pPr>
              <w:rPr>
                <w:rFonts w:ascii="Calibri" w:hAnsi="Calibri" w:cs="Calibri"/>
                <w:b/>
                <w:sz w:val="18"/>
                <w:szCs w:val="18"/>
              </w:rPr>
            </w:pPr>
            <w:r w:rsidRPr="005734B8">
              <w:rPr>
                <w:rFonts w:ascii="Calibri" w:hAnsi="Calibri" w:cs="Calibri"/>
                <w:b/>
                <w:sz w:val="18"/>
                <w:szCs w:val="18"/>
              </w:rPr>
              <w:t xml:space="preserve">Total </w:t>
            </w:r>
            <w:r w:rsidR="001408AF" w:rsidRPr="005734B8">
              <w:rPr>
                <w:rFonts w:ascii="Calibri" w:hAnsi="Calibri" w:cs="Calibri"/>
                <w:b/>
                <w:sz w:val="18"/>
                <w:szCs w:val="18"/>
              </w:rPr>
              <w:t>revenue and</w:t>
            </w:r>
            <w:r w:rsidRPr="005734B8">
              <w:rPr>
                <w:rFonts w:ascii="Calibri" w:hAnsi="Calibri" w:cs="Calibri"/>
                <w:b/>
                <w:sz w:val="18"/>
                <w:szCs w:val="18"/>
              </w:rPr>
              <w:t xml:space="preserve"> income from transactions</w:t>
            </w:r>
          </w:p>
        </w:tc>
        <w:tc>
          <w:tcPr>
            <w:tcW w:w="1174" w:type="dxa"/>
            <w:tcBorders>
              <w:top w:val="single" w:sz="12" w:space="0" w:color="auto"/>
              <w:left w:val="nil"/>
              <w:bottom w:val="single" w:sz="12" w:space="0" w:color="auto"/>
              <w:right w:val="single" w:sz="12" w:space="0" w:color="FFFFFF"/>
            </w:tcBorders>
            <w:shd w:val="clear" w:color="FFFFFF" w:fill="FFFFFF"/>
            <w:vAlign w:val="center"/>
            <w:hideMark/>
          </w:tcPr>
          <w:p w14:paraId="79881EC2"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24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7610FF32"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16,731.6 </w:t>
            </w:r>
          </w:p>
        </w:tc>
        <w:tc>
          <w:tcPr>
            <w:tcW w:w="1239" w:type="dxa"/>
            <w:tcBorders>
              <w:top w:val="single" w:sz="12" w:space="0" w:color="auto"/>
              <w:left w:val="nil"/>
              <w:bottom w:val="single" w:sz="12" w:space="0" w:color="auto"/>
              <w:right w:val="single" w:sz="12" w:space="0" w:color="FFFFFF"/>
            </w:tcBorders>
            <w:shd w:val="clear" w:color="FFFFFF" w:fill="FFFFFF"/>
            <w:noWrap/>
            <w:vAlign w:val="center"/>
            <w:hideMark/>
          </w:tcPr>
          <w:p w14:paraId="051B11C9"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15,717.9 </w:t>
            </w:r>
          </w:p>
        </w:tc>
      </w:tr>
      <w:tr w:rsidR="00595956" w:rsidRPr="005734B8" w14:paraId="4600E5E9" w14:textId="77777777" w:rsidTr="000F48B1">
        <w:trPr>
          <w:trHeight w:val="270"/>
        </w:trPr>
        <w:tc>
          <w:tcPr>
            <w:tcW w:w="3971"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01B2FC4C"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Expenses from transactions</w:t>
            </w:r>
          </w:p>
        </w:tc>
        <w:tc>
          <w:tcPr>
            <w:tcW w:w="1174" w:type="dxa"/>
            <w:tcBorders>
              <w:top w:val="single" w:sz="4" w:space="0" w:color="auto"/>
              <w:left w:val="nil"/>
              <w:bottom w:val="single" w:sz="4" w:space="0" w:color="auto"/>
              <w:right w:val="single" w:sz="4" w:space="0" w:color="FFFFFF"/>
            </w:tcBorders>
            <w:shd w:val="clear" w:color="000000" w:fill="D9D9D9"/>
            <w:vAlign w:val="bottom"/>
            <w:hideMark/>
          </w:tcPr>
          <w:p w14:paraId="4A85924D"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241" w:type="dxa"/>
            <w:tcBorders>
              <w:top w:val="single" w:sz="4" w:space="0" w:color="auto"/>
              <w:left w:val="nil"/>
              <w:bottom w:val="single" w:sz="4" w:space="0" w:color="auto"/>
              <w:right w:val="single" w:sz="4" w:space="0" w:color="FFFFFF"/>
            </w:tcBorders>
            <w:shd w:val="clear" w:color="000000" w:fill="D9D9D9"/>
            <w:vAlign w:val="bottom"/>
            <w:hideMark/>
          </w:tcPr>
          <w:p w14:paraId="014A71A4"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239" w:type="dxa"/>
            <w:tcBorders>
              <w:top w:val="single" w:sz="4" w:space="0" w:color="auto"/>
              <w:left w:val="nil"/>
              <w:bottom w:val="single" w:sz="4" w:space="0" w:color="auto"/>
              <w:right w:val="single" w:sz="4" w:space="0" w:color="FFFFFF"/>
            </w:tcBorders>
            <w:shd w:val="clear" w:color="000000" w:fill="D9D9D9"/>
            <w:vAlign w:val="bottom"/>
            <w:hideMark/>
          </w:tcPr>
          <w:p w14:paraId="1FF646A5"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r>
      <w:tr w:rsidR="00595956" w:rsidRPr="005734B8" w14:paraId="6ABB3D01" w14:textId="77777777" w:rsidTr="000F48B1">
        <w:trPr>
          <w:trHeight w:val="255"/>
        </w:trPr>
        <w:tc>
          <w:tcPr>
            <w:tcW w:w="3971" w:type="dxa"/>
            <w:tcBorders>
              <w:top w:val="nil"/>
              <w:left w:val="single" w:sz="4" w:space="0" w:color="FFFFFF"/>
              <w:bottom w:val="single" w:sz="4" w:space="0" w:color="auto"/>
              <w:right w:val="single" w:sz="4" w:space="0" w:color="FFFFFF"/>
            </w:tcBorders>
            <w:shd w:val="clear" w:color="FFFFFF" w:fill="FFFFFF"/>
            <w:vAlign w:val="center"/>
            <w:hideMark/>
          </w:tcPr>
          <w:p w14:paraId="2B80E2F1"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Employee expenses</w:t>
            </w:r>
          </w:p>
        </w:tc>
        <w:tc>
          <w:tcPr>
            <w:tcW w:w="1174" w:type="dxa"/>
            <w:tcBorders>
              <w:top w:val="nil"/>
              <w:left w:val="nil"/>
              <w:bottom w:val="single" w:sz="4" w:space="0" w:color="auto"/>
              <w:right w:val="single" w:sz="4" w:space="0" w:color="FFFFFF"/>
            </w:tcBorders>
            <w:shd w:val="clear" w:color="FFFFFF" w:fill="FFFFFF"/>
            <w:noWrap/>
            <w:vAlign w:val="center"/>
            <w:hideMark/>
          </w:tcPr>
          <w:p w14:paraId="0A8EF7B1"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3.1.1</w:t>
            </w:r>
          </w:p>
        </w:tc>
        <w:tc>
          <w:tcPr>
            <w:tcW w:w="1241" w:type="dxa"/>
            <w:tcBorders>
              <w:top w:val="nil"/>
              <w:left w:val="nil"/>
              <w:bottom w:val="single" w:sz="4" w:space="0" w:color="auto"/>
              <w:right w:val="single" w:sz="4" w:space="0" w:color="FFFFFF"/>
            </w:tcBorders>
            <w:shd w:val="clear" w:color="000000" w:fill="D9D9D9"/>
            <w:noWrap/>
            <w:vAlign w:val="center"/>
            <w:hideMark/>
          </w:tcPr>
          <w:p w14:paraId="29C1075C"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(8,021.7) </w:t>
            </w:r>
          </w:p>
        </w:tc>
        <w:tc>
          <w:tcPr>
            <w:tcW w:w="1239" w:type="dxa"/>
            <w:tcBorders>
              <w:top w:val="nil"/>
              <w:left w:val="nil"/>
              <w:bottom w:val="single" w:sz="4" w:space="0" w:color="auto"/>
              <w:right w:val="single" w:sz="4" w:space="0" w:color="FFFFFF"/>
            </w:tcBorders>
            <w:shd w:val="clear" w:color="FFFFFF" w:fill="FFFFFF"/>
            <w:noWrap/>
            <w:vAlign w:val="center"/>
            <w:hideMark/>
          </w:tcPr>
          <w:p w14:paraId="6D4427E4"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(7,501.9) </w:t>
            </w:r>
          </w:p>
        </w:tc>
      </w:tr>
      <w:tr w:rsidR="00595956" w:rsidRPr="005734B8" w14:paraId="529E0707" w14:textId="77777777" w:rsidTr="000F48B1">
        <w:trPr>
          <w:trHeight w:val="375"/>
        </w:trPr>
        <w:tc>
          <w:tcPr>
            <w:tcW w:w="3971" w:type="dxa"/>
            <w:tcBorders>
              <w:top w:val="nil"/>
              <w:left w:val="single" w:sz="4" w:space="0" w:color="FFFFFF"/>
              <w:bottom w:val="single" w:sz="4" w:space="0" w:color="auto"/>
              <w:right w:val="single" w:sz="4" w:space="0" w:color="FFFFFF"/>
            </w:tcBorders>
            <w:shd w:val="clear" w:color="FFFFFF" w:fill="FFFFFF"/>
            <w:vAlign w:val="center"/>
            <w:hideMark/>
          </w:tcPr>
          <w:p w14:paraId="2C202DD9"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Interest expenses</w:t>
            </w:r>
          </w:p>
        </w:tc>
        <w:tc>
          <w:tcPr>
            <w:tcW w:w="1174" w:type="dxa"/>
            <w:tcBorders>
              <w:top w:val="nil"/>
              <w:left w:val="nil"/>
              <w:bottom w:val="single" w:sz="4" w:space="0" w:color="auto"/>
              <w:right w:val="single" w:sz="4" w:space="0" w:color="FFFFFF"/>
            </w:tcBorders>
            <w:shd w:val="clear" w:color="FFFFFF" w:fill="FFFFFF"/>
            <w:noWrap/>
            <w:vAlign w:val="center"/>
            <w:hideMark/>
          </w:tcPr>
          <w:p w14:paraId="698BB98B"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7.1.1</w:t>
            </w:r>
          </w:p>
        </w:tc>
        <w:tc>
          <w:tcPr>
            <w:tcW w:w="1241" w:type="dxa"/>
            <w:tcBorders>
              <w:top w:val="nil"/>
              <w:left w:val="nil"/>
              <w:bottom w:val="single" w:sz="4" w:space="0" w:color="auto"/>
              <w:right w:val="single" w:sz="4" w:space="0" w:color="FFFFFF"/>
            </w:tcBorders>
            <w:shd w:val="clear" w:color="000000" w:fill="D9D9D9"/>
            <w:noWrap/>
            <w:vAlign w:val="center"/>
            <w:hideMark/>
          </w:tcPr>
          <w:p w14:paraId="3059EFED"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(24.9) </w:t>
            </w:r>
          </w:p>
        </w:tc>
        <w:tc>
          <w:tcPr>
            <w:tcW w:w="1239" w:type="dxa"/>
            <w:tcBorders>
              <w:top w:val="nil"/>
              <w:left w:val="nil"/>
              <w:bottom w:val="single" w:sz="4" w:space="0" w:color="auto"/>
              <w:right w:val="single" w:sz="4" w:space="0" w:color="FFFFFF"/>
            </w:tcBorders>
            <w:shd w:val="clear" w:color="FFFFFF" w:fill="FFFFFF"/>
            <w:noWrap/>
            <w:vAlign w:val="center"/>
            <w:hideMark/>
          </w:tcPr>
          <w:p w14:paraId="05561631"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(30.3) </w:t>
            </w:r>
          </w:p>
        </w:tc>
      </w:tr>
      <w:tr w:rsidR="00595956" w:rsidRPr="005734B8" w14:paraId="41C0D88B" w14:textId="77777777" w:rsidTr="000F48B1">
        <w:trPr>
          <w:trHeight w:val="255"/>
        </w:trPr>
        <w:tc>
          <w:tcPr>
            <w:tcW w:w="3971" w:type="dxa"/>
            <w:tcBorders>
              <w:top w:val="nil"/>
              <w:left w:val="single" w:sz="4" w:space="0" w:color="FFFFFF"/>
              <w:bottom w:val="single" w:sz="4" w:space="0" w:color="auto"/>
              <w:right w:val="single" w:sz="4" w:space="0" w:color="FFFFFF"/>
            </w:tcBorders>
            <w:shd w:val="clear" w:color="FFFFFF" w:fill="FFFFFF"/>
            <w:vAlign w:val="center"/>
            <w:hideMark/>
          </w:tcPr>
          <w:p w14:paraId="13807E59"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Depreciation and amortisation</w:t>
            </w:r>
          </w:p>
        </w:tc>
        <w:tc>
          <w:tcPr>
            <w:tcW w:w="1174" w:type="dxa"/>
            <w:tcBorders>
              <w:top w:val="nil"/>
              <w:left w:val="nil"/>
              <w:bottom w:val="single" w:sz="4" w:space="0" w:color="auto"/>
              <w:right w:val="single" w:sz="4" w:space="0" w:color="FFFFFF"/>
            </w:tcBorders>
            <w:shd w:val="clear" w:color="FFFFFF" w:fill="FFFFFF"/>
            <w:noWrap/>
            <w:vAlign w:val="center"/>
            <w:hideMark/>
          </w:tcPr>
          <w:p w14:paraId="437BD7E6"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5.1.1</w:t>
            </w:r>
          </w:p>
        </w:tc>
        <w:tc>
          <w:tcPr>
            <w:tcW w:w="1241" w:type="dxa"/>
            <w:tcBorders>
              <w:top w:val="nil"/>
              <w:left w:val="nil"/>
              <w:bottom w:val="single" w:sz="4" w:space="0" w:color="auto"/>
              <w:right w:val="single" w:sz="4" w:space="0" w:color="FFFFFF"/>
            </w:tcBorders>
            <w:shd w:val="clear" w:color="000000" w:fill="D9D9D9"/>
            <w:noWrap/>
            <w:vAlign w:val="center"/>
            <w:hideMark/>
          </w:tcPr>
          <w:p w14:paraId="01167BE8"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(458.0) </w:t>
            </w:r>
          </w:p>
        </w:tc>
        <w:tc>
          <w:tcPr>
            <w:tcW w:w="1239" w:type="dxa"/>
            <w:tcBorders>
              <w:top w:val="nil"/>
              <w:left w:val="nil"/>
              <w:bottom w:val="single" w:sz="4" w:space="0" w:color="auto"/>
              <w:right w:val="single" w:sz="4" w:space="0" w:color="FFFFFF"/>
            </w:tcBorders>
            <w:shd w:val="clear" w:color="FFFFFF" w:fill="FFFFFF"/>
            <w:noWrap/>
            <w:vAlign w:val="center"/>
            <w:hideMark/>
          </w:tcPr>
          <w:p w14:paraId="569C3597"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(444.2) </w:t>
            </w:r>
          </w:p>
        </w:tc>
      </w:tr>
      <w:tr w:rsidR="00595956" w:rsidRPr="005734B8" w14:paraId="6387C73A" w14:textId="77777777" w:rsidTr="000F48B1">
        <w:trPr>
          <w:trHeight w:val="255"/>
        </w:trPr>
        <w:tc>
          <w:tcPr>
            <w:tcW w:w="3971" w:type="dxa"/>
            <w:tcBorders>
              <w:top w:val="nil"/>
              <w:left w:val="single" w:sz="4" w:space="0" w:color="FFFFFF"/>
              <w:bottom w:val="single" w:sz="4" w:space="0" w:color="auto"/>
              <w:right w:val="single" w:sz="4" w:space="0" w:color="FFFFFF"/>
            </w:tcBorders>
            <w:shd w:val="clear" w:color="FFFFFF" w:fill="FFFFFF"/>
            <w:vAlign w:val="center"/>
            <w:hideMark/>
          </w:tcPr>
          <w:p w14:paraId="1E402703"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Grant and other payments</w:t>
            </w:r>
          </w:p>
        </w:tc>
        <w:tc>
          <w:tcPr>
            <w:tcW w:w="1174" w:type="dxa"/>
            <w:tcBorders>
              <w:top w:val="nil"/>
              <w:left w:val="nil"/>
              <w:bottom w:val="single" w:sz="4" w:space="0" w:color="auto"/>
              <w:right w:val="single" w:sz="4" w:space="0" w:color="FFFFFF"/>
            </w:tcBorders>
            <w:shd w:val="clear" w:color="FFFFFF" w:fill="FFFFFF"/>
            <w:noWrap/>
            <w:vAlign w:val="center"/>
            <w:hideMark/>
          </w:tcPr>
          <w:p w14:paraId="1E2561C1"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3.1.2</w:t>
            </w:r>
          </w:p>
        </w:tc>
        <w:tc>
          <w:tcPr>
            <w:tcW w:w="1241" w:type="dxa"/>
            <w:tcBorders>
              <w:top w:val="nil"/>
              <w:left w:val="nil"/>
              <w:bottom w:val="single" w:sz="4" w:space="0" w:color="auto"/>
              <w:right w:val="single" w:sz="4" w:space="0" w:color="FFFFFF"/>
            </w:tcBorders>
            <w:shd w:val="clear" w:color="000000" w:fill="D9D9D9"/>
            <w:noWrap/>
            <w:vAlign w:val="center"/>
            <w:hideMark/>
          </w:tcPr>
          <w:p w14:paraId="1B23DD6A"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(2,547.4) </w:t>
            </w:r>
          </w:p>
        </w:tc>
        <w:tc>
          <w:tcPr>
            <w:tcW w:w="1239" w:type="dxa"/>
            <w:tcBorders>
              <w:top w:val="nil"/>
              <w:left w:val="nil"/>
              <w:bottom w:val="single" w:sz="4" w:space="0" w:color="auto"/>
              <w:right w:val="single" w:sz="4" w:space="0" w:color="FFFFFF"/>
            </w:tcBorders>
            <w:shd w:val="clear" w:color="FFFFFF" w:fill="FFFFFF"/>
            <w:noWrap/>
            <w:vAlign w:val="center"/>
            <w:hideMark/>
          </w:tcPr>
          <w:p w14:paraId="49F1FD1B"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(2,212.9) </w:t>
            </w:r>
          </w:p>
        </w:tc>
      </w:tr>
      <w:tr w:rsidR="00595956" w:rsidRPr="005734B8" w14:paraId="35AD20BB" w14:textId="77777777" w:rsidTr="000F48B1">
        <w:trPr>
          <w:trHeight w:val="255"/>
        </w:trPr>
        <w:tc>
          <w:tcPr>
            <w:tcW w:w="3971" w:type="dxa"/>
            <w:tcBorders>
              <w:top w:val="nil"/>
              <w:left w:val="single" w:sz="4" w:space="0" w:color="FFFFFF"/>
              <w:bottom w:val="single" w:sz="4" w:space="0" w:color="auto"/>
              <w:right w:val="single" w:sz="4" w:space="0" w:color="FFFFFF"/>
            </w:tcBorders>
            <w:shd w:val="clear" w:color="FFFFFF" w:fill="FFFFFF"/>
            <w:vAlign w:val="center"/>
            <w:hideMark/>
          </w:tcPr>
          <w:p w14:paraId="6AF2F4C7"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Capital asset charge</w:t>
            </w:r>
          </w:p>
        </w:tc>
        <w:tc>
          <w:tcPr>
            <w:tcW w:w="1174" w:type="dxa"/>
            <w:tcBorders>
              <w:top w:val="nil"/>
              <w:left w:val="nil"/>
              <w:bottom w:val="single" w:sz="4" w:space="0" w:color="auto"/>
              <w:right w:val="single" w:sz="4" w:space="0" w:color="FFFFFF"/>
            </w:tcBorders>
            <w:shd w:val="clear" w:color="FFFFFF" w:fill="FFFFFF"/>
            <w:noWrap/>
            <w:vAlign w:val="center"/>
            <w:hideMark/>
          </w:tcPr>
          <w:p w14:paraId="05A5680A"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3.1.3</w:t>
            </w:r>
          </w:p>
        </w:tc>
        <w:tc>
          <w:tcPr>
            <w:tcW w:w="1241" w:type="dxa"/>
            <w:tcBorders>
              <w:top w:val="nil"/>
              <w:left w:val="nil"/>
              <w:bottom w:val="single" w:sz="4" w:space="0" w:color="auto"/>
              <w:right w:val="single" w:sz="4" w:space="0" w:color="FFFFFF"/>
            </w:tcBorders>
            <w:shd w:val="clear" w:color="000000" w:fill="D9D9D9"/>
            <w:noWrap/>
            <w:vAlign w:val="center"/>
            <w:hideMark/>
          </w:tcPr>
          <w:p w14:paraId="3594F0EB"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(1,996.3) </w:t>
            </w:r>
          </w:p>
        </w:tc>
        <w:tc>
          <w:tcPr>
            <w:tcW w:w="1239" w:type="dxa"/>
            <w:tcBorders>
              <w:top w:val="nil"/>
              <w:left w:val="nil"/>
              <w:bottom w:val="single" w:sz="4" w:space="0" w:color="auto"/>
              <w:right w:val="single" w:sz="4" w:space="0" w:color="FFFFFF"/>
            </w:tcBorders>
            <w:shd w:val="clear" w:color="FFFFFF" w:fill="FFFFFF"/>
            <w:noWrap/>
            <w:vAlign w:val="center"/>
            <w:hideMark/>
          </w:tcPr>
          <w:p w14:paraId="2DEB446F"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(1,963.8) </w:t>
            </w:r>
          </w:p>
        </w:tc>
      </w:tr>
      <w:tr w:rsidR="00595956" w:rsidRPr="005734B8" w14:paraId="62528D29" w14:textId="77777777" w:rsidTr="000F48B1">
        <w:trPr>
          <w:trHeight w:val="270"/>
        </w:trPr>
        <w:tc>
          <w:tcPr>
            <w:tcW w:w="3971" w:type="dxa"/>
            <w:tcBorders>
              <w:top w:val="nil"/>
              <w:left w:val="single" w:sz="4" w:space="0" w:color="FFFFFF"/>
              <w:bottom w:val="single" w:sz="4" w:space="0" w:color="auto"/>
              <w:right w:val="single" w:sz="4" w:space="0" w:color="FFFFFF"/>
            </w:tcBorders>
            <w:shd w:val="clear" w:color="FFFFFF" w:fill="FFFFFF"/>
            <w:vAlign w:val="center"/>
            <w:hideMark/>
          </w:tcPr>
          <w:p w14:paraId="4DCD6792"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 xml:space="preserve">Other operating expenses </w:t>
            </w:r>
          </w:p>
        </w:tc>
        <w:tc>
          <w:tcPr>
            <w:tcW w:w="1174" w:type="dxa"/>
            <w:tcBorders>
              <w:top w:val="nil"/>
              <w:left w:val="nil"/>
              <w:bottom w:val="single" w:sz="4" w:space="0" w:color="auto"/>
              <w:right w:val="single" w:sz="4" w:space="0" w:color="FFFFFF"/>
            </w:tcBorders>
            <w:shd w:val="clear" w:color="FFFFFF" w:fill="FFFFFF"/>
            <w:noWrap/>
            <w:vAlign w:val="center"/>
            <w:hideMark/>
          </w:tcPr>
          <w:p w14:paraId="5C0B2A5F"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3.1.4 / 9.7</w:t>
            </w:r>
          </w:p>
        </w:tc>
        <w:tc>
          <w:tcPr>
            <w:tcW w:w="1241" w:type="dxa"/>
            <w:tcBorders>
              <w:top w:val="nil"/>
              <w:left w:val="nil"/>
              <w:bottom w:val="single" w:sz="4" w:space="0" w:color="auto"/>
              <w:right w:val="single" w:sz="4" w:space="0" w:color="FFFFFF"/>
            </w:tcBorders>
            <w:shd w:val="clear" w:color="000000" w:fill="D9D9D9"/>
            <w:noWrap/>
            <w:vAlign w:val="center"/>
            <w:hideMark/>
          </w:tcPr>
          <w:p w14:paraId="336572A7"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(3,073.1) </w:t>
            </w:r>
          </w:p>
        </w:tc>
        <w:tc>
          <w:tcPr>
            <w:tcW w:w="1239" w:type="dxa"/>
            <w:tcBorders>
              <w:top w:val="nil"/>
              <w:left w:val="nil"/>
              <w:bottom w:val="single" w:sz="4" w:space="0" w:color="auto"/>
              <w:right w:val="single" w:sz="4" w:space="0" w:color="FFFFFF"/>
            </w:tcBorders>
            <w:shd w:val="clear" w:color="FFFFFF" w:fill="FFFFFF"/>
            <w:noWrap/>
            <w:vAlign w:val="center"/>
            <w:hideMark/>
          </w:tcPr>
          <w:p w14:paraId="55EC38F9"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(2,965.0) </w:t>
            </w:r>
          </w:p>
        </w:tc>
      </w:tr>
      <w:tr w:rsidR="00595956" w:rsidRPr="005734B8" w14:paraId="59024ACC" w14:textId="77777777" w:rsidTr="000F48B1">
        <w:trPr>
          <w:trHeight w:val="285"/>
        </w:trPr>
        <w:tc>
          <w:tcPr>
            <w:tcW w:w="397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13FE3C88"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Total expenses from transactions</w:t>
            </w:r>
          </w:p>
        </w:tc>
        <w:tc>
          <w:tcPr>
            <w:tcW w:w="1174" w:type="dxa"/>
            <w:tcBorders>
              <w:top w:val="single" w:sz="12" w:space="0" w:color="auto"/>
              <w:left w:val="nil"/>
              <w:bottom w:val="single" w:sz="12" w:space="0" w:color="auto"/>
              <w:right w:val="single" w:sz="12" w:space="0" w:color="FFFFFF"/>
            </w:tcBorders>
            <w:shd w:val="clear" w:color="FFFFFF" w:fill="FFFFFF"/>
            <w:vAlign w:val="center"/>
            <w:hideMark/>
          </w:tcPr>
          <w:p w14:paraId="1B64F0B2"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24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0A72947D"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(16,121.4) </w:t>
            </w:r>
          </w:p>
        </w:tc>
        <w:tc>
          <w:tcPr>
            <w:tcW w:w="1239" w:type="dxa"/>
            <w:tcBorders>
              <w:top w:val="single" w:sz="12" w:space="0" w:color="auto"/>
              <w:left w:val="nil"/>
              <w:bottom w:val="single" w:sz="12" w:space="0" w:color="auto"/>
              <w:right w:val="single" w:sz="4" w:space="0" w:color="FFFFFF"/>
            </w:tcBorders>
            <w:shd w:val="clear" w:color="000000" w:fill="D9D9D9"/>
            <w:noWrap/>
            <w:vAlign w:val="center"/>
            <w:hideMark/>
          </w:tcPr>
          <w:p w14:paraId="68B73F3F"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(15,118.1) </w:t>
            </w:r>
          </w:p>
        </w:tc>
      </w:tr>
      <w:tr w:rsidR="00595956" w:rsidRPr="005734B8" w14:paraId="675E49E6" w14:textId="77777777" w:rsidTr="000F48B1">
        <w:trPr>
          <w:trHeight w:val="285"/>
        </w:trPr>
        <w:tc>
          <w:tcPr>
            <w:tcW w:w="3971" w:type="dxa"/>
            <w:tcBorders>
              <w:top w:val="nil"/>
              <w:left w:val="single" w:sz="12" w:space="0" w:color="FFFFFF"/>
              <w:bottom w:val="single" w:sz="12" w:space="0" w:color="auto"/>
              <w:right w:val="single" w:sz="12" w:space="0" w:color="FFFFFF"/>
            </w:tcBorders>
            <w:shd w:val="clear" w:color="FFFFFF" w:fill="FFFFFF"/>
            <w:vAlign w:val="center"/>
            <w:hideMark/>
          </w:tcPr>
          <w:p w14:paraId="47FC5810"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Net result from transactions (net operating balance)</w:t>
            </w:r>
          </w:p>
        </w:tc>
        <w:tc>
          <w:tcPr>
            <w:tcW w:w="1174" w:type="dxa"/>
            <w:tcBorders>
              <w:top w:val="nil"/>
              <w:left w:val="nil"/>
              <w:bottom w:val="single" w:sz="12" w:space="0" w:color="auto"/>
              <w:right w:val="single" w:sz="12" w:space="0" w:color="FFFFFF"/>
            </w:tcBorders>
            <w:shd w:val="clear" w:color="FFFFFF" w:fill="FFFFFF"/>
            <w:vAlign w:val="center"/>
            <w:hideMark/>
          </w:tcPr>
          <w:p w14:paraId="36CB437E"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241" w:type="dxa"/>
            <w:tcBorders>
              <w:top w:val="nil"/>
              <w:left w:val="single" w:sz="4" w:space="0" w:color="FFFFFF"/>
              <w:bottom w:val="single" w:sz="12" w:space="0" w:color="auto"/>
              <w:right w:val="single" w:sz="4" w:space="0" w:color="FFFFFF"/>
            </w:tcBorders>
            <w:shd w:val="clear" w:color="000000" w:fill="D9D9D9"/>
            <w:noWrap/>
            <w:vAlign w:val="center"/>
            <w:hideMark/>
          </w:tcPr>
          <w:p w14:paraId="2EE8FEE8"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610.2 </w:t>
            </w:r>
          </w:p>
        </w:tc>
        <w:tc>
          <w:tcPr>
            <w:tcW w:w="1239" w:type="dxa"/>
            <w:tcBorders>
              <w:top w:val="single" w:sz="12" w:space="0" w:color="auto"/>
              <w:left w:val="nil"/>
              <w:bottom w:val="single" w:sz="12" w:space="0" w:color="auto"/>
              <w:right w:val="single" w:sz="12" w:space="0" w:color="FFFFFF"/>
            </w:tcBorders>
            <w:shd w:val="clear" w:color="FFFFFF" w:fill="FFFFFF"/>
            <w:noWrap/>
            <w:vAlign w:val="center"/>
            <w:hideMark/>
          </w:tcPr>
          <w:p w14:paraId="3B87E4B8"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599.8 </w:t>
            </w:r>
          </w:p>
        </w:tc>
      </w:tr>
      <w:tr w:rsidR="00595956" w:rsidRPr="005734B8" w14:paraId="76328081" w14:textId="77777777" w:rsidTr="000F48B1">
        <w:trPr>
          <w:trHeight w:val="270"/>
        </w:trPr>
        <w:tc>
          <w:tcPr>
            <w:tcW w:w="3971"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2745DB57"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Other economic flows included in net result</w:t>
            </w:r>
          </w:p>
        </w:tc>
        <w:tc>
          <w:tcPr>
            <w:tcW w:w="1174" w:type="dxa"/>
            <w:tcBorders>
              <w:top w:val="single" w:sz="4" w:space="0" w:color="auto"/>
              <w:left w:val="nil"/>
              <w:bottom w:val="single" w:sz="4" w:space="0" w:color="auto"/>
              <w:right w:val="single" w:sz="4" w:space="0" w:color="FFFFFF"/>
            </w:tcBorders>
            <w:shd w:val="clear" w:color="000000" w:fill="D9D9D9"/>
            <w:vAlign w:val="bottom"/>
            <w:hideMark/>
          </w:tcPr>
          <w:p w14:paraId="3DFC69D4"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241" w:type="dxa"/>
            <w:tcBorders>
              <w:top w:val="single" w:sz="4" w:space="0" w:color="auto"/>
              <w:left w:val="nil"/>
              <w:bottom w:val="single" w:sz="4" w:space="0" w:color="auto"/>
              <w:right w:val="single" w:sz="4" w:space="0" w:color="FFFFFF"/>
            </w:tcBorders>
            <w:shd w:val="clear" w:color="000000" w:fill="D9D9D9"/>
            <w:vAlign w:val="bottom"/>
            <w:hideMark/>
          </w:tcPr>
          <w:p w14:paraId="1774BFF6"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239" w:type="dxa"/>
            <w:tcBorders>
              <w:top w:val="single" w:sz="4" w:space="0" w:color="auto"/>
              <w:left w:val="nil"/>
              <w:bottom w:val="single" w:sz="4" w:space="0" w:color="auto"/>
              <w:right w:val="single" w:sz="4" w:space="0" w:color="FFFFFF"/>
            </w:tcBorders>
            <w:shd w:val="clear" w:color="000000" w:fill="D9D9D9"/>
            <w:vAlign w:val="bottom"/>
            <w:hideMark/>
          </w:tcPr>
          <w:p w14:paraId="74F500F4"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r>
      <w:tr w:rsidR="00595956" w:rsidRPr="005734B8" w14:paraId="1A32DAF2" w14:textId="77777777" w:rsidTr="000F48B1">
        <w:trPr>
          <w:trHeight w:val="255"/>
        </w:trPr>
        <w:tc>
          <w:tcPr>
            <w:tcW w:w="3971" w:type="dxa"/>
            <w:tcBorders>
              <w:top w:val="nil"/>
              <w:left w:val="single" w:sz="4" w:space="0" w:color="FFFFFF"/>
              <w:bottom w:val="single" w:sz="4" w:space="0" w:color="auto"/>
              <w:right w:val="single" w:sz="4" w:space="0" w:color="FFFFFF"/>
            </w:tcBorders>
            <w:shd w:val="clear" w:color="FFFFFF" w:fill="FFFFFF"/>
            <w:vAlign w:val="center"/>
            <w:hideMark/>
          </w:tcPr>
          <w:p w14:paraId="0A78DC6A"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Net gain/(loss) on non-financial assets</w:t>
            </w:r>
          </w:p>
        </w:tc>
        <w:tc>
          <w:tcPr>
            <w:tcW w:w="1174" w:type="dxa"/>
            <w:tcBorders>
              <w:top w:val="nil"/>
              <w:left w:val="nil"/>
              <w:bottom w:val="single" w:sz="4" w:space="0" w:color="auto"/>
              <w:right w:val="single" w:sz="4" w:space="0" w:color="FFFFFF"/>
            </w:tcBorders>
            <w:shd w:val="clear" w:color="FFFFFF" w:fill="FFFFFF"/>
            <w:noWrap/>
            <w:vAlign w:val="center"/>
            <w:hideMark/>
          </w:tcPr>
          <w:p w14:paraId="59AC723F"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9.2</w:t>
            </w:r>
          </w:p>
        </w:tc>
        <w:tc>
          <w:tcPr>
            <w:tcW w:w="1241" w:type="dxa"/>
            <w:tcBorders>
              <w:top w:val="nil"/>
              <w:left w:val="nil"/>
              <w:bottom w:val="single" w:sz="4" w:space="0" w:color="auto"/>
              <w:right w:val="single" w:sz="4" w:space="0" w:color="FFFFFF"/>
            </w:tcBorders>
            <w:shd w:val="clear" w:color="000000" w:fill="D9D9D9"/>
            <w:noWrap/>
            <w:vAlign w:val="center"/>
            <w:hideMark/>
          </w:tcPr>
          <w:p w14:paraId="47A7CD61"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0.2 </w:t>
            </w:r>
          </w:p>
        </w:tc>
        <w:tc>
          <w:tcPr>
            <w:tcW w:w="1239" w:type="dxa"/>
            <w:tcBorders>
              <w:top w:val="nil"/>
              <w:left w:val="nil"/>
              <w:bottom w:val="single" w:sz="4" w:space="0" w:color="auto"/>
              <w:right w:val="single" w:sz="4" w:space="0" w:color="FFFFFF"/>
            </w:tcBorders>
            <w:shd w:val="clear" w:color="FFFFFF" w:fill="FFFFFF"/>
            <w:noWrap/>
            <w:vAlign w:val="center"/>
            <w:hideMark/>
          </w:tcPr>
          <w:p w14:paraId="0B7ECAB3"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(3.5) </w:t>
            </w:r>
          </w:p>
        </w:tc>
      </w:tr>
      <w:tr w:rsidR="00595956" w:rsidRPr="005734B8" w14:paraId="199CB972" w14:textId="77777777" w:rsidTr="000F48B1">
        <w:trPr>
          <w:trHeight w:val="255"/>
        </w:trPr>
        <w:tc>
          <w:tcPr>
            <w:tcW w:w="3971" w:type="dxa"/>
            <w:tcBorders>
              <w:top w:val="nil"/>
              <w:left w:val="single" w:sz="4" w:space="0" w:color="FFFFFF"/>
              <w:bottom w:val="single" w:sz="4" w:space="0" w:color="auto"/>
              <w:right w:val="single" w:sz="4" w:space="0" w:color="FFFFFF"/>
            </w:tcBorders>
            <w:shd w:val="clear" w:color="FFFFFF" w:fill="FFFFFF"/>
            <w:vAlign w:val="center"/>
            <w:hideMark/>
          </w:tcPr>
          <w:p w14:paraId="2C0625F2"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Net gain/(loss) on financial instruments</w:t>
            </w:r>
          </w:p>
        </w:tc>
        <w:tc>
          <w:tcPr>
            <w:tcW w:w="1174" w:type="dxa"/>
            <w:tcBorders>
              <w:top w:val="nil"/>
              <w:left w:val="nil"/>
              <w:bottom w:val="single" w:sz="4" w:space="0" w:color="auto"/>
              <w:right w:val="single" w:sz="4" w:space="0" w:color="FFFFFF"/>
            </w:tcBorders>
            <w:shd w:val="clear" w:color="FFFFFF" w:fill="FFFFFF"/>
            <w:noWrap/>
            <w:vAlign w:val="center"/>
            <w:hideMark/>
          </w:tcPr>
          <w:p w14:paraId="02EA78F4"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9.2</w:t>
            </w:r>
          </w:p>
        </w:tc>
        <w:tc>
          <w:tcPr>
            <w:tcW w:w="1241" w:type="dxa"/>
            <w:tcBorders>
              <w:top w:val="nil"/>
              <w:left w:val="nil"/>
              <w:bottom w:val="single" w:sz="4" w:space="0" w:color="auto"/>
              <w:right w:val="single" w:sz="4" w:space="0" w:color="FFFFFF"/>
            </w:tcBorders>
            <w:shd w:val="clear" w:color="000000" w:fill="D9D9D9"/>
            <w:noWrap/>
            <w:vAlign w:val="center"/>
            <w:hideMark/>
          </w:tcPr>
          <w:p w14:paraId="782ED96A"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(2.4) </w:t>
            </w:r>
          </w:p>
        </w:tc>
        <w:tc>
          <w:tcPr>
            <w:tcW w:w="1239" w:type="dxa"/>
            <w:tcBorders>
              <w:top w:val="nil"/>
              <w:left w:val="nil"/>
              <w:bottom w:val="single" w:sz="4" w:space="0" w:color="auto"/>
              <w:right w:val="single" w:sz="4" w:space="0" w:color="FFFFFF"/>
            </w:tcBorders>
            <w:shd w:val="clear" w:color="FFFFFF" w:fill="FFFFFF"/>
            <w:noWrap/>
            <w:vAlign w:val="center"/>
            <w:hideMark/>
          </w:tcPr>
          <w:p w14:paraId="3857C13B" w14:textId="45279886" w:rsidR="00595956" w:rsidRPr="005734B8" w:rsidRDefault="00A2478B" w:rsidP="000F48B1">
            <w:pPr>
              <w:jc w:val="right"/>
              <w:rPr>
                <w:rFonts w:ascii="Calibri" w:hAnsi="Calibri" w:cs="Calibri"/>
                <w:sz w:val="18"/>
                <w:szCs w:val="18"/>
              </w:rPr>
            </w:pPr>
            <w:r w:rsidRPr="005734B8">
              <w:rPr>
                <w:rFonts w:ascii="Calibri" w:hAnsi="Calibri" w:cs="Calibri"/>
                <w:sz w:val="18"/>
                <w:szCs w:val="18"/>
              </w:rPr>
              <w:t>–</w:t>
            </w:r>
            <w:r w:rsidR="00595956" w:rsidRPr="005734B8">
              <w:rPr>
                <w:rFonts w:ascii="Calibri" w:hAnsi="Calibri" w:cs="Calibri"/>
                <w:sz w:val="18"/>
                <w:szCs w:val="18"/>
              </w:rPr>
              <w:t xml:space="preserve"> </w:t>
            </w:r>
          </w:p>
        </w:tc>
      </w:tr>
      <w:tr w:rsidR="00595956" w:rsidRPr="005734B8" w14:paraId="1589ABD2" w14:textId="77777777" w:rsidTr="000F48B1">
        <w:trPr>
          <w:trHeight w:val="270"/>
        </w:trPr>
        <w:tc>
          <w:tcPr>
            <w:tcW w:w="3971" w:type="dxa"/>
            <w:tcBorders>
              <w:top w:val="nil"/>
              <w:left w:val="single" w:sz="4" w:space="0" w:color="FFFFFF"/>
              <w:bottom w:val="single" w:sz="4" w:space="0" w:color="auto"/>
              <w:right w:val="single" w:sz="4" w:space="0" w:color="FFFFFF"/>
            </w:tcBorders>
            <w:shd w:val="clear" w:color="FFFFFF" w:fill="FFFFFF"/>
            <w:vAlign w:val="center"/>
            <w:hideMark/>
          </w:tcPr>
          <w:p w14:paraId="2C83090E"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Other gains/(losses) from other economic flows</w:t>
            </w:r>
          </w:p>
        </w:tc>
        <w:tc>
          <w:tcPr>
            <w:tcW w:w="1174" w:type="dxa"/>
            <w:tcBorders>
              <w:top w:val="nil"/>
              <w:left w:val="nil"/>
              <w:bottom w:val="single" w:sz="4" w:space="0" w:color="auto"/>
              <w:right w:val="single" w:sz="4" w:space="0" w:color="FFFFFF"/>
            </w:tcBorders>
            <w:shd w:val="clear" w:color="FFFFFF" w:fill="FFFFFF"/>
            <w:noWrap/>
            <w:vAlign w:val="center"/>
            <w:hideMark/>
          </w:tcPr>
          <w:p w14:paraId="39FF323B"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9.2</w:t>
            </w:r>
          </w:p>
        </w:tc>
        <w:tc>
          <w:tcPr>
            <w:tcW w:w="1241" w:type="dxa"/>
            <w:tcBorders>
              <w:top w:val="nil"/>
              <w:left w:val="nil"/>
              <w:bottom w:val="single" w:sz="4" w:space="0" w:color="auto"/>
              <w:right w:val="nil"/>
            </w:tcBorders>
            <w:shd w:val="clear" w:color="000000" w:fill="D9D9D9"/>
            <w:noWrap/>
            <w:vAlign w:val="bottom"/>
            <w:hideMark/>
          </w:tcPr>
          <w:p w14:paraId="0E36DA9A"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52.7 </w:t>
            </w:r>
          </w:p>
        </w:tc>
        <w:tc>
          <w:tcPr>
            <w:tcW w:w="1239" w:type="dxa"/>
            <w:tcBorders>
              <w:top w:val="nil"/>
              <w:left w:val="single" w:sz="4" w:space="0" w:color="FFFFFF"/>
              <w:bottom w:val="single" w:sz="4" w:space="0" w:color="auto"/>
              <w:right w:val="single" w:sz="4" w:space="0" w:color="FFFFFF"/>
            </w:tcBorders>
            <w:shd w:val="clear" w:color="FFFFFF" w:fill="FFFFFF"/>
            <w:noWrap/>
            <w:vAlign w:val="center"/>
            <w:hideMark/>
          </w:tcPr>
          <w:p w14:paraId="696CFF43"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(35.7) </w:t>
            </w:r>
          </w:p>
        </w:tc>
      </w:tr>
      <w:tr w:rsidR="00595956" w:rsidRPr="005734B8" w14:paraId="278DAFD8" w14:textId="77777777" w:rsidTr="000F48B1">
        <w:trPr>
          <w:trHeight w:val="285"/>
        </w:trPr>
        <w:tc>
          <w:tcPr>
            <w:tcW w:w="397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D916224"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Total other economic flows included in net result</w:t>
            </w:r>
          </w:p>
        </w:tc>
        <w:tc>
          <w:tcPr>
            <w:tcW w:w="1174" w:type="dxa"/>
            <w:tcBorders>
              <w:top w:val="single" w:sz="12" w:space="0" w:color="auto"/>
              <w:left w:val="nil"/>
              <w:bottom w:val="single" w:sz="12" w:space="0" w:color="auto"/>
              <w:right w:val="single" w:sz="12" w:space="0" w:color="FFFFFF"/>
            </w:tcBorders>
            <w:shd w:val="clear" w:color="FFFFFF" w:fill="FFFFFF"/>
            <w:vAlign w:val="center"/>
            <w:hideMark/>
          </w:tcPr>
          <w:p w14:paraId="2D6EEA87"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24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132802A8"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50.5 </w:t>
            </w:r>
          </w:p>
        </w:tc>
        <w:tc>
          <w:tcPr>
            <w:tcW w:w="1239" w:type="dxa"/>
            <w:tcBorders>
              <w:top w:val="single" w:sz="12" w:space="0" w:color="auto"/>
              <w:left w:val="nil"/>
              <w:bottom w:val="single" w:sz="12" w:space="0" w:color="auto"/>
              <w:right w:val="single" w:sz="12" w:space="0" w:color="FFFFFF"/>
            </w:tcBorders>
            <w:shd w:val="clear" w:color="FFFFFF" w:fill="FFFFFF"/>
            <w:noWrap/>
            <w:vAlign w:val="center"/>
            <w:hideMark/>
          </w:tcPr>
          <w:p w14:paraId="00FA90B2"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(39.2) </w:t>
            </w:r>
          </w:p>
        </w:tc>
      </w:tr>
      <w:tr w:rsidR="00595956" w:rsidRPr="005734B8" w14:paraId="7FBCBDFA" w14:textId="77777777" w:rsidTr="000F48B1">
        <w:trPr>
          <w:trHeight w:val="285"/>
        </w:trPr>
        <w:tc>
          <w:tcPr>
            <w:tcW w:w="3971" w:type="dxa"/>
            <w:tcBorders>
              <w:top w:val="nil"/>
              <w:left w:val="single" w:sz="12" w:space="0" w:color="FFFFFF"/>
              <w:bottom w:val="single" w:sz="12" w:space="0" w:color="auto"/>
              <w:right w:val="single" w:sz="12" w:space="0" w:color="FFFFFF"/>
            </w:tcBorders>
            <w:shd w:val="clear" w:color="FFFFFF" w:fill="FFFFFF"/>
            <w:vAlign w:val="center"/>
            <w:hideMark/>
          </w:tcPr>
          <w:p w14:paraId="019FA746"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Net result</w:t>
            </w:r>
          </w:p>
        </w:tc>
        <w:tc>
          <w:tcPr>
            <w:tcW w:w="1174" w:type="dxa"/>
            <w:tcBorders>
              <w:top w:val="nil"/>
              <w:left w:val="nil"/>
              <w:bottom w:val="single" w:sz="12" w:space="0" w:color="auto"/>
              <w:right w:val="single" w:sz="12" w:space="0" w:color="FFFFFF"/>
            </w:tcBorders>
            <w:shd w:val="clear" w:color="FFFFFF" w:fill="FFFFFF"/>
            <w:vAlign w:val="center"/>
            <w:hideMark/>
          </w:tcPr>
          <w:p w14:paraId="64E0D114"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241" w:type="dxa"/>
            <w:tcBorders>
              <w:top w:val="nil"/>
              <w:left w:val="single" w:sz="4" w:space="0" w:color="FFFFFF"/>
              <w:bottom w:val="single" w:sz="12" w:space="0" w:color="auto"/>
              <w:right w:val="single" w:sz="4" w:space="0" w:color="FFFFFF"/>
            </w:tcBorders>
            <w:shd w:val="clear" w:color="000000" w:fill="D9D9D9"/>
            <w:noWrap/>
            <w:vAlign w:val="center"/>
            <w:hideMark/>
          </w:tcPr>
          <w:p w14:paraId="1FC1C7A5"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660.7 </w:t>
            </w:r>
          </w:p>
        </w:tc>
        <w:tc>
          <w:tcPr>
            <w:tcW w:w="1239" w:type="dxa"/>
            <w:tcBorders>
              <w:top w:val="nil"/>
              <w:left w:val="nil"/>
              <w:bottom w:val="single" w:sz="12" w:space="0" w:color="auto"/>
              <w:right w:val="single" w:sz="12" w:space="0" w:color="FFFFFF"/>
            </w:tcBorders>
            <w:shd w:val="clear" w:color="FFFFFF" w:fill="FFFFFF"/>
            <w:noWrap/>
            <w:vAlign w:val="center"/>
            <w:hideMark/>
          </w:tcPr>
          <w:p w14:paraId="6814C454"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560.6 </w:t>
            </w:r>
          </w:p>
        </w:tc>
      </w:tr>
      <w:tr w:rsidR="00595956" w:rsidRPr="005734B8" w14:paraId="312A5341" w14:textId="77777777" w:rsidTr="000F48B1">
        <w:trPr>
          <w:trHeight w:val="503"/>
        </w:trPr>
        <w:tc>
          <w:tcPr>
            <w:tcW w:w="3971"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06D11C81"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Other economic flows – other comprehensive income: Items that will not be reclassified to net result</w:t>
            </w:r>
          </w:p>
        </w:tc>
        <w:tc>
          <w:tcPr>
            <w:tcW w:w="1174" w:type="dxa"/>
            <w:tcBorders>
              <w:top w:val="single" w:sz="4" w:space="0" w:color="auto"/>
              <w:left w:val="nil"/>
              <w:bottom w:val="single" w:sz="4" w:space="0" w:color="auto"/>
              <w:right w:val="single" w:sz="4" w:space="0" w:color="FFFFFF"/>
            </w:tcBorders>
            <w:shd w:val="clear" w:color="000000" w:fill="D9D9D9"/>
            <w:vAlign w:val="center"/>
            <w:hideMark/>
          </w:tcPr>
          <w:p w14:paraId="1F3F3DEF"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241" w:type="dxa"/>
            <w:tcBorders>
              <w:top w:val="single" w:sz="4" w:space="0" w:color="auto"/>
              <w:left w:val="nil"/>
              <w:bottom w:val="single" w:sz="4" w:space="0" w:color="auto"/>
              <w:right w:val="single" w:sz="4" w:space="0" w:color="FFFFFF"/>
            </w:tcBorders>
            <w:shd w:val="clear" w:color="000000" w:fill="D9D9D9"/>
            <w:vAlign w:val="center"/>
            <w:hideMark/>
          </w:tcPr>
          <w:p w14:paraId="5837AEB9"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239" w:type="dxa"/>
            <w:tcBorders>
              <w:top w:val="single" w:sz="4" w:space="0" w:color="auto"/>
              <w:left w:val="nil"/>
              <w:bottom w:val="single" w:sz="4" w:space="0" w:color="auto"/>
              <w:right w:val="single" w:sz="4" w:space="0" w:color="FFFFFF"/>
            </w:tcBorders>
            <w:shd w:val="clear" w:color="000000" w:fill="D9D9D9"/>
            <w:vAlign w:val="center"/>
            <w:hideMark/>
          </w:tcPr>
          <w:p w14:paraId="6B36D22F"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r>
      <w:tr w:rsidR="00595956" w:rsidRPr="005734B8" w14:paraId="52A5FD43" w14:textId="77777777" w:rsidTr="000F48B1">
        <w:trPr>
          <w:trHeight w:val="465"/>
        </w:trPr>
        <w:tc>
          <w:tcPr>
            <w:tcW w:w="3971" w:type="dxa"/>
            <w:tcBorders>
              <w:top w:val="nil"/>
              <w:left w:val="single" w:sz="4" w:space="0" w:color="FFFFFF"/>
              <w:bottom w:val="single" w:sz="4" w:space="0" w:color="auto"/>
              <w:right w:val="single" w:sz="4" w:space="0" w:color="FFFFFF"/>
            </w:tcBorders>
            <w:shd w:val="clear" w:color="FFFFFF" w:fill="FFFFFF"/>
            <w:vAlign w:val="center"/>
            <w:hideMark/>
          </w:tcPr>
          <w:p w14:paraId="3FC8B9F5"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Changes in physical asset revaluation surplus</w:t>
            </w:r>
          </w:p>
        </w:tc>
        <w:tc>
          <w:tcPr>
            <w:tcW w:w="1174" w:type="dxa"/>
            <w:tcBorders>
              <w:top w:val="nil"/>
              <w:left w:val="nil"/>
              <w:bottom w:val="single" w:sz="4" w:space="0" w:color="auto"/>
              <w:right w:val="single" w:sz="4" w:space="0" w:color="FFFFFF"/>
            </w:tcBorders>
            <w:shd w:val="clear" w:color="FFFFFF" w:fill="FFFFFF"/>
            <w:noWrap/>
            <w:vAlign w:val="center"/>
            <w:hideMark/>
          </w:tcPr>
          <w:p w14:paraId="1292C193"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9.6</w:t>
            </w:r>
          </w:p>
        </w:tc>
        <w:tc>
          <w:tcPr>
            <w:tcW w:w="1241" w:type="dxa"/>
            <w:tcBorders>
              <w:top w:val="nil"/>
              <w:left w:val="nil"/>
              <w:bottom w:val="single" w:sz="4" w:space="0" w:color="auto"/>
              <w:right w:val="nil"/>
            </w:tcBorders>
            <w:shd w:val="clear" w:color="000000" w:fill="D9D9D9"/>
            <w:noWrap/>
            <w:vAlign w:val="center"/>
            <w:hideMark/>
          </w:tcPr>
          <w:p w14:paraId="2318E884"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2,833.0 </w:t>
            </w:r>
          </w:p>
        </w:tc>
        <w:tc>
          <w:tcPr>
            <w:tcW w:w="1239" w:type="dxa"/>
            <w:tcBorders>
              <w:top w:val="nil"/>
              <w:left w:val="single" w:sz="4" w:space="0" w:color="FFFFFF"/>
              <w:bottom w:val="single" w:sz="4" w:space="0" w:color="auto"/>
              <w:right w:val="single" w:sz="4" w:space="0" w:color="FFFFFF"/>
            </w:tcBorders>
            <w:shd w:val="clear" w:color="FFFFFF" w:fill="FFFFFF"/>
            <w:noWrap/>
            <w:vAlign w:val="center"/>
            <w:hideMark/>
          </w:tcPr>
          <w:p w14:paraId="0D9CC7B4"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(7.9) </w:t>
            </w:r>
          </w:p>
        </w:tc>
      </w:tr>
      <w:tr w:rsidR="00595956" w:rsidRPr="005734B8" w14:paraId="76B046CA" w14:textId="77777777" w:rsidTr="000F48B1">
        <w:trPr>
          <w:trHeight w:val="510"/>
        </w:trPr>
        <w:tc>
          <w:tcPr>
            <w:tcW w:w="397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4F1C802"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Total other economic flows – other comprehensive income</w:t>
            </w:r>
          </w:p>
        </w:tc>
        <w:tc>
          <w:tcPr>
            <w:tcW w:w="1174" w:type="dxa"/>
            <w:tcBorders>
              <w:top w:val="single" w:sz="12" w:space="0" w:color="auto"/>
              <w:left w:val="nil"/>
              <w:bottom w:val="single" w:sz="12" w:space="0" w:color="auto"/>
              <w:right w:val="single" w:sz="12" w:space="0" w:color="FFFFFF"/>
            </w:tcBorders>
            <w:shd w:val="clear" w:color="FFFFFF" w:fill="FFFFFF"/>
            <w:vAlign w:val="center"/>
            <w:hideMark/>
          </w:tcPr>
          <w:p w14:paraId="0A92D84F"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24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3E811189"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2,833.0 </w:t>
            </w:r>
          </w:p>
        </w:tc>
        <w:tc>
          <w:tcPr>
            <w:tcW w:w="1239" w:type="dxa"/>
            <w:tcBorders>
              <w:top w:val="single" w:sz="12" w:space="0" w:color="auto"/>
              <w:left w:val="nil"/>
              <w:bottom w:val="single" w:sz="12" w:space="0" w:color="auto"/>
              <w:right w:val="single" w:sz="12" w:space="0" w:color="FFFFFF"/>
            </w:tcBorders>
            <w:shd w:val="clear" w:color="FFFFFF" w:fill="FFFFFF"/>
            <w:noWrap/>
            <w:vAlign w:val="center"/>
            <w:hideMark/>
          </w:tcPr>
          <w:p w14:paraId="788A8F81"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(7.9) </w:t>
            </w:r>
          </w:p>
        </w:tc>
      </w:tr>
      <w:tr w:rsidR="00595956" w:rsidRPr="005734B8" w14:paraId="41D27604" w14:textId="77777777" w:rsidTr="000F48B1">
        <w:trPr>
          <w:trHeight w:val="285"/>
        </w:trPr>
        <w:tc>
          <w:tcPr>
            <w:tcW w:w="3971" w:type="dxa"/>
            <w:tcBorders>
              <w:top w:val="nil"/>
              <w:left w:val="single" w:sz="12" w:space="0" w:color="FFFFFF"/>
              <w:bottom w:val="single" w:sz="12" w:space="0" w:color="auto"/>
              <w:right w:val="single" w:sz="12" w:space="0" w:color="FFFFFF"/>
            </w:tcBorders>
            <w:shd w:val="clear" w:color="FFFFFF" w:fill="FFFFFF"/>
            <w:vAlign w:val="center"/>
            <w:hideMark/>
          </w:tcPr>
          <w:p w14:paraId="6398A832"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Comprehensive result</w:t>
            </w:r>
          </w:p>
        </w:tc>
        <w:tc>
          <w:tcPr>
            <w:tcW w:w="1174" w:type="dxa"/>
            <w:tcBorders>
              <w:top w:val="nil"/>
              <w:left w:val="nil"/>
              <w:bottom w:val="single" w:sz="12" w:space="0" w:color="auto"/>
              <w:right w:val="single" w:sz="12" w:space="0" w:color="FFFFFF"/>
            </w:tcBorders>
            <w:shd w:val="clear" w:color="FFFFFF" w:fill="FFFFFF"/>
            <w:vAlign w:val="center"/>
            <w:hideMark/>
          </w:tcPr>
          <w:p w14:paraId="727966E5"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241" w:type="dxa"/>
            <w:tcBorders>
              <w:top w:val="nil"/>
              <w:left w:val="single" w:sz="4" w:space="0" w:color="FFFFFF"/>
              <w:bottom w:val="single" w:sz="12" w:space="0" w:color="auto"/>
              <w:right w:val="single" w:sz="4" w:space="0" w:color="FFFFFF"/>
            </w:tcBorders>
            <w:shd w:val="clear" w:color="000000" w:fill="D9D9D9"/>
            <w:noWrap/>
            <w:vAlign w:val="center"/>
            <w:hideMark/>
          </w:tcPr>
          <w:p w14:paraId="366D4C23"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3,493.7 </w:t>
            </w:r>
          </w:p>
        </w:tc>
        <w:tc>
          <w:tcPr>
            <w:tcW w:w="1239" w:type="dxa"/>
            <w:tcBorders>
              <w:top w:val="nil"/>
              <w:left w:val="nil"/>
              <w:bottom w:val="single" w:sz="12" w:space="0" w:color="auto"/>
              <w:right w:val="single" w:sz="12" w:space="0" w:color="FFFFFF"/>
            </w:tcBorders>
            <w:shd w:val="clear" w:color="FFFFFF" w:fill="FFFFFF"/>
            <w:noWrap/>
            <w:vAlign w:val="center"/>
            <w:hideMark/>
          </w:tcPr>
          <w:p w14:paraId="1A0EB8C1"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552.7 </w:t>
            </w:r>
          </w:p>
        </w:tc>
      </w:tr>
    </w:tbl>
    <w:p w14:paraId="4206503E" w14:textId="77777777" w:rsidR="00595956" w:rsidRPr="005734B8" w:rsidRDefault="00595956" w:rsidP="00595956">
      <w:pPr>
        <w:rPr>
          <w:rFonts w:ascii="Calibri" w:hAnsi="Calibri" w:cs="Calibri"/>
        </w:rPr>
      </w:pPr>
    </w:p>
    <w:p w14:paraId="07413DBB" w14:textId="77777777" w:rsidR="00595956" w:rsidRPr="005734B8" w:rsidRDefault="00595956" w:rsidP="00595956">
      <w:pPr>
        <w:rPr>
          <w:rFonts w:ascii="Calibri" w:hAnsi="Calibri" w:cs="Calibri"/>
        </w:rPr>
      </w:pPr>
      <w:r w:rsidRPr="005734B8">
        <w:rPr>
          <w:rFonts w:ascii="Calibri" w:hAnsi="Calibri" w:cs="Calibri"/>
        </w:rPr>
        <w:t>The above comprehensive operating statement should be read in conjunction with the accompanying notes</w:t>
      </w:r>
      <w:bookmarkStart w:id="1129" w:name="_Ref48851181"/>
      <w:r w:rsidRPr="005734B8">
        <w:rPr>
          <w:rFonts w:ascii="Calibri" w:hAnsi="Calibri" w:cs="Calibri"/>
        </w:rPr>
        <w:t>.</w:t>
      </w:r>
      <w:bookmarkEnd w:id="1129"/>
      <w:r w:rsidRPr="005734B8">
        <w:rPr>
          <w:rFonts w:ascii="Calibri" w:hAnsi="Calibri" w:cs="Calibri"/>
        </w:rPr>
        <w:br w:type="page"/>
      </w:r>
    </w:p>
    <w:p w14:paraId="6CE9F54A" w14:textId="3CC48B56" w:rsidR="00595956" w:rsidRPr="005734B8" w:rsidRDefault="00595956" w:rsidP="00595956">
      <w:pPr>
        <w:pStyle w:val="ESHeading2"/>
        <w:rPr>
          <w:rFonts w:ascii="Calibri" w:hAnsi="Calibri" w:cs="Calibri"/>
        </w:rPr>
      </w:pPr>
      <w:bookmarkStart w:id="1130" w:name="_Toc34033372"/>
      <w:bookmarkStart w:id="1131" w:name="_Toc36013339"/>
      <w:bookmarkStart w:id="1132" w:name="_Toc72958075"/>
      <w:bookmarkStart w:id="1133" w:name="_Toc72958123"/>
      <w:bookmarkStart w:id="1134" w:name="_Toc80272063"/>
      <w:bookmarkStart w:id="1135" w:name="_Toc81315362"/>
      <w:r w:rsidRPr="005734B8">
        <w:rPr>
          <w:rFonts w:ascii="Calibri" w:hAnsi="Calibri" w:cs="Calibri"/>
        </w:rPr>
        <w:lastRenderedPageBreak/>
        <w:t xml:space="preserve">Balance sheet as at </w:t>
      </w:r>
      <w:r w:rsidRPr="005734B8">
        <w:rPr>
          <w:rFonts w:ascii="Calibri" w:hAnsi="Calibri" w:cs="Calibri"/>
        </w:rPr>
        <w:fldChar w:fldCharType="begin"/>
      </w:r>
      <w:r w:rsidRPr="005734B8">
        <w:rPr>
          <w:rFonts w:ascii="Calibri" w:hAnsi="Calibri" w:cs="Calibri"/>
        </w:rPr>
        <w:instrText xml:space="preserve"> DOCPROPERTY  pEnd  \* MERGEFORMAT </w:instrText>
      </w:r>
      <w:r w:rsidRPr="005734B8">
        <w:rPr>
          <w:rFonts w:ascii="Calibri" w:hAnsi="Calibri" w:cs="Calibri"/>
        </w:rPr>
        <w:fldChar w:fldCharType="separate"/>
      </w:r>
      <w:r w:rsidRPr="005734B8">
        <w:rPr>
          <w:rFonts w:ascii="Calibri" w:hAnsi="Calibri" w:cs="Calibri"/>
        </w:rPr>
        <w:t>30 June</w:t>
      </w:r>
      <w:r w:rsidRPr="005734B8">
        <w:rPr>
          <w:rFonts w:ascii="Calibri" w:hAnsi="Calibri" w:cs="Calibri"/>
        </w:rPr>
        <w:fldChar w:fldCharType="end"/>
      </w:r>
      <w:r w:rsidRPr="005734B8">
        <w:rPr>
          <w:rFonts w:ascii="Calibri" w:hAnsi="Calibri" w:cs="Calibri"/>
        </w:rPr>
        <w:t xml:space="preserve"> </w:t>
      </w:r>
      <w:r w:rsidRPr="005734B8">
        <w:rPr>
          <w:rFonts w:ascii="Calibri" w:hAnsi="Calibri" w:cs="Calibri"/>
        </w:rPr>
        <w:fldChar w:fldCharType="begin"/>
      </w:r>
      <w:r w:rsidRPr="005734B8">
        <w:rPr>
          <w:rFonts w:ascii="Calibri" w:hAnsi="Calibri" w:cs="Calibri"/>
        </w:rPr>
        <w:instrText xml:space="preserve"> DOCPROPERTY  crYear  \* MERGEFORMAT </w:instrText>
      </w:r>
      <w:r w:rsidRPr="005734B8">
        <w:rPr>
          <w:rFonts w:ascii="Calibri" w:hAnsi="Calibri" w:cs="Calibri"/>
        </w:rPr>
        <w:fldChar w:fldCharType="separate"/>
      </w:r>
      <w:r w:rsidRPr="005734B8">
        <w:rPr>
          <w:rFonts w:ascii="Calibri" w:hAnsi="Calibri" w:cs="Calibri"/>
        </w:rPr>
        <w:t>2021</w:t>
      </w:r>
      <w:bookmarkEnd w:id="1130"/>
      <w:bookmarkEnd w:id="1131"/>
      <w:bookmarkEnd w:id="1132"/>
      <w:bookmarkEnd w:id="1133"/>
      <w:bookmarkEnd w:id="1134"/>
      <w:bookmarkEnd w:id="1135"/>
      <w:r w:rsidRPr="005734B8">
        <w:rPr>
          <w:rFonts w:ascii="Calibri" w:hAnsi="Calibri" w:cs="Calibri"/>
        </w:rPr>
        <w:fldChar w:fldCharType="end"/>
      </w:r>
    </w:p>
    <w:p w14:paraId="66740739" w14:textId="1F1B7124" w:rsidR="00595956" w:rsidRPr="005734B8" w:rsidRDefault="00595956" w:rsidP="00595956">
      <w:pPr>
        <w:pStyle w:val="BodyText"/>
        <w:rPr>
          <w:rFonts w:ascii="Calibri" w:hAnsi="Calibri" w:cs="Calibri"/>
        </w:rPr>
      </w:pPr>
      <w:r w:rsidRPr="005734B8">
        <w:rPr>
          <w:rFonts w:ascii="Calibri" w:hAnsi="Calibri" w:cs="Calibri"/>
        </w:rPr>
        <w:fldChar w:fldCharType="begin"/>
      </w:r>
      <w:r w:rsidRPr="005734B8">
        <w:rPr>
          <w:rFonts w:ascii="Calibri" w:hAnsi="Calibri" w:cs="Calibri"/>
        </w:rPr>
        <w:instrText xml:space="preserve"> TC </w:instrText>
      </w:r>
      <w:r w:rsidR="00B15F9A" w:rsidRPr="005734B8">
        <w:rPr>
          <w:rFonts w:ascii="Calibri" w:hAnsi="Calibri" w:cs="Calibri"/>
        </w:rPr>
        <w:instrText>“</w:instrText>
      </w:r>
      <w:bookmarkStart w:id="1136" w:name="_Toc21426680"/>
      <w:r w:rsidRPr="005734B8">
        <w:rPr>
          <w:rFonts w:ascii="Calibri" w:hAnsi="Calibri" w:cs="Calibri"/>
        </w:rPr>
        <w:instrText>Statement of Financial Position</w:instrText>
      </w:r>
      <w:bookmarkEnd w:id="1136"/>
      <w:r w:rsidR="00B15F9A" w:rsidRPr="005734B8">
        <w:rPr>
          <w:rFonts w:ascii="Calibri" w:hAnsi="Calibri" w:cs="Calibri"/>
        </w:rPr>
        <w:instrText>”</w:instrText>
      </w:r>
      <w:r w:rsidRPr="005734B8">
        <w:rPr>
          <w:rFonts w:ascii="Calibri" w:hAnsi="Calibri" w:cs="Calibri"/>
        </w:rPr>
        <w:instrText xml:space="preserve"> \f C \l </w:instrText>
      </w:r>
      <w:r w:rsidR="00B15F9A" w:rsidRPr="005734B8">
        <w:rPr>
          <w:rFonts w:ascii="Calibri" w:hAnsi="Calibri" w:cs="Calibri"/>
        </w:rPr>
        <w:instrText>“</w:instrText>
      </w:r>
      <w:r w:rsidRPr="005734B8">
        <w:rPr>
          <w:rFonts w:ascii="Calibri" w:hAnsi="Calibri" w:cs="Calibri"/>
        </w:rPr>
        <w:instrText>1</w:instrText>
      </w:r>
      <w:r w:rsidR="00B15F9A" w:rsidRPr="005734B8">
        <w:rPr>
          <w:rFonts w:ascii="Calibri" w:hAnsi="Calibri" w:cs="Calibri"/>
        </w:rPr>
        <w:instrText>”</w:instrText>
      </w:r>
      <w:r w:rsidRPr="005734B8">
        <w:rPr>
          <w:rFonts w:ascii="Calibri" w:hAnsi="Calibri" w:cs="Calibri"/>
        </w:rPr>
        <w:instrText xml:space="preserve"> </w:instrText>
      </w:r>
      <w:r w:rsidRPr="005734B8">
        <w:rPr>
          <w:rFonts w:ascii="Calibri" w:hAnsi="Calibri" w:cs="Calibri"/>
        </w:rPr>
        <w:fldChar w:fldCharType="end"/>
      </w:r>
    </w:p>
    <w:tbl>
      <w:tblPr>
        <w:tblW w:w="7625" w:type="dxa"/>
        <w:tblInd w:w="75" w:type="dxa"/>
        <w:tblLayout w:type="fixed"/>
        <w:tblLook w:val="04A0" w:firstRow="1" w:lastRow="0" w:firstColumn="1" w:lastColumn="0" w:noHBand="0" w:noVBand="1"/>
      </w:tblPr>
      <w:tblGrid>
        <w:gridCol w:w="3971"/>
        <w:gridCol w:w="1174"/>
        <w:gridCol w:w="1241"/>
        <w:gridCol w:w="1239"/>
      </w:tblGrid>
      <w:tr w:rsidR="00595956" w:rsidRPr="005734B8" w14:paraId="58DE2A08" w14:textId="77777777" w:rsidTr="000F48B1">
        <w:trPr>
          <w:trHeight w:val="480"/>
        </w:trPr>
        <w:tc>
          <w:tcPr>
            <w:tcW w:w="3971" w:type="dxa"/>
            <w:tcBorders>
              <w:top w:val="nil"/>
              <w:left w:val="single" w:sz="4" w:space="0" w:color="FFFFFF"/>
              <w:bottom w:val="single" w:sz="4" w:space="0" w:color="FFFFFF"/>
              <w:right w:val="single" w:sz="4" w:space="0" w:color="FFFFFF"/>
            </w:tcBorders>
            <w:shd w:val="clear" w:color="000000" w:fill="AF272F"/>
            <w:vAlign w:val="center"/>
            <w:hideMark/>
          </w:tcPr>
          <w:p w14:paraId="0C4612EA" w14:textId="77777777" w:rsidR="00595956" w:rsidRPr="005734B8" w:rsidRDefault="00595956" w:rsidP="000F48B1">
            <w:pPr>
              <w:jc w:val="center"/>
              <w:rPr>
                <w:rFonts w:ascii="Calibri" w:hAnsi="Calibri" w:cs="Calibri"/>
                <w:b/>
                <w:color w:val="FFFFFF"/>
                <w:sz w:val="18"/>
                <w:szCs w:val="18"/>
              </w:rPr>
            </w:pPr>
            <w:bookmarkStart w:id="1137" w:name="Note_DBSTABLE1" w:colFirst="0" w:colLast="0"/>
            <w:r w:rsidRPr="005734B8">
              <w:rPr>
                <w:rFonts w:ascii="Calibri" w:hAnsi="Calibri" w:cs="Calibri"/>
                <w:b/>
                <w:color w:val="FFFFFF"/>
                <w:sz w:val="18"/>
                <w:szCs w:val="18"/>
              </w:rPr>
              <w:t> </w:t>
            </w:r>
          </w:p>
        </w:tc>
        <w:tc>
          <w:tcPr>
            <w:tcW w:w="1174" w:type="dxa"/>
            <w:tcBorders>
              <w:top w:val="nil"/>
              <w:left w:val="nil"/>
              <w:bottom w:val="single" w:sz="4" w:space="0" w:color="FFFFFF"/>
              <w:right w:val="single" w:sz="4" w:space="0" w:color="FFFFFF"/>
            </w:tcBorders>
            <w:shd w:val="clear" w:color="000000" w:fill="AF272F"/>
            <w:hideMark/>
          </w:tcPr>
          <w:p w14:paraId="7750627D" w14:textId="77777777" w:rsidR="00595956" w:rsidRPr="005734B8" w:rsidRDefault="00595956" w:rsidP="000F48B1">
            <w:pPr>
              <w:jc w:val="right"/>
              <w:rPr>
                <w:rFonts w:ascii="Calibri" w:hAnsi="Calibri" w:cs="Calibri"/>
                <w:b/>
                <w:color w:val="FFFFFF"/>
                <w:sz w:val="18"/>
                <w:szCs w:val="18"/>
              </w:rPr>
            </w:pPr>
            <w:r w:rsidRPr="005734B8">
              <w:rPr>
                <w:rFonts w:ascii="Calibri" w:hAnsi="Calibri" w:cs="Calibri"/>
                <w:b/>
                <w:color w:val="FFFFFF"/>
                <w:sz w:val="18"/>
                <w:szCs w:val="18"/>
              </w:rPr>
              <w:t>Notes</w:t>
            </w:r>
          </w:p>
        </w:tc>
        <w:tc>
          <w:tcPr>
            <w:tcW w:w="1241" w:type="dxa"/>
            <w:tcBorders>
              <w:top w:val="nil"/>
              <w:left w:val="nil"/>
              <w:bottom w:val="single" w:sz="4" w:space="0" w:color="FFFFFF"/>
              <w:right w:val="single" w:sz="4" w:space="0" w:color="FFFFFF"/>
            </w:tcBorders>
            <w:shd w:val="clear" w:color="000000" w:fill="AF272F"/>
            <w:vAlign w:val="bottom"/>
            <w:hideMark/>
          </w:tcPr>
          <w:p w14:paraId="61DF3A30" w14:textId="77777777" w:rsidR="00595956" w:rsidRPr="005734B8" w:rsidRDefault="00595956"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239" w:type="dxa"/>
            <w:tcBorders>
              <w:top w:val="nil"/>
              <w:left w:val="nil"/>
              <w:bottom w:val="single" w:sz="4" w:space="0" w:color="FFFFFF"/>
              <w:right w:val="single" w:sz="4" w:space="0" w:color="FFFFFF"/>
            </w:tcBorders>
            <w:shd w:val="clear" w:color="000000" w:fill="AF272F"/>
            <w:hideMark/>
          </w:tcPr>
          <w:p w14:paraId="4BC8291D" w14:textId="77777777" w:rsidR="00595956" w:rsidRPr="005734B8" w:rsidRDefault="00595956"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137"/>
      <w:tr w:rsidR="00595956" w:rsidRPr="005734B8" w14:paraId="6AD92C95" w14:textId="77777777" w:rsidTr="000F48B1">
        <w:trPr>
          <w:trHeight w:val="255"/>
        </w:trPr>
        <w:tc>
          <w:tcPr>
            <w:tcW w:w="3971" w:type="dxa"/>
            <w:tcBorders>
              <w:top w:val="nil"/>
              <w:left w:val="single" w:sz="4" w:space="0" w:color="FFFFFF"/>
              <w:bottom w:val="single" w:sz="4" w:space="0" w:color="auto"/>
              <w:right w:val="nil"/>
            </w:tcBorders>
            <w:shd w:val="clear" w:color="000000" w:fill="53565A"/>
            <w:vAlign w:val="center"/>
            <w:hideMark/>
          </w:tcPr>
          <w:p w14:paraId="5DFF4F58"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Assets</w:t>
            </w:r>
          </w:p>
        </w:tc>
        <w:tc>
          <w:tcPr>
            <w:tcW w:w="1174" w:type="dxa"/>
            <w:tcBorders>
              <w:top w:val="nil"/>
              <w:left w:val="nil"/>
              <w:bottom w:val="single" w:sz="4" w:space="0" w:color="auto"/>
              <w:right w:val="nil"/>
            </w:tcBorders>
            <w:shd w:val="clear" w:color="000000" w:fill="53565A"/>
            <w:vAlign w:val="center"/>
            <w:hideMark/>
          </w:tcPr>
          <w:p w14:paraId="2693C607"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 </w:t>
            </w:r>
          </w:p>
        </w:tc>
        <w:tc>
          <w:tcPr>
            <w:tcW w:w="1241" w:type="dxa"/>
            <w:tcBorders>
              <w:top w:val="nil"/>
              <w:left w:val="nil"/>
              <w:bottom w:val="single" w:sz="4" w:space="0" w:color="auto"/>
              <w:right w:val="nil"/>
            </w:tcBorders>
            <w:shd w:val="clear" w:color="000000" w:fill="53565A"/>
            <w:vAlign w:val="center"/>
            <w:hideMark/>
          </w:tcPr>
          <w:p w14:paraId="0E20B2F8"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 </w:t>
            </w:r>
          </w:p>
        </w:tc>
        <w:tc>
          <w:tcPr>
            <w:tcW w:w="1239" w:type="dxa"/>
            <w:tcBorders>
              <w:top w:val="nil"/>
              <w:left w:val="nil"/>
              <w:bottom w:val="single" w:sz="4" w:space="0" w:color="auto"/>
              <w:right w:val="nil"/>
            </w:tcBorders>
            <w:shd w:val="clear" w:color="000000" w:fill="53565A"/>
            <w:vAlign w:val="center"/>
            <w:hideMark/>
          </w:tcPr>
          <w:p w14:paraId="177E7EF5"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 </w:t>
            </w:r>
          </w:p>
        </w:tc>
      </w:tr>
      <w:tr w:rsidR="00595956" w:rsidRPr="005734B8" w14:paraId="48753425" w14:textId="77777777" w:rsidTr="000F48B1">
        <w:trPr>
          <w:trHeight w:val="255"/>
        </w:trPr>
        <w:tc>
          <w:tcPr>
            <w:tcW w:w="3971" w:type="dxa"/>
            <w:tcBorders>
              <w:top w:val="nil"/>
              <w:left w:val="nil"/>
              <w:bottom w:val="single" w:sz="4" w:space="0" w:color="auto"/>
              <w:right w:val="nil"/>
            </w:tcBorders>
            <w:shd w:val="clear" w:color="000000" w:fill="D9D9D6"/>
            <w:vAlign w:val="center"/>
            <w:hideMark/>
          </w:tcPr>
          <w:p w14:paraId="28903715"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Financial assets</w:t>
            </w:r>
          </w:p>
        </w:tc>
        <w:tc>
          <w:tcPr>
            <w:tcW w:w="1174" w:type="dxa"/>
            <w:tcBorders>
              <w:top w:val="nil"/>
              <w:left w:val="nil"/>
              <w:bottom w:val="single" w:sz="4" w:space="0" w:color="auto"/>
              <w:right w:val="nil"/>
            </w:tcBorders>
            <w:shd w:val="clear" w:color="000000" w:fill="D9D9D6"/>
            <w:vAlign w:val="center"/>
            <w:hideMark/>
          </w:tcPr>
          <w:p w14:paraId="3F9DEA49"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w:t>
            </w:r>
          </w:p>
        </w:tc>
        <w:tc>
          <w:tcPr>
            <w:tcW w:w="1241" w:type="dxa"/>
            <w:tcBorders>
              <w:top w:val="nil"/>
              <w:left w:val="nil"/>
              <w:bottom w:val="single" w:sz="4" w:space="0" w:color="auto"/>
              <w:right w:val="nil"/>
            </w:tcBorders>
            <w:shd w:val="clear" w:color="000000" w:fill="D9D9D6"/>
            <w:vAlign w:val="center"/>
            <w:hideMark/>
          </w:tcPr>
          <w:p w14:paraId="2831BB34"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w:t>
            </w:r>
          </w:p>
        </w:tc>
        <w:tc>
          <w:tcPr>
            <w:tcW w:w="1239" w:type="dxa"/>
            <w:tcBorders>
              <w:top w:val="nil"/>
              <w:left w:val="nil"/>
              <w:bottom w:val="single" w:sz="4" w:space="0" w:color="auto"/>
              <w:right w:val="nil"/>
            </w:tcBorders>
            <w:shd w:val="clear" w:color="000000" w:fill="D9D9D6"/>
            <w:vAlign w:val="center"/>
            <w:hideMark/>
          </w:tcPr>
          <w:p w14:paraId="16E774B6"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w:t>
            </w:r>
          </w:p>
        </w:tc>
      </w:tr>
      <w:tr w:rsidR="00595956" w:rsidRPr="005734B8" w14:paraId="4910A590" w14:textId="77777777" w:rsidTr="000F48B1">
        <w:trPr>
          <w:trHeight w:val="255"/>
        </w:trPr>
        <w:tc>
          <w:tcPr>
            <w:tcW w:w="3971" w:type="dxa"/>
            <w:tcBorders>
              <w:top w:val="nil"/>
              <w:left w:val="nil"/>
              <w:bottom w:val="single" w:sz="4" w:space="0" w:color="auto"/>
              <w:right w:val="nil"/>
            </w:tcBorders>
            <w:shd w:val="clear" w:color="FFFFFF" w:fill="FFFFFF"/>
            <w:vAlign w:val="center"/>
            <w:hideMark/>
          </w:tcPr>
          <w:p w14:paraId="535E5AF6"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Cash and deposits</w:t>
            </w:r>
          </w:p>
        </w:tc>
        <w:tc>
          <w:tcPr>
            <w:tcW w:w="1174" w:type="dxa"/>
            <w:tcBorders>
              <w:top w:val="nil"/>
              <w:left w:val="single" w:sz="4" w:space="0" w:color="FFFFFF"/>
              <w:bottom w:val="single" w:sz="4" w:space="0" w:color="auto"/>
              <w:right w:val="single" w:sz="4" w:space="0" w:color="FFFFFF"/>
            </w:tcBorders>
            <w:shd w:val="clear" w:color="FFFFFF" w:fill="FFFFFF"/>
            <w:noWrap/>
            <w:vAlign w:val="center"/>
            <w:hideMark/>
          </w:tcPr>
          <w:p w14:paraId="65D4824E"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7.3</w:t>
            </w:r>
          </w:p>
        </w:tc>
        <w:tc>
          <w:tcPr>
            <w:tcW w:w="1241" w:type="dxa"/>
            <w:tcBorders>
              <w:top w:val="nil"/>
              <w:left w:val="nil"/>
              <w:bottom w:val="single" w:sz="4" w:space="0" w:color="auto"/>
              <w:right w:val="single" w:sz="4" w:space="0" w:color="FFFFFF"/>
            </w:tcBorders>
            <w:shd w:val="clear" w:color="000000" w:fill="D9D9D9"/>
            <w:noWrap/>
            <w:vAlign w:val="center"/>
            <w:hideMark/>
          </w:tcPr>
          <w:p w14:paraId="2497DC9B"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1,482.6 </w:t>
            </w:r>
          </w:p>
        </w:tc>
        <w:tc>
          <w:tcPr>
            <w:tcW w:w="1239" w:type="dxa"/>
            <w:tcBorders>
              <w:top w:val="nil"/>
              <w:left w:val="nil"/>
              <w:bottom w:val="single" w:sz="4" w:space="0" w:color="auto"/>
              <w:right w:val="single" w:sz="4" w:space="0" w:color="FFFFFF"/>
            </w:tcBorders>
            <w:shd w:val="clear" w:color="FFFFFF" w:fill="FFFFFF"/>
            <w:noWrap/>
            <w:vAlign w:val="center"/>
            <w:hideMark/>
          </w:tcPr>
          <w:p w14:paraId="70F6D9DB"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1,557.2 </w:t>
            </w:r>
          </w:p>
        </w:tc>
      </w:tr>
      <w:tr w:rsidR="00595956" w:rsidRPr="005734B8" w14:paraId="18043467" w14:textId="77777777" w:rsidTr="000F48B1">
        <w:trPr>
          <w:trHeight w:val="255"/>
        </w:trPr>
        <w:tc>
          <w:tcPr>
            <w:tcW w:w="3971" w:type="dxa"/>
            <w:tcBorders>
              <w:top w:val="nil"/>
              <w:left w:val="nil"/>
              <w:bottom w:val="single" w:sz="4" w:space="0" w:color="auto"/>
              <w:right w:val="nil"/>
            </w:tcBorders>
            <w:shd w:val="clear" w:color="FFFFFF" w:fill="FFFFFF"/>
            <w:vAlign w:val="center"/>
            <w:hideMark/>
          </w:tcPr>
          <w:p w14:paraId="1EAC5AA8"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Receivables</w:t>
            </w:r>
          </w:p>
        </w:tc>
        <w:tc>
          <w:tcPr>
            <w:tcW w:w="1174" w:type="dxa"/>
            <w:tcBorders>
              <w:top w:val="nil"/>
              <w:left w:val="single" w:sz="4" w:space="0" w:color="FFFFFF"/>
              <w:bottom w:val="single" w:sz="4" w:space="0" w:color="auto"/>
              <w:right w:val="single" w:sz="4" w:space="0" w:color="FFFFFF"/>
            </w:tcBorders>
            <w:shd w:val="clear" w:color="FFFFFF" w:fill="FFFFFF"/>
            <w:noWrap/>
            <w:vAlign w:val="center"/>
            <w:hideMark/>
          </w:tcPr>
          <w:p w14:paraId="551EB499"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6.1</w:t>
            </w:r>
          </w:p>
        </w:tc>
        <w:tc>
          <w:tcPr>
            <w:tcW w:w="1241" w:type="dxa"/>
            <w:tcBorders>
              <w:top w:val="nil"/>
              <w:left w:val="nil"/>
              <w:bottom w:val="single" w:sz="4" w:space="0" w:color="auto"/>
              <w:right w:val="single" w:sz="4" w:space="0" w:color="FFFFFF"/>
            </w:tcBorders>
            <w:shd w:val="clear" w:color="000000" w:fill="D9D9D9"/>
            <w:noWrap/>
            <w:vAlign w:val="center"/>
            <w:hideMark/>
          </w:tcPr>
          <w:p w14:paraId="16033C0F"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2,758.4 </w:t>
            </w:r>
          </w:p>
        </w:tc>
        <w:tc>
          <w:tcPr>
            <w:tcW w:w="1239" w:type="dxa"/>
            <w:tcBorders>
              <w:top w:val="nil"/>
              <w:left w:val="nil"/>
              <w:bottom w:val="single" w:sz="4" w:space="0" w:color="auto"/>
              <w:right w:val="single" w:sz="4" w:space="0" w:color="FFFFFF"/>
            </w:tcBorders>
            <w:shd w:val="clear" w:color="FFFFFF" w:fill="FFFFFF"/>
            <w:noWrap/>
            <w:vAlign w:val="center"/>
            <w:hideMark/>
          </w:tcPr>
          <w:p w14:paraId="1523C333"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2,339.4 </w:t>
            </w:r>
          </w:p>
        </w:tc>
      </w:tr>
      <w:tr w:rsidR="00595956" w:rsidRPr="005734B8" w14:paraId="2A777016" w14:textId="77777777" w:rsidTr="000F48B1">
        <w:trPr>
          <w:trHeight w:val="270"/>
        </w:trPr>
        <w:tc>
          <w:tcPr>
            <w:tcW w:w="3971" w:type="dxa"/>
            <w:tcBorders>
              <w:top w:val="nil"/>
              <w:left w:val="nil"/>
              <w:bottom w:val="single" w:sz="4" w:space="0" w:color="auto"/>
              <w:right w:val="nil"/>
            </w:tcBorders>
            <w:shd w:val="clear" w:color="FFFFFF" w:fill="FFFFFF"/>
            <w:vAlign w:val="center"/>
            <w:hideMark/>
          </w:tcPr>
          <w:p w14:paraId="745B01B9"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Other financial assets</w:t>
            </w:r>
          </w:p>
        </w:tc>
        <w:tc>
          <w:tcPr>
            <w:tcW w:w="1174" w:type="dxa"/>
            <w:tcBorders>
              <w:top w:val="nil"/>
              <w:left w:val="single" w:sz="4" w:space="0" w:color="FFFFFF"/>
              <w:bottom w:val="single" w:sz="4" w:space="0" w:color="auto"/>
              <w:right w:val="single" w:sz="4" w:space="0" w:color="FFFFFF"/>
            </w:tcBorders>
            <w:shd w:val="clear" w:color="FFFFFF" w:fill="FFFFFF"/>
            <w:noWrap/>
            <w:vAlign w:val="center"/>
            <w:hideMark/>
          </w:tcPr>
          <w:p w14:paraId="625DF9C9"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5.3</w:t>
            </w:r>
          </w:p>
        </w:tc>
        <w:tc>
          <w:tcPr>
            <w:tcW w:w="1241" w:type="dxa"/>
            <w:tcBorders>
              <w:top w:val="nil"/>
              <w:left w:val="nil"/>
              <w:bottom w:val="single" w:sz="4" w:space="0" w:color="auto"/>
              <w:right w:val="single" w:sz="4" w:space="0" w:color="FFFFFF"/>
            </w:tcBorders>
            <w:shd w:val="clear" w:color="000000" w:fill="D9D9D9"/>
            <w:noWrap/>
            <w:vAlign w:val="center"/>
            <w:hideMark/>
          </w:tcPr>
          <w:p w14:paraId="4A447D4B"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0.4 </w:t>
            </w:r>
          </w:p>
        </w:tc>
        <w:tc>
          <w:tcPr>
            <w:tcW w:w="1239" w:type="dxa"/>
            <w:tcBorders>
              <w:top w:val="nil"/>
              <w:left w:val="nil"/>
              <w:bottom w:val="single" w:sz="4" w:space="0" w:color="auto"/>
              <w:right w:val="single" w:sz="4" w:space="0" w:color="FFFFFF"/>
            </w:tcBorders>
            <w:shd w:val="clear" w:color="FFFFFF" w:fill="FFFFFF"/>
            <w:noWrap/>
            <w:vAlign w:val="center"/>
            <w:hideMark/>
          </w:tcPr>
          <w:p w14:paraId="408787F4"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2.8 </w:t>
            </w:r>
          </w:p>
        </w:tc>
      </w:tr>
      <w:tr w:rsidR="00595956" w:rsidRPr="005734B8" w14:paraId="20113A9D" w14:textId="77777777" w:rsidTr="000F48B1">
        <w:trPr>
          <w:trHeight w:val="285"/>
        </w:trPr>
        <w:tc>
          <w:tcPr>
            <w:tcW w:w="397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313CAAB"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Total financial assets</w:t>
            </w:r>
          </w:p>
        </w:tc>
        <w:tc>
          <w:tcPr>
            <w:tcW w:w="1174" w:type="dxa"/>
            <w:tcBorders>
              <w:top w:val="single" w:sz="12" w:space="0" w:color="auto"/>
              <w:left w:val="nil"/>
              <w:bottom w:val="single" w:sz="12" w:space="0" w:color="auto"/>
              <w:right w:val="single" w:sz="12" w:space="0" w:color="FFFFFF"/>
            </w:tcBorders>
            <w:shd w:val="clear" w:color="FFFFFF" w:fill="FFFFFF"/>
            <w:vAlign w:val="center"/>
            <w:hideMark/>
          </w:tcPr>
          <w:p w14:paraId="6952D151"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241" w:type="dxa"/>
            <w:tcBorders>
              <w:top w:val="single" w:sz="12" w:space="0" w:color="auto"/>
              <w:left w:val="nil"/>
              <w:bottom w:val="single" w:sz="12" w:space="0" w:color="auto"/>
              <w:right w:val="nil"/>
            </w:tcBorders>
            <w:shd w:val="clear" w:color="000000" w:fill="D9D9D6"/>
            <w:noWrap/>
            <w:vAlign w:val="bottom"/>
            <w:hideMark/>
          </w:tcPr>
          <w:p w14:paraId="29351068"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4,241.4 </w:t>
            </w:r>
          </w:p>
        </w:tc>
        <w:tc>
          <w:tcPr>
            <w:tcW w:w="1239" w:type="dxa"/>
            <w:tcBorders>
              <w:top w:val="single" w:sz="12" w:space="0" w:color="auto"/>
              <w:left w:val="nil"/>
              <w:bottom w:val="single" w:sz="12" w:space="0" w:color="auto"/>
              <w:right w:val="single" w:sz="12" w:space="0" w:color="FFFFFF"/>
            </w:tcBorders>
            <w:shd w:val="clear" w:color="FFFFFF" w:fill="FFFFFF"/>
            <w:noWrap/>
            <w:vAlign w:val="center"/>
            <w:hideMark/>
          </w:tcPr>
          <w:p w14:paraId="73C3228C"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3,899.4 </w:t>
            </w:r>
          </w:p>
        </w:tc>
      </w:tr>
      <w:tr w:rsidR="00595956" w:rsidRPr="005734B8" w14:paraId="60FEE194" w14:textId="77777777" w:rsidTr="000F48B1">
        <w:trPr>
          <w:trHeight w:val="285"/>
        </w:trPr>
        <w:tc>
          <w:tcPr>
            <w:tcW w:w="3971" w:type="dxa"/>
            <w:tcBorders>
              <w:top w:val="nil"/>
              <w:left w:val="single" w:sz="12" w:space="0" w:color="FFFFFF"/>
              <w:bottom w:val="single" w:sz="12" w:space="0" w:color="auto"/>
              <w:right w:val="nil"/>
            </w:tcBorders>
            <w:shd w:val="clear" w:color="000000" w:fill="D9D9D6"/>
            <w:vAlign w:val="bottom"/>
            <w:hideMark/>
          </w:tcPr>
          <w:p w14:paraId="50026649"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Non-financial assets</w:t>
            </w:r>
          </w:p>
        </w:tc>
        <w:tc>
          <w:tcPr>
            <w:tcW w:w="1174" w:type="dxa"/>
            <w:tcBorders>
              <w:top w:val="single" w:sz="12" w:space="0" w:color="auto"/>
              <w:left w:val="nil"/>
              <w:bottom w:val="single" w:sz="12" w:space="0" w:color="auto"/>
              <w:right w:val="nil"/>
            </w:tcBorders>
            <w:shd w:val="clear" w:color="000000" w:fill="D9D9D6"/>
            <w:vAlign w:val="center"/>
            <w:hideMark/>
          </w:tcPr>
          <w:p w14:paraId="071AE2C7"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241" w:type="dxa"/>
            <w:tcBorders>
              <w:top w:val="nil"/>
              <w:left w:val="nil"/>
              <w:bottom w:val="single" w:sz="12" w:space="0" w:color="auto"/>
              <w:right w:val="nil"/>
            </w:tcBorders>
            <w:shd w:val="clear" w:color="000000" w:fill="D9D9D6"/>
            <w:noWrap/>
            <w:vAlign w:val="bottom"/>
            <w:hideMark/>
          </w:tcPr>
          <w:p w14:paraId="2D7AA11E"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w:t>
            </w:r>
          </w:p>
        </w:tc>
        <w:tc>
          <w:tcPr>
            <w:tcW w:w="1239" w:type="dxa"/>
            <w:tcBorders>
              <w:top w:val="single" w:sz="12" w:space="0" w:color="auto"/>
              <w:left w:val="nil"/>
              <w:bottom w:val="single" w:sz="12" w:space="0" w:color="auto"/>
              <w:right w:val="nil"/>
            </w:tcBorders>
            <w:shd w:val="clear" w:color="000000" w:fill="D9D9D6"/>
            <w:noWrap/>
            <w:vAlign w:val="bottom"/>
            <w:hideMark/>
          </w:tcPr>
          <w:p w14:paraId="5483D7E9"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w:t>
            </w:r>
          </w:p>
        </w:tc>
      </w:tr>
      <w:tr w:rsidR="00595956" w:rsidRPr="005734B8" w14:paraId="22E73C2F" w14:textId="77777777" w:rsidTr="000F48B1">
        <w:trPr>
          <w:trHeight w:val="270"/>
        </w:trPr>
        <w:tc>
          <w:tcPr>
            <w:tcW w:w="3971" w:type="dxa"/>
            <w:tcBorders>
              <w:top w:val="nil"/>
              <w:left w:val="nil"/>
              <w:bottom w:val="single" w:sz="4" w:space="0" w:color="auto"/>
              <w:right w:val="nil"/>
            </w:tcBorders>
            <w:shd w:val="clear" w:color="FFFFFF" w:fill="FFFFFF"/>
            <w:vAlign w:val="center"/>
            <w:hideMark/>
          </w:tcPr>
          <w:p w14:paraId="2D20E619"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Intangible assets</w:t>
            </w:r>
          </w:p>
        </w:tc>
        <w:tc>
          <w:tcPr>
            <w:tcW w:w="1174" w:type="dxa"/>
            <w:tcBorders>
              <w:top w:val="single" w:sz="4" w:space="0" w:color="auto"/>
              <w:left w:val="single" w:sz="4" w:space="0" w:color="FFFFFF"/>
              <w:bottom w:val="single" w:sz="4" w:space="0" w:color="auto"/>
              <w:right w:val="single" w:sz="4" w:space="0" w:color="FFFFFF"/>
            </w:tcBorders>
            <w:shd w:val="clear" w:color="FFFFFF" w:fill="FFFFFF"/>
            <w:noWrap/>
            <w:vAlign w:val="center"/>
            <w:hideMark/>
          </w:tcPr>
          <w:p w14:paraId="6228262C"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5.2</w:t>
            </w:r>
          </w:p>
        </w:tc>
        <w:tc>
          <w:tcPr>
            <w:tcW w:w="1241" w:type="dxa"/>
            <w:tcBorders>
              <w:top w:val="single" w:sz="4" w:space="0" w:color="auto"/>
              <w:left w:val="nil"/>
              <w:bottom w:val="single" w:sz="4" w:space="0" w:color="auto"/>
              <w:right w:val="single" w:sz="4" w:space="0" w:color="FFFFFF"/>
            </w:tcBorders>
            <w:shd w:val="clear" w:color="000000" w:fill="D9D9D9"/>
            <w:noWrap/>
            <w:vAlign w:val="center"/>
            <w:hideMark/>
          </w:tcPr>
          <w:p w14:paraId="394D3EB3"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50.5 </w:t>
            </w:r>
          </w:p>
        </w:tc>
        <w:tc>
          <w:tcPr>
            <w:tcW w:w="1239" w:type="dxa"/>
            <w:tcBorders>
              <w:top w:val="single" w:sz="4" w:space="0" w:color="auto"/>
              <w:left w:val="nil"/>
              <w:bottom w:val="single" w:sz="4" w:space="0" w:color="auto"/>
              <w:right w:val="single" w:sz="4" w:space="0" w:color="FFFFFF"/>
            </w:tcBorders>
            <w:shd w:val="clear" w:color="FFFFFF" w:fill="FFFFFF"/>
            <w:noWrap/>
            <w:vAlign w:val="center"/>
            <w:hideMark/>
          </w:tcPr>
          <w:p w14:paraId="636B3543"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38.9 </w:t>
            </w:r>
          </w:p>
        </w:tc>
      </w:tr>
      <w:tr w:rsidR="00595956" w:rsidRPr="005734B8" w14:paraId="328D64DE" w14:textId="77777777" w:rsidTr="000F48B1">
        <w:trPr>
          <w:trHeight w:val="255"/>
        </w:trPr>
        <w:tc>
          <w:tcPr>
            <w:tcW w:w="3971" w:type="dxa"/>
            <w:tcBorders>
              <w:top w:val="nil"/>
              <w:left w:val="nil"/>
              <w:bottom w:val="single" w:sz="4" w:space="0" w:color="auto"/>
              <w:right w:val="nil"/>
            </w:tcBorders>
            <w:shd w:val="clear" w:color="FFFFFF" w:fill="FFFFFF"/>
            <w:vAlign w:val="center"/>
            <w:hideMark/>
          </w:tcPr>
          <w:p w14:paraId="1BFC9FAF"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Property, plant and equipment</w:t>
            </w:r>
          </w:p>
        </w:tc>
        <w:tc>
          <w:tcPr>
            <w:tcW w:w="1174" w:type="dxa"/>
            <w:tcBorders>
              <w:top w:val="nil"/>
              <w:left w:val="single" w:sz="4" w:space="0" w:color="FFFFFF"/>
              <w:bottom w:val="single" w:sz="4" w:space="0" w:color="auto"/>
              <w:right w:val="single" w:sz="4" w:space="0" w:color="FFFFFF"/>
            </w:tcBorders>
            <w:shd w:val="clear" w:color="FFFFFF" w:fill="FFFFFF"/>
            <w:noWrap/>
            <w:vAlign w:val="center"/>
            <w:hideMark/>
          </w:tcPr>
          <w:p w14:paraId="4586B06D"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5.1</w:t>
            </w:r>
          </w:p>
        </w:tc>
        <w:tc>
          <w:tcPr>
            <w:tcW w:w="1241" w:type="dxa"/>
            <w:tcBorders>
              <w:top w:val="nil"/>
              <w:left w:val="nil"/>
              <w:bottom w:val="single" w:sz="4" w:space="0" w:color="auto"/>
              <w:right w:val="single" w:sz="4" w:space="0" w:color="FFFFFF"/>
            </w:tcBorders>
            <w:shd w:val="clear" w:color="000000" w:fill="D9D9D9"/>
            <w:noWrap/>
            <w:vAlign w:val="center"/>
            <w:hideMark/>
          </w:tcPr>
          <w:p w14:paraId="5B2B13BF"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29,129.3 </w:t>
            </w:r>
          </w:p>
        </w:tc>
        <w:tc>
          <w:tcPr>
            <w:tcW w:w="1239" w:type="dxa"/>
            <w:tcBorders>
              <w:top w:val="nil"/>
              <w:left w:val="nil"/>
              <w:bottom w:val="single" w:sz="4" w:space="0" w:color="auto"/>
              <w:right w:val="single" w:sz="4" w:space="0" w:color="FFFFFF"/>
            </w:tcBorders>
            <w:shd w:val="clear" w:color="FFFFFF" w:fill="FFFFFF"/>
            <w:noWrap/>
            <w:vAlign w:val="center"/>
            <w:hideMark/>
          </w:tcPr>
          <w:p w14:paraId="1EA17189"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25,254.0 </w:t>
            </w:r>
          </w:p>
        </w:tc>
      </w:tr>
      <w:tr w:rsidR="00595956" w:rsidRPr="005734B8" w14:paraId="7BE65B7A" w14:textId="77777777" w:rsidTr="000F48B1">
        <w:trPr>
          <w:trHeight w:val="270"/>
        </w:trPr>
        <w:tc>
          <w:tcPr>
            <w:tcW w:w="3971" w:type="dxa"/>
            <w:tcBorders>
              <w:top w:val="nil"/>
              <w:left w:val="nil"/>
              <w:bottom w:val="single" w:sz="4" w:space="0" w:color="auto"/>
              <w:right w:val="nil"/>
            </w:tcBorders>
            <w:shd w:val="clear" w:color="FFFFFF" w:fill="FFFFFF"/>
            <w:vAlign w:val="center"/>
            <w:hideMark/>
          </w:tcPr>
          <w:p w14:paraId="75637927"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Other non-financial assets</w:t>
            </w:r>
          </w:p>
        </w:tc>
        <w:tc>
          <w:tcPr>
            <w:tcW w:w="1174" w:type="dxa"/>
            <w:tcBorders>
              <w:top w:val="nil"/>
              <w:left w:val="single" w:sz="4" w:space="0" w:color="FFFFFF"/>
              <w:bottom w:val="single" w:sz="4" w:space="0" w:color="auto"/>
              <w:right w:val="single" w:sz="4" w:space="0" w:color="FFFFFF"/>
            </w:tcBorders>
            <w:shd w:val="clear" w:color="FFFFFF" w:fill="FFFFFF"/>
            <w:noWrap/>
            <w:vAlign w:val="center"/>
            <w:hideMark/>
          </w:tcPr>
          <w:p w14:paraId="042BCB93"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6.2</w:t>
            </w:r>
          </w:p>
        </w:tc>
        <w:tc>
          <w:tcPr>
            <w:tcW w:w="1241" w:type="dxa"/>
            <w:tcBorders>
              <w:top w:val="nil"/>
              <w:left w:val="nil"/>
              <w:bottom w:val="single" w:sz="4" w:space="0" w:color="auto"/>
              <w:right w:val="single" w:sz="4" w:space="0" w:color="FFFFFF"/>
            </w:tcBorders>
            <w:shd w:val="clear" w:color="000000" w:fill="D9D9D9"/>
            <w:noWrap/>
            <w:vAlign w:val="center"/>
            <w:hideMark/>
          </w:tcPr>
          <w:p w14:paraId="1F2D8A5D"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114.2 </w:t>
            </w:r>
          </w:p>
        </w:tc>
        <w:tc>
          <w:tcPr>
            <w:tcW w:w="1239" w:type="dxa"/>
            <w:tcBorders>
              <w:top w:val="nil"/>
              <w:left w:val="nil"/>
              <w:bottom w:val="single" w:sz="4" w:space="0" w:color="auto"/>
              <w:right w:val="single" w:sz="4" w:space="0" w:color="FFFFFF"/>
            </w:tcBorders>
            <w:shd w:val="clear" w:color="FFFFFF" w:fill="FFFFFF"/>
            <w:noWrap/>
            <w:vAlign w:val="center"/>
            <w:hideMark/>
          </w:tcPr>
          <w:p w14:paraId="3121E1F6"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36.6 </w:t>
            </w:r>
          </w:p>
        </w:tc>
      </w:tr>
      <w:tr w:rsidR="00595956" w:rsidRPr="005734B8" w14:paraId="6C4036F1" w14:textId="77777777" w:rsidTr="000F48B1">
        <w:trPr>
          <w:trHeight w:val="285"/>
        </w:trPr>
        <w:tc>
          <w:tcPr>
            <w:tcW w:w="397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F50519A"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Total non-financial assets</w:t>
            </w:r>
          </w:p>
        </w:tc>
        <w:tc>
          <w:tcPr>
            <w:tcW w:w="1174" w:type="dxa"/>
            <w:tcBorders>
              <w:top w:val="single" w:sz="12" w:space="0" w:color="auto"/>
              <w:left w:val="nil"/>
              <w:bottom w:val="single" w:sz="12" w:space="0" w:color="auto"/>
              <w:right w:val="single" w:sz="12" w:space="0" w:color="FFFFFF"/>
            </w:tcBorders>
            <w:shd w:val="clear" w:color="FFFFFF" w:fill="FFFFFF"/>
            <w:vAlign w:val="center"/>
            <w:hideMark/>
          </w:tcPr>
          <w:p w14:paraId="57576B91"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241" w:type="dxa"/>
            <w:tcBorders>
              <w:top w:val="single" w:sz="12" w:space="0" w:color="auto"/>
              <w:left w:val="nil"/>
              <w:bottom w:val="single" w:sz="12" w:space="0" w:color="auto"/>
              <w:right w:val="nil"/>
            </w:tcBorders>
            <w:shd w:val="clear" w:color="000000" w:fill="D9D9D6"/>
            <w:noWrap/>
            <w:vAlign w:val="bottom"/>
            <w:hideMark/>
          </w:tcPr>
          <w:p w14:paraId="4FC685B9"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29,294.0 </w:t>
            </w:r>
          </w:p>
        </w:tc>
        <w:tc>
          <w:tcPr>
            <w:tcW w:w="1239" w:type="dxa"/>
            <w:tcBorders>
              <w:top w:val="single" w:sz="12" w:space="0" w:color="auto"/>
              <w:left w:val="nil"/>
              <w:bottom w:val="single" w:sz="12" w:space="0" w:color="auto"/>
              <w:right w:val="single" w:sz="12" w:space="0" w:color="FFFFFF"/>
            </w:tcBorders>
            <w:shd w:val="clear" w:color="FFFFFF" w:fill="FFFFFF"/>
            <w:noWrap/>
            <w:vAlign w:val="center"/>
            <w:hideMark/>
          </w:tcPr>
          <w:p w14:paraId="0E04E134"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25,329.5 </w:t>
            </w:r>
          </w:p>
        </w:tc>
      </w:tr>
      <w:tr w:rsidR="00595956" w:rsidRPr="005734B8" w14:paraId="3A542183" w14:textId="77777777" w:rsidTr="000F48B1">
        <w:trPr>
          <w:trHeight w:val="285"/>
        </w:trPr>
        <w:tc>
          <w:tcPr>
            <w:tcW w:w="3971" w:type="dxa"/>
            <w:tcBorders>
              <w:top w:val="nil"/>
              <w:left w:val="single" w:sz="12" w:space="0" w:color="FFFFFF"/>
              <w:bottom w:val="single" w:sz="12" w:space="0" w:color="auto"/>
              <w:right w:val="single" w:sz="12" w:space="0" w:color="FFFFFF"/>
            </w:tcBorders>
            <w:shd w:val="clear" w:color="FFFFFF" w:fill="FFFFFF"/>
            <w:vAlign w:val="center"/>
            <w:hideMark/>
          </w:tcPr>
          <w:p w14:paraId="7688BE73"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Total assets</w:t>
            </w:r>
          </w:p>
        </w:tc>
        <w:tc>
          <w:tcPr>
            <w:tcW w:w="1174" w:type="dxa"/>
            <w:tcBorders>
              <w:top w:val="nil"/>
              <w:left w:val="nil"/>
              <w:bottom w:val="single" w:sz="12" w:space="0" w:color="auto"/>
              <w:right w:val="single" w:sz="12" w:space="0" w:color="FFFFFF"/>
            </w:tcBorders>
            <w:shd w:val="clear" w:color="FFFFFF" w:fill="FFFFFF"/>
            <w:vAlign w:val="center"/>
            <w:hideMark/>
          </w:tcPr>
          <w:p w14:paraId="76FF2834"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241" w:type="dxa"/>
            <w:tcBorders>
              <w:top w:val="nil"/>
              <w:left w:val="nil"/>
              <w:bottom w:val="single" w:sz="12" w:space="0" w:color="auto"/>
              <w:right w:val="nil"/>
            </w:tcBorders>
            <w:shd w:val="clear" w:color="000000" w:fill="D9D9D6"/>
            <w:noWrap/>
            <w:vAlign w:val="bottom"/>
            <w:hideMark/>
          </w:tcPr>
          <w:p w14:paraId="35B6386B"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33,535.4 </w:t>
            </w:r>
          </w:p>
        </w:tc>
        <w:tc>
          <w:tcPr>
            <w:tcW w:w="1239" w:type="dxa"/>
            <w:tcBorders>
              <w:top w:val="nil"/>
              <w:left w:val="nil"/>
              <w:bottom w:val="single" w:sz="12" w:space="0" w:color="auto"/>
              <w:right w:val="single" w:sz="12" w:space="0" w:color="FFFFFF"/>
            </w:tcBorders>
            <w:shd w:val="clear" w:color="FFFFFF" w:fill="FFFFFF"/>
            <w:noWrap/>
            <w:vAlign w:val="center"/>
            <w:hideMark/>
          </w:tcPr>
          <w:p w14:paraId="2A9F3F82"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29,228.9 </w:t>
            </w:r>
          </w:p>
        </w:tc>
      </w:tr>
      <w:tr w:rsidR="00595956" w:rsidRPr="005734B8" w14:paraId="02D1ADE9" w14:textId="77777777" w:rsidTr="000F48B1">
        <w:trPr>
          <w:trHeight w:val="270"/>
        </w:trPr>
        <w:tc>
          <w:tcPr>
            <w:tcW w:w="3971" w:type="dxa"/>
            <w:tcBorders>
              <w:top w:val="nil"/>
              <w:left w:val="single" w:sz="4" w:space="0" w:color="FFFFFF"/>
              <w:bottom w:val="single" w:sz="4" w:space="0" w:color="auto"/>
              <w:right w:val="nil"/>
            </w:tcBorders>
            <w:shd w:val="clear" w:color="000000" w:fill="53565A"/>
            <w:vAlign w:val="center"/>
            <w:hideMark/>
          </w:tcPr>
          <w:p w14:paraId="48967CC6"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Liabilities</w:t>
            </w:r>
          </w:p>
        </w:tc>
        <w:tc>
          <w:tcPr>
            <w:tcW w:w="1174" w:type="dxa"/>
            <w:tcBorders>
              <w:top w:val="nil"/>
              <w:left w:val="nil"/>
              <w:bottom w:val="single" w:sz="4" w:space="0" w:color="auto"/>
              <w:right w:val="nil"/>
            </w:tcBorders>
            <w:shd w:val="clear" w:color="000000" w:fill="53565A"/>
            <w:vAlign w:val="center"/>
            <w:hideMark/>
          </w:tcPr>
          <w:p w14:paraId="503D9E22"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 </w:t>
            </w:r>
          </w:p>
        </w:tc>
        <w:tc>
          <w:tcPr>
            <w:tcW w:w="1241" w:type="dxa"/>
            <w:tcBorders>
              <w:top w:val="nil"/>
              <w:left w:val="nil"/>
              <w:bottom w:val="single" w:sz="4" w:space="0" w:color="auto"/>
              <w:right w:val="nil"/>
            </w:tcBorders>
            <w:shd w:val="clear" w:color="000000" w:fill="53565A"/>
            <w:vAlign w:val="center"/>
            <w:hideMark/>
          </w:tcPr>
          <w:p w14:paraId="66E84EE6"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 </w:t>
            </w:r>
          </w:p>
        </w:tc>
        <w:tc>
          <w:tcPr>
            <w:tcW w:w="1239" w:type="dxa"/>
            <w:tcBorders>
              <w:top w:val="nil"/>
              <w:left w:val="nil"/>
              <w:bottom w:val="single" w:sz="4" w:space="0" w:color="auto"/>
              <w:right w:val="nil"/>
            </w:tcBorders>
            <w:shd w:val="clear" w:color="000000" w:fill="53565A"/>
            <w:vAlign w:val="center"/>
            <w:hideMark/>
          </w:tcPr>
          <w:p w14:paraId="7927B182"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 </w:t>
            </w:r>
          </w:p>
        </w:tc>
      </w:tr>
      <w:tr w:rsidR="00595956" w:rsidRPr="005734B8" w14:paraId="593099C4" w14:textId="77777777" w:rsidTr="000F48B1">
        <w:trPr>
          <w:trHeight w:val="255"/>
        </w:trPr>
        <w:tc>
          <w:tcPr>
            <w:tcW w:w="3971" w:type="dxa"/>
            <w:tcBorders>
              <w:top w:val="nil"/>
              <w:left w:val="nil"/>
              <w:bottom w:val="single" w:sz="4" w:space="0" w:color="auto"/>
              <w:right w:val="nil"/>
            </w:tcBorders>
            <w:shd w:val="clear" w:color="FFFFFF" w:fill="FFFFFF"/>
            <w:vAlign w:val="center"/>
            <w:hideMark/>
          </w:tcPr>
          <w:p w14:paraId="4109637D"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Payables</w:t>
            </w:r>
          </w:p>
        </w:tc>
        <w:tc>
          <w:tcPr>
            <w:tcW w:w="1174" w:type="dxa"/>
            <w:tcBorders>
              <w:top w:val="nil"/>
              <w:left w:val="single" w:sz="4" w:space="0" w:color="FFFFFF"/>
              <w:bottom w:val="single" w:sz="4" w:space="0" w:color="auto"/>
              <w:right w:val="single" w:sz="4" w:space="0" w:color="FFFFFF"/>
            </w:tcBorders>
            <w:shd w:val="clear" w:color="FFFFFF" w:fill="FFFFFF"/>
            <w:noWrap/>
            <w:vAlign w:val="center"/>
            <w:hideMark/>
          </w:tcPr>
          <w:p w14:paraId="203A93D2"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6.3</w:t>
            </w:r>
          </w:p>
        </w:tc>
        <w:tc>
          <w:tcPr>
            <w:tcW w:w="1241" w:type="dxa"/>
            <w:tcBorders>
              <w:top w:val="nil"/>
              <w:left w:val="nil"/>
              <w:bottom w:val="single" w:sz="4" w:space="0" w:color="auto"/>
              <w:right w:val="nil"/>
            </w:tcBorders>
            <w:shd w:val="clear" w:color="000000" w:fill="D9D9D9"/>
            <w:noWrap/>
            <w:vAlign w:val="center"/>
            <w:hideMark/>
          </w:tcPr>
          <w:p w14:paraId="0245AEDE"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668.4 </w:t>
            </w:r>
          </w:p>
        </w:tc>
        <w:tc>
          <w:tcPr>
            <w:tcW w:w="1239" w:type="dxa"/>
            <w:tcBorders>
              <w:top w:val="nil"/>
              <w:left w:val="single" w:sz="4" w:space="0" w:color="FFFFFF"/>
              <w:bottom w:val="single" w:sz="4" w:space="0" w:color="auto"/>
              <w:right w:val="single" w:sz="4" w:space="0" w:color="FFFFFF"/>
            </w:tcBorders>
            <w:shd w:val="clear" w:color="FFFFFF" w:fill="FFFFFF"/>
            <w:noWrap/>
            <w:vAlign w:val="center"/>
            <w:hideMark/>
          </w:tcPr>
          <w:p w14:paraId="46522A61"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863.3 </w:t>
            </w:r>
          </w:p>
        </w:tc>
      </w:tr>
      <w:tr w:rsidR="00595956" w:rsidRPr="005734B8" w14:paraId="2EC847EE" w14:textId="77777777" w:rsidTr="000F48B1">
        <w:trPr>
          <w:trHeight w:val="255"/>
        </w:trPr>
        <w:tc>
          <w:tcPr>
            <w:tcW w:w="3971" w:type="dxa"/>
            <w:tcBorders>
              <w:top w:val="nil"/>
              <w:left w:val="nil"/>
              <w:bottom w:val="single" w:sz="4" w:space="0" w:color="auto"/>
              <w:right w:val="nil"/>
            </w:tcBorders>
            <w:shd w:val="clear" w:color="FFFFFF" w:fill="FFFFFF"/>
            <w:vAlign w:val="center"/>
            <w:hideMark/>
          </w:tcPr>
          <w:p w14:paraId="3887CC78"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Other liabilities</w:t>
            </w:r>
          </w:p>
        </w:tc>
        <w:tc>
          <w:tcPr>
            <w:tcW w:w="1174" w:type="dxa"/>
            <w:tcBorders>
              <w:top w:val="nil"/>
              <w:left w:val="single" w:sz="4" w:space="0" w:color="FFFFFF"/>
              <w:bottom w:val="single" w:sz="4" w:space="0" w:color="auto"/>
              <w:right w:val="single" w:sz="4" w:space="0" w:color="FFFFFF"/>
            </w:tcBorders>
            <w:shd w:val="clear" w:color="FFFFFF" w:fill="FFFFFF"/>
            <w:noWrap/>
            <w:vAlign w:val="center"/>
            <w:hideMark/>
          </w:tcPr>
          <w:p w14:paraId="4CBBF062"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6.3.3</w:t>
            </w:r>
          </w:p>
        </w:tc>
        <w:tc>
          <w:tcPr>
            <w:tcW w:w="1241" w:type="dxa"/>
            <w:tcBorders>
              <w:top w:val="nil"/>
              <w:left w:val="nil"/>
              <w:bottom w:val="single" w:sz="4" w:space="0" w:color="auto"/>
              <w:right w:val="nil"/>
            </w:tcBorders>
            <w:shd w:val="clear" w:color="000000" w:fill="D9D9D9"/>
            <w:noWrap/>
            <w:vAlign w:val="center"/>
            <w:hideMark/>
          </w:tcPr>
          <w:p w14:paraId="6101C2CE"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71.4 </w:t>
            </w:r>
          </w:p>
        </w:tc>
        <w:tc>
          <w:tcPr>
            <w:tcW w:w="1239" w:type="dxa"/>
            <w:tcBorders>
              <w:top w:val="nil"/>
              <w:left w:val="single" w:sz="4" w:space="0" w:color="FFFFFF"/>
              <w:bottom w:val="single" w:sz="4" w:space="0" w:color="auto"/>
              <w:right w:val="single" w:sz="4" w:space="0" w:color="FFFFFF"/>
            </w:tcBorders>
            <w:shd w:val="clear" w:color="FFFFFF" w:fill="FFFFFF"/>
            <w:noWrap/>
            <w:vAlign w:val="center"/>
            <w:hideMark/>
          </w:tcPr>
          <w:p w14:paraId="1B9B458F"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79.3 </w:t>
            </w:r>
          </w:p>
        </w:tc>
      </w:tr>
      <w:tr w:rsidR="00595956" w:rsidRPr="005734B8" w14:paraId="4F75B210" w14:textId="77777777" w:rsidTr="000F48B1">
        <w:trPr>
          <w:trHeight w:val="270"/>
        </w:trPr>
        <w:tc>
          <w:tcPr>
            <w:tcW w:w="3971" w:type="dxa"/>
            <w:tcBorders>
              <w:top w:val="nil"/>
              <w:left w:val="nil"/>
              <w:bottom w:val="single" w:sz="4" w:space="0" w:color="auto"/>
              <w:right w:val="nil"/>
            </w:tcBorders>
            <w:shd w:val="clear" w:color="FFFFFF" w:fill="FFFFFF"/>
            <w:vAlign w:val="center"/>
            <w:hideMark/>
          </w:tcPr>
          <w:p w14:paraId="547C4C27"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Borrowings</w:t>
            </w:r>
          </w:p>
        </w:tc>
        <w:tc>
          <w:tcPr>
            <w:tcW w:w="1174" w:type="dxa"/>
            <w:tcBorders>
              <w:top w:val="nil"/>
              <w:left w:val="single" w:sz="4" w:space="0" w:color="FFFFFF"/>
              <w:bottom w:val="single" w:sz="4" w:space="0" w:color="auto"/>
              <w:right w:val="single" w:sz="4" w:space="0" w:color="FFFFFF"/>
            </w:tcBorders>
            <w:shd w:val="clear" w:color="FFFFFF" w:fill="FFFFFF"/>
            <w:noWrap/>
            <w:vAlign w:val="center"/>
            <w:hideMark/>
          </w:tcPr>
          <w:p w14:paraId="3F825414"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7.1</w:t>
            </w:r>
          </w:p>
        </w:tc>
        <w:tc>
          <w:tcPr>
            <w:tcW w:w="1241" w:type="dxa"/>
            <w:tcBorders>
              <w:top w:val="nil"/>
              <w:left w:val="nil"/>
              <w:bottom w:val="single" w:sz="4" w:space="0" w:color="auto"/>
              <w:right w:val="nil"/>
            </w:tcBorders>
            <w:shd w:val="clear" w:color="000000" w:fill="D9D9D9"/>
            <w:noWrap/>
            <w:vAlign w:val="center"/>
            <w:hideMark/>
          </w:tcPr>
          <w:p w14:paraId="05E049ED"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582.3 </w:t>
            </w:r>
          </w:p>
        </w:tc>
        <w:tc>
          <w:tcPr>
            <w:tcW w:w="1239" w:type="dxa"/>
            <w:tcBorders>
              <w:top w:val="nil"/>
              <w:left w:val="single" w:sz="4" w:space="0" w:color="FFFFFF"/>
              <w:bottom w:val="single" w:sz="4" w:space="0" w:color="auto"/>
              <w:right w:val="single" w:sz="4" w:space="0" w:color="FFFFFF"/>
            </w:tcBorders>
            <w:shd w:val="clear" w:color="FFFFFF" w:fill="FFFFFF"/>
            <w:noWrap/>
            <w:vAlign w:val="center"/>
            <w:hideMark/>
          </w:tcPr>
          <w:p w14:paraId="0880C797"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608.8 </w:t>
            </w:r>
          </w:p>
        </w:tc>
      </w:tr>
      <w:tr w:rsidR="00595956" w:rsidRPr="005734B8" w14:paraId="512CA332" w14:textId="77777777" w:rsidTr="000F48B1">
        <w:trPr>
          <w:trHeight w:val="270"/>
        </w:trPr>
        <w:tc>
          <w:tcPr>
            <w:tcW w:w="3971" w:type="dxa"/>
            <w:tcBorders>
              <w:top w:val="nil"/>
              <w:left w:val="nil"/>
              <w:bottom w:val="single" w:sz="4" w:space="0" w:color="auto"/>
              <w:right w:val="nil"/>
            </w:tcBorders>
            <w:shd w:val="clear" w:color="FFFFFF" w:fill="FFFFFF"/>
            <w:vAlign w:val="center"/>
            <w:hideMark/>
          </w:tcPr>
          <w:p w14:paraId="713CF137"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Provisions</w:t>
            </w:r>
          </w:p>
        </w:tc>
        <w:tc>
          <w:tcPr>
            <w:tcW w:w="1174" w:type="dxa"/>
            <w:tcBorders>
              <w:top w:val="nil"/>
              <w:left w:val="single" w:sz="4" w:space="0" w:color="FFFFFF"/>
              <w:bottom w:val="single" w:sz="4" w:space="0" w:color="auto"/>
              <w:right w:val="single" w:sz="4" w:space="0" w:color="FFFFFF"/>
            </w:tcBorders>
            <w:shd w:val="clear" w:color="FFFFFF" w:fill="FFFFFF"/>
            <w:noWrap/>
            <w:vAlign w:val="center"/>
            <w:hideMark/>
          </w:tcPr>
          <w:p w14:paraId="49FED047"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3.1.1</w:t>
            </w:r>
          </w:p>
        </w:tc>
        <w:tc>
          <w:tcPr>
            <w:tcW w:w="1241" w:type="dxa"/>
            <w:tcBorders>
              <w:top w:val="nil"/>
              <w:left w:val="nil"/>
              <w:bottom w:val="single" w:sz="4" w:space="0" w:color="auto"/>
              <w:right w:val="nil"/>
            </w:tcBorders>
            <w:shd w:val="clear" w:color="000000" w:fill="D9D9D9"/>
            <w:noWrap/>
            <w:vAlign w:val="center"/>
            <w:hideMark/>
          </w:tcPr>
          <w:p w14:paraId="4F891307"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1,980.8 </w:t>
            </w:r>
          </w:p>
        </w:tc>
        <w:tc>
          <w:tcPr>
            <w:tcW w:w="1239" w:type="dxa"/>
            <w:tcBorders>
              <w:top w:val="nil"/>
              <w:left w:val="single" w:sz="4" w:space="0" w:color="FFFFFF"/>
              <w:bottom w:val="single" w:sz="4" w:space="0" w:color="auto"/>
              <w:right w:val="single" w:sz="4" w:space="0" w:color="FFFFFF"/>
            </w:tcBorders>
            <w:shd w:val="clear" w:color="FFFFFF" w:fill="FFFFFF"/>
            <w:noWrap/>
            <w:vAlign w:val="center"/>
            <w:hideMark/>
          </w:tcPr>
          <w:p w14:paraId="58ABC836"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1,804.1 </w:t>
            </w:r>
          </w:p>
        </w:tc>
      </w:tr>
      <w:tr w:rsidR="00595956" w:rsidRPr="005734B8" w14:paraId="0ACBEC29" w14:textId="77777777" w:rsidTr="000F48B1">
        <w:trPr>
          <w:trHeight w:val="285"/>
        </w:trPr>
        <w:tc>
          <w:tcPr>
            <w:tcW w:w="397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87D9E5D"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Total liabilities</w:t>
            </w:r>
          </w:p>
        </w:tc>
        <w:tc>
          <w:tcPr>
            <w:tcW w:w="1174" w:type="dxa"/>
            <w:tcBorders>
              <w:top w:val="single" w:sz="12" w:space="0" w:color="auto"/>
              <w:left w:val="nil"/>
              <w:bottom w:val="single" w:sz="12" w:space="0" w:color="auto"/>
              <w:right w:val="single" w:sz="12" w:space="0" w:color="FFFFFF"/>
            </w:tcBorders>
            <w:shd w:val="clear" w:color="FFFFFF" w:fill="FFFFFF"/>
            <w:vAlign w:val="center"/>
            <w:hideMark/>
          </w:tcPr>
          <w:p w14:paraId="46313086"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241" w:type="dxa"/>
            <w:tcBorders>
              <w:top w:val="single" w:sz="12" w:space="0" w:color="auto"/>
              <w:left w:val="nil"/>
              <w:bottom w:val="single" w:sz="12" w:space="0" w:color="auto"/>
              <w:right w:val="nil"/>
            </w:tcBorders>
            <w:shd w:val="clear" w:color="000000" w:fill="D9D9D6"/>
            <w:noWrap/>
            <w:vAlign w:val="bottom"/>
            <w:hideMark/>
          </w:tcPr>
          <w:p w14:paraId="681F5D3E"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3,302.9 </w:t>
            </w:r>
          </w:p>
        </w:tc>
        <w:tc>
          <w:tcPr>
            <w:tcW w:w="1239" w:type="dxa"/>
            <w:tcBorders>
              <w:top w:val="single" w:sz="12" w:space="0" w:color="auto"/>
              <w:left w:val="nil"/>
              <w:bottom w:val="single" w:sz="12" w:space="0" w:color="auto"/>
              <w:right w:val="single" w:sz="12" w:space="0" w:color="FFFFFF"/>
            </w:tcBorders>
            <w:shd w:val="clear" w:color="FFFFFF" w:fill="FFFFFF"/>
            <w:noWrap/>
            <w:vAlign w:val="center"/>
            <w:hideMark/>
          </w:tcPr>
          <w:p w14:paraId="16490831"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3,355.5 </w:t>
            </w:r>
          </w:p>
        </w:tc>
      </w:tr>
      <w:tr w:rsidR="00595956" w:rsidRPr="005734B8" w14:paraId="26237DA0" w14:textId="77777777" w:rsidTr="000F48B1">
        <w:trPr>
          <w:trHeight w:val="285"/>
        </w:trPr>
        <w:tc>
          <w:tcPr>
            <w:tcW w:w="3971" w:type="dxa"/>
            <w:tcBorders>
              <w:top w:val="nil"/>
              <w:left w:val="single" w:sz="12" w:space="0" w:color="FFFFFF"/>
              <w:bottom w:val="single" w:sz="12" w:space="0" w:color="auto"/>
              <w:right w:val="single" w:sz="12" w:space="0" w:color="FFFFFF"/>
            </w:tcBorders>
            <w:shd w:val="clear" w:color="FFFFFF" w:fill="FFFFFF"/>
            <w:vAlign w:val="center"/>
            <w:hideMark/>
          </w:tcPr>
          <w:p w14:paraId="4C2FA8C0"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Net assets</w:t>
            </w:r>
          </w:p>
        </w:tc>
        <w:tc>
          <w:tcPr>
            <w:tcW w:w="1174" w:type="dxa"/>
            <w:tcBorders>
              <w:top w:val="nil"/>
              <w:left w:val="nil"/>
              <w:bottom w:val="single" w:sz="12" w:space="0" w:color="auto"/>
              <w:right w:val="single" w:sz="12" w:space="0" w:color="FFFFFF"/>
            </w:tcBorders>
            <w:shd w:val="clear" w:color="FFFFFF" w:fill="FFFFFF"/>
            <w:vAlign w:val="center"/>
            <w:hideMark/>
          </w:tcPr>
          <w:p w14:paraId="5B69AF01"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241" w:type="dxa"/>
            <w:tcBorders>
              <w:top w:val="nil"/>
              <w:left w:val="nil"/>
              <w:bottom w:val="single" w:sz="12" w:space="0" w:color="auto"/>
              <w:right w:val="nil"/>
            </w:tcBorders>
            <w:shd w:val="clear" w:color="000000" w:fill="D9D9D6"/>
            <w:noWrap/>
            <w:vAlign w:val="bottom"/>
            <w:hideMark/>
          </w:tcPr>
          <w:p w14:paraId="006BB0BA"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30,232.5 </w:t>
            </w:r>
          </w:p>
        </w:tc>
        <w:tc>
          <w:tcPr>
            <w:tcW w:w="1239" w:type="dxa"/>
            <w:tcBorders>
              <w:top w:val="nil"/>
              <w:left w:val="nil"/>
              <w:bottom w:val="single" w:sz="12" w:space="0" w:color="auto"/>
              <w:right w:val="single" w:sz="12" w:space="0" w:color="FFFFFF"/>
            </w:tcBorders>
            <w:shd w:val="clear" w:color="FFFFFF" w:fill="FFFFFF"/>
            <w:noWrap/>
            <w:vAlign w:val="center"/>
            <w:hideMark/>
          </w:tcPr>
          <w:p w14:paraId="3E67909C"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25,873.4 </w:t>
            </w:r>
          </w:p>
        </w:tc>
      </w:tr>
      <w:tr w:rsidR="00595956" w:rsidRPr="005734B8" w14:paraId="7F7127D4" w14:textId="77777777" w:rsidTr="000F48B1">
        <w:trPr>
          <w:trHeight w:val="270"/>
        </w:trPr>
        <w:tc>
          <w:tcPr>
            <w:tcW w:w="3971" w:type="dxa"/>
            <w:tcBorders>
              <w:top w:val="nil"/>
              <w:left w:val="single" w:sz="4" w:space="0" w:color="FFFFFF"/>
              <w:bottom w:val="single" w:sz="4" w:space="0" w:color="auto"/>
              <w:right w:val="nil"/>
            </w:tcBorders>
            <w:shd w:val="clear" w:color="000000" w:fill="53565A"/>
            <w:vAlign w:val="center"/>
            <w:hideMark/>
          </w:tcPr>
          <w:p w14:paraId="3A9736F8"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Equity</w:t>
            </w:r>
          </w:p>
        </w:tc>
        <w:tc>
          <w:tcPr>
            <w:tcW w:w="1174" w:type="dxa"/>
            <w:tcBorders>
              <w:top w:val="nil"/>
              <w:left w:val="nil"/>
              <w:bottom w:val="single" w:sz="4" w:space="0" w:color="auto"/>
              <w:right w:val="nil"/>
            </w:tcBorders>
            <w:shd w:val="clear" w:color="000000" w:fill="53565A"/>
            <w:vAlign w:val="center"/>
            <w:hideMark/>
          </w:tcPr>
          <w:p w14:paraId="5624ABBF"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 </w:t>
            </w:r>
          </w:p>
        </w:tc>
        <w:tc>
          <w:tcPr>
            <w:tcW w:w="1241" w:type="dxa"/>
            <w:tcBorders>
              <w:top w:val="nil"/>
              <w:left w:val="nil"/>
              <w:bottom w:val="single" w:sz="4" w:space="0" w:color="auto"/>
              <w:right w:val="nil"/>
            </w:tcBorders>
            <w:shd w:val="clear" w:color="000000" w:fill="53565A"/>
            <w:vAlign w:val="center"/>
            <w:hideMark/>
          </w:tcPr>
          <w:p w14:paraId="57DDAE8E"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 </w:t>
            </w:r>
          </w:p>
        </w:tc>
        <w:tc>
          <w:tcPr>
            <w:tcW w:w="1239" w:type="dxa"/>
            <w:tcBorders>
              <w:top w:val="nil"/>
              <w:left w:val="nil"/>
              <w:bottom w:val="single" w:sz="4" w:space="0" w:color="auto"/>
              <w:right w:val="nil"/>
            </w:tcBorders>
            <w:shd w:val="clear" w:color="000000" w:fill="53565A"/>
            <w:vAlign w:val="center"/>
            <w:hideMark/>
          </w:tcPr>
          <w:p w14:paraId="6E7E5433"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 </w:t>
            </w:r>
          </w:p>
        </w:tc>
      </w:tr>
      <w:tr w:rsidR="00595956" w:rsidRPr="005734B8" w14:paraId="424402D2" w14:textId="77777777" w:rsidTr="000F48B1">
        <w:trPr>
          <w:trHeight w:val="255"/>
        </w:trPr>
        <w:tc>
          <w:tcPr>
            <w:tcW w:w="3971" w:type="dxa"/>
            <w:tcBorders>
              <w:top w:val="nil"/>
              <w:left w:val="nil"/>
              <w:bottom w:val="single" w:sz="4" w:space="0" w:color="auto"/>
              <w:right w:val="nil"/>
            </w:tcBorders>
            <w:shd w:val="clear" w:color="FFFFFF" w:fill="FFFFFF"/>
            <w:vAlign w:val="center"/>
            <w:hideMark/>
          </w:tcPr>
          <w:p w14:paraId="3311E13C"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Accumulated surplus/(deficit)</w:t>
            </w:r>
          </w:p>
        </w:tc>
        <w:tc>
          <w:tcPr>
            <w:tcW w:w="1174" w:type="dxa"/>
            <w:tcBorders>
              <w:top w:val="nil"/>
              <w:left w:val="single" w:sz="4" w:space="0" w:color="FFFFFF"/>
              <w:bottom w:val="single" w:sz="4" w:space="0" w:color="auto"/>
              <w:right w:val="single" w:sz="4" w:space="0" w:color="FFFFFF"/>
            </w:tcBorders>
            <w:shd w:val="clear" w:color="FFFFFF" w:fill="FFFFFF"/>
            <w:noWrap/>
            <w:vAlign w:val="center"/>
            <w:hideMark/>
          </w:tcPr>
          <w:p w14:paraId="4FFA7FF4"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w:t>
            </w:r>
          </w:p>
        </w:tc>
        <w:tc>
          <w:tcPr>
            <w:tcW w:w="1241" w:type="dxa"/>
            <w:tcBorders>
              <w:top w:val="nil"/>
              <w:left w:val="nil"/>
              <w:bottom w:val="single" w:sz="4" w:space="0" w:color="auto"/>
              <w:right w:val="nil"/>
            </w:tcBorders>
            <w:shd w:val="clear" w:color="000000" w:fill="D9D9D9"/>
            <w:noWrap/>
            <w:vAlign w:val="center"/>
            <w:hideMark/>
          </w:tcPr>
          <w:p w14:paraId="580BA694"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4,223.5 </w:t>
            </w:r>
          </w:p>
        </w:tc>
        <w:tc>
          <w:tcPr>
            <w:tcW w:w="1239" w:type="dxa"/>
            <w:tcBorders>
              <w:top w:val="nil"/>
              <w:left w:val="single" w:sz="4" w:space="0" w:color="FFFFFF"/>
              <w:bottom w:val="single" w:sz="4" w:space="0" w:color="auto"/>
              <w:right w:val="single" w:sz="4" w:space="0" w:color="FFFFFF"/>
            </w:tcBorders>
            <w:shd w:val="clear" w:color="FFFFFF" w:fill="FFFFFF"/>
            <w:noWrap/>
            <w:vAlign w:val="center"/>
            <w:hideMark/>
          </w:tcPr>
          <w:p w14:paraId="52026E08"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3,563.2 </w:t>
            </w:r>
          </w:p>
        </w:tc>
      </w:tr>
      <w:tr w:rsidR="00595956" w:rsidRPr="005734B8" w14:paraId="4D8F06BC" w14:textId="77777777" w:rsidTr="000F48B1">
        <w:trPr>
          <w:trHeight w:val="255"/>
        </w:trPr>
        <w:tc>
          <w:tcPr>
            <w:tcW w:w="3971" w:type="dxa"/>
            <w:tcBorders>
              <w:top w:val="nil"/>
              <w:left w:val="nil"/>
              <w:bottom w:val="single" w:sz="4" w:space="0" w:color="auto"/>
              <w:right w:val="nil"/>
            </w:tcBorders>
            <w:shd w:val="clear" w:color="FFFFFF" w:fill="FFFFFF"/>
            <w:vAlign w:val="center"/>
            <w:hideMark/>
          </w:tcPr>
          <w:p w14:paraId="462D0AEE"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Physical asset revaluations surplus</w:t>
            </w:r>
          </w:p>
        </w:tc>
        <w:tc>
          <w:tcPr>
            <w:tcW w:w="1174" w:type="dxa"/>
            <w:tcBorders>
              <w:top w:val="nil"/>
              <w:left w:val="single" w:sz="4" w:space="0" w:color="FFFFFF"/>
              <w:bottom w:val="single" w:sz="4" w:space="0" w:color="auto"/>
              <w:right w:val="single" w:sz="4" w:space="0" w:color="FFFFFF"/>
            </w:tcBorders>
            <w:shd w:val="clear" w:color="FFFFFF" w:fill="FFFFFF"/>
            <w:noWrap/>
            <w:vAlign w:val="center"/>
            <w:hideMark/>
          </w:tcPr>
          <w:p w14:paraId="490921BB"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9.6</w:t>
            </w:r>
          </w:p>
        </w:tc>
        <w:tc>
          <w:tcPr>
            <w:tcW w:w="1241" w:type="dxa"/>
            <w:tcBorders>
              <w:top w:val="nil"/>
              <w:left w:val="nil"/>
              <w:bottom w:val="single" w:sz="4" w:space="0" w:color="auto"/>
              <w:right w:val="nil"/>
            </w:tcBorders>
            <w:shd w:val="clear" w:color="000000" w:fill="D9D9D9"/>
            <w:noWrap/>
            <w:vAlign w:val="center"/>
            <w:hideMark/>
          </w:tcPr>
          <w:p w14:paraId="7E5FD188"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15,044.5 </w:t>
            </w:r>
          </w:p>
        </w:tc>
        <w:tc>
          <w:tcPr>
            <w:tcW w:w="1239" w:type="dxa"/>
            <w:tcBorders>
              <w:top w:val="nil"/>
              <w:left w:val="single" w:sz="4" w:space="0" w:color="FFFFFF"/>
              <w:bottom w:val="single" w:sz="4" w:space="0" w:color="auto"/>
              <w:right w:val="single" w:sz="4" w:space="0" w:color="FFFFFF"/>
            </w:tcBorders>
            <w:shd w:val="clear" w:color="FFFFFF" w:fill="FFFFFF"/>
            <w:noWrap/>
            <w:vAlign w:val="center"/>
            <w:hideMark/>
          </w:tcPr>
          <w:p w14:paraId="3CF63D00"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12,211.5 </w:t>
            </w:r>
          </w:p>
        </w:tc>
      </w:tr>
      <w:tr w:rsidR="00595956" w:rsidRPr="005734B8" w14:paraId="6E312D81" w14:textId="77777777" w:rsidTr="000F48B1">
        <w:trPr>
          <w:trHeight w:val="270"/>
        </w:trPr>
        <w:tc>
          <w:tcPr>
            <w:tcW w:w="3971" w:type="dxa"/>
            <w:tcBorders>
              <w:top w:val="nil"/>
              <w:left w:val="nil"/>
              <w:bottom w:val="single" w:sz="4" w:space="0" w:color="auto"/>
              <w:right w:val="nil"/>
            </w:tcBorders>
            <w:shd w:val="clear" w:color="FFFFFF" w:fill="FFFFFF"/>
            <w:vAlign w:val="center"/>
            <w:hideMark/>
          </w:tcPr>
          <w:p w14:paraId="03023D0E"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Contributed capital</w:t>
            </w:r>
          </w:p>
        </w:tc>
        <w:tc>
          <w:tcPr>
            <w:tcW w:w="1174" w:type="dxa"/>
            <w:tcBorders>
              <w:top w:val="nil"/>
              <w:left w:val="single" w:sz="4" w:space="0" w:color="FFFFFF"/>
              <w:bottom w:val="single" w:sz="4" w:space="0" w:color="auto"/>
              <w:right w:val="single" w:sz="4" w:space="0" w:color="FFFFFF"/>
            </w:tcBorders>
            <w:shd w:val="clear" w:color="FFFFFF" w:fill="FFFFFF"/>
            <w:noWrap/>
            <w:vAlign w:val="center"/>
            <w:hideMark/>
          </w:tcPr>
          <w:p w14:paraId="07ED0500"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w:t>
            </w:r>
          </w:p>
        </w:tc>
        <w:tc>
          <w:tcPr>
            <w:tcW w:w="1241" w:type="dxa"/>
            <w:tcBorders>
              <w:top w:val="nil"/>
              <w:left w:val="nil"/>
              <w:bottom w:val="single" w:sz="4" w:space="0" w:color="auto"/>
              <w:right w:val="nil"/>
            </w:tcBorders>
            <w:shd w:val="clear" w:color="000000" w:fill="D9D9D9"/>
            <w:noWrap/>
            <w:vAlign w:val="center"/>
            <w:hideMark/>
          </w:tcPr>
          <w:p w14:paraId="2AE58C59"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10,964.5 </w:t>
            </w:r>
          </w:p>
        </w:tc>
        <w:tc>
          <w:tcPr>
            <w:tcW w:w="1239" w:type="dxa"/>
            <w:tcBorders>
              <w:top w:val="nil"/>
              <w:left w:val="single" w:sz="4" w:space="0" w:color="FFFFFF"/>
              <w:bottom w:val="single" w:sz="4" w:space="0" w:color="auto"/>
              <w:right w:val="single" w:sz="4" w:space="0" w:color="FFFFFF"/>
            </w:tcBorders>
            <w:shd w:val="clear" w:color="FFFFFF" w:fill="FFFFFF"/>
            <w:noWrap/>
            <w:vAlign w:val="center"/>
            <w:hideMark/>
          </w:tcPr>
          <w:p w14:paraId="4345F768"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10,098.7 </w:t>
            </w:r>
          </w:p>
        </w:tc>
      </w:tr>
      <w:tr w:rsidR="00595956" w:rsidRPr="005734B8" w14:paraId="282EDCB7" w14:textId="77777777" w:rsidTr="000F48B1">
        <w:trPr>
          <w:trHeight w:val="285"/>
        </w:trPr>
        <w:tc>
          <w:tcPr>
            <w:tcW w:w="397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FAB926A" w14:textId="183E9AA0" w:rsidR="00595956" w:rsidRPr="005734B8" w:rsidRDefault="0032346F" w:rsidP="000F48B1">
            <w:pPr>
              <w:rPr>
                <w:rFonts w:ascii="Calibri" w:hAnsi="Calibri" w:cs="Calibri"/>
                <w:b/>
                <w:sz w:val="18"/>
                <w:szCs w:val="18"/>
              </w:rPr>
            </w:pPr>
            <w:r w:rsidRPr="005734B8">
              <w:rPr>
                <w:rFonts w:ascii="Calibri" w:hAnsi="Calibri" w:cs="Calibri"/>
                <w:b/>
                <w:sz w:val="18"/>
                <w:szCs w:val="18"/>
              </w:rPr>
              <w:t>Total equity</w:t>
            </w:r>
          </w:p>
        </w:tc>
        <w:tc>
          <w:tcPr>
            <w:tcW w:w="1174" w:type="dxa"/>
            <w:tcBorders>
              <w:top w:val="single" w:sz="12" w:space="0" w:color="auto"/>
              <w:left w:val="nil"/>
              <w:bottom w:val="single" w:sz="12" w:space="0" w:color="auto"/>
              <w:right w:val="single" w:sz="12" w:space="0" w:color="FFFFFF"/>
            </w:tcBorders>
            <w:shd w:val="clear" w:color="FFFFFF" w:fill="FFFFFF"/>
            <w:vAlign w:val="center"/>
            <w:hideMark/>
          </w:tcPr>
          <w:p w14:paraId="241CE3B9"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241" w:type="dxa"/>
            <w:tcBorders>
              <w:top w:val="single" w:sz="12" w:space="0" w:color="auto"/>
              <w:left w:val="nil"/>
              <w:bottom w:val="single" w:sz="12" w:space="0" w:color="auto"/>
              <w:right w:val="nil"/>
            </w:tcBorders>
            <w:shd w:val="clear" w:color="000000" w:fill="D9D9D6"/>
            <w:noWrap/>
            <w:vAlign w:val="bottom"/>
            <w:hideMark/>
          </w:tcPr>
          <w:p w14:paraId="0358E363"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30,232.5 </w:t>
            </w:r>
          </w:p>
        </w:tc>
        <w:tc>
          <w:tcPr>
            <w:tcW w:w="1239" w:type="dxa"/>
            <w:tcBorders>
              <w:top w:val="single" w:sz="12" w:space="0" w:color="auto"/>
              <w:left w:val="nil"/>
              <w:bottom w:val="single" w:sz="12" w:space="0" w:color="auto"/>
              <w:right w:val="single" w:sz="12" w:space="0" w:color="FFFFFF"/>
            </w:tcBorders>
            <w:shd w:val="clear" w:color="FFFFFF" w:fill="FFFFFF"/>
            <w:noWrap/>
            <w:vAlign w:val="center"/>
            <w:hideMark/>
          </w:tcPr>
          <w:p w14:paraId="041802C4"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25,873.4 </w:t>
            </w:r>
          </w:p>
        </w:tc>
      </w:tr>
      <w:tr w:rsidR="00595956" w:rsidRPr="005734B8" w14:paraId="40BF2812" w14:textId="77777777" w:rsidTr="000F48B1">
        <w:trPr>
          <w:trHeight w:val="915"/>
        </w:trPr>
        <w:tc>
          <w:tcPr>
            <w:tcW w:w="3971" w:type="dxa"/>
            <w:tcBorders>
              <w:top w:val="nil"/>
              <w:left w:val="nil"/>
              <w:bottom w:val="single" w:sz="4" w:space="0" w:color="auto"/>
              <w:right w:val="nil"/>
            </w:tcBorders>
            <w:shd w:val="clear" w:color="FFFFFF" w:fill="FFFFFF"/>
            <w:vAlign w:val="center"/>
            <w:hideMark/>
          </w:tcPr>
          <w:p w14:paraId="28D62535"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Contingent assets and contingent liabilities</w:t>
            </w:r>
          </w:p>
        </w:tc>
        <w:tc>
          <w:tcPr>
            <w:tcW w:w="1174" w:type="dxa"/>
            <w:tcBorders>
              <w:top w:val="single" w:sz="4" w:space="0" w:color="auto"/>
              <w:left w:val="single" w:sz="4" w:space="0" w:color="FFFFFF"/>
              <w:bottom w:val="single" w:sz="4" w:space="0" w:color="auto"/>
              <w:right w:val="single" w:sz="4" w:space="0" w:color="FFFFFF"/>
            </w:tcBorders>
            <w:shd w:val="clear" w:color="FFFFFF" w:fill="FFFFFF"/>
            <w:noWrap/>
            <w:vAlign w:val="center"/>
            <w:hideMark/>
          </w:tcPr>
          <w:p w14:paraId="3A5E3C18"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8.3</w:t>
            </w:r>
          </w:p>
        </w:tc>
        <w:tc>
          <w:tcPr>
            <w:tcW w:w="1241" w:type="dxa"/>
            <w:tcBorders>
              <w:top w:val="single" w:sz="4" w:space="0" w:color="auto"/>
              <w:left w:val="nil"/>
              <w:bottom w:val="single" w:sz="4" w:space="0" w:color="auto"/>
              <w:right w:val="nil"/>
            </w:tcBorders>
            <w:shd w:val="clear" w:color="000000" w:fill="D9D9D9"/>
            <w:noWrap/>
            <w:vAlign w:val="center"/>
            <w:hideMark/>
          </w:tcPr>
          <w:p w14:paraId="4C343664"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(64.5) </w:t>
            </w:r>
          </w:p>
        </w:tc>
        <w:tc>
          <w:tcPr>
            <w:tcW w:w="1239" w:type="dxa"/>
            <w:tcBorders>
              <w:top w:val="single" w:sz="4" w:space="0" w:color="auto"/>
              <w:left w:val="single" w:sz="4" w:space="0" w:color="FFFFFF"/>
              <w:bottom w:val="single" w:sz="4" w:space="0" w:color="auto"/>
              <w:right w:val="single" w:sz="4" w:space="0" w:color="FFFFFF"/>
            </w:tcBorders>
            <w:shd w:val="clear" w:color="FFFFFF" w:fill="FFFFFF"/>
            <w:noWrap/>
            <w:vAlign w:val="center"/>
            <w:hideMark/>
          </w:tcPr>
          <w:p w14:paraId="0A1773B9"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(70.0) </w:t>
            </w:r>
          </w:p>
        </w:tc>
      </w:tr>
      <w:tr w:rsidR="00595956" w:rsidRPr="005734B8" w14:paraId="74140BA0" w14:textId="77777777" w:rsidTr="000F48B1">
        <w:trPr>
          <w:trHeight w:val="255"/>
        </w:trPr>
        <w:tc>
          <w:tcPr>
            <w:tcW w:w="3971" w:type="dxa"/>
            <w:tcBorders>
              <w:top w:val="nil"/>
              <w:left w:val="nil"/>
              <w:bottom w:val="single" w:sz="4" w:space="0" w:color="auto"/>
              <w:right w:val="nil"/>
            </w:tcBorders>
            <w:shd w:val="clear" w:color="FFFFFF" w:fill="FFFFFF"/>
            <w:vAlign w:val="center"/>
            <w:hideMark/>
          </w:tcPr>
          <w:p w14:paraId="0071064C"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Commitments for expenditure</w:t>
            </w:r>
          </w:p>
        </w:tc>
        <w:tc>
          <w:tcPr>
            <w:tcW w:w="1174" w:type="dxa"/>
            <w:tcBorders>
              <w:top w:val="nil"/>
              <w:left w:val="single" w:sz="4" w:space="0" w:color="FFFFFF"/>
              <w:bottom w:val="single" w:sz="4" w:space="0" w:color="auto"/>
              <w:right w:val="single" w:sz="4" w:space="0" w:color="FFFFFF"/>
            </w:tcBorders>
            <w:shd w:val="clear" w:color="FFFFFF" w:fill="FFFFFF"/>
            <w:noWrap/>
            <w:vAlign w:val="center"/>
            <w:hideMark/>
          </w:tcPr>
          <w:p w14:paraId="0B0B373A"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7.5.3</w:t>
            </w:r>
          </w:p>
        </w:tc>
        <w:tc>
          <w:tcPr>
            <w:tcW w:w="1241" w:type="dxa"/>
            <w:tcBorders>
              <w:top w:val="nil"/>
              <w:left w:val="nil"/>
              <w:bottom w:val="single" w:sz="4" w:space="0" w:color="auto"/>
              <w:right w:val="nil"/>
            </w:tcBorders>
            <w:shd w:val="clear" w:color="000000" w:fill="D9D9D9"/>
            <w:noWrap/>
            <w:vAlign w:val="center"/>
            <w:hideMark/>
          </w:tcPr>
          <w:p w14:paraId="48526697"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2,615.4 </w:t>
            </w:r>
          </w:p>
        </w:tc>
        <w:tc>
          <w:tcPr>
            <w:tcW w:w="1239" w:type="dxa"/>
            <w:tcBorders>
              <w:top w:val="nil"/>
              <w:left w:val="single" w:sz="4" w:space="0" w:color="FFFFFF"/>
              <w:bottom w:val="single" w:sz="4" w:space="0" w:color="auto"/>
              <w:right w:val="single" w:sz="4" w:space="0" w:color="FFFFFF"/>
            </w:tcBorders>
            <w:shd w:val="clear" w:color="FFFFFF" w:fill="FFFFFF"/>
            <w:noWrap/>
            <w:vAlign w:val="center"/>
            <w:hideMark/>
          </w:tcPr>
          <w:p w14:paraId="1C368EE1"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2,769.2 </w:t>
            </w:r>
          </w:p>
        </w:tc>
      </w:tr>
    </w:tbl>
    <w:p w14:paraId="400EFAAD" w14:textId="77777777" w:rsidR="00595956" w:rsidRPr="005734B8" w:rsidRDefault="00595956" w:rsidP="00595956">
      <w:pPr>
        <w:rPr>
          <w:rFonts w:ascii="Calibri" w:hAnsi="Calibri" w:cs="Calibri"/>
          <w:szCs w:val="22"/>
        </w:rPr>
      </w:pPr>
    </w:p>
    <w:p w14:paraId="19B39AF0" w14:textId="77777777" w:rsidR="00595956" w:rsidRPr="005734B8" w:rsidRDefault="00595956" w:rsidP="00595956">
      <w:pPr>
        <w:rPr>
          <w:rFonts w:ascii="Calibri" w:hAnsi="Calibri" w:cs="Calibri"/>
          <w:sz w:val="16"/>
          <w:szCs w:val="16"/>
        </w:rPr>
        <w:sectPr w:rsidR="00595956" w:rsidRPr="005734B8" w:rsidSect="000F48B1">
          <w:headerReference w:type="default" r:id="rId68"/>
          <w:pgSz w:w="11906" w:h="16838" w:code="9"/>
          <w:pgMar w:top="1440" w:right="1134" w:bottom="1440" w:left="2835" w:header="958" w:footer="737" w:gutter="0"/>
          <w:cols w:space="708"/>
          <w:docGrid w:linePitch="360"/>
        </w:sectPr>
      </w:pPr>
      <w:r w:rsidRPr="005734B8">
        <w:rPr>
          <w:rFonts w:ascii="Calibri" w:hAnsi="Calibri" w:cs="Calibri"/>
          <w:szCs w:val="22"/>
        </w:rPr>
        <w:t>The above balance sheet should be read in conjunction with the accompanying notes.</w:t>
      </w:r>
    </w:p>
    <w:p w14:paraId="1A4BA5BB" w14:textId="0442E682" w:rsidR="00595956" w:rsidRPr="005734B8" w:rsidRDefault="00595956" w:rsidP="0032346F">
      <w:pPr>
        <w:pStyle w:val="ESHeading2"/>
        <w:spacing w:after="280"/>
        <w:rPr>
          <w:rFonts w:ascii="Calibri" w:hAnsi="Calibri" w:cs="Calibri"/>
        </w:rPr>
      </w:pPr>
      <w:bookmarkStart w:id="1138" w:name="_Toc34033373"/>
      <w:bookmarkStart w:id="1139" w:name="_Toc36013340"/>
      <w:bookmarkStart w:id="1140" w:name="_Toc72958076"/>
      <w:bookmarkStart w:id="1141" w:name="_Toc72958124"/>
      <w:bookmarkStart w:id="1142" w:name="_Toc80272064"/>
      <w:bookmarkStart w:id="1143" w:name="_Toc81315363"/>
      <w:r w:rsidRPr="005734B8">
        <w:rPr>
          <w:rFonts w:ascii="Calibri" w:hAnsi="Calibri" w:cs="Calibri"/>
        </w:rPr>
        <w:lastRenderedPageBreak/>
        <w:t xml:space="preserve">Statement of changes in equity for the financial year ended </w:t>
      </w:r>
      <w:r w:rsidRPr="005734B8">
        <w:rPr>
          <w:rFonts w:ascii="Calibri" w:hAnsi="Calibri" w:cs="Calibri"/>
        </w:rPr>
        <w:fldChar w:fldCharType="begin"/>
      </w:r>
      <w:r w:rsidRPr="005734B8">
        <w:rPr>
          <w:rFonts w:ascii="Calibri" w:hAnsi="Calibri" w:cs="Calibri"/>
        </w:rPr>
        <w:instrText xml:space="preserve"> DOCPROPERTY  pEnd  \* MERGEFORMAT </w:instrText>
      </w:r>
      <w:r w:rsidRPr="005734B8">
        <w:rPr>
          <w:rFonts w:ascii="Calibri" w:hAnsi="Calibri" w:cs="Calibri"/>
        </w:rPr>
        <w:fldChar w:fldCharType="separate"/>
      </w:r>
      <w:r w:rsidRPr="005734B8">
        <w:rPr>
          <w:rFonts w:ascii="Calibri" w:hAnsi="Calibri" w:cs="Calibri"/>
        </w:rPr>
        <w:t>30</w:t>
      </w:r>
      <w:r w:rsidR="0032346F" w:rsidRPr="005734B8">
        <w:rPr>
          <w:rFonts w:ascii="Calibri" w:hAnsi="Calibri" w:cs="Calibri"/>
        </w:rPr>
        <w:t> </w:t>
      </w:r>
      <w:r w:rsidRPr="005734B8">
        <w:rPr>
          <w:rFonts w:ascii="Calibri" w:hAnsi="Calibri" w:cs="Calibri"/>
        </w:rPr>
        <w:t>June</w:t>
      </w:r>
      <w:r w:rsidRPr="005734B8">
        <w:rPr>
          <w:rFonts w:ascii="Calibri" w:hAnsi="Calibri" w:cs="Calibri"/>
        </w:rPr>
        <w:fldChar w:fldCharType="end"/>
      </w:r>
      <w:r w:rsidRPr="005734B8">
        <w:rPr>
          <w:rFonts w:ascii="Calibri" w:hAnsi="Calibri" w:cs="Calibri"/>
        </w:rPr>
        <w:t xml:space="preserve"> </w:t>
      </w:r>
      <w:r w:rsidRPr="005734B8">
        <w:rPr>
          <w:rFonts w:ascii="Calibri" w:hAnsi="Calibri" w:cs="Calibri"/>
        </w:rPr>
        <w:fldChar w:fldCharType="begin"/>
      </w:r>
      <w:r w:rsidRPr="005734B8">
        <w:rPr>
          <w:rFonts w:ascii="Calibri" w:hAnsi="Calibri" w:cs="Calibri"/>
        </w:rPr>
        <w:instrText xml:space="preserve"> DOCPROPERTY  crYear  \* MERGEFORMAT </w:instrText>
      </w:r>
      <w:r w:rsidRPr="005734B8">
        <w:rPr>
          <w:rFonts w:ascii="Calibri" w:hAnsi="Calibri" w:cs="Calibri"/>
        </w:rPr>
        <w:fldChar w:fldCharType="separate"/>
      </w:r>
      <w:r w:rsidRPr="005734B8">
        <w:rPr>
          <w:rFonts w:ascii="Calibri" w:hAnsi="Calibri" w:cs="Calibri"/>
        </w:rPr>
        <w:t>2021</w:t>
      </w:r>
      <w:bookmarkEnd w:id="1138"/>
      <w:bookmarkEnd w:id="1139"/>
      <w:bookmarkEnd w:id="1140"/>
      <w:bookmarkEnd w:id="1141"/>
      <w:bookmarkEnd w:id="1142"/>
      <w:bookmarkEnd w:id="1143"/>
      <w:r w:rsidRPr="005734B8">
        <w:rPr>
          <w:rFonts w:ascii="Calibri" w:hAnsi="Calibri" w:cs="Calibri"/>
        </w:rPr>
        <w:fldChar w:fldCharType="end"/>
      </w:r>
    </w:p>
    <w:tbl>
      <w:tblPr>
        <w:tblW w:w="7625" w:type="dxa"/>
        <w:tblInd w:w="75" w:type="dxa"/>
        <w:tblLayout w:type="fixed"/>
        <w:tblLook w:val="04A0" w:firstRow="1" w:lastRow="0" w:firstColumn="1" w:lastColumn="0" w:noHBand="0" w:noVBand="1"/>
      </w:tblPr>
      <w:tblGrid>
        <w:gridCol w:w="2692"/>
        <w:gridCol w:w="1206"/>
        <w:gridCol w:w="1371"/>
        <w:gridCol w:w="1271"/>
        <w:gridCol w:w="1085"/>
      </w:tblGrid>
      <w:tr w:rsidR="00595956" w:rsidRPr="005734B8" w14:paraId="35A0478A" w14:textId="77777777" w:rsidTr="000F48B1">
        <w:trPr>
          <w:trHeight w:val="1245"/>
        </w:trPr>
        <w:tc>
          <w:tcPr>
            <w:tcW w:w="2692" w:type="dxa"/>
            <w:tcBorders>
              <w:top w:val="nil"/>
              <w:left w:val="single" w:sz="4" w:space="0" w:color="FFFFFF"/>
              <w:bottom w:val="nil"/>
              <w:right w:val="single" w:sz="4" w:space="0" w:color="FFFFFF"/>
            </w:tcBorders>
            <w:shd w:val="clear" w:color="000000" w:fill="AF272F"/>
            <w:vAlign w:val="bottom"/>
            <w:hideMark/>
          </w:tcPr>
          <w:p w14:paraId="6321C7C8" w14:textId="77777777" w:rsidR="00595956" w:rsidRPr="005734B8" w:rsidRDefault="00595956" w:rsidP="000F48B1">
            <w:pPr>
              <w:jc w:val="center"/>
              <w:rPr>
                <w:rFonts w:ascii="Calibri" w:hAnsi="Calibri" w:cs="Calibri"/>
                <w:b/>
                <w:color w:val="FFFFFF"/>
                <w:sz w:val="18"/>
                <w:szCs w:val="18"/>
              </w:rPr>
            </w:pPr>
            <w:bookmarkStart w:id="1144" w:name="Note_CEQTABLE1" w:colFirst="0" w:colLast="0"/>
            <w:r w:rsidRPr="005734B8">
              <w:rPr>
                <w:rFonts w:ascii="Calibri" w:hAnsi="Calibri" w:cs="Calibri"/>
                <w:b/>
                <w:color w:val="FFFFFF"/>
                <w:sz w:val="18"/>
                <w:szCs w:val="18"/>
              </w:rPr>
              <w:t> </w:t>
            </w:r>
          </w:p>
        </w:tc>
        <w:tc>
          <w:tcPr>
            <w:tcW w:w="1206" w:type="dxa"/>
            <w:tcBorders>
              <w:top w:val="nil"/>
              <w:left w:val="nil"/>
              <w:bottom w:val="single" w:sz="4" w:space="0" w:color="auto"/>
              <w:right w:val="single" w:sz="4" w:space="0" w:color="FFFFFF"/>
            </w:tcBorders>
            <w:shd w:val="clear" w:color="000000" w:fill="AF272F"/>
            <w:hideMark/>
          </w:tcPr>
          <w:p w14:paraId="21FA1D1F" w14:textId="77777777" w:rsidR="00595956" w:rsidRPr="005734B8" w:rsidRDefault="00595956"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Physical asset revaluation surplus </w:t>
            </w:r>
            <w:r w:rsidRPr="005734B8">
              <w:rPr>
                <w:rFonts w:ascii="Calibri" w:hAnsi="Calibri" w:cs="Calibri"/>
                <w:b/>
                <w:color w:val="FFFFFF"/>
                <w:sz w:val="18"/>
                <w:szCs w:val="18"/>
              </w:rPr>
              <w:br/>
              <w:t xml:space="preserve">[Note 9.6] </w:t>
            </w:r>
            <w:r w:rsidRPr="005734B8">
              <w:rPr>
                <w:rFonts w:ascii="Calibri" w:hAnsi="Calibri" w:cs="Calibri"/>
                <w:b/>
                <w:color w:val="FFFFFF"/>
                <w:sz w:val="18"/>
                <w:szCs w:val="18"/>
              </w:rPr>
              <w:br/>
              <w:t>($m)</w:t>
            </w:r>
          </w:p>
        </w:tc>
        <w:tc>
          <w:tcPr>
            <w:tcW w:w="1371" w:type="dxa"/>
            <w:tcBorders>
              <w:top w:val="nil"/>
              <w:left w:val="nil"/>
              <w:bottom w:val="single" w:sz="4" w:space="0" w:color="auto"/>
              <w:right w:val="single" w:sz="4" w:space="0" w:color="FFFFFF"/>
            </w:tcBorders>
            <w:shd w:val="clear" w:color="000000" w:fill="AF272F"/>
            <w:hideMark/>
          </w:tcPr>
          <w:p w14:paraId="133C0375" w14:textId="77777777" w:rsidR="00595956" w:rsidRPr="005734B8" w:rsidRDefault="00595956"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Accumulated surplus/ (deficit) </w:t>
            </w:r>
            <w:r w:rsidRPr="005734B8">
              <w:rPr>
                <w:rFonts w:ascii="Calibri" w:hAnsi="Calibri" w:cs="Calibri"/>
                <w:b/>
                <w:color w:val="FFFFFF"/>
                <w:sz w:val="18"/>
                <w:szCs w:val="18"/>
              </w:rPr>
              <w:br/>
              <w:t>($m)</w:t>
            </w:r>
          </w:p>
        </w:tc>
        <w:tc>
          <w:tcPr>
            <w:tcW w:w="1271" w:type="dxa"/>
            <w:tcBorders>
              <w:top w:val="nil"/>
              <w:left w:val="nil"/>
              <w:bottom w:val="single" w:sz="4" w:space="0" w:color="auto"/>
              <w:right w:val="single" w:sz="4" w:space="0" w:color="FFFFFF"/>
            </w:tcBorders>
            <w:shd w:val="clear" w:color="000000" w:fill="AF272F"/>
            <w:hideMark/>
          </w:tcPr>
          <w:p w14:paraId="005D6724" w14:textId="77777777" w:rsidR="00595956" w:rsidRPr="005734B8" w:rsidRDefault="00595956"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Contributed capital </w:t>
            </w:r>
            <w:r w:rsidRPr="005734B8">
              <w:rPr>
                <w:rFonts w:ascii="Calibri" w:hAnsi="Calibri" w:cs="Calibri"/>
                <w:b/>
                <w:color w:val="FFFFFF"/>
                <w:sz w:val="18"/>
                <w:szCs w:val="18"/>
              </w:rPr>
              <w:br/>
              <w:t>($m)</w:t>
            </w:r>
          </w:p>
        </w:tc>
        <w:tc>
          <w:tcPr>
            <w:tcW w:w="1085" w:type="dxa"/>
            <w:tcBorders>
              <w:top w:val="nil"/>
              <w:left w:val="nil"/>
              <w:bottom w:val="single" w:sz="4" w:space="0" w:color="auto"/>
              <w:right w:val="single" w:sz="4" w:space="0" w:color="FFFFFF"/>
            </w:tcBorders>
            <w:shd w:val="clear" w:color="000000" w:fill="AF272F"/>
            <w:hideMark/>
          </w:tcPr>
          <w:p w14:paraId="1A4A7612" w14:textId="77777777" w:rsidR="00595956" w:rsidRPr="005734B8" w:rsidRDefault="00595956"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Total Equity </w:t>
            </w:r>
            <w:r w:rsidRPr="005734B8">
              <w:rPr>
                <w:rFonts w:ascii="Calibri" w:hAnsi="Calibri" w:cs="Calibri"/>
                <w:b/>
                <w:color w:val="FFFFFF"/>
                <w:sz w:val="18"/>
                <w:szCs w:val="18"/>
              </w:rPr>
              <w:br/>
              <w:t>($m)</w:t>
            </w:r>
          </w:p>
        </w:tc>
      </w:tr>
      <w:bookmarkEnd w:id="1144"/>
      <w:tr w:rsidR="00595956" w:rsidRPr="005734B8" w14:paraId="7AE10732" w14:textId="77777777" w:rsidTr="000F48B1">
        <w:trPr>
          <w:trHeight w:val="270"/>
        </w:trPr>
        <w:tc>
          <w:tcPr>
            <w:tcW w:w="2692" w:type="dxa"/>
            <w:tcBorders>
              <w:top w:val="single" w:sz="12" w:space="0" w:color="auto"/>
              <w:left w:val="single" w:sz="4" w:space="0" w:color="FFFFFF"/>
              <w:bottom w:val="nil"/>
              <w:right w:val="single" w:sz="4" w:space="0" w:color="FFFFFF"/>
            </w:tcBorders>
            <w:shd w:val="clear" w:color="000000" w:fill="D9D9D9"/>
            <w:vAlign w:val="center"/>
            <w:hideMark/>
          </w:tcPr>
          <w:p w14:paraId="60E5476A"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Balance at 1 July 2019</w:t>
            </w:r>
          </w:p>
        </w:tc>
        <w:tc>
          <w:tcPr>
            <w:tcW w:w="1206" w:type="dxa"/>
            <w:tcBorders>
              <w:top w:val="single" w:sz="12" w:space="0" w:color="auto"/>
              <w:left w:val="nil"/>
              <w:bottom w:val="single" w:sz="4" w:space="0" w:color="auto"/>
              <w:right w:val="single" w:sz="4" w:space="0" w:color="FFFFFF"/>
            </w:tcBorders>
            <w:shd w:val="clear" w:color="000000" w:fill="D9D9D9"/>
            <w:noWrap/>
            <w:vAlign w:val="center"/>
            <w:hideMark/>
          </w:tcPr>
          <w:p w14:paraId="56F18818"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12,219.4 </w:t>
            </w:r>
          </w:p>
        </w:tc>
        <w:tc>
          <w:tcPr>
            <w:tcW w:w="1371" w:type="dxa"/>
            <w:tcBorders>
              <w:top w:val="single" w:sz="12" w:space="0" w:color="auto"/>
              <w:left w:val="nil"/>
              <w:bottom w:val="single" w:sz="4" w:space="0" w:color="auto"/>
              <w:right w:val="single" w:sz="4" w:space="0" w:color="FFFFFF"/>
            </w:tcBorders>
            <w:shd w:val="clear" w:color="000000" w:fill="D9D9D9"/>
            <w:noWrap/>
            <w:vAlign w:val="center"/>
            <w:hideMark/>
          </w:tcPr>
          <w:p w14:paraId="0AFEF1B7"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3,002.6 </w:t>
            </w:r>
          </w:p>
        </w:tc>
        <w:tc>
          <w:tcPr>
            <w:tcW w:w="1271" w:type="dxa"/>
            <w:tcBorders>
              <w:top w:val="single" w:sz="12" w:space="0" w:color="auto"/>
              <w:left w:val="nil"/>
              <w:bottom w:val="single" w:sz="4" w:space="0" w:color="auto"/>
              <w:right w:val="single" w:sz="4" w:space="0" w:color="FFFFFF"/>
            </w:tcBorders>
            <w:shd w:val="clear" w:color="000000" w:fill="D9D9D9"/>
            <w:noWrap/>
            <w:vAlign w:val="center"/>
            <w:hideMark/>
          </w:tcPr>
          <w:p w14:paraId="718BA9A8"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9,602.8 </w:t>
            </w:r>
          </w:p>
        </w:tc>
        <w:tc>
          <w:tcPr>
            <w:tcW w:w="1085" w:type="dxa"/>
            <w:tcBorders>
              <w:top w:val="single" w:sz="12" w:space="0" w:color="auto"/>
              <w:left w:val="nil"/>
              <w:bottom w:val="single" w:sz="4" w:space="0" w:color="auto"/>
              <w:right w:val="single" w:sz="4" w:space="0" w:color="FFFFFF"/>
            </w:tcBorders>
            <w:shd w:val="clear" w:color="000000" w:fill="D9D9D9"/>
            <w:noWrap/>
            <w:vAlign w:val="center"/>
            <w:hideMark/>
          </w:tcPr>
          <w:p w14:paraId="15F88A5E"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24,824.8 </w:t>
            </w:r>
          </w:p>
        </w:tc>
      </w:tr>
      <w:tr w:rsidR="00595956" w:rsidRPr="005734B8" w14:paraId="5071F273" w14:textId="77777777" w:rsidTr="000F48B1">
        <w:trPr>
          <w:trHeight w:val="255"/>
        </w:trPr>
        <w:tc>
          <w:tcPr>
            <w:tcW w:w="2692" w:type="dxa"/>
            <w:tcBorders>
              <w:top w:val="single" w:sz="4" w:space="0" w:color="auto"/>
              <w:left w:val="nil"/>
              <w:bottom w:val="single" w:sz="4" w:space="0" w:color="auto"/>
              <w:right w:val="nil"/>
            </w:tcBorders>
            <w:shd w:val="clear" w:color="FFFFFF" w:fill="FFFFFF"/>
            <w:vAlign w:val="center"/>
            <w:hideMark/>
          </w:tcPr>
          <w:p w14:paraId="25DDFB35"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Net results for the year</w:t>
            </w:r>
          </w:p>
        </w:tc>
        <w:tc>
          <w:tcPr>
            <w:tcW w:w="1206" w:type="dxa"/>
            <w:tcBorders>
              <w:top w:val="nil"/>
              <w:left w:val="nil"/>
              <w:bottom w:val="single" w:sz="4" w:space="0" w:color="auto"/>
              <w:right w:val="nil"/>
            </w:tcBorders>
            <w:shd w:val="clear" w:color="FFFFFF" w:fill="FFFFFF"/>
            <w:noWrap/>
            <w:vAlign w:val="center"/>
            <w:hideMark/>
          </w:tcPr>
          <w:p w14:paraId="4FFAE569" w14:textId="39632CF2" w:rsidR="00595956" w:rsidRPr="005734B8" w:rsidRDefault="00244FF7" w:rsidP="000F48B1">
            <w:pPr>
              <w:jc w:val="right"/>
              <w:rPr>
                <w:rFonts w:ascii="Calibri" w:hAnsi="Calibri" w:cs="Calibri"/>
                <w:sz w:val="18"/>
                <w:szCs w:val="18"/>
              </w:rPr>
            </w:pPr>
            <w:r w:rsidRPr="005734B8">
              <w:rPr>
                <w:rFonts w:ascii="Calibri" w:hAnsi="Calibri" w:cs="Calibri"/>
                <w:sz w:val="18"/>
                <w:szCs w:val="18"/>
              </w:rPr>
              <w:softHyphen/>
            </w:r>
            <w:r w:rsidR="00C03127" w:rsidRPr="005734B8">
              <w:rPr>
                <w:rFonts w:ascii="Calibri" w:hAnsi="Calibri" w:cs="Calibri"/>
                <w:sz w:val="18"/>
                <w:szCs w:val="18"/>
              </w:rPr>
              <w:t>-</w:t>
            </w:r>
            <w:r w:rsidR="00595956" w:rsidRPr="005734B8">
              <w:rPr>
                <w:rFonts w:ascii="Calibri" w:hAnsi="Calibri" w:cs="Calibri"/>
                <w:sz w:val="18"/>
                <w:szCs w:val="18"/>
              </w:rPr>
              <w:t xml:space="preserve"> </w:t>
            </w:r>
          </w:p>
        </w:tc>
        <w:tc>
          <w:tcPr>
            <w:tcW w:w="1371" w:type="dxa"/>
            <w:tcBorders>
              <w:top w:val="nil"/>
              <w:left w:val="nil"/>
              <w:bottom w:val="single" w:sz="4" w:space="0" w:color="auto"/>
              <w:right w:val="nil"/>
            </w:tcBorders>
            <w:shd w:val="clear" w:color="FFFFFF" w:fill="FFFFFF"/>
            <w:noWrap/>
            <w:vAlign w:val="center"/>
            <w:hideMark/>
          </w:tcPr>
          <w:p w14:paraId="673FE015"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560.6 </w:t>
            </w:r>
          </w:p>
        </w:tc>
        <w:tc>
          <w:tcPr>
            <w:tcW w:w="1271" w:type="dxa"/>
            <w:tcBorders>
              <w:top w:val="nil"/>
              <w:left w:val="nil"/>
              <w:bottom w:val="single" w:sz="4" w:space="0" w:color="auto"/>
              <w:right w:val="nil"/>
            </w:tcBorders>
            <w:shd w:val="clear" w:color="FFFFFF" w:fill="FFFFFF"/>
            <w:noWrap/>
            <w:vAlign w:val="center"/>
            <w:hideMark/>
          </w:tcPr>
          <w:p w14:paraId="188477E6" w14:textId="2CC01928" w:rsidR="00595956" w:rsidRPr="005734B8" w:rsidRDefault="00244FF7" w:rsidP="000F48B1">
            <w:pPr>
              <w:jc w:val="right"/>
              <w:rPr>
                <w:rFonts w:ascii="Calibri" w:hAnsi="Calibri" w:cs="Calibri"/>
                <w:sz w:val="18"/>
                <w:szCs w:val="18"/>
              </w:rPr>
            </w:pPr>
            <w:r w:rsidRPr="005734B8">
              <w:rPr>
                <w:rFonts w:ascii="Calibri" w:hAnsi="Calibri" w:cs="Calibri"/>
                <w:sz w:val="18"/>
                <w:szCs w:val="18"/>
              </w:rPr>
              <w:softHyphen/>
            </w:r>
            <w:r w:rsidR="00C03127" w:rsidRPr="005734B8">
              <w:rPr>
                <w:rFonts w:ascii="Calibri" w:hAnsi="Calibri" w:cs="Calibri"/>
                <w:sz w:val="18"/>
                <w:szCs w:val="18"/>
              </w:rPr>
              <w:t>-</w:t>
            </w:r>
            <w:r w:rsidR="00595956" w:rsidRPr="005734B8">
              <w:rPr>
                <w:rFonts w:ascii="Calibri" w:hAnsi="Calibri" w:cs="Calibri"/>
                <w:sz w:val="18"/>
                <w:szCs w:val="18"/>
              </w:rPr>
              <w:t xml:space="preserve"> </w:t>
            </w:r>
          </w:p>
        </w:tc>
        <w:tc>
          <w:tcPr>
            <w:tcW w:w="1085" w:type="dxa"/>
            <w:tcBorders>
              <w:top w:val="nil"/>
              <w:left w:val="nil"/>
              <w:bottom w:val="single" w:sz="4" w:space="0" w:color="auto"/>
              <w:right w:val="nil"/>
            </w:tcBorders>
            <w:shd w:val="clear" w:color="FFFFFF" w:fill="FFFFFF"/>
            <w:noWrap/>
            <w:vAlign w:val="center"/>
            <w:hideMark/>
          </w:tcPr>
          <w:p w14:paraId="2CF8661B"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560.6 </w:t>
            </w:r>
          </w:p>
        </w:tc>
      </w:tr>
      <w:tr w:rsidR="00595956" w:rsidRPr="005734B8" w14:paraId="48DCB0FC" w14:textId="77777777" w:rsidTr="000F48B1">
        <w:trPr>
          <w:trHeight w:val="255"/>
        </w:trPr>
        <w:tc>
          <w:tcPr>
            <w:tcW w:w="2692" w:type="dxa"/>
            <w:tcBorders>
              <w:top w:val="nil"/>
              <w:left w:val="nil"/>
              <w:bottom w:val="single" w:sz="4" w:space="0" w:color="auto"/>
              <w:right w:val="nil"/>
            </w:tcBorders>
            <w:shd w:val="clear" w:color="FFFFFF" w:fill="FFFFFF"/>
            <w:vAlign w:val="center"/>
            <w:hideMark/>
          </w:tcPr>
          <w:p w14:paraId="3E6EFB0C"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Other comprehensive income for the year</w:t>
            </w:r>
          </w:p>
        </w:tc>
        <w:tc>
          <w:tcPr>
            <w:tcW w:w="1206" w:type="dxa"/>
            <w:tcBorders>
              <w:top w:val="nil"/>
              <w:left w:val="single" w:sz="4" w:space="0" w:color="FFFFFF"/>
              <w:bottom w:val="single" w:sz="4" w:space="0" w:color="auto"/>
              <w:right w:val="single" w:sz="4" w:space="0" w:color="FFFFFF"/>
            </w:tcBorders>
            <w:shd w:val="clear" w:color="FFFFFF" w:fill="FFFFFF"/>
            <w:noWrap/>
            <w:vAlign w:val="center"/>
            <w:hideMark/>
          </w:tcPr>
          <w:p w14:paraId="42A1C9F6"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(7.9) </w:t>
            </w:r>
          </w:p>
        </w:tc>
        <w:tc>
          <w:tcPr>
            <w:tcW w:w="1371" w:type="dxa"/>
            <w:tcBorders>
              <w:top w:val="nil"/>
              <w:left w:val="nil"/>
              <w:bottom w:val="single" w:sz="4" w:space="0" w:color="auto"/>
              <w:right w:val="single" w:sz="4" w:space="0" w:color="FFFFFF"/>
            </w:tcBorders>
            <w:shd w:val="clear" w:color="FFFFFF" w:fill="FFFFFF"/>
            <w:noWrap/>
            <w:vAlign w:val="center"/>
            <w:hideMark/>
          </w:tcPr>
          <w:p w14:paraId="53CDAA99" w14:textId="5577F348" w:rsidR="00595956" w:rsidRPr="005734B8" w:rsidRDefault="00244FF7" w:rsidP="000F48B1">
            <w:pPr>
              <w:jc w:val="right"/>
              <w:rPr>
                <w:rFonts w:ascii="Calibri" w:hAnsi="Calibri" w:cs="Calibri"/>
                <w:sz w:val="18"/>
                <w:szCs w:val="18"/>
              </w:rPr>
            </w:pPr>
            <w:r w:rsidRPr="005734B8">
              <w:rPr>
                <w:rFonts w:ascii="Calibri" w:hAnsi="Calibri" w:cs="Calibri"/>
                <w:sz w:val="18"/>
                <w:szCs w:val="18"/>
              </w:rPr>
              <w:softHyphen/>
            </w:r>
            <w:r w:rsidR="00C03127" w:rsidRPr="005734B8">
              <w:rPr>
                <w:rFonts w:ascii="Calibri" w:hAnsi="Calibri" w:cs="Calibri"/>
                <w:sz w:val="18"/>
                <w:szCs w:val="18"/>
              </w:rPr>
              <w:t>-</w:t>
            </w:r>
            <w:r w:rsidR="00595956" w:rsidRPr="005734B8">
              <w:rPr>
                <w:rFonts w:ascii="Calibri" w:hAnsi="Calibri" w:cs="Calibri"/>
                <w:sz w:val="18"/>
                <w:szCs w:val="18"/>
              </w:rPr>
              <w:t xml:space="preserve"> </w:t>
            </w:r>
          </w:p>
        </w:tc>
        <w:tc>
          <w:tcPr>
            <w:tcW w:w="1271" w:type="dxa"/>
            <w:tcBorders>
              <w:top w:val="nil"/>
              <w:left w:val="nil"/>
              <w:bottom w:val="single" w:sz="4" w:space="0" w:color="auto"/>
              <w:right w:val="single" w:sz="4" w:space="0" w:color="FFFFFF"/>
            </w:tcBorders>
            <w:shd w:val="clear" w:color="FFFFFF" w:fill="FFFFFF"/>
            <w:noWrap/>
            <w:vAlign w:val="center"/>
            <w:hideMark/>
          </w:tcPr>
          <w:p w14:paraId="14168D52" w14:textId="6091D3D1" w:rsidR="00595956" w:rsidRPr="005734B8" w:rsidRDefault="00244FF7" w:rsidP="000F48B1">
            <w:pPr>
              <w:jc w:val="right"/>
              <w:rPr>
                <w:rFonts w:ascii="Calibri" w:hAnsi="Calibri" w:cs="Calibri"/>
                <w:sz w:val="18"/>
                <w:szCs w:val="18"/>
              </w:rPr>
            </w:pPr>
            <w:r w:rsidRPr="005734B8">
              <w:rPr>
                <w:rFonts w:ascii="Calibri" w:hAnsi="Calibri" w:cs="Calibri"/>
                <w:sz w:val="18"/>
                <w:szCs w:val="18"/>
              </w:rPr>
              <w:softHyphen/>
            </w:r>
            <w:r w:rsidR="00C03127" w:rsidRPr="005734B8">
              <w:rPr>
                <w:rFonts w:ascii="Calibri" w:hAnsi="Calibri" w:cs="Calibri"/>
                <w:sz w:val="18"/>
                <w:szCs w:val="18"/>
              </w:rPr>
              <w:t>-</w:t>
            </w:r>
            <w:r w:rsidR="00595956" w:rsidRPr="005734B8">
              <w:rPr>
                <w:rFonts w:ascii="Calibri" w:hAnsi="Calibri" w:cs="Calibri"/>
                <w:sz w:val="18"/>
                <w:szCs w:val="18"/>
              </w:rPr>
              <w:t xml:space="preserve"> </w:t>
            </w:r>
          </w:p>
        </w:tc>
        <w:tc>
          <w:tcPr>
            <w:tcW w:w="1085" w:type="dxa"/>
            <w:tcBorders>
              <w:top w:val="nil"/>
              <w:left w:val="nil"/>
              <w:bottom w:val="single" w:sz="4" w:space="0" w:color="auto"/>
              <w:right w:val="single" w:sz="4" w:space="0" w:color="FFFFFF"/>
            </w:tcBorders>
            <w:shd w:val="clear" w:color="FFFFFF" w:fill="FFFFFF"/>
            <w:noWrap/>
            <w:vAlign w:val="center"/>
            <w:hideMark/>
          </w:tcPr>
          <w:p w14:paraId="40383F2E"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(7.9) </w:t>
            </w:r>
          </w:p>
        </w:tc>
      </w:tr>
      <w:tr w:rsidR="00595956" w:rsidRPr="005734B8" w14:paraId="3E21D29D" w14:textId="77777777" w:rsidTr="000F48B1">
        <w:trPr>
          <w:trHeight w:val="255"/>
        </w:trPr>
        <w:tc>
          <w:tcPr>
            <w:tcW w:w="2692" w:type="dxa"/>
            <w:tcBorders>
              <w:top w:val="nil"/>
              <w:left w:val="nil"/>
              <w:bottom w:val="single" w:sz="4" w:space="0" w:color="auto"/>
              <w:right w:val="nil"/>
            </w:tcBorders>
            <w:shd w:val="clear" w:color="FFFFFF" w:fill="FFFFFF"/>
            <w:vAlign w:val="center"/>
            <w:hideMark/>
          </w:tcPr>
          <w:p w14:paraId="557E9541"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Capital appropriations</w:t>
            </w:r>
          </w:p>
        </w:tc>
        <w:tc>
          <w:tcPr>
            <w:tcW w:w="1206" w:type="dxa"/>
            <w:tcBorders>
              <w:top w:val="nil"/>
              <w:left w:val="single" w:sz="4" w:space="0" w:color="FFFFFF"/>
              <w:bottom w:val="single" w:sz="4" w:space="0" w:color="auto"/>
              <w:right w:val="single" w:sz="4" w:space="0" w:color="FFFFFF"/>
            </w:tcBorders>
            <w:shd w:val="clear" w:color="FFFFFF" w:fill="FFFFFF"/>
            <w:noWrap/>
            <w:vAlign w:val="center"/>
            <w:hideMark/>
          </w:tcPr>
          <w:p w14:paraId="7430B30E" w14:textId="74243ACD" w:rsidR="00595956" w:rsidRPr="005734B8" w:rsidRDefault="00244FF7" w:rsidP="000F48B1">
            <w:pPr>
              <w:jc w:val="right"/>
              <w:rPr>
                <w:rFonts w:ascii="Calibri" w:hAnsi="Calibri" w:cs="Calibri"/>
                <w:sz w:val="18"/>
                <w:szCs w:val="18"/>
              </w:rPr>
            </w:pPr>
            <w:r w:rsidRPr="005734B8">
              <w:rPr>
                <w:rFonts w:ascii="Calibri" w:hAnsi="Calibri" w:cs="Calibri"/>
                <w:sz w:val="18"/>
                <w:szCs w:val="18"/>
              </w:rPr>
              <w:softHyphen/>
            </w:r>
            <w:r w:rsidR="00C03127" w:rsidRPr="005734B8">
              <w:rPr>
                <w:rFonts w:ascii="Calibri" w:hAnsi="Calibri" w:cs="Calibri"/>
                <w:sz w:val="18"/>
                <w:szCs w:val="18"/>
              </w:rPr>
              <w:t>-</w:t>
            </w:r>
            <w:r w:rsidR="00595956" w:rsidRPr="005734B8">
              <w:rPr>
                <w:rFonts w:ascii="Calibri" w:hAnsi="Calibri" w:cs="Calibri"/>
                <w:sz w:val="18"/>
                <w:szCs w:val="18"/>
              </w:rPr>
              <w:t xml:space="preserve"> </w:t>
            </w:r>
          </w:p>
        </w:tc>
        <w:tc>
          <w:tcPr>
            <w:tcW w:w="1371" w:type="dxa"/>
            <w:tcBorders>
              <w:top w:val="nil"/>
              <w:left w:val="nil"/>
              <w:bottom w:val="single" w:sz="4" w:space="0" w:color="auto"/>
              <w:right w:val="single" w:sz="4" w:space="0" w:color="FFFFFF"/>
            </w:tcBorders>
            <w:shd w:val="clear" w:color="FFFFFF" w:fill="FFFFFF"/>
            <w:noWrap/>
            <w:vAlign w:val="center"/>
            <w:hideMark/>
          </w:tcPr>
          <w:p w14:paraId="0B521521" w14:textId="75BD02BF" w:rsidR="00595956" w:rsidRPr="005734B8" w:rsidRDefault="00244FF7" w:rsidP="000F48B1">
            <w:pPr>
              <w:jc w:val="right"/>
              <w:rPr>
                <w:rFonts w:ascii="Calibri" w:hAnsi="Calibri" w:cs="Calibri"/>
                <w:sz w:val="18"/>
                <w:szCs w:val="18"/>
              </w:rPr>
            </w:pPr>
            <w:r w:rsidRPr="005734B8">
              <w:rPr>
                <w:rFonts w:ascii="Calibri" w:hAnsi="Calibri" w:cs="Calibri"/>
                <w:sz w:val="18"/>
                <w:szCs w:val="18"/>
              </w:rPr>
              <w:softHyphen/>
            </w:r>
            <w:r w:rsidR="00C03127" w:rsidRPr="005734B8">
              <w:rPr>
                <w:rFonts w:ascii="Calibri" w:hAnsi="Calibri" w:cs="Calibri"/>
                <w:sz w:val="18"/>
                <w:szCs w:val="18"/>
              </w:rPr>
              <w:t>-</w:t>
            </w:r>
            <w:r w:rsidR="00595956" w:rsidRPr="005734B8">
              <w:rPr>
                <w:rFonts w:ascii="Calibri" w:hAnsi="Calibri" w:cs="Calibri"/>
                <w:sz w:val="18"/>
                <w:szCs w:val="18"/>
              </w:rPr>
              <w:t xml:space="preserve"> </w:t>
            </w:r>
          </w:p>
        </w:tc>
        <w:tc>
          <w:tcPr>
            <w:tcW w:w="1271" w:type="dxa"/>
            <w:tcBorders>
              <w:top w:val="nil"/>
              <w:left w:val="nil"/>
              <w:bottom w:val="single" w:sz="4" w:space="0" w:color="auto"/>
              <w:right w:val="single" w:sz="4" w:space="0" w:color="FFFFFF"/>
            </w:tcBorders>
            <w:shd w:val="clear" w:color="FFFFFF" w:fill="FFFFFF"/>
            <w:noWrap/>
            <w:vAlign w:val="center"/>
            <w:hideMark/>
          </w:tcPr>
          <w:p w14:paraId="67013BF9"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503.0 </w:t>
            </w:r>
          </w:p>
        </w:tc>
        <w:tc>
          <w:tcPr>
            <w:tcW w:w="1085" w:type="dxa"/>
            <w:tcBorders>
              <w:top w:val="nil"/>
              <w:left w:val="nil"/>
              <w:bottom w:val="single" w:sz="4" w:space="0" w:color="auto"/>
              <w:right w:val="single" w:sz="4" w:space="0" w:color="FFFFFF"/>
            </w:tcBorders>
            <w:shd w:val="clear" w:color="FFFFFF" w:fill="FFFFFF"/>
            <w:noWrap/>
            <w:vAlign w:val="center"/>
            <w:hideMark/>
          </w:tcPr>
          <w:p w14:paraId="3566A702"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503.0 </w:t>
            </w:r>
          </w:p>
        </w:tc>
      </w:tr>
      <w:tr w:rsidR="00595956" w:rsidRPr="005734B8" w14:paraId="5EDDD191" w14:textId="77777777" w:rsidTr="000F48B1">
        <w:trPr>
          <w:trHeight w:val="255"/>
        </w:trPr>
        <w:tc>
          <w:tcPr>
            <w:tcW w:w="2692" w:type="dxa"/>
            <w:tcBorders>
              <w:top w:val="nil"/>
              <w:left w:val="nil"/>
              <w:bottom w:val="single" w:sz="4" w:space="0" w:color="auto"/>
              <w:right w:val="nil"/>
            </w:tcBorders>
            <w:shd w:val="clear" w:color="FFFFFF" w:fill="FFFFFF"/>
            <w:vAlign w:val="center"/>
            <w:hideMark/>
          </w:tcPr>
          <w:p w14:paraId="3299B78A"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Contributed capital transfers in</w:t>
            </w:r>
          </w:p>
        </w:tc>
        <w:tc>
          <w:tcPr>
            <w:tcW w:w="1206" w:type="dxa"/>
            <w:tcBorders>
              <w:top w:val="nil"/>
              <w:left w:val="single" w:sz="4" w:space="0" w:color="FFFFFF"/>
              <w:bottom w:val="single" w:sz="4" w:space="0" w:color="auto"/>
              <w:right w:val="single" w:sz="4" w:space="0" w:color="FFFFFF"/>
            </w:tcBorders>
            <w:shd w:val="clear" w:color="FFFFFF" w:fill="FFFFFF"/>
            <w:noWrap/>
            <w:vAlign w:val="center"/>
            <w:hideMark/>
          </w:tcPr>
          <w:p w14:paraId="4E22EF31" w14:textId="2CF0BB9E" w:rsidR="00595956" w:rsidRPr="005734B8" w:rsidRDefault="00244FF7" w:rsidP="000F48B1">
            <w:pPr>
              <w:jc w:val="right"/>
              <w:rPr>
                <w:rFonts w:ascii="Calibri" w:hAnsi="Calibri" w:cs="Calibri"/>
                <w:sz w:val="18"/>
                <w:szCs w:val="18"/>
              </w:rPr>
            </w:pPr>
            <w:r w:rsidRPr="005734B8">
              <w:rPr>
                <w:rFonts w:ascii="Calibri" w:hAnsi="Calibri" w:cs="Calibri"/>
                <w:sz w:val="18"/>
                <w:szCs w:val="18"/>
              </w:rPr>
              <w:softHyphen/>
            </w:r>
            <w:r w:rsidR="00C03127" w:rsidRPr="005734B8">
              <w:rPr>
                <w:rFonts w:ascii="Calibri" w:hAnsi="Calibri" w:cs="Calibri"/>
                <w:sz w:val="18"/>
                <w:szCs w:val="18"/>
              </w:rPr>
              <w:t>-</w:t>
            </w:r>
            <w:r w:rsidR="00595956" w:rsidRPr="005734B8">
              <w:rPr>
                <w:rFonts w:ascii="Calibri" w:hAnsi="Calibri" w:cs="Calibri"/>
                <w:sz w:val="18"/>
                <w:szCs w:val="18"/>
              </w:rPr>
              <w:t xml:space="preserve"> </w:t>
            </w:r>
          </w:p>
        </w:tc>
        <w:tc>
          <w:tcPr>
            <w:tcW w:w="1371" w:type="dxa"/>
            <w:tcBorders>
              <w:top w:val="nil"/>
              <w:left w:val="nil"/>
              <w:bottom w:val="single" w:sz="4" w:space="0" w:color="auto"/>
              <w:right w:val="single" w:sz="4" w:space="0" w:color="FFFFFF"/>
            </w:tcBorders>
            <w:shd w:val="clear" w:color="FFFFFF" w:fill="FFFFFF"/>
            <w:noWrap/>
            <w:vAlign w:val="center"/>
            <w:hideMark/>
          </w:tcPr>
          <w:p w14:paraId="2D3EFE46" w14:textId="6F1F414F" w:rsidR="00595956" w:rsidRPr="005734B8" w:rsidRDefault="00244FF7" w:rsidP="000F48B1">
            <w:pPr>
              <w:jc w:val="right"/>
              <w:rPr>
                <w:rFonts w:ascii="Calibri" w:hAnsi="Calibri" w:cs="Calibri"/>
                <w:sz w:val="18"/>
                <w:szCs w:val="18"/>
              </w:rPr>
            </w:pPr>
            <w:r w:rsidRPr="005734B8">
              <w:rPr>
                <w:rFonts w:ascii="Calibri" w:hAnsi="Calibri" w:cs="Calibri"/>
                <w:sz w:val="18"/>
                <w:szCs w:val="18"/>
              </w:rPr>
              <w:softHyphen/>
            </w:r>
            <w:r w:rsidR="00C03127" w:rsidRPr="005734B8">
              <w:rPr>
                <w:rFonts w:ascii="Calibri" w:hAnsi="Calibri" w:cs="Calibri"/>
                <w:sz w:val="18"/>
                <w:szCs w:val="18"/>
              </w:rPr>
              <w:t>-</w:t>
            </w:r>
            <w:r w:rsidR="00595956" w:rsidRPr="005734B8">
              <w:rPr>
                <w:rFonts w:ascii="Calibri" w:hAnsi="Calibri" w:cs="Calibri"/>
                <w:sz w:val="18"/>
                <w:szCs w:val="18"/>
              </w:rPr>
              <w:t xml:space="preserve"> </w:t>
            </w:r>
          </w:p>
        </w:tc>
        <w:tc>
          <w:tcPr>
            <w:tcW w:w="1271" w:type="dxa"/>
            <w:tcBorders>
              <w:top w:val="nil"/>
              <w:left w:val="nil"/>
              <w:bottom w:val="single" w:sz="4" w:space="0" w:color="auto"/>
              <w:right w:val="single" w:sz="4" w:space="0" w:color="FFFFFF"/>
            </w:tcBorders>
            <w:shd w:val="clear" w:color="FFFFFF" w:fill="FFFFFF"/>
            <w:noWrap/>
            <w:vAlign w:val="center"/>
            <w:hideMark/>
          </w:tcPr>
          <w:p w14:paraId="64AD843E"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52.7 </w:t>
            </w:r>
          </w:p>
        </w:tc>
        <w:tc>
          <w:tcPr>
            <w:tcW w:w="1085" w:type="dxa"/>
            <w:tcBorders>
              <w:top w:val="nil"/>
              <w:left w:val="nil"/>
              <w:bottom w:val="single" w:sz="4" w:space="0" w:color="auto"/>
              <w:right w:val="single" w:sz="4" w:space="0" w:color="FFFFFF"/>
            </w:tcBorders>
            <w:shd w:val="clear" w:color="FFFFFF" w:fill="FFFFFF"/>
            <w:noWrap/>
            <w:vAlign w:val="center"/>
            <w:hideMark/>
          </w:tcPr>
          <w:p w14:paraId="6FB71CEE"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52.7 </w:t>
            </w:r>
          </w:p>
        </w:tc>
      </w:tr>
      <w:tr w:rsidR="00595956" w:rsidRPr="005734B8" w14:paraId="49BAB766" w14:textId="77777777" w:rsidTr="000F48B1">
        <w:trPr>
          <w:trHeight w:val="270"/>
        </w:trPr>
        <w:tc>
          <w:tcPr>
            <w:tcW w:w="2692" w:type="dxa"/>
            <w:tcBorders>
              <w:top w:val="nil"/>
              <w:left w:val="nil"/>
              <w:bottom w:val="single" w:sz="8" w:space="0" w:color="auto"/>
              <w:right w:val="single" w:sz="4" w:space="0" w:color="FFFFFF"/>
            </w:tcBorders>
            <w:shd w:val="clear" w:color="FFFFFF" w:fill="FFFFFF"/>
            <w:vAlign w:val="center"/>
            <w:hideMark/>
          </w:tcPr>
          <w:p w14:paraId="7EBD924C"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Contributed capital transfers (out)</w:t>
            </w:r>
          </w:p>
        </w:tc>
        <w:tc>
          <w:tcPr>
            <w:tcW w:w="1206" w:type="dxa"/>
            <w:tcBorders>
              <w:top w:val="nil"/>
              <w:left w:val="nil"/>
              <w:bottom w:val="single" w:sz="8" w:space="0" w:color="auto"/>
              <w:right w:val="single" w:sz="4" w:space="0" w:color="FFFFFF"/>
            </w:tcBorders>
            <w:shd w:val="clear" w:color="FFFFFF" w:fill="FFFFFF"/>
            <w:noWrap/>
            <w:vAlign w:val="center"/>
            <w:hideMark/>
          </w:tcPr>
          <w:p w14:paraId="49A259A8" w14:textId="2A5A5AAA" w:rsidR="00595956" w:rsidRPr="005734B8" w:rsidRDefault="00244FF7" w:rsidP="000F48B1">
            <w:pPr>
              <w:jc w:val="right"/>
              <w:rPr>
                <w:rFonts w:ascii="Calibri" w:hAnsi="Calibri" w:cs="Calibri"/>
                <w:sz w:val="18"/>
                <w:szCs w:val="18"/>
              </w:rPr>
            </w:pPr>
            <w:r w:rsidRPr="005734B8">
              <w:rPr>
                <w:rFonts w:ascii="Calibri" w:hAnsi="Calibri" w:cs="Calibri"/>
                <w:sz w:val="18"/>
                <w:szCs w:val="18"/>
              </w:rPr>
              <w:softHyphen/>
            </w:r>
            <w:r w:rsidR="00C03127" w:rsidRPr="005734B8">
              <w:rPr>
                <w:rFonts w:ascii="Calibri" w:hAnsi="Calibri" w:cs="Calibri"/>
                <w:sz w:val="18"/>
                <w:szCs w:val="18"/>
              </w:rPr>
              <w:t>-</w:t>
            </w:r>
            <w:r w:rsidR="00595956" w:rsidRPr="005734B8">
              <w:rPr>
                <w:rFonts w:ascii="Calibri" w:hAnsi="Calibri" w:cs="Calibri"/>
                <w:sz w:val="18"/>
                <w:szCs w:val="18"/>
              </w:rPr>
              <w:t xml:space="preserve"> </w:t>
            </w:r>
          </w:p>
        </w:tc>
        <w:tc>
          <w:tcPr>
            <w:tcW w:w="1371" w:type="dxa"/>
            <w:tcBorders>
              <w:top w:val="nil"/>
              <w:left w:val="nil"/>
              <w:bottom w:val="single" w:sz="8" w:space="0" w:color="auto"/>
              <w:right w:val="single" w:sz="4" w:space="0" w:color="FFFFFF"/>
            </w:tcBorders>
            <w:shd w:val="clear" w:color="FFFFFF" w:fill="FFFFFF"/>
            <w:noWrap/>
            <w:vAlign w:val="center"/>
            <w:hideMark/>
          </w:tcPr>
          <w:p w14:paraId="7456592C" w14:textId="1D197182" w:rsidR="00595956" w:rsidRPr="005734B8" w:rsidRDefault="00244FF7" w:rsidP="000F48B1">
            <w:pPr>
              <w:jc w:val="right"/>
              <w:rPr>
                <w:rFonts w:ascii="Calibri" w:hAnsi="Calibri" w:cs="Calibri"/>
                <w:sz w:val="18"/>
                <w:szCs w:val="18"/>
              </w:rPr>
            </w:pPr>
            <w:r w:rsidRPr="005734B8">
              <w:rPr>
                <w:rFonts w:ascii="Calibri" w:hAnsi="Calibri" w:cs="Calibri"/>
                <w:sz w:val="18"/>
                <w:szCs w:val="18"/>
              </w:rPr>
              <w:softHyphen/>
            </w:r>
            <w:r w:rsidR="00C03127" w:rsidRPr="005734B8">
              <w:rPr>
                <w:rFonts w:ascii="Calibri" w:hAnsi="Calibri" w:cs="Calibri"/>
                <w:sz w:val="18"/>
                <w:szCs w:val="18"/>
              </w:rPr>
              <w:t>-</w:t>
            </w:r>
            <w:r w:rsidR="00595956" w:rsidRPr="005734B8">
              <w:rPr>
                <w:rFonts w:ascii="Calibri" w:hAnsi="Calibri" w:cs="Calibri"/>
                <w:sz w:val="18"/>
                <w:szCs w:val="18"/>
              </w:rPr>
              <w:t xml:space="preserve"> </w:t>
            </w:r>
          </w:p>
        </w:tc>
        <w:tc>
          <w:tcPr>
            <w:tcW w:w="1271" w:type="dxa"/>
            <w:tcBorders>
              <w:top w:val="nil"/>
              <w:left w:val="nil"/>
              <w:bottom w:val="single" w:sz="8" w:space="0" w:color="auto"/>
              <w:right w:val="single" w:sz="4" w:space="0" w:color="FFFFFF"/>
            </w:tcBorders>
            <w:shd w:val="clear" w:color="FFFFFF" w:fill="FFFFFF"/>
            <w:noWrap/>
            <w:vAlign w:val="center"/>
            <w:hideMark/>
          </w:tcPr>
          <w:p w14:paraId="2FA7D057"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(59.8) </w:t>
            </w:r>
          </w:p>
        </w:tc>
        <w:tc>
          <w:tcPr>
            <w:tcW w:w="1085" w:type="dxa"/>
            <w:tcBorders>
              <w:top w:val="nil"/>
              <w:left w:val="nil"/>
              <w:bottom w:val="single" w:sz="8" w:space="0" w:color="auto"/>
              <w:right w:val="single" w:sz="4" w:space="0" w:color="FFFFFF"/>
            </w:tcBorders>
            <w:shd w:val="clear" w:color="FFFFFF" w:fill="FFFFFF"/>
            <w:noWrap/>
            <w:vAlign w:val="center"/>
            <w:hideMark/>
          </w:tcPr>
          <w:p w14:paraId="53F06E0C"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(59.8) </w:t>
            </w:r>
          </w:p>
        </w:tc>
      </w:tr>
      <w:tr w:rsidR="00595956" w:rsidRPr="005734B8" w14:paraId="4EE1314B" w14:textId="77777777" w:rsidTr="000F48B1">
        <w:trPr>
          <w:trHeight w:val="270"/>
        </w:trPr>
        <w:tc>
          <w:tcPr>
            <w:tcW w:w="2692" w:type="dxa"/>
            <w:tcBorders>
              <w:top w:val="single" w:sz="12" w:space="0" w:color="auto"/>
              <w:left w:val="single" w:sz="4" w:space="0" w:color="FFFFFF"/>
              <w:bottom w:val="nil"/>
              <w:right w:val="single" w:sz="4" w:space="0" w:color="FFFFFF"/>
            </w:tcBorders>
            <w:shd w:val="clear" w:color="000000" w:fill="D9D9D9"/>
            <w:vAlign w:val="center"/>
            <w:hideMark/>
          </w:tcPr>
          <w:p w14:paraId="1B1A9342"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Balance at 30 June 2020</w:t>
            </w:r>
          </w:p>
        </w:tc>
        <w:tc>
          <w:tcPr>
            <w:tcW w:w="1206" w:type="dxa"/>
            <w:tcBorders>
              <w:top w:val="single" w:sz="12" w:space="0" w:color="auto"/>
              <w:left w:val="nil"/>
              <w:bottom w:val="nil"/>
              <w:right w:val="single" w:sz="4" w:space="0" w:color="FFFFFF"/>
            </w:tcBorders>
            <w:shd w:val="clear" w:color="000000" w:fill="D9D9D9"/>
            <w:noWrap/>
            <w:vAlign w:val="center"/>
            <w:hideMark/>
          </w:tcPr>
          <w:p w14:paraId="658FFE3A"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12,211.5 </w:t>
            </w:r>
          </w:p>
        </w:tc>
        <w:tc>
          <w:tcPr>
            <w:tcW w:w="1371" w:type="dxa"/>
            <w:tcBorders>
              <w:top w:val="single" w:sz="12" w:space="0" w:color="auto"/>
              <w:left w:val="nil"/>
              <w:bottom w:val="nil"/>
              <w:right w:val="single" w:sz="4" w:space="0" w:color="FFFFFF"/>
            </w:tcBorders>
            <w:shd w:val="clear" w:color="000000" w:fill="D9D9D9"/>
            <w:noWrap/>
            <w:vAlign w:val="center"/>
            <w:hideMark/>
          </w:tcPr>
          <w:p w14:paraId="6018DA33"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3,563.2 </w:t>
            </w:r>
          </w:p>
        </w:tc>
        <w:tc>
          <w:tcPr>
            <w:tcW w:w="1271" w:type="dxa"/>
            <w:tcBorders>
              <w:top w:val="single" w:sz="12" w:space="0" w:color="auto"/>
              <w:left w:val="nil"/>
              <w:bottom w:val="nil"/>
              <w:right w:val="single" w:sz="4" w:space="0" w:color="FFFFFF"/>
            </w:tcBorders>
            <w:shd w:val="clear" w:color="000000" w:fill="D9D9D9"/>
            <w:noWrap/>
            <w:vAlign w:val="center"/>
            <w:hideMark/>
          </w:tcPr>
          <w:p w14:paraId="3477BC48"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10,098.7 </w:t>
            </w:r>
          </w:p>
        </w:tc>
        <w:tc>
          <w:tcPr>
            <w:tcW w:w="1085" w:type="dxa"/>
            <w:tcBorders>
              <w:top w:val="single" w:sz="12" w:space="0" w:color="auto"/>
              <w:left w:val="nil"/>
              <w:bottom w:val="nil"/>
              <w:right w:val="single" w:sz="4" w:space="0" w:color="FFFFFF"/>
            </w:tcBorders>
            <w:shd w:val="clear" w:color="000000" w:fill="D9D9D9"/>
            <w:noWrap/>
            <w:vAlign w:val="center"/>
            <w:hideMark/>
          </w:tcPr>
          <w:p w14:paraId="707EE341"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25,873.4 </w:t>
            </w:r>
          </w:p>
        </w:tc>
      </w:tr>
      <w:tr w:rsidR="00595956" w:rsidRPr="005734B8" w14:paraId="3E80B966" w14:textId="77777777" w:rsidTr="000F48B1">
        <w:trPr>
          <w:trHeight w:val="255"/>
        </w:trPr>
        <w:tc>
          <w:tcPr>
            <w:tcW w:w="2692" w:type="dxa"/>
            <w:tcBorders>
              <w:top w:val="single" w:sz="4" w:space="0" w:color="auto"/>
              <w:left w:val="nil"/>
              <w:bottom w:val="single" w:sz="4" w:space="0" w:color="auto"/>
              <w:right w:val="nil"/>
            </w:tcBorders>
            <w:shd w:val="clear" w:color="FFFFFF" w:fill="FFFFFF"/>
            <w:vAlign w:val="center"/>
            <w:hideMark/>
          </w:tcPr>
          <w:p w14:paraId="302CEDAD"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Net results for the year</w:t>
            </w:r>
          </w:p>
        </w:tc>
        <w:tc>
          <w:tcPr>
            <w:tcW w:w="1206" w:type="dxa"/>
            <w:tcBorders>
              <w:top w:val="single" w:sz="4" w:space="0" w:color="auto"/>
              <w:left w:val="single" w:sz="4" w:space="0" w:color="FFFFFF"/>
              <w:bottom w:val="single" w:sz="4" w:space="0" w:color="auto"/>
              <w:right w:val="single" w:sz="4" w:space="0" w:color="FFFFFF"/>
            </w:tcBorders>
            <w:shd w:val="clear" w:color="FFFFFF" w:fill="FFFFFF"/>
            <w:noWrap/>
            <w:vAlign w:val="center"/>
            <w:hideMark/>
          </w:tcPr>
          <w:p w14:paraId="46A6E11C" w14:textId="6755036C" w:rsidR="00595956" w:rsidRPr="005734B8" w:rsidRDefault="00244FF7" w:rsidP="000F48B1">
            <w:pPr>
              <w:jc w:val="right"/>
              <w:rPr>
                <w:rFonts w:ascii="Calibri" w:hAnsi="Calibri" w:cs="Calibri"/>
                <w:sz w:val="18"/>
                <w:szCs w:val="18"/>
              </w:rPr>
            </w:pPr>
            <w:r w:rsidRPr="005734B8">
              <w:rPr>
                <w:rFonts w:ascii="Calibri" w:hAnsi="Calibri" w:cs="Calibri"/>
                <w:sz w:val="18"/>
                <w:szCs w:val="18"/>
              </w:rPr>
              <w:softHyphen/>
            </w:r>
            <w:r w:rsidR="00C03127" w:rsidRPr="005734B8">
              <w:rPr>
                <w:rFonts w:ascii="Calibri" w:hAnsi="Calibri" w:cs="Calibri"/>
                <w:sz w:val="18"/>
                <w:szCs w:val="18"/>
              </w:rPr>
              <w:t>-</w:t>
            </w:r>
            <w:r w:rsidR="00595956" w:rsidRPr="005734B8">
              <w:rPr>
                <w:rFonts w:ascii="Calibri" w:hAnsi="Calibri" w:cs="Calibri"/>
                <w:sz w:val="18"/>
                <w:szCs w:val="18"/>
              </w:rPr>
              <w:t xml:space="preserve"> </w:t>
            </w:r>
          </w:p>
        </w:tc>
        <w:tc>
          <w:tcPr>
            <w:tcW w:w="1371" w:type="dxa"/>
            <w:tcBorders>
              <w:top w:val="single" w:sz="4" w:space="0" w:color="auto"/>
              <w:left w:val="nil"/>
              <w:bottom w:val="single" w:sz="4" w:space="0" w:color="auto"/>
              <w:right w:val="single" w:sz="4" w:space="0" w:color="FFFFFF"/>
            </w:tcBorders>
            <w:shd w:val="clear" w:color="FFFFFF" w:fill="FFFFFF"/>
            <w:noWrap/>
            <w:vAlign w:val="center"/>
            <w:hideMark/>
          </w:tcPr>
          <w:p w14:paraId="0B16D228"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660.7 </w:t>
            </w:r>
          </w:p>
        </w:tc>
        <w:tc>
          <w:tcPr>
            <w:tcW w:w="1271" w:type="dxa"/>
            <w:tcBorders>
              <w:top w:val="single" w:sz="4" w:space="0" w:color="auto"/>
              <w:left w:val="nil"/>
              <w:bottom w:val="single" w:sz="4" w:space="0" w:color="auto"/>
              <w:right w:val="single" w:sz="4" w:space="0" w:color="FFFFFF"/>
            </w:tcBorders>
            <w:shd w:val="clear" w:color="FFFFFF" w:fill="FFFFFF"/>
            <w:noWrap/>
            <w:vAlign w:val="center"/>
            <w:hideMark/>
          </w:tcPr>
          <w:p w14:paraId="0588F9FD" w14:textId="5D5D432F" w:rsidR="00595956" w:rsidRPr="005734B8" w:rsidRDefault="00C03127" w:rsidP="000F48B1">
            <w:pPr>
              <w:jc w:val="right"/>
              <w:rPr>
                <w:rFonts w:ascii="Calibri" w:hAnsi="Calibri" w:cs="Calibri"/>
                <w:sz w:val="18"/>
                <w:szCs w:val="18"/>
              </w:rPr>
            </w:pPr>
            <w:r w:rsidRPr="005734B8">
              <w:rPr>
                <w:rFonts w:ascii="Calibri" w:hAnsi="Calibri" w:cs="Calibri"/>
                <w:sz w:val="18"/>
                <w:szCs w:val="18"/>
              </w:rPr>
              <w:t>-</w:t>
            </w:r>
            <w:r w:rsidR="00244FF7" w:rsidRPr="005734B8">
              <w:rPr>
                <w:rFonts w:ascii="Calibri" w:hAnsi="Calibri" w:cs="Calibri"/>
                <w:sz w:val="18"/>
                <w:szCs w:val="18"/>
              </w:rPr>
              <w:softHyphen/>
            </w:r>
            <w:r w:rsidR="00595956" w:rsidRPr="005734B8">
              <w:rPr>
                <w:rFonts w:ascii="Calibri" w:hAnsi="Calibri" w:cs="Calibri"/>
                <w:sz w:val="18"/>
                <w:szCs w:val="18"/>
              </w:rPr>
              <w:t xml:space="preserve"> </w:t>
            </w:r>
          </w:p>
        </w:tc>
        <w:tc>
          <w:tcPr>
            <w:tcW w:w="1085" w:type="dxa"/>
            <w:tcBorders>
              <w:top w:val="single" w:sz="4" w:space="0" w:color="auto"/>
              <w:left w:val="nil"/>
              <w:bottom w:val="single" w:sz="4" w:space="0" w:color="auto"/>
              <w:right w:val="nil"/>
            </w:tcBorders>
            <w:shd w:val="clear" w:color="FFFFFF" w:fill="FFFFFF"/>
            <w:noWrap/>
            <w:vAlign w:val="center"/>
            <w:hideMark/>
          </w:tcPr>
          <w:p w14:paraId="72EB0DE3"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660.7 </w:t>
            </w:r>
          </w:p>
        </w:tc>
      </w:tr>
      <w:tr w:rsidR="00595956" w:rsidRPr="005734B8" w14:paraId="5E1DDB5C" w14:textId="77777777" w:rsidTr="000F48B1">
        <w:trPr>
          <w:trHeight w:val="255"/>
        </w:trPr>
        <w:tc>
          <w:tcPr>
            <w:tcW w:w="2692" w:type="dxa"/>
            <w:tcBorders>
              <w:top w:val="nil"/>
              <w:left w:val="nil"/>
              <w:bottom w:val="single" w:sz="4" w:space="0" w:color="auto"/>
              <w:right w:val="nil"/>
            </w:tcBorders>
            <w:shd w:val="clear" w:color="FFFFFF" w:fill="FFFFFF"/>
            <w:vAlign w:val="center"/>
            <w:hideMark/>
          </w:tcPr>
          <w:p w14:paraId="6B554250"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Prior year adjustments</w:t>
            </w:r>
          </w:p>
        </w:tc>
        <w:tc>
          <w:tcPr>
            <w:tcW w:w="1206" w:type="dxa"/>
            <w:tcBorders>
              <w:top w:val="nil"/>
              <w:left w:val="single" w:sz="4" w:space="0" w:color="FFFFFF"/>
              <w:bottom w:val="single" w:sz="4" w:space="0" w:color="auto"/>
              <w:right w:val="single" w:sz="4" w:space="0" w:color="FFFFFF"/>
            </w:tcBorders>
            <w:shd w:val="clear" w:color="FFFFFF" w:fill="FFFFFF"/>
            <w:noWrap/>
            <w:vAlign w:val="center"/>
            <w:hideMark/>
          </w:tcPr>
          <w:p w14:paraId="40DDE31C" w14:textId="43713401" w:rsidR="00595956" w:rsidRPr="005734B8" w:rsidRDefault="00244FF7" w:rsidP="000F48B1">
            <w:pPr>
              <w:jc w:val="right"/>
              <w:rPr>
                <w:rFonts w:ascii="Calibri" w:hAnsi="Calibri" w:cs="Calibri"/>
                <w:sz w:val="18"/>
                <w:szCs w:val="18"/>
              </w:rPr>
            </w:pPr>
            <w:r w:rsidRPr="005734B8">
              <w:rPr>
                <w:rFonts w:ascii="Calibri" w:hAnsi="Calibri" w:cs="Calibri"/>
                <w:sz w:val="18"/>
                <w:szCs w:val="18"/>
              </w:rPr>
              <w:softHyphen/>
            </w:r>
            <w:r w:rsidR="00C03127" w:rsidRPr="005734B8">
              <w:rPr>
                <w:rFonts w:ascii="Calibri" w:hAnsi="Calibri" w:cs="Calibri"/>
                <w:sz w:val="18"/>
                <w:szCs w:val="18"/>
              </w:rPr>
              <w:t>-</w:t>
            </w:r>
            <w:r w:rsidR="00595956" w:rsidRPr="005734B8">
              <w:rPr>
                <w:rFonts w:ascii="Calibri" w:hAnsi="Calibri" w:cs="Calibri"/>
                <w:sz w:val="18"/>
                <w:szCs w:val="18"/>
              </w:rPr>
              <w:t xml:space="preserve"> </w:t>
            </w:r>
          </w:p>
        </w:tc>
        <w:tc>
          <w:tcPr>
            <w:tcW w:w="1371" w:type="dxa"/>
            <w:tcBorders>
              <w:top w:val="nil"/>
              <w:left w:val="nil"/>
              <w:bottom w:val="single" w:sz="4" w:space="0" w:color="auto"/>
              <w:right w:val="single" w:sz="4" w:space="0" w:color="FFFFFF"/>
            </w:tcBorders>
            <w:shd w:val="clear" w:color="FFFFFF" w:fill="FFFFFF"/>
            <w:noWrap/>
            <w:vAlign w:val="center"/>
            <w:hideMark/>
          </w:tcPr>
          <w:p w14:paraId="1B5E8051"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(0.4) </w:t>
            </w:r>
          </w:p>
        </w:tc>
        <w:tc>
          <w:tcPr>
            <w:tcW w:w="1271" w:type="dxa"/>
            <w:tcBorders>
              <w:top w:val="nil"/>
              <w:left w:val="nil"/>
              <w:bottom w:val="single" w:sz="4" w:space="0" w:color="auto"/>
              <w:right w:val="single" w:sz="4" w:space="0" w:color="FFFFFF"/>
            </w:tcBorders>
            <w:shd w:val="clear" w:color="FFFFFF" w:fill="FFFFFF"/>
            <w:noWrap/>
            <w:vAlign w:val="center"/>
            <w:hideMark/>
          </w:tcPr>
          <w:p w14:paraId="136D606C"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(0.1) </w:t>
            </w:r>
          </w:p>
        </w:tc>
        <w:tc>
          <w:tcPr>
            <w:tcW w:w="1085" w:type="dxa"/>
            <w:tcBorders>
              <w:top w:val="nil"/>
              <w:left w:val="nil"/>
              <w:bottom w:val="single" w:sz="4" w:space="0" w:color="auto"/>
              <w:right w:val="single" w:sz="4" w:space="0" w:color="FFFFFF"/>
            </w:tcBorders>
            <w:shd w:val="clear" w:color="FFFFFF" w:fill="FFFFFF"/>
            <w:noWrap/>
            <w:vAlign w:val="center"/>
            <w:hideMark/>
          </w:tcPr>
          <w:p w14:paraId="6618BD2A"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(0.5) </w:t>
            </w:r>
          </w:p>
        </w:tc>
      </w:tr>
      <w:tr w:rsidR="00595956" w:rsidRPr="005734B8" w14:paraId="2C865407" w14:textId="77777777" w:rsidTr="000F48B1">
        <w:trPr>
          <w:trHeight w:val="255"/>
        </w:trPr>
        <w:tc>
          <w:tcPr>
            <w:tcW w:w="2692" w:type="dxa"/>
            <w:tcBorders>
              <w:top w:val="nil"/>
              <w:left w:val="nil"/>
              <w:bottom w:val="single" w:sz="4" w:space="0" w:color="auto"/>
              <w:right w:val="nil"/>
            </w:tcBorders>
            <w:shd w:val="clear" w:color="FFFFFF" w:fill="FFFFFF"/>
            <w:vAlign w:val="center"/>
            <w:hideMark/>
          </w:tcPr>
          <w:p w14:paraId="3A752FDD"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Other comprehensive income for the year</w:t>
            </w:r>
          </w:p>
        </w:tc>
        <w:tc>
          <w:tcPr>
            <w:tcW w:w="1206" w:type="dxa"/>
            <w:tcBorders>
              <w:top w:val="nil"/>
              <w:left w:val="single" w:sz="4" w:space="0" w:color="FFFFFF"/>
              <w:bottom w:val="single" w:sz="4" w:space="0" w:color="auto"/>
              <w:right w:val="single" w:sz="4" w:space="0" w:color="FFFFFF"/>
            </w:tcBorders>
            <w:shd w:val="clear" w:color="FFFFFF" w:fill="FFFFFF"/>
            <w:noWrap/>
            <w:vAlign w:val="center"/>
            <w:hideMark/>
          </w:tcPr>
          <w:p w14:paraId="3CBA0A27"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2,833.0 </w:t>
            </w:r>
          </w:p>
        </w:tc>
        <w:tc>
          <w:tcPr>
            <w:tcW w:w="1371" w:type="dxa"/>
            <w:tcBorders>
              <w:top w:val="nil"/>
              <w:left w:val="nil"/>
              <w:bottom w:val="single" w:sz="4" w:space="0" w:color="auto"/>
              <w:right w:val="single" w:sz="4" w:space="0" w:color="FFFFFF"/>
            </w:tcBorders>
            <w:shd w:val="clear" w:color="FFFFFF" w:fill="FFFFFF"/>
            <w:noWrap/>
            <w:vAlign w:val="center"/>
            <w:hideMark/>
          </w:tcPr>
          <w:p w14:paraId="48243DFA" w14:textId="496609E8" w:rsidR="00595956" w:rsidRPr="005734B8" w:rsidRDefault="00C03127" w:rsidP="000F48B1">
            <w:pPr>
              <w:jc w:val="right"/>
              <w:rPr>
                <w:rFonts w:ascii="Calibri" w:hAnsi="Calibri" w:cs="Calibri"/>
                <w:sz w:val="18"/>
                <w:szCs w:val="18"/>
              </w:rPr>
            </w:pPr>
            <w:r w:rsidRPr="005734B8">
              <w:rPr>
                <w:rFonts w:ascii="Calibri" w:hAnsi="Calibri" w:cs="Calibri"/>
                <w:sz w:val="18"/>
                <w:szCs w:val="18"/>
              </w:rPr>
              <w:t>-</w:t>
            </w:r>
            <w:r w:rsidR="00244FF7" w:rsidRPr="005734B8">
              <w:rPr>
                <w:rFonts w:ascii="Calibri" w:hAnsi="Calibri" w:cs="Calibri"/>
                <w:sz w:val="18"/>
                <w:szCs w:val="18"/>
              </w:rPr>
              <w:softHyphen/>
            </w:r>
            <w:r w:rsidR="00595956" w:rsidRPr="005734B8">
              <w:rPr>
                <w:rFonts w:ascii="Calibri" w:hAnsi="Calibri" w:cs="Calibri"/>
                <w:sz w:val="18"/>
                <w:szCs w:val="18"/>
              </w:rPr>
              <w:t xml:space="preserve"> </w:t>
            </w:r>
          </w:p>
        </w:tc>
        <w:tc>
          <w:tcPr>
            <w:tcW w:w="1271" w:type="dxa"/>
            <w:tcBorders>
              <w:top w:val="nil"/>
              <w:left w:val="nil"/>
              <w:bottom w:val="single" w:sz="4" w:space="0" w:color="auto"/>
              <w:right w:val="single" w:sz="4" w:space="0" w:color="FFFFFF"/>
            </w:tcBorders>
            <w:shd w:val="clear" w:color="FFFFFF" w:fill="FFFFFF"/>
            <w:noWrap/>
            <w:vAlign w:val="center"/>
            <w:hideMark/>
          </w:tcPr>
          <w:p w14:paraId="316A886C" w14:textId="39AC7F2F" w:rsidR="00595956" w:rsidRPr="005734B8" w:rsidRDefault="00244FF7" w:rsidP="000F48B1">
            <w:pPr>
              <w:jc w:val="right"/>
              <w:rPr>
                <w:rFonts w:ascii="Calibri" w:hAnsi="Calibri" w:cs="Calibri"/>
                <w:sz w:val="18"/>
                <w:szCs w:val="18"/>
              </w:rPr>
            </w:pPr>
            <w:r w:rsidRPr="005734B8">
              <w:rPr>
                <w:rFonts w:ascii="Calibri" w:hAnsi="Calibri" w:cs="Calibri"/>
                <w:sz w:val="18"/>
                <w:szCs w:val="18"/>
              </w:rPr>
              <w:softHyphen/>
            </w:r>
            <w:r w:rsidR="00C03127" w:rsidRPr="005734B8">
              <w:rPr>
                <w:rFonts w:ascii="Calibri" w:hAnsi="Calibri" w:cs="Calibri"/>
                <w:sz w:val="18"/>
                <w:szCs w:val="18"/>
              </w:rPr>
              <w:t>-</w:t>
            </w:r>
            <w:r w:rsidR="00595956" w:rsidRPr="005734B8">
              <w:rPr>
                <w:rFonts w:ascii="Calibri" w:hAnsi="Calibri" w:cs="Calibri"/>
                <w:sz w:val="18"/>
                <w:szCs w:val="18"/>
              </w:rPr>
              <w:t xml:space="preserve"> </w:t>
            </w:r>
          </w:p>
        </w:tc>
        <w:tc>
          <w:tcPr>
            <w:tcW w:w="1085" w:type="dxa"/>
            <w:tcBorders>
              <w:top w:val="nil"/>
              <w:left w:val="nil"/>
              <w:bottom w:val="single" w:sz="4" w:space="0" w:color="auto"/>
              <w:right w:val="single" w:sz="4" w:space="0" w:color="FFFFFF"/>
            </w:tcBorders>
            <w:shd w:val="clear" w:color="FFFFFF" w:fill="FFFFFF"/>
            <w:noWrap/>
            <w:vAlign w:val="center"/>
            <w:hideMark/>
          </w:tcPr>
          <w:p w14:paraId="5F006096"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2,833.0 </w:t>
            </w:r>
          </w:p>
        </w:tc>
      </w:tr>
      <w:tr w:rsidR="00595956" w:rsidRPr="005734B8" w14:paraId="5AE5B5E1" w14:textId="77777777" w:rsidTr="000F48B1">
        <w:trPr>
          <w:trHeight w:val="255"/>
        </w:trPr>
        <w:tc>
          <w:tcPr>
            <w:tcW w:w="2692" w:type="dxa"/>
            <w:tcBorders>
              <w:top w:val="nil"/>
              <w:left w:val="nil"/>
              <w:bottom w:val="single" w:sz="4" w:space="0" w:color="auto"/>
              <w:right w:val="nil"/>
            </w:tcBorders>
            <w:shd w:val="clear" w:color="FFFFFF" w:fill="FFFFFF"/>
            <w:vAlign w:val="center"/>
            <w:hideMark/>
          </w:tcPr>
          <w:p w14:paraId="38525BD9"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Capital appropriations</w:t>
            </w:r>
          </w:p>
        </w:tc>
        <w:tc>
          <w:tcPr>
            <w:tcW w:w="1206" w:type="dxa"/>
            <w:tcBorders>
              <w:top w:val="nil"/>
              <w:left w:val="single" w:sz="4" w:space="0" w:color="FFFFFF"/>
              <w:bottom w:val="single" w:sz="4" w:space="0" w:color="auto"/>
              <w:right w:val="single" w:sz="4" w:space="0" w:color="FFFFFF"/>
            </w:tcBorders>
            <w:shd w:val="clear" w:color="FFFFFF" w:fill="FFFFFF"/>
            <w:noWrap/>
            <w:vAlign w:val="center"/>
            <w:hideMark/>
          </w:tcPr>
          <w:p w14:paraId="4A9A5C5D" w14:textId="68E4E82C" w:rsidR="00595956" w:rsidRPr="005734B8" w:rsidRDefault="00244FF7" w:rsidP="000F48B1">
            <w:pPr>
              <w:jc w:val="right"/>
              <w:rPr>
                <w:rFonts w:ascii="Calibri" w:hAnsi="Calibri" w:cs="Calibri"/>
                <w:sz w:val="18"/>
                <w:szCs w:val="18"/>
              </w:rPr>
            </w:pPr>
            <w:r w:rsidRPr="005734B8">
              <w:rPr>
                <w:rFonts w:ascii="Calibri" w:hAnsi="Calibri" w:cs="Calibri"/>
                <w:sz w:val="18"/>
                <w:szCs w:val="18"/>
              </w:rPr>
              <w:softHyphen/>
            </w:r>
            <w:r w:rsidR="00C03127" w:rsidRPr="005734B8">
              <w:rPr>
                <w:rFonts w:ascii="Calibri" w:hAnsi="Calibri" w:cs="Calibri"/>
                <w:sz w:val="18"/>
                <w:szCs w:val="18"/>
              </w:rPr>
              <w:t>-</w:t>
            </w:r>
            <w:r w:rsidR="00595956" w:rsidRPr="005734B8">
              <w:rPr>
                <w:rFonts w:ascii="Calibri" w:hAnsi="Calibri" w:cs="Calibri"/>
                <w:sz w:val="18"/>
                <w:szCs w:val="18"/>
              </w:rPr>
              <w:t xml:space="preserve"> </w:t>
            </w:r>
          </w:p>
        </w:tc>
        <w:tc>
          <w:tcPr>
            <w:tcW w:w="1371" w:type="dxa"/>
            <w:tcBorders>
              <w:top w:val="nil"/>
              <w:left w:val="nil"/>
              <w:bottom w:val="single" w:sz="4" w:space="0" w:color="auto"/>
              <w:right w:val="single" w:sz="4" w:space="0" w:color="FFFFFF"/>
            </w:tcBorders>
            <w:shd w:val="clear" w:color="FFFFFF" w:fill="FFFFFF"/>
            <w:noWrap/>
            <w:vAlign w:val="center"/>
            <w:hideMark/>
          </w:tcPr>
          <w:p w14:paraId="1ED62F08" w14:textId="6A96EB5C" w:rsidR="00595956" w:rsidRPr="005734B8" w:rsidRDefault="00244FF7" w:rsidP="000F48B1">
            <w:pPr>
              <w:jc w:val="right"/>
              <w:rPr>
                <w:rFonts w:ascii="Calibri" w:hAnsi="Calibri" w:cs="Calibri"/>
                <w:sz w:val="18"/>
                <w:szCs w:val="18"/>
              </w:rPr>
            </w:pPr>
            <w:r w:rsidRPr="005734B8">
              <w:rPr>
                <w:rFonts w:ascii="Calibri" w:hAnsi="Calibri" w:cs="Calibri"/>
                <w:sz w:val="18"/>
                <w:szCs w:val="18"/>
              </w:rPr>
              <w:softHyphen/>
            </w:r>
            <w:r w:rsidR="00C03127" w:rsidRPr="005734B8">
              <w:rPr>
                <w:rFonts w:ascii="Calibri" w:hAnsi="Calibri" w:cs="Calibri"/>
                <w:sz w:val="18"/>
                <w:szCs w:val="18"/>
              </w:rPr>
              <w:t>-</w:t>
            </w:r>
            <w:r w:rsidR="00595956" w:rsidRPr="005734B8">
              <w:rPr>
                <w:rFonts w:ascii="Calibri" w:hAnsi="Calibri" w:cs="Calibri"/>
                <w:sz w:val="18"/>
                <w:szCs w:val="18"/>
              </w:rPr>
              <w:t xml:space="preserve"> </w:t>
            </w:r>
          </w:p>
        </w:tc>
        <w:tc>
          <w:tcPr>
            <w:tcW w:w="1271" w:type="dxa"/>
            <w:tcBorders>
              <w:top w:val="nil"/>
              <w:left w:val="nil"/>
              <w:bottom w:val="single" w:sz="4" w:space="0" w:color="auto"/>
              <w:right w:val="single" w:sz="4" w:space="0" w:color="FFFFFF"/>
            </w:tcBorders>
            <w:shd w:val="clear" w:color="FFFFFF" w:fill="FFFFFF"/>
            <w:noWrap/>
            <w:vAlign w:val="center"/>
            <w:hideMark/>
          </w:tcPr>
          <w:p w14:paraId="19D7182E"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915.7 </w:t>
            </w:r>
          </w:p>
        </w:tc>
        <w:tc>
          <w:tcPr>
            <w:tcW w:w="1085" w:type="dxa"/>
            <w:tcBorders>
              <w:top w:val="nil"/>
              <w:left w:val="nil"/>
              <w:bottom w:val="single" w:sz="4" w:space="0" w:color="auto"/>
              <w:right w:val="single" w:sz="4" w:space="0" w:color="FFFFFF"/>
            </w:tcBorders>
            <w:shd w:val="clear" w:color="FFFFFF" w:fill="FFFFFF"/>
            <w:noWrap/>
            <w:vAlign w:val="center"/>
            <w:hideMark/>
          </w:tcPr>
          <w:p w14:paraId="6BC7611E"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915.7 </w:t>
            </w:r>
          </w:p>
        </w:tc>
      </w:tr>
      <w:tr w:rsidR="00595956" w:rsidRPr="005734B8" w14:paraId="3EDF39F7" w14:textId="77777777" w:rsidTr="000F48B1">
        <w:trPr>
          <w:trHeight w:val="270"/>
        </w:trPr>
        <w:tc>
          <w:tcPr>
            <w:tcW w:w="2692" w:type="dxa"/>
            <w:tcBorders>
              <w:top w:val="nil"/>
              <w:left w:val="nil"/>
              <w:bottom w:val="single" w:sz="4" w:space="0" w:color="auto"/>
              <w:right w:val="nil"/>
            </w:tcBorders>
            <w:shd w:val="clear" w:color="FFFFFF" w:fill="FFFFFF"/>
            <w:vAlign w:val="center"/>
            <w:hideMark/>
          </w:tcPr>
          <w:p w14:paraId="397F6DDA"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Contributed capital transfers (out)</w:t>
            </w:r>
          </w:p>
        </w:tc>
        <w:tc>
          <w:tcPr>
            <w:tcW w:w="1206" w:type="dxa"/>
            <w:tcBorders>
              <w:top w:val="nil"/>
              <w:left w:val="single" w:sz="4" w:space="0" w:color="FFFFFF"/>
              <w:bottom w:val="single" w:sz="4" w:space="0" w:color="auto"/>
              <w:right w:val="single" w:sz="4" w:space="0" w:color="FFFFFF"/>
            </w:tcBorders>
            <w:shd w:val="clear" w:color="FFFFFF" w:fill="FFFFFF"/>
            <w:noWrap/>
            <w:vAlign w:val="center"/>
            <w:hideMark/>
          </w:tcPr>
          <w:p w14:paraId="68A61A5C" w14:textId="30ABC9B6" w:rsidR="00595956" w:rsidRPr="005734B8" w:rsidRDefault="00244FF7" w:rsidP="000F48B1">
            <w:pPr>
              <w:jc w:val="right"/>
              <w:rPr>
                <w:rFonts w:ascii="Calibri" w:hAnsi="Calibri" w:cs="Calibri"/>
                <w:sz w:val="18"/>
                <w:szCs w:val="18"/>
              </w:rPr>
            </w:pPr>
            <w:r w:rsidRPr="005734B8">
              <w:rPr>
                <w:rFonts w:ascii="Calibri" w:hAnsi="Calibri" w:cs="Calibri"/>
                <w:sz w:val="18"/>
                <w:szCs w:val="18"/>
              </w:rPr>
              <w:softHyphen/>
            </w:r>
            <w:r w:rsidR="00C03127" w:rsidRPr="005734B8">
              <w:rPr>
                <w:rFonts w:ascii="Calibri" w:hAnsi="Calibri" w:cs="Calibri"/>
                <w:sz w:val="18"/>
                <w:szCs w:val="18"/>
              </w:rPr>
              <w:t>-</w:t>
            </w:r>
            <w:r w:rsidR="00595956" w:rsidRPr="005734B8">
              <w:rPr>
                <w:rFonts w:ascii="Calibri" w:hAnsi="Calibri" w:cs="Calibri"/>
                <w:sz w:val="18"/>
                <w:szCs w:val="18"/>
              </w:rPr>
              <w:t xml:space="preserve"> </w:t>
            </w:r>
          </w:p>
        </w:tc>
        <w:tc>
          <w:tcPr>
            <w:tcW w:w="1371" w:type="dxa"/>
            <w:tcBorders>
              <w:top w:val="nil"/>
              <w:left w:val="nil"/>
              <w:bottom w:val="single" w:sz="4" w:space="0" w:color="auto"/>
              <w:right w:val="single" w:sz="4" w:space="0" w:color="FFFFFF"/>
            </w:tcBorders>
            <w:shd w:val="clear" w:color="FFFFFF" w:fill="FFFFFF"/>
            <w:noWrap/>
            <w:vAlign w:val="center"/>
            <w:hideMark/>
          </w:tcPr>
          <w:p w14:paraId="474E3747" w14:textId="3AD01FB5" w:rsidR="00595956" w:rsidRPr="005734B8" w:rsidRDefault="00244FF7" w:rsidP="000F48B1">
            <w:pPr>
              <w:jc w:val="right"/>
              <w:rPr>
                <w:rFonts w:ascii="Calibri" w:hAnsi="Calibri" w:cs="Calibri"/>
                <w:sz w:val="18"/>
                <w:szCs w:val="18"/>
              </w:rPr>
            </w:pPr>
            <w:r w:rsidRPr="005734B8">
              <w:rPr>
                <w:rFonts w:ascii="Calibri" w:hAnsi="Calibri" w:cs="Calibri"/>
                <w:sz w:val="18"/>
                <w:szCs w:val="18"/>
              </w:rPr>
              <w:softHyphen/>
            </w:r>
            <w:r w:rsidR="00C03127" w:rsidRPr="005734B8">
              <w:rPr>
                <w:rFonts w:ascii="Calibri" w:hAnsi="Calibri" w:cs="Calibri"/>
                <w:sz w:val="18"/>
                <w:szCs w:val="18"/>
              </w:rPr>
              <w:t>-</w:t>
            </w:r>
            <w:r w:rsidR="00595956" w:rsidRPr="005734B8">
              <w:rPr>
                <w:rFonts w:ascii="Calibri" w:hAnsi="Calibri" w:cs="Calibri"/>
                <w:sz w:val="18"/>
                <w:szCs w:val="18"/>
              </w:rPr>
              <w:t xml:space="preserve"> </w:t>
            </w:r>
          </w:p>
        </w:tc>
        <w:tc>
          <w:tcPr>
            <w:tcW w:w="1271" w:type="dxa"/>
            <w:tcBorders>
              <w:top w:val="nil"/>
              <w:left w:val="nil"/>
              <w:bottom w:val="single" w:sz="4" w:space="0" w:color="auto"/>
              <w:right w:val="single" w:sz="4" w:space="0" w:color="FFFFFF"/>
            </w:tcBorders>
            <w:shd w:val="clear" w:color="FFFFFF" w:fill="FFFFFF"/>
            <w:noWrap/>
            <w:vAlign w:val="center"/>
            <w:hideMark/>
          </w:tcPr>
          <w:p w14:paraId="1EAB824D"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(49.8) </w:t>
            </w:r>
          </w:p>
        </w:tc>
        <w:tc>
          <w:tcPr>
            <w:tcW w:w="1085" w:type="dxa"/>
            <w:tcBorders>
              <w:top w:val="nil"/>
              <w:left w:val="nil"/>
              <w:bottom w:val="single" w:sz="4" w:space="0" w:color="auto"/>
              <w:right w:val="single" w:sz="4" w:space="0" w:color="FFFFFF"/>
            </w:tcBorders>
            <w:shd w:val="clear" w:color="FFFFFF" w:fill="FFFFFF"/>
            <w:noWrap/>
            <w:vAlign w:val="center"/>
            <w:hideMark/>
          </w:tcPr>
          <w:p w14:paraId="34B27FD7"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(49.8) </w:t>
            </w:r>
          </w:p>
        </w:tc>
      </w:tr>
      <w:tr w:rsidR="00595956" w:rsidRPr="005734B8" w14:paraId="3ACC1E3A" w14:textId="77777777" w:rsidTr="000F48B1">
        <w:trPr>
          <w:trHeight w:val="285"/>
        </w:trPr>
        <w:tc>
          <w:tcPr>
            <w:tcW w:w="26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14BF90ED"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Balance at 30 June 2021</w:t>
            </w:r>
          </w:p>
        </w:tc>
        <w:tc>
          <w:tcPr>
            <w:tcW w:w="1206" w:type="dxa"/>
            <w:tcBorders>
              <w:top w:val="single" w:sz="12" w:space="0" w:color="auto"/>
              <w:left w:val="nil"/>
              <w:bottom w:val="single" w:sz="12" w:space="0" w:color="auto"/>
              <w:right w:val="single" w:sz="4" w:space="0" w:color="FFFFFF"/>
            </w:tcBorders>
            <w:shd w:val="clear" w:color="000000" w:fill="D9D9D9"/>
            <w:noWrap/>
            <w:vAlign w:val="center"/>
            <w:hideMark/>
          </w:tcPr>
          <w:p w14:paraId="14277F8F"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15,044.5 </w:t>
            </w:r>
          </w:p>
        </w:tc>
        <w:tc>
          <w:tcPr>
            <w:tcW w:w="1371" w:type="dxa"/>
            <w:tcBorders>
              <w:top w:val="single" w:sz="12" w:space="0" w:color="auto"/>
              <w:left w:val="nil"/>
              <w:bottom w:val="single" w:sz="12" w:space="0" w:color="auto"/>
              <w:right w:val="single" w:sz="4" w:space="0" w:color="FFFFFF"/>
            </w:tcBorders>
            <w:shd w:val="clear" w:color="000000" w:fill="D9D9D9"/>
            <w:noWrap/>
            <w:vAlign w:val="center"/>
            <w:hideMark/>
          </w:tcPr>
          <w:p w14:paraId="4A5551E9"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4,223.5 </w:t>
            </w:r>
          </w:p>
        </w:tc>
        <w:tc>
          <w:tcPr>
            <w:tcW w:w="1271" w:type="dxa"/>
            <w:tcBorders>
              <w:top w:val="single" w:sz="12" w:space="0" w:color="auto"/>
              <w:left w:val="nil"/>
              <w:bottom w:val="single" w:sz="12" w:space="0" w:color="auto"/>
              <w:right w:val="single" w:sz="4" w:space="0" w:color="FFFFFF"/>
            </w:tcBorders>
            <w:shd w:val="clear" w:color="000000" w:fill="D9D9D9"/>
            <w:noWrap/>
            <w:vAlign w:val="center"/>
            <w:hideMark/>
          </w:tcPr>
          <w:p w14:paraId="463443FE"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10,964.5 </w:t>
            </w:r>
          </w:p>
        </w:tc>
        <w:tc>
          <w:tcPr>
            <w:tcW w:w="1085" w:type="dxa"/>
            <w:tcBorders>
              <w:top w:val="single" w:sz="12" w:space="0" w:color="auto"/>
              <w:left w:val="nil"/>
              <w:bottom w:val="single" w:sz="12" w:space="0" w:color="auto"/>
              <w:right w:val="single" w:sz="4" w:space="0" w:color="FFFFFF"/>
            </w:tcBorders>
            <w:shd w:val="clear" w:color="000000" w:fill="D9D9D9"/>
            <w:noWrap/>
            <w:vAlign w:val="center"/>
            <w:hideMark/>
          </w:tcPr>
          <w:p w14:paraId="5E2133C6"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30,232.5 </w:t>
            </w:r>
          </w:p>
        </w:tc>
      </w:tr>
    </w:tbl>
    <w:p w14:paraId="07A87B83" w14:textId="77777777" w:rsidR="009B532B" w:rsidRPr="005734B8" w:rsidRDefault="009B532B" w:rsidP="00595956">
      <w:pPr>
        <w:spacing w:before="60"/>
        <w:rPr>
          <w:rFonts w:ascii="Calibri" w:hAnsi="Calibri" w:cs="Calibri"/>
          <w:szCs w:val="22"/>
        </w:rPr>
      </w:pPr>
    </w:p>
    <w:p w14:paraId="63896513" w14:textId="77777777" w:rsidR="00595956" w:rsidRPr="005734B8" w:rsidRDefault="00595956" w:rsidP="00595956">
      <w:pPr>
        <w:spacing w:before="60"/>
        <w:rPr>
          <w:rFonts w:ascii="Calibri" w:hAnsi="Calibri" w:cs="Calibri"/>
        </w:rPr>
        <w:sectPr w:rsidR="00595956" w:rsidRPr="005734B8" w:rsidSect="000F48B1">
          <w:headerReference w:type="default" r:id="rId69"/>
          <w:footerReference w:type="default" r:id="rId70"/>
          <w:pgSz w:w="11907" w:h="16839" w:code="9"/>
          <w:pgMar w:top="1440" w:right="1134" w:bottom="1440" w:left="2835" w:header="958" w:footer="737" w:gutter="0"/>
          <w:cols w:space="708"/>
          <w:docGrid w:linePitch="360"/>
        </w:sectPr>
      </w:pPr>
      <w:r w:rsidRPr="005734B8">
        <w:rPr>
          <w:rFonts w:ascii="Calibri" w:hAnsi="Calibri" w:cs="Calibri"/>
          <w:szCs w:val="22"/>
        </w:rPr>
        <w:t>The above statement of changes in equity should be read in conjunction with the accompanying notes.</w:t>
      </w:r>
    </w:p>
    <w:p w14:paraId="28F762B2" w14:textId="77777777" w:rsidR="00595956" w:rsidRPr="005734B8" w:rsidRDefault="00595956" w:rsidP="00595956">
      <w:pPr>
        <w:pStyle w:val="ESHeading2"/>
        <w:rPr>
          <w:rFonts w:ascii="Calibri" w:hAnsi="Calibri" w:cs="Calibri"/>
        </w:rPr>
      </w:pPr>
      <w:bookmarkStart w:id="1145" w:name="_Toc34033374"/>
      <w:bookmarkStart w:id="1146" w:name="_Toc36013341"/>
      <w:bookmarkStart w:id="1147" w:name="_Toc72958077"/>
      <w:bookmarkStart w:id="1148" w:name="_Toc72958125"/>
      <w:bookmarkStart w:id="1149" w:name="_Toc79790155"/>
      <w:bookmarkStart w:id="1150" w:name="_Toc80272065"/>
      <w:bookmarkStart w:id="1151" w:name="_Toc81315364"/>
      <w:r w:rsidRPr="005734B8">
        <w:rPr>
          <w:rFonts w:ascii="Calibri" w:hAnsi="Calibri" w:cs="Calibri"/>
        </w:rPr>
        <w:lastRenderedPageBreak/>
        <w:t xml:space="preserve">Cash flow statement for the financial year ended </w:t>
      </w:r>
      <w:r w:rsidRPr="005734B8">
        <w:rPr>
          <w:rFonts w:ascii="Calibri" w:hAnsi="Calibri" w:cs="Calibri"/>
        </w:rPr>
        <w:fldChar w:fldCharType="begin"/>
      </w:r>
      <w:r w:rsidRPr="005734B8">
        <w:rPr>
          <w:rFonts w:ascii="Calibri" w:hAnsi="Calibri" w:cs="Calibri"/>
        </w:rPr>
        <w:instrText xml:space="preserve"> DOCPROPERTY  pEnd  \* MERGEFORMAT </w:instrText>
      </w:r>
      <w:r w:rsidRPr="005734B8">
        <w:rPr>
          <w:rFonts w:ascii="Calibri" w:hAnsi="Calibri" w:cs="Calibri"/>
        </w:rPr>
        <w:fldChar w:fldCharType="separate"/>
      </w:r>
      <w:r w:rsidRPr="005734B8">
        <w:rPr>
          <w:rFonts w:ascii="Calibri" w:hAnsi="Calibri" w:cs="Calibri"/>
        </w:rPr>
        <w:t>30 June</w:t>
      </w:r>
      <w:r w:rsidRPr="005734B8">
        <w:rPr>
          <w:rFonts w:ascii="Calibri" w:hAnsi="Calibri" w:cs="Calibri"/>
        </w:rPr>
        <w:fldChar w:fldCharType="end"/>
      </w:r>
      <w:r w:rsidRPr="005734B8">
        <w:rPr>
          <w:rFonts w:ascii="Calibri" w:hAnsi="Calibri" w:cs="Calibri"/>
        </w:rPr>
        <w:t xml:space="preserve"> </w:t>
      </w:r>
      <w:r w:rsidRPr="005734B8">
        <w:rPr>
          <w:rFonts w:ascii="Calibri" w:hAnsi="Calibri" w:cs="Calibri"/>
        </w:rPr>
        <w:fldChar w:fldCharType="begin"/>
      </w:r>
      <w:r w:rsidRPr="005734B8">
        <w:rPr>
          <w:rFonts w:ascii="Calibri" w:hAnsi="Calibri" w:cs="Calibri"/>
        </w:rPr>
        <w:instrText xml:space="preserve"> DOCPROPERTY  crYear  \* MERGEFORMAT </w:instrText>
      </w:r>
      <w:r w:rsidRPr="005734B8">
        <w:rPr>
          <w:rFonts w:ascii="Calibri" w:hAnsi="Calibri" w:cs="Calibri"/>
        </w:rPr>
        <w:fldChar w:fldCharType="separate"/>
      </w:r>
      <w:r w:rsidRPr="005734B8">
        <w:rPr>
          <w:rFonts w:ascii="Calibri" w:hAnsi="Calibri" w:cs="Calibri"/>
        </w:rPr>
        <w:t>2021</w:t>
      </w:r>
      <w:bookmarkEnd w:id="1145"/>
      <w:bookmarkEnd w:id="1146"/>
      <w:bookmarkEnd w:id="1147"/>
      <w:bookmarkEnd w:id="1148"/>
      <w:bookmarkEnd w:id="1149"/>
      <w:bookmarkEnd w:id="1150"/>
      <w:bookmarkEnd w:id="1151"/>
      <w:r w:rsidRPr="005734B8">
        <w:rPr>
          <w:rFonts w:ascii="Calibri" w:hAnsi="Calibri" w:cs="Calibri"/>
        </w:rPr>
        <w:fldChar w:fldCharType="end"/>
      </w:r>
    </w:p>
    <w:p w14:paraId="35920382" w14:textId="5F8B5768" w:rsidR="00595956" w:rsidRPr="005734B8" w:rsidRDefault="00595956" w:rsidP="00595956">
      <w:pPr>
        <w:rPr>
          <w:rFonts w:ascii="Calibri" w:hAnsi="Calibri" w:cs="Calibri"/>
        </w:rPr>
      </w:pPr>
      <w:r w:rsidRPr="005734B8">
        <w:rPr>
          <w:rFonts w:ascii="Calibri" w:hAnsi="Calibri" w:cs="Calibri"/>
        </w:rPr>
        <w:fldChar w:fldCharType="begin"/>
      </w:r>
      <w:r w:rsidRPr="005734B8">
        <w:rPr>
          <w:rFonts w:ascii="Calibri" w:hAnsi="Calibri" w:cs="Calibri"/>
        </w:rPr>
        <w:instrText xml:space="preserve"> TC </w:instrText>
      </w:r>
      <w:r w:rsidR="00B15F9A" w:rsidRPr="005734B8">
        <w:rPr>
          <w:rFonts w:ascii="Calibri" w:hAnsi="Calibri" w:cs="Calibri"/>
        </w:rPr>
        <w:instrText>“</w:instrText>
      </w:r>
      <w:bookmarkStart w:id="1152" w:name="_Toc21426682"/>
      <w:r w:rsidRPr="005734B8">
        <w:rPr>
          <w:rFonts w:ascii="Calibri" w:hAnsi="Calibri" w:cs="Calibri"/>
        </w:rPr>
        <w:instrText>Cash Flow Statement</w:instrText>
      </w:r>
      <w:bookmarkEnd w:id="1152"/>
      <w:r w:rsidR="00B15F9A" w:rsidRPr="005734B8">
        <w:rPr>
          <w:rFonts w:ascii="Calibri" w:hAnsi="Calibri" w:cs="Calibri"/>
        </w:rPr>
        <w:instrText>”</w:instrText>
      </w:r>
      <w:r w:rsidRPr="005734B8">
        <w:rPr>
          <w:rFonts w:ascii="Calibri" w:hAnsi="Calibri" w:cs="Calibri"/>
        </w:rPr>
        <w:instrText xml:space="preserve"> \f C \l </w:instrText>
      </w:r>
      <w:r w:rsidR="00B15F9A" w:rsidRPr="005734B8">
        <w:rPr>
          <w:rFonts w:ascii="Calibri" w:hAnsi="Calibri" w:cs="Calibri"/>
        </w:rPr>
        <w:instrText>“</w:instrText>
      </w:r>
      <w:r w:rsidRPr="005734B8">
        <w:rPr>
          <w:rFonts w:ascii="Calibri" w:hAnsi="Calibri" w:cs="Calibri"/>
        </w:rPr>
        <w:instrText>1</w:instrText>
      </w:r>
      <w:r w:rsidR="00B15F9A" w:rsidRPr="005734B8">
        <w:rPr>
          <w:rFonts w:ascii="Calibri" w:hAnsi="Calibri" w:cs="Calibri"/>
        </w:rPr>
        <w:instrText>”</w:instrText>
      </w:r>
      <w:r w:rsidRPr="005734B8">
        <w:rPr>
          <w:rFonts w:ascii="Calibri" w:hAnsi="Calibri" w:cs="Calibri"/>
        </w:rPr>
        <w:instrText xml:space="preserve"> </w:instrText>
      </w:r>
      <w:r w:rsidRPr="005734B8">
        <w:rPr>
          <w:rFonts w:ascii="Calibri" w:hAnsi="Calibri" w:cs="Calibri"/>
        </w:rPr>
        <w:fldChar w:fldCharType="end"/>
      </w:r>
    </w:p>
    <w:tbl>
      <w:tblPr>
        <w:tblW w:w="7625" w:type="dxa"/>
        <w:tblInd w:w="75" w:type="dxa"/>
        <w:tblLayout w:type="fixed"/>
        <w:tblLook w:val="04A0" w:firstRow="1" w:lastRow="0" w:firstColumn="1" w:lastColumn="0" w:noHBand="0" w:noVBand="1"/>
      </w:tblPr>
      <w:tblGrid>
        <w:gridCol w:w="4561"/>
        <w:gridCol w:w="792"/>
        <w:gridCol w:w="1136"/>
        <w:gridCol w:w="1136"/>
      </w:tblGrid>
      <w:tr w:rsidR="00595956" w:rsidRPr="005734B8" w14:paraId="2B99A3A4" w14:textId="77777777" w:rsidTr="000F48B1">
        <w:trPr>
          <w:trHeight w:val="480"/>
        </w:trPr>
        <w:tc>
          <w:tcPr>
            <w:tcW w:w="4561" w:type="dxa"/>
            <w:tcBorders>
              <w:top w:val="nil"/>
              <w:left w:val="single" w:sz="4" w:space="0" w:color="FFFFFF"/>
              <w:bottom w:val="single" w:sz="4" w:space="0" w:color="FFFFFF"/>
              <w:right w:val="single" w:sz="4" w:space="0" w:color="FFFFFF"/>
            </w:tcBorders>
            <w:shd w:val="clear" w:color="000000" w:fill="AF272F"/>
            <w:vAlign w:val="center"/>
            <w:hideMark/>
          </w:tcPr>
          <w:p w14:paraId="3D9D5896" w14:textId="77777777" w:rsidR="00595956" w:rsidRPr="005734B8" w:rsidRDefault="00595956" w:rsidP="000F48B1">
            <w:pPr>
              <w:jc w:val="center"/>
              <w:rPr>
                <w:rFonts w:ascii="Calibri" w:hAnsi="Calibri" w:cs="Calibri"/>
                <w:b/>
                <w:color w:val="FFFFFF"/>
                <w:sz w:val="18"/>
                <w:szCs w:val="18"/>
              </w:rPr>
            </w:pPr>
            <w:bookmarkStart w:id="1153" w:name="Note_DCFTABLE1" w:colFirst="0" w:colLast="0"/>
            <w:r w:rsidRPr="005734B8">
              <w:rPr>
                <w:rFonts w:ascii="Calibri" w:hAnsi="Calibri" w:cs="Calibri"/>
                <w:b/>
                <w:color w:val="FFFFFF"/>
                <w:sz w:val="18"/>
                <w:szCs w:val="18"/>
              </w:rPr>
              <w:t> </w:t>
            </w:r>
          </w:p>
        </w:tc>
        <w:tc>
          <w:tcPr>
            <w:tcW w:w="792" w:type="dxa"/>
            <w:tcBorders>
              <w:top w:val="nil"/>
              <w:left w:val="nil"/>
              <w:bottom w:val="single" w:sz="4" w:space="0" w:color="FFFFFF"/>
              <w:right w:val="single" w:sz="4" w:space="0" w:color="FFFFFF"/>
            </w:tcBorders>
            <w:shd w:val="clear" w:color="000000" w:fill="AF272F"/>
            <w:hideMark/>
          </w:tcPr>
          <w:p w14:paraId="585C3B79" w14:textId="77777777" w:rsidR="00595956" w:rsidRPr="005734B8" w:rsidRDefault="00595956" w:rsidP="000F48B1">
            <w:pPr>
              <w:jc w:val="right"/>
              <w:rPr>
                <w:rFonts w:ascii="Calibri" w:hAnsi="Calibri" w:cs="Calibri"/>
                <w:b/>
                <w:color w:val="FFFFFF"/>
                <w:sz w:val="18"/>
                <w:szCs w:val="18"/>
              </w:rPr>
            </w:pPr>
            <w:r w:rsidRPr="005734B8">
              <w:rPr>
                <w:rFonts w:ascii="Calibri" w:hAnsi="Calibri" w:cs="Calibri"/>
                <w:b/>
                <w:color w:val="FFFFFF"/>
                <w:sz w:val="18"/>
                <w:szCs w:val="18"/>
              </w:rPr>
              <w:t>Notes</w:t>
            </w:r>
          </w:p>
        </w:tc>
        <w:tc>
          <w:tcPr>
            <w:tcW w:w="1136" w:type="dxa"/>
            <w:tcBorders>
              <w:top w:val="nil"/>
              <w:left w:val="nil"/>
              <w:bottom w:val="single" w:sz="4" w:space="0" w:color="FFFFFF"/>
              <w:right w:val="single" w:sz="4" w:space="0" w:color="FFFFFF"/>
            </w:tcBorders>
            <w:shd w:val="clear" w:color="000000" w:fill="AF272F"/>
            <w:vAlign w:val="bottom"/>
            <w:hideMark/>
          </w:tcPr>
          <w:p w14:paraId="656267A6" w14:textId="77777777" w:rsidR="00595956" w:rsidRPr="005734B8" w:rsidRDefault="00595956"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136" w:type="dxa"/>
            <w:tcBorders>
              <w:top w:val="nil"/>
              <w:left w:val="nil"/>
              <w:bottom w:val="single" w:sz="4" w:space="0" w:color="FFFFFF"/>
              <w:right w:val="single" w:sz="4" w:space="0" w:color="FFFFFF"/>
            </w:tcBorders>
            <w:shd w:val="clear" w:color="000000" w:fill="AF272F"/>
            <w:hideMark/>
          </w:tcPr>
          <w:p w14:paraId="0B2F2B37" w14:textId="77777777" w:rsidR="00595956" w:rsidRPr="005734B8" w:rsidRDefault="00595956"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153"/>
      <w:tr w:rsidR="00595956" w:rsidRPr="005734B8" w14:paraId="4B65855F" w14:textId="77777777" w:rsidTr="000F48B1">
        <w:trPr>
          <w:trHeight w:val="255"/>
        </w:trPr>
        <w:tc>
          <w:tcPr>
            <w:tcW w:w="4561" w:type="dxa"/>
            <w:tcBorders>
              <w:top w:val="nil"/>
              <w:left w:val="single" w:sz="4" w:space="0" w:color="FFFFFF"/>
              <w:bottom w:val="single" w:sz="4" w:space="0" w:color="auto"/>
              <w:right w:val="nil"/>
            </w:tcBorders>
            <w:shd w:val="clear" w:color="000000" w:fill="53565A"/>
            <w:vAlign w:val="center"/>
            <w:hideMark/>
          </w:tcPr>
          <w:p w14:paraId="40278912"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Cash flows from operating activities</w:t>
            </w:r>
          </w:p>
        </w:tc>
        <w:tc>
          <w:tcPr>
            <w:tcW w:w="792" w:type="dxa"/>
            <w:tcBorders>
              <w:top w:val="nil"/>
              <w:left w:val="nil"/>
              <w:bottom w:val="single" w:sz="4" w:space="0" w:color="auto"/>
              <w:right w:val="nil"/>
            </w:tcBorders>
            <w:shd w:val="clear" w:color="000000" w:fill="53565A"/>
            <w:vAlign w:val="center"/>
            <w:hideMark/>
          </w:tcPr>
          <w:p w14:paraId="47C23DBF"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 </w:t>
            </w:r>
          </w:p>
        </w:tc>
        <w:tc>
          <w:tcPr>
            <w:tcW w:w="1136" w:type="dxa"/>
            <w:tcBorders>
              <w:top w:val="nil"/>
              <w:left w:val="nil"/>
              <w:bottom w:val="single" w:sz="4" w:space="0" w:color="auto"/>
              <w:right w:val="nil"/>
            </w:tcBorders>
            <w:shd w:val="clear" w:color="000000" w:fill="53565A"/>
            <w:vAlign w:val="center"/>
            <w:hideMark/>
          </w:tcPr>
          <w:p w14:paraId="01C7A9CC"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 </w:t>
            </w:r>
          </w:p>
        </w:tc>
        <w:tc>
          <w:tcPr>
            <w:tcW w:w="1136" w:type="dxa"/>
            <w:tcBorders>
              <w:top w:val="nil"/>
              <w:left w:val="nil"/>
              <w:bottom w:val="single" w:sz="4" w:space="0" w:color="auto"/>
              <w:right w:val="nil"/>
            </w:tcBorders>
            <w:shd w:val="clear" w:color="000000" w:fill="53565A"/>
            <w:vAlign w:val="center"/>
            <w:hideMark/>
          </w:tcPr>
          <w:p w14:paraId="63C9AFAE"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 </w:t>
            </w:r>
          </w:p>
        </w:tc>
      </w:tr>
      <w:tr w:rsidR="00595956" w:rsidRPr="005734B8" w14:paraId="1171E1AF" w14:textId="77777777" w:rsidTr="000F48B1">
        <w:trPr>
          <w:trHeight w:val="255"/>
        </w:trPr>
        <w:tc>
          <w:tcPr>
            <w:tcW w:w="4561" w:type="dxa"/>
            <w:tcBorders>
              <w:top w:val="nil"/>
              <w:left w:val="single" w:sz="4" w:space="0" w:color="FFFFFF"/>
              <w:bottom w:val="single" w:sz="4" w:space="0" w:color="auto"/>
              <w:right w:val="single" w:sz="4" w:space="0" w:color="FFFFFF"/>
            </w:tcBorders>
            <w:shd w:val="clear" w:color="000000" w:fill="D9D9D9"/>
            <w:vAlign w:val="center"/>
            <w:hideMark/>
          </w:tcPr>
          <w:p w14:paraId="10BA7238"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Receipts</w:t>
            </w:r>
          </w:p>
        </w:tc>
        <w:tc>
          <w:tcPr>
            <w:tcW w:w="792" w:type="dxa"/>
            <w:tcBorders>
              <w:top w:val="nil"/>
              <w:left w:val="nil"/>
              <w:bottom w:val="single" w:sz="4" w:space="0" w:color="auto"/>
              <w:right w:val="nil"/>
            </w:tcBorders>
            <w:shd w:val="clear" w:color="000000" w:fill="D9D9D6"/>
            <w:vAlign w:val="center"/>
            <w:hideMark/>
          </w:tcPr>
          <w:p w14:paraId="5BBC869D"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136" w:type="dxa"/>
            <w:tcBorders>
              <w:top w:val="nil"/>
              <w:left w:val="nil"/>
              <w:bottom w:val="single" w:sz="4" w:space="0" w:color="auto"/>
              <w:right w:val="nil"/>
            </w:tcBorders>
            <w:shd w:val="clear" w:color="000000" w:fill="D9D9D6"/>
            <w:vAlign w:val="center"/>
            <w:hideMark/>
          </w:tcPr>
          <w:p w14:paraId="6A851EAF"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136" w:type="dxa"/>
            <w:tcBorders>
              <w:top w:val="nil"/>
              <w:left w:val="nil"/>
              <w:bottom w:val="single" w:sz="4" w:space="0" w:color="auto"/>
              <w:right w:val="nil"/>
            </w:tcBorders>
            <w:shd w:val="clear" w:color="000000" w:fill="D9D9D6"/>
            <w:vAlign w:val="center"/>
            <w:hideMark/>
          </w:tcPr>
          <w:p w14:paraId="0FF6FDC3"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r>
      <w:tr w:rsidR="00595956" w:rsidRPr="005734B8" w14:paraId="545D0C8E" w14:textId="77777777" w:rsidTr="000F48B1">
        <w:trPr>
          <w:trHeight w:val="255"/>
        </w:trPr>
        <w:tc>
          <w:tcPr>
            <w:tcW w:w="4561" w:type="dxa"/>
            <w:tcBorders>
              <w:top w:val="nil"/>
              <w:left w:val="nil"/>
              <w:bottom w:val="single" w:sz="4" w:space="0" w:color="auto"/>
              <w:right w:val="nil"/>
            </w:tcBorders>
            <w:shd w:val="clear" w:color="FFFFFF" w:fill="FFFFFF"/>
            <w:vAlign w:val="center"/>
            <w:hideMark/>
          </w:tcPr>
          <w:p w14:paraId="58EBA0C2"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Receipts from government</w:t>
            </w:r>
          </w:p>
        </w:tc>
        <w:tc>
          <w:tcPr>
            <w:tcW w:w="792" w:type="dxa"/>
            <w:tcBorders>
              <w:top w:val="nil"/>
              <w:left w:val="nil"/>
              <w:bottom w:val="single" w:sz="4" w:space="0" w:color="auto"/>
              <w:right w:val="nil"/>
            </w:tcBorders>
            <w:shd w:val="clear" w:color="FFFFFF" w:fill="FFFFFF"/>
            <w:vAlign w:val="center"/>
            <w:hideMark/>
          </w:tcPr>
          <w:p w14:paraId="6283166E"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 </w:t>
            </w:r>
          </w:p>
        </w:tc>
        <w:tc>
          <w:tcPr>
            <w:tcW w:w="1136" w:type="dxa"/>
            <w:tcBorders>
              <w:top w:val="nil"/>
              <w:left w:val="single" w:sz="4" w:space="0" w:color="FFFFFF"/>
              <w:bottom w:val="single" w:sz="4" w:space="0" w:color="auto"/>
              <w:right w:val="single" w:sz="4" w:space="0" w:color="FFFFFF"/>
            </w:tcBorders>
            <w:shd w:val="clear" w:color="000000" w:fill="D9D9D9"/>
            <w:noWrap/>
            <w:vAlign w:val="center"/>
            <w:hideMark/>
          </w:tcPr>
          <w:p w14:paraId="5A005FA3"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15,725.3 </w:t>
            </w:r>
          </w:p>
        </w:tc>
        <w:tc>
          <w:tcPr>
            <w:tcW w:w="1136" w:type="dxa"/>
            <w:tcBorders>
              <w:top w:val="nil"/>
              <w:left w:val="nil"/>
              <w:bottom w:val="single" w:sz="4" w:space="0" w:color="auto"/>
              <w:right w:val="single" w:sz="4" w:space="0" w:color="FFFFFF"/>
            </w:tcBorders>
            <w:shd w:val="clear" w:color="FFFFFF" w:fill="FFFFFF"/>
            <w:noWrap/>
            <w:vAlign w:val="center"/>
            <w:hideMark/>
          </w:tcPr>
          <w:p w14:paraId="5B61DCB6"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14,843.2 </w:t>
            </w:r>
          </w:p>
        </w:tc>
      </w:tr>
      <w:tr w:rsidR="00595956" w:rsidRPr="005734B8" w14:paraId="65000A12" w14:textId="77777777" w:rsidTr="000F48B1">
        <w:trPr>
          <w:trHeight w:val="255"/>
        </w:trPr>
        <w:tc>
          <w:tcPr>
            <w:tcW w:w="4561" w:type="dxa"/>
            <w:tcBorders>
              <w:top w:val="nil"/>
              <w:left w:val="nil"/>
              <w:bottom w:val="single" w:sz="4" w:space="0" w:color="auto"/>
              <w:right w:val="nil"/>
            </w:tcBorders>
            <w:shd w:val="clear" w:color="FFFFFF" w:fill="FFFFFF"/>
            <w:vAlign w:val="center"/>
            <w:hideMark/>
          </w:tcPr>
          <w:p w14:paraId="10B786A5"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Receipts from other entities</w:t>
            </w:r>
          </w:p>
        </w:tc>
        <w:tc>
          <w:tcPr>
            <w:tcW w:w="792" w:type="dxa"/>
            <w:tcBorders>
              <w:top w:val="nil"/>
              <w:left w:val="nil"/>
              <w:bottom w:val="single" w:sz="4" w:space="0" w:color="auto"/>
              <w:right w:val="nil"/>
            </w:tcBorders>
            <w:shd w:val="clear" w:color="FFFFFF" w:fill="FFFFFF"/>
            <w:vAlign w:val="center"/>
            <w:hideMark/>
          </w:tcPr>
          <w:p w14:paraId="6BB5205C"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 </w:t>
            </w:r>
          </w:p>
        </w:tc>
        <w:tc>
          <w:tcPr>
            <w:tcW w:w="1136" w:type="dxa"/>
            <w:tcBorders>
              <w:top w:val="nil"/>
              <w:left w:val="single" w:sz="4" w:space="0" w:color="FFFFFF"/>
              <w:bottom w:val="single" w:sz="4" w:space="0" w:color="auto"/>
              <w:right w:val="single" w:sz="4" w:space="0" w:color="FFFFFF"/>
            </w:tcBorders>
            <w:shd w:val="clear" w:color="000000" w:fill="D9D9D9"/>
            <w:noWrap/>
            <w:vAlign w:val="center"/>
            <w:hideMark/>
          </w:tcPr>
          <w:p w14:paraId="1EA76103"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950.8 </w:t>
            </w:r>
          </w:p>
        </w:tc>
        <w:tc>
          <w:tcPr>
            <w:tcW w:w="1136" w:type="dxa"/>
            <w:tcBorders>
              <w:top w:val="nil"/>
              <w:left w:val="nil"/>
              <w:bottom w:val="single" w:sz="4" w:space="0" w:color="auto"/>
              <w:right w:val="single" w:sz="4" w:space="0" w:color="FFFFFF"/>
            </w:tcBorders>
            <w:shd w:val="clear" w:color="FFFFFF" w:fill="FFFFFF"/>
            <w:noWrap/>
            <w:vAlign w:val="center"/>
            <w:hideMark/>
          </w:tcPr>
          <w:p w14:paraId="16415FAC"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874.4 </w:t>
            </w:r>
          </w:p>
        </w:tc>
      </w:tr>
      <w:tr w:rsidR="00595956" w:rsidRPr="005734B8" w14:paraId="3F398960" w14:textId="77777777" w:rsidTr="000F48B1">
        <w:trPr>
          <w:trHeight w:val="480"/>
        </w:trPr>
        <w:tc>
          <w:tcPr>
            <w:tcW w:w="4561" w:type="dxa"/>
            <w:tcBorders>
              <w:top w:val="nil"/>
              <w:left w:val="nil"/>
              <w:bottom w:val="single" w:sz="4" w:space="0" w:color="auto"/>
              <w:right w:val="nil"/>
            </w:tcBorders>
            <w:shd w:val="clear" w:color="FFFFFF" w:fill="FFFFFF"/>
            <w:vAlign w:val="center"/>
            <w:hideMark/>
          </w:tcPr>
          <w:p w14:paraId="4D8F4468"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Goods and services tax (GST) recovered from the Australian Tax Office (ATO)</w:t>
            </w:r>
          </w:p>
        </w:tc>
        <w:tc>
          <w:tcPr>
            <w:tcW w:w="792" w:type="dxa"/>
            <w:tcBorders>
              <w:top w:val="nil"/>
              <w:left w:val="nil"/>
              <w:bottom w:val="single" w:sz="4" w:space="0" w:color="auto"/>
              <w:right w:val="nil"/>
            </w:tcBorders>
            <w:shd w:val="clear" w:color="FFFFFF" w:fill="FFFFFF"/>
            <w:vAlign w:val="center"/>
            <w:hideMark/>
          </w:tcPr>
          <w:p w14:paraId="0C402AE4"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 </w:t>
            </w:r>
          </w:p>
        </w:tc>
        <w:tc>
          <w:tcPr>
            <w:tcW w:w="1136" w:type="dxa"/>
            <w:tcBorders>
              <w:top w:val="nil"/>
              <w:left w:val="single" w:sz="4" w:space="0" w:color="FFFFFF"/>
              <w:bottom w:val="single" w:sz="4" w:space="0" w:color="auto"/>
              <w:right w:val="single" w:sz="4" w:space="0" w:color="FFFFFF"/>
            </w:tcBorders>
            <w:shd w:val="clear" w:color="000000" w:fill="D9D9D9"/>
            <w:noWrap/>
            <w:vAlign w:val="center"/>
            <w:hideMark/>
          </w:tcPr>
          <w:p w14:paraId="14BA2FE4"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510.6 </w:t>
            </w:r>
          </w:p>
        </w:tc>
        <w:tc>
          <w:tcPr>
            <w:tcW w:w="1136" w:type="dxa"/>
            <w:tcBorders>
              <w:top w:val="nil"/>
              <w:left w:val="nil"/>
              <w:bottom w:val="single" w:sz="4" w:space="0" w:color="auto"/>
              <w:right w:val="single" w:sz="4" w:space="0" w:color="FFFFFF"/>
            </w:tcBorders>
            <w:shd w:val="clear" w:color="FFFFFF" w:fill="FFFFFF"/>
            <w:noWrap/>
            <w:vAlign w:val="center"/>
            <w:hideMark/>
          </w:tcPr>
          <w:p w14:paraId="45CC071C"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438.8 </w:t>
            </w:r>
          </w:p>
        </w:tc>
      </w:tr>
      <w:tr w:rsidR="00595956" w:rsidRPr="005734B8" w14:paraId="1EE965D0" w14:textId="77777777" w:rsidTr="000F48B1">
        <w:trPr>
          <w:trHeight w:val="270"/>
        </w:trPr>
        <w:tc>
          <w:tcPr>
            <w:tcW w:w="4561" w:type="dxa"/>
            <w:tcBorders>
              <w:top w:val="nil"/>
              <w:left w:val="nil"/>
              <w:bottom w:val="single" w:sz="4" w:space="0" w:color="auto"/>
              <w:right w:val="nil"/>
            </w:tcBorders>
            <w:shd w:val="clear" w:color="FFFFFF" w:fill="FFFFFF"/>
            <w:vAlign w:val="center"/>
            <w:hideMark/>
          </w:tcPr>
          <w:p w14:paraId="1D57F74D"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Interest received</w:t>
            </w:r>
          </w:p>
        </w:tc>
        <w:tc>
          <w:tcPr>
            <w:tcW w:w="792" w:type="dxa"/>
            <w:tcBorders>
              <w:top w:val="nil"/>
              <w:left w:val="nil"/>
              <w:bottom w:val="single" w:sz="4" w:space="0" w:color="auto"/>
              <w:right w:val="nil"/>
            </w:tcBorders>
            <w:shd w:val="clear" w:color="FFFFFF" w:fill="FFFFFF"/>
            <w:vAlign w:val="center"/>
            <w:hideMark/>
          </w:tcPr>
          <w:p w14:paraId="52B70D21"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 </w:t>
            </w:r>
          </w:p>
        </w:tc>
        <w:tc>
          <w:tcPr>
            <w:tcW w:w="1136" w:type="dxa"/>
            <w:tcBorders>
              <w:top w:val="nil"/>
              <w:left w:val="single" w:sz="4" w:space="0" w:color="FFFFFF"/>
              <w:bottom w:val="single" w:sz="4" w:space="0" w:color="auto"/>
              <w:right w:val="single" w:sz="4" w:space="0" w:color="FFFFFF"/>
            </w:tcBorders>
            <w:shd w:val="clear" w:color="000000" w:fill="D9D9D9"/>
            <w:noWrap/>
            <w:vAlign w:val="center"/>
            <w:hideMark/>
          </w:tcPr>
          <w:p w14:paraId="537F81C1"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4.0 </w:t>
            </w:r>
          </w:p>
        </w:tc>
        <w:tc>
          <w:tcPr>
            <w:tcW w:w="1136" w:type="dxa"/>
            <w:tcBorders>
              <w:top w:val="nil"/>
              <w:left w:val="nil"/>
              <w:bottom w:val="single" w:sz="4" w:space="0" w:color="auto"/>
              <w:right w:val="single" w:sz="4" w:space="0" w:color="FFFFFF"/>
            </w:tcBorders>
            <w:shd w:val="clear" w:color="FFFFFF" w:fill="FFFFFF"/>
            <w:noWrap/>
            <w:vAlign w:val="center"/>
            <w:hideMark/>
          </w:tcPr>
          <w:p w14:paraId="5DA1AFFD"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12.5 </w:t>
            </w:r>
          </w:p>
        </w:tc>
      </w:tr>
      <w:tr w:rsidR="00595956" w:rsidRPr="005734B8" w14:paraId="4270809A" w14:textId="77777777" w:rsidTr="000F48B1">
        <w:trPr>
          <w:trHeight w:val="285"/>
        </w:trPr>
        <w:tc>
          <w:tcPr>
            <w:tcW w:w="456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AF39B6D"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Total receipts</w:t>
            </w:r>
          </w:p>
        </w:tc>
        <w:tc>
          <w:tcPr>
            <w:tcW w:w="792" w:type="dxa"/>
            <w:tcBorders>
              <w:top w:val="single" w:sz="12" w:space="0" w:color="auto"/>
              <w:left w:val="nil"/>
              <w:bottom w:val="single" w:sz="12" w:space="0" w:color="auto"/>
              <w:right w:val="single" w:sz="12" w:space="0" w:color="FFFFFF"/>
            </w:tcBorders>
            <w:shd w:val="clear" w:color="FFFFFF" w:fill="FFFFFF"/>
            <w:vAlign w:val="center"/>
            <w:hideMark/>
          </w:tcPr>
          <w:p w14:paraId="6E9E8DA5"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136"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3ACE641"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17,190.7 </w:t>
            </w:r>
          </w:p>
        </w:tc>
        <w:tc>
          <w:tcPr>
            <w:tcW w:w="1136" w:type="dxa"/>
            <w:tcBorders>
              <w:top w:val="single" w:sz="12" w:space="0" w:color="auto"/>
              <w:left w:val="nil"/>
              <w:bottom w:val="single" w:sz="12" w:space="0" w:color="auto"/>
              <w:right w:val="nil"/>
            </w:tcBorders>
            <w:shd w:val="clear" w:color="FFFFFF" w:fill="FFFFFF"/>
            <w:noWrap/>
            <w:vAlign w:val="center"/>
            <w:hideMark/>
          </w:tcPr>
          <w:p w14:paraId="2B0A3A6F"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16,168.9 </w:t>
            </w:r>
          </w:p>
        </w:tc>
      </w:tr>
      <w:tr w:rsidR="00595956" w:rsidRPr="005734B8" w14:paraId="22351BD3" w14:textId="77777777" w:rsidTr="000F48B1">
        <w:trPr>
          <w:trHeight w:val="270"/>
        </w:trPr>
        <w:tc>
          <w:tcPr>
            <w:tcW w:w="4561"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71026A56"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Payments</w:t>
            </w:r>
          </w:p>
        </w:tc>
        <w:tc>
          <w:tcPr>
            <w:tcW w:w="792" w:type="dxa"/>
            <w:tcBorders>
              <w:top w:val="single" w:sz="4" w:space="0" w:color="auto"/>
              <w:left w:val="nil"/>
              <w:bottom w:val="single" w:sz="4" w:space="0" w:color="auto"/>
              <w:right w:val="nil"/>
            </w:tcBorders>
            <w:shd w:val="clear" w:color="000000" w:fill="D9D9D6"/>
            <w:vAlign w:val="center"/>
            <w:hideMark/>
          </w:tcPr>
          <w:p w14:paraId="04B64FA5"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136" w:type="dxa"/>
            <w:tcBorders>
              <w:top w:val="single" w:sz="4" w:space="0" w:color="auto"/>
              <w:left w:val="nil"/>
              <w:bottom w:val="single" w:sz="4" w:space="0" w:color="auto"/>
              <w:right w:val="nil"/>
            </w:tcBorders>
            <w:shd w:val="clear" w:color="000000" w:fill="D9D9D6"/>
            <w:vAlign w:val="center"/>
            <w:hideMark/>
          </w:tcPr>
          <w:p w14:paraId="611A1DB8"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136" w:type="dxa"/>
            <w:tcBorders>
              <w:top w:val="single" w:sz="4" w:space="0" w:color="auto"/>
              <w:left w:val="nil"/>
              <w:bottom w:val="single" w:sz="4" w:space="0" w:color="auto"/>
              <w:right w:val="nil"/>
            </w:tcBorders>
            <w:shd w:val="clear" w:color="000000" w:fill="D9D9D6"/>
            <w:vAlign w:val="center"/>
            <w:hideMark/>
          </w:tcPr>
          <w:p w14:paraId="41F2FF33"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r>
      <w:tr w:rsidR="00595956" w:rsidRPr="005734B8" w14:paraId="2B618A07" w14:textId="77777777" w:rsidTr="000F48B1">
        <w:trPr>
          <w:trHeight w:val="255"/>
        </w:trPr>
        <w:tc>
          <w:tcPr>
            <w:tcW w:w="4561" w:type="dxa"/>
            <w:tcBorders>
              <w:top w:val="nil"/>
              <w:left w:val="nil"/>
              <w:bottom w:val="single" w:sz="4" w:space="0" w:color="auto"/>
              <w:right w:val="nil"/>
            </w:tcBorders>
            <w:shd w:val="clear" w:color="FFFFFF" w:fill="FFFFFF"/>
            <w:vAlign w:val="center"/>
            <w:hideMark/>
          </w:tcPr>
          <w:p w14:paraId="6A792E63"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Payments of grants and other transfers</w:t>
            </w:r>
          </w:p>
        </w:tc>
        <w:tc>
          <w:tcPr>
            <w:tcW w:w="792" w:type="dxa"/>
            <w:tcBorders>
              <w:top w:val="nil"/>
              <w:left w:val="nil"/>
              <w:bottom w:val="single" w:sz="4" w:space="0" w:color="auto"/>
              <w:right w:val="nil"/>
            </w:tcBorders>
            <w:shd w:val="clear" w:color="FFFFFF" w:fill="FFFFFF"/>
            <w:vAlign w:val="center"/>
            <w:hideMark/>
          </w:tcPr>
          <w:p w14:paraId="45F589C5"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 </w:t>
            </w:r>
          </w:p>
        </w:tc>
        <w:tc>
          <w:tcPr>
            <w:tcW w:w="1136" w:type="dxa"/>
            <w:tcBorders>
              <w:top w:val="nil"/>
              <w:left w:val="single" w:sz="4" w:space="0" w:color="FFFFFF"/>
              <w:bottom w:val="single" w:sz="4" w:space="0" w:color="auto"/>
              <w:right w:val="single" w:sz="4" w:space="0" w:color="FFFFFF"/>
            </w:tcBorders>
            <w:shd w:val="clear" w:color="000000" w:fill="D9D9D9"/>
            <w:noWrap/>
            <w:vAlign w:val="center"/>
            <w:hideMark/>
          </w:tcPr>
          <w:p w14:paraId="77B3236E"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(2,925.2) </w:t>
            </w:r>
          </w:p>
        </w:tc>
        <w:tc>
          <w:tcPr>
            <w:tcW w:w="1136" w:type="dxa"/>
            <w:tcBorders>
              <w:top w:val="nil"/>
              <w:left w:val="nil"/>
              <w:bottom w:val="single" w:sz="4" w:space="0" w:color="auto"/>
              <w:right w:val="single" w:sz="4" w:space="0" w:color="FFFFFF"/>
            </w:tcBorders>
            <w:shd w:val="clear" w:color="FFFFFF" w:fill="FFFFFF"/>
            <w:noWrap/>
            <w:vAlign w:val="center"/>
            <w:hideMark/>
          </w:tcPr>
          <w:p w14:paraId="2E631D23"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(2,224.1) </w:t>
            </w:r>
          </w:p>
        </w:tc>
      </w:tr>
      <w:tr w:rsidR="00595956" w:rsidRPr="005734B8" w14:paraId="4878BCD8" w14:textId="77777777" w:rsidTr="000F48B1">
        <w:trPr>
          <w:trHeight w:val="255"/>
        </w:trPr>
        <w:tc>
          <w:tcPr>
            <w:tcW w:w="4561" w:type="dxa"/>
            <w:tcBorders>
              <w:top w:val="nil"/>
              <w:left w:val="nil"/>
              <w:bottom w:val="single" w:sz="4" w:space="0" w:color="auto"/>
              <w:right w:val="nil"/>
            </w:tcBorders>
            <w:shd w:val="clear" w:color="FFFFFF" w:fill="FFFFFF"/>
            <w:vAlign w:val="center"/>
            <w:hideMark/>
          </w:tcPr>
          <w:p w14:paraId="57F8FEDD"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Payments to suppliers and employees</w:t>
            </w:r>
          </w:p>
        </w:tc>
        <w:tc>
          <w:tcPr>
            <w:tcW w:w="792" w:type="dxa"/>
            <w:tcBorders>
              <w:top w:val="nil"/>
              <w:left w:val="nil"/>
              <w:bottom w:val="single" w:sz="4" w:space="0" w:color="auto"/>
              <w:right w:val="nil"/>
            </w:tcBorders>
            <w:shd w:val="clear" w:color="FFFFFF" w:fill="FFFFFF"/>
            <w:vAlign w:val="center"/>
            <w:hideMark/>
          </w:tcPr>
          <w:p w14:paraId="065659B4"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 </w:t>
            </w:r>
          </w:p>
        </w:tc>
        <w:tc>
          <w:tcPr>
            <w:tcW w:w="1136" w:type="dxa"/>
            <w:tcBorders>
              <w:top w:val="nil"/>
              <w:left w:val="single" w:sz="4" w:space="0" w:color="FFFFFF"/>
              <w:bottom w:val="single" w:sz="4" w:space="0" w:color="auto"/>
              <w:right w:val="single" w:sz="4" w:space="0" w:color="FFFFFF"/>
            </w:tcBorders>
            <w:shd w:val="clear" w:color="000000" w:fill="D9D9D9"/>
            <w:noWrap/>
            <w:vAlign w:val="center"/>
            <w:hideMark/>
          </w:tcPr>
          <w:p w14:paraId="39BBF3B5"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(11,583.1) </w:t>
            </w:r>
          </w:p>
        </w:tc>
        <w:tc>
          <w:tcPr>
            <w:tcW w:w="1136" w:type="dxa"/>
            <w:tcBorders>
              <w:top w:val="nil"/>
              <w:left w:val="nil"/>
              <w:bottom w:val="single" w:sz="4" w:space="0" w:color="auto"/>
              <w:right w:val="single" w:sz="4" w:space="0" w:color="FFFFFF"/>
            </w:tcBorders>
            <w:shd w:val="clear" w:color="FFFFFF" w:fill="FFFFFF"/>
            <w:noWrap/>
            <w:vAlign w:val="center"/>
            <w:hideMark/>
          </w:tcPr>
          <w:p w14:paraId="7A812BC2"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(10,672.3) </w:t>
            </w:r>
          </w:p>
        </w:tc>
      </w:tr>
      <w:tr w:rsidR="00595956" w:rsidRPr="005734B8" w14:paraId="2D600C06" w14:textId="77777777" w:rsidTr="000F48B1">
        <w:trPr>
          <w:trHeight w:val="255"/>
        </w:trPr>
        <w:tc>
          <w:tcPr>
            <w:tcW w:w="4561" w:type="dxa"/>
            <w:tcBorders>
              <w:top w:val="nil"/>
              <w:left w:val="nil"/>
              <w:bottom w:val="single" w:sz="4" w:space="0" w:color="auto"/>
              <w:right w:val="nil"/>
            </w:tcBorders>
            <w:shd w:val="clear" w:color="FFFFFF" w:fill="FFFFFF"/>
            <w:vAlign w:val="center"/>
            <w:hideMark/>
          </w:tcPr>
          <w:p w14:paraId="5AF17E9D"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GST paid to the ATO</w:t>
            </w:r>
          </w:p>
        </w:tc>
        <w:tc>
          <w:tcPr>
            <w:tcW w:w="792" w:type="dxa"/>
            <w:tcBorders>
              <w:top w:val="nil"/>
              <w:left w:val="nil"/>
              <w:bottom w:val="single" w:sz="4" w:space="0" w:color="auto"/>
              <w:right w:val="nil"/>
            </w:tcBorders>
            <w:shd w:val="clear" w:color="FFFFFF" w:fill="FFFFFF"/>
            <w:vAlign w:val="center"/>
            <w:hideMark/>
          </w:tcPr>
          <w:p w14:paraId="7D932632"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 </w:t>
            </w:r>
          </w:p>
        </w:tc>
        <w:tc>
          <w:tcPr>
            <w:tcW w:w="1136" w:type="dxa"/>
            <w:tcBorders>
              <w:top w:val="nil"/>
              <w:left w:val="single" w:sz="4" w:space="0" w:color="FFFFFF"/>
              <w:bottom w:val="single" w:sz="4" w:space="0" w:color="auto"/>
              <w:right w:val="single" w:sz="4" w:space="0" w:color="FFFFFF"/>
            </w:tcBorders>
            <w:shd w:val="clear" w:color="000000" w:fill="D9D9D9"/>
            <w:noWrap/>
            <w:vAlign w:val="center"/>
            <w:hideMark/>
          </w:tcPr>
          <w:p w14:paraId="112D5237"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(13.0) </w:t>
            </w:r>
          </w:p>
        </w:tc>
        <w:tc>
          <w:tcPr>
            <w:tcW w:w="1136" w:type="dxa"/>
            <w:tcBorders>
              <w:top w:val="nil"/>
              <w:left w:val="nil"/>
              <w:bottom w:val="single" w:sz="4" w:space="0" w:color="auto"/>
              <w:right w:val="single" w:sz="4" w:space="0" w:color="FFFFFF"/>
            </w:tcBorders>
            <w:shd w:val="clear" w:color="FFFFFF" w:fill="FFFFFF"/>
            <w:noWrap/>
            <w:vAlign w:val="center"/>
            <w:hideMark/>
          </w:tcPr>
          <w:p w14:paraId="12B7B9D0"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(12.1) </w:t>
            </w:r>
          </w:p>
        </w:tc>
      </w:tr>
      <w:tr w:rsidR="00595956" w:rsidRPr="005734B8" w14:paraId="5416C325" w14:textId="77777777" w:rsidTr="000F48B1">
        <w:trPr>
          <w:trHeight w:val="255"/>
        </w:trPr>
        <w:tc>
          <w:tcPr>
            <w:tcW w:w="4561" w:type="dxa"/>
            <w:tcBorders>
              <w:top w:val="nil"/>
              <w:left w:val="nil"/>
              <w:bottom w:val="single" w:sz="4" w:space="0" w:color="auto"/>
              <w:right w:val="nil"/>
            </w:tcBorders>
            <w:shd w:val="clear" w:color="FFFFFF" w:fill="FFFFFF"/>
            <w:vAlign w:val="center"/>
            <w:hideMark/>
          </w:tcPr>
          <w:p w14:paraId="58BA0324"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Capital asset charge payments</w:t>
            </w:r>
          </w:p>
        </w:tc>
        <w:tc>
          <w:tcPr>
            <w:tcW w:w="792" w:type="dxa"/>
            <w:tcBorders>
              <w:top w:val="nil"/>
              <w:left w:val="nil"/>
              <w:bottom w:val="single" w:sz="4" w:space="0" w:color="auto"/>
              <w:right w:val="nil"/>
            </w:tcBorders>
            <w:shd w:val="clear" w:color="FFFFFF" w:fill="FFFFFF"/>
            <w:vAlign w:val="center"/>
            <w:hideMark/>
          </w:tcPr>
          <w:p w14:paraId="7317686C"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 </w:t>
            </w:r>
          </w:p>
        </w:tc>
        <w:tc>
          <w:tcPr>
            <w:tcW w:w="1136" w:type="dxa"/>
            <w:tcBorders>
              <w:top w:val="nil"/>
              <w:left w:val="single" w:sz="4" w:space="0" w:color="FFFFFF"/>
              <w:bottom w:val="single" w:sz="4" w:space="0" w:color="auto"/>
              <w:right w:val="single" w:sz="4" w:space="0" w:color="FFFFFF"/>
            </w:tcBorders>
            <w:shd w:val="clear" w:color="000000" w:fill="D9D9D9"/>
            <w:noWrap/>
            <w:vAlign w:val="center"/>
            <w:hideMark/>
          </w:tcPr>
          <w:p w14:paraId="640DEA19"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(1,996.3) </w:t>
            </w:r>
          </w:p>
        </w:tc>
        <w:tc>
          <w:tcPr>
            <w:tcW w:w="1136" w:type="dxa"/>
            <w:tcBorders>
              <w:top w:val="nil"/>
              <w:left w:val="nil"/>
              <w:bottom w:val="single" w:sz="4" w:space="0" w:color="auto"/>
              <w:right w:val="single" w:sz="4" w:space="0" w:color="FFFFFF"/>
            </w:tcBorders>
            <w:shd w:val="clear" w:color="FFFFFF" w:fill="FFFFFF"/>
            <w:noWrap/>
            <w:vAlign w:val="center"/>
            <w:hideMark/>
          </w:tcPr>
          <w:p w14:paraId="04DAAC75"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(1,963.8) </w:t>
            </w:r>
          </w:p>
        </w:tc>
      </w:tr>
      <w:tr w:rsidR="00595956" w:rsidRPr="005734B8" w14:paraId="50A26D4E" w14:textId="77777777" w:rsidTr="000F48B1">
        <w:trPr>
          <w:trHeight w:val="255"/>
        </w:trPr>
        <w:tc>
          <w:tcPr>
            <w:tcW w:w="4561" w:type="dxa"/>
            <w:tcBorders>
              <w:top w:val="nil"/>
              <w:left w:val="nil"/>
              <w:bottom w:val="single" w:sz="4" w:space="0" w:color="auto"/>
              <w:right w:val="nil"/>
            </w:tcBorders>
            <w:shd w:val="clear" w:color="FFFFFF" w:fill="FFFFFF"/>
            <w:vAlign w:val="center"/>
            <w:hideMark/>
          </w:tcPr>
          <w:p w14:paraId="08493697"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Short term, low value and variable lease payments</w:t>
            </w:r>
          </w:p>
        </w:tc>
        <w:tc>
          <w:tcPr>
            <w:tcW w:w="792" w:type="dxa"/>
            <w:tcBorders>
              <w:top w:val="nil"/>
              <w:left w:val="nil"/>
              <w:bottom w:val="single" w:sz="4" w:space="0" w:color="auto"/>
              <w:right w:val="nil"/>
            </w:tcBorders>
            <w:shd w:val="clear" w:color="FFFFFF" w:fill="FFFFFF"/>
            <w:vAlign w:val="center"/>
            <w:hideMark/>
          </w:tcPr>
          <w:p w14:paraId="7BBFF1A7"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 </w:t>
            </w:r>
          </w:p>
        </w:tc>
        <w:tc>
          <w:tcPr>
            <w:tcW w:w="1136" w:type="dxa"/>
            <w:tcBorders>
              <w:top w:val="nil"/>
              <w:left w:val="single" w:sz="4" w:space="0" w:color="FFFFFF"/>
              <w:bottom w:val="single" w:sz="4" w:space="0" w:color="auto"/>
              <w:right w:val="single" w:sz="4" w:space="0" w:color="FFFFFF"/>
            </w:tcBorders>
            <w:shd w:val="clear" w:color="000000" w:fill="D9D9D9"/>
            <w:noWrap/>
            <w:vAlign w:val="center"/>
            <w:hideMark/>
          </w:tcPr>
          <w:p w14:paraId="0DA699B8"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(43.8) </w:t>
            </w:r>
          </w:p>
        </w:tc>
        <w:tc>
          <w:tcPr>
            <w:tcW w:w="1136" w:type="dxa"/>
            <w:tcBorders>
              <w:top w:val="nil"/>
              <w:left w:val="nil"/>
              <w:bottom w:val="single" w:sz="4" w:space="0" w:color="auto"/>
              <w:right w:val="single" w:sz="4" w:space="0" w:color="FFFFFF"/>
            </w:tcBorders>
            <w:shd w:val="clear" w:color="FFFFFF" w:fill="FFFFFF"/>
            <w:noWrap/>
            <w:vAlign w:val="center"/>
            <w:hideMark/>
          </w:tcPr>
          <w:p w14:paraId="4B63D9AC"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(46.3) </w:t>
            </w:r>
          </w:p>
        </w:tc>
      </w:tr>
      <w:tr w:rsidR="00595956" w:rsidRPr="005734B8" w14:paraId="640A0827" w14:textId="77777777" w:rsidTr="000F48B1">
        <w:trPr>
          <w:trHeight w:val="270"/>
        </w:trPr>
        <w:tc>
          <w:tcPr>
            <w:tcW w:w="4561" w:type="dxa"/>
            <w:tcBorders>
              <w:top w:val="nil"/>
              <w:left w:val="nil"/>
              <w:bottom w:val="single" w:sz="4" w:space="0" w:color="auto"/>
              <w:right w:val="nil"/>
            </w:tcBorders>
            <w:shd w:val="clear" w:color="FFFFFF" w:fill="FFFFFF"/>
            <w:vAlign w:val="center"/>
            <w:hideMark/>
          </w:tcPr>
          <w:p w14:paraId="024830AB"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Interest and other costs of finance paid</w:t>
            </w:r>
          </w:p>
        </w:tc>
        <w:tc>
          <w:tcPr>
            <w:tcW w:w="792" w:type="dxa"/>
            <w:tcBorders>
              <w:top w:val="nil"/>
              <w:left w:val="nil"/>
              <w:bottom w:val="single" w:sz="4" w:space="0" w:color="auto"/>
              <w:right w:val="nil"/>
            </w:tcBorders>
            <w:shd w:val="clear" w:color="FFFFFF" w:fill="FFFFFF"/>
            <w:vAlign w:val="center"/>
            <w:hideMark/>
          </w:tcPr>
          <w:p w14:paraId="267FAFBE"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 </w:t>
            </w:r>
          </w:p>
        </w:tc>
        <w:tc>
          <w:tcPr>
            <w:tcW w:w="1136" w:type="dxa"/>
            <w:tcBorders>
              <w:top w:val="nil"/>
              <w:left w:val="single" w:sz="4" w:space="0" w:color="FFFFFF"/>
              <w:bottom w:val="single" w:sz="4" w:space="0" w:color="auto"/>
              <w:right w:val="single" w:sz="4" w:space="0" w:color="FFFFFF"/>
            </w:tcBorders>
            <w:shd w:val="clear" w:color="000000" w:fill="D9D9D9"/>
            <w:noWrap/>
            <w:vAlign w:val="center"/>
            <w:hideMark/>
          </w:tcPr>
          <w:p w14:paraId="0B85D888"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(23.6) </w:t>
            </w:r>
          </w:p>
        </w:tc>
        <w:tc>
          <w:tcPr>
            <w:tcW w:w="1136" w:type="dxa"/>
            <w:tcBorders>
              <w:top w:val="nil"/>
              <w:left w:val="nil"/>
              <w:bottom w:val="single" w:sz="4" w:space="0" w:color="auto"/>
              <w:right w:val="single" w:sz="4" w:space="0" w:color="FFFFFF"/>
            </w:tcBorders>
            <w:shd w:val="clear" w:color="FFFFFF" w:fill="FFFFFF"/>
            <w:noWrap/>
            <w:vAlign w:val="center"/>
            <w:hideMark/>
          </w:tcPr>
          <w:p w14:paraId="28D08EFB"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(30.0) </w:t>
            </w:r>
          </w:p>
        </w:tc>
      </w:tr>
      <w:tr w:rsidR="00595956" w:rsidRPr="005734B8" w14:paraId="5A576EA4" w14:textId="77777777" w:rsidTr="000F48B1">
        <w:trPr>
          <w:trHeight w:val="285"/>
        </w:trPr>
        <w:tc>
          <w:tcPr>
            <w:tcW w:w="456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FE79941"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Total payments</w:t>
            </w:r>
          </w:p>
        </w:tc>
        <w:tc>
          <w:tcPr>
            <w:tcW w:w="792" w:type="dxa"/>
            <w:tcBorders>
              <w:top w:val="single" w:sz="12" w:space="0" w:color="auto"/>
              <w:left w:val="nil"/>
              <w:bottom w:val="single" w:sz="12" w:space="0" w:color="auto"/>
              <w:right w:val="single" w:sz="12" w:space="0" w:color="FFFFFF"/>
            </w:tcBorders>
            <w:shd w:val="clear" w:color="FFFFFF" w:fill="FFFFFF"/>
            <w:vAlign w:val="center"/>
            <w:hideMark/>
          </w:tcPr>
          <w:p w14:paraId="22EF51B2"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136"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21DCF89"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(16,585.0) </w:t>
            </w:r>
          </w:p>
        </w:tc>
        <w:tc>
          <w:tcPr>
            <w:tcW w:w="1136" w:type="dxa"/>
            <w:tcBorders>
              <w:top w:val="single" w:sz="12" w:space="0" w:color="auto"/>
              <w:left w:val="nil"/>
              <w:bottom w:val="single" w:sz="12" w:space="0" w:color="auto"/>
              <w:right w:val="nil"/>
            </w:tcBorders>
            <w:shd w:val="clear" w:color="FFFFFF" w:fill="FFFFFF"/>
            <w:noWrap/>
            <w:vAlign w:val="center"/>
            <w:hideMark/>
          </w:tcPr>
          <w:p w14:paraId="5CAFAB9C"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(14,948.6) </w:t>
            </w:r>
          </w:p>
        </w:tc>
      </w:tr>
      <w:tr w:rsidR="00595956" w:rsidRPr="005734B8" w14:paraId="00A5BAE7" w14:textId="77777777" w:rsidTr="000F48B1">
        <w:trPr>
          <w:trHeight w:val="285"/>
        </w:trPr>
        <w:tc>
          <w:tcPr>
            <w:tcW w:w="4561" w:type="dxa"/>
            <w:tcBorders>
              <w:top w:val="nil"/>
              <w:left w:val="single" w:sz="12" w:space="0" w:color="FFFFFF"/>
              <w:bottom w:val="single" w:sz="12" w:space="0" w:color="auto"/>
              <w:right w:val="single" w:sz="12" w:space="0" w:color="FFFFFF"/>
            </w:tcBorders>
            <w:shd w:val="clear" w:color="FFFFFF" w:fill="FFFFFF"/>
            <w:vAlign w:val="center"/>
            <w:hideMark/>
          </w:tcPr>
          <w:p w14:paraId="673C63CA"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Net cash flows from/(used in) operating activities</w:t>
            </w:r>
          </w:p>
        </w:tc>
        <w:tc>
          <w:tcPr>
            <w:tcW w:w="792" w:type="dxa"/>
            <w:tcBorders>
              <w:top w:val="single" w:sz="12" w:space="0" w:color="auto"/>
              <w:left w:val="nil"/>
              <w:bottom w:val="single" w:sz="12" w:space="0" w:color="auto"/>
              <w:right w:val="nil"/>
            </w:tcBorders>
            <w:shd w:val="clear" w:color="FFFFFF" w:fill="FFFFFF"/>
            <w:noWrap/>
            <w:vAlign w:val="center"/>
            <w:hideMark/>
          </w:tcPr>
          <w:p w14:paraId="12CD30E6"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7.3.1</w:t>
            </w:r>
          </w:p>
        </w:tc>
        <w:tc>
          <w:tcPr>
            <w:tcW w:w="1136" w:type="dxa"/>
            <w:tcBorders>
              <w:top w:val="nil"/>
              <w:left w:val="single" w:sz="4" w:space="0" w:color="FFFFFF"/>
              <w:bottom w:val="single" w:sz="12" w:space="0" w:color="auto"/>
              <w:right w:val="single" w:sz="4" w:space="0" w:color="FFFFFF"/>
            </w:tcBorders>
            <w:shd w:val="clear" w:color="000000" w:fill="D9D9D9"/>
            <w:noWrap/>
            <w:vAlign w:val="center"/>
            <w:hideMark/>
          </w:tcPr>
          <w:p w14:paraId="64D9AC56"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605.7 </w:t>
            </w:r>
          </w:p>
        </w:tc>
        <w:tc>
          <w:tcPr>
            <w:tcW w:w="1136" w:type="dxa"/>
            <w:tcBorders>
              <w:top w:val="nil"/>
              <w:left w:val="nil"/>
              <w:bottom w:val="single" w:sz="12" w:space="0" w:color="auto"/>
              <w:right w:val="nil"/>
            </w:tcBorders>
            <w:shd w:val="clear" w:color="FFFFFF" w:fill="FFFFFF"/>
            <w:noWrap/>
            <w:vAlign w:val="center"/>
            <w:hideMark/>
          </w:tcPr>
          <w:p w14:paraId="0DB555B5"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1,220.3 </w:t>
            </w:r>
          </w:p>
        </w:tc>
      </w:tr>
      <w:tr w:rsidR="00595956" w:rsidRPr="005734B8" w14:paraId="24221977" w14:textId="77777777" w:rsidTr="000F48B1">
        <w:trPr>
          <w:trHeight w:val="255"/>
        </w:trPr>
        <w:tc>
          <w:tcPr>
            <w:tcW w:w="4561" w:type="dxa"/>
            <w:tcBorders>
              <w:top w:val="nil"/>
              <w:left w:val="single" w:sz="4" w:space="0" w:color="FFFFFF"/>
              <w:bottom w:val="single" w:sz="4" w:space="0" w:color="auto"/>
              <w:right w:val="nil"/>
            </w:tcBorders>
            <w:shd w:val="clear" w:color="000000" w:fill="53565A"/>
            <w:vAlign w:val="center"/>
            <w:hideMark/>
          </w:tcPr>
          <w:p w14:paraId="70FFE198"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Cash flows from investing activities</w:t>
            </w:r>
          </w:p>
        </w:tc>
        <w:tc>
          <w:tcPr>
            <w:tcW w:w="792" w:type="dxa"/>
            <w:tcBorders>
              <w:top w:val="nil"/>
              <w:left w:val="nil"/>
              <w:bottom w:val="single" w:sz="4" w:space="0" w:color="auto"/>
              <w:right w:val="nil"/>
            </w:tcBorders>
            <w:shd w:val="clear" w:color="000000" w:fill="53565A"/>
            <w:vAlign w:val="center"/>
            <w:hideMark/>
          </w:tcPr>
          <w:p w14:paraId="237E6E78"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 </w:t>
            </w:r>
          </w:p>
        </w:tc>
        <w:tc>
          <w:tcPr>
            <w:tcW w:w="1136" w:type="dxa"/>
            <w:tcBorders>
              <w:top w:val="nil"/>
              <w:left w:val="nil"/>
              <w:bottom w:val="single" w:sz="4" w:space="0" w:color="auto"/>
              <w:right w:val="nil"/>
            </w:tcBorders>
            <w:shd w:val="clear" w:color="000000" w:fill="53565A"/>
            <w:vAlign w:val="center"/>
            <w:hideMark/>
          </w:tcPr>
          <w:p w14:paraId="4460C656"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 </w:t>
            </w:r>
          </w:p>
        </w:tc>
        <w:tc>
          <w:tcPr>
            <w:tcW w:w="1136" w:type="dxa"/>
            <w:tcBorders>
              <w:top w:val="nil"/>
              <w:left w:val="nil"/>
              <w:bottom w:val="single" w:sz="4" w:space="0" w:color="auto"/>
              <w:right w:val="nil"/>
            </w:tcBorders>
            <w:shd w:val="clear" w:color="000000" w:fill="53565A"/>
            <w:vAlign w:val="center"/>
            <w:hideMark/>
          </w:tcPr>
          <w:p w14:paraId="4FA5BBCA"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 </w:t>
            </w:r>
          </w:p>
        </w:tc>
      </w:tr>
      <w:tr w:rsidR="00595956" w:rsidRPr="005734B8" w14:paraId="62FE2FD0" w14:textId="77777777" w:rsidTr="000F48B1">
        <w:trPr>
          <w:trHeight w:val="255"/>
        </w:trPr>
        <w:tc>
          <w:tcPr>
            <w:tcW w:w="4561" w:type="dxa"/>
            <w:tcBorders>
              <w:top w:val="nil"/>
              <w:left w:val="nil"/>
              <w:bottom w:val="single" w:sz="4" w:space="0" w:color="auto"/>
              <w:right w:val="nil"/>
            </w:tcBorders>
            <w:shd w:val="clear" w:color="FFFFFF" w:fill="FFFFFF"/>
            <w:vAlign w:val="center"/>
            <w:hideMark/>
          </w:tcPr>
          <w:p w14:paraId="4B379EFB"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Purchases of non-financial assets</w:t>
            </w:r>
          </w:p>
        </w:tc>
        <w:tc>
          <w:tcPr>
            <w:tcW w:w="792" w:type="dxa"/>
            <w:tcBorders>
              <w:top w:val="nil"/>
              <w:left w:val="nil"/>
              <w:bottom w:val="single" w:sz="4" w:space="0" w:color="auto"/>
              <w:right w:val="nil"/>
            </w:tcBorders>
            <w:shd w:val="clear" w:color="FFFFFF" w:fill="FFFFFF"/>
            <w:vAlign w:val="center"/>
            <w:hideMark/>
          </w:tcPr>
          <w:p w14:paraId="2FDAD83B"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 </w:t>
            </w:r>
          </w:p>
        </w:tc>
        <w:tc>
          <w:tcPr>
            <w:tcW w:w="1136" w:type="dxa"/>
            <w:tcBorders>
              <w:top w:val="nil"/>
              <w:left w:val="single" w:sz="4" w:space="0" w:color="FFFFFF"/>
              <w:bottom w:val="single" w:sz="4" w:space="0" w:color="auto"/>
              <w:right w:val="single" w:sz="4" w:space="0" w:color="FFFFFF"/>
            </w:tcBorders>
            <w:shd w:val="clear" w:color="000000" w:fill="D9D9D9"/>
            <w:noWrap/>
            <w:vAlign w:val="center"/>
            <w:hideMark/>
          </w:tcPr>
          <w:p w14:paraId="79A60920"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(1,574.1) </w:t>
            </w:r>
          </w:p>
        </w:tc>
        <w:tc>
          <w:tcPr>
            <w:tcW w:w="1136" w:type="dxa"/>
            <w:tcBorders>
              <w:top w:val="nil"/>
              <w:left w:val="nil"/>
              <w:bottom w:val="single" w:sz="4" w:space="0" w:color="auto"/>
              <w:right w:val="single" w:sz="4" w:space="0" w:color="FFFFFF"/>
            </w:tcBorders>
            <w:shd w:val="clear" w:color="FFFFFF" w:fill="FFFFFF"/>
            <w:noWrap/>
            <w:vAlign w:val="center"/>
            <w:hideMark/>
          </w:tcPr>
          <w:p w14:paraId="71B90B94"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(1,410.8) </w:t>
            </w:r>
          </w:p>
        </w:tc>
      </w:tr>
      <w:tr w:rsidR="00595956" w:rsidRPr="005734B8" w14:paraId="7A135C5B" w14:textId="77777777" w:rsidTr="000F48B1">
        <w:trPr>
          <w:trHeight w:val="255"/>
        </w:trPr>
        <w:tc>
          <w:tcPr>
            <w:tcW w:w="4561" w:type="dxa"/>
            <w:tcBorders>
              <w:top w:val="nil"/>
              <w:left w:val="nil"/>
              <w:bottom w:val="single" w:sz="4" w:space="0" w:color="auto"/>
              <w:right w:val="nil"/>
            </w:tcBorders>
            <w:shd w:val="clear" w:color="FFFFFF" w:fill="FFFFFF"/>
            <w:vAlign w:val="center"/>
            <w:hideMark/>
          </w:tcPr>
          <w:p w14:paraId="4C7D32ED"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Proceeds from investments</w:t>
            </w:r>
          </w:p>
        </w:tc>
        <w:tc>
          <w:tcPr>
            <w:tcW w:w="792" w:type="dxa"/>
            <w:tcBorders>
              <w:top w:val="nil"/>
              <w:left w:val="nil"/>
              <w:bottom w:val="single" w:sz="4" w:space="0" w:color="auto"/>
              <w:right w:val="nil"/>
            </w:tcBorders>
            <w:shd w:val="clear" w:color="FFFFFF" w:fill="FFFFFF"/>
            <w:vAlign w:val="center"/>
            <w:hideMark/>
          </w:tcPr>
          <w:p w14:paraId="7A178B4E"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 </w:t>
            </w:r>
          </w:p>
        </w:tc>
        <w:tc>
          <w:tcPr>
            <w:tcW w:w="1136" w:type="dxa"/>
            <w:tcBorders>
              <w:top w:val="nil"/>
              <w:left w:val="single" w:sz="4" w:space="0" w:color="FFFFFF"/>
              <w:bottom w:val="single" w:sz="4" w:space="0" w:color="auto"/>
              <w:right w:val="single" w:sz="4" w:space="0" w:color="FFFFFF"/>
            </w:tcBorders>
            <w:shd w:val="clear" w:color="000000" w:fill="D9D9D9"/>
            <w:noWrap/>
            <w:vAlign w:val="center"/>
            <w:hideMark/>
          </w:tcPr>
          <w:p w14:paraId="74482E09"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2.8 </w:t>
            </w:r>
          </w:p>
        </w:tc>
        <w:tc>
          <w:tcPr>
            <w:tcW w:w="1136" w:type="dxa"/>
            <w:tcBorders>
              <w:top w:val="nil"/>
              <w:left w:val="nil"/>
              <w:bottom w:val="single" w:sz="4" w:space="0" w:color="auto"/>
              <w:right w:val="single" w:sz="4" w:space="0" w:color="FFFFFF"/>
            </w:tcBorders>
            <w:shd w:val="clear" w:color="FFFFFF" w:fill="FFFFFF"/>
            <w:noWrap/>
            <w:vAlign w:val="center"/>
            <w:hideMark/>
          </w:tcPr>
          <w:p w14:paraId="101B1578"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13.5 </w:t>
            </w:r>
          </w:p>
        </w:tc>
      </w:tr>
      <w:tr w:rsidR="00595956" w:rsidRPr="005734B8" w14:paraId="7661CABA" w14:textId="77777777" w:rsidTr="000F48B1">
        <w:trPr>
          <w:trHeight w:val="255"/>
        </w:trPr>
        <w:tc>
          <w:tcPr>
            <w:tcW w:w="4561" w:type="dxa"/>
            <w:tcBorders>
              <w:top w:val="nil"/>
              <w:left w:val="nil"/>
              <w:bottom w:val="single" w:sz="4" w:space="0" w:color="auto"/>
              <w:right w:val="nil"/>
            </w:tcBorders>
            <w:shd w:val="clear" w:color="FFFFFF" w:fill="FFFFFF"/>
            <w:vAlign w:val="center"/>
            <w:hideMark/>
          </w:tcPr>
          <w:p w14:paraId="53CAFF00"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Payments for investments</w:t>
            </w:r>
          </w:p>
        </w:tc>
        <w:tc>
          <w:tcPr>
            <w:tcW w:w="792" w:type="dxa"/>
            <w:tcBorders>
              <w:top w:val="nil"/>
              <w:left w:val="nil"/>
              <w:bottom w:val="single" w:sz="4" w:space="0" w:color="auto"/>
              <w:right w:val="nil"/>
            </w:tcBorders>
            <w:shd w:val="clear" w:color="FFFFFF" w:fill="FFFFFF"/>
            <w:vAlign w:val="center"/>
            <w:hideMark/>
          </w:tcPr>
          <w:p w14:paraId="2DA58B3A"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 </w:t>
            </w:r>
          </w:p>
        </w:tc>
        <w:tc>
          <w:tcPr>
            <w:tcW w:w="1136" w:type="dxa"/>
            <w:tcBorders>
              <w:top w:val="nil"/>
              <w:left w:val="single" w:sz="4" w:space="0" w:color="FFFFFF"/>
              <w:bottom w:val="single" w:sz="4" w:space="0" w:color="auto"/>
              <w:right w:val="single" w:sz="4" w:space="0" w:color="FFFFFF"/>
            </w:tcBorders>
            <w:shd w:val="clear" w:color="000000" w:fill="D9D9D9"/>
            <w:noWrap/>
            <w:vAlign w:val="center"/>
            <w:hideMark/>
          </w:tcPr>
          <w:p w14:paraId="42DAFCF2"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(0.4) </w:t>
            </w:r>
          </w:p>
        </w:tc>
        <w:tc>
          <w:tcPr>
            <w:tcW w:w="1136" w:type="dxa"/>
            <w:tcBorders>
              <w:top w:val="nil"/>
              <w:left w:val="nil"/>
              <w:bottom w:val="single" w:sz="4" w:space="0" w:color="auto"/>
              <w:right w:val="single" w:sz="4" w:space="0" w:color="FFFFFF"/>
            </w:tcBorders>
            <w:shd w:val="clear" w:color="FFFFFF" w:fill="FFFFFF"/>
            <w:noWrap/>
            <w:vAlign w:val="center"/>
            <w:hideMark/>
          </w:tcPr>
          <w:p w14:paraId="6626B7B0"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(0.3) </w:t>
            </w:r>
          </w:p>
        </w:tc>
      </w:tr>
      <w:tr w:rsidR="00595956" w:rsidRPr="005734B8" w14:paraId="7D2B5906" w14:textId="77777777" w:rsidTr="000F48B1">
        <w:trPr>
          <w:trHeight w:val="255"/>
        </w:trPr>
        <w:tc>
          <w:tcPr>
            <w:tcW w:w="4561" w:type="dxa"/>
            <w:tcBorders>
              <w:top w:val="nil"/>
              <w:left w:val="nil"/>
              <w:bottom w:val="single" w:sz="4" w:space="0" w:color="auto"/>
              <w:right w:val="nil"/>
            </w:tcBorders>
            <w:shd w:val="clear" w:color="FFFFFF" w:fill="FFFFFF"/>
            <w:vAlign w:val="center"/>
            <w:hideMark/>
          </w:tcPr>
          <w:p w14:paraId="20AB4213"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Sale of plant and equipment</w:t>
            </w:r>
          </w:p>
        </w:tc>
        <w:tc>
          <w:tcPr>
            <w:tcW w:w="792" w:type="dxa"/>
            <w:tcBorders>
              <w:top w:val="nil"/>
              <w:left w:val="nil"/>
              <w:bottom w:val="single" w:sz="4" w:space="0" w:color="auto"/>
              <w:right w:val="nil"/>
            </w:tcBorders>
            <w:shd w:val="clear" w:color="FFFFFF" w:fill="FFFFFF"/>
            <w:vAlign w:val="center"/>
            <w:hideMark/>
          </w:tcPr>
          <w:p w14:paraId="65129A28"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 </w:t>
            </w:r>
          </w:p>
        </w:tc>
        <w:tc>
          <w:tcPr>
            <w:tcW w:w="1136" w:type="dxa"/>
            <w:tcBorders>
              <w:top w:val="nil"/>
              <w:left w:val="single" w:sz="4" w:space="0" w:color="FFFFFF"/>
              <w:bottom w:val="single" w:sz="4" w:space="0" w:color="auto"/>
              <w:right w:val="single" w:sz="4" w:space="0" w:color="FFFFFF"/>
            </w:tcBorders>
            <w:shd w:val="clear" w:color="000000" w:fill="D9D9D9"/>
            <w:noWrap/>
            <w:vAlign w:val="center"/>
            <w:hideMark/>
          </w:tcPr>
          <w:p w14:paraId="15B0E6C5"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3.1 </w:t>
            </w:r>
          </w:p>
        </w:tc>
        <w:tc>
          <w:tcPr>
            <w:tcW w:w="1136" w:type="dxa"/>
            <w:tcBorders>
              <w:top w:val="nil"/>
              <w:left w:val="nil"/>
              <w:bottom w:val="single" w:sz="4" w:space="0" w:color="auto"/>
              <w:right w:val="single" w:sz="4" w:space="0" w:color="FFFFFF"/>
            </w:tcBorders>
            <w:shd w:val="clear" w:color="FFFFFF" w:fill="FFFFFF"/>
            <w:noWrap/>
            <w:vAlign w:val="center"/>
            <w:hideMark/>
          </w:tcPr>
          <w:p w14:paraId="3E91DF2B"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4.9 </w:t>
            </w:r>
          </w:p>
        </w:tc>
      </w:tr>
      <w:tr w:rsidR="00595956" w:rsidRPr="005734B8" w14:paraId="3D57E28E" w14:textId="77777777" w:rsidTr="000F48B1">
        <w:trPr>
          <w:trHeight w:val="255"/>
        </w:trPr>
        <w:tc>
          <w:tcPr>
            <w:tcW w:w="4561" w:type="dxa"/>
            <w:tcBorders>
              <w:top w:val="nil"/>
              <w:left w:val="nil"/>
              <w:bottom w:val="single" w:sz="4" w:space="0" w:color="auto"/>
              <w:right w:val="nil"/>
            </w:tcBorders>
            <w:shd w:val="clear" w:color="FFFFFF" w:fill="FFFFFF"/>
            <w:vAlign w:val="center"/>
            <w:hideMark/>
          </w:tcPr>
          <w:p w14:paraId="0303244F"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Proceeds from loan and advances</w:t>
            </w:r>
          </w:p>
        </w:tc>
        <w:tc>
          <w:tcPr>
            <w:tcW w:w="792" w:type="dxa"/>
            <w:tcBorders>
              <w:top w:val="nil"/>
              <w:left w:val="nil"/>
              <w:bottom w:val="single" w:sz="4" w:space="0" w:color="auto"/>
              <w:right w:val="nil"/>
            </w:tcBorders>
            <w:shd w:val="clear" w:color="FFFFFF" w:fill="FFFFFF"/>
            <w:vAlign w:val="center"/>
            <w:hideMark/>
          </w:tcPr>
          <w:p w14:paraId="2A94982F"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 </w:t>
            </w:r>
          </w:p>
        </w:tc>
        <w:tc>
          <w:tcPr>
            <w:tcW w:w="1136" w:type="dxa"/>
            <w:tcBorders>
              <w:top w:val="nil"/>
              <w:left w:val="single" w:sz="4" w:space="0" w:color="FFFFFF"/>
              <w:bottom w:val="single" w:sz="4" w:space="0" w:color="auto"/>
              <w:right w:val="single" w:sz="4" w:space="0" w:color="FFFFFF"/>
            </w:tcBorders>
            <w:shd w:val="clear" w:color="000000" w:fill="D9D9D9"/>
            <w:noWrap/>
            <w:vAlign w:val="center"/>
            <w:hideMark/>
          </w:tcPr>
          <w:p w14:paraId="219F005F"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0.2 </w:t>
            </w:r>
          </w:p>
        </w:tc>
        <w:tc>
          <w:tcPr>
            <w:tcW w:w="1136" w:type="dxa"/>
            <w:tcBorders>
              <w:top w:val="nil"/>
              <w:left w:val="nil"/>
              <w:bottom w:val="single" w:sz="4" w:space="0" w:color="auto"/>
              <w:right w:val="single" w:sz="4" w:space="0" w:color="FFFFFF"/>
            </w:tcBorders>
            <w:shd w:val="clear" w:color="FFFFFF" w:fill="FFFFFF"/>
            <w:noWrap/>
            <w:vAlign w:val="center"/>
            <w:hideMark/>
          </w:tcPr>
          <w:p w14:paraId="6BDDF6F4"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9.3 </w:t>
            </w:r>
          </w:p>
        </w:tc>
      </w:tr>
      <w:tr w:rsidR="00595956" w:rsidRPr="005734B8" w14:paraId="6BA58177" w14:textId="77777777" w:rsidTr="000F48B1">
        <w:trPr>
          <w:trHeight w:val="255"/>
        </w:trPr>
        <w:tc>
          <w:tcPr>
            <w:tcW w:w="4561" w:type="dxa"/>
            <w:tcBorders>
              <w:top w:val="nil"/>
              <w:left w:val="nil"/>
              <w:bottom w:val="single" w:sz="4" w:space="0" w:color="auto"/>
              <w:right w:val="nil"/>
            </w:tcBorders>
            <w:shd w:val="clear" w:color="FFFFFF" w:fill="FFFFFF"/>
            <w:vAlign w:val="center"/>
            <w:hideMark/>
          </w:tcPr>
          <w:p w14:paraId="6F9B3B6C"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Payment of loan and advances</w:t>
            </w:r>
          </w:p>
        </w:tc>
        <w:tc>
          <w:tcPr>
            <w:tcW w:w="792" w:type="dxa"/>
            <w:tcBorders>
              <w:top w:val="nil"/>
              <w:left w:val="nil"/>
              <w:bottom w:val="single" w:sz="4" w:space="0" w:color="auto"/>
              <w:right w:val="nil"/>
            </w:tcBorders>
            <w:shd w:val="clear" w:color="FFFFFF" w:fill="FFFFFF"/>
            <w:vAlign w:val="center"/>
            <w:hideMark/>
          </w:tcPr>
          <w:p w14:paraId="31439645"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 </w:t>
            </w:r>
          </w:p>
        </w:tc>
        <w:tc>
          <w:tcPr>
            <w:tcW w:w="1136" w:type="dxa"/>
            <w:tcBorders>
              <w:top w:val="nil"/>
              <w:left w:val="single" w:sz="4" w:space="0" w:color="FFFFFF"/>
              <w:bottom w:val="single" w:sz="4" w:space="0" w:color="auto"/>
              <w:right w:val="single" w:sz="4" w:space="0" w:color="FFFFFF"/>
            </w:tcBorders>
            <w:shd w:val="clear" w:color="000000" w:fill="D9D9D9"/>
            <w:noWrap/>
            <w:vAlign w:val="center"/>
            <w:hideMark/>
          </w:tcPr>
          <w:p w14:paraId="08E8AE9C"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(1.5) </w:t>
            </w:r>
          </w:p>
        </w:tc>
        <w:tc>
          <w:tcPr>
            <w:tcW w:w="1136" w:type="dxa"/>
            <w:tcBorders>
              <w:top w:val="nil"/>
              <w:left w:val="nil"/>
              <w:bottom w:val="single" w:sz="4" w:space="0" w:color="auto"/>
              <w:right w:val="single" w:sz="4" w:space="0" w:color="FFFFFF"/>
            </w:tcBorders>
            <w:shd w:val="clear" w:color="FFFFFF" w:fill="FFFFFF"/>
            <w:noWrap/>
            <w:vAlign w:val="center"/>
            <w:hideMark/>
          </w:tcPr>
          <w:p w14:paraId="617F4C78"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(1.3) </w:t>
            </w:r>
          </w:p>
        </w:tc>
      </w:tr>
      <w:tr w:rsidR="00595956" w:rsidRPr="005734B8" w14:paraId="52C72A7C" w14:textId="77777777" w:rsidTr="000F48B1">
        <w:trPr>
          <w:trHeight w:val="270"/>
        </w:trPr>
        <w:tc>
          <w:tcPr>
            <w:tcW w:w="4561" w:type="dxa"/>
            <w:tcBorders>
              <w:top w:val="nil"/>
              <w:left w:val="nil"/>
              <w:bottom w:val="single" w:sz="4" w:space="0" w:color="auto"/>
              <w:right w:val="nil"/>
            </w:tcBorders>
            <w:shd w:val="clear" w:color="FFFFFF" w:fill="FFFFFF"/>
            <w:vAlign w:val="center"/>
            <w:hideMark/>
          </w:tcPr>
          <w:p w14:paraId="4764A552"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Prior year adjustments</w:t>
            </w:r>
          </w:p>
        </w:tc>
        <w:tc>
          <w:tcPr>
            <w:tcW w:w="792" w:type="dxa"/>
            <w:tcBorders>
              <w:top w:val="nil"/>
              <w:left w:val="nil"/>
              <w:bottom w:val="single" w:sz="4" w:space="0" w:color="auto"/>
              <w:right w:val="nil"/>
            </w:tcBorders>
            <w:shd w:val="clear" w:color="FFFFFF" w:fill="FFFFFF"/>
            <w:vAlign w:val="center"/>
            <w:hideMark/>
          </w:tcPr>
          <w:p w14:paraId="7B2714A0"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 </w:t>
            </w:r>
          </w:p>
        </w:tc>
        <w:tc>
          <w:tcPr>
            <w:tcW w:w="1136" w:type="dxa"/>
            <w:tcBorders>
              <w:top w:val="nil"/>
              <w:left w:val="single" w:sz="4" w:space="0" w:color="FFFFFF"/>
              <w:bottom w:val="single" w:sz="4" w:space="0" w:color="auto"/>
              <w:right w:val="single" w:sz="4" w:space="0" w:color="FFFFFF"/>
            </w:tcBorders>
            <w:shd w:val="clear" w:color="000000" w:fill="D9D9D9"/>
            <w:noWrap/>
            <w:vAlign w:val="center"/>
            <w:hideMark/>
          </w:tcPr>
          <w:p w14:paraId="254F3629"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(0.5) </w:t>
            </w:r>
          </w:p>
        </w:tc>
        <w:tc>
          <w:tcPr>
            <w:tcW w:w="1136" w:type="dxa"/>
            <w:tcBorders>
              <w:top w:val="nil"/>
              <w:left w:val="nil"/>
              <w:bottom w:val="single" w:sz="4" w:space="0" w:color="auto"/>
              <w:right w:val="single" w:sz="4" w:space="0" w:color="FFFFFF"/>
            </w:tcBorders>
            <w:shd w:val="clear" w:color="FFFFFF" w:fill="FFFFFF"/>
            <w:noWrap/>
            <w:vAlign w:val="center"/>
            <w:hideMark/>
          </w:tcPr>
          <w:p w14:paraId="6ADD9C6E" w14:textId="2997FE2D" w:rsidR="00595956" w:rsidRPr="005734B8" w:rsidRDefault="00244FF7" w:rsidP="000F48B1">
            <w:pPr>
              <w:jc w:val="right"/>
              <w:rPr>
                <w:rFonts w:ascii="Calibri" w:hAnsi="Calibri" w:cs="Calibri"/>
                <w:sz w:val="18"/>
                <w:szCs w:val="18"/>
              </w:rPr>
            </w:pPr>
            <w:r w:rsidRPr="005734B8">
              <w:rPr>
                <w:rFonts w:ascii="Calibri" w:hAnsi="Calibri" w:cs="Calibri"/>
                <w:sz w:val="18"/>
                <w:szCs w:val="18"/>
              </w:rPr>
              <w:softHyphen/>
            </w:r>
            <w:r w:rsidR="00C03127" w:rsidRPr="005734B8">
              <w:rPr>
                <w:rFonts w:ascii="Calibri" w:hAnsi="Calibri" w:cs="Calibri"/>
                <w:sz w:val="18"/>
                <w:szCs w:val="18"/>
              </w:rPr>
              <w:t>-</w:t>
            </w:r>
            <w:r w:rsidR="00595956" w:rsidRPr="005734B8">
              <w:rPr>
                <w:rFonts w:ascii="Calibri" w:hAnsi="Calibri" w:cs="Calibri"/>
                <w:sz w:val="18"/>
                <w:szCs w:val="18"/>
              </w:rPr>
              <w:t xml:space="preserve"> </w:t>
            </w:r>
          </w:p>
        </w:tc>
      </w:tr>
      <w:tr w:rsidR="00595956" w:rsidRPr="005734B8" w14:paraId="096AD031" w14:textId="77777777" w:rsidTr="000F48B1">
        <w:trPr>
          <w:trHeight w:val="285"/>
        </w:trPr>
        <w:tc>
          <w:tcPr>
            <w:tcW w:w="456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DB5C112"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Net Cash flows from/(used in) investing activities</w:t>
            </w:r>
          </w:p>
        </w:tc>
        <w:tc>
          <w:tcPr>
            <w:tcW w:w="792" w:type="dxa"/>
            <w:tcBorders>
              <w:top w:val="single" w:sz="12" w:space="0" w:color="auto"/>
              <w:left w:val="nil"/>
              <w:bottom w:val="single" w:sz="12" w:space="0" w:color="auto"/>
              <w:right w:val="single" w:sz="12" w:space="0" w:color="FFFFFF"/>
            </w:tcBorders>
            <w:shd w:val="clear" w:color="FFFFFF" w:fill="FFFFFF"/>
            <w:vAlign w:val="center"/>
            <w:hideMark/>
          </w:tcPr>
          <w:p w14:paraId="00BCAA35"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136"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60DA5E7C"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(1,570.4) </w:t>
            </w:r>
          </w:p>
        </w:tc>
        <w:tc>
          <w:tcPr>
            <w:tcW w:w="1136" w:type="dxa"/>
            <w:tcBorders>
              <w:top w:val="single" w:sz="12" w:space="0" w:color="auto"/>
              <w:left w:val="nil"/>
              <w:bottom w:val="single" w:sz="12" w:space="0" w:color="auto"/>
              <w:right w:val="nil"/>
            </w:tcBorders>
            <w:shd w:val="clear" w:color="FFFFFF" w:fill="FFFFFF"/>
            <w:noWrap/>
            <w:vAlign w:val="center"/>
            <w:hideMark/>
          </w:tcPr>
          <w:p w14:paraId="3467B3D5"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(1,384.7) </w:t>
            </w:r>
          </w:p>
        </w:tc>
      </w:tr>
      <w:tr w:rsidR="00595956" w:rsidRPr="005734B8" w14:paraId="066FFEE5" w14:textId="77777777" w:rsidTr="000F48B1">
        <w:trPr>
          <w:trHeight w:val="270"/>
        </w:trPr>
        <w:tc>
          <w:tcPr>
            <w:tcW w:w="4561" w:type="dxa"/>
            <w:tcBorders>
              <w:top w:val="nil"/>
              <w:left w:val="single" w:sz="4" w:space="0" w:color="FFFFFF"/>
              <w:bottom w:val="single" w:sz="4" w:space="0" w:color="auto"/>
              <w:right w:val="nil"/>
            </w:tcBorders>
            <w:shd w:val="clear" w:color="000000" w:fill="53565A"/>
            <w:vAlign w:val="center"/>
            <w:hideMark/>
          </w:tcPr>
          <w:p w14:paraId="61C1AB29"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Cash flows from financing activities</w:t>
            </w:r>
          </w:p>
        </w:tc>
        <w:tc>
          <w:tcPr>
            <w:tcW w:w="792" w:type="dxa"/>
            <w:tcBorders>
              <w:top w:val="nil"/>
              <w:left w:val="nil"/>
              <w:bottom w:val="single" w:sz="4" w:space="0" w:color="auto"/>
              <w:right w:val="nil"/>
            </w:tcBorders>
            <w:shd w:val="clear" w:color="000000" w:fill="53565A"/>
            <w:vAlign w:val="center"/>
            <w:hideMark/>
          </w:tcPr>
          <w:p w14:paraId="5DD0290C"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 </w:t>
            </w:r>
          </w:p>
        </w:tc>
        <w:tc>
          <w:tcPr>
            <w:tcW w:w="1136" w:type="dxa"/>
            <w:tcBorders>
              <w:top w:val="nil"/>
              <w:left w:val="nil"/>
              <w:bottom w:val="single" w:sz="4" w:space="0" w:color="auto"/>
              <w:right w:val="nil"/>
            </w:tcBorders>
            <w:shd w:val="clear" w:color="000000" w:fill="53565A"/>
            <w:vAlign w:val="center"/>
            <w:hideMark/>
          </w:tcPr>
          <w:p w14:paraId="15C39372"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 </w:t>
            </w:r>
          </w:p>
        </w:tc>
        <w:tc>
          <w:tcPr>
            <w:tcW w:w="1136" w:type="dxa"/>
            <w:tcBorders>
              <w:top w:val="nil"/>
              <w:left w:val="nil"/>
              <w:bottom w:val="single" w:sz="4" w:space="0" w:color="auto"/>
              <w:right w:val="nil"/>
            </w:tcBorders>
            <w:shd w:val="clear" w:color="000000" w:fill="53565A"/>
            <w:vAlign w:val="center"/>
            <w:hideMark/>
          </w:tcPr>
          <w:p w14:paraId="0AFC26FA" w14:textId="77777777" w:rsidR="00595956" w:rsidRPr="005734B8" w:rsidRDefault="00595956" w:rsidP="000F48B1">
            <w:pPr>
              <w:rPr>
                <w:rFonts w:ascii="Calibri" w:hAnsi="Calibri" w:cs="Calibri"/>
                <w:b/>
                <w:color w:val="FFFFFF"/>
                <w:sz w:val="18"/>
                <w:szCs w:val="18"/>
              </w:rPr>
            </w:pPr>
            <w:r w:rsidRPr="005734B8">
              <w:rPr>
                <w:rFonts w:ascii="Calibri" w:hAnsi="Calibri" w:cs="Calibri"/>
                <w:b/>
                <w:color w:val="FFFFFF"/>
                <w:sz w:val="18"/>
                <w:szCs w:val="18"/>
              </w:rPr>
              <w:t> </w:t>
            </w:r>
          </w:p>
        </w:tc>
      </w:tr>
      <w:tr w:rsidR="00595956" w:rsidRPr="005734B8" w14:paraId="002BA323" w14:textId="77777777" w:rsidTr="000F48B1">
        <w:trPr>
          <w:trHeight w:val="270"/>
        </w:trPr>
        <w:tc>
          <w:tcPr>
            <w:tcW w:w="4561" w:type="dxa"/>
            <w:tcBorders>
              <w:top w:val="nil"/>
              <w:left w:val="nil"/>
              <w:bottom w:val="single" w:sz="4" w:space="0" w:color="auto"/>
              <w:right w:val="nil"/>
            </w:tcBorders>
            <w:shd w:val="clear" w:color="FFFFFF" w:fill="FFFFFF"/>
            <w:vAlign w:val="center"/>
            <w:hideMark/>
          </w:tcPr>
          <w:p w14:paraId="119241E7"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Owner contributions received from State Government</w:t>
            </w:r>
          </w:p>
        </w:tc>
        <w:tc>
          <w:tcPr>
            <w:tcW w:w="792" w:type="dxa"/>
            <w:tcBorders>
              <w:top w:val="nil"/>
              <w:left w:val="nil"/>
              <w:bottom w:val="single" w:sz="4" w:space="0" w:color="auto"/>
              <w:right w:val="nil"/>
            </w:tcBorders>
            <w:shd w:val="clear" w:color="FFFFFF" w:fill="FFFFFF"/>
            <w:vAlign w:val="center"/>
            <w:hideMark/>
          </w:tcPr>
          <w:p w14:paraId="32F702ED"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 </w:t>
            </w:r>
          </w:p>
        </w:tc>
        <w:tc>
          <w:tcPr>
            <w:tcW w:w="1136" w:type="dxa"/>
            <w:tcBorders>
              <w:top w:val="nil"/>
              <w:left w:val="single" w:sz="4" w:space="0" w:color="FFFFFF"/>
              <w:bottom w:val="single" w:sz="4" w:space="0" w:color="auto"/>
              <w:right w:val="single" w:sz="4" w:space="0" w:color="FFFFFF"/>
            </w:tcBorders>
            <w:shd w:val="clear" w:color="000000" w:fill="D9D9D9"/>
            <w:noWrap/>
            <w:vAlign w:val="center"/>
            <w:hideMark/>
          </w:tcPr>
          <w:p w14:paraId="493806ED"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915.7 </w:t>
            </w:r>
          </w:p>
        </w:tc>
        <w:tc>
          <w:tcPr>
            <w:tcW w:w="1136" w:type="dxa"/>
            <w:tcBorders>
              <w:top w:val="nil"/>
              <w:left w:val="nil"/>
              <w:bottom w:val="single" w:sz="4" w:space="0" w:color="auto"/>
              <w:right w:val="single" w:sz="4" w:space="0" w:color="FFFFFF"/>
            </w:tcBorders>
            <w:shd w:val="clear" w:color="FFFFFF" w:fill="FFFFFF"/>
            <w:noWrap/>
            <w:vAlign w:val="center"/>
            <w:hideMark/>
          </w:tcPr>
          <w:p w14:paraId="056EA138"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503.0 </w:t>
            </w:r>
          </w:p>
        </w:tc>
      </w:tr>
      <w:tr w:rsidR="00595956" w:rsidRPr="005734B8" w14:paraId="38D6498F" w14:textId="77777777" w:rsidTr="000F48B1">
        <w:trPr>
          <w:trHeight w:val="263"/>
        </w:trPr>
        <w:tc>
          <w:tcPr>
            <w:tcW w:w="4561" w:type="dxa"/>
            <w:tcBorders>
              <w:top w:val="nil"/>
              <w:left w:val="nil"/>
              <w:bottom w:val="single" w:sz="4" w:space="0" w:color="auto"/>
              <w:right w:val="nil"/>
            </w:tcBorders>
            <w:shd w:val="clear" w:color="FFFFFF" w:fill="FFFFFF"/>
            <w:vAlign w:val="center"/>
            <w:hideMark/>
          </w:tcPr>
          <w:p w14:paraId="251E1543"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Proceeds from borrowings</w:t>
            </w:r>
          </w:p>
        </w:tc>
        <w:tc>
          <w:tcPr>
            <w:tcW w:w="792" w:type="dxa"/>
            <w:tcBorders>
              <w:top w:val="nil"/>
              <w:left w:val="nil"/>
              <w:bottom w:val="single" w:sz="4" w:space="0" w:color="auto"/>
              <w:right w:val="nil"/>
            </w:tcBorders>
            <w:shd w:val="clear" w:color="FFFFFF" w:fill="FFFFFF"/>
            <w:vAlign w:val="center"/>
            <w:hideMark/>
          </w:tcPr>
          <w:p w14:paraId="0E2270E1"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 </w:t>
            </w:r>
          </w:p>
        </w:tc>
        <w:tc>
          <w:tcPr>
            <w:tcW w:w="1136" w:type="dxa"/>
            <w:tcBorders>
              <w:top w:val="nil"/>
              <w:left w:val="single" w:sz="4" w:space="0" w:color="FFFFFF"/>
              <w:bottom w:val="single" w:sz="4" w:space="0" w:color="auto"/>
              <w:right w:val="single" w:sz="4" w:space="0" w:color="FFFFFF"/>
            </w:tcBorders>
            <w:shd w:val="clear" w:color="000000" w:fill="D9D9D9"/>
            <w:noWrap/>
            <w:vAlign w:val="center"/>
            <w:hideMark/>
          </w:tcPr>
          <w:p w14:paraId="5A5118D1"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63.3 </w:t>
            </w:r>
          </w:p>
        </w:tc>
        <w:tc>
          <w:tcPr>
            <w:tcW w:w="1136" w:type="dxa"/>
            <w:tcBorders>
              <w:top w:val="nil"/>
              <w:left w:val="nil"/>
              <w:bottom w:val="single" w:sz="4" w:space="0" w:color="auto"/>
              <w:right w:val="single" w:sz="4" w:space="0" w:color="FFFFFF"/>
            </w:tcBorders>
            <w:shd w:val="clear" w:color="FFFFFF" w:fill="FFFFFF"/>
            <w:noWrap/>
            <w:vAlign w:val="center"/>
            <w:hideMark/>
          </w:tcPr>
          <w:p w14:paraId="7431E2CA"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58.8 </w:t>
            </w:r>
          </w:p>
        </w:tc>
      </w:tr>
      <w:tr w:rsidR="00595956" w:rsidRPr="005734B8" w14:paraId="59289BBF" w14:textId="77777777" w:rsidTr="000F48B1">
        <w:trPr>
          <w:trHeight w:val="360"/>
        </w:trPr>
        <w:tc>
          <w:tcPr>
            <w:tcW w:w="4561" w:type="dxa"/>
            <w:tcBorders>
              <w:top w:val="nil"/>
              <w:left w:val="nil"/>
              <w:bottom w:val="single" w:sz="4" w:space="0" w:color="auto"/>
              <w:right w:val="nil"/>
            </w:tcBorders>
            <w:shd w:val="clear" w:color="FFFFFF" w:fill="FFFFFF"/>
            <w:vAlign w:val="center"/>
            <w:hideMark/>
          </w:tcPr>
          <w:p w14:paraId="0FD0B544"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Repayment of borrowings and principal portion of lease liabilities</w:t>
            </w:r>
          </w:p>
        </w:tc>
        <w:tc>
          <w:tcPr>
            <w:tcW w:w="792" w:type="dxa"/>
            <w:tcBorders>
              <w:top w:val="nil"/>
              <w:left w:val="nil"/>
              <w:bottom w:val="single" w:sz="4" w:space="0" w:color="auto"/>
              <w:right w:val="nil"/>
            </w:tcBorders>
            <w:shd w:val="clear" w:color="FFFFFF" w:fill="FFFFFF"/>
            <w:vAlign w:val="center"/>
            <w:hideMark/>
          </w:tcPr>
          <w:p w14:paraId="54C69BA9"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 </w:t>
            </w:r>
          </w:p>
        </w:tc>
        <w:tc>
          <w:tcPr>
            <w:tcW w:w="1136" w:type="dxa"/>
            <w:tcBorders>
              <w:top w:val="nil"/>
              <w:left w:val="single" w:sz="4" w:space="0" w:color="FFFFFF"/>
              <w:bottom w:val="single" w:sz="4" w:space="0" w:color="auto"/>
              <w:right w:val="single" w:sz="4" w:space="0" w:color="FFFFFF"/>
            </w:tcBorders>
            <w:shd w:val="clear" w:color="000000" w:fill="D9D9D9"/>
            <w:noWrap/>
            <w:vAlign w:val="center"/>
            <w:hideMark/>
          </w:tcPr>
          <w:p w14:paraId="624E97CE"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(88.9) </w:t>
            </w:r>
          </w:p>
        </w:tc>
        <w:tc>
          <w:tcPr>
            <w:tcW w:w="1136" w:type="dxa"/>
            <w:tcBorders>
              <w:top w:val="nil"/>
              <w:left w:val="nil"/>
              <w:bottom w:val="single" w:sz="4" w:space="0" w:color="auto"/>
              <w:right w:val="single" w:sz="4" w:space="0" w:color="FFFFFF"/>
            </w:tcBorders>
            <w:shd w:val="clear" w:color="FFFFFF" w:fill="FFFFFF"/>
            <w:noWrap/>
            <w:vAlign w:val="center"/>
            <w:hideMark/>
          </w:tcPr>
          <w:p w14:paraId="7C22ABE0"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(74.7) </w:t>
            </w:r>
          </w:p>
        </w:tc>
      </w:tr>
      <w:tr w:rsidR="00595956" w:rsidRPr="005734B8" w14:paraId="49E04D66" w14:textId="77777777" w:rsidTr="000F48B1">
        <w:trPr>
          <w:trHeight w:val="263"/>
        </w:trPr>
        <w:tc>
          <w:tcPr>
            <w:tcW w:w="456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5EBD378"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Net cash flows from/(used in) financing activities</w:t>
            </w:r>
          </w:p>
        </w:tc>
        <w:tc>
          <w:tcPr>
            <w:tcW w:w="792" w:type="dxa"/>
            <w:tcBorders>
              <w:top w:val="single" w:sz="12" w:space="0" w:color="auto"/>
              <w:left w:val="nil"/>
              <w:bottom w:val="single" w:sz="12" w:space="0" w:color="auto"/>
              <w:right w:val="single" w:sz="12" w:space="0" w:color="FFFFFF"/>
            </w:tcBorders>
            <w:shd w:val="clear" w:color="FFFFFF" w:fill="FFFFFF"/>
            <w:vAlign w:val="center"/>
            <w:hideMark/>
          </w:tcPr>
          <w:p w14:paraId="431C5758"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136"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314FA003"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890.1 </w:t>
            </w:r>
          </w:p>
        </w:tc>
        <w:tc>
          <w:tcPr>
            <w:tcW w:w="1136" w:type="dxa"/>
            <w:tcBorders>
              <w:top w:val="single" w:sz="12" w:space="0" w:color="auto"/>
              <w:left w:val="nil"/>
              <w:bottom w:val="single" w:sz="12" w:space="0" w:color="auto"/>
              <w:right w:val="nil"/>
            </w:tcBorders>
            <w:shd w:val="clear" w:color="FFFFFF" w:fill="FFFFFF"/>
            <w:noWrap/>
            <w:vAlign w:val="center"/>
            <w:hideMark/>
          </w:tcPr>
          <w:p w14:paraId="56BA7326"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487.1 </w:t>
            </w:r>
          </w:p>
        </w:tc>
      </w:tr>
      <w:tr w:rsidR="00595956" w:rsidRPr="005734B8" w14:paraId="43E95862" w14:textId="77777777" w:rsidTr="000F48B1">
        <w:trPr>
          <w:trHeight w:val="285"/>
        </w:trPr>
        <w:tc>
          <w:tcPr>
            <w:tcW w:w="4561" w:type="dxa"/>
            <w:tcBorders>
              <w:top w:val="nil"/>
              <w:left w:val="single" w:sz="12" w:space="0" w:color="FFFFFF"/>
              <w:bottom w:val="single" w:sz="12" w:space="0" w:color="auto"/>
              <w:right w:val="single" w:sz="12" w:space="0" w:color="FFFFFF"/>
            </w:tcBorders>
            <w:shd w:val="clear" w:color="FFFFFF" w:fill="FFFFFF"/>
            <w:vAlign w:val="center"/>
            <w:hideMark/>
          </w:tcPr>
          <w:p w14:paraId="3D061EAB"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Net increase/(decrease) in cash and deposits</w:t>
            </w:r>
          </w:p>
        </w:tc>
        <w:tc>
          <w:tcPr>
            <w:tcW w:w="792" w:type="dxa"/>
            <w:tcBorders>
              <w:top w:val="nil"/>
              <w:left w:val="nil"/>
              <w:bottom w:val="single" w:sz="12" w:space="0" w:color="auto"/>
              <w:right w:val="single" w:sz="12" w:space="0" w:color="FFFFFF"/>
            </w:tcBorders>
            <w:shd w:val="clear" w:color="FFFFFF" w:fill="FFFFFF"/>
            <w:vAlign w:val="center"/>
            <w:hideMark/>
          </w:tcPr>
          <w:p w14:paraId="2ED34D14"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 </w:t>
            </w:r>
          </w:p>
        </w:tc>
        <w:tc>
          <w:tcPr>
            <w:tcW w:w="1136" w:type="dxa"/>
            <w:tcBorders>
              <w:top w:val="nil"/>
              <w:left w:val="single" w:sz="4" w:space="0" w:color="FFFFFF"/>
              <w:bottom w:val="single" w:sz="12" w:space="0" w:color="auto"/>
              <w:right w:val="single" w:sz="4" w:space="0" w:color="FFFFFF"/>
            </w:tcBorders>
            <w:shd w:val="clear" w:color="000000" w:fill="D9D9D9"/>
            <w:noWrap/>
            <w:vAlign w:val="center"/>
            <w:hideMark/>
          </w:tcPr>
          <w:p w14:paraId="7B40D2A0"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(74.6) </w:t>
            </w:r>
          </w:p>
        </w:tc>
        <w:tc>
          <w:tcPr>
            <w:tcW w:w="1136" w:type="dxa"/>
            <w:tcBorders>
              <w:top w:val="nil"/>
              <w:left w:val="nil"/>
              <w:bottom w:val="single" w:sz="12" w:space="0" w:color="auto"/>
              <w:right w:val="nil"/>
            </w:tcBorders>
            <w:shd w:val="clear" w:color="FFFFFF" w:fill="FFFFFF"/>
            <w:noWrap/>
            <w:vAlign w:val="center"/>
            <w:hideMark/>
          </w:tcPr>
          <w:p w14:paraId="00DD4694"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322.7 </w:t>
            </w:r>
          </w:p>
        </w:tc>
      </w:tr>
      <w:tr w:rsidR="00595956" w:rsidRPr="005734B8" w14:paraId="2607AB04" w14:textId="77777777" w:rsidTr="000F48B1">
        <w:trPr>
          <w:trHeight w:val="285"/>
        </w:trPr>
        <w:tc>
          <w:tcPr>
            <w:tcW w:w="4561" w:type="dxa"/>
            <w:tcBorders>
              <w:top w:val="nil"/>
              <w:left w:val="nil"/>
              <w:bottom w:val="single" w:sz="4" w:space="0" w:color="auto"/>
              <w:right w:val="nil"/>
            </w:tcBorders>
            <w:shd w:val="clear" w:color="FFFFFF" w:fill="FFFFFF"/>
            <w:vAlign w:val="center"/>
            <w:hideMark/>
          </w:tcPr>
          <w:p w14:paraId="69F07F6B"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Cash and deposits at the beginning of the financial year</w:t>
            </w:r>
          </w:p>
        </w:tc>
        <w:tc>
          <w:tcPr>
            <w:tcW w:w="792" w:type="dxa"/>
            <w:tcBorders>
              <w:top w:val="nil"/>
              <w:left w:val="nil"/>
              <w:bottom w:val="single" w:sz="4" w:space="0" w:color="auto"/>
              <w:right w:val="nil"/>
            </w:tcBorders>
            <w:shd w:val="clear" w:color="FFFFFF" w:fill="FFFFFF"/>
            <w:vAlign w:val="center"/>
            <w:hideMark/>
          </w:tcPr>
          <w:p w14:paraId="4A550CAE" w14:textId="77777777" w:rsidR="00595956" w:rsidRPr="005734B8" w:rsidRDefault="00595956" w:rsidP="000F48B1">
            <w:pPr>
              <w:rPr>
                <w:rFonts w:ascii="Calibri" w:hAnsi="Calibri" w:cs="Calibri"/>
                <w:sz w:val="18"/>
                <w:szCs w:val="18"/>
              </w:rPr>
            </w:pPr>
            <w:r w:rsidRPr="005734B8">
              <w:rPr>
                <w:rFonts w:ascii="Calibri" w:hAnsi="Calibri" w:cs="Calibri"/>
                <w:sz w:val="18"/>
                <w:szCs w:val="18"/>
              </w:rPr>
              <w:t> </w:t>
            </w:r>
          </w:p>
        </w:tc>
        <w:tc>
          <w:tcPr>
            <w:tcW w:w="1136" w:type="dxa"/>
            <w:tcBorders>
              <w:top w:val="single" w:sz="4" w:space="0" w:color="auto"/>
              <w:left w:val="nil"/>
              <w:bottom w:val="single" w:sz="4" w:space="0" w:color="auto"/>
              <w:right w:val="nil"/>
            </w:tcBorders>
            <w:shd w:val="clear" w:color="000000" w:fill="D9D9D9"/>
            <w:noWrap/>
            <w:vAlign w:val="center"/>
            <w:hideMark/>
          </w:tcPr>
          <w:p w14:paraId="3BD43CC3"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1,557.2 </w:t>
            </w:r>
          </w:p>
        </w:tc>
        <w:tc>
          <w:tcPr>
            <w:tcW w:w="1136" w:type="dxa"/>
            <w:tcBorders>
              <w:top w:val="single" w:sz="4" w:space="0" w:color="auto"/>
              <w:left w:val="nil"/>
              <w:bottom w:val="single" w:sz="4" w:space="0" w:color="auto"/>
              <w:right w:val="single" w:sz="4" w:space="0" w:color="FFFFFF"/>
            </w:tcBorders>
            <w:shd w:val="clear" w:color="FFFFFF" w:fill="FFFFFF"/>
            <w:noWrap/>
            <w:vAlign w:val="center"/>
            <w:hideMark/>
          </w:tcPr>
          <w:p w14:paraId="582BDE9A" w14:textId="77777777" w:rsidR="00595956" w:rsidRPr="005734B8" w:rsidRDefault="00595956" w:rsidP="000F48B1">
            <w:pPr>
              <w:jc w:val="right"/>
              <w:rPr>
                <w:rFonts w:ascii="Calibri" w:hAnsi="Calibri" w:cs="Calibri"/>
                <w:sz w:val="18"/>
                <w:szCs w:val="18"/>
              </w:rPr>
            </w:pPr>
            <w:r w:rsidRPr="005734B8">
              <w:rPr>
                <w:rFonts w:ascii="Calibri" w:hAnsi="Calibri" w:cs="Calibri"/>
                <w:sz w:val="18"/>
                <w:szCs w:val="18"/>
              </w:rPr>
              <w:t xml:space="preserve">1,234.5 </w:t>
            </w:r>
          </w:p>
        </w:tc>
      </w:tr>
      <w:tr w:rsidR="00595956" w:rsidRPr="005734B8" w14:paraId="4A5A7E16" w14:textId="77777777" w:rsidTr="000F48B1">
        <w:trPr>
          <w:trHeight w:val="285"/>
        </w:trPr>
        <w:tc>
          <w:tcPr>
            <w:tcW w:w="456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F386F9B" w14:textId="77777777" w:rsidR="00595956" w:rsidRPr="005734B8" w:rsidRDefault="00595956" w:rsidP="000F48B1">
            <w:pPr>
              <w:rPr>
                <w:rFonts w:ascii="Calibri" w:hAnsi="Calibri" w:cs="Calibri"/>
                <w:b/>
                <w:sz w:val="18"/>
                <w:szCs w:val="18"/>
              </w:rPr>
            </w:pPr>
            <w:r w:rsidRPr="005734B8">
              <w:rPr>
                <w:rFonts w:ascii="Calibri" w:hAnsi="Calibri" w:cs="Calibri"/>
                <w:b/>
                <w:sz w:val="18"/>
                <w:szCs w:val="18"/>
              </w:rPr>
              <w:t>Cash and deposits at the end of the financial year</w:t>
            </w:r>
          </w:p>
        </w:tc>
        <w:tc>
          <w:tcPr>
            <w:tcW w:w="792" w:type="dxa"/>
            <w:tcBorders>
              <w:top w:val="single" w:sz="12" w:space="0" w:color="auto"/>
              <w:left w:val="nil"/>
              <w:bottom w:val="single" w:sz="12" w:space="0" w:color="auto"/>
              <w:right w:val="nil"/>
            </w:tcBorders>
            <w:shd w:val="clear" w:color="FFFFFF" w:fill="FFFFFF"/>
            <w:noWrap/>
            <w:vAlign w:val="center"/>
            <w:hideMark/>
          </w:tcPr>
          <w:p w14:paraId="031E34CD"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7.3</w:t>
            </w:r>
          </w:p>
        </w:tc>
        <w:tc>
          <w:tcPr>
            <w:tcW w:w="1136"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38DC4562"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1,482.6 </w:t>
            </w:r>
          </w:p>
        </w:tc>
        <w:tc>
          <w:tcPr>
            <w:tcW w:w="1136" w:type="dxa"/>
            <w:tcBorders>
              <w:top w:val="single" w:sz="12" w:space="0" w:color="auto"/>
              <w:left w:val="nil"/>
              <w:bottom w:val="single" w:sz="12" w:space="0" w:color="auto"/>
              <w:right w:val="nil"/>
            </w:tcBorders>
            <w:shd w:val="clear" w:color="FFFFFF" w:fill="FFFFFF"/>
            <w:noWrap/>
            <w:vAlign w:val="center"/>
            <w:hideMark/>
          </w:tcPr>
          <w:p w14:paraId="755EA12F" w14:textId="77777777" w:rsidR="00595956" w:rsidRPr="005734B8" w:rsidRDefault="00595956" w:rsidP="000F48B1">
            <w:pPr>
              <w:jc w:val="right"/>
              <w:rPr>
                <w:rFonts w:ascii="Calibri" w:hAnsi="Calibri" w:cs="Calibri"/>
                <w:b/>
                <w:sz w:val="18"/>
                <w:szCs w:val="18"/>
              </w:rPr>
            </w:pPr>
            <w:r w:rsidRPr="005734B8">
              <w:rPr>
                <w:rFonts w:ascii="Calibri" w:hAnsi="Calibri" w:cs="Calibri"/>
                <w:b/>
                <w:sz w:val="18"/>
                <w:szCs w:val="18"/>
              </w:rPr>
              <w:t xml:space="preserve">1,557.2 </w:t>
            </w:r>
          </w:p>
        </w:tc>
      </w:tr>
    </w:tbl>
    <w:p w14:paraId="475DCF9F" w14:textId="77777777" w:rsidR="00CC42DC" w:rsidRPr="005734B8" w:rsidRDefault="00CC42DC" w:rsidP="00595956">
      <w:pPr>
        <w:rPr>
          <w:rFonts w:ascii="Calibri" w:hAnsi="Calibri" w:cs="Calibri"/>
          <w:szCs w:val="22"/>
        </w:rPr>
      </w:pPr>
    </w:p>
    <w:p w14:paraId="0819965D" w14:textId="3022EFFF" w:rsidR="00595956" w:rsidRPr="005734B8" w:rsidRDefault="00595956" w:rsidP="00595956">
      <w:pPr>
        <w:rPr>
          <w:rFonts w:ascii="Calibri" w:hAnsi="Calibri" w:cs="Calibri"/>
          <w:szCs w:val="18"/>
        </w:rPr>
      </w:pPr>
      <w:r w:rsidRPr="005734B8">
        <w:rPr>
          <w:rFonts w:ascii="Calibri" w:hAnsi="Calibri" w:cs="Calibri"/>
          <w:szCs w:val="22"/>
        </w:rPr>
        <w:t>The above cash flow statement should be read in conjunction with the accompanying notes.</w:t>
      </w:r>
    </w:p>
    <w:p w14:paraId="31DCEBC1" w14:textId="77777777" w:rsidR="001D7518" w:rsidRPr="005734B8" w:rsidRDefault="001D7518" w:rsidP="001D7518">
      <w:pPr>
        <w:rPr>
          <w:rFonts w:ascii="Calibri" w:hAnsi="Calibri" w:cs="Calibri"/>
          <w:szCs w:val="18"/>
        </w:rPr>
      </w:pPr>
      <w:r w:rsidRPr="005734B8">
        <w:rPr>
          <w:rFonts w:ascii="Calibri" w:hAnsi="Calibri" w:cs="Calibri"/>
          <w:szCs w:val="18"/>
        </w:rPr>
        <w:br w:type="page"/>
      </w:r>
    </w:p>
    <w:p w14:paraId="034D1A9E" w14:textId="77777777" w:rsidR="001D7518" w:rsidRPr="005734B8" w:rsidRDefault="001D7518" w:rsidP="001D7518">
      <w:pPr>
        <w:rPr>
          <w:rFonts w:ascii="Calibri" w:hAnsi="Calibri" w:cs="Calibri"/>
          <w:szCs w:val="18"/>
        </w:rPr>
        <w:sectPr w:rsidR="001D7518" w:rsidRPr="005734B8" w:rsidSect="001D7518">
          <w:headerReference w:type="default" r:id="rId71"/>
          <w:footerReference w:type="default" r:id="rId72"/>
          <w:pgSz w:w="11906" w:h="16838" w:code="9"/>
          <w:pgMar w:top="1440" w:right="1134" w:bottom="1440" w:left="2835" w:header="958" w:footer="737" w:gutter="0"/>
          <w:cols w:space="708"/>
          <w:docGrid w:linePitch="360"/>
        </w:sectPr>
      </w:pPr>
    </w:p>
    <w:p w14:paraId="1DA7CF18" w14:textId="77777777" w:rsidR="00595956" w:rsidRPr="005734B8" w:rsidRDefault="00595956" w:rsidP="00595956">
      <w:pPr>
        <w:pStyle w:val="ESHeading2"/>
        <w:rPr>
          <w:rFonts w:ascii="Calibri" w:hAnsi="Calibri" w:cs="Calibri"/>
          <w:b/>
          <w:bCs w:val="0"/>
        </w:rPr>
      </w:pPr>
      <w:bookmarkStart w:id="1154" w:name="_Toc11158319"/>
      <w:bookmarkStart w:id="1155" w:name="_Toc11336326"/>
      <w:bookmarkStart w:id="1156" w:name="_Toc11336577"/>
      <w:bookmarkStart w:id="1157" w:name="_Toc13647181"/>
      <w:bookmarkStart w:id="1158" w:name="_Toc13656713"/>
      <w:bookmarkStart w:id="1159" w:name="_Toc13656875"/>
      <w:bookmarkStart w:id="1160" w:name="_Toc14965553"/>
      <w:bookmarkStart w:id="1161" w:name="_Toc15985299"/>
      <w:bookmarkStart w:id="1162" w:name="_Toc16231950"/>
      <w:bookmarkStart w:id="1163" w:name="_Toc34033375"/>
      <w:bookmarkStart w:id="1164" w:name="_Toc36013342"/>
      <w:bookmarkStart w:id="1165" w:name="_Toc72958078"/>
      <w:bookmarkStart w:id="1166" w:name="_Toc72958126"/>
      <w:bookmarkStart w:id="1167" w:name="_Toc79790156"/>
      <w:bookmarkStart w:id="1168" w:name="_Toc80272066"/>
      <w:bookmarkStart w:id="1169" w:name="_Toc81315365"/>
      <w:bookmarkEnd w:id="1123"/>
      <w:bookmarkEnd w:id="1124"/>
      <w:bookmarkEnd w:id="1125"/>
      <w:bookmarkEnd w:id="1126"/>
      <w:r w:rsidRPr="005734B8">
        <w:rPr>
          <w:rFonts w:ascii="Calibri" w:hAnsi="Calibri" w:cs="Calibri"/>
          <w:b/>
          <w:bCs w:val="0"/>
        </w:rPr>
        <w:lastRenderedPageBreak/>
        <w:t>Notes to the financial statements</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14:paraId="4039FF28" w14:textId="1BD60715" w:rsidR="00972745" w:rsidRPr="005734B8" w:rsidRDefault="00F20069" w:rsidP="00972745">
      <w:pPr>
        <w:tabs>
          <w:tab w:val="left" w:pos="880"/>
          <w:tab w:val="right" w:leader="dot" w:pos="7937"/>
        </w:tabs>
        <w:spacing w:after="100"/>
        <w:rPr>
          <w:rFonts w:ascii="Calibri" w:eastAsia="Times New Roman" w:hAnsi="Calibri" w:cs="Calibri"/>
          <w:b/>
          <w:noProof/>
          <w:sz w:val="20"/>
          <w:szCs w:val="20"/>
          <w:lang w:val="en-AU"/>
        </w:rPr>
      </w:pPr>
      <w:r w:rsidRPr="005734B8">
        <w:rPr>
          <w:rFonts w:ascii="Calibri" w:hAnsi="Calibri" w:cs="Calibri"/>
          <w:sz w:val="20"/>
          <w:szCs w:val="20"/>
        </w:rPr>
        <w:fldChar w:fldCharType="begin"/>
      </w:r>
      <w:r w:rsidRPr="005734B8">
        <w:rPr>
          <w:rFonts w:ascii="Calibri" w:hAnsi="Calibri" w:cs="Calibri"/>
          <w:sz w:val="20"/>
          <w:szCs w:val="20"/>
        </w:rPr>
        <w:instrText xml:space="preserve"> TOC \f x \h \z </w:instrText>
      </w:r>
      <w:r w:rsidRPr="005734B8">
        <w:rPr>
          <w:rFonts w:ascii="Calibri" w:hAnsi="Calibri" w:cs="Calibri"/>
          <w:sz w:val="20"/>
          <w:szCs w:val="20"/>
        </w:rPr>
        <w:fldChar w:fldCharType="separate"/>
      </w:r>
      <w:hyperlink w:anchor="_Toc80718033" w:history="1">
        <w:r w:rsidR="00972745" w:rsidRPr="005734B8">
          <w:rPr>
            <w:rFonts w:ascii="Calibri" w:eastAsia="Times New Roman" w:hAnsi="Calibri" w:cs="Calibri"/>
            <w:b/>
            <w:noProof/>
            <w:sz w:val="20"/>
            <w:szCs w:val="20"/>
            <w:lang w:val="en-AU"/>
          </w:rPr>
          <w:t>Note 1</w:t>
        </w:r>
        <w:r w:rsidR="00972745" w:rsidRPr="005734B8">
          <w:rPr>
            <w:rFonts w:ascii="Calibri" w:eastAsia="Times New Roman" w:hAnsi="Calibri" w:cs="Calibri"/>
            <w:b/>
            <w:noProof/>
            <w:sz w:val="20"/>
            <w:szCs w:val="20"/>
            <w:lang w:val="en-AU"/>
          </w:rPr>
          <w:tab/>
          <w:t>About this Report</w:t>
        </w:r>
        <w:r w:rsidR="00972745" w:rsidRPr="005734B8">
          <w:rPr>
            <w:rFonts w:ascii="Calibri" w:eastAsia="Times New Roman" w:hAnsi="Calibri" w:cs="Calibri"/>
            <w:b/>
            <w:noProof/>
            <w:webHidden/>
            <w:sz w:val="20"/>
            <w:szCs w:val="20"/>
            <w:lang w:val="en-AU"/>
          </w:rPr>
          <w:tab/>
        </w:r>
        <w:r w:rsidR="00972745" w:rsidRPr="005734B8">
          <w:rPr>
            <w:rFonts w:ascii="Calibri" w:eastAsia="Times New Roman" w:hAnsi="Calibri" w:cs="Calibri"/>
            <w:b/>
            <w:noProof/>
            <w:webHidden/>
            <w:sz w:val="20"/>
            <w:szCs w:val="20"/>
            <w:lang w:val="en-AU"/>
          </w:rPr>
          <w:fldChar w:fldCharType="begin"/>
        </w:r>
        <w:r w:rsidR="00972745" w:rsidRPr="005734B8">
          <w:rPr>
            <w:rFonts w:ascii="Calibri" w:eastAsia="Times New Roman" w:hAnsi="Calibri" w:cs="Calibri"/>
            <w:b/>
            <w:noProof/>
            <w:webHidden/>
            <w:sz w:val="20"/>
            <w:szCs w:val="20"/>
            <w:lang w:val="en-AU"/>
          </w:rPr>
          <w:instrText xml:space="preserve"> PAGEREF _Toc80718033 \h </w:instrText>
        </w:r>
        <w:r w:rsidR="00972745" w:rsidRPr="005734B8">
          <w:rPr>
            <w:rFonts w:ascii="Calibri" w:eastAsia="Times New Roman" w:hAnsi="Calibri" w:cs="Calibri"/>
            <w:b/>
            <w:noProof/>
            <w:webHidden/>
            <w:sz w:val="20"/>
            <w:szCs w:val="20"/>
            <w:lang w:val="en-AU"/>
          </w:rPr>
        </w:r>
        <w:r w:rsidR="00972745" w:rsidRPr="005734B8">
          <w:rPr>
            <w:rFonts w:ascii="Calibri" w:eastAsia="Times New Roman" w:hAnsi="Calibri" w:cs="Calibri"/>
            <w:b/>
            <w:noProof/>
            <w:webHidden/>
            <w:sz w:val="20"/>
            <w:szCs w:val="20"/>
            <w:lang w:val="en-AU"/>
          </w:rPr>
          <w:fldChar w:fldCharType="separate"/>
        </w:r>
        <w:r w:rsidR="00606DA8">
          <w:rPr>
            <w:rFonts w:ascii="Calibri" w:eastAsia="Times New Roman" w:hAnsi="Calibri" w:cs="Calibri"/>
            <w:b/>
            <w:noProof/>
            <w:webHidden/>
            <w:sz w:val="20"/>
            <w:szCs w:val="20"/>
            <w:lang w:val="en-AU"/>
          </w:rPr>
          <w:t>128</w:t>
        </w:r>
        <w:r w:rsidR="00972745" w:rsidRPr="005734B8">
          <w:rPr>
            <w:rFonts w:ascii="Calibri" w:eastAsia="Times New Roman" w:hAnsi="Calibri" w:cs="Calibri"/>
            <w:b/>
            <w:noProof/>
            <w:webHidden/>
            <w:sz w:val="20"/>
            <w:szCs w:val="20"/>
            <w:lang w:val="en-AU"/>
          </w:rPr>
          <w:fldChar w:fldCharType="end"/>
        </w:r>
      </w:hyperlink>
    </w:p>
    <w:p w14:paraId="0BFE730F" w14:textId="072F8154" w:rsidR="00972745" w:rsidRPr="005734B8" w:rsidRDefault="006C463E" w:rsidP="00972745">
      <w:pPr>
        <w:tabs>
          <w:tab w:val="left" w:pos="880"/>
          <w:tab w:val="right" w:leader="dot" w:pos="7937"/>
        </w:tabs>
        <w:spacing w:after="100"/>
        <w:rPr>
          <w:rFonts w:ascii="Calibri" w:eastAsia="Times New Roman" w:hAnsi="Calibri" w:cs="Calibri"/>
          <w:b/>
          <w:noProof/>
          <w:sz w:val="20"/>
          <w:szCs w:val="20"/>
          <w:lang w:val="en-AU"/>
        </w:rPr>
      </w:pPr>
      <w:hyperlink w:anchor="_Toc80718034" w:history="1">
        <w:r w:rsidR="00972745" w:rsidRPr="005734B8">
          <w:rPr>
            <w:rFonts w:ascii="Calibri" w:eastAsia="Times New Roman" w:hAnsi="Calibri" w:cs="Calibri"/>
            <w:b/>
            <w:noProof/>
            <w:sz w:val="20"/>
            <w:szCs w:val="20"/>
            <w:lang w:val="en-AU"/>
          </w:rPr>
          <w:t>Note 2</w:t>
        </w:r>
        <w:r w:rsidR="00972745" w:rsidRPr="005734B8">
          <w:rPr>
            <w:rFonts w:ascii="Calibri" w:eastAsia="Times New Roman" w:hAnsi="Calibri" w:cs="Calibri"/>
            <w:b/>
            <w:noProof/>
            <w:sz w:val="20"/>
            <w:szCs w:val="20"/>
            <w:lang w:val="en-AU"/>
          </w:rPr>
          <w:tab/>
          <w:t>Funding delivery of our services</w:t>
        </w:r>
        <w:r w:rsidR="00972745" w:rsidRPr="005734B8">
          <w:rPr>
            <w:rFonts w:ascii="Calibri" w:eastAsia="Times New Roman" w:hAnsi="Calibri" w:cs="Calibri"/>
            <w:b/>
            <w:noProof/>
            <w:webHidden/>
            <w:sz w:val="20"/>
            <w:szCs w:val="20"/>
            <w:lang w:val="en-AU"/>
          </w:rPr>
          <w:tab/>
        </w:r>
        <w:r w:rsidR="00972745" w:rsidRPr="005734B8">
          <w:rPr>
            <w:rFonts w:ascii="Calibri" w:eastAsia="Times New Roman" w:hAnsi="Calibri" w:cs="Calibri"/>
            <w:b/>
            <w:noProof/>
            <w:webHidden/>
            <w:sz w:val="20"/>
            <w:szCs w:val="20"/>
            <w:lang w:val="en-AU"/>
          </w:rPr>
          <w:fldChar w:fldCharType="begin"/>
        </w:r>
        <w:r w:rsidR="00972745" w:rsidRPr="005734B8">
          <w:rPr>
            <w:rFonts w:ascii="Calibri" w:eastAsia="Times New Roman" w:hAnsi="Calibri" w:cs="Calibri"/>
            <w:b/>
            <w:noProof/>
            <w:webHidden/>
            <w:sz w:val="20"/>
            <w:szCs w:val="20"/>
            <w:lang w:val="en-AU"/>
          </w:rPr>
          <w:instrText xml:space="preserve"> PAGEREF _Toc80718034 \h </w:instrText>
        </w:r>
        <w:r w:rsidR="00972745" w:rsidRPr="005734B8">
          <w:rPr>
            <w:rFonts w:ascii="Calibri" w:eastAsia="Times New Roman" w:hAnsi="Calibri" w:cs="Calibri"/>
            <w:b/>
            <w:noProof/>
            <w:webHidden/>
            <w:sz w:val="20"/>
            <w:szCs w:val="20"/>
            <w:lang w:val="en-AU"/>
          </w:rPr>
        </w:r>
        <w:r w:rsidR="00972745" w:rsidRPr="005734B8">
          <w:rPr>
            <w:rFonts w:ascii="Calibri" w:eastAsia="Times New Roman" w:hAnsi="Calibri" w:cs="Calibri"/>
            <w:b/>
            <w:noProof/>
            <w:webHidden/>
            <w:sz w:val="20"/>
            <w:szCs w:val="20"/>
            <w:lang w:val="en-AU"/>
          </w:rPr>
          <w:fldChar w:fldCharType="separate"/>
        </w:r>
        <w:r w:rsidR="00606DA8">
          <w:rPr>
            <w:rFonts w:ascii="Calibri" w:eastAsia="Times New Roman" w:hAnsi="Calibri" w:cs="Calibri"/>
            <w:b/>
            <w:noProof/>
            <w:webHidden/>
            <w:sz w:val="20"/>
            <w:szCs w:val="20"/>
            <w:lang w:val="en-AU"/>
          </w:rPr>
          <w:t>132</w:t>
        </w:r>
        <w:r w:rsidR="00972745" w:rsidRPr="005734B8">
          <w:rPr>
            <w:rFonts w:ascii="Calibri" w:eastAsia="Times New Roman" w:hAnsi="Calibri" w:cs="Calibri"/>
            <w:b/>
            <w:noProof/>
            <w:webHidden/>
            <w:sz w:val="20"/>
            <w:szCs w:val="20"/>
            <w:lang w:val="en-AU"/>
          </w:rPr>
          <w:fldChar w:fldCharType="end"/>
        </w:r>
      </w:hyperlink>
    </w:p>
    <w:p w14:paraId="3B90AB8A" w14:textId="56D15FF4" w:rsidR="00972745" w:rsidRPr="005734B8" w:rsidRDefault="006C463E" w:rsidP="00972745">
      <w:pPr>
        <w:tabs>
          <w:tab w:val="left" w:pos="880"/>
          <w:tab w:val="right" w:leader="dot" w:pos="7937"/>
        </w:tabs>
        <w:spacing w:after="100"/>
        <w:rPr>
          <w:rFonts w:ascii="Calibri" w:eastAsia="Times New Roman" w:hAnsi="Calibri" w:cs="Calibri"/>
          <w:b/>
          <w:noProof/>
          <w:sz w:val="20"/>
          <w:szCs w:val="20"/>
          <w:lang w:val="en-AU"/>
        </w:rPr>
      </w:pPr>
      <w:hyperlink w:anchor="_Toc80718035" w:history="1">
        <w:r w:rsidR="00972745" w:rsidRPr="005734B8">
          <w:rPr>
            <w:rFonts w:ascii="Calibri" w:eastAsia="Times New Roman" w:hAnsi="Calibri" w:cs="Calibri"/>
            <w:b/>
            <w:noProof/>
            <w:sz w:val="20"/>
            <w:szCs w:val="20"/>
            <w:lang w:val="en-AU"/>
          </w:rPr>
          <w:t>Note 3</w:t>
        </w:r>
        <w:r w:rsidR="00972745" w:rsidRPr="005734B8">
          <w:rPr>
            <w:rFonts w:ascii="Calibri" w:eastAsia="Times New Roman" w:hAnsi="Calibri" w:cs="Calibri"/>
            <w:b/>
            <w:noProof/>
            <w:sz w:val="20"/>
            <w:szCs w:val="20"/>
            <w:lang w:val="en-AU"/>
          </w:rPr>
          <w:tab/>
          <w:t>The cost of delivering</w:t>
        </w:r>
        <w:r w:rsidR="00972745" w:rsidRPr="00972745">
          <w:rPr>
            <w:rFonts w:ascii="Calibri" w:eastAsia="Times New Roman" w:hAnsi="Calibri"/>
            <w:b/>
            <w:noProof/>
            <w:sz w:val="20"/>
            <w:szCs w:val="20"/>
            <w:lang w:val="en-AU"/>
          </w:rPr>
          <w:t xml:space="preserve"> services</w:t>
        </w:r>
        <w:r w:rsidR="00972745" w:rsidRPr="005734B8">
          <w:rPr>
            <w:rFonts w:ascii="Calibri" w:eastAsia="Times New Roman" w:hAnsi="Calibri" w:cs="Calibri"/>
            <w:b/>
            <w:noProof/>
            <w:webHidden/>
            <w:sz w:val="20"/>
            <w:szCs w:val="20"/>
            <w:lang w:val="en-AU"/>
          </w:rPr>
          <w:tab/>
        </w:r>
        <w:r w:rsidR="00972745" w:rsidRPr="005734B8">
          <w:rPr>
            <w:rFonts w:ascii="Calibri" w:eastAsia="Times New Roman" w:hAnsi="Calibri" w:cs="Calibri"/>
            <w:b/>
            <w:noProof/>
            <w:webHidden/>
            <w:sz w:val="20"/>
            <w:szCs w:val="20"/>
            <w:lang w:val="en-AU"/>
          </w:rPr>
          <w:fldChar w:fldCharType="begin"/>
        </w:r>
        <w:r w:rsidR="00972745" w:rsidRPr="005734B8">
          <w:rPr>
            <w:rFonts w:ascii="Calibri" w:eastAsia="Times New Roman" w:hAnsi="Calibri" w:cs="Calibri"/>
            <w:b/>
            <w:noProof/>
            <w:webHidden/>
            <w:sz w:val="20"/>
            <w:szCs w:val="20"/>
            <w:lang w:val="en-AU"/>
          </w:rPr>
          <w:instrText xml:space="preserve"> PAGEREF _Toc80718035 \h </w:instrText>
        </w:r>
        <w:r w:rsidR="00972745" w:rsidRPr="005734B8">
          <w:rPr>
            <w:rFonts w:ascii="Calibri" w:eastAsia="Times New Roman" w:hAnsi="Calibri" w:cs="Calibri"/>
            <w:b/>
            <w:noProof/>
            <w:webHidden/>
            <w:sz w:val="20"/>
            <w:szCs w:val="20"/>
            <w:lang w:val="en-AU"/>
          </w:rPr>
        </w:r>
        <w:r w:rsidR="00972745" w:rsidRPr="005734B8">
          <w:rPr>
            <w:rFonts w:ascii="Calibri" w:eastAsia="Times New Roman" w:hAnsi="Calibri" w:cs="Calibri"/>
            <w:b/>
            <w:noProof/>
            <w:webHidden/>
            <w:sz w:val="20"/>
            <w:szCs w:val="20"/>
            <w:lang w:val="en-AU"/>
          </w:rPr>
          <w:fldChar w:fldCharType="separate"/>
        </w:r>
        <w:r w:rsidR="00606DA8">
          <w:rPr>
            <w:rFonts w:ascii="Calibri" w:eastAsia="Times New Roman" w:hAnsi="Calibri" w:cs="Calibri"/>
            <w:b/>
            <w:noProof/>
            <w:webHidden/>
            <w:sz w:val="20"/>
            <w:szCs w:val="20"/>
            <w:lang w:val="en-AU"/>
          </w:rPr>
          <w:t>140</w:t>
        </w:r>
        <w:r w:rsidR="00972745" w:rsidRPr="005734B8">
          <w:rPr>
            <w:rFonts w:ascii="Calibri" w:eastAsia="Times New Roman" w:hAnsi="Calibri" w:cs="Calibri"/>
            <w:b/>
            <w:noProof/>
            <w:webHidden/>
            <w:sz w:val="20"/>
            <w:szCs w:val="20"/>
            <w:lang w:val="en-AU"/>
          </w:rPr>
          <w:fldChar w:fldCharType="end"/>
        </w:r>
      </w:hyperlink>
    </w:p>
    <w:p w14:paraId="3811A39A" w14:textId="4878929B" w:rsidR="00972745" w:rsidRPr="005734B8" w:rsidRDefault="006C463E" w:rsidP="00972745">
      <w:pPr>
        <w:tabs>
          <w:tab w:val="left" w:pos="880"/>
          <w:tab w:val="right" w:leader="dot" w:pos="7937"/>
        </w:tabs>
        <w:spacing w:after="100"/>
        <w:rPr>
          <w:rFonts w:ascii="Calibri" w:eastAsia="Times New Roman" w:hAnsi="Calibri" w:cs="Calibri"/>
          <w:b/>
          <w:noProof/>
          <w:sz w:val="20"/>
          <w:szCs w:val="20"/>
          <w:lang w:val="en-AU"/>
        </w:rPr>
      </w:pPr>
      <w:hyperlink w:anchor="_Toc80718036" w:history="1">
        <w:r w:rsidR="00972745" w:rsidRPr="005734B8">
          <w:rPr>
            <w:rFonts w:ascii="Calibri" w:eastAsia="Times New Roman" w:hAnsi="Calibri" w:cs="Calibri"/>
            <w:b/>
            <w:noProof/>
            <w:sz w:val="20"/>
            <w:szCs w:val="20"/>
            <w:lang w:val="en-AU"/>
          </w:rPr>
          <w:t>Note 4</w:t>
        </w:r>
        <w:r w:rsidR="00972745" w:rsidRPr="005734B8">
          <w:rPr>
            <w:rFonts w:ascii="Calibri" w:eastAsia="Times New Roman" w:hAnsi="Calibri" w:cs="Calibri"/>
            <w:b/>
            <w:noProof/>
            <w:sz w:val="20"/>
            <w:szCs w:val="20"/>
            <w:lang w:val="en-AU"/>
          </w:rPr>
          <w:tab/>
          <w:t>Disaggregated financial information by output</w:t>
        </w:r>
        <w:r w:rsidR="00972745" w:rsidRPr="005734B8">
          <w:rPr>
            <w:rFonts w:ascii="Calibri" w:eastAsia="Times New Roman" w:hAnsi="Calibri" w:cs="Calibri"/>
            <w:b/>
            <w:noProof/>
            <w:webHidden/>
            <w:sz w:val="20"/>
            <w:szCs w:val="20"/>
            <w:lang w:val="en-AU"/>
          </w:rPr>
          <w:tab/>
        </w:r>
        <w:r w:rsidR="00972745" w:rsidRPr="005734B8">
          <w:rPr>
            <w:rFonts w:ascii="Calibri" w:eastAsia="Times New Roman" w:hAnsi="Calibri" w:cs="Calibri"/>
            <w:b/>
            <w:noProof/>
            <w:webHidden/>
            <w:sz w:val="20"/>
            <w:szCs w:val="20"/>
            <w:lang w:val="en-AU"/>
          </w:rPr>
          <w:fldChar w:fldCharType="begin"/>
        </w:r>
        <w:r w:rsidR="00972745" w:rsidRPr="005734B8">
          <w:rPr>
            <w:rFonts w:ascii="Calibri" w:eastAsia="Times New Roman" w:hAnsi="Calibri" w:cs="Calibri"/>
            <w:b/>
            <w:noProof/>
            <w:webHidden/>
            <w:sz w:val="20"/>
            <w:szCs w:val="20"/>
            <w:lang w:val="en-AU"/>
          </w:rPr>
          <w:instrText xml:space="preserve"> PAGEREF _Toc80718036 \h </w:instrText>
        </w:r>
        <w:r w:rsidR="00972745" w:rsidRPr="005734B8">
          <w:rPr>
            <w:rFonts w:ascii="Calibri" w:eastAsia="Times New Roman" w:hAnsi="Calibri" w:cs="Calibri"/>
            <w:b/>
            <w:noProof/>
            <w:webHidden/>
            <w:sz w:val="20"/>
            <w:szCs w:val="20"/>
            <w:lang w:val="en-AU"/>
          </w:rPr>
        </w:r>
        <w:r w:rsidR="00972745" w:rsidRPr="005734B8">
          <w:rPr>
            <w:rFonts w:ascii="Calibri" w:eastAsia="Times New Roman" w:hAnsi="Calibri" w:cs="Calibri"/>
            <w:b/>
            <w:noProof/>
            <w:webHidden/>
            <w:sz w:val="20"/>
            <w:szCs w:val="20"/>
            <w:lang w:val="en-AU"/>
          </w:rPr>
          <w:fldChar w:fldCharType="separate"/>
        </w:r>
        <w:r w:rsidR="00606DA8">
          <w:rPr>
            <w:rFonts w:ascii="Calibri" w:eastAsia="Times New Roman" w:hAnsi="Calibri" w:cs="Calibri"/>
            <w:b/>
            <w:noProof/>
            <w:webHidden/>
            <w:sz w:val="20"/>
            <w:szCs w:val="20"/>
            <w:lang w:val="en-AU"/>
          </w:rPr>
          <w:t>145</w:t>
        </w:r>
        <w:r w:rsidR="00972745" w:rsidRPr="005734B8">
          <w:rPr>
            <w:rFonts w:ascii="Calibri" w:eastAsia="Times New Roman" w:hAnsi="Calibri" w:cs="Calibri"/>
            <w:b/>
            <w:noProof/>
            <w:webHidden/>
            <w:sz w:val="20"/>
            <w:szCs w:val="20"/>
            <w:lang w:val="en-AU"/>
          </w:rPr>
          <w:fldChar w:fldCharType="end"/>
        </w:r>
      </w:hyperlink>
    </w:p>
    <w:p w14:paraId="17BE15F4" w14:textId="2A335956" w:rsidR="00972745" w:rsidRPr="005734B8" w:rsidRDefault="006C463E" w:rsidP="00972745">
      <w:pPr>
        <w:tabs>
          <w:tab w:val="left" w:pos="880"/>
          <w:tab w:val="right" w:leader="dot" w:pos="7937"/>
        </w:tabs>
        <w:spacing w:after="100"/>
        <w:rPr>
          <w:rFonts w:ascii="Calibri" w:eastAsia="Times New Roman" w:hAnsi="Calibri" w:cs="Calibri"/>
          <w:b/>
          <w:noProof/>
          <w:sz w:val="20"/>
          <w:szCs w:val="20"/>
          <w:lang w:val="en-AU"/>
        </w:rPr>
      </w:pPr>
      <w:hyperlink w:anchor="_Toc80718037" w:history="1">
        <w:r w:rsidR="00972745" w:rsidRPr="005734B8">
          <w:rPr>
            <w:rFonts w:ascii="Calibri" w:eastAsia="Times New Roman" w:hAnsi="Calibri" w:cs="Calibri"/>
            <w:b/>
            <w:noProof/>
            <w:sz w:val="20"/>
            <w:szCs w:val="20"/>
            <w:lang w:val="en-AU"/>
          </w:rPr>
          <w:t>Note 5</w:t>
        </w:r>
        <w:r w:rsidR="00972745" w:rsidRPr="005734B8">
          <w:rPr>
            <w:rFonts w:ascii="Calibri" w:eastAsia="Times New Roman" w:hAnsi="Calibri" w:cs="Calibri"/>
            <w:b/>
            <w:noProof/>
            <w:sz w:val="20"/>
            <w:szCs w:val="20"/>
            <w:lang w:val="en-AU"/>
          </w:rPr>
          <w:tab/>
        </w:r>
        <w:r w:rsidR="00972745" w:rsidRPr="00972745">
          <w:rPr>
            <w:rFonts w:ascii="Calibri" w:eastAsia="Times New Roman" w:hAnsi="Calibri"/>
            <w:b/>
            <w:noProof/>
            <w:sz w:val="20"/>
            <w:szCs w:val="20"/>
            <w:lang w:val="en-AU"/>
          </w:rPr>
          <w:t>Key assets available to support output delivery</w:t>
        </w:r>
        <w:r w:rsidR="00972745" w:rsidRPr="005734B8">
          <w:rPr>
            <w:rFonts w:ascii="Calibri" w:eastAsia="Times New Roman" w:hAnsi="Calibri" w:cs="Calibri"/>
            <w:b/>
            <w:noProof/>
            <w:webHidden/>
            <w:sz w:val="20"/>
            <w:szCs w:val="20"/>
            <w:lang w:val="en-AU"/>
          </w:rPr>
          <w:tab/>
        </w:r>
        <w:r w:rsidR="00972745" w:rsidRPr="005734B8">
          <w:rPr>
            <w:rFonts w:ascii="Calibri" w:eastAsia="Times New Roman" w:hAnsi="Calibri" w:cs="Calibri"/>
            <w:b/>
            <w:noProof/>
            <w:webHidden/>
            <w:sz w:val="20"/>
            <w:szCs w:val="20"/>
            <w:lang w:val="en-AU"/>
          </w:rPr>
          <w:fldChar w:fldCharType="begin"/>
        </w:r>
        <w:r w:rsidR="00972745" w:rsidRPr="005734B8">
          <w:rPr>
            <w:rFonts w:ascii="Calibri" w:eastAsia="Times New Roman" w:hAnsi="Calibri" w:cs="Calibri"/>
            <w:b/>
            <w:noProof/>
            <w:webHidden/>
            <w:sz w:val="20"/>
            <w:szCs w:val="20"/>
            <w:lang w:val="en-AU"/>
          </w:rPr>
          <w:instrText xml:space="preserve"> PAGEREF _Toc80718037 \h </w:instrText>
        </w:r>
        <w:r w:rsidR="00972745" w:rsidRPr="005734B8">
          <w:rPr>
            <w:rFonts w:ascii="Calibri" w:eastAsia="Times New Roman" w:hAnsi="Calibri" w:cs="Calibri"/>
            <w:b/>
            <w:noProof/>
            <w:webHidden/>
            <w:sz w:val="20"/>
            <w:szCs w:val="20"/>
            <w:lang w:val="en-AU"/>
          </w:rPr>
        </w:r>
        <w:r w:rsidR="00972745" w:rsidRPr="005734B8">
          <w:rPr>
            <w:rFonts w:ascii="Calibri" w:eastAsia="Times New Roman" w:hAnsi="Calibri" w:cs="Calibri"/>
            <w:b/>
            <w:noProof/>
            <w:webHidden/>
            <w:sz w:val="20"/>
            <w:szCs w:val="20"/>
            <w:lang w:val="en-AU"/>
          </w:rPr>
          <w:fldChar w:fldCharType="separate"/>
        </w:r>
        <w:r w:rsidR="00606DA8">
          <w:rPr>
            <w:rFonts w:ascii="Calibri" w:eastAsia="Times New Roman" w:hAnsi="Calibri" w:cs="Calibri"/>
            <w:b/>
            <w:noProof/>
            <w:webHidden/>
            <w:sz w:val="20"/>
            <w:szCs w:val="20"/>
            <w:lang w:val="en-AU"/>
          </w:rPr>
          <w:t>152</w:t>
        </w:r>
        <w:r w:rsidR="00972745" w:rsidRPr="005734B8">
          <w:rPr>
            <w:rFonts w:ascii="Calibri" w:eastAsia="Times New Roman" w:hAnsi="Calibri" w:cs="Calibri"/>
            <w:b/>
            <w:noProof/>
            <w:webHidden/>
            <w:sz w:val="20"/>
            <w:szCs w:val="20"/>
            <w:lang w:val="en-AU"/>
          </w:rPr>
          <w:fldChar w:fldCharType="end"/>
        </w:r>
      </w:hyperlink>
    </w:p>
    <w:p w14:paraId="725CDE4C" w14:textId="6F32806D" w:rsidR="00972745" w:rsidRPr="005734B8" w:rsidRDefault="006C463E" w:rsidP="00972745">
      <w:pPr>
        <w:tabs>
          <w:tab w:val="left" w:pos="880"/>
          <w:tab w:val="right" w:leader="dot" w:pos="7937"/>
        </w:tabs>
        <w:spacing w:after="100"/>
        <w:rPr>
          <w:rFonts w:ascii="Calibri" w:eastAsia="Times New Roman" w:hAnsi="Calibri" w:cs="Calibri"/>
          <w:b/>
          <w:noProof/>
          <w:sz w:val="20"/>
          <w:szCs w:val="20"/>
          <w:lang w:val="en-AU"/>
        </w:rPr>
      </w:pPr>
      <w:hyperlink w:anchor="_Toc80718038" w:history="1">
        <w:r w:rsidR="00972745" w:rsidRPr="005734B8">
          <w:rPr>
            <w:rFonts w:ascii="Calibri" w:eastAsia="Times New Roman" w:hAnsi="Calibri" w:cs="Calibri"/>
            <w:b/>
            <w:noProof/>
            <w:sz w:val="20"/>
            <w:szCs w:val="20"/>
            <w:lang w:val="en-AU"/>
          </w:rPr>
          <w:t>Note 6</w:t>
        </w:r>
        <w:r w:rsidR="00972745" w:rsidRPr="005734B8">
          <w:rPr>
            <w:rFonts w:ascii="Calibri" w:eastAsia="Times New Roman" w:hAnsi="Calibri" w:cs="Calibri"/>
            <w:b/>
            <w:noProof/>
            <w:sz w:val="20"/>
            <w:szCs w:val="20"/>
            <w:lang w:val="en-AU"/>
          </w:rPr>
          <w:tab/>
          <w:t xml:space="preserve"> </w:t>
        </w:r>
        <w:r w:rsidR="00972745" w:rsidRPr="00972745">
          <w:rPr>
            <w:rFonts w:ascii="Calibri" w:eastAsia="Times New Roman" w:hAnsi="Calibri"/>
            <w:b/>
            <w:noProof/>
            <w:sz w:val="20"/>
            <w:szCs w:val="20"/>
            <w:lang w:val="en-AU"/>
          </w:rPr>
          <w:t>Other assets and liabilities</w:t>
        </w:r>
        <w:r w:rsidR="00972745" w:rsidRPr="005734B8">
          <w:rPr>
            <w:rFonts w:ascii="Calibri" w:eastAsia="Times New Roman" w:hAnsi="Calibri" w:cs="Calibri"/>
            <w:b/>
            <w:noProof/>
            <w:webHidden/>
            <w:sz w:val="20"/>
            <w:szCs w:val="20"/>
            <w:lang w:val="en-AU"/>
          </w:rPr>
          <w:tab/>
        </w:r>
        <w:r w:rsidR="00972745" w:rsidRPr="005734B8">
          <w:rPr>
            <w:rFonts w:ascii="Calibri" w:eastAsia="Times New Roman" w:hAnsi="Calibri" w:cs="Calibri"/>
            <w:b/>
            <w:noProof/>
            <w:webHidden/>
            <w:sz w:val="20"/>
            <w:szCs w:val="20"/>
            <w:lang w:val="en-AU"/>
          </w:rPr>
          <w:fldChar w:fldCharType="begin"/>
        </w:r>
        <w:r w:rsidR="00972745" w:rsidRPr="005734B8">
          <w:rPr>
            <w:rFonts w:ascii="Calibri" w:eastAsia="Times New Roman" w:hAnsi="Calibri" w:cs="Calibri"/>
            <w:b/>
            <w:noProof/>
            <w:webHidden/>
            <w:sz w:val="20"/>
            <w:szCs w:val="20"/>
            <w:lang w:val="en-AU"/>
          </w:rPr>
          <w:instrText xml:space="preserve"> PAGEREF _Toc80718038 \h </w:instrText>
        </w:r>
        <w:r w:rsidR="00972745" w:rsidRPr="005734B8">
          <w:rPr>
            <w:rFonts w:ascii="Calibri" w:eastAsia="Times New Roman" w:hAnsi="Calibri" w:cs="Calibri"/>
            <w:b/>
            <w:noProof/>
            <w:webHidden/>
            <w:sz w:val="20"/>
            <w:szCs w:val="20"/>
            <w:lang w:val="en-AU"/>
          </w:rPr>
        </w:r>
        <w:r w:rsidR="00972745" w:rsidRPr="005734B8">
          <w:rPr>
            <w:rFonts w:ascii="Calibri" w:eastAsia="Times New Roman" w:hAnsi="Calibri" w:cs="Calibri"/>
            <w:b/>
            <w:noProof/>
            <w:webHidden/>
            <w:sz w:val="20"/>
            <w:szCs w:val="20"/>
            <w:lang w:val="en-AU"/>
          </w:rPr>
          <w:fldChar w:fldCharType="separate"/>
        </w:r>
        <w:r w:rsidR="00606DA8">
          <w:rPr>
            <w:rFonts w:ascii="Calibri" w:eastAsia="Times New Roman" w:hAnsi="Calibri" w:cs="Calibri"/>
            <w:b/>
            <w:noProof/>
            <w:webHidden/>
            <w:sz w:val="20"/>
            <w:szCs w:val="20"/>
            <w:lang w:val="en-AU"/>
          </w:rPr>
          <w:t>162</w:t>
        </w:r>
        <w:r w:rsidR="00972745" w:rsidRPr="005734B8">
          <w:rPr>
            <w:rFonts w:ascii="Calibri" w:eastAsia="Times New Roman" w:hAnsi="Calibri" w:cs="Calibri"/>
            <w:b/>
            <w:noProof/>
            <w:webHidden/>
            <w:sz w:val="20"/>
            <w:szCs w:val="20"/>
            <w:lang w:val="en-AU"/>
          </w:rPr>
          <w:fldChar w:fldCharType="end"/>
        </w:r>
      </w:hyperlink>
    </w:p>
    <w:p w14:paraId="6FC8ED56" w14:textId="02CE1F20" w:rsidR="00972745" w:rsidRPr="005734B8" w:rsidRDefault="006C463E" w:rsidP="00972745">
      <w:pPr>
        <w:tabs>
          <w:tab w:val="left" w:pos="880"/>
          <w:tab w:val="right" w:leader="dot" w:pos="7937"/>
        </w:tabs>
        <w:spacing w:after="100"/>
        <w:rPr>
          <w:rFonts w:ascii="Calibri" w:eastAsia="Times New Roman" w:hAnsi="Calibri" w:cs="Calibri"/>
          <w:b/>
          <w:noProof/>
          <w:sz w:val="20"/>
          <w:szCs w:val="20"/>
          <w:lang w:val="en-AU"/>
        </w:rPr>
      </w:pPr>
      <w:hyperlink w:anchor="_Toc80718039" w:history="1">
        <w:r w:rsidR="00972745" w:rsidRPr="005734B8">
          <w:rPr>
            <w:rFonts w:ascii="Calibri" w:eastAsia="Times New Roman" w:hAnsi="Calibri" w:cs="Calibri"/>
            <w:b/>
            <w:noProof/>
            <w:sz w:val="20"/>
            <w:szCs w:val="20"/>
            <w:lang w:val="en-AU"/>
          </w:rPr>
          <w:t>Note 7</w:t>
        </w:r>
        <w:r w:rsidR="00972745" w:rsidRPr="005734B8">
          <w:rPr>
            <w:rFonts w:ascii="Calibri" w:eastAsia="Times New Roman" w:hAnsi="Calibri" w:cs="Calibri"/>
            <w:b/>
            <w:noProof/>
            <w:sz w:val="20"/>
            <w:szCs w:val="20"/>
            <w:lang w:val="en-AU"/>
          </w:rPr>
          <w:tab/>
          <w:t xml:space="preserve"> </w:t>
        </w:r>
        <w:r w:rsidR="00972745" w:rsidRPr="00972745">
          <w:rPr>
            <w:rFonts w:ascii="Calibri" w:eastAsia="Times New Roman" w:hAnsi="Calibri"/>
            <w:b/>
            <w:noProof/>
            <w:sz w:val="20"/>
            <w:szCs w:val="20"/>
            <w:lang w:val="en-AU"/>
          </w:rPr>
          <w:t>Financing our operations</w:t>
        </w:r>
        <w:r w:rsidR="00972745" w:rsidRPr="005734B8">
          <w:rPr>
            <w:rFonts w:ascii="Calibri" w:eastAsia="Times New Roman" w:hAnsi="Calibri" w:cs="Calibri"/>
            <w:b/>
            <w:noProof/>
            <w:webHidden/>
            <w:sz w:val="20"/>
            <w:szCs w:val="20"/>
            <w:lang w:val="en-AU"/>
          </w:rPr>
          <w:tab/>
        </w:r>
        <w:r w:rsidR="00972745" w:rsidRPr="005734B8">
          <w:rPr>
            <w:rFonts w:ascii="Calibri" w:eastAsia="Times New Roman" w:hAnsi="Calibri" w:cs="Calibri"/>
            <w:b/>
            <w:noProof/>
            <w:webHidden/>
            <w:sz w:val="20"/>
            <w:szCs w:val="20"/>
            <w:lang w:val="en-AU"/>
          </w:rPr>
          <w:fldChar w:fldCharType="begin"/>
        </w:r>
        <w:r w:rsidR="00972745" w:rsidRPr="005734B8">
          <w:rPr>
            <w:rFonts w:ascii="Calibri" w:eastAsia="Times New Roman" w:hAnsi="Calibri" w:cs="Calibri"/>
            <w:b/>
            <w:noProof/>
            <w:webHidden/>
            <w:sz w:val="20"/>
            <w:szCs w:val="20"/>
            <w:lang w:val="en-AU"/>
          </w:rPr>
          <w:instrText xml:space="preserve"> PAGEREF _Toc80718039 \h </w:instrText>
        </w:r>
        <w:r w:rsidR="00972745" w:rsidRPr="005734B8">
          <w:rPr>
            <w:rFonts w:ascii="Calibri" w:eastAsia="Times New Roman" w:hAnsi="Calibri" w:cs="Calibri"/>
            <w:b/>
            <w:noProof/>
            <w:webHidden/>
            <w:sz w:val="20"/>
            <w:szCs w:val="20"/>
            <w:lang w:val="en-AU"/>
          </w:rPr>
        </w:r>
        <w:r w:rsidR="00972745" w:rsidRPr="005734B8">
          <w:rPr>
            <w:rFonts w:ascii="Calibri" w:eastAsia="Times New Roman" w:hAnsi="Calibri" w:cs="Calibri"/>
            <w:b/>
            <w:noProof/>
            <w:webHidden/>
            <w:sz w:val="20"/>
            <w:szCs w:val="20"/>
            <w:lang w:val="en-AU"/>
          </w:rPr>
          <w:fldChar w:fldCharType="separate"/>
        </w:r>
        <w:r w:rsidR="00606DA8">
          <w:rPr>
            <w:rFonts w:ascii="Calibri" w:eastAsia="Times New Roman" w:hAnsi="Calibri" w:cs="Calibri"/>
            <w:b/>
            <w:noProof/>
            <w:webHidden/>
            <w:sz w:val="20"/>
            <w:szCs w:val="20"/>
            <w:lang w:val="en-AU"/>
          </w:rPr>
          <w:t>167</w:t>
        </w:r>
        <w:r w:rsidR="00972745" w:rsidRPr="005734B8">
          <w:rPr>
            <w:rFonts w:ascii="Calibri" w:eastAsia="Times New Roman" w:hAnsi="Calibri" w:cs="Calibri"/>
            <w:b/>
            <w:noProof/>
            <w:webHidden/>
            <w:sz w:val="20"/>
            <w:szCs w:val="20"/>
            <w:lang w:val="en-AU"/>
          </w:rPr>
          <w:fldChar w:fldCharType="end"/>
        </w:r>
      </w:hyperlink>
    </w:p>
    <w:p w14:paraId="0A45F375" w14:textId="011E3FCF" w:rsidR="00972745" w:rsidRPr="005734B8" w:rsidRDefault="006C463E" w:rsidP="00972745">
      <w:pPr>
        <w:tabs>
          <w:tab w:val="left" w:pos="880"/>
          <w:tab w:val="right" w:leader="dot" w:pos="7937"/>
        </w:tabs>
        <w:spacing w:after="100"/>
        <w:rPr>
          <w:rFonts w:ascii="Calibri" w:eastAsia="Times New Roman" w:hAnsi="Calibri" w:cs="Calibri"/>
          <w:b/>
          <w:noProof/>
          <w:sz w:val="20"/>
          <w:szCs w:val="20"/>
          <w:lang w:val="en-AU"/>
        </w:rPr>
      </w:pPr>
      <w:hyperlink w:anchor="_Toc80718040" w:history="1">
        <w:r w:rsidR="00972745" w:rsidRPr="005734B8">
          <w:rPr>
            <w:rFonts w:ascii="Calibri" w:eastAsia="Times New Roman" w:hAnsi="Calibri" w:cs="Calibri"/>
            <w:b/>
            <w:noProof/>
            <w:sz w:val="20"/>
            <w:szCs w:val="20"/>
            <w:lang w:val="en-AU"/>
          </w:rPr>
          <w:t>Note 8</w:t>
        </w:r>
        <w:r w:rsidR="00972745" w:rsidRPr="005734B8">
          <w:rPr>
            <w:rFonts w:ascii="Calibri" w:eastAsia="Times New Roman" w:hAnsi="Calibri" w:cs="Calibri"/>
            <w:b/>
            <w:noProof/>
            <w:sz w:val="20"/>
            <w:szCs w:val="20"/>
            <w:lang w:val="en-AU"/>
          </w:rPr>
          <w:tab/>
          <w:t>Risk, contingencies and valuation judgements</w:t>
        </w:r>
        <w:r w:rsidR="00972745" w:rsidRPr="005734B8">
          <w:rPr>
            <w:rFonts w:ascii="Calibri" w:eastAsia="Times New Roman" w:hAnsi="Calibri" w:cs="Calibri"/>
            <w:b/>
            <w:noProof/>
            <w:webHidden/>
            <w:sz w:val="20"/>
            <w:szCs w:val="20"/>
            <w:lang w:val="en-AU"/>
          </w:rPr>
          <w:tab/>
        </w:r>
        <w:r w:rsidR="00972745" w:rsidRPr="005734B8">
          <w:rPr>
            <w:rFonts w:ascii="Calibri" w:eastAsia="Times New Roman" w:hAnsi="Calibri" w:cs="Calibri"/>
            <w:b/>
            <w:noProof/>
            <w:webHidden/>
            <w:sz w:val="20"/>
            <w:szCs w:val="20"/>
            <w:lang w:val="en-AU"/>
          </w:rPr>
          <w:fldChar w:fldCharType="begin"/>
        </w:r>
        <w:r w:rsidR="00972745" w:rsidRPr="005734B8">
          <w:rPr>
            <w:rFonts w:ascii="Calibri" w:eastAsia="Times New Roman" w:hAnsi="Calibri" w:cs="Calibri"/>
            <w:b/>
            <w:noProof/>
            <w:webHidden/>
            <w:sz w:val="20"/>
            <w:szCs w:val="20"/>
            <w:lang w:val="en-AU"/>
          </w:rPr>
          <w:instrText xml:space="preserve"> PAGEREF _Toc80718040 \h </w:instrText>
        </w:r>
        <w:r w:rsidR="00972745" w:rsidRPr="005734B8">
          <w:rPr>
            <w:rFonts w:ascii="Calibri" w:eastAsia="Times New Roman" w:hAnsi="Calibri" w:cs="Calibri"/>
            <w:b/>
            <w:noProof/>
            <w:webHidden/>
            <w:sz w:val="20"/>
            <w:szCs w:val="20"/>
            <w:lang w:val="en-AU"/>
          </w:rPr>
        </w:r>
        <w:r w:rsidR="00972745" w:rsidRPr="005734B8">
          <w:rPr>
            <w:rFonts w:ascii="Calibri" w:eastAsia="Times New Roman" w:hAnsi="Calibri" w:cs="Calibri"/>
            <w:b/>
            <w:noProof/>
            <w:webHidden/>
            <w:sz w:val="20"/>
            <w:szCs w:val="20"/>
            <w:lang w:val="en-AU"/>
          </w:rPr>
          <w:fldChar w:fldCharType="separate"/>
        </w:r>
        <w:r w:rsidR="00606DA8">
          <w:rPr>
            <w:rFonts w:ascii="Calibri" w:eastAsia="Times New Roman" w:hAnsi="Calibri" w:cs="Calibri"/>
            <w:b/>
            <w:noProof/>
            <w:webHidden/>
            <w:sz w:val="20"/>
            <w:szCs w:val="20"/>
            <w:lang w:val="en-AU"/>
          </w:rPr>
          <w:t>178</w:t>
        </w:r>
        <w:r w:rsidR="00972745" w:rsidRPr="005734B8">
          <w:rPr>
            <w:rFonts w:ascii="Calibri" w:eastAsia="Times New Roman" w:hAnsi="Calibri" w:cs="Calibri"/>
            <w:b/>
            <w:noProof/>
            <w:webHidden/>
            <w:sz w:val="20"/>
            <w:szCs w:val="20"/>
            <w:lang w:val="en-AU"/>
          </w:rPr>
          <w:fldChar w:fldCharType="end"/>
        </w:r>
      </w:hyperlink>
    </w:p>
    <w:p w14:paraId="389982AE" w14:textId="77A63BF6" w:rsidR="00972745" w:rsidRPr="005734B8" w:rsidRDefault="006C463E" w:rsidP="00972745">
      <w:pPr>
        <w:tabs>
          <w:tab w:val="left" w:pos="880"/>
          <w:tab w:val="right" w:leader="dot" w:pos="7937"/>
        </w:tabs>
        <w:spacing w:after="100"/>
        <w:rPr>
          <w:rFonts w:ascii="Calibri" w:eastAsia="Times New Roman" w:hAnsi="Calibri" w:cs="Calibri"/>
          <w:b/>
          <w:noProof/>
          <w:sz w:val="20"/>
          <w:szCs w:val="20"/>
          <w:lang w:val="en-AU"/>
        </w:rPr>
      </w:pPr>
      <w:hyperlink w:anchor="_Toc80718041" w:history="1">
        <w:r w:rsidR="00972745" w:rsidRPr="005734B8">
          <w:rPr>
            <w:rFonts w:ascii="Calibri" w:eastAsia="Times New Roman" w:hAnsi="Calibri" w:cs="Calibri"/>
            <w:b/>
            <w:noProof/>
            <w:sz w:val="20"/>
            <w:szCs w:val="20"/>
            <w:lang w:val="en-AU"/>
          </w:rPr>
          <w:t>Note 9</w:t>
        </w:r>
        <w:r w:rsidR="00972745" w:rsidRPr="005734B8">
          <w:rPr>
            <w:rFonts w:ascii="Calibri" w:eastAsia="Times New Roman" w:hAnsi="Calibri" w:cs="Calibri"/>
            <w:b/>
            <w:noProof/>
            <w:sz w:val="20"/>
            <w:szCs w:val="20"/>
            <w:lang w:val="en-AU"/>
          </w:rPr>
          <w:tab/>
          <w:t xml:space="preserve"> </w:t>
        </w:r>
        <w:r w:rsidR="00972745" w:rsidRPr="00972745">
          <w:rPr>
            <w:rFonts w:ascii="Calibri" w:eastAsia="Times New Roman" w:hAnsi="Calibri"/>
            <w:b/>
            <w:noProof/>
            <w:sz w:val="20"/>
            <w:szCs w:val="20"/>
            <w:lang w:val="en-AU"/>
          </w:rPr>
          <w:t>Other disclosures</w:t>
        </w:r>
        <w:r w:rsidR="00972745" w:rsidRPr="005734B8">
          <w:rPr>
            <w:rFonts w:ascii="Calibri" w:eastAsia="Times New Roman" w:hAnsi="Calibri" w:cs="Calibri"/>
            <w:b/>
            <w:noProof/>
            <w:webHidden/>
            <w:sz w:val="20"/>
            <w:szCs w:val="20"/>
            <w:lang w:val="en-AU"/>
          </w:rPr>
          <w:tab/>
        </w:r>
        <w:r w:rsidR="00972745" w:rsidRPr="005734B8">
          <w:rPr>
            <w:rFonts w:ascii="Calibri" w:eastAsia="Times New Roman" w:hAnsi="Calibri" w:cs="Calibri"/>
            <w:b/>
            <w:noProof/>
            <w:webHidden/>
            <w:sz w:val="20"/>
            <w:szCs w:val="20"/>
            <w:lang w:val="en-AU"/>
          </w:rPr>
          <w:fldChar w:fldCharType="begin"/>
        </w:r>
        <w:r w:rsidR="00972745" w:rsidRPr="005734B8">
          <w:rPr>
            <w:rFonts w:ascii="Calibri" w:eastAsia="Times New Roman" w:hAnsi="Calibri" w:cs="Calibri"/>
            <w:b/>
            <w:noProof/>
            <w:webHidden/>
            <w:sz w:val="20"/>
            <w:szCs w:val="20"/>
            <w:lang w:val="en-AU"/>
          </w:rPr>
          <w:instrText xml:space="preserve"> PAGEREF _Toc80718041 \h </w:instrText>
        </w:r>
        <w:r w:rsidR="00972745" w:rsidRPr="005734B8">
          <w:rPr>
            <w:rFonts w:ascii="Calibri" w:eastAsia="Times New Roman" w:hAnsi="Calibri" w:cs="Calibri"/>
            <w:b/>
            <w:noProof/>
            <w:webHidden/>
            <w:sz w:val="20"/>
            <w:szCs w:val="20"/>
            <w:lang w:val="en-AU"/>
          </w:rPr>
        </w:r>
        <w:r w:rsidR="00972745" w:rsidRPr="005734B8">
          <w:rPr>
            <w:rFonts w:ascii="Calibri" w:eastAsia="Times New Roman" w:hAnsi="Calibri" w:cs="Calibri"/>
            <w:b/>
            <w:noProof/>
            <w:webHidden/>
            <w:sz w:val="20"/>
            <w:szCs w:val="20"/>
            <w:lang w:val="en-AU"/>
          </w:rPr>
          <w:fldChar w:fldCharType="separate"/>
        </w:r>
        <w:r w:rsidR="00606DA8">
          <w:rPr>
            <w:rFonts w:ascii="Calibri" w:eastAsia="Times New Roman" w:hAnsi="Calibri" w:cs="Calibri"/>
            <w:b/>
            <w:noProof/>
            <w:webHidden/>
            <w:sz w:val="20"/>
            <w:szCs w:val="20"/>
            <w:lang w:val="en-AU"/>
          </w:rPr>
          <w:t>189</w:t>
        </w:r>
        <w:r w:rsidR="00972745" w:rsidRPr="005734B8">
          <w:rPr>
            <w:rFonts w:ascii="Calibri" w:eastAsia="Times New Roman" w:hAnsi="Calibri" w:cs="Calibri"/>
            <w:b/>
            <w:noProof/>
            <w:webHidden/>
            <w:sz w:val="20"/>
            <w:szCs w:val="20"/>
            <w:lang w:val="en-AU"/>
          </w:rPr>
          <w:fldChar w:fldCharType="end"/>
        </w:r>
      </w:hyperlink>
    </w:p>
    <w:p w14:paraId="2C6AFF42" w14:textId="21A3340C" w:rsidR="00B365A8" w:rsidRPr="005734B8" w:rsidRDefault="00F20069" w:rsidP="00A52BFC">
      <w:pPr>
        <w:pStyle w:val="TOC1"/>
        <w:rPr>
          <w:b w:val="0"/>
          <w:color w:val="25215F"/>
          <w:sz w:val="26"/>
          <w:szCs w:val="26"/>
          <w:lang w:eastAsia="en-AU"/>
        </w:rPr>
      </w:pPr>
      <w:r w:rsidRPr="005734B8">
        <w:rPr>
          <w:sz w:val="20"/>
          <w:szCs w:val="20"/>
        </w:rPr>
        <w:fldChar w:fldCharType="end"/>
      </w:r>
      <w:bookmarkStart w:id="1170" w:name="_Toc30413669"/>
      <w:r w:rsidR="00B365A8" w:rsidRPr="005734B8">
        <w:rPr>
          <w:color w:val="25215F"/>
          <w:sz w:val="26"/>
          <w:szCs w:val="26"/>
          <w:lang w:eastAsia="en-AU"/>
        </w:rPr>
        <w:br w:type="page"/>
      </w:r>
    </w:p>
    <w:p w14:paraId="30FD8714" w14:textId="40240A5C" w:rsidR="00A52BFC" w:rsidRDefault="0047687A" w:rsidP="00A52BFC">
      <w:pPr>
        <w:pStyle w:val="Note"/>
      </w:pPr>
      <w:bookmarkStart w:id="1171" w:name="_Toc14965554"/>
      <w:bookmarkStart w:id="1172" w:name="_Toc36012768"/>
      <w:bookmarkStart w:id="1173" w:name="_Toc36012846"/>
      <w:bookmarkStart w:id="1174" w:name="_Toc58243429"/>
      <w:bookmarkStart w:id="1175" w:name="_Toc72958079"/>
      <w:bookmarkStart w:id="1176" w:name="_Toc72958127"/>
      <w:bookmarkStart w:id="1177" w:name="_Toc80272067"/>
      <w:bookmarkStart w:id="1178" w:name="_Toc81315366"/>
      <w:bookmarkEnd w:id="1170"/>
      <w:r w:rsidRPr="004B2F32">
        <w:lastRenderedPageBreak/>
        <w:t xml:space="preserve">About this </w:t>
      </w:r>
      <w:r w:rsidR="00FE5E0C">
        <w:t>r</w:t>
      </w:r>
      <w:r w:rsidRPr="004B2F32">
        <w:t>eport</w:t>
      </w:r>
      <w:bookmarkEnd w:id="1171"/>
      <w:bookmarkEnd w:id="1172"/>
      <w:bookmarkEnd w:id="1173"/>
      <w:bookmarkEnd w:id="1174"/>
      <w:bookmarkEnd w:id="1175"/>
      <w:bookmarkEnd w:id="1176"/>
      <w:bookmarkEnd w:id="1177"/>
      <w:bookmarkEnd w:id="1178"/>
    </w:p>
    <w:p w14:paraId="6D3F33A2" w14:textId="1617FACF" w:rsidR="0047687A" w:rsidRPr="005734B8" w:rsidRDefault="000E29FE" w:rsidP="00A52BFC">
      <w:pPr>
        <w:rPr>
          <w:rFonts w:ascii="Calibri" w:hAnsi="Calibri" w:cs="Calibri"/>
          <w:szCs w:val="22"/>
        </w:rPr>
      </w:pPr>
      <w:r w:rsidRPr="005734B8">
        <w:rPr>
          <w:rFonts w:ascii="Calibri" w:hAnsi="Calibri" w:cs="Calibri"/>
          <w:szCs w:val="22"/>
        </w:rPr>
        <w:fldChar w:fldCharType="begin"/>
      </w:r>
      <w:r w:rsidRPr="005734B8">
        <w:rPr>
          <w:rFonts w:ascii="Calibri" w:hAnsi="Calibri" w:cs="Calibri"/>
          <w:szCs w:val="22"/>
        </w:rPr>
        <w:instrText xml:space="preserve"> TC  "</w:instrText>
      </w:r>
      <w:bookmarkStart w:id="1179" w:name="_Toc80718033"/>
      <w:r w:rsidRPr="005734B8">
        <w:rPr>
          <w:rFonts w:ascii="Calibri" w:hAnsi="Calibri" w:cs="Calibri"/>
          <w:szCs w:val="22"/>
        </w:rPr>
        <w:instrText>Note 1</w:instrText>
      </w:r>
      <w:r w:rsidRPr="005734B8">
        <w:rPr>
          <w:rFonts w:ascii="Calibri" w:hAnsi="Calibri" w:cs="Calibri"/>
          <w:szCs w:val="22"/>
        </w:rPr>
        <w:tab/>
        <w:instrText>About this Report</w:instrText>
      </w:r>
      <w:bookmarkEnd w:id="1179"/>
      <w:r w:rsidRPr="005734B8">
        <w:rPr>
          <w:rFonts w:ascii="Calibri" w:hAnsi="Calibri" w:cs="Calibri"/>
          <w:szCs w:val="22"/>
        </w:rPr>
        <w:instrText xml:space="preserve">" \f X \l 1 </w:instrText>
      </w:r>
      <w:r w:rsidRPr="005734B8">
        <w:rPr>
          <w:rFonts w:ascii="Calibri" w:hAnsi="Calibri" w:cs="Calibri"/>
          <w:szCs w:val="22"/>
        </w:rPr>
        <w:fldChar w:fldCharType="end"/>
      </w:r>
    </w:p>
    <w:p w14:paraId="2CACB601" w14:textId="77777777" w:rsidR="0047687A" w:rsidRPr="005734B8" w:rsidRDefault="0047687A" w:rsidP="00F1540A">
      <w:pPr>
        <w:pStyle w:val="ESHeading2"/>
        <w:numPr>
          <w:ilvl w:val="1"/>
          <w:numId w:val="59"/>
        </w:numPr>
        <w:rPr>
          <w:rFonts w:ascii="Calibri" w:hAnsi="Calibri" w:cs="Calibri"/>
        </w:rPr>
      </w:pPr>
      <w:bookmarkStart w:id="1180" w:name="_Toc36012769"/>
      <w:bookmarkStart w:id="1181" w:name="_Toc36012847"/>
      <w:bookmarkStart w:id="1182" w:name="_Toc36013344"/>
      <w:bookmarkStart w:id="1183" w:name="_Toc58243430"/>
      <w:bookmarkStart w:id="1184" w:name="_Toc72958080"/>
      <w:bookmarkStart w:id="1185" w:name="_Toc72958128"/>
      <w:bookmarkStart w:id="1186" w:name="_Toc80272068"/>
      <w:bookmarkStart w:id="1187" w:name="_Toc81315367"/>
      <w:bookmarkStart w:id="1188" w:name="_Hlk48849039"/>
      <w:r w:rsidRPr="005734B8">
        <w:rPr>
          <w:rFonts w:ascii="Calibri" w:hAnsi="Calibri" w:cs="Calibri"/>
        </w:rPr>
        <w:t>Basis of preparation</w:t>
      </w:r>
      <w:bookmarkEnd w:id="1180"/>
      <w:bookmarkEnd w:id="1181"/>
      <w:bookmarkEnd w:id="1182"/>
      <w:bookmarkEnd w:id="1183"/>
      <w:bookmarkEnd w:id="1184"/>
      <w:bookmarkEnd w:id="1185"/>
      <w:bookmarkEnd w:id="1186"/>
      <w:bookmarkEnd w:id="1187"/>
    </w:p>
    <w:bookmarkEnd w:id="1188"/>
    <w:p w14:paraId="78CF0A6B" w14:textId="77777777" w:rsidR="0047687A" w:rsidRPr="005734B8" w:rsidRDefault="0047687A" w:rsidP="0047687A">
      <w:pPr>
        <w:rPr>
          <w:rFonts w:ascii="Calibri" w:hAnsi="Calibri" w:cs="Calibri"/>
          <w:szCs w:val="22"/>
        </w:rPr>
      </w:pPr>
      <w:r w:rsidRPr="005734B8">
        <w:rPr>
          <w:rFonts w:ascii="Calibri" w:hAnsi="Calibri" w:cs="Calibri"/>
          <w:szCs w:val="22"/>
        </w:rPr>
        <w:t xml:space="preserve">These annual financial statements represent the audited general purpose financial statements for the Department for the year ended </w:t>
      </w:r>
      <w:r w:rsidRPr="005734B8">
        <w:rPr>
          <w:rFonts w:ascii="Calibri" w:hAnsi="Calibri" w:cs="Calibri"/>
          <w:szCs w:val="22"/>
        </w:rPr>
        <w:fldChar w:fldCharType="begin"/>
      </w:r>
      <w:r w:rsidRPr="005734B8">
        <w:rPr>
          <w:rFonts w:ascii="Calibri" w:hAnsi="Calibri" w:cs="Calibri"/>
          <w:szCs w:val="22"/>
        </w:rPr>
        <w:instrText xml:space="preserve"> DOCPROPERTY  pEnd  \* MERGEFORMAT </w:instrText>
      </w:r>
      <w:r w:rsidRPr="005734B8">
        <w:rPr>
          <w:rFonts w:ascii="Calibri" w:hAnsi="Calibri" w:cs="Calibri"/>
          <w:szCs w:val="22"/>
        </w:rPr>
        <w:fldChar w:fldCharType="separate"/>
      </w:r>
      <w:r w:rsidRPr="005734B8">
        <w:rPr>
          <w:rFonts w:ascii="Calibri" w:hAnsi="Calibri" w:cs="Calibri"/>
          <w:szCs w:val="22"/>
        </w:rPr>
        <w:t>30 June</w:t>
      </w:r>
      <w:r w:rsidRPr="005734B8">
        <w:rPr>
          <w:rFonts w:ascii="Calibri" w:hAnsi="Calibri" w:cs="Calibri"/>
          <w:szCs w:val="22"/>
        </w:rPr>
        <w:fldChar w:fldCharType="end"/>
      </w:r>
      <w:r w:rsidRPr="005734B8">
        <w:rPr>
          <w:rFonts w:ascii="Calibri" w:hAnsi="Calibri" w:cs="Calibri"/>
          <w:szCs w:val="22"/>
        </w:rPr>
        <w:t xml:space="preserve"> </w:t>
      </w:r>
      <w:r w:rsidRPr="005734B8">
        <w:rPr>
          <w:rFonts w:ascii="Calibri" w:hAnsi="Calibri" w:cs="Calibri"/>
          <w:szCs w:val="22"/>
        </w:rPr>
        <w:fldChar w:fldCharType="begin"/>
      </w:r>
      <w:r w:rsidRPr="005734B8">
        <w:rPr>
          <w:rFonts w:ascii="Calibri" w:hAnsi="Calibri" w:cs="Calibri"/>
          <w:szCs w:val="22"/>
        </w:rPr>
        <w:instrText xml:space="preserve"> DOCPROPERTY  crYear  \* MERGEFORMAT </w:instrText>
      </w:r>
      <w:r w:rsidRPr="005734B8">
        <w:rPr>
          <w:rFonts w:ascii="Calibri" w:hAnsi="Calibri" w:cs="Calibri"/>
          <w:szCs w:val="22"/>
        </w:rPr>
        <w:fldChar w:fldCharType="separate"/>
      </w:r>
      <w:r w:rsidRPr="005734B8">
        <w:rPr>
          <w:rFonts w:ascii="Calibri" w:hAnsi="Calibri" w:cs="Calibri"/>
          <w:szCs w:val="22"/>
        </w:rPr>
        <w:t>2021</w:t>
      </w:r>
      <w:r w:rsidRPr="005734B8">
        <w:rPr>
          <w:rFonts w:ascii="Calibri" w:hAnsi="Calibri" w:cs="Calibri"/>
          <w:szCs w:val="22"/>
        </w:rPr>
        <w:fldChar w:fldCharType="end"/>
      </w:r>
      <w:r w:rsidRPr="005734B8">
        <w:rPr>
          <w:rFonts w:ascii="Calibri" w:hAnsi="Calibri" w:cs="Calibri"/>
          <w:szCs w:val="22"/>
        </w:rPr>
        <w:t>. The purpose of the report is to provide users with information about the Department’s stewardship of resources entrusted to it.</w:t>
      </w:r>
    </w:p>
    <w:p w14:paraId="63D0E742" w14:textId="77777777" w:rsidR="0080592D" w:rsidRPr="005734B8" w:rsidRDefault="0080592D" w:rsidP="0047687A">
      <w:pPr>
        <w:rPr>
          <w:rFonts w:ascii="Calibri" w:hAnsi="Calibri" w:cs="Calibri"/>
          <w:szCs w:val="22"/>
        </w:rPr>
      </w:pPr>
    </w:p>
    <w:p w14:paraId="6DEE74B7" w14:textId="31FE2057" w:rsidR="0047687A" w:rsidRPr="005734B8" w:rsidRDefault="0047687A" w:rsidP="0047687A">
      <w:pPr>
        <w:rPr>
          <w:rFonts w:ascii="Calibri" w:hAnsi="Calibri" w:cs="Calibri"/>
          <w:szCs w:val="22"/>
        </w:rPr>
      </w:pPr>
      <w:r w:rsidRPr="005734B8">
        <w:rPr>
          <w:rFonts w:ascii="Calibri" w:hAnsi="Calibri" w:cs="Calibri"/>
          <w:szCs w:val="22"/>
        </w:rPr>
        <w:t>These financial statements are in Australian dollars</w:t>
      </w:r>
      <w:r w:rsidR="0080592D" w:rsidRPr="005734B8">
        <w:rPr>
          <w:rFonts w:ascii="Calibri" w:hAnsi="Calibri" w:cs="Calibri"/>
          <w:szCs w:val="22"/>
        </w:rPr>
        <w:t>.</w:t>
      </w:r>
      <w:r w:rsidRPr="005734B8">
        <w:rPr>
          <w:rFonts w:ascii="Calibri" w:hAnsi="Calibri" w:cs="Calibri"/>
          <w:szCs w:val="22"/>
        </w:rPr>
        <w:t xml:space="preserve"> </w:t>
      </w:r>
      <w:r w:rsidR="0080592D" w:rsidRPr="005734B8">
        <w:rPr>
          <w:rFonts w:ascii="Calibri" w:hAnsi="Calibri" w:cs="Calibri"/>
          <w:szCs w:val="22"/>
        </w:rPr>
        <w:t>T</w:t>
      </w:r>
      <w:r w:rsidRPr="005734B8">
        <w:rPr>
          <w:rFonts w:ascii="Calibri" w:hAnsi="Calibri" w:cs="Calibri"/>
          <w:szCs w:val="22"/>
        </w:rPr>
        <w:t>he historical cost convention is used unless a different measurement basis is specifically disclosed in the note associated with the item measured on a different basis.</w:t>
      </w:r>
    </w:p>
    <w:p w14:paraId="70007CD3" w14:textId="77777777" w:rsidR="0047687A" w:rsidRPr="005734B8" w:rsidRDefault="0047687A" w:rsidP="0047687A">
      <w:pPr>
        <w:rPr>
          <w:rFonts w:ascii="Calibri" w:hAnsi="Calibri" w:cs="Calibri"/>
          <w:szCs w:val="22"/>
        </w:rPr>
      </w:pPr>
    </w:p>
    <w:p w14:paraId="5DC19DAA" w14:textId="7D2B81DE" w:rsidR="0047687A" w:rsidRPr="005734B8" w:rsidRDefault="0047687A" w:rsidP="0047687A">
      <w:pPr>
        <w:rPr>
          <w:rFonts w:ascii="Calibri" w:hAnsi="Calibri" w:cs="Calibri"/>
          <w:szCs w:val="22"/>
        </w:rPr>
      </w:pPr>
      <w:r w:rsidRPr="005734B8">
        <w:rPr>
          <w:rFonts w:ascii="Calibri" w:hAnsi="Calibri" w:cs="Calibri"/>
          <w:szCs w:val="22"/>
        </w:rPr>
        <w:t>The accrual basis of accounting has been applied in the preparation of these financial statements</w:t>
      </w:r>
      <w:r w:rsidR="0080592D" w:rsidRPr="005734B8">
        <w:rPr>
          <w:rFonts w:ascii="Calibri" w:hAnsi="Calibri" w:cs="Calibri"/>
          <w:szCs w:val="22"/>
        </w:rPr>
        <w:t>,</w:t>
      </w:r>
      <w:r w:rsidRPr="005734B8">
        <w:rPr>
          <w:rFonts w:ascii="Calibri" w:hAnsi="Calibri" w:cs="Calibri"/>
          <w:szCs w:val="22"/>
        </w:rPr>
        <w:t xml:space="preserve"> whereby assets, liabilities, equity, income and expenses are recognised in the reporting period to which they relate, regardless of when cash is received or paid.</w:t>
      </w:r>
    </w:p>
    <w:p w14:paraId="67CA7C11" w14:textId="77777777" w:rsidR="0047687A" w:rsidRPr="005734B8" w:rsidRDefault="0047687A" w:rsidP="0047687A">
      <w:pPr>
        <w:rPr>
          <w:rFonts w:ascii="Calibri" w:hAnsi="Calibri" w:cs="Calibri"/>
          <w:szCs w:val="22"/>
        </w:rPr>
      </w:pPr>
    </w:p>
    <w:p w14:paraId="5E0674EF" w14:textId="77777777" w:rsidR="0047687A" w:rsidRPr="005734B8" w:rsidRDefault="0047687A" w:rsidP="0047687A">
      <w:pPr>
        <w:rPr>
          <w:rFonts w:ascii="Calibri" w:hAnsi="Calibri" w:cs="Calibri"/>
          <w:szCs w:val="22"/>
        </w:rPr>
      </w:pPr>
      <w:r w:rsidRPr="005734B8">
        <w:rPr>
          <w:rFonts w:ascii="Calibri" w:hAnsi="Calibri" w:cs="Calibri"/>
          <w:szCs w:val="22"/>
        </w:rPr>
        <w:t>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38C0F015" w14:textId="77777777" w:rsidR="0047687A" w:rsidRPr="005734B8" w:rsidRDefault="0047687A" w:rsidP="0047687A">
      <w:pPr>
        <w:rPr>
          <w:rFonts w:ascii="Calibri" w:hAnsi="Calibri" w:cs="Calibri"/>
          <w:szCs w:val="22"/>
        </w:rPr>
      </w:pPr>
    </w:p>
    <w:p w14:paraId="5CC727C0" w14:textId="77777777" w:rsidR="0047687A" w:rsidRPr="005734B8" w:rsidRDefault="0047687A" w:rsidP="0047687A">
      <w:pPr>
        <w:rPr>
          <w:rFonts w:ascii="Calibri" w:hAnsi="Calibri" w:cs="Calibri"/>
          <w:szCs w:val="22"/>
        </w:rPr>
      </w:pPr>
      <w:r w:rsidRPr="005734B8">
        <w:rPr>
          <w:rFonts w:ascii="Calibri" w:hAnsi="Calibri" w:cs="Calibri"/>
          <w:szCs w:val="22"/>
        </w:rPr>
        <w:t>Revisions to accounting estimates are recognised in the period in which the estimate is revised and also in future periods that are affected by the revision. Judgements and assumptions made by management in the application of Australian Accounting Standards (AASs) that have significant effects on the financial statements and estimates relate to:</w:t>
      </w:r>
    </w:p>
    <w:p w14:paraId="5F4CCD96" w14:textId="77777777" w:rsidR="0047687A" w:rsidRPr="005734B8" w:rsidRDefault="0047687A" w:rsidP="0047687A">
      <w:pPr>
        <w:pStyle w:val="ESbullet1"/>
        <w:numPr>
          <w:ilvl w:val="0"/>
          <w:numId w:val="36"/>
        </w:numPr>
        <w:spacing w:after="0"/>
        <w:rPr>
          <w:rFonts w:ascii="Calibri" w:hAnsi="Calibri" w:cs="Calibri"/>
        </w:rPr>
      </w:pPr>
      <w:r w:rsidRPr="005734B8">
        <w:rPr>
          <w:rFonts w:ascii="Calibri" w:hAnsi="Calibri" w:cs="Calibri"/>
        </w:rPr>
        <w:t>the fair value of land, buildings, plant and equipment (Note 8.2.2)</w:t>
      </w:r>
    </w:p>
    <w:p w14:paraId="2077CF5B" w14:textId="77777777" w:rsidR="0047687A" w:rsidRPr="005734B8" w:rsidRDefault="0047687A" w:rsidP="0047687A">
      <w:pPr>
        <w:pStyle w:val="ESbullet1"/>
        <w:numPr>
          <w:ilvl w:val="0"/>
          <w:numId w:val="36"/>
        </w:numPr>
        <w:spacing w:after="0"/>
        <w:rPr>
          <w:rFonts w:ascii="Calibri" w:hAnsi="Calibri" w:cs="Calibri"/>
        </w:rPr>
      </w:pPr>
      <w:r w:rsidRPr="005734B8">
        <w:rPr>
          <w:rFonts w:ascii="Calibri" w:hAnsi="Calibri" w:cs="Calibri"/>
        </w:rPr>
        <w:t>impairment of buildings, plant and equipment, and intangibles (Note 5.1.1)</w:t>
      </w:r>
    </w:p>
    <w:p w14:paraId="2F5AA40F" w14:textId="77E9DFC8" w:rsidR="0047687A" w:rsidRPr="005734B8" w:rsidRDefault="0047687A" w:rsidP="0047687A">
      <w:pPr>
        <w:pStyle w:val="ESbullet1"/>
        <w:numPr>
          <w:ilvl w:val="0"/>
          <w:numId w:val="36"/>
        </w:numPr>
        <w:spacing w:after="0"/>
        <w:rPr>
          <w:rFonts w:ascii="Calibri" w:hAnsi="Calibri" w:cs="Calibri"/>
        </w:rPr>
      </w:pPr>
      <w:r w:rsidRPr="005734B8">
        <w:rPr>
          <w:rFonts w:ascii="Calibri" w:hAnsi="Calibri" w:cs="Calibri"/>
        </w:rPr>
        <w:t xml:space="preserve">depreciation and </w:t>
      </w:r>
      <w:r w:rsidR="00B01CBB">
        <w:rPr>
          <w:rFonts w:ascii="Calibri" w:hAnsi="Calibri" w:cs="Calibri"/>
        </w:rPr>
        <w:t>amortisation</w:t>
      </w:r>
      <w:r w:rsidRPr="005734B8">
        <w:rPr>
          <w:rFonts w:ascii="Calibri" w:hAnsi="Calibri" w:cs="Calibri"/>
        </w:rPr>
        <w:t xml:space="preserve"> expense (Note</w:t>
      </w:r>
      <w:r w:rsidR="0080592D" w:rsidRPr="005734B8">
        <w:rPr>
          <w:rFonts w:ascii="Calibri" w:hAnsi="Calibri" w:cs="Calibri"/>
        </w:rPr>
        <w:t>s</w:t>
      </w:r>
      <w:r w:rsidRPr="005734B8">
        <w:rPr>
          <w:rFonts w:ascii="Calibri" w:hAnsi="Calibri" w:cs="Calibri"/>
        </w:rPr>
        <w:t xml:space="preserve"> 5.1 and 5.2)</w:t>
      </w:r>
    </w:p>
    <w:p w14:paraId="4354B0A9" w14:textId="0D123BEA" w:rsidR="0047687A" w:rsidRPr="005734B8" w:rsidRDefault="0047687A" w:rsidP="0047687A">
      <w:pPr>
        <w:pStyle w:val="ESbullet1"/>
        <w:numPr>
          <w:ilvl w:val="0"/>
          <w:numId w:val="36"/>
        </w:numPr>
        <w:spacing w:after="0"/>
        <w:rPr>
          <w:rFonts w:ascii="Calibri" w:hAnsi="Calibri" w:cs="Calibri"/>
          <w:szCs w:val="22"/>
          <w:lang w:val="en-AU"/>
        </w:rPr>
      </w:pPr>
      <w:r w:rsidRPr="005734B8">
        <w:rPr>
          <w:rFonts w:ascii="Calibri" w:hAnsi="Calibri" w:cs="Calibri"/>
        </w:rPr>
        <w:t>assumptions for employee benefit provisions based on likely tenure of</w:t>
      </w:r>
      <w:r w:rsidRPr="005734B8">
        <w:rPr>
          <w:rFonts w:ascii="Calibri" w:hAnsi="Calibri" w:cs="Calibri"/>
          <w:szCs w:val="22"/>
          <w:lang w:val="en-AU"/>
        </w:rPr>
        <w:t xml:space="preserve"> existing staff, patterns of leave claims, future salary movements and future discount rates (Note</w:t>
      </w:r>
      <w:r w:rsidR="0080592D" w:rsidRPr="005734B8">
        <w:rPr>
          <w:rFonts w:ascii="Calibri" w:hAnsi="Calibri" w:cs="Calibri"/>
          <w:szCs w:val="22"/>
          <w:lang w:val="en-AU"/>
        </w:rPr>
        <w:t> </w:t>
      </w:r>
      <w:r w:rsidRPr="005734B8">
        <w:rPr>
          <w:rFonts w:ascii="Calibri" w:hAnsi="Calibri" w:cs="Calibri"/>
          <w:szCs w:val="22"/>
          <w:lang w:val="en-AU"/>
        </w:rPr>
        <w:t>3.1.1).</w:t>
      </w:r>
    </w:p>
    <w:p w14:paraId="230A1BBD" w14:textId="77777777" w:rsidR="0047687A" w:rsidRPr="005734B8" w:rsidRDefault="0047687A" w:rsidP="0047687A">
      <w:pPr>
        <w:pStyle w:val="ESbullet1"/>
        <w:spacing w:after="0"/>
        <w:ind w:left="360" w:firstLine="0"/>
        <w:rPr>
          <w:rFonts w:ascii="Calibri" w:hAnsi="Calibri" w:cs="Calibri"/>
          <w:szCs w:val="22"/>
          <w:lang w:val="en-AU"/>
        </w:rPr>
      </w:pPr>
    </w:p>
    <w:p w14:paraId="55D6DB0E" w14:textId="6AA58798" w:rsidR="0047687A" w:rsidRPr="005734B8" w:rsidRDefault="0047687A" w:rsidP="0047687A">
      <w:pPr>
        <w:rPr>
          <w:rFonts w:ascii="Calibri" w:hAnsi="Calibri" w:cs="Calibri"/>
        </w:rPr>
      </w:pPr>
      <w:bookmarkStart w:id="1189" w:name="_Hlk48849058"/>
      <w:r w:rsidRPr="005734B8">
        <w:rPr>
          <w:rFonts w:ascii="Calibri" w:hAnsi="Calibri" w:cs="Calibri"/>
        </w:rPr>
        <w:t>The Department</w:t>
      </w:r>
      <w:r w:rsidR="0080592D" w:rsidRPr="005734B8">
        <w:rPr>
          <w:rFonts w:ascii="Calibri" w:hAnsi="Calibri" w:cs="Calibri"/>
        </w:rPr>
        <w:t>,</w:t>
      </w:r>
      <w:r w:rsidRPr="005734B8">
        <w:rPr>
          <w:rFonts w:ascii="Calibri" w:hAnsi="Calibri" w:cs="Calibri"/>
        </w:rPr>
        <w:t xml:space="preserve"> in exercising its judgements, estimates and assumptions take into account the financial impacts of the COVID-19 pandemic. The financial impacts arising from the COVID-19 pandemic, including any ongoing uncertainties, to the extent the Department is able to identify </w:t>
      </w:r>
      <w:r w:rsidR="0080592D" w:rsidRPr="005734B8">
        <w:rPr>
          <w:rFonts w:ascii="Calibri" w:hAnsi="Calibri" w:cs="Calibri"/>
        </w:rPr>
        <w:t>them,</w:t>
      </w:r>
      <w:r w:rsidRPr="005734B8">
        <w:rPr>
          <w:rFonts w:ascii="Calibri" w:hAnsi="Calibri" w:cs="Calibri"/>
        </w:rPr>
        <w:t xml:space="preserve"> are disclosed in the following relevant notes:</w:t>
      </w:r>
    </w:p>
    <w:p w14:paraId="2E9E872C" w14:textId="7097EE78" w:rsidR="0047687A" w:rsidRPr="005734B8" w:rsidRDefault="0047687A" w:rsidP="0047687A">
      <w:pPr>
        <w:pStyle w:val="ListParagraph"/>
        <w:numPr>
          <w:ilvl w:val="0"/>
          <w:numId w:val="36"/>
        </w:numPr>
        <w:rPr>
          <w:rFonts w:ascii="Calibri" w:hAnsi="Calibri" w:cs="Calibri"/>
        </w:rPr>
      </w:pPr>
      <w:r w:rsidRPr="005734B8">
        <w:rPr>
          <w:rFonts w:ascii="Calibri" w:hAnsi="Calibri" w:cs="Calibri"/>
        </w:rPr>
        <w:t>Note 5.1.1 </w:t>
      </w:r>
      <w:r w:rsidR="002704CC" w:rsidRPr="005734B8">
        <w:rPr>
          <w:rFonts w:ascii="Calibri" w:hAnsi="Calibri" w:cs="Calibri"/>
        </w:rPr>
        <w:t>Impairment of non-financial assets</w:t>
      </w:r>
    </w:p>
    <w:p w14:paraId="12B469B8" w14:textId="5D35E698" w:rsidR="0047687A" w:rsidRPr="005734B8" w:rsidRDefault="0047687A" w:rsidP="0047687A">
      <w:pPr>
        <w:pStyle w:val="ListParagraph"/>
        <w:numPr>
          <w:ilvl w:val="0"/>
          <w:numId w:val="36"/>
        </w:numPr>
        <w:rPr>
          <w:rFonts w:ascii="Calibri" w:hAnsi="Calibri" w:cs="Calibri"/>
        </w:rPr>
      </w:pPr>
      <w:r w:rsidRPr="005734B8">
        <w:rPr>
          <w:rFonts w:ascii="Calibri" w:hAnsi="Calibri" w:cs="Calibri"/>
        </w:rPr>
        <w:t>Note 5.2 </w:t>
      </w:r>
      <w:r w:rsidR="002704CC" w:rsidRPr="005734B8">
        <w:rPr>
          <w:rFonts w:ascii="Calibri" w:hAnsi="Calibri" w:cs="Calibri"/>
        </w:rPr>
        <w:t>Impairment of intangible</w:t>
      </w:r>
      <w:r w:rsidRPr="005734B8">
        <w:rPr>
          <w:rFonts w:ascii="Calibri" w:hAnsi="Calibri" w:cs="Calibri"/>
        </w:rPr>
        <w:t xml:space="preserve"> assets</w:t>
      </w:r>
    </w:p>
    <w:p w14:paraId="2E487D4E" w14:textId="77777777" w:rsidR="0047687A" w:rsidRPr="005734B8" w:rsidRDefault="0047687A" w:rsidP="0047687A">
      <w:pPr>
        <w:pStyle w:val="ListParagraph"/>
        <w:numPr>
          <w:ilvl w:val="0"/>
          <w:numId w:val="36"/>
        </w:numPr>
        <w:rPr>
          <w:rFonts w:ascii="Calibri" w:hAnsi="Calibri" w:cs="Calibri"/>
          <w:szCs w:val="22"/>
        </w:rPr>
      </w:pPr>
      <w:r w:rsidRPr="005734B8">
        <w:rPr>
          <w:rFonts w:ascii="Calibri" w:hAnsi="Calibri" w:cs="Calibri"/>
        </w:rPr>
        <w:t>Note 7.2 Leases</w:t>
      </w:r>
      <w:bookmarkEnd w:id="1189"/>
    </w:p>
    <w:p w14:paraId="2DFBDB6D" w14:textId="77777777" w:rsidR="0047687A" w:rsidRPr="005734B8" w:rsidRDefault="0047687A" w:rsidP="0047687A">
      <w:pPr>
        <w:pStyle w:val="ListParagraph"/>
        <w:numPr>
          <w:ilvl w:val="0"/>
          <w:numId w:val="36"/>
        </w:numPr>
        <w:rPr>
          <w:rFonts w:ascii="Calibri" w:hAnsi="Calibri" w:cs="Calibri"/>
          <w:szCs w:val="22"/>
        </w:rPr>
      </w:pPr>
      <w:r w:rsidRPr="005734B8">
        <w:rPr>
          <w:rFonts w:ascii="Calibri" w:hAnsi="Calibri" w:cs="Calibri"/>
        </w:rPr>
        <w:t>Note 8.1 Financial instrument specific disclosures</w:t>
      </w:r>
    </w:p>
    <w:p w14:paraId="15173325" w14:textId="672A1DFA" w:rsidR="0047687A" w:rsidRPr="005734B8" w:rsidRDefault="0047687A">
      <w:pPr>
        <w:rPr>
          <w:rFonts w:ascii="Calibri" w:eastAsiaTheme="minorEastAsia" w:hAnsi="Calibri" w:cs="Calibri"/>
          <w:szCs w:val="22"/>
          <w:highlight w:val="yellow"/>
          <w:lang w:val="en-AU"/>
        </w:rPr>
      </w:pPr>
      <w:r w:rsidRPr="005734B8">
        <w:rPr>
          <w:rFonts w:ascii="Calibri" w:hAnsi="Calibri" w:cs="Calibri"/>
          <w:szCs w:val="22"/>
          <w:highlight w:val="yellow"/>
          <w:lang w:val="en-AU"/>
        </w:rPr>
        <w:br w:type="page"/>
      </w:r>
    </w:p>
    <w:p w14:paraId="7E8669EC" w14:textId="77777777" w:rsidR="0047687A" w:rsidRPr="005734B8" w:rsidRDefault="0047687A" w:rsidP="0047687A">
      <w:pPr>
        <w:pStyle w:val="ESHeading3"/>
        <w:ind w:left="426" w:right="-2"/>
        <w:rPr>
          <w:rFonts w:ascii="Calibri" w:hAnsi="Calibri" w:cs="Calibri"/>
        </w:rPr>
      </w:pPr>
      <w:bookmarkStart w:id="1190" w:name="_Toc11336331"/>
      <w:bookmarkStart w:id="1191" w:name="_Toc14965557"/>
      <w:bookmarkStart w:id="1192" w:name="_Toc14965566"/>
      <w:bookmarkStart w:id="1193" w:name="_Toc36012770"/>
      <w:bookmarkStart w:id="1194" w:name="_Toc36012848"/>
      <w:bookmarkStart w:id="1195" w:name="_Toc48402823"/>
      <w:bookmarkStart w:id="1196" w:name="_Toc48403060"/>
      <w:bookmarkStart w:id="1197" w:name="_Toc51332803"/>
      <w:r w:rsidRPr="005734B8">
        <w:rPr>
          <w:rFonts w:ascii="Calibri" w:hAnsi="Calibri" w:cs="Calibri"/>
        </w:rPr>
        <w:lastRenderedPageBreak/>
        <w:t>Reporting entity</w:t>
      </w:r>
      <w:bookmarkEnd w:id="1190"/>
      <w:bookmarkEnd w:id="1191"/>
    </w:p>
    <w:p w14:paraId="059A742E" w14:textId="77777777" w:rsidR="0047687A" w:rsidRPr="005734B8" w:rsidRDefault="0047687A" w:rsidP="0047687A">
      <w:pPr>
        <w:ind w:right="-2"/>
        <w:rPr>
          <w:rFonts w:ascii="Calibri" w:hAnsi="Calibri" w:cs="Calibri"/>
          <w:szCs w:val="22"/>
        </w:rPr>
      </w:pPr>
      <w:r w:rsidRPr="005734B8">
        <w:rPr>
          <w:rFonts w:ascii="Calibri" w:hAnsi="Calibri" w:cs="Calibri"/>
          <w:szCs w:val="22"/>
        </w:rPr>
        <w:t>The Department is a government department of the State of Victoria, established pursuant to an order made by the Premier under the Public Administration Act 2004.</w:t>
      </w:r>
    </w:p>
    <w:p w14:paraId="1167BC7D" w14:textId="77777777" w:rsidR="0047687A" w:rsidRPr="005734B8" w:rsidRDefault="0047687A" w:rsidP="0047687A">
      <w:pPr>
        <w:ind w:right="-2"/>
        <w:rPr>
          <w:rFonts w:ascii="Calibri" w:hAnsi="Calibri" w:cs="Calibri"/>
          <w:szCs w:val="22"/>
        </w:rPr>
      </w:pPr>
    </w:p>
    <w:p w14:paraId="53B6CE97" w14:textId="77777777" w:rsidR="0047687A" w:rsidRPr="005734B8" w:rsidRDefault="0047687A" w:rsidP="0047687A">
      <w:pPr>
        <w:ind w:right="-2"/>
        <w:rPr>
          <w:rFonts w:ascii="Calibri" w:hAnsi="Calibri" w:cs="Calibri"/>
          <w:szCs w:val="22"/>
        </w:rPr>
      </w:pPr>
      <w:r w:rsidRPr="005734B8">
        <w:rPr>
          <w:rFonts w:ascii="Calibri" w:hAnsi="Calibri" w:cs="Calibri"/>
          <w:szCs w:val="22"/>
        </w:rPr>
        <w:t>Its principal address is:</w:t>
      </w:r>
    </w:p>
    <w:p w14:paraId="4D923E48" w14:textId="77777777" w:rsidR="002704CC" w:rsidRPr="005734B8" w:rsidRDefault="002704CC" w:rsidP="0047687A">
      <w:pPr>
        <w:ind w:right="-2"/>
        <w:rPr>
          <w:rFonts w:ascii="Calibri" w:hAnsi="Calibri" w:cs="Calibri"/>
          <w:szCs w:val="22"/>
        </w:rPr>
      </w:pPr>
    </w:p>
    <w:p w14:paraId="27206620" w14:textId="77777777" w:rsidR="0047687A" w:rsidRPr="005734B8" w:rsidRDefault="0047687A" w:rsidP="0047687A">
      <w:pPr>
        <w:ind w:right="-2"/>
        <w:rPr>
          <w:rFonts w:ascii="Calibri" w:hAnsi="Calibri" w:cs="Calibri"/>
          <w:szCs w:val="22"/>
        </w:rPr>
      </w:pPr>
      <w:r w:rsidRPr="005734B8">
        <w:rPr>
          <w:rFonts w:ascii="Calibri" w:hAnsi="Calibri" w:cs="Calibri"/>
          <w:szCs w:val="22"/>
        </w:rPr>
        <w:t>Department of Education and Training</w:t>
      </w:r>
    </w:p>
    <w:p w14:paraId="20FAA95A" w14:textId="1845F9C8" w:rsidR="0047687A" w:rsidRPr="005734B8" w:rsidRDefault="002704CC" w:rsidP="00B748F9">
      <w:pPr>
        <w:ind w:right="-2"/>
        <w:rPr>
          <w:rFonts w:ascii="Calibri" w:hAnsi="Calibri" w:cs="Calibri"/>
          <w:szCs w:val="22"/>
        </w:rPr>
      </w:pPr>
      <w:r w:rsidRPr="005734B8">
        <w:rPr>
          <w:rFonts w:ascii="Calibri" w:hAnsi="Calibri" w:cs="Calibri"/>
          <w:szCs w:val="22"/>
        </w:rPr>
        <w:t xml:space="preserve">2 </w:t>
      </w:r>
      <w:r w:rsidR="0047687A" w:rsidRPr="005734B8">
        <w:rPr>
          <w:rFonts w:ascii="Calibri" w:hAnsi="Calibri" w:cs="Calibri"/>
          <w:szCs w:val="22"/>
        </w:rPr>
        <w:t xml:space="preserve">Treasury Place </w:t>
      </w:r>
    </w:p>
    <w:p w14:paraId="4B3F9F5C" w14:textId="77777777" w:rsidR="0047687A" w:rsidRPr="005734B8" w:rsidRDefault="0047687A" w:rsidP="0047687A">
      <w:pPr>
        <w:ind w:right="-2"/>
        <w:rPr>
          <w:rFonts w:ascii="Calibri" w:hAnsi="Calibri" w:cs="Calibri"/>
          <w:szCs w:val="22"/>
        </w:rPr>
      </w:pPr>
      <w:r w:rsidRPr="005734B8">
        <w:rPr>
          <w:rFonts w:ascii="Calibri" w:hAnsi="Calibri" w:cs="Calibri"/>
          <w:szCs w:val="22"/>
        </w:rPr>
        <w:t>Melbourne VIC 3002</w:t>
      </w:r>
    </w:p>
    <w:p w14:paraId="62D17911" w14:textId="77777777" w:rsidR="0047687A" w:rsidRPr="005734B8" w:rsidRDefault="0047687A" w:rsidP="0047687A">
      <w:pPr>
        <w:ind w:right="-2"/>
        <w:rPr>
          <w:rFonts w:ascii="Calibri" w:hAnsi="Calibri" w:cs="Calibri"/>
          <w:szCs w:val="22"/>
        </w:rPr>
      </w:pPr>
    </w:p>
    <w:p w14:paraId="191E698E" w14:textId="77777777" w:rsidR="0047687A" w:rsidRPr="005734B8" w:rsidRDefault="0047687A" w:rsidP="0047687A">
      <w:pPr>
        <w:ind w:right="-2"/>
        <w:rPr>
          <w:rFonts w:ascii="Calibri" w:hAnsi="Calibri" w:cs="Calibri"/>
          <w:szCs w:val="22"/>
        </w:rPr>
      </w:pPr>
      <w:r w:rsidRPr="005734B8">
        <w:rPr>
          <w:rFonts w:ascii="Calibri" w:hAnsi="Calibri" w:cs="Calibri"/>
          <w:szCs w:val="22"/>
        </w:rPr>
        <w:t xml:space="preserve">The Department is an administrative agency acting on behalf of the Crown. </w:t>
      </w:r>
    </w:p>
    <w:p w14:paraId="3EC42109" w14:textId="77777777" w:rsidR="0047687A" w:rsidRPr="005734B8" w:rsidRDefault="0047687A" w:rsidP="0047687A">
      <w:pPr>
        <w:ind w:right="-2"/>
        <w:rPr>
          <w:rFonts w:ascii="Calibri" w:hAnsi="Calibri" w:cs="Calibri"/>
          <w:szCs w:val="22"/>
        </w:rPr>
      </w:pPr>
    </w:p>
    <w:p w14:paraId="053435CF" w14:textId="77777777" w:rsidR="0047687A" w:rsidRPr="005734B8" w:rsidRDefault="0047687A" w:rsidP="0047687A">
      <w:pPr>
        <w:ind w:right="-2"/>
        <w:rPr>
          <w:rFonts w:ascii="Calibri" w:hAnsi="Calibri" w:cs="Calibri"/>
          <w:szCs w:val="22"/>
        </w:rPr>
      </w:pPr>
      <w:r w:rsidRPr="005734B8">
        <w:rPr>
          <w:rFonts w:ascii="Calibri" w:hAnsi="Calibri" w:cs="Calibri"/>
          <w:szCs w:val="22"/>
        </w:rPr>
        <w:t>These financial statements cover the Department as an individual reporting entity and include all its controlled activities.</w:t>
      </w:r>
    </w:p>
    <w:p w14:paraId="3F00EA04" w14:textId="77777777" w:rsidR="0047687A" w:rsidRPr="005734B8" w:rsidRDefault="0047687A" w:rsidP="0047687A">
      <w:pPr>
        <w:ind w:right="-2"/>
        <w:rPr>
          <w:rFonts w:ascii="Calibri" w:hAnsi="Calibri" w:cs="Calibri"/>
          <w:szCs w:val="22"/>
        </w:rPr>
      </w:pPr>
    </w:p>
    <w:p w14:paraId="211E6E8D" w14:textId="457D8274" w:rsidR="0047687A" w:rsidRPr="005734B8" w:rsidRDefault="0047687A" w:rsidP="0047687A">
      <w:pPr>
        <w:ind w:right="-2"/>
        <w:rPr>
          <w:rFonts w:ascii="Calibri" w:hAnsi="Calibri" w:cs="Calibri"/>
          <w:szCs w:val="22"/>
        </w:rPr>
      </w:pPr>
      <w:r w:rsidRPr="005734B8">
        <w:rPr>
          <w:rFonts w:ascii="Calibri" w:hAnsi="Calibri" w:cs="Calibri"/>
          <w:szCs w:val="22"/>
        </w:rPr>
        <w:t>A description of the nature of the Department’s operations and its principal activities is included in the Report of Operations</w:t>
      </w:r>
      <w:r w:rsidR="0080592D" w:rsidRPr="005734B8">
        <w:rPr>
          <w:rFonts w:ascii="Calibri" w:hAnsi="Calibri" w:cs="Calibri"/>
          <w:szCs w:val="22"/>
        </w:rPr>
        <w:t>,</w:t>
      </w:r>
      <w:r w:rsidRPr="005734B8">
        <w:rPr>
          <w:rFonts w:ascii="Calibri" w:hAnsi="Calibri" w:cs="Calibri"/>
          <w:szCs w:val="22"/>
        </w:rPr>
        <w:t xml:space="preserve"> which does not form part of these financial statements.</w:t>
      </w:r>
    </w:p>
    <w:p w14:paraId="2783DB8F" w14:textId="77777777" w:rsidR="0047687A" w:rsidRPr="005734B8" w:rsidRDefault="0047687A" w:rsidP="0047687A">
      <w:pPr>
        <w:ind w:right="-2"/>
        <w:rPr>
          <w:rFonts w:ascii="Calibri" w:hAnsi="Calibri" w:cs="Calibri"/>
          <w:szCs w:val="22"/>
        </w:rPr>
      </w:pPr>
    </w:p>
    <w:p w14:paraId="088AC99B" w14:textId="77777777" w:rsidR="0047687A" w:rsidRPr="005734B8" w:rsidRDefault="0047687A" w:rsidP="0047687A">
      <w:pPr>
        <w:ind w:right="-2"/>
        <w:rPr>
          <w:rFonts w:ascii="Calibri" w:hAnsi="Calibri" w:cs="Calibri"/>
          <w:szCs w:val="22"/>
        </w:rPr>
      </w:pPr>
      <w:r w:rsidRPr="005734B8">
        <w:rPr>
          <w:rFonts w:ascii="Calibri" w:hAnsi="Calibri" w:cs="Calibri"/>
          <w:szCs w:val="22"/>
        </w:rPr>
        <w:t>The financial statements exclude bodies in the Department’s portfolio that are not controlled by the Department, and therefore are not consolidated. Bodies and activities that are administered are also not controlled and not consolidated. In preparing consolidated financial statements for the Department, all material transactions and balances between consolidated entities are eliminated.</w:t>
      </w:r>
    </w:p>
    <w:p w14:paraId="4F64EBD1" w14:textId="77777777" w:rsidR="0047687A" w:rsidRPr="005734B8" w:rsidRDefault="0047687A" w:rsidP="0047687A">
      <w:pPr>
        <w:ind w:right="-2"/>
        <w:rPr>
          <w:rFonts w:ascii="Calibri" w:hAnsi="Calibri" w:cs="Calibri"/>
          <w:szCs w:val="22"/>
        </w:rPr>
      </w:pPr>
    </w:p>
    <w:p w14:paraId="6DB786B7" w14:textId="18AC5599" w:rsidR="0047687A" w:rsidRPr="005734B8" w:rsidRDefault="0047687A" w:rsidP="0047687A">
      <w:pPr>
        <w:ind w:right="-2"/>
        <w:rPr>
          <w:rFonts w:ascii="Calibri" w:hAnsi="Calibri" w:cs="Calibri"/>
          <w:szCs w:val="22"/>
        </w:rPr>
      </w:pPr>
      <w:r w:rsidRPr="005734B8">
        <w:rPr>
          <w:rFonts w:ascii="Calibri" w:hAnsi="Calibri" w:cs="Calibri"/>
          <w:szCs w:val="22"/>
        </w:rPr>
        <w:t xml:space="preserve">The financial statements include all transactions of the Department and </w:t>
      </w:r>
      <w:r w:rsidR="0080592D" w:rsidRPr="005734B8">
        <w:rPr>
          <w:rFonts w:ascii="Calibri" w:hAnsi="Calibri" w:cs="Calibri"/>
          <w:szCs w:val="22"/>
        </w:rPr>
        <w:t xml:space="preserve">of </w:t>
      </w:r>
      <w:r w:rsidRPr="005734B8">
        <w:rPr>
          <w:rFonts w:ascii="Calibri" w:hAnsi="Calibri" w:cs="Calibri"/>
          <w:szCs w:val="22"/>
        </w:rPr>
        <w:t>the Victorian Government’s primary and secondary schools. All transactions between the Department and these schools have been eliminated as required by AAS. Transactions with non</w:t>
      </w:r>
      <w:r w:rsidR="006E53C4" w:rsidRPr="005734B8">
        <w:rPr>
          <w:rFonts w:ascii="Calibri" w:hAnsi="Calibri" w:cs="Calibri"/>
          <w:szCs w:val="22"/>
        </w:rPr>
        <w:noBreakHyphen/>
      </w:r>
      <w:r w:rsidRPr="005734B8">
        <w:rPr>
          <w:rFonts w:ascii="Calibri" w:hAnsi="Calibri" w:cs="Calibri"/>
          <w:szCs w:val="22"/>
        </w:rPr>
        <w:t>government schools are not eliminated.</w:t>
      </w:r>
    </w:p>
    <w:p w14:paraId="34B819DC" w14:textId="77777777" w:rsidR="0047687A" w:rsidRPr="005734B8" w:rsidRDefault="0047687A" w:rsidP="00576FC4">
      <w:pPr>
        <w:pStyle w:val="ESHeading3"/>
        <w:ind w:left="0" w:right="-2" w:firstLine="0"/>
        <w:rPr>
          <w:rFonts w:ascii="Calibri" w:hAnsi="Calibri" w:cs="Calibri"/>
        </w:rPr>
      </w:pPr>
      <w:bookmarkStart w:id="1198" w:name="_Toc11336332"/>
      <w:bookmarkStart w:id="1199" w:name="_Toc14965558"/>
      <w:r w:rsidRPr="005734B8">
        <w:rPr>
          <w:rFonts w:ascii="Calibri" w:hAnsi="Calibri" w:cs="Calibri"/>
        </w:rPr>
        <w:t>Compliance information</w:t>
      </w:r>
      <w:bookmarkEnd w:id="1198"/>
      <w:bookmarkEnd w:id="1199"/>
    </w:p>
    <w:p w14:paraId="15C4DEAC" w14:textId="39C893B8" w:rsidR="0047687A" w:rsidRPr="005734B8" w:rsidRDefault="0047687A" w:rsidP="0047687A">
      <w:pPr>
        <w:ind w:right="-2"/>
        <w:rPr>
          <w:rFonts w:ascii="Calibri" w:hAnsi="Calibri" w:cs="Calibri"/>
          <w:szCs w:val="22"/>
        </w:rPr>
      </w:pPr>
      <w:r w:rsidRPr="005734B8">
        <w:rPr>
          <w:rFonts w:ascii="Calibri" w:hAnsi="Calibri" w:cs="Calibri"/>
          <w:szCs w:val="22"/>
        </w:rPr>
        <w:t>These general</w:t>
      </w:r>
      <w:r w:rsidR="006E53C4" w:rsidRPr="005734B8">
        <w:rPr>
          <w:rFonts w:ascii="Calibri" w:hAnsi="Calibri" w:cs="Calibri"/>
          <w:szCs w:val="22"/>
        </w:rPr>
        <w:t xml:space="preserve"> </w:t>
      </w:r>
      <w:r w:rsidRPr="005734B8">
        <w:rPr>
          <w:rFonts w:ascii="Calibri" w:hAnsi="Calibri" w:cs="Calibri"/>
          <w:szCs w:val="22"/>
        </w:rPr>
        <w:t>purpose financial statements have been prepared in accordance with the Financial Management Act (FM Act) and applicable AASs</w:t>
      </w:r>
      <w:r w:rsidR="006E53C4" w:rsidRPr="005734B8">
        <w:rPr>
          <w:rFonts w:ascii="Calibri" w:hAnsi="Calibri" w:cs="Calibri"/>
          <w:szCs w:val="22"/>
        </w:rPr>
        <w:t>,</w:t>
      </w:r>
      <w:r w:rsidRPr="005734B8">
        <w:rPr>
          <w:rFonts w:ascii="Calibri" w:hAnsi="Calibri" w:cs="Calibri"/>
          <w:szCs w:val="22"/>
        </w:rPr>
        <w:t xml:space="preserve"> which include interpretations, issued by the Australian Accounting Standards Board (AASB). In particular, they are presented in a manner consistent with the requirements of the AASB 1049 Whole of Government and General Government Sector Financial Reporting.</w:t>
      </w:r>
    </w:p>
    <w:p w14:paraId="3C9F267B" w14:textId="77777777" w:rsidR="0047687A" w:rsidRPr="005734B8" w:rsidRDefault="0047687A" w:rsidP="0047687A">
      <w:pPr>
        <w:ind w:right="-2"/>
        <w:rPr>
          <w:rFonts w:ascii="Calibri" w:hAnsi="Calibri" w:cs="Calibri"/>
          <w:szCs w:val="22"/>
        </w:rPr>
      </w:pPr>
    </w:p>
    <w:p w14:paraId="409406CA" w14:textId="77777777" w:rsidR="0047687A" w:rsidRPr="005734B8" w:rsidRDefault="0047687A" w:rsidP="0047687A">
      <w:pPr>
        <w:ind w:right="-2"/>
        <w:rPr>
          <w:rFonts w:ascii="Calibri" w:hAnsi="Calibri" w:cs="Calibri"/>
          <w:szCs w:val="22"/>
        </w:rPr>
      </w:pPr>
      <w:r w:rsidRPr="005734B8">
        <w:rPr>
          <w:rFonts w:ascii="Calibri" w:hAnsi="Calibri" w:cs="Calibri"/>
          <w:szCs w:val="22"/>
        </w:rPr>
        <w:t>Where appropriate, those AAS paragraphs applicable to not-for-profit entities have been applied.</w:t>
      </w:r>
    </w:p>
    <w:p w14:paraId="09D53F83" w14:textId="77777777" w:rsidR="0047687A" w:rsidRPr="005734B8" w:rsidRDefault="0047687A" w:rsidP="0047687A">
      <w:pPr>
        <w:ind w:right="-2"/>
        <w:rPr>
          <w:rFonts w:ascii="Calibri" w:hAnsi="Calibri" w:cs="Calibri"/>
          <w:szCs w:val="22"/>
        </w:rPr>
      </w:pPr>
    </w:p>
    <w:p w14:paraId="54F24D0B" w14:textId="77777777" w:rsidR="0047687A" w:rsidRPr="005734B8" w:rsidRDefault="0047687A" w:rsidP="0047687A">
      <w:pPr>
        <w:ind w:right="-2"/>
        <w:rPr>
          <w:rFonts w:ascii="Calibri" w:hAnsi="Calibri" w:cs="Calibri"/>
          <w:szCs w:val="22"/>
        </w:rPr>
      </w:pPr>
      <w:r w:rsidRPr="005734B8">
        <w:rPr>
          <w:rFonts w:ascii="Calibri" w:hAnsi="Calibri" w:cs="Calibri"/>
          <w:szCs w:val="22"/>
        </w:rPr>
        <w:t>Accounting policies are selected and applied in a manner which ensures that the resulting financial information satisfies the concepts of relevance and reliability, thereby ensuring that the substance of the underlying transactions or other events is reported.</w:t>
      </w:r>
    </w:p>
    <w:p w14:paraId="6E8291A2" w14:textId="77777777" w:rsidR="0047687A" w:rsidRPr="005734B8" w:rsidRDefault="0047687A" w:rsidP="0047687A">
      <w:pPr>
        <w:ind w:right="-2"/>
        <w:rPr>
          <w:rFonts w:ascii="Calibri" w:hAnsi="Calibri" w:cs="Calibri"/>
          <w:szCs w:val="22"/>
        </w:rPr>
      </w:pPr>
    </w:p>
    <w:p w14:paraId="2219F09C" w14:textId="4E4C2DA2" w:rsidR="0047687A" w:rsidRPr="005734B8" w:rsidRDefault="0047687A" w:rsidP="0047687A">
      <w:pPr>
        <w:ind w:right="-2"/>
        <w:rPr>
          <w:rFonts w:ascii="Calibri" w:hAnsi="Calibri" w:cs="Calibri"/>
          <w:szCs w:val="22"/>
        </w:rPr>
      </w:pPr>
      <w:r w:rsidRPr="005734B8">
        <w:rPr>
          <w:rFonts w:ascii="Calibri" w:hAnsi="Calibri" w:cs="Calibri"/>
          <w:szCs w:val="22"/>
        </w:rPr>
        <w:t xml:space="preserve">These annual financial statements were authorised for issue by the Secretary of the Department on </w:t>
      </w:r>
      <w:r w:rsidR="00E522F8">
        <w:rPr>
          <w:rFonts w:ascii="Calibri" w:hAnsi="Calibri" w:cs="Calibri"/>
          <w:szCs w:val="22"/>
        </w:rPr>
        <w:t>31</w:t>
      </w:r>
      <w:r w:rsidR="00BA53B3" w:rsidRPr="009B2148">
        <w:rPr>
          <w:rFonts w:ascii="Calibri" w:hAnsi="Calibri" w:cs="Calibri"/>
          <w:szCs w:val="22"/>
        </w:rPr>
        <w:t> </w:t>
      </w:r>
      <w:r w:rsidRPr="009B2148">
        <w:rPr>
          <w:rFonts w:ascii="Calibri" w:hAnsi="Calibri" w:cs="Calibri"/>
          <w:szCs w:val="22"/>
        </w:rPr>
        <w:t xml:space="preserve">August </w:t>
      </w:r>
      <w:r w:rsidRPr="009B2148">
        <w:rPr>
          <w:rFonts w:ascii="Calibri" w:hAnsi="Calibri" w:cs="Calibri"/>
          <w:szCs w:val="22"/>
        </w:rPr>
        <w:fldChar w:fldCharType="begin"/>
      </w:r>
      <w:r w:rsidRPr="009B2148">
        <w:rPr>
          <w:rFonts w:ascii="Calibri" w:hAnsi="Calibri" w:cs="Calibri"/>
          <w:szCs w:val="22"/>
        </w:rPr>
        <w:instrText xml:space="preserve"> DOCPROPERTY  crYear  \* MERGEFORMAT </w:instrText>
      </w:r>
      <w:r w:rsidRPr="009B2148">
        <w:rPr>
          <w:rFonts w:ascii="Calibri" w:hAnsi="Calibri" w:cs="Calibri"/>
          <w:szCs w:val="22"/>
        </w:rPr>
        <w:fldChar w:fldCharType="separate"/>
      </w:r>
      <w:r w:rsidRPr="009B2148">
        <w:rPr>
          <w:rFonts w:ascii="Calibri" w:hAnsi="Calibri" w:cs="Calibri"/>
          <w:szCs w:val="22"/>
        </w:rPr>
        <w:t>2021</w:t>
      </w:r>
      <w:r w:rsidRPr="009B2148">
        <w:rPr>
          <w:rFonts w:ascii="Calibri" w:hAnsi="Calibri" w:cs="Calibri"/>
          <w:szCs w:val="22"/>
        </w:rPr>
        <w:fldChar w:fldCharType="end"/>
      </w:r>
      <w:r w:rsidRPr="009B2148">
        <w:rPr>
          <w:rFonts w:ascii="Calibri" w:hAnsi="Calibri" w:cs="Calibri"/>
          <w:szCs w:val="22"/>
        </w:rPr>
        <w:t>.</w:t>
      </w:r>
    </w:p>
    <w:p w14:paraId="583054C8" w14:textId="77777777" w:rsidR="0047687A" w:rsidRPr="005734B8" w:rsidRDefault="0047687A" w:rsidP="0047687A">
      <w:pPr>
        <w:ind w:right="-2"/>
        <w:rPr>
          <w:rFonts w:ascii="Calibri" w:eastAsiaTheme="minorEastAsia" w:hAnsi="Calibri" w:cs="Calibri"/>
          <w:b/>
          <w:color w:val="53565A"/>
          <w:szCs w:val="18"/>
          <w:lang w:val="en-US"/>
        </w:rPr>
      </w:pPr>
      <w:bookmarkStart w:id="1200" w:name="_Toc11336333"/>
      <w:bookmarkStart w:id="1201" w:name="_Toc14965559"/>
      <w:r w:rsidRPr="005734B8">
        <w:rPr>
          <w:rFonts w:ascii="Calibri" w:hAnsi="Calibri" w:cs="Calibri"/>
        </w:rPr>
        <w:br w:type="page"/>
      </w:r>
    </w:p>
    <w:p w14:paraId="51315AC4" w14:textId="77777777" w:rsidR="0047687A" w:rsidRPr="005734B8" w:rsidRDefault="0047687A" w:rsidP="0047687A">
      <w:pPr>
        <w:pStyle w:val="ESHeading3"/>
        <w:ind w:left="284" w:right="-2" w:firstLine="4"/>
        <w:rPr>
          <w:rFonts w:ascii="Calibri" w:hAnsi="Calibri" w:cs="Calibri"/>
        </w:rPr>
      </w:pPr>
      <w:r w:rsidRPr="005734B8">
        <w:rPr>
          <w:rFonts w:ascii="Calibri" w:hAnsi="Calibri" w:cs="Calibri"/>
        </w:rPr>
        <w:lastRenderedPageBreak/>
        <w:t>Scope and presentation of financial statements</w:t>
      </w:r>
      <w:bookmarkEnd w:id="1200"/>
      <w:bookmarkEnd w:id="1201"/>
    </w:p>
    <w:p w14:paraId="6D73F06F" w14:textId="77777777" w:rsidR="0047687A" w:rsidRPr="005734B8" w:rsidRDefault="0047687A" w:rsidP="0047687A">
      <w:pPr>
        <w:pStyle w:val="ESHeading4"/>
        <w:ind w:left="284" w:right="-2" w:firstLine="4"/>
        <w:rPr>
          <w:rFonts w:ascii="Calibri" w:hAnsi="Calibri" w:cs="Calibri"/>
        </w:rPr>
      </w:pPr>
      <w:bookmarkStart w:id="1202" w:name="_Toc11336334"/>
      <w:bookmarkStart w:id="1203" w:name="_Toc14965560"/>
      <w:r w:rsidRPr="005734B8">
        <w:rPr>
          <w:rFonts w:ascii="Calibri" w:hAnsi="Calibri" w:cs="Calibri"/>
        </w:rPr>
        <w:t>Comprehensive operating statement</w:t>
      </w:r>
      <w:bookmarkEnd w:id="1202"/>
      <w:bookmarkEnd w:id="1203"/>
    </w:p>
    <w:p w14:paraId="13DBCD5C" w14:textId="77777777" w:rsidR="0047687A" w:rsidRPr="005734B8" w:rsidRDefault="0047687A" w:rsidP="0047687A">
      <w:pPr>
        <w:ind w:left="284" w:right="-2" w:firstLine="4"/>
        <w:rPr>
          <w:rFonts w:ascii="Calibri" w:hAnsi="Calibri" w:cs="Calibri"/>
          <w:szCs w:val="22"/>
        </w:rPr>
      </w:pPr>
      <w:r w:rsidRPr="005734B8">
        <w:rPr>
          <w:rFonts w:ascii="Calibri" w:hAnsi="Calibri" w:cs="Calibri"/>
          <w:szCs w:val="22"/>
        </w:rPr>
        <w:t>The comprehensive operating statement comprises:</w:t>
      </w:r>
    </w:p>
    <w:p w14:paraId="7261FFC9" w14:textId="77777777" w:rsidR="0047687A" w:rsidRPr="005734B8" w:rsidRDefault="0047687A" w:rsidP="0047687A">
      <w:pPr>
        <w:pStyle w:val="ESbullet1"/>
        <w:numPr>
          <w:ilvl w:val="0"/>
          <w:numId w:val="37"/>
        </w:numPr>
        <w:spacing w:after="0"/>
        <w:ind w:left="284" w:right="-2" w:firstLine="4"/>
        <w:rPr>
          <w:rFonts w:ascii="Calibri" w:hAnsi="Calibri" w:cs="Calibri"/>
        </w:rPr>
      </w:pPr>
      <w:r w:rsidRPr="005734B8">
        <w:rPr>
          <w:rFonts w:ascii="Calibri" w:hAnsi="Calibri" w:cs="Calibri"/>
        </w:rPr>
        <w:t>net result from transactions (also termed net operating balance)</w:t>
      </w:r>
    </w:p>
    <w:p w14:paraId="349EB928" w14:textId="77777777" w:rsidR="0047687A" w:rsidRPr="005734B8" w:rsidRDefault="0047687A" w:rsidP="0047687A">
      <w:pPr>
        <w:pStyle w:val="ESbullet1"/>
        <w:numPr>
          <w:ilvl w:val="0"/>
          <w:numId w:val="37"/>
        </w:numPr>
        <w:spacing w:after="0"/>
        <w:ind w:left="284" w:right="-2" w:firstLine="4"/>
        <w:rPr>
          <w:rFonts w:ascii="Calibri" w:hAnsi="Calibri" w:cs="Calibri"/>
        </w:rPr>
      </w:pPr>
      <w:r w:rsidRPr="005734B8">
        <w:rPr>
          <w:rFonts w:ascii="Calibri" w:hAnsi="Calibri" w:cs="Calibri"/>
        </w:rPr>
        <w:t>other economic flows included in net result</w:t>
      </w:r>
    </w:p>
    <w:p w14:paraId="4832062D" w14:textId="77777777" w:rsidR="0047687A" w:rsidRPr="005734B8" w:rsidRDefault="0047687A" w:rsidP="0047687A">
      <w:pPr>
        <w:pStyle w:val="ESbullet1"/>
        <w:numPr>
          <w:ilvl w:val="0"/>
          <w:numId w:val="37"/>
        </w:numPr>
        <w:spacing w:after="0"/>
        <w:ind w:left="284" w:right="-2" w:firstLine="4"/>
        <w:rPr>
          <w:rFonts w:ascii="Calibri" w:hAnsi="Calibri" w:cs="Calibri"/>
        </w:rPr>
      </w:pPr>
      <w:r w:rsidRPr="005734B8">
        <w:rPr>
          <w:rFonts w:ascii="Calibri" w:hAnsi="Calibri" w:cs="Calibri"/>
        </w:rPr>
        <w:t>other economic flows—other comprehensive income.</w:t>
      </w:r>
    </w:p>
    <w:p w14:paraId="4223D399" w14:textId="77777777" w:rsidR="0047687A" w:rsidRPr="005734B8" w:rsidRDefault="0047687A" w:rsidP="0047687A">
      <w:pPr>
        <w:ind w:left="284" w:right="-2" w:firstLine="4"/>
        <w:rPr>
          <w:rFonts w:ascii="Calibri" w:hAnsi="Calibri" w:cs="Calibri"/>
          <w:szCs w:val="22"/>
        </w:rPr>
      </w:pPr>
    </w:p>
    <w:p w14:paraId="737979F5" w14:textId="77777777" w:rsidR="0047687A" w:rsidRPr="005734B8" w:rsidRDefault="0047687A" w:rsidP="0047687A">
      <w:pPr>
        <w:ind w:left="284" w:right="-2" w:firstLine="4"/>
        <w:rPr>
          <w:rFonts w:ascii="Calibri" w:hAnsi="Calibri" w:cs="Calibri"/>
          <w:szCs w:val="22"/>
        </w:rPr>
      </w:pPr>
      <w:r w:rsidRPr="005734B8">
        <w:rPr>
          <w:rFonts w:ascii="Calibri" w:hAnsi="Calibri" w:cs="Calibri"/>
          <w:szCs w:val="22"/>
        </w:rPr>
        <w:t>The sum of the former two represents the net result, which is equivalent to profit or loss derived in accordance with AAS.</w:t>
      </w:r>
    </w:p>
    <w:p w14:paraId="1648A2FE" w14:textId="77777777" w:rsidR="0047687A" w:rsidRPr="005734B8" w:rsidRDefault="0047687A" w:rsidP="0047687A">
      <w:pPr>
        <w:ind w:left="284" w:right="-2" w:firstLine="4"/>
        <w:rPr>
          <w:rFonts w:ascii="Calibri" w:hAnsi="Calibri" w:cs="Calibri"/>
          <w:szCs w:val="22"/>
        </w:rPr>
      </w:pPr>
    </w:p>
    <w:p w14:paraId="7BA1AED4" w14:textId="77777777" w:rsidR="0047687A" w:rsidRPr="005734B8" w:rsidRDefault="0047687A" w:rsidP="0047687A">
      <w:pPr>
        <w:ind w:left="284" w:right="-2" w:firstLine="4"/>
        <w:rPr>
          <w:rFonts w:ascii="Calibri" w:hAnsi="Calibri" w:cs="Calibri"/>
          <w:szCs w:val="22"/>
        </w:rPr>
      </w:pPr>
      <w:r w:rsidRPr="005734B8">
        <w:rPr>
          <w:rFonts w:ascii="Calibri" w:hAnsi="Calibri" w:cs="Calibri"/>
          <w:szCs w:val="22"/>
        </w:rPr>
        <w:t>Other economic flows are changes arising from market re-measurements. They include:</w:t>
      </w:r>
    </w:p>
    <w:p w14:paraId="04BD02F1" w14:textId="77777777" w:rsidR="0047687A" w:rsidRPr="005734B8" w:rsidRDefault="0047687A" w:rsidP="0047687A">
      <w:pPr>
        <w:pStyle w:val="ESbullet1"/>
        <w:numPr>
          <w:ilvl w:val="0"/>
          <w:numId w:val="38"/>
        </w:numPr>
        <w:spacing w:after="0"/>
        <w:ind w:left="284" w:right="-2" w:firstLine="4"/>
        <w:rPr>
          <w:rFonts w:ascii="Calibri" w:hAnsi="Calibri" w:cs="Calibri"/>
        </w:rPr>
      </w:pPr>
      <w:r w:rsidRPr="005734B8">
        <w:rPr>
          <w:rFonts w:ascii="Calibri" w:hAnsi="Calibri" w:cs="Calibri"/>
        </w:rPr>
        <w:t>gains and losses from disposals of non-financial assets</w:t>
      </w:r>
    </w:p>
    <w:p w14:paraId="622677D8" w14:textId="77777777" w:rsidR="0047687A" w:rsidRPr="005734B8" w:rsidRDefault="0047687A" w:rsidP="0047687A">
      <w:pPr>
        <w:pStyle w:val="ESbullet1"/>
        <w:numPr>
          <w:ilvl w:val="0"/>
          <w:numId w:val="38"/>
        </w:numPr>
        <w:spacing w:after="0"/>
        <w:ind w:left="284" w:right="-2" w:firstLine="4"/>
        <w:rPr>
          <w:rFonts w:ascii="Calibri" w:hAnsi="Calibri" w:cs="Calibri"/>
        </w:rPr>
      </w:pPr>
      <w:r w:rsidRPr="005734B8">
        <w:rPr>
          <w:rFonts w:ascii="Calibri" w:hAnsi="Calibri" w:cs="Calibri"/>
        </w:rPr>
        <w:t>revaluations and impairments of non-financial physical and intangible assets</w:t>
      </w:r>
    </w:p>
    <w:p w14:paraId="78D07E52" w14:textId="77777777" w:rsidR="0047687A" w:rsidRPr="005734B8" w:rsidRDefault="0047687A" w:rsidP="0047687A">
      <w:pPr>
        <w:pStyle w:val="ESbullet1"/>
        <w:numPr>
          <w:ilvl w:val="0"/>
          <w:numId w:val="38"/>
        </w:numPr>
        <w:spacing w:after="0"/>
        <w:ind w:left="284" w:right="-2" w:firstLine="4"/>
        <w:rPr>
          <w:rFonts w:ascii="Calibri" w:hAnsi="Calibri" w:cs="Calibri"/>
        </w:rPr>
      </w:pPr>
      <w:r w:rsidRPr="005734B8">
        <w:rPr>
          <w:rFonts w:ascii="Calibri" w:hAnsi="Calibri" w:cs="Calibri"/>
        </w:rPr>
        <w:t>fair value changes of financial instruments</w:t>
      </w:r>
    </w:p>
    <w:p w14:paraId="718AFC5C" w14:textId="77777777" w:rsidR="0047687A" w:rsidRPr="005734B8" w:rsidRDefault="0047687A" w:rsidP="0047687A">
      <w:pPr>
        <w:pStyle w:val="ESbullet1"/>
        <w:numPr>
          <w:ilvl w:val="0"/>
          <w:numId w:val="38"/>
        </w:numPr>
        <w:spacing w:after="0"/>
        <w:ind w:left="284" w:right="-2" w:firstLine="4"/>
        <w:rPr>
          <w:rFonts w:ascii="Calibri" w:hAnsi="Calibri" w:cs="Calibri"/>
        </w:rPr>
      </w:pPr>
      <w:r w:rsidRPr="005734B8">
        <w:rPr>
          <w:rFonts w:ascii="Calibri" w:hAnsi="Calibri" w:cs="Calibri"/>
        </w:rPr>
        <w:t>gains and losses from revaluation of long service leave liability.</w:t>
      </w:r>
    </w:p>
    <w:p w14:paraId="7C0036E6" w14:textId="77777777" w:rsidR="0047687A" w:rsidRPr="005734B8" w:rsidRDefault="0047687A" w:rsidP="0047687A">
      <w:pPr>
        <w:pStyle w:val="ESbullet1"/>
        <w:spacing w:after="0"/>
        <w:ind w:left="284" w:right="-2" w:firstLine="4"/>
        <w:rPr>
          <w:rFonts w:ascii="Calibri" w:hAnsi="Calibri" w:cs="Calibri"/>
        </w:rPr>
      </w:pPr>
    </w:p>
    <w:p w14:paraId="2F4721E6" w14:textId="77777777" w:rsidR="0047687A" w:rsidRPr="005734B8" w:rsidRDefault="0047687A" w:rsidP="0047687A">
      <w:pPr>
        <w:ind w:left="284" w:right="-2" w:firstLine="4"/>
        <w:rPr>
          <w:rFonts w:ascii="Calibri" w:hAnsi="Calibri" w:cs="Calibri"/>
          <w:szCs w:val="22"/>
        </w:rPr>
      </w:pPr>
      <w:r w:rsidRPr="005734B8">
        <w:rPr>
          <w:rFonts w:ascii="Calibri" w:hAnsi="Calibri" w:cs="Calibri"/>
          <w:szCs w:val="22"/>
        </w:rPr>
        <w:t>This classification is consistent with the whole-of-government reporting format and is allowed under AASB 101 Presentation of Financial Statements.</w:t>
      </w:r>
    </w:p>
    <w:p w14:paraId="56EC3045" w14:textId="77777777" w:rsidR="0047687A" w:rsidRPr="005734B8" w:rsidRDefault="0047687A" w:rsidP="0047687A">
      <w:pPr>
        <w:pStyle w:val="ESHeading4"/>
        <w:ind w:left="284" w:right="-2" w:firstLine="4"/>
        <w:rPr>
          <w:rFonts w:ascii="Calibri" w:hAnsi="Calibri" w:cs="Calibri"/>
        </w:rPr>
      </w:pPr>
      <w:bookmarkStart w:id="1204" w:name="_Toc11336335"/>
      <w:bookmarkStart w:id="1205" w:name="_Toc14965561"/>
      <w:r w:rsidRPr="005734B8">
        <w:rPr>
          <w:rFonts w:ascii="Calibri" w:hAnsi="Calibri" w:cs="Calibri"/>
        </w:rPr>
        <w:t>Balance sheet</w:t>
      </w:r>
      <w:bookmarkEnd w:id="1204"/>
      <w:bookmarkEnd w:id="1205"/>
    </w:p>
    <w:p w14:paraId="3E04BE5A" w14:textId="79219B22" w:rsidR="0047687A" w:rsidRPr="005734B8" w:rsidRDefault="0047687A" w:rsidP="0047687A">
      <w:pPr>
        <w:ind w:left="284" w:right="-2" w:firstLine="4"/>
        <w:rPr>
          <w:rFonts w:ascii="Calibri" w:hAnsi="Calibri" w:cs="Calibri"/>
          <w:szCs w:val="22"/>
        </w:rPr>
      </w:pPr>
      <w:r w:rsidRPr="005734B8">
        <w:rPr>
          <w:rFonts w:ascii="Calibri" w:hAnsi="Calibri" w:cs="Calibri"/>
          <w:szCs w:val="22"/>
        </w:rPr>
        <w:t>Assets and liabilities are presented in liquidity order</w:t>
      </w:r>
      <w:r w:rsidR="006E53C4" w:rsidRPr="005734B8">
        <w:rPr>
          <w:rFonts w:ascii="Calibri" w:hAnsi="Calibri" w:cs="Calibri"/>
          <w:szCs w:val="22"/>
        </w:rPr>
        <w:t>,</w:t>
      </w:r>
      <w:r w:rsidRPr="005734B8">
        <w:rPr>
          <w:rFonts w:ascii="Calibri" w:hAnsi="Calibri" w:cs="Calibri"/>
          <w:szCs w:val="22"/>
        </w:rPr>
        <w:t xml:space="preserve"> with assets aggregated into financial assets and non-financial assets.</w:t>
      </w:r>
    </w:p>
    <w:p w14:paraId="57076320" w14:textId="77777777" w:rsidR="0047687A" w:rsidRPr="005734B8" w:rsidRDefault="0047687A" w:rsidP="0047687A">
      <w:pPr>
        <w:ind w:left="284" w:right="-2" w:firstLine="4"/>
        <w:rPr>
          <w:rFonts w:ascii="Calibri" w:hAnsi="Calibri" w:cs="Calibri"/>
          <w:szCs w:val="22"/>
        </w:rPr>
      </w:pPr>
    </w:p>
    <w:p w14:paraId="5172BA0F" w14:textId="77777777" w:rsidR="0047687A" w:rsidRPr="005734B8" w:rsidRDefault="0047687A" w:rsidP="0047687A">
      <w:pPr>
        <w:ind w:left="284" w:right="-2" w:firstLine="4"/>
        <w:rPr>
          <w:rFonts w:ascii="Calibri" w:hAnsi="Calibri" w:cs="Calibri"/>
          <w:szCs w:val="22"/>
        </w:rPr>
      </w:pPr>
      <w:r w:rsidRPr="005734B8">
        <w:rPr>
          <w:rFonts w:ascii="Calibri" w:hAnsi="Calibri" w:cs="Calibri"/>
          <w:szCs w:val="22"/>
        </w:rPr>
        <w:t>Current and non-current assets and liabilities are disclosed in the notes, where relevant. In general, non-current assets or liabilities are expected to be recovered or settled more than 12 months after the reporting period, except for the provisions of employee benefits, which are classified as current liabilities if the Department does not have the unconditional right to defer the settlement of the liabilities within 12 months after the end of the reporting period.</w:t>
      </w:r>
    </w:p>
    <w:p w14:paraId="3958BFD2" w14:textId="77777777" w:rsidR="0047687A" w:rsidRPr="005734B8" w:rsidRDefault="0047687A" w:rsidP="0047687A">
      <w:pPr>
        <w:pStyle w:val="ESHeading4"/>
        <w:ind w:left="284" w:right="-2" w:firstLine="4"/>
        <w:rPr>
          <w:rFonts w:ascii="Calibri" w:hAnsi="Calibri" w:cs="Calibri"/>
        </w:rPr>
      </w:pPr>
      <w:bookmarkStart w:id="1206" w:name="_Toc11336336"/>
      <w:bookmarkStart w:id="1207" w:name="_Toc14965562"/>
      <w:r w:rsidRPr="005734B8">
        <w:rPr>
          <w:rFonts w:ascii="Calibri" w:hAnsi="Calibri" w:cs="Calibri"/>
        </w:rPr>
        <w:t>Statement of changes in equity</w:t>
      </w:r>
      <w:bookmarkEnd w:id="1206"/>
      <w:bookmarkEnd w:id="1207"/>
    </w:p>
    <w:p w14:paraId="1CC3A41F" w14:textId="77777777" w:rsidR="0047687A" w:rsidRPr="005734B8" w:rsidRDefault="0047687A" w:rsidP="0047687A">
      <w:pPr>
        <w:ind w:left="284" w:right="-2" w:firstLine="4"/>
        <w:rPr>
          <w:rFonts w:ascii="Calibri" w:hAnsi="Calibri" w:cs="Calibri"/>
          <w:szCs w:val="22"/>
        </w:rPr>
      </w:pPr>
      <w:r w:rsidRPr="005734B8">
        <w:rPr>
          <w:rFonts w:ascii="Calibri" w:hAnsi="Calibri" w:cs="Calibri"/>
          <w:szCs w:val="22"/>
        </w:rPr>
        <w:t>The statement of changes in equity presents reconciliations of each non-owner and owner equity opening balance at the beginning of the reporting period to the closing balance at the end of the reporting period. It also shows separately changes due to amounts recognised in the ‘Comprehensive result’ and amounts related to ‘Transactions with owner in its capacity as owner’.</w:t>
      </w:r>
    </w:p>
    <w:p w14:paraId="187C0205" w14:textId="77777777" w:rsidR="0047687A" w:rsidRPr="005734B8" w:rsidRDefault="0047687A" w:rsidP="0047687A">
      <w:pPr>
        <w:pStyle w:val="ESHeading4"/>
        <w:ind w:left="284" w:right="-2" w:firstLine="4"/>
        <w:rPr>
          <w:rFonts w:ascii="Calibri" w:hAnsi="Calibri" w:cs="Calibri"/>
        </w:rPr>
      </w:pPr>
      <w:bookmarkStart w:id="1208" w:name="_Toc11336337"/>
      <w:bookmarkStart w:id="1209" w:name="_Toc14965563"/>
      <w:r w:rsidRPr="005734B8">
        <w:rPr>
          <w:rFonts w:ascii="Calibri" w:hAnsi="Calibri" w:cs="Calibri"/>
        </w:rPr>
        <w:t>Cash flow statement</w:t>
      </w:r>
      <w:bookmarkEnd w:id="1208"/>
      <w:bookmarkEnd w:id="1209"/>
    </w:p>
    <w:p w14:paraId="68663B9A" w14:textId="77777777" w:rsidR="0047687A" w:rsidRPr="005734B8" w:rsidRDefault="0047687A" w:rsidP="0047687A">
      <w:pPr>
        <w:ind w:left="284" w:right="-2" w:firstLine="4"/>
        <w:rPr>
          <w:rFonts w:ascii="Calibri" w:hAnsi="Calibri" w:cs="Calibri"/>
          <w:szCs w:val="22"/>
        </w:rPr>
      </w:pPr>
      <w:r w:rsidRPr="005734B8">
        <w:rPr>
          <w:rFonts w:ascii="Calibri" w:hAnsi="Calibri" w:cs="Calibri"/>
          <w:szCs w:val="22"/>
        </w:rPr>
        <w:t>Cash flows are classified according to whether or not they arise from operating, investing or financing activities. This classification is consistent with requirements under AASB 107 Statement of Cash Flows.</w:t>
      </w:r>
    </w:p>
    <w:p w14:paraId="35096F38" w14:textId="77777777" w:rsidR="0047687A" w:rsidRPr="005734B8" w:rsidRDefault="0047687A" w:rsidP="0047687A">
      <w:pPr>
        <w:ind w:left="284" w:right="-2" w:firstLine="4"/>
        <w:rPr>
          <w:rFonts w:ascii="Calibri" w:hAnsi="Calibri" w:cs="Calibri"/>
          <w:szCs w:val="22"/>
        </w:rPr>
      </w:pPr>
    </w:p>
    <w:p w14:paraId="45FC7CE1" w14:textId="42308B29" w:rsidR="0047687A" w:rsidRPr="005734B8" w:rsidRDefault="0047687A" w:rsidP="0047687A">
      <w:pPr>
        <w:ind w:left="284" w:right="-2" w:firstLine="4"/>
        <w:rPr>
          <w:rFonts w:ascii="Calibri" w:hAnsi="Calibri" w:cs="Calibri"/>
          <w:szCs w:val="22"/>
        </w:rPr>
      </w:pPr>
      <w:r w:rsidRPr="005734B8">
        <w:rPr>
          <w:rFonts w:ascii="Calibri" w:hAnsi="Calibri" w:cs="Calibri"/>
          <w:szCs w:val="22"/>
        </w:rPr>
        <w:t>Proceeds from/payments for investments represent flows of schools’ term deposits with a maturity of three months or more.</w:t>
      </w:r>
    </w:p>
    <w:p w14:paraId="5B57806E" w14:textId="46E6E250" w:rsidR="00AE0187" w:rsidRPr="005734B8" w:rsidRDefault="00AE0187" w:rsidP="0047687A">
      <w:pPr>
        <w:ind w:left="284" w:right="-2" w:firstLine="4"/>
        <w:rPr>
          <w:rFonts w:ascii="Calibri" w:hAnsi="Calibri" w:cs="Calibri"/>
          <w:szCs w:val="22"/>
        </w:rPr>
      </w:pPr>
    </w:p>
    <w:p w14:paraId="2284F58D" w14:textId="0DDAD4B0" w:rsidR="00AE0187" w:rsidRPr="005734B8" w:rsidRDefault="00AE0187" w:rsidP="0047687A">
      <w:pPr>
        <w:ind w:left="284" w:right="-2" w:firstLine="4"/>
        <w:rPr>
          <w:rFonts w:ascii="Calibri" w:hAnsi="Calibri" w:cs="Calibri"/>
          <w:szCs w:val="22"/>
        </w:rPr>
      </w:pPr>
    </w:p>
    <w:p w14:paraId="1F1E152B" w14:textId="77777777" w:rsidR="00AE0187" w:rsidRPr="005734B8" w:rsidRDefault="00AE0187" w:rsidP="0047687A">
      <w:pPr>
        <w:ind w:left="284" w:right="-2" w:firstLine="4"/>
        <w:rPr>
          <w:rFonts w:ascii="Calibri" w:hAnsi="Calibri" w:cs="Calibri"/>
          <w:szCs w:val="22"/>
        </w:rPr>
      </w:pPr>
    </w:p>
    <w:p w14:paraId="024F8CCC" w14:textId="77777777" w:rsidR="0047687A" w:rsidRPr="005734B8" w:rsidRDefault="0047687A" w:rsidP="00D058E7">
      <w:pPr>
        <w:pStyle w:val="ESHeading4"/>
        <w:ind w:left="0" w:right="-2" w:firstLine="4"/>
        <w:rPr>
          <w:rFonts w:ascii="Calibri" w:hAnsi="Calibri" w:cs="Calibri"/>
        </w:rPr>
      </w:pPr>
      <w:bookmarkStart w:id="1210" w:name="_Toc11336338"/>
      <w:bookmarkStart w:id="1211" w:name="_Toc14965564"/>
      <w:r w:rsidRPr="005734B8">
        <w:rPr>
          <w:rFonts w:ascii="Calibri" w:hAnsi="Calibri" w:cs="Calibri"/>
        </w:rPr>
        <w:lastRenderedPageBreak/>
        <w:t>Rounding of amounts</w:t>
      </w:r>
      <w:bookmarkEnd w:id="1210"/>
      <w:bookmarkEnd w:id="1211"/>
    </w:p>
    <w:p w14:paraId="40D92568" w14:textId="6AA6EB02" w:rsidR="0047687A" w:rsidRPr="005734B8" w:rsidRDefault="0047687A" w:rsidP="00576FC4">
      <w:pPr>
        <w:ind w:right="-2"/>
        <w:rPr>
          <w:rFonts w:ascii="Calibri" w:hAnsi="Calibri" w:cs="Calibri"/>
          <w:szCs w:val="22"/>
        </w:rPr>
      </w:pPr>
      <w:r w:rsidRPr="005734B8">
        <w:rPr>
          <w:rFonts w:ascii="Calibri" w:hAnsi="Calibri" w:cs="Calibri"/>
          <w:szCs w:val="22"/>
        </w:rPr>
        <w:t>Amounts in the financial statements have been rounded to the nearest million, unless otherwise stated. Figures in the financial statements may not equate due to rounding (Note 9.1</w:t>
      </w:r>
      <w:r w:rsidR="006E53C4" w:rsidRPr="005734B8">
        <w:rPr>
          <w:rFonts w:ascii="Calibri" w:hAnsi="Calibri" w:cs="Calibri"/>
          <w:szCs w:val="22"/>
        </w:rPr>
        <w:t>1</w:t>
      </w:r>
      <w:r w:rsidRPr="005734B8">
        <w:rPr>
          <w:rFonts w:ascii="Calibri" w:hAnsi="Calibri" w:cs="Calibri"/>
          <w:szCs w:val="22"/>
        </w:rPr>
        <w:t>—</w:t>
      </w:r>
      <w:r w:rsidR="006E53C4" w:rsidRPr="005734B8">
        <w:rPr>
          <w:rFonts w:ascii="Calibri" w:hAnsi="Calibri" w:cs="Calibri"/>
          <w:szCs w:val="22"/>
        </w:rPr>
        <w:t>S</w:t>
      </w:r>
      <w:r w:rsidRPr="005734B8">
        <w:rPr>
          <w:rFonts w:ascii="Calibri" w:hAnsi="Calibri" w:cs="Calibri"/>
          <w:szCs w:val="22"/>
        </w:rPr>
        <w:t>tyle conventions).</w:t>
      </w:r>
    </w:p>
    <w:p w14:paraId="030CD914" w14:textId="6B779C0F" w:rsidR="0047687A" w:rsidRPr="005734B8" w:rsidRDefault="0047687A" w:rsidP="0047687A">
      <w:pPr>
        <w:pStyle w:val="ESHeading4"/>
        <w:ind w:left="0" w:firstLine="0"/>
        <w:rPr>
          <w:rFonts w:ascii="Calibri" w:hAnsi="Calibri" w:cs="Calibri"/>
        </w:rPr>
      </w:pPr>
      <w:bookmarkStart w:id="1212" w:name="_Toc11336339"/>
      <w:bookmarkStart w:id="1213" w:name="_Toc14965565"/>
      <w:r w:rsidRPr="005734B8">
        <w:rPr>
          <w:rFonts w:ascii="Calibri" w:hAnsi="Calibri" w:cs="Calibri"/>
        </w:rPr>
        <w:t>Accounting for Goods and Services Tax</w:t>
      </w:r>
      <w:bookmarkEnd w:id="1212"/>
      <w:bookmarkEnd w:id="1213"/>
    </w:p>
    <w:p w14:paraId="1EF0862C" w14:textId="77777777" w:rsidR="0047687A" w:rsidRPr="005734B8" w:rsidRDefault="0047687A" w:rsidP="0047687A">
      <w:pPr>
        <w:rPr>
          <w:rFonts w:ascii="Calibri" w:hAnsi="Calibri" w:cs="Calibri"/>
          <w:szCs w:val="22"/>
        </w:rPr>
      </w:pPr>
      <w:r w:rsidRPr="005734B8">
        <w:rPr>
          <w:rFonts w:ascii="Calibri" w:hAnsi="Calibri" w:cs="Calibri"/>
          <w:szCs w:val="22"/>
        </w:rPr>
        <w:t>Income, expenses and assets are recognised net of the amount of associated GST, unless the GST incurred is not recoverable from the taxation authority. In this case, the GST payable is recognised as part of the cost of acquisition of the asset or as part of the expense.</w:t>
      </w:r>
    </w:p>
    <w:p w14:paraId="0C57F86B" w14:textId="77777777" w:rsidR="0047687A" w:rsidRPr="005734B8" w:rsidRDefault="0047687A" w:rsidP="0047687A">
      <w:pPr>
        <w:rPr>
          <w:rFonts w:ascii="Calibri" w:hAnsi="Calibri" w:cs="Calibri"/>
          <w:szCs w:val="22"/>
        </w:rPr>
      </w:pPr>
    </w:p>
    <w:p w14:paraId="25E1CE5B" w14:textId="77777777" w:rsidR="0047687A" w:rsidRPr="005734B8" w:rsidRDefault="0047687A" w:rsidP="0047687A">
      <w:pPr>
        <w:rPr>
          <w:rFonts w:ascii="Calibri" w:hAnsi="Calibri" w:cs="Calibri"/>
          <w:szCs w:val="22"/>
        </w:rPr>
      </w:pPr>
      <w:r w:rsidRPr="005734B8">
        <w:rPr>
          <w:rFonts w:ascii="Calibri" w:hAnsi="Calibri" w:cs="Calibri"/>
          <w:szCs w:val="22"/>
        </w:rPr>
        <w:t>Receivables and payables are stated inclusive of the amount of GST receivable or payable. The net amount of GST recoverable from, or payable to, the taxation authority is included with other receivables or payables in the balance sheet.</w:t>
      </w:r>
    </w:p>
    <w:p w14:paraId="62B63659" w14:textId="77777777" w:rsidR="0047687A" w:rsidRPr="005734B8" w:rsidRDefault="0047687A" w:rsidP="0047687A">
      <w:pPr>
        <w:rPr>
          <w:rFonts w:ascii="Calibri" w:hAnsi="Calibri" w:cs="Calibri"/>
          <w:szCs w:val="22"/>
        </w:rPr>
      </w:pPr>
    </w:p>
    <w:p w14:paraId="034FE481" w14:textId="1D351400" w:rsidR="0047687A" w:rsidRPr="005734B8" w:rsidRDefault="0047687A" w:rsidP="0047687A">
      <w:pPr>
        <w:rPr>
          <w:rFonts w:ascii="Calibri" w:hAnsi="Calibri" w:cs="Calibri"/>
          <w:szCs w:val="22"/>
        </w:rPr>
      </w:pPr>
      <w:r w:rsidRPr="005734B8">
        <w:rPr>
          <w:rFonts w:ascii="Calibri" w:hAnsi="Calibri" w:cs="Calibri"/>
          <w:szCs w:val="22"/>
        </w:rPr>
        <w:t>Cash flows are presented on a gross basis. The GST components of cash flows arising from investing or financing activities which are recoverable from, or payable to the taxation authority are presented as operating cash flow.</w:t>
      </w:r>
    </w:p>
    <w:p w14:paraId="370AD64E" w14:textId="77777777" w:rsidR="00576FC4" w:rsidRPr="005734B8" w:rsidRDefault="00576FC4" w:rsidP="0047687A">
      <w:pPr>
        <w:rPr>
          <w:rFonts w:ascii="Calibri" w:hAnsi="Calibri" w:cs="Calibri"/>
          <w:szCs w:val="22"/>
        </w:rPr>
      </w:pPr>
    </w:p>
    <w:p w14:paraId="677F2CD7" w14:textId="7BFD4FF8" w:rsidR="00FE5E0C" w:rsidRPr="005734B8" w:rsidRDefault="0047687A" w:rsidP="0047687A">
      <w:pPr>
        <w:rPr>
          <w:rFonts w:ascii="Calibri" w:hAnsi="Calibri" w:cs="Calibri"/>
          <w:szCs w:val="22"/>
        </w:rPr>
      </w:pPr>
      <w:r w:rsidRPr="005734B8">
        <w:rPr>
          <w:rFonts w:ascii="Calibri" w:hAnsi="Calibri" w:cs="Calibri"/>
          <w:szCs w:val="22"/>
        </w:rPr>
        <w:t>Commitments and contingent assets and liabilities are also stated inclusive of GST.</w:t>
      </w:r>
    </w:p>
    <w:p w14:paraId="3FF1E4DD" w14:textId="77777777" w:rsidR="00FE5E0C" w:rsidRPr="005734B8" w:rsidRDefault="00FE5E0C">
      <w:pPr>
        <w:rPr>
          <w:rFonts w:ascii="Calibri" w:hAnsi="Calibri" w:cs="Calibri"/>
          <w:szCs w:val="22"/>
        </w:rPr>
      </w:pPr>
      <w:r w:rsidRPr="005734B8">
        <w:rPr>
          <w:rFonts w:ascii="Calibri" w:hAnsi="Calibri" w:cs="Calibri"/>
          <w:szCs w:val="22"/>
        </w:rPr>
        <w:br w:type="page"/>
      </w:r>
    </w:p>
    <w:p w14:paraId="0E660C94" w14:textId="77777777" w:rsidR="0047687A" w:rsidRPr="005734B8" w:rsidRDefault="0047687A" w:rsidP="0047687A">
      <w:pPr>
        <w:rPr>
          <w:rFonts w:ascii="Calibri" w:hAnsi="Calibri" w:cs="Calibri"/>
          <w:szCs w:val="22"/>
        </w:rPr>
      </w:pPr>
    </w:p>
    <w:p w14:paraId="4815BF39" w14:textId="77777777" w:rsidR="00A52BFC" w:rsidRDefault="002704CC" w:rsidP="00FE5E0C">
      <w:pPr>
        <w:pStyle w:val="Note"/>
      </w:pPr>
      <w:bookmarkStart w:id="1214" w:name="_Toc58243431"/>
      <w:bookmarkStart w:id="1215" w:name="_Toc72958081"/>
      <w:bookmarkStart w:id="1216" w:name="_Toc72958129"/>
      <w:bookmarkStart w:id="1217" w:name="_Toc80272069"/>
      <w:bookmarkEnd w:id="1192"/>
      <w:bookmarkEnd w:id="1193"/>
      <w:bookmarkEnd w:id="1194"/>
      <w:bookmarkEnd w:id="1195"/>
      <w:bookmarkEnd w:id="1196"/>
      <w:bookmarkEnd w:id="1197"/>
      <w:r w:rsidRPr="00FE5E0C">
        <w:t xml:space="preserve"> </w:t>
      </w:r>
      <w:bookmarkStart w:id="1218" w:name="_Toc81315368"/>
      <w:r w:rsidR="0047687A" w:rsidRPr="00FE5E0C">
        <w:t>Funding delivery of our services</w:t>
      </w:r>
      <w:bookmarkEnd w:id="1214"/>
      <w:bookmarkEnd w:id="1215"/>
      <w:bookmarkEnd w:id="1216"/>
      <w:bookmarkEnd w:id="1217"/>
      <w:bookmarkEnd w:id="1218"/>
    </w:p>
    <w:p w14:paraId="106661C7" w14:textId="29C00F3F" w:rsidR="0047687A" w:rsidRPr="005734B8" w:rsidRDefault="000E29FE" w:rsidP="00A52BFC">
      <w:pPr>
        <w:rPr>
          <w:rFonts w:ascii="Calibri" w:hAnsi="Calibri" w:cs="Calibri"/>
          <w:szCs w:val="22"/>
        </w:rPr>
      </w:pPr>
      <w:r w:rsidRPr="005734B8">
        <w:rPr>
          <w:rFonts w:ascii="Calibri" w:hAnsi="Calibri" w:cs="Calibri"/>
          <w:szCs w:val="22"/>
        </w:rPr>
        <w:fldChar w:fldCharType="begin"/>
      </w:r>
      <w:r w:rsidRPr="005734B8">
        <w:rPr>
          <w:rFonts w:ascii="Calibri" w:hAnsi="Calibri" w:cs="Calibri"/>
          <w:szCs w:val="22"/>
        </w:rPr>
        <w:instrText xml:space="preserve"> TC  "</w:instrText>
      </w:r>
      <w:bookmarkStart w:id="1219" w:name="_Toc80718034"/>
      <w:r w:rsidRPr="005734B8">
        <w:rPr>
          <w:rFonts w:ascii="Calibri" w:hAnsi="Calibri" w:cs="Calibri"/>
          <w:szCs w:val="22"/>
        </w:rPr>
        <w:instrText>Note 2</w:instrText>
      </w:r>
      <w:r w:rsidRPr="005734B8">
        <w:rPr>
          <w:rFonts w:ascii="Calibri" w:hAnsi="Calibri" w:cs="Calibri"/>
          <w:szCs w:val="22"/>
        </w:rPr>
        <w:tab/>
        <w:instrText>Funding delivery of our services</w:instrText>
      </w:r>
      <w:bookmarkEnd w:id="1219"/>
      <w:r w:rsidRPr="005734B8">
        <w:rPr>
          <w:rFonts w:ascii="Calibri" w:hAnsi="Calibri" w:cs="Calibri"/>
          <w:szCs w:val="22"/>
        </w:rPr>
        <w:instrText xml:space="preserve">" \f X \l 1 </w:instrText>
      </w:r>
      <w:r w:rsidRPr="005734B8">
        <w:rPr>
          <w:rFonts w:ascii="Calibri" w:hAnsi="Calibri" w:cs="Calibri"/>
          <w:szCs w:val="22"/>
        </w:rPr>
        <w:fldChar w:fldCharType="end"/>
      </w:r>
    </w:p>
    <w:tbl>
      <w:tblPr>
        <w:tblStyle w:val="TableGrid"/>
        <w:tblpPr w:leftFromText="180" w:rightFromText="180" w:vertAnchor="page" w:horzAnchor="margin" w:tblpY="2401"/>
        <w:tblW w:w="8014" w:type="dxa"/>
        <w:tblLook w:val="04A0" w:firstRow="1" w:lastRow="0" w:firstColumn="1" w:lastColumn="0" w:noHBand="0" w:noVBand="1"/>
      </w:tblPr>
      <w:tblGrid>
        <w:gridCol w:w="4362"/>
        <w:gridCol w:w="3652"/>
      </w:tblGrid>
      <w:tr w:rsidR="002704CC" w:rsidRPr="005734B8" w14:paraId="59442198" w14:textId="77777777" w:rsidTr="002704CC">
        <w:trPr>
          <w:trHeight w:val="3701"/>
        </w:trPr>
        <w:tc>
          <w:tcPr>
            <w:tcW w:w="4362" w:type="dxa"/>
            <w:tcBorders>
              <w:bottom w:val="single" w:sz="4" w:space="0" w:color="auto"/>
              <w:right w:val="nil"/>
            </w:tcBorders>
          </w:tcPr>
          <w:p w14:paraId="59055406" w14:textId="77777777" w:rsidR="002704CC" w:rsidRPr="005734B8" w:rsidRDefault="002704CC" w:rsidP="002704CC">
            <w:pPr>
              <w:pStyle w:val="Heading4notes"/>
              <w:rPr>
                <w:rFonts w:ascii="Calibri" w:hAnsi="Calibri" w:cs="Calibri"/>
                <w:i w:val="0"/>
                <w:sz w:val="18"/>
              </w:rPr>
            </w:pPr>
            <w:bookmarkStart w:id="1220" w:name="_Toc11336341"/>
            <w:bookmarkStart w:id="1221" w:name="_Toc11336579"/>
            <w:bookmarkStart w:id="1222" w:name="_Toc13647183"/>
            <w:bookmarkStart w:id="1223" w:name="_Toc13656715"/>
            <w:bookmarkStart w:id="1224" w:name="_Toc13656877"/>
            <w:bookmarkStart w:id="1225" w:name="_Toc14965567"/>
            <w:bookmarkStart w:id="1226" w:name="_Toc15985301"/>
            <w:bookmarkStart w:id="1227" w:name="_Toc16231952"/>
            <w:bookmarkStart w:id="1228" w:name="_Toc36012771"/>
            <w:bookmarkStart w:id="1229" w:name="_Toc36012849"/>
            <w:bookmarkStart w:id="1230" w:name="_Toc36013346"/>
            <w:bookmarkStart w:id="1231" w:name="_Toc58243432"/>
            <w:bookmarkStart w:id="1232" w:name="_Toc72958082"/>
            <w:bookmarkStart w:id="1233" w:name="_Toc72958130"/>
            <w:bookmarkStart w:id="1234" w:name="_Toc80272070"/>
            <w:r w:rsidRPr="005734B8">
              <w:rPr>
                <w:rFonts w:ascii="Calibri" w:hAnsi="Calibri" w:cs="Calibri"/>
                <w:i w:val="0"/>
                <w:sz w:val="18"/>
              </w:rPr>
              <w:t>Objectives and funding</w:t>
            </w:r>
          </w:p>
          <w:p w14:paraId="3C754EE2" w14:textId="77777777" w:rsidR="002704CC" w:rsidRPr="005734B8" w:rsidRDefault="002704CC" w:rsidP="002704CC">
            <w:pPr>
              <w:pStyle w:val="ReferenceText"/>
              <w:rPr>
                <w:rFonts w:ascii="Calibri" w:hAnsi="Calibri" w:cs="Calibri"/>
              </w:rPr>
            </w:pPr>
            <w:r w:rsidRPr="005734B8">
              <w:rPr>
                <w:rFonts w:ascii="Calibri" w:hAnsi="Calibri" w:cs="Calibri"/>
              </w:rPr>
              <w:t>The Department leads the delivery of education and development services to children, young people and adults, both directly through government schools and indirectly through the regulation and funding of early childhood services, non-government schools and training programs.</w:t>
            </w:r>
          </w:p>
          <w:p w14:paraId="7B6012BC" w14:textId="77777777" w:rsidR="002704CC" w:rsidRPr="005734B8" w:rsidRDefault="002704CC" w:rsidP="002704CC">
            <w:pPr>
              <w:pStyle w:val="ReferenceText"/>
              <w:rPr>
                <w:rFonts w:ascii="Calibri" w:hAnsi="Calibri" w:cs="Calibri"/>
              </w:rPr>
            </w:pPr>
            <w:r w:rsidRPr="005734B8">
              <w:rPr>
                <w:rFonts w:ascii="Calibri" w:hAnsi="Calibri" w:cs="Calibri"/>
              </w:rPr>
              <w:t>The Department implements Victorian Government policy on early childhood services, school education and training and higher education services. The Department manages Victorian government schools and drives improvement in primary and secondary government education.</w:t>
            </w:r>
          </w:p>
          <w:p w14:paraId="2FBB9FF2" w14:textId="77777777" w:rsidR="002704CC" w:rsidRPr="005734B8" w:rsidRDefault="002704CC" w:rsidP="002704CC">
            <w:pPr>
              <w:pStyle w:val="ReferenceText"/>
              <w:rPr>
                <w:rFonts w:ascii="Calibri" w:hAnsi="Calibri" w:cs="Calibri"/>
              </w:rPr>
            </w:pPr>
            <w:r w:rsidRPr="005734B8">
              <w:rPr>
                <w:rFonts w:ascii="Calibri" w:hAnsi="Calibri" w:cs="Calibri"/>
              </w:rPr>
              <w:t>The Department provides support and advisory services to the Minister for Education, the Minister for Training and Skills and the Minister for Higher Education, as well as a number of statutory bodies.</w:t>
            </w:r>
          </w:p>
          <w:p w14:paraId="4BF3E540" w14:textId="77777777" w:rsidR="002704CC" w:rsidRPr="005734B8" w:rsidRDefault="002704CC" w:rsidP="002704CC">
            <w:pPr>
              <w:pStyle w:val="ReferenceText"/>
              <w:rPr>
                <w:rFonts w:ascii="Calibri" w:hAnsi="Calibri" w:cs="Calibri"/>
                <w:sz w:val="19"/>
                <w:szCs w:val="19"/>
              </w:rPr>
            </w:pPr>
            <w:r w:rsidRPr="005734B8">
              <w:rPr>
                <w:rFonts w:ascii="Calibri" w:hAnsi="Calibri" w:cs="Calibri"/>
              </w:rPr>
              <w:t>The Department is predominantly funded by accrual-based parliamentary appropriations for the provision of outputs that are further described in Note 4.</w:t>
            </w:r>
          </w:p>
        </w:tc>
        <w:tc>
          <w:tcPr>
            <w:tcW w:w="3652" w:type="dxa"/>
            <w:tcBorders>
              <w:left w:val="nil"/>
              <w:bottom w:val="single" w:sz="4" w:space="0" w:color="auto"/>
            </w:tcBorders>
          </w:tcPr>
          <w:p w14:paraId="66AE9606" w14:textId="77777777" w:rsidR="002704CC" w:rsidRPr="005734B8" w:rsidRDefault="002704CC" w:rsidP="002704CC">
            <w:pPr>
              <w:pStyle w:val="Heading4notes"/>
              <w:rPr>
                <w:rFonts w:ascii="Calibri" w:hAnsi="Calibri" w:cs="Calibri"/>
                <w:i w:val="0"/>
                <w:sz w:val="18"/>
              </w:rPr>
            </w:pPr>
            <w:r w:rsidRPr="005734B8">
              <w:rPr>
                <w:rFonts w:ascii="Calibri" w:hAnsi="Calibri" w:cs="Calibri"/>
                <w:i w:val="0"/>
                <w:sz w:val="18"/>
              </w:rPr>
              <w:t>Structure</w:t>
            </w:r>
          </w:p>
          <w:p w14:paraId="52BE52D9" w14:textId="230EE26F" w:rsidR="002704CC" w:rsidRPr="005734B8" w:rsidRDefault="002704CC" w:rsidP="002704CC">
            <w:pPr>
              <w:pStyle w:val="Heading4notes"/>
              <w:numPr>
                <w:ilvl w:val="1"/>
                <w:numId w:val="9"/>
              </w:numPr>
              <w:tabs>
                <w:tab w:val="clear" w:pos="397"/>
                <w:tab w:val="left" w:pos="361"/>
              </w:tabs>
              <w:spacing w:before="0"/>
              <w:ind w:left="329" w:hanging="329"/>
              <w:rPr>
                <w:rFonts w:ascii="Calibri" w:hAnsi="Calibri" w:cs="Calibri"/>
                <w:b w:val="0"/>
                <w:i w:val="0"/>
                <w:color w:val="auto"/>
                <w:sz w:val="18"/>
                <w:szCs w:val="18"/>
              </w:rPr>
            </w:pPr>
            <w:r w:rsidRPr="005734B8">
              <w:rPr>
                <w:rFonts w:ascii="Calibri" w:hAnsi="Calibri" w:cs="Calibri"/>
                <w:b w:val="0"/>
                <w:i w:val="0"/>
                <w:color w:val="auto"/>
                <w:sz w:val="18"/>
                <w:szCs w:val="18"/>
              </w:rPr>
              <w:t>Summary of revenue and income that fund the delivery of our services</w:t>
            </w:r>
          </w:p>
          <w:p w14:paraId="6A7D3389" w14:textId="77777777" w:rsidR="002704CC" w:rsidRPr="005734B8" w:rsidRDefault="002704CC" w:rsidP="002704CC">
            <w:pPr>
              <w:pStyle w:val="Heading4notes"/>
              <w:numPr>
                <w:ilvl w:val="1"/>
                <w:numId w:val="9"/>
              </w:numPr>
              <w:tabs>
                <w:tab w:val="clear" w:pos="397"/>
                <w:tab w:val="left" w:pos="361"/>
              </w:tabs>
              <w:spacing w:before="0"/>
              <w:ind w:left="327" w:hanging="329"/>
              <w:rPr>
                <w:rFonts w:ascii="Calibri" w:hAnsi="Calibri" w:cs="Calibri"/>
                <w:b w:val="0"/>
                <w:i w:val="0"/>
                <w:color w:val="auto"/>
                <w:sz w:val="18"/>
                <w:szCs w:val="18"/>
              </w:rPr>
            </w:pPr>
            <w:r w:rsidRPr="005734B8">
              <w:rPr>
                <w:rFonts w:ascii="Calibri" w:hAnsi="Calibri" w:cs="Calibri"/>
                <w:b w:val="0"/>
                <w:i w:val="0"/>
                <w:color w:val="auto"/>
                <w:sz w:val="18"/>
                <w:szCs w:val="18"/>
              </w:rPr>
              <w:t>Appropriations</w:t>
            </w:r>
          </w:p>
          <w:p w14:paraId="602EED67" w14:textId="77777777" w:rsidR="002704CC" w:rsidRPr="005734B8" w:rsidRDefault="002704CC" w:rsidP="002704CC">
            <w:pPr>
              <w:pStyle w:val="Heading4notes"/>
              <w:numPr>
                <w:ilvl w:val="1"/>
                <w:numId w:val="9"/>
              </w:numPr>
              <w:tabs>
                <w:tab w:val="clear" w:pos="397"/>
                <w:tab w:val="left" w:pos="361"/>
              </w:tabs>
              <w:spacing w:before="0"/>
              <w:ind w:left="327" w:hanging="329"/>
              <w:rPr>
                <w:rFonts w:ascii="Calibri" w:hAnsi="Calibri" w:cs="Calibri"/>
                <w:b w:val="0"/>
                <w:i w:val="0"/>
                <w:color w:val="auto"/>
                <w:sz w:val="18"/>
                <w:szCs w:val="18"/>
              </w:rPr>
            </w:pPr>
            <w:r w:rsidRPr="005734B8">
              <w:rPr>
                <w:rFonts w:ascii="Calibri" w:hAnsi="Calibri" w:cs="Calibri"/>
                <w:b w:val="0"/>
                <w:i w:val="0"/>
                <w:color w:val="auto"/>
                <w:sz w:val="18"/>
                <w:szCs w:val="18"/>
              </w:rPr>
              <w:t>Summary of compliance with annual Parliamentary and special appropriations</w:t>
            </w:r>
          </w:p>
          <w:p w14:paraId="03567212" w14:textId="77777777" w:rsidR="002704CC" w:rsidRPr="005734B8" w:rsidRDefault="002704CC" w:rsidP="002704CC">
            <w:pPr>
              <w:pStyle w:val="Heading4notes"/>
              <w:numPr>
                <w:ilvl w:val="2"/>
                <w:numId w:val="9"/>
              </w:numPr>
              <w:tabs>
                <w:tab w:val="clear" w:pos="397"/>
              </w:tabs>
              <w:spacing w:before="0"/>
              <w:ind w:left="850" w:hanging="487"/>
              <w:rPr>
                <w:rFonts w:ascii="Calibri" w:hAnsi="Calibri" w:cs="Calibri"/>
                <w:b w:val="0"/>
                <w:i w:val="0"/>
                <w:color w:val="auto"/>
                <w:sz w:val="18"/>
                <w:szCs w:val="18"/>
              </w:rPr>
            </w:pPr>
            <w:r w:rsidRPr="005734B8">
              <w:rPr>
                <w:rFonts w:ascii="Calibri" w:hAnsi="Calibri" w:cs="Calibri"/>
                <w:b w:val="0"/>
                <w:i w:val="0"/>
                <w:color w:val="auto"/>
                <w:sz w:val="18"/>
                <w:szCs w:val="18"/>
              </w:rPr>
              <w:t>(a) Summary of compliance with annual parliamentary appropriations</w:t>
            </w:r>
          </w:p>
          <w:p w14:paraId="2662D45D" w14:textId="77777777" w:rsidR="002704CC" w:rsidRPr="005734B8" w:rsidRDefault="002704CC" w:rsidP="002704CC">
            <w:pPr>
              <w:pStyle w:val="Heading4notes"/>
              <w:tabs>
                <w:tab w:val="clear" w:pos="397"/>
              </w:tabs>
              <w:spacing w:before="0"/>
              <w:ind w:left="850"/>
              <w:rPr>
                <w:rFonts w:ascii="Calibri" w:hAnsi="Calibri" w:cs="Calibri"/>
                <w:b w:val="0"/>
                <w:i w:val="0"/>
                <w:color w:val="auto"/>
                <w:sz w:val="18"/>
                <w:szCs w:val="18"/>
              </w:rPr>
            </w:pPr>
            <w:r w:rsidRPr="005734B8">
              <w:rPr>
                <w:rFonts w:ascii="Calibri" w:hAnsi="Calibri" w:cs="Calibri"/>
                <w:b w:val="0"/>
                <w:i w:val="0"/>
                <w:color w:val="auto"/>
                <w:sz w:val="18"/>
                <w:szCs w:val="18"/>
              </w:rPr>
              <w:t>(b) Annotated income agreements appropriations</w:t>
            </w:r>
          </w:p>
          <w:p w14:paraId="3879B3A0" w14:textId="77777777" w:rsidR="002704CC" w:rsidRPr="005734B8" w:rsidRDefault="002704CC" w:rsidP="002704CC">
            <w:pPr>
              <w:pStyle w:val="Heading4notes"/>
              <w:numPr>
                <w:ilvl w:val="2"/>
                <w:numId w:val="9"/>
              </w:numPr>
              <w:tabs>
                <w:tab w:val="clear" w:pos="397"/>
                <w:tab w:val="left" w:pos="361"/>
              </w:tabs>
              <w:spacing w:before="0"/>
              <w:ind w:left="850" w:hanging="487"/>
              <w:rPr>
                <w:rFonts w:ascii="Calibri" w:hAnsi="Calibri" w:cs="Calibri"/>
                <w:b w:val="0"/>
                <w:i w:val="0"/>
                <w:color w:val="auto"/>
                <w:sz w:val="18"/>
                <w:szCs w:val="18"/>
              </w:rPr>
            </w:pPr>
            <w:r w:rsidRPr="005734B8">
              <w:rPr>
                <w:rFonts w:ascii="Calibri" w:hAnsi="Calibri" w:cs="Calibri"/>
                <w:b w:val="0"/>
                <w:i w:val="0"/>
                <w:color w:val="auto"/>
                <w:sz w:val="18"/>
                <w:szCs w:val="18"/>
              </w:rPr>
              <w:t>Summary of compliance with special appropriations</w:t>
            </w:r>
          </w:p>
          <w:p w14:paraId="2FECD1AD" w14:textId="77777777" w:rsidR="002704CC" w:rsidRPr="005734B8" w:rsidRDefault="002704CC" w:rsidP="002704CC">
            <w:pPr>
              <w:pStyle w:val="Heading4notes"/>
              <w:numPr>
                <w:ilvl w:val="1"/>
                <w:numId w:val="9"/>
              </w:numPr>
              <w:tabs>
                <w:tab w:val="clear" w:pos="397"/>
                <w:tab w:val="left" w:pos="361"/>
              </w:tabs>
              <w:spacing w:before="0"/>
              <w:ind w:left="327" w:hanging="329"/>
              <w:rPr>
                <w:rFonts w:ascii="Calibri" w:hAnsi="Calibri" w:cs="Calibri"/>
                <w:b w:val="0"/>
                <w:i w:val="0"/>
                <w:color w:val="auto"/>
                <w:sz w:val="18"/>
                <w:szCs w:val="18"/>
              </w:rPr>
            </w:pPr>
            <w:r w:rsidRPr="005734B8">
              <w:rPr>
                <w:rFonts w:ascii="Calibri" w:hAnsi="Calibri" w:cs="Calibri"/>
                <w:b w:val="0"/>
                <w:i w:val="0"/>
                <w:color w:val="auto"/>
                <w:sz w:val="18"/>
                <w:szCs w:val="18"/>
              </w:rPr>
              <w:t xml:space="preserve">Income from transactions </w:t>
            </w:r>
          </w:p>
          <w:p w14:paraId="2B349771" w14:textId="77777777" w:rsidR="002704CC" w:rsidRPr="005734B8" w:rsidRDefault="002704CC" w:rsidP="002704CC">
            <w:pPr>
              <w:pStyle w:val="Heading4notes"/>
              <w:numPr>
                <w:ilvl w:val="2"/>
                <w:numId w:val="9"/>
              </w:numPr>
              <w:tabs>
                <w:tab w:val="clear" w:pos="397"/>
                <w:tab w:val="left" w:pos="361"/>
              </w:tabs>
              <w:spacing w:before="0"/>
              <w:ind w:left="845" w:hanging="488"/>
              <w:rPr>
                <w:rFonts w:ascii="Calibri" w:hAnsi="Calibri" w:cs="Calibri"/>
                <w:b w:val="0"/>
                <w:i w:val="0"/>
                <w:color w:val="auto"/>
                <w:sz w:val="18"/>
                <w:szCs w:val="18"/>
              </w:rPr>
            </w:pPr>
            <w:r w:rsidRPr="005734B8">
              <w:rPr>
                <w:rFonts w:ascii="Calibri" w:hAnsi="Calibri" w:cs="Calibri"/>
                <w:b w:val="0"/>
                <w:i w:val="0"/>
                <w:color w:val="auto"/>
                <w:sz w:val="18"/>
                <w:szCs w:val="18"/>
              </w:rPr>
              <w:t>Grants</w:t>
            </w:r>
          </w:p>
          <w:p w14:paraId="1BA2895E" w14:textId="77777777" w:rsidR="002704CC" w:rsidRPr="005734B8" w:rsidRDefault="002704CC" w:rsidP="002704CC">
            <w:pPr>
              <w:pStyle w:val="Heading4notes"/>
              <w:numPr>
                <w:ilvl w:val="2"/>
                <w:numId w:val="9"/>
              </w:numPr>
              <w:tabs>
                <w:tab w:val="clear" w:pos="397"/>
                <w:tab w:val="left" w:pos="361"/>
              </w:tabs>
              <w:spacing w:before="0"/>
              <w:ind w:left="845" w:hanging="488"/>
              <w:rPr>
                <w:rFonts w:ascii="Calibri" w:hAnsi="Calibri" w:cs="Calibri"/>
                <w:b w:val="0"/>
                <w:i w:val="0"/>
                <w:color w:val="auto"/>
                <w:sz w:val="18"/>
                <w:szCs w:val="18"/>
              </w:rPr>
            </w:pPr>
            <w:r w:rsidRPr="005734B8">
              <w:rPr>
                <w:rFonts w:ascii="Calibri" w:hAnsi="Calibri" w:cs="Calibri"/>
                <w:b w:val="0"/>
                <w:i w:val="0"/>
                <w:color w:val="auto"/>
                <w:sz w:val="18"/>
                <w:szCs w:val="18"/>
              </w:rPr>
              <w:t>Sales of goods and services</w:t>
            </w:r>
          </w:p>
          <w:p w14:paraId="457CA148" w14:textId="77777777" w:rsidR="002704CC" w:rsidRPr="005734B8" w:rsidRDefault="002704CC" w:rsidP="002704CC">
            <w:pPr>
              <w:pStyle w:val="Heading4notes"/>
              <w:numPr>
                <w:ilvl w:val="2"/>
                <w:numId w:val="9"/>
              </w:numPr>
              <w:tabs>
                <w:tab w:val="clear" w:pos="397"/>
                <w:tab w:val="left" w:pos="361"/>
              </w:tabs>
              <w:spacing w:before="0"/>
              <w:ind w:left="845" w:hanging="488"/>
              <w:rPr>
                <w:rFonts w:ascii="Calibri" w:hAnsi="Calibri" w:cs="Calibri"/>
                <w:b w:val="0"/>
                <w:i w:val="0"/>
                <w:color w:val="auto"/>
                <w:sz w:val="18"/>
                <w:szCs w:val="18"/>
              </w:rPr>
            </w:pPr>
            <w:r w:rsidRPr="005734B8">
              <w:rPr>
                <w:rFonts w:ascii="Calibri" w:hAnsi="Calibri" w:cs="Calibri"/>
                <w:b w:val="0"/>
                <w:i w:val="0"/>
                <w:color w:val="auto"/>
                <w:sz w:val="18"/>
                <w:szCs w:val="18"/>
              </w:rPr>
              <w:t>Other income</w:t>
            </w:r>
          </w:p>
        </w:tc>
      </w:tr>
    </w:tbl>
    <w:p w14:paraId="1F52F74C" w14:textId="0D117B31" w:rsidR="002704CC" w:rsidRPr="005734B8" w:rsidRDefault="002704CC" w:rsidP="0047687A">
      <w:pPr>
        <w:pStyle w:val="ESHeading2"/>
        <w:rPr>
          <w:rFonts w:ascii="Calibri" w:hAnsi="Calibri" w:cs="Calibri"/>
        </w:rPr>
      </w:pPr>
      <w:r w:rsidRPr="005734B8">
        <w:rPr>
          <w:rFonts w:ascii="Calibri" w:hAnsi="Calibri" w:cs="Calibri"/>
        </w:rPr>
        <w:t xml:space="preserve"> </w:t>
      </w:r>
      <w:bookmarkStart w:id="1235" w:name="_Toc81315369"/>
      <w:r w:rsidR="0047687A" w:rsidRPr="005734B8">
        <w:rPr>
          <w:rFonts w:ascii="Calibri" w:hAnsi="Calibri" w:cs="Calibri"/>
        </w:rPr>
        <w:t>2.1 Summary of revenue and income that fund the delivery of our services</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14:paraId="448474D4" w14:textId="4872AD90" w:rsidR="002704CC" w:rsidRPr="005734B8" w:rsidRDefault="002704CC" w:rsidP="002704CC">
      <w:pPr>
        <w:pStyle w:val="ESTableintroheading"/>
        <w:rPr>
          <w:rFonts w:ascii="Calibri" w:hAnsi="Calibri" w:cs="Calibri"/>
        </w:rPr>
      </w:pPr>
      <w:r w:rsidRPr="005734B8">
        <w:rPr>
          <w:rFonts w:ascii="Calibri" w:hAnsi="Calibri" w:cs="Calibri"/>
        </w:rPr>
        <w:t>Revenue and income from transactions</w:t>
      </w:r>
    </w:p>
    <w:tbl>
      <w:tblPr>
        <w:tblW w:w="7625" w:type="dxa"/>
        <w:tblInd w:w="75" w:type="dxa"/>
        <w:tblLayout w:type="fixed"/>
        <w:tblLook w:val="04A0" w:firstRow="1" w:lastRow="0" w:firstColumn="1" w:lastColumn="0" w:noHBand="0" w:noVBand="1"/>
      </w:tblPr>
      <w:tblGrid>
        <w:gridCol w:w="4678"/>
        <w:gridCol w:w="862"/>
        <w:gridCol w:w="970"/>
        <w:gridCol w:w="1115"/>
      </w:tblGrid>
      <w:tr w:rsidR="0047687A" w:rsidRPr="005734B8" w14:paraId="5A2BD8A1" w14:textId="77777777" w:rsidTr="000F48B1">
        <w:trPr>
          <w:trHeight w:val="480"/>
        </w:trPr>
        <w:tc>
          <w:tcPr>
            <w:tcW w:w="4678" w:type="dxa"/>
            <w:tcBorders>
              <w:top w:val="nil"/>
              <w:left w:val="single" w:sz="4" w:space="0" w:color="FFFFFF"/>
              <w:bottom w:val="nil"/>
              <w:right w:val="single" w:sz="4" w:space="0" w:color="FFFFFF"/>
            </w:tcBorders>
            <w:shd w:val="clear" w:color="000000" w:fill="AF272F"/>
            <w:vAlign w:val="bottom"/>
            <w:hideMark/>
          </w:tcPr>
          <w:p w14:paraId="1C753B67" w14:textId="77777777" w:rsidR="0047687A" w:rsidRPr="005734B8" w:rsidRDefault="0047687A" w:rsidP="000F48B1">
            <w:pPr>
              <w:jc w:val="center"/>
              <w:rPr>
                <w:rFonts w:ascii="Calibri" w:hAnsi="Calibri" w:cs="Calibri"/>
                <w:b/>
                <w:color w:val="FFFFFF"/>
                <w:sz w:val="18"/>
                <w:szCs w:val="18"/>
              </w:rPr>
            </w:pPr>
            <w:bookmarkStart w:id="1236" w:name="Note_SERTABLE1" w:colFirst="0" w:colLast="0"/>
            <w:r w:rsidRPr="005734B8">
              <w:rPr>
                <w:rFonts w:ascii="Calibri" w:hAnsi="Calibri" w:cs="Calibri"/>
                <w:b/>
                <w:color w:val="FFFFFF"/>
                <w:sz w:val="18"/>
                <w:szCs w:val="18"/>
              </w:rPr>
              <w:t> </w:t>
            </w:r>
          </w:p>
        </w:tc>
        <w:tc>
          <w:tcPr>
            <w:tcW w:w="862" w:type="dxa"/>
            <w:tcBorders>
              <w:top w:val="nil"/>
              <w:left w:val="nil"/>
              <w:bottom w:val="single" w:sz="4" w:space="0" w:color="auto"/>
              <w:right w:val="single" w:sz="4" w:space="0" w:color="FFFFFF"/>
            </w:tcBorders>
            <w:shd w:val="clear" w:color="000000" w:fill="AF272F"/>
            <w:hideMark/>
          </w:tcPr>
          <w:p w14:paraId="5874962A" w14:textId="77777777" w:rsidR="0047687A" w:rsidRPr="005734B8" w:rsidRDefault="0047687A" w:rsidP="000F48B1">
            <w:pPr>
              <w:jc w:val="right"/>
              <w:rPr>
                <w:rFonts w:ascii="Calibri" w:hAnsi="Calibri" w:cs="Calibri"/>
                <w:b/>
                <w:color w:val="FFFFFF"/>
                <w:sz w:val="18"/>
                <w:szCs w:val="18"/>
              </w:rPr>
            </w:pPr>
            <w:r w:rsidRPr="005734B8">
              <w:rPr>
                <w:rFonts w:ascii="Calibri" w:hAnsi="Calibri" w:cs="Calibri"/>
                <w:b/>
                <w:color w:val="FFFFFF"/>
                <w:sz w:val="18"/>
                <w:szCs w:val="18"/>
              </w:rPr>
              <w:t>Notes</w:t>
            </w:r>
          </w:p>
        </w:tc>
        <w:tc>
          <w:tcPr>
            <w:tcW w:w="970" w:type="dxa"/>
            <w:tcBorders>
              <w:top w:val="nil"/>
              <w:left w:val="nil"/>
              <w:bottom w:val="single" w:sz="4" w:space="0" w:color="auto"/>
              <w:right w:val="single" w:sz="4" w:space="0" w:color="FFFFFF"/>
            </w:tcBorders>
            <w:shd w:val="clear" w:color="000000" w:fill="AF272F"/>
            <w:hideMark/>
          </w:tcPr>
          <w:p w14:paraId="0BB1A87F" w14:textId="77777777" w:rsidR="0047687A" w:rsidRPr="005734B8" w:rsidRDefault="0047687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115" w:type="dxa"/>
            <w:tcBorders>
              <w:top w:val="nil"/>
              <w:left w:val="nil"/>
              <w:bottom w:val="single" w:sz="4" w:space="0" w:color="auto"/>
              <w:right w:val="single" w:sz="4" w:space="0" w:color="FFFFFF"/>
            </w:tcBorders>
            <w:shd w:val="clear" w:color="000000" w:fill="AF272F"/>
            <w:hideMark/>
          </w:tcPr>
          <w:p w14:paraId="3999BE71" w14:textId="77777777" w:rsidR="0047687A" w:rsidRPr="005734B8" w:rsidRDefault="0047687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236"/>
      <w:tr w:rsidR="0047687A" w:rsidRPr="005734B8" w14:paraId="4ABFE7EB" w14:textId="77777777" w:rsidTr="000F48B1">
        <w:trPr>
          <w:trHeight w:val="255"/>
        </w:trPr>
        <w:tc>
          <w:tcPr>
            <w:tcW w:w="4678"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5F2281B0" w14:textId="1714E006" w:rsidR="0047687A" w:rsidRPr="005734B8" w:rsidRDefault="002704CC" w:rsidP="000F48B1">
            <w:pPr>
              <w:rPr>
                <w:rFonts w:ascii="Calibri" w:hAnsi="Calibri" w:cs="Calibri"/>
                <w:b/>
                <w:sz w:val="18"/>
                <w:szCs w:val="18"/>
              </w:rPr>
            </w:pPr>
            <w:r w:rsidRPr="005734B8">
              <w:rPr>
                <w:rFonts w:ascii="Calibri" w:hAnsi="Calibri" w:cs="Calibri"/>
                <w:b/>
                <w:sz w:val="18"/>
                <w:szCs w:val="18"/>
              </w:rPr>
              <w:t>Revenue and i</w:t>
            </w:r>
            <w:r w:rsidR="0047687A" w:rsidRPr="005734B8">
              <w:rPr>
                <w:rFonts w:ascii="Calibri" w:hAnsi="Calibri" w:cs="Calibri"/>
                <w:b/>
                <w:sz w:val="18"/>
                <w:szCs w:val="18"/>
              </w:rPr>
              <w:t>ncome from transactions</w:t>
            </w:r>
          </w:p>
        </w:tc>
        <w:tc>
          <w:tcPr>
            <w:tcW w:w="862" w:type="dxa"/>
            <w:tcBorders>
              <w:top w:val="nil"/>
              <w:left w:val="nil"/>
              <w:bottom w:val="single" w:sz="4" w:space="0" w:color="auto"/>
              <w:right w:val="single" w:sz="4" w:space="0" w:color="FFFFFF"/>
            </w:tcBorders>
            <w:shd w:val="clear" w:color="000000" w:fill="D9D9D9"/>
            <w:vAlign w:val="center"/>
            <w:hideMark/>
          </w:tcPr>
          <w:p w14:paraId="49D617AD"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c>
          <w:tcPr>
            <w:tcW w:w="970" w:type="dxa"/>
            <w:tcBorders>
              <w:top w:val="nil"/>
              <w:left w:val="nil"/>
              <w:bottom w:val="single" w:sz="4" w:space="0" w:color="auto"/>
              <w:right w:val="single" w:sz="4" w:space="0" w:color="FFFFFF"/>
            </w:tcBorders>
            <w:shd w:val="clear" w:color="000000" w:fill="D9D9D9"/>
            <w:vAlign w:val="center"/>
            <w:hideMark/>
          </w:tcPr>
          <w:p w14:paraId="3557206A"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c>
          <w:tcPr>
            <w:tcW w:w="1115" w:type="dxa"/>
            <w:tcBorders>
              <w:top w:val="nil"/>
              <w:left w:val="nil"/>
              <w:bottom w:val="single" w:sz="4" w:space="0" w:color="auto"/>
              <w:right w:val="single" w:sz="4" w:space="0" w:color="FFFFFF"/>
            </w:tcBorders>
            <w:shd w:val="clear" w:color="000000" w:fill="D9D9D9"/>
            <w:vAlign w:val="center"/>
            <w:hideMark/>
          </w:tcPr>
          <w:p w14:paraId="6A8350CE"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r>
      <w:tr w:rsidR="0047687A" w:rsidRPr="005734B8" w14:paraId="2970C528" w14:textId="77777777" w:rsidTr="000F48B1">
        <w:trPr>
          <w:trHeight w:val="255"/>
        </w:trPr>
        <w:tc>
          <w:tcPr>
            <w:tcW w:w="4678" w:type="dxa"/>
            <w:tcBorders>
              <w:top w:val="nil"/>
              <w:left w:val="nil"/>
              <w:bottom w:val="single" w:sz="4" w:space="0" w:color="auto"/>
              <w:right w:val="nil"/>
            </w:tcBorders>
            <w:shd w:val="clear" w:color="FFFFFF" w:fill="FFFFFF"/>
            <w:vAlign w:val="center"/>
            <w:hideMark/>
          </w:tcPr>
          <w:p w14:paraId="3F311097"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Output appropriations</w:t>
            </w:r>
          </w:p>
        </w:tc>
        <w:tc>
          <w:tcPr>
            <w:tcW w:w="862" w:type="dxa"/>
            <w:tcBorders>
              <w:top w:val="nil"/>
              <w:left w:val="single" w:sz="4" w:space="0" w:color="FFFFFF"/>
              <w:bottom w:val="single" w:sz="4" w:space="0" w:color="auto"/>
              <w:right w:val="single" w:sz="4" w:space="0" w:color="FFFFFF"/>
            </w:tcBorders>
            <w:shd w:val="clear" w:color="FFFFFF" w:fill="FFFFFF"/>
            <w:noWrap/>
            <w:vAlign w:val="center"/>
            <w:hideMark/>
          </w:tcPr>
          <w:p w14:paraId="5856521C"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2.3.1</w:t>
            </w:r>
          </w:p>
        </w:tc>
        <w:tc>
          <w:tcPr>
            <w:tcW w:w="970" w:type="dxa"/>
            <w:tcBorders>
              <w:top w:val="nil"/>
              <w:left w:val="nil"/>
              <w:bottom w:val="single" w:sz="4" w:space="0" w:color="auto"/>
              <w:right w:val="single" w:sz="4" w:space="0" w:color="FFFFFF"/>
            </w:tcBorders>
            <w:shd w:val="clear" w:color="000000" w:fill="D9D9D9"/>
            <w:noWrap/>
            <w:vAlign w:val="center"/>
            <w:hideMark/>
          </w:tcPr>
          <w:p w14:paraId="0298F389"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16,133.9 </w:t>
            </w:r>
          </w:p>
        </w:tc>
        <w:tc>
          <w:tcPr>
            <w:tcW w:w="1115" w:type="dxa"/>
            <w:tcBorders>
              <w:top w:val="nil"/>
              <w:left w:val="nil"/>
              <w:bottom w:val="single" w:sz="4" w:space="0" w:color="auto"/>
              <w:right w:val="single" w:sz="4" w:space="0" w:color="FFFFFF"/>
            </w:tcBorders>
            <w:shd w:val="clear" w:color="FFFFFF" w:fill="FFFFFF"/>
            <w:noWrap/>
            <w:vAlign w:val="center"/>
            <w:hideMark/>
          </w:tcPr>
          <w:p w14:paraId="40C38FCF"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14,887.5 </w:t>
            </w:r>
          </w:p>
        </w:tc>
      </w:tr>
      <w:tr w:rsidR="0047687A" w:rsidRPr="005734B8" w14:paraId="3009F282" w14:textId="77777777" w:rsidTr="000F48B1">
        <w:trPr>
          <w:trHeight w:val="255"/>
        </w:trPr>
        <w:tc>
          <w:tcPr>
            <w:tcW w:w="4678" w:type="dxa"/>
            <w:tcBorders>
              <w:top w:val="nil"/>
              <w:left w:val="nil"/>
              <w:bottom w:val="single" w:sz="4" w:space="0" w:color="auto"/>
              <w:right w:val="nil"/>
            </w:tcBorders>
            <w:shd w:val="clear" w:color="FFFFFF" w:fill="FFFFFF"/>
            <w:vAlign w:val="center"/>
            <w:hideMark/>
          </w:tcPr>
          <w:p w14:paraId="6648488D"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Special appropriations</w:t>
            </w:r>
          </w:p>
        </w:tc>
        <w:tc>
          <w:tcPr>
            <w:tcW w:w="862" w:type="dxa"/>
            <w:tcBorders>
              <w:top w:val="nil"/>
              <w:left w:val="single" w:sz="4" w:space="0" w:color="FFFFFF"/>
              <w:bottom w:val="single" w:sz="4" w:space="0" w:color="auto"/>
              <w:right w:val="single" w:sz="4" w:space="0" w:color="FFFFFF"/>
            </w:tcBorders>
            <w:shd w:val="clear" w:color="FFFFFF" w:fill="FFFFFF"/>
            <w:noWrap/>
            <w:vAlign w:val="center"/>
            <w:hideMark/>
          </w:tcPr>
          <w:p w14:paraId="7E142BD3"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2.3.2</w:t>
            </w:r>
          </w:p>
        </w:tc>
        <w:tc>
          <w:tcPr>
            <w:tcW w:w="970" w:type="dxa"/>
            <w:tcBorders>
              <w:top w:val="nil"/>
              <w:left w:val="nil"/>
              <w:bottom w:val="single" w:sz="4" w:space="0" w:color="auto"/>
              <w:right w:val="single" w:sz="4" w:space="0" w:color="FFFFFF"/>
            </w:tcBorders>
            <w:shd w:val="clear" w:color="000000" w:fill="D9D9D9"/>
            <w:noWrap/>
            <w:vAlign w:val="center"/>
            <w:hideMark/>
          </w:tcPr>
          <w:p w14:paraId="66E23F5A"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5.8 </w:t>
            </w:r>
          </w:p>
        </w:tc>
        <w:tc>
          <w:tcPr>
            <w:tcW w:w="1115" w:type="dxa"/>
            <w:tcBorders>
              <w:top w:val="nil"/>
              <w:left w:val="nil"/>
              <w:bottom w:val="single" w:sz="4" w:space="0" w:color="auto"/>
              <w:right w:val="single" w:sz="4" w:space="0" w:color="FFFFFF"/>
            </w:tcBorders>
            <w:shd w:val="clear" w:color="FFFFFF" w:fill="FFFFFF"/>
            <w:noWrap/>
            <w:vAlign w:val="center"/>
            <w:hideMark/>
          </w:tcPr>
          <w:p w14:paraId="10A549B9"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8.0 </w:t>
            </w:r>
          </w:p>
        </w:tc>
      </w:tr>
      <w:tr w:rsidR="0047687A" w:rsidRPr="005734B8" w14:paraId="746417FC" w14:textId="77777777" w:rsidTr="000F48B1">
        <w:trPr>
          <w:trHeight w:val="255"/>
        </w:trPr>
        <w:tc>
          <w:tcPr>
            <w:tcW w:w="4678" w:type="dxa"/>
            <w:tcBorders>
              <w:top w:val="nil"/>
              <w:left w:val="nil"/>
              <w:bottom w:val="single" w:sz="4" w:space="0" w:color="auto"/>
              <w:right w:val="nil"/>
            </w:tcBorders>
            <w:shd w:val="clear" w:color="FFFFFF" w:fill="FFFFFF"/>
            <w:vAlign w:val="center"/>
            <w:hideMark/>
          </w:tcPr>
          <w:p w14:paraId="08A936D4"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Grants</w:t>
            </w:r>
          </w:p>
        </w:tc>
        <w:tc>
          <w:tcPr>
            <w:tcW w:w="862" w:type="dxa"/>
            <w:tcBorders>
              <w:top w:val="nil"/>
              <w:left w:val="single" w:sz="4" w:space="0" w:color="FFFFFF"/>
              <w:bottom w:val="single" w:sz="4" w:space="0" w:color="auto"/>
              <w:right w:val="single" w:sz="4" w:space="0" w:color="FFFFFF"/>
            </w:tcBorders>
            <w:shd w:val="clear" w:color="FFFFFF" w:fill="FFFFFF"/>
            <w:noWrap/>
            <w:vAlign w:val="center"/>
            <w:hideMark/>
          </w:tcPr>
          <w:p w14:paraId="5EA90F12"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2.4.1</w:t>
            </w:r>
          </w:p>
        </w:tc>
        <w:tc>
          <w:tcPr>
            <w:tcW w:w="970" w:type="dxa"/>
            <w:tcBorders>
              <w:top w:val="nil"/>
              <w:left w:val="nil"/>
              <w:bottom w:val="single" w:sz="4" w:space="0" w:color="auto"/>
              <w:right w:val="single" w:sz="4" w:space="0" w:color="FFFFFF"/>
            </w:tcBorders>
            <w:shd w:val="clear" w:color="000000" w:fill="D9D9D9"/>
            <w:noWrap/>
            <w:vAlign w:val="center"/>
            <w:hideMark/>
          </w:tcPr>
          <w:p w14:paraId="16B41E40"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62.2 </w:t>
            </w:r>
          </w:p>
        </w:tc>
        <w:tc>
          <w:tcPr>
            <w:tcW w:w="1115" w:type="dxa"/>
            <w:tcBorders>
              <w:top w:val="nil"/>
              <w:left w:val="nil"/>
              <w:bottom w:val="single" w:sz="4" w:space="0" w:color="auto"/>
              <w:right w:val="single" w:sz="4" w:space="0" w:color="FFFFFF"/>
            </w:tcBorders>
            <w:shd w:val="clear" w:color="FFFFFF" w:fill="FFFFFF"/>
            <w:noWrap/>
            <w:vAlign w:val="center"/>
            <w:hideMark/>
          </w:tcPr>
          <w:p w14:paraId="16F948A1"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136.5 </w:t>
            </w:r>
          </w:p>
        </w:tc>
      </w:tr>
      <w:tr w:rsidR="0047687A" w:rsidRPr="005734B8" w14:paraId="49431B6C" w14:textId="77777777" w:rsidTr="000F48B1">
        <w:trPr>
          <w:trHeight w:val="255"/>
        </w:trPr>
        <w:tc>
          <w:tcPr>
            <w:tcW w:w="4678" w:type="dxa"/>
            <w:tcBorders>
              <w:top w:val="nil"/>
              <w:left w:val="nil"/>
              <w:bottom w:val="single" w:sz="4" w:space="0" w:color="auto"/>
              <w:right w:val="nil"/>
            </w:tcBorders>
            <w:shd w:val="clear" w:color="FFFFFF" w:fill="FFFFFF"/>
            <w:vAlign w:val="center"/>
            <w:hideMark/>
          </w:tcPr>
          <w:p w14:paraId="3EF91409"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Sale of goods and services</w:t>
            </w:r>
          </w:p>
        </w:tc>
        <w:tc>
          <w:tcPr>
            <w:tcW w:w="862" w:type="dxa"/>
            <w:tcBorders>
              <w:top w:val="nil"/>
              <w:left w:val="single" w:sz="4" w:space="0" w:color="FFFFFF"/>
              <w:bottom w:val="single" w:sz="4" w:space="0" w:color="auto"/>
              <w:right w:val="single" w:sz="4" w:space="0" w:color="FFFFFF"/>
            </w:tcBorders>
            <w:shd w:val="clear" w:color="FFFFFF" w:fill="FFFFFF"/>
            <w:noWrap/>
            <w:vAlign w:val="center"/>
            <w:hideMark/>
          </w:tcPr>
          <w:p w14:paraId="74826FEA"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2.4.2</w:t>
            </w:r>
          </w:p>
        </w:tc>
        <w:tc>
          <w:tcPr>
            <w:tcW w:w="970" w:type="dxa"/>
            <w:tcBorders>
              <w:top w:val="nil"/>
              <w:left w:val="nil"/>
              <w:bottom w:val="single" w:sz="4" w:space="0" w:color="auto"/>
              <w:right w:val="single" w:sz="4" w:space="0" w:color="FFFFFF"/>
            </w:tcBorders>
            <w:shd w:val="clear" w:color="000000" w:fill="D9D9D9"/>
            <w:noWrap/>
            <w:vAlign w:val="center"/>
            <w:hideMark/>
          </w:tcPr>
          <w:p w14:paraId="4B0C4B42"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234.2 </w:t>
            </w:r>
          </w:p>
        </w:tc>
        <w:tc>
          <w:tcPr>
            <w:tcW w:w="1115" w:type="dxa"/>
            <w:tcBorders>
              <w:top w:val="nil"/>
              <w:left w:val="nil"/>
              <w:bottom w:val="single" w:sz="4" w:space="0" w:color="auto"/>
              <w:right w:val="single" w:sz="4" w:space="0" w:color="FFFFFF"/>
            </w:tcBorders>
            <w:shd w:val="clear" w:color="FFFFFF" w:fill="FFFFFF"/>
            <w:noWrap/>
            <w:vAlign w:val="center"/>
            <w:hideMark/>
          </w:tcPr>
          <w:p w14:paraId="31B00881"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280.1 </w:t>
            </w:r>
          </w:p>
        </w:tc>
      </w:tr>
      <w:tr w:rsidR="0047687A" w:rsidRPr="005734B8" w14:paraId="68A9809F" w14:textId="77777777" w:rsidTr="000F48B1">
        <w:trPr>
          <w:trHeight w:val="270"/>
        </w:trPr>
        <w:tc>
          <w:tcPr>
            <w:tcW w:w="4678" w:type="dxa"/>
            <w:tcBorders>
              <w:top w:val="nil"/>
              <w:left w:val="nil"/>
              <w:bottom w:val="single" w:sz="4" w:space="0" w:color="auto"/>
              <w:right w:val="nil"/>
            </w:tcBorders>
            <w:shd w:val="clear" w:color="FFFFFF" w:fill="FFFFFF"/>
            <w:vAlign w:val="center"/>
            <w:hideMark/>
          </w:tcPr>
          <w:p w14:paraId="2E7FE0EB"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Other income</w:t>
            </w:r>
          </w:p>
        </w:tc>
        <w:tc>
          <w:tcPr>
            <w:tcW w:w="862" w:type="dxa"/>
            <w:tcBorders>
              <w:top w:val="nil"/>
              <w:left w:val="single" w:sz="4" w:space="0" w:color="FFFFFF"/>
              <w:bottom w:val="single" w:sz="4" w:space="0" w:color="auto"/>
              <w:right w:val="single" w:sz="4" w:space="0" w:color="FFFFFF"/>
            </w:tcBorders>
            <w:shd w:val="clear" w:color="FFFFFF" w:fill="FFFFFF"/>
            <w:noWrap/>
            <w:vAlign w:val="center"/>
            <w:hideMark/>
          </w:tcPr>
          <w:p w14:paraId="7AE4534F"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2.4.3</w:t>
            </w:r>
          </w:p>
        </w:tc>
        <w:tc>
          <w:tcPr>
            <w:tcW w:w="970" w:type="dxa"/>
            <w:tcBorders>
              <w:top w:val="nil"/>
              <w:left w:val="nil"/>
              <w:bottom w:val="single" w:sz="4" w:space="0" w:color="auto"/>
              <w:right w:val="single" w:sz="4" w:space="0" w:color="FFFFFF"/>
            </w:tcBorders>
            <w:shd w:val="clear" w:color="000000" w:fill="D9D9D9"/>
            <w:noWrap/>
            <w:vAlign w:val="center"/>
            <w:hideMark/>
          </w:tcPr>
          <w:p w14:paraId="245D09E4"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295.5 </w:t>
            </w:r>
          </w:p>
        </w:tc>
        <w:tc>
          <w:tcPr>
            <w:tcW w:w="1115" w:type="dxa"/>
            <w:tcBorders>
              <w:top w:val="nil"/>
              <w:left w:val="nil"/>
              <w:bottom w:val="single" w:sz="4" w:space="0" w:color="auto"/>
              <w:right w:val="single" w:sz="4" w:space="0" w:color="FFFFFF"/>
            </w:tcBorders>
            <w:shd w:val="clear" w:color="FFFFFF" w:fill="FFFFFF"/>
            <w:noWrap/>
            <w:vAlign w:val="center"/>
            <w:hideMark/>
          </w:tcPr>
          <w:p w14:paraId="205143FA"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405.8 </w:t>
            </w:r>
          </w:p>
        </w:tc>
      </w:tr>
      <w:tr w:rsidR="0047687A" w:rsidRPr="005734B8" w14:paraId="5F4C1E34" w14:textId="77777777" w:rsidTr="000F48B1">
        <w:trPr>
          <w:trHeight w:val="285"/>
        </w:trPr>
        <w:tc>
          <w:tcPr>
            <w:tcW w:w="4678"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9B83372" w14:textId="635296CF" w:rsidR="0047687A" w:rsidRPr="005734B8" w:rsidRDefault="0047687A" w:rsidP="000F48B1">
            <w:pPr>
              <w:rPr>
                <w:rFonts w:ascii="Calibri" w:hAnsi="Calibri" w:cs="Calibri"/>
                <w:b/>
                <w:sz w:val="18"/>
                <w:szCs w:val="18"/>
              </w:rPr>
            </w:pPr>
            <w:r w:rsidRPr="005734B8">
              <w:rPr>
                <w:rFonts w:ascii="Calibri" w:hAnsi="Calibri" w:cs="Calibri"/>
                <w:b/>
                <w:sz w:val="18"/>
                <w:szCs w:val="18"/>
              </w:rPr>
              <w:t xml:space="preserve">Total </w:t>
            </w:r>
            <w:r w:rsidR="002704CC" w:rsidRPr="005734B8">
              <w:rPr>
                <w:rFonts w:ascii="Calibri" w:hAnsi="Calibri" w:cs="Calibri"/>
                <w:b/>
                <w:sz w:val="18"/>
                <w:szCs w:val="18"/>
              </w:rPr>
              <w:t xml:space="preserve">revenue and </w:t>
            </w:r>
            <w:r w:rsidRPr="005734B8">
              <w:rPr>
                <w:rFonts w:ascii="Calibri" w:hAnsi="Calibri" w:cs="Calibri"/>
                <w:b/>
                <w:sz w:val="18"/>
                <w:szCs w:val="18"/>
              </w:rPr>
              <w:t>income from transactions</w:t>
            </w:r>
          </w:p>
        </w:tc>
        <w:tc>
          <w:tcPr>
            <w:tcW w:w="862" w:type="dxa"/>
            <w:tcBorders>
              <w:top w:val="single" w:sz="12" w:space="0" w:color="auto"/>
              <w:left w:val="nil"/>
              <w:bottom w:val="single" w:sz="12" w:space="0" w:color="auto"/>
              <w:right w:val="single" w:sz="12" w:space="0" w:color="FFFFFF"/>
            </w:tcBorders>
            <w:shd w:val="clear" w:color="FFFFFF" w:fill="FFFFFF"/>
            <w:vAlign w:val="center"/>
            <w:hideMark/>
          </w:tcPr>
          <w:p w14:paraId="3A9A7488"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c>
          <w:tcPr>
            <w:tcW w:w="970"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2755042"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16,731.6 </w:t>
            </w:r>
          </w:p>
        </w:tc>
        <w:tc>
          <w:tcPr>
            <w:tcW w:w="1115" w:type="dxa"/>
            <w:tcBorders>
              <w:top w:val="single" w:sz="12" w:space="0" w:color="auto"/>
              <w:left w:val="nil"/>
              <w:bottom w:val="single" w:sz="12" w:space="0" w:color="auto"/>
              <w:right w:val="single" w:sz="12" w:space="0" w:color="FFFFFF"/>
            </w:tcBorders>
            <w:shd w:val="clear" w:color="FFFFFF" w:fill="FFFFFF"/>
            <w:noWrap/>
            <w:vAlign w:val="center"/>
            <w:hideMark/>
          </w:tcPr>
          <w:p w14:paraId="7994DF6C"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15,717.9 </w:t>
            </w:r>
          </w:p>
        </w:tc>
      </w:tr>
    </w:tbl>
    <w:p w14:paraId="062FA75B" w14:textId="77777777" w:rsidR="0047687A" w:rsidRPr="005734B8" w:rsidRDefault="0047687A" w:rsidP="0047687A">
      <w:pPr>
        <w:rPr>
          <w:rFonts w:ascii="Calibri" w:hAnsi="Calibri" w:cs="Calibri"/>
        </w:rPr>
      </w:pPr>
    </w:p>
    <w:p w14:paraId="6D340833" w14:textId="77777777" w:rsidR="0047687A" w:rsidRPr="005734B8" w:rsidRDefault="0047687A" w:rsidP="0047687A">
      <w:pPr>
        <w:rPr>
          <w:rFonts w:ascii="Calibri" w:hAnsi="Calibri" w:cs="Calibri"/>
        </w:rPr>
      </w:pPr>
      <w:r w:rsidRPr="005734B8">
        <w:rPr>
          <w:rFonts w:ascii="Calibri" w:hAnsi="Calibri" w:cs="Calibri"/>
        </w:rPr>
        <w:t xml:space="preserve">Revenue and income that fund delivery of the Department’s services are accounted for consistently with the requirements of the relevant accounting standards disclosed in the following notes. </w:t>
      </w:r>
    </w:p>
    <w:p w14:paraId="002B8AF0" w14:textId="77777777" w:rsidR="0047687A" w:rsidRPr="005734B8" w:rsidRDefault="0047687A" w:rsidP="0047687A">
      <w:pPr>
        <w:pStyle w:val="ESHeading2"/>
        <w:rPr>
          <w:rFonts w:ascii="Calibri" w:hAnsi="Calibri" w:cs="Calibri"/>
        </w:rPr>
      </w:pPr>
      <w:bookmarkStart w:id="1237" w:name="_Toc36012772"/>
      <w:bookmarkStart w:id="1238" w:name="_Toc36012850"/>
      <w:bookmarkStart w:id="1239" w:name="_Toc36013347"/>
      <w:bookmarkStart w:id="1240" w:name="_Toc58243433"/>
      <w:bookmarkStart w:id="1241" w:name="_Toc72958083"/>
      <w:bookmarkStart w:id="1242" w:name="_Toc72958131"/>
      <w:bookmarkStart w:id="1243" w:name="_Toc80272071"/>
      <w:bookmarkStart w:id="1244" w:name="_Toc81315370"/>
      <w:r w:rsidRPr="005734B8">
        <w:rPr>
          <w:rFonts w:ascii="Calibri" w:hAnsi="Calibri" w:cs="Calibri"/>
        </w:rPr>
        <w:t>2.2</w:t>
      </w:r>
      <w:r w:rsidRPr="005734B8">
        <w:rPr>
          <w:rFonts w:ascii="Calibri" w:hAnsi="Calibri" w:cs="Calibri"/>
        </w:rPr>
        <w:tab/>
        <w:t>Appropriations</w:t>
      </w:r>
      <w:bookmarkEnd w:id="1237"/>
      <w:bookmarkEnd w:id="1238"/>
      <w:bookmarkEnd w:id="1239"/>
      <w:bookmarkEnd w:id="1240"/>
      <w:bookmarkEnd w:id="1241"/>
      <w:bookmarkEnd w:id="1242"/>
      <w:bookmarkEnd w:id="1243"/>
      <w:bookmarkEnd w:id="1244"/>
    </w:p>
    <w:p w14:paraId="217DB6C9" w14:textId="1B684847" w:rsidR="0047687A" w:rsidRPr="005734B8" w:rsidRDefault="0047687A" w:rsidP="0047687A">
      <w:pPr>
        <w:rPr>
          <w:rFonts w:ascii="Calibri" w:hAnsi="Calibri" w:cs="Calibri"/>
          <w:szCs w:val="22"/>
        </w:rPr>
      </w:pPr>
      <w:r w:rsidRPr="005734B8">
        <w:rPr>
          <w:rFonts w:ascii="Calibri" w:hAnsi="Calibri" w:cs="Calibri"/>
          <w:szCs w:val="22"/>
        </w:rPr>
        <w:t xml:space="preserve">Once annual parliamentary appropriations are applied by the Treasurer, they become controlled by the Department and recognised as income when applied to the purposes defined under the </w:t>
      </w:r>
      <w:r w:rsidR="006E7103" w:rsidRPr="005734B8">
        <w:rPr>
          <w:rFonts w:ascii="Calibri" w:hAnsi="Calibri" w:cs="Calibri"/>
          <w:szCs w:val="22"/>
        </w:rPr>
        <w:t xml:space="preserve">annual </w:t>
      </w:r>
      <w:r w:rsidRPr="005734B8">
        <w:rPr>
          <w:rFonts w:ascii="Calibri" w:hAnsi="Calibri" w:cs="Calibri"/>
          <w:szCs w:val="22"/>
        </w:rPr>
        <w:t>Appropriations Act. All amounts of income over which the Department does not have control are disclosed as administered income (see Note 4.2).</w:t>
      </w:r>
    </w:p>
    <w:p w14:paraId="00B503DA" w14:textId="77777777" w:rsidR="00F06229" w:rsidRPr="005734B8" w:rsidRDefault="00F06229">
      <w:pPr>
        <w:rPr>
          <w:rFonts w:ascii="Calibri" w:eastAsiaTheme="minorEastAsia" w:hAnsi="Calibri" w:cs="Calibri"/>
          <w:b/>
          <w:color w:val="53565A" w:themeColor="accent5"/>
          <w:szCs w:val="18"/>
          <w:lang w:val="en-US"/>
        </w:rPr>
      </w:pPr>
      <w:bookmarkStart w:id="1245" w:name="_Toc11336343"/>
      <w:bookmarkStart w:id="1246" w:name="_Toc14965569"/>
      <w:r w:rsidRPr="005734B8">
        <w:rPr>
          <w:rFonts w:ascii="Calibri" w:hAnsi="Calibri" w:cs="Calibri"/>
        </w:rPr>
        <w:br w:type="page"/>
      </w:r>
    </w:p>
    <w:p w14:paraId="6EDA0D31" w14:textId="566BCD6F" w:rsidR="0047687A" w:rsidRPr="005734B8" w:rsidRDefault="0047687A" w:rsidP="00F06229">
      <w:pPr>
        <w:pStyle w:val="ESHeading3"/>
        <w:ind w:left="0" w:hanging="6"/>
        <w:rPr>
          <w:rFonts w:ascii="Calibri" w:hAnsi="Calibri" w:cs="Calibri"/>
        </w:rPr>
      </w:pPr>
      <w:r w:rsidRPr="005734B8">
        <w:rPr>
          <w:rFonts w:ascii="Calibri" w:hAnsi="Calibri" w:cs="Calibri"/>
        </w:rPr>
        <w:lastRenderedPageBreak/>
        <w:t>Output appropriations</w:t>
      </w:r>
      <w:bookmarkEnd w:id="1245"/>
      <w:bookmarkEnd w:id="1246"/>
    </w:p>
    <w:p w14:paraId="3E3906AA" w14:textId="4B3F7289" w:rsidR="0047687A" w:rsidRPr="005734B8" w:rsidRDefault="0047687A" w:rsidP="00F06229">
      <w:pPr>
        <w:ind w:hanging="6"/>
        <w:rPr>
          <w:rFonts w:ascii="Calibri" w:hAnsi="Calibri" w:cs="Calibri"/>
          <w:szCs w:val="22"/>
        </w:rPr>
      </w:pPr>
      <w:r w:rsidRPr="005734B8">
        <w:rPr>
          <w:rFonts w:ascii="Calibri" w:hAnsi="Calibri" w:cs="Calibri"/>
          <w:szCs w:val="22"/>
        </w:rPr>
        <w:t xml:space="preserve">Income from the outputs </w:t>
      </w:r>
      <w:r w:rsidR="006E53C4" w:rsidRPr="005734B8">
        <w:rPr>
          <w:rFonts w:ascii="Calibri" w:hAnsi="Calibri" w:cs="Calibri"/>
          <w:szCs w:val="22"/>
        </w:rPr>
        <w:t xml:space="preserve">that </w:t>
      </w:r>
      <w:r w:rsidRPr="005734B8">
        <w:rPr>
          <w:rFonts w:ascii="Calibri" w:hAnsi="Calibri" w:cs="Calibri"/>
          <w:szCs w:val="22"/>
        </w:rPr>
        <w:t>the Department provides to the Government is recognised when those outputs have been delivered and the relevant minister has certified delivery of those outputs in accordance with specified performance criteria.</w:t>
      </w:r>
    </w:p>
    <w:p w14:paraId="2CC176F5" w14:textId="77777777" w:rsidR="0047687A" w:rsidRPr="005734B8" w:rsidRDefault="0047687A" w:rsidP="00F06229">
      <w:pPr>
        <w:pStyle w:val="ESHeading3"/>
        <w:ind w:left="0" w:hanging="6"/>
        <w:rPr>
          <w:rFonts w:ascii="Calibri" w:hAnsi="Calibri" w:cs="Calibri"/>
        </w:rPr>
      </w:pPr>
      <w:bookmarkStart w:id="1247" w:name="_Toc11336344"/>
      <w:bookmarkStart w:id="1248" w:name="_Toc14965570"/>
      <w:r w:rsidRPr="005734B8">
        <w:rPr>
          <w:rFonts w:ascii="Calibri" w:hAnsi="Calibri" w:cs="Calibri"/>
        </w:rPr>
        <w:t>Special appropriations</w:t>
      </w:r>
      <w:bookmarkEnd w:id="1247"/>
      <w:bookmarkEnd w:id="1248"/>
    </w:p>
    <w:p w14:paraId="14FD6E9F" w14:textId="77777777" w:rsidR="0047687A" w:rsidRPr="005734B8" w:rsidRDefault="0047687A" w:rsidP="00F06229">
      <w:pPr>
        <w:ind w:hanging="6"/>
        <w:rPr>
          <w:rFonts w:ascii="Calibri" w:hAnsi="Calibri" w:cs="Calibri"/>
          <w:szCs w:val="22"/>
        </w:rPr>
      </w:pPr>
      <w:r w:rsidRPr="005734B8">
        <w:rPr>
          <w:rFonts w:ascii="Calibri" w:hAnsi="Calibri" w:cs="Calibri"/>
          <w:szCs w:val="22"/>
        </w:rPr>
        <w:t xml:space="preserve">Under section 5.6.8 of the </w:t>
      </w:r>
      <w:r w:rsidRPr="005734B8">
        <w:rPr>
          <w:rFonts w:ascii="Calibri" w:hAnsi="Calibri" w:cs="Calibri"/>
          <w:i/>
          <w:szCs w:val="22"/>
        </w:rPr>
        <w:t>Education and Training Reform Act 2006</w:t>
      </w:r>
      <w:r w:rsidRPr="005734B8">
        <w:rPr>
          <w:rFonts w:ascii="Calibri" w:hAnsi="Calibri" w:cs="Calibri"/>
          <w:szCs w:val="22"/>
        </w:rPr>
        <w:t>, income related to volunteer workers’ compensation is recognised when the amount appropriated for that purpose is due and payable by the Department.</w:t>
      </w:r>
    </w:p>
    <w:p w14:paraId="59898687" w14:textId="77777777" w:rsidR="0047687A" w:rsidRPr="005734B8" w:rsidRDefault="0047687A" w:rsidP="00F06229">
      <w:pPr>
        <w:ind w:hanging="6"/>
        <w:rPr>
          <w:rFonts w:ascii="Calibri" w:hAnsi="Calibri" w:cs="Calibri"/>
          <w:szCs w:val="22"/>
        </w:rPr>
      </w:pPr>
    </w:p>
    <w:p w14:paraId="0BFACECD" w14:textId="32B1632C" w:rsidR="0047687A" w:rsidRPr="005734B8" w:rsidRDefault="0047687A" w:rsidP="00F06229">
      <w:pPr>
        <w:ind w:hanging="6"/>
        <w:rPr>
          <w:rFonts w:ascii="Calibri" w:hAnsi="Calibri" w:cs="Calibri"/>
          <w:szCs w:val="22"/>
        </w:rPr>
      </w:pPr>
      <w:r w:rsidRPr="005734B8">
        <w:rPr>
          <w:rFonts w:ascii="Calibri" w:hAnsi="Calibri" w:cs="Calibri"/>
          <w:szCs w:val="22"/>
        </w:rPr>
        <w:t xml:space="preserve">Under Section 10 of the FM Act, Commonwealth national partnerships funding </w:t>
      </w:r>
      <w:r w:rsidR="006E53C4" w:rsidRPr="005734B8">
        <w:rPr>
          <w:rFonts w:ascii="Calibri" w:hAnsi="Calibri" w:cs="Calibri"/>
          <w:szCs w:val="22"/>
        </w:rPr>
        <w:t>is</w:t>
      </w:r>
      <w:r w:rsidRPr="005734B8">
        <w:rPr>
          <w:rFonts w:ascii="Calibri" w:hAnsi="Calibri" w:cs="Calibri"/>
          <w:szCs w:val="22"/>
        </w:rPr>
        <w:t xml:space="preserve"> recognised as income when the amount appropriated for that purpose has been incurred by the Department. </w:t>
      </w:r>
    </w:p>
    <w:p w14:paraId="2FDC3536" w14:textId="77777777" w:rsidR="0047687A" w:rsidRPr="005734B8" w:rsidRDefault="0047687A" w:rsidP="00F06229">
      <w:pPr>
        <w:ind w:hanging="6"/>
        <w:rPr>
          <w:rFonts w:ascii="Calibri" w:hAnsi="Calibri" w:cs="Calibri"/>
          <w:szCs w:val="22"/>
        </w:rPr>
      </w:pPr>
    </w:p>
    <w:p w14:paraId="2DF22EF0" w14:textId="77777777" w:rsidR="0047687A" w:rsidRPr="005734B8" w:rsidRDefault="0047687A" w:rsidP="00F06229">
      <w:pPr>
        <w:ind w:hanging="6"/>
        <w:rPr>
          <w:rFonts w:ascii="Calibri" w:hAnsi="Calibri" w:cs="Calibri"/>
          <w:szCs w:val="22"/>
        </w:rPr>
      </w:pPr>
      <w:r w:rsidRPr="005734B8">
        <w:rPr>
          <w:rFonts w:ascii="Calibri" w:hAnsi="Calibri" w:cs="Calibri"/>
          <w:szCs w:val="22"/>
        </w:rPr>
        <w:t>Under Section 33 of the FM Act, funds sourced from prior year output or depreciation equivalent surpluses are recognised when the amount appropriated for that purpose has been incurred by the Department.</w:t>
      </w:r>
    </w:p>
    <w:p w14:paraId="3EFF6A41" w14:textId="77777777" w:rsidR="0047687A" w:rsidRPr="005734B8" w:rsidRDefault="0047687A" w:rsidP="00F06229">
      <w:pPr>
        <w:ind w:hanging="6"/>
        <w:rPr>
          <w:rFonts w:ascii="Calibri" w:hAnsi="Calibri" w:cs="Calibri"/>
          <w:szCs w:val="22"/>
        </w:rPr>
      </w:pPr>
      <w:r w:rsidRPr="005734B8">
        <w:rPr>
          <w:rFonts w:ascii="Calibri" w:hAnsi="Calibri" w:cs="Calibri"/>
          <w:szCs w:val="22"/>
        </w:rPr>
        <w:br w:type="page"/>
      </w:r>
    </w:p>
    <w:p w14:paraId="679C1AE0" w14:textId="77777777" w:rsidR="0047687A" w:rsidRPr="005734B8" w:rsidRDefault="0047687A" w:rsidP="0047687A">
      <w:pPr>
        <w:pStyle w:val="ESHeading2"/>
        <w:rPr>
          <w:rFonts w:ascii="Calibri" w:hAnsi="Calibri" w:cs="Calibri"/>
        </w:rPr>
        <w:sectPr w:rsidR="0047687A" w:rsidRPr="005734B8" w:rsidSect="000F48B1">
          <w:headerReference w:type="default" r:id="rId73"/>
          <w:footerReference w:type="default" r:id="rId74"/>
          <w:pgSz w:w="11906" w:h="16838" w:code="9"/>
          <w:pgMar w:top="1440" w:right="1134" w:bottom="1440" w:left="2835" w:header="958" w:footer="737" w:gutter="0"/>
          <w:cols w:space="708"/>
          <w:docGrid w:linePitch="360"/>
        </w:sectPr>
      </w:pPr>
    </w:p>
    <w:p w14:paraId="6ABFE65A" w14:textId="77777777" w:rsidR="0047687A" w:rsidRPr="005734B8" w:rsidRDefault="0047687A" w:rsidP="0047687A">
      <w:pPr>
        <w:pStyle w:val="ESHeading2"/>
        <w:rPr>
          <w:rFonts w:ascii="Calibri" w:hAnsi="Calibri" w:cs="Calibri"/>
        </w:rPr>
      </w:pPr>
      <w:bookmarkStart w:id="1249" w:name="_Toc36012773"/>
      <w:bookmarkStart w:id="1250" w:name="_Toc36012851"/>
      <w:bookmarkStart w:id="1251" w:name="_Toc36013348"/>
      <w:bookmarkStart w:id="1252" w:name="_Toc58243434"/>
      <w:bookmarkStart w:id="1253" w:name="_Toc72958084"/>
      <w:bookmarkStart w:id="1254" w:name="_Toc72958132"/>
      <w:bookmarkStart w:id="1255" w:name="_Toc80272072"/>
      <w:bookmarkStart w:id="1256" w:name="_Toc81315371"/>
      <w:r w:rsidRPr="005734B8">
        <w:rPr>
          <w:rFonts w:ascii="Calibri" w:hAnsi="Calibri" w:cs="Calibri"/>
        </w:rPr>
        <w:lastRenderedPageBreak/>
        <w:t>2.3</w:t>
      </w:r>
      <w:r w:rsidRPr="005734B8">
        <w:rPr>
          <w:rFonts w:ascii="Calibri" w:hAnsi="Calibri" w:cs="Calibri"/>
        </w:rPr>
        <w:tab/>
        <w:t>Summary of compliance with annual parliamentary and special appropriations</w:t>
      </w:r>
      <w:bookmarkEnd w:id="1249"/>
      <w:bookmarkEnd w:id="1250"/>
      <w:bookmarkEnd w:id="1251"/>
      <w:bookmarkEnd w:id="1252"/>
      <w:bookmarkEnd w:id="1253"/>
      <w:bookmarkEnd w:id="1254"/>
      <w:bookmarkEnd w:id="1255"/>
      <w:bookmarkEnd w:id="1256"/>
    </w:p>
    <w:p w14:paraId="5EF508DF" w14:textId="77777777" w:rsidR="0047687A" w:rsidRPr="005734B8" w:rsidRDefault="0047687A" w:rsidP="00F06229">
      <w:pPr>
        <w:pStyle w:val="ESHeading3"/>
        <w:ind w:hanging="720"/>
        <w:rPr>
          <w:rFonts w:ascii="Calibri" w:hAnsi="Calibri" w:cs="Calibri"/>
        </w:rPr>
      </w:pPr>
      <w:bookmarkStart w:id="1257" w:name="_Toc11336347"/>
      <w:bookmarkStart w:id="1258" w:name="_Toc14965573"/>
      <w:r w:rsidRPr="005734B8">
        <w:rPr>
          <w:rFonts w:ascii="Calibri" w:hAnsi="Calibri" w:cs="Calibri"/>
        </w:rPr>
        <w:t>2.3.1. (a) Summary of compliance with annual parliamentary appropriations</w:t>
      </w:r>
      <w:bookmarkEnd w:id="1257"/>
      <w:bookmarkEnd w:id="1258"/>
    </w:p>
    <w:p w14:paraId="79624EB7" w14:textId="77777777" w:rsidR="0047687A" w:rsidRPr="005734B8" w:rsidRDefault="0047687A" w:rsidP="0047687A">
      <w:pPr>
        <w:rPr>
          <w:rFonts w:ascii="Calibri" w:hAnsi="Calibri" w:cs="Calibri"/>
          <w:szCs w:val="22"/>
        </w:rPr>
      </w:pPr>
      <w:r w:rsidRPr="005734B8">
        <w:rPr>
          <w:rFonts w:ascii="Calibri" w:hAnsi="Calibri" w:cs="Calibri"/>
          <w:szCs w:val="22"/>
        </w:rPr>
        <w:t>The following table discloses the details of the various parliamentary appropriations received by the Department for the year. In accordance with accrual output-based management procedures, ‘provision for outputs’ and ‘additions to net assets’ are disclosed as ‘controlled activities’ of the Department.</w:t>
      </w:r>
    </w:p>
    <w:p w14:paraId="4B72BE69" w14:textId="77777777" w:rsidR="0047687A" w:rsidRPr="005734B8" w:rsidRDefault="0047687A" w:rsidP="0047687A">
      <w:pPr>
        <w:rPr>
          <w:rFonts w:ascii="Calibri" w:hAnsi="Calibri" w:cs="Calibri"/>
          <w:szCs w:val="22"/>
        </w:rPr>
      </w:pPr>
    </w:p>
    <w:tbl>
      <w:tblPr>
        <w:tblW w:w="13946" w:type="dxa"/>
        <w:tblInd w:w="75" w:type="dxa"/>
        <w:tblLayout w:type="fixed"/>
        <w:tblLook w:val="04A0" w:firstRow="1" w:lastRow="0" w:firstColumn="1" w:lastColumn="0" w:noHBand="0" w:noVBand="1"/>
      </w:tblPr>
      <w:tblGrid>
        <w:gridCol w:w="2243"/>
        <w:gridCol w:w="1227"/>
        <w:gridCol w:w="1224"/>
        <w:gridCol w:w="1227"/>
        <w:gridCol w:w="1032"/>
        <w:gridCol w:w="1032"/>
        <w:gridCol w:w="1032"/>
        <w:gridCol w:w="1028"/>
        <w:gridCol w:w="1405"/>
        <w:gridCol w:w="1398"/>
        <w:gridCol w:w="1098"/>
      </w:tblGrid>
      <w:tr w:rsidR="0047687A" w:rsidRPr="005734B8" w14:paraId="2E017E17" w14:textId="77777777" w:rsidTr="000F48B1">
        <w:trPr>
          <w:trHeight w:val="263"/>
        </w:trPr>
        <w:tc>
          <w:tcPr>
            <w:tcW w:w="2243" w:type="dxa"/>
            <w:tcBorders>
              <w:top w:val="nil"/>
              <w:left w:val="single" w:sz="4" w:space="0" w:color="FFFFFF"/>
              <w:bottom w:val="single" w:sz="4" w:space="0" w:color="FFFFFF"/>
              <w:right w:val="single" w:sz="4" w:space="0" w:color="FFFFFF"/>
            </w:tcBorders>
            <w:shd w:val="clear" w:color="000000" w:fill="AF272F"/>
            <w:vAlign w:val="bottom"/>
            <w:hideMark/>
          </w:tcPr>
          <w:p w14:paraId="0BFFACC5" w14:textId="77777777" w:rsidR="0047687A" w:rsidRPr="005734B8" w:rsidRDefault="0047687A" w:rsidP="000F48B1">
            <w:pPr>
              <w:jc w:val="right"/>
              <w:rPr>
                <w:rFonts w:ascii="Calibri" w:hAnsi="Calibri" w:cs="Calibri"/>
                <w:b/>
                <w:color w:val="FFFFFF"/>
                <w:sz w:val="18"/>
                <w:szCs w:val="18"/>
              </w:rPr>
            </w:pPr>
            <w:bookmarkStart w:id="1259" w:name="Note_APATABLE1" w:colFirst="0" w:colLast="0"/>
            <w:r w:rsidRPr="005734B8">
              <w:rPr>
                <w:rFonts w:ascii="Calibri" w:hAnsi="Calibri" w:cs="Calibri"/>
                <w:b/>
                <w:color w:val="FFFFFF"/>
                <w:sz w:val="18"/>
                <w:szCs w:val="18"/>
              </w:rPr>
              <w:t> </w:t>
            </w:r>
          </w:p>
        </w:tc>
        <w:tc>
          <w:tcPr>
            <w:tcW w:w="3678" w:type="dxa"/>
            <w:gridSpan w:val="3"/>
            <w:tcBorders>
              <w:top w:val="nil"/>
              <w:left w:val="nil"/>
              <w:bottom w:val="single" w:sz="4" w:space="0" w:color="FFFFFF"/>
              <w:right w:val="single" w:sz="4" w:space="0" w:color="FFFFFF"/>
            </w:tcBorders>
            <w:shd w:val="clear" w:color="000000" w:fill="AF272F"/>
            <w:vAlign w:val="center"/>
            <w:hideMark/>
          </w:tcPr>
          <w:p w14:paraId="6A93C73F" w14:textId="77777777" w:rsidR="0047687A" w:rsidRPr="005734B8" w:rsidRDefault="0047687A" w:rsidP="000F48B1">
            <w:pPr>
              <w:jc w:val="center"/>
              <w:rPr>
                <w:rFonts w:ascii="Calibri" w:hAnsi="Calibri" w:cs="Calibri"/>
                <w:b/>
                <w:color w:val="FFFFFF"/>
                <w:sz w:val="18"/>
                <w:szCs w:val="18"/>
              </w:rPr>
            </w:pPr>
            <w:r w:rsidRPr="005734B8">
              <w:rPr>
                <w:rFonts w:ascii="Calibri" w:hAnsi="Calibri" w:cs="Calibri"/>
                <w:b/>
                <w:color w:val="FFFFFF"/>
                <w:sz w:val="18"/>
                <w:szCs w:val="18"/>
              </w:rPr>
              <w:t>Appropriations Act ($m)</w:t>
            </w:r>
          </w:p>
        </w:tc>
        <w:tc>
          <w:tcPr>
            <w:tcW w:w="4124" w:type="dxa"/>
            <w:gridSpan w:val="4"/>
            <w:tcBorders>
              <w:top w:val="nil"/>
              <w:left w:val="nil"/>
              <w:bottom w:val="single" w:sz="4" w:space="0" w:color="FFFFFF"/>
              <w:right w:val="single" w:sz="4" w:space="0" w:color="FFFFFF"/>
            </w:tcBorders>
            <w:shd w:val="clear" w:color="000000" w:fill="AF272F"/>
            <w:vAlign w:val="center"/>
            <w:hideMark/>
          </w:tcPr>
          <w:p w14:paraId="424FB93E" w14:textId="77777777" w:rsidR="0047687A" w:rsidRPr="005734B8" w:rsidRDefault="0047687A" w:rsidP="000F48B1">
            <w:pPr>
              <w:jc w:val="center"/>
              <w:rPr>
                <w:rFonts w:ascii="Calibri" w:hAnsi="Calibri" w:cs="Calibri"/>
                <w:b/>
                <w:color w:val="FFFFFF"/>
                <w:sz w:val="18"/>
                <w:szCs w:val="18"/>
              </w:rPr>
            </w:pPr>
            <w:r w:rsidRPr="005734B8">
              <w:rPr>
                <w:rFonts w:ascii="Calibri" w:hAnsi="Calibri" w:cs="Calibri"/>
                <w:b/>
                <w:color w:val="FFFFFF"/>
                <w:sz w:val="18"/>
                <w:szCs w:val="18"/>
              </w:rPr>
              <w:t>FM Act ($m)</w:t>
            </w:r>
          </w:p>
        </w:tc>
        <w:tc>
          <w:tcPr>
            <w:tcW w:w="3901" w:type="dxa"/>
            <w:gridSpan w:val="3"/>
            <w:tcBorders>
              <w:top w:val="nil"/>
              <w:left w:val="nil"/>
              <w:bottom w:val="single" w:sz="4" w:space="0" w:color="FFFFFF"/>
              <w:right w:val="single" w:sz="4" w:space="0" w:color="FFFFFF"/>
            </w:tcBorders>
            <w:shd w:val="clear" w:color="000000" w:fill="AF272F"/>
            <w:vAlign w:val="center"/>
            <w:hideMark/>
          </w:tcPr>
          <w:p w14:paraId="078254F2" w14:textId="77777777" w:rsidR="0047687A" w:rsidRPr="005734B8" w:rsidRDefault="0047687A" w:rsidP="000F48B1">
            <w:pPr>
              <w:jc w:val="center"/>
              <w:rPr>
                <w:rFonts w:ascii="Calibri" w:hAnsi="Calibri" w:cs="Calibri"/>
                <w:b/>
                <w:color w:val="FFFFFF"/>
                <w:sz w:val="18"/>
                <w:szCs w:val="18"/>
              </w:rPr>
            </w:pPr>
            <w:r w:rsidRPr="005734B8">
              <w:rPr>
                <w:rFonts w:ascii="Calibri" w:hAnsi="Calibri" w:cs="Calibri"/>
                <w:b/>
                <w:color w:val="FFFFFF"/>
                <w:sz w:val="18"/>
                <w:szCs w:val="18"/>
              </w:rPr>
              <w:t>($m)</w:t>
            </w:r>
          </w:p>
        </w:tc>
      </w:tr>
      <w:bookmarkEnd w:id="1259"/>
      <w:tr w:rsidR="0047687A" w:rsidRPr="005734B8" w14:paraId="25514E66" w14:textId="77777777" w:rsidTr="000F48B1">
        <w:trPr>
          <w:trHeight w:val="675"/>
        </w:trPr>
        <w:tc>
          <w:tcPr>
            <w:tcW w:w="2243" w:type="dxa"/>
            <w:tcBorders>
              <w:top w:val="nil"/>
              <w:left w:val="single" w:sz="4" w:space="0" w:color="FFFFFF"/>
              <w:bottom w:val="single" w:sz="4" w:space="0" w:color="auto"/>
              <w:right w:val="single" w:sz="4" w:space="0" w:color="FFFFFF"/>
            </w:tcBorders>
            <w:shd w:val="clear" w:color="000000" w:fill="000000"/>
            <w:hideMark/>
          </w:tcPr>
          <w:p w14:paraId="0A4EF859" w14:textId="77777777" w:rsidR="0047687A" w:rsidRPr="005734B8" w:rsidRDefault="0047687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1227" w:type="dxa"/>
            <w:tcBorders>
              <w:top w:val="nil"/>
              <w:left w:val="nil"/>
              <w:bottom w:val="single" w:sz="4" w:space="0" w:color="auto"/>
              <w:right w:val="single" w:sz="4" w:space="0" w:color="FFFFFF"/>
            </w:tcBorders>
            <w:shd w:val="clear" w:color="000000" w:fill="000000"/>
            <w:hideMark/>
          </w:tcPr>
          <w:p w14:paraId="129A2675" w14:textId="46FEBE7E" w:rsidR="0047687A" w:rsidRPr="005734B8" w:rsidRDefault="0047687A" w:rsidP="000F48B1">
            <w:pPr>
              <w:jc w:val="right"/>
              <w:rPr>
                <w:rFonts w:ascii="Calibri" w:hAnsi="Calibri" w:cs="Calibri"/>
                <w:b/>
                <w:color w:val="FFFFFF"/>
                <w:sz w:val="16"/>
                <w:szCs w:val="16"/>
              </w:rPr>
            </w:pPr>
            <w:r w:rsidRPr="005734B8">
              <w:rPr>
                <w:rFonts w:ascii="Calibri" w:hAnsi="Calibri" w:cs="Calibri"/>
                <w:b/>
                <w:color w:val="FFFFFF"/>
                <w:sz w:val="16"/>
                <w:szCs w:val="16"/>
              </w:rPr>
              <w:t>Annual approp</w:t>
            </w:r>
            <w:r w:rsidR="00C03127" w:rsidRPr="005734B8">
              <w:rPr>
                <w:rFonts w:ascii="Calibri" w:hAnsi="Calibri" w:cs="Calibri"/>
                <w:b/>
                <w:color w:val="FFFFFF"/>
                <w:sz w:val="16"/>
                <w:szCs w:val="16"/>
              </w:rPr>
              <w:t>r</w:t>
            </w:r>
            <w:r w:rsidRPr="005734B8">
              <w:rPr>
                <w:rFonts w:ascii="Calibri" w:hAnsi="Calibri" w:cs="Calibri"/>
                <w:b/>
                <w:color w:val="FFFFFF"/>
                <w:sz w:val="16"/>
                <w:szCs w:val="16"/>
              </w:rPr>
              <w:t>iation</w:t>
            </w:r>
          </w:p>
        </w:tc>
        <w:tc>
          <w:tcPr>
            <w:tcW w:w="1224" w:type="dxa"/>
            <w:tcBorders>
              <w:top w:val="nil"/>
              <w:left w:val="nil"/>
              <w:bottom w:val="single" w:sz="4" w:space="0" w:color="auto"/>
              <w:right w:val="single" w:sz="4" w:space="0" w:color="FFFFFF"/>
            </w:tcBorders>
            <w:shd w:val="clear" w:color="000000" w:fill="000000"/>
            <w:hideMark/>
          </w:tcPr>
          <w:p w14:paraId="3EC20BDA" w14:textId="77777777" w:rsidR="0047687A" w:rsidRPr="005734B8" w:rsidRDefault="0047687A" w:rsidP="000F48B1">
            <w:pPr>
              <w:jc w:val="right"/>
              <w:rPr>
                <w:rFonts w:ascii="Calibri" w:hAnsi="Calibri" w:cs="Calibri"/>
                <w:b/>
                <w:color w:val="FFFFFF"/>
                <w:sz w:val="16"/>
                <w:szCs w:val="16"/>
              </w:rPr>
            </w:pPr>
            <w:r w:rsidRPr="005734B8">
              <w:rPr>
                <w:rFonts w:ascii="Calibri" w:hAnsi="Calibri" w:cs="Calibri"/>
                <w:b/>
                <w:color w:val="FFFFFF"/>
                <w:sz w:val="16"/>
                <w:szCs w:val="16"/>
              </w:rPr>
              <w:t>Advance from Treasurer</w:t>
            </w:r>
          </w:p>
        </w:tc>
        <w:tc>
          <w:tcPr>
            <w:tcW w:w="1227" w:type="dxa"/>
            <w:tcBorders>
              <w:top w:val="nil"/>
              <w:left w:val="nil"/>
              <w:bottom w:val="single" w:sz="4" w:space="0" w:color="auto"/>
              <w:right w:val="single" w:sz="4" w:space="0" w:color="FFFFFF"/>
            </w:tcBorders>
            <w:shd w:val="clear" w:color="000000" w:fill="000000"/>
            <w:hideMark/>
          </w:tcPr>
          <w:p w14:paraId="354D90A0" w14:textId="77777777" w:rsidR="0047687A" w:rsidRPr="005734B8" w:rsidRDefault="0047687A" w:rsidP="000F48B1">
            <w:pPr>
              <w:jc w:val="right"/>
              <w:rPr>
                <w:rFonts w:ascii="Calibri" w:hAnsi="Calibri" w:cs="Calibri"/>
                <w:b/>
                <w:color w:val="FFFFFF"/>
                <w:sz w:val="16"/>
                <w:szCs w:val="16"/>
              </w:rPr>
            </w:pPr>
            <w:r w:rsidRPr="005734B8">
              <w:rPr>
                <w:rFonts w:ascii="Calibri" w:hAnsi="Calibri" w:cs="Calibri"/>
                <w:b/>
                <w:color w:val="FFFFFF"/>
                <w:sz w:val="16"/>
                <w:szCs w:val="16"/>
              </w:rPr>
              <w:t>Section 3(2)</w:t>
            </w:r>
          </w:p>
        </w:tc>
        <w:tc>
          <w:tcPr>
            <w:tcW w:w="1032" w:type="dxa"/>
            <w:tcBorders>
              <w:top w:val="nil"/>
              <w:left w:val="nil"/>
              <w:bottom w:val="single" w:sz="4" w:space="0" w:color="auto"/>
              <w:right w:val="single" w:sz="4" w:space="0" w:color="FFFFFF"/>
            </w:tcBorders>
            <w:shd w:val="clear" w:color="000000" w:fill="000000"/>
            <w:hideMark/>
          </w:tcPr>
          <w:p w14:paraId="7BB20936" w14:textId="77777777" w:rsidR="0047687A" w:rsidRPr="005734B8" w:rsidRDefault="0047687A" w:rsidP="000F48B1">
            <w:pPr>
              <w:jc w:val="right"/>
              <w:rPr>
                <w:rFonts w:ascii="Calibri" w:hAnsi="Calibri" w:cs="Calibri"/>
                <w:b/>
                <w:color w:val="FFFFFF"/>
                <w:sz w:val="16"/>
                <w:szCs w:val="16"/>
              </w:rPr>
            </w:pPr>
            <w:r w:rsidRPr="005734B8">
              <w:rPr>
                <w:rFonts w:ascii="Calibri" w:hAnsi="Calibri" w:cs="Calibri"/>
                <w:b/>
                <w:color w:val="FFFFFF"/>
                <w:sz w:val="16"/>
                <w:szCs w:val="16"/>
              </w:rPr>
              <w:t>Section 29</w:t>
            </w:r>
          </w:p>
        </w:tc>
        <w:tc>
          <w:tcPr>
            <w:tcW w:w="1032" w:type="dxa"/>
            <w:tcBorders>
              <w:top w:val="nil"/>
              <w:left w:val="nil"/>
              <w:bottom w:val="single" w:sz="4" w:space="0" w:color="auto"/>
              <w:right w:val="single" w:sz="4" w:space="0" w:color="FFFFFF"/>
            </w:tcBorders>
            <w:shd w:val="clear" w:color="000000" w:fill="000000"/>
            <w:hideMark/>
          </w:tcPr>
          <w:p w14:paraId="78185A92" w14:textId="77777777" w:rsidR="0047687A" w:rsidRPr="005734B8" w:rsidRDefault="0047687A" w:rsidP="000F48B1">
            <w:pPr>
              <w:jc w:val="right"/>
              <w:rPr>
                <w:rFonts w:ascii="Calibri" w:hAnsi="Calibri" w:cs="Calibri"/>
                <w:b/>
                <w:color w:val="FFFFFF"/>
                <w:sz w:val="16"/>
                <w:szCs w:val="16"/>
              </w:rPr>
            </w:pPr>
            <w:r w:rsidRPr="005734B8">
              <w:rPr>
                <w:rFonts w:ascii="Calibri" w:hAnsi="Calibri" w:cs="Calibri"/>
                <w:b/>
                <w:color w:val="FFFFFF"/>
                <w:sz w:val="16"/>
                <w:szCs w:val="16"/>
              </w:rPr>
              <w:t>Section 30</w:t>
            </w:r>
            <w:r w:rsidRPr="005734B8">
              <w:rPr>
                <w:rStyle w:val="FootnoteReference"/>
                <w:rFonts w:ascii="Calibri" w:hAnsi="Calibri" w:cs="Calibri"/>
                <w:b/>
                <w:color w:val="FFFFFF"/>
                <w:sz w:val="16"/>
                <w:szCs w:val="16"/>
              </w:rPr>
              <w:footnoteReference w:id="72"/>
            </w:r>
          </w:p>
        </w:tc>
        <w:tc>
          <w:tcPr>
            <w:tcW w:w="1032" w:type="dxa"/>
            <w:tcBorders>
              <w:top w:val="nil"/>
              <w:left w:val="nil"/>
              <w:bottom w:val="single" w:sz="4" w:space="0" w:color="auto"/>
              <w:right w:val="single" w:sz="4" w:space="0" w:color="FFFFFF"/>
            </w:tcBorders>
            <w:shd w:val="clear" w:color="000000" w:fill="000000"/>
            <w:hideMark/>
          </w:tcPr>
          <w:p w14:paraId="595779EA" w14:textId="77777777" w:rsidR="0047687A" w:rsidRPr="005734B8" w:rsidRDefault="0047687A" w:rsidP="000F48B1">
            <w:pPr>
              <w:jc w:val="right"/>
              <w:rPr>
                <w:rFonts w:ascii="Calibri" w:hAnsi="Calibri" w:cs="Calibri"/>
                <w:b/>
                <w:color w:val="FFFFFF"/>
                <w:sz w:val="16"/>
                <w:szCs w:val="16"/>
              </w:rPr>
            </w:pPr>
            <w:r w:rsidRPr="005734B8">
              <w:rPr>
                <w:rFonts w:ascii="Calibri" w:hAnsi="Calibri" w:cs="Calibri"/>
                <w:b/>
                <w:color w:val="FFFFFF"/>
                <w:sz w:val="16"/>
                <w:szCs w:val="16"/>
              </w:rPr>
              <w:t>Section 32</w:t>
            </w:r>
          </w:p>
        </w:tc>
        <w:tc>
          <w:tcPr>
            <w:tcW w:w="1028" w:type="dxa"/>
            <w:tcBorders>
              <w:top w:val="nil"/>
              <w:left w:val="nil"/>
              <w:bottom w:val="single" w:sz="4" w:space="0" w:color="auto"/>
              <w:right w:val="single" w:sz="4" w:space="0" w:color="FFFFFF"/>
            </w:tcBorders>
            <w:shd w:val="clear" w:color="000000" w:fill="000000"/>
            <w:hideMark/>
          </w:tcPr>
          <w:p w14:paraId="0BECEEFC" w14:textId="77777777" w:rsidR="0047687A" w:rsidRPr="005734B8" w:rsidRDefault="0047687A" w:rsidP="000F48B1">
            <w:pPr>
              <w:jc w:val="right"/>
              <w:rPr>
                <w:rFonts w:ascii="Calibri" w:hAnsi="Calibri" w:cs="Calibri"/>
                <w:b/>
                <w:color w:val="FFFFFF"/>
                <w:sz w:val="16"/>
                <w:szCs w:val="16"/>
              </w:rPr>
            </w:pPr>
            <w:r w:rsidRPr="005734B8">
              <w:rPr>
                <w:rFonts w:ascii="Calibri" w:hAnsi="Calibri" w:cs="Calibri"/>
                <w:b/>
                <w:color w:val="FFFFFF"/>
                <w:sz w:val="16"/>
                <w:szCs w:val="16"/>
              </w:rPr>
              <w:t>Section 35 advances</w:t>
            </w:r>
          </w:p>
        </w:tc>
        <w:tc>
          <w:tcPr>
            <w:tcW w:w="1405" w:type="dxa"/>
            <w:tcBorders>
              <w:top w:val="nil"/>
              <w:left w:val="nil"/>
              <w:bottom w:val="single" w:sz="4" w:space="0" w:color="auto"/>
              <w:right w:val="single" w:sz="4" w:space="0" w:color="FFFFFF"/>
            </w:tcBorders>
            <w:shd w:val="clear" w:color="000000" w:fill="000000"/>
            <w:hideMark/>
          </w:tcPr>
          <w:p w14:paraId="1B98FF62" w14:textId="77777777" w:rsidR="0047687A" w:rsidRPr="005734B8" w:rsidRDefault="0047687A" w:rsidP="000F48B1">
            <w:pPr>
              <w:jc w:val="right"/>
              <w:rPr>
                <w:rFonts w:ascii="Calibri" w:hAnsi="Calibri" w:cs="Calibri"/>
                <w:b/>
                <w:color w:val="FFFFFF"/>
                <w:sz w:val="16"/>
                <w:szCs w:val="16"/>
              </w:rPr>
            </w:pPr>
            <w:r w:rsidRPr="005734B8">
              <w:rPr>
                <w:rFonts w:ascii="Calibri" w:hAnsi="Calibri" w:cs="Calibri"/>
                <w:b/>
                <w:color w:val="FFFFFF"/>
                <w:sz w:val="16"/>
                <w:szCs w:val="16"/>
              </w:rPr>
              <w:t>Total parliamentary authority</w:t>
            </w:r>
          </w:p>
        </w:tc>
        <w:tc>
          <w:tcPr>
            <w:tcW w:w="1398" w:type="dxa"/>
            <w:tcBorders>
              <w:top w:val="nil"/>
              <w:left w:val="nil"/>
              <w:bottom w:val="single" w:sz="4" w:space="0" w:color="auto"/>
              <w:right w:val="single" w:sz="4" w:space="0" w:color="FFFFFF"/>
            </w:tcBorders>
            <w:shd w:val="clear" w:color="000000" w:fill="000000"/>
            <w:hideMark/>
          </w:tcPr>
          <w:p w14:paraId="578A112A" w14:textId="77777777" w:rsidR="0047687A" w:rsidRPr="005734B8" w:rsidRDefault="0047687A" w:rsidP="000F48B1">
            <w:pPr>
              <w:jc w:val="right"/>
              <w:rPr>
                <w:rFonts w:ascii="Calibri" w:hAnsi="Calibri" w:cs="Calibri"/>
                <w:b/>
                <w:color w:val="FFFFFF"/>
                <w:sz w:val="16"/>
                <w:szCs w:val="16"/>
              </w:rPr>
            </w:pPr>
            <w:r w:rsidRPr="005734B8">
              <w:rPr>
                <w:rFonts w:ascii="Calibri" w:hAnsi="Calibri" w:cs="Calibri"/>
                <w:b/>
                <w:color w:val="FFFFFF"/>
                <w:sz w:val="16"/>
                <w:szCs w:val="16"/>
              </w:rPr>
              <w:t>Appropriations applied</w:t>
            </w:r>
          </w:p>
        </w:tc>
        <w:tc>
          <w:tcPr>
            <w:tcW w:w="1098" w:type="dxa"/>
            <w:tcBorders>
              <w:top w:val="nil"/>
              <w:left w:val="nil"/>
              <w:bottom w:val="single" w:sz="4" w:space="0" w:color="auto"/>
              <w:right w:val="single" w:sz="4" w:space="0" w:color="FFFFFF"/>
            </w:tcBorders>
            <w:shd w:val="clear" w:color="000000" w:fill="000000"/>
            <w:hideMark/>
          </w:tcPr>
          <w:p w14:paraId="66C16BCC" w14:textId="77777777" w:rsidR="0047687A" w:rsidRPr="005734B8" w:rsidRDefault="0047687A" w:rsidP="000F48B1">
            <w:pPr>
              <w:jc w:val="right"/>
              <w:rPr>
                <w:rFonts w:ascii="Calibri" w:hAnsi="Calibri" w:cs="Calibri"/>
                <w:b/>
                <w:color w:val="FFFFFF"/>
                <w:sz w:val="16"/>
                <w:szCs w:val="16"/>
              </w:rPr>
            </w:pPr>
            <w:r w:rsidRPr="005734B8">
              <w:rPr>
                <w:rFonts w:ascii="Calibri" w:hAnsi="Calibri" w:cs="Calibri"/>
                <w:b/>
                <w:color w:val="FFFFFF"/>
                <w:sz w:val="16"/>
                <w:szCs w:val="16"/>
              </w:rPr>
              <w:t>Variance</w:t>
            </w:r>
            <w:r w:rsidRPr="005734B8">
              <w:rPr>
                <w:rStyle w:val="FootnoteReference"/>
                <w:rFonts w:ascii="Calibri" w:hAnsi="Calibri" w:cs="Calibri"/>
                <w:b/>
                <w:color w:val="FFFFFF"/>
                <w:sz w:val="16"/>
                <w:szCs w:val="16"/>
              </w:rPr>
              <w:footnoteReference w:id="73"/>
            </w:r>
          </w:p>
        </w:tc>
      </w:tr>
      <w:tr w:rsidR="0047687A" w:rsidRPr="005734B8" w14:paraId="4879C92B" w14:textId="77777777" w:rsidTr="000F48B1">
        <w:trPr>
          <w:trHeight w:val="255"/>
        </w:trPr>
        <w:tc>
          <w:tcPr>
            <w:tcW w:w="2243" w:type="dxa"/>
            <w:tcBorders>
              <w:top w:val="single" w:sz="4" w:space="0" w:color="auto"/>
              <w:left w:val="single" w:sz="4" w:space="0" w:color="FFFFFF"/>
              <w:bottom w:val="single" w:sz="4" w:space="0" w:color="auto"/>
              <w:right w:val="nil"/>
            </w:tcBorders>
            <w:shd w:val="clear" w:color="000000" w:fill="D9D9D9"/>
            <w:vAlign w:val="bottom"/>
            <w:hideMark/>
          </w:tcPr>
          <w:p w14:paraId="3B395800"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2021 Controlled</w:t>
            </w:r>
          </w:p>
        </w:tc>
        <w:tc>
          <w:tcPr>
            <w:tcW w:w="1227" w:type="dxa"/>
            <w:tcBorders>
              <w:top w:val="single" w:sz="4" w:space="0" w:color="auto"/>
              <w:left w:val="single" w:sz="4" w:space="0" w:color="FFFFFF"/>
              <w:bottom w:val="single" w:sz="4" w:space="0" w:color="auto"/>
              <w:right w:val="nil"/>
            </w:tcBorders>
            <w:shd w:val="clear" w:color="000000" w:fill="D9D9D9"/>
            <w:vAlign w:val="bottom"/>
            <w:hideMark/>
          </w:tcPr>
          <w:p w14:paraId="21F1D3A4"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c>
          <w:tcPr>
            <w:tcW w:w="1224" w:type="dxa"/>
            <w:tcBorders>
              <w:top w:val="single" w:sz="4" w:space="0" w:color="auto"/>
              <w:left w:val="single" w:sz="4" w:space="0" w:color="FFFFFF"/>
              <w:bottom w:val="single" w:sz="4" w:space="0" w:color="auto"/>
              <w:right w:val="nil"/>
            </w:tcBorders>
            <w:shd w:val="clear" w:color="000000" w:fill="D9D9D9"/>
            <w:vAlign w:val="bottom"/>
            <w:hideMark/>
          </w:tcPr>
          <w:p w14:paraId="5550F3AC"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c>
          <w:tcPr>
            <w:tcW w:w="1227" w:type="dxa"/>
            <w:tcBorders>
              <w:top w:val="single" w:sz="4" w:space="0" w:color="auto"/>
              <w:left w:val="single" w:sz="4" w:space="0" w:color="FFFFFF"/>
              <w:bottom w:val="single" w:sz="4" w:space="0" w:color="auto"/>
              <w:right w:val="nil"/>
            </w:tcBorders>
            <w:shd w:val="clear" w:color="000000" w:fill="D9D9D9"/>
            <w:vAlign w:val="bottom"/>
            <w:hideMark/>
          </w:tcPr>
          <w:p w14:paraId="1DA0F710"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c>
          <w:tcPr>
            <w:tcW w:w="1032" w:type="dxa"/>
            <w:tcBorders>
              <w:top w:val="single" w:sz="4" w:space="0" w:color="auto"/>
              <w:left w:val="single" w:sz="4" w:space="0" w:color="FFFFFF"/>
              <w:bottom w:val="single" w:sz="4" w:space="0" w:color="auto"/>
              <w:right w:val="nil"/>
            </w:tcBorders>
            <w:shd w:val="clear" w:color="000000" w:fill="D9D9D9"/>
            <w:vAlign w:val="bottom"/>
            <w:hideMark/>
          </w:tcPr>
          <w:p w14:paraId="4332D1AA"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c>
          <w:tcPr>
            <w:tcW w:w="1032" w:type="dxa"/>
            <w:tcBorders>
              <w:top w:val="single" w:sz="4" w:space="0" w:color="auto"/>
              <w:left w:val="single" w:sz="4" w:space="0" w:color="FFFFFF"/>
              <w:bottom w:val="single" w:sz="4" w:space="0" w:color="auto"/>
              <w:right w:val="nil"/>
            </w:tcBorders>
            <w:shd w:val="clear" w:color="000000" w:fill="D9D9D9"/>
            <w:vAlign w:val="bottom"/>
            <w:hideMark/>
          </w:tcPr>
          <w:p w14:paraId="0FA25116"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c>
          <w:tcPr>
            <w:tcW w:w="1032" w:type="dxa"/>
            <w:tcBorders>
              <w:top w:val="single" w:sz="4" w:space="0" w:color="auto"/>
              <w:left w:val="single" w:sz="4" w:space="0" w:color="FFFFFF"/>
              <w:bottom w:val="single" w:sz="4" w:space="0" w:color="auto"/>
              <w:right w:val="nil"/>
            </w:tcBorders>
            <w:shd w:val="clear" w:color="000000" w:fill="D9D9D9"/>
            <w:vAlign w:val="bottom"/>
            <w:hideMark/>
          </w:tcPr>
          <w:p w14:paraId="610D62CD"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c>
          <w:tcPr>
            <w:tcW w:w="1028" w:type="dxa"/>
            <w:tcBorders>
              <w:top w:val="single" w:sz="4" w:space="0" w:color="auto"/>
              <w:left w:val="single" w:sz="4" w:space="0" w:color="FFFFFF"/>
              <w:bottom w:val="single" w:sz="4" w:space="0" w:color="auto"/>
              <w:right w:val="nil"/>
            </w:tcBorders>
            <w:shd w:val="clear" w:color="000000" w:fill="D9D9D9"/>
            <w:vAlign w:val="bottom"/>
            <w:hideMark/>
          </w:tcPr>
          <w:p w14:paraId="599439F3"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c>
          <w:tcPr>
            <w:tcW w:w="1405" w:type="dxa"/>
            <w:tcBorders>
              <w:top w:val="single" w:sz="4" w:space="0" w:color="auto"/>
              <w:left w:val="single" w:sz="4" w:space="0" w:color="FFFFFF"/>
              <w:bottom w:val="single" w:sz="4" w:space="0" w:color="auto"/>
              <w:right w:val="nil"/>
            </w:tcBorders>
            <w:shd w:val="clear" w:color="000000" w:fill="D9D9D9"/>
            <w:vAlign w:val="bottom"/>
            <w:hideMark/>
          </w:tcPr>
          <w:p w14:paraId="267FF333"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c>
          <w:tcPr>
            <w:tcW w:w="1398" w:type="dxa"/>
            <w:tcBorders>
              <w:top w:val="single" w:sz="4" w:space="0" w:color="auto"/>
              <w:left w:val="single" w:sz="4" w:space="0" w:color="FFFFFF"/>
              <w:bottom w:val="single" w:sz="4" w:space="0" w:color="auto"/>
              <w:right w:val="nil"/>
            </w:tcBorders>
            <w:shd w:val="clear" w:color="000000" w:fill="D9D9D9"/>
            <w:vAlign w:val="bottom"/>
            <w:hideMark/>
          </w:tcPr>
          <w:p w14:paraId="15A1AFCA"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c>
          <w:tcPr>
            <w:tcW w:w="1098" w:type="dxa"/>
            <w:tcBorders>
              <w:top w:val="single" w:sz="4" w:space="0" w:color="auto"/>
              <w:left w:val="single" w:sz="4" w:space="0" w:color="FFFFFF"/>
              <w:bottom w:val="single" w:sz="4" w:space="0" w:color="auto"/>
              <w:right w:val="nil"/>
            </w:tcBorders>
            <w:shd w:val="clear" w:color="000000" w:fill="D9D9D9"/>
            <w:vAlign w:val="bottom"/>
            <w:hideMark/>
          </w:tcPr>
          <w:p w14:paraId="76E19E10"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r>
      <w:tr w:rsidR="0047687A" w:rsidRPr="005734B8" w14:paraId="0D5B7DF1" w14:textId="77777777" w:rsidTr="000F48B1">
        <w:trPr>
          <w:trHeight w:val="255"/>
        </w:trPr>
        <w:tc>
          <w:tcPr>
            <w:tcW w:w="2243" w:type="dxa"/>
            <w:tcBorders>
              <w:top w:val="nil"/>
              <w:left w:val="nil"/>
              <w:bottom w:val="single" w:sz="4" w:space="0" w:color="auto"/>
              <w:right w:val="single" w:sz="4" w:space="0" w:color="FFFFFF"/>
            </w:tcBorders>
            <w:shd w:val="clear" w:color="000000" w:fill="D9D9D9"/>
            <w:noWrap/>
            <w:vAlign w:val="bottom"/>
            <w:hideMark/>
          </w:tcPr>
          <w:p w14:paraId="03274C1E"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Provisions for outputs</w:t>
            </w:r>
          </w:p>
        </w:tc>
        <w:tc>
          <w:tcPr>
            <w:tcW w:w="1227" w:type="dxa"/>
            <w:tcBorders>
              <w:top w:val="nil"/>
              <w:left w:val="nil"/>
              <w:bottom w:val="single" w:sz="4" w:space="0" w:color="auto"/>
              <w:right w:val="single" w:sz="4" w:space="0" w:color="FFFFFF"/>
            </w:tcBorders>
            <w:shd w:val="clear" w:color="000000" w:fill="D9D9D9"/>
            <w:noWrap/>
            <w:vAlign w:val="center"/>
            <w:hideMark/>
          </w:tcPr>
          <w:p w14:paraId="159FD80B"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15,565.8 </w:t>
            </w:r>
          </w:p>
        </w:tc>
        <w:tc>
          <w:tcPr>
            <w:tcW w:w="1224" w:type="dxa"/>
            <w:tcBorders>
              <w:top w:val="nil"/>
              <w:left w:val="nil"/>
              <w:bottom w:val="single" w:sz="4" w:space="0" w:color="auto"/>
              <w:right w:val="single" w:sz="4" w:space="0" w:color="FFFFFF"/>
            </w:tcBorders>
            <w:shd w:val="clear" w:color="000000" w:fill="D9D9D9"/>
            <w:noWrap/>
            <w:vAlign w:val="center"/>
            <w:hideMark/>
          </w:tcPr>
          <w:p w14:paraId="302FD9DE" w14:textId="2077E450" w:rsidR="0047687A" w:rsidRPr="005734B8" w:rsidRDefault="00EE3FB9" w:rsidP="000F48B1">
            <w:pPr>
              <w:jc w:val="right"/>
              <w:rPr>
                <w:rFonts w:ascii="Calibri" w:hAnsi="Calibri" w:cs="Calibri"/>
                <w:sz w:val="18"/>
                <w:szCs w:val="18"/>
              </w:rPr>
            </w:pPr>
            <w:r w:rsidRPr="005734B8">
              <w:rPr>
                <w:rFonts w:ascii="Calibri" w:hAnsi="Calibri" w:cs="Calibri"/>
                <w:sz w:val="18"/>
                <w:szCs w:val="18"/>
              </w:rPr>
              <w:t>–</w:t>
            </w:r>
          </w:p>
        </w:tc>
        <w:tc>
          <w:tcPr>
            <w:tcW w:w="1227" w:type="dxa"/>
            <w:tcBorders>
              <w:top w:val="nil"/>
              <w:left w:val="nil"/>
              <w:bottom w:val="single" w:sz="4" w:space="0" w:color="auto"/>
              <w:right w:val="single" w:sz="4" w:space="0" w:color="FFFFFF"/>
            </w:tcBorders>
            <w:shd w:val="clear" w:color="000000" w:fill="D9D9D9"/>
            <w:noWrap/>
            <w:vAlign w:val="center"/>
            <w:hideMark/>
          </w:tcPr>
          <w:p w14:paraId="36C5E926" w14:textId="738031A5" w:rsidR="0047687A" w:rsidRPr="005734B8" w:rsidRDefault="00EE3FB9" w:rsidP="000F48B1">
            <w:pPr>
              <w:jc w:val="right"/>
              <w:rPr>
                <w:rFonts w:ascii="Calibri" w:hAnsi="Calibri" w:cs="Calibri"/>
                <w:sz w:val="18"/>
                <w:szCs w:val="18"/>
              </w:rPr>
            </w:pPr>
            <w:r w:rsidRPr="005734B8">
              <w:rPr>
                <w:rFonts w:ascii="Calibri" w:hAnsi="Calibri" w:cs="Calibri"/>
                <w:sz w:val="18"/>
                <w:szCs w:val="18"/>
              </w:rPr>
              <w:t>–</w:t>
            </w:r>
          </w:p>
        </w:tc>
        <w:tc>
          <w:tcPr>
            <w:tcW w:w="1032" w:type="dxa"/>
            <w:tcBorders>
              <w:top w:val="nil"/>
              <w:left w:val="nil"/>
              <w:bottom w:val="single" w:sz="4" w:space="0" w:color="auto"/>
              <w:right w:val="single" w:sz="4" w:space="0" w:color="FFFFFF"/>
            </w:tcBorders>
            <w:shd w:val="clear" w:color="000000" w:fill="D9D9D9"/>
            <w:noWrap/>
            <w:vAlign w:val="center"/>
            <w:hideMark/>
          </w:tcPr>
          <w:p w14:paraId="618E25ED"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645.5 </w:t>
            </w:r>
          </w:p>
        </w:tc>
        <w:tc>
          <w:tcPr>
            <w:tcW w:w="1032" w:type="dxa"/>
            <w:tcBorders>
              <w:top w:val="nil"/>
              <w:left w:val="nil"/>
              <w:bottom w:val="single" w:sz="4" w:space="0" w:color="auto"/>
              <w:right w:val="single" w:sz="4" w:space="0" w:color="FFFFFF"/>
            </w:tcBorders>
            <w:shd w:val="clear" w:color="000000" w:fill="D9D9D9"/>
            <w:noWrap/>
            <w:vAlign w:val="center"/>
            <w:hideMark/>
          </w:tcPr>
          <w:p w14:paraId="2551EE1C"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(12.4) </w:t>
            </w:r>
          </w:p>
        </w:tc>
        <w:tc>
          <w:tcPr>
            <w:tcW w:w="1032" w:type="dxa"/>
            <w:tcBorders>
              <w:top w:val="nil"/>
              <w:left w:val="nil"/>
              <w:bottom w:val="single" w:sz="4" w:space="0" w:color="auto"/>
              <w:right w:val="single" w:sz="4" w:space="0" w:color="FFFFFF"/>
            </w:tcBorders>
            <w:shd w:val="clear" w:color="000000" w:fill="D9D9D9"/>
            <w:noWrap/>
            <w:vAlign w:val="center"/>
            <w:hideMark/>
          </w:tcPr>
          <w:p w14:paraId="5328690F"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57.5 </w:t>
            </w:r>
          </w:p>
        </w:tc>
        <w:tc>
          <w:tcPr>
            <w:tcW w:w="1028" w:type="dxa"/>
            <w:tcBorders>
              <w:top w:val="nil"/>
              <w:left w:val="nil"/>
              <w:bottom w:val="single" w:sz="4" w:space="0" w:color="auto"/>
              <w:right w:val="single" w:sz="4" w:space="0" w:color="FFFFFF"/>
            </w:tcBorders>
            <w:shd w:val="clear" w:color="000000" w:fill="D9D9D9"/>
            <w:noWrap/>
            <w:vAlign w:val="center"/>
            <w:hideMark/>
          </w:tcPr>
          <w:p w14:paraId="505349D4" w14:textId="60733EA6" w:rsidR="0047687A" w:rsidRPr="005734B8" w:rsidRDefault="00EE3FB9" w:rsidP="000F48B1">
            <w:pPr>
              <w:jc w:val="right"/>
              <w:rPr>
                <w:rFonts w:ascii="Calibri" w:hAnsi="Calibri" w:cs="Calibri"/>
                <w:sz w:val="18"/>
                <w:szCs w:val="18"/>
              </w:rPr>
            </w:pPr>
            <w:r w:rsidRPr="005734B8">
              <w:rPr>
                <w:rFonts w:ascii="Calibri" w:hAnsi="Calibri" w:cs="Calibri"/>
                <w:sz w:val="18"/>
                <w:szCs w:val="18"/>
              </w:rPr>
              <w:t>–</w:t>
            </w:r>
          </w:p>
        </w:tc>
        <w:tc>
          <w:tcPr>
            <w:tcW w:w="1405" w:type="dxa"/>
            <w:tcBorders>
              <w:top w:val="nil"/>
              <w:left w:val="nil"/>
              <w:bottom w:val="single" w:sz="4" w:space="0" w:color="auto"/>
              <w:right w:val="single" w:sz="4" w:space="0" w:color="FFFFFF"/>
            </w:tcBorders>
            <w:shd w:val="clear" w:color="000000" w:fill="D9D9D9"/>
            <w:noWrap/>
            <w:vAlign w:val="center"/>
            <w:hideMark/>
          </w:tcPr>
          <w:p w14:paraId="26441AA4"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16,256.4 </w:t>
            </w:r>
          </w:p>
        </w:tc>
        <w:tc>
          <w:tcPr>
            <w:tcW w:w="1398" w:type="dxa"/>
            <w:tcBorders>
              <w:top w:val="nil"/>
              <w:left w:val="nil"/>
              <w:bottom w:val="single" w:sz="4" w:space="0" w:color="auto"/>
              <w:right w:val="single" w:sz="4" w:space="0" w:color="FFFFFF"/>
            </w:tcBorders>
            <w:shd w:val="clear" w:color="000000" w:fill="D9D9D9"/>
            <w:noWrap/>
            <w:vAlign w:val="center"/>
            <w:hideMark/>
          </w:tcPr>
          <w:p w14:paraId="1DBECA24"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16,133.9 </w:t>
            </w:r>
          </w:p>
        </w:tc>
        <w:tc>
          <w:tcPr>
            <w:tcW w:w="1098" w:type="dxa"/>
            <w:tcBorders>
              <w:top w:val="nil"/>
              <w:left w:val="nil"/>
              <w:bottom w:val="single" w:sz="4" w:space="0" w:color="auto"/>
              <w:right w:val="single" w:sz="4" w:space="0" w:color="FFFFFF"/>
            </w:tcBorders>
            <w:shd w:val="clear" w:color="000000" w:fill="D9D9D9"/>
            <w:noWrap/>
            <w:vAlign w:val="center"/>
            <w:hideMark/>
          </w:tcPr>
          <w:p w14:paraId="3B5D8246"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122.5 </w:t>
            </w:r>
          </w:p>
        </w:tc>
      </w:tr>
      <w:tr w:rsidR="0047687A" w:rsidRPr="005734B8" w14:paraId="5F9807DC" w14:textId="77777777" w:rsidTr="000F48B1">
        <w:trPr>
          <w:trHeight w:val="270"/>
        </w:trPr>
        <w:tc>
          <w:tcPr>
            <w:tcW w:w="2243" w:type="dxa"/>
            <w:tcBorders>
              <w:top w:val="nil"/>
              <w:left w:val="nil"/>
              <w:bottom w:val="nil"/>
              <w:right w:val="nil"/>
            </w:tcBorders>
            <w:shd w:val="clear" w:color="000000" w:fill="D9D9D9"/>
            <w:noWrap/>
            <w:vAlign w:val="bottom"/>
            <w:hideMark/>
          </w:tcPr>
          <w:p w14:paraId="09FB371C"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Additions to net assets</w:t>
            </w:r>
          </w:p>
        </w:tc>
        <w:tc>
          <w:tcPr>
            <w:tcW w:w="1227" w:type="dxa"/>
            <w:tcBorders>
              <w:top w:val="nil"/>
              <w:left w:val="single" w:sz="4" w:space="0" w:color="FFFFFF"/>
              <w:bottom w:val="single" w:sz="4" w:space="0" w:color="auto"/>
              <w:right w:val="single" w:sz="4" w:space="0" w:color="FFFFFF"/>
            </w:tcBorders>
            <w:shd w:val="clear" w:color="000000" w:fill="D9D9D9"/>
            <w:noWrap/>
            <w:vAlign w:val="center"/>
            <w:hideMark/>
          </w:tcPr>
          <w:p w14:paraId="057DD543"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1,144.9 </w:t>
            </w:r>
          </w:p>
        </w:tc>
        <w:tc>
          <w:tcPr>
            <w:tcW w:w="1224" w:type="dxa"/>
            <w:tcBorders>
              <w:top w:val="nil"/>
              <w:left w:val="nil"/>
              <w:bottom w:val="single" w:sz="4" w:space="0" w:color="auto"/>
              <w:right w:val="single" w:sz="4" w:space="0" w:color="FFFFFF"/>
            </w:tcBorders>
            <w:shd w:val="clear" w:color="000000" w:fill="D9D9D9"/>
            <w:noWrap/>
            <w:vAlign w:val="center"/>
            <w:hideMark/>
          </w:tcPr>
          <w:p w14:paraId="476B25A2" w14:textId="3D197800" w:rsidR="0047687A" w:rsidRPr="005734B8" w:rsidRDefault="00EE3FB9" w:rsidP="000F48B1">
            <w:pPr>
              <w:jc w:val="right"/>
              <w:rPr>
                <w:rFonts w:ascii="Calibri" w:hAnsi="Calibri" w:cs="Calibri"/>
                <w:sz w:val="18"/>
                <w:szCs w:val="18"/>
              </w:rPr>
            </w:pPr>
            <w:r w:rsidRPr="005734B8">
              <w:rPr>
                <w:rFonts w:ascii="Calibri" w:hAnsi="Calibri" w:cs="Calibri"/>
                <w:sz w:val="18"/>
                <w:szCs w:val="18"/>
              </w:rPr>
              <w:t>–</w:t>
            </w:r>
          </w:p>
        </w:tc>
        <w:tc>
          <w:tcPr>
            <w:tcW w:w="1227" w:type="dxa"/>
            <w:tcBorders>
              <w:top w:val="nil"/>
              <w:left w:val="nil"/>
              <w:bottom w:val="single" w:sz="4" w:space="0" w:color="auto"/>
              <w:right w:val="single" w:sz="4" w:space="0" w:color="FFFFFF"/>
            </w:tcBorders>
            <w:shd w:val="clear" w:color="000000" w:fill="D9D9D9"/>
            <w:noWrap/>
            <w:vAlign w:val="center"/>
            <w:hideMark/>
          </w:tcPr>
          <w:p w14:paraId="748F9DD3" w14:textId="7261DD31" w:rsidR="0047687A" w:rsidRPr="005734B8" w:rsidRDefault="00EE3FB9" w:rsidP="000F48B1">
            <w:pPr>
              <w:jc w:val="right"/>
              <w:rPr>
                <w:rFonts w:ascii="Calibri" w:hAnsi="Calibri" w:cs="Calibri"/>
                <w:sz w:val="18"/>
                <w:szCs w:val="18"/>
              </w:rPr>
            </w:pPr>
            <w:r w:rsidRPr="005734B8">
              <w:rPr>
                <w:rFonts w:ascii="Calibri" w:hAnsi="Calibri" w:cs="Calibri"/>
                <w:sz w:val="18"/>
                <w:szCs w:val="18"/>
              </w:rPr>
              <w:t>–</w:t>
            </w:r>
          </w:p>
        </w:tc>
        <w:tc>
          <w:tcPr>
            <w:tcW w:w="1032" w:type="dxa"/>
            <w:tcBorders>
              <w:top w:val="nil"/>
              <w:left w:val="nil"/>
              <w:bottom w:val="single" w:sz="4" w:space="0" w:color="auto"/>
              <w:right w:val="single" w:sz="4" w:space="0" w:color="FFFFFF"/>
            </w:tcBorders>
            <w:shd w:val="clear" w:color="000000" w:fill="D9D9D9"/>
            <w:noWrap/>
            <w:vAlign w:val="center"/>
            <w:hideMark/>
          </w:tcPr>
          <w:p w14:paraId="44A6B006"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14.9 </w:t>
            </w:r>
          </w:p>
        </w:tc>
        <w:tc>
          <w:tcPr>
            <w:tcW w:w="1032" w:type="dxa"/>
            <w:tcBorders>
              <w:top w:val="nil"/>
              <w:left w:val="nil"/>
              <w:bottom w:val="single" w:sz="4" w:space="0" w:color="auto"/>
              <w:right w:val="single" w:sz="4" w:space="0" w:color="FFFFFF"/>
            </w:tcBorders>
            <w:shd w:val="clear" w:color="000000" w:fill="D9D9D9"/>
            <w:noWrap/>
            <w:vAlign w:val="center"/>
            <w:hideMark/>
          </w:tcPr>
          <w:p w14:paraId="49BBA022"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12.4 </w:t>
            </w:r>
          </w:p>
        </w:tc>
        <w:tc>
          <w:tcPr>
            <w:tcW w:w="1032" w:type="dxa"/>
            <w:tcBorders>
              <w:top w:val="nil"/>
              <w:left w:val="nil"/>
              <w:bottom w:val="single" w:sz="4" w:space="0" w:color="auto"/>
              <w:right w:val="single" w:sz="4" w:space="0" w:color="FFFFFF"/>
            </w:tcBorders>
            <w:shd w:val="clear" w:color="000000" w:fill="D9D9D9"/>
            <w:noWrap/>
            <w:vAlign w:val="center"/>
            <w:hideMark/>
          </w:tcPr>
          <w:p w14:paraId="3DFB1CE8"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157.5 </w:t>
            </w:r>
          </w:p>
        </w:tc>
        <w:tc>
          <w:tcPr>
            <w:tcW w:w="1028" w:type="dxa"/>
            <w:tcBorders>
              <w:top w:val="nil"/>
              <w:left w:val="nil"/>
              <w:bottom w:val="single" w:sz="4" w:space="0" w:color="auto"/>
              <w:right w:val="single" w:sz="4" w:space="0" w:color="FFFFFF"/>
            </w:tcBorders>
            <w:shd w:val="clear" w:color="000000" w:fill="D9D9D9"/>
            <w:noWrap/>
            <w:vAlign w:val="center"/>
            <w:hideMark/>
          </w:tcPr>
          <w:p w14:paraId="6590C0FA" w14:textId="22DE1A87" w:rsidR="0047687A" w:rsidRPr="005734B8" w:rsidRDefault="00EE3FB9" w:rsidP="000F48B1">
            <w:pPr>
              <w:jc w:val="right"/>
              <w:rPr>
                <w:rFonts w:ascii="Calibri" w:hAnsi="Calibri" w:cs="Calibri"/>
                <w:sz w:val="18"/>
                <w:szCs w:val="18"/>
              </w:rPr>
            </w:pPr>
            <w:r w:rsidRPr="005734B8">
              <w:rPr>
                <w:rFonts w:ascii="Calibri" w:hAnsi="Calibri" w:cs="Calibri"/>
                <w:sz w:val="18"/>
                <w:szCs w:val="18"/>
              </w:rPr>
              <w:t>–</w:t>
            </w:r>
          </w:p>
        </w:tc>
        <w:tc>
          <w:tcPr>
            <w:tcW w:w="1405" w:type="dxa"/>
            <w:tcBorders>
              <w:top w:val="nil"/>
              <w:left w:val="nil"/>
              <w:bottom w:val="single" w:sz="4" w:space="0" w:color="auto"/>
              <w:right w:val="single" w:sz="4" w:space="0" w:color="FFFFFF"/>
            </w:tcBorders>
            <w:shd w:val="clear" w:color="000000" w:fill="D9D9D9"/>
            <w:noWrap/>
            <w:vAlign w:val="center"/>
            <w:hideMark/>
          </w:tcPr>
          <w:p w14:paraId="7D4828B5"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1,329.7 </w:t>
            </w:r>
          </w:p>
        </w:tc>
        <w:tc>
          <w:tcPr>
            <w:tcW w:w="1398" w:type="dxa"/>
            <w:tcBorders>
              <w:top w:val="nil"/>
              <w:left w:val="nil"/>
              <w:bottom w:val="single" w:sz="4" w:space="0" w:color="auto"/>
              <w:right w:val="single" w:sz="4" w:space="0" w:color="FFFFFF"/>
            </w:tcBorders>
            <w:shd w:val="clear" w:color="000000" w:fill="D9D9D9"/>
            <w:noWrap/>
            <w:vAlign w:val="center"/>
            <w:hideMark/>
          </w:tcPr>
          <w:p w14:paraId="544EAB8D"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915.7 </w:t>
            </w:r>
          </w:p>
        </w:tc>
        <w:tc>
          <w:tcPr>
            <w:tcW w:w="1098" w:type="dxa"/>
            <w:tcBorders>
              <w:top w:val="nil"/>
              <w:left w:val="nil"/>
              <w:bottom w:val="single" w:sz="4" w:space="0" w:color="auto"/>
              <w:right w:val="single" w:sz="4" w:space="0" w:color="FFFFFF"/>
            </w:tcBorders>
            <w:shd w:val="clear" w:color="000000" w:fill="D9D9D9"/>
            <w:noWrap/>
            <w:vAlign w:val="center"/>
            <w:hideMark/>
          </w:tcPr>
          <w:p w14:paraId="69182D8A"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414.0 </w:t>
            </w:r>
          </w:p>
        </w:tc>
      </w:tr>
      <w:tr w:rsidR="0047687A" w:rsidRPr="005734B8" w14:paraId="26EBF5F2" w14:textId="77777777" w:rsidTr="000F48B1">
        <w:trPr>
          <w:trHeight w:val="285"/>
        </w:trPr>
        <w:tc>
          <w:tcPr>
            <w:tcW w:w="2243" w:type="dxa"/>
            <w:tcBorders>
              <w:top w:val="single" w:sz="12" w:space="0" w:color="auto"/>
              <w:left w:val="single" w:sz="12" w:space="0" w:color="FFFFFF"/>
              <w:bottom w:val="single" w:sz="12" w:space="0" w:color="auto"/>
              <w:right w:val="nil"/>
            </w:tcBorders>
            <w:shd w:val="clear" w:color="000000" w:fill="D9D9D6"/>
            <w:vAlign w:val="center"/>
            <w:hideMark/>
          </w:tcPr>
          <w:p w14:paraId="66725F02"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Total</w:t>
            </w:r>
          </w:p>
        </w:tc>
        <w:tc>
          <w:tcPr>
            <w:tcW w:w="1227"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4CB3B2A2"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16,710.7 </w:t>
            </w:r>
          </w:p>
        </w:tc>
        <w:tc>
          <w:tcPr>
            <w:tcW w:w="1224" w:type="dxa"/>
            <w:tcBorders>
              <w:top w:val="single" w:sz="12" w:space="0" w:color="auto"/>
              <w:left w:val="nil"/>
              <w:bottom w:val="single" w:sz="12" w:space="0" w:color="auto"/>
              <w:right w:val="single" w:sz="4" w:space="0" w:color="FFFFFF"/>
            </w:tcBorders>
            <w:shd w:val="clear" w:color="000000" w:fill="D9D9D9"/>
            <w:noWrap/>
            <w:vAlign w:val="center"/>
            <w:hideMark/>
          </w:tcPr>
          <w:p w14:paraId="24D8C1B4" w14:textId="2506FDE4" w:rsidR="0047687A" w:rsidRPr="005734B8" w:rsidRDefault="00EE3FB9" w:rsidP="000F48B1">
            <w:pPr>
              <w:jc w:val="right"/>
              <w:rPr>
                <w:rFonts w:ascii="Calibri" w:hAnsi="Calibri" w:cs="Calibri"/>
                <w:b/>
                <w:sz w:val="18"/>
                <w:szCs w:val="18"/>
              </w:rPr>
            </w:pPr>
            <w:r w:rsidRPr="005734B8">
              <w:rPr>
                <w:rFonts w:ascii="Calibri" w:hAnsi="Calibri" w:cs="Calibri"/>
                <w:sz w:val="18"/>
                <w:szCs w:val="18"/>
              </w:rPr>
              <w:t>–</w:t>
            </w:r>
          </w:p>
        </w:tc>
        <w:tc>
          <w:tcPr>
            <w:tcW w:w="1227" w:type="dxa"/>
            <w:tcBorders>
              <w:top w:val="single" w:sz="12" w:space="0" w:color="auto"/>
              <w:left w:val="nil"/>
              <w:bottom w:val="single" w:sz="12" w:space="0" w:color="auto"/>
              <w:right w:val="single" w:sz="4" w:space="0" w:color="FFFFFF"/>
            </w:tcBorders>
            <w:shd w:val="clear" w:color="000000" w:fill="D9D9D9"/>
            <w:noWrap/>
            <w:vAlign w:val="center"/>
            <w:hideMark/>
          </w:tcPr>
          <w:p w14:paraId="2A8BC97E" w14:textId="659DB66B" w:rsidR="0047687A" w:rsidRPr="005734B8" w:rsidRDefault="00EE3FB9" w:rsidP="000F48B1">
            <w:pPr>
              <w:jc w:val="right"/>
              <w:rPr>
                <w:rFonts w:ascii="Calibri" w:hAnsi="Calibri" w:cs="Calibri"/>
                <w:b/>
                <w:sz w:val="18"/>
                <w:szCs w:val="18"/>
              </w:rPr>
            </w:pPr>
            <w:r w:rsidRPr="005734B8">
              <w:rPr>
                <w:rFonts w:ascii="Calibri" w:hAnsi="Calibri" w:cs="Calibri"/>
                <w:sz w:val="18"/>
                <w:szCs w:val="18"/>
              </w:rPr>
              <w:t>–</w:t>
            </w:r>
          </w:p>
        </w:tc>
        <w:tc>
          <w:tcPr>
            <w:tcW w:w="1032" w:type="dxa"/>
            <w:tcBorders>
              <w:top w:val="single" w:sz="12" w:space="0" w:color="auto"/>
              <w:left w:val="nil"/>
              <w:bottom w:val="single" w:sz="12" w:space="0" w:color="auto"/>
              <w:right w:val="single" w:sz="4" w:space="0" w:color="FFFFFF"/>
            </w:tcBorders>
            <w:shd w:val="clear" w:color="000000" w:fill="D9D9D9"/>
            <w:noWrap/>
            <w:vAlign w:val="center"/>
            <w:hideMark/>
          </w:tcPr>
          <w:p w14:paraId="4FBDBBF7"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660.4 </w:t>
            </w:r>
          </w:p>
        </w:tc>
        <w:tc>
          <w:tcPr>
            <w:tcW w:w="1032" w:type="dxa"/>
            <w:tcBorders>
              <w:top w:val="single" w:sz="12" w:space="0" w:color="auto"/>
              <w:left w:val="nil"/>
              <w:bottom w:val="single" w:sz="12" w:space="0" w:color="auto"/>
              <w:right w:val="single" w:sz="4" w:space="0" w:color="FFFFFF"/>
            </w:tcBorders>
            <w:shd w:val="clear" w:color="000000" w:fill="D9D9D9"/>
            <w:noWrap/>
            <w:vAlign w:val="center"/>
            <w:hideMark/>
          </w:tcPr>
          <w:p w14:paraId="3CE0E0BA" w14:textId="20D52E07" w:rsidR="0047687A" w:rsidRPr="005734B8" w:rsidRDefault="00244FF7" w:rsidP="000F48B1">
            <w:pPr>
              <w:jc w:val="right"/>
              <w:rPr>
                <w:rFonts w:ascii="Calibri" w:hAnsi="Calibri" w:cs="Calibri"/>
                <w:b/>
                <w:sz w:val="18"/>
                <w:szCs w:val="18"/>
              </w:rPr>
            </w:pPr>
            <w:r w:rsidRPr="005734B8">
              <w:rPr>
                <w:rFonts w:ascii="Calibri" w:hAnsi="Calibri" w:cs="Calibri"/>
                <w:b/>
                <w:sz w:val="18"/>
                <w:szCs w:val="18"/>
              </w:rPr>
              <w:softHyphen/>
            </w:r>
            <w:r w:rsidR="00EE3FB9" w:rsidRPr="005734B8">
              <w:rPr>
                <w:rFonts w:ascii="Calibri" w:hAnsi="Calibri" w:cs="Calibri"/>
                <w:sz w:val="18"/>
                <w:szCs w:val="18"/>
              </w:rPr>
              <w:t>–</w:t>
            </w:r>
            <w:r w:rsidR="0047687A" w:rsidRPr="005734B8">
              <w:rPr>
                <w:rFonts w:ascii="Calibri" w:hAnsi="Calibri" w:cs="Calibri"/>
                <w:b/>
                <w:sz w:val="18"/>
                <w:szCs w:val="18"/>
              </w:rPr>
              <w:t xml:space="preserve"> </w:t>
            </w:r>
          </w:p>
        </w:tc>
        <w:tc>
          <w:tcPr>
            <w:tcW w:w="1032" w:type="dxa"/>
            <w:tcBorders>
              <w:top w:val="single" w:sz="12" w:space="0" w:color="auto"/>
              <w:left w:val="nil"/>
              <w:bottom w:val="single" w:sz="12" w:space="0" w:color="auto"/>
              <w:right w:val="single" w:sz="4" w:space="0" w:color="FFFFFF"/>
            </w:tcBorders>
            <w:shd w:val="clear" w:color="000000" w:fill="D9D9D9"/>
            <w:noWrap/>
            <w:vAlign w:val="center"/>
            <w:hideMark/>
          </w:tcPr>
          <w:p w14:paraId="1A1A0BED"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215.0 </w:t>
            </w:r>
          </w:p>
        </w:tc>
        <w:tc>
          <w:tcPr>
            <w:tcW w:w="1028" w:type="dxa"/>
            <w:tcBorders>
              <w:top w:val="single" w:sz="12" w:space="0" w:color="auto"/>
              <w:left w:val="nil"/>
              <w:bottom w:val="single" w:sz="12" w:space="0" w:color="auto"/>
              <w:right w:val="single" w:sz="4" w:space="0" w:color="FFFFFF"/>
            </w:tcBorders>
            <w:shd w:val="clear" w:color="000000" w:fill="D9D9D9"/>
            <w:noWrap/>
            <w:vAlign w:val="center"/>
            <w:hideMark/>
          </w:tcPr>
          <w:p w14:paraId="74483A18" w14:textId="1DD3A861" w:rsidR="0047687A" w:rsidRPr="005734B8" w:rsidRDefault="00EE3FB9" w:rsidP="000F48B1">
            <w:pPr>
              <w:jc w:val="right"/>
              <w:rPr>
                <w:rFonts w:ascii="Calibri" w:hAnsi="Calibri" w:cs="Calibri"/>
                <w:b/>
                <w:sz w:val="18"/>
                <w:szCs w:val="18"/>
              </w:rPr>
            </w:pPr>
            <w:r w:rsidRPr="005734B8">
              <w:rPr>
                <w:rFonts w:ascii="Calibri" w:hAnsi="Calibri" w:cs="Calibri"/>
                <w:sz w:val="18"/>
                <w:szCs w:val="18"/>
              </w:rPr>
              <w:t>–</w:t>
            </w:r>
          </w:p>
        </w:tc>
        <w:tc>
          <w:tcPr>
            <w:tcW w:w="1405" w:type="dxa"/>
            <w:tcBorders>
              <w:top w:val="single" w:sz="12" w:space="0" w:color="auto"/>
              <w:left w:val="nil"/>
              <w:bottom w:val="single" w:sz="12" w:space="0" w:color="auto"/>
              <w:right w:val="single" w:sz="4" w:space="0" w:color="FFFFFF"/>
            </w:tcBorders>
            <w:shd w:val="clear" w:color="000000" w:fill="D9D9D9"/>
            <w:noWrap/>
            <w:vAlign w:val="center"/>
            <w:hideMark/>
          </w:tcPr>
          <w:p w14:paraId="11E99100"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17,586.0 </w:t>
            </w:r>
          </w:p>
        </w:tc>
        <w:tc>
          <w:tcPr>
            <w:tcW w:w="1398" w:type="dxa"/>
            <w:tcBorders>
              <w:top w:val="single" w:sz="12" w:space="0" w:color="auto"/>
              <w:left w:val="nil"/>
              <w:bottom w:val="single" w:sz="12" w:space="0" w:color="auto"/>
              <w:right w:val="single" w:sz="4" w:space="0" w:color="FFFFFF"/>
            </w:tcBorders>
            <w:shd w:val="clear" w:color="000000" w:fill="D9D9D9"/>
            <w:noWrap/>
            <w:vAlign w:val="center"/>
            <w:hideMark/>
          </w:tcPr>
          <w:p w14:paraId="486C5E3A"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17,049.6 </w:t>
            </w:r>
          </w:p>
        </w:tc>
        <w:tc>
          <w:tcPr>
            <w:tcW w:w="1098" w:type="dxa"/>
            <w:tcBorders>
              <w:top w:val="single" w:sz="12" w:space="0" w:color="auto"/>
              <w:left w:val="nil"/>
              <w:bottom w:val="single" w:sz="12" w:space="0" w:color="auto"/>
              <w:right w:val="single" w:sz="4" w:space="0" w:color="FFFFFF"/>
            </w:tcBorders>
            <w:shd w:val="clear" w:color="000000" w:fill="D9D9D9"/>
            <w:noWrap/>
            <w:vAlign w:val="center"/>
            <w:hideMark/>
          </w:tcPr>
          <w:p w14:paraId="0067BDE0"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536.4 </w:t>
            </w:r>
          </w:p>
        </w:tc>
      </w:tr>
    </w:tbl>
    <w:p w14:paraId="454707E7" w14:textId="77777777" w:rsidR="0047687A" w:rsidRPr="005734B8" w:rsidRDefault="0047687A" w:rsidP="0047687A">
      <w:pPr>
        <w:rPr>
          <w:rFonts w:ascii="Calibri" w:hAnsi="Calibri" w:cs="Calibri"/>
          <w:color w:val="FFFFFF" w:themeColor="background1"/>
        </w:rPr>
      </w:pPr>
      <w:r w:rsidRPr="005734B8">
        <w:rPr>
          <w:rFonts w:ascii="Calibri" w:hAnsi="Calibri" w:cs="Calibri"/>
          <w:color w:val="FFFFFF" w:themeColor="background1"/>
        </w:rPr>
        <w:br w:type="page"/>
      </w:r>
    </w:p>
    <w:p w14:paraId="5106F99D" w14:textId="77777777" w:rsidR="0047687A" w:rsidRPr="005734B8" w:rsidRDefault="0047687A" w:rsidP="0047687A">
      <w:pPr>
        <w:rPr>
          <w:rFonts w:ascii="Calibri" w:hAnsi="Calibri" w:cs="Calibri"/>
          <w:color w:val="FFFFFF" w:themeColor="background1"/>
        </w:rPr>
      </w:pPr>
    </w:p>
    <w:p w14:paraId="13A2EDEE" w14:textId="77777777" w:rsidR="0047687A" w:rsidRPr="005734B8" w:rsidRDefault="0047687A" w:rsidP="0047687A">
      <w:pPr>
        <w:rPr>
          <w:rFonts w:ascii="Calibri" w:hAnsi="Calibri" w:cs="Calibri"/>
          <w:color w:val="FFFFFF" w:themeColor="background1"/>
        </w:rPr>
      </w:pPr>
    </w:p>
    <w:p w14:paraId="6C8E7A88" w14:textId="77777777" w:rsidR="0047687A" w:rsidRPr="005734B8" w:rsidRDefault="0047687A" w:rsidP="0047687A">
      <w:pPr>
        <w:rPr>
          <w:rFonts w:ascii="Calibri" w:hAnsi="Calibri" w:cs="Calibri"/>
          <w:color w:val="FFFFFF" w:themeColor="background1"/>
        </w:rPr>
        <w:sectPr w:rsidR="0047687A" w:rsidRPr="005734B8" w:rsidSect="000F48B1">
          <w:type w:val="continuous"/>
          <w:pgSz w:w="16838" w:h="11906" w:orient="landscape" w:code="9"/>
          <w:pgMar w:top="1418" w:right="1440" w:bottom="1134" w:left="1440" w:header="958" w:footer="737" w:gutter="0"/>
          <w:cols w:space="708"/>
          <w:docGrid w:linePitch="360"/>
        </w:sectPr>
      </w:pPr>
    </w:p>
    <w:p w14:paraId="30FFA0A7" w14:textId="77777777" w:rsidR="0047687A" w:rsidRPr="005734B8" w:rsidRDefault="0047687A" w:rsidP="0047687A">
      <w:pPr>
        <w:rPr>
          <w:rFonts w:ascii="Calibri" w:hAnsi="Calibri" w:cs="Calibri"/>
        </w:rPr>
      </w:pPr>
    </w:p>
    <w:tbl>
      <w:tblPr>
        <w:tblW w:w="13946" w:type="dxa"/>
        <w:tblInd w:w="75" w:type="dxa"/>
        <w:tblLayout w:type="fixed"/>
        <w:tblLook w:val="04A0" w:firstRow="1" w:lastRow="0" w:firstColumn="1" w:lastColumn="0" w:noHBand="0" w:noVBand="1"/>
      </w:tblPr>
      <w:tblGrid>
        <w:gridCol w:w="1578"/>
        <w:gridCol w:w="1295"/>
        <w:gridCol w:w="1295"/>
        <w:gridCol w:w="1296"/>
        <w:gridCol w:w="1088"/>
        <w:gridCol w:w="1087"/>
        <w:gridCol w:w="1087"/>
        <w:gridCol w:w="1087"/>
        <w:gridCol w:w="1485"/>
        <w:gridCol w:w="1485"/>
        <w:gridCol w:w="1163"/>
      </w:tblGrid>
      <w:tr w:rsidR="0047687A" w:rsidRPr="005734B8" w14:paraId="093E2CE9" w14:textId="77777777" w:rsidTr="000F48B1">
        <w:trPr>
          <w:trHeight w:val="675"/>
        </w:trPr>
        <w:tc>
          <w:tcPr>
            <w:tcW w:w="1578" w:type="dxa"/>
            <w:tcBorders>
              <w:top w:val="single" w:sz="4" w:space="0" w:color="FFFFFF"/>
              <w:left w:val="single" w:sz="4" w:space="0" w:color="FFFFFF"/>
              <w:bottom w:val="single" w:sz="4" w:space="0" w:color="auto"/>
              <w:right w:val="single" w:sz="4" w:space="0" w:color="FFFFFF"/>
            </w:tcBorders>
            <w:shd w:val="clear" w:color="000000" w:fill="000000"/>
            <w:hideMark/>
          </w:tcPr>
          <w:p w14:paraId="59C2FA36" w14:textId="77777777" w:rsidR="0047687A" w:rsidRPr="005734B8" w:rsidRDefault="0047687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1295" w:type="dxa"/>
            <w:tcBorders>
              <w:top w:val="single" w:sz="4" w:space="0" w:color="FFFFFF"/>
              <w:left w:val="nil"/>
              <w:bottom w:val="single" w:sz="4" w:space="0" w:color="auto"/>
              <w:right w:val="single" w:sz="4" w:space="0" w:color="FFFFFF"/>
            </w:tcBorders>
            <w:shd w:val="clear" w:color="000000" w:fill="000000"/>
            <w:hideMark/>
          </w:tcPr>
          <w:p w14:paraId="2805D7C3" w14:textId="77777777" w:rsidR="0047687A" w:rsidRPr="005734B8" w:rsidRDefault="0047687A" w:rsidP="000F48B1">
            <w:pPr>
              <w:jc w:val="right"/>
              <w:rPr>
                <w:rFonts w:ascii="Calibri" w:hAnsi="Calibri" w:cs="Calibri"/>
                <w:b/>
                <w:color w:val="FFFFFF"/>
                <w:sz w:val="16"/>
                <w:szCs w:val="16"/>
              </w:rPr>
            </w:pPr>
            <w:r w:rsidRPr="005734B8">
              <w:rPr>
                <w:rFonts w:ascii="Calibri" w:hAnsi="Calibri" w:cs="Calibri"/>
                <w:b/>
                <w:color w:val="FFFFFF"/>
                <w:sz w:val="16"/>
                <w:szCs w:val="16"/>
              </w:rPr>
              <w:t>Annual appropriation</w:t>
            </w:r>
          </w:p>
        </w:tc>
        <w:tc>
          <w:tcPr>
            <w:tcW w:w="1295" w:type="dxa"/>
            <w:tcBorders>
              <w:top w:val="single" w:sz="4" w:space="0" w:color="FFFFFF"/>
              <w:left w:val="nil"/>
              <w:bottom w:val="single" w:sz="4" w:space="0" w:color="auto"/>
              <w:right w:val="single" w:sz="4" w:space="0" w:color="FFFFFF"/>
            </w:tcBorders>
            <w:shd w:val="clear" w:color="000000" w:fill="000000"/>
            <w:hideMark/>
          </w:tcPr>
          <w:p w14:paraId="03332E22" w14:textId="77777777" w:rsidR="0047687A" w:rsidRPr="005734B8" w:rsidRDefault="0047687A" w:rsidP="000F48B1">
            <w:pPr>
              <w:jc w:val="right"/>
              <w:rPr>
                <w:rFonts w:ascii="Calibri" w:hAnsi="Calibri" w:cs="Calibri"/>
                <w:b/>
                <w:color w:val="FFFFFF"/>
                <w:sz w:val="16"/>
                <w:szCs w:val="16"/>
              </w:rPr>
            </w:pPr>
            <w:r w:rsidRPr="005734B8">
              <w:rPr>
                <w:rFonts w:ascii="Calibri" w:hAnsi="Calibri" w:cs="Calibri"/>
                <w:b/>
                <w:color w:val="FFFFFF"/>
                <w:sz w:val="16"/>
                <w:szCs w:val="16"/>
              </w:rPr>
              <w:t>Advance from Treasurer</w:t>
            </w:r>
          </w:p>
        </w:tc>
        <w:tc>
          <w:tcPr>
            <w:tcW w:w="1296" w:type="dxa"/>
            <w:tcBorders>
              <w:top w:val="single" w:sz="4" w:space="0" w:color="FFFFFF"/>
              <w:left w:val="nil"/>
              <w:bottom w:val="single" w:sz="4" w:space="0" w:color="auto"/>
              <w:right w:val="single" w:sz="4" w:space="0" w:color="FFFFFF"/>
            </w:tcBorders>
            <w:shd w:val="clear" w:color="000000" w:fill="000000"/>
            <w:hideMark/>
          </w:tcPr>
          <w:p w14:paraId="5D7D7D1B" w14:textId="77777777" w:rsidR="0047687A" w:rsidRPr="005734B8" w:rsidRDefault="0047687A" w:rsidP="000F48B1">
            <w:pPr>
              <w:jc w:val="right"/>
              <w:rPr>
                <w:rFonts w:ascii="Calibri" w:hAnsi="Calibri" w:cs="Calibri"/>
                <w:b/>
                <w:color w:val="FFFFFF"/>
                <w:sz w:val="16"/>
                <w:szCs w:val="16"/>
              </w:rPr>
            </w:pPr>
            <w:r w:rsidRPr="005734B8">
              <w:rPr>
                <w:rFonts w:ascii="Calibri" w:hAnsi="Calibri" w:cs="Calibri"/>
                <w:b/>
                <w:color w:val="FFFFFF"/>
                <w:sz w:val="16"/>
                <w:szCs w:val="16"/>
              </w:rPr>
              <w:t>Section 3(2)</w:t>
            </w:r>
          </w:p>
        </w:tc>
        <w:tc>
          <w:tcPr>
            <w:tcW w:w="1088" w:type="dxa"/>
            <w:tcBorders>
              <w:top w:val="single" w:sz="4" w:space="0" w:color="FFFFFF"/>
              <w:left w:val="nil"/>
              <w:bottom w:val="single" w:sz="4" w:space="0" w:color="auto"/>
              <w:right w:val="single" w:sz="4" w:space="0" w:color="FFFFFF"/>
            </w:tcBorders>
            <w:shd w:val="clear" w:color="000000" w:fill="000000"/>
            <w:hideMark/>
          </w:tcPr>
          <w:p w14:paraId="32355BD7" w14:textId="77777777" w:rsidR="0047687A" w:rsidRPr="005734B8" w:rsidRDefault="0047687A" w:rsidP="000F48B1">
            <w:pPr>
              <w:jc w:val="right"/>
              <w:rPr>
                <w:rFonts w:ascii="Calibri" w:hAnsi="Calibri" w:cs="Calibri"/>
                <w:b/>
                <w:color w:val="FFFFFF"/>
                <w:sz w:val="16"/>
                <w:szCs w:val="16"/>
              </w:rPr>
            </w:pPr>
            <w:r w:rsidRPr="005734B8">
              <w:rPr>
                <w:rFonts w:ascii="Calibri" w:hAnsi="Calibri" w:cs="Calibri"/>
                <w:b/>
                <w:color w:val="FFFFFF"/>
                <w:sz w:val="16"/>
                <w:szCs w:val="16"/>
              </w:rPr>
              <w:t>Section 29</w:t>
            </w:r>
          </w:p>
        </w:tc>
        <w:tc>
          <w:tcPr>
            <w:tcW w:w="1087" w:type="dxa"/>
            <w:tcBorders>
              <w:top w:val="single" w:sz="4" w:space="0" w:color="FFFFFF"/>
              <w:left w:val="nil"/>
              <w:bottom w:val="single" w:sz="4" w:space="0" w:color="auto"/>
              <w:right w:val="single" w:sz="4" w:space="0" w:color="FFFFFF"/>
            </w:tcBorders>
            <w:shd w:val="clear" w:color="000000" w:fill="000000"/>
            <w:hideMark/>
          </w:tcPr>
          <w:p w14:paraId="44110838" w14:textId="77777777" w:rsidR="0047687A" w:rsidRPr="005734B8" w:rsidRDefault="0047687A" w:rsidP="000F48B1">
            <w:pPr>
              <w:jc w:val="right"/>
              <w:rPr>
                <w:rFonts w:ascii="Calibri" w:hAnsi="Calibri" w:cs="Calibri"/>
                <w:b/>
                <w:color w:val="FFFFFF"/>
                <w:sz w:val="16"/>
                <w:szCs w:val="16"/>
              </w:rPr>
            </w:pPr>
            <w:r w:rsidRPr="005734B8">
              <w:rPr>
                <w:rFonts w:ascii="Calibri" w:hAnsi="Calibri" w:cs="Calibri"/>
                <w:b/>
                <w:color w:val="FFFFFF"/>
                <w:sz w:val="16"/>
                <w:szCs w:val="16"/>
              </w:rPr>
              <w:t>Section 30</w:t>
            </w:r>
            <w:r w:rsidRPr="005734B8">
              <w:rPr>
                <w:rStyle w:val="FootnoteReference"/>
                <w:rFonts w:ascii="Calibri" w:hAnsi="Calibri" w:cs="Calibri"/>
                <w:b/>
                <w:color w:val="FFFFFF"/>
                <w:sz w:val="16"/>
                <w:szCs w:val="16"/>
              </w:rPr>
              <w:footnoteReference w:id="74"/>
            </w:r>
          </w:p>
        </w:tc>
        <w:tc>
          <w:tcPr>
            <w:tcW w:w="1087" w:type="dxa"/>
            <w:tcBorders>
              <w:top w:val="single" w:sz="4" w:space="0" w:color="FFFFFF"/>
              <w:left w:val="nil"/>
              <w:bottom w:val="single" w:sz="4" w:space="0" w:color="auto"/>
              <w:right w:val="single" w:sz="4" w:space="0" w:color="FFFFFF"/>
            </w:tcBorders>
            <w:shd w:val="clear" w:color="000000" w:fill="000000"/>
            <w:hideMark/>
          </w:tcPr>
          <w:p w14:paraId="5C752043" w14:textId="77777777" w:rsidR="0047687A" w:rsidRPr="005734B8" w:rsidRDefault="0047687A" w:rsidP="000F48B1">
            <w:pPr>
              <w:jc w:val="right"/>
              <w:rPr>
                <w:rFonts w:ascii="Calibri" w:hAnsi="Calibri" w:cs="Calibri"/>
                <w:b/>
                <w:color w:val="FFFFFF"/>
                <w:sz w:val="16"/>
                <w:szCs w:val="16"/>
              </w:rPr>
            </w:pPr>
            <w:r w:rsidRPr="005734B8">
              <w:rPr>
                <w:rFonts w:ascii="Calibri" w:hAnsi="Calibri" w:cs="Calibri"/>
                <w:b/>
                <w:color w:val="FFFFFF"/>
                <w:sz w:val="16"/>
                <w:szCs w:val="16"/>
              </w:rPr>
              <w:t>Section 32</w:t>
            </w:r>
          </w:p>
        </w:tc>
        <w:tc>
          <w:tcPr>
            <w:tcW w:w="1087" w:type="dxa"/>
            <w:tcBorders>
              <w:top w:val="single" w:sz="4" w:space="0" w:color="FFFFFF"/>
              <w:left w:val="nil"/>
              <w:bottom w:val="single" w:sz="4" w:space="0" w:color="auto"/>
              <w:right w:val="single" w:sz="4" w:space="0" w:color="FFFFFF"/>
            </w:tcBorders>
            <w:shd w:val="clear" w:color="000000" w:fill="000000"/>
            <w:hideMark/>
          </w:tcPr>
          <w:p w14:paraId="146394F7" w14:textId="77777777" w:rsidR="0047687A" w:rsidRPr="005734B8" w:rsidRDefault="0047687A" w:rsidP="000F48B1">
            <w:pPr>
              <w:jc w:val="right"/>
              <w:rPr>
                <w:rFonts w:ascii="Calibri" w:hAnsi="Calibri" w:cs="Calibri"/>
                <w:b/>
                <w:color w:val="FFFFFF"/>
                <w:sz w:val="16"/>
                <w:szCs w:val="16"/>
              </w:rPr>
            </w:pPr>
            <w:r w:rsidRPr="005734B8">
              <w:rPr>
                <w:rFonts w:ascii="Calibri" w:hAnsi="Calibri" w:cs="Calibri"/>
                <w:b/>
                <w:color w:val="FFFFFF"/>
                <w:sz w:val="16"/>
                <w:szCs w:val="16"/>
              </w:rPr>
              <w:t>Section 35 advances</w:t>
            </w:r>
          </w:p>
        </w:tc>
        <w:tc>
          <w:tcPr>
            <w:tcW w:w="1485" w:type="dxa"/>
            <w:tcBorders>
              <w:top w:val="single" w:sz="4" w:space="0" w:color="FFFFFF"/>
              <w:left w:val="nil"/>
              <w:bottom w:val="single" w:sz="4" w:space="0" w:color="auto"/>
              <w:right w:val="single" w:sz="4" w:space="0" w:color="FFFFFF"/>
            </w:tcBorders>
            <w:shd w:val="clear" w:color="000000" w:fill="000000"/>
            <w:hideMark/>
          </w:tcPr>
          <w:p w14:paraId="4B568D6A" w14:textId="77777777" w:rsidR="0047687A" w:rsidRPr="005734B8" w:rsidRDefault="0047687A" w:rsidP="000F48B1">
            <w:pPr>
              <w:jc w:val="right"/>
              <w:rPr>
                <w:rFonts w:ascii="Calibri" w:hAnsi="Calibri" w:cs="Calibri"/>
                <w:b/>
                <w:color w:val="FFFFFF"/>
                <w:sz w:val="16"/>
                <w:szCs w:val="16"/>
              </w:rPr>
            </w:pPr>
            <w:r w:rsidRPr="005734B8">
              <w:rPr>
                <w:rFonts w:ascii="Calibri" w:hAnsi="Calibri" w:cs="Calibri"/>
                <w:b/>
                <w:color w:val="FFFFFF"/>
                <w:sz w:val="16"/>
                <w:szCs w:val="16"/>
              </w:rPr>
              <w:t>Total parliamentary authority</w:t>
            </w:r>
          </w:p>
        </w:tc>
        <w:tc>
          <w:tcPr>
            <w:tcW w:w="1485" w:type="dxa"/>
            <w:tcBorders>
              <w:top w:val="single" w:sz="4" w:space="0" w:color="FFFFFF"/>
              <w:left w:val="nil"/>
              <w:bottom w:val="single" w:sz="4" w:space="0" w:color="auto"/>
              <w:right w:val="single" w:sz="4" w:space="0" w:color="FFFFFF"/>
            </w:tcBorders>
            <w:shd w:val="clear" w:color="000000" w:fill="000000"/>
            <w:hideMark/>
          </w:tcPr>
          <w:p w14:paraId="527BF280" w14:textId="77777777" w:rsidR="0047687A" w:rsidRPr="005734B8" w:rsidRDefault="0047687A" w:rsidP="000F48B1">
            <w:pPr>
              <w:jc w:val="right"/>
              <w:rPr>
                <w:rFonts w:ascii="Calibri" w:hAnsi="Calibri" w:cs="Calibri"/>
                <w:b/>
                <w:color w:val="FFFFFF"/>
                <w:sz w:val="16"/>
                <w:szCs w:val="16"/>
              </w:rPr>
            </w:pPr>
            <w:r w:rsidRPr="005734B8">
              <w:rPr>
                <w:rFonts w:ascii="Calibri" w:hAnsi="Calibri" w:cs="Calibri"/>
                <w:b/>
                <w:color w:val="FFFFFF"/>
                <w:sz w:val="16"/>
                <w:szCs w:val="16"/>
              </w:rPr>
              <w:t>Appropriations applied</w:t>
            </w:r>
          </w:p>
        </w:tc>
        <w:tc>
          <w:tcPr>
            <w:tcW w:w="1163" w:type="dxa"/>
            <w:tcBorders>
              <w:top w:val="single" w:sz="4" w:space="0" w:color="FFFFFF"/>
              <w:left w:val="nil"/>
              <w:bottom w:val="single" w:sz="4" w:space="0" w:color="auto"/>
              <w:right w:val="single" w:sz="4" w:space="0" w:color="FFFFFF"/>
            </w:tcBorders>
            <w:shd w:val="clear" w:color="000000" w:fill="000000"/>
            <w:hideMark/>
          </w:tcPr>
          <w:p w14:paraId="7812EDEA" w14:textId="77777777" w:rsidR="0047687A" w:rsidRPr="005734B8" w:rsidRDefault="0047687A" w:rsidP="000F48B1">
            <w:pPr>
              <w:jc w:val="right"/>
              <w:rPr>
                <w:rFonts w:ascii="Calibri" w:hAnsi="Calibri" w:cs="Calibri"/>
                <w:b/>
                <w:color w:val="FFFFFF"/>
                <w:sz w:val="16"/>
                <w:szCs w:val="16"/>
              </w:rPr>
            </w:pPr>
            <w:r w:rsidRPr="005734B8">
              <w:rPr>
                <w:rFonts w:ascii="Calibri" w:hAnsi="Calibri" w:cs="Calibri"/>
                <w:b/>
                <w:color w:val="FFFFFF"/>
                <w:sz w:val="16"/>
                <w:szCs w:val="16"/>
              </w:rPr>
              <w:t>Variance</w:t>
            </w:r>
            <w:r w:rsidRPr="005734B8">
              <w:rPr>
                <w:rStyle w:val="FootnoteReference"/>
                <w:rFonts w:ascii="Calibri" w:hAnsi="Calibri" w:cs="Calibri"/>
                <w:b/>
                <w:color w:val="FFFFFF"/>
                <w:sz w:val="16"/>
                <w:szCs w:val="16"/>
              </w:rPr>
              <w:footnoteReference w:id="75"/>
            </w:r>
          </w:p>
        </w:tc>
      </w:tr>
      <w:tr w:rsidR="0047687A" w:rsidRPr="005734B8" w14:paraId="7D75D434" w14:textId="77777777" w:rsidTr="000F48B1">
        <w:trPr>
          <w:trHeight w:val="255"/>
        </w:trPr>
        <w:tc>
          <w:tcPr>
            <w:tcW w:w="1578"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314DA6B6"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2020 Controlled</w:t>
            </w:r>
          </w:p>
        </w:tc>
        <w:tc>
          <w:tcPr>
            <w:tcW w:w="1295" w:type="dxa"/>
            <w:tcBorders>
              <w:top w:val="single" w:sz="4" w:space="0" w:color="auto"/>
              <w:left w:val="nil"/>
              <w:bottom w:val="single" w:sz="4" w:space="0" w:color="auto"/>
              <w:right w:val="single" w:sz="4" w:space="0" w:color="FFFFFF"/>
            </w:tcBorders>
            <w:shd w:val="clear" w:color="FFFFFF" w:fill="FFFFFF"/>
            <w:noWrap/>
            <w:vAlign w:val="center"/>
            <w:hideMark/>
          </w:tcPr>
          <w:p w14:paraId="0B015336"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295" w:type="dxa"/>
            <w:tcBorders>
              <w:top w:val="single" w:sz="4" w:space="0" w:color="auto"/>
              <w:left w:val="nil"/>
              <w:bottom w:val="single" w:sz="4" w:space="0" w:color="auto"/>
              <w:right w:val="single" w:sz="4" w:space="0" w:color="FFFFFF"/>
            </w:tcBorders>
            <w:shd w:val="clear" w:color="FFFFFF" w:fill="FFFFFF"/>
            <w:noWrap/>
            <w:vAlign w:val="center"/>
            <w:hideMark/>
          </w:tcPr>
          <w:p w14:paraId="4CE1EFD8"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296" w:type="dxa"/>
            <w:tcBorders>
              <w:top w:val="single" w:sz="4" w:space="0" w:color="auto"/>
              <w:left w:val="nil"/>
              <w:bottom w:val="single" w:sz="4" w:space="0" w:color="auto"/>
              <w:right w:val="single" w:sz="4" w:space="0" w:color="FFFFFF"/>
            </w:tcBorders>
            <w:shd w:val="clear" w:color="FFFFFF" w:fill="FFFFFF"/>
            <w:noWrap/>
            <w:vAlign w:val="center"/>
            <w:hideMark/>
          </w:tcPr>
          <w:p w14:paraId="12BB1846"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088" w:type="dxa"/>
            <w:tcBorders>
              <w:top w:val="single" w:sz="4" w:space="0" w:color="auto"/>
              <w:left w:val="nil"/>
              <w:bottom w:val="single" w:sz="4" w:space="0" w:color="auto"/>
              <w:right w:val="single" w:sz="4" w:space="0" w:color="FFFFFF"/>
            </w:tcBorders>
            <w:shd w:val="clear" w:color="FFFFFF" w:fill="FFFFFF"/>
            <w:noWrap/>
            <w:vAlign w:val="center"/>
            <w:hideMark/>
          </w:tcPr>
          <w:p w14:paraId="2E9EF100"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087" w:type="dxa"/>
            <w:tcBorders>
              <w:top w:val="single" w:sz="4" w:space="0" w:color="auto"/>
              <w:left w:val="nil"/>
              <w:bottom w:val="single" w:sz="4" w:space="0" w:color="auto"/>
              <w:right w:val="single" w:sz="4" w:space="0" w:color="FFFFFF"/>
            </w:tcBorders>
            <w:shd w:val="clear" w:color="FFFFFF" w:fill="FFFFFF"/>
            <w:noWrap/>
            <w:vAlign w:val="center"/>
            <w:hideMark/>
          </w:tcPr>
          <w:p w14:paraId="22904FFD"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087" w:type="dxa"/>
            <w:tcBorders>
              <w:top w:val="single" w:sz="4" w:space="0" w:color="auto"/>
              <w:left w:val="nil"/>
              <w:bottom w:val="single" w:sz="4" w:space="0" w:color="auto"/>
              <w:right w:val="single" w:sz="4" w:space="0" w:color="FFFFFF"/>
            </w:tcBorders>
            <w:shd w:val="clear" w:color="FFFFFF" w:fill="FFFFFF"/>
            <w:noWrap/>
            <w:vAlign w:val="center"/>
            <w:hideMark/>
          </w:tcPr>
          <w:p w14:paraId="15595F3A"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087" w:type="dxa"/>
            <w:tcBorders>
              <w:top w:val="single" w:sz="4" w:space="0" w:color="auto"/>
              <w:left w:val="nil"/>
              <w:bottom w:val="single" w:sz="4" w:space="0" w:color="auto"/>
              <w:right w:val="single" w:sz="4" w:space="0" w:color="FFFFFF"/>
            </w:tcBorders>
            <w:shd w:val="clear" w:color="FFFFFF" w:fill="FFFFFF"/>
            <w:noWrap/>
            <w:vAlign w:val="center"/>
            <w:hideMark/>
          </w:tcPr>
          <w:p w14:paraId="20A6DE08"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485" w:type="dxa"/>
            <w:tcBorders>
              <w:top w:val="single" w:sz="4" w:space="0" w:color="auto"/>
              <w:left w:val="nil"/>
              <w:bottom w:val="single" w:sz="4" w:space="0" w:color="auto"/>
              <w:right w:val="single" w:sz="4" w:space="0" w:color="FFFFFF"/>
            </w:tcBorders>
            <w:shd w:val="clear" w:color="FFFFFF" w:fill="FFFFFF"/>
            <w:noWrap/>
            <w:vAlign w:val="center"/>
            <w:hideMark/>
          </w:tcPr>
          <w:p w14:paraId="3CA0A7F5"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485" w:type="dxa"/>
            <w:tcBorders>
              <w:top w:val="single" w:sz="4" w:space="0" w:color="auto"/>
              <w:left w:val="nil"/>
              <w:bottom w:val="single" w:sz="4" w:space="0" w:color="auto"/>
              <w:right w:val="single" w:sz="4" w:space="0" w:color="FFFFFF"/>
            </w:tcBorders>
            <w:shd w:val="clear" w:color="FFFFFF" w:fill="FFFFFF"/>
            <w:noWrap/>
            <w:vAlign w:val="center"/>
            <w:hideMark/>
          </w:tcPr>
          <w:p w14:paraId="7A582DAE"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163" w:type="dxa"/>
            <w:tcBorders>
              <w:top w:val="single" w:sz="4" w:space="0" w:color="auto"/>
              <w:left w:val="nil"/>
              <w:bottom w:val="single" w:sz="4" w:space="0" w:color="auto"/>
              <w:right w:val="single" w:sz="4" w:space="0" w:color="FFFFFF"/>
            </w:tcBorders>
            <w:shd w:val="clear" w:color="FFFFFF" w:fill="FFFFFF"/>
            <w:noWrap/>
            <w:vAlign w:val="center"/>
            <w:hideMark/>
          </w:tcPr>
          <w:p w14:paraId="23DD5796"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r>
      <w:tr w:rsidR="0047687A" w:rsidRPr="005734B8" w14:paraId="6F6BC4BA" w14:textId="77777777" w:rsidTr="000F48B1">
        <w:trPr>
          <w:trHeight w:val="480"/>
        </w:trPr>
        <w:tc>
          <w:tcPr>
            <w:tcW w:w="1578" w:type="dxa"/>
            <w:tcBorders>
              <w:top w:val="nil"/>
              <w:left w:val="single" w:sz="4" w:space="0" w:color="FFFFFF"/>
              <w:bottom w:val="single" w:sz="4" w:space="0" w:color="auto"/>
              <w:right w:val="single" w:sz="4" w:space="0" w:color="FFFFFF"/>
            </w:tcBorders>
            <w:shd w:val="clear" w:color="FFFFFF" w:fill="FFFFFF"/>
            <w:vAlign w:val="center"/>
            <w:hideMark/>
          </w:tcPr>
          <w:p w14:paraId="2C5AD05E"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Provisions for outputs</w:t>
            </w:r>
          </w:p>
        </w:tc>
        <w:tc>
          <w:tcPr>
            <w:tcW w:w="1295" w:type="dxa"/>
            <w:tcBorders>
              <w:top w:val="nil"/>
              <w:left w:val="nil"/>
              <w:bottom w:val="single" w:sz="4" w:space="0" w:color="auto"/>
              <w:right w:val="single" w:sz="4" w:space="0" w:color="FFFFFF"/>
            </w:tcBorders>
            <w:shd w:val="clear" w:color="FFFFFF" w:fill="FFFFFF"/>
            <w:noWrap/>
            <w:vAlign w:val="center"/>
            <w:hideMark/>
          </w:tcPr>
          <w:p w14:paraId="32F87B31"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13,968.3 </w:t>
            </w:r>
          </w:p>
        </w:tc>
        <w:tc>
          <w:tcPr>
            <w:tcW w:w="1295" w:type="dxa"/>
            <w:tcBorders>
              <w:top w:val="nil"/>
              <w:left w:val="nil"/>
              <w:bottom w:val="single" w:sz="4" w:space="0" w:color="auto"/>
              <w:right w:val="single" w:sz="4" w:space="0" w:color="FFFFFF"/>
            </w:tcBorders>
            <w:shd w:val="clear" w:color="FFFFFF" w:fill="FFFFFF"/>
            <w:noWrap/>
            <w:vAlign w:val="center"/>
            <w:hideMark/>
          </w:tcPr>
          <w:p w14:paraId="019AE6DD"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342.6 </w:t>
            </w:r>
          </w:p>
        </w:tc>
        <w:tc>
          <w:tcPr>
            <w:tcW w:w="1296" w:type="dxa"/>
            <w:tcBorders>
              <w:top w:val="nil"/>
              <w:left w:val="nil"/>
              <w:bottom w:val="single" w:sz="4" w:space="0" w:color="auto"/>
              <w:right w:val="single" w:sz="4" w:space="0" w:color="FFFFFF"/>
            </w:tcBorders>
            <w:shd w:val="clear" w:color="FFFFFF" w:fill="FFFFFF"/>
            <w:noWrap/>
            <w:vAlign w:val="center"/>
            <w:hideMark/>
          </w:tcPr>
          <w:p w14:paraId="2E975A84" w14:textId="21EBEFD7" w:rsidR="0047687A" w:rsidRPr="005734B8" w:rsidRDefault="00EE3FB9" w:rsidP="000F48B1">
            <w:pPr>
              <w:jc w:val="right"/>
              <w:rPr>
                <w:rFonts w:ascii="Calibri" w:hAnsi="Calibri" w:cs="Calibri"/>
                <w:sz w:val="18"/>
                <w:szCs w:val="18"/>
              </w:rPr>
            </w:pPr>
            <w:r w:rsidRPr="005734B8">
              <w:rPr>
                <w:rFonts w:ascii="Calibri" w:hAnsi="Calibri" w:cs="Calibri"/>
                <w:sz w:val="18"/>
                <w:szCs w:val="18"/>
              </w:rPr>
              <w:t>–</w:t>
            </w:r>
          </w:p>
        </w:tc>
        <w:tc>
          <w:tcPr>
            <w:tcW w:w="1088" w:type="dxa"/>
            <w:tcBorders>
              <w:top w:val="nil"/>
              <w:left w:val="nil"/>
              <w:bottom w:val="single" w:sz="4" w:space="0" w:color="auto"/>
              <w:right w:val="single" w:sz="4" w:space="0" w:color="FFFFFF"/>
            </w:tcBorders>
            <w:shd w:val="clear" w:color="FFFFFF" w:fill="FFFFFF"/>
            <w:noWrap/>
            <w:vAlign w:val="center"/>
            <w:hideMark/>
          </w:tcPr>
          <w:p w14:paraId="7F785690"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634.8 </w:t>
            </w:r>
          </w:p>
        </w:tc>
        <w:tc>
          <w:tcPr>
            <w:tcW w:w="1087" w:type="dxa"/>
            <w:tcBorders>
              <w:top w:val="nil"/>
              <w:left w:val="nil"/>
              <w:bottom w:val="single" w:sz="4" w:space="0" w:color="auto"/>
              <w:right w:val="single" w:sz="4" w:space="0" w:color="FFFFFF"/>
            </w:tcBorders>
            <w:shd w:val="clear" w:color="FFFFFF" w:fill="FFFFFF"/>
            <w:noWrap/>
            <w:vAlign w:val="center"/>
            <w:hideMark/>
          </w:tcPr>
          <w:p w14:paraId="469DCB22"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(21.5) </w:t>
            </w:r>
          </w:p>
        </w:tc>
        <w:tc>
          <w:tcPr>
            <w:tcW w:w="1087" w:type="dxa"/>
            <w:tcBorders>
              <w:top w:val="nil"/>
              <w:left w:val="nil"/>
              <w:bottom w:val="single" w:sz="4" w:space="0" w:color="auto"/>
              <w:right w:val="single" w:sz="4" w:space="0" w:color="FFFFFF"/>
            </w:tcBorders>
            <w:shd w:val="clear" w:color="FFFFFF" w:fill="FFFFFF"/>
            <w:noWrap/>
            <w:vAlign w:val="center"/>
            <w:hideMark/>
          </w:tcPr>
          <w:p w14:paraId="2E86C07A"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37.5 </w:t>
            </w:r>
          </w:p>
        </w:tc>
        <w:tc>
          <w:tcPr>
            <w:tcW w:w="1087" w:type="dxa"/>
            <w:tcBorders>
              <w:top w:val="nil"/>
              <w:left w:val="nil"/>
              <w:bottom w:val="single" w:sz="4" w:space="0" w:color="auto"/>
              <w:right w:val="single" w:sz="4" w:space="0" w:color="FFFFFF"/>
            </w:tcBorders>
            <w:shd w:val="clear" w:color="FFFFFF" w:fill="FFFFFF"/>
            <w:noWrap/>
            <w:vAlign w:val="center"/>
            <w:hideMark/>
          </w:tcPr>
          <w:p w14:paraId="0292DC18" w14:textId="30EEB33A" w:rsidR="0047687A" w:rsidRPr="005734B8" w:rsidRDefault="00EE3FB9" w:rsidP="000F48B1">
            <w:pPr>
              <w:jc w:val="right"/>
              <w:rPr>
                <w:rFonts w:ascii="Calibri" w:hAnsi="Calibri" w:cs="Calibri"/>
                <w:sz w:val="18"/>
                <w:szCs w:val="18"/>
              </w:rPr>
            </w:pPr>
            <w:r w:rsidRPr="005734B8">
              <w:rPr>
                <w:rFonts w:ascii="Calibri" w:hAnsi="Calibri" w:cs="Calibri"/>
                <w:sz w:val="18"/>
                <w:szCs w:val="18"/>
              </w:rPr>
              <w:t>–</w:t>
            </w:r>
          </w:p>
        </w:tc>
        <w:tc>
          <w:tcPr>
            <w:tcW w:w="1485" w:type="dxa"/>
            <w:tcBorders>
              <w:top w:val="nil"/>
              <w:left w:val="nil"/>
              <w:bottom w:val="single" w:sz="4" w:space="0" w:color="auto"/>
              <w:right w:val="single" w:sz="4" w:space="0" w:color="FFFFFF"/>
            </w:tcBorders>
            <w:shd w:val="clear" w:color="FFFFFF" w:fill="FFFFFF"/>
            <w:noWrap/>
            <w:vAlign w:val="center"/>
            <w:hideMark/>
          </w:tcPr>
          <w:p w14:paraId="57123B0A"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14,961.7 </w:t>
            </w:r>
          </w:p>
        </w:tc>
        <w:tc>
          <w:tcPr>
            <w:tcW w:w="1485" w:type="dxa"/>
            <w:tcBorders>
              <w:top w:val="nil"/>
              <w:left w:val="nil"/>
              <w:bottom w:val="single" w:sz="4" w:space="0" w:color="auto"/>
              <w:right w:val="single" w:sz="4" w:space="0" w:color="FFFFFF"/>
            </w:tcBorders>
            <w:shd w:val="clear" w:color="FFFFFF" w:fill="FFFFFF"/>
            <w:noWrap/>
            <w:vAlign w:val="center"/>
            <w:hideMark/>
          </w:tcPr>
          <w:p w14:paraId="716FE2EC"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14,887.5 </w:t>
            </w:r>
          </w:p>
        </w:tc>
        <w:tc>
          <w:tcPr>
            <w:tcW w:w="1163" w:type="dxa"/>
            <w:tcBorders>
              <w:top w:val="nil"/>
              <w:left w:val="nil"/>
              <w:bottom w:val="single" w:sz="4" w:space="0" w:color="auto"/>
              <w:right w:val="single" w:sz="4" w:space="0" w:color="FFFFFF"/>
            </w:tcBorders>
            <w:shd w:val="clear" w:color="FFFFFF" w:fill="FFFFFF"/>
            <w:noWrap/>
            <w:vAlign w:val="center"/>
            <w:hideMark/>
          </w:tcPr>
          <w:p w14:paraId="6C6164FA"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74.2 </w:t>
            </w:r>
          </w:p>
        </w:tc>
      </w:tr>
      <w:tr w:rsidR="0047687A" w:rsidRPr="005734B8" w14:paraId="2B2960BD" w14:textId="77777777" w:rsidTr="000F48B1">
        <w:trPr>
          <w:trHeight w:val="495"/>
        </w:trPr>
        <w:tc>
          <w:tcPr>
            <w:tcW w:w="1578" w:type="dxa"/>
            <w:tcBorders>
              <w:top w:val="nil"/>
              <w:left w:val="single" w:sz="4" w:space="0" w:color="FFFFFF"/>
              <w:bottom w:val="single" w:sz="4" w:space="0" w:color="auto"/>
              <w:right w:val="single" w:sz="4" w:space="0" w:color="FFFFFF"/>
            </w:tcBorders>
            <w:shd w:val="clear" w:color="FFFFFF" w:fill="FFFFFF"/>
            <w:vAlign w:val="center"/>
            <w:hideMark/>
          </w:tcPr>
          <w:p w14:paraId="146701CB"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Additions to net assets</w:t>
            </w:r>
          </w:p>
        </w:tc>
        <w:tc>
          <w:tcPr>
            <w:tcW w:w="1295" w:type="dxa"/>
            <w:tcBorders>
              <w:top w:val="nil"/>
              <w:left w:val="nil"/>
              <w:bottom w:val="single" w:sz="4" w:space="0" w:color="auto"/>
              <w:right w:val="single" w:sz="4" w:space="0" w:color="FFFFFF"/>
            </w:tcBorders>
            <w:shd w:val="clear" w:color="FFFFFF" w:fill="FFFFFF"/>
            <w:noWrap/>
            <w:vAlign w:val="center"/>
            <w:hideMark/>
          </w:tcPr>
          <w:p w14:paraId="4EBC83B7"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902.9 </w:t>
            </w:r>
          </w:p>
        </w:tc>
        <w:tc>
          <w:tcPr>
            <w:tcW w:w="1295" w:type="dxa"/>
            <w:tcBorders>
              <w:top w:val="nil"/>
              <w:left w:val="nil"/>
              <w:bottom w:val="single" w:sz="4" w:space="0" w:color="auto"/>
              <w:right w:val="single" w:sz="4" w:space="0" w:color="FFFFFF"/>
            </w:tcBorders>
            <w:shd w:val="clear" w:color="FFFFFF" w:fill="FFFFFF"/>
            <w:noWrap/>
            <w:vAlign w:val="center"/>
            <w:hideMark/>
          </w:tcPr>
          <w:p w14:paraId="3115DB73" w14:textId="58A1F996" w:rsidR="0047687A" w:rsidRPr="005734B8" w:rsidRDefault="00EE3FB9" w:rsidP="000F48B1">
            <w:pPr>
              <w:jc w:val="right"/>
              <w:rPr>
                <w:rFonts w:ascii="Calibri" w:hAnsi="Calibri" w:cs="Calibri"/>
                <w:sz w:val="18"/>
                <w:szCs w:val="18"/>
              </w:rPr>
            </w:pPr>
            <w:r w:rsidRPr="005734B8">
              <w:rPr>
                <w:rFonts w:ascii="Calibri" w:hAnsi="Calibri" w:cs="Calibri"/>
                <w:sz w:val="18"/>
                <w:szCs w:val="18"/>
              </w:rPr>
              <w:t>–</w:t>
            </w:r>
          </w:p>
        </w:tc>
        <w:tc>
          <w:tcPr>
            <w:tcW w:w="1296" w:type="dxa"/>
            <w:tcBorders>
              <w:top w:val="nil"/>
              <w:left w:val="nil"/>
              <w:bottom w:val="single" w:sz="4" w:space="0" w:color="auto"/>
              <w:right w:val="single" w:sz="4" w:space="0" w:color="FFFFFF"/>
            </w:tcBorders>
            <w:shd w:val="clear" w:color="FFFFFF" w:fill="FFFFFF"/>
            <w:noWrap/>
            <w:vAlign w:val="center"/>
            <w:hideMark/>
          </w:tcPr>
          <w:p w14:paraId="2E9087B2" w14:textId="4BBFA0FE" w:rsidR="0047687A" w:rsidRPr="005734B8" w:rsidRDefault="00EE3FB9" w:rsidP="000F48B1">
            <w:pPr>
              <w:jc w:val="right"/>
              <w:rPr>
                <w:rFonts w:ascii="Calibri" w:hAnsi="Calibri" w:cs="Calibri"/>
                <w:sz w:val="18"/>
                <w:szCs w:val="18"/>
              </w:rPr>
            </w:pPr>
            <w:r w:rsidRPr="005734B8">
              <w:rPr>
                <w:rFonts w:ascii="Calibri" w:hAnsi="Calibri" w:cs="Calibri"/>
                <w:sz w:val="18"/>
                <w:szCs w:val="18"/>
              </w:rPr>
              <w:t>–</w:t>
            </w:r>
          </w:p>
        </w:tc>
        <w:tc>
          <w:tcPr>
            <w:tcW w:w="1088" w:type="dxa"/>
            <w:tcBorders>
              <w:top w:val="nil"/>
              <w:left w:val="nil"/>
              <w:bottom w:val="single" w:sz="4" w:space="0" w:color="auto"/>
              <w:right w:val="single" w:sz="4" w:space="0" w:color="FFFFFF"/>
            </w:tcBorders>
            <w:shd w:val="clear" w:color="FFFFFF" w:fill="FFFFFF"/>
            <w:noWrap/>
            <w:vAlign w:val="center"/>
            <w:hideMark/>
          </w:tcPr>
          <w:p w14:paraId="79B284FD"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6.8 </w:t>
            </w:r>
          </w:p>
        </w:tc>
        <w:tc>
          <w:tcPr>
            <w:tcW w:w="1087" w:type="dxa"/>
            <w:tcBorders>
              <w:top w:val="nil"/>
              <w:left w:val="nil"/>
              <w:bottom w:val="single" w:sz="4" w:space="0" w:color="auto"/>
              <w:right w:val="single" w:sz="4" w:space="0" w:color="FFFFFF"/>
            </w:tcBorders>
            <w:shd w:val="clear" w:color="FFFFFF" w:fill="FFFFFF"/>
            <w:noWrap/>
            <w:vAlign w:val="center"/>
            <w:hideMark/>
          </w:tcPr>
          <w:p w14:paraId="50A4C922"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21.5 </w:t>
            </w:r>
          </w:p>
        </w:tc>
        <w:tc>
          <w:tcPr>
            <w:tcW w:w="1087" w:type="dxa"/>
            <w:tcBorders>
              <w:top w:val="nil"/>
              <w:left w:val="nil"/>
              <w:bottom w:val="single" w:sz="4" w:space="0" w:color="auto"/>
              <w:right w:val="single" w:sz="4" w:space="0" w:color="FFFFFF"/>
            </w:tcBorders>
            <w:shd w:val="clear" w:color="FFFFFF" w:fill="FFFFFF"/>
            <w:noWrap/>
            <w:vAlign w:val="center"/>
            <w:hideMark/>
          </w:tcPr>
          <w:p w14:paraId="5CC4F47E"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64.3 </w:t>
            </w:r>
          </w:p>
        </w:tc>
        <w:tc>
          <w:tcPr>
            <w:tcW w:w="1087" w:type="dxa"/>
            <w:tcBorders>
              <w:top w:val="nil"/>
              <w:left w:val="nil"/>
              <w:bottom w:val="single" w:sz="4" w:space="0" w:color="auto"/>
              <w:right w:val="single" w:sz="4" w:space="0" w:color="FFFFFF"/>
            </w:tcBorders>
            <w:shd w:val="clear" w:color="FFFFFF" w:fill="FFFFFF"/>
            <w:noWrap/>
            <w:vAlign w:val="center"/>
            <w:hideMark/>
          </w:tcPr>
          <w:p w14:paraId="0AE46922" w14:textId="5384122F" w:rsidR="0047687A" w:rsidRPr="005734B8" w:rsidRDefault="00EE3FB9" w:rsidP="000F48B1">
            <w:pPr>
              <w:jc w:val="right"/>
              <w:rPr>
                <w:rFonts w:ascii="Calibri" w:hAnsi="Calibri" w:cs="Calibri"/>
                <w:sz w:val="18"/>
                <w:szCs w:val="18"/>
              </w:rPr>
            </w:pPr>
            <w:r w:rsidRPr="005734B8">
              <w:rPr>
                <w:rFonts w:ascii="Calibri" w:hAnsi="Calibri" w:cs="Calibri"/>
                <w:sz w:val="18"/>
                <w:szCs w:val="18"/>
              </w:rPr>
              <w:t>–</w:t>
            </w:r>
          </w:p>
        </w:tc>
        <w:tc>
          <w:tcPr>
            <w:tcW w:w="1485" w:type="dxa"/>
            <w:tcBorders>
              <w:top w:val="nil"/>
              <w:left w:val="nil"/>
              <w:bottom w:val="single" w:sz="4" w:space="0" w:color="auto"/>
              <w:right w:val="single" w:sz="4" w:space="0" w:color="FFFFFF"/>
            </w:tcBorders>
            <w:shd w:val="clear" w:color="FFFFFF" w:fill="FFFFFF"/>
            <w:noWrap/>
            <w:vAlign w:val="center"/>
            <w:hideMark/>
          </w:tcPr>
          <w:p w14:paraId="77A1EB48"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995.5 </w:t>
            </w:r>
          </w:p>
        </w:tc>
        <w:tc>
          <w:tcPr>
            <w:tcW w:w="1485" w:type="dxa"/>
            <w:tcBorders>
              <w:top w:val="nil"/>
              <w:left w:val="nil"/>
              <w:bottom w:val="single" w:sz="4" w:space="0" w:color="auto"/>
              <w:right w:val="single" w:sz="4" w:space="0" w:color="FFFFFF"/>
            </w:tcBorders>
            <w:shd w:val="clear" w:color="FFFFFF" w:fill="FFFFFF"/>
            <w:noWrap/>
            <w:vAlign w:val="center"/>
            <w:hideMark/>
          </w:tcPr>
          <w:p w14:paraId="19CC1043"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503.0 </w:t>
            </w:r>
          </w:p>
        </w:tc>
        <w:tc>
          <w:tcPr>
            <w:tcW w:w="1163" w:type="dxa"/>
            <w:tcBorders>
              <w:top w:val="nil"/>
              <w:left w:val="nil"/>
              <w:bottom w:val="single" w:sz="4" w:space="0" w:color="auto"/>
              <w:right w:val="single" w:sz="4" w:space="0" w:color="FFFFFF"/>
            </w:tcBorders>
            <w:shd w:val="clear" w:color="FFFFFF" w:fill="FFFFFF"/>
            <w:noWrap/>
            <w:vAlign w:val="center"/>
            <w:hideMark/>
          </w:tcPr>
          <w:p w14:paraId="44988B6B"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492.5 </w:t>
            </w:r>
          </w:p>
        </w:tc>
      </w:tr>
      <w:tr w:rsidR="0047687A" w:rsidRPr="005734B8" w14:paraId="2E825594" w14:textId="77777777" w:rsidTr="000F48B1">
        <w:trPr>
          <w:trHeight w:val="285"/>
        </w:trPr>
        <w:tc>
          <w:tcPr>
            <w:tcW w:w="1578"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D70F678"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Total</w:t>
            </w:r>
          </w:p>
        </w:tc>
        <w:tc>
          <w:tcPr>
            <w:tcW w:w="1295" w:type="dxa"/>
            <w:tcBorders>
              <w:top w:val="single" w:sz="12" w:space="0" w:color="auto"/>
              <w:left w:val="nil"/>
              <w:bottom w:val="single" w:sz="12" w:space="0" w:color="auto"/>
              <w:right w:val="nil"/>
            </w:tcBorders>
            <w:shd w:val="clear" w:color="FFFFFF" w:fill="FFFFFF"/>
            <w:noWrap/>
            <w:vAlign w:val="center"/>
            <w:hideMark/>
          </w:tcPr>
          <w:p w14:paraId="21AC4232"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14,871.2 </w:t>
            </w:r>
          </w:p>
        </w:tc>
        <w:tc>
          <w:tcPr>
            <w:tcW w:w="1295" w:type="dxa"/>
            <w:tcBorders>
              <w:top w:val="single" w:sz="12" w:space="0" w:color="auto"/>
              <w:left w:val="nil"/>
              <w:bottom w:val="single" w:sz="12" w:space="0" w:color="auto"/>
              <w:right w:val="nil"/>
            </w:tcBorders>
            <w:shd w:val="clear" w:color="FFFFFF" w:fill="FFFFFF"/>
            <w:noWrap/>
            <w:vAlign w:val="center"/>
            <w:hideMark/>
          </w:tcPr>
          <w:p w14:paraId="68744184"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342.6 </w:t>
            </w:r>
          </w:p>
        </w:tc>
        <w:tc>
          <w:tcPr>
            <w:tcW w:w="1296" w:type="dxa"/>
            <w:tcBorders>
              <w:top w:val="single" w:sz="12" w:space="0" w:color="auto"/>
              <w:left w:val="nil"/>
              <w:bottom w:val="single" w:sz="12" w:space="0" w:color="auto"/>
              <w:right w:val="nil"/>
            </w:tcBorders>
            <w:shd w:val="clear" w:color="FFFFFF" w:fill="FFFFFF"/>
            <w:noWrap/>
            <w:vAlign w:val="center"/>
            <w:hideMark/>
          </w:tcPr>
          <w:p w14:paraId="4F025E7C" w14:textId="605EEF7F" w:rsidR="0047687A" w:rsidRPr="005734B8" w:rsidRDefault="00EE3FB9" w:rsidP="000F48B1">
            <w:pPr>
              <w:jc w:val="right"/>
              <w:rPr>
                <w:rFonts w:ascii="Calibri" w:hAnsi="Calibri" w:cs="Calibri"/>
                <w:b/>
                <w:sz w:val="18"/>
                <w:szCs w:val="18"/>
              </w:rPr>
            </w:pPr>
            <w:r w:rsidRPr="005734B8">
              <w:rPr>
                <w:rFonts w:ascii="Calibri" w:hAnsi="Calibri" w:cs="Calibri"/>
                <w:sz w:val="18"/>
                <w:szCs w:val="18"/>
              </w:rPr>
              <w:t>–</w:t>
            </w:r>
          </w:p>
        </w:tc>
        <w:tc>
          <w:tcPr>
            <w:tcW w:w="1088" w:type="dxa"/>
            <w:tcBorders>
              <w:top w:val="single" w:sz="12" w:space="0" w:color="auto"/>
              <w:left w:val="nil"/>
              <w:bottom w:val="single" w:sz="12" w:space="0" w:color="auto"/>
              <w:right w:val="nil"/>
            </w:tcBorders>
            <w:shd w:val="clear" w:color="FFFFFF" w:fill="FFFFFF"/>
            <w:noWrap/>
            <w:vAlign w:val="center"/>
            <w:hideMark/>
          </w:tcPr>
          <w:p w14:paraId="28EFACB7"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641.6 </w:t>
            </w:r>
          </w:p>
        </w:tc>
        <w:tc>
          <w:tcPr>
            <w:tcW w:w="1087" w:type="dxa"/>
            <w:tcBorders>
              <w:top w:val="single" w:sz="12" w:space="0" w:color="auto"/>
              <w:left w:val="nil"/>
              <w:bottom w:val="single" w:sz="12" w:space="0" w:color="auto"/>
              <w:right w:val="nil"/>
            </w:tcBorders>
            <w:shd w:val="clear" w:color="FFFFFF" w:fill="FFFFFF"/>
            <w:noWrap/>
            <w:vAlign w:val="center"/>
            <w:hideMark/>
          </w:tcPr>
          <w:p w14:paraId="0DC1B104" w14:textId="1AD8A94E" w:rsidR="0047687A" w:rsidRPr="005734B8" w:rsidRDefault="00244FF7" w:rsidP="000F48B1">
            <w:pPr>
              <w:jc w:val="right"/>
              <w:rPr>
                <w:rFonts w:ascii="Calibri" w:hAnsi="Calibri" w:cs="Calibri"/>
                <w:b/>
                <w:sz w:val="18"/>
                <w:szCs w:val="18"/>
              </w:rPr>
            </w:pPr>
            <w:r w:rsidRPr="005734B8">
              <w:rPr>
                <w:rFonts w:ascii="Calibri" w:hAnsi="Calibri" w:cs="Calibri"/>
                <w:b/>
                <w:sz w:val="18"/>
                <w:szCs w:val="18"/>
              </w:rPr>
              <w:softHyphen/>
            </w:r>
            <w:r w:rsidR="00EE3FB9" w:rsidRPr="005734B8">
              <w:rPr>
                <w:rFonts w:ascii="Calibri" w:hAnsi="Calibri" w:cs="Calibri"/>
                <w:sz w:val="18"/>
                <w:szCs w:val="18"/>
              </w:rPr>
              <w:t>–</w:t>
            </w:r>
            <w:r w:rsidR="0047687A" w:rsidRPr="005734B8">
              <w:rPr>
                <w:rFonts w:ascii="Calibri" w:hAnsi="Calibri" w:cs="Calibri"/>
                <w:b/>
                <w:sz w:val="18"/>
                <w:szCs w:val="18"/>
              </w:rPr>
              <w:t xml:space="preserve"> </w:t>
            </w:r>
          </w:p>
        </w:tc>
        <w:tc>
          <w:tcPr>
            <w:tcW w:w="1087" w:type="dxa"/>
            <w:tcBorders>
              <w:top w:val="single" w:sz="12" w:space="0" w:color="auto"/>
              <w:left w:val="nil"/>
              <w:bottom w:val="single" w:sz="12" w:space="0" w:color="auto"/>
              <w:right w:val="nil"/>
            </w:tcBorders>
            <w:shd w:val="clear" w:color="FFFFFF" w:fill="FFFFFF"/>
            <w:noWrap/>
            <w:vAlign w:val="center"/>
            <w:hideMark/>
          </w:tcPr>
          <w:p w14:paraId="5AB09355"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101.8 </w:t>
            </w:r>
          </w:p>
        </w:tc>
        <w:tc>
          <w:tcPr>
            <w:tcW w:w="1087" w:type="dxa"/>
            <w:tcBorders>
              <w:top w:val="single" w:sz="12" w:space="0" w:color="auto"/>
              <w:left w:val="nil"/>
              <w:bottom w:val="single" w:sz="12" w:space="0" w:color="auto"/>
              <w:right w:val="nil"/>
            </w:tcBorders>
            <w:shd w:val="clear" w:color="FFFFFF" w:fill="FFFFFF"/>
            <w:noWrap/>
            <w:vAlign w:val="center"/>
            <w:hideMark/>
          </w:tcPr>
          <w:p w14:paraId="43111C83" w14:textId="66DC1D13" w:rsidR="0047687A" w:rsidRPr="005734B8" w:rsidRDefault="00EE3FB9" w:rsidP="000F48B1">
            <w:pPr>
              <w:jc w:val="right"/>
              <w:rPr>
                <w:rFonts w:ascii="Calibri" w:hAnsi="Calibri" w:cs="Calibri"/>
                <w:b/>
                <w:sz w:val="18"/>
                <w:szCs w:val="18"/>
              </w:rPr>
            </w:pPr>
            <w:r w:rsidRPr="005734B8">
              <w:rPr>
                <w:rFonts w:ascii="Calibri" w:hAnsi="Calibri" w:cs="Calibri"/>
                <w:sz w:val="18"/>
                <w:szCs w:val="18"/>
              </w:rPr>
              <w:t>–</w:t>
            </w:r>
          </w:p>
        </w:tc>
        <w:tc>
          <w:tcPr>
            <w:tcW w:w="1485" w:type="dxa"/>
            <w:tcBorders>
              <w:top w:val="single" w:sz="12" w:space="0" w:color="auto"/>
              <w:left w:val="nil"/>
              <w:bottom w:val="single" w:sz="12" w:space="0" w:color="auto"/>
              <w:right w:val="nil"/>
            </w:tcBorders>
            <w:shd w:val="clear" w:color="FFFFFF" w:fill="FFFFFF"/>
            <w:noWrap/>
            <w:vAlign w:val="center"/>
            <w:hideMark/>
          </w:tcPr>
          <w:p w14:paraId="027FB85E"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15,957.2 </w:t>
            </w:r>
          </w:p>
        </w:tc>
        <w:tc>
          <w:tcPr>
            <w:tcW w:w="1485" w:type="dxa"/>
            <w:tcBorders>
              <w:top w:val="single" w:sz="12" w:space="0" w:color="auto"/>
              <w:left w:val="nil"/>
              <w:bottom w:val="single" w:sz="12" w:space="0" w:color="auto"/>
              <w:right w:val="nil"/>
            </w:tcBorders>
            <w:shd w:val="clear" w:color="FFFFFF" w:fill="FFFFFF"/>
            <w:noWrap/>
            <w:vAlign w:val="center"/>
            <w:hideMark/>
          </w:tcPr>
          <w:p w14:paraId="78D09B67"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15,390.5 </w:t>
            </w:r>
          </w:p>
        </w:tc>
        <w:tc>
          <w:tcPr>
            <w:tcW w:w="1163" w:type="dxa"/>
            <w:tcBorders>
              <w:top w:val="single" w:sz="12" w:space="0" w:color="auto"/>
              <w:left w:val="nil"/>
              <w:bottom w:val="single" w:sz="12" w:space="0" w:color="auto"/>
              <w:right w:val="nil"/>
            </w:tcBorders>
            <w:shd w:val="clear" w:color="FFFFFF" w:fill="FFFFFF"/>
            <w:noWrap/>
            <w:vAlign w:val="center"/>
            <w:hideMark/>
          </w:tcPr>
          <w:p w14:paraId="75E6B388"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566.7 </w:t>
            </w:r>
          </w:p>
        </w:tc>
      </w:tr>
    </w:tbl>
    <w:p w14:paraId="5919DB44" w14:textId="77777777" w:rsidR="0047687A" w:rsidRPr="005734B8" w:rsidRDefault="0047687A" w:rsidP="0047687A">
      <w:pPr>
        <w:rPr>
          <w:rFonts w:ascii="Calibri" w:hAnsi="Calibri" w:cs="Calibri"/>
        </w:rPr>
      </w:pPr>
      <w:bookmarkStart w:id="1261" w:name="_Hlk48745995"/>
    </w:p>
    <w:p w14:paraId="4FFDAB00" w14:textId="77777777" w:rsidR="0047687A" w:rsidRPr="005734B8" w:rsidRDefault="0047687A" w:rsidP="0047687A">
      <w:pPr>
        <w:rPr>
          <w:rFonts w:ascii="Calibri" w:hAnsi="Calibri" w:cs="Calibri"/>
        </w:rPr>
      </w:pPr>
      <w:r w:rsidRPr="005734B8">
        <w:rPr>
          <w:rFonts w:ascii="Calibri" w:hAnsi="Calibri" w:cs="Calibri"/>
        </w:rPr>
        <w:br w:type="page"/>
      </w:r>
    </w:p>
    <w:bookmarkEnd w:id="1261"/>
    <w:p w14:paraId="5195FD09" w14:textId="77777777" w:rsidR="0047687A" w:rsidRPr="005734B8" w:rsidRDefault="0047687A" w:rsidP="0047687A">
      <w:pPr>
        <w:rPr>
          <w:rFonts w:ascii="Calibri" w:hAnsi="Calibri" w:cs="Calibri"/>
        </w:rPr>
        <w:sectPr w:rsidR="0047687A" w:rsidRPr="005734B8" w:rsidSect="000F48B1">
          <w:type w:val="continuous"/>
          <w:pgSz w:w="16838" w:h="11906" w:orient="landscape" w:code="9"/>
          <w:pgMar w:top="1418" w:right="1440" w:bottom="1134" w:left="1440" w:header="958" w:footer="737" w:gutter="0"/>
          <w:pgNumType w:start="21"/>
          <w:cols w:space="708"/>
          <w:docGrid w:linePitch="360"/>
        </w:sectPr>
      </w:pPr>
    </w:p>
    <w:p w14:paraId="02191A8A" w14:textId="77777777" w:rsidR="0047687A" w:rsidRPr="005734B8" w:rsidRDefault="0047687A" w:rsidP="00F06229">
      <w:pPr>
        <w:pStyle w:val="ESHeading3"/>
        <w:ind w:left="0" w:firstLine="0"/>
        <w:rPr>
          <w:rFonts w:ascii="Calibri" w:hAnsi="Calibri" w:cs="Calibri"/>
        </w:rPr>
      </w:pPr>
      <w:bookmarkStart w:id="1262" w:name="_Toc11336348"/>
      <w:bookmarkStart w:id="1263" w:name="_Toc14965574"/>
      <w:r w:rsidRPr="005734B8">
        <w:rPr>
          <w:rFonts w:ascii="Calibri" w:hAnsi="Calibri" w:cs="Calibri"/>
        </w:rPr>
        <w:lastRenderedPageBreak/>
        <w:t>2.3.1 (b) Annotated income agreements appropriations</w:t>
      </w:r>
      <w:bookmarkEnd w:id="1262"/>
      <w:bookmarkEnd w:id="1263"/>
    </w:p>
    <w:p w14:paraId="181BD290" w14:textId="1A392C75" w:rsidR="0047687A" w:rsidRPr="005734B8" w:rsidRDefault="0047687A" w:rsidP="00F06229">
      <w:pPr>
        <w:rPr>
          <w:rFonts w:ascii="Calibri" w:hAnsi="Calibri" w:cs="Calibri"/>
          <w:szCs w:val="22"/>
        </w:rPr>
      </w:pPr>
      <w:r w:rsidRPr="005734B8">
        <w:rPr>
          <w:rFonts w:ascii="Calibri" w:hAnsi="Calibri" w:cs="Calibri"/>
          <w:szCs w:val="22"/>
        </w:rPr>
        <w:t xml:space="preserve">The Department is permitted under section 29 of the FM Act to have certain income annotated to the annual appropriation. The income </w:t>
      </w:r>
      <w:r w:rsidR="00AB3C74" w:rsidRPr="005734B8">
        <w:rPr>
          <w:rFonts w:ascii="Calibri" w:hAnsi="Calibri" w:cs="Calibri"/>
          <w:szCs w:val="22"/>
        </w:rPr>
        <w:t>that</w:t>
      </w:r>
      <w:r w:rsidRPr="005734B8">
        <w:rPr>
          <w:rFonts w:ascii="Calibri" w:hAnsi="Calibri" w:cs="Calibri"/>
          <w:szCs w:val="22"/>
        </w:rPr>
        <w:t xml:space="preserve"> forms part of a section 29 agreement is recognised by the Department and the receipts </w:t>
      </w:r>
      <w:r w:rsidR="00AB3C74" w:rsidRPr="005734B8">
        <w:rPr>
          <w:rFonts w:ascii="Calibri" w:hAnsi="Calibri" w:cs="Calibri"/>
          <w:szCs w:val="22"/>
        </w:rPr>
        <w:t>are</w:t>
      </w:r>
      <w:r w:rsidRPr="005734B8">
        <w:rPr>
          <w:rFonts w:ascii="Calibri" w:hAnsi="Calibri" w:cs="Calibri"/>
          <w:szCs w:val="22"/>
        </w:rPr>
        <w:t xml:space="preserve"> paid into the consolidation fund as an administered item. At the point income is recognised, section</w:t>
      </w:r>
      <w:r w:rsidR="00AB3C74" w:rsidRPr="005734B8">
        <w:rPr>
          <w:rFonts w:ascii="Calibri" w:hAnsi="Calibri" w:cs="Calibri"/>
          <w:szCs w:val="22"/>
        </w:rPr>
        <w:t> </w:t>
      </w:r>
      <w:r w:rsidRPr="005734B8">
        <w:rPr>
          <w:rFonts w:ascii="Calibri" w:hAnsi="Calibri" w:cs="Calibri"/>
          <w:szCs w:val="22"/>
        </w:rPr>
        <w:t>29 provides for an equivalent amount to be added to the annual appropriation.</w:t>
      </w:r>
    </w:p>
    <w:p w14:paraId="7E699B27" w14:textId="77777777" w:rsidR="0047687A" w:rsidRPr="005734B8" w:rsidRDefault="0047687A" w:rsidP="00F06229">
      <w:pPr>
        <w:rPr>
          <w:rFonts w:ascii="Calibri" w:hAnsi="Calibri" w:cs="Calibri"/>
          <w:szCs w:val="22"/>
        </w:rPr>
      </w:pPr>
    </w:p>
    <w:p w14:paraId="34722AE5" w14:textId="77777777" w:rsidR="0047687A" w:rsidRPr="005734B8" w:rsidRDefault="0047687A" w:rsidP="00F06229">
      <w:pPr>
        <w:rPr>
          <w:rFonts w:ascii="Calibri" w:hAnsi="Calibri" w:cs="Calibri"/>
          <w:szCs w:val="22"/>
        </w:rPr>
      </w:pPr>
      <w:r w:rsidRPr="005734B8">
        <w:rPr>
          <w:rFonts w:ascii="Calibri" w:hAnsi="Calibri" w:cs="Calibri"/>
          <w:szCs w:val="22"/>
        </w:rPr>
        <w:t>The following is a listing of the FM Act section 29 annotated income agreements approved by the Treasurer:</w:t>
      </w:r>
    </w:p>
    <w:p w14:paraId="1AE45342" w14:textId="77777777" w:rsidR="0047687A" w:rsidRPr="005734B8" w:rsidRDefault="0047687A" w:rsidP="0047687A">
      <w:pPr>
        <w:rPr>
          <w:rFonts w:ascii="Calibri" w:hAnsi="Calibri" w:cs="Calibri"/>
        </w:rPr>
      </w:pPr>
    </w:p>
    <w:tbl>
      <w:tblPr>
        <w:tblW w:w="7625" w:type="dxa"/>
        <w:tblInd w:w="75" w:type="dxa"/>
        <w:tblLayout w:type="fixed"/>
        <w:tblLook w:val="04A0" w:firstRow="1" w:lastRow="0" w:firstColumn="1" w:lastColumn="0" w:noHBand="0" w:noVBand="1"/>
      </w:tblPr>
      <w:tblGrid>
        <w:gridCol w:w="4285"/>
        <w:gridCol w:w="1032"/>
        <w:gridCol w:w="1154"/>
        <w:gridCol w:w="1154"/>
      </w:tblGrid>
      <w:tr w:rsidR="0047687A" w:rsidRPr="005734B8" w14:paraId="5CECDD98" w14:textId="77777777" w:rsidTr="00EE3FB9">
        <w:trPr>
          <w:trHeight w:val="480"/>
        </w:trPr>
        <w:tc>
          <w:tcPr>
            <w:tcW w:w="4285" w:type="dxa"/>
            <w:tcBorders>
              <w:top w:val="nil"/>
              <w:left w:val="single" w:sz="4" w:space="0" w:color="FFFFFF"/>
              <w:bottom w:val="single" w:sz="4" w:space="0" w:color="FFFFFF"/>
              <w:right w:val="single" w:sz="4" w:space="0" w:color="FFFFFF"/>
            </w:tcBorders>
            <w:shd w:val="clear" w:color="000000" w:fill="AF272F"/>
            <w:vAlign w:val="center"/>
            <w:hideMark/>
          </w:tcPr>
          <w:p w14:paraId="445ACA11" w14:textId="77777777" w:rsidR="0047687A" w:rsidRPr="005734B8" w:rsidRDefault="0047687A" w:rsidP="000F48B1">
            <w:pPr>
              <w:jc w:val="center"/>
              <w:rPr>
                <w:rFonts w:ascii="Calibri" w:hAnsi="Calibri" w:cs="Calibri"/>
                <w:b/>
                <w:color w:val="FFFFFF"/>
                <w:sz w:val="18"/>
                <w:szCs w:val="18"/>
              </w:rPr>
            </w:pPr>
            <w:bookmarkStart w:id="1264" w:name="Note_IAATABLE1" w:colFirst="0" w:colLast="0"/>
            <w:r w:rsidRPr="005734B8">
              <w:rPr>
                <w:rFonts w:ascii="Calibri" w:hAnsi="Calibri" w:cs="Calibri"/>
                <w:b/>
                <w:color w:val="FFFFFF"/>
                <w:sz w:val="18"/>
                <w:szCs w:val="18"/>
              </w:rPr>
              <w:t> </w:t>
            </w:r>
          </w:p>
        </w:tc>
        <w:tc>
          <w:tcPr>
            <w:tcW w:w="1032" w:type="dxa"/>
            <w:tcBorders>
              <w:top w:val="nil"/>
              <w:left w:val="nil"/>
              <w:bottom w:val="single" w:sz="4" w:space="0" w:color="auto"/>
              <w:right w:val="single" w:sz="4" w:space="0" w:color="FFFFFF"/>
            </w:tcBorders>
            <w:shd w:val="clear" w:color="000000" w:fill="AF272F"/>
            <w:hideMark/>
          </w:tcPr>
          <w:p w14:paraId="6A06C5C4" w14:textId="77777777" w:rsidR="0047687A" w:rsidRPr="005734B8" w:rsidRDefault="0047687A" w:rsidP="000F48B1">
            <w:pPr>
              <w:jc w:val="right"/>
              <w:rPr>
                <w:rFonts w:ascii="Calibri" w:hAnsi="Calibri" w:cs="Calibri"/>
                <w:b/>
                <w:color w:val="FFFFFF"/>
                <w:sz w:val="18"/>
                <w:szCs w:val="18"/>
              </w:rPr>
            </w:pPr>
            <w:r w:rsidRPr="005734B8">
              <w:rPr>
                <w:rFonts w:ascii="Calibri" w:hAnsi="Calibri" w:cs="Calibri"/>
                <w:b/>
                <w:color w:val="FFFFFF"/>
                <w:sz w:val="18"/>
                <w:szCs w:val="18"/>
              </w:rPr>
              <w:t>Notes</w:t>
            </w:r>
          </w:p>
        </w:tc>
        <w:tc>
          <w:tcPr>
            <w:tcW w:w="1154" w:type="dxa"/>
            <w:tcBorders>
              <w:top w:val="nil"/>
              <w:left w:val="nil"/>
              <w:bottom w:val="single" w:sz="4" w:space="0" w:color="auto"/>
              <w:right w:val="single" w:sz="4" w:space="0" w:color="FFFFFF"/>
            </w:tcBorders>
            <w:shd w:val="clear" w:color="000000" w:fill="AF272F"/>
            <w:hideMark/>
          </w:tcPr>
          <w:p w14:paraId="20DDD702" w14:textId="77777777" w:rsidR="0047687A" w:rsidRPr="005734B8" w:rsidRDefault="0047687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154" w:type="dxa"/>
            <w:tcBorders>
              <w:top w:val="nil"/>
              <w:left w:val="nil"/>
              <w:bottom w:val="single" w:sz="4" w:space="0" w:color="auto"/>
              <w:right w:val="single" w:sz="4" w:space="0" w:color="FFFFFF"/>
            </w:tcBorders>
            <w:shd w:val="clear" w:color="000000" w:fill="AF272F"/>
            <w:hideMark/>
          </w:tcPr>
          <w:p w14:paraId="798E234B" w14:textId="77777777" w:rsidR="0047687A" w:rsidRPr="005734B8" w:rsidRDefault="0047687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264"/>
      <w:tr w:rsidR="0047687A" w:rsidRPr="005734B8" w14:paraId="0CD78F9E" w14:textId="77777777" w:rsidTr="00EE3FB9">
        <w:trPr>
          <w:trHeight w:val="255"/>
        </w:trPr>
        <w:tc>
          <w:tcPr>
            <w:tcW w:w="4285"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05FDF90C"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Sales of goods and services</w:t>
            </w:r>
          </w:p>
        </w:tc>
        <w:tc>
          <w:tcPr>
            <w:tcW w:w="1032" w:type="dxa"/>
            <w:tcBorders>
              <w:top w:val="nil"/>
              <w:left w:val="nil"/>
              <w:bottom w:val="single" w:sz="4" w:space="0" w:color="auto"/>
              <w:right w:val="single" w:sz="4" w:space="0" w:color="FFFFFF"/>
            </w:tcBorders>
            <w:shd w:val="clear" w:color="000000" w:fill="D9D9D9"/>
            <w:vAlign w:val="bottom"/>
            <w:hideMark/>
          </w:tcPr>
          <w:p w14:paraId="7B47F941"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c>
          <w:tcPr>
            <w:tcW w:w="1154" w:type="dxa"/>
            <w:tcBorders>
              <w:top w:val="nil"/>
              <w:left w:val="nil"/>
              <w:bottom w:val="single" w:sz="4" w:space="0" w:color="auto"/>
              <w:right w:val="single" w:sz="4" w:space="0" w:color="FFFFFF"/>
            </w:tcBorders>
            <w:shd w:val="clear" w:color="000000" w:fill="D9D9D9"/>
            <w:vAlign w:val="bottom"/>
            <w:hideMark/>
          </w:tcPr>
          <w:p w14:paraId="13321FC9"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c>
          <w:tcPr>
            <w:tcW w:w="1154" w:type="dxa"/>
            <w:tcBorders>
              <w:top w:val="nil"/>
              <w:left w:val="nil"/>
              <w:bottom w:val="single" w:sz="4" w:space="0" w:color="auto"/>
              <w:right w:val="single" w:sz="4" w:space="0" w:color="FFFFFF"/>
            </w:tcBorders>
            <w:shd w:val="clear" w:color="000000" w:fill="D9D9D9"/>
            <w:vAlign w:val="bottom"/>
            <w:hideMark/>
          </w:tcPr>
          <w:p w14:paraId="04FA2E86"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r>
      <w:tr w:rsidR="0047687A" w:rsidRPr="005734B8" w14:paraId="4DC4053C" w14:textId="77777777" w:rsidTr="00EE3FB9">
        <w:trPr>
          <w:trHeight w:val="255"/>
        </w:trPr>
        <w:tc>
          <w:tcPr>
            <w:tcW w:w="4285" w:type="dxa"/>
            <w:tcBorders>
              <w:top w:val="nil"/>
              <w:left w:val="single" w:sz="4" w:space="0" w:color="FFFFFF"/>
              <w:bottom w:val="single" w:sz="4" w:space="0" w:color="auto"/>
              <w:right w:val="single" w:sz="4" w:space="0" w:color="FFFFFF"/>
            </w:tcBorders>
            <w:shd w:val="clear" w:color="FFFFFF" w:fill="FFFFFF"/>
            <w:vAlign w:val="center"/>
            <w:hideMark/>
          </w:tcPr>
          <w:p w14:paraId="44AD5812"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Alarms</w:t>
            </w:r>
          </w:p>
        </w:tc>
        <w:tc>
          <w:tcPr>
            <w:tcW w:w="1032" w:type="dxa"/>
            <w:tcBorders>
              <w:top w:val="nil"/>
              <w:left w:val="nil"/>
              <w:bottom w:val="single" w:sz="4" w:space="0" w:color="auto"/>
              <w:right w:val="single" w:sz="4" w:space="0" w:color="FFFFFF"/>
            </w:tcBorders>
            <w:shd w:val="clear" w:color="FFFFFF" w:fill="FFFFFF"/>
            <w:noWrap/>
            <w:vAlign w:val="center"/>
            <w:hideMark/>
          </w:tcPr>
          <w:p w14:paraId="491882CE"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154" w:type="dxa"/>
            <w:tcBorders>
              <w:top w:val="nil"/>
              <w:left w:val="nil"/>
              <w:bottom w:val="single" w:sz="4" w:space="0" w:color="auto"/>
              <w:right w:val="single" w:sz="4" w:space="0" w:color="FFFFFF"/>
            </w:tcBorders>
            <w:shd w:val="clear" w:color="000000" w:fill="D9D9D9"/>
            <w:noWrap/>
            <w:vAlign w:val="center"/>
            <w:hideMark/>
          </w:tcPr>
          <w:p w14:paraId="4C5EF1A0" w14:textId="225EEC50" w:rsidR="0047687A" w:rsidRPr="005734B8" w:rsidRDefault="00EE3FB9" w:rsidP="000F48B1">
            <w:pPr>
              <w:jc w:val="right"/>
              <w:rPr>
                <w:rFonts w:ascii="Calibri" w:hAnsi="Calibri" w:cs="Calibri"/>
                <w:sz w:val="18"/>
                <w:szCs w:val="18"/>
              </w:rPr>
            </w:pPr>
            <w:r w:rsidRPr="005734B8">
              <w:rPr>
                <w:rFonts w:ascii="Calibri" w:hAnsi="Calibri" w:cs="Calibri"/>
                <w:sz w:val="18"/>
                <w:szCs w:val="18"/>
              </w:rPr>
              <w:t>–</w:t>
            </w:r>
            <w:r w:rsidR="0047687A" w:rsidRPr="005734B8">
              <w:rPr>
                <w:rFonts w:ascii="Calibri" w:hAnsi="Calibri" w:cs="Calibri"/>
                <w:sz w:val="18"/>
                <w:szCs w:val="18"/>
              </w:rPr>
              <w:t xml:space="preserve"> </w:t>
            </w:r>
          </w:p>
        </w:tc>
        <w:tc>
          <w:tcPr>
            <w:tcW w:w="1154" w:type="dxa"/>
            <w:tcBorders>
              <w:top w:val="nil"/>
              <w:left w:val="nil"/>
              <w:bottom w:val="single" w:sz="4" w:space="0" w:color="auto"/>
              <w:right w:val="nil"/>
            </w:tcBorders>
            <w:shd w:val="clear" w:color="FFFFFF" w:fill="FFFFFF"/>
            <w:noWrap/>
            <w:vAlign w:val="center"/>
            <w:hideMark/>
          </w:tcPr>
          <w:p w14:paraId="71686A54"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0.1 </w:t>
            </w:r>
          </w:p>
        </w:tc>
      </w:tr>
      <w:tr w:rsidR="0047687A" w:rsidRPr="005734B8" w14:paraId="3E6FAED3" w14:textId="77777777" w:rsidTr="00EE3FB9">
        <w:trPr>
          <w:trHeight w:val="255"/>
        </w:trPr>
        <w:tc>
          <w:tcPr>
            <w:tcW w:w="4285" w:type="dxa"/>
            <w:tcBorders>
              <w:top w:val="nil"/>
              <w:left w:val="single" w:sz="4" w:space="0" w:color="FFFFFF"/>
              <w:bottom w:val="single" w:sz="4" w:space="0" w:color="auto"/>
              <w:right w:val="single" w:sz="4" w:space="0" w:color="FFFFFF"/>
            </w:tcBorders>
            <w:shd w:val="clear" w:color="FFFFFF" w:fill="FFFFFF"/>
            <w:vAlign w:val="center"/>
            <w:hideMark/>
          </w:tcPr>
          <w:p w14:paraId="7409BE36"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Bastow Institute courses and events</w:t>
            </w:r>
          </w:p>
        </w:tc>
        <w:tc>
          <w:tcPr>
            <w:tcW w:w="1032" w:type="dxa"/>
            <w:tcBorders>
              <w:top w:val="nil"/>
              <w:left w:val="nil"/>
              <w:bottom w:val="single" w:sz="4" w:space="0" w:color="auto"/>
              <w:right w:val="single" w:sz="4" w:space="0" w:color="FFFFFF"/>
            </w:tcBorders>
            <w:shd w:val="clear" w:color="FFFFFF" w:fill="FFFFFF"/>
            <w:noWrap/>
            <w:vAlign w:val="center"/>
            <w:hideMark/>
          </w:tcPr>
          <w:p w14:paraId="34D321A4"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154" w:type="dxa"/>
            <w:tcBorders>
              <w:top w:val="nil"/>
              <w:left w:val="nil"/>
              <w:bottom w:val="single" w:sz="4" w:space="0" w:color="auto"/>
              <w:right w:val="single" w:sz="4" w:space="0" w:color="FFFFFF"/>
            </w:tcBorders>
            <w:shd w:val="clear" w:color="000000" w:fill="D9D9D9"/>
            <w:noWrap/>
            <w:vAlign w:val="center"/>
            <w:hideMark/>
          </w:tcPr>
          <w:p w14:paraId="22BE6C84"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0.4 </w:t>
            </w:r>
          </w:p>
        </w:tc>
        <w:tc>
          <w:tcPr>
            <w:tcW w:w="1154" w:type="dxa"/>
            <w:tcBorders>
              <w:top w:val="nil"/>
              <w:left w:val="nil"/>
              <w:bottom w:val="single" w:sz="4" w:space="0" w:color="auto"/>
              <w:right w:val="nil"/>
            </w:tcBorders>
            <w:shd w:val="clear" w:color="FFFFFF" w:fill="FFFFFF"/>
            <w:noWrap/>
            <w:vAlign w:val="center"/>
            <w:hideMark/>
          </w:tcPr>
          <w:p w14:paraId="7E55D8EB"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1.2 </w:t>
            </w:r>
          </w:p>
        </w:tc>
      </w:tr>
      <w:tr w:rsidR="0047687A" w:rsidRPr="005734B8" w14:paraId="0B3DAE67" w14:textId="77777777" w:rsidTr="00EE3FB9">
        <w:trPr>
          <w:trHeight w:val="255"/>
        </w:trPr>
        <w:tc>
          <w:tcPr>
            <w:tcW w:w="4285" w:type="dxa"/>
            <w:tcBorders>
              <w:top w:val="nil"/>
              <w:left w:val="single" w:sz="4" w:space="0" w:color="FFFFFF"/>
              <w:bottom w:val="single" w:sz="4" w:space="0" w:color="auto"/>
              <w:right w:val="single" w:sz="4" w:space="0" w:color="FFFFFF"/>
            </w:tcBorders>
            <w:shd w:val="clear" w:color="FFFFFF" w:fill="FFFFFF"/>
            <w:vAlign w:val="center"/>
            <w:hideMark/>
          </w:tcPr>
          <w:p w14:paraId="5D92AD71"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EduPay administration fees</w:t>
            </w:r>
          </w:p>
        </w:tc>
        <w:tc>
          <w:tcPr>
            <w:tcW w:w="1032" w:type="dxa"/>
            <w:tcBorders>
              <w:top w:val="nil"/>
              <w:left w:val="nil"/>
              <w:bottom w:val="single" w:sz="4" w:space="0" w:color="auto"/>
              <w:right w:val="single" w:sz="4" w:space="0" w:color="FFFFFF"/>
            </w:tcBorders>
            <w:shd w:val="clear" w:color="FFFFFF" w:fill="FFFFFF"/>
            <w:noWrap/>
            <w:vAlign w:val="center"/>
            <w:hideMark/>
          </w:tcPr>
          <w:p w14:paraId="5F14AB41"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154" w:type="dxa"/>
            <w:tcBorders>
              <w:top w:val="nil"/>
              <w:left w:val="nil"/>
              <w:bottom w:val="single" w:sz="4" w:space="0" w:color="auto"/>
              <w:right w:val="single" w:sz="4" w:space="0" w:color="FFFFFF"/>
            </w:tcBorders>
            <w:shd w:val="clear" w:color="000000" w:fill="D9D9D9"/>
            <w:noWrap/>
            <w:vAlign w:val="center"/>
            <w:hideMark/>
          </w:tcPr>
          <w:p w14:paraId="36FAC956"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2.5 </w:t>
            </w:r>
          </w:p>
        </w:tc>
        <w:tc>
          <w:tcPr>
            <w:tcW w:w="1154" w:type="dxa"/>
            <w:tcBorders>
              <w:top w:val="nil"/>
              <w:left w:val="nil"/>
              <w:bottom w:val="single" w:sz="4" w:space="0" w:color="auto"/>
              <w:right w:val="nil"/>
            </w:tcBorders>
            <w:shd w:val="clear" w:color="FFFFFF" w:fill="FFFFFF"/>
            <w:noWrap/>
            <w:vAlign w:val="center"/>
            <w:hideMark/>
          </w:tcPr>
          <w:p w14:paraId="4E0AB139"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2.6 </w:t>
            </w:r>
          </w:p>
        </w:tc>
      </w:tr>
      <w:tr w:rsidR="0047687A" w:rsidRPr="005734B8" w14:paraId="6C3D298B" w14:textId="77777777" w:rsidTr="00EE3FB9">
        <w:trPr>
          <w:trHeight w:val="255"/>
        </w:trPr>
        <w:tc>
          <w:tcPr>
            <w:tcW w:w="4285" w:type="dxa"/>
            <w:tcBorders>
              <w:top w:val="nil"/>
              <w:left w:val="single" w:sz="4" w:space="0" w:color="FFFFFF"/>
              <w:bottom w:val="single" w:sz="4" w:space="0" w:color="auto"/>
              <w:right w:val="single" w:sz="4" w:space="0" w:color="FFFFFF"/>
            </w:tcBorders>
            <w:shd w:val="clear" w:color="FFFFFF" w:fill="FFFFFF"/>
            <w:vAlign w:val="center"/>
            <w:hideMark/>
          </w:tcPr>
          <w:p w14:paraId="58585EF6"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Overseas student program fees</w:t>
            </w:r>
          </w:p>
        </w:tc>
        <w:tc>
          <w:tcPr>
            <w:tcW w:w="1032" w:type="dxa"/>
            <w:tcBorders>
              <w:top w:val="nil"/>
              <w:left w:val="nil"/>
              <w:bottom w:val="single" w:sz="4" w:space="0" w:color="auto"/>
              <w:right w:val="single" w:sz="4" w:space="0" w:color="FFFFFF"/>
            </w:tcBorders>
            <w:shd w:val="clear" w:color="FFFFFF" w:fill="FFFFFF"/>
            <w:noWrap/>
            <w:vAlign w:val="center"/>
            <w:hideMark/>
          </w:tcPr>
          <w:p w14:paraId="513FF063"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154" w:type="dxa"/>
            <w:tcBorders>
              <w:top w:val="nil"/>
              <w:left w:val="nil"/>
              <w:bottom w:val="single" w:sz="4" w:space="0" w:color="auto"/>
              <w:right w:val="single" w:sz="4" w:space="0" w:color="FFFFFF"/>
            </w:tcBorders>
            <w:shd w:val="clear" w:color="000000" w:fill="D9D9D9"/>
            <w:noWrap/>
            <w:vAlign w:val="center"/>
            <w:hideMark/>
          </w:tcPr>
          <w:p w14:paraId="1CF5EAD2"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76.7 </w:t>
            </w:r>
          </w:p>
        </w:tc>
        <w:tc>
          <w:tcPr>
            <w:tcW w:w="1154" w:type="dxa"/>
            <w:tcBorders>
              <w:top w:val="nil"/>
              <w:left w:val="nil"/>
              <w:bottom w:val="single" w:sz="4" w:space="0" w:color="auto"/>
              <w:right w:val="nil"/>
            </w:tcBorders>
            <w:shd w:val="clear" w:color="FFFFFF" w:fill="FFFFFF"/>
            <w:noWrap/>
            <w:vAlign w:val="center"/>
            <w:hideMark/>
          </w:tcPr>
          <w:p w14:paraId="213E4080"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82.8 </w:t>
            </w:r>
          </w:p>
        </w:tc>
      </w:tr>
      <w:tr w:rsidR="0047687A" w:rsidRPr="005734B8" w14:paraId="1E31F364" w14:textId="77777777" w:rsidTr="00EE3FB9">
        <w:trPr>
          <w:trHeight w:val="255"/>
        </w:trPr>
        <w:tc>
          <w:tcPr>
            <w:tcW w:w="4285" w:type="dxa"/>
            <w:tcBorders>
              <w:top w:val="nil"/>
              <w:left w:val="single" w:sz="4" w:space="0" w:color="FFFFFF"/>
              <w:bottom w:val="single" w:sz="4" w:space="0" w:color="auto"/>
              <w:right w:val="single" w:sz="4" w:space="0" w:color="FFFFFF"/>
            </w:tcBorders>
            <w:shd w:val="clear" w:color="FFFFFF" w:fill="FFFFFF"/>
            <w:vAlign w:val="center"/>
            <w:hideMark/>
          </w:tcPr>
          <w:p w14:paraId="016F986F"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Housing rent</w:t>
            </w:r>
          </w:p>
        </w:tc>
        <w:tc>
          <w:tcPr>
            <w:tcW w:w="1032" w:type="dxa"/>
            <w:tcBorders>
              <w:top w:val="nil"/>
              <w:left w:val="nil"/>
              <w:bottom w:val="single" w:sz="4" w:space="0" w:color="auto"/>
              <w:right w:val="single" w:sz="4" w:space="0" w:color="FFFFFF"/>
            </w:tcBorders>
            <w:shd w:val="clear" w:color="FFFFFF" w:fill="FFFFFF"/>
            <w:noWrap/>
            <w:vAlign w:val="center"/>
            <w:hideMark/>
          </w:tcPr>
          <w:p w14:paraId="31379332"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154" w:type="dxa"/>
            <w:tcBorders>
              <w:top w:val="nil"/>
              <w:left w:val="nil"/>
              <w:bottom w:val="single" w:sz="4" w:space="0" w:color="auto"/>
              <w:right w:val="single" w:sz="4" w:space="0" w:color="FFFFFF"/>
            </w:tcBorders>
            <w:shd w:val="clear" w:color="000000" w:fill="D9D9D9"/>
            <w:noWrap/>
            <w:vAlign w:val="center"/>
            <w:hideMark/>
          </w:tcPr>
          <w:p w14:paraId="3C16B9D6"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1.0 </w:t>
            </w:r>
          </w:p>
        </w:tc>
        <w:tc>
          <w:tcPr>
            <w:tcW w:w="1154" w:type="dxa"/>
            <w:tcBorders>
              <w:top w:val="nil"/>
              <w:left w:val="nil"/>
              <w:bottom w:val="single" w:sz="4" w:space="0" w:color="auto"/>
              <w:right w:val="nil"/>
            </w:tcBorders>
            <w:shd w:val="clear" w:color="FFFFFF" w:fill="FFFFFF"/>
            <w:noWrap/>
            <w:vAlign w:val="center"/>
            <w:hideMark/>
          </w:tcPr>
          <w:p w14:paraId="4EE40F76"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1.0 </w:t>
            </w:r>
          </w:p>
        </w:tc>
      </w:tr>
      <w:tr w:rsidR="0047687A" w:rsidRPr="005734B8" w14:paraId="08B998B0" w14:textId="77777777" w:rsidTr="00EE3FB9">
        <w:trPr>
          <w:trHeight w:val="480"/>
        </w:trPr>
        <w:tc>
          <w:tcPr>
            <w:tcW w:w="4285" w:type="dxa"/>
            <w:tcBorders>
              <w:top w:val="nil"/>
              <w:left w:val="single" w:sz="4" w:space="0" w:color="FFFFFF"/>
              <w:bottom w:val="single" w:sz="4" w:space="0" w:color="auto"/>
              <w:right w:val="single" w:sz="4" w:space="0" w:color="FFFFFF"/>
            </w:tcBorders>
            <w:shd w:val="clear" w:color="FFFFFF" w:fill="FFFFFF"/>
            <w:vAlign w:val="center"/>
            <w:hideMark/>
          </w:tcPr>
          <w:p w14:paraId="7D530EC7" w14:textId="48BDDAFE" w:rsidR="0047687A" w:rsidRPr="005734B8" w:rsidRDefault="0047687A" w:rsidP="000F48B1">
            <w:pPr>
              <w:rPr>
                <w:rFonts w:ascii="Calibri" w:hAnsi="Calibri" w:cs="Calibri"/>
                <w:sz w:val="18"/>
                <w:szCs w:val="18"/>
              </w:rPr>
            </w:pPr>
            <w:r w:rsidRPr="005734B8">
              <w:rPr>
                <w:rFonts w:ascii="Calibri" w:hAnsi="Calibri" w:cs="Calibri"/>
                <w:sz w:val="18"/>
                <w:szCs w:val="18"/>
              </w:rPr>
              <w:t xml:space="preserve">National Disability Insurance Agency </w:t>
            </w:r>
            <w:r w:rsidR="00B15F9A" w:rsidRPr="005734B8">
              <w:rPr>
                <w:rFonts w:ascii="Calibri" w:hAnsi="Calibri" w:cs="Calibri"/>
                <w:sz w:val="18"/>
                <w:szCs w:val="18"/>
              </w:rPr>
              <w:t>–</w:t>
            </w:r>
            <w:r w:rsidRPr="005734B8">
              <w:rPr>
                <w:rFonts w:ascii="Calibri" w:hAnsi="Calibri" w:cs="Calibri"/>
                <w:sz w:val="18"/>
                <w:szCs w:val="18"/>
              </w:rPr>
              <w:t xml:space="preserve"> Specialist Children Services</w:t>
            </w:r>
          </w:p>
        </w:tc>
        <w:tc>
          <w:tcPr>
            <w:tcW w:w="1032" w:type="dxa"/>
            <w:tcBorders>
              <w:top w:val="nil"/>
              <w:left w:val="nil"/>
              <w:bottom w:val="single" w:sz="4" w:space="0" w:color="auto"/>
              <w:right w:val="single" w:sz="4" w:space="0" w:color="FFFFFF"/>
            </w:tcBorders>
            <w:shd w:val="clear" w:color="FFFFFF" w:fill="FFFFFF"/>
            <w:noWrap/>
            <w:vAlign w:val="center"/>
            <w:hideMark/>
          </w:tcPr>
          <w:p w14:paraId="766AE51F"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154" w:type="dxa"/>
            <w:tcBorders>
              <w:top w:val="nil"/>
              <w:left w:val="nil"/>
              <w:bottom w:val="single" w:sz="4" w:space="0" w:color="auto"/>
              <w:right w:val="single" w:sz="4" w:space="0" w:color="FFFFFF"/>
            </w:tcBorders>
            <w:shd w:val="clear" w:color="000000" w:fill="D9D9D9"/>
            <w:noWrap/>
            <w:vAlign w:val="center"/>
            <w:hideMark/>
          </w:tcPr>
          <w:p w14:paraId="7DE4C7C6" w14:textId="46F90262" w:rsidR="0047687A" w:rsidRPr="005734B8" w:rsidRDefault="00244FF7" w:rsidP="000F48B1">
            <w:pPr>
              <w:jc w:val="right"/>
              <w:rPr>
                <w:rFonts w:ascii="Calibri" w:hAnsi="Calibri" w:cs="Calibri"/>
                <w:sz w:val="18"/>
                <w:szCs w:val="18"/>
              </w:rPr>
            </w:pPr>
            <w:r w:rsidRPr="005734B8">
              <w:rPr>
                <w:rFonts w:ascii="Calibri" w:hAnsi="Calibri" w:cs="Calibri"/>
                <w:sz w:val="18"/>
                <w:szCs w:val="18"/>
              </w:rPr>
              <w:softHyphen/>
            </w:r>
            <w:r w:rsidR="00EE3FB9" w:rsidRPr="005734B8">
              <w:rPr>
                <w:rFonts w:ascii="Calibri" w:hAnsi="Calibri" w:cs="Calibri"/>
                <w:sz w:val="18"/>
                <w:szCs w:val="18"/>
              </w:rPr>
              <w:t>–</w:t>
            </w:r>
            <w:r w:rsidR="0047687A" w:rsidRPr="005734B8">
              <w:rPr>
                <w:rFonts w:ascii="Calibri" w:hAnsi="Calibri" w:cs="Calibri"/>
                <w:sz w:val="18"/>
                <w:szCs w:val="18"/>
              </w:rPr>
              <w:t xml:space="preserve"> </w:t>
            </w:r>
          </w:p>
        </w:tc>
        <w:tc>
          <w:tcPr>
            <w:tcW w:w="1154" w:type="dxa"/>
            <w:tcBorders>
              <w:top w:val="nil"/>
              <w:left w:val="nil"/>
              <w:bottom w:val="single" w:sz="4" w:space="0" w:color="auto"/>
              <w:right w:val="nil"/>
            </w:tcBorders>
            <w:shd w:val="clear" w:color="FFFFFF" w:fill="FFFFFF"/>
            <w:noWrap/>
            <w:vAlign w:val="center"/>
            <w:hideMark/>
          </w:tcPr>
          <w:p w14:paraId="4CD0FE53"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0.1 </w:t>
            </w:r>
          </w:p>
        </w:tc>
      </w:tr>
      <w:tr w:rsidR="0047687A" w:rsidRPr="005734B8" w14:paraId="61DF1C4C" w14:textId="77777777" w:rsidTr="00EE3FB9">
        <w:trPr>
          <w:trHeight w:val="255"/>
        </w:trPr>
        <w:tc>
          <w:tcPr>
            <w:tcW w:w="4285" w:type="dxa"/>
            <w:tcBorders>
              <w:top w:val="nil"/>
              <w:left w:val="single" w:sz="4" w:space="0" w:color="FFFFFF"/>
              <w:bottom w:val="single" w:sz="4" w:space="0" w:color="auto"/>
              <w:right w:val="single" w:sz="4" w:space="0" w:color="FFFFFF"/>
            </w:tcBorders>
            <w:shd w:val="clear" w:color="FFFFFF" w:fill="FFFFFF"/>
            <w:vAlign w:val="center"/>
            <w:hideMark/>
          </w:tcPr>
          <w:p w14:paraId="532345F1"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School bus fees</w:t>
            </w:r>
          </w:p>
        </w:tc>
        <w:tc>
          <w:tcPr>
            <w:tcW w:w="1032" w:type="dxa"/>
            <w:tcBorders>
              <w:top w:val="nil"/>
              <w:left w:val="nil"/>
              <w:bottom w:val="single" w:sz="4" w:space="0" w:color="auto"/>
              <w:right w:val="single" w:sz="4" w:space="0" w:color="FFFFFF"/>
            </w:tcBorders>
            <w:shd w:val="clear" w:color="FFFFFF" w:fill="FFFFFF"/>
            <w:noWrap/>
            <w:vAlign w:val="center"/>
            <w:hideMark/>
          </w:tcPr>
          <w:p w14:paraId="0B3F1CA0"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154" w:type="dxa"/>
            <w:tcBorders>
              <w:top w:val="nil"/>
              <w:left w:val="nil"/>
              <w:bottom w:val="single" w:sz="4" w:space="0" w:color="auto"/>
              <w:right w:val="single" w:sz="4" w:space="0" w:color="FFFFFF"/>
            </w:tcBorders>
            <w:shd w:val="clear" w:color="000000" w:fill="D9D9D9"/>
            <w:noWrap/>
            <w:vAlign w:val="center"/>
            <w:hideMark/>
          </w:tcPr>
          <w:p w14:paraId="0F39D316"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0.7 </w:t>
            </w:r>
          </w:p>
        </w:tc>
        <w:tc>
          <w:tcPr>
            <w:tcW w:w="1154" w:type="dxa"/>
            <w:tcBorders>
              <w:top w:val="nil"/>
              <w:left w:val="nil"/>
              <w:bottom w:val="single" w:sz="4" w:space="0" w:color="auto"/>
              <w:right w:val="nil"/>
            </w:tcBorders>
            <w:shd w:val="clear" w:color="FFFFFF" w:fill="FFFFFF"/>
            <w:noWrap/>
            <w:vAlign w:val="center"/>
            <w:hideMark/>
          </w:tcPr>
          <w:p w14:paraId="3863A5DF"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0.7 </w:t>
            </w:r>
          </w:p>
        </w:tc>
      </w:tr>
      <w:tr w:rsidR="0047687A" w:rsidRPr="005734B8" w14:paraId="6881C8BA" w14:textId="77777777" w:rsidTr="00EE3FB9">
        <w:trPr>
          <w:trHeight w:val="255"/>
        </w:trPr>
        <w:tc>
          <w:tcPr>
            <w:tcW w:w="4285" w:type="dxa"/>
            <w:tcBorders>
              <w:top w:val="nil"/>
              <w:left w:val="single" w:sz="4" w:space="0" w:color="FFFFFF"/>
              <w:bottom w:val="single" w:sz="4" w:space="0" w:color="auto"/>
              <w:right w:val="single" w:sz="4" w:space="0" w:color="FFFFFF"/>
            </w:tcBorders>
            <w:shd w:val="clear" w:color="FFFFFF" w:fill="FFFFFF"/>
            <w:vAlign w:val="center"/>
            <w:hideMark/>
          </w:tcPr>
          <w:p w14:paraId="474D89F8"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State School Spectacular ticket sales</w:t>
            </w:r>
          </w:p>
        </w:tc>
        <w:tc>
          <w:tcPr>
            <w:tcW w:w="1032" w:type="dxa"/>
            <w:tcBorders>
              <w:top w:val="nil"/>
              <w:left w:val="nil"/>
              <w:bottom w:val="single" w:sz="4" w:space="0" w:color="auto"/>
              <w:right w:val="single" w:sz="4" w:space="0" w:color="FFFFFF"/>
            </w:tcBorders>
            <w:shd w:val="clear" w:color="FFFFFF" w:fill="FFFFFF"/>
            <w:noWrap/>
            <w:vAlign w:val="center"/>
            <w:hideMark/>
          </w:tcPr>
          <w:p w14:paraId="04B2BA53"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154" w:type="dxa"/>
            <w:tcBorders>
              <w:top w:val="nil"/>
              <w:left w:val="nil"/>
              <w:bottom w:val="single" w:sz="4" w:space="0" w:color="auto"/>
              <w:right w:val="single" w:sz="4" w:space="0" w:color="FFFFFF"/>
            </w:tcBorders>
            <w:shd w:val="clear" w:color="000000" w:fill="D9D9D9"/>
            <w:noWrap/>
            <w:vAlign w:val="center"/>
            <w:hideMark/>
          </w:tcPr>
          <w:p w14:paraId="57A2C3B7" w14:textId="61A14D05" w:rsidR="0047687A" w:rsidRPr="005734B8" w:rsidRDefault="00EE3FB9" w:rsidP="000F48B1">
            <w:pPr>
              <w:jc w:val="right"/>
              <w:rPr>
                <w:rFonts w:ascii="Calibri" w:hAnsi="Calibri" w:cs="Calibri"/>
                <w:sz w:val="18"/>
                <w:szCs w:val="18"/>
              </w:rPr>
            </w:pPr>
            <w:r w:rsidRPr="005734B8">
              <w:rPr>
                <w:rFonts w:ascii="Calibri" w:hAnsi="Calibri" w:cs="Calibri"/>
                <w:sz w:val="18"/>
                <w:szCs w:val="18"/>
              </w:rPr>
              <w:t>–</w:t>
            </w:r>
          </w:p>
        </w:tc>
        <w:tc>
          <w:tcPr>
            <w:tcW w:w="1154" w:type="dxa"/>
            <w:tcBorders>
              <w:top w:val="nil"/>
              <w:left w:val="nil"/>
              <w:bottom w:val="single" w:sz="4" w:space="0" w:color="auto"/>
              <w:right w:val="nil"/>
            </w:tcBorders>
            <w:shd w:val="clear" w:color="FFFFFF" w:fill="FFFFFF"/>
            <w:noWrap/>
            <w:vAlign w:val="center"/>
            <w:hideMark/>
          </w:tcPr>
          <w:p w14:paraId="1A3B1AD9"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0.1 </w:t>
            </w:r>
          </w:p>
        </w:tc>
      </w:tr>
      <w:tr w:rsidR="0047687A" w:rsidRPr="005734B8" w14:paraId="7958C03A" w14:textId="77777777" w:rsidTr="00EE3FB9">
        <w:trPr>
          <w:trHeight w:val="255"/>
        </w:trPr>
        <w:tc>
          <w:tcPr>
            <w:tcW w:w="4285" w:type="dxa"/>
            <w:tcBorders>
              <w:top w:val="nil"/>
              <w:left w:val="single" w:sz="4" w:space="0" w:color="FFFFFF"/>
              <w:bottom w:val="single" w:sz="4" w:space="0" w:color="auto"/>
              <w:right w:val="single" w:sz="4" w:space="0" w:color="FFFFFF"/>
            </w:tcBorders>
            <w:shd w:val="clear" w:color="FFFFFF" w:fill="FFFFFF"/>
            <w:vAlign w:val="center"/>
            <w:hideMark/>
          </w:tcPr>
          <w:p w14:paraId="55FE75DD"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Victorian Deaf Institute courses and events</w:t>
            </w:r>
          </w:p>
        </w:tc>
        <w:tc>
          <w:tcPr>
            <w:tcW w:w="1032" w:type="dxa"/>
            <w:tcBorders>
              <w:top w:val="nil"/>
              <w:left w:val="nil"/>
              <w:bottom w:val="single" w:sz="4" w:space="0" w:color="auto"/>
              <w:right w:val="single" w:sz="4" w:space="0" w:color="FFFFFF"/>
            </w:tcBorders>
            <w:shd w:val="clear" w:color="FFFFFF" w:fill="FFFFFF"/>
            <w:noWrap/>
            <w:vAlign w:val="center"/>
            <w:hideMark/>
          </w:tcPr>
          <w:p w14:paraId="1DFC8783"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154" w:type="dxa"/>
            <w:tcBorders>
              <w:top w:val="nil"/>
              <w:left w:val="nil"/>
              <w:bottom w:val="single" w:sz="4" w:space="0" w:color="auto"/>
              <w:right w:val="single" w:sz="4" w:space="0" w:color="FFFFFF"/>
            </w:tcBorders>
            <w:shd w:val="clear" w:color="000000" w:fill="D9D9D9"/>
            <w:noWrap/>
            <w:vAlign w:val="center"/>
            <w:hideMark/>
          </w:tcPr>
          <w:p w14:paraId="7BE77977" w14:textId="255F07C1" w:rsidR="0047687A" w:rsidRPr="005734B8" w:rsidRDefault="00EE3FB9" w:rsidP="000F48B1">
            <w:pPr>
              <w:jc w:val="right"/>
              <w:rPr>
                <w:rFonts w:ascii="Calibri" w:hAnsi="Calibri" w:cs="Calibri"/>
                <w:sz w:val="18"/>
                <w:szCs w:val="18"/>
              </w:rPr>
            </w:pPr>
            <w:r w:rsidRPr="005734B8">
              <w:rPr>
                <w:rFonts w:ascii="Calibri" w:hAnsi="Calibri" w:cs="Calibri"/>
                <w:sz w:val="18"/>
                <w:szCs w:val="18"/>
              </w:rPr>
              <w:t>–</w:t>
            </w:r>
          </w:p>
        </w:tc>
        <w:tc>
          <w:tcPr>
            <w:tcW w:w="1154" w:type="dxa"/>
            <w:tcBorders>
              <w:top w:val="nil"/>
              <w:left w:val="nil"/>
              <w:bottom w:val="single" w:sz="4" w:space="0" w:color="auto"/>
              <w:right w:val="nil"/>
            </w:tcBorders>
            <w:shd w:val="clear" w:color="FFFFFF" w:fill="FFFFFF"/>
            <w:noWrap/>
            <w:vAlign w:val="center"/>
            <w:hideMark/>
          </w:tcPr>
          <w:p w14:paraId="7A2BB201"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0.0 </w:t>
            </w:r>
          </w:p>
        </w:tc>
      </w:tr>
      <w:tr w:rsidR="0047687A" w:rsidRPr="005734B8" w14:paraId="6425B535" w14:textId="77777777" w:rsidTr="00EE3FB9">
        <w:trPr>
          <w:trHeight w:val="270"/>
        </w:trPr>
        <w:tc>
          <w:tcPr>
            <w:tcW w:w="4285" w:type="dxa"/>
            <w:tcBorders>
              <w:top w:val="nil"/>
              <w:left w:val="single" w:sz="4" w:space="0" w:color="FFFFFF"/>
              <w:bottom w:val="single" w:sz="4" w:space="0" w:color="auto"/>
              <w:right w:val="single" w:sz="4" w:space="0" w:color="FFFFFF"/>
            </w:tcBorders>
            <w:shd w:val="clear" w:color="FFFFFF" w:fill="FFFFFF"/>
            <w:vAlign w:val="center"/>
            <w:hideMark/>
          </w:tcPr>
          <w:p w14:paraId="5CD3789D"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VCE offshore</w:t>
            </w:r>
          </w:p>
        </w:tc>
        <w:tc>
          <w:tcPr>
            <w:tcW w:w="1032" w:type="dxa"/>
            <w:tcBorders>
              <w:top w:val="nil"/>
              <w:left w:val="nil"/>
              <w:bottom w:val="single" w:sz="4" w:space="0" w:color="auto"/>
              <w:right w:val="single" w:sz="4" w:space="0" w:color="FFFFFF"/>
            </w:tcBorders>
            <w:shd w:val="clear" w:color="FFFFFF" w:fill="FFFFFF"/>
            <w:noWrap/>
            <w:vAlign w:val="center"/>
            <w:hideMark/>
          </w:tcPr>
          <w:p w14:paraId="37C70F81" w14:textId="77777777" w:rsidR="0047687A" w:rsidRPr="005734B8" w:rsidRDefault="0047687A" w:rsidP="000F48B1">
            <w:pPr>
              <w:jc w:val="right"/>
              <w:rPr>
                <w:rFonts w:ascii="Calibri" w:hAnsi="Calibri" w:cs="Calibri"/>
                <w:sz w:val="18"/>
                <w:szCs w:val="18"/>
              </w:rPr>
            </w:pPr>
          </w:p>
        </w:tc>
        <w:tc>
          <w:tcPr>
            <w:tcW w:w="1154" w:type="dxa"/>
            <w:tcBorders>
              <w:top w:val="nil"/>
              <w:left w:val="nil"/>
              <w:bottom w:val="single" w:sz="4" w:space="0" w:color="auto"/>
              <w:right w:val="single" w:sz="4" w:space="0" w:color="FFFFFF"/>
            </w:tcBorders>
            <w:shd w:val="clear" w:color="000000" w:fill="D9D9D9"/>
            <w:noWrap/>
            <w:vAlign w:val="center"/>
            <w:hideMark/>
          </w:tcPr>
          <w:p w14:paraId="6AAA93FD" w14:textId="6252B59E" w:rsidR="0047687A" w:rsidRPr="005734B8" w:rsidRDefault="00EE3FB9" w:rsidP="000F48B1">
            <w:pPr>
              <w:jc w:val="right"/>
              <w:rPr>
                <w:rFonts w:ascii="Calibri" w:hAnsi="Calibri" w:cs="Calibri"/>
                <w:sz w:val="18"/>
                <w:szCs w:val="18"/>
              </w:rPr>
            </w:pPr>
            <w:r w:rsidRPr="005734B8">
              <w:rPr>
                <w:rFonts w:ascii="Calibri" w:hAnsi="Calibri" w:cs="Calibri"/>
                <w:sz w:val="18"/>
                <w:szCs w:val="18"/>
              </w:rPr>
              <w:t>–</w:t>
            </w:r>
          </w:p>
        </w:tc>
        <w:tc>
          <w:tcPr>
            <w:tcW w:w="1154" w:type="dxa"/>
            <w:tcBorders>
              <w:top w:val="nil"/>
              <w:left w:val="nil"/>
              <w:bottom w:val="single" w:sz="4" w:space="0" w:color="auto"/>
              <w:right w:val="nil"/>
            </w:tcBorders>
            <w:shd w:val="clear" w:color="FFFFFF" w:fill="FFFFFF"/>
            <w:noWrap/>
            <w:vAlign w:val="center"/>
            <w:hideMark/>
          </w:tcPr>
          <w:p w14:paraId="2CFC3FBB"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0.1 </w:t>
            </w:r>
          </w:p>
        </w:tc>
      </w:tr>
      <w:tr w:rsidR="0047687A" w:rsidRPr="005734B8" w14:paraId="47A1603E" w14:textId="77777777" w:rsidTr="00EE3FB9">
        <w:trPr>
          <w:trHeight w:val="285"/>
        </w:trPr>
        <w:tc>
          <w:tcPr>
            <w:tcW w:w="4285"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15A5AF03"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Total</w:t>
            </w:r>
          </w:p>
        </w:tc>
        <w:tc>
          <w:tcPr>
            <w:tcW w:w="1032" w:type="dxa"/>
            <w:tcBorders>
              <w:top w:val="single" w:sz="12" w:space="0" w:color="auto"/>
              <w:left w:val="nil"/>
              <w:bottom w:val="single" w:sz="12" w:space="0" w:color="auto"/>
              <w:right w:val="nil"/>
            </w:tcBorders>
            <w:shd w:val="clear" w:color="FFFFFF" w:fill="FFFFFF"/>
            <w:noWrap/>
            <w:vAlign w:val="bottom"/>
            <w:hideMark/>
          </w:tcPr>
          <w:p w14:paraId="1037CA21"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c>
          <w:tcPr>
            <w:tcW w:w="1154"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475204C4"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81.4 </w:t>
            </w:r>
          </w:p>
        </w:tc>
        <w:tc>
          <w:tcPr>
            <w:tcW w:w="1154" w:type="dxa"/>
            <w:tcBorders>
              <w:top w:val="single" w:sz="12" w:space="0" w:color="auto"/>
              <w:left w:val="nil"/>
              <w:bottom w:val="single" w:sz="12" w:space="0" w:color="auto"/>
              <w:right w:val="single" w:sz="12" w:space="0" w:color="FFFFFF"/>
            </w:tcBorders>
            <w:shd w:val="clear" w:color="FFFFFF" w:fill="FFFFFF"/>
            <w:noWrap/>
            <w:vAlign w:val="center"/>
            <w:hideMark/>
          </w:tcPr>
          <w:p w14:paraId="308DB68F"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88.7 </w:t>
            </w:r>
          </w:p>
        </w:tc>
      </w:tr>
      <w:tr w:rsidR="0047687A" w:rsidRPr="005734B8" w14:paraId="404431F0" w14:textId="77777777" w:rsidTr="00EE3FB9">
        <w:trPr>
          <w:trHeight w:val="270"/>
        </w:trPr>
        <w:tc>
          <w:tcPr>
            <w:tcW w:w="4285" w:type="dxa"/>
            <w:tcBorders>
              <w:top w:val="nil"/>
              <w:left w:val="single" w:sz="4" w:space="0" w:color="FFFFFF"/>
              <w:bottom w:val="single" w:sz="4" w:space="0" w:color="auto"/>
              <w:right w:val="single" w:sz="4" w:space="0" w:color="FFFFFF"/>
            </w:tcBorders>
            <w:shd w:val="clear" w:color="000000" w:fill="D9D9D9"/>
            <w:vAlign w:val="center"/>
            <w:hideMark/>
          </w:tcPr>
          <w:p w14:paraId="14F611A1" w14:textId="14249CD5" w:rsidR="0047687A" w:rsidRPr="005734B8" w:rsidRDefault="0075283F" w:rsidP="000F48B1">
            <w:pPr>
              <w:rPr>
                <w:rFonts w:ascii="Calibri" w:hAnsi="Calibri" w:cs="Calibri"/>
                <w:b/>
                <w:sz w:val="18"/>
                <w:szCs w:val="18"/>
              </w:rPr>
            </w:pPr>
            <w:r w:rsidRPr="005734B8">
              <w:rPr>
                <w:rFonts w:ascii="Calibri" w:hAnsi="Calibri" w:cs="Calibri"/>
                <w:b/>
                <w:sz w:val="18"/>
                <w:szCs w:val="18"/>
              </w:rPr>
              <w:t>Incom</w:t>
            </w:r>
            <w:r w:rsidR="0047687A" w:rsidRPr="005734B8">
              <w:rPr>
                <w:rFonts w:ascii="Calibri" w:hAnsi="Calibri" w:cs="Calibri"/>
                <w:b/>
                <w:sz w:val="18"/>
                <w:szCs w:val="18"/>
              </w:rPr>
              <w:t>e from municipal councils</w:t>
            </w:r>
          </w:p>
        </w:tc>
        <w:tc>
          <w:tcPr>
            <w:tcW w:w="1032" w:type="dxa"/>
            <w:tcBorders>
              <w:top w:val="nil"/>
              <w:left w:val="nil"/>
              <w:bottom w:val="single" w:sz="4" w:space="0" w:color="auto"/>
              <w:right w:val="single" w:sz="4" w:space="0" w:color="FFFFFF"/>
            </w:tcBorders>
            <w:shd w:val="clear" w:color="000000" w:fill="D9D9D9"/>
            <w:vAlign w:val="bottom"/>
            <w:hideMark/>
          </w:tcPr>
          <w:p w14:paraId="3F0EFE91"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c>
          <w:tcPr>
            <w:tcW w:w="1154" w:type="dxa"/>
            <w:tcBorders>
              <w:top w:val="nil"/>
              <w:left w:val="nil"/>
              <w:bottom w:val="single" w:sz="4" w:space="0" w:color="auto"/>
              <w:right w:val="single" w:sz="4" w:space="0" w:color="FFFFFF"/>
            </w:tcBorders>
            <w:shd w:val="clear" w:color="000000" w:fill="D9D9D9"/>
            <w:vAlign w:val="bottom"/>
            <w:hideMark/>
          </w:tcPr>
          <w:p w14:paraId="3D48D98B"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c>
          <w:tcPr>
            <w:tcW w:w="1154" w:type="dxa"/>
            <w:tcBorders>
              <w:top w:val="nil"/>
              <w:left w:val="nil"/>
              <w:bottom w:val="single" w:sz="4" w:space="0" w:color="auto"/>
              <w:right w:val="single" w:sz="4" w:space="0" w:color="FFFFFF"/>
            </w:tcBorders>
            <w:shd w:val="clear" w:color="000000" w:fill="D9D9D9"/>
            <w:vAlign w:val="bottom"/>
            <w:hideMark/>
          </w:tcPr>
          <w:p w14:paraId="2ECE6D4F"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r>
      <w:tr w:rsidR="0047687A" w:rsidRPr="005734B8" w14:paraId="728D0E3B" w14:textId="77777777" w:rsidTr="00EE3FB9">
        <w:trPr>
          <w:trHeight w:val="495"/>
        </w:trPr>
        <w:tc>
          <w:tcPr>
            <w:tcW w:w="4285" w:type="dxa"/>
            <w:tcBorders>
              <w:top w:val="nil"/>
              <w:left w:val="nil"/>
              <w:bottom w:val="single" w:sz="4" w:space="0" w:color="auto"/>
              <w:right w:val="nil"/>
            </w:tcBorders>
            <w:shd w:val="clear" w:color="FFFFFF" w:fill="FFFFFF"/>
            <w:vAlign w:val="bottom"/>
            <w:hideMark/>
          </w:tcPr>
          <w:p w14:paraId="133C8D8C"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Receipts from municipal councils – School capital program</w:t>
            </w:r>
            <w:r w:rsidRPr="005734B8">
              <w:rPr>
                <w:rStyle w:val="FootnoteReference"/>
                <w:rFonts w:ascii="Calibri" w:hAnsi="Calibri" w:cs="Calibri"/>
                <w:sz w:val="18"/>
                <w:szCs w:val="18"/>
              </w:rPr>
              <w:footnoteReference w:id="76"/>
            </w:r>
          </w:p>
        </w:tc>
        <w:tc>
          <w:tcPr>
            <w:tcW w:w="1032" w:type="dxa"/>
            <w:tcBorders>
              <w:top w:val="nil"/>
              <w:left w:val="nil"/>
              <w:bottom w:val="single" w:sz="4" w:space="0" w:color="auto"/>
              <w:right w:val="nil"/>
            </w:tcBorders>
            <w:shd w:val="clear" w:color="FFFFFF" w:fill="FFFFFF"/>
            <w:noWrap/>
            <w:vAlign w:val="center"/>
            <w:hideMark/>
          </w:tcPr>
          <w:p w14:paraId="150EE0AB"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154" w:type="dxa"/>
            <w:tcBorders>
              <w:top w:val="nil"/>
              <w:left w:val="single" w:sz="4" w:space="0" w:color="FFFFFF"/>
              <w:bottom w:val="single" w:sz="4" w:space="0" w:color="auto"/>
              <w:right w:val="single" w:sz="4" w:space="0" w:color="FFFFFF"/>
            </w:tcBorders>
            <w:shd w:val="clear" w:color="000000" w:fill="D9D9D9"/>
            <w:noWrap/>
            <w:vAlign w:val="center"/>
            <w:hideMark/>
          </w:tcPr>
          <w:p w14:paraId="76CDCB6C"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14.9 </w:t>
            </w:r>
          </w:p>
        </w:tc>
        <w:tc>
          <w:tcPr>
            <w:tcW w:w="1154" w:type="dxa"/>
            <w:tcBorders>
              <w:top w:val="nil"/>
              <w:left w:val="nil"/>
              <w:bottom w:val="single" w:sz="4" w:space="0" w:color="auto"/>
              <w:right w:val="nil"/>
            </w:tcBorders>
            <w:shd w:val="clear" w:color="FFFFFF" w:fill="FFFFFF"/>
            <w:noWrap/>
            <w:vAlign w:val="center"/>
            <w:hideMark/>
          </w:tcPr>
          <w:p w14:paraId="5001DD21"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6.8 </w:t>
            </w:r>
          </w:p>
        </w:tc>
      </w:tr>
      <w:tr w:rsidR="0047687A" w:rsidRPr="005734B8" w14:paraId="24CD8DE9" w14:textId="77777777" w:rsidTr="00EE3FB9">
        <w:trPr>
          <w:trHeight w:val="285"/>
        </w:trPr>
        <w:tc>
          <w:tcPr>
            <w:tcW w:w="4285"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2867E612"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Total</w:t>
            </w:r>
          </w:p>
        </w:tc>
        <w:tc>
          <w:tcPr>
            <w:tcW w:w="1032" w:type="dxa"/>
            <w:tcBorders>
              <w:top w:val="single" w:sz="12" w:space="0" w:color="auto"/>
              <w:left w:val="nil"/>
              <w:bottom w:val="single" w:sz="12" w:space="0" w:color="auto"/>
              <w:right w:val="nil"/>
            </w:tcBorders>
            <w:shd w:val="clear" w:color="FFFFFF" w:fill="FFFFFF"/>
            <w:noWrap/>
            <w:vAlign w:val="bottom"/>
            <w:hideMark/>
          </w:tcPr>
          <w:p w14:paraId="34F20519"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c>
          <w:tcPr>
            <w:tcW w:w="1154"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43BA71A4"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14.9 </w:t>
            </w:r>
          </w:p>
        </w:tc>
        <w:tc>
          <w:tcPr>
            <w:tcW w:w="1154" w:type="dxa"/>
            <w:tcBorders>
              <w:top w:val="single" w:sz="12" w:space="0" w:color="auto"/>
              <w:left w:val="nil"/>
              <w:bottom w:val="single" w:sz="12" w:space="0" w:color="auto"/>
              <w:right w:val="single" w:sz="12" w:space="0" w:color="FFFFFF"/>
            </w:tcBorders>
            <w:shd w:val="clear" w:color="FFFFFF" w:fill="FFFFFF"/>
            <w:noWrap/>
            <w:vAlign w:val="center"/>
            <w:hideMark/>
          </w:tcPr>
          <w:p w14:paraId="62A66715"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6.8 </w:t>
            </w:r>
          </w:p>
        </w:tc>
      </w:tr>
      <w:tr w:rsidR="0047687A" w:rsidRPr="005734B8" w14:paraId="40C618A1" w14:textId="77777777" w:rsidTr="00EE3FB9">
        <w:trPr>
          <w:trHeight w:val="270"/>
        </w:trPr>
        <w:tc>
          <w:tcPr>
            <w:tcW w:w="4285"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7CC9F217"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Commonwealth specific purpose payments</w:t>
            </w:r>
          </w:p>
        </w:tc>
        <w:tc>
          <w:tcPr>
            <w:tcW w:w="1032" w:type="dxa"/>
            <w:tcBorders>
              <w:top w:val="single" w:sz="4" w:space="0" w:color="auto"/>
              <w:left w:val="nil"/>
              <w:bottom w:val="single" w:sz="4" w:space="0" w:color="auto"/>
              <w:right w:val="single" w:sz="4" w:space="0" w:color="FFFFFF"/>
            </w:tcBorders>
            <w:shd w:val="clear" w:color="000000" w:fill="D9D9D9"/>
            <w:vAlign w:val="bottom"/>
            <w:hideMark/>
          </w:tcPr>
          <w:p w14:paraId="6A596360"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c>
          <w:tcPr>
            <w:tcW w:w="1154" w:type="dxa"/>
            <w:tcBorders>
              <w:top w:val="single" w:sz="4" w:space="0" w:color="auto"/>
              <w:left w:val="nil"/>
              <w:bottom w:val="single" w:sz="4" w:space="0" w:color="auto"/>
              <w:right w:val="single" w:sz="4" w:space="0" w:color="FFFFFF"/>
            </w:tcBorders>
            <w:shd w:val="clear" w:color="000000" w:fill="D9D9D9"/>
            <w:vAlign w:val="bottom"/>
            <w:hideMark/>
          </w:tcPr>
          <w:p w14:paraId="02464002"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c>
          <w:tcPr>
            <w:tcW w:w="1154" w:type="dxa"/>
            <w:tcBorders>
              <w:top w:val="single" w:sz="4" w:space="0" w:color="auto"/>
              <w:left w:val="nil"/>
              <w:bottom w:val="single" w:sz="4" w:space="0" w:color="auto"/>
              <w:right w:val="single" w:sz="4" w:space="0" w:color="FFFFFF"/>
            </w:tcBorders>
            <w:shd w:val="clear" w:color="000000" w:fill="D9D9D9"/>
            <w:vAlign w:val="bottom"/>
            <w:hideMark/>
          </w:tcPr>
          <w:p w14:paraId="5C122FF1"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r>
      <w:tr w:rsidR="0047687A" w:rsidRPr="005734B8" w14:paraId="6717D1F5" w14:textId="77777777" w:rsidTr="00EE3FB9">
        <w:trPr>
          <w:trHeight w:val="255"/>
        </w:trPr>
        <w:tc>
          <w:tcPr>
            <w:tcW w:w="4285" w:type="dxa"/>
            <w:tcBorders>
              <w:top w:val="nil"/>
              <w:left w:val="nil"/>
              <w:bottom w:val="single" w:sz="4" w:space="0" w:color="auto"/>
              <w:right w:val="nil"/>
            </w:tcBorders>
            <w:shd w:val="clear" w:color="FFFFFF" w:fill="FFFFFF"/>
            <w:vAlign w:val="center"/>
            <w:hideMark/>
          </w:tcPr>
          <w:p w14:paraId="0AABAE6F"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National skills and workforce development</w:t>
            </w:r>
          </w:p>
        </w:tc>
        <w:tc>
          <w:tcPr>
            <w:tcW w:w="1032" w:type="dxa"/>
            <w:tcBorders>
              <w:top w:val="nil"/>
              <w:left w:val="nil"/>
              <w:bottom w:val="single" w:sz="4" w:space="0" w:color="auto"/>
              <w:right w:val="nil"/>
            </w:tcBorders>
            <w:shd w:val="clear" w:color="FFFFFF" w:fill="FFFFFF"/>
            <w:noWrap/>
            <w:vAlign w:val="center"/>
            <w:hideMark/>
          </w:tcPr>
          <w:p w14:paraId="774F98E9"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154" w:type="dxa"/>
            <w:tcBorders>
              <w:top w:val="nil"/>
              <w:left w:val="single" w:sz="4" w:space="0" w:color="FFFFFF"/>
              <w:bottom w:val="single" w:sz="4" w:space="0" w:color="auto"/>
              <w:right w:val="single" w:sz="4" w:space="0" w:color="FFFFFF"/>
            </w:tcBorders>
            <w:shd w:val="clear" w:color="000000" w:fill="D9D9D9"/>
            <w:noWrap/>
            <w:vAlign w:val="center"/>
            <w:hideMark/>
          </w:tcPr>
          <w:p w14:paraId="43AA1283"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406.2 </w:t>
            </w:r>
          </w:p>
        </w:tc>
        <w:tc>
          <w:tcPr>
            <w:tcW w:w="1154" w:type="dxa"/>
            <w:tcBorders>
              <w:top w:val="nil"/>
              <w:left w:val="nil"/>
              <w:bottom w:val="single" w:sz="4" w:space="0" w:color="auto"/>
              <w:right w:val="nil"/>
            </w:tcBorders>
            <w:shd w:val="clear" w:color="FFFFFF" w:fill="FFFFFF"/>
            <w:noWrap/>
            <w:vAlign w:val="center"/>
            <w:hideMark/>
          </w:tcPr>
          <w:p w14:paraId="6E950CC5"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401.4 </w:t>
            </w:r>
          </w:p>
        </w:tc>
      </w:tr>
      <w:tr w:rsidR="0047687A" w:rsidRPr="005734B8" w14:paraId="24E17F20" w14:textId="77777777" w:rsidTr="00EE3FB9">
        <w:trPr>
          <w:trHeight w:val="255"/>
        </w:trPr>
        <w:tc>
          <w:tcPr>
            <w:tcW w:w="4285" w:type="dxa"/>
            <w:tcBorders>
              <w:top w:val="nil"/>
              <w:left w:val="nil"/>
              <w:bottom w:val="single" w:sz="4" w:space="0" w:color="auto"/>
              <w:right w:val="nil"/>
            </w:tcBorders>
            <w:shd w:val="clear" w:color="FFFFFF" w:fill="FFFFFF"/>
            <w:vAlign w:val="center"/>
            <w:hideMark/>
          </w:tcPr>
          <w:p w14:paraId="17DE8F87"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 xml:space="preserve">Universal access to early education </w:t>
            </w:r>
          </w:p>
        </w:tc>
        <w:tc>
          <w:tcPr>
            <w:tcW w:w="1032" w:type="dxa"/>
            <w:tcBorders>
              <w:top w:val="nil"/>
              <w:left w:val="nil"/>
              <w:bottom w:val="single" w:sz="4" w:space="0" w:color="auto"/>
              <w:right w:val="nil"/>
            </w:tcBorders>
            <w:shd w:val="clear" w:color="FFFFFF" w:fill="FFFFFF"/>
            <w:noWrap/>
            <w:vAlign w:val="center"/>
            <w:hideMark/>
          </w:tcPr>
          <w:p w14:paraId="5034FA9E"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154" w:type="dxa"/>
            <w:tcBorders>
              <w:top w:val="nil"/>
              <w:left w:val="single" w:sz="4" w:space="0" w:color="FFFFFF"/>
              <w:bottom w:val="single" w:sz="4" w:space="0" w:color="auto"/>
              <w:right w:val="single" w:sz="4" w:space="0" w:color="FFFFFF"/>
            </w:tcBorders>
            <w:shd w:val="clear" w:color="000000" w:fill="D9D9D9"/>
            <w:noWrap/>
            <w:vAlign w:val="center"/>
            <w:hideMark/>
          </w:tcPr>
          <w:p w14:paraId="1B7F71AB"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130.2 </w:t>
            </w:r>
          </w:p>
        </w:tc>
        <w:tc>
          <w:tcPr>
            <w:tcW w:w="1154" w:type="dxa"/>
            <w:tcBorders>
              <w:top w:val="nil"/>
              <w:left w:val="nil"/>
              <w:bottom w:val="single" w:sz="4" w:space="0" w:color="auto"/>
              <w:right w:val="nil"/>
            </w:tcBorders>
            <w:shd w:val="clear" w:color="FFFFFF" w:fill="FFFFFF"/>
            <w:noWrap/>
            <w:vAlign w:val="center"/>
            <w:hideMark/>
          </w:tcPr>
          <w:p w14:paraId="033860AD"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126.0 </w:t>
            </w:r>
          </w:p>
        </w:tc>
      </w:tr>
      <w:tr w:rsidR="0047687A" w:rsidRPr="005734B8" w14:paraId="55E6B597" w14:textId="77777777" w:rsidTr="00EE3FB9">
        <w:trPr>
          <w:trHeight w:val="255"/>
        </w:trPr>
        <w:tc>
          <w:tcPr>
            <w:tcW w:w="4285" w:type="dxa"/>
            <w:tcBorders>
              <w:top w:val="nil"/>
              <w:left w:val="single" w:sz="4" w:space="0" w:color="FFFFFF"/>
              <w:bottom w:val="single" w:sz="4" w:space="0" w:color="auto"/>
              <w:right w:val="single" w:sz="4" w:space="0" w:color="FFFFFF"/>
            </w:tcBorders>
            <w:shd w:val="clear" w:color="FFFFFF" w:fill="FFFFFF"/>
            <w:vAlign w:val="center"/>
            <w:hideMark/>
          </w:tcPr>
          <w:p w14:paraId="79D6C3E4"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National school chaplaincy program</w:t>
            </w:r>
          </w:p>
        </w:tc>
        <w:tc>
          <w:tcPr>
            <w:tcW w:w="1032" w:type="dxa"/>
            <w:tcBorders>
              <w:top w:val="nil"/>
              <w:left w:val="nil"/>
              <w:bottom w:val="single" w:sz="4" w:space="0" w:color="auto"/>
              <w:right w:val="single" w:sz="4" w:space="0" w:color="FFFFFF"/>
            </w:tcBorders>
            <w:shd w:val="clear" w:color="FFFFFF" w:fill="FFFFFF"/>
            <w:noWrap/>
            <w:vAlign w:val="center"/>
            <w:hideMark/>
          </w:tcPr>
          <w:p w14:paraId="3F260DCB"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154" w:type="dxa"/>
            <w:tcBorders>
              <w:top w:val="nil"/>
              <w:left w:val="nil"/>
              <w:bottom w:val="single" w:sz="4" w:space="0" w:color="auto"/>
              <w:right w:val="single" w:sz="4" w:space="0" w:color="FFFFFF"/>
            </w:tcBorders>
            <w:shd w:val="clear" w:color="000000" w:fill="D9D9D9"/>
            <w:noWrap/>
            <w:vAlign w:val="center"/>
            <w:hideMark/>
          </w:tcPr>
          <w:p w14:paraId="31EC0A46"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12.5 </w:t>
            </w:r>
          </w:p>
        </w:tc>
        <w:tc>
          <w:tcPr>
            <w:tcW w:w="1154" w:type="dxa"/>
            <w:tcBorders>
              <w:top w:val="nil"/>
              <w:left w:val="nil"/>
              <w:bottom w:val="single" w:sz="4" w:space="0" w:color="auto"/>
              <w:right w:val="nil"/>
            </w:tcBorders>
            <w:shd w:val="clear" w:color="FFFFFF" w:fill="FFFFFF"/>
            <w:noWrap/>
            <w:vAlign w:val="center"/>
            <w:hideMark/>
          </w:tcPr>
          <w:p w14:paraId="4752FDFD"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13.1</w:t>
            </w:r>
          </w:p>
        </w:tc>
      </w:tr>
      <w:tr w:rsidR="0047687A" w:rsidRPr="005734B8" w14:paraId="5469B9B7" w14:textId="77777777" w:rsidTr="00EE3FB9">
        <w:trPr>
          <w:trHeight w:val="255"/>
        </w:trPr>
        <w:tc>
          <w:tcPr>
            <w:tcW w:w="4285" w:type="dxa"/>
            <w:tcBorders>
              <w:top w:val="nil"/>
              <w:left w:val="nil"/>
              <w:bottom w:val="single" w:sz="4" w:space="0" w:color="auto"/>
              <w:right w:val="nil"/>
            </w:tcBorders>
            <w:shd w:val="clear" w:color="FFFFFF" w:fill="FFFFFF"/>
            <w:vAlign w:val="center"/>
            <w:hideMark/>
          </w:tcPr>
          <w:p w14:paraId="0ED1442A"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Infection control training fund</w:t>
            </w:r>
          </w:p>
        </w:tc>
        <w:tc>
          <w:tcPr>
            <w:tcW w:w="1032" w:type="dxa"/>
            <w:tcBorders>
              <w:top w:val="nil"/>
              <w:left w:val="nil"/>
              <w:bottom w:val="single" w:sz="4" w:space="0" w:color="auto"/>
              <w:right w:val="nil"/>
            </w:tcBorders>
            <w:shd w:val="clear" w:color="FFFFFF" w:fill="FFFFFF"/>
            <w:noWrap/>
            <w:vAlign w:val="center"/>
            <w:hideMark/>
          </w:tcPr>
          <w:p w14:paraId="0D30BEBA"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154" w:type="dxa"/>
            <w:tcBorders>
              <w:top w:val="nil"/>
              <w:left w:val="single" w:sz="4" w:space="0" w:color="FFFFFF"/>
              <w:bottom w:val="single" w:sz="4" w:space="0" w:color="auto"/>
              <w:right w:val="single" w:sz="4" w:space="0" w:color="FFFFFF"/>
            </w:tcBorders>
            <w:shd w:val="clear" w:color="000000" w:fill="D9D9D9"/>
            <w:noWrap/>
            <w:vAlign w:val="center"/>
            <w:hideMark/>
          </w:tcPr>
          <w:p w14:paraId="22119347"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10.4 </w:t>
            </w:r>
          </w:p>
        </w:tc>
        <w:tc>
          <w:tcPr>
            <w:tcW w:w="1154" w:type="dxa"/>
            <w:tcBorders>
              <w:top w:val="nil"/>
              <w:left w:val="nil"/>
              <w:bottom w:val="single" w:sz="4" w:space="0" w:color="auto"/>
              <w:right w:val="nil"/>
            </w:tcBorders>
            <w:shd w:val="clear" w:color="FFFFFF" w:fill="FFFFFF"/>
            <w:noWrap/>
            <w:vAlign w:val="center"/>
            <w:hideMark/>
          </w:tcPr>
          <w:p w14:paraId="174BDCFE" w14:textId="3E8CDFA0" w:rsidR="0047687A" w:rsidRPr="005734B8" w:rsidRDefault="00EE3FB9" w:rsidP="000F48B1">
            <w:pPr>
              <w:jc w:val="right"/>
              <w:rPr>
                <w:rFonts w:ascii="Calibri" w:hAnsi="Calibri" w:cs="Calibri"/>
                <w:sz w:val="18"/>
                <w:szCs w:val="18"/>
              </w:rPr>
            </w:pPr>
            <w:r w:rsidRPr="005734B8">
              <w:rPr>
                <w:rFonts w:ascii="Calibri" w:hAnsi="Calibri" w:cs="Calibri"/>
                <w:sz w:val="18"/>
                <w:szCs w:val="18"/>
              </w:rPr>
              <w:t>–</w:t>
            </w:r>
          </w:p>
        </w:tc>
      </w:tr>
      <w:tr w:rsidR="0047687A" w:rsidRPr="005734B8" w14:paraId="4E724018" w14:textId="77777777" w:rsidTr="00EE3FB9">
        <w:trPr>
          <w:trHeight w:val="255"/>
        </w:trPr>
        <w:tc>
          <w:tcPr>
            <w:tcW w:w="4285" w:type="dxa"/>
            <w:tcBorders>
              <w:top w:val="nil"/>
              <w:left w:val="single" w:sz="4" w:space="0" w:color="FFFFFF"/>
              <w:bottom w:val="single" w:sz="4" w:space="0" w:color="auto"/>
              <w:right w:val="single" w:sz="4" w:space="0" w:color="FFFFFF"/>
            </w:tcBorders>
            <w:shd w:val="clear" w:color="FFFFFF" w:fill="FFFFFF"/>
            <w:vAlign w:val="center"/>
            <w:hideMark/>
          </w:tcPr>
          <w:p w14:paraId="77067938"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Revitalising TAFE campuses across Australia</w:t>
            </w:r>
          </w:p>
        </w:tc>
        <w:tc>
          <w:tcPr>
            <w:tcW w:w="1032" w:type="dxa"/>
            <w:tcBorders>
              <w:top w:val="nil"/>
              <w:left w:val="nil"/>
              <w:bottom w:val="single" w:sz="4" w:space="0" w:color="auto"/>
              <w:right w:val="single" w:sz="4" w:space="0" w:color="FFFFFF"/>
            </w:tcBorders>
            <w:shd w:val="clear" w:color="FFFFFF" w:fill="FFFFFF"/>
            <w:noWrap/>
            <w:vAlign w:val="center"/>
            <w:hideMark/>
          </w:tcPr>
          <w:p w14:paraId="4E654E15"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154" w:type="dxa"/>
            <w:tcBorders>
              <w:top w:val="nil"/>
              <w:left w:val="nil"/>
              <w:bottom w:val="single" w:sz="4" w:space="0" w:color="auto"/>
              <w:right w:val="single" w:sz="4" w:space="0" w:color="FFFFFF"/>
            </w:tcBorders>
            <w:shd w:val="clear" w:color="000000" w:fill="D9D9D9"/>
            <w:noWrap/>
            <w:vAlign w:val="center"/>
            <w:hideMark/>
          </w:tcPr>
          <w:p w14:paraId="1F715578"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4.8 </w:t>
            </w:r>
          </w:p>
        </w:tc>
        <w:tc>
          <w:tcPr>
            <w:tcW w:w="1154" w:type="dxa"/>
            <w:tcBorders>
              <w:top w:val="nil"/>
              <w:left w:val="nil"/>
              <w:bottom w:val="single" w:sz="4" w:space="0" w:color="auto"/>
              <w:right w:val="nil"/>
            </w:tcBorders>
            <w:shd w:val="clear" w:color="FFFFFF" w:fill="FFFFFF"/>
            <w:noWrap/>
            <w:vAlign w:val="center"/>
            <w:hideMark/>
          </w:tcPr>
          <w:p w14:paraId="59E8AE44" w14:textId="6F0E1D49" w:rsidR="0047687A" w:rsidRPr="005734B8" w:rsidRDefault="00EE3FB9" w:rsidP="000F48B1">
            <w:pPr>
              <w:jc w:val="right"/>
              <w:rPr>
                <w:rFonts w:ascii="Calibri" w:hAnsi="Calibri" w:cs="Calibri"/>
                <w:sz w:val="18"/>
                <w:szCs w:val="18"/>
              </w:rPr>
            </w:pPr>
            <w:r w:rsidRPr="005734B8">
              <w:rPr>
                <w:rFonts w:ascii="Calibri" w:hAnsi="Calibri" w:cs="Calibri"/>
                <w:sz w:val="18"/>
                <w:szCs w:val="18"/>
              </w:rPr>
              <w:t>–</w:t>
            </w:r>
          </w:p>
        </w:tc>
      </w:tr>
      <w:tr w:rsidR="0047687A" w:rsidRPr="005734B8" w14:paraId="5B9C3840" w14:textId="77777777" w:rsidTr="00EE3FB9">
        <w:trPr>
          <w:trHeight w:val="270"/>
        </w:trPr>
        <w:tc>
          <w:tcPr>
            <w:tcW w:w="4285" w:type="dxa"/>
            <w:tcBorders>
              <w:top w:val="nil"/>
              <w:left w:val="single" w:sz="4" w:space="0" w:color="FFFFFF"/>
              <w:bottom w:val="single" w:sz="4" w:space="0" w:color="auto"/>
              <w:right w:val="single" w:sz="4" w:space="0" w:color="FFFFFF"/>
            </w:tcBorders>
            <w:shd w:val="clear" w:color="FFFFFF" w:fill="FFFFFF"/>
            <w:vAlign w:val="center"/>
            <w:hideMark/>
          </w:tcPr>
          <w:p w14:paraId="1011A6F2"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Local schools community fund</w:t>
            </w:r>
            <w:r w:rsidRPr="005734B8">
              <w:rPr>
                <w:rStyle w:val="FootnoteReference"/>
                <w:rFonts w:ascii="Calibri" w:hAnsi="Calibri" w:cs="Calibri"/>
                <w:sz w:val="18"/>
                <w:szCs w:val="18"/>
              </w:rPr>
              <w:footnoteReference w:id="77"/>
            </w:r>
          </w:p>
        </w:tc>
        <w:tc>
          <w:tcPr>
            <w:tcW w:w="1032" w:type="dxa"/>
            <w:tcBorders>
              <w:top w:val="nil"/>
              <w:left w:val="nil"/>
              <w:bottom w:val="single" w:sz="4" w:space="0" w:color="auto"/>
              <w:right w:val="single" w:sz="4" w:space="0" w:color="FFFFFF"/>
            </w:tcBorders>
            <w:shd w:val="clear" w:color="FFFFFF" w:fill="FFFFFF"/>
            <w:noWrap/>
            <w:vAlign w:val="center"/>
            <w:hideMark/>
          </w:tcPr>
          <w:p w14:paraId="103E5DAB"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w:t>
            </w:r>
          </w:p>
        </w:tc>
        <w:tc>
          <w:tcPr>
            <w:tcW w:w="1154" w:type="dxa"/>
            <w:tcBorders>
              <w:top w:val="nil"/>
              <w:left w:val="nil"/>
              <w:bottom w:val="single" w:sz="4" w:space="0" w:color="auto"/>
              <w:right w:val="single" w:sz="4" w:space="0" w:color="FFFFFF"/>
            </w:tcBorders>
            <w:shd w:val="clear" w:color="000000" w:fill="D9D9D9"/>
            <w:noWrap/>
            <w:vAlign w:val="center"/>
            <w:hideMark/>
          </w:tcPr>
          <w:p w14:paraId="439C3519" w14:textId="33997FB0" w:rsidR="0047687A" w:rsidRPr="005734B8" w:rsidRDefault="00244FF7" w:rsidP="000F48B1">
            <w:pPr>
              <w:jc w:val="right"/>
              <w:rPr>
                <w:rFonts w:ascii="Calibri" w:hAnsi="Calibri" w:cs="Calibri"/>
                <w:sz w:val="18"/>
                <w:szCs w:val="18"/>
              </w:rPr>
            </w:pPr>
            <w:r w:rsidRPr="005734B8">
              <w:rPr>
                <w:rFonts w:ascii="Calibri" w:hAnsi="Calibri" w:cs="Calibri"/>
                <w:sz w:val="18"/>
                <w:szCs w:val="18"/>
              </w:rPr>
              <w:softHyphen/>
            </w:r>
            <w:r w:rsidR="00EE3FB9" w:rsidRPr="005734B8">
              <w:rPr>
                <w:rFonts w:ascii="Calibri" w:hAnsi="Calibri" w:cs="Calibri"/>
                <w:sz w:val="18"/>
                <w:szCs w:val="18"/>
              </w:rPr>
              <w:t>–</w:t>
            </w:r>
          </w:p>
        </w:tc>
        <w:tc>
          <w:tcPr>
            <w:tcW w:w="1154" w:type="dxa"/>
            <w:tcBorders>
              <w:top w:val="nil"/>
              <w:left w:val="nil"/>
              <w:bottom w:val="single" w:sz="4" w:space="0" w:color="auto"/>
              <w:right w:val="nil"/>
            </w:tcBorders>
            <w:shd w:val="clear" w:color="FFFFFF" w:fill="FFFFFF"/>
            <w:noWrap/>
            <w:vAlign w:val="center"/>
            <w:hideMark/>
          </w:tcPr>
          <w:p w14:paraId="5AADE0F7"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5.5 </w:t>
            </w:r>
          </w:p>
        </w:tc>
      </w:tr>
      <w:tr w:rsidR="0047687A" w:rsidRPr="005734B8" w14:paraId="41179ED0" w14:textId="77777777" w:rsidTr="00EE3FB9">
        <w:trPr>
          <w:trHeight w:val="285"/>
        </w:trPr>
        <w:tc>
          <w:tcPr>
            <w:tcW w:w="4285"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1326C4E5"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Total</w:t>
            </w:r>
          </w:p>
        </w:tc>
        <w:tc>
          <w:tcPr>
            <w:tcW w:w="1032" w:type="dxa"/>
            <w:tcBorders>
              <w:top w:val="single" w:sz="12" w:space="0" w:color="auto"/>
              <w:left w:val="nil"/>
              <w:bottom w:val="single" w:sz="12" w:space="0" w:color="auto"/>
              <w:right w:val="nil"/>
            </w:tcBorders>
            <w:shd w:val="clear" w:color="FFFFFF" w:fill="FFFFFF"/>
            <w:noWrap/>
            <w:vAlign w:val="bottom"/>
            <w:hideMark/>
          </w:tcPr>
          <w:p w14:paraId="515C5045"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c>
          <w:tcPr>
            <w:tcW w:w="1154"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D80410E"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564.1 </w:t>
            </w:r>
          </w:p>
        </w:tc>
        <w:tc>
          <w:tcPr>
            <w:tcW w:w="1154" w:type="dxa"/>
            <w:tcBorders>
              <w:top w:val="single" w:sz="12" w:space="0" w:color="auto"/>
              <w:left w:val="nil"/>
              <w:bottom w:val="single" w:sz="12" w:space="0" w:color="auto"/>
              <w:right w:val="single" w:sz="12" w:space="0" w:color="FFFFFF"/>
            </w:tcBorders>
            <w:shd w:val="clear" w:color="FFFFFF" w:fill="FFFFFF"/>
            <w:noWrap/>
            <w:vAlign w:val="center"/>
            <w:hideMark/>
          </w:tcPr>
          <w:p w14:paraId="1C4C95B2"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546.0 </w:t>
            </w:r>
          </w:p>
        </w:tc>
      </w:tr>
      <w:tr w:rsidR="0047687A" w:rsidRPr="005734B8" w14:paraId="4B9C7248" w14:textId="77777777" w:rsidTr="00EE3FB9">
        <w:trPr>
          <w:trHeight w:val="285"/>
        </w:trPr>
        <w:tc>
          <w:tcPr>
            <w:tcW w:w="4285" w:type="dxa"/>
            <w:tcBorders>
              <w:top w:val="nil"/>
              <w:left w:val="single" w:sz="12" w:space="0" w:color="FFFFFF"/>
              <w:bottom w:val="single" w:sz="12" w:space="0" w:color="auto"/>
              <w:right w:val="single" w:sz="12" w:space="0" w:color="FFFFFF"/>
            </w:tcBorders>
            <w:shd w:val="clear" w:color="FFFFFF" w:fill="FFFFFF"/>
            <w:vAlign w:val="center"/>
            <w:hideMark/>
          </w:tcPr>
          <w:p w14:paraId="4234608A"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Total annotated income agreements</w:t>
            </w:r>
          </w:p>
        </w:tc>
        <w:tc>
          <w:tcPr>
            <w:tcW w:w="1032" w:type="dxa"/>
            <w:tcBorders>
              <w:top w:val="single" w:sz="12" w:space="0" w:color="auto"/>
              <w:left w:val="nil"/>
              <w:bottom w:val="single" w:sz="12" w:space="0" w:color="auto"/>
              <w:right w:val="single" w:sz="12" w:space="0" w:color="FFFFFF"/>
            </w:tcBorders>
            <w:shd w:val="clear" w:color="FFFFFF" w:fill="FFFFFF"/>
            <w:vAlign w:val="center"/>
            <w:hideMark/>
          </w:tcPr>
          <w:p w14:paraId="6E6852D7" w14:textId="2898053F" w:rsidR="0047687A" w:rsidRPr="005734B8" w:rsidRDefault="0047687A" w:rsidP="000F48B1">
            <w:pPr>
              <w:rPr>
                <w:rFonts w:ascii="Calibri" w:hAnsi="Calibri" w:cs="Calibri"/>
                <w:b/>
                <w:sz w:val="18"/>
                <w:szCs w:val="18"/>
              </w:rPr>
            </w:pPr>
            <w:r w:rsidRPr="005734B8">
              <w:rPr>
                <w:rFonts w:ascii="Calibri" w:hAnsi="Calibri" w:cs="Calibri"/>
                <w:b/>
                <w:sz w:val="18"/>
                <w:szCs w:val="18"/>
              </w:rPr>
              <w:t>2.3.1</w:t>
            </w:r>
            <w:r w:rsidR="00576FC4" w:rsidRPr="005734B8">
              <w:rPr>
                <w:rFonts w:ascii="Calibri" w:hAnsi="Calibri" w:cs="Calibri"/>
                <w:b/>
                <w:sz w:val="18"/>
                <w:szCs w:val="18"/>
              </w:rPr>
              <w:t xml:space="preserve"> </w:t>
            </w:r>
            <w:r w:rsidRPr="005734B8">
              <w:rPr>
                <w:rFonts w:ascii="Calibri" w:hAnsi="Calibri" w:cs="Calibri"/>
                <w:b/>
                <w:sz w:val="18"/>
                <w:szCs w:val="18"/>
              </w:rPr>
              <w:t>(a)</w:t>
            </w:r>
          </w:p>
        </w:tc>
        <w:tc>
          <w:tcPr>
            <w:tcW w:w="1154" w:type="dxa"/>
            <w:tcBorders>
              <w:top w:val="nil"/>
              <w:left w:val="single" w:sz="4" w:space="0" w:color="FFFFFF"/>
              <w:bottom w:val="single" w:sz="12" w:space="0" w:color="auto"/>
              <w:right w:val="single" w:sz="4" w:space="0" w:color="FFFFFF"/>
            </w:tcBorders>
            <w:shd w:val="clear" w:color="000000" w:fill="D9D9D9"/>
            <w:noWrap/>
            <w:vAlign w:val="center"/>
            <w:hideMark/>
          </w:tcPr>
          <w:p w14:paraId="333EF19A"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660.4 </w:t>
            </w:r>
          </w:p>
        </w:tc>
        <w:tc>
          <w:tcPr>
            <w:tcW w:w="1154" w:type="dxa"/>
            <w:tcBorders>
              <w:top w:val="nil"/>
              <w:left w:val="nil"/>
              <w:bottom w:val="single" w:sz="12" w:space="0" w:color="auto"/>
              <w:right w:val="single" w:sz="12" w:space="0" w:color="FFFFFF"/>
            </w:tcBorders>
            <w:shd w:val="clear" w:color="FFFFFF" w:fill="FFFFFF"/>
            <w:noWrap/>
            <w:vAlign w:val="center"/>
            <w:hideMark/>
          </w:tcPr>
          <w:p w14:paraId="10C75F37"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641.6 </w:t>
            </w:r>
          </w:p>
        </w:tc>
      </w:tr>
    </w:tbl>
    <w:p w14:paraId="4BD921ED" w14:textId="77777777" w:rsidR="0047687A" w:rsidRPr="005734B8" w:rsidRDefault="0047687A" w:rsidP="0047687A">
      <w:pPr>
        <w:rPr>
          <w:rFonts w:ascii="Calibri" w:hAnsi="Calibri" w:cs="Calibri"/>
        </w:rPr>
      </w:pPr>
      <w:r w:rsidRPr="005734B8">
        <w:rPr>
          <w:rFonts w:ascii="Calibri" w:hAnsi="Calibri" w:cs="Calibri"/>
        </w:rPr>
        <w:br w:type="page"/>
      </w:r>
    </w:p>
    <w:p w14:paraId="63F75EE8" w14:textId="77777777" w:rsidR="0047687A" w:rsidRPr="005734B8" w:rsidRDefault="0047687A" w:rsidP="00F06229">
      <w:pPr>
        <w:pStyle w:val="ESHeading3"/>
        <w:ind w:left="0" w:firstLine="0"/>
        <w:rPr>
          <w:rFonts w:ascii="Calibri" w:hAnsi="Calibri" w:cs="Calibri"/>
        </w:rPr>
      </w:pPr>
      <w:bookmarkStart w:id="1265" w:name="_Toc11336349"/>
      <w:bookmarkStart w:id="1266" w:name="_Toc14965575"/>
      <w:r w:rsidRPr="005734B8">
        <w:rPr>
          <w:rFonts w:ascii="Calibri" w:hAnsi="Calibri" w:cs="Calibri"/>
        </w:rPr>
        <w:lastRenderedPageBreak/>
        <w:t>2.3.2 Summary of compliance with special appropriations</w:t>
      </w:r>
      <w:bookmarkEnd w:id="1265"/>
      <w:bookmarkEnd w:id="1266"/>
    </w:p>
    <w:tbl>
      <w:tblPr>
        <w:tblW w:w="7625" w:type="dxa"/>
        <w:tblInd w:w="75" w:type="dxa"/>
        <w:tblLayout w:type="fixed"/>
        <w:tblLook w:val="04A0" w:firstRow="1" w:lastRow="0" w:firstColumn="1" w:lastColumn="0" w:noHBand="0" w:noVBand="1"/>
      </w:tblPr>
      <w:tblGrid>
        <w:gridCol w:w="3835"/>
        <w:gridCol w:w="1687"/>
        <w:gridCol w:w="1053"/>
        <w:gridCol w:w="1050"/>
      </w:tblGrid>
      <w:tr w:rsidR="0047687A" w:rsidRPr="005734B8" w14:paraId="4C6F3F3C" w14:textId="77777777" w:rsidTr="000F48B1">
        <w:trPr>
          <w:trHeight w:val="480"/>
        </w:trPr>
        <w:tc>
          <w:tcPr>
            <w:tcW w:w="3835" w:type="dxa"/>
            <w:tcBorders>
              <w:top w:val="nil"/>
              <w:left w:val="single" w:sz="4" w:space="0" w:color="FFFFFF"/>
              <w:bottom w:val="single" w:sz="4" w:space="0" w:color="FFFFFF"/>
              <w:right w:val="single" w:sz="4" w:space="0" w:color="FFFFFF"/>
            </w:tcBorders>
            <w:shd w:val="clear" w:color="000000" w:fill="AF272F"/>
            <w:vAlign w:val="bottom"/>
            <w:hideMark/>
          </w:tcPr>
          <w:p w14:paraId="2400D402" w14:textId="77777777" w:rsidR="0047687A" w:rsidRPr="005734B8" w:rsidRDefault="0047687A" w:rsidP="00F06229">
            <w:pPr>
              <w:jc w:val="right"/>
              <w:rPr>
                <w:rFonts w:ascii="Calibri" w:hAnsi="Calibri" w:cs="Calibri"/>
                <w:b/>
                <w:color w:val="FFFFFF"/>
                <w:sz w:val="18"/>
                <w:szCs w:val="18"/>
              </w:rPr>
            </w:pPr>
            <w:bookmarkStart w:id="1267" w:name="Note_APDTABLE1" w:colFirst="0" w:colLast="0"/>
            <w:r w:rsidRPr="005734B8">
              <w:rPr>
                <w:rFonts w:ascii="Calibri" w:hAnsi="Calibri" w:cs="Calibri"/>
                <w:b/>
                <w:color w:val="FFFFFF"/>
                <w:sz w:val="18"/>
                <w:szCs w:val="18"/>
              </w:rPr>
              <w:t> </w:t>
            </w:r>
          </w:p>
        </w:tc>
        <w:tc>
          <w:tcPr>
            <w:tcW w:w="1687" w:type="dxa"/>
            <w:tcBorders>
              <w:top w:val="nil"/>
              <w:left w:val="nil"/>
              <w:bottom w:val="single" w:sz="4" w:space="0" w:color="auto"/>
              <w:right w:val="single" w:sz="4" w:space="0" w:color="FFFFFF"/>
            </w:tcBorders>
            <w:shd w:val="clear" w:color="000000" w:fill="AF272F"/>
            <w:hideMark/>
          </w:tcPr>
          <w:p w14:paraId="4ED20F84" w14:textId="77777777" w:rsidR="0047687A" w:rsidRPr="005734B8" w:rsidRDefault="0047687A" w:rsidP="00F06229">
            <w:pPr>
              <w:rPr>
                <w:rFonts w:ascii="Calibri" w:hAnsi="Calibri" w:cs="Calibri"/>
                <w:b/>
                <w:color w:val="FFFFFF"/>
                <w:sz w:val="18"/>
                <w:szCs w:val="18"/>
              </w:rPr>
            </w:pPr>
            <w:r w:rsidRPr="005734B8">
              <w:rPr>
                <w:rFonts w:ascii="Calibri" w:hAnsi="Calibri" w:cs="Calibri"/>
                <w:b/>
                <w:color w:val="FFFFFF"/>
                <w:sz w:val="18"/>
                <w:szCs w:val="18"/>
              </w:rPr>
              <w:t>Purpose</w:t>
            </w:r>
          </w:p>
        </w:tc>
        <w:tc>
          <w:tcPr>
            <w:tcW w:w="1053" w:type="dxa"/>
            <w:tcBorders>
              <w:top w:val="nil"/>
              <w:left w:val="nil"/>
              <w:bottom w:val="single" w:sz="4" w:space="0" w:color="auto"/>
              <w:right w:val="single" w:sz="4" w:space="0" w:color="FFFFFF"/>
            </w:tcBorders>
            <w:shd w:val="clear" w:color="000000" w:fill="AF272F"/>
            <w:hideMark/>
          </w:tcPr>
          <w:p w14:paraId="6BAA1D08" w14:textId="77777777" w:rsidR="0047687A" w:rsidRPr="005734B8" w:rsidRDefault="0047687A" w:rsidP="00F06229">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50" w:type="dxa"/>
            <w:tcBorders>
              <w:top w:val="nil"/>
              <w:left w:val="nil"/>
              <w:bottom w:val="single" w:sz="4" w:space="0" w:color="auto"/>
              <w:right w:val="single" w:sz="4" w:space="0" w:color="FFFFFF"/>
            </w:tcBorders>
            <w:shd w:val="clear" w:color="000000" w:fill="AF272F"/>
            <w:hideMark/>
          </w:tcPr>
          <w:p w14:paraId="7828B330" w14:textId="77777777" w:rsidR="0047687A" w:rsidRPr="005734B8" w:rsidRDefault="0047687A" w:rsidP="00F06229">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267"/>
      <w:tr w:rsidR="0047687A" w:rsidRPr="005734B8" w14:paraId="5B2BABF8" w14:textId="77777777" w:rsidTr="000F48B1">
        <w:trPr>
          <w:trHeight w:val="255"/>
        </w:trPr>
        <w:tc>
          <w:tcPr>
            <w:tcW w:w="3835"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62D9B1F1" w14:textId="77777777" w:rsidR="0047687A" w:rsidRPr="005734B8" w:rsidRDefault="0047687A" w:rsidP="00F06229">
            <w:pPr>
              <w:rPr>
                <w:rFonts w:ascii="Calibri" w:hAnsi="Calibri" w:cs="Calibri"/>
                <w:b/>
                <w:sz w:val="18"/>
                <w:szCs w:val="18"/>
              </w:rPr>
            </w:pPr>
            <w:r w:rsidRPr="005734B8">
              <w:rPr>
                <w:rFonts w:ascii="Calibri" w:hAnsi="Calibri" w:cs="Calibri"/>
                <w:b/>
                <w:sz w:val="18"/>
                <w:szCs w:val="18"/>
              </w:rPr>
              <w:t>Funded from revenue:</w:t>
            </w:r>
          </w:p>
        </w:tc>
        <w:tc>
          <w:tcPr>
            <w:tcW w:w="1687" w:type="dxa"/>
            <w:tcBorders>
              <w:top w:val="nil"/>
              <w:left w:val="nil"/>
              <w:bottom w:val="single" w:sz="4" w:space="0" w:color="auto"/>
              <w:right w:val="single" w:sz="4" w:space="0" w:color="FFFFFF"/>
            </w:tcBorders>
            <w:shd w:val="clear" w:color="000000" w:fill="D9D9D9"/>
            <w:vAlign w:val="bottom"/>
            <w:hideMark/>
          </w:tcPr>
          <w:p w14:paraId="548C5FE3" w14:textId="77777777" w:rsidR="0047687A" w:rsidRPr="005734B8" w:rsidRDefault="0047687A" w:rsidP="00F06229">
            <w:pPr>
              <w:rPr>
                <w:rFonts w:ascii="Calibri" w:hAnsi="Calibri" w:cs="Calibri"/>
                <w:b/>
                <w:sz w:val="18"/>
                <w:szCs w:val="18"/>
              </w:rPr>
            </w:pPr>
            <w:r w:rsidRPr="005734B8">
              <w:rPr>
                <w:rFonts w:ascii="Calibri" w:hAnsi="Calibri" w:cs="Calibri"/>
                <w:b/>
                <w:sz w:val="18"/>
                <w:szCs w:val="18"/>
              </w:rPr>
              <w:t> </w:t>
            </w:r>
          </w:p>
        </w:tc>
        <w:tc>
          <w:tcPr>
            <w:tcW w:w="1053" w:type="dxa"/>
            <w:tcBorders>
              <w:top w:val="nil"/>
              <w:left w:val="nil"/>
              <w:bottom w:val="single" w:sz="4" w:space="0" w:color="auto"/>
              <w:right w:val="single" w:sz="4" w:space="0" w:color="FFFFFF"/>
            </w:tcBorders>
            <w:shd w:val="clear" w:color="000000" w:fill="D9D9D9"/>
            <w:vAlign w:val="bottom"/>
            <w:hideMark/>
          </w:tcPr>
          <w:p w14:paraId="2847728A" w14:textId="77777777" w:rsidR="0047687A" w:rsidRPr="005734B8" w:rsidRDefault="0047687A" w:rsidP="00F06229">
            <w:pPr>
              <w:rPr>
                <w:rFonts w:ascii="Calibri" w:hAnsi="Calibri" w:cs="Calibri"/>
                <w:b/>
                <w:sz w:val="18"/>
                <w:szCs w:val="18"/>
              </w:rPr>
            </w:pPr>
            <w:r w:rsidRPr="005734B8">
              <w:rPr>
                <w:rFonts w:ascii="Calibri" w:hAnsi="Calibri" w:cs="Calibri"/>
                <w:b/>
                <w:sz w:val="18"/>
                <w:szCs w:val="18"/>
              </w:rPr>
              <w:t> </w:t>
            </w:r>
          </w:p>
        </w:tc>
        <w:tc>
          <w:tcPr>
            <w:tcW w:w="1050" w:type="dxa"/>
            <w:tcBorders>
              <w:top w:val="nil"/>
              <w:left w:val="nil"/>
              <w:bottom w:val="single" w:sz="4" w:space="0" w:color="auto"/>
              <w:right w:val="single" w:sz="4" w:space="0" w:color="FFFFFF"/>
            </w:tcBorders>
            <w:shd w:val="clear" w:color="000000" w:fill="D9D9D9"/>
            <w:vAlign w:val="bottom"/>
            <w:hideMark/>
          </w:tcPr>
          <w:p w14:paraId="5801E143" w14:textId="77777777" w:rsidR="0047687A" w:rsidRPr="005734B8" w:rsidRDefault="0047687A" w:rsidP="00F06229">
            <w:pPr>
              <w:rPr>
                <w:rFonts w:ascii="Calibri" w:hAnsi="Calibri" w:cs="Calibri"/>
                <w:b/>
                <w:sz w:val="18"/>
                <w:szCs w:val="18"/>
              </w:rPr>
            </w:pPr>
            <w:r w:rsidRPr="005734B8">
              <w:rPr>
                <w:rFonts w:ascii="Calibri" w:hAnsi="Calibri" w:cs="Calibri"/>
                <w:b/>
                <w:sz w:val="18"/>
                <w:szCs w:val="18"/>
              </w:rPr>
              <w:t> </w:t>
            </w:r>
          </w:p>
        </w:tc>
      </w:tr>
      <w:tr w:rsidR="0047687A" w:rsidRPr="005734B8" w14:paraId="43E7971E" w14:textId="77777777" w:rsidTr="000F48B1">
        <w:trPr>
          <w:trHeight w:val="480"/>
        </w:trPr>
        <w:tc>
          <w:tcPr>
            <w:tcW w:w="3835" w:type="dxa"/>
            <w:tcBorders>
              <w:top w:val="nil"/>
              <w:left w:val="single" w:sz="4" w:space="0" w:color="FFFFFF"/>
              <w:bottom w:val="single" w:sz="4" w:space="0" w:color="auto"/>
              <w:right w:val="single" w:sz="4" w:space="0" w:color="FFFFFF"/>
            </w:tcBorders>
            <w:shd w:val="clear" w:color="FFFFFF" w:fill="FFFFFF"/>
            <w:vAlign w:val="center"/>
            <w:hideMark/>
          </w:tcPr>
          <w:p w14:paraId="357120C3" w14:textId="77777777" w:rsidR="0047687A" w:rsidRPr="005734B8" w:rsidRDefault="0047687A" w:rsidP="00F06229">
            <w:pPr>
              <w:rPr>
                <w:rFonts w:ascii="Calibri" w:hAnsi="Calibri" w:cs="Calibri"/>
                <w:sz w:val="18"/>
                <w:szCs w:val="18"/>
              </w:rPr>
            </w:pPr>
            <w:r w:rsidRPr="005734B8">
              <w:rPr>
                <w:rFonts w:ascii="Calibri" w:hAnsi="Calibri" w:cs="Calibri"/>
                <w:sz w:val="18"/>
                <w:szCs w:val="18"/>
              </w:rPr>
              <w:t>Section 5.6.8 of the Education and Training Reform Act</w:t>
            </w:r>
          </w:p>
        </w:tc>
        <w:tc>
          <w:tcPr>
            <w:tcW w:w="1687" w:type="dxa"/>
            <w:tcBorders>
              <w:top w:val="nil"/>
              <w:left w:val="nil"/>
              <w:bottom w:val="single" w:sz="4" w:space="0" w:color="auto"/>
              <w:right w:val="single" w:sz="4" w:space="0" w:color="FFFFFF"/>
            </w:tcBorders>
            <w:shd w:val="clear" w:color="FFFFFF" w:fill="FFFFFF"/>
            <w:vAlign w:val="center"/>
            <w:hideMark/>
          </w:tcPr>
          <w:p w14:paraId="5002A03F" w14:textId="77777777" w:rsidR="0047687A" w:rsidRPr="005734B8" w:rsidRDefault="0047687A" w:rsidP="00F06229">
            <w:pPr>
              <w:rPr>
                <w:rFonts w:ascii="Calibri" w:hAnsi="Calibri" w:cs="Calibri"/>
                <w:sz w:val="18"/>
                <w:szCs w:val="18"/>
              </w:rPr>
            </w:pPr>
            <w:r w:rsidRPr="005734B8">
              <w:rPr>
                <w:rFonts w:ascii="Calibri" w:hAnsi="Calibri" w:cs="Calibri"/>
                <w:sz w:val="18"/>
                <w:szCs w:val="18"/>
              </w:rPr>
              <w:t>Volunteers workers’ compensation</w:t>
            </w:r>
          </w:p>
        </w:tc>
        <w:tc>
          <w:tcPr>
            <w:tcW w:w="1053" w:type="dxa"/>
            <w:tcBorders>
              <w:top w:val="nil"/>
              <w:left w:val="nil"/>
              <w:bottom w:val="single" w:sz="4" w:space="0" w:color="auto"/>
              <w:right w:val="single" w:sz="4" w:space="0" w:color="FFFFFF"/>
            </w:tcBorders>
            <w:shd w:val="clear" w:color="000000" w:fill="D9D9D9"/>
            <w:noWrap/>
            <w:vAlign w:val="center"/>
            <w:hideMark/>
          </w:tcPr>
          <w:p w14:paraId="0FCA6EB3" w14:textId="77777777" w:rsidR="0047687A" w:rsidRPr="005734B8" w:rsidRDefault="0047687A" w:rsidP="00F06229">
            <w:pPr>
              <w:jc w:val="right"/>
              <w:rPr>
                <w:rFonts w:ascii="Calibri" w:hAnsi="Calibri" w:cs="Calibri"/>
                <w:sz w:val="18"/>
                <w:szCs w:val="18"/>
              </w:rPr>
            </w:pPr>
            <w:r w:rsidRPr="005734B8">
              <w:rPr>
                <w:rFonts w:ascii="Calibri" w:hAnsi="Calibri" w:cs="Calibri"/>
                <w:sz w:val="18"/>
                <w:szCs w:val="18"/>
              </w:rPr>
              <w:t xml:space="preserve">0.1 </w:t>
            </w:r>
          </w:p>
        </w:tc>
        <w:tc>
          <w:tcPr>
            <w:tcW w:w="1050" w:type="dxa"/>
            <w:tcBorders>
              <w:top w:val="nil"/>
              <w:left w:val="nil"/>
              <w:bottom w:val="single" w:sz="4" w:space="0" w:color="auto"/>
              <w:right w:val="nil"/>
            </w:tcBorders>
            <w:shd w:val="clear" w:color="FFFFFF" w:fill="FFFFFF"/>
            <w:noWrap/>
            <w:vAlign w:val="center"/>
            <w:hideMark/>
          </w:tcPr>
          <w:p w14:paraId="64058C63" w14:textId="77777777" w:rsidR="0047687A" w:rsidRPr="005734B8" w:rsidRDefault="0047687A" w:rsidP="00F06229">
            <w:pPr>
              <w:jc w:val="right"/>
              <w:rPr>
                <w:rFonts w:ascii="Calibri" w:hAnsi="Calibri" w:cs="Calibri"/>
                <w:sz w:val="18"/>
                <w:szCs w:val="18"/>
              </w:rPr>
            </w:pPr>
            <w:r w:rsidRPr="005734B8">
              <w:rPr>
                <w:rFonts w:ascii="Calibri" w:hAnsi="Calibri" w:cs="Calibri"/>
                <w:sz w:val="18"/>
                <w:szCs w:val="18"/>
              </w:rPr>
              <w:t xml:space="preserve">0.1 </w:t>
            </w:r>
          </w:p>
        </w:tc>
      </w:tr>
      <w:tr w:rsidR="0047687A" w:rsidRPr="005734B8" w14:paraId="4DBC0175" w14:textId="77777777" w:rsidTr="000F48B1">
        <w:trPr>
          <w:trHeight w:val="480"/>
        </w:trPr>
        <w:tc>
          <w:tcPr>
            <w:tcW w:w="3835" w:type="dxa"/>
            <w:tcBorders>
              <w:top w:val="nil"/>
              <w:left w:val="single" w:sz="4" w:space="0" w:color="FFFFFF"/>
              <w:bottom w:val="single" w:sz="4" w:space="0" w:color="auto"/>
              <w:right w:val="single" w:sz="4" w:space="0" w:color="FFFFFF"/>
            </w:tcBorders>
            <w:shd w:val="clear" w:color="FFFFFF" w:fill="FFFFFF"/>
            <w:vAlign w:val="center"/>
            <w:hideMark/>
          </w:tcPr>
          <w:p w14:paraId="269D3BFB" w14:textId="77777777" w:rsidR="0047687A" w:rsidRPr="005734B8" w:rsidRDefault="0047687A" w:rsidP="00F06229">
            <w:pPr>
              <w:rPr>
                <w:rFonts w:ascii="Calibri" w:hAnsi="Calibri" w:cs="Calibri"/>
                <w:sz w:val="18"/>
                <w:szCs w:val="18"/>
              </w:rPr>
            </w:pPr>
            <w:r w:rsidRPr="005734B8">
              <w:rPr>
                <w:rFonts w:ascii="Calibri" w:hAnsi="Calibri" w:cs="Calibri"/>
                <w:sz w:val="18"/>
                <w:szCs w:val="18"/>
              </w:rPr>
              <w:t>Section 10 of the FM Act</w:t>
            </w:r>
          </w:p>
        </w:tc>
        <w:tc>
          <w:tcPr>
            <w:tcW w:w="1687" w:type="dxa"/>
            <w:tcBorders>
              <w:top w:val="nil"/>
              <w:left w:val="nil"/>
              <w:bottom w:val="single" w:sz="4" w:space="0" w:color="auto"/>
              <w:right w:val="single" w:sz="4" w:space="0" w:color="FFFFFF"/>
            </w:tcBorders>
            <w:shd w:val="clear" w:color="FFFFFF" w:fill="FFFFFF"/>
            <w:vAlign w:val="center"/>
            <w:hideMark/>
          </w:tcPr>
          <w:p w14:paraId="7912DD1A" w14:textId="77777777" w:rsidR="0047687A" w:rsidRPr="005734B8" w:rsidRDefault="0047687A" w:rsidP="00F06229">
            <w:pPr>
              <w:rPr>
                <w:rFonts w:ascii="Calibri" w:hAnsi="Calibri" w:cs="Calibri"/>
                <w:sz w:val="18"/>
                <w:szCs w:val="18"/>
              </w:rPr>
            </w:pPr>
            <w:r w:rsidRPr="005734B8">
              <w:rPr>
                <w:rFonts w:ascii="Calibri" w:hAnsi="Calibri" w:cs="Calibri"/>
                <w:sz w:val="18"/>
                <w:szCs w:val="18"/>
              </w:rPr>
              <w:t xml:space="preserve">Support for students with a disability </w:t>
            </w:r>
          </w:p>
        </w:tc>
        <w:tc>
          <w:tcPr>
            <w:tcW w:w="1053" w:type="dxa"/>
            <w:tcBorders>
              <w:top w:val="nil"/>
              <w:left w:val="nil"/>
              <w:bottom w:val="single" w:sz="4" w:space="0" w:color="auto"/>
              <w:right w:val="single" w:sz="4" w:space="0" w:color="FFFFFF"/>
            </w:tcBorders>
            <w:shd w:val="clear" w:color="000000" w:fill="D9D9D9"/>
            <w:noWrap/>
            <w:vAlign w:val="center"/>
            <w:hideMark/>
          </w:tcPr>
          <w:p w14:paraId="63B9353D" w14:textId="77777777" w:rsidR="0047687A" w:rsidRPr="005734B8" w:rsidRDefault="0047687A" w:rsidP="00F06229">
            <w:pPr>
              <w:jc w:val="right"/>
              <w:rPr>
                <w:rFonts w:ascii="Calibri" w:hAnsi="Calibri" w:cs="Calibri"/>
                <w:sz w:val="18"/>
                <w:szCs w:val="18"/>
              </w:rPr>
            </w:pPr>
            <w:r w:rsidRPr="005734B8">
              <w:rPr>
                <w:rFonts w:ascii="Calibri" w:hAnsi="Calibri" w:cs="Calibri"/>
                <w:sz w:val="18"/>
                <w:szCs w:val="18"/>
              </w:rPr>
              <w:t xml:space="preserve">0.7 </w:t>
            </w:r>
          </w:p>
        </w:tc>
        <w:tc>
          <w:tcPr>
            <w:tcW w:w="1050" w:type="dxa"/>
            <w:tcBorders>
              <w:top w:val="nil"/>
              <w:left w:val="nil"/>
              <w:bottom w:val="single" w:sz="4" w:space="0" w:color="auto"/>
              <w:right w:val="nil"/>
            </w:tcBorders>
            <w:shd w:val="clear" w:color="FFFFFF" w:fill="FFFFFF"/>
            <w:noWrap/>
            <w:vAlign w:val="center"/>
            <w:hideMark/>
          </w:tcPr>
          <w:p w14:paraId="533C5CAC" w14:textId="77777777" w:rsidR="0047687A" w:rsidRPr="005734B8" w:rsidRDefault="0047687A" w:rsidP="00F06229">
            <w:pPr>
              <w:jc w:val="right"/>
              <w:rPr>
                <w:rFonts w:ascii="Calibri" w:hAnsi="Calibri" w:cs="Calibri"/>
                <w:sz w:val="18"/>
                <w:szCs w:val="18"/>
              </w:rPr>
            </w:pPr>
            <w:r w:rsidRPr="005734B8">
              <w:rPr>
                <w:rFonts w:ascii="Calibri" w:hAnsi="Calibri" w:cs="Calibri"/>
                <w:sz w:val="18"/>
                <w:szCs w:val="18"/>
              </w:rPr>
              <w:t xml:space="preserve">3.6 </w:t>
            </w:r>
          </w:p>
        </w:tc>
      </w:tr>
      <w:tr w:rsidR="0047687A" w:rsidRPr="005734B8" w14:paraId="5EFE6C8F" w14:textId="77777777" w:rsidTr="000F48B1">
        <w:trPr>
          <w:trHeight w:val="480"/>
        </w:trPr>
        <w:tc>
          <w:tcPr>
            <w:tcW w:w="3835" w:type="dxa"/>
            <w:tcBorders>
              <w:top w:val="nil"/>
              <w:left w:val="single" w:sz="4" w:space="0" w:color="FFFFFF"/>
              <w:bottom w:val="single" w:sz="4" w:space="0" w:color="auto"/>
              <w:right w:val="single" w:sz="4" w:space="0" w:color="FFFFFF"/>
            </w:tcBorders>
            <w:shd w:val="clear" w:color="FFFFFF" w:fill="FFFFFF"/>
            <w:vAlign w:val="center"/>
            <w:hideMark/>
          </w:tcPr>
          <w:p w14:paraId="4090D094" w14:textId="77777777" w:rsidR="0047687A" w:rsidRPr="005734B8" w:rsidRDefault="0047687A" w:rsidP="00F06229">
            <w:pPr>
              <w:rPr>
                <w:rFonts w:ascii="Calibri" w:hAnsi="Calibri" w:cs="Calibri"/>
                <w:sz w:val="18"/>
                <w:szCs w:val="18"/>
              </w:rPr>
            </w:pPr>
            <w:r w:rsidRPr="005734B8">
              <w:rPr>
                <w:rFonts w:ascii="Calibri" w:hAnsi="Calibri" w:cs="Calibri"/>
                <w:sz w:val="18"/>
                <w:szCs w:val="18"/>
              </w:rPr>
              <w:t>Section 10 of the FM Act</w:t>
            </w:r>
          </w:p>
        </w:tc>
        <w:tc>
          <w:tcPr>
            <w:tcW w:w="1687" w:type="dxa"/>
            <w:tcBorders>
              <w:top w:val="nil"/>
              <w:left w:val="nil"/>
              <w:bottom w:val="single" w:sz="4" w:space="0" w:color="auto"/>
              <w:right w:val="single" w:sz="4" w:space="0" w:color="FFFFFF"/>
            </w:tcBorders>
            <w:shd w:val="clear" w:color="FFFFFF" w:fill="FFFFFF"/>
            <w:vAlign w:val="center"/>
            <w:hideMark/>
          </w:tcPr>
          <w:p w14:paraId="0E9E86E6" w14:textId="77777777" w:rsidR="0047687A" w:rsidRPr="005734B8" w:rsidRDefault="0047687A" w:rsidP="00F06229">
            <w:pPr>
              <w:rPr>
                <w:rFonts w:ascii="Calibri" w:hAnsi="Calibri" w:cs="Calibri"/>
                <w:sz w:val="18"/>
                <w:szCs w:val="18"/>
              </w:rPr>
            </w:pPr>
            <w:r w:rsidRPr="005734B8">
              <w:rPr>
                <w:rFonts w:ascii="Calibri" w:hAnsi="Calibri" w:cs="Calibri"/>
                <w:sz w:val="18"/>
                <w:szCs w:val="18"/>
              </w:rPr>
              <w:t xml:space="preserve">Independent public schools </w:t>
            </w:r>
          </w:p>
        </w:tc>
        <w:tc>
          <w:tcPr>
            <w:tcW w:w="1053" w:type="dxa"/>
            <w:tcBorders>
              <w:top w:val="nil"/>
              <w:left w:val="nil"/>
              <w:bottom w:val="single" w:sz="4" w:space="0" w:color="auto"/>
              <w:right w:val="single" w:sz="4" w:space="0" w:color="FFFFFF"/>
            </w:tcBorders>
            <w:shd w:val="clear" w:color="000000" w:fill="D9D9D9"/>
            <w:noWrap/>
            <w:vAlign w:val="center"/>
            <w:hideMark/>
          </w:tcPr>
          <w:p w14:paraId="72A9E3D1" w14:textId="77777777" w:rsidR="0047687A" w:rsidRPr="005734B8" w:rsidRDefault="0047687A" w:rsidP="00F06229">
            <w:pPr>
              <w:jc w:val="right"/>
              <w:rPr>
                <w:rFonts w:ascii="Calibri" w:hAnsi="Calibri" w:cs="Calibri"/>
                <w:sz w:val="18"/>
                <w:szCs w:val="18"/>
              </w:rPr>
            </w:pPr>
            <w:r w:rsidRPr="005734B8">
              <w:rPr>
                <w:rFonts w:ascii="Calibri" w:hAnsi="Calibri" w:cs="Calibri"/>
                <w:sz w:val="18"/>
                <w:szCs w:val="18"/>
              </w:rPr>
              <w:t xml:space="preserve">0.2 </w:t>
            </w:r>
          </w:p>
        </w:tc>
        <w:tc>
          <w:tcPr>
            <w:tcW w:w="1050" w:type="dxa"/>
            <w:tcBorders>
              <w:top w:val="nil"/>
              <w:left w:val="nil"/>
              <w:bottom w:val="single" w:sz="4" w:space="0" w:color="auto"/>
              <w:right w:val="nil"/>
            </w:tcBorders>
            <w:shd w:val="clear" w:color="FFFFFF" w:fill="FFFFFF"/>
            <w:noWrap/>
            <w:vAlign w:val="center"/>
            <w:hideMark/>
          </w:tcPr>
          <w:p w14:paraId="7A95C6F4" w14:textId="77777777" w:rsidR="0047687A" w:rsidRPr="005734B8" w:rsidRDefault="0047687A" w:rsidP="00F06229">
            <w:pPr>
              <w:jc w:val="right"/>
              <w:rPr>
                <w:rFonts w:ascii="Calibri" w:hAnsi="Calibri" w:cs="Calibri"/>
                <w:sz w:val="18"/>
                <w:szCs w:val="18"/>
              </w:rPr>
            </w:pPr>
            <w:r w:rsidRPr="005734B8">
              <w:rPr>
                <w:rFonts w:ascii="Calibri" w:hAnsi="Calibri" w:cs="Calibri"/>
                <w:sz w:val="18"/>
                <w:szCs w:val="18"/>
              </w:rPr>
              <w:t xml:space="preserve">4.3 </w:t>
            </w:r>
          </w:p>
        </w:tc>
      </w:tr>
      <w:tr w:rsidR="0047687A" w:rsidRPr="005734B8" w14:paraId="4817152C" w14:textId="77777777" w:rsidTr="000F48B1">
        <w:trPr>
          <w:trHeight w:val="495"/>
        </w:trPr>
        <w:tc>
          <w:tcPr>
            <w:tcW w:w="3835" w:type="dxa"/>
            <w:tcBorders>
              <w:top w:val="nil"/>
              <w:left w:val="single" w:sz="4" w:space="0" w:color="FFFFFF"/>
              <w:bottom w:val="single" w:sz="4" w:space="0" w:color="auto"/>
              <w:right w:val="single" w:sz="4" w:space="0" w:color="FFFFFF"/>
            </w:tcBorders>
            <w:shd w:val="clear" w:color="FFFFFF" w:fill="FFFFFF"/>
            <w:vAlign w:val="center"/>
            <w:hideMark/>
          </w:tcPr>
          <w:p w14:paraId="619795C5" w14:textId="77777777" w:rsidR="0047687A" w:rsidRPr="005734B8" w:rsidRDefault="0047687A" w:rsidP="00F06229">
            <w:pPr>
              <w:rPr>
                <w:rFonts w:ascii="Calibri" w:hAnsi="Calibri" w:cs="Calibri"/>
                <w:sz w:val="18"/>
                <w:szCs w:val="18"/>
              </w:rPr>
            </w:pPr>
            <w:r w:rsidRPr="005734B8">
              <w:rPr>
                <w:rFonts w:ascii="Calibri" w:hAnsi="Calibri" w:cs="Calibri"/>
                <w:sz w:val="18"/>
                <w:szCs w:val="18"/>
              </w:rPr>
              <w:t>Section 10 of the FM Act</w:t>
            </w:r>
          </w:p>
        </w:tc>
        <w:tc>
          <w:tcPr>
            <w:tcW w:w="1687" w:type="dxa"/>
            <w:tcBorders>
              <w:top w:val="nil"/>
              <w:left w:val="nil"/>
              <w:bottom w:val="single" w:sz="4" w:space="0" w:color="auto"/>
              <w:right w:val="single" w:sz="4" w:space="0" w:color="FFFFFF"/>
            </w:tcBorders>
            <w:shd w:val="clear" w:color="FFFFFF" w:fill="FFFFFF"/>
            <w:vAlign w:val="center"/>
            <w:hideMark/>
          </w:tcPr>
          <w:p w14:paraId="0F598F05" w14:textId="77777777" w:rsidR="0047687A" w:rsidRPr="005734B8" w:rsidRDefault="0047687A" w:rsidP="00F06229">
            <w:pPr>
              <w:rPr>
                <w:rFonts w:ascii="Calibri" w:hAnsi="Calibri" w:cs="Calibri"/>
                <w:sz w:val="18"/>
                <w:szCs w:val="18"/>
              </w:rPr>
            </w:pPr>
            <w:r w:rsidRPr="005734B8">
              <w:rPr>
                <w:rFonts w:ascii="Calibri" w:hAnsi="Calibri" w:cs="Calibri"/>
                <w:sz w:val="18"/>
                <w:szCs w:val="18"/>
              </w:rPr>
              <w:t>National school chaplaincy program</w:t>
            </w:r>
          </w:p>
        </w:tc>
        <w:tc>
          <w:tcPr>
            <w:tcW w:w="1053" w:type="dxa"/>
            <w:tcBorders>
              <w:top w:val="nil"/>
              <w:left w:val="nil"/>
              <w:bottom w:val="single" w:sz="4" w:space="0" w:color="auto"/>
              <w:right w:val="single" w:sz="4" w:space="0" w:color="FFFFFF"/>
            </w:tcBorders>
            <w:shd w:val="clear" w:color="000000" w:fill="D9D9D9"/>
            <w:noWrap/>
            <w:vAlign w:val="center"/>
            <w:hideMark/>
          </w:tcPr>
          <w:p w14:paraId="79D06E3B" w14:textId="77777777" w:rsidR="0047687A" w:rsidRPr="005734B8" w:rsidRDefault="0047687A" w:rsidP="00F06229">
            <w:pPr>
              <w:jc w:val="right"/>
              <w:rPr>
                <w:rFonts w:ascii="Calibri" w:hAnsi="Calibri" w:cs="Calibri"/>
                <w:sz w:val="18"/>
                <w:szCs w:val="18"/>
              </w:rPr>
            </w:pPr>
            <w:r w:rsidRPr="005734B8">
              <w:rPr>
                <w:rFonts w:ascii="Calibri" w:hAnsi="Calibri" w:cs="Calibri"/>
                <w:sz w:val="18"/>
                <w:szCs w:val="18"/>
              </w:rPr>
              <w:t xml:space="preserve">4.8 </w:t>
            </w:r>
          </w:p>
        </w:tc>
        <w:tc>
          <w:tcPr>
            <w:tcW w:w="1050" w:type="dxa"/>
            <w:tcBorders>
              <w:top w:val="nil"/>
              <w:left w:val="nil"/>
              <w:bottom w:val="single" w:sz="4" w:space="0" w:color="auto"/>
              <w:right w:val="nil"/>
            </w:tcBorders>
            <w:shd w:val="clear" w:color="FFFFFF" w:fill="FFFFFF"/>
            <w:noWrap/>
            <w:vAlign w:val="center"/>
            <w:hideMark/>
          </w:tcPr>
          <w:p w14:paraId="4C21CF35" w14:textId="1CF52FE9" w:rsidR="0047687A" w:rsidRPr="005734B8" w:rsidRDefault="00244FF7" w:rsidP="00F06229">
            <w:pPr>
              <w:jc w:val="right"/>
              <w:rPr>
                <w:rFonts w:ascii="Calibri" w:hAnsi="Calibri" w:cs="Calibri"/>
                <w:sz w:val="18"/>
                <w:szCs w:val="18"/>
              </w:rPr>
            </w:pPr>
            <w:r w:rsidRPr="005734B8">
              <w:rPr>
                <w:rFonts w:ascii="Calibri" w:hAnsi="Calibri" w:cs="Calibri"/>
                <w:sz w:val="18"/>
                <w:szCs w:val="18"/>
              </w:rPr>
              <w:softHyphen/>
            </w:r>
            <w:r w:rsidR="00BA00EE" w:rsidRPr="005734B8">
              <w:rPr>
                <w:rFonts w:ascii="Calibri" w:hAnsi="Calibri" w:cs="Calibri"/>
                <w:sz w:val="18"/>
                <w:szCs w:val="18"/>
              </w:rPr>
              <w:t>–</w:t>
            </w:r>
            <w:r w:rsidR="0047687A" w:rsidRPr="005734B8">
              <w:rPr>
                <w:rFonts w:ascii="Calibri" w:hAnsi="Calibri" w:cs="Calibri"/>
                <w:sz w:val="18"/>
                <w:szCs w:val="18"/>
              </w:rPr>
              <w:t xml:space="preserve"> </w:t>
            </w:r>
          </w:p>
        </w:tc>
      </w:tr>
      <w:tr w:rsidR="0047687A" w:rsidRPr="005734B8" w14:paraId="64975068" w14:textId="77777777" w:rsidTr="000F48B1">
        <w:trPr>
          <w:trHeight w:val="300"/>
        </w:trPr>
        <w:tc>
          <w:tcPr>
            <w:tcW w:w="3835"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894088F" w14:textId="77777777" w:rsidR="0047687A" w:rsidRPr="005734B8" w:rsidRDefault="0047687A" w:rsidP="00F06229">
            <w:pPr>
              <w:rPr>
                <w:rFonts w:ascii="Calibri" w:hAnsi="Calibri" w:cs="Calibri"/>
                <w:b/>
                <w:sz w:val="18"/>
                <w:szCs w:val="18"/>
              </w:rPr>
            </w:pPr>
            <w:r w:rsidRPr="005734B8">
              <w:rPr>
                <w:rFonts w:ascii="Calibri" w:hAnsi="Calibri" w:cs="Calibri"/>
                <w:b/>
                <w:sz w:val="18"/>
                <w:szCs w:val="18"/>
              </w:rPr>
              <w:t>Total special appropriation revenue</w:t>
            </w:r>
            <w:r w:rsidRPr="005734B8">
              <w:rPr>
                <w:rStyle w:val="FootnoteReference"/>
                <w:rFonts w:ascii="Calibri" w:hAnsi="Calibri" w:cs="Calibri"/>
                <w:b/>
                <w:sz w:val="18"/>
                <w:szCs w:val="18"/>
              </w:rPr>
              <w:footnoteReference w:id="78"/>
            </w:r>
          </w:p>
        </w:tc>
        <w:tc>
          <w:tcPr>
            <w:tcW w:w="1687" w:type="dxa"/>
            <w:tcBorders>
              <w:top w:val="single" w:sz="12" w:space="0" w:color="auto"/>
              <w:left w:val="nil"/>
              <w:bottom w:val="single" w:sz="12" w:space="0" w:color="auto"/>
              <w:right w:val="single" w:sz="12" w:space="0" w:color="FFFFFF"/>
            </w:tcBorders>
            <w:shd w:val="clear" w:color="FFFFFF" w:fill="FFFFFF"/>
            <w:vAlign w:val="center"/>
            <w:hideMark/>
          </w:tcPr>
          <w:p w14:paraId="22192C0B" w14:textId="77777777" w:rsidR="0047687A" w:rsidRPr="005734B8" w:rsidRDefault="0047687A" w:rsidP="00F06229">
            <w:pPr>
              <w:rPr>
                <w:rFonts w:ascii="Calibri" w:hAnsi="Calibri" w:cs="Calibri"/>
                <w:b/>
                <w:sz w:val="18"/>
                <w:szCs w:val="18"/>
              </w:rPr>
            </w:pPr>
            <w:r w:rsidRPr="005734B8">
              <w:rPr>
                <w:rFonts w:ascii="Calibri" w:hAnsi="Calibri" w:cs="Calibri"/>
                <w:b/>
                <w:sz w:val="18"/>
                <w:szCs w:val="18"/>
              </w:rPr>
              <w:t> </w:t>
            </w:r>
          </w:p>
        </w:tc>
        <w:tc>
          <w:tcPr>
            <w:tcW w:w="1053"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3ABB7086" w14:textId="77777777" w:rsidR="0047687A" w:rsidRPr="005734B8" w:rsidRDefault="0047687A" w:rsidP="00F06229">
            <w:pPr>
              <w:jc w:val="right"/>
              <w:rPr>
                <w:rFonts w:ascii="Calibri" w:hAnsi="Calibri" w:cs="Calibri"/>
                <w:b/>
                <w:sz w:val="18"/>
                <w:szCs w:val="18"/>
              </w:rPr>
            </w:pPr>
            <w:r w:rsidRPr="005734B8">
              <w:rPr>
                <w:rFonts w:ascii="Calibri" w:hAnsi="Calibri" w:cs="Calibri"/>
                <w:b/>
                <w:sz w:val="18"/>
                <w:szCs w:val="18"/>
              </w:rPr>
              <w:t xml:space="preserve">5.8 </w:t>
            </w:r>
          </w:p>
        </w:tc>
        <w:tc>
          <w:tcPr>
            <w:tcW w:w="1050" w:type="dxa"/>
            <w:tcBorders>
              <w:top w:val="single" w:sz="12" w:space="0" w:color="auto"/>
              <w:left w:val="nil"/>
              <w:bottom w:val="single" w:sz="12" w:space="0" w:color="auto"/>
              <w:right w:val="single" w:sz="12" w:space="0" w:color="FFFFFF"/>
            </w:tcBorders>
            <w:shd w:val="clear" w:color="FFFFFF" w:fill="FFFFFF"/>
            <w:noWrap/>
            <w:vAlign w:val="center"/>
            <w:hideMark/>
          </w:tcPr>
          <w:p w14:paraId="43D885F1" w14:textId="77777777" w:rsidR="0047687A" w:rsidRPr="005734B8" w:rsidRDefault="0047687A" w:rsidP="00F06229">
            <w:pPr>
              <w:jc w:val="right"/>
              <w:rPr>
                <w:rFonts w:ascii="Calibri" w:hAnsi="Calibri" w:cs="Calibri"/>
                <w:b/>
                <w:sz w:val="18"/>
                <w:szCs w:val="18"/>
              </w:rPr>
            </w:pPr>
            <w:r w:rsidRPr="005734B8">
              <w:rPr>
                <w:rFonts w:ascii="Calibri" w:hAnsi="Calibri" w:cs="Calibri"/>
                <w:b/>
                <w:sz w:val="18"/>
                <w:szCs w:val="18"/>
              </w:rPr>
              <w:t xml:space="preserve">8.0 </w:t>
            </w:r>
          </w:p>
        </w:tc>
      </w:tr>
      <w:tr w:rsidR="0047687A" w:rsidRPr="005734B8" w14:paraId="71496092" w14:textId="77777777" w:rsidTr="000F48B1">
        <w:trPr>
          <w:trHeight w:val="270"/>
        </w:trPr>
        <w:tc>
          <w:tcPr>
            <w:tcW w:w="3835"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1BF4882A" w14:textId="77777777" w:rsidR="0047687A" w:rsidRPr="005734B8" w:rsidRDefault="0047687A" w:rsidP="00F06229">
            <w:pPr>
              <w:rPr>
                <w:rFonts w:ascii="Calibri" w:hAnsi="Calibri" w:cs="Calibri"/>
                <w:b/>
                <w:sz w:val="18"/>
                <w:szCs w:val="18"/>
              </w:rPr>
            </w:pPr>
            <w:r w:rsidRPr="005734B8">
              <w:rPr>
                <w:rFonts w:ascii="Calibri" w:hAnsi="Calibri" w:cs="Calibri"/>
                <w:b/>
                <w:sz w:val="18"/>
                <w:szCs w:val="18"/>
              </w:rPr>
              <w:t>Funded from receivables:</w:t>
            </w:r>
          </w:p>
        </w:tc>
        <w:tc>
          <w:tcPr>
            <w:tcW w:w="1687" w:type="dxa"/>
            <w:tcBorders>
              <w:top w:val="single" w:sz="4" w:space="0" w:color="auto"/>
              <w:left w:val="nil"/>
              <w:bottom w:val="single" w:sz="4" w:space="0" w:color="auto"/>
              <w:right w:val="single" w:sz="4" w:space="0" w:color="FFFFFF"/>
            </w:tcBorders>
            <w:shd w:val="clear" w:color="000000" w:fill="D9D9D9"/>
            <w:vAlign w:val="bottom"/>
            <w:hideMark/>
          </w:tcPr>
          <w:p w14:paraId="0F1879B2" w14:textId="77777777" w:rsidR="0047687A" w:rsidRPr="005734B8" w:rsidRDefault="0047687A" w:rsidP="00F06229">
            <w:pPr>
              <w:rPr>
                <w:rFonts w:ascii="Calibri" w:hAnsi="Calibri" w:cs="Calibri"/>
                <w:b/>
                <w:sz w:val="18"/>
                <w:szCs w:val="18"/>
              </w:rPr>
            </w:pPr>
            <w:r w:rsidRPr="005734B8">
              <w:rPr>
                <w:rFonts w:ascii="Calibri" w:hAnsi="Calibri" w:cs="Calibri"/>
                <w:b/>
                <w:sz w:val="18"/>
                <w:szCs w:val="18"/>
              </w:rPr>
              <w:t> </w:t>
            </w:r>
          </w:p>
        </w:tc>
        <w:tc>
          <w:tcPr>
            <w:tcW w:w="1053" w:type="dxa"/>
            <w:tcBorders>
              <w:top w:val="single" w:sz="4" w:space="0" w:color="auto"/>
              <w:left w:val="nil"/>
              <w:bottom w:val="single" w:sz="4" w:space="0" w:color="auto"/>
              <w:right w:val="single" w:sz="4" w:space="0" w:color="FFFFFF"/>
            </w:tcBorders>
            <w:shd w:val="clear" w:color="000000" w:fill="D9D9D9"/>
            <w:vAlign w:val="bottom"/>
            <w:hideMark/>
          </w:tcPr>
          <w:p w14:paraId="39014B40" w14:textId="77777777" w:rsidR="0047687A" w:rsidRPr="005734B8" w:rsidRDefault="0047687A" w:rsidP="00F06229">
            <w:pPr>
              <w:rPr>
                <w:rFonts w:ascii="Calibri" w:hAnsi="Calibri" w:cs="Calibri"/>
                <w:b/>
                <w:sz w:val="18"/>
                <w:szCs w:val="18"/>
              </w:rPr>
            </w:pPr>
            <w:r w:rsidRPr="005734B8">
              <w:rPr>
                <w:rFonts w:ascii="Calibri" w:hAnsi="Calibri" w:cs="Calibri"/>
                <w:b/>
                <w:sz w:val="18"/>
                <w:szCs w:val="18"/>
              </w:rPr>
              <w:t> </w:t>
            </w:r>
          </w:p>
        </w:tc>
        <w:tc>
          <w:tcPr>
            <w:tcW w:w="1050" w:type="dxa"/>
            <w:tcBorders>
              <w:top w:val="single" w:sz="4" w:space="0" w:color="auto"/>
              <w:left w:val="nil"/>
              <w:bottom w:val="single" w:sz="4" w:space="0" w:color="auto"/>
              <w:right w:val="single" w:sz="4" w:space="0" w:color="FFFFFF"/>
            </w:tcBorders>
            <w:shd w:val="clear" w:color="000000" w:fill="D9D9D9"/>
            <w:vAlign w:val="bottom"/>
            <w:hideMark/>
          </w:tcPr>
          <w:p w14:paraId="01B0A8D3" w14:textId="77777777" w:rsidR="0047687A" w:rsidRPr="005734B8" w:rsidRDefault="0047687A" w:rsidP="00F06229">
            <w:pPr>
              <w:rPr>
                <w:rFonts w:ascii="Calibri" w:hAnsi="Calibri" w:cs="Calibri"/>
                <w:b/>
                <w:sz w:val="18"/>
                <w:szCs w:val="18"/>
              </w:rPr>
            </w:pPr>
            <w:r w:rsidRPr="005734B8">
              <w:rPr>
                <w:rFonts w:ascii="Calibri" w:hAnsi="Calibri" w:cs="Calibri"/>
                <w:b/>
                <w:sz w:val="18"/>
                <w:szCs w:val="18"/>
              </w:rPr>
              <w:t> </w:t>
            </w:r>
          </w:p>
        </w:tc>
      </w:tr>
      <w:tr w:rsidR="0047687A" w:rsidRPr="005734B8" w14:paraId="0A0D99F7" w14:textId="77777777" w:rsidTr="000F48B1">
        <w:trPr>
          <w:trHeight w:val="480"/>
        </w:trPr>
        <w:tc>
          <w:tcPr>
            <w:tcW w:w="3835" w:type="dxa"/>
            <w:tcBorders>
              <w:top w:val="nil"/>
              <w:left w:val="single" w:sz="4" w:space="0" w:color="FFFFFF"/>
              <w:bottom w:val="single" w:sz="4" w:space="0" w:color="auto"/>
              <w:right w:val="single" w:sz="4" w:space="0" w:color="FFFFFF"/>
            </w:tcBorders>
            <w:shd w:val="clear" w:color="FFFFFF" w:fill="FFFFFF"/>
            <w:vAlign w:val="center"/>
            <w:hideMark/>
          </w:tcPr>
          <w:p w14:paraId="270AAA8B" w14:textId="77777777" w:rsidR="0047687A" w:rsidRPr="005734B8" w:rsidRDefault="0047687A" w:rsidP="00F06229">
            <w:pPr>
              <w:rPr>
                <w:rFonts w:ascii="Calibri" w:hAnsi="Calibri" w:cs="Calibri"/>
                <w:sz w:val="18"/>
                <w:szCs w:val="18"/>
              </w:rPr>
            </w:pPr>
            <w:r w:rsidRPr="005734B8">
              <w:rPr>
                <w:rFonts w:ascii="Calibri" w:hAnsi="Calibri" w:cs="Calibri"/>
                <w:sz w:val="18"/>
                <w:szCs w:val="18"/>
              </w:rPr>
              <w:t>Section 33 of the FM Act</w:t>
            </w:r>
          </w:p>
        </w:tc>
        <w:tc>
          <w:tcPr>
            <w:tcW w:w="1687" w:type="dxa"/>
            <w:tcBorders>
              <w:top w:val="nil"/>
              <w:left w:val="nil"/>
              <w:bottom w:val="single" w:sz="4" w:space="0" w:color="auto"/>
              <w:right w:val="single" w:sz="4" w:space="0" w:color="FFFFFF"/>
            </w:tcBorders>
            <w:shd w:val="clear" w:color="FFFFFF" w:fill="FFFFFF"/>
            <w:vAlign w:val="center"/>
            <w:hideMark/>
          </w:tcPr>
          <w:p w14:paraId="5F3D5775" w14:textId="77777777" w:rsidR="0047687A" w:rsidRPr="005734B8" w:rsidRDefault="0047687A" w:rsidP="00F06229">
            <w:pPr>
              <w:rPr>
                <w:rFonts w:ascii="Calibri" w:hAnsi="Calibri" w:cs="Calibri"/>
                <w:sz w:val="18"/>
                <w:szCs w:val="18"/>
              </w:rPr>
            </w:pPr>
            <w:r w:rsidRPr="005734B8">
              <w:rPr>
                <w:rFonts w:ascii="Calibri" w:hAnsi="Calibri" w:cs="Calibri"/>
                <w:sz w:val="18"/>
                <w:szCs w:val="18"/>
              </w:rPr>
              <w:t>Funding the asset program</w:t>
            </w:r>
          </w:p>
        </w:tc>
        <w:tc>
          <w:tcPr>
            <w:tcW w:w="1053" w:type="dxa"/>
            <w:tcBorders>
              <w:top w:val="nil"/>
              <w:left w:val="nil"/>
              <w:bottom w:val="single" w:sz="4" w:space="0" w:color="auto"/>
              <w:right w:val="single" w:sz="4" w:space="0" w:color="FFFFFF"/>
            </w:tcBorders>
            <w:shd w:val="clear" w:color="000000" w:fill="D9D9D9"/>
            <w:noWrap/>
            <w:vAlign w:val="center"/>
            <w:hideMark/>
          </w:tcPr>
          <w:p w14:paraId="4F510FD9" w14:textId="0FF944AA" w:rsidR="0047687A" w:rsidRPr="005734B8" w:rsidRDefault="00EE3FB9" w:rsidP="00F06229">
            <w:pPr>
              <w:jc w:val="right"/>
              <w:rPr>
                <w:rFonts w:ascii="Calibri" w:hAnsi="Calibri" w:cs="Calibri"/>
                <w:sz w:val="18"/>
                <w:szCs w:val="18"/>
              </w:rPr>
            </w:pPr>
            <w:r w:rsidRPr="005734B8">
              <w:rPr>
                <w:rFonts w:ascii="Calibri" w:hAnsi="Calibri" w:cs="Calibri"/>
                <w:sz w:val="18"/>
                <w:szCs w:val="18"/>
              </w:rPr>
              <w:t>–</w:t>
            </w:r>
          </w:p>
        </w:tc>
        <w:tc>
          <w:tcPr>
            <w:tcW w:w="1050" w:type="dxa"/>
            <w:tcBorders>
              <w:top w:val="nil"/>
              <w:left w:val="nil"/>
              <w:bottom w:val="single" w:sz="4" w:space="0" w:color="auto"/>
              <w:right w:val="nil"/>
            </w:tcBorders>
            <w:shd w:val="clear" w:color="FFFFFF" w:fill="FFFFFF"/>
            <w:noWrap/>
            <w:vAlign w:val="center"/>
            <w:hideMark/>
          </w:tcPr>
          <w:p w14:paraId="73D9EAB2" w14:textId="77777777" w:rsidR="0047687A" w:rsidRPr="005734B8" w:rsidRDefault="0047687A" w:rsidP="00F06229">
            <w:pPr>
              <w:jc w:val="right"/>
              <w:rPr>
                <w:rFonts w:ascii="Calibri" w:hAnsi="Calibri" w:cs="Calibri"/>
                <w:sz w:val="18"/>
                <w:szCs w:val="18"/>
              </w:rPr>
            </w:pPr>
            <w:r w:rsidRPr="005734B8">
              <w:rPr>
                <w:rFonts w:ascii="Calibri" w:hAnsi="Calibri" w:cs="Calibri"/>
                <w:sz w:val="18"/>
                <w:szCs w:val="18"/>
              </w:rPr>
              <w:t xml:space="preserve">211.0 </w:t>
            </w:r>
          </w:p>
        </w:tc>
      </w:tr>
      <w:tr w:rsidR="0047687A" w:rsidRPr="005734B8" w14:paraId="09E5D581" w14:textId="77777777" w:rsidTr="000F48B1">
        <w:trPr>
          <w:trHeight w:val="495"/>
        </w:trPr>
        <w:tc>
          <w:tcPr>
            <w:tcW w:w="3835" w:type="dxa"/>
            <w:tcBorders>
              <w:top w:val="nil"/>
              <w:left w:val="single" w:sz="4" w:space="0" w:color="FFFFFF"/>
              <w:bottom w:val="single" w:sz="4" w:space="0" w:color="auto"/>
              <w:right w:val="single" w:sz="4" w:space="0" w:color="FFFFFF"/>
            </w:tcBorders>
            <w:shd w:val="clear" w:color="FFFFFF" w:fill="FFFFFF"/>
            <w:vAlign w:val="center"/>
            <w:hideMark/>
          </w:tcPr>
          <w:p w14:paraId="46D85067" w14:textId="77777777" w:rsidR="0047687A" w:rsidRPr="005734B8" w:rsidRDefault="0047687A" w:rsidP="00F06229">
            <w:pPr>
              <w:rPr>
                <w:rFonts w:ascii="Calibri" w:hAnsi="Calibri" w:cs="Calibri"/>
                <w:sz w:val="18"/>
                <w:szCs w:val="18"/>
              </w:rPr>
            </w:pPr>
            <w:r w:rsidRPr="005734B8">
              <w:rPr>
                <w:rFonts w:ascii="Calibri" w:hAnsi="Calibri" w:cs="Calibri"/>
                <w:sz w:val="18"/>
                <w:szCs w:val="18"/>
              </w:rPr>
              <w:t>Section 33 of the FM Act</w:t>
            </w:r>
            <w:r w:rsidRPr="005734B8">
              <w:rPr>
                <w:rStyle w:val="FootnoteReference"/>
                <w:rFonts w:ascii="Calibri" w:hAnsi="Calibri" w:cs="Calibri"/>
                <w:sz w:val="18"/>
                <w:szCs w:val="18"/>
              </w:rPr>
              <w:footnoteReference w:id="79"/>
            </w:r>
          </w:p>
        </w:tc>
        <w:tc>
          <w:tcPr>
            <w:tcW w:w="1687" w:type="dxa"/>
            <w:tcBorders>
              <w:top w:val="nil"/>
              <w:left w:val="nil"/>
              <w:bottom w:val="single" w:sz="4" w:space="0" w:color="auto"/>
              <w:right w:val="single" w:sz="4" w:space="0" w:color="FFFFFF"/>
            </w:tcBorders>
            <w:shd w:val="clear" w:color="FFFFFF" w:fill="FFFFFF"/>
            <w:vAlign w:val="center"/>
            <w:hideMark/>
          </w:tcPr>
          <w:p w14:paraId="739157AE" w14:textId="77777777" w:rsidR="0047687A" w:rsidRPr="005734B8" w:rsidRDefault="0047687A" w:rsidP="00F06229">
            <w:pPr>
              <w:rPr>
                <w:rFonts w:ascii="Calibri" w:hAnsi="Calibri" w:cs="Calibri"/>
                <w:sz w:val="18"/>
                <w:szCs w:val="18"/>
              </w:rPr>
            </w:pPr>
            <w:r w:rsidRPr="005734B8">
              <w:rPr>
                <w:rFonts w:ascii="Calibri" w:hAnsi="Calibri" w:cs="Calibri"/>
                <w:sz w:val="18"/>
                <w:szCs w:val="18"/>
              </w:rPr>
              <w:t>Combustible cladding</w:t>
            </w:r>
          </w:p>
        </w:tc>
        <w:tc>
          <w:tcPr>
            <w:tcW w:w="1053" w:type="dxa"/>
            <w:tcBorders>
              <w:top w:val="nil"/>
              <w:left w:val="nil"/>
              <w:bottom w:val="single" w:sz="4" w:space="0" w:color="auto"/>
              <w:right w:val="single" w:sz="4" w:space="0" w:color="FFFFFF"/>
            </w:tcBorders>
            <w:shd w:val="clear" w:color="000000" w:fill="D9D9D9"/>
            <w:noWrap/>
            <w:vAlign w:val="center"/>
            <w:hideMark/>
          </w:tcPr>
          <w:p w14:paraId="29DDAD5E" w14:textId="7152E38B" w:rsidR="0047687A" w:rsidRPr="005734B8" w:rsidRDefault="00EE3FB9" w:rsidP="00F06229">
            <w:pPr>
              <w:jc w:val="right"/>
              <w:rPr>
                <w:rFonts w:ascii="Calibri" w:hAnsi="Calibri" w:cs="Calibri"/>
                <w:sz w:val="18"/>
                <w:szCs w:val="18"/>
              </w:rPr>
            </w:pPr>
            <w:r w:rsidRPr="005734B8">
              <w:rPr>
                <w:rFonts w:ascii="Calibri" w:hAnsi="Calibri" w:cs="Calibri"/>
                <w:sz w:val="18"/>
                <w:szCs w:val="18"/>
              </w:rPr>
              <w:t>–</w:t>
            </w:r>
          </w:p>
        </w:tc>
        <w:tc>
          <w:tcPr>
            <w:tcW w:w="1050" w:type="dxa"/>
            <w:tcBorders>
              <w:top w:val="nil"/>
              <w:left w:val="nil"/>
              <w:bottom w:val="single" w:sz="4" w:space="0" w:color="auto"/>
              <w:right w:val="nil"/>
            </w:tcBorders>
            <w:shd w:val="clear" w:color="FFFFFF" w:fill="FFFFFF"/>
            <w:noWrap/>
            <w:vAlign w:val="center"/>
            <w:hideMark/>
          </w:tcPr>
          <w:p w14:paraId="3850AC11" w14:textId="77777777" w:rsidR="0047687A" w:rsidRPr="005734B8" w:rsidRDefault="0047687A" w:rsidP="00F06229">
            <w:pPr>
              <w:jc w:val="right"/>
              <w:rPr>
                <w:rFonts w:ascii="Calibri" w:hAnsi="Calibri" w:cs="Calibri"/>
                <w:sz w:val="18"/>
                <w:szCs w:val="18"/>
              </w:rPr>
            </w:pPr>
            <w:r w:rsidRPr="005734B8">
              <w:rPr>
                <w:rFonts w:ascii="Calibri" w:hAnsi="Calibri" w:cs="Calibri"/>
                <w:sz w:val="18"/>
                <w:szCs w:val="18"/>
              </w:rPr>
              <w:t xml:space="preserve">6.5 </w:t>
            </w:r>
          </w:p>
        </w:tc>
      </w:tr>
      <w:tr w:rsidR="0047687A" w:rsidRPr="005734B8" w14:paraId="412B7D55" w14:textId="77777777" w:rsidTr="000F48B1">
        <w:trPr>
          <w:trHeight w:val="375"/>
        </w:trPr>
        <w:tc>
          <w:tcPr>
            <w:tcW w:w="3835"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13C7AB9" w14:textId="77777777" w:rsidR="0047687A" w:rsidRPr="005734B8" w:rsidRDefault="0047687A" w:rsidP="00F06229">
            <w:pPr>
              <w:rPr>
                <w:rFonts w:ascii="Calibri" w:hAnsi="Calibri" w:cs="Calibri"/>
                <w:b/>
                <w:sz w:val="18"/>
                <w:szCs w:val="18"/>
              </w:rPr>
            </w:pPr>
            <w:r w:rsidRPr="005734B8">
              <w:rPr>
                <w:rFonts w:ascii="Calibri" w:hAnsi="Calibri" w:cs="Calibri"/>
                <w:b/>
                <w:sz w:val="18"/>
                <w:szCs w:val="18"/>
              </w:rPr>
              <w:t>Capital special appropriation total</w:t>
            </w:r>
            <w:r w:rsidRPr="005734B8">
              <w:rPr>
                <w:rStyle w:val="FootnoteReference"/>
                <w:rFonts w:ascii="Calibri" w:hAnsi="Calibri" w:cs="Calibri"/>
                <w:b/>
                <w:sz w:val="18"/>
                <w:szCs w:val="18"/>
              </w:rPr>
              <w:footnoteReference w:id="80"/>
            </w:r>
          </w:p>
        </w:tc>
        <w:tc>
          <w:tcPr>
            <w:tcW w:w="1687" w:type="dxa"/>
            <w:tcBorders>
              <w:top w:val="single" w:sz="12" w:space="0" w:color="auto"/>
              <w:left w:val="nil"/>
              <w:bottom w:val="single" w:sz="12" w:space="0" w:color="auto"/>
              <w:right w:val="single" w:sz="12" w:space="0" w:color="FFFFFF"/>
            </w:tcBorders>
            <w:shd w:val="clear" w:color="FFFFFF" w:fill="FFFFFF"/>
            <w:vAlign w:val="center"/>
            <w:hideMark/>
          </w:tcPr>
          <w:p w14:paraId="183CE247" w14:textId="77777777" w:rsidR="0047687A" w:rsidRPr="005734B8" w:rsidRDefault="0047687A" w:rsidP="00F06229">
            <w:pPr>
              <w:rPr>
                <w:rFonts w:ascii="Calibri" w:hAnsi="Calibri" w:cs="Calibri"/>
                <w:b/>
                <w:sz w:val="18"/>
                <w:szCs w:val="18"/>
              </w:rPr>
            </w:pPr>
            <w:r w:rsidRPr="005734B8">
              <w:rPr>
                <w:rFonts w:ascii="Calibri" w:hAnsi="Calibri" w:cs="Calibri"/>
                <w:b/>
                <w:sz w:val="18"/>
                <w:szCs w:val="18"/>
              </w:rPr>
              <w:t> </w:t>
            </w:r>
          </w:p>
        </w:tc>
        <w:tc>
          <w:tcPr>
            <w:tcW w:w="1053"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72C173D0" w14:textId="02251FEB" w:rsidR="0047687A" w:rsidRPr="005734B8" w:rsidRDefault="00EE3FB9" w:rsidP="00F06229">
            <w:pPr>
              <w:jc w:val="right"/>
              <w:rPr>
                <w:rFonts w:ascii="Calibri" w:hAnsi="Calibri" w:cs="Calibri"/>
                <w:b/>
                <w:sz w:val="18"/>
                <w:szCs w:val="18"/>
              </w:rPr>
            </w:pPr>
            <w:r w:rsidRPr="005734B8">
              <w:rPr>
                <w:rFonts w:ascii="Calibri" w:hAnsi="Calibri" w:cs="Calibri"/>
                <w:sz w:val="18"/>
                <w:szCs w:val="18"/>
              </w:rPr>
              <w:t>–</w:t>
            </w:r>
          </w:p>
        </w:tc>
        <w:tc>
          <w:tcPr>
            <w:tcW w:w="1050" w:type="dxa"/>
            <w:tcBorders>
              <w:top w:val="single" w:sz="12" w:space="0" w:color="auto"/>
              <w:left w:val="nil"/>
              <w:bottom w:val="single" w:sz="12" w:space="0" w:color="auto"/>
              <w:right w:val="single" w:sz="12" w:space="0" w:color="FFFFFF"/>
            </w:tcBorders>
            <w:shd w:val="clear" w:color="FFFFFF" w:fill="FFFFFF"/>
            <w:noWrap/>
            <w:vAlign w:val="center"/>
            <w:hideMark/>
          </w:tcPr>
          <w:p w14:paraId="0284F158" w14:textId="77777777" w:rsidR="0047687A" w:rsidRPr="005734B8" w:rsidRDefault="0047687A" w:rsidP="00F06229">
            <w:pPr>
              <w:jc w:val="right"/>
              <w:rPr>
                <w:rFonts w:ascii="Calibri" w:hAnsi="Calibri" w:cs="Calibri"/>
                <w:b/>
                <w:sz w:val="18"/>
                <w:szCs w:val="18"/>
              </w:rPr>
            </w:pPr>
            <w:r w:rsidRPr="005734B8">
              <w:rPr>
                <w:rFonts w:ascii="Calibri" w:hAnsi="Calibri" w:cs="Calibri"/>
                <w:b/>
                <w:sz w:val="18"/>
                <w:szCs w:val="18"/>
              </w:rPr>
              <w:t xml:space="preserve">217.5 </w:t>
            </w:r>
          </w:p>
        </w:tc>
      </w:tr>
      <w:tr w:rsidR="0047687A" w:rsidRPr="005734B8" w14:paraId="11DBE8B4" w14:textId="77777777" w:rsidTr="000F48B1">
        <w:trPr>
          <w:trHeight w:val="375"/>
        </w:trPr>
        <w:tc>
          <w:tcPr>
            <w:tcW w:w="3835" w:type="dxa"/>
            <w:tcBorders>
              <w:top w:val="nil"/>
              <w:left w:val="single" w:sz="12" w:space="0" w:color="FFFFFF"/>
              <w:bottom w:val="single" w:sz="12" w:space="0" w:color="auto"/>
              <w:right w:val="single" w:sz="12" w:space="0" w:color="FFFFFF"/>
            </w:tcBorders>
            <w:shd w:val="clear" w:color="FFFFFF" w:fill="FFFFFF"/>
            <w:vAlign w:val="center"/>
            <w:hideMark/>
          </w:tcPr>
          <w:p w14:paraId="3C7400D8" w14:textId="77777777" w:rsidR="0047687A" w:rsidRPr="005734B8" w:rsidRDefault="0047687A" w:rsidP="00F06229">
            <w:pPr>
              <w:rPr>
                <w:rFonts w:ascii="Calibri" w:hAnsi="Calibri" w:cs="Calibri"/>
                <w:b/>
                <w:sz w:val="18"/>
                <w:szCs w:val="18"/>
              </w:rPr>
            </w:pPr>
            <w:r w:rsidRPr="005734B8">
              <w:rPr>
                <w:rFonts w:ascii="Calibri" w:hAnsi="Calibri" w:cs="Calibri"/>
                <w:b/>
                <w:sz w:val="18"/>
                <w:szCs w:val="18"/>
              </w:rPr>
              <w:t>Total special appropriation</w:t>
            </w:r>
          </w:p>
        </w:tc>
        <w:tc>
          <w:tcPr>
            <w:tcW w:w="1687" w:type="dxa"/>
            <w:tcBorders>
              <w:top w:val="nil"/>
              <w:left w:val="nil"/>
              <w:bottom w:val="single" w:sz="12" w:space="0" w:color="auto"/>
              <w:right w:val="single" w:sz="12" w:space="0" w:color="FFFFFF"/>
            </w:tcBorders>
            <w:shd w:val="clear" w:color="FFFFFF" w:fill="FFFFFF"/>
            <w:vAlign w:val="center"/>
            <w:hideMark/>
          </w:tcPr>
          <w:p w14:paraId="49513C94" w14:textId="77777777" w:rsidR="0047687A" w:rsidRPr="005734B8" w:rsidRDefault="0047687A" w:rsidP="00F06229">
            <w:pPr>
              <w:rPr>
                <w:rFonts w:ascii="Calibri" w:hAnsi="Calibri" w:cs="Calibri"/>
                <w:b/>
                <w:sz w:val="18"/>
                <w:szCs w:val="18"/>
              </w:rPr>
            </w:pPr>
            <w:r w:rsidRPr="005734B8">
              <w:rPr>
                <w:rFonts w:ascii="Calibri" w:hAnsi="Calibri" w:cs="Calibri"/>
                <w:b/>
                <w:sz w:val="18"/>
                <w:szCs w:val="18"/>
              </w:rPr>
              <w:t> </w:t>
            </w:r>
          </w:p>
        </w:tc>
        <w:tc>
          <w:tcPr>
            <w:tcW w:w="1053" w:type="dxa"/>
            <w:tcBorders>
              <w:top w:val="nil"/>
              <w:left w:val="single" w:sz="4" w:space="0" w:color="FFFFFF"/>
              <w:bottom w:val="single" w:sz="12" w:space="0" w:color="auto"/>
              <w:right w:val="single" w:sz="4" w:space="0" w:color="FFFFFF"/>
            </w:tcBorders>
            <w:shd w:val="clear" w:color="000000" w:fill="D9D9D9"/>
            <w:noWrap/>
            <w:vAlign w:val="center"/>
            <w:hideMark/>
          </w:tcPr>
          <w:p w14:paraId="4C8DD900" w14:textId="77777777" w:rsidR="0047687A" w:rsidRPr="005734B8" w:rsidRDefault="0047687A" w:rsidP="00F06229">
            <w:pPr>
              <w:jc w:val="right"/>
              <w:rPr>
                <w:rFonts w:ascii="Calibri" w:hAnsi="Calibri" w:cs="Calibri"/>
                <w:b/>
                <w:sz w:val="18"/>
                <w:szCs w:val="18"/>
              </w:rPr>
            </w:pPr>
            <w:r w:rsidRPr="005734B8">
              <w:rPr>
                <w:rFonts w:ascii="Calibri" w:hAnsi="Calibri" w:cs="Calibri"/>
                <w:b/>
                <w:sz w:val="18"/>
                <w:szCs w:val="18"/>
              </w:rPr>
              <w:t xml:space="preserve">5.8 </w:t>
            </w:r>
          </w:p>
        </w:tc>
        <w:tc>
          <w:tcPr>
            <w:tcW w:w="1050" w:type="dxa"/>
            <w:tcBorders>
              <w:top w:val="nil"/>
              <w:left w:val="nil"/>
              <w:bottom w:val="single" w:sz="12" w:space="0" w:color="auto"/>
              <w:right w:val="single" w:sz="12" w:space="0" w:color="FFFFFF"/>
            </w:tcBorders>
            <w:shd w:val="clear" w:color="FFFFFF" w:fill="FFFFFF"/>
            <w:noWrap/>
            <w:vAlign w:val="center"/>
            <w:hideMark/>
          </w:tcPr>
          <w:p w14:paraId="78CAA9AA" w14:textId="77777777" w:rsidR="0047687A" w:rsidRPr="005734B8" w:rsidRDefault="0047687A" w:rsidP="00F06229">
            <w:pPr>
              <w:jc w:val="right"/>
              <w:rPr>
                <w:rFonts w:ascii="Calibri" w:hAnsi="Calibri" w:cs="Calibri"/>
                <w:b/>
                <w:sz w:val="18"/>
                <w:szCs w:val="18"/>
              </w:rPr>
            </w:pPr>
            <w:r w:rsidRPr="005734B8">
              <w:rPr>
                <w:rFonts w:ascii="Calibri" w:hAnsi="Calibri" w:cs="Calibri"/>
                <w:b/>
                <w:sz w:val="18"/>
                <w:szCs w:val="18"/>
              </w:rPr>
              <w:t xml:space="preserve">225.5 </w:t>
            </w:r>
          </w:p>
        </w:tc>
      </w:tr>
    </w:tbl>
    <w:p w14:paraId="3C7B044D" w14:textId="77777777" w:rsidR="0047687A" w:rsidRPr="005734B8" w:rsidRDefault="0047687A" w:rsidP="00F06229">
      <w:pPr>
        <w:pStyle w:val="ESHeading2"/>
        <w:rPr>
          <w:rFonts w:ascii="Calibri" w:hAnsi="Calibri" w:cs="Calibri"/>
        </w:rPr>
      </w:pPr>
      <w:bookmarkStart w:id="1268" w:name="_Toc11336350"/>
      <w:bookmarkStart w:id="1269" w:name="_Toc11336582"/>
      <w:bookmarkStart w:id="1270" w:name="_Toc13647186"/>
      <w:bookmarkStart w:id="1271" w:name="_Toc13656718"/>
      <w:bookmarkStart w:id="1272" w:name="_Toc13656880"/>
      <w:bookmarkStart w:id="1273" w:name="_Toc14965576"/>
      <w:bookmarkStart w:id="1274" w:name="_Toc15985304"/>
      <w:bookmarkStart w:id="1275" w:name="_Toc16231955"/>
      <w:bookmarkStart w:id="1276" w:name="_Toc36012774"/>
      <w:bookmarkStart w:id="1277" w:name="_Toc36012852"/>
      <w:bookmarkStart w:id="1278" w:name="_Toc36013349"/>
      <w:bookmarkStart w:id="1279" w:name="_Toc58243435"/>
      <w:bookmarkStart w:id="1280" w:name="_Toc72958085"/>
      <w:bookmarkStart w:id="1281" w:name="_Toc72958133"/>
      <w:bookmarkStart w:id="1282" w:name="_Toc80272073"/>
      <w:bookmarkStart w:id="1283" w:name="_Toc81315372"/>
      <w:r w:rsidRPr="005734B8">
        <w:rPr>
          <w:rFonts w:ascii="Calibri" w:hAnsi="Calibri" w:cs="Calibri"/>
        </w:rPr>
        <w:t>2.4 Income from transactions</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14:paraId="5660DFAE" w14:textId="77777777" w:rsidR="0047687A" w:rsidRPr="005734B8" w:rsidRDefault="0047687A" w:rsidP="00F06229">
      <w:pPr>
        <w:pStyle w:val="ESHeading3"/>
        <w:ind w:left="0" w:firstLine="0"/>
        <w:rPr>
          <w:rFonts w:ascii="Calibri" w:hAnsi="Calibri" w:cs="Calibri"/>
        </w:rPr>
      </w:pPr>
      <w:bookmarkStart w:id="1284" w:name="_Toc11336351"/>
      <w:bookmarkStart w:id="1285" w:name="_Toc14965577"/>
      <w:bookmarkStart w:id="1286" w:name="_Hlk44105879"/>
      <w:r w:rsidRPr="005734B8">
        <w:rPr>
          <w:rFonts w:ascii="Calibri" w:hAnsi="Calibri" w:cs="Calibri"/>
        </w:rPr>
        <w:t>2.4.1 Grants</w:t>
      </w:r>
      <w:bookmarkEnd w:id="1284"/>
      <w:bookmarkEnd w:id="1285"/>
    </w:p>
    <w:tbl>
      <w:tblPr>
        <w:tblW w:w="7625" w:type="dxa"/>
        <w:tblInd w:w="75" w:type="dxa"/>
        <w:tblLayout w:type="fixed"/>
        <w:tblLook w:val="04A0" w:firstRow="1" w:lastRow="0" w:firstColumn="1" w:lastColumn="0" w:noHBand="0" w:noVBand="1"/>
      </w:tblPr>
      <w:tblGrid>
        <w:gridCol w:w="5452"/>
        <w:gridCol w:w="1091"/>
        <w:gridCol w:w="1082"/>
      </w:tblGrid>
      <w:tr w:rsidR="0047687A" w:rsidRPr="005734B8" w14:paraId="36318555" w14:textId="77777777" w:rsidTr="000F48B1">
        <w:trPr>
          <w:trHeight w:val="480"/>
        </w:trPr>
        <w:tc>
          <w:tcPr>
            <w:tcW w:w="5452" w:type="dxa"/>
            <w:tcBorders>
              <w:top w:val="nil"/>
              <w:left w:val="single" w:sz="4" w:space="0" w:color="FFFFFF"/>
              <w:bottom w:val="nil"/>
              <w:right w:val="single" w:sz="4" w:space="0" w:color="FFFFFF"/>
            </w:tcBorders>
            <w:shd w:val="clear" w:color="000000" w:fill="AF272F"/>
            <w:vAlign w:val="bottom"/>
            <w:hideMark/>
          </w:tcPr>
          <w:p w14:paraId="5D71EAA7" w14:textId="77777777" w:rsidR="0047687A" w:rsidRPr="005734B8" w:rsidRDefault="0047687A" w:rsidP="000F48B1">
            <w:pPr>
              <w:jc w:val="center"/>
              <w:rPr>
                <w:rFonts w:ascii="Calibri" w:hAnsi="Calibri" w:cs="Calibri"/>
                <w:b/>
                <w:color w:val="FFFFFF"/>
                <w:sz w:val="18"/>
                <w:szCs w:val="18"/>
              </w:rPr>
            </w:pPr>
            <w:bookmarkStart w:id="1287" w:name="Note_GVGTABLE1" w:colFirst="0" w:colLast="0"/>
            <w:r w:rsidRPr="005734B8">
              <w:rPr>
                <w:rFonts w:ascii="Calibri" w:hAnsi="Calibri" w:cs="Calibri"/>
                <w:b/>
                <w:color w:val="FFFFFF"/>
                <w:sz w:val="18"/>
                <w:szCs w:val="18"/>
              </w:rPr>
              <w:t> </w:t>
            </w:r>
          </w:p>
        </w:tc>
        <w:tc>
          <w:tcPr>
            <w:tcW w:w="1091" w:type="dxa"/>
            <w:tcBorders>
              <w:top w:val="nil"/>
              <w:left w:val="nil"/>
              <w:bottom w:val="single" w:sz="4" w:space="0" w:color="auto"/>
              <w:right w:val="single" w:sz="4" w:space="0" w:color="FFFFFF"/>
            </w:tcBorders>
            <w:shd w:val="clear" w:color="000000" w:fill="AF272F"/>
            <w:hideMark/>
          </w:tcPr>
          <w:p w14:paraId="7643FDB4" w14:textId="77777777" w:rsidR="0047687A" w:rsidRPr="005734B8" w:rsidRDefault="0047687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82" w:type="dxa"/>
            <w:tcBorders>
              <w:top w:val="nil"/>
              <w:left w:val="nil"/>
              <w:bottom w:val="single" w:sz="4" w:space="0" w:color="auto"/>
              <w:right w:val="single" w:sz="4" w:space="0" w:color="FFFFFF"/>
            </w:tcBorders>
            <w:shd w:val="clear" w:color="000000" w:fill="AF272F"/>
            <w:hideMark/>
          </w:tcPr>
          <w:p w14:paraId="2968D7F4" w14:textId="77777777" w:rsidR="0047687A" w:rsidRPr="005734B8" w:rsidRDefault="0047687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287"/>
      <w:tr w:rsidR="0047687A" w:rsidRPr="005734B8" w14:paraId="33151661" w14:textId="77777777" w:rsidTr="000F48B1">
        <w:trPr>
          <w:trHeight w:val="255"/>
        </w:trPr>
        <w:tc>
          <w:tcPr>
            <w:tcW w:w="5452"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24D4D19E"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Income recognised as income of not-for-profit entities</w:t>
            </w:r>
          </w:p>
        </w:tc>
        <w:tc>
          <w:tcPr>
            <w:tcW w:w="1091" w:type="dxa"/>
            <w:tcBorders>
              <w:top w:val="nil"/>
              <w:left w:val="nil"/>
              <w:bottom w:val="single" w:sz="4" w:space="0" w:color="auto"/>
              <w:right w:val="single" w:sz="4" w:space="0" w:color="FFFFFF"/>
            </w:tcBorders>
            <w:shd w:val="clear" w:color="000000" w:fill="D9D9D9"/>
            <w:vAlign w:val="bottom"/>
            <w:hideMark/>
          </w:tcPr>
          <w:p w14:paraId="137A55AB"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c>
          <w:tcPr>
            <w:tcW w:w="1082" w:type="dxa"/>
            <w:tcBorders>
              <w:top w:val="nil"/>
              <w:left w:val="nil"/>
              <w:bottom w:val="single" w:sz="4" w:space="0" w:color="auto"/>
              <w:right w:val="single" w:sz="4" w:space="0" w:color="FFFFFF"/>
            </w:tcBorders>
            <w:shd w:val="clear" w:color="000000" w:fill="D9D9D9"/>
            <w:vAlign w:val="bottom"/>
            <w:hideMark/>
          </w:tcPr>
          <w:p w14:paraId="57354E99"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 </w:t>
            </w:r>
          </w:p>
        </w:tc>
      </w:tr>
      <w:tr w:rsidR="0047687A" w:rsidRPr="005734B8" w14:paraId="67D8B32F" w14:textId="77777777" w:rsidTr="000F48B1">
        <w:trPr>
          <w:trHeight w:val="255"/>
        </w:trPr>
        <w:tc>
          <w:tcPr>
            <w:tcW w:w="5452" w:type="dxa"/>
            <w:tcBorders>
              <w:top w:val="nil"/>
              <w:left w:val="nil"/>
              <w:bottom w:val="single" w:sz="4" w:space="0" w:color="auto"/>
              <w:right w:val="nil"/>
            </w:tcBorders>
            <w:shd w:val="clear" w:color="FFFFFF" w:fill="FFFFFF"/>
            <w:vAlign w:val="center"/>
            <w:hideMark/>
          </w:tcPr>
          <w:p w14:paraId="4B085610"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Grants to acquire a recognisable non-financial asset</w:t>
            </w:r>
          </w:p>
        </w:tc>
        <w:tc>
          <w:tcPr>
            <w:tcW w:w="1091" w:type="dxa"/>
            <w:tcBorders>
              <w:top w:val="nil"/>
              <w:left w:val="single" w:sz="4" w:space="0" w:color="FFFFFF"/>
              <w:bottom w:val="single" w:sz="4" w:space="0" w:color="auto"/>
              <w:right w:val="single" w:sz="4" w:space="0" w:color="FFFFFF"/>
            </w:tcBorders>
            <w:shd w:val="clear" w:color="000000" w:fill="D9D9D9"/>
            <w:noWrap/>
            <w:vAlign w:val="center"/>
            <w:hideMark/>
          </w:tcPr>
          <w:p w14:paraId="19DA80F3"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21.3 </w:t>
            </w:r>
          </w:p>
        </w:tc>
        <w:tc>
          <w:tcPr>
            <w:tcW w:w="1082" w:type="dxa"/>
            <w:tcBorders>
              <w:top w:val="nil"/>
              <w:left w:val="nil"/>
              <w:bottom w:val="single" w:sz="4" w:space="0" w:color="auto"/>
              <w:right w:val="single" w:sz="4" w:space="0" w:color="FFFFFF"/>
            </w:tcBorders>
            <w:shd w:val="clear" w:color="FFFFFF" w:fill="FFFFFF"/>
            <w:noWrap/>
            <w:vAlign w:val="center"/>
            <w:hideMark/>
          </w:tcPr>
          <w:p w14:paraId="6E91BBA6"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95.8 </w:t>
            </w:r>
          </w:p>
        </w:tc>
      </w:tr>
      <w:tr w:rsidR="0047687A" w:rsidRPr="005734B8" w14:paraId="3EE154A1" w14:textId="77777777" w:rsidTr="000F48B1">
        <w:trPr>
          <w:trHeight w:val="270"/>
        </w:trPr>
        <w:tc>
          <w:tcPr>
            <w:tcW w:w="5452" w:type="dxa"/>
            <w:tcBorders>
              <w:top w:val="nil"/>
              <w:left w:val="nil"/>
              <w:bottom w:val="single" w:sz="4" w:space="0" w:color="auto"/>
              <w:right w:val="nil"/>
            </w:tcBorders>
            <w:shd w:val="clear" w:color="FFFFFF" w:fill="FFFFFF"/>
            <w:vAlign w:val="center"/>
            <w:hideMark/>
          </w:tcPr>
          <w:p w14:paraId="7F5EF0DB" w14:textId="77777777" w:rsidR="0047687A" w:rsidRPr="005734B8" w:rsidRDefault="0047687A" w:rsidP="000F48B1">
            <w:pPr>
              <w:rPr>
                <w:rFonts w:ascii="Calibri" w:hAnsi="Calibri" w:cs="Calibri"/>
                <w:sz w:val="18"/>
                <w:szCs w:val="18"/>
              </w:rPr>
            </w:pPr>
            <w:r w:rsidRPr="005734B8">
              <w:rPr>
                <w:rFonts w:ascii="Calibri" w:hAnsi="Calibri" w:cs="Calibri"/>
                <w:sz w:val="18"/>
                <w:szCs w:val="18"/>
              </w:rPr>
              <w:t>Specific purpose without any sufficiently specific performance obligations</w:t>
            </w:r>
          </w:p>
        </w:tc>
        <w:tc>
          <w:tcPr>
            <w:tcW w:w="1091" w:type="dxa"/>
            <w:tcBorders>
              <w:top w:val="nil"/>
              <w:left w:val="single" w:sz="4" w:space="0" w:color="FFFFFF"/>
              <w:bottom w:val="single" w:sz="4" w:space="0" w:color="auto"/>
              <w:right w:val="single" w:sz="4" w:space="0" w:color="FFFFFF"/>
            </w:tcBorders>
            <w:shd w:val="clear" w:color="000000" w:fill="D9D9D9"/>
            <w:noWrap/>
            <w:vAlign w:val="center"/>
            <w:hideMark/>
          </w:tcPr>
          <w:p w14:paraId="784AF924"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40.9 </w:t>
            </w:r>
          </w:p>
        </w:tc>
        <w:tc>
          <w:tcPr>
            <w:tcW w:w="1082" w:type="dxa"/>
            <w:tcBorders>
              <w:top w:val="nil"/>
              <w:left w:val="nil"/>
              <w:bottom w:val="single" w:sz="4" w:space="0" w:color="auto"/>
              <w:right w:val="single" w:sz="4" w:space="0" w:color="FFFFFF"/>
            </w:tcBorders>
            <w:shd w:val="clear" w:color="FFFFFF" w:fill="FFFFFF"/>
            <w:noWrap/>
            <w:vAlign w:val="center"/>
            <w:hideMark/>
          </w:tcPr>
          <w:p w14:paraId="6F44D662" w14:textId="77777777" w:rsidR="0047687A" w:rsidRPr="005734B8" w:rsidRDefault="0047687A" w:rsidP="000F48B1">
            <w:pPr>
              <w:jc w:val="right"/>
              <w:rPr>
                <w:rFonts w:ascii="Calibri" w:hAnsi="Calibri" w:cs="Calibri"/>
                <w:sz w:val="18"/>
                <w:szCs w:val="18"/>
              </w:rPr>
            </w:pPr>
            <w:r w:rsidRPr="005734B8">
              <w:rPr>
                <w:rFonts w:ascii="Calibri" w:hAnsi="Calibri" w:cs="Calibri"/>
                <w:sz w:val="18"/>
                <w:szCs w:val="18"/>
              </w:rPr>
              <w:t xml:space="preserve">40.7 </w:t>
            </w:r>
          </w:p>
        </w:tc>
      </w:tr>
      <w:tr w:rsidR="0047687A" w:rsidRPr="005734B8" w14:paraId="6A7E7A18"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5787509" w14:textId="77777777" w:rsidR="0047687A" w:rsidRPr="005734B8" w:rsidRDefault="0047687A" w:rsidP="000F48B1">
            <w:pPr>
              <w:rPr>
                <w:rFonts w:ascii="Calibri" w:hAnsi="Calibri" w:cs="Calibri"/>
                <w:b/>
                <w:sz w:val="18"/>
                <w:szCs w:val="18"/>
              </w:rPr>
            </w:pPr>
            <w:r w:rsidRPr="005734B8">
              <w:rPr>
                <w:rFonts w:ascii="Calibri" w:hAnsi="Calibri" w:cs="Calibri"/>
                <w:b/>
                <w:sz w:val="18"/>
                <w:szCs w:val="18"/>
              </w:rPr>
              <w:t>Total grants</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92EBE39"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62.2 </w:t>
            </w:r>
          </w:p>
        </w:tc>
        <w:tc>
          <w:tcPr>
            <w:tcW w:w="1082" w:type="dxa"/>
            <w:tcBorders>
              <w:top w:val="single" w:sz="12" w:space="0" w:color="auto"/>
              <w:left w:val="nil"/>
              <w:bottom w:val="single" w:sz="12" w:space="0" w:color="auto"/>
              <w:right w:val="single" w:sz="12" w:space="0" w:color="FFFFFF"/>
            </w:tcBorders>
            <w:shd w:val="clear" w:color="FFFFFF" w:fill="FFFFFF"/>
            <w:noWrap/>
            <w:vAlign w:val="center"/>
            <w:hideMark/>
          </w:tcPr>
          <w:p w14:paraId="71447662" w14:textId="77777777" w:rsidR="0047687A" w:rsidRPr="005734B8" w:rsidRDefault="0047687A" w:rsidP="000F48B1">
            <w:pPr>
              <w:jc w:val="right"/>
              <w:rPr>
                <w:rFonts w:ascii="Calibri" w:hAnsi="Calibri" w:cs="Calibri"/>
                <w:b/>
                <w:sz w:val="18"/>
                <w:szCs w:val="18"/>
              </w:rPr>
            </w:pPr>
            <w:r w:rsidRPr="005734B8">
              <w:rPr>
                <w:rFonts w:ascii="Calibri" w:hAnsi="Calibri" w:cs="Calibri"/>
                <w:b/>
                <w:sz w:val="18"/>
                <w:szCs w:val="18"/>
              </w:rPr>
              <w:t xml:space="preserve">136.5 </w:t>
            </w:r>
          </w:p>
        </w:tc>
      </w:tr>
      <w:bookmarkEnd w:id="1286"/>
    </w:tbl>
    <w:p w14:paraId="111EEB86" w14:textId="77777777" w:rsidR="0047687A" w:rsidRPr="005734B8" w:rsidRDefault="0047687A" w:rsidP="0047687A">
      <w:pPr>
        <w:rPr>
          <w:rFonts w:ascii="Calibri" w:hAnsi="Calibri" w:cs="Calibri"/>
          <w:szCs w:val="22"/>
        </w:rPr>
      </w:pPr>
    </w:p>
    <w:p w14:paraId="6A3E305F" w14:textId="77777777" w:rsidR="0047687A" w:rsidRPr="005734B8" w:rsidRDefault="0047687A" w:rsidP="0047687A">
      <w:pPr>
        <w:rPr>
          <w:rFonts w:ascii="Calibri" w:hAnsi="Calibri" w:cs="Calibri"/>
          <w:b/>
          <w:bCs/>
          <w:szCs w:val="22"/>
        </w:rPr>
      </w:pPr>
      <w:r w:rsidRPr="005734B8">
        <w:rPr>
          <w:rFonts w:ascii="Calibri" w:hAnsi="Calibri" w:cs="Calibri"/>
          <w:b/>
          <w:bCs/>
          <w:szCs w:val="22"/>
        </w:rPr>
        <w:t>Grants recognised under AASB 1058</w:t>
      </w:r>
    </w:p>
    <w:p w14:paraId="6ED28B4B" w14:textId="77777777" w:rsidR="0047687A" w:rsidRPr="005734B8" w:rsidRDefault="0047687A" w:rsidP="0047687A">
      <w:pPr>
        <w:rPr>
          <w:rFonts w:ascii="Calibri" w:hAnsi="Calibri" w:cs="Calibri"/>
          <w:b/>
          <w:szCs w:val="22"/>
        </w:rPr>
      </w:pPr>
    </w:p>
    <w:p w14:paraId="1E36B3D6" w14:textId="77777777" w:rsidR="0047687A" w:rsidRPr="005734B8" w:rsidRDefault="0047687A" w:rsidP="0047687A">
      <w:pPr>
        <w:rPr>
          <w:rFonts w:ascii="Calibri" w:hAnsi="Calibri" w:cs="Calibri"/>
          <w:szCs w:val="22"/>
        </w:rPr>
      </w:pPr>
      <w:r w:rsidRPr="005734B8">
        <w:rPr>
          <w:rFonts w:ascii="Calibri" w:hAnsi="Calibri" w:cs="Calibri"/>
          <w:szCs w:val="22"/>
        </w:rPr>
        <w:t>The Department has determined that the grant income included in the table above under AASB 1058 has been earned under arrangements that are either not enforceable and/or linked to sufficiently specific performance obligations.</w:t>
      </w:r>
    </w:p>
    <w:p w14:paraId="339DC853" w14:textId="77777777" w:rsidR="0047687A" w:rsidRPr="005734B8" w:rsidRDefault="0047687A" w:rsidP="0047687A">
      <w:pPr>
        <w:rPr>
          <w:rFonts w:ascii="Calibri" w:hAnsi="Calibri" w:cs="Calibri"/>
          <w:szCs w:val="22"/>
        </w:rPr>
      </w:pPr>
    </w:p>
    <w:p w14:paraId="471AD8BE" w14:textId="793C2677" w:rsidR="0047687A" w:rsidRPr="005734B8" w:rsidRDefault="0047687A" w:rsidP="0047687A">
      <w:pPr>
        <w:rPr>
          <w:rFonts w:ascii="Calibri" w:hAnsi="Calibri" w:cs="Calibri"/>
          <w:szCs w:val="22"/>
        </w:rPr>
      </w:pPr>
      <w:r w:rsidRPr="005734B8">
        <w:rPr>
          <w:rFonts w:ascii="Calibri" w:hAnsi="Calibri" w:cs="Calibri"/>
          <w:szCs w:val="22"/>
        </w:rPr>
        <w:t>Income from grants without any sufficiently specific performance obligations, or that are not enforceable, is recognised when the Department has an unconditional right to receive cash</w:t>
      </w:r>
      <w:r w:rsidR="00AB3C74" w:rsidRPr="005734B8">
        <w:rPr>
          <w:rFonts w:ascii="Calibri" w:hAnsi="Calibri" w:cs="Calibri"/>
          <w:szCs w:val="22"/>
        </w:rPr>
        <w:t>,</w:t>
      </w:r>
      <w:r w:rsidRPr="005734B8">
        <w:rPr>
          <w:rFonts w:ascii="Calibri" w:hAnsi="Calibri" w:cs="Calibri"/>
          <w:szCs w:val="22"/>
        </w:rPr>
        <w:t xml:space="preserve"> which usually coincides with receipt of cash. On initial recognition of the asset, the Department recognises any related contributions by owners, increases in liabilities, decreases in assets, and revenue (‘related amounts’) in accordance with other </w:t>
      </w:r>
      <w:r w:rsidR="00374C35" w:rsidRPr="005734B8">
        <w:rPr>
          <w:rFonts w:ascii="Calibri" w:hAnsi="Calibri" w:cs="Calibri"/>
          <w:szCs w:val="22"/>
        </w:rPr>
        <w:t>AASs</w:t>
      </w:r>
      <w:r w:rsidRPr="005734B8">
        <w:rPr>
          <w:rFonts w:ascii="Calibri" w:hAnsi="Calibri" w:cs="Calibri"/>
          <w:szCs w:val="22"/>
        </w:rPr>
        <w:t xml:space="preserve">. </w:t>
      </w:r>
    </w:p>
    <w:p w14:paraId="6BF9BA87" w14:textId="77777777" w:rsidR="0047687A" w:rsidRPr="005734B8" w:rsidRDefault="0047687A" w:rsidP="0047687A">
      <w:pPr>
        <w:rPr>
          <w:rFonts w:ascii="Calibri" w:hAnsi="Calibri" w:cs="Calibri"/>
          <w:szCs w:val="22"/>
        </w:rPr>
      </w:pPr>
    </w:p>
    <w:p w14:paraId="0E752C61" w14:textId="77777777" w:rsidR="00F06229" w:rsidRPr="005734B8" w:rsidRDefault="00F06229">
      <w:pPr>
        <w:rPr>
          <w:rFonts w:ascii="Calibri" w:hAnsi="Calibri" w:cs="Calibri"/>
          <w:szCs w:val="22"/>
        </w:rPr>
      </w:pPr>
      <w:r w:rsidRPr="005734B8">
        <w:rPr>
          <w:rFonts w:ascii="Calibri" w:hAnsi="Calibri" w:cs="Calibri"/>
          <w:szCs w:val="22"/>
        </w:rPr>
        <w:br w:type="page"/>
      </w:r>
    </w:p>
    <w:p w14:paraId="6675AE26" w14:textId="78953091" w:rsidR="0047687A" w:rsidRPr="005734B8" w:rsidRDefault="0047687A" w:rsidP="0047687A">
      <w:pPr>
        <w:rPr>
          <w:rFonts w:ascii="Calibri" w:hAnsi="Calibri" w:cs="Calibri"/>
          <w:szCs w:val="22"/>
        </w:rPr>
      </w:pPr>
      <w:r w:rsidRPr="005734B8">
        <w:rPr>
          <w:rFonts w:ascii="Calibri" w:hAnsi="Calibri" w:cs="Calibri"/>
          <w:szCs w:val="22"/>
        </w:rPr>
        <w:lastRenderedPageBreak/>
        <w:t xml:space="preserve">Related amounts may take the form of: </w:t>
      </w:r>
    </w:p>
    <w:p w14:paraId="4BA6D13A" w14:textId="17DEBB85" w:rsidR="0047687A" w:rsidRPr="005734B8" w:rsidRDefault="0047687A" w:rsidP="00670895">
      <w:pPr>
        <w:pStyle w:val="ListParagraph"/>
        <w:numPr>
          <w:ilvl w:val="0"/>
          <w:numId w:val="78"/>
        </w:numPr>
        <w:spacing w:line="260" w:lineRule="atLeast"/>
        <w:rPr>
          <w:rFonts w:ascii="Calibri" w:hAnsi="Calibri" w:cs="Calibri"/>
          <w:szCs w:val="22"/>
        </w:rPr>
      </w:pPr>
      <w:r w:rsidRPr="005734B8">
        <w:rPr>
          <w:rFonts w:ascii="Calibri" w:hAnsi="Calibri" w:cs="Calibri"/>
          <w:szCs w:val="22"/>
        </w:rPr>
        <w:t>contributions by owners, in accordance with AASB 1004</w:t>
      </w:r>
    </w:p>
    <w:p w14:paraId="59B58DB6" w14:textId="56CCA938" w:rsidR="0047687A" w:rsidRPr="005734B8" w:rsidRDefault="0047687A" w:rsidP="00670895">
      <w:pPr>
        <w:pStyle w:val="ListParagraph"/>
        <w:numPr>
          <w:ilvl w:val="0"/>
          <w:numId w:val="78"/>
        </w:numPr>
        <w:spacing w:line="260" w:lineRule="atLeast"/>
        <w:rPr>
          <w:rFonts w:ascii="Calibri" w:hAnsi="Calibri" w:cs="Calibri"/>
          <w:szCs w:val="22"/>
        </w:rPr>
      </w:pPr>
      <w:r w:rsidRPr="005734B8">
        <w:rPr>
          <w:rFonts w:ascii="Calibri" w:hAnsi="Calibri" w:cs="Calibri"/>
          <w:szCs w:val="22"/>
        </w:rPr>
        <w:t>revenue or a contract liability arising from a contract with a customer, in accordance with AASB 15</w:t>
      </w:r>
    </w:p>
    <w:p w14:paraId="250A71AF" w14:textId="6F77F39D" w:rsidR="0047687A" w:rsidRPr="005734B8" w:rsidRDefault="0047687A" w:rsidP="00670895">
      <w:pPr>
        <w:pStyle w:val="ListParagraph"/>
        <w:numPr>
          <w:ilvl w:val="0"/>
          <w:numId w:val="78"/>
        </w:numPr>
        <w:spacing w:line="260" w:lineRule="atLeast"/>
        <w:rPr>
          <w:rFonts w:ascii="Calibri" w:hAnsi="Calibri" w:cs="Calibri"/>
          <w:szCs w:val="22"/>
        </w:rPr>
      </w:pPr>
      <w:r w:rsidRPr="005734B8">
        <w:rPr>
          <w:rFonts w:ascii="Calibri" w:hAnsi="Calibri" w:cs="Calibri"/>
          <w:szCs w:val="22"/>
        </w:rPr>
        <w:t>a lease liability in accordance with AASB 16</w:t>
      </w:r>
    </w:p>
    <w:p w14:paraId="1CB81600" w14:textId="71E2A234" w:rsidR="0047687A" w:rsidRPr="005734B8" w:rsidRDefault="0047687A" w:rsidP="00670895">
      <w:pPr>
        <w:pStyle w:val="ListParagraph"/>
        <w:numPr>
          <w:ilvl w:val="0"/>
          <w:numId w:val="78"/>
        </w:numPr>
        <w:spacing w:line="260" w:lineRule="atLeast"/>
        <w:rPr>
          <w:rFonts w:ascii="Calibri" w:hAnsi="Calibri" w:cs="Calibri"/>
          <w:szCs w:val="22"/>
        </w:rPr>
      </w:pPr>
      <w:r w:rsidRPr="005734B8">
        <w:rPr>
          <w:rFonts w:ascii="Calibri" w:hAnsi="Calibri" w:cs="Calibri"/>
          <w:szCs w:val="22"/>
        </w:rPr>
        <w:t>a financial instrument, in accordance with AASB 9</w:t>
      </w:r>
    </w:p>
    <w:p w14:paraId="5D30C628" w14:textId="77777777" w:rsidR="0047687A" w:rsidRPr="005734B8" w:rsidRDefault="0047687A" w:rsidP="00670895">
      <w:pPr>
        <w:pStyle w:val="ListParagraph"/>
        <w:numPr>
          <w:ilvl w:val="0"/>
          <w:numId w:val="78"/>
        </w:numPr>
        <w:spacing w:line="260" w:lineRule="atLeast"/>
        <w:rPr>
          <w:rFonts w:ascii="Calibri" w:hAnsi="Calibri" w:cs="Calibri"/>
          <w:szCs w:val="22"/>
        </w:rPr>
      </w:pPr>
      <w:r w:rsidRPr="005734B8">
        <w:rPr>
          <w:rFonts w:ascii="Calibri" w:hAnsi="Calibri" w:cs="Calibri"/>
          <w:szCs w:val="22"/>
        </w:rPr>
        <w:t>a provision, in accordance with AASB 137 Provisions, Contingent Liabilities and Contingent Assets.</w:t>
      </w:r>
    </w:p>
    <w:p w14:paraId="332EC34D" w14:textId="77777777" w:rsidR="0047687A" w:rsidRPr="005734B8" w:rsidRDefault="0047687A" w:rsidP="0047687A">
      <w:pPr>
        <w:rPr>
          <w:rFonts w:ascii="Calibri" w:hAnsi="Calibri" w:cs="Calibri"/>
          <w:szCs w:val="22"/>
        </w:rPr>
      </w:pPr>
    </w:p>
    <w:p w14:paraId="2407217D" w14:textId="77777777" w:rsidR="0047687A" w:rsidRPr="005734B8" w:rsidRDefault="0047687A" w:rsidP="0047687A">
      <w:pPr>
        <w:rPr>
          <w:rFonts w:ascii="Calibri" w:hAnsi="Calibri" w:cs="Calibri"/>
          <w:szCs w:val="22"/>
        </w:rPr>
      </w:pPr>
      <w:r w:rsidRPr="005734B8">
        <w:rPr>
          <w:rFonts w:ascii="Calibri" w:hAnsi="Calibri" w:cs="Calibri"/>
          <w:szCs w:val="22"/>
        </w:rPr>
        <w:t>Capital grants income for the construction of the capital works program is recognised when the Department reaches settlement on land sites or is progressively recognised as the new school or upgrade is constructed, as this is the time when the Department satisfies its obligations under the grant transfer.</w:t>
      </w:r>
    </w:p>
    <w:p w14:paraId="409C7AF2" w14:textId="77777777" w:rsidR="0047687A" w:rsidRPr="005734B8" w:rsidRDefault="0047687A" w:rsidP="0047687A">
      <w:pPr>
        <w:rPr>
          <w:rFonts w:ascii="Calibri" w:hAnsi="Calibri" w:cs="Calibri"/>
          <w:szCs w:val="22"/>
        </w:rPr>
      </w:pPr>
    </w:p>
    <w:p w14:paraId="0EF1FD22" w14:textId="44A57898" w:rsidR="0047687A" w:rsidRPr="005734B8" w:rsidRDefault="0047687A" w:rsidP="0047687A">
      <w:pPr>
        <w:rPr>
          <w:rFonts w:ascii="Calibri" w:hAnsi="Calibri" w:cs="Calibri"/>
          <w:b/>
          <w:bCs/>
          <w:szCs w:val="22"/>
        </w:rPr>
      </w:pPr>
      <w:r w:rsidRPr="005734B8">
        <w:rPr>
          <w:rFonts w:ascii="Calibri" w:hAnsi="Calibri" w:cs="Calibri"/>
          <w:b/>
          <w:bCs/>
          <w:szCs w:val="22"/>
        </w:rPr>
        <w:t>Grants recognised under AASB 15</w:t>
      </w:r>
    </w:p>
    <w:p w14:paraId="1B3D7A02" w14:textId="77777777" w:rsidR="00EA3BAF" w:rsidRPr="005734B8" w:rsidRDefault="00EA3BAF" w:rsidP="0047687A">
      <w:pPr>
        <w:rPr>
          <w:rFonts w:ascii="Calibri" w:hAnsi="Calibri" w:cs="Calibri"/>
          <w:b/>
          <w:bCs/>
          <w:szCs w:val="22"/>
        </w:rPr>
      </w:pPr>
    </w:p>
    <w:p w14:paraId="7488A7C9" w14:textId="63A05D6B" w:rsidR="0047687A" w:rsidRPr="005734B8" w:rsidRDefault="0047687A" w:rsidP="00F06229">
      <w:pPr>
        <w:rPr>
          <w:rFonts w:ascii="Calibri" w:hAnsi="Calibri" w:cs="Calibri"/>
          <w:szCs w:val="22"/>
        </w:rPr>
      </w:pPr>
      <w:r w:rsidRPr="005734B8">
        <w:rPr>
          <w:rFonts w:ascii="Calibri" w:hAnsi="Calibri" w:cs="Calibri"/>
          <w:szCs w:val="22"/>
        </w:rPr>
        <w:t>Income from grants that are enforceable and with sufficiently specific performance obligations are accounted for as revenue from contracts with customers under AASB</w:t>
      </w:r>
      <w:r w:rsidR="00AB3C74" w:rsidRPr="005734B8">
        <w:rPr>
          <w:rFonts w:ascii="Calibri" w:hAnsi="Calibri" w:cs="Calibri"/>
          <w:szCs w:val="22"/>
        </w:rPr>
        <w:t> </w:t>
      </w:r>
      <w:r w:rsidRPr="005734B8">
        <w:rPr>
          <w:rFonts w:ascii="Calibri" w:hAnsi="Calibri" w:cs="Calibri"/>
          <w:szCs w:val="22"/>
        </w:rPr>
        <w:t>15. Revenue will be recognised when the Department satisfies the performance obligation by providing the agreed services to stakeholders. This is recognised based on the consideration specified in the funding agreement and to the extent that it is highly probable a significant reversal of the revenue will not occur. The funding payments are normally received in advance or shortly after the relevant obligation is satisfied.</w:t>
      </w:r>
    </w:p>
    <w:p w14:paraId="3999D131" w14:textId="77777777" w:rsidR="0047687A" w:rsidRPr="005734B8" w:rsidRDefault="0047687A" w:rsidP="00F06229">
      <w:pPr>
        <w:pStyle w:val="ESHeading3"/>
        <w:ind w:left="0" w:firstLine="0"/>
        <w:rPr>
          <w:rFonts w:ascii="Calibri" w:hAnsi="Calibri" w:cs="Calibri"/>
        </w:rPr>
      </w:pPr>
      <w:bookmarkStart w:id="1288" w:name="_Toc11336352"/>
      <w:bookmarkStart w:id="1289" w:name="_Toc14965578"/>
      <w:r w:rsidRPr="005734B8">
        <w:rPr>
          <w:rFonts w:ascii="Calibri" w:hAnsi="Calibri" w:cs="Calibri"/>
        </w:rPr>
        <w:t>2.4.2 Sales of goods and services</w:t>
      </w:r>
      <w:bookmarkEnd w:id="1288"/>
      <w:bookmarkEnd w:id="1289"/>
    </w:p>
    <w:tbl>
      <w:tblPr>
        <w:tblW w:w="7625" w:type="dxa"/>
        <w:tblInd w:w="75" w:type="dxa"/>
        <w:tblLayout w:type="fixed"/>
        <w:tblLook w:val="04A0" w:firstRow="1" w:lastRow="0" w:firstColumn="1" w:lastColumn="0" w:noHBand="0" w:noVBand="1"/>
      </w:tblPr>
      <w:tblGrid>
        <w:gridCol w:w="5452"/>
        <w:gridCol w:w="1091"/>
        <w:gridCol w:w="1082"/>
      </w:tblGrid>
      <w:tr w:rsidR="0047687A" w:rsidRPr="005734B8" w14:paraId="5A225612" w14:textId="77777777" w:rsidTr="000F48B1">
        <w:trPr>
          <w:trHeight w:val="480"/>
        </w:trPr>
        <w:tc>
          <w:tcPr>
            <w:tcW w:w="5452" w:type="dxa"/>
            <w:tcBorders>
              <w:top w:val="nil"/>
              <w:left w:val="single" w:sz="4" w:space="0" w:color="FFFFFF"/>
              <w:bottom w:val="nil"/>
              <w:right w:val="single" w:sz="4" w:space="0" w:color="FFFFFF"/>
            </w:tcBorders>
            <w:shd w:val="clear" w:color="000000" w:fill="AF272F"/>
            <w:vAlign w:val="bottom"/>
            <w:hideMark/>
          </w:tcPr>
          <w:p w14:paraId="26FBE076" w14:textId="77777777" w:rsidR="0047687A" w:rsidRPr="005734B8" w:rsidRDefault="0047687A" w:rsidP="00F06229">
            <w:pPr>
              <w:jc w:val="center"/>
              <w:rPr>
                <w:rFonts w:ascii="Calibri" w:hAnsi="Calibri" w:cs="Calibri"/>
                <w:b/>
                <w:color w:val="FFFFFF"/>
                <w:sz w:val="18"/>
                <w:szCs w:val="18"/>
              </w:rPr>
            </w:pPr>
            <w:bookmarkStart w:id="1290" w:name="Note_SGSTABLE1" w:colFirst="0" w:colLast="0"/>
            <w:r w:rsidRPr="005734B8">
              <w:rPr>
                <w:rFonts w:ascii="Calibri" w:hAnsi="Calibri" w:cs="Calibri"/>
                <w:b/>
                <w:color w:val="FFFFFF"/>
                <w:sz w:val="18"/>
                <w:szCs w:val="18"/>
              </w:rPr>
              <w:t> </w:t>
            </w:r>
          </w:p>
        </w:tc>
        <w:tc>
          <w:tcPr>
            <w:tcW w:w="1091" w:type="dxa"/>
            <w:tcBorders>
              <w:top w:val="nil"/>
              <w:left w:val="nil"/>
              <w:bottom w:val="single" w:sz="4" w:space="0" w:color="auto"/>
              <w:right w:val="single" w:sz="4" w:space="0" w:color="FFFFFF"/>
            </w:tcBorders>
            <w:shd w:val="clear" w:color="000000" w:fill="AF272F"/>
            <w:hideMark/>
          </w:tcPr>
          <w:p w14:paraId="27DED993" w14:textId="77777777" w:rsidR="0047687A" w:rsidRPr="005734B8" w:rsidRDefault="0047687A" w:rsidP="00F06229">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82" w:type="dxa"/>
            <w:tcBorders>
              <w:top w:val="nil"/>
              <w:left w:val="nil"/>
              <w:bottom w:val="single" w:sz="4" w:space="0" w:color="auto"/>
              <w:right w:val="single" w:sz="4" w:space="0" w:color="FFFFFF"/>
            </w:tcBorders>
            <w:shd w:val="clear" w:color="000000" w:fill="AF272F"/>
            <w:hideMark/>
          </w:tcPr>
          <w:p w14:paraId="2B4D938D" w14:textId="77777777" w:rsidR="0047687A" w:rsidRPr="005734B8" w:rsidRDefault="0047687A" w:rsidP="00F06229">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290"/>
      <w:tr w:rsidR="0047687A" w:rsidRPr="005734B8" w14:paraId="31571298" w14:textId="77777777" w:rsidTr="000F48B1">
        <w:trPr>
          <w:trHeight w:val="255"/>
        </w:trPr>
        <w:tc>
          <w:tcPr>
            <w:tcW w:w="5452"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724CE62C" w14:textId="77777777" w:rsidR="0047687A" w:rsidRPr="005734B8" w:rsidRDefault="0047687A" w:rsidP="00F06229">
            <w:pPr>
              <w:rPr>
                <w:rFonts w:ascii="Calibri" w:hAnsi="Calibri" w:cs="Calibri"/>
                <w:b/>
                <w:sz w:val="18"/>
                <w:szCs w:val="18"/>
              </w:rPr>
            </w:pPr>
            <w:r w:rsidRPr="005734B8">
              <w:rPr>
                <w:rFonts w:ascii="Calibri" w:hAnsi="Calibri" w:cs="Calibri"/>
                <w:b/>
                <w:sz w:val="18"/>
                <w:szCs w:val="18"/>
              </w:rPr>
              <w:t>Sales of goods and services</w:t>
            </w:r>
          </w:p>
        </w:tc>
        <w:tc>
          <w:tcPr>
            <w:tcW w:w="1091" w:type="dxa"/>
            <w:tcBorders>
              <w:top w:val="nil"/>
              <w:left w:val="nil"/>
              <w:bottom w:val="single" w:sz="4" w:space="0" w:color="auto"/>
              <w:right w:val="single" w:sz="4" w:space="0" w:color="FFFFFF"/>
            </w:tcBorders>
            <w:shd w:val="clear" w:color="000000" w:fill="D9D9D9"/>
            <w:vAlign w:val="bottom"/>
            <w:hideMark/>
          </w:tcPr>
          <w:p w14:paraId="0B272CEF" w14:textId="77777777" w:rsidR="0047687A" w:rsidRPr="005734B8" w:rsidRDefault="0047687A" w:rsidP="00F06229">
            <w:pPr>
              <w:rPr>
                <w:rFonts w:ascii="Calibri" w:hAnsi="Calibri" w:cs="Calibri"/>
                <w:b/>
                <w:sz w:val="18"/>
                <w:szCs w:val="18"/>
              </w:rPr>
            </w:pPr>
            <w:r w:rsidRPr="005734B8">
              <w:rPr>
                <w:rFonts w:ascii="Calibri" w:hAnsi="Calibri" w:cs="Calibri"/>
                <w:b/>
                <w:sz w:val="18"/>
                <w:szCs w:val="18"/>
              </w:rPr>
              <w:t> </w:t>
            </w:r>
          </w:p>
        </w:tc>
        <w:tc>
          <w:tcPr>
            <w:tcW w:w="1082" w:type="dxa"/>
            <w:tcBorders>
              <w:top w:val="nil"/>
              <w:left w:val="nil"/>
              <w:bottom w:val="single" w:sz="4" w:space="0" w:color="auto"/>
              <w:right w:val="single" w:sz="4" w:space="0" w:color="FFFFFF"/>
            </w:tcBorders>
            <w:shd w:val="clear" w:color="000000" w:fill="D9D9D9"/>
            <w:vAlign w:val="bottom"/>
            <w:hideMark/>
          </w:tcPr>
          <w:p w14:paraId="78F3858B" w14:textId="77777777" w:rsidR="0047687A" w:rsidRPr="005734B8" w:rsidRDefault="0047687A" w:rsidP="00F06229">
            <w:pPr>
              <w:rPr>
                <w:rFonts w:ascii="Calibri" w:hAnsi="Calibri" w:cs="Calibri"/>
                <w:b/>
                <w:sz w:val="18"/>
                <w:szCs w:val="18"/>
              </w:rPr>
            </w:pPr>
            <w:r w:rsidRPr="005734B8">
              <w:rPr>
                <w:rFonts w:ascii="Calibri" w:hAnsi="Calibri" w:cs="Calibri"/>
                <w:b/>
                <w:sz w:val="18"/>
                <w:szCs w:val="18"/>
              </w:rPr>
              <w:t> </w:t>
            </w:r>
          </w:p>
        </w:tc>
      </w:tr>
      <w:tr w:rsidR="0047687A" w:rsidRPr="005734B8" w14:paraId="3654537C" w14:textId="77777777" w:rsidTr="000F48B1">
        <w:trPr>
          <w:trHeight w:val="600"/>
        </w:trPr>
        <w:tc>
          <w:tcPr>
            <w:tcW w:w="5452" w:type="dxa"/>
            <w:tcBorders>
              <w:top w:val="nil"/>
              <w:left w:val="nil"/>
              <w:bottom w:val="single" w:sz="4" w:space="0" w:color="auto"/>
              <w:right w:val="nil"/>
            </w:tcBorders>
            <w:shd w:val="clear" w:color="FFFFFF" w:fill="FFFFFF"/>
            <w:vAlign w:val="center"/>
            <w:hideMark/>
          </w:tcPr>
          <w:p w14:paraId="747116AD" w14:textId="77777777" w:rsidR="0047687A" w:rsidRPr="005734B8" w:rsidRDefault="0047687A" w:rsidP="00F06229">
            <w:pPr>
              <w:rPr>
                <w:rFonts w:ascii="Calibri" w:hAnsi="Calibri" w:cs="Calibri"/>
                <w:sz w:val="18"/>
                <w:szCs w:val="18"/>
              </w:rPr>
            </w:pPr>
            <w:r w:rsidRPr="005734B8">
              <w:rPr>
                <w:rFonts w:ascii="Calibri" w:hAnsi="Calibri" w:cs="Calibri"/>
                <w:sz w:val="18"/>
                <w:szCs w:val="18"/>
              </w:rPr>
              <w:t>Schools revenue – including sales of classroom material, before and after school care, and other trading operations</w:t>
            </w:r>
          </w:p>
        </w:tc>
        <w:tc>
          <w:tcPr>
            <w:tcW w:w="1091" w:type="dxa"/>
            <w:tcBorders>
              <w:top w:val="nil"/>
              <w:left w:val="single" w:sz="4" w:space="0" w:color="FFFFFF"/>
              <w:bottom w:val="single" w:sz="4" w:space="0" w:color="auto"/>
              <w:right w:val="single" w:sz="4" w:space="0" w:color="FFFFFF"/>
            </w:tcBorders>
            <w:shd w:val="clear" w:color="000000" w:fill="D9D9D9"/>
            <w:noWrap/>
            <w:vAlign w:val="center"/>
            <w:hideMark/>
          </w:tcPr>
          <w:p w14:paraId="317FD34D" w14:textId="77777777" w:rsidR="0047687A" w:rsidRPr="005734B8" w:rsidRDefault="0047687A" w:rsidP="00F06229">
            <w:pPr>
              <w:jc w:val="right"/>
              <w:rPr>
                <w:rFonts w:ascii="Calibri" w:hAnsi="Calibri" w:cs="Calibri"/>
                <w:sz w:val="18"/>
                <w:szCs w:val="18"/>
              </w:rPr>
            </w:pPr>
            <w:r w:rsidRPr="005734B8">
              <w:rPr>
                <w:rFonts w:ascii="Calibri" w:hAnsi="Calibri" w:cs="Calibri"/>
                <w:sz w:val="18"/>
                <w:szCs w:val="18"/>
              </w:rPr>
              <w:t xml:space="preserve">233.0 </w:t>
            </w:r>
          </w:p>
        </w:tc>
        <w:tc>
          <w:tcPr>
            <w:tcW w:w="1082" w:type="dxa"/>
            <w:tcBorders>
              <w:top w:val="nil"/>
              <w:left w:val="nil"/>
              <w:bottom w:val="single" w:sz="4" w:space="0" w:color="auto"/>
              <w:right w:val="single" w:sz="4" w:space="0" w:color="FFFFFF"/>
            </w:tcBorders>
            <w:shd w:val="clear" w:color="FFFFFF" w:fill="FFFFFF"/>
            <w:noWrap/>
            <w:vAlign w:val="center"/>
            <w:hideMark/>
          </w:tcPr>
          <w:p w14:paraId="0FD9EC8B" w14:textId="77777777" w:rsidR="0047687A" w:rsidRPr="005734B8" w:rsidRDefault="0047687A" w:rsidP="00F06229">
            <w:pPr>
              <w:jc w:val="right"/>
              <w:rPr>
                <w:rFonts w:ascii="Calibri" w:hAnsi="Calibri" w:cs="Calibri"/>
                <w:sz w:val="18"/>
                <w:szCs w:val="18"/>
              </w:rPr>
            </w:pPr>
            <w:r w:rsidRPr="005734B8">
              <w:rPr>
                <w:rFonts w:ascii="Calibri" w:hAnsi="Calibri" w:cs="Calibri"/>
                <w:sz w:val="18"/>
                <w:szCs w:val="18"/>
              </w:rPr>
              <w:t xml:space="preserve">278.5 </w:t>
            </w:r>
          </w:p>
        </w:tc>
      </w:tr>
      <w:tr w:rsidR="0047687A" w:rsidRPr="005734B8" w14:paraId="12272171" w14:textId="77777777" w:rsidTr="000F48B1">
        <w:trPr>
          <w:trHeight w:val="270"/>
        </w:trPr>
        <w:tc>
          <w:tcPr>
            <w:tcW w:w="5452" w:type="dxa"/>
            <w:tcBorders>
              <w:top w:val="nil"/>
              <w:left w:val="nil"/>
              <w:bottom w:val="single" w:sz="4" w:space="0" w:color="auto"/>
              <w:right w:val="nil"/>
            </w:tcBorders>
            <w:shd w:val="clear" w:color="FFFFFF" w:fill="FFFFFF"/>
            <w:vAlign w:val="center"/>
            <w:hideMark/>
          </w:tcPr>
          <w:p w14:paraId="5C137E5B" w14:textId="77777777" w:rsidR="0047687A" w:rsidRPr="005734B8" w:rsidRDefault="0047687A" w:rsidP="00F06229">
            <w:pPr>
              <w:rPr>
                <w:rFonts w:ascii="Calibri" w:hAnsi="Calibri" w:cs="Calibri"/>
                <w:sz w:val="18"/>
                <w:szCs w:val="18"/>
              </w:rPr>
            </w:pPr>
            <w:r w:rsidRPr="005734B8">
              <w:rPr>
                <w:rFonts w:ascii="Calibri" w:hAnsi="Calibri" w:cs="Calibri"/>
                <w:sz w:val="18"/>
                <w:szCs w:val="18"/>
              </w:rPr>
              <w:t>Provision of services</w:t>
            </w:r>
          </w:p>
        </w:tc>
        <w:tc>
          <w:tcPr>
            <w:tcW w:w="1091" w:type="dxa"/>
            <w:tcBorders>
              <w:top w:val="nil"/>
              <w:left w:val="single" w:sz="4" w:space="0" w:color="FFFFFF"/>
              <w:bottom w:val="single" w:sz="4" w:space="0" w:color="auto"/>
              <w:right w:val="single" w:sz="4" w:space="0" w:color="FFFFFF"/>
            </w:tcBorders>
            <w:shd w:val="clear" w:color="000000" w:fill="D9D9D9"/>
            <w:noWrap/>
            <w:vAlign w:val="center"/>
            <w:hideMark/>
          </w:tcPr>
          <w:p w14:paraId="72E35FBE" w14:textId="77777777" w:rsidR="0047687A" w:rsidRPr="005734B8" w:rsidRDefault="0047687A" w:rsidP="00F06229">
            <w:pPr>
              <w:jc w:val="right"/>
              <w:rPr>
                <w:rFonts w:ascii="Calibri" w:hAnsi="Calibri" w:cs="Calibri"/>
                <w:sz w:val="18"/>
                <w:szCs w:val="18"/>
              </w:rPr>
            </w:pPr>
            <w:r w:rsidRPr="005734B8">
              <w:rPr>
                <w:rFonts w:ascii="Calibri" w:hAnsi="Calibri" w:cs="Calibri"/>
                <w:sz w:val="18"/>
                <w:szCs w:val="18"/>
              </w:rPr>
              <w:t xml:space="preserve">1.2 </w:t>
            </w:r>
          </w:p>
        </w:tc>
        <w:tc>
          <w:tcPr>
            <w:tcW w:w="1082" w:type="dxa"/>
            <w:tcBorders>
              <w:top w:val="nil"/>
              <w:left w:val="nil"/>
              <w:bottom w:val="single" w:sz="4" w:space="0" w:color="auto"/>
              <w:right w:val="single" w:sz="4" w:space="0" w:color="FFFFFF"/>
            </w:tcBorders>
            <w:shd w:val="clear" w:color="FFFFFF" w:fill="FFFFFF"/>
            <w:noWrap/>
            <w:vAlign w:val="center"/>
            <w:hideMark/>
          </w:tcPr>
          <w:p w14:paraId="17DCF170" w14:textId="77777777" w:rsidR="0047687A" w:rsidRPr="005734B8" w:rsidRDefault="0047687A" w:rsidP="00F06229">
            <w:pPr>
              <w:jc w:val="right"/>
              <w:rPr>
                <w:rFonts w:ascii="Calibri" w:hAnsi="Calibri" w:cs="Calibri"/>
                <w:sz w:val="18"/>
                <w:szCs w:val="18"/>
              </w:rPr>
            </w:pPr>
            <w:r w:rsidRPr="005734B8">
              <w:rPr>
                <w:rFonts w:ascii="Calibri" w:hAnsi="Calibri" w:cs="Calibri"/>
                <w:sz w:val="18"/>
                <w:szCs w:val="18"/>
              </w:rPr>
              <w:t xml:space="preserve">1.6 </w:t>
            </w:r>
          </w:p>
        </w:tc>
      </w:tr>
      <w:tr w:rsidR="0047687A" w:rsidRPr="005734B8" w14:paraId="34B35A8C"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23AB808" w14:textId="77777777" w:rsidR="0047687A" w:rsidRPr="005734B8" w:rsidRDefault="0047687A" w:rsidP="00F06229">
            <w:pPr>
              <w:rPr>
                <w:rFonts w:ascii="Calibri" w:hAnsi="Calibri" w:cs="Calibri"/>
                <w:b/>
                <w:sz w:val="18"/>
                <w:szCs w:val="18"/>
              </w:rPr>
            </w:pPr>
            <w:r w:rsidRPr="005734B8">
              <w:rPr>
                <w:rFonts w:ascii="Calibri" w:hAnsi="Calibri" w:cs="Calibri"/>
                <w:b/>
                <w:sz w:val="18"/>
                <w:szCs w:val="18"/>
              </w:rPr>
              <w:t>Total sales of goods and services</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21B2C56D" w14:textId="77777777" w:rsidR="0047687A" w:rsidRPr="005734B8" w:rsidRDefault="0047687A" w:rsidP="00F06229">
            <w:pPr>
              <w:jc w:val="right"/>
              <w:rPr>
                <w:rFonts w:ascii="Calibri" w:hAnsi="Calibri" w:cs="Calibri"/>
                <w:b/>
                <w:sz w:val="18"/>
                <w:szCs w:val="18"/>
              </w:rPr>
            </w:pPr>
            <w:r w:rsidRPr="005734B8">
              <w:rPr>
                <w:rFonts w:ascii="Calibri" w:hAnsi="Calibri" w:cs="Calibri"/>
                <w:b/>
                <w:sz w:val="18"/>
                <w:szCs w:val="18"/>
              </w:rPr>
              <w:t xml:space="preserve">234.2 </w:t>
            </w:r>
          </w:p>
        </w:tc>
        <w:tc>
          <w:tcPr>
            <w:tcW w:w="1082" w:type="dxa"/>
            <w:tcBorders>
              <w:top w:val="single" w:sz="12" w:space="0" w:color="auto"/>
              <w:left w:val="nil"/>
              <w:bottom w:val="single" w:sz="12" w:space="0" w:color="auto"/>
              <w:right w:val="single" w:sz="12" w:space="0" w:color="FFFFFF"/>
            </w:tcBorders>
            <w:shd w:val="clear" w:color="FFFFFF" w:fill="FFFFFF"/>
            <w:noWrap/>
            <w:vAlign w:val="center"/>
            <w:hideMark/>
          </w:tcPr>
          <w:p w14:paraId="624CBB1E" w14:textId="77777777" w:rsidR="0047687A" w:rsidRPr="005734B8" w:rsidRDefault="0047687A" w:rsidP="00F06229">
            <w:pPr>
              <w:jc w:val="right"/>
              <w:rPr>
                <w:rFonts w:ascii="Calibri" w:hAnsi="Calibri" w:cs="Calibri"/>
                <w:b/>
                <w:sz w:val="18"/>
                <w:szCs w:val="18"/>
              </w:rPr>
            </w:pPr>
            <w:r w:rsidRPr="005734B8">
              <w:rPr>
                <w:rFonts w:ascii="Calibri" w:hAnsi="Calibri" w:cs="Calibri"/>
                <w:b/>
                <w:sz w:val="18"/>
                <w:szCs w:val="18"/>
              </w:rPr>
              <w:t xml:space="preserve">280.1 </w:t>
            </w:r>
          </w:p>
        </w:tc>
      </w:tr>
    </w:tbl>
    <w:p w14:paraId="5FA56EDF" w14:textId="77777777" w:rsidR="0047687A" w:rsidRPr="005734B8" w:rsidRDefault="0047687A" w:rsidP="00F06229">
      <w:pPr>
        <w:rPr>
          <w:rFonts w:ascii="Calibri" w:hAnsi="Calibri" w:cs="Calibri"/>
        </w:rPr>
      </w:pPr>
    </w:p>
    <w:p w14:paraId="689B3BD3" w14:textId="77777777" w:rsidR="0047687A" w:rsidRPr="005734B8" w:rsidRDefault="0047687A" w:rsidP="00F06229">
      <w:pPr>
        <w:rPr>
          <w:rFonts w:ascii="Calibri" w:hAnsi="Calibri" w:cs="Calibri"/>
        </w:rPr>
      </w:pPr>
      <w:r w:rsidRPr="005734B8">
        <w:rPr>
          <w:rFonts w:ascii="Calibri" w:hAnsi="Calibri" w:cs="Calibri"/>
        </w:rPr>
        <w:t>The sale of goods and services included in the table above are transactions that the department has determined to be classified as revenue from contracts with customers in accordance with AASB 15.</w:t>
      </w:r>
    </w:p>
    <w:p w14:paraId="2652ED30" w14:textId="77777777" w:rsidR="0047687A" w:rsidRPr="005734B8" w:rsidRDefault="0047687A" w:rsidP="00F06229">
      <w:pPr>
        <w:rPr>
          <w:rFonts w:ascii="Calibri" w:hAnsi="Calibri" w:cs="Calibri"/>
        </w:rPr>
      </w:pPr>
    </w:p>
    <w:p w14:paraId="5662149E" w14:textId="77777777" w:rsidR="0047687A" w:rsidRPr="005734B8" w:rsidRDefault="0047687A" w:rsidP="00F06229">
      <w:pPr>
        <w:rPr>
          <w:rFonts w:ascii="Calibri" w:hAnsi="Calibri" w:cs="Calibri"/>
          <w:b/>
          <w:bCs/>
        </w:rPr>
      </w:pPr>
      <w:r w:rsidRPr="005734B8">
        <w:rPr>
          <w:rFonts w:ascii="Calibri" w:hAnsi="Calibri" w:cs="Calibri"/>
          <w:b/>
          <w:bCs/>
        </w:rPr>
        <w:br w:type="page"/>
      </w:r>
    </w:p>
    <w:p w14:paraId="0BBDC47F" w14:textId="77777777" w:rsidR="0047687A" w:rsidRPr="005734B8" w:rsidRDefault="0047687A" w:rsidP="00F06229">
      <w:pPr>
        <w:rPr>
          <w:rFonts w:ascii="Calibri" w:hAnsi="Calibri" w:cs="Calibri"/>
          <w:b/>
          <w:bCs/>
        </w:rPr>
      </w:pPr>
      <w:r w:rsidRPr="005734B8">
        <w:rPr>
          <w:rFonts w:ascii="Calibri" w:hAnsi="Calibri" w:cs="Calibri"/>
          <w:b/>
          <w:bCs/>
        </w:rPr>
        <w:lastRenderedPageBreak/>
        <w:t>Performance obligations and revenue recognition policies</w:t>
      </w:r>
    </w:p>
    <w:p w14:paraId="0A28007A" w14:textId="77777777" w:rsidR="0047687A" w:rsidRPr="005734B8" w:rsidRDefault="0047687A" w:rsidP="00F06229">
      <w:pPr>
        <w:rPr>
          <w:rFonts w:ascii="Calibri" w:hAnsi="Calibri" w:cs="Calibri"/>
          <w:b/>
          <w:bCs/>
        </w:rPr>
      </w:pPr>
    </w:p>
    <w:p w14:paraId="3BA6EE9C" w14:textId="5CF65B09" w:rsidR="0047687A" w:rsidRPr="005734B8" w:rsidRDefault="0047687A" w:rsidP="002D345C">
      <w:pPr>
        <w:tabs>
          <w:tab w:val="left" w:pos="567"/>
        </w:tabs>
        <w:rPr>
          <w:rFonts w:ascii="Calibri" w:hAnsi="Calibri" w:cs="Calibri"/>
        </w:rPr>
      </w:pPr>
      <w:r w:rsidRPr="005734B8">
        <w:rPr>
          <w:rFonts w:ascii="Calibri" w:hAnsi="Calibri" w:cs="Calibri"/>
        </w:rPr>
        <w:t xml:space="preserve">Revenue is measured based on the consideration specified in the contract with the customer. The Department recognises revenue when it transfers control of a good or service to the customer. For example, when, or as, the performance obligations for the sale of goods and services to the customer are satisfied. </w:t>
      </w:r>
      <w:r w:rsidR="002D345C" w:rsidRPr="005734B8">
        <w:rPr>
          <w:rFonts w:ascii="Calibri" w:hAnsi="Calibri" w:cs="Calibri"/>
        </w:rPr>
        <w:t>A</w:t>
      </w:r>
      <w:r w:rsidRPr="005734B8">
        <w:rPr>
          <w:rFonts w:ascii="Calibri" w:hAnsi="Calibri" w:cs="Calibri"/>
        </w:rPr>
        <w:t>ccordingly, revenue from:</w:t>
      </w:r>
    </w:p>
    <w:p w14:paraId="0E1CA98C" w14:textId="7884ED9E" w:rsidR="0047687A" w:rsidRPr="005734B8" w:rsidRDefault="0047687A" w:rsidP="00F1540A">
      <w:pPr>
        <w:pStyle w:val="ListParagraph"/>
        <w:keepLines/>
        <w:numPr>
          <w:ilvl w:val="0"/>
          <w:numId w:val="66"/>
        </w:numPr>
        <w:tabs>
          <w:tab w:val="left" w:pos="567"/>
        </w:tabs>
        <w:spacing w:before="120"/>
        <w:ind w:left="567" w:hanging="567"/>
        <w:rPr>
          <w:rFonts w:ascii="Calibri" w:hAnsi="Calibri" w:cs="Calibri"/>
        </w:rPr>
      </w:pPr>
      <w:r w:rsidRPr="005734B8">
        <w:rPr>
          <w:rFonts w:ascii="Calibri" w:hAnsi="Calibri" w:cs="Calibri"/>
        </w:rPr>
        <w:t xml:space="preserve">sale of goods </w:t>
      </w:r>
      <w:r w:rsidR="00AB3C74" w:rsidRPr="005734B8">
        <w:rPr>
          <w:rFonts w:ascii="Calibri" w:hAnsi="Calibri" w:cs="Calibri"/>
        </w:rPr>
        <w:t>is</w:t>
      </w:r>
      <w:r w:rsidRPr="005734B8">
        <w:rPr>
          <w:rFonts w:ascii="Calibri" w:hAnsi="Calibri" w:cs="Calibri"/>
        </w:rPr>
        <w:t xml:space="preserve"> recognised at a point in time when customers obtain control of the supplies and consumables when the goods are delivered and have been accepted. </w:t>
      </w:r>
      <w:bookmarkStart w:id="1291" w:name="_Hlk73609022"/>
      <w:r w:rsidRPr="005734B8">
        <w:rPr>
          <w:rFonts w:ascii="Calibri" w:hAnsi="Calibri" w:cs="Calibri"/>
        </w:rPr>
        <w:t>For schools, these cover trading operations such as canteens, bookshops, stationery and uniform sales</w:t>
      </w:r>
      <w:bookmarkEnd w:id="1291"/>
    </w:p>
    <w:p w14:paraId="7CA10F49" w14:textId="77777777" w:rsidR="0047687A" w:rsidRPr="005734B8" w:rsidRDefault="0047687A" w:rsidP="00F1540A">
      <w:pPr>
        <w:pStyle w:val="ListParagraph"/>
        <w:keepLines/>
        <w:numPr>
          <w:ilvl w:val="0"/>
          <w:numId w:val="66"/>
        </w:numPr>
        <w:tabs>
          <w:tab w:val="left" w:pos="567"/>
        </w:tabs>
        <w:spacing w:before="120"/>
        <w:ind w:left="567" w:hanging="567"/>
        <w:rPr>
          <w:rFonts w:ascii="Calibri" w:hAnsi="Calibri" w:cs="Calibri"/>
        </w:rPr>
      </w:pPr>
      <w:r w:rsidRPr="005734B8">
        <w:rPr>
          <w:rFonts w:ascii="Calibri" w:hAnsi="Calibri" w:cs="Calibri"/>
        </w:rPr>
        <w:t xml:space="preserve">rendering of services is recognised at a point in time when the performance obligation is satisfied when the service is completed; and over time when the customer simultaneously receives and consumes the services as it is provided. </w:t>
      </w:r>
      <w:bookmarkStart w:id="1292" w:name="_Hlk73609029"/>
      <w:r w:rsidRPr="005734B8">
        <w:rPr>
          <w:rFonts w:ascii="Calibri" w:hAnsi="Calibri" w:cs="Calibri"/>
        </w:rPr>
        <w:t>For schools, these cover activities such as music lessons, camps, sports and excursions and out of school hours care.</w:t>
      </w:r>
      <w:bookmarkEnd w:id="1292"/>
    </w:p>
    <w:p w14:paraId="49D462E6" w14:textId="77777777" w:rsidR="0047687A" w:rsidRPr="005734B8" w:rsidRDefault="0047687A" w:rsidP="00F06229">
      <w:pPr>
        <w:tabs>
          <w:tab w:val="left" w:pos="567"/>
        </w:tabs>
        <w:ind w:left="567" w:hanging="567"/>
        <w:rPr>
          <w:rFonts w:ascii="Calibri" w:hAnsi="Calibri" w:cs="Calibri"/>
        </w:rPr>
      </w:pPr>
    </w:p>
    <w:p w14:paraId="6236E154" w14:textId="2A1310B5" w:rsidR="0047687A" w:rsidRPr="005734B8" w:rsidRDefault="0047687A" w:rsidP="00F06229">
      <w:pPr>
        <w:rPr>
          <w:rFonts w:ascii="Calibri" w:hAnsi="Calibri" w:cs="Calibri"/>
        </w:rPr>
      </w:pPr>
      <w:r w:rsidRPr="005734B8">
        <w:rPr>
          <w:rFonts w:ascii="Calibri" w:hAnsi="Calibri" w:cs="Calibri"/>
        </w:rPr>
        <w:t xml:space="preserve">Consideration received in advance of recognising the associated revenue from the customer is recorded as a contract liability (Note 6.3.3). Where the performance obligations </w:t>
      </w:r>
      <w:r w:rsidR="00AB3C74" w:rsidRPr="005734B8">
        <w:rPr>
          <w:rFonts w:ascii="Calibri" w:hAnsi="Calibri" w:cs="Calibri"/>
        </w:rPr>
        <w:t>are</w:t>
      </w:r>
      <w:r w:rsidRPr="005734B8">
        <w:rPr>
          <w:rFonts w:ascii="Calibri" w:hAnsi="Calibri" w:cs="Calibri"/>
        </w:rPr>
        <w:t xml:space="preserve"> satisfied but not yet billed, a contract asset is recorded.</w:t>
      </w:r>
    </w:p>
    <w:p w14:paraId="6E6F4421" w14:textId="7BE736E1" w:rsidR="0047687A" w:rsidRPr="005734B8" w:rsidRDefault="00B365A8" w:rsidP="00FE5E0C">
      <w:pPr>
        <w:pStyle w:val="ESHeading3"/>
        <w:ind w:left="0" w:firstLine="0"/>
        <w:rPr>
          <w:rFonts w:ascii="Calibri" w:hAnsi="Calibri" w:cs="Calibri"/>
        </w:rPr>
      </w:pPr>
      <w:bookmarkStart w:id="1293" w:name="_Toc11336353"/>
      <w:bookmarkStart w:id="1294" w:name="_Toc14965579"/>
      <w:bookmarkStart w:id="1295" w:name="_Hlk44094699"/>
      <w:r w:rsidRPr="005734B8">
        <w:rPr>
          <w:rFonts w:ascii="Calibri" w:hAnsi="Calibri" w:cs="Calibri"/>
        </w:rPr>
        <w:t xml:space="preserve">2.4.3 </w:t>
      </w:r>
      <w:r w:rsidR="0047687A" w:rsidRPr="005734B8">
        <w:rPr>
          <w:rFonts w:ascii="Calibri" w:hAnsi="Calibri" w:cs="Calibri"/>
        </w:rPr>
        <w:t>Other income</w:t>
      </w:r>
      <w:bookmarkEnd w:id="1293"/>
      <w:bookmarkEnd w:id="1294"/>
    </w:p>
    <w:tbl>
      <w:tblPr>
        <w:tblW w:w="7625" w:type="dxa"/>
        <w:tblInd w:w="75" w:type="dxa"/>
        <w:tblLayout w:type="fixed"/>
        <w:tblLook w:val="04A0" w:firstRow="1" w:lastRow="0" w:firstColumn="1" w:lastColumn="0" w:noHBand="0" w:noVBand="1"/>
      </w:tblPr>
      <w:tblGrid>
        <w:gridCol w:w="5452"/>
        <w:gridCol w:w="1091"/>
        <w:gridCol w:w="1082"/>
      </w:tblGrid>
      <w:tr w:rsidR="0047687A" w:rsidRPr="005734B8" w14:paraId="20C486F3" w14:textId="77777777" w:rsidTr="000F48B1">
        <w:trPr>
          <w:trHeight w:val="480"/>
        </w:trPr>
        <w:tc>
          <w:tcPr>
            <w:tcW w:w="5452" w:type="dxa"/>
            <w:tcBorders>
              <w:top w:val="nil"/>
              <w:left w:val="single" w:sz="4" w:space="0" w:color="FFFFFF"/>
              <w:bottom w:val="nil"/>
              <w:right w:val="single" w:sz="4" w:space="0" w:color="FFFFFF"/>
            </w:tcBorders>
            <w:shd w:val="clear" w:color="000000" w:fill="AF272F"/>
            <w:vAlign w:val="bottom"/>
            <w:hideMark/>
          </w:tcPr>
          <w:p w14:paraId="3D95A66A" w14:textId="77777777" w:rsidR="0047687A" w:rsidRPr="005734B8" w:rsidRDefault="0047687A" w:rsidP="00F06229">
            <w:pPr>
              <w:jc w:val="center"/>
              <w:rPr>
                <w:rFonts w:ascii="Calibri" w:hAnsi="Calibri" w:cs="Calibri"/>
                <w:b/>
                <w:color w:val="FFFFFF"/>
                <w:sz w:val="18"/>
                <w:szCs w:val="18"/>
              </w:rPr>
            </w:pPr>
            <w:bookmarkStart w:id="1296" w:name="Note_OIATABLE1" w:colFirst="0" w:colLast="0"/>
            <w:r w:rsidRPr="005734B8">
              <w:rPr>
                <w:rFonts w:ascii="Calibri" w:hAnsi="Calibri" w:cs="Calibri"/>
                <w:b/>
                <w:color w:val="FFFFFF"/>
                <w:sz w:val="18"/>
                <w:szCs w:val="18"/>
              </w:rPr>
              <w:t> </w:t>
            </w:r>
          </w:p>
        </w:tc>
        <w:tc>
          <w:tcPr>
            <w:tcW w:w="1091" w:type="dxa"/>
            <w:tcBorders>
              <w:top w:val="nil"/>
              <w:left w:val="nil"/>
              <w:bottom w:val="single" w:sz="4" w:space="0" w:color="auto"/>
              <w:right w:val="single" w:sz="4" w:space="0" w:color="FFFFFF"/>
            </w:tcBorders>
            <w:shd w:val="clear" w:color="000000" w:fill="AF272F"/>
            <w:hideMark/>
          </w:tcPr>
          <w:p w14:paraId="311E173C" w14:textId="77777777" w:rsidR="0047687A" w:rsidRPr="005734B8" w:rsidRDefault="0047687A" w:rsidP="00F06229">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82" w:type="dxa"/>
            <w:tcBorders>
              <w:top w:val="nil"/>
              <w:left w:val="nil"/>
              <w:bottom w:val="single" w:sz="4" w:space="0" w:color="auto"/>
              <w:right w:val="single" w:sz="4" w:space="0" w:color="FFFFFF"/>
            </w:tcBorders>
            <w:shd w:val="clear" w:color="000000" w:fill="AF272F"/>
            <w:hideMark/>
          </w:tcPr>
          <w:p w14:paraId="6A6E33C2" w14:textId="77777777" w:rsidR="0047687A" w:rsidRPr="005734B8" w:rsidRDefault="0047687A" w:rsidP="00F06229">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296"/>
      <w:tr w:rsidR="0047687A" w:rsidRPr="005734B8" w14:paraId="5E587581" w14:textId="77777777" w:rsidTr="000F48B1">
        <w:trPr>
          <w:trHeight w:val="255"/>
        </w:trPr>
        <w:tc>
          <w:tcPr>
            <w:tcW w:w="5452"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2E79DA37" w14:textId="77777777" w:rsidR="0047687A" w:rsidRPr="005734B8" w:rsidRDefault="0047687A" w:rsidP="00F06229">
            <w:pPr>
              <w:rPr>
                <w:rFonts w:ascii="Calibri" w:hAnsi="Calibri" w:cs="Calibri"/>
                <w:b/>
                <w:sz w:val="18"/>
                <w:szCs w:val="18"/>
              </w:rPr>
            </w:pPr>
            <w:r w:rsidRPr="005734B8">
              <w:rPr>
                <w:rFonts w:ascii="Calibri" w:hAnsi="Calibri" w:cs="Calibri"/>
                <w:b/>
                <w:sz w:val="18"/>
                <w:szCs w:val="18"/>
              </w:rPr>
              <w:t>Other income</w:t>
            </w:r>
          </w:p>
        </w:tc>
        <w:tc>
          <w:tcPr>
            <w:tcW w:w="1091" w:type="dxa"/>
            <w:tcBorders>
              <w:top w:val="nil"/>
              <w:left w:val="nil"/>
              <w:bottom w:val="single" w:sz="4" w:space="0" w:color="auto"/>
              <w:right w:val="single" w:sz="4" w:space="0" w:color="FFFFFF"/>
            </w:tcBorders>
            <w:shd w:val="clear" w:color="000000" w:fill="D9D9D9"/>
            <w:vAlign w:val="bottom"/>
            <w:hideMark/>
          </w:tcPr>
          <w:p w14:paraId="13B543D4" w14:textId="77777777" w:rsidR="0047687A" w:rsidRPr="005734B8" w:rsidRDefault="0047687A" w:rsidP="00F06229">
            <w:pPr>
              <w:rPr>
                <w:rFonts w:ascii="Calibri" w:hAnsi="Calibri" w:cs="Calibri"/>
                <w:b/>
                <w:sz w:val="18"/>
                <w:szCs w:val="18"/>
              </w:rPr>
            </w:pPr>
            <w:r w:rsidRPr="005734B8">
              <w:rPr>
                <w:rFonts w:ascii="Calibri" w:hAnsi="Calibri" w:cs="Calibri"/>
                <w:b/>
                <w:sz w:val="18"/>
                <w:szCs w:val="18"/>
              </w:rPr>
              <w:t> </w:t>
            </w:r>
          </w:p>
        </w:tc>
        <w:tc>
          <w:tcPr>
            <w:tcW w:w="1082" w:type="dxa"/>
            <w:tcBorders>
              <w:top w:val="nil"/>
              <w:left w:val="nil"/>
              <w:bottom w:val="single" w:sz="4" w:space="0" w:color="auto"/>
              <w:right w:val="single" w:sz="4" w:space="0" w:color="FFFFFF"/>
            </w:tcBorders>
            <w:shd w:val="clear" w:color="000000" w:fill="D9D9D9"/>
            <w:vAlign w:val="bottom"/>
            <w:hideMark/>
          </w:tcPr>
          <w:p w14:paraId="2BF7D94F" w14:textId="77777777" w:rsidR="0047687A" w:rsidRPr="005734B8" w:rsidRDefault="0047687A" w:rsidP="00F06229">
            <w:pPr>
              <w:rPr>
                <w:rFonts w:ascii="Calibri" w:hAnsi="Calibri" w:cs="Calibri"/>
                <w:b/>
                <w:sz w:val="18"/>
                <w:szCs w:val="18"/>
              </w:rPr>
            </w:pPr>
            <w:r w:rsidRPr="005734B8">
              <w:rPr>
                <w:rFonts w:ascii="Calibri" w:hAnsi="Calibri" w:cs="Calibri"/>
                <w:b/>
                <w:sz w:val="18"/>
                <w:szCs w:val="18"/>
              </w:rPr>
              <w:t> </w:t>
            </w:r>
          </w:p>
        </w:tc>
      </w:tr>
      <w:tr w:rsidR="0047687A" w:rsidRPr="005734B8" w14:paraId="201FE867" w14:textId="77777777" w:rsidTr="000F48B1">
        <w:trPr>
          <w:trHeight w:val="61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02A0AC7C" w14:textId="77777777" w:rsidR="0047687A" w:rsidRPr="005734B8" w:rsidRDefault="0047687A" w:rsidP="00F06229">
            <w:pPr>
              <w:rPr>
                <w:rFonts w:ascii="Calibri" w:hAnsi="Calibri" w:cs="Calibri"/>
                <w:sz w:val="18"/>
                <w:szCs w:val="18"/>
              </w:rPr>
            </w:pPr>
            <w:r w:rsidRPr="005734B8">
              <w:rPr>
                <w:rFonts w:ascii="Calibri" w:hAnsi="Calibri" w:cs="Calibri"/>
                <w:sz w:val="18"/>
                <w:szCs w:val="18"/>
              </w:rPr>
              <w:t>Schools revenue – including parents’ voluntary contributions and other locally raised funds</w:t>
            </w:r>
          </w:p>
        </w:tc>
        <w:tc>
          <w:tcPr>
            <w:tcW w:w="1091" w:type="dxa"/>
            <w:tcBorders>
              <w:top w:val="nil"/>
              <w:left w:val="nil"/>
              <w:bottom w:val="single" w:sz="4" w:space="0" w:color="auto"/>
              <w:right w:val="single" w:sz="4" w:space="0" w:color="FFFFFF"/>
            </w:tcBorders>
            <w:shd w:val="clear" w:color="000000" w:fill="D9D9D9"/>
            <w:noWrap/>
            <w:vAlign w:val="center"/>
            <w:hideMark/>
          </w:tcPr>
          <w:p w14:paraId="6905C39F" w14:textId="77777777" w:rsidR="0047687A" w:rsidRPr="005734B8" w:rsidRDefault="0047687A" w:rsidP="00F06229">
            <w:pPr>
              <w:jc w:val="right"/>
              <w:rPr>
                <w:rFonts w:ascii="Calibri" w:hAnsi="Calibri" w:cs="Calibri"/>
                <w:sz w:val="18"/>
                <w:szCs w:val="18"/>
              </w:rPr>
            </w:pPr>
            <w:r w:rsidRPr="005734B8">
              <w:rPr>
                <w:rFonts w:ascii="Calibri" w:hAnsi="Calibri" w:cs="Calibri"/>
                <w:sz w:val="18"/>
                <w:szCs w:val="18"/>
              </w:rPr>
              <w:t xml:space="preserve">281.9 </w:t>
            </w:r>
          </w:p>
        </w:tc>
        <w:tc>
          <w:tcPr>
            <w:tcW w:w="1082" w:type="dxa"/>
            <w:tcBorders>
              <w:top w:val="nil"/>
              <w:left w:val="nil"/>
              <w:bottom w:val="single" w:sz="4" w:space="0" w:color="auto"/>
              <w:right w:val="single" w:sz="4" w:space="0" w:color="FFFFFF"/>
            </w:tcBorders>
            <w:shd w:val="clear" w:color="FFFFFF" w:fill="FFFFFF"/>
            <w:noWrap/>
            <w:vAlign w:val="center"/>
            <w:hideMark/>
          </w:tcPr>
          <w:p w14:paraId="1D2E9BE9" w14:textId="77777777" w:rsidR="0047687A" w:rsidRPr="005734B8" w:rsidRDefault="0047687A" w:rsidP="00F06229">
            <w:pPr>
              <w:jc w:val="right"/>
              <w:rPr>
                <w:rFonts w:ascii="Calibri" w:hAnsi="Calibri" w:cs="Calibri"/>
                <w:sz w:val="18"/>
                <w:szCs w:val="18"/>
              </w:rPr>
            </w:pPr>
            <w:r w:rsidRPr="005734B8">
              <w:rPr>
                <w:rFonts w:ascii="Calibri" w:hAnsi="Calibri" w:cs="Calibri"/>
                <w:sz w:val="18"/>
                <w:szCs w:val="18"/>
              </w:rPr>
              <w:t xml:space="preserve">372.4 </w:t>
            </w:r>
          </w:p>
        </w:tc>
      </w:tr>
      <w:tr w:rsidR="0047687A" w:rsidRPr="005734B8" w14:paraId="2C9774C2" w14:textId="77777777" w:rsidTr="000F48B1">
        <w:trPr>
          <w:trHeight w:val="300"/>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03237816" w14:textId="77777777" w:rsidR="0047687A" w:rsidRPr="005734B8" w:rsidRDefault="0047687A" w:rsidP="00F06229">
            <w:pPr>
              <w:rPr>
                <w:rFonts w:ascii="Calibri" w:hAnsi="Calibri" w:cs="Calibri"/>
                <w:sz w:val="18"/>
                <w:szCs w:val="18"/>
              </w:rPr>
            </w:pPr>
            <w:r w:rsidRPr="005734B8">
              <w:rPr>
                <w:rFonts w:ascii="Calibri" w:hAnsi="Calibri" w:cs="Calibri"/>
                <w:sz w:val="18"/>
                <w:szCs w:val="18"/>
              </w:rPr>
              <w:t>Interest on bank deposits</w:t>
            </w:r>
          </w:p>
        </w:tc>
        <w:tc>
          <w:tcPr>
            <w:tcW w:w="1091" w:type="dxa"/>
            <w:tcBorders>
              <w:top w:val="nil"/>
              <w:left w:val="nil"/>
              <w:bottom w:val="single" w:sz="4" w:space="0" w:color="auto"/>
              <w:right w:val="single" w:sz="4" w:space="0" w:color="FFFFFF"/>
            </w:tcBorders>
            <w:shd w:val="clear" w:color="000000" w:fill="D9D9D9"/>
            <w:noWrap/>
            <w:vAlign w:val="center"/>
            <w:hideMark/>
          </w:tcPr>
          <w:p w14:paraId="02C28E1B" w14:textId="77777777" w:rsidR="0047687A" w:rsidRPr="005734B8" w:rsidRDefault="0047687A" w:rsidP="00F06229">
            <w:pPr>
              <w:jc w:val="right"/>
              <w:rPr>
                <w:rFonts w:ascii="Calibri" w:hAnsi="Calibri" w:cs="Calibri"/>
                <w:sz w:val="18"/>
                <w:szCs w:val="18"/>
              </w:rPr>
            </w:pPr>
            <w:r w:rsidRPr="005734B8">
              <w:rPr>
                <w:rFonts w:ascii="Calibri" w:hAnsi="Calibri" w:cs="Calibri"/>
                <w:sz w:val="18"/>
                <w:szCs w:val="18"/>
              </w:rPr>
              <w:t xml:space="preserve">4.0 </w:t>
            </w:r>
          </w:p>
        </w:tc>
        <w:tc>
          <w:tcPr>
            <w:tcW w:w="1082" w:type="dxa"/>
            <w:tcBorders>
              <w:top w:val="nil"/>
              <w:left w:val="nil"/>
              <w:bottom w:val="single" w:sz="4" w:space="0" w:color="auto"/>
              <w:right w:val="single" w:sz="4" w:space="0" w:color="FFFFFF"/>
            </w:tcBorders>
            <w:shd w:val="clear" w:color="FFFFFF" w:fill="FFFFFF"/>
            <w:noWrap/>
            <w:vAlign w:val="center"/>
            <w:hideMark/>
          </w:tcPr>
          <w:p w14:paraId="7CD2586E" w14:textId="77777777" w:rsidR="0047687A" w:rsidRPr="005734B8" w:rsidRDefault="0047687A" w:rsidP="00F06229">
            <w:pPr>
              <w:jc w:val="right"/>
              <w:rPr>
                <w:rFonts w:ascii="Calibri" w:hAnsi="Calibri" w:cs="Calibri"/>
                <w:sz w:val="18"/>
                <w:szCs w:val="18"/>
              </w:rPr>
            </w:pPr>
            <w:r w:rsidRPr="005734B8">
              <w:rPr>
                <w:rFonts w:ascii="Calibri" w:hAnsi="Calibri" w:cs="Calibri"/>
                <w:sz w:val="18"/>
                <w:szCs w:val="18"/>
              </w:rPr>
              <w:t xml:space="preserve">12.5 </w:t>
            </w:r>
          </w:p>
        </w:tc>
      </w:tr>
      <w:tr w:rsidR="0047687A" w:rsidRPr="005734B8" w14:paraId="5141B9A4"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496711F7" w14:textId="77777777" w:rsidR="0047687A" w:rsidRPr="005734B8" w:rsidRDefault="0047687A" w:rsidP="00F06229">
            <w:pPr>
              <w:rPr>
                <w:rFonts w:ascii="Calibri" w:hAnsi="Calibri" w:cs="Calibri"/>
                <w:sz w:val="18"/>
                <w:szCs w:val="18"/>
              </w:rPr>
            </w:pPr>
            <w:r w:rsidRPr="005734B8">
              <w:rPr>
                <w:rFonts w:ascii="Calibri" w:hAnsi="Calibri" w:cs="Calibri"/>
                <w:sz w:val="18"/>
                <w:szCs w:val="18"/>
              </w:rPr>
              <w:t>Other revenue</w:t>
            </w:r>
          </w:p>
        </w:tc>
        <w:tc>
          <w:tcPr>
            <w:tcW w:w="1091" w:type="dxa"/>
            <w:tcBorders>
              <w:top w:val="nil"/>
              <w:left w:val="nil"/>
              <w:bottom w:val="single" w:sz="4" w:space="0" w:color="auto"/>
              <w:right w:val="single" w:sz="4" w:space="0" w:color="FFFFFF"/>
            </w:tcBorders>
            <w:shd w:val="clear" w:color="000000" w:fill="D9D9D9"/>
            <w:noWrap/>
            <w:vAlign w:val="center"/>
            <w:hideMark/>
          </w:tcPr>
          <w:p w14:paraId="12290241" w14:textId="77777777" w:rsidR="0047687A" w:rsidRPr="005734B8" w:rsidRDefault="0047687A" w:rsidP="00F06229">
            <w:pPr>
              <w:jc w:val="right"/>
              <w:rPr>
                <w:rFonts w:ascii="Calibri" w:hAnsi="Calibri" w:cs="Calibri"/>
                <w:sz w:val="18"/>
                <w:szCs w:val="18"/>
              </w:rPr>
            </w:pPr>
            <w:r w:rsidRPr="005734B8">
              <w:rPr>
                <w:rFonts w:ascii="Calibri" w:hAnsi="Calibri" w:cs="Calibri"/>
                <w:sz w:val="18"/>
                <w:szCs w:val="18"/>
              </w:rPr>
              <w:t xml:space="preserve">3.3 </w:t>
            </w:r>
          </w:p>
        </w:tc>
        <w:tc>
          <w:tcPr>
            <w:tcW w:w="1082" w:type="dxa"/>
            <w:tcBorders>
              <w:top w:val="nil"/>
              <w:left w:val="nil"/>
              <w:bottom w:val="single" w:sz="4" w:space="0" w:color="auto"/>
              <w:right w:val="single" w:sz="4" w:space="0" w:color="FFFFFF"/>
            </w:tcBorders>
            <w:shd w:val="clear" w:color="FFFFFF" w:fill="FFFFFF"/>
            <w:noWrap/>
            <w:vAlign w:val="center"/>
            <w:hideMark/>
          </w:tcPr>
          <w:p w14:paraId="4A484311" w14:textId="77777777" w:rsidR="0047687A" w:rsidRPr="005734B8" w:rsidRDefault="0047687A" w:rsidP="00F06229">
            <w:pPr>
              <w:jc w:val="right"/>
              <w:rPr>
                <w:rFonts w:ascii="Calibri" w:hAnsi="Calibri" w:cs="Calibri"/>
                <w:sz w:val="18"/>
                <w:szCs w:val="18"/>
              </w:rPr>
            </w:pPr>
            <w:r w:rsidRPr="005734B8">
              <w:rPr>
                <w:rFonts w:ascii="Calibri" w:hAnsi="Calibri" w:cs="Calibri"/>
                <w:sz w:val="18"/>
                <w:szCs w:val="18"/>
              </w:rPr>
              <w:t xml:space="preserve">5.9 </w:t>
            </w:r>
          </w:p>
        </w:tc>
      </w:tr>
      <w:tr w:rsidR="0047687A" w:rsidRPr="005734B8" w14:paraId="42465F5C" w14:textId="77777777" w:rsidTr="000F48B1">
        <w:trPr>
          <w:trHeight w:val="46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617BB9F1" w14:textId="77777777" w:rsidR="0047687A" w:rsidRPr="005734B8" w:rsidRDefault="0047687A" w:rsidP="00F06229">
            <w:pPr>
              <w:rPr>
                <w:rFonts w:ascii="Calibri" w:hAnsi="Calibri" w:cs="Calibri"/>
                <w:sz w:val="18"/>
                <w:szCs w:val="18"/>
              </w:rPr>
            </w:pPr>
            <w:r w:rsidRPr="005734B8">
              <w:rPr>
                <w:rFonts w:ascii="Calibri" w:hAnsi="Calibri" w:cs="Calibri"/>
                <w:sz w:val="18"/>
                <w:szCs w:val="18"/>
              </w:rPr>
              <w:t>Land received free of charge</w:t>
            </w:r>
          </w:p>
        </w:tc>
        <w:tc>
          <w:tcPr>
            <w:tcW w:w="1091" w:type="dxa"/>
            <w:tcBorders>
              <w:top w:val="nil"/>
              <w:left w:val="nil"/>
              <w:bottom w:val="single" w:sz="4" w:space="0" w:color="auto"/>
              <w:right w:val="single" w:sz="4" w:space="0" w:color="FFFFFF"/>
            </w:tcBorders>
            <w:shd w:val="clear" w:color="000000" w:fill="D9D9D9"/>
            <w:noWrap/>
            <w:vAlign w:val="center"/>
            <w:hideMark/>
          </w:tcPr>
          <w:p w14:paraId="62994BEF" w14:textId="77777777" w:rsidR="0047687A" w:rsidRPr="005734B8" w:rsidRDefault="0047687A" w:rsidP="00F06229">
            <w:pPr>
              <w:jc w:val="right"/>
              <w:rPr>
                <w:rFonts w:ascii="Calibri" w:hAnsi="Calibri" w:cs="Calibri"/>
                <w:sz w:val="18"/>
                <w:szCs w:val="18"/>
              </w:rPr>
            </w:pPr>
            <w:r w:rsidRPr="005734B8">
              <w:rPr>
                <w:rFonts w:ascii="Calibri" w:hAnsi="Calibri" w:cs="Calibri"/>
                <w:sz w:val="18"/>
                <w:szCs w:val="18"/>
              </w:rPr>
              <w:t xml:space="preserve">6.3 </w:t>
            </w:r>
          </w:p>
        </w:tc>
        <w:tc>
          <w:tcPr>
            <w:tcW w:w="1082" w:type="dxa"/>
            <w:tcBorders>
              <w:top w:val="nil"/>
              <w:left w:val="nil"/>
              <w:bottom w:val="single" w:sz="4" w:space="0" w:color="auto"/>
              <w:right w:val="single" w:sz="4" w:space="0" w:color="FFFFFF"/>
            </w:tcBorders>
            <w:shd w:val="clear" w:color="FFFFFF" w:fill="FFFFFF"/>
            <w:noWrap/>
            <w:vAlign w:val="center"/>
            <w:hideMark/>
          </w:tcPr>
          <w:p w14:paraId="2E02F38E" w14:textId="77777777" w:rsidR="0047687A" w:rsidRPr="005734B8" w:rsidRDefault="0047687A" w:rsidP="00F06229">
            <w:pPr>
              <w:jc w:val="right"/>
              <w:rPr>
                <w:rFonts w:ascii="Calibri" w:hAnsi="Calibri" w:cs="Calibri"/>
                <w:sz w:val="18"/>
                <w:szCs w:val="18"/>
              </w:rPr>
            </w:pPr>
            <w:r w:rsidRPr="005734B8">
              <w:rPr>
                <w:rFonts w:ascii="Calibri" w:hAnsi="Calibri" w:cs="Calibri"/>
                <w:sz w:val="18"/>
                <w:szCs w:val="18"/>
              </w:rPr>
              <w:t xml:space="preserve">15.0 </w:t>
            </w:r>
          </w:p>
        </w:tc>
      </w:tr>
      <w:tr w:rsidR="0047687A" w:rsidRPr="005734B8" w14:paraId="69ED9F09"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20C51EEC" w14:textId="77777777" w:rsidR="0047687A" w:rsidRPr="005734B8" w:rsidRDefault="0047687A" w:rsidP="00F06229">
            <w:pPr>
              <w:rPr>
                <w:rFonts w:ascii="Calibri" w:hAnsi="Calibri" w:cs="Calibri"/>
                <w:b/>
                <w:sz w:val="18"/>
                <w:szCs w:val="18"/>
              </w:rPr>
            </w:pPr>
            <w:r w:rsidRPr="005734B8">
              <w:rPr>
                <w:rFonts w:ascii="Calibri" w:hAnsi="Calibri" w:cs="Calibri"/>
                <w:b/>
                <w:sz w:val="18"/>
                <w:szCs w:val="18"/>
              </w:rPr>
              <w:t>Total other income</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453FF6B0" w14:textId="77777777" w:rsidR="0047687A" w:rsidRPr="005734B8" w:rsidRDefault="0047687A" w:rsidP="00F06229">
            <w:pPr>
              <w:jc w:val="right"/>
              <w:rPr>
                <w:rFonts w:ascii="Calibri" w:hAnsi="Calibri" w:cs="Calibri"/>
                <w:b/>
                <w:sz w:val="18"/>
                <w:szCs w:val="18"/>
              </w:rPr>
            </w:pPr>
            <w:r w:rsidRPr="005734B8">
              <w:rPr>
                <w:rFonts w:ascii="Calibri" w:hAnsi="Calibri" w:cs="Calibri"/>
                <w:b/>
                <w:sz w:val="18"/>
                <w:szCs w:val="18"/>
              </w:rPr>
              <w:t xml:space="preserve">295.5 </w:t>
            </w:r>
          </w:p>
        </w:tc>
        <w:tc>
          <w:tcPr>
            <w:tcW w:w="1082" w:type="dxa"/>
            <w:tcBorders>
              <w:top w:val="single" w:sz="12" w:space="0" w:color="auto"/>
              <w:left w:val="nil"/>
              <w:bottom w:val="single" w:sz="12" w:space="0" w:color="auto"/>
              <w:right w:val="single" w:sz="12" w:space="0" w:color="FFFFFF"/>
            </w:tcBorders>
            <w:shd w:val="clear" w:color="FFFFFF" w:fill="FFFFFF"/>
            <w:noWrap/>
            <w:vAlign w:val="center"/>
            <w:hideMark/>
          </w:tcPr>
          <w:p w14:paraId="41E78532" w14:textId="77777777" w:rsidR="0047687A" w:rsidRPr="005734B8" w:rsidRDefault="0047687A" w:rsidP="00F06229">
            <w:pPr>
              <w:jc w:val="right"/>
              <w:rPr>
                <w:rFonts w:ascii="Calibri" w:hAnsi="Calibri" w:cs="Calibri"/>
                <w:b/>
                <w:sz w:val="18"/>
                <w:szCs w:val="18"/>
              </w:rPr>
            </w:pPr>
            <w:r w:rsidRPr="005734B8">
              <w:rPr>
                <w:rFonts w:ascii="Calibri" w:hAnsi="Calibri" w:cs="Calibri"/>
                <w:b/>
                <w:sz w:val="18"/>
                <w:szCs w:val="18"/>
              </w:rPr>
              <w:t xml:space="preserve">405.8 </w:t>
            </w:r>
          </w:p>
        </w:tc>
      </w:tr>
      <w:bookmarkEnd w:id="1295"/>
    </w:tbl>
    <w:p w14:paraId="5BFB0E3C" w14:textId="77777777" w:rsidR="0047687A" w:rsidRPr="005734B8" w:rsidRDefault="0047687A" w:rsidP="00F06229">
      <w:pPr>
        <w:autoSpaceDE w:val="0"/>
        <w:autoSpaceDN w:val="0"/>
        <w:adjustRightInd w:val="0"/>
        <w:rPr>
          <w:rFonts w:ascii="Calibri" w:hAnsi="Calibri" w:cs="Calibri"/>
          <w:szCs w:val="22"/>
        </w:rPr>
      </w:pPr>
    </w:p>
    <w:p w14:paraId="495DF833" w14:textId="40C9B468" w:rsidR="0047687A" w:rsidRPr="005734B8" w:rsidRDefault="0047687A" w:rsidP="00F06229">
      <w:pPr>
        <w:autoSpaceDE w:val="0"/>
        <w:autoSpaceDN w:val="0"/>
        <w:adjustRightInd w:val="0"/>
        <w:rPr>
          <w:rFonts w:ascii="Calibri" w:hAnsi="Calibri" w:cs="Calibri"/>
          <w:szCs w:val="22"/>
        </w:rPr>
      </w:pPr>
      <w:r w:rsidRPr="005734B8">
        <w:rPr>
          <w:rFonts w:ascii="Calibri" w:hAnsi="Calibri" w:cs="Calibri"/>
          <w:szCs w:val="22"/>
        </w:rPr>
        <w:t>Other income is recognised upon the receipt of the asset by the Department and/or the school</w:t>
      </w:r>
      <w:r w:rsidR="00AB3C74" w:rsidRPr="005734B8">
        <w:rPr>
          <w:rFonts w:ascii="Calibri" w:hAnsi="Calibri" w:cs="Calibri"/>
          <w:szCs w:val="22"/>
        </w:rPr>
        <w:t>.</w:t>
      </w:r>
      <w:r w:rsidRPr="005734B8">
        <w:rPr>
          <w:rFonts w:ascii="Calibri" w:hAnsi="Calibri" w:cs="Calibri"/>
          <w:szCs w:val="22"/>
        </w:rPr>
        <w:t xml:space="preserve"> </w:t>
      </w:r>
      <w:r w:rsidR="00AB3C74" w:rsidRPr="005734B8">
        <w:rPr>
          <w:rFonts w:ascii="Calibri" w:hAnsi="Calibri" w:cs="Calibri"/>
          <w:szCs w:val="22"/>
        </w:rPr>
        <w:t>I</w:t>
      </w:r>
      <w:r w:rsidRPr="005734B8">
        <w:rPr>
          <w:rFonts w:ascii="Calibri" w:hAnsi="Calibri" w:cs="Calibri"/>
          <w:szCs w:val="22"/>
        </w:rPr>
        <w:t>n the case of the school, this is processed in accordance with controls established by the school’s council.</w:t>
      </w:r>
    </w:p>
    <w:p w14:paraId="3507A5A7" w14:textId="77777777" w:rsidR="0047687A" w:rsidRPr="005734B8" w:rsidRDefault="0047687A" w:rsidP="00F06229">
      <w:pPr>
        <w:autoSpaceDE w:val="0"/>
        <w:autoSpaceDN w:val="0"/>
        <w:adjustRightInd w:val="0"/>
        <w:rPr>
          <w:rFonts w:ascii="Calibri" w:hAnsi="Calibri" w:cs="Calibri"/>
        </w:rPr>
      </w:pPr>
      <w:r w:rsidRPr="005734B8">
        <w:rPr>
          <w:rFonts w:ascii="Calibri" w:hAnsi="Calibri" w:cs="Calibri"/>
        </w:rPr>
        <w:tab/>
      </w:r>
      <w:r w:rsidRPr="005734B8">
        <w:rPr>
          <w:rFonts w:ascii="Calibri" w:hAnsi="Calibri" w:cs="Calibri"/>
        </w:rPr>
        <w:br w:type="page"/>
      </w:r>
    </w:p>
    <w:p w14:paraId="423ADCEE" w14:textId="77777777" w:rsidR="00A52BFC" w:rsidRPr="005734B8" w:rsidRDefault="002E4354" w:rsidP="00FE5E0C">
      <w:pPr>
        <w:pStyle w:val="Note"/>
        <w:rPr>
          <w:rFonts w:cs="Calibri"/>
          <w:b w:val="0"/>
        </w:rPr>
      </w:pPr>
      <w:bookmarkStart w:id="1297" w:name="_Toc14965580"/>
      <w:bookmarkStart w:id="1298" w:name="_Toc36012775"/>
      <w:bookmarkStart w:id="1299" w:name="_Toc36012853"/>
      <w:bookmarkStart w:id="1300" w:name="_Toc48402828"/>
      <w:bookmarkStart w:id="1301" w:name="_Toc48403065"/>
      <w:bookmarkStart w:id="1302" w:name="_Toc51332808"/>
      <w:bookmarkStart w:id="1303" w:name="_Toc80272074"/>
      <w:bookmarkStart w:id="1304" w:name="_Toc81315373"/>
      <w:r w:rsidRPr="00FE5E0C">
        <w:lastRenderedPageBreak/>
        <w:t>The cost of delivering</w:t>
      </w:r>
      <w:r w:rsidRPr="005734B8">
        <w:rPr>
          <w:rFonts w:cs="Calibri"/>
        </w:rPr>
        <w:t xml:space="preserve"> services</w:t>
      </w:r>
      <w:bookmarkEnd w:id="1297"/>
      <w:bookmarkEnd w:id="1298"/>
      <w:bookmarkEnd w:id="1299"/>
      <w:bookmarkEnd w:id="1300"/>
      <w:bookmarkEnd w:id="1301"/>
      <w:bookmarkEnd w:id="1302"/>
      <w:bookmarkEnd w:id="1303"/>
      <w:bookmarkEnd w:id="1304"/>
    </w:p>
    <w:p w14:paraId="679EF1F7" w14:textId="1517844B" w:rsidR="002E4354" w:rsidRPr="005734B8" w:rsidRDefault="000E29FE" w:rsidP="00A52BFC">
      <w:pPr>
        <w:rPr>
          <w:rFonts w:ascii="Calibri" w:hAnsi="Calibri" w:cs="Calibri"/>
          <w:szCs w:val="22"/>
        </w:rPr>
      </w:pPr>
      <w:r w:rsidRPr="005734B8">
        <w:rPr>
          <w:rFonts w:ascii="Calibri" w:hAnsi="Calibri" w:cs="Calibri"/>
          <w:szCs w:val="22"/>
        </w:rPr>
        <w:fldChar w:fldCharType="begin"/>
      </w:r>
      <w:r w:rsidRPr="005734B8">
        <w:rPr>
          <w:rFonts w:ascii="Calibri" w:hAnsi="Calibri" w:cs="Calibri"/>
          <w:szCs w:val="22"/>
        </w:rPr>
        <w:instrText xml:space="preserve"> TC  "</w:instrText>
      </w:r>
      <w:bookmarkStart w:id="1305" w:name="_Toc80718035"/>
      <w:r w:rsidRPr="005734B8">
        <w:rPr>
          <w:rFonts w:ascii="Calibri" w:hAnsi="Calibri" w:cs="Calibri"/>
          <w:szCs w:val="22"/>
        </w:rPr>
        <w:instrText>Note 3</w:instrText>
      </w:r>
      <w:r w:rsidRPr="005734B8">
        <w:rPr>
          <w:rFonts w:ascii="Calibri" w:hAnsi="Calibri" w:cs="Calibri"/>
          <w:szCs w:val="22"/>
        </w:rPr>
        <w:tab/>
        <w:instrText>The cost of delivering services</w:instrText>
      </w:r>
      <w:bookmarkEnd w:id="1305"/>
      <w:r w:rsidRPr="005734B8">
        <w:rPr>
          <w:rFonts w:ascii="Calibri" w:hAnsi="Calibri" w:cs="Calibri"/>
          <w:szCs w:val="22"/>
        </w:rPr>
        <w:instrText xml:space="preserve"> " \f X \l 1 </w:instrText>
      </w:r>
      <w:r w:rsidRPr="005734B8">
        <w:rPr>
          <w:rFonts w:ascii="Calibri" w:hAnsi="Calibri" w:cs="Calibri"/>
          <w:szCs w:val="22"/>
        </w:rPr>
        <w:fldChar w:fldCharType="end"/>
      </w:r>
    </w:p>
    <w:tbl>
      <w:tblPr>
        <w:tblStyle w:val="TableGrid"/>
        <w:tblpPr w:leftFromText="180" w:rightFromText="180" w:vertAnchor="page" w:horzAnchor="margin" w:tblpY="2148"/>
        <w:tblW w:w="8149" w:type="dxa"/>
        <w:tblLook w:val="04A0" w:firstRow="1" w:lastRow="0" w:firstColumn="1" w:lastColumn="0" w:noHBand="0" w:noVBand="1"/>
      </w:tblPr>
      <w:tblGrid>
        <w:gridCol w:w="4435"/>
        <w:gridCol w:w="3714"/>
      </w:tblGrid>
      <w:tr w:rsidR="00F06229" w:rsidRPr="005734B8" w14:paraId="66B52931" w14:textId="77777777" w:rsidTr="00F06229">
        <w:trPr>
          <w:trHeight w:val="2530"/>
        </w:trPr>
        <w:tc>
          <w:tcPr>
            <w:tcW w:w="4435" w:type="dxa"/>
            <w:tcBorders>
              <w:bottom w:val="single" w:sz="4" w:space="0" w:color="auto"/>
              <w:right w:val="nil"/>
            </w:tcBorders>
          </w:tcPr>
          <w:p w14:paraId="740B436C" w14:textId="77777777" w:rsidR="00F06229" w:rsidRPr="005734B8" w:rsidRDefault="00F06229" w:rsidP="00F06229">
            <w:pPr>
              <w:pStyle w:val="Heading4notes"/>
              <w:tabs>
                <w:tab w:val="clear" w:pos="397"/>
                <w:tab w:val="left" w:pos="361"/>
              </w:tabs>
              <w:spacing w:before="0"/>
              <w:rPr>
                <w:rFonts w:ascii="Calibri" w:hAnsi="Calibri" w:cs="Calibri"/>
                <w:i w:val="0"/>
                <w:sz w:val="18"/>
                <w:szCs w:val="18"/>
              </w:rPr>
            </w:pPr>
            <w:r w:rsidRPr="005734B8">
              <w:rPr>
                <w:rFonts w:ascii="Calibri" w:hAnsi="Calibri" w:cs="Calibri"/>
                <w:i w:val="0"/>
                <w:sz w:val="18"/>
                <w:szCs w:val="18"/>
              </w:rPr>
              <w:t>Introduction</w:t>
            </w:r>
          </w:p>
          <w:p w14:paraId="6F2681DD" w14:textId="13E1CF36" w:rsidR="00F06229" w:rsidRPr="005734B8" w:rsidRDefault="00F06229" w:rsidP="00F06229">
            <w:pPr>
              <w:pStyle w:val="ReferenceText"/>
              <w:rPr>
                <w:rFonts w:ascii="Calibri" w:hAnsi="Calibri" w:cs="Calibri"/>
              </w:rPr>
            </w:pPr>
            <w:r w:rsidRPr="005734B8">
              <w:rPr>
                <w:rFonts w:ascii="Calibri" w:hAnsi="Calibri" w:cs="Calibri"/>
              </w:rPr>
              <w:t>This section provides an account of the expenses incurred by the Department in delivering services and outputs. In Note 2, the funds that enable the provision of services were disclosed</w:t>
            </w:r>
            <w:r w:rsidR="00AB3C74" w:rsidRPr="005734B8">
              <w:rPr>
                <w:rFonts w:ascii="Calibri" w:hAnsi="Calibri" w:cs="Calibri"/>
              </w:rPr>
              <w:t>. I</w:t>
            </w:r>
            <w:r w:rsidRPr="005734B8">
              <w:rPr>
                <w:rFonts w:ascii="Calibri" w:hAnsi="Calibri" w:cs="Calibri"/>
              </w:rPr>
              <w:t>n this note the cost</w:t>
            </w:r>
            <w:r w:rsidR="00AB3C74" w:rsidRPr="005734B8">
              <w:rPr>
                <w:rFonts w:ascii="Calibri" w:hAnsi="Calibri" w:cs="Calibri"/>
              </w:rPr>
              <w:t>s</w:t>
            </w:r>
            <w:r w:rsidRPr="005734B8">
              <w:rPr>
                <w:rFonts w:ascii="Calibri" w:hAnsi="Calibri" w:cs="Calibri"/>
              </w:rPr>
              <w:t xml:space="preserve"> associated with provision of services are recorded. Note 4 discloses aggregated information in relation to the income and expenses by output.</w:t>
            </w:r>
          </w:p>
        </w:tc>
        <w:tc>
          <w:tcPr>
            <w:tcW w:w="3714" w:type="dxa"/>
            <w:tcBorders>
              <w:left w:val="nil"/>
              <w:bottom w:val="single" w:sz="4" w:space="0" w:color="auto"/>
            </w:tcBorders>
          </w:tcPr>
          <w:p w14:paraId="3350F066" w14:textId="77777777" w:rsidR="00F06229" w:rsidRPr="005734B8" w:rsidRDefault="00F06229" w:rsidP="00F06229">
            <w:pPr>
              <w:pStyle w:val="Heading4notes"/>
              <w:tabs>
                <w:tab w:val="clear" w:pos="397"/>
                <w:tab w:val="left" w:pos="361"/>
              </w:tabs>
              <w:spacing w:before="0"/>
              <w:rPr>
                <w:rFonts w:ascii="Calibri" w:hAnsi="Calibri" w:cs="Calibri"/>
                <w:i w:val="0"/>
                <w:color w:val="auto"/>
                <w:sz w:val="18"/>
                <w:szCs w:val="18"/>
              </w:rPr>
            </w:pPr>
            <w:r w:rsidRPr="005734B8">
              <w:rPr>
                <w:rFonts w:ascii="Calibri" w:hAnsi="Calibri" w:cs="Calibri"/>
                <w:i w:val="0"/>
                <w:sz w:val="18"/>
                <w:szCs w:val="18"/>
              </w:rPr>
              <w:t>Structure</w:t>
            </w:r>
          </w:p>
          <w:p w14:paraId="43234F4C" w14:textId="77777777" w:rsidR="00F06229" w:rsidRPr="005734B8" w:rsidRDefault="00F06229" w:rsidP="00F06229">
            <w:pPr>
              <w:pStyle w:val="Heading4notes"/>
              <w:numPr>
                <w:ilvl w:val="1"/>
                <w:numId w:val="10"/>
              </w:numPr>
              <w:tabs>
                <w:tab w:val="clear" w:pos="397"/>
                <w:tab w:val="left" w:pos="361"/>
              </w:tabs>
              <w:spacing w:before="0"/>
              <w:ind w:left="327" w:hanging="327"/>
              <w:rPr>
                <w:rFonts w:ascii="Calibri" w:hAnsi="Calibri" w:cs="Calibri"/>
                <w:b w:val="0"/>
                <w:i w:val="0"/>
                <w:color w:val="auto"/>
                <w:sz w:val="18"/>
                <w:szCs w:val="18"/>
              </w:rPr>
            </w:pPr>
            <w:r w:rsidRPr="005734B8">
              <w:rPr>
                <w:rFonts w:ascii="Calibri" w:hAnsi="Calibri" w:cs="Calibri"/>
                <w:b w:val="0"/>
                <w:i w:val="0"/>
                <w:color w:val="auto"/>
                <w:sz w:val="18"/>
                <w:szCs w:val="18"/>
              </w:rPr>
              <w:t>Expenses incurred in delivery of services</w:t>
            </w:r>
          </w:p>
          <w:p w14:paraId="3CA5F312" w14:textId="77777777" w:rsidR="00F06229" w:rsidRPr="005734B8" w:rsidRDefault="00F06229" w:rsidP="00F06229">
            <w:pPr>
              <w:pStyle w:val="Heading4notes"/>
              <w:numPr>
                <w:ilvl w:val="2"/>
                <w:numId w:val="10"/>
              </w:numPr>
              <w:tabs>
                <w:tab w:val="clear" w:pos="397"/>
                <w:tab w:val="left" w:pos="361"/>
              </w:tabs>
              <w:spacing w:before="0"/>
              <w:ind w:left="1016" w:hanging="655"/>
              <w:rPr>
                <w:rFonts w:ascii="Calibri" w:hAnsi="Calibri" w:cs="Calibri"/>
                <w:b w:val="0"/>
                <w:i w:val="0"/>
                <w:color w:val="auto"/>
                <w:sz w:val="18"/>
                <w:szCs w:val="18"/>
              </w:rPr>
            </w:pPr>
            <w:r w:rsidRPr="005734B8">
              <w:rPr>
                <w:rFonts w:ascii="Calibri" w:hAnsi="Calibri" w:cs="Calibri"/>
                <w:b w:val="0"/>
                <w:i w:val="0"/>
                <w:color w:val="auto"/>
                <w:sz w:val="18"/>
                <w:szCs w:val="18"/>
              </w:rPr>
              <w:t>Employee benefits in the comprehensive operating statement</w:t>
            </w:r>
          </w:p>
          <w:p w14:paraId="456AD8EC" w14:textId="77777777" w:rsidR="00F06229" w:rsidRPr="005734B8" w:rsidRDefault="00F06229" w:rsidP="00F06229">
            <w:pPr>
              <w:pStyle w:val="Heading4notes"/>
              <w:numPr>
                <w:ilvl w:val="2"/>
                <w:numId w:val="10"/>
              </w:numPr>
              <w:tabs>
                <w:tab w:val="clear" w:pos="397"/>
                <w:tab w:val="left" w:pos="361"/>
              </w:tabs>
              <w:spacing w:before="0"/>
              <w:ind w:left="1016" w:hanging="655"/>
              <w:rPr>
                <w:rFonts w:ascii="Calibri" w:hAnsi="Calibri" w:cs="Calibri"/>
                <w:b w:val="0"/>
                <w:i w:val="0"/>
                <w:color w:val="auto"/>
                <w:sz w:val="18"/>
                <w:szCs w:val="18"/>
              </w:rPr>
            </w:pPr>
            <w:r w:rsidRPr="005734B8">
              <w:rPr>
                <w:rFonts w:ascii="Calibri" w:hAnsi="Calibri" w:cs="Calibri"/>
                <w:b w:val="0"/>
                <w:i w:val="0"/>
                <w:color w:val="auto"/>
                <w:sz w:val="18"/>
                <w:szCs w:val="18"/>
              </w:rPr>
              <w:t xml:space="preserve">Grants and other payments </w:t>
            </w:r>
          </w:p>
          <w:p w14:paraId="2F10B857" w14:textId="77777777" w:rsidR="00F06229" w:rsidRPr="005734B8" w:rsidRDefault="00F06229" w:rsidP="00F06229">
            <w:pPr>
              <w:pStyle w:val="Heading4notes"/>
              <w:numPr>
                <w:ilvl w:val="2"/>
                <w:numId w:val="10"/>
              </w:numPr>
              <w:tabs>
                <w:tab w:val="clear" w:pos="397"/>
                <w:tab w:val="left" w:pos="361"/>
              </w:tabs>
              <w:spacing w:before="0"/>
              <w:ind w:left="1016" w:hanging="655"/>
              <w:rPr>
                <w:rFonts w:ascii="Calibri" w:hAnsi="Calibri" w:cs="Calibri"/>
                <w:b w:val="0"/>
                <w:i w:val="0"/>
                <w:color w:val="auto"/>
                <w:sz w:val="18"/>
                <w:szCs w:val="18"/>
              </w:rPr>
            </w:pPr>
            <w:r w:rsidRPr="005734B8">
              <w:rPr>
                <w:rFonts w:ascii="Calibri" w:hAnsi="Calibri" w:cs="Calibri"/>
                <w:b w:val="0"/>
                <w:i w:val="0"/>
                <w:color w:val="auto"/>
                <w:sz w:val="18"/>
                <w:szCs w:val="18"/>
              </w:rPr>
              <w:t>Capital asset charge</w:t>
            </w:r>
          </w:p>
          <w:p w14:paraId="2F7CBCF2" w14:textId="77777777" w:rsidR="00F06229" w:rsidRPr="005734B8" w:rsidRDefault="00F06229" w:rsidP="00F06229">
            <w:pPr>
              <w:pStyle w:val="Heading4notes"/>
              <w:numPr>
                <w:ilvl w:val="2"/>
                <w:numId w:val="10"/>
              </w:numPr>
              <w:tabs>
                <w:tab w:val="clear" w:pos="397"/>
                <w:tab w:val="left" w:pos="361"/>
              </w:tabs>
              <w:spacing w:before="0"/>
              <w:ind w:left="1016" w:hanging="655"/>
              <w:rPr>
                <w:rFonts w:ascii="Calibri" w:hAnsi="Calibri" w:cs="Calibri"/>
                <w:b w:val="0"/>
                <w:i w:val="0"/>
                <w:color w:val="auto"/>
                <w:sz w:val="18"/>
                <w:szCs w:val="18"/>
              </w:rPr>
            </w:pPr>
            <w:r w:rsidRPr="005734B8">
              <w:rPr>
                <w:rFonts w:ascii="Calibri" w:hAnsi="Calibri" w:cs="Calibri"/>
                <w:b w:val="0"/>
                <w:i w:val="0"/>
                <w:color w:val="auto"/>
                <w:sz w:val="18"/>
                <w:szCs w:val="18"/>
              </w:rPr>
              <w:t>Other operating expenses</w:t>
            </w:r>
          </w:p>
          <w:p w14:paraId="5F69537F" w14:textId="77777777" w:rsidR="00F06229" w:rsidRPr="005734B8" w:rsidRDefault="00F06229" w:rsidP="00F06229">
            <w:pPr>
              <w:pStyle w:val="Heading4notes"/>
              <w:tabs>
                <w:tab w:val="clear" w:pos="397"/>
                <w:tab w:val="left" w:pos="361"/>
              </w:tabs>
              <w:spacing w:before="0"/>
              <w:ind w:left="284"/>
              <w:rPr>
                <w:rFonts w:ascii="Calibri" w:hAnsi="Calibri" w:cs="Calibri"/>
                <w:b w:val="0"/>
                <w:i w:val="0"/>
                <w:color w:val="auto"/>
                <w:sz w:val="18"/>
                <w:szCs w:val="18"/>
              </w:rPr>
            </w:pPr>
          </w:p>
        </w:tc>
      </w:tr>
    </w:tbl>
    <w:p w14:paraId="512A00D3" w14:textId="4F6B714C" w:rsidR="00EA3BAF" w:rsidRPr="005734B8" w:rsidRDefault="00EA3BAF" w:rsidP="00EA3BAF">
      <w:pPr>
        <w:pStyle w:val="ESHeading2"/>
        <w:rPr>
          <w:rFonts w:ascii="Calibri" w:hAnsi="Calibri" w:cs="Calibri"/>
        </w:rPr>
      </w:pPr>
      <w:bookmarkStart w:id="1306" w:name="_Toc11336355"/>
      <w:bookmarkStart w:id="1307" w:name="_Toc11336583"/>
      <w:bookmarkStart w:id="1308" w:name="_Toc13647187"/>
      <w:bookmarkStart w:id="1309" w:name="_Toc13656719"/>
      <w:bookmarkStart w:id="1310" w:name="_Toc13656881"/>
      <w:bookmarkStart w:id="1311" w:name="_Toc14965581"/>
      <w:bookmarkStart w:id="1312" w:name="_Toc15985305"/>
      <w:bookmarkStart w:id="1313" w:name="_Toc16231956"/>
      <w:bookmarkStart w:id="1314" w:name="_Toc36012776"/>
      <w:bookmarkStart w:id="1315" w:name="_Toc36012854"/>
      <w:bookmarkStart w:id="1316" w:name="_Toc36013351"/>
      <w:bookmarkStart w:id="1317" w:name="_Toc58243437"/>
      <w:bookmarkStart w:id="1318" w:name="_Toc72958087"/>
      <w:bookmarkStart w:id="1319" w:name="_Toc72958135"/>
      <w:bookmarkStart w:id="1320" w:name="_Toc80272075"/>
      <w:bookmarkStart w:id="1321" w:name="_Toc81315374"/>
      <w:r w:rsidRPr="005734B8">
        <w:rPr>
          <w:rFonts w:ascii="Calibri" w:hAnsi="Calibri" w:cs="Calibri"/>
        </w:rPr>
        <w:t>3.1 Expenses incurred in delivery of services</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14:paraId="0AFD2E4E" w14:textId="069F80B9" w:rsidR="00EA3BAF" w:rsidRPr="005734B8" w:rsidRDefault="00EA3BAF" w:rsidP="00EA3BAF">
      <w:pPr>
        <w:rPr>
          <w:rFonts w:ascii="Calibri" w:hAnsi="Calibri" w:cs="Calibri"/>
          <w:szCs w:val="22"/>
        </w:rPr>
      </w:pPr>
      <w:r w:rsidRPr="005734B8">
        <w:rPr>
          <w:rFonts w:ascii="Calibri" w:hAnsi="Calibri" w:cs="Calibri"/>
          <w:szCs w:val="22"/>
        </w:rPr>
        <w:t>Expenses are recognised as they are incurred</w:t>
      </w:r>
      <w:r w:rsidR="00AB3C74" w:rsidRPr="005734B8">
        <w:rPr>
          <w:rFonts w:ascii="Calibri" w:hAnsi="Calibri" w:cs="Calibri"/>
          <w:szCs w:val="22"/>
        </w:rPr>
        <w:t>,</w:t>
      </w:r>
      <w:r w:rsidRPr="005734B8">
        <w:rPr>
          <w:rFonts w:ascii="Calibri" w:hAnsi="Calibri" w:cs="Calibri"/>
          <w:szCs w:val="22"/>
        </w:rPr>
        <w:t xml:space="preserve"> and </w:t>
      </w:r>
      <w:r w:rsidR="00AB3C74" w:rsidRPr="005734B8">
        <w:rPr>
          <w:rFonts w:ascii="Calibri" w:hAnsi="Calibri" w:cs="Calibri"/>
          <w:szCs w:val="22"/>
        </w:rPr>
        <w:t>are</w:t>
      </w:r>
      <w:r w:rsidRPr="005734B8">
        <w:rPr>
          <w:rFonts w:ascii="Calibri" w:hAnsi="Calibri" w:cs="Calibri"/>
          <w:szCs w:val="22"/>
        </w:rPr>
        <w:t xml:space="preserve"> reported in the financial year to which they relate.</w:t>
      </w:r>
    </w:p>
    <w:p w14:paraId="48C1FD57" w14:textId="77777777" w:rsidR="00EA3BAF" w:rsidRPr="005734B8" w:rsidRDefault="00EA3BAF" w:rsidP="00EA3BAF">
      <w:pPr>
        <w:rPr>
          <w:rFonts w:ascii="Calibri" w:hAnsi="Calibri" w:cs="Calibri"/>
          <w:szCs w:val="22"/>
        </w:rPr>
      </w:pPr>
    </w:p>
    <w:tbl>
      <w:tblPr>
        <w:tblW w:w="7625" w:type="dxa"/>
        <w:tblInd w:w="75" w:type="dxa"/>
        <w:tblLayout w:type="fixed"/>
        <w:tblLook w:val="04A0" w:firstRow="1" w:lastRow="0" w:firstColumn="1" w:lastColumn="0" w:noHBand="0" w:noVBand="1"/>
      </w:tblPr>
      <w:tblGrid>
        <w:gridCol w:w="4497"/>
        <w:gridCol w:w="1170"/>
        <w:gridCol w:w="981"/>
        <w:gridCol w:w="977"/>
      </w:tblGrid>
      <w:tr w:rsidR="00EA3BAF" w:rsidRPr="005734B8" w14:paraId="151A713D" w14:textId="77777777" w:rsidTr="002B70AB">
        <w:trPr>
          <w:trHeight w:val="480"/>
        </w:trPr>
        <w:tc>
          <w:tcPr>
            <w:tcW w:w="4497" w:type="dxa"/>
            <w:tcBorders>
              <w:top w:val="nil"/>
              <w:left w:val="single" w:sz="4" w:space="0" w:color="FFFFFF"/>
              <w:bottom w:val="nil"/>
              <w:right w:val="nil"/>
            </w:tcBorders>
            <w:shd w:val="clear" w:color="000000" w:fill="AF272F"/>
            <w:noWrap/>
            <w:vAlign w:val="bottom"/>
            <w:hideMark/>
          </w:tcPr>
          <w:p w14:paraId="6369F45A" w14:textId="77777777" w:rsidR="00EA3BAF" w:rsidRPr="005734B8" w:rsidRDefault="00EA3BAF" w:rsidP="002B70AB">
            <w:pPr>
              <w:rPr>
                <w:rFonts w:ascii="Calibri" w:hAnsi="Calibri" w:cs="Calibri"/>
                <w:b/>
                <w:color w:val="FFFFFF"/>
                <w:sz w:val="18"/>
                <w:szCs w:val="18"/>
              </w:rPr>
            </w:pPr>
            <w:bookmarkStart w:id="1322" w:name="Note_EEXTABLE1" w:colFirst="0" w:colLast="0"/>
            <w:bookmarkStart w:id="1323" w:name="_Hlk79188161"/>
            <w:r w:rsidRPr="005734B8">
              <w:rPr>
                <w:rFonts w:ascii="Calibri" w:hAnsi="Calibri" w:cs="Calibri"/>
                <w:b/>
                <w:color w:val="FFFFFF"/>
                <w:sz w:val="18"/>
                <w:szCs w:val="18"/>
              </w:rPr>
              <w:t> </w:t>
            </w:r>
          </w:p>
        </w:tc>
        <w:tc>
          <w:tcPr>
            <w:tcW w:w="1170" w:type="dxa"/>
            <w:tcBorders>
              <w:top w:val="nil"/>
              <w:left w:val="nil"/>
              <w:bottom w:val="single" w:sz="4" w:space="0" w:color="auto"/>
              <w:right w:val="single" w:sz="4" w:space="0" w:color="FFFFFF"/>
            </w:tcBorders>
            <w:shd w:val="clear" w:color="000000" w:fill="AF272F"/>
            <w:hideMark/>
          </w:tcPr>
          <w:p w14:paraId="72D009AB" w14:textId="77777777" w:rsidR="00EA3BAF" w:rsidRPr="005734B8" w:rsidRDefault="00EA3BAF" w:rsidP="002B70AB">
            <w:pPr>
              <w:jc w:val="right"/>
              <w:rPr>
                <w:rFonts w:ascii="Calibri" w:hAnsi="Calibri" w:cs="Calibri"/>
                <w:b/>
                <w:color w:val="FFFFFF"/>
                <w:sz w:val="18"/>
                <w:szCs w:val="18"/>
              </w:rPr>
            </w:pPr>
            <w:r w:rsidRPr="005734B8">
              <w:rPr>
                <w:rFonts w:ascii="Calibri" w:hAnsi="Calibri" w:cs="Calibri"/>
                <w:b/>
                <w:color w:val="FFFFFF"/>
                <w:sz w:val="18"/>
                <w:szCs w:val="18"/>
              </w:rPr>
              <w:t>Notes</w:t>
            </w:r>
          </w:p>
        </w:tc>
        <w:tc>
          <w:tcPr>
            <w:tcW w:w="981" w:type="dxa"/>
            <w:tcBorders>
              <w:top w:val="nil"/>
              <w:left w:val="nil"/>
              <w:bottom w:val="single" w:sz="4" w:space="0" w:color="auto"/>
              <w:right w:val="single" w:sz="4" w:space="0" w:color="FFFFFF"/>
            </w:tcBorders>
            <w:shd w:val="clear" w:color="000000" w:fill="AF272F"/>
            <w:hideMark/>
          </w:tcPr>
          <w:p w14:paraId="320FD152" w14:textId="77777777" w:rsidR="00EA3BAF" w:rsidRPr="005734B8" w:rsidRDefault="00EA3BAF" w:rsidP="002B70AB">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977" w:type="dxa"/>
            <w:tcBorders>
              <w:top w:val="nil"/>
              <w:left w:val="nil"/>
              <w:bottom w:val="single" w:sz="4" w:space="0" w:color="auto"/>
              <w:right w:val="single" w:sz="4" w:space="0" w:color="FFFFFF"/>
            </w:tcBorders>
            <w:shd w:val="clear" w:color="000000" w:fill="AF272F"/>
            <w:hideMark/>
          </w:tcPr>
          <w:p w14:paraId="23DDF55B" w14:textId="77777777" w:rsidR="00EA3BAF" w:rsidRPr="005734B8" w:rsidRDefault="00EA3BAF" w:rsidP="002B70AB">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322"/>
      <w:tr w:rsidR="00EA3BAF" w:rsidRPr="005734B8" w14:paraId="08293FC0" w14:textId="77777777" w:rsidTr="002B70AB">
        <w:trPr>
          <w:trHeight w:val="240"/>
        </w:trPr>
        <w:tc>
          <w:tcPr>
            <w:tcW w:w="4497"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3276E815" w14:textId="77777777" w:rsidR="00EA3BAF" w:rsidRPr="005734B8" w:rsidRDefault="00EA3BAF" w:rsidP="002B70AB">
            <w:pPr>
              <w:rPr>
                <w:rFonts w:ascii="Calibri" w:hAnsi="Calibri" w:cs="Calibri"/>
                <w:b/>
                <w:sz w:val="18"/>
                <w:szCs w:val="18"/>
              </w:rPr>
            </w:pPr>
            <w:r w:rsidRPr="005734B8">
              <w:rPr>
                <w:rFonts w:ascii="Calibri" w:hAnsi="Calibri" w:cs="Calibri"/>
                <w:b/>
                <w:sz w:val="18"/>
                <w:szCs w:val="18"/>
              </w:rPr>
              <w:t>Expenses from transactions</w:t>
            </w:r>
          </w:p>
        </w:tc>
        <w:tc>
          <w:tcPr>
            <w:tcW w:w="1170" w:type="dxa"/>
            <w:tcBorders>
              <w:top w:val="nil"/>
              <w:left w:val="nil"/>
              <w:bottom w:val="single" w:sz="4" w:space="0" w:color="auto"/>
              <w:right w:val="single" w:sz="4" w:space="0" w:color="FFFFFF"/>
            </w:tcBorders>
            <w:shd w:val="clear" w:color="000000" w:fill="D9D9D9"/>
            <w:vAlign w:val="bottom"/>
            <w:hideMark/>
          </w:tcPr>
          <w:p w14:paraId="16B24CF1" w14:textId="77777777" w:rsidR="00EA3BAF" w:rsidRPr="005734B8" w:rsidRDefault="00EA3BAF" w:rsidP="002B70AB">
            <w:pPr>
              <w:rPr>
                <w:rFonts w:ascii="Calibri" w:hAnsi="Calibri" w:cs="Calibri"/>
                <w:b/>
                <w:sz w:val="18"/>
                <w:szCs w:val="18"/>
              </w:rPr>
            </w:pPr>
            <w:r w:rsidRPr="005734B8">
              <w:rPr>
                <w:rFonts w:ascii="Calibri" w:hAnsi="Calibri" w:cs="Calibri"/>
                <w:b/>
                <w:sz w:val="18"/>
                <w:szCs w:val="18"/>
              </w:rPr>
              <w:t> </w:t>
            </w:r>
          </w:p>
        </w:tc>
        <w:tc>
          <w:tcPr>
            <w:tcW w:w="981" w:type="dxa"/>
            <w:tcBorders>
              <w:top w:val="nil"/>
              <w:left w:val="nil"/>
              <w:bottom w:val="single" w:sz="4" w:space="0" w:color="auto"/>
              <w:right w:val="single" w:sz="4" w:space="0" w:color="FFFFFF"/>
            </w:tcBorders>
            <w:shd w:val="clear" w:color="000000" w:fill="D9D9D9"/>
            <w:vAlign w:val="bottom"/>
            <w:hideMark/>
          </w:tcPr>
          <w:p w14:paraId="513E6ED3" w14:textId="77777777" w:rsidR="00EA3BAF" w:rsidRPr="005734B8" w:rsidRDefault="00EA3BAF" w:rsidP="002B70AB">
            <w:pPr>
              <w:rPr>
                <w:rFonts w:ascii="Calibri" w:hAnsi="Calibri" w:cs="Calibri"/>
                <w:b/>
                <w:sz w:val="18"/>
                <w:szCs w:val="18"/>
              </w:rPr>
            </w:pPr>
            <w:r w:rsidRPr="005734B8">
              <w:rPr>
                <w:rFonts w:ascii="Calibri" w:hAnsi="Calibri" w:cs="Calibri"/>
                <w:b/>
                <w:sz w:val="18"/>
                <w:szCs w:val="18"/>
              </w:rPr>
              <w:t> </w:t>
            </w:r>
          </w:p>
        </w:tc>
        <w:tc>
          <w:tcPr>
            <w:tcW w:w="977" w:type="dxa"/>
            <w:tcBorders>
              <w:top w:val="nil"/>
              <w:left w:val="nil"/>
              <w:bottom w:val="single" w:sz="4" w:space="0" w:color="auto"/>
              <w:right w:val="single" w:sz="4" w:space="0" w:color="FFFFFF"/>
            </w:tcBorders>
            <w:shd w:val="clear" w:color="000000" w:fill="D9D9D9"/>
            <w:vAlign w:val="bottom"/>
            <w:hideMark/>
          </w:tcPr>
          <w:p w14:paraId="632E741C" w14:textId="77777777" w:rsidR="00EA3BAF" w:rsidRPr="005734B8" w:rsidRDefault="00EA3BAF" w:rsidP="002B70AB">
            <w:pPr>
              <w:rPr>
                <w:rFonts w:ascii="Calibri" w:hAnsi="Calibri" w:cs="Calibri"/>
                <w:b/>
                <w:sz w:val="18"/>
                <w:szCs w:val="18"/>
              </w:rPr>
            </w:pPr>
            <w:r w:rsidRPr="005734B8">
              <w:rPr>
                <w:rFonts w:ascii="Calibri" w:hAnsi="Calibri" w:cs="Calibri"/>
                <w:b/>
                <w:sz w:val="18"/>
                <w:szCs w:val="18"/>
              </w:rPr>
              <w:t> </w:t>
            </w:r>
          </w:p>
        </w:tc>
      </w:tr>
      <w:tr w:rsidR="00EA3BAF" w:rsidRPr="005734B8" w14:paraId="73B23DE0" w14:textId="77777777" w:rsidTr="002B70AB">
        <w:trPr>
          <w:trHeight w:val="240"/>
        </w:trPr>
        <w:tc>
          <w:tcPr>
            <w:tcW w:w="4497" w:type="dxa"/>
            <w:tcBorders>
              <w:top w:val="nil"/>
              <w:left w:val="single" w:sz="4" w:space="0" w:color="FFFFFF"/>
              <w:bottom w:val="single" w:sz="4" w:space="0" w:color="auto"/>
              <w:right w:val="single" w:sz="4" w:space="0" w:color="FFFFFF"/>
            </w:tcBorders>
            <w:shd w:val="clear" w:color="FFFFFF" w:fill="FFFFFF"/>
            <w:vAlign w:val="center"/>
            <w:hideMark/>
          </w:tcPr>
          <w:p w14:paraId="317F599B" w14:textId="77777777" w:rsidR="00EA3BAF" w:rsidRPr="005734B8" w:rsidRDefault="00EA3BAF" w:rsidP="002B70AB">
            <w:pPr>
              <w:rPr>
                <w:rFonts w:ascii="Calibri" w:hAnsi="Calibri" w:cs="Calibri"/>
                <w:sz w:val="18"/>
                <w:szCs w:val="18"/>
              </w:rPr>
            </w:pPr>
            <w:r w:rsidRPr="005734B8">
              <w:rPr>
                <w:rFonts w:ascii="Calibri" w:hAnsi="Calibri" w:cs="Calibri"/>
                <w:sz w:val="18"/>
                <w:szCs w:val="18"/>
              </w:rPr>
              <w:t>Employee expenses</w:t>
            </w:r>
          </w:p>
        </w:tc>
        <w:tc>
          <w:tcPr>
            <w:tcW w:w="1170" w:type="dxa"/>
            <w:tcBorders>
              <w:top w:val="nil"/>
              <w:left w:val="nil"/>
              <w:bottom w:val="single" w:sz="4" w:space="0" w:color="auto"/>
              <w:right w:val="single" w:sz="4" w:space="0" w:color="FFFFFF"/>
            </w:tcBorders>
            <w:shd w:val="clear" w:color="FFFFFF" w:fill="FFFFFF"/>
            <w:noWrap/>
            <w:vAlign w:val="center"/>
            <w:hideMark/>
          </w:tcPr>
          <w:p w14:paraId="7D9D5344" w14:textId="77777777" w:rsidR="00EA3BAF" w:rsidRPr="005734B8" w:rsidRDefault="00EA3BAF" w:rsidP="002B70AB">
            <w:pPr>
              <w:jc w:val="right"/>
              <w:rPr>
                <w:rFonts w:ascii="Calibri" w:hAnsi="Calibri" w:cs="Calibri"/>
                <w:sz w:val="18"/>
                <w:szCs w:val="18"/>
              </w:rPr>
            </w:pPr>
            <w:r w:rsidRPr="005734B8">
              <w:rPr>
                <w:rFonts w:ascii="Calibri" w:hAnsi="Calibri" w:cs="Calibri"/>
                <w:sz w:val="18"/>
                <w:szCs w:val="18"/>
              </w:rPr>
              <w:t>3.1.1</w:t>
            </w:r>
          </w:p>
        </w:tc>
        <w:tc>
          <w:tcPr>
            <w:tcW w:w="981" w:type="dxa"/>
            <w:tcBorders>
              <w:top w:val="nil"/>
              <w:left w:val="nil"/>
              <w:bottom w:val="single" w:sz="4" w:space="0" w:color="auto"/>
              <w:right w:val="single" w:sz="4" w:space="0" w:color="FFFFFF"/>
            </w:tcBorders>
            <w:shd w:val="clear" w:color="000000" w:fill="D9D9D9"/>
            <w:noWrap/>
            <w:vAlign w:val="center"/>
            <w:hideMark/>
          </w:tcPr>
          <w:p w14:paraId="17904E3E" w14:textId="77777777" w:rsidR="00EA3BAF" w:rsidRPr="005734B8" w:rsidRDefault="00EA3BAF" w:rsidP="002B70AB">
            <w:pPr>
              <w:jc w:val="right"/>
              <w:rPr>
                <w:rFonts w:ascii="Calibri" w:hAnsi="Calibri" w:cs="Calibri"/>
                <w:sz w:val="18"/>
                <w:szCs w:val="18"/>
              </w:rPr>
            </w:pPr>
            <w:r w:rsidRPr="005734B8">
              <w:rPr>
                <w:rFonts w:ascii="Calibri" w:hAnsi="Calibri" w:cs="Calibri"/>
                <w:sz w:val="18"/>
                <w:szCs w:val="18"/>
              </w:rPr>
              <w:t xml:space="preserve">8,021.7 </w:t>
            </w:r>
          </w:p>
        </w:tc>
        <w:tc>
          <w:tcPr>
            <w:tcW w:w="977" w:type="dxa"/>
            <w:tcBorders>
              <w:top w:val="nil"/>
              <w:left w:val="nil"/>
              <w:bottom w:val="single" w:sz="4" w:space="0" w:color="auto"/>
              <w:right w:val="single" w:sz="4" w:space="0" w:color="FFFFFF"/>
            </w:tcBorders>
            <w:shd w:val="clear" w:color="FFFFFF" w:fill="FFFFFF"/>
            <w:noWrap/>
            <w:vAlign w:val="center"/>
            <w:hideMark/>
          </w:tcPr>
          <w:p w14:paraId="161661CA" w14:textId="77777777" w:rsidR="00EA3BAF" w:rsidRPr="005734B8" w:rsidRDefault="00EA3BAF" w:rsidP="002B70AB">
            <w:pPr>
              <w:jc w:val="right"/>
              <w:rPr>
                <w:rFonts w:ascii="Calibri" w:hAnsi="Calibri" w:cs="Calibri"/>
                <w:sz w:val="18"/>
                <w:szCs w:val="18"/>
              </w:rPr>
            </w:pPr>
            <w:r w:rsidRPr="005734B8">
              <w:rPr>
                <w:rFonts w:ascii="Calibri" w:hAnsi="Calibri" w:cs="Calibri"/>
                <w:sz w:val="18"/>
                <w:szCs w:val="18"/>
              </w:rPr>
              <w:t xml:space="preserve">7,501.9 </w:t>
            </w:r>
          </w:p>
        </w:tc>
      </w:tr>
      <w:tr w:rsidR="00EA3BAF" w:rsidRPr="005734B8" w14:paraId="1677A8DF" w14:textId="77777777" w:rsidTr="002B70AB">
        <w:trPr>
          <w:trHeight w:val="240"/>
        </w:trPr>
        <w:tc>
          <w:tcPr>
            <w:tcW w:w="4497" w:type="dxa"/>
            <w:tcBorders>
              <w:top w:val="nil"/>
              <w:left w:val="single" w:sz="4" w:space="0" w:color="FFFFFF"/>
              <w:bottom w:val="single" w:sz="4" w:space="0" w:color="auto"/>
              <w:right w:val="single" w:sz="4" w:space="0" w:color="FFFFFF"/>
            </w:tcBorders>
            <w:shd w:val="clear" w:color="FFFFFF" w:fill="FFFFFF"/>
            <w:vAlign w:val="center"/>
            <w:hideMark/>
          </w:tcPr>
          <w:p w14:paraId="17FC9CC2" w14:textId="77777777" w:rsidR="00EA3BAF" w:rsidRPr="005734B8" w:rsidRDefault="00EA3BAF" w:rsidP="002B70AB">
            <w:pPr>
              <w:rPr>
                <w:rFonts w:ascii="Calibri" w:hAnsi="Calibri" w:cs="Calibri"/>
                <w:sz w:val="18"/>
                <w:szCs w:val="18"/>
              </w:rPr>
            </w:pPr>
            <w:r w:rsidRPr="005734B8">
              <w:rPr>
                <w:rFonts w:ascii="Calibri" w:hAnsi="Calibri" w:cs="Calibri"/>
                <w:sz w:val="18"/>
                <w:szCs w:val="18"/>
              </w:rPr>
              <w:t>Grant and other payments</w:t>
            </w:r>
          </w:p>
        </w:tc>
        <w:tc>
          <w:tcPr>
            <w:tcW w:w="1170" w:type="dxa"/>
            <w:tcBorders>
              <w:top w:val="nil"/>
              <w:left w:val="nil"/>
              <w:bottom w:val="single" w:sz="4" w:space="0" w:color="auto"/>
              <w:right w:val="single" w:sz="4" w:space="0" w:color="FFFFFF"/>
            </w:tcBorders>
            <w:shd w:val="clear" w:color="FFFFFF" w:fill="FFFFFF"/>
            <w:noWrap/>
            <w:vAlign w:val="center"/>
            <w:hideMark/>
          </w:tcPr>
          <w:p w14:paraId="511684FC" w14:textId="77777777" w:rsidR="00EA3BAF" w:rsidRPr="005734B8" w:rsidRDefault="00EA3BAF" w:rsidP="002B70AB">
            <w:pPr>
              <w:jc w:val="right"/>
              <w:rPr>
                <w:rFonts w:ascii="Calibri" w:hAnsi="Calibri" w:cs="Calibri"/>
                <w:sz w:val="18"/>
                <w:szCs w:val="18"/>
              </w:rPr>
            </w:pPr>
            <w:r w:rsidRPr="005734B8">
              <w:rPr>
                <w:rFonts w:ascii="Calibri" w:hAnsi="Calibri" w:cs="Calibri"/>
                <w:sz w:val="18"/>
                <w:szCs w:val="18"/>
              </w:rPr>
              <w:t>3.1.2</w:t>
            </w:r>
          </w:p>
        </w:tc>
        <w:tc>
          <w:tcPr>
            <w:tcW w:w="981" w:type="dxa"/>
            <w:tcBorders>
              <w:top w:val="nil"/>
              <w:left w:val="nil"/>
              <w:bottom w:val="single" w:sz="4" w:space="0" w:color="auto"/>
              <w:right w:val="single" w:sz="4" w:space="0" w:color="FFFFFF"/>
            </w:tcBorders>
            <w:shd w:val="clear" w:color="000000" w:fill="D9D9D9"/>
            <w:noWrap/>
            <w:vAlign w:val="center"/>
            <w:hideMark/>
          </w:tcPr>
          <w:p w14:paraId="67F88E76" w14:textId="77777777" w:rsidR="00EA3BAF" w:rsidRPr="005734B8" w:rsidRDefault="00EA3BAF" w:rsidP="002B70AB">
            <w:pPr>
              <w:jc w:val="right"/>
              <w:rPr>
                <w:rFonts w:ascii="Calibri" w:hAnsi="Calibri" w:cs="Calibri"/>
                <w:sz w:val="18"/>
                <w:szCs w:val="18"/>
              </w:rPr>
            </w:pPr>
            <w:r w:rsidRPr="005734B8">
              <w:rPr>
                <w:rFonts w:ascii="Calibri" w:hAnsi="Calibri" w:cs="Calibri"/>
                <w:sz w:val="18"/>
                <w:szCs w:val="18"/>
              </w:rPr>
              <w:t xml:space="preserve">2,547.4 </w:t>
            </w:r>
          </w:p>
        </w:tc>
        <w:tc>
          <w:tcPr>
            <w:tcW w:w="977" w:type="dxa"/>
            <w:tcBorders>
              <w:top w:val="nil"/>
              <w:left w:val="nil"/>
              <w:bottom w:val="single" w:sz="4" w:space="0" w:color="auto"/>
              <w:right w:val="single" w:sz="4" w:space="0" w:color="FFFFFF"/>
            </w:tcBorders>
            <w:shd w:val="clear" w:color="FFFFFF" w:fill="FFFFFF"/>
            <w:noWrap/>
            <w:vAlign w:val="center"/>
            <w:hideMark/>
          </w:tcPr>
          <w:p w14:paraId="457E39AE" w14:textId="77777777" w:rsidR="00EA3BAF" w:rsidRPr="005734B8" w:rsidRDefault="00EA3BAF" w:rsidP="002B70AB">
            <w:pPr>
              <w:jc w:val="right"/>
              <w:rPr>
                <w:rFonts w:ascii="Calibri" w:hAnsi="Calibri" w:cs="Calibri"/>
                <w:sz w:val="18"/>
                <w:szCs w:val="18"/>
              </w:rPr>
            </w:pPr>
            <w:r w:rsidRPr="005734B8">
              <w:rPr>
                <w:rFonts w:ascii="Calibri" w:hAnsi="Calibri" w:cs="Calibri"/>
                <w:sz w:val="18"/>
                <w:szCs w:val="18"/>
              </w:rPr>
              <w:t xml:space="preserve">2,212.9 </w:t>
            </w:r>
          </w:p>
        </w:tc>
      </w:tr>
      <w:tr w:rsidR="00EA3BAF" w:rsidRPr="005734B8" w14:paraId="334E4F87" w14:textId="77777777" w:rsidTr="002B70AB">
        <w:trPr>
          <w:trHeight w:val="240"/>
        </w:trPr>
        <w:tc>
          <w:tcPr>
            <w:tcW w:w="4497" w:type="dxa"/>
            <w:tcBorders>
              <w:top w:val="nil"/>
              <w:left w:val="single" w:sz="4" w:space="0" w:color="FFFFFF"/>
              <w:bottom w:val="single" w:sz="4" w:space="0" w:color="auto"/>
              <w:right w:val="single" w:sz="4" w:space="0" w:color="FFFFFF"/>
            </w:tcBorders>
            <w:shd w:val="clear" w:color="FFFFFF" w:fill="FFFFFF"/>
            <w:vAlign w:val="center"/>
            <w:hideMark/>
          </w:tcPr>
          <w:p w14:paraId="079632A1" w14:textId="77777777" w:rsidR="00EA3BAF" w:rsidRPr="005734B8" w:rsidRDefault="00EA3BAF" w:rsidP="002B70AB">
            <w:pPr>
              <w:rPr>
                <w:rFonts w:ascii="Calibri" w:hAnsi="Calibri" w:cs="Calibri"/>
                <w:sz w:val="18"/>
                <w:szCs w:val="18"/>
              </w:rPr>
            </w:pPr>
            <w:r w:rsidRPr="005734B8">
              <w:rPr>
                <w:rFonts w:ascii="Calibri" w:hAnsi="Calibri" w:cs="Calibri"/>
                <w:sz w:val="18"/>
                <w:szCs w:val="18"/>
              </w:rPr>
              <w:t>Capital asset charge</w:t>
            </w:r>
          </w:p>
        </w:tc>
        <w:tc>
          <w:tcPr>
            <w:tcW w:w="1170" w:type="dxa"/>
            <w:tcBorders>
              <w:top w:val="nil"/>
              <w:left w:val="nil"/>
              <w:bottom w:val="single" w:sz="4" w:space="0" w:color="auto"/>
              <w:right w:val="single" w:sz="4" w:space="0" w:color="FFFFFF"/>
            </w:tcBorders>
            <w:shd w:val="clear" w:color="FFFFFF" w:fill="FFFFFF"/>
            <w:noWrap/>
            <w:vAlign w:val="center"/>
            <w:hideMark/>
          </w:tcPr>
          <w:p w14:paraId="28210622" w14:textId="77777777" w:rsidR="00EA3BAF" w:rsidRPr="005734B8" w:rsidRDefault="00EA3BAF" w:rsidP="002B70AB">
            <w:pPr>
              <w:jc w:val="right"/>
              <w:rPr>
                <w:rFonts w:ascii="Calibri" w:hAnsi="Calibri" w:cs="Calibri"/>
                <w:sz w:val="18"/>
                <w:szCs w:val="18"/>
              </w:rPr>
            </w:pPr>
            <w:r w:rsidRPr="005734B8">
              <w:rPr>
                <w:rFonts w:ascii="Calibri" w:hAnsi="Calibri" w:cs="Calibri"/>
                <w:sz w:val="18"/>
                <w:szCs w:val="18"/>
              </w:rPr>
              <w:t>3.1.3</w:t>
            </w:r>
          </w:p>
        </w:tc>
        <w:tc>
          <w:tcPr>
            <w:tcW w:w="981" w:type="dxa"/>
            <w:tcBorders>
              <w:top w:val="nil"/>
              <w:left w:val="nil"/>
              <w:bottom w:val="single" w:sz="4" w:space="0" w:color="auto"/>
              <w:right w:val="single" w:sz="4" w:space="0" w:color="FFFFFF"/>
            </w:tcBorders>
            <w:shd w:val="clear" w:color="000000" w:fill="D9D9D9"/>
            <w:noWrap/>
            <w:vAlign w:val="center"/>
            <w:hideMark/>
          </w:tcPr>
          <w:p w14:paraId="15F5104F" w14:textId="77777777" w:rsidR="00EA3BAF" w:rsidRPr="005734B8" w:rsidRDefault="00EA3BAF" w:rsidP="002B70AB">
            <w:pPr>
              <w:jc w:val="right"/>
              <w:rPr>
                <w:rFonts w:ascii="Calibri" w:hAnsi="Calibri" w:cs="Calibri"/>
                <w:sz w:val="18"/>
                <w:szCs w:val="18"/>
              </w:rPr>
            </w:pPr>
            <w:r w:rsidRPr="005734B8">
              <w:rPr>
                <w:rFonts w:ascii="Calibri" w:hAnsi="Calibri" w:cs="Calibri"/>
                <w:sz w:val="18"/>
                <w:szCs w:val="18"/>
              </w:rPr>
              <w:t xml:space="preserve">1,996.3 </w:t>
            </w:r>
          </w:p>
        </w:tc>
        <w:tc>
          <w:tcPr>
            <w:tcW w:w="977" w:type="dxa"/>
            <w:tcBorders>
              <w:top w:val="nil"/>
              <w:left w:val="nil"/>
              <w:bottom w:val="single" w:sz="4" w:space="0" w:color="auto"/>
              <w:right w:val="single" w:sz="4" w:space="0" w:color="FFFFFF"/>
            </w:tcBorders>
            <w:shd w:val="clear" w:color="FFFFFF" w:fill="FFFFFF"/>
            <w:noWrap/>
            <w:vAlign w:val="center"/>
            <w:hideMark/>
          </w:tcPr>
          <w:p w14:paraId="757F64E3" w14:textId="77777777" w:rsidR="00EA3BAF" w:rsidRPr="005734B8" w:rsidRDefault="00EA3BAF" w:rsidP="002B70AB">
            <w:pPr>
              <w:jc w:val="right"/>
              <w:rPr>
                <w:rFonts w:ascii="Calibri" w:hAnsi="Calibri" w:cs="Calibri"/>
                <w:sz w:val="18"/>
                <w:szCs w:val="18"/>
              </w:rPr>
            </w:pPr>
            <w:r w:rsidRPr="005734B8">
              <w:rPr>
                <w:rFonts w:ascii="Calibri" w:hAnsi="Calibri" w:cs="Calibri"/>
                <w:sz w:val="18"/>
                <w:szCs w:val="18"/>
              </w:rPr>
              <w:t xml:space="preserve">1,963.8 </w:t>
            </w:r>
          </w:p>
        </w:tc>
      </w:tr>
      <w:tr w:rsidR="00EA3BAF" w:rsidRPr="005734B8" w14:paraId="1B20941A" w14:textId="77777777" w:rsidTr="002B70AB">
        <w:trPr>
          <w:trHeight w:val="297"/>
        </w:trPr>
        <w:tc>
          <w:tcPr>
            <w:tcW w:w="4497" w:type="dxa"/>
            <w:tcBorders>
              <w:top w:val="nil"/>
              <w:left w:val="single" w:sz="4" w:space="0" w:color="FFFFFF"/>
              <w:bottom w:val="single" w:sz="4" w:space="0" w:color="auto"/>
              <w:right w:val="single" w:sz="4" w:space="0" w:color="FFFFFF"/>
            </w:tcBorders>
            <w:shd w:val="clear" w:color="FFFFFF" w:fill="FFFFFF"/>
            <w:vAlign w:val="center"/>
            <w:hideMark/>
          </w:tcPr>
          <w:p w14:paraId="5E4DB9A5" w14:textId="77777777" w:rsidR="00EA3BAF" w:rsidRPr="005734B8" w:rsidRDefault="00EA3BAF" w:rsidP="002B70AB">
            <w:pPr>
              <w:rPr>
                <w:rFonts w:ascii="Calibri" w:hAnsi="Calibri" w:cs="Calibri"/>
                <w:sz w:val="18"/>
                <w:szCs w:val="18"/>
              </w:rPr>
            </w:pPr>
            <w:r w:rsidRPr="005734B8">
              <w:rPr>
                <w:rFonts w:ascii="Calibri" w:hAnsi="Calibri" w:cs="Calibri"/>
                <w:sz w:val="18"/>
                <w:szCs w:val="18"/>
              </w:rPr>
              <w:t>Other operating expenses</w:t>
            </w:r>
          </w:p>
        </w:tc>
        <w:tc>
          <w:tcPr>
            <w:tcW w:w="1170" w:type="dxa"/>
            <w:tcBorders>
              <w:top w:val="nil"/>
              <w:left w:val="nil"/>
              <w:bottom w:val="single" w:sz="4" w:space="0" w:color="auto"/>
              <w:right w:val="single" w:sz="4" w:space="0" w:color="FFFFFF"/>
            </w:tcBorders>
            <w:shd w:val="clear" w:color="FFFFFF" w:fill="FFFFFF"/>
            <w:noWrap/>
            <w:vAlign w:val="center"/>
            <w:hideMark/>
          </w:tcPr>
          <w:p w14:paraId="66D7D358" w14:textId="77777777" w:rsidR="00EA3BAF" w:rsidRPr="005734B8" w:rsidRDefault="00EA3BAF" w:rsidP="002B70AB">
            <w:pPr>
              <w:jc w:val="right"/>
              <w:rPr>
                <w:rFonts w:ascii="Calibri" w:hAnsi="Calibri" w:cs="Calibri"/>
                <w:sz w:val="18"/>
                <w:szCs w:val="18"/>
              </w:rPr>
            </w:pPr>
            <w:r w:rsidRPr="005734B8">
              <w:rPr>
                <w:rFonts w:ascii="Calibri" w:hAnsi="Calibri" w:cs="Calibri"/>
                <w:sz w:val="18"/>
                <w:szCs w:val="18"/>
              </w:rPr>
              <w:t>3.1.4/9.7</w:t>
            </w:r>
          </w:p>
        </w:tc>
        <w:tc>
          <w:tcPr>
            <w:tcW w:w="981" w:type="dxa"/>
            <w:tcBorders>
              <w:top w:val="nil"/>
              <w:left w:val="nil"/>
              <w:bottom w:val="single" w:sz="4" w:space="0" w:color="auto"/>
              <w:right w:val="single" w:sz="4" w:space="0" w:color="FFFFFF"/>
            </w:tcBorders>
            <w:shd w:val="clear" w:color="000000" w:fill="D9D9D9"/>
            <w:noWrap/>
            <w:vAlign w:val="center"/>
            <w:hideMark/>
          </w:tcPr>
          <w:p w14:paraId="00D3C019" w14:textId="77777777" w:rsidR="00EA3BAF" w:rsidRPr="005734B8" w:rsidRDefault="00EA3BAF" w:rsidP="002B70AB">
            <w:pPr>
              <w:jc w:val="right"/>
              <w:rPr>
                <w:rFonts w:ascii="Calibri" w:hAnsi="Calibri" w:cs="Calibri"/>
                <w:sz w:val="18"/>
                <w:szCs w:val="18"/>
              </w:rPr>
            </w:pPr>
            <w:r w:rsidRPr="005734B8">
              <w:rPr>
                <w:rFonts w:ascii="Calibri" w:hAnsi="Calibri" w:cs="Calibri"/>
                <w:sz w:val="18"/>
                <w:szCs w:val="18"/>
              </w:rPr>
              <w:t xml:space="preserve">3,073.1 </w:t>
            </w:r>
          </w:p>
        </w:tc>
        <w:tc>
          <w:tcPr>
            <w:tcW w:w="977" w:type="dxa"/>
            <w:tcBorders>
              <w:top w:val="nil"/>
              <w:left w:val="nil"/>
              <w:bottom w:val="single" w:sz="4" w:space="0" w:color="auto"/>
              <w:right w:val="single" w:sz="4" w:space="0" w:color="FFFFFF"/>
            </w:tcBorders>
            <w:shd w:val="clear" w:color="FFFFFF" w:fill="FFFFFF"/>
            <w:noWrap/>
            <w:vAlign w:val="center"/>
            <w:hideMark/>
          </w:tcPr>
          <w:p w14:paraId="567D2C7D" w14:textId="77777777" w:rsidR="00EA3BAF" w:rsidRPr="005734B8" w:rsidRDefault="00EA3BAF" w:rsidP="002B70AB">
            <w:pPr>
              <w:jc w:val="right"/>
              <w:rPr>
                <w:rFonts w:ascii="Calibri" w:hAnsi="Calibri" w:cs="Calibri"/>
                <w:sz w:val="18"/>
                <w:szCs w:val="18"/>
              </w:rPr>
            </w:pPr>
            <w:r w:rsidRPr="005734B8">
              <w:rPr>
                <w:rFonts w:ascii="Calibri" w:hAnsi="Calibri" w:cs="Calibri"/>
                <w:sz w:val="18"/>
                <w:szCs w:val="18"/>
              </w:rPr>
              <w:t xml:space="preserve">2,965.0 </w:t>
            </w:r>
          </w:p>
        </w:tc>
      </w:tr>
      <w:tr w:rsidR="00EA3BAF" w:rsidRPr="005734B8" w14:paraId="13FC134F" w14:textId="77777777" w:rsidTr="002B70AB">
        <w:trPr>
          <w:trHeight w:val="240"/>
        </w:trPr>
        <w:tc>
          <w:tcPr>
            <w:tcW w:w="449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BDE5C79" w14:textId="77777777" w:rsidR="00EA3BAF" w:rsidRPr="005734B8" w:rsidRDefault="00EA3BAF" w:rsidP="002B70AB">
            <w:pPr>
              <w:rPr>
                <w:rFonts w:ascii="Calibri" w:hAnsi="Calibri" w:cs="Calibri"/>
                <w:b/>
                <w:sz w:val="18"/>
                <w:szCs w:val="18"/>
              </w:rPr>
            </w:pPr>
            <w:r w:rsidRPr="005734B8">
              <w:rPr>
                <w:rFonts w:ascii="Calibri" w:hAnsi="Calibri" w:cs="Calibri"/>
                <w:b/>
                <w:sz w:val="18"/>
                <w:szCs w:val="18"/>
              </w:rPr>
              <w:t>Total expenses incurred in delivery of services</w:t>
            </w:r>
          </w:p>
        </w:tc>
        <w:tc>
          <w:tcPr>
            <w:tcW w:w="1170" w:type="dxa"/>
            <w:tcBorders>
              <w:top w:val="single" w:sz="12" w:space="0" w:color="auto"/>
              <w:left w:val="nil"/>
              <w:bottom w:val="single" w:sz="12" w:space="0" w:color="auto"/>
              <w:right w:val="single" w:sz="12" w:space="0" w:color="FFFFFF"/>
            </w:tcBorders>
            <w:shd w:val="clear" w:color="FFFFFF" w:fill="FFFFFF"/>
            <w:vAlign w:val="center"/>
            <w:hideMark/>
          </w:tcPr>
          <w:p w14:paraId="2C8E5C2F" w14:textId="77777777" w:rsidR="00EA3BAF" w:rsidRPr="005734B8" w:rsidRDefault="00EA3BAF" w:rsidP="002B70AB">
            <w:pPr>
              <w:rPr>
                <w:rFonts w:ascii="Calibri" w:hAnsi="Calibri" w:cs="Calibri"/>
                <w:b/>
                <w:sz w:val="18"/>
                <w:szCs w:val="18"/>
              </w:rPr>
            </w:pPr>
            <w:r w:rsidRPr="005734B8">
              <w:rPr>
                <w:rFonts w:ascii="Calibri" w:hAnsi="Calibri" w:cs="Calibri"/>
                <w:b/>
                <w:sz w:val="18"/>
                <w:szCs w:val="18"/>
              </w:rPr>
              <w:t> </w:t>
            </w:r>
          </w:p>
        </w:tc>
        <w:tc>
          <w:tcPr>
            <w:tcW w:w="98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6C7342D3" w14:textId="77777777" w:rsidR="00EA3BAF" w:rsidRPr="005734B8" w:rsidRDefault="00EA3BAF" w:rsidP="002B70AB">
            <w:pPr>
              <w:jc w:val="right"/>
              <w:rPr>
                <w:rFonts w:ascii="Calibri" w:hAnsi="Calibri" w:cs="Calibri"/>
                <w:b/>
                <w:sz w:val="18"/>
                <w:szCs w:val="18"/>
              </w:rPr>
            </w:pPr>
            <w:r w:rsidRPr="005734B8">
              <w:rPr>
                <w:rFonts w:ascii="Calibri" w:hAnsi="Calibri" w:cs="Calibri"/>
                <w:b/>
                <w:sz w:val="18"/>
                <w:szCs w:val="18"/>
              </w:rPr>
              <w:t xml:space="preserve">15,638.5 </w:t>
            </w:r>
          </w:p>
        </w:tc>
        <w:tc>
          <w:tcPr>
            <w:tcW w:w="977" w:type="dxa"/>
            <w:tcBorders>
              <w:top w:val="single" w:sz="12" w:space="0" w:color="auto"/>
              <w:left w:val="nil"/>
              <w:bottom w:val="single" w:sz="12" w:space="0" w:color="auto"/>
              <w:right w:val="nil"/>
            </w:tcBorders>
            <w:shd w:val="clear" w:color="FFFFFF" w:fill="FFFFFF"/>
            <w:noWrap/>
            <w:vAlign w:val="center"/>
            <w:hideMark/>
          </w:tcPr>
          <w:p w14:paraId="1CD78AFF" w14:textId="77777777" w:rsidR="00EA3BAF" w:rsidRPr="005734B8" w:rsidRDefault="00EA3BAF" w:rsidP="002B70AB">
            <w:pPr>
              <w:jc w:val="right"/>
              <w:rPr>
                <w:rFonts w:ascii="Calibri" w:hAnsi="Calibri" w:cs="Calibri"/>
                <w:b/>
                <w:sz w:val="18"/>
                <w:szCs w:val="18"/>
              </w:rPr>
            </w:pPr>
            <w:r w:rsidRPr="005734B8">
              <w:rPr>
                <w:rFonts w:ascii="Calibri" w:hAnsi="Calibri" w:cs="Calibri"/>
                <w:b/>
                <w:sz w:val="18"/>
                <w:szCs w:val="18"/>
              </w:rPr>
              <w:t xml:space="preserve">14,643.6 </w:t>
            </w:r>
          </w:p>
        </w:tc>
      </w:tr>
    </w:tbl>
    <w:bookmarkEnd w:id="1323"/>
    <w:p w14:paraId="6CAEDF6F" w14:textId="77777777" w:rsidR="00F06229" w:rsidRPr="005734B8" w:rsidRDefault="00F06229" w:rsidP="002D345C">
      <w:pPr>
        <w:pStyle w:val="ESHeading3"/>
        <w:ind w:left="0" w:firstLine="0"/>
        <w:rPr>
          <w:rFonts w:ascii="Calibri" w:hAnsi="Calibri" w:cs="Calibri"/>
        </w:rPr>
      </w:pPr>
      <w:r w:rsidRPr="005734B8">
        <w:rPr>
          <w:rFonts w:ascii="Calibri" w:hAnsi="Calibri" w:cs="Calibri"/>
        </w:rPr>
        <w:t>3.1.1 (a) Employee benefits in the comprehensive operating statement</w:t>
      </w:r>
    </w:p>
    <w:tbl>
      <w:tblPr>
        <w:tblW w:w="7625" w:type="dxa"/>
        <w:tblInd w:w="75" w:type="dxa"/>
        <w:tblLayout w:type="fixed"/>
        <w:tblLook w:val="04A0" w:firstRow="1" w:lastRow="0" w:firstColumn="1" w:lastColumn="0" w:noHBand="0" w:noVBand="1"/>
      </w:tblPr>
      <w:tblGrid>
        <w:gridCol w:w="5452"/>
        <w:gridCol w:w="1091"/>
        <w:gridCol w:w="1082"/>
      </w:tblGrid>
      <w:tr w:rsidR="00F06229" w:rsidRPr="005734B8" w14:paraId="08AEB711" w14:textId="77777777" w:rsidTr="000F48B1">
        <w:trPr>
          <w:trHeight w:val="480"/>
        </w:trPr>
        <w:tc>
          <w:tcPr>
            <w:tcW w:w="5452" w:type="dxa"/>
            <w:tcBorders>
              <w:top w:val="nil"/>
              <w:left w:val="single" w:sz="4" w:space="0" w:color="FFFFFF"/>
              <w:bottom w:val="nil"/>
              <w:right w:val="single" w:sz="4" w:space="0" w:color="FFFFFF"/>
            </w:tcBorders>
            <w:shd w:val="clear" w:color="000000" w:fill="AF272F"/>
            <w:vAlign w:val="bottom"/>
            <w:hideMark/>
          </w:tcPr>
          <w:p w14:paraId="0BBE98F1" w14:textId="77777777" w:rsidR="00F06229" w:rsidRPr="005734B8" w:rsidRDefault="00F06229" w:rsidP="000F48B1">
            <w:pPr>
              <w:jc w:val="center"/>
              <w:rPr>
                <w:rFonts w:ascii="Calibri" w:hAnsi="Calibri" w:cs="Calibri"/>
                <w:b/>
                <w:color w:val="FFFFFF"/>
                <w:sz w:val="18"/>
                <w:szCs w:val="18"/>
              </w:rPr>
            </w:pPr>
            <w:bookmarkStart w:id="1324" w:name="Note_EECTABLE1" w:colFirst="0" w:colLast="0"/>
            <w:r w:rsidRPr="005734B8">
              <w:rPr>
                <w:rFonts w:ascii="Calibri" w:hAnsi="Calibri" w:cs="Calibri"/>
                <w:b/>
                <w:color w:val="FFFFFF"/>
                <w:sz w:val="18"/>
                <w:szCs w:val="18"/>
              </w:rPr>
              <w:t> </w:t>
            </w:r>
          </w:p>
        </w:tc>
        <w:tc>
          <w:tcPr>
            <w:tcW w:w="1091" w:type="dxa"/>
            <w:tcBorders>
              <w:top w:val="nil"/>
              <w:left w:val="nil"/>
              <w:bottom w:val="single" w:sz="4" w:space="0" w:color="auto"/>
              <w:right w:val="single" w:sz="4" w:space="0" w:color="FFFFFF"/>
            </w:tcBorders>
            <w:shd w:val="clear" w:color="000000" w:fill="AF272F"/>
            <w:hideMark/>
          </w:tcPr>
          <w:p w14:paraId="29FE1385" w14:textId="77777777" w:rsidR="00F06229" w:rsidRPr="005734B8" w:rsidRDefault="00F06229"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82" w:type="dxa"/>
            <w:tcBorders>
              <w:top w:val="nil"/>
              <w:left w:val="nil"/>
              <w:bottom w:val="single" w:sz="4" w:space="0" w:color="auto"/>
              <w:right w:val="single" w:sz="4" w:space="0" w:color="FFFFFF"/>
            </w:tcBorders>
            <w:shd w:val="clear" w:color="000000" w:fill="AF272F"/>
            <w:hideMark/>
          </w:tcPr>
          <w:p w14:paraId="133F911D" w14:textId="77777777" w:rsidR="00F06229" w:rsidRPr="005734B8" w:rsidRDefault="00F06229"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324"/>
      <w:tr w:rsidR="00F06229" w:rsidRPr="005734B8" w14:paraId="40F3AF8E" w14:textId="77777777" w:rsidTr="000F48B1">
        <w:trPr>
          <w:trHeight w:val="255"/>
        </w:trPr>
        <w:tc>
          <w:tcPr>
            <w:tcW w:w="5452"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31B1BD20"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Employee expenses</w:t>
            </w:r>
          </w:p>
        </w:tc>
        <w:tc>
          <w:tcPr>
            <w:tcW w:w="1091" w:type="dxa"/>
            <w:tcBorders>
              <w:top w:val="nil"/>
              <w:left w:val="nil"/>
              <w:bottom w:val="single" w:sz="4" w:space="0" w:color="auto"/>
              <w:right w:val="single" w:sz="4" w:space="0" w:color="FFFFFF"/>
            </w:tcBorders>
            <w:shd w:val="clear" w:color="000000" w:fill="D9D9D9"/>
            <w:vAlign w:val="bottom"/>
            <w:hideMark/>
          </w:tcPr>
          <w:p w14:paraId="0AB14613"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 </w:t>
            </w:r>
          </w:p>
        </w:tc>
        <w:tc>
          <w:tcPr>
            <w:tcW w:w="1082" w:type="dxa"/>
            <w:tcBorders>
              <w:top w:val="nil"/>
              <w:left w:val="nil"/>
              <w:bottom w:val="single" w:sz="4" w:space="0" w:color="auto"/>
              <w:right w:val="single" w:sz="4" w:space="0" w:color="FFFFFF"/>
            </w:tcBorders>
            <w:shd w:val="clear" w:color="000000" w:fill="D9D9D9"/>
            <w:vAlign w:val="bottom"/>
            <w:hideMark/>
          </w:tcPr>
          <w:p w14:paraId="4DDA0B63"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 </w:t>
            </w:r>
          </w:p>
        </w:tc>
      </w:tr>
      <w:tr w:rsidR="00F06229" w:rsidRPr="005734B8" w14:paraId="05A350B9"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5FA2A537"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Salaries and wages</w:t>
            </w:r>
          </w:p>
        </w:tc>
        <w:tc>
          <w:tcPr>
            <w:tcW w:w="1091" w:type="dxa"/>
            <w:tcBorders>
              <w:top w:val="nil"/>
              <w:left w:val="nil"/>
              <w:bottom w:val="single" w:sz="4" w:space="0" w:color="auto"/>
              <w:right w:val="single" w:sz="4" w:space="0" w:color="FFFFFF"/>
            </w:tcBorders>
            <w:shd w:val="clear" w:color="000000" w:fill="D9D9D9"/>
            <w:noWrap/>
            <w:vAlign w:val="center"/>
            <w:hideMark/>
          </w:tcPr>
          <w:p w14:paraId="7DA90585"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6,456.2 </w:t>
            </w:r>
          </w:p>
        </w:tc>
        <w:tc>
          <w:tcPr>
            <w:tcW w:w="1082" w:type="dxa"/>
            <w:tcBorders>
              <w:top w:val="nil"/>
              <w:left w:val="nil"/>
              <w:bottom w:val="single" w:sz="4" w:space="0" w:color="auto"/>
              <w:right w:val="single" w:sz="4" w:space="0" w:color="FFFFFF"/>
            </w:tcBorders>
            <w:shd w:val="clear" w:color="FFFFFF" w:fill="FFFFFF"/>
            <w:noWrap/>
            <w:vAlign w:val="center"/>
            <w:hideMark/>
          </w:tcPr>
          <w:p w14:paraId="5845B7A6"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6,086.7 </w:t>
            </w:r>
          </w:p>
        </w:tc>
      </w:tr>
      <w:tr w:rsidR="00F06229" w:rsidRPr="005734B8" w14:paraId="1B4A2CB3"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655C6E85"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Superannuation</w:t>
            </w:r>
          </w:p>
        </w:tc>
        <w:tc>
          <w:tcPr>
            <w:tcW w:w="1091" w:type="dxa"/>
            <w:tcBorders>
              <w:top w:val="nil"/>
              <w:left w:val="nil"/>
              <w:bottom w:val="single" w:sz="4" w:space="0" w:color="auto"/>
              <w:right w:val="single" w:sz="4" w:space="0" w:color="FFFFFF"/>
            </w:tcBorders>
            <w:shd w:val="clear" w:color="000000" w:fill="D9D9D9"/>
            <w:noWrap/>
            <w:vAlign w:val="center"/>
            <w:hideMark/>
          </w:tcPr>
          <w:p w14:paraId="2608CFB1"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632.8 </w:t>
            </w:r>
          </w:p>
        </w:tc>
        <w:tc>
          <w:tcPr>
            <w:tcW w:w="1082" w:type="dxa"/>
            <w:tcBorders>
              <w:top w:val="nil"/>
              <w:left w:val="nil"/>
              <w:bottom w:val="single" w:sz="4" w:space="0" w:color="auto"/>
              <w:right w:val="single" w:sz="4" w:space="0" w:color="FFFFFF"/>
            </w:tcBorders>
            <w:shd w:val="clear" w:color="FFFFFF" w:fill="FFFFFF"/>
            <w:noWrap/>
            <w:vAlign w:val="center"/>
            <w:hideMark/>
          </w:tcPr>
          <w:p w14:paraId="3B1477F1"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601.0 </w:t>
            </w:r>
          </w:p>
        </w:tc>
      </w:tr>
      <w:tr w:rsidR="00F06229" w:rsidRPr="005734B8" w14:paraId="28EDBE4C"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07A181D5"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Annual leave and long service leave expense</w:t>
            </w:r>
          </w:p>
        </w:tc>
        <w:tc>
          <w:tcPr>
            <w:tcW w:w="1091" w:type="dxa"/>
            <w:tcBorders>
              <w:top w:val="nil"/>
              <w:left w:val="nil"/>
              <w:bottom w:val="single" w:sz="4" w:space="0" w:color="auto"/>
              <w:right w:val="single" w:sz="4" w:space="0" w:color="FFFFFF"/>
            </w:tcBorders>
            <w:shd w:val="clear" w:color="000000" w:fill="D9D9D9"/>
            <w:noWrap/>
            <w:vAlign w:val="center"/>
            <w:hideMark/>
          </w:tcPr>
          <w:p w14:paraId="59FE81B3"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494.7 </w:t>
            </w:r>
          </w:p>
        </w:tc>
        <w:tc>
          <w:tcPr>
            <w:tcW w:w="1082" w:type="dxa"/>
            <w:tcBorders>
              <w:top w:val="nil"/>
              <w:left w:val="nil"/>
              <w:bottom w:val="single" w:sz="4" w:space="0" w:color="auto"/>
              <w:right w:val="single" w:sz="4" w:space="0" w:color="FFFFFF"/>
            </w:tcBorders>
            <w:shd w:val="clear" w:color="FFFFFF" w:fill="FFFFFF"/>
            <w:noWrap/>
            <w:vAlign w:val="center"/>
            <w:hideMark/>
          </w:tcPr>
          <w:p w14:paraId="13C28825"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412.5 </w:t>
            </w:r>
          </w:p>
        </w:tc>
      </w:tr>
      <w:tr w:rsidR="00F06229" w:rsidRPr="005734B8" w14:paraId="17689CAF"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43AA2EB2"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Other on-costs (fringe benefits tax, payroll tax and WorkCover levy)</w:t>
            </w:r>
          </w:p>
        </w:tc>
        <w:tc>
          <w:tcPr>
            <w:tcW w:w="1091" w:type="dxa"/>
            <w:tcBorders>
              <w:top w:val="nil"/>
              <w:left w:val="nil"/>
              <w:bottom w:val="single" w:sz="4" w:space="0" w:color="auto"/>
              <w:right w:val="single" w:sz="4" w:space="0" w:color="FFFFFF"/>
            </w:tcBorders>
            <w:shd w:val="clear" w:color="000000" w:fill="D9D9D9"/>
            <w:noWrap/>
            <w:vAlign w:val="center"/>
            <w:hideMark/>
          </w:tcPr>
          <w:p w14:paraId="72CE2845"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438.0 </w:t>
            </w:r>
          </w:p>
        </w:tc>
        <w:tc>
          <w:tcPr>
            <w:tcW w:w="1082" w:type="dxa"/>
            <w:tcBorders>
              <w:top w:val="nil"/>
              <w:left w:val="nil"/>
              <w:bottom w:val="single" w:sz="4" w:space="0" w:color="auto"/>
              <w:right w:val="single" w:sz="4" w:space="0" w:color="FFFFFF"/>
            </w:tcBorders>
            <w:shd w:val="clear" w:color="FFFFFF" w:fill="FFFFFF"/>
            <w:noWrap/>
            <w:vAlign w:val="center"/>
            <w:hideMark/>
          </w:tcPr>
          <w:p w14:paraId="69EBD573"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401.7 </w:t>
            </w:r>
          </w:p>
        </w:tc>
      </w:tr>
      <w:tr w:rsidR="00F06229" w:rsidRPr="005734B8" w14:paraId="5E421723"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234F9B60"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Total employee expenses</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40087563"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8,021.7 </w:t>
            </w:r>
          </w:p>
        </w:tc>
        <w:tc>
          <w:tcPr>
            <w:tcW w:w="1082" w:type="dxa"/>
            <w:tcBorders>
              <w:top w:val="single" w:sz="12" w:space="0" w:color="auto"/>
              <w:left w:val="nil"/>
              <w:bottom w:val="single" w:sz="12" w:space="0" w:color="auto"/>
              <w:right w:val="nil"/>
            </w:tcBorders>
            <w:shd w:val="clear" w:color="FFFFFF" w:fill="FFFFFF"/>
            <w:noWrap/>
            <w:vAlign w:val="center"/>
            <w:hideMark/>
          </w:tcPr>
          <w:p w14:paraId="1F8C23B2"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7,501.9 </w:t>
            </w:r>
          </w:p>
        </w:tc>
      </w:tr>
    </w:tbl>
    <w:p w14:paraId="287E91C0" w14:textId="77777777" w:rsidR="00F06229" w:rsidRPr="005734B8" w:rsidRDefault="00F06229" w:rsidP="00F06229">
      <w:pPr>
        <w:rPr>
          <w:rFonts w:ascii="Calibri" w:hAnsi="Calibri" w:cs="Calibri"/>
          <w:szCs w:val="22"/>
        </w:rPr>
      </w:pPr>
    </w:p>
    <w:p w14:paraId="1AAA4C24" w14:textId="3019F41A" w:rsidR="00F06229" w:rsidRPr="005734B8" w:rsidRDefault="00F06229" w:rsidP="00F06229">
      <w:pPr>
        <w:rPr>
          <w:rFonts w:ascii="Calibri" w:hAnsi="Calibri" w:cs="Calibri"/>
          <w:szCs w:val="22"/>
        </w:rPr>
      </w:pPr>
      <w:r w:rsidRPr="005734B8">
        <w:rPr>
          <w:rFonts w:ascii="Calibri" w:hAnsi="Calibri" w:cs="Calibri"/>
          <w:szCs w:val="22"/>
        </w:rPr>
        <w:t>Employee expenses include all costs related to employment</w:t>
      </w:r>
      <w:r w:rsidR="00AB3C74" w:rsidRPr="005734B8">
        <w:rPr>
          <w:rFonts w:ascii="Calibri" w:hAnsi="Calibri" w:cs="Calibri"/>
          <w:szCs w:val="22"/>
        </w:rPr>
        <w:t>,</w:t>
      </w:r>
      <w:r w:rsidRPr="005734B8">
        <w:rPr>
          <w:rFonts w:ascii="Calibri" w:hAnsi="Calibri" w:cs="Calibri"/>
          <w:szCs w:val="22"/>
        </w:rPr>
        <w:t xml:space="preserve"> such as salaries and wages, superannuation, fringe benefits and payroll taxes, leave entitlements, termination payments and WorkCover premiums.</w:t>
      </w:r>
    </w:p>
    <w:p w14:paraId="1237CF4E" w14:textId="77777777" w:rsidR="00F06229" w:rsidRPr="005734B8" w:rsidRDefault="00F06229" w:rsidP="00F06229">
      <w:pPr>
        <w:rPr>
          <w:rFonts w:ascii="Calibri" w:hAnsi="Calibri" w:cs="Calibri"/>
          <w:szCs w:val="22"/>
        </w:rPr>
      </w:pPr>
    </w:p>
    <w:p w14:paraId="2F3CB0D9" w14:textId="27A12B2E" w:rsidR="002D345C" w:rsidRPr="005734B8" w:rsidRDefault="00F06229">
      <w:pPr>
        <w:rPr>
          <w:rFonts w:ascii="Calibri" w:hAnsi="Calibri" w:cs="Calibri"/>
          <w:szCs w:val="22"/>
        </w:rPr>
      </w:pPr>
      <w:r w:rsidRPr="005734B8">
        <w:rPr>
          <w:rFonts w:ascii="Calibri" w:hAnsi="Calibri" w:cs="Calibri"/>
          <w:szCs w:val="22"/>
        </w:rPr>
        <w:t>The amount recognised in the comprehensive operating statement in relation to superannuation is the employer contributions for members of both defined benefit and defined contribution superannuation plans that are paid or payable during the reporting period. The Department does not recognise any defined benefit liabilities</w:t>
      </w:r>
      <w:r w:rsidR="00A97299" w:rsidRPr="005734B8">
        <w:rPr>
          <w:rFonts w:ascii="Calibri" w:hAnsi="Calibri" w:cs="Calibri"/>
          <w:szCs w:val="22"/>
        </w:rPr>
        <w:t>,</w:t>
      </w:r>
      <w:r w:rsidRPr="005734B8">
        <w:rPr>
          <w:rFonts w:ascii="Calibri" w:hAnsi="Calibri" w:cs="Calibri"/>
          <w:szCs w:val="22"/>
        </w:rPr>
        <w:t xml:space="preserve"> because it has no legal or constructive obligation to pay future benefits relating to its employees. Instead, DTF discloses in its annual financial statements the net defined benefit cost related to the members of these plans as an administered liability (on behalf of the State as the sponsoring employer).</w:t>
      </w:r>
      <w:r w:rsidR="002D345C" w:rsidRPr="005734B8">
        <w:rPr>
          <w:rFonts w:ascii="Calibri" w:hAnsi="Calibri" w:cs="Calibri"/>
          <w:szCs w:val="22"/>
        </w:rPr>
        <w:br w:type="page"/>
      </w:r>
    </w:p>
    <w:p w14:paraId="48C88AC3" w14:textId="79AF57FF" w:rsidR="00F06229" w:rsidRPr="005734B8" w:rsidRDefault="00F06229" w:rsidP="002D345C">
      <w:pPr>
        <w:pStyle w:val="ESHeading3"/>
        <w:ind w:left="0" w:firstLine="0"/>
        <w:rPr>
          <w:rFonts w:ascii="Calibri" w:hAnsi="Calibri" w:cs="Calibri"/>
          <w:szCs w:val="22"/>
          <w:lang w:val="en-AU"/>
        </w:rPr>
      </w:pPr>
      <w:bookmarkStart w:id="1325" w:name="_Toc11336357"/>
      <w:bookmarkStart w:id="1326" w:name="_Toc14965583"/>
      <w:r w:rsidRPr="005734B8">
        <w:rPr>
          <w:rFonts w:ascii="Calibri" w:hAnsi="Calibri" w:cs="Calibri"/>
        </w:rPr>
        <w:lastRenderedPageBreak/>
        <w:t>3.1.1 (b) Employee benefits</w:t>
      </w:r>
      <w:r w:rsidR="00A97299" w:rsidRPr="005734B8">
        <w:rPr>
          <w:rFonts w:ascii="Calibri" w:hAnsi="Calibri" w:cs="Calibri"/>
        </w:rPr>
        <w:t>—</w:t>
      </w:r>
      <w:r w:rsidRPr="005734B8">
        <w:rPr>
          <w:rFonts w:ascii="Calibri" w:hAnsi="Calibri" w:cs="Calibri"/>
        </w:rPr>
        <w:t>in the balance sheet</w:t>
      </w:r>
      <w:bookmarkEnd w:id="1325"/>
      <w:bookmarkEnd w:id="1326"/>
    </w:p>
    <w:p w14:paraId="5080465A" w14:textId="1B103769" w:rsidR="00F06229" w:rsidRPr="005734B8" w:rsidRDefault="00F06229" w:rsidP="00F06229">
      <w:pPr>
        <w:pStyle w:val="ESbullet1"/>
        <w:spacing w:after="0"/>
        <w:ind w:left="0" w:firstLine="0"/>
        <w:rPr>
          <w:rFonts w:ascii="Calibri" w:hAnsi="Calibri" w:cs="Calibri"/>
          <w:szCs w:val="22"/>
          <w:lang w:val="en-AU"/>
        </w:rPr>
      </w:pPr>
      <w:r w:rsidRPr="005734B8">
        <w:rPr>
          <w:rFonts w:ascii="Calibri" w:hAnsi="Calibri" w:cs="Calibri"/>
          <w:szCs w:val="22"/>
          <w:lang w:val="en-AU"/>
        </w:rPr>
        <w:t>Provision is made for benefits accruing to employees in respect of annual leave and long service leave for services rendered to the reporting date and recorded as an expense during the period the services are delivered.</w:t>
      </w:r>
    </w:p>
    <w:p w14:paraId="582A88F7" w14:textId="77777777" w:rsidR="00572811" w:rsidRPr="005734B8" w:rsidRDefault="00572811" w:rsidP="00F06229">
      <w:pPr>
        <w:pStyle w:val="ESbullet1"/>
        <w:spacing w:after="0"/>
        <w:ind w:left="0" w:firstLine="0"/>
        <w:rPr>
          <w:rFonts w:ascii="Calibri" w:hAnsi="Calibri" w:cs="Calibri"/>
          <w:szCs w:val="22"/>
          <w:lang w:val="en-AU"/>
        </w:rPr>
      </w:pPr>
    </w:p>
    <w:tbl>
      <w:tblPr>
        <w:tblW w:w="7625" w:type="dxa"/>
        <w:tblInd w:w="75" w:type="dxa"/>
        <w:tblLayout w:type="fixed"/>
        <w:tblLook w:val="04A0" w:firstRow="1" w:lastRow="0" w:firstColumn="1" w:lastColumn="0" w:noHBand="0" w:noVBand="1"/>
      </w:tblPr>
      <w:tblGrid>
        <w:gridCol w:w="5452"/>
        <w:gridCol w:w="1091"/>
        <w:gridCol w:w="1082"/>
      </w:tblGrid>
      <w:tr w:rsidR="00F06229" w:rsidRPr="005734B8" w14:paraId="752724D6" w14:textId="77777777" w:rsidTr="000F48B1">
        <w:trPr>
          <w:trHeight w:val="480"/>
        </w:trPr>
        <w:tc>
          <w:tcPr>
            <w:tcW w:w="5452" w:type="dxa"/>
            <w:tcBorders>
              <w:top w:val="nil"/>
              <w:left w:val="single" w:sz="4" w:space="0" w:color="FFFFFF"/>
              <w:bottom w:val="single" w:sz="4" w:space="0" w:color="FFFFFF"/>
              <w:right w:val="single" w:sz="4" w:space="0" w:color="FFFFFF"/>
            </w:tcBorders>
            <w:shd w:val="clear" w:color="000000" w:fill="AF272F"/>
            <w:hideMark/>
          </w:tcPr>
          <w:p w14:paraId="6417CE59" w14:textId="77777777" w:rsidR="00F06229" w:rsidRPr="005734B8" w:rsidRDefault="00F06229" w:rsidP="000F48B1">
            <w:pPr>
              <w:rPr>
                <w:rFonts w:ascii="Calibri" w:hAnsi="Calibri" w:cs="Calibri"/>
                <w:b/>
                <w:color w:val="FFFFFF"/>
                <w:sz w:val="18"/>
                <w:szCs w:val="18"/>
              </w:rPr>
            </w:pPr>
            <w:bookmarkStart w:id="1327" w:name="Note_EBBTABLE1" w:colFirst="0" w:colLast="0"/>
            <w:r w:rsidRPr="005734B8">
              <w:rPr>
                <w:rFonts w:ascii="Calibri" w:hAnsi="Calibri" w:cs="Calibri"/>
                <w:b/>
                <w:color w:val="FFFFFF"/>
                <w:sz w:val="18"/>
                <w:szCs w:val="18"/>
              </w:rPr>
              <w:t> </w:t>
            </w:r>
          </w:p>
        </w:tc>
        <w:tc>
          <w:tcPr>
            <w:tcW w:w="1091" w:type="dxa"/>
            <w:tcBorders>
              <w:top w:val="nil"/>
              <w:left w:val="nil"/>
              <w:bottom w:val="single" w:sz="4" w:space="0" w:color="FFFFFF"/>
              <w:right w:val="single" w:sz="4" w:space="0" w:color="FFFFFF"/>
            </w:tcBorders>
            <w:shd w:val="clear" w:color="000000" w:fill="AF272F"/>
            <w:vAlign w:val="bottom"/>
            <w:hideMark/>
          </w:tcPr>
          <w:p w14:paraId="00541C81" w14:textId="77777777" w:rsidR="00F06229" w:rsidRPr="005734B8" w:rsidRDefault="00F06229"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82" w:type="dxa"/>
            <w:tcBorders>
              <w:top w:val="nil"/>
              <w:left w:val="nil"/>
              <w:bottom w:val="single" w:sz="4" w:space="0" w:color="FFFFFF"/>
              <w:right w:val="single" w:sz="4" w:space="0" w:color="FFFFFF"/>
            </w:tcBorders>
            <w:shd w:val="clear" w:color="000000" w:fill="AF272F"/>
            <w:vAlign w:val="bottom"/>
            <w:hideMark/>
          </w:tcPr>
          <w:p w14:paraId="35D6311E" w14:textId="77777777" w:rsidR="00F06229" w:rsidRPr="005734B8" w:rsidRDefault="00F06229"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327"/>
      <w:tr w:rsidR="00F06229" w:rsidRPr="005734B8" w14:paraId="59DAEB27"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000000" w:fill="53565A"/>
            <w:vAlign w:val="center"/>
            <w:hideMark/>
          </w:tcPr>
          <w:p w14:paraId="79BD2544" w14:textId="77777777" w:rsidR="00F06229" w:rsidRPr="005734B8" w:rsidRDefault="00F06229" w:rsidP="000F48B1">
            <w:pPr>
              <w:rPr>
                <w:rFonts w:ascii="Calibri" w:hAnsi="Calibri" w:cs="Calibri"/>
                <w:b/>
                <w:color w:val="FFFFFF"/>
                <w:sz w:val="18"/>
                <w:szCs w:val="18"/>
              </w:rPr>
            </w:pPr>
            <w:r w:rsidRPr="005734B8">
              <w:rPr>
                <w:rFonts w:ascii="Calibri" w:hAnsi="Calibri" w:cs="Calibri"/>
                <w:b/>
                <w:color w:val="FFFFFF"/>
                <w:sz w:val="18"/>
                <w:szCs w:val="18"/>
              </w:rPr>
              <w:t>Current provisions</w:t>
            </w:r>
          </w:p>
        </w:tc>
        <w:tc>
          <w:tcPr>
            <w:tcW w:w="1091" w:type="dxa"/>
            <w:tcBorders>
              <w:top w:val="nil"/>
              <w:left w:val="nil"/>
              <w:bottom w:val="single" w:sz="4" w:space="0" w:color="auto"/>
              <w:right w:val="single" w:sz="4" w:space="0" w:color="FFFFFF"/>
            </w:tcBorders>
            <w:shd w:val="clear" w:color="000000" w:fill="53565A"/>
            <w:vAlign w:val="center"/>
            <w:hideMark/>
          </w:tcPr>
          <w:p w14:paraId="684BA7E6" w14:textId="77777777" w:rsidR="00F06229" w:rsidRPr="005734B8" w:rsidRDefault="00F06229" w:rsidP="000F48B1">
            <w:pPr>
              <w:rPr>
                <w:rFonts w:ascii="Calibri" w:hAnsi="Calibri" w:cs="Calibri"/>
                <w:b/>
                <w:color w:val="FFFFFF"/>
                <w:sz w:val="18"/>
                <w:szCs w:val="18"/>
              </w:rPr>
            </w:pPr>
            <w:r w:rsidRPr="005734B8">
              <w:rPr>
                <w:rFonts w:ascii="Calibri" w:hAnsi="Calibri" w:cs="Calibri"/>
                <w:b/>
                <w:color w:val="FFFFFF"/>
                <w:sz w:val="18"/>
                <w:szCs w:val="18"/>
              </w:rPr>
              <w:t> </w:t>
            </w:r>
          </w:p>
        </w:tc>
        <w:tc>
          <w:tcPr>
            <w:tcW w:w="1082" w:type="dxa"/>
            <w:tcBorders>
              <w:top w:val="nil"/>
              <w:left w:val="nil"/>
              <w:bottom w:val="single" w:sz="4" w:space="0" w:color="auto"/>
              <w:right w:val="single" w:sz="4" w:space="0" w:color="FFFFFF"/>
            </w:tcBorders>
            <w:shd w:val="clear" w:color="000000" w:fill="53565A"/>
            <w:vAlign w:val="center"/>
            <w:hideMark/>
          </w:tcPr>
          <w:p w14:paraId="397508AF" w14:textId="77777777" w:rsidR="00F06229" w:rsidRPr="005734B8" w:rsidRDefault="00F06229" w:rsidP="000F48B1">
            <w:pPr>
              <w:rPr>
                <w:rFonts w:ascii="Calibri" w:hAnsi="Calibri" w:cs="Calibri"/>
                <w:b/>
                <w:color w:val="FFFFFF"/>
                <w:sz w:val="18"/>
                <w:szCs w:val="18"/>
              </w:rPr>
            </w:pPr>
            <w:r w:rsidRPr="005734B8">
              <w:rPr>
                <w:rFonts w:ascii="Calibri" w:hAnsi="Calibri" w:cs="Calibri"/>
                <w:b/>
                <w:color w:val="FFFFFF"/>
                <w:sz w:val="18"/>
                <w:szCs w:val="18"/>
              </w:rPr>
              <w:t> </w:t>
            </w:r>
          </w:p>
        </w:tc>
      </w:tr>
      <w:tr w:rsidR="00F06229" w:rsidRPr="005734B8" w14:paraId="0B2CA72B"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000000" w:fill="D9D9D9"/>
            <w:vAlign w:val="center"/>
            <w:hideMark/>
          </w:tcPr>
          <w:p w14:paraId="3E7C1F3E"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Employee benefits</w:t>
            </w:r>
            <w:bookmarkStart w:id="1328" w:name="_Ref78131453"/>
            <w:r w:rsidRPr="005734B8">
              <w:rPr>
                <w:rStyle w:val="FootnoteReference"/>
                <w:rFonts w:ascii="Calibri" w:hAnsi="Calibri" w:cs="Calibri"/>
                <w:b/>
                <w:sz w:val="18"/>
                <w:szCs w:val="18"/>
              </w:rPr>
              <w:footnoteReference w:id="81"/>
            </w:r>
            <w:bookmarkEnd w:id="1328"/>
            <w:r w:rsidRPr="005734B8">
              <w:rPr>
                <w:rFonts w:ascii="Calibri" w:hAnsi="Calibri" w:cs="Calibri"/>
                <w:b/>
                <w:sz w:val="18"/>
                <w:szCs w:val="18"/>
              </w:rPr>
              <w:t>—annual leave</w:t>
            </w:r>
          </w:p>
        </w:tc>
        <w:tc>
          <w:tcPr>
            <w:tcW w:w="1091" w:type="dxa"/>
            <w:tcBorders>
              <w:top w:val="nil"/>
              <w:left w:val="nil"/>
              <w:bottom w:val="single" w:sz="4" w:space="0" w:color="auto"/>
              <w:right w:val="single" w:sz="4" w:space="0" w:color="FFFFFF"/>
            </w:tcBorders>
            <w:shd w:val="clear" w:color="000000" w:fill="D9D9D9"/>
            <w:noWrap/>
            <w:vAlign w:val="center"/>
            <w:hideMark/>
          </w:tcPr>
          <w:p w14:paraId="3AC772D4"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w:t>
            </w:r>
          </w:p>
        </w:tc>
        <w:tc>
          <w:tcPr>
            <w:tcW w:w="1082" w:type="dxa"/>
            <w:tcBorders>
              <w:top w:val="nil"/>
              <w:left w:val="nil"/>
              <w:bottom w:val="single" w:sz="4" w:space="0" w:color="auto"/>
              <w:right w:val="single" w:sz="4" w:space="0" w:color="FFFFFF"/>
            </w:tcBorders>
            <w:shd w:val="clear" w:color="000000" w:fill="D9D9D9"/>
            <w:noWrap/>
            <w:vAlign w:val="center"/>
            <w:hideMark/>
          </w:tcPr>
          <w:p w14:paraId="108CF8AC"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w:t>
            </w:r>
          </w:p>
        </w:tc>
      </w:tr>
      <w:tr w:rsidR="00F06229" w:rsidRPr="005734B8" w14:paraId="4BFF87F6"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4B15D771"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Unconditional and expected to be settled within 12 months</w:t>
            </w:r>
          </w:p>
        </w:tc>
        <w:tc>
          <w:tcPr>
            <w:tcW w:w="1091" w:type="dxa"/>
            <w:tcBorders>
              <w:top w:val="nil"/>
              <w:left w:val="nil"/>
              <w:bottom w:val="single" w:sz="4" w:space="0" w:color="auto"/>
              <w:right w:val="single" w:sz="4" w:space="0" w:color="FFFFFF"/>
            </w:tcBorders>
            <w:shd w:val="clear" w:color="000000" w:fill="D9D9D9"/>
            <w:noWrap/>
            <w:vAlign w:val="center"/>
            <w:hideMark/>
          </w:tcPr>
          <w:p w14:paraId="1FF6D415"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111.8 </w:t>
            </w:r>
          </w:p>
        </w:tc>
        <w:tc>
          <w:tcPr>
            <w:tcW w:w="1082" w:type="dxa"/>
            <w:tcBorders>
              <w:top w:val="nil"/>
              <w:left w:val="nil"/>
              <w:bottom w:val="single" w:sz="4" w:space="0" w:color="auto"/>
              <w:right w:val="single" w:sz="4" w:space="0" w:color="FFFFFF"/>
            </w:tcBorders>
            <w:shd w:val="clear" w:color="FFFFFF" w:fill="FFFFFF"/>
            <w:noWrap/>
            <w:vAlign w:val="center"/>
            <w:hideMark/>
          </w:tcPr>
          <w:p w14:paraId="5B32EEC9"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120.8 </w:t>
            </w:r>
          </w:p>
        </w:tc>
      </w:tr>
      <w:tr w:rsidR="00F06229" w:rsidRPr="005734B8" w14:paraId="077228ED"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250FB446"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Unconditional and expected to be settled after 12 months</w:t>
            </w:r>
          </w:p>
        </w:tc>
        <w:tc>
          <w:tcPr>
            <w:tcW w:w="1091" w:type="dxa"/>
            <w:tcBorders>
              <w:top w:val="nil"/>
              <w:left w:val="nil"/>
              <w:bottom w:val="single" w:sz="4" w:space="0" w:color="auto"/>
              <w:right w:val="single" w:sz="4" w:space="0" w:color="FFFFFF"/>
            </w:tcBorders>
            <w:shd w:val="clear" w:color="000000" w:fill="D9D9D9"/>
            <w:noWrap/>
            <w:vAlign w:val="center"/>
            <w:hideMark/>
          </w:tcPr>
          <w:p w14:paraId="668394FA"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19.2 </w:t>
            </w:r>
          </w:p>
        </w:tc>
        <w:tc>
          <w:tcPr>
            <w:tcW w:w="1082" w:type="dxa"/>
            <w:tcBorders>
              <w:top w:val="nil"/>
              <w:left w:val="nil"/>
              <w:bottom w:val="single" w:sz="4" w:space="0" w:color="auto"/>
              <w:right w:val="single" w:sz="4" w:space="0" w:color="FFFFFF"/>
            </w:tcBorders>
            <w:shd w:val="clear" w:color="FFFFFF" w:fill="FFFFFF"/>
            <w:noWrap/>
            <w:vAlign w:val="center"/>
            <w:hideMark/>
          </w:tcPr>
          <w:p w14:paraId="60F739D2"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12.8 </w:t>
            </w:r>
          </w:p>
        </w:tc>
      </w:tr>
      <w:tr w:rsidR="00F06229" w:rsidRPr="005734B8" w14:paraId="4F45D30E"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000000" w:fill="D9D9D9"/>
            <w:vAlign w:val="center"/>
            <w:hideMark/>
          </w:tcPr>
          <w:p w14:paraId="4198B456" w14:textId="50B56129" w:rsidR="00F06229" w:rsidRPr="005734B8" w:rsidRDefault="00F06229" w:rsidP="000F48B1">
            <w:pPr>
              <w:rPr>
                <w:rFonts w:ascii="Calibri" w:hAnsi="Calibri" w:cs="Calibri"/>
                <w:b/>
                <w:sz w:val="18"/>
                <w:szCs w:val="18"/>
              </w:rPr>
            </w:pPr>
            <w:r w:rsidRPr="005734B8">
              <w:rPr>
                <w:rFonts w:ascii="Calibri" w:hAnsi="Calibri" w:cs="Calibri"/>
                <w:b/>
                <w:sz w:val="18"/>
                <w:szCs w:val="18"/>
              </w:rPr>
              <w:t>Employee benefits</w:t>
            </w:r>
            <w:r w:rsidR="00A97299" w:rsidRPr="005734B8">
              <w:rPr>
                <w:rFonts w:ascii="Calibri" w:hAnsi="Calibri" w:cs="Calibri"/>
                <w:b/>
                <w:sz w:val="18"/>
                <w:szCs w:val="18"/>
              </w:rPr>
              <w:fldChar w:fldCharType="begin"/>
            </w:r>
            <w:r w:rsidR="00A97299" w:rsidRPr="005734B8">
              <w:rPr>
                <w:rFonts w:ascii="Calibri" w:hAnsi="Calibri" w:cs="Calibri"/>
                <w:b/>
                <w:sz w:val="18"/>
                <w:szCs w:val="18"/>
              </w:rPr>
              <w:instrText xml:space="preserve"> NOTEREF _Ref78131658 \f \h  \* MERGEFORMAT </w:instrText>
            </w:r>
            <w:r w:rsidR="00A97299" w:rsidRPr="005734B8">
              <w:rPr>
                <w:rFonts w:ascii="Calibri" w:hAnsi="Calibri" w:cs="Calibri"/>
                <w:b/>
                <w:sz w:val="18"/>
                <w:szCs w:val="18"/>
              </w:rPr>
            </w:r>
            <w:r w:rsidR="00A97299" w:rsidRPr="005734B8">
              <w:rPr>
                <w:rFonts w:ascii="Calibri" w:hAnsi="Calibri" w:cs="Calibri"/>
                <w:b/>
                <w:sz w:val="18"/>
                <w:szCs w:val="18"/>
              </w:rPr>
              <w:fldChar w:fldCharType="separate"/>
            </w:r>
            <w:r w:rsidR="00F9243B" w:rsidRPr="00F9243B">
              <w:rPr>
                <w:rStyle w:val="FootnoteReference"/>
                <w:rFonts w:ascii="Calibri" w:hAnsi="Calibri" w:cs="Calibri"/>
                <w:b/>
                <w:sz w:val="18"/>
                <w:szCs w:val="18"/>
              </w:rPr>
              <w:t>81</w:t>
            </w:r>
            <w:r w:rsidR="00A97299" w:rsidRPr="005734B8">
              <w:rPr>
                <w:rFonts w:ascii="Calibri" w:hAnsi="Calibri" w:cs="Calibri"/>
                <w:b/>
                <w:sz w:val="18"/>
                <w:szCs w:val="18"/>
              </w:rPr>
              <w:fldChar w:fldCharType="end"/>
            </w:r>
            <w:r w:rsidRPr="005734B8">
              <w:rPr>
                <w:rFonts w:ascii="Calibri" w:hAnsi="Calibri" w:cs="Calibri"/>
                <w:b/>
                <w:sz w:val="18"/>
                <w:szCs w:val="18"/>
              </w:rPr>
              <w:t>—long service leave</w:t>
            </w:r>
          </w:p>
        </w:tc>
        <w:tc>
          <w:tcPr>
            <w:tcW w:w="1091" w:type="dxa"/>
            <w:tcBorders>
              <w:top w:val="nil"/>
              <w:left w:val="nil"/>
              <w:bottom w:val="single" w:sz="4" w:space="0" w:color="auto"/>
              <w:right w:val="single" w:sz="4" w:space="0" w:color="FFFFFF"/>
            </w:tcBorders>
            <w:shd w:val="clear" w:color="000000" w:fill="D9D9D9"/>
            <w:noWrap/>
            <w:vAlign w:val="center"/>
            <w:hideMark/>
          </w:tcPr>
          <w:p w14:paraId="1A4B0F7A"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w:t>
            </w:r>
          </w:p>
        </w:tc>
        <w:tc>
          <w:tcPr>
            <w:tcW w:w="1082" w:type="dxa"/>
            <w:tcBorders>
              <w:top w:val="nil"/>
              <w:left w:val="nil"/>
              <w:bottom w:val="single" w:sz="4" w:space="0" w:color="auto"/>
              <w:right w:val="single" w:sz="4" w:space="0" w:color="FFFFFF"/>
            </w:tcBorders>
            <w:shd w:val="clear" w:color="000000" w:fill="D9D9D9"/>
            <w:noWrap/>
            <w:vAlign w:val="center"/>
            <w:hideMark/>
          </w:tcPr>
          <w:p w14:paraId="4C9D72B1"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w:t>
            </w:r>
          </w:p>
        </w:tc>
      </w:tr>
      <w:tr w:rsidR="00F06229" w:rsidRPr="005734B8" w14:paraId="37E6EF00"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44BEA95C"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Unconditional and expected to be settled within 12 months</w:t>
            </w:r>
          </w:p>
        </w:tc>
        <w:tc>
          <w:tcPr>
            <w:tcW w:w="1091" w:type="dxa"/>
            <w:tcBorders>
              <w:top w:val="nil"/>
              <w:left w:val="nil"/>
              <w:bottom w:val="single" w:sz="4" w:space="0" w:color="auto"/>
              <w:right w:val="single" w:sz="4" w:space="0" w:color="FFFFFF"/>
            </w:tcBorders>
            <w:shd w:val="clear" w:color="000000" w:fill="D9D9D9"/>
            <w:noWrap/>
            <w:vAlign w:val="center"/>
            <w:hideMark/>
          </w:tcPr>
          <w:p w14:paraId="61741020"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155.3 </w:t>
            </w:r>
          </w:p>
        </w:tc>
        <w:tc>
          <w:tcPr>
            <w:tcW w:w="1082" w:type="dxa"/>
            <w:tcBorders>
              <w:top w:val="nil"/>
              <w:left w:val="nil"/>
              <w:bottom w:val="single" w:sz="4" w:space="0" w:color="auto"/>
              <w:right w:val="single" w:sz="4" w:space="0" w:color="FFFFFF"/>
            </w:tcBorders>
            <w:shd w:val="clear" w:color="FFFFFF" w:fill="FFFFFF"/>
            <w:noWrap/>
            <w:vAlign w:val="center"/>
            <w:hideMark/>
          </w:tcPr>
          <w:p w14:paraId="3C9B966F"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159.2 </w:t>
            </w:r>
          </w:p>
        </w:tc>
      </w:tr>
      <w:tr w:rsidR="00F06229" w:rsidRPr="005734B8" w14:paraId="21301702"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316BA233"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Unconditional and expected to be settled after 12 months</w:t>
            </w:r>
          </w:p>
        </w:tc>
        <w:tc>
          <w:tcPr>
            <w:tcW w:w="1091" w:type="dxa"/>
            <w:tcBorders>
              <w:top w:val="nil"/>
              <w:left w:val="nil"/>
              <w:bottom w:val="single" w:sz="4" w:space="0" w:color="auto"/>
              <w:right w:val="single" w:sz="4" w:space="0" w:color="FFFFFF"/>
            </w:tcBorders>
            <w:shd w:val="clear" w:color="000000" w:fill="D9D9D9"/>
            <w:noWrap/>
            <w:vAlign w:val="center"/>
            <w:hideMark/>
          </w:tcPr>
          <w:p w14:paraId="093A5825"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1,103.9 </w:t>
            </w:r>
          </w:p>
        </w:tc>
        <w:tc>
          <w:tcPr>
            <w:tcW w:w="1082" w:type="dxa"/>
            <w:tcBorders>
              <w:top w:val="nil"/>
              <w:left w:val="nil"/>
              <w:bottom w:val="single" w:sz="4" w:space="0" w:color="auto"/>
              <w:right w:val="single" w:sz="4" w:space="0" w:color="FFFFFF"/>
            </w:tcBorders>
            <w:shd w:val="clear" w:color="FFFFFF" w:fill="FFFFFF"/>
            <w:noWrap/>
            <w:vAlign w:val="center"/>
            <w:hideMark/>
          </w:tcPr>
          <w:p w14:paraId="1E544036"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993.5 </w:t>
            </w:r>
          </w:p>
        </w:tc>
      </w:tr>
      <w:tr w:rsidR="00F06229" w:rsidRPr="005734B8" w14:paraId="59E9C8F6"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000000" w:fill="D9D9D9"/>
            <w:vAlign w:val="center"/>
            <w:hideMark/>
          </w:tcPr>
          <w:p w14:paraId="4CEF74D4" w14:textId="6C1966D1" w:rsidR="00F06229" w:rsidRPr="005734B8" w:rsidRDefault="00F06229" w:rsidP="000F48B1">
            <w:pPr>
              <w:rPr>
                <w:rFonts w:ascii="Calibri" w:hAnsi="Calibri" w:cs="Calibri"/>
                <w:b/>
                <w:sz w:val="18"/>
                <w:szCs w:val="18"/>
              </w:rPr>
            </w:pPr>
            <w:r w:rsidRPr="005734B8">
              <w:rPr>
                <w:rFonts w:ascii="Calibri" w:hAnsi="Calibri" w:cs="Calibri"/>
                <w:b/>
                <w:sz w:val="18"/>
                <w:szCs w:val="18"/>
              </w:rPr>
              <w:t>Employee benefits</w:t>
            </w:r>
            <w:r w:rsidR="00A97299" w:rsidRPr="005734B8">
              <w:rPr>
                <w:rFonts w:ascii="Calibri" w:hAnsi="Calibri" w:cs="Calibri"/>
                <w:b/>
                <w:sz w:val="18"/>
                <w:szCs w:val="18"/>
              </w:rPr>
              <w:fldChar w:fldCharType="begin"/>
            </w:r>
            <w:r w:rsidR="00A97299" w:rsidRPr="005734B8">
              <w:rPr>
                <w:rFonts w:ascii="Calibri" w:hAnsi="Calibri" w:cs="Calibri"/>
                <w:b/>
                <w:sz w:val="18"/>
                <w:szCs w:val="18"/>
              </w:rPr>
              <w:instrText xml:space="preserve"> NOTEREF _Ref78131658 \f \h  \* MERGEFORMAT </w:instrText>
            </w:r>
            <w:r w:rsidR="00A97299" w:rsidRPr="005734B8">
              <w:rPr>
                <w:rFonts w:ascii="Calibri" w:hAnsi="Calibri" w:cs="Calibri"/>
                <w:b/>
                <w:sz w:val="18"/>
                <w:szCs w:val="18"/>
              </w:rPr>
            </w:r>
            <w:r w:rsidR="00A97299" w:rsidRPr="005734B8">
              <w:rPr>
                <w:rFonts w:ascii="Calibri" w:hAnsi="Calibri" w:cs="Calibri"/>
                <w:b/>
                <w:sz w:val="18"/>
                <w:szCs w:val="18"/>
              </w:rPr>
              <w:fldChar w:fldCharType="separate"/>
            </w:r>
            <w:r w:rsidR="00F9243B" w:rsidRPr="00F9243B">
              <w:rPr>
                <w:rStyle w:val="FootnoteReference"/>
                <w:rFonts w:ascii="Calibri" w:hAnsi="Calibri" w:cs="Calibri"/>
                <w:b/>
                <w:sz w:val="18"/>
                <w:szCs w:val="18"/>
              </w:rPr>
              <w:t>81</w:t>
            </w:r>
            <w:r w:rsidR="00A97299" w:rsidRPr="005734B8">
              <w:rPr>
                <w:rFonts w:ascii="Calibri" w:hAnsi="Calibri" w:cs="Calibri"/>
                <w:b/>
                <w:sz w:val="18"/>
                <w:szCs w:val="18"/>
              </w:rPr>
              <w:fldChar w:fldCharType="end"/>
            </w:r>
            <w:r w:rsidRPr="005734B8">
              <w:rPr>
                <w:rFonts w:ascii="Calibri" w:hAnsi="Calibri" w:cs="Calibri"/>
                <w:b/>
                <w:sz w:val="18"/>
                <w:szCs w:val="18"/>
              </w:rPr>
              <w:t>—other</w:t>
            </w:r>
          </w:p>
        </w:tc>
        <w:tc>
          <w:tcPr>
            <w:tcW w:w="1091" w:type="dxa"/>
            <w:tcBorders>
              <w:top w:val="nil"/>
              <w:left w:val="nil"/>
              <w:bottom w:val="single" w:sz="4" w:space="0" w:color="auto"/>
              <w:right w:val="single" w:sz="4" w:space="0" w:color="FFFFFF"/>
            </w:tcBorders>
            <w:shd w:val="clear" w:color="000000" w:fill="D9D9D9"/>
            <w:noWrap/>
            <w:vAlign w:val="center"/>
            <w:hideMark/>
          </w:tcPr>
          <w:p w14:paraId="1961BF56"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w:t>
            </w:r>
          </w:p>
        </w:tc>
        <w:tc>
          <w:tcPr>
            <w:tcW w:w="1082" w:type="dxa"/>
            <w:tcBorders>
              <w:top w:val="nil"/>
              <w:left w:val="nil"/>
              <w:bottom w:val="single" w:sz="4" w:space="0" w:color="auto"/>
              <w:right w:val="single" w:sz="4" w:space="0" w:color="FFFFFF"/>
            </w:tcBorders>
            <w:shd w:val="clear" w:color="000000" w:fill="D9D9D9"/>
            <w:noWrap/>
            <w:vAlign w:val="center"/>
            <w:hideMark/>
          </w:tcPr>
          <w:p w14:paraId="55F6034F"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w:t>
            </w:r>
          </w:p>
        </w:tc>
      </w:tr>
      <w:tr w:rsidR="00F06229" w:rsidRPr="005734B8" w14:paraId="3BA8B860"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78CF6858"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Other provisions</w:t>
            </w:r>
          </w:p>
        </w:tc>
        <w:tc>
          <w:tcPr>
            <w:tcW w:w="1091" w:type="dxa"/>
            <w:tcBorders>
              <w:top w:val="nil"/>
              <w:left w:val="nil"/>
              <w:bottom w:val="single" w:sz="4" w:space="0" w:color="auto"/>
              <w:right w:val="single" w:sz="4" w:space="0" w:color="FFFFFF"/>
            </w:tcBorders>
            <w:shd w:val="clear" w:color="000000" w:fill="D9D9D9"/>
            <w:noWrap/>
            <w:vAlign w:val="center"/>
            <w:hideMark/>
          </w:tcPr>
          <w:p w14:paraId="47E2F626"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1.5 </w:t>
            </w:r>
          </w:p>
        </w:tc>
        <w:tc>
          <w:tcPr>
            <w:tcW w:w="1082" w:type="dxa"/>
            <w:tcBorders>
              <w:top w:val="nil"/>
              <w:left w:val="nil"/>
              <w:bottom w:val="single" w:sz="4" w:space="0" w:color="auto"/>
              <w:right w:val="single" w:sz="4" w:space="0" w:color="FFFFFF"/>
            </w:tcBorders>
            <w:shd w:val="clear" w:color="FFFFFF" w:fill="FFFFFF"/>
            <w:noWrap/>
            <w:vAlign w:val="center"/>
            <w:hideMark/>
          </w:tcPr>
          <w:p w14:paraId="6909E525"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1.2 </w:t>
            </w:r>
          </w:p>
        </w:tc>
      </w:tr>
      <w:tr w:rsidR="00F06229" w:rsidRPr="005734B8" w14:paraId="1E4CC060"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2B5FEFC"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Total</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2B03E7A9"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1,391.7 </w:t>
            </w:r>
          </w:p>
        </w:tc>
        <w:tc>
          <w:tcPr>
            <w:tcW w:w="1082" w:type="dxa"/>
            <w:tcBorders>
              <w:top w:val="single" w:sz="12" w:space="0" w:color="auto"/>
              <w:left w:val="nil"/>
              <w:bottom w:val="single" w:sz="12" w:space="0" w:color="auto"/>
              <w:right w:val="single" w:sz="12" w:space="0" w:color="FFFFFF"/>
            </w:tcBorders>
            <w:shd w:val="clear" w:color="FFFFFF" w:fill="FFFFFF"/>
            <w:noWrap/>
            <w:vAlign w:val="center"/>
            <w:hideMark/>
          </w:tcPr>
          <w:p w14:paraId="4FDAF744"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1,287.5 </w:t>
            </w:r>
          </w:p>
        </w:tc>
      </w:tr>
      <w:tr w:rsidR="00F06229" w:rsidRPr="005734B8" w14:paraId="76028137" w14:textId="77777777" w:rsidTr="000F48B1">
        <w:trPr>
          <w:trHeight w:val="270"/>
        </w:trPr>
        <w:tc>
          <w:tcPr>
            <w:tcW w:w="5452"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017CE018"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Provisions related to employee benefit on-costs</w:t>
            </w:r>
          </w:p>
        </w:tc>
        <w:tc>
          <w:tcPr>
            <w:tcW w:w="1091" w:type="dxa"/>
            <w:tcBorders>
              <w:top w:val="single" w:sz="4" w:space="0" w:color="auto"/>
              <w:left w:val="nil"/>
              <w:bottom w:val="single" w:sz="4" w:space="0" w:color="auto"/>
              <w:right w:val="single" w:sz="4" w:space="0" w:color="FFFFFF"/>
            </w:tcBorders>
            <w:shd w:val="clear" w:color="000000" w:fill="D9D9D9"/>
            <w:noWrap/>
            <w:vAlign w:val="center"/>
            <w:hideMark/>
          </w:tcPr>
          <w:p w14:paraId="2EADBB8E"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w:t>
            </w:r>
          </w:p>
        </w:tc>
        <w:tc>
          <w:tcPr>
            <w:tcW w:w="1082" w:type="dxa"/>
            <w:tcBorders>
              <w:top w:val="single" w:sz="4" w:space="0" w:color="auto"/>
              <w:left w:val="nil"/>
              <w:bottom w:val="single" w:sz="4" w:space="0" w:color="auto"/>
              <w:right w:val="single" w:sz="4" w:space="0" w:color="FFFFFF"/>
            </w:tcBorders>
            <w:shd w:val="clear" w:color="000000" w:fill="D9D9D9"/>
            <w:noWrap/>
            <w:vAlign w:val="center"/>
            <w:hideMark/>
          </w:tcPr>
          <w:p w14:paraId="5A011153"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w:t>
            </w:r>
          </w:p>
        </w:tc>
      </w:tr>
      <w:tr w:rsidR="00F06229" w:rsidRPr="005734B8" w14:paraId="6C1453D4" w14:textId="77777777" w:rsidTr="000F48B1">
        <w:trPr>
          <w:trHeight w:val="255"/>
        </w:trPr>
        <w:tc>
          <w:tcPr>
            <w:tcW w:w="5452" w:type="dxa"/>
            <w:tcBorders>
              <w:top w:val="nil"/>
              <w:left w:val="nil"/>
              <w:bottom w:val="single" w:sz="4" w:space="0" w:color="auto"/>
              <w:right w:val="nil"/>
            </w:tcBorders>
            <w:shd w:val="clear" w:color="FFFFFF" w:fill="FFFFFF"/>
            <w:vAlign w:val="center"/>
            <w:hideMark/>
          </w:tcPr>
          <w:p w14:paraId="59241E41"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Unconditional and expected to be settled within 12 months</w:t>
            </w:r>
          </w:p>
        </w:tc>
        <w:tc>
          <w:tcPr>
            <w:tcW w:w="1091" w:type="dxa"/>
            <w:tcBorders>
              <w:top w:val="nil"/>
              <w:left w:val="single" w:sz="4" w:space="0" w:color="FFFFFF"/>
              <w:bottom w:val="single" w:sz="4" w:space="0" w:color="auto"/>
              <w:right w:val="single" w:sz="4" w:space="0" w:color="FFFFFF"/>
            </w:tcBorders>
            <w:shd w:val="clear" w:color="000000" w:fill="D9D9D9"/>
            <w:noWrap/>
            <w:vAlign w:val="center"/>
            <w:hideMark/>
          </w:tcPr>
          <w:p w14:paraId="59A98671"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43.3 </w:t>
            </w:r>
          </w:p>
        </w:tc>
        <w:tc>
          <w:tcPr>
            <w:tcW w:w="1082" w:type="dxa"/>
            <w:tcBorders>
              <w:top w:val="nil"/>
              <w:left w:val="nil"/>
              <w:bottom w:val="single" w:sz="4" w:space="0" w:color="auto"/>
              <w:right w:val="single" w:sz="4" w:space="0" w:color="FFFFFF"/>
            </w:tcBorders>
            <w:shd w:val="clear" w:color="FFFFFF" w:fill="FFFFFF"/>
            <w:noWrap/>
            <w:vAlign w:val="center"/>
            <w:hideMark/>
          </w:tcPr>
          <w:p w14:paraId="57978D4B"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41.9 </w:t>
            </w:r>
          </w:p>
        </w:tc>
      </w:tr>
      <w:tr w:rsidR="00F06229" w:rsidRPr="005734B8" w14:paraId="724C9B1B" w14:textId="77777777" w:rsidTr="000F48B1">
        <w:trPr>
          <w:trHeight w:val="270"/>
        </w:trPr>
        <w:tc>
          <w:tcPr>
            <w:tcW w:w="5452" w:type="dxa"/>
            <w:tcBorders>
              <w:top w:val="nil"/>
              <w:left w:val="nil"/>
              <w:bottom w:val="single" w:sz="4" w:space="0" w:color="auto"/>
              <w:right w:val="nil"/>
            </w:tcBorders>
            <w:shd w:val="clear" w:color="FFFFFF" w:fill="FFFFFF"/>
            <w:vAlign w:val="center"/>
            <w:hideMark/>
          </w:tcPr>
          <w:p w14:paraId="62E0E732"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Unconditional and expected to be settled after 12 months</w:t>
            </w:r>
          </w:p>
        </w:tc>
        <w:tc>
          <w:tcPr>
            <w:tcW w:w="1091" w:type="dxa"/>
            <w:tcBorders>
              <w:top w:val="nil"/>
              <w:left w:val="single" w:sz="4" w:space="0" w:color="FFFFFF"/>
              <w:bottom w:val="single" w:sz="4" w:space="0" w:color="auto"/>
              <w:right w:val="single" w:sz="4" w:space="0" w:color="FFFFFF"/>
            </w:tcBorders>
            <w:shd w:val="clear" w:color="000000" w:fill="D9D9D9"/>
            <w:noWrap/>
            <w:vAlign w:val="center"/>
            <w:hideMark/>
          </w:tcPr>
          <w:p w14:paraId="69125AAE"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222.9 </w:t>
            </w:r>
          </w:p>
        </w:tc>
        <w:tc>
          <w:tcPr>
            <w:tcW w:w="1082" w:type="dxa"/>
            <w:tcBorders>
              <w:top w:val="nil"/>
              <w:left w:val="nil"/>
              <w:bottom w:val="single" w:sz="4" w:space="0" w:color="auto"/>
              <w:right w:val="single" w:sz="4" w:space="0" w:color="FFFFFF"/>
            </w:tcBorders>
            <w:shd w:val="clear" w:color="FFFFFF" w:fill="FFFFFF"/>
            <w:noWrap/>
            <w:vAlign w:val="center"/>
            <w:hideMark/>
          </w:tcPr>
          <w:p w14:paraId="002DA62C"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165.0 </w:t>
            </w:r>
          </w:p>
        </w:tc>
      </w:tr>
      <w:tr w:rsidR="00F06229" w:rsidRPr="005734B8" w14:paraId="0300DF09"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FE752B1"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Total</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685C5080"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266.2 </w:t>
            </w:r>
          </w:p>
        </w:tc>
        <w:tc>
          <w:tcPr>
            <w:tcW w:w="1082" w:type="dxa"/>
            <w:tcBorders>
              <w:top w:val="single" w:sz="12" w:space="0" w:color="auto"/>
              <w:left w:val="nil"/>
              <w:bottom w:val="single" w:sz="12" w:space="0" w:color="auto"/>
              <w:right w:val="single" w:sz="12" w:space="0" w:color="FFFFFF"/>
            </w:tcBorders>
            <w:shd w:val="clear" w:color="FFFFFF" w:fill="FFFFFF"/>
            <w:noWrap/>
            <w:vAlign w:val="center"/>
            <w:hideMark/>
          </w:tcPr>
          <w:p w14:paraId="3889369C"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206.9 </w:t>
            </w:r>
          </w:p>
        </w:tc>
      </w:tr>
      <w:tr w:rsidR="00F06229" w:rsidRPr="005734B8" w14:paraId="491D700C" w14:textId="77777777" w:rsidTr="000F48B1">
        <w:trPr>
          <w:trHeight w:val="300"/>
        </w:trPr>
        <w:tc>
          <w:tcPr>
            <w:tcW w:w="5452" w:type="dxa"/>
            <w:tcBorders>
              <w:top w:val="single" w:sz="4" w:space="0" w:color="auto"/>
              <w:left w:val="nil"/>
              <w:bottom w:val="single" w:sz="4" w:space="0" w:color="auto"/>
              <w:right w:val="nil"/>
            </w:tcBorders>
            <w:shd w:val="clear" w:color="FFFFFF" w:fill="FFFFFF"/>
            <w:vAlign w:val="center"/>
            <w:hideMark/>
          </w:tcPr>
          <w:p w14:paraId="53790002" w14:textId="61F58C18" w:rsidR="00F06229" w:rsidRPr="005734B8" w:rsidRDefault="00F06229" w:rsidP="000F48B1">
            <w:pPr>
              <w:rPr>
                <w:rFonts w:ascii="Calibri" w:hAnsi="Calibri" w:cs="Calibri"/>
                <w:sz w:val="18"/>
                <w:szCs w:val="18"/>
              </w:rPr>
            </w:pPr>
            <w:r w:rsidRPr="005734B8">
              <w:rPr>
                <w:rFonts w:ascii="Calibri" w:hAnsi="Calibri" w:cs="Calibri"/>
                <w:sz w:val="18"/>
                <w:szCs w:val="18"/>
              </w:rPr>
              <w:t xml:space="preserve">Other </w:t>
            </w:r>
            <w:r w:rsidR="00B15F9A" w:rsidRPr="005734B8">
              <w:rPr>
                <w:rFonts w:ascii="Calibri" w:hAnsi="Calibri" w:cs="Calibri"/>
                <w:sz w:val="18"/>
                <w:szCs w:val="18"/>
              </w:rPr>
              <w:t>–</w:t>
            </w:r>
            <w:r w:rsidRPr="005734B8">
              <w:rPr>
                <w:rFonts w:ascii="Calibri" w:hAnsi="Calibri" w:cs="Calibri"/>
                <w:sz w:val="18"/>
                <w:szCs w:val="18"/>
              </w:rPr>
              <w:t xml:space="preserve"> make good and refunds/reimbursements</w:t>
            </w:r>
            <w:bookmarkStart w:id="1329" w:name="_Ref78131658"/>
            <w:r w:rsidRPr="005734B8">
              <w:rPr>
                <w:rStyle w:val="FootnoteReference"/>
                <w:rFonts w:ascii="Calibri" w:hAnsi="Calibri" w:cs="Calibri"/>
                <w:sz w:val="18"/>
                <w:szCs w:val="18"/>
              </w:rPr>
              <w:footnoteReference w:id="82"/>
            </w:r>
            <w:bookmarkEnd w:id="1329"/>
          </w:p>
        </w:tc>
        <w:tc>
          <w:tcPr>
            <w:tcW w:w="1091" w:type="dxa"/>
            <w:tcBorders>
              <w:top w:val="single" w:sz="4" w:space="0" w:color="auto"/>
              <w:left w:val="single" w:sz="4" w:space="0" w:color="FFFFFF"/>
              <w:bottom w:val="single" w:sz="4" w:space="0" w:color="auto"/>
              <w:right w:val="single" w:sz="4" w:space="0" w:color="FFFFFF"/>
            </w:tcBorders>
            <w:shd w:val="clear" w:color="000000" w:fill="D9D9D9"/>
            <w:noWrap/>
            <w:vAlign w:val="center"/>
            <w:hideMark/>
          </w:tcPr>
          <w:p w14:paraId="64023F38"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2.0 </w:t>
            </w:r>
          </w:p>
        </w:tc>
        <w:tc>
          <w:tcPr>
            <w:tcW w:w="1082" w:type="dxa"/>
            <w:tcBorders>
              <w:top w:val="single" w:sz="4" w:space="0" w:color="auto"/>
              <w:left w:val="nil"/>
              <w:bottom w:val="single" w:sz="4" w:space="0" w:color="auto"/>
              <w:right w:val="single" w:sz="4" w:space="0" w:color="FFFFFF"/>
            </w:tcBorders>
            <w:shd w:val="clear" w:color="FFFFFF" w:fill="FFFFFF"/>
            <w:noWrap/>
            <w:vAlign w:val="center"/>
            <w:hideMark/>
          </w:tcPr>
          <w:p w14:paraId="454026CD"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2.7 </w:t>
            </w:r>
          </w:p>
        </w:tc>
      </w:tr>
      <w:tr w:rsidR="00F06229" w:rsidRPr="005734B8" w14:paraId="4500CB80"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9605394"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Total current provisions</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4F7318BA"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1,659.9 </w:t>
            </w:r>
          </w:p>
        </w:tc>
        <w:tc>
          <w:tcPr>
            <w:tcW w:w="1082" w:type="dxa"/>
            <w:tcBorders>
              <w:top w:val="single" w:sz="12" w:space="0" w:color="auto"/>
              <w:left w:val="nil"/>
              <w:bottom w:val="single" w:sz="12" w:space="0" w:color="auto"/>
              <w:right w:val="single" w:sz="12" w:space="0" w:color="FFFFFF"/>
            </w:tcBorders>
            <w:shd w:val="clear" w:color="FFFFFF" w:fill="FFFFFF"/>
            <w:noWrap/>
            <w:vAlign w:val="center"/>
            <w:hideMark/>
          </w:tcPr>
          <w:p w14:paraId="0D8867BF"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1,497.1 </w:t>
            </w:r>
          </w:p>
        </w:tc>
      </w:tr>
      <w:tr w:rsidR="00F06229" w:rsidRPr="005734B8" w14:paraId="5ACC586E"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000000" w:fill="53565A"/>
            <w:vAlign w:val="center"/>
            <w:hideMark/>
          </w:tcPr>
          <w:p w14:paraId="4A8BC16B" w14:textId="77777777" w:rsidR="00F06229" w:rsidRPr="005734B8" w:rsidRDefault="00F06229" w:rsidP="000F48B1">
            <w:pPr>
              <w:rPr>
                <w:rFonts w:ascii="Calibri" w:hAnsi="Calibri" w:cs="Calibri"/>
                <w:b/>
                <w:color w:val="FFFFFF"/>
                <w:sz w:val="18"/>
                <w:szCs w:val="18"/>
              </w:rPr>
            </w:pPr>
            <w:r w:rsidRPr="005734B8">
              <w:rPr>
                <w:rFonts w:ascii="Calibri" w:hAnsi="Calibri" w:cs="Calibri"/>
                <w:b/>
                <w:color w:val="FFFFFF"/>
                <w:sz w:val="18"/>
                <w:szCs w:val="18"/>
              </w:rPr>
              <w:t>Non-current provisions</w:t>
            </w:r>
          </w:p>
        </w:tc>
        <w:tc>
          <w:tcPr>
            <w:tcW w:w="1091" w:type="dxa"/>
            <w:tcBorders>
              <w:top w:val="nil"/>
              <w:left w:val="nil"/>
              <w:bottom w:val="single" w:sz="4" w:space="0" w:color="auto"/>
              <w:right w:val="single" w:sz="4" w:space="0" w:color="FFFFFF"/>
            </w:tcBorders>
            <w:shd w:val="clear" w:color="000000" w:fill="53565A"/>
            <w:vAlign w:val="center"/>
            <w:hideMark/>
          </w:tcPr>
          <w:p w14:paraId="6E88107E" w14:textId="77777777" w:rsidR="00F06229" w:rsidRPr="005734B8" w:rsidRDefault="00F06229" w:rsidP="000F48B1">
            <w:pPr>
              <w:rPr>
                <w:rFonts w:ascii="Calibri" w:hAnsi="Calibri" w:cs="Calibri"/>
                <w:b/>
                <w:color w:val="FFFFFF"/>
                <w:sz w:val="18"/>
                <w:szCs w:val="18"/>
              </w:rPr>
            </w:pPr>
            <w:r w:rsidRPr="005734B8">
              <w:rPr>
                <w:rFonts w:ascii="Calibri" w:hAnsi="Calibri" w:cs="Calibri"/>
                <w:b/>
                <w:color w:val="FFFFFF"/>
                <w:sz w:val="18"/>
                <w:szCs w:val="18"/>
              </w:rPr>
              <w:t> </w:t>
            </w:r>
          </w:p>
        </w:tc>
        <w:tc>
          <w:tcPr>
            <w:tcW w:w="1082" w:type="dxa"/>
            <w:tcBorders>
              <w:top w:val="nil"/>
              <w:left w:val="nil"/>
              <w:bottom w:val="single" w:sz="4" w:space="0" w:color="auto"/>
              <w:right w:val="single" w:sz="4" w:space="0" w:color="FFFFFF"/>
            </w:tcBorders>
            <w:shd w:val="clear" w:color="000000" w:fill="53565A"/>
            <w:vAlign w:val="center"/>
            <w:hideMark/>
          </w:tcPr>
          <w:p w14:paraId="74ED9DD1" w14:textId="77777777" w:rsidR="00F06229" w:rsidRPr="005734B8" w:rsidRDefault="00F06229" w:rsidP="000F48B1">
            <w:pPr>
              <w:rPr>
                <w:rFonts w:ascii="Calibri" w:hAnsi="Calibri" w:cs="Calibri"/>
                <w:b/>
                <w:color w:val="FFFFFF"/>
                <w:sz w:val="18"/>
                <w:szCs w:val="18"/>
              </w:rPr>
            </w:pPr>
            <w:r w:rsidRPr="005734B8">
              <w:rPr>
                <w:rFonts w:ascii="Calibri" w:hAnsi="Calibri" w:cs="Calibri"/>
                <w:b/>
                <w:color w:val="FFFFFF"/>
                <w:sz w:val="18"/>
                <w:szCs w:val="18"/>
              </w:rPr>
              <w:t> </w:t>
            </w:r>
          </w:p>
        </w:tc>
      </w:tr>
      <w:tr w:rsidR="00F06229" w:rsidRPr="005734B8" w14:paraId="1B28C24D"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6C695763" w14:textId="448EB217" w:rsidR="00F06229" w:rsidRPr="005734B8" w:rsidRDefault="00F06229" w:rsidP="000F48B1">
            <w:pPr>
              <w:rPr>
                <w:rFonts w:ascii="Calibri" w:hAnsi="Calibri" w:cs="Calibri"/>
                <w:sz w:val="18"/>
                <w:szCs w:val="18"/>
              </w:rPr>
            </w:pPr>
            <w:r w:rsidRPr="005734B8">
              <w:rPr>
                <w:rFonts w:ascii="Calibri" w:hAnsi="Calibri" w:cs="Calibri"/>
                <w:sz w:val="18"/>
                <w:szCs w:val="18"/>
              </w:rPr>
              <w:t>Employee benefits</w:t>
            </w:r>
            <w:r w:rsidR="00A97299" w:rsidRPr="005734B8">
              <w:rPr>
                <w:rFonts w:ascii="Calibri" w:hAnsi="Calibri" w:cs="Calibri"/>
                <w:sz w:val="18"/>
                <w:szCs w:val="18"/>
              </w:rPr>
              <w:fldChar w:fldCharType="begin"/>
            </w:r>
            <w:r w:rsidR="00A97299" w:rsidRPr="005734B8">
              <w:rPr>
                <w:rFonts w:ascii="Calibri" w:hAnsi="Calibri" w:cs="Calibri"/>
                <w:sz w:val="18"/>
                <w:szCs w:val="18"/>
              </w:rPr>
              <w:instrText xml:space="preserve"> NOTEREF _Ref78131658 \f \h  \* MERGEFORMAT </w:instrText>
            </w:r>
            <w:r w:rsidR="00A97299" w:rsidRPr="005734B8">
              <w:rPr>
                <w:rFonts w:ascii="Calibri" w:hAnsi="Calibri" w:cs="Calibri"/>
                <w:sz w:val="18"/>
                <w:szCs w:val="18"/>
              </w:rPr>
            </w:r>
            <w:r w:rsidR="00A97299" w:rsidRPr="005734B8">
              <w:rPr>
                <w:rFonts w:ascii="Calibri" w:hAnsi="Calibri" w:cs="Calibri"/>
                <w:sz w:val="18"/>
                <w:szCs w:val="18"/>
              </w:rPr>
              <w:fldChar w:fldCharType="separate"/>
            </w:r>
            <w:r w:rsidR="00F9243B" w:rsidRPr="00F9243B">
              <w:rPr>
                <w:rStyle w:val="FootnoteReference"/>
                <w:rFonts w:ascii="Calibri" w:hAnsi="Calibri" w:cs="Calibri"/>
                <w:sz w:val="18"/>
                <w:szCs w:val="18"/>
              </w:rPr>
              <w:t>81</w:t>
            </w:r>
            <w:r w:rsidR="00A97299" w:rsidRPr="005734B8">
              <w:rPr>
                <w:rFonts w:ascii="Calibri" w:hAnsi="Calibri" w:cs="Calibri"/>
                <w:sz w:val="18"/>
                <w:szCs w:val="18"/>
              </w:rPr>
              <w:fldChar w:fldCharType="end"/>
            </w:r>
          </w:p>
        </w:tc>
        <w:tc>
          <w:tcPr>
            <w:tcW w:w="1091" w:type="dxa"/>
            <w:tcBorders>
              <w:top w:val="nil"/>
              <w:left w:val="nil"/>
              <w:bottom w:val="single" w:sz="4" w:space="0" w:color="auto"/>
              <w:right w:val="single" w:sz="4" w:space="0" w:color="FFFFFF"/>
            </w:tcBorders>
            <w:shd w:val="clear" w:color="000000" w:fill="D9D9D9"/>
            <w:noWrap/>
            <w:vAlign w:val="center"/>
            <w:hideMark/>
          </w:tcPr>
          <w:p w14:paraId="204A7298"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264.6 </w:t>
            </w:r>
          </w:p>
        </w:tc>
        <w:tc>
          <w:tcPr>
            <w:tcW w:w="1082" w:type="dxa"/>
            <w:tcBorders>
              <w:top w:val="nil"/>
              <w:left w:val="nil"/>
              <w:bottom w:val="single" w:sz="4" w:space="0" w:color="auto"/>
              <w:right w:val="single" w:sz="4" w:space="0" w:color="FFFFFF"/>
            </w:tcBorders>
            <w:shd w:val="clear" w:color="FFFFFF" w:fill="FFFFFF"/>
            <w:noWrap/>
            <w:vAlign w:val="center"/>
            <w:hideMark/>
          </w:tcPr>
          <w:p w14:paraId="631AEDFC"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260.2 </w:t>
            </w:r>
          </w:p>
        </w:tc>
      </w:tr>
      <w:tr w:rsidR="00F06229" w:rsidRPr="005734B8" w14:paraId="11B8CE32"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05B2D114"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Other on-costs related to employee benefits</w:t>
            </w:r>
          </w:p>
        </w:tc>
        <w:tc>
          <w:tcPr>
            <w:tcW w:w="1091" w:type="dxa"/>
            <w:tcBorders>
              <w:top w:val="nil"/>
              <w:left w:val="nil"/>
              <w:bottom w:val="single" w:sz="4" w:space="0" w:color="auto"/>
              <w:right w:val="single" w:sz="4" w:space="0" w:color="FFFFFF"/>
            </w:tcBorders>
            <w:shd w:val="clear" w:color="000000" w:fill="D9D9D9"/>
            <w:noWrap/>
            <w:vAlign w:val="center"/>
            <w:hideMark/>
          </w:tcPr>
          <w:p w14:paraId="380B9C38"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50.7 </w:t>
            </w:r>
          </w:p>
        </w:tc>
        <w:tc>
          <w:tcPr>
            <w:tcW w:w="1082" w:type="dxa"/>
            <w:tcBorders>
              <w:top w:val="nil"/>
              <w:left w:val="nil"/>
              <w:bottom w:val="single" w:sz="4" w:space="0" w:color="auto"/>
              <w:right w:val="single" w:sz="4" w:space="0" w:color="FFFFFF"/>
            </w:tcBorders>
            <w:shd w:val="clear" w:color="FFFFFF" w:fill="FFFFFF"/>
            <w:noWrap/>
            <w:vAlign w:val="center"/>
            <w:hideMark/>
          </w:tcPr>
          <w:p w14:paraId="3074F3C6"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42.7 </w:t>
            </w:r>
          </w:p>
        </w:tc>
      </w:tr>
      <w:tr w:rsidR="00F06229" w:rsidRPr="005734B8" w14:paraId="63A6BA9D"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9CB10C7"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Total</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7E4FA078"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315.3 </w:t>
            </w:r>
          </w:p>
        </w:tc>
        <w:tc>
          <w:tcPr>
            <w:tcW w:w="1082" w:type="dxa"/>
            <w:tcBorders>
              <w:top w:val="single" w:sz="12" w:space="0" w:color="auto"/>
              <w:left w:val="nil"/>
              <w:bottom w:val="single" w:sz="12" w:space="0" w:color="auto"/>
              <w:right w:val="single" w:sz="12" w:space="0" w:color="FFFFFF"/>
            </w:tcBorders>
            <w:shd w:val="clear" w:color="FFFFFF" w:fill="FFFFFF"/>
            <w:noWrap/>
            <w:vAlign w:val="center"/>
            <w:hideMark/>
          </w:tcPr>
          <w:p w14:paraId="4FCC174D"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302.9 </w:t>
            </w:r>
          </w:p>
        </w:tc>
      </w:tr>
      <w:tr w:rsidR="00F06229" w:rsidRPr="005734B8" w14:paraId="610CA9D8" w14:textId="77777777" w:rsidTr="000F48B1">
        <w:trPr>
          <w:trHeight w:val="285"/>
        </w:trPr>
        <w:tc>
          <w:tcPr>
            <w:tcW w:w="5452"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0E520A7B" w14:textId="3152E50A" w:rsidR="00F06229" w:rsidRPr="005734B8" w:rsidRDefault="00F06229" w:rsidP="000F48B1">
            <w:pPr>
              <w:rPr>
                <w:rFonts w:ascii="Calibri" w:hAnsi="Calibri" w:cs="Calibri"/>
                <w:sz w:val="18"/>
                <w:szCs w:val="18"/>
              </w:rPr>
            </w:pPr>
            <w:r w:rsidRPr="005734B8">
              <w:rPr>
                <w:rFonts w:ascii="Calibri" w:hAnsi="Calibri" w:cs="Calibri"/>
                <w:sz w:val="18"/>
                <w:szCs w:val="18"/>
              </w:rPr>
              <w:t xml:space="preserve">Other </w:t>
            </w:r>
            <w:r w:rsidR="00B15F9A" w:rsidRPr="005734B8">
              <w:rPr>
                <w:rFonts w:ascii="Calibri" w:hAnsi="Calibri" w:cs="Calibri"/>
                <w:sz w:val="18"/>
                <w:szCs w:val="18"/>
              </w:rPr>
              <w:t>–</w:t>
            </w:r>
            <w:r w:rsidRPr="005734B8">
              <w:rPr>
                <w:rFonts w:ascii="Calibri" w:hAnsi="Calibri" w:cs="Calibri"/>
                <w:sz w:val="18"/>
                <w:szCs w:val="18"/>
              </w:rPr>
              <w:t xml:space="preserve"> make good</w:t>
            </w:r>
            <w:r w:rsidR="00BA00EE" w:rsidRPr="005734B8">
              <w:rPr>
                <w:rFonts w:ascii="Calibri" w:hAnsi="Calibri" w:cs="Calibri"/>
                <w:sz w:val="18"/>
                <w:szCs w:val="18"/>
                <w:vertAlign w:val="superscript"/>
              </w:rPr>
              <w:t>81</w:t>
            </w:r>
            <w:r w:rsidRPr="005734B8">
              <w:rPr>
                <w:rFonts w:ascii="Calibri" w:hAnsi="Calibri" w:cs="Calibri"/>
                <w:sz w:val="18"/>
                <w:szCs w:val="18"/>
              </w:rPr>
              <w:fldChar w:fldCharType="begin"/>
            </w:r>
            <w:r w:rsidRPr="005734B8">
              <w:rPr>
                <w:rFonts w:ascii="Calibri" w:hAnsi="Calibri" w:cs="Calibri"/>
                <w:sz w:val="18"/>
                <w:szCs w:val="18"/>
              </w:rPr>
              <w:instrText xml:space="preserve"> NOTEREF _Ref78131658 \f \h </w:instrText>
            </w:r>
            <w:r w:rsidR="00F1540A" w:rsidRPr="005734B8">
              <w:rPr>
                <w:rFonts w:ascii="Calibri" w:hAnsi="Calibri" w:cs="Calibri"/>
                <w:sz w:val="18"/>
                <w:szCs w:val="18"/>
              </w:rPr>
              <w:instrText xml:space="preserve"> \* MERGEFORMAT </w:instrText>
            </w:r>
            <w:r w:rsidRPr="005734B8">
              <w:rPr>
                <w:rFonts w:ascii="Calibri" w:hAnsi="Calibri" w:cs="Calibri"/>
                <w:sz w:val="18"/>
                <w:szCs w:val="18"/>
              </w:rPr>
            </w:r>
            <w:r w:rsidRPr="005734B8">
              <w:rPr>
                <w:rFonts w:ascii="Calibri" w:hAnsi="Calibri" w:cs="Calibri"/>
                <w:sz w:val="18"/>
                <w:szCs w:val="18"/>
              </w:rPr>
              <w:fldChar w:fldCharType="separate"/>
            </w:r>
            <w:r w:rsidR="00F9243B" w:rsidRPr="00F9243B">
              <w:rPr>
                <w:rStyle w:val="FootnoteReference"/>
              </w:rPr>
              <w:t>81</w:t>
            </w:r>
            <w:r w:rsidRPr="005734B8">
              <w:rPr>
                <w:rFonts w:ascii="Calibri" w:hAnsi="Calibri" w:cs="Calibri"/>
                <w:sz w:val="18"/>
                <w:szCs w:val="18"/>
              </w:rPr>
              <w:fldChar w:fldCharType="end"/>
            </w:r>
          </w:p>
        </w:tc>
        <w:tc>
          <w:tcPr>
            <w:tcW w:w="1091" w:type="dxa"/>
            <w:tcBorders>
              <w:top w:val="single" w:sz="4" w:space="0" w:color="auto"/>
              <w:left w:val="nil"/>
              <w:bottom w:val="single" w:sz="4" w:space="0" w:color="auto"/>
              <w:right w:val="single" w:sz="4" w:space="0" w:color="FFFFFF"/>
            </w:tcBorders>
            <w:shd w:val="clear" w:color="000000" w:fill="D9D9D9"/>
            <w:noWrap/>
            <w:vAlign w:val="center"/>
            <w:hideMark/>
          </w:tcPr>
          <w:p w14:paraId="7C68C44E"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5.6 </w:t>
            </w:r>
          </w:p>
        </w:tc>
        <w:tc>
          <w:tcPr>
            <w:tcW w:w="1082" w:type="dxa"/>
            <w:tcBorders>
              <w:top w:val="single" w:sz="4" w:space="0" w:color="auto"/>
              <w:left w:val="nil"/>
              <w:bottom w:val="single" w:sz="4" w:space="0" w:color="auto"/>
              <w:right w:val="single" w:sz="4" w:space="0" w:color="FFFFFF"/>
            </w:tcBorders>
            <w:shd w:val="clear" w:color="FFFFFF" w:fill="FFFFFF"/>
            <w:noWrap/>
            <w:vAlign w:val="center"/>
            <w:hideMark/>
          </w:tcPr>
          <w:p w14:paraId="5A3FEA4E"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4.1 </w:t>
            </w:r>
          </w:p>
        </w:tc>
      </w:tr>
      <w:tr w:rsidR="00F06229" w:rsidRPr="005734B8" w14:paraId="7CE6008E"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DDCB8CF"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 xml:space="preserve">Total non-current provisions </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7AAA1E8"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320.9 </w:t>
            </w:r>
          </w:p>
        </w:tc>
        <w:tc>
          <w:tcPr>
            <w:tcW w:w="1082" w:type="dxa"/>
            <w:tcBorders>
              <w:top w:val="single" w:sz="12" w:space="0" w:color="auto"/>
              <w:left w:val="nil"/>
              <w:bottom w:val="single" w:sz="12" w:space="0" w:color="auto"/>
              <w:right w:val="single" w:sz="12" w:space="0" w:color="FFFFFF"/>
            </w:tcBorders>
            <w:shd w:val="clear" w:color="FFFFFF" w:fill="FFFFFF"/>
            <w:noWrap/>
            <w:vAlign w:val="center"/>
            <w:hideMark/>
          </w:tcPr>
          <w:p w14:paraId="481230C6"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307.0 </w:t>
            </w:r>
          </w:p>
        </w:tc>
      </w:tr>
      <w:tr w:rsidR="00F06229" w:rsidRPr="005734B8" w14:paraId="481A3099" w14:textId="77777777" w:rsidTr="000F48B1">
        <w:trPr>
          <w:trHeight w:val="285"/>
        </w:trPr>
        <w:tc>
          <w:tcPr>
            <w:tcW w:w="5452" w:type="dxa"/>
            <w:tcBorders>
              <w:top w:val="nil"/>
              <w:left w:val="single" w:sz="12" w:space="0" w:color="FFFFFF"/>
              <w:bottom w:val="single" w:sz="12" w:space="0" w:color="auto"/>
              <w:right w:val="single" w:sz="12" w:space="0" w:color="FFFFFF"/>
            </w:tcBorders>
            <w:shd w:val="clear" w:color="FFFFFF" w:fill="FFFFFF"/>
            <w:vAlign w:val="center"/>
            <w:hideMark/>
          </w:tcPr>
          <w:p w14:paraId="1EB0459E"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Total provisions</w:t>
            </w:r>
          </w:p>
        </w:tc>
        <w:tc>
          <w:tcPr>
            <w:tcW w:w="1091" w:type="dxa"/>
            <w:tcBorders>
              <w:top w:val="nil"/>
              <w:left w:val="single" w:sz="4" w:space="0" w:color="FFFFFF"/>
              <w:bottom w:val="single" w:sz="12" w:space="0" w:color="auto"/>
              <w:right w:val="single" w:sz="4" w:space="0" w:color="FFFFFF"/>
            </w:tcBorders>
            <w:shd w:val="clear" w:color="000000" w:fill="D9D9D9"/>
            <w:noWrap/>
            <w:vAlign w:val="center"/>
            <w:hideMark/>
          </w:tcPr>
          <w:p w14:paraId="6B6B85F4"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1,980.8 </w:t>
            </w:r>
          </w:p>
        </w:tc>
        <w:tc>
          <w:tcPr>
            <w:tcW w:w="1082" w:type="dxa"/>
            <w:tcBorders>
              <w:top w:val="nil"/>
              <w:left w:val="nil"/>
              <w:bottom w:val="single" w:sz="12" w:space="0" w:color="auto"/>
              <w:right w:val="single" w:sz="12" w:space="0" w:color="FFFFFF"/>
            </w:tcBorders>
            <w:shd w:val="clear" w:color="FFFFFF" w:fill="FFFFFF"/>
            <w:noWrap/>
            <w:vAlign w:val="center"/>
            <w:hideMark/>
          </w:tcPr>
          <w:p w14:paraId="16FECD64"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1,804.1 </w:t>
            </w:r>
          </w:p>
        </w:tc>
      </w:tr>
    </w:tbl>
    <w:p w14:paraId="4F5B8CB6" w14:textId="77777777" w:rsidR="00F06229" w:rsidRPr="005734B8" w:rsidRDefault="00F06229" w:rsidP="002D345C">
      <w:pPr>
        <w:pStyle w:val="ESHeading3"/>
        <w:ind w:left="0" w:firstLine="0"/>
        <w:rPr>
          <w:rFonts w:ascii="Calibri" w:hAnsi="Calibri" w:cs="Calibri"/>
          <w:szCs w:val="22"/>
          <w:lang w:val="en-AU"/>
        </w:rPr>
      </w:pPr>
      <w:bookmarkStart w:id="1330" w:name="_Toc11336358"/>
      <w:bookmarkStart w:id="1331" w:name="_Toc14965584"/>
      <w:r w:rsidRPr="005734B8">
        <w:rPr>
          <w:rFonts w:ascii="Calibri" w:hAnsi="Calibri" w:cs="Calibri"/>
        </w:rPr>
        <w:t>Reconciliation of movements in on-cost provisions</w:t>
      </w:r>
      <w:bookmarkEnd w:id="1330"/>
      <w:bookmarkEnd w:id="1331"/>
    </w:p>
    <w:tbl>
      <w:tblPr>
        <w:tblW w:w="7625" w:type="dxa"/>
        <w:tblInd w:w="75" w:type="dxa"/>
        <w:tblLayout w:type="fixed"/>
        <w:tblLook w:val="04A0" w:firstRow="1" w:lastRow="0" w:firstColumn="1" w:lastColumn="0" w:noHBand="0" w:noVBand="1"/>
      </w:tblPr>
      <w:tblGrid>
        <w:gridCol w:w="6387"/>
        <w:gridCol w:w="1238"/>
      </w:tblGrid>
      <w:tr w:rsidR="00F06229" w:rsidRPr="005734B8" w14:paraId="52FC746D" w14:textId="77777777" w:rsidTr="0075283F">
        <w:trPr>
          <w:trHeight w:val="255"/>
        </w:trPr>
        <w:tc>
          <w:tcPr>
            <w:tcW w:w="6387" w:type="dxa"/>
            <w:tcBorders>
              <w:top w:val="nil"/>
              <w:left w:val="single" w:sz="4" w:space="0" w:color="FFFFFF"/>
              <w:bottom w:val="single" w:sz="4" w:space="0" w:color="FFFFFF"/>
              <w:right w:val="single" w:sz="4" w:space="0" w:color="FFFFFF"/>
            </w:tcBorders>
            <w:shd w:val="clear" w:color="000000" w:fill="AF272F"/>
            <w:hideMark/>
          </w:tcPr>
          <w:p w14:paraId="0631FF42" w14:textId="77777777" w:rsidR="00F06229" w:rsidRPr="005734B8" w:rsidRDefault="00F06229" w:rsidP="000F48B1">
            <w:pPr>
              <w:rPr>
                <w:rFonts w:ascii="Calibri" w:hAnsi="Calibri" w:cs="Calibri"/>
                <w:b/>
                <w:color w:val="FFFFFF"/>
                <w:sz w:val="18"/>
                <w:szCs w:val="18"/>
              </w:rPr>
            </w:pPr>
            <w:bookmarkStart w:id="1332" w:name="Note_RMCTABLE1" w:colFirst="0" w:colLast="0"/>
            <w:r w:rsidRPr="005734B8">
              <w:rPr>
                <w:rFonts w:ascii="Calibri" w:hAnsi="Calibri" w:cs="Calibri"/>
                <w:b/>
                <w:color w:val="FFFFFF"/>
                <w:sz w:val="18"/>
                <w:szCs w:val="18"/>
              </w:rPr>
              <w:t>2021</w:t>
            </w:r>
          </w:p>
        </w:tc>
        <w:tc>
          <w:tcPr>
            <w:tcW w:w="1238" w:type="dxa"/>
            <w:tcBorders>
              <w:top w:val="nil"/>
              <w:left w:val="nil"/>
              <w:bottom w:val="single" w:sz="4" w:space="0" w:color="auto"/>
              <w:right w:val="single" w:sz="4" w:space="0" w:color="FFFFFF"/>
            </w:tcBorders>
            <w:shd w:val="clear" w:color="000000" w:fill="AF272F"/>
            <w:hideMark/>
          </w:tcPr>
          <w:p w14:paraId="471A31FC" w14:textId="77777777" w:rsidR="00F06229" w:rsidRPr="005734B8" w:rsidRDefault="00F06229" w:rsidP="000F48B1">
            <w:pPr>
              <w:jc w:val="right"/>
              <w:rPr>
                <w:rFonts w:ascii="Calibri" w:hAnsi="Calibri" w:cs="Calibri"/>
                <w:b/>
                <w:color w:val="FFFFFF"/>
                <w:sz w:val="18"/>
                <w:szCs w:val="18"/>
              </w:rPr>
            </w:pPr>
            <w:r w:rsidRPr="005734B8">
              <w:rPr>
                <w:rFonts w:ascii="Calibri" w:hAnsi="Calibri" w:cs="Calibri"/>
                <w:b/>
                <w:color w:val="FFFFFF"/>
                <w:sz w:val="18"/>
                <w:szCs w:val="18"/>
              </w:rPr>
              <w:t>Total ($m)</w:t>
            </w:r>
          </w:p>
        </w:tc>
      </w:tr>
      <w:bookmarkEnd w:id="1332"/>
      <w:tr w:rsidR="00F06229" w:rsidRPr="005734B8" w14:paraId="35C3A2B5" w14:textId="77777777" w:rsidTr="0075283F">
        <w:trPr>
          <w:trHeight w:val="255"/>
        </w:trPr>
        <w:tc>
          <w:tcPr>
            <w:tcW w:w="6387"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3A0B584F"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Opening balance</w:t>
            </w:r>
          </w:p>
        </w:tc>
        <w:tc>
          <w:tcPr>
            <w:tcW w:w="1238" w:type="dxa"/>
            <w:tcBorders>
              <w:top w:val="nil"/>
              <w:left w:val="nil"/>
              <w:bottom w:val="single" w:sz="4" w:space="0" w:color="auto"/>
              <w:right w:val="single" w:sz="4" w:space="0" w:color="FFFFFF"/>
            </w:tcBorders>
            <w:shd w:val="clear" w:color="000000" w:fill="D9D9D9"/>
            <w:noWrap/>
            <w:vAlign w:val="center"/>
            <w:hideMark/>
          </w:tcPr>
          <w:p w14:paraId="604798F4"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249.6 </w:t>
            </w:r>
          </w:p>
        </w:tc>
      </w:tr>
      <w:tr w:rsidR="00F06229" w:rsidRPr="005734B8" w14:paraId="7335709C" w14:textId="77777777" w:rsidTr="0075283F">
        <w:trPr>
          <w:trHeight w:val="255"/>
        </w:trPr>
        <w:tc>
          <w:tcPr>
            <w:tcW w:w="6387" w:type="dxa"/>
            <w:tcBorders>
              <w:top w:val="nil"/>
              <w:left w:val="single" w:sz="4" w:space="0" w:color="FFFFFF"/>
              <w:bottom w:val="single" w:sz="4" w:space="0" w:color="auto"/>
              <w:right w:val="single" w:sz="4" w:space="0" w:color="FFFFFF"/>
            </w:tcBorders>
            <w:shd w:val="clear" w:color="FFFFFF" w:fill="FFFFFF"/>
            <w:vAlign w:val="center"/>
            <w:hideMark/>
          </w:tcPr>
          <w:p w14:paraId="2D45B9F8"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Additional provisions recognised</w:t>
            </w:r>
          </w:p>
        </w:tc>
        <w:tc>
          <w:tcPr>
            <w:tcW w:w="1238" w:type="dxa"/>
            <w:tcBorders>
              <w:top w:val="nil"/>
              <w:left w:val="nil"/>
              <w:bottom w:val="single" w:sz="4" w:space="0" w:color="auto"/>
              <w:right w:val="single" w:sz="4" w:space="0" w:color="FFFFFF"/>
            </w:tcBorders>
            <w:shd w:val="clear" w:color="000000" w:fill="D9D9D9"/>
            <w:noWrap/>
            <w:vAlign w:val="center"/>
            <w:hideMark/>
          </w:tcPr>
          <w:p w14:paraId="66FC2C1E"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114.5 </w:t>
            </w:r>
          </w:p>
        </w:tc>
      </w:tr>
      <w:tr w:rsidR="00F06229" w:rsidRPr="005734B8" w14:paraId="3F1CD676" w14:textId="77777777" w:rsidTr="0075283F">
        <w:trPr>
          <w:trHeight w:val="480"/>
        </w:trPr>
        <w:tc>
          <w:tcPr>
            <w:tcW w:w="6387" w:type="dxa"/>
            <w:tcBorders>
              <w:top w:val="nil"/>
              <w:left w:val="single" w:sz="4" w:space="0" w:color="FFFFFF"/>
              <w:bottom w:val="single" w:sz="4" w:space="0" w:color="auto"/>
              <w:right w:val="single" w:sz="4" w:space="0" w:color="FFFFFF"/>
            </w:tcBorders>
            <w:shd w:val="clear" w:color="FFFFFF" w:fill="FFFFFF"/>
            <w:vAlign w:val="center"/>
            <w:hideMark/>
          </w:tcPr>
          <w:p w14:paraId="642DF839"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Reductions arising from payments/other sacrifices of future economic benefits</w:t>
            </w:r>
          </w:p>
        </w:tc>
        <w:tc>
          <w:tcPr>
            <w:tcW w:w="1238" w:type="dxa"/>
            <w:tcBorders>
              <w:top w:val="nil"/>
              <w:left w:val="nil"/>
              <w:bottom w:val="single" w:sz="4" w:space="0" w:color="auto"/>
              <w:right w:val="single" w:sz="4" w:space="0" w:color="FFFFFF"/>
            </w:tcBorders>
            <w:shd w:val="clear" w:color="000000" w:fill="D9D9D9"/>
            <w:noWrap/>
            <w:vAlign w:val="center"/>
            <w:hideMark/>
          </w:tcPr>
          <w:p w14:paraId="52987DBE"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(44.0) </w:t>
            </w:r>
          </w:p>
        </w:tc>
      </w:tr>
      <w:tr w:rsidR="00F06229" w:rsidRPr="005734B8" w14:paraId="139433E0" w14:textId="77777777" w:rsidTr="0075283F">
        <w:trPr>
          <w:trHeight w:val="270"/>
        </w:trPr>
        <w:tc>
          <w:tcPr>
            <w:tcW w:w="6387" w:type="dxa"/>
            <w:tcBorders>
              <w:top w:val="nil"/>
              <w:left w:val="single" w:sz="4" w:space="0" w:color="FFFFFF"/>
              <w:bottom w:val="single" w:sz="4" w:space="0" w:color="auto"/>
              <w:right w:val="single" w:sz="4" w:space="0" w:color="FFFFFF"/>
            </w:tcBorders>
            <w:shd w:val="clear" w:color="FFFFFF" w:fill="FFFFFF"/>
            <w:vAlign w:val="center"/>
            <w:hideMark/>
          </w:tcPr>
          <w:p w14:paraId="098A411F"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Unwind of discount and effect of changes in the discount rate</w:t>
            </w:r>
          </w:p>
        </w:tc>
        <w:tc>
          <w:tcPr>
            <w:tcW w:w="1238" w:type="dxa"/>
            <w:tcBorders>
              <w:top w:val="nil"/>
              <w:left w:val="nil"/>
              <w:bottom w:val="single" w:sz="4" w:space="0" w:color="auto"/>
              <w:right w:val="single" w:sz="4" w:space="0" w:color="FFFFFF"/>
            </w:tcBorders>
            <w:shd w:val="clear" w:color="000000" w:fill="D9D9D9"/>
            <w:noWrap/>
            <w:vAlign w:val="center"/>
            <w:hideMark/>
          </w:tcPr>
          <w:p w14:paraId="17F0FFDB"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(3.2) </w:t>
            </w:r>
          </w:p>
        </w:tc>
      </w:tr>
      <w:tr w:rsidR="00F06229" w:rsidRPr="005734B8" w14:paraId="6BDD8BD0" w14:textId="77777777" w:rsidTr="0075283F">
        <w:trPr>
          <w:trHeight w:val="285"/>
        </w:trPr>
        <w:tc>
          <w:tcPr>
            <w:tcW w:w="638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796DE82"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Closing balance</w:t>
            </w:r>
          </w:p>
        </w:tc>
        <w:tc>
          <w:tcPr>
            <w:tcW w:w="1238"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31E2FBAB"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316.9 </w:t>
            </w:r>
          </w:p>
        </w:tc>
      </w:tr>
      <w:tr w:rsidR="00F06229" w:rsidRPr="005734B8" w14:paraId="6550B966" w14:textId="77777777" w:rsidTr="0075283F">
        <w:trPr>
          <w:trHeight w:val="270"/>
        </w:trPr>
        <w:tc>
          <w:tcPr>
            <w:tcW w:w="6387" w:type="dxa"/>
            <w:tcBorders>
              <w:top w:val="single" w:sz="4" w:space="0" w:color="auto"/>
              <w:left w:val="nil"/>
              <w:bottom w:val="single" w:sz="4" w:space="0" w:color="auto"/>
              <w:right w:val="nil"/>
            </w:tcBorders>
            <w:shd w:val="clear" w:color="FFFFFF" w:fill="FFFFFF"/>
            <w:vAlign w:val="center"/>
            <w:hideMark/>
          </w:tcPr>
          <w:p w14:paraId="2D498959"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Current</w:t>
            </w:r>
          </w:p>
        </w:tc>
        <w:tc>
          <w:tcPr>
            <w:tcW w:w="1238" w:type="dxa"/>
            <w:tcBorders>
              <w:top w:val="single" w:sz="4" w:space="0" w:color="auto"/>
              <w:left w:val="single" w:sz="4" w:space="0" w:color="FFFFFF"/>
              <w:bottom w:val="single" w:sz="4" w:space="0" w:color="auto"/>
              <w:right w:val="single" w:sz="4" w:space="0" w:color="FFFFFF"/>
            </w:tcBorders>
            <w:shd w:val="clear" w:color="000000" w:fill="D9D9D9"/>
            <w:noWrap/>
            <w:vAlign w:val="center"/>
            <w:hideMark/>
          </w:tcPr>
          <w:p w14:paraId="7926ECA0"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266.2 </w:t>
            </w:r>
          </w:p>
        </w:tc>
      </w:tr>
      <w:tr w:rsidR="00F06229" w:rsidRPr="005734B8" w14:paraId="1DA7438E" w14:textId="77777777" w:rsidTr="0075283F">
        <w:trPr>
          <w:trHeight w:val="255"/>
        </w:trPr>
        <w:tc>
          <w:tcPr>
            <w:tcW w:w="6387" w:type="dxa"/>
            <w:tcBorders>
              <w:top w:val="nil"/>
              <w:left w:val="nil"/>
              <w:bottom w:val="single" w:sz="4" w:space="0" w:color="auto"/>
              <w:right w:val="nil"/>
            </w:tcBorders>
            <w:shd w:val="clear" w:color="FFFFFF" w:fill="FFFFFF"/>
            <w:vAlign w:val="center"/>
            <w:hideMark/>
          </w:tcPr>
          <w:p w14:paraId="64E560E2" w14:textId="77777777" w:rsidR="00F06229" w:rsidRPr="005734B8" w:rsidRDefault="00F06229" w:rsidP="002D345C">
            <w:pPr>
              <w:rPr>
                <w:rFonts w:ascii="Calibri" w:hAnsi="Calibri" w:cs="Calibri"/>
                <w:sz w:val="18"/>
                <w:szCs w:val="18"/>
              </w:rPr>
            </w:pPr>
            <w:r w:rsidRPr="005734B8">
              <w:rPr>
                <w:rFonts w:ascii="Calibri" w:hAnsi="Calibri" w:cs="Calibri"/>
                <w:sz w:val="18"/>
                <w:szCs w:val="18"/>
              </w:rPr>
              <w:t>Non-current</w:t>
            </w:r>
          </w:p>
        </w:tc>
        <w:tc>
          <w:tcPr>
            <w:tcW w:w="1238" w:type="dxa"/>
            <w:tcBorders>
              <w:top w:val="nil"/>
              <w:left w:val="single" w:sz="4" w:space="0" w:color="FFFFFF"/>
              <w:bottom w:val="single" w:sz="4" w:space="0" w:color="auto"/>
              <w:right w:val="single" w:sz="4" w:space="0" w:color="FFFFFF"/>
            </w:tcBorders>
            <w:shd w:val="clear" w:color="000000" w:fill="D9D9D9"/>
            <w:noWrap/>
            <w:vAlign w:val="center"/>
            <w:hideMark/>
          </w:tcPr>
          <w:p w14:paraId="4EC2AE58" w14:textId="77777777" w:rsidR="00F06229" w:rsidRPr="005734B8" w:rsidRDefault="00F06229" w:rsidP="002D345C">
            <w:pPr>
              <w:jc w:val="right"/>
              <w:rPr>
                <w:rFonts w:ascii="Calibri" w:hAnsi="Calibri" w:cs="Calibri"/>
                <w:sz w:val="18"/>
                <w:szCs w:val="18"/>
              </w:rPr>
            </w:pPr>
            <w:r w:rsidRPr="005734B8">
              <w:rPr>
                <w:rFonts w:ascii="Calibri" w:hAnsi="Calibri" w:cs="Calibri"/>
                <w:sz w:val="18"/>
                <w:szCs w:val="18"/>
              </w:rPr>
              <w:t xml:space="preserve">50.7 </w:t>
            </w:r>
          </w:p>
        </w:tc>
      </w:tr>
    </w:tbl>
    <w:p w14:paraId="0FBBB04C" w14:textId="77777777" w:rsidR="002D345C" w:rsidRPr="005734B8" w:rsidRDefault="002D345C" w:rsidP="002D345C">
      <w:pPr>
        <w:pStyle w:val="ESbullet1"/>
        <w:spacing w:after="0"/>
        <w:ind w:left="0" w:firstLine="0"/>
        <w:rPr>
          <w:rFonts w:ascii="Calibri" w:hAnsi="Calibri" w:cs="Calibri"/>
        </w:rPr>
      </w:pPr>
      <w:bookmarkStart w:id="1333" w:name="_Toc11336359"/>
      <w:bookmarkStart w:id="1334" w:name="_Toc14965585"/>
    </w:p>
    <w:p w14:paraId="3030B318" w14:textId="77777777" w:rsidR="007661A2" w:rsidRPr="005734B8" w:rsidRDefault="007661A2">
      <w:pPr>
        <w:rPr>
          <w:rFonts w:ascii="Calibri" w:eastAsiaTheme="minorEastAsia" w:hAnsi="Calibri" w:cs="Calibri"/>
          <w:color w:val="53565A" w:themeColor="accent5"/>
          <w:szCs w:val="18"/>
          <w:lang w:val="en-US"/>
        </w:rPr>
      </w:pPr>
      <w:r w:rsidRPr="005734B8">
        <w:rPr>
          <w:rFonts w:ascii="Calibri" w:hAnsi="Calibri" w:cs="Calibri"/>
        </w:rPr>
        <w:br w:type="page"/>
      </w:r>
    </w:p>
    <w:p w14:paraId="34D77368" w14:textId="3BE65E47" w:rsidR="00F06229" w:rsidRPr="005734B8" w:rsidRDefault="00F06229" w:rsidP="002D345C">
      <w:pPr>
        <w:pStyle w:val="ESHeading4"/>
        <w:ind w:left="0" w:firstLine="0"/>
        <w:rPr>
          <w:rFonts w:ascii="Calibri" w:hAnsi="Calibri" w:cs="Calibri"/>
        </w:rPr>
      </w:pPr>
      <w:r w:rsidRPr="005734B8">
        <w:rPr>
          <w:rFonts w:ascii="Calibri" w:hAnsi="Calibri" w:cs="Calibri"/>
        </w:rPr>
        <w:lastRenderedPageBreak/>
        <w:t>Annual leave and sick leave</w:t>
      </w:r>
      <w:bookmarkEnd w:id="1333"/>
      <w:bookmarkEnd w:id="1334"/>
    </w:p>
    <w:p w14:paraId="487327EF" w14:textId="4A7B0777" w:rsidR="00F06229" w:rsidRPr="005734B8" w:rsidRDefault="00F06229" w:rsidP="00F06229">
      <w:pPr>
        <w:pStyle w:val="ESbullet1"/>
        <w:spacing w:after="0"/>
        <w:ind w:left="0" w:firstLine="0"/>
        <w:rPr>
          <w:rFonts w:ascii="Calibri" w:hAnsi="Calibri" w:cs="Calibri"/>
        </w:rPr>
      </w:pPr>
      <w:r w:rsidRPr="005734B8">
        <w:rPr>
          <w:rFonts w:ascii="Calibri" w:hAnsi="Calibri" w:cs="Calibri"/>
        </w:rPr>
        <w:t>Liabilities for salaries and wages (including non-monetary benefits, annual leave and on</w:t>
      </w:r>
      <w:r w:rsidR="00A97299" w:rsidRPr="005734B8">
        <w:rPr>
          <w:rFonts w:ascii="Calibri" w:hAnsi="Calibri" w:cs="Calibri"/>
        </w:rPr>
        <w:noBreakHyphen/>
      </w:r>
      <w:r w:rsidRPr="005734B8">
        <w:rPr>
          <w:rFonts w:ascii="Calibri" w:hAnsi="Calibri" w:cs="Calibri"/>
        </w:rPr>
        <w:t xml:space="preserve">costs) are </w:t>
      </w:r>
      <w:r w:rsidR="00BB7440" w:rsidRPr="005734B8">
        <w:rPr>
          <w:rFonts w:ascii="Calibri" w:hAnsi="Calibri" w:cs="Calibri"/>
        </w:rPr>
        <w:t>r</w:t>
      </w:r>
      <w:r w:rsidR="00B15F9A" w:rsidRPr="005734B8">
        <w:rPr>
          <w:rFonts w:ascii="Calibri" w:hAnsi="Calibri" w:cs="Calibri"/>
        </w:rPr>
        <w:t>ecogni</w:t>
      </w:r>
      <w:r w:rsidR="00BB7440" w:rsidRPr="005734B8">
        <w:rPr>
          <w:rFonts w:ascii="Calibri" w:hAnsi="Calibri" w:cs="Calibri"/>
        </w:rPr>
        <w:t>s</w:t>
      </w:r>
      <w:r w:rsidR="00B15F9A" w:rsidRPr="005734B8">
        <w:rPr>
          <w:rFonts w:ascii="Calibri" w:hAnsi="Calibri" w:cs="Calibri"/>
        </w:rPr>
        <w:t>ed</w:t>
      </w:r>
      <w:r w:rsidRPr="005734B8">
        <w:rPr>
          <w:rFonts w:ascii="Calibri" w:hAnsi="Calibri" w:cs="Calibri"/>
        </w:rPr>
        <w:t xml:space="preserve"> as part of the employee benefit provision as ‘current liabilities’, because the Department does not have an unconditional right to defer settlement of these liabilities. Based upon the expectation of the timing of settlement, these liabilities are measured at present value, as the Department does not expect to wholly settle them within 12 months.</w:t>
      </w:r>
    </w:p>
    <w:p w14:paraId="04CFDCC9" w14:textId="77777777" w:rsidR="00F06229" w:rsidRPr="005734B8" w:rsidRDefault="00F06229" w:rsidP="00F06229">
      <w:pPr>
        <w:pStyle w:val="ESbullet1"/>
        <w:spacing w:after="0"/>
        <w:ind w:left="0" w:firstLine="0"/>
        <w:rPr>
          <w:rFonts w:ascii="Calibri" w:hAnsi="Calibri" w:cs="Calibri"/>
        </w:rPr>
      </w:pPr>
    </w:p>
    <w:p w14:paraId="3555C025" w14:textId="5CD5F9BC" w:rsidR="00F06229" w:rsidRPr="005734B8" w:rsidRDefault="00F06229" w:rsidP="00F06229">
      <w:pPr>
        <w:pStyle w:val="ESbullet1"/>
        <w:spacing w:after="0"/>
        <w:ind w:left="0" w:firstLine="0"/>
        <w:rPr>
          <w:rFonts w:ascii="Calibri" w:hAnsi="Calibri" w:cs="Calibri"/>
        </w:rPr>
      </w:pPr>
      <w:r w:rsidRPr="005734B8">
        <w:rPr>
          <w:rFonts w:ascii="Calibri" w:hAnsi="Calibri" w:cs="Calibri"/>
        </w:rPr>
        <w:t>No provision has been made for sick leave</w:t>
      </w:r>
      <w:r w:rsidR="00A97299" w:rsidRPr="005734B8">
        <w:rPr>
          <w:rFonts w:ascii="Calibri" w:hAnsi="Calibri" w:cs="Calibri"/>
        </w:rPr>
        <w:t>,</w:t>
      </w:r>
      <w:r w:rsidRPr="005734B8">
        <w:rPr>
          <w:rFonts w:ascii="Calibri" w:hAnsi="Calibri" w:cs="Calibri"/>
        </w:rPr>
        <w:t xml:space="preserve"> as all sick leave is non-vesting and it is not considered probable that the average sick leave taken in the future will be greater than the future benefits accrued. As sick leave is non-vesting, an expense is </w:t>
      </w:r>
      <w:r w:rsidR="00BB7440" w:rsidRPr="005734B8">
        <w:rPr>
          <w:rFonts w:ascii="Calibri" w:hAnsi="Calibri" w:cs="Calibri"/>
        </w:rPr>
        <w:t>r</w:t>
      </w:r>
      <w:r w:rsidR="00B15F9A" w:rsidRPr="005734B8">
        <w:rPr>
          <w:rFonts w:ascii="Calibri" w:hAnsi="Calibri" w:cs="Calibri"/>
        </w:rPr>
        <w:t>ecogni</w:t>
      </w:r>
      <w:r w:rsidR="00BB7440" w:rsidRPr="005734B8">
        <w:rPr>
          <w:rFonts w:ascii="Calibri" w:hAnsi="Calibri" w:cs="Calibri"/>
        </w:rPr>
        <w:t>s</w:t>
      </w:r>
      <w:r w:rsidR="00B15F9A" w:rsidRPr="005734B8">
        <w:rPr>
          <w:rFonts w:ascii="Calibri" w:hAnsi="Calibri" w:cs="Calibri"/>
        </w:rPr>
        <w:t>ed</w:t>
      </w:r>
      <w:r w:rsidRPr="005734B8">
        <w:rPr>
          <w:rFonts w:ascii="Calibri" w:hAnsi="Calibri" w:cs="Calibri"/>
        </w:rPr>
        <w:t xml:space="preserve"> in the </w:t>
      </w:r>
      <w:r w:rsidR="00A97299" w:rsidRPr="005734B8">
        <w:rPr>
          <w:rFonts w:ascii="Calibri" w:hAnsi="Calibri" w:cs="Calibri"/>
        </w:rPr>
        <w:t>c</w:t>
      </w:r>
      <w:r w:rsidRPr="005734B8">
        <w:rPr>
          <w:rFonts w:ascii="Calibri" w:hAnsi="Calibri" w:cs="Calibri"/>
        </w:rPr>
        <w:t xml:space="preserve">omprehensive </w:t>
      </w:r>
      <w:r w:rsidR="00A97299" w:rsidRPr="005734B8">
        <w:rPr>
          <w:rFonts w:ascii="Calibri" w:hAnsi="Calibri" w:cs="Calibri"/>
        </w:rPr>
        <w:t>o</w:t>
      </w:r>
      <w:r w:rsidRPr="005734B8">
        <w:rPr>
          <w:rFonts w:ascii="Calibri" w:hAnsi="Calibri" w:cs="Calibri"/>
        </w:rPr>
        <w:t xml:space="preserve">perating </w:t>
      </w:r>
      <w:r w:rsidR="00A97299" w:rsidRPr="005734B8">
        <w:rPr>
          <w:rFonts w:ascii="Calibri" w:hAnsi="Calibri" w:cs="Calibri"/>
        </w:rPr>
        <w:t>s</w:t>
      </w:r>
      <w:r w:rsidRPr="005734B8">
        <w:rPr>
          <w:rFonts w:ascii="Calibri" w:hAnsi="Calibri" w:cs="Calibri"/>
        </w:rPr>
        <w:t xml:space="preserve">tatement as it is taken. </w:t>
      </w:r>
    </w:p>
    <w:p w14:paraId="35B91CF7" w14:textId="77777777" w:rsidR="00F06229" w:rsidRPr="005734B8" w:rsidRDefault="00F06229" w:rsidP="002D345C">
      <w:pPr>
        <w:pStyle w:val="ESHeading4"/>
        <w:ind w:left="0" w:firstLine="0"/>
        <w:rPr>
          <w:rFonts w:ascii="Calibri" w:hAnsi="Calibri" w:cs="Calibri"/>
        </w:rPr>
      </w:pPr>
      <w:bookmarkStart w:id="1335" w:name="_Toc11336360"/>
      <w:bookmarkStart w:id="1336" w:name="_Toc14965586"/>
      <w:r w:rsidRPr="005734B8">
        <w:rPr>
          <w:rFonts w:ascii="Calibri" w:hAnsi="Calibri" w:cs="Calibri"/>
        </w:rPr>
        <w:t>Long service leave</w:t>
      </w:r>
      <w:bookmarkEnd w:id="1335"/>
      <w:bookmarkEnd w:id="1336"/>
    </w:p>
    <w:p w14:paraId="1998FB30" w14:textId="4A6C6C39" w:rsidR="00F06229" w:rsidRPr="005734B8" w:rsidRDefault="00F06229" w:rsidP="00F06229">
      <w:pPr>
        <w:pStyle w:val="ESbullet1"/>
        <w:spacing w:after="0"/>
        <w:ind w:left="0" w:firstLine="0"/>
        <w:rPr>
          <w:rFonts w:ascii="Calibri" w:hAnsi="Calibri" w:cs="Calibri"/>
        </w:rPr>
      </w:pPr>
      <w:r w:rsidRPr="005734B8">
        <w:rPr>
          <w:rFonts w:ascii="Calibri" w:hAnsi="Calibri" w:cs="Calibri"/>
        </w:rPr>
        <w:t>Unconditional long service leave is disclosed as a current liability</w:t>
      </w:r>
      <w:r w:rsidR="00A97299" w:rsidRPr="005734B8">
        <w:rPr>
          <w:rFonts w:ascii="Calibri" w:hAnsi="Calibri" w:cs="Calibri"/>
        </w:rPr>
        <w:t>,</w:t>
      </w:r>
      <w:r w:rsidRPr="005734B8">
        <w:rPr>
          <w:rFonts w:ascii="Calibri" w:hAnsi="Calibri" w:cs="Calibri"/>
        </w:rPr>
        <w:t xml:space="preserve"> even where the Department does not expect to settle the liability within 12 months</w:t>
      </w:r>
      <w:r w:rsidR="00A97299" w:rsidRPr="005734B8">
        <w:rPr>
          <w:rFonts w:ascii="Calibri" w:hAnsi="Calibri" w:cs="Calibri"/>
        </w:rPr>
        <w:t>,</w:t>
      </w:r>
      <w:r w:rsidRPr="005734B8">
        <w:rPr>
          <w:rFonts w:ascii="Calibri" w:hAnsi="Calibri" w:cs="Calibri"/>
        </w:rPr>
        <w:t xml:space="preserve"> because it does not have the unconditional right to defer the settlement of the entitlement should an employee take leave within 12 months. The components of this current long service leave liability are measured at present value.</w:t>
      </w:r>
    </w:p>
    <w:p w14:paraId="1CE9108B" w14:textId="77777777" w:rsidR="00F06229" w:rsidRPr="005734B8" w:rsidRDefault="00F06229" w:rsidP="00F06229">
      <w:pPr>
        <w:pStyle w:val="ESbullet1"/>
        <w:spacing w:after="0"/>
        <w:ind w:left="0" w:firstLine="0"/>
        <w:rPr>
          <w:rFonts w:ascii="Calibri" w:hAnsi="Calibri" w:cs="Calibri"/>
        </w:rPr>
      </w:pPr>
    </w:p>
    <w:p w14:paraId="342C6F80" w14:textId="77777777" w:rsidR="00F06229" w:rsidRPr="005734B8" w:rsidRDefault="00F06229" w:rsidP="00F06229">
      <w:pPr>
        <w:pStyle w:val="ESbullet1"/>
        <w:spacing w:after="0"/>
        <w:ind w:left="0" w:firstLine="0"/>
        <w:rPr>
          <w:rFonts w:ascii="Calibri" w:hAnsi="Calibri" w:cs="Calibri"/>
        </w:rPr>
      </w:pPr>
      <w:r w:rsidRPr="005734B8">
        <w:rPr>
          <w:rFonts w:ascii="Calibri" w:hAnsi="Calibri" w:cs="Calibri"/>
        </w:rPr>
        <w:t>Conditional long service leave is disclosed as a non-current liability. There is an unconditional right to defer the settlement of the entitlement until the employee has completed the requisite years of service. This non-current long service leave liability is measured at present value.</w:t>
      </w:r>
    </w:p>
    <w:p w14:paraId="27BE5486" w14:textId="77777777" w:rsidR="00F06229" w:rsidRPr="005734B8" w:rsidRDefault="00F06229" w:rsidP="00F06229">
      <w:pPr>
        <w:pStyle w:val="ESbullet1"/>
        <w:spacing w:after="0"/>
        <w:ind w:left="0" w:firstLine="0"/>
        <w:rPr>
          <w:rFonts w:ascii="Calibri" w:hAnsi="Calibri" w:cs="Calibri"/>
        </w:rPr>
      </w:pPr>
    </w:p>
    <w:p w14:paraId="4BBD560C" w14:textId="604E2DFD" w:rsidR="00F06229" w:rsidRPr="005734B8" w:rsidRDefault="00F06229" w:rsidP="00F06229">
      <w:pPr>
        <w:pStyle w:val="ESbullet1"/>
        <w:spacing w:after="0"/>
        <w:ind w:left="0" w:firstLine="0"/>
        <w:rPr>
          <w:rFonts w:ascii="Calibri" w:hAnsi="Calibri" w:cs="Calibri"/>
        </w:rPr>
      </w:pPr>
      <w:r w:rsidRPr="005734B8">
        <w:rPr>
          <w:rFonts w:ascii="Calibri" w:hAnsi="Calibri" w:cs="Calibri"/>
        </w:rPr>
        <w:t xml:space="preserve">Any gain or loss following revaluation of the present value of long service leave liability measured at present value is </w:t>
      </w:r>
      <w:r w:rsidR="00BB7440" w:rsidRPr="005734B8">
        <w:rPr>
          <w:rFonts w:ascii="Calibri" w:hAnsi="Calibri" w:cs="Calibri"/>
        </w:rPr>
        <w:t>r</w:t>
      </w:r>
      <w:r w:rsidR="00B15F9A" w:rsidRPr="005734B8">
        <w:rPr>
          <w:rFonts w:ascii="Calibri" w:hAnsi="Calibri" w:cs="Calibri"/>
        </w:rPr>
        <w:t>ecogni</w:t>
      </w:r>
      <w:r w:rsidR="00BB7440" w:rsidRPr="005734B8">
        <w:rPr>
          <w:rFonts w:ascii="Calibri" w:hAnsi="Calibri" w:cs="Calibri"/>
        </w:rPr>
        <w:t>s</w:t>
      </w:r>
      <w:r w:rsidR="00B15F9A" w:rsidRPr="005734B8">
        <w:rPr>
          <w:rFonts w:ascii="Calibri" w:hAnsi="Calibri" w:cs="Calibri"/>
        </w:rPr>
        <w:t>ed</w:t>
      </w:r>
      <w:r w:rsidRPr="005734B8">
        <w:rPr>
          <w:rFonts w:ascii="Calibri" w:hAnsi="Calibri" w:cs="Calibri"/>
        </w:rPr>
        <w:t xml:space="preserve"> as a transaction, except to the extent that a gain or loss arises due to changes in bond interest rates</w:t>
      </w:r>
      <w:r w:rsidR="00A97299" w:rsidRPr="005734B8">
        <w:rPr>
          <w:rFonts w:ascii="Calibri" w:hAnsi="Calibri" w:cs="Calibri"/>
        </w:rPr>
        <w:t>,</w:t>
      </w:r>
      <w:r w:rsidRPr="005734B8">
        <w:rPr>
          <w:rFonts w:ascii="Calibri" w:hAnsi="Calibri" w:cs="Calibri"/>
        </w:rPr>
        <w:t xml:space="preserve"> for which it is then </w:t>
      </w:r>
      <w:r w:rsidR="00BB7440" w:rsidRPr="005734B8">
        <w:rPr>
          <w:rFonts w:ascii="Calibri" w:hAnsi="Calibri" w:cs="Calibri"/>
        </w:rPr>
        <w:t>recognised</w:t>
      </w:r>
      <w:r w:rsidRPr="005734B8">
        <w:rPr>
          <w:rFonts w:ascii="Calibri" w:hAnsi="Calibri" w:cs="Calibri"/>
        </w:rPr>
        <w:t xml:space="preserve"> as an </w:t>
      </w:r>
      <w:r w:rsidR="00A97299" w:rsidRPr="005734B8">
        <w:rPr>
          <w:rFonts w:ascii="Calibri" w:hAnsi="Calibri" w:cs="Calibri"/>
        </w:rPr>
        <w:t>‘</w:t>
      </w:r>
      <w:r w:rsidRPr="005734B8">
        <w:rPr>
          <w:rFonts w:ascii="Calibri" w:hAnsi="Calibri" w:cs="Calibri"/>
        </w:rPr>
        <w:t>other economic flow</w:t>
      </w:r>
      <w:r w:rsidR="00A97299" w:rsidRPr="005734B8">
        <w:rPr>
          <w:rFonts w:ascii="Calibri" w:hAnsi="Calibri" w:cs="Calibri"/>
        </w:rPr>
        <w:t>’</w:t>
      </w:r>
      <w:r w:rsidRPr="005734B8">
        <w:rPr>
          <w:rFonts w:ascii="Calibri" w:hAnsi="Calibri" w:cs="Calibri"/>
        </w:rPr>
        <w:t xml:space="preserve"> in the net result. </w:t>
      </w:r>
    </w:p>
    <w:p w14:paraId="399ADB22" w14:textId="77777777" w:rsidR="00F06229" w:rsidRPr="005734B8" w:rsidRDefault="00F06229" w:rsidP="002D345C">
      <w:pPr>
        <w:pStyle w:val="ESHeading4"/>
        <w:ind w:left="0" w:firstLine="0"/>
        <w:rPr>
          <w:rFonts w:ascii="Calibri" w:hAnsi="Calibri" w:cs="Calibri"/>
        </w:rPr>
      </w:pPr>
      <w:bookmarkStart w:id="1337" w:name="_Toc11336361"/>
      <w:bookmarkStart w:id="1338" w:name="_Toc14965587"/>
      <w:r w:rsidRPr="005734B8">
        <w:rPr>
          <w:rFonts w:ascii="Calibri" w:hAnsi="Calibri" w:cs="Calibri"/>
        </w:rPr>
        <w:t>On-costs related to employee expenses</w:t>
      </w:r>
      <w:bookmarkEnd w:id="1337"/>
      <w:bookmarkEnd w:id="1338"/>
    </w:p>
    <w:p w14:paraId="213854A0" w14:textId="77777777" w:rsidR="00A97299" w:rsidRPr="005734B8" w:rsidRDefault="00F06229" w:rsidP="00F06229">
      <w:pPr>
        <w:pStyle w:val="ESbullet1"/>
        <w:spacing w:after="0"/>
        <w:ind w:left="0" w:firstLine="0"/>
        <w:rPr>
          <w:rFonts w:ascii="Calibri" w:hAnsi="Calibri" w:cs="Calibri"/>
        </w:rPr>
      </w:pPr>
      <w:r w:rsidRPr="005734B8">
        <w:rPr>
          <w:rFonts w:ascii="Calibri" w:hAnsi="Calibri" w:cs="Calibri"/>
        </w:rPr>
        <w:t>On-costs (such as payroll tax, workers’ compensation and superannuation) are not employee benefits. They are disclosed separately as a component of the provision for employee benefits when the employment to which they relate has occurred.</w:t>
      </w:r>
      <w:r w:rsidR="00A97299" w:rsidRPr="005734B8">
        <w:rPr>
          <w:rFonts w:ascii="Calibri" w:hAnsi="Calibri" w:cs="Calibri"/>
        </w:rPr>
        <w:t xml:space="preserve"> </w:t>
      </w:r>
    </w:p>
    <w:p w14:paraId="44900282" w14:textId="77777777" w:rsidR="00A97299" w:rsidRPr="005734B8" w:rsidRDefault="00A97299" w:rsidP="00F06229">
      <w:pPr>
        <w:pStyle w:val="ESbullet1"/>
        <w:spacing w:after="0"/>
        <w:ind w:left="0" w:firstLine="0"/>
        <w:rPr>
          <w:rFonts w:ascii="Calibri" w:hAnsi="Calibri" w:cs="Calibri"/>
        </w:rPr>
      </w:pPr>
    </w:p>
    <w:p w14:paraId="0CB05326" w14:textId="09134D7A" w:rsidR="00F06229" w:rsidRPr="005734B8" w:rsidRDefault="00F06229" w:rsidP="00F06229">
      <w:pPr>
        <w:pStyle w:val="ESbullet1"/>
        <w:spacing w:after="0"/>
        <w:ind w:left="0" w:firstLine="0"/>
        <w:rPr>
          <w:rFonts w:ascii="Calibri" w:hAnsi="Calibri" w:cs="Calibri"/>
        </w:rPr>
      </w:pPr>
      <w:r w:rsidRPr="005734B8">
        <w:rPr>
          <w:rFonts w:ascii="Calibri" w:hAnsi="Calibri" w:cs="Calibri"/>
        </w:rPr>
        <w:t>The measurement of employee benefits on-costs mirrors the employee benefit provisions to which they relate, and therefore they are measured at present value</w:t>
      </w:r>
      <w:r w:rsidR="00A97299" w:rsidRPr="005734B8">
        <w:rPr>
          <w:rFonts w:ascii="Calibri" w:hAnsi="Calibri" w:cs="Calibri"/>
        </w:rPr>
        <w:t>,</w:t>
      </w:r>
      <w:r w:rsidRPr="005734B8">
        <w:rPr>
          <w:rFonts w:ascii="Calibri" w:hAnsi="Calibri" w:cs="Calibri"/>
        </w:rPr>
        <w:t xml:space="preserve"> as the Department does not expect to wholly settle within 12 months.</w:t>
      </w:r>
    </w:p>
    <w:p w14:paraId="6372A00F" w14:textId="0F6EEFCF" w:rsidR="00F06229" w:rsidRPr="005734B8" w:rsidRDefault="00F06229" w:rsidP="002D345C">
      <w:pPr>
        <w:pStyle w:val="ESHeading3"/>
        <w:ind w:left="0" w:firstLine="0"/>
        <w:rPr>
          <w:rFonts w:ascii="Calibri" w:hAnsi="Calibri" w:cs="Calibri"/>
        </w:rPr>
      </w:pPr>
      <w:bookmarkStart w:id="1339" w:name="_Toc11336362"/>
      <w:bookmarkStart w:id="1340" w:name="_Toc14965588"/>
      <w:r w:rsidRPr="005734B8">
        <w:rPr>
          <w:rFonts w:ascii="Calibri" w:hAnsi="Calibri" w:cs="Calibri"/>
        </w:rPr>
        <w:t xml:space="preserve">3.1.1 </w:t>
      </w:r>
      <w:r w:rsidR="005374FA" w:rsidRPr="005734B8">
        <w:rPr>
          <w:rFonts w:ascii="Calibri" w:hAnsi="Calibri" w:cs="Calibri"/>
        </w:rPr>
        <w:t>(c)</w:t>
      </w:r>
      <w:r w:rsidRPr="005734B8">
        <w:rPr>
          <w:rFonts w:ascii="Calibri" w:hAnsi="Calibri" w:cs="Calibri"/>
        </w:rPr>
        <w:t xml:space="preserve"> Superannuation contributions</w:t>
      </w:r>
      <w:bookmarkEnd w:id="1339"/>
      <w:bookmarkEnd w:id="1340"/>
    </w:p>
    <w:p w14:paraId="3F7355B0" w14:textId="207ED312" w:rsidR="00F06229" w:rsidRPr="005734B8" w:rsidRDefault="00F06229" w:rsidP="00F06229">
      <w:pPr>
        <w:pStyle w:val="ESbullet1"/>
        <w:spacing w:after="0"/>
        <w:ind w:left="0" w:firstLine="0"/>
        <w:rPr>
          <w:rFonts w:ascii="Calibri" w:hAnsi="Calibri" w:cs="Calibri"/>
        </w:rPr>
      </w:pPr>
      <w:r w:rsidRPr="005734B8">
        <w:rPr>
          <w:rFonts w:ascii="Calibri" w:hAnsi="Calibri" w:cs="Calibri"/>
        </w:rPr>
        <w:t>Employees of the Department are entitled to receive superannuation benefits</w:t>
      </w:r>
      <w:r w:rsidR="00A97299" w:rsidRPr="005734B8">
        <w:rPr>
          <w:rFonts w:ascii="Calibri" w:hAnsi="Calibri" w:cs="Calibri"/>
        </w:rPr>
        <w:t>.</w:t>
      </w:r>
      <w:r w:rsidRPr="005734B8">
        <w:rPr>
          <w:rFonts w:ascii="Calibri" w:hAnsi="Calibri" w:cs="Calibri"/>
        </w:rPr>
        <w:t xml:space="preserve"> </w:t>
      </w:r>
      <w:r w:rsidR="00A97299" w:rsidRPr="005734B8">
        <w:rPr>
          <w:rFonts w:ascii="Calibri" w:hAnsi="Calibri" w:cs="Calibri"/>
        </w:rPr>
        <w:t>T</w:t>
      </w:r>
      <w:r w:rsidRPr="005734B8">
        <w:rPr>
          <w:rFonts w:ascii="Calibri" w:hAnsi="Calibri" w:cs="Calibri"/>
        </w:rPr>
        <w:t>he Department contributes to both defined benefit and defined contribution plans. The defined benefit plans provide benefits based on years of service and final average salary.</w:t>
      </w:r>
    </w:p>
    <w:p w14:paraId="46AB0C8A" w14:textId="77777777" w:rsidR="00F06229" w:rsidRPr="005734B8" w:rsidRDefault="00F06229" w:rsidP="00F06229">
      <w:pPr>
        <w:pStyle w:val="ESbullet1"/>
        <w:spacing w:after="0"/>
        <w:ind w:left="0" w:firstLine="0"/>
        <w:rPr>
          <w:rFonts w:ascii="Calibri" w:hAnsi="Calibri" w:cs="Calibri"/>
        </w:rPr>
      </w:pPr>
    </w:p>
    <w:p w14:paraId="2B0CEE8A" w14:textId="29F38DAB" w:rsidR="00F06229" w:rsidRPr="005734B8" w:rsidRDefault="00F06229" w:rsidP="00F06229">
      <w:pPr>
        <w:pStyle w:val="ESbullet1"/>
        <w:spacing w:after="0"/>
        <w:ind w:left="0" w:firstLine="0"/>
        <w:rPr>
          <w:rFonts w:ascii="Calibri" w:hAnsi="Calibri" w:cs="Calibri"/>
        </w:rPr>
      </w:pPr>
      <w:r w:rsidRPr="005734B8">
        <w:rPr>
          <w:rFonts w:ascii="Calibri" w:hAnsi="Calibri" w:cs="Calibri"/>
        </w:rPr>
        <w:t xml:space="preserve">As noted in Note 3.1.1 (a) the defined benefit liability is </w:t>
      </w:r>
      <w:r w:rsidR="00BB7440" w:rsidRPr="005734B8">
        <w:rPr>
          <w:rFonts w:ascii="Calibri" w:hAnsi="Calibri" w:cs="Calibri"/>
        </w:rPr>
        <w:t>recognised</w:t>
      </w:r>
      <w:r w:rsidRPr="005734B8">
        <w:rPr>
          <w:rFonts w:ascii="Calibri" w:hAnsi="Calibri" w:cs="Calibri"/>
        </w:rPr>
        <w:t xml:space="preserve"> in DTF as an administered liability.</w:t>
      </w:r>
    </w:p>
    <w:p w14:paraId="2A27E6E5" w14:textId="77777777" w:rsidR="00F06229" w:rsidRPr="005734B8" w:rsidRDefault="00F06229" w:rsidP="00F06229">
      <w:pPr>
        <w:pStyle w:val="ESbullet1"/>
        <w:spacing w:after="0"/>
        <w:ind w:left="0" w:firstLine="0"/>
        <w:rPr>
          <w:rFonts w:ascii="Calibri" w:hAnsi="Calibri" w:cs="Calibri"/>
        </w:rPr>
      </w:pPr>
    </w:p>
    <w:p w14:paraId="57D1B2F6" w14:textId="77777777" w:rsidR="00F06229" w:rsidRPr="005734B8" w:rsidRDefault="00F06229" w:rsidP="00F06229">
      <w:pPr>
        <w:pStyle w:val="ESbullet1"/>
        <w:spacing w:after="0"/>
        <w:ind w:left="0" w:firstLine="0"/>
        <w:rPr>
          <w:rFonts w:ascii="Calibri" w:hAnsi="Calibri" w:cs="Calibri"/>
        </w:rPr>
      </w:pPr>
      <w:r w:rsidRPr="005734B8">
        <w:rPr>
          <w:rFonts w:ascii="Calibri" w:hAnsi="Calibri" w:cs="Calibri"/>
        </w:rPr>
        <w:t>However, superannuation contributions paid or payable for the reporting period are included as part of employee benefits in the comprehensive operating statement of the Department.</w:t>
      </w:r>
    </w:p>
    <w:p w14:paraId="22CB640E" w14:textId="77777777" w:rsidR="00F06229" w:rsidRPr="005734B8" w:rsidRDefault="00F06229" w:rsidP="00F06229">
      <w:pPr>
        <w:pStyle w:val="ESbullet1"/>
        <w:spacing w:after="0"/>
        <w:ind w:left="0" w:firstLine="0"/>
        <w:rPr>
          <w:rFonts w:ascii="Calibri" w:hAnsi="Calibri" w:cs="Calibri"/>
        </w:rPr>
      </w:pPr>
    </w:p>
    <w:p w14:paraId="6FCA3B02" w14:textId="77777777" w:rsidR="00F06229" w:rsidRPr="005734B8" w:rsidRDefault="00F06229" w:rsidP="00F06229">
      <w:pPr>
        <w:pStyle w:val="ESbullet1"/>
        <w:spacing w:after="0"/>
        <w:ind w:left="0" w:firstLine="0"/>
        <w:rPr>
          <w:rFonts w:ascii="Calibri" w:hAnsi="Calibri" w:cs="Calibri"/>
        </w:rPr>
      </w:pPr>
      <w:r w:rsidRPr="005734B8">
        <w:rPr>
          <w:rFonts w:ascii="Calibri" w:hAnsi="Calibri" w:cs="Calibri"/>
        </w:rPr>
        <w:t>The basis for contributions is determined by the various schemes. The name, details and amounts expensed in relation to the major employee superannuation funds and contributions made by the Department are as follows:</w:t>
      </w:r>
    </w:p>
    <w:p w14:paraId="3C46B855" w14:textId="77777777" w:rsidR="00F06229" w:rsidRPr="005734B8" w:rsidRDefault="00F06229" w:rsidP="00F06229">
      <w:pPr>
        <w:pStyle w:val="ESbullet1"/>
        <w:spacing w:after="0"/>
        <w:ind w:left="0" w:firstLine="0"/>
        <w:rPr>
          <w:rFonts w:ascii="Calibri" w:hAnsi="Calibri" w:cs="Calibri"/>
        </w:rPr>
      </w:pPr>
    </w:p>
    <w:tbl>
      <w:tblPr>
        <w:tblW w:w="7625" w:type="dxa"/>
        <w:tblInd w:w="75" w:type="dxa"/>
        <w:tblLayout w:type="fixed"/>
        <w:tblLook w:val="04A0" w:firstRow="1" w:lastRow="0" w:firstColumn="1" w:lastColumn="0" w:noHBand="0" w:noVBand="1"/>
      </w:tblPr>
      <w:tblGrid>
        <w:gridCol w:w="3758"/>
        <w:gridCol w:w="1938"/>
        <w:gridCol w:w="1929"/>
      </w:tblGrid>
      <w:tr w:rsidR="00F06229" w:rsidRPr="005734B8" w14:paraId="55947ADC" w14:textId="77777777" w:rsidTr="000F48B1">
        <w:trPr>
          <w:trHeight w:val="960"/>
        </w:trPr>
        <w:tc>
          <w:tcPr>
            <w:tcW w:w="3758" w:type="dxa"/>
            <w:tcBorders>
              <w:top w:val="nil"/>
              <w:left w:val="single" w:sz="4" w:space="0" w:color="FFFFFF"/>
              <w:bottom w:val="single" w:sz="4" w:space="0" w:color="FFFFFF"/>
              <w:right w:val="single" w:sz="4" w:space="0" w:color="FFFFFF"/>
            </w:tcBorders>
            <w:shd w:val="clear" w:color="000000" w:fill="AF272F"/>
            <w:hideMark/>
          </w:tcPr>
          <w:p w14:paraId="001A716B" w14:textId="77777777" w:rsidR="00F06229" w:rsidRPr="005734B8" w:rsidRDefault="00F06229" w:rsidP="000F48B1">
            <w:pPr>
              <w:rPr>
                <w:rFonts w:ascii="Calibri" w:hAnsi="Calibri" w:cs="Calibri"/>
                <w:b/>
                <w:color w:val="FFFFFF"/>
                <w:sz w:val="18"/>
                <w:szCs w:val="18"/>
              </w:rPr>
            </w:pPr>
            <w:bookmarkStart w:id="1341" w:name="Note_SPCTABLE1" w:colFirst="0" w:colLast="0"/>
            <w:r w:rsidRPr="005734B8">
              <w:rPr>
                <w:rFonts w:ascii="Calibri" w:hAnsi="Calibri" w:cs="Calibri"/>
                <w:b/>
                <w:color w:val="FFFFFF"/>
                <w:sz w:val="18"/>
                <w:szCs w:val="18"/>
              </w:rPr>
              <w:t>Funds</w:t>
            </w:r>
          </w:p>
        </w:tc>
        <w:tc>
          <w:tcPr>
            <w:tcW w:w="1938" w:type="dxa"/>
            <w:tcBorders>
              <w:top w:val="nil"/>
              <w:left w:val="nil"/>
              <w:bottom w:val="single" w:sz="4" w:space="0" w:color="auto"/>
              <w:right w:val="single" w:sz="4" w:space="0" w:color="FFFFFF"/>
            </w:tcBorders>
            <w:shd w:val="clear" w:color="000000" w:fill="AF272F"/>
            <w:hideMark/>
          </w:tcPr>
          <w:p w14:paraId="117DD5DD" w14:textId="77777777" w:rsidR="00F06229" w:rsidRPr="005734B8" w:rsidRDefault="00F06229"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Paid contributions for the year </w:t>
            </w:r>
            <w:r w:rsidRPr="005734B8">
              <w:rPr>
                <w:rFonts w:ascii="Calibri" w:hAnsi="Calibri" w:cs="Calibri"/>
                <w:b/>
                <w:color w:val="FFFFFF"/>
                <w:sz w:val="18"/>
                <w:szCs w:val="18"/>
              </w:rPr>
              <w:br/>
              <w:t>2021</w:t>
            </w:r>
            <w:r w:rsidRPr="005734B8">
              <w:rPr>
                <w:rFonts w:ascii="Calibri" w:hAnsi="Calibri" w:cs="Calibri"/>
                <w:b/>
                <w:color w:val="FFFFFF"/>
                <w:sz w:val="18"/>
                <w:szCs w:val="18"/>
              </w:rPr>
              <w:br/>
              <w:t>($m)</w:t>
            </w:r>
          </w:p>
        </w:tc>
        <w:tc>
          <w:tcPr>
            <w:tcW w:w="1929" w:type="dxa"/>
            <w:tcBorders>
              <w:top w:val="nil"/>
              <w:left w:val="nil"/>
              <w:bottom w:val="single" w:sz="4" w:space="0" w:color="auto"/>
              <w:right w:val="single" w:sz="4" w:space="0" w:color="FFFFFF"/>
            </w:tcBorders>
            <w:shd w:val="clear" w:color="000000" w:fill="AF272F"/>
            <w:hideMark/>
          </w:tcPr>
          <w:p w14:paraId="23823769" w14:textId="77777777" w:rsidR="00F06229" w:rsidRPr="005734B8" w:rsidRDefault="00F06229"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Paid contributions for the year </w:t>
            </w:r>
            <w:r w:rsidRPr="005734B8">
              <w:rPr>
                <w:rFonts w:ascii="Calibri" w:hAnsi="Calibri" w:cs="Calibri"/>
                <w:b/>
                <w:color w:val="FFFFFF"/>
                <w:sz w:val="18"/>
                <w:szCs w:val="18"/>
              </w:rPr>
              <w:br/>
              <w:t>2020</w:t>
            </w:r>
            <w:r w:rsidRPr="005734B8">
              <w:rPr>
                <w:rFonts w:ascii="Calibri" w:hAnsi="Calibri" w:cs="Calibri"/>
                <w:b/>
                <w:color w:val="FFFFFF"/>
                <w:sz w:val="18"/>
                <w:szCs w:val="18"/>
              </w:rPr>
              <w:br/>
              <w:t>($m)</w:t>
            </w:r>
          </w:p>
        </w:tc>
      </w:tr>
      <w:bookmarkEnd w:id="1341"/>
      <w:tr w:rsidR="00F06229" w:rsidRPr="005734B8" w14:paraId="3E46C0CA" w14:textId="77777777" w:rsidTr="000F48B1">
        <w:trPr>
          <w:trHeight w:val="255"/>
        </w:trPr>
        <w:tc>
          <w:tcPr>
            <w:tcW w:w="3758"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3C3A336C"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Defined benefit plans</w:t>
            </w:r>
          </w:p>
        </w:tc>
        <w:tc>
          <w:tcPr>
            <w:tcW w:w="1938" w:type="dxa"/>
            <w:tcBorders>
              <w:top w:val="nil"/>
              <w:left w:val="nil"/>
              <w:bottom w:val="single" w:sz="4" w:space="0" w:color="auto"/>
              <w:right w:val="single" w:sz="4" w:space="0" w:color="FFFFFF"/>
            </w:tcBorders>
            <w:shd w:val="clear" w:color="000000" w:fill="D9D9D9"/>
            <w:noWrap/>
            <w:vAlign w:val="center"/>
            <w:hideMark/>
          </w:tcPr>
          <w:p w14:paraId="1FD3867C"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w:t>
            </w:r>
          </w:p>
        </w:tc>
        <w:tc>
          <w:tcPr>
            <w:tcW w:w="1929" w:type="dxa"/>
            <w:tcBorders>
              <w:top w:val="nil"/>
              <w:left w:val="nil"/>
              <w:bottom w:val="single" w:sz="4" w:space="0" w:color="auto"/>
              <w:right w:val="single" w:sz="4" w:space="0" w:color="FFFFFF"/>
            </w:tcBorders>
            <w:shd w:val="clear" w:color="000000" w:fill="D9D9D9"/>
            <w:noWrap/>
            <w:vAlign w:val="center"/>
            <w:hideMark/>
          </w:tcPr>
          <w:p w14:paraId="10DB0B22"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w:t>
            </w:r>
          </w:p>
        </w:tc>
      </w:tr>
      <w:tr w:rsidR="00F06229" w:rsidRPr="005734B8" w14:paraId="200A7655" w14:textId="77777777" w:rsidTr="000F48B1">
        <w:trPr>
          <w:trHeight w:val="255"/>
        </w:trPr>
        <w:tc>
          <w:tcPr>
            <w:tcW w:w="3758" w:type="dxa"/>
            <w:tcBorders>
              <w:top w:val="nil"/>
              <w:left w:val="single" w:sz="4" w:space="0" w:color="FFFFFF"/>
              <w:bottom w:val="single" w:sz="4" w:space="0" w:color="auto"/>
              <w:right w:val="single" w:sz="4" w:space="0" w:color="FFFFFF"/>
            </w:tcBorders>
            <w:shd w:val="clear" w:color="FFFFFF" w:fill="FFFFFF"/>
            <w:vAlign w:val="center"/>
            <w:hideMark/>
          </w:tcPr>
          <w:p w14:paraId="3B5ECA05"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State superannuation schemes</w:t>
            </w:r>
          </w:p>
        </w:tc>
        <w:tc>
          <w:tcPr>
            <w:tcW w:w="1938" w:type="dxa"/>
            <w:tcBorders>
              <w:top w:val="nil"/>
              <w:left w:val="nil"/>
              <w:bottom w:val="single" w:sz="4" w:space="0" w:color="auto"/>
              <w:right w:val="single" w:sz="4" w:space="0" w:color="FFFFFF"/>
            </w:tcBorders>
            <w:shd w:val="clear" w:color="000000" w:fill="D9D9D9"/>
            <w:noWrap/>
            <w:vAlign w:val="center"/>
            <w:hideMark/>
          </w:tcPr>
          <w:p w14:paraId="3E78E3FA"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68.9 </w:t>
            </w:r>
          </w:p>
        </w:tc>
        <w:tc>
          <w:tcPr>
            <w:tcW w:w="1929" w:type="dxa"/>
            <w:tcBorders>
              <w:top w:val="nil"/>
              <w:left w:val="nil"/>
              <w:bottom w:val="single" w:sz="4" w:space="0" w:color="auto"/>
              <w:right w:val="single" w:sz="4" w:space="0" w:color="FFFFFF"/>
            </w:tcBorders>
            <w:shd w:val="clear" w:color="FFFFFF" w:fill="FFFFFF"/>
            <w:noWrap/>
            <w:vAlign w:val="center"/>
            <w:hideMark/>
          </w:tcPr>
          <w:p w14:paraId="3ECED692"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72.7 </w:t>
            </w:r>
          </w:p>
        </w:tc>
      </w:tr>
      <w:tr w:rsidR="00F06229" w:rsidRPr="005734B8" w14:paraId="42C6EAD8" w14:textId="77777777" w:rsidTr="000F48B1">
        <w:trPr>
          <w:trHeight w:val="480"/>
        </w:trPr>
        <w:tc>
          <w:tcPr>
            <w:tcW w:w="3758" w:type="dxa"/>
            <w:tcBorders>
              <w:top w:val="nil"/>
              <w:left w:val="single" w:sz="4" w:space="0" w:color="FFFFFF"/>
              <w:bottom w:val="single" w:sz="4" w:space="0" w:color="auto"/>
              <w:right w:val="single" w:sz="4" w:space="0" w:color="FFFFFF"/>
            </w:tcBorders>
            <w:shd w:val="clear" w:color="FFFFFF" w:fill="FFFFFF"/>
            <w:vAlign w:val="center"/>
            <w:hideMark/>
          </w:tcPr>
          <w:p w14:paraId="4C6A65CF"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Other—state employees retirement benefits scheme</w:t>
            </w:r>
          </w:p>
        </w:tc>
        <w:tc>
          <w:tcPr>
            <w:tcW w:w="1938" w:type="dxa"/>
            <w:tcBorders>
              <w:top w:val="nil"/>
              <w:left w:val="nil"/>
              <w:bottom w:val="single" w:sz="4" w:space="0" w:color="auto"/>
              <w:right w:val="single" w:sz="4" w:space="0" w:color="FFFFFF"/>
            </w:tcBorders>
            <w:shd w:val="clear" w:color="000000" w:fill="D9D9D9"/>
            <w:noWrap/>
            <w:vAlign w:val="center"/>
            <w:hideMark/>
          </w:tcPr>
          <w:p w14:paraId="28D08241"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1.6 </w:t>
            </w:r>
          </w:p>
        </w:tc>
        <w:tc>
          <w:tcPr>
            <w:tcW w:w="1929" w:type="dxa"/>
            <w:tcBorders>
              <w:top w:val="nil"/>
              <w:left w:val="nil"/>
              <w:bottom w:val="single" w:sz="4" w:space="0" w:color="auto"/>
              <w:right w:val="single" w:sz="4" w:space="0" w:color="FFFFFF"/>
            </w:tcBorders>
            <w:shd w:val="clear" w:color="FFFFFF" w:fill="FFFFFF"/>
            <w:noWrap/>
            <w:vAlign w:val="center"/>
            <w:hideMark/>
          </w:tcPr>
          <w:p w14:paraId="6221B919"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1.7 </w:t>
            </w:r>
          </w:p>
        </w:tc>
      </w:tr>
      <w:tr w:rsidR="00F06229" w:rsidRPr="005734B8" w14:paraId="73811CCD" w14:textId="77777777" w:rsidTr="000F48B1">
        <w:trPr>
          <w:trHeight w:val="255"/>
        </w:trPr>
        <w:tc>
          <w:tcPr>
            <w:tcW w:w="3758" w:type="dxa"/>
            <w:tcBorders>
              <w:top w:val="nil"/>
              <w:left w:val="single" w:sz="4" w:space="0" w:color="FFFFFF"/>
              <w:bottom w:val="single" w:sz="4" w:space="0" w:color="auto"/>
              <w:right w:val="single" w:sz="4" w:space="0" w:color="FFFFFF"/>
            </w:tcBorders>
            <w:shd w:val="clear" w:color="000000" w:fill="D9D9D9"/>
            <w:vAlign w:val="center"/>
            <w:hideMark/>
          </w:tcPr>
          <w:p w14:paraId="642C367C"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Defined contribution plans</w:t>
            </w:r>
          </w:p>
        </w:tc>
        <w:tc>
          <w:tcPr>
            <w:tcW w:w="1938" w:type="dxa"/>
            <w:tcBorders>
              <w:top w:val="nil"/>
              <w:left w:val="nil"/>
              <w:bottom w:val="single" w:sz="4" w:space="0" w:color="auto"/>
              <w:right w:val="single" w:sz="4" w:space="0" w:color="FFFFFF"/>
            </w:tcBorders>
            <w:shd w:val="clear" w:color="000000" w:fill="D9D9D9"/>
            <w:noWrap/>
            <w:vAlign w:val="center"/>
            <w:hideMark/>
          </w:tcPr>
          <w:p w14:paraId="0F3320F8"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w:t>
            </w:r>
          </w:p>
        </w:tc>
        <w:tc>
          <w:tcPr>
            <w:tcW w:w="1929" w:type="dxa"/>
            <w:tcBorders>
              <w:top w:val="nil"/>
              <w:left w:val="nil"/>
              <w:bottom w:val="single" w:sz="4" w:space="0" w:color="auto"/>
              <w:right w:val="single" w:sz="4" w:space="0" w:color="FFFFFF"/>
            </w:tcBorders>
            <w:shd w:val="clear" w:color="000000" w:fill="D9D9D9"/>
            <w:noWrap/>
            <w:vAlign w:val="center"/>
            <w:hideMark/>
          </w:tcPr>
          <w:p w14:paraId="37848F7A"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w:t>
            </w:r>
          </w:p>
        </w:tc>
      </w:tr>
      <w:tr w:rsidR="00F06229" w:rsidRPr="005734B8" w14:paraId="11EFE3D0" w14:textId="77777777" w:rsidTr="000F48B1">
        <w:trPr>
          <w:trHeight w:val="255"/>
        </w:trPr>
        <w:tc>
          <w:tcPr>
            <w:tcW w:w="3758" w:type="dxa"/>
            <w:tcBorders>
              <w:top w:val="nil"/>
              <w:left w:val="single" w:sz="4" w:space="0" w:color="FFFFFF"/>
              <w:bottom w:val="single" w:sz="4" w:space="0" w:color="auto"/>
              <w:right w:val="single" w:sz="4" w:space="0" w:color="FFFFFF"/>
            </w:tcBorders>
            <w:shd w:val="clear" w:color="FFFFFF" w:fill="FFFFFF"/>
            <w:vAlign w:val="center"/>
            <w:hideMark/>
          </w:tcPr>
          <w:p w14:paraId="3B3ACA60"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Vic Super</w:t>
            </w:r>
          </w:p>
        </w:tc>
        <w:tc>
          <w:tcPr>
            <w:tcW w:w="1938" w:type="dxa"/>
            <w:tcBorders>
              <w:top w:val="nil"/>
              <w:left w:val="nil"/>
              <w:bottom w:val="single" w:sz="4" w:space="0" w:color="auto"/>
              <w:right w:val="single" w:sz="4" w:space="0" w:color="FFFFFF"/>
            </w:tcBorders>
            <w:shd w:val="clear" w:color="000000" w:fill="D9D9D9"/>
            <w:noWrap/>
            <w:vAlign w:val="center"/>
            <w:hideMark/>
          </w:tcPr>
          <w:p w14:paraId="59729FE9"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423.3 </w:t>
            </w:r>
          </w:p>
        </w:tc>
        <w:tc>
          <w:tcPr>
            <w:tcW w:w="1929" w:type="dxa"/>
            <w:tcBorders>
              <w:top w:val="nil"/>
              <w:left w:val="nil"/>
              <w:bottom w:val="single" w:sz="4" w:space="0" w:color="auto"/>
              <w:right w:val="single" w:sz="4" w:space="0" w:color="FFFFFF"/>
            </w:tcBorders>
            <w:shd w:val="clear" w:color="FFFFFF" w:fill="FFFFFF"/>
            <w:noWrap/>
            <w:vAlign w:val="center"/>
            <w:hideMark/>
          </w:tcPr>
          <w:p w14:paraId="1D6DA216"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396.2 </w:t>
            </w:r>
          </w:p>
        </w:tc>
      </w:tr>
      <w:tr w:rsidR="00F06229" w:rsidRPr="005734B8" w14:paraId="03583A98" w14:textId="77777777" w:rsidTr="000F48B1">
        <w:trPr>
          <w:trHeight w:val="270"/>
        </w:trPr>
        <w:tc>
          <w:tcPr>
            <w:tcW w:w="3758" w:type="dxa"/>
            <w:tcBorders>
              <w:top w:val="nil"/>
              <w:left w:val="single" w:sz="4" w:space="0" w:color="FFFFFF"/>
              <w:bottom w:val="single" w:sz="4" w:space="0" w:color="auto"/>
              <w:right w:val="single" w:sz="4" w:space="0" w:color="FFFFFF"/>
            </w:tcBorders>
            <w:shd w:val="clear" w:color="FFFFFF" w:fill="FFFFFF"/>
            <w:vAlign w:val="center"/>
            <w:hideMark/>
          </w:tcPr>
          <w:p w14:paraId="3B03506B"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Other</w:t>
            </w:r>
          </w:p>
        </w:tc>
        <w:tc>
          <w:tcPr>
            <w:tcW w:w="1938" w:type="dxa"/>
            <w:tcBorders>
              <w:top w:val="nil"/>
              <w:left w:val="nil"/>
              <w:bottom w:val="single" w:sz="4" w:space="0" w:color="auto"/>
              <w:right w:val="single" w:sz="4" w:space="0" w:color="FFFFFF"/>
            </w:tcBorders>
            <w:shd w:val="clear" w:color="000000" w:fill="D9D9D9"/>
            <w:noWrap/>
            <w:vAlign w:val="center"/>
            <w:hideMark/>
          </w:tcPr>
          <w:p w14:paraId="0930F902"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139.0 </w:t>
            </w:r>
          </w:p>
        </w:tc>
        <w:tc>
          <w:tcPr>
            <w:tcW w:w="1929" w:type="dxa"/>
            <w:tcBorders>
              <w:top w:val="nil"/>
              <w:left w:val="nil"/>
              <w:bottom w:val="single" w:sz="4" w:space="0" w:color="auto"/>
              <w:right w:val="single" w:sz="4" w:space="0" w:color="FFFFFF"/>
            </w:tcBorders>
            <w:shd w:val="clear" w:color="FFFFFF" w:fill="FFFFFF"/>
            <w:noWrap/>
            <w:vAlign w:val="center"/>
            <w:hideMark/>
          </w:tcPr>
          <w:p w14:paraId="36CD76ED"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130.4 </w:t>
            </w:r>
          </w:p>
        </w:tc>
      </w:tr>
      <w:tr w:rsidR="00F06229" w:rsidRPr="005734B8" w14:paraId="5A2E88DD" w14:textId="77777777" w:rsidTr="000F48B1">
        <w:trPr>
          <w:trHeight w:val="285"/>
        </w:trPr>
        <w:tc>
          <w:tcPr>
            <w:tcW w:w="3758"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ACC7A2F"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Total</w:t>
            </w:r>
          </w:p>
        </w:tc>
        <w:tc>
          <w:tcPr>
            <w:tcW w:w="1938"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41785A48"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632.8 </w:t>
            </w:r>
          </w:p>
        </w:tc>
        <w:tc>
          <w:tcPr>
            <w:tcW w:w="1929" w:type="dxa"/>
            <w:tcBorders>
              <w:top w:val="single" w:sz="12" w:space="0" w:color="auto"/>
              <w:left w:val="nil"/>
              <w:bottom w:val="single" w:sz="12" w:space="0" w:color="auto"/>
              <w:right w:val="nil"/>
            </w:tcBorders>
            <w:shd w:val="clear" w:color="FFFFFF" w:fill="FFFFFF"/>
            <w:noWrap/>
            <w:vAlign w:val="center"/>
            <w:hideMark/>
          </w:tcPr>
          <w:p w14:paraId="412C43B7"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601.0 </w:t>
            </w:r>
          </w:p>
        </w:tc>
      </w:tr>
    </w:tbl>
    <w:p w14:paraId="464567C4" w14:textId="77777777" w:rsidR="00F06229" w:rsidRPr="005734B8" w:rsidRDefault="00F06229" w:rsidP="00F06229">
      <w:pPr>
        <w:rPr>
          <w:rFonts w:ascii="Calibri" w:hAnsi="Calibri" w:cs="Calibri"/>
          <w:i/>
          <w:sz w:val="14"/>
        </w:rPr>
      </w:pPr>
    </w:p>
    <w:p w14:paraId="0232D6DA" w14:textId="0045726D" w:rsidR="00F06229" w:rsidRPr="005734B8" w:rsidRDefault="00F06229" w:rsidP="00F06229">
      <w:pPr>
        <w:pStyle w:val="ESbullet1"/>
        <w:spacing w:after="0"/>
        <w:ind w:left="0" w:firstLine="0"/>
        <w:rPr>
          <w:rFonts w:ascii="Calibri" w:hAnsi="Calibri" w:cs="Calibri"/>
        </w:rPr>
      </w:pPr>
      <w:r w:rsidRPr="005734B8">
        <w:rPr>
          <w:rFonts w:ascii="Calibri" w:hAnsi="Calibri" w:cs="Calibri"/>
        </w:rPr>
        <w:t xml:space="preserve">There are no contributions outstanding as at June </w:t>
      </w:r>
      <w:r w:rsidRPr="005734B8">
        <w:rPr>
          <w:rFonts w:ascii="Calibri" w:hAnsi="Calibri" w:cs="Calibri"/>
        </w:rPr>
        <w:fldChar w:fldCharType="begin"/>
      </w:r>
      <w:r w:rsidRPr="005734B8">
        <w:rPr>
          <w:rFonts w:ascii="Calibri" w:hAnsi="Calibri" w:cs="Calibri"/>
        </w:rPr>
        <w:instrText xml:space="preserve"> DOCPROPERTY  crYear  \* MERGEFORMAT </w:instrText>
      </w:r>
      <w:r w:rsidRPr="005734B8">
        <w:rPr>
          <w:rFonts w:ascii="Calibri" w:hAnsi="Calibri" w:cs="Calibri"/>
        </w:rPr>
        <w:fldChar w:fldCharType="separate"/>
      </w:r>
      <w:r w:rsidRPr="005734B8">
        <w:rPr>
          <w:rFonts w:ascii="Calibri" w:hAnsi="Calibri" w:cs="Calibri"/>
        </w:rPr>
        <w:t>2021</w:t>
      </w:r>
      <w:r w:rsidRPr="005734B8">
        <w:rPr>
          <w:rFonts w:ascii="Calibri" w:hAnsi="Calibri" w:cs="Calibri"/>
        </w:rPr>
        <w:fldChar w:fldCharType="end"/>
      </w:r>
      <w:r w:rsidRPr="005734B8">
        <w:rPr>
          <w:rFonts w:ascii="Calibri" w:hAnsi="Calibri" w:cs="Calibri"/>
        </w:rPr>
        <w:t xml:space="preserve"> and June </w:t>
      </w:r>
      <w:r w:rsidRPr="005734B8">
        <w:rPr>
          <w:rFonts w:ascii="Calibri" w:hAnsi="Calibri" w:cs="Calibri"/>
        </w:rPr>
        <w:fldChar w:fldCharType="begin"/>
      </w:r>
      <w:r w:rsidRPr="005734B8">
        <w:rPr>
          <w:rFonts w:ascii="Calibri" w:hAnsi="Calibri" w:cs="Calibri"/>
        </w:rPr>
        <w:instrText xml:space="preserve"> DOCPROPERTY  prYear  \* MERGEFORMAT </w:instrText>
      </w:r>
      <w:r w:rsidRPr="005734B8">
        <w:rPr>
          <w:rFonts w:ascii="Calibri" w:hAnsi="Calibri" w:cs="Calibri"/>
        </w:rPr>
        <w:fldChar w:fldCharType="separate"/>
      </w:r>
      <w:r w:rsidRPr="005734B8">
        <w:rPr>
          <w:rFonts w:ascii="Calibri" w:hAnsi="Calibri" w:cs="Calibri"/>
        </w:rPr>
        <w:t>2020</w:t>
      </w:r>
      <w:r w:rsidRPr="005734B8">
        <w:rPr>
          <w:rFonts w:ascii="Calibri" w:hAnsi="Calibri" w:cs="Calibri"/>
        </w:rPr>
        <w:fldChar w:fldCharType="end"/>
      </w:r>
      <w:r w:rsidRPr="005734B8">
        <w:rPr>
          <w:rFonts w:ascii="Calibri" w:hAnsi="Calibri" w:cs="Calibri"/>
        </w:rPr>
        <w:t>.</w:t>
      </w:r>
    </w:p>
    <w:p w14:paraId="736910FB" w14:textId="77777777" w:rsidR="00F06229" w:rsidRPr="005734B8" w:rsidRDefault="00F06229" w:rsidP="002D345C">
      <w:pPr>
        <w:pStyle w:val="ESHeading3"/>
        <w:ind w:left="0" w:firstLine="0"/>
        <w:rPr>
          <w:rFonts w:ascii="Calibri" w:hAnsi="Calibri" w:cs="Calibri"/>
        </w:rPr>
      </w:pPr>
      <w:bookmarkStart w:id="1342" w:name="_Toc11336363"/>
      <w:bookmarkStart w:id="1343" w:name="_Toc14965589"/>
      <w:r w:rsidRPr="005734B8">
        <w:rPr>
          <w:rFonts w:ascii="Calibri" w:hAnsi="Calibri" w:cs="Calibri"/>
        </w:rPr>
        <w:t>3.1.2 Grants and other payments</w:t>
      </w:r>
      <w:bookmarkEnd w:id="1342"/>
      <w:bookmarkEnd w:id="1343"/>
    </w:p>
    <w:tbl>
      <w:tblPr>
        <w:tblW w:w="7625" w:type="dxa"/>
        <w:tblInd w:w="75" w:type="dxa"/>
        <w:tblLayout w:type="fixed"/>
        <w:tblLook w:val="04A0" w:firstRow="1" w:lastRow="0" w:firstColumn="1" w:lastColumn="0" w:noHBand="0" w:noVBand="1"/>
      </w:tblPr>
      <w:tblGrid>
        <w:gridCol w:w="5452"/>
        <w:gridCol w:w="1091"/>
        <w:gridCol w:w="1082"/>
      </w:tblGrid>
      <w:tr w:rsidR="00F06229" w:rsidRPr="005734B8" w14:paraId="51E213E1" w14:textId="77777777" w:rsidTr="000F48B1">
        <w:trPr>
          <w:trHeight w:val="480"/>
        </w:trPr>
        <w:tc>
          <w:tcPr>
            <w:tcW w:w="5452" w:type="dxa"/>
            <w:tcBorders>
              <w:top w:val="nil"/>
              <w:left w:val="single" w:sz="4" w:space="0" w:color="FFFFFF"/>
              <w:bottom w:val="nil"/>
              <w:right w:val="single" w:sz="4" w:space="0" w:color="FFFFFF"/>
            </w:tcBorders>
            <w:shd w:val="clear" w:color="000000" w:fill="AF272F"/>
            <w:vAlign w:val="bottom"/>
            <w:hideMark/>
          </w:tcPr>
          <w:p w14:paraId="20BD5856" w14:textId="77777777" w:rsidR="00F06229" w:rsidRPr="005734B8" w:rsidRDefault="00F06229" w:rsidP="000F48B1">
            <w:pPr>
              <w:jc w:val="center"/>
              <w:rPr>
                <w:rFonts w:ascii="Calibri" w:hAnsi="Calibri" w:cs="Calibri"/>
                <w:b/>
                <w:color w:val="FFFFFF"/>
                <w:sz w:val="18"/>
                <w:szCs w:val="18"/>
              </w:rPr>
            </w:pPr>
            <w:bookmarkStart w:id="1344" w:name="Note_GOTTABLE1" w:colFirst="0" w:colLast="0"/>
            <w:r w:rsidRPr="005734B8">
              <w:rPr>
                <w:rFonts w:ascii="Calibri" w:hAnsi="Calibri" w:cs="Calibri"/>
                <w:b/>
                <w:color w:val="FFFFFF"/>
                <w:sz w:val="18"/>
                <w:szCs w:val="18"/>
              </w:rPr>
              <w:t> </w:t>
            </w:r>
          </w:p>
        </w:tc>
        <w:tc>
          <w:tcPr>
            <w:tcW w:w="1091" w:type="dxa"/>
            <w:tcBorders>
              <w:top w:val="nil"/>
              <w:left w:val="nil"/>
              <w:bottom w:val="single" w:sz="4" w:space="0" w:color="auto"/>
              <w:right w:val="single" w:sz="4" w:space="0" w:color="FFFFFF"/>
            </w:tcBorders>
            <w:shd w:val="clear" w:color="000000" w:fill="AF272F"/>
            <w:hideMark/>
          </w:tcPr>
          <w:p w14:paraId="1AF29C0F" w14:textId="77777777" w:rsidR="00F06229" w:rsidRPr="005734B8" w:rsidRDefault="00F06229"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82" w:type="dxa"/>
            <w:tcBorders>
              <w:top w:val="nil"/>
              <w:left w:val="nil"/>
              <w:bottom w:val="single" w:sz="4" w:space="0" w:color="auto"/>
              <w:right w:val="single" w:sz="4" w:space="0" w:color="FFFFFF"/>
            </w:tcBorders>
            <w:shd w:val="clear" w:color="000000" w:fill="AF272F"/>
            <w:hideMark/>
          </w:tcPr>
          <w:p w14:paraId="6859A37E" w14:textId="77777777" w:rsidR="00F06229" w:rsidRPr="005734B8" w:rsidRDefault="00F06229"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344"/>
      <w:tr w:rsidR="00F06229" w:rsidRPr="005734B8" w14:paraId="3B7E13B5" w14:textId="77777777" w:rsidTr="000F48B1">
        <w:trPr>
          <w:trHeight w:val="255"/>
        </w:trPr>
        <w:tc>
          <w:tcPr>
            <w:tcW w:w="5452"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69218949"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Grant and other payments</w:t>
            </w:r>
          </w:p>
        </w:tc>
        <w:tc>
          <w:tcPr>
            <w:tcW w:w="1091" w:type="dxa"/>
            <w:tcBorders>
              <w:top w:val="nil"/>
              <w:left w:val="nil"/>
              <w:bottom w:val="single" w:sz="4" w:space="0" w:color="auto"/>
              <w:right w:val="single" w:sz="4" w:space="0" w:color="FFFFFF"/>
            </w:tcBorders>
            <w:shd w:val="clear" w:color="000000" w:fill="D9D9D9"/>
            <w:noWrap/>
            <w:vAlign w:val="center"/>
            <w:hideMark/>
          </w:tcPr>
          <w:p w14:paraId="469C9A99"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w:t>
            </w:r>
          </w:p>
        </w:tc>
        <w:tc>
          <w:tcPr>
            <w:tcW w:w="1082" w:type="dxa"/>
            <w:tcBorders>
              <w:top w:val="nil"/>
              <w:left w:val="nil"/>
              <w:bottom w:val="single" w:sz="4" w:space="0" w:color="auto"/>
              <w:right w:val="single" w:sz="4" w:space="0" w:color="FFFFFF"/>
            </w:tcBorders>
            <w:shd w:val="clear" w:color="000000" w:fill="D9D9D9"/>
            <w:noWrap/>
            <w:vAlign w:val="center"/>
            <w:hideMark/>
          </w:tcPr>
          <w:p w14:paraId="00E3BAB3"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w:t>
            </w:r>
          </w:p>
        </w:tc>
      </w:tr>
      <w:tr w:rsidR="00F06229" w:rsidRPr="005734B8" w14:paraId="16A7686A"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6EC6E6D0"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Grants to VCAA</w:t>
            </w:r>
          </w:p>
        </w:tc>
        <w:tc>
          <w:tcPr>
            <w:tcW w:w="1091" w:type="dxa"/>
            <w:tcBorders>
              <w:top w:val="nil"/>
              <w:left w:val="nil"/>
              <w:bottom w:val="single" w:sz="4" w:space="0" w:color="auto"/>
              <w:right w:val="single" w:sz="4" w:space="0" w:color="FFFFFF"/>
            </w:tcBorders>
            <w:shd w:val="clear" w:color="000000" w:fill="D9D9D9"/>
            <w:noWrap/>
            <w:vAlign w:val="center"/>
            <w:hideMark/>
          </w:tcPr>
          <w:p w14:paraId="5F91999E"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70.4 </w:t>
            </w:r>
          </w:p>
        </w:tc>
        <w:tc>
          <w:tcPr>
            <w:tcW w:w="1082" w:type="dxa"/>
            <w:tcBorders>
              <w:top w:val="nil"/>
              <w:left w:val="nil"/>
              <w:bottom w:val="single" w:sz="4" w:space="0" w:color="auto"/>
              <w:right w:val="single" w:sz="4" w:space="0" w:color="FFFFFF"/>
            </w:tcBorders>
            <w:shd w:val="clear" w:color="FFFFFF" w:fill="FFFFFF"/>
            <w:noWrap/>
            <w:vAlign w:val="center"/>
            <w:hideMark/>
          </w:tcPr>
          <w:p w14:paraId="6FBF3D81"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68.0 </w:t>
            </w:r>
          </w:p>
        </w:tc>
      </w:tr>
      <w:tr w:rsidR="00F06229" w:rsidRPr="005734B8" w14:paraId="70709057"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2F5D6960"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Grants to VRQA</w:t>
            </w:r>
          </w:p>
        </w:tc>
        <w:tc>
          <w:tcPr>
            <w:tcW w:w="1091" w:type="dxa"/>
            <w:tcBorders>
              <w:top w:val="nil"/>
              <w:left w:val="nil"/>
              <w:bottom w:val="single" w:sz="4" w:space="0" w:color="auto"/>
              <w:right w:val="single" w:sz="4" w:space="0" w:color="FFFFFF"/>
            </w:tcBorders>
            <w:shd w:val="clear" w:color="000000" w:fill="D9D9D9"/>
            <w:noWrap/>
            <w:vAlign w:val="center"/>
            <w:hideMark/>
          </w:tcPr>
          <w:p w14:paraId="2DA04A90"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17.2 </w:t>
            </w:r>
          </w:p>
        </w:tc>
        <w:tc>
          <w:tcPr>
            <w:tcW w:w="1082" w:type="dxa"/>
            <w:tcBorders>
              <w:top w:val="nil"/>
              <w:left w:val="nil"/>
              <w:bottom w:val="single" w:sz="4" w:space="0" w:color="auto"/>
              <w:right w:val="single" w:sz="4" w:space="0" w:color="FFFFFF"/>
            </w:tcBorders>
            <w:shd w:val="clear" w:color="FFFFFF" w:fill="FFFFFF"/>
            <w:noWrap/>
            <w:vAlign w:val="center"/>
            <w:hideMark/>
          </w:tcPr>
          <w:p w14:paraId="7959431C"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15.6 </w:t>
            </w:r>
          </w:p>
        </w:tc>
      </w:tr>
      <w:tr w:rsidR="00F06229" w:rsidRPr="005734B8" w14:paraId="662EBD47"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295E4D85"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Grants to TAFE</w:t>
            </w:r>
          </w:p>
        </w:tc>
        <w:tc>
          <w:tcPr>
            <w:tcW w:w="1091" w:type="dxa"/>
            <w:tcBorders>
              <w:top w:val="nil"/>
              <w:left w:val="nil"/>
              <w:bottom w:val="single" w:sz="4" w:space="0" w:color="auto"/>
              <w:right w:val="single" w:sz="4" w:space="0" w:color="FFFFFF"/>
            </w:tcBorders>
            <w:shd w:val="clear" w:color="000000" w:fill="D9D9D9"/>
            <w:noWrap/>
            <w:vAlign w:val="center"/>
            <w:hideMark/>
          </w:tcPr>
          <w:p w14:paraId="21D0C128"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808.7 </w:t>
            </w:r>
          </w:p>
        </w:tc>
        <w:tc>
          <w:tcPr>
            <w:tcW w:w="1082" w:type="dxa"/>
            <w:tcBorders>
              <w:top w:val="nil"/>
              <w:left w:val="nil"/>
              <w:bottom w:val="single" w:sz="4" w:space="0" w:color="auto"/>
              <w:right w:val="single" w:sz="4" w:space="0" w:color="FFFFFF"/>
            </w:tcBorders>
            <w:shd w:val="clear" w:color="FFFFFF" w:fill="FFFFFF"/>
            <w:noWrap/>
            <w:vAlign w:val="center"/>
            <w:hideMark/>
          </w:tcPr>
          <w:p w14:paraId="608EED34"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746.6 </w:t>
            </w:r>
          </w:p>
        </w:tc>
      </w:tr>
      <w:tr w:rsidR="00F06229" w:rsidRPr="005734B8" w14:paraId="4FEE6527"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2A204162" w14:textId="5BEC2B95" w:rsidR="00F06229" w:rsidRPr="005734B8" w:rsidRDefault="00F06229" w:rsidP="000F48B1">
            <w:pPr>
              <w:rPr>
                <w:rFonts w:ascii="Calibri" w:hAnsi="Calibri" w:cs="Calibri"/>
                <w:sz w:val="18"/>
                <w:szCs w:val="18"/>
              </w:rPr>
            </w:pPr>
            <w:r w:rsidRPr="005734B8">
              <w:rPr>
                <w:rFonts w:ascii="Calibri" w:hAnsi="Calibri" w:cs="Calibri"/>
                <w:sz w:val="18"/>
                <w:szCs w:val="18"/>
              </w:rPr>
              <w:t xml:space="preserve">Grants to </w:t>
            </w:r>
            <w:r w:rsidR="00374C35" w:rsidRPr="005734B8">
              <w:rPr>
                <w:rFonts w:ascii="Calibri" w:hAnsi="Calibri" w:cs="Calibri"/>
                <w:sz w:val="18"/>
                <w:szCs w:val="18"/>
              </w:rPr>
              <w:t>ACFE</w:t>
            </w:r>
          </w:p>
        </w:tc>
        <w:tc>
          <w:tcPr>
            <w:tcW w:w="1091" w:type="dxa"/>
            <w:tcBorders>
              <w:top w:val="nil"/>
              <w:left w:val="nil"/>
              <w:bottom w:val="single" w:sz="4" w:space="0" w:color="auto"/>
              <w:right w:val="single" w:sz="4" w:space="0" w:color="FFFFFF"/>
            </w:tcBorders>
            <w:shd w:val="clear" w:color="000000" w:fill="D9D9D9"/>
            <w:noWrap/>
            <w:vAlign w:val="center"/>
            <w:hideMark/>
          </w:tcPr>
          <w:p w14:paraId="3279185B"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31.2 </w:t>
            </w:r>
          </w:p>
        </w:tc>
        <w:tc>
          <w:tcPr>
            <w:tcW w:w="1082" w:type="dxa"/>
            <w:tcBorders>
              <w:top w:val="nil"/>
              <w:left w:val="nil"/>
              <w:bottom w:val="single" w:sz="4" w:space="0" w:color="auto"/>
              <w:right w:val="single" w:sz="4" w:space="0" w:color="FFFFFF"/>
            </w:tcBorders>
            <w:shd w:val="clear" w:color="FFFFFF" w:fill="FFFFFF"/>
            <w:noWrap/>
            <w:vAlign w:val="center"/>
            <w:hideMark/>
          </w:tcPr>
          <w:p w14:paraId="6AA82709"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32.4 </w:t>
            </w:r>
          </w:p>
        </w:tc>
      </w:tr>
      <w:tr w:rsidR="00F06229" w:rsidRPr="005734B8" w14:paraId="2A5B7C3F"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07AB5DB1"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Grants to non-government schools</w:t>
            </w:r>
          </w:p>
        </w:tc>
        <w:tc>
          <w:tcPr>
            <w:tcW w:w="1091" w:type="dxa"/>
            <w:tcBorders>
              <w:top w:val="nil"/>
              <w:left w:val="nil"/>
              <w:bottom w:val="single" w:sz="4" w:space="0" w:color="auto"/>
              <w:right w:val="single" w:sz="4" w:space="0" w:color="FFFFFF"/>
            </w:tcBorders>
            <w:shd w:val="clear" w:color="000000" w:fill="D9D9D9"/>
            <w:noWrap/>
            <w:vAlign w:val="center"/>
            <w:hideMark/>
          </w:tcPr>
          <w:p w14:paraId="5435FE94"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958.4 </w:t>
            </w:r>
          </w:p>
        </w:tc>
        <w:tc>
          <w:tcPr>
            <w:tcW w:w="1082" w:type="dxa"/>
            <w:tcBorders>
              <w:top w:val="nil"/>
              <w:left w:val="nil"/>
              <w:bottom w:val="single" w:sz="4" w:space="0" w:color="auto"/>
              <w:right w:val="single" w:sz="4" w:space="0" w:color="FFFFFF"/>
            </w:tcBorders>
            <w:shd w:val="clear" w:color="FFFFFF" w:fill="FFFFFF"/>
            <w:noWrap/>
            <w:vAlign w:val="center"/>
            <w:hideMark/>
          </w:tcPr>
          <w:p w14:paraId="36746535"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839.1 </w:t>
            </w:r>
          </w:p>
        </w:tc>
      </w:tr>
      <w:tr w:rsidR="00F06229" w:rsidRPr="005734B8" w14:paraId="6033F507"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12BA3623"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Grants to external organisations</w:t>
            </w:r>
          </w:p>
        </w:tc>
        <w:tc>
          <w:tcPr>
            <w:tcW w:w="1091" w:type="dxa"/>
            <w:tcBorders>
              <w:top w:val="nil"/>
              <w:left w:val="nil"/>
              <w:bottom w:val="single" w:sz="4" w:space="0" w:color="auto"/>
              <w:right w:val="single" w:sz="4" w:space="0" w:color="FFFFFF"/>
            </w:tcBorders>
            <w:shd w:val="clear" w:color="000000" w:fill="D9D9D9"/>
            <w:noWrap/>
            <w:vAlign w:val="center"/>
            <w:hideMark/>
          </w:tcPr>
          <w:p w14:paraId="0CBB8781"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631.1 </w:t>
            </w:r>
          </w:p>
        </w:tc>
        <w:tc>
          <w:tcPr>
            <w:tcW w:w="1082" w:type="dxa"/>
            <w:tcBorders>
              <w:top w:val="nil"/>
              <w:left w:val="nil"/>
              <w:bottom w:val="single" w:sz="4" w:space="0" w:color="auto"/>
              <w:right w:val="single" w:sz="4" w:space="0" w:color="FFFFFF"/>
            </w:tcBorders>
            <w:shd w:val="clear" w:color="FFFFFF" w:fill="FFFFFF"/>
            <w:noWrap/>
            <w:vAlign w:val="center"/>
            <w:hideMark/>
          </w:tcPr>
          <w:p w14:paraId="114A087A"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480.9 </w:t>
            </w:r>
          </w:p>
        </w:tc>
      </w:tr>
      <w:tr w:rsidR="00F06229" w:rsidRPr="005734B8" w14:paraId="7F59DB1C"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444BFD09"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xml:space="preserve">Other payments </w:t>
            </w:r>
          </w:p>
        </w:tc>
        <w:tc>
          <w:tcPr>
            <w:tcW w:w="1091" w:type="dxa"/>
            <w:tcBorders>
              <w:top w:val="nil"/>
              <w:left w:val="nil"/>
              <w:bottom w:val="single" w:sz="4" w:space="0" w:color="auto"/>
              <w:right w:val="single" w:sz="4" w:space="0" w:color="FFFFFF"/>
            </w:tcBorders>
            <w:shd w:val="clear" w:color="000000" w:fill="D9D9D9"/>
            <w:noWrap/>
            <w:vAlign w:val="center"/>
            <w:hideMark/>
          </w:tcPr>
          <w:p w14:paraId="323726E6"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30.4 </w:t>
            </w:r>
          </w:p>
        </w:tc>
        <w:tc>
          <w:tcPr>
            <w:tcW w:w="1082" w:type="dxa"/>
            <w:tcBorders>
              <w:top w:val="nil"/>
              <w:left w:val="nil"/>
              <w:bottom w:val="single" w:sz="4" w:space="0" w:color="auto"/>
              <w:right w:val="single" w:sz="4" w:space="0" w:color="FFFFFF"/>
            </w:tcBorders>
            <w:shd w:val="clear" w:color="FFFFFF" w:fill="FFFFFF"/>
            <w:noWrap/>
            <w:vAlign w:val="center"/>
            <w:hideMark/>
          </w:tcPr>
          <w:p w14:paraId="08DC1D39"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30.3 </w:t>
            </w:r>
          </w:p>
        </w:tc>
      </w:tr>
      <w:tr w:rsidR="00F06229" w:rsidRPr="005734B8" w14:paraId="00439D3A"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537C559"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Total grants and other payments</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379AAAB2"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2,547.4 </w:t>
            </w:r>
          </w:p>
        </w:tc>
        <w:tc>
          <w:tcPr>
            <w:tcW w:w="1082" w:type="dxa"/>
            <w:tcBorders>
              <w:top w:val="single" w:sz="12" w:space="0" w:color="auto"/>
              <w:left w:val="nil"/>
              <w:bottom w:val="single" w:sz="12" w:space="0" w:color="auto"/>
              <w:right w:val="single" w:sz="12" w:space="0" w:color="FFFFFF"/>
            </w:tcBorders>
            <w:shd w:val="clear" w:color="FFFFFF" w:fill="FFFFFF"/>
            <w:noWrap/>
            <w:vAlign w:val="center"/>
            <w:hideMark/>
          </w:tcPr>
          <w:p w14:paraId="43932D74"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2,212.9 </w:t>
            </w:r>
          </w:p>
        </w:tc>
      </w:tr>
    </w:tbl>
    <w:p w14:paraId="3CF364A1" w14:textId="77AAE34A" w:rsidR="00F06229" w:rsidRPr="005734B8" w:rsidRDefault="00F06229" w:rsidP="00F06229">
      <w:pPr>
        <w:rPr>
          <w:rFonts w:ascii="Calibri" w:eastAsiaTheme="minorEastAsia" w:hAnsi="Calibri" w:cs="Calibri"/>
          <w:szCs w:val="18"/>
          <w:lang w:val="en-US"/>
        </w:rPr>
      </w:pPr>
    </w:p>
    <w:p w14:paraId="606854EC" w14:textId="1132AFD9" w:rsidR="00F06229" w:rsidRPr="005734B8" w:rsidRDefault="00F06229" w:rsidP="00F06229">
      <w:pPr>
        <w:pStyle w:val="ESbullet1"/>
        <w:spacing w:after="0"/>
        <w:ind w:left="0" w:firstLine="0"/>
        <w:rPr>
          <w:rFonts w:ascii="Calibri" w:hAnsi="Calibri" w:cs="Calibri"/>
        </w:rPr>
      </w:pPr>
      <w:r w:rsidRPr="005734B8">
        <w:rPr>
          <w:rFonts w:ascii="Calibri" w:hAnsi="Calibri" w:cs="Calibri"/>
        </w:rPr>
        <w:t xml:space="preserve">Transactions in which the Department provides goods, services, assets (or extinguishes a liability) or labour to another party where there is no expectation that the amount will be repaid in equal value are </w:t>
      </w:r>
      <w:r w:rsidR="00BB7440" w:rsidRPr="005734B8">
        <w:rPr>
          <w:rFonts w:ascii="Calibri" w:hAnsi="Calibri" w:cs="Calibri"/>
        </w:rPr>
        <w:t>recognised</w:t>
      </w:r>
      <w:r w:rsidRPr="005734B8">
        <w:rPr>
          <w:rFonts w:ascii="Calibri" w:hAnsi="Calibri" w:cs="Calibri"/>
        </w:rPr>
        <w:t xml:space="preserve"> as ‘Grant expenses’. Grants can either be operating or capital in nature. </w:t>
      </w:r>
    </w:p>
    <w:p w14:paraId="1D8EC132" w14:textId="77777777" w:rsidR="00F06229" w:rsidRPr="005734B8" w:rsidRDefault="00F06229" w:rsidP="00F06229">
      <w:pPr>
        <w:pStyle w:val="ESbullet1"/>
        <w:spacing w:after="0"/>
        <w:ind w:left="0" w:firstLine="0"/>
        <w:rPr>
          <w:rFonts w:ascii="Calibri" w:hAnsi="Calibri" w:cs="Calibri"/>
        </w:rPr>
      </w:pPr>
    </w:p>
    <w:p w14:paraId="08965E61" w14:textId="74EB263F" w:rsidR="00F06229" w:rsidRPr="005734B8" w:rsidRDefault="00F06229" w:rsidP="00F06229">
      <w:pPr>
        <w:pStyle w:val="ESbullet1"/>
        <w:spacing w:after="0"/>
        <w:ind w:left="0" w:firstLine="0"/>
        <w:rPr>
          <w:rFonts w:ascii="Calibri" w:hAnsi="Calibri" w:cs="Calibri"/>
        </w:rPr>
      </w:pPr>
      <w:r w:rsidRPr="005734B8">
        <w:rPr>
          <w:rFonts w:ascii="Calibri" w:hAnsi="Calibri" w:cs="Calibri"/>
        </w:rPr>
        <w:t>Grants can be paid as general</w:t>
      </w:r>
      <w:r w:rsidR="00A97299" w:rsidRPr="005734B8">
        <w:rPr>
          <w:rFonts w:ascii="Calibri" w:hAnsi="Calibri" w:cs="Calibri"/>
        </w:rPr>
        <w:t xml:space="preserve"> </w:t>
      </w:r>
      <w:r w:rsidRPr="005734B8">
        <w:rPr>
          <w:rFonts w:ascii="Calibri" w:hAnsi="Calibri" w:cs="Calibri"/>
        </w:rPr>
        <w:t>purpose grants</w:t>
      </w:r>
      <w:r w:rsidR="00A97299" w:rsidRPr="005734B8">
        <w:rPr>
          <w:rFonts w:ascii="Calibri" w:hAnsi="Calibri" w:cs="Calibri"/>
        </w:rPr>
        <w:t>,</w:t>
      </w:r>
      <w:r w:rsidRPr="005734B8">
        <w:rPr>
          <w:rFonts w:ascii="Calibri" w:hAnsi="Calibri" w:cs="Calibri"/>
        </w:rPr>
        <w:t xml:space="preserve"> which are not subject to conditions regarding their use. Alternatively, they may be paid as specific purpose grants</w:t>
      </w:r>
      <w:r w:rsidR="00A97299" w:rsidRPr="005734B8">
        <w:rPr>
          <w:rFonts w:ascii="Calibri" w:hAnsi="Calibri" w:cs="Calibri"/>
        </w:rPr>
        <w:t>,</w:t>
      </w:r>
      <w:r w:rsidRPr="005734B8">
        <w:rPr>
          <w:rFonts w:ascii="Calibri" w:hAnsi="Calibri" w:cs="Calibri"/>
        </w:rPr>
        <w:t xml:space="preserve"> which are paid for a particular purpose and/or have conditions attached regarding their use.</w:t>
      </w:r>
    </w:p>
    <w:p w14:paraId="0BAF6018" w14:textId="77777777" w:rsidR="00F06229" w:rsidRPr="005734B8" w:rsidRDefault="00F06229" w:rsidP="00F06229">
      <w:pPr>
        <w:pStyle w:val="ESbullet1"/>
        <w:spacing w:after="0"/>
        <w:ind w:left="0" w:firstLine="0"/>
        <w:rPr>
          <w:rFonts w:ascii="Calibri" w:hAnsi="Calibri" w:cs="Calibri"/>
        </w:rPr>
      </w:pPr>
    </w:p>
    <w:p w14:paraId="62063CAD" w14:textId="4A4A1757" w:rsidR="00F06229" w:rsidRPr="005734B8" w:rsidRDefault="00F06229" w:rsidP="00F06229">
      <w:pPr>
        <w:pStyle w:val="ESbullet1"/>
        <w:spacing w:after="0"/>
        <w:ind w:left="0" w:firstLine="0"/>
        <w:rPr>
          <w:rFonts w:ascii="Calibri" w:hAnsi="Calibri" w:cs="Calibri"/>
        </w:rPr>
      </w:pPr>
      <w:r w:rsidRPr="005734B8">
        <w:rPr>
          <w:rFonts w:ascii="Calibri" w:hAnsi="Calibri" w:cs="Calibri"/>
        </w:rPr>
        <w:t xml:space="preserve">Grants (other than contributions to owners) are </w:t>
      </w:r>
      <w:r w:rsidR="00BB7440" w:rsidRPr="005734B8">
        <w:rPr>
          <w:rFonts w:ascii="Calibri" w:hAnsi="Calibri" w:cs="Calibri"/>
        </w:rPr>
        <w:t>recognised</w:t>
      </w:r>
      <w:r w:rsidRPr="005734B8">
        <w:rPr>
          <w:rFonts w:ascii="Calibri" w:hAnsi="Calibri" w:cs="Calibri"/>
        </w:rPr>
        <w:t xml:space="preserve"> as an expense in the reporting period in which they are paid or payable. They include transactions such as grants and other transfer payments made to </w:t>
      </w:r>
      <w:r w:rsidR="008B7D7F" w:rsidRPr="005734B8">
        <w:rPr>
          <w:rFonts w:ascii="Calibri" w:hAnsi="Calibri" w:cs="Calibri"/>
        </w:rPr>
        <w:t>S</w:t>
      </w:r>
      <w:r w:rsidRPr="005734B8">
        <w:rPr>
          <w:rFonts w:ascii="Calibri" w:hAnsi="Calibri" w:cs="Calibri"/>
        </w:rPr>
        <w:t>tate-owned agencies, local government, non-government schools, and community groups. Grants can take the form of money, assets, goods, services or forgiveness of liabilities.</w:t>
      </w:r>
    </w:p>
    <w:p w14:paraId="2452AF63" w14:textId="77777777" w:rsidR="00F06229" w:rsidRPr="005734B8" w:rsidRDefault="00F06229" w:rsidP="00F06229">
      <w:pPr>
        <w:pStyle w:val="ESbullet1"/>
        <w:spacing w:after="0"/>
        <w:ind w:left="0" w:firstLine="0"/>
        <w:rPr>
          <w:rFonts w:ascii="Calibri" w:hAnsi="Calibri" w:cs="Calibri"/>
        </w:rPr>
      </w:pPr>
    </w:p>
    <w:p w14:paraId="0253EFDD" w14:textId="77777777" w:rsidR="002D345C" w:rsidRPr="005734B8" w:rsidRDefault="002D345C">
      <w:pPr>
        <w:rPr>
          <w:rFonts w:ascii="Calibri" w:eastAsiaTheme="minorEastAsia" w:hAnsi="Calibri" w:cs="Calibri"/>
          <w:b/>
          <w:color w:val="53565A" w:themeColor="accent5"/>
          <w:szCs w:val="18"/>
          <w:lang w:val="en-US"/>
        </w:rPr>
      </w:pPr>
      <w:bookmarkStart w:id="1345" w:name="_Toc11336364"/>
      <w:bookmarkStart w:id="1346" w:name="_Toc14965590"/>
      <w:r w:rsidRPr="005734B8">
        <w:rPr>
          <w:rFonts w:ascii="Calibri" w:hAnsi="Calibri" w:cs="Calibri"/>
        </w:rPr>
        <w:br w:type="page"/>
      </w:r>
    </w:p>
    <w:p w14:paraId="131F2A15" w14:textId="71DE9055" w:rsidR="00F06229" w:rsidRPr="005734B8" w:rsidRDefault="00F06229" w:rsidP="002D345C">
      <w:pPr>
        <w:pStyle w:val="ESHeading3"/>
        <w:ind w:left="0" w:firstLine="0"/>
        <w:rPr>
          <w:rFonts w:ascii="Calibri" w:hAnsi="Calibri" w:cs="Calibri"/>
        </w:rPr>
      </w:pPr>
      <w:r w:rsidRPr="005734B8">
        <w:rPr>
          <w:rFonts w:ascii="Calibri" w:hAnsi="Calibri" w:cs="Calibri"/>
        </w:rPr>
        <w:lastRenderedPageBreak/>
        <w:t>3.1.3 Capital asset charge</w:t>
      </w:r>
      <w:bookmarkEnd w:id="1345"/>
      <w:bookmarkEnd w:id="1346"/>
    </w:p>
    <w:tbl>
      <w:tblPr>
        <w:tblW w:w="7625" w:type="dxa"/>
        <w:tblInd w:w="75" w:type="dxa"/>
        <w:tblLayout w:type="fixed"/>
        <w:tblLook w:val="04A0" w:firstRow="1" w:lastRow="0" w:firstColumn="1" w:lastColumn="0" w:noHBand="0" w:noVBand="1"/>
      </w:tblPr>
      <w:tblGrid>
        <w:gridCol w:w="5452"/>
        <w:gridCol w:w="1091"/>
        <w:gridCol w:w="1082"/>
      </w:tblGrid>
      <w:tr w:rsidR="00F06229" w:rsidRPr="005734B8" w14:paraId="56251B1C" w14:textId="77777777" w:rsidTr="000F48B1">
        <w:trPr>
          <w:trHeight w:val="480"/>
        </w:trPr>
        <w:tc>
          <w:tcPr>
            <w:tcW w:w="5452" w:type="dxa"/>
            <w:tcBorders>
              <w:top w:val="nil"/>
              <w:left w:val="single" w:sz="4" w:space="0" w:color="FFFFFF"/>
              <w:bottom w:val="single" w:sz="4" w:space="0" w:color="auto"/>
              <w:right w:val="single" w:sz="4" w:space="0" w:color="FFFFFF"/>
            </w:tcBorders>
            <w:shd w:val="clear" w:color="000000" w:fill="AF272F"/>
            <w:vAlign w:val="bottom"/>
            <w:hideMark/>
          </w:tcPr>
          <w:p w14:paraId="2D9E1530" w14:textId="77777777" w:rsidR="00F06229" w:rsidRPr="005734B8" w:rsidRDefault="00F06229" w:rsidP="000F48B1">
            <w:pPr>
              <w:jc w:val="center"/>
              <w:rPr>
                <w:rFonts w:ascii="Calibri" w:hAnsi="Calibri" w:cs="Calibri"/>
                <w:b/>
                <w:color w:val="FFFFFF"/>
                <w:sz w:val="18"/>
                <w:szCs w:val="18"/>
              </w:rPr>
            </w:pPr>
            <w:bookmarkStart w:id="1347" w:name="Note_CASTABLE1" w:colFirst="0" w:colLast="0"/>
            <w:r w:rsidRPr="005734B8">
              <w:rPr>
                <w:rFonts w:ascii="Calibri" w:hAnsi="Calibri" w:cs="Calibri"/>
                <w:b/>
                <w:color w:val="FFFFFF"/>
                <w:sz w:val="18"/>
                <w:szCs w:val="18"/>
              </w:rPr>
              <w:t> </w:t>
            </w:r>
          </w:p>
        </w:tc>
        <w:tc>
          <w:tcPr>
            <w:tcW w:w="1091" w:type="dxa"/>
            <w:tcBorders>
              <w:top w:val="nil"/>
              <w:left w:val="nil"/>
              <w:bottom w:val="single" w:sz="4" w:space="0" w:color="auto"/>
              <w:right w:val="single" w:sz="4" w:space="0" w:color="FFFFFF"/>
            </w:tcBorders>
            <w:shd w:val="clear" w:color="000000" w:fill="AF272F"/>
            <w:hideMark/>
          </w:tcPr>
          <w:p w14:paraId="249F96B3" w14:textId="77777777" w:rsidR="00F06229" w:rsidRPr="005734B8" w:rsidRDefault="00F06229"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82" w:type="dxa"/>
            <w:tcBorders>
              <w:top w:val="nil"/>
              <w:left w:val="nil"/>
              <w:bottom w:val="single" w:sz="4" w:space="0" w:color="auto"/>
              <w:right w:val="single" w:sz="4" w:space="0" w:color="FFFFFF"/>
            </w:tcBorders>
            <w:shd w:val="clear" w:color="000000" w:fill="AF272F"/>
            <w:hideMark/>
          </w:tcPr>
          <w:p w14:paraId="196516B7" w14:textId="77777777" w:rsidR="00F06229" w:rsidRPr="005734B8" w:rsidRDefault="00F06229"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347"/>
      <w:tr w:rsidR="00F06229" w:rsidRPr="005734B8" w14:paraId="18EF5EB3"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688DD697"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Capital asset charge</w:t>
            </w:r>
          </w:p>
        </w:tc>
        <w:tc>
          <w:tcPr>
            <w:tcW w:w="1091" w:type="dxa"/>
            <w:tcBorders>
              <w:top w:val="nil"/>
              <w:left w:val="nil"/>
              <w:bottom w:val="single" w:sz="4" w:space="0" w:color="auto"/>
              <w:right w:val="single" w:sz="4" w:space="0" w:color="FFFFFF"/>
            </w:tcBorders>
            <w:shd w:val="clear" w:color="000000" w:fill="D9D9D9"/>
            <w:noWrap/>
            <w:vAlign w:val="center"/>
            <w:hideMark/>
          </w:tcPr>
          <w:p w14:paraId="246E3B65"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1,996.3 </w:t>
            </w:r>
          </w:p>
        </w:tc>
        <w:tc>
          <w:tcPr>
            <w:tcW w:w="1082" w:type="dxa"/>
            <w:tcBorders>
              <w:top w:val="nil"/>
              <w:left w:val="nil"/>
              <w:bottom w:val="single" w:sz="4" w:space="0" w:color="auto"/>
              <w:right w:val="single" w:sz="4" w:space="0" w:color="FFFFFF"/>
            </w:tcBorders>
            <w:shd w:val="clear" w:color="FFFFFF" w:fill="FFFFFF"/>
            <w:noWrap/>
            <w:vAlign w:val="center"/>
            <w:hideMark/>
          </w:tcPr>
          <w:p w14:paraId="33E951AE"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1,963.8 </w:t>
            </w:r>
          </w:p>
        </w:tc>
      </w:tr>
    </w:tbl>
    <w:p w14:paraId="3210AE61" w14:textId="77777777" w:rsidR="00F06229" w:rsidRPr="005734B8" w:rsidRDefault="00F06229" w:rsidP="00F06229">
      <w:pPr>
        <w:pStyle w:val="ESbullet1"/>
        <w:spacing w:after="0"/>
        <w:ind w:left="0" w:firstLine="0"/>
        <w:rPr>
          <w:rFonts w:ascii="Calibri" w:hAnsi="Calibri" w:cs="Calibri"/>
        </w:rPr>
      </w:pPr>
    </w:p>
    <w:p w14:paraId="7266926C" w14:textId="503ED869" w:rsidR="00F06229" w:rsidRPr="005734B8" w:rsidRDefault="00F06229" w:rsidP="00F06229">
      <w:pPr>
        <w:pStyle w:val="ESbullet1"/>
        <w:spacing w:after="0"/>
        <w:ind w:left="0" w:firstLine="0"/>
        <w:rPr>
          <w:rFonts w:ascii="Calibri" w:hAnsi="Calibri" w:cs="Calibri"/>
        </w:rPr>
      </w:pPr>
      <w:r w:rsidRPr="005734B8">
        <w:rPr>
          <w:rFonts w:ascii="Calibri" w:hAnsi="Calibri" w:cs="Calibri"/>
        </w:rPr>
        <w:t>The capital asset charge is a charge levied on the written down value of controlled non</w:t>
      </w:r>
      <w:r w:rsidR="00A97299" w:rsidRPr="005734B8">
        <w:rPr>
          <w:rFonts w:ascii="Calibri" w:hAnsi="Calibri" w:cs="Calibri"/>
        </w:rPr>
        <w:noBreakHyphen/>
      </w:r>
      <w:r w:rsidRPr="005734B8">
        <w:rPr>
          <w:rFonts w:ascii="Calibri" w:hAnsi="Calibri" w:cs="Calibri"/>
        </w:rPr>
        <w:t xml:space="preserve">current physical assets in the Department’s balance sheet. It aims to attribute to the Department outputs, a cost of capital used in service delivery. Imposing this charge provides incentives for the Department to identify and dispose of </w:t>
      </w:r>
      <w:r w:rsidR="008B7D7F" w:rsidRPr="005734B8">
        <w:rPr>
          <w:rFonts w:ascii="Calibri" w:hAnsi="Calibri" w:cs="Calibri"/>
        </w:rPr>
        <w:t>under utilised</w:t>
      </w:r>
      <w:r w:rsidRPr="005734B8">
        <w:rPr>
          <w:rFonts w:ascii="Calibri" w:hAnsi="Calibri" w:cs="Calibri"/>
        </w:rPr>
        <w:t xml:space="preserve"> or surplus non-current physical assets.</w:t>
      </w:r>
    </w:p>
    <w:p w14:paraId="640C3730" w14:textId="36163176" w:rsidR="00F06229" w:rsidRPr="005734B8" w:rsidRDefault="00BB7440" w:rsidP="00B748F9">
      <w:pPr>
        <w:pStyle w:val="ESHeading3"/>
        <w:ind w:left="0" w:firstLine="0"/>
        <w:rPr>
          <w:rFonts w:ascii="Calibri" w:hAnsi="Calibri" w:cs="Calibri"/>
        </w:rPr>
      </w:pPr>
      <w:bookmarkStart w:id="1348" w:name="_Toc11336366"/>
      <w:bookmarkStart w:id="1349" w:name="_Toc14965592"/>
      <w:r w:rsidRPr="005734B8">
        <w:rPr>
          <w:rFonts w:ascii="Calibri" w:hAnsi="Calibri" w:cs="Calibri"/>
        </w:rPr>
        <w:t xml:space="preserve">3.1.4 </w:t>
      </w:r>
      <w:r w:rsidR="00F06229" w:rsidRPr="005734B8">
        <w:rPr>
          <w:rFonts w:ascii="Calibri" w:hAnsi="Calibri" w:cs="Calibri"/>
        </w:rPr>
        <w:t>Other operating expenses</w:t>
      </w:r>
      <w:bookmarkEnd w:id="1348"/>
      <w:bookmarkEnd w:id="1349"/>
    </w:p>
    <w:tbl>
      <w:tblPr>
        <w:tblW w:w="7625" w:type="dxa"/>
        <w:tblInd w:w="80" w:type="dxa"/>
        <w:tblLayout w:type="fixed"/>
        <w:tblLook w:val="04A0" w:firstRow="1" w:lastRow="0" w:firstColumn="1" w:lastColumn="0" w:noHBand="0" w:noVBand="1"/>
      </w:tblPr>
      <w:tblGrid>
        <w:gridCol w:w="5452"/>
        <w:gridCol w:w="1091"/>
        <w:gridCol w:w="1082"/>
      </w:tblGrid>
      <w:tr w:rsidR="00F06229" w:rsidRPr="005734B8" w14:paraId="5BDE5644" w14:textId="77777777" w:rsidTr="000F48B1">
        <w:trPr>
          <w:trHeight w:val="480"/>
        </w:trPr>
        <w:tc>
          <w:tcPr>
            <w:tcW w:w="5452" w:type="dxa"/>
            <w:tcBorders>
              <w:top w:val="nil"/>
              <w:left w:val="nil"/>
              <w:bottom w:val="single" w:sz="4" w:space="0" w:color="auto"/>
              <w:right w:val="single" w:sz="4" w:space="0" w:color="FFFFFF"/>
            </w:tcBorders>
            <w:shd w:val="clear" w:color="000000" w:fill="AF272F"/>
            <w:hideMark/>
          </w:tcPr>
          <w:p w14:paraId="43AE1350" w14:textId="77777777" w:rsidR="00F06229" w:rsidRPr="005734B8" w:rsidRDefault="00F06229" w:rsidP="000F48B1">
            <w:pPr>
              <w:jc w:val="right"/>
              <w:rPr>
                <w:rFonts w:ascii="Calibri" w:hAnsi="Calibri" w:cs="Calibri"/>
                <w:b/>
                <w:color w:val="FFFFFF"/>
                <w:sz w:val="18"/>
                <w:szCs w:val="18"/>
              </w:rPr>
            </w:pPr>
            <w:bookmarkStart w:id="1350" w:name="Note_OEXTABLE1" w:colFirst="0" w:colLast="0"/>
            <w:r w:rsidRPr="005734B8">
              <w:rPr>
                <w:rFonts w:ascii="Calibri" w:hAnsi="Calibri" w:cs="Calibri"/>
                <w:b/>
                <w:color w:val="FFFFFF"/>
                <w:sz w:val="18"/>
                <w:szCs w:val="18"/>
              </w:rPr>
              <w:t> </w:t>
            </w:r>
          </w:p>
        </w:tc>
        <w:tc>
          <w:tcPr>
            <w:tcW w:w="1091" w:type="dxa"/>
            <w:tcBorders>
              <w:top w:val="nil"/>
              <w:left w:val="nil"/>
              <w:bottom w:val="single" w:sz="4" w:space="0" w:color="auto"/>
              <w:right w:val="single" w:sz="4" w:space="0" w:color="FFFFFF"/>
            </w:tcBorders>
            <w:shd w:val="clear" w:color="000000" w:fill="AF272F"/>
            <w:hideMark/>
          </w:tcPr>
          <w:p w14:paraId="0827CCF7" w14:textId="77777777" w:rsidR="00F06229" w:rsidRPr="005734B8" w:rsidRDefault="00F06229"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82" w:type="dxa"/>
            <w:tcBorders>
              <w:top w:val="nil"/>
              <w:left w:val="nil"/>
              <w:bottom w:val="single" w:sz="4" w:space="0" w:color="auto"/>
              <w:right w:val="single" w:sz="4" w:space="0" w:color="FFFFFF"/>
            </w:tcBorders>
            <w:shd w:val="clear" w:color="000000" w:fill="AF272F"/>
            <w:hideMark/>
          </w:tcPr>
          <w:p w14:paraId="79EEDE98" w14:textId="77777777" w:rsidR="00F06229" w:rsidRPr="005734B8" w:rsidRDefault="00F06229"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350"/>
      <w:tr w:rsidR="00F06229" w:rsidRPr="005734B8" w14:paraId="28EC8300"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7BA06204"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Administration</w:t>
            </w:r>
          </w:p>
        </w:tc>
        <w:tc>
          <w:tcPr>
            <w:tcW w:w="1091" w:type="dxa"/>
            <w:tcBorders>
              <w:top w:val="nil"/>
              <w:left w:val="nil"/>
              <w:bottom w:val="single" w:sz="4" w:space="0" w:color="auto"/>
              <w:right w:val="single" w:sz="4" w:space="0" w:color="FFFFFF"/>
            </w:tcBorders>
            <w:shd w:val="clear" w:color="000000" w:fill="D9D9D9"/>
            <w:noWrap/>
            <w:vAlign w:val="center"/>
            <w:hideMark/>
          </w:tcPr>
          <w:p w14:paraId="52DD2232"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496.8 </w:t>
            </w:r>
          </w:p>
        </w:tc>
        <w:tc>
          <w:tcPr>
            <w:tcW w:w="1082" w:type="dxa"/>
            <w:tcBorders>
              <w:top w:val="nil"/>
              <w:left w:val="nil"/>
              <w:bottom w:val="single" w:sz="4" w:space="0" w:color="auto"/>
              <w:right w:val="single" w:sz="4" w:space="0" w:color="FFFFFF"/>
            </w:tcBorders>
            <w:shd w:val="clear" w:color="FFFFFF" w:fill="FFFFFF"/>
            <w:noWrap/>
            <w:vAlign w:val="center"/>
            <w:hideMark/>
          </w:tcPr>
          <w:p w14:paraId="0875C3FD"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426.9 </w:t>
            </w:r>
          </w:p>
        </w:tc>
      </w:tr>
      <w:tr w:rsidR="00F06229" w:rsidRPr="005734B8" w14:paraId="3E97357A"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146A526C"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Maintenance</w:t>
            </w:r>
          </w:p>
        </w:tc>
        <w:tc>
          <w:tcPr>
            <w:tcW w:w="1091" w:type="dxa"/>
            <w:tcBorders>
              <w:top w:val="nil"/>
              <w:left w:val="nil"/>
              <w:bottom w:val="single" w:sz="4" w:space="0" w:color="auto"/>
              <w:right w:val="single" w:sz="4" w:space="0" w:color="FFFFFF"/>
            </w:tcBorders>
            <w:shd w:val="clear" w:color="000000" w:fill="D9D9D9"/>
            <w:noWrap/>
            <w:vAlign w:val="center"/>
            <w:hideMark/>
          </w:tcPr>
          <w:p w14:paraId="4DE8AE48"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279.1 </w:t>
            </w:r>
          </w:p>
        </w:tc>
        <w:tc>
          <w:tcPr>
            <w:tcW w:w="1082" w:type="dxa"/>
            <w:tcBorders>
              <w:top w:val="nil"/>
              <w:left w:val="nil"/>
              <w:bottom w:val="single" w:sz="4" w:space="0" w:color="auto"/>
              <w:right w:val="single" w:sz="4" w:space="0" w:color="FFFFFF"/>
            </w:tcBorders>
            <w:shd w:val="clear" w:color="FFFFFF" w:fill="FFFFFF"/>
            <w:noWrap/>
            <w:vAlign w:val="center"/>
            <w:hideMark/>
          </w:tcPr>
          <w:p w14:paraId="7272F112"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301.5 </w:t>
            </w:r>
          </w:p>
        </w:tc>
      </w:tr>
      <w:tr w:rsidR="00F06229" w:rsidRPr="005734B8" w14:paraId="35BA29AB"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49EB5F90"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School requisites</w:t>
            </w:r>
          </w:p>
        </w:tc>
        <w:tc>
          <w:tcPr>
            <w:tcW w:w="1091" w:type="dxa"/>
            <w:tcBorders>
              <w:top w:val="nil"/>
              <w:left w:val="nil"/>
              <w:bottom w:val="single" w:sz="4" w:space="0" w:color="auto"/>
              <w:right w:val="single" w:sz="4" w:space="0" w:color="FFFFFF"/>
            </w:tcBorders>
            <w:shd w:val="clear" w:color="000000" w:fill="D9D9D9"/>
            <w:noWrap/>
            <w:vAlign w:val="center"/>
            <w:hideMark/>
          </w:tcPr>
          <w:p w14:paraId="65BDF3C6"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762.4 </w:t>
            </w:r>
          </w:p>
        </w:tc>
        <w:tc>
          <w:tcPr>
            <w:tcW w:w="1082" w:type="dxa"/>
            <w:tcBorders>
              <w:top w:val="nil"/>
              <w:left w:val="nil"/>
              <w:bottom w:val="single" w:sz="4" w:space="0" w:color="auto"/>
              <w:right w:val="single" w:sz="4" w:space="0" w:color="FFFFFF"/>
            </w:tcBorders>
            <w:shd w:val="clear" w:color="FFFFFF" w:fill="FFFFFF"/>
            <w:noWrap/>
            <w:vAlign w:val="center"/>
            <w:hideMark/>
          </w:tcPr>
          <w:p w14:paraId="433DD250"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926.4 </w:t>
            </w:r>
          </w:p>
        </w:tc>
      </w:tr>
      <w:tr w:rsidR="00F06229" w:rsidRPr="005734B8" w14:paraId="20688A76"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41DD6075"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IT related costs</w:t>
            </w:r>
          </w:p>
        </w:tc>
        <w:tc>
          <w:tcPr>
            <w:tcW w:w="1091" w:type="dxa"/>
            <w:tcBorders>
              <w:top w:val="nil"/>
              <w:left w:val="nil"/>
              <w:bottom w:val="single" w:sz="4" w:space="0" w:color="auto"/>
              <w:right w:val="single" w:sz="4" w:space="0" w:color="FFFFFF"/>
            </w:tcBorders>
            <w:shd w:val="clear" w:color="000000" w:fill="D9D9D9"/>
            <w:noWrap/>
            <w:vAlign w:val="center"/>
            <w:hideMark/>
          </w:tcPr>
          <w:p w14:paraId="64CA5273"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203.6 </w:t>
            </w:r>
          </w:p>
        </w:tc>
        <w:tc>
          <w:tcPr>
            <w:tcW w:w="1082" w:type="dxa"/>
            <w:tcBorders>
              <w:top w:val="nil"/>
              <w:left w:val="nil"/>
              <w:bottom w:val="single" w:sz="4" w:space="0" w:color="auto"/>
              <w:right w:val="single" w:sz="4" w:space="0" w:color="FFFFFF"/>
            </w:tcBorders>
            <w:shd w:val="clear" w:color="FFFFFF" w:fill="FFFFFF"/>
            <w:noWrap/>
            <w:vAlign w:val="center"/>
            <w:hideMark/>
          </w:tcPr>
          <w:p w14:paraId="40C9FFD6"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171.6 </w:t>
            </w:r>
          </w:p>
        </w:tc>
      </w:tr>
      <w:tr w:rsidR="00F06229" w:rsidRPr="005734B8" w14:paraId="4FA0640C"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6594A2E9"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Service agreement payments</w:t>
            </w:r>
          </w:p>
        </w:tc>
        <w:tc>
          <w:tcPr>
            <w:tcW w:w="1091" w:type="dxa"/>
            <w:tcBorders>
              <w:top w:val="nil"/>
              <w:left w:val="nil"/>
              <w:bottom w:val="single" w:sz="4" w:space="0" w:color="auto"/>
              <w:right w:val="single" w:sz="4" w:space="0" w:color="FFFFFF"/>
            </w:tcBorders>
            <w:shd w:val="clear" w:color="000000" w:fill="D9D9D9"/>
            <w:noWrap/>
            <w:vAlign w:val="center"/>
            <w:hideMark/>
          </w:tcPr>
          <w:p w14:paraId="123AC0E1"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1,139.4 </w:t>
            </w:r>
          </w:p>
        </w:tc>
        <w:tc>
          <w:tcPr>
            <w:tcW w:w="1082" w:type="dxa"/>
            <w:tcBorders>
              <w:top w:val="nil"/>
              <w:left w:val="nil"/>
              <w:bottom w:val="single" w:sz="4" w:space="0" w:color="auto"/>
              <w:right w:val="single" w:sz="4" w:space="0" w:color="FFFFFF"/>
            </w:tcBorders>
            <w:shd w:val="clear" w:color="FFFFFF" w:fill="FFFFFF"/>
            <w:noWrap/>
            <w:vAlign w:val="center"/>
            <w:hideMark/>
          </w:tcPr>
          <w:p w14:paraId="7306315B"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970.6 </w:t>
            </w:r>
          </w:p>
        </w:tc>
      </w:tr>
      <w:tr w:rsidR="00F06229" w:rsidRPr="005734B8" w14:paraId="68F1C940"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572B0117" w14:textId="402F1D7B" w:rsidR="00F06229" w:rsidRPr="005734B8" w:rsidRDefault="00F06229" w:rsidP="000F48B1">
            <w:pPr>
              <w:rPr>
                <w:rFonts w:ascii="Calibri" w:hAnsi="Calibri" w:cs="Calibri"/>
                <w:sz w:val="18"/>
                <w:szCs w:val="18"/>
              </w:rPr>
            </w:pPr>
            <w:r w:rsidRPr="005734B8">
              <w:rPr>
                <w:rFonts w:ascii="Calibri" w:hAnsi="Calibri" w:cs="Calibri"/>
                <w:sz w:val="18"/>
                <w:szCs w:val="18"/>
              </w:rPr>
              <w:t>Short-term and low</w:t>
            </w:r>
            <w:r w:rsidR="008B7D7F" w:rsidRPr="005734B8">
              <w:rPr>
                <w:rFonts w:ascii="Calibri" w:hAnsi="Calibri" w:cs="Calibri"/>
                <w:sz w:val="18"/>
                <w:szCs w:val="18"/>
              </w:rPr>
              <w:t>-</w:t>
            </w:r>
            <w:r w:rsidRPr="005734B8">
              <w:rPr>
                <w:rFonts w:ascii="Calibri" w:hAnsi="Calibri" w:cs="Calibri"/>
                <w:sz w:val="18"/>
                <w:szCs w:val="18"/>
              </w:rPr>
              <w:t>value leases</w:t>
            </w:r>
          </w:p>
        </w:tc>
        <w:tc>
          <w:tcPr>
            <w:tcW w:w="1091" w:type="dxa"/>
            <w:tcBorders>
              <w:top w:val="nil"/>
              <w:left w:val="nil"/>
              <w:bottom w:val="single" w:sz="4" w:space="0" w:color="auto"/>
              <w:right w:val="single" w:sz="4" w:space="0" w:color="FFFFFF"/>
            </w:tcBorders>
            <w:shd w:val="clear" w:color="000000" w:fill="D9D9D9"/>
            <w:noWrap/>
            <w:vAlign w:val="center"/>
            <w:hideMark/>
          </w:tcPr>
          <w:p w14:paraId="27D5BC4E"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43.8 </w:t>
            </w:r>
          </w:p>
        </w:tc>
        <w:tc>
          <w:tcPr>
            <w:tcW w:w="1082" w:type="dxa"/>
            <w:tcBorders>
              <w:top w:val="nil"/>
              <w:left w:val="nil"/>
              <w:bottom w:val="single" w:sz="4" w:space="0" w:color="auto"/>
              <w:right w:val="single" w:sz="4" w:space="0" w:color="FFFFFF"/>
            </w:tcBorders>
            <w:shd w:val="clear" w:color="FFFFFF" w:fill="FFFFFF"/>
            <w:noWrap/>
            <w:vAlign w:val="center"/>
            <w:hideMark/>
          </w:tcPr>
          <w:p w14:paraId="4DA5B3DB"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46.3 </w:t>
            </w:r>
          </w:p>
        </w:tc>
      </w:tr>
      <w:tr w:rsidR="00F06229" w:rsidRPr="005734B8" w14:paraId="01CE9585"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1EC27D49"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Remuneration of auditors</w:t>
            </w:r>
          </w:p>
        </w:tc>
        <w:tc>
          <w:tcPr>
            <w:tcW w:w="1091" w:type="dxa"/>
            <w:tcBorders>
              <w:top w:val="nil"/>
              <w:left w:val="nil"/>
              <w:bottom w:val="single" w:sz="4" w:space="0" w:color="auto"/>
              <w:right w:val="single" w:sz="4" w:space="0" w:color="FFFFFF"/>
            </w:tcBorders>
            <w:shd w:val="clear" w:color="000000" w:fill="D9D9D9"/>
            <w:noWrap/>
            <w:vAlign w:val="center"/>
            <w:hideMark/>
          </w:tcPr>
          <w:p w14:paraId="264D159D"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10.5 </w:t>
            </w:r>
          </w:p>
        </w:tc>
        <w:tc>
          <w:tcPr>
            <w:tcW w:w="1082" w:type="dxa"/>
            <w:tcBorders>
              <w:top w:val="nil"/>
              <w:left w:val="nil"/>
              <w:bottom w:val="single" w:sz="4" w:space="0" w:color="auto"/>
              <w:right w:val="single" w:sz="4" w:space="0" w:color="FFFFFF"/>
            </w:tcBorders>
            <w:shd w:val="clear" w:color="FFFFFF" w:fill="FFFFFF"/>
            <w:noWrap/>
            <w:vAlign w:val="center"/>
            <w:hideMark/>
          </w:tcPr>
          <w:p w14:paraId="7642F56F"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5.9 </w:t>
            </w:r>
          </w:p>
        </w:tc>
      </w:tr>
      <w:tr w:rsidR="00F06229" w:rsidRPr="005734B8" w14:paraId="462B2714"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6D4ABBE5"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Settlement of litigation</w:t>
            </w:r>
          </w:p>
        </w:tc>
        <w:tc>
          <w:tcPr>
            <w:tcW w:w="1091" w:type="dxa"/>
            <w:tcBorders>
              <w:top w:val="nil"/>
              <w:left w:val="nil"/>
              <w:bottom w:val="single" w:sz="4" w:space="0" w:color="auto"/>
              <w:right w:val="single" w:sz="4" w:space="0" w:color="FFFFFF"/>
            </w:tcBorders>
            <w:shd w:val="clear" w:color="000000" w:fill="D9D9D9"/>
            <w:noWrap/>
            <w:vAlign w:val="center"/>
            <w:hideMark/>
          </w:tcPr>
          <w:p w14:paraId="67174351"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1.0 </w:t>
            </w:r>
          </w:p>
        </w:tc>
        <w:tc>
          <w:tcPr>
            <w:tcW w:w="1082" w:type="dxa"/>
            <w:tcBorders>
              <w:top w:val="nil"/>
              <w:left w:val="nil"/>
              <w:bottom w:val="single" w:sz="4" w:space="0" w:color="auto"/>
              <w:right w:val="single" w:sz="4" w:space="0" w:color="FFFFFF"/>
            </w:tcBorders>
            <w:shd w:val="clear" w:color="FFFFFF" w:fill="FFFFFF"/>
            <w:noWrap/>
            <w:vAlign w:val="center"/>
            <w:hideMark/>
          </w:tcPr>
          <w:p w14:paraId="027E6667"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0.6 </w:t>
            </w:r>
          </w:p>
        </w:tc>
      </w:tr>
      <w:tr w:rsidR="00F06229" w:rsidRPr="005734B8" w14:paraId="2B862F37"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008703D0"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Other expenses</w:t>
            </w:r>
          </w:p>
        </w:tc>
        <w:tc>
          <w:tcPr>
            <w:tcW w:w="1091" w:type="dxa"/>
            <w:tcBorders>
              <w:top w:val="nil"/>
              <w:left w:val="nil"/>
              <w:bottom w:val="single" w:sz="4" w:space="0" w:color="auto"/>
              <w:right w:val="single" w:sz="4" w:space="0" w:color="FFFFFF"/>
            </w:tcBorders>
            <w:shd w:val="clear" w:color="000000" w:fill="D9D9D9"/>
            <w:noWrap/>
            <w:vAlign w:val="center"/>
            <w:hideMark/>
          </w:tcPr>
          <w:p w14:paraId="56A9E900"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133.3 </w:t>
            </w:r>
          </w:p>
        </w:tc>
        <w:tc>
          <w:tcPr>
            <w:tcW w:w="1082" w:type="dxa"/>
            <w:tcBorders>
              <w:top w:val="nil"/>
              <w:left w:val="nil"/>
              <w:bottom w:val="single" w:sz="4" w:space="0" w:color="auto"/>
              <w:right w:val="single" w:sz="4" w:space="0" w:color="FFFFFF"/>
            </w:tcBorders>
            <w:shd w:val="clear" w:color="FFFFFF" w:fill="FFFFFF"/>
            <w:noWrap/>
            <w:vAlign w:val="center"/>
            <w:hideMark/>
          </w:tcPr>
          <w:p w14:paraId="4F5C85CF"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111.9 </w:t>
            </w:r>
          </w:p>
        </w:tc>
      </w:tr>
      <w:tr w:rsidR="00F06229" w:rsidRPr="005734B8" w14:paraId="538C4BCD"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55CE22BA"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Finance expenses and fees</w:t>
            </w:r>
          </w:p>
        </w:tc>
        <w:tc>
          <w:tcPr>
            <w:tcW w:w="1091" w:type="dxa"/>
            <w:tcBorders>
              <w:top w:val="nil"/>
              <w:left w:val="nil"/>
              <w:bottom w:val="single" w:sz="4" w:space="0" w:color="auto"/>
              <w:right w:val="single" w:sz="4" w:space="0" w:color="FFFFFF"/>
            </w:tcBorders>
            <w:shd w:val="clear" w:color="000000" w:fill="D9D9D9"/>
            <w:noWrap/>
            <w:vAlign w:val="center"/>
            <w:hideMark/>
          </w:tcPr>
          <w:p w14:paraId="601719ED"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2.4 </w:t>
            </w:r>
          </w:p>
        </w:tc>
        <w:tc>
          <w:tcPr>
            <w:tcW w:w="1082" w:type="dxa"/>
            <w:tcBorders>
              <w:top w:val="nil"/>
              <w:left w:val="nil"/>
              <w:bottom w:val="single" w:sz="4" w:space="0" w:color="auto"/>
              <w:right w:val="single" w:sz="4" w:space="0" w:color="FFFFFF"/>
            </w:tcBorders>
            <w:shd w:val="clear" w:color="FFFFFF" w:fill="FFFFFF"/>
            <w:noWrap/>
            <w:vAlign w:val="center"/>
            <w:hideMark/>
          </w:tcPr>
          <w:p w14:paraId="714A8990"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3.2 </w:t>
            </w:r>
          </w:p>
        </w:tc>
      </w:tr>
      <w:tr w:rsidR="00F06229" w:rsidRPr="005734B8" w14:paraId="63738AEF"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4844E64B"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Ex-gratia expenses</w:t>
            </w:r>
            <w:r w:rsidRPr="005734B8">
              <w:rPr>
                <w:rStyle w:val="FootnoteReference"/>
                <w:rFonts w:ascii="Calibri" w:hAnsi="Calibri" w:cs="Calibri"/>
                <w:sz w:val="18"/>
                <w:szCs w:val="18"/>
              </w:rPr>
              <w:footnoteReference w:id="83"/>
            </w:r>
          </w:p>
        </w:tc>
        <w:tc>
          <w:tcPr>
            <w:tcW w:w="1091" w:type="dxa"/>
            <w:tcBorders>
              <w:top w:val="nil"/>
              <w:left w:val="nil"/>
              <w:bottom w:val="single" w:sz="4" w:space="0" w:color="auto"/>
              <w:right w:val="single" w:sz="4" w:space="0" w:color="FFFFFF"/>
            </w:tcBorders>
            <w:shd w:val="clear" w:color="000000" w:fill="D9D9D9"/>
            <w:noWrap/>
            <w:vAlign w:val="center"/>
            <w:hideMark/>
          </w:tcPr>
          <w:p w14:paraId="16439787"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0.1 </w:t>
            </w:r>
          </w:p>
        </w:tc>
        <w:tc>
          <w:tcPr>
            <w:tcW w:w="1082" w:type="dxa"/>
            <w:tcBorders>
              <w:top w:val="nil"/>
              <w:left w:val="nil"/>
              <w:bottom w:val="single" w:sz="4" w:space="0" w:color="auto"/>
              <w:right w:val="single" w:sz="4" w:space="0" w:color="FFFFFF"/>
            </w:tcBorders>
            <w:shd w:val="clear" w:color="FFFFFF" w:fill="FFFFFF"/>
            <w:noWrap/>
            <w:vAlign w:val="center"/>
            <w:hideMark/>
          </w:tcPr>
          <w:p w14:paraId="3A18C613"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0.1 </w:t>
            </w:r>
          </w:p>
        </w:tc>
      </w:tr>
      <w:tr w:rsidR="00F06229" w:rsidRPr="005734B8" w14:paraId="15522B71"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62A5F054"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Bad and doubtful debts</w:t>
            </w:r>
          </w:p>
        </w:tc>
        <w:tc>
          <w:tcPr>
            <w:tcW w:w="1091" w:type="dxa"/>
            <w:tcBorders>
              <w:top w:val="nil"/>
              <w:left w:val="nil"/>
              <w:bottom w:val="single" w:sz="4" w:space="0" w:color="auto"/>
              <w:right w:val="single" w:sz="4" w:space="0" w:color="FFFFFF"/>
            </w:tcBorders>
            <w:shd w:val="clear" w:color="000000" w:fill="D9D9D9"/>
            <w:noWrap/>
            <w:vAlign w:val="center"/>
            <w:hideMark/>
          </w:tcPr>
          <w:p w14:paraId="1301A9E0"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0.7 </w:t>
            </w:r>
          </w:p>
        </w:tc>
        <w:tc>
          <w:tcPr>
            <w:tcW w:w="1082" w:type="dxa"/>
            <w:tcBorders>
              <w:top w:val="nil"/>
              <w:left w:val="nil"/>
              <w:bottom w:val="single" w:sz="4" w:space="0" w:color="auto"/>
              <w:right w:val="single" w:sz="4" w:space="0" w:color="FFFFFF"/>
            </w:tcBorders>
            <w:shd w:val="clear" w:color="FFFFFF" w:fill="FFFFFF"/>
            <w:noWrap/>
            <w:vAlign w:val="center"/>
            <w:hideMark/>
          </w:tcPr>
          <w:p w14:paraId="41DEA44E" w14:textId="41AF88E8" w:rsidR="00F06229" w:rsidRPr="005734B8" w:rsidRDefault="00244FF7" w:rsidP="000F48B1">
            <w:pPr>
              <w:jc w:val="right"/>
              <w:rPr>
                <w:rFonts w:ascii="Calibri" w:hAnsi="Calibri" w:cs="Calibri"/>
                <w:sz w:val="18"/>
                <w:szCs w:val="18"/>
              </w:rPr>
            </w:pPr>
            <w:r w:rsidRPr="005734B8">
              <w:rPr>
                <w:rFonts w:ascii="Calibri" w:hAnsi="Calibri" w:cs="Calibri"/>
                <w:sz w:val="18"/>
                <w:szCs w:val="18"/>
              </w:rPr>
              <w:softHyphen/>
            </w:r>
            <w:r w:rsidR="00EE3FB9" w:rsidRPr="005734B8">
              <w:rPr>
                <w:rFonts w:ascii="Calibri" w:hAnsi="Calibri" w:cs="Calibri"/>
                <w:sz w:val="18"/>
                <w:szCs w:val="18"/>
              </w:rPr>
              <w:t>–</w:t>
            </w:r>
            <w:r w:rsidR="00F06229" w:rsidRPr="005734B8">
              <w:rPr>
                <w:rFonts w:ascii="Calibri" w:hAnsi="Calibri" w:cs="Calibri"/>
                <w:sz w:val="18"/>
                <w:szCs w:val="18"/>
              </w:rPr>
              <w:t xml:space="preserve"> </w:t>
            </w:r>
          </w:p>
        </w:tc>
      </w:tr>
      <w:tr w:rsidR="00F06229" w:rsidRPr="005734B8" w14:paraId="3BD7F4C0"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C593F22"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Total other operating expenses</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6D7ADDA"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3,073.1 </w:t>
            </w:r>
          </w:p>
        </w:tc>
        <w:tc>
          <w:tcPr>
            <w:tcW w:w="1082" w:type="dxa"/>
            <w:tcBorders>
              <w:top w:val="single" w:sz="12" w:space="0" w:color="auto"/>
              <w:left w:val="nil"/>
              <w:bottom w:val="single" w:sz="12" w:space="0" w:color="auto"/>
              <w:right w:val="nil"/>
            </w:tcBorders>
            <w:shd w:val="clear" w:color="FFFFFF" w:fill="FFFFFF"/>
            <w:noWrap/>
            <w:vAlign w:val="center"/>
            <w:hideMark/>
          </w:tcPr>
          <w:p w14:paraId="2B356E5F"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2,965.0 </w:t>
            </w:r>
          </w:p>
        </w:tc>
      </w:tr>
    </w:tbl>
    <w:p w14:paraId="66D5331A" w14:textId="77777777" w:rsidR="00F06229" w:rsidRPr="005734B8" w:rsidRDefault="00F06229" w:rsidP="00F06229">
      <w:pPr>
        <w:pStyle w:val="ESbullet1"/>
        <w:spacing w:after="0"/>
        <w:ind w:left="0" w:firstLine="0"/>
        <w:rPr>
          <w:rFonts w:ascii="Calibri" w:hAnsi="Calibri" w:cs="Calibri"/>
        </w:rPr>
      </w:pPr>
    </w:p>
    <w:p w14:paraId="1C1665FB" w14:textId="0BFA967B" w:rsidR="00F06229" w:rsidRPr="005734B8" w:rsidRDefault="00F06229" w:rsidP="00F06229">
      <w:pPr>
        <w:pStyle w:val="ESbullet1"/>
        <w:spacing w:after="0"/>
        <w:ind w:left="0" w:firstLine="0"/>
        <w:rPr>
          <w:rFonts w:ascii="Calibri" w:hAnsi="Calibri" w:cs="Calibri"/>
        </w:rPr>
      </w:pPr>
      <w:r w:rsidRPr="005734B8">
        <w:rPr>
          <w:rFonts w:ascii="Calibri" w:hAnsi="Calibri" w:cs="Calibri"/>
        </w:rPr>
        <w:t>Other operating expenses include cost of goods sold</w:t>
      </w:r>
      <w:r w:rsidR="00A97299" w:rsidRPr="005734B8">
        <w:rPr>
          <w:rFonts w:ascii="Calibri" w:hAnsi="Calibri" w:cs="Calibri"/>
        </w:rPr>
        <w:t>,</w:t>
      </w:r>
      <w:r w:rsidRPr="005734B8">
        <w:rPr>
          <w:rFonts w:ascii="Calibri" w:hAnsi="Calibri" w:cs="Calibri"/>
        </w:rPr>
        <w:t xml:space="preserve"> and the day-to-day running costs, including school requisites and maintenance costs, incurred in the normal operations of the Department. These items are </w:t>
      </w:r>
      <w:r w:rsidR="00B748F9" w:rsidRPr="005734B8">
        <w:rPr>
          <w:rFonts w:ascii="Calibri" w:hAnsi="Calibri" w:cs="Calibri"/>
        </w:rPr>
        <w:t>r</w:t>
      </w:r>
      <w:r w:rsidR="00B15F9A" w:rsidRPr="005734B8">
        <w:rPr>
          <w:rFonts w:ascii="Calibri" w:hAnsi="Calibri" w:cs="Calibri"/>
        </w:rPr>
        <w:t>ecogni</w:t>
      </w:r>
      <w:r w:rsidR="00B748F9" w:rsidRPr="005734B8">
        <w:rPr>
          <w:rFonts w:ascii="Calibri" w:hAnsi="Calibri" w:cs="Calibri"/>
        </w:rPr>
        <w:t>s</w:t>
      </w:r>
      <w:r w:rsidR="00B15F9A" w:rsidRPr="005734B8">
        <w:rPr>
          <w:rFonts w:ascii="Calibri" w:hAnsi="Calibri" w:cs="Calibri"/>
        </w:rPr>
        <w:t>ed</w:t>
      </w:r>
      <w:r w:rsidRPr="005734B8">
        <w:rPr>
          <w:rFonts w:ascii="Calibri" w:hAnsi="Calibri" w:cs="Calibri"/>
        </w:rPr>
        <w:t xml:space="preserve"> as an expense in the reporting period in which they are incurred.</w:t>
      </w:r>
    </w:p>
    <w:p w14:paraId="2253197D" w14:textId="1A62F64C" w:rsidR="00F06229" w:rsidRPr="005734B8" w:rsidRDefault="00F06229" w:rsidP="00F06229">
      <w:pPr>
        <w:spacing w:before="120" w:after="120"/>
        <w:rPr>
          <w:rFonts w:ascii="Calibri" w:eastAsiaTheme="minorEastAsia" w:hAnsi="Calibri" w:cs="Calibri"/>
          <w:szCs w:val="18"/>
          <w:lang w:val="en-US"/>
        </w:rPr>
      </w:pPr>
      <w:r w:rsidRPr="005734B8">
        <w:rPr>
          <w:rFonts w:ascii="Calibri" w:eastAsiaTheme="minorEastAsia" w:hAnsi="Calibri" w:cs="Calibri"/>
          <w:szCs w:val="18"/>
          <w:lang w:val="en-US"/>
        </w:rPr>
        <w:t xml:space="preserve">The following lease payments are </w:t>
      </w:r>
      <w:r w:rsidR="00B748F9" w:rsidRPr="005734B8">
        <w:rPr>
          <w:rFonts w:ascii="Calibri" w:eastAsiaTheme="minorEastAsia" w:hAnsi="Calibri" w:cs="Calibri"/>
          <w:szCs w:val="18"/>
          <w:lang w:val="en-US"/>
        </w:rPr>
        <w:t>r</w:t>
      </w:r>
      <w:r w:rsidR="00B15F9A" w:rsidRPr="005734B8">
        <w:rPr>
          <w:rFonts w:ascii="Calibri" w:eastAsiaTheme="minorEastAsia" w:hAnsi="Calibri" w:cs="Calibri"/>
          <w:szCs w:val="18"/>
          <w:lang w:val="en-US"/>
        </w:rPr>
        <w:t>ecogni</w:t>
      </w:r>
      <w:r w:rsidR="00B748F9" w:rsidRPr="005734B8">
        <w:rPr>
          <w:rFonts w:ascii="Calibri" w:eastAsiaTheme="minorEastAsia" w:hAnsi="Calibri" w:cs="Calibri"/>
          <w:szCs w:val="18"/>
          <w:lang w:val="en-US"/>
        </w:rPr>
        <w:t>s</w:t>
      </w:r>
      <w:r w:rsidR="00B15F9A" w:rsidRPr="005734B8">
        <w:rPr>
          <w:rFonts w:ascii="Calibri" w:eastAsiaTheme="minorEastAsia" w:hAnsi="Calibri" w:cs="Calibri"/>
          <w:szCs w:val="18"/>
          <w:lang w:val="en-US"/>
        </w:rPr>
        <w:t>ed</w:t>
      </w:r>
      <w:r w:rsidRPr="005734B8">
        <w:rPr>
          <w:rFonts w:ascii="Calibri" w:eastAsiaTheme="minorEastAsia" w:hAnsi="Calibri" w:cs="Calibri"/>
          <w:szCs w:val="18"/>
          <w:lang w:val="en-US"/>
        </w:rPr>
        <w:t xml:space="preserve"> on a straight-line basis:</w:t>
      </w:r>
    </w:p>
    <w:p w14:paraId="690598F0" w14:textId="310E8374" w:rsidR="00F06229" w:rsidRPr="005734B8" w:rsidRDefault="00F06229" w:rsidP="00F1540A">
      <w:pPr>
        <w:pStyle w:val="ListParagraph"/>
        <w:numPr>
          <w:ilvl w:val="0"/>
          <w:numId w:val="61"/>
        </w:numPr>
        <w:spacing w:before="120" w:after="120" w:line="260" w:lineRule="atLeast"/>
        <w:rPr>
          <w:rFonts w:ascii="Calibri" w:eastAsiaTheme="minorEastAsia" w:hAnsi="Calibri" w:cs="Calibri"/>
          <w:szCs w:val="18"/>
          <w:lang w:val="en-US"/>
        </w:rPr>
      </w:pPr>
      <w:r w:rsidRPr="005734B8">
        <w:rPr>
          <w:rFonts w:ascii="Calibri" w:eastAsiaTheme="minorEastAsia" w:hAnsi="Calibri" w:cs="Calibri"/>
          <w:szCs w:val="18"/>
          <w:lang w:val="en-US"/>
        </w:rPr>
        <w:t>short-term leases</w:t>
      </w:r>
      <w:r w:rsidR="00A97299" w:rsidRPr="005734B8">
        <w:rPr>
          <w:rFonts w:ascii="Calibri" w:hAnsi="Calibri" w:cs="Calibri"/>
        </w:rPr>
        <w:t>—</w:t>
      </w:r>
      <w:r w:rsidRPr="005734B8">
        <w:rPr>
          <w:rFonts w:ascii="Calibri" w:eastAsiaTheme="minorEastAsia" w:hAnsi="Calibri" w:cs="Calibri"/>
          <w:szCs w:val="18"/>
          <w:lang w:val="en-US"/>
        </w:rPr>
        <w:t xml:space="preserve">leases with a term </w:t>
      </w:r>
      <w:r w:rsidR="008B7D7F" w:rsidRPr="005734B8">
        <w:rPr>
          <w:rFonts w:ascii="Calibri" w:eastAsiaTheme="minorEastAsia" w:hAnsi="Calibri" w:cs="Calibri"/>
          <w:szCs w:val="18"/>
          <w:lang w:val="en-US"/>
        </w:rPr>
        <w:t>shorter</w:t>
      </w:r>
      <w:r w:rsidRPr="005734B8">
        <w:rPr>
          <w:rFonts w:ascii="Calibri" w:eastAsiaTheme="minorEastAsia" w:hAnsi="Calibri" w:cs="Calibri"/>
          <w:szCs w:val="18"/>
          <w:lang w:val="en-US"/>
        </w:rPr>
        <w:t xml:space="preserve"> than 12 months</w:t>
      </w:r>
    </w:p>
    <w:p w14:paraId="16C928CD" w14:textId="00747DF4" w:rsidR="00F06229" w:rsidRPr="005734B8" w:rsidRDefault="00F06229" w:rsidP="00F1540A">
      <w:pPr>
        <w:pStyle w:val="ListParagraph"/>
        <w:numPr>
          <w:ilvl w:val="0"/>
          <w:numId w:val="62"/>
        </w:numPr>
        <w:spacing w:before="120" w:after="120" w:line="260" w:lineRule="atLeast"/>
        <w:rPr>
          <w:rFonts w:ascii="Calibri" w:eastAsiaTheme="minorEastAsia" w:hAnsi="Calibri" w:cs="Calibri"/>
          <w:szCs w:val="18"/>
          <w:lang w:val="en-US"/>
        </w:rPr>
      </w:pPr>
      <w:r w:rsidRPr="005734B8">
        <w:rPr>
          <w:rFonts w:ascii="Calibri" w:eastAsiaTheme="minorEastAsia" w:hAnsi="Calibri" w:cs="Calibri"/>
          <w:szCs w:val="18"/>
          <w:lang w:val="en-US"/>
        </w:rPr>
        <w:t>low</w:t>
      </w:r>
      <w:r w:rsidR="00A97299" w:rsidRPr="005734B8">
        <w:rPr>
          <w:rFonts w:ascii="Calibri" w:eastAsiaTheme="minorEastAsia" w:hAnsi="Calibri" w:cs="Calibri"/>
          <w:szCs w:val="18"/>
          <w:lang w:val="en-US"/>
        </w:rPr>
        <w:noBreakHyphen/>
      </w:r>
      <w:r w:rsidRPr="005734B8">
        <w:rPr>
          <w:rFonts w:ascii="Calibri" w:eastAsiaTheme="minorEastAsia" w:hAnsi="Calibri" w:cs="Calibri"/>
          <w:szCs w:val="18"/>
          <w:lang w:val="en-US"/>
        </w:rPr>
        <w:t>value leases</w:t>
      </w:r>
      <w:r w:rsidR="00A97299" w:rsidRPr="005734B8">
        <w:rPr>
          <w:rFonts w:ascii="Calibri" w:hAnsi="Calibri" w:cs="Calibri"/>
        </w:rPr>
        <w:t>—</w:t>
      </w:r>
      <w:r w:rsidRPr="005734B8">
        <w:rPr>
          <w:rFonts w:ascii="Calibri" w:eastAsiaTheme="minorEastAsia" w:hAnsi="Calibri" w:cs="Calibri"/>
          <w:szCs w:val="18"/>
          <w:lang w:val="en-US"/>
        </w:rPr>
        <w:t>leases with the underlying asset’s fair value (when new, regardless of the age of the asset being leased) is no more than $10,000.</w:t>
      </w:r>
    </w:p>
    <w:p w14:paraId="33574336" w14:textId="3CB50BB4" w:rsidR="002E4354" w:rsidRPr="005734B8" w:rsidRDefault="00F06229" w:rsidP="002D345C">
      <w:pPr>
        <w:rPr>
          <w:rFonts w:ascii="Calibri" w:hAnsi="Calibri" w:cs="Calibri"/>
        </w:rPr>
      </w:pPr>
      <w:r w:rsidRPr="005734B8">
        <w:rPr>
          <w:rFonts w:ascii="Calibri" w:eastAsiaTheme="minorEastAsia" w:hAnsi="Calibri" w:cs="Calibri"/>
          <w:szCs w:val="18"/>
          <w:lang w:val="en-US"/>
        </w:rPr>
        <w:t>Variable lease payments that are not included in the measurement of the lease liability (for example, variable lease payments that do not depend on an index or a rate and which are not, in substance</w:t>
      </w:r>
      <w:r w:rsidR="00A97299" w:rsidRPr="005734B8">
        <w:rPr>
          <w:rFonts w:ascii="Calibri" w:eastAsiaTheme="minorEastAsia" w:hAnsi="Calibri" w:cs="Calibri"/>
          <w:szCs w:val="18"/>
          <w:lang w:val="en-US"/>
        </w:rPr>
        <w:t>,</w:t>
      </w:r>
      <w:r w:rsidRPr="005734B8">
        <w:rPr>
          <w:rFonts w:ascii="Calibri" w:eastAsiaTheme="minorEastAsia" w:hAnsi="Calibri" w:cs="Calibri"/>
          <w:szCs w:val="18"/>
          <w:lang w:val="en-US"/>
        </w:rPr>
        <w:t xml:space="preserve"> fixed) such as those based on performance or usage of the underlying asset, are </w:t>
      </w:r>
      <w:r w:rsidR="00B748F9" w:rsidRPr="005734B8">
        <w:rPr>
          <w:rFonts w:ascii="Calibri" w:eastAsiaTheme="minorEastAsia" w:hAnsi="Calibri" w:cs="Calibri"/>
          <w:szCs w:val="18"/>
          <w:lang w:val="en-US"/>
        </w:rPr>
        <w:t>r</w:t>
      </w:r>
      <w:r w:rsidR="00B15F9A" w:rsidRPr="005734B8">
        <w:rPr>
          <w:rFonts w:ascii="Calibri" w:eastAsiaTheme="minorEastAsia" w:hAnsi="Calibri" w:cs="Calibri"/>
          <w:szCs w:val="18"/>
          <w:lang w:val="en-US"/>
        </w:rPr>
        <w:t>ecogni</w:t>
      </w:r>
      <w:r w:rsidR="00B748F9" w:rsidRPr="005734B8">
        <w:rPr>
          <w:rFonts w:ascii="Calibri" w:eastAsiaTheme="minorEastAsia" w:hAnsi="Calibri" w:cs="Calibri"/>
          <w:szCs w:val="18"/>
          <w:lang w:val="en-US"/>
        </w:rPr>
        <w:t>s</w:t>
      </w:r>
      <w:r w:rsidR="00B15F9A" w:rsidRPr="005734B8">
        <w:rPr>
          <w:rFonts w:ascii="Calibri" w:eastAsiaTheme="minorEastAsia" w:hAnsi="Calibri" w:cs="Calibri"/>
          <w:szCs w:val="18"/>
          <w:lang w:val="en-US"/>
        </w:rPr>
        <w:t>ed</w:t>
      </w:r>
      <w:r w:rsidRPr="005734B8">
        <w:rPr>
          <w:rFonts w:ascii="Calibri" w:eastAsiaTheme="minorEastAsia" w:hAnsi="Calibri" w:cs="Calibri"/>
          <w:szCs w:val="18"/>
          <w:lang w:val="en-US"/>
        </w:rPr>
        <w:t xml:space="preserve"> in the </w:t>
      </w:r>
      <w:r w:rsidR="00A97299" w:rsidRPr="005734B8">
        <w:rPr>
          <w:rFonts w:ascii="Calibri" w:eastAsiaTheme="minorEastAsia" w:hAnsi="Calibri" w:cs="Calibri"/>
          <w:szCs w:val="18"/>
          <w:lang w:val="en-US"/>
        </w:rPr>
        <w:t>c</w:t>
      </w:r>
      <w:r w:rsidRPr="005734B8">
        <w:rPr>
          <w:rFonts w:ascii="Calibri" w:eastAsiaTheme="minorEastAsia" w:hAnsi="Calibri" w:cs="Calibri"/>
          <w:szCs w:val="18"/>
          <w:lang w:val="en-US"/>
        </w:rPr>
        <w:t xml:space="preserve">omprehensive operating statement (except for payments </w:t>
      </w:r>
      <w:r w:rsidR="00852EB8" w:rsidRPr="005734B8">
        <w:rPr>
          <w:rFonts w:ascii="Calibri" w:eastAsiaTheme="minorEastAsia" w:hAnsi="Calibri" w:cs="Calibri"/>
          <w:szCs w:val="18"/>
          <w:lang w:val="en-US"/>
        </w:rPr>
        <w:t>that have</w:t>
      </w:r>
      <w:r w:rsidRPr="005734B8">
        <w:rPr>
          <w:rFonts w:ascii="Calibri" w:eastAsiaTheme="minorEastAsia" w:hAnsi="Calibri" w:cs="Calibri"/>
          <w:szCs w:val="18"/>
          <w:lang w:val="en-US"/>
        </w:rPr>
        <w:t xml:space="preserve"> been included in the carrying amount of another asset) in the period in which the event or condition that triggers those payments occur. </w:t>
      </w:r>
      <w:r w:rsidR="002E4354" w:rsidRPr="005734B8">
        <w:rPr>
          <w:rFonts w:ascii="Calibri" w:hAnsi="Calibri" w:cs="Calibri"/>
        </w:rPr>
        <w:br w:type="page"/>
      </w:r>
    </w:p>
    <w:p w14:paraId="1166DE87" w14:textId="77777777" w:rsidR="00C43D39" w:rsidRDefault="002E4354" w:rsidP="00B748F9">
      <w:pPr>
        <w:pStyle w:val="Note"/>
      </w:pPr>
      <w:bookmarkStart w:id="1351" w:name="_Toc14965593"/>
      <w:bookmarkStart w:id="1352" w:name="_Toc36012777"/>
      <w:bookmarkStart w:id="1353" w:name="_Toc36012855"/>
      <w:bookmarkStart w:id="1354" w:name="_Toc48402830"/>
      <w:bookmarkStart w:id="1355" w:name="_Toc48403067"/>
      <w:bookmarkStart w:id="1356" w:name="_Toc51332810"/>
      <w:bookmarkStart w:id="1357" w:name="_Toc80272076"/>
      <w:bookmarkStart w:id="1358" w:name="_Toc81315375"/>
      <w:r w:rsidRPr="00B748F9">
        <w:lastRenderedPageBreak/>
        <w:t>Disaggregated financial</w:t>
      </w:r>
      <w:r w:rsidR="00B748F9">
        <w:t xml:space="preserve"> </w:t>
      </w:r>
      <w:r w:rsidRPr="00B748F9">
        <w:t>information by</w:t>
      </w:r>
      <w:r w:rsidR="00572811" w:rsidRPr="00B748F9">
        <w:t xml:space="preserve"> </w:t>
      </w:r>
      <w:r w:rsidRPr="00B748F9">
        <w:t>output</w:t>
      </w:r>
      <w:bookmarkEnd w:id="1351"/>
      <w:bookmarkEnd w:id="1352"/>
      <w:bookmarkEnd w:id="1353"/>
      <w:bookmarkEnd w:id="1354"/>
      <w:bookmarkEnd w:id="1355"/>
      <w:bookmarkEnd w:id="1356"/>
      <w:bookmarkEnd w:id="1357"/>
      <w:bookmarkEnd w:id="1358"/>
    </w:p>
    <w:p w14:paraId="35BA4011" w14:textId="6035F78E" w:rsidR="002E4354" w:rsidRPr="005734B8" w:rsidRDefault="000E29FE" w:rsidP="00C43D39">
      <w:pPr>
        <w:rPr>
          <w:rFonts w:ascii="Calibri" w:hAnsi="Calibri" w:cs="Calibri"/>
          <w:szCs w:val="22"/>
        </w:rPr>
      </w:pPr>
      <w:r w:rsidRPr="005734B8">
        <w:rPr>
          <w:rFonts w:ascii="Calibri" w:hAnsi="Calibri" w:cs="Calibri"/>
          <w:szCs w:val="22"/>
        </w:rPr>
        <w:fldChar w:fldCharType="begin"/>
      </w:r>
      <w:r w:rsidRPr="005734B8">
        <w:rPr>
          <w:rFonts w:ascii="Calibri" w:hAnsi="Calibri" w:cs="Calibri"/>
          <w:szCs w:val="22"/>
        </w:rPr>
        <w:instrText xml:space="preserve"> TC  "</w:instrText>
      </w:r>
      <w:bookmarkStart w:id="1359" w:name="_Toc80718036"/>
      <w:r w:rsidRPr="005734B8">
        <w:rPr>
          <w:rFonts w:ascii="Calibri" w:hAnsi="Calibri" w:cs="Calibri"/>
          <w:szCs w:val="22"/>
        </w:rPr>
        <w:instrText>Note 4</w:instrText>
      </w:r>
      <w:r w:rsidRPr="005734B8">
        <w:rPr>
          <w:rFonts w:ascii="Calibri" w:hAnsi="Calibri" w:cs="Calibri"/>
          <w:szCs w:val="22"/>
        </w:rPr>
        <w:tab/>
        <w:instrText>Disaggregated financial information by output</w:instrText>
      </w:r>
      <w:bookmarkEnd w:id="1359"/>
      <w:r w:rsidRPr="005734B8">
        <w:rPr>
          <w:rFonts w:ascii="Calibri" w:hAnsi="Calibri" w:cs="Calibri"/>
          <w:szCs w:val="22"/>
        </w:rPr>
        <w:instrText xml:space="preserve">" \f X \l 1 </w:instrText>
      </w:r>
      <w:r w:rsidRPr="005734B8">
        <w:rPr>
          <w:rFonts w:ascii="Calibri" w:hAnsi="Calibri" w:cs="Calibri"/>
          <w:szCs w:val="22"/>
        </w:rPr>
        <w:fldChar w:fldCharType="end"/>
      </w:r>
    </w:p>
    <w:tbl>
      <w:tblPr>
        <w:tblStyle w:val="TableGrid"/>
        <w:tblpPr w:leftFromText="180" w:rightFromText="180" w:vertAnchor="page" w:horzAnchor="margin" w:tblpY="2843"/>
        <w:tblW w:w="8149" w:type="dxa"/>
        <w:tblLook w:val="04A0" w:firstRow="1" w:lastRow="0" w:firstColumn="1" w:lastColumn="0" w:noHBand="0" w:noVBand="1"/>
      </w:tblPr>
      <w:tblGrid>
        <w:gridCol w:w="4435"/>
        <w:gridCol w:w="3714"/>
      </w:tblGrid>
      <w:tr w:rsidR="000F2A04" w:rsidRPr="005734B8" w14:paraId="5AA56F54" w14:textId="77777777" w:rsidTr="002E4354">
        <w:trPr>
          <w:trHeight w:val="2530"/>
        </w:trPr>
        <w:tc>
          <w:tcPr>
            <w:tcW w:w="4435" w:type="dxa"/>
            <w:tcBorders>
              <w:bottom w:val="single" w:sz="4" w:space="0" w:color="auto"/>
              <w:right w:val="nil"/>
            </w:tcBorders>
          </w:tcPr>
          <w:p w14:paraId="00FFE175" w14:textId="77777777" w:rsidR="000F2A04" w:rsidRPr="005734B8" w:rsidRDefault="000F2A04" w:rsidP="000F2A04">
            <w:pPr>
              <w:pStyle w:val="Heading4notes"/>
              <w:tabs>
                <w:tab w:val="clear" w:pos="397"/>
                <w:tab w:val="left" w:pos="361"/>
              </w:tabs>
              <w:spacing w:before="0"/>
              <w:jc w:val="both"/>
              <w:rPr>
                <w:rFonts w:ascii="Calibri" w:hAnsi="Calibri" w:cs="Calibri"/>
                <w:i w:val="0"/>
                <w:sz w:val="18"/>
                <w:szCs w:val="18"/>
              </w:rPr>
            </w:pPr>
            <w:r w:rsidRPr="005734B8">
              <w:rPr>
                <w:rFonts w:ascii="Calibri" w:hAnsi="Calibri" w:cs="Calibri"/>
                <w:i w:val="0"/>
                <w:sz w:val="18"/>
                <w:szCs w:val="18"/>
              </w:rPr>
              <w:t>Introduction</w:t>
            </w:r>
          </w:p>
          <w:p w14:paraId="08518DE4" w14:textId="77777777" w:rsidR="00F06229" w:rsidRPr="005734B8" w:rsidRDefault="00F06229" w:rsidP="00F06229">
            <w:pPr>
              <w:pStyle w:val="ReferenceText"/>
              <w:rPr>
                <w:rFonts w:ascii="Calibri" w:hAnsi="Calibri" w:cs="Calibri"/>
              </w:rPr>
            </w:pPr>
            <w:r w:rsidRPr="005734B8">
              <w:rPr>
                <w:rFonts w:ascii="Calibri" w:hAnsi="Calibri" w:cs="Calibri"/>
              </w:rPr>
              <w:t xml:space="preserve">The Department is predominantly funded by accrual based Parliamentary appropriations for the provision of outputs. This section provides a description of the departmental outputs performed during the year ended 30 June 2021 along with the objectives of those outputs. </w:t>
            </w:r>
          </w:p>
          <w:p w14:paraId="3BBD1FEC" w14:textId="77777777" w:rsidR="00F06229" w:rsidRPr="005734B8" w:rsidRDefault="00F06229" w:rsidP="00F06229">
            <w:pPr>
              <w:pStyle w:val="ReferenceText"/>
              <w:rPr>
                <w:rFonts w:ascii="Calibri" w:hAnsi="Calibri" w:cs="Calibri"/>
              </w:rPr>
            </w:pPr>
            <w:r w:rsidRPr="005734B8">
              <w:rPr>
                <w:rFonts w:ascii="Calibri" w:hAnsi="Calibri" w:cs="Calibri"/>
              </w:rPr>
              <w:t>This section disaggregates income that enables the delivery of services (described in Note 2) by the output and records the allocation of expenses incurred (described in Note 3) also by outputs.</w:t>
            </w:r>
          </w:p>
          <w:p w14:paraId="617E6E22" w14:textId="77777777" w:rsidR="00F06229" w:rsidRPr="005734B8" w:rsidRDefault="00F06229" w:rsidP="00F06229">
            <w:pPr>
              <w:pStyle w:val="ReferenceText"/>
              <w:rPr>
                <w:rFonts w:ascii="Calibri" w:hAnsi="Calibri" w:cs="Calibri"/>
              </w:rPr>
            </w:pPr>
            <w:r w:rsidRPr="005734B8">
              <w:rPr>
                <w:rFonts w:ascii="Calibri" w:hAnsi="Calibri" w:cs="Calibri"/>
              </w:rPr>
              <w:t xml:space="preserve">It also provides information on items administered in connection with these outputs, which do not form part of the controlled balances of the Department. </w:t>
            </w:r>
          </w:p>
          <w:p w14:paraId="2993AEF3" w14:textId="77777777" w:rsidR="005374FA" w:rsidRPr="005734B8" w:rsidRDefault="00F06229" w:rsidP="00F06229">
            <w:pPr>
              <w:pStyle w:val="ReferenceText"/>
              <w:rPr>
                <w:rFonts w:ascii="Calibri" w:hAnsi="Calibri" w:cs="Calibri"/>
              </w:rPr>
            </w:pPr>
            <w:r w:rsidRPr="005734B8">
              <w:rPr>
                <w:rFonts w:ascii="Calibri" w:hAnsi="Calibri" w:cs="Calibri"/>
              </w:rPr>
              <w:t>Judgement is required in allocating income and expenditure to specific outputs. For the period under review there were no amounts unallocated.</w:t>
            </w:r>
            <w:r w:rsidR="005374FA" w:rsidRPr="005734B8">
              <w:rPr>
                <w:rFonts w:ascii="Calibri" w:hAnsi="Calibri" w:cs="Calibri"/>
              </w:rPr>
              <w:t xml:space="preserve"> </w:t>
            </w:r>
          </w:p>
          <w:p w14:paraId="2FCFAFCD" w14:textId="05FD7BD8" w:rsidR="000F2A04" w:rsidRPr="005734B8" w:rsidRDefault="005374FA" w:rsidP="00F06229">
            <w:pPr>
              <w:pStyle w:val="ReferenceText"/>
              <w:rPr>
                <w:rFonts w:ascii="Calibri" w:hAnsi="Calibri" w:cs="Calibri"/>
              </w:rPr>
            </w:pPr>
            <w:r w:rsidRPr="005734B8">
              <w:rPr>
                <w:rFonts w:ascii="Calibri" w:hAnsi="Calibri" w:cs="Calibri"/>
              </w:rPr>
              <w:t>The distinction between controlled and administered items is drawn based on whether the Department</w:t>
            </w:r>
            <w:r w:rsidR="007E73B1" w:rsidRPr="005734B8">
              <w:rPr>
                <w:rFonts w:ascii="Calibri" w:hAnsi="Calibri" w:cs="Calibri"/>
              </w:rPr>
              <w:t xml:space="preserve"> has the ability to deploy the resources in question for its</w:t>
            </w:r>
          </w:p>
        </w:tc>
        <w:tc>
          <w:tcPr>
            <w:tcW w:w="3714" w:type="dxa"/>
            <w:tcBorders>
              <w:left w:val="nil"/>
              <w:bottom w:val="single" w:sz="4" w:space="0" w:color="auto"/>
            </w:tcBorders>
          </w:tcPr>
          <w:p w14:paraId="27FF495C" w14:textId="6AB3ACA3" w:rsidR="00F06229" w:rsidRPr="005734B8" w:rsidRDefault="00F06229" w:rsidP="00F06229">
            <w:pPr>
              <w:pStyle w:val="ReferenceText"/>
              <w:rPr>
                <w:rFonts w:ascii="Calibri" w:hAnsi="Calibri" w:cs="Calibri"/>
              </w:rPr>
            </w:pPr>
            <w:r w:rsidRPr="005734B8">
              <w:rPr>
                <w:rFonts w:ascii="Calibri" w:hAnsi="Calibri" w:cs="Calibri"/>
              </w:rPr>
              <w:t xml:space="preserve">own benefit (controlled items) or whether it does so on behalf of the </w:t>
            </w:r>
            <w:r w:rsidR="00852EB8" w:rsidRPr="005734B8">
              <w:rPr>
                <w:rFonts w:ascii="Calibri" w:hAnsi="Calibri" w:cs="Calibri"/>
              </w:rPr>
              <w:t>s</w:t>
            </w:r>
            <w:r w:rsidRPr="005734B8">
              <w:rPr>
                <w:rFonts w:ascii="Calibri" w:hAnsi="Calibri" w:cs="Calibri"/>
              </w:rPr>
              <w:t>tate (administered).</w:t>
            </w:r>
          </w:p>
          <w:p w14:paraId="484DF888" w14:textId="77777777" w:rsidR="00F06229" w:rsidRPr="005734B8" w:rsidRDefault="00F06229" w:rsidP="00F06229">
            <w:pPr>
              <w:pStyle w:val="Heading4notes"/>
              <w:tabs>
                <w:tab w:val="clear" w:pos="397"/>
                <w:tab w:val="left" w:pos="361"/>
              </w:tabs>
              <w:spacing w:before="0"/>
              <w:rPr>
                <w:rFonts w:ascii="Calibri" w:hAnsi="Calibri" w:cs="Calibri"/>
                <w:b w:val="0"/>
                <w:i w:val="0"/>
                <w:color w:val="auto"/>
                <w:sz w:val="18"/>
                <w:szCs w:val="18"/>
                <w:lang w:eastAsia="en-AU"/>
              </w:rPr>
            </w:pPr>
            <w:r w:rsidRPr="005734B8">
              <w:rPr>
                <w:rFonts w:ascii="Calibri" w:hAnsi="Calibri" w:cs="Calibri"/>
                <w:b w:val="0"/>
                <w:i w:val="0"/>
                <w:color w:val="auto"/>
                <w:sz w:val="18"/>
                <w:szCs w:val="18"/>
                <w:lang w:eastAsia="en-AU"/>
              </w:rPr>
              <w:t>The Department remains accountable for transactions involving administered items, but it does not recognise these items in its financial statements.</w:t>
            </w:r>
          </w:p>
          <w:p w14:paraId="2F019EBD" w14:textId="53A6FD3D" w:rsidR="000F2A04" w:rsidRPr="005734B8" w:rsidRDefault="000F2A04" w:rsidP="00F06229">
            <w:pPr>
              <w:pStyle w:val="Heading4notes"/>
              <w:tabs>
                <w:tab w:val="clear" w:pos="397"/>
                <w:tab w:val="left" w:pos="361"/>
              </w:tabs>
              <w:spacing w:before="0"/>
              <w:rPr>
                <w:rFonts w:ascii="Calibri" w:hAnsi="Calibri" w:cs="Calibri"/>
                <w:i w:val="0"/>
                <w:sz w:val="18"/>
                <w:szCs w:val="18"/>
              </w:rPr>
            </w:pPr>
            <w:r w:rsidRPr="005734B8">
              <w:rPr>
                <w:rFonts w:ascii="Calibri" w:hAnsi="Calibri" w:cs="Calibri"/>
                <w:i w:val="0"/>
                <w:sz w:val="18"/>
                <w:szCs w:val="18"/>
              </w:rPr>
              <w:t>Structure</w:t>
            </w:r>
          </w:p>
          <w:p w14:paraId="6C3377D3" w14:textId="74E7E535" w:rsidR="000F2A04" w:rsidRPr="005734B8" w:rsidRDefault="000F2A04" w:rsidP="000F2A04">
            <w:pPr>
              <w:spacing w:after="90"/>
              <w:rPr>
                <w:rFonts w:ascii="Calibri" w:hAnsi="Calibri" w:cs="Calibri"/>
                <w:sz w:val="18"/>
                <w:szCs w:val="18"/>
              </w:rPr>
            </w:pPr>
            <w:r w:rsidRPr="005734B8">
              <w:rPr>
                <w:rFonts w:ascii="Calibri" w:hAnsi="Calibri" w:cs="Calibri"/>
                <w:sz w:val="18"/>
                <w:szCs w:val="18"/>
              </w:rPr>
              <w:t>4.1 Department outputs</w:t>
            </w:r>
          </w:p>
          <w:p w14:paraId="0D88B837" w14:textId="77777777" w:rsidR="000F2A04" w:rsidRPr="005734B8" w:rsidRDefault="000F2A04" w:rsidP="000F2A04">
            <w:pPr>
              <w:spacing w:after="90"/>
              <w:ind w:left="417"/>
              <w:rPr>
                <w:rFonts w:ascii="Calibri" w:hAnsi="Calibri" w:cs="Calibri"/>
                <w:sz w:val="18"/>
                <w:szCs w:val="18"/>
              </w:rPr>
            </w:pPr>
            <w:r w:rsidRPr="005734B8">
              <w:rPr>
                <w:rFonts w:ascii="Calibri" w:hAnsi="Calibri" w:cs="Calibri"/>
                <w:sz w:val="18"/>
                <w:szCs w:val="18"/>
              </w:rPr>
              <w:t>4.1.1 Descriptions and objectives</w:t>
            </w:r>
          </w:p>
          <w:p w14:paraId="510FD272" w14:textId="77777777" w:rsidR="000F2A04" w:rsidRPr="005734B8" w:rsidRDefault="000F2A04" w:rsidP="000F2A04">
            <w:pPr>
              <w:spacing w:after="90"/>
              <w:ind w:left="417"/>
              <w:rPr>
                <w:rFonts w:ascii="Calibri" w:hAnsi="Calibri" w:cs="Calibri"/>
                <w:sz w:val="18"/>
                <w:szCs w:val="18"/>
              </w:rPr>
            </w:pPr>
            <w:r w:rsidRPr="005734B8">
              <w:rPr>
                <w:rFonts w:ascii="Calibri" w:hAnsi="Calibri" w:cs="Calibri"/>
                <w:sz w:val="18"/>
                <w:szCs w:val="18"/>
              </w:rPr>
              <w:t>4.1.2 Controlled income and expenses</w:t>
            </w:r>
          </w:p>
          <w:p w14:paraId="67094FA8" w14:textId="77777777" w:rsidR="000F2A04" w:rsidRPr="005734B8" w:rsidRDefault="000F2A04" w:rsidP="000F2A04">
            <w:pPr>
              <w:spacing w:after="90"/>
              <w:ind w:left="417"/>
              <w:rPr>
                <w:rFonts w:ascii="Calibri" w:hAnsi="Calibri" w:cs="Calibri"/>
                <w:sz w:val="18"/>
                <w:szCs w:val="18"/>
              </w:rPr>
            </w:pPr>
            <w:r w:rsidRPr="005734B8">
              <w:rPr>
                <w:rFonts w:ascii="Calibri" w:hAnsi="Calibri" w:cs="Calibri"/>
                <w:sz w:val="18"/>
                <w:szCs w:val="18"/>
              </w:rPr>
              <w:t>4.1.3 Controlled assets and liabilities</w:t>
            </w:r>
          </w:p>
          <w:p w14:paraId="5E0AAD41" w14:textId="678835A2" w:rsidR="000F2A04" w:rsidRPr="005734B8" w:rsidRDefault="000F2A04" w:rsidP="000F2A04">
            <w:pPr>
              <w:spacing w:after="90"/>
              <w:rPr>
                <w:rFonts w:ascii="Calibri" w:hAnsi="Calibri" w:cs="Calibri"/>
                <w:sz w:val="18"/>
                <w:szCs w:val="18"/>
              </w:rPr>
            </w:pPr>
            <w:r w:rsidRPr="005734B8">
              <w:rPr>
                <w:rFonts w:ascii="Calibri" w:hAnsi="Calibri" w:cs="Calibri"/>
                <w:sz w:val="18"/>
                <w:szCs w:val="18"/>
              </w:rPr>
              <w:t xml:space="preserve">4.2 Administered </w:t>
            </w:r>
            <w:r w:rsidR="00852EB8" w:rsidRPr="005734B8">
              <w:rPr>
                <w:rFonts w:ascii="Calibri" w:hAnsi="Calibri" w:cs="Calibri"/>
                <w:sz w:val="18"/>
                <w:szCs w:val="18"/>
              </w:rPr>
              <w:t>(non-controlled)</w:t>
            </w:r>
            <w:r w:rsidRPr="005734B8">
              <w:rPr>
                <w:rFonts w:ascii="Calibri" w:hAnsi="Calibri" w:cs="Calibri"/>
                <w:sz w:val="18"/>
                <w:szCs w:val="18"/>
              </w:rPr>
              <w:t xml:space="preserve"> items</w:t>
            </w:r>
          </w:p>
        </w:tc>
      </w:tr>
    </w:tbl>
    <w:p w14:paraId="17ACC5C1" w14:textId="77777777" w:rsidR="002E4354" w:rsidRPr="005734B8" w:rsidRDefault="002E4354" w:rsidP="002E4354">
      <w:pPr>
        <w:pStyle w:val="ESHeading2"/>
        <w:rPr>
          <w:rFonts w:ascii="Calibri" w:hAnsi="Calibri" w:cs="Calibri"/>
        </w:rPr>
      </w:pPr>
      <w:bookmarkStart w:id="1360" w:name="_Toc36012778"/>
      <w:bookmarkStart w:id="1361" w:name="_Toc36012856"/>
      <w:bookmarkStart w:id="1362" w:name="_Toc36013353"/>
      <w:bookmarkStart w:id="1363" w:name="_Toc48402831"/>
      <w:bookmarkStart w:id="1364" w:name="_Toc48403068"/>
      <w:bookmarkStart w:id="1365" w:name="_Toc48403651"/>
      <w:bookmarkStart w:id="1366" w:name="_Toc51332811"/>
      <w:bookmarkStart w:id="1367" w:name="_Toc78293011"/>
      <w:bookmarkStart w:id="1368" w:name="_Toc78444216"/>
      <w:bookmarkStart w:id="1369" w:name="_Toc80272077"/>
      <w:bookmarkStart w:id="1370" w:name="_Toc81315376"/>
      <w:bookmarkStart w:id="1371" w:name="_Hlk46865623"/>
      <w:r w:rsidRPr="005734B8">
        <w:rPr>
          <w:rFonts w:ascii="Calibri" w:hAnsi="Calibri" w:cs="Calibri"/>
        </w:rPr>
        <w:t>4.1 Department output</w:t>
      </w:r>
      <w:bookmarkEnd w:id="1360"/>
      <w:bookmarkEnd w:id="1361"/>
      <w:bookmarkEnd w:id="1362"/>
      <w:bookmarkEnd w:id="1363"/>
      <w:bookmarkEnd w:id="1364"/>
      <w:bookmarkEnd w:id="1365"/>
      <w:bookmarkEnd w:id="1366"/>
      <w:bookmarkEnd w:id="1367"/>
      <w:bookmarkEnd w:id="1368"/>
      <w:bookmarkEnd w:id="1369"/>
      <w:bookmarkEnd w:id="1370"/>
    </w:p>
    <w:p w14:paraId="1A45C427" w14:textId="77777777" w:rsidR="0012681C" w:rsidRPr="005734B8" w:rsidRDefault="0012681C" w:rsidP="0012681C">
      <w:pPr>
        <w:pStyle w:val="ESHeading3"/>
        <w:ind w:hanging="720"/>
        <w:rPr>
          <w:rFonts w:ascii="Calibri" w:hAnsi="Calibri" w:cs="Calibri"/>
        </w:rPr>
      </w:pPr>
      <w:bookmarkStart w:id="1372" w:name="_Toc11336369"/>
      <w:bookmarkStart w:id="1373" w:name="_Toc14965595"/>
      <w:r w:rsidRPr="005734B8">
        <w:rPr>
          <w:rFonts w:ascii="Calibri" w:hAnsi="Calibri" w:cs="Calibri"/>
        </w:rPr>
        <w:t>4.1.1 Descriptions and objectives</w:t>
      </w:r>
      <w:bookmarkEnd w:id="1372"/>
      <w:bookmarkEnd w:id="1373"/>
    </w:p>
    <w:bookmarkEnd w:id="1371"/>
    <w:p w14:paraId="7FD0E718" w14:textId="3C79D021" w:rsidR="00F06229" w:rsidRPr="005734B8" w:rsidRDefault="00852EB8" w:rsidP="00F06229">
      <w:pPr>
        <w:rPr>
          <w:rFonts w:ascii="Calibri" w:hAnsi="Calibri" w:cs="Calibri"/>
          <w:szCs w:val="22"/>
        </w:rPr>
      </w:pPr>
      <w:r w:rsidRPr="005734B8">
        <w:rPr>
          <w:rFonts w:ascii="Calibri" w:hAnsi="Calibri" w:cs="Calibri"/>
          <w:szCs w:val="22"/>
        </w:rPr>
        <w:t>D</w:t>
      </w:r>
      <w:r w:rsidR="00F06229" w:rsidRPr="005734B8">
        <w:rPr>
          <w:rFonts w:ascii="Calibri" w:hAnsi="Calibri" w:cs="Calibri"/>
          <w:szCs w:val="22"/>
        </w:rPr>
        <w:t xml:space="preserve">epartmental outputs achieved during the year ended </w:t>
      </w:r>
      <w:r w:rsidR="00F06229" w:rsidRPr="005734B8">
        <w:rPr>
          <w:rFonts w:ascii="Calibri" w:hAnsi="Calibri" w:cs="Calibri"/>
          <w:szCs w:val="22"/>
        </w:rPr>
        <w:fldChar w:fldCharType="begin"/>
      </w:r>
      <w:r w:rsidR="00F06229" w:rsidRPr="005734B8">
        <w:rPr>
          <w:rFonts w:ascii="Calibri" w:hAnsi="Calibri" w:cs="Calibri"/>
          <w:szCs w:val="22"/>
        </w:rPr>
        <w:instrText xml:space="preserve"> DOCPROPERTY  pEnd  \* MERGEFORMAT </w:instrText>
      </w:r>
      <w:r w:rsidR="00F06229" w:rsidRPr="005734B8">
        <w:rPr>
          <w:rFonts w:ascii="Calibri" w:hAnsi="Calibri" w:cs="Calibri"/>
          <w:szCs w:val="22"/>
        </w:rPr>
        <w:fldChar w:fldCharType="separate"/>
      </w:r>
      <w:r w:rsidR="00F06229" w:rsidRPr="005734B8">
        <w:rPr>
          <w:rFonts w:ascii="Calibri" w:hAnsi="Calibri" w:cs="Calibri"/>
          <w:szCs w:val="22"/>
        </w:rPr>
        <w:t>30 June</w:t>
      </w:r>
      <w:r w:rsidR="00F06229" w:rsidRPr="005734B8">
        <w:rPr>
          <w:rFonts w:ascii="Calibri" w:hAnsi="Calibri" w:cs="Calibri"/>
          <w:szCs w:val="22"/>
        </w:rPr>
        <w:fldChar w:fldCharType="end"/>
      </w:r>
      <w:r w:rsidR="00F06229" w:rsidRPr="005734B8">
        <w:rPr>
          <w:rFonts w:ascii="Calibri" w:hAnsi="Calibri" w:cs="Calibri"/>
          <w:szCs w:val="22"/>
        </w:rPr>
        <w:t xml:space="preserve"> </w:t>
      </w:r>
      <w:r w:rsidR="00F06229" w:rsidRPr="005734B8">
        <w:rPr>
          <w:rFonts w:ascii="Calibri" w:hAnsi="Calibri" w:cs="Calibri"/>
          <w:szCs w:val="22"/>
        </w:rPr>
        <w:fldChar w:fldCharType="begin"/>
      </w:r>
      <w:r w:rsidR="00F06229" w:rsidRPr="005734B8">
        <w:rPr>
          <w:rFonts w:ascii="Calibri" w:hAnsi="Calibri" w:cs="Calibri"/>
          <w:szCs w:val="22"/>
        </w:rPr>
        <w:instrText xml:space="preserve"> DOCPROPERTY  crYear  \* MERGEFORMAT </w:instrText>
      </w:r>
      <w:r w:rsidR="00F06229" w:rsidRPr="005734B8">
        <w:rPr>
          <w:rFonts w:ascii="Calibri" w:hAnsi="Calibri" w:cs="Calibri"/>
          <w:szCs w:val="22"/>
        </w:rPr>
        <w:fldChar w:fldCharType="separate"/>
      </w:r>
      <w:r w:rsidR="00F06229" w:rsidRPr="005734B8">
        <w:rPr>
          <w:rFonts w:ascii="Calibri" w:hAnsi="Calibri" w:cs="Calibri"/>
          <w:szCs w:val="22"/>
        </w:rPr>
        <w:t>2021</w:t>
      </w:r>
      <w:r w:rsidR="00F06229" w:rsidRPr="005734B8">
        <w:rPr>
          <w:rFonts w:ascii="Calibri" w:hAnsi="Calibri" w:cs="Calibri"/>
          <w:szCs w:val="22"/>
        </w:rPr>
        <w:fldChar w:fldCharType="end"/>
      </w:r>
      <w:r w:rsidR="00F06229" w:rsidRPr="005734B8">
        <w:rPr>
          <w:rFonts w:ascii="Calibri" w:hAnsi="Calibri" w:cs="Calibri"/>
          <w:szCs w:val="22"/>
        </w:rPr>
        <w:t>, and the objectives of these outputs are summarised below.</w:t>
      </w:r>
      <w:bookmarkStart w:id="1374" w:name="_Toc11336370"/>
      <w:bookmarkStart w:id="1375" w:name="_Toc14965596"/>
    </w:p>
    <w:p w14:paraId="0C3E71F1" w14:textId="77777777" w:rsidR="00F06229" w:rsidRPr="005734B8" w:rsidRDefault="00F06229" w:rsidP="002D345C">
      <w:pPr>
        <w:pStyle w:val="ESHeading4"/>
        <w:ind w:left="0" w:firstLine="0"/>
        <w:rPr>
          <w:rFonts w:ascii="Calibri" w:hAnsi="Calibri" w:cs="Calibri"/>
        </w:rPr>
      </w:pPr>
      <w:r w:rsidRPr="005734B8">
        <w:rPr>
          <w:rFonts w:ascii="Calibri" w:hAnsi="Calibri" w:cs="Calibri"/>
        </w:rPr>
        <w:t>Strategy, review and regulation</w:t>
      </w:r>
      <w:bookmarkEnd w:id="1374"/>
      <w:bookmarkEnd w:id="1375"/>
    </w:p>
    <w:p w14:paraId="52A5E585" w14:textId="362B0AE1" w:rsidR="00F06229" w:rsidRPr="005734B8" w:rsidRDefault="00F06229" w:rsidP="00F06229">
      <w:pPr>
        <w:rPr>
          <w:rFonts w:ascii="Calibri" w:hAnsi="Calibri" w:cs="Calibri"/>
          <w:szCs w:val="22"/>
        </w:rPr>
      </w:pPr>
      <w:r w:rsidRPr="005734B8">
        <w:rPr>
          <w:rFonts w:ascii="Calibri" w:hAnsi="Calibri" w:cs="Calibri"/>
          <w:szCs w:val="22"/>
        </w:rPr>
        <w:t>This output develops, plans and monitors strategic policy settings across all stages of learning. It also includes intergovernmental negotiations as well as research, data and performance evaluations. This output also supports regulation that ensures quality education and training is delivered.</w:t>
      </w:r>
    </w:p>
    <w:p w14:paraId="4162F748" w14:textId="77777777" w:rsidR="00F06229" w:rsidRPr="005734B8" w:rsidRDefault="00F06229" w:rsidP="002D345C">
      <w:pPr>
        <w:pStyle w:val="ESHeading4"/>
        <w:ind w:left="0" w:firstLine="0"/>
        <w:rPr>
          <w:rFonts w:ascii="Calibri" w:hAnsi="Calibri" w:cs="Calibri"/>
        </w:rPr>
      </w:pPr>
      <w:bookmarkStart w:id="1376" w:name="_Toc11336371"/>
      <w:bookmarkStart w:id="1377" w:name="_Toc14965597"/>
      <w:r w:rsidRPr="005734B8">
        <w:rPr>
          <w:rFonts w:ascii="Calibri" w:hAnsi="Calibri" w:cs="Calibri"/>
        </w:rPr>
        <w:t>Early childhood development</w:t>
      </w:r>
      <w:bookmarkEnd w:id="1376"/>
      <w:bookmarkEnd w:id="1377"/>
    </w:p>
    <w:p w14:paraId="305B35C8" w14:textId="55B2728E" w:rsidR="00F06229" w:rsidRPr="005734B8" w:rsidRDefault="00F06229" w:rsidP="00F06229">
      <w:pPr>
        <w:rPr>
          <w:rFonts w:ascii="Calibri" w:hAnsi="Calibri" w:cs="Calibri"/>
          <w:szCs w:val="22"/>
        </w:rPr>
      </w:pPr>
      <w:r w:rsidRPr="005734B8">
        <w:rPr>
          <w:rFonts w:ascii="Calibri" w:hAnsi="Calibri" w:cs="Calibri"/>
          <w:szCs w:val="22"/>
        </w:rPr>
        <w:t>This output involves the provision of kindergarten and children’s services. These services include the monitoring of education and care services and specialist services to improve access to kindergartens and disadvantaged children. This output group provides early intervention and parenting support. It also includes a range of services and support for children with a developmental delay or disability and their families.</w:t>
      </w:r>
    </w:p>
    <w:p w14:paraId="26745E04" w14:textId="77777777" w:rsidR="00F06229" w:rsidRPr="005734B8" w:rsidRDefault="00F06229" w:rsidP="00852EB8">
      <w:pPr>
        <w:pStyle w:val="ESHeading4"/>
        <w:ind w:left="0" w:firstLine="0"/>
        <w:rPr>
          <w:rFonts w:ascii="Calibri" w:hAnsi="Calibri" w:cs="Calibri"/>
        </w:rPr>
      </w:pPr>
      <w:bookmarkStart w:id="1378" w:name="_Toc11336372"/>
      <w:bookmarkStart w:id="1379" w:name="_Toc14965598"/>
      <w:r w:rsidRPr="005734B8">
        <w:rPr>
          <w:rFonts w:ascii="Calibri" w:hAnsi="Calibri" w:cs="Calibri"/>
        </w:rPr>
        <w:t>School education</w:t>
      </w:r>
      <w:bookmarkEnd w:id="1378"/>
      <w:bookmarkEnd w:id="1379"/>
    </w:p>
    <w:p w14:paraId="59478450" w14:textId="77777777" w:rsidR="00F06229" w:rsidRPr="005734B8" w:rsidRDefault="00F06229" w:rsidP="00F06229">
      <w:pPr>
        <w:rPr>
          <w:rFonts w:ascii="Calibri" w:hAnsi="Calibri" w:cs="Calibri"/>
          <w:szCs w:val="22"/>
        </w:rPr>
      </w:pPr>
      <w:r w:rsidRPr="005734B8">
        <w:rPr>
          <w:rFonts w:ascii="Calibri" w:hAnsi="Calibri" w:cs="Calibri"/>
          <w:szCs w:val="22"/>
        </w:rPr>
        <w:t>The school education output group consists of two outputs:</w:t>
      </w:r>
    </w:p>
    <w:p w14:paraId="27ABC822" w14:textId="77777777" w:rsidR="00F06229" w:rsidRPr="005734B8" w:rsidRDefault="00F06229" w:rsidP="00F1540A">
      <w:pPr>
        <w:pStyle w:val="ListParagraph"/>
        <w:numPr>
          <w:ilvl w:val="0"/>
          <w:numId w:val="67"/>
        </w:numPr>
        <w:spacing w:line="260" w:lineRule="atLeast"/>
        <w:rPr>
          <w:rFonts w:ascii="Calibri" w:hAnsi="Calibri" w:cs="Calibri"/>
          <w:szCs w:val="22"/>
        </w:rPr>
      </w:pPr>
      <w:r w:rsidRPr="005734B8">
        <w:rPr>
          <w:rFonts w:ascii="Calibri" w:hAnsi="Calibri" w:cs="Calibri"/>
          <w:szCs w:val="22"/>
        </w:rPr>
        <w:t>the school education—primary output provides services to develop essential skills and learning experiences to engage young minds in the primary sector.</w:t>
      </w:r>
    </w:p>
    <w:p w14:paraId="04297661" w14:textId="77777777" w:rsidR="00F06229" w:rsidRPr="005734B8" w:rsidRDefault="00F06229" w:rsidP="00F1540A">
      <w:pPr>
        <w:pStyle w:val="ListParagraph"/>
        <w:numPr>
          <w:ilvl w:val="0"/>
          <w:numId w:val="67"/>
        </w:numPr>
        <w:spacing w:line="260" w:lineRule="atLeast"/>
        <w:rPr>
          <w:rFonts w:ascii="Calibri" w:hAnsi="Calibri" w:cs="Calibri"/>
          <w:szCs w:val="22"/>
        </w:rPr>
      </w:pPr>
      <w:r w:rsidRPr="005734B8">
        <w:rPr>
          <w:rFonts w:ascii="Calibri" w:hAnsi="Calibri" w:cs="Calibri"/>
          <w:szCs w:val="22"/>
        </w:rPr>
        <w:t>the school education—secondary output consolidates literacy and numeracy competencies including creative and critical thinking, as well as physical, social, emotional and intellectual development in adolescence. It also provides education services as well as varied pathways to further study.</w:t>
      </w:r>
    </w:p>
    <w:p w14:paraId="45AF194A" w14:textId="6884AE36" w:rsidR="00F06229" w:rsidRPr="005734B8" w:rsidRDefault="00F06229" w:rsidP="00F06229">
      <w:pPr>
        <w:rPr>
          <w:rFonts w:ascii="Calibri" w:hAnsi="Calibri" w:cs="Calibri"/>
          <w:szCs w:val="22"/>
        </w:rPr>
      </w:pPr>
    </w:p>
    <w:p w14:paraId="451C35EB" w14:textId="77777777" w:rsidR="007E73B1" w:rsidRPr="005734B8" w:rsidRDefault="007E73B1" w:rsidP="00F06229">
      <w:pPr>
        <w:rPr>
          <w:rFonts w:ascii="Calibri" w:hAnsi="Calibri" w:cs="Calibri"/>
          <w:szCs w:val="22"/>
        </w:rPr>
      </w:pPr>
    </w:p>
    <w:p w14:paraId="696A129B" w14:textId="77777777" w:rsidR="00F06229" w:rsidRPr="005734B8" w:rsidRDefault="00F06229" w:rsidP="00F06229">
      <w:pPr>
        <w:rPr>
          <w:rFonts w:ascii="Calibri" w:hAnsi="Calibri" w:cs="Calibri"/>
          <w:b/>
          <w:szCs w:val="22"/>
        </w:rPr>
      </w:pPr>
      <w:r w:rsidRPr="005734B8">
        <w:rPr>
          <w:rFonts w:ascii="Calibri" w:hAnsi="Calibri" w:cs="Calibri"/>
          <w:b/>
          <w:szCs w:val="22"/>
        </w:rPr>
        <w:t>School education—primary</w:t>
      </w:r>
    </w:p>
    <w:p w14:paraId="2558C5A3" w14:textId="3E9919BA" w:rsidR="00F06229" w:rsidRPr="005734B8" w:rsidRDefault="00F06229" w:rsidP="00F06229">
      <w:pPr>
        <w:rPr>
          <w:rFonts w:ascii="Calibri" w:hAnsi="Calibri" w:cs="Calibri"/>
          <w:szCs w:val="22"/>
        </w:rPr>
      </w:pPr>
      <w:r w:rsidRPr="005734B8">
        <w:rPr>
          <w:rFonts w:ascii="Calibri" w:hAnsi="Calibri" w:cs="Calibri"/>
          <w:szCs w:val="22"/>
        </w:rPr>
        <w:t xml:space="preserve">The school education—primary output services </w:t>
      </w:r>
      <w:r w:rsidR="00852EB8" w:rsidRPr="005734B8">
        <w:rPr>
          <w:rFonts w:ascii="Calibri" w:hAnsi="Calibri" w:cs="Calibri"/>
          <w:szCs w:val="22"/>
        </w:rPr>
        <w:t xml:space="preserve">are </w:t>
      </w:r>
      <w:r w:rsidRPr="005734B8">
        <w:rPr>
          <w:rFonts w:ascii="Calibri" w:hAnsi="Calibri" w:cs="Calibri"/>
          <w:szCs w:val="22"/>
        </w:rPr>
        <w:t>designed to develop essential skills and learning experiences to engage young minds and improve the quality of learning of students in Prep to Year 6 in government and non-government schools.</w:t>
      </w:r>
    </w:p>
    <w:p w14:paraId="2A4325F0" w14:textId="77777777" w:rsidR="002D345C" w:rsidRPr="005734B8" w:rsidRDefault="002D345C" w:rsidP="00F06229">
      <w:pPr>
        <w:rPr>
          <w:rFonts w:ascii="Calibri" w:hAnsi="Calibri" w:cs="Calibri"/>
          <w:szCs w:val="22"/>
        </w:rPr>
      </w:pPr>
    </w:p>
    <w:p w14:paraId="59A2C552" w14:textId="77777777" w:rsidR="00F06229" w:rsidRPr="005734B8" w:rsidRDefault="00F06229" w:rsidP="00F06229">
      <w:pPr>
        <w:rPr>
          <w:rFonts w:ascii="Calibri" w:hAnsi="Calibri" w:cs="Calibri"/>
          <w:b/>
          <w:szCs w:val="22"/>
        </w:rPr>
      </w:pPr>
      <w:r w:rsidRPr="005734B8">
        <w:rPr>
          <w:rFonts w:ascii="Calibri" w:hAnsi="Calibri" w:cs="Calibri"/>
          <w:b/>
          <w:szCs w:val="22"/>
        </w:rPr>
        <w:t>School education—secondary</w:t>
      </w:r>
    </w:p>
    <w:p w14:paraId="5478C317" w14:textId="72424872" w:rsidR="00F06229" w:rsidRPr="005734B8" w:rsidRDefault="00F06229" w:rsidP="00F06229">
      <w:pPr>
        <w:rPr>
          <w:rFonts w:ascii="Calibri" w:hAnsi="Calibri" w:cs="Calibri"/>
          <w:szCs w:val="22"/>
        </w:rPr>
      </w:pPr>
      <w:r w:rsidRPr="005734B8">
        <w:rPr>
          <w:rFonts w:ascii="Calibri" w:hAnsi="Calibri" w:cs="Calibri"/>
          <w:szCs w:val="22"/>
        </w:rPr>
        <w:t>The school education—secondary output involves provision of education and support services designed to improve student learning, development and wellbeing in Year</w:t>
      </w:r>
      <w:r w:rsidR="00852EB8" w:rsidRPr="005734B8">
        <w:rPr>
          <w:rFonts w:ascii="Calibri" w:hAnsi="Calibri" w:cs="Calibri"/>
          <w:szCs w:val="22"/>
        </w:rPr>
        <w:t>s </w:t>
      </w:r>
      <w:r w:rsidRPr="005734B8">
        <w:rPr>
          <w:rFonts w:ascii="Calibri" w:hAnsi="Calibri" w:cs="Calibri"/>
          <w:szCs w:val="22"/>
        </w:rPr>
        <w:t>7</w:t>
      </w:r>
      <w:r w:rsidR="00852EB8" w:rsidRPr="005734B8">
        <w:rPr>
          <w:rFonts w:ascii="Calibri" w:hAnsi="Calibri" w:cs="Calibri"/>
          <w:szCs w:val="22"/>
        </w:rPr>
        <w:t> </w:t>
      </w:r>
      <w:r w:rsidRPr="005734B8">
        <w:rPr>
          <w:rFonts w:ascii="Calibri" w:hAnsi="Calibri" w:cs="Calibri"/>
          <w:szCs w:val="22"/>
        </w:rPr>
        <w:t>to</w:t>
      </w:r>
      <w:r w:rsidR="00852EB8" w:rsidRPr="005734B8">
        <w:rPr>
          <w:rFonts w:ascii="Calibri" w:hAnsi="Calibri" w:cs="Calibri"/>
          <w:szCs w:val="22"/>
        </w:rPr>
        <w:t> </w:t>
      </w:r>
      <w:r w:rsidRPr="005734B8">
        <w:rPr>
          <w:rFonts w:ascii="Calibri" w:hAnsi="Calibri" w:cs="Calibri"/>
          <w:szCs w:val="22"/>
        </w:rPr>
        <w:t xml:space="preserve">12 in government and non-government schools. </w:t>
      </w:r>
      <w:r w:rsidRPr="005734B8">
        <w:rPr>
          <w:rFonts w:ascii="Calibri" w:hAnsi="Calibri" w:cs="Calibri"/>
        </w:rPr>
        <w:t>These seek to consolidate literacy and numeracy competencies</w:t>
      </w:r>
      <w:r w:rsidR="00852EB8" w:rsidRPr="005734B8">
        <w:rPr>
          <w:rFonts w:ascii="Calibri" w:hAnsi="Calibri" w:cs="Calibri"/>
        </w:rPr>
        <w:t>,</w:t>
      </w:r>
      <w:r w:rsidRPr="005734B8">
        <w:rPr>
          <w:rFonts w:ascii="Calibri" w:hAnsi="Calibri" w:cs="Calibri"/>
        </w:rPr>
        <w:t xml:space="preserve"> including creative and critical thinking, as well as physical, social, emotional and intellectual development in adolescence.</w:t>
      </w:r>
      <w:r w:rsidR="00852EB8" w:rsidRPr="005734B8">
        <w:rPr>
          <w:rFonts w:ascii="Calibri" w:hAnsi="Calibri" w:cs="Calibri"/>
        </w:rPr>
        <w:t xml:space="preserve"> </w:t>
      </w:r>
      <w:r w:rsidRPr="005734B8">
        <w:rPr>
          <w:rFonts w:ascii="Calibri" w:hAnsi="Calibri" w:cs="Calibri"/>
          <w:szCs w:val="22"/>
        </w:rPr>
        <w:t xml:space="preserve">It also covers the provision of cross-sectoral services to improve the pathways to further education, training and employment. </w:t>
      </w:r>
    </w:p>
    <w:p w14:paraId="37E11D33" w14:textId="77777777" w:rsidR="00F06229" w:rsidRPr="005734B8" w:rsidRDefault="00F06229" w:rsidP="00F06229">
      <w:pPr>
        <w:pStyle w:val="ESHeading4"/>
        <w:ind w:left="0" w:firstLine="0"/>
        <w:rPr>
          <w:rFonts w:ascii="Calibri" w:hAnsi="Calibri" w:cs="Calibri"/>
        </w:rPr>
      </w:pPr>
      <w:bookmarkStart w:id="1380" w:name="_Toc11336373"/>
      <w:bookmarkStart w:id="1381" w:name="_Toc14965599"/>
      <w:r w:rsidRPr="005734B8">
        <w:rPr>
          <w:rFonts w:ascii="Calibri" w:hAnsi="Calibri" w:cs="Calibri"/>
        </w:rPr>
        <w:t xml:space="preserve">Training, higher education and </w:t>
      </w:r>
      <w:bookmarkEnd w:id="1380"/>
      <w:bookmarkEnd w:id="1381"/>
      <w:r w:rsidRPr="005734B8">
        <w:rPr>
          <w:rFonts w:ascii="Calibri" w:hAnsi="Calibri" w:cs="Calibri"/>
        </w:rPr>
        <w:t>workforce development</w:t>
      </w:r>
    </w:p>
    <w:p w14:paraId="522A112E" w14:textId="2088ABCD" w:rsidR="00F06229" w:rsidRPr="005734B8" w:rsidRDefault="00F06229" w:rsidP="00F06229">
      <w:pPr>
        <w:rPr>
          <w:rFonts w:ascii="Calibri" w:hAnsi="Calibri" w:cs="Calibri"/>
        </w:rPr>
      </w:pPr>
      <w:r w:rsidRPr="005734B8">
        <w:rPr>
          <w:rFonts w:ascii="Calibri" w:hAnsi="Calibri" w:cs="Calibri"/>
          <w:szCs w:val="22"/>
        </w:rPr>
        <w:t xml:space="preserve">The Training, Higher Education and Workforce Development output supports Victorians to gain the skills and capabilities essential for success in employment and further training or study. </w:t>
      </w:r>
      <w:r w:rsidRPr="005734B8">
        <w:rPr>
          <w:rFonts w:ascii="Calibri" w:hAnsi="Calibri" w:cs="Calibri"/>
        </w:rPr>
        <w:t xml:space="preserve">The Department works with the TAFE and training sector to deliver quality training that strongly supports industry </w:t>
      </w:r>
      <w:r w:rsidR="00852EB8" w:rsidRPr="005734B8">
        <w:rPr>
          <w:rFonts w:ascii="Calibri" w:hAnsi="Calibri" w:cs="Calibri"/>
        </w:rPr>
        <w:t>to</w:t>
      </w:r>
      <w:r w:rsidRPr="005734B8">
        <w:rPr>
          <w:rFonts w:ascii="Calibri" w:hAnsi="Calibri" w:cs="Calibri"/>
        </w:rPr>
        <w:t xml:space="preserve"> meet the evolving needs of the economy, promotes equity and addresses disadvantage, with an emphasis on growth sectors of the economy. This output includes a number of functions. These are:</w:t>
      </w:r>
    </w:p>
    <w:p w14:paraId="32E201E1" w14:textId="77777777" w:rsidR="00F06229" w:rsidRPr="005734B8" w:rsidRDefault="00F06229" w:rsidP="002D345C">
      <w:pPr>
        <w:pStyle w:val="ESbullet1"/>
        <w:numPr>
          <w:ilvl w:val="0"/>
          <w:numId w:val="37"/>
        </w:numPr>
        <w:spacing w:after="0"/>
        <w:ind w:right="-2"/>
        <w:rPr>
          <w:rFonts w:ascii="Calibri" w:hAnsi="Calibri" w:cs="Calibri"/>
        </w:rPr>
      </w:pPr>
      <w:r w:rsidRPr="005734B8">
        <w:rPr>
          <w:rFonts w:ascii="Calibri" w:hAnsi="Calibri" w:cs="Calibri"/>
        </w:rPr>
        <w:t>training system design</w:t>
      </w:r>
    </w:p>
    <w:p w14:paraId="236EEB5C" w14:textId="77777777" w:rsidR="00F06229" w:rsidRPr="005734B8" w:rsidRDefault="00F06229" w:rsidP="002D345C">
      <w:pPr>
        <w:pStyle w:val="ESbullet1"/>
        <w:numPr>
          <w:ilvl w:val="0"/>
          <w:numId w:val="37"/>
        </w:numPr>
        <w:spacing w:after="0"/>
        <w:ind w:right="-2"/>
        <w:rPr>
          <w:rFonts w:ascii="Calibri" w:hAnsi="Calibri" w:cs="Calibri"/>
        </w:rPr>
      </w:pPr>
      <w:r w:rsidRPr="005734B8">
        <w:rPr>
          <w:rFonts w:ascii="Calibri" w:hAnsi="Calibri" w:cs="Calibri"/>
        </w:rPr>
        <w:t>industry engagement and stakeholder information</w:t>
      </w:r>
    </w:p>
    <w:p w14:paraId="7147DAFF" w14:textId="0B7A39F6" w:rsidR="00F06229" w:rsidRPr="005734B8" w:rsidRDefault="00F06229" w:rsidP="002D345C">
      <w:pPr>
        <w:pStyle w:val="ESbullet1"/>
        <w:numPr>
          <w:ilvl w:val="0"/>
          <w:numId w:val="37"/>
        </w:numPr>
        <w:spacing w:after="0"/>
        <w:ind w:right="-2"/>
        <w:rPr>
          <w:rFonts w:ascii="Calibri" w:hAnsi="Calibri" w:cs="Calibri"/>
        </w:rPr>
      </w:pPr>
      <w:r w:rsidRPr="005734B8">
        <w:rPr>
          <w:rFonts w:ascii="Calibri" w:hAnsi="Calibri" w:cs="Calibri"/>
        </w:rPr>
        <w:t xml:space="preserve">contracting and monitoring of quality and training services, including accredited and pre-accredited </w:t>
      </w:r>
      <w:r w:rsidR="004C679C" w:rsidRPr="005734B8">
        <w:rPr>
          <w:rFonts w:ascii="Calibri" w:hAnsi="Calibri" w:cs="Calibri"/>
        </w:rPr>
        <w:t>VET</w:t>
      </w:r>
      <w:r w:rsidRPr="005734B8">
        <w:rPr>
          <w:rFonts w:ascii="Calibri" w:hAnsi="Calibri" w:cs="Calibri"/>
        </w:rPr>
        <w:t xml:space="preserve"> through to adult community education. </w:t>
      </w:r>
    </w:p>
    <w:p w14:paraId="6CA959C7" w14:textId="77777777" w:rsidR="00F06229" w:rsidRPr="005734B8" w:rsidRDefault="00F06229" w:rsidP="00F06229">
      <w:pPr>
        <w:pStyle w:val="ESHeading4"/>
        <w:ind w:left="0" w:firstLine="0"/>
        <w:rPr>
          <w:rFonts w:ascii="Calibri" w:hAnsi="Calibri" w:cs="Calibri"/>
        </w:rPr>
      </w:pPr>
      <w:bookmarkStart w:id="1382" w:name="_Toc11336374"/>
      <w:bookmarkStart w:id="1383" w:name="_Toc14965600"/>
      <w:r w:rsidRPr="005734B8">
        <w:rPr>
          <w:rFonts w:ascii="Calibri" w:hAnsi="Calibri" w:cs="Calibri"/>
        </w:rPr>
        <w:t>Support services delivery</w:t>
      </w:r>
      <w:bookmarkEnd w:id="1382"/>
      <w:bookmarkEnd w:id="1383"/>
    </w:p>
    <w:p w14:paraId="37E60BEC" w14:textId="77777777" w:rsidR="00F06229" w:rsidRPr="005734B8" w:rsidRDefault="00F06229" w:rsidP="00F06229">
      <w:pPr>
        <w:rPr>
          <w:rFonts w:ascii="Calibri" w:hAnsi="Calibri" w:cs="Calibri"/>
          <w:szCs w:val="22"/>
        </w:rPr>
      </w:pPr>
      <w:r w:rsidRPr="005734B8">
        <w:rPr>
          <w:rFonts w:ascii="Calibri" w:hAnsi="Calibri" w:cs="Calibri"/>
          <w:szCs w:val="22"/>
        </w:rPr>
        <w:t>The Support Services Delivery output primarily provides student welfare and support, student transport (excluding transport for special needs students) and health services.</w:t>
      </w:r>
    </w:p>
    <w:p w14:paraId="0F64347B" w14:textId="77777777" w:rsidR="00F06229" w:rsidRPr="005734B8" w:rsidRDefault="00F06229" w:rsidP="00F06229">
      <w:pPr>
        <w:pStyle w:val="ESHeading4"/>
        <w:ind w:left="0" w:firstLine="0"/>
        <w:rPr>
          <w:rFonts w:ascii="Calibri" w:eastAsia="Times New Roman" w:hAnsi="Calibri" w:cs="Calibri"/>
          <w:color w:val="auto"/>
          <w:szCs w:val="22"/>
          <w:lang w:val="en-AU"/>
        </w:rPr>
      </w:pPr>
      <w:bookmarkStart w:id="1384" w:name="_Toc11336375"/>
      <w:bookmarkStart w:id="1385" w:name="_Toc14965601"/>
      <w:r w:rsidRPr="005734B8">
        <w:rPr>
          <w:rFonts w:ascii="Calibri" w:hAnsi="Calibri" w:cs="Calibri"/>
        </w:rPr>
        <w:t>Support for students with disabilities</w:t>
      </w:r>
      <w:bookmarkEnd w:id="1384"/>
      <w:bookmarkEnd w:id="1385"/>
    </w:p>
    <w:p w14:paraId="123DFAB3" w14:textId="3633AE3E" w:rsidR="00F06229" w:rsidRPr="005734B8" w:rsidRDefault="00F06229" w:rsidP="00F06229">
      <w:pPr>
        <w:rPr>
          <w:rFonts w:ascii="Calibri" w:hAnsi="Calibri" w:cs="Calibri"/>
          <w:szCs w:val="22"/>
        </w:rPr>
      </w:pPr>
      <w:r w:rsidRPr="005734B8">
        <w:rPr>
          <w:rFonts w:ascii="Calibri" w:hAnsi="Calibri" w:cs="Calibri"/>
          <w:szCs w:val="22"/>
        </w:rPr>
        <w:t>The Support for Students with Disabilities output covers programs and funding to support students with disabilities</w:t>
      </w:r>
      <w:r w:rsidR="00852EB8" w:rsidRPr="005734B8">
        <w:rPr>
          <w:rFonts w:ascii="Calibri" w:hAnsi="Calibri" w:cs="Calibri"/>
          <w:szCs w:val="22"/>
        </w:rPr>
        <w:t>,</w:t>
      </w:r>
      <w:r w:rsidRPr="005734B8">
        <w:rPr>
          <w:rFonts w:ascii="Calibri" w:hAnsi="Calibri" w:cs="Calibri"/>
          <w:szCs w:val="22"/>
        </w:rPr>
        <w:t xml:space="preserve"> as well as transport, welfare and support services for students with special needs.</w:t>
      </w:r>
    </w:p>
    <w:p w14:paraId="6EC7585A" w14:textId="77777777" w:rsidR="00F06229" w:rsidRPr="005734B8" w:rsidRDefault="00F06229" w:rsidP="00F06229">
      <w:pPr>
        <w:rPr>
          <w:rFonts w:ascii="Calibri" w:eastAsiaTheme="minorEastAsia" w:hAnsi="Calibri" w:cs="Calibri"/>
          <w:b/>
          <w:color w:val="53565A" w:themeColor="accent5"/>
          <w:szCs w:val="18"/>
          <w:lang w:val="en-US"/>
        </w:rPr>
      </w:pPr>
      <w:r w:rsidRPr="005734B8">
        <w:rPr>
          <w:rFonts w:ascii="Calibri" w:eastAsiaTheme="minorEastAsia" w:hAnsi="Calibri" w:cs="Calibri"/>
          <w:b/>
          <w:color w:val="53565A" w:themeColor="accent5"/>
          <w:szCs w:val="18"/>
          <w:lang w:val="en-US"/>
        </w:rPr>
        <w:br w:type="page"/>
      </w:r>
    </w:p>
    <w:p w14:paraId="70955ECB" w14:textId="7C13E6BB" w:rsidR="00F06229" w:rsidRPr="005734B8" w:rsidRDefault="00F06229" w:rsidP="00F06229">
      <w:pPr>
        <w:pStyle w:val="ESHeading3"/>
        <w:rPr>
          <w:rFonts w:ascii="Calibri" w:hAnsi="Calibri" w:cs="Calibri"/>
        </w:rPr>
      </w:pPr>
      <w:bookmarkStart w:id="1386" w:name="_Toc11336376"/>
      <w:bookmarkStart w:id="1387" w:name="_Toc14965602"/>
      <w:r w:rsidRPr="005734B8">
        <w:rPr>
          <w:rFonts w:ascii="Calibri" w:hAnsi="Calibri" w:cs="Calibri"/>
        </w:rPr>
        <w:lastRenderedPageBreak/>
        <w:t xml:space="preserve">4.1.2 (a) Departmental outputs: Controlled income and expenses for the year ended </w:t>
      </w:r>
      <w:r w:rsidRPr="005734B8">
        <w:rPr>
          <w:rFonts w:ascii="Calibri" w:hAnsi="Calibri" w:cs="Calibri"/>
        </w:rPr>
        <w:fldChar w:fldCharType="begin"/>
      </w:r>
      <w:r w:rsidRPr="005734B8">
        <w:rPr>
          <w:rFonts w:ascii="Calibri" w:hAnsi="Calibri" w:cs="Calibri"/>
        </w:rPr>
        <w:instrText xml:space="preserve"> DOCPROPERTY  pEnd  \* MERGEFORMAT </w:instrText>
      </w:r>
      <w:r w:rsidRPr="005734B8">
        <w:rPr>
          <w:rFonts w:ascii="Calibri" w:hAnsi="Calibri" w:cs="Calibri"/>
        </w:rPr>
        <w:fldChar w:fldCharType="separate"/>
      </w:r>
      <w:r w:rsidRPr="005734B8">
        <w:rPr>
          <w:rFonts w:ascii="Calibri" w:hAnsi="Calibri" w:cs="Calibri"/>
        </w:rPr>
        <w:t>30 June</w:t>
      </w:r>
      <w:r w:rsidRPr="005734B8">
        <w:rPr>
          <w:rFonts w:ascii="Calibri" w:hAnsi="Calibri" w:cs="Calibri"/>
        </w:rPr>
        <w:fldChar w:fldCharType="end"/>
      </w:r>
      <w:r w:rsidRPr="005734B8">
        <w:rPr>
          <w:rFonts w:ascii="Calibri" w:hAnsi="Calibri" w:cs="Calibri"/>
        </w:rPr>
        <w:t xml:space="preserve"> </w:t>
      </w:r>
      <w:r w:rsidRPr="005734B8">
        <w:rPr>
          <w:rFonts w:ascii="Calibri" w:hAnsi="Calibri" w:cs="Calibri"/>
        </w:rPr>
        <w:fldChar w:fldCharType="begin"/>
      </w:r>
      <w:r w:rsidRPr="005734B8">
        <w:rPr>
          <w:rFonts w:ascii="Calibri" w:hAnsi="Calibri" w:cs="Calibri"/>
        </w:rPr>
        <w:instrText xml:space="preserve"> DOCPROPERTY  crYear  \* MERGEFORMAT </w:instrText>
      </w:r>
      <w:r w:rsidRPr="005734B8">
        <w:rPr>
          <w:rFonts w:ascii="Calibri" w:hAnsi="Calibri" w:cs="Calibri"/>
        </w:rPr>
        <w:fldChar w:fldCharType="separate"/>
      </w:r>
      <w:r w:rsidRPr="005734B8">
        <w:rPr>
          <w:rFonts w:ascii="Calibri" w:hAnsi="Calibri" w:cs="Calibri"/>
        </w:rPr>
        <w:t>2021</w:t>
      </w:r>
      <w:r w:rsidRPr="005734B8">
        <w:rPr>
          <w:rFonts w:ascii="Calibri" w:hAnsi="Calibri" w:cs="Calibri"/>
        </w:rPr>
        <w:fldChar w:fldCharType="end"/>
      </w:r>
      <w:bookmarkEnd w:id="1386"/>
      <w:bookmarkEnd w:id="1387"/>
    </w:p>
    <w:tbl>
      <w:tblPr>
        <w:tblW w:w="7625" w:type="dxa"/>
        <w:tblInd w:w="75" w:type="dxa"/>
        <w:tblLayout w:type="fixed"/>
        <w:tblLook w:val="04A0" w:firstRow="1" w:lastRow="0" w:firstColumn="1" w:lastColumn="0" w:noHBand="0" w:noVBand="1"/>
      </w:tblPr>
      <w:tblGrid>
        <w:gridCol w:w="1495"/>
        <w:gridCol w:w="810"/>
        <w:gridCol w:w="835"/>
        <w:gridCol w:w="898"/>
        <w:gridCol w:w="888"/>
        <w:gridCol w:w="873"/>
        <w:gridCol w:w="873"/>
        <w:gridCol w:w="953"/>
      </w:tblGrid>
      <w:tr w:rsidR="00F06229" w:rsidRPr="005734B8" w14:paraId="45AA05A8" w14:textId="77777777" w:rsidTr="000F48B1">
        <w:trPr>
          <w:trHeight w:val="198"/>
        </w:trPr>
        <w:tc>
          <w:tcPr>
            <w:tcW w:w="1495" w:type="dxa"/>
            <w:tcBorders>
              <w:top w:val="nil"/>
              <w:left w:val="single" w:sz="4" w:space="0" w:color="FFFFFF"/>
              <w:bottom w:val="single" w:sz="4" w:space="0" w:color="FFFFFF"/>
              <w:right w:val="single" w:sz="4" w:space="0" w:color="FFFFFF"/>
            </w:tcBorders>
            <w:shd w:val="clear" w:color="000000" w:fill="AF272F"/>
            <w:hideMark/>
          </w:tcPr>
          <w:p w14:paraId="2D627361" w14:textId="77777777" w:rsidR="00F06229" w:rsidRPr="005734B8" w:rsidRDefault="00F06229" w:rsidP="000F48B1">
            <w:pPr>
              <w:rPr>
                <w:rFonts w:ascii="Calibri" w:hAnsi="Calibri" w:cs="Calibri"/>
                <w:b/>
                <w:color w:val="FFFFFF"/>
                <w:sz w:val="16"/>
                <w:szCs w:val="16"/>
              </w:rPr>
            </w:pPr>
            <w:bookmarkStart w:id="1388" w:name="Note_CIETABLE1" w:colFirst="0" w:colLast="0"/>
            <w:r w:rsidRPr="005734B8">
              <w:rPr>
                <w:rFonts w:ascii="Calibri" w:hAnsi="Calibri" w:cs="Calibri"/>
                <w:b/>
                <w:color w:val="FFFFFF"/>
                <w:sz w:val="16"/>
                <w:szCs w:val="16"/>
              </w:rPr>
              <w:t> </w:t>
            </w:r>
          </w:p>
        </w:tc>
        <w:tc>
          <w:tcPr>
            <w:tcW w:w="810" w:type="dxa"/>
            <w:tcBorders>
              <w:top w:val="nil"/>
              <w:left w:val="nil"/>
              <w:bottom w:val="single" w:sz="4" w:space="0" w:color="auto"/>
              <w:right w:val="single" w:sz="4" w:space="0" w:color="FFFFFF"/>
            </w:tcBorders>
            <w:shd w:val="clear" w:color="000000" w:fill="AF272F"/>
            <w:hideMark/>
          </w:tcPr>
          <w:p w14:paraId="34F11DCA"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 xml:space="preserve">Strategy, review and regulation </w:t>
            </w:r>
            <w:r w:rsidRPr="005734B8">
              <w:rPr>
                <w:rFonts w:ascii="Calibri" w:hAnsi="Calibri" w:cs="Calibri"/>
                <w:b/>
                <w:color w:val="FFFFFF"/>
                <w:sz w:val="16"/>
                <w:szCs w:val="16"/>
              </w:rPr>
              <w:br/>
              <w:t>($m)</w:t>
            </w:r>
          </w:p>
        </w:tc>
        <w:tc>
          <w:tcPr>
            <w:tcW w:w="835" w:type="dxa"/>
            <w:tcBorders>
              <w:top w:val="nil"/>
              <w:left w:val="nil"/>
              <w:bottom w:val="single" w:sz="4" w:space="0" w:color="auto"/>
              <w:right w:val="single" w:sz="4" w:space="0" w:color="FFFFFF"/>
            </w:tcBorders>
            <w:shd w:val="clear" w:color="000000" w:fill="AF272F"/>
            <w:hideMark/>
          </w:tcPr>
          <w:p w14:paraId="2110A826"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Early childhood develop-</w:t>
            </w:r>
            <w:r w:rsidRPr="005734B8">
              <w:rPr>
                <w:rFonts w:ascii="Calibri" w:hAnsi="Calibri" w:cs="Calibri"/>
                <w:b/>
                <w:color w:val="FFFFFF"/>
                <w:sz w:val="16"/>
                <w:szCs w:val="16"/>
              </w:rPr>
              <w:br/>
              <w:t xml:space="preserve">ment </w:t>
            </w:r>
            <w:r w:rsidRPr="005734B8">
              <w:rPr>
                <w:rFonts w:ascii="Calibri" w:hAnsi="Calibri" w:cs="Calibri"/>
                <w:b/>
                <w:color w:val="FFFFFF"/>
                <w:sz w:val="16"/>
                <w:szCs w:val="16"/>
              </w:rPr>
              <w:br/>
              <w:t>($m)</w:t>
            </w:r>
          </w:p>
        </w:tc>
        <w:tc>
          <w:tcPr>
            <w:tcW w:w="898" w:type="dxa"/>
            <w:tcBorders>
              <w:top w:val="nil"/>
              <w:left w:val="nil"/>
              <w:bottom w:val="single" w:sz="4" w:space="0" w:color="auto"/>
              <w:right w:val="single" w:sz="4" w:space="0" w:color="FFFFFF"/>
            </w:tcBorders>
            <w:shd w:val="clear" w:color="000000" w:fill="AF272F"/>
            <w:hideMark/>
          </w:tcPr>
          <w:p w14:paraId="170F8483"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 xml:space="preserve">School education </w:t>
            </w:r>
            <w:r w:rsidRPr="005734B8">
              <w:rPr>
                <w:rFonts w:ascii="Calibri" w:hAnsi="Calibri" w:cs="Calibri"/>
                <w:b/>
                <w:color w:val="FFFFFF"/>
                <w:sz w:val="16"/>
                <w:szCs w:val="16"/>
              </w:rPr>
              <w:br/>
              <w:t>($m)</w:t>
            </w:r>
          </w:p>
        </w:tc>
        <w:tc>
          <w:tcPr>
            <w:tcW w:w="888" w:type="dxa"/>
            <w:tcBorders>
              <w:top w:val="nil"/>
              <w:left w:val="nil"/>
              <w:bottom w:val="single" w:sz="4" w:space="0" w:color="auto"/>
              <w:right w:val="single" w:sz="4" w:space="0" w:color="FFFFFF"/>
            </w:tcBorders>
            <w:shd w:val="clear" w:color="000000" w:fill="AF272F"/>
            <w:hideMark/>
          </w:tcPr>
          <w:p w14:paraId="495B4CBD"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 xml:space="preserve">Higher educated and skills </w:t>
            </w:r>
            <w:r w:rsidRPr="005734B8">
              <w:rPr>
                <w:rFonts w:ascii="Calibri" w:hAnsi="Calibri" w:cs="Calibri"/>
                <w:b/>
                <w:color w:val="FFFFFF"/>
                <w:sz w:val="16"/>
                <w:szCs w:val="16"/>
              </w:rPr>
              <w:br/>
              <w:t>($m)</w:t>
            </w:r>
          </w:p>
        </w:tc>
        <w:tc>
          <w:tcPr>
            <w:tcW w:w="873" w:type="dxa"/>
            <w:tcBorders>
              <w:top w:val="nil"/>
              <w:left w:val="nil"/>
              <w:bottom w:val="single" w:sz="4" w:space="0" w:color="auto"/>
              <w:right w:val="single" w:sz="4" w:space="0" w:color="FFFFFF"/>
            </w:tcBorders>
            <w:shd w:val="clear" w:color="000000" w:fill="AF272F"/>
            <w:hideMark/>
          </w:tcPr>
          <w:p w14:paraId="4E9BBC83"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 xml:space="preserve">Support services delivery </w:t>
            </w:r>
            <w:r w:rsidRPr="005734B8">
              <w:rPr>
                <w:rFonts w:ascii="Calibri" w:hAnsi="Calibri" w:cs="Calibri"/>
                <w:b/>
                <w:color w:val="FFFFFF"/>
                <w:sz w:val="16"/>
                <w:szCs w:val="16"/>
              </w:rPr>
              <w:br/>
              <w:t>($m)</w:t>
            </w:r>
          </w:p>
        </w:tc>
        <w:tc>
          <w:tcPr>
            <w:tcW w:w="873" w:type="dxa"/>
            <w:tcBorders>
              <w:top w:val="nil"/>
              <w:left w:val="nil"/>
              <w:bottom w:val="single" w:sz="4" w:space="0" w:color="auto"/>
              <w:right w:val="single" w:sz="4" w:space="0" w:color="FFFFFF"/>
            </w:tcBorders>
            <w:shd w:val="clear" w:color="000000" w:fill="AF272F"/>
            <w:hideMark/>
          </w:tcPr>
          <w:p w14:paraId="479BBCDD"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Support for students with disabil-</w:t>
            </w:r>
            <w:r w:rsidRPr="005734B8">
              <w:rPr>
                <w:rFonts w:ascii="Calibri" w:hAnsi="Calibri" w:cs="Calibri"/>
                <w:b/>
                <w:color w:val="FFFFFF"/>
                <w:sz w:val="16"/>
                <w:szCs w:val="16"/>
              </w:rPr>
              <w:br/>
              <w:t xml:space="preserve">ities </w:t>
            </w:r>
            <w:r w:rsidRPr="005734B8">
              <w:rPr>
                <w:rFonts w:ascii="Calibri" w:hAnsi="Calibri" w:cs="Calibri"/>
                <w:b/>
                <w:color w:val="FFFFFF"/>
                <w:sz w:val="16"/>
                <w:szCs w:val="16"/>
              </w:rPr>
              <w:br/>
              <w:t>($m)</w:t>
            </w:r>
          </w:p>
        </w:tc>
        <w:tc>
          <w:tcPr>
            <w:tcW w:w="953" w:type="dxa"/>
            <w:tcBorders>
              <w:top w:val="nil"/>
              <w:left w:val="nil"/>
              <w:bottom w:val="single" w:sz="4" w:space="0" w:color="auto"/>
              <w:right w:val="single" w:sz="4" w:space="0" w:color="FFFFFF"/>
            </w:tcBorders>
            <w:shd w:val="clear" w:color="000000" w:fill="AF272F"/>
            <w:hideMark/>
          </w:tcPr>
          <w:p w14:paraId="3CA94ADE"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Depart-</w:t>
            </w:r>
            <w:r w:rsidRPr="005734B8">
              <w:rPr>
                <w:rFonts w:ascii="Calibri" w:hAnsi="Calibri" w:cs="Calibri"/>
                <w:b/>
                <w:color w:val="FFFFFF"/>
                <w:sz w:val="16"/>
                <w:szCs w:val="16"/>
              </w:rPr>
              <w:br/>
              <w:t xml:space="preserve">mental total </w:t>
            </w:r>
            <w:r w:rsidRPr="005734B8">
              <w:rPr>
                <w:rFonts w:ascii="Calibri" w:hAnsi="Calibri" w:cs="Calibri"/>
                <w:b/>
                <w:color w:val="FFFFFF"/>
                <w:sz w:val="16"/>
                <w:szCs w:val="16"/>
              </w:rPr>
              <w:br/>
              <w:t>($m)</w:t>
            </w:r>
          </w:p>
        </w:tc>
      </w:tr>
      <w:bookmarkEnd w:id="1388"/>
      <w:tr w:rsidR="00F06229" w:rsidRPr="005734B8" w14:paraId="11E8C27A" w14:textId="77777777" w:rsidTr="000F48B1">
        <w:trPr>
          <w:trHeight w:val="198"/>
        </w:trPr>
        <w:tc>
          <w:tcPr>
            <w:tcW w:w="7625" w:type="dxa"/>
            <w:gridSpan w:val="8"/>
            <w:tcBorders>
              <w:top w:val="single" w:sz="4" w:space="0" w:color="auto"/>
              <w:left w:val="single" w:sz="4" w:space="0" w:color="FFFFFF"/>
              <w:bottom w:val="single" w:sz="4" w:space="0" w:color="auto"/>
              <w:right w:val="nil"/>
            </w:tcBorders>
            <w:shd w:val="clear" w:color="000000" w:fill="D9D9D9"/>
            <w:noWrap/>
            <w:vAlign w:val="center"/>
            <w:hideMark/>
          </w:tcPr>
          <w:p w14:paraId="26A7E429" w14:textId="0D63BBE6" w:rsidR="00F06229" w:rsidRPr="005734B8" w:rsidRDefault="008B7D7F" w:rsidP="000F48B1">
            <w:pPr>
              <w:rPr>
                <w:rFonts w:ascii="Calibri" w:hAnsi="Calibri" w:cs="Calibri"/>
                <w:b/>
                <w:sz w:val="16"/>
                <w:szCs w:val="16"/>
              </w:rPr>
            </w:pPr>
            <w:r w:rsidRPr="005734B8">
              <w:rPr>
                <w:rFonts w:ascii="Calibri" w:hAnsi="Calibri" w:cs="Calibri"/>
                <w:b/>
                <w:sz w:val="16"/>
                <w:szCs w:val="16"/>
              </w:rPr>
              <w:t>Revenue and i</w:t>
            </w:r>
            <w:r w:rsidR="00F06229" w:rsidRPr="005734B8">
              <w:rPr>
                <w:rFonts w:ascii="Calibri" w:hAnsi="Calibri" w:cs="Calibri"/>
                <w:b/>
                <w:sz w:val="16"/>
                <w:szCs w:val="16"/>
              </w:rPr>
              <w:t>ncome from transactions</w:t>
            </w:r>
          </w:p>
        </w:tc>
      </w:tr>
      <w:tr w:rsidR="00F06229" w:rsidRPr="005734B8" w14:paraId="3BB0874F"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29798409"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Output appropriations</w:t>
            </w:r>
          </w:p>
        </w:tc>
        <w:tc>
          <w:tcPr>
            <w:tcW w:w="810" w:type="dxa"/>
            <w:tcBorders>
              <w:top w:val="nil"/>
              <w:left w:val="nil"/>
              <w:bottom w:val="single" w:sz="4" w:space="0" w:color="auto"/>
              <w:right w:val="single" w:sz="4" w:space="0" w:color="FFFFFF"/>
            </w:tcBorders>
            <w:shd w:val="clear" w:color="FFFFFF" w:fill="FFFFFF"/>
            <w:noWrap/>
            <w:vAlign w:val="center"/>
            <w:hideMark/>
          </w:tcPr>
          <w:p w14:paraId="35CB0C36"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115.3 </w:t>
            </w:r>
          </w:p>
        </w:tc>
        <w:tc>
          <w:tcPr>
            <w:tcW w:w="835" w:type="dxa"/>
            <w:tcBorders>
              <w:top w:val="nil"/>
              <w:left w:val="nil"/>
              <w:bottom w:val="single" w:sz="4" w:space="0" w:color="auto"/>
              <w:right w:val="single" w:sz="4" w:space="0" w:color="FFFFFF"/>
            </w:tcBorders>
            <w:shd w:val="clear" w:color="FFFFFF" w:fill="FFFFFF"/>
            <w:noWrap/>
            <w:vAlign w:val="center"/>
            <w:hideMark/>
          </w:tcPr>
          <w:p w14:paraId="49A03D45"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820.5 </w:t>
            </w:r>
          </w:p>
        </w:tc>
        <w:tc>
          <w:tcPr>
            <w:tcW w:w="898" w:type="dxa"/>
            <w:tcBorders>
              <w:top w:val="nil"/>
              <w:left w:val="nil"/>
              <w:bottom w:val="single" w:sz="4" w:space="0" w:color="auto"/>
              <w:right w:val="single" w:sz="4" w:space="0" w:color="FFFFFF"/>
            </w:tcBorders>
            <w:shd w:val="clear" w:color="FFFFFF" w:fill="FFFFFF"/>
            <w:noWrap/>
            <w:vAlign w:val="center"/>
            <w:hideMark/>
          </w:tcPr>
          <w:p w14:paraId="235B6F1D"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11,531.7 </w:t>
            </w:r>
          </w:p>
        </w:tc>
        <w:tc>
          <w:tcPr>
            <w:tcW w:w="888" w:type="dxa"/>
            <w:tcBorders>
              <w:top w:val="nil"/>
              <w:left w:val="nil"/>
              <w:bottom w:val="single" w:sz="4" w:space="0" w:color="auto"/>
              <w:right w:val="single" w:sz="4" w:space="0" w:color="FFFFFF"/>
            </w:tcBorders>
            <w:shd w:val="clear" w:color="FFFFFF" w:fill="FFFFFF"/>
            <w:noWrap/>
            <w:vAlign w:val="center"/>
            <w:hideMark/>
          </w:tcPr>
          <w:p w14:paraId="05C2665C"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2,086.0 </w:t>
            </w:r>
          </w:p>
        </w:tc>
        <w:tc>
          <w:tcPr>
            <w:tcW w:w="873" w:type="dxa"/>
            <w:tcBorders>
              <w:top w:val="nil"/>
              <w:left w:val="nil"/>
              <w:bottom w:val="single" w:sz="4" w:space="0" w:color="auto"/>
              <w:right w:val="single" w:sz="4" w:space="0" w:color="FFFFFF"/>
            </w:tcBorders>
            <w:shd w:val="clear" w:color="FFFFFF" w:fill="FFFFFF"/>
            <w:noWrap/>
            <w:vAlign w:val="center"/>
            <w:hideMark/>
          </w:tcPr>
          <w:p w14:paraId="0DDD7B17"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385.0 </w:t>
            </w:r>
          </w:p>
        </w:tc>
        <w:tc>
          <w:tcPr>
            <w:tcW w:w="873" w:type="dxa"/>
            <w:tcBorders>
              <w:top w:val="nil"/>
              <w:left w:val="nil"/>
              <w:bottom w:val="single" w:sz="4" w:space="0" w:color="auto"/>
              <w:right w:val="single" w:sz="4" w:space="0" w:color="FFFFFF"/>
            </w:tcBorders>
            <w:shd w:val="clear" w:color="FFFFFF" w:fill="FFFFFF"/>
            <w:noWrap/>
            <w:vAlign w:val="center"/>
            <w:hideMark/>
          </w:tcPr>
          <w:p w14:paraId="04C7E685"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1,195.4 </w:t>
            </w:r>
          </w:p>
        </w:tc>
        <w:tc>
          <w:tcPr>
            <w:tcW w:w="953" w:type="dxa"/>
            <w:tcBorders>
              <w:top w:val="nil"/>
              <w:left w:val="nil"/>
              <w:bottom w:val="single" w:sz="4" w:space="0" w:color="auto"/>
              <w:right w:val="single" w:sz="4" w:space="0" w:color="FFFFFF"/>
            </w:tcBorders>
            <w:shd w:val="clear" w:color="FFFFFF" w:fill="FFFFFF"/>
            <w:noWrap/>
            <w:vAlign w:val="center"/>
            <w:hideMark/>
          </w:tcPr>
          <w:p w14:paraId="03E32289"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16,133.9 </w:t>
            </w:r>
          </w:p>
        </w:tc>
      </w:tr>
      <w:tr w:rsidR="00F06229" w:rsidRPr="005734B8" w14:paraId="794BCC50"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7E43BB9C"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Special appropriations</w:t>
            </w:r>
          </w:p>
        </w:tc>
        <w:tc>
          <w:tcPr>
            <w:tcW w:w="810" w:type="dxa"/>
            <w:tcBorders>
              <w:top w:val="nil"/>
              <w:left w:val="nil"/>
              <w:bottom w:val="single" w:sz="4" w:space="0" w:color="auto"/>
              <w:right w:val="single" w:sz="4" w:space="0" w:color="FFFFFF"/>
            </w:tcBorders>
            <w:shd w:val="clear" w:color="FFFFFF" w:fill="FFFFFF"/>
            <w:noWrap/>
            <w:vAlign w:val="center"/>
            <w:hideMark/>
          </w:tcPr>
          <w:p w14:paraId="07814EAE" w14:textId="53A73B89"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35" w:type="dxa"/>
            <w:tcBorders>
              <w:top w:val="nil"/>
              <w:left w:val="nil"/>
              <w:bottom w:val="single" w:sz="4" w:space="0" w:color="auto"/>
              <w:right w:val="single" w:sz="4" w:space="0" w:color="FFFFFF"/>
            </w:tcBorders>
            <w:shd w:val="clear" w:color="FFFFFF" w:fill="FFFFFF"/>
            <w:noWrap/>
            <w:vAlign w:val="center"/>
            <w:hideMark/>
          </w:tcPr>
          <w:p w14:paraId="06B41832" w14:textId="05564158"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98" w:type="dxa"/>
            <w:tcBorders>
              <w:top w:val="nil"/>
              <w:left w:val="nil"/>
              <w:bottom w:val="single" w:sz="4" w:space="0" w:color="auto"/>
              <w:right w:val="single" w:sz="4" w:space="0" w:color="FFFFFF"/>
            </w:tcBorders>
            <w:shd w:val="clear" w:color="FFFFFF" w:fill="FFFFFF"/>
            <w:noWrap/>
            <w:vAlign w:val="center"/>
            <w:hideMark/>
          </w:tcPr>
          <w:p w14:paraId="4610E55E"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5.1 </w:t>
            </w:r>
          </w:p>
        </w:tc>
        <w:tc>
          <w:tcPr>
            <w:tcW w:w="888" w:type="dxa"/>
            <w:tcBorders>
              <w:top w:val="nil"/>
              <w:left w:val="nil"/>
              <w:bottom w:val="single" w:sz="4" w:space="0" w:color="auto"/>
              <w:right w:val="single" w:sz="4" w:space="0" w:color="FFFFFF"/>
            </w:tcBorders>
            <w:shd w:val="clear" w:color="FFFFFF" w:fill="FFFFFF"/>
            <w:noWrap/>
            <w:vAlign w:val="center"/>
            <w:hideMark/>
          </w:tcPr>
          <w:p w14:paraId="113C31A0" w14:textId="20CDC6E9"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73" w:type="dxa"/>
            <w:tcBorders>
              <w:top w:val="nil"/>
              <w:left w:val="nil"/>
              <w:bottom w:val="single" w:sz="4" w:space="0" w:color="auto"/>
              <w:right w:val="single" w:sz="4" w:space="0" w:color="FFFFFF"/>
            </w:tcBorders>
            <w:shd w:val="clear" w:color="FFFFFF" w:fill="FFFFFF"/>
            <w:noWrap/>
            <w:vAlign w:val="center"/>
            <w:hideMark/>
          </w:tcPr>
          <w:p w14:paraId="4D487EDF" w14:textId="78365D64"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73" w:type="dxa"/>
            <w:tcBorders>
              <w:top w:val="nil"/>
              <w:left w:val="nil"/>
              <w:bottom w:val="single" w:sz="4" w:space="0" w:color="auto"/>
              <w:right w:val="single" w:sz="4" w:space="0" w:color="FFFFFF"/>
            </w:tcBorders>
            <w:shd w:val="clear" w:color="FFFFFF" w:fill="FFFFFF"/>
            <w:noWrap/>
            <w:vAlign w:val="center"/>
            <w:hideMark/>
          </w:tcPr>
          <w:p w14:paraId="7138103E"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0.7 </w:t>
            </w:r>
          </w:p>
        </w:tc>
        <w:tc>
          <w:tcPr>
            <w:tcW w:w="953" w:type="dxa"/>
            <w:tcBorders>
              <w:top w:val="nil"/>
              <w:left w:val="nil"/>
              <w:bottom w:val="single" w:sz="4" w:space="0" w:color="auto"/>
              <w:right w:val="single" w:sz="4" w:space="0" w:color="FFFFFF"/>
            </w:tcBorders>
            <w:shd w:val="clear" w:color="FFFFFF" w:fill="FFFFFF"/>
            <w:noWrap/>
            <w:vAlign w:val="center"/>
            <w:hideMark/>
          </w:tcPr>
          <w:p w14:paraId="0ED4158F"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5.8 </w:t>
            </w:r>
          </w:p>
        </w:tc>
      </w:tr>
      <w:tr w:rsidR="00F06229" w:rsidRPr="005734B8" w14:paraId="70CA1343"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6BEA1032"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Grants</w:t>
            </w:r>
          </w:p>
        </w:tc>
        <w:tc>
          <w:tcPr>
            <w:tcW w:w="810" w:type="dxa"/>
            <w:tcBorders>
              <w:top w:val="nil"/>
              <w:left w:val="nil"/>
              <w:bottom w:val="single" w:sz="4" w:space="0" w:color="auto"/>
              <w:right w:val="single" w:sz="4" w:space="0" w:color="FFFFFF"/>
            </w:tcBorders>
            <w:shd w:val="clear" w:color="FFFFFF" w:fill="FFFFFF"/>
            <w:noWrap/>
            <w:vAlign w:val="center"/>
            <w:hideMark/>
          </w:tcPr>
          <w:p w14:paraId="0D7C472D" w14:textId="16416E6E"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35" w:type="dxa"/>
            <w:tcBorders>
              <w:top w:val="nil"/>
              <w:left w:val="nil"/>
              <w:bottom w:val="single" w:sz="4" w:space="0" w:color="auto"/>
              <w:right w:val="single" w:sz="4" w:space="0" w:color="FFFFFF"/>
            </w:tcBorders>
            <w:shd w:val="clear" w:color="FFFFFF" w:fill="FFFFFF"/>
            <w:noWrap/>
            <w:vAlign w:val="center"/>
            <w:hideMark/>
          </w:tcPr>
          <w:p w14:paraId="73C34A4F"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1.7 </w:t>
            </w:r>
          </w:p>
        </w:tc>
        <w:tc>
          <w:tcPr>
            <w:tcW w:w="898" w:type="dxa"/>
            <w:tcBorders>
              <w:top w:val="nil"/>
              <w:left w:val="nil"/>
              <w:bottom w:val="single" w:sz="4" w:space="0" w:color="auto"/>
              <w:right w:val="single" w:sz="4" w:space="0" w:color="FFFFFF"/>
            </w:tcBorders>
            <w:shd w:val="clear" w:color="FFFFFF" w:fill="FFFFFF"/>
            <w:noWrap/>
            <w:vAlign w:val="center"/>
            <w:hideMark/>
          </w:tcPr>
          <w:p w14:paraId="2606A50C"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47.6 </w:t>
            </w:r>
          </w:p>
        </w:tc>
        <w:tc>
          <w:tcPr>
            <w:tcW w:w="888" w:type="dxa"/>
            <w:tcBorders>
              <w:top w:val="nil"/>
              <w:left w:val="nil"/>
              <w:bottom w:val="single" w:sz="4" w:space="0" w:color="auto"/>
              <w:right w:val="single" w:sz="4" w:space="0" w:color="FFFFFF"/>
            </w:tcBorders>
            <w:shd w:val="clear" w:color="FFFFFF" w:fill="FFFFFF"/>
            <w:noWrap/>
            <w:vAlign w:val="center"/>
            <w:hideMark/>
          </w:tcPr>
          <w:p w14:paraId="67F68A02"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10.1 </w:t>
            </w:r>
          </w:p>
        </w:tc>
        <w:tc>
          <w:tcPr>
            <w:tcW w:w="873" w:type="dxa"/>
            <w:tcBorders>
              <w:top w:val="nil"/>
              <w:left w:val="nil"/>
              <w:bottom w:val="single" w:sz="4" w:space="0" w:color="auto"/>
              <w:right w:val="single" w:sz="4" w:space="0" w:color="FFFFFF"/>
            </w:tcBorders>
            <w:shd w:val="clear" w:color="FFFFFF" w:fill="FFFFFF"/>
            <w:noWrap/>
            <w:vAlign w:val="center"/>
            <w:hideMark/>
          </w:tcPr>
          <w:p w14:paraId="781967F5"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2.4 </w:t>
            </w:r>
          </w:p>
        </w:tc>
        <w:tc>
          <w:tcPr>
            <w:tcW w:w="873" w:type="dxa"/>
            <w:tcBorders>
              <w:top w:val="nil"/>
              <w:left w:val="nil"/>
              <w:bottom w:val="single" w:sz="4" w:space="0" w:color="auto"/>
              <w:right w:val="single" w:sz="4" w:space="0" w:color="FFFFFF"/>
            </w:tcBorders>
            <w:shd w:val="clear" w:color="FFFFFF" w:fill="FFFFFF"/>
            <w:noWrap/>
            <w:vAlign w:val="center"/>
            <w:hideMark/>
          </w:tcPr>
          <w:p w14:paraId="01B61E2A"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0.4 </w:t>
            </w:r>
          </w:p>
        </w:tc>
        <w:tc>
          <w:tcPr>
            <w:tcW w:w="953" w:type="dxa"/>
            <w:tcBorders>
              <w:top w:val="nil"/>
              <w:left w:val="nil"/>
              <w:bottom w:val="single" w:sz="4" w:space="0" w:color="auto"/>
              <w:right w:val="single" w:sz="4" w:space="0" w:color="FFFFFF"/>
            </w:tcBorders>
            <w:shd w:val="clear" w:color="FFFFFF" w:fill="FFFFFF"/>
            <w:noWrap/>
            <w:vAlign w:val="center"/>
            <w:hideMark/>
          </w:tcPr>
          <w:p w14:paraId="42AFE3FC"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62.2 </w:t>
            </w:r>
          </w:p>
        </w:tc>
      </w:tr>
      <w:tr w:rsidR="00F06229" w:rsidRPr="005734B8" w14:paraId="260C03AA"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1351E495"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Sales of goods and services</w:t>
            </w:r>
          </w:p>
        </w:tc>
        <w:tc>
          <w:tcPr>
            <w:tcW w:w="810" w:type="dxa"/>
            <w:tcBorders>
              <w:top w:val="nil"/>
              <w:left w:val="nil"/>
              <w:bottom w:val="single" w:sz="4" w:space="0" w:color="auto"/>
              <w:right w:val="single" w:sz="4" w:space="0" w:color="FFFFFF"/>
            </w:tcBorders>
            <w:shd w:val="clear" w:color="FFFFFF" w:fill="FFFFFF"/>
            <w:noWrap/>
            <w:vAlign w:val="center"/>
            <w:hideMark/>
          </w:tcPr>
          <w:p w14:paraId="47BAE9B1" w14:textId="25D66DE0"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35" w:type="dxa"/>
            <w:tcBorders>
              <w:top w:val="nil"/>
              <w:left w:val="nil"/>
              <w:bottom w:val="single" w:sz="4" w:space="0" w:color="auto"/>
              <w:right w:val="single" w:sz="4" w:space="0" w:color="FFFFFF"/>
            </w:tcBorders>
            <w:shd w:val="clear" w:color="FFFFFF" w:fill="FFFFFF"/>
            <w:noWrap/>
            <w:vAlign w:val="center"/>
            <w:hideMark/>
          </w:tcPr>
          <w:p w14:paraId="68A402AA" w14:textId="2A37F837" w:rsidR="00F06229" w:rsidRPr="005734B8" w:rsidRDefault="00244FF7" w:rsidP="000F48B1">
            <w:pPr>
              <w:jc w:val="right"/>
              <w:rPr>
                <w:rFonts w:ascii="Calibri" w:hAnsi="Calibri" w:cs="Calibri"/>
                <w:sz w:val="16"/>
                <w:szCs w:val="16"/>
              </w:rPr>
            </w:pPr>
            <w:r w:rsidRPr="005734B8">
              <w:rPr>
                <w:rFonts w:ascii="Calibri" w:hAnsi="Calibri" w:cs="Calibri"/>
                <w:sz w:val="18"/>
                <w:szCs w:val="18"/>
              </w:rPr>
              <w:softHyphen/>
            </w:r>
            <w:r w:rsidR="006C14DE" w:rsidRPr="005734B8">
              <w:rPr>
                <w:rFonts w:ascii="Calibri" w:hAnsi="Calibri" w:cs="Calibri"/>
                <w:b/>
                <w:sz w:val="16"/>
                <w:szCs w:val="16"/>
              </w:rPr>
              <w:t>–</w:t>
            </w:r>
            <w:r w:rsidR="00F06229" w:rsidRPr="005734B8">
              <w:rPr>
                <w:rFonts w:ascii="Calibri" w:hAnsi="Calibri" w:cs="Calibri"/>
                <w:sz w:val="16"/>
                <w:szCs w:val="16"/>
              </w:rPr>
              <w:t xml:space="preserve"> </w:t>
            </w:r>
          </w:p>
        </w:tc>
        <w:tc>
          <w:tcPr>
            <w:tcW w:w="898" w:type="dxa"/>
            <w:tcBorders>
              <w:top w:val="nil"/>
              <w:left w:val="nil"/>
              <w:bottom w:val="single" w:sz="4" w:space="0" w:color="auto"/>
              <w:right w:val="single" w:sz="4" w:space="0" w:color="FFFFFF"/>
            </w:tcBorders>
            <w:shd w:val="clear" w:color="FFFFFF" w:fill="FFFFFF"/>
            <w:noWrap/>
            <w:vAlign w:val="center"/>
            <w:hideMark/>
          </w:tcPr>
          <w:p w14:paraId="77072C04"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234.1 </w:t>
            </w:r>
          </w:p>
        </w:tc>
        <w:tc>
          <w:tcPr>
            <w:tcW w:w="888" w:type="dxa"/>
            <w:tcBorders>
              <w:top w:val="nil"/>
              <w:left w:val="nil"/>
              <w:bottom w:val="single" w:sz="4" w:space="0" w:color="auto"/>
              <w:right w:val="single" w:sz="4" w:space="0" w:color="FFFFFF"/>
            </w:tcBorders>
            <w:shd w:val="clear" w:color="FFFFFF" w:fill="FFFFFF"/>
            <w:noWrap/>
            <w:vAlign w:val="center"/>
            <w:hideMark/>
          </w:tcPr>
          <w:p w14:paraId="693083BF" w14:textId="51DAF264" w:rsidR="00F06229" w:rsidRPr="005734B8" w:rsidRDefault="00244FF7" w:rsidP="000F48B1">
            <w:pPr>
              <w:jc w:val="right"/>
              <w:rPr>
                <w:rFonts w:ascii="Calibri" w:hAnsi="Calibri" w:cs="Calibri"/>
                <w:sz w:val="16"/>
                <w:szCs w:val="16"/>
              </w:rPr>
            </w:pPr>
            <w:r w:rsidRPr="005734B8">
              <w:rPr>
                <w:rFonts w:ascii="Calibri" w:hAnsi="Calibri" w:cs="Calibri"/>
                <w:sz w:val="18"/>
                <w:szCs w:val="18"/>
              </w:rPr>
              <w:softHyphen/>
            </w:r>
            <w:r w:rsidR="006C14DE" w:rsidRPr="005734B8">
              <w:rPr>
                <w:rFonts w:ascii="Calibri" w:hAnsi="Calibri" w:cs="Calibri"/>
                <w:b/>
                <w:sz w:val="16"/>
                <w:szCs w:val="16"/>
              </w:rPr>
              <w:t>–</w:t>
            </w:r>
          </w:p>
        </w:tc>
        <w:tc>
          <w:tcPr>
            <w:tcW w:w="873" w:type="dxa"/>
            <w:tcBorders>
              <w:top w:val="nil"/>
              <w:left w:val="nil"/>
              <w:bottom w:val="single" w:sz="4" w:space="0" w:color="auto"/>
              <w:right w:val="single" w:sz="4" w:space="0" w:color="FFFFFF"/>
            </w:tcBorders>
            <w:shd w:val="clear" w:color="FFFFFF" w:fill="FFFFFF"/>
            <w:noWrap/>
            <w:vAlign w:val="center"/>
            <w:hideMark/>
          </w:tcPr>
          <w:p w14:paraId="053B1E9E"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0.1 </w:t>
            </w:r>
          </w:p>
        </w:tc>
        <w:tc>
          <w:tcPr>
            <w:tcW w:w="873" w:type="dxa"/>
            <w:tcBorders>
              <w:top w:val="nil"/>
              <w:left w:val="nil"/>
              <w:bottom w:val="single" w:sz="4" w:space="0" w:color="auto"/>
              <w:right w:val="single" w:sz="4" w:space="0" w:color="FFFFFF"/>
            </w:tcBorders>
            <w:shd w:val="clear" w:color="FFFFFF" w:fill="FFFFFF"/>
            <w:noWrap/>
            <w:vAlign w:val="center"/>
            <w:hideMark/>
          </w:tcPr>
          <w:p w14:paraId="481239E9" w14:textId="0DB9C0F8" w:rsidR="00F06229" w:rsidRPr="005734B8" w:rsidRDefault="00244FF7" w:rsidP="000F48B1">
            <w:pPr>
              <w:jc w:val="right"/>
              <w:rPr>
                <w:rFonts w:ascii="Calibri" w:hAnsi="Calibri" w:cs="Calibri"/>
                <w:sz w:val="16"/>
                <w:szCs w:val="16"/>
              </w:rPr>
            </w:pPr>
            <w:r w:rsidRPr="005734B8">
              <w:rPr>
                <w:rFonts w:ascii="Calibri" w:hAnsi="Calibri" w:cs="Calibri"/>
                <w:sz w:val="18"/>
                <w:szCs w:val="18"/>
              </w:rPr>
              <w:softHyphen/>
            </w:r>
            <w:r w:rsidR="006C14DE" w:rsidRPr="005734B8">
              <w:rPr>
                <w:rFonts w:ascii="Calibri" w:hAnsi="Calibri" w:cs="Calibri"/>
                <w:b/>
                <w:sz w:val="16"/>
                <w:szCs w:val="16"/>
              </w:rPr>
              <w:t>–</w:t>
            </w:r>
            <w:r w:rsidR="00F06229" w:rsidRPr="005734B8">
              <w:rPr>
                <w:rFonts w:ascii="Calibri" w:hAnsi="Calibri" w:cs="Calibri"/>
                <w:sz w:val="16"/>
                <w:szCs w:val="16"/>
              </w:rPr>
              <w:t xml:space="preserve"> </w:t>
            </w:r>
          </w:p>
        </w:tc>
        <w:tc>
          <w:tcPr>
            <w:tcW w:w="953" w:type="dxa"/>
            <w:tcBorders>
              <w:top w:val="nil"/>
              <w:left w:val="nil"/>
              <w:bottom w:val="single" w:sz="4" w:space="0" w:color="auto"/>
              <w:right w:val="single" w:sz="4" w:space="0" w:color="FFFFFF"/>
            </w:tcBorders>
            <w:shd w:val="clear" w:color="FFFFFF" w:fill="FFFFFF"/>
            <w:noWrap/>
            <w:vAlign w:val="center"/>
            <w:hideMark/>
          </w:tcPr>
          <w:p w14:paraId="7E44876B"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234.2 </w:t>
            </w:r>
          </w:p>
        </w:tc>
      </w:tr>
      <w:tr w:rsidR="00F06229" w:rsidRPr="005734B8" w14:paraId="4388317E"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35F56AE6"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Other income</w:t>
            </w:r>
          </w:p>
        </w:tc>
        <w:tc>
          <w:tcPr>
            <w:tcW w:w="810" w:type="dxa"/>
            <w:tcBorders>
              <w:top w:val="nil"/>
              <w:left w:val="nil"/>
              <w:bottom w:val="single" w:sz="4" w:space="0" w:color="auto"/>
              <w:right w:val="single" w:sz="4" w:space="0" w:color="FFFFFF"/>
            </w:tcBorders>
            <w:shd w:val="clear" w:color="FFFFFF" w:fill="FFFFFF"/>
            <w:noWrap/>
            <w:vAlign w:val="center"/>
            <w:hideMark/>
          </w:tcPr>
          <w:p w14:paraId="2312C0BD" w14:textId="32C2E505"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35" w:type="dxa"/>
            <w:tcBorders>
              <w:top w:val="nil"/>
              <w:left w:val="nil"/>
              <w:bottom w:val="single" w:sz="4" w:space="0" w:color="auto"/>
              <w:right w:val="single" w:sz="4" w:space="0" w:color="FFFFFF"/>
            </w:tcBorders>
            <w:shd w:val="clear" w:color="FFFFFF" w:fill="FFFFFF"/>
            <w:noWrap/>
            <w:vAlign w:val="center"/>
            <w:hideMark/>
          </w:tcPr>
          <w:p w14:paraId="2178DB91"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0.1 </w:t>
            </w:r>
          </w:p>
        </w:tc>
        <w:tc>
          <w:tcPr>
            <w:tcW w:w="898" w:type="dxa"/>
            <w:tcBorders>
              <w:top w:val="nil"/>
              <w:left w:val="nil"/>
              <w:bottom w:val="single" w:sz="4" w:space="0" w:color="auto"/>
              <w:right w:val="single" w:sz="4" w:space="0" w:color="FFFFFF"/>
            </w:tcBorders>
            <w:shd w:val="clear" w:color="FFFFFF" w:fill="FFFFFF"/>
            <w:noWrap/>
            <w:vAlign w:val="center"/>
            <w:hideMark/>
          </w:tcPr>
          <w:p w14:paraId="348C1967"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295.0 </w:t>
            </w:r>
          </w:p>
        </w:tc>
        <w:tc>
          <w:tcPr>
            <w:tcW w:w="888" w:type="dxa"/>
            <w:tcBorders>
              <w:top w:val="nil"/>
              <w:left w:val="nil"/>
              <w:bottom w:val="single" w:sz="4" w:space="0" w:color="auto"/>
              <w:right w:val="single" w:sz="4" w:space="0" w:color="FFFFFF"/>
            </w:tcBorders>
            <w:shd w:val="clear" w:color="FFFFFF" w:fill="FFFFFF"/>
            <w:noWrap/>
            <w:vAlign w:val="center"/>
            <w:hideMark/>
          </w:tcPr>
          <w:p w14:paraId="7DB74215"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0.1 </w:t>
            </w:r>
          </w:p>
        </w:tc>
        <w:tc>
          <w:tcPr>
            <w:tcW w:w="873" w:type="dxa"/>
            <w:tcBorders>
              <w:top w:val="nil"/>
              <w:left w:val="nil"/>
              <w:bottom w:val="single" w:sz="4" w:space="0" w:color="auto"/>
              <w:right w:val="single" w:sz="4" w:space="0" w:color="FFFFFF"/>
            </w:tcBorders>
            <w:shd w:val="clear" w:color="FFFFFF" w:fill="FFFFFF"/>
            <w:noWrap/>
            <w:vAlign w:val="center"/>
            <w:hideMark/>
          </w:tcPr>
          <w:p w14:paraId="7A6F0C46"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0.2 </w:t>
            </w:r>
          </w:p>
        </w:tc>
        <w:tc>
          <w:tcPr>
            <w:tcW w:w="873" w:type="dxa"/>
            <w:tcBorders>
              <w:top w:val="nil"/>
              <w:left w:val="nil"/>
              <w:bottom w:val="single" w:sz="4" w:space="0" w:color="auto"/>
              <w:right w:val="single" w:sz="4" w:space="0" w:color="FFFFFF"/>
            </w:tcBorders>
            <w:shd w:val="clear" w:color="FFFFFF" w:fill="FFFFFF"/>
            <w:noWrap/>
            <w:vAlign w:val="center"/>
            <w:hideMark/>
          </w:tcPr>
          <w:p w14:paraId="1136C1F5"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0.1 </w:t>
            </w:r>
          </w:p>
        </w:tc>
        <w:tc>
          <w:tcPr>
            <w:tcW w:w="953" w:type="dxa"/>
            <w:tcBorders>
              <w:top w:val="nil"/>
              <w:left w:val="nil"/>
              <w:bottom w:val="single" w:sz="4" w:space="0" w:color="auto"/>
              <w:right w:val="single" w:sz="4" w:space="0" w:color="FFFFFF"/>
            </w:tcBorders>
            <w:shd w:val="clear" w:color="FFFFFF" w:fill="FFFFFF"/>
            <w:noWrap/>
            <w:vAlign w:val="center"/>
            <w:hideMark/>
          </w:tcPr>
          <w:p w14:paraId="7CBB9676"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295.5 </w:t>
            </w:r>
          </w:p>
        </w:tc>
      </w:tr>
      <w:tr w:rsidR="00F06229" w:rsidRPr="005734B8" w14:paraId="39534250" w14:textId="77777777" w:rsidTr="000F48B1">
        <w:trPr>
          <w:trHeight w:val="198"/>
        </w:trPr>
        <w:tc>
          <w:tcPr>
            <w:tcW w:w="1495"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ADF75BB" w14:textId="368B202C" w:rsidR="00F06229" w:rsidRPr="005734B8" w:rsidRDefault="00F06229" w:rsidP="000F48B1">
            <w:pPr>
              <w:rPr>
                <w:rFonts w:ascii="Calibri" w:hAnsi="Calibri" w:cs="Calibri"/>
                <w:b/>
                <w:sz w:val="16"/>
                <w:szCs w:val="16"/>
              </w:rPr>
            </w:pPr>
            <w:r w:rsidRPr="005734B8">
              <w:rPr>
                <w:rFonts w:ascii="Calibri" w:hAnsi="Calibri" w:cs="Calibri"/>
                <w:b/>
                <w:sz w:val="16"/>
                <w:szCs w:val="16"/>
              </w:rPr>
              <w:t xml:space="preserve">Total </w:t>
            </w:r>
            <w:r w:rsidR="008B7D7F" w:rsidRPr="005734B8">
              <w:rPr>
                <w:rFonts w:ascii="Calibri" w:hAnsi="Calibri" w:cs="Calibri"/>
                <w:b/>
                <w:sz w:val="16"/>
                <w:szCs w:val="16"/>
              </w:rPr>
              <w:t>revenue and</w:t>
            </w:r>
            <w:r w:rsidRPr="005734B8">
              <w:rPr>
                <w:rFonts w:ascii="Calibri" w:hAnsi="Calibri" w:cs="Calibri"/>
                <w:b/>
                <w:sz w:val="16"/>
                <w:szCs w:val="16"/>
              </w:rPr>
              <w:t xml:space="preserve"> income from transactions</w:t>
            </w:r>
          </w:p>
        </w:tc>
        <w:tc>
          <w:tcPr>
            <w:tcW w:w="810" w:type="dxa"/>
            <w:tcBorders>
              <w:top w:val="single" w:sz="12" w:space="0" w:color="auto"/>
              <w:left w:val="nil"/>
              <w:bottom w:val="single" w:sz="12" w:space="0" w:color="auto"/>
              <w:right w:val="single" w:sz="12" w:space="0" w:color="FFFFFF"/>
            </w:tcBorders>
            <w:shd w:val="clear" w:color="FFFFFF" w:fill="FFFFFF"/>
            <w:noWrap/>
            <w:vAlign w:val="center"/>
            <w:hideMark/>
          </w:tcPr>
          <w:p w14:paraId="49B4614C"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115.3 </w:t>
            </w:r>
          </w:p>
        </w:tc>
        <w:tc>
          <w:tcPr>
            <w:tcW w:w="835" w:type="dxa"/>
            <w:tcBorders>
              <w:top w:val="single" w:sz="12" w:space="0" w:color="auto"/>
              <w:left w:val="nil"/>
              <w:bottom w:val="single" w:sz="12" w:space="0" w:color="auto"/>
              <w:right w:val="single" w:sz="12" w:space="0" w:color="FFFFFF"/>
            </w:tcBorders>
            <w:shd w:val="clear" w:color="FFFFFF" w:fill="FFFFFF"/>
            <w:noWrap/>
            <w:vAlign w:val="center"/>
            <w:hideMark/>
          </w:tcPr>
          <w:p w14:paraId="28057CB3"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822.3 </w:t>
            </w:r>
          </w:p>
        </w:tc>
        <w:tc>
          <w:tcPr>
            <w:tcW w:w="898" w:type="dxa"/>
            <w:tcBorders>
              <w:top w:val="single" w:sz="12" w:space="0" w:color="auto"/>
              <w:left w:val="nil"/>
              <w:bottom w:val="single" w:sz="12" w:space="0" w:color="auto"/>
              <w:right w:val="single" w:sz="12" w:space="0" w:color="FFFFFF"/>
            </w:tcBorders>
            <w:shd w:val="clear" w:color="FFFFFF" w:fill="FFFFFF"/>
            <w:noWrap/>
            <w:vAlign w:val="center"/>
            <w:hideMark/>
          </w:tcPr>
          <w:p w14:paraId="758D9B91"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12,113.5 </w:t>
            </w:r>
          </w:p>
        </w:tc>
        <w:tc>
          <w:tcPr>
            <w:tcW w:w="888" w:type="dxa"/>
            <w:tcBorders>
              <w:top w:val="single" w:sz="12" w:space="0" w:color="auto"/>
              <w:left w:val="nil"/>
              <w:bottom w:val="single" w:sz="12" w:space="0" w:color="auto"/>
              <w:right w:val="single" w:sz="12" w:space="0" w:color="FFFFFF"/>
            </w:tcBorders>
            <w:shd w:val="clear" w:color="FFFFFF" w:fill="FFFFFF"/>
            <w:noWrap/>
            <w:vAlign w:val="center"/>
            <w:hideMark/>
          </w:tcPr>
          <w:p w14:paraId="549600E3"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2,096.2 </w:t>
            </w:r>
          </w:p>
        </w:tc>
        <w:tc>
          <w:tcPr>
            <w:tcW w:w="873" w:type="dxa"/>
            <w:tcBorders>
              <w:top w:val="single" w:sz="12" w:space="0" w:color="auto"/>
              <w:left w:val="nil"/>
              <w:bottom w:val="single" w:sz="12" w:space="0" w:color="auto"/>
              <w:right w:val="single" w:sz="12" w:space="0" w:color="FFFFFF"/>
            </w:tcBorders>
            <w:shd w:val="clear" w:color="FFFFFF" w:fill="FFFFFF"/>
            <w:noWrap/>
            <w:vAlign w:val="center"/>
            <w:hideMark/>
          </w:tcPr>
          <w:p w14:paraId="19ACDE02"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387.7 </w:t>
            </w:r>
          </w:p>
        </w:tc>
        <w:tc>
          <w:tcPr>
            <w:tcW w:w="873" w:type="dxa"/>
            <w:tcBorders>
              <w:top w:val="single" w:sz="12" w:space="0" w:color="auto"/>
              <w:left w:val="nil"/>
              <w:bottom w:val="single" w:sz="12" w:space="0" w:color="auto"/>
              <w:right w:val="single" w:sz="12" w:space="0" w:color="FFFFFF"/>
            </w:tcBorders>
            <w:shd w:val="clear" w:color="FFFFFF" w:fill="FFFFFF"/>
            <w:noWrap/>
            <w:vAlign w:val="center"/>
            <w:hideMark/>
          </w:tcPr>
          <w:p w14:paraId="17CDA887"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1,196.6 </w:t>
            </w:r>
          </w:p>
        </w:tc>
        <w:tc>
          <w:tcPr>
            <w:tcW w:w="953" w:type="dxa"/>
            <w:tcBorders>
              <w:top w:val="single" w:sz="12" w:space="0" w:color="auto"/>
              <w:left w:val="nil"/>
              <w:bottom w:val="single" w:sz="12" w:space="0" w:color="auto"/>
              <w:right w:val="single" w:sz="12" w:space="0" w:color="FFFFFF"/>
            </w:tcBorders>
            <w:shd w:val="clear" w:color="FFFFFF" w:fill="FFFFFF"/>
            <w:noWrap/>
            <w:vAlign w:val="center"/>
            <w:hideMark/>
          </w:tcPr>
          <w:p w14:paraId="47C7068E"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16,731.6 </w:t>
            </w:r>
          </w:p>
        </w:tc>
      </w:tr>
      <w:tr w:rsidR="00F06229" w:rsidRPr="005734B8" w14:paraId="5B11FF97" w14:textId="77777777" w:rsidTr="000F48B1">
        <w:trPr>
          <w:trHeight w:val="198"/>
        </w:trPr>
        <w:tc>
          <w:tcPr>
            <w:tcW w:w="7625" w:type="dxa"/>
            <w:gridSpan w:val="8"/>
            <w:tcBorders>
              <w:top w:val="single" w:sz="4" w:space="0" w:color="auto"/>
              <w:left w:val="single" w:sz="4" w:space="0" w:color="FFFFFF"/>
              <w:bottom w:val="single" w:sz="4" w:space="0" w:color="auto"/>
              <w:right w:val="nil"/>
            </w:tcBorders>
            <w:shd w:val="clear" w:color="000000" w:fill="D9D9D9"/>
            <w:noWrap/>
            <w:vAlign w:val="center"/>
            <w:hideMark/>
          </w:tcPr>
          <w:p w14:paraId="4A23D0E7" w14:textId="77777777" w:rsidR="00F06229" w:rsidRPr="005734B8" w:rsidRDefault="00F06229" w:rsidP="000F48B1">
            <w:pPr>
              <w:rPr>
                <w:rFonts w:ascii="Calibri" w:hAnsi="Calibri" w:cs="Calibri"/>
                <w:b/>
                <w:sz w:val="16"/>
                <w:szCs w:val="16"/>
              </w:rPr>
            </w:pPr>
            <w:r w:rsidRPr="005734B8">
              <w:rPr>
                <w:rFonts w:ascii="Calibri" w:hAnsi="Calibri" w:cs="Calibri"/>
                <w:b/>
                <w:sz w:val="16"/>
                <w:szCs w:val="16"/>
              </w:rPr>
              <w:t>Expenses from transactions</w:t>
            </w:r>
          </w:p>
        </w:tc>
      </w:tr>
      <w:tr w:rsidR="00F06229" w:rsidRPr="005734B8" w14:paraId="72138EC8"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5C871D3E"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Employee expenses</w:t>
            </w:r>
          </w:p>
        </w:tc>
        <w:tc>
          <w:tcPr>
            <w:tcW w:w="810" w:type="dxa"/>
            <w:tcBorders>
              <w:top w:val="nil"/>
              <w:left w:val="nil"/>
              <w:bottom w:val="single" w:sz="4" w:space="0" w:color="auto"/>
              <w:right w:val="single" w:sz="4" w:space="0" w:color="FFFFFF"/>
            </w:tcBorders>
            <w:shd w:val="clear" w:color="FFFFFF" w:fill="FFFFFF"/>
            <w:noWrap/>
            <w:vAlign w:val="center"/>
            <w:hideMark/>
          </w:tcPr>
          <w:p w14:paraId="4679C81D"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(63.8) </w:t>
            </w:r>
          </w:p>
        </w:tc>
        <w:tc>
          <w:tcPr>
            <w:tcW w:w="835" w:type="dxa"/>
            <w:tcBorders>
              <w:top w:val="nil"/>
              <w:left w:val="nil"/>
              <w:bottom w:val="single" w:sz="4" w:space="0" w:color="auto"/>
              <w:right w:val="single" w:sz="4" w:space="0" w:color="FFFFFF"/>
            </w:tcBorders>
            <w:shd w:val="clear" w:color="FFFFFF" w:fill="FFFFFF"/>
            <w:noWrap/>
            <w:vAlign w:val="center"/>
            <w:hideMark/>
          </w:tcPr>
          <w:p w14:paraId="48FECC4A"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(80.6) </w:t>
            </w:r>
          </w:p>
        </w:tc>
        <w:tc>
          <w:tcPr>
            <w:tcW w:w="898" w:type="dxa"/>
            <w:tcBorders>
              <w:top w:val="nil"/>
              <w:left w:val="nil"/>
              <w:bottom w:val="single" w:sz="4" w:space="0" w:color="auto"/>
              <w:right w:val="single" w:sz="4" w:space="0" w:color="FFFFFF"/>
            </w:tcBorders>
            <w:shd w:val="clear" w:color="FFFFFF" w:fill="FFFFFF"/>
            <w:noWrap/>
            <w:vAlign w:val="center"/>
            <w:hideMark/>
          </w:tcPr>
          <w:p w14:paraId="71EFFEDB"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(6,640.1) </w:t>
            </w:r>
          </w:p>
        </w:tc>
        <w:tc>
          <w:tcPr>
            <w:tcW w:w="888" w:type="dxa"/>
            <w:tcBorders>
              <w:top w:val="nil"/>
              <w:left w:val="nil"/>
              <w:bottom w:val="single" w:sz="4" w:space="0" w:color="auto"/>
              <w:right w:val="single" w:sz="4" w:space="0" w:color="FFFFFF"/>
            </w:tcBorders>
            <w:shd w:val="clear" w:color="FFFFFF" w:fill="FFFFFF"/>
            <w:noWrap/>
            <w:vAlign w:val="center"/>
            <w:hideMark/>
          </w:tcPr>
          <w:p w14:paraId="1F111ECE"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(61.1) </w:t>
            </w:r>
          </w:p>
        </w:tc>
        <w:tc>
          <w:tcPr>
            <w:tcW w:w="873" w:type="dxa"/>
            <w:tcBorders>
              <w:top w:val="nil"/>
              <w:left w:val="nil"/>
              <w:bottom w:val="single" w:sz="4" w:space="0" w:color="auto"/>
              <w:right w:val="single" w:sz="4" w:space="0" w:color="FFFFFF"/>
            </w:tcBorders>
            <w:shd w:val="clear" w:color="FFFFFF" w:fill="FFFFFF"/>
            <w:noWrap/>
            <w:vAlign w:val="center"/>
            <w:hideMark/>
          </w:tcPr>
          <w:p w14:paraId="6ED7996D"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(217.5) </w:t>
            </w:r>
          </w:p>
        </w:tc>
        <w:tc>
          <w:tcPr>
            <w:tcW w:w="873" w:type="dxa"/>
            <w:tcBorders>
              <w:top w:val="nil"/>
              <w:left w:val="nil"/>
              <w:bottom w:val="single" w:sz="4" w:space="0" w:color="auto"/>
              <w:right w:val="single" w:sz="4" w:space="0" w:color="FFFFFF"/>
            </w:tcBorders>
            <w:shd w:val="clear" w:color="FFFFFF" w:fill="FFFFFF"/>
            <w:noWrap/>
            <w:vAlign w:val="center"/>
            <w:hideMark/>
          </w:tcPr>
          <w:p w14:paraId="6025ED92"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(958.6) </w:t>
            </w:r>
          </w:p>
        </w:tc>
        <w:tc>
          <w:tcPr>
            <w:tcW w:w="953" w:type="dxa"/>
            <w:tcBorders>
              <w:top w:val="nil"/>
              <w:left w:val="nil"/>
              <w:bottom w:val="single" w:sz="4" w:space="0" w:color="auto"/>
              <w:right w:val="single" w:sz="4" w:space="0" w:color="FFFFFF"/>
            </w:tcBorders>
            <w:shd w:val="clear" w:color="FFFFFF" w:fill="FFFFFF"/>
            <w:noWrap/>
            <w:vAlign w:val="center"/>
            <w:hideMark/>
          </w:tcPr>
          <w:p w14:paraId="2A17E75C"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(8,021.7) </w:t>
            </w:r>
          </w:p>
        </w:tc>
      </w:tr>
      <w:tr w:rsidR="00F06229" w:rsidRPr="005734B8" w14:paraId="6AFD5209"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7359911B"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Interest expense</w:t>
            </w:r>
          </w:p>
        </w:tc>
        <w:tc>
          <w:tcPr>
            <w:tcW w:w="810" w:type="dxa"/>
            <w:tcBorders>
              <w:top w:val="nil"/>
              <w:left w:val="nil"/>
              <w:bottom w:val="single" w:sz="4" w:space="0" w:color="auto"/>
              <w:right w:val="single" w:sz="4" w:space="0" w:color="FFFFFF"/>
            </w:tcBorders>
            <w:shd w:val="clear" w:color="FFFFFF" w:fill="FFFFFF"/>
            <w:noWrap/>
            <w:vAlign w:val="center"/>
            <w:hideMark/>
          </w:tcPr>
          <w:p w14:paraId="4E209BCA" w14:textId="567D098E"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35" w:type="dxa"/>
            <w:tcBorders>
              <w:top w:val="nil"/>
              <w:left w:val="nil"/>
              <w:bottom w:val="single" w:sz="4" w:space="0" w:color="auto"/>
              <w:right w:val="single" w:sz="4" w:space="0" w:color="FFFFFF"/>
            </w:tcBorders>
            <w:shd w:val="clear" w:color="FFFFFF" w:fill="FFFFFF"/>
            <w:noWrap/>
            <w:vAlign w:val="center"/>
            <w:hideMark/>
          </w:tcPr>
          <w:p w14:paraId="54056C46" w14:textId="79C0CCA8"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98" w:type="dxa"/>
            <w:tcBorders>
              <w:top w:val="nil"/>
              <w:left w:val="nil"/>
              <w:bottom w:val="single" w:sz="4" w:space="0" w:color="auto"/>
              <w:right w:val="single" w:sz="4" w:space="0" w:color="FFFFFF"/>
            </w:tcBorders>
            <w:shd w:val="clear" w:color="FFFFFF" w:fill="FFFFFF"/>
            <w:noWrap/>
            <w:vAlign w:val="center"/>
            <w:hideMark/>
          </w:tcPr>
          <w:p w14:paraId="6F1795BD"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(24.9) </w:t>
            </w:r>
          </w:p>
        </w:tc>
        <w:tc>
          <w:tcPr>
            <w:tcW w:w="888" w:type="dxa"/>
            <w:tcBorders>
              <w:top w:val="nil"/>
              <w:left w:val="nil"/>
              <w:bottom w:val="single" w:sz="4" w:space="0" w:color="auto"/>
              <w:right w:val="single" w:sz="4" w:space="0" w:color="FFFFFF"/>
            </w:tcBorders>
            <w:shd w:val="clear" w:color="FFFFFF" w:fill="FFFFFF"/>
            <w:noWrap/>
            <w:vAlign w:val="center"/>
            <w:hideMark/>
          </w:tcPr>
          <w:p w14:paraId="76D86B78" w14:textId="746B1D3C"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73" w:type="dxa"/>
            <w:tcBorders>
              <w:top w:val="nil"/>
              <w:left w:val="nil"/>
              <w:bottom w:val="single" w:sz="4" w:space="0" w:color="auto"/>
              <w:right w:val="single" w:sz="4" w:space="0" w:color="FFFFFF"/>
            </w:tcBorders>
            <w:shd w:val="clear" w:color="FFFFFF" w:fill="FFFFFF"/>
            <w:noWrap/>
            <w:vAlign w:val="center"/>
            <w:hideMark/>
          </w:tcPr>
          <w:p w14:paraId="679FC584" w14:textId="52EDD771"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73" w:type="dxa"/>
            <w:tcBorders>
              <w:top w:val="nil"/>
              <w:left w:val="nil"/>
              <w:bottom w:val="single" w:sz="4" w:space="0" w:color="auto"/>
              <w:right w:val="single" w:sz="4" w:space="0" w:color="FFFFFF"/>
            </w:tcBorders>
            <w:shd w:val="clear" w:color="FFFFFF" w:fill="FFFFFF"/>
            <w:noWrap/>
            <w:vAlign w:val="center"/>
            <w:hideMark/>
          </w:tcPr>
          <w:p w14:paraId="77693A95" w14:textId="7F7404A0"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953" w:type="dxa"/>
            <w:tcBorders>
              <w:top w:val="nil"/>
              <w:left w:val="nil"/>
              <w:bottom w:val="single" w:sz="4" w:space="0" w:color="auto"/>
              <w:right w:val="single" w:sz="4" w:space="0" w:color="FFFFFF"/>
            </w:tcBorders>
            <w:shd w:val="clear" w:color="FFFFFF" w:fill="FFFFFF"/>
            <w:noWrap/>
            <w:vAlign w:val="center"/>
            <w:hideMark/>
          </w:tcPr>
          <w:p w14:paraId="1AF959F8"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(24.9) </w:t>
            </w:r>
          </w:p>
        </w:tc>
      </w:tr>
      <w:tr w:rsidR="00F06229" w:rsidRPr="005734B8" w14:paraId="484D473A"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13412666"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Depreciation and amortisation</w:t>
            </w:r>
          </w:p>
        </w:tc>
        <w:tc>
          <w:tcPr>
            <w:tcW w:w="810" w:type="dxa"/>
            <w:tcBorders>
              <w:top w:val="nil"/>
              <w:left w:val="nil"/>
              <w:bottom w:val="single" w:sz="4" w:space="0" w:color="auto"/>
              <w:right w:val="single" w:sz="4" w:space="0" w:color="FFFFFF"/>
            </w:tcBorders>
            <w:shd w:val="clear" w:color="FFFFFF" w:fill="FFFFFF"/>
            <w:noWrap/>
            <w:vAlign w:val="center"/>
            <w:hideMark/>
          </w:tcPr>
          <w:p w14:paraId="456AC5BC"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(7.6) </w:t>
            </w:r>
          </w:p>
        </w:tc>
        <w:tc>
          <w:tcPr>
            <w:tcW w:w="835" w:type="dxa"/>
            <w:tcBorders>
              <w:top w:val="nil"/>
              <w:left w:val="nil"/>
              <w:bottom w:val="single" w:sz="4" w:space="0" w:color="auto"/>
              <w:right w:val="single" w:sz="4" w:space="0" w:color="FFFFFF"/>
            </w:tcBorders>
            <w:shd w:val="clear" w:color="FFFFFF" w:fill="FFFFFF"/>
            <w:noWrap/>
            <w:vAlign w:val="center"/>
            <w:hideMark/>
          </w:tcPr>
          <w:p w14:paraId="2C309D5B"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(8.8) </w:t>
            </w:r>
          </w:p>
        </w:tc>
        <w:tc>
          <w:tcPr>
            <w:tcW w:w="898" w:type="dxa"/>
            <w:tcBorders>
              <w:top w:val="nil"/>
              <w:left w:val="nil"/>
              <w:bottom w:val="single" w:sz="4" w:space="0" w:color="auto"/>
              <w:right w:val="single" w:sz="4" w:space="0" w:color="FFFFFF"/>
            </w:tcBorders>
            <w:shd w:val="clear" w:color="FFFFFF" w:fill="FFFFFF"/>
            <w:noWrap/>
            <w:vAlign w:val="center"/>
            <w:hideMark/>
          </w:tcPr>
          <w:p w14:paraId="601180A7"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(415.4) </w:t>
            </w:r>
          </w:p>
        </w:tc>
        <w:tc>
          <w:tcPr>
            <w:tcW w:w="888" w:type="dxa"/>
            <w:tcBorders>
              <w:top w:val="nil"/>
              <w:left w:val="nil"/>
              <w:bottom w:val="single" w:sz="4" w:space="0" w:color="auto"/>
              <w:right w:val="single" w:sz="4" w:space="0" w:color="FFFFFF"/>
            </w:tcBorders>
            <w:shd w:val="clear" w:color="FFFFFF" w:fill="FFFFFF"/>
            <w:noWrap/>
            <w:vAlign w:val="center"/>
            <w:hideMark/>
          </w:tcPr>
          <w:p w14:paraId="1A816348"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(4.3) </w:t>
            </w:r>
          </w:p>
        </w:tc>
        <w:tc>
          <w:tcPr>
            <w:tcW w:w="873" w:type="dxa"/>
            <w:tcBorders>
              <w:top w:val="nil"/>
              <w:left w:val="nil"/>
              <w:bottom w:val="single" w:sz="4" w:space="0" w:color="auto"/>
              <w:right w:val="single" w:sz="4" w:space="0" w:color="FFFFFF"/>
            </w:tcBorders>
            <w:shd w:val="clear" w:color="FFFFFF" w:fill="FFFFFF"/>
            <w:noWrap/>
            <w:vAlign w:val="center"/>
            <w:hideMark/>
          </w:tcPr>
          <w:p w14:paraId="70CA881C"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(3.1) </w:t>
            </w:r>
          </w:p>
        </w:tc>
        <w:tc>
          <w:tcPr>
            <w:tcW w:w="873" w:type="dxa"/>
            <w:tcBorders>
              <w:top w:val="nil"/>
              <w:left w:val="nil"/>
              <w:bottom w:val="single" w:sz="4" w:space="0" w:color="auto"/>
              <w:right w:val="single" w:sz="4" w:space="0" w:color="FFFFFF"/>
            </w:tcBorders>
            <w:shd w:val="clear" w:color="FFFFFF" w:fill="FFFFFF"/>
            <w:noWrap/>
            <w:vAlign w:val="center"/>
            <w:hideMark/>
          </w:tcPr>
          <w:p w14:paraId="24D49AE7"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(18.8) </w:t>
            </w:r>
          </w:p>
        </w:tc>
        <w:tc>
          <w:tcPr>
            <w:tcW w:w="953" w:type="dxa"/>
            <w:tcBorders>
              <w:top w:val="nil"/>
              <w:left w:val="nil"/>
              <w:bottom w:val="single" w:sz="4" w:space="0" w:color="auto"/>
              <w:right w:val="single" w:sz="4" w:space="0" w:color="FFFFFF"/>
            </w:tcBorders>
            <w:shd w:val="clear" w:color="FFFFFF" w:fill="FFFFFF"/>
            <w:noWrap/>
            <w:vAlign w:val="center"/>
            <w:hideMark/>
          </w:tcPr>
          <w:p w14:paraId="0B4745CC"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(458.0) </w:t>
            </w:r>
          </w:p>
        </w:tc>
      </w:tr>
      <w:tr w:rsidR="00F06229" w:rsidRPr="005734B8" w14:paraId="0E43E89C"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57B244AD"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Grants and other payments</w:t>
            </w:r>
          </w:p>
        </w:tc>
        <w:tc>
          <w:tcPr>
            <w:tcW w:w="810" w:type="dxa"/>
            <w:tcBorders>
              <w:top w:val="nil"/>
              <w:left w:val="nil"/>
              <w:bottom w:val="single" w:sz="4" w:space="0" w:color="auto"/>
              <w:right w:val="single" w:sz="4" w:space="0" w:color="FFFFFF"/>
            </w:tcBorders>
            <w:shd w:val="clear" w:color="FFFFFF" w:fill="FFFFFF"/>
            <w:noWrap/>
            <w:vAlign w:val="center"/>
            <w:hideMark/>
          </w:tcPr>
          <w:p w14:paraId="6D017B0F"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(28.4) </w:t>
            </w:r>
          </w:p>
        </w:tc>
        <w:tc>
          <w:tcPr>
            <w:tcW w:w="835" w:type="dxa"/>
            <w:tcBorders>
              <w:top w:val="nil"/>
              <w:left w:val="nil"/>
              <w:bottom w:val="single" w:sz="4" w:space="0" w:color="auto"/>
              <w:right w:val="single" w:sz="4" w:space="0" w:color="FFFFFF"/>
            </w:tcBorders>
            <w:shd w:val="clear" w:color="FFFFFF" w:fill="FFFFFF"/>
            <w:noWrap/>
            <w:vAlign w:val="center"/>
            <w:hideMark/>
          </w:tcPr>
          <w:p w14:paraId="6CDAE2F6"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(31.4) </w:t>
            </w:r>
          </w:p>
        </w:tc>
        <w:tc>
          <w:tcPr>
            <w:tcW w:w="898" w:type="dxa"/>
            <w:tcBorders>
              <w:top w:val="nil"/>
              <w:left w:val="nil"/>
              <w:bottom w:val="single" w:sz="4" w:space="0" w:color="auto"/>
              <w:right w:val="single" w:sz="4" w:space="0" w:color="FFFFFF"/>
            </w:tcBorders>
            <w:shd w:val="clear" w:color="FFFFFF" w:fill="FFFFFF"/>
            <w:noWrap/>
            <w:vAlign w:val="center"/>
            <w:hideMark/>
          </w:tcPr>
          <w:p w14:paraId="2441E297"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(1,070.2) </w:t>
            </w:r>
          </w:p>
        </w:tc>
        <w:tc>
          <w:tcPr>
            <w:tcW w:w="888" w:type="dxa"/>
            <w:tcBorders>
              <w:top w:val="nil"/>
              <w:left w:val="nil"/>
              <w:bottom w:val="single" w:sz="4" w:space="0" w:color="auto"/>
              <w:right w:val="single" w:sz="4" w:space="0" w:color="FFFFFF"/>
            </w:tcBorders>
            <w:shd w:val="clear" w:color="FFFFFF" w:fill="FFFFFF"/>
            <w:noWrap/>
            <w:vAlign w:val="center"/>
            <w:hideMark/>
          </w:tcPr>
          <w:p w14:paraId="0E9E9200"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(1,270.8) </w:t>
            </w:r>
          </w:p>
        </w:tc>
        <w:tc>
          <w:tcPr>
            <w:tcW w:w="873" w:type="dxa"/>
            <w:tcBorders>
              <w:top w:val="nil"/>
              <w:left w:val="nil"/>
              <w:bottom w:val="single" w:sz="4" w:space="0" w:color="auto"/>
              <w:right w:val="single" w:sz="4" w:space="0" w:color="FFFFFF"/>
            </w:tcBorders>
            <w:shd w:val="clear" w:color="FFFFFF" w:fill="FFFFFF"/>
            <w:noWrap/>
            <w:vAlign w:val="center"/>
            <w:hideMark/>
          </w:tcPr>
          <w:p w14:paraId="7453C6FD"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(140.8) </w:t>
            </w:r>
          </w:p>
        </w:tc>
        <w:tc>
          <w:tcPr>
            <w:tcW w:w="873" w:type="dxa"/>
            <w:tcBorders>
              <w:top w:val="nil"/>
              <w:left w:val="nil"/>
              <w:bottom w:val="single" w:sz="4" w:space="0" w:color="auto"/>
              <w:right w:val="single" w:sz="4" w:space="0" w:color="FFFFFF"/>
            </w:tcBorders>
            <w:shd w:val="clear" w:color="FFFFFF" w:fill="FFFFFF"/>
            <w:noWrap/>
            <w:vAlign w:val="center"/>
            <w:hideMark/>
          </w:tcPr>
          <w:p w14:paraId="4D05D291"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(5.8) </w:t>
            </w:r>
          </w:p>
        </w:tc>
        <w:tc>
          <w:tcPr>
            <w:tcW w:w="953" w:type="dxa"/>
            <w:tcBorders>
              <w:top w:val="nil"/>
              <w:left w:val="nil"/>
              <w:bottom w:val="single" w:sz="4" w:space="0" w:color="auto"/>
              <w:right w:val="single" w:sz="4" w:space="0" w:color="FFFFFF"/>
            </w:tcBorders>
            <w:shd w:val="clear" w:color="FFFFFF" w:fill="FFFFFF"/>
            <w:noWrap/>
            <w:vAlign w:val="center"/>
            <w:hideMark/>
          </w:tcPr>
          <w:p w14:paraId="736BEBD9"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(2,547.4) </w:t>
            </w:r>
          </w:p>
        </w:tc>
      </w:tr>
      <w:tr w:rsidR="00F06229" w:rsidRPr="005734B8" w14:paraId="30B991DA"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5E3F570D"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Capital asset charge</w:t>
            </w:r>
          </w:p>
        </w:tc>
        <w:tc>
          <w:tcPr>
            <w:tcW w:w="810" w:type="dxa"/>
            <w:tcBorders>
              <w:top w:val="nil"/>
              <w:left w:val="nil"/>
              <w:bottom w:val="single" w:sz="4" w:space="0" w:color="auto"/>
              <w:right w:val="single" w:sz="4" w:space="0" w:color="FFFFFF"/>
            </w:tcBorders>
            <w:shd w:val="clear" w:color="FFFFFF" w:fill="FFFFFF"/>
            <w:noWrap/>
            <w:vAlign w:val="center"/>
            <w:hideMark/>
          </w:tcPr>
          <w:p w14:paraId="3EFB7845"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(0.7) </w:t>
            </w:r>
          </w:p>
        </w:tc>
        <w:tc>
          <w:tcPr>
            <w:tcW w:w="835" w:type="dxa"/>
            <w:tcBorders>
              <w:top w:val="nil"/>
              <w:left w:val="nil"/>
              <w:bottom w:val="single" w:sz="4" w:space="0" w:color="auto"/>
              <w:right w:val="single" w:sz="4" w:space="0" w:color="FFFFFF"/>
            </w:tcBorders>
            <w:shd w:val="clear" w:color="FFFFFF" w:fill="FFFFFF"/>
            <w:noWrap/>
            <w:vAlign w:val="center"/>
            <w:hideMark/>
          </w:tcPr>
          <w:p w14:paraId="5041D425"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(14.7) </w:t>
            </w:r>
          </w:p>
        </w:tc>
        <w:tc>
          <w:tcPr>
            <w:tcW w:w="898" w:type="dxa"/>
            <w:tcBorders>
              <w:top w:val="nil"/>
              <w:left w:val="nil"/>
              <w:bottom w:val="single" w:sz="4" w:space="0" w:color="auto"/>
              <w:right w:val="single" w:sz="4" w:space="0" w:color="FFFFFF"/>
            </w:tcBorders>
            <w:shd w:val="clear" w:color="FFFFFF" w:fill="FFFFFF"/>
            <w:noWrap/>
            <w:vAlign w:val="center"/>
            <w:hideMark/>
          </w:tcPr>
          <w:p w14:paraId="08746A8F"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(1,693.3) </w:t>
            </w:r>
          </w:p>
        </w:tc>
        <w:tc>
          <w:tcPr>
            <w:tcW w:w="888" w:type="dxa"/>
            <w:tcBorders>
              <w:top w:val="nil"/>
              <w:left w:val="nil"/>
              <w:bottom w:val="single" w:sz="4" w:space="0" w:color="auto"/>
              <w:right w:val="single" w:sz="4" w:space="0" w:color="FFFFFF"/>
            </w:tcBorders>
            <w:shd w:val="clear" w:color="FFFFFF" w:fill="FFFFFF"/>
            <w:noWrap/>
            <w:vAlign w:val="center"/>
            <w:hideMark/>
          </w:tcPr>
          <w:p w14:paraId="75289EA0"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(216.7) </w:t>
            </w:r>
          </w:p>
        </w:tc>
        <w:tc>
          <w:tcPr>
            <w:tcW w:w="873" w:type="dxa"/>
            <w:tcBorders>
              <w:top w:val="nil"/>
              <w:left w:val="nil"/>
              <w:bottom w:val="single" w:sz="4" w:space="0" w:color="auto"/>
              <w:right w:val="single" w:sz="4" w:space="0" w:color="FFFFFF"/>
            </w:tcBorders>
            <w:shd w:val="clear" w:color="FFFFFF" w:fill="FFFFFF"/>
            <w:noWrap/>
            <w:vAlign w:val="center"/>
            <w:hideMark/>
          </w:tcPr>
          <w:p w14:paraId="325A668C"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(0.3) </w:t>
            </w:r>
          </w:p>
        </w:tc>
        <w:tc>
          <w:tcPr>
            <w:tcW w:w="873" w:type="dxa"/>
            <w:tcBorders>
              <w:top w:val="nil"/>
              <w:left w:val="nil"/>
              <w:bottom w:val="single" w:sz="4" w:space="0" w:color="auto"/>
              <w:right w:val="single" w:sz="4" w:space="0" w:color="FFFFFF"/>
            </w:tcBorders>
            <w:shd w:val="clear" w:color="FFFFFF" w:fill="FFFFFF"/>
            <w:noWrap/>
            <w:vAlign w:val="center"/>
            <w:hideMark/>
          </w:tcPr>
          <w:p w14:paraId="511CDD9A"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(70.6) </w:t>
            </w:r>
          </w:p>
        </w:tc>
        <w:tc>
          <w:tcPr>
            <w:tcW w:w="953" w:type="dxa"/>
            <w:tcBorders>
              <w:top w:val="nil"/>
              <w:left w:val="nil"/>
              <w:bottom w:val="single" w:sz="4" w:space="0" w:color="auto"/>
              <w:right w:val="single" w:sz="4" w:space="0" w:color="FFFFFF"/>
            </w:tcBorders>
            <w:shd w:val="clear" w:color="FFFFFF" w:fill="FFFFFF"/>
            <w:noWrap/>
            <w:vAlign w:val="center"/>
            <w:hideMark/>
          </w:tcPr>
          <w:p w14:paraId="5B6E477E"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(1,996.3) </w:t>
            </w:r>
          </w:p>
        </w:tc>
      </w:tr>
      <w:tr w:rsidR="00F06229" w:rsidRPr="005734B8" w14:paraId="5D8BEE2A"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5A1D334F"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Other operating expenses</w:t>
            </w:r>
          </w:p>
        </w:tc>
        <w:tc>
          <w:tcPr>
            <w:tcW w:w="810" w:type="dxa"/>
            <w:tcBorders>
              <w:top w:val="nil"/>
              <w:left w:val="nil"/>
              <w:bottom w:val="single" w:sz="4" w:space="0" w:color="auto"/>
              <w:right w:val="single" w:sz="4" w:space="0" w:color="FFFFFF"/>
            </w:tcBorders>
            <w:shd w:val="clear" w:color="FFFFFF" w:fill="FFFFFF"/>
            <w:noWrap/>
            <w:vAlign w:val="center"/>
            <w:hideMark/>
          </w:tcPr>
          <w:p w14:paraId="2D4632BF"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(14.8) </w:t>
            </w:r>
          </w:p>
        </w:tc>
        <w:tc>
          <w:tcPr>
            <w:tcW w:w="835" w:type="dxa"/>
            <w:tcBorders>
              <w:top w:val="nil"/>
              <w:left w:val="nil"/>
              <w:bottom w:val="single" w:sz="4" w:space="0" w:color="auto"/>
              <w:right w:val="single" w:sz="4" w:space="0" w:color="FFFFFF"/>
            </w:tcBorders>
            <w:shd w:val="clear" w:color="FFFFFF" w:fill="FFFFFF"/>
            <w:noWrap/>
            <w:vAlign w:val="center"/>
            <w:hideMark/>
          </w:tcPr>
          <w:p w14:paraId="79158314"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(686.8) </w:t>
            </w:r>
          </w:p>
        </w:tc>
        <w:tc>
          <w:tcPr>
            <w:tcW w:w="898" w:type="dxa"/>
            <w:tcBorders>
              <w:top w:val="nil"/>
              <w:left w:val="nil"/>
              <w:bottom w:val="single" w:sz="4" w:space="0" w:color="auto"/>
              <w:right w:val="single" w:sz="4" w:space="0" w:color="FFFFFF"/>
            </w:tcBorders>
            <w:shd w:val="clear" w:color="FFFFFF" w:fill="FFFFFF"/>
            <w:noWrap/>
            <w:vAlign w:val="center"/>
            <w:hideMark/>
          </w:tcPr>
          <w:p w14:paraId="49529139"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(1,670.4) </w:t>
            </w:r>
          </w:p>
        </w:tc>
        <w:tc>
          <w:tcPr>
            <w:tcW w:w="888" w:type="dxa"/>
            <w:tcBorders>
              <w:top w:val="nil"/>
              <w:left w:val="nil"/>
              <w:bottom w:val="single" w:sz="4" w:space="0" w:color="auto"/>
              <w:right w:val="single" w:sz="4" w:space="0" w:color="FFFFFF"/>
            </w:tcBorders>
            <w:shd w:val="clear" w:color="FFFFFF" w:fill="FFFFFF"/>
            <w:noWrap/>
            <w:vAlign w:val="center"/>
            <w:hideMark/>
          </w:tcPr>
          <w:p w14:paraId="7F9A1464"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(532.3) </w:t>
            </w:r>
          </w:p>
        </w:tc>
        <w:tc>
          <w:tcPr>
            <w:tcW w:w="873" w:type="dxa"/>
            <w:tcBorders>
              <w:top w:val="nil"/>
              <w:left w:val="nil"/>
              <w:bottom w:val="single" w:sz="4" w:space="0" w:color="auto"/>
              <w:right w:val="single" w:sz="4" w:space="0" w:color="FFFFFF"/>
            </w:tcBorders>
            <w:shd w:val="clear" w:color="FFFFFF" w:fill="FFFFFF"/>
            <w:noWrap/>
            <w:vAlign w:val="center"/>
            <w:hideMark/>
          </w:tcPr>
          <w:p w14:paraId="550D349E"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(26.0) </w:t>
            </w:r>
          </w:p>
        </w:tc>
        <w:tc>
          <w:tcPr>
            <w:tcW w:w="873" w:type="dxa"/>
            <w:tcBorders>
              <w:top w:val="nil"/>
              <w:left w:val="nil"/>
              <w:bottom w:val="single" w:sz="4" w:space="0" w:color="auto"/>
              <w:right w:val="single" w:sz="4" w:space="0" w:color="FFFFFF"/>
            </w:tcBorders>
            <w:shd w:val="clear" w:color="FFFFFF" w:fill="FFFFFF"/>
            <w:noWrap/>
            <w:vAlign w:val="center"/>
            <w:hideMark/>
          </w:tcPr>
          <w:p w14:paraId="76A867A3"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(142.8) </w:t>
            </w:r>
          </w:p>
        </w:tc>
        <w:tc>
          <w:tcPr>
            <w:tcW w:w="953" w:type="dxa"/>
            <w:tcBorders>
              <w:top w:val="nil"/>
              <w:left w:val="nil"/>
              <w:bottom w:val="single" w:sz="4" w:space="0" w:color="auto"/>
              <w:right w:val="single" w:sz="4" w:space="0" w:color="FFFFFF"/>
            </w:tcBorders>
            <w:shd w:val="clear" w:color="FFFFFF" w:fill="FFFFFF"/>
            <w:noWrap/>
            <w:vAlign w:val="center"/>
            <w:hideMark/>
          </w:tcPr>
          <w:p w14:paraId="359CDB0A"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(3,073.1) </w:t>
            </w:r>
          </w:p>
        </w:tc>
      </w:tr>
      <w:tr w:rsidR="00F06229" w:rsidRPr="005734B8" w14:paraId="49F0CDC8" w14:textId="77777777" w:rsidTr="000F48B1">
        <w:trPr>
          <w:trHeight w:val="198"/>
        </w:trPr>
        <w:tc>
          <w:tcPr>
            <w:tcW w:w="1495"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C3CB1CC" w14:textId="77777777" w:rsidR="00F06229" w:rsidRPr="005734B8" w:rsidRDefault="00F06229" w:rsidP="000F48B1">
            <w:pPr>
              <w:rPr>
                <w:rFonts w:ascii="Calibri" w:hAnsi="Calibri" w:cs="Calibri"/>
                <w:b/>
                <w:sz w:val="16"/>
                <w:szCs w:val="16"/>
              </w:rPr>
            </w:pPr>
            <w:r w:rsidRPr="005734B8">
              <w:rPr>
                <w:rFonts w:ascii="Calibri" w:hAnsi="Calibri" w:cs="Calibri"/>
                <w:b/>
                <w:sz w:val="16"/>
                <w:szCs w:val="16"/>
              </w:rPr>
              <w:t>Total expenses from transactions</w:t>
            </w:r>
          </w:p>
        </w:tc>
        <w:tc>
          <w:tcPr>
            <w:tcW w:w="810" w:type="dxa"/>
            <w:tcBorders>
              <w:top w:val="single" w:sz="12" w:space="0" w:color="auto"/>
              <w:left w:val="nil"/>
              <w:bottom w:val="single" w:sz="12" w:space="0" w:color="auto"/>
              <w:right w:val="single" w:sz="12" w:space="0" w:color="FFFFFF"/>
            </w:tcBorders>
            <w:shd w:val="clear" w:color="FFFFFF" w:fill="FFFFFF"/>
            <w:noWrap/>
            <w:vAlign w:val="center"/>
            <w:hideMark/>
          </w:tcPr>
          <w:p w14:paraId="1F7DD892"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(115.3) </w:t>
            </w:r>
          </w:p>
        </w:tc>
        <w:tc>
          <w:tcPr>
            <w:tcW w:w="835" w:type="dxa"/>
            <w:tcBorders>
              <w:top w:val="single" w:sz="12" w:space="0" w:color="auto"/>
              <w:left w:val="nil"/>
              <w:bottom w:val="single" w:sz="12" w:space="0" w:color="auto"/>
              <w:right w:val="single" w:sz="12" w:space="0" w:color="FFFFFF"/>
            </w:tcBorders>
            <w:shd w:val="clear" w:color="FFFFFF" w:fill="FFFFFF"/>
            <w:noWrap/>
            <w:vAlign w:val="center"/>
            <w:hideMark/>
          </w:tcPr>
          <w:p w14:paraId="39EA1D60"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(822.3) </w:t>
            </w:r>
          </w:p>
        </w:tc>
        <w:tc>
          <w:tcPr>
            <w:tcW w:w="898" w:type="dxa"/>
            <w:tcBorders>
              <w:top w:val="single" w:sz="12" w:space="0" w:color="auto"/>
              <w:left w:val="nil"/>
              <w:bottom w:val="single" w:sz="12" w:space="0" w:color="auto"/>
              <w:right w:val="single" w:sz="12" w:space="0" w:color="FFFFFF"/>
            </w:tcBorders>
            <w:shd w:val="clear" w:color="FFFFFF" w:fill="FFFFFF"/>
            <w:noWrap/>
            <w:vAlign w:val="center"/>
            <w:hideMark/>
          </w:tcPr>
          <w:p w14:paraId="6575B886"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(11,514.3) </w:t>
            </w:r>
          </w:p>
        </w:tc>
        <w:tc>
          <w:tcPr>
            <w:tcW w:w="888" w:type="dxa"/>
            <w:tcBorders>
              <w:top w:val="single" w:sz="12" w:space="0" w:color="auto"/>
              <w:left w:val="nil"/>
              <w:bottom w:val="single" w:sz="12" w:space="0" w:color="auto"/>
              <w:right w:val="single" w:sz="12" w:space="0" w:color="FFFFFF"/>
            </w:tcBorders>
            <w:shd w:val="clear" w:color="FFFFFF" w:fill="FFFFFF"/>
            <w:noWrap/>
            <w:vAlign w:val="center"/>
            <w:hideMark/>
          </w:tcPr>
          <w:p w14:paraId="7034E5E9"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(2,085.2) </w:t>
            </w:r>
          </w:p>
        </w:tc>
        <w:tc>
          <w:tcPr>
            <w:tcW w:w="873" w:type="dxa"/>
            <w:tcBorders>
              <w:top w:val="single" w:sz="12" w:space="0" w:color="auto"/>
              <w:left w:val="nil"/>
              <w:bottom w:val="single" w:sz="12" w:space="0" w:color="auto"/>
              <w:right w:val="single" w:sz="12" w:space="0" w:color="FFFFFF"/>
            </w:tcBorders>
            <w:shd w:val="clear" w:color="FFFFFF" w:fill="FFFFFF"/>
            <w:noWrap/>
            <w:vAlign w:val="center"/>
            <w:hideMark/>
          </w:tcPr>
          <w:p w14:paraId="386517CD"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(387.7) </w:t>
            </w:r>
          </w:p>
        </w:tc>
        <w:tc>
          <w:tcPr>
            <w:tcW w:w="873" w:type="dxa"/>
            <w:tcBorders>
              <w:top w:val="single" w:sz="12" w:space="0" w:color="auto"/>
              <w:left w:val="nil"/>
              <w:bottom w:val="single" w:sz="12" w:space="0" w:color="auto"/>
              <w:right w:val="single" w:sz="12" w:space="0" w:color="FFFFFF"/>
            </w:tcBorders>
            <w:shd w:val="clear" w:color="FFFFFF" w:fill="FFFFFF"/>
            <w:noWrap/>
            <w:vAlign w:val="center"/>
            <w:hideMark/>
          </w:tcPr>
          <w:p w14:paraId="194EEC91"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(1,196.6) </w:t>
            </w:r>
          </w:p>
        </w:tc>
        <w:tc>
          <w:tcPr>
            <w:tcW w:w="953" w:type="dxa"/>
            <w:tcBorders>
              <w:top w:val="single" w:sz="12" w:space="0" w:color="auto"/>
              <w:left w:val="nil"/>
              <w:bottom w:val="single" w:sz="12" w:space="0" w:color="auto"/>
              <w:right w:val="single" w:sz="12" w:space="0" w:color="FFFFFF"/>
            </w:tcBorders>
            <w:shd w:val="clear" w:color="FFFFFF" w:fill="FFFFFF"/>
            <w:noWrap/>
            <w:vAlign w:val="center"/>
            <w:hideMark/>
          </w:tcPr>
          <w:p w14:paraId="03D62908"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(16,121.4) </w:t>
            </w:r>
          </w:p>
        </w:tc>
      </w:tr>
      <w:tr w:rsidR="00F06229" w:rsidRPr="005734B8" w14:paraId="3DB8AC03" w14:textId="77777777" w:rsidTr="000F48B1">
        <w:trPr>
          <w:trHeight w:val="198"/>
        </w:trPr>
        <w:tc>
          <w:tcPr>
            <w:tcW w:w="1495" w:type="dxa"/>
            <w:tcBorders>
              <w:top w:val="nil"/>
              <w:left w:val="single" w:sz="12" w:space="0" w:color="FFFFFF"/>
              <w:bottom w:val="single" w:sz="12" w:space="0" w:color="auto"/>
              <w:right w:val="single" w:sz="12" w:space="0" w:color="FFFFFF"/>
            </w:tcBorders>
            <w:shd w:val="clear" w:color="FFFFFF" w:fill="FFFFFF"/>
            <w:vAlign w:val="center"/>
            <w:hideMark/>
          </w:tcPr>
          <w:p w14:paraId="36133C23" w14:textId="77777777" w:rsidR="00F06229" w:rsidRPr="005734B8" w:rsidRDefault="00F06229" w:rsidP="000F48B1">
            <w:pPr>
              <w:rPr>
                <w:rFonts w:ascii="Calibri" w:hAnsi="Calibri" w:cs="Calibri"/>
                <w:b/>
                <w:sz w:val="16"/>
                <w:szCs w:val="16"/>
              </w:rPr>
            </w:pPr>
            <w:r w:rsidRPr="005734B8">
              <w:rPr>
                <w:rFonts w:ascii="Calibri" w:hAnsi="Calibri" w:cs="Calibri"/>
                <w:b/>
                <w:sz w:val="16"/>
                <w:szCs w:val="16"/>
              </w:rPr>
              <w:t>Net result from transactions (net operating balance)</w:t>
            </w:r>
          </w:p>
        </w:tc>
        <w:tc>
          <w:tcPr>
            <w:tcW w:w="810" w:type="dxa"/>
            <w:tcBorders>
              <w:top w:val="nil"/>
              <w:left w:val="nil"/>
              <w:bottom w:val="single" w:sz="12" w:space="0" w:color="auto"/>
              <w:right w:val="single" w:sz="12" w:space="0" w:color="FFFFFF"/>
            </w:tcBorders>
            <w:shd w:val="clear" w:color="FFFFFF" w:fill="FFFFFF"/>
            <w:noWrap/>
            <w:vAlign w:val="center"/>
            <w:hideMark/>
          </w:tcPr>
          <w:p w14:paraId="1AF6D353" w14:textId="35F6D48B" w:rsidR="00F06229" w:rsidRPr="005734B8" w:rsidRDefault="006C14DE" w:rsidP="000F48B1">
            <w:pPr>
              <w:jc w:val="right"/>
              <w:rPr>
                <w:rFonts w:ascii="Calibri" w:hAnsi="Calibri" w:cs="Calibri"/>
                <w:b/>
                <w:sz w:val="16"/>
                <w:szCs w:val="16"/>
              </w:rPr>
            </w:pPr>
            <w:r w:rsidRPr="005734B8">
              <w:rPr>
                <w:rFonts w:ascii="Calibri" w:hAnsi="Calibri" w:cs="Calibri"/>
                <w:b/>
                <w:sz w:val="16"/>
                <w:szCs w:val="16"/>
              </w:rPr>
              <w:t>–</w:t>
            </w:r>
            <w:r w:rsidR="00F06229" w:rsidRPr="005734B8">
              <w:rPr>
                <w:rFonts w:ascii="Calibri" w:hAnsi="Calibri" w:cs="Calibri"/>
                <w:b/>
                <w:sz w:val="16"/>
                <w:szCs w:val="16"/>
              </w:rPr>
              <w:t xml:space="preserve"> </w:t>
            </w:r>
            <w:r w:rsidR="00244FF7" w:rsidRPr="005734B8">
              <w:rPr>
                <w:rFonts w:ascii="Calibri" w:hAnsi="Calibri" w:cs="Calibri"/>
                <w:sz w:val="18"/>
                <w:szCs w:val="18"/>
              </w:rPr>
              <w:softHyphen/>
            </w:r>
            <w:r w:rsidR="00F06229" w:rsidRPr="005734B8">
              <w:rPr>
                <w:rFonts w:ascii="Calibri" w:hAnsi="Calibri" w:cs="Calibri"/>
                <w:b/>
                <w:sz w:val="16"/>
                <w:szCs w:val="16"/>
              </w:rPr>
              <w:t xml:space="preserve"> </w:t>
            </w:r>
          </w:p>
        </w:tc>
        <w:tc>
          <w:tcPr>
            <w:tcW w:w="835" w:type="dxa"/>
            <w:tcBorders>
              <w:top w:val="nil"/>
              <w:left w:val="nil"/>
              <w:bottom w:val="single" w:sz="12" w:space="0" w:color="auto"/>
              <w:right w:val="single" w:sz="12" w:space="0" w:color="FFFFFF"/>
            </w:tcBorders>
            <w:shd w:val="clear" w:color="FFFFFF" w:fill="FFFFFF"/>
            <w:noWrap/>
            <w:vAlign w:val="center"/>
            <w:hideMark/>
          </w:tcPr>
          <w:p w14:paraId="0A15CB02" w14:textId="6A9B0172" w:rsidR="00F06229" w:rsidRPr="005734B8" w:rsidRDefault="006C14DE" w:rsidP="000F48B1">
            <w:pPr>
              <w:jc w:val="right"/>
              <w:rPr>
                <w:rFonts w:ascii="Calibri" w:hAnsi="Calibri" w:cs="Calibri"/>
                <w:b/>
                <w:sz w:val="16"/>
                <w:szCs w:val="16"/>
              </w:rPr>
            </w:pPr>
            <w:r w:rsidRPr="005734B8">
              <w:rPr>
                <w:rFonts w:ascii="Calibri" w:hAnsi="Calibri" w:cs="Calibri"/>
                <w:b/>
                <w:sz w:val="16"/>
                <w:szCs w:val="16"/>
              </w:rPr>
              <w:t>–</w:t>
            </w:r>
          </w:p>
        </w:tc>
        <w:tc>
          <w:tcPr>
            <w:tcW w:w="898" w:type="dxa"/>
            <w:tcBorders>
              <w:top w:val="nil"/>
              <w:left w:val="nil"/>
              <w:bottom w:val="single" w:sz="12" w:space="0" w:color="auto"/>
              <w:right w:val="single" w:sz="12" w:space="0" w:color="FFFFFF"/>
            </w:tcBorders>
            <w:shd w:val="clear" w:color="FFFFFF" w:fill="FFFFFF"/>
            <w:noWrap/>
            <w:vAlign w:val="center"/>
            <w:hideMark/>
          </w:tcPr>
          <w:p w14:paraId="0119B385"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599.2 </w:t>
            </w:r>
          </w:p>
        </w:tc>
        <w:tc>
          <w:tcPr>
            <w:tcW w:w="888" w:type="dxa"/>
            <w:tcBorders>
              <w:top w:val="nil"/>
              <w:left w:val="nil"/>
              <w:bottom w:val="single" w:sz="12" w:space="0" w:color="auto"/>
              <w:right w:val="single" w:sz="12" w:space="0" w:color="FFFFFF"/>
            </w:tcBorders>
            <w:shd w:val="clear" w:color="FFFFFF" w:fill="FFFFFF"/>
            <w:noWrap/>
            <w:vAlign w:val="center"/>
            <w:hideMark/>
          </w:tcPr>
          <w:p w14:paraId="520893BD"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11.0 </w:t>
            </w:r>
          </w:p>
        </w:tc>
        <w:tc>
          <w:tcPr>
            <w:tcW w:w="873" w:type="dxa"/>
            <w:tcBorders>
              <w:top w:val="nil"/>
              <w:left w:val="nil"/>
              <w:bottom w:val="single" w:sz="12" w:space="0" w:color="auto"/>
              <w:right w:val="single" w:sz="12" w:space="0" w:color="FFFFFF"/>
            </w:tcBorders>
            <w:shd w:val="clear" w:color="FFFFFF" w:fill="FFFFFF"/>
            <w:noWrap/>
            <w:vAlign w:val="center"/>
            <w:hideMark/>
          </w:tcPr>
          <w:p w14:paraId="2E1889C3" w14:textId="12AEF707" w:rsidR="00F06229" w:rsidRPr="005734B8" w:rsidRDefault="006C14DE" w:rsidP="000F48B1">
            <w:pPr>
              <w:jc w:val="right"/>
              <w:rPr>
                <w:rFonts w:ascii="Calibri" w:hAnsi="Calibri" w:cs="Calibri"/>
                <w:b/>
                <w:sz w:val="16"/>
                <w:szCs w:val="16"/>
              </w:rPr>
            </w:pPr>
            <w:r w:rsidRPr="005734B8">
              <w:rPr>
                <w:rFonts w:ascii="Calibri" w:hAnsi="Calibri" w:cs="Calibri"/>
                <w:b/>
                <w:sz w:val="16"/>
                <w:szCs w:val="16"/>
              </w:rPr>
              <w:t>–</w:t>
            </w:r>
          </w:p>
        </w:tc>
        <w:tc>
          <w:tcPr>
            <w:tcW w:w="873" w:type="dxa"/>
            <w:tcBorders>
              <w:top w:val="nil"/>
              <w:left w:val="nil"/>
              <w:bottom w:val="single" w:sz="12" w:space="0" w:color="auto"/>
              <w:right w:val="single" w:sz="12" w:space="0" w:color="FFFFFF"/>
            </w:tcBorders>
            <w:shd w:val="clear" w:color="FFFFFF" w:fill="FFFFFF"/>
            <w:noWrap/>
            <w:vAlign w:val="center"/>
            <w:hideMark/>
          </w:tcPr>
          <w:p w14:paraId="7E69C372" w14:textId="1CC563C8" w:rsidR="00F06229" w:rsidRPr="005734B8" w:rsidRDefault="006C14DE" w:rsidP="000F48B1">
            <w:pPr>
              <w:jc w:val="right"/>
              <w:rPr>
                <w:rFonts w:ascii="Calibri" w:hAnsi="Calibri" w:cs="Calibri"/>
                <w:b/>
                <w:sz w:val="16"/>
                <w:szCs w:val="16"/>
              </w:rPr>
            </w:pPr>
            <w:r w:rsidRPr="005734B8">
              <w:rPr>
                <w:rFonts w:ascii="Calibri" w:hAnsi="Calibri" w:cs="Calibri"/>
                <w:b/>
                <w:sz w:val="16"/>
                <w:szCs w:val="16"/>
              </w:rPr>
              <w:t>–</w:t>
            </w:r>
          </w:p>
        </w:tc>
        <w:tc>
          <w:tcPr>
            <w:tcW w:w="953" w:type="dxa"/>
            <w:tcBorders>
              <w:top w:val="nil"/>
              <w:left w:val="nil"/>
              <w:bottom w:val="single" w:sz="12" w:space="0" w:color="auto"/>
              <w:right w:val="single" w:sz="12" w:space="0" w:color="FFFFFF"/>
            </w:tcBorders>
            <w:shd w:val="clear" w:color="FFFFFF" w:fill="FFFFFF"/>
            <w:noWrap/>
            <w:vAlign w:val="center"/>
            <w:hideMark/>
          </w:tcPr>
          <w:p w14:paraId="3A7BE2CD"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610.2 </w:t>
            </w:r>
          </w:p>
        </w:tc>
      </w:tr>
      <w:tr w:rsidR="00F06229" w:rsidRPr="005734B8" w14:paraId="09A14021" w14:textId="77777777" w:rsidTr="000F48B1">
        <w:trPr>
          <w:trHeight w:val="198"/>
        </w:trPr>
        <w:tc>
          <w:tcPr>
            <w:tcW w:w="7625" w:type="dxa"/>
            <w:gridSpan w:val="8"/>
            <w:tcBorders>
              <w:top w:val="single" w:sz="4" w:space="0" w:color="auto"/>
              <w:left w:val="single" w:sz="4" w:space="0" w:color="FFFFFF"/>
              <w:bottom w:val="single" w:sz="4" w:space="0" w:color="auto"/>
              <w:right w:val="nil"/>
            </w:tcBorders>
            <w:shd w:val="clear" w:color="000000" w:fill="D9D9D9"/>
            <w:noWrap/>
            <w:vAlign w:val="center"/>
            <w:hideMark/>
          </w:tcPr>
          <w:p w14:paraId="70ABCB40" w14:textId="77777777" w:rsidR="00F06229" w:rsidRPr="005734B8" w:rsidRDefault="00F06229" w:rsidP="000F48B1">
            <w:pPr>
              <w:rPr>
                <w:rFonts w:ascii="Calibri" w:hAnsi="Calibri" w:cs="Calibri"/>
                <w:b/>
                <w:sz w:val="16"/>
                <w:szCs w:val="16"/>
              </w:rPr>
            </w:pPr>
            <w:r w:rsidRPr="005734B8">
              <w:rPr>
                <w:rFonts w:ascii="Calibri" w:hAnsi="Calibri" w:cs="Calibri"/>
                <w:b/>
                <w:sz w:val="16"/>
                <w:szCs w:val="16"/>
              </w:rPr>
              <w:t>Other economic flows included in net results</w:t>
            </w:r>
          </w:p>
        </w:tc>
      </w:tr>
      <w:tr w:rsidR="00F06229" w:rsidRPr="005734B8" w14:paraId="69B74B71"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0A25D86E"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Net gain/(loss) on non-financial assets</w:t>
            </w:r>
          </w:p>
        </w:tc>
        <w:tc>
          <w:tcPr>
            <w:tcW w:w="810" w:type="dxa"/>
            <w:tcBorders>
              <w:top w:val="nil"/>
              <w:left w:val="nil"/>
              <w:bottom w:val="single" w:sz="4" w:space="0" w:color="auto"/>
              <w:right w:val="single" w:sz="4" w:space="0" w:color="FFFFFF"/>
            </w:tcBorders>
            <w:shd w:val="clear" w:color="FFFFFF" w:fill="FFFFFF"/>
            <w:noWrap/>
            <w:vAlign w:val="center"/>
            <w:hideMark/>
          </w:tcPr>
          <w:p w14:paraId="68ECAE67" w14:textId="2B3A8611"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35" w:type="dxa"/>
            <w:tcBorders>
              <w:top w:val="nil"/>
              <w:left w:val="nil"/>
              <w:bottom w:val="single" w:sz="4" w:space="0" w:color="auto"/>
              <w:right w:val="single" w:sz="4" w:space="0" w:color="FFFFFF"/>
            </w:tcBorders>
            <w:shd w:val="clear" w:color="FFFFFF" w:fill="FFFFFF"/>
            <w:noWrap/>
            <w:vAlign w:val="center"/>
            <w:hideMark/>
          </w:tcPr>
          <w:p w14:paraId="5AEB9955" w14:textId="164D8CEA"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98" w:type="dxa"/>
            <w:tcBorders>
              <w:top w:val="nil"/>
              <w:left w:val="nil"/>
              <w:bottom w:val="single" w:sz="4" w:space="0" w:color="auto"/>
              <w:right w:val="single" w:sz="4" w:space="0" w:color="FFFFFF"/>
            </w:tcBorders>
            <w:shd w:val="clear" w:color="FFFFFF" w:fill="FFFFFF"/>
            <w:noWrap/>
            <w:vAlign w:val="center"/>
            <w:hideMark/>
          </w:tcPr>
          <w:p w14:paraId="1B662BA5"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0.2 </w:t>
            </w:r>
          </w:p>
        </w:tc>
        <w:tc>
          <w:tcPr>
            <w:tcW w:w="888" w:type="dxa"/>
            <w:tcBorders>
              <w:top w:val="nil"/>
              <w:left w:val="nil"/>
              <w:bottom w:val="single" w:sz="4" w:space="0" w:color="auto"/>
              <w:right w:val="single" w:sz="4" w:space="0" w:color="FFFFFF"/>
            </w:tcBorders>
            <w:shd w:val="clear" w:color="FFFFFF" w:fill="FFFFFF"/>
            <w:noWrap/>
            <w:vAlign w:val="center"/>
            <w:hideMark/>
          </w:tcPr>
          <w:p w14:paraId="39A523A5" w14:textId="05284350"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73" w:type="dxa"/>
            <w:tcBorders>
              <w:top w:val="nil"/>
              <w:left w:val="nil"/>
              <w:bottom w:val="single" w:sz="4" w:space="0" w:color="auto"/>
              <w:right w:val="single" w:sz="4" w:space="0" w:color="FFFFFF"/>
            </w:tcBorders>
            <w:shd w:val="clear" w:color="FFFFFF" w:fill="FFFFFF"/>
            <w:noWrap/>
            <w:vAlign w:val="center"/>
            <w:hideMark/>
          </w:tcPr>
          <w:p w14:paraId="0F554E75" w14:textId="19BE3C9E"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73" w:type="dxa"/>
            <w:tcBorders>
              <w:top w:val="nil"/>
              <w:left w:val="nil"/>
              <w:bottom w:val="single" w:sz="4" w:space="0" w:color="auto"/>
              <w:right w:val="single" w:sz="4" w:space="0" w:color="FFFFFF"/>
            </w:tcBorders>
            <w:shd w:val="clear" w:color="FFFFFF" w:fill="FFFFFF"/>
            <w:noWrap/>
            <w:vAlign w:val="center"/>
            <w:hideMark/>
          </w:tcPr>
          <w:p w14:paraId="56AF85FD" w14:textId="2A0C7B92"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953" w:type="dxa"/>
            <w:tcBorders>
              <w:top w:val="nil"/>
              <w:left w:val="nil"/>
              <w:bottom w:val="single" w:sz="4" w:space="0" w:color="auto"/>
              <w:right w:val="single" w:sz="4" w:space="0" w:color="FFFFFF"/>
            </w:tcBorders>
            <w:shd w:val="clear" w:color="FFFFFF" w:fill="FFFFFF"/>
            <w:noWrap/>
            <w:vAlign w:val="center"/>
            <w:hideMark/>
          </w:tcPr>
          <w:p w14:paraId="26B4308D"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0.2 </w:t>
            </w:r>
          </w:p>
        </w:tc>
      </w:tr>
      <w:tr w:rsidR="00F06229" w:rsidRPr="005734B8" w14:paraId="7BE2804B"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37D60D10"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Net gain/(loss) on financial instruments</w:t>
            </w:r>
          </w:p>
        </w:tc>
        <w:tc>
          <w:tcPr>
            <w:tcW w:w="810" w:type="dxa"/>
            <w:tcBorders>
              <w:top w:val="nil"/>
              <w:left w:val="nil"/>
              <w:bottom w:val="single" w:sz="4" w:space="0" w:color="auto"/>
              <w:right w:val="single" w:sz="4" w:space="0" w:color="FFFFFF"/>
            </w:tcBorders>
            <w:shd w:val="clear" w:color="FFFFFF" w:fill="FFFFFF"/>
            <w:noWrap/>
            <w:vAlign w:val="center"/>
            <w:hideMark/>
          </w:tcPr>
          <w:p w14:paraId="29BFDE94" w14:textId="588550CE"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35" w:type="dxa"/>
            <w:tcBorders>
              <w:top w:val="nil"/>
              <w:left w:val="nil"/>
              <w:bottom w:val="single" w:sz="4" w:space="0" w:color="auto"/>
              <w:right w:val="single" w:sz="4" w:space="0" w:color="FFFFFF"/>
            </w:tcBorders>
            <w:shd w:val="clear" w:color="FFFFFF" w:fill="FFFFFF"/>
            <w:noWrap/>
            <w:vAlign w:val="center"/>
            <w:hideMark/>
          </w:tcPr>
          <w:p w14:paraId="40CA9D58" w14:textId="4DF25720"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98" w:type="dxa"/>
            <w:tcBorders>
              <w:top w:val="nil"/>
              <w:left w:val="nil"/>
              <w:bottom w:val="single" w:sz="4" w:space="0" w:color="auto"/>
              <w:right w:val="single" w:sz="4" w:space="0" w:color="FFFFFF"/>
            </w:tcBorders>
            <w:shd w:val="clear" w:color="FFFFFF" w:fill="FFFFFF"/>
            <w:noWrap/>
            <w:vAlign w:val="center"/>
            <w:hideMark/>
          </w:tcPr>
          <w:p w14:paraId="3803210C"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(2.4) </w:t>
            </w:r>
          </w:p>
        </w:tc>
        <w:tc>
          <w:tcPr>
            <w:tcW w:w="888" w:type="dxa"/>
            <w:tcBorders>
              <w:top w:val="nil"/>
              <w:left w:val="nil"/>
              <w:bottom w:val="single" w:sz="4" w:space="0" w:color="auto"/>
              <w:right w:val="single" w:sz="4" w:space="0" w:color="FFFFFF"/>
            </w:tcBorders>
            <w:shd w:val="clear" w:color="FFFFFF" w:fill="FFFFFF"/>
            <w:noWrap/>
            <w:vAlign w:val="center"/>
            <w:hideMark/>
          </w:tcPr>
          <w:p w14:paraId="6B17884C" w14:textId="5F27D7FF"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73" w:type="dxa"/>
            <w:tcBorders>
              <w:top w:val="nil"/>
              <w:left w:val="nil"/>
              <w:bottom w:val="single" w:sz="4" w:space="0" w:color="auto"/>
              <w:right w:val="single" w:sz="4" w:space="0" w:color="FFFFFF"/>
            </w:tcBorders>
            <w:shd w:val="clear" w:color="FFFFFF" w:fill="FFFFFF"/>
            <w:noWrap/>
            <w:vAlign w:val="center"/>
            <w:hideMark/>
          </w:tcPr>
          <w:p w14:paraId="00D4BBA2" w14:textId="4A489F4E"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73" w:type="dxa"/>
            <w:tcBorders>
              <w:top w:val="nil"/>
              <w:left w:val="nil"/>
              <w:bottom w:val="single" w:sz="4" w:space="0" w:color="auto"/>
              <w:right w:val="single" w:sz="4" w:space="0" w:color="FFFFFF"/>
            </w:tcBorders>
            <w:shd w:val="clear" w:color="FFFFFF" w:fill="FFFFFF"/>
            <w:noWrap/>
            <w:vAlign w:val="center"/>
            <w:hideMark/>
          </w:tcPr>
          <w:p w14:paraId="7C2ED83E" w14:textId="1CF57A92"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953" w:type="dxa"/>
            <w:tcBorders>
              <w:top w:val="nil"/>
              <w:left w:val="nil"/>
              <w:bottom w:val="single" w:sz="4" w:space="0" w:color="auto"/>
              <w:right w:val="single" w:sz="4" w:space="0" w:color="FFFFFF"/>
            </w:tcBorders>
            <w:shd w:val="clear" w:color="FFFFFF" w:fill="FFFFFF"/>
            <w:noWrap/>
            <w:vAlign w:val="center"/>
            <w:hideMark/>
          </w:tcPr>
          <w:p w14:paraId="2C2AAAAD"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(2.4) </w:t>
            </w:r>
          </w:p>
        </w:tc>
      </w:tr>
      <w:tr w:rsidR="00F06229" w:rsidRPr="005734B8" w14:paraId="26697737"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3B60A818"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Other gains/(losses) from other economic flows</w:t>
            </w:r>
          </w:p>
        </w:tc>
        <w:tc>
          <w:tcPr>
            <w:tcW w:w="810" w:type="dxa"/>
            <w:tcBorders>
              <w:top w:val="nil"/>
              <w:left w:val="nil"/>
              <w:bottom w:val="single" w:sz="4" w:space="0" w:color="auto"/>
              <w:right w:val="single" w:sz="4" w:space="0" w:color="FFFFFF"/>
            </w:tcBorders>
            <w:shd w:val="clear" w:color="FFFFFF" w:fill="FFFFFF"/>
            <w:noWrap/>
            <w:vAlign w:val="center"/>
            <w:hideMark/>
          </w:tcPr>
          <w:p w14:paraId="061D7B76"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0.4 </w:t>
            </w:r>
          </w:p>
        </w:tc>
        <w:tc>
          <w:tcPr>
            <w:tcW w:w="835" w:type="dxa"/>
            <w:tcBorders>
              <w:top w:val="nil"/>
              <w:left w:val="nil"/>
              <w:bottom w:val="single" w:sz="4" w:space="0" w:color="auto"/>
              <w:right w:val="single" w:sz="4" w:space="0" w:color="FFFFFF"/>
            </w:tcBorders>
            <w:shd w:val="clear" w:color="FFFFFF" w:fill="FFFFFF"/>
            <w:noWrap/>
            <w:vAlign w:val="center"/>
            <w:hideMark/>
          </w:tcPr>
          <w:p w14:paraId="34161012"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0.5 </w:t>
            </w:r>
          </w:p>
        </w:tc>
        <w:tc>
          <w:tcPr>
            <w:tcW w:w="898" w:type="dxa"/>
            <w:tcBorders>
              <w:top w:val="nil"/>
              <w:left w:val="nil"/>
              <w:bottom w:val="single" w:sz="4" w:space="0" w:color="auto"/>
              <w:right w:val="single" w:sz="4" w:space="0" w:color="FFFFFF"/>
            </w:tcBorders>
            <w:shd w:val="clear" w:color="FFFFFF" w:fill="FFFFFF"/>
            <w:noWrap/>
            <w:vAlign w:val="center"/>
            <w:hideMark/>
          </w:tcPr>
          <w:p w14:paraId="4D7350D7"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43.7 </w:t>
            </w:r>
          </w:p>
        </w:tc>
        <w:tc>
          <w:tcPr>
            <w:tcW w:w="888" w:type="dxa"/>
            <w:tcBorders>
              <w:top w:val="nil"/>
              <w:left w:val="nil"/>
              <w:bottom w:val="single" w:sz="4" w:space="0" w:color="auto"/>
              <w:right w:val="single" w:sz="4" w:space="0" w:color="FFFFFF"/>
            </w:tcBorders>
            <w:shd w:val="clear" w:color="FFFFFF" w:fill="FFFFFF"/>
            <w:noWrap/>
            <w:vAlign w:val="center"/>
            <w:hideMark/>
          </w:tcPr>
          <w:p w14:paraId="5BF11AD3"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0.4 </w:t>
            </w:r>
          </w:p>
        </w:tc>
        <w:tc>
          <w:tcPr>
            <w:tcW w:w="873" w:type="dxa"/>
            <w:tcBorders>
              <w:top w:val="nil"/>
              <w:left w:val="nil"/>
              <w:bottom w:val="single" w:sz="4" w:space="0" w:color="auto"/>
              <w:right w:val="single" w:sz="4" w:space="0" w:color="FFFFFF"/>
            </w:tcBorders>
            <w:shd w:val="clear" w:color="FFFFFF" w:fill="FFFFFF"/>
            <w:noWrap/>
            <w:vAlign w:val="center"/>
            <w:hideMark/>
          </w:tcPr>
          <w:p w14:paraId="4B9EFEDF"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1.4 </w:t>
            </w:r>
          </w:p>
        </w:tc>
        <w:tc>
          <w:tcPr>
            <w:tcW w:w="873" w:type="dxa"/>
            <w:tcBorders>
              <w:top w:val="nil"/>
              <w:left w:val="nil"/>
              <w:bottom w:val="single" w:sz="4" w:space="0" w:color="auto"/>
              <w:right w:val="single" w:sz="4" w:space="0" w:color="FFFFFF"/>
            </w:tcBorders>
            <w:shd w:val="clear" w:color="FFFFFF" w:fill="FFFFFF"/>
            <w:noWrap/>
            <w:vAlign w:val="center"/>
            <w:hideMark/>
          </w:tcPr>
          <w:p w14:paraId="2DA49245"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6.3 </w:t>
            </w:r>
          </w:p>
        </w:tc>
        <w:tc>
          <w:tcPr>
            <w:tcW w:w="953" w:type="dxa"/>
            <w:tcBorders>
              <w:top w:val="nil"/>
              <w:left w:val="nil"/>
              <w:bottom w:val="single" w:sz="4" w:space="0" w:color="auto"/>
              <w:right w:val="single" w:sz="4" w:space="0" w:color="FFFFFF"/>
            </w:tcBorders>
            <w:shd w:val="clear" w:color="FFFFFF" w:fill="FFFFFF"/>
            <w:noWrap/>
            <w:vAlign w:val="center"/>
            <w:hideMark/>
          </w:tcPr>
          <w:p w14:paraId="1D8C3211"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52.7 </w:t>
            </w:r>
          </w:p>
        </w:tc>
      </w:tr>
      <w:tr w:rsidR="00F06229" w:rsidRPr="005734B8" w14:paraId="5726A544" w14:textId="77777777" w:rsidTr="000F48B1">
        <w:trPr>
          <w:trHeight w:val="198"/>
        </w:trPr>
        <w:tc>
          <w:tcPr>
            <w:tcW w:w="1495" w:type="dxa"/>
            <w:tcBorders>
              <w:top w:val="single" w:sz="12" w:space="0" w:color="auto"/>
              <w:left w:val="nil"/>
              <w:bottom w:val="single" w:sz="12" w:space="0" w:color="auto"/>
              <w:right w:val="single" w:sz="12" w:space="0" w:color="FFFFFF"/>
            </w:tcBorders>
            <w:shd w:val="clear" w:color="FFFFFF" w:fill="FFFFFF"/>
            <w:vAlign w:val="center"/>
            <w:hideMark/>
          </w:tcPr>
          <w:p w14:paraId="370F45EF" w14:textId="77777777" w:rsidR="00F06229" w:rsidRPr="005734B8" w:rsidRDefault="00F06229" w:rsidP="000F48B1">
            <w:pPr>
              <w:rPr>
                <w:rFonts w:ascii="Calibri" w:hAnsi="Calibri" w:cs="Calibri"/>
                <w:b/>
                <w:sz w:val="16"/>
                <w:szCs w:val="16"/>
              </w:rPr>
            </w:pPr>
            <w:r w:rsidRPr="005734B8">
              <w:rPr>
                <w:rFonts w:ascii="Calibri" w:hAnsi="Calibri" w:cs="Calibri"/>
                <w:b/>
                <w:sz w:val="16"/>
                <w:szCs w:val="16"/>
              </w:rPr>
              <w:t>Total other economic flows included in net result</w:t>
            </w:r>
          </w:p>
        </w:tc>
        <w:tc>
          <w:tcPr>
            <w:tcW w:w="810" w:type="dxa"/>
            <w:tcBorders>
              <w:top w:val="single" w:sz="12" w:space="0" w:color="auto"/>
              <w:left w:val="nil"/>
              <w:bottom w:val="single" w:sz="12" w:space="0" w:color="auto"/>
              <w:right w:val="single" w:sz="12" w:space="0" w:color="FFFFFF"/>
            </w:tcBorders>
            <w:shd w:val="clear" w:color="FFFFFF" w:fill="FFFFFF"/>
            <w:noWrap/>
            <w:vAlign w:val="center"/>
            <w:hideMark/>
          </w:tcPr>
          <w:p w14:paraId="5FFAAA34"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0.4 </w:t>
            </w:r>
          </w:p>
        </w:tc>
        <w:tc>
          <w:tcPr>
            <w:tcW w:w="835" w:type="dxa"/>
            <w:tcBorders>
              <w:top w:val="single" w:sz="12" w:space="0" w:color="auto"/>
              <w:left w:val="nil"/>
              <w:bottom w:val="single" w:sz="12" w:space="0" w:color="auto"/>
              <w:right w:val="single" w:sz="12" w:space="0" w:color="FFFFFF"/>
            </w:tcBorders>
            <w:shd w:val="clear" w:color="FFFFFF" w:fill="FFFFFF"/>
            <w:noWrap/>
            <w:vAlign w:val="center"/>
            <w:hideMark/>
          </w:tcPr>
          <w:p w14:paraId="2E607890"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0.5 </w:t>
            </w:r>
          </w:p>
        </w:tc>
        <w:tc>
          <w:tcPr>
            <w:tcW w:w="898" w:type="dxa"/>
            <w:tcBorders>
              <w:top w:val="single" w:sz="12" w:space="0" w:color="auto"/>
              <w:left w:val="nil"/>
              <w:bottom w:val="single" w:sz="12" w:space="0" w:color="auto"/>
              <w:right w:val="single" w:sz="12" w:space="0" w:color="FFFFFF"/>
            </w:tcBorders>
            <w:shd w:val="clear" w:color="FFFFFF" w:fill="FFFFFF"/>
            <w:noWrap/>
            <w:vAlign w:val="center"/>
            <w:hideMark/>
          </w:tcPr>
          <w:p w14:paraId="45FE06D3"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41.5 </w:t>
            </w:r>
          </w:p>
        </w:tc>
        <w:tc>
          <w:tcPr>
            <w:tcW w:w="888" w:type="dxa"/>
            <w:tcBorders>
              <w:top w:val="single" w:sz="12" w:space="0" w:color="auto"/>
              <w:left w:val="nil"/>
              <w:bottom w:val="single" w:sz="12" w:space="0" w:color="auto"/>
              <w:right w:val="single" w:sz="12" w:space="0" w:color="FFFFFF"/>
            </w:tcBorders>
            <w:shd w:val="clear" w:color="FFFFFF" w:fill="FFFFFF"/>
            <w:noWrap/>
            <w:vAlign w:val="center"/>
            <w:hideMark/>
          </w:tcPr>
          <w:p w14:paraId="3D58B6AD"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0.4 </w:t>
            </w:r>
          </w:p>
        </w:tc>
        <w:tc>
          <w:tcPr>
            <w:tcW w:w="873" w:type="dxa"/>
            <w:tcBorders>
              <w:top w:val="single" w:sz="12" w:space="0" w:color="auto"/>
              <w:left w:val="nil"/>
              <w:bottom w:val="single" w:sz="12" w:space="0" w:color="auto"/>
              <w:right w:val="single" w:sz="12" w:space="0" w:color="FFFFFF"/>
            </w:tcBorders>
            <w:shd w:val="clear" w:color="FFFFFF" w:fill="FFFFFF"/>
            <w:noWrap/>
            <w:vAlign w:val="center"/>
            <w:hideMark/>
          </w:tcPr>
          <w:p w14:paraId="0F64E584"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1.4 </w:t>
            </w:r>
          </w:p>
        </w:tc>
        <w:tc>
          <w:tcPr>
            <w:tcW w:w="873" w:type="dxa"/>
            <w:tcBorders>
              <w:top w:val="single" w:sz="12" w:space="0" w:color="auto"/>
              <w:left w:val="nil"/>
              <w:bottom w:val="single" w:sz="12" w:space="0" w:color="auto"/>
              <w:right w:val="single" w:sz="12" w:space="0" w:color="FFFFFF"/>
            </w:tcBorders>
            <w:shd w:val="clear" w:color="FFFFFF" w:fill="FFFFFF"/>
            <w:noWrap/>
            <w:vAlign w:val="center"/>
            <w:hideMark/>
          </w:tcPr>
          <w:p w14:paraId="2CC5A430"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6.3 </w:t>
            </w:r>
          </w:p>
        </w:tc>
        <w:tc>
          <w:tcPr>
            <w:tcW w:w="953" w:type="dxa"/>
            <w:tcBorders>
              <w:top w:val="single" w:sz="12" w:space="0" w:color="auto"/>
              <w:left w:val="nil"/>
              <w:bottom w:val="single" w:sz="12" w:space="0" w:color="auto"/>
              <w:right w:val="single" w:sz="12" w:space="0" w:color="FFFFFF"/>
            </w:tcBorders>
            <w:shd w:val="clear" w:color="FFFFFF" w:fill="FFFFFF"/>
            <w:noWrap/>
            <w:vAlign w:val="center"/>
            <w:hideMark/>
          </w:tcPr>
          <w:p w14:paraId="353897DC"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50.5 </w:t>
            </w:r>
          </w:p>
        </w:tc>
      </w:tr>
      <w:tr w:rsidR="00F06229" w:rsidRPr="005734B8" w14:paraId="4DB74488" w14:textId="77777777" w:rsidTr="000F48B1">
        <w:trPr>
          <w:trHeight w:val="198"/>
        </w:trPr>
        <w:tc>
          <w:tcPr>
            <w:tcW w:w="1495" w:type="dxa"/>
            <w:tcBorders>
              <w:top w:val="nil"/>
              <w:left w:val="nil"/>
              <w:bottom w:val="single" w:sz="12" w:space="0" w:color="auto"/>
              <w:right w:val="single" w:sz="12" w:space="0" w:color="FFFFFF"/>
            </w:tcBorders>
            <w:shd w:val="clear" w:color="FFFFFF" w:fill="FFFFFF"/>
            <w:vAlign w:val="center"/>
            <w:hideMark/>
          </w:tcPr>
          <w:p w14:paraId="009F1373" w14:textId="77777777" w:rsidR="00F06229" w:rsidRPr="005734B8" w:rsidRDefault="00F06229" w:rsidP="000F48B1">
            <w:pPr>
              <w:rPr>
                <w:rFonts w:ascii="Calibri" w:hAnsi="Calibri" w:cs="Calibri"/>
                <w:b/>
                <w:sz w:val="16"/>
                <w:szCs w:val="16"/>
              </w:rPr>
            </w:pPr>
            <w:r w:rsidRPr="005734B8">
              <w:rPr>
                <w:rFonts w:ascii="Calibri" w:hAnsi="Calibri" w:cs="Calibri"/>
                <w:b/>
                <w:sz w:val="16"/>
                <w:szCs w:val="16"/>
              </w:rPr>
              <w:t>Net result</w:t>
            </w:r>
          </w:p>
        </w:tc>
        <w:tc>
          <w:tcPr>
            <w:tcW w:w="810" w:type="dxa"/>
            <w:tcBorders>
              <w:top w:val="nil"/>
              <w:left w:val="nil"/>
              <w:bottom w:val="single" w:sz="12" w:space="0" w:color="auto"/>
              <w:right w:val="single" w:sz="12" w:space="0" w:color="FFFFFF"/>
            </w:tcBorders>
            <w:shd w:val="clear" w:color="FFFFFF" w:fill="FFFFFF"/>
            <w:noWrap/>
            <w:vAlign w:val="center"/>
            <w:hideMark/>
          </w:tcPr>
          <w:p w14:paraId="71B9CBE9"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0.4 </w:t>
            </w:r>
          </w:p>
        </w:tc>
        <w:tc>
          <w:tcPr>
            <w:tcW w:w="835" w:type="dxa"/>
            <w:tcBorders>
              <w:top w:val="nil"/>
              <w:left w:val="nil"/>
              <w:bottom w:val="single" w:sz="12" w:space="0" w:color="auto"/>
              <w:right w:val="single" w:sz="12" w:space="0" w:color="FFFFFF"/>
            </w:tcBorders>
            <w:shd w:val="clear" w:color="FFFFFF" w:fill="FFFFFF"/>
            <w:noWrap/>
            <w:vAlign w:val="center"/>
            <w:hideMark/>
          </w:tcPr>
          <w:p w14:paraId="7FD09F21"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0.5 </w:t>
            </w:r>
          </w:p>
        </w:tc>
        <w:tc>
          <w:tcPr>
            <w:tcW w:w="898" w:type="dxa"/>
            <w:tcBorders>
              <w:top w:val="nil"/>
              <w:left w:val="nil"/>
              <w:bottom w:val="single" w:sz="12" w:space="0" w:color="auto"/>
              <w:right w:val="single" w:sz="12" w:space="0" w:color="FFFFFF"/>
            </w:tcBorders>
            <w:shd w:val="clear" w:color="FFFFFF" w:fill="FFFFFF"/>
            <w:noWrap/>
            <w:vAlign w:val="center"/>
            <w:hideMark/>
          </w:tcPr>
          <w:p w14:paraId="0175B98A"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640.7 </w:t>
            </w:r>
          </w:p>
        </w:tc>
        <w:tc>
          <w:tcPr>
            <w:tcW w:w="888" w:type="dxa"/>
            <w:tcBorders>
              <w:top w:val="nil"/>
              <w:left w:val="nil"/>
              <w:bottom w:val="single" w:sz="12" w:space="0" w:color="auto"/>
              <w:right w:val="single" w:sz="12" w:space="0" w:color="FFFFFF"/>
            </w:tcBorders>
            <w:shd w:val="clear" w:color="FFFFFF" w:fill="FFFFFF"/>
            <w:noWrap/>
            <w:vAlign w:val="center"/>
            <w:hideMark/>
          </w:tcPr>
          <w:p w14:paraId="1C5BA30D"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11.4 </w:t>
            </w:r>
          </w:p>
        </w:tc>
        <w:tc>
          <w:tcPr>
            <w:tcW w:w="873" w:type="dxa"/>
            <w:tcBorders>
              <w:top w:val="nil"/>
              <w:left w:val="nil"/>
              <w:bottom w:val="single" w:sz="12" w:space="0" w:color="auto"/>
              <w:right w:val="single" w:sz="12" w:space="0" w:color="FFFFFF"/>
            </w:tcBorders>
            <w:shd w:val="clear" w:color="FFFFFF" w:fill="FFFFFF"/>
            <w:noWrap/>
            <w:vAlign w:val="center"/>
            <w:hideMark/>
          </w:tcPr>
          <w:p w14:paraId="028ADAE2"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1.4 </w:t>
            </w:r>
          </w:p>
        </w:tc>
        <w:tc>
          <w:tcPr>
            <w:tcW w:w="873" w:type="dxa"/>
            <w:tcBorders>
              <w:top w:val="nil"/>
              <w:left w:val="nil"/>
              <w:bottom w:val="single" w:sz="12" w:space="0" w:color="auto"/>
              <w:right w:val="single" w:sz="12" w:space="0" w:color="FFFFFF"/>
            </w:tcBorders>
            <w:shd w:val="clear" w:color="FFFFFF" w:fill="FFFFFF"/>
            <w:noWrap/>
            <w:vAlign w:val="center"/>
            <w:hideMark/>
          </w:tcPr>
          <w:p w14:paraId="23FBAEB6"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6.3 </w:t>
            </w:r>
          </w:p>
        </w:tc>
        <w:tc>
          <w:tcPr>
            <w:tcW w:w="953" w:type="dxa"/>
            <w:tcBorders>
              <w:top w:val="nil"/>
              <w:left w:val="nil"/>
              <w:bottom w:val="single" w:sz="12" w:space="0" w:color="auto"/>
              <w:right w:val="single" w:sz="12" w:space="0" w:color="FFFFFF"/>
            </w:tcBorders>
            <w:shd w:val="clear" w:color="FFFFFF" w:fill="FFFFFF"/>
            <w:noWrap/>
            <w:vAlign w:val="center"/>
            <w:hideMark/>
          </w:tcPr>
          <w:p w14:paraId="096A4A76"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660.7 </w:t>
            </w:r>
          </w:p>
        </w:tc>
      </w:tr>
      <w:tr w:rsidR="00F06229" w:rsidRPr="005734B8" w14:paraId="718636BB" w14:textId="77777777" w:rsidTr="000F48B1">
        <w:trPr>
          <w:trHeight w:val="198"/>
        </w:trPr>
        <w:tc>
          <w:tcPr>
            <w:tcW w:w="7625" w:type="dxa"/>
            <w:gridSpan w:val="8"/>
            <w:tcBorders>
              <w:top w:val="single" w:sz="4" w:space="0" w:color="auto"/>
              <w:left w:val="single" w:sz="4" w:space="0" w:color="FFFFFF"/>
              <w:bottom w:val="single" w:sz="4" w:space="0" w:color="auto"/>
              <w:right w:val="nil"/>
            </w:tcBorders>
            <w:shd w:val="clear" w:color="000000" w:fill="D9D9D9"/>
            <w:noWrap/>
            <w:vAlign w:val="center"/>
            <w:hideMark/>
          </w:tcPr>
          <w:p w14:paraId="0ACCE552" w14:textId="77777777" w:rsidR="00F06229" w:rsidRPr="005734B8" w:rsidRDefault="00F06229" w:rsidP="000F48B1">
            <w:pPr>
              <w:rPr>
                <w:rFonts w:ascii="Calibri" w:hAnsi="Calibri" w:cs="Calibri"/>
                <w:b/>
                <w:sz w:val="16"/>
                <w:szCs w:val="16"/>
              </w:rPr>
            </w:pPr>
            <w:r w:rsidRPr="005734B8">
              <w:rPr>
                <w:rFonts w:ascii="Calibri" w:hAnsi="Calibri" w:cs="Calibri"/>
                <w:b/>
                <w:sz w:val="16"/>
                <w:szCs w:val="16"/>
              </w:rPr>
              <w:t>Other economic flows–other comprehensive income</w:t>
            </w:r>
          </w:p>
        </w:tc>
      </w:tr>
      <w:tr w:rsidR="00F06229" w:rsidRPr="005734B8" w14:paraId="3B1C3A87"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44EE89C3"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Changes in physical asset revaluation surplus</w:t>
            </w:r>
          </w:p>
        </w:tc>
        <w:tc>
          <w:tcPr>
            <w:tcW w:w="810" w:type="dxa"/>
            <w:tcBorders>
              <w:top w:val="nil"/>
              <w:left w:val="nil"/>
              <w:bottom w:val="single" w:sz="4" w:space="0" w:color="auto"/>
              <w:right w:val="single" w:sz="4" w:space="0" w:color="FFFFFF"/>
            </w:tcBorders>
            <w:shd w:val="clear" w:color="FFFFFF" w:fill="FFFFFF"/>
            <w:noWrap/>
            <w:vAlign w:val="center"/>
            <w:hideMark/>
          </w:tcPr>
          <w:p w14:paraId="0E27D1FD" w14:textId="63195F00"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35" w:type="dxa"/>
            <w:tcBorders>
              <w:top w:val="nil"/>
              <w:left w:val="nil"/>
              <w:bottom w:val="single" w:sz="4" w:space="0" w:color="auto"/>
              <w:right w:val="single" w:sz="4" w:space="0" w:color="FFFFFF"/>
            </w:tcBorders>
            <w:shd w:val="clear" w:color="FFFFFF" w:fill="FFFFFF"/>
            <w:noWrap/>
            <w:vAlign w:val="center"/>
            <w:hideMark/>
          </w:tcPr>
          <w:p w14:paraId="28AF89B7" w14:textId="0FB316D3"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98" w:type="dxa"/>
            <w:tcBorders>
              <w:top w:val="nil"/>
              <w:left w:val="nil"/>
              <w:bottom w:val="single" w:sz="4" w:space="0" w:color="auto"/>
              <w:right w:val="single" w:sz="4" w:space="0" w:color="FFFFFF"/>
            </w:tcBorders>
            <w:shd w:val="clear" w:color="FFFFFF" w:fill="FFFFFF"/>
            <w:noWrap/>
            <w:vAlign w:val="center"/>
            <w:hideMark/>
          </w:tcPr>
          <w:p w14:paraId="7142EACC"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2,559.9 </w:t>
            </w:r>
          </w:p>
        </w:tc>
        <w:tc>
          <w:tcPr>
            <w:tcW w:w="888" w:type="dxa"/>
            <w:tcBorders>
              <w:top w:val="nil"/>
              <w:left w:val="nil"/>
              <w:bottom w:val="single" w:sz="4" w:space="0" w:color="auto"/>
              <w:right w:val="single" w:sz="4" w:space="0" w:color="FFFFFF"/>
            </w:tcBorders>
            <w:shd w:val="clear" w:color="FFFFFF" w:fill="FFFFFF"/>
            <w:noWrap/>
            <w:vAlign w:val="center"/>
            <w:hideMark/>
          </w:tcPr>
          <w:p w14:paraId="2F369297" w14:textId="5D9C1E19"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73" w:type="dxa"/>
            <w:tcBorders>
              <w:top w:val="nil"/>
              <w:left w:val="nil"/>
              <w:bottom w:val="single" w:sz="4" w:space="0" w:color="auto"/>
              <w:right w:val="single" w:sz="4" w:space="0" w:color="FFFFFF"/>
            </w:tcBorders>
            <w:shd w:val="clear" w:color="FFFFFF" w:fill="FFFFFF"/>
            <w:noWrap/>
            <w:vAlign w:val="center"/>
            <w:hideMark/>
          </w:tcPr>
          <w:p w14:paraId="5BA275B5"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14.4 </w:t>
            </w:r>
          </w:p>
        </w:tc>
        <w:tc>
          <w:tcPr>
            <w:tcW w:w="873" w:type="dxa"/>
            <w:tcBorders>
              <w:top w:val="nil"/>
              <w:left w:val="nil"/>
              <w:bottom w:val="single" w:sz="4" w:space="0" w:color="auto"/>
              <w:right w:val="single" w:sz="4" w:space="0" w:color="FFFFFF"/>
            </w:tcBorders>
            <w:shd w:val="clear" w:color="FFFFFF" w:fill="FFFFFF"/>
            <w:noWrap/>
            <w:vAlign w:val="center"/>
            <w:hideMark/>
          </w:tcPr>
          <w:p w14:paraId="028A8C35"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258.7 </w:t>
            </w:r>
          </w:p>
        </w:tc>
        <w:tc>
          <w:tcPr>
            <w:tcW w:w="953" w:type="dxa"/>
            <w:tcBorders>
              <w:top w:val="nil"/>
              <w:left w:val="nil"/>
              <w:bottom w:val="single" w:sz="4" w:space="0" w:color="auto"/>
              <w:right w:val="single" w:sz="4" w:space="0" w:color="FFFFFF"/>
            </w:tcBorders>
            <w:shd w:val="clear" w:color="FFFFFF" w:fill="FFFFFF"/>
            <w:noWrap/>
            <w:vAlign w:val="center"/>
            <w:hideMark/>
          </w:tcPr>
          <w:p w14:paraId="18316C80"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2,833.0 </w:t>
            </w:r>
          </w:p>
        </w:tc>
      </w:tr>
      <w:tr w:rsidR="00F06229" w:rsidRPr="005734B8" w14:paraId="416A4CD0" w14:textId="77777777" w:rsidTr="000F48B1">
        <w:trPr>
          <w:trHeight w:val="198"/>
        </w:trPr>
        <w:tc>
          <w:tcPr>
            <w:tcW w:w="1495" w:type="dxa"/>
            <w:tcBorders>
              <w:top w:val="single" w:sz="12" w:space="0" w:color="auto"/>
              <w:left w:val="nil"/>
              <w:bottom w:val="single" w:sz="12" w:space="0" w:color="auto"/>
              <w:right w:val="single" w:sz="12" w:space="0" w:color="FFFFFF"/>
            </w:tcBorders>
            <w:shd w:val="clear" w:color="FFFFFF" w:fill="FFFFFF"/>
            <w:vAlign w:val="center"/>
            <w:hideMark/>
          </w:tcPr>
          <w:p w14:paraId="44FE1739" w14:textId="77777777" w:rsidR="00F06229" w:rsidRPr="005734B8" w:rsidRDefault="00F06229" w:rsidP="000F48B1">
            <w:pPr>
              <w:rPr>
                <w:rFonts w:ascii="Calibri" w:hAnsi="Calibri" w:cs="Calibri"/>
                <w:b/>
                <w:sz w:val="16"/>
                <w:szCs w:val="16"/>
              </w:rPr>
            </w:pPr>
            <w:r w:rsidRPr="005734B8">
              <w:rPr>
                <w:rFonts w:ascii="Calibri" w:hAnsi="Calibri" w:cs="Calibri"/>
                <w:b/>
                <w:sz w:val="16"/>
                <w:szCs w:val="16"/>
              </w:rPr>
              <w:t>Total other economic flows—other comprehensive income</w:t>
            </w:r>
          </w:p>
        </w:tc>
        <w:tc>
          <w:tcPr>
            <w:tcW w:w="810" w:type="dxa"/>
            <w:tcBorders>
              <w:top w:val="single" w:sz="12" w:space="0" w:color="auto"/>
              <w:left w:val="nil"/>
              <w:bottom w:val="single" w:sz="12" w:space="0" w:color="auto"/>
              <w:right w:val="single" w:sz="12" w:space="0" w:color="FFFFFF"/>
            </w:tcBorders>
            <w:shd w:val="clear" w:color="FFFFFF" w:fill="FFFFFF"/>
            <w:noWrap/>
            <w:vAlign w:val="center"/>
            <w:hideMark/>
          </w:tcPr>
          <w:p w14:paraId="62CDB8CD" w14:textId="438990D1" w:rsidR="00F06229" w:rsidRPr="005734B8" w:rsidRDefault="006C14DE" w:rsidP="000F48B1">
            <w:pPr>
              <w:jc w:val="right"/>
              <w:rPr>
                <w:rFonts w:ascii="Calibri" w:hAnsi="Calibri" w:cs="Calibri"/>
                <w:b/>
                <w:sz w:val="16"/>
                <w:szCs w:val="16"/>
              </w:rPr>
            </w:pPr>
            <w:r w:rsidRPr="005734B8">
              <w:rPr>
                <w:rFonts w:ascii="Calibri" w:hAnsi="Calibri" w:cs="Calibri"/>
                <w:b/>
                <w:sz w:val="16"/>
                <w:szCs w:val="16"/>
              </w:rPr>
              <w:t>–</w:t>
            </w:r>
          </w:p>
        </w:tc>
        <w:tc>
          <w:tcPr>
            <w:tcW w:w="835" w:type="dxa"/>
            <w:tcBorders>
              <w:top w:val="single" w:sz="12" w:space="0" w:color="auto"/>
              <w:left w:val="nil"/>
              <w:bottom w:val="single" w:sz="12" w:space="0" w:color="auto"/>
              <w:right w:val="single" w:sz="12" w:space="0" w:color="FFFFFF"/>
            </w:tcBorders>
            <w:shd w:val="clear" w:color="FFFFFF" w:fill="FFFFFF"/>
            <w:noWrap/>
            <w:vAlign w:val="center"/>
            <w:hideMark/>
          </w:tcPr>
          <w:p w14:paraId="09377B2D" w14:textId="05E3B4A0" w:rsidR="00F06229" w:rsidRPr="005734B8" w:rsidRDefault="006C14DE" w:rsidP="000F48B1">
            <w:pPr>
              <w:jc w:val="right"/>
              <w:rPr>
                <w:rFonts w:ascii="Calibri" w:hAnsi="Calibri" w:cs="Calibri"/>
                <w:b/>
                <w:sz w:val="16"/>
                <w:szCs w:val="16"/>
              </w:rPr>
            </w:pPr>
            <w:r w:rsidRPr="005734B8">
              <w:rPr>
                <w:rFonts w:ascii="Calibri" w:hAnsi="Calibri" w:cs="Calibri"/>
                <w:b/>
                <w:sz w:val="16"/>
                <w:szCs w:val="16"/>
              </w:rPr>
              <w:t>–</w:t>
            </w:r>
          </w:p>
        </w:tc>
        <w:tc>
          <w:tcPr>
            <w:tcW w:w="898" w:type="dxa"/>
            <w:tcBorders>
              <w:top w:val="single" w:sz="12" w:space="0" w:color="auto"/>
              <w:left w:val="nil"/>
              <w:bottom w:val="single" w:sz="12" w:space="0" w:color="auto"/>
              <w:right w:val="single" w:sz="12" w:space="0" w:color="FFFFFF"/>
            </w:tcBorders>
            <w:shd w:val="clear" w:color="FFFFFF" w:fill="FFFFFF"/>
            <w:noWrap/>
            <w:vAlign w:val="center"/>
            <w:hideMark/>
          </w:tcPr>
          <w:p w14:paraId="307D13A3"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2,559.9 </w:t>
            </w:r>
          </w:p>
        </w:tc>
        <w:tc>
          <w:tcPr>
            <w:tcW w:w="888" w:type="dxa"/>
            <w:tcBorders>
              <w:top w:val="single" w:sz="12" w:space="0" w:color="auto"/>
              <w:left w:val="nil"/>
              <w:bottom w:val="single" w:sz="12" w:space="0" w:color="auto"/>
              <w:right w:val="single" w:sz="12" w:space="0" w:color="FFFFFF"/>
            </w:tcBorders>
            <w:shd w:val="clear" w:color="FFFFFF" w:fill="FFFFFF"/>
            <w:noWrap/>
            <w:vAlign w:val="center"/>
            <w:hideMark/>
          </w:tcPr>
          <w:p w14:paraId="49672716" w14:textId="0E4F6991" w:rsidR="00F06229" w:rsidRPr="005734B8" w:rsidRDefault="006C14DE" w:rsidP="000F48B1">
            <w:pPr>
              <w:jc w:val="right"/>
              <w:rPr>
                <w:rFonts w:ascii="Calibri" w:hAnsi="Calibri" w:cs="Calibri"/>
                <w:b/>
                <w:sz w:val="16"/>
                <w:szCs w:val="16"/>
              </w:rPr>
            </w:pPr>
            <w:r w:rsidRPr="005734B8">
              <w:rPr>
                <w:rFonts w:ascii="Calibri" w:hAnsi="Calibri" w:cs="Calibri"/>
                <w:b/>
                <w:sz w:val="16"/>
                <w:szCs w:val="16"/>
              </w:rPr>
              <w:t>–</w:t>
            </w:r>
          </w:p>
        </w:tc>
        <w:tc>
          <w:tcPr>
            <w:tcW w:w="873" w:type="dxa"/>
            <w:tcBorders>
              <w:top w:val="single" w:sz="12" w:space="0" w:color="auto"/>
              <w:left w:val="nil"/>
              <w:bottom w:val="single" w:sz="12" w:space="0" w:color="auto"/>
              <w:right w:val="single" w:sz="12" w:space="0" w:color="FFFFFF"/>
            </w:tcBorders>
            <w:shd w:val="clear" w:color="FFFFFF" w:fill="FFFFFF"/>
            <w:noWrap/>
            <w:vAlign w:val="center"/>
            <w:hideMark/>
          </w:tcPr>
          <w:p w14:paraId="15534CCA"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14.4 </w:t>
            </w:r>
          </w:p>
        </w:tc>
        <w:tc>
          <w:tcPr>
            <w:tcW w:w="873" w:type="dxa"/>
            <w:tcBorders>
              <w:top w:val="single" w:sz="12" w:space="0" w:color="auto"/>
              <w:left w:val="nil"/>
              <w:bottom w:val="single" w:sz="12" w:space="0" w:color="auto"/>
              <w:right w:val="single" w:sz="12" w:space="0" w:color="FFFFFF"/>
            </w:tcBorders>
            <w:shd w:val="clear" w:color="FFFFFF" w:fill="FFFFFF"/>
            <w:noWrap/>
            <w:vAlign w:val="center"/>
            <w:hideMark/>
          </w:tcPr>
          <w:p w14:paraId="37B59409"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258.7 </w:t>
            </w:r>
          </w:p>
        </w:tc>
        <w:tc>
          <w:tcPr>
            <w:tcW w:w="953" w:type="dxa"/>
            <w:tcBorders>
              <w:top w:val="single" w:sz="12" w:space="0" w:color="auto"/>
              <w:left w:val="nil"/>
              <w:bottom w:val="single" w:sz="12" w:space="0" w:color="auto"/>
              <w:right w:val="single" w:sz="12" w:space="0" w:color="FFFFFF"/>
            </w:tcBorders>
            <w:shd w:val="clear" w:color="FFFFFF" w:fill="FFFFFF"/>
            <w:noWrap/>
            <w:vAlign w:val="center"/>
            <w:hideMark/>
          </w:tcPr>
          <w:p w14:paraId="4BFCEF04"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2,833.0 </w:t>
            </w:r>
          </w:p>
        </w:tc>
      </w:tr>
      <w:tr w:rsidR="00F06229" w:rsidRPr="005734B8" w14:paraId="175BA918" w14:textId="77777777" w:rsidTr="000F48B1">
        <w:trPr>
          <w:trHeight w:val="198"/>
        </w:trPr>
        <w:tc>
          <w:tcPr>
            <w:tcW w:w="1495" w:type="dxa"/>
            <w:tcBorders>
              <w:top w:val="nil"/>
              <w:left w:val="nil"/>
              <w:bottom w:val="single" w:sz="12" w:space="0" w:color="auto"/>
              <w:right w:val="single" w:sz="12" w:space="0" w:color="FFFFFF"/>
            </w:tcBorders>
            <w:shd w:val="clear" w:color="FFFFFF" w:fill="FFFFFF"/>
            <w:vAlign w:val="center"/>
            <w:hideMark/>
          </w:tcPr>
          <w:p w14:paraId="261191AB" w14:textId="77777777" w:rsidR="00F06229" w:rsidRPr="005734B8" w:rsidRDefault="00F06229" w:rsidP="000F48B1">
            <w:pPr>
              <w:rPr>
                <w:rFonts w:ascii="Calibri" w:hAnsi="Calibri" w:cs="Calibri"/>
                <w:b/>
                <w:sz w:val="16"/>
                <w:szCs w:val="16"/>
              </w:rPr>
            </w:pPr>
            <w:r w:rsidRPr="005734B8">
              <w:rPr>
                <w:rFonts w:ascii="Calibri" w:hAnsi="Calibri" w:cs="Calibri"/>
                <w:b/>
                <w:sz w:val="16"/>
                <w:szCs w:val="16"/>
              </w:rPr>
              <w:t>Comprehensive result</w:t>
            </w:r>
          </w:p>
        </w:tc>
        <w:tc>
          <w:tcPr>
            <w:tcW w:w="810" w:type="dxa"/>
            <w:tcBorders>
              <w:top w:val="nil"/>
              <w:left w:val="nil"/>
              <w:bottom w:val="single" w:sz="12" w:space="0" w:color="auto"/>
              <w:right w:val="single" w:sz="12" w:space="0" w:color="FFFFFF"/>
            </w:tcBorders>
            <w:shd w:val="clear" w:color="FFFFFF" w:fill="FFFFFF"/>
            <w:noWrap/>
            <w:vAlign w:val="center"/>
            <w:hideMark/>
          </w:tcPr>
          <w:p w14:paraId="0B0E1940"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0.4 </w:t>
            </w:r>
          </w:p>
        </w:tc>
        <w:tc>
          <w:tcPr>
            <w:tcW w:w="835" w:type="dxa"/>
            <w:tcBorders>
              <w:top w:val="nil"/>
              <w:left w:val="nil"/>
              <w:bottom w:val="single" w:sz="12" w:space="0" w:color="auto"/>
              <w:right w:val="single" w:sz="12" w:space="0" w:color="FFFFFF"/>
            </w:tcBorders>
            <w:shd w:val="clear" w:color="FFFFFF" w:fill="FFFFFF"/>
            <w:noWrap/>
            <w:vAlign w:val="center"/>
            <w:hideMark/>
          </w:tcPr>
          <w:p w14:paraId="36EB74B5"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0.5 </w:t>
            </w:r>
          </w:p>
        </w:tc>
        <w:tc>
          <w:tcPr>
            <w:tcW w:w="898" w:type="dxa"/>
            <w:tcBorders>
              <w:top w:val="nil"/>
              <w:left w:val="nil"/>
              <w:bottom w:val="single" w:sz="12" w:space="0" w:color="auto"/>
              <w:right w:val="single" w:sz="12" w:space="0" w:color="FFFFFF"/>
            </w:tcBorders>
            <w:shd w:val="clear" w:color="FFFFFF" w:fill="FFFFFF"/>
            <w:noWrap/>
            <w:vAlign w:val="center"/>
            <w:hideMark/>
          </w:tcPr>
          <w:p w14:paraId="01E91009"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3,200.6 </w:t>
            </w:r>
          </w:p>
        </w:tc>
        <w:tc>
          <w:tcPr>
            <w:tcW w:w="888" w:type="dxa"/>
            <w:tcBorders>
              <w:top w:val="nil"/>
              <w:left w:val="nil"/>
              <w:bottom w:val="single" w:sz="12" w:space="0" w:color="auto"/>
              <w:right w:val="single" w:sz="12" w:space="0" w:color="FFFFFF"/>
            </w:tcBorders>
            <w:shd w:val="clear" w:color="FFFFFF" w:fill="FFFFFF"/>
            <w:noWrap/>
            <w:vAlign w:val="center"/>
            <w:hideMark/>
          </w:tcPr>
          <w:p w14:paraId="6518D94C"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11.4 </w:t>
            </w:r>
          </w:p>
        </w:tc>
        <w:tc>
          <w:tcPr>
            <w:tcW w:w="873" w:type="dxa"/>
            <w:tcBorders>
              <w:top w:val="nil"/>
              <w:left w:val="nil"/>
              <w:bottom w:val="single" w:sz="12" w:space="0" w:color="auto"/>
              <w:right w:val="single" w:sz="12" w:space="0" w:color="FFFFFF"/>
            </w:tcBorders>
            <w:shd w:val="clear" w:color="FFFFFF" w:fill="FFFFFF"/>
            <w:noWrap/>
            <w:vAlign w:val="center"/>
            <w:hideMark/>
          </w:tcPr>
          <w:p w14:paraId="05552304"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15.8 </w:t>
            </w:r>
          </w:p>
        </w:tc>
        <w:tc>
          <w:tcPr>
            <w:tcW w:w="873" w:type="dxa"/>
            <w:tcBorders>
              <w:top w:val="nil"/>
              <w:left w:val="nil"/>
              <w:bottom w:val="single" w:sz="12" w:space="0" w:color="auto"/>
              <w:right w:val="single" w:sz="12" w:space="0" w:color="FFFFFF"/>
            </w:tcBorders>
            <w:shd w:val="clear" w:color="FFFFFF" w:fill="FFFFFF"/>
            <w:noWrap/>
            <w:vAlign w:val="center"/>
            <w:hideMark/>
          </w:tcPr>
          <w:p w14:paraId="2E2CF1DF"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265.0 </w:t>
            </w:r>
          </w:p>
        </w:tc>
        <w:tc>
          <w:tcPr>
            <w:tcW w:w="953" w:type="dxa"/>
            <w:tcBorders>
              <w:top w:val="nil"/>
              <w:left w:val="nil"/>
              <w:bottom w:val="single" w:sz="12" w:space="0" w:color="auto"/>
              <w:right w:val="single" w:sz="12" w:space="0" w:color="FFFFFF"/>
            </w:tcBorders>
            <w:shd w:val="clear" w:color="FFFFFF" w:fill="FFFFFF"/>
            <w:noWrap/>
            <w:vAlign w:val="center"/>
            <w:hideMark/>
          </w:tcPr>
          <w:p w14:paraId="0D47D24E"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3,493.7 </w:t>
            </w:r>
          </w:p>
        </w:tc>
      </w:tr>
    </w:tbl>
    <w:p w14:paraId="3272BE62" w14:textId="77777777" w:rsidR="00F06229" w:rsidRPr="005734B8" w:rsidRDefault="00F06229" w:rsidP="00F06229">
      <w:pPr>
        <w:rPr>
          <w:rFonts w:ascii="Calibri" w:eastAsiaTheme="minorEastAsia" w:hAnsi="Calibri" w:cs="Calibri"/>
          <w:b/>
          <w:color w:val="53565A"/>
          <w:szCs w:val="18"/>
          <w:lang w:val="en-US"/>
        </w:rPr>
      </w:pPr>
      <w:bookmarkStart w:id="1389" w:name="_Toc11336377"/>
      <w:bookmarkStart w:id="1390" w:name="_Toc14965603"/>
      <w:r w:rsidRPr="005734B8">
        <w:rPr>
          <w:rFonts w:ascii="Calibri" w:hAnsi="Calibri" w:cs="Calibri"/>
        </w:rPr>
        <w:br w:type="page"/>
      </w:r>
    </w:p>
    <w:p w14:paraId="1D6A63E4" w14:textId="5B5A716B" w:rsidR="00F06229" w:rsidRPr="005734B8" w:rsidRDefault="00F06229" w:rsidP="002D345C">
      <w:pPr>
        <w:pStyle w:val="ESHeading3"/>
        <w:rPr>
          <w:rFonts w:ascii="Calibri" w:hAnsi="Calibri" w:cs="Calibri"/>
        </w:rPr>
      </w:pPr>
      <w:r w:rsidRPr="005734B8">
        <w:rPr>
          <w:rFonts w:ascii="Calibri" w:hAnsi="Calibri" w:cs="Calibri"/>
        </w:rPr>
        <w:lastRenderedPageBreak/>
        <w:t>4.1.2 (b) Departmental outputs: Controlled income and expenses for the year</w:t>
      </w:r>
      <w:r w:rsidR="00D058E7" w:rsidRPr="005734B8">
        <w:rPr>
          <w:rFonts w:ascii="Calibri" w:hAnsi="Calibri" w:cs="Calibri"/>
        </w:rPr>
        <w:t xml:space="preserve"> </w:t>
      </w:r>
      <w:r w:rsidRPr="005734B8">
        <w:rPr>
          <w:rFonts w:ascii="Calibri" w:hAnsi="Calibri" w:cs="Calibri"/>
        </w:rPr>
        <w:t xml:space="preserve">ended </w:t>
      </w:r>
      <w:r w:rsidRPr="005734B8">
        <w:rPr>
          <w:rFonts w:ascii="Calibri" w:hAnsi="Calibri" w:cs="Calibri"/>
        </w:rPr>
        <w:fldChar w:fldCharType="begin"/>
      </w:r>
      <w:r w:rsidRPr="005734B8">
        <w:rPr>
          <w:rFonts w:ascii="Calibri" w:hAnsi="Calibri" w:cs="Calibri"/>
        </w:rPr>
        <w:instrText xml:space="preserve"> DOCPROPERTY  pEnd  \* MERGEFORMAT </w:instrText>
      </w:r>
      <w:r w:rsidRPr="005734B8">
        <w:rPr>
          <w:rFonts w:ascii="Calibri" w:hAnsi="Calibri" w:cs="Calibri"/>
        </w:rPr>
        <w:fldChar w:fldCharType="separate"/>
      </w:r>
      <w:r w:rsidRPr="005734B8">
        <w:rPr>
          <w:rFonts w:ascii="Calibri" w:hAnsi="Calibri" w:cs="Calibri"/>
        </w:rPr>
        <w:t>30 June</w:t>
      </w:r>
      <w:r w:rsidRPr="005734B8">
        <w:rPr>
          <w:rFonts w:ascii="Calibri" w:hAnsi="Calibri" w:cs="Calibri"/>
        </w:rPr>
        <w:fldChar w:fldCharType="end"/>
      </w:r>
      <w:r w:rsidRPr="005734B8">
        <w:rPr>
          <w:rFonts w:ascii="Calibri" w:hAnsi="Calibri" w:cs="Calibri"/>
        </w:rPr>
        <w:t xml:space="preserve"> </w:t>
      </w:r>
      <w:r w:rsidRPr="005734B8">
        <w:rPr>
          <w:rFonts w:ascii="Calibri" w:hAnsi="Calibri" w:cs="Calibri"/>
        </w:rPr>
        <w:fldChar w:fldCharType="begin"/>
      </w:r>
      <w:r w:rsidRPr="005734B8">
        <w:rPr>
          <w:rFonts w:ascii="Calibri" w:hAnsi="Calibri" w:cs="Calibri"/>
        </w:rPr>
        <w:instrText xml:space="preserve"> DOCPROPERTY  prYear  \* MERGEFORMAT </w:instrText>
      </w:r>
      <w:r w:rsidRPr="005734B8">
        <w:rPr>
          <w:rFonts w:ascii="Calibri" w:hAnsi="Calibri" w:cs="Calibri"/>
        </w:rPr>
        <w:fldChar w:fldCharType="separate"/>
      </w:r>
      <w:r w:rsidRPr="005734B8">
        <w:rPr>
          <w:rFonts w:ascii="Calibri" w:hAnsi="Calibri" w:cs="Calibri"/>
        </w:rPr>
        <w:t>2020</w:t>
      </w:r>
      <w:r w:rsidRPr="005734B8">
        <w:rPr>
          <w:rFonts w:ascii="Calibri" w:hAnsi="Calibri" w:cs="Calibri"/>
        </w:rPr>
        <w:fldChar w:fldCharType="end"/>
      </w:r>
      <w:bookmarkEnd w:id="1389"/>
      <w:bookmarkEnd w:id="1390"/>
    </w:p>
    <w:tbl>
      <w:tblPr>
        <w:tblW w:w="7625" w:type="dxa"/>
        <w:tblInd w:w="75" w:type="dxa"/>
        <w:tblLayout w:type="fixed"/>
        <w:tblLook w:val="04A0" w:firstRow="1" w:lastRow="0" w:firstColumn="1" w:lastColumn="0" w:noHBand="0" w:noVBand="1"/>
      </w:tblPr>
      <w:tblGrid>
        <w:gridCol w:w="1495"/>
        <w:gridCol w:w="810"/>
        <w:gridCol w:w="835"/>
        <w:gridCol w:w="898"/>
        <w:gridCol w:w="888"/>
        <w:gridCol w:w="873"/>
        <w:gridCol w:w="873"/>
        <w:gridCol w:w="953"/>
      </w:tblGrid>
      <w:tr w:rsidR="00F06229" w:rsidRPr="005734B8" w14:paraId="7BFD161E" w14:textId="77777777" w:rsidTr="000F48B1">
        <w:trPr>
          <w:trHeight w:val="198"/>
        </w:trPr>
        <w:tc>
          <w:tcPr>
            <w:tcW w:w="1495" w:type="dxa"/>
            <w:tcBorders>
              <w:top w:val="nil"/>
              <w:left w:val="single" w:sz="4" w:space="0" w:color="FFFFFF"/>
              <w:bottom w:val="single" w:sz="4" w:space="0" w:color="FFFFFF"/>
              <w:right w:val="single" w:sz="4" w:space="0" w:color="FFFFFF"/>
            </w:tcBorders>
            <w:shd w:val="clear" w:color="000000" w:fill="AF272F"/>
            <w:hideMark/>
          </w:tcPr>
          <w:p w14:paraId="1586E557" w14:textId="77777777" w:rsidR="00F06229" w:rsidRPr="005734B8" w:rsidRDefault="00F06229" w:rsidP="000F48B1">
            <w:pPr>
              <w:rPr>
                <w:rFonts w:ascii="Calibri" w:hAnsi="Calibri" w:cs="Calibri"/>
                <w:b/>
                <w:color w:val="FFFFFF"/>
                <w:sz w:val="16"/>
                <w:szCs w:val="16"/>
              </w:rPr>
            </w:pPr>
            <w:bookmarkStart w:id="1391" w:name="Note_CIFTABLE1" w:colFirst="0" w:colLast="0"/>
            <w:r w:rsidRPr="005734B8">
              <w:rPr>
                <w:rFonts w:ascii="Calibri" w:hAnsi="Calibri" w:cs="Calibri"/>
                <w:b/>
                <w:color w:val="FFFFFF"/>
                <w:sz w:val="16"/>
                <w:szCs w:val="16"/>
              </w:rPr>
              <w:t> </w:t>
            </w:r>
          </w:p>
        </w:tc>
        <w:tc>
          <w:tcPr>
            <w:tcW w:w="810" w:type="dxa"/>
            <w:tcBorders>
              <w:top w:val="nil"/>
              <w:left w:val="nil"/>
              <w:bottom w:val="single" w:sz="4" w:space="0" w:color="auto"/>
              <w:right w:val="single" w:sz="4" w:space="0" w:color="FFFFFF"/>
            </w:tcBorders>
            <w:shd w:val="clear" w:color="000000" w:fill="AF272F"/>
            <w:hideMark/>
          </w:tcPr>
          <w:p w14:paraId="73190754"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 xml:space="preserve">Strategy, review and regulation </w:t>
            </w:r>
            <w:r w:rsidRPr="005734B8">
              <w:rPr>
                <w:rFonts w:ascii="Calibri" w:hAnsi="Calibri" w:cs="Calibri"/>
                <w:b/>
                <w:color w:val="FFFFFF"/>
                <w:sz w:val="16"/>
                <w:szCs w:val="16"/>
              </w:rPr>
              <w:br/>
              <w:t>($m)</w:t>
            </w:r>
          </w:p>
        </w:tc>
        <w:tc>
          <w:tcPr>
            <w:tcW w:w="835" w:type="dxa"/>
            <w:tcBorders>
              <w:top w:val="nil"/>
              <w:left w:val="nil"/>
              <w:bottom w:val="single" w:sz="4" w:space="0" w:color="auto"/>
              <w:right w:val="single" w:sz="4" w:space="0" w:color="FFFFFF"/>
            </w:tcBorders>
            <w:shd w:val="clear" w:color="000000" w:fill="AF272F"/>
            <w:hideMark/>
          </w:tcPr>
          <w:p w14:paraId="223B21B8"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Early childhood develop-</w:t>
            </w:r>
            <w:r w:rsidRPr="005734B8">
              <w:rPr>
                <w:rFonts w:ascii="Calibri" w:hAnsi="Calibri" w:cs="Calibri"/>
                <w:b/>
                <w:color w:val="FFFFFF"/>
                <w:sz w:val="16"/>
                <w:szCs w:val="16"/>
              </w:rPr>
              <w:br/>
              <w:t xml:space="preserve">ment </w:t>
            </w:r>
            <w:r w:rsidRPr="005734B8">
              <w:rPr>
                <w:rFonts w:ascii="Calibri" w:hAnsi="Calibri" w:cs="Calibri"/>
                <w:b/>
                <w:color w:val="FFFFFF"/>
                <w:sz w:val="16"/>
                <w:szCs w:val="16"/>
              </w:rPr>
              <w:br/>
              <w:t>($m)</w:t>
            </w:r>
          </w:p>
        </w:tc>
        <w:tc>
          <w:tcPr>
            <w:tcW w:w="898" w:type="dxa"/>
            <w:tcBorders>
              <w:top w:val="nil"/>
              <w:left w:val="nil"/>
              <w:bottom w:val="single" w:sz="4" w:space="0" w:color="auto"/>
              <w:right w:val="single" w:sz="4" w:space="0" w:color="FFFFFF"/>
            </w:tcBorders>
            <w:shd w:val="clear" w:color="000000" w:fill="AF272F"/>
            <w:hideMark/>
          </w:tcPr>
          <w:p w14:paraId="51896197"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 xml:space="preserve">School education </w:t>
            </w:r>
            <w:r w:rsidRPr="005734B8">
              <w:rPr>
                <w:rFonts w:ascii="Calibri" w:hAnsi="Calibri" w:cs="Calibri"/>
                <w:b/>
                <w:color w:val="FFFFFF"/>
                <w:sz w:val="16"/>
                <w:szCs w:val="16"/>
              </w:rPr>
              <w:br/>
              <w:t>($m)</w:t>
            </w:r>
          </w:p>
        </w:tc>
        <w:tc>
          <w:tcPr>
            <w:tcW w:w="888" w:type="dxa"/>
            <w:tcBorders>
              <w:top w:val="nil"/>
              <w:left w:val="nil"/>
              <w:bottom w:val="single" w:sz="4" w:space="0" w:color="auto"/>
              <w:right w:val="single" w:sz="4" w:space="0" w:color="FFFFFF"/>
            </w:tcBorders>
            <w:shd w:val="clear" w:color="000000" w:fill="AF272F"/>
            <w:hideMark/>
          </w:tcPr>
          <w:p w14:paraId="1E71BE37"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 xml:space="preserve">Higher educated and skills </w:t>
            </w:r>
            <w:r w:rsidRPr="005734B8">
              <w:rPr>
                <w:rFonts w:ascii="Calibri" w:hAnsi="Calibri" w:cs="Calibri"/>
                <w:b/>
                <w:color w:val="FFFFFF"/>
                <w:sz w:val="16"/>
                <w:szCs w:val="16"/>
              </w:rPr>
              <w:br/>
              <w:t>($m)</w:t>
            </w:r>
          </w:p>
        </w:tc>
        <w:tc>
          <w:tcPr>
            <w:tcW w:w="873" w:type="dxa"/>
            <w:tcBorders>
              <w:top w:val="nil"/>
              <w:left w:val="nil"/>
              <w:bottom w:val="single" w:sz="4" w:space="0" w:color="auto"/>
              <w:right w:val="single" w:sz="4" w:space="0" w:color="FFFFFF"/>
            </w:tcBorders>
            <w:shd w:val="clear" w:color="000000" w:fill="AF272F"/>
            <w:hideMark/>
          </w:tcPr>
          <w:p w14:paraId="0C9B0E17"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 xml:space="preserve">Support services delivery </w:t>
            </w:r>
            <w:r w:rsidRPr="005734B8">
              <w:rPr>
                <w:rFonts w:ascii="Calibri" w:hAnsi="Calibri" w:cs="Calibri"/>
                <w:b/>
                <w:color w:val="FFFFFF"/>
                <w:sz w:val="16"/>
                <w:szCs w:val="16"/>
              </w:rPr>
              <w:br/>
              <w:t>($m)</w:t>
            </w:r>
          </w:p>
        </w:tc>
        <w:tc>
          <w:tcPr>
            <w:tcW w:w="873" w:type="dxa"/>
            <w:tcBorders>
              <w:top w:val="nil"/>
              <w:left w:val="nil"/>
              <w:bottom w:val="single" w:sz="4" w:space="0" w:color="auto"/>
              <w:right w:val="single" w:sz="4" w:space="0" w:color="FFFFFF"/>
            </w:tcBorders>
            <w:shd w:val="clear" w:color="000000" w:fill="AF272F"/>
            <w:hideMark/>
          </w:tcPr>
          <w:p w14:paraId="33782E1F"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Support for students with disabil-</w:t>
            </w:r>
            <w:r w:rsidRPr="005734B8">
              <w:rPr>
                <w:rFonts w:ascii="Calibri" w:hAnsi="Calibri" w:cs="Calibri"/>
                <w:b/>
                <w:color w:val="FFFFFF"/>
                <w:sz w:val="16"/>
                <w:szCs w:val="16"/>
              </w:rPr>
              <w:br/>
              <w:t xml:space="preserve">ities </w:t>
            </w:r>
            <w:r w:rsidRPr="005734B8">
              <w:rPr>
                <w:rFonts w:ascii="Calibri" w:hAnsi="Calibri" w:cs="Calibri"/>
                <w:b/>
                <w:color w:val="FFFFFF"/>
                <w:sz w:val="16"/>
                <w:szCs w:val="16"/>
              </w:rPr>
              <w:br/>
              <w:t>($m)</w:t>
            </w:r>
          </w:p>
        </w:tc>
        <w:tc>
          <w:tcPr>
            <w:tcW w:w="953" w:type="dxa"/>
            <w:tcBorders>
              <w:top w:val="nil"/>
              <w:left w:val="nil"/>
              <w:bottom w:val="single" w:sz="4" w:space="0" w:color="auto"/>
              <w:right w:val="single" w:sz="4" w:space="0" w:color="FFFFFF"/>
            </w:tcBorders>
            <w:shd w:val="clear" w:color="000000" w:fill="AF272F"/>
            <w:hideMark/>
          </w:tcPr>
          <w:p w14:paraId="248E23B8"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Depart-</w:t>
            </w:r>
            <w:r w:rsidRPr="005734B8">
              <w:rPr>
                <w:rFonts w:ascii="Calibri" w:hAnsi="Calibri" w:cs="Calibri"/>
                <w:b/>
                <w:color w:val="FFFFFF"/>
                <w:sz w:val="16"/>
                <w:szCs w:val="16"/>
              </w:rPr>
              <w:br/>
              <w:t xml:space="preserve">mental total </w:t>
            </w:r>
            <w:r w:rsidRPr="005734B8">
              <w:rPr>
                <w:rFonts w:ascii="Calibri" w:hAnsi="Calibri" w:cs="Calibri"/>
                <w:b/>
                <w:color w:val="FFFFFF"/>
                <w:sz w:val="16"/>
                <w:szCs w:val="16"/>
              </w:rPr>
              <w:br/>
              <w:t>($m)</w:t>
            </w:r>
          </w:p>
        </w:tc>
      </w:tr>
      <w:bookmarkEnd w:id="1391"/>
      <w:tr w:rsidR="00F06229" w:rsidRPr="005734B8" w14:paraId="25B5E625" w14:textId="77777777" w:rsidTr="000F48B1">
        <w:trPr>
          <w:trHeight w:val="198"/>
        </w:trPr>
        <w:tc>
          <w:tcPr>
            <w:tcW w:w="7625" w:type="dxa"/>
            <w:gridSpan w:val="8"/>
            <w:tcBorders>
              <w:top w:val="single" w:sz="4" w:space="0" w:color="auto"/>
              <w:left w:val="single" w:sz="4" w:space="0" w:color="FFFFFF"/>
              <w:bottom w:val="single" w:sz="4" w:space="0" w:color="auto"/>
              <w:right w:val="nil"/>
            </w:tcBorders>
            <w:shd w:val="clear" w:color="000000" w:fill="D9D9D9"/>
            <w:noWrap/>
            <w:vAlign w:val="center"/>
            <w:hideMark/>
          </w:tcPr>
          <w:p w14:paraId="374679A8" w14:textId="2CAD0291" w:rsidR="00F06229" w:rsidRPr="005734B8" w:rsidRDefault="008B7D7F" w:rsidP="000F48B1">
            <w:pPr>
              <w:rPr>
                <w:rFonts w:ascii="Calibri" w:hAnsi="Calibri" w:cs="Calibri"/>
                <w:b/>
                <w:sz w:val="16"/>
                <w:szCs w:val="16"/>
              </w:rPr>
            </w:pPr>
            <w:r w:rsidRPr="005734B8">
              <w:rPr>
                <w:rFonts w:ascii="Calibri" w:hAnsi="Calibri" w:cs="Calibri"/>
                <w:b/>
                <w:sz w:val="16"/>
                <w:szCs w:val="16"/>
              </w:rPr>
              <w:t>Revenue and i</w:t>
            </w:r>
            <w:r w:rsidR="00F06229" w:rsidRPr="005734B8">
              <w:rPr>
                <w:rFonts w:ascii="Calibri" w:hAnsi="Calibri" w:cs="Calibri"/>
                <w:b/>
                <w:sz w:val="16"/>
                <w:szCs w:val="16"/>
              </w:rPr>
              <w:t>ncome from transactions</w:t>
            </w:r>
          </w:p>
        </w:tc>
      </w:tr>
      <w:tr w:rsidR="00F06229" w:rsidRPr="005734B8" w14:paraId="675E16B1"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4E4AD130"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Output appropriations</w:t>
            </w:r>
          </w:p>
        </w:tc>
        <w:tc>
          <w:tcPr>
            <w:tcW w:w="810" w:type="dxa"/>
            <w:tcBorders>
              <w:top w:val="nil"/>
              <w:left w:val="nil"/>
              <w:bottom w:val="single" w:sz="4" w:space="0" w:color="auto"/>
              <w:right w:val="single" w:sz="4" w:space="0" w:color="FFFFFF"/>
            </w:tcBorders>
            <w:shd w:val="clear" w:color="FFFFFF" w:fill="FFFFFF"/>
            <w:noWrap/>
            <w:vAlign w:val="center"/>
            <w:hideMark/>
          </w:tcPr>
          <w:p w14:paraId="2747FDAC"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116.3 </w:t>
            </w:r>
          </w:p>
        </w:tc>
        <w:tc>
          <w:tcPr>
            <w:tcW w:w="835" w:type="dxa"/>
            <w:tcBorders>
              <w:top w:val="nil"/>
              <w:left w:val="nil"/>
              <w:bottom w:val="single" w:sz="4" w:space="0" w:color="auto"/>
              <w:right w:val="single" w:sz="4" w:space="0" w:color="FFFFFF"/>
            </w:tcBorders>
            <w:shd w:val="clear" w:color="FFFFFF" w:fill="FFFFFF"/>
            <w:noWrap/>
            <w:vAlign w:val="center"/>
            <w:hideMark/>
          </w:tcPr>
          <w:p w14:paraId="0FDB8428"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648.8 </w:t>
            </w:r>
          </w:p>
        </w:tc>
        <w:tc>
          <w:tcPr>
            <w:tcW w:w="898" w:type="dxa"/>
            <w:tcBorders>
              <w:top w:val="nil"/>
              <w:left w:val="nil"/>
              <w:bottom w:val="single" w:sz="4" w:space="0" w:color="auto"/>
              <w:right w:val="single" w:sz="4" w:space="0" w:color="FFFFFF"/>
            </w:tcBorders>
            <w:shd w:val="clear" w:color="FFFFFF" w:fill="FFFFFF"/>
            <w:noWrap/>
            <w:vAlign w:val="center"/>
            <w:hideMark/>
          </w:tcPr>
          <w:p w14:paraId="7369AFBF"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10,745.1 </w:t>
            </w:r>
          </w:p>
        </w:tc>
        <w:tc>
          <w:tcPr>
            <w:tcW w:w="888" w:type="dxa"/>
            <w:tcBorders>
              <w:top w:val="nil"/>
              <w:left w:val="nil"/>
              <w:bottom w:val="single" w:sz="4" w:space="0" w:color="auto"/>
              <w:right w:val="single" w:sz="4" w:space="0" w:color="FFFFFF"/>
            </w:tcBorders>
            <w:shd w:val="clear" w:color="FFFFFF" w:fill="FFFFFF"/>
            <w:noWrap/>
            <w:vAlign w:val="center"/>
            <w:hideMark/>
          </w:tcPr>
          <w:p w14:paraId="38881B96"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1,841.2 </w:t>
            </w:r>
          </w:p>
        </w:tc>
        <w:tc>
          <w:tcPr>
            <w:tcW w:w="873" w:type="dxa"/>
            <w:tcBorders>
              <w:top w:val="nil"/>
              <w:left w:val="nil"/>
              <w:bottom w:val="single" w:sz="4" w:space="0" w:color="auto"/>
              <w:right w:val="single" w:sz="4" w:space="0" w:color="FFFFFF"/>
            </w:tcBorders>
            <w:shd w:val="clear" w:color="FFFFFF" w:fill="FFFFFF"/>
            <w:noWrap/>
            <w:vAlign w:val="center"/>
            <w:hideMark/>
          </w:tcPr>
          <w:p w14:paraId="5897243B"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401.6 </w:t>
            </w:r>
          </w:p>
        </w:tc>
        <w:tc>
          <w:tcPr>
            <w:tcW w:w="873" w:type="dxa"/>
            <w:tcBorders>
              <w:top w:val="nil"/>
              <w:left w:val="nil"/>
              <w:bottom w:val="single" w:sz="4" w:space="0" w:color="auto"/>
              <w:right w:val="single" w:sz="4" w:space="0" w:color="FFFFFF"/>
            </w:tcBorders>
            <w:shd w:val="clear" w:color="FFFFFF" w:fill="FFFFFF"/>
            <w:noWrap/>
            <w:vAlign w:val="center"/>
            <w:hideMark/>
          </w:tcPr>
          <w:p w14:paraId="3955C400"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1,134.5 </w:t>
            </w:r>
          </w:p>
        </w:tc>
        <w:tc>
          <w:tcPr>
            <w:tcW w:w="953" w:type="dxa"/>
            <w:tcBorders>
              <w:top w:val="nil"/>
              <w:left w:val="nil"/>
              <w:bottom w:val="single" w:sz="4" w:space="0" w:color="auto"/>
              <w:right w:val="single" w:sz="4" w:space="0" w:color="FFFFFF"/>
            </w:tcBorders>
            <w:shd w:val="clear" w:color="FFFFFF" w:fill="FFFFFF"/>
            <w:noWrap/>
            <w:vAlign w:val="center"/>
            <w:hideMark/>
          </w:tcPr>
          <w:p w14:paraId="2A4D024D"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14,887.5 </w:t>
            </w:r>
          </w:p>
        </w:tc>
      </w:tr>
      <w:tr w:rsidR="00F06229" w:rsidRPr="005734B8" w14:paraId="2E258213"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1F997286"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Special appropriations</w:t>
            </w:r>
          </w:p>
        </w:tc>
        <w:tc>
          <w:tcPr>
            <w:tcW w:w="810" w:type="dxa"/>
            <w:tcBorders>
              <w:top w:val="nil"/>
              <w:left w:val="nil"/>
              <w:bottom w:val="single" w:sz="4" w:space="0" w:color="auto"/>
              <w:right w:val="single" w:sz="4" w:space="0" w:color="FFFFFF"/>
            </w:tcBorders>
            <w:shd w:val="clear" w:color="FFFFFF" w:fill="FFFFFF"/>
            <w:noWrap/>
            <w:vAlign w:val="center"/>
            <w:hideMark/>
          </w:tcPr>
          <w:p w14:paraId="5CCB3992" w14:textId="68CCDD3C"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35" w:type="dxa"/>
            <w:tcBorders>
              <w:top w:val="nil"/>
              <w:left w:val="nil"/>
              <w:bottom w:val="single" w:sz="4" w:space="0" w:color="auto"/>
              <w:right w:val="single" w:sz="4" w:space="0" w:color="FFFFFF"/>
            </w:tcBorders>
            <w:shd w:val="clear" w:color="FFFFFF" w:fill="FFFFFF"/>
            <w:noWrap/>
            <w:vAlign w:val="center"/>
            <w:hideMark/>
          </w:tcPr>
          <w:p w14:paraId="7B6C8D66" w14:textId="1D56C3FD"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98" w:type="dxa"/>
            <w:tcBorders>
              <w:top w:val="nil"/>
              <w:left w:val="nil"/>
              <w:bottom w:val="single" w:sz="4" w:space="0" w:color="auto"/>
              <w:right w:val="single" w:sz="4" w:space="0" w:color="FFFFFF"/>
            </w:tcBorders>
            <w:shd w:val="clear" w:color="FFFFFF" w:fill="FFFFFF"/>
            <w:noWrap/>
            <w:vAlign w:val="center"/>
            <w:hideMark/>
          </w:tcPr>
          <w:p w14:paraId="0E796976"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4.4 </w:t>
            </w:r>
          </w:p>
        </w:tc>
        <w:tc>
          <w:tcPr>
            <w:tcW w:w="888" w:type="dxa"/>
            <w:tcBorders>
              <w:top w:val="nil"/>
              <w:left w:val="nil"/>
              <w:bottom w:val="single" w:sz="4" w:space="0" w:color="auto"/>
              <w:right w:val="single" w:sz="4" w:space="0" w:color="FFFFFF"/>
            </w:tcBorders>
            <w:shd w:val="clear" w:color="FFFFFF" w:fill="FFFFFF"/>
            <w:noWrap/>
            <w:vAlign w:val="center"/>
            <w:hideMark/>
          </w:tcPr>
          <w:p w14:paraId="62CF7A74" w14:textId="2FA54FB0"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73" w:type="dxa"/>
            <w:tcBorders>
              <w:top w:val="nil"/>
              <w:left w:val="nil"/>
              <w:bottom w:val="single" w:sz="4" w:space="0" w:color="auto"/>
              <w:right w:val="single" w:sz="4" w:space="0" w:color="FFFFFF"/>
            </w:tcBorders>
            <w:shd w:val="clear" w:color="FFFFFF" w:fill="FFFFFF"/>
            <w:noWrap/>
            <w:vAlign w:val="center"/>
            <w:hideMark/>
          </w:tcPr>
          <w:p w14:paraId="4C99A2E2" w14:textId="2DA87ADE"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73" w:type="dxa"/>
            <w:tcBorders>
              <w:top w:val="nil"/>
              <w:left w:val="nil"/>
              <w:bottom w:val="single" w:sz="4" w:space="0" w:color="auto"/>
              <w:right w:val="single" w:sz="4" w:space="0" w:color="FFFFFF"/>
            </w:tcBorders>
            <w:shd w:val="clear" w:color="FFFFFF" w:fill="FFFFFF"/>
            <w:noWrap/>
            <w:vAlign w:val="center"/>
            <w:hideMark/>
          </w:tcPr>
          <w:p w14:paraId="3D0AA3C6"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3.6 </w:t>
            </w:r>
          </w:p>
        </w:tc>
        <w:tc>
          <w:tcPr>
            <w:tcW w:w="953" w:type="dxa"/>
            <w:tcBorders>
              <w:top w:val="nil"/>
              <w:left w:val="nil"/>
              <w:bottom w:val="single" w:sz="4" w:space="0" w:color="auto"/>
              <w:right w:val="single" w:sz="4" w:space="0" w:color="FFFFFF"/>
            </w:tcBorders>
            <w:shd w:val="clear" w:color="FFFFFF" w:fill="FFFFFF"/>
            <w:noWrap/>
            <w:vAlign w:val="center"/>
            <w:hideMark/>
          </w:tcPr>
          <w:p w14:paraId="5C39BD71"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8.0 </w:t>
            </w:r>
          </w:p>
        </w:tc>
      </w:tr>
      <w:tr w:rsidR="00F06229" w:rsidRPr="005734B8" w14:paraId="425B97D9"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6FFBED90"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Grants</w:t>
            </w:r>
          </w:p>
        </w:tc>
        <w:tc>
          <w:tcPr>
            <w:tcW w:w="810" w:type="dxa"/>
            <w:tcBorders>
              <w:top w:val="nil"/>
              <w:left w:val="nil"/>
              <w:bottom w:val="single" w:sz="4" w:space="0" w:color="auto"/>
              <w:right w:val="single" w:sz="4" w:space="0" w:color="FFFFFF"/>
            </w:tcBorders>
            <w:shd w:val="clear" w:color="FFFFFF" w:fill="FFFFFF"/>
            <w:noWrap/>
            <w:vAlign w:val="center"/>
            <w:hideMark/>
          </w:tcPr>
          <w:p w14:paraId="2ED5A546" w14:textId="673707BC"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35" w:type="dxa"/>
            <w:tcBorders>
              <w:top w:val="nil"/>
              <w:left w:val="nil"/>
              <w:bottom w:val="single" w:sz="4" w:space="0" w:color="auto"/>
              <w:right w:val="single" w:sz="4" w:space="0" w:color="FFFFFF"/>
            </w:tcBorders>
            <w:shd w:val="clear" w:color="FFFFFF" w:fill="FFFFFF"/>
            <w:noWrap/>
            <w:vAlign w:val="center"/>
            <w:hideMark/>
          </w:tcPr>
          <w:p w14:paraId="553240ED"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1.1 </w:t>
            </w:r>
          </w:p>
        </w:tc>
        <w:tc>
          <w:tcPr>
            <w:tcW w:w="898" w:type="dxa"/>
            <w:tcBorders>
              <w:top w:val="nil"/>
              <w:left w:val="nil"/>
              <w:bottom w:val="single" w:sz="4" w:space="0" w:color="auto"/>
              <w:right w:val="single" w:sz="4" w:space="0" w:color="FFFFFF"/>
            </w:tcBorders>
            <w:shd w:val="clear" w:color="FFFFFF" w:fill="FFFFFF"/>
            <w:noWrap/>
            <w:vAlign w:val="center"/>
            <w:hideMark/>
          </w:tcPr>
          <w:p w14:paraId="03F19D6B"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118.0 </w:t>
            </w:r>
          </w:p>
        </w:tc>
        <w:tc>
          <w:tcPr>
            <w:tcW w:w="888" w:type="dxa"/>
            <w:tcBorders>
              <w:top w:val="nil"/>
              <w:left w:val="nil"/>
              <w:bottom w:val="single" w:sz="4" w:space="0" w:color="auto"/>
              <w:right w:val="single" w:sz="4" w:space="0" w:color="FFFFFF"/>
            </w:tcBorders>
            <w:shd w:val="clear" w:color="FFFFFF" w:fill="FFFFFF"/>
            <w:noWrap/>
            <w:vAlign w:val="center"/>
            <w:hideMark/>
          </w:tcPr>
          <w:p w14:paraId="6730B2C3"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17.4 </w:t>
            </w:r>
          </w:p>
        </w:tc>
        <w:tc>
          <w:tcPr>
            <w:tcW w:w="873" w:type="dxa"/>
            <w:tcBorders>
              <w:top w:val="nil"/>
              <w:left w:val="nil"/>
              <w:bottom w:val="single" w:sz="4" w:space="0" w:color="auto"/>
              <w:right w:val="single" w:sz="4" w:space="0" w:color="FFFFFF"/>
            </w:tcBorders>
            <w:shd w:val="clear" w:color="FFFFFF" w:fill="FFFFFF"/>
            <w:noWrap/>
            <w:vAlign w:val="center"/>
            <w:hideMark/>
          </w:tcPr>
          <w:p w14:paraId="5246D913" w14:textId="7603C1C5"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73" w:type="dxa"/>
            <w:tcBorders>
              <w:top w:val="nil"/>
              <w:left w:val="nil"/>
              <w:bottom w:val="single" w:sz="4" w:space="0" w:color="auto"/>
              <w:right w:val="single" w:sz="4" w:space="0" w:color="FFFFFF"/>
            </w:tcBorders>
            <w:shd w:val="clear" w:color="FFFFFF" w:fill="FFFFFF"/>
            <w:noWrap/>
            <w:vAlign w:val="center"/>
            <w:hideMark/>
          </w:tcPr>
          <w:p w14:paraId="03029FDF" w14:textId="3682549F"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953" w:type="dxa"/>
            <w:tcBorders>
              <w:top w:val="nil"/>
              <w:left w:val="nil"/>
              <w:bottom w:val="single" w:sz="4" w:space="0" w:color="auto"/>
              <w:right w:val="single" w:sz="4" w:space="0" w:color="FFFFFF"/>
            </w:tcBorders>
            <w:shd w:val="clear" w:color="FFFFFF" w:fill="FFFFFF"/>
            <w:noWrap/>
            <w:vAlign w:val="center"/>
            <w:hideMark/>
          </w:tcPr>
          <w:p w14:paraId="16BBEC0E"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136.5 </w:t>
            </w:r>
          </w:p>
        </w:tc>
      </w:tr>
      <w:tr w:rsidR="00F06229" w:rsidRPr="005734B8" w14:paraId="12A407E9"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4EDD4A9B"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Sales of goods and services</w:t>
            </w:r>
          </w:p>
        </w:tc>
        <w:tc>
          <w:tcPr>
            <w:tcW w:w="810" w:type="dxa"/>
            <w:tcBorders>
              <w:top w:val="nil"/>
              <w:left w:val="nil"/>
              <w:bottom w:val="single" w:sz="4" w:space="0" w:color="auto"/>
              <w:right w:val="single" w:sz="4" w:space="0" w:color="FFFFFF"/>
            </w:tcBorders>
            <w:shd w:val="clear" w:color="FFFFFF" w:fill="FFFFFF"/>
            <w:noWrap/>
            <w:vAlign w:val="center"/>
            <w:hideMark/>
          </w:tcPr>
          <w:p w14:paraId="1A83EFEE" w14:textId="74846EA4"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35" w:type="dxa"/>
            <w:tcBorders>
              <w:top w:val="nil"/>
              <w:left w:val="nil"/>
              <w:bottom w:val="single" w:sz="4" w:space="0" w:color="auto"/>
              <w:right w:val="single" w:sz="4" w:space="0" w:color="FFFFFF"/>
            </w:tcBorders>
            <w:shd w:val="clear" w:color="FFFFFF" w:fill="FFFFFF"/>
            <w:noWrap/>
            <w:vAlign w:val="center"/>
            <w:hideMark/>
          </w:tcPr>
          <w:p w14:paraId="52984C36" w14:textId="46EB38B4"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98" w:type="dxa"/>
            <w:tcBorders>
              <w:top w:val="nil"/>
              <w:left w:val="nil"/>
              <w:bottom w:val="single" w:sz="4" w:space="0" w:color="auto"/>
              <w:right w:val="single" w:sz="4" w:space="0" w:color="FFFFFF"/>
            </w:tcBorders>
            <w:shd w:val="clear" w:color="FFFFFF" w:fill="FFFFFF"/>
            <w:noWrap/>
            <w:vAlign w:val="center"/>
            <w:hideMark/>
          </w:tcPr>
          <w:p w14:paraId="37B089C9"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279.9 </w:t>
            </w:r>
          </w:p>
        </w:tc>
        <w:tc>
          <w:tcPr>
            <w:tcW w:w="888" w:type="dxa"/>
            <w:tcBorders>
              <w:top w:val="nil"/>
              <w:left w:val="nil"/>
              <w:bottom w:val="single" w:sz="4" w:space="0" w:color="auto"/>
              <w:right w:val="single" w:sz="4" w:space="0" w:color="FFFFFF"/>
            </w:tcBorders>
            <w:shd w:val="clear" w:color="FFFFFF" w:fill="FFFFFF"/>
            <w:noWrap/>
            <w:vAlign w:val="center"/>
            <w:hideMark/>
          </w:tcPr>
          <w:p w14:paraId="0AA2B984" w14:textId="2A4EA3F0"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73" w:type="dxa"/>
            <w:tcBorders>
              <w:top w:val="nil"/>
              <w:left w:val="nil"/>
              <w:bottom w:val="single" w:sz="4" w:space="0" w:color="auto"/>
              <w:right w:val="single" w:sz="4" w:space="0" w:color="FFFFFF"/>
            </w:tcBorders>
            <w:shd w:val="clear" w:color="FFFFFF" w:fill="FFFFFF"/>
            <w:noWrap/>
            <w:vAlign w:val="center"/>
            <w:hideMark/>
          </w:tcPr>
          <w:p w14:paraId="1FB3BA19"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0.2 </w:t>
            </w:r>
          </w:p>
        </w:tc>
        <w:tc>
          <w:tcPr>
            <w:tcW w:w="873" w:type="dxa"/>
            <w:tcBorders>
              <w:top w:val="nil"/>
              <w:left w:val="nil"/>
              <w:bottom w:val="single" w:sz="4" w:space="0" w:color="auto"/>
              <w:right w:val="single" w:sz="4" w:space="0" w:color="FFFFFF"/>
            </w:tcBorders>
            <w:shd w:val="clear" w:color="FFFFFF" w:fill="FFFFFF"/>
            <w:noWrap/>
            <w:vAlign w:val="center"/>
            <w:hideMark/>
          </w:tcPr>
          <w:p w14:paraId="4CF70CF3" w14:textId="1D74AB43"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953" w:type="dxa"/>
            <w:tcBorders>
              <w:top w:val="nil"/>
              <w:left w:val="nil"/>
              <w:bottom w:val="single" w:sz="4" w:space="0" w:color="auto"/>
              <w:right w:val="single" w:sz="4" w:space="0" w:color="FFFFFF"/>
            </w:tcBorders>
            <w:shd w:val="clear" w:color="FFFFFF" w:fill="FFFFFF"/>
            <w:noWrap/>
            <w:vAlign w:val="center"/>
            <w:hideMark/>
          </w:tcPr>
          <w:p w14:paraId="3CB8A523"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280.1 </w:t>
            </w:r>
          </w:p>
        </w:tc>
      </w:tr>
      <w:tr w:rsidR="00F06229" w:rsidRPr="005734B8" w14:paraId="7B2E14A3"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39D0211B"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Other income</w:t>
            </w:r>
          </w:p>
        </w:tc>
        <w:tc>
          <w:tcPr>
            <w:tcW w:w="810" w:type="dxa"/>
            <w:tcBorders>
              <w:top w:val="nil"/>
              <w:left w:val="nil"/>
              <w:bottom w:val="single" w:sz="4" w:space="0" w:color="auto"/>
              <w:right w:val="single" w:sz="4" w:space="0" w:color="FFFFFF"/>
            </w:tcBorders>
            <w:shd w:val="clear" w:color="FFFFFF" w:fill="FFFFFF"/>
            <w:noWrap/>
            <w:vAlign w:val="center"/>
            <w:hideMark/>
          </w:tcPr>
          <w:p w14:paraId="0092C9C7" w14:textId="5D582079"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35" w:type="dxa"/>
            <w:tcBorders>
              <w:top w:val="nil"/>
              <w:left w:val="nil"/>
              <w:bottom w:val="single" w:sz="4" w:space="0" w:color="auto"/>
              <w:right w:val="single" w:sz="4" w:space="0" w:color="FFFFFF"/>
            </w:tcBorders>
            <w:shd w:val="clear" w:color="FFFFFF" w:fill="FFFFFF"/>
            <w:noWrap/>
            <w:vAlign w:val="center"/>
            <w:hideMark/>
          </w:tcPr>
          <w:p w14:paraId="1A5376EA" w14:textId="7E6B04AF"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98" w:type="dxa"/>
            <w:tcBorders>
              <w:top w:val="nil"/>
              <w:left w:val="nil"/>
              <w:bottom w:val="single" w:sz="4" w:space="0" w:color="auto"/>
              <w:right w:val="single" w:sz="4" w:space="0" w:color="FFFFFF"/>
            </w:tcBorders>
            <w:shd w:val="clear" w:color="FFFFFF" w:fill="FFFFFF"/>
            <w:noWrap/>
            <w:vAlign w:val="center"/>
            <w:hideMark/>
          </w:tcPr>
          <w:p w14:paraId="0F05BB84"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405.6 </w:t>
            </w:r>
          </w:p>
        </w:tc>
        <w:tc>
          <w:tcPr>
            <w:tcW w:w="888" w:type="dxa"/>
            <w:tcBorders>
              <w:top w:val="nil"/>
              <w:left w:val="nil"/>
              <w:bottom w:val="single" w:sz="4" w:space="0" w:color="auto"/>
              <w:right w:val="single" w:sz="4" w:space="0" w:color="FFFFFF"/>
            </w:tcBorders>
            <w:shd w:val="clear" w:color="FFFFFF" w:fill="FFFFFF"/>
            <w:noWrap/>
            <w:vAlign w:val="center"/>
            <w:hideMark/>
          </w:tcPr>
          <w:p w14:paraId="69F76106"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0.1 </w:t>
            </w:r>
          </w:p>
        </w:tc>
        <w:tc>
          <w:tcPr>
            <w:tcW w:w="873" w:type="dxa"/>
            <w:tcBorders>
              <w:top w:val="nil"/>
              <w:left w:val="nil"/>
              <w:bottom w:val="single" w:sz="4" w:space="0" w:color="auto"/>
              <w:right w:val="single" w:sz="4" w:space="0" w:color="FFFFFF"/>
            </w:tcBorders>
            <w:shd w:val="clear" w:color="FFFFFF" w:fill="FFFFFF"/>
            <w:noWrap/>
            <w:vAlign w:val="center"/>
            <w:hideMark/>
          </w:tcPr>
          <w:p w14:paraId="52520FDD" w14:textId="2B5BA3D5"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73" w:type="dxa"/>
            <w:tcBorders>
              <w:top w:val="nil"/>
              <w:left w:val="nil"/>
              <w:bottom w:val="single" w:sz="4" w:space="0" w:color="auto"/>
              <w:right w:val="single" w:sz="4" w:space="0" w:color="FFFFFF"/>
            </w:tcBorders>
            <w:shd w:val="clear" w:color="FFFFFF" w:fill="FFFFFF"/>
            <w:noWrap/>
            <w:vAlign w:val="center"/>
            <w:hideMark/>
          </w:tcPr>
          <w:p w14:paraId="31376A00"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0.1 </w:t>
            </w:r>
          </w:p>
        </w:tc>
        <w:tc>
          <w:tcPr>
            <w:tcW w:w="953" w:type="dxa"/>
            <w:tcBorders>
              <w:top w:val="nil"/>
              <w:left w:val="nil"/>
              <w:bottom w:val="single" w:sz="4" w:space="0" w:color="auto"/>
              <w:right w:val="single" w:sz="4" w:space="0" w:color="FFFFFF"/>
            </w:tcBorders>
            <w:shd w:val="clear" w:color="FFFFFF" w:fill="FFFFFF"/>
            <w:noWrap/>
            <w:vAlign w:val="center"/>
            <w:hideMark/>
          </w:tcPr>
          <w:p w14:paraId="35EA5E3D"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405.8 </w:t>
            </w:r>
          </w:p>
        </w:tc>
      </w:tr>
      <w:tr w:rsidR="00F06229" w:rsidRPr="005734B8" w14:paraId="5912D823" w14:textId="77777777" w:rsidTr="000F48B1">
        <w:trPr>
          <w:trHeight w:val="198"/>
        </w:trPr>
        <w:tc>
          <w:tcPr>
            <w:tcW w:w="1495"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1DAA02F" w14:textId="48129C7B" w:rsidR="00F06229" w:rsidRPr="005734B8" w:rsidRDefault="00F06229" w:rsidP="000F48B1">
            <w:pPr>
              <w:rPr>
                <w:rFonts w:ascii="Calibri" w:hAnsi="Calibri" w:cs="Calibri"/>
                <w:b/>
                <w:sz w:val="16"/>
                <w:szCs w:val="16"/>
              </w:rPr>
            </w:pPr>
            <w:r w:rsidRPr="005734B8">
              <w:rPr>
                <w:rFonts w:ascii="Calibri" w:hAnsi="Calibri" w:cs="Calibri"/>
                <w:b/>
                <w:sz w:val="16"/>
                <w:szCs w:val="16"/>
              </w:rPr>
              <w:t xml:space="preserve">Total </w:t>
            </w:r>
            <w:r w:rsidR="008B7D7F" w:rsidRPr="005734B8">
              <w:rPr>
                <w:rFonts w:ascii="Calibri" w:hAnsi="Calibri" w:cs="Calibri"/>
                <w:b/>
                <w:sz w:val="16"/>
                <w:szCs w:val="16"/>
              </w:rPr>
              <w:t>revenue and</w:t>
            </w:r>
            <w:r w:rsidRPr="005734B8">
              <w:rPr>
                <w:rFonts w:ascii="Calibri" w:hAnsi="Calibri" w:cs="Calibri"/>
                <w:b/>
                <w:sz w:val="16"/>
                <w:szCs w:val="16"/>
              </w:rPr>
              <w:t xml:space="preserve"> income from transactions</w:t>
            </w:r>
          </w:p>
        </w:tc>
        <w:tc>
          <w:tcPr>
            <w:tcW w:w="810" w:type="dxa"/>
            <w:tcBorders>
              <w:top w:val="single" w:sz="12" w:space="0" w:color="auto"/>
              <w:left w:val="nil"/>
              <w:bottom w:val="single" w:sz="12" w:space="0" w:color="auto"/>
              <w:right w:val="single" w:sz="12" w:space="0" w:color="FFFFFF"/>
            </w:tcBorders>
            <w:shd w:val="clear" w:color="FFFFFF" w:fill="FFFFFF"/>
            <w:noWrap/>
            <w:vAlign w:val="center"/>
            <w:hideMark/>
          </w:tcPr>
          <w:p w14:paraId="2B40055D"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116.3 </w:t>
            </w:r>
          </w:p>
        </w:tc>
        <w:tc>
          <w:tcPr>
            <w:tcW w:w="835" w:type="dxa"/>
            <w:tcBorders>
              <w:top w:val="single" w:sz="12" w:space="0" w:color="auto"/>
              <w:left w:val="nil"/>
              <w:bottom w:val="single" w:sz="12" w:space="0" w:color="auto"/>
              <w:right w:val="single" w:sz="12" w:space="0" w:color="FFFFFF"/>
            </w:tcBorders>
            <w:shd w:val="clear" w:color="FFFFFF" w:fill="FFFFFF"/>
            <w:noWrap/>
            <w:vAlign w:val="center"/>
            <w:hideMark/>
          </w:tcPr>
          <w:p w14:paraId="521A95E7"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649.9 </w:t>
            </w:r>
          </w:p>
        </w:tc>
        <w:tc>
          <w:tcPr>
            <w:tcW w:w="898" w:type="dxa"/>
            <w:tcBorders>
              <w:top w:val="single" w:sz="12" w:space="0" w:color="auto"/>
              <w:left w:val="nil"/>
              <w:bottom w:val="single" w:sz="12" w:space="0" w:color="auto"/>
              <w:right w:val="single" w:sz="12" w:space="0" w:color="FFFFFF"/>
            </w:tcBorders>
            <w:shd w:val="clear" w:color="FFFFFF" w:fill="FFFFFF"/>
            <w:noWrap/>
            <w:vAlign w:val="center"/>
            <w:hideMark/>
          </w:tcPr>
          <w:p w14:paraId="60F5A5F1"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11,553.0 </w:t>
            </w:r>
          </w:p>
        </w:tc>
        <w:tc>
          <w:tcPr>
            <w:tcW w:w="888" w:type="dxa"/>
            <w:tcBorders>
              <w:top w:val="single" w:sz="12" w:space="0" w:color="auto"/>
              <w:left w:val="nil"/>
              <w:bottom w:val="single" w:sz="12" w:space="0" w:color="auto"/>
              <w:right w:val="single" w:sz="12" w:space="0" w:color="FFFFFF"/>
            </w:tcBorders>
            <w:shd w:val="clear" w:color="FFFFFF" w:fill="FFFFFF"/>
            <w:noWrap/>
            <w:vAlign w:val="center"/>
            <w:hideMark/>
          </w:tcPr>
          <w:p w14:paraId="4AEC0563"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1,858.7 </w:t>
            </w:r>
          </w:p>
        </w:tc>
        <w:tc>
          <w:tcPr>
            <w:tcW w:w="873" w:type="dxa"/>
            <w:tcBorders>
              <w:top w:val="single" w:sz="12" w:space="0" w:color="auto"/>
              <w:left w:val="nil"/>
              <w:bottom w:val="single" w:sz="12" w:space="0" w:color="auto"/>
              <w:right w:val="single" w:sz="12" w:space="0" w:color="FFFFFF"/>
            </w:tcBorders>
            <w:shd w:val="clear" w:color="FFFFFF" w:fill="FFFFFF"/>
            <w:noWrap/>
            <w:vAlign w:val="center"/>
            <w:hideMark/>
          </w:tcPr>
          <w:p w14:paraId="5B9783F3"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401.8 </w:t>
            </w:r>
          </w:p>
        </w:tc>
        <w:tc>
          <w:tcPr>
            <w:tcW w:w="873" w:type="dxa"/>
            <w:tcBorders>
              <w:top w:val="single" w:sz="12" w:space="0" w:color="auto"/>
              <w:left w:val="nil"/>
              <w:bottom w:val="single" w:sz="12" w:space="0" w:color="auto"/>
              <w:right w:val="single" w:sz="12" w:space="0" w:color="FFFFFF"/>
            </w:tcBorders>
            <w:shd w:val="clear" w:color="FFFFFF" w:fill="FFFFFF"/>
            <w:noWrap/>
            <w:vAlign w:val="center"/>
            <w:hideMark/>
          </w:tcPr>
          <w:p w14:paraId="5EADEB13"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1,138.2 </w:t>
            </w:r>
          </w:p>
        </w:tc>
        <w:tc>
          <w:tcPr>
            <w:tcW w:w="953" w:type="dxa"/>
            <w:tcBorders>
              <w:top w:val="single" w:sz="12" w:space="0" w:color="auto"/>
              <w:left w:val="nil"/>
              <w:bottom w:val="single" w:sz="12" w:space="0" w:color="auto"/>
              <w:right w:val="single" w:sz="12" w:space="0" w:color="FFFFFF"/>
            </w:tcBorders>
            <w:shd w:val="clear" w:color="FFFFFF" w:fill="FFFFFF"/>
            <w:noWrap/>
            <w:vAlign w:val="center"/>
            <w:hideMark/>
          </w:tcPr>
          <w:p w14:paraId="51202406"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15,717.9 </w:t>
            </w:r>
          </w:p>
        </w:tc>
      </w:tr>
      <w:tr w:rsidR="00F06229" w:rsidRPr="005734B8" w14:paraId="260075CA" w14:textId="77777777" w:rsidTr="000F48B1">
        <w:trPr>
          <w:trHeight w:val="198"/>
        </w:trPr>
        <w:tc>
          <w:tcPr>
            <w:tcW w:w="7625" w:type="dxa"/>
            <w:gridSpan w:val="8"/>
            <w:tcBorders>
              <w:top w:val="single" w:sz="4" w:space="0" w:color="auto"/>
              <w:left w:val="single" w:sz="4" w:space="0" w:color="FFFFFF"/>
              <w:bottom w:val="single" w:sz="4" w:space="0" w:color="auto"/>
              <w:right w:val="nil"/>
            </w:tcBorders>
            <w:shd w:val="clear" w:color="000000" w:fill="D9D9D9"/>
            <w:noWrap/>
            <w:vAlign w:val="center"/>
            <w:hideMark/>
          </w:tcPr>
          <w:p w14:paraId="42FAAE60" w14:textId="77777777" w:rsidR="00F06229" w:rsidRPr="005734B8" w:rsidRDefault="00F06229" w:rsidP="000F48B1">
            <w:pPr>
              <w:rPr>
                <w:rFonts w:ascii="Calibri" w:hAnsi="Calibri" w:cs="Calibri"/>
                <w:b/>
                <w:sz w:val="16"/>
                <w:szCs w:val="16"/>
              </w:rPr>
            </w:pPr>
            <w:r w:rsidRPr="005734B8">
              <w:rPr>
                <w:rFonts w:ascii="Calibri" w:hAnsi="Calibri" w:cs="Calibri"/>
                <w:b/>
                <w:sz w:val="16"/>
                <w:szCs w:val="16"/>
              </w:rPr>
              <w:t>Expenses from transactions</w:t>
            </w:r>
          </w:p>
        </w:tc>
      </w:tr>
      <w:tr w:rsidR="00F06229" w:rsidRPr="005734B8" w14:paraId="6AED3FD4"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7AB382D9"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Employee expenses</w:t>
            </w:r>
          </w:p>
        </w:tc>
        <w:tc>
          <w:tcPr>
            <w:tcW w:w="810" w:type="dxa"/>
            <w:tcBorders>
              <w:top w:val="nil"/>
              <w:left w:val="nil"/>
              <w:bottom w:val="single" w:sz="4" w:space="0" w:color="auto"/>
              <w:right w:val="single" w:sz="4" w:space="0" w:color="FFFFFF"/>
            </w:tcBorders>
            <w:shd w:val="clear" w:color="FFFFFF" w:fill="FFFFFF"/>
            <w:noWrap/>
            <w:vAlign w:val="center"/>
            <w:hideMark/>
          </w:tcPr>
          <w:p w14:paraId="53AFAF13"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(62.3) </w:t>
            </w:r>
          </w:p>
        </w:tc>
        <w:tc>
          <w:tcPr>
            <w:tcW w:w="835" w:type="dxa"/>
            <w:tcBorders>
              <w:top w:val="nil"/>
              <w:left w:val="nil"/>
              <w:bottom w:val="single" w:sz="4" w:space="0" w:color="auto"/>
              <w:right w:val="single" w:sz="4" w:space="0" w:color="FFFFFF"/>
            </w:tcBorders>
            <w:shd w:val="clear" w:color="FFFFFF" w:fill="FFFFFF"/>
            <w:noWrap/>
            <w:vAlign w:val="center"/>
            <w:hideMark/>
          </w:tcPr>
          <w:p w14:paraId="15DC49A4"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(66.4) </w:t>
            </w:r>
          </w:p>
        </w:tc>
        <w:tc>
          <w:tcPr>
            <w:tcW w:w="898" w:type="dxa"/>
            <w:tcBorders>
              <w:top w:val="nil"/>
              <w:left w:val="nil"/>
              <w:bottom w:val="single" w:sz="4" w:space="0" w:color="auto"/>
              <w:right w:val="single" w:sz="4" w:space="0" w:color="FFFFFF"/>
            </w:tcBorders>
            <w:shd w:val="clear" w:color="FFFFFF" w:fill="FFFFFF"/>
            <w:noWrap/>
            <w:vAlign w:val="center"/>
            <w:hideMark/>
          </w:tcPr>
          <w:p w14:paraId="3F01D4F9"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(6,186.5) </w:t>
            </w:r>
          </w:p>
        </w:tc>
        <w:tc>
          <w:tcPr>
            <w:tcW w:w="888" w:type="dxa"/>
            <w:tcBorders>
              <w:top w:val="nil"/>
              <w:left w:val="nil"/>
              <w:bottom w:val="single" w:sz="4" w:space="0" w:color="auto"/>
              <w:right w:val="single" w:sz="4" w:space="0" w:color="FFFFFF"/>
            </w:tcBorders>
            <w:shd w:val="clear" w:color="FFFFFF" w:fill="FFFFFF"/>
            <w:noWrap/>
            <w:vAlign w:val="center"/>
            <w:hideMark/>
          </w:tcPr>
          <w:p w14:paraId="4454175E"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(57.2) </w:t>
            </w:r>
          </w:p>
        </w:tc>
        <w:tc>
          <w:tcPr>
            <w:tcW w:w="873" w:type="dxa"/>
            <w:tcBorders>
              <w:top w:val="nil"/>
              <w:left w:val="nil"/>
              <w:bottom w:val="single" w:sz="4" w:space="0" w:color="auto"/>
              <w:right w:val="single" w:sz="4" w:space="0" w:color="FFFFFF"/>
            </w:tcBorders>
            <w:shd w:val="clear" w:color="FFFFFF" w:fill="FFFFFF"/>
            <w:noWrap/>
            <w:vAlign w:val="center"/>
            <w:hideMark/>
          </w:tcPr>
          <w:p w14:paraId="691152DA"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(223.9) </w:t>
            </w:r>
          </w:p>
        </w:tc>
        <w:tc>
          <w:tcPr>
            <w:tcW w:w="873" w:type="dxa"/>
            <w:tcBorders>
              <w:top w:val="nil"/>
              <w:left w:val="nil"/>
              <w:bottom w:val="single" w:sz="4" w:space="0" w:color="auto"/>
              <w:right w:val="single" w:sz="4" w:space="0" w:color="FFFFFF"/>
            </w:tcBorders>
            <w:shd w:val="clear" w:color="FFFFFF" w:fill="FFFFFF"/>
            <w:noWrap/>
            <w:vAlign w:val="center"/>
            <w:hideMark/>
          </w:tcPr>
          <w:p w14:paraId="58A47000"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(905.6) </w:t>
            </w:r>
          </w:p>
        </w:tc>
        <w:tc>
          <w:tcPr>
            <w:tcW w:w="953" w:type="dxa"/>
            <w:tcBorders>
              <w:top w:val="nil"/>
              <w:left w:val="nil"/>
              <w:bottom w:val="single" w:sz="4" w:space="0" w:color="auto"/>
              <w:right w:val="single" w:sz="4" w:space="0" w:color="FFFFFF"/>
            </w:tcBorders>
            <w:shd w:val="clear" w:color="FFFFFF" w:fill="FFFFFF"/>
            <w:noWrap/>
            <w:vAlign w:val="center"/>
            <w:hideMark/>
          </w:tcPr>
          <w:p w14:paraId="3769A50A"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(7,501.9) </w:t>
            </w:r>
          </w:p>
        </w:tc>
      </w:tr>
      <w:tr w:rsidR="00F06229" w:rsidRPr="005734B8" w14:paraId="633B1E3F"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2AB6A7FF"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interest expense</w:t>
            </w:r>
          </w:p>
        </w:tc>
        <w:tc>
          <w:tcPr>
            <w:tcW w:w="810" w:type="dxa"/>
            <w:tcBorders>
              <w:top w:val="nil"/>
              <w:left w:val="nil"/>
              <w:bottom w:val="single" w:sz="4" w:space="0" w:color="auto"/>
              <w:right w:val="single" w:sz="4" w:space="0" w:color="FFFFFF"/>
            </w:tcBorders>
            <w:shd w:val="clear" w:color="FFFFFF" w:fill="FFFFFF"/>
            <w:noWrap/>
            <w:vAlign w:val="center"/>
            <w:hideMark/>
          </w:tcPr>
          <w:p w14:paraId="3C579E67" w14:textId="0EEDB2E2"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35" w:type="dxa"/>
            <w:tcBorders>
              <w:top w:val="nil"/>
              <w:left w:val="nil"/>
              <w:bottom w:val="single" w:sz="4" w:space="0" w:color="auto"/>
              <w:right w:val="single" w:sz="4" w:space="0" w:color="FFFFFF"/>
            </w:tcBorders>
            <w:shd w:val="clear" w:color="FFFFFF" w:fill="FFFFFF"/>
            <w:noWrap/>
            <w:vAlign w:val="center"/>
            <w:hideMark/>
          </w:tcPr>
          <w:p w14:paraId="0864BB2D" w14:textId="670EB4E7"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98" w:type="dxa"/>
            <w:tcBorders>
              <w:top w:val="nil"/>
              <w:left w:val="nil"/>
              <w:bottom w:val="single" w:sz="4" w:space="0" w:color="auto"/>
              <w:right w:val="single" w:sz="4" w:space="0" w:color="FFFFFF"/>
            </w:tcBorders>
            <w:shd w:val="clear" w:color="FFFFFF" w:fill="FFFFFF"/>
            <w:noWrap/>
            <w:vAlign w:val="center"/>
            <w:hideMark/>
          </w:tcPr>
          <w:p w14:paraId="1B6D5417"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(30.3) </w:t>
            </w:r>
          </w:p>
        </w:tc>
        <w:tc>
          <w:tcPr>
            <w:tcW w:w="888" w:type="dxa"/>
            <w:tcBorders>
              <w:top w:val="nil"/>
              <w:left w:val="nil"/>
              <w:bottom w:val="single" w:sz="4" w:space="0" w:color="auto"/>
              <w:right w:val="single" w:sz="4" w:space="0" w:color="FFFFFF"/>
            </w:tcBorders>
            <w:shd w:val="clear" w:color="FFFFFF" w:fill="FFFFFF"/>
            <w:noWrap/>
            <w:vAlign w:val="center"/>
            <w:hideMark/>
          </w:tcPr>
          <w:p w14:paraId="4C3FA64F" w14:textId="086D4D86"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73" w:type="dxa"/>
            <w:tcBorders>
              <w:top w:val="nil"/>
              <w:left w:val="nil"/>
              <w:bottom w:val="single" w:sz="4" w:space="0" w:color="auto"/>
              <w:right w:val="single" w:sz="4" w:space="0" w:color="FFFFFF"/>
            </w:tcBorders>
            <w:shd w:val="clear" w:color="FFFFFF" w:fill="FFFFFF"/>
            <w:noWrap/>
            <w:vAlign w:val="center"/>
            <w:hideMark/>
          </w:tcPr>
          <w:p w14:paraId="40DC0821" w14:textId="14E8DDA1"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73" w:type="dxa"/>
            <w:tcBorders>
              <w:top w:val="nil"/>
              <w:left w:val="nil"/>
              <w:bottom w:val="single" w:sz="4" w:space="0" w:color="auto"/>
              <w:right w:val="single" w:sz="4" w:space="0" w:color="FFFFFF"/>
            </w:tcBorders>
            <w:shd w:val="clear" w:color="FFFFFF" w:fill="FFFFFF"/>
            <w:noWrap/>
            <w:vAlign w:val="center"/>
            <w:hideMark/>
          </w:tcPr>
          <w:p w14:paraId="5430B540" w14:textId="2B8377A2"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953" w:type="dxa"/>
            <w:tcBorders>
              <w:top w:val="nil"/>
              <w:left w:val="nil"/>
              <w:bottom w:val="single" w:sz="4" w:space="0" w:color="auto"/>
              <w:right w:val="single" w:sz="4" w:space="0" w:color="FFFFFF"/>
            </w:tcBorders>
            <w:shd w:val="clear" w:color="FFFFFF" w:fill="FFFFFF"/>
            <w:noWrap/>
            <w:vAlign w:val="center"/>
            <w:hideMark/>
          </w:tcPr>
          <w:p w14:paraId="6BA63B3A"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(30.3) </w:t>
            </w:r>
          </w:p>
        </w:tc>
      </w:tr>
      <w:tr w:rsidR="00F06229" w:rsidRPr="005734B8" w14:paraId="152C0D77"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6E045297"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Depreciation and amortisation</w:t>
            </w:r>
          </w:p>
        </w:tc>
        <w:tc>
          <w:tcPr>
            <w:tcW w:w="810" w:type="dxa"/>
            <w:tcBorders>
              <w:top w:val="nil"/>
              <w:left w:val="nil"/>
              <w:bottom w:val="single" w:sz="4" w:space="0" w:color="auto"/>
              <w:right w:val="single" w:sz="4" w:space="0" w:color="FFFFFF"/>
            </w:tcBorders>
            <w:shd w:val="clear" w:color="FFFFFF" w:fill="FFFFFF"/>
            <w:noWrap/>
            <w:vAlign w:val="center"/>
            <w:hideMark/>
          </w:tcPr>
          <w:p w14:paraId="36E166CA"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(7.3) </w:t>
            </w:r>
          </w:p>
        </w:tc>
        <w:tc>
          <w:tcPr>
            <w:tcW w:w="835" w:type="dxa"/>
            <w:tcBorders>
              <w:top w:val="nil"/>
              <w:left w:val="nil"/>
              <w:bottom w:val="single" w:sz="4" w:space="0" w:color="auto"/>
              <w:right w:val="single" w:sz="4" w:space="0" w:color="FFFFFF"/>
            </w:tcBorders>
            <w:shd w:val="clear" w:color="FFFFFF" w:fill="FFFFFF"/>
            <w:noWrap/>
            <w:vAlign w:val="center"/>
            <w:hideMark/>
          </w:tcPr>
          <w:p w14:paraId="003117A6"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(9.4) </w:t>
            </w:r>
          </w:p>
        </w:tc>
        <w:tc>
          <w:tcPr>
            <w:tcW w:w="898" w:type="dxa"/>
            <w:tcBorders>
              <w:top w:val="nil"/>
              <w:left w:val="nil"/>
              <w:bottom w:val="single" w:sz="4" w:space="0" w:color="auto"/>
              <w:right w:val="single" w:sz="4" w:space="0" w:color="FFFFFF"/>
            </w:tcBorders>
            <w:shd w:val="clear" w:color="FFFFFF" w:fill="FFFFFF"/>
            <w:noWrap/>
            <w:vAlign w:val="center"/>
            <w:hideMark/>
          </w:tcPr>
          <w:p w14:paraId="7664DA9F"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(401.2) </w:t>
            </w:r>
          </w:p>
        </w:tc>
        <w:tc>
          <w:tcPr>
            <w:tcW w:w="888" w:type="dxa"/>
            <w:tcBorders>
              <w:top w:val="nil"/>
              <w:left w:val="nil"/>
              <w:bottom w:val="single" w:sz="4" w:space="0" w:color="auto"/>
              <w:right w:val="single" w:sz="4" w:space="0" w:color="FFFFFF"/>
            </w:tcBorders>
            <w:shd w:val="clear" w:color="FFFFFF" w:fill="FFFFFF"/>
            <w:noWrap/>
            <w:vAlign w:val="center"/>
            <w:hideMark/>
          </w:tcPr>
          <w:p w14:paraId="1624031F"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(4.4) </w:t>
            </w:r>
          </w:p>
        </w:tc>
        <w:tc>
          <w:tcPr>
            <w:tcW w:w="873" w:type="dxa"/>
            <w:tcBorders>
              <w:top w:val="nil"/>
              <w:left w:val="nil"/>
              <w:bottom w:val="single" w:sz="4" w:space="0" w:color="auto"/>
              <w:right w:val="single" w:sz="4" w:space="0" w:color="FFFFFF"/>
            </w:tcBorders>
            <w:shd w:val="clear" w:color="FFFFFF" w:fill="FFFFFF"/>
            <w:noWrap/>
            <w:vAlign w:val="center"/>
            <w:hideMark/>
          </w:tcPr>
          <w:p w14:paraId="7E9879C6"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(3.0) </w:t>
            </w:r>
          </w:p>
        </w:tc>
        <w:tc>
          <w:tcPr>
            <w:tcW w:w="873" w:type="dxa"/>
            <w:tcBorders>
              <w:top w:val="nil"/>
              <w:left w:val="nil"/>
              <w:bottom w:val="single" w:sz="4" w:space="0" w:color="auto"/>
              <w:right w:val="single" w:sz="4" w:space="0" w:color="FFFFFF"/>
            </w:tcBorders>
            <w:shd w:val="clear" w:color="FFFFFF" w:fill="FFFFFF"/>
            <w:noWrap/>
            <w:vAlign w:val="center"/>
            <w:hideMark/>
          </w:tcPr>
          <w:p w14:paraId="3A84A601"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(18.9) </w:t>
            </w:r>
          </w:p>
        </w:tc>
        <w:tc>
          <w:tcPr>
            <w:tcW w:w="953" w:type="dxa"/>
            <w:tcBorders>
              <w:top w:val="nil"/>
              <w:left w:val="nil"/>
              <w:bottom w:val="single" w:sz="4" w:space="0" w:color="auto"/>
              <w:right w:val="single" w:sz="4" w:space="0" w:color="FFFFFF"/>
            </w:tcBorders>
            <w:shd w:val="clear" w:color="FFFFFF" w:fill="FFFFFF"/>
            <w:noWrap/>
            <w:vAlign w:val="center"/>
            <w:hideMark/>
          </w:tcPr>
          <w:p w14:paraId="0DE13E9F"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(444.2) </w:t>
            </w:r>
          </w:p>
        </w:tc>
      </w:tr>
      <w:tr w:rsidR="00F06229" w:rsidRPr="005734B8" w14:paraId="39B3F77F"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560D4E71"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Grants and other payments</w:t>
            </w:r>
          </w:p>
        </w:tc>
        <w:tc>
          <w:tcPr>
            <w:tcW w:w="810" w:type="dxa"/>
            <w:tcBorders>
              <w:top w:val="nil"/>
              <w:left w:val="nil"/>
              <w:bottom w:val="single" w:sz="4" w:space="0" w:color="auto"/>
              <w:right w:val="single" w:sz="4" w:space="0" w:color="FFFFFF"/>
            </w:tcBorders>
            <w:shd w:val="clear" w:color="FFFFFF" w:fill="FFFFFF"/>
            <w:noWrap/>
            <w:vAlign w:val="center"/>
            <w:hideMark/>
          </w:tcPr>
          <w:p w14:paraId="57873870"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(26.2) </w:t>
            </w:r>
          </w:p>
        </w:tc>
        <w:tc>
          <w:tcPr>
            <w:tcW w:w="835" w:type="dxa"/>
            <w:tcBorders>
              <w:top w:val="nil"/>
              <w:left w:val="nil"/>
              <w:bottom w:val="single" w:sz="4" w:space="0" w:color="auto"/>
              <w:right w:val="single" w:sz="4" w:space="0" w:color="FFFFFF"/>
            </w:tcBorders>
            <w:shd w:val="clear" w:color="FFFFFF" w:fill="FFFFFF"/>
            <w:noWrap/>
            <w:vAlign w:val="center"/>
            <w:hideMark/>
          </w:tcPr>
          <w:p w14:paraId="798D1666"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(4.5) </w:t>
            </w:r>
          </w:p>
        </w:tc>
        <w:tc>
          <w:tcPr>
            <w:tcW w:w="898" w:type="dxa"/>
            <w:tcBorders>
              <w:top w:val="nil"/>
              <w:left w:val="nil"/>
              <w:bottom w:val="single" w:sz="4" w:space="0" w:color="auto"/>
              <w:right w:val="single" w:sz="4" w:space="0" w:color="FFFFFF"/>
            </w:tcBorders>
            <w:shd w:val="clear" w:color="FFFFFF" w:fill="FFFFFF"/>
            <w:noWrap/>
            <w:vAlign w:val="center"/>
            <w:hideMark/>
          </w:tcPr>
          <w:p w14:paraId="34A12E9B"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(1,011.8) </w:t>
            </w:r>
          </w:p>
        </w:tc>
        <w:tc>
          <w:tcPr>
            <w:tcW w:w="888" w:type="dxa"/>
            <w:tcBorders>
              <w:top w:val="nil"/>
              <w:left w:val="nil"/>
              <w:bottom w:val="single" w:sz="4" w:space="0" w:color="auto"/>
              <w:right w:val="single" w:sz="4" w:space="0" w:color="FFFFFF"/>
            </w:tcBorders>
            <w:shd w:val="clear" w:color="FFFFFF" w:fill="FFFFFF"/>
            <w:noWrap/>
            <w:vAlign w:val="center"/>
            <w:hideMark/>
          </w:tcPr>
          <w:p w14:paraId="2685CB59"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(1,051.8) </w:t>
            </w:r>
          </w:p>
        </w:tc>
        <w:tc>
          <w:tcPr>
            <w:tcW w:w="873" w:type="dxa"/>
            <w:tcBorders>
              <w:top w:val="nil"/>
              <w:left w:val="nil"/>
              <w:bottom w:val="single" w:sz="4" w:space="0" w:color="auto"/>
              <w:right w:val="single" w:sz="4" w:space="0" w:color="FFFFFF"/>
            </w:tcBorders>
            <w:shd w:val="clear" w:color="FFFFFF" w:fill="FFFFFF"/>
            <w:noWrap/>
            <w:vAlign w:val="center"/>
            <w:hideMark/>
          </w:tcPr>
          <w:p w14:paraId="75D6E368"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(112.9) </w:t>
            </w:r>
          </w:p>
        </w:tc>
        <w:tc>
          <w:tcPr>
            <w:tcW w:w="873" w:type="dxa"/>
            <w:tcBorders>
              <w:top w:val="nil"/>
              <w:left w:val="nil"/>
              <w:bottom w:val="single" w:sz="4" w:space="0" w:color="auto"/>
              <w:right w:val="single" w:sz="4" w:space="0" w:color="FFFFFF"/>
            </w:tcBorders>
            <w:shd w:val="clear" w:color="FFFFFF" w:fill="FFFFFF"/>
            <w:noWrap/>
            <w:vAlign w:val="center"/>
            <w:hideMark/>
          </w:tcPr>
          <w:p w14:paraId="4FDEF0F6"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(5.7) </w:t>
            </w:r>
          </w:p>
        </w:tc>
        <w:tc>
          <w:tcPr>
            <w:tcW w:w="953" w:type="dxa"/>
            <w:tcBorders>
              <w:top w:val="nil"/>
              <w:left w:val="nil"/>
              <w:bottom w:val="single" w:sz="4" w:space="0" w:color="auto"/>
              <w:right w:val="single" w:sz="4" w:space="0" w:color="FFFFFF"/>
            </w:tcBorders>
            <w:shd w:val="clear" w:color="FFFFFF" w:fill="FFFFFF"/>
            <w:noWrap/>
            <w:vAlign w:val="center"/>
            <w:hideMark/>
          </w:tcPr>
          <w:p w14:paraId="36CEE1AA"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(2,212.9) </w:t>
            </w:r>
          </w:p>
        </w:tc>
      </w:tr>
      <w:tr w:rsidR="00F06229" w:rsidRPr="005734B8" w14:paraId="1297B420"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482A9A94"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Capital asset charge</w:t>
            </w:r>
          </w:p>
        </w:tc>
        <w:tc>
          <w:tcPr>
            <w:tcW w:w="810" w:type="dxa"/>
            <w:tcBorders>
              <w:top w:val="nil"/>
              <w:left w:val="nil"/>
              <w:bottom w:val="single" w:sz="4" w:space="0" w:color="auto"/>
              <w:right w:val="single" w:sz="4" w:space="0" w:color="FFFFFF"/>
            </w:tcBorders>
            <w:shd w:val="clear" w:color="FFFFFF" w:fill="FFFFFF"/>
            <w:noWrap/>
            <w:vAlign w:val="center"/>
            <w:hideMark/>
          </w:tcPr>
          <w:p w14:paraId="2578F8A2"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(0.7) </w:t>
            </w:r>
          </w:p>
        </w:tc>
        <w:tc>
          <w:tcPr>
            <w:tcW w:w="835" w:type="dxa"/>
            <w:tcBorders>
              <w:top w:val="nil"/>
              <w:left w:val="nil"/>
              <w:bottom w:val="single" w:sz="4" w:space="0" w:color="auto"/>
              <w:right w:val="single" w:sz="4" w:space="0" w:color="FFFFFF"/>
            </w:tcBorders>
            <w:shd w:val="clear" w:color="FFFFFF" w:fill="FFFFFF"/>
            <w:noWrap/>
            <w:vAlign w:val="center"/>
            <w:hideMark/>
          </w:tcPr>
          <w:p w14:paraId="2CE722AA"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(14.5) </w:t>
            </w:r>
          </w:p>
        </w:tc>
        <w:tc>
          <w:tcPr>
            <w:tcW w:w="898" w:type="dxa"/>
            <w:tcBorders>
              <w:top w:val="nil"/>
              <w:left w:val="nil"/>
              <w:bottom w:val="single" w:sz="4" w:space="0" w:color="auto"/>
              <w:right w:val="single" w:sz="4" w:space="0" w:color="FFFFFF"/>
            </w:tcBorders>
            <w:shd w:val="clear" w:color="FFFFFF" w:fill="FFFFFF"/>
            <w:noWrap/>
            <w:vAlign w:val="center"/>
            <w:hideMark/>
          </w:tcPr>
          <w:p w14:paraId="3A2995FF"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(1,662.3) </w:t>
            </w:r>
          </w:p>
        </w:tc>
        <w:tc>
          <w:tcPr>
            <w:tcW w:w="888" w:type="dxa"/>
            <w:tcBorders>
              <w:top w:val="nil"/>
              <w:left w:val="nil"/>
              <w:bottom w:val="single" w:sz="4" w:space="0" w:color="auto"/>
              <w:right w:val="single" w:sz="4" w:space="0" w:color="FFFFFF"/>
            </w:tcBorders>
            <w:shd w:val="clear" w:color="FFFFFF" w:fill="FFFFFF"/>
            <w:noWrap/>
            <w:vAlign w:val="center"/>
            <w:hideMark/>
          </w:tcPr>
          <w:p w14:paraId="686C20FD"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(216.7) </w:t>
            </w:r>
          </w:p>
        </w:tc>
        <w:tc>
          <w:tcPr>
            <w:tcW w:w="873" w:type="dxa"/>
            <w:tcBorders>
              <w:top w:val="nil"/>
              <w:left w:val="nil"/>
              <w:bottom w:val="single" w:sz="4" w:space="0" w:color="auto"/>
              <w:right w:val="single" w:sz="4" w:space="0" w:color="FFFFFF"/>
            </w:tcBorders>
            <w:shd w:val="clear" w:color="FFFFFF" w:fill="FFFFFF"/>
            <w:noWrap/>
            <w:vAlign w:val="center"/>
            <w:hideMark/>
          </w:tcPr>
          <w:p w14:paraId="173A8372"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(0.3) </w:t>
            </w:r>
          </w:p>
        </w:tc>
        <w:tc>
          <w:tcPr>
            <w:tcW w:w="873" w:type="dxa"/>
            <w:tcBorders>
              <w:top w:val="nil"/>
              <w:left w:val="nil"/>
              <w:bottom w:val="single" w:sz="4" w:space="0" w:color="auto"/>
              <w:right w:val="single" w:sz="4" w:space="0" w:color="FFFFFF"/>
            </w:tcBorders>
            <w:shd w:val="clear" w:color="FFFFFF" w:fill="FFFFFF"/>
            <w:noWrap/>
            <w:vAlign w:val="center"/>
            <w:hideMark/>
          </w:tcPr>
          <w:p w14:paraId="3AD177B8"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(69.3) </w:t>
            </w:r>
          </w:p>
        </w:tc>
        <w:tc>
          <w:tcPr>
            <w:tcW w:w="953" w:type="dxa"/>
            <w:tcBorders>
              <w:top w:val="nil"/>
              <w:left w:val="nil"/>
              <w:bottom w:val="single" w:sz="4" w:space="0" w:color="auto"/>
              <w:right w:val="single" w:sz="4" w:space="0" w:color="FFFFFF"/>
            </w:tcBorders>
            <w:shd w:val="clear" w:color="FFFFFF" w:fill="FFFFFF"/>
            <w:noWrap/>
            <w:vAlign w:val="center"/>
            <w:hideMark/>
          </w:tcPr>
          <w:p w14:paraId="10EA9661"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(1,963.8) </w:t>
            </w:r>
          </w:p>
        </w:tc>
      </w:tr>
      <w:tr w:rsidR="00F06229" w:rsidRPr="005734B8" w14:paraId="487EE87E"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60E5DB88"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Other operating expenses</w:t>
            </w:r>
          </w:p>
        </w:tc>
        <w:tc>
          <w:tcPr>
            <w:tcW w:w="810" w:type="dxa"/>
            <w:tcBorders>
              <w:top w:val="nil"/>
              <w:left w:val="nil"/>
              <w:bottom w:val="single" w:sz="4" w:space="0" w:color="auto"/>
              <w:right w:val="single" w:sz="4" w:space="0" w:color="FFFFFF"/>
            </w:tcBorders>
            <w:shd w:val="clear" w:color="FFFFFF" w:fill="FFFFFF"/>
            <w:noWrap/>
            <w:vAlign w:val="center"/>
            <w:hideMark/>
          </w:tcPr>
          <w:p w14:paraId="6D23DB2D"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(19.8) </w:t>
            </w:r>
          </w:p>
        </w:tc>
        <w:tc>
          <w:tcPr>
            <w:tcW w:w="835" w:type="dxa"/>
            <w:tcBorders>
              <w:top w:val="nil"/>
              <w:left w:val="nil"/>
              <w:bottom w:val="single" w:sz="4" w:space="0" w:color="auto"/>
              <w:right w:val="single" w:sz="4" w:space="0" w:color="FFFFFF"/>
            </w:tcBorders>
            <w:shd w:val="clear" w:color="FFFFFF" w:fill="FFFFFF"/>
            <w:noWrap/>
            <w:vAlign w:val="center"/>
            <w:hideMark/>
          </w:tcPr>
          <w:p w14:paraId="139C4755"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(555.1) </w:t>
            </w:r>
          </w:p>
        </w:tc>
        <w:tc>
          <w:tcPr>
            <w:tcW w:w="898" w:type="dxa"/>
            <w:tcBorders>
              <w:top w:val="nil"/>
              <w:left w:val="nil"/>
              <w:bottom w:val="single" w:sz="4" w:space="0" w:color="auto"/>
              <w:right w:val="single" w:sz="4" w:space="0" w:color="FFFFFF"/>
            </w:tcBorders>
            <w:shd w:val="clear" w:color="FFFFFF" w:fill="FFFFFF"/>
            <w:noWrap/>
            <w:vAlign w:val="center"/>
            <w:hideMark/>
          </w:tcPr>
          <w:p w14:paraId="6D6956A0"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(1,686.4) </w:t>
            </w:r>
          </w:p>
        </w:tc>
        <w:tc>
          <w:tcPr>
            <w:tcW w:w="888" w:type="dxa"/>
            <w:tcBorders>
              <w:top w:val="nil"/>
              <w:left w:val="nil"/>
              <w:bottom w:val="single" w:sz="4" w:space="0" w:color="auto"/>
              <w:right w:val="single" w:sz="4" w:space="0" w:color="FFFFFF"/>
            </w:tcBorders>
            <w:shd w:val="clear" w:color="FFFFFF" w:fill="FFFFFF"/>
            <w:noWrap/>
            <w:vAlign w:val="center"/>
            <w:hideMark/>
          </w:tcPr>
          <w:p w14:paraId="7D2D34A7"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(503.3) </w:t>
            </w:r>
          </w:p>
        </w:tc>
        <w:tc>
          <w:tcPr>
            <w:tcW w:w="873" w:type="dxa"/>
            <w:tcBorders>
              <w:top w:val="nil"/>
              <w:left w:val="nil"/>
              <w:bottom w:val="single" w:sz="4" w:space="0" w:color="auto"/>
              <w:right w:val="single" w:sz="4" w:space="0" w:color="FFFFFF"/>
            </w:tcBorders>
            <w:shd w:val="clear" w:color="FFFFFF" w:fill="FFFFFF"/>
            <w:noWrap/>
            <w:vAlign w:val="center"/>
            <w:hideMark/>
          </w:tcPr>
          <w:p w14:paraId="4A49E6AD"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(61.7) </w:t>
            </w:r>
          </w:p>
        </w:tc>
        <w:tc>
          <w:tcPr>
            <w:tcW w:w="873" w:type="dxa"/>
            <w:tcBorders>
              <w:top w:val="nil"/>
              <w:left w:val="nil"/>
              <w:bottom w:val="single" w:sz="4" w:space="0" w:color="auto"/>
              <w:right w:val="single" w:sz="4" w:space="0" w:color="FFFFFF"/>
            </w:tcBorders>
            <w:shd w:val="clear" w:color="FFFFFF" w:fill="FFFFFF"/>
            <w:noWrap/>
            <w:vAlign w:val="center"/>
            <w:hideMark/>
          </w:tcPr>
          <w:p w14:paraId="10234601"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(138.7) </w:t>
            </w:r>
          </w:p>
        </w:tc>
        <w:tc>
          <w:tcPr>
            <w:tcW w:w="953" w:type="dxa"/>
            <w:tcBorders>
              <w:top w:val="nil"/>
              <w:left w:val="nil"/>
              <w:bottom w:val="single" w:sz="4" w:space="0" w:color="auto"/>
              <w:right w:val="single" w:sz="4" w:space="0" w:color="FFFFFF"/>
            </w:tcBorders>
            <w:shd w:val="clear" w:color="FFFFFF" w:fill="FFFFFF"/>
            <w:noWrap/>
            <w:vAlign w:val="center"/>
            <w:hideMark/>
          </w:tcPr>
          <w:p w14:paraId="34414EF5"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(2,965.0) </w:t>
            </w:r>
          </w:p>
        </w:tc>
      </w:tr>
      <w:tr w:rsidR="00F06229" w:rsidRPr="005734B8" w14:paraId="27569E6C" w14:textId="77777777" w:rsidTr="000F48B1">
        <w:trPr>
          <w:trHeight w:val="198"/>
        </w:trPr>
        <w:tc>
          <w:tcPr>
            <w:tcW w:w="1495"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7A9FB4C" w14:textId="77777777" w:rsidR="00F06229" w:rsidRPr="005734B8" w:rsidRDefault="00F06229" w:rsidP="000F48B1">
            <w:pPr>
              <w:rPr>
                <w:rFonts w:ascii="Calibri" w:hAnsi="Calibri" w:cs="Calibri"/>
                <w:b/>
                <w:sz w:val="16"/>
                <w:szCs w:val="16"/>
              </w:rPr>
            </w:pPr>
            <w:r w:rsidRPr="005734B8">
              <w:rPr>
                <w:rFonts w:ascii="Calibri" w:hAnsi="Calibri" w:cs="Calibri"/>
                <w:b/>
                <w:sz w:val="16"/>
                <w:szCs w:val="16"/>
              </w:rPr>
              <w:t>Total expenses from transactions</w:t>
            </w:r>
          </w:p>
        </w:tc>
        <w:tc>
          <w:tcPr>
            <w:tcW w:w="810" w:type="dxa"/>
            <w:tcBorders>
              <w:top w:val="single" w:sz="12" w:space="0" w:color="auto"/>
              <w:left w:val="nil"/>
              <w:bottom w:val="single" w:sz="12" w:space="0" w:color="auto"/>
              <w:right w:val="single" w:sz="12" w:space="0" w:color="FFFFFF"/>
            </w:tcBorders>
            <w:shd w:val="clear" w:color="FFFFFF" w:fill="FFFFFF"/>
            <w:noWrap/>
            <w:vAlign w:val="center"/>
            <w:hideMark/>
          </w:tcPr>
          <w:p w14:paraId="5F1A5E10"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(116.3) </w:t>
            </w:r>
          </w:p>
        </w:tc>
        <w:tc>
          <w:tcPr>
            <w:tcW w:w="835" w:type="dxa"/>
            <w:tcBorders>
              <w:top w:val="single" w:sz="12" w:space="0" w:color="auto"/>
              <w:left w:val="nil"/>
              <w:bottom w:val="single" w:sz="12" w:space="0" w:color="auto"/>
              <w:right w:val="single" w:sz="12" w:space="0" w:color="FFFFFF"/>
            </w:tcBorders>
            <w:shd w:val="clear" w:color="FFFFFF" w:fill="FFFFFF"/>
            <w:noWrap/>
            <w:vAlign w:val="center"/>
            <w:hideMark/>
          </w:tcPr>
          <w:p w14:paraId="11976248"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(649.9) </w:t>
            </w:r>
          </w:p>
        </w:tc>
        <w:tc>
          <w:tcPr>
            <w:tcW w:w="898" w:type="dxa"/>
            <w:tcBorders>
              <w:top w:val="single" w:sz="12" w:space="0" w:color="auto"/>
              <w:left w:val="nil"/>
              <w:bottom w:val="single" w:sz="12" w:space="0" w:color="auto"/>
              <w:right w:val="single" w:sz="12" w:space="0" w:color="FFFFFF"/>
            </w:tcBorders>
            <w:shd w:val="clear" w:color="FFFFFF" w:fill="FFFFFF"/>
            <w:noWrap/>
            <w:vAlign w:val="center"/>
            <w:hideMark/>
          </w:tcPr>
          <w:p w14:paraId="77A22F28"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(10,978.5) </w:t>
            </w:r>
          </w:p>
        </w:tc>
        <w:tc>
          <w:tcPr>
            <w:tcW w:w="888" w:type="dxa"/>
            <w:tcBorders>
              <w:top w:val="single" w:sz="12" w:space="0" w:color="auto"/>
              <w:left w:val="nil"/>
              <w:bottom w:val="single" w:sz="12" w:space="0" w:color="auto"/>
              <w:right w:val="single" w:sz="12" w:space="0" w:color="FFFFFF"/>
            </w:tcBorders>
            <w:shd w:val="clear" w:color="FFFFFF" w:fill="FFFFFF"/>
            <w:noWrap/>
            <w:vAlign w:val="center"/>
            <w:hideMark/>
          </w:tcPr>
          <w:p w14:paraId="23F80AEB"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(1,833.4) </w:t>
            </w:r>
          </w:p>
        </w:tc>
        <w:tc>
          <w:tcPr>
            <w:tcW w:w="873" w:type="dxa"/>
            <w:tcBorders>
              <w:top w:val="single" w:sz="12" w:space="0" w:color="auto"/>
              <w:left w:val="nil"/>
              <w:bottom w:val="single" w:sz="12" w:space="0" w:color="auto"/>
              <w:right w:val="single" w:sz="12" w:space="0" w:color="FFFFFF"/>
            </w:tcBorders>
            <w:shd w:val="clear" w:color="FFFFFF" w:fill="FFFFFF"/>
            <w:noWrap/>
            <w:vAlign w:val="center"/>
            <w:hideMark/>
          </w:tcPr>
          <w:p w14:paraId="7DC796BC"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(401.8) </w:t>
            </w:r>
          </w:p>
        </w:tc>
        <w:tc>
          <w:tcPr>
            <w:tcW w:w="873" w:type="dxa"/>
            <w:tcBorders>
              <w:top w:val="single" w:sz="12" w:space="0" w:color="auto"/>
              <w:left w:val="nil"/>
              <w:bottom w:val="single" w:sz="12" w:space="0" w:color="auto"/>
              <w:right w:val="single" w:sz="12" w:space="0" w:color="FFFFFF"/>
            </w:tcBorders>
            <w:shd w:val="clear" w:color="FFFFFF" w:fill="FFFFFF"/>
            <w:noWrap/>
            <w:vAlign w:val="center"/>
            <w:hideMark/>
          </w:tcPr>
          <w:p w14:paraId="6CEEA16E"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(1,138.2) </w:t>
            </w:r>
          </w:p>
        </w:tc>
        <w:tc>
          <w:tcPr>
            <w:tcW w:w="953" w:type="dxa"/>
            <w:tcBorders>
              <w:top w:val="single" w:sz="12" w:space="0" w:color="auto"/>
              <w:left w:val="nil"/>
              <w:bottom w:val="single" w:sz="12" w:space="0" w:color="auto"/>
              <w:right w:val="single" w:sz="12" w:space="0" w:color="FFFFFF"/>
            </w:tcBorders>
            <w:shd w:val="clear" w:color="FFFFFF" w:fill="FFFFFF"/>
            <w:noWrap/>
            <w:vAlign w:val="center"/>
            <w:hideMark/>
          </w:tcPr>
          <w:p w14:paraId="19B3F1F9"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(15,118.1) </w:t>
            </w:r>
          </w:p>
        </w:tc>
      </w:tr>
      <w:tr w:rsidR="00F06229" w:rsidRPr="005734B8" w14:paraId="12C830D8" w14:textId="77777777" w:rsidTr="000F48B1">
        <w:trPr>
          <w:trHeight w:val="198"/>
        </w:trPr>
        <w:tc>
          <w:tcPr>
            <w:tcW w:w="1495" w:type="dxa"/>
            <w:tcBorders>
              <w:top w:val="nil"/>
              <w:left w:val="single" w:sz="12" w:space="0" w:color="FFFFFF"/>
              <w:bottom w:val="single" w:sz="12" w:space="0" w:color="auto"/>
              <w:right w:val="single" w:sz="12" w:space="0" w:color="FFFFFF"/>
            </w:tcBorders>
            <w:shd w:val="clear" w:color="FFFFFF" w:fill="FFFFFF"/>
            <w:vAlign w:val="center"/>
            <w:hideMark/>
          </w:tcPr>
          <w:p w14:paraId="41085B38" w14:textId="77777777" w:rsidR="00F06229" w:rsidRPr="005734B8" w:rsidRDefault="00F06229" w:rsidP="000F48B1">
            <w:pPr>
              <w:rPr>
                <w:rFonts w:ascii="Calibri" w:hAnsi="Calibri" w:cs="Calibri"/>
                <w:b/>
                <w:sz w:val="16"/>
                <w:szCs w:val="16"/>
              </w:rPr>
            </w:pPr>
            <w:r w:rsidRPr="005734B8">
              <w:rPr>
                <w:rFonts w:ascii="Calibri" w:hAnsi="Calibri" w:cs="Calibri"/>
                <w:b/>
                <w:sz w:val="16"/>
                <w:szCs w:val="16"/>
              </w:rPr>
              <w:t>Net result from transactions (net operating balance)</w:t>
            </w:r>
          </w:p>
        </w:tc>
        <w:tc>
          <w:tcPr>
            <w:tcW w:w="810" w:type="dxa"/>
            <w:tcBorders>
              <w:top w:val="nil"/>
              <w:left w:val="nil"/>
              <w:bottom w:val="single" w:sz="12" w:space="0" w:color="auto"/>
              <w:right w:val="single" w:sz="12" w:space="0" w:color="FFFFFF"/>
            </w:tcBorders>
            <w:shd w:val="clear" w:color="FFFFFF" w:fill="FFFFFF"/>
            <w:noWrap/>
            <w:vAlign w:val="center"/>
            <w:hideMark/>
          </w:tcPr>
          <w:p w14:paraId="78A03FD8" w14:textId="40B51301" w:rsidR="00F06229" w:rsidRPr="005734B8" w:rsidRDefault="006C14DE" w:rsidP="000F48B1">
            <w:pPr>
              <w:jc w:val="right"/>
              <w:rPr>
                <w:rFonts w:ascii="Calibri" w:hAnsi="Calibri" w:cs="Calibri"/>
                <w:b/>
                <w:sz w:val="16"/>
                <w:szCs w:val="16"/>
              </w:rPr>
            </w:pPr>
            <w:r w:rsidRPr="005734B8">
              <w:rPr>
                <w:rFonts w:ascii="Calibri" w:hAnsi="Calibri" w:cs="Calibri"/>
                <w:b/>
                <w:sz w:val="16"/>
                <w:szCs w:val="16"/>
              </w:rPr>
              <w:t>–</w:t>
            </w:r>
          </w:p>
        </w:tc>
        <w:tc>
          <w:tcPr>
            <w:tcW w:w="835" w:type="dxa"/>
            <w:tcBorders>
              <w:top w:val="nil"/>
              <w:left w:val="nil"/>
              <w:bottom w:val="single" w:sz="12" w:space="0" w:color="auto"/>
              <w:right w:val="single" w:sz="12" w:space="0" w:color="FFFFFF"/>
            </w:tcBorders>
            <w:shd w:val="clear" w:color="FFFFFF" w:fill="FFFFFF"/>
            <w:noWrap/>
            <w:vAlign w:val="center"/>
            <w:hideMark/>
          </w:tcPr>
          <w:p w14:paraId="36BE2CC4" w14:textId="05401BBE" w:rsidR="00F06229" w:rsidRPr="005734B8" w:rsidRDefault="006C14DE" w:rsidP="000F48B1">
            <w:pPr>
              <w:jc w:val="right"/>
              <w:rPr>
                <w:rFonts w:ascii="Calibri" w:hAnsi="Calibri" w:cs="Calibri"/>
                <w:b/>
                <w:sz w:val="16"/>
                <w:szCs w:val="16"/>
              </w:rPr>
            </w:pPr>
            <w:r w:rsidRPr="005734B8">
              <w:rPr>
                <w:rFonts w:ascii="Calibri" w:hAnsi="Calibri" w:cs="Calibri"/>
                <w:b/>
                <w:sz w:val="16"/>
                <w:szCs w:val="16"/>
              </w:rPr>
              <w:t>–</w:t>
            </w:r>
          </w:p>
        </w:tc>
        <w:tc>
          <w:tcPr>
            <w:tcW w:w="898" w:type="dxa"/>
            <w:tcBorders>
              <w:top w:val="nil"/>
              <w:left w:val="nil"/>
              <w:bottom w:val="single" w:sz="12" w:space="0" w:color="auto"/>
              <w:right w:val="single" w:sz="12" w:space="0" w:color="FFFFFF"/>
            </w:tcBorders>
            <w:shd w:val="clear" w:color="FFFFFF" w:fill="FFFFFF"/>
            <w:noWrap/>
            <w:vAlign w:val="center"/>
            <w:hideMark/>
          </w:tcPr>
          <w:p w14:paraId="38C8393D"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574.5 </w:t>
            </w:r>
          </w:p>
        </w:tc>
        <w:tc>
          <w:tcPr>
            <w:tcW w:w="888" w:type="dxa"/>
            <w:tcBorders>
              <w:top w:val="nil"/>
              <w:left w:val="nil"/>
              <w:bottom w:val="single" w:sz="12" w:space="0" w:color="auto"/>
              <w:right w:val="single" w:sz="12" w:space="0" w:color="FFFFFF"/>
            </w:tcBorders>
            <w:shd w:val="clear" w:color="FFFFFF" w:fill="FFFFFF"/>
            <w:noWrap/>
            <w:vAlign w:val="center"/>
            <w:hideMark/>
          </w:tcPr>
          <w:p w14:paraId="7448B16C"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25.3 </w:t>
            </w:r>
          </w:p>
        </w:tc>
        <w:tc>
          <w:tcPr>
            <w:tcW w:w="873" w:type="dxa"/>
            <w:tcBorders>
              <w:top w:val="nil"/>
              <w:left w:val="nil"/>
              <w:bottom w:val="single" w:sz="12" w:space="0" w:color="auto"/>
              <w:right w:val="single" w:sz="12" w:space="0" w:color="FFFFFF"/>
            </w:tcBorders>
            <w:shd w:val="clear" w:color="FFFFFF" w:fill="FFFFFF"/>
            <w:noWrap/>
            <w:vAlign w:val="center"/>
            <w:hideMark/>
          </w:tcPr>
          <w:p w14:paraId="23CB7B64" w14:textId="22210F42" w:rsidR="00F06229" w:rsidRPr="005734B8" w:rsidRDefault="006C14DE" w:rsidP="000F48B1">
            <w:pPr>
              <w:jc w:val="right"/>
              <w:rPr>
                <w:rFonts w:ascii="Calibri" w:hAnsi="Calibri" w:cs="Calibri"/>
                <w:b/>
                <w:sz w:val="16"/>
                <w:szCs w:val="16"/>
              </w:rPr>
            </w:pPr>
            <w:r w:rsidRPr="005734B8">
              <w:rPr>
                <w:rFonts w:ascii="Calibri" w:hAnsi="Calibri" w:cs="Calibri"/>
                <w:b/>
                <w:sz w:val="16"/>
                <w:szCs w:val="16"/>
              </w:rPr>
              <w:t>–</w:t>
            </w:r>
          </w:p>
        </w:tc>
        <w:tc>
          <w:tcPr>
            <w:tcW w:w="873" w:type="dxa"/>
            <w:tcBorders>
              <w:top w:val="nil"/>
              <w:left w:val="nil"/>
              <w:bottom w:val="single" w:sz="12" w:space="0" w:color="auto"/>
              <w:right w:val="single" w:sz="12" w:space="0" w:color="FFFFFF"/>
            </w:tcBorders>
            <w:shd w:val="clear" w:color="FFFFFF" w:fill="FFFFFF"/>
            <w:noWrap/>
            <w:vAlign w:val="center"/>
            <w:hideMark/>
          </w:tcPr>
          <w:p w14:paraId="5049683F" w14:textId="35E3C65A" w:rsidR="00F06229" w:rsidRPr="005734B8" w:rsidRDefault="006C14DE" w:rsidP="000F48B1">
            <w:pPr>
              <w:jc w:val="right"/>
              <w:rPr>
                <w:rFonts w:ascii="Calibri" w:hAnsi="Calibri" w:cs="Calibri"/>
                <w:b/>
                <w:sz w:val="16"/>
                <w:szCs w:val="16"/>
              </w:rPr>
            </w:pPr>
            <w:r w:rsidRPr="005734B8">
              <w:rPr>
                <w:rFonts w:ascii="Calibri" w:hAnsi="Calibri" w:cs="Calibri"/>
                <w:b/>
                <w:sz w:val="16"/>
                <w:szCs w:val="16"/>
              </w:rPr>
              <w:t>–</w:t>
            </w:r>
          </w:p>
        </w:tc>
        <w:tc>
          <w:tcPr>
            <w:tcW w:w="953" w:type="dxa"/>
            <w:tcBorders>
              <w:top w:val="nil"/>
              <w:left w:val="nil"/>
              <w:bottom w:val="single" w:sz="12" w:space="0" w:color="auto"/>
              <w:right w:val="single" w:sz="12" w:space="0" w:color="FFFFFF"/>
            </w:tcBorders>
            <w:shd w:val="clear" w:color="FFFFFF" w:fill="FFFFFF"/>
            <w:noWrap/>
            <w:vAlign w:val="center"/>
            <w:hideMark/>
          </w:tcPr>
          <w:p w14:paraId="2B310637"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599.8 </w:t>
            </w:r>
          </w:p>
        </w:tc>
      </w:tr>
      <w:tr w:rsidR="00F06229" w:rsidRPr="005734B8" w14:paraId="05499760" w14:textId="77777777" w:rsidTr="000F48B1">
        <w:trPr>
          <w:trHeight w:val="198"/>
        </w:trPr>
        <w:tc>
          <w:tcPr>
            <w:tcW w:w="7625" w:type="dxa"/>
            <w:gridSpan w:val="8"/>
            <w:tcBorders>
              <w:top w:val="single" w:sz="4" w:space="0" w:color="auto"/>
              <w:left w:val="single" w:sz="4" w:space="0" w:color="FFFFFF"/>
              <w:bottom w:val="single" w:sz="4" w:space="0" w:color="auto"/>
              <w:right w:val="nil"/>
            </w:tcBorders>
            <w:shd w:val="clear" w:color="000000" w:fill="D9D9D9"/>
            <w:noWrap/>
            <w:vAlign w:val="center"/>
            <w:hideMark/>
          </w:tcPr>
          <w:p w14:paraId="25067F2D" w14:textId="77777777" w:rsidR="00F06229" w:rsidRPr="005734B8" w:rsidRDefault="00F06229" w:rsidP="000F48B1">
            <w:pPr>
              <w:rPr>
                <w:rFonts w:ascii="Calibri" w:hAnsi="Calibri" w:cs="Calibri"/>
                <w:b/>
                <w:sz w:val="16"/>
                <w:szCs w:val="16"/>
              </w:rPr>
            </w:pPr>
            <w:r w:rsidRPr="005734B8">
              <w:rPr>
                <w:rFonts w:ascii="Calibri" w:hAnsi="Calibri" w:cs="Calibri"/>
                <w:b/>
                <w:sz w:val="16"/>
                <w:szCs w:val="16"/>
              </w:rPr>
              <w:t>Other economic flows included in net results</w:t>
            </w:r>
          </w:p>
        </w:tc>
      </w:tr>
      <w:tr w:rsidR="00F06229" w:rsidRPr="005734B8" w14:paraId="3D41DEC3"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7340EFED"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Net gain/(loss) on non-financial assets</w:t>
            </w:r>
          </w:p>
        </w:tc>
        <w:tc>
          <w:tcPr>
            <w:tcW w:w="810" w:type="dxa"/>
            <w:tcBorders>
              <w:top w:val="nil"/>
              <w:left w:val="nil"/>
              <w:bottom w:val="single" w:sz="4" w:space="0" w:color="auto"/>
              <w:right w:val="single" w:sz="4" w:space="0" w:color="FFFFFF"/>
            </w:tcBorders>
            <w:shd w:val="clear" w:color="FFFFFF" w:fill="FFFFFF"/>
            <w:noWrap/>
            <w:vAlign w:val="center"/>
            <w:hideMark/>
          </w:tcPr>
          <w:p w14:paraId="1D413DD4" w14:textId="5F65C638"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35" w:type="dxa"/>
            <w:tcBorders>
              <w:top w:val="nil"/>
              <w:left w:val="nil"/>
              <w:bottom w:val="single" w:sz="4" w:space="0" w:color="auto"/>
              <w:right w:val="single" w:sz="4" w:space="0" w:color="FFFFFF"/>
            </w:tcBorders>
            <w:shd w:val="clear" w:color="FFFFFF" w:fill="FFFFFF"/>
            <w:noWrap/>
            <w:vAlign w:val="center"/>
            <w:hideMark/>
          </w:tcPr>
          <w:p w14:paraId="6AEDA2B0" w14:textId="5FD33930"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98" w:type="dxa"/>
            <w:tcBorders>
              <w:top w:val="nil"/>
              <w:left w:val="nil"/>
              <w:bottom w:val="single" w:sz="4" w:space="0" w:color="auto"/>
              <w:right w:val="single" w:sz="4" w:space="0" w:color="FFFFFF"/>
            </w:tcBorders>
            <w:shd w:val="clear" w:color="FFFFFF" w:fill="FFFFFF"/>
            <w:noWrap/>
            <w:vAlign w:val="center"/>
            <w:hideMark/>
          </w:tcPr>
          <w:p w14:paraId="39872E60"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(3.2) </w:t>
            </w:r>
          </w:p>
        </w:tc>
        <w:tc>
          <w:tcPr>
            <w:tcW w:w="888" w:type="dxa"/>
            <w:tcBorders>
              <w:top w:val="nil"/>
              <w:left w:val="nil"/>
              <w:bottom w:val="single" w:sz="4" w:space="0" w:color="auto"/>
              <w:right w:val="single" w:sz="4" w:space="0" w:color="FFFFFF"/>
            </w:tcBorders>
            <w:shd w:val="clear" w:color="FFFFFF" w:fill="FFFFFF"/>
            <w:noWrap/>
            <w:vAlign w:val="center"/>
            <w:hideMark/>
          </w:tcPr>
          <w:p w14:paraId="120AFD35" w14:textId="713D875A"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73" w:type="dxa"/>
            <w:tcBorders>
              <w:top w:val="nil"/>
              <w:left w:val="nil"/>
              <w:bottom w:val="single" w:sz="4" w:space="0" w:color="auto"/>
              <w:right w:val="single" w:sz="4" w:space="0" w:color="FFFFFF"/>
            </w:tcBorders>
            <w:shd w:val="clear" w:color="FFFFFF" w:fill="FFFFFF"/>
            <w:noWrap/>
            <w:vAlign w:val="center"/>
            <w:hideMark/>
          </w:tcPr>
          <w:p w14:paraId="4AA0960C" w14:textId="6F6468FE"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73" w:type="dxa"/>
            <w:tcBorders>
              <w:top w:val="nil"/>
              <w:left w:val="nil"/>
              <w:bottom w:val="single" w:sz="4" w:space="0" w:color="auto"/>
              <w:right w:val="single" w:sz="4" w:space="0" w:color="FFFFFF"/>
            </w:tcBorders>
            <w:shd w:val="clear" w:color="FFFFFF" w:fill="FFFFFF"/>
            <w:noWrap/>
            <w:vAlign w:val="center"/>
            <w:hideMark/>
          </w:tcPr>
          <w:p w14:paraId="0DA92241"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(0.3) </w:t>
            </w:r>
          </w:p>
        </w:tc>
        <w:tc>
          <w:tcPr>
            <w:tcW w:w="953" w:type="dxa"/>
            <w:tcBorders>
              <w:top w:val="nil"/>
              <w:left w:val="nil"/>
              <w:bottom w:val="single" w:sz="4" w:space="0" w:color="auto"/>
              <w:right w:val="single" w:sz="4" w:space="0" w:color="FFFFFF"/>
            </w:tcBorders>
            <w:shd w:val="clear" w:color="FFFFFF" w:fill="FFFFFF"/>
            <w:noWrap/>
            <w:vAlign w:val="center"/>
            <w:hideMark/>
          </w:tcPr>
          <w:p w14:paraId="2C93CD90"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(3.5) </w:t>
            </w:r>
          </w:p>
        </w:tc>
      </w:tr>
      <w:tr w:rsidR="00F06229" w:rsidRPr="005734B8" w14:paraId="3A3DD5DD"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4D2C7120"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Other gains/(losses) from other economic flows</w:t>
            </w:r>
          </w:p>
        </w:tc>
        <w:tc>
          <w:tcPr>
            <w:tcW w:w="810" w:type="dxa"/>
            <w:tcBorders>
              <w:top w:val="nil"/>
              <w:left w:val="nil"/>
              <w:bottom w:val="single" w:sz="4" w:space="0" w:color="auto"/>
              <w:right w:val="single" w:sz="4" w:space="0" w:color="FFFFFF"/>
            </w:tcBorders>
            <w:shd w:val="clear" w:color="FFFFFF" w:fill="FFFFFF"/>
            <w:noWrap/>
            <w:vAlign w:val="center"/>
            <w:hideMark/>
          </w:tcPr>
          <w:p w14:paraId="3CFCBD7B"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(0.3) </w:t>
            </w:r>
          </w:p>
        </w:tc>
        <w:tc>
          <w:tcPr>
            <w:tcW w:w="835" w:type="dxa"/>
            <w:tcBorders>
              <w:top w:val="nil"/>
              <w:left w:val="nil"/>
              <w:bottom w:val="single" w:sz="4" w:space="0" w:color="auto"/>
              <w:right w:val="single" w:sz="4" w:space="0" w:color="FFFFFF"/>
            </w:tcBorders>
            <w:shd w:val="clear" w:color="FFFFFF" w:fill="FFFFFF"/>
            <w:noWrap/>
            <w:vAlign w:val="center"/>
            <w:hideMark/>
          </w:tcPr>
          <w:p w14:paraId="46FDDDE4"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(0.3) </w:t>
            </w:r>
          </w:p>
        </w:tc>
        <w:tc>
          <w:tcPr>
            <w:tcW w:w="898" w:type="dxa"/>
            <w:tcBorders>
              <w:top w:val="nil"/>
              <w:left w:val="nil"/>
              <w:bottom w:val="single" w:sz="4" w:space="0" w:color="auto"/>
              <w:right w:val="single" w:sz="4" w:space="0" w:color="FFFFFF"/>
            </w:tcBorders>
            <w:shd w:val="clear" w:color="FFFFFF" w:fill="FFFFFF"/>
            <w:noWrap/>
            <w:vAlign w:val="center"/>
            <w:hideMark/>
          </w:tcPr>
          <w:p w14:paraId="1436553D"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(29.4) </w:t>
            </w:r>
          </w:p>
        </w:tc>
        <w:tc>
          <w:tcPr>
            <w:tcW w:w="888" w:type="dxa"/>
            <w:tcBorders>
              <w:top w:val="nil"/>
              <w:left w:val="nil"/>
              <w:bottom w:val="single" w:sz="4" w:space="0" w:color="auto"/>
              <w:right w:val="single" w:sz="4" w:space="0" w:color="FFFFFF"/>
            </w:tcBorders>
            <w:shd w:val="clear" w:color="FFFFFF" w:fill="FFFFFF"/>
            <w:noWrap/>
            <w:vAlign w:val="center"/>
            <w:hideMark/>
          </w:tcPr>
          <w:p w14:paraId="0370BDBC"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(0.3) </w:t>
            </w:r>
          </w:p>
        </w:tc>
        <w:tc>
          <w:tcPr>
            <w:tcW w:w="873" w:type="dxa"/>
            <w:tcBorders>
              <w:top w:val="nil"/>
              <w:left w:val="nil"/>
              <w:bottom w:val="single" w:sz="4" w:space="0" w:color="auto"/>
              <w:right w:val="single" w:sz="4" w:space="0" w:color="FFFFFF"/>
            </w:tcBorders>
            <w:shd w:val="clear" w:color="FFFFFF" w:fill="FFFFFF"/>
            <w:noWrap/>
            <w:vAlign w:val="center"/>
            <w:hideMark/>
          </w:tcPr>
          <w:p w14:paraId="172B8E18"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(1.1) </w:t>
            </w:r>
          </w:p>
        </w:tc>
        <w:tc>
          <w:tcPr>
            <w:tcW w:w="873" w:type="dxa"/>
            <w:tcBorders>
              <w:top w:val="nil"/>
              <w:left w:val="nil"/>
              <w:bottom w:val="single" w:sz="4" w:space="0" w:color="auto"/>
              <w:right w:val="single" w:sz="4" w:space="0" w:color="FFFFFF"/>
            </w:tcBorders>
            <w:shd w:val="clear" w:color="FFFFFF" w:fill="FFFFFF"/>
            <w:noWrap/>
            <w:vAlign w:val="center"/>
            <w:hideMark/>
          </w:tcPr>
          <w:p w14:paraId="7CF6FC6A"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(4.3) </w:t>
            </w:r>
          </w:p>
        </w:tc>
        <w:tc>
          <w:tcPr>
            <w:tcW w:w="953" w:type="dxa"/>
            <w:tcBorders>
              <w:top w:val="nil"/>
              <w:left w:val="nil"/>
              <w:bottom w:val="single" w:sz="4" w:space="0" w:color="auto"/>
              <w:right w:val="single" w:sz="4" w:space="0" w:color="FFFFFF"/>
            </w:tcBorders>
            <w:shd w:val="clear" w:color="FFFFFF" w:fill="FFFFFF"/>
            <w:noWrap/>
            <w:vAlign w:val="center"/>
            <w:hideMark/>
          </w:tcPr>
          <w:p w14:paraId="2A3E7C93"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(35.7) </w:t>
            </w:r>
          </w:p>
        </w:tc>
      </w:tr>
      <w:tr w:rsidR="00F06229" w:rsidRPr="005734B8" w14:paraId="75225B8E" w14:textId="77777777" w:rsidTr="000F48B1">
        <w:trPr>
          <w:trHeight w:val="198"/>
        </w:trPr>
        <w:tc>
          <w:tcPr>
            <w:tcW w:w="1495" w:type="dxa"/>
            <w:tcBorders>
              <w:top w:val="single" w:sz="12" w:space="0" w:color="auto"/>
              <w:left w:val="nil"/>
              <w:bottom w:val="single" w:sz="12" w:space="0" w:color="auto"/>
              <w:right w:val="single" w:sz="12" w:space="0" w:color="FFFFFF"/>
            </w:tcBorders>
            <w:shd w:val="clear" w:color="FFFFFF" w:fill="FFFFFF"/>
            <w:vAlign w:val="center"/>
            <w:hideMark/>
          </w:tcPr>
          <w:p w14:paraId="71425D8B" w14:textId="77777777" w:rsidR="00F06229" w:rsidRPr="005734B8" w:rsidRDefault="00F06229" w:rsidP="000F48B1">
            <w:pPr>
              <w:rPr>
                <w:rFonts w:ascii="Calibri" w:hAnsi="Calibri" w:cs="Calibri"/>
                <w:b/>
                <w:sz w:val="16"/>
                <w:szCs w:val="16"/>
              </w:rPr>
            </w:pPr>
            <w:r w:rsidRPr="005734B8">
              <w:rPr>
                <w:rFonts w:ascii="Calibri" w:hAnsi="Calibri" w:cs="Calibri"/>
                <w:b/>
                <w:sz w:val="16"/>
                <w:szCs w:val="16"/>
              </w:rPr>
              <w:t>Total other economic flows included in net result</w:t>
            </w:r>
          </w:p>
        </w:tc>
        <w:tc>
          <w:tcPr>
            <w:tcW w:w="810" w:type="dxa"/>
            <w:tcBorders>
              <w:top w:val="single" w:sz="12" w:space="0" w:color="auto"/>
              <w:left w:val="nil"/>
              <w:bottom w:val="single" w:sz="12" w:space="0" w:color="auto"/>
              <w:right w:val="single" w:sz="12" w:space="0" w:color="FFFFFF"/>
            </w:tcBorders>
            <w:shd w:val="clear" w:color="FFFFFF" w:fill="FFFFFF"/>
            <w:noWrap/>
            <w:vAlign w:val="center"/>
            <w:hideMark/>
          </w:tcPr>
          <w:p w14:paraId="1A0B8AAB"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(0.3) </w:t>
            </w:r>
          </w:p>
        </w:tc>
        <w:tc>
          <w:tcPr>
            <w:tcW w:w="835" w:type="dxa"/>
            <w:tcBorders>
              <w:top w:val="single" w:sz="12" w:space="0" w:color="auto"/>
              <w:left w:val="nil"/>
              <w:bottom w:val="single" w:sz="12" w:space="0" w:color="auto"/>
              <w:right w:val="single" w:sz="12" w:space="0" w:color="FFFFFF"/>
            </w:tcBorders>
            <w:shd w:val="clear" w:color="FFFFFF" w:fill="FFFFFF"/>
            <w:noWrap/>
            <w:vAlign w:val="center"/>
            <w:hideMark/>
          </w:tcPr>
          <w:p w14:paraId="47D38E9F"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(0.3) </w:t>
            </w:r>
          </w:p>
        </w:tc>
        <w:tc>
          <w:tcPr>
            <w:tcW w:w="898" w:type="dxa"/>
            <w:tcBorders>
              <w:top w:val="single" w:sz="12" w:space="0" w:color="auto"/>
              <w:left w:val="nil"/>
              <w:bottom w:val="single" w:sz="12" w:space="0" w:color="auto"/>
              <w:right w:val="single" w:sz="12" w:space="0" w:color="FFFFFF"/>
            </w:tcBorders>
            <w:shd w:val="clear" w:color="FFFFFF" w:fill="FFFFFF"/>
            <w:noWrap/>
            <w:vAlign w:val="center"/>
            <w:hideMark/>
          </w:tcPr>
          <w:p w14:paraId="1A135510"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(32.6) </w:t>
            </w:r>
          </w:p>
        </w:tc>
        <w:tc>
          <w:tcPr>
            <w:tcW w:w="888" w:type="dxa"/>
            <w:tcBorders>
              <w:top w:val="single" w:sz="12" w:space="0" w:color="auto"/>
              <w:left w:val="nil"/>
              <w:bottom w:val="single" w:sz="12" w:space="0" w:color="auto"/>
              <w:right w:val="single" w:sz="12" w:space="0" w:color="FFFFFF"/>
            </w:tcBorders>
            <w:shd w:val="clear" w:color="FFFFFF" w:fill="FFFFFF"/>
            <w:noWrap/>
            <w:vAlign w:val="center"/>
            <w:hideMark/>
          </w:tcPr>
          <w:p w14:paraId="72B2FE7B"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(0.3) </w:t>
            </w:r>
          </w:p>
        </w:tc>
        <w:tc>
          <w:tcPr>
            <w:tcW w:w="873" w:type="dxa"/>
            <w:tcBorders>
              <w:top w:val="single" w:sz="12" w:space="0" w:color="auto"/>
              <w:left w:val="nil"/>
              <w:bottom w:val="single" w:sz="12" w:space="0" w:color="auto"/>
              <w:right w:val="single" w:sz="12" w:space="0" w:color="FFFFFF"/>
            </w:tcBorders>
            <w:shd w:val="clear" w:color="FFFFFF" w:fill="FFFFFF"/>
            <w:noWrap/>
            <w:vAlign w:val="center"/>
            <w:hideMark/>
          </w:tcPr>
          <w:p w14:paraId="57D9B350"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(1.1) </w:t>
            </w:r>
          </w:p>
        </w:tc>
        <w:tc>
          <w:tcPr>
            <w:tcW w:w="873" w:type="dxa"/>
            <w:tcBorders>
              <w:top w:val="single" w:sz="12" w:space="0" w:color="auto"/>
              <w:left w:val="nil"/>
              <w:bottom w:val="single" w:sz="12" w:space="0" w:color="auto"/>
              <w:right w:val="single" w:sz="12" w:space="0" w:color="FFFFFF"/>
            </w:tcBorders>
            <w:shd w:val="clear" w:color="FFFFFF" w:fill="FFFFFF"/>
            <w:noWrap/>
            <w:vAlign w:val="center"/>
            <w:hideMark/>
          </w:tcPr>
          <w:p w14:paraId="55C0DD00"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(4.6) </w:t>
            </w:r>
          </w:p>
        </w:tc>
        <w:tc>
          <w:tcPr>
            <w:tcW w:w="953" w:type="dxa"/>
            <w:tcBorders>
              <w:top w:val="single" w:sz="12" w:space="0" w:color="auto"/>
              <w:left w:val="nil"/>
              <w:bottom w:val="single" w:sz="12" w:space="0" w:color="auto"/>
              <w:right w:val="single" w:sz="12" w:space="0" w:color="FFFFFF"/>
            </w:tcBorders>
            <w:shd w:val="clear" w:color="FFFFFF" w:fill="FFFFFF"/>
            <w:noWrap/>
            <w:vAlign w:val="center"/>
            <w:hideMark/>
          </w:tcPr>
          <w:p w14:paraId="62EB3A24"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(39.2) </w:t>
            </w:r>
          </w:p>
        </w:tc>
      </w:tr>
      <w:tr w:rsidR="00F06229" w:rsidRPr="005734B8" w14:paraId="27D0A24D" w14:textId="77777777" w:rsidTr="000F48B1">
        <w:trPr>
          <w:trHeight w:val="198"/>
        </w:trPr>
        <w:tc>
          <w:tcPr>
            <w:tcW w:w="1495" w:type="dxa"/>
            <w:tcBorders>
              <w:top w:val="nil"/>
              <w:left w:val="nil"/>
              <w:bottom w:val="single" w:sz="12" w:space="0" w:color="auto"/>
              <w:right w:val="single" w:sz="12" w:space="0" w:color="FFFFFF"/>
            </w:tcBorders>
            <w:shd w:val="clear" w:color="FFFFFF" w:fill="FFFFFF"/>
            <w:vAlign w:val="center"/>
            <w:hideMark/>
          </w:tcPr>
          <w:p w14:paraId="421F46AE" w14:textId="77777777" w:rsidR="00F06229" w:rsidRPr="005734B8" w:rsidRDefault="00F06229" w:rsidP="000F48B1">
            <w:pPr>
              <w:rPr>
                <w:rFonts w:ascii="Calibri" w:hAnsi="Calibri" w:cs="Calibri"/>
                <w:b/>
                <w:sz w:val="16"/>
                <w:szCs w:val="16"/>
              </w:rPr>
            </w:pPr>
            <w:r w:rsidRPr="005734B8">
              <w:rPr>
                <w:rFonts w:ascii="Calibri" w:hAnsi="Calibri" w:cs="Calibri"/>
                <w:b/>
                <w:sz w:val="16"/>
                <w:szCs w:val="16"/>
              </w:rPr>
              <w:t>Net result</w:t>
            </w:r>
          </w:p>
        </w:tc>
        <w:tc>
          <w:tcPr>
            <w:tcW w:w="810" w:type="dxa"/>
            <w:tcBorders>
              <w:top w:val="nil"/>
              <w:left w:val="nil"/>
              <w:bottom w:val="single" w:sz="12" w:space="0" w:color="auto"/>
              <w:right w:val="single" w:sz="12" w:space="0" w:color="FFFFFF"/>
            </w:tcBorders>
            <w:shd w:val="clear" w:color="FFFFFF" w:fill="FFFFFF"/>
            <w:noWrap/>
            <w:vAlign w:val="center"/>
            <w:hideMark/>
          </w:tcPr>
          <w:p w14:paraId="44E750DC"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(0.3) </w:t>
            </w:r>
          </w:p>
        </w:tc>
        <w:tc>
          <w:tcPr>
            <w:tcW w:w="835" w:type="dxa"/>
            <w:tcBorders>
              <w:top w:val="nil"/>
              <w:left w:val="nil"/>
              <w:bottom w:val="single" w:sz="12" w:space="0" w:color="auto"/>
              <w:right w:val="single" w:sz="12" w:space="0" w:color="FFFFFF"/>
            </w:tcBorders>
            <w:shd w:val="clear" w:color="FFFFFF" w:fill="FFFFFF"/>
            <w:noWrap/>
            <w:vAlign w:val="center"/>
            <w:hideMark/>
          </w:tcPr>
          <w:p w14:paraId="7915E4FB"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(0.3) </w:t>
            </w:r>
          </w:p>
        </w:tc>
        <w:tc>
          <w:tcPr>
            <w:tcW w:w="898" w:type="dxa"/>
            <w:tcBorders>
              <w:top w:val="nil"/>
              <w:left w:val="nil"/>
              <w:bottom w:val="single" w:sz="12" w:space="0" w:color="auto"/>
              <w:right w:val="single" w:sz="12" w:space="0" w:color="FFFFFF"/>
            </w:tcBorders>
            <w:shd w:val="clear" w:color="FFFFFF" w:fill="FFFFFF"/>
            <w:noWrap/>
            <w:vAlign w:val="center"/>
            <w:hideMark/>
          </w:tcPr>
          <w:p w14:paraId="57FE61F3"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541.9 </w:t>
            </w:r>
          </w:p>
        </w:tc>
        <w:tc>
          <w:tcPr>
            <w:tcW w:w="888" w:type="dxa"/>
            <w:tcBorders>
              <w:top w:val="nil"/>
              <w:left w:val="nil"/>
              <w:bottom w:val="single" w:sz="12" w:space="0" w:color="auto"/>
              <w:right w:val="single" w:sz="12" w:space="0" w:color="FFFFFF"/>
            </w:tcBorders>
            <w:shd w:val="clear" w:color="FFFFFF" w:fill="FFFFFF"/>
            <w:noWrap/>
            <w:vAlign w:val="center"/>
            <w:hideMark/>
          </w:tcPr>
          <w:p w14:paraId="55008F5A"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25.0 </w:t>
            </w:r>
          </w:p>
        </w:tc>
        <w:tc>
          <w:tcPr>
            <w:tcW w:w="873" w:type="dxa"/>
            <w:tcBorders>
              <w:top w:val="nil"/>
              <w:left w:val="nil"/>
              <w:bottom w:val="single" w:sz="12" w:space="0" w:color="auto"/>
              <w:right w:val="single" w:sz="12" w:space="0" w:color="FFFFFF"/>
            </w:tcBorders>
            <w:shd w:val="clear" w:color="FFFFFF" w:fill="FFFFFF"/>
            <w:noWrap/>
            <w:vAlign w:val="center"/>
            <w:hideMark/>
          </w:tcPr>
          <w:p w14:paraId="11885500"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(1.1) </w:t>
            </w:r>
          </w:p>
        </w:tc>
        <w:tc>
          <w:tcPr>
            <w:tcW w:w="873" w:type="dxa"/>
            <w:tcBorders>
              <w:top w:val="nil"/>
              <w:left w:val="nil"/>
              <w:bottom w:val="single" w:sz="12" w:space="0" w:color="auto"/>
              <w:right w:val="single" w:sz="12" w:space="0" w:color="FFFFFF"/>
            </w:tcBorders>
            <w:shd w:val="clear" w:color="FFFFFF" w:fill="FFFFFF"/>
            <w:noWrap/>
            <w:vAlign w:val="center"/>
            <w:hideMark/>
          </w:tcPr>
          <w:p w14:paraId="3631AAA8"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(4.6) </w:t>
            </w:r>
          </w:p>
        </w:tc>
        <w:tc>
          <w:tcPr>
            <w:tcW w:w="953" w:type="dxa"/>
            <w:tcBorders>
              <w:top w:val="nil"/>
              <w:left w:val="nil"/>
              <w:bottom w:val="single" w:sz="12" w:space="0" w:color="auto"/>
              <w:right w:val="single" w:sz="12" w:space="0" w:color="FFFFFF"/>
            </w:tcBorders>
            <w:shd w:val="clear" w:color="FFFFFF" w:fill="FFFFFF"/>
            <w:noWrap/>
            <w:vAlign w:val="center"/>
            <w:hideMark/>
          </w:tcPr>
          <w:p w14:paraId="2A6CB7B7"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560.6 </w:t>
            </w:r>
          </w:p>
        </w:tc>
      </w:tr>
      <w:tr w:rsidR="00F06229" w:rsidRPr="005734B8" w14:paraId="37C4A186" w14:textId="77777777" w:rsidTr="000F48B1">
        <w:trPr>
          <w:trHeight w:val="198"/>
        </w:trPr>
        <w:tc>
          <w:tcPr>
            <w:tcW w:w="7625" w:type="dxa"/>
            <w:gridSpan w:val="8"/>
            <w:tcBorders>
              <w:top w:val="single" w:sz="4" w:space="0" w:color="auto"/>
              <w:left w:val="single" w:sz="4" w:space="0" w:color="FFFFFF"/>
              <w:bottom w:val="single" w:sz="4" w:space="0" w:color="auto"/>
              <w:right w:val="nil"/>
            </w:tcBorders>
            <w:shd w:val="clear" w:color="000000" w:fill="D9D9D9"/>
            <w:noWrap/>
            <w:vAlign w:val="center"/>
            <w:hideMark/>
          </w:tcPr>
          <w:p w14:paraId="09EF2E01" w14:textId="77777777" w:rsidR="00F06229" w:rsidRPr="005734B8" w:rsidRDefault="00F06229" w:rsidP="000F48B1">
            <w:pPr>
              <w:rPr>
                <w:rFonts w:ascii="Calibri" w:hAnsi="Calibri" w:cs="Calibri"/>
                <w:b/>
                <w:sz w:val="16"/>
                <w:szCs w:val="16"/>
              </w:rPr>
            </w:pPr>
            <w:r w:rsidRPr="005734B8">
              <w:rPr>
                <w:rFonts w:ascii="Calibri" w:hAnsi="Calibri" w:cs="Calibri"/>
                <w:b/>
                <w:sz w:val="16"/>
                <w:szCs w:val="16"/>
              </w:rPr>
              <w:t>Other economic flows–other comprehensive income</w:t>
            </w:r>
          </w:p>
        </w:tc>
      </w:tr>
      <w:tr w:rsidR="00F06229" w:rsidRPr="005734B8" w14:paraId="09E422BF" w14:textId="77777777" w:rsidTr="000F48B1">
        <w:trPr>
          <w:trHeight w:val="198"/>
        </w:trPr>
        <w:tc>
          <w:tcPr>
            <w:tcW w:w="1495" w:type="dxa"/>
            <w:tcBorders>
              <w:top w:val="nil"/>
              <w:left w:val="single" w:sz="4" w:space="0" w:color="FFFFFF"/>
              <w:bottom w:val="single" w:sz="4" w:space="0" w:color="auto"/>
              <w:right w:val="single" w:sz="4" w:space="0" w:color="FFFFFF"/>
            </w:tcBorders>
            <w:shd w:val="clear" w:color="FFFFFF" w:fill="FFFFFF"/>
            <w:vAlign w:val="center"/>
            <w:hideMark/>
          </w:tcPr>
          <w:p w14:paraId="0D755E43" w14:textId="77777777" w:rsidR="00F06229" w:rsidRPr="005734B8" w:rsidRDefault="00F06229" w:rsidP="000F48B1">
            <w:pPr>
              <w:rPr>
                <w:rFonts w:ascii="Calibri" w:hAnsi="Calibri" w:cs="Calibri"/>
                <w:sz w:val="16"/>
                <w:szCs w:val="16"/>
              </w:rPr>
            </w:pPr>
            <w:r w:rsidRPr="005734B8">
              <w:rPr>
                <w:rFonts w:ascii="Calibri" w:hAnsi="Calibri" w:cs="Calibri"/>
                <w:sz w:val="16"/>
                <w:szCs w:val="16"/>
              </w:rPr>
              <w:t>Changes in physical asset revaluation surplus</w:t>
            </w:r>
          </w:p>
        </w:tc>
        <w:tc>
          <w:tcPr>
            <w:tcW w:w="810" w:type="dxa"/>
            <w:tcBorders>
              <w:top w:val="nil"/>
              <w:left w:val="nil"/>
              <w:bottom w:val="single" w:sz="4" w:space="0" w:color="auto"/>
              <w:right w:val="single" w:sz="4" w:space="0" w:color="FFFFFF"/>
            </w:tcBorders>
            <w:shd w:val="clear" w:color="FFFFFF" w:fill="FFFFFF"/>
            <w:noWrap/>
            <w:vAlign w:val="center"/>
            <w:hideMark/>
          </w:tcPr>
          <w:p w14:paraId="6AADD5E0" w14:textId="1ABC523C"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35" w:type="dxa"/>
            <w:tcBorders>
              <w:top w:val="nil"/>
              <w:left w:val="nil"/>
              <w:bottom w:val="single" w:sz="4" w:space="0" w:color="auto"/>
              <w:right w:val="single" w:sz="4" w:space="0" w:color="FFFFFF"/>
            </w:tcBorders>
            <w:shd w:val="clear" w:color="FFFFFF" w:fill="FFFFFF"/>
            <w:noWrap/>
            <w:vAlign w:val="center"/>
            <w:hideMark/>
          </w:tcPr>
          <w:p w14:paraId="29F2F2A7" w14:textId="5DD047AC"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98" w:type="dxa"/>
            <w:tcBorders>
              <w:top w:val="nil"/>
              <w:left w:val="nil"/>
              <w:bottom w:val="single" w:sz="4" w:space="0" w:color="auto"/>
              <w:right w:val="single" w:sz="4" w:space="0" w:color="FFFFFF"/>
            </w:tcBorders>
            <w:shd w:val="clear" w:color="FFFFFF" w:fill="FFFFFF"/>
            <w:noWrap/>
            <w:vAlign w:val="center"/>
            <w:hideMark/>
          </w:tcPr>
          <w:p w14:paraId="6853C94E"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(7.2) </w:t>
            </w:r>
          </w:p>
        </w:tc>
        <w:tc>
          <w:tcPr>
            <w:tcW w:w="888" w:type="dxa"/>
            <w:tcBorders>
              <w:top w:val="nil"/>
              <w:left w:val="nil"/>
              <w:bottom w:val="single" w:sz="4" w:space="0" w:color="auto"/>
              <w:right w:val="single" w:sz="4" w:space="0" w:color="FFFFFF"/>
            </w:tcBorders>
            <w:shd w:val="clear" w:color="FFFFFF" w:fill="FFFFFF"/>
            <w:noWrap/>
            <w:vAlign w:val="center"/>
            <w:hideMark/>
          </w:tcPr>
          <w:p w14:paraId="715EB0F7" w14:textId="5E8DD4BF"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73" w:type="dxa"/>
            <w:tcBorders>
              <w:top w:val="nil"/>
              <w:left w:val="nil"/>
              <w:bottom w:val="single" w:sz="4" w:space="0" w:color="auto"/>
              <w:right w:val="single" w:sz="4" w:space="0" w:color="FFFFFF"/>
            </w:tcBorders>
            <w:shd w:val="clear" w:color="FFFFFF" w:fill="FFFFFF"/>
            <w:noWrap/>
            <w:vAlign w:val="center"/>
            <w:hideMark/>
          </w:tcPr>
          <w:p w14:paraId="58B7E8B1" w14:textId="32AF94C6" w:rsidR="00F06229" w:rsidRPr="005734B8" w:rsidRDefault="006C14DE" w:rsidP="000F48B1">
            <w:pPr>
              <w:jc w:val="right"/>
              <w:rPr>
                <w:rFonts w:ascii="Calibri" w:hAnsi="Calibri" w:cs="Calibri"/>
                <w:sz w:val="16"/>
                <w:szCs w:val="16"/>
              </w:rPr>
            </w:pPr>
            <w:r w:rsidRPr="005734B8">
              <w:rPr>
                <w:rFonts w:ascii="Calibri" w:hAnsi="Calibri" w:cs="Calibri"/>
                <w:b/>
                <w:sz w:val="16"/>
                <w:szCs w:val="16"/>
              </w:rPr>
              <w:t>–</w:t>
            </w:r>
          </w:p>
        </w:tc>
        <w:tc>
          <w:tcPr>
            <w:tcW w:w="873" w:type="dxa"/>
            <w:tcBorders>
              <w:top w:val="nil"/>
              <w:left w:val="nil"/>
              <w:bottom w:val="single" w:sz="4" w:space="0" w:color="auto"/>
              <w:right w:val="single" w:sz="4" w:space="0" w:color="FFFFFF"/>
            </w:tcBorders>
            <w:shd w:val="clear" w:color="FFFFFF" w:fill="FFFFFF"/>
            <w:noWrap/>
            <w:vAlign w:val="center"/>
            <w:hideMark/>
          </w:tcPr>
          <w:p w14:paraId="2266BCF9" w14:textId="77777777" w:rsidR="00F06229" w:rsidRPr="005734B8" w:rsidRDefault="00F06229" w:rsidP="000F48B1">
            <w:pPr>
              <w:jc w:val="right"/>
              <w:rPr>
                <w:rFonts w:ascii="Calibri" w:hAnsi="Calibri" w:cs="Calibri"/>
                <w:sz w:val="16"/>
                <w:szCs w:val="16"/>
              </w:rPr>
            </w:pPr>
            <w:r w:rsidRPr="005734B8">
              <w:rPr>
                <w:rFonts w:ascii="Calibri" w:hAnsi="Calibri" w:cs="Calibri"/>
                <w:sz w:val="16"/>
                <w:szCs w:val="16"/>
              </w:rPr>
              <w:t xml:space="preserve">(0.7) </w:t>
            </w:r>
          </w:p>
        </w:tc>
        <w:tc>
          <w:tcPr>
            <w:tcW w:w="953" w:type="dxa"/>
            <w:tcBorders>
              <w:top w:val="nil"/>
              <w:left w:val="nil"/>
              <w:bottom w:val="single" w:sz="4" w:space="0" w:color="auto"/>
              <w:right w:val="single" w:sz="4" w:space="0" w:color="FFFFFF"/>
            </w:tcBorders>
            <w:shd w:val="clear" w:color="FFFFFF" w:fill="FFFFFF"/>
            <w:noWrap/>
            <w:vAlign w:val="center"/>
            <w:hideMark/>
          </w:tcPr>
          <w:p w14:paraId="5A6C5ACC"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(7.9) </w:t>
            </w:r>
          </w:p>
        </w:tc>
      </w:tr>
      <w:tr w:rsidR="00F06229" w:rsidRPr="005734B8" w14:paraId="45ED5AC1" w14:textId="77777777" w:rsidTr="000F48B1">
        <w:trPr>
          <w:trHeight w:val="198"/>
        </w:trPr>
        <w:tc>
          <w:tcPr>
            <w:tcW w:w="1495" w:type="dxa"/>
            <w:tcBorders>
              <w:top w:val="single" w:sz="12" w:space="0" w:color="auto"/>
              <w:left w:val="nil"/>
              <w:bottom w:val="single" w:sz="12" w:space="0" w:color="auto"/>
              <w:right w:val="single" w:sz="12" w:space="0" w:color="FFFFFF"/>
            </w:tcBorders>
            <w:shd w:val="clear" w:color="FFFFFF" w:fill="FFFFFF"/>
            <w:vAlign w:val="center"/>
            <w:hideMark/>
          </w:tcPr>
          <w:p w14:paraId="1015BCAD" w14:textId="77777777" w:rsidR="00F06229" w:rsidRPr="005734B8" w:rsidRDefault="00F06229" w:rsidP="000F48B1">
            <w:pPr>
              <w:rPr>
                <w:rFonts w:ascii="Calibri" w:hAnsi="Calibri" w:cs="Calibri"/>
                <w:b/>
                <w:sz w:val="16"/>
                <w:szCs w:val="16"/>
              </w:rPr>
            </w:pPr>
            <w:r w:rsidRPr="005734B8">
              <w:rPr>
                <w:rFonts w:ascii="Calibri" w:hAnsi="Calibri" w:cs="Calibri"/>
                <w:b/>
                <w:sz w:val="16"/>
                <w:szCs w:val="16"/>
              </w:rPr>
              <w:t>Total other economic flows—other comprehensive income</w:t>
            </w:r>
          </w:p>
        </w:tc>
        <w:tc>
          <w:tcPr>
            <w:tcW w:w="810" w:type="dxa"/>
            <w:tcBorders>
              <w:top w:val="single" w:sz="12" w:space="0" w:color="auto"/>
              <w:left w:val="nil"/>
              <w:bottom w:val="single" w:sz="12" w:space="0" w:color="auto"/>
              <w:right w:val="single" w:sz="12" w:space="0" w:color="FFFFFF"/>
            </w:tcBorders>
            <w:shd w:val="clear" w:color="FFFFFF" w:fill="FFFFFF"/>
            <w:noWrap/>
            <w:vAlign w:val="center"/>
            <w:hideMark/>
          </w:tcPr>
          <w:p w14:paraId="2CF3F0AC" w14:textId="6733BBA3" w:rsidR="00F06229" w:rsidRPr="005734B8" w:rsidRDefault="006C14DE" w:rsidP="000F48B1">
            <w:pPr>
              <w:jc w:val="right"/>
              <w:rPr>
                <w:rFonts w:ascii="Calibri" w:hAnsi="Calibri" w:cs="Calibri"/>
                <w:b/>
                <w:sz w:val="16"/>
                <w:szCs w:val="16"/>
              </w:rPr>
            </w:pPr>
            <w:r w:rsidRPr="005734B8">
              <w:rPr>
                <w:rFonts w:ascii="Calibri" w:hAnsi="Calibri" w:cs="Calibri"/>
                <w:b/>
                <w:sz w:val="16"/>
                <w:szCs w:val="16"/>
              </w:rPr>
              <w:t>–</w:t>
            </w:r>
          </w:p>
        </w:tc>
        <w:tc>
          <w:tcPr>
            <w:tcW w:w="835" w:type="dxa"/>
            <w:tcBorders>
              <w:top w:val="single" w:sz="12" w:space="0" w:color="auto"/>
              <w:left w:val="nil"/>
              <w:bottom w:val="single" w:sz="12" w:space="0" w:color="auto"/>
              <w:right w:val="single" w:sz="12" w:space="0" w:color="FFFFFF"/>
            </w:tcBorders>
            <w:shd w:val="clear" w:color="FFFFFF" w:fill="FFFFFF"/>
            <w:noWrap/>
            <w:vAlign w:val="center"/>
            <w:hideMark/>
          </w:tcPr>
          <w:p w14:paraId="2564B653" w14:textId="40F284AD" w:rsidR="00F06229" w:rsidRPr="005734B8" w:rsidRDefault="006C14DE" w:rsidP="000F48B1">
            <w:pPr>
              <w:jc w:val="right"/>
              <w:rPr>
                <w:rFonts w:ascii="Calibri" w:hAnsi="Calibri" w:cs="Calibri"/>
                <w:b/>
                <w:sz w:val="16"/>
                <w:szCs w:val="16"/>
              </w:rPr>
            </w:pPr>
            <w:r w:rsidRPr="005734B8">
              <w:rPr>
                <w:rFonts w:ascii="Calibri" w:hAnsi="Calibri" w:cs="Calibri"/>
                <w:b/>
                <w:sz w:val="16"/>
                <w:szCs w:val="16"/>
              </w:rPr>
              <w:t>–</w:t>
            </w:r>
          </w:p>
        </w:tc>
        <w:tc>
          <w:tcPr>
            <w:tcW w:w="898" w:type="dxa"/>
            <w:tcBorders>
              <w:top w:val="single" w:sz="12" w:space="0" w:color="auto"/>
              <w:left w:val="nil"/>
              <w:bottom w:val="single" w:sz="12" w:space="0" w:color="auto"/>
              <w:right w:val="single" w:sz="12" w:space="0" w:color="FFFFFF"/>
            </w:tcBorders>
            <w:shd w:val="clear" w:color="FFFFFF" w:fill="FFFFFF"/>
            <w:noWrap/>
            <w:vAlign w:val="center"/>
            <w:hideMark/>
          </w:tcPr>
          <w:p w14:paraId="23B35EB4"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(7.2) </w:t>
            </w:r>
          </w:p>
        </w:tc>
        <w:tc>
          <w:tcPr>
            <w:tcW w:w="888" w:type="dxa"/>
            <w:tcBorders>
              <w:top w:val="single" w:sz="12" w:space="0" w:color="auto"/>
              <w:left w:val="nil"/>
              <w:bottom w:val="single" w:sz="12" w:space="0" w:color="auto"/>
              <w:right w:val="single" w:sz="12" w:space="0" w:color="FFFFFF"/>
            </w:tcBorders>
            <w:shd w:val="clear" w:color="FFFFFF" w:fill="FFFFFF"/>
            <w:noWrap/>
            <w:vAlign w:val="center"/>
            <w:hideMark/>
          </w:tcPr>
          <w:p w14:paraId="3344DCFC" w14:textId="41C2174F" w:rsidR="00F06229" w:rsidRPr="005734B8" w:rsidRDefault="006C14DE" w:rsidP="000F48B1">
            <w:pPr>
              <w:jc w:val="right"/>
              <w:rPr>
                <w:rFonts w:ascii="Calibri" w:hAnsi="Calibri" w:cs="Calibri"/>
                <w:b/>
                <w:sz w:val="16"/>
                <w:szCs w:val="16"/>
              </w:rPr>
            </w:pPr>
            <w:r w:rsidRPr="005734B8">
              <w:rPr>
                <w:rFonts w:ascii="Calibri" w:hAnsi="Calibri" w:cs="Calibri"/>
                <w:b/>
                <w:sz w:val="16"/>
                <w:szCs w:val="16"/>
              </w:rPr>
              <w:t>–</w:t>
            </w:r>
          </w:p>
        </w:tc>
        <w:tc>
          <w:tcPr>
            <w:tcW w:w="873" w:type="dxa"/>
            <w:tcBorders>
              <w:top w:val="single" w:sz="12" w:space="0" w:color="auto"/>
              <w:left w:val="nil"/>
              <w:bottom w:val="single" w:sz="12" w:space="0" w:color="auto"/>
              <w:right w:val="single" w:sz="12" w:space="0" w:color="FFFFFF"/>
            </w:tcBorders>
            <w:shd w:val="clear" w:color="FFFFFF" w:fill="FFFFFF"/>
            <w:noWrap/>
            <w:vAlign w:val="center"/>
            <w:hideMark/>
          </w:tcPr>
          <w:p w14:paraId="73DE6EDC" w14:textId="20DBC35A" w:rsidR="00F06229" w:rsidRPr="005734B8" w:rsidRDefault="006C14DE" w:rsidP="000F48B1">
            <w:pPr>
              <w:jc w:val="right"/>
              <w:rPr>
                <w:rFonts w:ascii="Calibri" w:hAnsi="Calibri" w:cs="Calibri"/>
                <w:b/>
                <w:sz w:val="16"/>
                <w:szCs w:val="16"/>
              </w:rPr>
            </w:pPr>
            <w:r w:rsidRPr="005734B8">
              <w:rPr>
                <w:rFonts w:ascii="Calibri" w:hAnsi="Calibri" w:cs="Calibri"/>
                <w:b/>
                <w:sz w:val="16"/>
                <w:szCs w:val="16"/>
              </w:rPr>
              <w:t>–</w:t>
            </w:r>
          </w:p>
        </w:tc>
        <w:tc>
          <w:tcPr>
            <w:tcW w:w="873" w:type="dxa"/>
            <w:tcBorders>
              <w:top w:val="single" w:sz="12" w:space="0" w:color="auto"/>
              <w:left w:val="nil"/>
              <w:bottom w:val="single" w:sz="12" w:space="0" w:color="auto"/>
              <w:right w:val="single" w:sz="12" w:space="0" w:color="FFFFFF"/>
            </w:tcBorders>
            <w:shd w:val="clear" w:color="FFFFFF" w:fill="FFFFFF"/>
            <w:noWrap/>
            <w:vAlign w:val="center"/>
            <w:hideMark/>
          </w:tcPr>
          <w:p w14:paraId="374FDA6B"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(0.7) </w:t>
            </w:r>
          </w:p>
        </w:tc>
        <w:tc>
          <w:tcPr>
            <w:tcW w:w="953" w:type="dxa"/>
            <w:tcBorders>
              <w:top w:val="single" w:sz="12" w:space="0" w:color="auto"/>
              <w:left w:val="nil"/>
              <w:bottom w:val="single" w:sz="12" w:space="0" w:color="auto"/>
              <w:right w:val="single" w:sz="12" w:space="0" w:color="FFFFFF"/>
            </w:tcBorders>
            <w:shd w:val="clear" w:color="FFFFFF" w:fill="FFFFFF"/>
            <w:noWrap/>
            <w:vAlign w:val="center"/>
            <w:hideMark/>
          </w:tcPr>
          <w:p w14:paraId="0D7B1550"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(7.9) </w:t>
            </w:r>
          </w:p>
        </w:tc>
      </w:tr>
      <w:tr w:rsidR="00F06229" w:rsidRPr="005734B8" w14:paraId="20D89671" w14:textId="77777777" w:rsidTr="000F48B1">
        <w:trPr>
          <w:trHeight w:val="198"/>
        </w:trPr>
        <w:tc>
          <w:tcPr>
            <w:tcW w:w="1495" w:type="dxa"/>
            <w:tcBorders>
              <w:top w:val="nil"/>
              <w:left w:val="nil"/>
              <w:bottom w:val="single" w:sz="12" w:space="0" w:color="auto"/>
              <w:right w:val="single" w:sz="12" w:space="0" w:color="FFFFFF"/>
            </w:tcBorders>
            <w:shd w:val="clear" w:color="FFFFFF" w:fill="FFFFFF"/>
            <w:vAlign w:val="center"/>
            <w:hideMark/>
          </w:tcPr>
          <w:p w14:paraId="3DBF7CE6" w14:textId="77777777" w:rsidR="00F06229" w:rsidRPr="005734B8" w:rsidRDefault="00F06229" w:rsidP="000F48B1">
            <w:pPr>
              <w:rPr>
                <w:rFonts w:ascii="Calibri" w:hAnsi="Calibri" w:cs="Calibri"/>
                <w:b/>
                <w:sz w:val="16"/>
                <w:szCs w:val="16"/>
              </w:rPr>
            </w:pPr>
            <w:r w:rsidRPr="005734B8">
              <w:rPr>
                <w:rFonts w:ascii="Calibri" w:hAnsi="Calibri" w:cs="Calibri"/>
                <w:b/>
                <w:sz w:val="16"/>
                <w:szCs w:val="16"/>
              </w:rPr>
              <w:t>Comprehensive result</w:t>
            </w:r>
          </w:p>
        </w:tc>
        <w:tc>
          <w:tcPr>
            <w:tcW w:w="810" w:type="dxa"/>
            <w:tcBorders>
              <w:top w:val="nil"/>
              <w:left w:val="nil"/>
              <w:bottom w:val="single" w:sz="12" w:space="0" w:color="auto"/>
              <w:right w:val="single" w:sz="12" w:space="0" w:color="FFFFFF"/>
            </w:tcBorders>
            <w:shd w:val="clear" w:color="FFFFFF" w:fill="FFFFFF"/>
            <w:noWrap/>
            <w:vAlign w:val="center"/>
            <w:hideMark/>
          </w:tcPr>
          <w:p w14:paraId="762754C6"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(0.3) </w:t>
            </w:r>
          </w:p>
        </w:tc>
        <w:tc>
          <w:tcPr>
            <w:tcW w:w="835" w:type="dxa"/>
            <w:tcBorders>
              <w:top w:val="nil"/>
              <w:left w:val="nil"/>
              <w:bottom w:val="single" w:sz="12" w:space="0" w:color="auto"/>
              <w:right w:val="single" w:sz="12" w:space="0" w:color="FFFFFF"/>
            </w:tcBorders>
            <w:shd w:val="clear" w:color="FFFFFF" w:fill="FFFFFF"/>
            <w:noWrap/>
            <w:vAlign w:val="center"/>
            <w:hideMark/>
          </w:tcPr>
          <w:p w14:paraId="5DEC2C3C"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(0.3) </w:t>
            </w:r>
          </w:p>
        </w:tc>
        <w:tc>
          <w:tcPr>
            <w:tcW w:w="898" w:type="dxa"/>
            <w:tcBorders>
              <w:top w:val="nil"/>
              <w:left w:val="nil"/>
              <w:bottom w:val="single" w:sz="12" w:space="0" w:color="auto"/>
              <w:right w:val="single" w:sz="12" w:space="0" w:color="FFFFFF"/>
            </w:tcBorders>
            <w:shd w:val="clear" w:color="FFFFFF" w:fill="FFFFFF"/>
            <w:noWrap/>
            <w:vAlign w:val="center"/>
            <w:hideMark/>
          </w:tcPr>
          <w:p w14:paraId="4869E0D3"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534.7 </w:t>
            </w:r>
          </w:p>
        </w:tc>
        <w:tc>
          <w:tcPr>
            <w:tcW w:w="888" w:type="dxa"/>
            <w:tcBorders>
              <w:top w:val="nil"/>
              <w:left w:val="nil"/>
              <w:bottom w:val="single" w:sz="12" w:space="0" w:color="auto"/>
              <w:right w:val="single" w:sz="12" w:space="0" w:color="FFFFFF"/>
            </w:tcBorders>
            <w:shd w:val="clear" w:color="FFFFFF" w:fill="FFFFFF"/>
            <w:noWrap/>
            <w:vAlign w:val="center"/>
            <w:hideMark/>
          </w:tcPr>
          <w:p w14:paraId="20E2CF21"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25.0 </w:t>
            </w:r>
          </w:p>
        </w:tc>
        <w:tc>
          <w:tcPr>
            <w:tcW w:w="873" w:type="dxa"/>
            <w:tcBorders>
              <w:top w:val="nil"/>
              <w:left w:val="nil"/>
              <w:bottom w:val="single" w:sz="12" w:space="0" w:color="auto"/>
              <w:right w:val="single" w:sz="12" w:space="0" w:color="FFFFFF"/>
            </w:tcBorders>
            <w:shd w:val="clear" w:color="FFFFFF" w:fill="FFFFFF"/>
            <w:noWrap/>
            <w:vAlign w:val="center"/>
            <w:hideMark/>
          </w:tcPr>
          <w:p w14:paraId="3830DB9D"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(1.1) </w:t>
            </w:r>
          </w:p>
        </w:tc>
        <w:tc>
          <w:tcPr>
            <w:tcW w:w="873" w:type="dxa"/>
            <w:tcBorders>
              <w:top w:val="nil"/>
              <w:left w:val="nil"/>
              <w:bottom w:val="single" w:sz="12" w:space="0" w:color="auto"/>
              <w:right w:val="single" w:sz="12" w:space="0" w:color="FFFFFF"/>
            </w:tcBorders>
            <w:shd w:val="clear" w:color="FFFFFF" w:fill="FFFFFF"/>
            <w:noWrap/>
            <w:vAlign w:val="center"/>
            <w:hideMark/>
          </w:tcPr>
          <w:p w14:paraId="4565D978"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(5.3) </w:t>
            </w:r>
          </w:p>
        </w:tc>
        <w:tc>
          <w:tcPr>
            <w:tcW w:w="953" w:type="dxa"/>
            <w:tcBorders>
              <w:top w:val="nil"/>
              <w:left w:val="nil"/>
              <w:bottom w:val="single" w:sz="12" w:space="0" w:color="auto"/>
              <w:right w:val="single" w:sz="12" w:space="0" w:color="FFFFFF"/>
            </w:tcBorders>
            <w:shd w:val="clear" w:color="FFFFFF" w:fill="FFFFFF"/>
            <w:noWrap/>
            <w:vAlign w:val="center"/>
            <w:hideMark/>
          </w:tcPr>
          <w:p w14:paraId="6F54BCB6" w14:textId="77777777" w:rsidR="00F06229" w:rsidRPr="005734B8" w:rsidRDefault="00F06229" w:rsidP="000F48B1">
            <w:pPr>
              <w:jc w:val="right"/>
              <w:rPr>
                <w:rFonts w:ascii="Calibri" w:hAnsi="Calibri" w:cs="Calibri"/>
                <w:b/>
                <w:sz w:val="16"/>
                <w:szCs w:val="16"/>
              </w:rPr>
            </w:pPr>
            <w:r w:rsidRPr="005734B8">
              <w:rPr>
                <w:rFonts w:ascii="Calibri" w:hAnsi="Calibri" w:cs="Calibri"/>
                <w:b/>
                <w:sz w:val="16"/>
                <w:szCs w:val="16"/>
              </w:rPr>
              <w:t xml:space="preserve">552.7 </w:t>
            </w:r>
          </w:p>
        </w:tc>
      </w:tr>
    </w:tbl>
    <w:p w14:paraId="30103E80" w14:textId="77777777" w:rsidR="00F06229" w:rsidRPr="005734B8" w:rsidRDefault="00F06229" w:rsidP="00F06229">
      <w:pPr>
        <w:rPr>
          <w:rFonts w:ascii="Calibri" w:hAnsi="Calibri" w:cs="Calibri"/>
        </w:rPr>
      </w:pPr>
      <w:r w:rsidRPr="005734B8">
        <w:rPr>
          <w:rFonts w:ascii="Calibri" w:hAnsi="Calibri" w:cs="Calibri"/>
        </w:rPr>
        <w:br w:type="page"/>
      </w:r>
    </w:p>
    <w:p w14:paraId="7A3A78FB" w14:textId="22878920" w:rsidR="00F06229" w:rsidRPr="005734B8" w:rsidRDefault="00F06229" w:rsidP="00F06229">
      <w:pPr>
        <w:pStyle w:val="ESHeading3"/>
        <w:rPr>
          <w:rFonts w:ascii="Calibri" w:hAnsi="Calibri" w:cs="Calibri"/>
        </w:rPr>
      </w:pPr>
      <w:bookmarkStart w:id="1392" w:name="_Toc11336378"/>
      <w:bookmarkStart w:id="1393" w:name="_Toc14965604"/>
      <w:r w:rsidRPr="005734B8">
        <w:rPr>
          <w:rFonts w:ascii="Calibri" w:hAnsi="Calibri" w:cs="Calibri"/>
        </w:rPr>
        <w:lastRenderedPageBreak/>
        <w:t xml:space="preserve">4.1.3 (a) Departmental outputs: Controlled assets and liabilities as at 30 June </w:t>
      </w:r>
      <w:r w:rsidRPr="005734B8">
        <w:rPr>
          <w:rFonts w:ascii="Calibri" w:hAnsi="Calibri" w:cs="Calibri"/>
        </w:rPr>
        <w:fldChar w:fldCharType="begin"/>
      </w:r>
      <w:r w:rsidRPr="005734B8">
        <w:rPr>
          <w:rFonts w:ascii="Calibri" w:hAnsi="Calibri" w:cs="Calibri"/>
        </w:rPr>
        <w:instrText xml:space="preserve"> DOCPROPERTY  crYear  \* MERGEFORMAT </w:instrText>
      </w:r>
      <w:r w:rsidRPr="005734B8">
        <w:rPr>
          <w:rFonts w:ascii="Calibri" w:hAnsi="Calibri" w:cs="Calibri"/>
        </w:rPr>
        <w:fldChar w:fldCharType="separate"/>
      </w:r>
      <w:r w:rsidRPr="005734B8">
        <w:rPr>
          <w:rFonts w:ascii="Calibri" w:hAnsi="Calibri" w:cs="Calibri"/>
        </w:rPr>
        <w:t>2021</w:t>
      </w:r>
      <w:r w:rsidRPr="005734B8">
        <w:rPr>
          <w:rFonts w:ascii="Calibri" w:hAnsi="Calibri" w:cs="Calibri"/>
        </w:rPr>
        <w:fldChar w:fldCharType="end"/>
      </w:r>
      <w:bookmarkEnd w:id="1392"/>
      <w:bookmarkEnd w:id="1393"/>
    </w:p>
    <w:p w14:paraId="30403623" w14:textId="77777777" w:rsidR="00F06229" w:rsidRPr="005734B8" w:rsidRDefault="00F06229" w:rsidP="00F06229">
      <w:pPr>
        <w:rPr>
          <w:rFonts w:ascii="Calibri" w:hAnsi="Calibri" w:cs="Calibri"/>
        </w:rPr>
      </w:pPr>
    </w:p>
    <w:tbl>
      <w:tblPr>
        <w:tblW w:w="7625" w:type="dxa"/>
        <w:tblInd w:w="75" w:type="dxa"/>
        <w:tblLayout w:type="fixed"/>
        <w:tblLook w:val="04A0" w:firstRow="1" w:lastRow="0" w:firstColumn="1" w:lastColumn="0" w:noHBand="0" w:noVBand="1"/>
      </w:tblPr>
      <w:tblGrid>
        <w:gridCol w:w="1142"/>
        <w:gridCol w:w="946"/>
        <w:gridCol w:w="930"/>
        <w:gridCol w:w="967"/>
        <w:gridCol w:w="884"/>
        <w:gridCol w:w="866"/>
        <w:gridCol w:w="945"/>
        <w:gridCol w:w="945"/>
      </w:tblGrid>
      <w:tr w:rsidR="00F06229" w:rsidRPr="005734B8" w14:paraId="3C9F1091" w14:textId="77777777" w:rsidTr="000F48B1">
        <w:trPr>
          <w:trHeight w:val="198"/>
        </w:trPr>
        <w:tc>
          <w:tcPr>
            <w:tcW w:w="1142" w:type="dxa"/>
            <w:tcBorders>
              <w:top w:val="nil"/>
              <w:left w:val="single" w:sz="4" w:space="0" w:color="FFFFFF"/>
              <w:bottom w:val="single" w:sz="4" w:space="0" w:color="FFFFFF"/>
              <w:right w:val="single" w:sz="4" w:space="0" w:color="FFFFFF"/>
            </w:tcBorders>
            <w:shd w:val="clear" w:color="000000" w:fill="AF272F"/>
            <w:hideMark/>
          </w:tcPr>
          <w:p w14:paraId="2A69A76C" w14:textId="77777777" w:rsidR="00F06229" w:rsidRPr="005734B8" w:rsidRDefault="00F06229" w:rsidP="000F48B1">
            <w:pPr>
              <w:rPr>
                <w:rFonts w:ascii="Calibri" w:hAnsi="Calibri" w:cs="Calibri"/>
                <w:b/>
                <w:color w:val="FFFFFF"/>
                <w:sz w:val="16"/>
                <w:szCs w:val="16"/>
              </w:rPr>
            </w:pPr>
            <w:bookmarkStart w:id="1394" w:name="Note_CALTABLE1" w:colFirst="0" w:colLast="0"/>
            <w:r w:rsidRPr="005734B8">
              <w:rPr>
                <w:rFonts w:ascii="Calibri" w:hAnsi="Calibri" w:cs="Calibri"/>
                <w:b/>
                <w:color w:val="FFFFFF"/>
                <w:sz w:val="16"/>
                <w:szCs w:val="16"/>
              </w:rPr>
              <w:t> </w:t>
            </w:r>
          </w:p>
        </w:tc>
        <w:tc>
          <w:tcPr>
            <w:tcW w:w="946" w:type="dxa"/>
            <w:tcBorders>
              <w:top w:val="nil"/>
              <w:left w:val="nil"/>
              <w:bottom w:val="single" w:sz="4" w:space="0" w:color="auto"/>
              <w:right w:val="single" w:sz="4" w:space="0" w:color="FFFFFF"/>
            </w:tcBorders>
            <w:shd w:val="clear" w:color="000000" w:fill="AF272F"/>
            <w:hideMark/>
          </w:tcPr>
          <w:p w14:paraId="32489162"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 xml:space="preserve">Strategy, review and regulation </w:t>
            </w:r>
            <w:r w:rsidRPr="005734B8">
              <w:rPr>
                <w:rFonts w:ascii="Calibri" w:hAnsi="Calibri" w:cs="Calibri"/>
                <w:b/>
                <w:color w:val="FFFFFF"/>
                <w:sz w:val="16"/>
                <w:szCs w:val="16"/>
              </w:rPr>
              <w:br/>
              <w:t>($m)</w:t>
            </w:r>
          </w:p>
        </w:tc>
        <w:tc>
          <w:tcPr>
            <w:tcW w:w="930" w:type="dxa"/>
            <w:tcBorders>
              <w:top w:val="nil"/>
              <w:left w:val="nil"/>
              <w:bottom w:val="single" w:sz="4" w:space="0" w:color="auto"/>
              <w:right w:val="single" w:sz="4" w:space="0" w:color="FFFFFF"/>
            </w:tcBorders>
            <w:shd w:val="clear" w:color="000000" w:fill="AF272F"/>
            <w:hideMark/>
          </w:tcPr>
          <w:p w14:paraId="24FE2A74"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Early childhood develop-</w:t>
            </w:r>
            <w:r w:rsidRPr="005734B8">
              <w:rPr>
                <w:rFonts w:ascii="Calibri" w:hAnsi="Calibri" w:cs="Calibri"/>
                <w:b/>
                <w:color w:val="FFFFFF"/>
                <w:sz w:val="16"/>
                <w:szCs w:val="16"/>
              </w:rPr>
              <w:br/>
              <w:t xml:space="preserve">ment </w:t>
            </w:r>
            <w:r w:rsidRPr="005734B8">
              <w:rPr>
                <w:rFonts w:ascii="Calibri" w:hAnsi="Calibri" w:cs="Calibri"/>
                <w:b/>
                <w:color w:val="FFFFFF"/>
                <w:sz w:val="16"/>
                <w:szCs w:val="16"/>
              </w:rPr>
              <w:br/>
              <w:t>($m)</w:t>
            </w:r>
          </w:p>
        </w:tc>
        <w:tc>
          <w:tcPr>
            <w:tcW w:w="967" w:type="dxa"/>
            <w:tcBorders>
              <w:top w:val="nil"/>
              <w:left w:val="nil"/>
              <w:bottom w:val="single" w:sz="4" w:space="0" w:color="auto"/>
              <w:right w:val="single" w:sz="4" w:space="0" w:color="FFFFFF"/>
            </w:tcBorders>
            <w:shd w:val="clear" w:color="000000" w:fill="AF272F"/>
            <w:hideMark/>
          </w:tcPr>
          <w:p w14:paraId="45AF736A"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 xml:space="preserve">School education </w:t>
            </w:r>
            <w:r w:rsidRPr="005734B8">
              <w:rPr>
                <w:rFonts w:ascii="Calibri" w:hAnsi="Calibri" w:cs="Calibri"/>
                <w:b/>
                <w:color w:val="FFFFFF"/>
                <w:sz w:val="16"/>
                <w:szCs w:val="16"/>
              </w:rPr>
              <w:br/>
              <w:t>($m)</w:t>
            </w:r>
          </w:p>
        </w:tc>
        <w:tc>
          <w:tcPr>
            <w:tcW w:w="884" w:type="dxa"/>
            <w:tcBorders>
              <w:top w:val="nil"/>
              <w:left w:val="nil"/>
              <w:bottom w:val="single" w:sz="4" w:space="0" w:color="auto"/>
              <w:right w:val="single" w:sz="4" w:space="0" w:color="FFFFFF"/>
            </w:tcBorders>
            <w:shd w:val="clear" w:color="000000" w:fill="AF272F"/>
            <w:hideMark/>
          </w:tcPr>
          <w:p w14:paraId="76EB8A16"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 xml:space="preserve">Higher educated and skills </w:t>
            </w:r>
            <w:r w:rsidRPr="005734B8">
              <w:rPr>
                <w:rFonts w:ascii="Calibri" w:hAnsi="Calibri" w:cs="Calibri"/>
                <w:b/>
                <w:color w:val="FFFFFF"/>
                <w:sz w:val="16"/>
                <w:szCs w:val="16"/>
              </w:rPr>
              <w:br/>
              <w:t>($m)</w:t>
            </w:r>
          </w:p>
        </w:tc>
        <w:tc>
          <w:tcPr>
            <w:tcW w:w="866" w:type="dxa"/>
            <w:tcBorders>
              <w:top w:val="nil"/>
              <w:left w:val="nil"/>
              <w:bottom w:val="single" w:sz="4" w:space="0" w:color="auto"/>
              <w:right w:val="single" w:sz="4" w:space="0" w:color="FFFFFF"/>
            </w:tcBorders>
            <w:shd w:val="clear" w:color="000000" w:fill="AF272F"/>
            <w:hideMark/>
          </w:tcPr>
          <w:p w14:paraId="451D735D"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 xml:space="preserve">Support services delivery </w:t>
            </w:r>
            <w:r w:rsidRPr="005734B8">
              <w:rPr>
                <w:rFonts w:ascii="Calibri" w:hAnsi="Calibri" w:cs="Calibri"/>
                <w:b/>
                <w:color w:val="FFFFFF"/>
                <w:sz w:val="16"/>
                <w:szCs w:val="16"/>
              </w:rPr>
              <w:br/>
              <w:t>($m)</w:t>
            </w:r>
          </w:p>
        </w:tc>
        <w:tc>
          <w:tcPr>
            <w:tcW w:w="945" w:type="dxa"/>
            <w:tcBorders>
              <w:top w:val="nil"/>
              <w:left w:val="nil"/>
              <w:bottom w:val="single" w:sz="4" w:space="0" w:color="auto"/>
              <w:right w:val="single" w:sz="4" w:space="0" w:color="FFFFFF"/>
            </w:tcBorders>
            <w:shd w:val="clear" w:color="000000" w:fill="AF272F"/>
            <w:hideMark/>
          </w:tcPr>
          <w:p w14:paraId="15DF9CEA"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 xml:space="preserve">Support for students with disabilities </w:t>
            </w:r>
            <w:r w:rsidRPr="005734B8">
              <w:rPr>
                <w:rFonts w:ascii="Calibri" w:hAnsi="Calibri" w:cs="Calibri"/>
                <w:b/>
                <w:color w:val="FFFFFF"/>
                <w:sz w:val="16"/>
                <w:szCs w:val="16"/>
              </w:rPr>
              <w:br/>
              <w:t>($m)</w:t>
            </w:r>
          </w:p>
        </w:tc>
        <w:tc>
          <w:tcPr>
            <w:tcW w:w="945" w:type="dxa"/>
            <w:tcBorders>
              <w:top w:val="nil"/>
              <w:left w:val="nil"/>
              <w:bottom w:val="single" w:sz="4" w:space="0" w:color="auto"/>
              <w:right w:val="single" w:sz="4" w:space="0" w:color="FFFFFF"/>
            </w:tcBorders>
            <w:shd w:val="clear" w:color="000000" w:fill="AF272F"/>
            <w:hideMark/>
          </w:tcPr>
          <w:p w14:paraId="3E938696"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Depart-</w:t>
            </w:r>
            <w:r w:rsidRPr="005734B8">
              <w:rPr>
                <w:rFonts w:ascii="Calibri" w:hAnsi="Calibri" w:cs="Calibri"/>
                <w:b/>
                <w:color w:val="FFFFFF"/>
                <w:sz w:val="16"/>
                <w:szCs w:val="16"/>
              </w:rPr>
              <w:br/>
              <w:t xml:space="preserve">mental total </w:t>
            </w:r>
            <w:r w:rsidRPr="005734B8">
              <w:rPr>
                <w:rFonts w:ascii="Calibri" w:hAnsi="Calibri" w:cs="Calibri"/>
                <w:b/>
                <w:color w:val="FFFFFF"/>
                <w:sz w:val="16"/>
                <w:szCs w:val="16"/>
              </w:rPr>
              <w:br/>
              <w:t>($m)</w:t>
            </w:r>
          </w:p>
        </w:tc>
      </w:tr>
      <w:bookmarkEnd w:id="1394"/>
      <w:tr w:rsidR="00F06229" w:rsidRPr="005734B8" w14:paraId="14ADB283" w14:textId="77777777" w:rsidTr="000F48B1">
        <w:trPr>
          <w:trHeight w:val="198"/>
        </w:trPr>
        <w:tc>
          <w:tcPr>
            <w:tcW w:w="1142" w:type="dxa"/>
            <w:tcBorders>
              <w:top w:val="single" w:sz="4" w:space="0" w:color="auto"/>
              <w:left w:val="single" w:sz="4" w:space="0" w:color="FFFFFF"/>
              <w:bottom w:val="single" w:sz="4" w:space="0" w:color="auto"/>
              <w:right w:val="nil"/>
            </w:tcBorders>
            <w:shd w:val="clear" w:color="000000" w:fill="D9D9D9"/>
            <w:noWrap/>
            <w:vAlign w:val="center"/>
            <w:hideMark/>
          </w:tcPr>
          <w:p w14:paraId="3D4B6FFB"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Assets</w:t>
            </w:r>
          </w:p>
        </w:tc>
        <w:tc>
          <w:tcPr>
            <w:tcW w:w="946" w:type="dxa"/>
            <w:tcBorders>
              <w:top w:val="nil"/>
              <w:left w:val="nil"/>
              <w:bottom w:val="nil"/>
              <w:right w:val="nil"/>
            </w:tcBorders>
            <w:shd w:val="clear" w:color="000000" w:fill="D9D9D9"/>
            <w:noWrap/>
            <w:vAlign w:val="center"/>
            <w:hideMark/>
          </w:tcPr>
          <w:p w14:paraId="1213B9D7"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c>
          <w:tcPr>
            <w:tcW w:w="930" w:type="dxa"/>
            <w:tcBorders>
              <w:top w:val="nil"/>
              <w:left w:val="nil"/>
              <w:bottom w:val="nil"/>
              <w:right w:val="nil"/>
            </w:tcBorders>
            <w:shd w:val="clear" w:color="000000" w:fill="D9D9D9"/>
            <w:noWrap/>
            <w:vAlign w:val="center"/>
            <w:hideMark/>
          </w:tcPr>
          <w:p w14:paraId="19CD35CA"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c>
          <w:tcPr>
            <w:tcW w:w="967" w:type="dxa"/>
            <w:tcBorders>
              <w:top w:val="nil"/>
              <w:left w:val="nil"/>
              <w:bottom w:val="nil"/>
              <w:right w:val="nil"/>
            </w:tcBorders>
            <w:shd w:val="clear" w:color="000000" w:fill="D9D9D9"/>
            <w:noWrap/>
            <w:vAlign w:val="center"/>
            <w:hideMark/>
          </w:tcPr>
          <w:p w14:paraId="70954133"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c>
          <w:tcPr>
            <w:tcW w:w="884" w:type="dxa"/>
            <w:tcBorders>
              <w:top w:val="nil"/>
              <w:left w:val="nil"/>
              <w:bottom w:val="nil"/>
              <w:right w:val="nil"/>
            </w:tcBorders>
            <w:shd w:val="clear" w:color="000000" w:fill="D9D9D9"/>
            <w:noWrap/>
            <w:vAlign w:val="center"/>
            <w:hideMark/>
          </w:tcPr>
          <w:p w14:paraId="28F331EC"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c>
          <w:tcPr>
            <w:tcW w:w="866" w:type="dxa"/>
            <w:tcBorders>
              <w:top w:val="nil"/>
              <w:left w:val="nil"/>
              <w:bottom w:val="nil"/>
              <w:right w:val="nil"/>
            </w:tcBorders>
            <w:shd w:val="clear" w:color="000000" w:fill="D9D9D9"/>
            <w:noWrap/>
            <w:vAlign w:val="center"/>
            <w:hideMark/>
          </w:tcPr>
          <w:p w14:paraId="14CEEFE5"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c>
          <w:tcPr>
            <w:tcW w:w="945" w:type="dxa"/>
            <w:tcBorders>
              <w:top w:val="nil"/>
              <w:left w:val="nil"/>
              <w:bottom w:val="nil"/>
              <w:right w:val="nil"/>
            </w:tcBorders>
            <w:shd w:val="clear" w:color="000000" w:fill="D9D9D9"/>
            <w:noWrap/>
            <w:vAlign w:val="center"/>
            <w:hideMark/>
          </w:tcPr>
          <w:p w14:paraId="61D5F0C4"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c>
          <w:tcPr>
            <w:tcW w:w="945" w:type="dxa"/>
            <w:tcBorders>
              <w:top w:val="nil"/>
              <w:left w:val="nil"/>
              <w:bottom w:val="single" w:sz="4" w:space="0" w:color="auto"/>
              <w:right w:val="nil"/>
            </w:tcBorders>
            <w:shd w:val="clear" w:color="000000" w:fill="D9D9D9"/>
            <w:noWrap/>
            <w:vAlign w:val="center"/>
            <w:hideMark/>
          </w:tcPr>
          <w:p w14:paraId="67828177"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r>
      <w:tr w:rsidR="00F06229" w:rsidRPr="005734B8" w14:paraId="41C4094C" w14:textId="77777777" w:rsidTr="000F48B1">
        <w:trPr>
          <w:trHeight w:val="198"/>
        </w:trPr>
        <w:tc>
          <w:tcPr>
            <w:tcW w:w="1142" w:type="dxa"/>
            <w:tcBorders>
              <w:top w:val="nil"/>
              <w:left w:val="single" w:sz="4" w:space="0" w:color="FFFFFF"/>
              <w:bottom w:val="single" w:sz="4" w:space="0" w:color="auto"/>
              <w:right w:val="single" w:sz="4" w:space="0" w:color="FFFFFF"/>
            </w:tcBorders>
            <w:shd w:val="clear" w:color="FFFFFF" w:fill="FFFFFF"/>
            <w:vAlign w:val="center"/>
            <w:hideMark/>
          </w:tcPr>
          <w:p w14:paraId="66A5FDDD"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Financial assets</w:t>
            </w:r>
          </w:p>
        </w:tc>
        <w:tc>
          <w:tcPr>
            <w:tcW w:w="946" w:type="dxa"/>
            <w:tcBorders>
              <w:top w:val="single" w:sz="4" w:space="0" w:color="auto"/>
              <w:left w:val="nil"/>
              <w:bottom w:val="single" w:sz="4" w:space="0" w:color="auto"/>
              <w:right w:val="single" w:sz="4" w:space="0" w:color="FFFFFF"/>
            </w:tcBorders>
            <w:shd w:val="clear" w:color="FFFFFF" w:fill="FFFFFF"/>
            <w:noWrap/>
            <w:vAlign w:val="center"/>
            <w:hideMark/>
          </w:tcPr>
          <w:p w14:paraId="090902EC"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22.1 </w:t>
            </w:r>
          </w:p>
        </w:tc>
        <w:tc>
          <w:tcPr>
            <w:tcW w:w="930" w:type="dxa"/>
            <w:tcBorders>
              <w:top w:val="single" w:sz="4" w:space="0" w:color="auto"/>
              <w:left w:val="nil"/>
              <w:bottom w:val="single" w:sz="4" w:space="0" w:color="auto"/>
              <w:right w:val="single" w:sz="4" w:space="0" w:color="FFFFFF"/>
            </w:tcBorders>
            <w:shd w:val="clear" w:color="FFFFFF" w:fill="FFFFFF"/>
            <w:noWrap/>
            <w:vAlign w:val="center"/>
            <w:hideMark/>
          </w:tcPr>
          <w:p w14:paraId="39C1BFF9"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122.9 </w:t>
            </w:r>
          </w:p>
        </w:tc>
        <w:tc>
          <w:tcPr>
            <w:tcW w:w="967" w:type="dxa"/>
            <w:tcBorders>
              <w:top w:val="single" w:sz="4" w:space="0" w:color="auto"/>
              <w:left w:val="nil"/>
              <w:bottom w:val="single" w:sz="4" w:space="0" w:color="auto"/>
              <w:right w:val="single" w:sz="4" w:space="0" w:color="FFFFFF"/>
            </w:tcBorders>
            <w:shd w:val="clear" w:color="FFFFFF" w:fill="FFFFFF"/>
            <w:noWrap/>
            <w:vAlign w:val="center"/>
            <w:hideMark/>
          </w:tcPr>
          <w:p w14:paraId="58EE7BB0"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3,318.3 </w:t>
            </w:r>
          </w:p>
        </w:tc>
        <w:tc>
          <w:tcPr>
            <w:tcW w:w="884" w:type="dxa"/>
            <w:tcBorders>
              <w:top w:val="single" w:sz="4" w:space="0" w:color="auto"/>
              <w:left w:val="nil"/>
              <w:bottom w:val="single" w:sz="4" w:space="0" w:color="auto"/>
              <w:right w:val="single" w:sz="4" w:space="0" w:color="FFFFFF"/>
            </w:tcBorders>
            <w:shd w:val="clear" w:color="FFFFFF" w:fill="FFFFFF"/>
            <w:noWrap/>
            <w:vAlign w:val="center"/>
            <w:hideMark/>
          </w:tcPr>
          <w:p w14:paraId="500BECAC"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313.7 </w:t>
            </w:r>
          </w:p>
        </w:tc>
        <w:tc>
          <w:tcPr>
            <w:tcW w:w="866" w:type="dxa"/>
            <w:tcBorders>
              <w:top w:val="single" w:sz="4" w:space="0" w:color="auto"/>
              <w:left w:val="nil"/>
              <w:bottom w:val="single" w:sz="4" w:space="0" w:color="auto"/>
              <w:right w:val="single" w:sz="4" w:space="0" w:color="FFFFFF"/>
            </w:tcBorders>
            <w:shd w:val="clear" w:color="FFFFFF" w:fill="FFFFFF"/>
            <w:noWrap/>
            <w:vAlign w:val="center"/>
            <w:hideMark/>
          </w:tcPr>
          <w:p w14:paraId="7483653D"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114.2 </w:t>
            </w:r>
          </w:p>
        </w:tc>
        <w:tc>
          <w:tcPr>
            <w:tcW w:w="945" w:type="dxa"/>
            <w:tcBorders>
              <w:top w:val="single" w:sz="4" w:space="0" w:color="auto"/>
              <w:left w:val="nil"/>
              <w:bottom w:val="single" w:sz="4" w:space="0" w:color="auto"/>
              <w:right w:val="single" w:sz="4" w:space="0" w:color="FFFFFF"/>
            </w:tcBorders>
            <w:shd w:val="clear" w:color="FFFFFF" w:fill="FFFFFF"/>
            <w:noWrap/>
            <w:vAlign w:val="center"/>
            <w:hideMark/>
          </w:tcPr>
          <w:p w14:paraId="6FCFBE6F"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350.2 </w:t>
            </w:r>
          </w:p>
        </w:tc>
        <w:tc>
          <w:tcPr>
            <w:tcW w:w="945" w:type="dxa"/>
            <w:tcBorders>
              <w:top w:val="nil"/>
              <w:left w:val="nil"/>
              <w:bottom w:val="single" w:sz="4" w:space="0" w:color="auto"/>
              <w:right w:val="single" w:sz="4" w:space="0" w:color="FFFFFF"/>
            </w:tcBorders>
            <w:shd w:val="clear" w:color="FFFFFF" w:fill="FFFFFF"/>
            <w:noWrap/>
            <w:vAlign w:val="center"/>
            <w:hideMark/>
          </w:tcPr>
          <w:p w14:paraId="0FC98A1C"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4,241.4 </w:t>
            </w:r>
          </w:p>
        </w:tc>
      </w:tr>
      <w:tr w:rsidR="00F06229" w:rsidRPr="005734B8" w14:paraId="4AE63330" w14:textId="77777777" w:rsidTr="000F48B1">
        <w:trPr>
          <w:trHeight w:val="198"/>
        </w:trPr>
        <w:tc>
          <w:tcPr>
            <w:tcW w:w="1142" w:type="dxa"/>
            <w:tcBorders>
              <w:top w:val="nil"/>
              <w:left w:val="single" w:sz="4" w:space="0" w:color="FFFFFF"/>
              <w:bottom w:val="single" w:sz="4" w:space="0" w:color="auto"/>
              <w:right w:val="single" w:sz="4" w:space="0" w:color="FFFFFF"/>
            </w:tcBorders>
            <w:shd w:val="clear" w:color="FFFFFF" w:fill="FFFFFF"/>
            <w:vAlign w:val="center"/>
            <w:hideMark/>
          </w:tcPr>
          <w:p w14:paraId="18A57A22"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Non-financial assets</w:t>
            </w:r>
          </w:p>
        </w:tc>
        <w:tc>
          <w:tcPr>
            <w:tcW w:w="946" w:type="dxa"/>
            <w:tcBorders>
              <w:top w:val="nil"/>
              <w:left w:val="nil"/>
              <w:bottom w:val="single" w:sz="4" w:space="0" w:color="auto"/>
              <w:right w:val="single" w:sz="4" w:space="0" w:color="FFFFFF"/>
            </w:tcBorders>
            <w:shd w:val="clear" w:color="FFFFFF" w:fill="FFFFFF"/>
            <w:noWrap/>
            <w:vAlign w:val="center"/>
            <w:hideMark/>
          </w:tcPr>
          <w:p w14:paraId="1F4B35CF"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15.4 </w:t>
            </w:r>
          </w:p>
        </w:tc>
        <w:tc>
          <w:tcPr>
            <w:tcW w:w="930" w:type="dxa"/>
            <w:tcBorders>
              <w:top w:val="nil"/>
              <w:left w:val="nil"/>
              <w:bottom w:val="single" w:sz="4" w:space="0" w:color="auto"/>
              <w:right w:val="single" w:sz="4" w:space="0" w:color="FFFFFF"/>
            </w:tcBorders>
            <w:shd w:val="clear" w:color="FFFFFF" w:fill="FFFFFF"/>
            <w:noWrap/>
            <w:vAlign w:val="center"/>
            <w:hideMark/>
          </w:tcPr>
          <w:p w14:paraId="235BF64E"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202.1 </w:t>
            </w:r>
          </w:p>
        </w:tc>
        <w:tc>
          <w:tcPr>
            <w:tcW w:w="967" w:type="dxa"/>
            <w:tcBorders>
              <w:top w:val="nil"/>
              <w:left w:val="nil"/>
              <w:bottom w:val="single" w:sz="4" w:space="0" w:color="auto"/>
              <w:right w:val="single" w:sz="4" w:space="0" w:color="FFFFFF"/>
            </w:tcBorders>
            <w:shd w:val="clear" w:color="FFFFFF" w:fill="FFFFFF"/>
            <w:noWrap/>
            <w:vAlign w:val="center"/>
            <w:hideMark/>
          </w:tcPr>
          <w:p w14:paraId="1A04D958"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26,275.6 </w:t>
            </w:r>
          </w:p>
        </w:tc>
        <w:tc>
          <w:tcPr>
            <w:tcW w:w="884" w:type="dxa"/>
            <w:tcBorders>
              <w:top w:val="nil"/>
              <w:left w:val="nil"/>
              <w:bottom w:val="single" w:sz="4" w:space="0" w:color="auto"/>
              <w:right w:val="single" w:sz="4" w:space="0" w:color="FFFFFF"/>
            </w:tcBorders>
            <w:shd w:val="clear" w:color="FFFFFF" w:fill="FFFFFF"/>
            <w:noWrap/>
            <w:vAlign w:val="center"/>
            <w:hideMark/>
          </w:tcPr>
          <w:p w14:paraId="4712B1A0"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8.2 </w:t>
            </w:r>
          </w:p>
        </w:tc>
        <w:tc>
          <w:tcPr>
            <w:tcW w:w="866" w:type="dxa"/>
            <w:tcBorders>
              <w:top w:val="nil"/>
              <w:left w:val="nil"/>
              <w:bottom w:val="single" w:sz="4" w:space="0" w:color="auto"/>
              <w:right w:val="single" w:sz="4" w:space="0" w:color="FFFFFF"/>
            </w:tcBorders>
            <w:shd w:val="clear" w:color="FFFFFF" w:fill="FFFFFF"/>
            <w:noWrap/>
            <w:vAlign w:val="center"/>
            <w:hideMark/>
          </w:tcPr>
          <w:p w14:paraId="33352ADB"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148.2 </w:t>
            </w:r>
          </w:p>
        </w:tc>
        <w:tc>
          <w:tcPr>
            <w:tcW w:w="945" w:type="dxa"/>
            <w:tcBorders>
              <w:top w:val="nil"/>
              <w:left w:val="nil"/>
              <w:bottom w:val="single" w:sz="4" w:space="0" w:color="auto"/>
              <w:right w:val="single" w:sz="4" w:space="0" w:color="FFFFFF"/>
            </w:tcBorders>
            <w:shd w:val="clear" w:color="FFFFFF" w:fill="FFFFFF"/>
            <w:noWrap/>
            <w:vAlign w:val="center"/>
            <w:hideMark/>
          </w:tcPr>
          <w:p w14:paraId="19B9E455"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2,644.5 </w:t>
            </w:r>
          </w:p>
        </w:tc>
        <w:tc>
          <w:tcPr>
            <w:tcW w:w="945" w:type="dxa"/>
            <w:tcBorders>
              <w:top w:val="nil"/>
              <w:left w:val="nil"/>
              <w:bottom w:val="single" w:sz="4" w:space="0" w:color="auto"/>
              <w:right w:val="single" w:sz="4" w:space="0" w:color="FFFFFF"/>
            </w:tcBorders>
            <w:shd w:val="clear" w:color="FFFFFF" w:fill="FFFFFF"/>
            <w:noWrap/>
            <w:vAlign w:val="center"/>
            <w:hideMark/>
          </w:tcPr>
          <w:p w14:paraId="0B796361"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29,294.0 </w:t>
            </w:r>
          </w:p>
        </w:tc>
      </w:tr>
      <w:tr w:rsidR="00F06229" w:rsidRPr="005734B8" w14:paraId="2B7E2604" w14:textId="77777777" w:rsidTr="000F48B1">
        <w:trPr>
          <w:trHeight w:val="198"/>
        </w:trPr>
        <w:tc>
          <w:tcPr>
            <w:tcW w:w="114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C46A60E"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Total assets</w:t>
            </w:r>
          </w:p>
        </w:tc>
        <w:tc>
          <w:tcPr>
            <w:tcW w:w="946" w:type="dxa"/>
            <w:tcBorders>
              <w:top w:val="single" w:sz="12" w:space="0" w:color="auto"/>
              <w:left w:val="nil"/>
              <w:bottom w:val="single" w:sz="12" w:space="0" w:color="auto"/>
              <w:right w:val="single" w:sz="12" w:space="0" w:color="FFFFFF"/>
            </w:tcBorders>
            <w:shd w:val="clear" w:color="FFFFFF" w:fill="FFFFFF"/>
            <w:noWrap/>
            <w:vAlign w:val="center"/>
            <w:hideMark/>
          </w:tcPr>
          <w:p w14:paraId="3D5D5D53"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37.5 </w:t>
            </w:r>
          </w:p>
        </w:tc>
        <w:tc>
          <w:tcPr>
            <w:tcW w:w="930" w:type="dxa"/>
            <w:tcBorders>
              <w:top w:val="single" w:sz="12" w:space="0" w:color="auto"/>
              <w:left w:val="nil"/>
              <w:bottom w:val="single" w:sz="12" w:space="0" w:color="auto"/>
              <w:right w:val="single" w:sz="12" w:space="0" w:color="FFFFFF"/>
            </w:tcBorders>
            <w:shd w:val="clear" w:color="FFFFFF" w:fill="FFFFFF"/>
            <w:noWrap/>
            <w:vAlign w:val="center"/>
            <w:hideMark/>
          </w:tcPr>
          <w:p w14:paraId="41D204E8"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325.0 </w:t>
            </w:r>
          </w:p>
        </w:tc>
        <w:tc>
          <w:tcPr>
            <w:tcW w:w="967" w:type="dxa"/>
            <w:tcBorders>
              <w:top w:val="single" w:sz="12" w:space="0" w:color="auto"/>
              <w:left w:val="nil"/>
              <w:bottom w:val="single" w:sz="12" w:space="0" w:color="auto"/>
              <w:right w:val="single" w:sz="12" w:space="0" w:color="FFFFFF"/>
            </w:tcBorders>
            <w:shd w:val="clear" w:color="FFFFFF" w:fill="FFFFFF"/>
            <w:noWrap/>
            <w:vAlign w:val="center"/>
            <w:hideMark/>
          </w:tcPr>
          <w:p w14:paraId="31130443"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29,593.9 </w:t>
            </w:r>
          </w:p>
        </w:tc>
        <w:tc>
          <w:tcPr>
            <w:tcW w:w="884" w:type="dxa"/>
            <w:tcBorders>
              <w:top w:val="single" w:sz="12" w:space="0" w:color="auto"/>
              <w:left w:val="nil"/>
              <w:bottom w:val="single" w:sz="12" w:space="0" w:color="auto"/>
              <w:right w:val="single" w:sz="12" w:space="0" w:color="FFFFFF"/>
            </w:tcBorders>
            <w:shd w:val="clear" w:color="FFFFFF" w:fill="FFFFFF"/>
            <w:noWrap/>
            <w:vAlign w:val="center"/>
            <w:hideMark/>
          </w:tcPr>
          <w:p w14:paraId="419738DC"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321.9 </w:t>
            </w:r>
          </w:p>
        </w:tc>
        <w:tc>
          <w:tcPr>
            <w:tcW w:w="866" w:type="dxa"/>
            <w:tcBorders>
              <w:top w:val="single" w:sz="12" w:space="0" w:color="auto"/>
              <w:left w:val="nil"/>
              <w:bottom w:val="single" w:sz="12" w:space="0" w:color="auto"/>
              <w:right w:val="single" w:sz="12" w:space="0" w:color="FFFFFF"/>
            </w:tcBorders>
            <w:shd w:val="clear" w:color="FFFFFF" w:fill="FFFFFF"/>
            <w:noWrap/>
            <w:vAlign w:val="center"/>
            <w:hideMark/>
          </w:tcPr>
          <w:p w14:paraId="616D2470"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262.4 </w:t>
            </w:r>
          </w:p>
        </w:tc>
        <w:tc>
          <w:tcPr>
            <w:tcW w:w="945" w:type="dxa"/>
            <w:tcBorders>
              <w:top w:val="single" w:sz="12" w:space="0" w:color="auto"/>
              <w:left w:val="nil"/>
              <w:bottom w:val="single" w:sz="12" w:space="0" w:color="auto"/>
              <w:right w:val="single" w:sz="12" w:space="0" w:color="FFFFFF"/>
            </w:tcBorders>
            <w:shd w:val="clear" w:color="FFFFFF" w:fill="FFFFFF"/>
            <w:noWrap/>
            <w:vAlign w:val="center"/>
            <w:hideMark/>
          </w:tcPr>
          <w:p w14:paraId="331BD8B2"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2,994.7 </w:t>
            </w:r>
          </w:p>
        </w:tc>
        <w:tc>
          <w:tcPr>
            <w:tcW w:w="945" w:type="dxa"/>
            <w:tcBorders>
              <w:top w:val="single" w:sz="12" w:space="0" w:color="auto"/>
              <w:left w:val="nil"/>
              <w:bottom w:val="single" w:sz="12" w:space="0" w:color="auto"/>
              <w:right w:val="single" w:sz="12" w:space="0" w:color="FFFFFF"/>
            </w:tcBorders>
            <w:shd w:val="clear" w:color="FFFFFF" w:fill="FFFFFF"/>
            <w:noWrap/>
            <w:vAlign w:val="center"/>
            <w:hideMark/>
          </w:tcPr>
          <w:p w14:paraId="4E54EFBE"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33,535.4 </w:t>
            </w:r>
          </w:p>
        </w:tc>
      </w:tr>
      <w:tr w:rsidR="00F06229" w:rsidRPr="005734B8" w14:paraId="5428A289" w14:textId="77777777" w:rsidTr="000F48B1">
        <w:trPr>
          <w:trHeight w:val="198"/>
        </w:trPr>
        <w:tc>
          <w:tcPr>
            <w:tcW w:w="1142" w:type="dxa"/>
            <w:tcBorders>
              <w:top w:val="single" w:sz="4" w:space="0" w:color="auto"/>
              <w:left w:val="single" w:sz="4" w:space="0" w:color="FFFFFF"/>
              <w:bottom w:val="single" w:sz="4" w:space="0" w:color="auto"/>
              <w:right w:val="nil"/>
            </w:tcBorders>
            <w:shd w:val="clear" w:color="000000" w:fill="D9D9D9"/>
            <w:noWrap/>
            <w:vAlign w:val="center"/>
            <w:hideMark/>
          </w:tcPr>
          <w:p w14:paraId="218520B3"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Liabilities</w:t>
            </w:r>
          </w:p>
        </w:tc>
        <w:tc>
          <w:tcPr>
            <w:tcW w:w="946" w:type="dxa"/>
            <w:tcBorders>
              <w:top w:val="nil"/>
              <w:left w:val="nil"/>
              <w:bottom w:val="nil"/>
              <w:right w:val="nil"/>
            </w:tcBorders>
            <w:shd w:val="clear" w:color="000000" w:fill="D9D9D9"/>
            <w:noWrap/>
            <w:vAlign w:val="center"/>
            <w:hideMark/>
          </w:tcPr>
          <w:p w14:paraId="0B44442E"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c>
          <w:tcPr>
            <w:tcW w:w="930" w:type="dxa"/>
            <w:tcBorders>
              <w:top w:val="nil"/>
              <w:left w:val="nil"/>
              <w:bottom w:val="nil"/>
              <w:right w:val="nil"/>
            </w:tcBorders>
            <w:shd w:val="clear" w:color="000000" w:fill="D9D9D9"/>
            <w:noWrap/>
            <w:vAlign w:val="center"/>
            <w:hideMark/>
          </w:tcPr>
          <w:p w14:paraId="54F84152"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c>
          <w:tcPr>
            <w:tcW w:w="967" w:type="dxa"/>
            <w:tcBorders>
              <w:top w:val="nil"/>
              <w:left w:val="nil"/>
              <w:bottom w:val="nil"/>
              <w:right w:val="nil"/>
            </w:tcBorders>
            <w:shd w:val="clear" w:color="000000" w:fill="D9D9D9"/>
            <w:noWrap/>
            <w:vAlign w:val="center"/>
            <w:hideMark/>
          </w:tcPr>
          <w:p w14:paraId="52EED1DC"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c>
          <w:tcPr>
            <w:tcW w:w="884" w:type="dxa"/>
            <w:tcBorders>
              <w:top w:val="nil"/>
              <w:left w:val="nil"/>
              <w:bottom w:val="nil"/>
              <w:right w:val="nil"/>
            </w:tcBorders>
            <w:shd w:val="clear" w:color="000000" w:fill="D9D9D9"/>
            <w:noWrap/>
            <w:vAlign w:val="center"/>
            <w:hideMark/>
          </w:tcPr>
          <w:p w14:paraId="2EF5D46B"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c>
          <w:tcPr>
            <w:tcW w:w="866" w:type="dxa"/>
            <w:tcBorders>
              <w:top w:val="nil"/>
              <w:left w:val="nil"/>
              <w:bottom w:val="nil"/>
              <w:right w:val="nil"/>
            </w:tcBorders>
            <w:shd w:val="clear" w:color="000000" w:fill="D9D9D9"/>
            <w:noWrap/>
            <w:vAlign w:val="center"/>
            <w:hideMark/>
          </w:tcPr>
          <w:p w14:paraId="27E2CB23"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c>
          <w:tcPr>
            <w:tcW w:w="945" w:type="dxa"/>
            <w:tcBorders>
              <w:top w:val="nil"/>
              <w:left w:val="nil"/>
              <w:bottom w:val="nil"/>
              <w:right w:val="nil"/>
            </w:tcBorders>
            <w:shd w:val="clear" w:color="000000" w:fill="D9D9D9"/>
            <w:noWrap/>
            <w:vAlign w:val="center"/>
            <w:hideMark/>
          </w:tcPr>
          <w:p w14:paraId="4297D562"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c>
          <w:tcPr>
            <w:tcW w:w="945" w:type="dxa"/>
            <w:tcBorders>
              <w:top w:val="single" w:sz="4" w:space="0" w:color="auto"/>
              <w:left w:val="nil"/>
              <w:bottom w:val="single" w:sz="4" w:space="0" w:color="auto"/>
              <w:right w:val="nil"/>
            </w:tcBorders>
            <w:shd w:val="clear" w:color="000000" w:fill="D9D9D9"/>
            <w:noWrap/>
            <w:vAlign w:val="center"/>
            <w:hideMark/>
          </w:tcPr>
          <w:p w14:paraId="55E1D802"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r>
      <w:tr w:rsidR="00F06229" w:rsidRPr="005734B8" w14:paraId="56962EAC" w14:textId="77777777" w:rsidTr="000F48B1">
        <w:trPr>
          <w:trHeight w:val="198"/>
        </w:trPr>
        <w:tc>
          <w:tcPr>
            <w:tcW w:w="1142" w:type="dxa"/>
            <w:tcBorders>
              <w:top w:val="nil"/>
              <w:left w:val="single" w:sz="4" w:space="0" w:color="FFFFFF"/>
              <w:bottom w:val="single" w:sz="4" w:space="0" w:color="auto"/>
              <w:right w:val="single" w:sz="4" w:space="0" w:color="FFFFFF"/>
            </w:tcBorders>
            <w:shd w:val="clear" w:color="FFFFFF" w:fill="FFFFFF"/>
            <w:vAlign w:val="center"/>
            <w:hideMark/>
          </w:tcPr>
          <w:p w14:paraId="35F04B7F"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Liabilities</w:t>
            </w:r>
          </w:p>
        </w:tc>
        <w:tc>
          <w:tcPr>
            <w:tcW w:w="946" w:type="dxa"/>
            <w:tcBorders>
              <w:top w:val="single" w:sz="4" w:space="0" w:color="auto"/>
              <w:left w:val="nil"/>
              <w:bottom w:val="single" w:sz="4" w:space="0" w:color="auto"/>
              <w:right w:val="single" w:sz="4" w:space="0" w:color="FFFFFF"/>
            </w:tcBorders>
            <w:shd w:val="clear" w:color="FFFFFF" w:fill="FFFFFF"/>
            <w:noWrap/>
            <w:vAlign w:val="center"/>
            <w:hideMark/>
          </w:tcPr>
          <w:p w14:paraId="5E8D05ED"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24.4 </w:t>
            </w:r>
          </w:p>
        </w:tc>
        <w:tc>
          <w:tcPr>
            <w:tcW w:w="930" w:type="dxa"/>
            <w:tcBorders>
              <w:top w:val="single" w:sz="4" w:space="0" w:color="auto"/>
              <w:left w:val="nil"/>
              <w:bottom w:val="single" w:sz="4" w:space="0" w:color="auto"/>
              <w:right w:val="single" w:sz="4" w:space="0" w:color="FFFFFF"/>
            </w:tcBorders>
            <w:shd w:val="clear" w:color="FFFFFF" w:fill="FFFFFF"/>
            <w:noWrap/>
            <w:vAlign w:val="center"/>
            <w:hideMark/>
          </w:tcPr>
          <w:p w14:paraId="6329372D"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39.2 </w:t>
            </w:r>
          </w:p>
        </w:tc>
        <w:tc>
          <w:tcPr>
            <w:tcW w:w="967" w:type="dxa"/>
            <w:tcBorders>
              <w:top w:val="single" w:sz="4" w:space="0" w:color="auto"/>
              <w:left w:val="nil"/>
              <w:bottom w:val="single" w:sz="4" w:space="0" w:color="auto"/>
              <w:right w:val="single" w:sz="4" w:space="0" w:color="FFFFFF"/>
            </w:tcBorders>
            <w:shd w:val="clear" w:color="FFFFFF" w:fill="FFFFFF"/>
            <w:noWrap/>
            <w:vAlign w:val="center"/>
            <w:hideMark/>
          </w:tcPr>
          <w:p w14:paraId="3F36B0A2"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2,676.7 </w:t>
            </w:r>
          </w:p>
        </w:tc>
        <w:tc>
          <w:tcPr>
            <w:tcW w:w="884" w:type="dxa"/>
            <w:tcBorders>
              <w:top w:val="single" w:sz="4" w:space="0" w:color="auto"/>
              <w:left w:val="nil"/>
              <w:bottom w:val="single" w:sz="4" w:space="0" w:color="auto"/>
              <w:right w:val="single" w:sz="4" w:space="0" w:color="FFFFFF"/>
            </w:tcBorders>
            <w:shd w:val="clear" w:color="FFFFFF" w:fill="FFFFFF"/>
            <w:noWrap/>
            <w:vAlign w:val="center"/>
            <w:hideMark/>
          </w:tcPr>
          <w:p w14:paraId="30231749"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118.9 </w:t>
            </w:r>
          </w:p>
        </w:tc>
        <w:tc>
          <w:tcPr>
            <w:tcW w:w="866" w:type="dxa"/>
            <w:tcBorders>
              <w:top w:val="single" w:sz="4" w:space="0" w:color="auto"/>
              <w:left w:val="nil"/>
              <w:bottom w:val="single" w:sz="4" w:space="0" w:color="auto"/>
              <w:right w:val="single" w:sz="4" w:space="0" w:color="FFFFFF"/>
            </w:tcBorders>
            <w:shd w:val="clear" w:color="FFFFFF" w:fill="FFFFFF"/>
            <w:noWrap/>
            <w:vAlign w:val="center"/>
            <w:hideMark/>
          </w:tcPr>
          <w:p w14:paraId="4D411C97"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91.4 </w:t>
            </w:r>
          </w:p>
        </w:tc>
        <w:tc>
          <w:tcPr>
            <w:tcW w:w="945" w:type="dxa"/>
            <w:tcBorders>
              <w:top w:val="single" w:sz="4" w:space="0" w:color="auto"/>
              <w:left w:val="nil"/>
              <w:bottom w:val="single" w:sz="4" w:space="0" w:color="auto"/>
              <w:right w:val="single" w:sz="4" w:space="0" w:color="FFFFFF"/>
            </w:tcBorders>
            <w:shd w:val="clear" w:color="FFFFFF" w:fill="FFFFFF"/>
            <w:noWrap/>
            <w:vAlign w:val="center"/>
            <w:hideMark/>
          </w:tcPr>
          <w:p w14:paraId="55F2BB39"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352.3 </w:t>
            </w:r>
          </w:p>
        </w:tc>
        <w:tc>
          <w:tcPr>
            <w:tcW w:w="945" w:type="dxa"/>
            <w:tcBorders>
              <w:top w:val="nil"/>
              <w:left w:val="nil"/>
              <w:bottom w:val="single" w:sz="4" w:space="0" w:color="auto"/>
              <w:right w:val="single" w:sz="4" w:space="0" w:color="FFFFFF"/>
            </w:tcBorders>
            <w:shd w:val="clear" w:color="FFFFFF" w:fill="FFFFFF"/>
            <w:noWrap/>
            <w:vAlign w:val="center"/>
            <w:hideMark/>
          </w:tcPr>
          <w:p w14:paraId="5C0568E6"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3,302.9 </w:t>
            </w:r>
          </w:p>
        </w:tc>
      </w:tr>
      <w:tr w:rsidR="00F06229" w:rsidRPr="005734B8" w14:paraId="6AB0F3E6" w14:textId="77777777" w:rsidTr="000F48B1">
        <w:trPr>
          <w:trHeight w:val="198"/>
        </w:trPr>
        <w:tc>
          <w:tcPr>
            <w:tcW w:w="1142" w:type="dxa"/>
            <w:tcBorders>
              <w:top w:val="single" w:sz="12" w:space="0" w:color="auto"/>
              <w:left w:val="single" w:sz="12" w:space="0" w:color="FFFFFF"/>
              <w:bottom w:val="single" w:sz="12" w:space="0" w:color="auto"/>
              <w:right w:val="single" w:sz="12" w:space="0" w:color="FFFFFF"/>
            </w:tcBorders>
            <w:shd w:val="clear" w:color="FFFFFF" w:fill="FFFFFF"/>
            <w:noWrap/>
            <w:vAlign w:val="center"/>
            <w:hideMark/>
          </w:tcPr>
          <w:p w14:paraId="5A8964A2"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Total Liabilities</w:t>
            </w:r>
          </w:p>
        </w:tc>
        <w:tc>
          <w:tcPr>
            <w:tcW w:w="946" w:type="dxa"/>
            <w:tcBorders>
              <w:top w:val="single" w:sz="12" w:space="0" w:color="auto"/>
              <w:left w:val="nil"/>
              <w:bottom w:val="single" w:sz="12" w:space="0" w:color="auto"/>
              <w:right w:val="single" w:sz="12" w:space="0" w:color="FFFFFF"/>
            </w:tcBorders>
            <w:shd w:val="clear" w:color="FFFFFF" w:fill="FFFFFF"/>
            <w:noWrap/>
            <w:vAlign w:val="center"/>
            <w:hideMark/>
          </w:tcPr>
          <w:p w14:paraId="63E6871F"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24.4 </w:t>
            </w:r>
          </w:p>
        </w:tc>
        <w:tc>
          <w:tcPr>
            <w:tcW w:w="930" w:type="dxa"/>
            <w:tcBorders>
              <w:top w:val="single" w:sz="12" w:space="0" w:color="auto"/>
              <w:left w:val="nil"/>
              <w:bottom w:val="single" w:sz="12" w:space="0" w:color="auto"/>
              <w:right w:val="single" w:sz="12" w:space="0" w:color="FFFFFF"/>
            </w:tcBorders>
            <w:shd w:val="clear" w:color="FFFFFF" w:fill="FFFFFF"/>
            <w:noWrap/>
            <w:vAlign w:val="center"/>
            <w:hideMark/>
          </w:tcPr>
          <w:p w14:paraId="1DDA9C29"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39.2 </w:t>
            </w:r>
          </w:p>
        </w:tc>
        <w:tc>
          <w:tcPr>
            <w:tcW w:w="967" w:type="dxa"/>
            <w:tcBorders>
              <w:top w:val="single" w:sz="12" w:space="0" w:color="auto"/>
              <w:left w:val="nil"/>
              <w:bottom w:val="single" w:sz="12" w:space="0" w:color="auto"/>
              <w:right w:val="single" w:sz="12" w:space="0" w:color="FFFFFF"/>
            </w:tcBorders>
            <w:shd w:val="clear" w:color="FFFFFF" w:fill="FFFFFF"/>
            <w:noWrap/>
            <w:vAlign w:val="center"/>
            <w:hideMark/>
          </w:tcPr>
          <w:p w14:paraId="66A599F3"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2,676.7 </w:t>
            </w:r>
          </w:p>
        </w:tc>
        <w:tc>
          <w:tcPr>
            <w:tcW w:w="884" w:type="dxa"/>
            <w:tcBorders>
              <w:top w:val="single" w:sz="12" w:space="0" w:color="auto"/>
              <w:left w:val="nil"/>
              <w:bottom w:val="single" w:sz="12" w:space="0" w:color="auto"/>
              <w:right w:val="single" w:sz="12" w:space="0" w:color="FFFFFF"/>
            </w:tcBorders>
            <w:shd w:val="clear" w:color="FFFFFF" w:fill="FFFFFF"/>
            <w:noWrap/>
            <w:vAlign w:val="center"/>
            <w:hideMark/>
          </w:tcPr>
          <w:p w14:paraId="7A0FDCEF"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118.9 </w:t>
            </w:r>
          </w:p>
        </w:tc>
        <w:tc>
          <w:tcPr>
            <w:tcW w:w="866" w:type="dxa"/>
            <w:tcBorders>
              <w:top w:val="single" w:sz="12" w:space="0" w:color="auto"/>
              <w:left w:val="nil"/>
              <w:bottom w:val="single" w:sz="12" w:space="0" w:color="auto"/>
              <w:right w:val="single" w:sz="12" w:space="0" w:color="FFFFFF"/>
            </w:tcBorders>
            <w:shd w:val="clear" w:color="FFFFFF" w:fill="FFFFFF"/>
            <w:noWrap/>
            <w:vAlign w:val="center"/>
            <w:hideMark/>
          </w:tcPr>
          <w:p w14:paraId="4D9BBEF9"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91.4 </w:t>
            </w:r>
          </w:p>
        </w:tc>
        <w:tc>
          <w:tcPr>
            <w:tcW w:w="945" w:type="dxa"/>
            <w:tcBorders>
              <w:top w:val="single" w:sz="12" w:space="0" w:color="auto"/>
              <w:left w:val="nil"/>
              <w:bottom w:val="single" w:sz="12" w:space="0" w:color="auto"/>
              <w:right w:val="single" w:sz="12" w:space="0" w:color="FFFFFF"/>
            </w:tcBorders>
            <w:shd w:val="clear" w:color="FFFFFF" w:fill="FFFFFF"/>
            <w:noWrap/>
            <w:vAlign w:val="center"/>
            <w:hideMark/>
          </w:tcPr>
          <w:p w14:paraId="6AFA43ED"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352.3 </w:t>
            </w:r>
          </w:p>
        </w:tc>
        <w:tc>
          <w:tcPr>
            <w:tcW w:w="945" w:type="dxa"/>
            <w:tcBorders>
              <w:top w:val="single" w:sz="12" w:space="0" w:color="auto"/>
              <w:left w:val="nil"/>
              <w:bottom w:val="single" w:sz="12" w:space="0" w:color="auto"/>
              <w:right w:val="single" w:sz="12" w:space="0" w:color="FFFFFF"/>
            </w:tcBorders>
            <w:shd w:val="clear" w:color="FFFFFF" w:fill="FFFFFF"/>
            <w:noWrap/>
            <w:vAlign w:val="center"/>
            <w:hideMark/>
          </w:tcPr>
          <w:p w14:paraId="1E0CC366"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3,302.9 </w:t>
            </w:r>
          </w:p>
        </w:tc>
      </w:tr>
      <w:tr w:rsidR="00F06229" w:rsidRPr="005734B8" w14:paraId="3A15D55A" w14:textId="77777777" w:rsidTr="000F48B1">
        <w:trPr>
          <w:trHeight w:val="198"/>
        </w:trPr>
        <w:tc>
          <w:tcPr>
            <w:tcW w:w="1142" w:type="dxa"/>
            <w:tcBorders>
              <w:top w:val="nil"/>
              <w:left w:val="single" w:sz="12" w:space="0" w:color="FFFFFF"/>
              <w:bottom w:val="single" w:sz="12" w:space="0" w:color="auto"/>
              <w:right w:val="single" w:sz="12" w:space="0" w:color="FFFFFF"/>
            </w:tcBorders>
            <w:shd w:val="clear" w:color="FFFFFF" w:fill="FFFFFF"/>
            <w:noWrap/>
            <w:vAlign w:val="center"/>
            <w:hideMark/>
          </w:tcPr>
          <w:p w14:paraId="2189A236" w14:textId="23301191" w:rsidR="00F06229" w:rsidRPr="005734B8" w:rsidRDefault="00F06229" w:rsidP="000F48B1">
            <w:pPr>
              <w:rPr>
                <w:rFonts w:ascii="Calibri" w:hAnsi="Calibri" w:cs="Calibri"/>
                <w:b/>
                <w:sz w:val="18"/>
                <w:szCs w:val="18"/>
              </w:rPr>
            </w:pPr>
            <w:r w:rsidRPr="005734B8">
              <w:rPr>
                <w:rFonts w:ascii="Calibri" w:hAnsi="Calibri" w:cs="Calibri"/>
                <w:b/>
                <w:sz w:val="18"/>
                <w:szCs w:val="18"/>
              </w:rPr>
              <w:t>Net assets</w:t>
            </w:r>
          </w:p>
        </w:tc>
        <w:tc>
          <w:tcPr>
            <w:tcW w:w="946" w:type="dxa"/>
            <w:tcBorders>
              <w:top w:val="nil"/>
              <w:left w:val="nil"/>
              <w:bottom w:val="single" w:sz="12" w:space="0" w:color="auto"/>
              <w:right w:val="single" w:sz="12" w:space="0" w:color="FFFFFF"/>
            </w:tcBorders>
            <w:shd w:val="clear" w:color="FFFFFF" w:fill="FFFFFF"/>
            <w:noWrap/>
            <w:vAlign w:val="center"/>
            <w:hideMark/>
          </w:tcPr>
          <w:p w14:paraId="3820BB6C"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13.1 </w:t>
            </w:r>
          </w:p>
        </w:tc>
        <w:tc>
          <w:tcPr>
            <w:tcW w:w="930" w:type="dxa"/>
            <w:tcBorders>
              <w:top w:val="nil"/>
              <w:left w:val="nil"/>
              <w:bottom w:val="single" w:sz="12" w:space="0" w:color="auto"/>
              <w:right w:val="single" w:sz="12" w:space="0" w:color="FFFFFF"/>
            </w:tcBorders>
            <w:shd w:val="clear" w:color="FFFFFF" w:fill="FFFFFF"/>
            <w:noWrap/>
            <w:vAlign w:val="center"/>
            <w:hideMark/>
          </w:tcPr>
          <w:p w14:paraId="5AC2F4DA"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285.8 </w:t>
            </w:r>
          </w:p>
        </w:tc>
        <w:tc>
          <w:tcPr>
            <w:tcW w:w="967" w:type="dxa"/>
            <w:tcBorders>
              <w:top w:val="nil"/>
              <w:left w:val="nil"/>
              <w:bottom w:val="single" w:sz="12" w:space="0" w:color="auto"/>
              <w:right w:val="single" w:sz="12" w:space="0" w:color="FFFFFF"/>
            </w:tcBorders>
            <w:shd w:val="clear" w:color="FFFFFF" w:fill="FFFFFF"/>
            <w:noWrap/>
            <w:vAlign w:val="center"/>
            <w:hideMark/>
          </w:tcPr>
          <w:p w14:paraId="04382824"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26,917.2 </w:t>
            </w:r>
          </w:p>
        </w:tc>
        <w:tc>
          <w:tcPr>
            <w:tcW w:w="884" w:type="dxa"/>
            <w:tcBorders>
              <w:top w:val="nil"/>
              <w:left w:val="nil"/>
              <w:bottom w:val="single" w:sz="12" w:space="0" w:color="auto"/>
              <w:right w:val="single" w:sz="12" w:space="0" w:color="FFFFFF"/>
            </w:tcBorders>
            <w:shd w:val="clear" w:color="FFFFFF" w:fill="FFFFFF"/>
            <w:noWrap/>
            <w:vAlign w:val="center"/>
            <w:hideMark/>
          </w:tcPr>
          <w:p w14:paraId="7968917D"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203.0 </w:t>
            </w:r>
          </w:p>
        </w:tc>
        <w:tc>
          <w:tcPr>
            <w:tcW w:w="866" w:type="dxa"/>
            <w:tcBorders>
              <w:top w:val="nil"/>
              <w:left w:val="nil"/>
              <w:bottom w:val="single" w:sz="12" w:space="0" w:color="auto"/>
              <w:right w:val="single" w:sz="12" w:space="0" w:color="FFFFFF"/>
            </w:tcBorders>
            <w:shd w:val="clear" w:color="FFFFFF" w:fill="FFFFFF"/>
            <w:noWrap/>
            <w:vAlign w:val="center"/>
            <w:hideMark/>
          </w:tcPr>
          <w:p w14:paraId="3BA27341"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171.0 </w:t>
            </w:r>
          </w:p>
        </w:tc>
        <w:tc>
          <w:tcPr>
            <w:tcW w:w="945" w:type="dxa"/>
            <w:tcBorders>
              <w:top w:val="nil"/>
              <w:left w:val="nil"/>
              <w:bottom w:val="single" w:sz="12" w:space="0" w:color="auto"/>
              <w:right w:val="single" w:sz="12" w:space="0" w:color="FFFFFF"/>
            </w:tcBorders>
            <w:shd w:val="clear" w:color="FFFFFF" w:fill="FFFFFF"/>
            <w:noWrap/>
            <w:vAlign w:val="center"/>
            <w:hideMark/>
          </w:tcPr>
          <w:p w14:paraId="622C4E6A"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2,642.4 </w:t>
            </w:r>
          </w:p>
        </w:tc>
        <w:tc>
          <w:tcPr>
            <w:tcW w:w="945" w:type="dxa"/>
            <w:tcBorders>
              <w:top w:val="nil"/>
              <w:left w:val="nil"/>
              <w:bottom w:val="single" w:sz="12" w:space="0" w:color="auto"/>
              <w:right w:val="single" w:sz="12" w:space="0" w:color="FFFFFF"/>
            </w:tcBorders>
            <w:shd w:val="clear" w:color="FFFFFF" w:fill="FFFFFF"/>
            <w:noWrap/>
            <w:vAlign w:val="center"/>
            <w:hideMark/>
          </w:tcPr>
          <w:p w14:paraId="58C9357D"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30,232.5 </w:t>
            </w:r>
          </w:p>
        </w:tc>
      </w:tr>
    </w:tbl>
    <w:p w14:paraId="72A6A879" w14:textId="77777777" w:rsidR="00F06229" w:rsidRPr="005734B8" w:rsidRDefault="00F06229" w:rsidP="00F06229">
      <w:pPr>
        <w:rPr>
          <w:rFonts w:ascii="Calibri" w:hAnsi="Calibri" w:cs="Calibri"/>
        </w:rPr>
      </w:pPr>
    </w:p>
    <w:p w14:paraId="7E9A0E6F" w14:textId="77777777" w:rsidR="00F06229" w:rsidRPr="005734B8" w:rsidRDefault="00F06229" w:rsidP="00F06229">
      <w:pPr>
        <w:pStyle w:val="ESHeading3"/>
        <w:rPr>
          <w:rFonts w:ascii="Calibri" w:hAnsi="Calibri" w:cs="Calibri"/>
        </w:rPr>
      </w:pPr>
      <w:bookmarkStart w:id="1395" w:name="_Toc11336379"/>
      <w:bookmarkStart w:id="1396" w:name="_Toc14965605"/>
      <w:r w:rsidRPr="005734B8">
        <w:rPr>
          <w:rFonts w:ascii="Calibri" w:hAnsi="Calibri" w:cs="Calibri"/>
        </w:rPr>
        <w:t xml:space="preserve">4.1.3 (b) Departmental outputs: Controlled assets and liabilities as at 30 June </w:t>
      </w:r>
      <w:r w:rsidRPr="005734B8">
        <w:rPr>
          <w:rFonts w:ascii="Calibri" w:hAnsi="Calibri" w:cs="Calibri"/>
        </w:rPr>
        <w:fldChar w:fldCharType="begin"/>
      </w:r>
      <w:r w:rsidRPr="005734B8">
        <w:rPr>
          <w:rFonts w:ascii="Calibri" w:hAnsi="Calibri" w:cs="Calibri"/>
        </w:rPr>
        <w:instrText xml:space="preserve"> DOCPROPERTY  prYear  \* MERGEFORMAT </w:instrText>
      </w:r>
      <w:r w:rsidRPr="005734B8">
        <w:rPr>
          <w:rFonts w:ascii="Calibri" w:hAnsi="Calibri" w:cs="Calibri"/>
        </w:rPr>
        <w:fldChar w:fldCharType="separate"/>
      </w:r>
      <w:r w:rsidRPr="005734B8">
        <w:rPr>
          <w:rFonts w:ascii="Calibri" w:hAnsi="Calibri" w:cs="Calibri"/>
        </w:rPr>
        <w:t>2020</w:t>
      </w:r>
      <w:r w:rsidRPr="005734B8">
        <w:rPr>
          <w:rFonts w:ascii="Calibri" w:hAnsi="Calibri" w:cs="Calibri"/>
        </w:rPr>
        <w:fldChar w:fldCharType="end"/>
      </w:r>
      <w:bookmarkEnd w:id="1395"/>
      <w:bookmarkEnd w:id="1396"/>
    </w:p>
    <w:p w14:paraId="7728A87D" w14:textId="77777777" w:rsidR="00F06229" w:rsidRPr="005734B8" w:rsidRDefault="00F06229" w:rsidP="00F06229">
      <w:pPr>
        <w:rPr>
          <w:rFonts w:ascii="Calibri" w:hAnsi="Calibri" w:cs="Calibri"/>
        </w:rPr>
      </w:pPr>
    </w:p>
    <w:tbl>
      <w:tblPr>
        <w:tblW w:w="7625" w:type="dxa"/>
        <w:tblInd w:w="75" w:type="dxa"/>
        <w:tblLayout w:type="fixed"/>
        <w:tblLook w:val="04A0" w:firstRow="1" w:lastRow="0" w:firstColumn="1" w:lastColumn="0" w:noHBand="0" w:noVBand="1"/>
      </w:tblPr>
      <w:tblGrid>
        <w:gridCol w:w="1141"/>
        <w:gridCol w:w="946"/>
        <w:gridCol w:w="931"/>
        <w:gridCol w:w="967"/>
        <w:gridCol w:w="884"/>
        <w:gridCol w:w="866"/>
        <w:gridCol w:w="945"/>
        <w:gridCol w:w="945"/>
      </w:tblGrid>
      <w:tr w:rsidR="00F06229" w:rsidRPr="005734B8" w14:paraId="5161FBBB" w14:textId="77777777" w:rsidTr="000F48B1">
        <w:trPr>
          <w:trHeight w:val="198"/>
        </w:trPr>
        <w:tc>
          <w:tcPr>
            <w:tcW w:w="1141" w:type="dxa"/>
            <w:tcBorders>
              <w:top w:val="nil"/>
              <w:left w:val="single" w:sz="4" w:space="0" w:color="FFFFFF"/>
              <w:bottom w:val="single" w:sz="4" w:space="0" w:color="FFFFFF"/>
              <w:right w:val="single" w:sz="4" w:space="0" w:color="FFFFFF"/>
            </w:tcBorders>
            <w:shd w:val="clear" w:color="000000" w:fill="AF272F"/>
            <w:hideMark/>
          </w:tcPr>
          <w:p w14:paraId="6DD4C077" w14:textId="77777777" w:rsidR="00F06229" w:rsidRPr="005734B8" w:rsidRDefault="00F06229" w:rsidP="000F48B1">
            <w:pPr>
              <w:rPr>
                <w:rFonts w:ascii="Calibri" w:hAnsi="Calibri" w:cs="Calibri"/>
                <w:b/>
                <w:color w:val="FFFFFF"/>
                <w:sz w:val="13"/>
                <w:szCs w:val="13"/>
              </w:rPr>
            </w:pPr>
            <w:bookmarkStart w:id="1397" w:name="Note_CAMTABLE1" w:colFirst="0" w:colLast="0"/>
            <w:r w:rsidRPr="005734B8">
              <w:rPr>
                <w:rFonts w:ascii="Calibri" w:hAnsi="Calibri" w:cs="Calibri"/>
                <w:b/>
                <w:color w:val="FFFFFF"/>
                <w:sz w:val="13"/>
                <w:szCs w:val="13"/>
              </w:rPr>
              <w:t> </w:t>
            </w:r>
          </w:p>
        </w:tc>
        <w:tc>
          <w:tcPr>
            <w:tcW w:w="946" w:type="dxa"/>
            <w:tcBorders>
              <w:top w:val="nil"/>
              <w:left w:val="nil"/>
              <w:bottom w:val="single" w:sz="4" w:space="0" w:color="auto"/>
              <w:right w:val="single" w:sz="4" w:space="0" w:color="FFFFFF"/>
            </w:tcBorders>
            <w:shd w:val="clear" w:color="000000" w:fill="AF272F"/>
            <w:hideMark/>
          </w:tcPr>
          <w:p w14:paraId="15E87537"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 xml:space="preserve">Strategy, review and regulation </w:t>
            </w:r>
            <w:r w:rsidRPr="005734B8">
              <w:rPr>
                <w:rFonts w:ascii="Calibri" w:hAnsi="Calibri" w:cs="Calibri"/>
                <w:b/>
                <w:color w:val="FFFFFF"/>
                <w:sz w:val="16"/>
                <w:szCs w:val="16"/>
              </w:rPr>
              <w:br/>
              <w:t>($m)</w:t>
            </w:r>
          </w:p>
        </w:tc>
        <w:tc>
          <w:tcPr>
            <w:tcW w:w="931" w:type="dxa"/>
            <w:tcBorders>
              <w:top w:val="nil"/>
              <w:left w:val="nil"/>
              <w:bottom w:val="single" w:sz="4" w:space="0" w:color="auto"/>
              <w:right w:val="single" w:sz="4" w:space="0" w:color="FFFFFF"/>
            </w:tcBorders>
            <w:shd w:val="clear" w:color="000000" w:fill="AF272F"/>
            <w:hideMark/>
          </w:tcPr>
          <w:p w14:paraId="11E58CAF"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Early childhood develop-</w:t>
            </w:r>
            <w:r w:rsidRPr="005734B8">
              <w:rPr>
                <w:rFonts w:ascii="Calibri" w:hAnsi="Calibri" w:cs="Calibri"/>
                <w:b/>
                <w:color w:val="FFFFFF"/>
                <w:sz w:val="16"/>
                <w:szCs w:val="16"/>
              </w:rPr>
              <w:br/>
              <w:t xml:space="preserve">ment </w:t>
            </w:r>
            <w:r w:rsidRPr="005734B8">
              <w:rPr>
                <w:rFonts w:ascii="Calibri" w:hAnsi="Calibri" w:cs="Calibri"/>
                <w:b/>
                <w:color w:val="FFFFFF"/>
                <w:sz w:val="16"/>
                <w:szCs w:val="16"/>
              </w:rPr>
              <w:br/>
              <w:t>($m)</w:t>
            </w:r>
          </w:p>
        </w:tc>
        <w:tc>
          <w:tcPr>
            <w:tcW w:w="967" w:type="dxa"/>
            <w:tcBorders>
              <w:top w:val="nil"/>
              <w:left w:val="nil"/>
              <w:bottom w:val="single" w:sz="4" w:space="0" w:color="auto"/>
              <w:right w:val="single" w:sz="4" w:space="0" w:color="FFFFFF"/>
            </w:tcBorders>
            <w:shd w:val="clear" w:color="000000" w:fill="AF272F"/>
            <w:hideMark/>
          </w:tcPr>
          <w:p w14:paraId="2E52D6EA"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 xml:space="preserve">School education </w:t>
            </w:r>
            <w:r w:rsidRPr="005734B8">
              <w:rPr>
                <w:rFonts w:ascii="Calibri" w:hAnsi="Calibri" w:cs="Calibri"/>
                <w:b/>
                <w:color w:val="FFFFFF"/>
                <w:sz w:val="16"/>
                <w:szCs w:val="16"/>
              </w:rPr>
              <w:br/>
              <w:t>($m)</w:t>
            </w:r>
          </w:p>
        </w:tc>
        <w:tc>
          <w:tcPr>
            <w:tcW w:w="884" w:type="dxa"/>
            <w:tcBorders>
              <w:top w:val="nil"/>
              <w:left w:val="nil"/>
              <w:bottom w:val="single" w:sz="4" w:space="0" w:color="auto"/>
              <w:right w:val="single" w:sz="4" w:space="0" w:color="FFFFFF"/>
            </w:tcBorders>
            <w:shd w:val="clear" w:color="000000" w:fill="AF272F"/>
            <w:hideMark/>
          </w:tcPr>
          <w:p w14:paraId="3B0B9178"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 xml:space="preserve">Higher educated and skills </w:t>
            </w:r>
            <w:r w:rsidRPr="005734B8">
              <w:rPr>
                <w:rFonts w:ascii="Calibri" w:hAnsi="Calibri" w:cs="Calibri"/>
                <w:b/>
                <w:color w:val="FFFFFF"/>
                <w:sz w:val="16"/>
                <w:szCs w:val="16"/>
              </w:rPr>
              <w:br/>
              <w:t>($m)</w:t>
            </w:r>
          </w:p>
        </w:tc>
        <w:tc>
          <w:tcPr>
            <w:tcW w:w="866" w:type="dxa"/>
            <w:tcBorders>
              <w:top w:val="nil"/>
              <w:left w:val="nil"/>
              <w:bottom w:val="single" w:sz="4" w:space="0" w:color="auto"/>
              <w:right w:val="single" w:sz="4" w:space="0" w:color="FFFFFF"/>
            </w:tcBorders>
            <w:shd w:val="clear" w:color="000000" w:fill="AF272F"/>
            <w:hideMark/>
          </w:tcPr>
          <w:p w14:paraId="45D886DA"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 xml:space="preserve">Support services delivery </w:t>
            </w:r>
            <w:r w:rsidRPr="005734B8">
              <w:rPr>
                <w:rFonts w:ascii="Calibri" w:hAnsi="Calibri" w:cs="Calibri"/>
                <w:b/>
                <w:color w:val="FFFFFF"/>
                <w:sz w:val="16"/>
                <w:szCs w:val="16"/>
              </w:rPr>
              <w:br/>
              <w:t>($m)</w:t>
            </w:r>
          </w:p>
        </w:tc>
        <w:tc>
          <w:tcPr>
            <w:tcW w:w="945" w:type="dxa"/>
            <w:tcBorders>
              <w:top w:val="nil"/>
              <w:left w:val="nil"/>
              <w:bottom w:val="single" w:sz="4" w:space="0" w:color="auto"/>
              <w:right w:val="single" w:sz="4" w:space="0" w:color="FFFFFF"/>
            </w:tcBorders>
            <w:shd w:val="clear" w:color="000000" w:fill="AF272F"/>
            <w:hideMark/>
          </w:tcPr>
          <w:p w14:paraId="1EBA465E"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 xml:space="preserve">Support for students with disabilities </w:t>
            </w:r>
            <w:r w:rsidRPr="005734B8">
              <w:rPr>
                <w:rFonts w:ascii="Calibri" w:hAnsi="Calibri" w:cs="Calibri"/>
                <w:b/>
                <w:color w:val="FFFFFF"/>
                <w:sz w:val="16"/>
                <w:szCs w:val="16"/>
              </w:rPr>
              <w:br/>
              <w:t>($m)</w:t>
            </w:r>
          </w:p>
        </w:tc>
        <w:tc>
          <w:tcPr>
            <w:tcW w:w="945" w:type="dxa"/>
            <w:tcBorders>
              <w:top w:val="nil"/>
              <w:left w:val="nil"/>
              <w:bottom w:val="single" w:sz="4" w:space="0" w:color="auto"/>
              <w:right w:val="single" w:sz="4" w:space="0" w:color="FFFFFF"/>
            </w:tcBorders>
            <w:shd w:val="clear" w:color="000000" w:fill="AF272F"/>
            <w:hideMark/>
          </w:tcPr>
          <w:p w14:paraId="6B2A5093" w14:textId="77777777" w:rsidR="00F06229" w:rsidRPr="005734B8" w:rsidRDefault="00F06229" w:rsidP="000F48B1">
            <w:pPr>
              <w:jc w:val="right"/>
              <w:rPr>
                <w:rFonts w:ascii="Calibri" w:hAnsi="Calibri" w:cs="Calibri"/>
                <w:b/>
                <w:color w:val="FFFFFF"/>
                <w:sz w:val="16"/>
                <w:szCs w:val="16"/>
              </w:rPr>
            </w:pPr>
            <w:r w:rsidRPr="005734B8">
              <w:rPr>
                <w:rFonts w:ascii="Calibri" w:hAnsi="Calibri" w:cs="Calibri"/>
                <w:b/>
                <w:color w:val="FFFFFF"/>
                <w:sz w:val="16"/>
                <w:szCs w:val="16"/>
              </w:rPr>
              <w:t>Depart-</w:t>
            </w:r>
            <w:r w:rsidRPr="005734B8">
              <w:rPr>
                <w:rFonts w:ascii="Calibri" w:hAnsi="Calibri" w:cs="Calibri"/>
                <w:b/>
                <w:color w:val="FFFFFF"/>
                <w:sz w:val="16"/>
                <w:szCs w:val="16"/>
              </w:rPr>
              <w:br/>
              <w:t xml:space="preserve">mental total </w:t>
            </w:r>
            <w:r w:rsidRPr="005734B8">
              <w:rPr>
                <w:rFonts w:ascii="Calibri" w:hAnsi="Calibri" w:cs="Calibri"/>
                <w:b/>
                <w:color w:val="FFFFFF"/>
                <w:sz w:val="16"/>
                <w:szCs w:val="16"/>
              </w:rPr>
              <w:br/>
              <w:t>($m)</w:t>
            </w:r>
          </w:p>
        </w:tc>
      </w:tr>
      <w:bookmarkEnd w:id="1397"/>
      <w:tr w:rsidR="00F06229" w:rsidRPr="005734B8" w14:paraId="3D757C16" w14:textId="77777777" w:rsidTr="000F48B1">
        <w:trPr>
          <w:trHeight w:val="198"/>
        </w:trPr>
        <w:tc>
          <w:tcPr>
            <w:tcW w:w="1141" w:type="dxa"/>
            <w:tcBorders>
              <w:top w:val="single" w:sz="4" w:space="0" w:color="auto"/>
              <w:left w:val="single" w:sz="4" w:space="0" w:color="FFFFFF"/>
              <w:bottom w:val="single" w:sz="4" w:space="0" w:color="auto"/>
              <w:right w:val="nil"/>
            </w:tcBorders>
            <w:shd w:val="clear" w:color="000000" w:fill="D9D9D9"/>
            <w:noWrap/>
            <w:vAlign w:val="center"/>
            <w:hideMark/>
          </w:tcPr>
          <w:p w14:paraId="3703172A"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Assets</w:t>
            </w:r>
          </w:p>
        </w:tc>
        <w:tc>
          <w:tcPr>
            <w:tcW w:w="946" w:type="dxa"/>
            <w:tcBorders>
              <w:top w:val="nil"/>
              <w:left w:val="nil"/>
              <w:bottom w:val="nil"/>
              <w:right w:val="nil"/>
            </w:tcBorders>
            <w:shd w:val="clear" w:color="000000" w:fill="D9D9D9"/>
            <w:noWrap/>
            <w:vAlign w:val="center"/>
            <w:hideMark/>
          </w:tcPr>
          <w:p w14:paraId="0C9C851F"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c>
          <w:tcPr>
            <w:tcW w:w="931" w:type="dxa"/>
            <w:tcBorders>
              <w:top w:val="nil"/>
              <w:left w:val="nil"/>
              <w:bottom w:val="nil"/>
              <w:right w:val="nil"/>
            </w:tcBorders>
            <w:shd w:val="clear" w:color="000000" w:fill="D9D9D9"/>
            <w:noWrap/>
            <w:vAlign w:val="center"/>
            <w:hideMark/>
          </w:tcPr>
          <w:p w14:paraId="6BABA816"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c>
          <w:tcPr>
            <w:tcW w:w="967" w:type="dxa"/>
            <w:tcBorders>
              <w:top w:val="nil"/>
              <w:left w:val="nil"/>
              <w:bottom w:val="nil"/>
              <w:right w:val="nil"/>
            </w:tcBorders>
            <w:shd w:val="clear" w:color="000000" w:fill="D9D9D9"/>
            <w:noWrap/>
            <w:vAlign w:val="center"/>
            <w:hideMark/>
          </w:tcPr>
          <w:p w14:paraId="335C4C2E"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c>
          <w:tcPr>
            <w:tcW w:w="884" w:type="dxa"/>
            <w:tcBorders>
              <w:top w:val="nil"/>
              <w:left w:val="nil"/>
              <w:bottom w:val="nil"/>
              <w:right w:val="nil"/>
            </w:tcBorders>
            <w:shd w:val="clear" w:color="000000" w:fill="D9D9D9"/>
            <w:noWrap/>
            <w:vAlign w:val="center"/>
            <w:hideMark/>
          </w:tcPr>
          <w:p w14:paraId="76E341AC"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c>
          <w:tcPr>
            <w:tcW w:w="866" w:type="dxa"/>
            <w:tcBorders>
              <w:top w:val="nil"/>
              <w:left w:val="nil"/>
              <w:bottom w:val="nil"/>
              <w:right w:val="nil"/>
            </w:tcBorders>
            <w:shd w:val="clear" w:color="000000" w:fill="D9D9D9"/>
            <w:noWrap/>
            <w:vAlign w:val="center"/>
            <w:hideMark/>
          </w:tcPr>
          <w:p w14:paraId="075B4FD6"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c>
          <w:tcPr>
            <w:tcW w:w="945" w:type="dxa"/>
            <w:tcBorders>
              <w:top w:val="nil"/>
              <w:left w:val="nil"/>
              <w:bottom w:val="nil"/>
              <w:right w:val="nil"/>
            </w:tcBorders>
            <w:shd w:val="clear" w:color="000000" w:fill="D9D9D9"/>
            <w:noWrap/>
            <w:vAlign w:val="center"/>
            <w:hideMark/>
          </w:tcPr>
          <w:p w14:paraId="55126B08"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c>
          <w:tcPr>
            <w:tcW w:w="945" w:type="dxa"/>
            <w:tcBorders>
              <w:top w:val="nil"/>
              <w:left w:val="nil"/>
              <w:bottom w:val="single" w:sz="4" w:space="0" w:color="auto"/>
              <w:right w:val="nil"/>
            </w:tcBorders>
            <w:shd w:val="clear" w:color="000000" w:fill="D9D9D9"/>
            <w:noWrap/>
            <w:vAlign w:val="center"/>
            <w:hideMark/>
          </w:tcPr>
          <w:p w14:paraId="3EA0E4C7"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r>
      <w:tr w:rsidR="00F06229" w:rsidRPr="005734B8" w14:paraId="12E2BFD2" w14:textId="77777777" w:rsidTr="000F48B1">
        <w:trPr>
          <w:trHeight w:val="198"/>
        </w:trPr>
        <w:tc>
          <w:tcPr>
            <w:tcW w:w="1141" w:type="dxa"/>
            <w:tcBorders>
              <w:top w:val="nil"/>
              <w:left w:val="single" w:sz="4" w:space="0" w:color="FFFFFF"/>
              <w:bottom w:val="single" w:sz="4" w:space="0" w:color="auto"/>
              <w:right w:val="single" w:sz="4" w:space="0" w:color="FFFFFF"/>
            </w:tcBorders>
            <w:shd w:val="clear" w:color="FFFFFF" w:fill="FFFFFF"/>
            <w:vAlign w:val="center"/>
            <w:hideMark/>
          </w:tcPr>
          <w:p w14:paraId="5F263101"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Financial assets</w:t>
            </w:r>
          </w:p>
        </w:tc>
        <w:tc>
          <w:tcPr>
            <w:tcW w:w="946" w:type="dxa"/>
            <w:tcBorders>
              <w:top w:val="single" w:sz="4" w:space="0" w:color="auto"/>
              <w:left w:val="nil"/>
              <w:bottom w:val="single" w:sz="4" w:space="0" w:color="auto"/>
              <w:right w:val="single" w:sz="4" w:space="0" w:color="FFFFFF"/>
            </w:tcBorders>
            <w:shd w:val="clear" w:color="FFFFFF" w:fill="FFFFFF"/>
            <w:noWrap/>
            <w:vAlign w:val="center"/>
            <w:hideMark/>
          </w:tcPr>
          <w:p w14:paraId="5732EB79"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23.4 </w:t>
            </w:r>
          </w:p>
        </w:tc>
        <w:tc>
          <w:tcPr>
            <w:tcW w:w="931" w:type="dxa"/>
            <w:tcBorders>
              <w:top w:val="single" w:sz="4" w:space="0" w:color="auto"/>
              <w:left w:val="nil"/>
              <w:bottom w:val="single" w:sz="4" w:space="0" w:color="auto"/>
              <w:right w:val="single" w:sz="4" w:space="0" w:color="FFFFFF"/>
            </w:tcBorders>
            <w:shd w:val="clear" w:color="FFFFFF" w:fill="FFFFFF"/>
            <w:noWrap/>
            <w:vAlign w:val="center"/>
            <w:hideMark/>
          </w:tcPr>
          <w:p w14:paraId="57806150"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89.7 </w:t>
            </w:r>
          </w:p>
        </w:tc>
        <w:tc>
          <w:tcPr>
            <w:tcW w:w="967" w:type="dxa"/>
            <w:tcBorders>
              <w:top w:val="single" w:sz="4" w:space="0" w:color="auto"/>
              <w:left w:val="nil"/>
              <w:bottom w:val="single" w:sz="4" w:space="0" w:color="auto"/>
              <w:right w:val="single" w:sz="4" w:space="0" w:color="FFFFFF"/>
            </w:tcBorders>
            <w:shd w:val="clear" w:color="FFFFFF" w:fill="FFFFFF"/>
            <w:noWrap/>
            <w:vAlign w:val="center"/>
            <w:hideMark/>
          </w:tcPr>
          <w:p w14:paraId="73222A87"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3,081.3 </w:t>
            </w:r>
          </w:p>
        </w:tc>
        <w:tc>
          <w:tcPr>
            <w:tcW w:w="884" w:type="dxa"/>
            <w:tcBorders>
              <w:top w:val="single" w:sz="4" w:space="0" w:color="auto"/>
              <w:left w:val="nil"/>
              <w:bottom w:val="single" w:sz="4" w:space="0" w:color="auto"/>
              <w:right w:val="single" w:sz="4" w:space="0" w:color="FFFFFF"/>
            </w:tcBorders>
            <w:shd w:val="clear" w:color="FFFFFF" w:fill="FFFFFF"/>
            <w:noWrap/>
            <w:vAlign w:val="center"/>
            <w:hideMark/>
          </w:tcPr>
          <w:p w14:paraId="00C66F8A"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260.0 </w:t>
            </w:r>
          </w:p>
        </w:tc>
        <w:tc>
          <w:tcPr>
            <w:tcW w:w="866" w:type="dxa"/>
            <w:tcBorders>
              <w:top w:val="single" w:sz="4" w:space="0" w:color="auto"/>
              <w:left w:val="nil"/>
              <w:bottom w:val="single" w:sz="4" w:space="0" w:color="auto"/>
              <w:right w:val="single" w:sz="4" w:space="0" w:color="FFFFFF"/>
            </w:tcBorders>
            <w:shd w:val="clear" w:color="FFFFFF" w:fill="FFFFFF"/>
            <w:noWrap/>
            <w:vAlign w:val="center"/>
            <w:hideMark/>
          </w:tcPr>
          <w:p w14:paraId="57B1A339"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117.5 </w:t>
            </w:r>
          </w:p>
        </w:tc>
        <w:tc>
          <w:tcPr>
            <w:tcW w:w="945" w:type="dxa"/>
            <w:tcBorders>
              <w:top w:val="single" w:sz="4" w:space="0" w:color="auto"/>
              <w:left w:val="nil"/>
              <w:bottom w:val="single" w:sz="4" w:space="0" w:color="auto"/>
              <w:right w:val="single" w:sz="4" w:space="0" w:color="FFFFFF"/>
            </w:tcBorders>
            <w:shd w:val="clear" w:color="FFFFFF" w:fill="FFFFFF"/>
            <w:noWrap/>
            <w:vAlign w:val="center"/>
            <w:hideMark/>
          </w:tcPr>
          <w:p w14:paraId="54CFB459"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327.5 </w:t>
            </w:r>
          </w:p>
        </w:tc>
        <w:tc>
          <w:tcPr>
            <w:tcW w:w="945" w:type="dxa"/>
            <w:tcBorders>
              <w:top w:val="nil"/>
              <w:left w:val="nil"/>
              <w:bottom w:val="single" w:sz="4" w:space="0" w:color="auto"/>
              <w:right w:val="single" w:sz="4" w:space="0" w:color="FFFFFF"/>
            </w:tcBorders>
            <w:shd w:val="clear" w:color="FFFFFF" w:fill="FFFFFF"/>
            <w:noWrap/>
            <w:vAlign w:val="center"/>
            <w:hideMark/>
          </w:tcPr>
          <w:p w14:paraId="3F469C30"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3,899.4 </w:t>
            </w:r>
          </w:p>
        </w:tc>
      </w:tr>
      <w:tr w:rsidR="00F06229" w:rsidRPr="005734B8" w14:paraId="1FD2088B" w14:textId="77777777" w:rsidTr="000F48B1">
        <w:trPr>
          <w:trHeight w:val="198"/>
        </w:trPr>
        <w:tc>
          <w:tcPr>
            <w:tcW w:w="1141" w:type="dxa"/>
            <w:tcBorders>
              <w:top w:val="nil"/>
              <w:left w:val="single" w:sz="4" w:space="0" w:color="FFFFFF"/>
              <w:bottom w:val="single" w:sz="4" w:space="0" w:color="auto"/>
              <w:right w:val="single" w:sz="4" w:space="0" w:color="FFFFFF"/>
            </w:tcBorders>
            <w:shd w:val="clear" w:color="FFFFFF" w:fill="FFFFFF"/>
            <w:vAlign w:val="center"/>
            <w:hideMark/>
          </w:tcPr>
          <w:p w14:paraId="1FE5A1B9"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Non-financial assets</w:t>
            </w:r>
          </w:p>
        </w:tc>
        <w:tc>
          <w:tcPr>
            <w:tcW w:w="946" w:type="dxa"/>
            <w:tcBorders>
              <w:top w:val="nil"/>
              <w:left w:val="nil"/>
              <w:bottom w:val="single" w:sz="4" w:space="0" w:color="auto"/>
              <w:right w:val="single" w:sz="4" w:space="0" w:color="FFFFFF"/>
            </w:tcBorders>
            <w:shd w:val="clear" w:color="FFFFFF" w:fill="FFFFFF"/>
            <w:noWrap/>
            <w:vAlign w:val="center"/>
            <w:hideMark/>
          </w:tcPr>
          <w:p w14:paraId="477A0628"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12.6 </w:t>
            </w:r>
          </w:p>
        </w:tc>
        <w:tc>
          <w:tcPr>
            <w:tcW w:w="931" w:type="dxa"/>
            <w:tcBorders>
              <w:top w:val="nil"/>
              <w:left w:val="nil"/>
              <w:bottom w:val="single" w:sz="4" w:space="0" w:color="auto"/>
              <w:right w:val="single" w:sz="4" w:space="0" w:color="FFFFFF"/>
            </w:tcBorders>
            <w:shd w:val="clear" w:color="FFFFFF" w:fill="FFFFFF"/>
            <w:noWrap/>
            <w:vAlign w:val="center"/>
            <w:hideMark/>
          </w:tcPr>
          <w:p w14:paraId="2F4AFF1B"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188.0 </w:t>
            </w:r>
          </w:p>
        </w:tc>
        <w:tc>
          <w:tcPr>
            <w:tcW w:w="967" w:type="dxa"/>
            <w:tcBorders>
              <w:top w:val="nil"/>
              <w:left w:val="nil"/>
              <w:bottom w:val="single" w:sz="4" w:space="0" w:color="auto"/>
              <w:right w:val="single" w:sz="4" w:space="0" w:color="FFFFFF"/>
            </w:tcBorders>
            <w:shd w:val="clear" w:color="FFFFFF" w:fill="FFFFFF"/>
            <w:noWrap/>
            <w:vAlign w:val="center"/>
            <w:hideMark/>
          </w:tcPr>
          <w:p w14:paraId="6B2968BA"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22,799.4 </w:t>
            </w:r>
          </w:p>
        </w:tc>
        <w:tc>
          <w:tcPr>
            <w:tcW w:w="884" w:type="dxa"/>
            <w:tcBorders>
              <w:top w:val="nil"/>
              <w:left w:val="nil"/>
              <w:bottom w:val="single" w:sz="4" w:space="0" w:color="auto"/>
              <w:right w:val="single" w:sz="4" w:space="0" w:color="FFFFFF"/>
            </w:tcBorders>
            <w:shd w:val="clear" w:color="FFFFFF" w:fill="FFFFFF"/>
            <w:noWrap/>
            <w:vAlign w:val="center"/>
            <w:hideMark/>
          </w:tcPr>
          <w:p w14:paraId="2EA39112"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7.2 </w:t>
            </w:r>
          </w:p>
        </w:tc>
        <w:tc>
          <w:tcPr>
            <w:tcW w:w="866" w:type="dxa"/>
            <w:tcBorders>
              <w:top w:val="nil"/>
              <w:left w:val="nil"/>
              <w:bottom w:val="single" w:sz="4" w:space="0" w:color="auto"/>
              <w:right w:val="single" w:sz="4" w:space="0" w:color="FFFFFF"/>
            </w:tcBorders>
            <w:shd w:val="clear" w:color="FFFFFF" w:fill="FFFFFF"/>
            <w:noWrap/>
            <w:vAlign w:val="center"/>
            <w:hideMark/>
          </w:tcPr>
          <w:p w14:paraId="54012FC9"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142.2 </w:t>
            </w:r>
          </w:p>
        </w:tc>
        <w:tc>
          <w:tcPr>
            <w:tcW w:w="945" w:type="dxa"/>
            <w:tcBorders>
              <w:top w:val="nil"/>
              <w:left w:val="nil"/>
              <w:bottom w:val="single" w:sz="4" w:space="0" w:color="auto"/>
              <w:right w:val="single" w:sz="4" w:space="0" w:color="FFFFFF"/>
            </w:tcBorders>
            <w:shd w:val="clear" w:color="FFFFFF" w:fill="FFFFFF"/>
            <w:noWrap/>
            <w:vAlign w:val="center"/>
            <w:hideMark/>
          </w:tcPr>
          <w:p w14:paraId="4C932077"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2,180.1 </w:t>
            </w:r>
          </w:p>
        </w:tc>
        <w:tc>
          <w:tcPr>
            <w:tcW w:w="945" w:type="dxa"/>
            <w:tcBorders>
              <w:top w:val="nil"/>
              <w:left w:val="nil"/>
              <w:bottom w:val="single" w:sz="4" w:space="0" w:color="auto"/>
              <w:right w:val="single" w:sz="4" w:space="0" w:color="FFFFFF"/>
            </w:tcBorders>
            <w:shd w:val="clear" w:color="FFFFFF" w:fill="FFFFFF"/>
            <w:noWrap/>
            <w:vAlign w:val="center"/>
            <w:hideMark/>
          </w:tcPr>
          <w:p w14:paraId="43514507"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25,329.5 </w:t>
            </w:r>
          </w:p>
        </w:tc>
      </w:tr>
      <w:tr w:rsidR="00F06229" w:rsidRPr="005734B8" w14:paraId="41E152AC" w14:textId="77777777" w:rsidTr="000F48B1">
        <w:trPr>
          <w:trHeight w:val="198"/>
        </w:trPr>
        <w:tc>
          <w:tcPr>
            <w:tcW w:w="114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79E7EA8"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Total assets</w:t>
            </w:r>
          </w:p>
        </w:tc>
        <w:tc>
          <w:tcPr>
            <w:tcW w:w="946" w:type="dxa"/>
            <w:tcBorders>
              <w:top w:val="single" w:sz="12" w:space="0" w:color="auto"/>
              <w:left w:val="nil"/>
              <w:bottom w:val="single" w:sz="12" w:space="0" w:color="auto"/>
              <w:right w:val="single" w:sz="12" w:space="0" w:color="FFFFFF"/>
            </w:tcBorders>
            <w:shd w:val="clear" w:color="FFFFFF" w:fill="FFFFFF"/>
            <w:noWrap/>
            <w:vAlign w:val="center"/>
            <w:hideMark/>
          </w:tcPr>
          <w:p w14:paraId="766DDBC7"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36.0 </w:t>
            </w:r>
          </w:p>
        </w:tc>
        <w:tc>
          <w:tcPr>
            <w:tcW w:w="931" w:type="dxa"/>
            <w:tcBorders>
              <w:top w:val="single" w:sz="12" w:space="0" w:color="auto"/>
              <w:left w:val="nil"/>
              <w:bottom w:val="single" w:sz="12" w:space="0" w:color="auto"/>
              <w:right w:val="single" w:sz="12" w:space="0" w:color="FFFFFF"/>
            </w:tcBorders>
            <w:shd w:val="clear" w:color="FFFFFF" w:fill="FFFFFF"/>
            <w:noWrap/>
            <w:vAlign w:val="center"/>
            <w:hideMark/>
          </w:tcPr>
          <w:p w14:paraId="6F955EF2"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277.7 </w:t>
            </w:r>
          </w:p>
        </w:tc>
        <w:tc>
          <w:tcPr>
            <w:tcW w:w="967" w:type="dxa"/>
            <w:tcBorders>
              <w:top w:val="single" w:sz="12" w:space="0" w:color="auto"/>
              <w:left w:val="nil"/>
              <w:bottom w:val="single" w:sz="12" w:space="0" w:color="auto"/>
              <w:right w:val="single" w:sz="12" w:space="0" w:color="FFFFFF"/>
            </w:tcBorders>
            <w:shd w:val="clear" w:color="FFFFFF" w:fill="FFFFFF"/>
            <w:noWrap/>
            <w:vAlign w:val="center"/>
            <w:hideMark/>
          </w:tcPr>
          <w:p w14:paraId="50685B48"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25,880.7 </w:t>
            </w:r>
          </w:p>
        </w:tc>
        <w:tc>
          <w:tcPr>
            <w:tcW w:w="884" w:type="dxa"/>
            <w:tcBorders>
              <w:top w:val="single" w:sz="12" w:space="0" w:color="auto"/>
              <w:left w:val="nil"/>
              <w:bottom w:val="single" w:sz="12" w:space="0" w:color="auto"/>
              <w:right w:val="single" w:sz="12" w:space="0" w:color="FFFFFF"/>
            </w:tcBorders>
            <w:shd w:val="clear" w:color="FFFFFF" w:fill="FFFFFF"/>
            <w:noWrap/>
            <w:vAlign w:val="center"/>
            <w:hideMark/>
          </w:tcPr>
          <w:p w14:paraId="4E82AC40"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267.2 </w:t>
            </w:r>
          </w:p>
        </w:tc>
        <w:tc>
          <w:tcPr>
            <w:tcW w:w="866" w:type="dxa"/>
            <w:tcBorders>
              <w:top w:val="single" w:sz="12" w:space="0" w:color="auto"/>
              <w:left w:val="nil"/>
              <w:bottom w:val="single" w:sz="12" w:space="0" w:color="auto"/>
              <w:right w:val="single" w:sz="12" w:space="0" w:color="FFFFFF"/>
            </w:tcBorders>
            <w:shd w:val="clear" w:color="FFFFFF" w:fill="FFFFFF"/>
            <w:noWrap/>
            <w:vAlign w:val="center"/>
            <w:hideMark/>
          </w:tcPr>
          <w:p w14:paraId="0616FDF4"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259.7 </w:t>
            </w:r>
          </w:p>
        </w:tc>
        <w:tc>
          <w:tcPr>
            <w:tcW w:w="945" w:type="dxa"/>
            <w:tcBorders>
              <w:top w:val="single" w:sz="12" w:space="0" w:color="auto"/>
              <w:left w:val="nil"/>
              <w:bottom w:val="single" w:sz="12" w:space="0" w:color="auto"/>
              <w:right w:val="single" w:sz="12" w:space="0" w:color="FFFFFF"/>
            </w:tcBorders>
            <w:shd w:val="clear" w:color="FFFFFF" w:fill="FFFFFF"/>
            <w:noWrap/>
            <w:vAlign w:val="center"/>
            <w:hideMark/>
          </w:tcPr>
          <w:p w14:paraId="3B191FEE"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2,507.6 </w:t>
            </w:r>
          </w:p>
        </w:tc>
        <w:tc>
          <w:tcPr>
            <w:tcW w:w="945" w:type="dxa"/>
            <w:tcBorders>
              <w:top w:val="single" w:sz="12" w:space="0" w:color="auto"/>
              <w:left w:val="nil"/>
              <w:bottom w:val="single" w:sz="12" w:space="0" w:color="auto"/>
              <w:right w:val="single" w:sz="12" w:space="0" w:color="FFFFFF"/>
            </w:tcBorders>
            <w:shd w:val="clear" w:color="FFFFFF" w:fill="FFFFFF"/>
            <w:noWrap/>
            <w:vAlign w:val="center"/>
            <w:hideMark/>
          </w:tcPr>
          <w:p w14:paraId="4DEAC055"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29,228.9 </w:t>
            </w:r>
          </w:p>
        </w:tc>
      </w:tr>
      <w:tr w:rsidR="00F06229" w:rsidRPr="005734B8" w14:paraId="13A8CDE9" w14:textId="77777777" w:rsidTr="000F48B1">
        <w:trPr>
          <w:trHeight w:val="198"/>
        </w:trPr>
        <w:tc>
          <w:tcPr>
            <w:tcW w:w="1141" w:type="dxa"/>
            <w:tcBorders>
              <w:top w:val="single" w:sz="4" w:space="0" w:color="auto"/>
              <w:left w:val="single" w:sz="4" w:space="0" w:color="FFFFFF"/>
              <w:bottom w:val="single" w:sz="4" w:space="0" w:color="auto"/>
              <w:right w:val="nil"/>
            </w:tcBorders>
            <w:shd w:val="clear" w:color="000000" w:fill="D9D9D9"/>
            <w:noWrap/>
            <w:vAlign w:val="center"/>
            <w:hideMark/>
          </w:tcPr>
          <w:p w14:paraId="7C2D697F"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Liabilities</w:t>
            </w:r>
          </w:p>
        </w:tc>
        <w:tc>
          <w:tcPr>
            <w:tcW w:w="946" w:type="dxa"/>
            <w:tcBorders>
              <w:top w:val="nil"/>
              <w:left w:val="nil"/>
              <w:bottom w:val="nil"/>
              <w:right w:val="nil"/>
            </w:tcBorders>
            <w:shd w:val="clear" w:color="000000" w:fill="D9D9D9"/>
            <w:noWrap/>
            <w:vAlign w:val="center"/>
            <w:hideMark/>
          </w:tcPr>
          <w:p w14:paraId="7535253E"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c>
          <w:tcPr>
            <w:tcW w:w="931" w:type="dxa"/>
            <w:tcBorders>
              <w:top w:val="nil"/>
              <w:left w:val="nil"/>
              <w:bottom w:val="nil"/>
              <w:right w:val="nil"/>
            </w:tcBorders>
            <w:shd w:val="clear" w:color="000000" w:fill="D9D9D9"/>
            <w:noWrap/>
            <w:vAlign w:val="center"/>
            <w:hideMark/>
          </w:tcPr>
          <w:p w14:paraId="12E2C253"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c>
          <w:tcPr>
            <w:tcW w:w="967" w:type="dxa"/>
            <w:tcBorders>
              <w:top w:val="nil"/>
              <w:left w:val="nil"/>
              <w:bottom w:val="nil"/>
              <w:right w:val="nil"/>
            </w:tcBorders>
            <w:shd w:val="clear" w:color="000000" w:fill="D9D9D9"/>
            <w:noWrap/>
            <w:vAlign w:val="center"/>
            <w:hideMark/>
          </w:tcPr>
          <w:p w14:paraId="204594F0"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c>
          <w:tcPr>
            <w:tcW w:w="884" w:type="dxa"/>
            <w:tcBorders>
              <w:top w:val="nil"/>
              <w:left w:val="nil"/>
              <w:bottom w:val="nil"/>
              <w:right w:val="nil"/>
            </w:tcBorders>
            <w:shd w:val="clear" w:color="000000" w:fill="D9D9D9"/>
            <w:noWrap/>
            <w:vAlign w:val="center"/>
            <w:hideMark/>
          </w:tcPr>
          <w:p w14:paraId="286F8A2A"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c>
          <w:tcPr>
            <w:tcW w:w="866" w:type="dxa"/>
            <w:tcBorders>
              <w:top w:val="nil"/>
              <w:left w:val="nil"/>
              <w:bottom w:val="nil"/>
              <w:right w:val="nil"/>
            </w:tcBorders>
            <w:shd w:val="clear" w:color="000000" w:fill="D9D9D9"/>
            <w:noWrap/>
            <w:vAlign w:val="center"/>
            <w:hideMark/>
          </w:tcPr>
          <w:p w14:paraId="5A1431F7"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c>
          <w:tcPr>
            <w:tcW w:w="945" w:type="dxa"/>
            <w:tcBorders>
              <w:top w:val="nil"/>
              <w:left w:val="nil"/>
              <w:bottom w:val="nil"/>
              <w:right w:val="nil"/>
            </w:tcBorders>
            <w:shd w:val="clear" w:color="000000" w:fill="D9D9D9"/>
            <w:noWrap/>
            <w:vAlign w:val="center"/>
            <w:hideMark/>
          </w:tcPr>
          <w:p w14:paraId="53CDC039"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c>
          <w:tcPr>
            <w:tcW w:w="945" w:type="dxa"/>
            <w:tcBorders>
              <w:top w:val="single" w:sz="4" w:space="0" w:color="auto"/>
              <w:left w:val="nil"/>
              <w:bottom w:val="single" w:sz="4" w:space="0" w:color="auto"/>
              <w:right w:val="nil"/>
            </w:tcBorders>
            <w:shd w:val="clear" w:color="000000" w:fill="D9D9D9"/>
            <w:noWrap/>
            <w:vAlign w:val="center"/>
            <w:hideMark/>
          </w:tcPr>
          <w:p w14:paraId="17542F57"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w:t>
            </w:r>
          </w:p>
        </w:tc>
      </w:tr>
      <w:tr w:rsidR="00F06229" w:rsidRPr="005734B8" w14:paraId="20D93D4B" w14:textId="77777777" w:rsidTr="000F48B1">
        <w:trPr>
          <w:trHeight w:val="198"/>
        </w:trPr>
        <w:tc>
          <w:tcPr>
            <w:tcW w:w="1141" w:type="dxa"/>
            <w:tcBorders>
              <w:top w:val="nil"/>
              <w:left w:val="single" w:sz="4" w:space="0" w:color="FFFFFF"/>
              <w:bottom w:val="single" w:sz="4" w:space="0" w:color="auto"/>
              <w:right w:val="single" w:sz="4" w:space="0" w:color="FFFFFF"/>
            </w:tcBorders>
            <w:shd w:val="clear" w:color="FFFFFF" w:fill="FFFFFF"/>
            <w:vAlign w:val="center"/>
            <w:hideMark/>
          </w:tcPr>
          <w:p w14:paraId="4DF02B0D"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Liabilities</w:t>
            </w:r>
          </w:p>
        </w:tc>
        <w:tc>
          <w:tcPr>
            <w:tcW w:w="946" w:type="dxa"/>
            <w:tcBorders>
              <w:top w:val="single" w:sz="4" w:space="0" w:color="auto"/>
              <w:left w:val="nil"/>
              <w:bottom w:val="single" w:sz="4" w:space="0" w:color="auto"/>
              <w:right w:val="single" w:sz="4" w:space="0" w:color="FFFFFF"/>
            </w:tcBorders>
            <w:shd w:val="clear" w:color="FFFFFF" w:fill="FFFFFF"/>
            <w:noWrap/>
            <w:vAlign w:val="center"/>
            <w:hideMark/>
          </w:tcPr>
          <w:p w14:paraId="11B06F89"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26.0 </w:t>
            </w:r>
          </w:p>
        </w:tc>
        <w:tc>
          <w:tcPr>
            <w:tcW w:w="931" w:type="dxa"/>
            <w:tcBorders>
              <w:top w:val="single" w:sz="4" w:space="0" w:color="auto"/>
              <w:left w:val="nil"/>
              <w:bottom w:val="single" w:sz="4" w:space="0" w:color="auto"/>
              <w:right w:val="single" w:sz="4" w:space="0" w:color="FFFFFF"/>
            </w:tcBorders>
            <w:shd w:val="clear" w:color="FFFFFF" w:fill="FFFFFF"/>
            <w:noWrap/>
            <w:vAlign w:val="center"/>
            <w:hideMark/>
          </w:tcPr>
          <w:p w14:paraId="38B39E21"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36.5 </w:t>
            </w:r>
          </w:p>
        </w:tc>
        <w:tc>
          <w:tcPr>
            <w:tcW w:w="967" w:type="dxa"/>
            <w:tcBorders>
              <w:top w:val="single" w:sz="4" w:space="0" w:color="auto"/>
              <w:left w:val="nil"/>
              <w:bottom w:val="single" w:sz="4" w:space="0" w:color="auto"/>
              <w:right w:val="single" w:sz="4" w:space="0" w:color="FFFFFF"/>
            </w:tcBorders>
            <w:shd w:val="clear" w:color="FFFFFF" w:fill="FFFFFF"/>
            <w:noWrap/>
            <w:vAlign w:val="center"/>
            <w:hideMark/>
          </w:tcPr>
          <w:p w14:paraId="5DC63D24"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2,711.0 </w:t>
            </w:r>
          </w:p>
        </w:tc>
        <w:tc>
          <w:tcPr>
            <w:tcW w:w="884" w:type="dxa"/>
            <w:tcBorders>
              <w:top w:val="single" w:sz="4" w:space="0" w:color="auto"/>
              <w:left w:val="nil"/>
              <w:bottom w:val="single" w:sz="4" w:space="0" w:color="auto"/>
              <w:right w:val="single" w:sz="4" w:space="0" w:color="FFFFFF"/>
            </w:tcBorders>
            <w:shd w:val="clear" w:color="FFFFFF" w:fill="FFFFFF"/>
            <w:noWrap/>
            <w:vAlign w:val="center"/>
            <w:hideMark/>
          </w:tcPr>
          <w:p w14:paraId="19247029"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123.2 </w:t>
            </w:r>
          </w:p>
        </w:tc>
        <w:tc>
          <w:tcPr>
            <w:tcW w:w="866" w:type="dxa"/>
            <w:tcBorders>
              <w:top w:val="single" w:sz="4" w:space="0" w:color="auto"/>
              <w:left w:val="nil"/>
              <w:bottom w:val="single" w:sz="4" w:space="0" w:color="auto"/>
              <w:right w:val="single" w:sz="4" w:space="0" w:color="FFFFFF"/>
            </w:tcBorders>
            <w:shd w:val="clear" w:color="FFFFFF" w:fill="FFFFFF"/>
            <w:noWrap/>
            <w:vAlign w:val="center"/>
            <w:hideMark/>
          </w:tcPr>
          <w:p w14:paraId="25EFA5D2"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101.9 </w:t>
            </w:r>
          </w:p>
        </w:tc>
        <w:tc>
          <w:tcPr>
            <w:tcW w:w="945" w:type="dxa"/>
            <w:tcBorders>
              <w:top w:val="single" w:sz="4" w:space="0" w:color="auto"/>
              <w:left w:val="nil"/>
              <w:bottom w:val="single" w:sz="4" w:space="0" w:color="auto"/>
              <w:right w:val="single" w:sz="4" w:space="0" w:color="FFFFFF"/>
            </w:tcBorders>
            <w:shd w:val="clear" w:color="FFFFFF" w:fill="FFFFFF"/>
            <w:noWrap/>
            <w:vAlign w:val="center"/>
            <w:hideMark/>
          </w:tcPr>
          <w:p w14:paraId="75B9235B"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356.9 </w:t>
            </w:r>
          </w:p>
        </w:tc>
        <w:tc>
          <w:tcPr>
            <w:tcW w:w="945" w:type="dxa"/>
            <w:tcBorders>
              <w:top w:val="nil"/>
              <w:left w:val="nil"/>
              <w:bottom w:val="single" w:sz="4" w:space="0" w:color="auto"/>
              <w:right w:val="single" w:sz="4" w:space="0" w:color="FFFFFF"/>
            </w:tcBorders>
            <w:shd w:val="clear" w:color="FFFFFF" w:fill="FFFFFF"/>
            <w:noWrap/>
            <w:vAlign w:val="center"/>
            <w:hideMark/>
          </w:tcPr>
          <w:p w14:paraId="5A8E517E"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3,355.5 </w:t>
            </w:r>
          </w:p>
        </w:tc>
      </w:tr>
      <w:tr w:rsidR="00F06229" w:rsidRPr="005734B8" w14:paraId="7ABBD49F" w14:textId="77777777" w:rsidTr="000F48B1">
        <w:trPr>
          <w:trHeight w:val="198"/>
        </w:trPr>
        <w:tc>
          <w:tcPr>
            <w:tcW w:w="1141" w:type="dxa"/>
            <w:tcBorders>
              <w:top w:val="single" w:sz="12" w:space="0" w:color="auto"/>
              <w:left w:val="single" w:sz="12" w:space="0" w:color="FFFFFF"/>
              <w:bottom w:val="single" w:sz="12" w:space="0" w:color="auto"/>
              <w:right w:val="single" w:sz="12" w:space="0" w:color="FFFFFF"/>
            </w:tcBorders>
            <w:shd w:val="clear" w:color="FFFFFF" w:fill="FFFFFF"/>
            <w:noWrap/>
            <w:vAlign w:val="center"/>
            <w:hideMark/>
          </w:tcPr>
          <w:p w14:paraId="49113D03"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Total Liabilities</w:t>
            </w:r>
          </w:p>
        </w:tc>
        <w:tc>
          <w:tcPr>
            <w:tcW w:w="946" w:type="dxa"/>
            <w:tcBorders>
              <w:top w:val="single" w:sz="12" w:space="0" w:color="auto"/>
              <w:left w:val="nil"/>
              <w:bottom w:val="single" w:sz="12" w:space="0" w:color="auto"/>
              <w:right w:val="single" w:sz="12" w:space="0" w:color="FFFFFF"/>
            </w:tcBorders>
            <w:shd w:val="clear" w:color="FFFFFF" w:fill="FFFFFF"/>
            <w:noWrap/>
            <w:vAlign w:val="center"/>
            <w:hideMark/>
          </w:tcPr>
          <w:p w14:paraId="355E82F8"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26.0 </w:t>
            </w:r>
          </w:p>
        </w:tc>
        <w:tc>
          <w:tcPr>
            <w:tcW w:w="931" w:type="dxa"/>
            <w:tcBorders>
              <w:top w:val="single" w:sz="12" w:space="0" w:color="auto"/>
              <w:left w:val="nil"/>
              <w:bottom w:val="single" w:sz="12" w:space="0" w:color="auto"/>
              <w:right w:val="single" w:sz="12" w:space="0" w:color="FFFFFF"/>
            </w:tcBorders>
            <w:shd w:val="clear" w:color="FFFFFF" w:fill="FFFFFF"/>
            <w:noWrap/>
            <w:vAlign w:val="center"/>
            <w:hideMark/>
          </w:tcPr>
          <w:p w14:paraId="05D326A2"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36.5 </w:t>
            </w:r>
          </w:p>
        </w:tc>
        <w:tc>
          <w:tcPr>
            <w:tcW w:w="967" w:type="dxa"/>
            <w:tcBorders>
              <w:top w:val="single" w:sz="12" w:space="0" w:color="auto"/>
              <w:left w:val="nil"/>
              <w:bottom w:val="single" w:sz="12" w:space="0" w:color="auto"/>
              <w:right w:val="single" w:sz="12" w:space="0" w:color="FFFFFF"/>
            </w:tcBorders>
            <w:shd w:val="clear" w:color="FFFFFF" w:fill="FFFFFF"/>
            <w:noWrap/>
            <w:vAlign w:val="center"/>
            <w:hideMark/>
          </w:tcPr>
          <w:p w14:paraId="107DD3B8"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2,711.0 </w:t>
            </w:r>
          </w:p>
        </w:tc>
        <w:tc>
          <w:tcPr>
            <w:tcW w:w="884" w:type="dxa"/>
            <w:tcBorders>
              <w:top w:val="single" w:sz="12" w:space="0" w:color="auto"/>
              <w:left w:val="nil"/>
              <w:bottom w:val="single" w:sz="12" w:space="0" w:color="auto"/>
              <w:right w:val="single" w:sz="12" w:space="0" w:color="FFFFFF"/>
            </w:tcBorders>
            <w:shd w:val="clear" w:color="FFFFFF" w:fill="FFFFFF"/>
            <w:noWrap/>
            <w:vAlign w:val="center"/>
            <w:hideMark/>
          </w:tcPr>
          <w:p w14:paraId="462FFC88"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123.2 </w:t>
            </w:r>
          </w:p>
        </w:tc>
        <w:tc>
          <w:tcPr>
            <w:tcW w:w="866" w:type="dxa"/>
            <w:tcBorders>
              <w:top w:val="single" w:sz="12" w:space="0" w:color="auto"/>
              <w:left w:val="nil"/>
              <w:bottom w:val="single" w:sz="12" w:space="0" w:color="auto"/>
              <w:right w:val="single" w:sz="12" w:space="0" w:color="FFFFFF"/>
            </w:tcBorders>
            <w:shd w:val="clear" w:color="FFFFFF" w:fill="FFFFFF"/>
            <w:noWrap/>
            <w:vAlign w:val="center"/>
            <w:hideMark/>
          </w:tcPr>
          <w:p w14:paraId="39F7BA35"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101.9 </w:t>
            </w:r>
          </w:p>
        </w:tc>
        <w:tc>
          <w:tcPr>
            <w:tcW w:w="945" w:type="dxa"/>
            <w:tcBorders>
              <w:top w:val="single" w:sz="12" w:space="0" w:color="auto"/>
              <w:left w:val="nil"/>
              <w:bottom w:val="single" w:sz="12" w:space="0" w:color="auto"/>
              <w:right w:val="single" w:sz="12" w:space="0" w:color="FFFFFF"/>
            </w:tcBorders>
            <w:shd w:val="clear" w:color="FFFFFF" w:fill="FFFFFF"/>
            <w:noWrap/>
            <w:vAlign w:val="center"/>
            <w:hideMark/>
          </w:tcPr>
          <w:p w14:paraId="6FAF640F"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356.9 </w:t>
            </w:r>
          </w:p>
        </w:tc>
        <w:tc>
          <w:tcPr>
            <w:tcW w:w="945" w:type="dxa"/>
            <w:tcBorders>
              <w:top w:val="single" w:sz="12" w:space="0" w:color="auto"/>
              <w:left w:val="nil"/>
              <w:bottom w:val="single" w:sz="12" w:space="0" w:color="auto"/>
              <w:right w:val="single" w:sz="12" w:space="0" w:color="FFFFFF"/>
            </w:tcBorders>
            <w:shd w:val="clear" w:color="FFFFFF" w:fill="FFFFFF"/>
            <w:noWrap/>
            <w:vAlign w:val="center"/>
            <w:hideMark/>
          </w:tcPr>
          <w:p w14:paraId="369E875D"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3,355.5 </w:t>
            </w:r>
          </w:p>
        </w:tc>
      </w:tr>
      <w:tr w:rsidR="00F06229" w:rsidRPr="005734B8" w14:paraId="731380A5" w14:textId="77777777" w:rsidTr="000F48B1">
        <w:trPr>
          <w:trHeight w:val="198"/>
        </w:trPr>
        <w:tc>
          <w:tcPr>
            <w:tcW w:w="1141" w:type="dxa"/>
            <w:tcBorders>
              <w:top w:val="nil"/>
              <w:left w:val="single" w:sz="12" w:space="0" w:color="FFFFFF"/>
              <w:bottom w:val="single" w:sz="12" w:space="0" w:color="auto"/>
              <w:right w:val="single" w:sz="12" w:space="0" w:color="FFFFFF"/>
            </w:tcBorders>
            <w:shd w:val="clear" w:color="FFFFFF" w:fill="FFFFFF"/>
            <w:noWrap/>
            <w:vAlign w:val="center"/>
            <w:hideMark/>
          </w:tcPr>
          <w:p w14:paraId="12D8CFCD" w14:textId="223A44D1" w:rsidR="00F06229" w:rsidRPr="005734B8" w:rsidRDefault="00F06229" w:rsidP="000F48B1">
            <w:pPr>
              <w:rPr>
                <w:rFonts w:ascii="Calibri" w:hAnsi="Calibri" w:cs="Calibri"/>
                <w:b/>
                <w:sz w:val="18"/>
                <w:szCs w:val="18"/>
              </w:rPr>
            </w:pPr>
            <w:r w:rsidRPr="005734B8">
              <w:rPr>
                <w:rFonts w:ascii="Calibri" w:hAnsi="Calibri" w:cs="Calibri"/>
                <w:b/>
                <w:sz w:val="18"/>
                <w:szCs w:val="18"/>
              </w:rPr>
              <w:t xml:space="preserve">Net assets </w:t>
            </w:r>
          </w:p>
        </w:tc>
        <w:tc>
          <w:tcPr>
            <w:tcW w:w="946" w:type="dxa"/>
            <w:tcBorders>
              <w:top w:val="nil"/>
              <w:left w:val="nil"/>
              <w:bottom w:val="single" w:sz="12" w:space="0" w:color="auto"/>
              <w:right w:val="single" w:sz="12" w:space="0" w:color="FFFFFF"/>
            </w:tcBorders>
            <w:shd w:val="clear" w:color="FFFFFF" w:fill="FFFFFF"/>
            <w:noWrap/>
            <w:vAlign w:val="center"/>
            <w:hideMark/>
          </w:tcPr>
          <w:p w14:paraId="22A89EA7"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10.0 </w:t>
            </w:r>
          </w:p>
        </w:tc>
        <w:tc>
          <w:tcPr>
            <w:tcW w:w="931" w:type="dxa"/>
            <w:tcBorders>
              <w:top w:val="nil"/>
              <w:left w:val="nil"/>
              <w:bottom w:val="single" w:sz="12" w:space="0" w:color="auto"/>
              <w:right w:val="single" w:sz="12" w:space="0" w:color="FFFFFF"/>
            </w:tcBorders>
            <w:shd w:val="clear" w:color="FFFFFF" w:fill="FFFFFF"/>
            <w:noWrap/>
            <w:vAlign w:val="center"/>
            <w:hideMark/>
          </w:tcPr>
          <w:p w14:paraId="39DB2278"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241.2 </w:t>
            </w:r>
          </w:p>
        </w:tc>
        <w:tc>
          <w:tcPr>
            <w:tcW w:w="967" w:type="dxa"/>
            <w:tcBorders>
              <w:top w:val="nil"/>
              <w:left w:val="nil"/>
              <w:bottom w:val="single" w:sz="12" w:space="0" w:color="auto"/>
              <w:right w:val="single" w:sz="12" w:space="0" w:color="FFFFFF"/>
            </w:tcBorders>
            <w:shd w:val="clear" w:color="FFFFFF" w:fill="FFFFFF"/>
            <w:noWrap/>
            <w:vAlign w:val="center"/>
            <w:hideMark/>
          </w:tcPr>
          <w:p w14:paraId="26C6191B"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23,169.7 </w:t>
            </w:r>
          </w:p>
        </w:tc>
        <w:tc>
          <w:tcPr>
            <w:tcW w:w="884" w:type="dxa"/>
            <w:tcBorders>
              <w:top w:val="nil"/>
              <w:left w:val="nil"/>
              <w:bottom w:val="single" w:sz="12" w:space="0" w:color="auto"/>
              <w:right w:val="single" w:sz="12" w:space="0" w:color="FFFFFF"/>
            </w:tcBorders>
            <w:shd w:val="clear" w:color="FFFFFF" w:fill="FFFFFF"/>
            <w:noWrap/>
            <w:vAlign w:val="center"/>
            <w:hideMark/>
          </w:tcPr>
          <w:p w14:paraId="18BDED8A"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144.0 </w:t>
            </w:r>
          </w:p>
        </w:tc>
        <w:tc>
          <w:tcPr>
            <w:tcW w:w="866" w:type="dxa"/>
            <w:tcBorders>
              <w:top w:val="nil"/>
              <w:left w:val="nil"/>
              <w:bottom w:val="single" w:sz="12" w:space="0" w:color="auto"/>
              <w:right w:val="single" w:sz="12" w:space="0" w:color="FFFFFF"/>
            </w:tcBorders>
            <w:shd w:val="clear" w:color="FFFFFF" w:fill="FFFFFF"/>
            <w:noWrap/>
            <w:vAlign w:val="center"/>
            <w:hideMark/>
          </w:tcPr>
          <w:p w14:paraId="494E7A9C"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157.8 </w:t>
            </w:r>
          </w:p>
        </w:tc>
        <w:tc>
          <w:tcPr>
            <w:tcW w:w="945" w:type="dxa"/>
            <w:tcBorders>
              <w:top w:val="nil"/>
              <w:left w:val="nil"/>
              <w:bottom w:val="single" w:sz="12" w:space="0" w:color="auto"/>
              <w:right w:val="single" w:sz="12" w:space="0" w:color="FFFFFF"/>
            </w:tcBorders>
            <w:shd w:val="clear" w:color="FFFFFF" w:fill="FFFFFF"/>
            <w:noWrap/>
            <w:vAlign w:val="center"/>
            <w:hideMark/>
          </w:tcPr>
          <w:p w14:paraId="62C28458"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2,150.7 </w:t>
            </w:r>
          </w:p>
        </w:tc>
        <w:tc>
          <w:tcPr>
            <w:tcW w:w="945" w:type="dxa"/>
            <w:tcBorders>
              <w:top w:val="nil"/>
              <w:left w:val="nil"/>
              <w:bottom w:val="single" w:sz="12" w:space="0" w:color="auto"/>
              <w:right w:val="single" w:sz="12" w:space="0" w:color="FFFFFF"/>
            </w:tcBorders>
            <w:shd w:val="clear" w:color="FFFFFF" w:fill="FFFFFF"/>
            <w:noWrap/>
            <w:vAlign w:val="center"/>
            <w:hideMark/>
          </w:tcPr>
          <w:p w14:paraId="5B5BFD5B"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25,873.4 </w:t>
            </w:r>
          </w:p>
        </w:tc>
      </w:tr>
    </w:tbl>
    <w:p w14:paraId="4E3B2C0F" w14:textId="77777777" w:rsidR="00F06229" w:rsidRPr="005734B8" w:rsidRDefault="00F06229" w:rsidP="00F06229">
      <w:pPr>
        <w:rPr>
          <w:rFonts w:ascii="Calibri" w:hAnsi="Calibri" w:cs="Calibri"/>
        </w:rPr>
      </w:pPr>
    </w:p>
    <w:p w14:paraId="4F160780" w14:textId="77777777" w:rsidR="00F06229" w:rsidRPr="005734B8" w:rsidRDefault="00F06229" w:rsidP="00F06229">
      <w:pPr>
        <w:pStyle w:val="Policytextboxtable"/>
        <w:rPr>
          <w:rFonts w:cs="Calibri"/>
        </w:rPr>
      </w:pPr>
      <w:bookmarkStart w:id="1398" w:name="_Toc11336380"/>
      <w:bookmarkStart w:id="1399" w:name="_Toc14965606"/>
    </w:p>
    <w:p w14:paraId="1B2AA15A" w14:textId="77777777" w:rsidR="00F06229" w:rsidRPr="005734B8" w:rsidRDefault="00F06229" w:rsidP="00F06229">
      <w:pPr>
        <w:pStyle w:val="Policytextboxtable"/>
        <w:rPr>
          <w:rFonts w:cs="Calibri"/>
        </w:rPr>
      </w:pPr>
    </w:p>
    <w:p w14:paraId="4D7CCA18" w14:textId="77777777" w:rsidR="00F06229" w:rsidRPr="005734B8" w:rsidRDefault="00F06229" w:rsidP="00F06229">
      <w:pPr>
        <w:pStyle w:val="Policytextboxtable"/>
        <w:rPr>
          <w:rFonts w:cs="Calibri"/>
        </w:rPr>
      </w:pPr>
    </w:p>
    <w:p w14:paraId="4761D0BC" w14:textId="77777777" w:rsidR="00F06229" w:rsidRPr="005734B8" w:rsidRDefault="00F06229" w:rsidP="00F06229">
      <w:pPr>
        <w:pStyle w:val="Policytextboxtable"/>
        <w:rPr>
          <w:rFonts w:cs="Calibri"/>
        </w:rPr>
      </w:pPr>
    </w:p>
    <w:p w14:paraId="0E91AA38" w14:textId="77777777" w:rsidR="00F06229" w:rsidRPr="005734B8" w:rsidRDefault="00F06229" w:rsidP="00F06229">
      <w:pPr>
        <w:pStyle w:val="Policytextboxtable"/>
        <w:rPr>
          <w:rFonts w:cs="Calibri"/>
        </w:rPr>
      </w:pPr>
    </w:p>
    <w:p w14:paraId="053BEBBB" w14:textId="77777777" w:rsidR="00F06229" w:rsidRPr="005734B8" w:rsidRDefault="00F06229" w:rsidP="00F06229">
      <w:pPr>
        <w:pStyle w:val="Policytextboxtable"/>
        <w:rPr>
          <w:rFonts w:cs="Calibri"/>
        </w:rPr>
      </w:pPr>
    </w:p>
    <w:p w14:paraId="66CF200D" w14:textId="77777777" w:rsidR="00F06229" w:rsidRPr="005734B8" w:rsidRDefault="00F06229" w:rsidP="00F06229">
      <w:pPr>
        <w:pStyle w:val="Policytextboxtable"/>
        <w:rPr>
          <w:rFonts w:cs="Calibri"/>
        </w:rPr>
      </w:pPr>
    </w:p>
    <w:p w14:paraId="330D78A0" w14:textId="77777777" w:rsidR="00F06229" w:rsidRPr="005734B8" w:rsidRDefault="00F06229" w:rsidP="00F06229">
      <w:pPr>
        <w:pStyle w:val="Policytextboxtable"/>
        <w:rPr>
          <w:rFonts w:cs="Calibri"/>
        </w:rPr>
      </w:pPr>
    </w:p>
    <w:p w14:paraId="26D96D2A" w14:textId="77777777" w:rsidR="00F06229" w:rsidRPr="005734B8" w:rsidRDefault="00F06229" w:rsidP="00F06229">
      <w:pPr>
        <w:pStyle w:val="Policytextboxtable"/>
        <w:rPr>
          <w:rFonts w:cs="Calibri"/>
        </w:rPr>
      </w:pPr>
    </w:p>
    <w:p w14:paraId="7E3DB254" w14:textId="77777777" w:rsidR="00F06229" w:rsidRPr="005734B8" w:rsidRDefault="00F06229" w:rsidP="00F06229">
      <w:pPr>
        <w:pStyle w:val="Policytextboxtable"/>
        <w:rPr>
          <w:rFonts w:cs="Calibri"/>
        </w:rPr>
      </w:pPr>
    </w:p>
    <w:p w14:paraId="1FEF4B0F" w14:textId="77777777" w:rsidR="00F06229" w:rsidRPr="005734B8" w:rsidRDefault="00F06229" w:rsidP="00F06229">
      <w:pPr>
        <w:pStyle w:val="Policytextboxtable"/>
        <w:rPr>
          <w:rFonts w:cs="Calibri"/>
        </w:rPr>
      </w:pPr>
    </w:p>
    <w:p w14:paraId="3A1F52BF" w14:textId="77777777" w:rsidR="00F06229" w:rsidRPr="005734B8" w:rsidRDefault="00F06229" w:rsidP="00F06229">
      <w:pPr>
        <w:pStyle w:val="Policytextboxtable"/>
        <w:rPr>
          <w:rFonts w:cs="Calibri"/>
        </w:rPr>
      </w:pPr>
    </w:p>
    <w:p w14:paraId="73E0D029" w14:textId="77777777" w:rsidR="002C5520" w:rsidRPr="005734B8" w:rsidRDefault="002C5520">
      <w:pPr>
        <w:rPr>
          <w:rFonts w:ascii="Calibri" w:eastAsiaTheme="majorEastAsia" w:hAnsi="Calibri" w:cs="Calibri"/>
          <w:bCs/>
          <w:color w:val="8A2A2F" w:themeColor="text1"/>
          <w:spacing w:val="5"/>
          <w:kern w:val="28"/>
          <w:sz w:val="28"/>
          <w:szCs w:val="20"/>
          <w:lang w:val="en-US"/>
        </w:rPr>
      </w:pPr>
      <w:r w:rsidRPr="005734B8">
        <w:rPr>
          <w:rFonts w:ascii="Calibri" w:hAnsi="Calibri" w:cs="Calibri"/>
        </w:rPr>
        <w:br w:type="page"/>
      </w:r>
    </w:p>
    <w:p w14:paraId="3EB2960B" w14:textId="77777777" w:rsidR="00F06229" w:rsidRPr="005734B8" w:rsidRDefault="00F06229" w:rsidP="00852EB8">
      <w:pPr>
        <w:pStyle w:val="ESHeading2"/>
        <w:rPr>
          <w:rFonts w:ascii="Calibri" w:hAnsi="Calibri" w:cs="Calibri"/>
        </w:rPr>
      </w:pPr>
      <w:bookmarkStart w:id="1400" w:name="_Toc81315377"/>
      <w:r w:rsidRPr="005734B8">
        <w:rPr>
          <w:rFonts w:ascii="Calibri" w:hAnsi="Calibri" w:cs="Calibri"/>
        </w:rPr>
        <w:lastRenderedPageBreak/>
        <w:t>4.2 Administered (non-controlled) items</w:t>
      </w:r>
      <w:bookmarkEnd w:id="1398"/>
      <w:bookmarkEnd w:id="1399"/>
      <w:bookmarkEnd w:id="1400"/>
    </w:p>
    <w:p w14:paraId="6432E7CE" w14:textId="600D8AEA" w:rsidR="00F06229" w:rsidRPr="005734B8" w:rsidRDefault="00F06229" w:rsidP="00852EB8">
      <w:pPr>
        <w:rPr>
          <w:rFonts w:ascii="Calibri" w:hAnsi="Calibri" w:cs="Calibri"/>
          <w:szCs w:val="22"/>
        </w:rPr>
      </w:pPr>
      <w:r w:rsidRPr="005734B8">
        <w:rPr>
          <w:rFonts w:ascii="Calibri" w:hAnsi="Calibri" w:cs="Calibri"/>
          <w:szCs w:val="22"/>
        </w:rPr>
        <w:t xml:space="preserve">All the Department’s administered activities relate to school education output. The distinction between controlled and administered items is drawn based on whether the Department can deploy the resources in question for its own benefit (controlled items) or whether it does so on behalf of the </w:t>
      </w:r>
      <w:r w:rsidR="00852EB8" w:rsidRPr="005734B8">
        <w:rPr>
          <w:rFonts w:ascii="Calibri" w:hAnsi="Calibri" w:cs="Calibri"/>
          <w:szCs w:val="22"/>
        </w:rPr>
        <w:t>s</w:t>
      </w:r>
      <w:r w:rsidRPr="005734B8">
        <w:rPr>
          <w:rFonts w:ascii="Calibri" w:hAnsi="Calibri" w:cs="Calibri"/>
          <w:szCs w:val="22"/>
        </w:rPr>
        <w:t>tate (administered). The Department remains accountable for transactions involving administered items, but it does not recognise these items in its financial statements.</w:t>
      </w:r>
    </w:p>
    <w:p w14:paraId="0FF3B270" w14:textId="77777777" w:rsidR="00F06229" w:rsidRPr="005734B8" w:rsidRDefault="00F06229" w:rsidP="00F06229">
      <w:pPr>
        <w:rPr>
          <w:rFonts w:ascii="Calibri" w:hAnsi="Calibri" w:cs="Calibri"/>
          <w:szCs w:val="22"/>
        </w:rPr>
      </w:pPr>
    </w:p>
    <w:tbl>
      <w:tblPr>
        <w:tblW w:w="7625" w:type="dxa"/>
        <w:tblInd w:w="75" w:type="dxa"/>
        <w:tblLayout w:type="fixed"/>
        <w:tblLook w:val="04A0" w:firstRow="1" w:lastRow="0" w:firstColumn="1" w:lastColumn="0" w:noHBand="0" w:noVBand="1"/>
      </w:tblPr>
      <w:tblGrid>
        <w:gridCol w:w="5452"/>
        <w:gridCol w:w="1091"/>
        <w:gridCol w:w="1082"/>
      </w:tblGrid>
      <w:tr w:rsidR="00F06229" w:rsidRPr="005734B8" w14:paraId="0B1F4DED" w14:textId="77777777" w:rsidTr="000F48B1">
        <w:trPr>
          <w:trHeight w:val="255"/>
        </w:trPr>
        <w:tc>
          <w:tcPr>
            <w:tcW w:w="5452" w:type="dxa"/>
            <w:tcBorders>
              <w:top w:val="nil"/>
              <w:left w:val="single" w:sz="4" w:space="0" w:color="FFFFFF"/>
              <w:bottom w:val="nil"/>
              <w:right w:val="single" w:sz="4" w:space="0" w:color="FFFFFF"/>
            </w:tcBorders>
            <w:shd w:val="clear" w:color="000000" w:fill="AF272F"/>
            <w:vAlign w:val="bottom"/>
            <w:hideMark/>
          </w:tcPr>
          <w:p w14:paraId="13113C0C" w14:textId="77777777" w:rsidR="00F06229" w:rsidRPr="005734B8" w:rsidRDefault="00F06229" w:rsidP="000F48B1">
            <w:pPr>
              <w:jc w:val="right"/>
              <w:rPr>
                <w:rFonts w:ascii="Calibri" w:hAnsi="Calibri" w:cs="Calibri"/>
                <w:b/>
                <w:color w:val="FFFFFF"/>
                <w:sz w:val="18"/>
                <w:szCs w:val="18"/>
              </w:rPr>
            </w:pPr>
            <w:bookmarkStart w:id="1401" w:name="Note_AINTABLE1" w:colFirst="0" w:colLast="0"/>
            <w:r w:rsidRPr="005734B8">
              <w:rPr>
                <w:rFonts w:ascii="Calibri" w:hAnsi="Calibri" w:cs="Calibri"/>
                <w:b/>
                <w:color w:val="FFFFFF"/>
                <w:sz w:val="18"/>
                <w:szCs w:val="18"/>
              </w:rPr>
              <w:t> </w:t>
            </w:r>
          </w:p>
        </w:tc>
        <w:tc>
          <w:tcPr>
            <w:tcW w:w="2173" w:type="dxa"/>
            <w:gridSpan w:val="2"/>
            <w:tcBorders>
              <w:top w:val="nil"/>
              <w:left w:val="nil"/>
              <w:bottom w:val="single" w:sz="4" w:space="0" w:color="FFFFFF"/>
              <w:right w:val="single" w:sz="4" w:space="0" w:color="FFFFFF"/>
            </w:tcBorders>
            <w:shd w:val="clear" w:color="000000" w:fill="AF272F"/>
            <w:vAlign w:val="center"/>
            <w:hideMark/>
          </w:tcPr>
          <w:p w14:paraId="1739452B" w14:textId="77777777" w:rsidR="00F06229" w:rsidRPr="005734B8" w:rsidRDefault="00F06229" w:rsidP="000F48B1">
            <w:pPr>
              <w:jc w:val="center"/>
              <w:rPr>
                <w:rFonts w:ascii="Calibri" w:hAnsi="Calibri" w:cs="Calibri"/>
                <w:b/>
                <w:color w:val="FFFFFF"/>
                <w:sz w:val="18"/>
                <w:szCs w:val="18"/>
              </w:rPr>
            </w:pPr>
            <w:r w:rsidRPr="005734B8">
              <w:rPr>
                <w:rFonts w:ascii="Calibri" w:hAnsi="Calibri" w:cs="Calibri"/>
                <w:b/>
                <w:color w:val="FFFFFF"/>
                <w:sz w:val="18"/>
                <w:szCs w:val="18"/>
              </w:rPr>
              <w:t>Departmental Total</w:t>
            </w:r>
          </w:p>
        </w:tc>
      </w:tr>
      <w:bookmarkEnd w:id="1401"/>
      <w:tr w:rsidR="00F06229" w:rsidRPr="005734B8" w14:paraId="26FF0F9A" w14:textId="77777777" w:rsidTr="000F48B1">
        <w:trPr>
          <w:trHeight w:val="480"/>
        </w:trPr>
        <w:tc>
          <w:tcPr>
            <w:tcW w:w="5452" w:type="dxa"/>
            <w:tcBorders>
              <w:top w:val="nil"/>
              <w:left w:val="single" w:sz="4" w:space="0" w:color="FFFFFF"/>
              <w:bottom w:val="single" w:sz="4" w:space="0" w:color="auto"/>
              <w:right w:val="single" w:sz="4" w:space="0" w:color="FFFFFF"/>
            </w:tcBorders>
            <w:shd w:val="clear" w:color="000000" w:fill="AF272F"/>
            <w:vAlign w:val="bottom"/>
            <w:hideMark/>
          </w:tcPr>
          <w:p w14:paraId="4AFD45A1" w14:textId="77777777" w:rsidR="00F06229" w:rsidRPr="005734B8" w:rsidRDefault="00F06229" w:rsidP="000F48B1">
            <w:pPr>
              <w:jc w:val="center"/>
              <w:rPr>
                <w:rFonts w:ascii="Calibri" w:hAnsi="Calibri" w:cs="Calibri"/>
                <w:b/>
                <w:color w:val="FFFFFF"/>
                <w:sz w:val="18"/>
                <w:szCs w:val="18"/>
              </w:rPr>
            </w:pPr>
            <w:r w:rsidRPr="005734B8">
              <w:rPr>
                <w:rFonts w:ascii="Calibri" w:hAnsi="Calibri" w:cs="Calibri"/>
                <w:b/>
                <w:color w:val="FFFFFF"/>
                <w:sz w:val="18"/>
                <w:szCs w:val="18"/>
              </w:rPr>
              <w:t> </w:t>
            </w:r>
          </w:p>
        </w:tc>
        <w:tc>
          <w:tcPr>
            <w:tcW w:w="1091" w:type="dxa"/>
            <w:tcBorders>
              <w:top w:val="nil"/>
              <w:left w:val="nil"/>
              <w:bottom w:val="single" w:sz="4" w:space="0" w:color="auto"/>
              <w:right w:val="single" w:sz="4" w:space="0" w:color="FFFFFF"/>
            </w:tcBorders>
            <w:shd w:val="clear" w:color="000000" w:fill="AF272F"/>
            <w:hideMark/>
          </w:tcPr>
          <w:p w14:paraId="716504BB" w14:textId="77777777" w:rsidR="00F06229" w:rsidRPr="005734B8" w:rsidRDefault="00F06229"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82" w:type="dxa"/>
            <w:tcBorders>
              <w:top w:val="nil"/>
              <w:left w:val="nil"/>
              <w:bottom w:val="single" w:sz="4" w:space="0" w:color="auto"/>
              <w:right w:val="single" w:sz="4" w:space="0" w:color="FFFFFF"/>
            </w:tcBorders>
            <w:shd w:val="clear" w:color="000000" w:fill="AF272F"/>
            <w:hideMark/>
          </w:tcPr>
          <w:p w14:paraId="4B737291" w14:textId="77777777" w:rsidR="00F06229" w:rsidRPr="005734B8" w:rsidRDefault="00F06229"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tr w:rsidR="00F06229" w:rsidRPr="005734B8" w14:paraId="68A90498"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000000" w:fill="D9D9D9"/>
            <w:vAlign w:val="center"/>
            <w:hideMark/>
          </w:tcPr>
          <w:p w14:paraId="22064224"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Administered income from transactions</w:t>
            </w:r>
          </w:p>
        </w:tc>
        <w:tc>
          <w:tcPr>
            <w:tcW w:w="1091" w:type="dxa"/>
            <w:tcBorders>
              <w:top w:val="nil"/>
              <w:left w:val="nil"/>
              <w:bottom w:val="single" w:sz="4" w:space="0" w:color="auto"/>
              <w:right w:val="single" w:sz="4" w:space="0" w:color="FFFFFF"/>
            </w:tcBorders>
            <w:shd w:val="clear" w:color="000000" w:fill="D9D9D9"/>
            <w:vAlign w:val="bottom"/>
            <w:hideMark/>
          </w:tcPr>
          <w:p w14:paraId="65242595"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 </w:t>
            </w:r>
          </w:p>
        </w:tc>
        <w:tc>
          <w:tcPr>
            <w:tcW w:w="1082" w:type="dxa"/>
            <w:tcBorders>
              <w:top w:val="nil"/>
              <w:left w:val="nil"/>
              <w:bottom w:val="single" w:sz="4" w:space="0" w:color="auto"/>
              <w:right w:val="single" w:sz="4" w:space="0" w:color="FFFFFF"/>
            </w:tcBorders>
            <w:shd w:val="clear" w:color="000000" w:fill="D9D9D9"/>
            <w:vAlign w:val="bottom"/>
            <w:hideMark/>
          </w:tcPr>
          <w:p w14:paraId="36C2C269"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 </w:t>
            </w:r>
          </w:p>
        </w:tc>
      </w:tr>
      <w:tr w:rsidR="00F06229" w:rsidRPr="005734B8" w14:paraId="45C8DF58"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37221BE1"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Sales of goods and services</w:t>
            </w:r>
          </w:p>
        </w:tc>
        <w:tc>
          <w:tcPr>
            <w:tcW w:w="1091" w:type="dxa"/>
            <w:tcBorders>
              <w:top w:val="nil"/>
              <w:left w:val="nil"/>
              <w:bottom w:val="single" w:sz="4" w:space="0" w:color="auto"/>
              <w:right w:val="single" w:sz="4" w:space="0" w:color="FFFFFF"/>
            </w:tcBorders>
            <w:shd w:val="clear" w:color="000000" w:fill="D9D9D9"/>
            <w:noWrap/>
            <w:vAlign w:val="center"/>
            <w:hideMark/>
          </w:tcPr>
          <w:p w14:paraId="3294465B"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82.5 </w:t>
            </w:r>
          </w:p>
        </w:tc>
        <w:tc>
          <w:tcPr>
            <w:tcW w:w="1082" w:type="dxa"/>
            <w:tcBorders>
              <w:top w:val="nil"/>
              <w:left w:val="nil"/>
              <w:bottom w:val="single" w:sz="4" w:space="0" w:color="auto"/>
              <w:right w:val="single" w:sz="4" w:space="0" w:color="FFFFFF"/>
            </w:tcBorders>
            <w:shd w:val="clear" w:color="FFFFFF" w:fill="FFFFFF"/>
            <w:noWrap/>
            <w:vAlign w:val="center"/>
            <w:hideMark/>
          </w:tcPr>
          <w:p w14:paraId="7D5BCCB3"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90.2 </w:t>
            </w:r>
          </w:p>
        </w:tc>
      </w:tr>
      <w:tr w:rsidR="00F06229" w:rsidRPr="005734B8" w14:paraId="049A50D8"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462D1799"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Commonwealth on-passing to non-government schools</w:t>
            </w:r>
            <w:bookmarkStart w:id="1402" w:name="_Ref78310287"/>
            <w:r w:rsidRPr="005734B8">
              <w:rPr>
                <w:rStyle w:val="FootnoteReference"/>
                <w:rFonts w:ascii="Calibri" w:hAnsi="Calibri" w:cs="Calibri"/>
                <w:sz w:val="18"/>
                <w:szCs w:val="18"/>
              </w:rPr>
              <w:footnoteReference w:id="84"/>
            </w:r>
            <w:bookmarkEnd w:id="1402"/>
          </w:p>
        </w:tc>
        <w:tc>
          <w:tcPr>
            <w:tcW w:w="1091" w:type="dxa"/>
            <w:tcBorders>
              <w:top w:val="nil"/>
              <w:left w:val="nil"/>
              <w:bottom w:val="single" w:sz="4" w:space="0" w:color="auto"/>
              <w:right w:val="single" w:sz="4" w:space="0" w:color="FFFFFF"/>
            </w:tcBorders>
            <w:shd w:val="clear" w:color="FFFFFF" w:fill="FFFFFF"/>
            <w:noWrap/>
            <w:vAlign w:val="center"/>
            <w:hideMark/>
          </w:tcPr>
          <w:p w14:paraId="4AEF203F"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w:t>
            </w:r>
          </w:p>
        </w:tc>
        <w:tc>
          <w:tcPr>
            <w:tcW w:w="1082" w:type="dxa"/>
            <w:tcBorders>
              <w:top w:val="nil"/>
              <w:left w:val="nil"/>
              <w:bottom w:val="single" w:sz="4" w:space="0" w:color="auto"/>
              <w:right w:val="single" w:sz="4" w:space="0" w:color="FFFFFF"/>
            </w:tcBorders>
            <w:shd w:val="clear" w:color="FFFFFF" w:fill="FFFFFF"/>
            <w:noWrap/>
            <w:vAlign w:val="center"/>
            <w:hideMark/>
          </w:tcPr>
          <w:p w14:paraId="52B4FEA8"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w:t>
            </w:r>
          </w:p>
        </w:tc>
      </w:tr>
      <w:tr w:rsidR="00F06229" w:rsidRPr="005734B8" w14:paraId="49E76050" w14:textId="77777777" w:rsidTr="000F48B1">
        <w:trPr>
          <w:trHeight w:val="255"/>
        </w:trPr>
        <w:tc>
          <w:tcPr>
            <w:tcW w:w="5452" w:type="dxa"/>
            <w:tcBorders>
              <w:top w:val="nil"/>
              <w:left w:val="nil"/>
              <w:bottom w:val="single" w:sz="4" w:space="0" w:color="auto"/>
              <w:right w:val="nil"/>
            </w:tcBorders>
            <w:shd w:val="clear" w:color="FFFFFF" w:fill="FFFFFF"/>
            <w:vAlign w:val="center"/>
            <w:hideMark/>
          </w:tcPr>
          <w:p w14:paraId="2F1C31D5" w14:textId="77777777" w:rsidR="00F06229" w:rsidRPr="005734B8" w:rsidRDefault="00F06229" w:rsidP="000F48B1">
            <w:pPr>
              <w:rPr>
                <w:rFonts w:ascii="Calibri" w:hAnsi="Calibri" w:cs="Calibri"/>
                <w:i/>
                <w:sz w:val="18"/>
                <w:szCs w:val="18"/>
              </w:rPr>
            </w:pPr>
            <w:r w:rsidRPr="005734B8">
              <w:rPr>
                <w:rFonts w:ascii="Calibri" w:hAnsi="Calibri" w:cs="Calibri"/>
                <w:i/>
                <w:sz w:val="18"/>
                <w:szCs w:val="18"/>
              </w:rPr>
              <w:t xml:space="preserve">    General recurrent grants</w:t>
            </w:r>
          </w:p>
        </w:tc>
        <w:tc>
          <w:tcPr>
            <w:tcW w:w="1091" w:type="dxa"/>
            <w:tcBorders>
              <w:top w:val="nil"/>
              <w:left w:val="single" w:sz="4" w:space="0" w:color="FFFFFF"/>
              <w:bottom w:val="single" w:sz="4" w:space="0" w:color="auto"/>
              <w:right w:val="single" w:sz="4" w:space="0" w:color="FFFFFF"/>
            </w:tcBorders>
            <w:shd w:val="clear" w:color="000000" w:fill="D9D9D9"/>
            <w:noWrap/>
            <w:vAlign w:val="center"/>
            <w:hideMark/>
          </w:tcPr>
          <w:p w14:paraId="67B0772B"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3,803.0 </w:t>
            </w:r>
          </w:p>
        </w:tc>
        <w:tc>
          <w:tcPr>
            <w:tcW w:w="1082" w:type="dxa"/>
            <w:tcBorders>
              <w:top w:val="nil"/>
              <w:left w:val="nil"/>
              <w:bottom w:val="single" w:sz="4" w:space="0" w:color="auto"/>
              <w:right w:val="single" w:sz="4" w:space="0" w:color="FFFFFF"/>
            </w:tcBorders>
            <w:shd w:val="clear" w:color="FFFFFF" w:fill="FFFFFF"/>
            <w:noWrap/>
            <w:vAlign w:val="center"/>
            <w:hideMark/>
          </w:tcPr>
          <w:p w14:paraId="77D88EB3"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3,732.7 </w:t>
            </w:r>
          </w:p>
        </w:tc>
      </w:tr>
      <w:tr w:rsidR="00F06229" w:rsidRPr="005734B8" w14:paraId="49B3D7F4" w14:textId="77777777" w:rsidTr="000F48B1">
        <w:trPr>
          <w:trHeight w:val="255"/>
        </w:trPr>
        <w:tc>
          <w:tcPr>
            <w:tcW w:w="5452" w:type="dxa"/>
            <w:tcBorders>
              <w:top w:val="nil"/>
              <w:left w:val="nil"/>
              <w:bottom w:val="single" w:sz="4" w:space="0" w:color="auto"/>
              <w:right w:val="nil"/>
            </w:tcBorders>
            <w:shd w:val="clear" w:color="FFFFFF" w:fill="FFFFFF"/>
            <w:vAlign w:val="center"/>
            <w:hideMark/>
          </w:tcPr>
          <w:p w14:paraId="4C66BD7F" w14:textId="77777777" w:rsidR="00F06229" w:rsidRPr="005734B8" w:rsidRDefault="00F06229" w:rsidP="000F48B1">
            <w:pPr>
              <w:rPr>
                <w:rFonts w:ascii="Calibri" w:hAnsi="Calibri" w:cs="Calibri"/>
                <w:i/>
                <w:sz w:val="18"/>
                <w:szCs w:val="18"/>
              </w:rPr>
            </w:pPr>
            <w:r w:rsidRPr="005734B8">
              <w:rPr>
                <w:rFonts w:ascii="Calibri" w:hAnsi="Calibri" w:cs="Calibri"/>
                <w:i/>
                <w:sz w:val="18"/>
                <w:szCs w:val="18"/>
              </w:rPr>
              <w:t xml:space="preserve">    Other</w:t>
            </w:r>
          </w:p>
        </w:tc>
        <w:tc>
          <w:tcPr>
            <w:tcW w:w="1091" w:type="dxa"/>
            <w:tcBorders>
              <w:top w:val="nil"/>
              <w:left w:val="single" w:sz="4" w:space="0" w:color="FFFFFF"/>
              <w:bottom w:val="single" w:sz="4" w:space="0" w:color="auto"/>
              <w:right w:val="single" w:sz="4" w:space="0" w:color="FFFFFF"/>
            </w:tcBorders>
            <w:shd w:val="clear" w:color="000000" w:fill="D9D9D9"/>
            <w:noWrap/>
            <w:vAlign w:val="center"/>
            <w:hideMark/>
          </w:tcPr>
          <w:p w14:paraId="1C808236"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101.3 </w:t>
            </w:r>
          </w:p>
        </w:tc>
        <w:tc>
          <w:tcPr>
            <w:tcW w:w="1082" w:type="dxa"/>
            <w:tcBorders>
              <w:top w:val="nil"/>
              <w:left w:val="nil"/>
              <w:bottom w:val="single" w:sz="4" w:space="0" w:color="auto"/>
              <w:right w:val="single" w:sz="4" w:space="0" w:color="FFFFFF"/>
            </w:tcBorders>
            <w:shd w:val="clear" w:color="FFFFFF" w:fill="FFFFFF"/>
            <w:noWrap/>
            <w:vAlign w:val="center"/>
            <w:hideMark/>
          </w:tcPr>
          <w:p w14:paraId="091019A1"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65.8 </w:t>
            </w:r>
          </w:p>
        </w:tc>
      </w:tr>
      <w:tr w:rsidR="00F06229" w:rsidRPr="005734B8" w14:paraId="10B1E897"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13709AC3"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Fines and regulatory fees</w:t>
            </w:r>
          </w:p>
        </w:tc>
        <w:tc>
          <w:tcPr>
            <w:tcW w:w="1091" w:type="dxa"/>
            <w:tcBorders>
              <w:top w:val="nil"/>
              <w:left w:val="nil"/>
              <w:bottom w:val="single" w:sz="4" w:space="0" w:color="auto"/>
              <w:right w:val="single" w:sz="4" w:space="0" w:color="FFFFFF"/>
            </w:tcBorders>
            <w:shd w:val="clear" w:color="000000" w:fill="D9D9D9"/>
            <w:noWrap/>
            <w:vAlign w:val="center"/>
            <w:hideMark/>
          </w:tcPr>
          <w:p w14:paraId="61EDECA0"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2.3 </w:t>
            </w:r>
          </w:p>
        </w:tc>
        <w:tc>
          <w:tcPr>
            <w:tcW w:w="1082" w:type="dxa"/>
            <w:tcBorders>
              <w:top w:val="nil"/>
              <w:left w:val="nil"/>
              <w:bottom w:val="single" w:sz="4" w:space="0" w:color="auto"/>
              <w:right w:val="single" w:sz="4" w:space="0" w:color="FFFFFF"/>
            </w:tcBorders>
            <w:shd w:val="clear" w:color="FFFFFF" w:fill="FFFFFF"/>
            <w:noWrap/>
            <w:vAlign w:val="center"/>
            <w:hideMark/>
          </w:tcPr>
          <w:p w14:paraId="7F9BA265"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1.1 </w:t>
            </w:r>
          </w:p>
        </w:tc>
      </w:tr>
      <w:tr w:rsidR="00F06229" w:rsidRPr="005734B8" w14:paraId="613FEBA8"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FFFFFF" w:fill="FFFFFF"/>
            <w:vAlign w:val="bottom"/>
            <w:hideMark/>
          </w:tcPr>
          <w:p w14:paraId="1434B1EA"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Other income</w:t>
            </w:r>
          </w:p>
        </w:tc>
        <w:tc>
          <w:tcPr>
            <w:tcW w:w="1091" w:type="dxa"/>
            <w:tcBorders>
              <w:top w:val="nil"/>
              <w:left w:val="nil"/>
              <w:bottom w:val="single" w:sz="4" w:space="0" w:color="auto"/>
              <w:right w:val="single" w:sz="4" w:space="0" w:color="FFFFFF"/>
            </w:tcBorders>
            <w:shd w:val="clear" w:color="000000" w:fill="D9D9D9"/>
            <w:noWrap/>
            <w:vAlign w:val="center"/>
            <w:hideMark/>
          </w:tcPr>
          <w:p w14:paraId="449A154E"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15.4 </w:t>
            </w:r>
          </w:p>
        </w:tc>
        <w:tc>
          <w:tcPr>
            <w:tcW w:w="1082" w:type="dxa"/>
            <w:tcBorders>
              <w:top w:val="nil"/>
              <w:left w:val="nil"/>
              <w:bottom w:val="single" w:sz="4" w:space="0" w:color="auto"/>
              <w:right w:val="single" w:sz="4" w:space="0" w:color="FFFFFF"/>
            </w:tcBorders>
            <w:shd w:val="clear" w:color="FFFFFF" w:fill="FFFFFF"/>
            <w:noWrap/>
            <w:vAlign w:val="center"/>
            <w:hideMark/>
          </w:tcPr>
          <w:p w14:paraId="66302D1F"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10.4 </w:t>
            </w:r>
          </w:p>
        </w:tc>
      </w:tr>
      <w:tr w:rsidR="00F06229" w:rsidRPr="005734B8" w14:paraId="77A7850C"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C406D5C"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Total administered income from transactions</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7EB060BF"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4,004.5 </w:t>
            </w:r>
          </w:p>
        </w:tc>
        <w:tc>
          <w:tcPr>
            <w:tcW w:w="1082" w:type="dxa"/>
            <w:tcBorders>
              <w:top w:val="single" w:sz="12" w:space="0" w:color="auto"/>
              <w:left w:val="nil"/>
              <w:bottom w:val="single" w:sz="12" w:space="0" w:color="auto"/>
              <w:right w:val="single" w:sz="12" w:space="0" w:color="FFFFFF"/>
            </w:tcBorders>
            <w:shd w:val="clear" w:color="FFFFFF" w:fill="FFFFFF"/>
            <w:noWrap/>
            <w:vAlign w:val="center"/>
            <w:hideMark/>
          </w:tcPr>
          <w:p w14:paraId="4F7C892E"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3,900.2 </w:t>
            </w:r>
          </w:p>
        </w:tc>
      </w:tr>
      <w:tr w:rsidR="00F06229" w:rsidRPr="005734B8" w14:paraId="0744F6EC" w14:textId="77777777" w:rsidTr="000F48B1">
        <w:trPr>
          <w:trHeight w:val="270"/>
        </w:trPr>
        <w:tc>
          <w:tcPr>
            <w:tcW w:w="5452"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70A8074E"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Administered expenses from transactions</w:t>
            </w:r>
          </w:p>
        </w:tc>
        <w:tc>
          <w:tcPr>
            <w:tcW w:w="1091" w:type="dxa"/>
            <w:tcBorders>
              <w:top w:val="single" w:sz="4" w:space="0" w:color="auto"/>
              <w:left w:val="nil"/>
              <w:bottom w:val="single" w:sz="4" w:space="0" w:color="auto"/>
              <w:right w:val="single" w:sz="4" w:space="0" w:color="FFFFFF"/>
            </w:tcBorders>
            <w:shd w:val="clear" w:color="000000" w:fill="D9D9D9"/>
            <w:vAlign w:val="bottom"/>
            <w:hideMark/>
          </w:tcPr>
          <w:p w14:paraId="792D358A"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 </w:t>
            </w:r>
          </w:p>
        </w:tc>
        <w:tc>
          <w:tcPr>
            <w:tcW w:w="1082" w:type="dxa"/>
            <w:tcBorders>
              <w:top w:val="single" w:sz="4" w:space="0" w:color="auto"/>
              <w:left w:val="nil"/>
              <w:bottom w:val="single" w:sz="4" w:space="0" w:color="auto"/>
              <w:right w:val="single" w:sz="4" w:space="0" w:color="FFFFFF"/>
            </w:tcBorders>
            <w:shd w:val="clear" w:color="000000" w:fill="D9D9D9"/>
            <w:vAlign w:val="bottom"/>
            <w:hideMark/>
          </w:tcPr>
          <w:p w14:paraId="566BF93A"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 </w:t>
            </w:r>
          </w:p>
        </w:tc>
      </w:tr>
      <w:tr w:rsidR="00F06229" w:rsidRPr="005734B8" w14:paraId="00DDE684"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7BC16ED5" w14:textId="540C0B2B" w:rsidR="00F06229" w:rsidRPr="005734B8" w:rsidRDefault="00F06229" w:rsidP="000F48B1">
            <w:pPr>
              <w:rPr>
                <w:rFonts w:ascii="Calibri" w:hAnsi="Calibri" w:cs="Calibri"/>
                <w:sz w:val="18"/>
                <w:szCs w:val="18"/>
              </w:rPr>
            </w:pPr>
            <w:r w:rsidRPr="005734B8">
              <w:rPr>
                <w:rFonts w:ascii="Calibri" w:hAnsi="Calibri" w:cs="Calibri"/>
                <w:sz w:val="18"/>
                <w:szCs w:val="18"/>
              </w:rPr>
              <w:t>Commonwealth on-passing to non-government schools</w:t>
            </w:r>
            <w:r w:rsidRPr="005734B8">
              <w:rPr>
                <w:rFonts w:ascii="Calibri" w:hAnsi="Calibri" w:cs="Calibri"/>
                <w:sz w:val="18"/>
                <w:szCs w:val="18"/>
              </w:rPr>
              <w:fldChar w:fldCharType="begin"/>
            </w:r>
            <w:r w:rsidRPr="005734B8">
              <w:rPr>
                <w:rFonts w:ascii="Calibri" w:hAnsi="Calibri" w:cs="Calibri"/>
                <w:sz w:val="18"/>
                <w:szCs w:val="18"/>
              </w:rPr>
              <w:instrText xml:space="preserve"> NOTEREF _Ref78310287 \f \h </w:instrText>
            </w:r>
            <w:r w:rsidR="00F1540A" w:rsidRPr="005734B8">
              <w:rPr>
                <w:rFonts w:ascii="Calibri" w:hAnsi="Calibri" w:cs="Calibri"/>
                <w:sz w:val="18"/>
                <w:szCs w:val="18"/>
              </w:rPr>
              <w:instrText xml:space="preserve"> \* MERGEFORMAT </w:instrText>
            </w:r>
            <w:r w:rsidRPr="005734B8">
              <w:rPr>
                <w:rFonts w:ascii="Calibri" w:hAnsi="Calibri" w:cs="Calibri"/>
                <w:sz w:val="18"/>
                <w:szCs w:val="18"/>
              </w:rPr>
            </w:r>
            <w:r w:rsidRPr="005734B8">
              <w:rPr>
                <w:rFonts w:ascii="Calibri" w:hAnsi="Calibri" w:cs="Calibri"/>
                <w:sz w:val="18"/>
                <w:szCs w:val="18"/>
              </w:rPr>
              <w:fldChar w:fldCharType="separate"/>
            </w:r>
            <w:r w:rsidR="00F9243B" w:rsidRPr="00F9243B">
              <w:rPr>
                <w:rStyle w:val="FootnoteReference"/>
                <w:rFonts w:ascii="Calibri" w:hAnsi="Calibri" w:cs="Calibri"/>
              </w:rPr>
              <w:t>83</w:t>
            </w:r>
            <w:r w:rsidRPr="005734B8">
              <w:rPr>
                <w:rFonts w:ascii="Calibri" w:hAnsi="Calibri" w:cs="Calibri"/>
                <w:sz w:val="18"/>
                <w:szCs w:val="18"/>
              </w:rPr>
              <w:fldChar w:fldCharType="end"/>
            </w:r>
          </w:p>
        </w:tc>
        <w:tc>
          <w:tcPr>
            <w:tcW w:w="1091" w:type="dxa"/>
            <w:tcBorders>
              <w:top w:val="nil"/>
              <w:left w:val="nil"/>
              <w:bottom w:val="single" w:sz="4" w:space="0" w:color="auto"/>
              <w:right w:val="single" w:sz="4" w:space="0" w:color="FFFFFF"/>
            </w:tcBorders>
            <w:shd w:val="clear" w:color="FFFFFF" w:fill="FFFFFF"/>
            <w:noWrap/>
            <w:vAlign w:val="center"/>
            <w:hideMark/>
          </w:tcPr>
          <w:p w14:paraId="46C5DCF0"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w:t>
            </w:r>
          </w:p>
        </w:tc>
        <w:tc>
          <w:tcPr>
            <w:tcW w:w="1082" w:type="dxa"/>
            <w:tcBorders>
              <w:top w:val="nil"/>
              <w:left w:val="nil"/>
              <w:bottom w:val="single" w:sz="4" w:space="0" w:color="auto"/>
              <w:right w:val="single" w:sz="4" w:space="0" w:color="FFFFFF"/>
            </w:tcBorders>
            <w:shd w:val="clear" w:color="FFFFFF" w:fill="FFFFFF"/>
            <w:noWrap/>
            <w:vAlign w:val="center"/>
            <w:hideMark/>
          </w:tcPr>
          <w:p w14:paraId="2FB9AAE5"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w:t>
            </w:r>
          </w:p>
        </w:tc>
      </w:tr>
      <w:tr w:rsidR="00F06229" w:rsidRPr="005734B8" w14:paraId="45EFA557"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5BE108D4" w14:textId="77777777" w:rsidR="00F06229" w:rsidRPr="005734B8" w:rsidRDefault="00F06229" w:rsidP="000F48B1">
            <w:pPr>
              <w:rPr>
                <w:rFonts w:ascii="Calibri" w:hAnsi="Calibri" w:cs="Calibri"/>
                <w:i/>
                <w:sz w:val="18"/>
                <w:szCs w:val="18"/>
              </w:rPr>
            </w:pPr>
            <w:r w:rsidRPr="005734B8">
              <w:rPr>
                <w:rFonts w:ascii="Calibri" w:hAnsi="Calibri" w:cs="Calibri"/>
                <w:i/>
                <w:sz w:val="18"/>
                <w:szCs w:val="18"/>
              </w:rPr>
              <w:t xml:space="preserve">    General recurrent grants</w:t>
            </w:r>
          </w:p>
        </w:tc>
        <w:tc>
          <w:tcPr>
            <w:tcW w:w="1091" w:type="dxa"/>
            <w:tcBorders>
              <w:top w:val="nil"/>
              <w:left w:val="nil"/>
              <w:bottom w:val="single" w:sz="4" w:space="0" w:color="auto"/>
              <w:right w:val="single" w:sz="4" w:space="0" w:color="FFFFFF"/>
            </w:tcBorders>
            <w:shd w:val="clear" w:color="000000" w:fill="D9D9D9"/>
            <w:noWrap/>
            <w:vAlign w:val="center"/>
            <w:hideMark/>
          </w:tcPr>
          <w:p w14:paraId="631C93AB"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(3,803.0) </w:t>
            </w:r>
          </w:p>
        </w:tc>
        <w:tc>
          <w:tcPr>
            <w:tcW w:w="1082" w:type="dxa"/>
            <w:tcBorders>
              <w:top w:val="nil"/>
              <w:left w:val="nil"/>
              <w:bottom w:val="single" w:sz="4" w:space="0" w:color="auto"/>
              <w:right w:val="single" w:sz="4" w:space="0" w:color="FFFFFF"/>
            </w:tcBorders>
            <w:shd w:val="clear" w:color="FFFFFF" w:fill="FFFFFF"/>
            <w:noWrap/>
            <w:vAlign w:val="center"/>
            <w:hideMark/>
          </w:tcPr>
          <w:p w14:paraId="5A59E694"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(3,732.7) </w:t>
            </w:r>
          </w:p>
        </w:tc>
      </w:tr>
      <w:tr w:rsidR="00F06229" w:rsidRPr="005734B8" w14:paraId="16EF7ABC"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15A6D1D3" w14:textId="77777777" w:rsidR="00F06229" w:rsidRPr="005734B8" w:rsidRDefault="00F06229" w:rsidP="000F48B1">
            <w:pPr>
              <w:rPr>
                <w:rFonts w:ascii="Calibri" w:hAnsi="Calibri" w:cs="Calibri"/>
                <w:i/>
                <w:sz w:val="18"/>
                <w:szCs w:val="18"/>
              </w:rPr>
            </w:pPr>
            <w:r w:rsidRPr="005734B8">
              <w:rPr>
                <w:rFonts w:ascii="Calibri" w:hAnsi="Calibri" w:cs="Calibri"/>
                <w:i/>
                <w:sz w:val="18"/>
                <w:szCs w:val="18"/>
              </w:rPr>
              <w:t xml:space="preserve">    Other</w:t>
            </w:r>
          </w:p>
        </w:tc>
        <w:tc>
          <w:tcPr>
            <w:tcW w:w="1091" w:type="dxa"/>
            <w:tcBorders>
              <w:top w:val="nil"/>
              <w:left w:val="nil"/>
              <w:bottom w:val="single" w:sz="4" w:space="0" w:color="auto"/>
              <w:right w:val="single" w:sz="4" w:space="0" w:color="FFFFFF"/>
            </w:tcBorders>
            <w:shd w:val="clear" w:color="000000" w:fill="D9D9D9"/>
            <w:noWrap/>
            <w:vAlign w:val="center"/>
            <w:hideMark/>
          </w:tcPr>
          <w:p w14:paraId="3BCC4F9D"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(102.4) </w:t>
            </w:r>
          </w:p>
        </w:tc>
        <w:tc>
          <w:tcPr>
            <w:tcW w:w="1082" w:type="dxa"/>
            <w:tcBorders>
              <w:top w:val="nil"/>
              <w:left w:val="nil"/>
              <w:bottom w:val="single" w:sz="4" w:space="0" w:color="auto"/>
              <w:right w:val="single" w:sz="4" w:space="0" w:color="FFFFFF"/>
            </w:tcBorders>
            <w:shd w:val="clear" w:color="FFFFFF" w:fill="FFFFFF"/>
            <w:noWrap/>
            <w:vAlign w:val="center"/>
            <w:hideMark/>
          </w:tcPr>
          <w:p w14:paraId="28170A36"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(64.2) </w:t>
            </w:r>
          </w:p>
        </w:tc>
      </w:tr>
      <w:tr w:rsidR="00F06229" w:rsidRPr="005734B8" w14:paraId="540D0452"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7C442BDA"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Other</w:t>
            </w:r>
          </w:p>
        </w:tc>
        <w:tc>
          <w:tcPr>
            <w:tcW w:w="1091" w:type="dxa"/>
            <w:tcBorders>
              <w:top w:val="nil"/>
              <w:left w:val="nil"/>
              <w:bottom w:val="single" w:sz="4" w:space="0" w:color="auto"/>
              <w:right w:val="single" w:sz="4" w:space="0" w:color="FFFFFF"/>
            </w:tcBorders>
            <w:shd w:val="clear" w:color="000000" w:fill="D9D9D9"/>
            <w:noWrap/>
            <w:vAlign w:val="center"/>
            <w:hideMark/>
          </w:tcPr>
          <w:p w14:paraId="5E5334D1"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(0.2) </w:t>
            </w:r>
          </w:p>
        </w:tc>
        <w:tc>
          <w:tcPr>
            <w:tcW w:w="1082" w:type="dxa"/>
            <w:tcBorders>
              <w:top w:val="nil"/>
              <w:left w:val="nil"/>
              <w:bottom w:val="single" w:sz="4" w:space="0" w:color="auto"/>
              <w:right w:val="single" w:sz="4" w:space="0" w:color="FFFFFF"/>
            </w:tcBorders>
            <w:shd w:val="clear" w:color="FFFFFF" w:fill="FFFFFF"/>
            <w:noWrap/>
            <w:vAlign w:val="center"/>
            <w:hideMark/>
          </w:tcPr>
          <w:p w14:paraId="391E220C"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(1.0) </w:t>
            </w:r>
          </w:p>
        </w:tc>
      </w:tr>
      <w:tr w:rsidR="00F06229" w:rsidRPr="005734B8" w14:paraId="4E7442A1"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126B8F17"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Administered paid to consolidated fund</w:t>
            </w:r>
          </w:p>
        </w:tc>
        <w:tc>
          <w:tcPr>
            <w:tcW w:w="1091" w:type="dxa"/>
            <w:tcBorders>
              <w:top w:val="nil"/>
              <w:left w:val="nil"/>
              <w:bottom w:val="single" w:sz="4" w:space="0" w:color="auto"/>
              <w:right w:val="single" w:sz="4" w:space="0" w:color="FFFFFF"/>
            </w:tcBorders>
            <w:shd w:val="clear" w:color="000000" w:fill="D9D9D9"/>
            <w:noWrap/>
            <w:vAlign w:val="center"/>
            <w:hideMark/>
          </w:tcPr>
          <w:p w14:paraId="435D1BE7"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(58.3) </w:t>
            </w:r>
          </w:p>
        </w:tc>
        <w:tc>
          <w:tcPr>
            <w:tcW w:w="1082" w:type="dxa"/>
            <w:tcBorders>
              <w:top w:val="nil"/>
              <w:left w:val="nil"/>
              <w:bottom w:val="single" w:sz="4" w:space="0" w:color="auto"/>
              <w:right w:val="single" w:sz="4" w:space="0" w:color="FFFFFF"/>
            </w:tcBorders>
            <w:shd w:val="clear" w:color="FFFFFF" w:fill="FFFFFF"/>
            <w:noWrap/>
            <w:vAlign w:val="center"/>
            <w:hideMark/>
          </w:tcPr>
          <w:p w14:paraId="66044FBF"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(34.2) </w:t>
            </w:r>
          </w:p>
        </w:tc>
      </w:tr>
      <w:tr w:rsidR="00F06229" w:rsidRPr="005734B8" w14:paraId="3D134B61"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D2CF812"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Total administered expenses from transactions</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2135C5B9"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(3,963.9) </w:t>
            </w:r>
          </w:p>
        </w:tc>
        <w:tc>
          <w:tcPr>
            <w:tcW w:w="1082" w:type="dxa"/>
            <w:tcBorders>
              <w:top w:val="single" w:sz="12" w:space="0" w:color="auto"/>
              <w:left w:val="nil"/>
              <w:bottom w:val="single" w:sz="12" w:space="0" w:color="auto"/>
              <w:right w:val="single" w:sz="12" w:space="0" w:color="FFFFFF"/>
            </w:tcBorders>
            <w:shd w:val="clear" w:color="FFFFFF" w:fill="FFFFFF"/>
            <w:noWrap/>
            <w:vAlign w:val="center"/>
            <w:hideMark/>
          </w:tcPr>
          <w:p w14:paraId="26EF155D"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(3,832.1) </w:t>
            </w:r>
          </w:p>
        </w:tc>
      </w:tr>
      <w:tr w:rsidR="00F06229" w:rsidRPr="005734B8" w14:paraId="2515EA74" w14:textId="77777777" w:rsidTr="000F48B1">
        <w:trPr>
          <w:trHeight w:val="285"/>
        </w:trPr>
        <w:tc>
          <w:tcPr>
            <w:tcW w:w="5452" w:type="dxa"/>
            <w:tcBorders>
              <w:top w:val="nil"/>
              <w:left w:val="single" w:sz="12" w:space="0" w:color="FFFFFF"/>
              <w:bottom w:val="single" w:sz="12" w:space="0" w:color="auto"/>
              <w:right w:val="single" w:sz="12" w:space="0" w:color="FFFFFF"/>
            </w:tcBorders>
            <w:shd w:val="clear" w:color="FFFFFF" w:fill="FFFFFF"/>
            <w:vAlign w:val="center"/>
            <w:hideMark/>
          </w:tcPr>
          <w:p w14:paraId="283FA3BA"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Total administered net result from transactions (net operating balance)</w:t>
            </w:r>
          </w:p>
        </w:tc>
        <w:tc>
          <w:tcPr>
            <w:tcW w:w="1091" w:type="dxa"/>
            <w:tcBorders>
              <w:top w:val="nil"/>
              <w:left w:val="single" w:sz="4" w:space="0" w:color="FFFFFF"/>
              <w:bottom w:val="single" w:sz="12" w:space="0" w:color="auto"/>
              <w:right w:val="single" w:sz="4" w:space="0" w:color="FFFFFF"/>
            </w:tcBorders>
            <w:shd w:val="clear" w:color="000000" w:fill="D9D9D9"/>
            <w:noWrap/>
            <w:vAlign w:val="center"/>
            <w:hideMark/>
          </w:tcPr>
          <w:p w14:paraId="2C78E818"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40.6 </w:t>
            </w:r>
          </w:p>
        </w:tc>
        <w:tc>
          <w:tcPr>
            <w:tcW w:w="1082" w:type="dxa"/>
            <w:tcBorders>
              <w:top w:val="nil"/>
              <w:left w:val="nil"/>
              <w:bottom w:val="single" w:sz="12" w:space="0" w:color="auto"/>
              <w:right w:val="single" w:sz="12" w:space="0" w:color="FFFFFF"/>
            </w:tcBorders>
            <w:shd w:val="clear" w:color="FFFFFF" w:fill="FFFFFF"/>
            <w:noWrap/>
            <w:vAlign w:val="center"/>
            <w:hideMark/>
          </w:tcPr>
          <w:p w14:paraId="356CAC2C"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68.1 </w:t>
            </w:r>
          </w:p>
        </w:tc>
      </w:tr>
      <w:tr w:rsidR="00F06229" w:rsidRPr="005734B8" w14:paraId="7B85815A" w14:textId="77777777" w:rsidTr="000F48B1">
        <w:trPr>
          <w:trHeight w:val="495"/>
        </w:trPr>
        <w:tc>
          <w:tcPr>
            <w:tcW w:w="5452"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54D02F25"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Administered other economic flows included in the administered net result</w:t>
            </w:r>
          </w:p>
        </w:tc>
        <w:tc>
          <w:tcPr>
            <w:tcW w:w="1091" w:type="dxa"/>
            <w:tcBorders>
              <w:top w:val="single" w:sz="4" w:space="0" w:color="auto"/>
              <w:left w:val="nil"/>
              <w:bottom w:val="single" w:sz="4" w:space="0" w:color="auto"/>
              <w:right w:val="single" w:sz="4" w:space="0" w:color="FFFFFF"/>
            </w:tcBorders>
            <w:shd w:val="clear" w:color="000000" w:fill="D9D9D9"/>
            <w:vAlign w:val="bottom"/>
            <w:hideMark/>
          </w:tcPr>
          <w:p w14:paraId="51AD7176"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 </w:t>
            </w:r>
          </w:p>
        </w:tc>
        <w:tc>
          <w:tcPr>
            <w:tcW w:w="1082" w:type="dxa"/>
            <w:tcBorders>
              <w:top w:val="single" w:sz="4" w:space="0" w:color="auto"/>
              <w:left w:val="nil"/>
              <w:bottom w:val="single" w:sz="4" w:space="0" w:color="auto"/>
              <w:right w:val="single" w:sz="4" w:space="0" w:color="FFFFFF"/>
            </w:tcBorders>
            <w:shd w:val="clear" w:color="000000" w:fill="D9D9D9"/>
            <w:vAlign w:val="bottom"/>
            <w:hideMark/>
          </w:tcPr>
          <w:p w14:paraId="05E69F9A"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 </w:t>
            </w:r>
          </w:p>
        </w:tc>
      </w:tr>
      <w:tr w:rsidR="00F06229" w:rsidRPr="005734B8" w14:paraId="22CC631D"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4BC0528E"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 xml:space="preserve">Net gain/(loss) on non-financial assets </w:t>
            </w:r>
          </w:p>
        </w:tc>
        <w:tc>
          <w:tcPr>
            <w:tcW w:w="1091" w:type="dxa"/>
            <w:tcBorders>
              <w:top w:val="nil"/>
              <w:left w:val="nil"/>
              <w:bottom w:val="single" w:sz="4" w:space="0" w:color="auto"/>
              <w:right w:val="single" w:sz="4" w:space="0" w:color="FFFFFF"/>
            </w:tcBorders>
            <w:shd w:val="clear" w:color="000000" w:fill="D9D9D9"/>
            <w:noWrap/>
            <w:vAlign w:val="center"/>
            <w:hideMark/>
          </w:tcPr>
          <w:p w14:paraId="2C2BEAFA"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(34.7) </w:t>
            </w:r>
          </w:p>
        </w:tc>
        <w:tc>
          <w:tcPr>
            <w:tcW w:w="1082" w:type="dxa"/>
            <w:tcBorders>
              <w:top w:val="nil"/>
              <w:left w:val="nil"/>
              <w:bottom w:val="single" w:sz="4" w:space="0" w:color="auto"/>
              <w:right w:val="single" w:sz="4" w:space="0" w:color="FFFFFF"/>
            </w:tcBorders>
            <w:shd w:val="clear" w:color="FFFFFF" w:fill="FFFFFF"/>
            <w:noWrap/>
            <w:vAlign w:val="center"/>
            <w:hideMark/>
          </w:tcPr>
          <w:p w14:paraId="2BE2470C"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(48.8) </w:t>
            </w:r>
          </w:p>
        </w:tc>
      </w:tr>
      <w:tr w:rsidR="00F06229" w:rsidRPr="005734B8" w14:paraId="748A14F6"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16031B84"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Total administered other economic flows</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1043517A"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(34.7) </w:t>
            </w:r>
          </w:p>
        </w:tc>
        <w:tc>
          <w:tcPr>
            <w:tcW w:w="1082" w:type="dxa"/>
            <w:tcBorders>
              <w:top w:val="single" w:sz="12" w:space="0" w:color="auto"/>
              <w:left w:val="nil"/>
              <w:bottom w:val="single" w:sz="12" w:space="0" w:color="auto"/>
              <w:right w:val="single" w:sz="12" w:space="0" w:color="FFFFFF"/>
            </w:tcBorders>
            <w:shd w:val="clear" w:color="FFFFFF" w:fill="FFFFFF"/>
            <w:noWrap/>
            <w:vAlign w:val="center"/>
            <w:hideMark/>
          </w:tcPr>
          <w:p w14:paraId="0199637B"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(48.8) </w:t>
            </w:r>
          </w:p>
        </w:tc>
      </w:tr>
      <w:tr w:rsidR="00F06229" w:rsidRPr="005734B8" w14:paraId="4A01CE8A" w14:textId="77777777" w:rsidTr="000F48B1">
        <w:trPr>
          <w:trHeight w:val="285"/>
        </w:trPr>
        <w:tc>
          <w:tcPr>
            <w:tcW w:w="5452" w:type="dxa"/>
            <w:tcBorders>
              <w:top w:val="nil"/>
              <w:left w:val="single" w:sz="12" w:space="0" w:color="FFFFFF"/>
              <w:bottom w:val="single" w:sz="12" w:space="0" w:color="auto"/>
              <w:right w:val="single" w:sz="12" w:space="0" w:color="FFFFFF"/>
            </w:tcBorders>
            <w:shd w:val="clear" w:color="FFFFFF" w:fill="FFFFFF"/>
            <w:vAlign w:val="center"/>
            <w:hideMark/>
          </w:tcPr>
          <w:p w14:paraId="705312CF"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Administered net result</w:t>
            </w:r>
          </w:p>
        </w:tc>
        <w:tc>
          <w:tcPr>
            <w:tcW w:w="1091" w:type="dxa"/>
            <w:tcBorders>
              <w:top w:val="nil"/>
              <w:left w:val="single" w:sz="4" w:space="0" w:color="FFFFFF"/>
              <w:bottom w:val="single" w:sz="12" w:space="0" w:color="auto"/>
              <w:right w:val="single" w:sz="4" w:space="0" w:color="FFFFFF"/>
            </w:tcBorders>
            <w:shd w:val="clear" w:color="000000" w:fill="D9D9D9"/>
            <w:noWrap/>
            <w:vAlign w:val="center"/>
            <w:hideMark/>
          </w:tcPr>
          <w:p w14:paraId="3E0574BA"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5.9 </w:t>
            </w:r>
          </w:p>
        </w:tc>
        <w:tc>
          <w:tcPr>
            <w:tcW w:w="1082" w:type="dxa"/>
            <w:tcBorders>
              <w:top w:val="nil"/>
              <w:left w:val="nil"/>
              <w:bottom w:val="single" w:sz="12" w:space="0" w:color="auto"/>
              <w:right w:val="single" w:sz="12" w:space="0" w:color="FFFFFF"/>
            </w:tcBorders>
            <w:shd w:val="clear" w:color="FFFFFF" w:fill="FFFFFF"/>
            <w:noWrap/>
            <w:vAlign w:val="center"/>
            <w:hideMark/>
          </w:tcPr>
          <w:p w14:paraId="725BE234"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19.3 </w:t>
            </w:r>
          </w:p>
        </w:tc>
      </w:tr>
      <w:tr w:rsidR="00F06229" w:rsidRPr="005734B8" w14:paraId="798865A0" w14:textId="77777777" w:rsidTr="000F48B1">
        <w:trPr>
          <w:trHeight w:val="285"/>
        </w:trPr>
        <w:tc>
          <w:tcPr>
            <w:tcW w:w="5452" w:type="dxa"/>
            <w:tcBorders>
              <w:top w:val="nil"/>
              <w:left w:val="single" w:sz="12" w:space="0" w:color="FFFFFF"/>
              <w:bottom w:val="single" w:sz="12" w:space="0" w:color="auto"/>
              <w:right w:val="single" w:sz="12" w:space="0" w:color="FFFFFF"/>
            </w:tcBorders>
            <w:shd w:val="clear" w:color="FFFFFF" w:fill="FFFFFF"/>
            <w:vAlign w:val="center"/>
            <w:hideMark/>
          </w:tcPr>
          <w:p w14:paraId="425D6278"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Total administered comprehensive result</w:t>
            </w:r>
          </w:p>
        </w:tc>
        <w:tc>
          <w:tcPr>
            <w:tcW w:w="1091" w:type="dxa"/>
            <w:tcBorders>
              <w:top w:val="nil"/>
              <w:left w:val="single" w:sz="4" w:space="0" w:color="FFFFFF"/>
              <w:bottom w:val="single" w:sz="12" w:space="0" w:color="auto"/>
              <w:right w:val="single" w:sz="4" w:space="0" w:color="FFFFFF"/>
            </w:tcBorders>
            <w:shd w:val="clear" w:color="000000" w:fill="D9D9D9"/>
            <w:noWrap/>
            <w:vAlign w:val="center"/>
            <w:hideMark/>
          </w:tcPr>
          <w:p w14:paraId="1397635F"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5.9 </w:t>
            </w:r>
          </w:p>
        </w:tc>
        <w:tc>
          <w:tcPr>
            <w:tcW w:w="1082" w:type="dxa"/>
            <w:tcBorders>
              <w:top w:val="nil"/>
              <w:left w:val="nil"/>
              <w:bottom w:val="single" w:sz="12" w:space="0" w:color="auto"/>
              <w:right w:val="single" w:sz="12" w:space="0" w:color="FFFFFF"/>
            </w:tcBorders>
            <w:shd w:val="clear" w:color="FFFFFF" w:fill="FFFFFF"/>
            <w:noWrap/>
            <w:vAlign w:val="center"/>
            <w:hideMark/>
          </w:tcPr>
          <w:p w14:paraId="31CBFBD2"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19.3 </w:t>
            </w:r>
          </w:p>
        </w:tc>
      </w:tr>
      <w:tr w:rsidR="00F06229" w:rsidRPr="005734B8" w14:paraId="7F0BB6A5"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000000" w:fill="53565A"/>
            <w:vAlign w:val="center"/>
            <w:hideMark/>
          </w:tcPr>
          <w:p w14:paraId="00AFB020" w14:textId="77777777" w:rsidR="00F06229" w:rsidRPr="005734B8" w:rsidRDefault="00F06229" w:rsidP="000F48B1">
            <w:pPr>
              <w:rPr>
                <w:rFonts w:ascii="Calibri" w:hAnsi="Calibri" w:cs="Calibri"/>
                <w:b/>
                <w:color w:val="FFFFFF"/>
                <w:sz w:val="18"/>
                <w:szCs w:val="18"/>
              </w:rPr>
            </w:pPr>
            <w:r w:rsidRPr="005734B8">
              <w:rPr>
                <w:rFonts w:ascii="Calibri" w:hAnsi="Calibri" w:cs="Calibri"/>
                <w:b/>
                <w:color w:val="FFFFFF"/>
                <w:sz w:val="18"/>
                <w:szCs w:val="18"/>
              </w:rPr>
              <w:t>Administered financial assets</w:t>
            </w:r>
          </w:p>
        </w:tc>
        <w:tc>
          <w:tcPr>
            <w:tcW w:w="1091" w:type="dxa"/>
            <w:tcBorders>
              <w:top w:val="nil"/>
              <w:left w:val="nil"/>
              <w:bottom w:val="single" w:sz="4" w:space="0" w:color="auto"/>
              <w:right w:val="single" w:sz="4" w:space="0" w:color="FFFFFF"/>
            </w:tcBorders>
            <w:shd w:val="clear" w:color="000000" w:fill="53565A"/>
            <w:vAlign w:val="center"/>
            <w:hideMark/>
          </w:tcPr>
          <w:p w14:paraId="6F047EFC" w14:textId="77777777" w:rsidR="00F06229" w:rsidRPr="005734B8" w:rsidRDefault="00F06229" w:rsidP="000F48B1">
            <w:pPr>
              <w:rPr>
                <w:rFonts w:ascii="Calibri" w:hAnsi="Calibri" w:cs="Calibri"/>
                <w:b/>
                <w:color w:val="FFFFFF"/>
                <w:sz w:val="18"/>
                <w:szCs w:val="18"/>
              </w:rPr>
            </w:pPr>
            <w:r w:rsidRPr="005734B8">
              <w:rPr>
                <w:rFonts w:ascii="Calibri" w:hAnsi="Calibri" w:cs="Calibri"/>
                <w:b/>
                <w:color w:val="FFFFFF"/>
                <w:sz w:val="18"/>
                <w:szCs w:val="18"/>
              </w:rPr>
              <w:t> </w:t>
            </w:r>
          </w:p>
        </w:tc>
        <w:tc>
          <w:tcPr>
            <w:tcW w:w="1082" w:type="dxa"/>
            <w:tcBorders>
              <w:top w:val="nil"/>
              <w:left w:val="nil"/>
              <w:bottom w:val="single" w:sz="4" w:space="0" w:color="auto"/>
              <w:right w:val="single" w:sz="4" w:space="0" w:color="FFFFFF"/>
            </w:tcBorders>
            <w:shd w:val="clear" w:color="000000" w:fill="53565A"/>
            <w:vAlign w:val="center"/>
            <w:hideMark/>
          </w:tcPr>
          <w:p w14:paraId="1A886EB4" w14:textId="77777777" w:rsidR="00F06229" w:rsidRPr="005734B8" w:rsidRDefault="00F06229" w:rsidP="000F48B1">
            <w:pPr>
              <w:rPr>
                <w:rFonts w:ascii="Calibri" w:hAnsi="Calibri" w:cs="Calibri"/>
                <w:b/>
                <w:color w:val="FFFFFF"/>
                <w:sz w:val="18"/>
                <w:szCs w:val="18"/>
              </w:rPr>
            </w:pPr>
            <w:r w:rsidRPr="005734B8">
              <w:rPr>
                <w:rFonts w:ascii="Calibri" w:hAnsi="Calibri" w:cs="Calibri"/>
                <w:b/>
                <w:color w:val="FFFFFF"/>
                <w:sz w:val="18"/>
                <w:szCs w:val="18"/>
              </w:rPr>
              <w:t> </w:t>
            </w:r>
          </w:p>
        </w:tc>
      </w:tr>
      <w:tr w:rsidR="00F06229" w:rsidRPr="005734B8" w14:paraId="54896502"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7F6ACE2D"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Cash and deposits</w:t>
            </w:r>
          </w:p>
        </w:tc>
        <w:tc>
          <w:tcPr>
            <w:tcW w:w="1091" w:type="dxa"/>
            <w:tcBorders>
              <w:top w:val="nil"/>
              <w:left w:val="nil"/>
              <w:bottom w:val="single" w:sz="4" w:space="0" w:color="auto"/>
              <w:right w:val="single" w:sz="4" w:space="0" w:color="FFFFFF"/>
            </w:tcBorders>
            <w:shd w:val="clear" w:color="000000" w:fill="D9D9D9"/>
            <w:noWrap/>
            <w:vAlign w:val="center"/>
            <w:hideMark/>
          </w:tcPr>
          <w:p w14:paraId="3F748677"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1.3 </w:t>
            </w:r>
          </w:p>
        </w:tc>
        <w:tc>
          <w:tcPr>
            <w:tcW w:w="1082" w:type="dxa"/>
            <w:tcBorders>
              <w:top w:val="nil"/>
              <w:left w:val="nil"/>
              <w:bottom w:val="single" w:sz="4" w:space="0" w:color="auto"/>
              <w:right w:val="single" w:sz="4" w:space="0" w:color="FFFFFF"/>
            </w:tcBorders>
            <w:shd w:val="clear" w:color="FFFFFF" w:fill="FFFFFF"/>
            <w:noWrap/>
            <w:vAlign w:val="center"/>
            <w:hideMark/>
          </w:tcPr>
          <w:p w14:paraId="74574F48"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1.3 </w:t>
            </w:r>
          </w:p>
        </w:tc>
      </w:tr>
      <w:tr w:rsidR="00F06229" w:rsidRPr="005734B8" w14:paraId="0BEAE04B"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35F4CE47" w14:textId="77777777" w:rsidR="00F06229" w:rsidRPr="005734B8" w:rsidRDefault="00F06229" w:rsidP="000F48B1">
            <w:pPr>
              <w:rPr>
                <w:rFonts w:ascii="Calibri" w:hAnsi="Calibri" w:cs="Calibri"/>
                <w:sz w:val="18"/>
                <w:szCs w:val="18"/>
              </w:rPr>
            </w:pPr>
            <w:r w:rsidRPr="005734B8">
              <w:rPr>
                <w:rFonts w:ascii="Calibri" w:hAnsi="Calibri" w:cs="Calibri"/>
                <w:sz w:val="18"/>
                <w:szCs w:val="18"/>
              </w:rPr>
              <w:t>Receivables</w:t>
            </w:r>
          </w:p>
        </w:tc>
        <w:tc>
          <w:tcPr>
            <w:tcW w:w="1091" w:type="dxa"/>
            <w:tcBorders>
              <w:top w:val="nil"/>
              <w:left w:val="nil"/>
              <w:bottom w:val="single" w:sz="4" w:space="0" w:color="auto"/>
              <w:right w:val="single" w:sz="4" w:space="0" w:color="FFFFFF"/>
            </w:tcBorders>
            <w:shd w:val="clear" w:color="000000" w:fill="D9D9D9"/>
            <w:noWrap/>
            <w:vAlign w:val="center"/>
            <w:hideMark/>
          </w:tcPr>
          <w:p w14:paraId="0B9A3763"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41.6 </w:t>
            </w:r>
          </w:p>
        </w:tc>
        <w:tc>
          <w:tcPr>
            <w:tcW w:w="1082" w:type="dxa"/>
            <w:tcBorders>
              <w:top w:val="nil"/>
              <w:left w:val="nil"/>
              <w:bottom w:val="single" w:sz="4" w:space="0" w:color="auto"/>
              <w:right w:val="single" w:sz="4" w:space="0" w:color="FFFFFF"/>
            </w:tcBorders>
            <w:shd w:val="clear" w:color="FFFFFF" w:fill="FFFFFF"/>
            <w:noWrap/>
            <w:vAlign w:val="center"/>
            <w:hideMark/>
          </w:tcPr>
          <w:p w14:paraId="364B9048" w14:textId="77777777" w:rsidR="00F06229" w:rsidRPr="005734B8" w:rsidRDefault="00F06229" w:rsidP="000F48B1">
            <w:pPr>
              <w:jc w:val="right"/>
              <w:rPr>
                <w:rFonts w:ascii="Calibri" w:hAnsi="Calibri" w:cs="Calibri"/>
                <w:sz w:val="18"/>
                <w:szCs w:val="18"/>
              </w:rPr>
            </w:pPr>
            <w:r w:rsidRPr="005734B8">
              <w:rPr>
                <w:rFonts w:ascii="Calibri" w:hAnsi="Calibri" w:cs="Calibri"/>
                <w:sz w:val="18"/>
                <w:szCs w:val="18"/>
              </w:rPr>
              <w:t xml:space="preserve">36.0 </w:t>
            </w:r>
          </w:p>
        </w:tc>
      </w:tr>
      <w:tr w:rsidR="00F06229" w:rsidRPr="005734B8" w14:paraId="7B73D8D5"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CAB5152" w14:textId="77777777" w:rsidR="00F06229" w:rsidRPr="005734B8" w:rsidRDefault="00F06229" w:rsidP="000F48B1">
            <w:pPr>
              <w:rPr>
                <w:rFonts w:ascii="Calibri" w:hAnsi="Calibri" w:cs="Calibri"/>
                <w:b/>
                <w:sz w:val="18"/>
                <w:szCs w:val="18"/>
              </w:rPr>
            </w:pPr>
            <w:r w:rsidRPr="005734B8">
              <w:rPr>
                <w:rFonts w:ascii="Calibri" w:hAnsi="Calibri" w:cs="Calibri"/>
                <w:b/>
                <w:sz w:val="18"/>
                <w:szCs w:val="18"/>
              </w:rPr>
              <w:t>Total administered assets</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635B99D8"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42.9 </w:t>
            </w:r>
          </w:p>
        </w:tc>
        <w:tc>
          <w:tcPr>
            <w:tcW w:w="1082" w:type="dxa"/>
            <w:tcBorders>
              <w:top w:val="single" w:sz="12" w:space="0" w:color="auto"/>
              <w:left w:val="nil"/>
              <w:bottom w:val="single" w:sz="12" w:space="0" w:color="auto"/>
              <w:right w:val="single" w:sz="12" w:space="0" w:color="FFFFFF"/>
            </w:tcBorders>
            <w:shd w:val="clear" w:color="FFFFFF" w:fill="FFFFFF"/>
            <w:noWrap/>
            <w:vAlign w:val="center"/>
            <w:hideMark/>
          </w:tcPr>
          <w:p w14:paraId="4C29D241" w14:textId="77777777" w:rsidR="00F06229" w:rsidRPr="005734B8" w:rsidRDefault="00F06229" w:rsidP="000F48B1">
            <w:pPr>
              <w:jc w:val="right"/>
              <w:rPr>
                <w:rFonts w:ascii="Calibri" w:hAnsi="Calibri" w:cs="Calibri"/>
                <w:b/>
                <w:sz w:val="18"/>
                <w:szCs w:val="18"/>
              </w:rPr>
            </w:pPr>
            <w:r w:rsidRPr="005734B8">
              <w:rPr>
                <w:rFonts w:ascii="Calibri" w:hAnsi="Calibri" w:cs="Calibri"/>
                <w:b/>
                <w:sz w:val="18"/>
                <w:szCs w:val="18"/>
              </w:rPr>
              <w:t xml:space="preserve">37.3 </w:t>
            </w:r>
          </w:p>
        </w:tc>
      </w:tr>
    </w:tbl>
    <w:p w14:paraId="26525FB0" w14:textId="77777777" w:rsidR="00F06229" w:rsidRPr="005734B8" w:rsidRDefault="00F06229" w:rsidP="00F06229">
      <w:pPr>
        <w:rPr>
          <w:rFonts w:ascii="Calibri" w:hAnsi="Calibri" w:cs="Calibri"/>
        </w:rPr>
      </w:pPr>
    </w:p>
    <w:p w14:paraId="412DA39A" w14:textId="0297208F" w:rsidR="00F06229" w:rsidRPr="005734B8" w:rsidRDefault="00F06229" w:rsidP="00F06229">
      <w:pPr>
        <w:rPr>
          <w:rFonts w:ascii="Calibri" w:hAnsi="Calibri" w:cs="Calibri"/>
          <w:szCs w:val="22"/>
        </w:rPr>
      </w:pPr>
      <w:r w:rsidRPr="005734B8">
        <w:rPr>
          <w:rFonts w:ascii="Calibri" w:hAnsi="Calibri" w:cs="Calibri"/>
          <w:szCs w:val="22"/>
        </w:rPr>
        <w:t>Administered income includes Commonwealth on-passing grants, fees and the proceeds from the sale of administered surplus land and buildings. Administered expenses include payments into the consolidated fund. Administered assets include government income earned but yet to be collected. Administered liabilities include government expenses incurred but yet to be paid.</w:t>
      </w:r>
    </w:p>
    <w:p w14:paraId="0EEA1B6C" w14:textId="77777777" w:rsidR="00F06229" w:rsidRPr="005734B8" w:rsidRDefault="00F06229" w:rsidP="00F06229">
      <w:pPr>
        <w:rPr>
          <w:rFonts w:ascii="Calibri" w:hAnsi="Calibri" w:cs="Calibri"/>
          <w:szCs w:val="22"/>
        </w:rPr>
      </w:pPr>
      <w:r w:rsidRPr="005734B8">
        <w:rPr>
          <w:rFonts w:ascii="Calibri" w:hAnsi="Calibri" w:cs="Calibri"/>
          <w:szCs w:val="22"/>
        </w:rPr>
        <w:br w:type="page"/>
      </w:r>
    </w:p>
    <w:p w14:paraId="462AB4DB" w14:textId="3623B513" w:rsidR="00F06229" w:rsidRPr="005734B8" w:rsidRDefault="00F06229" w:rsidP="00F06229">
      <w:pPr>
        <w:rPr>
          <w:rFonts w:ascii="Calibri" w:hAnsi="Calibri" w:cs="Calibri"/>
          <w:szCs w:val="22"/>
        </w:rPr>
      </w:pPr>
      <w:r w:rsidRPr="005734B8">
        <w:rPr>
          <w:rFonts w:ascii="Calibri" w:hAnsi="Calibri" w:cs="Calibri"/>
          <w:szCs w:val="22"/>
        </w:rPr>
        <w:lastRenderedPageBreak/>
        <w:t>Except as otherwise disclosed, administered resources are accounted for on an accrual basis</w:t>
      </w:r>
      <w:r w:rsidR="00852EB8" w:rsidRPr="005734B8">
        <w:rPr>
          <w:rFonts w:ascii="Calibri" w:hAnsi="Calibri" w:cs="Calibri"/>
          <w:szCs w:val="22"/>
        </w:rPr>
        <w:t>,</w:t>
      </w:r>
      <w:r w:rsidRPr="005734B8">
        <w:rPr>
          <w:rFonts w:ascii="Calibri" w:hAnsi="Calibri" w:cs="Calibri"/>
          <w:szCs w:val="22"/>
        </w:rPr>
        <w:t xml:space="preserve"> using the same accounting policies adopted for recognition of the departmental items in the financial statements. Both controlled and administered items of the Department are consolidated into the financial statements of the </w:t>
      </w:r>
      <w:r w:rsidR="00852EB8" w:rsidRPr="005734B8">
        <w:rPr>
          <w:rFonts w:ascii="Calibri" w:hAnsi="Calibri" w:cs="Calibri"/>
          <w:szCs w:val="22"/>
        </w:rPr>
        <w:t>s</w:t>
      </w:r>
      <w:r w:rsidRPr="005734B8">
        <w:rPr>
          <w:rFonts w:ascii="Calibri" w:hAnsi="Calibri" w:cs="Calibri"/>
          <w:szCs w:val="22"/>
        </w:rPr>
        <w:t>tate.</w:t>
      </w:r>
    </w:p>
    <w:p w14:paraId="6F691F5B" w14:textId="77777777" w:rsidR="00F06229" w:rsidRPr="005734B8" w:rsidRDefault="00F06229" w:rsidP="002D345C">
      <w:pPr>
        <w:pStyle w:val="ESHeading4"/>
        <w:ind w:left="0" w:firstLine="0"/>
        <w:rPr>
          <w:rFonts w:ascii="Calibri" w:hAnsi="Calibri" w:cs="Calibri"/>
        </w:rPr>
      </w:pPr>
      <w:bookmarkStart w:id="1403" w:name="_Toc11336381"/>
      <w:bookmarkStart w:id="1404" w:name="_Toc14965607"/>
      <w:r w:rsidRPr="005734B8">
        <w:rPr>
          <w:rFonts w:ascii="Calibri" w:hAnsi="Calibri" w:cs="Calibri"/>
        </w:rPr>
        <w:t>Commonwealth on-passing grants</w:t>
      </w:r>
      <w:bookmarkEnd w:id="1403"/>
      <w:bookmarkEnd w:id="1404"/>
    </w:p>
    <w:p w14:paraId="07A05815" w14:textId="5DB500B2" w:rsidR="002E4354" w:rsidRPr="005734B8" w:rsidRDefault="00F06229" w:rsidP="00F06229">
      <w:pPr>
        <w:rPr>
          <w:rFonts w:ascii="Calibri" w:hAnsi="Calibri" w:cs="Calibri"/>
          <w:b/>
          <w:sz w:val="28"/>
          <w:szCs w:val="18"/>
          <w:lang w:eastAsia="en-AU"/>
        </w:rPr>
      </w:pPr>
      <w:r w:rsidRPr="005734B8">
        <w:rPr>
          <w:rFonts w:ascii="Calibri" w:hAnsi="Calibri" w:cs="Calibri"/>
          <w:szCs w:val="22"/>
        </w:rPr>
        <w:t xml:space="preserve">The Department’s administered grants mainly comprise funds </w:t>
      </w:r>
      <w:r w:rsidR="002C5520" w:rsidRPr="005734B8">
        <w:rPr>
          <w:rFonts w:ascii="Calibri" w:hAnsi="Calibri" w:cs="Calibri"/>
          <w:szCs w:val="22"/>
        </w:rPr>
        <w:t>from</w:t>
      </w:r>
      <w:r w:rsidRPr="005734B8">
        <w:rPr>
          <w:rFonts w:ascii="Calibri" w:hAnsi="Calibri" w:cs="Calibri"/>
          <w:szCs w:val="22"/>
        </w:rPr>
        <w:t xml:space="preserve"> the Commonwealth to assist the State Government in meeting general or specific service delivery obligations and mainly reflect payments to the non-government schools sector. These grants are distributed to the recipients for operational and capital purposes.</w:t>
      </w:r>
      <w:r w:rsidR="002E4354" w:rsidRPr="005734B8">
        <w:rPr>
          <w:rFonts w:ascii="Calibri" w:hAnsi="Calibri" w:cs="Calibri"/>
        </w:rPr>
        <w:br w:type="page"/>
      </w:r>
    </w:p>
    <w:p w14:paraId="48F2E5A8" w14:textId="77777777" w:rsidR="00A10555" w:rsidRPr="005734B8" w:rsidRDefault="002E4354" w:rsidP="00CE3E19">
      <w:pPr>
        <w:pStyle w:val="Note"/>
        <w:ind w:left="709" w:right="-1" w:hanging="709"/>
        <w:rPr>
          <w:rFonts w:cs="Calibri"/>
          <w:b w:val="0"/>
        </w:rPr>
      </w:pPr>
      <w:bookmarkStart w:id="1405" w:name="_Toc14965608"/>
      <w:bookmarkStart w:id="1406" w:name="_Toc36012780"/>
      <w:bookmarkStart w:id="1407" w:name="_Toc36012858"/>
      <w:bookmarkStart w:id="1408" w:name="_Toc48402832"/>
      <w:bookmarkStart w:id="1409" w:name="_Toc48403069"/>
      <w:bookmarkStart w:id="1410" w:name="_Toc51332812"/>
      <w:bookmarkStart w:id="1411" w:name="_Toc80272078"/>
      <w:bookmarkStart w:id="1412" w:name="_Toc81315378"/>
      <w:r w:rsidRPr="005734B8">
        <w:rPr>
          <w:rFonts w:cs="Calibri"/>
        </w:rPr>
        <w:lastRenderedPageBreak/>
        <w:t>Key assets available to support output delivery</w:t>
      </w:r>
      <w:bookmarkEnd w:id="1405"/>
      <w:bookmarkEnd w:id="1406"/>
      <w:bookmarkEnd w:id="1407"/>
      <w:bookmarkEnd w:id="1408"/>
      <w:bookmarkEnd w:id="1409"/>
      <w:bookmarkEnd w:id="1410"/>
      <w:bookmarkEnd w:id="1411"/>
      <w:bookmarkEnd w:id="1412"/>
    </w:p>
    <w:p w14:paraId="2D5FC9EA" w14:textId="30911582" w:rsidR="002E4354" w:rsidRPr="005734B8" w:rsidRDefault="000E29FE" w:rsidP="00A10555">
      <w:pPr>
        <w:rPr>
          <w:rFonts w:ascii="Calibri" w:hAnsi="Calibri" w:cs="Calibri"/>
        </w:rPr>
      </w:pPr>
      <w:r w:rsidRPr="005734B8">
        <w:rPr>
          <w:rFonts w:ascii="Calibri" w:hAnsi="Calibri" w:cs="Calibri"/>
        </w:rPr>
        <w:fldChar w:fldCharType="begin"/>
      </w:r>
      <w:r w:rsidRPr="005734B8">
        <w:rPr>
          <w:rFonts w:ascii="Calibri" w:hAnsi="Calibri" w:cs="Calibri"/>
        </w:rPr>
        <w:instrText xml:space="preserve"> TC  "</w:instrText>
      </w:r>
      <w:bookmarkStart w:id="1413" w:name="_Toc80718037"/>
      <w:r w:rsidRPr="005734B8">
        <w:rPr>
          <w:rFonts w:ascii="Calibri" w:hAnsi="Calibri" w:cs="Calibri"/>
        </w:rPr>
        <w:instrText>Note 5</w:instrText>
      </w:r>
      <w:r w:rsidRPr="005734B8">
        <w:rPr>
          <w:rFonts w:ascii="Calibri" w:hAnsi="Calibri" w:cs="Calibri"/>
        </w:rPr>
        <w:tab/>
        <w:instrText>Key assets available to support output delivery</w:instrText>
      </w:r>
      <w:bookmarkEnd w:id="1413"/>
      <w:r w:rsidRPr="005734B8">
        <w:rPr>
          <w:rFonts w:ascii="Calibri" w:hAnsi="Calibri" w:cs="Calibri"/>
        </w:rPr>
        <w:instrText xml:space="preserve">" \f X \l 1 </w:instrText>
      </w:r>
      <w:r w:rsidRPr="005734B8">
        <w:rPr>
          <w:rFonts w:ascii="Calibri" w:hAnsi="Calibri" w:cs="Calibri"/>
        </w:rPr>
        <w:fldChar w:fldCharType="end"/>
      </w:r>
    </w:p>
    <w:tbl>
      <w:tblPr>
        <w:tblStyle w:val="TableGrid"/>
        <w:tblpPr w:leftFromText="180" w:rightFromText="180" w:vertAnchor="page" w:horzAnchor="margin" w:tblpY="2776"/>
        <w:tblW w:w="8149" w:type="dxa"/>
        <w:tblLook w:val="04A0" w:firstRow="1" w:lastRow="0" w:firstColumn="1" w:lastColumn="0" w:noHBand="0" w:noVBand="1"/>
      </w:tblPr>
      <w:tblGrid>
        <w:gridCol w:w="4435"/>
        <w:gridCol w:w="3714"/>
      </w:tblGrid>
      <w:tr w:rsidR="00B748F9" w:rsidRPr="005734B8" w14:paraId="184930E8" w14:textId="77777777" w:rsidTr="00A10555">
        <w:trPr>
          <w:trHeight w:val="2530"/>
        </w:trPr>
        <w:tc>
          <w:tcPr>
            <w:tcW w:w="4435" w:type="dxa"/>
            <w:tcBorders>
              <w:bottom w:val="single" w:sz="4" w:space="0" w:color="auto"/>
              <w:right w:val="nil"/>
            </w:tcBorders>
          </w:tcPr>
          <w:p w14:paraId="0603C9F9" w14:textId="77777777" w:rsidR="00B748F9" w:rsidRPr="005734B8" w:rsidRDefault="00B748F9" w:rsidP="00A10555">
            <w:pPr>
              <w:pStyle w:val="Heading4notes"/>
              <w:tabs>
                <w:tab w:val="clear" w:pos="397"/>
                <w:tab w:val="left" w:pos="361"/>
              </w:tabs>
              <w:spacing w:before="0"/>
              <w:rPr>
                <w:rFonts w:ascii="Calibri" w:hAnsi="Calibri" w:cs="Calibri"/>
                <w:i w:val="0"/>
                <w:sz w:val="18"/>
                <w:szCs w:val="18"/>
              </w:rPr>
            </w:pPr>
            <w:r w:rsidRPr="005734B8">
              <w:rPr>
                <w:rFonts w:ascii="Calibri" w:hAnsi="Calibri" w:cs="Calibri"/>
                <w:i w:val="0"/>
                <w:sz w:val="18"/>
                <w:szCs w:val="18"/>
              </w:rPr>
              <w:t>Introduction</w:t>
            </w:r>
          </w:p>
          <w:p w14:paraId="5A680C01" w14:textId="21896BD4" w:rsidR="00B748F9" w:rsidRPr="005734B8" w:rsidRDefault="00B748F9" w:rsidP="00A10555">
            <w:pPr>
              <w:pStyle w:val="ReferenceText"/>
              <w:rPr>
                <w:rFonts w:ascii="Calibri" w:hAnsi="Calibri" w:cs="Calibri"/>
              </w:rPr>
            </w:pPr>
            <w:r w:rsidRPr="005734B8">
              <w:rPr>
                <w:rFonts w:ascii="Calibri" w:hAnsi="Calibri" w:cs="Calibri"/>
              </w:rPr>
              <w:t xml:space="preserve">The Department controls infrastructure that is utilised in fulfilling its objectives and conducting its activities. </w:t>
            </w:r>
            <w:r w:rsidR="00852EB8" w:rsidRPr="005734B8">
              <w:rPr>
                <w:rFonts w:ascii="Calibri" w:hAnsi="Calibri" w:cs="Calibri"/>
              </w:rPr>
              <w:t xml:space="preserve">This infrastructure </w:t>
            </w:r>
            <w:r w:rsidRPr="005734B8">
              <w:rPr>
                <w:rFonts w:ascii="Calibri" w:hAnsi="Calibri" w:cs="Calibri"/>
              </w:rPr>
              <w:t>represent</w:t>
            </w:r>
            <w:r w:rsidR="00852EB8" w:rsidRPr="005734B8">
              <w:rPr>
                <w:rFonts w:ascii="Calibri" w:hAnsi="Calibri" w:cs="Calibri"/>
              </w:rPr>
              <w:t>s</w:t>
            </w:r>
            <w:r w:rsidRPr="005734B8">
              <w:rPr>
                <w:rFonts w:ascii="Calibri" w:hAnsi="Calibri" w:cs="Calibri"/>
              </w:rPr>
              <w:t xml:space="preserve"> the resources that have been entrusted to the Department to be utilised for delivery of those outputs.</w:t>
            </w:r>
          </w:p>
          <w:p w14:paraId="2FFA667A" w14:textId="77777777" w:rsidR="00852EB8" w:rsidRPr="005734B8" w:rsidRDefault="00852EB8" w:rsidP="00A10555">
            <w:pPr>
              <w:pStyle w:val="ReferenceText"/>
              <w:rPr>
                <w:rFonts w:ascii="Calibri" w:hAnsi="Calibri" w:cs="Calibri"/>
              </w:rPr>
            </w:pPr>
          </w:p>
          <w:p w14:paraId="64A16531" w14:textId="77777777" w:rsidR="00B748F9" w:rsidRPr="005734B8" w:rsidRDefault="00B748F9" w:rsidP="00A10555">
            <w:pPr>
              <w:pStyle w:val="ReferenceText"/>
              <w:rPr>
                <w:rFonts w:ascii="Calibri" w:hAnsi="Calibri" w:cs="Calibri"/>
              </w:rPr>
            </w:pPr>
            <w:r w:rsidRPr="005734B8">
              <w:rPr>
                <w:rFonts w:ascii="Calibri" w:hAnsi="Calibri" w:cs="Calibri"/>
              </w:rPr>
              <w:t>Where the assets included in this section are carried at fair value, additional information is disclosed in Note 8.2 in connection with how those fair values were determined.</w:t>
            </w:r>
          </w:p>
        </w:tc>
        <w:tc>
          <w:tcPr>
            <w:tcW w:w="3714" w:type="dxa"/>
            <w:tcBorders>
              <w:left w:val="nil"/>
              <w:bottom w:val="single" w:sz="4" w:space="0" w:color="auto"/>
            </w:tcBorders>
          </w:tcPr>
          <w:p w14:paraId="1EB3F90C" w14:textId="77777777" w:rsidR="00B748F9" w:rsidRPr="005734B8" w:rsidRDefault="00B748F9" w:rsidP="00A10555">
            <w:pPr>
              <w:pStyle w:val="Heading4notes"/>
              <w:tabs>
                <w:tab w:val="clear" w:pos="397"/>
                <w:tab w:val="left" w:pos="361"/>
              </w:tabs>
              <w:spacing w:before="0"/>
              <w:rPr>
                <w:rFonts w:ascii="Calibri" w:hAnsi="Calibri" w:cs="Calibri"/>
                <w:i w:val="0"/>
                <w:sz w:val="18"/>
                <w:szCs w:val="18"/>
              </w:rPr>
            </w:pPr>
            <w:r w:rsidRPr="005734B8">
              <w:rPr>
                <w:rFonts w:ascii="Calibri" w:hAnsi="Calibri" w:cs="Calibri"/>
                <w:i w:val="0"/>
                <w:sz w:val="18"/>
                <w:szCs w:val="18"/>
              </w:rPr>
              <w:t>Structure</w:t>
            </w:r>
          </w:p>
          <w:p w14:paraId="7965F894" w14:textId="0D427252" w:rsidR="00B748F9" w:rsidRPr="005734B8" w:rsidRDefault="00B748F9" w:rsidP="00A10555">
            <w:pPr>
              <w:spacing w:after="90"/>
              <w:rPr>
                <w:rFonts w:ascii="Calibri" w:hAnsi="Calibri" w:cs="Calibri"/>
                <w:sz w:val="18"/>
                <w:szCs w:val="18"/>
              </w:rPr>
            </w:pPr>
            <w:r w:rsidRPr="005734B8">
              <w:rPr>
                <w:rFonts w:ascii="Calibri" w:hAnsi="Calibri" w:cs="Calibri"/>
                <w:sz w:val="18"/>
                <w:szCs w:val="18"/>
              </w:rPr>
              <w:t>5.1 Property, plant and equipment</w:t>
            </w:r>
            <w:bookmarkStart w:id="1414" w:name="_Hlk80616376"/>
            <w:r w:rsidR="00852EB8" w:rsidRPr="005734B8">
              <w:rPr>
                <w:rFonts w:ascii="Calibri" w:hAnsi="Calibri" w:cs="Calibri"/>
                <w:sz w:val="18"/>
                <w:szCs w:val="18"/>
              </w:rPr>
              <w:t>—</w:t>
            </w:r>
            <w:bookmarkEnd w:id="1414"/>
            <w:r w:rsidR="00852EB8" w:rsidRPr="005734B8">
              <w:rPr>
                <w:rFonts w:ascii="Calibri" w:hAnsi="Calibri" w:cs="Calibri"/>
                <w:sz w:val="18"/>
                <w:szCs w:val="18"/>
              </w:rPr>
              <w:t>education function</w:t>
            </w:r>
          </w:p>
          <w:p w14:paraId="57FE40F2" w14:textId="77777777" w:rsidR="00B748F9" w:rsidRPr="005734B8" w:rsidRDefault="00B748F9" w:rsidP="00A10555">
            <w:pPr>
              <w:spacing w:after="90"/>
              <w:rPr>
                <w:rFonts w:ascii="Calibri" w:hAnsi="Calibri" w:cs="Calibri"/>
                <w:sz w:val="18"/>
                <w:szCs w:val="18"/>
              </w:rPr>
            </w:pPr>
            <w:r w:rsidRPr="005734B8">
              <w:rPr>
                <w:rFonts w:ascii="Calibri" w:hAnsi="Calibri" w:cs="Calibri"/>
                <w:sz w:val="18"/>
                <w:szCs w:val="18"/>
              </w:rPr>
              <w:t>5.1(a) Total right-of-use assets: buildings, plant, equipment and vehicles.</w:t>
            </w:r>
          </w:p>
          <w:p w14:paraId="500E756E" w14:textId="77777777" w:rsidR="00B748F9" w:rsidRPr="005734B8" w:rsidRDefault="00B748F9" w:rsidP="00A10555">
            <w:pPr>
              <w:spacing w:after="90"/>
              <w:ind w:left="417"/>
              <w:rPr>
                <w:rFonts w:ascii="Calibri" w:hAnsi="Calibri" w:cs="Calibri"/>
                <w:sz w:val="18"/>
                <w:szCs w:val="18"/>
              </w:rPr>
            </w:pPr>
            <w:r w:rsidRPr="005734B8">
              <w:rPr>
                <w:rFonts w:ascii="Calibri" w:hAnsi="Calibri" w:cs="Calibri"/>
                <w:sz w:val="18"/>
                <w:szCs w:val="18"/>
              </w:rPr>
              <w:t>5.1.1 Depreciation and amortisation</w:t>
            </w:r>
          </w:p>
          <w:p w14:paraId="55BBDDEB" w14:textId="77777777" w:rsidR="00B748F9" w:rsidRPr="005734B8" w:rsidRDefault="00B748F9" w:rsidP="00A10555">
            <w:pPr>
              <w:spacing w:after="90"/>
              <w:ind w:left="417"/>
              <w:rPr>
                <w:rFonts w:ascii="Calibri" w:hAnsi="Calibri" w:cs="Calibri"/>
                <w:sz w:val="18"/>
                <w:szCs w:val="18"/>
              </w:rPr>
            </w:pPr>
            <w:r w:rsidRPr="005734B8">
              <w:rPr>
                <w:rFonts w:ascii="Calibri" w:hAnsi="Calibri" w:cs="Calibri"/>
                <w:sz w:val="18"/>
                <w:szCs w:val="18"/>
              </w:rPr>
              <w:t>5.1.2 Reconciliation of movements in carrying value of property, plant and equipment</w:t>
            </w:r>
          </w:p>
          <w:p w14:paraId="233D5BDC" w14:textId="77777777" w:rsidR="00B748F9" w:rsidRPr="005734B8" w:rsidRDefault="00B748F9" w:rsidP="00A10555">
            <w:pPr>
              <w:spacing w:after="90"/>
              <w:rPr>
                <w:rFonts w:ascii="Calibri" w:hAnsi="Calibri" w:cs="Calibri"/>
                <w:sz w:val="18"/>
                <w:szCs w:val="18"/>
              </w:rPr>
            </w:pPr>
            <w:r w:rsidRPr="005734B8">
              <w:rPr>
                <w:rFonts w:ascii="Calibri" w:hAnsi="Calibri" w:cs="Calibri"/>
                <w:sz w:val="18"/>
                <w:szCs w:val="18"/>
              </w:rPr>
              <w:t>5.2 Intangible assets</w:t>
            </w:r>
          </w:p>
          <w:p w14:paraId="03F9D873" w14:textId="77777777" w:rsidR="00B748F9" w:rsidRPr="005734B8" w:rsidRDefault="00B748F9" w:rsidP="00A10555">
            <w:pPr>
              <w:spacing w:after="90"/>
              <w:rPr>
                <w:rFonts w:ascii="Calibri" w:hAnsi="Calibri" w:cs="Calibri"/>
                <w:sz w:val="18"/>
                <w:szCs w:val="18"/>
              </w:rPr>
            </w:pPr>
            <w:r w:rsidRPr="005734B8">
              <w:rPr>
                <w:rFonts w:ascii="Calibri" w:hAnsi="Calibri" w:cs="Calibri"/>
                <w:sz w:val="18"/>
                <w:szCs w:val="18"/>
              </w:rPr>
              <w:t>5.3 Other financial assets</w:t>
            </w:r>
          </w:p>
          <w:p w14:paraId="1FEB131E" w14:textId="61281A24" w:rsidR="00B748F9" w:rsidRPr="005734B8" w:rsidRDefault="00B748F9" w:rsidP="00A10555">
            <w:pPr>
              <w:spacing w:after="90"/>
              <w:ind w:left="417"/>
              <w:rPr>
                <w:rFonts w:ascii="Calibri" w:hAnsi="Calibri" w:cs="Calibri"/>
                <w:sz w:val="18"/>
                <w:szCs w:val="18"/>
              </w:rPr>
            </w:pPr>
            <w:r w:rsidRPr="005734B8">
              <w:rPr>
                <w:rFonts w:ascii="Calibri" w:hAnsi="Calibri" w:cs="Calibri"/>
                <w:sz w:val="18"/>
                <w:szCs w:val="18"/>
              </w:rPr>
              <w:t>5.3.1 Ageing analysis of other financial assets</w:t>
            </w:r>
          </w:p>
        </w:tc>
      </w:tr>
    </w:tbl>
    <w:p w14:paraId="260159BA" w14:textId="0944D704" w:rsidR="00E27915" w:rsidRPr="005734B8" w:rsidRDefault="00E27915" w:rsidP="00E27915">
      <w:pPr>
        <w:pStyle w:val="ESHeading2"/>
        <w:rPr>
          <w:rFonts w:ascii="Calibri" w:hAnsi="Calibri" w:cs="Calibri"/>
        </w:rPr>
      </w:pPr>
      <w:bookmarkStart w:id="1415" w:name="_Toc80272079"/>
      <w:bookmarkStart w:id="1416" w:name="_Toc81315379"/>
      <w:r w:rsidRPr="005734B8">
        <w:rPr>
          <w:rFonts w:ascii="Calibri" w:hAnsi="Calibri" w:cs="Calibri"/>
        </w:rPr>
        <w:t>5.1 Property, plant and equipment</w:t>
      </w:r>
      <w:r w:rsidR="00852EB8" w:rsidRPr="005734B8">
        <w:rPr>
          <w:rFonts w:ascii="Calibri" w:hAnsi="Calibri" w:cs="Calibri"/>
        </w:rPr>
        <w:t>—</w:t>
      </w:r>
      <w:r w:rsidRPr="005734B8">
        <w:rPr>
          <w:rFonts w:ascii="Calibri" w:hAnsi="Calibri" w:cs="Calibri"/>
        </w:rPr>
        <w:t>education function</w:t>
      </w:r>
      <w:bookmarkEnd w:id="1415"/>
      <w:bookmarkEnd w:id="1416"/>
    </w:p>
    <w:p w14:paraId="54CC822B" w14:textId="77777777" w:rsidR="00F1540A" w:rsidRPr="005734B8" w:rsidRDefault="00F1540A" w:rsidP="00F1540A">
      <w:pPr>
        <w:rPr>
          <w:rFonts w:ascii="Calibri" w:hAnsi="Calibri" w:cs="Calibri"/>
        </w:rPr>
      </w:pPr>
      <w:r w:rsidRPr="005734B8">
        <w:rPr>
          <w:rFonts w:ascii="Calibri" w:hAnsi="Calibri" w:cs="Calibri"/>
        </w:rPr>
        <w:t>Property, plant and equipment are classified primarily by the ‘purpose’ for which the assets are used, according to one of six ‘Purpose Groups’ based upon government purpose classifications (GPC). The Department’s assets are reported under the ‘Education’ GPC.</w:t>
      </w:r>
    </w:p>
    <w:p w14:paraId="44AA81B7" w14:textId="77777777" w:rsidR="00F1540A" w:rsidRPr="005734B8" w:rsidRDefault="00F1540A" w:rsidP="00F1540A">
      <w:pPr>
        <w:rPr>
          <w:rFonts w:ascii="Calibri" w:hAnsi="Calibri" w:cs="Calibri"/>
        </w:rPr>
      </w:pPr>
    </w:p>
    <w:p w14:paraId="01632A67" w14:textId="23551B03" w:rsidR="00E27915" w:rsidRPr="005734B8" w:rsidRDefault="00F1540A" w:rsidP="00F1540A">
      <w:pPr>
        <w:rPr>
          <w:rFonts w:ascii="Calibri" w:hAnsi="Calibri" w:cs="Calibri"/>
        </w:rPr>
      </w:pPr>
      <w:r w:rsidRPr="005734B8">
        <w:rPr>
          <w:rFonts w:ascii="Calibri" w:hAnsi="Calibri" w:cs="Calibri"/>
        </w:rPr>
        <w:t>All assets in a purpose group are further sub-categorised according to the asset’s ‘nature’. For example, under the buildings or plant and equipment categories, each sub</w:t>
      </w:r>
      <w:r w:rsidR="009018B1" w:rsidRPr="005734B8">
        <w:rPr>
          <w:rFonts w:ascii="Calibri" w:hAnsi="Calibri" w:cs="Calibri"/>
        </w:rPr>
        <w:noBreakHyphen/>
      </w:r>
      <w:r w:rsidRPr="005734B8">
        <w:rPr>
          <w:rFonts w:ascii="Calibri" w:hAnsi="Calibri" w:cs="Calibri"/>
        </w:rPr>
        <w:t xml:space="preserve">category </w:t>
      </w:r>
      <w:r w:rsidR="009018B1" w:rsidRPr="005734B8">
        <w:rPr>
          <w:rFonts w:ascii="Calibri" w:hAnsi="Calibri" w:cs="Calibri"/>
        </w:rPr>
        <w:t>is</w:t>
      </w:r>
      <w:r w:rsidRPr="005734B8">
        <w:rPr>
          <w:rFonts w:ascii="Calibri" w:hAnsi="Calibri" w:cs="Calibri"/>
        </w:rPr>
        <w:t xml:space="preserve"> classified as a separate class of asset for financial reporting purposes.</w:t>
      </w:r>
    </w:p>
    <w:p w14:paraId="3F8DD516" w14:textId="5A7FD016" w:rsidR="00B748F9" w:rsidRPr="005734B8" w:rsidRDefault="00B748F9">
      <w:pPr>
        <w:rPr>
          <w:rFonts w:ascii="Calibri" w:hAnsi="Calibri" w:cs="Calibri"/>
        </w:rPr>
      </w:pPr>
      <w:r w:rsidRPr="005734B8">
        <w:rPr>
          <w:rFonts w:ascii="Calibri" w:hAnsi="Calibri" w:cs="Calibri"/>
        </w:rPr>
        <w:br w:type="page"/>
      </w:r>
    </w:p>
    <w:p w14:paraId="745EC33E" w14:textId="77777777" w:rsidR="00572811" w:rsidRPr="005734B8" w:rsidRDefault="00572811">
      <w:pPr>
        <w:rPr>
          <w:rFonts w:ascii="Calibri" w:hAnsi="Calibri" w:cs="Calibri"/>
        </w:rPr>
      </w:pPr>
    </w:p>
    <w:p w14:paraId="4997AA8B" w14:textId="7EDAB740" w:rsidR="00BD002D" w:rsidRPr="005734B8" w:rsidRDefault="00BD002D" w:rsidP="00BD002D">
      <w:pPr>
        <w:pStyle w:val="ESHeading3"/>
        <w:ind w:hanging="720"/>
        <w:rPr>
          <w:rFonts w:ascii="Calibri" w:hAnsi="Calibri" w:cs="Calibri"/>
        </w:rPr>
      </w:pPr>
      <w:r w:rsidRPr="005734B8">
        <w:rPr>
          <w:rFonts w:ascii="Calibri" w:hAnsi="Calibri" w:cs="Calibri"/>
        </w:rPr>
        <w:t>5.1 (a) Total right-of-use assets: buildings, plant, equipment and vehicles</w:t>
      </w:r>
    </w:p>
    <w:tbl>
      <w:tblPr>
        <w:tblW w:w="7625" w:type="dxa"/>
        <w:tblInd w:w="75" w:type="dxa"/>
        <w:tblLayout w:type="fixed"/>
        <w:tblLook w:val="04A0" w:firstRow="1" w:lastRow="0" w:firstColumn="1" w:lastColumn="0" w:noHBand="0" w:noVBand="1"/>
      </w:tblPr>
      <w:tblGrid>
        <w:gridCol w:w="5297"/>
        <w:gridCol w:w="1169"/>
        <w:gridCol w:w="1159"/>
      </w:tblGrid>
      <w:tr w:rsidR="00F1540A" w:rsidRPr="005734B8" w14:paraId="7B1B2671" w14:textId="77777777" w:rsidTr="000F48B1">
        <w:trPr>
          <w:trHeight w:val="480"/>
        </w:trPr>
        <w:tc>
          <w:tcPr>
            <w:tcW w:w="5297" w:type="dxa"/>
            <w:tcBorders>
              <w:top w:val="nil"/>
              <w:left w:val="single" w:sz="4" w:space="0" w:color="FFFFFF"/>
              <w:bottom w:val="nil"/>
              <w:right w:val="single" w:sz="4" w:space="0" w:color="FFFFFF"/>
            </w:tcBorders>
            <w:shd w:val="clear" w:color="000000" w:fill="AF272F"/>
            <w:vAlign w:val="bottom"/>
            <w:hideMark/>
          </w:tcPr>
          <w:p w14:paraId="3D6652AB" w14:textId="77777777" w:rsidR="00F1540A" w:rsidRPr="005734B8" w:rsidRDefault="00F1540A" w:rsidP="00BD002D">
            <w:pPr>
              <w:rPr>
                <w:rFonts w:ascii="Calibri" w:hAnsi="Calibri" w:cs="Calibri"/>
                <w:b/>
                <w:color w:val="FFFFFF"/>
                <w:sz w:val="18"/>
                <w:szCs w:val="18"/>
              </w:rPr>
            </w:pPr>
            <w:bookmarkStart w:id="1417" w:name="Note_IPETABLE1" w:colFirst="0" w:colLast="0"/>
            <w:r w:rsidRPr="005734B8">
              <w:rPr>
                <w:rFonts w:ascii="Calibri" w:hAnsi="Calibri" w:cs="Calibri"/>
                <w:b/>
                <w:color w:val="FFFFFF"/>
                <w:sz w:val="18"/>
                <w:szCs w:val="18"/>
              </w:rPr>
              <w:t> </w:t>
            </w:r>
          </w:p>
        </w:tc>
        <w:tc>
          <w:tcPr>
            <w:tcW w:w="1169" w:type="dxa"/>
            <w:tcBorders>
              <w:top w:val="nil"/>
              <w:left w:val="nil"/>
              <w:bottom w:val="single" w:sz="4" w:space="0" w:color="auto"/>
              <w:right w:val="single" w:sz="4" w:space="0" w:color="FFFFFF"/>
            </w:tcBorders>
            <w:shd w:val="clear" w:color="000000" w:fill="AF272F"/>
            <w:hideMark/>
          </w:tcPr>
          <w:p w14:paraId="197E42FD"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159" w:type="dxa"/>
            <w:tcBorders>
              <w:top w:val="nil"/>
              <w:left w:val="nil"/>
              <w:bottom w:val="single" w:sz="4" w:space="0" w:color="auto"/>
              <w:right w:val="single" w:sz="4" w:space="0" w:color="FFFFFF"/>
            </w:tcBorders>
            <w:shd w:val="clear" w:color="000000" w:fill="AF272F"/>
            <w:hideMark/>
          </w:tcPr>
          <w:p w14:paraId="1BDCA7B9"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417"/>
      <w:tr w:rsidR="00F1540A" w:rsidRPr="005734B8" w14:paraId="4566334D" w14:textId="77777777" w:rsidTr="000F48B1">
        <w:trPr>
          <w:trHeight w:val="270"/>
        </w:trPr>
        <w:tc>
          <w:tcPr>
            <w:tcW w:w="5297"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5B9EACC4"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Land</w:t>
            </w:r>
          </w:p>
        </w:tc>
        <w:tc>
          <w:tcPr>
            <w:tcW w:w="1169" w:type="dxa"/>
            <w:tcBorders>
              <w:top w:val="nil"/>
              <w:left w:val="nil"/>
              <w:bottom w:val="single" w:sz="4" w:space="0" w:color="auto"/>
              <w:right w:val="single" w:sz="4" w:space="0" w:color="FFFFFF"/>
            </w:tcBorders>
            <w:shd w:val="clear" w:color="000000" w:fill="D9D9D9"/>
            <w:vAlign w:val="bottom"/>
            <w:hideMark/>
          </w:tcPr>
          <w:p w14:paraId="7156D4CF"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159" w:type="dxa"/>
            <w:tcBorders>
              <w:top w:val="nil"/>
              <w:left w:val="nil"/>
              <w:bottom w:val="single" w:sz="4" w:space="0" w:color="auto"/>
              <w:right w:val="single" w:sz="4" w:space="0" w:color="FFFFFF"/>
            </w:tcBorders>
            <w:shd w:val="clear" w:color="000000" w:fill="D9D9D9"/>
            <w:vAlign w:val="bottom"/>
            <w:hideMark/>
          </w:tcPr>
          <w:p w14:paraId="2B2F01D6"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6ABD766A" w14:textId="77777777" w:rsidTr="000F48B1">
        <w:trPr>
          <w:trHeight w:val="285"/>
        </w:trPr>
        <w:tc>
          <w:tcPr>
            <w:tcW w:w="529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CCAF287"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At fair value</w:t>
            </w:r>
          </w:p>
        </w:tc>
        <w:tc>
          <w:tcPr>
            <w:tcW w:w="1169"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10C711E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13,856.5 </w:t>
            </w:r>
          </w:p>
        </w:tc>
        <w:tc>
          <w:tcPr>
            <w:tcW w:w="1159" w:type="dxa"/>
            <w:tcBorders>
              <w:top w:val="single" w:sz="12" w:space="0" w:color="auto"/>
              <w:left w:val="nil"/>
              <w:bottom w:val="single" w:sz="12" w:space="0" w:color="auto"/>
              <w:right w:val="single" w:sz="12" w:space="0" w:color="FFFFFF"/>
            </w:tcBorders>
            <w:shd w:val="clear" w:color="FFFFFF" w:fill="FFFFFF"/>
            <w:noWrap/>
            <w:vAlign w:val="center"/>
            <w:hideMark/>
          </w:tcPr>
          <w:p w14:paraId="4007150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10,869.9 </w:t>
            </w:r>
          </w:p>
        </w:tc>
      </w:tr>
      <w:tr w:rsidR="00F1540A" w:rsidRPr="005734B8" w14:paraId="68C08211" w14:textId="77777777" w:rsidTr="000F48B1">
        <w:trPr>
          <w:trHeight w:val="270"/>
        </w:trPr>
        <w:tc>
          <w:tcPr>
            <w:tcW w:w="5297"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0174C369"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Buildings</w:t>
            </w:r>
          </w:p>
        </w:tc>
        <w:tc>
          <w:tcPr>
            <w:tcW w:w="1169" w:type="dxa"/>
            <w:tcBorders>
              <w:top w:val="single" w:sz="4" w:space="0" w:color="auto"/>
              <w:left w:val="nil"/>
              <w:bottom w:val="single" w:sz="4" w:space="0" w:color="auto"/>
              <w:right w:val="single" w:sz="4" w:space="0" w:color="FFFFFF"/>
            </w:tcBorders>
            <w:shd w:val="clear" w:color="000000" w:fill="D9D9D9"/>
            <w:vAlign w:val="bottom"/>
            <w:hideMark/>
          </w:tcPr>
          <w:p w14:paraId="77795321"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159" w:type="dxa"/>
            <w:tcBorders>
              <w:top w:val="single" w:sz="4" w:space="0" w:color="auto"/>
              <w:left w:val="nil"/>
              <w:bottom w:val="single" w:sz="4" w:space="0" w:color="auto"/>
              <w:right w:val="single" w:sz="4" w:space="0" w:color="FFFFFF"/>
            </w:tcBorders>
            <w:shd w:val="clear" w:color="000000" w:fill="D9D9D9"/>
            <w:vAlign w:val="bottom"/>
            <w:hideMark/>
          </w:tcPr>
          <w:p w14:paraId="04771DD7"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1292DDC4" w14:textId="77777777" w:rsidTr="000F48B1">
        <w:trPr>
          <w:trHeight w:val="255"/>
        </w:trPr>
        <w:tc>
          <w:tcPr>
            <w:tcW w:w="5297" w:type="dxa"/>
            <w:tcBorders>
              <w:top w:val="nil"/>
              <w:left w:val="single" w:sz="4" w:space="0" w:color="FFFFFF"/>
              <w:bottom w:val="single" w:sz="4" w:space="0" w:color="auto"/>
              <w:right w:val="single" w:sz="4" w:space="0" w:color="FFFFFF"/>
            </w:tcBorders>
            <w:shd w:val="clear" w:color="FFFFFF" w:fill="FFFFFF"/>
            <w:vAlign w:val="center"/>
            <w:hideMark/>
          </w:tcPr>
          <w:p w14:paraId="3C4AB286"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At fair value</w:t>
            </w:r>
          </w:p>
        </w:tc>
        <w:tc>
          <w:tcPr>
            <w:tcW w:w="1169" w:type="dxa"/>
            <w:tcBorders>
              <w:top w:val="nil"/>
              <w:left w:val="nil"/>
              <w:bottom w:val="single" w:sz="4" w:space="0" w:color="auto"/>
              <w:right w:val="single" w:sz="4" w:space="0" w:color="FFFFFF"/>
            </w:tcBorders>
            <w:shd w:val="clear" w:color="000000" w:fill="D9D9D9"/>
            <w:noWrap/>
            <w:vAlign w:val="center"/>
            <w:hideMark/>
          </w:tcPr>
          <w:p w14:paraId="18AF8B2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14,191.3 </w:t>
            </w:r>
          </w:p>
        </w:tc>
        <w:tc>
          <w:tcPr>
            <w:tcW w:w="1159" w:type="dxa"/>
            <w:tcBorders>
              <w:top w:val="nil"/>
              <w:left w:val="nil"/>
              <w:bottom w:val="single" w:sz="4" w:space="0" w:color="auto"/>
              <w:right w:val="single" w:sz="4" w:space="0" w:color="FFFFFF"/>
            </w:tcBorders>
            <w:shd w:val="clear" w:color="FFFFFF" w:fill="FFFFFF"/>
            <w:noWrap/>
            <w:vAlign w:val="center"/>
            <w:hideMark/>
          </w:tcPr>
          <w:p w14:paraId="217B4F0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13,205.6 </w:t>
            </w:r>
          </w:p>
        </w:tc>
      </w:tr>
      <w:tr w:rsidR="00F1540A" w:rsidRPr="005734B8" w14:paraId="659061BD" w14:textId="77777777" w:rsidTr="000F48B1">
        <w:trPr>
          <w:trHeight w:val="270"/>
        </w:trPr>
        <w:tc>
          <w:tcPr>
            <w:tcW w:w="5297" w:type="dxa"/>
            <w:tcBorders>
              <w:top w:val="nil"/>
              <w:left w:val="single" w:sz="4" w:space="0" w:color="FFFFFF"/>
              <w:bottom w:val="single" w:sz="4" w:space="0" w:color="auto"/>
              <w:right w:val="single" w:sz="4" w:space="0" w:color="FFFFFF"/>
            </w:tcBorders>
            <w:shd w:val="clear" w:color="FFFFFF" w:fill="FFFFFF"/>
            <w:vAlign w:val="center"/>
            <w:hideMark/>
          </w:tcPr>
          <w:p w14:paraId="27525A1B"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Less accumulated depreciation</w:t>
            </w:r>
          </w:p>
        </w:tc>
        <w:tc>
          <w:tcPr>
            <w:tcW w:w="1169" w:type="dxa"/>
            <w:tcBorders>
              <w:top w:val="nil"/>
              <w:left w:val="nil"/>
              <w:bottom w:val="single" w:sz="4" w:space="0" w:color="auto"/>
              <w:right w:val="single" w:sz="4" w:space="0" w:color="FFFFFF"/>
            </w:tcBorders>
            <w:shd w:val="clear" w:color="000000" w:fill="D9D9D9"/>
            <w:noWrap/>
            <w:vAlign w:val="center"/>
            <w:hideMark/>
          </w:tcPr>
          <w:p w14:paraId="1D57969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(1,078.9) </w:t>
            </w:r>
          </w:p>
        </w:tc>
        <w:tc>
          <w:tcPr>
            <w:tcW w:w="1159" w:type="dxa"/>
            <w:tcBorders>
              <w:top w:val="nil"/>
              <w:left w:val="nil"/>
              <w:bottom w:val="single" w:sz="4" w:space="0" w:color="auto"/>
              <w:right w:val="single" w:sz="4" w:space="0" w:color="FFFFFF"/>
            </w:tcBorders>
            <w:shd w:val="clear" w:color="FFFFFF" w:fill="FFFFFF"/>
            <w:noWrap/>
            <w:vAlign w:val="center"/>
            <w:hideMark/>
          </w:tcPr>
          <w:p w14:paraId="44394EC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(696.4) </w:t>
            </w:r>
          </w:p>
        </w:tc>
      </w:tr>
      <w:tr w:rsidR="00F1540A" w:rsidRPr="005734B8" w14:paraId="0AB6152B" w14:textId="77777777" w:rsidTr="000F48B1">
        <w:trPr>
          <w:trHeight w:val="285"/>
        </w:trPr>
        <w:tc>
          <w:tcPr>
            <w:tcW w:w="529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F027F00"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buildings</w:t>
            </w:r>
          </w:p>
        </w:tc>
        <w:tc>
          <w:tcPr>
            <w:tcW w:w="1169"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4DCF200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13,112.4 </w:t>
            </w:r>
          </w:p>
        </w:tc>
        <w:tc>
          <w:tcPr>
            <w:tcW w:w="1159" w:type="dxa"/>
            <w:tcBorders>
              <w:top w:val="single" w:sz="12" w:space="0" w:color="auto"/>
              <w:left w:val="nil"/>
              <w:bottom w:val="single" w:sz="12" w:space="0" w:color="auto"/>
              <w:right w:val="single" w:sz="12" w:space="0" w:color="FFFFFF"/>
            </w:tcBorders>
            <w:shd w:val="clear" w:color="FFFFFF" w:fill="FFFFFF"/>
            <w:noWrap/>
            <w:vAlign w:val="center"/>
            <w:hideMark/>
          </w:tcPr>
          <w:p w14:paraId="1E0D9912"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12,509.2 </w:t>
            </w:r>
          </w:p>
        </w:tc>
      </w:tr>
      <w:tr w:rsidR="00F1540A" w:rsidRPr="005734B8" w14:paraId="62AA74BE" w14:textId="77777777" w:rsidTr="000F48B1">
        <w:trPr>
          <w:trHeight w:val="270"/>
        </w:trPr>
        <w:tc>
          <w:tcPr>
            <w:tcW w:w="5297"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0656CCFE"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Heritage buildings</w:t>
            </w:r>
          </w:p>
        </w:tc>
        <w:tc>
          <w:tcPr>
            <w:tcW w:w="1169" w:type="dxa"/>
            <w:tcBorders>
              <w:top w:val="single" w:sz="4" w:space="0" w:color="auto"/>
              <w:left w:val="nil"/>
              <w:bottom w:val="single" w:sz="4" w:space="0" w:color="auto"/>
              <w:right w:val="single" w:sz="4" w:space="0" w:color="FFFFFF"/>
            </w:tcBorders>
            <w:shd w:val="clear" w:color="000000" w:fill="D9D9D9"/>
            <w:vAlign w:val="bottom"/>
            <w:hideMark/>
          </w:tcPr>
          <w:p w14:paraId="4B02F2DB"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159" w:type="dxa"/>
            <w:tcBorders>
              <w:top w:val="single" w:sz="4" w:space="0" w:color="auto"/>
              <w:left w:val="nil"/>
              <w:bottom w:val="single" w:sz="4" w:space="0" w:color="auto"/>
              <w:right w:val="single" w:sz="4" w:space="0" w:color="FFFFFF"/>
            </w:tcBorders>
            <w:shd w:val="clear" w:color="000000" w:fill="D9D9D9"/>
            <w:vAlign w:val="bottom"/>
            <w:hideMark/>
          </w:tcPr>
          <w:p w14:paraId="4B2B9972"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2D524975" w14:textId="77777777" w:rsidTr="000F48B1">
        <w:trPr>
          <w:trHeight w:val="255"/>
        </w:trPr>
        <w:tc>
          <w:tcPr>
            <w:tcW w:w="5297" w:type="dxa"/>
            <w:tcBorders>
              <w:top w:val="nil"/>
              <w:left w:val="single" w:sz="4" w:space="0" w:color="FFFFFF"/>
              <w:bottom w:val="single" w:sz="4" w:space="0" w:color="auto"/>
              <w:right w:val="single" w:sz="4" w:space="0" w:color="FFFFFF"/>
            </w:tcBorders>
            <w:shd w:val="clear" w:color="FFFFFF" w:fill="FFFFFF"/>
            <w:vAlign w:val="center"/>
            <w:hideMark/>
          </w:tcPr>
          <w:p w14:paraId="404D7E0E"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At fair value</w:t>
            </w:r>
          </w:p>
        </w:tc>
        <w:tc>
          <w:tcPr>
            <w:tcW w:w="1169" w:type="dxa"/>
            <w:tcBorders>
              <w:top w:val="nil"/>
              <w:left w:val="nil"/>
              <w:bottom w:val="single" w:sz="4" w:space="0" w:color="auto"/>
              <w:right w:val="single" w:sz="4" w:space="0" w:color="FFFFFF"/>
            </w:tcBorders>
            <w:shd w:val="clear" w:color="000000" w:fill="D9D9D9"/>
            <w:noWrap/>
            <w:vAlign w:val="center"/>
            <w:hideMark/>
          </w:tcPr>
          <w:p w14:paraId="77E9C18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104.5 </w:t>
            </w:r>
          </w:p>
        </w:tc>
        <w:tc>
          <w:tcPr>
            <w:tcW w:w="1159" w:type="dxa"/>
            <w:tcBorders>
              <w:top w:val="nil"/>
              <w:left w:val="nil"/>
              <w:bottom w:val="single" w:sz="4" w:space="0" w:color="auto"/>
              <w:right w:val="single" w:sz="4" w:space="0" w:color="FFFFFF"/>
            </w:tcBorders>
            <w:shd w:val="clear" w:color="FFFFFF" w:fill="FFFFFF"/>
            <w:noWrap/>
            <w:vAlign w:val="center"/>
            <w:hideMark/>
          </w:tcPr>
          <w:p w14:paraId="5DB2BEE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104.5 </w:t>
            </w:r>
          </w:p>
        </w:tc>
      </w:tr>
      <w:tr w:rsidR="00F1540A" w:rsidRPr="005734B8" w14:paraId="07FAD087" w14:textId="77777777" w:rsidTr="000F48B1">
        <w:trPr>
          <w:trHeight w:val="270"/>
        </w:trPr>
        <w:tc>
          <w:tcPr>
            <w:tcW w:w="5297" w:type="dxa"/>
            <w:tcBorders>
              <w:top w:val="nil"/>
              <w:left w:val="single" w:sz="4" w:space="0" w:color="FFFFFF"/>
              <w:bottom w:val="single" w:sz="4" w:space="0" w:color="auto"/>
              <w:right w:val="single" w:sz="4" w:space="0" w:color="FFFFFF"/>
            </w:tcBorders>
            <w:shd w:val="clear" w:color="FFFFFF" w:fill="FFFFFF"/>
            <w:vAlign w:val="center"/>
            <w:hideMark/>
          </w:tcPr>
          <w:p w14:paraId="48D8E76B"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Less accumulated depreciation</w:t>
            </w:r>
          </w:p>
        </w:tc>
        <w:tc>
          <w:tcPr>
            <w:tcW w:w="1169" w:type="dxa"/>
            <w:tcBorders>
              <w:top w:val="nil"/>
              <w:left w:val="nil"/>
              <w:bottom w:val="single" w:sz="4" w:space="0" w:color="auto"/>
              <w:right w:val="single" w:sz="4" w:space="0" w:color="FFFFFF"/>
            </w:tcBorders>
            <w:shd w:val="clear" w:color="000000" w:fill="D9D9D9"/>
            <w:noWrap/>
            <w:vAlign w:val="center"/>
            <w:hideMark/>
          </w:tcPr>
          <w:p w14:paraId="4432CC8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(12.0) </w:t>
            </w:r>
          </w:p>
        </w:tc>
        <w:tc>
          <w:tcPr>
            <w:tcW w:w="1159" w:type="dxa"/>
            <w:tcBorders>
              <w:top w:val="nil"/>
              <w:left w:val="nil"/>
              <w:bottom w:val="single" w:sz="4" w:space="0" w:color="auto"/>
              <w:right w:val="single" w:sz="4" w:space="0" w:color="FFFFFF"/>
            </w:tcBorders>
            <w:shd w:val="clear" w:color="FFFFFF" w:fill="FFFFFF"/>
            <w:noWrap/>
            <w:vAlign w:val="center"/>
            <w:hideMark/>
          </w:tcPr>
          <w:p w14:paraId="6BDC92D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(8.0) </w:t>
            </w:r>
          </w:p>
        </w:tc>
      </w:tr>
      <w:tr w:rsidR="00F1540A" w:rsidRPr="005734B8" w14:paraId="557B4CD3" w14:textId="77777777" w:rsidTr="000F48B1">
        <w:trPr>
          <w:trHeight w:val="285"/>
        </w:trPr>
        <w:tc>
          <w:tcPr>
            <w:tcW w:w="529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C1E6CFC"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heritage buildings</w:t>
            </w:r>
          </w:p>
        </w:tc>
        <w:tc>
          <w:tcPr>
            <w:tcW w:w="1169"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7647E43F"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92.5 </w:t>
            </w:r>
          </w:p>
        </w:tc>
        <w:tc>
          <w:tcPr>
            <w:tcW w:w="1159" w:type="dxa"/>
            <w:tcBorders>
              <w:top w:val="single" w:sz="12" w:space="0" w:color="auto"/>
              <w:left w:val="nil"/>
              <w:bottom w:val="single" w:sz="12" w:space="0" w:color="auto"/>
              <w:right w:val="single" w:sz="12" w:space="0" w:color="FFFFFF"/>
            </w:tcBorders>
            <w:shd w:val="clear" w:color="FFFFFF" w:fill="FFFFFF"/>
            <w:noWrap/>
            <w:vAlign w:val="center"/>
            <w:hideMark/>
          </w:tcPr>
          <w:p w14:paraId="3F0C49E3"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96.5 </w:t>
            </w:r>
          </w:p>
        </w:tc>
      </w:tr>
      <w:tr w:rsidR="00F1540A" w:rsidRPr="005734B8" w14:paraId="2B4B40A0" w14:textId="77777777" w:rsidTr="000F48B1">
        <w:trPr>
          <w:trHeight w:val="270"/>
        </w:trPr>
        <w:tc>
          <w:tcPr>
            <w:tcW w:w="5297"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763F1FCD"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Leasehold buildings</w:t>
            </w:r>
          </w:p>
        </w:tc>
        <w:tc>
          <w:tcPr>
            <w:tcW w:w="1169" w:type="dxa"/>
            <w:tcBorders>
              <w:top w:val="single" w:sz="4" w:space="0" w:color="auto"/>
              <w:left w:val="nil"/>
              <w:bottom w:val="single" w:sz="4" w:space="0" w:color="auto"/>
              <w:right w:val="single" w:sz="4" w:space="0" w:color="FFFFFF"/>
            </w:tcBorders>
            <w:shd w:val="clear" w:color="000000" w:fill="D9D9D9"/>
            <w:vAlign w:val="bottom"/>
            <w:hideMark/>
          </w:tcPr>
          <w:p w14:paraId="6EB403EA"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159" w:type="dxa"/>
            <w:tcBorders>
              <w:top w:val="single" w:sz="4" w:space="0" w:color="auto"/>
              <w:left w:val="nil"/>
              <w:bottom w:val="single" w:sz="4" w:space="0" w:color="auto"/>
              <w:right w:val="single" w:sz="4" w:space="0" w:color="FFFFFF"/>
            </w:tcBorders>
            <w:shd w:val="clear" w:color="000000" w:fill="D9D9D9"/>
            <w:vAlign w:val="bottom"/>
            <w:hideMark/>
          </w:tcPr>
          <w:p w14:paraId="0B071F5F"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06B5E2E0" w14:textId="77777777" w:rsidTr="000F48B1">
        <w:trPr>
          <w:trHeight w:val="255"/>
        </w:trPr>
        <w:tc>
          <w:tcPr>
            <w:tcW w:w="5297" w:type="dxa"/>
            <w:tcBorders>
              <w:top w:val="nil"/>
              <w:left w:val="single" w:sz="4" w:space="0" w:color="FFFFFF"/>
              <w:bottom w:val="single" w:sz="4" w:space="0" w:color="auto"/>
              <w:right w:val="single" w:sz="4" w:space="0" w:color="FFFFFF"/>
            </w:tcBorders>
            <w:shd w:val="clear" w:color="FFFFFF" w:fill="FFFFFF"/>
            <w:vAlign w:val="center"/>
            <w:hideMark/>
          </w:tcPr>
          <w:p w14:paraId="00FB0E0D"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At fair value</w:t>
            </w:r>
          </w:p>
        </w:tc>
        <w:tc>
          <w:tcPr>
            <w:tcW w:w="1169" w:type="dxa"/>
            <w:tcBorders>
              <w:top w:val="nil"/>
              <w:left w:val="nil"/>
              <w:bottom w:val="single" w:sz="4" w:space="0" w:color="auto"/>
              <w:right w:val="single" w:sz="4" w:space="0" w:color="FFFFFF"/>
            </w:tcBorders>
            <w:shd w:val="clear" w:color="000000" w:fill="D9D9D9"/>
            <w:noWrap/>
            <w:vAlign w:val="center"/>
            <w:hideMark/>
          </w:tcPr>
          <w:p w14:paraId="3A56A69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614.8 </w:t>
            </w:r>
          </w:p>
        </w:tc>
        <w:tc>
          <w:tcPr>
            <w:tcW w:w="1159" w:type="dxa"/>
            <w:tcBorders>
              <w:top w:val="nil"/>
              <w:left w:val="nil"/>
              <w:bottom w:val="single" w:sz="4" w:space="0" w:color="auto"/>
              <w:right w:val="single" w:sz="4" w:space="0" w:color="FFFFFF"/>
            </w:tcBorders>
            <w:shd w:val="clear" w:color="FFFFFF" w:fill="FFFFFF"/>
            <w:noWrap/>
            <w:vAlign w:val="center"/>
            <w:hideMark/>
          </w:tcPr>
          <w:p w14:paraId="2942E77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601.2 </w:t>
            </w:r>
          </w:p>
        </w:tc>
      </w:tr>
      <w:tr w:rsidR="00F1540A" w:rsidRPr="005734B8" w14:paraId="407C6434" w14:textId="77777777" w:rsidTr="000F48B1">
        <w:trPr>
          <w:trHeight w:val="270"/>
        </w:trPr>
        <w:tc>
          <w:tcPr>
            <w:tcW w:w="5297" w:type="dxa"/>
            <w:tcBorders>
              <w:top w:val="nil"/>
              <w:left w:val="single" w:sz="4" w:space="0" w:color="FFFFFF"/>
              <w:bottom w:val="single" w:sz="4" w:space="0" w:color="auto"/>
              <w:right w:val="single" w:sz="4" w:space="0" w:color="FFFFFF"/>
            </w:tcBorders>
            <w:shd w:val="clear" w:color="FFFFFF" w:fill="FFFFFF"/>
            <w:vAlign w:val="center"/>
            <w:hideMark/>
          </w:tcPr>
          <w:p w14:paraId="0ACD526B"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Less accumulated depreciation</w:t>
            </w:r>
          </w:p>
        </w:tc>
        <w:tc>
          <w:tcPr>
            <w:tcW w:w="1169" w:type="dxa"/>
            <w:tcBorders>
              <w:top w:val="nil"/>
              <w:left w:val="nil"/>
              <w:bottom w:val="single" w:sz="4" w:space="0" w:color="auto"/>
              <w:right w:val="single" w:sz="4" w:space="0" w:color="FFFFFF"/>
            </w:tcBorders>
            <w:shd w:val="clear" w:color="000000" w:fill="D9D9D9"/>
            <w:noWrap/>
            <w:vAlign w:val="center"/>
            <w:hideMark/>
          </w:tcPr>
          <w:p w14:paraId="01DF785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(43.0) </w:t>
            </w:r>
          </w:p>
        </w:tc>
        <w:tc>
          <w:tcPr>
            <w:tcW w:w="1159" w:type="dxa"/>
            <w:tcBorders>
              <w:top w:val="nil"/>
              <w:left w:val="nil"/>
              <w:bottom w:val="single" w:sz="4" w:space="0" w:color="auto"/>
              <w:right w:val="single" w:sz="4" w:space="0" w:color="FFFFFF"/>
            </w:tcBorders>
            <w:shd w:val="clear" w:color="FFFFFF" w:fill="FFFFFF"/>
            <w:noWrap/>
            <w:vAlign w:val="center"/>
            <w:hideMark/>
          </w:tcPr>
          <w:p w14:paraId="75184E2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(26.5) </w:t>
            </w:r>
          </w:p>
        </w:tc>
      </w:tr>
      <w:tr w:rsidR="00F1540A" w:rsidRPr="005734B8" w14:paraId="3FB49882" w14:textId="77777777" w:rsidTr="000F48B1">
        <w:trPr>
          <w:trHeight w:val="285"/>
        </w:trPr>
        <w:tc>
          <w:tcPr>
            <w:tcW w:w="529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F1CE47F"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leasehold buildings</w:t>
            </w:r>
          </w:p>
        </w:tc>
        <w:tc>
          <w:tcPr>
            <w:tcW w:w="1169"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1276D287"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571.8 </w:t>
            </w:r>
          </w:p>
        </w:tc>
        <w:tc>
          <w:tcPr>
            <w:tcW w:w="1159" w:type="dxa"/>
            <w:tcBorders>
              <w:top w:val="single" w:sz="12" w:space="0" w:color="auto"/>
              <w:left w:val="nil"/>
              <w:bottom w:val="single" w:sz="12" w:space="0" w:color="auto"/>
              <w:right w:val="single" w:sz="12" w:space="0" w:color="FFFFFF"/>
            </w:tcBorders>
            <w:shd w:val="clear" w:color="FFFFFF" w:fill="FFFFFF"/>
            <w:noWrap/>
            <w:vAlign w:val="center"/>
            <w:hideMark/>
          </w:tcPr>
          <w:p w14:paraId="73773837"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574.7 </w:t>
            </w:r>
          </w:p>
        </w:tc>
      </w:tr>
      <w:tr w:rsidR="00F1540A" w:rsidRPr="005734B8" w14:paraId="64A288EA" w14:textId="77777777" w:rsidTr="000F48B1">
        <w:trPr>
          <w:trHeight w:val="270"/>
        </w:trPr>
        <w:tc>
          <w:tcPr>
            <w:tcW w:w="5297"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0E4B76E4"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Leasehold improvements</w:t>
            </w:r>
          </w:p>
        </w:tc>
        <w:tc>
          <w:tcPr>
            <w:tcW w:w="1169" w:type="dxa"/>
            <w:tcBorders>
              <w:top w:val="single" w:sz="4" w:space="0" w:color="auto"/>
              <w:left w:val="nil"/>
              <w:bottom w:val="single" w:sz="4" w:space="0" w:color="auto"/>
              <w:right w:val="single" w:sz="4" w:space="0" w:color="FFFFFF"/>
            </w:tcBorders>
            <w:shd w:val="clear" w:color="000000" w:fill="D9D9D9"/>
            <w:vAlign w:val="bottom"/>
            <w:hideMark/>
          </w:tcPr>
          <w:p w14:paraId="001CBD22"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159" w:type="dxa"/>
            <w:tcBorders>
              <w:top w:val="single" w:sz="4" w:space="0" w:color="auto"/>
              <w:left w:val="nil"/>
              <w:bottom w:val="single" w:sz="4" w:space="0" w:color="auto"/>
              <w:right w:val="single" w:sz="4" w:space="0" w:color="FFFFFF"/>
            </w:tcBorders>
            <w:shd w:val="clear" w:color="000000" w:fill="D9D9D9"/>
            <w:vAlign w:val="bottom"/>
            <w:hideMark/>
          </w:tcPr>
          <w:p w14:paraId="69906C95"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4747347E" w14:textId="77777777" w:rsidTr="000F48B1">
        <w:trPr>
          <w:trHeight w:val="255"/>
        </w:trPr>
        <w:tc>
          <w:tcPr>
            <w:tcW w:w="5297" w:type="dxa"/>
            <w:tcBorders>
              <w:top w:val="nil"/>
              <w:left w:val="single" w:sz="4" w:space="0" w:color="FFFFFF"/>
              <w:bottom w:val="single" w:sz="4" w:space="0" w:color="auto"/>
              <w:right w:val="single" w:sz="4" w:space="0" w:color="FFFFFF"/>
            </w:tcBorders>
            <w:shd w:val="clear" w:color="FFFFFF" w:fill="FFFFFF"/>
            <w:vAlign w:val="center"/>
            <w:hideMark/>
          </w:tcPr>
          <w:p w14:paraId="4A6B59BD"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At fair value</w:t>
            </w:r>
          </w:p>
        </w:tc>
        <w:tc>
          <w:tcPr>
            <w:tcW w:w="1169" w:type="dxa"/>
            <w:tcBorders>
              <w:top w:val="nil"/>
              <w:left w:val="nil"/>
              <w:bottom w:val="single" w:sz="4" w:space="0" w:color="auto"/>
              <w:right w:val="single" w:sz="4" w:space="0" w:color="FFFFFF"/>
            </w:tcBorders>
            <w:shd w:val="clear" w:color="000000" w:fill="D9D9D9"/>
            <w:noWrap/>
            <w:vAlign w:val="center"/>
            <w:hideMark/>
          </w:tcPr>
          <w:p w14:paraId="135E949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31.8 </w:t>
            </w:r>
          </w:p>
        </w:tc>
        <w:tc>
          <w:tcPr>
            <w:tcW w:w="1159" w:type="dxa"/>
            <w:tcBorders>
              <w:top w:val="nil"/>
              <w:left w:val="nil"/>
              <w:bottom w:val="single" w:sz="4" w:space="0" w:color="auto"/>
              <w:right w:val="single" w:sz="4" w:space="0" w:color="FFFFFF"/>
            </w:tcBorders>
            <w:shd w:val="clear" w:color="FFFFFF" w:fill="FFFFFF"/>
            <w:noWrap/>
            <w:vAlign w:val="center"/>
            <w:hideMark/>
          </w:tcPr>
          <w:p w14:paraId="2E77DC3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26.0 </w:t>
            </w:r>
          </w:p>
        </w:tc>
      </w:tr>
      <w:tr w:rsidR="00F1540A" w:rsidRPr="005734B8" w14:paraId="3A711522" w14:textId="77777777" w:rsidTr="000F48B1">
        <w:trPr>
          <w:trHeight w:val="270"/>
        </w:trPr>
        <w:tc>
          <w:tcPr>
            <w:tcW w:w="5297" w:type="dxa"/>
            <w:tcBorders>
              <w:top w:val="nil"/>
              <w:left w:val="single" w:sz="4" w:space="0" w:color="FFFFFF"/>
              <w:bottom w:val="single" w:sz="4" w:space="0" w:color="auto"/>
              <w:right w:val="single" w:sz="4" w:space="0" w:color="FFFFFF"/>
            </w:tcBorders>
            <w:shd w:val="clear" w:color="FFFFFF" w:fill="FFFFFF"/>
            <w:vAlign w:val="center"/>
            <w:hideMark/>
          </w:tcPr>
          <w:p w14:paraId="11B5A6CF"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Less accumulated depreciation</w:t>
            </w:r>
          </w:p>
        </w:tc>
        <w:tc>
          <w:tcPr>
            <w:tcW w:w="1169" w:type="dxa"/>
            <w:tcBorders>
              <w:top w:val="nil"/>
              <w:left w:val="nil"/>
              <w:bottom w:val="single" w:sz="4" w:space="0" w:color="auto"/>
              <w:right w:val="single" w:sz="4" w:space="0" w:color="FFFFFF"/>
            </w:tcBorders>
            <w:shd w:val="clear" w:color="000000" w:fill="D9D9D9"/>
            <w:noWrap/>
            <w:vAlign w:val="center"/>
            <w:hideMark/>
          </w:tcPr>
          <w:p w14:paraId="00CD0F4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(18.5) </w:t>
            </w:r>
          </w:p>
        </w:tc>
        <w:tc>
          <w:tcPr>
            <w:tcW w:w="1159" w:type="dxa"/>
            <w:tcBorders>
              <w:top w:val="nil"/>
              <w:left w:val="nil"/>
              <w:bottom w:val="single" w:sz="4" w:space="0" w:color="auto"/>
              <w:right w:val="single" w:sz="4" w:space="0" w:color="FFFFFF"/>
            </w:tcBorders>
            <w:shd w:val="clear" w:color="FFFFFF" w:fill="FFFFFF"/>
            <w:noWrap/>
            <w:vAlign w:val="center"/>
            <w:hideMark/>
          </w:tcPr>
          <w:p w14:paraId="55D07DA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(13.6) </w:t>
            </w:r>
          </w:p>
        </w:tc>
      </w:tr>
      <w:tr w:rsidR="00F1540A" w:rsidRPr="005734B8" w14:paraId="6C147FEC" w14:textId="77777777" w:rsidTr="000F48B1">
        <w:trPr>
          <w:trHeight w:val="285"/>
        </w:trPr>
        <w:tc>
          <w:tcPr>
            <w:tcW w:w="529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1F4497C3"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leasehold improvements</w:t>
            </w:r>
          </w:p>
        </w:tc>
        <w:tc>
          <w:tcPr>
            <w:tcW w:w="1169"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257EE896"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13.3 </w:t>
            </w:r>
          </w:p>
        </w:tc>
        <w:tc>
          <w:tcPr>
            <w:tcW w:w="1159" w:type="dxa"/>
            <w:tcBorders>
              <w:top w:val="single" w:sz="12" w:space="0" w:color="auto"/>
              <w:left w:val="nil"/>
              <w:bottom w:val="single" w:sz="12" w:space="0" w:color="auto"/>
              <w:right w:val="single" w:sz="12" w:space="0" w:color="FFFFFF"/>
            </w:tcBorders>
            <w:shd w:val="clear" w:color="FFFFFF" w:fill="FFFFFF"/>
            <w:noWrap/>
            <w:vAlign w:val="center"/>
            <w:hideMark/>
          </w:tcPr>
          <w:p w14:paraId="10AD86A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12.4 </w:t>
            </w:r>
          </w:p>
        </w:tc>
      </w:tr>
      <w:tr w:rsidR="00F1540A" w:rsidRPr="005734B8" w14:paraId="683893BC" w14:textId="77777777" w:rsidTr="000F48B1">
        <w:trPr>
          <w:trHeight w:val="270"/>
        </w:trPr>
        <w:tc>
          <w:tcPr>
            <w:tcW w:w="5297"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697C8235"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Plant and equipment</w:t>
            </w:r>
          </w:p>
        </w:tc>
        <w:tc>
          <w:tcPr>
            <w:tcW w:w="1169" w:type="dxa"/>
            <w:tcBorders>
              <w:top w:val="single" w:sz="4" w:space="0" w:color="auto"/>
              <w:left w:val="nil"/>
              <w:bottom w:val="single" w:sz="4" w:space="0" w:color="auto"/>
              <w:right w:val="single" w:sz="4" w:space="0" w:color="FFFFFF"/>
            </w:tcBorders>
            <w:shd w:val="clear" w:color="000000" w:fill="D9D9D9"/>
            <w:vAlign w:val="bottom"/>
            <w:hideMark/>
          </w:tcPr>
          <w:p w14:paraId="689C26A9"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159" w:type="dxa"/>
            <w:tcBorders>
              <w:top w:val="single" w:sz="4" w:space="0" w:color="auto"/>
              <w:left w:val="nil"/>
              <w:bottom w:val="single" w:sz="4" w:space="0" w:color="auto"/>
              <w:right w:val="single" w:sz="4" w:space="0" w:color="FFFFFF"/>
            </w:tcBorders>
            <w:shd w:val="clear" w:color="000000" w:fill="D9D9D9"/>
            <w:vAlign w:val="bottom"/>
            <w:hideMark/>
          </w:tcPr>
          <w:p w14:paraId="49840174"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50FB4CC9" w14:textId="77777777" w:rsidTr="000F48B1">
        <w:trPr>
          <w:trHeight w:val="255"/>
        </w:trPr>
        <w:tc>
          <w:tcPr>
            <w:tcW w:w="5297" w:type="dxa"/>
            <w:tcBorders>
              <w:top w:val="nil"/>
              <w:left w:val="single" w:sz="4" w:space="0" w:color="FFFFFF"/>
              <w:bottom w:val="single" w:sz="4" w:space="0" w:color="auto"/>
              <w:right w:val="single" w:sz="4" w:space="0" w:color="FFFFFF"/>
            </w:tcBorders>
            <w:shd w:val="clear" w:color="FFFFFF" w:fill="FFFFFF"/>
            <w:vAlign w:val="center"/>
            <w:hideMark/>
          </w:tcPr>
          <w:p w14:paraId="5D886FE8"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At fair value</w:t>
            </w:r>
          </w:p>
        </w:tc>
        <w:tc>
          <w:tcPr>
            <w:tcW w:w="1169" w:type="dxa"/>
            <w:tcBorders>
              <w:top w:val="nil"/>
              <w:left w:val="nil"/>
              <w:bottom w:val="single" w:sz="4" w:space="0" w:color="auto"/>
              <w:right w:val="single" w:sz="4" w:space="0" w:color="FFFFFF"/>
            </w:tcBorders>
            <w:shd w:val="clear" w:color="000000" w:fill="D9D9D9"/>
            <w:noWrap/>
            <w:vAlign w:val="center"/>
            <w:hideMark/>
          </w:tcPr>
          <w:p w14:paraId="563A049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581.2 </w:t>
            </w:r>
          </w:p>
        </w:tc>
        <w:tc>
          <w:tcPr>
            <w:tcW w:w="1159" w:type="dxa"/>
            <w:tcBorders>
              <w:top w:val="nil"/>
              <w:left w:val="nil"/>
              <w:bottom w:val="single" w:sz="4" w:space="0" w:color="auto"/>
              <w:right w:val="single" w:sz="4" w:space="0" w:color="FFFFFF"/>
            </w:tcBorders>
            <w:shd w:val="clear" w:color="FFFFFF" w:fill="FFFFFF"/>
            <w:noWrap/>
            <w:vAlign w:val="center"/>
            <w:hideMark/>
          </w:tcPr>
          <w:p w14:paraId="0ACF625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596.5 </w:t>
            </w:r>
          </w:p>
        </w:tc>
      </w:tr>
      <w:tr w:rsidR="00F1540A" w:rsidRPr="005734B8" w14:paraId="2592EC6F" w14:textId="77777777" w:rsidTr="000F48B1">
        <w:trPr>
          <w:trHeight w:val="312"/>
        </w:trPr>
        <w:tc>
          <w:tcPr>
            <w:tcW w:w="5297" w:type="dxa"/>
            <w:tcBorders>
              <w:top w:val="nil"/>
              <w:left w:val="single" w:sz="4" w:space="0" w:color="FFFFFF"/>
              <w:bottom w:val="single" w:sz="4" w:space="0" w:color="auto"/>
              <w:right w:val="single" w:sz="4" w:space="0" w:color="FFFFFF"/>
            </w:tcBorders>
            <w:shd w:val="clear" w:color="FFFFFF" w:fill="FFFFFF"/>
            <w:vAlign w:val="center"/>
            <w:hideMark/>
          </w:tcPr>
          <w:p w14:paraId="53BD9DED"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Less accumulated depreciation</w:t>
            </w:r>
          </w:p>
        </w:tc>
        <w:tc>
          <w:tcPr>
            <w:tcW w:w="1169" w:type="dxa"/>
            <w:tcBorders>
              <w:top w:val="nil"/>
              <w:left w:val="nil"/>
              <w:bottom w:val="single" w:sz="4" w:space="0" w:color="auto"/>
              <w:right w:val="single" w:sz="4" w:space="0" w:color="FFFFFF"/>
            </w:tcBorders>
            <w:shd w:val="clear" w:color="000000" w:fill="D9D9D9"/>
            <w:noWrap/>
            <w:vAlign w:val="center"/>
            <w:hideMark/>
          </w:tcPr>
          <w:p w14:paraId="2C605DF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(480.2) </w:t>
            </w:r>
          </w:p>
        </w:tc>
        <w:tc>
          <w:tcPr>
            <w:tcW w:w="1159" w:type="dxa"/>
            <w:tcBorders>
              <w:top w:val="nil"/>
              <w:left w:val="nil"/>
              <w:bottom w:val="single" w:sz="4" w:space="0" w:color="auto"/>
              <w:right w:val="single" w:sz="4" w:space="0" w:color="FFFFFF"/>
            </w:tcBorders>
            <w:shd w:val="clear" w:color="FFFFFF" w:fill="FFFFFF"/>
            <w:noWrap/>
            <w:vAlign w:val="center"/>
            <w:hideMark/>
          </w:tcPr>
          <w:p w14:paraId="0800E66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(488.6) </w:t>
            </w:r>
          </w:p>
        </w:tc>
      </w:tr>
      <w:tr w:rsidR="00F1540A" w:rsidRPr="005734B8" w14:paraId="5DD60326" w14:textId="77777777" w:rsidTr="000F48B1">
        <w:trPr>
          <w:trHeight w:val="285"/>
        </w:trPr>
        <w:tc>
          <w:tcPr>
            <w:tcW w:w="529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108525F5"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plant and equipment</w:t>
            </w:r>
          </w:p>
        </w:tc>
        <w:tc>
          <w:tcPr>
            <w:tcW w:w="1169"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F0DF45B"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101.0 </w:t>
            </w:r>
          </w:p>
        </w:tc>
        <w:tc>
          <w:tcPr>
            <w:tcW w:w="1159" w:type="dxa"/>
            <w:tcBorders>
              <w:top w:val="single" w:sz="12" w:space="0" w:color="auto"/>
              <w:left w:val="nil"/>
              <w:bottom w:val="single" w:sz="12" w:space="0" w:color="auto"/>
              <w:right w:val="single" w:sz="12" w:space="0" w:color="FFFFFF"/>
            </w:tcBorders>
            <w:shd w:val="clear" w:color="FFFFFF" w:fill="FFFFFF"/>
            <w:noWrap/>
            <w:vAlign w:val="center"/>
            <w:hideMark/>
          </w:tcPr>
          <w:p w14:paraId="3564246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107.9 </w:t>
            </w:r>
          </w:p>
        </w:tc>
      </w:tr>
      <w:tr w:rsidR="00F1540A" w:rsidRPr="005734B8" w14:paraId="60547A68" w14:textId="77777777" w:rsidTr="000F48B1">
        <w:trPr>
          <w:trHeight w:val="270"/>
        </w:trPr>
        <w:tc>
          <w:tcPr>
            <w:tcW w:w="5297"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7643A051"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Work in progress</w:t>
            </w:r>
          </w:p>
        </w:tc>
        <w:tc>
          <w:tcPr>
            <w:tcW w:w="1169" w:type="dxa"/>
            <w:tcBorders>
              <w:top w:val="single" w:sz="4" w:space="0" w:color="auto"/>
              <w:left w:val="nil"/>
              <w:bottom w:val="single" w:sz="4" w:space="0" w:color="auto"/>
              <w:right w:val="single" w:sz="4" w:space="0" w:color="FFFFFF"/>
            </w:tcBorders>
            <w:shd w:val="clear" w:color="000000" w:fill="D9D9D9"/>
            <w:vAlign w:val="bottom"/>
            <w:hideMark/>
          </w:tcPr>
          <w:p w14:paraId="1B6A49A0"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159" w:type="dxa"/>
            <w:tcBorders>
              <w:top w:val="single" w:sz="4" w:space="0" w:color="auto"/>
              <w:left w:val="nil"/>
              <w:bottom w:val="single" w:sz="4" w:space="0" w:color="auto"/>
              <w:right w:val="single" w:sz="4" w:space="0" w:color="FFFFFF"/>
            </w:tcBorders>
            <w:shd w:val="clear" w:color="000000" w:fill="D9D9D9"/>
            <w:vAlign w:val="bottom"/>
            <w:hideMark/>
          </w:tcPr>
          <w:p w14:paraId="57973EE3"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5DADC23B" w14:textId="77777777" w:rsidTr="000F48B1">
        <w:trPr>
          <w:trHeight w:val="255"/>
        </w:trPr>
        <w:tc>
          <w:tcPr>
            <w:tcW w:w="5297" w:type="dxa"/>
            <w:tcBorders>
              <w:top w:val="nil"/>
              <w:left w:val="single" w:sz="4" w:space="0" w:color="FFFFFF"/>
              <w:bottom w:val="single" w:sz="4" w:space="0" w:color="auto"/>
              <w:right w:val="single" w:sz="4" w:space="0" w:color="FFFFFF"/>
            </w:tcBorders>
            <w:shd w:val="clear" w:color="FFFFFF" w:fill="FFFFFF"/>
            <w:vAlign w:val="center"/>
            <w:hideMark/>
          </w:tcPr>
          <w:p w14:paraId="23E8CFDC"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Buildings at cost</w:t>
            </w:r>
          </w:p>
        </w:tc>
        <w:tc>
          <w:tcPr>
            <w:tcW w:w="1169" w:type="dxa"/>
            <w:tcBorders>
              <w:top w:val="nil"/>
              <w:left w:val="nil"/>
              <w:bottom w:val="single" w:sz="4" w:space="0" w:color="auto"/>
              <w:right w:val="single" w:sz="4" w:space="0" w:color="FFFFFF"/>
            </w:tcBorders>
            <w:shd w:val="clear" w:color="000000" w:fill="D9D9D9"/>
            <w:noWrap/>
            <w:vAlign w:val="center"/>
            <w:hideMark/>
          </w:tcPr>
          <w:p w14:paraId="357AE9D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1,366.9 </w:t>
            </w:r>
          </w:p>
        </w:tc>
        <w:tc>
          <w:tcPr>
            <w:tcW w:w="1159" w:type="dxa"/>
            <w:tcBorders>
              <w:top w:val="nil"/>
              <w:left w:val="nil"/>
              <w:bottom w:val="single" w:sz="4" w:space="0" w:color="auto"/>
              <w:right w:val="single" w:sz="4" w:space="0" w:color="FFFFFF"/>
            </w:tcBorders>
            <w:shd w:val="clear" w:color="FFFFFF" w:fill="FFFFFF"/>
            <w:noWrap/>
            <w:vAlign w:val="center"/>
            <w:hideMark/>
          </w:tcPr>
          <w:p w14:paraId="476A8CF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1,072.0 </w:t>
            </w:r>
          </w:p>
        </w:tc>
      </w:tr>
      <w:tr w:rsidR="00F1540A" w:rsidRPr="005734B8" w14:paraId="1BEA77D7" w14:textId="77777777" w:rsidTr="000F48B1">
        <w:trPr>
          <w:trHeight w:val="270"/>
        </w:trPr>
        <w:tc>
          <w:tcPr>
            <w:tcW w:w="5297" w:type="dxa"/>
            <w:tcBorders>
              <w:top w:val="nil"/>
              <w:left w:val="single" w:sz="4" w:space="0" w:color="FFFFFF"/>
              <w:bottom w:val="single" w:sz="4" w:space="0" w:color="auto"/>
              <w:right w:val="single" w:sz="4" w:space="0" w:color="FFFFFF"/>
            </w:tcBorders>
            <w:shd w:val="clear" w:color="FFFFFF" w:fill="FFFFFF"/>
            <w:vAlign w:val="center"/>
            <w:hideMark/>
          </w:tcPr>
          <w:p w14:paraId="6E01329D"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Plant and equipment at cost</w:t>
            </w:r>
          </w:p>
        </w:tc>
        <w:tc>
          <w:tcPr>
            <w:tcW w:w="1169" w:type="dxa"/>
            <w:tcBorders>
              <w:top w:val="nil"/>
              <w:left w:val="nil"/>
              <w:bottom w:val="single" w:sz="4" w:space="0" w:color="auto"/>
              <w:right w:val="single" w:sz="4" w:space="0" w:color="FFFFFF"/>
            </w:tcBorders>
            <w:shd w:val="clear" w:color="000000" w:fill="D9D9D9"/>
            <w:noWrap/>
            <w:vAlign w:val="center"/>
            <w:hideMark/>
          </w:tcPr>
          <w:p w14:paraId="3EFFA16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14.9 </w:t>
            </w:r>
          </w:p>
        </w:tc>
        <w:tc>
          <w:tcPr>
            <w:tcW w:w="1159" w:type="dxa"/>
            <w:tcBorders>
              <w:top w:val="nil"/>
              <w:left w:val="nil"/>
              <w:bottom w:val="single" w:sz="4" w:space="0" w:color="auto"/>
              <w:right w:val="single" w:sz="4" w:space="0" w:color="FFFFFF"/>
            </w:tcBorders>
            <w:shd w:val="clear" w:color="FFFFFF" w:fill="FFFFFF"/>
            <w:noWrap/>
            <w:vAlign w:val="center"/>
            <w:hideMark/>
          </w:tcPr>
          <w:p w14:paraId="6FE0BE1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11.4 </w:t>
            </w:r>
          </w:p>
        </w:tc>
      </w:tr>
      <w:tr w:rsidR="00F1540A" w:rsidRPr="005734B8" w14:paraId="57FC2717" w14:textId="77777777" w:rsidTr="000F48B1">
        <w:trPr>
          <w:trHeight w:val="285"/>
        </w:trPr>
        <w:tc>
          <w:tcPr>
            <w:tcW w:w="529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D043F29"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work in progress</w:t>
            </w:r>
          </w:p>
        </w:tc>
        <w:tc>
          <w:tcPr>
            <w:tcW w:w="1169"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76F7C961"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1,381.8 </w:t>
            </w:r>
          </w:p>
        </w:tc>
        <w:tc>
          <w:tcPr>
            <w:tcW w:w="1159" w:type="dxa"/>
            <w:tcBorders>
              <w:top w:val="single" w:sz="12" w:space="0" w:color="auto"/>
              <w:left w:val="nil"/>
              <w:bottom w:val="single" w:sz="12" w:space="0" w:color="auto"/>
              <w:right w:val="single" w:sz="12" w:space="0" w:color="FFFFFF"/>
            </w:tcBorders>
            <w:shd w:val="clear" w:color="FFFFFF" w:fill="FFFFFF"/>
            <w:noWrap/>
            <w:vAlign w:val="center"/>
            <w:hideMark/>
          </w:tcPr>
          <w:p w14:paraId="1AF58501"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1,083.4 </w:t>
            </w:r>
          </w:p>
        </w:tc>
      </w:tr>
      <w:tr w:rsidR="00F1540A" w:rsidRPr="005734B8" w14:paraId="0D6898A6" w14:textId="77777777" w:rsidTr="000F48B1">
        <w:trPr>
          <w:trHeight w:val="285"/>
        </w:trPr>
        <w:tc>
          <w:tcPr>
            <w:tcW w:w="5297" w:type="dxa"/>
            <w:tcBorders>
              <w:top w:val="nil"/>
              <w:left w:val="single" w:sz="12" w:space="0" w:color="FFFFFF"/>
              <w:bottom w:val="single" w:sz="12" w:space="0" w:color="auto"/>
              <w:right w:val="single" w:sz="12" w:space="0" w:color="FFFFFF"/>
            </w:tcBorders>
            <w:shd w:val="clear" w:color="FFFFFF" w:fill="FFFFFF"/>
            <w:vAlign w:val="center"/>
            <w:hideMark/>
          </w:tcPr>
          <w:p w14:paraId="7F74923D"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property, plant and equipment</w:t>
            </w:r>
          </w:p>
        </w:tc>
        <w:tc>
          <w:tcPr>
            <w:tcW w:w="1169" w:type="dxa"/>
            <w:tcBorders>
              <w:top w:val="nil"/>
              <w:left w:val="single" w:sz="4" w:space="0" w:color="FFFFFF"/>
              <w:bottom w:val="single" w:sz="12" w:space="0" w:color="auto"/>
              <w:right w:val="single" w:sz="4" w:space="0" w:color="FFFFFF"/>
            </w:tcBorders>
            <w:shd w:val="clear" w:color="000000" w:fill="D9D9D9"/>
            <w:noWrap/>
            <w:vAlign w:val="center"/>
            <w:hideMark/>
          </w:tcPr>
          <w:p w14:paraId="361B3C26"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29,129.3 </w:t>
            </w:r>
          </w:p>
        </w:tc>
        <w:tc>
          <w:tcPr>
            <w:tcW w:w="1159" w:type="dxa"/>
            <w:tcBorders>
              <w:top w:val="nil"/>
              <w:left w:val="nil"/>
              <w:bottom w:val="single" w:sz="12" w:space="0" w:color="auto"/>
              <w:right w:val="single" w:sz="12" w:space="0" w:color="FFFFFF"/>
            </w:tcBorders>
            <w:shd w:val="clear" w:color="FFFFFF" w:fill="FFFFFF"/>
            <w:noWrap/>
            <w:vAlign w:val="center"/>
            <w:hideMark/>
          </w:tcPr>
          <w:p w14:paraId="4DDF5FB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25,254.0 </w:t>
            </w:r>
          </w:p>
        </w:tc>
      </w:tr>
    </w:tbl>
    <w:p w14:paraId="00B4DA9F" w14:textId="77777777" w:rsidR="00F1540A" w:rsidRPr="005734B8" w:rsidRDefault="00F1540A" w:rsidP="00F1540A">
      <w:pPr>
        <w:rPr>
          <w:rFonts w:ascii="Calibri" w:hAnsi="Calibri" w:cs="Calibri"/>
        </w:rPr>
      </w:pPr>
      <w:r w:rsidRPr="005734B8">
        <w:rPr>
          <w:rFonts w:ascii="Calibri" w:hAnsi="Calibri" w:cs="Calibri"/>
        </w:rPr>
        <w:br w:type="page"/>
      </w:r>
    </w:p>
    <w:p w14:paraId="3533AFB9" w14:textId="77777777" w:rsidR="00F1540A" w:rsidRPr="005734B8" w:rsidRDefault="00F1540A" w:rsidP="00F1540A">
      <w:pPr>
        <w:rPr>
          <w:rFonts w:ascii="Calibri" w:hAnsi="Calibri" w:cs="Calibri"/>
        </w:rPr>
      </w:pPr>
      <w:r w:rsidRPr="005734B8">
        <w:rPr>
          <w:rFonts w:ascii="Calibri" w:hAnsi="Calibri" w:cs="Calibri"/>
        </w:rPr>
        <w:lastRenderedPageBreak/>
        <w:t>The following tables are subsets of buildings, and, plant and equipment by right-of-use assets.</w:t>
      </w:r>
    </w:p>
    <w:p w14:paraId="7BC78A27" w14:textId="27B50498" w:rsidR="00F1540A" w:rsidRPr="005734B8" w:rsidRDefault="00F1540A" w:rsidP="002D345C">
      <w:pPr>
        <w:pStyle w:val="ESHeading3"/>
        <w:ind w:left="0" w:firstLine="0"/>
        <w:rPr>
          <w:rFonts w:ascii="Calibri" w:hAnsi="Calibri" w:cs="Calibri"/>
        </w:rPr>
      </w:pPr>
      <w:r w:rsidRPr="005734B8">
        <w:rPr>
          <w:rFonts w:ascii="Calibri" w:hAnsi="Calibri" w:cs="Calibri"/>
        </w:rPr>
        <w:t>5.1 (a) Total right-of-use assets: buildings, plant, equipment and vehicles</w:t>
      </w:r>
    </w:p>
    <w:tbl>
      <w:tblPr>
        <w:tblW w:w="7625" w:type="dxa"/>
        <w:tblInd w:w="80" w:type="dxa"/>
        <w:tblLayout w:type="fixed"/>
        <w:tblLook w:val="04A0" w:firstRow="1" w:lastRow="0" w:firstColumn="1" w:lastColumn="0" w:noHBand="0" w:noVBand="1"/>
      </w:tblPr>
      <w:tblGrid>
        <w:gridCol w:w="2618"/>
        <w:gridCol w:w="903"/>
        <w:gridCol w:w="861"/>
        <w:gridCol w:w="831"/>
        <w:gridCol w:w="804"/>
        <w:gridCol w:w="804"/>
        <w:gridCol w:w="804"/>
      </w:tblGrid>
      <w:tr w:rsidR="00F1540A" w:rsidRPr="005734B8" w14:paraId="0254FF9F" w14:textId="77777777" w:rsidTr="000F48B1">
        <w:trPr>
          <w:trHeight w:val="480"/>
        </w:trPr>
        <w:tc>
          <w:tcPr>
            <w:tcW w:w="2618" w:type="dxa"/>
            <w:vMerge w:val="restart"/>
            <w:tcBorders>
              <w:top w:val="nil"/>
              <w:left w:val="nil"/>
              <w:bottom w:val="single" w:sz="4" w:space="0" w:color="000000"/>
              <w:right w:val="single" w:sz="4" w:space="0" w:color="FFFFFF"/>
            </w:tcBorders>
            <w:shd w:val="clear" w:color="000000" w:fill="AF272F"/>
            <w:hideMark/>
          </w:tcPr>
          <w:p w14:paraId="310BF431" w14:textId="77777777" w:rsidR="00F1540A" w:rsidRPr="005734B8" w:rsidRDefault="00F1540A" w:rsidP="000F48B1">
            <w:pPr>
              <w:jc w:val="center"/>
              <w:rPr>
                <w:rFonts w:ascii="Calibri" w:hAnsi="Calibri" w:cs="Calibri"/>
                <w:b/>
                <w:color w:val="FFFFFF"/>
                <w:sz w:val="18"/>
                <w:szCs w:val="18"/>
              </w:rPr>
            </w:pPr>
            <w:bookmarkStart w:id="1418" w:name="Note_TRUTABLE1" w:colFirst="0" w:colLast="0"/>
            <w:r w:rsidRPr="005734B8">
              <w:rPr>
                <w:rFonts w:ascii="Calibri" w:hAnsi="Calibri" w:cs="Calibri"/>
                <w:b/>
                <w:color w:val="FFFFFF"/>
                <w:sz w:val="18"/>
                <w:szCs w:val="18"/>
              </w:rPr>
              <w:t> </w:t>
            </w:r>
          </w:p>
        </w:tc>
        <w:tc>
          <w:tcPr>
            <w:tcW w:w="1764" w:type="dxa"/>
            <w:gridSpan w:val="2"/>
            <w:tcBorders>
              <w:top w:val="nil"/>
              <w:left w:val="nil"/>
              <w:bottom w:val="nil"/>
              <w:right w:val="single" w:sz="4" w:space="0" w:color="FFFFFF"/>
            </w:tcBorders>
            <w:shd w:val="clear" w:color="000000" w:fill="AF272F"/>
            <w:hideMark/>
          </w:tcPr>
          <w:p w14:paraId="32A3BAF7"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Gross carrying amount</w:t>
            </w:r>
          </w:p>
        </w:tc>
        <w:tc>
          <w:tcPr>
            <w:tcW w:w="1635" w:type="dxa"/>
            <w:gridSpan w:val="2"/>
            <w:tcBorders>
              <w:top w:val="nil"/>
              <w:left w:val="nil"/>
              <w:bottom w:val="nil"/>
              <w:right w:val="single" w:sz="4" w:space="0" w:color="FFFFFF"/>
            </w:tcBorders>
            <w:shd w:val="clear" w:color="000000" w:fill="AF272F"/>
            <w:hideMark/>
          </w:tcPr>
          <w:p w14:paraId="4E48744A"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Accumulated depreciation</w:t>
            </w:r>
          </w:p>
        </w:tc>
        <w:tc>
          <w:tcPr>
            <w:tcW w:w="1608" w:type="dxa"/>
            <w:gridSpan w:val="2"/>
            <w:tcBorders>
              <w:top w:val="nil"/>
              <w:left w:val="nil"/>
              <w:bottom w:val="nil"/>
              <w:right w:val="single" w:sz="4" w:space="0" w:color="FFFFFF"/>
            </w:tcBorders>
            <w:shd w:val="clear" w:color="000000" w:fill="AF272F"/>
            <w:hideMark/>
          </w:tcPr>
          <w:p w14:paraId="4CA21D90"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Net carrying amount</w:t>
            </w:r>
          </w:p>
        </w:tc>
      </w:tr>
      <w:bookmarkEnd w:id="1418"/>
      <w:tr w:rsidR="00F1540A" w:rsidRPr="005734B8" w14:paraId="4F35DE63" w14:textId="77777777" w:rsidTr="000F48B1">
        <w:trPr>
          <w:trHeight w:val="480"/>
        </w:trPr>
        <w:tc>
          <w:tcPr>
            <w:tcW w:w="2618" w:type="dxa"/>
            <w:vMerge/>
            <w:tcBorders>
              <w:top w:val="nil"/>
              <w:left w:val="nil"/>
              <w:bottom w:val="single" w:sz="4" w:space="0" w:color="000000"/>
              <w:right w:val="single" w:sz="4" w:space="0" w:color="FFFFFF"/>
            </w:tcBorders>
            <w:vAlign w:val="center"/>
            <w:hideMark/>
          </w:tcPr>
          <w:p w14:paraId="11DF363B" w14:textId="77777777" w:rsidR="00F1540A" w:rsidRPr="005734B8" w:rsidRDefault="00F1540A" w:rsidP="000F48B1">
            <w:pPr>
              <w:rPr>
                <w:rFonts w:ascii="Calibri" w:hAnsi="Calibri" w:cs="Calibri"/>
                <w:b/>
                <w:color w:val="FFFFFF"/>
                <w:sz w:val="18"/>
                <w:szCs w:val="18"/>
              </w:rPr>
            </w:pPr>
          </w:p>
        </w:tc>
        <w:tc>
          <w:tcPr>
            <w:tcW w:w="903" w:type="dxa"/>
            <w:tcBorders>
              <w:top w:val="nil"/>
              <w:left w:val="nil"/>
              <w:bottom w:val="single" w:sz="4" w:space="0" w:color="auto"/>
              <w:right w:val="single" w:sz="4" w:space="0" w:color="FFFFFF"/>
            </w:tcBorders>
            <w:shd w:val="clear" w:color="000000" w:fill="AF272F"/>
            <w:hideMark/>
          </w:tcPr>
          <w:p w14:paraId="3B302325"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861" w:type="dxa"/>
            <w:tcBorders>
              <w:top w:val="nil"/>
              <w:left w:val="nil"/>
              <w:bottom w:val="single" w:sz="4" w:space="0" w:color="auto"/>
              <w:right w:val="single" w:sz="4" w:space="0" w:color="FFFFFF"/>
            </w:tcBorders>
            <w:shd w:val="clear" w:color="000000" w:fill="AF272F"/>
            <w:hideMark/>
          </w:tcPr>
          <w:p w14:paraId="40C10547"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c>
          <w:tcPr>
            <w:tcW w:w="831" w:type="dxa"/>
            <w:tcBorders>
              <w:top w:val="nil"/>
              <w:left w:val="nil"/>
              <w:bottom w:val="single" w:sz="4" w:space="0" w:color="auto"/>
              <w:right w:val="single" w:sz="4" w:space="0" w:color="FFFFFF"/>
            </w:tcBorders>
            <w:shd w:val="clear" w:color="000000" w:fill="AF272F"/>
            <w:hideMark/>
          </w:tcPr>
          <w:p w14:paraId="47F44F88"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804" w:type="dxa"/>
            <w:tcBorders>
              <w:top w:val="nil"/>
              <w:left w:val="nil"/>
              <w:bottom w:val="single" w:sz="4" w:space="0" w:color="auto"/>
              <w:right w:val="single" w:sz="4" w:space="0" w:color="FFFFFF"/>
            </w:tcBorders>
            <w:shd w:val="clear" w:color="000000" w:fill="AF272F"/>
            <w:hideMark/>
          </w:tcPr>
          <w:p w14:paraId="029BECFA"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c>
          <w:tcPr>
            <w:tcW w:w="804" w:type="dxa"/>
            <w:tcBorders>
              <w:top w:val="nil"/>
              <w:left w:val="nil"/>
              <w:bottom w:val="single" w:sz="4" w:space="0" w:color="auto"/>
              <w:right w:val="single" w:sz="4" w:space="0" w:color="FFFFFF"/>
            </w:tcBorders>
            <w:shd w:val="clear" w:color="000000" w:fill="AF272F"/>
            <w:hideMark/>
          </w:tcPr>
          <w:p w14:paraId="32DEDAC2"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804" w:type="dxa"/>
            <w:tcBorders>
              <w:top w:val="nil"/>
              <w:left w:val="nil"/>
              <w:bottom w:val="single" w:sz="4" w:space="0" w:color="auto"/>
              <w:right w:val="single" w:sz="4" w:space="0" w:color="FFFFFF"/>
            </w:tcBorders>
            <w:shd w:val="clear" w:color="000000" w:fill="AF272F"/>
            <w:hideMark/>
          </w:tcPr>
          <w:p w14:paraId="2A7B1734"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tr w:rsidR="00F1540A" w:rsidRPr="005734B8" w14:paraId="024DED00" w14:textId="77777777" w:rsidTr="000F48B1">
        <w:trPr>
          <w:trHeight w:val="255"/>
        </w:trPr>
        <w:tc>
          <w:tcPr>
            <w:tcW w:w="2618" w:type="dxa"/>
            <w:tcBorders>
              <w:top w:val="nil"/>
              <w:left w:val="nil"/>
              <w:bottom w:val="single" w:sz="4" w:space="0" w:color="auto"/>
              <w:right w:val="nil"/>
            </w:tcBorders>
            <w:shd w:val="clear" w:color="FFFFFF" w:fill="FFFFFF"/>
            <w:vAlign w:val="center"/>
            <w:hideMark/>
          </w:tcPr>
          <w:p w14:paraId="60A15427"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Leasehold buildings at fair value</w:t>
            </w:r>
          </w:p>
        </w:tc>
        <w:tc>
          <w:tcPr>
            <w:tcW w:w="903" w:type="dxa"/>
            <w:tcBorders>
              <w:top w:val="nil"/>
              <w:left w:val="single" w:sz="4" w:space="0" w:color="FFFFFF"/>
              <w:bottom w:val="single" w:sz="4" w:space="0" w:color="auto"/>
              <w:right w:val="single" w:sz="4" w:space="0" w:color="FFFFFF"/>
            </w:tcBorders>
            <w:shd w:val="clear" w:color="000000" w:fill="D9D9D9"/>
            <w:noWrap/>
            <w:vAlign w:val="center"/>
            <w:hideMark/>
          </w:tcPr>
          <w:p w14:paraId="2826545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614.8 </w:t>
            </w:r>
          </w:p>
        </w:tc>
        <w:tc>
          <w:tcPr>
            <w:tcW w:w="861" w:type="dxa"/>
            <w:tcBorders>
              <w:top w:val="nil"/>
              <w:left w:val="nil"/>
              <w:bottom w:val="single" w:sz="4" w:space="0" w:color="auto"/>
              <w:right w:val="single" w:sz="4" w:space="0" w:color="FFFFFF"/>
            </w:tcBorders>
            <w:shd w:val="clear" w:color="FFFFFF" w:fill="FFFFFF"/>
            <w:noWrap/>
            <w:vAlign w:val="center"/>
            <w:hideMark/>
          </w:tcPr>
          <w:p w14:paraId="617EE80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601.2 </w:t>
            </w:r>
          </w:p>
        </w:tc>
        <w:tc>
          <w:tcPr>
            <w:tcW w:w="831" w:type="dxa"/>
            <w:tcBorders>
              <w:top w:val="nil"/>
              <w:left w:val="nil"/>
              <w:bottom w:val="single" w:sz="4" w:space="0" w:color="auto"/>
              <w:right w:val="single" w:sz="4" w:space="0" w:color="FFFFFF"/>
            </w:tcBorders>
            <w:shd w:val="clear" w:color="000000" w:fill="D9D9D9"/>
            <w:noWrap/>
            <w:vAlign w:val="center"/>
            <w:hideMark/>
          </w:tcPr>
          <w:p w14:paraId="5C97F42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(43.0) </w:t>
            </w:r>
          </w:p>
        </w:tc>
        <w:tc>
          <w:tcPr>
            <w:tcW w:w="804" w:type="dxa"/>
            <w:tcBorders>
              <w:top w:val="nil"/>
              <w:left w:val="nil"/>
              <w:bottom w:val="single" w:sz="4" w:space="0" w:color="auto"/>
              <w:right w:val="single" w:sz="4" w:space="0" w:color="FFFFFF"/>
            </w:tcBorders>
            <w:shd w:val="clear" w:color="FFFFFF" w:fill="FFFFFF"/>
            <w:noWrap/>
            <w:vAlign w:val="center"/>
            <w:hideMark/>
          </w:tcPr>
          <w:p w14:paraId="4C7EBBC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(26.5) </w:t>
            </w:r>
          </w:p>
        </w:tc>
        <w:tc>
          <w:tcPr>
            <w:tcW w:w="804" w:type="dxa"/>
            <w:tcBorders>
              <w:top w:val="nil"/>
              <w:left w:val="nil"/>
              <w:bottom w:val="single" w:sz="4" w:space="0" w:color="auto"/>
              <w:right w:val="single" w:sz="4" w:space="0" w:color="FFFFFF"/>
            </w:tcBorders>
            <w:shd w:val="clear" w:color="000000" w:fill="D9D9D9"/>
            <w:noWrap/>
            <w:vAlign w:val="center"/>
            <w:hideMark/>
          </w:tcPr>
          <w:p w14:paraId="34F5ECC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571.8 </w:t>
            </w:r>
          </w:p>
        </w:tc>
        <w:tc>
          <w:tcPr>
            <w:tcW w:w="804" w:type="dxa"/>
            <w:tcBorders>
              <w:top w:val="nil"/>
              <w:left w:val="nil"/>
              <w:bottom w:val="single" w:sz="4" w:space="0" w:color="auto"/>
              <w:right w:val="single" w:sz="4" w:space="0" w:color="FFFFFF"/>
            </w:tcBorders>
            <w:shd w:val="clear" w:color="FFFFFF" w:fill="FFFFFF"/>
            <w:noWrap/>
            <w:vAlign w:val="center"/>
            <w:hideMark/>
          </w:tcPr>
          <w:p w14:paraId="598945F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574.7 </w:t>
            </w:r>
          </w:p>
        </w:tc>
      </w:tr>
      <w:tr w:rsidR="00F1540A" w:rsidRPr="005734B8" w14:paraId="3EE7D325" w14:textId="77777777" w:rsidTr="000F48B1">
        <w:trPr>
          <w:trHeight w:val="270"/>
        </w:trPr>
        <w:tc>
          <w:tcPr>
            <w:tcW w:w="2618" w:type="dxa"/>
            <w:tcBorders>
              <w:top w:val="nil"/>
              <w:left w:val="nil"/>
              <w:bottom w:val="single" w:sz="4" w:space="0" w:color="auto"/>
              <w:right w:val="nil"/>
            </w:tcBorders>
            <w:shd w:val="clear" w:color="FFFFFF" w:fill="FFFFFF"/>
            <w:vAlign w:val="center"/>
            <w:hideMark/>
          </w:tcPr>
          <w:p w14:paraId="0289CB6E"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Plant and equipment at fair value</w:t>
            </w:r>
          </w:p>
        </w:tc>
        <w:tc>
          <w:tcPr>
            <w:tcW w:w="903" w:type="dxa"/>
            <w:tcBorders>
              <w:top w:val="nil"/>
              <w:left w:val="single" w:sz="4" w:space="0" w:color="FFFFFF"/>
              <w:bottom w:val="single" w:sz="4" w:space="0" w:color="auto"/>
              <w:right w:val="single" w:sz="4" w:space="0" w:color="FFFFFF"/>
            </w:tcBorders>
            <w:shd w:val="clear" w:color="000000" w:fill="D9D9D9"/>
            <w:noWrap/>
            <w:vAlign w:val="center"/>
            <w:hideMark/>
          </w:tcPr>
          <w:p w14:paraId="7B4DF7C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43.5 </w:t>
            </w:r>
          </w:p>
        </w:tc>
        <w:tc>
          <w:tcPr>
            <w:tcW w:w="861" w:type="dxa"/>
            <w:tcBorders>
              <w:top w:val="nil"/>
              <w:left w:val="nil"/>
              <w:bottom w:val="single" w:sz="4" w:space="0" w:color="auto"/>
              <w:right w:val="single" w:sz="4" w:space="0" w:color="FFFFFF"/>
            </w:tcBorders>
            <w:shd w:val="clear" w:color="FFFFFF" w:fill="FFFFFF"/>
            <w:noWrap/>
            <w:vAlign w:val="center"/>
            <w:hideMark/>
          </w:tcPr>
          <w:p w14:paraId="7928773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43.4 </w:t>
            </w:r>
          </w:p>
        </w:tc>
        <w:tc>
          <w:tcPr>
            <w:tcW w:w="831" w:type="dxa"/>
            <w:tcBorders>
              <w:top w:val="nil"/>
              <w:left w:val="nil"/>
              <w:bottom w:val="single" w:sz="4" w:space="0" w:color="auto"/>
              <w:right w:val="single" w:sz="4" w:space="0" w:color="FFFFFF"/>
            </w:tcBorders>
            <w:shd w:val="clear" w:color="000000" w:fill="D9D9D9"/>
            <w:noWrap/>
            <w:vAlign w:val="center"/>
            <w:hideMark/>
          </w:tcPr>
          <w:p w14:paraId="2071719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(16.5) </w:t>
            </w:r>
          </w:p>
        </w:tc>
        <w:tc>
          <w:tcPr>
            <w:tcW w:w="804" w:type="dxa"/>
            <w:tcBorders>
              <w:top w:val="nil"/>
              <w:left w:val="nil"/>
              <w:bottom w:val="single" w:sz="4" w:space="0" w:color="auto"/>
              <w:right w:val="single" w:sz="4" w:space="0" w:color="FFFFFF"/>
            </w:tcBorders>
            <w:shd w:val="clear" w:color="FFFFFF" w:fill="FFFFFF"/>
            <w:noWrap/>
            <w:vAlign w:val="center"/>
            <w:hideMark/>
          </w:tcPr>
          <w:p w14:paraId="3B1F58C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(13.8) </w:t>
            </w:r>
          </w:p>
        </w:tc>
        <w:tc>
          <w:tcPr>
            <w:tcW w:w="804" w:type="dxa"/>
            <w:tcBorders>
              <w:top w:val="nil"/>
              <w:left w:val="nil"/>
              <w:bottom w:val="single" w:sz="4" w:space="0" w:color="auto"/>
              <w:right w:val="single" w:sz="4" w:space="0" w:color="FFFFFF"/>
            </w:tcBorders>
            <w:shd w:val="clear" w:color="000000" w:fill="D9D9D9"/>
            <w:noWrap/>
            <w:vAlign w:val="center"/>
            <w:hideMark/>
          </w:tcPr>
          <w:p w14:paraId="3C9E1A4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27.0 </w:t>
            </w:r>
          </w:p>
        </w:tc>
        <w:tc>
          <w:tcPr>
            <w:tcW w:w="804" w:type="dxa"/>
            <w:tcBorders>
              <w:top w:val="nil"/>
              <w:left w:val="nil"/>
              <w:bottom w:val="single" w:sz="4" w:space="0" w:color="auto"/>
              <w:right w:val="single" w:sz="4" w:space="0" w:color="FFFFFF"/>
            </w:tcBorders>
            <w:shd w:val="clear" w:color="FFFFFF" w:fill="FFFFFF"/>
            <w:noWrap/>
            <w:vAlign w:val="center"/>
            <w:hideMark/>
          </w:tcPr>
          <w:p w14:paraId="1863921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29.6 </w:t>
            </w:r>
          </w:p>
        </w:tc>
      </w:tr>
      <w:tr w:rsidR="00F1540A" w:rsidRPr="005734B8" w14:paraId="202FCDE0" w14:textId="77777777" w:rsidTr="000F48B1">
        <w:trPr>
          <w:trHeight w:val="285"/>
        </w:trPr>
        <w:tc>
          <w:tcPr>
            <w:tcW w:w="2618"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E9C1006"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Net carrying amount</w:t>
            </w:r>
          </w:p>
        </w:tc>
        <w:tc>
          <w:tcPr>
            <w:tcW w:w="903"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241FB15D"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658.3 </w:t>
            </w:r>
          </w:p>
        </w:tc>
        <w:tc>
          <w:tcPr>
            <w:tcW w:w="861" w:type="dxa"/>
            <w:tcBorders>
              <w:top w:val="single" w:sz="12" w:space="0" w:color="auto"/>
              <w:left w:val="nil"/>
              <w:bottom w:val="single" w:sz="12" w:space="0" w:color="auto"/>
              <w:right w:val="single" w:sz="12" w:space="0" w:color="FFFFFF"/>
            </w:tcBorders>
            <w:shd w:val="clear" w:color="FFFFFF" w:fill="FFFFFF"/>
            <w:noWrap/>
            <w:vAlign w:val="center"/>
            <w:hideMark/>
          </w:tcPr>
          <w:p w14:paraId="6EE407F0"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644.6 </w:t>
            </w:r>
          </w:p>
        </w:tc>
        <w:tc>
          <w:tcPr>
            <w:tcW w:w="83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3D116325"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(59.5) </w:t>
            </w:r>
          </w:p>
        </w:tc>
        <w:tc>
          <w:tcPr>
            <w:tcW w:w="804" w:type="dxa"/>
            <w:tcBorders>
              <w:top w:val="single" w:sz="12" w:space="0" w:color="auto"/>
              <w:left w:val="nil"/>
              <w:bottom w:val="single" w:sz="12" w:space="0" w:color="auto"/>
              <w:right w:val="single" w:sz="12" w:space="0" w:color="FFFFFF"/>
            </w:tcBorders>
            <w:shd w:val="clear" w:color="FFFFFF" w:fill="FFFFFF"/>
            <w:noWrap/>
            <w:vAlign w:val="center"/>
            <w:hideMark/>
          </w:tcPr>
          <w:p w14:paraId="5F155E14"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(40.3) </w:t>
            </w:r>
          </w:p>
        </w:tc>
        <w:tc>
          <w:tcPr>
            <w:tcW w:w="804"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1C704B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598.8 </w:t>
            </w:r>
          </w:p>
        </w:tc>
        <w:tc>
          <w:tcPr>
            <w:tcW w:w="804" w:type="dxa"/>
            <w:tcBorders>
              <w:top w:val="single" w:sz="12" w:space="0" w:color="auto"/>
              <w:left w:val="nil"/>
              <w:bottom w:val="single" w:sz="12" w:space="0" w:color="auto"/>
              <w:right w:val="single" w:sz="12" w:space="0" w:color="FFFFFF"/>
            </w:tcBorders>
            <w:shd w:val="clear" w:color="FFFFFF" w:fill="FFFFFF"/>
            <w:noWrap/>
            <w:vAlign w:val="center"/>
            <w:hideMark/>
          </w:tcPr>
          <w:p w14:paraId="5B0D16C8"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604.3 </w:t>
            </w:r>
          </w:p>
        </w:tc>
      </w:tr>
    </w:tbl>
    <w:p w14:paraId="64F9CE55" w14:textId="77777777" w:rsidR="00F1540A" w:rsidRPr="005734B8" w:rsidRDefault="00F1540A" w:rsidP="00F1540A">
      <w:pPr>
        <w:pStyle w:val="Policytextboxtable"/>
        <w:rPr>
          <w:rFonts w:cs="Calibri"/>
        </w:rPr>
      </w:pPr>
    </w:p>
    <w:tbl>
      <w:tblPr>
        <w:tblW w:w="7625" w:type="dxa"/>
        <w:tblInd w:w="80" w:type="dxa"/>
        <w:tblLayout w:type="fixed"/>
        <w:tblLook w:val="04A0" w:firstRow="1" w:lastRow="0" w:firstColumn="1" w:lastColumn="0" w:noHBand="0" w:noVBand="1"/>
      </w:tblPr>
      <w:tblGrid>
        <w:gridCol w:w="2556"/>
        <w:gridCol w:w="862"/>
        <w:gridCol w:w="905"/>
        <w:gridCol w:w="830"/>
        <w:gridCol w:w="824"/>
        <w:gridCol w:w="824"/>
        <w:gridCol w:w="824"/>
      </w:tblGrid>
      <w:tr w:rsidR="00F1540A" w:rsidRPr="005734B8" w14:paraId="5C0A4F51" w14:textId="77777777" w:rsidTr="000F48B1">
        <w:trPr>
          <w:trHeight w:val="518"/>
        </w:trPr>
        <w:tc>
          <w:tcPr>
            <w:tcW w:w="2556" w:type="dxa"/>
            <w:tcBorders>
              <w:top w:val="nil"/>
              <w:left w:val="nil"/>
              <w:bottom w:val="nil"/>
              <w:right w:val="nil"/>
            </w:tcBorders>
            <w:shd w:val="clear" w:color="000000" w:fill="AF272F"/>
            <w:vAlign w:val="center"/>
            <w:hideMark/>
          </w:tcPr>
          <w:p w14:paraId="5E6D896A" w14:textId="77777777" w:rsidR="00F1540A" w:rsidRPr="005734B8" w:rsidRDefault="00F1540A" w:rsidP="000F48B1">
            <w:pPr>
              <w:jc w:val="right"/>
              <w:rPr>
                <w:rFonts w:ascii="Calibri" w:hAnsi="Calibri" w:cs="Calibri"/>
                <w:b/>
                <w:color w:val="FFFFFF"/>
                <w:sz w:val="18"/>
                <w:szCs w:val="18"/>
              </w:rPr>
            </w:pPr>
            <w:bookmarkStart w:id="1419" w:name="Note_ROATABLE1" w:colFirst="0" w:colLast="0"/>
            <w:r w:rsidRPr="005734B8">
              <w:rPr>
                <w:rFonts w:ascii="Calibri" w:hAnsi="Calibri" w:cs="Calibri"/>
                <w:b/>
                <w:color w:val="FFFFFF"/>
                <w:sz w:val="18"/>
                <w:szCs w:val="18"/>
              </w:rPr>
              <w:t> </w:t>
            </w:r>
          </w:p>
        </w:tc>
        <w:tc>
          <w:tcPr>
            <w:tcW w:w="1767" w:type="dxa"/>
            <w:gridSpan w:val="2"/>
            <w:tcBorders>
              <w:top w:val="nil"/>
              <w:left w:val="nil"/>
              <w:bottom w:val="nil"/>
              <w:right w:val="nil"/>
            </w:tcBorders>
            <w:shd w:val="clear" w:color="000000" w:fill="AF272F"/>
            <w:vAlign w:val="center"/>
            <w:hideMark/>
          </w:tcPr>
          <w:p w14:paraId="2B3D8EFC"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Leasehold buildings</w:t>
            </w:r>
          </w:p>
        </w:tc>
        <w:tc>
          <w:tcPr>
            <w:tcW w:w="1654" w:type="dxa"/>
            <w:gridSpan w:val="2"/>
            <w:tcBorders>
              <w:top w:val="nil"/>
              <w:left w:val="nil"/>
              <w:bottom w:val="nil"/>
              <w:right w:val="nil"/>
            </w:tcBorders>
            <w:shd w:val="clear" w:color="000000" w:fill="AF272F"/>
            <w:vAlign w:val="center"/>
            <w:hideMark/>
          </w:tcPr>
          <w:p w14:paraId="73A32D77"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Plant and equipment</w:t>
            </w:r>
          </w:p>
        </w:tc>
        <w:tc>
          <w:tcPr>
            <w:tcW w:w="1648" w:type="dxa"/>
            <w:gridSpan w:val="2"/>
            <w:tcBorders>
              <w:top w:val="nil"/>
              <w:left w:val="single" w:sz="4" w:space="0" w:color="FFFFFF"/>
              <w:bottom w:val="nil"/>
              <w:right w:val="nil"/>
            </w:tcBorders>
            <w:shd w:val="clear" w:color="000000" w:fill="AF272F"/>
            <w:vAlign w:val="center"/>
            <w:hideMark/>
          </w:tcPr>
          <w:p w14:paraId="561418DA"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Total</w:t>
            </w:r>
          </w:p>
        </w:tc>
      </w:tr>
      <w:bookmarkEnd w:id="1419"/>
      <w:tr w:rsidR="00F1540A" w:rsidRPr="005734B8" w14:paraId="1AE0B3E9" w14:textId="77777777" w:rsidTr="000F48B1">
        <w:trPr>
          <w:trHeight w:val="255"/>
        </w:trPr>
        <w:tc>
          <w:tcPr>
            <w:tcW w:w="2556" w:type="dxa"/>
            <w:tcBorders>
              <w:top w:val="nil"/>
              <w:left w:val="nil"/>
              <w:bottom w:val="nil"/>
              <w:right w:val="nil"/>
            </w:tcBorders>
            <w:shd w:val="clear" w:color="000000" w:fill="AF272F"/>
            <w:vAlign w:val="center"/>
            <w:hideMark/>
          </w:tcPr>
          <w:p w14:paraId="1291B464"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w:t>
            </w:r>
          </w:p>
        </w:tc>
        <w:tc>
          <w:tcPr>
            <w:tcW w:w="862" w:type="dxa"/>
            <w:tcBorders>
              <w:top w:val="nil"/>
              <w:left w:val="nil"/>
              <w:bottom w:val="nil"/>
              <w:right w:val="single" w:sz="4" w:space="0" w:color="FFFFFF"/>
            </w:tcBorders>
            <w:shd w:val="clear" w:color="000000" w:fill="AF272F"/>
            <w:vAlign w:val="bottom"/>
            <w:hideMark/>
          </w:tcPr>
          <w:p w14:paraId="7AC20B42"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p>
        </w:tc>
        <w:tc>
          <w:tcPr>
            <w:tcW w:w="905" w:type="dxa"/>
            <w:tcBorders>
              <w:top w:val="nil"/>
              <w:left w:val="nil"/>
              <w:bottom w:val="nil"/>
              <w:right w:val="single" w:sz="4" w:space="0" w:color="FFFFFF"/>
            </w:tcBorders>
            <w:shd w:val="clear" w:color="000000" w:fill="AF272F"/>
            <w:vAlign w:val="bottom"/>
            <w:hideMark/>
          </w:tcPr>
          <w:p w14:paraId="0136E641"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p>
        </w:tc>
        <w:tc>
          <w:tcPr>
            <w:tcW w:w="830" w:type="dxa"/>
            <w:tcBorders>
              <w:top w:val="nil"/>
              <w:left w:val="nil"/>
              <w:bottom w:val="nil"/>
              <w:right w:val="single" w:sz="4" w:space="0" w:color="FFFFFF"/>
            </w:tcBorders>
            <w:shd w:val="clear" w:color="000000" w:fill="AF272F"/>
            <w:vAlign w:val="bottom"/>
            <w:hideMark/>
          </w:tcPr>
          <w:p w14:paraId="322C0815"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p>
        </w:tc>
        <w:tc>
          <w:tcPr>
            <w:tcW w:w="824" w:type="dxa"/>
            <w:tcBorders>
              <w:top w:val="nil"/>
              <w:left w:val="nil"/>
              <w:bottom w:val="nil"/>
              <w:right w:val="single" w:sz="4" w:space="0" w:color="FFFFFF"/>
            </w:tcBorders>
            <w:shd w:val="clear" w:color="000000" w:fill="AF272F"/>
            <w:vAlign w:val="bottom"/>
            <w:hideMark/>
          </w:tcPr>
          <w:p w14:paraId="5E3ED782"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p>
        </w:tc>
        <w:tc>
          <w:tcPr>
            <w:tcW w:w="824" w:type="dxa"/>
            <w:tcBorders>
              <w:top w:val="nil"/>
              <w:left w:val="nil"/>
              <w:bottom w:val="nil"/>
              <w:right w:val="single" w:sz="4" w:space="0" w:color="FFFFFF"/>
            </w:tcBorders>
            <w:shd w:val="clear" w:color="000000" w:fill="AF272F"/>
            <w:vAlign w:val="bottom"/>
            <w:hideMark/>
          </w:tcPr>
          <w:p w14:paraId="2BDE7F51"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p>
        </w:tc>
        <w:tc>
          <w:tcPr>
            <w:tcW w:w="824" w:type="dxa"/>
            <w:tcBorders>
              <w:top w:val="nil"/>
              <w:left w:val="nil"/>
              <w:bottom w:val="nil"/>
              <w:right w:val="single" w:sz="4" w:space="0" w:color="FFFFFF"/>
            </w:tcBorders>
            <w:shd w:val="clear" w:color="000000" w:fill="AF272F"/>
            <w:vAlign w:val="bottom"/>
            <w:hideMark/>
          </w:tcPr>
          <w:p w14:paraId="11C70392"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p>
        </w:tc>
      </w:tr>
      <w:tr w:rsidR="00F1540A" w:rsidRPr="005734B8" w14:paraId="082376A9" w14:textId="77777777" w:rsidTr="000F48B1">
        <w:trPr>
          <w:trHeight w:val="255"/>
        </w:trPr>
        <w:tc>
          <w:tcPr>
            <w:tcW w:w="2556" w:type="dxa"/>
            <w:tcBorders>
              <w:top w:val="nil"/>
              <w:left w:val="nil"/>
              <w:bottom w:val="single" w:sz="4" w:space="0" w:color="auto"/>
              <w:right w:val="single" w:sz="4" w:space="0" w:color="FFFFFF"/>
            </w:tcBorders>
            <w:shd w:val="clear" w:color="000000" w:fill="AF272F"/>
            <w:hideMark/>
          </w:tcPr>
          <w:p w14:paraId="3962AA24"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w:t>
            </w:r>
          </w:p>
        </w:tc>
        <w:tc>
          <w:tcPr>
            <w:tcW w:w="862" w:type="dxa"/>
            <w:tcBorders>
              <w:top w:val="nil"/>
              <w:left w:val="nil"/>
              <w:bottom w:val="single" w:sz="4" w:space="0" w:color="auto"/>
              <w:right w:val="single" w:sz="4" w:space="0" w:color="FFFFFF"/>
            </w:tcBorders>
            <w:shd w:val="clear" w:color="000000" w:fill="AF272F"/>
            <w:hideMark/>
          </w:tcPr>
          <w:p w14:paraId="1925FF45"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($m)</w:t>
            </w:r>
          </w:p>
        </w:tc>
        <w:tc>
          <w:tcPr>
            <w:tcW w:w="905" w:type="dxa"/>
            <w:tcBorders>
              <w:top w:val="nil"/>
              <w:left w:val="nil"/>
              <w:bottom w:val="single" w:sz="4" w:space="0" w:color="auto"/>
              <w:right w:val="single" w:sz="4" w:space="0" w:color="FFFFFF"/>
            </w:tcBorders>
            <w:shd w:val="clear" w:color="000000" w:fill="AF272F"/>
            <w:hideMark/>
          </w:tcPr>
          <w:p w14:paraId="61BECBE3"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($m)</w:t>
            </w:r>
          </w:p>
        </w:tc>
        <w:tc>
          <w:tcPr>
            <w:tcW w:w="830" w:type="dxa"/>
            <w:tcBorders>
              <w:top w:val="nil"/>
              <w:left w:val="nil"/>
              <w:bottom w:val="single" w:sz="4" w:space="0" w:color="auto"/>
              <w:right w:val="single" w:sz="4" w:space="0" w:color="FFFFFF"/>
            </w:tcBorders>
            <w:shd w:val="clear" w:color="000000" w:fill="AF272F"/>
            <w:hideMark/>
          </w:tcPr>
          <w:p w14:paraId="6FA0AACA"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($m)</w:t>
            </w:r>
          </w:p>
        </w:tc>
        <w:tc>
          <w:tcPr>
            <w:tcW w:w="824" w:type="dxa"/>
            <w:tcBorders>
              <w:top w:val="nil"/>
              <w:left w:val="nil"/>
              <w:bottom w:val="single" w:sz="4" w:space="0" w:color="auto"/>
              <w:right w:val="single" w:sz="4" w:space="0" w:color="FFFFFF"/>
            </w:tcBorders>
            <w:shd w:val="clear" w:color="000000" w:fill="AF272F"/>
            <w:hideMark/>
          </w:tcPr>
          <w:p w14:paraId="01C4F3BC"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($m)</w:t>
            </w:r>
          </w:p>
        </w:tc>
        <w:tc>
          <w:tcPr>
            <w:tcW w:w="824" w:type="dxa"/>
            <w:tcBorders>
              <w:top w:val="nil"/>
              <w:left w:val="nil"/>
              <w:bottom w:val="single" w:sz="4" w:space="0" w:color="auto"/>
              <w:right w:val="single" w:sz="4" w:space="0" w:color="FFFFFF"/>
            </w:tcBorders>
            <w:shd w:val="clear" w:color="000000" w:fill="AF272F"/>
            <w:hideMark/>
          </w:tcPr>
          <w:p w14:paraId="7BC71995"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($m)</w:t>
            </w:r>
          </w:p>
        </w:tc>
        <w:tc>
          <w:tcPr>
            <w:tcW w:w="824" w:type="dxa"/>
            <w:tcBorders>
              <w:top w:val="nil"/>
              <w:left w:val="nil"/>
              <w:bottom w:val="single" w:sz="4" w:space="0" w:color="auto"/>
              <w:right w:val="single" w:sz="4" w:space="0" w:color="FFFFFF"/>
            </w:tcBorders>
            <w:shd w:val="clear" w:color="000000" w:fill="AF272F"/>
            <w:hideMark/>
          </w:tcPr>
          <w:p w14:paraId="202D625E"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($m)</w:t>
            </w:r>
          </w:p>
        </w:tc>
      </w:tr>
      <w:tr w:rsidR="00F1540A" w:rsidRPr="005734B8" w14:paraId="17276CB3" w14:textId="77777777" w:rsidTr="000F48B1">
        <w:trPr>
          <w:trHeight w:val="255"/>
        </w:trPr>
        <w:tc>
          <w:tcPr>
            <w:tcW w:w="2556" w:type="dxa"/>
            <w:tcBorders>
              <w:top w:val="nil"/>
              <w:left w:val="nil"/>
              <w:bottom w:val="single" w:sz="4" w:space="0" w:color="auto"/>
              <w:right w:val="nil"/>
            </w:tcBorders>
            <w:shd w:val="clear" w:color="FFFFFF" w:fill="FFFFFF"/>
            <w:vAlign w:val="center"/>
            <w:hideMark/>
          </w:tcPr>
          <w:p w14:paraId="538BE1F2"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Opening balance</w:t>
            </w:r>
          </w:p>
        </w:tc>
        <w:tc>
          <w:tcPr>
            <w:tcW w:w="862" w:type="dxa"/>
            <w:tcBorders>
              <w:top w:val="nil"/>
              <w:left w:val="nil"/>
              <w:bottom w:val="single" w:sz="4" w:space="0" w:color="auto"/>
              <w:right w:val="single" w:sz="4" w:space="0" w:color="FFFFFF"/>
            </w:tcBorders>
            <w:shd w:val="clear" w:color="000000" w:fill="D9D9D9"/>
            <w:noWrap/>
            <w:vAlign w:val="center"/>
            <w:hideMark/>
          </w:tcPr>
          <w:p w14:paraId="3867F5BA"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574.7 </w:t>
            </w:r>
          </w:p>
        </w:tc>
        <w:tc>
          <w:tcPr>
            <w:tcW w:w="905" w:type="dxa"/>
            <w:tcBorders>
              <w:top w:val="nil"/>
              <w:left w:val="nil"/>
              <w:bottom w:val="single" w:sz="4" w:space="0" w:color="auto"/>
              <w:right w:val="single" w:sz="4" w:space="0" w:color="FFFFFF"/>
            </w:tcBorders>
            <w:shd w:val="clear" w:color="FFFFFF" w:fill="FFFFFF"/>
            <w:noWrap/>
            <w:vAlign w:val="center"/>
            <w:hideMark/>
          </w:tcPr>
          <w:p w14:paraId="074AC13B"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754.3 </w:t>
            </w:r>
          </w:p>
        </w:tc>
        <w:tc>
          <w:tcPr>
            <w:tcW w:w="830" w:type="dxa"/>
            <w:tcBorders>
              <w:top w:val="nil"/>
              <w:left w:val="nil"/>
              <w:bottom w:val="single" w:sz="4" w:space="0" w:color="auto"/>
              <w:right w:val="single" w:sz="4" w:space="0" w:color="FFFFFF"/>
            </w:tcBorders>
            <w:shd w:val="clear" w:color="000000" w:fill="D9D9D9"/>
            <w:noWrap/>
            <w:vAlign w:val="center"/>
            <w:hideMark/>
          </w:tcPr>
          <w:p w14:paraId="59E3B40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29.6 </w:t>
            </w:r>
          </w:p>
        </w:tc>
        <w:tc>
          <w:tcPr>
            <w:tcW w:w="824" w:type="dxa"/>
            <w:tcBorders>
              <w:top w:val="nil"/>
              <w:left w:val="nil"/>
              <w:bottom w:val="single" w:sz="4" w:space="0" w:color="auto"/>
              <w:right w:val="single" w:sz="4" w:space="0" w:color="FFFFFF"/>
            </w:tcBorders>
            <w:shd w:val="clear" w:color="FFFFFF" w:fill="FFFFFF"/>
            <w:noWrap/>
            <w:vAlign w:val="center"/>
            <w:hideMark/>
          </w:tcPr>
          <w:p w14:paraId="0F7F125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31.2 </w:t>
            </w:r>
          </w:p>
        </w:tc>
        <w:tc>
          <w:tcPr>
            <w:tcW w:w="824" w:type="dxa"/>
            <w:tcBorders>
              <w:top w:val="nil"/>
              <w:left w:val="nil"/>
              <w:bottom w:val="single" w:sz="4" w:space="0" w:color="auto"/>
              <w:right w:val="single" w:sz="4" w:space="0" w:color="FFFFFF"/>
            </w:tcBorders>
            <w:shd w:val="clear" w:color="000000" w:fill="D9D9D9"/>
            <w:noWrap/>
            <w:vAlign w:val="center"/>
            <w:hideMark/>
          </w:tcPr>
          <w:p w14:paraId="18F06A1B"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604.3 </w:t>
            </w:r>
          </w:p>
        </w:tc>
        <w:tc>
          <w:tcPr>
            <w:tcW w:w="824" w:type="dxa"/>
            <w:tcBorders>
              <w:top w:val="nil"/>
              <w:left w:val="nil"/>
              <w:bottom w:val="single" w:sz="4" w:space="0" w:color="auto"/>
              <w:right w:val="single" w:sz="4" w:space="0" w:color="FFFFFF"/>
            </w:tcBorders>
            <w:shd w:val="clear" w:color="FFFFFF" w:fill="FFFFFF"/>
            <w:noWrap/>
            <w:vAlign w:val="center"/>
            <w:hideMark/>
          </w:tcPr>
          <w:p w14:paraId="5A234BFF"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785.5 </w:t>
            </w:r>
          </w:p>
        </w:tc>
      </w:tr>
      <w:tr w:rsidR="00F1540A" w:rsidRPr="005734B8" w14:paraId="2DC5A52D" w14:textId="77777777" w:rsidTr="000F48B1">
        <w:trPr>
          <w:trHeight w:val="255"/>
        </w:trPr>
        <w:tc>
          <w:tcPr>
            <w:tcW w:w="2556" w:type="dxa"/>
            <w:tcBorders>
              <w:top w:val="nil"/>
              <w:left w:val="single" w:sz="4" w:space="0" w:color="FFFFFF"/>
              <w:bottom w:val="single" w:sz="4" w:space="0" w:color="auto"/>
              <w:right w:val="single" w:sz="4" w:space="0" w:color="FFFFFF"/>
            </w:tcBorders>
            <w:shd w:val="clear" w:color="FFFFFF" w:fill="FFFFFF"/>
            <w:vAlign w:val="center"/>
            <w:hideMark/>
          </w:tcPr>
          <w:p w14:paraId="5E81DA8E"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Additions</w:t>
            </w:r>
          </w:p>
        </w:tc>
        <w:tc>
          <w:tcPr>
            <w:tcW w:w="862" w:type="dxa"/>
            <w:tcBorders>
              <w:top w:val="nil"/>
              <w:left w:val="nil"/>
              <w:bottom w:val="single" w:sz="4" w:space="0" w:color="auto"/>
              <w:right w:val="single" w:sz="4" w:space="0" w:color="FFFFFF"/>
            </w:tcBorders>
            <w:shd w:val="clear" w:color="000000" w:fill="D9D9D9"/>
            <w:noWrap/>
            <w:vAlign w:val="center"/>
            <w:hideMark/>
          </w:tcPr>
          <w:p w14:paraId="36AA570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4.1 </w:t>
            </w:r>
          </w:p>
        </w:tc>
        <w:tc>
          <w:tcPr>
            <w:tcW w:w="905" w:type="dxa"/>
            <w:tcBorders>
              <w:top w:val="nil"/>
              <w:left w:val="nil"/>
              <w:bottom w:val="single" w:sz="4" w:space="0" w:color="auto"/>
              <w:right w:val="single" w:sz="4" w:space="0" w:color="FFFFFF"/>
            </w:tcBorders>
            <w:shd w:val="clear" w:color="FFFFFF" w:fill="FFFFFF"/>
            <w:noWrap/>
            <w:vAlign w:val="center"/>
            <w:hideMark/>
          </w:tcPr>
          <w:p w14:paraId="3FD9481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8.3 </w:t>
            </w:r>
          </w:p>
        </w:tc>
        <w:tc>
          <w:tcPr>
            <w:tcW w:w="830" w:type="dxa"/>
            <w:tcBorders>
              <w:top w:val="nil"/>
              <w:left w:val="nil"/>
              <w:bottom w:val="single" w:sz="4" w:space="0" w:color="auto"/>
              <w:right w:val="single" w:sz="4" w:space="0" w:color="FFFFFF"/>
            </w:tcBorders>
            <w:shd w:val="clear" w:color="000000" w:fill="D9D9D9"/>
            <w:noWrap/>
            <w:vAlign w:val="center"/>
            <w:hideMark/>
          </w:tcPr>
          <w:p w14:paraId="0DAE613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2.6 </w:t>
            </w:r>
          </w:p>
        </w:tc>
        <w:tc>
          <w:tcPr>
            <w:tcW w:w="824" w:type="dxa"/>
            <w:tcBorders>
              <w:top w:val="nil"/>
              <w:left w:val="nil"/>
              <w:bottom w:val="single" w:sz="4" w:space="0" w:color="auto"/>
              <w:right w:val="single" w:sz="4" w:space="0" w:color="FFFFFF"/>
            </w:tcBorders>
            <w:shd w:val="clear" w:color="FFFFFF" w:fill="FFFFFF"/>
            <w:noWrap/>
            <w:vAlign w:val="center"/>
            <w:hideMark/>
          </w:tcPr>
          <w:p w14:paraId="75D40E7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5.7 </w:t>
            </w:r>
          </w:p>
        </w:tc>
        <w:tc>
          <w:tcPr>
            <w:tcW w:w="824" w:type="dxa"/>
            <w:tcBorders>
              <w:top w:val="nil"/>
              <w:left w:val="nil"/>
              <w:bottom w:val="single" w:sz="4" w:space="0" w:color="auto"/>
              <w:right w:val="single" w:sz="4" w:space="0" w:color="FFFFFF"/>
            </w:tcBorders>
            <w:shd w:val="clear" w:color="000000" w:fill="D9D9D9"/>
            <w:noWrap/>
            <w:vAlign w:val="center"/>
            <w:hideMark/>
          </w:tcPr>
          <w:p w14:paraId="633BA76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6.7 </w:t>
            </w:r>
          </w:p>
        </w:tc>
        <w:tc>
          <w:tcPr>
            <w:tcW w:w="824" w:type="dxa"/>
            <w:tcBorders>
              <w:top w:val="nil"/>
              <w:left w:val="nil"/>
              <w:bottom w:val="single" w:sz="4" w:space="0" w:color="auto"/>
              <w:right w:val="single" w:sz="4" w:space="0" w:color="FFFFFF"/>
            </w:tcBorders>
            <w:shd w:val="clear" w:color="FFFFFF" w:fill="FFFFFF"/>
            <w:noWrap/>
            <w:vAlign w:val="center"/>
            <w:hideMark/>
          </w:tcPr>
          <w:p w14:paraId="0291C88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14.0 </w:t>
            </w:r>
          </w:p>
        </w:tc>
      </w:tr>
      <w:tr w:rsidR="00F1540A" w:rsidRPr="005734B8" w14:paraId="4737C2AE" w14:textId="77777777" w:rsidTr="0052060C">
        <w:trPr>
          <w:trHeight w:val="255"/>
        </w:trPr>
        <w:tc>
          <w:tcPr>
            <w:tcW w:w="2556" w:type="dxa"/>
            <w:tcBorders>
              <w:top w:val="nil"/>
              <w:left w:val="single" w:sz="4" w:space="0" w:color="FFFFFF"/>
              <w:bottom w:val="single" w:sz="4" w:space="0" w:color="auto"/>
              <w:right w:val="single" w:sz="4" w:space="0" w:color="FFFFFF"/>
            </w:tcBorders>
            <w:shd w:val="clear" w:color="FFFFFF" w:fill="FFFFFF"/>
            <w:vAlign w:val="center"/>
            <w:hideMark/>
          </w:tcPr>
          <w:p w14:paraId="125E7E8D"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Lease modifications</w:t>
            </w:r>
          </w:p>
        </w:tc>
        <w:tc>
          <w:tcPr>
            <w:tcW w:w="862" w:type="dxa"/>
            <w:tcBorders>
              <w:top w:val="nil"/>
              <w:left w:val="nil"/>
              <w:bottom w:val="single" w:sz="4" w:space="0" w:color="auto"/>
              <w:right w:val="single" w:sz="4" w:space="0" w:color="FFFFFF"/>
            </w:tcBorders>
            <w:shd w:val="clear" w:color="000000" w:fill="D9D9D9"/>
            <w:noWrap/>
            <w:vAlign w:val="center"/>
            <w:hideMark/>
          </w:tcPr>
          <w:p w14:paraId="4E29B17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9.5 </w:t>
            </w:r>
          </w:p>
        </w:tc>
        <w:tc>
          <w:tcPr>
            <w:tcW w:w="905" w:type="dxa"/>
            <w:tcBorders>
              <w:top w:val="nil"/>
              <w:left w:val="nil"/>
              <w:bottom w:val="single" w:sz="4" w:space="0" w:color="auto"/>
              <w:right w:val="single" w:sz="4" w:space="0" w:color="FFFFFF"/>
            </w:tcBorders>
            <w:shd w:val="clear" w:color="FFFFFF" w:fill="FFFFFF"/>
            <w:noWrap/>
            <w:vAlign w:val="center"/>
            <w:hideMark/>
          </w:tcPr>
          <w:p w14:paraId="308A6F63" w14:textId="3F7F328D" w:rsidR="00F1540A" w:rsidRPr="005734B8" w:rsidRDefault="00244FF7" w:rsidP="000F48B1">
            <w:pPr>
              <w:jc w:val="right"/>
              <w:rPr>
                <w:rFonts w:ascii="Calibri" w:hAnsi="Calibri" w:cs="Calibri"/>
                <w:sz w:val="18"/>
                <w:szCs w:val="18"/>
              </w:rPr>
            </w:pPr>
            <w:r w:rsidRPr="005734B8">
              <w:rPr>
                <w:rFonts w:ascii="Calibri" w:hAnsi="Calibri" w:cs="Calibri"/>
                <w:sz w:val="18"/>
                <w:szCs w:val="18"/>
              </w:rPr>
              <w:softHyphen/>
            </w:r>
            <w:r w:rsidR="006C14DE" w:rsidRPr="005734B8">
              <w:rPr>
                <w:rFonts w:ascii="Calibri" w:hAnsi="Calibri" w:cs="Calibri"/>
                <w:sz w:val="18"/>
                <w:szCs w:val="18"/>
              </w:rPr>
              <w:t>–</w:t>
            </w:r>
            <w:r w:rsidR="00F1540A" w:rsidRPr="005734B8">
              <w:rPr>
                <w:rFonts w:ascii="Calibri" w:hAnsi="Calibri" w:cs="Calibri"/>
                <w:sz w:val="18"/>
                <w:szCs w:val="18"/>
              </w:rPr>
              <w:t xml:space="preserve"> </w:t>
            </w:r>
          </w:p>
        </w:tc>
        <w:tc>
          <w:tcPr>
            <w:tcW w:w="830" w:type="dxa"/>
            <w:tcBorders>
              <w:top w:val="nil"/>
              <w:left w:val="nil"/>
              <w:bottom w:val="single" w:sz="4" w:space="0" w:color="auto"/>
              <w:right w:val="single" w:sz="4" w:space="0" w:color="FFFFFF"/>
            </w:tcBorders>
            <w:shd w:val="clear" w:color="000000" w:fill="D9D9D9"/>
            <w:noWrap/>
            <w:hideMark/>
          </w:tcPr>
          <w:p w14:paraId="49DFE92E" w14:textId="205D2106"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824" w:type="dxa"/>
            <w:tcBorders>
              <w:top w:val="nil"/>
              <w:left w:val="nil"/>
              <w:bottom w:val="single" w:sz="4" w:space="0" w:color="auto"/>
              <w:right w:val="single" w:sz="4" w:space="0" w:color="FFFFFF"/>
            </w:tcBorders>
            <w:shd w:val="clear" w:color="FFFFFF" w:fill="FFFFFF"/>
            <w:noWrap/>
            <w:hideMark/>
          </w:tcPr>
          <w:p w14:paraId="2E0156BD" w14:textId="3E343219"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824" w:type="dxa"/>
            <w:tcBorders>
              <w:top w:val="nil"/>
              <w:left w:val="nil"/>
              <w:bottom w:val="single" w:sz="4" w:space="0" w:color="auto"/>
              <w:right w:val="single" w:sz="4" w:space="0" w:color="FFFFFF"/>
            </w:tcBorders>
            <w:shd w:val="clear" w:color="000000" w:fill="D9D9D9"/>
            <w:noWrap/>
            <w:vAlign w:val="center"/>
            <w:hideMark/>
          </w:tcPr>
          <w:p w14:paraId="0469600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9.5 </w:t>
            </w:r>
          </w:p>
        </w:tc>
        <w:tc>
          <w:tcPr>
            <w:tcW w:w="824" w:type="dxa"/>
            <w:tcBorders>
              <w:top w:val="nil"/>
              <w:left w:val="nil"/>
              <w:bottom w:val="single" w:sz="4" w:space="0" w:color="auto"/>
              <w:right w:val="single" w:sz="4" w:space="0" w:color="FFFFFF"/>
            </w:tcBorders>
            <w:shd w:val="clear" w:color="FFFFFF" w:fill="FFFFFF"/>
            <w:noWrap/>
            <w:vAlign w:val="center"/>
            <w:hideMark/>
          </w:tcPr>
          <w:p w14:paraId="59951447" w14:textId="3536CD88"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r>
      <w:tr w:rsidR="00F1540A" w:rsidRPr="005734B8" w14:paraId="07E5AC5A" w14:textId="77777777" w:rsidTr="000F48B1">
        <w:trPr>
          <w:trHeight w:val="255"/>
        </w:trPr>
        <w:tc>
          <w:tcPr>
            <w:tcW w:w="2556" w:type="dxa"/>
            <w:tcBorders>
              <w:top w:val="nil"/>
              <w:left w:val="single" w:sz="4" w:space="0" w:color="FFFFFF"/>
              <w:bottom w:val="single" w:sz="4" w:space="0" w:color="auto"/>
              <w:right w:val="single" w:sz="4" w:space="0" w:color="FFFFFF"/>
            </w:tcBorders>
            <w:shd w:val="clear" w:color="FFFFFF" w:fill="FFFFFF"/>
            <w:vAlign w:val="center"/>
            <w:hideMark/>
          </w:tcPr>
          <w:p w14:paraId="413473B7"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Disposals</w:t>
            </w:r>
          </w:p>
        </w:tc>
        <w:tc>
          <w:tcPr>
            <w:tcW w:w="862" w:type="dxa"/>
            <w:tcBorders>
              <w:top w:val="nil"/>
              <w:left w:val="nil"/>
              <w:bottom w:val="single" w:sz="4" w:space="0" w:color="auto"/>
              <w:right w:val="single" w:sz="4" w:space="0" w:color="FFFFFF"/>
            </w:tcBorders>
            <w:shd w:val="clear" w:color="000000" w:fill="D9D9D9"/>
            <w:noWrap/>
            <w:vAlign w:val="center"/>
            <w:hideMark/>
          </w:tcPr>
          <w:p w14:paraId="1447F98B" w14:textId="1128D627" w:rsidR="00F1540A" w:rsidRPr="005734B8" w:rsidRDefault="00244FF7" w:rsidP="000F48B1">
            <w:pPr>
              <w:jc w:val="right"/>
              <w:rPr>
                <w:rFonts w:ascii="Calibri" w:hAnsi="Calibri" w:cs="Calibri"/>
                <w:sz w:val="18"/>
                <w:szCs w:val="18"/>
              </w:rPr>
            </w:pPr>
            <w:r w:rsidRPr="005734B8">
              <w:rPr>
                <w:rFonts w:ascii="Calibri" w:hAnsi="Calibri" w:cs="Calibri"/>
                <w:sz w:val="18"/>
                <w:szCs w:val="18"/>
              </w:rPr>
              <w:softHyphen/>
            </w:r>
            <w:r w:rsidR="006C14DE" w:rsidRPr="005734B8">
              <w:rPr>
                <w:rFonts w:ascii="Calibri" w:hAnsi="Calibri" w:cs="Calibri"/>
                <w:sz w:val="18"/>
                <w:szCs w:val="18"/>
              </w:rPr>
              <w:t>–</w:t>
            </w:r>
            <w:r w:rsidR="00F1540A" w:rsidRPr="005734B8">
              <w:rPr>
                <w:rFonts w:ascii="Calibri" w:hAnsi="Calibri" w:cs="Calibri"/>
                <w:sz w:val="18"/>
                <w:szCs w:val="18"/>
              </w:rPr>
              <w:t xml:space="preserve"> </w:t>
            </w:r>
          </w:p>
        </w:tc>
        <w:tc>
          <w:tcPr>
            <w:tcW w:w="905" w:type="dxa"/>
            <w:tcBorders>
              <w:top w:val="nil"/>
              <w:left w:val="nil"/>
              <w:bottom w:val="single" w:sz="4" w:space="0" w:color="auto"/>
              <w:right w:val="single" w:sz="4" w:space="0" w:color="FFFFFF"/>
            </w:tcBorders>
            <w:shd w:val="clear" w:color="FFFFFF" w:fill="FFFFFF"/>
            <w:noWrap/>
            <w:vAlign w:val="center"/>
            <w:hideMark/>
          </w:tcPr>
          <w:p w14:paraId="283CF69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(161.4) </w:t>
            </w:r>
          </w:p>
        </w:tc>
        <w:tc>
          <w:tcPr>
            <w:tcW w:w="830" w:type="dxa"/>
            <w:tcBorders>
              <w:top w:val="nil"/>
              <w:left w:val="nil"/>
              <w:bottom w:val="single" w:sz="4" w:space="0" w:color="auto"/>
              <w:right w:val="single" w:sz="4" w:space="0" w:color="FFFFFF"/>
            </w:tcBorders>
            <w:shd w:val="clear" w:color="000000" w:fill="D9D9D9"/>
            <w:noWrap/>
            <w:vAlign w:val="center"/>
            <w:hideMark/>
          </w:tcPr>
          <w:p w14:paraId="45CD591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 </w:t>
            </w:r>
          </w:p>
        </w:tc>
        <w:tc>
          <w:tcPr>
            <w:tcW w:w="824" w:type="dxa"/>
            <w:tcBorders>
              <w:top w:val="nil"/>
              <w:left w:val="nil"/>
              <w:bottom w:val="single" w:sz="4" w:space="0" w:color="auto"/>
              <w:right w:val="single" w:sz="4" w:space="0" w:color="FFFFFF"/>
            </w:tcBorders>
            <w:shd w:val="clear" w:color="FFFFFF" w:fill="FFFFFF"/>
            <w:noWrap/>
            <w:vAlign w:val="center"/>
            <w:hideMark/>
          </w:tcPr>
          <w:p w14:paraId="71E0D8A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(2.9) </w:t>
            </w:r>
          </w:p>
        </w:tc>
        <w:tc>
          <w:tcPr>
            <w:tcW w:w="824" w:type="dxa"/>
            <w:tcBorders>
              <w:top w:val="nil"/>
              <w:left w:val="nil"/>
              <w:bottom w:val="single" w:sz="4" w:space="0" w:color="auto"/>
              <w:right w:val="single" w:sz="4" w:space="0" w:color="FFFFFF"/>
            </w:tcBorders>
            <w:shd w:val="clear" w:color="000000" w:fill="D9D9D9"/>
            <w:noWrap/>
            <w:vAlign w:val="center"/>
            <w:hideMark/>
          </w:tcPr>
          <w:p w14:paraId="59E5133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 </w:t>
            </w:r>
          </w:p>
        </w:tc>
        <w:tc>
          <w:tcPr>
            <w:tcW w:w="824" w:type="dxa"/>
            <w:tcBorders>
              <w:top w:val="nil"/>
              <w:left w:val="nil"/>
              <w:bottom w:val="single" w:sz="4" w:space="0" w:color="auto"/>
              <w:right w:val="single" w:sz="4" w:space="0" w:color="FFFFFF"/>
            </w:tcBorders>
            <w:shd w:val="clear" w:color="FFFFFF" w:fill="FFFFFF"/>
            <w:noWrap/>
            <w:vAlign w:val="center"/>
            <w:hideMark/>
          </w:tcPr>
          <w:p w14:paraId="441F82B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(164.3) </w:t>
            </w:r>
          </w:p>
        </w:tc>
      </w:tr>
      <w:tr w:rsidR="00F1540A" w:rsidRPr="005734B8" w14:paraId="1561C0F6" w14:textId="77777777" w:rsidTr="000F48B1">
        <w:trPr>
          <w:trHeight w:val="270"/>
        </w:trPr>
        <w:tc>
          <w:tcPr>
            <w:tcW w:w="2556" w:type="dxa"/>
            <w:tcBorders>
              <w:top w:val="nil"/>
              <w:left w:val="single" w:sz="4" w:space="0" w:color="FFFFFF"/>
              <w:bottom w:val="single" w:sz="4" w:space="0" w:color="auto"/>
              <w:right w:val="single" w:sz="4" w:space="0" w:color="FFFFFF"/>
            </w:tcBorders>
            <w:shd w:val="clear" w:color="FFFFFF" w:fill="FFFFFF"/>
            <w:vAlign w:val="center"/>
            <w:hideMark/>
          </w:tcPr>
          <w:p w14:paraId="1111A954"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Amortisation</w:t>
            </w:r>
          </w:p>
        </w:tc>
        <w:tc>
          <w:tcPr>
            <w:tcW w:w="862" w:type="dxa"/>
            <w:tcBorders>
              <w:top w:val="nil"/>
              <w:left w:val="nil"/>
              <w:bottom w:val="single" w:sz="4" w:space="0" w:color="auto"/>
              <w:right w:val="single" w:sz="4" w:space="0" w:color="FFFFFF"/>
            </w:tcBorders>
            <w:shd w:val="clear" w:color="000000" w:fill="D9D9D9"/>
            <w:noWrap/>
            <w:vAlign w:val="center"/>
            <w:hideMark/>
          </w:tcPr>
          <w:p w14:paraId="6D99AA9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(16.5) </w:t>
            </w:r>
          </w:p>
        </w:tc>
        <w:tc>
          <w:tcPr>
            <w:tcW w:w="905" w:type="dxa"/>
            <w:tcBorders>
              <w:top w:val="nil"/>
              <w:left w:val="nil"/>
              <w:bottom w:val="single" w:sz="4" w:space="0" w:color="auto"/>
              <w:right w:val="single" w:sz="4" w:space="0" w:color="FFFFFF"/>
            </w:tcBorders>
            <w:shd w:val="clear" w:color="FFFFFF" w:fill="FFFFFF"/>
            <w:noWrap/>
            <w:vAlign w:val="center"/>
            <w:hideMark/>
          </w:tcPr>
          <w:p w14:paraId="3B317F9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(26.5) </w:t>
            </w:r>
          </w:p>
        </w:tc>
        <w:tc>
          <w:tcPr>
            <w:tcW w:w="830" w:type="dxa"/>
            <w:tcBorders>
              <w:top w:val="nil"/>
              <w:left w:val="nil"/>
              <w:bottom w:val="single" w:sz="4" w:space="0" w:color="auto"/>
              <w:right w:val="single" w:sz="4" w:space="0" w:color="FFFFFF"/>
            </w:tcBorders>
            <w:shd w:val="clear" w:color="000000" w:fill="D9D9D9"/>
            <w:noWrap/>
            <w:vAlign w:val="center"/>
            <w:hideMark/>
          </w:tcPr>
          <w:p w14:paraId="74F810D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(3.9) </w:t>
            </w:r>
          </w:p>
        </w:tc>
        <w:tc>
          <w:tcPr>
            <w:tcW w:w="824" w:type="dxa"/>
            <w:tcBorders>
              <w:top w:val="nil"/>
              <w:left w:val="nil"/>
              <w:bottom w:val="single" w:sz="4" w:space="0" w:color="auto"/>
              <w:right w:val="single" w:sz="4" w:space="0" w:color="FFFFFF"/>
            </w:tcBorders>
            <w:shd w:val="clear" w:color="FFFFFF" w:fill="FFFFFF"/>
            <w:noWrap/>
            <w:vAlign w:val="center"/>
            <w:hideMark/>
          </w:tcPr>
          <w:p w14:paraId="6BAA7A7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(4.4) </w:t>
            </w:r>
          </w:p>
        </w:tc>
        <w:tc>
          <w:tcPr>
            <w:tcW w:w="824" w:type="dxa"/>
            <w:tcBorders>
              <w:top w:val="nil"/>
              <w:left w:val="nil"/>
              <w:bottom w:val="single" w:sz="4" w:space="0" w:color="auto"/>
              <w:right w:val="single" w:sz="4" w:space="0" w:color="FFFFFF"/>
            </w:tcBorders>
            <w:shd w:val="clear" w:color="000000" w:fill="D9D9D9"/>
            <w:noWrap/>
            <w:vAlign w:val="center"/>
            <w:hideMark/>
          </w:tcPr>
          <w:p w14:paraId="06292557" w14:textId="05FCD5A8" w:rsidR="00F1540A" w:rsidRPr="005734B8" w:rsidRDefault="00244FF7" w:rsidP="000F48B1">
            <w:pPr>
              <w:jc w:val="right"/>
              <w:rPr>
                <w:rFonts w:ascii="Calibri" w:hAnsi="Calibri" w:cs="Calibri"/>
                <w:sz w:val="18"/>
                <w:szCs w:val="18"/>
              </w:rPr>
            </w:pPr>
            <w:r w:rsidRPr="005734B8">
              <w:rPr>
                <w:rFonts w:ascii="Calibri" w:hAnsi="Calibri" w:cs="Calibri"/>
                <w:sz w:val="18"/>
                <w:szCs w:val="18"/>
              </w:rPr>
              <w:softHyphen/>
            </w:r>
            <w:r w:rsidR="002C5520" w:rsidRPr="005734B8">
              <w:rPr>
                <w:rFonts w:ascii="Calibri" w:hAnsi="Calibri" w:cs="Calibri"/>
                <w:sz w:val="18"/>
                <w:szCs w:val="18"/>
              </w:rPr>
              <w:t>(20.4)</w:t>
            </w:r>
            <w:r w:rsidR="00F1540A" w:rsidRPr="005734B8">
              <w:rPr>
                <w:rFonts w:ascii="Calibri" w:hAnsi="Calibri" w:cs="Calibri"/>
                <w:sz w:val="18"/>
                <w:szCs w:val="18"/>
              </w:rPr>
              <w:t xml:space="preserve"> </w:t>
            </w:r>
          </w:p>
        </w:tc>
        <w:tc>
          <w:tcPr>
            <w:tcW w:w="824" w:type="dxa"/>
            <w:tcBorders>
              <w:top w:val="nil"/>
              <w:left w:val="nil"/>
              <w:bottom w:val="single" w:sz="4" w:space="0" w:color="auto"/>
              <w:right w:val="single" w:sz="4" w:space="0" w:color="FFFFFF"/>
            </w:tcBorders>
            <w:shd w:val="clear" w:color="FFFFFF" w:fill="FFFFFF"/>
            <w:noWrap/>
            <w:vAlign w:val="center"/>
            <w:hideMark/>
          </w:tcPr>
          <w:p w14:paraId="738A22B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(30.9) </w:t>
            </w:r>
          </w:p>
        </w:tc>
      </w:tr>
      <w:tr w:rsidR="00F1540A" w:rsidRPr="005734B8" w14:paraId="157EA868" w14:textId="77777777" w:rsidTr="000F48B1">
        <w:trPr>
          <w:trHeight w:val="285"/>
        </w:trPr>
        <w:tc>
          <w:tcPr>
            <w:tcW w:w="2556"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2345D21"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Closing balance</w:t>
            </w:r>
          </w:p>
        </w:tc>
        <w:tc>
          <w:tcPr>
            <w:tcW w:w="862" w:type="dxa"/>
            <w:tcBorders>
              <w:top w:val="single" w:sz="12" w:space="0" w:color="auto"/>
              <w:left w:val="nil"/>
              <w:bottom w:val="single" w:sz="12" w:space="0" w:color="auto"/>
              <w:right w:val="nil"/>
            </w:tcBorders>
            <w:shd w:val="clear" w:color="FFFFFF" w:fill="FFFFFF"/>
            <w:noWrap/>
            <w:vAlign w:val="center"/>
            <w:hideMark/>
          </w:tcPr>
          <w:p w14:paraId="0DE5AAEF"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571.8 </w:t>
            </w:r>
          </w:p>
        </w:tc>
        <w:tc>
          <w:tcPr>
            <w:tcW w:w="905" w:type="dxa"/>
            <w:tcBorders>
              <w:top w:val="single" w:sz="12" w:space="0" w:color="auto"/>
              <w:left w:val="nil"/>
              <w:bottom w:val="single" w:sz="12" w:space="0" w:color="auto"/>
              <w:right w:val="single" w:sz="12" w:space="0" w:color="FFFFFF"/>
            </w:tcBorders>
            <w:shd w:val="clear" w:color="FFFFFF" w:fill="FFFFFF"/>
            <w:noWrap/>
            <w:vAlign w:val="center"/>
            <w:hideMark/>
          </w:tcPr>
          <w:p w14:paraId="3EDB548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574.7 </w:t>
            </w:r>
          </w:p>
        </w:tc>
        <w:tc>
          <w:tcPr>
            <w:tcW w:w="830" w:type="dxa"/>
            <w:tcBorders>
              <w:top w:val="single" w:sz="12" w:space="0" w:color="auto"/>
              <w:left w:val="nil"/>
              <w:bottom w:val="single" w:sz="12" w:space="0" w:color="auto"/>
              <w:right w:val="nil"/>
            </w:tcBorders>
            <w:shd w:val="clear" w:color="FFFFFF" w:fill="FFFFFF"/>
            <w:noWrap/>
            <w:vAlign w:val="center"/>
            <w:hideMark/>
          </w:tcPr>
          <w:p w14:paraId="7F46F112"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27.0 </w:t>
            </w:r>
          </w:p>
        </w:tc>
        <w:tc>
          <w:tcPr>
            <w:tcW w:w="824" w:type="dxa"/>
            <w:tcBorders>
              <w:top w:val="single" w:sz="12" w:space="0" w:color="auto"/>
              <w:left w:val="nil"/>
              <w:bottom w:val="single" w:sz="12" w:space="0" w:color="auto"/>
              <w:right w:val="single" w:sz="12" w:space="0" w:color="FFFFFF"/>
            </w:tcBorders>
            <w:shd w:val="clear" w:color="FFFFFF" w:fill="FFFFFF"/>
            <w:noWrap/>
            <w:vAlign w:val="center"/>
            <w:hideMark/>
          </w:tcPr>
          <w:p w14:paraId="5F9B2F8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29.6 </w:t>
            </w:r>
          </w:p>
        </w:tc>
        <w:tc>
          <w:tcPr>
            <w:tcW w:w="824" w:type="dxa"/>
            <w:tcBorders>
              <w:top w:val="single" w:sz="12" w:space="0" w:color="auto"/>
              <w:left w:val="single" w:sz="4" w:space="0" w:color="FFFFFF"/>
              <w:bottom w:val="single" w:sz="12" w:space="0" w:color="auto"/>
              <w:right w:val="nil"/>
            </w:tcBorders>
            <w:shd w:val="clear" w:color="FFFFFF" w:fill="FFFFFF"/>
            <w:noWrap/>
            <w:vAlign w:val="center"/>
            <w:hideMark/>
          </w:tcPr>
          <w:p w14:paraId="5F7C49B4" w14:textId="58ED1622"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598.8</w:t>
            </w:r>
          </w:p>
        </w:tc>
        <w:tc>
          <w:tcPr>
            <w:tcW w:w="824" w:type="dxa"/>
            <w:tcBorders>
              <w:top w:val="single" w:sz="12" w:space="0" w:color="auto"/>
              <w:left w:val="nil"/>
              <w:bottom w:val="single" w:sz="12" w:space="0" w:color="auto"/>
              <w:right w:val="nil"/>
            </w:tcBorders>
            <w:shd w:val="clear" w:color="FFFFFF" w:fill="FFFFFF"/>
            <w:noWrap/>
            <w:vAlign w:val="center"/>
            <w:hideMark/>
          </w:tcPr>
          <w:p w14:paraId="3E24668B"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604.3 </w:t>
            </w:r>
          </w:p>
        </w:tc>
      </w:tr>
      <w:tr w:rsidR="00F1540A" w:rsidRPr="005734B8" w14:paraId="7509E028" w14:textId="77777777" w:rsidTr="000F48B1">
        <w:trPr>
          <w:trHeight w:val="270"/>
        </w:trPr>
        <w:tc>
          <w:tcPr>
            <w:tcW w:w="2556" w:type="dxa"/>
            <w:tcBorders>
              <w:top w:val="single" w:sz="4" w:space="0" w:color="auto"/>
              <w:left w:val="single" w:sz="4" w:space="0" w:color="FFFFFF"/>
              <w:bottom w:val="nil"/>
              <w:right w:val="single" w:sz="4" w:space="0" w:color="FFFFFF"/>
            </w:tcBorders>
            <w:shd w:val="clear" w:color="FFFFFF" w:fill="FFFFFF"/>
            <w:vAlign w:val="center"/>
            <w:hideMark/>
          </w:tcPr>
          <w:p w14:paraId="370F6351"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 </w:t>
            </w:r>
          </w:p>
        </w:tc>
        <w:tc>
          <w:tcPr>
            <w:tcW w:w="862" w:type="dxa"/>
            <w:tcBorders>
              <w:top w:val="single" w:sz="4" w:space="0" w:color="auto"/>
              <w:left w:val="nil"/>
              <w:bottom w:val="nil"/>
              <w:right w:val="nil"/>
            </w:tcBorders>
            <w:shd w:val="clear" w:color="FFFFFF" w:fill="FFFFFF"/>
            <w:noWrap/>
            <w:vAlign w:val="bottom"/>
            <w:hideMark/>
          </w:tcPr>
          <w:p w14:paraId="6461E37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w:t>
            </w:r>
          </w:p>
        </w:tc>
        <w:tc>
          <w:tcPr>
            <w:tcW w:w="905" w:type="dxa"/>
            <w:tcBorders>
              <w:top w:val="single" w:sz="4" w:space="0" w:color="auto"/>
              <w:left w:val="single" w:sz="4" w:space="0" w:color="FFFFFF"/>
              <w:bottom w:val="nil"/>
              <w:right w:val="single" w:sz="4" w:space="0" w:color="FFFFFF"/>
            </w:tcBorders>
            <w:shd w:val="clear" w:color="FFFFFF" w:fill="FFFFFF"/>
            <w:noWrap/>
            <w:vAlign w:val="center"/>
            <w:hideMark/>
          </w:tcPr>
          <w:p w14:paraId="1A60C35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w:t>
            </w:r>
          </w:p>
        </w:tc>
        <w:tc>
          <w:tcPr>
            <w:tcW w:w="830" w:type="dxa"/>
            <w:tcBorders>
              <w:top w:val="single" w:sz="4" w:space="0" w:color="auto"/>
              <w:left w:val="nil"/>
              <w:bottom w:val="nil"/>
              <w:right w:val="nil"/>
            </w:tcBorders>
            <w:shd w:val="clear" w:color="FFFFFF" w:fill="FFFFFF"/>
            <w:noWrap/>
            <w:vAlign w:val="bottom"/>
            <w:hideMark/>
          </w:tcPr>
          <w:p w14:paraId="0D32E2C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w:t>
            </w:r>
          </w:p>
        </w:tc>
        <w:tc>
          <w:tcPr>
            <w:tcW w:w="824" w:type="dxa"/>
            <w:tcBorders>
              <w:top w:val="single" w:sz="4" w:space="0" w:color="auto"/>
              <w:left w:val="single" w:sz="4" w:space="0" w:color="FFFFFF"/>
              <w:bottom w:val="nil"/>
              <w:right w:val="single" w:sz="4" w:space="0" w:color="FFFFFF"/>
            </w:tcBorders>
            <w:shd w:val="clear" w:color="FFFFFF" w:fill="FFFFFF"/>
            <w:noWrap/>
            <w:vAlign w:val="center"/>
            <w:hideMark/>
          </w:tcPr>
          <w:p w14:paraId="7431F38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w:t>
            </w:r>
          </w:p>
        </w:tc>
        <w:tc>
          <w:tcPr>
            <w:tcW w:w="824" w:type="dxa"/>
            <w:tcBorders>
              <w:top w:val="single" w:sz="4" w:space="0" w:color="auto"/>
              <w:left w:val="nil"/>
              <w:bottom w:val="nil"/>
              <w:right w:val="nil"/>
            </w:tcBorders>
            <w:shd w:val="clear" w:color="FFFFFF" w:fill="FFFFFF"/>
            <w:noWrap/>
            <w:vAlign w:val="bottom"/>
            <w:hideMark/>
          </w:tcPr>
          <w:p w14:paraId="3B57A38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w:t>
            </w:r>
          </w:p>
        </w:tc>
        <w:tc>
          <w:tcPr>
            <w:tcW w:w="824" w:type="dxa"/>
            <w:tcBorders>
              <w:top w:val="single" w:sz="4" w:space="0" w:color="auto"/>
              <w:left w:val="single" w:sz="4" w:space="0" w:color="FFFFFF"/>
              <w:bottom w:val="nil"/>
              <w:right w:val="single" w:sz="4" w:space="0" w:color="FFFFFF"/>
            </w:tcBorders>
            <w:shd w:val="clear" w:color="FFFFFF" w:fill="FFFFFF"/>
            <w:noWrap/>
            <w:vAlign w:val="center"/>
            <w:hideMark/>
          </w:tcPr>
          <w:p w14:paraId="2C2A7CF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w:t>
            </w:r>
          </w:p>
        </w:tc>
      </w:tr>
      <w:tr w:rsidR="00F1540A" w:rsidRPr="005734B8" w14:paraId="0F6600C2" w14:textId="77777777" w:rsidTr="000F48B1">
        <w:trPr>
          <w:trHeight w:val="255"/>
        </w:trPr>
        <w:tc>
          <w:tcPr>
            <w:tcW w:w="7625" w:type="dxa"/>
            <w:gridSpan w:val="7"/>
            <w:tcBorders>
              <w:top w:val="nil"/>
              <w:left w:val="nil"/>
              <w:bottom w:val="single" w:sz="4" w:space="0" w:color="auto"/>
              <w:right w:val="nil"/>
            </w:tcBorders>
            <w:shd w:val="clear" w:color="FFFFFF" w:fill="FFFFFF"/>
            <w:noWrap/>
            <w:vAlign w:val="center"/>
            <w:hideMark/>
          </w:tcPr>
          <w:p w14:paraId="16E94E1A"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Total as at 30 June represented by</w:t>
            </w:r>
          </w:p>
        </w:tc>
      </w:tr>
      <w:tr w:rsidR="00F1540A" w:rsidRPr="005734B8" w14:paraId="6926CABA" w14:textId="77777777" w:rsidTr="000F48B1">
        <w:trPr>
          <w:trHeight w:val="255"/>
        </w:trPr>
        <w:tc>
          <w:tcPr>
            <w:tcW w:w="2556" w:type="dxa"/>
            <w:tcBorders>
              <w:top w:val="nil"/>
              <w:left w:val="single" w:sz="4" w:space="0" w:color="FFFFFF"/>
              <w:bottom w:val="single" w:sz="4" w:space="0" w:color="auto"/>
              <w:right w:val="single" w:sz="4" w:space="0" w:color="FFFFFF"/>
            </w:tcBorders>
            <w:shd w:val="clear" w:color="FFFFFF" w:fill="FFFFFF"/>
            <w:vAlign w:val="center"/>
            <w:hideMark/>
          </w:tcPr>
          <w:p w14:paraId="5737C6A0"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Gross book value</w:t>
            </w:r>
          </w:p>
        </w:tc>
        <w:tc>
          <w:tcPr>
            <w:tcW w:w="862" w:type="dxa"/>
            <w:tcBorders>
              <w:top w:val="nil"/>
              <w:left w:val="nil"/>
              <w:bottom w:val="single" w:sz="4" w:space="0" w:color="auto"/>
              <w:right w:val="single" w:sz="4" w:space="0" w:color="FFFFFF"/>
            </w:tcBorders>
            <w:shd w:val="clear" w:color="000000" w:fill="D9D9D9"/>
            <w:noWrap/>
            <w:vAlign w:val="center"/>
            <w:hideMark/>
          </w:tcPr>
          <w:p w14:paraId="11CBD22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614.8 </w:t>
            </w:r>
          </w:p>
        </w:tc>
        <w:tc>
          <w:tcPr>
            <w:tcW w:w="905" w:type="dxa"/>
            <w:tcBorders>
              <w:top w:val="nil"/>
              <w:left w:val="nil"/>
              <w:bottom w:val="single" w:sz="4" w:space="0" w:color="auto"/>
              <w:right w:val="single" w:sz="4" w:space="0" w:color="FFFFFF"/>
            </w:tcBorders>
            <w:shd w:val="clear" w:color="FFFFFF" w:fill="FFFFFF"/>
            <w:noWrap/>
            <w:vAlign w:val="center"/>
            <w:hideMark/>
          </w:tcPr>
          <w:p w14:paraId="5349D678"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601.2 </w:t>
            </w:r>
          </w:p>
        </w:tc>
        <w:tc>
          <w:tcPr>
            <w:tcW w:w="830" w:type="dxa"/>
            <w:tcBorders>
              <w:top w:val="nil"/>
              <w:left w:val="nil"/>
              <w:bottom w:val="single" w:sz="4" w:space="0" w:color="auto"/>
              <w:right w:val="single" w:sz="4" w:space="0" w:color="FFFFFF"/>
            </w:tcBorders>
            <w:shd w:val="clear" w:color="000000" w:fill="D9D9D9"/>
            <w:noWrap/>
            <w:vAlign w:val="center"/>
            <w:hideMark/>
          </w:tcPr>
          <w:p w14:paraId="52B58B3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43.5 </w:t>
            </w:r>
          </w:p>
        </w:tc>
        <w:tc>
          <w:tcPr>
            <w:tcW w:w="824" w:type="dxa"/>
            <w:tcBorders>
              <w:top w:val="nil"/>
              <w:left w:val="nil"/>
              <w:bottom w:val="single" w:sz="4" w:space="0" w:color="auto"/>
              <w:right w:val="single" w:sz="4" w:space="0" w:color="FFFFFF"/>
            </w:tcBorders>
            <w:shd w:val="clear" w:color="FFFFFF" w:fill="FFFFFF"/>
            <w:noWrap/>
            <w:vAlign w:val="center"/>
            <w:hideMark/>
          </w:tcPr>
          <w:p w14:paraId="19A9A93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43.4 </w:t>
            </w:r>
          </w:p>
        </w:tc>
        <w:tc>
          <w:tcPr>
            <w:tcW w:w="824" w:type="dxa"/>
            <w:tcBorders>
              <w:top w:val="nil"/>
              <w:left w:val="nil"/>
              <w:bottom w:val="single" w:sz="4" w:space="0" w:color="auto"/>
              <w:right w:val="single" w:sz="4" w:space="0" w:color="FFFFFF"/>
            </w:tcBorders>
            <w:shd w:val="clear" w:color="000000" w:fill="D9D9D9"/>
            <w:noWrap/>
            <w:vAlign w:val="center"/>
            <w:hideMark/>
          </w:tcPr>
          <w:p w14:paraId="1CCDC20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658.3 </w:t>
            </w:r>
          </w:p>
        </w:tc>
        <w:tc>
          <w:tcPr>
            <w:tcW w:w="824" w:type="dxa"/>
            <w:tcBorders>
              <w:top w:val="nil"/>
              <w:left w:val="nil"/>
              <w:bottom w:val="single" w:sz="4" w:space="0" w:color="auto"/>
              <w:right w:val="single" w:sz="4" w:space="0" w:color="FFFFFF"/>
            </w:tcBorders>
            <w:shd w:val="clear" w:color="FFFFFF" w:fill="FFFFFF"/>
            <w:noWrap/>
            <w:vAlign w:val="center"/>
            <w:hideMark/>
          </w:tcPr>
          <w:p w14:paraId="1C9A5E7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644.6 </w:t>
            </w:r>
          </w:p>
        </w:tc>
      </w:tr>
      <w:tr w:rsidR="00F1540A" w:rsidRPr="005734B8" w14:paraId="7FADC361" w14:textId="77777777" w:rsidTr="000F48B1">
        <w:trPr>
          <w:trHeight w:val="270"/>
        </w:trPr>
        <w:tc>
          <w:tcPr>
            <w:tcW w:w="2556" w:type="dxa"/>
            <w:tcBorders>
              <w:top w:val="nil"/>
              <w:left w:val="single" w:sz="4" w:space="0" w:color="FFFFFF"/>
              <w:bottom w:val="single" w:sz="4" w:space="0" w:color="auto"/>
              <w:right w:val="single" w:sz="4" w:space="0" w:color="FFFFFF"/>
            </w:tcBorders>
            <w:shd w:val="clear" w:color="FFFFFF" w:fill="FFFFFF"/>
            <w:vAlign w:val="center"/>
            <w:hideMark/>
          </w:tcPr>
          <w:p w14:paraId="103C3710"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Accumulated amortisation and impairment</w:t>
            </w:r>
          </w:p>
        </w:tc>
        <w:tc>
          <w:tcPr>
            <w:tcW w:w="862" w:type="dxa"/>
            <w:tcBorders>
              <w:top w:val="nil"/>
              <w:left w:val="nil"/>
              <w:bottom w:val="single" w:sz="4" w:space="0" w:color="auto"/>
              <w:right w:val="single" w:sz="4" w:space="0" w:color="FFFFFF"/>
            </w:tcBorders>
            <w:shd w:val="clear" w:color="000000" w:fill="D9D9D9"/>
            <w:noWrap/>
            <w:vAlign w:val="center"/>
            <w:hideMark/>
          </w:tcPr>
          <w:p w14:paraId="71190D18"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(43.0) </w:t>
            </w:r>
          </w:p>
        </w:tc>
        <w:tc>
          <w:tcPr>
            <w:tcW w:w="905" w:type="dxa"/>
            <w:tcBorders>
              <w:top w:val="nil"/>
              <w:left w:val="nil"/>
              <w:bottom w:val="single" w:sz="4" w:space="0" w:color="auto"/>
              <w:right w:val="single" w:sz="4" w:space="0" w:color="FFFFFF"/>
            </w:tcBorders>
            <w:shd w:val="clear" w:color="FFFFFF" w:fill="FFFFFF"/>
            <w:noWrap/>
            <w:vAlign w:val="center"/>
            <w:hideMark/>
          </w:tcPr>
          <w:p w14:paraId="691838F8"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(26.5) </w:t>
            </w:r>
          </w:p>
        </w:tc>
        <w:tc>
          <w:tcPr>
            <w:tcW w:w="830" w:type="dxa"/>
            <w:tcBorders>
              <w:top w:val="nil"/>
              <w:left w:val="nil"/>
              <w:bottom w:val="single" w:sz="4" w:space="0" w:color="auto"/>
              <w:right w:val="single" w:sz="4" w:space="0" w:color="FFFFFF"/>
            </w:tcBorders>
            <w:shd w:val="clear" w:color="000000" w:fill="D9D9D9"/>
            <w:noWrap/>
            <w:vAlign w:val="center"/>
            <w:hideMark/>
          </w:tcPr>
          <w:p w14:paraId="614E679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(16.5) </w:t>
            </w:r>
          </w:p>
        </w:tc>
        <w:tc>
          <w:tcPr>
            <w:tcW w:w="824" w:type="dxa"/>
            <w:tcBorders>
              <w:top w:val="nil"/>
              <w:left w:val="nil"/>
              <w:bottom w:val="single" w:sz="4" w:space="0" w:color="auto"/>
              <w:right w:val="single" w:sz="4" w:space="0" w:color="FFFFFF"/>
            </w:tcBorders>
            <w:shd w:val="clear" w:color="FFFFFF" w:fill="FFFFFF"/>
            <w:noWrap/>
            <w:vAlign w:val="center"/>
            <w:hideMark/>
          </w:tcPr>
          <w:p w14:paraId="17EA1D5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(13.8) </w:t>
            </w:r>
          </w:p>
        </w:tc>
        <w:tc>
          <w:tcPr>
            <w:tcW w:w="824" w:type="dxa"/>
            <w:tcBorders>
              <w:top w:val="nil"/>
              <w:left w:val="nil"/>
              <w:bottom w:val="single" w:sz="4" w:space="0" w:color="auto"/>
              <w:right w:val="single" w:sz="4" w:space="0" w:color="FFFFFF"/>
            </w:tcBorders>
            <w:shd w:val="clear" w:color="000000" w:fill="D9D9D9"/>
            <w:noWrap/>
            <w:vAlign w:val="center"/>
            <w:hideMark/>
          </w:tcPr>
          <w:p w14:paraId="0B73B57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(59.5) </w:t>
            </w:r>
          </w:p>
        </w:tc>
        <w:tc>
          <w:tcPr>
            <w:tcW w:w="824" w:type="dxa"/>
            <w:tcBorders>
              <w:top w:val="nil"/>
              <w:left w:val="nil"/>
              <w:bottom w:val="single" w:sz="4" w:space="0" w:color="auto"/>
              <w:right w:val="single" w:sz="4" w:space="0" w:color="FFFFFF"/>
            </w:tcBorders>
            <w:shd w:val="clear" w:color="FFFFFF" w:fill="FFFFFF"/>
            <w:noWrap/>
            <w:vAlign w:val="center"/>
            <w:hideMark/>
          </w:tcPr>
          <w:p w14:paraId="71059EE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(40.3) </w:t>
            </w:r>
          </w:p>
        </w:tc>
      </w:tr>
      <w:tr w:rsidR="00F1540A" w:rsidRPr="005734B8" w14:paraId="3BEC19C5" w14:textId="77777777" w:rsidTr="000F48B1">
        <w:trPr>
          <w:trHeight w:val="285"/>
        </w:trPr>
        <w:tc>
          <w:tcPr>
            <w:tcW w:w="2556"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82D5ABF"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xml:space="preserve">Total as at 30 June  </w:t>
            </w:r>
          </w:p>
        </w:tc>
        <w:tc>
          <w:tcPr>
            <w:tcW w:w="862" w:type="dxa"/>
            <w:tcBorders>
              <w:top w:val="single" w:sz="12" w:space="0" w:color="auto"/>
              <w:left w:val="nil"/>
              <w:bottom w:val="single" w:sz="12" w:space="0" w:color="auto"/>
              <w:right w:val="nil"/>
            </w:tcBorders>
            <w:shd w:val="clear" w:color="FFFFFF" w:fill="FFFFFF"/>
            <w:noWrap/>
            <w:vAlign w:val="center"/>
            <w:hideMark/>
          </w:tcPr>
          <w:p w14:paraId="0EFF2AA1"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571.8 </w:t>
            </w:r>
          </w:p>
        </w:tc>
        <w:tc>
          <w:tcPr>
            <w:tcW w:w="905" w:type="dxa"/>
            <w:tcBorders>
              <w:top w:val="single" w:sz="12" w:space="0" w:color="auto"/>
              <w:left w:val="nil"/>
              <w:bottom w:val="single" w:sz="12" w:space="0" w:color="auto"/>
              <w:right w:val="single" w:sz="12" w:space="0" w:color="FFFFFF"/>
            </w:tcBorders>
            <w:shd w:val="clear" w:color="FFFFFF" w:fill="FFFFFF"/>
            <w:noWrap/>
            <w:vAlign w:val="center"/>
            <w:hideMark/>
          </w:tcPr>
          <w:p w14:paraId="6E1322C6"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574.7 </w:t>
            </w:r>
          </w:p>
        </w:tc>
        <w:tc>
          <w:tcPr>
            <w:tcW w:w="830" w:type="dxa"/>
            <w:tcBorders>
              <w:top w:val="single" w:sz="12" w:space="0" w:color="auto"/>
              <w:left w:val="nil"/>
              <w:bottom w:val="single" w:sz="12" w:space="0" w:color="auto"/>
              <w:right w:val="nil"/>
            </w:tcBorders>
            <w:shd w:val="clear" w:color="FFFFFF" w:fill="FFFFFF"/>
            <w:noWrap/>
            <w:vAlign w:val="center"/>
            <w:hideMark/>
          </w:tcPr>
          <w:p w14:paraId="6F2A004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27.0 </w:t>
            </w:r>
          </w:p>
        </w:tc>
        <w:tc>
          <w:tcPr>
            <w:tcW w:w="824" w:type="dxa"/>
            <w:tcBorders>
              <w:top w:val="single" w:sz="12" w:space="0" w:color="auto"/>
              <w:left w:val="nil"/>
              <w:bottom w:val="single" w:sz="12" w:space="0" w:color="auto"/>
              <w:right w:val="single" w:sz="12" w:space="0" w:color="FFFFFF"/>
            </w:tcBorders>
            <w:shd w:val="clear" w:color="FFFFFF" w:fill="FFFFFF"/>
            <w:noWrap/>
            <w:vAlign w:val="center"/>
            <w:hideMark/>
          </w:tcPr>
          <w:p w14:paraId="3959E230"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29.6 </w:t>
            </w:r>
          </w:p>
        </w:tc>
        <w:tc>
          <w:tcPr>
            <w:tcW w:w="824" w:type="dxa"/>
            <w:tcBorders>
              <w:top w:val="single" w:sz="12" w:space="0" w:color="auto"/>
              <w:left w:val="single" w:sz="4" w:space="0" w:color="FFFFFF"/>
              <w:bottom w:val="single" w:sz="12" w:space="0" w:color="auto"/>
              <w:right w:val="nil"/>
            </w:tcBorders>
            <w:shd w:val="clear" w:color="FFFFFF" w:fill="FFFFFF"/>
            <w:noWrap/>
            <w:vAlign w:val="center"/>
            <w:hideMark/>
          </w:tcPr>
          <w:p w14:paraId="4847140B"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598.8 </w:t>
            </w:r>
          </w:p>
        </w:tc>
        <w:tc>
          <w:tcPr>
            <w:tcW w:w="824" w:type="dxa"/>
            <w:tcBorders>
              <w:top w:val="single" w:sz="12" w:space="0" w:color="auto"/>
              <w:left w:val="nil"/>
              <w:bottom w:val="single" w:sz="12" w:space="0" w:color="auto"/>
              <w:right w:val="nil"/>
            </w:tcBorders>
            <w:shd w:val="clear" w:color="FFFFFF" w:fill="FFFFFF"/>
            <w:noWrap/>
            <w:vAlign w:val="center"/>
            <w:hideMark/>
          </w:tcPr>
          <w:p w14:paraId="69D8C435"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604.3 </w:t>
            </w:r>
          </w:p>
        </w:tc>
      </w:tr>
    </w:tbl>
    <w:p w14:paraId="6BA55F59" w14:textId="77777777" w:rsidR="00F1540A" w:rsidRPr="005734B8" w:rsidRDefault="00F1540A" w:rsidP="00F1540A">
      <w:pPr>
        <w:pStyle w:val="BodyText"/>
        <w:rPr>
          <w:rFonts w:ascii="Calibri" w:hAnsi="Calibri" w:cs="Calibri"/>
        </w:rPr>
      </w:pPr>
    </w:p>
    <w:p w14:paraId="4247CFCB" w14:textId="6CB29CF4" w:rsidR="00F1540A" w:rsidRPr="005734B8" w:rsidRDefault="00F1540A" w:rsidP="00F1540A">
      <w:pPr>
        <w:rPr>
          <w:rFonts w:ascii="Calibri" w:hAnsi="Calibri" w:cs="Calibri"/>
          <w:b/>
          <w:bCs/>
        </w:rPr>
      </w:pPr>
      <w:r w:rsidRPr="005734B8">
        <w:rPr>
          <w:rFonts w:ascii="Calibri" w:hAnsi="Calibri" w:cs="Calibri"/>
          <w:b/>
          <w:bCs/>
        </w:rPr>
        <w:t>Right-of-use asset acquired by lessees</w:t>
      </w:r>
      <w:r w:rsidR="009018B1" w:rsidRPr="005734B8">
        <w:rPr>
          <w:rFonts w:ascii="Calibri" w:hAnsi="Calibri" w:cs="Calibri"/>
          <w:b/>
          <w:bCs/>
        </w:rPr>
        <w:t>—</w:t>
      </w:r>
      <w:r w:rsidRPr="005734B8">
        <w:rPr>
          <w:rFonts w:ascii="Calibri" w:hAnsi="Calibri" w:cs="Calibri"/>
          <w:b/>
          <w:bCs/>
        </w:rPr>
        <w:t>Initial measurement</w:t>
      </w:r>
    </w:p>
    <w:p w14:paraId="66509886" w14:textId="1D6488E0" w:rsidR="00F1540A" w:rsidRPr="005734B8" w:rsidRDefault="00F1540A" w:rsidP="00F1540A">
      <w:pPr>
        <w:rPr>
          <w:rFonts w:ascii="Calibri" w:hAnsi="Calibri" w:cs="Calibri"/>
          <w:szCs w:val="22"/>
        </w:rPr>
      </w:pPr>
      <w:r w:rsidRPr="005734B8">
        <w:rPr>
          <w:rFonts w:ascii="Calibri" w:hAnsi="Calibri" w:cs="Calibri"/>
          <w:szCs w:val="22"/>
        </w:rPr>
        <w:t>The Department recognises a right-of-use asset and a lease liability at the lease commencement date. The right-of-use asset is initially measured at cost</w:t>
      </w:r>
      <w:r w:rsidR="009018B1" w:rsidRPr="005734B8">
        <w:rPr>
          <w:rFonts w:ascii="Calibri" w:hAnsi="Calibri" w:cs="Calibri"/>
          <w:szCs w:val="22"/>
        </w:rPr>
        <w:t>,</w:t>
      </w:r>
      <w:r w:rsidRPr="005734B8">
        <w:rPr>
          <w:rFonts w:ascii="Calibri" w:hAnsi="Calibri" w:cs="Calibri"/>
          <w:szCs w:val="22"/>
        </w:rPr>
        <w:t xml:space="preserve"> which comprises the initial amount of the lease liability adjusted for:</w:t>
      </w:r>
    </w:p>
    <w:p w14:paraId="3CF832CF" w14:textId="52930A93" w:rsidR="00F1540A" w:rsidRPr="005734B8" w:rsidRDefault="00F1540A" w:rsidP="00572811">
      <w:pPr>
        <w:pStyle w:val="ESbullet1"/>
        <w:numPr>
          <w:ilvl w:val="0"/>
          <w:numId w:val="27"/>
        </w:numPr>
        <w:spacing w:after="0"/>
        <w:rPr>
          <w:rFonts w:ascii="Calibri" w:hAnsi="Calibri" w:cs="Calibri"/>
        </w:rPr>
      </w:pPr>
      <w:r w:rsidRPr="005734B8">
        <w:rPr>
          <w:rFonts w:ascii="Calibri" w:hAnsi="Calibri" w:cs="Calibri"/>
        </w:rPr>
        <w:t xml:space="preserve">any lease payments made at or before the commencement date less any lease incentive received </w:t>
      </w:r>
    </w:p>
    <w:p w14:paraId="18C1F8C8" w14:textId="6E0981AA" w:rsidR="00F1540A" w:rsidRPr="005734B8" w:rsidRDefault="00F1540A" w:rsidP="00572811">
      <w:pPr>
        <w:pStyle w:val="ESbullet1"/>
        <w:numPr>
          <w:ilvl w:val="0"/>
          <w:numId w:val="27"/>
        </w:numPr>
        <w:spacing w:after="0"/>
        <w:rPr>
          <w:rFonts w:ascii="Calibri" w:hAnsi="Calibri" w:cs="Calibri"/>
        </w:rPr>
      </w:pPr>
      <w:r w:rsidRPr="005734B8">
        <w:rPr>
          <w:rFonts w:ascii="Calibri" w:hAnsi="Calibri" w:cs="Calibri"/>
        </w:rPr>
        <w:t xml:space="preserve">any initial direct costs incurred </w:t>
      </w:r>
    </w:p>
    <w:p w14:paraId="7DA04573" w14:textId="3B5CC2C5" w:rsidR="00F1540A" w:rsidRPr="005734B8" w:rsidRDefault="00F1540A" w:rsidP="00F1540A">
      <w:pPr>
        <w:pStyle w:val="ESbullet1"/>
        <w:numPr>
          <w:ilvl w:val="0"/>
          <w:numId w:val="27"/>
        </w:numPr>
        <w:spacing w:after="0"/>
        <w:rPr>
          <w:rFonts w:ascii="Calibri" w:hAnsi="Calibri" w:cs="Calibri"/>
        </w:rPr>
      </w:pPr>
      <w:r w:rsidRPr="005734B8">
        <w:rPr>
          <w:rFonts w:ascii="Calibri" w:hAnsi="Calibri" w:cs="Calibri"/>
        </w:rPr>
        <w:t>an estimate of costs to dismantle and remove the underlying asset or to restore the underlying asset or the site on which it is located.</w:t>
      </w:r>
    </w:p>
    <w:p w14:paraId="08953CCD" w14:textId="77777777" w:rsidR="00F1540A" w:rsidRPr="005734B8" w:rsidRDefault="00F1540A" w:rsidP="00F1540A">
      <w:pPr>
        <w:rPr>
          <w:rFonts w:ascii="Calibri" w:hAnsi="Calibri" w:cs="Calibri"/>
        </w:rPr>
      </w:pPr>
    </w:p>
    <w:p w14:paraId="604A26DD" w14:textId="392A0DE9" w:rsidR="00F1540A" w:rsidRPr="005734B8" w:rsidRDefault="00F1540A" w:rsidP="00F1540A">
      <w:pPr>
        <w:rPr>
          <w:rFonts w:ascii="Calibri" w:hAnsi="Calibri" w:cs="Calibri"/>
          <w:b/>
          <w:bCs/>
        </w:rPr>
      </w:pPr>
      <w:r w:rsidRPr="005734B8">
        <w:rPr>
          <w:rFonts w:ascii="Calibri" w:hAnsi="Calibri" w:cs="Calibri"/>
          <w:b/>
          <w:bCs/>
        </w:rPr>
        <w:t>Right-of-use asset</w:t>
      </w:r>
      <w:r w:rsidR="009018B1" w:rsidRPr="005734B8">
        <w:rPr>
          <w:rFonts w:ascii="Calibri" w:hAnsi="Calibri" w:cs="Calibri"/>
          <w:b/>
          <w:bCs/>
        </w:rPr>
        <w:t>—</w:t>
      </w:r>
      <w:r w:rsidRPr="005734B8">
        <w:rPr>
          <w:rFonts w:ascii="Calibri" w:hAnsi="Calibri" w:cs="Calibri"/>
          <w:b/>
          <w:bCs/>
        </w:rPr>
        <w:t>Subsequent measurement</w:t>
      </w:r>
    </w:p>
    <w:p w14:paraId="44A7BD1E" w14:textId="34E3BC10" w:rsidR="00F1540A" w:rsidRPr="005734B8" w:rsidRDefault="00F1540A" w:rsidP="00F1540A">
      <w:pPr>
        <w:rPr>
          <w:rStyle w:val="Reference"/>
          <w:rFonts w:ascii="Calibri" w:hAnsi="Calibri" w:cs="Calibri"/>
          <w:szCs w:val="22"/>
        </w:rPr>
      </w:pPr>
      <w:r w:rsidRPr="005734B8">
        <w:rPr>
          <w:rFonts w:ascii="Calibri" w:hAnsi="Calibri" w:cs="Calibri"/>
          <w:szCs w:val="22"/>
        </w:rPr>
        <w:t>The Department depreciates the right-of-use assets on a straight-line basis from the lease commencement date to the earlier of the end of the useful life of the right-of-use asset or the end of the lease term. The estimated useful life of the right-of-use asset is determined on the same basis as property, plant and equipment. The right-of-use assets are also subject to revaluation</w:t>
      </w:r>
      <w:r w:rsidR="002D345C" w:rsidRPr="005734B8">
        <w:rPr>
          <w:rFonts w:ascii="Calibri" w:hAnsi="Calibri" w:cs="Calibri"/>
          <w:szCs w:val="22"/>
        </w:rPr>
        <w:t xml:space="preserve">. </w:t>
      </w:r>
      <w:r w:rsidRPr="005734B8">
        <w:rPr>
          <w:rFonts w:ascii="Calibri" w:hAnsi="Calibri" w:cs="Calibri"/>
          <w:szCs w:val="22"/>
        </w:rPr>
        <w:t>In addition, the right-of-use asset is periodically reduced by impairment losses, if any and adjusted for certain re</w:t>
      </w:r>
      <w:r w:rsidR="009018B1" w:rsidRPr="005734B8">
        <w:rPr>
          <w:rFonts w:ascii="Calibri" w:hAnsi="Calibri" w:cs="Calibri"/>
          <w:szCs w:val="22"/>
        </w:rPr>
        <w:noBreakHyphen/>
      </w:r>
      <w:r w:rsidRPr="005734B8">
        <w:rPr>
          <w:rFonts w:ascii="Calibri" w:hAnsi="Calibri" w:cs="Calibri"/>
          <w:szCs w:val="22"/>
        </w:rPr>
        <w:t xml:space="preserve">measurements of the lease liability. </w:t>
      </w:r>
    </w:p>
    <w:p w14:paraId="720EF0F4" w14:textId="77777777" w:rsidR="00F1540A" w:rsidRPr="005734B8" w:rsidRDefault="00F1540A" w:rsidP="00F1540A">
      <w:pPr>
        <w:rPr>
          <w:rStyle w:val="Reference"/>
          <w:rFonts w:ascii="Calibri" w:hAnsi="Calibri" w:cs="Calibri"/>
          <w:szCs w:val="22"/>
        </w:rPr>
      </w:pPr>
    </w:p>
    <w:p w14:paraId="423EB54E" w14:textId="49863E96" w:rsidR="00F1540A" w:rsidRPr="005734B8" w:rsidRDefault="00F1540A" w:rsidP="00F1540A">
      <w:pPr>
        <w:rPr>
          <w:rFonts w:ascii="Calibri" w:hAnsi="Calibri" w:cs="Calibri"/>
        </w:rPr>
      </w:pPr>
      <w:r w:rsidRPr="005734B8">
        <w:rPr>
          <w:rFonts w:ascii="Calibri" w:hAnsi="Calibri" w:cs="Calibri"/>
        </w:rPr>
        <w:lastRenderedPageBreak/>
        <w:t xml:space="preserve">Certain assets are acquired under leases </w:t>
      </w:r>
      <w:r w:rsidR="009018B1" w:rsidRPr="005734B8">
        <w:rPr>
          <w:rFonts w:ascii="Calibri" w:hAnsi="Calibri" w:cs="Calibri"/>
        </w:rPr>
        <w:t>that</w:t>
      </w:r>
      <w:r w:rsidRPr="005734B8">
        <w:rPr>
          <w:rFonts w:ascii="Calibri" w:hAnsi="Calibri" w:cs="Calibri"/>
        </w:rPr>
        <w:t xml:space="preserve"> may form part of a service concession arrangement (</w:t>
      </w:r>
      <w:r w:rsidR="009018B1" w:rsidRPr="005734B8">
        <w:rPr>
          <w:rFonts w:ascii="Calibri" w:hAnsi="Calibri" w:cs="Calibri"/>
        </w:rPr>
        <w:t xml:space="preserve">for example, </w:t>
      </w:r>
      <w:r w:rsidRPr="005734B8">
        <w:rPr>
          <w:rFonts w:ascii="Calibri" w:hAnsi="Calibri" w:cs="Calibri"/>
        </w:rPr>
        <w:t>Public Private Partnership (PPP)). Refer to Notes 7.2 Leases and 7.5 Commitments for expenditure</w:t>
      </w:r>
      <w:r w:rsidR="009018B1" w:rsidRPr="005734B8">
        <w:rPr>
          <w:rFonts w:ascii="Calibri" w:hAnsi="Calibri" w:cs="Calibri"/>
        </w:rPr>
        <w:t>,</w:t>
      </w:r>
      <w:r w:rsidRPr="005734B8">
        <w:rPr>
          <w:rFonts w:ascii="Calibri" w:hAnsi="Calibri" w:cs="Calibri"/>
        </w:rPr>
        <w:t xml:space="preserve"> for more information. </w:t>
      </w:r>
    </w:p>
    <w:p w14:paraId="7ABE4421" w14:textId="77777777" w:rsidR="00F1540A" w:rsidRPr="005734B8" w:rsidRDefault="00F1540A" w:rsidP="00F1540A">
      <w:pPr>
        <w:rPr>
          <w:rFonts w:ascii="Calibri" w:hAnsi="Calibri" w:cs="Calibri"/>
        </w:rPr>
      </w:pPr>
    </w:p>
    <w:p w14:paraId="70489B2C" w14:textId="77777777" w:rsidR="00F1540A" w:rsidRPr="005734B8" w:rsidRDefault="00F1540A" w:rsidP="00F1540A">
      <w:pPr>
        <w:rPr>
          <w:rFonts w:ascii="Calibri" w:hAnsi="Calibri" w:cs="Calibri"/>
        </w:rPr>
      </w:pPr>
      <w:r w:rsidRPr="005734B8">
        <w:rPr>
          <w:rFonts w:ascii="Calibri" w:hAnsi="Calibri" w:cs="Calibri"/>
        </w:rPr>
        <w:t>More details about the valuation techniques and inputs used in determining the fair value of non-financial physical assets are disclosed in Note 8.2.</w:t>
      </w:r>
    </w:p>
    <w:p w14:paraId="2C75EA7C" w14:textId="288B2D0B" w:rsidR="00F1540A" w:rsidRPr="005734B8" w:rsidRDefault="00F1540A" w:rsidP="002D345C">
      <w:pPr>
        <w:pStyle w:val="ESHeading3"/>
        <w:ind w:left="0" w:firstLine="0"/>
        <w:rPr>
          <w:rFonts w:ascii="Calibri" w:hAnsi="Calibri" w:cs="Calibri"/>
        </w:rPr>
      </w:pPr>
      <w:bookmarkStart w:id="1420" w:name="_Toc11336385"/>
      <w:bookmarkStart w:id="1421" w:name="_Toc14965611"/>
      <w:r w:rsidRPr="005734B8">
        <w:rPr>
          <w:rFonts w:ascii="Calibri" w:hAnsi="Calibri" w:cs="Calibri"/>
        </w:rPr>
        <w:t>Property, plant and equipment</w:t>
      </w:r>
      <w:r w:rsidR="009018B1" w:rsidRPr="005734B8">
        <w:rPr>
          <w:rFonts w:ascii="Calibri" w:hAnsi="Calibri" w:cs="Calibri"/>
        </w:rPr>
        <w:t>—s</w:t>
      </w:r>
      <w:r w:rsidRPr="005734B8">
        <w:rPr>
          <w:rFonts w:ascii="Calibri" w:hAnsi="Calibri" w:cs="Calibri"/>
        </w:rPr>
        <w:t>ubsequent measurement</w:t>
      </w:r>
      <w:bookmarkEnd w:id="1420"/>
      <w:bookmarkEnd w:id="1421"/>
      <w:r w:rsidRPr="005734B8">
        <w:rPr>
          <w:rFonts w:ascii="Calibri" w:hAnsi="Calibri" w:cs="Calibri"/>
        </w:rPr>
        <w:t xml:space="preserve"> </w:t>
      </w:r>
    </w:p>
    <w:p w14:paraId="2B02949F" w14:textId="72B30530" w:rsidR="00F1540A" w:rsidRPr="005734B8" w:rsidRDefault="00F1540A" w:rsidP="002D345C">
      <w:pPr>
        <w:rPr>
          <w:rFonts w:ascii="Calibri" w:hAnsi="Calibri" w:cs="Calibri"/>
        </w:rPr>
      </w:pPr>
      <w:r w:rsidRPr="005734B8">
        <w:rPr>
          <w:rFonts w:ascii="Calibri" w:hAnsi="Calibri" w:cs="Calibri"/>
        </w:rPr>
        <w:t>Property, plant and equipment are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below by asset category.</w:t>
      </w:r>
      <w:bookmarkStart w:id="1422" w:name="_Toc11336386"/>
      <w:bookmarkStart w:id="1423" w:name="_Toc14965612"/>
    </w:p>
    <w:bookmarkEnd w:id="1422"/>
    <w:bookmarkEnd w:id="1423"/>
    <w:p w14:paraId="1D0C725A" w14:textId="2130B6F6" w:rsidR="00F1540A" w:rsidRPr="005734B8" w:rsidRDefault="00F1540A" w:rsidP="002D345C">
      <w:pPr>
        <w:pStyle w:val="ESHeading4"/>
        <w:ind w:left="0" w:firstLine="0"/>
        <w:rPr>
          <w:rFonts w:ascii="Calibri" w:hAnsi="Calibri" w:cs="Calibri"/>
        </w:rPr>
      </w:pPr>
      <w:r w:rsidRPr="005734B8">
        <w:rPr>
          <w:rFonts w:ascii="Calibri" w:hAnsi="Calibri" w:cs="Calibri"/>
        </w:rPr>
        <w:t xml:space="preserve">Land and </w:t>
      </w:r>
      <w:r w:rsidR="006A556B" w:rsidRPr="005734B8">
        <w:rPr>
          <w:rFonts w:ascii="Calibri" w:hAnsi="Calibri" w:cs="Calibri"/>
        </w:rPr>
        <w:t>specialised</w:t>
      </w:r>
      <w:r w:rsidRPr="005734B8">
        <w:rPr>
          <w:rFonts w:ascii="Calibri" w:hAnsi="Calibri" w:cs="Calibri"/>
        </w:rPr>
        <w:t xml:space="preserve"> buildings</w:t>
      </w:r>
    </w:p>
    <w:p w14:paraId="018BB154" w14:textId="77777777" w:rsidR="00F1540A" w:rsidRPr="005734B8" w:rsidRDefault="00F1540A" w:rsidP="00F1540A">
      <w:pPr>
        <w:rPr>
          <w:rFonts w:ascii="Calibri" w:hAnsi="Calibri" w:cs="Calibri"/>
          <w:i/>
          <w:iCs/>
        </w:rPr>
      </w:pPr>
      <w:r w:rsidRPr="005734B8">
        <w:rPr>
          <w:rFonts w:ascii="Calibri" w:hAnsi="Calibri" w:cs="Calibri"/>
          <w:i/>
          <w:iCs/>
        </w:rPr>
        <w:t>Specialised land</w:t>
      </w:r>
    </w:p>
    <w:p w14:paraId="671E93B1" w14:textId="77777777" w:rsidR="00F1540A" w:rsidRPr="005734B8" w:rsidRDefault="00F1540A" w:rsidP="00F1540A">
      <w:pPr>
        <w:rPr>
          <w:rFonts w:ascii="Calibri" w:hAnsi="Calibri" w:cs="Calibri"/>
        </w:rPr>
      </w:pPr>
      <w:r w:rsidRPr="005734B8">
        <w:rPr>
          <w:rFonts w:ascii="Calibri" w:hAnsi="Calibri" w:cs="Calibri"/>
        </w:rPr>
        <w:t>Specialised land has no feasible alternative use because it is restricted to only provide education services to the community. There is no observable market value as a community service obligation (CSO) is applied.</w:t>
      </w:r>
    </w:p>
    <w:p w14:paraId="4F9089A9" w14:textId="76FDF142" w:rsidR="00237531" w:rsidRPr="005734B8" w:rsidRDefault="00237531" w:rsidP="00F1540A">
      <w:pPr>
        <w:rPr>
          <w:rFonts w:ascii="Calibri" w:hAnsi="Calibri" w:cs="Calibri"/>
        </w:rPr>
      </w:pPr>
    </w:p>
    <w:p w14:paraId="7A6B86B6" w14:textId="61FE2B90" w:rsidR="00237531" w:rsidRPr="005734B8" w:rsidRDefault="00237531" w:rsidP="00237531">
      <w:pPr>
        <w:rPr>
          <w:rFonts w:ascii="Calibri" w:hAnsi="Calibri" w:cs="Calibri"/>
        </w:rPr>
      </w:pPr>
      <w:r w:rsidRPr="005734B8">
        <w:rPr>
          <w:rFonts w:ascii="Calibri" w:hAnsi="Calibri" w:cs="Calibri"/>
        </w:rPr>
        <w:t xml:space="preserve">The annual fair value assessment for land includes, the use of the land indices published by Valuer-General Victoria </w:t>
      </w:r>
      <w:r w:rsidR="00235194" w:rsidRPr="005734B8">
        <w:rPr>
          <w:rFonts w:ascii="Calibri" w:hAnsi="Calibri" w:cs="Calibri"/>
        </w:rPr>
        <w:t xml:space="preserve">(VGV) </w:t>
      </w:r>
      <w:r w:rsidRPr="005734B8">
        <w:rPr>
          <w:rFonts w:ascii="Calibri" w:hAnsi="Calibri" w:cs="Calibri"/>
        </w:rPr>
        <w:t xml:space="preserve">as per the requirements of FRD 103I Non-Financial Physical Assets. </w:t>
      </w:r>
    </w:p>
    <w:p w14:paraId="1B14E5A4" w14:textId="77777777" w:rsidR="00F1540A" w:rsidRPr="005734B8" w:rsidRDefault="00F1540A" w:rsidP="00F1540A">
      <w:pPr>
        <w:rPr>
          <w:rFonts w:ascii="Calibri" w:hAnsi="Calibri" w:cs="Calibri"/>
        </w:rPr>
      </w:pPr>
    </w:p>
    <w:p w14:paraId="0BBA7895" w14:textId="77777777" w:rsidR="00F1540A" w:rsidRPr="005734B8" w:rsidRDefault="00F1540A" w:rsidP="00F1540A">
      <w:pPr>
        <w:rPr>
          <w:rFonts w:ascii="Calibri" w:hAnsi="Calibri" w:cs="Calibri"/>
          <w:i/>
          <w:iCs/>
        </w:rPr>
      </w:pPr>
      <w:r w:rsidRPr="005734B8">
        <w:rPr>
          <w:rFonts w:ascii="Calibri" w:hAnsi="Calibri" w:cs="Calibri"/>
          <w:i/>
          <w:iCs/>
        </w:rPr>
        <w:t>Non-specialised land</w:t>
      </w:r>
    </w:p>
    <w:p w14:paraId="0BB0A1DB" w14:textId="77777777" w:rsidR="00F1540A" w:rsidRPr="005734B8" w:rsidRDefault="00F1540A" w:rsidP="00F1540A">
      <w:pPr>
        <w:rPr>
          <w:rFonts w:ascii="Calibri" w:hAnsi="Calibri" w:cs="Calibri"/>
        </w:rPr>
      </w:pPr>
      <w:r w:rsidRPr="005734B8">
        <w:rPr>
          <w:rFonts w:ascii="Calibri" w:hAnsi="Calibri" w:cs="Calibri"/>
        </w:rPr>
        <w:t xml:space="preserve">Non-specialised land is valued using the market approach, whereby assets are compared to recent comparable assets or sales of comparable assets that are considered to have nominal value. </w:t>
      </w:r>
    </w:p>
    <w:p w14:paraId="123E0B1B" w14:textId="77777777" w:rsidR="00F1540A" w:rsidRPr="005734B8" w:rsidRDefault="00F1540A" w:rsidP="00F1540A">
      <w:pPr>
        <w:rPr>
          <w:rFonts w:ascii="Calibri" w:hAnsi="Calibri" w:cs="Calibri"/>
        </w:rPr>
      </w:pPr>
    </w:p>
    <w:p w14:paraId="713CB54A" w14:textId="77777777" w:rsidR="00F1540A" w:rsidRPr="005734B8" w:rsidRDefault="00F1540A" w:rsidP="00F1540A">
      <w:pPr>
        <w:rPr>
          <w:rFonts w:ascii="Calibri" w:hAnsi="Calibri" w:cs="Calibri"/>
        </w:rPr>
      </w:pPr>
      <w:r w:rsidRPr="005734B8">
        <w:rPr>
          <w:rFonts w:ascii="Calibri" w:hAnsi="Calibri" w:cs="Calibri"/>
        </w:rPr>
        <w:t xml:space="preserve">To the extent that non-specialised land does not contain significant, unobservable adjustments, these assets are classified as Level 2 under the market approach. </w:t>
      </w:r>
    </w:p>
    <w:p w14:paraId="4103D7B6" w14:textId="77777777" w:rsidR="00F1540A" w:rsidRPr="005734B8" w:rsidRDefault="00F1540A" w:rsidP="00F1540A">
      <w:pPr>
        <w:rPr>
          <w:rFonts w:ascii="Calibri" w:hAnsi="Calibri" w:cs="Calibri"/>
        </w:rPr>
      </w:pPr>
    </w:p>
    <w:p w14:paraId="4B773676" w14:textId="77777777" w:rsidR="00F1540A" w:rsidRPr="005734B8" w:rsidRDefault="00F1540A" w:rsidP="00F1540A">
      <w:pPr>
        <w:rPr>
          <w:rFonts w:ascii="Calibri" w:hAnsi="Calibri" w:cs="Calibri"/>
          <w:i/>
          <w:iCs/>
        </w:rPr>
      </w:pPr>
      <w:r w:rsidRPr="005734B8">
        <w:rPr>
          <w:rFonts w:ascii="Calibri" w:hAnsi="Calibri" w:cs="Calibri"/>
          <w:i/>
          <w:iCs/>
        </w:rPr>
        <w:t>Specialised buildings</w:t>
      </w:r>
    </w:p>
    <w:p w14:paraId="37712270" w14:textId="77777777" w:rsidR="00F1540A" w:rsidRPr="005734B8" w:rsidRDefault="00F1540A" w:rsidP="00F1540A">
      <w:pPr>
        <w:rPr>
          <w:rFonts w:ascii="Calibri" w:hAnsi="Calibri" w:cs="Calibri"/>
        </w:rPr>
      </w:pPr>
      <w:r w:rsidRPr="005734B8">
        <w:rPr>
          <w:rFonts w:ascii="Calibri" w:hAnsi="Calibri" w:cs="Calibri"/>
        </w:rPr>
        <w:t>Specialised buildings are buildings designed for a specific limited purpose. These buildings include school sites and heritage/historic properties owned by the Department.</w:t>
      </w:r>
    </w:p>
    <w:p w14:paraId="439CFE38" w14:textId="77777777" w:rsidR="00F1540A" w:rsidRPr="005734B8" w:rsidRDefault="00F1540A" w:rsidP="002D345C">
      <w:pPr>
        <w:pStyle w:val="ESHeading4"/>
        <w:ind w:left="0" w:firstLine="0"/>
        <w:rPr>
          <w:rFonts w:ascii="Calibri" w:hAnsi="Calibri" w:cs="Calibri"/>
        </w:rPr>
      </w:pPr>
      <w:bookmarkStart w:id="1424" w:name="_Toc11336387"/>
      <w:bookmarkStart w:id="1425" w:name="_Toc14965613"/>
      <w:r w:rsidRPr="005734B8">
        <w:rPr>
          <w:rFonts w:ascii="Calibri" w:hAnsi="Calibri" w:cs="Calibri"/>
        </w:rPr>
        <w:t>Plant and equipment</w:t>
      </w:r>
      <w:bookmarkEnd w:id="1424"/>
      <w:bookmarkEnd w:id="1425"/>
    </w:p>
    <w:p w14:paraId="757A5DC8" w14:textId="7E2F3943" w:rsidR="002D345C" w:rsidRPr="005734B8" w:rsidRDefault="00F1540A" w:rsidP="00F1540A">
      <w:pPr>
        <w:rPr>
          <w:rFonts w:ascii="Calibri" w:hAnsi="Calibri" w:cs="Calibri"/>
        </w:rPr>
      </w:pPr>
      <w:r w:rsidRPr="005734B8">
        <w:rPr>
          <w:rFonts w:ascii="Calibri" w:hAnsi="Calibri" w:cs="Calibri"/>
        </w:rPr>
        <w:t>Plant and equipment is capitalised when the individual asset value is $5,000 or greater.</w:t>
      </w:r>
      <w:r w:rsidR="002B5EDA" w:rsidRPr="005734B8">
        <w:rPr>
          <w:rFonts w:ascii="Calibri" w:hAnsi="Calibri" w:cs="Calibri"/>
        </w:rPr>
        <w:t xml:space="preserve"> </w:t>
      </w:r>
      <w:r w:rsidRPr="005734B8">
        <w:rPr>
          <w:rFonts w:ascii="Calibri" w:hAnsi="Calibri" w:cs="Calibri"/>
        </w:rPr>
        <w:t>The fair value of plant and equipment is normally determined by reference to the asset’s depreciated replacement cost.</w:t>
      </w:r>
    </w:p>
    <w:p w14:paraId="75C2D6DB" w14:textId="77777777" w:rsidR="00F1540A" w:rsidRPr="005734B8" w:rsidRDefault="00F1540A" w:rsidP="002D345C">
      <w:pPr>
        <w:pStyle w:val="ESHeading4"/>
        <w:ind w:left="0" w:firstLine="0"/>
        <w:rPr>
          <w:rFonts w:ascii="Calibri" w:hAnsi="Calibri" w:cs="Calibri"/>
        </w:rPr>
      </w:pPr>
      <w:bookmarkStart w:id="1426" w:name="_Toc11336389"/>
      <w:bookmarkStart w:id="1427" w:name="_Toc14965615"/>
      <w:r w:rsidRPr="005734B8">
        <w:rPr>
          <w:rFonts w:ascii="Calibri" w:hAnsi="Calibri" w:cs="Calibri"/>
        </w:rPr>
        <w:t>Leasehold improvements</w:t>
      </w:r>
      <w:bookmarkEnd w:id="1426"/>
      <w:bookmarkEnd w:id="1427"/>
    </w:p>
    <w:p w14:paraId="3EB90A01" w14:textId="527144DF" w:rsidR="00F1540A" w:rsidRPr="005734B8" w:rsidRDefault="00F1540A" w:rsidP="002D345C">
      <w:pPr>
        <w:rPr>
          <w:rFonts w:ascii="Calibri" w:hAnsi="Calibri" w:cs="Calibri"/>
        </w:rPr>
      </w:pPr>
      <w:r w:rsidRPr="005734B8">
        <w:rPr>
          <w:rFonts w:ascii="Calibri" w:hAnsi="Calibri" w:cs="Calibri"/>
        </w:rPr>
        <w:t>The cost of a leasehold improvement is capitalised as an asset and depreciated over the shorter of the remaining term of the lease or the estimated useful life of the improvements.</w:t>
      </w:r>
      <w:bookmarkStart w:id="1428" w:name="_Toc11336390"/>
      <w:bookmarkStart w:id="1429" w:name="_Toc14965616"/>
    </w:p>
    <w:p w14:paraId="5BC18E58" w14:textId="77777777" w:rsidR="00F1540A" w:rsidRPr="005734B8" w:rsidRDefault="00F1540A" w:rsidP="002D345C">
      <w:pPr>
        <w:pStyle w:val="ESHeading4"/>
        <w:ind w:left="0" w:firstLine="0"/>
        <w:rPr>
          <w:rFonts w:ascii="Calibri" w:hAnsi="Calibri" w:cs="Calibri"/>
        </w:rPr>
      </w:pPr>
      <w:r w:rsidRPr="005734B8">
        <w:rPr>
          <w:rFonts w:ascii="Calibri" w:hAnsi="Calibri" w:cs="Calibri"/>
        </w:rPr>
        <w:t>Heritage buildings and Crown land</w:t>
      </w:r>
      <w:bookmarkEnd w:id="1428"/>
      <w:bookmarkEnd w:id="1429"/>
      <w:r w:rsidRPr="005734B8">
        <w:rPr>
          <w:rFonts w:ascii="Calibri" w:hAnsi="Calibri" w:cs="Calibri"/>
        </w:rPr>
        <w:t xml:space="preserve"> </w:t>
      </w:r>
    </w:p>
    <w:p w14:paraId="2B7EB8D6" w14:textId="77777777" w:rsidR="00F1540A" w:rsidRPr="005734B8" w:rsidRDefault="00F1540A" w:rsidP="00F1540A">
      <w:pPr>
        <w:rPr>
          <w:rFonts w:ascii="Calibri" w:hAnsi="Calibri" w:cs="Calibri"/>
        </w:rPr>
      </w:pPr>
      <w:r w:rsidRPr="005734B8">
        <w:rPr>
          <w:rFonts w:ascii="Calibri" w:hAnsi="Calibri" w:cs="Calibri"/>
        </w:rPr>
        <w:t xml:space="preserve">During the reporting period, the Department also held heritage buildings and other non-financial physical assets (including Crown land and infrastructure assets) that the </w:t>
      </w:r>
      <w:r w:rsidRPr="005734B8">
        <w:rPr>
          <w:rFonts w:ascii="Calibri" w:hAnsi="Calibri" w:cs="Calibri"/>
        </w:rPr>
        <w:lastRenderedPageBreak/>
        <w:t>Department intends to preserve because of their unique historical, cultural or environmental attributes.</w:t>
      </w:r>
    </w:p>
    <w:p w14:paraId="3785AEAD" w14:textId="77777777" w:rsidR="00F1540A" w:rsidRPr="005734B8" w:rsidRDefault="00F1540A" w:rsidP="00F1540A">
      <w:pPr>
        <w:rPr>
          <w:rFonts w:ascii="Calibri" w:hAnsi="Calibri" w:cs="Calibri"/>
        </w:rPr>
      </w:pPr>
    </w:p>
    <w:p w14:paraId="55ADB65E" w14:textId="7412A759" w:rsidR="00F1540A" w:rsidRPr="005734B8" w:rsidRDefault="00F1540A" w:rsidP="00F1540A">
      <w:pPr>
        <w:rPr>
          <w:rFonts w:ascii="Calibri" w:hAnsi="Calibri" w:cs="Calibri"/>
          <w:b/>
        </w:rPr>
      </w:pPr>
      <w:r w:rsidRPr="005734B8">
        <w:rPr>
          <w:rFonts w:ascii="Calibri" w:hAnsi="Calibri" w:cs="Calibri"/>
        </w:rPr>
        <w:t>The fair value of some heritage assets may be the reproduction cost rather than the replacement cost if those assets’ service potential could only be replaced by reproducing them with the same materials. In addition, as there are limitations and restrictions imposed on those assets use and/or disposal, they may impact the fair value of those assets, and are taken into account when the fair value is determined.</w:t>
      </w:r>
      <w:r w:rsidRPr="005734B8">
        <w:rPr>
          <w:rFonts w:ascii="Calibri" w:hAnsi="Calibri" w:cs="Calibri"/>
          <w:b/>
        </w:rPr>
        <w:tab/>
      </w:r>
    </w:p>
    <w:p w14:paraId="043A0CF1" w14:textId="284454CE" w:rsidR="00F1540A" w:rsidRPr="005734B8" w:rsidRDefault="00F1540A" w:rsidP="002D345C">
      <w:pPr>
        <w:pStyle w:val="ESHeading3"/>
        <w:ind w:left="0" w:firstLine="0"/>
        <w:rPr>
          <w:rFonts w:ascii="Calibri" w:hAnsi="Calibri" w:cs="Calibri"/>
        </w:rPr>
      </w:pPr>
      <w:bookmarkStart w:id="1430" w:name="_Toc11336391"/>
      <w:bookmarkStart w:id="1431" w:name="_Toc14965617"/>
      <w:r w:rsidRPr="005734B8">
        <w:rPr>
          <w:rFonts w:ascii="Calibri" w:hAnsi="Calibri" w:cs="Calibri"/>
        </w:rPr>
        <w:t xml:space="preserve">5.1.1 Depreciation and </w:t>
      </w:r>
      <w:bookmarkEnd w:id="1430"/>
      <w:bookmarkEnd w:id="1431"/>
      <w:r w:rsidR="00F67168" w:rsidRPr="005734B8">
        <w:rPr>
          <w:rFonts w:ascii="Calibri" w:hAnsi="Calibri" w:cs="Calibri"/>
        </w:rPr>
        <w:t>amortisation</w:t>
      </w:r>
    </w:p>
    <w:tbl>
      <w:tblPr>
        <w:tblW w:w="7625" w:type="dxa"/>
        <w:tblInd w:w="75" w:type="dxa"/>
        <w:tblLayout w:type="fixed"/>
        <w:tblLook w:val="04A0" w:firstRow="1" w:lastRow="0" w:firstColumn="1" w:lastColumn="0" w:noHBand="0" w:noVBand="1"/>
      </w:tblPr>
      <w:tblGrid>
        <w:gridCol w:w="5452"/>
        <w:gridCol w:w="1091"/>
        <w:gridCol w:w="1082"/>
      </w:tblGrid>
      <w:tr w:rsidR="00F1540A" w:rsidRPr="005734B8" w14:paraId="08AEBE16" w14:textId="77777777" w:rsidTr="000F48B1">
        <w:trPr>
          <w:trHeight w:val="480"/>
        </w:trPr>
        <w:tc>
          <w:tcPr>
            <w:tcW w:w="5452" w:type="dxa"/>
            <w:tcBorders>
              <w:top w:val="nil"/>
              <w:left w:val="single" w:sz="4" w:space="0" w:color="FFFFFF"/>
              <w:bottom w:val="nil"/>
              <w:right w:val="single" w:sz="4" w:space="0" w:color="FFFFFF"/>
            </w:tcBorders>
            <w:shd w:val="clear" w:color="000000" w:fill="AF272F"/>
            <w:vAlign w:val="bottom"/>
            <w:hideMark/>
          </w:tcPr>
          <w:p w14:paraId="420F3665" w14:textId="77777777" w:rsidR="00F1540A" w:rsidRPr="005734B8" w:rsidRDefault="00F1540A" w:rsidP="000F48B1">
            <w:pPr>
              <w:jc w:val="center"/>
              <w:rPr>
                <w:rFonts w:ascii="Calibri" w:hAnsi="Calibri" w:cs="Calibri"/>
                <w:b/>
                <w:color w:val="FFFFFF"/>
                <w:sz w:val="18"/>
                <w:szCs w:val="18"/>
              </w:rPr>
            </w:pPr>
            <w:bookmarkStart w:id="1432" w:name="Note_DAATABLE1" w:colFirst="0" w:colLast="0"/>
            <w:r w:rsidRPr="005734B8">
              <w:rPr>
                <w:rFonts w:ascii="Calibri" w:hAnsi="Calibri" w:cs="Calibri"/>
                <w:b/>
                <w:color w:val="FFFFFF"/>
                <w:sz w:val="18"/>
                <w:szCs w:val="18"/>
              </w:rPr>
              <w:t> </w:t>
            </w:r>
          </w:p>
        </w:tc>
        <w:tc>
          <w:tcPr>
            <w:tcW w:w="1091" w:type="dxa"/>
            <w:tcBorders>
              <w:top w:val="nil"/>
              <w:left w:val="nil"/>
              <w:bottom w:val="single" w:sz="4" w:space="0" w:color="auto"/>
              <w:right w:val="single" w:sz="4" w:space="0" w:color="FFFFFF"/>
            </w:tcBorders>
            <w:shd w:val="clear" w:color="000000" w:fill="AF272F"/>
            <w:hideMark/>
          </w:tcPr>
          <w:p w14:paraId="5CA6870C"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82" w:type="dxa"/>
            <w:tcBorders>
              <w:top w:val="nil"/>
              <w:left w:val="nil"/>
              <w:bottom w:val="single" w:sz="4" w:space="0" w:color="auto"/>
              <w:right w:val="single" w:sz="4" w:space="0" w:color="FFFFFF"/>
            </w:tcBorders>
            <w:shd w:val="clear" w:color="000000" w:fill="AF272F"/>
            <w:hideMark/>
          </w:tcPr>
          <w:p w14:paraId="7B97C6B3"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432"/>
      <w:tr w:rsidR="00F1540A" w:rsidRPr="005734B8" w14:paraId="4087C792" w14:textId="77777777" w:rsidTr="000F48B1">
        <w:trPr>
          <w:trHeight w:val="255"/>
        </w:trPr>
        <w:tc>
          <w:tcPr>
            <w:tcW w:w="5452"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32BF0B9D"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Depreciation and amortisation</w:t>
            </w:r>
          </w:p>
        </w:tc>
        <w:tc>
          <w:tcPr>
            <w:tcW w:w="1091" w:type="dxa"/>
            <w:tcBorders>
              <w:top w:val="nil"/>
              <w:left w:val="nil"/>
              <w:bottom w:val="single" w:sz="4" w:space="0" w:color="auto"/>
              <w:right w:val="single" w:sz="4" w:space="0" w:color="FFFFFF"/>
            </w:tcBorders>
            <w:shd w:val="clear" w:color="000000" w:fill="D9D9D9"/>
            <w:vAlign w:val="bottom"/>
            <w:hideMark/>
          </w:tcPr>
          <w:p w14:paraId="662D53A9"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082" w:type="dxa"/>
            <w:tcBorders>
              <w:top w:val="nil"/>
              <w:left w:val="nil"/>
              <w:bottom w:val="single" w:sz="4" w:space="0" w:color="auto"/>
              <w:right w:val="single" w:sz="4" w:space="0" w:color="FFFFFF"/>
            </w:tcBorders>
            <w:shd w:val="clear" w:color="000000" w:fill="D9D9D9"/>
            <w:vAlign w:val="bottom"/>
            <w:hideMark/>
          </w:tcPr>
          <w:p w14:paraId="73EF5B20"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7BE9AC59" w14:textId="77777777" w:rsidTr="006A556B">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34000A13"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Property, plant and equipment</w:t>
            </w:r>
          </w:p>
        </w:tc>
        <w:tc>
          <w:tcPr>
            <w:tcW w:w="1091" w:type="dxa"/>
            <w:tcBorders>
              <w:top w:val="nil"/>
              <w:left w:val="nil"/>
              <w:bottom w:val="single" w:sz="4" w:space="0" w:color="auto"/>
              <w:right w:val="single" w:sz="4" w:space="0" w:color="FFFFFF"/>
            </w:tcBorders>
            <w:shd w:val="clear" w:color="auto" w:fill="D9D9D9"/>
            <w:vAlign w:val="bottom"/>
            <w:hideMark/>
          </w:tcPr>
          <w:p w14:paraId="008F532C"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082" w:type="dxa"/>
            <w:tcBorders>
              <w:top w:val="nil"/>
              <w:left w:val="nil"/>
              <w:bottom w:val="single" w:sz="4" w:space="0" w:color="auto"/>
              <w:right w:val="single" w:sz="4" w:space="0" w:color="FFFFFF"/>
            </w:tcBorders>
            <w:shd w:val="clear" w:color="FFFFFF" w:fill="FFFFFF"/>
            <w:noWrap/>
            <w:vAlign w:val="center"/>
            <w:hideMark/>
          </w:tcPr>
          <w:p w14:paraId="1576716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w:t>
            </w:r>
          </w:p>
        </w:tc>
      </w:tr>
      <w:tr w:rsidR="00F1540A" w:rsidRPr="005734B8" w14:paraId="645AA1AA"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4E85CA8E" w14:textId="77777777" w:rsidR="00F1540A" w:rsidRPr="005734B8" w:rsidRDefault="00F1540A" w:rsidP="000F48B1">
            <w:pPr>
              <w:ind w:firstLineChars="100" w:firstLine="180"/>
              <w:rPr>
                <w:rFonts w:ascii="Calibri" w:hAnsi="Calibri" w:cs="Calibri"/>
                <w:sz w:val="18"/>
                <w:szCs w:val="18"/>
              </w:rPr>
            </w:pPr>
            <w:r w:rsidRPr="005734B8">
              <w:rPr>
                <w:rFonts w:ascii="Calibri" w:hAnsi="Calibri" w:cs="Calibri"/>
                <w:sz w:val="18"/>
                <w:szCs w:val="18"/>
              </w:rPr>
              <w:t>Buildings</w:t>
            </w:r>
          </w:p>
        </w:tc>
        <w:tc>
          <w:tcPr>
            <w:tcW w:w="1091" w:type="dxa"/>
            <w:tcBorders>
              <w:top w:val="nil"/>
              <w:left w:val="nil"/>
              <w:bottom w:val="single" w:sz="4" w:space="0" w:color="auto"/>
              <w:right w:val="single" w:sz="4" w:space="0" w:color="FFFFFF"/>
            </w:tcBorders>
            <w:shd w:val="clear" w:color="000000" w:fill="D9D9D9"/>
            <w:noWrap/>
            <w:vAlign w:val="center"/>
            <w:hideMark/>
          </w:tcPr>
          <w:p w14:paraId="7DB8815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391.7 </w:t>
            </w:r>
          </w:p>
        </w:tc>
        <w:tc>
          <w:tcPr>
            <w:tcW w:w="1082" w:type="dxa"/>
            <w:tcBorders>
              <w:top w:val="nil"/>
              <w:left w:val="nil"/>
              <w:bottom w:val="single" w:sz="4" w:space="0" w:color="auto"/>
              <w:right w:val="single" w:sz="4" w:space="0" w:color="FFFFFF"/>
            </w:tcBorders>
            <w:shd w:val="clear" w:color="FFFFFF" w:fill="FFFFFF"/>
            <w:noWrap/>
            <w:vAlign w:val="center"/>
            <w:hideMark/>
          </w:tcPr>
          <w:p w14:paraId="2A4641E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360.9 </w:t>
            </w:r>
          </w:p>
        </w:tc>
      </w:tr>
      <w:tr w:rsidR="00F1540A" w:rsidRPr="005734B8" w14:paraId="183E184E"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03F8EECC" w14:textId="77777777" w:rsidR="00F1540A" w:rsidRPr="005734B8" w:rsidRDefault="00F1540A" w:rsidP="000F48B1">
            <w:pPr>
              <w:ind w:firstLineChars="100" w:firstLine="180"/>
              <w:rPr>
                <w:rFonts w:ascii="Calibri" w:hAnsi="Calibri" w:cs="Calibri"/>
                <w:sz w:val="18"/>
                <w:szCs w:val="18"/>
              </w:rPr>
            </w:pPr>
            <w:r w:rsidRPr="005734B8">
              <w:rPr>
                <w:rFonts w:ascii="Calibri" w:hAnsi="Calibri" w:cs="Calibri"/>
                <w:sz w:val="18"/>
                <w:szCs w:val="18"/>
              </w:rPr>
              <w:t>Leasehold buildings</w:t>
            </w:r>
          </w:p>
        </w:tc>
        <w:tc>
          <w:tcPr>
            <w:tcW w:w="1091" w:type="dxa"/>
            <w:tcBorders>
              <w:top w:val="nil"/>
              <w:left w:val="nil"/>
              <w:bottom w:val="single" w:sz="4" w:space="0" w:color="auto"/>
              <w:right w:val="single" w:sz="4" w:space="0" w:color="FFFFFF"/>
            </w:tcBorders>
            <w:shd w:val="clear" w:color="000000" w:fill="D9D9D9"/>
            <w:noWrap/>
            <w:vAlign w:val="center"/>
            <w:hideMark/>
          </w:tcPr>
          <w:p w14:paraId="7FEDBB2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16.5 </w:t>
            </w:r>
          </w:p>
        </w:tc>
        <w:tc>
          <w:tcPr>
            <w:tcW w:w="1082" w:type="dxa"/>
            <w:tcBorders>
              <w:top w:val="nil"/>
              <w:left w:val="nil"/>
              <w:bottom w:val="single" w:sz="4" w:space="0" w:color="auto"/>
              <w:right w:val="single" w:sz="4" w:space="0" w:color="FFFFFF"/>
            </w:tcBorders>
            <w:shd w:val="clear" w:color="FFFFFF" w:fill="FFFFFF"/>
            <w:noWrap/>
            <w:vAlign w:val="center"/>
            <w:hideMark/>
          </w:tcPr>
          <w:p w14:paraId="5E30FBF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26.6 </w:t>
            </w:r>
          </w:p>
        </w:tc>
      </w:tr>
      <w:tr w:rsidR="00F1540A" w:rsidRPr="005734B8" w14:paraId="6CE5B8F7"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21373451" w14:textId="77777777" w:rsidR="00F1540A" w:rsidRPr="005734B8" w:rsidRDefault="00F1540A" w:rsidP="000F48B1">
            <w:pPr>
              <w:ind w:firstLineChars="100" w:firstLine="180"/>
              <w:rPr>
                <w:rFonts w:ascii="Calibri" w:hAnsi="Calibri" w:cs="Calibri"/>
                <w:sz w:val="18"/>
                <w:szCs w:val="18"/>
              </w:rPr>
            </w:pPr>
            <w:r w:rsidRPr="005734B8">
              <w:rPr>
                <w:rFonts w:ascii="Calibri" w:hAnsi="Calibri" w:cs="Calibri"/>
                <w:sz w:val="18"/>
                <w:szCs w:val="18"/>
              </w:rPr>
              <w:t>Leasehold improvements</w:t>
            </w:r>
          </w:p>
        </w:tc>
        <w:tc>
          <w:tcPr>
            <w:tcW w:w="1091" w:type="dxa"/>
            <w:tcBorders>
              <w:top w:val="nil"/>
              <w:left w:val="nil"/>
              <w:bottom w:val="single" w:sz="4" w:space="0" w:color="auto"/>
              <w:right w:val="single" w:sz="4" w:space="0" w:color="FFFFFF"/>
            </w:tcBorders>
            <w:shd w:val="clear" w:color="000000" w:fill="D9D9D9"/>
            <w:noWrap/>
            <w:vAlign w:val="center"/>
            <w:hideMark/>
          </w:tcPr>
          <w:p w14:paraId="5DDEC1F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4.9 </w:t>
            </w:r>
          </w:p>
        </w:tc>
        <w:tc>
          <w:tcPr>
            <w:tcW w:w="1082" w:type="dxa"/>
            <w:tcBorders>
              <w:top w:val="nil"/>
              <w:left w:val="nil"/>
              <w:bottom w:val="single" w:sz="4" w:space="0" w:color="auto"/>
              <w:right w:val="single" w:sz="4" w:space="0" w:color="FFFFFF"/>
            </w:tcBorders>
            <w:shd w:val="clear" w:color="FFFFFF" w:fill="FFFFFF"/>
            <w:noWrap/>
            <w:vAlign w:val="center"/>
            <w:hideMark/>
          </w:tcPr>
          <w:p w14:paraId="45C3356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10.0 </w:t>
            </w:r>
          </w:p>
        </w:tc>
      </w:tr>
      <w:tr w:rsidR="00F1540A" w:rsidRPr="005734B8" w14:paraId="0A9D5B1C"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43F5CD2C" w14:textId="77777777" w:rsidR="00F1540A" w:rsidRPr="005734B8" w:rsidRDefault="00F1540A" w:rsidP="000F48B1">
            <w:pPr>
              <w:ind w:firstLineChars="100" w:firstLine="180"/>
              <w:rPr>
                <w:rFonts w:ascii="Calibri" w:hAnsi="Calibri" w:cs="Calibri"/>
                <w:sz w:val="18"/>
                <w:szCs w:val="18"/>
              </w:rPr>
            </w:pPr>
            <w:r w:rsidRPr="005734B8">
              <w:rPr>
                <w:rFonts w:ascii="Calibri" w:hAnsi="Calibri" w:cs="Calibri"/>
                <w:sz w:val="18"/>
                <w:szCs w:val="18"/>
              </w:rPr>
              <w:t>Plant and equipment</w:t>
            </w:r>
          </w:p>
        </w:tc>
        <w:tc>
          <w:tcPr>
            <w:tcW w:w="1091" w:type="dxa"/>
            <w:tcBorders>
              <w:top w:val="nil"/>
              <w:left w:val="nil"/>
              <w:bottom w:val="single" w:sz="4" w:space="0" w:color="auto"/>
              <w:right w:val="single" w:sz="4" w:space="0" w:color="FFFFFF"/>
            </w:tcBorders>
            <w:shd w:val="clear" w:color="000000" w:fill="D9D9D9"/>
            <w:noWrap/>
            <w:vAlign w:val="center"/>
            <w:hideMark/>
          </w:tcPr>
          <w:p w14:paraId="47CCEB1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32.9 </w:t>
            </w:r>
          </w:p>
        </w:tc>
        <w:tc>
          <w:tcPr>
            <w:tcW w:w="1082" w:type="dxa"/>
            <w:tcBorders>
              <w:top w:val="nil"/>
              <w:left w:val="nil"/>
              <w:bottom w:val="single" w:sz="4" w:space="0" w:color="auto"/>
              <w:right w:val="single" w:sz="4" w:space="0" w:color="FFFFFF"/>
            </w:tcBorders>
            <w:shd w:val="clear" w:color="FFFFFF" w:fill="FFFFFF"/>
            <w:noWrap/>
            <w:vAlign w:val="center"/>
            <w:hideMark/>
          </w:tcPr>
          <w:p w14:paraId="1B64F1C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31.8 </w:t>
            </w:r>
          </w:p>
        </w:tc>
      </w:tr>
      <w:tr w:rsidR="00F1540A" w:rsidRPr="005734B8" w14:paraId="3D936778"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51BCEA88"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Software</w:t>
            </w:r>
          </w:p>
        </w:tc>
        <w:tc>
          <w:tcPr>
            <w:tcW w:w="1091" w:type="dxa"/>
            <w:tcBorders>
              <w:top w:val="nil"/>
              <w:left w:val="nil"/>
              <w:bottom w:val="single" w:sz="4" w:space="0" w:color="auto"/>
              <w:right w:val="single" w:sz="4" w:space="0" w:color="FFFFFF"/>
            </w:tcBorders>
            <w:shd w:val="clear" w:color="000000" w:fill="D9D9D9"/>
            <w:noWrap/>
            <w:vAlign w:val="center"/>
            <w:hideMark/>
          </w:tcPr>
          <w:p w14:paraId="577E476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12.0 </w:t>
            </w:r>
          </w:p>
        </w:tc>
        <w:tc>
          <w:tcPr>
            <w:tcW w:w="1082" w:type="dxa"/>
            <w:tcBorders>
              <w:top w:val="nil"/>
              <w:left w:val="nil"/>
              <w:bottom w:val="single" w:sz="4" w:space="0" w:color="auto"/>
              <w:right w:val="single" w:sz="4" w:space="0" w:color="FFFFFF"/>
            </w:tcBorders>
            <w:shd w:val="clear" w:color="FFFFFF" w:fill="FFFFFF"/>
            <w:noWrap/>
            <w:vAlign w:val="center"/>
            <w:hideMark/>
          </w:tcPr>
          <w:p w14:paraId="228759F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14.9 </w:t>
            </w:r>
          </w:p>
        </w:tc>
      </w:tr>
      <w:tr w:rsidR="00F1540A" w:rsidRPr="005734B8" w14:paraId="31AB4868"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AF54168"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depreciation and amortisation</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0DDB1251"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458.0 </w:t>
            </w:r>
          </w:p>
        </w:tc>
        <w:tc>
          <w:tcPr>
            <w:tcW w:w="1082" w:type="dxa"/>
            <w:tcBorders>
              <w:top w:val="single" w:sz="12" w:space="0" w:color="auto"/>
              <w:left w:val="nil"/>
              <w:bottom w:val="single" w:sz="12" w:space="0" w:color="auto"/>
              <w:right w:val="nil"/>
            </w:tcBorders>
            <w:shd w:val="clear" w:color="FFFFFF" w:fill="FFFFFF"/>
            <w:noWrap/>
            <w:vAlign w:val="center"/>
            <w:hideMark/>
          </w:tcPr>
          <w:p w14:paraId="285A779B"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444.2 </w:t>
            </w:r>
          </w:p>
        </w:tc>
      </w:tr>
    </w:tbl>
    <w:p w14:paraId="12FECCFB" w14:textId="77777777" w:rsidR="009018B1" w:rsidRPr="005734B8" w:rsidRDefault="009018B1" w:rsidP="00F1540A">
      <w:pPr>
        <w:rPr>
          <w:rFonts w:ascii="Calibri" w:hAnsi="Calibri" w:cs="Calibri"/>
        </w:rPr>
      </w:pPr>
    </w:p>
    <w:p w14:paraId="24F49DAE" w14:textId="672F9EF8" w:rsidR="00F1540A" w:rsidRPr="005734B8" w:rsidRDefault="00F1540A" w:rsidP="00F1540A">
      <w:pPr>
        <w:rPr>
          <w:rFonts w:ascii="Calibri" w:hAnsi="Calibri" w:cs="Calibri"/>
        </w:rPr>
      </w:pPr>
      <w:r w:rsidRPr="005734B8">
        <w:rPr>
          <w:rFonts w:ascii="Calibri" w:hAnsi="Calibri" w:cs="Calibri"/>
        </w:rPr>
        <w:t>All buildings, heritage buildings, plant and equipment and other non-financial physical assets (excluding items under assets held</w:t>
      </w:r>
      <w:r w:rsidR="009018B1" w:rsidRPr="005734B8">
        <w:rPr>
          <w:rFonts w:ascii="Calibri" w:hAnsi="Calibri" w:cs="Calibri"/>
        </w:rPr>
        <w:t> </w:t>
      </w:r>
      <w:r w:rsidRPr="005734B8">
        <w:rPr>
          <w:rFonts w:ascii="Calibri" w:hAnsi="Calibri" w:cs="Calibri"/>
        </w:rPr>
        <w:t>for</w:t>
      </w:r>
      <w:r w:rsidR="009018B1" w:rsidRPr="005734B8">
        <w:rPr>
          <w:rFonts w:ascii="Calibri" w:hAnsi="Calibri" w:cs="Calibri"/>
        </w:rPr>
        <w:t> </w:t>
      </w:r>
      <w:r w:rsidRPr="005734B8">
        <w:rPr>
          <w:rFonts w:ascii="Calibri" w:hAnsi="Calibri" w:cs="Calibri"/>
        </w:rPr>
        <w:t>sale) that have finite useful lives are depreciated. Depreciation is generally calculated on a straight-line basis, at rates that allocate the asset’s value, less any estimated residual value, over its estimated useful life. Leasehold improvements are depreciated over the period of the lease or estimated useful life, whichever is the shorter, using the straight-line method.</w:t>
      </w:r>
    </w:p>
    <w:p w14:paraId="5751F4ED" w14:textId="77777777" w:rsidR="00F1540A" w:rsidRPr="005734B8" w:rsidRDefault="00F1540A" w:rsidP="00F1540A">
      <w:pPr>
        <w:rPr>
          <w:rFonts w:ascii="Calibri" w:hAnsi="Calibri" w:cs="Calibri"/>
        </w:rPr>
      </w:pPr>
    </w:p>
    <w:p w14:paraId="7E2E0455" w14:textId="77777777" w:rsidR="00F1540A" w:rsidRPr="005734B8" w:rsidRDefault="00F1540A" w:rsidP="00F1540A">
      <w:pPr>
        <w:rPr>
          <w:rFonts w:ascii="Calibri" w:hAnsi="Calibri" w:cs="Calibri"/>
        </w:rPr>
      </w:pPr>
      <w:r w:rsidRPr="005734B8">
        <w:rPr>
          <w:rFonts w:ascii="Calibri" w:hAnsi="Calibri" w:cs="Calibri"/>
        </w:rPr>
        <w:t>The estimated useful lives, residual values and depreciation method are reviewed at the end of each annual reporting period, and adjustments are made where appropriate.</w:t>
      </w:r>
    </w:p>
    <w:p w14:paraId="466921B9" w14:textId="77777777" w:rsidR="00F1540A" w:rsidRPr="005734B8" w:rsidRDefault="00F1540A" w:rsidP="00F1540A">
      <w:pPr>
        <w:rPr>
          <w:rFonts w:ascii="Calibri" w:hAnsi="Calibri" w:cs="Calibri"/>
        </w:rPr>
      </w:pPr>
    </w:p>
    <w:p w14:paraId="4A3F7EF6" w14:textId="5A9AA34C" w:rsidR="00F1540A" w:rsidRPr="005734B8" w:rsidRDefault="00F1540A" w:rsidP="00F1540A">
      <w:pPr>
        <w:autoSpaceDE w:val="0"/>
        <w:autoSpaceDN w:val="0"/>
        <w:adjustRightInd w:val="0"/>
        <w:rPr>
          <w:rFonts w:ascii="Calibri" w:hAnsi="Calibri" w:cs="Calibri"/>
        </w:rPr>
      </w:pPr>
      <w:r w:rsidRPr="005734B8">
        <w:rPr>
          <w:rFonts w:ascii="Calibri" w:hAnsi="Calibri" w:cs="Calibri"/>
        </w:rPr>
        <w:t>Right-of</w:t>
      </w:r>
      <w:r w:rsidR="009018B1" w:rsidRPr="005734B8">
        <w:rPr>
          <w:rFonts w:ascii="Calibri" w:hAnsi="Calibri" w:cs="Calibri"/>
        </w:rPr>
        <w:noBreakHyphen/>
      </w:r>
      <w:r w:rsidRPr="005734B8">
        <w:rPr>
          <w:rFonts w:ascii="Calibri" w:hAnsi="Calibri" w:cs="Calibri"/>
        </w:rPr>
        <w:t>use assets are generally depreciated over the shorter of the asset’s useful life and the lease term. Where the Department obtains ownership of the underlying leased asset or if the cost of the right-of-use asset reflects that the entity will exercise a purchase option, the entity depreciates the right-of-use asset overs its useful life.</w:t>
      </w:r>
    </w:p>
    <w:p w14:paraId="00F68B86" w14:textId="77777777" w:rsidR="00F1540A" w:rsidRPr="005734B8" w:rsidRDefault="00F1540A" w:rsidP="00F1540A">
      <w:pPr>
        <w:rPr>
          <w:rFonts w:ascii="Calibri" w:hAnsi="Calibri" w:cs="Calibri"/>
        </w:rPr>
      </w:pPr>
    </w:p>
    <w:p w14:paraId="0D53333A" w14:textId="0AAAE836" w:rsidR="00F1540A" w:rsidRPr="005734B8" w:rsidRDefault="00F1540A" w:rsidP="00F1540A">
      <w:pPr>
        <w:rPr>
          <w:rFonts w:ascii="Calibri" w:hAnsi="Calibri" w:cs="Calibri"/>
        </w:rPr>
      </w:pPr>
      <w:r w:rsidRPr="005734B8">
        <w:rPr>
          <w:rFonts w:ascii="Calibri" w:hAnsi="Calibri" w:cs="Calibri"/>
        </w:rPr>
        <w:t>The following are estimated useful lives for the different asset classes for both current and prior years.</w:t>
      </w:r>
    </w:p>
    <w:p w14:paraId="599B223A" w14:textId="77777777" w:rsidR="00572811" w:rsidRPr="005734B8" w:rsidRDefault="00572811" w:rsidP="00F1540A">
      <w:pPr>
        <w:rPr>
          <w:rFonts w:ascii="Calibri" w:hAnsi="Calibri" w:cs="Calibri"/>
        </w:rPr>
      </w:pPr>
    </w:p>
    <w:tbl>
      <w:tblPr>
        <w:tblStyle w:val="TableGrid8"/>
        <w:tblW w:w="499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959"/>
        <w:gridCol w:w="1011"/>
        <w:gridCol w:w="955"/>
      </w:tblGrid>
      <w:tr w:rsidR="00F1540A" w:rsidRPr="005734B8" w14:paraId="42CAC5A2" w14:textId="2ABE22B6" w:rsidTr="007C70F2">
        <w:trPr>
          <w:cantSplit/>
          <w:trHeight w:val="96"/>
          <w:tblHeader/>
        </w:trPr>
        <w:tc>
          <w:tcPr>
            <w:tcW w:w="5960" w:type="dxa"/>
            <w:tcBorders>
              <w:bottom w:val="single" w:sz="4" w:space="0" w:color="FFFFFF"/>
            </w:tcBorders>
            <w:shd w:val="clear" w:color="auto" w:fill="AF272F"/>
          </w:tcPr>
          <w:p w14:paraId="4BE0FD9B" w14:textId="7B061357" w:rsidR="00F1540A" w:rsidRPr="005734B8" w:rsidRDefault="007C70F2" w:rsidP="000F48B1">
            <w:pPr>
              <w:spacing w:beforeLines="20" w:before="48" w:afterLines="20" w:after="48"/>
              <w:rPr>
                <w:rFonts w:ascii="Calibri" w:hAnsi="Calibri" w:cs="Calibri"/>
                <w:b/>
                <w:color w:val="FFFFFF"/>
                <w:sz w:val="18"/>
                <w:szCs w:val="18"/>
                <w:lang w:val="en-US"/>
              </w:rPr>
            </w:pPr>
            <w:r w:rsidRPr="005734B8">
              <w:rPr>
                <w:rFonts w:ascii="Calibri" w:hAnsi="Calibri" w:cs="Calibri"/>
                <w:b/>
                <w:color w:val="FFFFFF"/>
                <w:sz w:val="18"/>
                <w:szCs w:val="18"/>
                <w:lang w:val="en-US"/>
              </w:rPr>
              <w:t>Asset class: useful life years</w:t>
            </w:r>
          </w:p>
        </w:tc>
        <w:tc>
          <w:tcPr>
            <w:tcW w:w="1011" w:type="dxa"/>
            <w:tcBorders>
              <w:bottom w:val="single" w:sz="4" w:space="0" w:color="FFFFFF"/>
            </w:tcBorders>
            <w:shd w:val="clear" w:color="auto" w:fill="AF272F"/>
          </w:tcPr>
          <w:p w14:paraId="116DF7DE" w14:textId="4D4569C6" w:rsidR="00F1540A" w:rsidRPr="005734B8" w:rsidRDefault="007C70F2" w:rsidP="000F48B1">
            <w:pPr>
              <w:spacing w:beforeLines="20" w:before="48" w:afterLines="20" w:after="48"/>
              <w:jc w:val="right"/>
              <w:rPr>
                <w:rFonts w:ascii="Calibri" w:hAnsi="Calibri" w:cs="Calibri"/>
                <w:b/>
                <w:color w:val="FFFFFF"/>
                <w:sz w:val="18"/>
                <w:szCs w:val="18"/>
                <w:lang w:val="en-US"/>
              </w:rPr>
            </w:pPr>
            <w:r w:rsidRPr="005734B8">
              <w:rPr>
                <w:rFonts w:ascii="Calibri" w:hAnsi="Calibri" w:cs="Calibri"/>
                <w:b/>
                <w:color w:val="FFFFFF"/>
                <w:sz w:val="18"/>
                <w:szCs w:val="18"/>
                <w:lang w:val="en-US"/>
              </w:rPr>
              <w:t>2021</w:t>
            </w:r>
          </w:p>
        </w:tc>
        <w:tc>
          <w:tcPr>
            <w:tcW w:w="955" w:type="dxa"/>
            <w:tcBorders>
              <w:bottom w:val="single" w:sz="4" w:space="0" w:color="FFFFFF"/>
            </w:tcBorders>
            <w:shd w:val="clear" w:color="auto" w:fill="AF272F"/>
          </w:tcPr>
          <w:p w14:paraId="51FB4FC2" w14:textId="2711F56A" w:rsidR="007C70F2" w:rsidRPr="005734B8" w:rsidRDefault="007C70F2" w:rsidP="007C70F2">
            <w:pPr>
              <w:spacing w:beforeLines="20" w:before="48" w:afterLines="20" w:after="48"/>
              <w:jc w:val="right"/>
              <w:rPr>
                <w:rFonts w:ascii="Calibri" w:hAnsi="Calibri" w:cs="Calibri"/>
                <w:b/>
                <w:color w:val="FFFFFF"/>
                <w:sz w:val="18"/>
                <w:szCs w:val="18"/>
                <w:lang w:val="en-US"/>
              </w:rPr>
            </w:pPr>
            <w:r w:rsidRPr="005734B8">
              <w:rPr>
                <w:rFonts w:ascii="Calibri" w:hAnsi="Calibri" w:cs="Calibri"/>
                <w:b/>
                <w:color w:val="FFFFFF"/>
                <w:sz w:val="18"/>
                <w:szCs w:val="18"/>
                <w:lang w:val="en-US"/>
              </w:rPr>
              <w:t>2020</w:t>
            </w:r>
          </w:p>
        </w:tc>
      </w:tr>
      <w:tr w:rsidR="00F1540A" w:rsidRPr="005734B8" w14:paraId="52151D4F" w14:textId="2E23CD7B" w:rsidTr="006A556B">
        <w:trPr>
          <w:cantSplit/>
          <w:trHeight w:val="124"/>
        </w:trPr>
        <w:tc>
          <w:tcPr>
            <w:tcW w:w="5960" w:type="dxa"/>
            <w:tcBorders>
              <w:top w:val="single" w:sz="4" w:space="0" w:color="53565A"/>
              <w:bottom w:val="single" w:sz="4" w:space="0" w:color="auto"/>
            </w:tcBorders>
            <w:shd w:val="clear" w:color="auto" w:fill="FFFFFF"/>
            <w:vAlign w:val="center"/>
          </w:tcPr>
          <w:p w14:paraId="780CA45A" w14:textId="77777777" w:rsidR="00F1540A" w:rsidRPr="005734B8" w:rsidRDefault="00F1540A" w:rsidP="000F48B1">
            <w:pPr>
              <w:spacing w:beforeLines="20" w:before="48" w:afterLines="20" w:after="48"/>
              <w:rPr>
                <w:rFonts w:ascii="Calibri" w:hAnsi="Calibri" w:cs="Calibri"/>
                <w:sz w:val="18"/>
                <w:szCs w:val="18"/>
                <w:lang w:val="en-US"/>
              </w:rPr>
            </w:pPr>
            <w:r w:rsidRPr="005734B8">
              <w:rPr>
                <w:rFonts w:ascii="Calibri" w:hAnsi="Calibri" w:cs="Calibri"/>
                <w:sz w:val="18"/>
                <w:szCs w:val="18"/>
                <w:lang w:val="en-US"/>
              </w:rPr>
              <w:t>Buildings</w:t>
            </w:r>
          </w:p>
        </w:tc>
        <w:tc>
          <w:tcPr>
            <w:tcW w:w="1011" w:type="dxa"/>
            <w:tcBorders>
              <w:top w:val="single" w:sz="4" w:space="0" w:color="53565A"/>
              <w:bottom w:val="single" w:sz="4" w:space="0" w:color="auto"/>
            </w:tcBorders>
            <w:shd w:val="clear" w:color="auto" w:fill="D9D9D9"/>
            <w:vAlign w:val="center"/>
          </w:tcPr>
          <w:p w14:paraId="1809FBFF" w14:textId="77777777" w:rsidR="00F1540A" w:rsidRPr="005734B8" w:rsidRDefault="00F1540A" w:rsidP="000F48B1">
            <w:pPr>
              <w:spacing w:beforeLines="20" w:before="48" w:afterLines="20" w:after="48"/>
              <w:jc w:val="right"/>
              <w:rPr>
                <w:rFonts w:ascii="Calibri" w:hAnsi="Calibri" w:cs="Calibri"/>
                <w:sz w:val="18"/>
                <w:szCs w:val="18"/>
                <w:lang w:val="en-US"/>
              </w:rPr>
            </w:pPr>
            <w:r w:rsidRPr="005734B8">
              <w:rPr>
                <w:rFonts w:ascii="Calibri" w:hAnsi="Calibri" w:cs="Calibri"/>
                <w:sz w:val="18"/>
                <w:szCs w:val="18"/>
                <w:lang w:val="en-US"/>
              </w:rPr>
              <w:t>10–60</w:t>
            </w:r>
          </w:p>
        </w:tc>
        <w:tc>
          <w:tcPr>
            <w:tcW w:w="955" w:type="dxa"/>
            <w:tcBorders>
              <w:top w:val="single" w:sz="4" w:space="0" w:color="53565A"/>
              <w:bottom w:val="single" w:sz="4" w:space="0" w:color="auto"/>
            </w:tcBorders>
            <w:shd w:val="clear" w:color="auto" w:fill="FFFFFF"/>
            <w:vAlign w:val="center"/>
          </w:tcPr>
          <w:p w14:paraId="263A90CB" w14:textId="113AE178" w:rsidR="007C70F2" w:rsidRPr="005734B8" w:rsidRDefault="007C70F2" w:rsidP="007C70F2">
            <w:pPr>
              <w:spacing w:beforeLines="20" w:before="48" w:afterLines="20" w:after="48"/>
              <w:jc w:val="right"/>
              <w:rPr>
                <w:rFonts w:ascii="Calibri" w:hAnsi="Calibri" w:cs="Calibri"/>
                <w:sz w:val="18"/>
                <w:szCs w:val="18"/>
                <w:lang w:val="en-US"/>
              </w:rPr>
            </w:pPr>
            <w:r w:rsidRPr="005734B8">
              <w:rPr>
                <w:rFonts w:ascii="Calibri" w:hAnsi="Calibri" w:cs="Calibri"/>
                <w:sz w:val="18"/>
                <w:szCs w:val="18"/>
                <w:lang w:val="en-US"/>
              </w:rPr>
              <w:t>10–60</w:t>
            </w:r>
          </w:p>
        </w:tc>
      </w:tr>
      <w:tr w:rsidR="00F1540A" w:rsidRPr="005734B8" w14:paraId="33CDEC86" w14:textId="1CE86DF0" w:rsidTr="006A556B">
        <w:trPr>
          <w:cantSplit/>
          <w:trHeight w:val="124"/>
        </w:trPr>
        <w:tc>
          <w:tcPr>
            <w:tcW w:w="5960" w:type="dxa"/>
            <w:tcBorders>
              <w:top w:val="single" w:sz="4" w:space="0" w:color="53565A"/>
              <w:bottom w:val="single" w:sz="4" w:space="0" w:color="auto"/>
            </w:tcBorders>
            <w:shd w:val="clear" w:color="auto" w:fill="FFFFFF"/>
            <w:vAlign w:val="center"/>
          </w:tcPr>
          <w:p w14:paraId="0F1237F8" w14:textId="77777777" w:rsidR="00F1540A" w:rsidRPr="005734B8" w:rsidRDefault="00F1540A" w:rsidP="000F48B1">
            <w:pPr>
              <w:spacing w:beforeLines="20" w:before="48" w:afterLines="20" w:after="48"/>
              <w:rPr>
                <w:rFonts w:ascii="Calibri" w:hAnsi="Calibri" w:cs="Calibri"/>
                <w:sz w:val="18"/>
                <w:szCs w:val="18"/>
                <w:lang w:val="en-US"/>
              </w:rPr>
            </w:pPr>
            <w:r w:rsidRPr="005734B8">
              <w:rPr>
                <w:rFonts w:ascii="Calibri" w:hAnsi="Calibri" w:cs="Calibri"/>
                <w:sz w:val="18"/>
                <w:szCs w:val="18"/>
                <w:lang w:val="en-US"/>
              </w:rPr>
              <w:t>Heritage buildings</w:t>
            </w:r>
          </w:p>
        </w:tc>
        <w:tc>
          <w:tcPr>
            <w:tcW w:w="1011" w:type="dxa"/>
            <w:tcBorders>
              <w:top w:val="single" w:sz="4" w:space="0" w:color="53565A"/>
              <w:bottom w:val="single" w:sz="4" w:space="0" w:color="auto"/>
            </w:tcBorders>
            <w:shd w:val="clear" w:color="auto" w:fill="D9D9D9"/>
            <w:vAlign w:val="center"/>
          </w:tcPr>
          <w:p w14:paraId="48F9D785" w14:textId="77777777" w:rsidR="00F1540A" w:rsidRPr="005734B8" w:rsidRDefault="00F1540A" w:rsidP="000F48B1">
            <w:pPr>
              <w:spacing w:beforeLines="20" w:before="48" w:afterLines="20" w:after="48"/>
              <w:jc w:val="right"/>
              <w:rPr>
                <w:rFonts w:ascii="Calibri" w:hAnsi="Calibri" w:cs="Calibri"/>
                <w:sz w:val="18"/>
                <w:szCs w:val="18"/>
                <w:lang w:val="en-US"/>
              </w:rPr>
            </w:pPr>
            <w:r w:rsidRPr="005734B8">
              <w:rPr>
                <w:rFonts w:ascii="Calibri" w:hAnsi="Calibri" w:cs="Calibri"/>
                <w:sz w:val="18"/>
                <w:szCs w:val="18"/>
                <w:lang w:val="en-US"/>
              </w:rPr>
              <w:t>40–60</w:t>
            </w:r>
          </w:p>
        </w:tc>
        <w:tc>
          <w:tcPr>
            <w:tcW w:w="955" w:type="dxa"/>
            <w:tcBorders>
              <w:top w:val="single" w:sz="4" w:space="0" w:color="53565A"/>
              <w:bottom w:val="single" w:sz="4" w:space="0" w:color="auto"/>
            </w:tcBorders>
            <w:shd w:val="clear" w:color="auto" w:fill="FFFFFF"/>
            <w:vAlign w:val="center"/>
          </w:tcPr>
          <w:p w14:paraId="17B144D3" w14:textId="1AE875F6" w:rsidR="007C70F2" w:rsidRPr="005734B8" w:rsidRDefault="007C70F2" w:rsidP="007C70F2">
            <w:pPr>
              <w:spacing w:beforeLines="20" w:before="48" w:afterLines="20" w:after="48"/>
              <w:jc w:val="right"/>
              <w:rPr>
                <w:rFonts w:ascii="Calibri" w:hAnsi="Calibri" w:cs="Calibri"/>
                <w:sz w:val="18"/>
                <w:szCs w:val="18"/>
                <w:lang w:val="en-US"/>
              </w:rPr>
            </w:pPr>
            <w:r w:rsidRPr="005734B8">
              <w:rPr>
                <w:rFonts w:ascii="Calibri" w:hAnsi="Calibri" w:cs="Calibri"/>
                <w:sz w:val="18"/>
                <w:szCs w:val="18"/>
                <w:lang w:val="en-US"/>
              </w:rPr>
              <w:t>40–60</w:t>
            </w:r>
          </w:p>
        </w:tc>
      </w:tr>
      <w:tr w:rsidR="00F1540A" w:rsidRPr="005734B8" w14:paraId="68E514E0" w14:textId="62939ECE" w:rsidTr="006A556B">
        <w:trPr>
          <w:cantSplit/>
          <w:trHeight w:val="124"/>
        </w:trPr>
        <w:tc>
          <w:tcPr>
            <w:tcW w:w="5960" w:type="dxa"/>
            <w:tcBorders>
              <w:top w:val="single" w:sz="4" w:space="0" w:color="53565A"/>
              <w:bottom w:val="single" w:sz="4" w:space="0" w:color="auto"/>
            </w:tcBorders>
            <w:shd w:val="clear" w:color="auto" w:fill="FFFFFF"/>
            <w:vAlign w:val="center"/>
          </w:tcPr>
          <w:p w14:paraId="7DF79709" w14:textId="77777777" w:rsidR="00F1540A" w:rsidRPr="005734B8" w:rsidRDefault="00F1540A" w:rsidP="000F48B1">
            <w:pPr>
              <w:spacing w:beforeLines="20" w:before="48" w:afterLines="20" w:after="48"/>
              <w:rPr>
                <w:rFonts w:ascii="Calibri" w:hAnsi="Calibri" w:cs="Calibri"/>
                <w:sz w:val="18"/>
                <w:szCs w:val="18"/>
                <w:lang w:val="en-US"/>
              </w:rPr>
            </w:pPr>
            <w:r w:rsidRPr="005734B8">
              <w:rPr>
                <w:rFonts w:ascii="Calibri" w:hAnsi="Calibri" w:cs="Calibri"/>
                <w:sz w:val="18"/>
                <w:szCs w:val="18"/>
                <w:lang w:val="en-US"/>
              </w:rPr>
              <w:t>Leasehold buildings</w:t>
            </w:r>
          </w:p>
        </w:tc>
        <w:tc>
          <w:tcPr>
            <w:tcW w:w="1011" w:type="dxa"/>
            <w:tcBorders>
              <w:top w:val="single" w:sz="4" w:space="0" w:color="53565A"/>
              <w:bottom w:val="single" w:sz="4" w:space="0" w:color="auto"/>
            </w:tcBorders>
            <w:shd w:val="clear" w:color="auto" w:fill="D9D9D9"/>
            <w:vAlign w:val="center"/>
          </w:tcPr>
          <w:p w14:paraId="1E6A239E" w14:textId="77777777" w:rsidR="00F1540A" w:rsidRPr="005734B8" w:rsidRDefault="00F1540A" w:rsidP="000F48B1">
            <w:pPr>
              <w:spacing w:beforeLines="20" w:before="48" w:afterLines="20" w:after="48"/>
              <w:jc w:val="right"/>
              <w:rPr>
                <w:rFonts w:ascii="Calibri" w:hAnsi="Calibri" w:cs="Calibri"/>
                <w:sz w:val="18"/>
                <w:szCs w:val="18"/>
                <w:lang w:val="en-US"/>
              </w:rPr>
            </w:pPr>
            <w:r w:rsidRPr="005734B8">
              <w:rPr>
                <w:rFonts w:ascii="Calibri" w:hAnsi="Calibri" w:cs="Calibri"/>
                <w:sz w:val="18"/>
                <w:szCs w:val="18"/>
                <w:lang w:val="en-US"/>
              </w:rPr>
              <w:t>60</w:t>
            </w:r>
          </w:p>
        </w:tc>
        <w:tc>
          <w:tcPr>
            <w:tcW w:w="955" w:type="dxa"/>
            <w:tcBorders>
              <w:top w:val="single" w:sz="4" w:space="0" w:color="53565A"/>
              <w:bottom w:val="single" w:sz="4" w:space="0" w:color="auto"/>
            </w:tcBorders>
            <w:shd w:val="clear" w:color="auto" w:fill="FFFFFF"/>
            <w:vAlign w:val="center"/>
          </w:tcPr>
          <w:p w14:paraId="5071D136" w14:textId="63022F23" w:rsidR="007C70F2" w:rsidRPr="005734B8" w:rsidRDefault="007C70F2" w:rsidP="007C70F2">
            <w:pPr>
              <w:spacing w:beforeLines="20" w:before="48" w:afterLines="20" w:after="48"/>
              <w:jc w:val="right"/>
              <w:rPr>
                <w:rFonts w:ascii="Calibri" w:hAnsi="Calibri" w:cs="Calibri"/>
                <w:sz w:val="18"/>
                <w:szCs w:val="18"/>
                <w:lang w:val="en-US"/>
              </w:rPr>
            </w:pPr>
            <w:r w:rsidRPr="005734B8">
              <w:rPr>
                <w:rFonts w:ascii="Calibri" w:hAnsi="Calibri" w:cs="Calibri"/>
                <w:sz w:val="18"/>
                <w:szCs w:val="18"/>
                <w:lang w:val="en-US"/>
              </w:rPr>
              <w:t>60</w:t>
            </w:r>
          </w:p>
        </w:tc>
      </w:tr>
      <w:tr w:rsidR="00F1540A" w:rsidRPr="005734B8" w14:paraId="07012ADE" w14:textId="2B5557BF" w:rsidTr="006A556B">
        <w:trPr>
          <w:cantSplit/>
          <w:trHeight w:val="124"/>
        </w:trPr>
        <w:tc>
          <w:tcPr>
            <w:tcW w:w="5960" w:type="dxa"/>
            <w:tcBorders>
              <w:top w:val="single" w:sz="4" w:space="0" w:color="53565A"/>
              <w:bottom w:val="single" w:sz="4" w:space="0" w:color="53565A"/>
            </w:tcBorders>
            <w:shd w:val="clear" w:color="auto" w:fill="FFFFFF"/>
            <w:vAlign w:val="center"/>
          </w:tcPr>
          <w:p w14:paraId="375EC339" w14:textId="77777777" w:rsidR="00F1540A" w:rsidRPr="005734B8" w:rsidRDefault="00F1540A" w:rsidP="000F48B1">
            <w:pPr>
              <w:spacing w:beforeLines="20" w:before="48" w:afterLines="20" w:after="48"/>
              <w:rPr>
                <w:rFonts w:ascii="Calibri" w:hAnsi="Calibri" w:cs="Calibri"/>
                <w:sz w:val="18"/>
                <w:szCs w:val="18"/>
                <w:lang w:val="en-US"/>
              </w:rPr>
            </w:pPr>
            <w:r w:rsidRPr="005734B8">
              <w:rPr>
                <w:rFonts w:ascii="Calibri" w:hAnsi="Calibri" w:cs="Calibri"/>
                <w:sz w:val="18"/>
                <w:szCs w:val="18"/>
                <w:lang w:val="en-US"/>
              </w:rPr>
              <w:t>Leasehold improvements</w:t>
            </w:r>
          </w:p>
        </w:tc>
        <w:tc>
          <w:tcPr>
            <w:tcW w:w="1011" w:type="dxa"/>
            <w:tcBorders>
              <w:top w:val="single" w:sz="4" w:space="0" w:color="53565A"/>
              <w:bottom w:val="single" w:sz="4" w:space="0" w:color="53565A"/>
            </w:tcBorders>
            <w:shd w:val="clear" w:color="auto" w:fill="D9D9D9"/>
            <w:vAlign w:val="center"/>
          </w:tcPr>
          <w:p w14:paraId="4974201F" w14:textId="77777777" w:rsidR="00F1540A" w:rsidRPr="005734B8" w:rsidRDefault="00F1540A" w:rsidP="000F48B1">
            <w:pPr>
              <w:spacing w:beforeLines="20" w:before="48" w:afterLines="20" w:after="48"/>
              <w:jc w:val="right"/>
              <w:rPr>
                <w:rFonts w:ascii="Calibri" w:hAnsi="Calibri" w:cs="Calibri"/>
                <w:sz w:val="18"/>
                <w:szCs w:val="18"/>
                <w:lang w:val="en-US"/>
              </w:rPr>
            </w:pPr>
            <w:r w:rsidRPr="005734B8">
              <w:rPr>
                <w:rFonts w:ascii="Calibri" w:hAnsi="Calibri" w:cs="Calibri"/>
                <w:sz w:val="18"/>
                <w:szCs w:val="18"/>
                <w:lang w:val="en-US"/>
              </w:rPr>
              <w:t>3–10</w:t>
            </w:r>
          </w:p>
        </w:tc>
        <w:tc>
          <w:tcPr>
            <w:tcW w:w="955" w:type="dxa"/>
            <w:tcBorders>
              <w:top w:val="single" w:sz="4" w:space="0" w:color="53565A"/>
              <w:bottom w:val="single" w:sz="4" w:space="0" w:color="53565A"/>
            </w:tcBorders>
            <w:shd w:val="clear" w:color="auto" w:fill="FFFFFF"/>
            <w:vAlign w:val="center"/>
          </w:tcPr>
          <w:p w14:paraId="16221F93" w14:textId="65D74A92" w:rsidR="007C70F2" w:rsidRPr="005734B8" w:rsidRDefault="007C70F2" w:rsidP="007C70F2">
            <w:pPr>
              <w:spacing w:beforeLines="20" w:before="48" w:afterLines="20" w:after="48"/>
              <w:jc w:val="right"/>
              <w:rPr>
                <w:rFonts w:ascii="Calibri" w:hAnsi="Calibri" w:cs="Calibri"/>
                <w:sz w:val="18"/>
                <w:szCs w:val="18"/>
                <w:lang w:val="en-US"/>
              </w:rPr>
            </w:pPr>
            <w:r w:rsidRPr="005734B8">
              <w:rPr>
                <w:rFonts w:ascii="Calibri" w:hAnsi="Calibri" w:cs="Calibri"/>
                <w:sz w:val="18"/>
                <w:szCs w:val="18"/>
                <w:lang w:val="en-US"/>
              </w:rPr>
              <w:t>3–10</w:t>
            </w:r>
          </w:p>
        </w:tc>
      </w:tr>
      <w:tr w:rsidR="00F1540A" w:rsidRPr="005734B8" w14:paraId="39BA56F1" w14:textId="4C3F3E72" w:rsidTr="006A556B">
        <w:trPr>
          <w:cantSplit/>
          <w:trHeight w:val="124"/>
        </w:trPr>
        <w:tc>
          <w:tcPr>
            <w:tcW w:w="5960" w:type="dxa"/>
            <w:tcBorders>
              <w:top w:val="single" w:sz="4" w:space="0" w:color="53565A"/>
              <w:bottom w:val="single" w:sz="4" w:space="0" w:color="53565A"/>
            </w:tcBorders>
            <w:shd w:val="clear" w:color="auto" w:fill="FFFFFF"/>
            <w:vAlign w:val="center"/>
          </w:tcPr>
          <w:p w14:paraId="52D645D0" w14:textId="77777777" w:rsidR="00F1540A" w:rsidRPr="005734B8" w:rsidRDefault="00F1540A" w:rsidP="000F48B1">
            <w:pPr>
              <w:spacing w:beforeLines="20" w:before="48" w:afterLines="20" w:after="48"/>
              <w:rPr>
                <w:rFonts w:ascii="Calibri" w:hAnsi="Calibri" w:cs="Calibri"/>
                <w:sz w:val="18"/>
                <w:szCs w:val="18"/>
                <w:lang w:val="en-US"/>
              </w:rPr>
            </w:pPr>
            <w:r w:rsidRPr="005734B8">
              <w:rPr>
                <w:rFonts w:ascii="Calibri" w:hAnsi="Calibri" w:cs="Calibri"/>
                <w:sz w:val="18"/>
                <w:szCs w:val="18"/>
                <w:lang w:val="en-US"/>
              </w:rPr>
              <w:t>Plant and equipment (including vehicles leased assets)</w:t>
            </w:r>
          </w:p>
        </w:tc>
        <w:tc>
          <w:tcPr>
            <w:tcW w:w="1011" w:type="dxa"/>
            <w:tcBorders>
              <w:top w:val="single" w:sz="4" w:space="0" w:color="53565A"/>
              <w:bottom w:val="single" w:sz="4" w:space="0" w:color="53565A"/>
            </w:tcBorders>
            <w:shd w:val="clear" w:color="auto" w:fill="D9D9D9"/>
            <w:vAlign w:val="center"/>
          </w:tcPr>
          <w:p w14:paraId="01411B20" w14:textId="77777777" w:rsidR="00F1540A" w:rsidRPr="005734B8" w:rsidRDefault="00F1540A" w:rsidP="000F48B1">
            <w:pPr>
              <w:spacing w:beforeLines="20" w:before="48" w:afterLines="20" w:after="48"/>
              <w:jc w:val="right"/>
              <w:rPr>
                <w:rFonts w:ascii="Calibri" w:hAnsi="Calibri" w:cs="Calibri"/>
                <w:sz w:val="18"/>
                <w:szCs w:val="18"/>
                <w:lang w:val="en-US"/>
              </w:rPr>
            </w:pPr>
            <w:r w:rsidRPr="005734B8">
              <w:rPr>
                <w:rFonts w:ascii="Calibri" w:hAnsi="Calibri" w:cs="Calibri"/>
                <w:sz w:val="18"/>
                <w:szCs w:val="18"/>
                <w:lang w:val="en-US"/>
              </w:rPr>
              <w:t>3–10</w:t>
            </w:r>
          </w:p>
        </w:tc>
        <w:tc>
          <w:tcPr>
            <w:tcW w:w="955" w:type="dxa"/>
            <w:tcBorders>
              <w:top w:val="single" w:sz="4" w:space="0" w:color="53565A"/>
              <w:bottom w:val="single" w:sz="4" w:space="0" w:color="53565A"/>
            </w:tcBorders>
            <w:shd w:val="clear" w:color="auto" w:fill="FFFFFF"/>
            <w:vAlign w:val="center"/>
          </w:tcPr>
          <w:p w14:paraId="645E6A78" w14:textId="0F54C2B8" w:rsidR="007C70F2" w:rsidRPr="005734B8" w:rsidRDefault="007C70F2" w:rsidP="007C70F2">
            <w:pPr>
              <w:spacing w:beforeLines="20" w:before="48" w:afterLines="20" w:after="48"/>
              <w:jc w:val="right"/>
              <w:rPr>
                <w:rFonts w:ascii="Calibri" w:hAnsi="Calibri" w:cs="Calibri"/>
                <w:sz w:val="18"/>
                <w:szCs w:val="18"/>
                <w:lang w:val="en-US"/>
              </w:rPr>
            </w:pPr>
            <w:r w:rsidRPr="005734B8">
              <w:rPr>
                <w:rFonts w:ascii="Calibri" w:hAnsi="Calibri" w:cs="Calibri"/>
                <w:sz w:val="18"/>
                <w:szCs w:val="18"/>
                <w:lang w:val="en-US"/>
              </w:rPr>
              <w:t>3–10</w:t>
            </w:r>
          </w:p>
        </w:tc>
      </w:tr>
      <w:tr w:rsidR="00F1540A" w:rsidRPr="005734B8" w14:paraId="2227D640" w14:textId="11A4373D" w:rsidTr="006A556B">
        <w:trPr>
          <w:cantSplit/>
          <w:trHeight w:val="124"/>
        </w:trPr>
        <w:tc>
          <w:tcPr>
            <w:tcW w:w="5960" w:type="dxa"/>
            <w:tcBorders>
              <w:top w:val="single" w:sz="4" w:space="0" w:color="53565A"/>
              <w:bottom w:val="single" w:sz="4" w:space="0" w:color="auto"/>
            </w:tcBorders>
            <w:shd w:val="clear" w:color="auto" w:fill="FFFFFF"/>
            <w:vAlign w:val="center"/>
          </w:tcPr>
          <w:p w14:paraId="3CA63DDC" w14:textId="77777777" w:rsidR="00F1540A" w:rsidRPr="005734B8" w:rsidRDefault="00F1540A" w:rsidP="000F48B1">
            <w:pPr>
              <w:spacing w:beforeLines="20" w:before="48" w:afterLines="20" w:after="48"/>
              <w:rPr>
                <w:rFonts w:ascii="Calibri" w:hAnsi="Calibri" w:cs="Calibri"/>
                <w:sz w:val="18"/>
                <w:szCs w:val="18"/>
                <w:lang w:val="en-US"/>
              </w:rPr>
            </w:pPr>
            <w:r w:rsidRPr="005734B8">
              <w:rPr>
                <w:rFonts w:ascii="Calibri" w:hAnsi="Calibri" w:cs="Calibri"/>
                <w:sz w:val="18"/>
                <w:szCs w:val="18"/>
                <w:lang w:val="en-US"/>
              </w:rPr>
              <w:t>Software</w:t>
            </w:r>
          </w:p>
        </w:tc>
        <w:tc>
          <w:tcPr>
            <w:tcW w:w="1011" w:type="dxa"/>
            <w:tcBorders>
              <w:top w:val="single" w:sz="4" w:space="0" w:color="53565A"/>
              <w:bottom w:val="single" w:sz="4" w:space="0" w:color="auto"/>
            </w:tcBorders>
            <w:shd w:val="clear" w:color="auto" w:fill="D9D9D9"/>
            <w:vAlign w:val="center"/>
          </w:tcPr>
          <w:p w14:paraId="509FEBD9" w14:textId="77777777" w:rsidR="00F1540A" w:rsidRPr="005734B8" w:rsidRDefault="00F1540A" w:rsidP="000F48B1">
            <w:pPr>
              <w:spacing w:beforeLines="20" w:before="48" w:afterLines="20" w:after="48"/>
              <w:jc w:val="right"/>
              <w:rPr>
                <w:rFonts w:ascii="Calibri" w:hAnsi="Calibri" w:cs="Calibri"/>
                <w:sz w:val="18"/>
                <w:szCs w:val="18"/>
                <w:lang w:val="en-US"/>
              </w:rPr>
            </w:pPr>
            <w:r w:rsidRPr="005734B8">
              <w:rPr>
                <w:rFonts w:ascii="Calibri" w:hAnsi="Calibri" w:cs="Calibri"/>
                <w:sz w:val="18"/>
                <w:szCs w:val="18"/>
                <w:lang w:val="en-US"/>
              </w:rPr>
              <w:t>3–10</w:t>
            </w:r>
          </w:p>
        </w:tc>
        <w:tc>
          <w:tcPr>
            <w:tcW w:w="955" w:type="dxa"/>
            <w:tcBorders>
              <w:top w:val="single" w:sz="4" w:space="0" w:color="53565A"/>
              <w:bottom w:val="single" w:sz="4" w:space="0" w:color="auto"/>
            </w:tcBorders>
            <w:shd w:val="clear" w:color="auto" w:fill="FFFFFF"/>
            <w:vAlign w:val="center"/>
          </w:tcPr>
          <w:p w14:paraId="4C83411A" w14:textId="41BED41A" w:rsidR="007C70F2" w:rsidRPr="005734B8" w:rsidRDefault="007C70F2" w:rsidP="007C70F2">
            <w:pPr>
              <w:spacing w:beforeLines="20" w:before="48" w:afterLines="20" w:after="48"/>
              <w:jc w:val="right"/>
              <w:rPr>
                <w:rFonts w:ascii="Calibri" w:hAnsi="Calibri" w:cs="Calibri"/>
                <w:sz w:val="18"/>
                <w:szCs w:val="18"/>
                <w:lang w:val="en-US"/>
              </w:rPr>
            </w:pPr>
            <w:r w:rsidRPr="005734B8">
              <w:rPr>
                <w:rFonts w:ascii="Calibri" w:hAnsi="Calibri" w:cs="Calibri"/>
                <w:sz w:val="18"/>
                <w:szCs w:val="18"/>
                <w:lang w:val="en-US"/>
              </w:rPr>
              <w:t>3–10</w:t>
            </w:r>
          </w:p>
        </w:tc>
      </w:tr>
    </w:tbl>
    <w:p w14:paraId="6D5316BC" w14:textId="77777777" w:rsidR="00F1540A" w:rsidRPr="005734B8" w:rsidRDefault="00F1540A" w:rsidP="00F1540A">
      <w:pPr>
        <w:rPr>
          <w:rFonts w:ascii="Calibri" w:hAnsi="Calibri" w:cs="Calibri"/>
        </w:rPr>
      </w:pPr>
    </w:p>
    <w:p w14:paraId="279C210F" w14:textId="77777777" w:rsidR="00F1540A" w:rsidRPr="005734B8" w:rsidRDefault="00F1540A" w:rsidP="00F1540A">
      <w:pPr>
        <w:rPr>
          <w:rFonts w:ascii="Calibri" w:hAnsi="Calibri" w:cs="Calibri"/>
        </w:rPr>
      </w:pPr>
      <w:r w:rsidRPr="005734B8">
        <w:rPr>
          <w:rFonts w:ascii="Calibri" w:hAnsi="Calibri" w:cs="Calibri"/>
        </w:rPr>
        <w:t>Depreciation is not recognised for land assets as their service potential has not, in any material sense, been consumed during the reporting period. Land is considered to have an indefinite life.</w:t>
      </w:r>
    </w:p>
    <w:p w14:paraId="2BAD128B" w14:textId="77777777" w:rsidR="00F1540A" w:rsidRPr="005734B8" w:rsidRDefault="00F1540A" w:rsidP="00F1540A">
      <w:pPr>
        <w:rPr>
          <w:rFonts w:ascii="Calibri" w:hAnsi="Calibri" w:cs="Calibri"/>
        </w:rPr>
      </w:pPr>
    </w:p>
    <w:p w14:paraId="29AD2D06" w14:textId="52092D9A" w:rsidR="00F1540A" w:rsidRPr="005734B8" w:rsidRDefault="00F1540A" w:rsidP="00F1540A">
      <w:pPr>
        <w:rPr>
          <w:rFonts w:ascii="Calibri" w:hAnsi="Calibri" w:cs="Calibri"/>
        </w:rPr>
      </w:pPr>
      <w:r w:rsidRPr="005734B8">
        <w:rPr>
          <w:rFonts w:ascii="Calibri" w:hAnsi="Calibri" w:cs="Calibri"/>
        </w:rPr>
        <w:t xml:space="preserve">Where items of buildings have separately identifiable components that have materially different useful lives and </w:t>
      </w:r>
      <w:r w:rsidR="009018B1" w:rsidRPr="005734B8">
        <w:rPr>
          <w:rFonts w:ascii="Calibri" w:hAnsi="Calibri" w:cs="Calibri"/>
        </w:rPr>
        <w:t xml:space="preserve">are </w:t>
      </w:r>
      <w:r w:rsidRPr="005734B8">
        <w:rPr>
          <w:rFonts w:ascii="Calibri" w:hAnsi="Calibri" w:cs="Calibri"/>
        </w:rPr>
        <w:t>subject to regular replacement, those components are assigned useful lives distinct from the item of buildings to which they relate. For the Department, identifiable components include different building materials and structures such as an annex</w:t>
      </w:r>
      <w:r w:rsidR="009018B1" w:rsidRPr="005734B8">
        <w:rPr>
          <w:rFonts w:ascii="Calibri" w:hAnsi="Calibri" w:cs="Calibri"/>
        </w:rPr>
        <w:t>e</w:t>
      </w:r>
      <w:r w:rsidRPr="005734B8">
        <w:rPr>
          <w:rFonts w:ascii="Calibri" w:hAnsi="Calibri" w:cs="Calibri"/>
        </w:rPr>
        <w:t xml:space="preserve"> or a wing and landscaping for each site. These components are then depreciated separately in accordance with useful life of assets. The useful lives for these items are between 10 and 60 years.</w:t>
      </w:r>
    </w:p>
    <w:p w14:paraId="73A50070" w14:textId="77777777" w:rsidR="00F1540A" w:rsidRPr="005734B8" w:rsidRDefault="00F1540A" w:rsidP="00F1540A">
      <w:pPr>
        <w:rPr>
          <w:rFonts w:ascii="Calibri" w:hAnsi="Calibri" w:cs="Calibri"/>
        </w:rPr>
      </w:pPr>
    </w:p>
    <w:p w14:paraId="1C0ED0E9" w14:textId="77777777" w:rsidR="00F1540A" w:rsidRPr="005734B8" w:rsidRDefault="00F1540A" w:rsidP="00F1540A">
      <w:pPr>
        <w:rPr>
          <w:rFonts w:ascii="Calibri" w:hAnsi="Calibri" w:cs="Calibri"/>
        </w:rPr>
      </w:pPr>
      <w:r w:rsidRPr="005734B8">
        <w:rPr>
          <w:rFonts w:ascii="Calibri" w:hAnsi="Calibri" w:cs="Calibri"/>
        </w:rPr>
        <w:t>Intangible produced assets with finite useful lives, for example capitalised software development costs (software), are amortised as an expense from transactions on a systematic (straight-line) basis over the asset’s useful life. Amortisation begins when the asset is available for use, that is, when it is in the location and condition necessary for it to be capable of operating in the manner intended by management. The amortisation period and the amortisation method for an intangible asset with a finite useful life are reviewed at least at the end of each reporting period.</w:t>
      </w:r>
    </w:p>
    <w:p w14:paraId="7F7136CF" w14:textId="77777777" w:rsidR="00F1540A" w:rsidRPr="005734B8" w:rsidRDefault="00F1540A" w:rsidP="002D345C">
      <w:pPr>
        <w:pStyle w:val="ESHeading4"/>
        <w:ind w:left="0" w:firstLine="0"/>
        <w:rPr>
          <w:rFonts w:ascii="Calibri" w:hAnsi="Calibri" w:cs="Calibri"/>
        </w:rPr>
      </w:pPr>
      <w:bookmarkStart w:id="1433" w:name="_Toc11336393"/>
      <w:bookmarkStart w:id="1434" w:name="_Toc14965619"/>
      <w:bookmarkStart w:id="1435" w:name="_Hlk48849419"/>
      <w:r w:rsidRPr="005734B8">
        <w:rPr>
          <w:rFonts w:ascii="Calibri" w:hAnsi="Calibri" w:cs="Calibri"/>
        </w:rPr>
        <w:t>Impairment of non-financial assets</w:t>
      </w:r>
      <w:bookmarkEnd w:id="1433"/>
      <w:bookmarkEnd w:id="1434"/>
    </w:p>
    <w:bookmarkEnd w:id="1435"/>
    <w:p w14:paraId="35509DEF" w14:textId="77777777" w:rsidR="00F1540A" w:rsidRPr="005734B8" w:rsidRDefault="00F1540A" w:rsidP="00F1540A">
      <w:pPr>
        <w:rPr>
          <w:rFonts w:ascii="Calibri" w:hAnsi="Calibri" w:cs="Calibri"/>
        </w:rPr>
      </w:pPr>
      <w:r w:rsidRPr="005734B8">
        <w:rPr>
          <w:rFonts w:ascii="Calibri" w:hAnsi="Calibri" w:cs="Calibri"/>
        </w:rPr>
        <w:t>Non-financial assets, including items of property, plant and equipment, are tested for impairment whenever there is an indication that the asset may be impaired.</w:t>
      </w:r>
    </w:p>
    <w:p w14:paraId="70C7A1AE" w14:textId="77777777" w:rsidR="00F1540A" w:rsidRPr="005734B8" w:rsidRDefault="00F1540A" w:rsidP="00F1540A">
      <w:pPr>
        <w:rPr>
          <w:rFonts w:ascii="Calibri" w:hAnsi="Calibri" w:cs="Calibri"/>
        </w:rPr>
      </w:pPr>
    </w:p>
    <w:p w14:paraId="35927178" w14:textId="56D512E6" w:rsidR="00F1540A" w:rsidRPr="005734B8" w:rsidRDefault="00F1540A" w:rsidP="00F1540A">
      <w:pPr>
        <w:rPr>
          <w:rFonts w:ascii="Calibri" w:hAnsi="Calibri" w:cs="Calibri"/>
        </w:rPr>
      </w:pPr>
      <w:r w:rsidRPr="005734B8">
        <w:rPr>
          <w:rFonts w:ascii="Calibri" w:hAnsi="Calibri" w:cs="Calibri"/>
        </w:rPr>
        <w:t xml:space="preserve">The assets concerned are tested as to whether their carrying value exceeds their recoverable amount. Where an asset’s carrying value exceeds its recoverable amount, the difference is written off as an </w:t>
      </w:r>
      <w:r w:rsidR="009018B1" w:rsidRPr="005734B8">
        <w:rPr>
          <w:rFonts w:ascii="Calibri" w:hAnsi="Calibri" w:cs="Calibri"/>
        </w:rPr>
        <w:t>‘</w:t>
      </w:r>
      <w:r w:rsidRPr="005734B8">
        <w:rPr>
          <w:rFonts w:ascii="Calibri" w:hAnsi="Calibri" w:cs="Calibri"/>
        </w:rPr>
        <w:t>other economic flow</w:t>
      </w:r>
      <w:r w:rsidR="009018B1" w:rsidRPr="005734B8">
        <w:rPr>
          <w:rFonts w:ascii="Calibri" w:hAnsi="Calibri" w:cs="Calibri"/>
        </w:rPr>
        <w:t>’</w:t>
      </w:r>
      <w:r w:rsidRPr="005734B8">
        <w:rPr>
          <w:rFonts w:ascii="Calibri" w:hAnsi="Calibri" w:cs="Calibri"/>
        </w:rPr>
        <w:t>, except to the extent that the write-down can be debited to an asset revaluation surplus amount applicable to that class of asset.</w:t>
      </w:r>
    </w:p>
    <w:p w14:paraId="4E17D9BE" w14:textId="77777777" w:rsidR="00F1540A" w:rsidRPr="005734B8" w:rsidRDefault="00F1540A" w:rsidP="00F1540A">
      <w:pPr>
        <w:rPr>
          <w:rFonts w:ascii="Calibri" w:hAnsi="Calibri" w:cs="Calibri"/>
        </w:rPr>
      </w:pPr>
    </w:p>
    <w:p w14:paraId="04091D00" w14:textId="77777777" w:rsidR="00F1540A" w:rsidRPr="005734B8" w:rsidRDefault="00F1540A" w:rsidP="00F1540A">
      <w:pPr>
        <w:rPr>
          <w:rFonts w:ascii="Calibri" w:hAnsi="Calibri" w:cs="Calibri"/>
        </w:rPr>
      </w:pPr>
      <w:r w:rsidRPr="005734B8">
        <w:rPr>
          <w:rFonts w:ascii="Calibri" w:hAnsi="Calibri" w:cs="Calibri"/>
        </w:rPr>
        <w:t xml:space="preserve">If there is an indication that there has been a reversal in impairment, the carrying amount is increased to its recoverable amount. However, this reversal should not increase the asset’s carrying amount above what would have been determined, net of depreciation or amortisation, if no impairment loss had been recognised in prior years. </w:t>
      </w:r>
    </w:p>
    <w:p w14:paraId="6CAA4DB5" w14:textId="77777777" w:rsidR="00F1540A" w:rsidRPr="005734B8" w:rsidRDefault="00F1540A" w:rsidP="00F1540A">
      <w:pPr>
        <w:rPr>
          <w:rFonts w:ascii="Calibri" w:hAnsi="Calibri" w:cs="Calibri"/>
        </w:rPr>
      </w:pPr>
    </w:p>
    <w:p w14:paraId="5C74083F" w14:textId="1C3C194E" w:rsidR="00F1540A" w:rsidRPr="005734B8" w:rsidRDefault="00F1540A" w:rsidP="00F1540A">
      <w:pPr>
        <w:rPr>
          <w:rFonts w:ascii="Calibri" w:hAnsi="Calibri" w:cs="Calibri"/>
        </w:rPr>
      </w:pPr>
      <w:r w:rsidRPr="005734B8">
        <w:rPr>
          <w:rFonts w:ascii="Calibri" w:hAnsi="Calibri" w:cs="Calibri"/>
        </w:rPr>
        <w:t xml:space="preserve">It is deemed that, in the event of the loss or destruction of an asset, the future economic benefits arising from the use of the asset will be replaced unless a specific decision to the contrary has been made. The recoverable amount for most assets is measured at the higher of </w:t>
      </w:r>
      <w:r w:rsidR="007C70F2" w:rsidRPr="005734B8">
        <w:rPr>
          <w:rFonts w:ascii="Calibri" w:hAnsi="Calibri" w:cs="Calibri"/>
        </w:rPr>
        <w:t>current</w:t>
      </w:r>
      <w:r w:rsidRPr="005734B8">
        <w:rPr>
          <w:rFonts w:ascii="Calibri" w:hAnsi="Calibri" w:cs="Calibri"/>
        </w:rPr>
        <w:t xml:space="preserve"> replacement cost and fair value less costs to sell.</w:t>
      </w:r>
    </w:p>
    <w:p w14:paraId="6A6D3D83" w14:textId="77777777" w:rsidR="00F1540A" w:rsidRPr="005734B8" w:rsidRDefault="00F1540A" w:rsidP="00F1540A">
      <w:pPr>
        <w:rPr>
          <w:rFonts w:ascii="Calibri" w:hAnsi="Calibri" w:cs="Calibri"/>
        </w:rPr>
      </w:pPr>
    </w:p>
    <w:p w14:paraId="69230CB5" w14:textId="77777777" w:rsidR="004E78DF" w:rsidRPr="004E78DF" w:rsidRDefault="004E78DF" w:rsidP="004E78DF">
      <w:pPr>
        <w:rPr>
          <w:rFonts w:ascii="Calibri" w:hAnsi="Calibri" w:cs="Calibri"/>
        </w:rPr>
      </w:pPr>
      <w:bookmarkStart w:id="1436" w:name="_Hlk48858231"/>
      <w:bookmarkStart w:id="1437" w:name="_Hlk48849335"/>
      <w:r w:rsidRPr="004E78DF">
        <w:rPr>
          <w:rFonts w:ascii="Calibri" w:hAnsi="Calibri" w:cs="Calibri"/>
        </w:rPr>
        <w:t>The Department in conjunction with Valuer-General Victoria (VGV), monitors changes in the fair value of each asset through relevant data sources, in order to determine whether a revaluation is required.</w:t>
      </w:r>
    </w:p>
    <w:p w14:paraId="00AB7B36" w14:textId="77777777" w:rsidR="004E78DF" w:rsidRPr="004E78DF" w:rsidRDefault="004E78DF" w:rsidP="004E78DF">
      <w:pPr>
        <w:rPr>
          <w:rFonts w:ascii="Calibri" w:hAnsi="Calibri" w:cs="Calibri"/>
        </w:rPr>
      </w:pPr>
    </w:p>
    <w:p w14:paraId="71EC8F9E" w14:textId="25DF4752" w:rsidR="00F1540A" w:rsidRPr="005734B8" w:rsidRDefault="004E78DF" w:rsidP="004E78DF">
      <w:pPr>
        <w:rPr>
          <w:rFonts w:ascii="Calibri" w:hAnsi="Calibri" w:cs="Calibri"/>
        </w:rPr>
        <w:sectPr w:rsidR="00F1540A" w:rsidRPr="005734B8" w:rsidSect="009C3141">
          <w:pgSz w:w="11906" w:h="16838" w:code="9"/>
          <w:pgMar w:top="1440" w:right="1134" w:bottom="1440" w:left="2835" w:header="958" w:footer="737" w:gutter="0"/>
          <w:pgNumType w:start="136"/>
          <w:cols w:space="708"/>
          <w:docGrid w:linePitch="360"/>
        </w:sectPr>
      </w:pPr>
      <w:r w:rsidRPr="004E78DF">
        <w:rPr>
          <w:rFonts w:ascii="Calibri" w:hAnsi="Calibri" w:cs="Calibri"/>
        </w:rPr>
        <w:t>The Department’s assets relating to land, buildings, infrastructure and cultural assets were re-valued using VGV indices as at 30 June 2021. The market that the assets are valued in is being impacted by the uncertain</w:t>
      </w:r>
      <w:r w:rsidR="00B04A89">
        <w:rPr>
          <w:rFonts w:ascii="Calibri" w:hAnsi="Calibri" w:cs="Calibri"/>
        </w:rPr>
        <w:t>ty</w:t>
      </w:r>
      <w:r w:rsidRPr="004E78DF">
        <w:rPr>
          <w:rFonts w:ascii="Calibri" w:hAnsi="Calibri" w:cs="Calibri"/>
        </w:rPr>
        <w:t xml:space="preserve"> that the coronavirus (COVID-19) outbreak has caused. The valuer has advised that the current market environment, impacted by coronavirus (COVID-19) creates significant valuation uncertainty. The value assessed at the valuation date may therefore change over a relative short time period.</w:t>
      </w:r>
      <w:bookmarkStart w:id="1438" w:name="_Toc11336394"/>
      <w:bookmarkStart w:id="1439" w:name="_Toc14965620"/>
      <w:bookmarkEnd w:id="1436"/>
      <w:bookmarkEnd w:id="1437"/>
    </w:p>
    <w:p w14:paraId="1B4E82DB" w14:textId="77777777" w:rsidR="00F1540A" w:rsidRPr="005734B8" w:rsidRDefault="00F1540A" w:rsidP="002D345C">
      <w:pPr>
        <w:pStyle w:val="ESHeading3"/>
        <w:ind w:left="0" w:firstLine="0"/>
        <w:rPr>
          <w:rFonts w:ascii="Calibri" w:hAnsi="Calibri" w:cs="Calibri"/>
        </w:rPr>
      </w:pPr>
      <w:r w:rsidRPr="005734B8">
        <w:rPr>
          <w:rFonts w:ascii="Calibri" w:hAnsi="Calibri" w:cs="Calibri"/>
        </w:rPr>
        <w:lastRenderedPageBreak/>
        <w:t>5.1.2 Reconciliation of movements in carrying amount of property, plant and equipment</w:t>
      </w:r>
      <w:bookmarkEnd w:id="1438"/>
      <w:bookmarkEnd w:id="1439"/>
    </w:p>
    <w:tbl>
      <w:tblPr>
        <w:tblW w:w="13946" w:type="dxa"/>
        <w:tblInd w:w="80" w:type="dxa"/>
        <w:tblLayout w:type="fixed"/>
        <w:tblLook w:val="04A0" w:firstRow="1" w:lastRow="0" w:firstColumn="1" w:lastColumn="0" w:noHBand="0" w:noVBand="1"/>
      </w:tblPr>
      <w:tblGrid>
        <w:gridCol w:w="4496"/>
        <w:gridCol w:w="1131"/>
        <w:gridCol w:w="1223"/>
        <w:gridCol w:w="1018"/>
        <w:gridCol w:w="1148"/>
        <w:gridCol w:w="1354"/>
        <w:gridCol w:w="1148"/>
        <w:gridCol w:w="1280"/>
        <w:gridCol w:w="1148"/>
      </w:tblGrid>
      <w:tr w:rsidR="00F1540A" w:rsidRPr="005734B8" w14:paraId="277489EC" w14:textId="77777777" w:rsidTr="000F48B1">
        <w:trPr>
          <w:trHeight w:val="170"/>
        </w:trPr>
        <w:tc>
          <w:tcPr>
            <w:tcW w:w="4496" w:type="dxa"/>
            <w:tcBorders>
              <w:top w:val="nil"/>
              <w:left w:val="nil"/>
              <w:bottom w:val="single" w:sz="4" w:space="0" w:color="auto"/>
              <w:right w:val="single" w:sz="4" w:space="0" w:color="FFFFFF"/>
            </w:tcBorders>
            <w:shd w:val="clear" w:color="000000" w:fill="AF272F"/>
            <w:hideMark/>
          </w:tcPr>
          <w:p w14:paraId="2DFED91C" w14:textId="77777777" w:rsidR="00F1540A" w:rsidRPr="005734B8" w:rsidRDefault="00F1540A" w:rsidP="000F48B1">
            <w:pPr>
              <w:rPr>
                <w:rFonts w:ascii="Calibri" w:hAnsi="Calibri" w:cs="Calibri"/>
                <w:b/>
                <w:color w:val="FFFFFF"/>
                <w:sz w:val="18"/>
                <w:szCs w:val="18"/>
              </w:rPr>
            </w:pPr>
            <w:bookmarkStart w:id="1440" w:name="Note_MTATABLE1" w:colFirst="0" w:colLast="0"/>
            <w:r w:rsidRPr="005734B8">
              <w:rPr>
                <w:rFonts w:ascii="Calibri" w:hAnsi="Calibri" w:cs="Calibri"/>
                <w:b/>
                <w:color w:val="FFFFFF"/>
                <w:sz w:val="18"/>
                <w:szCs w:val="18"/>
              </w:rPr>
              <w:t>2021</w:t>
            </w:r>
          </w:p>
        </w:tc>
        <w:tc>
          <w:tcPr>
            <w:tcW w:w="1131" w:type="dxa"/>
            <w:tcBorders>
              <w:top w:val="nil"/>
              <w:left w:val="nil"/>
              <w:bottom w:val="single" w:sz="4" w:space="0" w:color="auto"/>
              <w:right w:val="single" w:sz="4" w:space="0" w:color="FFFFFF"/>
            </w:tcBorders>
            <w:shd w:val="clear" w:color="000000" w:fill="AF272F"/>
            <w:hideMark/>
          </w:tcPr>
          <w:p w14:paraId="24DBE0F0"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Land ($m)</w:t>
            </w:r>
          </w:p>
        </w:tc>
        <w:tc>
          <w:tcPr>
            <w:tcW w:w="1223" w:type="dxa"/>
            <w:tcBorders>
              <w:top w:val="nil"/>
              <w:left w:val="nil"/>
              <w:bottom w:val="single" w:sz="4" w:space="0" w:color="auto"/>
              <w:right w:val="single" w:sz="4" w:space="0" w:color="FFFFFF"/>
            </w:tcBorders>
            <w:shd w:val="clear" w:color="000000" w:fill="AF272F"/>
            <w:hideMark/>
          </w:tcPr>
          <w:p w14:paraId="225121E5"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Buildings ($m)</w:t>
            </w:r>
          </w:p>
        </w:tc>
        <w:tc>
          <w:tcPr>
            <w:tcW w:w="1018" w:type="dxa"/>
            <w:tcBorders>
              <w:top w:val="nil"/>
              <w:left w:val="nil"/>
              <w:bottom w:val="single" w:sz="4" w:space="0" w:color="auto"/>
              <w:right w:val="single" w:sz="4" w:space="0" w:color="FFFFFF"/>
            </w:tcBorders>
            <w:shd w:val="clear" w:color="000000" w:fill="AF272F"/>
            <w:hideMark/>
          </w:tcPr>
          <w:p w14:paraId="1D8E0557"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Heritage buildings ($m)</w:t>
            </w:r>
          </w:p>
        </w:tc>
        <w:tc>
          <w:tcPr>
            <w:tcW w:w="1148" w:type="dxa"/>
            <w:tcBorders>
              <w:top w:val="nil"/>
              <w:left w:val="nil"/>
              <w:bottom w:val="single" w:sz="4" w:space="0" w:color="auto"/>
              <w:right w:val="single" w:sz="4" w:space="0" w:color="FFFFFF"/>
            </w:tcBorders>
            <w:shd w:val="clear" w:color="000000" w:fill="AF272F"/>
            <w:hideMark/>
          </w:tcPr>
          <w:p w14:paraId="6C6FA874"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Leasehold buildings ($m)</w:t>
            </w:r>
          </w:p>
        </w:tc>
        <w:tc>
          <w:tcPr>
            <w:tcW w:w="1354" w:type="dxa"/>
            <w:tcBorders>
              <w:top w:val="nil"/>
              <w:left w:val="nil"/>
              <w:bottom w:val="single" w:sz="4" w:space="0" w:color="auto"/>
              <w:right w:val="single" w:sz="4" w:space="0" w:color="FFFFFF"/>
            </w:tcBorders>
            <w:shd w:val="clear" w:color="000000" w:fill="AF272F"/>
            <w:hideMark/>
          </w:tcPr>
          <w:p w14:paraId="129E5FC8"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Leasehold improvements ($m)</w:t>
            </w:r>
          </w:p>
        </w:tc>
        <w:tc>
          <w:tcPr>
            <w:tcW w:w="1148" w:type="dxa"/>
            <w:tcBorders>
              <w:top w:val="nil"/>
              <w:left w:val="nil"/>
              <w:bottom w:val="single" w:sz="4" w:space="0" w:color="auto"/>
              <w:right w:val="single" w:sz="4" w:space="0" w:color="FFFFFF"/>
            </w:tcBorders>
            <w:shd w:val="clear" w:color="000000" w:fill="AF272F"/>
            <w:hideMark/>
          </w:tcPr>
          <w:p w14:paraId="60CD3606"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Plant and equipment ($m)</w:t>
            </w:r>
          </w:p>
        </w:tc>
        <w:tc>
          <w:tcPr>
            <w:tcW w:w="1280" w:type="dxa"/>
            <w:tcBorders>
              <w:top w:val="nil"/>
              <w:left w:val="nil"/>
              <w:bottom w:val="single" w:sz="4" w:space="0" w:color="auto"/>
              <w:right w:val="single" w:sz="4" w:space="0" w:color="FFFFFF"/>
            </w:tcBorders>
            <w:shd w:val="clear" w:color="000000" w:fill="AF272F"/>
            <w:hideMark/>
          </w:tcPr>
          <w:p w14:paraId="3B9E7120"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Work in progress ($m)</w:t>
            </w:r>
          </w:p>
        </w:tc>
        <w:tc>
          <w:tcPr>
            <w:tcW w:w="1148" w:type="dxa"/>
            <w:tcBorders>
              <w:top w:val="nil"/>
              <w:left w:val="nil"/>
              <w:bottom w:val="single" w:sz="4" w:space="0" w:color="auto"/>
              <w:right w:val="single" w:sz="4" w:space="0" w:color="FFFFFF"/>
            </w:tcBorders>
            <w:shd w:val="clear" w:color="000000" w:fill="AF272F"/>
            <w:hideMark/>
          </w:tcPr>
          <w:p w14:paraId="4866B683"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Total ($m)</w:t>
            </w:r>
          </w:p>
        </w:tc>
      </w:tr>
      <w:bookmarkEnd w:id="1440"/>
      <w:tr w:rsidR="00F1540A" w:rsidRPr="005734B8" w14:paraId="41E4AAAF" w14:textId="77777777" w:rsidTr="000F48B1">
        <w:trPr>
          <w:trHeight w:val="170"/>
        </w:trPr>
        <w:tc>
          <w:tcPr>
            <w:tcW w:w="4496" w:type="dxa"/>
            <w:tcBorders>
              <w:top w:val="nil"/>
              <w:left w:val="single" w:sz="4" w:space="0" w:color="FFFFFF"/>
              <w:bottom w:val="single" w:sz="4" w:space="0" w:color="auto"/>
              <w:right w:val="single" w:sz="4" w:space="0" w:color="FFFFFF"/>
            </w:tcBorders>
            <w:shd w:val="clear" w:color="000000" w:fill="53565A"/>
            <w:vAlign w:val="center"/>
            <w:hideMark/>
          </w:tcPr>
          <w:p w14:paraId="3CDBDD67" w14:textId="77777777" w:rsidR="00F1540A" w:rsidRPr="005734B8" w:rsidRDefault="00F1540A" w:rsidP="000F48B1">
            <w:pPr>
              <w:rPr>
                <w:rFonts w:ascii="Calibri" w:hAnsi="Calibri" w:cs="Calibri"/>
                <w:b/>
                <w:color w:val="FFFFFF"/>
                <w:sz w:val="18"/>
                <w:szCs w:val="18"/>
              </w:rPr>
            </w:pPr>
            <w:r w:rsidRPr="005734B8">
              <w:rPr>
                <w:rFonts w:ascii="Calibri" w:hAnsi="Calibri" w:cs="Calibri"/>
                <w:b/>
                <w:color w:val="FFFFFF"/>
                <w:sz w:val="18"/>
                <w:szCs w:val="18"/>
              </w:rPr>
              <w:t>Opening balance</w:t>
            </w:r>
          </w:p>
        </w:tc>
        <w:tc>
          <w:tcPr>
            <w:tcW w:w="1131" w:type="dxa"/>
            <w:tcBorders>
              <w:top w:val="nil"/>
              <w:left w:val="nil"/>
              <w:bottom w:val="single" w:sz="4" w:space="0" w:color="auto"/>
              <w:right w:val="single" w:sz="4" w:space="0" w:color="FFFFFF"/>
            </w:tcBorders>
            <w:shd w:val="clear" w:color="000000" w:fill="53565A"/>
            <w:vAlign w:val="center"/>
            <w:hideMark/>
          </w:tcPr>
          <w:p w14:paraId="59C99ADF"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10,869.9 </w:t>
            </w:r>
          </w:p>
        </w:tc>
        <w:tc>
          <w:tcPr>
            <w:tcW w:w="1223" w:type="dxa"/>
            <w:tcBorders>
              <w:top w:val="nil"/>
              <w:left w:val="nil"/>
              <w:bottom w:val="single" w:sz="4" w:space="0" w:color="auto"/>
              <w:right w:val="single" w:sz="4" w:space="0" w:color="FFFFFF"/>
            </w:tcBorders>
            <w:shd w:val="clear" w:color="000000" w:fill="53565A"/>
            <w:vAlign w:val="center"/>
            <w:hideMark/>
          </w:tcPr>
          <w:p w14:paraId="264750C7"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12,509.2 </w:t>
            </w:r>
          </w:p>
        </w:tc>
        <w:tc>
          <w:tcPr>
            <w:tcW w:w="1018" w:type="dxa"/>
            <w:tcBorders>
              <w:top w:val="nil"/>
              <w:left w:val="nil"/>
              <w:bottom w:val="single" w:sz="4" w:space="0" w:color="auto"/>
              <w:right w:val="single" w:sz="4" w:space="0" w:color="FFFFFF"/>
            </w:tcBorders>
            <w:shd w:val="clear" w:color="000000" w:fill="53565A"/>
            <w:vAlign w:val="center"/>
            <w:hideMark/>
          </w:tcPr>
          <w:p w14:paraId="18F2AE20"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96.5 </w:t>
            </w:r>
          </w:p>
        </w:tc>
        <w:tc>
          <w:tcPr>
            <w:tcW w:w="1148" w:type="dxa"/>
            <w:tcBorders>
              <w:top w:val="nil"/>
              <w:left w:val="nil"/>
              <w:bottom w:val="single" w:sz="4" w:space="0" w:color="auto"/>
              <w:right w:val="single" w:sz="4" w:space="0" w:color="FFFFFF"/>
            </w:tcBorders>
            <w:shd w:val="clear" w:color="000000" w:fill="53565A"/>
            <w:vAlign w:val="center"/>
            <w:hideMark/>
          </w:tcPr>
          <w:p w14:paraId="310EAE35"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574.7 </w:t>
            </w:r>
          </w:p>
        </w:tc>
        <w:tc>
          <w:tcPr>
            <w:tcW w:w="1354" w:type="dxa"/>
            <w:tcBorders>
              <w:top w:val="nil"/>
              <w:left w:val="nil"/>
              <w:bottom w:val="single" w:sz="4" w:space="0" w:color="auto"/>
              <w:right w:val="single" w:sz="4" w:space="0" w:color="FFFFFF"/>
            </w:tcBorders>
            <w:shd w:val="clear" w:color="000000" w:fill="53565A"/>
            <w:vAlign w:val="center"/>
            <w:hideMark/>
          </w:tcPr>
          <w:p w14:paraId="1B3E0405"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12.4 </w:t>
            </w:r>
          </w:p>
        </w:tc>
        <w:tc>
          <w:tcPr>
            <w:tcW w:w="1148" w:type="dxa"/>
            <w:tcBorders>
              <w:top w:val="nil"/>
              <w:left w:val="nil"/>
              <w:bottom w:val="single" w:sz="4" w:space="0" w:color="auto"/>
              <w:right w:val="single" w:sz="4" w:space="0" w:color="FFFFFF"/>
            </w:tcBorders>
            <w:shd w:val="clear" w:color="000000" w:fill="53565A"/>
            <w:vAlign w:val="center"/>
            <w:hideMark/>
          </w:tcPr>
          <w:p w14:paraId="352CE259"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107.9 </w:t>
            </w:r>
          </w:p>
        </w:tc>
        <w:tc>
          <w:tcPr>
            <w:tcW w:w="1280" w:type="dxa"/>
            <w:tcBorders>
              <w:top w:val="nil"/>
              <w:left w:val="nil"/>
              <w:bottom w:val="single" w:sz="4" w:space="0" w:color="auto"/>
              <w:right w:val="single" w:sz="4" w:space="0" w:color="FFFFFF"/>
            </w:tcBorders>
            <w:shd w:val="clear" w:color="000000" w:fill="53565A"/>
            <w:vAlign w:val="center"/>
            <w:hideMark/>
          </w:tcPr>
          <w:p w14:paraId="15F44275"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1,083.4 </w:t>
            </w:r>
          </w:p>
        </w:tc>
        <w:tc>
          <w:tcPr>
            <w:tcW w:w="1148" w:type="dxa"/>
            <w:tcBorders>
              <w:top w:val="nil"/>
              <w:left w:val="nil"/>
              <w:bottom w:val="single" w:sz="4" w:space="0" w:color="auto"/>
              <w:right w:val="single" w:sz="4" w:space="0" w:color="FFFFFF"/>
            </w:tcBorders>
            <w:shd w:val="clear" w:color="000000" w:fill="53565A"/>
            <w:vAlign w:val="center"/>
            <w:hideMark/>
          </w:tcPr>
          <w:p w14:paraId="56A638FA"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25,254.0 </w:t>
            </w:r>
          </w:p>
        </w:tc>
      </w:tr>
      <w:tr w:rsidR="00F1540A" w:rsidRPr="005734B8" w14:paraId="65F17050" w14:textId="77777777" w:rsidTr="00A61C28">
        <w:trPr>
          <w:trHeight w:val="170"/>
        </w:trPr>
        <w:tc>
          <w:tcPr>
            <w:tcW w:w="4496" w:type="dxa"/>
            <w:tcBorders>
              <w:top w:val="nil"/>
              <w:left w:val="nil"/>
              <w:bottom w:val="single" w:sz="4" w:space="0" w:color="auto"/>
              <w:right w:val="nil"/>
            </w:tcBorders>
            <w:shd w:val="clear" w:color="000000" w:fill="D9D9D9"/>
            <w:vAlign w:val="center"/>
            <w:hideMark/>
          </w:tcPr>
          <w:p w14:paraId="1A646237"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Additions</w:t>
            </w:r>
          </w:p>
        </w:tc>
        <w:tc>
          <w:tcPr>
            <w:tcW w:w="1131" w:type="dxa"/>
            <w:tcBorders>
              <w:top w:val="nil"/>
              <w:left w:val="single" w:sz="4" w:space="0" w:color="FFFFFF"/>
              <w:bottom w:val="single" w:sz="4" w:space="0" w:color="auto"/>
              <w:right w:val="single" w:sz="4" w:space="0" w:color="FFFFFF"/>
            </w:tcBorders>
            <w:shd w:val="clear" w:color="000000" w:fill="D9D9D9"/>
            <w:noWrap/>
            <w:vAlign w:val="center"/>
            <w:hideMark/>
          </w:tcPr>
          <w:p w14:paraId="1818A37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153.9 </w:t>
            </w:r>
          </w:p>
        </w:tc>
        <w:tc>
          <w:tcPr>
            <w:tcW w:w="1223" w:type="dxa"/>
            <w:tcBorders>
              <w:top w:val="nil"/>
              <w:left w:val="nil"/>
              <w:bottom w:val="single" w:sz="4" w:space="0" w:color="auto"/>
              <w:right w:val="single" w:sz="4" w:space="0" w:color="FFFFFF"/>
            </w:tcBorders>
            <w:shd w:val="clear" w:color="000000" w:fill="D9D9D9"/>
            <w:noWrap/>
            <w:hideMark/>
          </w:tcPr>
          <w:p w14:paraId="0442AFCC" w14:textId="1812F8B1"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018" w:type="dxa"/>
            <w:tcBorders>
              <w:top w:val="nil"/>
              <w:left w:val="nil"/>
              <w:bottom w:val="single" w:sz="4" w:space="0" w:color="auto"/>
              <w:right w:val="single" w:sz="4" w:space="0" w:color="FFFFFF"/>
            </w:tcBorders>
            <w:shd w:val="clear" w:color="000000" w:fill="D9D9D9"/>
            <w:noWrap/>
            <w:hideMark/>
          </w:tcPr>
          <w:p w14:paraId="0D5EC9C1" w14:textId="1CF50F44"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48" w:type="dxa"/>
            <w:tcBorders>
              <w:top w:val="nil"/>
              <w:left w:val="nil"/>
              <w:bottom w:val="single" w:sz="4" w:space="0" w:color="auto"/>
              <w:right w:val="single" w:sz="4" w:space="0" w:color="FFFFFF"/>
            </w:tcBorders>
            <w:shd w:val="clear" w:color="000000" w:fill="D9D9D9"/>
            <w:noWrap/>
            <w:vAlign w:val="center"/>
            <w:hideMark/>
          </w:tcPr>
          <w:p w14:paraId="086E9DC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4.1 </w:t>
            </w:r>
          </w:p>
        </w:tc>
        <w:tc>
          <w:tcPr>
            <w:tcW w:w="1354" w:type="dxa"/>
            <w:tcBorders>
              <w:top w:val="nil"/>
              <w:left w:val="nil"/>
              <w:bottom w:val="single" w:sz="4" w:space="0" w:color="auto"/>
              <w:right w:val="single" w:sz="4" w:space="0" w:color="FFFFFF"/>
            </w:tcBorders>
            <w:shd w:val="clear" w:color="000000" w:fill="D9D9D9"/>
            <w:noWrap/>
            <w:hideMark/>
          </w:tcPr>
          <w:p w14:paraId="16A7724C" w14:textId="76488ADD"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48" w:type="dxa"/>
            <w:tcBorders>
              <w:top w:val="nil"/>
              <w:left w:val="nil"/>
              <w:bottom w:val="single" w:sz="4" w:space="0" w:color="auto"/>
              <w:right w:val="single" w:sz="4" w:space="0" w:color="FFFFFF"/>
            </w:tcBorders>
            <w:shd w:val="clear" w:color="000000" w:fill="D9D9D9"/>
            <w:noWrap/>
            <w:vAlign w:val="center"/>
            <w:hideMark/>
          </w:tcPr>
          <w:p w14:paraId="30D89E6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26.4 </w:t>
            </w:r>
          </w:p>
        </w:tc>
        <w:tc>
          <w:tcPr>
            <w:tcW w:w="1280" w:type="dxa"/>
            <w:tcBorders>
              <w:top w:val="nil"/>
              <w:left w:val="nil"/>
              <w:bottom w:val="single" w:sz="4" w:space="0" w:color="auto"/>
              <w:right w:val="single" w:sz="4" w:space="0" w:color="FFFFFF"/>
            </w:tcBorders>
            <w:shd w:val="clear" w:color="000000" w:fill="D9D9D9"/>
            <w:noWrap/>
            <w:vAlign w:val="center"/>
            <w:hideMark/>
          </w:tcPr>
          <w:p w14:paraId="0140E81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1,344.3 </w:t>
            </w:r>
          </w:p>
        </w:tc>
        <w:tc>
          <w:tcPr>
            <w:tcW w:w="1148" w:type="dxa"/>
            <w:tcBorders>
              <w:top w:val="nil"/>
              <w:left w:val="nil"/>
              <w:bottom w:val="single" w:sz="4" w:space="0" w:color="auto"/>
              <w:right w:val="single" w:sz="4" w:space="0" w:color="FFFFFF"/>
            </w:tcBorders>
            <w:shd w:val="clear" w:color="000000" w:fill="D9D9D9"/>
            <w:noWrap/>
            <w:vAlign w:val="center"/>
            <w:hideMark/>
          </w:tcPr>
          <w:p w14:paraId="3214E06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1,528.7 </w:t>
            </w:r>
          </w:p>
        </w:tc>
      </w:tr>
      <w:tr w:rsidR="00F1540A" w:rsidRPr="005734B8" w14:paraId="0C5C88A0" w14:textId="77777777" w:rsidTr="00CB648C">
        <w:trPr>
          <w:trHeight w:val="170"/>
        </w:trPr>
        <w:tc>
          <w:tcPr>
            <w:tcW w:w="4496" w:type="dxa"/>
            <w:tcBorders>
              <w:top w:val="nil"/>
              <w:left w:val="nil"/>
              <w:bottom w:val="single" w:sz="4" w:space="0" w:color="auto"/>
              <w:right w:val="nil"/>
            </w:tcBorders>
            <w:shd w:val="clear" w:color="000000" w:fill="D9D9D9"/>
            <w:vAlign w:val="center"/>
            <w:hideMark/>
          </w:tcPr>
          <w:p w14:paraId="7A6E886F"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Fair value of assets received free of charge or for nominal considerations</w:t>
            </w:r>
          </w:p>
        </w:tc>
        <w:tc>
          <w:tcPr>
            <w:tcW w:w="1131" w:type="dxa"/>
            <w:tcBorders>
              <w:top w:val="nil"/>
              <w:left w:val="single" w:sz="4" w:space="0" w:color="FFFFFF"/>
              <w:bottom w:val="single" w:sz="4" w:space="0" w:color="auto"/>
              <w:right w:val="single" w:sz="4" w:space="0" w:color="FFFFFF"/>
            </w:tcBorders>
            <w:shd w:val="clear" w:color="000000" w:fill="D9D9D9"/>
            <w:noWrap/>
            <w:vAlign w:val="center"/>
            <w:hideMark/>
          </w:tcPr>
          <w:p w14:paraId="7D750AE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6.3 </w:t>
            </w:r>
          </w:p>
        </w:tc>
        <w:tc>
          <w:tcPr>
            <w:tcW w:w="1223" w:type="dxa"/>
            <w:tcBorders>
              <w:top w:val="nil"/>
              <w:left w:val="nil"/>
              <w:bottom w:val="single" w:sz="4" w:space="0" w:color="auto"/>
              <w:right w:val="single" w:sz="4" w:space="0" w:color="FFFFFF"/>
            </w:tcBorders>
            <w:shd w:val="clear" w:color="000000" w:fill="D9D9D9"/>
            <w:noWrap/>
            <w:hideMark/>
          </w:tcPr>
          <w:p w14:paraId="0E300E12" w14:textId="3E5770E8"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018" w:type="dxa"/>
            <w:tcBorders>
              <w:top w:val="nil"/>
              <w:left w:val="nil"/>
              <w:bottom w:val="single" w:sz="4" w:space="0" w:color="auto"/>
              <w:right w:val="single" w:sz="4" w:space="0" w:color="FFFFFF"/>
            </w:tcBorders>
            <w:shd w:val="clear" w:color="000000" w:fill="D9D9D9"/>
            <w:noWrap/>
            <w:hideMark/>
          </w:tcPr>
          <w:p w14:paraId="64988D65" w14:textId="3145568F"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48" w:type="dxa"/>
            <w:tcBorders>
              <w:top w:val="nil"/>
              <w:left w:val="nil"/>
              <w:bottom w:val="single" w:sz="4" w:space="0" w:color="auto"/>
              <w:right w:val="single" w:sz="4" w:space="0" w:color="FFFFFF"/>
            </w:tcBorders>
            <w:shd w:val="clear" w:color="000000" w:fill="D9D9D9"/>
            <w:noWrap/>
            <w:hideMark/>
          </w:tcPr>
          <w:p w14:paraId="4B75591F" w14:textId="1478D8C2"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354" w:type="dxa"/>
            <w:tcBorders>
              <w:top w:val="nil"/>
              <w:left w:val="nil"/>
              <w:bottom w:val="single" w:sz="4" w:space="0" w:color="auto"/>
              <w:right w:val="single" w:sz="4" w:space="0" w:color="FFFFFF"/>
            </w:tcBorders>
            <w:shd w:val="clear" w:color="000000" w:fill="D9D9D9"/>
            <w:noWrap/>
            <w:hideMark/>
          </w:tcPr>
          <w:p w14:paraId="6FE8D6A5" w14:textId="35DA50C7"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48" w:type="dxa"/>
            <w:tcBorders>
              <w:top w:val="nil"/>
              <w:left w:val="nil"/>
              <w:bottom w:val="single" w:sz="4" w:space="0" w:color="auto"/>
              <w:right w:val="single" w:sz="4" w:space="0" w:color="FFFFFF"/>
            </w:tcBorders>
            <w:shd w:val="clear" w:color="000000" w:fill="D9D9D9"/>
            <w:noWrap/>
            <w:hideMark/>
          </w:tcPr>
          <w:p w14:paraId="527F76B8" w14:textId="0C4AA53F"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280" w:type="dxa"/>
            <w:tcBorders>
              <w:top w:val="nil"/>
              <w:left w:val="nil"/>
              <w:bottom w:val="single" w:sz="4" w:space="0" w:color="auto"/>
              <w:right w:val="single" w:sz="4" w:space="0" w:color="FFFFFF"/>
            </w:tcBorders>
            <w:shd w:val="clear" w:color="000000" w:fill="D9D9D9"/>
            <w:noWrap/>
            <w:hideMark/>
          </w:tcPr>
          <w:p w14:paraId="7EFA5791" w14:textId="16D97A41"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48" w:type="dxa"/>
            <w:tcBorders>
              <w:top w:val="nil"/>
              <w:left w:val="nil"/>
              <w:bottom w:val="single" w:sz="4" w:space="0" w:color="auto"/>
              <w:right w:val="single" w:sz="4" w:space="0" w:color="FFFFFF"/>
            </w:tcBorders>
            <w:shd w:val="clear" w:color="000000" w:fill="D9D9D9"/>
            <w:noWrap/>
            <w:vAlign w:val="center"/>
            <w:hideMark/>
          </w:tcPr>
          <w:p w14:paraId="64FE5700"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6.3 </w:t>
            </w:r>
          </w:p>
        </w:tc>
      </w:tr>
      <w:tr w:rsidR="00F1540A" w:rsidRPr="005734B8" w14:paraId="18E1982A" w14:textId="77777777" w:rsidTr="001B7AF3">
        <w:trPr>
          <w:trHeight w:val="170"/>
        </w:trPr>
        <w:tc>
          <w:tcPr>
            <w:tcW w:w="4496" w:type="dxa"/>
            <w:tcBorders>
              <w:top w:val="nil"/>
              <w:left w:val="nil"/>
              <w:bottom w:val="single" w:sz="4" w:space="0" w:color="auto"/>
              <w:right w:val="nil"/>
            </w:tcBorders>
            <w:shd w:val="clear" w:color="000000" w:fill="D9D9D9"/>
            <w:vAlign w:val="center"/>
            <w:hideMark/>
          </w:tcPr>
          <w:p w14:paraId="54F20BA2"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Transfers to completed assets</w:t>
            </w:r>
          </w:p>
        </w:tc>
        <w:tc>
          <w:tcPr>
            <w:tcW w:w="1131" w:type="dxa"/>
            <w:tcBorders>
              <w:top w:val="nil"/>
              <w:left w:val="single" w:sz="4" w:space="0" w:color="FFFFFF"/>
              <w:bottom w:val="single" w:sz="4" w:space="0" w:color="auto"/>
              <w:right w:val="single" w:sz="4" w:space="0" w:color="FFFFFF"/>
            </w:tcBorders>
            <w:shd w:val="clear" w:color="000000" w:fill="D9D9D9"/>
            <w:noWrap/>
            <w:vAlign w:val="center"/>
            <w:hideMark/>
          </w:tcPr>
          <w:p w14:paraId="64B537D1" w14:textId="0A769688" w:rsidR="00F1540A" w:rsidRPr="005734B8" w:rsidRDefault="00141228" w:rsidP="000F48B1">
            <w:pPr>
              <w:jc w:val="right"/>
              <w:rPr>
                <w:rFonts w:ascii="Calibri" w:hAnsi="Calibri" w:cs="Calibri"/>
                <w:sz w:val="18"/>
                <w:szCs w:val="18"/>
              </w:rPr>
            </w:pPr>
            <w:r w:rsidRPr="005734B8">
              <w:rPr>
                <w:rFonts w:ascii="Calibri" w:hAnsi="Calibri" w:cs="Calibri"/>
                <w:sz w:val="18"/>
                <w:szCs w:val="18"/>
              </w:rPr>
              <w:softHyphen/>
            </w:r>
            <w:r w:rsidR="006C14DE" w:rsidRPr="005734B8">
              <w:rPr>
                <w:rFonts w:ascii="Calibri" w:hAnsi="Calibri" w:cs="Calibri"/>
                <w:sz w:val="18"/>
                <w:szCs w:val="18"/>
              </w:rPr>
              <w:t>–</w:t>
            </w:r>
            <w:r w:rsidR="00F1540A" w:rsidRPr="005734B8">
              <w:rPr>
                <w:rFonts w:ascii="Calibri" w:hAnsi="Calibri" w:cs="Calibri"/>
                <w:sz w:val="18"/>
                <w:szCs w:val="18"/>
              </w:rPr>
              <w:t xml:space="preserve"> </w:t>
            </w:r>
          </w:p>
        </w:tc>
        <w:tc>
          <w:tcPr>
            <w:tcW w:w="1223" w:type="dxa"/>
            <w:tcBorders>
              <w:top w:val="nil"/>
              <w:left w:val="nil"/>
              <w:bottom w:val="single" w:sz="4" w:space="0" w:color="auto"/>
              <w:right w:val="single" w:sz="4" w:space="0" w:color="FFFFFF"/>
            </w:tcBorders>
            <w:shd w:val="clear" w:color="000000" w:fill="D9D9D9"/>
            <w:noWrap/>
            <w:vAlign w:val="center"/>
            <w:hideMark/>
          </w:tcPr>
          <w:p w14:paraId="172B315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1,037.8 </w:t>
            </w:r>
          </w:p>
        </w:tc>
        <w:tc>
          <w:tcPr>
            <w:tcW w:w="1018" w:type="dxa"/>
            <w:tcBorders>
              <w:top w:val="nil"/>
              <w:left w:val="nil"/>
              <w:bottom w:val="single" w:sz="4" w:space="0" w:color="auto"/>
              <w:right w:val="single" w:sz="4" w:space="0" w:color="FFFFFF"/>
            </w:tcBorders>
            <w:shd w:val="clear" w:color="000000" w:fill="D9D9D9"/>
            <w:noWrap/>
            <w:hideMark/>
          </w:tcPr>
          <w:p w14:paraId="6F104CA3" w14:textId="279BD8C7"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48" w:type="dxa"/>
            <w:tcBorders>
              <w:top w:val="nil"/>
              <w:left w:val="nil"/>
              <w:bottom w:val="single" w:sz="4" w:space="0" w:color="auto"/>
              <w:right w:val="single" w:sz="4" w:space="0" w:color="FFFFFF"/>
            </w:tcBorders>
            <w:shd w:val="clear" w:color="000000" w:fill="D9D9D9"/>
            <w:noWrap/>
            <w:hideMark/>
          </w:tcPr>
          <w:p w14:paraId="5F590359" w14:textId="21654F40"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354" w:type="dxa"/>
            <w:tcBorders>
              <w:top w:val="nil"/>
              <w:left w:val="nil"/>
              <w:bottom w:val="single" w:sz="4" w:space="0" w:color="auto"/>
              <w:right w:val="single" w:sz="4" w:space="0" w:color="FFFFFF"/>
            </w:tcBorders>
            <w:shd w:val="clear" w:color="000000" w:fill="D9D9D9"/>
            <w:noWrap/>
            <w:vAlign w:val="center"/>
            <w:hideMark/>
          </w:tcPr>
          <w:p w14:paraId="74E24A2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5.8 </w:t>
            </w:r>
          </w:p>
        </w:tc>
        <w:tc>
          <w:tcPr>
            <w:tcW w:w="1148" w:type="dxa"/>
            <w:tcBorders>
              <w:top w:val="nil"/>
              <w:left w:val="nil"/>
              <w:bottom w:val="single" w:sz="4" w:space="0" w:color="auto"/>
              <w:right w:val="single" w:sz="4" w:space="0" w:color="FFFFFF"/>
            </w:tcBorders>
            <w:shd w:val="clear" w:color="000000" w:fill="D9D9D9"/>
            <w:noWrap/>
            <w:vAlign w:val="center"/>
            <w:hideMark/>
          </w:tcPr>
          <w:p w14:paraId="28442F7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2.3 </w:t>
            </w:r>
          </w:p>
        </w:tc>
        <w:tc>
          <w:tcPr>
            <w:tcW w:w="1280" w:type="dxa"/>
            <w:tcBorders>
              <w:top w:val="nil"/>
              <w:left w:val="nil"/>
              <w:bottom w:val="single" w:sz="4" w:space="0" w:color="auto"/>
              <w:right w:val="single" w:sz="4" w:space="0" w:color="FFFFFF"/>
            </w:tcBorders>
            <w:shd w:val="clear" w:color="000000" w:fill="D9D9D9"/>
            <w:noWrap/>
            <w:vAlign w:val="center"/>
            <w:hideMark/>
          </w:tcPr>
          <w:p w14:paraId="5ADE763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(1,045.9) </w:t>
            </w:r>
          </w:p>
        </w:tc>
        <w:tc>
          <w:tcPr>
            <w:tcW w:w="1148" w:type="dxa"/>
            <w:tcBorders>
              <w:top w:val="nil"/>
              <w:left w:val="nil"/>
              <w:bottom w:val="single" w:sz="4" w:space="0" w:color="auto"/>
              <w:right w:val="single" w:sz="4" w:space="0" w:color="FFFFFF"/>
            </w:tcBorders>
            <w:shd w:val="clear" w:color="000000" w:fill="D9D9D9"/>
            <w:noWrap/>
            <w:vAlign w:val="center"/>
            <w:hideMark/>
          </w:tcPr>
          <w:p w14:paraId="23694750" w14:textId="367495D1" w:rsidR="00F1540A" w:rsidRPr="005734B8" w:rsidRDefault="00141228" w:rsidP="000F48B1">
            <w:pPr>
              <w:jc w:val="right"/>
              <w:rPr>
                <w:rFonts w:ascii="Calibri" w:hAnsi="Calibri" w:cs="Calibri"/>
                <w:b/>
                <w:sz w:val="18"/>
                <w:szCs w:val="18"/>
              </w:rPr>
            </w:pPr>
            <w:r w:rsidRPr="005734B8">
              <w:rPr>
                <w:rFonts w:ascii="Calibri" w:hAnsi="Calibri" w:cs="Calibri"/>
                <w:sz w:val="18"/>
                <w:szCs w:val="18"/>
              </w:rPr>
              <w:softHyphen/>
            </w:r>
            <w:r w:rsidR="006C14DE" w:rsidRPr="005734B8">
              <w:rPr>
                <w:rFonts w:ascii="Calibri" w:hAnsi="Calibri" w:cs="Calibri"/>
                <w:sz w:val="18"/>
                <w:szCs w:val="18"/>
              </w:rPr>
              <w:t>–</w:t>
            </w:r>
          </w:p>
        </w:tc>
      </w:tr>
      <w:tr w:rsidR="00F1540A" w:rsidRPr="005734B8" w14:paraId="17F1C4C9" w14:textId="77777777" w:rsidTr="001C2A3E">
        <w:trPr>
          <w:trHeight w:val="170"/>
        </w:trPr>
        <w:tc>
          <w:tcPr>
            <w:tcW w:w="4496" w:type="dxa"/>
            <w:tcBorders>
              <w:top w:val="nil"/>
              <w:left w:val="nil"/>
              <w:bottom w:val="single" w:sz="4" w:space="0" w:color="auto"/>
              <w:right w:val="nil"/>
            </w:tcBorders>
            <w:shd w:val="clear" w:color="000000" w:fill="D9D9D9"/>
            <w:vAlign w:val="center"/>
            <w:hideMark/>
          </w:tcPr>
          <w:p w14:paraId="21973D68"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Disposals</w:t>
            </w:r>
          </w:p>
        </w:tc>
        <w:tc>
          <w:tcPr>
            <w:tcW w:w="1131" w:type="dxa"/>
            <w:tcBorders>
              <w:top w:val="nil"/>
              <w:left w:val="single" w:sz="4" w:space="0" w:color="FFFFFF"/>
              <w:bottom w:val="single" w:sz="4" w:space="0" w:color="auto"/>
              <w:right w:val="single" w:sz="4" w:space="0" w:color="FFFFFF"/>
            </w:tcBorders>
            <w:shd w:val="clear" w:color="000000" w:fill="D9D9D9"/>
            <w:noWrap/>
            <w:vAlign w:val="center"/>
            <w:hideMark/>
          </w:tcPr>
          <w:p w14:paraId="421B7075" w14:textId="69255F02" w:rsidR="00F1540A" w:rsidRPr="005734B8" w:rsidRDefault="00141228" w:rsidP="000F48B1">
            <w:pPr>
              <w:jc w:val="right"/>
              <w:rPr>
                <w:rFonts w:ascii="Calibri" w:hAnsi="Calibri" w:cs="Calibri"/>
                <w:sz w:val="18"/>
                <w:szCs w:val="18"/>
              </w:rPr>
            </w:pPr>
            <w:r w:rsidRPr="005734B8">
              <w:rPr>
                <w:rFonts w:ascii="Calibri" w:hAnsi="Calibri" w:cs="Calibri"/>
                <w:sz w:val="18"/>
                <w:szCs w:val="18"/>
              </w:rPr>
              <w:softHyphen/>
            </w:r>
            <w:r w:rsidR="006C14DE" w:rsidRPr="005734B8">
              <w:rPr>
                <w:rFonts w:ascii="Calibri" w:hAnsi="Calibri" w:cs="Calibri"/>
                <w:sz w:val="18"/>
                <w:szCs w:val="18"/>
              </w:rPr>
              <w:t>–</w:t>
            </w:r>
            <w:r w:rsidR="00F1540A" w:rsidRPr="005734B8">
              <w:rPr>
                <w:rFonts w:ascii="Calibri" w:hAnsi="Calibri" w:cs="Calibri"/>
                <w:sz w:val="18"/>
                <w:szCs w:val="18"/>
              </w:rPr>
              <w:t xml:space="preserve"> </w:t>
            </w:r>
          </w:p>
        </w:tc>
        <w:tc>
          <w:tcPr>
            <w:tcW w:w="1223" w:type="dxa"/>
            <w:tcBorders>
              <w:top w:val="nil"/>
              <w:left w:val="nil"/>
              <w:bottom w:val="single" w:sz="4" w:space="0" w:color="auto"/>
              <w:right w:val="single" w:sz="4" w:space="0" w:color="FFFFFF"/>
            </w:tcBorders>
            <w:shd w:val="clear" w:color="000000" w:fill="D9D9D9"/>
            <w:noWrap/>
            <w:vAlign w:val="center"/>
            <w:hideMark/>
          </w:tcPr>
          <w:p w14:paraId="31B622C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(44.0) </w:t>
            </w:r>
          </w:p>
        </w:tc>
        <w:tc>
          <w:tcPr>
            <w:tcW w:w="1018" w:type="dxa"/>
            <w:tcBorders>
              <w:top w:val="nil"/>
              <w:left w:val="nil"/>
              <w:bottom w:val="single" w:sz="4" w:space="0" w:color="auto"/>
              <w:right w:val="single" w:sz="4" w:space="0" w:color="FFFFFF"/>
            </w:tcBorders>
            <w:shd w:val="clear" w:color="000000" w:fill="D9D9D9"/>
            <w:noWrap/>
            <w:hideMark/>
          </w:tcPr>
          <w:p w14:paraId="33600F52" w14:textId="1CE9954E"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48" w:type="dxa"/>
            <w:tcBorders>
              <w:top w:val="nil"/>
              <w:left w:val="nil"/>
              <w:bottom w:val="single" w:sz="4" w:space="0" w:color="auto"/>
              <w:right w:val="single" w:sz="4" w:space="0" w:color="FFFFFF"/>
            </w:tcBorders>
            <w:shd w:val="clear" w:color="000000" w:fill="D9D9D9"/>
            <w:noWrap/>
            <w:hideMark/>
          </w:tcPr>
          <w:p w14:paraId="07388207" w14:textId="3A03ED3D"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354" w:type="dxa"/>
            <w:tcBorders>
              <w:top w:val="nil"/>
              <w:left w:val="nil"/>
              <w:bottom w:val="single" w:sz="4" w:space="0" w:color="auto"/>
              <w:right w:val="single" w:sz="4" w:space="0" w:color="FFFFFF"/>
            </w:tcBorders>
            <w:shd w:val="clear" w:color="000000" w:fill="D9D9D9"/>
            <w:noWrap/>
            <w:hideMark/>
          </w:tcPr>
          <w:p w14:paraId="1DE0F3BA" w14:textId="2F57CB32"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48" w:type="dxa"/>
            <w:tcBorders>
              <w:top w:val="nil"/>
              <w:left w:val="nil"/>
              <w:bottom w:val="single" w:sz="4" w:space="0" w:color="auto"/>
              <w:right w:val="single" w:sz="4" w:space="0" w:color="FFFFFF"/>
            </w:tcBorders>
            <w:shd w:val="clear" w:color="000000" w:fill="D9D9D9"/>
            <w:noWrap/>
            <w:vAlign w:val="center"/>
            <w:hideMark/>
          </w:tcPr>
          <w:p w14:paraId="59F2EE5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(2.7) </w:t>
            </w:r>
          </w:p>
        </w:tc>
        <w:tc>
          <w:tcPr>
            <w:tcW w:w="1280" w:type="dxa"/>
            <w:tcBorders>
              <w:top w:val="nil"/>
              <w:left w:val="nil"/>
              <w:bottom w:val="single" w:sz="4" w:space="0" w:color="auto"/>
              <w:right w:val="single" w:sz="4" w:space="0" w:color="FFFFFF"/>
            </w:tcBorders>
            <w:shd w:val="clear" w:color="000000" w:fill="D9D9D9"/>
            <w:noWrap/>
            <w:hideMark/>
          </w:tcPr>
          <w:p w14:paraId="57AECCFC" w14:textId="197EA4C2"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48" w:type="dxa"/>
            <w:tcBorders>
              <w:top w:val="nil"/>
              <w:left w:val="nil"/>
              <w:bottom w:val="single" w:sz="4" w:space="0" w:color="auto"/>
              <w:right w:val="single" w:sz="4" w:space="0" w:color="FFFFFF"/>
            </w:tcBorders>
            <w:shd w:val="clear" w:color="000000" w:fill="D9D9D9"/>
            <w:noWrap/>
            <w:vAlign w:val="center"/>
            <w:hideMark/>
          </w:tcPr>
          <w:p w14:paraId="67FAB4AA"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(46.7) </w:t>
            </w:r>
          </w:p>
        </w:tc>
      </w:tr>
      <w:tr w:rsidR="00F1540A" w:rsidRPr="005734B8" w14:paraId="787F54DF" w14:textId="77777777" w:rsidTr="00C554E8">
        <w:trPr>
          <w:trHeight w:val="170"/>
        </w:trPr>
        <w:tc>
          <w:tcPr>
            <w:tcW w:w="4496" w:type="dxa"/>
            <w:tcBorders>
              <w:top w:val="nil"/>
              <w:left w:val="nil"/>
              <w:bottom w:val="single" w:sz="4" w:space="0" w:color="auto"/>
              <w:right w:val="nil"/>
            </w:tcBorders>
            <w:shd w:val="clear" w:color="000000" w:fill="D9D9D9"/>
            <w:vAlign w:val="center"/>
            <w:hideMark/>
          </w:tcPr>
          <w:p w14:paraId="3117237E" w14:textId="017C722E" w:rsidR="00F1540A" w:rsidRPr="005734B8" w:rsidRDefault="00F1540A" w:rsidP="000F48B1">
            <w:pPr>
              <w:rPr>
                <w:rFonts w:ascii="Calibri" w:hAnsi="Calibri" w:cs="Calibri"/>
                <w:sz w:val="18"/>
                <w:szCs w:val="18"/>
              </w:rPr>
            </w:pPr>
            <w:r w:rsidRPr="005734B8">
              <w:rPr>
                <w:rFonts w:ascii="Calibri" w:hAnsi="Calibri" w:cs="Calibri"/>
                <w:sz w:val="18"/>
                <w:szCs w:val="18"/>
              </w:rPr>
              <w:t>Revaluation increments/(decrements)</w:t>
            </w:r>
            <w:r w:rsidR="002D466D" w:rsidRPr="005734B8">
              <w:rPr>
                <w:rStyle w:val="FootnoteReference"/>
                <w:rFonts w:ascii="Calibri" w:hAnsi="Calibri" w:cs="Calibri"/>
                <w:sz w:val="18"/>
                <w:szCs w:val="18"/>
              </w:rPr>
              <w:footnoteReference w:id="85"/>
            </w:r>
          </w:p>
        </w:tc>
        <w:tc>
          <w:tcPr>
            <w:tcW w:w="1131" w:type="dxa"/>
            <w:tcBorders>
              <w:top w:val="nil"/>
              <w:left w:val="single" w:sz="4" w:space="0" w:color="FFFFFF"/>
              <w:bottom w:val="single" w:sz="4" w:space="0" w:color="auto"/>
              <w:right w:val="single" w:sz="4" w:space="0" w:color="FFFFFF"/>
            </w:tcBorders>
            <w:shd w:val="clear" w:color="000000" w:fill="D9D9D9"/>
            <w:noWrap/>
            <w:vAlign w:val="center"/>
            <w:hideMark/>
          </w:tcPr>
          <w:p w14:paraId="5FB975C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2,826.4 </w:t>
            </w:r>
          </w:p>
        </w:tc>
        <w:tc>
          <w:tcPr>
            <w:tcW w:w="1223" w:type="dxa"/>
            <w:tcBorders>
              <w:top w:val="nil"/>
              <w:left w:val="nil"/>
              <w:bottom w:val="single" w:sz="4" w:space="0" w:color="auto"/>
              <w:right w:val="single" w:sz="4" w:space="0" w:color="FFFFFF"/>
            </w:tcBorders>
            <w:shd w:val="clear" w:color="000000" w:fill="D9D9D9"/>
            <w:noWrap/>
            <w:vAlign w:val="center"/>
            <w:hideMark/>
          </w:tcPr>
          <w:p w14:paraId="68E77D4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(2.9) </w:t>
            </w:r>
          </w:p>
        </w:tc>
        <w:tc>
          <w:tcPr>
            <w:tcW w:w="1018" w:type="dxa"/>
            <w:tcBorders>
              <w:top w:val="nil"/>
              <w:left w:val="nil"/>
              <w:bottom w:val="single" w:sz="4" w:space="0" w:color="auto"/>
              <w:right w:val="single" w:sz="4" w:space="0" w:color="FFFFFF"/>
            </w:tcBorders>
            <w:shd w:val="clear" w:color="000000" w:fill="D9D9D9"/>
            <w:noWrap/>
            <w:hideMark/>
          </w:tcPr>
          <w:p w14:paraId="13BDD28E" w14:textId="64FE1BC4"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48" w:type="dxa"/>
            <w:tcBorders>
              <w:top w:val="nil"/>
              <w:left w:val="nil"/>
              <w:bottom w:val="single" w:sz="4" w:space="0" w:color="auto"/>
              <w:right w:val="single" w:sz="4" w:space="0" w:color="FFFFFF"/>
            </w:tcBorders>
            <w:shd w:val="clear" w:color="000000" w:fill="D9D9D9"/>
            <w:noWrap/>
            <w:vAlign w:val="center"/>
            <w:hideMark/>
          </w:tcPr>
          <w:p w14:paraId="7443492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9.5 </w:t>
            </w:r>
          </w:p>
        </w:tc>
        <w:tc>
          <w:tcPr>
            <w:tcW w:w="1354" w:type="dxa"/>
            <w:tcBorders>
              <w:top w:val="nil"/>
              <w:left w:val="nil"/>
              <w:bottom w:val="single" w:sz="4" w:space="0" w:color="auto"/>
              <w:right w:val="single" w:sz="4" w:space="0" w:color="FFFFFF"/>
            </w:tcBorders>
            <w:shd w:val="clear" w:color="000000" w:fill="D9D9D9"/>
            <w:noWrap/>
            <w:hideMark/>
          </w:tcPr>
          <w:p w14:paraId="545B615F" w14:textId="66CD245D"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48" w:type="dxa"/>
            <w:tcBorders>
              <w:top w:val="nil"/>
              <w:left w:val="nil"/>
              <w:bottom w:val="single" w:sz="4" w:space="0" w:color="auto"/>
              <w:right w:val="single" w:sz="4" w:space="0" w:color="FFFFFF"/>
            </w:tcBorders>
            <w:shd w:val="clear" w:color="000000" w:fill="D9D9D9"/>
            <w:noWrap/>
            <w:hideMark/>
          </w:tcPr>
          <w:p w14:paraId="50B3567F" w14:textId="1EA25172"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280" w:type="dxa"/>
            <w:tcBorders>
              <w:top w:val="nil"/>
              <w:left w:val="nil"/>
              <w:bottom w:val="single" w:sz="4" w:space="0" w:color="auto"/>
              <w:right w:val="single" w:sz="4" w:space="0" w:color="FFFFFF"/>
            </w:tcBorders>
            <w:shd w:val="clear" w:color="000000" w:fill="D9D9D9"/>
            <w:noWrap/>
            <w:hideMark/>
          </w:tcPr>
          <w:p w14:paraId="0B0A2FF0" w14:textId="0BF0B963"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48" w:type="dxa"/>
            <w:tcBorders>
              <w:top w:val="nil"/>
              <w:left w:val="nil"/>
              <w:bottom w:val="single" w:sz="4" w:space="0" w:color="auto"/>
              <w:right w:val="single" w:sz="4" w:space="0" w:color="FFFFFF"/>
            </w:tcBorders>
            <w:shd w:val="clear" w:color="000000" w:fill="D9D9D9"/>
            <w:noWrap/>
            <w:vAlign w:val="center"/>
            <w:hideMark/>
          </w:tcPr>
          <w:p w14:paraId="20DDCFF3"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2,833.0 </w:t>
            </w:r>
          </w:p>
        </w:tc>
      </w:tr>
      <w:tr w:rsidR="00F1540A" w:rsidRPr="005734B8" w14:paraId="2A3E8E2D" w14:textId="77777777" w:rsidTr="001C2A3E">
        <w:trPr>
          <w:trHeight w:val="170"/>
        </w:trPr>
        <w:tc>
          <w:tcPr>
            <w:tcW w:w="4496" w:type="dxa"/>
            <w:tcBorders>
              <w:top w:val="nil"/>
              <w:left w:val="nil"/>
              <w:bottom w:val="single" w:sz="12" w:space="0" w:color="auto"/>
              <w:right w:val="nil"/>
            </w:tcBorders>
            <w:shd w:val="clear" w:color="000000" w:fill="D9D9D9"/>
            <w:vAlign w:val="center"/>
            <w:hideMark/>
          </w:tcPr>
          <w:p w14:paraId="4D0B9598"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Depreciation</w:t>
            </w:r>
          </w:p>
        </w:tc>
        <w:tc>
          <w:tcPr>
            <w:tcW w:w="1131" w:type="dxa"/>
            <w:tcBorders>
              <w:top w:val="nil"/>
              <w:left w:val="single" w:sz="4" w:space="0" w:color="FFFFFF"/>
              <w:bottom w:val="single" w:sz="4" w:space="0" w:color="auto"/>
              <w:right w:val="single" w:sz="4" w:space="0" w:color="FFFFFF"/>
            </w:tcBorders>
            <w:shd w:val="clear" w:color="000000" w:fill="D9D9D9"/>
            <w:noWrap/>
            <w:vAlign w:val="center"/>
            <w:hideMark/>
          </w:tcPr>
          <w:p w14:paraId="5076BADD" w14:textId="6963ED35" w:rsidR="00F1540A" w:rsidRPr="005734B8" w:rsidRDefault="00141228" w:rsidP="000F48B1">
            <w:pPr>
              <w:jc w:val="right"/>
              <w:rPr>
                <w:rFonts w:ascii="Calibri" w:hAnsi="Calibri" w:cs="Calibri"/>
                <w:sz w:val="18"/>
                <w:szCs w:val="18"/>
              </w:rPr>
            </w:pPr>
            <w:r w:rsidRPr="005734B8">
              <w:rPr>
                <w:rFonts w:ascii="Calibri" w:hAnsi="Calibri" w:cs="Calibri"/>
                <w:sz w:val="18"/>
                <w:szCs w:val="18"/>
              </w:rPr>
              <w:softHyphen/>
            </w:r>
            <w:r w:rsidR="006C14DE" w:rsidRPr="005734B8">
              <w:rPr>
                <w:rFonts w:ascii="Calibri" w:hAnsi="Calibri" w:cs="Calibri"/>
                <w:sz w:val="18"/>
                <w:szCs w:val="18"/>
              </w:rPr>
              <w:t>–</w:t>
            </w:r>
            <w:r w:rsidR="00F1540A" w:rsidRPr="005734B8">
              <w:rPr>
                <w:rFonts w:ascii="Calibri" w:hAnsi="Calibri" w:cs="Calibri"/>
                <w:sz w:val="18"/>
                <w:szCs w:val="18"/>
              </w:rPr>
              <w:t xml:space="preserve"> </w:t>
            </w:r>
          </w:p>
        </w:tc>
        <w:tc>
          <w:tcPr>
            <w:tcW w:w="1223" w:type="dxa"/>
            <w:tcBorders>
              <w:top w:val="nil"/>
              <w:left w:val="nil"/>
              <w:bottom w:val="single" w:sz="4" w:space="0" w:color="auto"/>
              <w:right w:val="single" w:sz="4" w:space="0" w:color="FFFFFF"/>
            </w:tcBorders>
            <w:shd w:val="clear" w:color="000000" w:fill="D9D9D9"/>
            <w:noWrap/>
            <w:vAlign w:val="center"/>
            <w:hideMark/>
          </w:tcPr>
          <w:p w14:paraId="75EB978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(387.7) </w:t>
            </w:r>
          </w:p>
        </w:tc>
        <w:tc>
          <w:tcPr>
            <w:tcW w:w="1018" w:type="dxa"/>
            <w:tcBorders>
              <w:top w:val="nil"/>
              <w:left w:val="nil"/>
              <w:bottom w:val="single" w:sz="4" w:space="0" w:color="auto"/>
              <w:right w:val="single" w:sz="4" w:space="0" w:color="FFFFFF"/>
            </w:tcBorders>
            <w:shd w:val="clear" w:color="000000" w:fill="D9D9D9"/>
            <w:noWrap/>
            <w:vAlign w:val="center"/>
            <w:hideMark/>
          </w:tcPr>
          <w:p w14:paraId="6A21482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(4.0) </w:t>
            </w:r>
          </w:p>
        </w:tc>
        <w:tc>
          <w:tcPr>
            <w:tcW w:w="1148" w:type="dxa"/>
            <w:tcBorders>
              <w:top w:val="nil"/>
              <w:left w:val="nil"/>
              <w:bottom w:val="single" w:sz="4" w:space="0" w:color="auto"/>
              <w:right w:val="single" w:sz="4" w:space="0" w:color="FFFFFF"/>
            </w:tcBorders>
            <w:shd w:val="clear" w:color="000000" w:fill="D9D9D9"/>
            <w:noWrap/>
            <w:vAlign w:val="center"/>
            <w:hideMark/>
          </w:tcPr>
          <w:p w14:paraId="19D9AA8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(16.5) </w:t>
            </w:r>
          </w:p>
        </w:tc>
        <w:tc>
          <w:tcPr>
            <w:tcW w:w="1354" w:type="dxa"/>
            <w:tcBorders>
              <w:top w:val="nil"/>
              <w:left w:val="nil"/>
              <w:bottom w:val="single" w:sz="4" w:space="0" w:color="auto"/>
              <w:right w:val="single" w:sz="4" w:space="0" w:color="FFFFFF"/>
            </w:tcBorders>
            <w:shd w:val="clear" w:color="000000" w:fill="D9D9D9"/>
            <w:noWrap/>
            <w:vAlign w:val="center"/>
            <w:hideMark/>
          </w:tcPr>
          <w:p w14:paraId="4E6EE26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(4.9) </w:t>
            </w:r>
          </w:p>
        </w:tc>
        <w:tc>
          <w:tcPr>
            <w:tcW w:w="1148" w:type="dxa"/>
            <w:tcBorders>
              <w:top w:val="nil"/>
              <w:left w:val="nil"/>
              <w:bottom w:val="single" w:sz="4" w:space="0" w:color="auto"/>
              <w:right w:val="single" w:sz="4" w:space="0" w:color="FFFFFF"/>
            </w:tcBorders>
            <w:shd w:val="clear" w:color="000000" w:fill="D9D9D9"/>
            <w:noWrap/>
            <w:vAlign w:val="center"/>
            <w:hideMark/>
          </w:tcPr>
          <w:p w14:paraId="0EEFF3C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(32.9) </w:t>
            </w:r>
          </w:p>
        </w:tc>
        <w:tc>
          <w:tcPr>
            <w:tcW w:w="1280" w:type="dxa"/>
            <w:tcBorders>
              <w:top w:val="nil"/>
              <w:left w:val="nil"/>
              <w:bottom w:val="single" w:sz="4" w:space="0" w:color="auto"/>
              <w:right w:val="single" w:sz="4" w:space="0" w:color="FFFFFF"/>
            </w:tcBorders>
            <w:shd w:val="clear" w:color="000000" w:fill="D9D9D9"/>
            <w:noWrap/>
            <w:hideMark/>
          </w:tcPr>
          <w:p w14:paraId="26676D16" w14:textId="285B9A20"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48" w:type="dxa"/>
            <w:tcBorders>
              <w:top w:val="nil"/>
              <w:left w:val="nil"/>
              <w:bottom w:val="single" w:sz="4" w:space="0" w:color="auto"/>
              <w:right w:val="single" w:sz="4" w:space="0" w:color="FFFFFF"/>
            </w:tcBorders>
            <w:shd w:val="clear" w:color="000000" w:fill="D9D9D9"/>
            <w:noWrap/>
            <w:vAlign w:val="center"/>
            <w:hideMark/>
          </w:tcPr>
          <w:p w14:paraId="68D0B863"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(446.0) </w:t>
            </w:r>
          </w:p>
        </w:tc>
      </w:tr>
      <w:tr w:rsidR="00F1540A" w:rsidRPr="005734B8" w14:paraId="738E15D9" w14:textId="77777777" w:rsidTr="000F48B1">
        <w:trPr>
          <w:trHeight w:val="170"/>
        </w:trPr>
        <w:tc>
          <w:tcPr>
            <w:tcW w:w="4496"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3CE11084"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Closing balance</w:t>
            </w:r>
          </w:p>
        </w:tc>
        <w:tc>
          <w:tcPr>
            <w:tcW w:w="1131" w:type="dxa"/>
            <w:tcBorders>
              <w:top w:val="single" w:sz="12" w:space="0" w:color="auto"/>
              <w:left w:val="nil"/>
              <w:bottom w:val="single" w:sz="12" w:space="0" w:color="auto"/>
              <w:right w:val="single" w:sz="4" w:space="0" w:color="FFFFFF"/>
            </w:tcBorders>
            <w:shd w:val="clear" w:color="000000" w:fill="D9D9D9"/>
            <w:noWrap/>
            <w:vAlign w:val="center"/>
            <w:hideMark/>
          </w:tcPr>
          <w:p w14:paraId="21436C53"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13,856.5</w:t>
            </w:r>
          </w:p>
        </w:tc>
        <w:tc>
          <w:tcPr>
            <w:tcW w:w="1223" w:type="dxa"/>
            <w:tcBorders>
              <w:top w:val="single" w:sz="12" w:space="0" w:color="auto"/>
              <w:left w:val="nil"/>
              <w:bottom w:val="single" w:sz="12" w:space="0" w:color="auto"/>
              <w:right w:val="single" w:sz="4" w:space="0" w:color="FFFFFF"/>
            </w:tcBorders>
            <w:shd w:val="clear" w:color="000000" w:fill="D9D9D9"/>
            <w:noWrap/>
            <w:vAlign w:val="center"/>
            <w:hideMark/>
          </w:tcPr>
          <w:p w14:paraId="329F73D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13,112.4 </w:t>
            </w:r>
          </w:p>
        </w:tc>
        <w:tc>
          <w:tcPr>
            <w:tcW w:w="1018" w:type="dxa"/>
            <w:tcBorders>
              <w:top w:val="single" w:sz="12" w:space="0" w:color="auto"/>
              <w:left w:val="nil"/>
              <w:bottom w:val="single" w:sz="12" w:space="0" w:color="auto"/>
              <w:right w:val="single" w:sz="4" w:space="0" w:color="FFFFFF"/>
            </w:tcBorders>
            <w:shd w:val="clear" w:color="000000" w:fill="D9D9D9"/>
            <w:noWrap/>
            <w:vAlign w:val="center"/>
            <w:hideMark/>
          </w:tcPr>
          <w:p w14:paraId="2A2C923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92.5 </w:t>
            </w:r>
          </w:p>
        </w:tc>
        <w:tc>
          <w:tcPr>
            <w:tcW w:w="1148" w:type="dxa"/>
            <w:tcBorders>
              <w:top w:val="single" w:sz="12" w:space="0" w:color="auto"/>
              <w:left w:val="nil"/>
              <w:bottom w:val="single" w:sz="12" w:space="0" w:color="auto"/>
              <w:right w:val="single" w:sz="4" w:space="0" w:color="FFFFFF"/>
            </w:tcBorders>
            <w:shd w:val="clear" w:color="000000" w:fill="D9D9D9"/>
            <w:noWrap/>
            <w:vAlign w:val="center"/>
            <w:hideMark/>
          </w:tcPr>
          <w:p w14:paraId="0AF32DC4"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571.8 </w:t>
            </w:r>
          </w:p>
        </w:tc>
        <w:tc>
          <w:tcPr>
            <w:tcW w:w="1354" w:type="dxa"/>
            <w:tcBorders>
              <w:top w:val="single" w:sz="12" w:space="0" w:color="auto"/>
              <w:left w:val="nil"/>
              <w:bottom w:val="single" w:sz="12" w:space="0" w:color="auto"/>
              <w:right w:val="single" w:sz="4" w:space="0" w:color="FFFFFF"/>
            </w:tcBorders>
            <w:shd w:val="clear" w:color="000000" w:fill="D9D9D9"/>
            <w:noWrap/>
            <w:vAlign w:val="center"/>
            <w:hideMark/>
          </w:tcPr>
          <w:p w14:paraId="2E2F787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13.3 </w:t>
            </w:r>
          </w:p>
        </w:tc>
        <w:tc>
          <w:tcPr>
            <w:tcW w:w="1148" w:type="dxa"/>
            <w:tcBorders>
              <w:top w:val="single" w:sz="12" w:space="0" w:color="auto"/>
              <w:left w:val="nil"/>
              <w:bottom w:val="single" w:sz="12" w:space="0" w:color="auto"/>
              <w:right w:val="single" w:sz="4" w:space="0" w:color="FFFFFF"/>
            </w:tcBorders>
            <w:shd w:val="clear" w:color="000000" w:fill="D9D9D9"/>
            <w:noWrap/>
            <w:vAlign w:val="center"/>
            <w:hideMark/>
          </w:tcPr>
          <w:p w14:paraId="6E2E4DC4"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101.0 </w:t>
            </w:r>
          </w:p>
        </w:tc>
        <w:tc>
          <w:tcPr>
            <w:tcW w:w="1280" w:type="dxa"/>
            <w:tcBorders>
              <w:top w:val="single" w:sz="12" w:space="0" w:color="auto"/>
              <w:left w:val="nil"/>
              <w:bottom w:val="single" w:sz="12" w:space="0" w:color="auto"/>
              <w:right w:val="single" w:sz="4" w:space="0" w:color="FFFFFF"/>
            </w:tcBorders>
            <w:shd w:val="clear" w:color="000000" w:fill="D9D9D9"/>
            <w:noWrap/>
            <w:vAlign w:val="center"/>
            <w:hideMark/>
          </w:tcPr>
          <w:p w14:paraId="016A49C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1,381.8 </w:t>
            </w:r>
          </w:p>
        </w:tc>
        <w:tc>
          <w:tcPr>
            <w:tcW w:w="1148" w:type="dxa"/>
            <w:tcBorders>
              <w:top w:val="single" w:sz="12" w:space="0" w:color="auto"/>
              <w:left w:val="nil"/>
              <w:bottom w:val="single" w:sz="12" w:space="0" w:color="auto"/>
              <w:right w:val="single" w:sz="4" w:space="0" w:color="FFFFFF"/>
            </w:tcBorders>
            <w:shd w:val="clear" w:color="000000" w:fill="D9D9D9"/>
            <w:noWrap/>
            <w:vAlign w:val="center"/>
            <w:hideMark/>
          </w:tcPr>
          <w:p w14:paraId="659DD8AB"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29,129.3 </w:t>
            </w:r>
          </w:p>
        </w:tc>
      </w:tr>
    </w:tbl>
    <w:p w14:paraId="2CE9298F" w14:textId="77777777" w:rsidR="00F1540A" w:rsidRPr="005734B8" w:rsidRDefault="00F1540A" w:rsidP="00F1540A">
      <w:pPr>
        <w:rPr>
          <w:rFonts w:ascii="Calibri" w:hAnsi="Calibri" w:cs="Calibri"/>
          <w:lang w:val="en-US"/>
        </w:rPr>
      </w:pPr>
      <w:bookmarkStart w:id="1441" w:name="_Toc34033390"/>
      <w:bookmarkStart w:id="1442" w:name="_Toc36012782"/>
      <w:bookmarkStart w:id="1443" w:name="_Toc36012860"/>
      <w:bookmarkStart w:id="1444" w:name="_Toc36013357"/>
      <w:bookmarkStart w:id="1445" w:name="_Toc30413690"/>
    </w:p>
    <w:tbl>
      <w:tblPr>
        <w:tblW w:w="13946" w:type="dxa"/>
        <w:tblInd w:w="80" w:type="dxa"/>
        <w:tblLayout w:type="fixed"/>
        <w:tblLook w:val="04A0" w:firstRow="1" w:lastRow="0" w:firstColumn="1" w:lastColumn="0" w:noHBand="0" w:noVBand="1"/>
      </w:tblPr>
      <w:tblGrid>
        <w:gridCol w:w="4525"/>
        <w:gridCol w:w="1137"/>
        <w:gridCol w:w="1154"/>
        <w:gridCol w:w="1023"/>
        <w:gridCol w:w="1153"/>
        <w:gridCol w:w="1360"/>
        <w:gridCol w:w="1154"/>
        <w:gridCol w:w="1286"/>
        <w:gridCol w:w="1154"/>
      </w:tblGrid>
      <w:tr w:rsidR="00F1540A" w:rsidRPr="005734B8" w14:paraId="1C7C3724" w14:textId="77777777" w:rsidTr="000F48B1">
        <w:trPr>
          <w:trHeight w:val="170"/>
        </w:trPr>
        <w:tc>
          <w:tcPr>
            <w:tcW w:w="4525" w:type="dxa"/>
            <w:tcBorders>
              <w:top w:val="nil"/>
              <w:left w:val="nil"/>
              <w:bottom w:val="single" w:sz="4" w:space="0" w:color="auto"/>
              <w:right w:val="single" w:sz="4" w:space="0" w:color="FFFFFF"/>
            </w:tcBorders>
            <w:shd w:val="clear" w:color="000000" w:fill="AF272F"/>
            <w:hideMark/>
          </w:tcPr>
          <w:p w14:paraId="07EC1304" w14:textId="77777777" w:rsidR="00F1540A" w:rsidRPr="005734B8" w:rsidRDefault="00F1540A" w:rsidP="000F48B1">
            <w:pPr>
              <w:rPr>
                <w:rFonts w:ascii="Calibri" w:hAnsi="Calibri" w:cs="Calibri"/>
                <w:b/>
                <w:color w:val="FFFFFF"/>
                <w:sz w:val="18"/>
                <w:szCs w:val="18"/>
              </w:rPr>
            </w:pPr>
            <w:bookmarkStart w:id="1446" w:name="Note_MTATABLE2" w:colFirst="0" w:colLast="0"/>
            <w:r w:rsidRPr="005734B8">
              <w:rPr>
                <w:rFonts w:ascii="Calibri" w:hAnsi="Calibri" w:cs="Calibri"/>
                <w:b/>
                <w:color w:val="FFFFFF"/>
                <w:sz w:val="18"/>
                <w:szCs w:val="18"/>
              </w:rPr>
              <w:t>2020</w:t>
            </w:r>
          </w:p>
        </w:tc>
        <w:tc>
          <w:tcPr>
            <w:tcW w:w="1137" w:type="dxa"/>
            <w:tcBorders>
              <w:top w:val="nil"/>
              <w:left w:val="nil"/>
              <w:bottom w:val="single" w:sz="4" w:space="0" w:color="auto"/>
              <w:right w:val="single" w:sz="4" w:space="0" w:color="FFFFFF"/>
            </w:tcBorders>
            <w:shd w:val="clear" w:color="000000" w:fill="AF272F"/>
            <w:hideMark/>
          </w:tcPr>
          <w:p w14:paraId="06A23F8C"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Land ($m)</w:t>
            </w:r>
          </w:p>
        </w:tc>
        <w:tc>
          <w:tcPr>
            <w:tcW w:w="1154" w:type="dxa"/>
            <w:tcBorders>
              <w:top w:val="nil"/>
              <w:left w:val="nil"/>
              <w:bottom w:val="single" w:sz="4" w:space="0" w:color="auto"/>
              <w:right w:val="single" w:sz="4" w:space="0" w:color="FFFFFF"/>
            </w:tcBorders>
            <w:shd w:val="clear" w:color="000000" w:fill="AF272F"/>
            <w:hideMark/>
          </w:tcPr>
          <w:p w14:paraId="196C8F17"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Buildings ($m)</w:t>
            </w:r>
          </w:p>
        </w:tc>
        <w:tc>
          <w:tcPr>
            <w:tcW w:w="1023" w:type="dxa"/>
            <w:tcBorders>
              <w:top w:val="nil"/>
              <w:left w:val="nil"/>
              <w:bottom w:val="single" w:sz="4" w:space="0" w:color="auto"/>
              <w:right w:val="single" w:sz="4" w:space="0" w:color="FFFFFF"/>
            </w:tcBorders>
            <w:shd w:val="clear" w:color="000000" w:fill="AF272F"/>
            <w:hideMark/>
          </w:tcPr>
          <w:p w14:paraId="74BA25CA"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Heritage buildings ($m)</w:t>
            </w:r>
          </w:p>
        </w:tc>
        <w:tc>
          <w:tcPr>
            <w:tcW w:w="1153" w:type="dxa"/>
            <w:tcBorders>
              <w:top w:val="nil"/>
              <w:left w:val="nil"/>
              <w:bottom w:val="single" w:sz="4" w:space="0" w:color="auto"/>
              <w:right w:val="single" w:sz="4" w:space="0" w:color="FFFFFF"/>
            </w:tcBorders>
            <w:shd w:val="clear" w:color="000000" w:fill="AF272F"/>
            <w:hideMark/>
          </w:tcPr>
          <w:p w14:paraId="2448BEAE"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Leasehold buildings ($m)</w:t>
            </w:r>
          </w:p>
        </w:tc>
        <w:tc>
          <w:tcPr>
            <w:tcW w:w="1360" w:type="dxa"/>
            <w:tcBorders>
              <w:top w:val="nil"/>
              <w:left w:val="nil"/>
              <w:bottom w:val="single" w:sz="4" w:space="0" w:color="auto"/>
              <w:right w:val="single" w:sz="4" w:space="0" w:color="FFFFFF"/>
            </w:tcBorders>
            <w:shd w:val="clear" w:color="000000" w:fill="AF272F"/>
            <w:hideMark/>
          </w:tcPr>
          <w:p w14:paraId="15C7DC46"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Leasehold improvements ($m)</w:t>
            </w:r>
          </w:p>
        </w:tc>
        <w:tc>
          <w:tcPr>
            <w:tcW w:w="1154" w:type="dxa"/>
            <w:tcBorders>
              <w:top w:val="nil"/>
              <w:left w:val="nil"/>
              <w:bottom w:val="single" w:sz="4" w:space="0" w:color="auto"/>
              <w:right w:val="single" w:sz="4" w:space="0" w:color="FFFFFF"/>
            </w:tcBorders>
            <w:shd w:val="clear" w:color="000000" w:fill="AF272F"/>
            <w:hideMark/>
          </w:tcPr>
          <w:p w14:paraId="2F5A32B6"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Plant and equipment ($m)</w:t>
            </w:r>
          </w:p>
        </w:tc>
        <w:tc>
          <w:tcPr>
            <w:tcW w:w="1286" w:type="dxa"/>
            <w:tcBorders>
              <w:top w:val="nil"/>
              <w:left w:val="nil"/>
              <w:bottom w:val="single" w:sz="4" w:space="0" w:color="auto"/>
              <w:right w:val="single" w:sz="4" w:space="0" w:color="FFFFFF"/>
            </w:tcBorders>
            <w:shd w:val="clear" w:color="000000" w:fill="AF272F"/>
            <w:hideMark/>
          </w:tcPr>
          <w:p w14:paraId="32583C52"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Work in progress ($m)</w:t>
            </w:r>
          </w:p>
        </w:tc>
        <w:tc>
          <w:tcPr>
            <w:tcW w:w="1154" w:type="dxa"/>
            <w:tcBorders>
              <w:top w:val="nil"/>
              <w:left w:val="nil"/>
              <w:bottom w:val="single" w:sz="4" w:space="0" w:color="auto"/>
              <w:right w:val="single" w:sz="4" w:space="0" w:color="FFFFFF"/>
            </w:tcBorders>
            <w:shd w:val="clear" w:color="000000" w:fill="AF272F"/>
            <w:hideMark/>
          </w:tcPr>
          <w:p w14:paraId="7E0EE536"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Total ($m)</w:t>
            </w:r>
          </w:p>
        </w:tc>
      </w:tr>
      <w:bookmarkEnd w:id="1446"/>
      <w:tr w:rsidR="00F1540A" w:rsidRPr="005734B8" w14:paraId="431FE925" w14:textId="77777777" w:rsidTr="000F48B1">
        <w:trPr>
          <w:trHeight w:val="170"/>
        </w:trPr>
        <w:tc>
          <w:tcPr>
            <w:tcW w:w="4525" w:type="dxa"/>
            <w:tcBorders>
              <w:top w:val="nil"/>
              <w:left w:val="single" w:sz="4" w:space="0" w:color="FFFFFF"/>
              <w:bottom w:val="single" w:sz="4" w:space="0" w:color="auto"/>
              <w:right w:val="single" w:sz="4" w:space="0" w:color="FFFFFF"/>
            </w:tcBorders>
            <w:shd w:val="clear" w:color="000000" w:fill="53565A"/>
            <w:vAlign w:val="center"/>
            <w:hideMark/>
          </w:tcPr>
          <w:p w14:paraId="645C108E" w14:textId="77777777" w:rsidR="00F1540A" w:rsidRPr="005734B8" w:rsidRDefault="00F1540A" w:rsidP="000F48B1">
            <w:pPr>
              <w:rPr>
                <w:rFonts w:ascii="Calibri" w:hAnsi="Calibri" w:cs="Calibri"/>
                <w:b/>
                <w:color w:val="FFFFFF"/>
                <w:sz w:val="18"/>
                <w:szCs w:val="18"/>
              </w:rPr>
            </w:pPr>
            <w:r w:rsidRPr="005734B8">
              <w:rPr>
                <w:rFonts w:ascii="Calibri" w:hAnsi="Calibri" w:cs="Calibri"/>
                <w:b/>
                <w:color w:val="FFFFFF"/>
                <w:sz w:val="18"/>
                <w:szCs w:val="18"/>
              </w:rPr>
              <w:t>Opening balance</w:t>
            </w:r>
          </w:p>
        </w:tc>
        <w:tc>
          <w:tcPr>
            <w:tcW w:w="1137" w:type="dxa"/>
            <w:tcBorders>
              <w:top w:val="nil"/>
              <w:left w:val="nil"/>
              <w:bottom w:val="single" w:sz="4" w:space="0" w:color="auto"/>
              <w:right w:val="single" w:sz="4" w:space="0" w:color="FFFFFF"/>
            </w:tcBorders>
            <w:shd w:val="clear" w:color="000000" w:fill="53565A"/>
            <w:vAlign w:val="center"/>
            <w:hideMark/>
          </w:tcPr>
          <w:p w14:paraId="3AF4056E"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10,718.0 </w:t>
            </w:r>
          </w:p>
        </w:tc>
        <w:tc>
          <w:tcPr>
            <w:tcW w:w="1154" w:type="dxa"/>
            <w:tcBorders>
              <w:top w:val="nil"/>
              <w:left w:val="nil"/>
              <w:bottom w:val="single" w:sz="4" w:space="0" w:color="auto"/>
              <w:right w:val="single" w:sz="4" w:space="0" w:color="FFFFFF"/>
            </w:tcBorders>
            <w:shd w:val="clear" w:color="000000" w:fill="53565A"/>
            <w:vAlign w:val="center"/>
            <w:hideMark/>
          </w:tcPr>
          <w:p w14:paraId="3E8131BD"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11,775.2 </w:t>
            </w:r>
          </w:p>
        </w:tc>
        <w:tc>
          <w:tcPr>
            <w:tcW w:w="1023" w:type="dxa"/>
            <w:tcBorders>
              <w:top w:val="nil"/>
              <w:left w:val="nil"/>
              <w:bottom w:val="single" w:sz="4" w:space="0" w:color="auto"/>
              <w:right w:val="single" w:sz="4" w:space="0" w:color="FFFFFF"/>
            </w:tcBorders>
            <w:shd w:val="clear" w:color="000000" w:fill="53565A"/>
            <w:vAlign w:val="center"/>
            <w:hideMark/>
          </w:tcPr>
          <w:p w14:paraId="7D5E0542"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100.6 </w:t>
            </w:r>
          </w:p>
        </w:tc>
        <w:tc>
          <w:tcPr>
            <w:tcW w:w="1153" w:type="dxa"/>
            <w:tcBorders>
              <w:top w:val="nil"/>
              <w:left w:val="nil"/>
              <w:bottom w:val="single" w:sz="4" w:space="0" w:color="auto"/>
              <w:right w:val="single" w:sz="4" w:space="0" w:color="FFFFFF"/>
            </w:tcBorders>
            <w:shd w:val="clear" w:color="000000" w:fill="53565A"/>
            <w:vAlign w:val="center"/>
            <w:hideMark/>
          </w:tcPr>
          <w:p w14:paraId="1AFCC0DF"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516.4 </w:t>
            </w:r>
          </w:p>
        </w:tc>
        <w:tc>
          <w:tcPr>
            <w:tcW w:w="1360" w:type="dxa"/>
            <w:tcBorders>
              <w:top w:val="nil"/>
              <w:left w:val="nil"/>
              <w:bottom w:val="single" w:sz="4" w:space="0" w:color="auto"/>
              <w:right w:val="single" w:sz="4" w:space="0" w:color="FFFFFF"/>
            </w:tcBorders>
            <w:shd w:val="clear" w:color="000000" w:fill="53565A"/>
            <w:vAlign w:val="center"/>
            <w:hideMark/>
          </w:tcPr>
          <w:p w14:paraId="6D7FE348"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21.6 </w:t>
            </w:r>
          </w:p>
        </w:tc>
        <w:tc>
          <w:tcPr>
            <w:tcW w:w="1154" w:type="dxa"/>
            <w:tcBorders>
              <w:top w:val="nil"/>
              <w:left w:val="nil"/>
              <w:bottom w:val="single" w:sz="4" w:space="0" w:color="auto"/>
              <w:right w:val="single" w:sz="4" w:space="0" w:color="FFFFFF"/>
            </w:tcBorders>
            <w:shd w:val="clear" w:color="000000" w:fill="53565A"/>
            <w:vAlign w:val="center"/>
            <w:hideMark/>
          </w:tcPr>
          <w:p w14:paraId="5E3F2ACE"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104.8 </w:t>
            </w:r>
          </w:p>
        </w:tc>
        <w:tc>
          <w:tcPr>
            <w:tcW w:w="1286" w:type="dxa"/>
            <w:tcBorders>
              <w:top w:val="nil"/>
              <w:left w:val="nil"/>
              <w:bottom w:val="single" w:sz="4" w:space="0" w:color="auto"/>
              <w:right w:val="single" w:sz="4" w:space="0" w:color="FFFFFF"/>
            </w:tcBorders>
            <w:shd w:val="clear" w:color="000000" w:fill="53565A"/>
            <w:vAlign w:val="center"/>
            <w:hideMark/>
          </w:tcPr>
          <w:p w14:paraId="3859FF2C"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914.3 </w:t>
            </w:r>
          </w:p>
        </w:tc>
        <w:tc>
          <w:tcPr>
            <w:tcW w:w="1154" w:type="dxa"/>
            <w:tcBorders>
              <w:top w:val="nil"/>
              <w:left w:val="nil"/>
              <w:bottom w:val="single" w:sz="4" w:space="0" w:color="auto"/>
              <w:right w:val="single" w:sz="4" w:space="0" w:color="FFFFFF"/>
            </w:tcBorders>
            <w:shd w:val="clear" w:color="000000" w:fill="53565A"/>
            <w:vAlign w:val="center"/>
            <w:hideMark/>
          </w:tcPr>
          <w:p w14:paraId="6F9F08C2"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24,150.7 </w:t>
            </w:r>
          </w:p>
        </w:tc>
      </w:tr>
      <w:tr w:rsidR="00F1540A" w:rsidRPr="005734B8" w14:paraId="47F0B73E" w14:textId="77777777" w:rsidTr="000F48B1">
        <w:trPr>
          <w:trHeight w:val="170"/>
        </w:trPr>
        <w:tc>
          <w:tcPr>
            <w:tcW w:w="4525" w:type="dxa"/>
            <w:tcBorders>
              <w:top w:val="nil"/>
              <w:left w:val="nil"/>
              <w:bottom w:val="single" w:sz="4" w:space="0" w:color="auto"/>
              <w:right w:val="nil"/>
            </w:tcBorders>
            <w:shd w:val="clear" w:color="FFFFFF" w:fill="FFFFFF"/>
            <w:vAlign w:val="center"/>
            <w:hideMark/>
          </w:tcPr>
          <w:p w14:paraId="3A401538"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Recognition of right-of-use assets on initial application of AASB 16</w:t>
            </w:r>
          </w:p>
        </w:tc>
        <w:tc>
          <w:tcPr>
            <w:tcW w:w="1137" w:type="dxa"/>
            <w:tcBorders>
              <w:top w:val="nil"/>
              <w:left w:val="single" w:sz="4" w:space="0" w:color="FFFFFF"/>
              <w:bottom w:val="single" w:sz="4" w:space="0" w:color="auto"/>
              <w:right w:val="single" w:sz="4" w:space="0" w:color="FFFFFF"/>
            </w:tcBorders>
            <w:shd w:val="clear" w:color="FFFFFF" w:fill="FFFFFF"/>
            <w:noWrap/>
            <w:vAlign w:val="center"/>
            <w:hideMark/>
          </w:tcPr>
          <w:p w14:paraId="477AEAF2" w14:textId="64220F06"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54" w:type="dxa"/>
            <w:tcBorders>
              <w:top w:val="nil"/>
              <w:left w:val="nil"/>
              <w:bottom w:val="single" w:sz="4" w:space="0" w:color="auto"/>
              <w:right w:val="single" w:sz="4" w:space="0" w:color="FFFFFF"/>
            </w:tcBorders>
            <w:shd w:val="clear" w:color="FFFFFF" w:fill="FFFFFF"/>
            <w:noWrap/>
            <w:vAlign w:val="center"/>
            <w:hideMark/>
          </w:tcPr>
          <w:p w14:paraId="51942B71" w14:textId="7087DF87"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023" w:type="dxa"/>
            <w:tcBorders>
              <w:top w:val="nil"/>
              <w:left w:val="nil"/>
              <w:bottom w:val="single" w:sz="4" w:space="0" w:color="auto"/>
              <w:right w:val="single" w:sz="4" w:space="0" w:color="FFFFFF"/>
            </w:tcBorders>
            <w:shd w:val="clear" w:color="FFFFFF" w:fill="FFFFFF"/>
            <w:noWrap/>
            <w:vAlign w:val="center"/>
            <w:hideMark/>
          </w:tcPr>
          <w:p w14:paraId="3C536C9C" w14:textId="6BF499FB"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53" w:type="dxa"/>
            <w:tcBorders>
              <w:top w:val="nil"/>
              <w:left w:val="nil"/>
              <w:bottom w:val="single" w:sz="4" w:space="0" w:color="auto"/>
              <w:right w:val="single" w:sz="4" w:space="0" w:color="FFFFFF"/>
            </w:tcBorders>
            <w:shd w:val="clear" w:color="FFFFFF" w:fill="FFFFFF"/>
            <w:noWrap/>
            <w:vAlign w:val="center"/>
            <w:hideMark/>
          </w:tcPr>
          <w:p w14:paraId="677A7F5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238.0 </w:t>
            </w:r>
          </w:p>
        </w:tc>
        <w:tc>
          <w:tcPr>
            <w:tcW w:w="1360" w:type="dxa"/>
            <w:tcBorders>
              <w:top w:val="nil"/>
              <w:left w:val="nil"/>
              <w:bottom w:val="single" w:sz="4" w:space="0" w:color="auto"/>
              <w:right w:val="single" w:sz="4" w:space="0" w:color="FFFFFF"/>
            </w:tcBorders>
            <w:shd w:val="clear" w:color="FFFFFF" w:fill="FFFFFF"/>
            <w:noWrap/>
            <w:vAlign w:val="center"/>
            <w:hideMark/>
          </w:tcPr>
          <w:p w14:paraId="61748200" w14:textId="6727C7AB"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54" w:type="dxa"/>
            <w:tcBorders>
              <w:top w:val="nil"/>
              <w:left w:val="nil"/>
              <w:bottom w:val="single" w:sz="4" w:space="0" w:color="auto"/>
              <w:right w:val="single" w:sz="4" w:space="0" w:color="FFFFFF"/>
            </w:tcBorders>
            <w:shd w:val="clear" w:color="FFFFFF" w:fill="FFFFFF"/>
            <w:noWrap/>
            <w:vAlign w:val="center"/>
            <w:hideMark/>
          </w:tcPr>
          <w:p w14:paraId="4DAC1FD4" w14:textId="05DD054C"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286" w:type="dxa"/>
            <w:tcBorders>
              <w:top w:val="nil"/>
              <w:left w:val="nil"/>
              <w:bottom w:val="single" w:sz="4" w:space="0" w:color="auto"/>
              <w:right w:val="single" w:sz="4" w:space="0" w:color="FFFFFF"/>
            </w:tcBorders>
            <w:shd w:val="clear" w:color="FFFFFF" w:fill="FFFFFF"/>
            <w:noWrap/>
            <w:vAlign w:val="center"/>
            <w:hideMark/>
          </w:tcPr>
          <w:p w14:paraId="5F4DDC15" w14:textId="0A12530B"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54" w:type="dxa"/>
            <w:tcBorders>
              <w:top w:val="nil"/>
              <w:left w:val="nil"/>
              <w:bottom w:val="single" w:sz="4" w:space="0" w:color="auto"/>
              <w:right w:val="single" w:sz="4" w:space="0" w:color="FFFFFF"/>
            </w:tcBorders>
            <w:shd w:val="clear" w:color="FFFFFF" w:fill="FFFFFF"/>
            <w:noWrap/>
            <w:vAlign w:val="center"/>
            <w:hideMark/>
          </w:tcPr>
          <w:p w14:paraId="49010A30"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238.0 </w:t>
            </w:r>
          </w:p>
        </w:tc>
      </w:tr>
      <w:tr w:rsidR="00F1540A" w:rsidRPr="005734B8" w14:paraId="2FD8A0BB" w14:textId="77777777" w:rsidTr="000F48B1">
        <w:trPr>
          <w:trHeight w:val="170"/>
        </w:trPr>
        <w:tc>
          <w:tcPr>
            <w:tcW w:w="4525" w:type="dxa"/>
            <w:tcBorders>
              <w:top w:val="nil"/>
              <w:left w:val="nil"/>
              <w:bottom w:val="single" w:sz="4" w:space="0" w:color="auto"/>
              <w:right w:val="nil"/>
            </w:tcBorders>
            <w:shd w:val="clear" w:color="FFFFFF" w:fill="FFFFFF"/>
            <w:vAlign w:val="center"/>
            <w:hideMark/>
          </w:tcPr>
          <w:p w14:paraId="3E3082B3"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Adjusted balance at 1 July 2019</w:t>
            </w:r>
          </w:p>
        </w:tc>
        <w:tc>
          <w:tcPr>
            <w:tcW w:w="1137" w:type="dxa"/>
            <w:tcBorders>
              <w:top w:val="nil"/>
              <w:left w:val="single" w:sz="4" w:space="0" w:color="FFFFFF"/>
              <w:bottom w:val="single" w:sz="4" w:space="0" w:color="auto"/>
              <w:right w:val="single" w:sz="4" w:space="0" w:color="FFFFFF"/>
            </w:tcBorders>
            <w:shd w:val="clear" w:color="FFFFFF" w:fill="FFFFFF"/>
            <w:noWrap/>
            <w:vAlign w:val="center"/>
            <w:hideMark/>
          </w:tcPr>
          <w:p w14:paraId="6612CF9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10,718.0 </w:t>
            </w:r>
          </w:p>
        </w:tc>
        <w:tc>
          <w:tcPr>
            <w:tcW w:w="1154" w:type="dxa"/>
            <w:tcBorders>
              <w:top w:val="nil"/>
              <w:left w:val="nil"/>
              <w:bottom w:val="single" w:sz="4" w:space="0" w:color="auto"/>
              <w:right w:val="single" w:sz="4" w:space="0" w:color="FFFFFF"/>
            </w:tcBorders>
            <w:shd w:val="clear" w:color="FFFFFF" w:fill="FFFFFF"/>
            <w:noWrap/>
            <w:vAlign w:val="center"/>
            <w:hideMark/>
          </w:tcPr>
          <w:p w14:paraId="7AB1AC8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11,775.2 </w:t>
            </w:r>
          </w:p>
        </w:tc>
        <w:tc>
          <w:tcPr>
            <w:tcW w:w="1023" w:type="dxa"/>
            <w:tcBorders>
              <w:top w:val="nil"/>
              <w:left w:val="nil"/>
              <w:bottom w:val="single" w:sz="4" w:space="0" w:color="auto"/>
              <w:right w:val="single" w:sz="4" w:space="0" w:color="FFFFFF"/>
            </w:tcBorders>
            <w:shd w:val="clear" w:color="FFFFFF" w:fill="FFFFFF"/>
            <w:noWrap/>
            <w:vAlign w:val="center"/>
            <w:hideMark/>
          </w:tcPr>
          <w:p w14:paraId="0D35133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100.6 </w:t>
            </w:r>
          </w:p>
        </w:tc>
        <w:tc>
          <w:tcPr>
            <w:tcW w:w="1153" w:type="dxa"/>
            <w:tcBorders>
              <w:top w:val="nil"/>
              <w:left w:val="nil"/>
              <w:bottom w:val="single" w:sz="4" w:space="0" w:color="auto"/>
              <w:right w:val="single" w:sz="4" w:space="0" w:color="FFFFFF"/>
            </w:tcBorders>
            <w:shd w:val="clear" w:color="FFFFFF" w:fill="FFFFFF"/>
            <w:noWrap/>
            <w:vAlign w:val="center"/>
            <w:hideMark/>
          </w:tcPr>
          <w:p w14:paraId="482DBF0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754.4 </w:t>
            </w:r>
          </w:p>
        </w:tc>
        <w:tc>
          <w:tcPr>
            <w:tcW w:w="1360" w:type="dxa"/>
            <w:tcBorders>
              <w:top w:val="nil"/>
              <w:left w:val="nil"/>
              <w:bottom w:val="single" w:sz="4" w:space="0" w:color="auto"/>
              <w:right w:val="single" w:sz="4" w:space="0" w:color="FFFFFF"/>
            </w:tcBorders>
            <w:shd w:val="clear" w:color="FFFFFF" w:fill="FFFFFF"/>
            <w:noWrap/>
            <w:vAlign w:val="center"/>
            <w:hideMark/>
          </w:tcPr>
          <w:p w14:paraId="1E0637E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21.6 </w:t>
            </w:r>
          </w:p>
        </w:tc>
        <w:tc>
          <w:tcPr>
            <w:tcW w:w="1154" w:type="dxa"/>
            <w:tcBorders>
              <w:top w:val="nil"/>
              <w:left w:val="nil"/>
              <w:bottom w:val="single" w:sz="4" w:space="0" w:color="auto"/>
              <w:right w:val="single" w:sz="4" w:space="0" w:color="FFFFFF"/>
            </w:tcBorders>
            <w:shd w:val="clear" w:color="FFFFFF" w:fill="FFFFFF"/>
            <w:noWrap/>
            <w:vAlign w:val="center"/>
            <w:hideMark/>
          </w:tcPr>
          <w:p w14:paraId="6F9C446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104.8 </w:t>
            </w:r>
          </w:p>
        </w:tc>
        <w:tc>
          <w:tcPr>
            <w:tcW w:w="1286" w:type="dxa"/>
            <w:tcBorders>
              <w:top w:val="nil"/>
              <w:left w:val="nil"/>
              <w:bottom w:val="single" w:sz="4" w:space="0" w:color="auto"/>
              <w:right w:val="single" w:sz="4" w:space="0" w:color="FFFFFF"/>
            </w:tcBorders>
            <w:shd w:val="clear" w:color="FFFFFF" w:fill="FFFFFF"/>
            <w:noWrap/>
            <w:vAlign w:val="center"/>
            <w:hideMark/>
          </w:tcPr>
          <w:p w14:paraId="58F9244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914.3 </w:t>
            </w:r>
          </w:p>
        </w:tc>
        <w:tc>
          <w:tcPr>
            <w:tcW w:w="1154" w:type="dxa"/>
            <w:tcBorders>
              <w:top w:val="nil"/>
              <w:left w:val="nil"/>
              <w:bottom w:val="single" w:sz="4" w:space="0" w:color="auto"/>
              <w:right w:val="single" w:sz="4" w:space="0" w:color="FFFFFF"/>
            </w:tcBorders>
            <w:shd w:val="clear" w:color="FFFFFF" w:fill="FFFFFF"/>
            <w:noWrap/>
            <w:vAlign w:val="center"/>
            <w:hideMark/>
          </w:tcPr>
          <w:p w14:paraId="68F23B44"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24,388.9 </w:t>
            </w:r>
          </w:p>
        </w:tc>
      </w:tr>
      <w:tr w:rsidR="00F1540A" w:rsidRPr="005734B8" w14:paraId="1540ABCE" w14:textId="77777777" w:rsidTr="000F48B1">
        <w:trPr>
          <w:trHeight w:val="170"/>
        </w:trPr>
        <w:tc>
          <w:tcPr>
            <w:tcW w:w="4525" w:type="dxa"/>
            <w:tcBorders>
              <w:top w:val="nil"/>
              <w:left w:val="nil"/>
              <w:bottom w:val="single" w:sz="4" w:space="0" w:color="auto"/>
              <w:right w:val="nil"/>
            </w:tcBorders>
            <w:shd w:val="clear" w:color="FFFFFF" w:fill="FFFFFF"/>
            <w:vAlign w:val="center"/>
            <w:hideMark/>
          </w:tcPr>
          <w:p w14:paraId="249AF788"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Additions</w:t>
            </w:r>
          </w:p>
        </w:tc>
        <w:tc>
          <w:tcPr>
            <w:tcW w:w="1137" w:type="dxa"/>
            <w:tcBorders>
              <w:top w:val="nil"/>
              <w:left w:val="single" w:sz="4" w:space="0" w:color="FFFFFF"/>
              <w:bottom w:val="single" w:sz="4" w:space="0" w:color="auto"/>
              <w:right w:val="single" w:sz="4" w:space="0" w:color="FFFFFF"/>
            </w:tcBorders>
            <w:shd w:val="clear" w:color="FFFFFF" w:fill="FFFFFF"/>
            <w:noWrap/>
            <w:vAlign w:val="center"/>
            <w:hideMark/>
          </w:tcPr>
          <w:p w14:paraId="6816EED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139.1 </w:t>
            </w:r>
          </w:p>
        </w:tc>
        <w:tc>
          <w:tcPr>
            <w:tcW w:w="1154" w:type="dxa"/>
            <w:tcBorders>
              <w:top w:val="nil"/>
              <w:left w:val="nil"/>
              <w:bottom w:val="single" w:sz="4" w:space="0" w:color="auto"/>
              <w:right w:val="single" w:sz="4" w:space="0" w:color="FFFFFF"/>
            </w:tcBorders>
            <w:shd w:val="clear" w:color="FFFFFF" w:fill="FFFFFF"/>
            <w:noWrap/>
            <w:vAlign w:val="center"/>
            <w:hideMark/>
          </w:tcPr>
          <w:p w14:paraId="52D50D5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17.0 </w:t>
            </w:r>
          </w:p>
        </w:tc>
        <w:tc>
          <w:tcPr>
            <w:tcW w:w="1023" w:type="dxa"/>
            <w:tcBorders>
              <w:top w:val="nil"/>
              <w:left w:val="nil"/>
              <w:bottom w:val="single" w:sz="4" w:space="0" w:color="auto"/>
              <w:right w:val="single" w:sz="4" w:space="0" w:color="FFFFFF"/>
            </w:tcBorders>
            <w:shd w:val="clear" w:color="FFFFFF" w:fill="FFFFFF"/>
            <w:noWrap/>
            <w:vAlign w:val="center"/>
            <w:hideMark/>
          </w:tcPr>
          <w:p w14:paraId="526E742A" w14:textId="0AB52B0F" w:rsidR="00F1540A" w:rsidRPr="005734B8" w:rsidRDefault="00141228" w:rsidP="000F48B1">
            <w:pPr>
              <w:jc w:val="right"/>
              <w:rPr>
                <w:rFonts w:ascii="Calibri" w:hAnsi="Calibri" w:cs="Calibri"/>
                <w:sz w:val="18"/>
                <w:szCs w:val="18"/>
              </w:rPr>
            </w:pPr>
            <w:r w:rsidRPr="005734B8">
              <w:rPr>
                <w:rFonts w:ascii="Calibri" w:hAnsi="Calibri" w:cs="Calibri"/>
                <w:sz w:val="18"/>
                <w:szCs w:val="18"/>
              </w:rPr>
              <w:softHyphen/>
            </w:r>
            <w:r w:rsidR="006C14DE" w:rsidRPr="005734B8">
              <w:rPr>
                <w:rFonts w:ascii="Calibri" w:hAnsi="Calibri" w:cs="Calibri"/>
                <w:sz w:val="18"/>
                <w:szCs w:val="18"/>
              </w:rPr>
              <w:t>–</w:t>
            </w:r>
          </w:p>
        </w:tc>
        <w:tc>
          <w:tcPr>
            <w:tcW w:w="1153" w:type="dxa"/>
            <w:tcBorders>
              <w:top w:val="nil"/>
              <w:left w:val="nil"/>
              <w:bottom w:val="single" w:sz="4" w:space="0" w:color="auto"/>
              <w:right w:val="single" w:sz="4" w:space="0" w:color="FFFFFF"/>
            </w:tcBorders>
            <w:shd w:val="clear" w:color="FFFFFF" w:fill="FFFFFF"/>
            <w:noWrap/>
            <w:vAlign w:val="center"/>
            <w:hideMark/>
          </w:tcPr>
          <w:p w14:paraId="726B3EC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8.3 </w:t>
            </w:r>
          </w:p>
        </w:tc>
        <w:tc>
          <w:tcPr>
            <w:tcW w:w="1360" w:type="dxa"/>
            <w:tcBorders>
              <w:top w:val="nil"/>
              <w:left w:val="nil"/>
              <w:bottom w:val="single" w:sz="4" w:space="0" w:color="auto"/>
              <w:right w:val="single" w:sz="4" w:space="0" w:color="FFFFFF"/>
            </w:tcBorders>
            <w:shd w:val="clear" w:color="FFFFFF" w:fill="FFFFFF"/>
            <w:noWrap/>
            <w:vAlign w:val="center"/>
            <w:hideMark/>
          </w:tcPr>
          <w:p w14:paraId="1753679B" w14:textId="65402600"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54" w:type="dxa"/>
            <w:tcBorders>
              <w:top w:val="nil"/>
              <w:left w:val="nil"/>
              <w:bottom w:val="single" w:sz="4" w:space="0" w:color="auto"/>
              <w:right w:val="single" w:sz="4" w:space="0" w:color="FFFFFF"/>
            </w:tcBorders>
            <w:shd w:val="clear" w:color="FFFFFF" w:fill="FFFFFF"/>
            <w:noWrap/>
            <w:vAlign w:val="center"/>
            <w:hideMark/>
          </w:tcPr>
          <w:p w14:paraId="75BA519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37.4 </w:t>
            </w:r>
          </w:p>
        </w:tc>
        <w:tc>
          <w:tcPr>
            <w:tcW w:w="1286" w:type="dxa"/>
            <w:tcBorders>
              <w:top w:val="nil"/>
              <w:left w:val="nil"/>
              <w:bottom w:val="single" w:sz="4" w:space="0" w:color="auto"/>
              <w:right w:val="single" w:sz="4" w:space="0" w:color="FFFFFF"/>
            </w:tcBorders>
            <w:shd w:val="clear" w:color="FFFFFF" w:fill="FFFFFF"/>
            <w:noWrap/>
            <w:vAlign w:val="center"/>
            <w:hideMark/>
          </w:tcPr>
          <w:p w14:paraId="07D8F51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1,311.1 </w:t>
            </w:r>
          </w:p>
        </w:tc>
        <w:tc>
          <w:tcPr>
            <w:tcW w:w="1154" w:type="dxa"/>
            <w:tcBorders>
              <w:top w:val="nil"/>
              <w:left w:val="nil"/>
              <w:bottom w:val="single" w:sz="4" w:space="0" w:color="auto"/>
              <w:right w:val="single" w:sz="4" w:space="0" w:color="FFFFFF"/>
            </w:tcBorders>
            <w:shd w:val="clear" w:color="FFFFFF" w:fill="FFFFFF"/>
            <w:noWrap/>
            <w:vAlign w:val="center"/>
            <w:hideMark/>
          </w:tcPr>
          <w:p w14:paraId="293FF257"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1,512.9 </w:t>
            </w:r>
          </w:p>
        </w:tc>
      </w:tr>
      <w:tr w:rsidR="00F1540A" w:rsidRPr="005734B8" w14:paraId="4AF348F0" w14:textId="77777777" w:rsidTr="000F48B1">
        <w:trPr>
          <w:trHeight w:val="170"/>
        </w:trPr>
        <w:tc>
          <w:tcPr>
            <w:tcW w:w="4525" w:type="dxa"/>
            <w:tcBorders>
              <w:top w:val="nil"/>
              <w:left w:val="nil"/>
              <w:bottom w:val="single" w:sz="4" w:space="0" w:color="auto"/>
              <w:right w:val="nil"/>
            </w:tcBorders>
            <w:shd w:val="clear" w:color="FFFFFF" w:fill="FFFFFF"/>
            <w:vAlign w:val="center"/>
            <w:hideMark/>
          </w:tcPr>
          <w:p w14:paraId="6D0BBA27"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Fair value of assets received free of charge or for nominal considerations</w:t>
            </w:r>
          </w:p>
        </w:tc>
        <w:tc>
          <w:tcPr>
            <w:tcW w:w="1137" w:type="dxa"/>
            <w:tcBorders>
              <w:top w:val="nil"/>
              <w:left w:val="single" w:sz="4" w:space="0" w:color="FFFFFF"/>
              <w:bottom w:val="single" w:sz="4" w:space="0" w:color="auto"/>
              <w:right w:val="single" w:sz="4" w:space="0" w:color="FFFFFF"/>
            </w:tcBorders>
            <w:shd w:val="clear" w:color="FFFFFF" w:fill="FFFFFF"/>
            <w:noWrap/>
            <w:vAlign w:val="center"/>
            <w:hideMark/>
          </w:tcPr>
          <w:p w14:paraId="75F14C7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15.0 </w:t>
            </w:r>
          </w:p>
        </w:tc>
        <w:tc>
          <w:tcPr>
            <w:tcW w:w="1154" w:type="dxa"/>
            <w:tcBorders>
              <w:top w:val="nil"/>
              <w:left w:val="nil"/>
              <w:bottom w:val="single" w:sz="4" w:space="0" w:color="auto"/>
              <w:right w:val="single" w:sz="4" w:space="0" w:color="FFFFFF"/>
            </w:tcBorders>
            <w:shd w:val="clear" w:color="FFFFFF" w:fill="FFFFFF"/>
            <w:noWrap/>
            <w:vAlign w:val="center"/>
            <w:hideMark/>
          </w:tcPr>
          <w:p w14:paraId="450FA3C9" w14:textId="7E77ACF3"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023" w:type="dxa"/>
            <w:tcBorders>
              <w:top w:val="nil"/>
              <w:left w:val="nil"/>
              <w:bottom w:val="single" w:sz="4" w:space="0" w:color="auto"/>
              <w:right w:val="single" w:sz="4" w:space="0" w:color="FFFFFF"/>
            </w:tcBorders>
            <w:shd w:val="clear" w:color="FFFFFF" w:fill="FFFFFF"/>
            <w:noWrap/>
            <w:vAlign w:val="center"/>
            <w:hideMark/>
          </w:tcPr>
          <w:p w14:paraId="040B2A2B" w14:textId="4AB57A88"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53" w:type="dxa"/>
            <w:tcBorders>
              <w:top w:val="nil"/>
              <w:left w:val="nil"/>
              <w:bottom w:val="single" w:sz="4" w:space="0" w:color="auto"/>
              <w:right w:val="single" w:sz="4" w:space="0" w:color="FFFFFF"/>
            </w:tcBorders>
            <w:shd w:val="clear" w:color="FFFFFF" w:fill="FFFFFF"/>
            <w:noWrap/>
            <w:vAlign w:val="center"/>
            <w:hideMark/>
          </w:tcPr>
          <w:p w14:paraId="3B5D666C" w14:textId="107084EE"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360" w:type="dxa"/>
            <w:tcBorders>
              <w:top w:val="nil"/>
              <w:left w:val="nil"/>
              <w:bottom w:val="single" w:sz="4" w:space="0" w:color="auto"/>
              <w:right w:val="single" w:sz="4" w:space="0" w:color="FFFFFF"/>
            </w:tcBorders>
            <w:shd w:val="clear" w:color="FFFFFF" w:fill="FFFFFF"/>
            <w:noWrap/>
            <w:vAlign w:val="center"/>
            <w:hideMark/>
          </w:tcPr>
          <w:p w14:paraId="092F1CEC" w14:textId="20730951"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54" w:type="dxa"/>
            <w:tcBorders>
              <w:top w:val="nil"/>
              <w:left w:val="nil"/>
              <w:bottom w:val="single" w:sz="4" w:space="0" w:color="auto"/>
              <w:right w:val="single" w:sz="4" w:space="0" w:color="FFFFFF"/>
            </w:tcBorders>
            <w:shd w:val="clear" w:color="FFFFFF" w:fill="FFFFFF"/>
            <w:noWrap/>
            <w:vAlign w:val="center"/>
            <w:hideMark/>
          </w:tcPr>
          <w:p w14:paraId="6F753B7C" w14:textId="4534B8F5"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286" w:type="dxa"/>
            <w:tcBorders>
              <w:top w:val="nil"/>
              <w:left w:val="nil"/>
              <w:bottom w:val="single" w:sz="4" w:space="0" w:color="auto"/>
              <w:right w:val="single" w:sz="4" w:space="0" w:color="FFFFFF"/>
            </w:tcBorders>
            <w:shd w:val="clear" w:color="FFFFFF" w:fill="FFFFFF"/>
            <w:noWrap/>
            <w:vAlign w:val="center"/>
            <w:hideMark/>
          </w:tcPr>
          <w:p w14:paraId="7F77F543" w14:textId="603E49FC"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54" w:type="dxa"/>
            <w:tcBorders>
              <w:top w:val="nil"/>
              <w:left w:val="nil"/>
              <w:bottom w:val="single" w:sz="4" w:space="0" w:color="auto"/>
              <w:right w:val="single" w:sz="4" w:space="0" w:color="FFFFFF"/>
            </w:tcBorders>
            <w:shd w:val="clear" w:color="FFFFFF" w:fill="FFFFFF"/>
            <w:noWrap/>
            <w:vAlign w:val="center"/>
            <w:hideMark/>
          </w:tcPr>
          <w:p w14:paraId="3808F6DD"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15.0 </w:t>
            </w:r>
          </w:p>
        </w:tc>
      </w:tr>
      <w:tr w:rsidR="00F1540A" w:rsidRPr="005734B8" w14:paraId="7695512B" w14:textId="77777777" w:rsidTr="000F48B1">
        <w:trPr>
          <w:trHeight w:val="170"/>
        </w:trPr>
        <w:tc>
          <w:tcPr>
            <w:tcW w:w="4525" w:type="dxa"/>
            <w:tcBorders>
              <w:top w:val="nil"/>
              <w:left w:val="nil"/>
              <w:bottom w:val="single" w:sz="4" w:space="0" w:color="auto"/>
              <w:right w:val="nil"/>
            </w:tcBorders>
            <w:shd w:val="clear" w:color="FFFFFF" w:fill="FFFFFF"/>
            <w:vAlign w:val="center"/>
            <w:hideMark/>
          </w:tcPr>
          <w:p w14:paraId="7241F20E"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Transfers to completed assets</w:t>
            </w:r>
          </w:p>
        </w:tc>
        <w:tc>
          <w:tcPr>
            <w:tcW w:w="1137" w:type="dxa"/>
            <w:tcBorders>
              <w:top w:val="nil"/>
              <w:left w:val="single" w:sz="4" w:space="0" w:color="FFFFFF"/>
              <w:bottom w:val="single" w:sz="4" w:space="0" w:color="auto"/>
              <w:right w:val="single" w:sz="4" w:space="0" w:color="FFFFFF"/>
            </w:tcBorders>
            <w:shd w:val="clear" w:color="FFFFFF" w:fill="FFFFFF"/>
            <w:noWrap/>
            <w:vAlign w:val="center"/>
            <w:hideMark/>
          </w:tcPr>
          <w:p w14:paraId="66EFFF3D" w14:textId="34451AF6" w:rsidR="00F1540A" w:rsidRPr="005734B8" w:rsidRDefault="00141228" w:rsidP="000F48B1">
            <w:pPr>
              <w:jc w:val="right"/>
              <w:rPr>
                <w:rFonts w:ascii="Calibri" w:hAnsi="Calibri" w:cs="Calibri"/>
                <w:sz w:val="18"/>
                <w:szCs w:val="18"/>
              </w:rPr>
            </w:pPr>
            <w:r w:rsidRPr="005734B8">
              <w:rPr>
                <w:rFonts w:ascii="Calibri" w:hAnsi="Calibri" w:cs="Calibri"/>
                <w:sz w:val="18"/>
                <w:szCs w:val="18"/>
              </w:rPr>
              <w:softHyphen/>
            </w:r>
            <w:r w:rsidR="006C14DE" w:rsidRPr="005734B8">
              <w:rPr>
                <w:rFonts w:ascii="Calibri" w:hAnsi="Calibri" w:cs="Calibri"/>
                <w:sz w:val="18"/>
                <w:szCs w:val="18"/>
              </w:rPr>
              <w:t>–</w:t>
            </w:r>
            <w:r w:rsidR="00F1540A" w:rsidRPr="005734B8">
              <w:rPr>
                <w:rFonts w:ascii="Calibri" w:hAnsi="Calibri" w:cs="Calibri"/>
                <w:sz w:val="18"/>
                <w:szCs w:val="18"/>
              </w:rPr>
              <w:t xml:space="preserve"> </w:t>
            </w:r>
          </w:p>
        </w:tc>
        <w:tc>
          <w:tcPr>
            <w:tcW w:w="1154" w:type="dxa"/>
            <w:tcBorders>
              <w:top w:val="nil"/>
              <w:left w:val="nil"/>
              <w:bottom w:val="single" w:sz="4" w:space="0" w:color="auto"/>
              <w:right w:val="single" w:sz="4" w:space="0" w:color="FFFFFF"/>
            </w:tcBorders>
            <w:shd w:val="clear" w:color="FFFFFF" w:fill="FFFFFF"/>
            <w:noWrap/>
            <w:vAlign w:val="center"/>
            <w:hideMark/>
          </w:tcPr>
          <w:p w14:paraId="201FC69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1,134.7 </w:t>
            </w:r>
          </w:p>
        </w:tc>
        <w:tc>
          <w:tcPr>
            <w:tcW w:w="1023" w:type="dxa"/>
            <w:tcBorders>
              <w:top w:val="nil"/>
              <w:left w:val="nil"/>
              <w:bottom w:val="single" w:sz="4" w:space="0" w:color="auto"/>
              <w:right w:val="single" w:sz="4" w:space="0" w:color="FFFFFF"/>
            </w:tcBorders>
            <w:shd w:val="clear" w:color="FFFFFF" w:fill="FFFFFF"/>
            <w:noWrap/>
            <w:vAlign w:val="center"/>
            <w:hideMark/>
          </w:tcPr>
          <w:p w14:paraId="7E134DBF" w14:textId="160E646B"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53" w:type="dxa"/>
            <w:tcBorders>
              <w:top w:val="nil"/>
              <w:left w:val="nil"/>
              <w:bottom w:val="single" w:sz="4" w:space="0" w:color="auto"/>
              <w:right w:val="single" w:sz="4" w:space="0" w:color="FFFFFF"/>
            </w:tcBorders>
            <w:shd w:val="clear" w:color="FFFFFF" w:fill="FFFFFF"/>
            <w:noWrap/>
            <w:vAlign w:val="center"/>
            <w:hideMark/>
          </w:tcPr>
          <w:p w14:paraId="459A9AFD" w14:textId="48087BAE"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360" w:type="dxa"/>
            <w:tcBorders>
              <w:top w:val="nil"/>
              <w:left w:val="nil"/>
              <w:bottom w:val="single" w:sz="4" w:space="0" w:color="auto"/>
              <w:right w:val="single" w:sz="4" w:space="0" w:color="FFFFFF"/>
            </w:tcBorders>
            <w:shd w:val="clear" w:color="FFFFFF" w:fill="FFFFFF"/>
            <w:noWrap/>
            <w:vAlign w:val="center"/>
            <w:hideMark/>
          </w:tcPr>
          <w:p w14:paraId="5738A67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4.8 </w:t>
            </w:r>
          </w:p>
        </w:tc>
        <w:tc>
          <w:tcPr>
            <w:tcW w:w="1154" w:type="dxa"/>
            <w:tcBorders>
              <w:top w:val="nil"/>
              <w:left w:val="nil"/>
              <w:bottom w:val="single" w:sz="4" w:space="0" w:color="auto"/>
              <w:right w:val="single" w:sz="4" w:space="0" w:color="FFFFFF"/>
            </w:tcBorders>
            <w:shd w:val="clear" w:color="FFFFFF" w:fill="FFFFFF"/>
            <w:noWrap/>
            <w:vAlign w:val="center"/>
            <w:hideMark/>
          </w:tcPr>
          <w:p w14:paraId="3356F2C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2.5 </w:t>
            </w:r>
          </w:p>
        </w:tc>
        <w:tc>
          <w:tcPr>
            <w:tcW w:w="1286" w:type="dxa"/>
            <w:tcBorders>
              <w:top w:val="nil"/>
              <w:left w:val="nil"/>
              <w:bottom w:val="single" w:sz="4" w:space="0" w:color="auto"/>
              <w:right w:val="single" w:sz="4" w:space="0" w:color="FFFFFF"/>
            </w:tcBorders>
            <w:shd w:val="clear" w:color="FFFFFF" w:fill="FFFFFF"/>
            <w:noWrap/>
            <w:vAlign w:val="center"/>
            <w:hideMark/>
          </w:tcPr>
          <w:p w14:paraId="29AD9EE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(1,142.0) </w:t>
            </w:r>
          </w:p>
        </w:tc>
        <w:tc>
          <w:tcPr>
            <w:tcW w:w="1154" w:type="dxa"/>
            <w:tcBorders>
              <w:top w:val="nil"/>
              <w:left w:val="nil"/>
              <w:bottom w:val="single" w:sz="4" w:space="0" w:color="auto"/>
              <w:right w:val="single" w:sz="4" w:space="0" w:color="FFFFFF"/>
            </w:tcBorders>
            <w:shd w:val="clear" w:color="FFFFFF" w:fill="FFFFFF"/>
            <w:noWrap/>
            <w:vAlign w:val="center"/>
            <w:hideMark/>
          </w:tcPr>
          <w:p w14:paraId="04B6DEFD" w14:textId="336667C1" w:rsidR="00F1540A" w:rsidRPr="005734B8" w:rsidRDefault="002B0084" w:rsidP="000F48B1">
            <w:pPr>
              <w:jc w:val="right"/>
              <w:rPr>
                <w:rFonts w:ascii="Calibri" w:hAnsi="Calibri" w:cs="Calibri"/>
                <w:b/>
                <w:sz w:val="18"/>
                <w:szCs w:val="18"/>
              </w:rPr>
            </w:pPr>
            <w:r w:rsidRPr="005734B8">
              <w:rPr>
                <w:rFonts w:ascii="Calibri" w:hAnsi="Calibri" w:cs="Calibri"/>
                <w:sz w:val="18"/>
                <w:szCs w:val="18"/>
              </w:rPr>
              <w:t xml:space="preserve">- </w:t>
            </w:r>
            <w:r w:rsidR="00141228" w:rsidRPr="005734B8">
              <w:rPr>
                <w:rFonts w:ascii="Calibri" w:hAnsi="Calibri" w:cs="Calibri"/>
                <w:sz w:val="18"/>
                <w:szCs w:val="18"/>
              </w:rPr>
              <w:softHyphen/>
            </w:r>
            <w:r w:rsidR="00F1540A" w:rsidRPr="005734B8">
              <w:rPr>
                <w:rFonts w:ascii="Calibri" w:hAnsi="Calibri" w:cs="Calibri"/>
                <w:b/>
                <w:sz w:val="18"/>
                <w:szCs w:val="18"/>
              </w:rPr>
              <w:t xml:space="preserve"> </w:t>
            </w:r>
          </w:p>
        </w:tc>
      </w:tr>
      <w:tr w:rsidR="00F1540A" w:rsidRPr="005734B8" w14:paraId="30C97FF3" w14:textId="77777777" w:rsidTr="000F48B1">
        <w:trPr>
          <w:trHeight w:val="170"/>
        </w:trPr>
        <w:tc>
          <w:tcPr>
            <w:tcW w:w="4525" w:type="dxa"/>
            <w:tcBorders>
              <w:top w:val="nil"/>
              <w:left w:val="nil"/>
              <w:bottom w:val="single" w:sz="4" w:space="0" w:color="auto"/>
              <w:right w:val="nil"/>
            </w:tcBorders>
            <w:shd w:val="clear" w:color="FFFFFF" w:fill="FFFFFF"/>
            <w:vAlign w:val="center"/>
            <w:hideMark/>
          </w:tcPr>
          <w:p w14:paraId="5957E6D7"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Disposals</w:t>
            </w:r>
            <w:r w:rsidRPr="005734B8">
              <w:rPr>
                <w:rStyle w:val="FootnoteReference"/>
                <w:rFonts w:ascii="Calibri" w:hAnsi="Calibri" w:cs="Calibri"/>
                <w:sz w:val="18"/>
                <w:szCs w:val="18"/>
              </w:rPr>
              <w:footnoteReference w:id="86"/>
            </w:r>
          </w:p>
        </w:tc>
        <w:tc>
          <w:tcPr>
            <w:tcW w:w="1137" w:type="dxa"/>
            <w:tcBorders>
              <w:top w:val="nil"/>
              <w:left w:val="single" w:sz="4" w:space="0" w:color="FFFFFF"/>
              <w:bottom w:val="single" w:sz="4" w:space="0" w:color="auto"/>
              <w:right w:val="single" w:sz="4" w:space="0" w:color="FFFFFF"/>
            </w:tcBorders>
            <w:shd w:val="clear" w:color="FFFFFF" w:fill="FFFFFF"/>
            <w:noWrap/>
            <w:vAlign w:val="center"/>
            <w:hideMark/>
          </w:tcPr>
          <w:p w14:paraId="1C3FA8A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(2.0) </w:t>
            </w:r>
          </w:p>
        </w:tc>
        <w:tc>
          <w:tcPr>
            <w:tcW w:w="1154" w:type="dxa"/>
            <w:tcBorders>
              <w:top w:val="nil"/>
              <w:left w:val="nil"/>
              <w:bottom w:val="single" w:sz="4" w:space="0" w:color="auto"/>
              <w:right w:val="single" w:sz="4" w:space="0" w:color="FFFFFF"/>
            </w:tcBorders>
            <w:shd w:val="clear" w:color="FFFFFF" w:fill="FFFFFF"/>
            <w:noWrap/>
            <w:vAlign w:val="center"/>
            <w:hideMark/>
          </w:tcPr>
          <w:p w14:paraId="5135499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(51.1) </w:t>
            </w:r>
          </w:p>
        </w:tc>
        <w:tc>
          <w:tcPr>
            <w:tcW w:w="1023" w:type="dxa"/>
            <w:tcBorders>
              <w:top w:val="nil"/>
              <w:left w:val="nil"/>
              <w:bottom w:val="single" w:sz="4" w:space="0" w:color="auto"/>
              <w:right w:val="single" w:sz="4" w:space="0" w:color="FFFFFF"/>
            </w:tcBorders>
            <w:shd w:val="clear" w:color="FFFFFF" w:fill="FFFFFF"/>
            <w:noWrap/>
            <w:vAlign w:val="center"/>
            <w:hideMark/>
          </w:tcPr>
          <w:p w14:paraId="0454C734" w14:textId="1EAAEE9F"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53" w:type="dxa"/>
            <w:tcBorders>
              <w:top w:val="nil"/>
              <w:left w:val="nil"/>
              <w:bottom w:val="single" w:sz="4" w:space="0" w:color="auto"/>
              <w:right w:val="single" w:sz="4" w:space="0" w:color="FFFFFF"/>
            </w:tcBorders>
            <w:shd w:val="clear" w:color="FFFFFF" w:fill="FFFFFF"/>
            <w:noWrap/>
            <w:vAlign w:val="center"/>
            <w:hideMark/>
          </w:tcPr>
          <w:p w14:paraId="436AC2D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(161.4) </w:t>
            </w:r>
          </w:p>
        </w:tc>
        <w:tc>
          <w:tcPr>
            <w:tcW w:w="1360" w:type="dxa"/>
            <w:tcBorders>
              <w:top w:val="nil"/>
              <w:left w:val="nil"/>
              <w:bottom w:val="single" w:sz="4" w:space="0" w:color="auto"/>
              <w:right w:val="single" w:sz="4" w:space="0" w:color="FFFFFF"/>
            </w:tcBorders>
            <w:shd w:val="clear" w:color="FFFFFF" w:fill="FFFFFF"/>
            <w:noWrap/>
            <w:vAlign w:val="center"/>
            <w:hideMark/>
          </w:tcPr>
          <w:p w14:paraId="71C1D81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(5.9) </w:t>
            </w:r>
          </w:p>
        </w:tc>
        <w:tc>
          <w:tcPr>
            <w:tcW w:w="1154" w:type="dxa"/>
            <w:tcBorders>
              <w:top w:val="nil"/>
              <w:left w:val="nil"/>
              <w:bottom w:val="single" w:sz="4" w:space="0" w:color="auto"/>
              <w:right w:val="single" w:sz="4" w:space="0" w:color="FFFFFF"/>
            </w:tcBorders>
            <w:shd w:val="clear" w:color="FFFFFF" w:fill="FFFFFF"/>
            <w:noWrap/>
            <w:vAlign w:val="center"/>
            <w:hideMark/>
          </w:tcPr>
          <w:p w14:paraId="348B113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(5.2) </w:t>
            </w:r>
          </w:p>
        </w:tc>
        <w:tc>
          <w:tcPr>
            <w:tcW w:w="1286" w:type="dxa"/>
            <w:tcBorders>
              <w:top w:val="nil"/>
              <w:left w:val="nil"/>
              <w:bottom w:val="single" w:sz="4" w:space="0" w:color="auto"/>
              <w:right w:val="single" w:sz="4" w:space="0" w:color="FFFFFF"/>
            </w:tcBorders>
            <w:shd w:val="clear" w:color="FFFFFF" w:fill="FFFFFF"/>
            <w:noWrap/>
            <w:vAlign w:val="center"/>
            <w:hideMark/>
          </w:tcPr>
          <w:p w14:paraId="561F58F2" w14:textId="2B9CC4E4"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54" w:type="dxa"/>
            <w:tcBorders>
              <w:top w:val="nil"/>
              <w:left w:val="nil"/>
              <w:bottom w:val="single" w:sz="4" w:space="0" w:color="auto"/>
              <w:right w:val="single" w:sz="4" w:space="0" w:color="FFFFFF"/>
            </w:tcBorders>
            <w:shd w:val="clear" w:color="FFFFFF" w:fill="FFFFFF"/>
            <w:noWrap/>
            <w:vAlign w:val="center"/>
            <w:hideMark/>
          </w:tcPr>
          <w:p w14:paraId="0BA41515"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(225.6) </w:t>
            </w:r>
          </w:p>
        </w:tc>
      </w:tr>
      <w:tr w:rsidR="00F1540A" w:rsidRPr="005734B8" w14:paraId="5CDB1F63" w14:textId="77777777" w:rsidTr="000F48B1">
        <w:trPr>
          <w:trHeight w:val="170"/>
        </w:trPr>
        <w:tc>
          <w:tcPr>
            <w:tcW w:w="4525" w:type="dxa"/>
            <w:tcBorders>
              <w:top w:val="nil"/>
              <w:left w:val="nil"/>
              <w:bottom w:val="single" w:sz="4" w:space="0" w:color="auto"/>
              <w:right w:val="nil"/>
            </w:tcBorders>
            <w:shd w:val="clear" w:color="FFFFFF" w:fill="FFFFFF"/>
            <w:vAlign w:val="center"/>
            <w:hideMark/>
          </w:tcPr>
          <w:p w14:paraId="3D3E6565"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Revaluation increments/(decrements)</w:t>
            </w:r>
          </w:p>
        </w:tc>
        <w:tc>
          <w:tcPr>
            <w:tcW w:w="1137" w:type="dxa"/>
            <w:tcBorders>
              <w:top w:val="nil"/>
              <w:left w:val="single" w:sz="4" w:space="0" w:color="FFFFFF"/>
              <w:bottom w:val="single" w:sz="4" w:space="0" w:color="auto"/>
              <w:right w:val="single" w:sz="4" w:space="0" w:color="FFFFFF"/>
            </w:tcBorders>
            <w:shd w:val="clear" w:color="FFFFFF" w:fill="FFFFFF"/>
            <w:noWrap/>
            <w:vAlign w:val="center"/>
            <w:hideMark/>
          </w:tcPr>
          <w:p w14:paraId="1DC49E8C" w14:textId="4E78E249"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54" w:type="dxa"/>
            <w:tcBorders>
              <w:top w:val="nil"/>
              <w:left w:val="nil"/>
              <w:bottom w:val="single" w:sz="4" w:space="0" w:color="auto"/>
              <w:right w:val="single" w:sz="4" w:space="0" w:color="FFFFFF"/>
            </w:tcBorders>
            <w:shd w:val="clear" w:color="FFFFFF" w:fill="FFFFFF"/>
            <w:noWrap/>
            <w:vAlign w:val="center"/>
            <w:hideMark/>
          </w:tcPr>
          <w:p w14:paraId="1B0325F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(8.2) </w:t>
            </w:r>
          </w:p>
        </w:tc>
        <w:tc>
          <w:tcPr>
            <w:tcW w:w="1023" w:type="dxa"/>
            <w:tcBorders>
              <w:top w:val="nil"/>
              <w:left w:val="nil"/>
              <w:bottom w:val="single" w:sz="4" w:space="0" w:color="auto"/>
              <w:right w:val="single" w:sz="4" w:space="0" w:color="FFFFFF"/>
            </w:tcBorders>
            <w:shd w:val="clear" w:color="FFFFFF" w:fill="FFFFFF"/>
            <w:noWrap/>
            <w:vAlign w:val="center"/>
            <w:hideMark/>
          </w:tcPr>
          <w:p w14:paraId="62D37A85" w14:textId="3BE5581C"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53" w:type="dxa"/>
            <w:tcBorders>
              <w:top w:val="nil"/>
              <w:left w:val="nil"/>
              <w:bottom w:val="single" w:sz="4" w:space="0" w:color="auto"/>
              <w:right w:val="single" w:sz="4" w:space="0" w:color="FFFFFF"/>
            </w:tcBorders>
            <w:shd w:val="clear" w:color="FFFFFF" w:fill="FFFFFF"/>
            <w:noWrap/>
            <w:vAlign w:val="center"/>
            <w:hideMark/>
          </w:tcPr>
          <w:p w14:paraId="661036B3" w14:textId="40211088"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360" w:type="dxa"/>
            <w:tcBorders>
              <w:top w:val="nil"/>
              <w:left w:val="nil"/>
              <w:bottom w:val="single" w:sz="4" w:space="0" w:color="auto"/>
              <w:right w:val="single" w:sz="4" w:space="0" w:color="FFFFFF"/>
            </w:tcBorders>
            <w:shd w:val="clear" w:color="FFFFFF" w:fill="FFFFFF"/>
            <w:noWrap/>
            <w:vAlign w:val="center"/>
            <w:hideMark/>
          </w:tcPr>
          <w:p w14:paraId="170F70E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1.9 </w:t>
            </w:r>
          </w:p>
        </w:tc>
        <w:tc>
          <w:tcPr>
            <w:tcW w:w="1154" w:type="dxa"/>
            <w:tcBorders>
              <w:top w:val="nil"/>
              <w:left w:val="nil"/>
              <w:bottom w:val="single" w:sz="4" w:space="0" w:color="auto"/>
              <w:right w:val="single" w:sz="4" w:space="0" w:color="FFFFFF"/>
            </w:tcBorders>
            <w:shd w:val="clear" w:color="FFFFFF" w:fill="FFFFFF"/>
            <w:noWrap/>
            <w:vAlign w:val="center"/>
            <w:hideMark/>
          </w:tcPr>
          <w:p w14:paraId="466C369F" w14:textId="65921327"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286" w:type="dxa"/>
            <w:tcBorders>
              <w:top w:val="nil"/>
              <w:left w:val="nil"/>
              <w:bottom w:val="single" w:sz="4" w:space="0" w:color="auto"/>
              <w:right w:val="single" w:sz="4" w:space="0" w:color="FFFFFF"/>
            </w:tcBorders>
            <w:shd w:val="clear" w:color="FFFFFF" w:fill="FFFFFF"/>
            <w:noWrap/>
            <w:vAlign w:val="center"/>
            <w:hideMark/>
          </w:tcPr>
          <w:p w14:paraId="40785BA3" w14:textId="2A18E6C3"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54" w:type="dxa"/>
            <w:tcBorders>
              <w:top w:val="nil"/>
              <w:left w:val="nil"/>
              <w:bottom w:val="single" w:sz="4" w:space="0" w:color="auto"/>
              <w:right w:val="single" w:sz="4" w:space="0" w:color="FFFFFF"/>
            </w:tcBorders>
            <w:shd w:val="clear" w:color="FFFFFF" w:fill="FFFFFF"/>
            <w:noWrap/>
            <w:vAlign w:val="center"/>
            <w:hideMark/>
          </w:tcPr>
          <w:p w14:paraId="646048F1"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(6.3) </w:t>
            </w:r>
          </w:p>
        </w:tc>
      </w:tr>
      <w:tr w:rsidR="00F1540A" w:rsidRPr="005734B8" w14:paraId="13FB670F" w14:textId="77777777" w:rsidTr="000F48B1">
        <w:trPr>
          <w:trHeight w:val="170"/>
        </w:trPr>
        <w:tc>
          <w:tcPr>
            <w:tcW w:w="4525" w:type="dxa"/>
            <w:tcBorders>
              <w:top w:val="nil"/>
              <w:left w:val="nil"/>
              <w:bottom w:val="single" w:sz="4" w:space="0" w:color="auto"/>
              <w:right w:val="nil"/>
            </w:tcBorders>
            <w:shd w:val="clear" w:color="FFFFFF" w:fill="FFFFFF"/>
            <w:vAlign w:val="center"/>
            <w:hideMark/>
          </w:tcPr>
          <w:p w14:paraId="5D501100"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Impairment</w:t>
            </w:r>
          </w:p>
        </w:tc>
        <w:tc>
          <w:tcPr>
            <w:tcW w:w="1137" w:type="dxa"/>
            <w:tcBorders>
              <w:top w:val="nil"/>
              <w:left w:val="single" w:sz="4" w:space="0" w:color="FFFFFF"/>
              <w:bottom w:val="single" w:sz="4" w:space="0" w:color="auto"/>
              <w:right w:val="single" w:sz="4" w:space="0" w:color="FFFFFF"/>
            </w:tcBorders>
            <w:shd w:val="clear" w:color="FFFFFF" w:fill="FFFFFF"/>
            <w:noWrap/>
            <w:vAlign w:val="center"/>
            <w:hideMark/>
          </w:tcPr>
          <w:p w14:paraId="63A90663" w14:textId="77A90A9F"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54" w:type="dxa"/>
            <w:tcBorders>
              <w:top w:val="nil"/>
              <w:left w:val="nil"/>
              <w:bottom w:val="single" w:sz="4" w:space="0" w:color="auto"/>
              <w:right w:val="single" w:sz="4" w:space="0" w:color="FFFFFF"/>
            </w:tcBorders>
            <w:shd w:val="clear" w:color="FFFFFF" w:fill="FFFFFF"/>
            <w:noWrap/>
            <w:vAlign w:val="center"/>
            <w:hideMark/>
          </w:tcPr>
          <w:p w14:paraId="6666F88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(1.6) </w:t>
            </w:r>
          </w:p>
        </w:tc>
        <w:tc>
          <w:tcPr>
            <w:tcW w:w="1023" w:type="dxa"/>
            <w:tcBorders>
              <w:top w:val="nil"/>
              <w:left w:val="nil"/>
              <w:bottom w:val="single" w:sz="4" w:space="0" w:color="auto"/>
              <w:right w:val="single" w:sz="4" w:space="0" w:color="FFFFFF"/>
            </w:tcBorders>
            <w:shd w:val="clear" w:color="FFFFFF" w:fill="FFFFFF"/>
            <w:noWrap/>
            <w:vAlign w:val="center"/>
            <w:hideMark/>
          </w:tcPr>
          <w:p w14:paraId="175A2B57" w14:textId="75A12055"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53" w:type="dxa"/>
            <w:tcBorders>
              <w:top w:val="nil"/>
              <w:left w:val="nil"/>
              <w:bottom w:val="single" w:sz="4" w:space="0" w:color="auto"/>
              <w:right w:val="single" w:sz="4" w:space="0" w:color="FFFFFF"/>
            </w:tcBorders>
            <w:shd w:val="clear" w:color="FFFFFF" w:fill="FFFFFF"/>
            <w:noWrap/>
            <w:vAlign w:val="center"/>
            <w:hideMark/>
          </w:tcPr>
          <w:p w14:paraId="793D7494" w14:textId="16519157"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360" w:type="dxa"/>
            <w:tcBorders>
              <w:top w:val="nil"/>
              <w:left w:val="nil"/>
              <w:bottom w:val="single" w:sz="4" w:space="0" w:color="auto"/>
              <w:right w:val="single" w:sz="4" w:space="0" w:color="FFFFFF"/>
            </w:tcBorders>
            <w:shd w:val="clear" w:color="FFFFFF" w:fill="FFFFFF"/>
            <w:noWrap/>
            <w:vAlign w:val="center"/>
            <w:hideMark/>
          </w:tcPr>
          <w:p w14:paraId="45AE5903" w14:textId="664F3088"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54" w:type="dxa"/>
            <w:tcBorders>
              <w:top w:val="nil"/>
              <w:left w:val="nil"/>
              <w:bottom w:val="single" w:sz="4" w:space="0" w:color="auto"/>
              <w:right w:val="single" w:sz="4" w:space="0" w:color="FFFFFF"/>
            </w:tcBorders>
            <w:shd w:val="clear" w:color="FFFFFF" w:fill="FFFFFF"/>
            <w:noWrap/>
            <w:vAlign w:val="center"/>
            <w:hideMark/>
          </w:tcPr>
          <w:p w14:paraId="4C999CAF" w14:textId="7FA7A91B"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286" w:type="dxa"/>
            <w:tcBorders>
              <w:top w:val="nil"/>
              <w:left w:val="nil"/>
              <w:bottom w:val="single" w:sz="4" w:space="0" w:color="auto"/>
              <w:right w:val="single" w:sz="4" w:space="0" w:color="FFFFFF"/>
            </w:tcBorders>
            <w:shd w:val="clear" w:color="FFFFFF" w:fill="FFFFFF"/>
            <w:noWrap/>
            <w:vAlign w:val="center"/>
            <w:hideMark/>
          </w:tcPr>
          <w:p w14:paraId="3C1CC230" w14:textId="41C0C185"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54" w:type="dxa"/>
            <w:tcBorders>
              <w:top w:val="nil"/>
              <w:left w:val="nil"/>
              <w:bottom w:val="single" w:sz="4" w:space="0" w:color="auto"/>
              <w:right w:val="single" w:sz="4" w:space="0" w:color="FFFFFF"/>
            </w:tcBorders>
            <w:shd w:val="clear" w:color="FFFFFF" w:fill="FFFFFF"/>
            <w:noWrap/>
            <w:vAlign w:val="center"/>
            <w:hideMark/>
          </w:tcPr>
          <w:p w14:paraId="36527265"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(1.6) </w:t>
            </w:r>
          </w:p>
        </w:tc>
      </w:tr>
      <w:tr w:rsidR="00F1540A" w:rsidRPr="005734B8" w14:paraId="5C3ADFA9" w14:textId="77777777" w:rsidTr="000F48B1">
        <w:trPr>
          <w:trHeight w:val="170"/>
        </w:trPr>
        <w:tc>
          <w:tcPr>
            <w:tcW w:w="4525" w:type="dxa"/>
            <w:tcBorders>
              <w:top w:val="nil"/>
              <w:left w:val="nil"/>
              <w:bottom w:val="single" w:sz="4" w:space="0" w:color="auto"/>
              <w:right w:val="nil"/>
            </w:tcBorders>
            <w:shd w:val="clear" w:color="FFFFFF" w:fill="FFFFFF"/>
            <w:vAlign w:val="center"/>
            <w:hideMark/>
          </w:tcPr>
          <w:p w14:paraId="2EAD602D"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Transfer (to)/from assets held for sale</w:t>
            </w:r>
          </w:p>
        </w:tc>
        <w:tc>
          <w:tcPr>
            <w:tcW w:w="1137" w:type="dxa"/>
            <w:tcBorders>
              <w:top w:val="nil"/>
              <w:left w:val="single" w:sz="4" w:space="0" w:color="FFFFFF"/>
              <w:bottom w:val="single" w:sz="4" w:space="0" w:color="auto"/>
              <w:right w:val="single" w:sz="4" w:space="0" w:color="FFFFFF"/>
            </w:tcBorders>
            <w:shd w:val="clear" w:color="FFFFFF" w:fill="FFFFFF"/>
            <w:noWrap/>
            <w:vAlign w:val="center"/>
            <w:hideMark/>
          </w:tcPr>
          <w:p w14:paraId="4C4F5AE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(0.2) </w:t>
            </w:r>
          </w:p>
        </w:tc>
        <w:tc>
          <w:tcPr>
            <w:tcW w:w="1154" w:type="dxa"/>
            <w:tcBorders>
              <w:top w:val="nil"/>
              <w:left w:val="nil"/>
              <w:bottom w:val="single" w:sz="4" w:space="0" w:color="auto"/>
              <w:right w:val="single" w:sz="4" w:space="0" w:color="FFFFFF"/>
            </w:tcBorders>
            <w:shd w:val="clear" w:color="FFFFFF" w:fill="FFFFFF"/>
            <w:noWrap/>
            <w:vAlign w:val="center"/>
            <w:hideMark/>
          </w:tcPr>
          <w:p w14:paraId="1B5EADAE" w14:textId="37483464"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r w:rsidR="00141228" w:rsidRPr="005734B8">
              <w:rPr>
                <w:rFonts w:ascii="Calibri" w:hAnsi="Calibri" w:cs="Calibri"/>
                <w:sz w:val="18"/>
                <w:szCs w:val="18"/>
              </w:rPr>
              <w:softHyphen/>
            </w:r>
            <w:r w:rsidR="00F1540A" w:rsidRPr="005734B8">
              <w:rPr>
                <w:rFonts w:ascii="Calibri" w:hAnsi="Calibri" w:cs="Calibri"/>
                <w:sz w:val="18"/>
                <w:szCs w:val="18"/>
              </w:rPr>
              <w:t xml:space="preserve"> </w:t>
            </w:r>
          </w:p>
        </w:tc>
        <w:tc>
          <w:tcPr>
            <w:tcW w:w="1023" w:type="dxa"/>
            <w:tcBorders>
              <w:top w:val="nil"/>
              <w:left w:val="nil"/>
              <w:bottom w:val="single" w:sz="4" w:space="0" w:color="auto"/>
              <w:right w:val="single" w:sz="4" w:space="0" w:color="FFFFFF"/>
            </w:tcBorders>
            <w:shd w:val="clear" w:color="FFFFFF" w:fill="FFFFFF"/>
            <w:noWrap/>
            <w:vAlign w:val="center"/>
            <w:hideMark/>
          </w:tcPr>
          <w:p w14:paraId="1A399F51" w14:textId="74CAC9AF"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53" w:type="dxa"/>
            <w:tcBorders>
              <w:top w:val="nil"/>
              <w:left w:val="nil"/>
              <w:bottom w:val="single" w:sz="4" w:space="0" w:color="auto"/>
              <w:right w:val="single" w:sz="4" w:space="0" w:color="FFFFFF"/>
            </w:tcBorders>
            <w:shd w:val="clear" w:color="FFFFFF" w:fill="FFFFFF"/>
            <w:noWrap/>
            <w:vAlign w:val="center"/>
            <w:hideMark/>
          </w:tcPr>
          <w:p w14:paraId="2FA19542" w14:textId="33197318"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360" w:type="dxa"/>
            <w:tcBorders>
              <w:top w:val="nil"/>
              <w:left w:val="nil"/>
              <w:bottom w:val="single" w:sz="4" w:space="0" w:color="auto"/>
              <w:right w:val="single" w:sz="4" w:space="0" w:color="FFFFFF"/>
            </w:tcBorders>
            <w:shd w:val="clear" w:color="FFFFFF" w:fill="FFFFFF"/>
            <w:noWrap/>
            <w:vAlign w:val="center"/>
            <w:hideMark/>
          </w:tcPr>
          <w:p w14:paraId="64E7CC9B" w14:textId="04BA45AF"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54" w:type="dxa"/>
            <w:tcBorders>
              <w:top w:val="nil"/>
              <w:left w:val="nil"/>
              <w:bottom w:val="single" w:sz="4" w:space="0" w:color="auto"/>
              <w:right w:val="single" w:sz="4" w:space="0" w:color="FFFFFF"/>
            </w:tcBorders>
            <w:shd w:val="clear" w:color="FFFFFF" w:fill="FFFFFF"/>
            <w:noWrap/>
            <w:vAlign w:val="center"/>
            <w:hideMark/>
          </w:tcPr>
          <w:p w14:paraId="2BA1490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0.2 </w:t>
            </w:r>
          </w:p>
        </w:tc>
        <w:tc>
          <w:tcPr>
            <w:tcW w:w="1286" w:type="dxa"/>
            <w:tcBorders>
              <w:top w:val="nil"/>
              <w:left w:val="nil"/>
              <w:bottom w:val="single" w:sz="4" w:space="0" w:color="auto"/>
              <w:right w:val="single" w:sz="4" w:space="0" w:color="FFFFFF"/>
            </w:tcBorders>
            <w:shd w:val="clear" w:color="FFFFFF" w:fill="FFFFFF"/>
            <w:noWrap/>
            <w:vAlign w:val="center"/>
            <w:hideMark/>
          </w:tcPr>
          <w:p w14:paraId="657B488A" w14:textId="429F7445"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54" w:type="dxa"/>
            <w:tcBorders>
              <w:top w:val="nil"/>
              <w:left w:val="nil"/>
              <w:bottom w:val="single" w:sz="4" w:space="0" w:color="auto"/>
              <w:right w:val="single" w:sz="4" w:space="0" w:color="FFFFFF"/>
            </w:tcBorders>
            <w:shd w:val="clear" w:color="FFFFFF" w:fill="FFFFFF"/>
            <w:noWrap/>
            <w:vAlign w:val="center"/>
            <w:hideMark/>
          </w:tcPr>
          <w:p w14:paraId="459ABC69" w14:textId="5191C435" w:rsidR="00F1540A" w:rsidRPr="005734B8" w:rsidRDefault="002B0084" w:rsidP="006C14DE">
            <w:pPr>
              <w:jc w:val="right"/>
              <w:rPr>
                <w:rFonts w:ascii="Calibri" w:hAnsi="Calibri" w:cs="Calibri"/>
                <w:b/>
                <w:sz w:val="18"/>
                <w:szCs w:val="18"/>
              </w:rPr>
            </w:pPr>
            <w:r w:rsidRPr="005734B8">
              <w:rPr>
                <w:rFonts w:ascii="Calibri" w:hAnsi="Calibri" w:cs="Calibri"/>
                <w:b/>
                <w:sz w:val="18"/>
                <w:szCs w:val="18"/>
              </w:rPr>
              <w:t xml:space="preserve"> </w:t>
            </w:r>
            <w:r w:rsidR="00F1540A" w:rsidRPr="005734B8">
              <w:rPr>
                <w:rFonts w:ascii="Calibri" w:hAnsi="Calibri" w:cs="Calibri"/>
                <w:b/>
                <w:sz w:val="18"/>
                <w:szCs w:val="18"/>
              </w:rPr>
              <w:t xml:space="preserve"> </w:t>
            </w:r>
            <w:r w:rsidRPr="005734B8">
              <w:rPr>
                <w:rFonts w:ascii="Calibri" w:hAnsi="Calibri" w:cs="Calibri"/>
                <w:b/>
                <w:sz w:val="18"/>
                <w:szCs w:val="18"/>
              </w:rPr>
              <w:t xml:space="preserve">                   -  </w:t>
            </w:r>
          </w:p>
        </w:tc>
      </w:tr>
      <w:tr w:rsidR="00F1540A" w:rsidRPr="005734B8" w14:paraId="27B46802" w14:textId="77777777" w:rsidTr="000F48B1">
        <w:trPr>
          <w:trHeight w:val="170"/>
        </w:trPr>
        <w:tc>
          <w:tcPr>
            <w:tcW w:w="4525" w:type="dxa"/>
            <w:tcBorders>
              <w:top w:val="nil"/>
              <w:left w:val="nil"/>
              <w:bottom w:val="single" w:sz="4" w:space="0" w:color="auto"/>
              <w:right w:val="nil"/>
            </w:tcBorders>
            <w:shd w:val="clear" w:color="FFFFFF" w:fill="FFFFFF"/>
            <w:vAlign w:val="center"/>
            <w:hideMark/>
          </w:tcPr>
          <w:p w14:paraId="59A3363A"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Depreciation</w:t>
            </w:r>
          </w:p>
        </w:tc>
        <w:tc>
          <w:tcPr>
            <w:tcW w:w="1137" w:type="dxa"/>
            <w:tcBorders>
              <w:top w:val="nil"/>
              <w:left w:val="single" w:sz="4" w:space="0" w:color="FFFFFF"/>
              <w:bottom w:val="single" w:sz="4" w:space="0" w:color="auto"/>
              <w:right w:val="single" w:sz="4" w:space="0" w:color="FFFFFF"/>
            </w:tcBorders>
            <w:shd w:val="clear" w:color="FFFFFF" w:fill="FFFFFF"/>
            <w:noWrap/>
            <w:vAlign w:val="center"/>
            <w:hideMark/>
          </w:tcPr>
          <w:p w14:paraId="6564351F" w14:textId="51FB2557" w:rsidR="00F1540A" w:rsidRPr="005734B8" w:rsidRDefault="00141228" w:rsidP="000F48B1">
            <w:pPr>
              <w:jc w:val="right"/>
              <w:rPr>
                <w:rFonts w:ascii="Calibri" w:hAnsi="Calibri" w:cs="Calibri"/>
                <w:sz w:val="18"/>
                <w:szCs w:val="18"/>
              </w:rPr>
            </w:pPr>
            <w:r w:rsidRPr="005734B8">
              <w:rPr>
                <w:rFonts w:ascii="Calibri" w:hAnsi="Calibri" w:cs="Calibri"/>
                <w:sz w:val="18"/>
                <w:szCs w:val="18"/>
              </w:rPr>
              <w:softHyphen/>
            </w:r>
            <w:r w:rsidR="006C14DE" w:rsidRPr="005734B8">
              <w:rPr>
                <w:rFonts w:ascii="Calibri" w:hAnsi="Calibri" w:cs="Calibri"/>
                <w:sz w:val="18"/>
                <w:szCs w:val="18"/>
              </w:rPr>
              <w:t>–</w:t>
            </w:r>
          </w:p>
        </w:tc>
        <w:tc>
          <w:tcPr>
            <w:tcW w:w="1154" w:type="dxa"/>
            <w:tcBorders>
              <w:top w:val="nil"/>
              <w:left w:val="nil"/>
              <w:bottom w:val="single" w:sz="4" w:space="0" w:color="auto"/>
              <w:right w:val="single" w:sz="4" w:space="0" w:color="FFFFFF"/>
            </w:tcBorders>
            <w:shd w:val="clear" w:color="FFFFFF" w:fill="FFFFFF"/>
            <w:noWrap/>
            <w:vAlign w:val="center"/>
            <w:hideMark/>
          </w:tcPr>
          <w:p w14:paraId="5056CF3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(356.8) </w:t>
            </w:r>
          </w:p>
        </w:tc>
        <w:tc>
          <w:tcPr>
            <w:tcW w:w="1023" w:type="dxa"/>
            <w:tcBorders>
              <w:top w:val="nil"/>
              <w:left w:val="nil"/>
              <w:bottom w:val="single" w:sz="4" w:space="0" w:color="auto"/>
              <w:right w:val="single" w:sz="4" w:space="0" w:color="FFFFFF"/>
            </w:tcBorders>
            <w:shd w:val="clear" w:color="FFFFFF" w:fill="FFFFFF"/>
            <w:noWrap/>
            <w:vAlign w:val="center"/>
            <w:hideMark/>
          </w:tcPr>
          <w:p w14:paraId="2D591CF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(4.1) </w:t>
            </w:r>
          </w:p>
        </w:tc>
        <w:tc>
          <w:tcPr>
            <w:tcW w:w="1153" w:type="dxa"/>
            <w:tcBorders>
              <w:top w:val="nil"/>
              <w:left w:val="nil"/>
              <w:bottom w:val="single" w:sz="4" w:space="0" w:color="auto"/>
              <w:right w:val="single" w:sz="4" w:space="0" w:color="FFFFFF"/>
            </w:tcBorders>
            <w:shd w:val="clear" w:color="FFFFFF" w:fill="FFFFFF"/>
            <w:noWrap/>
            <w:vAlign w:val="center"/>
            <w:hideMark/>
          </w:tcPr>
          <w:p w14:paraId="4EBA213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(26.6) </w:t>
            </w:r>
          </w:p>
        </w:tc>
        <w:tc>
          <w:tcPr>
            <w:tcW w:w="1360" w:type="dxa"/>
            <w:tcBorders>
              <w:top w:val="nil"/>
              <w:left w:val="nil"/>
              <w:bottom w:val="single" w:sz="4" w:space="0" w:color="auto"/>
              <w:right w:val="single" w:sz="4" w:space="0" w:color="FFFFFF"/>
            </w:tcBorders>
            <w:shd w:val="clear" w:color="FFFFFF" w:fill="FFFFFF"/>
            <w:noWrap/>
            <w:vAlign w:val="center"/>
            <w:hideMark/>
          </w:tcPr>
          <w:p w14:paraId="5598951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(10.0) </w:t>
            </w:r>
          </w:p>
        </w:tc>
        <w:tc>
          <w:tcPr>
            <w:tcW w:w="1154" w:type="dxa"/>
            <w:tcBorders>
              <w:top w:val="nil"/>
              <w:left w:val="nil"/>
              <w:bottom w:val="single" w:sz="4" w:space="0" w:color="auto"/>
              <w:right w:val="single" w:sz="4" w:space="0" w:color="FFFFFF"/>
            </w:tcBorders>
            <w:shd w:val="clear" w:color="FFFFFF" w:fill="FFFFFF"/>
            <w:noWrap/>
            <w:vAlign w:val="center"/>
            <w:hideMark/>
          </w:tcPr>
          <w:p w14:paraId="599B8A7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(31.8) </w:t>
            </w:r>
          </w:p>
        </w:tc>
        <w:tc>
          <w:tcPr>
            <w:tcW w:w="1286" w:type="dxa"/>
            <w:tcBorders>
              <w:top w:val="nil"/>
              <w:left w:val="nil"/>
              <w:bottom w:val="single" w:sz="4" w:space="0" w:color="auto"/>
              <w:right w:val="single" w:sz="4" w:space="0" w:color="FFFFFF"/>
            </w:tcBorders>
            <w:shd w:val="clear" w:color="FFFFFF" w:fill="FFFFFF"/>
            <w:noWrap/>
            <w:vAlign w:val="center"/>
            <w:hideMark/>
          </w:tcPr>
          <w:p w14:paraId="3F1BB02D" w14:textId="78FC49A8"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54" w:type="dxa"/>
            <w:tcBorders>
              <w:top w:val="nil"/>
              <w:left w:val="nil"/>
              <w:bottom w:val="single" w:sz="4" w:space="0" w:color="auto"/>
              <w:right w:val="single" w:sz="4" w:space="0" w:color="FFFFFF"/>
            </w:tcBorders>
            <w:shd w:val="clear" w:color="FFFFFF" w:fill="FFFFFF"/>
            <w:noWrap/>
            <w:vAlign w:val="center"/>
            <w:hideMark/>
          </w:tcPr>
          <w:p w14:paraId="244289FD"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(429.3) </w:t>
            </w:r>
          </w:p>
        </w:tc>
      </w:tr>
      <w:tr w:rsidR="00F1540A" w:rsidRPr="005734B8" w14:paraId="0AD6B1FB" w14:textId="77777777" w:rsidTr="000F48B1">
        <w:trPr>
          <w:trHeight w:val="170"/>
        </w:trPr>
        <w:tc>
          <w:tcPr>
            <w:tcW w:w="4525"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F06D7F0"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Closing balance</w:t>
            </w:r>
          </w:p>
        </w:tc>
        <w:tc>
          <w:tcPr>
            <w:tcW w:w="1137" w:type="dxa"/>
            <w:tcBorders>
              <w:top w:val="single" w:sz="12" w:space="0" w:color="auto"/>
              <w:left w:val="nil"/>
              <w:bottom w:val="single" w:sz="12" w:space="0" w:color="auto"/>
              <w:right w:val="single" w:sz="12" w:space="0" w:color="FFFFFF"/>
            </w:tcBorders>
            <w:shd w:val="clear" w:color="FFFFFF" w:fill="FFFFFF"/>
            <w:noWrap/>
            <w:vAlign w:val="center"/>
            <w:hideMark/>
          </w:tcPr>
          <w:p w14:paraId="5496E967"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10,869.9 </w:t>
            </w:r>
          </w:p>
        </w:tc>
        <w:tc>
          <w:tcPr>
            <w:tcW w:w="1154" w:type="dxa"/>
            <w:tcBorders>
              <w:top w:val="single" w:sz="12" w:space="0" w:color="auto"/>
              <w:left w:val="nil"/>
              <w:bottom w:val="single" w:sz="12" w:space="0" w:color="auto"/>
              <w:right w:val="single" w:sz="12" w:space="0" w:color="FFFFFF"/>
            </w:tcBorders>
            <w:shd w:val="clear" w:color="FFFFFF" w:fill="FFFFFF"/>
            <w:noWrap/>
            <w:vAlign w:val="center"/>
            <w:hideMark/>
          </w:tcPr>
          <w:p w14:paraId="3C84FEB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12,509.2 </w:t>
            </w:r>
          </w:p>
        </w:tc>
        <w:tc>
          <w:tcPr>
            <w:tcW w:w="1023" w:type="dxa"/>
            <w:tcBorders>
              <w:top w:val="single" w:sz="12" w:space="0" w:color="auto"/>
              <w:left w:val="nil"/>
              <w:bottom w:val="single" w:sz="12" w:space="0" w:color="auto"/>
              <w:right w:val="single" w:sz="12" w:space="0" w:color="FFFFFF"/>
            </w:tcBorders>
            <w:shd w:val="clear" w:color="FFFFFF" w:fill="FFFFFF"/>
            <w:noWrap/>
            <w:vAlign w:val="center"/>
            <w:hideMark/>
          </w:tcPr>
          <w:p w14:paraId="552D8F32"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96.5 </w:t>
            </w:r>
          </w:p>
        </w:tc>
        <w:tc>
          <w:tcPr>
            <w:tcW w:w="1153" w:type="dxa"/>
            <w:tcBorders>
              <w:top w:val="single" w:sz="12" w:space="0" w:color="auto"/>
              <w:left w:val="nil"/>
              <w:bottom w:val="single" w:sz="12" w:space="0" w:color="auto"/>
              <w:right w:val="single" w:sz="12" w:space="0" w:color="FFFFFF"/>
            </w:tcBorders>
            <w:shd w:val="clear" w:color="FFFFFF" w:fill="FFFFFF"/>
            <w:noWrap/>
            <w:vAlign w:val="center"/>
            <w:hideMark/>
          </w:tcPr>
          <w:p w14:paraId="4FDB58A4"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574.7 </w:t>
            </w:r>
          </w:p>
        </w:tc>
        <w:tc>
          <w:tcPr>
            <w:tcW w:w="1360" w:type="dxa"/>
            <w:tcBorders>
              <w:top w:val="single" w:sz="12" w:space="0" w:color="auto"/>
              <w:left w:val="nil"/>
              <w:bottom w:val="single" w:sz="12" w:space="0" w:color="auto"/>
              <w:right w:val="single" w:sz="12" w:space="0" w:color="FFFFFF"/>
            </w:tcBorders>
            <w:shd w:val="clear" w:color="FFFFFF" w:fill="FFFFFF"/>
            <w:noWrap/>
            <w:vAlign w:val="center"/>
            <w:hideMark/>
          </w:tcPr>
          <w:p w14:paraId="2CE45F80"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12.4 </w:t>
            </w:r>
          </w:p>
        </w:tc>
        <w:tc>
          <w:tcPr>
            <w:tcW w:w="1154" w:type="dxa"/>
            <w:tcBorders>
              <w:top w:val="single" w:sz="12" w:space="0" w:color="auto"/>
              <w:left w:val="nil"/>
              <w:bottom w:val="single" w:sz="12" w:space="0" w:color="auto"/>
              <w:right w:val="single" w:sz="12" w:space="0" w:color="FFFFFF"/>
            </w:tcBorders>
            <w:shd w:val="clear" w:color="FFFFFF" w:fill="FFFFFF"/>
            <w:noWrap/>
            <w:vAlign w:val="center"/>
            <w:hideMark/>
          </w:tcPr>
          <w:p w14:paraId="503075C2"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107.9 </w:t>
            </w:r>
          </w:p>
        </w:tc>
        <w:tc>
          <w:tcPr>
            <w:tcW w:w="1286" w:type="dxa"/>
            <w:tcBorders>
              <w:top w:val="single" w:sz="12" w:space="0" w:color="auto"/>
              <w:left w:val="nil"/>
              <w:bottom w:val="single" w:sz="12" w:space="0" w:color="auto"/>
              <w:right w:val="single" w:sz="12" w:space="0" w:color="FFFFFF"/>
            </w:tcBorders>
            <w:shd w:val="clear" w:color="FFFFFF" w:fill="FFFFFF"/>
            <w:noWrap/>
            <w:vAlign w:val="center"/>
            <w:hideMark/>
          </w:tcPr>
          <w:p w14:paraId="6E227F85"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1,083.4 </w:t>
            </w:r>
          </w:p>
        </w:tc>
        <w:tc>
          <w:tcPr>
            <w:tcW w:w="1154" w:type="dxa"/>
            <w:tcBorders>
              <w:top w:val="single" w:sz="12" w:space="0" w:color="auto"/>
              <w:left w:val="nil"/>
              <w:bottom w:val="single" w:sz="12" w:space="0" w:color="auto"/>
              <w:right w:val="single" w:sz="12" w:space="0" w:color="FFFFFF"/>
            </w:tcBorders>
            <w:shd w:val="clear" w:color="FFFFFF" w:fill="FFFFFF"/>
            <w:noWrap/>
            <w:vAlign w:val="center"/>
            <w:hideMark/>
          </w:tcPr>
          <w:p w14:paraId="3C830EA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25,254.0 </w:t>
            </w:r>
          </w:p>
        </w:tc>
      </w:tr>
    </w:tbl>
    <w:p w14:paraId="6976A753" w14:textId="77777777" w:rsidR="00F1540A" w:rsidRPr="005734B8" w:rsidRDefault="00F1540A" w:rsidP="00F1540A">
      <w:pPr>
        <w:rPr>
          <w:rFonts w:ascii="Calibri" w:hAnsi="Calibri" w:cs="Calibri"/>
          <w:lang w:val="en-US"/>
        </w:rPr>
        <w:sectPr w:rsidR="00F1540A" w:rsidRPr="005734B8" w:rsidSect="000F48B1">
          <w:pgSz w:w="16838" w:h="11906" w:orient="landscape" w:code="9"/>
          <w:pgMar w:top="1134" w:right="1418" w:bottom="1134" w:left="1418" w:header="958" w:footer="737" w:gutter="0"/>
          <w:cols w:space="708"/>
          <w:docGrid w:linePitch="360"/>
        </w:sectPr>
      </w:pPr>
    </w:p>
    <w:p w14:paraId="07FDFD63" w14:textId="77777777" w:rsidR="00F1540A" w:rsidRPr="005734B8" w:rsidRDefault="00F1540A" w:rsidP="00F1540A">
      <w:pPr>
        <w:pStyle w:val="ESHeading2"/>
        <w:rPr>
          <w:rFonts w:ascii="Calibri" w:hAnsi="Calibri" w:cs="Calibri"/>
        </w:rPr>
      </w:pPr>
      <w:bookmarkStart w:id="1448" w:name="_Toc11336395"/>
      <w:bookmarkStart w:id="1449" w:name="_Toc11336586"/>
      <w:bookmarkStart w:id="1450" w:name="_Toc13647190"/>
      <w:bookmarkStart w:id="1451" w:name="_Toc13656722"/>
      <w:bookmarkStart w:id="1452" w:name="_Toc13656884"/>
      <w:bookmarkStart w:id="1453" w:name="_Toc14965621"/>
      <w:bookmarkStart w:id="1454" w:name="_Toc15985309"/>
      <w:bookmarkStart w:id="1455" w:name="_Toc16231960"/>
      <w:bookmarkStart w:id="1456" w:name="_Toc36012783"/>
      <w:bookmarkStart w:id="1457" w:name="_Toc36012861"/>
      <w:bookmarkStart w:id="1458" w:name="_Toc36013358"/>
      <w:bookmarkStart w:id="1459" w:name="_Toc58243442"/>
      <w:bookmarkStart w:id="1460" w:name="_Toc72958092"/>
      <w:bookmarkStart w:id="1461" w:name="_Toc72958140"/>
      <w:bookmarkStart w:id="1462" w:name="_Toc80272080"/>
      <w:bookmarkStart w:id="1463" w:name="_Toc81315380"/>
      <w:bookmarkStart w:id="1464" w:name="_Hlk43746287"/>
      <w:bookmarkEnd w:id="1441"/>
      <w:bookmarkEnd w:id="1442"/>
      <w:bookmarkEnd w:id="1443"/>
      <w:bookmarkEnd w:id="1444"/>
      <w:bookmarkEnd w:id="1445"/>
      <w:r w:rsidRPr="005734B8">
        <w:rPr>
          <w:rFonts w:ascii="Calibri" w:hAnsi="Calibri" w:cs="Calibri"/>
        </w:rPr>
        <w:lastRenderedPageBreak/>
        <w:t>5.2 Intangible assets</w:t>
      </w:r>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tbl>
      <w:tblPr>
        <w:tblW w:w="7625" w:type="dxa"/>
        <w:tblInd w:w="75" w:type="dxa"/>
        <w:tblLayout w:type="fixed"/>
        <w:tblCellMar>
          <w:left w:w="45" w:type="dxa"/>
          <w:right w:w="45" w:type="dxa"/>
        </w:tblCellMar>
        <w:tblLook w:val="04A0" w:firstRow="1" w:lastRow="0" w:firstColumn="1" w:lastColumn="0" w:noHBand="0" w:noVBand="1"/>
      </w:tblPr>
      <w:tblGrid>
        <w:gridCol w:w="3510"/>
        <w:gridCol w:w="1323"/>
        <w:gridCol w:w="1470"/>
        <w:gridCol w:w="1322"/>
      </w:tblGrid>
      <w:tr w:rsidR="00F1540A" w:rsidRPr="005734B8" w14:paraId="72C391AC" w14:textId="77777777" w:rsidTr="000F48B1">
        <w:trPr>
          <w:trHeight w:val="533"/>
        </w:trPr>
        <w:tc>
          <w:tcPr>
            <w:tcW w:w="3510" w:type="dxa"/>
            <w:tcBorders>
              <w:top w:val="nil"/>
              <w:left w:val="single" w:sz="4" w:space="0" w:color="FFFFFF"/>
              <w:bottom w:val="single" w:sz="4" w:space="0" w:color="FFFFFF"/>
              <w:right w:val="single" w:sz="4" w:space="0" w:color="FFFFFF"/>
            </w:tcBorders>
            <w:shd w:val="clear" w:color="000000" w:fill="AF272F"/>
            <w:hideMark/>
          </w:tcPr>
          <w:p w14:paraId="35EE7776" w14:textId="77777777" w:rsidR="00F1540A" w:rsidRPr="005734B8" w:rsidRDefault="00F1540A" w:rsidP="000F48B1">
            <w:pPr>
              <w:rPr>
                <w:rFonts w:ascii="Calibri" w:hAnsi="Calibri" w:cs="Calibri"/>
                <w:b/>
                <w:color w:val="FFFFFF"/>
                <w:sz w:val="18"/>
                <w:szCs w:val="18"/>
              </w:rPr>
            </w:pPr>
            <w:bookmarkStart w:id="1465" w:name="Note_INRTABLE1" w:colFirst="0" w:colLast="0"/>
            <w:r w:rsidRPr="005734B8">
              <w:rPr>
                <w:rFonts w:ascii="Calibri" w:hAnsi="Calibri" w:cs="Calibri"/>
                <w:b/>
                <w:color w:val="FFFFFF"/>
                <w:sz w:val="18"/>
                <w:szCs w:val="18"/>
              </w:rPr>
              <w:t>2021</w:t>
            </w:r>
          </w:p>
        </w:tc>
        <w:tc>
          <w:tcPr>
            <w:tcW w:w="1323" w:type="dxa"/>
            <w:tcBorders>
              <w:top w:val="nil"/>
              <w:left w:val="nil"/>
              <w:bottom w:val="single" w:sz="4" w:space="0" w:color="auto"/>
              <w:right w:val="nil"/>
            </w:tcBorders>
            <w:shd w:val="clear" w:color="000000" w:fill="AF272F"/>
            <w:hideMark/>
          </w:tcPr>
          <w:p w14:paraId="1869C20F"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Software at cost ($m)</w:t>
            </w:r>
          </w:p>
        </w:tc>
        <w:tc>
          <w:tcPr>
            <w:tcW w:w="1470" w:type="dxa"/>
            <w:tcBorders>
              <w:top w:val="nil"/>
              <w:left w:val="single" w:sz="4" w:space="0" w:color="FFFFFF"/>
              <w:bottom w:val="single" w:sz="4" w:space="0" w:color="auto"/>
              <w:right w:val="nil"/>
            </w:tcBorders>
            <w:shd w:val="clear" w:color="000000" w:fill="AF272F"/>
            <w:hideMark/>
          </w:tcPr>
          <w:p w14:paraId="2C468B46"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Software work in progress ($m)</w:t>
            </w:r>
          </w:p>
        </w:tc>
        <w:tc>
          <w:tcPr>
            <w:tcW w:w="1322" w:type="dxa"/>
            <w:tcBorders>
              <w:top w:val="nil"/>
              <w:left w:val="single" w:sz="4" w:space="0" w:color="FFFFFF"/>
              <w:bottom w:val="single" w:sz="4" w:space="0" w:color="FFFFFF"/>
              <w:right w:val="single" w:sz="4" w:space="0" w:color="FFFFFF"/>
            </w:tcBorders>
            <w:shd w:val="clear" w:color="000000" w:fill="AF272F"/>
            <w:hideMark/>
          </w:tcPr>
          <w:p w14:paraId="2959BD65"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Total ($m)</w:t>
            </w:r>
          </w:p>
        </w:tc>
      </w:tr>
      <w:bookmarkEnd w:id="1465"/>
      <w:tr w:rsidR="00F1540A" w:rsidRPr="005734B8" w14:paraId="65ED21E8" w14:textId="77777777" w:rsidTr="000F48B1">
        <w:trPr>
          <w:trHeight w:val="255"/>
        </w:trPr>
        <w:tc>
          <w:tcPr>
            <w:tcW w:w="3510"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53B86659"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Opening balance</w:t>
            </w:r>
          </w:p>
        </w:tc>
        <w:tc>
          <w:tcPr>
            <w:tcW w:w="1323" w:type="dxa"/>
            <w:tcBorders>
              <w:top w:val="nil"/>
              <w:left w:val="nil"/>
              <w:bottom w:val="single" w:sz="4" w:space="0" w:color="auto"/>
              <w:right w:val="single" w:sz="4" w:space="0" w:color="FFFFFF"/>
            </w:tcBorders>
            <w:shd w:val="clear" w:color="000000" w:fill="D9D9D9"/>
            <w:vAlign w:val="center"/>
            <w:hideMark/>
          </w:tcPr>
          <w:p w14:paraId="643B4FB4"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150.5 </w:t>
            </w:r>
          </w:p>
        </w:tc>
        <w:tc>
          <w:tcPr>
            <w:tcW w:w="1470" w:type="dxa"/>
            <w:tcBorders>
              <w:top w:val="nil"/>
              <w:left w:val="nil"/>
              <w:bottom w:val="single" w:sz="4" w:space="0" w:color="auto"/>
              <w:right w:val="single" w:sz="4" w:space="0" w:color="FFFFFF"/>
            </w:tcBorders>
            <w:shd w:val="clear" w:color="000000" w:fill="D9D9D9"/>
            <w:vAlign w:val="center"/>
            <w:hideMark/>
          </w:tcPr>
          <w:p w14:paraId="526D9165"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14.7 </w:t>
            </w:r>
          </w:p>
        </w:tc>
        <w:tc>
          <w:tcPr>
            <w:tcW w:w="1322" w:type="dxa"/>
            <w:tcBorders>
              <w:top w:val="single" w:sz="4" w:space="0" w:color="auto"/>
              <w:left w:val="nil"/>
              <w:bottom w:val="single" w:sz="4" w:space="0" w:color="auto"/>
              <w:right w:val="single" w:sz="4" w:space="0" w:color="FFFFFF"/>
            </w:tcBorders>
            <w:shd w:val="clear" w:color="000000" w:fill="D9D9D9"/>
            <w:vAlign w:val="center"/>
            <w:hideMark/>
          </w:tcPr>
          <w:p w14:paraId="506FA3D6"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165.2 </w:t>
            </w:r>
          </w:p>
        </w:tc>
      </w:tr>
      <w:tr w:rsidR="00F1540A" w:rsidRPr="005734B8" w14:paraId="29F80AF1" w14:textId="77777777" w:rsidTr="000F48B1">
        <w:trPr>
          <w:trHeight w:val="270"/>
        </w:trPr>
        <w:tc>
          <w:tcPr>
            <w:tcW w:w="3510" w:type="dxa"/>
            <w:tcBorders>
              <w:top w:val="nil"/>
              <w:left w:val="single" w:sz="4" w:space="0" w:color="FFFFFF"/>
              <w:bottom w:val="single" w:sz="4" w:space="0" w:color="auto"/>
              <w:right w:val="single" w:sz="4" w:space="0" w:color="FFFFFF"/>
            </w:tcBorders>
            <w:shd w:val="clear" w:color="FFFFFF" w:fill="FFFFFF"/>
            <w:vAlign w:val="center"/>
            <w:hideMark/>
          </w:tcPr>
          <w:p w14:paraId="553AA0F7"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Additions</w:t>
            </w:r>
          </w:p>
        </w:tc>
        <w:tc>
          <w:tcPr>
            <w:tcW w:w="1323" w:type="dxa"/>
            <w:tcBorders>
              <w:top w:val="nil"/>
              <w:left w:val="nil"/>
              <w:bottom w:val="single" w:sz="4" w:space="0" w:color="auto"/>
              <w:right w:val="single" w:sz="4" w:space="0" w:color="FFFFFF"/>
            </w:tcBorders>
            <w:shd w:val="clear" w:color="FFFFFF" w:fill="FFFFFF"/>
            <w:noWrap/>
            <w:vAlign w:val="center"/>
            <w:hideMark/>
          </w:tcPr>
          <w:p w14:paraId="453DFBD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1.7 </w:t>
            </w:r>
          </w:p>
        </w:tc>
        <w:tc>
          <w:tcPr>
            <w:tcW w:w="1470" w:type="dxa"/>
            <w:tcBorders>
              <w:top w:val="nil"/>
              <w:left w:val="nil"/>
              <w:bottom w:val="single" w:sz="4" w:space="0" w:color="auto"/>
              <w:right w:val="single" w:sz="4" w:space="0" w:color="FFFFFF"/>
            </w:tcBorders>
            <w:shd w:val="clear" w:color="FFFFFF" w:fill="FFFFFF"/>
            <w:noWrap/>
            <w:vAlign w:val="center"/>
            <w:hideMark/>
          </w:tcPr>
          <w:p w14:paraId="75F37EA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22.0 </w:t>
            </w:r>
          </w:p>
        </w:tc>
        <w:tc>
          <w:tcPr>
            <w:tcW w:w="1322" w:type="dxa"/>
            <w:tcBorders>
              <w:top w:val="nil"/>
              <w:left w:val="nil"/>
              <w:bottom w:val="single" w:sz="4" w:space="0" w:color="auto"/>
              <w:right w:val="single" w:sz="4" w:space="0" w:color="FFFFFF"/>
            </w:tcBorders>
            <w:shd w:val="clear" w:color="FFFFFF" w:fill="FFFFFF"/>
            <w:noWrap/>
            <w:vAlign w:val="center"/>
            <w:hideMark/>
          </w:tcPr>
          <w:p w14:paraId="194FEB0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23.7 </w:t>
            </w:r>
          </w:p>
        </w:tc>
      </w:tr>
      <w:tr w:rsidR="00F1540A" w:rsidRPr="005734B8" w14:paraId="7E304DB4" w14:textId="77777777" w:rsidTr="000F48B1">
        <w:trPr>
          <w:trHeight w:val="255"/>
        </w:trPr>
        <w:tc>
          <w:tcPr>
            <w:tcW w:w="3510" w:type="dxa"/>
            <w:tcBorders>
              <w:top w:val="nil"/>
              <w:left w:val="single" w:sz="4" w:space="0" w:color="FFFFFF"/>
              <w:bottom w:val="single" w:sz="4" w:space="0" w:color="auto"/>
              <w:right w:val="single" w:sz="4" w:space="0" w:color="FFFFFF"/>
            </w:tcBorders>
            <w:shd w:val="clear" w:color="FFFFFF" w:fill="FFFFFF"/>
            <w:vAlign w:val="center"/>
            <w:hideMark/>
          </w:tcPr>
          <w:p w14:paraId="2BC87726"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Disposals</w:t>
            </w:r>
          </w:p>
        </w:tc>
        <w:tc>
          <w:tcPr>
            <w:tcW w:w="1323" w:type="dxa"/>
            <w:tcBorders>
              <w:top w:val="nil"/>
              <w:left w:val="nil"/>
              <w:bottom w:val="single" w:sz="4" w:space="0" w:color="auto"/>
              <w:right w:val="single" w:sz="4" w:space="0" w:color="FFFFFF"/>
            </w:tcBorders>
            <w:shd w:val="clear" w:color="FFFFFF" w:fill="FFFFFF"/>
            <w:noWrap/>
            <w:vAlign w:val="center"/>
            <w:hideMark/>
          </w:tcPr>
          <w:p w14:paraId="448FBE1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(0.4) </w:t>
            </w:r>
          </w:p>
        </w:tc>
        <w:tc>
          <w:tcPr>
            <w:tcW w:w="1470" w:type="dxa"/>
            <w:tcBorders>
              <w:top w:val="nil"/>
              <w:left w:val="nil"/>
              <w:bottom w:val="single" w:sz="4" w:space="0" w:color="auto"/>
              <w:right w:val="single" w:sz="4" w:space="0" w:color="FFFFFF"/>
            </w:tcBorders>
            <w:shd w:val="clear" w:color="FFFFFF" w:fill="FFFFFF"/>
            <w:noWrap/>
            <w:vAlign w:val="center"/>
            <w:hideMark/>
          </w:tcPr>
          <w:p w14:paraId="597CC85B" w14:textId="23923BBA" w:rsidR="00F1540A" w:rsidRPr="005734B8" w:rsidRDefault="00141228" w:rsidP="000F48B1">
            <w:pPr>
              <w:jc w:val="right"/>
              <w:rPr>
                <w:rFonts w:ascii="Calibri" w:hAnsi="Calibri" w:cs="Calibri"/>
                <w:sz w:val="18"/>
                <w:szCs w:val="18"/>
              </w:rPr>
            </w:pPr>
            <w:r w:rsidRPr="005734B8">
              <w:rPr>
                <w:rFonts w:ascii="Calibri" w:hAnsi="Calibri" w:cs="Calibri"/>
                <w:sz w:val="18"/>
                <w:szCs w:val="18"/>
              </w:rPr>
              <w:softHyphen/>
            </w:r>
            <w:r w:rsidR="006C14DE" w:rsidRPr="005734B8">
              <w:rPr>
                <w:rFonts w:ascii="Calibri" w:hAnsi="Calibri" w:cs="Calibri"/>
                <w:sz w:val="18"/>
                <w:szCs w:val="18"/>
              </w:rPr>
              <w:t>–</w:t>
            </w:r>
            <w:r w:rsidR="00F1540A" w:rsidRPr="005734B8">
              <w:rPr>
                <w:rFonts w:ascii="Calibri" w:hAnsi="Calibri" w:cs="Calibri"/>
                <w:sz w:val="18"/>
                <w:szCs w:val="18"/>
              </w:rPr>
              <w:t xml:space="preserve"> </w:t>
            </w:r>
          </w:p>
        </w:tc>
        <w:tc>
          <w:tcPr>
            <w:tcW w:w="1322" w:type="dxa"/>
            <w:tcBorders>
              <w:top w:val="nil"/>
              <w:left w:val="nil"/>
              <w:bottom w:val="single" w:sz="4" w:space="0" w:color="auto"/>
              <w:right w:val="single" w:sz="4" w:space="0" w:color="FFFFFF"/>
            </w:tcBorders>
            <w:shd w:val="clear" w:color="FFFFFF" w:fill="FFFFFF"/>
            <w:noWrap/>
            <w:vAlign w:val="center"/>
            <w:hideMark/>
          </w:tcPr>
          <w:p w14:paraId="231F2DE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(0.4) </w:t>
            </w:r>
          </w:p>
        </w:tc>
      </w:tr>
      <w:tr w:rsidR="00F1540A" w:rsidRPr="005734B8" w14:paraId="105CE573" w14:textId="77777777" w:rsidTr="000F48B1">
        <w:trPr>
          <w:trHeight w:val="270"/>
        </w:trPr>
        <w:tc>
          <w:tcPr>
            <w:tcW w:w="3510" w:type="dxa"/>
            <w:tcBorders>
              <w:top w:val="nil"/>
              <w:left w:val="single" w:sz="4" w:space="0" w:color="FFFFFF"/>
              <w:bottom w:val="single" w:sz="4" w:space="0" w:color="auto"/>
              <w:right w:val="single" w:sz="4" w:space="0" w:color="FFFFFF"/>
            </w:tcBorders>
            <w:shd w:val="clear" w:color="FFFFFF" w:fill="FFFFFF"/>
            <w:vAlign w:val="center"/>
            <w:hideMark/>
          </w:tcPr>
          <w:p w14:paraId="1E21F657"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Transfers between classes</w:t>
            </w:r>
          </w:p>
        </w:tc>
        <w:tc>
          <w:tcPr>
            <w:tcW w:w="1323" w:type="dxa"/>
            <w:tcBorders>
              <w:top w:val="nil"/>
              <w:left w:val="nil"/>
              <w:bottom w:val="single" w:sz="4" w:space="0" w:color="auto"/>
              <w:right w:val="single" w:sz="4" w:space="0" w:color="FFFFFF"/>
            </w:tcBorders>
            <w:shd w:val="clear" w:color="FFFFFF" w:fill="FFFFFF"/>
            <w:noWrap/>
            <w:vAlign w:val="center"/>
            <w:hideMark/>
          </w:tcPr>
          <w:p w14:paraId="17F43C8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5.6 </w:t>
            </w:r>
          </w:p>
        </w:tc>
        <w:tc>
          <w:tcPr>
            <w:tcW w:w="1470" w:type="dxa"/>
            <w:tcBorders>
              <w:top w:val="nil"/>
              <w:left w:val="nil"/>
              <w:bottom w:val="single" w:sz="4" w:space="0" w:color="auto"/>
              <w:right w:val="single" w:sz="4" w:space="0" w:color="FFFFFF"/>
            </w:tcBorders>
            <w:shd w:val="clear" w:color="FFFFFF" w:fill="FFFFFF"/>
            <w:noWrap/>
            <w:vAlign w:val="center"/>
            <w:hideMark/>
          </w:tcPr>
          <w:p w14:paraId="0FC1CCA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(5.6) </w:t>
            </w:r>
          </w:p>
        </w:tc>
        <w:tc>
          <w:tcPr>
            <w:tcW w:w="1322" w:type="dxa"/>
            <w:tcBorders>
              <w:top w:val="nil"/>
              <w:left w:val="nil"/>
              <w:bottom w:val="single" w:sz="4" w:space="0" w:color="auto"/>
              <w:right w:val="single" w:sz="4" w:space="0" w:color="FFFFFF"/>
            </w:tcBorders>
            <w:shd w:val="clear" w:color="FFFFFF" w:fill="FFFFFF"/>
            <w:noWrap/>
            <w:vAlign w:val="center"/>
            <w:hideMark/>
          </w:tcPr>
          <w:p w14:paraId="18D3CC9A" w14:textId="0A6FCB2E" w:rsidR="00F1540A" w:rsidRPr="005734B8" w:rsidRDefault="00141228" w:rsidP="000F48B1">
            <w:pPr>
              <w:jc w:val="right"/>
              <w:rPr>
                <w:rFonts w:ascii="Calibri" w:hAnsi="Calibri" w:cs="Calibri"/>
                <w:sz w:val="18"/>
                <w:szCs w:val="18"/>
              </w:rPr>
            </w:pPr>
            <w:r w:rsidRPr="005734B8">
              <w:rPr>
                <w:rFonts w:ascii="Calibri" w:hAnsi="Calibri" w:cs="Calibri"/>
                <w:sz w:val="18"/>
                <w:szCs w:val="18"/>
              </w:rPr>
              <w:softHyphen/>
            </w:r>
            <w:r w:rsidR="00F1540A" w:rsidRPr="005734B8">
              <w:rPr>
                <w:rFonts w:ascii="Calibri" w:hAnsi="Calibri" w:cs="Calibri"/>
                <w:sz w:val="18"/>
                <w:szCs w:val="18"/>
              </w:rPr>
              <w:t xml:space="preserve"> </w:t>
            </w:r>
          </w:p>
        </w:tc>
      </w:tr>
      <w:tr w:rsidR="00F1540A" w:rsidRPr="005734B8" w14:paraId="5C8EDE76" w14:textId="77777777" w:rsidTr="000F48B1">
        <w:trPr>
          <w:trHeight w:val="285"/>
        </w:trPr>
        <w:tc>
          <w:tcPr>
            <w:tcW w:w="3510"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6DB146A"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Closing balance</w:t>
            </w:r>
          </w:p>
        </w:tc>
        <w:tc>
          <w:tcPr>
            <w:tcW w:w="1323" w:type="dxa"/>
            <w:tcBorders>
              <w:top w:val="single" w:sz="12" w:space="0" w:color="auto"/>
              <w:left w:val="nil"/>
              <w:bottom w:val="single" w:sz="12" w:space="0" w:color="auto"/>
              <w:right w:val="nil"/>
            </w:tcBorders>
            <w:shd w:val="clear" w:color="FFFFFF" w:fill="FFFFFF"/>
            <w:noWrap/>
            <w:vAlign w:val="center"/>
            <w:hideMark/>
          </w:tcPr>
          <w:p w14:paraId="2DAB03B8"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157.4 </w:t>
            </w:r>
          </w:p>
        </w:tc>
        <w:tc>
          <w:tcPr>
            <w:tcW w:w="1470" w:type="dxa"/>
            <w:tcBorders>
              <w:top w:val="single" w:sz="12" w:space="0" w:color="auto"/>
              <w:left w:val="nil"/>
              <w:bottom w:val="single" w:sz="12" w:space="0" w:color="auto"/>
              <w:right w:val="nil"/>
            </w:tcBorders>
            <w:shd w:val="clear" w:color="FFFFFF" w:fill="FFFFFF"/>
            <w:noWrap/>
            <w:vAlign w:val="center"/>
            <w:hideMark/>
          </w:tcPr>
          <w:p w14:paraId="14BA8230"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31.1 </w:t>
            </w:r>
          </w:p>
        </w:tc>
        <w:tc>
          <w:tcPr>
            <w:tcW w:w="1322" w:type="dxa"/>
            <w:tcBorders>
              <w:top w:val="single" w:sz="12" w:space="0" w:color="auto"/>
              <w:left w:val="nil"/>
              <w:bottom w:val="single" w:sz="12" w:space="0" w:color="auto"/>
              <w:right w:val="nil"/>
            </w:tcBorders>
            <w:shd w:val="clear" w:color="FFFFFF" w:fill="FFFFFF"/>
            <w:noWrap/>
            <w:vAlign w:val="center"/>
            <w:hideMark/>
          </w:tcPr>
          <w:p w14:paraId="522124D5"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188.5 </w:t>
            </w:r>
          </w:p>
        </w:tc>
      </w:tr>
      <w:tr w:rsidR="00F1540A" w:rsidRPr="005734B8" w14:paraId="0B6CE332" w14:textId="77777777" w:rsidTr="000F48B1">
        <w:trPr>
          <w:trHeight w:val="270"/>
        </w:trPr>
        <w:tc>
          <w:tcPr>
            <w:tcW w:w="3510"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6FF941F6"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Accumulated amortisation</w:t>
            </w:r>
          </w:p>
        </w:tc>
        <w:tc>
          <w:tcPr>
            <w:tcW w:w="1323" w:type="dxa"/>
            <w:tcBorders>
              <w:top w:val="single" w:sz="4" w:space="0" w:color="auto"/>
              <w:left w:val="nil"/>
              <w:bottom w:val="single" w:sz="4" w:space="0" w:color="auto"/>
              <w:right w:val="single" w:sz="4" w:space="0" w:color="FFFFFF"/>
            </w:tcBorders>
            <w:shd w:val="clear" w:color="000000" w:fill="D9D9D9"/>
            <w:vAlign w:val="center"/>
            <w:hideMark/>
          </w:tcPr>
          <w:p w14:paraId="48646630"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470" w:type="dxa"/>
            <w:tcBorders>
              <w:top w:val="single" w:sz="4" w:space="0" w:color="auto"/>
              <w:left w:val="nil"/>
              <w:bottom w:val="single" w:sz="4" w:space="0" w:color="auto"/>
              <w:right w:val="single" w:sz="4" w:space="0" w:color="FFFFFF"/>
            </w:tcBorders>
            <w:shd w:val="clear" w:color="000000" w:fill="D9D9D9"/>
            <w:vAlign w:val="center"/>
            <w:hideMark/>
          </w:tcPr>
          <w:p w14:paraId="4EB127F6"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322" w:type="dxa"/>
            <w:tcBorders>
              <w:top w:val="single" w:sz="4" w:space="0" w:color="auto"/>
              <w:left w:val="nil"/>
              <w:bottom w:val="single" w:sz="4" w:space="0" w:color="auto"/>
              <w:right w:val="single" w:sz="4" w:space="0" w:color="FFFFFF"/>
            </w:tcBorders>
            <w:shd w:val="clear" w:color="000000" w:fill="D9D9D9"/>
            <w:vAlign w:val="center"/>
            <w:hideMark/>
          </w:tcPr>
          <w:p w14:paraId="7D56F11D"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76656586" w14:textId="77777777" w:rsidTr="00AA0A5C">
        <w:trPr>
          <w:trHeight w:val="255"/>
        </w:trPr>
        <w:tc>
          <w:tcPr>
            <w:tcW w:w="3510" w:type="dxa"/>
            <w:tcBorders>
              <w:top w:val="nil"/>
              <w:left w:val="nil"/>
              <w:bottom w:val="single" w:sz="4" w:space="0" w:color="auto"/>
              <w:right w:val="nil"/>
            </w:tcBorders>
            <w:shd w:val="clear" w:color="FFFFFF" w:fill="FFFFFF"/>
            <w:vAlign w:val="center"/>
            <w:hideMark/>
          </w:tcPr>
          <w:p w14:paraId="6B5499CD"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Opening balance</w:t>
            </w:r>
          </w:p>
        </w:tc>
        <w:tc>
          <w:tcPr>
            <w:tcW w:w="1323" w:type="dxa"/>
            <w:tcBorders>
              <w:top w:val="nil"/>
              <w:left w:val="single" w:sz="4" w:space="0" w:color="FFFFFF"/>
              <w:bottom w:val="single" w:sz="4" w:space="0" w:color="auto"/>
              <w:right w:val="single" w:sz="4" w:space="0" w:color="FFFFFF"/>
            </w:tcBorders>
            <w:shd w:val="clear" w:color="FFFFFF" w:fill="FFFFFF"/>
            <w:noWrap/>
            <w:vAlign w:val="center"/>
            <w:hideMark/>
          </w:tcPr>
          <w:p w14:paraId="279D46D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(126.3) </w:t>
            </w:r>
          </w:p>
        </w:tc>
        <w:tc>
          <w:tcPr>
            <w:tcW w:w="1470" w:type="dxa"/>
            <w:tcBorders>
              <w:top w:val="nil"/>
              <w:left w:val="nil"/>
              <w:bottom w:val="single" w:sz="4" w:space="0" w:color="auto"/>
              <w:right w:val="single" w:sz="4" w:space="0" w:color="FFFFFF"/>
            </w:tcBorders>
            <w:shd w:val="clear" w:color="FFFFFF" w:fill="FFFFFF"/>
            <w:noWrap/>
            <w:hideMark/>
          </w:tcPr>
          <w:p w14:paraId="57B42349" w14:textId="6464BE1B"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322" w:type="dxa"/>
            <w:tcBorders>
              <w:top w:val="nil"/>
              <w:left w:val="nil"/>
              <w:bottom w:val="single" w:sz="4" w:space="0" w:color="auto"/>
              <w:right w:val="single" w:sz="4" w:space="0" w:color="FFFFFF"/>
            </w:tcBorders>
            <w:shd w:val="clear" w:color="FFFFFF" w:fill="FFFFFF"/>
            <w:noWrap/>
            <w:vAlign w:val="center"/>
            <w:hideMark/>
          </w:tcPr>
          <w:p w14:paraId="34BA9EA8"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(126.3) </w:t>
            </w:r>
          </w:p>
        </w:tc>
      </w:tr>
      <w:tr w:rsidR="00F1540A" w:rsidRPr="005734B8" w14:paraId="5CA1E69F" w14:textId="77777777" w:rsidTr="00AA0A5C">
        <w:trPr>
          <w:trHeight w:val="255"/>
        </w:trPr>
        <w:tc>
          <w:tcPr>
            <w:tcW w:w="3510" w:type="dxa"/>
            <w:tcBorders>
              <w:top w:val="nil"/>
              <w:left w:val="single" w:sz="4" w:space="0" w:color="FFFFFF"/>
              <w:bottom w:val="single" w:sz="4" w:space="0" w:color="auto"/>
              <w:right w:val="single" w:sz="4" w:space="0" w:color="FFFFFF"/>
            </w:tcBorders>
            <w:shd w:val="clear" w:color="FFFFFF" w:fill="FFFFFF"/>
            <w:vAlign w:val="center"/>
            <w:hideMark/>
          </w:tcPr>
          <w:p w14:paraId="2AF4C55C"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Amortisation expense</w:t>
            </w:r>
          </w:p>
        </w:tc>
        <w:tc>
          <w:tcPr>
            <w:tcW w:w="1323" w:type="dxa"/>
            <w:tcBorders>
              <w:top w:val="nil"/>
              <w:left w:val="nil"/>
              <w:bottom w:val="single" w:sz="4" w:space="0" w:color="auto"/>
              <w:right w:val="single" w:sz="4" w:space="0" w:color="FFFFFF"/>
            </w:tcBorders>
            <w:shd w:val="clear" w:color="FFFFFF" w:fill="FFFFFF"/>
            <w:noWrap/>
            <w:vAlign w:val="center"/>
            <w:hideMark/>
          </w:tcPr>
          <w:p w14:paraId="0B4421A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(12.0) </w:t>
            </w:r>
          </w:p>
        </w:tc>
        <w:tc>
          <w:tcPr>
            <w:tcW w:w="1470" w:type="dxa"/>
            <w:tcBorders>
              <w:top w:val="nil"/>
              <w:left w:val="nil"/>
              <w:bottom w:val="single" w:sz="4" w:space="0" w:color="auto"/>
              <w:right w:val="single" w:sz="4" w:space="0" w:color="FFFFFF"/>
            </w:tcBorders>
            <w:shd w:val="clear" w:color="FFFFFF" w:fill="FFFFFF"/>
            <w:noWrap/>
            <w:hideMark/>
          </w:tcPr>
          <w:p w14:paraId="4FCCE015" w14:textId="694F7DD6"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322" w:type="dxa"/>
            <w:tcBorders>
              <w:top w:val="nil"/>
              <w:left w:val="nil"/>
              <w:bottom w:val="single" w:sz="4" w:space="0" w:color="auto"/>
              <w:right w:val="single" w:sz="4" w:space="0" w:color="FFFFFF"/>
            </w:tcBorders>
            <w:shd w:val="clear" w:color="FFFFFF" w:fill="FFFFFF"/>
            <w:noWrap/>
            <w:vAlign w:val="center"/>
            <w:hideMark/>
          </w:tcPr>
          <w:p w14:paraId="01BD779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(12.0) </w:t>
            </w:r>
          </w:p>
        </w:tc>
      </w:tr>
      <w:tr w:rsidR="00F1540A" w:rsidRPr="005734B8" w14:paraId="32D8BAF4" w14:textId="77777777" w:rsidTr="00AA0A5C">
        <w:trPr>
          <w:trHeight w:val="270"/>
        </w:trPr>
        <w:tc>
          <w:tcPr>
            <w:tcW w:w="3510" w:type="dxa"/>
            <w:tcBorders>
              <w:top w:val="nil"/>
              <w:left w:val="single" w:sz="4" w:space="0" w:color="FFFFFF"/>
              <w:bottom w:val="single" w:sz="4" w:space="0" w:color="auto"/>
              <w:right w:val="single" w:sz="4" w:space="0" w:color="FFFFFF"/>
            </w:tcBorders>
            <w:shd w:val="clear" w:color="FFFFFF" w:fill="FFFFFF"/>
            <w:vAlign w:val="center"/>
            <w:hideMark/>
          </w:tcPr>
          <w:p w14:paraId="4A194AE3"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 xml:space="preserve">Write back due to disposals </w:t>
            </w:r>
          </w:p>
        </w:tc>
        <w:tc>
          <w:tcPr>
            <w:tcW w:w="1323" w:type="dxa"/>
            <w:tcBorders>
              <w:top w:val="nil"/>
              <w:left w:val="nil"/>
              <w:bottom w:val="single" w:sz="4" w:space="0" w:color="auto"/>
              <w:right w:val="single" w:sz="4" w:space="0" w:color="FFFFFF"/>
            </w:tcBorders>
            <w:shd w:val="clear" w:color="FFFFFF" w:fill="FFFFFF"/>
            <w:noWrap/>
            <w:vAlign w:val="center"/>
            <w:hideMark/>
          </w:tcPr>
          <w:p w14:paraId="475AD13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0.3 </w:t>
            </w:r>
          </w:p>
        </w:tc>
        <w:tc>
          <w:tcPr>
            <w:tcW w:w="1470" w:type="dxa"/>
            <w:tcBorders>
              <w:top w:val="nil"/>
              <w:left w:val="nil"/>
              <w:bottom w:val="single" w:sz="4" w:space="0" w:color="auto"/>
              <w:right w:val="single" w:sz="4" w:space="0" w:color="FFFFFF"/>
            </w:tcBorders>
            <w:shd w:val="clear" w:color="FFFFFF" w:fill="FFFFFF"/>
            <w:noWrap/>
            <w:hideMark/>
          </w:tcPr>
          <w:p w14:paraId="0219E4C9" w14:textId="478CE3DA"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322" w:type="dxa"/>
            <w:tcBorders>
              <w:top w:val="nil"/>
              <w:left w:val="nil"/>
              <w:bottom w:val="single" w:sz="4" w:space="0" w:color="auto"/>
              <w:right w:val="single" w:sz="4" w:space="0" w:color="FFFFFF"/>
            </w:tcBorders>
            <w:shd w:val="clear" w:color="FFFFFF" w:fill="FFFFFF"/>
            <w:noWrap/>
            <w:vAlign w:val="center"/>
            <w:hideMark/>
          </w:tcPr>
          <w:p w14:paraId="366A9B68"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0.3 </w:t>
            </w:r>
          </w:p>
        </w:tc>
      </w:tr>
      <w:tr w:rsidR="00F1540A" w:rsidRPr="005734B8" w14:paraId="2262C113" w14:textId="77777777" w:rsidTr="00AA0A5C">
        <w:trPr>
          <w:trHeight w:val="285"/>
        </w:trPr>
        <w:tc>
          <w:tcPr>
            <w:tcW w:w="3510"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F88E8C6"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Closing balance</w:t>
            </w:r>
          </w:p>
        </w:tc>
        <w:tc>
          <w:tcPr>
            <w:tcW w:w="1323" w:type="dxa"/>
            <w:tcBorders>
              <w:top w:val="single" w:sz="12" w:space="0" w:color="auto"/>
              <w:left w:val="nil"/>
              <w:bottom w:val="single" w:sz="12" w:space="0" w:color="auto"/>
              <w:right w:val="nil"/>
            </w:tcBorders>
            <w:shd w:val="clear" w:color="FFFFFF" w:fill="FFFFFF"/>
            <w:noWrap/>
            <w:vAlign w:val="center"/>
            <w:hideMark/>
          </w:tcPr>
          <w:p w14:paraId="0256CE5F"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(138.0) </w:t>
            </w:r>
          </w:p>
        </w:tc>
        <w:tc>
          <w:tcPr>
            <w:tcW w:w="1470" w:type="dxa"/>
            <w:tcBorders>
              <w:top w:val="single" w:sz="12" w:space="0" w:color="auto"/>
              <w:left w:val="nil"/>
              <w:bottom w:val="single" w:sz="12" w:space="0" w:color="auto"/>
              <w:right w:val="nil"/>
            </w:tcBorders>
            <w:shd w:val="clear" w:color="FFFFFF" w:fill="FFFFFF"/>
            <w:noWrap/>
            <w:hideMark/>
          </w:tcPr>
          <w:p w14:paraId="5737CF34" w14:textId="4ACFB3D6" w:rsidR="00F1540A" w:rsidRPr="005734B8" w:rsidRDefault="006C14DE" w:rsidP="000F48B1">
            <w:pPr>
              <w:jc w:val="right"/>
              <w:rPr>
                <w:rFonts w:ascii="Calibri" w:hAnsi="Calibri" w:cs="Calibri"/>
                <w:b/>
                <w:sz w:val="18"/>
                <w:szCs w:val="18"/>
              </w:rPr>
            </w:pPr>
            <w:r w:rsidRPr="005734B8">
              <w:rPr>
                <w:rFonts w:ascii="Calibri" w:hAnsi="Calibri" w:cs="Calibri"/>
                <w:sz w:val="18"/>
                <w:szCs w:val="18"/>
              </w:rPr>
              <w:t>–</w:t>
            </w:r>
          </w:p>
        </w:tc>
        <w:tc>
          <w:tcPr>
            <w:tcW w:w="1322" w:type="dxa"/>
            <w:tcBorders>
              <w:top w:val="single" w:sz="12" w:space="0" w:color="auto"/>
              <w:left w:val="nil"/>
              <w:bottom w:val="single" w:sz="12" w:space="0" w:color="auto"/>
              <w:right w:val="nil"/>
            </w:tcBorders>
            <w:shd w:val="clear" w:color="FFFFFF" w:fill="FFFFFF"/>
            <w:noWrap/>
            <w:vAlign w:val="center"/>
            <w:hideMark/>
          </w:tcPr>
          <w:p w14:paraId="1314DCA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(138.0) </w:t>
            </w:r>
          </w:p>
        </w:tc>
      </w:tr>
      <w:tr w:rsidR="00F1540A" w:rsidRPr="005734B8" w14:paraId="1E46CFFB" w14:textId="77777777" w:rsidTr="000F48B1">
        <w:trPr>
          <w:trHeight w:val="285"/>
        </w:trPr>
        <w:tc>
          <w:tcPr>
            <w:tcW w:w="3510" w:type="dxa"/>
            <w:tcBorders>
              <w:top w:val="nil"/>
              <w:left w:val="single" w:sz="12" w:space="0" w:color="FFFFFF"/>
              <w:bottom w:val="single" w:sz="12" w:space="0" w:color="auto"/>
              <w:right w:val="single" w:sz="12" w:space="0" w:color="FFFFFF"/>
            </w:tcBorders>
            <w:shd w:val="clear" w:color="FFFFFF" w:fill="FFFFFF"/>
            <w:vAlign w:val="center"/>
            <w:hideMark/>
          </w:tcPr>
          <w:p w14:paraId="4195C2C7"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Net book value at end of financial year</w:t>
            </w:r>
          </w:p>
        </w:tc>
        <w:tc>
          <w:tcPr>
            <w:tcW w:w="1323" w:type="dxa"/>
            <w:tcBorders>
              <w:top w:val="nil"/>
              <w:left w:val="nil"/>
              <w:bottom w:val="single" w:sz="12" w:space="0" w:color="auto"/>
              <w:right w:val="nil"/>
            </w:tcBorders>
            <w:shd w:val="clear" w:color="FFFFFF" w:fill="FFFFFF"/>
            <w:noWrap/>
            <w:vAlign w:val="center"/>
            <w:hideMark/>
          </w:tcPr>
          <w:p w14:paraId="295E3412"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19.4 </w:t>
            </w:r>
          </w:p>
        </w:tc>
        <w:tc>
          <w:tcPr>
            <w:tcW w:w="1470" w:type="dxa"/>
            <w:tcBorders>
              <w:top w:val="nil"/>
              <w:left w:val="nil"/>
              <w:bottom w:val="single" w:sz="12" w:space="0" w:color="auto"/>
              <w:right w:val="nil"/>
            </w:tcBorders>
            <w:shd w:val="clear" w:color="FFFFFF" w:fill="FFFFFF"/>
            <w:noWrap/>
            <w:vAlign w:val="center"/>
            <w:hideMark/>
          </w:tcPr>
          <w:p w14:paraId="1E005FF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31.1 </w:t>
            </w:r>
          </w:p>
        </w:tc>
        <w:tc>
          <w:tcPr>
            <w:tcW w:w="1322" w:type="dxa"/>
            <w:tcBorders>
              <w:top w:val="nil"/>
              <w:left w:val="nil"/>
              <w:bottom w:val="single" w:sz="12" w:space="0" w:color="auto"/>
              <w:right w:val="nil"/>
            </w:tcBorders>
            <w:shd w:val="clear" w:color="FFFFFF" w:fill="FFFFFF"/>
            <w:noWrap/>
            <w:vAlign w:val="center"/>
            <w:hideMark/>
          </w:tcPr>
          <w:p w14:paraId="0F6E873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50.5 </w:t>
            </w:r>
          </w:p>
        </w:tc>
      </w:tr>
      <w:tr w:rsidR="00F1540A" w:rsidRPr="005734B8" w14:paraId="75C14612" w14:textId="77777777" w:rsidTr="000F48B1">
        <w:trPr>
          <w:trHeight w:val="270"/>
        </w:trPr>
        <w:tc>
          <w:tcPr>
            <w:tcW w:w="3510"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1DA59917"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 </w:t>
            </w:r>
          </w:p>
        </w:tc>
        <w:tc>
          <w:tcPr>
            <w:tcW w:w="1323" w:type="dxa"/>
            <w:tcBorders>
              <w:top w:val="single" w:sz="4" w:space="0" w:color="auto"/>
              <w:left w:val="nil"/>
              <w:bottom w:val="single" w:sz="4" w:space="0" w:color="auto"/>
              <w:right w:val="single" w:sz="4" w:space="0" w:color="FFFFFF"/>
            </w:tcBorders>
            <w:shd w:val="clear" w:color="FFFFFF" w:fill="FFFFFF"/>
            <w:vAlign w:val="center"/>
            <w:hideMark/>
          </w:tcPr>
          <w:p w14:paraId="74EED714"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 </w:t>
            </w:r>
          </w:p>
        </w:tc>
        <w:tc>
          <w:tcPr>
            <w:tcW w:w="1470" w:type="dxa"/>
            <w:tcBorders>
              <w:top w:val="single" w:sz="4" w:space="0" w:color="auto"/>
              <w:left w:val="nil"/>
              <w:bottom w:val="single" w:sz="4" w:space="0" w:color="auto"/>
              <w:right w:val="single" w:sz="4" w:space="0" w:color="FFFFFF"/>
            </w:tcBorders>
            <w:shd w:val="clear" w:color="FFFFFF" w:fill="FFFFFF"/>
            <w:vAlign w:val="center"/>
            <w:hideMark/>
          </w:tcPr>
          <w:p w14:paraId="09BDFE4C"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 </w:t>
            </w:r>
          </w:p>
        </w:tc>
        <w:tc>
          <w:tcPr>
            <w:tcW w:w="1322" w:type="dxa"/>
            <w:tcBorders>
              <w:top w:val="single" w:sz="4" w:space="0" w:color="auto"/>
              <w:left w:val="nil"/>
              <w:bottom w:val="single" w:sz="4" w:space="0" w:color="auto"/>
              <w:right w:val="single" w:sz="4" w:space="0" w:color="FFFFFF"/>
            </w:tcBorders>
            <w:shd w:val="clear" w:color="FFFFFF" w:fill="FFFFFF"/>
            <w:vAlign w:val="center"/>
            <w:hideMark/>
          </w:tcPr>
          <w:p w14:paraId="58D16FF7"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 </w:t>
            </w:r>
          </w:p>
        </w:tc>
      </w:tr>
      <w:tr w:rsidR="00F1540A" w:rsidRPr="005734B8" w14:paraId="040E7686" w14:textId="77777777" w:rsidTr="000F48B1">
        <w:trPr>
          <w:trHeight w:val="510"/>
        </w:trPr>
        <w:tc>
          <w:tcPr>
            <w:tcW w:w="3510" w:type="dxa"/>
            <w:tcBorders>
              <w:top w:val="nil"/>
              <w:left w:val="single" w:sz="4" w:space="0" w:color="FFFFFF"/>
              <w:bottom w:val="single" w:sz="4" w:space="0" w:color="FFFFFF"/>
              <w:right w:val="single" w:sz="4" w:space="0" w:color="FFFFFF"/>
            </w:tcBorders>
            <w:shd w:val="clear" w:color="000000" w:fill="AF272F"/>
            <w:hideMark/>
          </w:tcPr>
          <w:p w14:paraId="12AA1D99" w14:textId="77777777" w:rsidR="00F1540A" w:rsidRPr="005734B8" w:rsidRDefault="00F1540A" w:rsidP="000F48B1">
            <w:pPr>
              <w:rPr>
                <w:rFonts w:ascii="Calibri" w:hAnsi="Calibri" w:cs="Calibri"/>
                <w:b/>
                <w:color w:val="FFFFFF"/>
                <w:sz w:val="18"/>
                <w:szCs w:val="18"/>
              </w:rPr>
            </w:pPr>
            <w:r w:rsidRPr="005734B8">
              <w:rPr>
                <w:rFonts w:ascii="Calibri" w:hAnsi="Calibri" w:cs="Calibri"/>
                <w:b/>
                <w:color w:val="FFFFFF"/>
                <w:sz w:val="18"/>
                <w:szCs w:val="18"/>
              </w:rPr>
              <w:t>2020</w:t>
            </w:r>
          </w:p>
        </w:tc>
        <w:tc>
          <w:tcPr>
            <w:tcW w:w="1323" w:type="dxa"/>
            <w:tcBorders>
              <w:top w:val="nil"/>
              <w:left w:val="nil"/>
              <w:bottom w:val="single" w:sz="4" w:space="0" w:color="auto"/>
              <w:right w:val="nil"/>
            </w:tcBorders>
            <w:shd w:val="clear" w:color="000000" w:fill="AF272F"/>
            <w:hideMark/>
          </w:tcPr>
          <w:p w14:paraId="233E3034"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Software at cost ($m)</w:t>
            </w:r>
          </w:p>
        </w:tc>
        <w:tc>
          <w:tcPr>
            <w:tcW w:w="1470" w:type="dxa"/>
            <w:tcBorders>
              <w:top w:val="nil"/>
              <w:left w:val="single" w:sz="4" w:space="0" w:color="FFFFFF"/>
              <w:bottom w:val="single" w:sz="4" w:space="0" w:color="auto"/>
              <w:right w:val="nil"/>
            </w:tcBorders>
            <w:shd w:val="clear" w:color="000000" w:fill="AF272F"/>
            <w:hideMark/>
          </w:tcPr>
          <w:p w14:paraId="23CC0885"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Software work in progress ($m)</w:t>
            </w:r>
          </w:p>
        </w:tc>
        <w:tc>
          <w:tcPr>
            <w:tcW w:w="1322" w:type="dxa"/>
            <w:tcBorders>
              <w:top w:val="nil"/>
              <w:left w:val="single" w:sz="4" w:space="0" w:color="FFFFFF"/>
              <w:bottom w:val="single" w:sz="4" w:space="0" w:color="FFFFFF"/>
              <w:right w:val="single" w:sz="4" w:space="0" w:color="FFFFFF"/>
            </w:tcBorders>
            <w:shd w:val="clear" w:color="000000" w:fill="AF272F"/>
            <w:hideMark/>
          </w:tcPr>
          <w:p w14:paraId="656F90AF"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Total ($m)</w:t>
            </w:r>
          </w:p>
        </w:tc>
      </w:tr>
      <w:tr w:rsidR="00F1540A" w:rsidRPr="005734B8" w14:paraId="49987B48" w14:textId="77777777" w:rsidTr="000F48B1">
        <w:trPr>
          <w:trHeight w:val="255"/>
        </w:trPr>
        <w:tc>
          <w:tcPr>
            <w:tcW w:w="3510"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39E5AA34"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Opening balance</w:t>
            </w:r>
          </w:p>
        </w:tc>
        <w:tc>
          <w:tcPr>
            <w:tcW w:w="1323" w:type="dxa"/>
            <w:tcBorders>
              <w:top w:val="nil"/>
              <w:left w:val="nil"/>
              <w:bottom w:val="single" w:sz="4" w:space="0" w:color="auto"/>
              <w:right w:val="single" w:sz="4" w:space="0" w:color="FFFFFF"/>
            </w:tcBorders>
            <w:shd w:val="clear" w:color="000000" w:fill="D9D9D9"/>
            <w:vAlign w:val="center"/>
            <w:hideMark/>
          </w:tcPr>
          <w:p w14:paraId="3ABF5738"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171.1 </w:t>
            </w:r>
          </w:p>
        </w:tc>
        <w:tc>
          <w:tcPr>
            <w:tcW w:w="1470" w:type="dxa"/>
            <w:tcBorders>
              <w:top w:val="nil"/>
              <w:left w:val="nil"/>
              <w:bottom w:val="single" w:sz="4" w:space="0" w:color="auto"/>
              <w:right w:val="single" w:sz="4" w:space="0" w:color="FFFFFF"/>
            </w:tcBorders>
            <w:shd w:val="clear" w:color="000000" w:fill="D9D9D9"/>
            <w:vAlign w:val="center"/>
            <w:hideMark/>
          </w:tcPr>
          <w:p w14:paraId="5981E060"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14.4 </w:t>
            </w:r>
          </w:p>
        </w:tc>
        <w:tc>
          <w:tcPr>
            <w:tcW w:w="1322" w:type="dxa"/>
            <w:tcBorders>
              <w:top w:val="single" w:sz="4" w:space="0" w:color="auto"/>
              <w:left w:val="nil"/>
              <w:bottom w:val="single" w:sz="4" w:space="0" w:color="auto"/>
              <w:right w:val="single" w:sz="4" w:space="0" w:color="FFFFFF"/>
            </w:tcBorders>
            <w:shd w:val="clear" w:color="000000" w:fill="D9D9D9"/>
            <w:vAlign w:val="center"/>
            <w:hideMark/>
          </w:tcPr>
          <w:p w14:paraId="6689A554"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185.5 </w:t>
            </w:r>
          </w:p>
        </w:tc>
      </w:tr>
      <w:tr w:rsidR="00F1540A" w:rsidRPr="005734B8" w14:paraId="7643C1C4" w14:textId="77777777" w:rsidTr="000F48B1">
        <w:trPr>
          <w:trHeight w:val="255"/>
        </w:trPr>
        <w:tc>
          <w:tcPr>
            <w:tcW w:w="3510" w:type="dxa"/>
            <w:tcBorders>
              <w:top w:val="nil"/>
              <w:left w:val="single" w:sz="4" w:space="0" w:color="FFFFFF"/>
              <w:bottom w:val="single" w:sz="4" w:space="0" w:color="auto"/>
              <w:right w:val="single" w:sz="4" w:space="0" w:color="FFFFFF"/>
            </w:tcBorders>
            <w:shd w:val="clear" w:color="FFFFFF" w:fill="FFFFFF"/>
            <w:vAlign w:val="center"/>
            <w:hideMark/>
          </w:tcPr>
          <w:p w14:paraId="79BE44FB"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Adjustment to opening balance</w:t>
            </w:r>
          </w:p>
        </w:tc>
        <w:tc>
          <w:tcPr>
            <w:tcW w:w="1323" w:type="dxa"/>
            <w:tcBorders>
              <w:top w:val="nil"/>
              <w:left w:val="nil"/>
              <w:bottom w:val="single" w:sz="4" w:space="0" w:color="auto"/>
              <w:right w:val="single" w:sz="4" w:space="0" w:color="FFFFFF"/>
            </w:tcBorders>
            <w:shd w:val="clear" w:color="FFFFFF" w:fill="FFFFFF"/>
            <w:noWrap/>
            <w:vAlign w:val="center"/>
            <w:hideMark/>
          </w:tcPr>
          <w:p w14:paraId="13694A7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(0.1) </w:t>
            </w:r>
          </w:p>
        </w:tc>
        <w:tc>
          <w:tcPr>
            <w:tcW w:w="1470" w:type="dxa"/>
            <w:tcBorders>
              <w:top w:val="nil"/>
              <w:left w:val="nil"/>
              <w:bottom w:val="single" w:sz="4" w:space="0" w:color="auto"/>
              <w:right w:val="single" w:sz="4" w:space="0" w:color="FFFFFF"/>
            </w:tcBorders>
            <w:shd w:val="clear" w:color="FFFFFF" w:fill="FFFFFF"/>
            <w:noWrap/>
            <w:vAlign w:val="center"/>
            <w:hideMark/>
          </w:tcPr>
          <w:p w14:paraId="495BA09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0.2 </w:t>
            </w:r>
          </w:p>
        </w:tc>
        <w:tc>
          <w:tcPr>
            <w:tcW w:w="1322" w:type="dxa"/>
            <w:tcBorders>
              <w:top w:val="nil"/>
              <w:left w:val="nil"/>
              <w:bottom w:val="single" w:sz="4" w:space="0" w:color="auto"/>
              <w:right w:val="single" w:sz="4" w:space="0" w:color="FFFFFF"/>
            </w:tcBorders>
            <w:shd w:val="clear" w:color="FFFFFF" w:fill="FFFFFF"/>
            <w:noWrap/>
            <w:vAlign w:val="center"/>
            <w:hideMark/>
          </w:tcPr>
          <w:p w14:paraId="5B2D5C88"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0.1 </w:t>
            </w:r>
          </w:p>
        </w:tc>
      </w:tr>
      <w:tr w:rsidR="00F1540A" w:rsidRPr="005734B8" w14:paraId="520A9335" w14:textId="77777777" w:rsidTr="000F48B1">
        <w:trPr>
          <w:trHeight w:val="255"/>
        </w:trPr>
        <w:tc>
          <w:tcPr>
            <w:tcW w:w="3510" w:type="dxa"/>
            <w:tcBorders>
              <w:top w:val="nil"/>
              <w:left w:val="single" w:sz="4" w:space="0" w:color="FFFFFF"/>
              <w:bottom w:val="single" w:sz="4" w:space="0" w:color="auto"/>
              <w:right w:val="single" w:sz="4" w:space="0" w:color="FFFFFF"/>
            </w:tcBorders>
            <w:shd w:val="clear" w:color="FFFFFF" w:fill="FFFFFF"/>
            <w:vAlign w:val="center"/>
            <w:hideMark/>
          </w:tcPr>
          <w:p w14:paraId="206D7FC8"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Additions</w:t>
            </w:r>
          </w:p>
        </w:tc>
        <w:tc>
          <w:tcPr>
            <w:tcW w:w="1323" w:type="dxa"/>
            <w:tcBorders>
              <w:top w:val="nil"/>
              <w:left w:val="nil"/>
              <w:bottom w:val="single" w:sz="4" w:space="0" w:color="auto"/>
              <w:right w:val="single" w:sz="4" w:space="0" w:color="FFFFFF"/>
            </w:tcBorders>
            <w:shd w:val="clear" w:color="FFFFFF" w:fill="FFFFFF"/>
            <w:noWrap/>
            <w:vAlign w:val="center"/>
            <w:hideMark/>
          </w:tcPr>
          <w:p w14:paraId="23CBCDA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0.6 </w:t>
            </w:r>
          </w:p>
        </w:tc>
        <w:tc>
          <w:tcPr>
            <w:tcW w:w="1470" w:type="dxa"/>
            <w:tcBorders>
              <w:top w:val="nil"/>
              <w:left w:val="nil"/>
              <w:bottom w:val="single" w:sz="4" w:space="0" w:color="auto"/>
              <w:right w:val="single" w:sz="4" w:space="0" w:color="FFFFFF"/>
            </w:tcBorders>
            <w:shd w:val="clear" w:color="FFFFFF" w:fill="FFFFFF"/>
            <w:noWrap/>
            <w:vAlign w:val="center"/>
            <w:hideMark/>
          </w:tcPr>
          <w:p w14:paraId="5C9C9F9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13.8 </w:t>
            </w:r>
          </w:p>
        </w:tc>
        <w:tc>
          <w:tcPr>
            <w:tcW w:w="1322" w:type="dxa"/>
            <w:tcBorders>
              <w:top w:val="nil"/>
              <w:left w:val="nil"/>
              <w:bottom w:val="single" w:sz="4" w:space="0" w:color="auto"/>
              <w:right w:val="single" w:sz="4" w:space="0" w:color="FFFFFF"/>
            </w:tcBorders>
            <w:shd w:val="clear" w:color="FFFFFF" w:fill="FFFFFF"/>
            <w:noWrap/>
            <w:vAlign w:val="center"/>
            <w:hideMark/>
          </w:tcPr>
          <w:p w14:paraId="7FA402C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14.4 </w:t>
            </w:r>
          </w:p>
        </w:tc>
      </w:tr>
      <w:tr w:rsidR="00F1540A" w:rsidRPr="005734B8" w14:paraId="7E1C7880" w14:textId="77777777" w:rsidTr="000F48B1">
        <w:trPr>
          <w:trHeight w:val="255"/>
        </w:trPr>
        <w:tc>
          <w:tcPr>
            <w:tcW w:w="3510" w:type="dxa"/>
            <w:tcBorders>
              <w:top w:val="nil"/>
              <w:left w:val="single" w:sz="4" w:space="0" w:color="FFFFFF"/>
              <w:bottom w:val="single" w:sz="4" w:space="0" w:color="auto"/>
              <w:right w:val="single" w:sz="4" w:space="0" w:color="FFFFFF"/>
            </w:tcBorders>
            <w:shd w:val="clear" w:color="FFFFFF" w:fill="FFFFFF"/>
            <w:vAlign w:val="center"/>
            <w:hideMark/>
          </w:tcPr>
          <w:p w14:paraId="7ABE4413"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Disposals</w:t>
            </w:r>
          </w:p>
        </w:tc>
        <w:tc>
          <w:tcPr>
            <w:tcW w:w="1323" w:type="dxa"/>
            <w:tcBorders>
              <w:top w:val="nil"/>
              <w:left w:val="nil"/>
              <w:bottom w:val="single" w:sz="4" w:space="0" w:color="auto"/>
              <w:right w:val="single" w:sz="4" w:space="0" w:color="FFFFFF"/>
            </w:tcBorders>
            <w:shd w:val="clear" w:color="FFFFFF" w:fill="FFFFFF"/>
            <w:noWrap/>
            <w:vAlign w:val="center"/>
            <w:hideMark/>
          </w:tcPr>
          <w:p w14:paraId="7046755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(34.6) </w:t>
            </w:r>
          </w:p>
        </w:tc>
        <w:tc>
          <w:tcPr>
            <w:tcW w:w="1470" w:type="dxa"/>
            <w:tcBorders>
              <w:top w:val="nil"/>
              <w:left w:val="nil"/>
              <w:bottom w:val="single" w:sz="4" w:space="0" w:color="auto"/>
              <w:right w:val="single" w:sz="4" w:space="0" w:color="FFFFFF"/>
            </w:tcBorders>
            <w:shd w:val="clear" w:color="FFFFFF" w:fill="FFFFFF"/>
            <w:noWrap/>
            <w:vAlign w:val="center"/>
            <w:hideMark/>
          </w:tcPr>
          <w:p w14:paraId="5A10DFA0" w14:textId="3B57102B" w:rsidR="00F1540A" w:rsidRPr="005734B8" w:rsidRDefault="00141228" w:rsidP="000F48B1">
            <w:pPr>
              <w:jc w:val="right"/>
              <w:rPr>
                <w:rFonts w:ascii="Calibri" w:hAnsi="Calibri" w:cs="Calibri"/>
                <w:sz w:val="18"/>
                <w:szCs w:val="18"/>
              </w:rPr>
            </w:pPr>
            <w:r w:rsidRPr="005734B8">
              <w:rPr>
                <w:rFonts w:ascii="Calibri" w:hAnsi="Calibri" w:cs="Calibri"/>
                <w:sz w:val="18"/>
                <w:szCs w:val="18"/>
              </w:rPr>
              <w:softHyphen/>
            </w:r>
            <w:r w:rsidR="006C14DE" w:rsidRPr="005734B8">
              <w:rPr>
                <w:rFonts w:ascii="Calibri" w:hAnsi="Calibri" w:cs="Calibri"/>
                <w:sz w:val="18"/>
                <w:szCs w:val="18"/>
              </w:rPr>
              <w:t>–</w:t>
            </w:r>
            <w:r w:rsidR="00F1540A" w:rsidRPr="005734B8">
              <w:rPr>
                <w:rFonts w:ascii="Calibri" w:hAnsi="Calibri" w:cs="Calibri"/>
                <w:sz w:val="18"/>
                <w:szCs w:val="18"/>
              </w:rPr>
              <w:t xml:space="preserve"> </w:t>
            </w:r>
          </w:p>
        </w:tc>
        <w:tc>
          <w:tcPr>
            <w:tcW w:w="1322" w:type="dxa"/>
            <w:tcBorders>
              <w:top w:val="nil"/>
              <w:left w:val="nil"/>
              <w:bottom w:val="single" w:sz="4" w:space="0" w:color="auto"/>
              <w:right w:val="single" w:sz="4" w:space="0" w:color="FFFFFF"/>
            </w:tcBorders>
            <w:shd w:val="clear" w:color="FFFFFF" w:fill="FFFFFF"/>
            <w:noWrap/>
            <w:vAlign w:val="center"/>
            <w:hideMark/>
          </w:tcPr>
          <w:p w14:paraId="545FE68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(34.6) </w:t>
            </w:r>
          </w:p>
        </w:tc>
      </w:tr>
      <w:tr w:rsidR="00F1540A" w:rsidRPr="005734B8" w14:paraId="4E5326C5" w14:textId="77777777" w:rsidTr="000F48B1">
        <w:trPr>
          <w:trHeight w:val="255"/>
        </w:trPr>
        <w:tc>
          <w:tcPr>
            <w:tcW w:w="3510" w:type="dxa"/>
            <w:tcBorders>
              <w:top w:val="nil"/>
              <w:left w:val="single" w:sz="4" w:space="0" w:color="FFFFFF"/>
              <w:bottom w:val="single" w:sz="4" w:space="0" w:color="auto"/>
              <w:right w:val="single" w:sz="4" w:space="0" w:color="FFFFFF"/>
            </w:tcBorders>
            <w:shd w:val="clear" w:color="FFFFFF" w:fill="FFFFFF"/>
            <w:vAlign w:val="center"/>
            <w:hideMark/>
          </w:tcPr>
          <w:p w14:paraId="2547B911"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Impairments</w:t>
            </w:r>
          </w:p>
        </w:tc>
        <w:tc>
          <w:tcPr>
            <w:tcW w:w="1323" w:type="dxa"/>
            <w:tcBorders>
              <w:top w:val="nil"/>
              <w:left w:val="nil"/>
              <w:bottom w:val="single" w:sz="4" w:space="0" w:color="auto"/>
              <w:right w:val="single" w:sz="4" w:space="0" w:color="FFFFFF"/>
            </w:tcBorders>
            <w:shd w:val="clear" w:color="FFFFFF" w:fill="FFFFFF"/>
            <w:noWrap/>
            <w:vAlign w:val="center"/>
            <w:hideMark/>
          </w:tcPr>
          <w:p w14:paraId="4B9390AD" w14:textId="1A12AAB3" w:rsidR="00F1540A" w:rsidRPr="005734B8" w:rsidRDefault="00141228" w:rsidP="000F48B1">
            <w:pPr>
              <w:jc w:val="right"/>
              <w:rPr>
                <w:rFonts w:ascii="Calibri" w:hAnsi="Calibri" w:cs="Calibri"/>
                <w:sz w:val="18"/>
                <w:szCs w:val="18"/>
              </w:rPr>
            </w:pPr>
            <w:r w:rsidRPr="005734B8">
              <w:rPr>
                <w:rFonts w:ascii="Calibri" w:hAnsi="Calibri" w:cs="Calibri"/>
                <w:sz w:val="18"/>
                <w:szCs w:val="18"/>
              </w:rPr>
              <w:softHyphen/>
            </w:r>
            <w:r w:rsidR="006C14DE" w:rsidRPr="005734B8">
              <w:rPr>
                <w:rFonts w:ascii="Calibri" w:hAnsi="Calibri" w:cs="Calibri"/>
                <w:sz w:val="18"/>
                <w:szCs w:val="18"/>
              </w:rPr>
              <w:t>–</w:t>
            </w:r>
            <w:r w:rsidR="00F1540A" w:rsidRPr="005734B8">
              <w:rPr>
                <w:rFonts w:ascii="Calibri" w:hAnsi="Calibri" w:cs="Calibri"/>
                <w:sz w:val="18"/>
                <w:szCs w:val="18"/>
              </w:rPr>
              <w:t xml:space="preserve"> </w:t>
            </w:r>
          </w:p>
        </w:tc>
        <w:tc>
          <w:tcPr>
            <w:tcW w:w="1470" w:type="dxa"/>
            <w:tcBorders>
              <w:top w:val="nil"/>
              <w:left w:val="nil"/>
              <w:bottom w:val="single" w:sz="4" w:space="0" w:color="auto"/>
              <w:right w:val="single" w:sz="4" w:space="0" w:color="FFFFFF"/>
            </w:tcBorders>
            <w:shd w:val="clear" w:color="FFFFFF" w:fill="FFFFFF"/>
            <w:noWrap/>
            <w:vAlign w:val="center"/>
            <w:hideMark/>
          </w:tcPr>
          <w:p w14:paraId="77220BF8"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(0.2) </w:t>
            </w:r>
          </w:p>
        </w:tc>
        <w:tc>
          <w:tcPr>
            <w:tcW w:w="1322" w:type="dxa"/>
            <w:tcBorders>
              <w:top w:val="nil"/>
              <w:left w:val="nil"/>
              <w:bottom w:val="single" w:sz="4" w:space="0" w:color="auto"/>
              <w:right w:val="single" w:sz="4" w:space="0" w:color="FFFFFF"/>
            </w:tcBorders>
            <w:shd w:val="clear" w:color="FFFFFF" w:fill="FFFFFF"/>
            <w:noWrap/>
            <w:vAlign w:val="center"/>
            <w:hideMark/>
          </w:tcPr>
          <w:p w14:paraId="7032221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(0.2) </w:t>
            </w:r>
          </w:p>
        </w:tc>
      </w:tr>
      <w:tr w:rsidR="00F1540A" w:rsidRPr="005734B8" w14:paraId="0E01F31F" w14:textId="77777777" w:rsidTr="000F48B1">
        <w:trPr>
          <w:trHeight w:val="270"/>
        </w:trPr>
        <w:tc>
          <w:tcPr>
            <w:tcW w:w="3510" w:type="dxa"/>
            <w:tcBorders>
              <w:top w:val="nil"/>
              <w:left w:val="single" w:sz="4" w:space="0" w:color="FFFFFF"/>
              <w:bottom w:val="single" w:sz="4" w:space="0" w:color="auto"/>
              <w:right w:val="single" w:sz="4" w:space="0" w:color="FFFFFF"/>
            </w:tcBorders>
            <w:shd w:val="clear" w:color="FFFFFF" w:fill="FFFFFF"/>
            <w:vAlign w:val="center"/>
            <w:hideMark/>
          </w:tcPr>
          <w:p w14:paraId="67033FFC"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Transfers between classes</w:t>
            </w:r>
          </w:p>
        </w:tc>
        <w:tc>
          <w:tcPr>
            <w:tcW w:w="1323" w:type="dxa"/>
            <w:tcBorders>
              <w:top w:val="nil"/>
              <w:left w:val="nil"/>
              <w:bottom w:val="single" w:sz="4" w:space="0" w:color="auto"/>
              <w:right w:val="single" w:sz="4" w:space="0" w:color="FFFFFF"/>
            </w:tcBorders>
            <w:shd w:val="clear" w:color="FFFFFF" w:fill="FFFFFF"/>
            <w:noWrap/>
            <w:vAlign w:val="center"/>
            <w:hideMark/>
          </w:tcPr>
          <w:p w14:paraId="02BAA06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13.5 </w:t>
            </w:r>
          </w:p>
        </w:tc>
        <w:tc>
          <w:tcPr>
            <w:tcW w:w="1470" w:type="dxa"/>
            <w:tcBorders>
              <w:top w:val="nil"/>
              <w:left w:val="nil"/>
              <w:bottom w:val="single" w:sz="4" w:space="0" w:color="auto"/>
              <w:right w:val="single" w:sz="4" w:space="0" w:color="FFFFFF"/>
            </w:tcBorders>
            <w:shd w:val="clear" w:color="FFFFFF" w:fill="FFFFFF"/>
            <w:noWrap/>
            <w:vAlign w:val="center"/>
            <w:hideMark/>
          </w:tcPr>
          <w:p w14:paraId="4CA7906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(13.5) </w:t>
            </w:r>
          </w:p>
        </w:tc>
        <w:tc>
          <w:tcPr>
            <w:tcW w:w="1322" w:type="dxa"/>
            <w:tcBorders>
              <w:top w:val="nil"/>
              <w:left w:val="nil"/>
              <w:bottom w:val="single" w:sz="4" w:space="0" w:color="auto"/>
              <w:right w:val="single" w:sz="4" w:space="0" w:color="FFFFFF"/>
            </w:tcBorders>
            <w:shd w:val="clear" w:color="FFFFFF" w:fill="FFFFFF"/>
            <w:noWrap/>
            <w:vAlign w:val="center"/>
            <w:hideMark/>
          </w:tcPr>
          <w:p w14:paraId="535C10EB" w14:textId="522ADB94" w:rsidR="00F1540A" w:rsidRPr="005734B8" w:rsidRDefault="00141228" w:rsidP="000F48B1">
            <w:pPr>
              <w:jc w:val="right"/>
              <w:rPr>
                <w:rFonts w:ascii="Calibri" w:hAnsi="Calibri" w:cs="Calibri"/>
                <w:sz w:val="18"/>
                <w:szCs w:val="18"/>
              </w:rPr>
            </w:pPr>
            <w:r w:rsidRPr="005734B8">
              <w:rPr>
                <w:rFonts w:ascii="Calibri" w:hAnsi="Calibri" w:cs="Calibri"/>
                <w:sz w:val="18"/>
                <w:szCs w:val="18"/>
              </w:rPr>
              <w:softHyphen/>
            </w:r>
            <w:r w:rsidR="005216A0" w:rsidRPr="005734B8">
              <w:rPr>
                <w:rFonts w:ascii="Calibri" w:hAnsi="Calibri" w:cs="Calibri"/>
                <w:sz w:val="18"/>
                <w:szCs w:val="18"/>
              </w:rPr>
              <w:t>-</w:t>
            </w:r>
            <w:r w:rsidR="00F1540A" w:rsidRPr="005734B8">
              <w:rPr>
                <w:rFonts w:ascii="Calibri" w:hAnsi="Calibri" w:cs="Calibri"/>
                <w:sz w:val="18"/>
                <w:szCs w:val="18"/>
              </w:rPr>
              <w:t xml:space="preserve"> </w:t>
            </w:r>
          </w:p>
        </w:tc>
      </w:tr>
      <w:tr w:rsidR="00F1540A" w:rsidRPr="005734B8" w14:paraId="16A992A4" w14:textId="77777777" w:rsidTr="000F48B1">
        <w:trPr>
          <w:trHeight w:val="285"/>
        </w:trPr>
        <w:tc>
          <w:tcPr>
            <w:tcW w:w="3510"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BD8A760"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Closing balance</w:t>
            </w:r>
          </w:p>
        </w:tc>
        <w:tc>
          <w:tcPr>
            <w:tcW w:w="1323" w:type="dxa"/>
            <w:tcBorders>
              <w:top w:val="single" w:sz="12" w:space="0" w:color="auto"/>
              <w:left w:val="nil"/>
              <w:bottom w:val="single" w:sz="12" w:space="0" w:color="auto"/>
              <w:right w:val="single" w:sz="12" w:space="0" w:color="FFFFFF"/>
            </w:tcBorders>
            <w:shd w:val="clear" w:color="FFFFFF" w:fill="FFFFFF"/>
            <w:noWrap/>
            <w:vAlign w:val="center"/>
            <w:hideMark/>
          </w:tcPr>
          <w:p w14:paraId="419A1A24"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150.5 </w:t>
            </w:r>
          </w:p>
        </w:tc>
        <w:tc>
          <w:tcPr>
            <w:tcW w:w="1470" w:type="dxa"/>
            <w:tcBorders>
              <w:top w:val="single" w:sz="12" w:space="0" w:color="auto"/>
              <w:left w:val="nil"/>
              <w:bottom w:val="single" w:sz="12" w:space="0" w:color="auto"/>
              <w:right w:val="single" w:sz="12" w:space="0" w:color="FFFFFF"/>
            </w:tcBorders>
            <w:shd w:val="clear" w:color="FFFFFF" w:fill="FFFFFF"/>
            <w:noWrap/>
            <w:vAlign w:val="center"/>
            <w:hideMark/>
          </w:tcPr>
          <w:p w14:paraId="4FE9B21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14.7 </w:t>
            </w:r>
          </w:p>
        </w:tc>
        <w:tc>
          <w:tcPr>
            <w:tcW w:w="1322" w:type="dxa"/>
            <w:tcBorders>
              <w:top w:val="single" w:sz="12" w:space="0" w:color="auto"/>
              <w:left w:val="nil"/>
              <w:bottom w:val="single" w:sz="12" w:space="0" w:color="auto"/>
              <w:right w:val="nil"/>
            </w:tcBorders>
            <w:shd w:val="clear" w:color="FFFFFF" w:fill="FFFFFF"/>
            <w:noWrap/>
            <w:vAlign w:val="center"/>
            <w:hideMark/>
          </w:tcPr>
          <w:p w14:paraId="5362F6F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165.2 </w:t>
            </w:r>
          </w:p>
        </w:tc>
      </w:tr>
      <w:tr w:rsidR="00F1540A" w:rsidRPr="005734B8" w14:paraId="52A17CC0" w14:textId="77777777" w:rsidTr="000F48B1">
        <w:trPr>
          <w:trHeight w:val="270"/>
        </w:trPr>
        <w:tc>
          <w:tcPr>
            <w:tcW w:w="3510"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026B4B70"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Accumulated amortisation</w:t>
            </w:r>
          </w:p>
        </w:tc>
        <w:tc>
          <w:tcPr>
            <w:tcW w:w="1323" w:type="dxa"/>
            <w:tcBorders>
              <w:top w:val="single" w:sz="4" w:space="0" w:color="auto"/>
              <w:left w:val="nil"/>
              <w:bottom w:val="single" w:sz="4" w:space="0" w:color="auto"/>
              <w:right w:val="single" w:sz="4" w:space="0" w:color="FFFFFF"/>
            </w:tcBorders>
            <w:shd w:val="clear" w:color="000000" w:fill="D9D9D9"/>
            <w:vAlign w:val="center"/>
            <w:hideMark/>
          </w:tcPr>
          <w:p w14:paraId="6939C174"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470" w:type="dxa"/>
            <w:tcBorders>
              <w:top w:val="single" w:sz="4" w:space="0" w:color="auto"/>
              <w:left w:val="nil"/>
              <w:bottom w:val="single" w:sz="4" w:space="0" w:color="auto"/>
              <w:right w:val="single" w:sz="4" w:space="0" w:color="FFFFFF"/>
            </w:tcBorders>
            <w:shd w:val="clear" w:color="000000" w:fill="D9D9D9"/>
            <w:vAlign w:val="center"/>
            <w:hideMark/>
          </w:tcPr>
          <w:p w14:paraId="67BF8111"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322" w:type="dxa"/>
            <w:tcBorders>
              <w:top w:val="single" w:sz="4" w:space="0" w:color="auto"/>
              <w:left w:val="nil"/>
              <w:bottom w:val="single" w:sz="4" w:space="0" w:color="auto"/>
              <w:right w:val="single" w:sz="4" w:space="0" w:color="FFFFFF"/>
            </w:tcBorders>
            <w:shd w:val="clear" w:color="000000" w:fill="D9D9D9"/>
            <w:vAlign w:val="center"/>
            <w:hideMark/>
          </w:tcPr>
          <w:p w14:paraId="38C758AB"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113CC047" w14:textId="77777777" w:rsidTr="00BF7538">
        <w:trPr>
          <w:trHeight w:val="255"/>
        </w:trPr>
        <w:tc>
          <w:tcPr>
            <w:tcW w:w="3510" w:type="dxa"/>
            <w:tcBorders>
              <w:top w:val="nil"/>
              <w:left w:val="nil"/>
              <w:bottom w:val="single" w:sz="4" w:space="0" w:color="auto"/>
              <w:right w:val="nil"/>
            </w:tcBorders>
            <w:shd w:val="clear" w:color="FFFFFF" w:fill="FFFFFF"/>
            <w:vAlign w:val="center"/>
            <w:hideMark/>
          </w:tcPr>
          <w:p w14:paraId="183BA96B"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Opening balance</w:t>
            </w:r>
          </w:p>
        </w:tc>
        <w:tc>
          <w:tcPr>
            <w:tcW w:w="1323" w:type="dxa"/>
            <w:tcBorders>
              <w:top w:val="nil"/>
              <w:left w:val="single" w:sz="4" w:space="0" w:color="FFFFFF"/>
              <w:bottom w:val="single" w:sz="4" w:space="0" w:color="auto"/>
              <w:right w:val="single" w:sz="4" w:space="0" w:color="FFFFFF"/>
            </w:tcBorders>
            <w:shd w:val="clear" w:color="FFFFFF" w:fill="FFFFFF"/>
            <w:noWrap/>
            <w:vAlign w:val="center"/>
            <w:hideMark/>
          </w:tcPr>
          <w:p w14:paraId="43DF354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(146.0) </w:t>
            </w:r>
          </w:p>
        </w:tc>
        <w:tc>
          <w:tcPr>
            <w:tcW w:w="1470" w:type="dxa"/>
            <w:tcBorders>
              <w:top w:val="nil"/>
              <w:left w:val="nil"/>
              <w:bottom w:val="single" w:sz="4" w:space="0" w:color="auto"/>
              <w:right w:val="single" w:sz="4" w:space="0" w:color="FFFFFF"/>
            </w:tcBorders>
            <w:shd w:val="clear" w:color="FFFFFF" w:fill="FFFFFF"/>
            <w:noWrap/>
            <w:hideMark/>
          </w:tcPr>
          <w:p w14:paraId="650BC29A" w14:textId="206DDD46" w:rsidR="00F1540A" w:rsidRPr="005734B8" w:rsidRDefault="006C14DE" w:rsidP="000F48B1">
            <w:pPr>
              <w:jc w:val="right"/>
              <w:rPr>
                <w:rFonts w:ascii="Calibri" w:hAnsi="Calibri" w:cs="Calibri"/>
                <w:b/>
                <w:sz w:val="18"/>
                <w:szCs w:val="18"/>
              </w:rPr>
            </w:pPr>
            <w:r w:rsidRPr="005734B8">
              <w:rPr>
                <w:rFonts w:ascii="Calibri" w:hAnsi="Calibri" w:cs="Calibri"/>
                <w:sz w:val="18"/>
                <w:szCs w:val="18"/>
              </w:rPr>
              <w:t>–</w:t>
            </w:r>
          </w:p>
        </w:tc>
        <w:tc>
          <w:tcPr>
            <w:tcW w:w="1322" w:type="dxa"/>
            <w:tcBorders>
              <w:top w:val="nil"/>
              <w:left w:val="nil"/>
              <w:bottom w:val="single" w:sz="4" w:space="0" w:color="auto"/>
              <w:right w:val="single" w:sz="4" w:space="0" w:color="FFFFFF"/>
            </w:tcBorders>
            <w:shd w:val="clear" w:color="FFFFFF" w:fill="FFFFFF"/>
            <w:noWrap/>
            <w:vAlign w:val="center"/>
            <w:hideMark/>
          </w:tcPr>
          <w:p w14:paraId="0F3577A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(146.0) </w:t>
            </w:r>
          </w:p>
        </w:tc>
      </w:tr>
      <w:tr w:rsidR="00F1540A" w:rsidRPr="005734B8" w14:paraId="10F99B9F" w14:textId="77777777" w:rsidTr="00BF7538">
        <w:trPr>
          <w:trHeight w:val="255"/>
        </w:trPr>
        <w:tc>
          <w:tcPr>
            <w:tcW w:w="3510" w:type="dxa"/>
            <w:tcBorders>
              <w:top w:val="nil"/>
              <w:left w:val="single" w:sz="4" w:space="0" w:color="FFFFFF"/>
              <w:bottom w:val="single" w:sz="4" w:space="0" w:color="auto"/>
              <w:right w:val="single" w:sz="4" w:space="0" w:color="FFFFFF"/>
            </w:tcBorders>
            <w:shd w:val="clear" w:color="FFFFFF" w:fill="FFFFFF"/>
            <w:vAlign w:val="center"/>
            <w:hideMark/>
          </w:tcPr>
          <w:p w14:paraId="62A91F82"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Amortisation expense</w:t>
            </w:r>
          </w:p>
        </w:tc>
        <w:tc>
          <w:tcPr>
            <w:tcW w:w="1323" w:type="dxa"/>
            <w:tcBorders>
              <w:top w:val="nil"/>
              <w:left w:val="nil"/>
              <w:bottom w:val="single" w:sz="4" w:space="0" w:color="auto"/>
              <w:right w:val="single" w:sz="4" w:space="0" w:color="FFFFFF"/>
            </w:tcBorders>
            <w:shd w:val="clear" w:color="FFFFFF" w:fill="FFFFFF"/>
            <w:noWrap/>
            <w:vAlign w:val="center"/>
            <w:hideMark/>
          </w:tcPr>
          <w:p w14:paraId="0D2AB58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(14.9) </w:t>
            </w:r>
          </w:p>
        </w:tc>
        <w:tc>
          <w:tcPr>
            <w:tcW w:w="1470" w:type="dxa"/>
            <w:tcBorders>
              <w:top w:val="nil"/>
              <w:left w:val="nil"/>
              <w:bottom w:val="single" w:sz="4" w:space="0" w:color="auto"/>
              <w:right w:val="single" w:sz="4" w:space="0" w:color="FFFFFF"/>
            </w:tcBorders>
            <w:shd w:val="clear" w:color="FFFFFF" w:fill="FFFFFF"/>
            <w:noWrap/>
            <w:hideMark/>
          </w:tcPr>
          <w:p w14:paraId="3A824306" w14:textId="5C1B88F0"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322" w:type="dxa"/>
            <w:tcBorders>
              <w:top w:val="nil"/>
              <w:left w:val="nil"/>
              <w:bottom w:val="single" w:sz="4" w:space="0" w:color="auto"/>
              <w:right w:val="single" w:sz="4" w:space="0" w:color="FFFFFF"/>
            </w:tcBorders>
            <w:shd w:val="clear" w:color="FFFFFF" w:fill="FFFFFF"/>
            <w:noWrap/>
            <w:vAlign w:val="center"/>
            <w:hideMark/>
          </w:tcPr>
          <w:p w14:paraId="32520E4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(14.9) </w:t>
            </w:r>
          </w:p>
        </w:tc>
      </w:tr>
      <w:tr w:rsidR="00F1540A" w:rsidRPr="005734B8" w14:paraId="79A885A9" w14:textId="77777777" w:rsidTr="00BF7538">
        <w:trPr>
          <w:trHeight w:val="270"/>
        </w:trPr>
        <w:tc>
          <w:tcPr>
            <w:tcW w:w="3510" w:type="dxa"/>
            <w:tcBorders>
              <w:top w:val="nil"/>
              <w:left w:val="single" w:sz="4" w:space="0" w:color="FFFFFF"/>
              <w:bottom w:val="single" w:sz="4" w:space="0" w:color="auto"/>
              <w:right w:val="single" w:sz="4" w:space="0" w:color="FFFFFF"/>
            </w:tcBorders>
            <w:shd w:val="clear" w:color="FFFFFF" w:fill="FFFFFF"/>
            <w:vAlign w:val="center"/>
            <w:hideMark/>
          </w:tcPr>
          <w:p w14:paraId="52D3EB97"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 xml:space="preserve">Write back due to disposals </w:t>
            </w:r>
          </w:p>
        </w:tc>
        <w:tc>
          <w:tcPr>
            <w:tcW w:w="1323" w:type="dxa"/>
            <w:tcBorders>
              <w:top w:val="nil"/>
              <w:left w:val="nil"/>
              <w:bottom w:val="single" w:sz="4" w:space="0" w:color="auto"/>
              <w:right w:val="single" w:sz="4" w:space="0" w:color="FFFFFF"/>
            </w:tcBorders>
            <w:shd w:val="clear" w:color="FFFFFF" w:fill="FFFFFF"/>
            <w:noWrap/>
            <w:vAlign w:val="center"/>
            <w:hideMark/>
          </w:tcPr>
          <w:p w14:paraId="2701EEF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34.6 </w:t>
            </w:r>
          </w:p>
        </w:tc>
        <w:tc>
          <w:tcPr>
            <w:tcW w:w="1470" w:type="dxa"/>
            <w:tcBorders>
              <w:top w:val="nil"/>
              <w:left w:val="nil"/>
              <w:bottom w:val="single" w:sz="4" w:space="0" w:color="auto"/>
              <w:right w:val="single" w:sz="4" w:space="0" w:color="FFFFFF"/>
            </w:tcBorders>
            <w:shd w:val="clear" w:color="FFFFFF" w:fill="FFFFFF"/>
            <w:noWrap/>
            <w:hideMark/>
          </w:tcPr>
          <w:p w14:paraId="1039AE9C" w14:textId="5C114275"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322" w:type="dxa"/>
            <w:tcBorders>
              <w:top w:val="nil"/>
              <w:left w:val="nil"/>
              <w:bottom w:val="single" w:sz="4" w:space="0" w:color="auto"/>
              <w:right w:val="single" w:sz="4" w:space="0" w:color="FFFFFF"/>
            </w:tcBorders>
            <w:shd w:val="clear" w:color="FFFFFF" w:fill="FFFFFF"/>
            <w:noWrap/>
            <w:vAlign w:val="center"/>
            <w:hideMark/>
          </w:tcPr>
          <w:p w14:paraId="0FEC5C9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34.6 </w:t>
            </w:r>
          </w:p>
        </w:tc>
      </w:tr>
      <w:tr w:rsidR="00F1540A" w:rsidRPr="005734B8" w14:paraId="4D201C3B" w14:textId="77777777" w:rsidTr="00BF7538">
        <w:trPr>
          <w:trHeight w:val="285"/>
        </w:trPr>
        <w:tc>
          <w:tcPr>
            <w:tcW w:w="3510"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11C93D0"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Closing balance</w:t>
            </w:r>
          </w:p>
        </w:tc>
        <w:tc>
          <w:tcPr>
            <w:tcW w:w="1323" w:type="dxa"/>
            <w:tcBorders>
              <w:top w:val="single" w:sz="12" w:space="0" w:color="auto"/>
              <w:left w:val="nil"/>
              <w:bottom w:val="single" w:sz="12" w:space="0" w:color="auto"/>
              <w:right w:val="nil"/>
            </w:tcBorders>
            <w:shd w:val="clear" w:color="FFFFFF" w:fill="FFFFFF"/>
            <w:noWrap/>
            <w:vAlign w:val="center"/>
            <w:hideMark/>
          </w:tcPr>
          <w:p w14:paraId="505F704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(126.3) </w:t>
            </w:r>
          </w:p>
        </w:tc>
        <w:tc>
          <w:tcPr>
            <w:tcW w:w="1470" w:type="dxa"/>
            <w:tcBorders>
              <w:top w:val="single" w:sz="12" w:space="0" w:color="auto"/>
              <w:left w:val="nil"/>
              <w:bottom w:val="single" w:sz="12" w:space="0" w:color="auto"/>
              <w:right w:val="nil"/>
            </w:tcBorders>
            <w:shd w:val="clear" w:color="FFFFFF" w:fill="FFFFFF"/>
            <w:noWrap/>
            <w:hideMark/>
          </w:tcPr>
          <w:p w14:paraId="7863F65D" w14:textId="3FC7ED2E" w:rsidR="00F1540A" w:rsidRPr="005734B8" w:rsidRDefault="006C14DE" w:rsidP="000F48B1">
            <w:pPr>
              <w:jc w:val="right"/>
              <w:rPr>
                <w:rFonts w:ascii="Calibri" w:hAnsi="Calibri" w:cs="Calibri"/>
                <w:b/>
                <w:sz w:val="18"/>
                <w:szCs w:val="18"/>
              </w:rPr>
            </w:pPr>
            <w:r w:rsidRPr="005734B8">
              <w:rPr>
                <w:rFonts w:ascii="Calibri" w:hAnsi="Calibri" w:cs="Calibri"/>
                <w:sz w:val="18"/>
                <w:szCs w:val="18"/>
              </w:rPr>
              <w:t>–</w:t>
            </w:r>
          </w:p>
        </w:tc>
        <w:tc>
          <w:tcPr>
            <w:tcW w:w="1322" w:type="dxa"/>
            <w:tcBorders>
              <w:top w:val="single" w:sz="12" w:space="0" w:color="auto"/>
              <w:left w:val="nil"/>
              <w:bottom w:val="single" w:sz="12" w:space="0" w:color="auto"/>
              <w:right w:val="nil"/>
            </w:tcBorders>
            <w:shd w:val="clear" w:color="FFFFFF" w:fill="FFFFFF"/>
            <w:noWrap/>
            <w:vAlign w:val="center"/>
            <w:hideMark/>
          </w:tcPr>
          <w:p w14:paraId="2DEF3710"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(126.3) </w:t>
            </w:r>
          </w:p>
        </w:tc>
      </w:tr>
      <w:tr w:rsidR="00F1540A" w:rsidRPr="005734B8" w14:paraId="6198C9AB" w14:textId="77777777" w:rsidTr="000F48B1">
        <w:trPr>
          <w:trHeight w:val="285"/>
        </w:trPr>
        <w:tc>
          <w:tcPr>
            <w:tcW w:w="3510" w:type="dxa"/>
            <w:tcBorders>
              <w:top w:val="nil"/>
              <w:left w:val="single" w:sz="12" w:space="0" w:color="FFFFFF"/>
              <w:bottom w:val="single" w:sz="12" w:space="0" w:color="auto"/>
              <w:right w:val="single" w:sz="12" w:space="0" w:color="FFFFFF"/>
            </w:tcBorders>
            <w:shd w:val="clear" w:color="FFFFFF" w:fill="FFFFFF"/>
            <w:vAlign w:val="center"/>
            <w:hideMark/>
          </w:tcPr>
          <w:p w14:paraId="63E7DED8"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Net book value at end of financial year</w:t>
            </w:r>
          </w:p>
        </w:tc>
        <w:tc>
          <w:tcPr>
            <w:tcW w:w="1323" w:type="dxa"/>
            <w:tcBorders>
              <w:top w:val="nil"/>
              <w:left w:val="nil"/>
              <w:bottom w:val="single" w:sz="12" w:space="0" w:color="auto"/>
              <w:right w:val="nil"/>
            </w:tcBorders>
            <w:shd w:val="clear" w:color="FFFFFF" w:fill="FFFFFF"/>
            <w:noWrap/>
            <w:vAlign w:val="center"/>
            <w:hideMark/>
          </w:tcPr>
          <w:p w14:paraId="515CF563"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24.2 </w:t>
            </w:r>
          </w:p>
        </w:tc>
        <w:tc>
          <w:tcPr>
            <w:tcW w:w="1470" w:type="dxa"/>
            <w:tcBorders>
              <w:top w:val="nil"/>
              <w:left w:val="nil"/>
              <w:bottom w:val="single" w:sz="12" w:space="0" w:color="auto"/>
              <w:right w:val="nil"/>
            </w:tcBorders>
            <w:shd w:val="clear" w:color="FFFFFF" w:fill="FFFFFF"/>
            <w:noWrap/>
            <w:vAlign w:val="center"/>
            <w:hideMark/>
          </w:tcPr>
          <w:p w14:paraId="763EA68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14.7 </w:t>
            </w:r>
          </w:p>
        </w:tc>
        <w:tc>
          <w:tcPr>
            <w:tcW w:w="1322" w:type="dxa"/>
            <w:tcBorders>
              <w:top w:val="nil"/>
              <w:left w:val="nil"/>
              <w:bottom w:val="single" w:sz="12" w:space="0" w:color="auto"/>
              <w:right w:val="nil"/>
            </w:tcBorders>
            <w:shd w:val="clear" w:color="FFFFFF" w:fill="FFFFFF"/>
            <w:noWrap/>
            <w:vAlign w:val="center"/>
            <w:hideMark/>
          </w:tcPr>
          <w:p w14:paraId="5C87D23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38.9 </w:t>
            </w:r>
          </w:p>
        </w:tc>
      </w:tr>
      <w:bookmarkEnd w:id="1464"/>
    </w:tbl>
    <w:p w14:paraId="3D7D93B7" w14:textId="77777777" w:rsidR="00F1540A" w:rsidRPr="005734B8" w:rsidRDefault="00F1540A" w:rsidP="00F1540A">
      <w:pPr>
        <w:rPr>
          <w:rFonts w:ascii="Calibri" w:hAnsi="Calibri" w:cs="Calibri"/>
        </w:rPr>
      </w:pPr>
    </w:p>
    <w:p w14:paraId="1598B138" w14:textId="262E33FF" w:rsidR="00F1540A" w:rsidRPr="005734B8" w:rsidRDefault="00F1540A" w:rsidP="00F1540A">
      <w:pPr>
        <w:rPr>
          <w:rFonts w:ascii="Calibri" w:hAnsi="Calibri" w:cs="Calibri"/>
        </w:rPr>
      </w:pPr>
      <w:r w:rsidRPr="005734B8">
        <w:rPr>
          <w:rFonts w:ascii="Calibri" w:hAnsi="Calibri" w:cs="Calibri"/>
        </w:rPr>
        <w:t xml:space="preserve">Intangible assets are initially recognised at cost. An intangible asset shall be recognised if it is probable that the expected future economic benefits that are attributable to the asset will flow to the entity and the cost of the asset can be measured reliably. When the recognition criteria in AASB 138 Intangible Assets </w:t>
      </w:r>
      <w:r w:rsidR="009018B1" w:rsidRPr="005734B8">
        <w:rPr>
          <w:rFonts w:ascii="Calibri" w:hAnsi="Calibri" w:cs="Calibri"/>
        </w:rPr>
        <w:t>are</w:t>
      </w:r>
      <w:r w:rsidRPr="005734B8">
        <w:rPr>
          <w:rFonts w:ascii="Calibri" w:hAnsi="Calibri" w:cs="Calibri"/>
        </w:rPr>
        <w:t xml:space="preserve"> met, internally generated intangible assets are recognised and measured at cost less accumulated amortisation and impairment. Subsequently, intangible assets with finite useful lives are carried at cost less accumulated depreciation/amortisation and accumulated impairment losses. Amortisation begins when the asset is available for use, that is, when it is in the location and condition necessary for it to be capable of operating in the manner intended by management.</w:t>
      </w:r>
    </w:p>
    <w:p w14:paraId="1DD36DBD" w14:textId="77777777" w:rsidR="00F1540A" w:rsidRPr="005734B8" w:rsidRDefault="00F1540A" w:rsidP="00F1540A">
      <w:pPr>
        <w:rPr>
          <w:rFonts w:ascii="Calibri" w:hAnsi="Calibri" w:cs="Calibri"/>
        </w:rPr>
      </w:pPr>
    </w:p>
    <w:p w14:paraId="5325AE92" w14:textId="77777777" w:rsidR="00F1540A" w:rsidRPr="005734B8" w:rsidRDefault="00F1540A" w:rsidP="00F1540A">
      <w:pPr>
        <w:rPr>
          <w:rFonts w:ascii="Calibri" w:hAnsi="Calibri" w:cs="Calibri"/>
        </w:rPr>
      </w:pPr>
      <w:r w:rsidRPr="005734B8">
        <w:rPr>
          <w:rFonts w:ascii="Calibri" w:hAnsi="Calibri" w:cs="Calibri"/>
        </w:rPr>
        <w:t>Costs incurred subsequent to initial acquisition are capitalised when it is expected that additional future economic benefits will flow to the Department.</w:t>
      </w:r>
    </w:p>
    <w:p w14:paraId="67A6F8BE" w14:textId="77777777" w:rsidR="00F1540A" w:rsidRPr="005734B8" w:rsidRDefault="00F1540A" w:rsidP="00F1540A">
      <w:pPr>
        <w:rPr>
          <w:rFonts w:ascii="Calibri" w:hAnsi="Calibri" w:cs="Calibri"/>
        </w:rPr>
      </w:pPr>
    </w:p>
    <w:p w14:paraId="0BA18BD6" w14:textId="77777777" w:rsidR="00F1540A" w:rsidRPr="005734B8" w:rsidRDefault="00F1540A" w:rsidP="00F1540A">
      <w:pPr>
        <w:rPr>
          <w:rFonts w:ascii="Calibri" w:hAnsi="Calibri" w:cs="Calibri"/>
        </w:rPr>
      </w:pPr>
      <w:r w:rsidRPr="005734B8">
        <w:rPr>
          <w:rFonts w:ascii="Calibri" w:hAnsi="Calibri" w:cs="Calibri"/>
        </w:rPr>
        <w:t xml:space="preserve">Expenditure on research activities is recognised as an expense in the period in which it is incurred. </w:t>
      </w:r>
    </w:p>
    <w:p w14:paraId="4F7E390E" w14:textId="77777777" w:rsidR="00F1540A" w:rsidRPr="005734B8" w:rsidRDefault="00F1540A" w:rsidP="00F1540A">
      <w:pPr>
        <w:rPr>
          <w:rFonts w:ascii="Calibri" w:hAnsi="Calibri" w:cs="Calibri"/>
        </w:rPr>
      </w:pPr>
    </w:p>
    <w:p w14:paraId="385F9D49" w14:textId="77777777" w:rsidR="00F1540A" w:rsidRPr="005734B8" w:rsidRDefault="00F1540A" w:rsidP="00F1540A">
      <w:pPr>
        <w:rPr>
          <w:rFonts w:ascii="Calibri" w:hAnsi="Calibri" w:cs="Calibri"/>
        </w:rPr>
      </w:pPr>
      <w:r w:rsidRPr="005734B8">
        <w:rPr>
          <w:rFonts w:ascii="Calibri" w:hAnsi="Calibri" w:cs="Calibri"/>
        </w:rPr>
        <w:lastRenderedPageBreak/>
        <w:t>An internally generated intangible asset arising from development (or from the development phase of an internal project) is recognised if, and only if, all of the following are demonstrated:</w:t>
      </w:r>
    </w:p>
    <w:p w14:paraId="4721D322" w14:textId="77777777" w:rsidR="00F1540A" w:rsidRPr="005734B8" w:rsidRDefault="00F1540A" w:rsidP="00F1540A">
      <w:pPr>
        <w:pStyle w:val="ESbullet1"/>
        <w:numPr>
          <w:ilvl w:val="0"/>
          <w:numId w:val="31"/>
        </w:numPr>
        <w:spacing w:after="0"/>
        <w:rPr>
          <w:rFonts w:ascii="Calibri" w:hAnsi="Calibri" w:cs="Calibri"/>
        </w:rPr>
      </w:pPr>
      <w:r w:rsidRPr="005734B8">
        <w:rPr>
          <w:rFonts w:ascii="Calibri" w:hAnsi="Calibri" w:cs="Calibri"/>
        </w:rPr>
        <w:t>the technical feasibility of completing the intangible asset so that it will be available for use or sale</w:t>
      </w:r>
    </w:p>
    <w:p w14:paraId="77ADA27B" w14:textId="77777777" w:rsidR="00F1540A" w:rsidRPr="005734B8" w:rsidRDefault="00F1540A" w:rsidP="00F1540A">
      <w:pPr>
        <w:pStyle w:val="ESbullet1"/>
        <w:numPr>
          <w:ilvl w:val="0"/>
          <w:numId w:val="31"/>
        </w:numPr>
        <w:spacing w:after="0"/>
        <w:rPr>
          <w:rFonts w:ascii="Calibri" w:hAnsi="Calibri" w:cs="Calibri"/>
        </w:rPr>
      </w:pPr>
      <w:r w:rsidRPr="005734B8">
        <w:rPr>
          <w:rFonts w:ascii="Calibri" w:hAnsi="Calibri" w:cs="Calibri"/>
        </w:rPr>
        <w:t>an intention to complete the intangible asset and use or sell it</w:t>
      </w:r>
    </w:p>
    <w:p w14:paraId="5B3F2E6F" w14:textId="77777777" w:rsidR="00F1540A" w:rsidRPr="005734B8" w:rsidRDefault="00F1540A" w:rsidP="00F1540A">
      <w:pPr>
        <w:pStyle w:val="ESbullet1"/>
        <w:numPr>
          <w:ilvl w:val="0"/>
          <w:numId w:val="31"/>
        </w:numPr>
        <w:spacing w:after="0"/>
        <w:rPr>
          <w:rFonts w:ascii="Calibri" w:hAnsi="Calibri" w:cs="Calibri"/>
        </w:rPr>
      </w:pPr>
      <w:r w:rsidRPr="005734B8">
        <w:rPr>
          <w:rFonts w:ascii="Calibri" w:hAnsi="Calibri" w:cs="Calibri"/>
        </w:rPr>
        <w:t>the ability to use or sell the intangible asset</w:t>
      </w:r>
    </w:p>
    <w:p w14:paraId="21E54BF1" w14:textId="77777777" w:rsidR="00F1540A" w:rsidRPr="005734B8" w:rsidRDefault="00F1540A" w:rsidP="00F1540A">
      <w:pPr>
        <w:pStyle w:val="ESbullet1"/>
        <w:numPr>
          <w:ilvl w:val="0"/>
          <w:numId w:val="31"/>
        </w:numPr>
        <w:spacing w:after="0"/>
        <w:rPr>
          <w:rFonts w:ascii="Calibri" w:hAnsi="Calibri" w:cs="Calibri"/>
        </w:rPr>
      </w:pPr>
      <w:r w:rsidRPr="005734B8">
        <w:rPr>
          <w:rFonts w:ascii="Calibri" w:hAnsi="Calibri" w:cs="Calibri"/>
        </w:rPr>
        <w:t>the intangible asset will generate probable future economic benefits</w:t>
      </w:r>
    </w:p>
    <w:p w14:paraId="749F1A70" w14:textId="77777777" w:rsidR="00F1540A" w:rsidRPr="005734B8" w:rsidRDefault="00F1540A" w:rsidP="00F1540A">
      <w:pPr>
        <w:pStyle w:val="ESbullet1"/>
        <w:numPr>
          <w:ilvl w:val="0"/>
          <w:numId w:val="31"/>
        </w:numPr>
        <w:spacing w:after="0"/>
        <w:rPr>
          <w:rFonts w:ascii="Calibri" w:hAnsi="Calibri" w:cs="Calibri"/>
        </w:rPr>
      </w:pPr>
      <w:r w:rsidRPr="005734B8">
        <w:rPr>
          <w:rFonts w:ascii="Calibri" w:hAnsi="Calibri" w:cs="Calibri"/>
        </w:rPr>
        <w:t>the availability of adequate technical, financial and other resources to complete the development and to use or sell the intangible asset</w:t>
      </w:r>
    </w:p>
    <w:p w14:paraId="4E01CC3F" w14:textId="0E1C29BD" w:rsidR="00F1540A" w:rsidRPr="005734B8" w:rsidRDefault="00F1540A" w:rsidP="002D345C">
      <w:pPr>
        <w:pStyle w:val="ESbullet1"/>
        <w:numPr>
          <w:ilvl w:val="0"/>
          <w:numId w:val="31"/>
        </w:numPr>
        <w:spacing w:after="0"/>
        <w:rPr>
          <w:rFonts w:ascii="Calibri" w:hAnsi="Calibri" w:cs="Calibri"/>
        </w:rPr>
      </w:pPr>
      <w:r w:rsidRPr="005734B8">
        <w:rPr>
          <w:rFonts w:ascii="Calibri" w:hAnsi="Calibri" w:cs="Calibri"/>
        </w:rPr>
        <w:t>the ability to measure reliably the expenditure attributable to the intangible asset during its development.</w:t>
      </w:r>
      <w:bookmarkStart w:id="1466" w:name="_Toc11336397"/>
      <w:bookmarkStart w:id="1467" w:name="_Toc14965623"/>
    </w:p>
    <w:p w14:paraId="36056FCB" w14:textId="77777777" w:rsidR="00F1540A" w:rsidRPr="005734B8" w:rsidRDefault="00F1540A" w:rsidP="002D345C">
      <w:pPr>
        <w:pStyle w:val="ESHeading3"/>
        <w:ind w:left="0" w:firstLine="0"/>
        <w:rPr>
          <w:rFonts w:ascii="Calibri" w:hAnsi="Calibri" w:cs="Calibri"/>
        </w:rPr>
      </w:pPr>
      <w:r w:rsidRPr="005734B8">
        <w:rPr>
          <w:rFonts w:ascii="Calibri" w:hAnsi="Calibri" w:cs="Calibri"/>
        </w:rPr>
        <w:t>Subsequent measurement</w:t>
      </w:r>
      <w:bookmarkEnd w:id="1466"/>
      <w:bookmarkEnd w:id="1467"/>
    </w:p>
    <w:p w14:paraId="22F793AF" w14:textId="315B3320" w:rsidR="00F1540A" w:rsidRPr="005734B8" w:rsidRDefault="00F1540A" w:rsidP="00F1540A">
      <w:pPr>
        <w:rPr>
          <w:rFonts w:ascii="Calibri" w:hAnsi="Calibri" w:cs="Calibri"/>
        </w:rPr>
      </w:pPr>
      <w:r w:rsidRPr="005734B8">
        <w:rPr>
          <w:rFonts w:ascii="Calibri" w:hAnsi="Calibri" w:cs="Calibri"/>
        </w:rPr>
        <w:t>Intangible produced assets with finite useful lives are depreciated as an ‘expense from transactions’ on a straight</w:t>
      </w:r>
      <w:r w:rsidR="009018B1" w:rsidRPr="005734B8">
        <w:rPr>
          <w:rFonts w:ascii="Calibri" w:hAnsi="Calibri" w:cs="Calibri"/>
        </w:rPr>
        <w:noBreakHyphen/>
      </w:r>
      <w:r w:rsidRPr="005734B8">
        <w:rPr>
          <w:rFonts w:ascii="Calibri" w:hAnsi="Calibri" w:cs="Calibri"/>
        </w:rPr>
        <w:t>line basis over their useful lives. Intangible assets have useful lives of between 3 and 10 years.</w:t>
      </w:r>
    </w:p>
    <w:p w14:paraId="0EE975C5" w14:textId="77777777" w:rsidR="00F1540A" w:rsidRPr="005734B8" w:rsidRDefault="00F1540A" w:rsidP="002D345C">
      <w:pPr>
        <w:pStyle w:val="ESHeading3"/>
        <w:ind w:left="0" w:firstLine="0"/>
        <w:rPr>
          <w:rFonts w:ascii="Calibri" w:hAnsi="Calibri" w:cs="Calibri"/>
        </w:rPr>
      </w:pPr>
      <w:bookmarkStart w:id="1468" w:name="_Toc11336398"/>
      <w:bookmarkStart w:id="1469" w:name="_Toc14965624"/>
      <w:bookmarkStart w:id="1470" w:name="_Hlk48849527"/>
      <w:r w:rsidRPr="005734B8">
        <w:rPr>
          <w:rFonts w:ascii="Calibri" w:hAnsi="Calibri" w:cs="Calibri"/>
        </w:rPr>
        <w:t>Impairment of intangible assets</w:t>
      </w:r>
      <w:bookmarkEnd w:id="1468"/>
      <w:bookmarkEnd w:id="1469"/>
      <w:r w:rsidRPr="005734B8">
        <w:rPr>
          <w:rFonts w:ascii="Calibri" w:hAnsi="Calibri" w:cs="Calibri"/>
        </w:rPr>
        <w:t xml:space="preserve"> </w:t>
      </w:r>
    </w:p>
    <w:p w14:paraId="2D57CE33" w14:textId="2FA1AAAB" w:rsidR="00F1540A" w:rsidRPr="005734B8" w:rsidRDefault="00F1540A" w:rsidP="00F1540A">
      <w:pPr>
        <w:spacing w:before="120" w:after="120"/>
        <w:rPr>
          <w:rFonts w:ascii="Calibri" w:hAnsi="Calibri" w:cs="Calibri"/>
        </w:rPr>
      </w:pPr>
      <w:r w:rsidRPr="005734B8">
        <w:rPr>
          <w:rFonts w:ascii="Calibri" w:hAnsi="Calibri" w:cs="Calibri"/>
        </w:rPr>
        <w:t xml:space="preserve">Intangible assets with indefinite useful lives (and intangible assets not yet available for use) are tested annually for impairment and whenever there is an indication that the asset may be impaired. Intangible assets with finite useful lives are tested for impairment whenever an indication of impairment is identified. The policy in connection with testing for impairment is outlined in </w:t>
      </w:r>
      <w:r w:rsidR="009018B1" w:rsidRPr="005734B8">
        <w:rPr>
          <w:rFonts w:ascii="Calibri" w:hAnsi="Calibri" w:cs="Calibri"/>
        </w:rPr>
        <w:t>N</w:t>
      </w:r>
      <w:r w:rsidRPr="005734B8">
        <w:rPr>
          <w:rFonts w:ascii="Calibri" w:hAnsi="Calibri" w:cs="Calibri"/>
        </w:rPr>
        <w:t>ote 5.1.1</w:t>
      </w:r>
      <w:r w:rsidR="009018B1" w:rsidRPr="005734B8">
        <w:rPr>
          <w:rFonts w:ascii="Calibri" w:hAnsi="Calibri" w:cs="Calibri"/>
        </w:rPr>
        <w:t xml:space="preserve"> Depreciation and amortisation</w:t>
      </w:r>
      <w:r w:rsidRPr="005734B8">
        <w:rPr>
          <w:rFonts w:ascii="Calibri" w:hAnsi="Calibri" w:cs="Calibri"/>
        </w:rPr>
        <w:t>.</w:t>
      </w:r>
      <w:bookmarkStart w:id="1471" w:name="_Hlk48858334"/>
    </w:p>
    <w:p w14:paraId="1C8E46E2" w14:textId="45293B4D" w:rsidR="00F1540A" w:rsidRPr="005734B8" w:rsidRDefault="00F1540A" w:rsidP="00F1540A">
      <w:pPr>
        <w:spacing w:before="120" w:after="120"/>
        <w:rPr>
          <w:rFonts w:ascii="Calibri" w:hAnsi="Calibri" w:cs="Calibri"/>
        </w:rPr>
      </w:pPr>
      <w:r w:rsidRPr="005734B8">
        <w:rPr>
          <w:rFonts w:ascii="Calibri" w:hAnsi="Calibri" w:cs="Calibri"/>
        </w:rPr>
        <w:t xml:space="preserve">Consistent with Note 5.1.1, the Department determined </w:t>
      </w:r>
      <w:r w:rsidR="009018B1" w:rsidRPr="005734B8">
        <w:rPr>
          <w:rFonts w:ascii="Calibri" w:hAnsi="Calibri" w:cs="Calibri"/>
        </w:rPr>
        <w:t xml:space="preserve">that </w:t>
      </w:r>
      <w:r w:rsidRPr="005734B8">
        <w:rPr>
          <w:rFonts w:ascii="Calibri" w:hAnsi="Calibri" w:cs="Calibri"/>
        </w:rPr>
        <w:t xml:space="preserve">there is no indication the COVID-19 pandemic has resulted in its intangible assets being impaired. As intangible assets are measured at cost, subsequent to its initial recognition, the impact of </w:t>
      </w:r>
      <w:r w:rsidR="002E0D40" w:rsidRPr="005734B8">
        <w:rPr>
          <w:rFonts w:ascii="Calibri" w:hAnsi="Calibri" w:cs="Calibri"/>
        </w:rPr>
        <w:t xml:space="preserve">the </w:t>
      </w:r>
      <w:r w:rsidRPr="005734B8">
        <w:rPr>
          <w:rFonts w:ascii="Calibri" w:hAnsi="Calibri" w:cs="Calibri"/>
        </w:rPr>
        <w:t>COVID-19</w:t>
      </w:r>
      <w:r w:rsidR="002E0D40" w:rsidRPr="005734B8">
        <w:rPr>
          <w:rFonts w:ascii="Calibri" w:hAnsi="Calibri" w:cs="Calibri"/>
        </w:rPr>
        <w:t xml:space="preserve"> pandemic</w:t>
      </w:r>
      <w:r w:rsidRPr="005734B8">
        <w:rPr>
          <w:rFonts w:ascii="Calibri" w:hAnsi="Calibri" w:cs="Calibri"/>
        </w:rPr>
        <w:t xml:space="preserve"> does not apply.</w:t>
      </w:r>
      <w:bookmarkEnd w:id="1471"/>
    </w:p>
    <w:p w14:paraId="094EE7ED" w14:textId="77777777" w:rsidR="00BD002D" w:rsidRPr="005734B8" w:rsidRDefault="00BD002D">
      <w:pPr>
        <w:rPr>
          <w:rFonts w:ascii="Calibri" w:eastAsiaTheme="majorEastAsia" w:hAnsi="Calibri" w:cs="Calibri"/>
          <w:bCs/>
          <w:color w:val="8A2A2F" w:themeColor="text1"/>
          <w:spacing w:val="5"/>
          <w:kern w:val="28"/>
          <w:sz w:val="28"/>
          <w:szCs w:val="20"/>
          <w:lang w:val="en-US"/>
        </w:rPr>
      </w:pPr>
      <w:bookmarkStart w:id="1472" w:name="_Toc11336399"/>
      <w:bookmarkStart w:id="1473" w:name="_Toc11336587"/>
      <w:bookmarkStart w:id="1474" w:name="_Toc13647191"/>
      <w:bookmarkStart w:id="1475" w:name="_Toc13656723"/>
      <w:bookmarkStart w:id="1476" w:name="_Toc13656885"/>
      <w:bookmarkStart w:id="1477" w:name="_Toc14965625"/>
      <w:bookmarkStart w:id="1478" w:name="_Toc15985310"/>
      <w:bookmarkStart w:id="1479" w:name="_Toc16231961"/>
      <w:bookmarkStart w:id="1480" w:name="_Toc36012784"/>
      <w:bookmarkStart w:id="1481" w:name="_Toc36012862"/>
      <w:bookmarkStart w:id="1482" w:name="_Toc36013359"/>
      <w:bookmarkStart w:id="1483" w:name="_Toc58243443"/>
      <w:bookmarkStart w:id="1484" w:name="_Toc72958093"/>
      <w:bookmarkStart w:id="1485" w:name="_Toc72958141"/>
      <w:bookmarkEnd w:id="1470"/>
      <w:r w:rsidRPr="005734B8">
        <w:rPr>
          <w:rFonts w:ascii="Calibri" w:hAnsi="Calibri" w:cs="Calibri"/>
        </w:rPr>
        <w:br w:type="page"/>
      </w:r>
    </w:p>
    <w:p w14:paraId="36AFECF0" w14:textId="77777777" w:rsidR="00F1540A" w:rsidRPr="005734B8" w:rsidRDefault="00F1540A" w:rsidP="00F1540A">
      <w:pPr>
        <w:pStyle w:val="ESHeading2"/>
        <w:rPr>
          <w:rFonts w:ascii="Calibri" w:hAnsi="Calibri" w:cs="Calibri"/>
        </w:rPr>
      </w:pPr>
      <w:bookmarkStart w:id="1486" w:name="_Toc80272081"/>
      <w:bookmarkStart w:id="1487" w:name="_Toc81315381"/>
      <w:r w:rsidRPr="005734B8">
        <w:rPr>
          <w:rFonts w:ascii="Calibri" w:hAnsi="Calibri" w:cs="Calibri"/>
        </w:rPr>
        <w:lastRenderedPageBreak/>
        <w:t>5.3 Other financial assets</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tbl>
      <w:tblPr>
        <w:tblW w:w="7625" w:type="dxa"/>
        <w:tblInd w:w="75" w:type="dxa"/>
        <w:tblLayout w:type="fixed"/>
        <w:tblLook w:val="04A0" w:firstRow="1" w:lastRow="0" w:firstColumn="1" w:lastColumn="0" w:noHBand="0" w:noVBand="1"/>
      </w:tblPr>
      <w:tblGrid>
        <w:gridCol w:w="4954"/>
        <w:gridCol w:w="1336"/>
        <w:gridCol w:w="1335"/>
      </w:tblGrid>
      <w:tr w:rsidR="00F1540A" w:rsidRPr="005734B8" w14:paraId="13A084F6" w14:textId="77777777" w:rsidTr="000F48B1">
        <w:trPr>
          <w:trHeight w:val="480"/>
        </w:trPr>
        <w:tc>
          <w:tcPr>
            <w:tcW w:w="4213" w:type="dxa"/>
            <w:tcBorders>
              <w:top w:val="nil"/>
              <w:left w:val="single" w:sz="4" w:space="0" w:color="FFFFFF"/>
              <w:bottom w:val="nil"/>
              <w:right w:val="single" w:sz="4" w:space="0" w:color="FFFFFF"/>
            </w:tcBorders>
            <w:shd w:val="clear" w:color="000000" w:fill="AF272F"/>
            <w:vAlign w:val="bottom"/>
            <w:hideMark/>
          </w:tcPr>
          <w:p w14:paraId="16219306" w14:textId="77777777" w:rsidR="00F1540A" w:rsidRPr="005734B8" w:rsidRDefault="00F1540A" w:rsidP="000F48B1">
            <w:pPr>
              <w:jc w:val="center"/>
              <w:rPr>
                <w:rFonts w:ascii="Calibri" w:hAnsi="Calibri" w:cs="Calibri"/>
                <w:b/>
                <w:color w:val="FFFFFF"/>
                <w:sz w:val="18"/>
                <w:szCs w:val="18"/>
              </w:rPr>
            </w:pPr>
            <w:bookmarkStart w:id="1488" w:name="Note_OFATABLE1" w:colFirst="0" w:colLast="0"/>
            <w:r w:rsidRPr="005734B8">
              <w:rPr>
                <w:rFonts w:ascii="Calibri" w:hAnsi="Calibri" w:cs="Calibri"/>
                <w:b/>
                <w:color w:val="FFFFFF"/>
                <w:sz w:val="18"/>
                <w:szCs w:val="18"/>
              </w:rPr>
              <w:t> </w:t>
            </w:r>
          </w:p>
        </w:tc>
        <w:tc>
          <w:tcPr>
            <w:tcW w:w="1136" w:type="dxa"/>
            <w:tcBorders>
              <w:top w:val="nil"/>
              <w:left w:val="nil"/>
              <w:bottom w:val="single" w:sz="4" w:space="0" w:color="auto"/>
              <w:right w:val="single" w:sz="4" w:space="0" w:color="FFFFFF"/>
            </w:tcBorders>
            <w:shd w:val="clear" w:color="000000" w:fill="AF272F"/>
            <w:hideMark/>
          </w:tcPr>
          <w:p w14:paraId="21120CDF"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135" w:type="dxa"/>
            <w:tcBorders>
              <w:top w:val="nil"/>
              <w:left w:val="nil"/>
              <w:bottom w:val="single" w:sz="4" w:space="0" w:color="auto"/>
              <w:right w:val="single" w:sz="4" w:space="0" w:color="FFFFFF"/>
            </w:tcBorders>
            <w:shd w:val="clear" w:color="000000" w:fill="AF272F"/>
            <w:hideMark/>
          </w:tcPr>
          <w:p w14:paraId="4C84899F"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488"/>
      <w:tr w:rsidR="00F1540A" w:rsidRPr="005734B8" w14:paraId="1C9BF1D5" w14:textId="77777777" w:rsidTr="000F48B1">
        <w:trPr>
          <w:trHeight w:val="255"/>
        </w:trPr>
        <w:tc>
          <w:tcPr>
            <w:tcW w:w="4213"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10198FF0"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 xml:space="preserve">Term deposits held by schools </w:t>
            </w:r>
          </w:p>
        </w:tc>
        <w:tc>
          <w:tcPr>
            <w:tcW w:w="1136" w:type="dxa"/>
            <w:tcBorders>
              <w:top w:val="nil"/>
              <w:left w:val="nil"/>
              <w:bottom w:val="single" w:sz="4" w:space="0" w:color="auto"/>
              <w:right w:val="single" w:sz="4" w:space="0" w:color="FFFFFF"/>
            </w:tcBorders>
            <w:shd w:val="clear" w:color="000000" w:fill="D9D9D9"/>
            <w:noWrap/>
            <w:vAlign w:val="center"/>
            <w:hideMark/>
          </w:tcPr>
          <w:p w14:paraId="3FB3910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0.4 </w:t>
            </w:r>
          </w:p>
        </w:tc>
        <w:tc>
          <w:tcPr>
            <w:tcW w:w="1135" w:type="dxa"/>
            <w:tcBorders>
              <w:top w:val="nil"/>
              <w:left w:val="nil"/>
              <w:bottom w:val="single" w:sz="4" w:space="0" w:color="auto"/>
              <w:right w:val="single" w:sz="4" w:space="0" w:color="FFFFFF"/>
            </w:tcBorders>
            <w:shd w:val="clear" w:color="FFFFFF" w:fill="FFFFFF"/>
            <w:noWrap/>
            <w:vAlign w:val="center"/>
            <w:hideMark/>
          </w:tcPr>
          <w:p w14:paraId="66CE8A4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2.8 </w:t>
            </w:r>
          </w:p>
        </w:tc>
      </w:tr>
    </w:tbl>
    <w:p w14:paraId="25992DA8" w14:textId="77777777" w:rsidR="00F1540A" w:rsidRPr="005734B8" w:rsidRDefault="00F1540A" w:rsidP="00F1540A">
      <w:pPr>
        <w:rPr>
          <w:rFonts w:ascii="Calibri" w:hAnsi="Calibri" w:cs="Calibri"/>
        </w:rPr>
      </w:pPr>
    </w:p>
    <w:p w14:paraId="46779833" w14:textId="66F263C0" w:rsidR="00F1540A" w:rsidRPr="005734B8" w:rsidRDefault="00F1540A" w:rsidP="00F1540A">
      <w:pPr>
        <w:rPr>
          <w:rFonts w:ascii="Calibri" w:hAnsi="Calibri" w:cs="Calibri"/>
        </w:rPr>
      </w:pPr>
      <w:r w:rsidRPr="005734B8">
        <w:rPr>
          <w:rFonts w:ascii="Calibri" w:hAnsi="Calibri" w:cs="Calibri"/>
        </w:rPr>
        <w:t>Amounts held by schools with a maturity of three months or more are disclosed as ‘Other financial assets’.</w:t>
      </w:r>
    </w:p>
    <w:p w14:paraId="7516B3BE" w14:textId="50F16F16" w:rsidR="00F1540A" w:rsidRPr="005734B8" w:rsidRDefault="00F1540A" w:rsidP="002D345C">
      <w:pPr>
        <w:pStyle w:val="ESHeading3"/>
        <w:ind w:left="0" w:firstLine="0"/>
        <w:rPr>
          <w:rFonts w:ascii="Calibri" w:hAnsi="Calibri" w:cs="Calibri"/>
        </w:rPr>
      </w:pPr>
      <w:bookmarkStart w:id="1489" w:name="_Toc11336400"/>
      <w:bookmarkStart w:id="1490" w:name="_Toc14965626"/>
      <w:r w:rsidRPr="005734B8">
        <w:rPr>
          <w:rFonts w:ascii="Calibri" w:hAnsi="Calibri" w:cs="Calibri"/>
        </w:rPr>
        <w:t>5.3.1 Ageing analysis of other financial assets</w:t>
      </w:r>
      <w:bookmarkEnd w:id="1489"/>
      <w:bookmarkEnd w:id="1490"/>
    </w:p>
    <w:tbl>
      <w:tblPr>
        <w:tblW w:w="7625" w:type="dxa"/>
        <w:tblInd w:w="75" w:type="dxa"/>
        <w:tblLayout w:type="fixed"/>
        <w:tblLook w:val="04A0" w:firstRow="1" w:lastRow="0" w:firstColumn="1" w:lastColumn="0" w:noHBand="0" w:noVBand="1"/>
      </w:tblPr>
      <w:tblGrid>
        <w:gridCol w:w="1085"/>
        <w:gridCol w:w="1100"/>
        <w:gridCol w:w="1104"/>
        <w:gridCol w:w="1084"/>
        <w:gridCol w:w="1100"/>
        <w:gridCol w:w="1079"/>
        <w:gridCol w:w="1073"/>
      </w:tblGrid>
      <w:tr w:rsidR="00F1540A" w:rsidRPr="005734B8" w14:paraId="369D978D" w14:textId="77777777" w:rsidTr="000F48B1">
        <w:trPr>
          <w:trHeight w:val="263"/>
        </w:trPr>
        <w:tc>
          <w:tcPr>
            <w:tcW w:w="1085" w:type="dxa"/>
            <w:tcBorders>
              <w:top w:val="nil"/>
              <w:left w:val="single" w:sz="4" w:space="0" w:color="FFFFFF"/>
              <w:bottom w:val="single" w:sz="4" w:space="0" w:color="FFFFFF"/>
              <w:right w:val="single" w:sz="4" w:space="0" w:color="FFFFFF"/>
            </w:tcBorders>
            <w:shd w:val="clear" w:color="000000" w:fill="AF272F"/>
            <w:vAlign w:val="center"/>
            <w:hideMark/>
          </w:tcPr>
          <w:p w14:paraId="02FA75D1" w14:textId="77777777" w:rsidR="00F1540A" w:rsidRPr="005734B8" w:rsidRDefault="00F1540A" w:rsidP="000F48B1">
            <w:pPr>
              <w:jc w:val="center"/>
              <w:rPr>
                <w:rFonts w:ascii="Calibri" w:hAnsi="Calibri" w:cs="Calibri"/>
                <w:b/>
                <w:color w:val="FFFFFF"/>
                <w:sz w:val="18"/>
                <w:szCs w:val="18"/>
              </w:rPr>
            </w:pPr>
            <w:bookmarkStart w:id="1491" w:name="Note_AAFTABLE1" w:colFirst="0" w:colLast="0"/>
            <w:r w:rsidRPr="005734B8">
              <w:rPr>
                <w:rFonts w:ascii="Calibri" w:hAnsi="Calibri" w:cs="Calibri"/>
                <w:b/>
                <w:color w:val="FFFFFF"/>
                <w:sz w:val="18"/>
                <w:szCs w:val="18"/>
              </w:rPr>
              <w:t> </w:t>
            </w:r>
          </w:p>
        </w:tc>
        <w:tc>
          <w:tcPr>
            <w:tcW w:w="2204" w:type="dxa"/>
            <w:gridSpan w:val="2"/>
            <w:tcBorders>
              <w:top w:val="nil"/>
              <w:left w:val="nil"/>
              <w:bottom w:val="single" w:sz="4" w:space="0" w:color="FFFFFF"/>
              <w:right w:val="single" w:sz="4" w:space="0" w:color="FFFFFF"/>
            </w:tcBorders>
            <w:shd w:val="clear" w:color="000000" w:fill="AF272F"/>
            <w:vAlign w:val="center"/>
            <w:hideMark/>
          </w:tcPr>
          <w:p w14:paraId="5D8674B8"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 </w:t>
            </w:r>
          </w:p>
        </w:tc>
        <w:tc>
          <w:tcPr>
            <w:tcW w:w="4336" w:type="dxa"/>
            <w:gridSpan w:val="4"/>
            <w:tcBorders>
              <w:top w:val="nil"/>
              <w:left w:val="nil"/>
              <w:bottom w:val="single" w:sz="4" w:space="0" w:color="FFFFFF"/>
              <w:right w:val="nil"/>
            </w:tcBorders>
            <w:shd w:val="clear" w:color="000000" w:fill="AF272F"/>
            <w:vAlign w:val="center"/>
            <w:hideMark/>
          </w:tcPr>
          <w:p w14:paraId="0A388D9E"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Past due but not impaired</w:t>
            </w:r>
          </w:p>
        </w:tc>
      </w:tr>
      <w:bookmarkEnd w:id="1491"/>
      <w:tr w:rsidR="00F1540A" w:rsidRPr="005734B8" w14:paraId="5AE42075" w14:textId="77777777" w:rsidTr="000F48B1">
        <w:trPr>
          <w:trHeight w:val="960"/>
        </w:trPr>
        <w:tc>
          <w:tcPr>
            <w:tcW w:w="1085" w:type="dxa"/>
            <w:tcBorders>
              <w:top w:val="nil"/>
              <w:left w:val="single" w:sz="4" w:space="0" w:color="FFFFFF"/>
              <w:bottom w:val="single" w:sz="4" w:space="0" w:color="FFFFFF"/>
              <w:right w:val="single" w:sz="4" w:space="0" w:color="FFFFFF"/>
            </w:tcBorders>
            <w:shd w:val="clear" w:color="000000" w:fill="AF272F"/>
            <w:hideMark/>
          </w:tcPr>
          <w:p w14:paraId="56CBDC0E" w14:textId="77777777" w:rsidR="00F1540A" w:rsidRPr="005734B8" w:rsidRDefault="00F1540A" w:rsidP="000F48B1">
            <w:pPr>
              <w:rPr>
                <w:rFonts w:ascii="Calibri" w:hAnsi="Calibri" w:cs="Calibri"/>
                <w:b/>
                <w:color w:val="FFFFFF"/>
                <w:sz w:val="18"/>
                <w:szCs w:val="18"/>
              </w:rPr>
            </w:pPr>
            <w:r w:rsidRPr="005734B8">
              <w:rPr>
                <w:rFonts w:ascii="Calibri" w:hAnsi="Calibri" w:cs="Calibri"/>
                <w:b/>
                <w:color w:val="FFFFFF"/>
                <w:sz w:val="18"/>
                <w:szCs w:val="18"/>
              </w:rPr>
              <w:t>2021</w:t>
            </w:r>
          </w:p>
        </w:tc>
        <w:tc>
          <w:tcPr>
            <w:tcW w:w="1100" w:type="dxa"/>
            <w:tcBorders>
              <w:top w:val="nil"/>
              <w:left w:val="nil"/>
              <w:bottom w:val="single" w:sz="4" w:space="0" w:color="auto"/>
              <w:right w:val="single" w:sz="4" w:space="0" w:color="FFFFFF"/>
            </w:tcBorders>
            <w:shd w:val="clear" w:color="000000" w:fill="AF272F"/>
            <w:hideMark/>
          </w:tcPr>
          <w:p w14:paraId="65C5EB23"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Carrying amount</w:t>
            </w:r>
            <w:r w:rsidRPr="005734B8">
              <w:rPr>
                <w:rFonts w:ascii="Calibri" w:hAnsi="Calibri" w:cs="Calibri"/>
                <w:b/>
                <w:color w:val="FFFFFF"/>
                <w:sz w:val="18"/>
                <w:szCs w:val="18"/>
              </w:rPr>
              <w:br/>
              <w:t>($m)</w:t>
            </w:r>
          </w:p>
        </w:tc>
        <w:tc>
          <w:tcPr>
            <w:tcW w:w="1104" w:type="dxa"/>
            <w:tcBorders>
              <w:top w:val="nil"/>
              <w:left w:val="nil"/>
              <w:bottom w:val="single" w:sz="4" w:space="0" w:color="auto"/>
              <w:right w:val="single" w:sz="4" w:space="0" w:color="FFFFFF"/>
            </w:tcBorders>
            <w:shd w:val="clear" w:color="000000" w:fill="AF272F"/>
            <w:hideMark/>
          </w:tcPr>
          <w:p w14:paraId="74DA86B0"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Not past due and not impaired</w:t>
            </w:r>
            <w:r w:rsidRPr="005734B8">
              <w:rPr>
                <w:rFonts w:ascii="Calibri" w:hAnsi="Calibri" w:cs="Calibri"/>
                <w:b/>
                <w:color w:val="FFFFFF"/>
                <w:sz w:val="18"/>
                <w:szCs w:val="18"/>
              </w:rPr>
              <w:br/>
              <w:t>($m)</w:t>
            </w:r>
          </w:p>
        </w:tc>
        <w:tc>
          <w:tcPr>
            <w:tcW w:w="1084" w:type="dxa"/>
            <w:tcBorders>
              <w:top w:val="nil"/>
              <w:left w:val="nil"/>
              <w:bottom w:val="single" w:sz="4" w:space="0" w:color="auto"/>
              <w:right w:val="single" w:sz="4" w:space="0" w:color="FFFFFF"/>
            </w:tcBorders>
            <w:shd w:val="clear" w:color="000000" w:fill="AF272F"/>
            <w:hideMark/>
          </w:tcPr>
          <w:p w14:paraId="7E6DFA21"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Less than 1 month </w:t>
            </w:r>
            <w:r w:rsidRPr="005734B8">
              <w:rPr>
                <w:rFonts w:ascii="Calibri" w:hAnsi="Calibri" w:cs="Calibri"/>
                <w:b/>
                <w:color w:val="FFFFFF"/>
                <w:sz w:val="18"/>
                <w:szCs w:val="18"/>
              </w:rPr>
              <w:br/>
              <w:t>($m)</w:t>
            </w:r>
          </w:p>
        </w:tc>
        <w:tc>
          <w:tcPr>
            <w:tcW w:w="1100" w:type="dxa"/>
            <w:tcBorders>
              <w:top w:val="nil"/>
              <w:left w:val="nil"/>
              <w:bottom w:val="single" w:sz="4" w:space="0" w:color="auto"/>
              <w:right w:val="single" w:sz="4" w:space="0" w:color="FFFFFF"/>
            </w:tcBorders>
            <w:shd w:val="clear" w:color="000000" w:fill="AF272F"/>
            <w:hideMark/>
          </w:tcPr>
          <w:p w14:paraId="5C21CF47"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1-3 months</w:t>
            </w:r>
            <w:r w:rsidRPr="005734B8">
              <w:rPr>
                <w:rFonts w:ascii="Calibri" w:hAnsi="Calibri" w:cs="Calibri"/>
                <w:b/>
                <w:color w:val="FFFFFF"/>
                <w:sz w:val="18"/>
                <w:szCs w:val="18"/>
              </w:rPr>
              <w:br/>
              <w:t>($m)</w:t>
            </w:r>
          </w:p>
        </w:tc>
        <w:tc>
          <w:tcPr>
            <w:tcW w:w="1079" w:type="dxa"/>
            <w:tcBorders>
              <w:top w:val="nil"/>
              <w:left w:val="nil"/>
              <w:bottom w:val="single" w:sz="4" w:space="0" w:color="auto"/>
              <w:right w:val="single" w:sz="4" w:space="0" w:color="FFFFFF"/>
            </w:tcBorders>
            <w:shd w:val="clear" w:color="000000" w:fill="AF272F"/>
            <w:hideMark/>
          </w:tcPr>
          <w:p w14:paraId="1819CA69" w14:textId="6373AF44"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3 months </w:t>
            </w:r>
            <w:r w:rsidR="00B15F9A" w:rsidRPr="005734B8">
              <w:rPr>
                <w:rFonts w:ascii="Calibri" w:hAnsi="Calibri" w:cs="Calibri"/>
                <w:b/>
                <w:color w:val="FFFFFF"/>
                <w:sz w:val="18"/>
                <w:szCs w:val="18"/>
              </w:rPr>
              <w:t>–</w:t>
            </w:r>
            <w:r w:rsidRPr="005734B8">
              <w:rPr>
                <w:rFonts w:ascii="Calibri" w:hAnsi="Calibri" w:cs="Calibri"/>
                <w:b/>
                <w:color w:val="FFFFFF"/>
                <w:sz w:val="18"/>
                <w:szCs w:val="18"/>
              </w:rPr>
              <w:t xml:space="preserve"> 1 year</w:t>
            </w:r>
            <w:r w:rsidRPr="005734B8">
              <w:rPr>
                <w:rFonts w:ascii="Calibri" w:hAnsi="Calibri" w:cs="Calibri"/>
                <w:b/>
                <w:color w:val="FFFFFF"/>
                <w:sz w:val="18"/>
                <w:szCs w:val="18"/>
              </w:rPr>
              <w:br/>
              <w:t>($m)</w:t>
            </w:r>
          </w:p>
        </w:tc>
        <w:tc>
          <w:tcPr>
            <w:tcW w:w="1073" w:type="dxa"/>
            <w:tcBorders>
              <w:top w:val="nil"/>
              <w:left w:val="nil"/>
              <w:bottom w:val="single" w:sz="4" w:space="0" w:color="auto"/>
              <w:right w:val="single" w:sz="4" w:space="0" w:color="FFFFFF"/>
            </w:tcBorders>
            <w:shd w:val="clear" w:color="000000" w:fill="AF272F"/>
            <w:hideMark/>
          </w:tcPr>
          <w:p w14:paraId="3076DC09"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Over 1-year</w:t>
            </w:r>
            <w:r w:rsidRPr="005734B8">
              <w:rPr>
                <w:rFonts w:ascii="Calibri" w:hAnsi="Calibri" w:cs="Calibri"/>
                <w:b/>
                <w:color w:val="FFFFFF"/>
                <w:sz w:val="18"/>
                <w:szCs w:val="18"/>
              </w:rPr>
              <w:br/>
              <w:t>($m)</w:t>
            </w:r>
          </w:p>
        </w:tc>
      </w:tr>
      <w:tr w:rsidR="00F1540A" w:rsidRPr="005734B8" w14:paraId="456C604D" w14:textId="77777777" w:rsidTr="000F48B1">
        <w:trPr>
          <w:trHeight w:val="270"/>
        </w:trPr>
        <w:tc>
          <w:tcPr>
            <w:tcW w:w="1085"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7CBE0483"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Term deposits</w:t>
            </w:r>
          </w:p>
        </w:tc>
        <w:tc>
          <w:tcPr>
            <w:tcW w:w="1100" w:type="dxa"/>
            <w:tcBorders>
              <w:top w:val="nil"/>
              <w:left w:val="nil"/>
              <w:bottom w:val="single" w:sz="4" w:space="0" w:color="auto"/>
              <w:right w:val="single" w:sz="4" w:space="0" w:color="FFFFFF"/>
            </w:tcBorders>
            <w:shd w:val="clear" w:color="FFFFFF" w:fill="FFFFFF"/>
            <w:noWrap/>
            <w:vAlign w:val="center"/>
            <w:hideMark/>
          </w:tcPr>
          <w:p w14:paraId="20C017E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0.4 </w:t>
            </w:r>
          </w:p>
        </w:tc>
        <w:tc>
          <w:tcPr>
            <w:tcW w:w="1104" w:type="dxa"/>
            <w:tcBorders>
              <w:top w:val="nil"/>
              <w:left w:val="nil"/>
              <w:bottom w:val="single" w:sz="4" w:space="0" w:color="auto"/>
              <w:right w:val="single" w:sz="4" w:space="0" w:color="FFFFFF"/>
            </w:tcBorders>
            <w:shd w:val="clear" w:color="FFFFFF" w:fill="FFFFFF"/>
            <w:noWrap/>
            <w:vAlign w:val="center"/>
            <w:hideMark/>
          </w:tcPr>
          <w:p w14:paraId="04615AE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0.4 </w:t>
            </w:r>
          </w:p>
        </w:tc>
        <w:tc>
          <w:tcPr>
            <w:tcW w:w="1084" w:type="dxa"/>
            <w:tcBorders>
              <w:top w:val="nil"/>
              <w:left w:val="nil"/>
              <w:bottom w:val="single" w:sz="4" w:space="0" w:color="auto"/>
              <w:right w:val="single" w:sz="4" w:space="0" w:color="FFFFFF"/>
            </w:tcBorders>
            <w:shd w:val="clear" w:color="FFFFFF" w:fill="FFFFFF"/>
            <w:noWrap/>
            <w:vAlign w:val="center"/>
            <w:hideMark/>
          </w:tcPr>
          <w:p w14:paraId="25E7FD12" w14:textId="6D6131F9"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00" w:type="dxa"/>
            <w:tcBorders>
              <w:top w:val="nil"/>
              <w:left w:val="nil"/>
              <w:bottom w:val="single" w:sz="4" w:space="0" w:color="auto"/>
              <w:right w:val="single" w:sz="4" w:space="0" w:color="FFFFFF"/>
            </w:tcBorders>
            <w:shd w:val="clear" w:color="FFFFFF" w:fill="FFFFFF"/>
            <w:noWrap/>
            <w:vAlign w:val="center"/>
            <w:hideMark/>
          </w:tcPr>
          <w:p w14:paraId="4FE47022" w14:textId="69299117"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079" w:type="dxa"/>
            <w:tcBorders>
              <w:top w:val="nil"/>
              <w:left w:val="nil"/>
              <w:bottom w:val="single" w:sz="4" w:space="0" w:color="auto"/>
              <w:right w:val="single" w:sz="4" w:space="0" w:color="FFFFFF"/>
            </w:tcBorders>
            <w:shd w:val="clear" w:color="FFFFFF" w:fill="FFFFFF"/>
            <w:noWrap/>
            <w:vAlign w:val="center"/>
            <w:hideMark/>
          </w:tcPr>
          <w:p w14:paraId="09AEA4F7" w14:textId="1EA58BE7"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073" w:type="dxa"/>
            <w:tcBorders>
              <w:top w:val="nil"/>
              <w:left w:val="nil"/>
              <w:bottom w:val="single" w:sz="4" w:space="0" w:color="auto"/>
              <w:right w:val="single" w:sz="4" w:space="0" w:color="FFFFFF"/>
            </w:tcBorders>
            <w:shd w:val="clear" w:color="FFFFFF" w:fill="FFFFFF"/>
            <w:noWrap/>
            <w:vAlign w:val="center"/>
            <w:hideMark/>
          </w:tcPr>
          <w:p w14:paraId="0BFB5EB1" w14:textId="4A3EC77E"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r>
      <w:tr w:rsidR="00F1540A" w:rsidRPr="005734B8" w14:paraId="17BC312A" w14:textId="77777777" w:rsidTr="000F48B1">
        <w:trPr>
          <w:trHeight w:val="285"/>
        </w:trPr>
        <w:tc>
          <w:tcPr>
            <w:tcW w:w="1085"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9B7460F"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w:t>
            </w:r>
          </w:p>
        </w:tc>
        <w:tc>
          <w:tcPr>
            <w:tcW w:w="1100" w:type="dxa"/>
            <w:tcBorders>
              <w:top w:val="single" w:sz="12" w:space="0" w:color="auto"/>
              <w:left w:val="nil"/>
              <w:bottom w:val="single" w:sz="12" w:space="0" w:color="auto"/>
              <w:right w:val="single" w:sz="12" w:space="0" w:color="FFFFFF"/>
            </w:tcBorders>
            <w:shd w:val="clear" w:color="FFFFFF" w:fill="FFFFFF"/>
            <w:noWrap/>
            <w:vAlign w:val="center"/>
            <w:hideMark/>
          </w:tcPr>
          <w:p w14:paraId="3707905B"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0.4 </w:t>
            </w:r>
          </w:p>
        </w:tc>
        <w:tc>
          <w:tcPr>
            <w:tcW w:w="1104" w:type="dxa"/>
            <w:tcBorders>
              <w:top w:val="single" w:sz="12" w:space="0" w:color="auto"/>
              <w:left w:val="nil"/>
              <w:bottom w:val="single" w:sz="12" w:space="0" w:color="auto"/>
              <w:right w:val="single" w:sz="12" w:space="0" w:color="FFFFFF"/>
            </w:tcBorders>
            <w:shd w:val="clear" w:color="FFFFFF" w:fill="FFFFFF"/>
            <w:noWrap/>
            <w:vAlign w:val="center"/>
            <w:hideMark/>
          </w:tcPr>
          <w:p w14:paraId="3839C3E8"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0.4 </w:t>
            </w:r>
          </w:p>
        </w:tc>
        <w:tc>
          <w:tcPr>
            <w:tcW w:w="1084" w:type="dxa"/>
            <w:tcBorders>
              <w:top w:val="single" w:sz="12" w:space="0" w:color="auto"/>
              <w:left w:val="nil"/>
              <w:bottom w:val="single" w:sz="12" w:space="0" w:color="auto"/>
              <w:right w:val="single" w:sz="12" w:space="0" w:color="FFFFFF"/>
            </w:tcBorders>
            <w:shd w:val="clear" w:color="FFFFFF" w:fill="FFFFFF"/>
            <w:noWrap/>
            <w:vAlign w:val="center"/>
            <w:hideMark/>
          </w:tcPr>
          <w:p w14:paraId="1B1D74C0" w14:textId="2151A19D" w:rsidR="00F1540A" w:rsidRPr="005734B8" w:rsidRDefault="006C14DE" w:rsidP="000F48B1">
            <w:pPr>
              <w:jc w:val="right"/>
              <w:rPr>
                <w:rFonts w:ascii="Calibri" w:hAnsi="Calibri" w:cs="Calibri"/>
                <w:b/>
                <w:sz w:val="18"/>
                <w:szCs w:val="18"/>
              </w:rPr>
            </w:pPr>
            <w:r w:rsidRPr="005734B8">
              <w:rPr>
                <w:rFonts w:ascii="Calibri" w:hAnsi="Calibri" w:cs="Calibri"/>
                <w:b/>
                <w:bCs/>
                <w:sz w:val="18"/>
                <w:szCs w:val="18"/>
              </w:rPr>
              <w:t>–</w:t>
            </w:r>
          </w:p>
        </w:tc>
        <w:tc>
          <w:tcPr>
            <w:tcW w:w="1100" w:type="dxa"/>
            <w:tcBorders>
              <w:top w:val="single" w:sz="12" w:space="0" w:color="auto"/>
              <w:left w:val="nil"/>
              <w:bottom w:val="single" w:sz="12" w:space="0" w:color="auto"/>
              <w:right w:val="single" w:sz="12" w:space="0" w:color="FFFFFF"/>
            </w:tcBorders>
            <w:shd w:val="clear" w:color="FFFFFF" w:fill="FFFFFF"/>
            <w:noWrap/>
            <w:vAlign w:val="center"/>
            <w:hideMark/>
          </w:tcPr>
          <w:p w14:paraId="54149894" w14:textId="4CFD5911" w:rsidR="00F1540A" w:rsidRPr="005734B8" w:rsidRDefault="006C14DE" w:rsidP="000F48B1">
            <w:pPr>
              <w:jc w:val="right"/>
              <w:rPr>
                <w:rFonts w:ascii="Calibri" w:hAnsi="Calibri" w:cs="Calibri"/>
                <w:b/>
                <w:sz w:val="18"/>
                <w:szCs w:val="18"/>
              </w:rPr>
            </w:pPr>
            <w:r w:rsidRPr="005734B8">
              <w:rPr>
                <w:rFonts w:ascii="Calibri" w:hAnsi="Calibri" w:cs="Calibri"/>
                <w:b/>
                <w:bCs/>
                <w:sz w:val="18"/>
                <w:szCs w:val="18"/>
              </w:rPr>
              <w:t>–</w:t>
            </w:r>
          </w:p>
        </w:tc>
        <w:tc>
          <w:tcPr>
            <w:tcW w:w="1079" w:type="dxa"/>
            <w:tcBorders>
              <w:top w:val="single" w:sz="12" w:space="0" w:color="auto"/>
              <w:left w:val="nil"/>
              <w:bottom w:val="single" w:sz="12" w:space="0" w:color="auto"/>
              <w:right w:val="single" w:sz="12" w:space="0" w:color="FFFFFF"/>
            </w:tcBorders>
            <w:shd w:val="clear" w:color="FFFFFF" w:fill="FFFFFF"/>
            <w:noWrap/>
            <w:vAlign w:val="center"/>
            <w:hideMark/>
          </w:tcPr>
          <w:p w14:paraId="352E53C3" w14:textId="7EE878FB" w:rsidR="00F1540A" w:rsidRPr="005734B8" w:rsidRDefault="006C14DE" w:rsidP="000F48B1">
            <w:pPr>
              <w:jc w:val="right"/>
              <w:rPr>
                <w:rFonts w:ascii="Calibri" w:hAnsi="Calibri" w:cs="Calibri"/>
                <w:b/>
                <w:sz w:val="18"/>
                <w:szCs w:val="18"/>
              </w:rPr>
            </w:pPr>
            <w:r w:rsidRPr="005734B8">
              <w:rPr>
                <w:rFonts w:ascii="Calibri" w:hAnsi="Calibri" w:cs="Calibri"/>
                <w:b/>
                <w:bCs/>
                <w:sz w:val="18"/>
                <w:szCs w:val="18"/>
              </w:rPr>
              <w:t>–</w:t>
            </w:r>
          </w:p>
        </w:tc>
        <w:tc>
          <w:tcPr>
            <w:tcW w:w="1073" w:type="dxa"/>
            <w:tcBorders>
              <w:top w:val="single" w:sz="12" w:space="0" w:color="auto"/>
              <w:left w:val="nil"/>
              <w:bottom w:val="single" w:sz="12" w:space="0" w:color="auto"/>
              <w:right w:val="single" w:sz="12" w:space="0" w:color="FFFFFF"/>
            </w:tcBorders>
            <w:shd w:val="clear" w:color="FFFFFF" w:fill="FFFFFF"/>
            <w:noWrap/>
            <w:vAlign w:val="center"/>
            <w:hideMark/>
          </w:tcPr>
          <w:p w14:paraId="4D502C31" w14:textId="471E782A" w:rsidR="00F1540A" w:rsidRPr="005734B8" w:rsidRDefault="006C14DE" w:rsidP="000F48B1">
            <w:pPr>
              <w:jc w:val="right"/>
              <w:rPr>
                <w:rFonts w:ascii="Calibri" w:hAnsi="Calibri" w:cs="Calibri"/>
                <w:b/>
                <w:sz w:val="18"/>
                <w:szCs w:val="18"/>
              </w:rPr>
            </w:pPr>
            <w:r w:rsidRPr="005734B8">
              <w:rPr>
                <w:rFonts w:ascii="Calibri" w:hAnsi="Calibri" w:cs="Calibri"/>
                <w:b/>
                <w:bCs/>
                <w:sz w:val="18"/>
                <w:szCs w:val="18"/>
              </w:rPr>
              <w:t>–</w:t>
            </w:r>
          </w:p>
        </w:tc>
      </w:tr>
      <w:tr w:rsidR="00F1540A" w:rsidRPr="005734B8" w14:paraId="54F80910" w14:textId="77777777" w:rsidTr="000F48B1">
        <w:trPr>
          <w:trHeight w:val="270"/>
        </w:trPr>
        <w:tc>
          <w:tcPr>
            <w:tcW w:w="1085" w:type="dxa"/>
            <w:tcBorders>
              <w:top w:val="nil"/>
              <w:left w:val="nil"/>
              <w:bottom w:val="nil"/>
              <w:right w:val="nil"/>
            </w:tcBorders>
            <w:shd w:val="clear" w:color="auto" w:fill="auto"/>
            <w:noWrap/>
            <w:vAlign w:val="bottom"/>
            <w:hideMark/>
          </w:tcPr>
          <w:p w14:paraId="29B6D82C" w14:textId="77777777" w:rsidR="00F1540A" w:rsidRPr="005734B8" w:rsidRDefault="00F1540A" w:rsidP="000F48B1">
            <w:pPr>
              <w:jc w:val="right"/>
              <w:rPr>
                <w:rFonts w:ascii="Calibri" w:hAnsi="Calibri" w:cs="Calibri"/>
                <w:b/>
                <w:bCs/>
                <w:sz w:val="18"/>
                <w:szCs w:val="18"/>
              </w:rPr>
            </w:pPr>
          </w:p>
        </w:tc>
        <w:tc>
          <w:tcPr>
            <w:tcW w:w="1100" w:type="dxa"/>
            <w:tcBorders>
              <w:top w:val="nil"/>
              <w:left w:val="nil"/>
              <w:bottom w:val="nil"/>
              <w:right w:val="nil"/>
            </w:tcBorders>
            <w:shd w:val="clear" w:color="auto" w:fill="auto"/>
            <w:noWrap/>
            <w:vAlign w:val="bottom"/>
            <w:hideMark/>
          </w:tcPr>
          <w:p w14:paraId="668FE780" w14:textId="77777777" w:rsidR="00F1540A" w:rsidRPr="005734B8" w:rsidRDefault="00F1540A" w:rsidP="000F48B1">
            <w:pPr>
              <w:rPr>
                <w:rFonts w:ascii="Calibri" w:hAnsi="Calibri" w:cs="Calibri"/>
                <w:sz w:val="20"/>
              </w:rPr>
            </w:pPr>
          </w:p>
        </w:tc>
        <w:tc>
          <w:tcPr>
            <w:tcW w:w="1104" w:type="dxa"/>
            <w:tcBorders>
              <w:top w:val="nil"/>
              <w:left w:val="nil"/>
              <w:bottom w:val="nil"/>
              <w:right w:val="nil"/>
            </w:tcBorders>
            <w:shd w:val="clear" w:color="auto" w:fill="auto"/>
            <w:noWrap/>
            <w:vAlign w:val="bottom"/>
            <w:hideMark/>
          </w:tcPr>
          <w:p w14:paraId="39B0F956" w14:textId="77777777" w:rsidR="00F1540A" w:rsidRPr="005734B8" w:rsidRDefault="00F1540A" w:rsidP="000F48B1">
            <w:pPr>
              <w:rPr>
                <w:rFonts w:ascii="Calibri" w:hAnsi="Calibri" w:cs="Calibri"/>
                <w:sz w:val="20"/>
              </w:rPr>
            </w:pPr>
          </w:p>
        </w:tc>
        <w:tc>
          <w:tcPr>
            <w:tcW w:w="1084" w:type="dxa"/>
            <w:tcBorders>
              <w:top w:val="nil"/>
              <w:left w:val="nil"/>
              <w:bottom w:val="nil"/>
              <w:right w:val="nil"/>
            </w:tcBorders>
            <w:shd w:val="clear" w:color="auto" w:fill="auto"/>
            <w:noWrap/>
            <w:vAlign w:val="bottom"/>
            <w:hideMark/>
          </w:tcPr>
          <w:p w14:paraId="555A17EE" w14:textId="77777777" w:rsidR="00F1540A" w:rsidRPr="005734B8" w:rsidRDefault="00F1540A" w:rsidP="000F48B1">
            <w:pPr>
              <w:rPr>
                <w:rFonts w:ascii="Calibri" w:hAnsi="Calibri" w:cs="Calibri"/>
                <w:sz w:val="20"/>
              </w:rPr>
            </w:pPr>
          </w:p>
        </w:tc>
        <w:tc>
          <w:tcPr>
            <w:tcW w:w="1100" w:type="dxa"/>
            <w:tcBorders>
              <w:top w:val="nil"/>
              <w:left w:val="nil"/>
              <w:bottom w:val="nil"/>
              <w:right w:val="nil"/>
            </w:tcBorders>
            <w:shd w:val="clear" w:color="auto" w:fill="auto"/>
            <w:noWrap/>
            <w:vAlign w:val="bottom"/>
            <w:hideMark/>
          </w:tcPr>
          <w:p w14:paraId="7C54EE6F" w14:textId="77777777" w:rsidR="00F1540A" w:rsidRPr="005734B8" w:rsidRDefault="00F1540A" w:rsidP="000F48B1">
            <w:pPr>
              <w:rPr>
                <w:rFonts w:ascii="Calibri" w:hAnsi="Calibri" w:cs="Calibri"/>
                <w:sz w:val="20"/>
              </w:rPr>
            </w:pPr>
          </w:p>
        </w:tc>
        <w:tc>
          <w:tcPr>
            <w:tcW w:w="1079" w:type="dxa"/>
            <w:tcBorders>
              <w:top w:val="nil"/>
              <w:left w:val="nil"/>
              <w:bottom w:val="nil"/>
              <w:right w:val="nil"/>
            </w:tcBorders>
            <w:shd w:val="clear" w:color="auto" w:fill="auto"/>
            <w:noWrap/>
            <w:vAlign w:val="bottom"/>
            <w:hideMark/>
          </w:tcPr>
          <w:p w14:paraId="614C0485" w14:textId="77777777" w:rsidR="00F1540A" w:rsidRPr="005734B8" w:rsidRDefault="00F1540A" w:rsidP="000F48B1">
            <w:pPr>
              <w:rPr>
                <w:rFonts w:ascii="Calibri" w:hAnsi="Calibri" w:cs="Calibri"/>
                <w:sz w:val="20"/>
              </w:rPr>
            </w:pPr>
          </w:p>
        </w:tc>
        <w:tc>
          <w:tcPr>
            <w:tcW w:w="1073" w:type="dxa"/>
            <w:tcBorders>
              <w:top w:val="nil"/>
              <w:left w:val="nil"/>
              <w:bottom w:val="nil"/>
              <w:right w:val="nil"/>
            </w:tcBorders>
            <w:shd w:val="clear" w:color="auto" w:fill="auto"/>
            <w:noWrap/>
            <w:vAlign w:val="bottom"/>
            <w:hideMark/>
          </w:tcPr>
          <w:p w14:paraId="3C56473F" w14:textId="77777777" w:rsidR="00F1540A" w:rsidRPr="005734B8" w:rsidRDefault="00F1540A" w:rsidP="000F48B1">
            <w:pPr>
              <w:rPr>
                <w:rFonts w:ascii="Calibri" w:hAnsi="Calibri" w:cs="Calibri"/>
                <w:sz w:val="20"/>
              </w:rPr>
            </w:pPr>
          </w:p>
        </w:tc>
      </w:tr>
      <w:tr w:rsidR="00F1540A" w:rsidRPr="005734B8" w14:paraId="73ADB430" w14:textId="77777777" w:rsidTr="000F48B1">
        <w:trPr>
          <w:trHeight w:val="263"/>
        </w:trPr>
        <w:tc>
          <w:tcPr>
            <w:tcW w:w="1085" w:type="dxa"/>
            <w:tcBorders>
              <w:top w:val="nil"/>
              <w:left w:val="single" w:sz="4" w:space="0" w:color="FFFFFF"/>
              <w:bottom w:val="single" w:sz="4" w:space="0" w:color="FFFFFF"/>
              <w:right w:val="single" w:sz="4" w:space="0" w:color="FFFFFF"/>
            </w:tcBorders>
            <w:shd w:val="clear" w:color="000000" w:fill="AF272F"/>
            <w:vAlign w:val="center"/>
            <w:hideMark/>
          </w:tcPr>
          <w:p w14:paraId="4A808819"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 </w:t>
            </w:r>
          </w:p>
        </w:tc>
        <w:tc>
          <w:tcPr>
            <w:tcW w:w="2204" w:type="dxa"/>
            <w:gridSpan w:val="2"/>
            <w:tcBorders>
              <w:top w:val="nil"/>
              <w:left w:val="nil"/>
              <w:bottom w:val="single" w:sz="4" w:space="0" w:color="FFFFFF"/>
              <w:right w:val="single" w:sz="4" w:space="0" w:color="FFFFFF"/>
            </w:tcBorders>
            <w:shd w:val="clear" w:color="000000" w:fill="AF272F"/>
            <w:vAlign w:val="center"/>
            <w:hideMark/>
          </w:tcPr>
          <w:p w14:paraId="3FF20664"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 </w:t>
            </w:r>
          </w:p>
        </w:tc>
        <w:tc>
          <w:tcPr>
            <w:tcW w:w="4336" w:type="dxa"/>
            <w:gridSpan w:val="4"/>
            <w:tcBorders>
              <w:top w:val="nil"/>
              <w:left w:val="nil"/>
              <w:bottom w:val="single" w:sz="4" w:space="0" w:color="FFFFFF"/>
              <w:right w:val="nil"/>
            </w:tcBorders>
            <w:shd w:val="clear" w:color="000000" w:fill="AF272F"/>
            <w:vAlign w:val="center"/>
            <w:hideMark/>
          </w:tcPr>
          <w:p w14:paraId="42EC05F7"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Past due but not impaired</w:t>
            </w:r>
          </w:p>
        </w:tc>
      </w:tr>
      <w:tr w:rsidR="00F1540A" w:rsidRPr="005734B8" w14:paraId="39F0E12E" w14:textId="77777777" w:rsidTr="000F48B1">
        <w:trPr>
          <w:trHeight w:val="960"/>
        </w:trPr>
        <w:tc>
          <w:tcPr>
            <w:tcW w:w="1085" w:type="dxa"/>
            <w:tcBorders>
              <w:top w:val="nil"/>
              <w:left w:val="single" w:sz="4" w:space="0" w:color="FFFFFF"/>
              <w:bottom w:val="single" w:sz="4" w:space="0" w:color="FFFFFF"/>
              <w:right w:val="single" w:sz="4" w:space="0" w:color="FFFFFF"/>
            </w:tcBorders>
            <w:shd w:val="clear" w:color="000000" w:fill="AF272F"/>
            <w:hideMark/>
          </w:tcPr>
          <w:p w14:paraId="69E67F02" w14:textId="77777777" w:rsidR="00F1540A" w:rsidRPr="005734B8" w:rsidRDefault="00F1540A" w:rsidP="000F48B1">
            <w:pPr>
              <w:rPr>
                <w:rFonts w:ascii="Calibri" w:hAnsi="Calibri" w:cs="Calibri"/>
                <w:b/>
                <w:color w:val="FFFFFF"/>
                <w:sz w:val="18"/>
                <w:szCs w:val="18"/>
              </w:rPr>
            </w:pPr>
            <w:r w:rsidRPr="005734B8">
              <w:rPr>
                <w:rFonts w:ascii="Calibri" w:hAnsi="Calibri" w:cs="Calibri"/>
                <w:b/>
                <w:color w:val="FFFFFF"/>
                <w:sz w:val="18"/>
                <w:szCs w:val="18"/>
              </w:rPr>
              <w:t>2020</w:t>
            </w:r>
          </w:p>
        </w:tc>
        <w:tc>
          <w:tcPr>
            <w:tcW w:w="1100" w:type="dxa"/>
            <w:tcBorders>
              <w:top w:val="nil"/>
              <w:left w:val="nil"/>
              <w:bottom w:val="single" w:sz="4" w:space="0" w:color="auto"/>
              <w:right w:val="single" w:sz="4" w:space="0" w:color="FFFFFF"/>
            </w:tcBorders>
            <w:shd w:val="clear" w:color="000000" w:fill="AF272F"/>
            <w:hideMark/>
          </w:tcPr>
          <w:p w14:paraId="4AA36D62"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Carrying amount</w:t>
            </w:r>
            <w:r w:rsidRPr="005734B8">
              <w:rPr>
                <w:rFonts w:ascii="Calibri" w:hAnsi="Calibri" w:cs="Calibri"/>
                <w:b/>
                <w:color w:val="FFFFFF"/>
                <w:sz w:val="18"/>
                <w:szCs w:val="18"/>
              </w:rPr>
              <w:br/>
              <w:t>($m)</w:t>
            </w:r>
          </w:p>
        </w:tc>
        <w:tc>
          <w:tcPr>
            <w:tcW w:w="1104" w:type="dxa"/>
            <w:tcBorders>
              <w:top w:val="nil"/>
              <w:left w:val="nil"/>
              <w:bottom w:val="single" w:sz="4" w:space="0" w:color="auto"/>
              <w:right w:val="single" w:sz="4" w:space="0" w:color="FFFFFF"/>
            </w:tcBorders>
            <w:shd w:val="clear" w:color="000000" w:fill="AF272F"/>
            <w:hideMark/>
          </w:tcPr>
          <w:p w14:paraId="7AA81387"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Not past due and not impaired</w:t>
            </w:r>
            <w:r w:rsidRPr="005734B8">
              <w:rPr>
                <w:rFonts w:ascii="Calibri" w:hAnsi="Calibri" w:cs="Calibri"/>
                <w:b/>
                <w:color w:val="FFFFFF"/>
                <w:sz w:val="18"/>
                <w:szCs w:val="18"/>
              </w:rPr>
              <w:br/>
              <w:t>($m)</w:t>
            </w:r>
          </w:p>
        </w:tc>
        <w:tc>
          <w:tcPr>
            <w:tcW w:w="1084" w:type="dxa"/>
            <w:tcBorders>
              <w:top w:val="nil"/>
              <w:left w:val="nil"/>
              <w:bottom w:val="single" w:sz="4" w:space="0" w:color="auto"/>
              <w:right w:val="single" w:sz="4" w:space="0" w:color="FFFFFF"/>
            </w:tcBorders>
            <w:shd w:val="clear" w:color="000000" w:fill="AF272F"/>
            <w:hideMark/>
          </w:tcPr>
          <w:p w14:paraId="1D021476"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Less than 1 month </w:t>
            </w:r>
            <w:r w:rsidRPr="005734B8">
              <w:rPr>
                <w:rFonts w:ascii="Calibri" w:hAnsi="Calibri" w:cs="Calibri"/>
                <w:b/>
                <w:color w:val="FFFFFF"/>
                <w:sz w:val="18"/>
                <w:szCs w:val="18"/>
              </w:rPr>
              <w:br/>
              <w:t>($m)</w:t>
            </w:r>
          </w:p>
        </w:tc>
        <w:tc>
          <w:tcPr>
            <w:tcW w:w="1100" w:type="dxa"/>
            <w:tcBorders>
              <w:top w:val="nil"/>
              <w:left w:val="nil"/>
              <w:bottom w:val="single" w:sz="4" w:space="0" w:color="auto"/>
              <w:right w:val="single" w:sz="4" w:space="0" w:color="FFFFFF"/>
            </w:tcBorders>
            <w:shd w:val="clear" w:color="000000" w:fill="AF272F"/>
            <w:hideMark/>
          </w:tcPr>
          <w:p w14:paraId="73D7B46D"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1-3 months</w:t>
            </w:r>
            <w:r w:rsidRPr="005734B8">
              <w:rPr>
                <w:rFonts w:ascii="Calibri" w:hAnsi="Calibri" w:cs="Calibri"/>
                <w:b/>
                <w:color w:val="FFFFFF"/>
                <w:sz w:val="18"/>
                <w:szCs w:val="18"/>
              </w:rPr>
              <w:br/>
              <w:t>($m)</w:t>
            </w:r>
          </w:p>
        </w:tc>
        <w:tc>
          <w:tcPr>
            <w:tcW w:w="1079" w:type="dxa"/>
            <w:tcBorders>
              <w:top w:val="nil"/>
              <w:left w:val="nil"/>
              <w:bottom w:val="single" w:sz="4" w:space="0" w:color="auto"/>
              <w:right w:val="single" w:sz="4" w:space="0" w:color="FFFFFF"/>
            </w:tcBorders>
            <w:shd w:val="clear" w:color="000000" w:fill="AF272F"/>
            <w:hideMark/>
          </w:tcPr>
          <w:p w14:paraId="3531B754" w14:textId="6ECF9A79"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3 months </w:t>
            </w:r>
            <w:r w:rsidR="00B15F9A" w:rsidRPr="005734B8">
              <w:rPr>
                <w:rFonts w:ascii="Calibri" w:hAnsi="Calibri" w:cs="Calibri"/>
                <w:b/>
                <w:color w:val="FFFFFF"/>
                <w:sz w:val="18"/>
                <w:szCs w:val="18"/>
              </w:rPr>
              <w:t>–</w:t>
            </w:r>
            <w:r w:rsidRPr="005734B8">
              <w:rPr>
                <w:rFonts w:ascii="Calibri" w:hAnsi="Calibri" w:cs="Calibri"/>
                <w:b/>
                <w:color w:val="FFFFFF"/>
                <w:sz w:val="18"/>
                <w:szCs w:val="18"/>
              </w:rPr>
              <w:t xml:space="preserve"> 1 year</w:t>
            </w:r>
            <w:r w:rsidRPr="005734B8">
              <w:rPr>
                <w:rFonts w:ascii="Calibri" w:hAnsi="Calibri" w:cs="Calibri"/>
                <w:b/>
                <w:color w:val="FFFFFF"/>
                <w:sz w:val="18"/>
                <w:szCs w:val="18"/>
              </w:rPr>
              <w:br/>
              <w:t>($m)</w:t>
            </w:r>
          </w:p>
        </w:tc>
        <w:tc>
          <w:tcPr>
            <w:tcW w:w="1073" w:type="dxa"/>
            <w:tcBorders>
              <w:top w:val="nil"/>
              <w:left w:val="nil"/>
              <w:bottom w:val="single" w:sz="4" w:space="0" w:color="auto"/>
              <w:right w:val="single" w:sz="4" w:space="0" w:color="FFFFFF"/>
            </w:tcBorders>
            <w:shd w:val="clear" w:color="000000" w:fill="AF272F"/>
            <w:hideMark/>
          </w:tcPr>
          <w:p w14:paraId="4F52E390"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Over 1-year</w:t>
            </w:r>
            <w:r w:rsidRPr="005734B8">
              <w:rPr>
                <w:rFonts w:ascii="Calibri" w:hAnsi="Calibri" w:cs="Calibri"/>
                <w:b/>
                <w:color w:val="FFFFFF"/>
                <w:sz w:val="18"/>
                <w:szCs w:val="18"/>
              </w:rPr>
              <w:br/>
              <w:t>($m)</w:t>
            </w:r>
          </w:p>
        </w:tc>
      </w:tr>
      <w:tr w:rsidR="00F1540A" w:rsidRPr="005734B8" w14:paraId="783736AA" w14:textId="77777777" w:rsidTr="000F48B1">
        <w:trPr>
          <w:trHeight w:val="270"/>
        </w:trPr>
        <w:tc>
          <w:tcPr>
            <w:tcW w:w="1085"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68FB81B1"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Term deposits</w:t>
            </w:r>
          </w:p>
        </w:tc>
        <w:tc>
          <w:tcPr>
            <w:tcW w:w="1100" w:type="dxa"/>
            <w:tcBorders>
              <w:top w:val="nil"/>
              <w:left w:val="nil"/>
              <w:bottom w:val="single" w:sz="4" w:space="0" w:color="auto"/>
              <w:right w:val="single" w:sz="4" w:space="0" w:color="FFFFFF"/>
            </w:tcBorders>
            <w:shd w:val="clear" w:color="FFFFFF" w:fill="FFFFFF"/>
            <w:noWrap/>
            <w:vAlign w:val="center"/>
            <w:hideMark/>
          </w:tcPr>
          <w:p w14:paraId="13AB574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2.8 </w:t>
            </w:r>
          </w:p>
        </w:tc>
        <w:tc>
          <w:tcPr>
            <w:tcW w:w="1104" w:type="dxa"/>
            <w:tcBorders>
              <w:top w:val="nil"/>
              <w:left w:val="nil"/>
              <w:bottom w:val="single" w:sz="4" w:space="0" w:color="auto"/>
              <w:right w:val="single" w:sz="4" w:space="0" w:color="FFFFFF"/>
            </w:tcBorders>
            <w:shd w:val="clear" w:color="FFFFFF" w:fill="FFFFFF"/>
            <w:noWrap/>
            <w:vAlign w:val="center"/>
            <w:hideMark/>
          </w:tcPr>
          <w:p w14:paraId="2F40929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2.8 </w:t>
            </w:r>
          </w:p>
        </w:tc>
        <w:tc>
          <w:tcPr>
            <w:tcW w:w="1084" w:type="dxa"/>
            <w:tcBorders>
              <w:top w:val="nil"/>
              <w:left w:val="nil"/>
              <w:bottom w:val="single" w:sz="4" w:space="0" w:color="auto"/>
              <w:right w:val="single" w:sz="4" w:space="0" w:color="FFFFFF"/>
            </w:tcBorders>
            <w:shd w:val="clear" w:color="FFFFFF" w:fill="FFFFFF"/>
            <w:noWrap/>
            <w:vAlign w:val="center"/>
            <w:hideMark/>
          </w:tcPr>
          <w:p w14:paraId="5B457DFB" w14:textId="2B004C5B"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100" w:type="dxa"/>
            <w:tcBorders>
              <w:top w:val="nil"/>
              <w:left w:val="nil"/>
              <w:bottom w:val="single" w:sz="4" w:space="0" w:color="auto"/>
              <w:right w:val="single" w:sz="4" w:space="0" w:color="FFFFFF"/>
            </w:tcBorders>
            <w:shd w:val="clear" w:color="FFFFFF" w:fill="FFFFFF"/>
            <w:noWrap/>
            <w:vAlign w:val="center"/>
            <w:hideMark/>
          </w:tcPr>
          <w:p w14:paraId="13FEE412" w14:textId="49F7DCBD"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079" w:type="dxa"/>
            <w:tcBorders>
              <w:top w:val="nil"/>
              <w:left w:val="nil"/>
              <w:bottom w:val="single" w:sz="4" w:space="0" w:color="auto"/>
              <w:right w:val="single" w:sz="4" w:space="0" w:color="FFFFFF"/>
            </w:tcBorders>
            <w:shd w:val="clear" w:color="FFFFFF" w:fill="FFFFFF"/>
            <w:noWrap/>
            <w:vAlign w:val="center"/>
            <w:hideMark/>
          </w:tcPr>
          <w:p w14:paraId="348050DE" w14:textId="54895E94"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c>
          <w:tcPr>
            <w:tcW w:w="1073" w:type="dxa"/>
            <w:tcBorders>
              <w:top w:val="nil"/>
              <w:left w:val="nil"/>
              <w:bottom w:val="single" w:sz="4" w:space="0" w:color="auto"/>
              <w:right w:val="single" w:sz="4" w:space="0" w:color="FFFFFF"/>
            </w:tcBorders>
            <w:shd w:val="clear" w:color="FFFFFF" w:fill="FFFFFF"/>
            <w:noWrap/>
            <w:vAlign w:val="center"/>
            <w:hideMark/>
          </w:tcPr>
          <w:p w14:paraId="39AB35AE" w14:textId="287354D4" w:rsidR="00F1540A" w:rsidRPr="005734B8" w:rsidRDefault="006C14DE" w:rsidP="000F48B1">
            <w:pPr>
              <w:jc w:val="right"/>
              <w:rPr>
                <w:rFonts w:ascii="Calibri" w:hAnsi="Calibri" w:cs="Calibri"/>
                <w:sz w:val="18"/>
                <w:szCs w:val="18"/>
              </w:rPr>
            </w:pPr>
            <w:r w:rsidRPr="005734B8">
              <w:rPr>
                <w:rFonts w:ascii="Calibri" w:hAnsi="Calibri" w:cs="Calibri"/>
                <w:sz w:val="18"/>
                <w:szCs w:val="18"/>
              </w:rPr>
              <w:t>–</w:t>
            </w:r>
          </w:p>
        </w:tc>
      </w:tr>
      <w:tr w:rsidR="00F1540A" w:rsidRPr="005734B8" w14:paraId="6254F069" w14:textId="77777777" w:rsidTr="000F48B1">
        <w:trPr>
          <w:trHeight w:val="285"/>
        </w:trPr>
        <w:tc>
          <w:tcPr>
            <w:tcW w:w="1085"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9390B85"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w:t>
            </w:r>
          </w:p>
        </w:tc>
        <w:tc>
          <w:tcPr>
            <w:tcW w:w="1100" w:type="dxa"/>
            <w:tcBorders>
              <w:top w:val="single" w:sz="12" w:space="0" w:color="auto"/>
              <w:left w:val="nil"/>
              <w:bottom w:val="single" w:sz="12" w:space="0" w:color="auto"/>
              <w:right w:val="single" w:sz="12" w:space="0" w:color="FFFFFF"/>
            </w:tcBorders>
            <w:shd w:val="clear" w:color="FFFFFF" w:fill="FFFFFF"/>
            <w:noWrap/>
            <w:vAlign w:val="center"/>
            <w:hideMark/>
          </w:tcPr>
          <w:p w14:paraId="1C7BDF96"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2.8 </w:t>
            </w:r>
          </w:p>
        </w:tc>
        <w:tc>
          <w:tcPr>
            <w:tcW w:w="1104" w:type="dxa"/>
            <w:tcBorders>
              <w:top w:val="single" w:sz="12" w:space="0" w:color="auto"/>
              <w:left w:val="nil"/>
              <w:bottom w:val="single" w:sz="12" w:space="0" w:color="auto"/>
              <w:right w:val="single" w:sz="12" w:space="0" w:color="FFFFFF"/>
            </w:tcBorders>
            <w:shd w:val="clear" w:color="FFFFFF" w:fill="FFFFFF"/>
            <w:noWrap/>
            <w:vAlign w:val="center"/>
            <w:hideMark/>
          </w:tcPr>
          <w:p w14:paraId="573D311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2.8 </w:t>
            </w:r>
          </w:p>
        </w:tc>
        <w:tc>
          <w:tcPr>
            <w:tcW w:w="1084" w:type="dxa"/>
            <w:tcBorders>
              <w:top w:val="single" w:sz="12" w:space="0" w:color="auto"/>
              <w:left w:val="nil"/>
              <w:bottom w:val="single" w:sz="12" w:space="0" w:color="auto"/>
              <w:right w:val="single" w:sz="12" w:space="0" w:color="FFFFFF"/>
            </w:tcBorders>
            <w:shd w:val="clear" w:color="FFFFFF" w:fill="FFFFFF"/>
            <w:noWrap/>
            <w:vAlign w:val="center"/>
            <w:hideMark/>
          </w:tcPr>
          <w:p w14:paraId="61922B81" w14:textId="10ED0879" w:rsidR="00F1540A" w:rsidRPr="005734B8" w:rsidRDefault="006C14DE" w:rsidP="000F48B1">
            <w:pPr>
              <w:jc w:val="right"/>
              <w:rPr>
                <w:rFonts w:ascii="Calibri" w:hAnsi="Calibri" w:cs="Calibri"/>
                <w:b/>
                <w:sz w:val="18"/>
                <w:szCs w:val="18"/>
              </w:rPr>
            </w:pPr>
            <w:r w:rsidRPr="005734B8">
              <w:rPr>
                <w:rFonts w:ascii="Calibri" w:hAnsi="Calibri" w:cs="Calibri"/>
                <w:sz w:val="18"/>
                <w:szCs w:val="18"/>
              </w:rPr>
              <w:t>–</w:t>
            </w:r>
          </w:p>
        </w:tc>
        <w:tc>
          <w:tcPr>
            <w:tcW w:w="1100" w:type="dxa"/>
            <w:tcBorders>
              <w:top w:val="single" w:sz="12" w:space="0" w:color="auto"/>
              <w:left w:val="nil"/>
              <w:bottom w:val="single" w:sz="12" w:space="0" w:color="auto"/>
              <w:right w:val="single" w:sz="12" w:space="0" w:color="FFFFFF"/>
            </w:tcBorders>
            <w:shd w:val="clear" w:color="FFFFFF" w:fill="FFFFFF"/>
            <w:noWrap/>
            <w:vAlign w:val="center"/>
            <w:hideMark/>
          </w:tcPr>
          <w:p w14:paraId="3F9BEB60" w14:textId="4957472C" w:rsidR="00F1540A" w:rsidRPr="005734B8" w:rsidRDefault="006C14DE" w:rsidP="000F48B1">
            <w:pPr>
              <w:jc w:val="right"/>
              <w:rPr>
                <w:rFonts w:ascii="Calibri" w:hAnsi="Calibri" w:cs="Calibri"/>
                <w:b/>
                <w:sz w:val="18"/>
                <w:szCs w:val="18"/>
              </w:rPr>
            </w:pPr>
            <w:r w:rsidRPr="005734B8">
              <w:rPr>
                <w:rFonts w:ascii="Calibri" w:hAnsi="Calibri" w:cs="Calibri"/>
                <w:sz w:val="18"/>
                <w:szCs w:val="18"/>
              </w:rPr>
              <w:t>–</w:t>
            </w:r>
          </w:p>
        </w:tc>
        <w:tc>
          <w:tcPr>
            <w:tcW w:w="1079" w:type="dxa"/>
            <w:tcBorders>
              <w:top w:val="single" w:sz="12" w:space="0" w:color="auto"/>
              <w:left w:val="nil"/>
              <w:bottom w:val="single" w:sz="12" w:space="0" w:color="auto"/>
              <w:right w:val="single" w:sz="12" w:space="0" w:color="FFFFFF"/>
            </w:tcBorders>
            <w:shd w:val="clear" w:color="FFFFFF" w:fill="FFFFFF"/>
            <w:noWrap/>
            <w:vAlign w:val="center"/>
            <w:hideMark/>
          </w:tcPr>
          <w:p w14:paraId="5BA190D9" w14:textId="17C6525C" w:rsidR="00F1540A" w:rsidRPr="005734B8" w:rsidRDefault="006C14DE" w:rsidP="000F48B1">
            <w:pPr>
              <w:jc w:val="right"/>
              <w:rPr>
                <w:rFonts w:ascii="Calibri" w:hAnsi="Calibri" w:cs="Calibri"/>
                <w:b/>
                <w:sz w:val="18"/>
                <w:szCs w:val="18"/>
              </w:rPr>
            </w:pPr>
            <w:r w:rsidRPr="005734B8">
              <w:rPr>
                <w:rFonts w:ascii="Calibri" w:hAnsi="Calibri" w:cs="Calibri"/>
                <w:sz w:val="18"/>
                <w:szCs w:val="18"/>
              </w:rPr>
              <w:t>–</w:t>
            </w:r>
          </w:p>
        </w:tc>
        <w:tc>
          <w:tcPr>
            <w:tcW w:w="1073" w:type="dxa"/>
            <w:tcBorders>
              <w:top w:val="single" w:sz="12" w:space="0" w:color="auto"/>
              <w:left w:val="nil"/>
              <w:bottom w:val="single" w:sz="12" w:space="0" w:color="auto"/>
              <w:right w:val="single" w:sz="12" w:space="0" w:color="FFFFFF"/>
            </w:tcBorders>
            <w:shd w:val="clear" w:color="FFFFFF" w:fill="FFFFFF"/>
            <w:noWrap/>
            <w:vAlign w:val="center"/>
            <w:hideMark/>
          </w:tcPr>
          <w:p w14:paraId="603EBFE7" w14:textId="2A09A408" w:rsidR="00F1540A" w:rsidRPr="005734B8" w:rsidRDefault="006C14DE" w:rsidP="000F48B1">
            <w:pPr>
              <w:jc w:val="right"/>
              <w:rPr>
                <w:rFonts w:ascii="Calibri" w:hAnsi="Calibri" w:cs="Calibri"/>
                <w:b/>
                <w:sz w:val="18"/>
                <w:szCs w:val="18"/>
              </w:rPr>
            </w:pPr>
            <w:r w:rsidRPr="005734B8">
              <w:rPr>
                <w:rFonts w:ascii="Calibri" w:hAnsi="Calibri" w:cs="Calibri"/>
                <w:sz w:val="18"/>
                <w:szCs w:val="18"/>
              </w:rPr>
              <w:t>–</w:t>
            </w:r>
          </w:p>
        </w:tc>
      </w:tr>
    </w:tbl>
    <w:p w14:paraId="6F97D0C5" w14:textId="77777777" w:rsidR="00F1540A" w:rsidRPr="005734B8" w:rsidRDefault="00F1540A" w:rsidP="00F1540A">
      <w:pPr>
        <w:rPr>
          <w:rFonts w:ascii="Calibri" w:hAnsi="Calibri" w:cs="Calibri"/>
        </w:rPr>
      </w:pPr>
    </w:p>
    <w:p w14:paraId="2E311399" w14:textId="77777777" w:rsidR="00F1540A" w:rsidRPr="005734B8" w:rsidRDefault="00F1540A" w:rsidP="00F1540A">
      <w:pPr>
        <w:rPr>
          <w:rFonts w:ascii="Calibri" w:hAnsi="Calibri" w:cs="Calibri"/>
          <w:b/>
          <w:sz w:val="28"/>
          <w:szCs w:val="18"/>
          <w:lang w:eastAsia="en-AU"/>
        </w:rPr>
      </w:pPr>
      <w:r w:rsidRPr="005734B8">
        <w:rPr>
          <w:rFonts w:ascii="Calibri" w:hAnsi="Calibri" w:cs="Calibri"/>
        </w:rPr>
        <w:br w:type="page"/>
      </w:r>
    </w:p>
    <w:p w14:paraId="269FD6DF" w14:textId="77777777" w:rsidR="00E311EB" w:rsidRPr="005734B8" w:rsidRDefault="002E4354" w:rsidP="00CE3E19">
      <w:pPr>
        <w:pStyle w:val="Note"/>
        <w:ind w:left="709" w:right="-1" w:hanging="709"/>
        <w:rPr>
          <w:rFonts w:cs="Calibri"/>
          <w:b w:val="0"/>
        </w:rPr>
      </w:pPr>
      <w:bookmarkStart w:id="1492" w:name="_Toc14965627"/>
      <w:bookmarkStart w:id="1493" w:name="_Toc36012785"/>
      <w:bookmarkStart w:id="1494" w:name="_Toc36012863"/>
      <w:bookmarkStart w:id="1495" w:name="_Toc48402836"/>
      <w:bookmarkStart w:id="1496" w:name="_Toc48403073"/>
      <w:bookmarkStart w:id="1497" w:name="_Toc51332816"/>
      <w:bookmarkStart w:id="1498" w:name="_Toc80272082"/>
      <w:bookmarkStart w:id="1499" w:name="_Toc81315382"/>
      <w:r w:rsidRPr="005734B8">
        <w:rPr>
          <w:rFonts w:cs="Calibri"/>
        </w:rPr>
        <w:lastRenderedPageBreak/>
        <w:t>Other assets and liabilities</w:t>
      </w:r>
      <w:bookmarkEnd w:id="1492"/>
      <w:bookmarkEnd w:id="1493"/>
      <w:bookmarkEnd w:id="1494"/>
      <w:bookmarkEnd w:id="1495"/>
      <w:bookmarkEnd w:id="1496"/>
      <w:bookmarkEnd w:id="1497"/>
      <w:bookmarkEnd w:id="1498"/>
      <w:bookmarkEnd w:id="1499"/>
    </w:p>
    <w:p w14:paraId="0BCE8069" w14:textId="26DA7AA5" w:rsidR="002E4354" w:rsidRPr="005734B8" w:rsidRDefault="000E29FE" w:rsidP="00E311EB">
      <w:pPr>
        <w:rPr>
          <w:rFonts w:ascii="Calibri" w:hAnsi="Calibri" w:cs="Calibri"/>
        </w:rPr>
      </w:pPr>
      <w:r w:rsidRPr="005734B8">
        <w:rPr>
          <w:rFonts w:ascii="Calibri" w:hAnsi="Calibri" w:cs="Calibri"/>
        </w:rPr>
        <w:fldChar w:fldCharType="begin"/>
      </w:r>
      <w:r w:rsidRPr="005734B8">
        <w:rPr>
          <w:rFonts w:ascii="Calibri" w:hAnsi="Calibri" w:cs="Calibri"/>
        </w:rPr>
        <w:instrText xml:space="preserve"> TC  "</w:instrText>
      </w:r>
      <w:bookmarkStart w:id="1500" w:name="_Toc80718038"/>
      <w:r w:rsidRPr="005734B8">
        <w:rPr>
          <w:rFonts w:ascii="Calibri" w:hAnsi="Calibri" w:cs="Calibri"/>
        </w:rPr>
        <w:instrText>Note 6</w:instrText>
      </w:r>
      <w:r w:rsidRPr="005734B8">
        <w:rPr>
          <w:rFonts w:ascii="Calibri" w:hAnsi="Calibri" w:cs="Calibri"/>
        </w:rPr>
        <w:tab/>
      </w:r>
      <w:r w:rsidRPr="005734B8">
        <w:rPr>
          <w:rFonts w:ascii="Calibri" w:hAnsi="Calibri" w:cs="Calibri"/>
        </w:rPr>
        <w:tab/>
        <w:instrText>Other assets and liabilities</w:instrText>
      </w:r>
      <w:bookmarkEnd w:id="1500"/>
      <w:r w:rsidRPr="005734B8">
        <w:rPr>
          <w:rFonts w:ascii="Calibri" w:hAnsi="Calibri" w:cs="Calibri"/>
        </w:rPr>
        <w:instrText xml:space="preserve">" \f X \l 1 </w:instrText>
      </w:r>
      <w:r w:rsidRPr="005734B8">
        <w:rPr>
          <w:rFonts w:ascii="Calibri" w:hAnsi="Calibri" w:cs="Calibri"/>
        </w:rPr>
        <w:fldChar w:fldCharType="end"/>
      </w:r>
    </w:p>
    <w:tbl>
      <w:tblPr>
        <w:tblStyle w:val="TableGrid"/>
        <w:tblpPr w:leftFromText="180" w:rightFromText="180" w:vertAnchor="page" w:horzAnchor="margin" w:tblpY="2227"/>
        <w:tblW w:w="8149" w:type="dxa"/>
        <w:tblLook w:val="04A0" w:firstRow="1" w:lastRow="0" w:firstColumn="1" w:lastColumn="0" w:noHBand="0" w:noVBand="1"/>
      </w:tblPr>
      <w:tblGrid>
        <w:gridCol w:w="4435"/>
        <w:gridCol w:w="3714"/>
      </w:tblGrid>
      <w:tr w:rsidR="00F1540A" w:rsidRPr="005734B8" w14:paraId="2AD4BFE4" w14:textId="77777777" w:rsidTr="00F1540A">
        <w:trPr>
          <w:trHeight w:val="2530"/>
        </w:trPr>
        <w:tc>
          <w:tcPr>
            <w:tcW w:w="4435" w:type="dxa"/>
            <w:tcBorders>
              <w:bottom w:val="single" w:sz="4" w:space="0" w:color="auto"/>
              <w:right w:val="nil"/>
            </w:tcBorders>
          </w:tcPr>
          <w:p w14:paraId="3699AF90" w14:textId="77777777" w:rsidR="00F1540A" w:rsidRPr="005734B8" w:rsidRDefault="00F1540A" w:rsidP="00F1540A">
            <w:pPr>
              <w:pStyle w:val="Heading4notes"/>
              <w:tabs>
                <w:tab w:val="clear" w:pos="397"/>
                <w:tab w:val="left" w:pos="361"/>
              </w:tabs>
              <w:spacing w:before="0"/>
              <w:rPr>
                <w:rFonts w:ascii="Calibri" w:hAnsi="Calibri" w:cs="Calibri"/>
                <w:i w:val="0"/>
                <w:sz w:val="18"/>
                <w:szCs w:val="18"/>
              </w:rPr>
            </w:pPr>
            <w:bookmarkStart w:id="1501" w:name="_Toc11336402"/>
            <w:bookmarkStart w:id="1502" w:name="_Toc11336588"/>
            <w:bookmarkStart w:id="1503" w:name="_Toc13647192"/>
            <w:bookmarkStart w:id="1504" w:name="_Toc13656724"/>
            <w:bookmarkStart w:id="1505" w:name="_Toc13656886"/>
            <w:bookmarkStart w:id="1506" w:name="_Toc14965628"/>
            <w:bookmarkStart w:id="1507" w:name="_Toc15985311"/>
            <w:bookmarkStart w:id="1508" w:name="_Toc16231962"/>
            <w:bookmarkStart w:id="1509" w:name="_Toc58243445"/>
            <w:bookmarkStart w:id="1510" w:name="_Toc72958095"/>
            <w:bookmarkStart w:id="1511" w:name="_Toc72958143"/>
            <w:bookmarkStart w:id="1512" w:name="_Toc14965634"/>
            <w:bookmarkStart w:id="1513" w:name="_Toc36012790"/>
            <w:bookmarkStart w:id="1514" w:name="_Toc36012868"/>
            <w:bookmarkStart w:id="1515" w:name="_Toc48402840"/>
            <w:bookmarkStart w:id="1516" w:name="_Toc48403077"/>
            <w:bookmarkStart w:id="1517" w:name="_Toc51332820"/>
            <w:r w:rsidRPr="005734B8">
              <w:rPr>
                <w:rFonts w:ascii="Calibri" w:hAnsi="Calibri" w:cs="Calibri"/>
                <w:i w:val="0"/>
                <w:sz w:val="18"/>
                <w:szCs w:val="18"/>
              </w:rPr>
              <w:t>Introduction</w:t>
            </w:r>
          </w:p>
          <w:p w14:paraId="40F10426" w14:textId="77777777" w:rsidR="00F1540A" w:rsidRPr="005734B8" w:rsidRDefault="00F1540A" w:rsidP="00F1540A">
            <w:pPr>
              <w:pStyle w:val="ReferenceText"/>
              <w:rPr>
                <w:rFonts w:ascii="Calibri" w:hAnsi="Calibri" w:cs="Calibri"/>
              </w:rPr>
            </w:pPr>
            <w:r w:rsidRPr="005734B8">
              <w:rPr>
                <w:rFonts w:ascii="Calibri" w:hAnsi="Calibri" w:cs="Calibri"/>
              </w:rPr>
              <w:t>This section sets out those assets and liabilities that arose from the Department’s operations.</w:t>
            </w:r>
          </w:p>
        </w:tc>
        <w:tc>
          <w:tcPr>
            <w:tcW w:w="3714" w:type="dxa"/>
            <w:tcBorders>
              <w:left w:val="nil"/>
              <w:bottom w:val="single" w:sz="4" w:space="0" w:color="auto"/>
            </w:tcBorders>
          </w:tcPr>
          <w:p w14:paraId="793901AA" w14:textId="77777777" w:rsidR="00F1540A" w:rsidRPr="005734B8" w:rsidRDefault="00F1540A" w:rsidP="00F1540A">
            <w:pPr>
              <w:pStyle w:val="Heading4notes"/>
              <w:tabs>
                <w:tab w:val="clear" w:pos="397"/>
                <w:tab w:val="left" w:pos="361"/>
              </w:tabs>
              <w:spacing w:before="0"/>
              <w:rPr>
                <w:rFonts w:ascii="Calibri" w:hAnsi="Calibri" w:cs="Calibri"/>
                <w:i w:val="0"/>
                <w:sz w:val="18"/>
                <w:szCs w:val="18"/>
              </w:rPr>
            </w:pPr>
            <w:r w:rsidRPr="005734B8">
              <w:rPr>
                <w:rFonts w:ascii="Calibri" w:hAnsi="Calibri" w:cs="Calibri"/>
                <w:i w:val="0"/>
                <w:sz w:val="18"/>
                <w:szCs w:val="18"/>
              </w:rPr>
              <w:t>Structure</w:t>
            </w:r>
          </w:p>
          <w:p w14:paraId="1B01CB20" w14:textId="5832FA33" w:rsidR="00F1540A" w:rsidRPr="005734B8" w:rsidRDefault="00F1540A" w:rsidP="00F1540A">
            <w:pPr>
              <w:spacing w:after="90"/>
              <w:rPr>
                <w:rFonts w:ascii="Calibri" w:hAnsi="Calibri" w:cs="Calibri"/>
                <w:sz w:val="18"/>
                <w:szCs w:val="18"/>
              </w:rPr>
            </w:pPr>
            <w:r w:rsidRPr="005734B8">
              <w:rPr>
                <w:rFonts w:ascii="Calibri" w:hAnsi="Calibri" w:cs="Calibri"/>
                <w:sz w:val="18"/>
                <w:szCs w:val="18"/>
              </w:rPr>
              <w:t>6.1 Receivables</w:t>
            </w:r>
          </w:p>
          <w:p w14:paraId="2EDA418C" w14:textId="77777777" w:rsidR="00F1540A" w:rsidRPr="005734B8" w:rsidRDefault="00F1540A" w:rsidP="00F1540A">
            <w:pPr>
              <w:spacing w:after="90"/>
              <w:ind w:left="417"/>
              <w:rPr>
                <w:rFonts w:ascii="Calibri" w:hAnsi="Calibri" w:cs="Calibri"/>
                <w:sz w:val="18"/>
                <w:szCs w:val="18"/>
              </w:rPr>
            </w:pPr>
            <w:r w:rsidRPr="005734B8">
              <w:rPr>
                <w:rFonts w:ascii="Calibri" w:hAnsi="Calibri" w:cs="Calibri"/>
                <w:sz w:val="18"/>
                <w:szCs w:val="18"/>
              </w:rPr>
              <w:t>6.1.1 Movement in the allowance for impairment losses of contractual receivables</w:t>
            </w:r>
          </w:p>
          <w:p w14:paraId="0611772C" w14:textId="77777777" w:rsidR="00F1540A" w:rsidRPr="005734B8" w:rsidRDefault="00F1540A" w:rsidP="00F1540A">
            <w:pPr>
              <w:spacing w:after="90"/>
              <w:rPr>
                <w:rFonts w:ascii="Calibri" w:hAnsi="Calibri" w:cs="Calibri"/>
                <w:sz w:val="18"/>
                <w:szCs w:val="18"/>
              </w:rPr>
            </w:pPr>
            <w:r w:rsidRPr="005734B8">
              <w:rPr>
                <w:rFonts w:ascii="Calibri" w:hAnsi="Calibri" w:cs="Calibri"/>
                <w:sz w:val="18"/>
                <w:szCs w:val="18"/>
              </w:rPr>
              <w:t>6.2 Other non-financial assets</w:t>
            </w:r>
          </w:p>
          <w:p w14:paraId="67158842" w14:textId="77777777" w:rsidR="00F1540A" w:rsidRPr="005734B8" w:rsidRDefault="00F1540A" w:rsidP="00F1540A">
            <w:pPr>
              <w:spacing w:after="90"/>
              <w:rPr>
                <w:rFonts w:ascii="Calibri" w:hAnsi="Calibri" w:cs="Calibri"/>
                <w:sz w:val="18"/>
                <w:szCs w:val="18"/>
              </w:rPr>
            </w:pPr>
            <w:r w:rsidRPr="005734B8">
              <w:rPr>
                <w:rFonts w:ascii="Calibri" w:hAnsi="Calibri" w:cs="Calibri"/>
                <w:sz w:val="18"/>
                <w:szCs w:val="18"/>
              </w:rPr>
              <w:t>6.3 Payables and other liabilities</w:t>
            </w:r>
          </w:p>
          <w:p w14:paraId="40192B6F" w14:textId="77777777" w:rsidR="00F1540A" w:rsidRPr="005734B8" w:rsidRDefault="00F1540A" w:rsidP="00F1540A">
            <w:pPr>
              <w:spacing w:after="90"/>
              <w:ind w:left="417"/>
              <w:rPr>
                <w:rFonts w:ascii="Calibri" w:hAnsi="Calibri" w:cs="Calibri"/>
                <w:sz w:val="18"/>
                <w:szCs w:val="18"/>
              </w:rPr>
            </w:pPr>
            <w:r w:rsidRPr="005734B8">
              <w:rPr>
                <w:rFonts w:ascii="Calibri" w:hAnsi="Calibri" w:cs="Calibri"/>
                <w:sz w:val="18"/>
                <w:szCs w:val="18"/>
              </w:rPr>
              <w:t>6.3.1 Ageing analysis of contractual payables</w:t>
            </w:r>
          </w:p>
          <w:p w14:paraId="20A42AE7" w14:textId="77777777" w:rsidR="00F1540A" w:rsidRPr="005734B8" w:rsidRDefault="00F1540A" w:rsidP="00F1540A">
            <w:pPr>
              <w:spacing w:after="90"/>
              <w:ind w:left="417"/>
              <w:rPr>
                <w:rFonts w:ascii="Calibri" w:hAnsi="Calibri" w:cs="Calibri"/>
                <w:sz w:val="18"/>
                <w:szCs w:val="18"/>
              </w:rPr>
            </w:pPr>
            <w:r w:rsidRPr="005734B8">
              <w:rPr>
                <w:rFonts w:ascii="Calibri" w:hAnsi="Calibri" w:cs="Calibri"/>
                <w:sz w:val="18"/>
                <w:szCs w:val="18"/>
              </w:rPr>
              <w:t>6.3.2 Deferred capital grant revenue</w:t>
            </w:r>
          </w:p>
          <w:p w14:paraId="550E90C5" w14:textId="77777777" w:rsidR="00F1540A" w:rsidRPr="005734B8" w:rsidRDefault="00F1540A" w:rsidP="00F1540A">
            <w:pPr>
              <w:spacing w:after="90"/>
              <w:ind w:left="417"/>
              <w:rPr>
                <w:rFonts w:ascii="Calibri" w:hAnsi="Calibri" w:cs="Calibri"/>
                <w:sz w:val="18"/>
                <w:szCs w:val="18"/>
              </w:rPr>
            </w:pPr>
            <w:r w:rsidRPr="005734B8">
              <w:rPr>
                <w:rFonts w:ascii="Calibri" w:hAnsi="Calibri" w:cs="Calibri"/>
                <w:sz w:val="18"/>
                <w:szCs w:val="18"/>
              </w:rPr>
              <w:t>6.3.3 Other liabilities</w:t>
            </w:r>
          </w:p>
        </w:tc>
      </w:tr>
    </w:tbl>
    <w:p w14:paraId="310DC3B0" w14:textId="0040A486" w:rsidR="00F1540A" w:rsidRPr="005734B8" w:rsidRDefault="00F1540A" w:rsidP="00F1540A">
      <w:pPr>
        <w:pStyle w:val="ESHeading2"/>
        <w:rPr>
          <w:rFonts w:ascii="Calibri" w:hAnsi="Calibri" w:cs="Calibri"/>
        </w:rPr>
      </w:pPr>
      <w:bookmarkStart w:id="1518" w:name="_Toc80272083"/>
      <w:bookmarkStart w:id="1519" w:name="_Toc81315383"/>
      <w:r w:rsidRPr="005734B8">
        <w:rPr>
          <w:rFonts w:ascii="Calibri" w:hAnsi="Calibri" w:cs="Calibri"/>
        </w:rPr>
        <w:t>6.1 Receivables</w:t>
      </w:r>
      <w:bookmarkEnd w:id="1501"/>
      <w:bookmarkEnd w:id="1502"/>
      <w:bookmarkEnd w:id="1503"/>
      <w:bookmarkEnd w:id="1504"/>
      <w:bookmarkEnd w:id="1505"/>
      <w:bookmarkEnd w:id="1506"/>
      <w:bookmarkEnd w:id="1507"/>
      <w:bookmarkEnd w:id="1508"/>
      <w:bookmarkEnd w:id="1509"/>
      <w:bookmarkEnd w:id="1510"/>
      <w:bookmarkEnd w:id="1511"/>
      <w:bookmarkEnd w:id="1518"/>
      <w:bookmarkEnd w:id="1519"/>
    </w:p>
    <w:tbl>
      <w:tblPr>
        <w:tblW w:w="7625" w:type="dxa"/>
        <w:tblInd w:w="75" w:type="dxa"/>
        <w:tblLayout w:type="fixed"/>
        <w:tblLook w:val="04A0" w:firstRow="1" w:lastRow="0" w:firstColumn="1" w:lastColumn="0" w:noHBand="0" w:noVBand="1"/>
      </w:tblPr>
      <w:tblGrid>
        <w:gridCol w:w="5165"/>
        <w:gridCol w:w="1230"/>
        <w:gridCol w:w="1230"/>
      </w:tblGrid>
      <w:tr w:rsidR="00BD002D" w:rsidRPr="005734B8" w14:paraId="5D3468D6" w14:textId="77777777" w:rsidTr="002B70AB">
        <w:trPr>
          <w:trHeight w:val="480"/>
        </w:trPr>
        <w:tc>
          <w:tcPr>
            <w:tcW w:w="5165" w:type="dxa"/>
            <w:tcBorders>
              <w:top w:val="nil"/>
              <w:left w:val="single" w:sz="4" w:space="0" w:color="FFFFFF"/>
              <w:bottom w:val="nil"/>
              <w:right w:val="single" w:sz="4" w:space="0" w:color="FFFFFF"/>
            </w:tcBorders>
            <w:shd w:val="clear" w:color="000000" w:fill="AF272F"/>
            <w:vAlign w:val="bottom"/>
            <w:hideMark/>
          </w:tcPr>
          <w:p w14:paraId="4DEA869C" w14:textId="77777777" w:rsidR="00BD002D" w:rsidRPr="005734B8" w:rsidRDefault="00BD002D" w:rsidP="002B70AB">
            <w:pPr>
              <w:jc w:val="center"/>
              <w:rPr>
                <w:rFonts w:ascii="Calibri" w:hAnsi="Calibri" w:cs="Calibri"/>
                <w:b/>
                <w:color w:val="FFFFFF"/>
                <w:sz w:val="18"/>
                <w:szCs w:val="18"/>
              </w:rPr>
            </w:pPr>
            <w:r w:rsidRPr="005734B8">
              <w:rPr>
                <w:rFonts w:ascii="Calibri" w:hAnsi="Calibri" w:cs="Calibri"/>
                <w:b/>
                <w:color w:val="FFFFFF"/>
                <w:sz w:val="18"/>
                <w:szCs w:val="18"/>
              </w:rPr>
              <w:t> </w:t>
            </w:r>
          </w:p>
        </w:tc>
        <w:tc>
          <w:tcPr>
            <w:tcW w:w="1230" w:type="dxa"/>
            <w:tcBorders>
              <w:top w:val="nil"/>
              <w:left w:val="nil"/>
              <w:bottom w:val="nil"/>
              <w:right w:val="single" w:sz="4" w:space="0" w:color="FFFFFF"/>
            </w:tcBorders>
            <w:shd w:val="clear" w:color="000000" w:fill="AF272F"/>
            <w:vAlign w:val="bottom"/>
            <w:hideMark/>
          </w:tcPr>
          <w:p w14:paraId="393AE870" w14:textId="77777777" w:rsidR="00BD002D" w:rsidRPr="005734B8" w:rsidRDefault="00BD002D" w:rsidP="002B70AB">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230" w:type="dxa"/>
            <w:tcBorders>
              <w:top w:val="nil"/>
              <w:left w:val="nil"/>
              <w:bottom w:val="nil"/>
              <w:right w:val="single" w:sz="4" w:space="0" w:color="FFFFFF"/>
            </w:tcBorders>
            <w:shd w:val="clear" w:color="000000" w:fill="AF272F"/>
            <w:vAlign w:val="bottom"/>
            <w:hideMark/>
          </w:tcPr>
          <w:p w14:paraId="23F3DB65" w14:textId="77777777" w:rsidR="00BD002D" w:rsidRPr="005734B8" w:rsidRDefault="00BD002D" w:rsidP="002B70AB">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tr w:rsidR="00BD002D" w:rsidRPr="005734B8" w14:paraId="54786CE2" w14:textId="77777777" w:rsidTr="002B70AB">
        <w:trPr>
          <w:trHeight w:val="255"/>
        </w:trPr>
        <w:tc>
          <w:tcPr>
            <w:tcW w:w="5165" w:type="dxa"/>
            <w:tcBorders>
              <w:top w:val="nil"/>
              <w:left w:val="single" w:sz="4" w:space="0" w:color="FFFFFF"/>
              <w:bottom w:val="single" w:sz="4" w:space="0" w:color="auto"/>
              <w:right w:val="single" w:sz="4" w:space="0" w:color="FFFFFF"/>
            </w:tcBorders>
            <w:shd w:val="clear" w:color="000000" w:fill="53565A"/>
            <w:vAlign w:val="center"/>
            <w:hideMark/>
          </w:tcPr>
          <w:p w14:paraId="3EA6CDF5" w14:textId="77777777" w:rsidR="00BD002D" w:rsidRPr="005734B8" w:rsidRDefault="00BD002D" w:rsidP="002B70AB">
            <w:pPr>
              <w:rPr>
                <w:rFonts w:ascii="Calibri" w:hAnsi="Calibri" w:cs="Calibri"/>
                <w:b/>
                <w:color w:val="FFFFFF"/>
                <w:sz w:val="18"/>
                <w:szCs w:val="18"/>
              </w:rPr>
            </w:pPr>
            <w:r w:rsidRPr="005734B8">
              <w:rPr>
                <w:rFonts w:ascii="Calibri" w:hAnsi="Calibri" w:cs="Calibri"/>
                <w:b/>
                <w:color w:val="FFFFFF"/>
                <w:sz w:val="18"/>
                <w:szCs w:val="18"/>
              </w:rPr>
              <w:t>Statutory</w:t>
            </w:r>
          </w:p>
        </w:tc>
        <w:tc>
          <w:tcPr>
            <w:tcW w:w="1230" w:type="dxa"/>
            <w:tcBorders>
              <w:top w:val="nil"/>
              <w:left w:val="nil"/>
              <w:bottom w:val="single" w:sz="4" w:space="0" w:color="auto"/>
              <w:right w:val="single" w:sz="4" w:space="0" w:color="FFFFFF"/>
            </w:tcBorders>
            <w:shd w:val="clear" w:color="000000" w:fill="53565A"/>
            <w:vAlign w:val="center"/>
            <w:hideMark/>
          </w:tcPr>
          <w:p w14:paraId="2037FF48" w14:textId="77777777" w:rsidR="00BD002D" w:rsidRPr="005734B8" w:rsidRDefault="00BD002D" w:rsidP="002B70AB">
            <w:pPr>
              <w:rPr>
                <w:rFonts w:ascii="Calibri" w:hAnsi="Calibri" w:cs="Calibri"/>
                <w:b/>
                <w:color w:val="FFFFFF"/>
                <w:sz w:val="18"/>
                <w:szCs w:val="18"/>
              </w:rPr>
            </w:pPr>
            <w:r w:rsidRPr="005734B8">
              <w:rPr>
                <w:rFonts w:ascii="Calibri" w:hAnsi="Calibri" w:cs="Calibri"/>
                <w:b/>
                <w:color w:val="FFFFFF"/>
                <w:sz w:val="18"/>
                <w:szCs w:val="18"/>
              </w:rPr>
              <w:t> </w:t>
            </w:r>
          </w:p>
        </w:tc>
        <w:tc>
          <w:tcPr>
            <w:tcW w:w="1230" w:type="dxa"/>
            <w:tcBorders>
              <w:top w:val="nil"/>
              <w:left w:val="nil"/>
              <w:bottom w:val="single" w:sz="4" w:space="0" w:color="auto"/>
              <w:right w:val="single" w:sz="4" w:space="0" w:color="FFFFFF"/>
            </w:tcBorders>
            <w:shd w:val="clear" w:color="000000" w:fill="53565A"/>
            <w:vAlign w:val="center"/>
            <w:hideMark/>
          </w:tcPr>
          <w:p w14:paraId="1F492761" w14:textId="77777777" w:rsidR="00BD002D" w:rsidRPr="005734B8" w:rsidRDefault="00BD002D" w:rsidP="002B70AB">
            <w:pPr>
              <w:rPr>
                <w:rFonts w:ascii="Calibri" w:hAnsi="Calibri" w:cs="Calibri"/>
                <w:b/>
                <w:color w:val="FFFFFF"/>
                <w:sz w:val="18"/>
                <w:szCs w:val="18"/>
              </w:rPr>
            </w:pPr>
            <w:r w:rsidRPr="005734B8">
              <w:rPr>
                <w:rFonts w:ascii="Calibri" w:hAnsi="Calibri" w:cs="Calibri"/>
                <w:b/>
                <w:color w:val="FFFFFF"/>
                <w:sz w:val="18"/>
                <w:szCs w:val="18"/>
              </w:rPr>
              <w:t> </w:t>
            </w:r>
          </w:p>
        </w:tc>
      </w:tr>
      <w:tr w:rsidR="00BD002D" w:rsidRPr="005734B8" w14:paraId="4C15A88F" w14:textId="77777777" w:rsidTr="002B70AB">
        <w:trPr>
          <w:trHeight w:val="255"/>
        </w:trPr>
        <w:tc>
          <w:tcPr>
            <w:tcW w:w="5165" w:type="dxa"/>
            <w:tcBorders>
              <w:top w:val="nil"/>
              <w:left w:val="single" w:sz="4" w:space="0" w:color="FFFFFF"/>
              <w:bottom w:val="single" w:sz="4" w:space="0" w:color="auto"/>
              <w:right w:val="single" w:sz="4" w:space="0" w:color="FFFFFF"/>
            </w:tcBorders>
            <w:shd w:val="clear" w:color="FFFFFF" w:fill="FFFFFF"/>
            <w:vAlign w:val="center"/>
            <w:hideMark/>
          </w:tcPr>
          <w:p w14:paraId="2AF6003B" w14:textId="77777777" w:rsidR="00BD002D" w:rsidRPr="005734B8" w:rsidRDefault="00BD002D" w:rsidP="002B70AB">
            <w:pPr>
              <w:rPr>
                <w:rFonts w:ascii="Calibri" w:hAnsi="Calibri" w:cs="Calibri"/>
                <w:sz w:val="18"/>
                <w:szCs w:val="18"/>
              </w:rPr>
            </w:pPr>
            <w:r w:rsidRPr="005734B8">
              <w:rPr>
                <w:rFonts w:ascii="Calibri" w:hAnsi="Calibri" w:cs="Calibri"/>
                <w:sz w:val="18"/>
                <w:szCs w:val="18"/>
              </w:rPr>
              <w:t>Amounts owing from Victorian Government</w:t>
            </w:r>
          </w:p>
        </w:tc>
        <w:tc>
          <w:tcPr>
            <w:tcW w:w="1230" w:type="dxa"/>
            <w:tcBorders>
              <w:top w:val="nil"/>
              <w:left w:val="nil"/>
              <w:bottom w:val="single" w:sz="4" w:space="0" w:color="auto"/>
              <w:right w:val="single" w:sz="4" w:space="0" w:color="FFFFFF"/>
            </w:tcBorders>
            <w:shd w:val="clear" w:color="000000" w:fill="D9D9D9"/>
            <w:noWrap/>
            <w:vAlign w:val="center"/>
            <w:hideMark/>
          </w:tcPr>
          <w:p w14:paraId="3A73A104" w14:textId="77777777" w:rsidR="00BD002D" w:rsidRPr="005734B8" w:rsidRDefault="00BD002D" w:rsidP="002B70AB">
            <w:pPr>
              <w:jc w:val="right"/>
              <w:rPr>
                <w:rFonts w:ascii="Calibri" w:hAnsi="Calibri" w:cs="Calibri"/>
                <w:sz w:val="18"/>
                <w:szCs w:val="18"/>
              </w:rPr>
            </w:pPr>
            <w:r w:rsidRPr="005734B8">
              <w:rPr>
                <w:rFonts w:ascii="Calibri" w:hAnsi="Calibri" w:cs="Calibri"/>
                <w:sz w:val="18"/>
                <w:szCs w:val="18"/>
              </w:rPr>
              <w:t xml:space="preserve">2,582.7 </w:t>
            </w:r>
          </w:p>
        </w:tc>
        <w:tc>
          <w:tcPr>
            <w:tcW w:w="1230" w:type="dxa"/>
            <w:tcBorders>
              <w:top w:val="nil"/>
              <w:left w:val="nil"/>
              <w:bottom w:val="single" w:sz="4" w:space="0" w:color="auto"/>
              <w:right w:val="single" w:sz="4" w:space="0" w:color="FFFFFF"/>
            </w:tcBorders>
            <w:shd w:val="clear" w:color="FFFFFF" w:fill="FFFFFF"/>
            <w:noWrap/>
            <w:vAlign w:val="center"/>
            <w:hideMark/>
          </w:tcPr>
          <w:p w14:paraId="00F4D82B" w14:textId="77777777" w:rsidR="00BD002D" w:rsidRPr="005734B8" w:rsidRDefault="00BD002D" w:rsidP="002B70AB">
            <w:pPr>
              <w:jc w:val="right"/>
              <w:rPr>
                <w:rFonts w:ascii="Calibri" w:hAnsi="Calibri" w:cs="Calibri"/>
                <w:sz w:val="18"/>
                <w:szCs w:val="18"/>
              </w:rPr>
            </w:pPr>
            <w:r w:rsidRPr="005734B8">
              <w:rPr>
                <w:rFonts w:ascii="Calibri" w:hAnsi="Calibri" w:cs="Calibri"/>
                <w:sz w:val="18"/>
                <w:szCs w:val="18"/>
              </w:rPr>
              <w:t xml:space="preserve">2,168.3 </w:t>
            </w:r>
          </w:p>
        </w:tc>
      </w:tr>
      <w:tr w:rsidR="00BD002D" w:rsidRPr="005734B8" w14:paraId="56077FB5" w14:textId="77777777" w:rsidTr="002B70AB">
        <w:trPr>
          <w:trHeight w:val="270"/>
        </w:trPr>
        <w:tc>
          <w:tcPr>
            <w:tcW w:w="5165" w:type="dxa"/>
            <w:tcBorders>
              <w:top w:val="nil"/>
              <w:left w:val="single" w:sz="4" w:space="0" w:color="FFFFFF"/>
              <w:bottom w:val="single" w:sz="4" w:space="0" w:color="auto"/>
              <w:right w:val="single" w:sz="4" w:space="0" w:color="FFFFFF"/>
            </w:tcBorders>
            <w:shd w:val="clear" w:color="FFFFFF" w:fill="FFFFFF"/>
            <w:vAlign w:val="center"/>
            <w:hideMark/>
          </w:tcPr>
          <w:p w14:paraId="75F065F7" w14:textId="77777777" w:rsidR="00BD002D" w:rsidRPr="005734B8" w:rsidRDefault="00BD002D" w:rsidP="002B70AB">
            <w:pPr>
              <w:rPr>
                <w:rFonts w:ascii="Calibri" w:hAnsi="Calibri" w:cs="Calibri"/>
                <w:sz w:val="18"/>
                <w:szCs w:val="18"/>
              </w:rPr>
            </w:pPr>
            <w:r w:rsidRPr="005734B8">
              <w:rPr>
                <w:rFonts w:ascii="Calibri" w:hAnsi="Calibri" w:cs="Calibri"/>
                <w:sz w:val="18"/>
                <w:szCs w:val="18"/>
              </w:rPr>
              <w:t>GST receivables</w:t>
            </w:r>
          </w:p>
        </w:tc>
        <w:tc>
          <w:tcPr>
            <w:tcW w:w="1230" w:type="dxa"/>
            <w:tcBorders>
              <w:top w:val="nil"/>
              <w:left w:val="nil"/>
              <w:bottom w:val="single" w:sz="4" w:space="0" w:color="auto"/>
              <w:right w:val="single" w:sz="4" w:space="0" w:color="FFFFFF"/>
            </w:tcBorders>
            <w:shd w:val="clear" w:color="000000" w:fill="D9D9D9"/>
            <w:noWrap/>
            <w:vAlign w:val="center"/>
            <w:hideMark/>
          </w:tcPr>
          <w:p w14:paraId="2284AF3E" w14:textId="77777777" w:rsidR="00BD002D" w:rsidRPr="005734B8" w:rsidRDefault="00BD002D" w:rsidP="002B70AB">
            <w:pPr>
              <w:jc w:val="right"/>
              <w:rPr>
                <w:rFonts w:ascii="Calibri" w:hAnsi="Calibri" w:cs="Calibri"/>
                <w:sz w:val="18"/>
                <w:szCs w:val="18"/>
              </w:rPr>
            </w:pPr>
            <w:r w:rsidRPr="005734B8">
              <w:rPr>
                <w:rFonts w:ascii="Calibri" w:hAnsi="Calibri" w:cs="Calibri"/>
                <w:sz w:val="18"/>
                <w:szCs w:val="18"/>
              </w:rPr>
              <w:t xml:space="preserve">88.4 </w:t>
            </w:r>
          </w:p>
        </w:tc>
        <w:tc>
          <w:tcPr>
            <w:tcW w:w="1230" w:type="dxa"/>
            <w:tcBorders>
              <w:top w:val="nil"/>
              <w:left w:val="nil"/>
              <w:bottom w:val="single" w:sz="4" w:space="0" w:color="auto"/>
              <w:right w:val="single" w:sz="4" w:space="0" w:color="FFFFFF"/>
            </w:tcBorders>
            <w:shd w:val="clear" w:color="FFFFFF" w:fill="FFFFFF"/>
            <w:noWrap/>
            <w:vAlign w:val="center"/>
            <w:hideMark/>
          </w:tcPr>
          <w:p w14:paraId="57439066" w14:textId="77777777" w:rsidR="00BD002D" w:rsidRPr="005734B8" w:rsidRDefault="00BD002D" w:rsidP="002B70AB">
            <w:pPr>
              <w:jc w:val="right"/>
              <w:rPr>
                <w:rFonts w:ascii="Calibri" w:hAnsi="Calibri" w:cs="Calibri"/>
                <w:sz w:val="18"/>
                <w:szCs w:val="18"/>
              </w:rPr>
            </w:pPr>
            <w:r w:rsidRPr="005734B8">
              <w:rPr>
                <w:rFonts w:ascii="Calibri" w:hAnsi="Calibri" w:cs="Calibri"/>
                <w:sz w:val="18"/>
                <w:szCs w:val="18"/>
              </w:rPr>
              <w:t xml:space="preserve">89.5 </w:t>
            </w:r>
          </w:p>
        </w:tc>
      </w:tr>
      <w:tr w:rsidR="00BD002D" w:rsidRPr="005734B8" w14:paraId="10331AC2" w14:textId="77777777" w:rsidTr="002B70AB">
        <w:trPr>
          <w:trHeight w:val="285"/>
        </w:trPr>
        <w:tc>
          <w:tcPr>
            <w:tcW w:w="5165"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8BB16BF" w14:textId="77777777" w:rsidR="00BD002D" w:rsidRPr="005734B8" w:rsidRDefault="00BD002D" w:rsidP="002B70AB">
            <w:pPr>
              <w:rPr>
                <w:rFonts w:ascii="Calibri" w:hAnsi="Calibri" w:cs="Calibri"/>
                <w:b/>
                <w:sz w:val="18"/>
                <w:szCs w:val="18"/>
              </w:rPr>
            </w:pPr>
            <w:r w:rsidRPr="005734B8">
              <w:rPr>
                <w:rFonts w:ascii="Calibri" w:hAnsi="Calibri" w:cs="Calibri"/>
                <w:b/>
                <w:sz w:val="18"/>
                <w:szCs w:val="18"/>
              </w:rPr>
              <w:t>Total statutory receivables</w:t>
            </w:r>
          </w:p>
        </w:tc>
        <w:tc>
          <w:tcPr>
            <w:tcW w:w="1230"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3C648EFB" w14:textId="77777777" w:rsidR="00BD002D" w:rsidRPr="005734B8" w:rsidRDefault="00BD002D" w:rsidP="002B70AB">
            <w:pPr>
              <w:jc w:val="right"/>
              <w:rPr>
                <w:rFonts w:ascii="Calibri" w:hAnsi="Calibri" w:cs="Calibri"/>
                <w:b/>
                <w:sz w:val="18"/>
                <w:szCs w:val="18"/>
              </w:rPr>
            </w:pPr>
            <w:r w:rsidRPr="005734B8">
              <w:rPr>
                <w:rFonts w:ascii="Calibri" w:hAnsi="Calibri" w:cs="Calibri"/>
                <w:b/>
                <w:sz w:val="18"/>
                <w:szCs w:val="18"/>
              </w:rPr>
              <w:t xml:space="preserve">2,671.1 </w:t>
            </w:r>
          </w:p>
        </w:tc>
        <w:tc>
          <w:tcPr>
            <w:tcW w:w="1230" w:type="dxa"/>
            <w:tcBorders>
              <w:top w:val="single" w:sz="12" w:space="0" w:color="auto"/>
              <w:left w:val="nil"/>
              <w:bottom w:val="single" w:sz="12" w:space="0" w:color="auto"/>
              <w:right w:val="nil"/>
            </w:tcBorders>
            <w:shd w:val="clear" w:color="FFFFFF" w:fill="FFFFFF"/>
            <w:noWrap/>
            <w:vAlign w:val="center"/>
            <w:hideMark/>
          </w:tcPr>
          <w:p w14:paraId="78CDF4BE" w14:textId="77777777" w:rsidR="00BD002D" w:rsidRPr="005734B8" w:rsidRDefault="00BD002D" w:rsidP="002B70AB">
            <w:pPr>
              <w:jc w:val="right"/>
              <w:rPr>
                <w:rFonts w:ascii="Calibri" w:hAnsi="Calibri" w:cs="Calibri"/>
                <w:b/>
                <w:sz w:val="18"/>
                <w:szCs w:val="18"/>
              </w:rPr>
            </w:pPr>
            <w:r w:rsidRPr="005734B8">
              <w:rPr>
                <w:rFonts w:ascii="Calibri" w:hAnsi="Calibri" w:cs="Calibri"/>
                <w:b/>
                <w:sz w:val="18"/>
                <w:szCs w:val="18"/>
              </w:rPr>
              <w:t xml:space="preserve">2,257.8 </w:t>
            </w:r>
          </w:p>
        </w:tc>
      </w:tr>
      <w:tr w:rsidR="00BD002D" w:rsidRPr="005734B8" w14:paraId="4AEE5E47" w14:textId="77777777" w:rsidTr="002B70AB">
        <w:trPr>
          <w:trHeight w:val="270"/>
        </w:trPr>
        <w:tc>
          <w:tcPr>
            <w:tcW w:w="5165" w:type="dxa"/>
            <w:tcBorders>
              <w:top w:val="nil"/>
              <w:left w:val="single" w:sz="4" w:space="0" w:color="FFFFFF"/>
              <w:bottom w:val="single" w:sz="4" w:space="0" w:color="auto"/>
              <w:right w:val="single" w:sz="4" w:space="0" w:color="FFFFFF"/>
            </w:tcBorders>
            <w:shd w:val="clear" w:color="000000" w:fill="53565A"/>
            <w:vAlign w:val="center"/>
            <w:hideMark/>
          </w:tcPr>
          <w:p w14:paraId="1396302A" w14:textId="77777777" w:rsidR="00BD002D" w:rsidRPr="005734B8" w:rsidRDefault="00BD002D" w:rsidP="002B70AB">
            <w:pPr>
              <w:rPr>
                <w:rFonts w:ascii="Calibri" w:hAnsi="Calibri" w:cs="Calibri"/>
                <w:b/>
                <w:color w:val="FFFFFF"/>
                <w:sz w:val="18"/>
                <w:szCs w:val="18"/>
              </w:rPr>
            </w:pPr>
            <w:r w:rsidRPr="005734B8">
              <w:rPr>
                <w:rFonts w:ascii="Calibri" w:hAnsi="Calibri" w:cs="Calibri"/>
                <w:b/>
                <w:color w:val="FFFFFF"/>
                <w:sz w:val="18"/>
                <w:szCs w:val="18"/>
              </w:rPr>
              <w:t>Contractual</w:t>
            </w:r>
          </w:p>
        </w:tc>
        <w:tc>
          <w:tcPr>
            <w:tcW w:w="1230" w:type="dxa"/>
            <w:tcBorders>
              <w:top w:val="nil"/>
              <w:left w:val="nil"/>
              <w:bottom w:val="single" w:sz="4" w:space="0" w:color="auto"/>
              <w:right w:val="single" w:sz="4" w:space="0" w:color="FFFFFF"/>
            </w:tcBorders>
            <w:shd w:val="clear" w:color="000000" w:fill="53565A"/>
            <w:vAlign w:val="center"/>
            <w:hideMark/>
          </w:tcPr>
          <w:p w14:paraId="03C26AC4" w14:textId="77777777" w:rsidR="00BD002D" w:rsidRPr="005734B8" w:rsidRDefault="00BD002D" w:rsidP="002B70AB">
            <w:pPr>
              <w:rPr>
                <w:rFonts w:ascii="Calibri" w:hAnsi="Calibri" w:cs="Calibri"/>
                <w:b/>
                <w:color w:val="FFFFFF"/>
                <w:sz w:val="18"/>
                <w:szCs w:val="18"/>
              </w:rPr>
            </w:pPr>
            <w:r w:rsidRPr="005734B8">
              <w:rPr>
                <w:rFonts w:ascii="Calibri" w:hAnsi="Calibri" w:cs="Calibri"/>
                <w:b/>
                <w:color w:val="FFFFFF"/>
                <w:sz w:val="18"/>
                <w:szCs w:val="18"/>
              </w:rPr>
              <w:t> </w:t>
            </w:r>
          </w:p>
        </w:tc>
        <w:tc>
          <w:tcPr>
            <w:tcW w:w="1230" w:type="dxa"/>
            <w:tcBorders>
              <w:top w:val="nil"/>
              <w:left w:val="nil"/>
              <w:bottom w:val="single" w:sz="4" w:space="0" w:color="auto"/>
              <w:right w:val="single" w:sz="4" w:space="0" w:color="FFFFFF"/>
            </w:tcBorders>
            <w:shd w:val="clear" w:color="000000" w:fill="53565A"/>
            <w:vAlign w:val="center"/>
            <w:hideMark/>
          </w:tcPr>
          <w:p w14:paraId="54869AD2" w14:textId="77777777" w:rsidR="00BD002D" w:rsidRPr="005734B8" w:rsidRDefault="00BD002D" w:rsidP="002B70AB">
            <w:pPr>
              <w:rPr>
                <w:rFonts w:ascii="Calibri" w:hAnsi="Calibri" w:cs="Calibri"/>
                <w:b/>
                <w:color w:val="FFFFFF"/>
                <w:sz w:val="18"/>
                <w:szCs w:val="18"/>
              </w:rPr>
            </w:pPr>
            <w:r w:rsidRPr="005734B8">
              <w:rPr>
                <w:rFonts w:ascii="Calibri" w:hAnsi="Calibri" w:cs="Calibri"/>
                <w:b/>
                <w:color w:val="FFFFFF"/>
                <w:sz w:val="18"/>
                <w:szCs w:val="18"/>
              </w:rPr>
              <w:t> </w:t>
            </w:r>
          </w:p>
        </w:tc>
      </w:tr>
      <w:tr w:rsidR="00BD002D" w:rsidRPr="005734B8" w14:paraId="6028D06B" w14:textId="77777777" w:rsidTr="002B70AB">
        <w:trPr>
          <w:trHeight w:val="270"/>
        </w:trPr>
        <w:tc>
          <w:tcPr>
            <w:tcW w:w="5165" w:type="dxa"/>
            <w:tcBorders>
              <w:top w:val="nil"/>
              <w:left w:val="single" w:sz="4" w:space="0" w:color="FFFFFF"/>
              <w:bottom w:val="single" w:sz="4" w:space="0" w:color="auto"/>
              <w:right w:val="nil"/>
            </w:tcBorders>
            <w:shd w:val="clear" w:color="000000" w:fill="D9D9D9"/>
            <w:noWrap/>
            <w:vAlign w:val="bottom"/>
            <w:hideMark/>
          </w:tcPr>
          <w:p w14:paraId="35A3AA87" w14:textId="77777777" w:rsidR="00BD002D" w:rsidRPr="005734B8" w:rsidRDefault="00BD002D" w:rsidP="002B70AB">
            <w:pPr>
              <w:rPr>
                <w:rFonts w:ascii="Calibri" w:hAnsi="Calibri" w:cs="Calibri"/>
                <w:b/>
                <w:sz w:val="18"/>
                <w:szCs w:val="18"/>
              </w:rPr>
            </w:pPr>
            <w:r w:rsidRPr="005734B8">
              <w:rPr>
                <w:rFonts w:ascii="Calibri" w:hAnsi="Calibri" w:cs="Calibri"/>
                <w:b/>
                <w:sz w:val="18"/>
                <w:szCs w:val="18"/>
              </w:rPr>
              <w:t>Contractual receivables before impairment</w:t>
            </w:r>
          </w:p>
        </w:tc>
        <w:tc>
          <w:tcPr>
            <w:tcW w:w="1230" w:type="dxa"/>
            <w:tcBorders>
              <w:top w:val="nil"/>
              <w:left w:val="single" w:sz="4" w:space="0" w:color="FFFFFF"/>
              <w:bottom w:val="single" w:sz="4" w:space="0" w:color="auto"/>
              <w:right w:val="nil"/>
            </w:tcBorders>
            <w:shd w:val="clear" w:color="000000" w:fill="D9D9D9"/>
            <w:noWrap/>
            <w:vAlign w:val="bottom"/>
            <w:hideMark/>
          </w:tcPr>
          <w:p w14:paraId="62D1C3A0" w14:textId="77777777" w:rsidR="00BD002D" w:rsidRPr="005734B8" w:rsidRDefault="00BD002D" w:rsidP="002B70AB">
            <w:pPr>
              <w:rPr>
                <w:rFonts w:ascii="Calibri" w:hAnsi="Calibri" w:cs="Calibri"/>
                <w:b/>
                <w:sz w:val="18"/>
                <w:szCs w:val="18"/>
              </w:rPr>
            </w:pPr>
            <w:r w:rsidRPr="005734B8">
              <w:rPr>
                <w:rFonts w:ascii="Calibri" w:hAnsi="Calibri" w:cs="Calibri"/>
                <w:b/>
                <w:sz w:val="18"/>
                <w:szCs w:val="18"/>
              </w:rPr>
              <w:t> </w:t>
            </w:r>
          </w:p>
        </w:tc>
        <w:tc>
          <w:tcPr>
            <w:tcW w:w="1230" w:type="dxa"/>
            <w:tcBorders>
              <w:top w:val="nil"/>
              <w:left w:val="single" w:sz="4" w:space="0" w:color="FFFFFF"/>
              <w:bottom w:val="single" w:sz="4" w:space="0" w:color="auto"/>
              <w:right w:val="nil"/>
            </w:tcBorders>
            <w:shd w:val="clear" w:color="000000" w:fill="D9D9D9"/>
            <w:noWrap/>
            <w:vAlign w:val="bottom"/>
            <w:hideMark/>
          </w:tcPr>
          <w:p w14:paraId="244AAF03" w14:textId="77777777" w:rsidR="00BD002D" w:rsidRPr="005734B8" w:rsidRDefault="00BD002D" w:rsidP="002B70AB">
            <w:pPr>
              <w:rPr>
                <w:rFonts w:ascii="Calibri" w:hAnsi="Calibri" w:cs="Calibri"/>
                <w:b/>
                <w:sz w:val="18"/>
                <w:szCs w:val="18"/>
              </w:rPr>
            </w:pPr>
            <w:r w:rsidRPr="005734B8">
              <w:rPr>
                <w:rFonts w:ascii="Calibri" w:hAnsi="Calibri" w:cs="Calibri"/>
                <w:b/>
                <w:sz w:val="18"/>
                <w:szCs w:val="18"/>
              </w:rPr>
              <w:t> </w:t>
            </w:r>
          </w:p>
        </w:tc>
      </w:tr>
      <w:tr w:rsidR="00BD002D" w:rsidRPr="005734B8" w14:paraId="7C7DBC9E" w14:textId="77777777" w:rsidTr="002B70AB">
        <w:trPr>
          <w:trHeight w:val="270"/>
        </w:trPr>
        <w:tc>
          <w:tcPr>
            <w:tcW w:w="5165" w:type="dxa"/>
            <w:tcBorders>
              <w:top w:val="nil"/>
              <w:left w:val="single" w:sz="4" w:space="0" w:color="FFFFFF"/>
              <w:bottom w:val="single" w:sz="4" w:space="0" w:color="auto"/>
              <w:right w:val="single" w:sz="4" w:space="0" w:color="FFFFFF"/>
            </w:tcBorders>
            <w:shd w:val="clear" w:color="FFFFFF" w:fill="FFFFFF"/>
            <w:vAlign w:val="center"/>
            <w:hideMark/>
          </w:tcPr>
          <w:p w14:paraId="18D079E8" w14:textId="77777777" w:rsidR="00BD002D" w:rsidRPr="005734B8" w:rsidRDefault="00BD002D" w:rsidP="002B70AB">
            <w:pPr>
              <w:rPr>
                <w:rFonts w:ascii="Calibri" w:hAnsi="Calibri" w:cs="Calibri"/>
                <w:sz w:val="18"/>
                <w:szCs w:val="18"/>
              </w:rPr>
            </w:pPr>
            <w:r w:rsidRPr="005734B8">
              <w:rPr>
                <w:rFonts w:ascii="Calibri" w:hAnsi="Calibri" w:cs="Calibri"/>
                <w:sz w:val="18"/>
                <w:szCs w:val="18"/>
              </w:rPr>
              <w:t>Other debtors</w:t>
            </w:r>
            <w:r w:rsidRPr="005734B8">
              <w:rPr>
                <w:rStyle w:val="FootnoteReference"/>
                <w:rFonts w:ascii="Calibri" w:hAnsi="Calibri" w:cs="Calibri"/>
                <w:sz w:val="18"/>
                <w:szCs w:val="18"/>
              </w:rPr>
              <w:footnoteReference w:id="87"/>
            </w:r>
            <w:r w:rsidRPr="005734B8">
              <w:rPr>
                <w:rFonts w:ascii="Calibri" w:hAnsi="Calibri" w:cs="Calibri"/>
                <w:sz w:val="18"/>
                <w:szCs w:val="18"/>
                <w:vertAlign w:val="superscript"/>
              </w:rPr>
              <w:t>,</w:t>
            </w:r>
            <w:r w:rsidRPr="005734B8">
              <w:rPr>
                <w:rStyle w:val="FootnoteReference"/>
                <w:rFonts w:ascii="Calibri" w:hAnsi="Calibri" w:cs="Calibri"/>
                <w:sz w:val="18"/>
                <w:szCs w:val="18"/>
              </w:rPr>
              <w:footnoteReference w:id="88"/>
            </w:r>
          </w:p>
        </w:tc>
        <w:tc>
          <w:tcPr>
            <w:tcW w:w="1230" w:type="dxa"/>
            <w:tcBorders>
              <w:top w:val="nil"/>
              <w:left w:val="nil"/>
              <w:bottom w:val="single" w:sz="4" w:space="0" w:color="auto"/>
              <w:right w:val="single" w:sz="4" w:space="0" w:color="FFFFFF"/>
            </w:tcBorders>
            <w:shd w:val="clear" w:color="000000" w:fill="D9D9D9"/>
            <w:noWrap/>
            <w:vAlign w:val="center"/>
            <w:hideMark/>
          </w:tcPr>
          <w:p w14:paraId="10E17560" w14:textId="77777777" w:rsidR="00BD002D" w:rsidRPr="005734B8" w:rsidRDefault="00BD002D" w:rsidP="002B70AB">
            <w:pPr>
              <w:jc w:val="right"/>
              <w:rPr>
                <w:rFonts w:ascii="Calibri" w:hAnsi="Calibri" w:cs="Calibri"/>
                <w:sz w:val="18"/>
                <w:szCs w:val="18"/>
              </w:rPr>
            </w:pPr>
            <w:r w:rsidRPr="005734B8">
              <w:rPr>
                <w:rFonts w:ascii="Calibri" w:hAnsi="Calibri" w:cs="Calibri"/>
                <w:sz w:val="18"/>
                <w:szCs w:val="18"/>
              </w:rPr>
              <w:t xml:space="preserve">72.8 </w:t>
            </w:r>
          </w:p>
        </w:tc>
        <w:tc>
          <w:tcPr>
            <w:tcW w:w="1230" w:type="dxa"/>
            <w:tcBorders>
              <w:top w:val="nil"/>
              <w:left w:val="nil"/>
              <w:bottom w:val="single" w:sz="4" w:space="0" w:color="auto"/>
              <w:right w:val="single" w:sz="4" w:space="0" w:color="FFFFFF"/>
            </w:tcBorders>
            <w:shd w:val="clear" w:color="FFFFFF" w:fill="FFFFFF"/>
            <w:noWrap/>
            <w:vAlign w:val="center"/>
            <w:hideMark/>
          </w:tcPr>
          <w:p w14:paraId="3460B147" w14:textId="77777777" w:rsidR="00BD002D" w:rsidRPr="005734B8" w:rsidRDefault="00BD002D" w:rsidP="002B70AB">
            <w:pPr>
              <w:jc w:val="right"/>
              <w:rPr>
                <w:rFonts w:ascii="Calibri" w:hAnsi="Calibri" w:cs="Calibri"/>
                <w:sz w:val="18"/>
                <w:szCs w:val="18"/>
              </w:rPr>
            </w:pPr>
            <w:r w:rsidRPr="005734B8">
              <w:rPr>
                <w:rFonts w:ascii="Calibri" w:hAnsi="Calibri" w:cs="Calibri"/>
                <w:sz w:val="18"/>
                <w:szCs w:val="18"/>
              </w:rPr>
              <w:t xml:space="preserve">68.2 </w:t>
            </w:r>
          </w:p>
        </w:tc>
      </w:tr>
      <w:tr w:rsidR="00BD002D" w:rsidRPr="005734B8" w14:paraId="4B99E2B7" w14:textId="77777777" w:rsidTr="002B70AB">
        <w:trPr>
          <w:trHeight w:val="270"/>
        </w:trPr>
        <w:tc>
          <w:tcPr>
            <w:tcW w:w="5165" w:type="dxa"/>
            <w:tcBorders>
              <w:top w:val="nil"/>
              <w:left w:val="single" w:sz="4" w:space="0" w:color="FFFFFF"/>
              <w:bottom w:val="single" w:sz="4" w:space="0" w:color="auto"/>
              <w:right w:val="single" w:sz="4" w:space="0" w:color="FFFFFF"/>
            </w:tcBorders>
            <w:shd w:val="clear" w:color="FFFFFF" w:fill="FFFFFF"/>
            <w:vAlign w:val="center"/>
            <w:hideMark/>
          </w:tcPr>
          <w:p w14:paraId="7EB9F2B4" w14:textId="77777777" w:rsidR="00BD002D" w:rsidRPr="005734B8" w:rsidRDefault="00BD002D" w:rsidP="002B70AB">
            <w:pPr>
              <w:rPr>
                <w:rFonts w:ascii="Calibri" w:hAnsi="Calibri" w:cs="Calibri"/>
                <w:sz w:val="18"/>
                <w:szCs w:val="18"/>
              </w:rPr>
            </w:pPr>
            <w:r w:rsidRPr="005734B8">
              <w:rPr>
                <w:rFonts w:ascii="Calibri" w:hAnsi="Calibri" w:cs="Calibri"/>
                <w:sz w:val="18"/>
                <w:szCs w:val="18"/>
              </w:rPr>
              <w:t>Loan receivables</w:t>
            </w:r>
          </w:p>
        </w:tc>
        <w:tc>
          <w:tcPr>
            <w:tcW w:w="1230" w:type="dxa"/>
            <w:tcBorders>
              <w:top w:val="nil"/>
              <w:left w:val="nil"/>
              <w:bottom w:val="single" w:sz="4" w:space="0" w:color="auto"/>
              <w:right w:val="single" w:sz="4" w:space="0" w:color="FFFFFF"/>
            </w:tcBorders>
            <w:shd w:val="clear" w:color="000000" w:fill="D9D9D9"/>
            <w:noWrap/>
            <w:vAlign w:val="center"/>
            <w:hideMark/>
          </w:tcPr>
          <w:p w14:paraId="3EA0E697" w14:textId="77777777" w:rsidR="00BD002D" w:rsidRPr="005734B8" w:rsidRDefault="00BD002D" w:rsidP="002B70AB">
            <w:pPr>
              <w:jc w:val="right"/>
              <w:rPr>
                <w:rFonts w:ascii="Calibri" w:hAnsi="Calibri" w:cs="Calibri"/>
                <w:sz w:val="18"/>
                <w:szCs w:val="18"/>
              </w:rPr>
            </w:pPr>
            <w:r w:rsidRPr="005734B8">
              <w:rPr>
                <w:rFonts w:ascii="Calibri" w:hAnsi="Calibri" w:cs="Calibri"/>
                <w:sz w:val="18"/>
                <w:szCs w:val="18"/>
              </w:rPr>
              <w:t xml:space="preserve">57.7 </w:t>
            </w:r>
          </w:p>
        </w:tc>
        <w:tc>
          <w:tcPr>
            <w:tcW w:w="1230" w:type="dxa"/>
            <w:tcBorders>
              <w:top w:val="nil"/>
              <w:left w:val="nil"/>
              <w:bottom w:val="single" w:sz="4" w:space="0" w:color="auto"/>
              <w:right w:val="single" w:sz="4" w:space="0" w:color="FFFFFF"/>
            </w:tcBorders>
            <w:shd w:val="clear" w:color="FFFFFF" w:fill="FFFFFF"/>
            <w:noWrap/>
            <w:vAlign w:val="center"/>
            <w:hideMark/>
          </w:tcPr>
          <w:p w14:paraId="3DBB0ACB" w14:textId="77777777" w:rsidR="00BD002D" w:rsidRPr="005734B8" w:rsidRDefault="00BD002D" w:rsidP="002B70AB">
            <w:pPr>
              <w:jc w:val="right"/>
              <w:rPr>
                <w:rFonts w:ascii="Calibri" w:hAnsi="Calibri" w:cs="Calibri"/>
                <w:sz w:val="18"/>
                <w:szCs w:val="18"/>
              </w:rPr>
            </w:pPr>
            <w:r w:rsidRPr="005734B8">
              <w:rPr>
                <w:rFonts w:ascii="Calibri" w:hAnsi="Calibri" w:cs="Calibri"/>
                <w:sz w:val="18"/>
                <w:szCs w:val="18"/>
              </w:rPr>
              <w:t xml:space="preserve">56.4 </w:t>
            </w:r>
          </w:p>
        </w:tc>
      </w:tr>
      <w:tr w:rsidR="00BD002D" w:rsidRPr="005734B8" w14:paraId="64110B2C" w14:textId="77777777" w:rsidTr="002B70AB">
        <w:trPr>
          <w:trHeight w:val="285"/>
        </w:trPr>
        <w:tc>
          <w:tcPr>
            <w:tcW w:w="5165"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99B5F91" w14:textId="77777777" w:rsidR="00BD002D" w:rsidRPr="005734B8" w:rsidRDefault="00BD002D" w:rsidP="002B70AB">
            <w:pPr>
              <w:rPr>
                <w:rFonts w:ascii="Calibri" w:hAnsi="Calibri" w:cs="Calibri"/>
                <w:b/>
                <w:sz w:val="18"/>
                <w:szCs w:val="18"/>
              </w:rPr>
            </w:pPr>
            <w:r w:rsidRPr="005734B8">
              <w:rPr>
                <w:rFonts w:ascii="Calibri" w:hAnsi="Calibri" w:cs="Calibri"/>
                <w:b/>
                <w:sz w:val="18"/>
                <w:szCs w:val="18"/>
              </w:rPr>
              <w:t>Total</w:t>
            </w:r>
          </w:p>
        </w:tc>
        <w:tc>
          <w:tcPr>
            <w:tcW w:w="1230"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08AE3CC2" w14:textId="77777777" w:rsidR="00BD002D" w:rsidRPr="005734B8" w:rsidRDefault="00BD002D" w:rsidP="002B70AB">
            <w:pPr>
              <w:jc w:val="right"/>
              <w:rPr>
                <w:rFonts w:ascii="Calibri" w:hAnsi="Calibri" w:cs="Calibri"/>
                <w:b/>
                <w:sz w:val="18"/>
                <w:szCs w:val="18"/>
              </w:rPr>
            </w:pPr>
            <w:r w:rsidRPr="005734B8">
              <w:rPr>
                <w:rFonts w:ascii="Calibri" w:hAnsi="Calibri" w:cs="Calibri"/>
                <w:b/>
                <w:sz w:val="18"/>
                <w:szCs w:val="18"/>
              </w:rPr>
              <w:t xml:space="preserve">130.5 </w:t>
            </w:r>
          </w:p>
        </w:tc>
        <w:tc>
          <w:tcPr>
            <w:tcW w:w="1230" w:type="dxa"/>
            <w:tcBorders>
              <w:top w:val="single" w:sz="12" w:space="0" w:color="auto"/>
              <w:left w:val="nil"/>
              <w:bottom w:val="single" w:sz="12" w:space="0" w:color="auto"/>
              <w:right w:val="nil"/>
            </w:tcBorders>
            <w:shd w:val="clear" w:color="FFFFFF" w:fill="FFFFFF"/>
            <w:noWrap/>
            <w:vAlign w:val="center"/>
            <w:hideMark/>
          </w:tcPr>
          <w:p w14:paraId="1F5D945A" w14:textId="77777777" w:rsidR="00BD002D" w:rsidRPr="005734B8" w:rsidRDefault="00BD002D" w:rsidP="002B70AB">
            <w:pPr>
              <w:jc w:val="right"/>
              <w:rPr>
                <w:rFonts w:ascii="Calibri" w:hAnsi="Calibri" w:cs="Calibri"/>
                <w:b/>
                <w:sz w:val="18"/>
                <w:szCs w:val="18"/>
              </w:rPr>
            </w:pPr>
            <w:r w:rsidRPr="005734B8">
              <w:rPr>
                <w:rFonts w:ascii="Calibri" w:hAnsi="Calibri" w:cs="Calibri"/>
                <w:b/>
                <w:sz w:val="18"/>
                <w:szCs w:val="18"/>
              </w:rPr>
              <w:t xml:space="preserve">124.6 </w:t>
            </w:r>
          </w:p>
        </w:tc>
      </w:tr>
      <w:tr w:rsidR="00BD002D" w:rsidRPr="005734B8" w14:paraId="52CBA0E7" w14:textId="77777777" w:rsidTr="002B70AB">
        <w:trPr>
          <w:trHeight w:val="330"/>
        </w:trPr>
        <w:tc>
          <w:tcPr>
            <w:tcW w:w="5165" w:type="dxa"/>
            <w:tcBorders>
              <w:top w:val="nil"/>
              <w:left w:val="single" w:sz="4" w:space="0" w:color="FFFFFF"/>
              <w:bottom w:val="single" w:sz="4" w:space="0" w:color="auto"/>
              <w:right w:val="single" w:sz="4" w:space="0" w:color="FFFFFF"/>
            </w:tcBorders>
            <w:shd w:val="clear" w:color="FFFFFF" w:fill="FFFFFF"/>
            <w:vAlign w:val="center"/>
            <w:hideMark/>
          </w:tcPr>
          <w:p w14:paraId="7CE685F3" w14:textId="77777777" w:rsidR="00BD002D" w:rsidRPr="005734B8" w:rsidRDefault="00BD002D" w:rsidP="002B70AB">
            <w:pPr>
              <w:rPr>
                <w:rFonts w:ascii="Calibri" w:hAnsi="Calibri" w:cs="Calibri"/>
                <w:sz w:val="18"/>
                <w:szCs w:val="18"/>
              </w:rPr>
            </w:pPr>
            <w:r w:rsidRPr="005734B8">
              <w:rPr>
                <w:rFonts w:ascii="Calibri" w:hAnsi="Calibri" w:cs="Calibri"/>
                <w:sz w:val="18"/>
                <w:szCs w:val="18"/>
              </w:rPr>
              <w:t>Allowance for impairment of losses of contractual receivables</w:t>
            </w:r>
          </w:p>
        </w:tc>
        <w:tc>
          <w:tcPr>
            <w:tcW w:w="1230" w:type="dxa"/>
            <w:tcBorders>
              <w:top w:val="nil"/>
              <w:left w:val="nil"/>
              <w:bottom w:val="single" w:sz="4" w:space="0" w:color="auto"/>
              <w:right w:val="single" w:sz="4" w:space="0" w:color="FFFFFF"/>
            </w:tcBorders>
            <w:shd w:val="clear" w:color="000000" w:fill="D9D9D9"/>
            <w:noWrap/>
            <w:vAlign w:val="center"/>
            <w:hideMark/>
          </w:tcPr>
          <w:p w14:paraId="32ADBBDB" w14:textId="77777777" w:rsidR="00BD002D" w:rsidRPr="005734B8" w:rsidRDefault="00BD002D" w:rsidP="002B70AB">
            <w:pPr>
              <w:jc w:val="right"/>
              <w:rPr>
                <w:rFonts w:ascii="Calibri" w:hAnsi="Calibri" w:cs="Calibri"/>
                <w:sz w:val="18"/>
                <w:szCs w:val="18"/>
              </w:rPr>
            </w:pPr>
            <w:r w:rsidRPr="005734B8">
              <w:rPr>
                <w:rFonts w:ascii="Calibri" w:hAnsi="Calibri" w:cs="Calibri"/>
                <w:sz w:val="18"/>
                <w:szCs w:val="18"/>
              </w:rPr>
              <w:t xml:space="preserve">(43.2) </w:t>
            </w:r>
          </w:p>
        </w:tc>
        <w:tc>
          <w:tcPr>
            <w:tcW w:w="1230" w:type="dxa"/>
            <w:tcBorders>
              <w:top w:val="nil"/>
              <w:left w:val="nil"/>
              <w:bottom w:val="single" w:sz="4" w:space="0" w:color="auto"/>
              <w:right w:val="single" w:sz="4" w:space="0" w:color="FFFFFF"/>
            </w:tcBorders>
            <w:shd w:val="clear" w:color="FFFFFF" w:fill="FFFFFF"/>
            <w:noWrap/>
            <w:vAlign w:val="center"/>
            <w:hideMark/>
          </w:tcPr>
          <w:p w14:paraId="4E0C8EB5" w14:textId="77777777" w:rsidR="00BD002D" w:rsidRPr="005734B8" w:rsidRDefault="00BD002D" w:rsidP="002B70AB">
            <w:pPr>
              <w:jc w:val="right"/>
              <w:rPr>
                <w:rFonts w:ascii="Calibri" w:hAnsi="Calibri" w:cs="Calibri"/>
                <w:sz w:val="18"/>
                <w:szCs w:val="18"/>
              </w:rPr>
            </w:pPr>
            <w:r w:rsidRPr="005734B8">
              <w:rPr>
                <w:rFonts w:ascii="Calibri" w:hAnsi="Calibri" w:cs="Calibri"/>
                <w:sz w:val="18"/>
                <w:szCs w:val="18"/>
              </w:rPr>
              <w:t xml:space="preserve">(43.0) </w:t>
            </w:r>
          </w:p>
        </w:tc>
      </w:tr>
      <w:tr w:rsidR="00BD002D" w:rsidRPr="005734B8" w14:paraId="196D0808" w14:textId="77777777" w:rsidTr="002B70AB">
        <w:trPr>
          <w:trHeight w:val="285"/>
        </w:trPr>
        <w:tc>
          <w:tcPr>
            <w:tcW w:w="5165"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8E88E04" w14:textId="77777777" w:rsidR="00BD002D" w:rsidRPr="005734B8" w:rsidRDefault="00BD002D" w:rsidP="002B70AB">
            <w:pPr>
              <w:rPr>
                <w:rFonts w:ascii="Calibri" w:hAnsi="Calibri" w:cs="Calibri"/>
                <w:b/>
                <w:sz w:val="18"/>
                <w:szCs w:val="18"/>
              </w:rPr>
            </w:pPr>
            <w:r w:rsidRPr="005734B8">
              <w:rPr>
                <w:rFonts w:ascii="Calibri" w:hAnsi="Calibri" w:cs="Calibri"/>
                <w:b/>
                <w:sz w:val="18"/>
                <w:szCs w:val="18"/>
              </w:rPr>
              <w:t>Total contractual receivables</w:t>
            </w:r>
          </w:p>
        </w:tc>
        <w:tc>
          <w:tcPr>
            <w:tcW w:w="1230"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3C9D0FF6" w14:textId="77777777" w:rsidR="00BD002D" w:rsidRPr="005734B8" w:rsidRDefault="00BD002D" w:rsidP="002B70AB">
            <w:pPr>
              <w:jc w:val="right"/>
              <w:rPr>
                <w:rFonts w:ascii="Calibri" w:hAnsi="Calibri" w:cs="Calibri"/>
                <w:b/>
                <w:sz w:val="18"/>
                <w:szCs w:val="18"/>
              </w:rPr>
            </w:pPr>
            <w:r w:rsidRPr="005734B8">
              <w:rPr>
                <w:rFonts w:ascii="Calibri" w:hAnsi="Calibri" w:cs="Calibri"/>
                <w:b/>
                <w:sz w:val="18"/>
                <w:szCs w:val="18"/>
              </w:rPr>
              <w:t xml:space="preserve">87.3 </w:t>
            </w:r>
          </w:p>
        </w:tc>
        <w:tc>
          <w:tcPr>
            <w:tcW w:w="1230" w:type="dxa"/>
            <w:tcBorders>
              <w:top w:val="single" w:sz="12" w:space="0" w:color="auto"/>
              <w:left w:val="nil"/>
              <w:bottom w:val="single" w:sz="12" w:space="0" w:color="auto"/>
              <w:right w:val="nil"/>
            </w:tcBorders>
            <w:shd w:val="clear" w:color="FFFFFF" w:fill="FFFFFF"/>
            <w:noWrap/>
            <w:vAlign w:val="center"/>
            <w:hideMark/>
          </w:tcPr>
          <w:p w14:paraId="707A2868" w14:textId="77777777" w:rsidR="00BD002D" w:rsidRPr="005734B8" w:rsidRDefault="00BD002D" w:rsidP="002B70AB">
            <w:pPr>
              <w:jc w:val="right"/>
              <w:rPr>
                <w:rFonts w:ascii="Calibri" w:hAnsi="Calibri" w:cs="Calibri"/>
                <w:b/>
                <w:sz w:val="18"/>
                <w:szCs w:val="18"/>
              </w:rPr>
            </w:pPr>
            <w:r w:rsidRPr="005734B8">
              <w:rPr>
                <w:rFonts w:ascii="Calibri" w:hAnsi="Calibri" w:cs="Calibri"/>
                <w:b/>
                <w:sz w:val="18"/>
                <w:szCs w:val="18"/>
              </w:rPr>
              <w:t xml:space="preserve">81.6 </w:t>
            </w:r>
          </w:p>
        </w:tc>
      </w:tr>
      <w:tr w:rsidR="00BD002D" w:rsidRPr="005734B8" w14:paraId="177C4ECD" w14:textId="77777777" w:rsidTr="002B70AB">
        <w:trPr>
          <w:trHeight w:val="315"/>
        </w:trPr>
        <w:tc>
          <w:tcPr>
            <w:tcW w:w="5165"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06D9E444" w14:textId="77777777" w:rsidR="00BD002D" w:rsidRPr="005734B8" w:rsidRDefault="00BD002D" w:rsidP="002B70AB">
            <w:pPr>
              <w:rPr>
                <w:rFonts w:ascii="Calibri" w:hAnsi="Calibri" w:cs="Calibri"/>
                <w:sz w:val="18"/>
                <w:szCs w:val="18"/>
              </w:rPr>
            </w:pPr>
            <w:r w:rsidRPr="005734B8">
              <w:rPr>
                <w:rFonts w:ascii="Calibri" w:hAnsi="Calibri" w:cs="Calibri"/>
                <w:sz w:val="18"/>
                <w:szCs w:val="18"/>
              </w:rPr>
              <w:t>Made up of:</w:t>
            </w:r>
          </w:p>
        </w:tc>
        <w:tc>
          <w:tcPr>
            <w:tcW w:w="1230" w:type="dxa"/>
            <w:tcBorders>
              <w:top w:val="single" w:sz="4" w:space="0" w:color="auto"/>
              <w:left w:val="nil"/>
              <w:bottom w:val="single" w:sz="4" w:space="0" w:color="auto"/>
              <w:right w:val="single" w:sz="4" w:space="0" w:color="FFFFFF"/>
            </w:tcBorders>
            <w:shd w:val="clear" w:color="000000" w:fill="D9D9D9"/>
            <w:noWrap/>
            <w:vAlign w:val="center"/>
            <w:hideMark/>
          </w:tcPr>
          <w:p w14:paraId="7016B182" w14:textId="77777777" w:rsidR="00BD002D" w:rsidRPr="005734B8" w:rsidRDefault="00BD002D" w:rsidP="002B70AB">
            <w:pPr>
              <w:jc w:val="right"/>
              <w:rPr>
                <w:rFonts w:ascii="Calibri" w:hAnsi="Calibri" w:cs="Calibri"/>
                <w:sz w:val="18"/>
                <w:szCs w:val="18"/>
              </w:rPr>
            </w:pPr>
            <w:r w:rsidRPr="005734B8">
              <w:rPr>
                <w:rFonts w:ascii="Calibri" w:hAnsi="Calibri" w:cs="Calibri"/>
                <w:sz w:val="18"/>
                <w:szCs w:val="18"/>
              </w:rPr>
              <w:t> </w:t>
            </w:r>
          </w:p>
        </w:tc>
        <w:tc>
          <w:tcPr>
            <w:tcW w:w="1230" w:type="dxa"/>
            <w:tcBorders>
              <w:top w:val="single" w:sz="4" w:space="0" w:color="auto"/>
              <w:left w:val="nil"/>
              <w:bottom w:val="single" w:sz="4" w:space="0" w:color="auto"/>
              <w:right w:val="single" w:sz="4" w:space="0" w:color="FFFFFF"/>
            </w:tcBorders>
            <w:shd w:val="clear" w:color="FFFFFF" w:fill="FFFFFF"/>
            <w:noWrap/>
            <w:vAlign w:val="center"/>
            <w:hideMark/>
          </w:tcPr>
          <w:p w14:paraId="31A4B9E5" w14:textId="77777777" w:rsidR="00BD002D" w:rsidRPr="005734B8" w:rsidRDefault="00BD002D" w:rsidP="002B70AB">
            <w:pPr>
              <w:jc w:val="right"/>
              <w:rPr>
                <w:rFonts w:ascii="Calibri" w:hAnsi="Calibri" w:cs="Calibri"/>
                <w:sz w:val="18"/>
                <w:szCs w:val="18"/>
              </w:rPr>
            </w:pPr>
            <w:r w:rsidRPr="005734B8">
              <w:rPr>
                <w:rFonts w:ascii="Calibri" w:hAnsi="Calibri" w:cs="Calibri"/>
                <w:sz w:val="18"/>
                <w:szCs w:val="18"/>
              </w:rPr>
              <w:t> </w:t>
            </w:r>
          </w:p>
        </w:tc>
      </w:tr>
      <w:tr w:rsidR="00BD002D" w:rsidRPr="005734B8" w14:paraId="28006E5D" w14:textId="77777777" w:rsidTr="002B70AB">
        <w:trPr>
          <w:trHeight w:val="255"/>
        </w:trPr>
        <w:tc>
          <w:tcPr>
            <w:tcW w:w="5165" w:type="dxa"/>
            <w:tcBorders>
              <w:top w:val="nil"/>
              <w:left w:val="single" w:sz="4" w:space="0" w:color="FFFFFF"/>
              <w:bottom w:val="single" w:sz="4" w:space="0" w:color="auto"/>
              <w:right w:val="single" w:sz="4" w:space="0" w:color="FFFFFF"/>
            </w:tcBorders>
            <w:shd w:val="clear" w:color="FFFFFF" w:fill="FFFFFF"/>
            <w:vAlign w:val="center"/>
            <w:hideMark/>
          </w:tcPr>
          <w:p w14:paraId="16E7C253" w14:textId="77777777" w:rsidR="00BD002D" w:rsidRPr="005734B8" w:rsidRDefault="00BD002D" w:rsidP="002B70AB">
            <w:pPr>
              <w:ind w:firstLineChars="100" w:firstLine="180"/>
              <w:rPr>
                <w:rFonts w:ascii="Calibri" w:hAnsi="Calibri" w:cs="Calibri"/>
                <w:sz w:val="18"/>
                <w:szCs w:val="18"/>
              </w:rPr>
            </w:pPr>
            <w:r w:rsidRPr="005734B8">
              <w:rPr>
                <w:rFonts w:ascii="Calibri" w:hAnsi="Calibri" w:cs="Calibri"/>
                <w:sz w:val="18"/>
                <w:szCs w:val="18"/>
              </w:rPr>
              <w:t>Current receivables</w:t>
            </w:r>
          </w:p>
        </w:tc>
        <w:tc>
          <w:tcPr>
            <w:tcW w:w="1230" w:type="dxa"/>
            <w:tcBorders>
              <w:top w:val="nil"/>
              <w:left w:val="nil"/>
              <w:bottom w:val="single" w:sz="4" w:space="0" w:color="auto"/>
              <w:right w:val="single" w:sz="4" w:space="0" w:color="FFFFFF"/>
            </w:tcBorders>
            <w:shd w:val="clear" w:color="000000" w:fill="D9D9D9"/>
            <w:noWrap/>
            <w:vAlign w:val="center"/>
            <w:hideMark/>
          </w:tcPr>
          <w:p w14:paraId="5416B84D" w14:textId="77777777" w:rsidR="00BD002D" w:rsidRPr="005734B8" w:rsidRDefault="00BD002D" w:rsidP="002B70AB">
            <w:pPr>
              <w:jc w:val="right"/>
              <w:rPr>
                <w:rFonts w:ascii="Calibri" w:hAnsi="Calibri" w:cs="Calibri"/>
                <w:sz w:val="18"/>
                <w:szCs w:val="18"/>
              </w:rPr>
            </w:pPr>
            <w:r w:rsidRPr="005734B8">
              <w:rPr>
                <w:rFonts w:ascii="Calibri" w:hAnsi="Calibri" w:cs="Calibri"/>
                <w:sz w:val="18"/>
                <w:szCs w:val="18"/>
              </w:rPr>
              <w:t xml:space="preserve">2,386.5 </w:t>
            </w:r>
          </w:p>
        </w:tc>
        <w:tc>
          <w:tcPr>
            <w:tcW w:w="1230" w:type="dxa"/>
            <w:tcBorders>
              <w:top w:val="nil"/>
              <w:left w:val="nil"/>
              <w:bottom w:val="single" w:sz="4" w:space="0" w:color="auto"/>
              <w:right w:val="single" w:sz="4" w:space="0" w:color="FFFFFF"/>
            </w:tcBorders>
            <w:shd w:val="clear" w:color="FFFFFF" w:fill="FFFFFF"/>
            <w:noWrap/>
            <w:vAlign w:val="center"/>
            <w:hideMark/>
          </w:tcPr>
          <w:p w14:paraId="06A94D20" w14:textId="77777777" w:rsidR="00BD002D" w:rsidRPr="005734B8" w:rsidRDefault="00BD002D" w:rsidP="002B70AB">
            <w:pPr>
              <w:jc w:val="right"/>
              <w:rPr>
                <w:rFonts w:ascii="Calibri" w:hAnsi="Calibri" w:cs="Calibri"/>
                <w:sz w:val="18"/>
                <w:szCs w:val="18"/>
              </w:rPr>
            </w:pPr>
            <w:r w:rsidRPr="005734B8">
              <w:rPr>
                <w:rFonts w:ascii="Calibri" w:hAnsi="Calibri" w:cs="Calibri"/>
                <w:sz w:val="18"/>
                <w:szCs w:val="18"/>
              </w:rPr>
              <w:t xml:space="preserve">1,981.1 </w:t>
            </w:r>
          </w:p>
        </w:tc>
      </w:tr>
      <w:tr w:rsidR="00BD002D" w:rsidRPr="005734B8" w14:paraId="1B9B73F5" w14:textId="77777777" w:rsidTr="002B70AB">
        <w:trPr>
          <w:trHeight w:val="270"/>
        </w:trPr>
        <w:tc>
          <w:tcPr>
            <w:tcW w:w="5165" w:type="dxa"/>
            <w:tcBorders>
              <w:top w:val="nil"/>
              <w:left w:val="single" w:sz="4" w:space="0" w:color="FFFFFF"/>
              <w:bottom w:val="single" w:sz="8" w:space="0" w:color="auto"/>
              <w:right w:val="single" w:sz="4" w:space="0" w:color="FFFFFF"/>
            </w:tcBorders>
            <w:shd w:val="clear" w:color="FFFFFF" w:fill="FFFFFF"/>
            <w:vAlign w:val="center"/>
            <w:hideMark/>
          </w:tcPr>
          <w:p w14:paraId="33969FEE" w14:textId="77777777" w:rsidR="00BD002D" w:rsidRPr="005734B8" w:rsidRDefault="00BD002D" w:rsidP="002B70AB">
            <w:pPr>
              <w:ind w:firstLineChars="100" w:firstLine="180"/>
              <w:rPr>
                <w:rFonts w:ascii="Calibri" w:hAnsi="Calibri" w:cs="Calibri"/>
                <w:sz w:val="18"/>
                <w:szCs w:val="18"/>
              </w:rPr>
            </w:pPr>
            <w:r w:rsidRPr="005734B8">
              <w:rPr>
                <w:rFonts w:ascii="Calibri" w:hAnsi="Calibri" w:cs="Calibri"/>
                <w:sz w:val="18"/>
                <w:szCs w:val="18"/>
              </w:rPr>
              <w:t>Non-current receivables</w:t>
            </w:r>
          </w:p>
        </w:tc>
        <w:tc>
          <w:tcPr>
            <w:tcW w:w="1230" w:type="dxa"/>
            <w:tcBorders>
              <w:top w:val="nil"/>
              <w:left w:val="nil"/>
              <w:bottom w:val="single" w:sz="8" w:space="0" w:color="auto"/>
              <w:right w:val="single" w:sz="4" w:space="0" w:color="FFFFFF"/>
            </w:tcBorders>
            <w:shd w:val="clear" w:color="000000" w:fill="D9D9D9"/>
            <w:noWrap/>
            <w:vAlign w:val="center"/>
            <w:hideMark/>
          </w:tcPr>
          <w:p w14:paraId="34824581" w14:textId="77777777" w:rsidR="00BD002D" w:rsidRPr="005734B8" w:rsidRDefault="00BD002D" w:rsidP="002B70AB">
            <w:pPr>
              <w:jc w:val="right"/>
              <w:rPr>
                <w:rFonts w:ascii="Calibri" w:hAnsi="Calibri" w:cs="Calibri"/>
                <w:sz w:val="18"/>
                <w:szCs w:val="18"/>
              </w:rPr>
            </w:pPr>
            <w:r w:rsidRPr="005734B8">
              <w:rPr>
                <w:rFonts w:ascii="Calibri" w:hAnsi="Calibri" w:cs="Calibri"/>
                <w:sz w:val="18"/>
                <w:szCs w:val="18"/>
              </w:rPr>
              <w:t xml:space="preserve">371.9 </w:t>
            </w:r>
          </w:p>
        </w:tc>
        <w:tc>
          <w:tcPr>
            <w:tcW w:w="1230" w:type="dxa"/>
            <w:tcBorders>
              <w:top w:val="nil"/>
              <w:left w:val="nil"/>
              <w:bottom w:val="single" w:sz="8" w:space="0" w:color="auto"/>
              <w:right w:val="single" w:sz="4" w:space="0" w:color="FFFFFF"/>
            </w:tcBorders>
            <w:shd w:val="clear" w:color="FFFFFF" w:fill="FFFFFF"/>
            <w:noWrap/>
            <w:vAlign w:val="center"/>
            <w:hideMark/>
          </w:tcPr>
          <w:p w14:paraId="04B129C1" w14:textId="77777777" w:rsidR="00BD002D" w:rsidRPr="005734B8" w:rsidRDefault="00BD002D" w:rsidP="002B70AB">
            <w:pPr>
              <w:jc w:val="right"/>
              <w:rPr>
                <w:rFonts w:ascii="Calibri" w:hAnsi="Calibri" w:cs="Calibri"/>
                <w:sz w:val="18"/>
                <w:szCs w:val="18"/>
              </w:rPr>
            </w:pPr>
            <w:r w:rsidRPr="005734B8">
              <w:rPr>
                <w:rFonts w:ascii="Calibri" w:hAnsi="Calibri" w:cs="Calibri"/>
                <w:sz w:val="18"/>
                <w:szCs w:val="18"/>
              </w:rPr>
              <w:t xml:space="preserve">358.3 </w:t>
            </w:r>
          </w:p>
        </w:tc>
      </w:tr>
      <w:tr w:rsidR="00BD002D" w:rsidRPr="005734B8" w14:paraId="03898B10" w14:textId="77777777" w:rsidTr="002B70AB">
        <w:trPr>
          <w:trHeight w:val="330"/>
        </w:trPr>
        <w:tc>
          <w:tcPr>
            <w:tcW w:w="5165"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5BC433D" w14:textId="77777777" w:rsidR="00BD002D" w:rsidRPr="005734B8" w:rsidRDefault="00BD002D" w:rsidP="002B70AB">
            <w:pPr>
              <w:rPr>
                <w:rFonts w:ascii="Calibri" w:hAnsi="Calibri" w:cs="Calibri"/>
                <w:b/>
                <w:sz w:val="18"/>
                <w:szCs w:val="18"/>
              </w:rPr>
            </w:pPr>
            <w:r w:rsidRPr="005734B8">
              <w:rPr>
                <w:rFonts w:ascii="Calibri" w:hAnsi="Calibri" w:cs="Calibri"/>
                <w:b/>
                <w:sz w:val="18"/>
                <w:szCs w:val="18"/>
              </w:rPr>
              <w:t>Total receivables</w:t>
            </w:r>
          </w:p>
        </w:tc>
        <w:tc>
          <w:tcPr>
            <w:tcW w:w="1230"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126C4EB5" w14:textId="77777777" w:rsidR="00BD002D" w:rsidRPr="005734B8" w:rsidRDefault="00BD002D" w:rsidP="002B70AB">
            <w:pPr>
              <w:jc w:val="right"/>
              <w:rPr>
                <w:rFonts w:ascii="Calibri" w:hAnsi="Calibri" w:cs="Calibri"/>
                <w:b/>
                <w:sz w:val="18"/>
                <w:szCs w:val="18"/>
              </w:rPr>
            </w:pPr>
            <w:r w:rsidRPr="005734B8">
              <w:rPr>
                <w:rFonts w:ascii="Calibri" w:hAnsi="Calibri" w:cs="Calibri"/>
                <w:b/>
                <w:sz w:val="18"/>
                <w:szCs w:val="18"/>
              </w:rPr>
              <w:t xml:space="preserve">2,758.4 </w:t>
            </w:r>
          </w:p>
        </w:tc>
        <w:tc>
          <w:tcPr>
            <w:tcW w:w="1230" w:type="dxa"/>
            <w:tcBorders>
              <w:top w:val="single" w:sz="12" w:space="0" w:color="auto"/>
              <w:left w:val="nil"/>
              <w:bottom w:val="single" w:sz="12" w:space="0" w:color="auto"/>
              <w:right w:val="nil"/>
            </w:tcBorders>
            <w:shd w:val="clear" w:color="FFFFFF" w:fill="FFFFFF"/>
            <w:noWrap/>
            <w:vAlign w:val="center"/>
            <w:hideMark/>
          </w:tcPr>
          <w:p w14:paraId="60143D89" w14:textId="77777777" w:rsidR="00BD002D" w:rsidRPr="005734B8" w:rsidRDefault="00BD002D" w:rsidP="002B70AB">
            <w:pPr>
              <w:jc w:val="right"/>
              <w:rPr>
                <w:rFonts w:ascii="Calibri" w:hAnsi="Calibri" w:cs="Calibri"/>
                <w:b/>
                <w:sz w:val="18"/>
                <w:szCs w:val="18"/>
              </w:rPr>
            </w:pPr>
            <w:r w:rsidRPr="005734B8">
              <w:rPr>
                <w:rFonts w:ascii="Calibri" w:hAnsi="Calibri" w:cs="Calibri"/>
                <w:b/>
                <w:sz w:val="18"/>
                <w:szCs w:val="18"/>
              </w:rPr>
              <w:t xml:space="preserve">2,339.4 </w:t>
            </w:r>
          </w:p>
        </w:tc>
      </w:tr>
    </w:tbl>
    <w:p w14:paraId="3A152DB1" w14:textId="77777777" w:rsidR="00F1540A" w:rsidRPr="005734B8" w:rsidRDefault="00F1540A" w:rsidP="00F1540A">
      <w:pPr>
        <w:rPr>
          <w:rFonts w:ascii="Calibri" w:hAnsi="Calibri" w:cs="Calibri"/>
        </w:rPr>
      </w:pPr>
      <w:bookmarkStart w:id="1520" w:name="_Toc11336403"/>
      <w:bookmarkStart w:id="1521" w:name="_Toc14965629"/>
    </w:p>
    <w:p w14:paraId="5986ACDA" w14:textId="77777777" w:rsidR="00F1540A" w:rsidRPr="005734B8" w:rsidRDefault="00F1540A" w:rsidP="00F1540A">
      <w:pPr>
        <w:rPr>
          <w:rFonts w:ascii="Calibri" w:hAnsi="Calibri" w:cs="Calibri"/>
        </w:rPr>
      </w:pPr>
      <w:r w:rsidRPr="005734B8">
        <w:rPr>
          <w:rFonts w:ascii="Calibri" w:hAnsi="Calibri" w:cs="Calibri"/>
        </w:rPr>
        <w:t>Receivables consist of:</w:t>
      </w:r>
    </w:p>
    <w:p w14:paraId="1EA200F6" w14:textId="77777777" w:rsidR="00F1540A" w:rsidRPr="005734B8" w:rsidRDefault="00F1540A" w:rsidP="00F1540A">
      <w:pPr>
        <w:pStyle w:val="ESbullet1"/>
        <w:numPr>
          <w:ilvl w:val="0"/>
          <w:numId w:val="39"/>
        </w:numPr>
        <w:spacing w:after="0"/>
        <w:rPr>
          <w:rFonts w:ascii="Calibri" w:hAnsi="Calibri" w:cs="Calibri"/>
        </w:rPr>
      </w:pPr>
      <w:r w:rsidRPr="005734B8">
        <w:rPr>
          <w:rFonts w:ascii="Calibri" w:hAnsi="Calibri" w:cs="Calibri"/>
        </w:rPr>
        <w:t>statutory receivables, which include amounts owing from the Victorian Government and GST input tax credits recoverable</w:t>
      </w:r>
    </w:p>
    <w:p w14:paraId="480BA812" w14:textId="77777777" w:rsidR="00F1540A" w:rsidRPr="005734B8" w:rsidRDefault="00F1540A" w:rsidP="00F1540A">
      <w:pPr>
        <w:pStyle w:val="ESbullet1"/>
        <w:numPr>
          <w:ilvl w:val="0"/>
          <w:numId w:val="39"/>
        </w:numPr>
        <w:spacing w:after="0"/>
        <w:rPr>
          <w:rFonts w:ascii="Calibri" w:hAnsi="Calibri" w:cs="Calibri"/>
        </w:rPr>
      </w:pPr>
      <w:r w:rsidRPr="005734B8">
        <w:rPr>
          <w:rFonts w:ascii="Calibri" w:hAnsi="Calibri" w:cs="Calibri"/>
        </w:rPr>
        <w:t>contractual receivables, which include mainly debtors in relation to goods and services and loans to third parties.</w:t>
      </w:r>
    </w:p>
    <w:p w14:paraId="1B749AC5" w14:textId="08476219" w:rsidR="00BD002D" w:rsidRPr="005734B8" w:rsidRDefault="00BD002D">
      <w:pPr>
        <w:rPr>
          <w:rFonts w:ascii="Calibri" w:hAnsi="Calibri" w:cs="Calibri"/>
        </w:rPr>
      </w:pPr>
    </w:p>
    <w:p w14:paraId="4344F893" w14:textId="77777777" w:rsidR="00F1540A" w:rsidRPr="005734B8" w:rsidRDefault="00F1540A" w:rsidP="00F1540A">
      <w:pPr>
        <w:rPr>
          <w:rFonts w:ascii="Calibri" w:hAnsi="Calibri" w:cs="Calibri"/>
        </w:rPr>
      </w:pPr>
      <w:r w:rsidRPr="005734B8">
        <w:rPr>
          <w:rFonts w:ascii="Calibri" w:hAnsi="Calibri" w:cs="Calibri"/>
        </w:rPr>
        <w:lastRenderedPageBreak/>
        <w:t>Contractual receivables are classified as financial instruments and categorised as ‘financial assets at amortised costs’. They are initially recognised at fair value plus any directly attributable transaction costs. Subsequent to initial measurement they are measured at amortised cost using the effective interest method less any impairment.</w:t>
      </w:r>
    </w:p>
    <w:p w14:paraId="4800EEAE" w14:textId="77777777" w:rsidR="00F1540A" w:rsidRPr="005734B8" w:rsidRDefault="00F1540A" w:rsidP="00F1540A">
      <w:pPr>
        <w:rPr>
          <w:rFonts w:ascii="Calibri" w:hAnsi="Calibri" w:cs="Calibri"/>
        </w:rPr>
      </w:pPr>
    </w:p>
    <w:p w14:paraId="66D15A6E" w14:textId="77777777" w:rsidR="00F1540A" w:rsidRPr="005734B8" w:rsidRDefault="00F1540A" w:rsidP="00F1540A">
      <w:pPr>
        <w:rPr>
          <w:rFonts w:ascii="Calibri" w:hAnsi="Calibri" w:cs="Calibri"/>
        </w:rPr>
      </w:pPr>
      <w:r w:rsidRPr="005734B8">
        <w:rPr>
          <w:rFonts w:ascii="Calibri" w:hAnsi="Calibri" w:cs="Calibri"/>
        </w:rPr>
        <w:t>Statutory receivables are recognised and measured similarly to contractual receivables. The Department applies AASB 9 for initial measurement of the statutory receivables and as a result statutory receivables are initially recognised at fair value plus any directly attributable transaction cost. Amounts recognised from the Victorian Government represent funding for all commitments incurred and are drawn from the consolidated fund as the commitments fall due.</w:t>
      </w:r>
    </w:p>
    <w:p w14:paraId="08872A45" w14:textId="77777777" w:rsidR="00F1540A" w:rsidRPr="005734B8" w:rsidRDefault="00F1540A" w:rsidP="00F1540A">
      <w:pPr>
        <w:rPr>
          <w:rFonts w:ascii="Calibri" w:hAnsi="Calibri" w:cs="Calibri"/>
        </w:rPr>
      </w:pPr>
    </w:p>
    <w:p w14:paraId="32154B89" w14:textId="60CEF4E2" w:rsidR="00F1540A" w:rsidRPr="005734B8" w:rsidRDefault="00F1540A" w:rsidP="00F1540A">
      <w:pPr>
        <w:rPr>
          <w:rFonts w:ascii="Calibri" w:hAnsi="Calibri" w:cs="Calibri"/>
        </w:rPr>
      </w:pPr>
      <w:r w:rsidRPr="005734B8">
        <w:rPr>
          <w:rFonts w:ascii="Calibri" w:hAnsi="Calibri" w:cs="Calibri"/>
        </w:rPr>
        <w:t xml:space="preserve">Details about the Department’s impairment policies and the calculation of the loss allowance are set out in </w:t>
      </w:r>
      <w:r w:rsidR="009018B1" w:rsidRPr="005734B8">
        <w:rPr>
          <w:rFonts w:ascii="Calibri" w:hAnsi="Calibri" w:cs="Calibri"/>
        </w:rPr>
        <w:t>N</w:t>
      </w:r>
      <w:r w:rsidRPr="005734B8">
        <w:rPr>
          <w:rFonts w:ascii="Calibri" w:hAnsi="Calibri" w:cs="Calibri"/>
        </w:rPr>
        <w:t>ote 8.1</w:t>
      </w:r>
      <w:r w:rsidR="00891C1F" w:rsidRPr="005734B8">
        <w:rPr>
          <w:rFonts w:ascii="Calibri" w:hAnsi="Calibri" w:cs="Calibri"/>
        </w:rPr>
        <w:t xml:space="preserve"> Financial instrument specific disclosures</w:t>
      </w:r>
      <w:r w:rsidRPr="005734B8">
        <w:rPr>
          <w:rFonts w:ascii="Calibri" w:hAnsi="Calibri" w:cs="Calibri"/>
        </w:rPr>
        <w:t>.</w:t>
      </w:r>
    </w:p>
    <w:p w14:paraId="75FFA7E0" w14:textId="77777777" w:rsidR="00F1540A" w:rsidRPr="005734B8" w:rsidRDefault="00F1540A" w:rsidP="002D345C">
      <w:pPr>
        <w:pStyle w:val="ESHeading3"/>
        <w:ind w:left="0" w:firstLine="0"/>
        <w:rPr>
          <w:rFonts w:ascii="Calibri" w:hAnsi="Calibri" w:cs="Calibri"/>
        </w:rPr>
      </w:pPr>
      <w:bookmarkStart w:id="1522" w:name="_Hlk48849581"/>
      <w:r w:rsidRPr="005734B8">
        <w:rPr>
          <w:rFonts w:ascii="Calibri" w:hAnsi="Calibri" w:cs="Calibri"/>
        </w:rPr>
        <w:t>6.1.1 Movement in the allowance for impairment losses of contractual receivables</w:t>
      </w:r>
      <w:bookmarkEnd w:id="1520"/>
      <w:bookmarkEnd w:id="1521"/>
    </w:p>
    <w:tbl>
      <w:tblPr>
        <w:tblW w:w="7625" w:type="dxa"/>
        <w:tblInd w:w="75" w:type="dxa"/>
        <w:tblLayout w:type="fixed"/>
        <w:tblLook w:val="04A0" w:firstRow="1" w:lastRow="0" w:firstColumn="1" w:lastColumn="0" w:noHBand="0" w:noVBand="1"/>
      </w:tblPr>
      <w:tblGrid>
        <w:gridCol w:w="5452"/>
        <w:gridCol w:w="1091"/>
        <w:gridCol w:w="1082"/>
      </w:tblGrid>
      <w:tr w:rsidR="00F1540A" w:rsidRPr="005734B8" w14:paraId="4260169C" w14:textId="77777777" w:rsidTr="000F48B1">
        <w:trPr>
          <w:trHeight w:val="480"/>
        </w:trPr>
        <w:tc>
          <w:tcPr>
            <w:tcW w:w="5452" w:type="dxa"/>
            <w:tcBorders>
              <w:top w:val="nil"/>
              <w:left w:val="single" w:sz="4" w:space="0" w:color="FFFFFF"/>
              <w:bottom w:val="nil"/>
              <w:right w:val="single" w:sz="4" w:space="0" w:color="FFFFFF"/>
            </w:tcBorders>
            <w:shd w:val="clear" w:color="000000" w:fill="AF272F"/>
            <w:vAlign w:val="bottom"/>
            <w:hideMark/>
          </w:tcPr>
          <w:p w14:paraId="6BD825CC" w14:textId="77777777" w:rsidR="00F1540A" w:rsidRPr="005734B8" w:rsidRDefault="00F1540A" w:rsidP="000F48B1">
            <w:pPr>
              <w:jc w:val="center"/>
              <w:rPr>
                <w:rFonts w:ascii="Calibri" w:hAnsi="Calibri" w:cs="Calibri"/>
                <w:b/>
                <w:color w:val="FFFFFF"/>
                <w:sz w:val="18"/>
                <w:szCs w:val="18"/>
              </w:rPr>
            </w:pPr>
            <w:bookmarkStart w:id="1523" w:name="Note_RPATABLE1" w:colFirst="0" w:colLast="0"/>
            <w:r w:rsidRPr="005734B8">
              <w:rPr>
                <w:rFonts w:ascii="Calibri" w:hAnsi="Calibri" w:cs="Calibri"/>
                <w:b/>
                <w:color w:val="FFFFFF"/>
                <w:sz w:val="18"/>
                <w:szCs w:val="18"/>
              </w:rPr>
              <w:t> </w:t>
            </w:r>
          </w:p>
        </w:tc>
        <w:tc>
          <w:tcPr>
            <w:tcW w:w="1091" w:type="dxa"/>
            <w:tcBorders>
              <w:top w:val="nil"/>
              <w:left w:val="nil"/>
              <w:bottom w:val="single" w:sz="4" w:space="0" w:color="auto"/>
              <w:right w:val="single" w:sz="4" w:space="0" w:color="FFFFFF"/>
            </w:tcBorders>
            <w:shd w:val="clear" w:color="000000" w:fill="AF272F"/>
            <w:hideMark/>
          </w:tcPr>
          <w:p w14:paraId="5E2EF2D3"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82" w:type="dxa"/>
            <w:tcBorders>
              <w:top w:val="nil"/>
              <w:left w:val="nil"/>
              <w:bottom w:val="single" w:sz="4" w:space="0" w:color="auto"/>
              <w:right w:val="single" w:sz="4" w:space="0" w:color="FFFFFF"/>
            </w:tcBorders>
            <w:shd w:val="clear" w:color="000000" w:fill="AF272F"/>
            <w:hideMark/>
          </w:tcPr>
          <w:p w14:paraId="4A268243"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523"/>
      <w:tr w:rsidR="00F1540A" w:rsidRPr="005734B8" w14:paraId="0C3C7BFD" w14:textId="77777777" w:rsidTr="000F48B1">
        <w:trPr>
          <w:trHeight w:val="255"/>
        </w:trPr>
        <w:tc>
          <w:tcPr>
            <w:tcW w:w="5452"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7B504971"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Balance at the beginning of the year</w:t>
            </w:r>
          </w:p>
        </w:tc>
        <w:tc>
          <w:tcPr>
            <w:tcW w:w="1091" w:type="dxa"/>
            <w:tcBorders>
              <w:top w:val="nil"/>
              <w:left w:val="nil"/>
              <w:bottom w:val="single" w:sz="4" w:space="0" w:color="auto"/>
              <w:right w:val="single" w:sz="4" w:space="0" w:color="FFFFFF"/>
            </w:tcBorders>
            <w:shd w:val="clear" w:color="000000" w:fill="D9D9D9"/>
            <w:noWrap/>
            <w:vAlign w:val="center"/>
            <w:hideMark/>
          </w:tcPr>
          <w:p w14:paraId="521E6E0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(43.0) </w:t>
            </w:r>
          </w:p>
        </w:tc>
        <w:tc>
          <w:tcPr>
            <w:tcW w:w="1082" w:type="dxa"/>
            <w:tcBorders>
              <w:top w:val="nil"/>
              <w:left w:val="nil"/>
              <w:bottom w:val="single" w:sz="4" w:space="0" w:color="auto"/>
              <w:right w:val="single" w:sz="4" w:space="0" w:color="FFFFFF"/>
            </w:tcBorders>
            <w:shd w:val="clear" w:color="000000" w:fill="D9D9D9"/>
            <w:noWrap/>
            <w:vAlign w:val="center"/>
            <w:hideMark/>
          </w:tcPr>
          <w:p w14:paraId="74701E0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(43.2) </w:t>
            </w:r>
          </w:p>
        </w:tc>
      </w:tr>
      <w:tr w:rsidR="00F1540A" w:rsidRPr="005734B8" w14:paraId="3FE4862E"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076D4832"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Reversal of unused provision recognised in the net result</w:t>
            </w:r>
          </w:p>
        </w:tc>
        <w:tc>
          <w:tcPr>
            <w:tcW w:w="1091" w:type="dxa"/>
            <w:tcBorders>
              <w:top w:val="nil"/>
              <w:left w:val="nil"/>
              <w:bottom w:val="single" w:sz="4" w:space="0" w:color="auto"/>
              <w:right w:val="single" w:sz="4" w:space="0" w:color="FFFFFF"/>
            </w:tcBorders>
            <w:shd w:val="clear" w:color="000000" w:fill="D9D9D9"/>
            <w:noWrap/>
            <w:vAlign w:val="center"/>
            <w:hideMark/>
          </w:tcPr>
          <w:p w14:paraId="06774AE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 </w:t>
            </w:r>
          </w:p>
        </w:tc>
        <w:tc>
          <w:tcPr>
            <w:tcW w:w="1082" w:type="dxa"/>
            <w:tcBorders>
              <w:top w:val="nil"/>
              <w:left w:val="nil"/>
              <w:bottom w:val="single" w:sz="4" w:space="0" w:color="auto"/>
              <w:right w:val="single" w:sz="4" w:space="0" w:color="FFFFFF"/>
            </w:tcBorders>
            <w:shd w:val="clear" w:color="FFFFFF" w:fill="FFFFFF"/>
            <w:noWrap/>
            <w:vAlign w:val="center"/>
            <w:hideMark/>
          </w:tcPr>
          <w:p w14:paraId="298073B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2.9 </w:t>
            </w:r>
          </w:p>
        </w:tc>
      </w:tr>
      <w:tr w:rsidR="00F1540A" w:rsidRPr="005734B8" w14:paraId="518C2AD5"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3CFC63DC"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Increase in provision recognised in the net result</w:t>
            </w:r>
          </w:p>
        </w:tc>
        <w:tc>
          <w:tcPr>
            <w:tcW w:w="1091" w:type="dxa"/>
            <w:tcBorders>
              <w:top w:val="nil"/>
              <w:left w:val="nil"/>
              <w:bottom w:val="single" w:sz="4" w:space="0" w:color="auto"/>
              <w:right w:val="single" w:sz="4" w:space="0" w:color="FFFFFF"/>
            </w:tcBorders>
            <w:shd w:val="clear" w:color="000000" w:fill="D9D9D9"/>
            <w:noWrap/>
            <w:vAlign w:val="center"/>
            <w:hideMark/>
          </w:tcPr>
          <w:p w14:paraId="398FBDE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(3.4) </w:t>
            </w:r>
          </w:p>
        </w:tc>
        <w:tc>
          <w:tcPr>
            <w:tcW w:w="1082" w:type="dxa"/>
            <w:tcBorders>
              <w:top w:val="nil"/>
              <w:left w:val="nil"/>
              <w:bottom w:val="single" w:sz="4" w:space="0" w:color="auto"/>
              <w:right w:val="single" w:sz="4" w:space="0" w:color="FFFFFF"/>
            </w:tcBorders>
            <w:shd w:val="clear" w:color="FFFFFF" w:fill="FFFFFF"/>
            <w:noWrap/>
            <w:vAlign w:val="center"/>
            <w:hideMark/>
          </w:tcPr>
          <w:p w14:paraId="5A74E54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(2.7) </w:t>
            </w:r>
          </w:p>
        </w:tc>
      </w:tr>
      <w:tr w:rsidR="00F1540A" w:rsidRPr="005734B8" w14:paraId="188A3CF8" w14:textId="77777777" w:rsidTr="000F48B1">
        <w:trPr>
          <w:trHeight w:val="49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09541203"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Reversal of provision of receivables written off during the year as uncollectable</w:t>
            </w:r>
          </w:p>
        </w:tc>
        <w:tc>
          <w:tcPr>
            <w:tcW w:w="1091" w:type="dxa"/>
            <w:tcBorders>
              <w:top w:val="nil"/>
              <w:left w:val="nil"/>
              <w:bottom w:val="single" w:sz="4" w:space="0" w:color="auto"/>
              <w:right w:val="single" w:sz="4" w:space="0" w:color="FFFFFF"/>
            </w:tcBorders>
            <w:shd w:val="clear" w:color="000000" w:fill="D9D9D9"/>
            <w:noWrap/>
            <w:vAlign w:val="center"/>
            <w:hideMark/>
          </w:tcPr>
          <w:p w14:paraId="7943AE6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2.2 </w:t>
            </w:r>
          </w:p>
        </w:tc>
        <w:tc>
          <w:tcPr>
            <w:tcW w:w="1082" w:type="dxa"/>
            <w:tcBorders>
              <w:top w:val="nil"/>
              <w:left w:val="nil"/>
              <w:bottom w:val="single" w:sz="4" w:space="0" w:color="auto"/>
              <w:right w:val="single" w:sz="4" w:space="0" w:color="FFFFFF"/>
            </w:tcBorders>
            <w:shd w:val="clear" w:color="FFFFFF" w:fill="FFFFFF"/>
            <w:noWrap/>
            <w:vAlign w:val="center"/>
            <w:hideMark/>
          </w:tcPr>
          <w:p w14:paraId="34862019" w14:textId="0D047261" w:rsidR="00F1540A" w:rsidRPr="005734B8" w:rsidRDefault="00141228" w:rsidP="000F48B1">
            <w:pPr>
              <w:jc w:val="right"/>
              <w:rPr>
                <w:rFonts w:ascii="Calibri" w:hAnsi="Calibri" w:cs="Calibri"/>
                <w:sz w:val="18"/>
                <w:szCs w:val="18"/>
              </w:rPr>
            </w:pPr>
            <w:r w:rsidRPr="005734B8">
              <w:rPr>
                <w:rFonts w:ascii="Calibri" w:hAnsi="Calibri" w:cs="Calibri"/>
                <w:sz w:val="18"/>
                <w:szCs w:val="18"/>
              </w:rPr>
              <w:softHyphen/>
            </w:r>
            <w:r w:rsidR="006C14DE" w:rsidRPr="005734B8">
              <w:rPr>
                <w:rFonts w:ascii="Calibri" w:hAnsi="Calibri" w:cs="Calibri"/>
                <w:sz w:val="18"/>
                <w:szCs w:val="18"/>
              </w:rPr>
              <w:t>–</w:t>
            </w:r>
            <w:r w:rsidR="00F1540A" w:rsidRPr="005734B8">
              <w:rPr>
                <w:rFonts w:ascii="Calibri" w:hAnsi="Calibri" w:cs="Calibri"/>
                <w:sz w:val="18"/>
                <w:szCs w:val="18"/>
              </w:rPr>
              <w:t xml:space="preserve"> </w:t>
            </w:r>
          </w:p>
        </w:tc>
      </w:tr>
      <w:tr w:rsidR="00F1540A" w:rsidRPr="005734B8" w14:paraId="5F812972"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A51C06D"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Balance at end of the year</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7D4FD043"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(43.2) </w:t>
            </w:r>
          </w:p>
        </w:tc>
        <w:tc>
          <w:tcPr>
            <w:tcW w:w="1082" w:type="dxa"/>
            <w:tcBorders>
              <w:top w:val="single" w:sz="12" w:space="0" w:color="auto"/>
              <w:left w:val="nil"/>
              <w:bottom w:val="single" w:sz="12" w:space="0" w:color="auto"/>
              <w:right w:val="nil"/>
            </w:tcBorders>
            <w:shd w:val="clear" w:color="FFFFFF" w:fill="FFFFFF"/>
            <w:noWrap/>
            <w:vAlign w:val="center"/>
            <w:hideMark/>
          </w:tcPr>
          <w:p w14:paraId="79F5A328"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(43.0) </w:t>
            </w:r>
          </w:p>
        </w:tc>
      </w:tr>
    </w:tbl>
    <w:p w14:paraId="791FD440" w14:textId="77777777" w:rsidR="00F1540A" w:rsidRPr="005734B8" w:rsidRDefault="00F1540A" w:rsidP="00F1540A">
      <w:pPr>
        <w:rPr>
          <w:rFonts w:ascii="Calibri" w:eastAsiaTheme="minorEastAsia" w:hAnsi="Calibri" w:cs="Calibri"/>
          <w:b/>
          <w:color w:val="53565A"/>
          <w:szCs w:val="18"/>
          <w:lang w:val="en-US"/>
        </w:rPr>
      </w:pPr>
    </w:p>
    <w:p w14:paraId="551E9349" w14:textId="77777777" w:rsidR="00F1540A" w:rsidRPr="005734B8" w:rsidRDefault="00F1540A" w:rsidP="00F1540A">
      <w:pPr>
        <w:rPr>
          <w:rFonts w:ascii="Calibri" w:hAnsi="Calibri" w:cs="Calibri"/>
        </w:rPr>
      </w:pPr>
      <w:r w:rsidRPr="005734B8">
        <w:rPr>
          <w:rFonts w:ascii="Calibri" w:hAnsi="Calibri" w:cs="Calibri"/>
        </w:rPr>
        <w:t xml:space="preserve">AASB 9 requires that receivables are assessed for expected credit losses on a regular basis. Provision for impairment is recognised when there is objective evidence that the Department will not be able to collect a receivable. Receivables are written off against the carrying amount when there is no reasonable expectation of recovery. </w:t>
      </w:r>
    </w:p>
    <w:bookmarkEnd w:id="1522"/>
    <w:p w14:paraId="11053110" w14:textId="77777777" w:rsidR="00F1540A" w:rsidRPr="005734B8" w:rsidRDefault="00F1540A" w:rsidP="00F1540A">
      <w:pPr>
        <w:rPr>
          <w:rFonts w:ascii="Calibri" w:hAnsi="Calibri" w:cs="Calibri"/>
        </w:rPr>
      </w:pPr>
    </w:p>
    <w:p w14:paraId="0F37E89D" w14:textId="77777777" w:rsidR="00F1540A" w:rsidRPr="005734B8" w:rsidRDefault="00F1540A" w:rsidP="00F1540A">
      <w:pPr>
        <w:rPr>
          <w:rFonts w:ascii="Calibri" w:hAnsi="Calibri" w:cs="Calibri"/>
        </w:rPr>
      </w:pPr>
      <w:r w:rsidRPr="005734B8">
        <w:rPr>
          <w:rFonts w:ascii="Calibri" w:hAnsi="Calibri" w:cs="Calibri"/>
        </w:rPr>
        <w:t>Bad debts considered as written off by mutual consent are classified as a transaction expense. Bad debts not written off, but included in the provision for doubtful debts, are classified as other economic flows in the net result.</w:t>
      </w:r>
      <w:bookmarkStart w:id="1524" w:name="_Toc36012787"/>
      <w:bookmarkStart w:id="1525" w:name="_Toc36012865"/>
      <w:bookmarkStart w:id="1526" w:name="_Toc36013362"/>
      <w:bookmarkStart w:id="1527" w:name="_Toc58243446"/>
    </w:p>
    <w:p w14:paraId="6EE3928B" w14:textId="77777777" w:rsidR="00F1540A" w:rsidRPr="005734B8" w:rsidRDefault="00F1540A" w:rsidP="00F1540A">
      <w:pPr>
        <w:rPr>
          <w:rFonts w:ascii="Calibri" w:hAnsi="Calibri" w:cs="Calibri"/>
        </w:rPr>
      </w:pPr>
    </w:p>
    <w:p w14:paraId="2B79D196" w14:textId="3C3298B5" w:rsidR="00F1540A" w:rsidRPr="005734B8" w:rsidRDefault="00F1540A" w:rsidP="00F1540A">
      <w:pPr>
        <w:rPr>
          <w:rFonts w:ascii="Calibri" w:eastAsiaTheme="majorEastAsia" w:hAnsi="Calibri" w:cs="Calibri"/>
          <w:bCs/>
          <w:color w:val="8A2A2F"/>
          <w:spacing w:val="5"/>
          <w:kern w:val="28"/>
          <w:sz w:val="28"/>
          <w:szCs w:val="52"/>
          <w:lang w:val="en-US"/>
        </w:rPr>
      </w:pPr>
      <w:r w:rsidRPr="005734B8">
        <w:rPr>
          <w:rFonts w:ascii="Calibri" w:hAnsi="Calibri" w:cs="Calibri"/>
        </w:rPr>
        <w:t>Further details about the Dep</w:t>
      </w:r>
      <w:r w:rsidR="002B70AB" w:rsidRPr="005734B8">
        <w:rPr>
          <w:rFonts w:ascii="Calibri" w:hAnsi="Calibri" w:cs="Calibri"/>
        </w:rPr>
        <w:t>a</w:t>
      </w:r>
      <w:r w:rsidRPr="005734B8">
        <w:rPr>
          <w:rFonts w:ascii="Calibri" w:hAnsi="Calibri" w:cs="Calibri"/>
        </w:rPr>
        <w:t>rtment’s approach to measuring expected credit losses are set out in Note 8.1.</w:t>
      </w:r>
    </w:p>
    <w:p w14:paraId="6D7F26AA" w14:textId="77777777" w:rsidR="002B70AB" w:rsidRPr="005734B8" w:rsidRDefault="002B70AB">
      <w:pPr>
        <w:rPr>
          <w:rFonts w:ascii="Calibri" w:eastAsiaTheme="majorEastAsia" w:hAnsi="Calibri" w:cs="Calibri"/>
          <w:bCs/>
          <w:color w:val="8A2A2F" w:themeColor="text1"/>
          <w:spacing w:val="5"/>
          <w:kern w:val="28"/>
          <w:sz w:val="28"/>
          <w:szCs w:val="20"/>
          <w:lang w:val="en-US"/>
        </w:rPr>
      </w:pPr>
      <w:bookmarkStart w:id="1528" w:name="_Toc72958096"/>
      <w:bookmarkStart w:id="1529" w:name="_Toc72958144"/>
      <w:r w:rsidRPr="005734B8">
        <w:rPr>
          <w:rFonts w:ascii="Calibri" w:hAnsi="Calibri" w:cs="Calibri"/>
        </w:rPr>
        <w:br w:type="page"/>
      </w:r>
    </w:p>
    <w:p w14:paraId="7B6A4154" w14:textId="77777777" w:rsidR="00F1540A" w:rsidRPr="005734B8" w:rsidRDefault="00F1540A" w:rsidP="00F1540A">
      <w:pPr>
        <w:pStyle w:val="ESHeading2"/>
        <w:rPr>
          <w:rFonts w:ascii="Calibri" w:hAnsi="Calibri" w:cs="Calibri"/>
        </w:rPr>
      </w:pPr>
      <w:bookmarkStart w:id="1530" w:name="_Toc80272084"/>
      <w:bookmarkStart w:id="1531" w:name="_Toc81315384"/>
      <w:r w:rsidRPr="005734B8">
        <w:rPr>
          <w:rFonts w:ascii="Calibri" w:hAnsi="Calibri" w:cs="Calibri"/>
        </w:rPr>
        <w:lastRenderedPageBreak/>
        <w:t>6.2 Other non-financial assets</w:t>
      </w:r>
      <w:bookmarkEnd w:id="1524"/>
      <w:bookmarkEnd w:id="1525"/>
      <w:bookmarkEnd w:id="1526"/>
      <w:bookmarkEnd w:id="1527"/>
      <w:bookmarkEnd w:id="1528"/>
      <w:bookmarkEnd w:id="1529"/>
      <w:bookmarkEnd w:id="1530"/>
      <w:bookmarkEnd w:id="1531"/>
    </w:p>
    <w:tbl>
      <w:tblPr>
        <w:tblW w:w="7625" w:type="dxa"/>
        <w:tblInd w:w="75" w:type="dxa"/>
        <w:tblLayout w:type="fixed"/>
        <w:tblLook w:val="04A0" w:firstRow="1" w:lastRow="0" w:firstColumn="1" w:lastColumn="0" w:noHBand="0" w:noVBand="1"/>
      </w:tblPr>
      <w:tblGrid>
        <w:gridCol w:w="4954"/>
        <w:gridCol w:w="1336"/>
        <w:gridCol w:w="1335"/>
      </w:tblGrid>
      <w:tr w:rsidR="00F1540A" w:rsidRPr="005734B8" w14:paraId="4C09ABE0" w14:textId="77777777" w:rsidTr="000F48B1">
        <w:trPr>
          <w:trHeight w:val="480"/>
        </w:trPr>
        <w:tc>
          <w:tcPr>
            <w:tcW w:w="4213" w:type="dxa"/>
            <w:tcBorders>
              <w:top w:val="nil"/>
              <w:left w:val="single" w:sz="4" w:space="0" w:color="FFFFFF"/>
              <w:bottom w:val="nil"/>
              <w:right w:val="single" w:sz="4" w:space="0" w:color="FFFFFF"/>
            </w:tcBorders>
            <w:shd w:val="clear" w:color="000000" w:fill="AF272F"/>
            <w:vAlign w:val="bottom"/>
            <w:hideMark/>
          </w:tcPr>
          <w:p w14:paraId="36592B8D" w14:textId="77777777" w:rsidR="00F1540A" w:rsidRPr="005734B8" w:rsidRDefault="00F1540A" w:rsidP="000F48B1">
            <w:pPr>
              <w:jc w:val="center"/>
              <w:rPr>
                <w:rFonts w:ascii="Calibri" w:hAnsi="Calibri" w:cs="Calibri"/>
                <w:b/>
                <w:color w:val="FFFFFF"/>
                <w:sz w:val="18"/>
                <w:szCs w:val="18"/>
              </w:rPr>
            </w:pPr>
            <w:bookmarkStart w:id="1532" w:name="Note_ONATABLE1" w:colFirst="0" w:colLast="0"/>
            <w:r w:rsidRPr="005734B8">
              <w:rPr>
                <w:rFonts w:ascii="Calibri" w:hAnsi="Calibri" w:cs="Calibri"/>
                <w:b/>
                <w:color w:val="FFFFFF"/>
                <w:sz w:val="18"/>
                <w:szCs w:val="18"/>
              </w:rPr>
              <w:t> </w:t>
            </w:r>
          </w:p>
        </w:tc>
        <w:tc>
          <w:tcPr>
            <w:tcW w:w="1136" w:type="dxa"/>
            <w:tcBorders>
              <w:top w:val="nil"/>
              <w:left w:val="nil"/>
              <w:bottom w:val="single" w:sz="4" w:space="0" w:color="auto"/>
              <w:right w:val="single" w:sz="4" w:space="0" w:color="FFFFFF"/>
            </w:tcBorders>
            <w:shd w:val="clear" w:color="000000" w:fill="AF272F"/>
            <w:hideMark/>
          </w:tcPr>
          <w:p w14:paraId="15E899C4"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135" w:type="dxa"/>
            <w:tcBorders>
              <w:top w:val="nil"/>
              <w:left w:val="nil"/>
              <w:bottom w:val="single" w:sz="4" w:space="0" w:color="auto"/>
              <w:right w:val="single" w:sz="4" w:space="0" w:color="FFFFFF"/>
            </w:tcBorders>
            <w:shd w:val="clear" w:color="000000" w:fill="AF272F"/>
            <w:hideMark/>
          </w:tcPr>
          <w:p w14:paraId="175FAA01"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532"/>
      <w:tr w:rsidR="00F1540A" w:rsidRPr="005734B8" w14:paraId="2AB41331" w14:textId="77777777" w:rsidTr="000F48B1">
        <w:trPr>
          <w:trHeight w:val="255"/>
        </w:trPr>
        <w:tc>
          <w:tcPr>
            <w:tcW w:w="4213"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2A137D1A"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Prepayments</w:t>
            </w:r>
          </w:p>
        </w:tc>
        <w:tc>
          <w:tcPr>
            <w:tcW w:w="1136" w:type="dxa"/>
            <w:tcBorders>
              <w:top w:val="nil"/>
              <w:left w:val="nil"/>
              <w:bottom w:val="single" w:sz="4" w:space="0" w:color="auto"/>
              <w:right w:val="single" w:sz="4" w:space="0" w:color="FFFFFF"/>
            </w:tcBorders>
            <w:shd w:val="clear" w:color="000000" w:fill="D9D9D9"/>
            <w:noWrap/>
            <w:vAlign w:val="center"/>
            <w:hideMark/>
          </w:tcPr>
          <w:p w14:paraId="48B3284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83.8 </w:t>
            </w:r>
          </w:p>
        </w:tc>
        <w:tc>
          <w:tcPr>
            <w:tcW w:w="1135" w:type="dxa"/>
            <w:tcBorders>
              <w:top w:val="nil"/>
              <w:left w:val="nil"/>
              <w:bottom w:val="single" w:sz="4" w:space="0" w:color="auto"/>
              <w:right w:val="single" w:sz="4" w:space="0" w:color="FFFFFF"/>
            </w:tcBorders>
            <w:shd w:val="clear" w:color="FFFFFF" w:fill="FFFFFF"/>
            <w:noWrap/>
            <w:vAlign w:val="center"/>
            <w:hideMark/>
          </w:tcPr>
          <w:p w14:paraId="1C1D4A3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26.9 </w:t>
            </w:r>
          </w:p>
        </w:tc>
      </w:tr>
      <w:tr w:rsidR="00F1540A" w:rsidRPr="005734B8" w14:paraId="6FFA475F" w14:textId="77777777" w:rsidTr="000F48B1">
        <w:trPr>
          <w:trHeight w:val="255"/>
        </w:trPr>
        <w:tc>
          <w:tcPr>
            <w:tcW w:w="4213" w:type="dxa"/>
            <w:tcBorders>
              <w:top w:val="nil"/>
              <w:left w:val="single" w:sz="4" w:space="0" w:color="FFFFFF"/>
              <w:bottom w:val="single" w:sz="4" w:space="0" w:color="auto"/>
              <w:right w:val="single" w:sz="4" w:space="0" w:color="FFFFFF"/>
            </w:tcBorders>
            <w:shd w:val="clear" w:color="FFFFFF" w:fill="FFFFFF"/>
            <w:vAlign w:val="center"/>
            <w:hideMark/>
          </w:tcPr>
          <w:p w14:paraId="59510D06"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Non-financial assets held for sale</w:t>
            </w:r>
          </w:p>
        </w:tc>
        <w:tc>
          <w:tcPr>
            <w:tcW w:w="1136" w:type="dxa"/>
            <w:tcBorders>
              <w:top w:val="nil"/>
              <w:left w:val="nil"/>
              <w:bottom w:val="single" w:sz="4" w:space="0" w:color="auto"/>
              <w:right w:val="single" w:sz="4" w:space="0" w:color="FFFFFF"/>
            </w:tcBorders>
            <w:shd w:val="clear" w:color="000000" w:fill="D9D9D9"/>
            <w:noWrap/>
            <w:vAlign w:val="center"/>
            <w:hideMark/>
          </w:tcPr>
          <w:p w14:paraId="156D914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0.2 </w:t>
            </w:r>
          </w:p>
        </w:tc>
        <w:tc>
          <w:tcPr>
            <w:tcW w:w="1135" w:type="dxa"/>
            <w:tcBorders>
              <w:top w:val="nil"/>
              <w:left w:val="nil"/>
              <w:bottom w:val="single" w:sz="4" w:space="0" w:color="auto"/>
              <w:right w:val="single" w:sz="4" w:space="0" w:color="FFFFFF"/>
            </w:tcBorders>
            <w:shd w:val="clear" w:color="FFFFFF" w:fill="FFFFFF"/>
            <w:noWrap/>
            <w:vAlign w:val="center"/>
            <w:hideMark/>
          </w:tcPr>
          <w:p w14:paraId="276BDC9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5.9 </w:t>
            </w:r>
          </w:p>
        </w:tc>
      </w:tr>
      <w:tr w:rsidR="00F1540A" w:rsidRPr="005734B8" w14:paraId="57B6FBA6" w14:textId="77777777" w:rsidTr="000F48B1">
        <w:trPr>
          <w:trHeight w:val="270"/>
        </w:trPr>
        <w:tc>
          <w:tcPr>
            <w:tcW w:w="4213" w:type="dxa"/>
            <w:tcBorders>
              <w:top w:val="nil"/>
              <w:left w:val="single" w:sz="4" w:space="0" w:color="FFFFFF"/>
              <w:bottom w:val="single" w:sz="4" w:space="0" w:color="auto"/>
              <w:right w:val="single" w:sz="4" w:space="0" w:color="FFFFFF"/>
            </w:tcBorders>
            <w:shd w:val="clear" w:color="FFFFFF" w:fill="FFFFFF"/>
            <w:vAlign w:val="center"/>
            <w:hideMark/>
          </w:tcPr>
          <w:p w14:paraId="6F910264"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Other</w:t>
            </w:r>
          </w:p>
        </w:tc>
        <w:tc>
          <w:tcPr>
            <w:tcW w:w="1136" w:type="dxa"/>
            <w:tcBorders>
              <w:top w:val="nil"/>
              <w:left w:val="nil"/>
              <w:bottom w:val="single" w:sz="4" w:space="0" w:color="auto"/>
              <w:right w:val="single" w:sz="4" w:space="0" w:color="FFFFFF"/>
            </w:tcBorders>
            <w:shd w:val="clear" w:color="000000" w:fill="D9D9D9"/>
            <w:noWrap/>
            <w:vAlign w:val="center"/>
            <w:hideMark/>
          </w:tcPr>
          <w:p w14:paraId="2915B25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30.2 </w:t>
            </w:r>
          </w:p>
        </w:tc>
        <w:tc>
          <w:tcPr>
            <w:tcW w:w="1135" w:type="dxa"/>
            <w:tcBorders>
              <w:top w:val="nil"/>
              <w:left w:val="nil"/>
              <w:bottom w:val="single" w:sz="4" w:space="0" w:color="auto"/>
              <w:right w:val="single" w:sz="4" w:space="0" w:color="FFFFFF"/>
            </w:tcBorders>
            <w:shd w:val="clear" w:color="FFFFFF" w:fill="FFFFFF"/>
            <w:noWrap/>
            <w:vAlign w:val="center"/>
            <w:hideMark/>
          </w:tcPr>
          <w:p w14:paraId="4067586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3.8 </w:t>
            </w:r>
          </w:p>
        </w:tc>
      </w:tr>
      <w:tr w:rsidR="00F1540A" w:rsidRPr="005734B8" w14:paraId="63C495C8" w14:textId="77777777" w:rsidTr="000F48B1">
        <w:trPr>
          <w:trHeight w:val="285"/>
        </w:trPr>
        <w:tc>
          <w:tcPr>
            <w:tcW w:w="4213"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21E0EACB"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other non-financial assets</w:t>
            </w:r>
          </w:p>
        </w:tc>
        <w:tc>
          <w:tcPr>
            <w:tcW w:w="1136"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4C9C3F45"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114.2 </w:t>
            </w:r>
          </w:p>
        </w:tc>
        <w:tc>
          <w:tcPr>
            <w:tcW w:w="1135" w:type="dxa"/>
            <w:tcBorders>
              <w:top w:val="single" w:sz="12" w:space="0" w:color="auto"/>
              <w:left w:val="nil"/>
              <w:bottom w:val="single" w:sz="12" w:space="0" w:color="auto"/>
              <w:right w:val="nil"/>
            </w:tcBorders>
            <w:shd w:val="clear" w:color="FFFFFF" w:fill="FFFFFF"/>
            <w:noWrap/>
            <w:vAlign w:val="center"/>
            <w:hideMark/>
          </w:tcPr>
          <w:p w14:paraId="21340585"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36.6 </w:t>
            </w:r>
          </w:p>
        </w:tc>
      </w:tr>
    </w:tbl>
    <w:p w14:paraId="07B30B07" w14:textId="77777777" w:rsidR="00F1540A" w:rsidRPr="005734B8" w:rsidRDefault="00F1540A" w:rsidP="00F1540A">
      <w:pPr>
        <w:rPr>
          <w:rFonts w:ascii="Calibri" w:eastAsiaTheme="majorEastAsia" w:hAnsi="Calibri" w:cs="Calibri"/>
          <w:bCs/>
          <w:color w:val="8A2A2F"/>
          <w:spacing w:val="5"/>
          <w:kern w:val="28"/>
          <w:sz w:val="28"/>
          <w:szCs w:val="52"/>
          <w:lang w:val="en-US"/>
        </w:rPr>
      </w:pPr>
    </w:p>
    <w:p w14:paraId="7ABAB832" w14:textId="77777777" w:rsidR="00F1540A" w:rsidRPr="005734B8" w:rsidRDefault="00F1540A" w:rsidP="00F1540A">
      <w:pPr>
        <w:rPr>
          <w:rFonts w:ascii="Calibri" w:hAnsi="Calibri" w:cs="Calibri"/>
        </w:rPr>
      </w:pPr>
      <w:r w:rsidRPr="005734B8">
        <w:rPr>
          <w:rFonts w:ascii="Calibri" w:hAnsi="Calibri" w:cs="Calibri"/>
        </w:rPr>
        <w:t>Other non-financial assets include prepayments which represent payments in advance of receipt of goods or services or that part of expenditure made in one accounting period covering a term extending beyond that period, and land pending settlement.</w:t>
      </w:r>
    </w:p>
    <w:p w14:paraId="68396041" w14:textId="77777777" w:rsidR="00F1540A" w:rsidRPr="005734B8" w:rsidRDefault="00F1540A" w:rsidP="00F1540A">
      <w:pPr>
        <w:rPr>
          <w:rFonts w:ascii="Calibri" w:hAnsi="Calibri" w:cs="Calibri"/>
        </w:rPr>
      </w:pPr>
    </w:p>
    <w:p w14:paraId="7C2E94D2" w14:textId="77777777" w:rsidR="00F1540A" w:rsidRPr="005734B8" w:rsidRDefault="00F1540A" w:rsidP="00F1540A">
      <w:pPr>
        <w:rPr>
          <w:rFonts w:ascii="Calibri" w:hAnsi="Calibri" w:cs="Calibri"/>
        </w:rPr>
      </w:pPr>
      <w:r w:rsidRPr="005734B8">
        <w:rPr>
          <w:rFonts w:ascii="Calibri" w:hAnsi="Calibri" w:cs="Calibri"/>
        </w:rPr>
        <w:t>Non-financial assets are treated as current and classified as held for sale if their carrying amount will be recovered through a sale transaction rather than through continuing use.</w:t>
      </w:r>
    </w:p>
    <w:p w14:paraId="22103C1E" w14:textId="77777777" w:rsidR="00F1540A" w:rsidRPr="005734B8" w:rsidRDefault="00F1540A" w:rsidP="00F1540A">
      <w:pPr>
        <w:rPr>
          <w:rFonts w:ascii="Calibri" w:hAnsi="Calibri" w:cs="Calibri"/>
        </w:rPr>
      </w:pPr>
    </w:p>
    <w:p w14:paraId="63DF203D" w14:textId="77777777" w:rsidR="00F1540A" w:rsidRPr="005734B8" w:rsidRDefault="00F1540A" w:rsidP="00F1540A">
      <w:pPr>
        <w:rPr>
          <w:rFonts w:ascii="Calibri" w:hAnsi="Calibri" w:cs="Calibri"/>
        </w:rPr>
      </w:pPr>
      <w:r w:rsidRPr="005734B8">
        <w:rPr>
          <w:rFonts w:ascii="Calibri" w:hAnsi="Calibri" w:cs="Calibri"/>
        </w:rPr>
        <w:t>This condition is regarded as met only when the:</w:t>
      </w:r>
    </w:p>
    <w:p w14:paraId="01E4C018" w14:textId="77777777" w:rsidR="00F1540A" w:rsidRPr="005734B8" w:rsidRDefault="00F1540A" w:rsidP="00F1540A">
      <w:pPr>
        <w:pStyle w:val="ESbullet1"/>
        <w:numPr>
          <w:ilvl w:val="0"/>
          <w:numId w:val="33"/>
        </w:numPr>
        <w:spacing w:after="0"/>
        <w:rPr>
          <w:rFonts w:ascii="Calibri" w:hAnsi="Calibri" w:cs="Calibri"/>
        </w:rPr>
      </w:pPr>
      <w:r w:rsidRPr="005734B8">
        <w:rPr>
          <w:rFonts w:ascii="Calibri" w:hAnsi="Calibri" w:cs="Calibri"/>
        </w:rPr>
        <w:t>asset is available for immediate sale in the current condition</w:t>
      </w:r>
    </w:p>
    <w:p w14:paraId="3FAA1CD4" w14:textId="77777777" w:rsidR="00F1540A" w:rsidRPr="005734B8" w:rsidRDefault="00F1540A" w:rsidP="00F1540A">
      <w:pPr>
        <w:pStyle w:val="ESbullet1"/>
        <w:numPr>
          <w:ilvl w:val="0"/>
          <w:numId w:val="33"/>
        </w:numPr>
        <w:spacing w:after="0"/>
        <w:rPr>
          <w:rFonts w:ascii="Calibri" w:hAnsi="Calibri" w:cs="Calibri"/>
        </w:rPr>
      </w:pPr>
      <w:r w:rsidRPr="005734B8">
        <w:rPr>
          <w:rFonts w:ascii="Calibri" w:hAnsi="Calibri" w:cs="Calibri"/>
        </w:rPr>
        <w:t>sale is highly probable, the asset is actively marketed and the asset’s sale is expected to be completed within 12 months from the date of classification.</w:t>
      </w:r>
    </w:p>
    <w:p w14:paraId="7C20CF20" w14:textId="77777777" w:rsidR="00F1540A" w:rsidRPr="005734B8" w:rsidRDefault="00F1540A" w:rsidP="00F1540A">
      <w:pPr>
        <w:rPr>
          <w:rFonts w:ascii="Calibri" w:hAnsi="Calibri" w:cs="Calibri"/>
        </w:rPr>
      </w:pPr>
    </w:p>
    <w:p w14:paraId="11B6F4DD" w14:textId="77777777" w:rsidR="00F1540A" w:rsidRPr="005734B8" w:rsidRDefault="00F1540A" w:rsidP="00F1540A">
      <w:pPr>
        <w:rPr>
          <w:rFonts w:ascii="Calibri" w:hAnsi="Calibri" w:cs="Calibri"/>
        </w:rPr>
      </w:pPr>
      <w:r w:rsidRPr="005734B8">
        <w:rPr>
          <w:rFonts w:ascii="Calibri" w:hAnsi="Calibri" w:cs="Calibri"/>
        </w:rPr>
        <w:t>These non-financial physical assets, related liabilities and financial assets are measured at the lower of carrying amount and fair value less costs to sell, and are not subject to depreciation or amortisation.</w:t>
      </w:r>
    </w:p>
    <w:p w14:paraId="32DC8E0A" w14:textId="77777777" w:rsidR="00F1540A" w:rsidRPr="005734B8" w:rsidRDefault="00F1540A" w:rsidP="00F1540A">
      <w:pPr>
        <w:pStyle w:val="ESHeading2"/>
        <w:rPr>
          <w:rFonts w:ascii="Calibri" w:hAnsi="Calibri" w:cs="Calibri"/>
        </w:rPr>
      </w:pPr>
      <w:bookmarkStart w:id="1533" w:name="_Toc11336406"/>
      <w:bookmarkStart w:id="1534" w:name="_Toc11336590"/>
      <w:bookmarkStart w:id="1535" w:name="_Toc13647194"/>
      <w:bookmarkStart w:id="1536" w:name="_Toc13656726"/>
      <w:bookmarkStart w:id="1537" w:name="_Toc13656888"/>
      <w:bookmarkStart w:id="1538" w:name="_Toc14965632"/>
      <w:bookmarkStart w:id="1539" w:name="_Toc15985313"/>
      <w:bookmarkStart w:id="1540" w:name="_Toc16231964"/>
      <w:bookmarkStart w:id="1541" w:name="_Toc36012788"/>
      <w:bookmarkStart w:id="1542" w:name="_Toc36012866"/>
      <w:bookmarkStart w:id="1543" w:name="_Toc36013363"/>
      <w:bookmarkStart w:id="1544" w:name="_Toc58243447"/>
      <w:bookmarkStart w:id="1545" w:name="_Toc72958097"/>
      <w:bookmarkStart w:id="1546" w:name="_Toc72958145"/>
      <w:bookmarkStart w:id="1547" w:name="_Toc80272085"/>
      <w:bookmarkStart w:id="1548" w:name="_Toc81315385"/>
      <w:r w:rsidRPr="005734B8">
        <w:rPr>
          <w:rFonts w:ascii="Calibri" w:hAnsi="Calibri" w:cs="Calibri"/>
        </w:rPr>
        <w:t>6.3 Payables</w:t>
      </w:r>
      <w:bookmarkEnd w:id="1533"/>
      <w:bookmarkEnd w:id="1534"/>
      <w:bookmarkEnd w:id="1535"/>
      <w:bookmarkEnd w:id="1536"/>
      <w:bookmarkEnd w:id="1537"/>
      <w:bookmarkEnd w:id="1538"/>
      <w:bookmarkEnd w:id="1539"/>
      <w:bookmarkEnd w:id="1540"/>
      <w:bookmarkEnd w:id="1541"/>
      <w:bookmarkEnd w:id="1542"/>
      <w:bookmarkEnd w:id="1543"/>
      <w:r w:rsidRPr="005734B8">
        <w:rPr>
          <w:rFonts w:ascii="Calibri" w:hAnsi="Calibri" w:cs="Calibri"/>
        </w:rPr>
        <w:t xml:space="preserve"> and other liabilities</w:t>
      </w:r>
      <w:bookmarkEnd w:id="1544"/>
      <w:bookmarkEnd w:id="1545"/>
      <w:bookmarkEnd w:id="1546"/>
      <w:bookmarkEnd w:id="1547"/>
      <w:bookmarkEnd w:id="1548"/>
    </w:p>
    <w:tbl>
      <w:tblPr>
        <w:tblW w:w="7625" w:type="dxa"/>
        <w:tblInd w:w="75" w:type="dxa"/>
        <w:tblLayout w:type="fixed"/>
        <w:tblLook w:val="04A0" w:firstRow="1" w:lastRow="0" w:firstColumn="1" w:lastColumn="0" w:noHBand="0" w:noVBand="1"/>
      </w:tblPr>
      <w:tblGrid>
        <w:gridCol w:w="5452"/>
        <w:gridCol w:w="1091"/>
        <w:gridCol w:w="1082"/>
      </w:tblGrid>
      <w:tr w:rsidR="002B70AB" w:rsidRPr="005734B8" w14:paraId="3C47474E" w14:textId="77777777" w:rsidTr="002B70AB">
        <w:trPr>
          <w:trHeight w:val="480"/>
        </w:trPr>
        <w:tc>
          <w:tcPr>
            <w:tcW w:w="5452" w:type="dxa"/>
            <w:tcBorders>
              <w:top w:val="nil"/>
              <w:left w:val="single" w:sz="4" w:space="0" w:color="FFFFFF"/>
              <w:bottom w:val="nil"/>
              <w:right w:val="single" w:sz="4" w:space="0" w:color="FFFFFF"/>
            </w:tcBorders>
            <w:shd w:val="clear" w:color="000000" w:fill="AF272F"/>
            <w:vAlign w:val="bottom"/>
            <w:hideMark/>
          </w:tcPr>
          <w:p w14:paraId="2DABDDEC" w14:textId="77777777" w:rsidR="002B70AB" w:rsidRPr="005734B8" w:rsidRDefault="002B70AB" w:rsidP="002B70AB">
            <w:pPr>
              <w:jc w:val="center"/>
              <w:rPr>
                <w:rFonts w:ascii="Calibri" w:hAnsi="Calibri" w:cs="Calibri"/>
                <w:b/>
                <w:color w:val="FFFFFF"/>
                <w:sz w:val="18"/>
                <w:szCs w:val="18"/>
              </w:rPr>
            </w:pPr>
            <w:r w:rsidRPr="005734B8">
              <w:rPr>
                <w:rFonts w:ascii="Calibri" w:hAnsi="Calibri" w:cs="Calibri"/>
                <w:b/>
                <w:color w:val="FFFFFF"/>
                <w:sz w:val="18"/>
                <w:szCs w:val="18"/>
              </w:rPr>
              <w:t> </w:t>
            </w:r>
          </w:p>
        </w:tc>
        <w:tc>
          <w:tcPr>
            <w:tcW w:w="1091" w:type="dxa"/>
            <w:tcBorders>
              <w:top w:val="nil"/>
              <w:left w:val="nil"/>
              <w:bottom w:val="nil"/>
              <w:right w:val="single" w:sz="4" w:space="0" w:color="FFFFFF"/>
            </w:tcBorders>
            <w:shd w:val="clear" w:color="000000" w:fill="AF272F"/>
            <w:hideMark/>
          </w:tcPr>
          <w:p w14:paraId="356D7C74" w14:textId="77777777" w:rsidR="002B70AB" w:rsidRPr="005734B8" w:rsidRDefault="002B70AB" w:rsidP="002B70AB">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82" w:type="dxa"/>
            <w:tcBorders>
              <w:top w:val="nil"/>
              <w:left w:val="nil"/>
              <w:bottom w:val="nil"/>
              <w:right w:val="single" w:sz="4" w:space="0" w:color="FFFFFF"/>
            </w:tcBorders>
            <w:shd w:val="clear" w:color="000000" w:fill="AF272F"/>
            <w:hideMark/>
          </w:tcPr>
          <w:p w14:paraId="444C4030" w14:textId="77777777" w:rsidR="002B70AB" w:rsidRPr="005734B8" w:rsidRDefault="002B70AB" w:rsidP="002B70AB">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tr w:rsidR="002B70AB" w:rsidRPr="005734B8" w14:paraId="5AE5BE1B" w14:textId="77777777" w:rsidTr="002B70AB">
        <w:trPr>
          <w:trHeight w:val="255"/>
        </w:trPr>
        <w:tc>
          <w:tcPr>
            <w:tcW w:w="5452" w:type="dxa"/>
            <w:tcBorders>
              <w:top w:val="nil"/>
              <w:left w:val="single" w:sz="4" w:space="0" w:color="FFFFFF"/>
              <w:bottom w:val="single" w:sz="4" w:space="0" w:color="auto"/>
              <w:right w:val="single" w:sz="4" w:space="0" w:color="FFFFFF"/>
            </w:tcBorders>
            <w:shd w:val="clear" w:color="000000" w:fill="D9D9D9"/>
            <w:vAlign w:val="center"/>
            <w:hideMark/>
          </w:tcPr>
          <w:p w14:paraId="15875B52" w14:textId="77777777" w:rsidR="002B70AB" w:rsidRPr="005734B8" w:rsidRDefault="002B70AB" w:rsidP="002B70AB">
            <w:pPr>
              <w:rPr>
                <w:rFonts w:ascii="Calibri" w:hAnsi="Calibri" w:cs="Calibri"/>
                <w:b/>
                <w:sz w:val="18"/>
                <w:szCs w:val="18"/>
              </w:rPr>
            </w:pPr>
            <w:r w:rsidRPr="005734B8">
              <w:rPr>
                <w:rFonts w:ascii="Calibri" w:hAnsi="Calibri" w:cs="Calibri"/>
                <w:b/>
                <w:sz w:val="18"/>
                <w:szCs w:val="18"/>
              </w:rPr>
              <w:t>Contractual</w:t>
            </w:r>
          </w:p>
        </w:tc>
        <w:tc>
          <w:tcPr>
            <w:tcW w:w="1091" w:type="dxa"/>
            <w:tcBorders>
              <w:top w:val="nil"/>
              <w:left w:val="nil"/>
              <w:bottom w:val="single" w:sz="4" w:space="0" w:color="auto"/>
              <w:right w:val="single" w:sz="4" w:space="0" w:color="FFFFFF"/>
            </w:tcBorders>
            <w:shd w:val="clear" w:color="000000" w:fill="D9D9D9"/>
            <w:vAlign w:val="bottom"/>
            <w:hideMark/>
          </w:tcPr>
          <w:p w14:paraId="04C7266B" w14:textId="77777777" w:rsidR="002B70AB" w:rsidRPr="005734B8" w:rsidRDefault="002B70AB" w:rsidP="002B70AB">
            <w:pPr>
              <w:rPr>
                <w:rFonts w:ascii="Calibri" w:hAnsi="Calibri" w:cs="Calibri"/>
                <w:b/>
                <w:sz w:val="18"/>
                <w:szCs w:val="18"/>
              </w:rPr>
            </w:pPr>
            <w:r w:rsidRPr="005734B8">
              <w:rPr>
                <w:rFonts w:ascii="Calibri" w:hAnsi="Calibri" w:cs="Calibri"/>
                <w:b/>
                <w:sz w:val="18"/>
                <w:szCs w:val="18"/>
              </w:rPr>
              <w:t> </w:t>
            </w:r>
          </w:p>
        </w:tc>
        <w:tc>
          <w:tcPr>
            <w:tcW w:w="1082" w:type="dxa"/>
            <w:tcBorders>
              <w:top w:val="nil"/>
              <w:left w:val="nil"/>
              <w:bottom w:val="single" w:sz="4" w:space="0" w:color="auto"/>
              <w:right w:val="single" w:sz="4" w:space="0" w:color="FFFFFF"/>
            </w:tcBorders>
            <w:shd w:val="clear" w:color="000000" w:fill="D9D9D9"/>
            <w:vAlign w:val="bottom"/>
            <w:hideMark/>
          </w:tcPr>
          <w:p w14:paraId="6719913D" w14:textId="77777777" w:rsidR="002B70AB" w:rsidRPr="005734B8" w:rsidRDefault="002B70AB" w:rsidP="002B70AB">
            <w:pPr>
              <w:rPr>
                <w:rFonts w:ascii="Calibri" w:hAnsi="Calibri" w:cs="Calibri"/>
                <w:b/>
                <w:sz w:val="18"/>
                <w:szCs w:val="18"/>
              </w:rPr>
            </w:pPr>
            <w:r w:rsidRPr="005734B8">
              <w:rPr>
                <w:rFonts w:ascii="Calibri" w:hAnsi="Calibri" w:cs="Calibri"/>
                <w:b/>
                <w:sz w:val="18"/>
                <w:szCs w:val="18"/>
              </w:rPr>
              <w:t> </w:t>
            </w:r>
          </w:p>
        </w:tc>
      </w:tr>
      <w:tr w:rsidR="002B70AB" w:rsidRPr="005734B8" w14:paraId="37D870CB" w14:textId="77777777" w:rsidTr="002B70AB">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3ABAEFB2" w14:textId="77777777" w:rsidR="002B70AB" w:rsidRPr="005734B8" w:rsidRDefault="002B70AB" w:rsidP="002B70AB">
            <w:pPr>
              <w:rPr>
                <w:rFonts w:ascii="Calibri" w:hAnsi="Calibri" w:cs="Calibri"/>
                <w:sz w:val="18"/>
                <w:szCs w:val="18"/>
              </w:rPr>
            </w:pPr>
            <w:r w:rsidRPr="005734B8">
              <w:rPr>
                <w:rFonts w:ascii="Calibri" w:hAnsi="Calibri" w:cs="Calibri"/>
                <w:sz w:val="18"/>
                <w:szCs w:val="18"/>
              </w:rPr>
              <w:t>Salaries, wages and on-costs</w:t>
            </w:r>
          </w:p>
        </w:tc>
        <w:tc>
          <w:tcPr>
            <w:tcW w:w="1091" w:type="dxa"/>
            <w:tcBorders>
              <w:top w:val="nil"/>
              <w:left w:val="nil"/>
              <w:bottom w:val="single" w:sz="4" w:space="0" w:color="auto"/>
              <w:right w:val="single" w:sz="4" w:space="0" w:color="FFFFFF"/>
            </w:tcBorders>
            <w:shd w:val="clear" w:color="000000" w:fill="D9D9D9"/>
            <w:noWrap/>
            <w:vAlign w:val="center"/>
            <w:hideMark/>
          </w:tcPr>
          <w:p w14:paraId="308A49FF" w14:textId="77777777" w:rsidR="002B70AB" w:rsidRPr="005734B8" w:rsidRDefault="002B70AB" w:rsidP="002B70AB">
            <w:pPr>
              <w:jc w:val="right"/>
              <w:rPr>
                <w:rFonts w:ascii="Calibri" w:hAnsi="Calibri" w:cs="Calibri"/>
                <w:sz w:val="18"/>
                <w:szCs w:val="18"/>
              </w:rPr>
            </w:pPr>
            <w:r w:rsidRPr="005734B8">
              <w:rPr>
                <w:rFonts w:ascii="Calibri" w:hAnsi="Calibri" w:cs="Calibri"/>
                <w:sz w:val="18"/>
                <w:szCs w:val="18"/>
              </w:rPr>
              <w:t xml:space="preserve">59.2 </w:t>
            </w:r>
          </w:p>
        </w:tc>
        <w:tc>
          <w:tcPr>
            <w:tcW w:w="1082" w:type="dxa"/>
            <w:tcBorders>
              <w:top w:val="nil"/>
              <w:left w:val="nil"/>
              <w:bottom w:val="single" w:sz="4" w:space="0" w:color="auto"/>
              <w:right w:val="single" w:sz="4" w:space="0" w:color="FFFFFF"/>
            </w:tcBorders>
            <w:shd w:val="clear" w:color="FFFFFF" w:fill="FFFFFF"/>
            <w:noWrap/>
            <w:vAlign w:val="center"/>
            <w:hideMark/>
          </w:tcPr>
          <w:p w14:paraId="4445764E" w14:textId="77777777" w:rsidR="002B70AB" w:rsidRPr="005734B8" w:rsidRDefault="002B70AB" w:rsidP="002B70AB">
            <w:pPr>
              <w:jc w:val="right"/>
              <w:rPr>
                <w:rFonts w:ascii="Calibri" w:hAnsi="Calibri" w:cs="Calibri"/>
                <w:sz w:val="18"/>
                <w:szCs w:val="18"/>
              </w:rPr>
            </w:pPr>
            <w:r w:rsidRPr="005734B8">
              <w:rPr>
                <w:rFonts w:ascii="Calibri" w:hAnsi="Calibri" w:cs="Calibri"/>
                <w:sz w:val="18"/>
                <w:szCs w:val="18"/>
              </w:rPr>
              <w:t xml:space="preserve">210.5 </w:t>
            </w:r>
          </w:p>
        </w:tc>
      </w:tr>
      <w:tr w:rsidR="002B70AB" w:rsidRPr="005734B8" w14:paraId="184C35E0" w14:textId="77777777" w:rsidTr="002B70AB">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056BE927" w14:textId="77777777" w:rsidR="002B70AB" w:rsidRPr="005734B8" w:rsidRDefault="002B70AB" w:rsidP="002B70AB">
            <w:pPr>
              <w:rPr>
                <w:rFonts w:ascii="Calibri" w:hAnsi="Calibri" w:cs="Calibri"/>
                <w:sz w:val="18"/>
                <w:szCs w:val="18"/>
              </w:rPr>
            </w:pPr>
            <w:r w:rsidRPr="005734B8">
              <w:rPr>
                <w:rFonts w:ascii="Calibri" w:hAnsi="Calibri" w:cs="Calibri"/>
                <w:sz w:val="18"/>
                <w:szCs w:val="18"/>
              </w:rPr>
              <w:t>Accrued grants and transfer payments</w:t>
            </w:r>
          </w:p>
        </w:tc>
        <w:tc>
          <w:tcPr>
            <w:tcW w:w="1091" w:type="dxa"/>
            <w:tcBorders>
              <w:top w:val="nil"/>
              <w:left w:val="nil"/>
              <w:bottom w:val="single" w:sz="4" w:space="0" w:color="auto"/>
              <w:right w:val="single" w:sz="4" w:space="0" w:color="FFFFFF"/>
            </w:tcBorders>
            <w:shd w:val="clear" w:color="000000" w:fill="D9D9D9"/>
            <w:noWrap/>
            <w:vAlign w:val="center"/>
            <w:hideMark/>
          </w:tcPr>
          <w:p w14:paraId="17DC22A3" w14:textId="77777777" w:rsidR="002B70AB" w:rsidRPr="005734B8" w:rsidRDefault="002B70AB" w:rsidP="002B70AB">
            <w:pPr>
              <w:jc w:val="right"/>
              <w:rPr>
                <w:rFonts w:ascii="Calibri" w:hAnsi="Calibri" w:cs="Calibri"/>
                <w:sz w:val="18"/>
                <w:szCs w:val="18"/>
              </w:rPr>
            </w:pPr>
            <w:r w:rsidRPr="005734B8">
              <w:rPr>
                <w:rFonts w:ascii="Calibri" w:hAnsi="Calibri" w:cs="Calibri"/>
                <w:sz w:val="18"/>
                <w:szCs w:val="18"/>
              </w:rPr>
              <w:t xml:space="preserve">118.1 </w:t>
            </w:r>
          </w:p>
        </w:tc>
        <w:tc>
          <w:tcPr>
            <w:tcW w:w="1082" w:type="dxa"/>
            <w:tcBorders>
              <w:top w:val="nil"/>
              <w:left w:val="nil"/>
              <w:bottom w:val="single" w:sz="4" w:space="0" w:color="auto"/>
              <w:right w:val="single" w:sz="4" w:space="0" w:color="FFFFFF"/>
            </w:tcBorders>
            <w:shd w:val="clear" w:color="FFFFFF" w:fill="FFFFFF"/>
            <w:noWrap/>
            <w:vAlign w:val="center"/>
            <w:hideMark/>
          </w:tcPr>
          <w:p w14:paraId="732973CB" w14:textId="77777777" w:rsidR="002B70AB" w:rsidRPr="005734B8" w:rsidRDefault="002B70AB" w:rsidP="002B70AB">
            <w:pPr>
              <w:jc w:val="right"/>
              <w:rPr>
                <w:rFonts w:ascii="Calibri" w:hAnsi="Calibri" w:cs="Calibri"/>
                <w:sz w:val="18"/>
                <w:szCs w:val="18"/>
              </w:rPr>
            </w:pPr>
            <w:r w:rsidRPr="005734B8">
              <w:rPr>
                <w:rFonts w:ascii="Calibri" w:hAnsi="Calibri" w:cs="Calibri"/>
                <w:sz w:val="18"/>
                <w:szCs w:val="18"/>
              </w:rPr>
              <w:t xml:space="preserve">113.6 </w:t>
            </w:r>
          </w:p>
        </w:tc>
      </w:tr>
      <w:tr w:rsidR="002B70AB" w:rsidRPr="005734B8" w14:paraId="48031BE1" w14:textId="77777777" w:rsidTr="002B70AB">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3EBB810E" w14:textId="77777777" w:rsidR="002B70AB" w:rsidRPr="005734B8" w:rsidRDefault="002B70AB" w:rsidP="002B70AB">
            <w:pPr>
              <w:rPr>
                <w:rFonts w:ascii="Calibri" w:hAnsi="Calibri" w:cs="Calibri"/>
                <w:sz w:val="18"/>
                <w:szCs w:val="18"/>
              </w:rPr>
            </w:pPr>
            <w:r w:rsidRPr="005734B8">
              <w:rPr>
                <w:rFonts w:ascii="Calibri" w:hAnsi="Calibri" w:cs="Calibri"/>
                <w:sz w:val="18"/>
                <w:szCs w:val="18"/>
              </w:rPr>
              <w:t>Deferred capital grant revenue</w:t>
            </w:r>
          </w:p>
        </w:tc>
        <w:tc>
          <w:tcPr>
            <w:tcW w:w="1091" w:type="dxa"/>
            <w:tcBorders>
              <w:top w:val="nil"/>
              <w:left w:val="nil"/>
              <w:bottom w:val="single" w:sz="4" w:space="0" w:color="auto"/>
              <w:right w:val="single" w:sz="4" w:space="0" w:color="FFFFFF"/>
            </w:tcBorders>
            <w:shd w:val="clear" w:color="000000" w:fill="D9D9D9"/>
            <w:noWrap/>
            <w:vAlign w:val="center"/>
            <w:hideMark/>
          </w:tcPr>
          <w:p w14:paraId="3A52D625" w14:textId="77777777" w:rsidR="002B70AB" w:rsidRPr="005734B8" w:rsidRDefault="002B70AB" w:rsidP="002B70AB">
            <w:pPr>
              <w:jc w:val="right"/>
              <w:rPr>
                <w:rFonts w:ascii="Calibri" w:hAnsi="Calibri" w:cs="Calibri"/>
                <w:sz w:val="18"/>
                <w:szCs w:val="18"/>
              </w:rPr>
            </w:pPr>
            <w:r w:rsidRPr="005734B8">
              <w:rPr>
                <w:rFonts w:ascii="Calibri" w:hAnsi="Calibri" w:cs="Calibri"/>
                <w:sz w:val="18"/>
                <w:szCs w:val="18"/>
              </w:rPr>
              <w:t xml:space="preserve">1.3 </w:t>
            </w:r>
          </w:p>
        </w:tc>
        <w:tc>
          <w:tcPr>
            <w:tcW w:w="1082" w:type="dxa"/>
            <w:tcBorders>
              <w:top w:val="nil"/>
              <w:left w:val="nil"/>
              <w:bottom w:val="single" w:sz="4" w:space="0" w:color="auto"/>
              <w:right w:val="single" w:sz="4" w:space="0" w:color="FFFFFF"/>
            </w:tcBorders>
            <w:shd w:val="clear" w:color="FFFFFF" w:fill="FFFFFF"/>
            <w:noWrap/>
            <w:vAlign w:val="center"/>
            <w:hideMark/>
          </w:tcPr>
          <w:p w14:paraId="16EE1E0A" w14:textId="77777777" w:rsidR="002B70AB" w:rsidRPr="005734B8" w:rsidRDefault="002B70AB" w:rsidP="002B70AB">
            <w:pPr>
              <w:jc w:val="right"/>
              <w:rPr>
                <w:rFonts w:ascii="Calibri" w:hAnsi="Calibri" w:cs="Calibri"/>
                <w:sz w:val="18"/>
                <w:szCs w:val="18"/>
              </w:rPr>
            </w:pPr>
            <w:r w:rsidRPr="005734B8">
              <w:rPr>
                <w:rFonts w:ascii="Calibri" w:hAnsi="Calibri" w:cs="Calibri"/>
                <w:sz w:val="18"/>
                <w:szCs w:val="18"/>
              </w:rPr>
              <w:t xml:space="preserve">12.0 </w:t>
            </w:r>
          </w:p>
        </w:tc>
      </w:tr>
      <w:tr w:rsidR="002B70AB" w:rsidRPr="005734B8" w14:paraId="70B53335" w14:textId="77777777" w:rsidTr="002B70AB">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3A51740F" w14:textId="77777777" w:rsidR="002B70AB" w:rsidRPr="005734B8" w:rsidRDefault="002B70AB" w:rsidP="002B70AB">
            <w:pPr>
              <w:rPr>
                <w:rFonts w:ascii="Calibri" w:hAnsi="Calibri" w:cs="Calibri"/>
                <w:sz w:val="18"/>
                <w:szCs w:val="18"/>
              </w:rPr>
            </w:pPr>
            <w:r w:rsidRPr="005734B8">
              <w:rPr>
                <w:rFonts w:ascii="Calibri" w:hAnsi="Calibri" w:cs="Calibri"/>
                <w:sz w:val="18"/>
                <w:szCs w:val="18"/>
              </w:rPr>
              <w:t>Schools creditors</w:t>
            </w:r>
          </w:p>
        </w:tc>
        <w:tc>
          <w:tcPr>
            <w:tcW w:w="1091" w:type="dxa"/>
            <w:tcBorders>
              <w:top w:val="nil"/>
              <w:left w:val="nil"/>
              <w:bottom w:val="single" w:sz="4" w:space="0" w:color="auto"/>
              <w:right w:val="single" w:sz="4" w:space="0" w:color="FFFFFF"/>
            </w:tcBorders>
            <w:shd w:val="clear" w:color="000000" w:fill="D9D9D9"/>
            <w:noWrap/>
            <w:vAlign w:val="center"/>
            <w:hideMark/>
          </w:tcPr>
          <w:p w14:paraId="61DE3DD0" w14:textId="77777777" w:rsidR="002B70AB" w:rsidRPr="005734B8" w:rsidRDefault="002B70AB" w:rsidP="002B70AB">
            <w:pPr>
              <w:jc w:val="right"/>
              <w:rPr>
                <w:rFonts w:ascii="Calibri" w:hAnsi="Calibri" w:cs="Calibri"/>
                <w:sz w:val="18"/>
                <w:szCs w:val="18"/>
              </w:rPr>
            </w:pPr>
            <w:r w:rsidRPr="005734B8">
              <w:rPr>
                <w:rFonts w:ascii="Calibri" w:hAnsi="Calibri" w:cs="Calibri"/>
                <w:sz w:val="18"/>
                <w:szCs w:val="18"/>
              </w:rPr>
              <w:t xml:space="preserve">11.9 </w:t>
            </w:r>
          </w:p>
        </w:tc>
        <w:tc>
          <w:tcPr>
            <w:tcW w:w="1082" w:type="dxa"/>
            <w:tcBorders>
              <w:top w:val="nil"/>
              <w:left w:val="nil"/>
              <w:bottom w:val="single" w:sz="4" w:space="0" w:color="auto"/>
              <w:right w:val="single" w:sz="4" w:space="0" w:color="FFFFFF"/>
            </w:tcBorders>
            <w:shd w:val="clear" w:color="FFFFFF" w:fill="FFFFFF"/>
            <w:noWrap/>
            <w:vAlign w:val="center"/>
            <w:hideMark/>
          </w:tcPr>
          <w:p w14:paraId="25F630A7" w14:textId="77777777" w:rsidR="002B70AB" w:rsidRPr="005734B8" w:rsidRDefault="002B70AB" w:rsidP="002B70AB">
            <w:pPr>
              <w:jc w:val="right"/>
              <w:rPr>
                <w:rFonts w:ascii="Calibri" w:hAnsi="Calibri" w:cs="Calibri"/>
                <w:sz w:val="18"/>
                <w:szCs w:val="18"/>
              </w:rPr>
            </w:pPr>
            <w:r w:rsidRPr="005734B8">
              <w:rPr>
                <w:rFonts w:ascii="Calibri" w:hAnsi="Calibri" w:cs="Calibri"/>
                <w:sz w:val="18"/>
                <w:szCs w:val="18"/>
              </w:rPr>
              <w:t xml:space="preserve">11.1 </w:t>
            </w:r>
          </w:p>
        </w:tc>
      </w:tr>
      <w:tr w:rsidR="002B70AB" w:rsidRPr="005734B8" w14:paraId="679FAF50" w14:textId="77777777" w:rsidTr="002B70AB">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727A6F76" w14:textId="77777777" w:rsidR="002B70AB" w:rsidRPr="005734B8" w:rsidRDefault="002B70AB" w:rsidP="002B70AB">
            <w:pPr>
              <w:rPr>
                <w:rFonts w:ascii="Calibri" w:hAnsi="Calibri" w:cs="Calibri"/>
                <w:sz w:val="18"/>
                <w:szCs w:val="18"/>
              </w:rPr>
            </w:pPr>
            <w:r w:rsidRPr="005734B8">
              <w:rPr>
                <w:rFonts w:ascii="Calibri" w:hAnsi="Calibri" w:cs="Calibri"/>
                <w:sz w:val="18"/>
                <w:szCs w:val="18"/>
              </w:rPr>
              <w:t>Capital expenditure</w:t>
            </w:r>
          </w:p>
        </w:tc>
        <w:tc>
          <w:tcPr>
            <w:tcW w:w="1091" w:type="dxa"/>
            <w:tcBorders>
              <w:top w:val="nil"/>
              <w:left w:val="nil"/>
              <w:bottom w:val="single" w:sz="4" w:space="0" w:color="auto"/>
              <w:right w:val="single" w:sz="4" w:space="0" w:color="FFFFFF"/>
            </w:tcBorders>
            <w:shd w:val="clear" w:color="000000" w:fill="D9D9D9"/>
            <w:noWrap/>
            <w:vAlign w:val="center"/>
            <w:hideMark/>
          </w:tcPr>
          <w:p w14:paraId="5E1301C5" w14:textId="77777777" w:rsidR="002B70AB" w:rsidRPr="005734B8" w:rsidRDefault="002B70AB" w:rsidP="002B70AB">
            <w:pPr>
              <w:jc w:val="right"/>
              <w:rPr>
                <w:rFonts w:ascii="Calibri" w:hAnsi="Calibri" w:cs="Calibri"/>
                <w:sz w:val="18"/>
                <w:szCs w:val="18"/>
              </w:rPr>
            </w:pPr>
            <w:r w:rsidRPr="005734B8">
              <w:rPr>
                <w:rFonts w:ascii="Calibri" w:hAnsi="Calibri" w:cs="Calibri"/>
                <w:sz w:val="18"/>
                <w:szCs w:val="18"/>
              </w:rPr>
              <w:t xml:space="preserve">217.8 </w:t>
            </w:r>
          </w:p>
        </w:tc>
        <w:tc>
          <w:tcPr>
            <w:tcW w:w="1082" w:type="dxa"/>
            <w:tcBorders>
              <w:top w:val="nil"/>
              <w:left w:val="nil"/>
              <w:bottom w:val="single" w:sz="4" w:space="0" w:color="auto"/>
              <w:right w:val="single" w:sz="4" w:space="0" w:color="FFFFFF"/>
            </w:tcBorders>
            <w:shd w:val="clear" w:color="FFFFFF" w:fill="FFFFFF"/>
            <w:noWrap/>
            <w:vAlign w:val="center"/>
            <w:hideMark/>
          </w:tcPr>
          <w:p w14:paraId="1A37BECE" w14:textId="77777777" w:rsidR="002B70AB" w:rsidRPr="005734B8" w:rsidRDefault="002B70AB" w:rsidP="002B70AB">
            <w:pPr>
              <w:jc w:val="right"/>
              <w:rPr>
                <w:rFonts w:ascii="Calibri" w:hAnsi="Calibri" w:cs="Calibri"/>
                <w:sz w:val="18"/>
                <w:szCs w:val="18"/>
              </w:rPr>
            </w:pPr>
            <w:r w:rsidRPr="005734B8">
              <w:rPr>
                <w:rFonts w:ascii="Calibri" w:hAnsi="Calibri" w:cs="Calibri"/>
                <w:sz w:val="18"/>
                <w:szCs w:val="18"/>
              </w:rPr>
              <w:t xml:space="preserve">217.2 </w:t>
            </w:r>
          </w:p>
        </w:tc>
      </w:tr>
      <w:tr w:rsidR="002B70AB" w:rsidRPr="005734B8" w14:paraId="14CA1E5F" w14:textId="77777777" w:rsidTr="002B70AB">
        <w:trPr>
          <w:trHeight w:val="270"/>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74157F07" w14:textId="77777777" w:rsidR="002B70AB" w:rsidRPr="005734B8" w:rsidRDefault="002B70AB" w:rsidP="002B70AB">
            <w:pPr>
              <w:rPr>
                <w:rFonts w:ascii="Calibri" w:hAnsi="Calibri" w:cs="Calibri"/>
                <w:sz w:val="18"/>
                <w:szCs w:val="18"/>
              </w:rPr>
            </w:pPr>
            <w:r w:rsidRPr="005734B8">
              <w:rPr>
                <w:rFonts w:ascii="Calibri" w:hAnsi="Calibri" w:cs="Calibri"/>
                <w:sz w:val="18"/>
                <w:szCs w:val="18"/>
              </w:rPr>
              <w:t>Operating expenditure</w:t>
            </w:r>
          </w:p>
        </w:tc>
        <w:tc>
          <w:tcPr>
            <w:tcW w:w="1091" w:type="dxa"/>
            <w:tcBorders>
              <w:top w:val="nil"/>
              <w:left w:val="nil"/>
              <w:bottom w:val="single" w:sz="4" w:space="0" w:color="auto"/>
              <w:right w:val="single" w:sz="4" w:space="0" w:color="FFFFFF"/>
            </w:tcBorders>
            <w:shd w:val="clear" w:color="000000" w:fill="D9D9D9"/>
            <w:noWrap/>
            <w:vAlign w:val="center"/>
            <w:hideMark/>
          </w:tcPr>
          <w:p w14:paraId="77B7301E" w14:textId="77777777" w:rsidR="002B70AB" w:rsidRPr="005734B8" w:rsidRDefault="002B70AB" w:rsidP="002B70AB">
            <w:pPr>
              <w:jc w:val="right"/>
              <w:rPr>
                <w:rFonts w:ascii="Calibri" w:hAnsi="Calibri" w:cs="Calibri"/>
                <w:sz w:val="18"/>
                <w:szCs w:val="18"/>
              </w:rPr>
            </w:pPr>
            <w:r w:rsidRPr="005734B8">
              <w:rPr>
                <w:rFonts w:ascii="Calibri" w:hAnsi="Calibri" w:cs="Calibri"/>
                <w:sz w:val="18"/>
                <w:szCs w:val="18"/>
              </w:rPr>
              <w:t xml:space="preserve">184.9 </w:t>
            </w:r>
          </w:p>
        </w:tc>
        <w:tc>
          <w:tcPr>
            <w:tcW w:w="1082" w:type="dxa"/>
            <w:tcBorders>
              <w:top w:val="nil"/>
              <w:left w:val="nil"/>
              <w:bottom w:val="single" w:sz="4" w:space="0" w:color="auto"/>
              <w:right w:val="single" w:sz="4" w:space="0" w:color="FFFFFF"/>
            </w:tcBorders>
            <w:shd w:val="clear" w:color="FFFFFF" w:fill="FFFFFF"/>
            <w:noWrap/>
            <w:vAlign w:val="center"/>
            <w:hideMark/>
          </w:tcPr>
          <w:p w14:paraId="49BDE369" w14:textId="77777777" w:rsidR="002B70AB" w:rsidRPr="005734B8" w:rsidRDefault="002B70AB" w:rsidP="002B70AB">
            <w:pPr>
              <w:jc w:val="right"/>
              <w:rPr>
                <w:rFonts w:ascii="Calibri" w:hAnsi="Calibri" w:cs="Calibri"/>
                <w:sz w:val="18"/>
                <w:szCs w:val="18"/>
              </w:rPr>
            </w:pPr>
            <w:r w:rsidRPr="005734B8">
              <w:rPr>
                <w:rFonts w:ascii="Calibri" w:hAnsi="Calibri" w:cs="Calibri"/>
                <w:sz w:val="18"/>
                <w:szCs w:val="18"/>
              </w:rPr>
              <w:t xml:space="preserve">229.2 </w:t>
            </w:r>
          </w:p>
        </w:tc>
      </w:tr>
      <w:tr w:rsidR="002B70AB" w:rsidRPr="005734B8" w14:paraId="23C57A0B" w14:textId="77777777" w:rsidTr="002B70AB">
        <w:trPr>
          <w:trHeight w:val="28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28FBD338" w14:textId="77777777" w:rsidR="002B70AB" w:rsidRPr="005734B8" w:rsidRDefault="002B70AB" w:rsidP="002B70AB">
            <w:pPr>
              <w:rPr>
                <w:rFonts w:ascii="Calibri" w:hAnsi="Calibri" w:cs="Calibri"/>
                <w:sz w:val="18"/>
                <w:szCs w:val="18"/>
              </w:rPr>
            </w:pPr>
            <w:r w:rsidRPr="005734B8">
              <w:rPr>
                <w:rFonts w:ascii="Calibri" w:hAnsi="Calibri" w:cs="Calibri"/>
                <w:sz w:val="18"/>
                <w:szCs w:val="18"/>
              </w:rPr>
              <w:t>Advances received</w:t>
            </w:r>
          </w:p>
        </w:tc>
        <w:tc>
          <w:tcPr>
            <w:tcW w:w="1091" w:type="dxa"/>
            <w:tcBorders>
              <w:top w:val="nil"/>
              <w:left w:val="nil"/>
              <w:bottom w:val="single" w:sz="4" w:space="0" w:color="auto"/>
              <w:right w:val="single" w:sz="4" w:space="0" w:color="FFFFFF"/>
            </w:tcBorders>
            <w:shd w:val="clear" w:color="000000" w:fill="D9D9D9"/>
            <w:noWrap/>
            <w:vAlign w:val="center"/>
            <w:hideMark/>
          </w:tcPr>
          <w:p w14:paraId="5FE2C15E" w14:textId="77777777" w:rsidR="002B70AB" w:rsidRPr="005734B8" w:rsidRDefault="002B70AB" w:rsidP="002B70AB">
            <w:pPr>
              <w:jc w:val="right"/>
              <w:rPr>
                <w:rFonts w:ascii="Calibri" w:hAnsi="Calibri" w:cs="Calibri"/>
                <w:sz w:val="18"/>
                <w:szCs w:val="18"/>
              </w:rPr>
            </w:pPr>
            <w:r w:rsidRPr="005734B8">
              <w:rPr>
                <w:rFonts w:ascii="Calibri" w:hAnsi="Calibri" w:cs="Calibri"/>
                <w:sz w:val="18"/>
                <w:szCs w:val="18"/>
              </w:rPr>
              <w:t xml:space="preserve">5.0 </w:t>
            </w:r>
          </w:p>
        </w:tc>
        <w:tc>
          <w:tcPr>
            <w:tcW w:w="1082" w:type="dxa"/>
            <w:tcBorders>
              <w:top w:val="nil"/>
              <w:left w:val="nil"/>
              <w:bottom w:val="single" w:sz="4" w:space="0" w:color="auto"/>
              <w:right w:val="single" w:sz="4" w:space="0" w:color="FFFFFF"/>
            </w:tcBorders>
            <w:shd w:val="clear" w:color="FFFFFF" w:fill="FFFFFF"/>
            <w:noWrap/>
            <w:vAlign w:val="center"/>
            <w:hideMark/>
          </w:tcPr>
          <w:p w14:paraId="19210B91" w14:textId="0CF2F3C9" w:rsidR="002B70AB" w:rsidRPr="005734B8" w:rsidRDefault="006C14DE" w:rsidP="002B70AB">
            <w:pPr>
              <w:jc w:val="right"/>
              <w:rPr>
                <w:rFonts w:ascii="Calibri" w:hAnsi="Calibri" w:cs="Calibri"/>
                <w:sz w:val="18"/>
                <w:szCs w:val="18"/>
              </w:rPr>
            </w:pPr>
            <w:r w:rsidRPr="005734B8">
              <w:rPr>
                <w:rFonts w:ascii="Calibri" w:hAnsi="Calibri" w:cs="Calibri"/>
                <w:sz w:val="18"/>
                <w:szCs w:val="18"/>
              </w:rPr>
              <w:t>–</w:t>
            </w:r>
            <w:r w:rsidR="002B70AB" w:rsidRPr="005734B8">
              <w:rPr>
                <w:rFonts w:ascii="Calibri" w:hAnsi="Calibri" w:cs="Calibri"/>
                <w:sz w:val="18"/>
                <w:szCs w:val="18"/>
              </w:rPr>
              <w:t xml:space="preserve"> </w:t>
            </w:r>
          </w:p>
        </w:tc>
      </w:tr>
      <w:tr w:rsidR="002B70AB" w:rsidRPr="005734B8" w14:paraId="17DDD002" w14:textId="77777777" w:rsidTr="002B70AB">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9E7AC98" w14:textId="77777777" w:rsidR="002B70AB" w:rsidRPr="005734B8" w:rsidRDefault="002B70AB" w:rsidP="002B70AB">
            <w:pPr>
              <w:rPr>
                <w:rFonts w:ascii="Calibri" w:hAnsi="Calibri" w:cs="Calibri"/>
                <w:b/>
                <w:sz w:val="18"/>
                <w:szCs w:val="18"/>
              </w:rPr>
            </w:pPr>
            <w:r w:rsidRPr="005734B8">
              <w:rPr>
                <w:rFonts w:ascii="Calibri" w:hAnsi="Calibri" w:cs="Calibri"/>
                <w:b/>
                <w:sz w:val="18"/>
                <w:szCs w:val="18"/>
              </w:rPr>
              <w:t>Total</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77D530B0" w14:textId="77777777" w:rsidR="002B70AB" w:rsidRPr="005734B8" w:rsidRDefault="002B70AB" w:rsidP="002B70AB">
            <w:pPr>
              <w:jc w:val="right"/>
              <w:rPr>
                <w:rFonts w:ascii="Calibri" w:hAnsi="Calibri" w:cs="Calibri"/>
                <w:b/>
                <w:sz w:val="18"/>
                <w:szCs w:val="18"/>
              </w:rPr>
            </w:pPr>
            <w:r w:rsidRPr="005734B8">
              <w:rPr>
                <w:rFonts w:ascii="Calibri" w:hAnsi="Calibri" w:cs="Calibri"/>
                <w:b/>
                <w:sz w:val="18"/>
                <w:szCs w:val="18"/>
              </w:rPr>
              <w:t xml:space="preserve">598.2 </w:t>
            </w:r>
          </w:p>
        </w:tc>
        <w:tc>
          <w:tcPr>
            <w:tcW w:w="1082" w:type="dxa"/>
            <w:tcBorders>
              <w:top w:val="single" w:sz="12" w:space="0" w:color="auto"/>
              <w:left w:val="nil"/>
              <w:bottom w:val="single" w:sz="12" w:space="0" w:color="auto"/>
              <w:right w:val="single" w:sz="4" w:space="0" w:color="FFFFFF"/>
            </w:tcBorders>
            <w:shd w:val="clear" w:color="000000" w:fill="D9D9D9"/>
            <w:noWrap/>
            <w:vAlign w:val="center"/>
            <w:hideMark/>
          </w:tcPr>
          <w:p w14:paraId="48B9B83D" w14:textId="77777777" w:rsidR="002B70AB" w:rsidRPr="005734B8" w:rsidRDefault="002B70AB" w:rsidP="002B70AB">
            <w:pPr>
              <w:jc w:val="right"/>
              <w:rPr>
                <w:rFonts w:ascii="Calibri" w:hAnsi="Calibri" w:cs="Calibri"/>
                <w:b/>
                <w:sz w:val="18"/>
                <w:szCs w:val="18"/>
              </w:rPr>
            </w:pPr>
            <w:r w:rsidRPr="005734B8">
              <w:rPr>
                <w:rFonts w:ascii="Calibri" w:hAnsi="Calibri" w:cs="Calibri"/>
                <w:b/>
                <w:sz w:val="18"/>
                <w:szCs w:val="18"/>
              </w:rPr>
              <w:t xml:space="preserve">793.6 </w:t>
            </w:r>
          </w:p>
        </w:tc>
      </w:tr>
      <w:tr w:rsidR="002B70AB" w:rsidRPr="005734B8" w14:paraId="0B46B72F" w14:textId="77777777" w:rsidTr="002B70AB">
        <w:trPr>
          <w:trHeight w:val="270"/>
        </w:trPr>
        <w:tc>
          <w:tcPr>
            <w:tcW w:w="5452"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33819A05" w14:textId="77777777" w:rsidR="002B70AB" w:rsidRPr="005734B8" w:rsidRDefault="002B70AB" w:rsidP="002B70AB">
            <w:pPr>
              <w:rPr>
                <w:rFonts w:ascii="Calibri" w:hAnsi="Calibri" w:cs="Calibri"/>
                <w:b/>
                <w:sz w:val="18"/>
                <w:szCs w:val="18"/>
              </w:rPr>
            </w:pPr>
            <w:r w:rsidRPr="005734B8">
              <w:rPr>
                <w:rFonts w:ascii="Calibri" w:hAnsi="Calibri" w:cs="Calibri"/>
                <w:b/>
                <w:sz w:val="18"/>
                <w:szCs w:val="18"/>
              </w:rPr>
              <w:t>Statutory</w:t>
            </w:r>
          </w:p>
        </w:tc>
        <w:tc>
          <w:tcPr>
            <w:tcW w:w="1091" w:type="dxa"/>
            <w:tcBorders>
              <w:top w:val="single" w:sz="4" w:space="0" w:color="auto"/>
              <w:left w:val="nil"/>
              <w:bottom w:val="single" w:sz="4" w:space="0" w:color="auto"/>
              <w:right w:val="single" w:sz="4" w:space="0" w:color="FFFFFF"/>
            </w:tcBorders>
            <w:shd w:val="clear" w:color="000000" w:fill="D9D9D9"/>
            <w:vAlign w:val="bottom"/>
            <w:hideMark/>
          </w:tcPr>
          <w:p w14:paraId="0DFE7BA0" w14:textId="77777777" w:rsidR="002B70AB" w:rsidRPr="005734B8" w:rsidRDefault="002B70AB" w:rsidP="002B70AB">
            <w:pPr>
              <w:rPr>
                <w:rFonts w:ascii="Calibri" w:hAnsi="Calibri" w:cs="Calibri"/>
                <w:b/>
                <w:sz w:val="18"/>
                <w:szCs w:val="18"/>
              </w:rPr>
            </w:pPr>
            <w:r w:rsidRPr="005734B8">
              <w:rPr>
                <w:rFonts w:ascii="Calibri" w:hAnsi="Calibri" w:cs="Calibri"/>
                <w:b/>
                <w:sz w:val="18"/>
                <w:szCs w:val="18"/>
              </w:rPr>
              <w:t> </w:t>
            </w:r>
          </w:p>
        </w:tc>
        <w:tc>
          <w:tcPr>
            <w:tcW w:w="1082" w:type="dxa"/>
            <w:tcBorders>
              <w:top w:val="single" w:sz="4" w:space="0" w:color="auto"/>
              <w:left w:val="nil"/>
              <w:bottom w:val="single" w:sz="4" w:space="0" w:color="auto"/>
              <w:right w:val="single" w:sz="4" w:space="0" w:color="FFFFFF"/>
            </w:tcBorders>
            <w:shd w:val="clear" w:color="000000" w:fill="D9D9D9"/>
            <w:vAlign w:val="bottom"/>
            <w:hideMark/>
          </w:tcPr>
          <w:p w14:paraId="76D95960" w14:textId="77777777" w:rsidR="002B70AB" w:rsidRPr="005734B8" w:rsidRDefault="002B70AB" w:rsidP="002B70AB">
            <w:pPr>
              <w:rPr>
                <w:rFonts w:ascii="Calibri" w:hAnsi="Calibri" w:cs="Calibri"/>
                <w:b/>
                <w:sz w:val="18"/>
                <w:szCs w:val="18"/>
              </w:rPr>
            </w:pPr>
            <w:r w:rsidRPr="005734B8">
              <w:rPr>
                <w:rFonts w:ascii="Calibri" w:hAnsi="Calibri" w:cs="Calibri"/>
                <w:b/>
                <w:sz w:val="18"/>
                <w:szCs w:val="18"/>
              </w:rPr>
              <w:t> </w:t>
            </w:r>
          </w:p>
        </w:tc>
      </w:tr>
      <w:tr w:rsidR="002B70AB" w:rsidRPr="005734B8" w14:paraId="6962DAE0" w14:textId="77777777" w:rsidTr="002B70AB">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32EE2A91" w14:textId="77777777" w:rsidR="002B70AB" w:rsidRPr="005734B8" w:rsidRDefault="002B70AB" w:rsidP="002B70AB">
            <w:pPr>
              <w:rPr>
                <w:rFonts w:ascii="Calibri" w:hAnsi="Calibri" w:cs="Calibri"/>
                <w:sz w:val="18"/>
                <w:szCs w:val="18"/>
              </w:rPr>
            </w:pPr>
            <w:r w:rsidRPr="005734B8">
              <w:rPr>
                <w:rFonts w:ascii="Calibri" w:hAnsi="Calibri" w:cs="Calibri"/>
                <w:sz w:val="18"/>
                <w:szCs w:val="18"/>
              </w:rPr>
              <w:t>Taxes payable</w:t>
            </w:r>
          </w:p>
        </w:tc>
        <w:tc>
          <w:tcPr>
            <w:tcW w:w="1091" w:type="dxa"/>
            <w:tcBorders>
              <w:top w:val="nil"/>
              <w:left w:val="nil"/>
              <w:bottom w:val="single" w:sz="4" w:space="0" w:color="auto"/>
              <w:right w:val="single" w:sz="4" w:space="0" w:color="FFFFFF"/>
            </w:tcBorders>
            <w:shd w:val="clear" w:color="000000" w:fill="D9D9D9"/>
            <w:noWrap/>
            <w:vAlign w:val="center"/>
            <w:hideMark/>
          </w:tcPr>
          <w:p w14:paraId="75E3C1C2" w14:textId="77777777" w:rsidR="002B70AB" w:rsidRPr="005734B8" w:rsidRDefault="002B70AB" w:rsidP="002B70AB">
            <w:pPr>
              <w:jc w:val="right"/>
              <w:rPr>
                <w:rFonts w:ascii="Calibri" w:hAnsi="Calibri" w:cs="Calibri"/>
                <w:sz w:val="18"/>
                <w:szCs w:val="18"/>
              </w:rPr>
            </w:pPr>
            <w:r w:rsidRPr="005734B8">
              <w:rPr>
                <w:rFonts w:ascii="Calibri" w:hAnsi="Calibri" w:cs="Calibri"/>
                <w:sz w:val="18"/>
                <w:szCs w:val="18"/>
              </w:rPr>
              <w:t xml:space="preserve">20.7 </w:t>
            </w:r>
          </w:p>
        </w:tc>
        <w:tc>
          <w:tcPr>
            <w:tcW w:w="1082" w:type="dxa"/>
            <w:tcBorders>
              <w:top w:val="nil"/>
              <w:left w:val="nil"/>
              <w:bottom w:val="single" w:sz="4" w:space="0" w:color="auto"/>
              <w:right w:val="single" w:sz="4" w:space="0" w:color="FFFFFF"/>
            </w:tcBorders>
            <w:shd w:val="clear" w:color="FFFFFF" w:fill="FFFFFF"/>
            <w:noWrap/>
            <w:vAlign w:val="center"/>
            <w:hideMark/>
          </w:tcPr>
          <w:p w14:paraId="3D8D1B73" w14:textId="77777777" w:rsidR="002B70AB" w:rsidRPr="005734B8" w:rsidRDefault="002B70AB" w:rsidP="002B70AB">
            <w:pPr>
              <w:jc w:val="right"/>
              <w:rPr>
                <w:rFonts w:ascii="Calibri" w:hAnsi="Calibri" w:cs="Calibri"/>
                <w:sz w:val="18"/>
                <w:szCs w:val="18"/>
              </w:rPr>
            </w:pPr>
            <w:r w:rsidRPr="005734B8">
              <w:rPr>
                <w:rFonts w:ascii="Calibri" w:hAnsi="Calibri" w:cs="Calibri"/>
                <w:sz w:val="18"/>
                <w:szCs w:val="18"/>
              </w:rPr>
              <w:t xml:space="preserve">19.6 </w:t>
            </w:r>
          </w:p>
        </w:tc>
      </w:tr>
      <w:tr w:rsidR="002B70AB" w:rsidRPr="005734B8" w14:paraId="491F27B8" w14:textId="77777777" w:rsidTr="002B70AB">
        <w:trPr>
          <w:trHeight w:val="270"/>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1073A3E3" w14:textId="77777777" w:rsidR="002B70AB" w:rsidRPr="005734B8" w:rsidRDefault="002B70AB" w:rsidP="002B70AB">
            <w:pPr>
              <w:rPr>
                <w:rFonts w:ascii="Calibri" w:hAnsi="Calibri" w:cs="Calibri"/>
                <w:sz w:val="18"/>
                <w:szCs w:val="18"/>
              </w:rPr>
            </w:pPr>
            <w:r w:rsidRPr="005734B8">
              <w:rPr>
                <w:rFonts w:ascii="Calibri" w:hAnsi="Calibri" w:cs="Calibri"/>
                <w:sz w:val="18"/>
                <w:szCs w:val="18"/>
              </w:rPr>
              <w:t>Advance from Public Account</w:t>
            </w:r>
          </w:p>
        </w:tc>
        <w:tc>
          <w:tcPr>
            <w:tcW w:w="1091" w:type="dxa"/>
            <w:tcBorders>
              <w:top w:val="nil"/>
              <w:left w:val="nil"/>
              <w:bottom w:val="single" w:sz="4" w:space="0" w:color="auto"/>
              <w:right w:val="single" w:sz="4" w:space="0" w:color="FFFFFF"/>
            </w:tcBorders>
            <w:shd w:val="clear" w:color="000000" w:fill="D9D9D9"/>
            <w:noWrap/>
            <w:vAlign w:val="center"/>
            <w:hideMark/>
          </w:tcPr>
          <w:p w14:paraId="3F62ED25" w14:textId="77777777" w:rsidR="002B70AB" w:rsidRPr="005734B8" w:rsidRDefault="002B70AB" w:rsidP="002B70AB">
            <w:pPr>
              <w:jc w:val="right"/>
              <w:rPr>
                <w:rFonts w:ascii="Calibri" w:hAnsi="Calibri" w:cs="Calibri"/>
                <w:sz w:val="18"/>
                <w:szCs w:val="18"/>
              </w:rPr>
            </w:pPr>
            <w:r w:rsidRPr="005734B8">
              <w:rPr>
                <w:rFonts w:ascii="Calibri" w:hAnsi="Calibri" w:cs="Calibri"/>
                <w:sz w:val="18"/>
                <w:szCs w:val="18"/>
              </w:rPr>
              <w:t xml:space="preserve">49.5 </w:t>
            </w:r>
          </w:p>
        </w:tc>
        <w:tc>
          <w:tcPr>
            <w:tcW w:w="1082" w:type="dxa"/>
            <w:tcBorders>
              <w:top w:val="nil"/>
              <w:left w:val="nil"/>
              <w:bottom w:val="single" w:sz="4" w:space="0" w:color="auto"/>
              <w:right w:val="single" w:sz="4" w:space="0" w:color="FFFFFF"/>
            </w:tcBorders>
            <w:shd w:val="clear" w:color="FFFFFF" w:fill="FFFFFF"/>
            <w:noWrap/>
            <w:vAlign w:val="center"/>
            <w:hideMark/>
          </w:tcPr>
          <w:p w14:paraId="51306853" w14:textId="77777777" w:rsidR="002B70AB" w:rsidRPr="005734B8" w:rsidRDefault="002B70AB" w:rsidP="002B70AB">
            <w:pPr>
              <w:jc w:val="right"/>
              <w:rPr>
                <w:rFonts w:ascii="Calibri" w:hAnsi="Calibri" w:cs="Calibri"/>
                <w:sz w:val="18"/>
                <w:szCs w:val="18"/>
              </w:rPr>
            </w:pPr>
            <w:r w:rsidRPr="005734B8">
              <w:rPr>
                <w:rFonts w:ascii="Calibri" w:hAnsi="Calibri" w:cs="Calibri"/>
                <w:sz w:val="18"/>
                <w:szCs w:val="18"/>
              </w:rPr>
              <w:t xml:space="preserve">50.1 </w:t>
            </w:r>
          </w:p>
        </w:tc>
      </w:tr>
      <w:tr w:rsidR="002B70AB" w:rsidRPr="005734B8" w14:paraId="63E32A39" w14:textId="77777777" w:rsidTr="002B70AB">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B43A971" w14:textId="77777777" w:rsidR="002B70AB" w:rsidRPr="005734B8" w:rsidRDefault="002B70AB" w:rsidP="002B70AB">
            <w:pPr>
              <w:rPr>
                <w:rFonts w:ascii="Calibri" w:hAnsi="Calibri" w:cs="Calibri"/>
                <w:b/>
                <w:sz w:val="18"/>
                <w:szCs w:val="18"/>
              </w:rPr>
            </w:pPr>
            <w:r w:rsidRPr="005734B8">
              <w:rPr>
                <w:rFonts w:ascii="Calibri" w:hAnsi="Calibri" w:cs="Calibri"/>
                <w:b/>
                <w:sz w:val="18"/>
                <w:szCs w:val="18"/>
              </w:rPr>
              <w:t>Total</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7DC82798" w14:textId="77777777" w:rsidR="002B70AB" w:rsidRPr="005734B8" w:rsidRDefault="002B70AB" w:rsidP="002B70AB">
            <w:pPr>
              <w:jc w:val="right"/>
              <w:rPr>
                <w:rFonts w:ascii="Calibri" w:hAnsi="Calibri" w:cs="Calibri"/>
                <w:b/>
                <w:sz w:val="18"/>
                <w:szCs w:val="18"/>
              </w:rPr>
            </w:pPr>
            <w:r w:rsidRPr="005734B8">
              <w:rPr>
                <w:rFonts w:ascii="Calibri" w:hAnsi="Calibri" w:cs="Calibri"/>
                <w:b/>
                <w:sz w:val="18"/>
                <w:szCs w:val="18"/>
              </w:rPr>
              <w:t xml:space="preserve">70.2 </w:t>
            </w:r>
          </w:p>
        </w:tc>
        <w:tc>
          <w:tcPr>
            <w:tcW w:w="1082" w:type="dxa"/>
            <w:tcBorders>
              <w:top w:val="single" w:sz="12" w:space="0" w:color="auto"/>
              <w:left w:val="nil"/>
              <w:bottom w:val="single" w:sz="12" w:space="0" w:color="auto"/>
              <w:right w:val="nil"/>
            </w:tcBorders>
            <w:shd w:val="clear" w:color="FFFFFF" w:fill="FFFFFF"/>
            <w:noWrap/>
            <w:vAlign w:val="center"/>
            <w:hideMark/>
          </w:tcPr>
          <w:p w14:paraId="02A3E05E" w14:textId="77777777" w:rsidR="002B70AB" w:rsidRPr="005734B8" w:rsidRDefault="002B70AB" w:rsidP="002B70AB">
            <w:pPr>
              <w:jc w:val="right"/>
              <w:rPr>
                <w:rFonts w:ascii="Calibri" w:hAnsi="Calibri" w:cs="Calibri"/>
                <w:b/>
                <w:sz w:val="18"/>
                <w:szCs w:val="18"/>
              </w:rPr>
            </w:pPr>
            <w:r w:rsidRPr="005734B8">
              <w:rPr>
                <w:rFonts w:ascii="Calibri" w:hAnsi="Calibri" w:cs="Calibri"/>
                <w:b/>
                <w:sz w:val="18"/>
                <w:szCs w:val="18"/>
              </w:rPr>
              <w:t xml:space="preserve">69.7 </w:t>
            </w:r>
          </w:p>
        </w:tc>
      </w:tr>
      <w:tr w:rsidR="002B70AB" w:rsidRPr="005734B8" w14:paraId="0A0061B6" w14:textId="77777777" w:rsidTr="002B70AB">
        <w:trPr>
          <w:trHeight w:val="285"/>
        </w:trPr>
        <w:tc>
          <w:tcPr>
            <w:tcW w:w="5452"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1CD7AFC4" w14:textId="77777777" w:rsidR="002B70AB" w:rsidRPr="005734B8" w:rsidRDefault="002B70AB" w:rsidP="002B70AB">
            <w:pPr>
              <w:rPr>
                <w:rFonts w:ascii="Calibri" w:hAnsi="Calibri" w:cs="Calibri"/>
                <w:sz w:val="18"/>
                <w:szCs w:val="18"/>
              </w:rPr>
            </w:pPr>
            <w:r w:rsidRPr="005734B8">
              <w:rPr>
                <w:rFonts w:ascii="Calibri" w:hAnsi="Calibri" w:cs="Calibri"/>
                <w:sz w:val="18"/>
                <w:szCs w:val="18"/>
              </w:rPr>
              <w:t>Made up of:</w:t>
            </w:r>
          </w:p>
        </w:tc>
        <w:tc>
          <w:tcPr>
            <w:tcW w:w="1091" w:type="dxa"/>
            <w:tcBorders>
              <w:top w:val="single" w:sz="4" w:space="0" w:color="auto"/>
              <w:left w:val="nil"/>
              <w:bottom w:val="single" w:sz="4" w:space="0" w:color="auto"/>
              <w:right w:val="single" w:sz="4" w:space="0" w:color="FFFFFF"/>
            </w:tcBorders>
            <w:shd w:val="clear" w:color="000000" w:fill="D9D9D9"/>
            <w:noWrap/>
            <w:vAlign w:val="center"/>
            <w:hideMark/>
          </w:tcPr>
          <w:p w14:paraId="197EC1A1" w14:textId="77777777" w:rsidR="002B70AB" w:rsidRPr="005734B8" w:rsidRDefault="002B70AB" w:rsidP="002B70AB">
            <w:pPr>
              <w:jc w:val="right"/>
              <w:rPr>
                <w:rFonts w:ascii="Calibri" w:hAnsi="Calibri" w:cs="Calibri"/>
                <w:sz w:val="18"/>
                <w:szCs w:val="18"/>
              </w:rPr>
            </w:pPr>
            <w:r w:rsidRPr="005734B8">
              <w:rPr>
                <w:rFonts w:ascii="Calibri" w:hAnsi="Calibri" w:cs="Calibri"/>
                <w:sz w:val="18"/>
                <w:szCs w:val="18"/>
              </w:rPr>
              <w:t> </w:t>
            </w:r>
          </w:p>
        </w:tc>
        <w:tc>
          <w:tcPr>
            <w:tcW w:w="1082" w:type="dxa"/>
            <w:tcBorders>
              <w:top w:val="single" w:sz="4" w:space="0" w:color="auto"/>
              <w:left w:val="nil"/>
              <w:bottom w:val="single" w:sz="4" w:space="0" w:color="auto"/>
              <w:right w:val="single" w:sz="4" w:space="0" w:color="FFFFFF"/>
            </w:tcBorders>
            <w:shd w:val="clear" w:color="FFFFFF" w:fill="FFFFFF"/>
            <w:noWrap/>
            <w:vAlign w:val="center"/>
            <w:hideMark/>
          </w:tcPr>
          <w:p w14:paraId="2ED705A5" w14:textId="77777777" w:rsidR="002B70AB" w:rsidRPr="005734B8" w:rsidRDefault="002B70AB" w:rsidP="002B70AB">
            <w:pPr>
              <w:jc w:val="right"/>
              <w:rPr>
                <w:rFonts w:ascii="Calibri" w:hAnsi="Calibri" w:cs="Calibri"/>
                <w:sz w:val="18"/>
                <w:szCs w:val="18"/>
              </w:rPr>
            </w:pPr>
            <w:r w:rsidRPr="005734B8">
              <w:rPr>
                <w:rFonts w:ascii="Calibri" w:hAnsi="Calibri" w:cs="Calibri"/>
                <w:sz w:val="18"/>
                <w:szCs w:val="18"/>
              </w:rPr>
              <w:t> </w:t>
            </w:r>
          </w:p>
        </w:tc>
      </w:tr>
      <w:tr w:rsidR="002B70AB" w:rsidRPr="005734B8" w14:paraId="20708FDA" w14:textId="77777777" w:rsidTr="002B70AB">
        <w:trPr>
          <w:trHeight w:val="28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4BB143A1" w14:textId="77777777" w:rsidR="002B70AB" w:rsidRPr="005734B8" w:rsidRDefault="002B70AB" w:rsidP="002B70AB">
            <w:pPr>
              <w:ind w:firstLineChars="100" w:firstLine="180"/>
              <w:rPr>
                <w:rFonts w:ascii="Calibri" w:hAnsi="Calibri" w:cs="Calibri"/>
                <w:sz w:val="18"/>
                <w:szCs w:val="18"/>
              </w:rPr>
            </w:pPr>
            <w:r w:rsidRPr="005734B8">
              <w:rPr>
                <w:rFonts w:ascii="Calibri" w:hAnsi="Calibri" w:cs="Calibri"/>
                <w:sz w:val="18"/>
                <w:szCs w:val="18"/>
              </w:rPr>
              <w:t>Current payables</w:t>
            </w:r>
          </w:p>
        </w:tc>
        <w:tc>
          <w:tcPr>
            <w:tcW w:w="1091" w:type="dxa"/>
            <w:tcBorders>
              <w:top w:val="nil"/>
              <w:left w:val="nil"/>
              <w:bottom w:val="single" w:sz="4" w:space="0" w:color="auto"/>
              <w:right w:val="single" w:sz="4" w:space="0" w:color="FFFFFF"/>
            </w:tcBorders>
            <w:shd w:val="clear" w:color="000000" w:fill="D9D9D9"/>
            <w:noWrap/>
            <w:vAlign w:val="center"/>
            <w:hideMark/>
          </w:tcPr>
          <w:p w14:paraId="6A7C6063" w14:textId="77777777" w:rsidR="002B70AB" w:rsidRPr="005734B8" w:rsidRDefault="002B70AB" w:rsidP="002B70AB">
            <w:pPr>
              <w:jc w:val="right"/>
              <w:rPr>
                <w:rFonts w:ascii="Calibri" w:hAnsi="Calibri" w:cs="Calibri"/>
                <w:sz w:val="18"/>
                <w:szCs w:val="18"/>
              </w:rPr>
            </w:pPr>
            <w:r w:rsidRPr="005734B8">
              <w:rPr>
                <w:rFonts w:ascii="Calibri" w:hAnsi="Calibri" w:cs="Calibri"/>
                <w:sz w:val="18"/>
                <w:szCs w:val="18"/>
              </w:rPr>
              <w:t xml:space="preserve">663.4 </w:t>
            </w:r>
          </w:p>
        </w:tc>
        <w:tc>
          <w:tcPr>
            <w:tcW w:w="1082" w:type="dxa"/>
            <w:tcBorders>
              <w:top w:val="nil"/>
              <w:left w:val="nil"/>
              <w:bottom w:val="single" w:sz="4" w:space="0" w:color="auto"/>
              <w:right w:val="single" w:sz="4" w:space="0" w:color="FFFFFF"/>
            </w:tcBorders>
            <w:shd w:val="clear" w:color="FFFFFF" w:fill="FFFFFF"/>
            <w:noWrap/>
            <w:vAlign w:val="center"/>
            <w:hideMark/>
          </w:tcPr>
          <w:p w14:paraId="408A9B31" w14:textId="77777777" w:rsidR="002B70AB" w:rsidRPr="005734B8" w:rsidRDefault="002B70AB" w:rsidP="002B70AB">
            <w:pPr>
              <w:jc w:val="right"/>
              <w:rPr>
                <w:rFonts w:ascii="Calibri" w:hAnsi="Calibri" w:cs="Calibri"/>
                <w:sz w:val="18"/>
                <w:szCs w:val="18"/>
              </w:rPr>
            </w:pPr>
            <w:r w:rsidRPr="005734B8">
              <w:rPr>
                <w:rFonts w:ascii="Calibri" w:hAnsi="Calibri" w:cs="Calibri"/>
                <w:sz w:val="18"/>
                <w:szCs w:val="18"/>
              </w:rPr>
              <w:t xml:space="preserve">863.3 </w:t>
            </w:r>
          </w:p>
        </w:tc>
      </w:tr>
      <w:tr w:rsidR="002B70AB" w:rsidRPr="005734B8" w14:paraId="67FA1891" w14:textId="77777777" w:rsidTr="002B70AB">
        <w:trPr>
          <w:trHeight w:val="28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194B6B00" w14:textId="77777777" w:rsidR="002B70AB" w:rsidRPr="005734B8" w:rsidRDefault="002B70AB" w:rsidP="002B70AB">
            <w:pPr>
              <w:ind w:firstLineChars="100" w:firstLine="180"/>
              <w:rPr>
                <w:rFonts w:ascii="Calibri" w:hAnsi="Calibri" w:cs="Calibri"/>
                <w:sz w:val="18"/>
                <w:szCs w:val="18"/>
              </w:rPr>
            </w:pPr>
            <w:r w:rsidRPr="005734B8">
              <w:rPr>
                <w:rFonts w:ascii="Calibri" w:hAnsi="Calibri" w:cs="Calibri"/>
                <w:sz w:val="18"/>
                <w:szCs w:val="18"/>
              </w:rPr>
              <w:t>Non-current payables</w:t>
            </w:r>
          </w:p>
        </w:tc>
        <w:tc>
          <w:tcPr>
            <w:tcW w:w="1091" w:type="dxa"/>
            <w:tcBorders>
              <w:top w:val="nil"/>
              <w:left w:val="nil"/>
              <w:bottom w:val="single" w:sz="4" w:space="0" w:color="auto"/>
              <w:right w:val="single" w:sz="4" w:space="0" w:color="FFFFFF"/>
            </w:tcBorders>
            <w:shd w:val="clear" w:color="000000" w:fill="D9D9D9"/>
            <w:noWrap/>
            <w:vAlign w:val="center"/>
            <w:hideMark/>
          </w:tcPr>
          <w:p w14:paraId="7D549971" w14:textId="77777777" w:rsidR="002B70AB" w:rsidRPr="005734B8" w:rsidRDefault="002B70AB" w:rsidP="002B70AB">
            <w:pPr>
              <w:jc w:val="right"/>
              <w:rPr>
                <w:rFonts w:ascii="Calibri" w:hAnsi="Calibri" w:cs="Calibri"/>
                <w:sz w:val="18"/>
                <w:szCs w:val="18"/>
              </w:rPr>
            </w:pPr>
            <w:r w:rsidRPr="005734B8">
              <w:rPr>
                <w:rFonts w:ascii="Calibri" w:hAnsi="Calibri" w:cs="Calibri"/>
                <w:sz w:val="18"/>
                <w:szCs w:val="18"/>
              </w:rPr>
              <w:t xml:space="preserve">5.0 </w:t>
            </w:r>
          </w:p>
        </w:tc>
        <w:tc>
          <w:tcPr>
            <w:tcW w:w="1082" w:type="dxa"/>
            <w:tcBorders>
              <w:top w:val="nil"/>
              <w:left w:val="nil"/>
              <w:bottom w:val="single" w:sz="4" w:space="0" w:color="auto"/>
              <w:right w:val="single" w:sz="4" w:space="0" w:color="FFFFFF"/>
            </w:tcBorders>
            <w:shd w:val="clear" w:color="FFFFFF" w:fill="FFFFFF"/>
            <w:noWrap/>
            <w:vAlign w:val="center"/>
            <w:hideMark/>
          </w:tcPr>
          <w:p w14:paraId="318F77F7" w14:textId="2BE4D915" w:rsidR="002B70AB" w:rsidRPr="005734B8" w:rsidRDefault="006C14DE" w:rsidP="002B70AB">
            <w:pPr>
              <w:jc w:val="right"/>
              <w:rPr>
                <w:rFonts w:ascii="Calibri" w:hAnsi="Calibri" w:cs="Calibri"/>
                <w:sz w:val="18"/>
                <w:szCs w:val="18"/>
              </w:rPr>
            </w:pPr>
            <w:r w:rsidRPr="005734B8">
              <w:rPr>
                <w:rFonts w:ascii="Calibri" w:hAnsi="Calibri" w:cs="Calibri"/>
                <w:sz w:val="18"/>
                <w:szCs w:val="18"/>
              </w:rPr>
              <w:t>–</w:t>
            </w:r>
            <w:r w:rsidR="002B70AB" w:rsidRPr="005734B8">
              <w:rPr>
                <w:rFonts w:ascii="Calibri" w:hAnsi="Calibri" w:cs="Calibri"/>
                <w:sz w:val="18"/>
                <w:szCs w:val="18"/>
              </w:rPr>
              <w:t xml:space="preserve"> </w:t>
            </w:r>
          </w:p>
        </w:tc>
      </w:tr>
      <w:tr w:rsidR="002B70AB" w:rsidRPr="005734B8" w14:paraId="2EA5275C" w14:textId="77777777" w:rsidTr="002B70AB">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08D6AB7" w14:textId="77777777" w:rsidR="002B70AB" w:rsidRPr="005734B8" w:rsidRDefault="002B70AB" w:rsidP="002B70AB">
            <w:pPr>
              <w:rPr>
                <w:rFonts w:ascii="Calibri" w:hAnsi="Calibri" w:cs="Calibri"/>
                <w:b/>
                <w:sz w:val="18"/>
                <w:szCs w:val="18"/>
              </w:rPr>
            </w:pPr>
            <w:r w:rsidRPr="005734B8">
              <w:rPr>
                <w:rFonts w:ascii="Calibri" w:hAnsi="Calibri" w:cs="Calibri"/>
                <w:b/>
                <w:sz w:val="18"/>
                <w:szCs w:val="18"/>
              </w:rPr>
              <w:t>Total payables</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4C43A182" w14:textId="77777777" w:rsidR="002B70AB" w:rsidRPr="005734B8" w:rsidRDefault="002B70AB" w:rsidP="002B70AB">
            <w:pPr>
              <w:jc w:val="right"/>
              <w:rPr>
                <w:rFonts w:ascii="Calibri" w:hAnsi="Calibri" w:cs="Calibri"/>
                <w:b/>
                <w:sz w:val="18"/>
                <w:szCs w:val="18"/>
              </w:rPr>
            </w:pPr>
            <w:r w:rsidRPr="005734B8">
              <w:rPr>
                <w:rFonts w:ascii="Calibri" w:hAnsi="Calibri" w:cs="Calibri"/>
                <w:b/>
                <w:sz w:val="18"/>
                <w:szCs w:val="18"/>
              </w:rPr>
              <w:t xml:space="preserve">668.4 </w:t>
            </w:r>
          </w:p>
        </w:tc>
        <w:tc>
          <w:tcPr>
            <w:tcW w:w="1082" w:type="dxa"/>
            <w:tcBorders>
              <w:top w:val="single" w:sz="12" w:space="0" w:color="auto"/>
              <w:left w:val="nil"/>
              <w:bottom w:val="single" w:sz="12" w:space="0" w:color="auto"/>
              <w:right w:val="single" w:sz="4" w:space="0" w:color="FFFFFF"/>
            </w:tcBorders>
            <w:shd w:val="clear" w:color="000000" w:fill="D9D9D9"/>
            <w:noWrap/>
            <w:vAlign w:val="center"/>
            <w:hideMark/>
          </w:tcPr>
          <w:p w14:paraId="5997C674" w14:textId="77777777" w:rsidR="002B70AB" w:rsidRPr="005734B8" w:rsidRDefault="002B70AB" w:rsidP="002B70AB">
            <w:pPr>
              <w:jc w:val="right"/>
              <w:rPr>
                <w:rFonts w:ascii="Calibri" w:hAnsi="Calibri" w:cs="Calibri"/>
                <w:b/>
                <w:sz w:val="18"/>
                <w:szCs w:val="18"/>
              </w:rPr>
            </w:pPr>
            <w:r w:rsidRPr="005734B8">
              <w:rPr>
                <w:rFonts w:ascii="Calibri" w:hAnsi="Calibri" w:cs="Calibri"/>
                <w:b/>
                <w:sz w:val="18"/>
                <w:szCs w:val="18"/>
              </w:rPr>
              <w:t xml:space="preserve">863.3 </w:t>
            </w:r>
          </w:p>
        </w:tc>
      </w:tr>
    </w:tbl>
    <w:p w14:paraId="5DE8126D" w14:textId="77777777" w:rsidR="002B70AB" w:rsidRPr="005734B8" w:rsidRDefault="002B70AB">
      <w:pPr>
        <w:rPr>
          <w:rFonts w:ascii="Calibri" w:hAnsi="Calibri" w:cs="Calibri"/>
        </w:rPr>
      </w:pPr>
      <w:r w:rsidRPr="005734B8">
        <w:rPr>
          <w:rFonts w:ascii="Calibri" w:hAnsi="Calibri" w:cs="Calibri"/>
        </w:rPr>
        <w:br w:type="page"/>
      </w:r>
    </w:p>
    <w:p w14:paraId="2AD4D914" w14:textId="77777777" w:rsidR="00F1540A" w:rsidRPr="005734B8" w:rsidRDefault="00F1540A" w:rsidP="00F1540A">
      <w:pPr>
        <w:rPr>
          <w:rFonts w:ascii="Calibri" w:hAnsi="Calibri" w:cs="Calibri"/>
        </w:rPr>
      </w:pPr>
      <w:r w:rsidRPr="005734B8">
        <w:rPr>
          <w:rFonts w:ascii="Calibri" w:hAnsi="Calibri" w:cs="Calibri"/>
        </w:rPr>
        <w:lastRenderedPageBreak/>
        <w:t>Payables consist of:</w:t>
      </w:r>
    </w:p>
    <w:p w14:paraId="4298A4F7" w14:textId="77777777" w:rsidR="00F1540A" w:rsidRPr="005734B8" w:rsidRDefault="00F1540A" w:rsidP="00F1540A">
      <w:pPr>
        <w:pStyle w:val="ESbullet1"/>
        <w:numPr>
          <w:ilvl w:val="0"/>
          <w:numId w:val="40"/>
        </w:numPr>
        <w:spacing w:after="0"/>
        <w:rPr>
          <w:rFonts w:ascii="Calibri" w:hAnsi="Calibri" w:cs="Calibri"/>
        </w:rPr>
      </w:pPr>
      <w:r w:rsidRPr="005734B8">
        <w:rPr>
          <w:rFonts w:ascii="Calibri" w:hAnsi="Calibri" w:cs="Calibri"/>
        </w:rPr>
        <w:t>contractual payables, classified as financial instruments and measured at amortised cost. Accounts payable represent liabilities for goods and services provided to the Department prior to the end of the financial year that are unpaid</w:t>
      </w:r>
    </w:p>
    <w:p w14:paraId="37D5B86A" w14:textId="7991BA5D" w:rsidR="00F1540A" w:rsidRPr="005734B8" w:rsidRDefault="00F1540A" w:rsidP="00F1540A">
      <w:pPr>
        <w:pStyle w:val="ESbullet1"/>
        <w:numPr>
          <w:ilvl w:val="0"/>
          <w:numId w:val="40"/>
        </w:numPr>
        <w:spacing w:after="0"/>
        <w:rPr>
          <w:rFonts w:ascii="Calibri" w:hAnsi="Calibri" w:cs="Calibri"/>
        </w:rPr>
      </w:pPr>
      <w:r w:rsidRPr="005734B8">
        <w:rPr>
          <w:rFonts w:ascii="Calibri" w:hAnsi="Calibri" w:cs="Calibri"/>
        </w:rPr>
        <w:t>statutory payables, such as GST and fringe benefits tax</w:t>
      </w:r>
      <w:r w:rsidR="00494952" w:rsidRPr="005734B8">
        <w:rPr>
          <w:rFonts w:ascii="Calibri" w:hAnsi="Calibri" w:cs="Calibri"/>
        </w:rPr>
        <w:t>,</w:t>
      </w:r>
      <w:r w:rsidRPr="005734B8">
        <w:rPr>
          <w:rFonts w:ascii="Calibri" w:hAnsi="Calibri" w:cs="Calibri"/>
        </w:rPr>
        <w:t xml:space="preserve"> are </w:t>
      </w:r>
      <w:r w:rsidR="00BB7440" w:rsidRPr="005734B8">
        <w:rPr>
          <w:rFonts w:ascii="Calibri" w:hAnsi="Calibri" w:cs="Calibri"/>
        </w:rPr>
        <w:t>recognised</w:t>
      </w:r>
      <w:r w:rsidRPr="005734B8">
        <w:rPr>
          <w:rFonts w:ascii="Calibri" w:hAnsi="Calibri" w:cs="Calibri"/>
        </w:rPr>
        <w:t xml:space="preserve"> and measured similarly to contractual payables, but are not classified as financial instruments and not included in the category of financial liabilities at amortised cost, because they do not arise from a contract.</w:t>
      </w:r>
      <w:bookmarkStart w:id="1549" w:name="_Toc11336407"/>
      <w:bookmarkStart w:id="1550" w:name="_Toc14965633"/>
    </w:p>
    <w:p w14:paraId="1D108178" w14:textId="1E6255E2" w:rsidR="00F1540A" w:rsidRPr="005734B8" w:rsidRDefault="00F1540A" w:rsidP="002D345C">
      <w:pPr>
        <w:pStyle w:val="ESHeading3"/>
        <w:ind w:left="0" w:firstLine="0"/>
        <w:rPr>
          <w:rFonts w:ascii="Calibri" w:hAnsi="Calibri" w:cs="Calibri"/>
        </w:rPr>
      </w:pPr>
      <w:r w:rsidRPr="005734B8">
        <w:rPr>
          <w:rFonts w:ascii="Calibri" w:hAnsi="Calibri" w:cs="Calibri"/>
        </w:rPr>
        <w:t>6.3.1 Ageing analysis of contractual payables</w:t>
      </w:r>
      <w:bookmarkEnd w:id="1549"/>
      <w:bookmarkEnd w:id="1550"/>
    </w:p>
    <w:tbl>
      <w:tblPr>
        <w:tblW w:w="7625" w:type="dxa"/>
        <w:tblInd w:w="75" w:type="dxa"/>
        <w:tblLayout w:type="fixed"/>
        <w:tblCellMar>
          <w:left w:w="45" w:type="dxa"/>
          <w:right w:w="45" w:type="dxa"/>
        </w:tblCellMar>
        <w:tblLook w:val="04A0" w:firstRow="1" w:lastRow="0" w:firstColumn="1" w:lastColumn="0" w:noHBand="0" w:noVBand="1"/>
      </w:tblPr>
      <w:tblGrid>
        <w:gridCol w:w="958"/>
        <w:gridCol w:w="954"/>
        <w:gridCol w:w="958"/>
        <w:gridCol w:w="955"/>
        <w:gridCol w:w="950"/>
        <w:gridCol w:w="950"/>
        <w:gridCol w:w="950"/>
        <w:gridCol w:w="950"/>
      </w:tblGrid>
      <w:tr w:rsidR="00F1540A" w:rsidRPr="005734B8" w14:paraId="0FD93960" w14:textId="77777777" w:rsidTr="000F48B1">
        <w:trPr>
          <w:trHeight w:val="353"/>
        </w:trPr>
        <w:tc>
          <w:tcPr>
            <w:tcW w:w="958" w:type="dxa"/>
            <w:tcBorders>
              <w:top w:val="nil"/>
              <w:left w:val="single" w:sz="4" w:space="0" w:color="FFFFFF"/>
              <w:bottom w:val="single" w:sz="4" w:space="0" w:color="FFFFFF"/>
              <w:right w:val="single" w:sz="4" w:space="0" w:color="FFFFFF"/>
            </w:tcBorders>
            <w:shd w:val="clear" w:color="000000" w:fill="AF272F"/>
            <w:vAlign w:val="center"/>
            <w:hideMark/>
          </w:tcPr>
          <w:p w14:paraId="1D438C99" w14:textId="77777777" w:rsidR="00F1540A" w:rsidRPr="005734B8" w:rsidRDefault="00F1540A" w:rsidP="000F48B1">
            <w:pPr>
              <w:jc w:val="center"/>
              <w:rPr>
                <w:rFonts w:ascii="Calibri" w:hAnsi="Calibri" w:cs="Calibri"/>
                <w:b/>
                <w:color w:val="FFFFFF"/>
                <w:sz w:val="18"/>
                <w:szCs w:val="18"/>
              </w:rPr>
            </w:pPr>
            <w:bookmarkStart w:id="1551" w:name="Note_MACTABLE1" w:colFirst="0" w:colLast="0"/>
            <w:r w:rsidRPr="005734B8">
              <w:rPr>
                <w:rFonts w:ascii="Calibri" w:hAnsi="Calibri" w:cs="Calibri"/>
                <w:b/>
                <w:color w:val="FFFFFF"/>
                <w:sz w:val="18"/>
                <w:szCs w:val="18"/>
              </w:rPr>
              <w:t> </w:t>
            </w:r>
          </w:p>
        </w:tc>
        <w:tc>
          <w:tcPr>
            <w:tcW w:w="1912" w:type="dxa"/>
            <w:gridSpan w:val="2"/>
            <w:tcBorders>
              <w:top w:val="nil"/>
              <w:left w:val="nil"/>
              <w:bottom w:val="single" w:sz="4" w:space="0" w:color="FFFFFF"/>
              <w:right w:val="single" w:sz="4" w:space="0" w:color="FFFFFF"/>
            </w:tcBorders>
            <w:shd w:val="clear" w:color="000000" w:fill="AF272F"/>
            <w:vAlign w:val="center"/>
            <w:hideMark/>
          </w:tcPr>
          <w:p w14:paraId="43757F4E"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 </w:t>
            </w:r>
          </w:p>
        </w:tc>
        <w:tc>
          <w:tcPr>
            <w:tcW w:w="4755" w:type="dxa"/>
            <w:gridSpan w:val="5"/>
            <w:tcBorders>
              <w:top w:val="nil"/>
              <w:left w:val="nil"/>
              <w:bottom w:val="single" w:sz="4" w:space="0" w:color="FFFFFF"/>
              <w:right w:val="single" w:sz="4" w:space="0" w:color="FFFFFF"/>
            </w:tcBorders>
            <w:shd w:val="clear" w:color="000000" w:fill="AF272F"/>
            <w:vAlign w:val="center"/>
            <w:hideMark/>
          </w:tcPr>
          <w:p w14:paraId="0DA1B63F"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Maturity Dates</w:t>
            </w:r>
          </w:p>
        </w:tc>
      </w:tr>
      <w:bookmarkEnd w:id="1551"/>
      <w:tr w:rsidR="00F1540A" w:rsidRPr="005734B8" w14:paraId="70521B09" w14:textId="77777777" w:rsidTr="000F48B1">
        <w:trPr>
          <w:trHeight w:val="720"/>
        </w:trPr>
        <w:tc>
          <w:tcPr>
            <w:tcW w:w="958" w:type="dxa"/>
            <w:tcBorders>
              <w:top w:val="nil"/>
              <w:left w:val="single" w:sz="4" w:space="0" w:color="FFFFFF"/>
              <w:bottom w:val="single" w:sz="4" w:space="0" w:color="FFFFFF"/>
              <w:right w:val="single" w:sz="4" w:space="0" w:color="FFFFFF"/>
            </w:tcBorders>
            <w:shd w:val="clear" w:color="000000" w:fill="AF272F"/>
            <w:hideMark/>
          </w:tcPr>
          <w:p w14:paraId="1B7ACAFB" w14:textId="77777777" w:rsidR="00F1540A" w:rsidRPr="005734B8" w:rsidRDefault="00F1540A" w:rsidP="000F48B1">
            <w:pPr>
              <w:rPr>
                <w:rFonts w:ascii="Calibri" w:hAnsi="Calibri" w:cs="Calibri"/>
                <w:b/>
                <w:color w:val="FFFFFF"/>
                <w:sz w:val="18"/>
                <w:szCs w:val="18"/>
              </w:rPr>
            </w:pPr>
            <w:r w:rsidRPr="005734B8">
              <w:rPr>
                <w:rFonts w:ascii="Calibri" w:hAnsi="Calibri" w:cs="Calibri"/>
                <w:b/>
                <w:color w:val="FFFFFF"/>
                <w:sz w:val="18"/>
                <w:szCs w:val="18"/>
              </w:rPr>
              <w:t>2021</w:t>
            </w:r>
          </w:p>
        </w:tc>
        <w:tc>
          <w:tcPr>
            <w:tcW w:w="954" w:type="dxa"/>
            <w:tcBorders>
              <w:top w:val="nil"/>
              <w:left w:val="nil"/>
              <w:bottom w:val="single" w:sz="4" w:space="0" w:color="auto"/>
              <w:right w:val="single" w:sz="4" w:space="0" w:color="FFFFFF"/>
            </w:tcBorders>
            <w:shd w:val="clear" w:color="000000" w:fill="AF272F"/>
            <w:hideMark/>
          </w:tcPr>
          <w:p w14:paraId="50C9AE03"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Carrying amount</w:t>
            </w:r>
            <w:r w:rsidRPr="005734B8">
              <w:rPr>
                <w:rFonts w:ascii="Calibri" w:hAnsi="Calibri" w:cs="Calibri"/>
                <w:b/>
                <w:color w:val="FFFFFF"/>
                <w:sz w:val="18"/>
                <w:szCs w:val="18"/>
              </w:rPr>
              <w:br/>
              <w:t>($m)</w:t>
            </w:r>
          </w:p>
        </w:tc>
        <w:tc>
          <w:tcPr>
            <w:tcW w:w="958" w:type="dxa"/>
            <w:tcBorders>
              <w:top w:val="nil"/>
              <w:left w:val="nil"/>
              <w:bottom w:val="single" w:sz="4" w:space="0" w:color="auto"/>
              <w:right w:val="single" w:sz="4" w:space="0" w:color="FFFFFF"/>
            </w:tcBorders>
            <w:shd w:val="clear" w:color="000000" w:fill="AF272F"/>
            <w:hideMark/>
          </w:tcPr>
          <w:p w14:paraId="64259715"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Nominal amount</w:t>
            </w:r>
            <w:r w:rsidRPr="005734B8">
              <w:rPr>
                <w:rFonts w:ascii="Calibri" w:hAnsi="Calibri" w:cs="Calibri"/>
                <w:b/>
                <w:color w:val="FFFFFF"/>
                <w:sz w:val="18"/>
                <w:szCs w:val="18"/>
              </w:rPr>
              <w:br/>
              <w:t>($m)</w:t>
            </w:r>
          </w:p>
        </w:tc>
        <w:tc>
          <w:tcPr>
            <w:tcW w:w="955" w:type="dxa"/>
            <w:tcBorders>
              <w:top w:val="nil"/>
              <w:left w:val="nil"/>
              <w:bottom w:val="single" w:sz="4" w:space="0" w:color="auto"/>
              <w:right w:val="single" w:sz="4" w:space="0" w:color="FFFFFF"/>
            </w:tcBorders>
            <w:shd w:val="clear" w:color="000000" w:fill="AF272F"/>
            <w:hideMark/>
          </w:tcPr>
          <w:p w14:paraId="1121F359"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Less than 1 month</w:t>
            </w:r>
            <w:r w:rsidRPr="005734B8">
              <w:rPr>
                <w:rFonts w:ascii="Calibri" w:hAnsi="Calibri" w:cs="Calibri"/>
                <w:b/>
                <w:color w:val="FFFFFF"/>
                <w:sz w:val="18"/>
                <w:szCs w:val="18"/>
              </w:rPr>
              <w:br/>
              <w:t>($m)</w:t>
            </w:r>
          </w:p>
        </w:tc>
        <w:tc>
          <w:tcPr>
            <w:tcW w:w="950" w:type="dxa"/>
            <w:tcBorders>
              <w:top w:val="nil"/>
              <w:left w:val="nil"/>
              <w:bottom w:val="single" w:sz="4" w:space="0" w:color="auto"/>
              <w:right w:val="single" w:sz="4" w:space="0" w:color="FFFFFF"/>
            </w:tcBorders>
            <w:shd w:val="clear" w:color="000000" w:fill="AF272F"/>
            <w:hideMark/>
          </w:tcPr>
          <w:p w14:paraId="5E815454"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1-3 months</w:t>
            </w:r>
            <w:r w:rsidRPr="005734B8">
              <w:rPr>
                <w:rFonts w:ascii="Calibri" w:hAnsi="Calibri" w:cs="Calibri"/>
                <w:b/>
                <w:color w:val="FFFFFF"/>
                <w:sz w:val="18"/>
                <w:szCs w:val="18"/>
              </w:rPr>
              <w:br/>
              <w:t>($m)</w:t>
            </w:r>
          </w:p>
        </w:tc>
        <w:tc>
          <w:tcPr>
            <w:tcW w:w="950" w:type="dxa"/>
            <w:tcBorders>
              <w:top w:val="nil"/>
              <w:left w:val="nil"/>
              <w:bottom w:val="single" w:sz="4" w:space="0" w:color="auto"/>
              <w:right w:val="single" w:sz="4" w:space="0" w:color="FFFFFF"/>
            </w:tcBorders>
            <w:shd w:val="clear" w:color="000000" w:fill="AF272F"/>
            <w:hideMark/>
          </w:tcPr>
          <w:p w14:paraId="228D00CB"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3 months-1year</w:t>
            </w:r>
            <w:r w:rsidRPr="005734B8">
              <w:rPr>
                <w:rFonts w:ascii="Calibri" w:hAnsi="Calibri" w:cs="Calibri"/>
                <w:b/>
                <w:color w:val="FFFFFF"/>
                <w:sz w:val="18"/>
                <w:szCs w:val="18"/>
              </w:rPr>
              <w:br/>
              <w:t>($m)</w:t>
            </w:r>
          </w:p>
        </w:tc>
        <w:tc>
          <w:tcPr>
            <w:tcW w:w="950" w:type="dxa"/>
            <w:tcBorders>
              <w:top w:val="nil"/>
              <w:left w:val="nil"/>
              <w:bottom w:val="single" w:sz="4" w:space="0" w:color="auto"/>
              <w:right w:val="single" w:sz="4" w:space="0" w:color="FFFFFF"/>
            </w:tcBorders>
            <w:shd w:val="clear" w:color="000000" w:fill="AF272F"/>
            <w:hideMark/>
          </w:tcPr>
          <w:p w14:paraId="16644344"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1-5 years</w:t>
            </w:r>
            <w:r w:rsidRPr="005734B8">
              <w:rPr>
                <w:rFonts w:ascii="Calibri" w:hAnsi="Calibri" w:cs="Calibri"/>
                <w:b/>
                <w:color w:val="FFFFFF"/>
                <w:sz w:val="18"/>
                <w:szCs w:val="18"/>
              </w:rPr>
              <w:br/>
              <w:t>($m)</w:t>
            </w:r>
          </w:p>
        </w:tc>
        <w:tc>
          <w:tcPr>
            <w:tcW w:w="950" w:type="dxa"/>
            <w:tcBorders>
              <w:top w:val="nil"/>
              <w:left w:val="nil"/>
              <w:bottom w:val="single" w:sz="4" w:space="0" w:color="auto"/>
              <w:right w:val="single" w:sz="4" w:space="0" w:color="FFFFFF"/>
            </w:tcBorders>
            <w:shd w:val="clear" w:color="000000" w:fill="AF272F"/>
            <w:hideMark/>
          </w:tcPr>
          <w:p w14:paraId="1F75412D"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&gt;5 years</w:t>
            </w:r>
            <w:r w:rsidRPr="005734B8">
              <w:rPr>
                <w:rFonts w:ascii="Calibri" w:hAnsi="Calibri" w:cs="Calibri"/>
                <w:b/>
                <w:color w:val="FFFFFF"/>
                <w:sz w:val="18"/>
                <w:szCs w:val="18"/>
              </w:rPr>
              <w:br/>
              <w:t>($m)</w:t>
            </w:r>
          </w:p>
        </w:tc>
      </w:tr>
      <w:tr w:rsidR="00F1540A" w:rsidRPr="005734B8" w14:paraId="11716F94" w14:textId="77777777" w:rsidTr="000F48B1">
        <w:trPr>
          <w:trHeight w:val="270"/>
        </w:trPr>
        <w:tc>
          <w:tcPr>
            <w:tcW w:w="958"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18E4113F"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Payables</w:t>
            </w:r>
          </w:p>
        </w:tc>
        <w:tc>
          <w:tcPr>
            <w:tcW w:w="954" w:type="dxa"/>
            <w:tcBorders>
              <w:top w:val="nil"/>
              <w:left w:val="nil"/>
              <w:bottom w:val="single" w:sz="4" w:space="0" w:color="auto"/>
              <w:right w:val="single" w:sz="4" w:space="0" w:color="FFFFFF"/>
            </w:tcBorders>
            <w:shd w:val="clear" w:color="FFFFFF" w:fill="FFFFFF"/>
            <w:noWrap/>
            <w:vAlign w:val="center"/>
            <w:hideMark/>
          </w:tcPr>
          <w:p w14:paraId="007663C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598.2 </w:t>
            </w:r>
          </w:p>
        </w:tc>
        <w:tc>
          <w:tcPr>
            <w:tcW w:w="958" w:type="dxa"/>
            <w:tcBorders>
              <w:top w:val="nil"/>
              <w:left w:val="nil"/>
              <w:bottom w:val="single" w:sz="4" w:space="0" w:color="auto"/>
              <w:right w:val="single" w:sz="4" w:space="0" w:color="FFFFFF"/>
            </w:tcBorders>
            <w:shd w:val="clear" w:color="FFFFFF" w:fill="FFFFFF"/>
            <w:noWrap/>
            <w:vAlign w:val="center"/>
            <w:hideMark/>
          </w:tcPr>
          <w:p w14:paraId="58DF4EA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598.2 </w:t>
            </w:r>
          </w:p>
        </w:tc>
        <w:tc>
          <w:tcPr>
            <w:tcW w:w="955" w:type="dxa"/>
            <w:tcBorders>
              <w:top w:val="nil"/>
              <w:left w:val="nil"/>
              <w:bottom w:val="single" w:sz="4" w:space="0" w:color="auto"/>
              <w:right w:val="single" w:sz="4" w:space="0" w:color="FFFFFF"/>
            </w:tcBorders>
            <w:shd w:val="clear" w:color="FFFFFF" w:fill="FFFFFF"/>
            <w:noWrap/>
            <w:vAlign w:val="center"/>
            <w:hideMark/>
          </w:tcPr>
          <w:p w14:paraId="09D8D90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592.3 </w:t>
            </w:r>
          </w:p>
        </w:tc>
        <w:tc>
          <w:tcPr>
            <w:tcW w:w="950" w:type="dxa"/>
            <w:tcBorders>
              <w:top w:val="nil"/>
              <w:left w:val="nil"/>
              <w:bottom w:val="single" w:sz="4" w:space="0" w:color="auto"/>
              <w:right w:val="single" w:sz="4" w:space="0" w:color="FFFFFF"/>
            </w:tcBorders>
            <w:shd w:val="clear" w:color="FFFFFF" w:fill="FFFFFF"/>
            <w:noWrap/>
            <w:vAlign w:val="center"/>
            <w:hideMark/>
          </w:tcPr>
          <w:p w14:paraId="5F0997C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2.2 </w:t>
            </w:r>
          </w:p>
        </w:tc>
        <w:tc>
          <w:tcPr>
            <w:tcW w:w="950" w:type="dxa"/>
            <w:tcBorders>
              <w:top w:val="nil"/>
              <w:left w:val="nil"/>
              <w:bottom w:val="single" w:sz="4" w:space="0" w:color="auto"/>
              <w:right w:val="single" w:sz="4" w:space="0" w:color="FFFFFF"/>
            </w:tcBorders>
            <w:shd w:val="clear" w:color="FFFFFF" w:fill="FFFFFF"/>
            <w:noWrap/>
            <w:vAlign w:val="center"/>
            <w:hideMark/>
          </w:tcPr>
          <w:p w14:paraId="0E0FE79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1.9 </w:t>
            </w:r>
          </w:p>
        </w:tc>
        <w:tc>
          <w:tcPr>
            <w:tcW w:w="950" w:type="dxa"/>
            <w:tcBorders>
              <w:top w:val="nil"/>
              <w:left w:val="nil"/>
              <w:bottom w:val="single" w:sz="4" w:space="0" w:color="auto"/>
              <w:right w:val="single" w:sz="4" w:space="0" w:color="FFFFFF"/>
            </w:tcBorders>
            <w:shd w:val="clear" w:color="FFFFFF" w:fill="FFFFFF"/>
            <w:noWrap/>
            <w:vAlign w:val="center"/>
            <w:hideMark/>
          </w:tcPr>
          <w:p w14:paraId="1335285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1.4 </w:t>
            </w:r>
          </w:p>
        </w:tc>
        <w:tc>
          <w:tcPr>
            <w:tcW w:w="950" w:type="dxa"/>
            <w:tcBorders>
              <w:top w:val="nil"/>
              <w:left w:val="nil"/>
              <w:bottom w:val="single" w:sz="4" w:space="0" w:color="auto"/>
              <w:right w:val="single" w:sz="4" w:space="0" w:color="FFFFFF"/>
            </w:tcBorders>
            <w:shd w:val="clear" w:color="FFFFFF" w:fill="FFFFFF"/>
            <w:noWrap/>
            <w:vAlign w:val="center"/>
            <w:hideMark/>
          </w:tcPr>
          <w:p w14:paraId="795A1F58"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0.4 </w:t>
            </w:r>
          </w:p>
        </w:tc>
      </w:tr>
      <w:tr w:rsidR="00F1540A" w:rsidRPr="005734B8" w14:paraId="0DF04024" w14:textId="77777777" w:rsidTr="000F48B1">
        <w:trPr>
          <w:trHeight w:val="285"/>
        </w:trPr>
        <w:tc>
          <w:tcPr>
            <w:tcW w:w="958"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7D236F0"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w:t>
            </w:r>
          </w:p>
        </w:tc>
        <w:tc>
          <w:tcPr>
            <w:tcW w:w="954" w:type="dxa"/>
            <w:tcBorders>
              <w:top w:val="single" w:sz="12" w:space="0" w:color="auto"/>
              <w:left w:val="nil"/>
              <w:bottom w:val="single" w:sz="12" w:space="0" w:color="auto"/>
              <w:right w:val="nil"/>
            </w:tcBorders>
            <w:shd w:val="clear" w:color="FFFFFF" w:fill="FFFFFF"/>
            <w:noWrap/>
            <w:vAlign w:val="center"/>
            <w:hideMark/>
          </w:tcPr>
          <w:p w14:paraId="66927B8A"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598.2 </w:t>
            </w:r>
          </w:p>
        </w:tc>
        <w:tc>
          <w:tcPr>
            <w:tcW w:w="958" w:type="dxa"/>
            <w:tcBorders>
              <w:top w:val="single" w:sz="12" w:space="0" w:color="auto"/>
              <w:left w:val="nil"/>
              <w:bottom w:val="single" w:sz="12" w:space="0" w:color="auto"/>
              <w:right w:val="nil"/>
            </w:tcBorders>
            <w:shd w:val="clear" w:color="FFFFFF" w:fill="FFFFFF"/>
            <w:noWrap/>
            <w:vAlign w:val="center"/>
            <w:hideMark/>
          </w:tcPr>
          <w:p w14:paraId="1C9A3B9F"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598.2 </w:t>
            </w:r>
          </w:p>
        </w:tc>
        <w:tc>
          <w:tcPr>
            <w:tcW w:w="955" w:type="dxa"/>
            <w:tcBorders>
              <w:top w:val="single" w:sz="12" w:space="0" w:color="auto"/>
              <w:left w:val="nil"/>
              <w:bottom w:val="single" w:sz="12" w:space="0" w:color="auto"/>
              <w:right w:val="nil"/>
            </w:tcBorders>
            <w:shd w:val="clear" w:color="FFFFFF" w:fill="FFFFFF"/>
            <w:noWrap/>
            <w:vAlign w:val="center"/>
            <w:hideMark/>
          </w:tcPr>
          <w:p w14:paraId="63EDF81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592.3 </w:t>
            </w:r>
          </w:p>
        </w:tc>
        <w:tc>
          <w:tcPr>
            <w:tcW w:w="950" w:type="dxa"/>
            <w:tcBorders>
              <w:top w:val="single" w:sz="12" w:space="0" w:color="auto"/>
              <w:left w:val="nil"/>
              <w:bottom w:val="single" w:sz="12" w:space="0" w:color="auto"/>
              <w:right w:val="nil"/>
            </w:tcBorders>
            <w:shd w:val="clear" w:color="FFFFFF" w:fill="FFFFFF"/>
            <w:noWrap/>
            <w:vAlign w:val="center"/>
            <w:hideMark/>
          </w:tcPr>
          <w:p w14:paraId="3B54309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2.2 </w:t>
            </w:r>
          </w:p>
        </w:tc>
        <w:tc>
          <w:tcPr>
            <w:tcW w:w="950" w:type="dxa"/>
            <w:tcBorders>
              <w:top w:val="single" w:sz="12" w:space="0" w:color="auto"/>
              <w:left w:val="nil"/>
              <w:bottom w:val="single" w:sz="12" w:space="0" w:color="auto"/>
              <w:right w:val="nil"/>
            </w:tcBorders>
            <w:shd w:val="clear" w:color="FFFFFF" w:fill="FFFFFF"/>
            <w:noWrap/>
            <w:vAlign w:val="center"/>
            <w:hideMark/>
          </w:tcPr>
          <w:p w14:paraId="27D9430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1.9 </w:t>
            </w:r>
          </w:p>
        </w:tc>
        <w:tc>
          <w:tcPr>
            <w:tcW w:w="950" w:type="dxa"/>
            <w:tcBorders>
              <w:top w:val="single" w:sz="12" w:space="0" w:color="auto"/>
              <w:left w:val="nil"/>
              <w:bottom w:val="single" w:sz="12" w:space="0" w:color="auto"/>
              <w:right w:val="nil"/>
            </w:tcBorders>
            <w:shd w:val="clear" w:color="FFFFFF" w:fill="FFFFFF"/>
            <w:noWrap/>
            <w:vAlign w:val="center"/>
            <w:hideMark/>
          </w:tcPr>
          <w:p w14:paraId="54ED87D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1.4 </w:t>
            </w:r>
          </w:p>
        </w:tc>
        <w:tc>
          <w:tcPr>
            <w:tcW w:w="950" w:type="dxa"/>
            <w:tcBorders>
              <w:top w:val="single" w:sz="12" w:space="0" w:color="auto"/>
              <w:left w:val="nil"/>
              <w:bottom w:val="single" w:sz="12" w:space="0" w:color="auto"/>
              <w:right w:val="nil"/>
            </w:tcBorders>
            <w:shd w:val="clear" w:color="FFFFFF" w:fill="FFFFFF"/>
            <w:noWrap/>
            <w:vAlign w:val="center"/>
            <w:hideMark/>
          </w:tcPr>
          <w:p w14:paraId="3781E9B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0.4 </w:t>
            </w:r>
          </w:p>
        </w:tc>
      </w:tr>
    </w:tbl>
    <w:p w14:paraId="54D96810" w14:textId="77777777" w:rsidR="00F1540A" w:rsidRPr="005734B8" w:rsidRDefault="00F1540A" w:rsidP="00F1540A">
      <w:pPr>
        <w:rPr>
          <w:rFonts w:ascii="Calibri" w:hAnsi="Calibri" w:cs="Calibri"/>
          <w:b/>
        </w:rPr>
      </w:pPr>
    </w:p>
    <w:tbl>
      <w:tblPr>
        <w:tblW w:w="7625" w:type="dxa"/>
        <w:tblInd w:w="75" w:type="dxa"/>
        <w:tblLayout w:type="fixed"/>
        <w:tblCellMar>
          <w:left w:w="45" w:type="dxa"/>
          <w:right w:w="45" w:type="dxa"/>
        </w:tblCellMar>
        <w:tblLook w:val="04A0" w:firstRow="1" w:lastRow="0" w:firstColumn="1" w:lastColumn="0" w:noHBand="0" w:noVBand="1"/>
      </w:tblPr>
      <w:tblGrid>
        <w:gridCol w:w="958"/>
        <w:gridCol w:w="954"/>
        <w:gridCol w:w="958"/>
        <w:gridCol w:w="955"/>
        <w:gridCol w:w="950"/>
        <w:gridCol w:w="950"/>
        <w:gridCol w:w="950"/>
        <w:gridCol w:w="950"/>
      </w:tblGrid>
      <w:tr w:rsidR="00F1540A" w:rsidRPr="005734B8" w14:paraId="5D34E215" w14:textId="77777777" w:rsidTr="000F48B1">
        <w:trPr>
          <w:trHeight w:val="353"/>
        </w:trPr>
        <w:tc>
          <w:tcPr>
            <w:tcW w:w="958" w:type="dxa"/>
            <w:tcBorders>
              <w:top w:val="nil"/>
              <w:left w:val="single" w:sz="4" w:space="0" w:color="FFFFFF"/>
              <w:bottom w:val="single" w:sz="4" w:space="0" w:color="FFFFFF"/>
              <w:right w:val="single" w:sz="4" w:space="0" w:color="FFFFFF"/>
            </w:tcBorders>
            <w:shd w:val="clear" w:color="000000" w:fill="AF272F"/>
            <w:vAlign w:val="center"/>
            <w:hideMark/>
          </w:tcPr>
          <w:p w14:paraId="337A167D" w14:textId="77777777" w:rsidR="00F1540A" w:rsidRPr="005734B8" w:rsidRDefault="00F1540A" w:rsidP="000F48B1">
            <w:pPr>
              <w:jc w:val="center"/>
              <w:rPr>
                <w:rFonts w:ascii="Calibri" w:hAnsi="Calibri" w:cs="Calibri"/>
                <w:b/>
                <w:color w:val="FFFFFF"/>
                <w:sz w:val="18"/>
                <w:szCs w:val="18"/>
              </w:rPr>
            </w:pPr>
            <w:bookmarkStart w:id="1552" w:name="Note_MAPTABLE1" w:colFirst="0" w:colLast="0"/>
            <w:r w:rsidRPr="005734B8">
              <w:rPr>
                <w:rFonts w:ascii="Calibri" w:hAnsi="Calibri" w:cs="Calibri"/>
                <w:b/>
                <w:color w:val="FFFFFF"/>
                <w:sz w:val="18"/>
                <w:szCs w:val="18"/>
              </w:rPr>
              <w:t> </w:t>
            </w:r>
          </w:p>
        </w:tc>
        <w:tc>
          <w:tcPr>
            <w:tcW w:w="1912" w:type="dxa"/>
            <w:gridSpan w:val="2"/>
            <w:tcBorders>
              <w:top w:val="nil"/>
              <w:left w:val="nil"/>
              <w:bottom w:val="single" w:sz="4" w:space="0" w:color="FFFFFF"/>
              <w:right w:val="single" w:sz="4" w:space="0" w:color="FFFFFF"/>
            </w:tcBorders>
            <w:shd w:val="clear" w:color="000000" w:fill="AF272F"/>
            <w:vAlign w:val="center"/>
            <w:hideMark/>
          </w:tcPr>
          <w:p w14:paraId="6DBD89BB"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 </w:t>
            </w:r>
          </w:p>
        </w:tc>
        <w:tc>
          <w:tcPr>
            <w:tcW w:w="4755" w:type="dxa"/>
            <w:gridSpan w:val="5"/>
            <w:tcBorders>
              <w:top w:val="nil"/>
              <w:left w:val="nil"/>
              <w:bottom w:val="single" w:sz="4" w:space="0" w:color="FFFFFF"/>
              <w:right w:val="single" w:sz="4" w:space="0" w:color="FFFFFF"/>
            </w:tcBorders>
            <w:shd w:val="clear" w:color="000000" w:fill="AF272F"/>
            <w:vAlign w:val="center"/>
            <w:hideMark/>
          </w:tcPr>
          <w:p w14:paraId="1B59C059"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Maturity Dates</w:t>
            </w:r>
          </w:p>
        </w:tc>
      </w:tr>
      <w:bookmarkEnd w:id="1552"/>
      <w:tr w:rsidR="00F1540A" w:rsidRPr="005734B8" w14:paraId="090B90C9" w14:textId="77777777" w:rsidTr="000F48B1">
        <w:trPr>
          <w:trHeight w:val="720"/>
        </w:trPr>
        <w:tc>
          <w:tcPr>
            <w:tcW w:w="958" w:type="dxa"/>
            <w:tcBorders>
              <w:top w:val="nil"/>
              <w:left w:val="single" w:sz="4" w:space="0" w:color="FFFFFF"/>
              <w:bottom w:val="single" w:sz="4" w:space="0" w:color="FFFFFF"/>
              <w:right w:val="single" w:sz="4" w:space="0" w:color="FFFFFF"/>
            </w:tcBorders>
            <w:shd w:val="clear" w:color="000000" w:fill="AF272F"/>
            <w:hideMark/>
          </w:tcPr>
          <w:p w14:paraId="50D231F8" w14:textId="77777777" w:rsidR="00F1540A" w:rsidRPr="005734B8" w:rsidRDefault="00F1540A" w:rsidP="000F48B1">
            <w:pPr>
              <w:rPr>
                <w:rFonts w:ascii="Calibri" w:hAnsi="Calibri" w:cs="Calibri"/>
                <w:b/>
                <w:color w:val="FFFFFF"/>
                <w:sz w:val="18"/>
                <w:szCs w:val="18"/>
              </w:rPr>
            </w:pPr>
            <w:r w:rsidRPr="005734B8">
              <w:rPr>
                <w:rFonts w:ascii="Calibri" w:hAnsi="Calibri" w:cs="Calibri"/>
                <w:b/>
                <w:color w:val="FFFFFF"/>
                <w:sz w:val="18"/>
                <w:szCs w:val="18"/>
              </w:rPr>
              <w:t>2020</w:t>
            </w:r>
          </w:p>
        </w:tc>
        <w:tc>
          <w:tcPr>
            <w:tcW w:w="954" w:type="dxa"/>
            <w:tcBorders>
              <w:top w:val="nil"/>
              <w:left w:val="nil"/>
              <w:bottom w:val="single" w:sz="4" w:space="0" w:color="auto"/>
              <w:right w:val="single" w:sz="4" w:space="0" w:color="FFFFFF"/>
            </w:tcBorders>
            <w:shd w:val="clear" w:color="000000" w:fill="AF272F"/>
            <w:hideMark/>
          </w:tcPr>
          <w:p w14:paraId="2AD3D7FA"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Carrying amount</w:t>
            </w:r>
            <w:r w:rsidRPr="005734B8">
              <w:rPr>
                <w:rFonts w:ascii="Calibri" w:hAnsi="Calibri" w:cs="Calibri"/>
                <w:b/>
                <w:color w:val="FFFFFF"/>
                <w:sz w:val="18"/>
                <w:szCs w:val="18"/>
              </w:rPr>
              <w:br/>
              <w:t>($m)</w:t>
            </w:r>
          </w:p>
        </w:tc>
        <w:tc>
          <w:tcPr>
            <w:tcW w:w="958" w:type="dxa"/>
            <w:tcBorders>
              <w:top w:val="nil"/>
              <w:left w:val="nil"/>
              <w:bottom w:val="single" w:sz="4" w:space="0" w:color="auto"/>
              <w:right w:val="single" w:sz="4" w:space="0" w:color="FFFFFF"/>
            </w:tcBorders>
            <w:shd w:val="clear" w:color="000000" w:fill="AF272F"/>
            <w:hideMark/>
          </w:tcPr>
          <w:p w14:paraId="1C116658"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Nominal amount</w:t>
            </w:r>
            <w:r w:rsidRPr="005734B8">
              <w:rPr>
                <w:rFonts w:ascii="Calibri" w:hAnsi="Calibri" w:cs="Calibri"/>
                <w:b/>
                <w:color w:val="FFFFFF"/>
                <w:sz w:val="18"/>
                <w:szCs w:val="18"/>
              </w:rPr>
              <w:br/>
              <w:t>($m)</w:t>
            </w:r>
          </w:p>
        </w:tc>
        <w:tc>
          <w:tcPr>
            <w:tcW w:w="955" w:type="dxa"/>
            <w:tcBorders>
              <w:top w:val="nil"/>
              <w:left w:val="nil"/>
              <w:bottom w:val="single" w:sz="4" w:space="0" w:color="auto"/>
              <w:right w:val="single" w:sz="4" w:space="0" w:color="FFFFFF"/>
            </w:tcBorders>
            <w:shd w:val="clear" w:color="000000" w:fill="AF272F"/>
            <w:hideMark/>
          </w:tcPr>
          <w:p w14:paraId="628FED3F"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Less than 1 month</w:t>
            </w:r>
            <w:r w:rsidRPr="005734B8">
              <w:rPr>
                <w:rFonts w:ascii="Calibri" w:hAnsi="Calibri" w:cs="Calibri"/>
                <w:b/>
                <w:color w:val="FFFFFF"/>
                <w:sz w:val="18"/>
                <w:szCs w:val="18"/>
              </w:rPr>
              <w:br/>
              <w:t>($m)</w:t>
            </w:r>
          </w:p>
        </w:tc>
        <w:tc>
          <w:tcPr>
            <w:tcW w:w="950" w:type="dxa"/>
            <w:tcBorders>
              <w:top w:val="nil"/>
              <w:left w:val="nil"/>
              <w:bottom w:val="single" w:sz="4" w:space="0" w:color="auto"/>
              <w:right w:val="single" w:sz="4" w:space="0" w:color="FFFFFF"/>
            </w:tcBorders>
            <w:shd w:val="clear" w:color="000000" w:fill="AF272F"/>
            <w:hideMark/>
          </w:tcPr>
          <w:p w14:paraId="468D7B54"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1-3 months</w:t>
            </w:r>
            <w:r w:rsidRPr="005734B8">
              <w:rPr>
                <w:rFonts w:ascii="Calibri" w:hAnsi="Calibri" w:cs="Calibri"/>
                <w:b/>
                <w:color w:val="FFFFFF"/>
                <w:sz w:val="18"/>
                <w:szCs w:val="18"/>
              </w:rPr>
              <w:br/>
              <w:t>($m)</w:t>
            </w:r>
          </w:p>
        </w:tc>
        <w:tc>
          <w:tcPr>
            <w:tcW w:w="950" w:type="dxa"/>
            <w:tcBorders>
              <w:top w:val="nil"/>
              <w:left w:val="nil"/>
              <w:bottom w:val="single" w:sz="4" w:space="0" w:color="auto"/>
              <w:right w:val="single" w:sz="4" w:space="0" w:color="FFFFFF"/>
            </w:tcBorders>
            <w:shd w:val="clear" w:color="000000" w:fill="AF272F"/>
            <w:hideMark/>
          </w:tcPr>
          <w:p w14:paraId="3CC11F81"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3 months-1year</w:t>
            </w:r>
            <w:r w:rsidRPr="005734B8">
              <w:rPr>
                <w:rFonts w:ascii="Calibri" w:hAnsi="Calibri" w:cs="Calibri"/>
                <w:b/>
                <w:color w:val="FFFFFF"/>
                <w:sz w:val="18"/>
                <w:szCs w:val="18"/>
              </w:rPr>
              <w:br/>
              <w:t>($m)</w:t>
            </w:r>
          </w:p>
        </w:tc>
        <w:tc>
          <w:tcPr>
            <w:tcW w:w="950" w:type="dxa"/>
            <w:tcBorders>
              <w:top w:val="nil"/>
              <w:left w:val="nil"/>
              <w:bottom w:val="single" w:sz="4" w:space="0" w:color="auto"/>
              <w:right w:val="single" w:sz="4" w:space="0" w:color="FFFFFF"/>
            </w:tcBorders>
            <w:shd w:val="clear" w:color="000000" w:fill="AF272F"/>
            <w:hideMark/>
          </w:tcPr>
          <w:p w14:paraId="57E27778"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1-5 years</w:t>
            </w:r>
            <w:r w:rsidRPr="005734B8">
              <w:rPr>
                <w:rFonts w:ascii="Calibri" w:hAnsi="Calibri" w:cs="Calibri"/>
                <w:b/>
                <w:color w:val="FFFFFF"/>
                <w:sz w:val="18"/>
                <w:szCs w:val="18"/>
              </w:rPr>
              <w:br/>
              <w:t>($m)</w:t>
            </w:r>
          </w:p>
        </w:tc>
        <w:tc>
          <w:tcPr>
            <w:tcW w:w="950" w:type="dxa"/>
            <w:tcBorders>
              <w:top w:val="nil"/>
              <w:left w:val="nil"/>
              <w:bottom w:val="single" w:sz="4" w:space="0" w:color="auto"/>
              <w:right w:val="single" w:sz="4" w:space="0" w:color="FFFFFF"/>
            </w:tcBorders>
            <w:shd w:val="clear" w:color="000000" w:fill="AF272F"/>
            <w:hideMark/>
          </w:tcPr>
          <w:p w14:paraId="260E2E1B"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&gt;5 years</w:t>
            </w:r>
            <w:r w:rsidRPr="005734B8">
              <w:rPr>
                <w:rFonts w:ascii="Calibri" w:hAnsi="Calibri" w:cs="Calibri"/>
                <w:b/>
                <w:color w:val="FFFFFF"/>
                <w:sz w:val="18"/>
                <w:szCs w:val="18"/>
              </w:rPr>
              <w:br/>
              <w:t>($m)</w:t>
            </w:r>
          </w:p>
        </w:tc>
      </w:tr>
      <w:tr w:rsidR="00F1540A" w:rsidRPr="005734B8" w14:paraId="58BD56B4" w14:textId="77777777" w:rsidTr="000F48B1">
        <w:trPr>
          <w:trHeight w:val="270"/>
        </w:trPr>
        <w:tc>
          <w:tcPr>
            <w:tcW w:w="958"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1BBE33BB"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Payables</w:t>
            </w:r>
          </w:p>
        </w:tc>
        <w:tc>
          <w:tcPr>
            <w:tcW w:w="954" w:type="dxa"/>
            <w:tcBorders>
              <w:top w:val="nil"/>
              <w:left w:val="nil"/>
              <w:bottom w:val="single" w:sz="4" w:space="0" w:color="auto"/>
              <w:right w:val="single" w:sz="4" w:space="0" w:color="FFFFFF"/>
            </w:tcBorders>
            <w:shd w:val="clear" w:color="FFFFFF" w:fill="FFFFFF"/>
            <w:noWrap/>
            <w:vAlign w:val="center"/>
            <w:hideMark/>
          </w:tcPr>
          <w:p w14:paraId="6AD3561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793.6 </w:t>
            </w:r>
          </w:p>
        </w:tc>
        <w:tc>
          <w:tcPr>
            <w:tcW w:w="958" w:type="dxa"/>
            <w:tcBorders>
              <w:top w:val="nil"/>
              <w:left w:val="nil"/>
              <w:bottom w:val="single" w:sz="4" w:space="0" w:color="auto"/>
              <w:right w:val="single" w:sz="4" w:space="0" w:color="FFFFFF"/>
            </w:tcBorders>
            <w:shd w:val="clear" w:color="FFFFFF" w:fill="FFFFFF"/>
            <w:noWrap/>
            <w:vAlign w:val="center"/>
            <w:hideMark/>
          </w:tcPr>
          <w:p w14:paraId="4899887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793.6 </w:t>
            </w:r>
          </w:p>
        </w:tc>
        <w:tc>
          <w:tcPr>
            <w:tcW w:w="955" w:type="dxa"/>
            <w:tcBorders>
              <w:top w:val="nil"/>
              <w:left w:val="nil"/>
              <w:bottom w:val="single" w:sz="4" w:space="0" w:color="auto"/>
              <w:right w:val="single" w:sz="4" w:space="0" w:color="FFFFFF"/>
            </w:tcBorders>
            <w:shd w:val="clear" w:color="FFFFFF" w:fill="FFFFFF"/>
            <w:noWrap/>
            <w:vAlign w:val="center"/>
            <w:hideMark/>
          </w:tcPr>
          <w:p w14:paraId="45142EC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776.9 </w:t>
            </w:r>
          </w:p>
        </w:tc>
        <w:tc>
          <w:tcPr>
            <w:tcW w:w="950" w:type="dxa"/>
            <w:tcBorders>
              <w:top w:val="nil"/>
              <w:left w:val="nil"/>
              <w:bottom w:val="single" w:sz="4" w:space="0" w:color="auto"/>
              <w:right w:val="single" w:sz="4" w:space="0" w:color="FFFFFF"/>
            </w:tcBorders>
            <w:shd w:val="clear" w:color="FFFFFF" w:fill="FFFFFF"/>
            <w:noWrap/>
            <w:vAlign w:val="center"/>
            <w:hideMark/>
          </w:tcPr>
          <w:p w14:paraId="3253F01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2.2 </w:t>
            </w:r>
          </w:p>
        </w:tc>
        <w:tc>
          <w:tcPr>
            <w:tcW w:w="950" w:type="dxa"/>
            <w:tcBorders>
              <w:top w:val="nil"/>
              <w:left w:val="nil"/>
              <w:bottom w:val="single" w:sz="4" w:space="0" w:color="auto"/>
              <w:right w:val="single" w:sz="4" w:space="0" w:color="FFFFFF"/>
            </w:tcBorders>
            <w:shd w:val="clear" w:color="FFFFFF" w:fill="FFFFFF"/>
            <w:noWrap/>
            <w:vAlign w:val="center"/>
            <w:hideMark/>
          </w:tcPr>
          <w:p w14:paraId="592FAEF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12.4 </w:t>
            </w:r>
          </w:p>
        </w:tc>
        <w:tc>
          <w:tcPr>
            <w:tcW w:w="950" w:type="dxa"/>
            <w:tcBorders>
              <w:top w:val="nil"/>
              <w:left w:val="nil"/>
              <w:bottom w:val="single" w:sz="4" w:space="0" w:color="auto"/>
              <w:right w:val="single" w:sz="4" w:space="0" w:color="FFFFFF"/>
            </w:tcBorders>
            <w:shd w:val="clear" w:color="FFFFFF" w:fill="FFFFFF"/>
            <w:noWrap/>
            <w:vAlign w:val="center"/>
            <w:hideMark/>
          </w:tcPr>
          <w:p w14:paraId="15578A6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0.9 </w:t>
            </w:r>
          </w:p>
        </w:tc>
        <w:tc>
          <w:tcPr>
            <w:tcW w:w="950" w:type="dxa"/>
            <w:tcBorders>
              <w:top w:val="nil"/>
              <w:left w:val="nil"/>
              <w:bottom w:val="single" w:sz="4" w:space="0" w:color="auto"/>
              <w:right w:val="single" w:sz="4" w:space="0" w:color="FFFFFF"/>
            </w:tcBorders>
            <w:shd w:val="clear" w:color="FFFFFF" w:fill="FFFFFF"/>
            <w:noWrap/>
            <w:vAlign w:val="center"/>
            <w:hideMark/>
          </w:tcPr>
          <w:p w14:paraId="5A64668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1.2 </w:t>
            </w:r>
          </w:p>
        </w:tc>
      </w:tr>
      <w:tr w:rsidR="00F1540A" w:rsidRPr="005734B8" w14:paraId="37114106" w14:textId="77777777" w:rsidTr="000F48B1">
        <w:trPr>
          <w:trHeight w:val="285"/>
        </w:trPr>
        <w:tc>
          <w:tcPr>
            <w:tcW w:w="958"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2B40A2F"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w:t>
            </w:r>
          </w:p>
        </w:tc>
        <w:tc>
          <w:tcPr>
            <w:tcW w:w="954" w:type="dxa"/>
            <w:tcBorders>
              <w:top w:val="single" w:sz="12" w:space="0" w:color="auto"/>
              <w:left w:val="nil"/>
              <w:bottom w:val="single" w:sz="12" w:space="0" w:color="auto"/>
              <w:right w:val="nil"/>
            </w:tcBorders>
            <w:shd w:val="clear" w:color="FFFFFF" w:fill="FFFFFF"/>
            <w:noWrap/>
            <w:vAlign w:val="center"/>
            <w:hideMark/>
          </w:tcPr>
          <w:p w14:paraId="7FF7A242"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793.6 </w:t>
            </w:r>
          </w:p>
        </w:tc>
        <w:tc>
          <w:tcPr>
            <w:tcW w:w="958" w:type="dxa"/>
            <w:tcBorders>
              <w:top w:val="single" w:sz="12" w:space="0" w:color="auto"/>
              <w:left w:val="nil"/>
              <w:bottom w:val="single" w:sz="12" w:space="0" w:color="auto"/>
              <w:right w:val="nil"/>
            </w:tcBorders>
            <w:shd w:val="clear" w:color="FFFFFF" w:fill="FFFFFF"/>
            <w:noWrap/>
            <w:vAlign w:val="center"/>
            <w:hideMark/>
          </w:tcPr>
          <w:p w14:paraId="5A18C17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793.6 </w:t>
            </w:r>
          </w:p>
        </w:tc>
        <w:tc>
          <w:tcPr>
            <w:tcW w:w="955" w:type="dxa"/>
            <w:tcBorders>
              <w:top w:val="single" w:sz="12" w:space="0" w:color="auto"/>
              <w:left w:val="nil"/>
              <w:bottom w:val="single" w:sz="12" w:space="0" w:color="auto"/>
              <w:right w:val="nil"/>
            </w:tcBorders>
            <w:shd w:val="clear" w:color="FFFFFF" w:fill="FFFFFF"/>
            <w:noWrap/>
            <w:vAlign w:val="center"/>
            <w:hideMark/>
          </w:tcPr>
          <w:p w14:paraId="02C336C5"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776.9 </w:t>
            </w:r>
          </w:p>
        </w:tc>
        <w:tc>
          <w:tcPr>
            <w:tcW w:w="950" w:type="dxa"/>
            <w:tcBorders>
              <w:top w:val="single" w:sz="12" w:space="0" w:color="auto"/>
              <w:left w:val="nil"/>
              <w:bottom w:val="single" w:sz="12" w:space="0" w:color="auto"/>
              <w:right w:val="nil"/>
            </w:tcBorders>
            <w:shd w:val="clear" w:color="FFFFFF" w:fill="FFFFFF"/>
            <w:noWrap/>
            <w:vAlign w:val="center"/>
            <w:hideMark/>
          </w:tcPr>
          <w:p w14:paraId="1618E80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2.2 </w:t>
            </w:r>
          </w:p>
        </w:tc>
        <w:tc>
          <w:tcPr>
            <w:tcW w:w="950" w:type="dxa"/>
            <w:tcBorders>
              <w:top w:val="single" w:sz="12" w:space="0" w:color="auto"/>
              <w:left w:val="nil"/>
              <w:bottom w:val="single" w:sz="12" w:space="0" w:color="auto"/>
              <w:right w:val="nil"/>
            </w:tcBorders>
            <w:shd w:val="clear" w:color="FFFFFF" w:fill="FFFFFF"/>
            <w:noWrap/>
            <w:vAlign w:val="center"/>
            <w:hideMark/>
          </w:tcPr>
          <w:p w14:paraId="548B1550"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12.4 </w:t>
            </w:r>
          </w:p>
        </w:tc>
        <w:tc>
          <w:tcPr>
            <w:tcW w:w="950" w:type="dxa"/>
            <w:tcBorders>
              <w:top w:val="single" w:sz="12" w:space="0" w:color="auto"/>
              <w:left w:val="nil"/>
              <w:bottom w:val="single" w:sz="12" w:space="0" w:color="auto"/>
              <w:right w:val="nil"/>
            </w:tcBorders>
            <w:shd w:val="clear" w:color="FFFFFF" w:fill="FFFFFF"/>
            <w:noWrap/>
            <w:vAlign w:val="center"/>
            <w:hideMark/>
          </w:tcPr>
          <w:p w14:paraId="76BD7FB1"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0.9 </w:t>
            </w:r>
          </w:p>
        </w:tc>
        <w:tc>
          <w:tcPr>
            <w:tcW w:w="950" w:type="dxa"/>
            <w:tcBorders>
              <w:top w:val="single" w:sz="12" w:space="0" w:color="auto"/>
              <w:left w:val="nil"/>
              <w:bottom w:val="single" w:sz="12" w:space="0" w:color="auto"/>
              <w:right w:val="nil"/>
            </w:tcBorders>
            <w:shd w:val="clear" w:color="FFFFFF" w:fill="FFFFFF"/>
            <w:noWrap/>
            <w:vAlign w:val="center"/>
            <w:hideMark/>
          </w:tcPr>
          <w:p w14:paraId="5ED89D23"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1.2 </w:t>
            </w:r>
          </w:p>
        </w:tc>
      </w:tr>
    </w:tbl>
    <w:p w14:paraId="04F7688A" w14:textId="77777777" w:rsidR="00F1540A" w:rsidRPr="005734B8" w:rsidRDefault="00F1540A" w:rsidP="002D345C">
      <w:pPr>
        <w:pStyle w:val="ESHeading3"/>
        <w:ind w:left="0" w:firstLine="0"/>
        <w:rPr>
          <w:rFonts w:ascii="Calibri" w:hAnsi="Calibri" w:cs="Calibri"/>
        </w:rPr>
      </w:pPr>
      <w:bookmarkStart w:id="1553" w:name="_Toc34033395"/>
      <w:bookmarkStart w:id="1554" w:name="_Toc36012789"/>
      <w:bookmarkStart w:id="1555" w:name="_Toc36012867"/>
      <w:bookmarkStart w:id="1556" w:name="_Toc36013364"/>
      <w:bookmarkStart w:id="1557" w:name="_Toc30413694"/>
      <w:r w:rsidRPr="005734B8">
        <w:rPr>
          <w:rFonts w:ascii="Calibri" w:hAnsi="Calibri" w:cs="Calibri"/>
        </w:rPr>
        <w:t>6.3.2 Deferred capital grant revenue</w:t>
      </w:r>
    </w:p>
    <w:tbl>
      <w:tblPr>
        <w:tblW w:w="7625" w:type="dxa"/>
        <w:tblInd w:w="75" w:type="dxa"/>
        <w:tblLayout w:type="fixed"/>
        <w:tblLook w:val="04A0" w:firstRow="1" w:lastRow="0" w:firstColumn="1" w:lastColumn="0" w:noHBand="0" w:noVBand="1"/>
      </w:tblPr>
      <w:tblGrid>
        <w:gridCol w:w="5452"/>
        <w:gridCol w:w="1091"/>
        <w:gridCol w:w="1082"/>
      </w:tblGrid>
      <w:tr w:rsidR="00F1540A" w:rsidRPr="005734B8" w14:paraId="526A73C2" w14:textId="77777777" w:rsidTr="000F48B1">
        <w:trPr>
          <w:trHeight w:val="480"/>
        </w:trPr>
        <w:tc>
          <w:tcPr>
            <w:tcW w:w="5452" w:type="dxa"/>
            <w:tcBorders>
              <w:top w:val="nil"/>
              <w:left w:val="single" w:sz="4" w:space="0" w:color="FFFFFF"/>
              <w:bottom w:val="nil"/>
              <w:right w:val="single" w:sz="4" w:space="0" w:color="FFFFFF"/>
            </w:tcBorders>
            <w:shd w:val="clear" w:color="000000" w:fill="AF272F"/>
            <w:vAlign w:val="bottom"/>
            <w:hideMark/>
          </w:tcPr>
          <w:p w14:paraId="22722C9C" w14:textId="77777777" w:rsidR="00F1540A" w:rsidRPr="005734B8" w:rsidRDefault="00F1540A" w:rsidP="000F48B1">
            <w:pPr>
              <w:jc w:val="center"/>
              <w:rPr>
                <w:rFonts w:ascii="Calibri" w:hAnsi="Calibri" w:cs="Calibri"/>
                <w:b/>
                <w:color w:val="FFFFFF"/>
                <w:sz w:val="18"/>
                <w:szCs w:val="18"/>
              </w:rPr>
            </w:pPr>
            <w:bookmarkStart w:id="1558" w:name="Note_CGRTABLE1" w:colFirst="0" w:colLast="0"/>
            <w:r w:rsidRPr="005734B8">
              <w:rPr>
                <w:rFonts w:ascii="Calibri" w:hAnsi="Calibri" w:cs="Calibri"/>
                <w:b/>
                <w:color w:val="FFFFFF"/>
                <w:sz w:val="18"/>
                <w:szCs w:val="18"/>
              </w:rPr>
              <w:t> </w:t>
            </w:r>
          </w:p>
        </w:tc>
        <w:tc>
          <w:tcPr>
            <w:tcW w:w="1091" w:type="dxa"/>
            <w:tcBorders>
              <w:top w:val="nil"/>
              <w:left w:val="nil"/>
              <w:bottom w:val="single" w:sz="4" w:space="0" w:color="auto"/>
              <w:right w:val="single" w:sz="4" w:space="0" w:color="FFFFFF"/>
            </w:tcBorders>
            <w:shd w:val="clear" w:color="000000" w:fill="AF272F"/>
            <w:hideMark/>
          </w:tcPr>
          <w:p w14:paraId="1126122D"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82" w:type="dxa"/>
            <w:tcBorders>
              <w:top w:val="nil"/>
              <w:left w:val="nil"/>
              <w:bottom w:val="single" w:sz="4" w:space="0" w:color="auto"/>
              <w:right w:val="single" w:sz="4" w:space="0" w:color="FFFFFF"/>
            </w:tcBorders>
            <w:shd w:val="clear" w:color="000000" w:fill="AF272F"/>
            <w:hideMark/>
          </w:tcPr>
          <w:p w14:paraId="7C93EFFB"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558"/>
      <w:tr w:rsidR="00F1540A" w:rsidRPr="005734B8" w14:paraId="6C97C020" w14:textId="77777777" w:rsidTr="000F48B1">
        <w:trPr>
          <w:trHeight w:val="720"/>
        </w:trPr>
        <w:tc>
          <w:tcPr>
            <w:tcW w:w="5452"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58E7B1D1"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Grant consideration for capital works recognised that was included in the deferred grant liability balance at the beginning of the year</w:t>
            </w:r>
          </w:p>
        </w:tc>
        <w:tc>
          <w:tcPr>
            <w:tcW w:w="1091" w:type="dxa"/>
            <w:tcBorders>
              <w:top w:val="nil"/>
              <w:left w:val="nil"/>
              <w:bottom w:val="single" w:sz="4" w:space="0" w:color="auto"/>
              <w:right w:val="single" w:sz="4" w:space="0" w:color="FFFFFF"/>
            </w:tcBorders>
            <w:shd w:val="clear" w:color="000000" w:fill="D9D9D9"/>
            <w:noWrap/>
            <w:vAlign w:val="center"/>
            <w:hideMark/>
          </w:tcPr>
          <w:p w14:paraId="4B9D7EA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12.0 </w:t>
            </w:r>
          </w:p>
        </w:tc>
        <w:tc>
          <w:tcPr>
            <w:tcW w:w="1082" w:type="dxa"/>
            <w:tcBorders>
              <w:top w:val="nil"/>
              <w:left w:val="nil"/>
              <w:bottom w:val="single" w:sz="4" w:space="0" w:color="auto"/>
              <w:right w:val="single" w:sz="4" w:space="0" w:color="FFFFFF"/>
            </w:tcBorders>
            <w:shd w:val="clear" w:color="FFFFFF" w:fill="FFFFFF"/>
            <w:noWrap/>
            <w:vAlign w:val="center"/>
            <w:hideMark/>
          </w:tcPr>
          <w:p w14:paraId="7411DEA8" w14:textId="21559526" w:rsidR="00F1540A" w:rsidRPr="005734B8" w:rsidRDefault="00141228" w:rsidP="000F48B1">
            <w:pPr>
              <w:jc w:val="right"/>
              <w:rPr>
                <w:rFonts w:ascii="Calibri" w:hAnsi="Calibri" w:cs="Calibri"/>
                <w:sz w:val="18"/>
                <w:szCs w:val="18"/>
              </w:rPr>
            </w:pPr>
            <w:r w:rsidRPr="005734B8">
              <w:rPr>
                <w:rFonts w:ascii="Calibri" w:hAnsi="Calibri" w:cs="Calibri"/>
                <w:sz w:val="18"/>
                <w:szCs w:val="18"/>
              </w:rPr>
              <w:softHyphen/>
            </w:r>
            <w:r w:rsidR="006C14DE" w:rsidRPr="005734B8">
              <w:rPr>
                <w:rFonts w:ascii="Calibri" w:hAnsi="Calibri" w:cs="Calibri"/>
                <w:sz w:val="18"/>
                <w:szCs w:val="18"/>
              </w:rPr>
              <w:t>–</w:t>
            </w:r>
            <w:r w:rsidR="00F1540A" w:rsidRPr="005734B8">
              <w:rPr>
                <w:rFonts w:ascii="Calibri" w:hAnsi="Calibri" w:cs="Calibri"/>
                <w:sz w:val="18"/>
                <w:szCs w:val="18"/>
              </w:rPr>
              <w:t xml:space="preserve"> </w:t>
            </w:r>
          </w:p>
        </w:tc>
      </w:tr>
      <w:tr w:rsidR="00F1540A" w:rsidRPr="005734B8" w14:paraId="57D4C97A"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14B27773"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Grant consideration for capital works received during the year</w:t>
            </w:r>
            <w:r w:rsidRPr="005734B8">
              <w:rPr>
                <w:rStyle w:val="FootnoteReference"/>
                <w:rFonts w:ascii="Calibri" w:hAnsi="Calibri" w:cs="Calibri"/>
                <w:sz w:val="18"/>
                <w:szCs w:val="18"/>
              </w:rPr>
              <w:footnoteReference w:id="89"/>
            </w:r>
          </w:p>
        </w:tc>
        <w:tc>
          <w:tcPr>
            <w:tcW w:w="1091" w:type="dxa"/>
            <w:tcBorders>
              <w:top w:val="nil"/>
              <w:left w:val="nil"/>
              <w:bottom w:val="single" w:sz="4" w:space="0" w:color="auto"/>
              <w:right w:val="single" w:sz="4" w:space="0" w:color="FFFFFF"/>
            </w:tcBorders>
            <w:shd w:val="clear" w:color="000000" w:fill="D9D9D9"/>
            <w:noWrap/>
            <w:vAlign w:val="center"/>
            <w:hideMark/>
          </w:tcPr>
          <w:p w14:paraId="1D9D38F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10.9 </w:t>
            </w:r>
          </w:p>
        </w:tc>
        <w:tc>
          <w:tcPr>
            <w:tcW w:w="1082" w:type="dxa"/>
            <w:tcBorders>
              <w:top w:val="nil"/>
              <w:left w:val="nil"/>
              <w:bottom w:val="single" w:sz="4" w:space="0" w:color="auto"/>
              <w:right w:val="single" w:sz="4" w:space="0" w:color="FFFFFF"/>
            </w:tcBorders>
            <w:shd w:val="clear" w:color="FFFFFF" w:fill="FFFFFF"/>
            <w:noWrap/>
            <w:vAlign w:val="center"/>
            <w:hideMark/>
          </w:tcPr>
          <w:p w14:paraId="339E37F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107.8 </w:t>
            </w:r>
          </w:p>
        </w:tc>
      </w:tr>
      <w:tr w:rsidR="00F1540A" w:rsidRPr="005734B8" w14:paraId="3E2916DE" w14:textId="77777777" w:rsidTr="000F48B1">
        <w:trPr>
          <w:trHeight w:val="49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19423E9D"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Grant revenue for capital works recognised consistent with the capital works undertaken during the year</w:t>
            </w:r>
          </w:p>
        </w:tc>
        <w:tc>
          <w:tcPr>
            <w:tcW w:w="1091" w:type="dxa"/>
            <w:tcBorders>
              <w:top w:val="nil"/>
              <w:left w:val="nil"/>
              <w:bottom w:val="single" w:sz="4" w:space="0" w:color="auto"/>
              <w:right w:val="single" w:sz="4" w:space="0" w:color="FFFFFF"/>
            </w:tcBorders>
            <w:shd w:val="clear" w:color="000000" w:fill="D9D9D9"/>
            <w:noWrap/>
            <w:vAlign w:val="center"/>
            <w:hideMark/>
          </w:tcPr>
          <w:p w14:paraId="1D68D91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(21.6) </w:t>
            </w:r>
          </w:p>
        </w:tc>
        <w:tc>
          <w:tcPr>
            <w:tcW w:w="1082" w:type="dxa"/>
            <w:tcBorders>
              <w:top w:val="nil"/>
              <w:left w:val="nil"/>
              <w:bottom w:val="single" w:sz="4" w:space="0" w:color="auto"/>
              <w:right w:val="single" w:sz="4" w:space="0" w:color="FFFFFF"/>
            </w:tcBorders>
            <w:shd w:val="clear" w:color="FFFFFF" w:fill="FFFFFF"/>
            <w:noWrap/>
            <w:vAlign w:val="center"/>
            <w:hideMark/>
          </w:tcPr>
          <w:p w14:paraId="5A5D08D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(95.8) </w:t>
            </w:r>
          </w:p>
        </w:tc>
      </w:tr>
      <w:tr w:rsidR="00F1540A" w:rsidRPr="005734B8" w14:paraId="421D77B3" w14:textId="77777777" w:rsidTr="000F48B1">
        <w:trPr>
          <w:trHeight w:val="510"/>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95F18AA"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Closing balance of deferred grant consideration received for capital works</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60421FAD"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1.3 </w:t>
            </w:r>
          </w:p>
        </w:tc>
        <w:tc>
          <w:tcPr>
            <w:tcW w:w="1082" w:type="dxa"/>
            <w:tcBorders>
              <w:top w:val="single" w:sz="12" w:space="0" w:color="auto"/>
              <w:left w:val="nil"/>
              <w:bottom w:val="single" w:sz="12" w:space="0" w:color="auto"/>
              <w:right w:val="nil"/>
            </w:tcBorders>
            <w:shd w:val="clear" w:color="FFFFFF" w:fill="FFFFFF"/>
            <w:noWrap/>
            <w:vAlign w:val="center"/>
            <w:hideMark/>
          </w:tcPr>
          <w:p w14:paraId="63C61B98"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12.0 </w:t>
            </w:r>
          </w:p>
        </w:tc>
      </w:tr>
    </w:tbl>
    <w:p w14:paraId="7F85F3ED" w14:textId="77777777" w:rsidR="00F1540A" w:rsidRPr="005734B8" w:rsidRDefault="00F1540A" w:rsidP="00F1540A">
      <w:pPr>
        <w:rPr>
          <w:rFonts w:ascii="Calibri" w:hAnsi="Calibri" w:cs="Calibri"/>
          <w:bCs/>
        </w:rPr>
      </w:pPr>
    </w:p>
    <w:p w14:paraId="50EBCC80" w14:textId="2F0F021A" w:rsidR="00F1540A" w:rsidRPr="005734B8" w:rsidRDefault="00F1540A" w:rsidP="00F1540A">
      <w:pPr>
        <w:rPr>
          <w:rFonts w:ascii="Calibri" w:hAnsi="Calibri" w:cs="Calibri"/>
          <w:bCs/>
        </w:rPr>
      </w:pPr>
      <w:r w:rsidRPr="005734B8">
        <w:rPr>
          <w:rFonts w:ascii="Calibri" w:hAnsi="Calibri" w:cs="Calibri"/>
          <w:bCs/>
        </w:rPr>
        <w:t xml:space="preserve">Grant consideration is received mainly from the Growth Areas Infrastructure Contribution Fund during the year, utilised for land acquisition, construction of new schools and school upgrades. </w:t>
      </w:r>
    </w:p>
    <w:p w14:paraId="011118A8" w14:textId="77777777" w:rsidR="00F1540A" w:rsidRPr="005734B8" w:rsidRDefault="00F1540A" w:rsidP="00F1540A">
      <w:pPr>
        <w:rPr>
          <w:rFonts w:ascii="Calibri" w:hAnsi="Calibri" w:cs="Calibri"/>
          <w:bCs/>
        </w:rPr>
      </w:pPr>
    </w:p>
    <w:p w14:paraId="711EC93D" w14:textId="77EBEDB6" w:rsidR="00F1540A" w:rsidRPr="005734B8" w:rsidRDefault="00F1540A" w:rsidP="00F1540A">
      <w:pPr>
        <w:rPr>
          <w:rFonts w:ascii="Calibri" w:hAnsi="Calibri" w:cs="Calibri"/>
          <w:bCs/>
        </w:rPr>
      </w:pPr>
      <w:r w:rsidRPr="005734B8">
        <w:rPr>
          <w:rFonts w:ascii="Calibri" w:hAnsi="Calibri" w:cs="Calibri"/>
          <w:bCs/>
        </w:rPr>
        <w:t xml:space="preserve">The Department has deferred recognition of a portion of the grant consideration as a liability for outstanding works. The deferred amounts relate mainly to grants received in June 2020 (prior year) from </w:t>
      </w:r>
      <w:r w:rsidR="00230F96" w:rsidRPr="005734B8">
        <w:rPr>
          <w:rFonts w:ascii="Calibri" w:hAnsi="Calibri" w:cs="Calibri"/>
          <w:bCs/>
        </w:rPr>
        <w:t xml:space="preserve">the </w:t>
      </w:r>
      <w:r w:rsidRPr="005734B8">
        <w:rPr>
          <w:rFonts w:ascii="Calibri" w:hAnsi="Calibri" w:cs="Calibri"/>
          <w:bCs/>
        </w:rPr>
        <w:t>Major Transport Infrastructure Authority for construction of Greensborough Secondary College outdoor sporting facility.</w:t>
      </w:r>
    </w:p>
    <w:p w14:paraId="451B152B" w14:textId="77777777" w:rsidR="00F1540A" w:rsidRPr="005734B8" w:rsidRDefault="00F1540A" w:rsidP="00F1540A">
      <w:pPr>
        <w:spacing w:line="260" w:lineRule="atLeast"/>
        <w:rPr>
          <w:rFonts w:ascii="Calibri" w:hAnsi="Calibri" w:cs="Calibri"/>
          <w:bCs/>
        </w:rPr>
      </w:pPr>
    </w:p>
    <w:p w14:paraId="27278112" w14:textId="77777777" w:rsidR="002B70AB" w:rsidRPr="005734B8" w:rsidRDefault="002B70AB">
      <w:pPr>
        <w:rPr>
          <w:rFonts w:ascii="Calibri" w:hAnsi="Calibri" w:cs="Calibri"/>
          <w:bCs/>
        </w:rPr>
      </w:pPr>
      <w:r w:rsidRPr="005734B8">
        <w:rPr>
          <w:rFonts w:ascii="Calibri" w:hAnsi="Calibri" w:cs="Calibri"/>
          <w:bCs/>
        </w:rPr>
        <w:br w:type="page"/>
      </w:r>
    </w:p>
    <w:p w14:paraId="3B07F959" w14:textId="731973E4" w:rsidR="00F1540A" w:rsidRPr="005734B8" w:rsidRDefault="00F1540A" w:rsidP="00F1540A">
      <w:pPr>
        <w:rPr>
          <w:rFonts w:ascii="Calibri" w:hAnsi="Calibri" w:cs="Calibri"/>
          <w:bCs/>
        </w:rPr>
      </w:pPr>
      <w:r w:rsidRPr="005734B8">
        <w:rPr>
          <w:rFonts w:ascii="Calibri" w:hAnsi="Calibri" w:cs="Calibri"/>
          <w:bCs/>
        </w:rPr>
        <w:lastRenderedPageBreak/>
        <w:t>The construction of the sporting facility commenced in June 2020 and reached practical completion in May 2021, and the Department expects to recognise all of the remaining grant revenue for capital works in the following year as the project completes the defects liability period in May 2022. Grant revenue is recognised when the Department reaches settlement on land sites</w:t>
      </w:r>
      <w:r w:rsidR="00230F96" w:rsidRPr="005734B8">
        <w:rPr>
          <w:rFonts w:ascii="Calibri" w:hAnsi="Calibri" w:cs="Calibri"/>
          <w:bCs/>
        </w:rPr>
        <w:t>,</w:t>
      </w:r>
      <w:r w:rsidRPr="005734B8">
        <w:rPr>
          <w:rFonts w:ascii="Calibri" w:hAnsi="Calibri" w:cs="Calibri"/>
          <w:bCs/>
        </w:rPr>
        <w:t xml:space="preserve"> or is progressively recognised as the new school or upgrade is constructed, as this is the time when the Department satisfies its obligations under the grant transfer (see </w:t>
      </w:r>
      <w:r w:rsidR="00494952" w:rsidRPr="005734B8">
        <w:rPr>
          <w:rFonts w:ascii="Calibri" w:hAnsi="Calibri" w:cs="Calibri"/>
          <w:bCs/>
        </w:rPr>
        <w:t>N</w:t>
      </w:r>
      <w:r w:rsidRPr="005734B8">
        <w:rPr>
          <w:rFonts w:ascii="Calibri" w:hAnsi="Calibri" w:cs="Calibri"/>
          <w:bCs/>
        </w:rPr>
        <w:t>ote 2.4.1).</w:t>
      </w:r>
    </w:p>
    <w:p w14:paraId="5298ECC8" w14:textId="15FA1DB1" w:rsidR="00F1540A" w:rsidRPr="005734B8" w:rsidRDefault="00F1540A" w:rsidP="002B70AB">
      <w:pPr>
        <w:pStyle w:val="ESHeading3"/>
        <w:ind w:left="0" w:firstLine="0"/>
        <w:rPr>
          <w:rFonts w:ascii="Calibri" w:hAnsi="Calibri" w:cs="Calibri"/>
        </w:rPr>
      </w:pPr>
      <w:r w:rsidRPr="005734B8">
        <w:rPr>
          <w:rFonts w:ascii="Calibri" w:hAnsi="Calibri" w:cs="Calibri"/>
        </w:rPr>
        <w:t xml:space="preserve">6.3.3 Other </w:t>
      </w:r>
      <w:r w:rsidR="00B40FB0" w:rsidRPr="005734B8">
        <w:rPr>
          <w:rFonts w:ascii="Calibri" w:hAnsi="Calibri" w:cs="Calibri"/>
        </w:rPr>
        <w:t>l</w:t>
      </w:r>
      <w:r w:rsidRPr="005734B8">
        <w:rPr>
          <w:rFonts w:ascii="Calibri" w:hAnsi="Calibri" w:cs="Calibri"/>
        </w:rPr>
        <w:t>iabilities</w:t>
      </w:r>
    </w:p>
    <w:tbl>
      <w:tblPr>
        <w:tblW w:w="7625" w:type="dxa"/>
        <w:tblInd w:w="75" w:type="dxa"/>
        <w:tblLayout w:type="fixed"/>
        <w:tblLook w:val="04A0" w:firstRow="1" w:lastRow="0" w:firstColumn="1" w:lastColumn="0" w:noHBand="0" w:noVBand="1"/>
      </w:tblPr>
      <w:tblGrid>
        <w:gridCol w:w="5165"/>
        <w:gridCol w:w="1230"/>
        <w:gridCol w:w="1230"/>
      </w:tblGrid>
      <w:tr w:rsidR="00F1540A" w:rsidRPr="005734B8" w14:paraId="33172BDC" w14:textId="77777777" w:rsidTr="000F48B1">
        <w:trPr>
          <w:trHeight w:val="480"/>
        </w:trPr>
        <w:tc>
          <w:tcPr>
            <w:tcW w:w="5165" w:type="dxa"/>
            <w:tcBorders>
              <w:top w:val="nil"/>
              <w:left w:val="single" w:sz="4" w:space="0" w:color="FFFFFF"/>
              <w:bottom w:val="nil"/>
              <w:right w:val="single" w:sz="4" w:space="0" w:color="FFFFFF"/>
            </w:tcBorders>
            <w:shd w:val="clear" w:color="000000" w:fill="AF272F"/>
            <w:vAlign w:val="bottom"/>
            <w:hideMark/>
          </w:tcPr>
          <w:p w14:paraId="4FC08880" w14:textId="77777777" w:rsidR="00F1540A" w:rsidRPr="005734B8" w:rsidRDefault="00F1540A" w:rsidP="000F48B1">
            <w:pPr>
              <w:jc w:val="center"/>
              <w:rPr>
                <w:rFonts w:ascii="Calibri" w:hAnsi="Calibri" w:cs="Calibri"/>
                <w:b/>
                <w:color w:val="FFFFFF"/>
                <w:sz w:val="18"/>
                <w:szCs w:val="18"/>
              </w:rPr>
            </w:pPr>
            <w:bookmarkStart w:id="1559" w:name="Note_CLWTABLE1" w:colFirst="0" w:colLast="0"/>
            <w:r w:rsidRPr="005734B8">
              <w:rPr>
                <w:rFonts w:ascii="Calibri" w:hAnsi="Calibri" w:cs="Calibri"/>
                <w:b/>
                <w:color w:val="FFFFFF"/>
                <w:sz w:val="18"/>
                <w:szCs w:val="18"/>
              </w:rPr>
              <w:t> </w:t>
            </w:r>
          </w:p>
        </w:tc>
        <w:tc>
          <w:tcPr>
            <w:tcW w:w="1230" w:type="dxa"/>
            <w:tcBorders>
              <w:top w:val="nil"/>
              <w:left w:val="nil"/>
              <w:bottom w:val="nil"/>
              <w:right w:val="single" w:sz="4" w:space="0" w:color="FFFFFF"/>
            </w:tcBorders>
            <w:shd w:val="clear" w:color="000000" w:fill="AF272F"/>
            <w:vAlign w:val="bottom"/>
            <w:hideMark/>
          </w:tcPr>
          <w:p w14:paraId="28417A28"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230" w:type="dxa"/>
            <w:tcBorders>
              <w:top w:val="nil"/>
              <w:left w:val="nil"/>
              <w:bottom w:val="nil"/>
              <w:right w:val="single" w:sz="4" w:space="0" w:color="FFFFFF"/>
            </w:tcBorders>
            <w:shd w:val="clear" w:color="000000" w:fill="AF272F"/>
            <w:vAlign w:val="bottom"/>
            <w:hideMark/>
          </w:tcPr>
          <w:p w14:paraId="72F81A55"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559"/>
      <w:tr w:rsidR="00F1540A" w:rsidRPr="005734B8" w14:paraId="724F04F9" w14:textId="77777777" w:rsidTr="000F48B1">
        <w:trPr>
          <w:trHeight w:val="255"/>
        </w:trPr>
        <w:tc>
          <w:tcPr>
            <w:tcW w:w="5165"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1AFA6FDD"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Contract liabilities</w:t>
            </w:r>
          </w:p>
        </w:tc>
        <w:tc>
          <w:tcPr>
            <w:tcW w:w="1230" w:type="dxa"/>
            <w:tcBorders>
              <w:top w:val="single" w:sz="4" w:space="0" w:color="auto"/>
              <w:left w:val="nil"/>
              <w:bottom w:val="single" w:sz="4" w:space="0" w:color="auto"/>
              <w:right w:val="single" w:sz="4" w:space="0" w:color="FFFFFF"/>
            </w:tcBorders>
            <w:shd w:val="clear" w:color="000000" w:fill="D9D9D9"/>
            <w:noWrap/>
            <w:vAlign w:val="center"/>
            <w:hideMark/>
          </w:tcPr>
          <w:p w14:paraId="14A23C1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64.2 </w:t>
            </w:r>
          </w:p>
        </w:tc>
        <w:tc>
          <w:tcPr>
            <w:tcW w:w="1230" w:type="dxa"/>
            <w:tcBorders>
              <w:top w:val="single" w:sz="4" w:space="0" w:color="auto"/>
              <w:left w:val="nil"/>
              <w:bottom w:val="single" w:sz="4" w:space="0" w:color="auto"/>
              <w:right w:val="single" w:sz="4" w:space="0" w:color="FFFFFF"/>
            </w:tcBorders>
            <w:shd w:val="clear" w:color="FFFFFF" w:fill="FFFFFF"/>
            <w:noWrap/>
            <w:vAlign w:val="center"/>
            <w:hideMark/>
          </w:tcPr>
          <w:p w14:paraId="2EE7164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76.0 </w:t>
            </w:r>
          </w:p>
        </w:tc>
      </w:tr>
      <w:tr w:rsidR="00F1540A" w:rsidRPr="005734B8" w14:paraId="5F51E937" w14:textId="77777777" w:rsidTr="000F48B1">
        <w:trPr>
          <w:trHeight w:val="270"/>
        </w:trPr>
        <w:tc>
          <w:tcPr>
            <w:tcW w:w="5165" w:type="dxa"/>
            <w:tcBorders>
              <w:top w:val="nil"/>
              <w:left w:val="single" w:sz="4" w:space="0" w:color="FFFFFF"/>
              <w:bottom w:val="single" w:sz="4" w:space="0" w:color="auto"/>
              <w:right w:val="single" w:sz="4" w:space="0" w:color="FFFFFF"/>
            </w:tcBorders>
            <w:shd w:val="clear" w:color="FFFFFF" w:fill="FFFFFF"/>
            <w:vAlign w:val="center"/>
            <w:hideMark/>
          </w:tcPr>
          <w:p w14:paraId="5C7EBA78"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Other liabilities</w:t>
            </w:r>
          </w:p>
        </w:tc>
        <w:tc>
          <w:tcPr>
            <w:tcW w:w="1230" w:type="dxa"/>
            <w:tcBorders>
              <w:top w:val="nil"/>
              <w:left w:val="nil"/>
              <w:bottom w:val="single" w:sz="4" w:space="0" w:color="auto"/>
              <w:right w:val="single" w:sz="4" w:space="0" w:color="FFFFFF"/>
            </w:tcBorders>
            <w:shd w:val="clear" w:color="000000" w:fill="D9D9D9"/>
            <w:noWrap/>
            <w:vAlign w:val="center"/>
            <w:hideMark/>
          </w:tcPr>
          <w:p w14:paraId="04C46AB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7.2 </w:t>
            </w:r>
          </w:p>
        </w:tc>
        <w:tc>
          <w:tcPr>
            <w:tcW w:w="1230" w:type="dxa"/>
            <w:tcBorders>
              <w:top w:val="nil"/>
              <w:left w:val="nil"/>
              <w:bottom w:val="single" w:sz="4" w:space="0" w:color="auto"/>
              <w:right w:val="single" w:sz="4" w:space="0" w:color="FFFFFF"/>
            </w:tcBorders>
            <w:shd w:val="clear" w:color="FFFFFF" w:fill="FFFFFF"/>
            <w:noWrap/>
            <w:vAlign w:val="center"/>
            <w:hideMark/>
          </w:tcPr>
          <w:p w14:paraId="7E3F594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3.3 </w:t>
            </w:r>
          </w:p>
        </w:tc>
      </w:tr>
      <w:tr w:rsidR="00F1540A" w:rsidRPr="005734B8" w14:paraId="1293A916" w14:textId="77777777" w:rsidTr="000F48B1">
        <w:trPr>
          <w:trHeight w:val="285"/>
        </w:trPr>
        <w:tc>
          <w:tcPr>
            <w:tcW w:w="5165"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46CC1C3"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other liabilities</w:t>
            </w:r>
          </w:p>
        </w:tc>
        <w:tc>
          <w:tcPr>
            <w:tcW w:w="1230"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3B524D6D"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71.4 </w:t>
            </w:r>
          </w:p>
        </w:tc>
        <w:tc>
          <w:tcPr>
            <w:tcW w:w="1230" w:type="dxa"/>
            <w:tcBorders>
              <w:top w:val="single" w:sz="12" w:space="0" w:color="auto"/>
              <w:left w:val="nil"/>
              <w:bottom w:val="single" w:sz="12" w:space="0" w:color="auto"/>
              <w:right w:val="nil"/>
            </w:tcBorders>
            <w:shd w:val="clear" w:color="FFFFFF" w:fill="FFFFFF"/>
            <w:noWrap/>
            <w:vAlign w:val="center"/>
            <w:hideMark/>
          </w:tcPr>
          <w:p w14:paraId="5F71248A"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79.3 </w:t>
            </w:r>
          </w:p>
        </w:tc>
      </w:tr>
    </w:tbl>
    <w:p w14:paraId="45CA7A7F" w14:textId="77777777" w:rsidR="00F1540A" w:rsidRPr="005734B8" w:rsidRDefault="00F1540A" w:rsidP="00F1540A">
      <w:pPr>
        <w:rPr>
          <w:rFonts w:ascii="Calibri" w:hAnsi="Calibri" w:cs="Calibri"/>
        </w:rPr>
      </w:pPr>
    </w:p>
    <w:p w14:paraId="03CA3B3F" w14:textId="58D5FC83" w:rsidR="00F1540A" w:rsidRPr="005734B8" w:rsidRDefault="00F1540A" w:rsidP="00F1540A">
      <w:pPr>
        <w:rPr>
          <w:rFonts w:ascii="Calibri" w:hAnsi="Calibri" w:cs="Calibri"/>
        </w:rPr>
      </w:pPr>
      <w:r w:rsidRPr="005734B8">
        <w:rPr>
          <w:rFonts w:ascii="Calibri" w:hAnsi="Calibri" w:cs="Calibri"/>
        </w:rPr>
        <w:t xml:space="preserve">Contract liabilities relate to consideration received in advance from </w:t>
      </w:r>
      <w:r w:rsidR="00230F96" w:rsidRPr="005734B8">
        <w:rPr>
          <w:rFonts w:ascii="Calibri" w:hAnsi="Calibri" w:cs="Calibri"/>
        </w:rPr>
        <w:t>i</w:t>
      </w:r>
      <w:r w:rsidRPr="005734B8">
        <w:rPr>
          <w:rFonts w:ascii="Calibri" w:hAnsi="Calibri" w:cs="Calibri"/>
        </w:rPr>
        <w:t>nternational students. This mainly reflects a timing difference</w:t>
      </w:r>
      <w:r w:rsidR="00230F96" w:rsidRPr="005734B8">
        <w:rPr>
          <w:rFonts w:ascii="Calibri" w:hAnsi="Calibri" w:cs="Calibri"/>
        </w:rPr>
        <w:t>,</w:t>
      </w:r>
      <w:r w:rsidRPr="005734B8">
        <w:rPr>
          <w:rFonts w:ascii="Calibri" w:hAnsi="Calibri" w:cs="Calibri"/>
        </w:rPr>
        <w:t xml:space="preserve"> as annual school fees are generally collected at the beginning of the school year. The balance at </w:t>
      </w:r>
      <w:r w:rsidRPr="005734B8">
        <w:rPr>
          <w:rFonts w:ascii="Calibri" w:hAnsi="Calibri" w:cs="Calibri"/>
        </w:rPr>
        <w:fldChar w:fldCharType="begin"/>
      </w:r>
      <w:r w:rsidRPr="005734B8">
        <w:rPr>
          <w:rFonts w:ascii="Calibri" w:hAnsi="Calibri" w:cs="Calibri"/>
        </w:rPr>
        <w:instrText xml:space="preserve"> DOCPROPERTY  pEnd  \* MERGEFORMAT </w:instrText>
      </w:r>
      <w:r w:rsidRPr="005734B8">
        <w:rPr>
          <w:rFonts w:ascii="Calibri" w:hAnsi="Calibri" w:cs="Calibri"/>
        </w:rPr>
        <w:fldChar w:fldCharType="separate"/>
      </w:r>
      <w:r w:rsidRPr="005734B8">
        <w:rPr>
          <w:rFonts w:ascii="Calibri" w:hAnsi="Calibri" w:cs="Calibri"/>
        </w:rPr>
        <w:t>30 June</w:t>
      </w:r>
      <w:r w:rsidRPr="005734B8">
        <w:rPr>
          <w:rFonts w:ascii="Calibri" w:hAnsi="Calibri" w:cs="Calibri"/>
        </w:rPr>
        <w:fldChar w:fldCharType="end"/>
      </w:r>
      <w:r w:rsidRPr="005734B8">
        <w:rPr>
          <w:rFonts w:ascii="Calibri" w:hAnsi="Calibri" w:cs="Calibri"/>
        </w:rPr>
        <w:t xml:space="preserve"> mainly reflects education services expected to be delivered in the second half of the school calendar year.</w:t>
      </w:r>
    </w:p>
    <w:p w14:paraId="004FA2F4" w14:textId="77777777" w:rsidR="00F1540A" w:rsidRPr="005734B8" w:rsidRDefault="00F1540A" w:rsidP="00F1540A">
      <w:pPr>
        <w:rPr>
          <w:rFonts w:ascii="Calibri" w:hAnsi="Calibri" w:cs="Calibri"/>
        </w:rPr>
      </w:pPr>
    </w:p>
    <w:p w14:paraId="0A2B0D90" w14:textId="77777777" w:rsidR="00F1540A" w:rsidRPr="005734B8" w:rsidRDefault="00F1540A" w:rsidP="00F1540A">
      <w:pPr>
        <w:rPr>
          <w:rFonts w:ascii="Calibri" w:hAnsi="Calibri" w:cs="Calibri"/>
        </w:rPr>
      </w:pPr>
      <w:r w:rsidRPr="005734B8">
        <w:rPr>
          <w:rFonts w:ascii="Calibri" w:hAnsi="Calibri" w:cs="Calibri"/>
        </w:rPr>
        <w:t>The transaction price allocated to the remaining performance obligations relates to fees paid for future periods.</w:t>
      </w:r>
    </w:p>
    <w:p w14:paraId="30B3F327" w14:textId="77777777" w:rsidR="00F1540A" w:rsidRPr="005734B8" w:rsidRDefault="00F1540A" w:rsidP="00F1540A">
      <w:pPr>
        <w:pStyle w:val="BodyText"/>
        <w:rPr>
          <w:rFonts w:ascii="Calibri" w:hAnsi="Calibri" w:cs="Calibri"/>
        </w:rPr>
      </w:pPr>
      <w:r w:rsidRPr="005734B8">
        <w:rPr>
          <w:rFonts w:ascii="Calibri" w:hAnsi="Calibri" w:cs="Calibri"/>
        </w:rPr>
        <w:br w:type="page"/>
      </w:r>
    </w:p>
    <w:p w14:paraId="344AF48D" w14:textId="77777777" w:rsidR="00E311EB" w:rsidRPr="005734B8" w:rsidRDefault="002E4354" w:rsidP="00CE3E19">
      <w:pPr>
        <w:pStyle w:val="Note"/>
        <w:ind w:left="709" w:right="-1" w:hanging="709"/>
        <w:rPr>
          <w:rFonts w:cs="Calibri"/>
          <w:b w:val="0"/>
        </w:rPr>
      </w:pPr>
      <w:bookmarkStart w:id="1560" w:name="_Toc80272086"/>
      <w:bookmarkStart w:id="1561" w:name="_Toc81315386"/>
      <w:bookmarkEnd w:id="1553"/>
      <w:bookmarkEnd w:id="1554"/>
      <w:bookmarkEnd w:id="1555"/>
      <w:bookmarkEnd w:id="1556"/>
      <w:bookmarkEnd w:id="1557"/>
      <w:r w:rsidRPr="005734B8">
        <w:rPr>
          <w:rFonts w:cs="Calibri"/>
        </w:rPr>
        <w:lastRenderedPageBreak/>
        <w:t>Financing our operations</w:t>
      </w:r>
      <w:bookmarkEnd w:id="1512"/>
      <w:bookmarkEnd w:id="1513"/>
      <w:bookmarkEnd w:id="1514"/>
      <w:bookmarkEnd w:id="1515"/>
      <w:bookmarkEnd w:id="1516"/>
      <w:bookmarkEnd w:id="1517"/>
      <w:bookmarkEnd w:id="1560"/>
      <w:bookmarkEnd w:id="1561"/>
    </w:p>
    <w:p w14:paraId="488CC7BF" w14:textId="3656A028" w:rsidR="002E4354" w:rsidRPr="005734B8" w:rsidRDefault="000E29FE" w:rsidP="00E311EB">
      <w:pPr>
        <w:rPr>
          <w:rFonts w:ascii="Calibri" w:eastAsia="Arial" w:hAnsi="Calibri" w:cs="Calibri"/>
        </w:rPr>
      </w:pPr>
      <w:r w:rsidRPr="005734B8">
        <w:rPr>
          <w:rFonts w:ascii="Calibri" w:eastAsia="Arial" w:hAnsi="Calibri" w:cs="Calibri"/>
        </w:rPr>
        <w:fldChar w:fldCharType="begin"/>
      </w:r>
      <w:r w:rsidRPr="005734B8">
        <w:rPr>
          <w:rFonts w:ascii="Calibri" w:eastAsia="Arial" w:hAnsi="Calibri" w:cs="Calibri"/>
        </w:rPr>
        <w:instrText xml:space="preserve"> TC  "</w:instrText>
      </w:r>
      <w:bookmarkStart w:id="1562" w:name="_Toc80718039"/>
      <w:r w:rsidRPr="005734B8">
        <w:rPr>
          <w:rFonts w:ascii="Calibri" w:eastAsia="Arial" w:hAnsi="Calibri" w:cs="Calibri"/>
        </w:rPr>
        <w:instrText>Note 7</w:instrText>
      </w:r>
      <w:r w:rsidRPr="005734B8">
        <w:rPr>
          <w:rFonts w:ascii="Calibri" w:eastAsia="Arial" w:hAnsi="Calibri" w:cs="Calibri"/>
        </w:rPr>
        <w:tab/>
      </w:r>
      <w:r w:rsidRPr="005734B8">
        <w:rPr>
          <w:rFonts w:ascii="Calibri" w:eastAsia="Arial" w:hAnsi="Calibri" w:cs="Calibri"/>
        </w:rPr>
        <w:tab/>
        <w:instrText>Financing our operations</w:instrText>
      </w:r>
      <w:bookmarkEnd w:id="1562"/>
      <w:r w:rsidRPr="005734B8">
        <w:rPr>
          <w:rFonts w:ascii="Calibri" w:eastAsia="Arial" w:hAnsi="Calibri" w:cs="Calibri"/>
        </w:rPr>
        <w:instrText xml:space="preserve">" \f X \l 1 </w:instrText>
      </w:r>
      <w:r w:rsidRPr="005734B8">
        <w:rPr>
          <w:rFonts w:ascii="Calibri" w:eastAsia="Arial" w:hAnsi="Calibri" w:cs="Calibri"/>
        </w:rPr>
        <w:fldChar w:fldCharType="end"/>
      </w:r>
    </w:p>
    <w:tbl>
      <w:tblPr>
        <w:tblStyle w:val="TableGrid3"/>
        <w:tblpPr w:leftFromText="180" w:rightFromText="180" w:vertAnchor="page" w:horzAnchor="margin" w:tblpY="2279"/>
        <w:tblW w:w="7653" w:type="dxa"/>
        <w:tblLook w:val="04A0" w:firstRow="1" w:lastRow="0" w:firstColumn="1" w:lastColumn="0" w:noHBand="0" w:noVBand="1"/>
      </w:tblPr>
      <w:tblGrid>
        <w:gridCol w:w="3457"/>
        <w:gridCol w:w="4196"/>
      </w:tblGrid>
      <w:tr w:rsidR="00113071" w:rsidRPr="005734B8" w14:paraId="0CD3AFCA" w14:textId="77777777" w:rsidTr="002E4354">
        <w:trPr>
          <w:trHeight w:val="2563"/>
        </w:trPr>
        <w:tc>
          <w:tcPr>
            <w:tcW w:w="3457" w:type="dxa"/>
            <w:tcBorders>
              <w:bottom w:val="single" w:sz="4" w:space="0" w:color="auto"/>
              <w:right w:val="nil"/>
            </w:tcBorders>
          </w:tcPr>
          <w:p w14:paraId="69DD973F" w14:textId="77777777" w:rsidR="00113071" w:rsidRPr="005734B8" w:rsidRDefault="00113071" w:rsidP="00113071">
            <w:pPr>
              <w:keepNext/>
              <w:tabs>
                <w:tab w:val="left" w:pos="361"/>
              </w:tabs>
              <w:spacing w:after="90" w:line="220" w:lineRule="atLeast"/>
              <w:outlineLvl w:val="3"/>
              <w:rPr>
                <w:rFonts w:ascii="Calibri" w:hAnsi="Calibri" w:cs="Calibri"/>
                <w:b/>
                <w:color w:val="8A2A2F"/>
                <w:sz w:val="18"/>
                <w:szCs w:val="18"/>
              </w:rPr>
            </w:pPr>
            <w:r w:rsidRPr="005734B8">
              <w:rPr>
                <w:rFonts w:ascii="Calibri" w:hAnsi="Calibri" w:cs="Calibri"/>
                <w:b/>
                <w:color w:val="8A2A2F"/>
                <w:sz w:val="18"/>
                <w:szCs w:val="18"/>
              </w:rPr>
              <w:t>Introduction</w:t>
            </w:r>
          </w:p>
          <w:p w14:paraId="75004D82" w14:textId="77777777" w:rsidR="00113071" w:rsidRPr="005734B8" w:rsidRDefault="00113071" w:rsidP="00113071">
            <w:pPr>
              <w:spacing w:after="90"/>
              <w:rPr>
                <w:rFonts w:ascii="Calibri" w:hAnsi="Calibri" w:cs="Calibri"/>
                <w:sz w:val="18"/>
                <w:szCs w:val="18"/>
              </w:rPr>
            </w:pPr>
            <w:r w:rsidRPr="005734B8">
              <w:rPr>
                <w:rFonts w:ascii="Calibri" w:hAnsi="Calibri" w:cs="Calibri"/>
                <w:sz w:val="18"/>
                <w:szCs w:val="18"/>
              </w:rPr>
              <w:t>This section provides information on the sources of finance utilised by the Department during its operations, along with interest expenses (the cost of borrowings) and other information related to financing activities of the Department.</w:t>
            </w:r>
          </w:p>
          <w:p w14:paraId="78E087B8" w14:textId="2D85DC35" w:rsidR="00113071" w:rsidRPr="005734B8" w:rsidRDefault="00113071" w:rsidP="00113071">
            <w:pPr>
              <w:spacing w:after="90"/>
              <w:rPr>
                <w:rFonts w:ascii="Calibri" w:hAnsi="Calibri" w:cs="Calibri"/>
                <w:sz w:val="18"/>
                <w:szCs w:val="18"/>
              </w:rPr>
            </w:pPr>
            <w:r w:rsidRPr="005734B8">
              <w:rPr>
                <w:rFonts w:ascii="Calibri" w:hAnsi="Calibri" w:cs="Calibri"/>
                <w:sz w:val="18"/>
                <w:szCs w:val="18"/>
              </w:rPr>
              <w:t>This section includes disclosures of balances that are financial instruments (such as borrowings and cash balances). Note 8.1 provides additional, specific financial instrument disclosures.</w:t>
            </w:r>
          </w:p>
        </w:tc>
        <w:tc>
          <w:tcPr>
            <w:tcW w:w="4196" w:type="dxa"/>
            <w:tcBorders>
              <w:left w:val="nil"/>
              <w:bottom w:val="single" w:sz="4" w:space="0" w:color="auto"/>
            </w:tcBorders>
          </w:tcPr>
          <w:p w14:paraId="4FD8B2DB" w14:textId="77777777" w:rsidR="00113071" w:rsidRPr="005734B8" w:rsidRDefault="00113071" w:rsidP="00113071">
            <w:pPr>
              <w:keepNext/>
              <w:tabs>
                <w:tab w:val="left" w:pos="361"/>
              </w:tabs>
              <w:spacing w:after="90" w:line="220" w:lineRule="atLeast"/>
              <w:outlineLvl w:val="3"/>
              <w:rPr>
                <w:rFonts w:ascii="Calibri" w:hAnsi="Calibri" w:cs="Calibri"/>
                <w:b/>
                <w:color w:val="8A2A2F"/>
                <w:sz w:val="18"/>
                <w:szCs w:val="18"/>
              </w:rPr>
            </w:pPr>
            <w:r w:rsidRPr="005734B8">
              <w:rPr>
                <w:rFonts w:ascii="Calibri" w:hAnsi="Calibri" w:cs="Calibri"/>
                <w:b/>
                <w:color w:val="8A2A2F"/>
                <w:sz w:val="18"/>
                <w:szCs w:val="18"/>
              </w:rPr>
              <w:t>Structure</w:t>
            </w:r>
          </w:p>
          <w:p w14:paraId="47524B0F" w14:textId="5B0E58D5" w:rsidR="00113071" w:rsidRPr="005734B8" w:rsidRDefault="00113071" w:rsidP="00113071">
            <w:pPr>
              <w:spacing w:after="90"/>
              <w:rPr>
                <w:rFonts w:ascii="Calibri" w:hAnsi="Calibri" w:cs="Calibri"/>
                <w:sz w:val="18"/>
                <w:szCs w:val="18"/>
              </w:rPr>
            </w:pPr>
            <w:r w:rsidRPr="005734B8">
              <w:rPr>
                <w:rFonts w:ascii="Calibri" w:hAnsi="Calibri" w:cs="Calibri"/>
                <w:sz w:val="18"/>
                <w:szCs w:val="18"/>
              </w:rPr>
              <w:t>7.1 Borrowings</w:t>
            </w:r>
          </w:p>
          <w:p w14:paraId="3B164D93" w14:textId="5072BCD8" w:rsidR="00113071" w:rsidRPr="005734B8" w:rsidRDefault="00113071" w:rsidP="00113071">
            <w:pPr>
              <w:spacing w:after="90"/>
              <w:ind w:left="417"/>
              <w:rPr>
                <w:rFonts w:ascii="Calibri" w:hAnsi="Calibri" w:cs="Calibri"/>
                <w:sz w:val="18"/>
                <w:szCs w:val="18"/>
              </w:rPr>
            </w:pPr>
            <w:r w:rsidRPr="005734B8">
              <w:rPr>
                <w:rFonts w:ascii="Calibri" w:hAnsi="Calibri" w:cs="Calibri"/>
                <w:sz w:val="18"/>
                <w:szCs w:val="18"/>
              </w:rPr>
              <w:t>7.1.1 (a) Maturity analysis of borrowings</w:t>
            </w:r>
          </w:p>
          <w:p w14:paraId="61AAD30C" w14:textId="2B8A3312" w:rsidR="00113071" w:rsidRPr="005734B8" w:rsidRDefault="00113071" w:rsidP="00113071">
            <w:pPr>
              <w:spacing w:after="90"/>
              <w:ind w:left="417"/>
              <w:rPr>
                <w:rFonts w:ascii="Calibri" w:hAnsi="Calibri" w:cs="Calibri"/>
                <w:sz w:val="18"/>
                <w:szCs w:val="18"/>
              </w:rPr>
            </w:pPr>
            <w:r w:rsidRPr="005734B8">
              <w:rPr>
                <w:rFonts w:ascii="Calibri" w:hAnsi="Calibri" w:cs="Calibri"/>
                <w:sz w:val="18"/>
                <w:szCs w:val="18"/>
              </w:rPr>
              <w:t>7.1.1 (</w:t>
            </w:r>
            <w:r w:rsidR="00CC0D9D" w:rsidRPr="005734B8">
              <w:rPr>
                <w:rFonts w:ascii="Calibri" w:hAnsi="Calibri" w:cs="Calibri"/>
                <w:sz w:val="18"/>
                <w:szCs w:val="18"/>
              </w:rPr>
              <w:t>b) Interest</w:t>
            </w:r>
            <w:r w:rsidRPr="005734B8">
              <w:rPr>
                <w:rFonts w:ascii="Calibri" w:hAnsi="Calibri" w:cs="Calibri"/>
                <w:sz w:val="18"/>
                <w:szCs w:val="18"/>
              </w:rPr>
              <w:t xml:space="preserve"> expense</w:t>
            </w:r>
          </w:p>
          <w:p w14:paraId="716F5A9C" w14:textId="77777777" w:rsidR="00113071" w:rsidRPr="005734B8" w:rsidRDefault="00113071" w:rsidP="00113071">
            <w:pPr>
              <w:spacing w:after="90"/>
              <w:rPr>
                <w:rFonts w:ascii="Calibri" w:hAnsi="Calibri" w:cs="Calibri"/>
                <w:sz w:val="18"/>
                <w:szCs w:val="18"/>
              </w:rPr>
            </w:pPr>
            <w:r w:rsidRPr="005734B8">
              <w:rPr>
                <w:rFonts w:ascii="Calibri" w:hAnsi="Calibri" w:cs="Calibri"/>
                <w:sz w:val="18"/>
                <w:szCs w:val="18"/>
              </w:rPr>
              <w:t>7.2 Leases</w:t>
            </w:r>
          </w:p>
          <w:p w14:paraId="57F3F80C" w14:textId="7E7692AA" w:rsidR="00113071" w:rsidRPr="005734B8" w:rsidRDefault="00113071" w:rsidP="00113071">
            <w:pPr>
              <w:spacing w:after="90"/>
              <w:ind w:left="417"/>
              <w:rPr>
                <w:rFonts w:ascii="Calibri" w:hAnsi="Calibri" w:cs="Calibri"/>
                <w:sz w:val="18"/>
                <w:szCs w:val="18"/>
              </w:rPr>
            </w:pPr>
            <w:r w:rsidRPr="005734B8">
              <w:rPr>
                <w:rFonts w:ascii="Calibri" w:hAnsi="Calibri" w:cs="Calibri"/>
                <w:sz w:val="18"/>
                <w:szCs w:val="18"/>
              </w:rPr>
              <w:t>7.2.1 (</w:t>
            </w:r>
            <w:r w:rsidR="00CC0D9D" w:rsidRPr="005734B8">
              <w:rPr>
                <w:rFonts w:ascii="Calibri" w:hAnsi="Calibri" w:cs="Calibri"/>
                <w:sz w:val="18"/>
                <w:szCs w:val="18"/>
              </w:rPr>
              <w:t>a) Right</w:t>
            </w:r>
            <w:r w:rsidRPr="005734B8">
              <w:rPr>
                <w:rFonts w:ascii="Calibri" w:hAnsi="Calibri" w:cs="Calibri"/>
                <w:sz w:val="18"/>
                <w:szCs w:val="18"/>
              </w:rPr>
              <w:t>-of-use assets</w:t>
            </w:r>
          </w:p>
          <w:p w14:paraId="457FDB6C" w14:textId="10E91CAF" w:rsidR="00113071" w:rsidRPr="005734B8" w:rsidRDefault="00113071" w:rsidP="00113071">
            <w:pPr>
              <w:spacing w:after="90"/>
              <w:ind w:left="417"/>
              <w:rPr>
                <w:rFonts w:ascii="Calibri" w:hAnsi="Calibri" w:cs="Calibri"/>
                <w:sz w:val="18"/>
                <w:szCs w:val="18"/>
              </w:rPr>
            </w:pPr>
            <w:r w:rsidRPr="005734B8">
              <w:rPr>
                <w:rFonts w:ascii="Calibri" w:hAnsi="Calibri" w:cs="Calibri"/>
                <w:sz w:val="18"/>
                <w:szCs w:val="18"/>
              </w:rPr>
              <w:t>7.2.1 (b) Amounts recognised in the Comprehensive Operating Statement</w:t>
            </w:r>
          </w:p>
          <w:p w14:paraId="551189C3" w14:textId="35A1E446" w:rsidR="00113071" w:rsidRPr="005734B8" w:rsidRDefault="00113071" w:rsidP="00113071">
            <w:pPr>
              <w:spacing w:after="90"/>
              <w:ind w:left="417"/>
              <w:rPr>
                <w:rFonts w:ascii="Calibri" w:hAnsi="Calibri" w:cs="Calibri"/>
                <w:sz w:val="18"/>
                <w:szCs w:val="18"/>
              </w:rPr>
            </w:pPr>
            <w:r w:rsidRPr="005734B8">
              <w:rPr>
                <w:rFonts w:ascii="Calibri" w:hAnsi="Calibri" w:cs="Calibri"/>
                <w:sz w:val="18"/>
                <w:szCs w:val="18"/>
              </w:rPr>
              <w:t xml:space="preserve">7.2.1 </w:t>
            </w:r>
            <w:r w:rsidR="00B40FB0" w:rsidRPr="005734B8">
              <w:rPr>
                <w:rFonts w:ascii="Calibri" w:hAnsi="Calibri" w:cs="Calibri"/>
                <w:sz w:val="18"/>
                <w:szCs w:val="18"/>
              </w:rPr>
              <w:t>(c)</w:t>
            </w:r>
            <w:r w:rsidRPr="005734B8">
              <w:rPr>
                <w:rFonts w:ascii="Calibri" w:hAnsi="Calibri" w:cs="Calibri"/>
              </w:rPr>
              <w:t xml:space="preserve"> </w:t>
            </w:r>
            <w:r w:rsidRPr="005734B8">
              <w:rPr>
                <w:rFonts w:ascii="Calibri" w:hAnsi="Calibri" w:cs="Calibri"/>
                <w:sz w:val="18"/>
                <w:szCs w:val="18"/>
              </w:rPr>
              <w:t xml:space="preserve">Amounts recognised in </w:t>
            </w:r>
            <w:r w:rsidR="00CC0D9D" w:rsidRPr="005734B8">
              <w:rPr>
                <w:rFonts w:ascii="Calibri" w:hAnsi="Calibri" w:cs="Calibri"/>
                <w:sz w:val="18"/>
                <w:szCs w:val="18"/>
              </w:rPr>
              <w:t>the Cash</w:t>
            </w:r>
            <w:r w:rsidRPr="005734B8">
              <w:rPr>
                <w:rFonts w:ascii="Calibri" w:hAnsi="Calibri" w:cs="Calibri"/>
                <w:sz w:val="18"/>
                <w:szCs w:val="18"/>
              </w:rPr>
              <w:t xml:space="preserve"> Flow Statement</w:t>
            </w:r>
          </w:p>
          <w:p w14:paraId="1CDEDB47" w14:textId="07FC5556" w:rsidR="00113071" w:rsidRPr="005734B8" w:rsidRDefault="00113071" w:rsidP="00113071">
            <w:pPr>
              <w:spacing w:after="90"/>
              <w:ind w:left="417"/>
              <w:rPr>
                <w:rFonts w:ascii="Calibri" w:hAnsi="Calibri" w:cs="Calibri"/>
                <w:sz w:val="18"/>
                <w:szCs w:val="18"/>
              </w:rPr>
            </w:pPr>
            <w:r w:rsidRPr="005734B8">
              <w:rPr>
                <w:rFonts w:ascii="Calibri" w:hAnsi="Calibri" w:cs="Calibri"/>
                <w:sz w:val="18"/>
                <w:szCs w:val="18"/>
              </w:rPr>
              <w:t xml:space="preserve">7.2.1 (d) </w:t>
            </w:r>
            <w:r w:rsidR="00494952" w:rsidRPr="005734B8">
              <w:rPr>
                <w:rFonts w:ascii="Calibri" w:hAnsi="Calibri" w:cs="Calibri"/>
                <w:sz w:val="18"/>
                <w:szCs w:val="18"/>
              </w:rPr>
              <w:t>L</w:t>
            </w:r>
            <w:r w:rsidR="00236DA3" w:rsidRPr="005734B8">
              <w:rPr>
                <w:rFonts w:ascii="Calibri" w:hAnsi="Calibri" w:cs="Calibri"/>
                <w:sz w:val="18"/>
                <w:szCs w:val="18"/>
              </w:rPr>
              <w:t>ea</w:t>
            </w:r>
            <w:r w:rsidRPr="005734B8">
              <w:rPr>
                <w:rFonts w:ascii="Calibri" w:hAnsi="Calibri" w:cs="Calibri"/>
                <w:sz w:val="18"/>
                <w:szCs w:val="18"/>
              </w:rPr>
              <w:t>se liabilities – Department as lessee</w:t>
            </w:r>
          </w:p>
          <w:p w14:paraId="2C8EF9AD" w14:textId="477541F1" w:rsidR="00113071" w:rsidRPr="005734B8" w:rsidRDefault="00113071" w:rsidP="00113071">
            <w:pPr>
              <w:spacing w:after="90"/>
              <w:rPr>
                <w:rFonts w:ascii="Calibri" w:hAnsi="Calibri" w:cs="Calibri"/>
                <w:sz w:val="18"/>
                <w:szCs w:val="18"/>
              </w:rPr>
            </w:pPr>
            <w:r w:rsidRPr="005734B8">
              <w:rPr>
                <w:rFonts w:ascii="Calibri" w:hAnsi="Calibri" w:cs="Calibri"/>
                <w:sz w:val="18"/>
                <w:szCs w:val="18"/>
              </w:rPr>
              <w:t>7.3 Cash flow information and balances</w:t>
            </w:r>
          </w:p>
          <w:p w14:paraId="040D353F" w14:textId="786F9A62" w:rsidR="00113071" w:rsidRPr="005734B8" w:rsidRDefault="00113071" w:rsidP="00113071">
            <w:pPr>
              <w:spacing w:after="90"/>
              <w:ind w:left="417"/>
              <w:rPr>
                <w:rFonts w:ascii="Calibri" w:hAnsi="Calibri" w:cs="Calibri"/>
                <w:sz w:val="18"/>
                <w:szCs w:val="18"/>
              </w:rPr>
            </w:pPr>
            <w:r w:rsidRPr="005734B8">
              <w:rPr>
                <w:rFonts w:ascii="Calibri" w:hAnsi="Calibri" w:cs="Calibri"/>
                <w:sz w:val="18"/>
                <w:szCs w:val="18"/>
              </w:rPr>
              <w:t>7.3.1 Reconciliation of net results for the period to cash flow from operating activities</w:t>
            </w:r>
          </w:p>
          <w:p w14:paraId="09C06BBC" w14:textId="77777777" w:rsidR="00113071" w:rsidRPr="005734B8" w:rsidRDefault="00113071" w:rsidP="00113071">
            <w:pPr>
              <w:spacing w:after="90"/>
              <w:rPr>
                <w:rFonts w:ascii="Calibri" w:hAnsi="Calibri" w:cs="Calibri"/>
                <w:sz w:val="18"/>
                <w:szCs w:val="18"/>
              </w:rPr>
            </w:pPr>
            <w:r w:rsidRPr="005734B8">
              <w:rPr>
                <w:rFonts w:ascii="Calibri" w:hAnsi="Calibri" w:cs="Calibri"/>
                <w:sz w:val="18"/>
                <w:szCs w:val="18"/>
              </w:rPr>
              <w:t>7.4 Trust account balances</w:t>
            </w:r>
          </w:p>
          <w:p w14:paraId="35F1C777" w14:textId="77777777" w:rsidR="00113071" w:rsidRPr="005734B8" w:rsidRDefault="00113071" w:rsidP="00113071">
            <w:pPr>
              <w:spacing w:after="90"/>
              <w:rPr>
                <w:rFonts w:ascii="Calibri" w:hAnsi="Calibri" w:cs="Calibri"/>
                <w:sz w:val="18"/>
                <w:szCs w:val="18"/>
              </w:rPr>
            </w:pPr>
            <w:r w:rsidRPr="005734B8">
              <w:rPr>
                <w:rFonts w:ascii="Calibri" w:hAnsi="Calibri" w:cs="Calibri"/>
                <w:sz w:val="18"/>
                <w:szCs w:val="18"/>
              </w:rPr>
              <w:t>7.5 Commitments for expenditure</w:t>
            </w:r>
          </w:p>
          <w:p w14:paraId="177DF49A" w14:textId="77777777" w:rsidR="00113071" w:rsidRPr="005734B8" w:rsidRDefault="00113071" w:rsidP="00113071">
            <w:pPr>
              <w:spacing w:after="90"/>
              <w:ind w:left="417"/>
              <w:rPr>
                <w:rFonts w:ascii="Calibri" w:hAnsi="Calibri" w:cs="Calibri"/>
                <w:sz w:val="18"/>
                <w:szCs w:val="18"/>
              </w:rPr>
            </w:pPr>
            <w:r w:rsidRPr="005734B8">
              <w:rPr>
                <w:rFonts w:ascii="Calibri" w:hAnsi="Calibri" w:cs="Calibri"/>
                <w:sz w:val="18"/>
                <w:szCs w:val="18"/>
              </w:rPr>
              <w:t>7.5.1 Total commitments payable</w:t>
            </w:r>
          </w:p>
          <w:p w14:paraId="561D7FA7" w14:textId="24DE7D0D" w:rsidR="00113071" w:rsidRPr="005734B8" w:rsidRDefault="00113071" w:rsidP="00113071">
            <w:pPr>
              <w:spacing w:after="90"/>
              <w:ind w:left="417"/>
              <w:rPr>
                <w:rFonts w:ascii="Calibri" w:hAnsi="Calibri" w:cs="Calibri"/>
                <w:sz w:val="18"/>
                <w:szCs w:val="18"/>
              </w:rPr>
            </w:pPr>
            <w:r w:rsidRPr="005734B8">
              <w:rPr>
                <w:rFonts w:ascii="Calibri" w:hAnsi="Calibri" w:cs="Calibri"/>
                <w:sz w:val="18"/>
                <w:szCs w:val="18"/>
              </w:rPr>
              <w:t xml:space="preserve">7.5.2 </w:t>
            </w:r>
            <w:r w:rsidR="00A7332E" w:rsidRPr="005734B8">
              <w:rPr>
                <w:rFonts w:ascii="Calibri" w:hAnsi="Calibri" w:cs="Calibri"/>
                <w:sz w:val="18"/>
                <w:szCs w:val="18"/>
              </w:rPr>
              <w:t>PPP</w:t>
            </w:r>
            <w:r w:rsidRPr="005734B8">
              <w:rPr>
                <w:rFonts w:ascii="Calibri" w:hAnsi="Calibri" w:cs="Calibri"/>
                <w:sz w:val="18"/>
                <w:szCs w:val="18"/>
              </w:rPr>
              <w:t xml:space="preserve"> commitments</w:t>
            </w:r>
          </w:p>
          <w:p w14:paraId="67B1032C" w14:textId="3498E193" w:rsidR="00113071" w:rsidRPr="005734B8" w:rsidRDefault="00113071" w:rsidP="00113071">
            <w:pPr>
              <w:spacing w:after="90"/>
              <w:ind w:left="417"/>
              <w:rPr>
                <w:rFonts w:ascii="Calibri" w:hAnsi="Calibri" w:cs="Calibri"/>
                <w:sz w:val="18"/>
                <w:szCs w:val="18"/>
              </w:rPr>
            </w:pPr>
            <w:r w:rsidRPr="005734B8">
              <w:rPr>
                <w:rFonts w:ascii="Calibri" w:hAnsi="Calibri" w:cs="Calibri"/>
                <w:sz w:val="18"/>
                <w:szCs w:val="18"/>
              </w:rPr>
              <w:t xml:space="preserve">7.5.3 Commitments other than </w:t>
            </w:r>
            <w:r w:rsidR="00A7332E" w:rsidRPr="005734B8">
              <w:rPr>
                <w:rFonts w:ascii="Calibri" w:hAnsi="Calibri" w:cs="Calibri"/>
                <w:sz w:val="18"/>
                <w:szCs w:val="18"/>
              </w:rPr>
              <w:t>PPP</w:t>
            </w:r>
          </w:p>
        </w:tc>
      </w:tr>
    </w:tbl>
    <w:p w14:paraId="4F6F053F" w14:textId="77777777" w:rsidR="00F1540A" w:rsidRPr="005734B8" w:rsidRDefault="00F1540A" w:rsidP="00F1540A">
      <w:pPr>
        <w:pStyle w:val="ESHeading2"/>
        <w:rPr>
          <w:rFonts w:ascii="Calibri" w:hAnsi="Calibri" w:cs="Calibri"/>
        </w:rPr>
      </w:pPr>
      <w:bookmarkStart w:id="1563" w:name="_Toc11336409"/>
      <w:bookmarkStart w:id="1564" w:name="_Toc11336591"/>
      <w:bookmarkStart w:id="1565" w:name="_Toc13647195"/>
      <w:bookmarkStart w:id="1566" w:name="_Toc13656727"/>
      <w:bookmarkStart w:id="1567" w:name="_Toc13656889"/>
      <w:bookmarkStart w:id="1568" w:name="_Toc14965635"/>
      <w:bookmarkStart w:id="1569" w:name="_Toc15985314"/>
      <w:bookmarkStart w:id="1570" w:name="_Toc16231965"/>
      <w:bookmarkStart w:id="1571" w:name="_Toc36012791"/>
      <w:bookmarkStart w:id="1572" w:name="_Toc36012869"/>
      <w:bookmarkStart w:id="1573" w:name="_Toc36013366"/>
      <w:bookmarkStart w:id="1574" w:name="_Toc58243449"/>
      <w:bookmarkStart w:id="1575" w:name="_Toc72958099"/>
      <w:bookmarkStart w:id="1576" w:name="_Toc72958147"/>
      <w:bookmarkStart w:id="1577" w:name="_Toc80272087"/>
      <w:bookmarkStart w:id="1578" w:name="_Toc81315387"/>
      <w:r w:rsidRPr="005734B8">
        <w:rPr>
          <w:rFonts w:ascii="Calibri" w:hAnsi="Calibri" w:cs="Calibri"/>
        </w:rPr>
        <w:t>7.1 Borrowings</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tbl>
      <w:tblPr>
        <w:tblW w:w="7625" w:type="dxa"/>
        <w:tblInd w:w="75" w:type="dxa"/>
        <w:tblLayout w:type="fixed"/>
        <w:tblLook w:val="04A0" w:firstRow="1" w:lastRow="0" w:firstColumn="1" w:lastColumn="0" w:noHBand="0" w:noVBand="1"/>
      </w:tblPr>
      <w:tblGrid>
        <w:gridCol w:w="5452"/>
        <w:gridCol w:w="1091"/>
        <w:gridCol w:w="1082"/>
      </w:tblGrid>
      <w:tr w:rsidR="00F1540A" w:rsidRPr="005734B8" w14:paraId="30323DA5" w14:textId="77777777" w:rsidTr="000F48B1">
        <w:trPr>
          <w:trHeight w:val="480"/>
        </w:trPr>
        <w:tc>
          <w:tcPr>
            <w:tcW w:w="5452" w:type="dxa"/>
            <w:tcBorders>
              <w:top w:val="nil"/>
              <w:left w:val="single" w:sz="4" w:space="0" w:color="FFFFFF"/>
              <w:bottom w:val="nil"/>
              <w:right w:val="single" w:sz="4" w:space="0" w:color="FFFFFF"/>
            </w:tcBorders>
            <w:shd w:val="clear" w:color="000000" w:fill="AF272F"/>
            <w:vAlign w:val="bottom"/>
            <w:hideMark/>
          </w:tcPr>
          <w:p w14:paraId="712912BB" w14:textId="77777777" w:rsidR="00F1540A" w:rsidRPr="005734B8" w:rsidRDefault="00F1540A" w:rsidP="000F48B1">
            <w:pPr>
              <w:jc w:val="center"/>
              <w:rPr>
                <w:rFonts w:ascii="Calibri" w:hAnsi="Calibri" w:cs="Calibri"/>
                <w:b/>
                <w:color w:val="FFFFFF"/>
                <w:sz w:val="18"/>
                <w:szCs w:val="18"/>
              </w:rPr>
            </w:pPr>
            <w:bookmarkStart w:id="1579" w:name="Note_BORTABLE1" w:colFirst="0" w:colLast="0"/>
            <w:bookmarkStart w:id="1580" w:name="_Hlk79188931"/>
            <w:r w:rsidRPr="005734B8">
              <w:rPr>
                <w:rFonts w:ascii="Calibri" w:hAnsi="Calibri" w:cs="Calibri"/>
                <w:b/>
                <w:color w:val="FFFFFF"/>
                <w:sz w:val="18"/>
                <w:szCs w:val="18"/>
              </w:rPr>
              <w:t> </w:t>
            </w:r>
          </w:p>
        </w:tc>
        <w:tc>
          <w:tcPr>
            <w:tcW w:w="1091" w:type="dxa"/>
            <w:tcBorders>
              <w:top w:val="nil"/>
              <w:left w:val="nil"/>
              <w:bottom w:val="nil"/>
              <w:right w:val="single" w:sz="4" w:space="0" w:color="FFFFFF"/>
            </w:tcBorders>
            <w:shd w:val="clear" w:color="000000" w:fill="AF272F"/>
            <w:hideMark/>
          </w:tcPr>
          <w:p w14:paraId="4FC08FC3"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82" w:type="dxa"/>
            <w:tcBorders>
              <w:top w:val="nil"/>
              <w:left w:val="nil"/>
              <w:bottom w:val="nil"/>
              <w:right w:val="single" w:sz="4" w:space="0" w:color="FFFFFF"/>
            </w:tcBorders>
            <w:shd w:val="clear" w:color="000000" w:fill="AF272F"/>
            <w:hideMark/>
          </w:tcPr>
          <w:p w14:paraId="2958012F"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579"/>
      <w:tr w:rsidR="00F1540A" w:rsidRPr="005734B8" w14:paraId="5A5150C7"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000000" w:fill="53565A"/>
            <w:vAlign w:val="center"/>
            <w:hideMark/>
          </w:tcPr>
          <w:p w14:paraId="1273A70E" w14:textId="77777777" w:rsidR="00F1540A" w:rsidRPr="005734B8" w:rsidRDefault="00F1540A" w:rsidP="000F48B1">
            <w:pPr>
              <w:rPr>
                <w:rFonts w:ascii="Calibri" w:hAnsi="Calibri" w:cs="Calibri"/>
                <w:b/>
                <w:color w:val="FFFFFF"/>
                <w:sz w:val="18"/>
                <w:szCs w:val="18"/>
              </w:rPr>
            </w:pPr>
            <w:r w:rsidRPr="005734B8">
              <w:rPr>
                <w:rFonts w:ascii="Calibri" w:hAnsi="Calibri" w:cs="Calibri"/>
                <w:b/>
                <w:color w:val="FFFFFF"/>
                <w:sz w:val="18"/>
                <w:szCs w:val="18"/>
              </w:rPr>
              <w:t>Current borrowings</w:t>
            </w:r>
          </w:p>
        </w:tc>
        <w:tc>
          <w:tcPr>
            <w:tcW w:w="1091" w:type="dxa"/>
            <w:tcBorders>
              <w:top w:val="nil"/>
              <w:left w:val="nil"/>
              <w:bottom w:val="single" w:sz="4" w:space="0" w:color="auto"/>
              <w:right w:val="single" w:sz="4" w:space="0" w:color="FFFFFF"/>
            </w:tcBorders>
            <w:shd w:val="clear" w:color="000000" w:fill="53565A"/>
            <w:hideMark/>
          </w:tcPr>
          <w:p w14:paraId="79DC7BD4"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w:t>
            </w:r>
          </w:p>
        </w:tc>
        <w:tc>
          <w:tcPr>
            <w:tcW w:w="1082" w:type="dxa"/>
            <w:tcBorders>
              <w:top w:val="nil"/>
              <w:left w:val="nil"/>
              <w:bottom w:val="single" w:sz="4" w:space="0" w:color="auto"/>
              <w:right w:val="single" w:sz="4" w:space="0" w:color="FFFFFF"/>
            </w:tcBorders>
            <w:shd w:val="clear" w:color="000000" w:fill="53565A"/>
            <w:hideMark/>
          </w:tcPr>
          <w:p w14:paraId="1A87799E"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w:t>
            </w:r>
          </w:p>
        </w:tc>
      </w:tr>
      <w:tr w:rsidR="00F1540A" w:rsidRPr="005734B8" w14:paraId="7F92356C"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7C94CCD6"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Lease liabilities</w:t>
            </w:r>
            <w:bookmarkStart w:id="1581" w:name="_Ref78141376"/>
            <w:r w:rsidRPr="005734B8">
              <w:rPr>
                <w:rStyle w:val="FootnoteReference"/>
                <w:rFonts w:ascii="Calibri" w:hAnsi="Calibri" w:cs="Calibri"/>
                <w:sz w:val="18"/>
                <w:szCs w:val="18"/>
              </w:rPr>
              <w:footnoteReference w:id="90"/>
            </w:r>
            <w:bookmarkEnd w:id="1581"/>
          </w:p>
        </w:tc>
        <w:tc>
          <w:tcPr>
            <w:tcW w:w="1091" w:type="dxa"/>
            <w:tcBorders>
              <w:top w:val="nil"/>
              <w:left w:val="nil"/>
              <w:bottom w:val="single" w:sz="4" w:space="0" w:color="auto"/>
              <w:right w:val="single" w:sz="4" w:space="0" w:color="FFFFFF"/>
            </w:tcBorders>
            <w:shd w:val="clear" w:color="000000" w:fill="D9D9D9"/>
            <w:noWrap/>
            <w:vAlign w:val="center"/>
            <w:hideMark/>
          </w:tcPr>
          <w:p w14:paraId="7383392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w:t>
            </w:r>
          </w:p>
        </w:tc>
        <w:tc>
          <w:tcPr>
            <w:tcW w:w="1082" w:type="dxa"/>
            <w:tcBorders>
              <w:top w:val="nil"/>
              <w:left w:val="nil"/>
              <w:bottom w:val="single" w:sz="4" w:space="0" w:color="auto"/>
              <w:right w:val="single" w:sz="4" w:space="0" w:color="FFFFFF"/>
            </w:tcBorders>
            <w:shd w:val="clear" w:color="FFFFFF" w:fill="FFFFFF"/>
            <w:noWrap/>
            <w:vAlign w:val="center"/>
            <w:hideMark/>
          </w:tcPr>
          <w:p w14:paraId="0C359B4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w:t>
            </w:r>
          </w:p>
        </w:tc>
      </w:tr>
      <w:tr w:rsidR="00F1540A" w:rsidRPr="005734B8" w14:paraId="2CE0D679"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27187981" w14:textId="77777777" w:rsidR="00F1540A" w:rsidRPr="005734B8" w:rsidRDefault="00F1540A" w:rsidP="000F48B1">
            <w:pPr>
              <w:ind w:firstLineChars="100" w:firstLine="180"/>
              <w:rPr>
                <w:rFonts w:ascii="Calibri" w:hAnsi="Calibri" w:cs="Calibri"/>
                <w:sz w:val="18"/>
                <w:szCs w:val="18"/>
              </w:rPr>
            </w:pPr>
            <w:r w:rsidRPr="005734B8">
              <w:rPr>
                <w:rFonts w:ascii="Calibri" w:hAnsi="Calibri" w:cs="Calibri"/>
                <w:sz w:val="18"/>
                <w:szCs w:val="18"/>
              </w:rPr>
              <w:t>PPP related lease liabilities</w:t>
            </w:r>
          </w:p>
        </w:tc>
        <w:tc>
          <w:tcPr>
            <w:tcW w:w="1091" w:type="dxa"/>
            <w:tcBorders>
              <w:top w:val="nil"/>
              <w:left w:val="nil"/>
              <w:bottom w:val="single" w:sz="4" w:space="0" w:color="auto"/>
              <w:right w:val="single" w:sz="4" w:space="0" w:color="FFFFFF"/>
            </w:tcBorders>
            <w:shd w:val="clear" w:color="000000" w:fill="D9D9D9"/>
            <w:noWrap/>
            <w:vAlign w:val="center"/>
            <w:hideMark/>
          </w:tcPr>
          <w:p w14:paraId="70FA1AB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39.2 </w:t>
            </w:r>
          </w:p>
        </w:tc>
        <w:tc>
          <w:tcPr>
            <w:tcW w:w="1082" w:type="dxa"/>
            <w:tcBorders>
              <w:top w:val="nil"/>
              <w:left w:val="nil"/>
              <w:bottom w:val="single" w:sz="4" w:space="0" w:color="auto"/>
              <w:right w:val="single" w:sz="4" w:space="0" w:color="FFFFFF"/>
            </w:tcBorders>
            <w:shd w:val="clear" w:color="FFFFFF" w:fill="FFFFFF"/>
            <w:noWrap/>
            <w:vAlign w:val="center"/>
            <w:hideMark/>
          </w:tcPr>
          <w:p w14:paraId="45DF919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43.9 </w:t>
            </w:r>
          </w:p>
        </w:tc>
      </w:tr>
      <w:tr w:rsidR="00F1540A" w:rsidRPr="005734B8" w14:paraId="494E6107"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4890B586" w14:textId="77777777" w:rsidR="00F1540A" w:rsidRPr="005734B8" w:rsidRDefault="00F1540A" w:rsidP="000F48B1">
            <w:pPr>
              <w:ind w:firstLineChars="100" w:firstLine="180"/>
              <w:rPr>
                <w:rFonts w:ascii="Calibri" w:hAnsi="Calibri" w:cs="Calibri"/>
                <w:sz w:val="18"/>
                <w:szCs w:val="18"/>
              </w:rPr>
            </w:pPr>
            <w:r w:rsidRPr="005734B8">
              <w:rPr>
                <w:rFonts w:ascii="Calibri" w:hAnsi="Calibri" w:cs="Calibri"/>
                <w:sz w:val="18"/>
                <w:szCs w:val="18"/>
              </w:rPr>
              <w:t>Non-PPP related lease liabilities</w:t>
            </w:r>
          </w:p>
        </w:tc>
        <w:tc>
          <w:tcPr>
            <w:tcW w:w="1091" w:type="dxa"/>
            <w:tcBorders>
              <w:top w:val="nil"/>
              <w:left w:val="nil"/>
              <w:bottom w:val="single" w:sz="4" w:space="0" w:color="auto"/>
              <w:right w:val="single" w:sz="4" w:space="0" w:color="FFFFFF"/>
            </w:tcBorders>
            <w:shd w:val="clear" w:color="000000" w:fill="D9D9D9"/>
            <w:noWrap/>
            <w:vAlign w:val="center"/>
            <w:hideMark/>
          </w:tcPr>
          <w:p w14:paraId="7290C02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7.8 </w:t>
            </w:r>
          </w:p>
        </w:tc>
        <w:tc>
          <w:tcPr>
            <w:tcW w:w="1082" w:type="dxa"/>
            <w:tcBorders>
              <w:top w:val="nil"/>
              <w:left w:val="nil"/>
              <w:bottom w:val="single" w:sz="4" w:space="0" w:color="auto"/>
              <w:right w:val="single" w:sz="4" w:space="0" w:color="FFFFFF"/>
            </w:tcBorders>
            <w:shd w:val="clear" w:color="FFFFFF" w:fill="FFFFFF"/>
            <w:noWrap/>
            <w:vAlign w:val="center"/>
            <w:hideMark/>
          </w:tcPr>
          <w:p w14:paraId="3628764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8.7 </w:t>
            </w:r>
          </w:p>
        </w:tc>
      </w:tr>
      <w:tr w:rsidR="00F1540A" w:rsidRPr="005734B8" w14:paraId="52A7DE86"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5EED1E36"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Advance from public account</w:t>
            </w:r>
            <w:bookmarkStart w:id="1582" w:name="_Ref78141382"/>
            <w:r w:rsidRPr="005734B8">
              <w:rPr>
                <w:rStyle w:val="FootnoteReference"/>
                <w:rFonts w:ascii="Calibri" w:hAnsi="Calibri" w:cs="Calibri"/>
                <w:sz w:val="18"/>
                <w:szCs w:val="18"/>
              </w:rPr>
              <w:footnoteReference w:id="91"/>
            </w:r>
            <w:bookmarkEnd w:id="1582"/>
          </w:p>
        </w:tc>
        <w:tc>
          <w:tcPr>
            <w:tcW w:w="1091" w:type="dxa"/>
            <w:tcBorders>
              <w:top w:val="nil"/>
              <w:left w:val="nil"/>
              <w:bottom w:val="single" w:sz="4" w:space="0" w:color="auto"/>
              <w:right w:val="single" w:sz="4" w:space="0" w:color="FFFFFF"/>
            </w:tcBorders>
            <w:shd w:val="clear" w:color="000000" w:fill="D9D9D9"/>
            <w:noWrap/>
            <w:vAlign w:val="center"/>
            <w:hideMark/>
          </w:tcPr>
          <w:p w14:paraId="49ACE13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 </w:t>
            </w:r>
          </w:p>
        </w:tc>
        <w:tc>
          <w:tcPr>
            <w:tcW w:w="1082" w:type="dxa"/>
            <w:tcBorders>
              <w:top w:val="nil"/>
              <w:left w:val="nil"/>
              <w:bottom w:val="single" w:sz="4" w:space="0" w:color="auto"/>
              <w:right w:val="single" w:sz="4" w:space="0" w:color="FFFFFF"/>
            </w:tcBorders>
            <w:shd w:val="clear" w:color="FFFFFF" w:fill="FFFFFF"/>
            <w:noWrap/>
            <w:vAlign w:val="center"/>
            <w:hideMark/>
          </w:tcPr>
          <w:p w14:paraId="0848245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13.2 </w:t>
            </w:r>
          </w:p>
        </w:tc>
      </w:tr>
      <w:tr w:rsidR="00F1540A" w:rsidRPr="005734B8" w14:paraId="7915B6BF" w14:textId="77777777" w:rsidTr="000F48B1">
        <w:trPr>
          <w:trHeight w:val="28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0D109340"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Other current borrowings</w:t>
            </w:r>
            <w:bookmarkStart w:id="1583" w:name="_Ref78141202"/>
            <w:r w:rsidRPr="005734B8">
              <w:rPr>
                <w:rStyle w:val="FootnoteReference"/>
                <w:rFonts w:ascii="Calibri" w:hAnsi="Calibri" w:cs="Calibri"/>
                <w:sz w:val="18"/>
                <w:szCs w:val="18"/>
              </w:rPr>
              <w:footnoteReference w:id="92"/>
            </w:r>
            <w:bookmarkEnd w:id="1583"/>
          </w:p>
        </w:tc>
        <w:tc>
          <w:tcPr>
            <w:tcW w:w="1091" w:type="dxa"/>
            <w:tcBorders>
              <w:top w:val="nil"/>
              <w:left w:val="nil"/>
              <w:bottom w:val="single" w:sz="4" w:space="0" w:color="auto"/>
              <w:right w:val="single" w:sz="4" w:space="0" w:color="FFFFFF"/>
            </w:tcBorders>
            <w:shd w:val="clear" w:color="000000" w:fill="D9D9D9"/>
            <w:noWrap/>
            <w:vAlign w:val="center"/>
            <w:hideMark/>
          </w:tcPr>
          <w:p w14:paraId="4FEDA63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0.9 </w:t>
            </w:r>
          </w:p>
        </w:tc>
        <w:tc>
          <w:tcPr>
            <w:tcW w:w="1082" w:type="dxa"/>
            <w:tcBorders>
              <w:top w:val="nil"/>
              <w:left w:val="nil"/>
              <w:bottom w:val="single" w:sz="4" w:space="0" w:color="auto"/>
              <w:right w:val="single" w:sz="4" w:space="0" w:color="FFFFFF"/>
            </w:tcBorders>
            <w:shd w:val="clear" w:color="FFFFFF" w:fill="FFFFFF"/>
            <w:noWrap/>
            <w:vAlign w:val="center"/>
            <w:hideMark/>
          </w:tcPr>
          <w:p w14:paraId="6B0D5228"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0.9 </w:t>
            </w:r>
          </w:p>
        </w:tc>
      </w:tr>
      <w:tr w:rsidR="00F1540A" w:rsidRPr="005734B8" w14:paraId="0F29A5B8"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110C515"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current borrowings</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0B658EA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48.9 </w:t>
            </w:r>
          </w:p>
        </w:tc>
        <w:tc>
          <w:tcPr>
            <w:tcW w:w="1082" w:type="dxa"/>
            <w:tcBorders>
              <w:top w:val="single" w:sz="12" w:space="0" w:color="auto"/>
              <w:left w:val="nil"/>
              <w:bottom w:val="single" w:sz="12" w:space="0" w:color="auto"/>
              <w:right w:val="nil"/>
            </w:tcBorders>
            <w:shd w:val="clear" w:color="FFFFFF" w:fill="FFFFFF"/>
            <w:noWrap/>
            <w:vAlign w:val="center"/>
            <w:hideMark/>
          </w:tcPr>
          <w:p w14:paraId="521F205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66.7 </w:t>
            </w:r>
          </w:p>
        </w:tc>
      </w:tr>
      <w:tr w:rsidR="00F1540A" w:rsidRPr="005734B8" w14:paraId="7285A041"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000000" w:fill="53565A"/>
            <w:vAlign w:val="center"/>
            <w:hideMark/>
          </w:tcPr>
          <w:p w14:paraId="4BC74914" w14:textId="77777777" w:rsidR="00F1540A" w:rsidRPr="005734B8" w:rsidRDefault="00F1540A" w:rsidP="000F48B1">
            <w:pPr>
              <w:rPr>
                <w:rFonts w:ascii="Calibri" w:hAnsi="Calibri" w:cs="Calibri"/>
                <w:b/>
                <w:color w:val="FFFFFF"/>
                <w:sz w:val="18"/>
                <w:szCs w:val="18"/>
              </w:rPr>
            </w:pPr>
            <w:r w:rsidRPr="005734B8">
              <w:rPr>
                <w:rFonts w:ascii="Calibri" w:hAnsi="Calibri" w:cs="Calibri"/>
                <w:b/>
                <w:color w:val="FFFFFF"/>
                <w:sz w:val="18"/>
                <w:szCs w:val="18"/>
              </w:rPr>
              <w:t>Non-current borrowings</w:t>
            </w:r>
          </w:p>
        </w:tc>
        <w:tc>
          <w:tcPr>
            <w:tcW w:w="1091" w:type="dxa"/>
            <w:tcBorders>
              <w:top w:val="nil"/>
              <w:left w:val="nil"/>
              <w:bottom w:val="single" w:sz="4" w:space="0" w:color="auto"/>
              <w:right w:val="single" w:sz="4" w:space="0" w:color="FFFFFF"/>
            </w:tcBorders>
            <w:shd w:val="clear" w:color="000000" w:fill="53565A"/>
            <w:hideMark/>
          </w:tcPr>
          <w:p w14:paraId="374B57D0"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w:t>
            </w:r>
          </w:p>
        </w:tc>
        <w:tc>
          <w:tcPr>
            <w:tcW w:w="1082" w:type="dxa"/>
            <w:tcBorders>
              <w:top w:val="nil"/>
              <w:left w:val="nil"/>
              <w:bottom w:val="single" w:sz="4" w:space="0" w:color="auto"/>
              <w:right w:val="single" w:sz="4" w:space="0" w:color="FFFFFF"/>
            </w:tcBorders>
            <w:shd w:val="clear" w:color="000000" w:fill="53565A"/>
            <w:hideMark/>
          </w:tcPr>
          <w:p w14:paraId="60748E58"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w:t>
            </w:r>
          </w:p>
        </w:tc>
      </w:tr>
      <w:tr w:rsidR="00F1540A" w:rsidRPr="005734B8" w14:paraId="53DD1BE8"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0B61D919" w14:textId="6D155C24" w:rsidR="00F1540A" w:rsidRPr="005734B8" w:rsidRDefault="00F1540A" w:rsidP="000F48B1">
            <w:pPr>
              <w:rPr>
                <w:rFonts w:ascii="Calibri" w:hAnsi="Calibri" w:cs="Calibri"/>
                <w:sz w:val="18"/>
                <w:szCs w:val="18"/>
              </w:rPr>
            </w:pPr>
            <w:r w:rsidRPr="005734B8">
              <w:rPr>
                <w:rFonts w:ascii="Calibri" w:hAnsi="Calibri" w:cs="Calibri"/>
                <w:sz w:val="18"/>
                <w:szCs w:val="18"/>
              </w:rPr>
              <w:t>Lease liabilities</w:t>
            </w:r>
            <w:r w:rsidR="0043712A" w:rsidRPr="005734B8">
              <w:rPr>
                <w:rFonts w:ascii="Calibri" w:hAnsi="Calibri" w:cs="Calibri"/>
                <w:sz w:val="18"/>
                <w:szCs w:val="18"/>
                <w:vertAlign w:val="superscript"/>
              </w:rPr>
              <w:t>89</w:t>
            </w:r>
            <w:r w:rsidRPr="005734B8">
              <w:rPr>
                <w:rFonts w:ascii="Calibri" w:hAnsi="Calibri" w:cs="Calibri"/>
                <w:sz w:val="18"/>
                <w:szCs w:val="18"/>
              </w:rPr>
              <w:fldChar w:fldCharType="begin"/>
            </w:r>
            <w:r w:rsidRPr="005734B8">
              <w:rPr>
                <w:rFonts w:ascii="Calibri" w:hAnsi="Calibri" w:cs="Calibri"/>
                <w:sz w:val="18"/>
                <w:szCs w:val="18"/>
              </w:rPr>
              <w:instrText xml:space="preserve"> NOTEREF _Ref78141376 \f \h  \* MERGEFORMAT </w:instrText>
            </w:r>
            <w:r w:rsidRPr="005734B8">
              <w:rPr>
                <w:rFonts w:ascii="Calibri" w:hAnsi="Calibri" w:cs="Calibri"/>
                <w:sz w:val="18"/>
                <w:szCs w:val="18"/>
              </w:rPr>
            </w:r>
            <w:r w:rsidRPr="005734B8">
              <w:rPr>
                <w:rFonts w:ascii="Calibri" w:hAnsi="Calibri" w:cs="Calibri"/>
                <w:sz w:val="18"/>
                <w:szCs w:val="18"/>
              </w:rPr>
              <w:fldChar w:fldCharType="separate"/>
            </w:r>
            <w:r w:rsidR="00F9243B" w:rsidRPr="00F9243B">
              <w:rPr>
                <w:rStyle w:val="FootnoteReference"/>
              </w:rPr>
              <w:t>89</w:t>
            </w:r>
            <w:r w:rsidRPr="005734B8">
              <w:rPr>
                <w:rFonts w:ascii="Calibri" w:hAnsi="Calibri" w:cs="Calibri"/>
                <w:sz w:val="18"/>
                <w:szCs w:val="18"/>
              </w:rPr>
              <w:fldChar w:fldCharType="end"/>
            </w:r>
          </w:p>
        </w:tc>
        <w:tc>
          <w:tcPr>
            <w:tcW w:w="1091" w:type="dxa"/>
            <w:tcBorders>
              <w:top w:val="nil"/>
              <w:left w:val="nil"/>
              <w:bottom w:val="single" w:sz="4" w:space="0" w:color="auto"/>
              <w:right w:val="single" w:sz="4" w:space="0" w:color="FFFFFF"/>
            </w:tcBorders>
            <w:shd w:val="clear" w:color="000000" w:fill="D9D9D9"/>
            <w:noWrap/>
            <w:vAlign w:val="center"/>
            <w:hideMark/>
          </w:tcPr>
          <w:p w14:paraId="43D254B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w:t>
            </w:r>
          </w:p>
        </w:tc>
        <w:tc>
          <w:tcPr>
            <w:tcW w:w="1082" w:type="dxa"/>
            <w:tcBorders>
              <w:top w:val="nil"/>
              <w:left w:val="nil"/>
              <w:bottom w:val="single" w:sz="4" w:space="0" w:color="auto"/>
              <w:right w:val="single" w:sz="4" w:space="0" w:color="FFFFFF"/>
            </w:tcBorders>
            <w:shd w:val="clear" w:color="FFFFFF" w:fill="FFFFFF"/>
            <w:noWrap/>
            <w:vAlign w:val="center"/>
            <w:hideMark/>
          </w:tcPr>
          <w:p w14:paraId="7709F3D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w:t>
            </w:r>
          </w:p>
        </w:tc>
      </w:tr>
      <w:tr w:rsidR="00F1540A" w:rsidRPr="005734B8" w14:paraId="685BA098"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64847D27" w14:textId="77777777" w:rsidR="00F1540A" w:rsidRPr="005734B8" w:rsidRDefault="00F1540A" w:rsidP="000F48B1">
            <w:pPr>
              <w:ind w:firstLineChars="100" w:firstLine="180"/>
              <w:rPr>
                <w:rFonts w:ascii="Calibri" w:hAnsi="Calibri" w:cs="Calibri"/>
                <w:sz w:val="18"/>
                <w:szCs w:val="18"/>
              </w:rPr>
            </w:pPr>
            <w:r w:rsidRPr="005734B8">
              <w:rPr>
                <w:rFonts w:ascii="Calibri" w:hAnsi="Calibri" w:cs="Calibri"/>
                <w:sz w:val="18"/>
                <w:szCs w:val="18"/>
              </w:rPr>
              <w:t>PPP related lease liabilities</w:t>
            </w:r>
          </w:p>
        </w:tc>
        <w:tc>
          <w:tcPr>
            <w:tcW w:w="1091" w:type="dxa"/>
            <w:tcBorders>
              <w:top w:val="nil"/>
              <w:left w:val="nil"/>
              <w:bottom w:val="single" w:sz="4" w:space="0" w:color="auto"/>
              <w:right w:val="single" w:sz="4" w:space="0" w:color="FFFFFF"/>
            </w:tcBorders>
            <w:shd w:val="clear" w:color="000000" w:fill="D9D9D9"/>
            <w:noWrap/>
            <w:vAlign w:val="center"/>
            <w:hideMark/>
          </w:tcPr>
          <w:p w14:paraId="49C2344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492.8 </w:t>
            </w:r>
          </w:p>
        </w:tc>
        <w:tc>
          <w:tcPr>
            <w:tcW w:w="1082" w:type="dxa"/>
            <w:tcBorders>
              <w:top w:val="nil"/>
              <w:left w:val="nil"/>
              <w:bottom w:val="single" w:sz="4" w:space="0" w:color="auto"/>
              <w:right w:val="single" w:sz="4" w:space="0" w:color="FFFFFF"/>
            </w:tcBorders>
            <w:shd w:val="clear" w:color="FFFFFF" w:fill="FFFFFF"/>
            <w:noWrap/>
            <w:vAlign w:val="center"/>
            <w:hideMark/>
          </w:tcPr>
          <w:p w14:paraId="3A5BA1D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508.1 </w:t>
            </w:r>
          </w:p>
        </w:tc>
      </w:tr>
      <w:tr w:rsidR="00F1540A" w:rsidRPr="005734B8" w14:paraId="3C143F7E"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1E2CE6F9" w14:textId="77777777" w:rsidR="00F1540A" w:rsidRPr="005734B8" w:rsidRDefault="00F1540A" w:rsidP="000F48B1">
            <w:pPr>
              <w:ind w:firstLineChars="100" w:firstLine="180"/>
              <w:rPr>
                <w:rFonts w:ascii="Calibri" w:hAnsi="Calibri" w:cs="Calibri"/>
                <w:sz w:val="18"/>
                <w:szCs w:val="18"/>
              </w:rPr>
            </w:pPr>
            <w:r w:rsidRPr="005734B8">
              <w:rPr>
                <w:rFonts w:ascii="Calibri" w:hAnsi="Calibri" w:cs="Calibri"/>
                <w:sz w:val="18"/>
                <w:szCs w:val="18"/>
              </w:rPr>
              <w:t>Non-PPP related lease liabilities</w:t>
            </w:r>
          </w:p>
        </w:tc>
        <w:tc>
          <w:tcPr>
            <w:tcW w:w="1091" w:type="dxa"/>
            <w:tcBorders>
              <w:top w:val="nil"/>
              <w:left w:val="nil"/>
              <w:bottom w:val="single" w:sz="4" w:space="0" w:color="auto"/>
              <w:right w:val="single" w:sz="4" w:space="0" w:color="FFFFFF"/>
            </w:tcBorders>
            <w:shd w:val="clear" w:color="000000" w:fill="D9D9D9"/>
            <w:noWrap/>
            <w:vAlign w:val="center"/>
            <w:hideMark/>
          </w:tcPr>
          <w:p w14:paraId="3BA5ACA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12.2 </w:t>
            </w:r>
          </w:p>
        </w:tc>
        <w:tc>
          <w:tcPr>
            <w:tcW w:w="1082" w:type="dxa"/>
            <w:tcBorders>
              <w:top w:val="nil"/>
              <w:left w:val="nil"/>
              <w:bottom w:val="single" w:sz="4" w:space="0" w:color="auto"/>
              <w:right w:val="single" w:sz="4" w:space="0" w:color="FFFFFF"/>
            </w:tcBorders>
            <w:shd w:val="clear" w:color="FFFFFF" w:fill="FFFFFF"/>
            <w:noWrap/>
            <w:vAlign w:val="center"/>
            <w:hideMark/>
          </w:tcPr>
          <w:p w14:paraId="5DDE815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9.3 </w:t>
            </w:r>
          </w:p>
        </w:tc>
      </w:tr>
      <w:tr w:rsidR="00F1540A" w:rsidRPr="005734B8" w14:paraId="6EAB6FB9"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6FD4A5A7" w14:textId="3FC09B75" w:rsidR="00F1540A" w:rsidRPr="005734B8" w:rsidRDefault="00F1540A" w:rsidP="000F48B1">
            <w:pPr>
              <w:rPr>
                <w:rFonts w:ascii="Calibri" w:hAnsi="Calibri" w:cs="Calibri"/>
                <w:sz w:val="18"/>
                <w:szCs w:val="18"/>
              </w:rPr>
            </w:pPr>
            <w:r w:rsidRPr="005734B8">
              <w:rPr>
                <w:rFonts w:ascii="Calibri" w:hAnsi="Calibri" w:cs="Calibri"/>
                <w:sz w:val="18"/>
                <w:szCs w:val="18"/>
              </w:rPr>
              <w:t>Advance from public account</w:t>
            </w:r>
            <w:r w:rsidR="0043712A" w:rsidRPr="005734B8">
              <w:rPr>
                <w:rFonts w:ascii="Calibri" w:hAnsi="Calibri" w:cs="Calibri"/>
                <w:sz w:val="18"/>
                <w:szCs w:val="18"/>
                <w:vertAlign w:val="superscript"/>
              </w:rPr>
              <w:t>90</w:t>
            </w:r>
          </w:p>
        </w:tc>
        <w:tc>
          <w:tcPr>
            <w:tcW w:w="1091" w:type="dxa"/>
            <w:tcBorders>
              <w:top w:val="nil"/>
              <w:left w:val="nil"/>
              <w:bottom w:val="single" w:sz="4" w:space="0" w:color="auto"/>
              <w:right w:val="single" w:sz="4" w:space="0" w:color="FFFFFF"/>
            </w:tcBorders>
            <w:shd w:val="clear" w:color="000000" w:fill="D9D9D9"/>
            <w:noWrap/>
            <w:vAlign w:val="center"/>
            <w:hideMark/>
          </w:tcPr>
          <w:p w14:paraId="4BE3F28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26.4 </w:t>
            </w:r>
          </w:p>
        </w:tc>
        <w:tc>
          <w:tcPr>
            <w:tcW w:w="1082" w:type="dxa"/>
            <w:tcBorders>
              <w:top w:val="nil"/>
              <w:left w:val="nil"/>
              <w:bottom w:val="single" w:sz="4" w:space="0" w:color="auto"/>
              <w:right w:val="single" w:sz="4" w:space="0" w:color="FFFFFF"/>
            </w:tcBorders>
            <w:shd w:val="clear" w:color="FFFFFF" w:fill="FFFFFF"/>
            <w:noWrap/>
            <w:vAlign w:val="center"/>
            <w:hideMark/>
          </w:tcPr>
          <w:p w14:paraId="02DCE0D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21.7 </w:t>
            </w:r>
          </w:p>
        </w:tc>
      </w:tr>
      <w:tr w:rsidR="00F1540A" w:rsidRPr="005734B8" w14:paraId="65061E7D" w14:textId="77777777" w:rsidTr="000F48B1">
        <w:trPr>
          <w:trHeight w:val="28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41EA0C90" w14:textId="5D1ED13A" w:rsidR="00F1540A" w:rsidRPr="005734B8" w:rsidRDefault="00F1540A" w:rsidP="000F48B1">
            <w:pPr>
              <w:rPr>
                <w:rFonts w:ascii="Calibri" w:hAnsi="Calibri" w:cs="Calibri"/>
                <w:sz w:val="18"/>
                <w:szCs w:val="18"/>
              </w:rPr>
            </w:pPr>
            <w:r w:rsidRPr="005734B8">
              <w:rPr>
                <w:rFonts w:ascii="Calibri" w:hAnsi="Calibri" w:cs="Calibri"/>
                <w:sz w:val="18"/>
                <w:szCs w:val="18"/>
              </w:rPr>
              <w:t>Other non-current borrowing</w:t>
            </w:r>
            <w:r w:rsidR="0043712A" w:rsidRPr="005734B8">
              <w:rPr>
                <w:rFonts w:ascii="Calibri" w:hAnsi="Calibri" w:cs="Calibri"/>
                <w:sz w:val="18"/>
                <w:szCs w:val="18"/>
                <w:vertAlign w:val="superscript"/>
              </w:rPr>
              <w:t>91</w:t>
            </w:r>
          </w:p>
        </w:tc>
        <w:tc>
          <w:tcPr>
            <w:tcW w:w="1091" w:type="dxa"/>
            <w:tcBorders>
              <w:top w:val="nil"/>
              <w:left w:val="nil"/>
              <w:bottom w:val="single" w:sz="4" w:space="0" w:color="auto"/>
              <w:right w:val="single" w:sz="4" w:space="0" w:color="FFFFFF"/>
            </w:tcBorders>
            <w:shd w:val="clear" w:color="000000" w:fill="D9D9D9"/>
            <w:noWrap/>
            <w:vAlign w:val="center"/>
            <w:hideMark/>
          </w:tcPr>
          <w:p w14:paraId="4AF0C08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2.0 </w:t>
            </w:r>
          </w:p>
        </w:tc>
        <w:tc>
          <w:tcPr>
            <w:tcW w:w="1082" w:type="dxa"/>
            <w:tcBorders>
              <w:top w:val="nil"/>
              <w:left w:val="nil"/>
              <w:bottom w:val="single" w:sz="4" w:space="0" w:color="auto"/>
              <w:right w:val="single" w:sz="4" w:space="0" w:color="FFFFFF"/>
            </w:tcBorders>
            <w:shd w:val="clear" w:color="FFFFFF" w:fill="FFFFFF"/>
            <w:noWrap/>
            <w:vAlign w:val="center"/>
            <w:hideMark/>
          </w:tcPr>
          <w:p w14:paraId="11181C6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3.0 </w:t>
            </w:r>
          </w:p>
        </w:tc>
      </w:tr>
      <w:tr w:rsidR="00F1540A" w:rsidRPr="005734B8" w14:paraId="31796249"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6CC8C69"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non-current borrowings</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60335A4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533.4 </w:t>
            </w:r>
          </w:p>
        </w:tc>
        <w:tc>
          <w:tcPr>
            <w:tcW w:w="1082" w:type="dxa"/>
            <w:tcBorders>
              <w:top w:val="single" w:sz="12" w:space="0" w:color="auto"/>
              <w:left w:val="nil"/>
              <w:bottom w:val="single" w:sz="12" w:space="0" w:color="auto"/>
              <w:right w:val="nil"/>
            </w:tcBorders>
            <w:shd w:val="clear" w:color="FFFFFF" w:fill="FFFFFF"/>
            <w:noWrap/>
            <w:vAlign w:val="center"/>
            <w:hideMark/>
          </w:tcPr>
          <w:p w14:paraId="2D1C4B16"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542.1 </w:t>
            </w:r>
          </w:p>
        </w:tc>
      </w:tr>
      <w:tr w:rsidR="00F1540A" w:rsidRPr="005734B8" w14:paraId="77C4B90B" w14:textId="77777777" w:rsidTr="000F48B1">
        <w:trPr>
          <w:trHeight w:val="285"/>
        </w:trPr>
        <w:tc>
          <w:tcPr>
            <w:tcW w:w="5452" w:type="dxa"/>
            <w:tcBorders>
              <w:top w:val="nil"/>
              <w:left w:val="single" w:sz="12" w:space="0" w:color="FFFFFF"/>
              <w:bottom w:val="single" w:sz="12" w:space="0" w:color="auto"/>
              <w:right w:val="single" w:sz="12" w:space="0" w:color="FFFFFF"/>
            </w:tcBorders>
            <w:shd w:val="clear" w:color="FFFFFF" w:fill="FFFFFF"/>
            <w:vAlign w:val="center"/>
            <w:hideMark/>
          </w:tcPr>
          <w:p w14:paraId="18BC5573"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borrowings</w:t>
            </w:r>
          </w:p>
        </w:tc>
        <w:tc>
          <w:tcPr>
            <w:tcW w:w="1091" w:type="dxa"/>
            <w:tcBorders>
              <w:top w:val="nil"/>
              <w:left w:val="single" w:sz="4" w:space="0" w:color="FFFFFF"/>
              <w:bottom w:val="single" w:sz="12" w:space="0" w:color="auto"/>
              <w:right w:val="single" w:sz="4" w:space="0" w:color="FFFFFF"/>
            </w:tcBorders>
            <w:shd w:val="clear" w:color="000000" w:fill="D9D9D9"/>
            <w:noWrap/>
            <w:vAlign w:val="center"/>
            <w:hideMark/>
          </w:tcPr>
          <w:p w14:paraId="0C26E8D5"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582.3 </w:t>
            </w:r>
          </w:p>
        </w:tc>
        <w:tc>
          <w:tcPr>
            <w:tcW w:w="1082" w:type="dxa"/>
            <w:tcBorders>
              <w:top w:val="nil"/>
              <w:left w:val="nil"/>
              <w:bottom w:val="single" w:sz="12" w:space="0" w:color="auto"/>
              <w:right w:val="nil"/>
            </w:tcBorders>
            <w:shd w:val="clear" w:color="FFFFFF" w:fill="FFFFFF"/>
            <w:noWrap/>
            <w:vAlign w:val="center"/>
            <w:hideMark/>
          </w:tcPr>
          <w:p w14:paraId="4BBEF4D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608.8 </w:t>
            </w:r>
          </w:p>
        </w:tc>
      </w:tr>
    </w:tbl>
    <w:p w14:paraId="30EAE6F9" w14:textId="77777777" w:rsidR="00494952" w:rsidRPr="005734B8" w:rsidRDefault="00F1540A" w:rsidP="00F1540A">
      <w:pPr>
        <w:rPr>
          <w:rFonts w:ascii="Calibri" w:hAnsi="Calibri" w:cs="Calibri"/>
          <w:color w:val="FFFFFF" w:themeColor="background1"/>
          <w:sz w:val="15"/>
          <w:szCs w:val="11"/>
          <w:lang w:val="en-US"/>
        </w:rPr>
      </w:pPr>
      <w:bookmarkStart w:id="1584" w:name="_Ref48861093"/>
      <w:bookmarkEnd w:id="1580"/>
      <w:r w:rsidRPr="005734B8" w:rsidDel="003B2B4C">
        <w:rPr>
          <w:rStyle w:val="FootnoteReference"/>
          <w:rFonts w:ascii="Calibri" w:hAnsi="Calibri" w:cs="Calibri"/>
          <w:color w:val="FFFFFF" w:themeColor="background1"/>
          <w:sz w:val="15"/>
          <w:szCs w:val="11"/>
          <w:lang w:val="en-US"/>
        </w:rPr>
        <w:t xml:space="preserve"> </w:t>
      </w:r>
      <w:bookmarkEnd w:id="1584"/>
    </w:p>
    <w:p w14:paraId="5BA2119A" w14:textId="77777777" w:rsidR="00494952" w:rsidRPr="005734B8" w:rsidRDefault="00494952">
      <w:pPr>
        <w:rPr>
          <w:rFonts w:ascii="Calibri" w:hAnsi="Calibri" w:cs="Calibri"/>
          <w:color w:val="FFFFFF" w:themeColor="background1"/>
          <w:sz w:val="15"/>
          <w:szCs w:val="11"/>
          <w:lang w:val="en-US"/>
        </w:rPr>
      </w:pPr>
      <w:r w:rsidRPr="005734B8">
        <w:rPr>
          <w:rFonts w:ascii="Calibri" w:hAnsi="Calibri" w:cs="Calibri"/>
          <w:color w:val="FFFFFF" w:themeColor="background1"/>
          <w:sz w:val="15"/>
          <w:szCs w:val="11"/>
          <w:lang w:val="en-US"/>
        </w:rPr>
        <w:br w:type="page"/>
      </w:r>
    </w:p>
    <w:p w14:paraId="50FBD760" w14:textId="1E3F20E7" w:rsidR="00F1540A" w:rsidRPr="005734B8" w:rsidRDefault="00F1540A" w:rsidP="00F1540A">
      <w:pPr>
        <w:rPr>
          <w:rFonts w:ascii="Calibri" w:eastAsia="Arial" w:hAnsi="Calibri" w:cs="Calibri"/>
        </w:rPr>
      </w:pPr>
      <w:r w:rsidRPr="005734B8">
        <w:rPr>
          <w:rFonts w:ascii="Calibri" w:eastAsia="Arial" w:hAnsi="Calibri" w:cs="Calibri"/>
        </w:rPr>
        <w:lastRenderedPageBreak/>
        <w:t>‘Borrowings’ refer to interest</w:t>
      </w:r>
      <w:r w:rsidR="00230F96" w:rsidRPr="005734B8">
        <w:rPr>
          <w:rFonts w:ascii="Calibri" w:eastAsia="Arial" w:hAnsi="Calibri" w:cs="Calibri"/>
        </w:rPr>
        <w:noBreakHyphen/>
      </w:r>
      <w:r w:rsidRPr="005734B8">
        <w:rPr>
          <w:rFonts w:ascii="Calibri" w:eastAsia="Arial" w:hAnsi="Calibri" w:cs="Calibri"/>
        </w:rPr>
        <w:t>bearing liabilities mainly raised from leases and other interest</w:t>
      </w:r>
      <w:r w:rsidR="00230F96" w:rsidRPr="005734B8">
        <w:rPr>
          <w:rFonts w:ascii="Calibri" w:eastAsia="Arial" w:hAnsi="Calibri" w:cs="Calibri"/>
        </w:rPr>
        <w:noBreakHyphen/>
      </w:r>
      <w:r w:rsidRPr="005734B8">
        <w:rPr>
          <w:rFonts w:ascii="Calibri" w:eastAsia="Arial" w:hAnsi="Calibri" w:cs="Calibri"/>
        </w:rPr>
        <w:t>bearing arrangements.</w:t>
      </w:r>
    </w:p>
    <w:p w14:paraId="68826BCB" w14:textId="77777777" w:rsidR="00F1540A" w:rsidRPr="005734B8" w:rsidRDefault="00F1540A" w:rsidP="00F1540A">
      <w:pPr>
        <w:rPr>
          <w:rFonts w:ascii="Calibri" w:eastAsia="Arial" w:hAnsi="Calibri" w:cs="Calibri"/>
        </w:rPr>
      </w:pPr>
    </w:p>
    <w:p w14:paraId="6E6E367E" w14:textId="47909727" w:rsidR="00F1540A" w:rsidRPr="005734B8" w:rsidRDefault="00F1540A" w:rsidP="00F1540A">
      <w:pPr>
        <w:rPr>
          <w:rFonts w:ascii="Calibri" w:eastAsia="Arial" w:hAnsi="Calibri" w:cs="Calibri"/>
        </w:rPr>
      </w:pPr>
      <w:r w:rsidRPr="005734B8">
        <w:rPr>
          <w:rFonts w:ascii="Calibri" w:eastAsia="Arial" w:hAnsi="Calibri" w:cs="Calibri"/>
        </w:rPr>
        <w:t>Borrowings are classified as financial instruments. All interest-bearing borrowings are initially recognised at the fair value of the consideration received less directly attributable transaction costs. The measurement basis subsequent to initial recognition depends on whether the Department has categorised its interest</w:t>
      </w:r>
      <w:r w:rsidR="00230F96" w:rsidRPr="005734B8">
        <w:rPr>
          <w:rFonts w:ascii="Calibri" w:eastAsia="Arial" w:hAnsi="Calibri" w:cs="Calibri"/>
        </w:rPr>
        <w:noBreakHyphen/>
      </w:r>
      <w:r w:rsidRPr="005734B8">
        <w:rPr>
          <w:rFonts w:ascii="Calibri" w:eastAsia="Arial" w:hAnsi="Calibri" w:cs="Calibri"/>
        </w:rPr>
        <w:t>bearing liabilities as either ‘financial liabilities designated at fair value through profit or loss’, or financial liabilities at ‘amortised cost’. The classification depends on the nature and purpose of the interest</w:t>
      </w:r>
      <w:r w:rsidR="00230F96" w:rsidRPr="005734B8">
        <w:rPr>
          <w:rFonts w:ascii="Calibri" w:eastAsia="Arial" w:hAnsi="Calibri" w:cs="Calibri"/>
        </w:rPr>
        <w:noBreakHyphen/>
      </w:r>
      <w:r w:rsidRPr="005734B8">
        <w:rPr>
          <w:rFonts w:ascii="Calibri" w:eastAsia="Arial" w:hAnsi="Calibri" w:cs="Calibri"/>
        </w:rPr>
        <w:t>bearing liabilities. The Department determines the classification of its interest</w:t>
      </w:r>
      <w:r w:rsidR="00230F96" w:rsidRPr="005734B8">
        <w:rPr>
          <w:rFonts w:ascii="Calibri" w:eastAsia="Arial" w:hAnsi="Calibri" w:cs="Calibri"/>
        </w:rPr>
        <w:noBreakHyphen/>
      </w:r>
      <w:r w:rsidRPr="005734B8">
        <w:rPr>
          <w:rFonts w:ascii="Calibri" w:eastAsia="Arial" w:hAnsi="Calibri" w:cs="Calibri"/>
        </w:rPr>
        <w:t>bearing liabilities at initial recognition.</w:t>
      </w:r>
    </w:p>
    <w:p w14:paraId="152D6142" w14:textId="6D53E56D" w:rsidR="00F1540A" w:rsidRPr="005734B8" w:rsidRDefault="00F1540A" w:rsidP="00F1540A">
      <w:pPr>
        <w:spacing w:before="240" w:after="120" w:line="240" w:lineRule="atLeast"/>
        <w:outlineLvl w:val="2"/>
        <w:rPr>
          <w:rFonts w:ascii="Calibri" w:hAnsi="Calibri" w:cs="Calibri"/>
          <w:b/>
          <w:color w:val="53565A"/>
          <w:szCs w:val="18"/>
          <w:lang w:val="en-US"/>
        </w:rPr>
      </w:pPr>
      <w:bookmarkStart w:id="1585" w:name="_Toc11336410"/>
      <w:bookmarkStart w:id="1586" w:name="_Toc14965636"/>
      <w:r w:rsidRPr="005734B8">
        <w:rPr>
          <w:rFonts w:ascii="Calibri" w:hAnsi="Calibri" w:cs="Calibri"/>
          <w:b/>
          <w:color w:val="53565A"/>
          <w:szCs w:val="18"/>
          <w:lang w:val="en-US"/>
        </w:rPr>
        <w:t>7.1.1(a) Maturity analysis of borrowings</w:t>
      </w:r>
      <w:bookmarkEnd w:id="1585"/>
      <w:bookmarkEnd w:id="1586"/>
    </w:p>
    <w:tbl>
      <w:tblPr>
        <w:tblW w:w="7625" w:type="dxa"/>
        <w:tblInd w:w="75" w:type="dxa"/>
        <w:tblLayout w:type="fixed"/>
        <w:tblCellMar>
          <w:left w:w="57" w:type="dxa"/>
          <w:right w:w="57" w:type="dxa"/>
        </w:tblCellMar>
        <w:tblLook w:val="04A0" w:firstRow="1" w:lastRow="0" w:firstColumn="1" w:lastColumn="0" w:noHBand="0" w:noVBand="1"/>
      </w:tblPr>
      <w:tblGrid>
        <w:gridCol w:w="1269"/>
        <w:gridCol w:w="907"/>
        <w:gridCol w:w="903"/>
        <w:gridCol w:w="926"/>
        <w:gridCol w:w="914"/>
        <w:gridCol w:w="902"/>
        <w:gridCol w:w="902"/>
        <w:gridCol w:w="902"/>
      </w:tblGrid>
      <w:tr w:rsidR="00F1540A" w:rsidRPr="005734B8" w14:paraId="0AEAC2B8" w14:textId="77777777" w:rsidTr="000F48B1">
        <w:trPr>
          <w:trHeight w:val="353"/>
        </w:trPr>
        <w:tc>
          <w:tcPr>
            <w:tcW w:w="1269" w:type="dxa"/>
            <w:tcBorders>
              <w:top w:val="nil"/>
              <w:left w:val="single" w:sz="4" w:space="0" w:color="FFFFFF"/>
              <w:bottom w:val="single" w:sz="4" w:space="0" w:color="FFFFFF"/>
              <w:right w:val="single" w:sz="4" w:space="0" w:color="FFFFFF"/>
            </w:tcBorders>
            <w:shd w:val="clear" w:color="000000" w:fill="AF272F"/>
            <w:vAlign w:val="center"/>
            <w:hideMark/>
          </w:tcPr>
          <w:p w14:paraId="08F8E098" w14:textId="77777777" w:rsidR="00F1540A" w:rsidRPr="005734B8" w:rsidRDefault="00F1540A" w:rsidP="000F48B1">
            <w:pPr>
              <w:jc w:val="center"/>
              <w:rPr>
                <w:rFonts w:ascii="Calibri" w:hAnsi="Calibri" w:cs="Calibri"/>
                <w:b/>
                <w:color w:val="FFFFFF"/>
                <w:sz w:val="18"/>
                <w:szCs w:val="18"/>
              </w:rPr>
            </w:pPr>
            <w:bookmarkStart w:id="1587" w:name="Note_MABTABLE1" w:colFirst="0" w:colLast="0"/>
            <w:r w:rsidRPr="005734B8">
              <w:rPr>
                <w:rFonts w:ascii="Calibri" w:hAnsi="Calibri" w:cs="Calibri"/>
                <w:b/>
                <w:color w:val="FFFFFF"/>
                <w:sz w:val="18"/>
                <w:szCs w:val="18"/>
              </w:rPr>
              <w:t> </w:t>
            </w:r>
          </w:p>
        </w:tc>
        <w:tc>
          <w:tcPr>
            <w:tcW w:w="1810" w:type="dxa"/>
            <w:gridSpan w:val="2"/>
            <w:tcBorders>
              <w:top w:val="nil"/>
              <w:left w:val="nil"/>
              <w:bottom w:val="single" w:sz="4" w:space="0" w:color="FFFFFF"/>
              <w:right w:val="single" w:sz="4" w:space="0" w:color="FFFFFF"/>
            </w:tcBorders>
            <w:shd w:val="clear" w:color="000000" w:fill="AF272F"/>
            <w:vAlign w:val="center"/>
            <w:hideMark/>
          </w:tcPr>
          <w:p w14:paraId="4ECCE2DC" w14:textId="77777777" w:rsidR="00F1540A" w:rsidRPr="005734B8" w:rsidRDefault="00F1540A" w:rsidP="000F48B1">
            <w:pPr>
              <w:rPr>
                <w:rFonts w:ascii="Calibri" w:hAnsi="Calibri" w:cs="Calibri"/>
                <w:b/>
                <w:color w:val="FFFFFF"/>
                <w:sz w:val="18"/>
                <w:szCs w:val="18"/>
              </w:rPr>
            </w:pPr>
            <w:r w:rsidRPr="005734B8">
              <w:rPr>
                <w:rFonts w:ascii="Calibri" w:hAnsi="Calibri" w:cs="Calibri"/>
                <w:b/>
                <w:color w:val="FFFFFF"/>
                <w:sz w:val="18"/>
                <w:szCs w:val="18"/>
              </w:rPr>
              <w:t> </w:t>
            </w:r>
          </w:p>
        </w:tc>
        <w:tc>
          <w:tcPr>
            <w:tcW w:w="4546" w:type="dxa"/>
            <w:gridSpan w:val="5"/>
            <w:tcBorders>
              <w:top w:val="nil"/>
              <w:left w:val="nil"/>
              <w:bottom w:val="single" w:sz="4" w:space="0" w:color="FFFFFF"/>
              <w:right w:val="single" w:sz="4" w:space="0" w:color="FFFFFF"/>
            </w:tcBorders>
            <w:shd w:val="clear" w:color="000000" w:fill="AF272F"/>
            <w:vAlign w:val="center"/>
            <w:hideMark/>
          </w:tcPr>
          <w:p w14:paraId="2528023E"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Maturity Dates</w:t>
            </w:r>
          </w:p>
        </w:tc>
      </w:tr>
      <w:bookmarkEnd w:id="1587"/>
      <w:tr w:rsidR="00F1540A" w:rsidRPr="005734B8" w14:paraId="5D031365" w14:textId="77777777" w:rsidTr="000F48B1">
        <w:trPr>
          <w:trHeight w:val="720"/>
        </w:trPr>
        <w:tc>
          <w:tcPr>
            <w:tcW w:w="1269" w:type="dxa"/>
            <w:tcBorders>
              <w:top w:val="nil"/>
              <w:left w:val="single" w:sz="4" w:space="0" w:color="FFFFFF"/>
              <w:bottom w:val="single" w:sz="4" w:space="0" w:color="FFFFFF"/>
              <w:right w:val="single" w:sz="4" w:space="0" w:color="FFFFFF"/>
            </w:tcBorders>
            <w:shd w:val="clear" w:color="000000" w:fill="AF272F"/>
            <w:hideMark/>
          </w:tcPr>
          <w:p w14:paraId="6B3CB72D" w14:textId="77777777" w:rsidR="00F1540A" w:rsidRPr="005734B8" w:rsidRDefault="00F1540A" w:rsidP="000F48B1">
            <w:pPr>
              <w:rPr>
                <w:rFonts w:ascii="Calibri" w:hAnsi="Calibri" w:cs="Calibri"/>
                <w:b/>
                <w:color w:val="FFFFFF"/>
                <w:sz w:val="18"/>
                <w:szCs w:val="18"/>
              </w:rPr>
            </w:pPr>
            <w:r w:rsidRPr="005734B8">
              <w:rPr>
                <w:rFonts w:ascii="Calibri" w:hAnsi="Calibri" w:cs="Calibri"/>
                <w:b/>
                <w:color w:val="FFFFFF"/>
                <w:sz w:val="18"/>
                <w:szCs w:val="18"/>
              </w:rPr>
              <w:t>2021</w:t>
            </w:r>
          </w:p>
        </w:tc>
        <w:tc>
          <w:tcPr>
            <w:tcW w:w="907" w:type="dxa"/>
            <w:tcBorders>
              <w:top w:val="nil"/>
              <w:left w:val="nil"/>
              <w:bottom w:val="single" w:sz="4" w:space="0" w:color="auto"/>
              <w:right w:val="single" w:sz="4" w:space="0" w:color="FFFFFF"/>
            </w:tcBorders>
            <w:shd w:val="clear" w:color="000000" w:fill="AF272F"/>
            <w:hideMark/>
          </w:tcPr>
          <w:p w14:paraId="134C2B3E"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Carrying amount</w:t>
            </w:r>
            <w:r w:rsidRPr="005734B8">
              <w:rPr>
                <w:rFonts w:ascii="Calibri" w:hAnsi="Calibri" w:cs="Calibri"/>
                <w:b/>
                <w:color w:val="FFFFFF"/>
                <w:sz w:val="18"/>
                <w:szCs w:val="18"/>
              </w:rPr>
              <w:br/>
              <w:t>($m)</w:t>
            </w:r>
          </w:p>
        </w:tc>
        <w:tc>
          <w:tcPr>
            <w:tcW w:w="903" w:type="dxa"/>
            <w:tcBorders>
              <w:top w:val="nil"/>
              <w:left w:val="nil"/>
              <w:bottom w:val="single" w:sz="4" w:space="0" w:color="auto"/>
              <w:right w:val="single" w:sz="4" w:space="0" w:color="FFFFFF"/>
            </w:tcBorders>
            <w:shd w:val="clear" w:color="000000" w:fill="AF272F"/>
            <w:hideMark/>
          </w:tcPr>
          <w:p w14:paraId="6C23A098"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Nominal amount</w:t>
            </w:r>
            <w:r w:rsidRPr="005734B8">
              <w:rPr>
                <w:rFonts w:ascii="Calibri" w:hAnsi="Calibri" w:cs="Calibri"/>
                <w:b/>
                <w:color w:val="FFFFFF"/>
                <w:sz w:val="18"/>
                <w:szCs w:val="18"/>
              </w:rPr>
              <w:br/>
              <w:t>($m)</w:t>
            </w:r>
          </w:p>
        </w:tc>
        <w:tc>
          <w:tcPr>
            <w:tcW w:w="926" w:type="dxa"/>
            <w:tcBorders>
              <w:top w:val="nil"/>
              <w:left w:val="nil"/>
              <w:bottom w:val="single" w:sz="4" w:space="0" w:color="auto"/>
              <w:right w:val="single" w:sz="4" w:space="0" w:color="FFFFFF"/>
            </w:tcBorders>
            <w:shd w:val="clear" w:color="000000" w:fill="AF272F"/>
            <w:hideMark/>
          </w:tcPr>
          <w:p w14:paraId="2DD4D477"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Less than 1 month</w:t>
            </w:r>
            <w:r w:rsidRPr="005734B8">
              <w:rPr>
                <w:rFonts w:ascii="Calibri" w:hAnsi="Calibri" w:cs="Calibri"/>
                <w:b/>
                <w:color w:val="FFFFFF"/>
                <w:sz w:val="18"/>
                <w:szCs w:val="18"/>
              </w:rPr>
              <w:br/>
              <w:t>($m)</w:t>
            </w:r>
          </w:p>
        </w:tc>
        <w:tc>
          <w:tcPr>
            <w:tcW w:w="914" w:type="dxa"/>
            <w:tcBorders>
              <w:top w:val="nil"/>
              <w:left w:val="nil"/>
              <w:bottom w:val="single" w:sz="4" w:space="0" w:color="auto"/>
              <w:right w:val="single" w:sz="4" w:space="0" w:color="FFFFFF"/>
            </w:tcBorders>
            <w:shd w:val="clear" w:color="000000" w:fill="AF272F"/>
            <w:hideMark/>
          </w:tcPr>
          <w:p w14:paraId="58E7ACC6"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1-3 months</w:t>
            </w:r>
            <w:r w:rsidRPr="005734B8">
              <w:rPr>
                <w:rFonts w:ascii="Calibri" w:hAnsi="Calibri" w:cs="Calibri"/>
                <w:b/>
                <w:color w:val="FFFFFF"/>
                <w:sz w:val="18"/>
                <w:szCs w:val="18"/>
              </w:rPr>
              <w:br/>
              <w:t>($m)</w:t>
            </w:r>
          </w:p>
        </w:tc>
        <w:tc>
          <w:tcPr>
            <w:tcW w:w="902" w:type="dxa"/>
            <w:tcBorders>
              <w:top w:val="nil"/>
              <w:left w:val="nil"/>
              <w:bottom w:val="single" w:sz="4" w:space="0" w:color="auto"/>
              <w:right w:val="single" w:sz="4" w:space="0" w:color="FFFFFF"/>
            </w:tcBorders>
            <w:shd w:val="clear" w:color="000000" w:fill="AF272F"/>
            <w:hideMark/>
          </w:tcPr>
          <w:p w14:paraId="4ADC1613"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3 months-1year</w:t>
            </w:r>
            <w:r w:rsidRPr="005734B8">
              <w:rPr>
                <w:rFonts w:ascii="Calibri" w:hAnsi="Calibri" w:cs="Calibri"/>
                <w:b/>
                <w:color w:val="FFFFFF"/>
                <w:sz w:val="18"/>
                <w:szCs w:val="18"/>
              </w:rPr>
              <w:br/>
              <w:t>($m)</w:t>
            </w:r>
          </w:p>
        </w:tc>
        <w:tc>
          <w:tcPr>
            <w:tcW w:w="902" w:type="dxa"/>
            <w:tcBorders>
              <w:top w:val="nil"/>
              <w:left w:val="nil"/>
              <w:bottom w:val="single" w:sz="4" w:space="0" w:color="auto"/>
              <w:right w:val="single" w:sz="4" w:space="0" w:color="FFFFFF"/>
            </w:tcBorders>
            <w:shd w:val="clear" w:color="000000" w:fill="AF272F"/>
            <w:hideMark/>
          </w:tcPr>
          <w:p w14:paraId="7847B130"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1-5 years</w:t>
            </w:r>
            <w:r w:rsidRPr="005734B8">
              <w:rPr>
                <w:rFonts w:ascii="Calibri" w:hAnsi="Calibri" w:cs="Calibri"/>
                <w:b/>
                <w:color w:val="FFFFFF"/>
                <w:sz w:val="18"/>
                <w:szCs w:val="18"/>
              </w:rPr>
              <w:br/>
              <w:t>($m)</w:t>
            </w:r>
          </w:p>
        </w:tc>
        <w:tc>
          <w:tcPr>
            <w:tcW w:w="902" w:type="dxa"/>
            <w:tcBorders>
              <w:top w:val="nil"/>
              <w:left w:val="nil"/>
              <w:bottom w:val="single" w:sz="4" w:space="0" w:color="auto"/>
              <w:right w:val="single" w:sz="4" w:space="0" w:color="FFFFFF"/>
            </w:tcBorders>
            <w:shd w:val="clear" w:color="000000" w:fill="AF272F"/>
            <w:hideMark/>
          </w:tcPr>
          <w:p w14:paraId="716579EB"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&gt;5 years</w:t>
            </w:r>
            <w:r w:rsidRPr="005734B8">
              <w:rPr>
                <w:rFonts w:ascii="Calibri" w:hAnsi="Calibri" w:cs="Calibri"/>
                <w:b/>
                <w:color w:val="FFFFFF"/>
                <w:sz w:val="18"/>
                <w:szCs w:val="18"/>
              </w:rPr>
              <w:br/>
              <w:t>($m)</w:t>
            </w:r>
          </w:p>
        </w:tc>
      </w:tr>
      <w:tr w:rsidR="00F1540A" w:rsidRPr="005734B8" w14:paraId="7320BA4B" w14:textId="77777777" w:rsidTr="000F48B1">
        <w:trPr>
          <w:trHeight w:val="270"/>
        </w:trPr>
        <w:tc>
          <w:tcPr>
            <w:tcW w:w="1269"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5A0C009A"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Borrowings</w:t>
            </w:r>
          </w:p>
        </w:tc>
        <w:tc>
          <w:tcPr>
            <w:tcW w:w="907" w:type="dxa"/>
            <w:tcBorders>
              <w:top w:val="nil"/>
              <w:left w:val="nil"/>
              <w:bottom w:val="single" w:sz="4" w:space="0" w:color="auto"/>
              <w:right w:val="single" w:sz="4" w:space="0" w:color="FFFFFF"/>
            </w:tcBorders>
            <w:shd w:val="clear" w:color="FFFFFF" w:fill="FFFFFF"/>
            <w:noWrap/>
            <w:vAlign w:val="center"/>
            <w:hideMark/>
          </w:tcPr>
          <w:p w14:paraId="197FF7E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582.3 </w:t>
            </w:r>
          </w:p>
        </w:tc>
        <w:tc>
          <w:tcPr>
            <w:tcW w:w="903" w:type="dxa"/>
            <w:tcBorders>
              <w:top w:val="nil"/>
              <w:left w:val="nil"/>
              <w:bottom w:val="single" w:sz="4" w:space="0" w:color="auto"/>
              <w:right w:val="single" w:sz="4" w:space="0" w:color="FFFFFF"/>
            </w:tcBorders>
            <w:shd w:val="clear" w:color="FFFFFF" w:fill="FFFFFF"/>
            <w:noWrap/>
            <w:vAlign w:val="center"/>
            <w:hideMark/>
          </w:tcPr>
          <w:p w14:paraId="5D56183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913.7 </w:t>
            </w:r>
          </w:p>
        </w:tc>
        <w:tc>
          <w:tcPr>
            <w:tcW w:w="926" w:type="dxa"/>
            <w:tcBorders>
              <w:top w:val="nil"/>
              <w:left w:val="nil"/>
              <w:bottom w:val="single" w:sz="4" w:space="0" w:color="auto"/>
              <w:right w:val="single" w:sz="4" w:space="0" w:color="FFFFFF"/>
            </w:tcBorders>
            <w:shd w:val="clear" w:color="FFFFFF" w:fill="FFFFFF"/>
            <w:noWrap/>
            <w:vAlign w:val="center"/>
            <w:hideMark/>
          </w:tcPr>
          <w:p w14:paraId="4AEC7BE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2.9 </w:t>
            </w:r>
          </w:p>
        </w:tc>
        <w:tc>
          <w:tcPr>
            <w:tcW w:w="914" w:type="dxa"/>
            <w:tcBorders>
              <w:top w:val="nil"/>
              <w:left w:val="nil"/>
              <w:bottom w:val="single" w:sz="4" w:space="0" w:color="auto"/>
              <w:right w:val="single" w:sz="4" w:space="0" w:color="FFFFFF"/>
            </w:tcBorders>
            <w:shd w:val="clear" w:color="FFFFFF" w:fill="FFFFFF"/>
            <w:noWrap/>
            <w:vAlign w:val="center"/>
            <w:hideMark/>
          </w:tcPr>
          <w:p w14:paraId="6D5B33E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11.5 </w:t>
            </w:r>
          </w:p>
        </w:tc>
        <w:tc>
          <w:tcPr>
            <w:tcW w:w="902" w:type="dxa"/>
            <w:tcBorders>
              <w:top w:val="nil"/>
              <w:left w:val="nil"/>
              <w:bottom w:val="single" w:sz="4" w:space="0" w:color="auto"/>
              <w:right w:val="single" w:sz="4" w:space="0" w:color="FFFFFF"/>
            </w:tcBorders>
            <w:shd w:val="clear" w:color="FFFFFF" w:fill="FFFFFF"/>
            <w:noWrap/>
            <w:vAlign w:val="center"/>
            <w:hideMark/>
          </w:tcPr>
          <w:p w14:paraId="5EE2E19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36.3 </w:t>
            </w:r>
          </w:p>
        </w:tc>
        <w:tc>
          <w:tcPr>
            <w:tcW w:w="902" w:type="dxa"/>
            <w:tcBorders>
              <w:top w:val="nil"/>
              <w:left w:val="nil"/>
              <w:bottom w:val="single" w:sz="4" w:space="0" w:color="auto"/>
              <w:right w:val="single" w:sz="4" w:space="0" w:color="FFFFFF"/>
            </w:tcBorders>
            <w:shd w:val="clear" w:color="FFFFFF" w:fill="FFFFFF"/>
            <w:noWrap/>
            <w:vAlign w:val="center"/>
            <w:hideMark/>
          </w:tcPr>
          <w:p w14:paraId="40F5FC9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207.3 </w:t>
            </w:r>
          </w:p>
        </w:tc>
        <w:tc>
          <w:tcPr>
            <w:tcW w:w="902" w:type="dxa"/>
            <w:tcBorders>
              <w:top w:val="nil"/>
              <w:left w:val="nil"/>
              <w:bottom w:val="single" w:sz="4" w:space="0" w:color="auto"/>
              <w:right w:val="single" w:sz="4" w:space="0" w:color="FFFFFF"/>
            </w:tcBorders>
            <w:shd w:val="clear" w:color="FFFFFF" w:fill="FFFFFF"/>
            <w:noWrap/>
            <w:vAlign w:val="center"/>
            <w:hideMark/>
          </w:tcPr>
          <w:p w14:paraId="37E8A578"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655.7 </w:t>
            </w:r>
          </w:p>
        </w:tc>
      </w:tr>
      <w:tr w:rsidR="00F1540A" w:rsidRPr="005734B8" w14:paraId="3ADEBBDC" w14:textId="77777777" w:rsidTr="000F48B1">
        <w:trPr>
          <w:trHeight w:val="285"/>
        </w:trPr>
        <w:tc>
          <w:tcPr>
            <w:tcW w:w="1269"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997B6F2"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w:t>
            </w:r>
          </w:p>
        </w:tc>
        <w:tc>
          <w:tcPr>
            <w:tcW w:w="907" w:type="dxa"/>
            <w:tcBorders>
              <w:top w:val="single" w:sz="12" w:space="0" w:color="auto"/>
              <w:left w:val="nil"/>
              <w:bottom w:val="single" w:sz="12" w:space="0" w:color="auto"/>
              <w:right w:val="nil"/>
            </w:tcBorders>
            <w:shd w:val="clear" w:color="FFFFFF" w:fill="FFFFFF"/>
            <w:noWrap/>
            <w:vAlign w:val="center"/>
            <w:hideMark/>
          </w:tcPr>
          <w:p w14:paraId="5C524ABD"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582.3 </w:t>
            </w:r>
          </w:p>
        </w:tc>
        <w:tc>
          <w:tcPr>
            <w:tcW w:w="903" w:type="dxa"/>
            <w:tcBorders>
              <w:top w:val="single" w:sz="12" w:space="0" w:color="auto"/>
              <w:left w:val="nil"/>
              <w:bottom w:val="single" w:sz="12" w:space="0" w:color="auto"/>
              <w:right w:val="nil"/>
            </w:tcBorders>
            <w:shd w:val="clear" w:color="FFFFFF" w:fill="FFFFFF"/>
            <w:noWrap/>
            <w:vAlign w:val="center"/>
            <w:hideMark/>
          </w:tcPr>
          <w:p w14:paraId="5C0A12EB"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913.7 </w:t>
            </w:r>
          </w:p>
        </w:tc>
        <w:tc>
          <w:tcPr>
            <w:tcW w:w="926" w:type="dxa"/>
            <w:tcBorders>
              <w:top w:val="single" w:sz="12" w:space="0" w:color="auto"/>
              <w:left w:val="nil"/>
              <w:bottom w:val="single" w:sz="12" w:space="0" w:color="auto"/>
              <w:right w:val="nil"/>
            </w:tcBorders>
            <w:shd w:val="clear" w:color="FFFFFF" w:fill="FFFFFF"/>
            <w:noWrap/>
            <w:vAlign w:val="center"/>
            <w:hideMark/>
          </w:tcPr>
          <w:p w14:paraId="0984AE8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2.9 </w:t>
            </w:r>
          </w:p>
        </w:tc>
        <w:tc>
          <w:tcPr>
            <w:tcW w:w="914" w:type="dxa"/>
            <w:tcBorders>
              <w:top w:val="single" w:sz="12" w:space="0" w:color="auto"/>
              <w:left w:val="nil"/>
              <w:bottom w:val="single" w:sz="12" w:space="0" w:color="auto"/>
              <w:right w:val="nil"/>
            </w:tcBorders>
            <w:shd w:val="clear" w:color="FFFFFF" w:fill="FFFFFF"/>
            <w:noWrap/>
            <w:vAlign w:val="center"/>
            <w:hideMark/>
          </w:tcPr>
          <w:p w14:paraId="4228D6E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11.5 </w:t>
            </w:r>
          </w:p>
        </w:tc>
        <w:tc>
          <w:tcPr>
            <w:tcW w:w="902" w:type="dxa"/>
            <w:tcBorders>
              <w:top w:val="single" w:sz="12" w:space="0" w:color="auto"/>
              <w:left w:val="nil"/>
              <w:bottom w:val="single" w:sz="12" w:space="0" w:color="auto"/>
              <w:right w:val="nil"/>
            </w:tcBorders>
            <w:shd w:val="clear" w:color="FFFFFF" w:fill="FFFFFF"/>
            <w:noWrap/>
            <w:vAlign w:val="center"/>
            <w:hideMark/>
          </w:tcPr>
          <w:p w14:paraId="33CA0010"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36.3 </w:t>
            </w:r>
          </w:p>
        </w:tc>
        <w:tc>
          <w:tcPr>
            <w:tcW w:w="902" w:type="dxa"/>
            <w:tcBorders>
              <w:top w:val="single" w:sz="12" w:space="0" w:color="auto"/>
              <w:left w:val="nil"/>
              <w:bottom w:val="single" w:sz="12" w:space="0" w:color="auto"/>
              <w:right w:val="nil"/>
            </w:tcBorders>
            <w:shd w:val="clear" w:color="FFFFFF" w:fill="FFFFFF"/>
            <w:noWrap/>
            <w:vAlign w:val="center"/>
            <w:hideMark/>
          </w:tcPr>
          <w:p w14:paraId="677147F7"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207.3 </w:t>
            </w:r>
          </w:p>
        </w:tc>
        <w:tc>
          <w:tcPr>
            <w:tcW w:w="902" w:type="dxa"/>
            <w:tcBorders>
              <w:top w:val="single" w:sz="12" w:space="0" w:color="auto"/>
              <w:left w:val="nil"/>
              <w:bottom w:val="single" w:sz="12" w:space="0" w:color="auto"/>
              <w:right w:val="nil"/>
            </w:tcBorders>
            <w:shd w:val="clear" w:color="FFFFFF" w:fill="FFFFFF"/>
            <w:noWrap/>
            <w:vAlign w:val="center"/>
            <w:hideMark/>
          </w:tcPr>
          <w:p w14:paraId="7FE2CCFB"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655.7 </w:t>
            </w:r>
          </w:p>
        </w:tc>
      </w:tr>
      <w:tr w:rsidR="00F1540A" w:rsidRPr="005734B8" w14:paraId="1F2E409D" w14:textId="77777777" w:rsidTr="000F48B1">
        <w:trPr>
          <w:trHeight w:val="270"/>
        </w:trPr>
        <w:tc>
          <w:tcPr>
            <w:tcW w:w="1269" w:type="dxa"/>
            <w:tcBorders>
              <w:top w:val="nil"/>
              <w:left w:val="nil"/>
              <w:bottom w:val="nil"/>
              <w:right w:val="nil"/>
            </w:tcBorders>
            <w:shd w:val="clear" w:color="auto" w:fill="auto"/>
            <w:noWrap/>
            <w:vAlign w:val="bottom"/>
            <w:hideMark/>
          </w:tcPr>
          <w:p w14:paraId="0DD9B85F" w14:textId="77777777" w:rsidR="00F1540A" w:rsidRPr="005734B8" w:rsidRDefault="00F1540A" w:rsidP="000F48B1">
            <w:pPr>
              <w:jc w:val="right"/>
              <w:rPr>
                <w:rFonts w:ascii="Calibri" w:hAnsi="Calibri" w:cs="Calibri"/>
                <w:b/>
                <w:bCs/>
                <w:sz w:val="18"/>
                <w:szCs w:val="18"/>
              </w:rPr>
            </w:pPr>
          </w:p>
        </w:tc>
        <w:tc>
          <w:tcPr>
            <w:tcW w:w="907" w:type="dxa"/>
            <w:tcBorders>
              <w:top w:val="nil"/>
              <w:left w:val="nil"/>
              <w:bottom w:val="nil"/>
              <w:right w:val="nil"/>
            </w:tcBorders>
            <w:shd w:val="clear" w:color="auto" w:fill="auto"/>
            <w:noWrap/>
            <w:vAlign w:val="bottom"/>
            <w:hideMark/>
          </w:tcPr>
          <w:p w14:paraId="7482D8FE" w14:textId="77777777" w:rsidR="00F1540A" w:rsidRPr="005734B8" w:rsidRDefault="00F1540A" w:rsidP="000F48B1">
            <w:pPr>
              <w:rPr>
                <w:rFonts w:ascii="Calibri" w:hAnsi="Calibri" w:cs="Calibri"/>
                <w:sz w:val="20"/>
              </w:rPr>
            </w:pPr>
          </w:p>
        </w:tc>
        <w:tc>
          <w:tcPr>
            <w:tcW w:w="903" w:type="dxa"/>
            <w:tcBorders>
              <w:top w:val="nil"/>
              <w:left w:val="nil"/>
              <w:bottom w:val="nil"/>
              <w:right w:val="nil"/>
            </w:tcBorders>
            <w:shd w:val="clear" w:color="auto" w:fill="auto"/>
            <w:noWrap/>
            <w:vAlign w:val="bottom"/>
            <w:hideMark/>
          </w:tcPr>
          <w:p w14:paraId="5ACB8939" w14:textId="77777777" w:rsidR="00F1540A" w:rsidRPr="005734B8" w:rsidRDefault="00F1540A" w:rsidP="000F48B1">
            <w:pPr>
              <w:rPr>
                <w:rFonts w:ascii="Calibri" w:hAnsi="Calibri" w:cs="Calibri"/>
                <w:sz w:val="20"/>
              </w:rPr>
            </w:pPr>
          </w:p>
        </w:tc>
        <w:tc>
          <w:tcPr>
            <w:tcW w:w="926" w:type="dxa"/>
            <w:tcBorders>
              <w:top w:val="nil"/>
              <w:left w:val="nil"/>
              <w:bottom w:val="nil"/>
              <w:right w:val="nil"/>
            </w:tcBorders>
            <w:shd w:val="clear" w:color="auto" w:fill="auto"/>
            <w:noWrap/>
            <w:vAlign w:val="bottom"/>
            <w:hideMark/>
          </w:tcPr>
          <w:p w14:paraId="4D5C40C6" w14:textId="77777777" w:rsidR="00F1540A" w:rsidRPr="005734B8" w:rsidRDefault="00F1540A" w:rsidP="000F48B1">
            <w:pPr>
              <w:rPr>
                <w:rFonts w:ascii="Calibri" w:hAnsi="Calibri" w:cs="Calibri"/>
                <w:sz w:val="20"/>
              </w:rPr>
            </w:pPr>
          </w:p>
        </w:tc>
        <w:tc>
          <w:tcPr>
            <w:tcW w:w="914" w:type="dxa"/>
            <w:tcBorders>
              <w:top w:val="nil"/>
              <w:left w:val="nil"/>
              <w:bottom w:val="nil"/>
              <w:right w:val="nil"/>
            </w:tcBorders>
            <w:shd w:val="clear" w:color="auto" w:fill="auto"/>
            <w:noWrap/>
            <w:vAlign w:val="bottom"/>
            <w:hideMark/>
          </w:tcPr>
          <w:p w14:paraId="672DC970" w14:textId="77777777" w:rsidR="00F1540A" w:rsidRPr="005734B8" w:rsidRDefault="00F1540A" w:rsidP="000F48B1">
            <w:pPr>
              <w:rPr>
                <w:rFonts w:ascii="Calibri" w:hAnsi="Calibri" w:cs="Calibri"/>
                <w:sz w:val="20"/>
              </w:rPr>
            </w:pPr>
          </w:p>
        </w:tc>
        <w:tc>
          <w:tcPr>
            <w:tcW w:w="902" w:type="dxa"/>
            <w:tcBorders>
              <w:top w:val="nil"/>
              <w:left w:val="nil"/>
              <w:bottom w:val="nil"/>
              <w:right w:val="nil"/>
            </w:tcBorders>
            <w:shd w:val="clear" w:color="auto" w:fill="auto"/>
            <w:noWrap/>
            <w:vAlign w:val="bottom"/>
            <w:hideMark/>
          </w:tcPr>
          <w:p w14:paraId="6295C1E6" w14:textId="77777777" w:rsidR="00F1540A" w:rsidRPr="005734B8" w:rsidRDefault="00F1540A" w:rsidP="000F48B1">
            <w:pPr>
              <w:rPr>
                <w:rFonts w:ascii="Calibri" w:hAnsi="Calibri" w:cs="Calibri"/>
                <w:sz w:val="20"/>
              </w:rPr>
            </w:pPr>
          </w:p>
        </w:tc>
        <w:tc>
          <w:tcPr>
            <w:tcW w:w="902" w:type="dxa"/>
            <w:tcBorders>
              <w:top w:val="nil"/>
              <w:left w:val="nil"/>
              <w:bottom w:val="nil"/>
              <w:right w:val="nil"/>
            </w:tcBorders>
            <w:shd w:val="clear" w:color="auto" w:fill="auto"/>
            <w:noWrap/>
            <w:vAlign w:val="bottom"/>
            <w:hideMark/>
          </w:tcPr>
          <w:p w14:paraId="263C8A32" w14:textId="77777777" w:rsidR="00F1540A" w:rsidRPr="005734B8" w:rsidRDefault="00F1540A" w:rsidP="000F48B1">
            <w:pPr>
              <w:rPr>
                <w:rFonts w:ascii="Calibri" w:hAnsi="Calibri" w:cs="Calibri"/>
                <w:sz w:val="20"/>
              </w:rPr>
            </w:pPr>
          </w:p>
        </w:tc>
        <w:tc>
          <w:tcPr>
            <w:tcW w:w="902" w:type="dxa"/>
            <w:tcBorders>
              <w:top w:val="nil"/>
              <w:left w:val="nil"/>
              <w:bottom w:val="nil"/>
              <w:right w:val="nil"/>
            </w:tcBorders>
            <w:shd w:val="clear" w:color="auto" w:fill="auto"/>
            <w:noWrap/>
            <w:vAlign w:val="bottom"/>
            <w:hideMark/>
          </w:tcPr>
          <w:p w14:paraId="7B8E5A61" w14:textId="77777777" w:rsidR="00F1540A" w:rsidRPr="005734B8" w:rsidRDefault="00F1540A" w:rsidP="000F48B1">
            <w:pPr>
              <w:rPr>
                <w:rFonts w:ascii="Calibri" w:hAnsi="Calibri" w:cs="Calibri"/>
                <w:sz w:val="20"/>
              </w:rPr>
            </w:pPr>
          </w:p>
        </w:tc>
      </w:tr>
      <w:tr w:rsidR="00F1540A" w:rsidRPr="005734B8" w14:paraId="36F7596A" w14:textId="77777777" w:rsidTr="000F48B1">
        <w:trPr>
          <w:trHeight w:val="353"/>
        </w:trPr>
        <w:tc>
          <w:tcPr>
            <w:tcW w:w="1269" w:type="dxa"/>
            <w:tcBorders>
              <w:top w:val="nil"/>
              <w:left w:val="single" w:sz="4" w:space="0" w:color="FFFFFF"/>
              <w:bottom w:val="single" w:sz="4" w:space="0" w:color="FFFFFF"/>
              <w:right w:val="single" w:sz="4" w:space="0" w:color="FFFFFF"/>
            </w:tcBorders>
            <w:shd w:val="clear" w:color="000000" w:fill="AF272F"/>
            <w:vAlign w:val="center"/>
            <w:hideMark/>
          </w:tcPr>
          <w:p w14:paraId="4C7186CC"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 </w:t>
            </w:r>
          </w:p>
        </w:tc>
        <w:tc>
          <w:tcPr>
            <w:tcW w:w="1810" w:type="dxa"/>
            <w:gridSpan w:val="2"/>
            <w:tcBorders>
              <w:top w:val="nil"/>
              <w:left w:val="nil"/>
              <w:bottom w:val="single" w:sz="4" w:space="0" w:color="FFFFFF"/>
              <w:right w:val="single" w:sz="4" w:space="0" w:color="FFFFFF"/>
            </w:tcBorders>
            <w:shd w:val="clear" w:color="000000" w:fill="AF272F"/>
            <w:vAlign w:val="center"/>
            <w:hideMark/>
          </w:tcPr>
          <w:p w14:paraId="3A4D300E" w14:textId="77777777" w:rsidR="00F1540A" w:rsidRPr="005734B8" w:rsidRDefault="00F1540A" w:rsidP="000F48B1">
            <w:pPr>
              <w:rPr>
                <w:rFonts w:ascii="Calibri" w:hAnsi="Calibri" w:cs="Calibri"/>
                <w:b/>
                <w:color w:val="FFFFFF"/>
                <w:sz w:val="18"/>
                <w:szCs w:val="18"/>
              </w:rPr>
            </w:pPr>
            <w:r w:rsidRPr="005734B8">
              <w:rPr>
                <w:rFonts w:ascii="Calibri" w:hAnsi="Calibri" w:cs="Calibri"/>
                <w:b/>
                <w:color w:val="FFFFFF"/>
                <w:sz w:val="18"/>
                <w:szCs w:val="18"/>
              </w:rPr>
              <w:t> </w:t>
            </w:r>
          </w:p>
        </w:tc>
        <w:tc>
          <w:tcPr>
            <w:tcW w:w="4546" w:type="dxa"/>
            <w:gridSpan w:val="5"/>
            <w:tcBorders>
              <w:top w:val="nil"/>
              <w:left w:val="nil"/>
              <w:bottom w:val="single" w:sz="4" w:space="0" w:color="FFFFFF"/>
              <w:right w:val="single" w:sz="4" w:space="0" w:color="FFFFFF"/>
            </w:tcBorders>
            <w:shd w:val="clear" w:color="000000" w:fill="AF272F"/>
            <w:vAlign w:val="center"/>
            <w:hideMark/>
          </w:tcPr>
          <w:p w14:paraId="3E394ACC"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Maturity Dates</w:t>
            </w:r>
          </w:p>
        </w:tc>
      </w:tr>
      <w:tr w:rsidR="00F1540A" w:rsidRPr="005734B8" w14:paraId="37823158" w14:textId="77777777" w:rsidTr="000F48B1">
        <w:trPr>
          <w:trHeight w:val="720"/>
        </w:trPr>
        <w:tc>
          <w:tcPr>
            <w:tcW w:w="1269" w:type="dxa"/>
            <w:tcBorders>
              <w:top w:val="nil"/>
              <w:left w:val="single" w:sz="4" w:space="0" w:color="FFFFFF"/>
              <w:bottom w:val="single" w:sz="4" w:space="0" w:color="FFFFFF"/>
              <w:right w:val="single" w:sz="4" w:space="0" w:color="FFFFFF"/>
            </w:tcBorders>
            <w:shd w:val="clear" w:color="000000" w:fill="AF272F"/>
            <w:hideMark/>
          </w:tcPr>
          <w:p w14:paraId="4A2E0129" w14:textId="77777777" w:rsidR="00F1540A" w:rsidRPr="005734B8" w:rsidRDefault="00F1540A" w:rsidP="000F48B1">
            <w:pPr>
              <w:rPr>
                <w:rFonts w:ascii="Calibri" w:hAnsi="Calibri" w:cs="Calibri"/>
                <w:b/>
                <w:color w:val="FFFFFF"/>
                <w:sz w:val="18"/>
                <w:szCs w:val="18"/>
              </w:rPr>
            </w:pPr>
            <w:r w:rsidRPr="005734B8">
              <w:rPr>
                <w:rFonts w:ascii="Calibri" w:hAnsi="Calibri" w:cs="Calibri"/>
                <w:b/>
                <w:color w:val="FFFFFF"/>
                <w:sz w:val="18"/>
                <w:szCs w:val="18"/>
              </w:rPr>
              <w:t>2020</w:t>
            </w:r>
          </w:p>
        </w:tc>
        <w:tc>
          <w:tcPr>
            <w:tcW w:w="907" w:type="dxa"/>
            <w:tcBorders>
              <w:top w:val="nil"/>
              <w:left w:val="nil"/>
              <w:bottom w:val="single" w:sz="4" w:space="0" w:color="auto"/>
              <w:right w:val="single" w:sz="4" w:space="0" w:color="FFFFFF"/>
            </w:tcBorders>
            <w:shd w:val="clear" w:color="000000" w:fill="AF272F"/>
            <w:hideMark/>
          </w:tcPr>
          <w:p w14:paraId="61EF70F0"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Carrying amount</w:t>
            </w:r>
            <w:r w:rsidRPr="005734B8">
              <w:rPr>
                <w:rFonts w:ascii="Calibri" w:hAnsi="Calibri" w:cs="Calibri"/>
                <w:b/>
                <w:color w:val="FFFFFF"/>
                <w:sz w:val="18"/>
                <w:szCs w:val="18"/>
              </w:rPr>
              <w:br/>
              <w:t>($m)</w:t>
            </w:r>
          </w:p>
        </w:tc>
        <w:tc>
          <w:tcPr>
            <w:tcW w:w="903" w:type="dxa"/>
            <w:tcBorders>
              <w:top w:val="nil"/>
              <w:left w:val="nil"/>
              <w:bottom w:val="single" w:sz="4" w:space="0" w:color="auto"/>
              <w:right w:val="single" w:sz="4" w:space="0" w:color="FFFFFF"/>
            </w:tcBorders>
            <w:shd w:val="clear" w:color="000000" w:fill="AF272F"/>
            <w:hideMark/>
          </w:tcPr>
          <w:p w14:paraId="39CC885F"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Nominal amount</w:t>
            </w:r>
            <w:r w:rsidRPr="005734B8">
              <w:rPr>
                <w:rFonts w:ascii="Calibri" w:hAnsi="Calibri" w:cs="Calibri"/>
                <w:b/>
                <w:color w:val="FFFFFF"/>
                <w:sz w:val="18"/>
                <w:szCs w:val="18"/>
              </w:rPr>
              <w:br/>
              <w:t>($m)</w:t>
            </w:r>
          </w:p>
        </w:tc>
        <w:tc>
          <w:tcPr>
            <w:tcW w:w="926" w:type="dxa"/>
            <w:tcBorders>
              <w:top w:val="nil"/>
              <w:left w:val="nil"/>
              <w:bottom w:val="single" w:sz="4" w:space="0" w:color="auto"/>
              <w:right w:val="single" w:sz="4" w:space="0" w:color="FFFFFF"/>
            </w:tcBorders>
            <w:shd w:val="clear" w:color="000000" w:fill="AF272F"/>
            <w:hideMark/>
          </w:tcPr>
          <w:p w14:paraId="76986E8A"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Less than 1 month</w:t>
            </w:r>
            <w:r w:rsidRPr="005734B8">
              <w:rPr>
                <w:rFonts w:ascii="Calibri" w:hAnsi="Calibri" w:cs="Calibri"/>
                <w:b/>
                <w:color w:val="FFFFFF"/>
                <w:sz w:val="18"/>
                <w:szCs w:val="18"/>
              </w:rPr>
              <w:br/>
              <w:t>($m)</w:t>
            </w:r>
          </w:p>
        </w:tc>
        <w:tc>
          <w:tcPr>
            <w:tcW w:w="914" w:type="dxa"/>
            <w:tcBorders>
              <w:top w:val="nil"/>
              <w:left w:val="nil"/>
              <w:bottom w:val="single" w:sz="4" w:space="0" w:color="auto"/>
              <w:right w:val="single" w:sz="4" w:space="0" w:color="FFFFFF"/>
            </w:tcBorders>
            <w:shd w:val="clear" w:color="000000" w:fill="AF272F"/>
            <w:hideMark/>
          </w:tcPr>
          <w:p w14:paraId="50D58FA7"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1-3 months</w:t>
            </w:r>
            <w:r w:rsidRPr="005734B8">
              <w:rPr>
                <w:rFonts w:ascii="Calibri" w:hAnsi="Calibri" w:cs="Calibri"/>
                <w:b/>
                <w:color w:val="FFFFFF"/>
                <w:sz w:val="18"/>
                <w:szCs w:val="18"/>
              </w:rPr>
              <w:br/>
              <w:t>($m)</w:t>
            </w:r>
          </w:p>
        </w:tc>
        <w:tc>
          <w:tcPr>
            <w:tcW w:w="902" w:type="dxa"/>
            <w:tcBorders>
              <w:top w:val="nil"/>
              <w:left w:val="nil"/>
              <w:bottom w:val="single" w:sz="4" w:space="0" w:color="auto"/>
              <w:right w:val="single" w:sz="4" w:space="0" w:color="FFFFFF"/>
            </w:tcBorders>
            <w:shd w:val="clear" w:color="000000" w:fill="AF272F"/>
            <w:hideMark/>
          </w:tcPr>
          <w:p w14:paraId="2BF4ECAF"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3 months-1year</w:t>
            </w:r>
            <w:r w:rsidRPr="005734B8">
              <w:rPr>
                <w:rFonts w:ascii="Calibri" w:hAnsi="Calibri" w:cs="Calibri"/>
                <w:b/>
                <w:color w:val="FFFFFF"/>
                <w:sz w:val="18"/>
                <w:szCs w:val="18"/>
              </w:rPr>
              <w:br/>
              <w:t>($m)</w:t>
            </w:r>
          </w:p>
        </w:tc>
        <w:tc>
          <w:tcPr>
            <w:tcW w:w="902" w:type="dxa"/>
            <w:tcBorders>
              <w:top w:val="nil"/>
              <w:left w:val="nil"/>
              <w:bottom w:val="single" w:sz="4" w:space="0" w:color="auto"/>
              <w:right w:val="single" w:sz="4" w:space="0" w:color="FFFFFF"/>
            </w:tcBorders>
            <w:shd w:val="clear" w:color="000000" w:fill="AF272F"/>
            <w:hideMark/>
          </w:tcPr>
          <w:p w14:paraId="6E28C871"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1-5 years</w:t>
            </w:r>
            <w:r w:rsidRPr="005734B8">
              <w:rPr>
                <w:rFonts w:ascii="Calibri" w:hAnsi="Calibri" w:cs="Calibri"/>
                <w:b/>
                <w:color w:val="FFFFFF"/>
                <w:sz w:val="18"/>
                <w:szCs w:val="18"/>
              </w:rPr>
              <w:br/>
              <w:t>($m)</w:t>
            </w:r>
          </w:p>
        </w:tc>
        <w:tc>
          <w:tcPr>
            <w:tcW w:w="902" w:type="dxa"/>
            <w:tcBorders>
              <w:top w:val="nil"/>
              <w:left w:val="nil"/>
              <w:bottom w:val="single" w:sz="4" w:space="0" w:color="auto"/>
              <w:right w:val="single" w:sz="4" w:space="0" w:color="FFFFFF"/>
            </w:tcBorders>
            <w:shd w:val="clear" w:color="000000" w:fill="AF272F"/>
            <w:hideMark/>
          </w:tcPr>
          <w:p w14:paraId="2D9E9335"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&gt;5 years</w:t>
            </w:r>
            <w:r w:rsidRPr="005734B8">
              <w:rPr>
                <w:rFonts w:ascii="Calibri" w:hAnsi="Calibri" w:cs="Calibri"/>
                <w:b/>
                <w:color w:val="FFFFFF"/>
                <w:sz w:val="18"/>
                <w:szCs w:val="18"/>
              </w:rPr>
              <w:br/>
              <w:t>($m)</w:t>
            </w:r>
          </w:p>
        </w:tc>
      </w:tr>
      <w:tr w:rsidR="00F1540A" w:rsidRPr="005734B8" w14:paraId="4781E529" w14:textId="77777777" w:rsidTr="000F48B1">
        <w:trPr>
          <w:trHeight w:val="270"/>
        </w:trPr>
        <w:tc>
          <w:tcPr>
            <w:tcW w:w="1269"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18ABD5B0"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Borrowings</w:t>
            </w:r>
          </w:p>
        </w:tc>
        <w:tc>
          <w:tcPr>
            <w:tcW w:w="907" w:type="dxa"/>
            <w:tcBorders>
              <w:top w:val="nil"/>
              <w:left w:val="nil"/>
              <w:bottom w:val="single" w:sz="4" w:space="0" w:color="auto"/>
              <w:right w:val="single" w:sz="4" w:space="0" w:color="FFFFFF"/>
            </w:tcBorders>
            <w:shd w:val="clear" w:color="FFFFFF" w:fill="FFFFFF"/>
            <w:noWrap/>
            <w:vAlign w:val="center"/>
            <w:hideMark/>
          </w:tcPr>
          <w:p w14:paraId="133176D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608.8 </w:t>
            </w:r>
          </w:p>
        </w:tc>
        <w:tc>
          <w:tcPr>
            <w:tcW w:w="903" w:type="dxa"/>
            <w:tcBorders>
              <w:top w:val="nil"/>
              <w:left w:val="nil"/>
              <w:bottom w:val="single" w:sz="4" w:space="0" w:color="auto"/>
              <w:right w:val="single" w:sz="4" w:space="0" w:color="FFFFFF"/>
            </w:tcBorders>
            <w:shd w:val="clear" w:color="FFFFFF" w:fill="FFFFFF"/>
            <w:noWrap/>
            <w:vAlign w:val="center"/>
            <w:hideMark/>
          </w:tcPr>
          <w:p w14:paraId="6BA7D40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1,014.5 </w:t>
            </w:r>
          </w:p>
        </w:tc>
        <w:tc>
          <w:tcPr>
            <w:tcW w:w="926" w:type="dxa"/>
            <w:tcBorders>
              <w:top w:val="nil"/>
              <w:left w:val="nil"/>
              <w:bottom w:val="single" w:sz="4" w:space="0" w:color="auto"/>
              <w:right w:val="single" w:sz="4" w:space="0" w:color="FFFFFF"/>
            </w:tcBorders>
            <w:shd w:val="clear" w:color="FFFFFF" w:fill="FFFFFF"/>
            <w:noWrap/>
            <w:vAlign w:val="center"/>
            <w:hideMark/>
          </w:tcPr>
          <w:p w14:paraId="207E729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 </w:t>
            </w:r>
          </w:p>
        </w:tc>
        <w:tc>
          <w:tcPr>
            <w:tcW w:w="914" w:type="dxa"/>
            <w:tcBorders>
              <w:top w:val="nil"/>
              <w:left w:val="nil"/>
              <w:bottom w:val="single" w:sz="4" w:space="0" w:color="auto"/>
              <w:right w:val="single" w:sz="4" w:space="0" w:color="FFFFFF"/>
            </w:tcBorders>
            <w:shd w:val="clear" w:color="FFFFFF" w:fill="FFFFFF"/>
            <w:noWrap/>
            <w:vAlign w:val="center"/>
            <w:hideMark/>
          </w:tcPr>
          <w:p w14:paraId="2DFF583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13.3 </w:t>
            </w:r>
          </w:p>
        </w:tc>
        <w:tc>
          <w:tcPr>
            <w:tcW w:w="902" w:type="dxa"/>
            <w:tcBorders>
              <w:top w:val="nil"/>
              <w:left w:val="nil"/>
              <w:bottom w:val="single" w:sz="4" w:space="0" w:color="auto"/>
              <w:right w:val="single" w:sz="4" w:space="0" w:color="FFFFFF"/>
            </w:tcBorders>
            <w:shd w:val="clear" w:color="FFFFFF" w:fill="FFFFFF"/>
            <w:noWrap/>
            <w:vAlign w:val="center"/>
            <w:hideMark/>
          </w:tcPr>
          <w:p w14:paraId="37E8CAE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54.6 </w:t>
            </w:r>
          </w:p>
        </w:tc>
        <w:tc>
          <w:tcPr>
            <w:tcW w:w="902" w:type="dxa"/>
            <w:tcBorders>
              <w:top w:val="nil"/>
              <w:left w:val="nil"/>
              <w:bottom w:val="single" w:sz="4" w:space="0" w:color="auto"/>
              <w:right w:val="single" w:sz="4" w:space="0" w:color="FFFFFF"/>
            </w:tcBorders>
            <w:shd w:val="clear" w:color="FFFFFF" w:fill="FFFFFF"/>
            <w:noWrap/>
            <w:vAlign w:val="center"/>
            <w:hideMark/>
          </w:tcPr>
          <w:p w14:paraId="78BD5A08"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220.4 </w:t>
            </w:r>
          </w:p>
        </w:tc>
        <w:tc>
          <w:tcPr>
            <w:tcW w:w="902" w:type="dxa"/>
            <w:tcBorders>
              <w:top w:val="nil"/>
              <w:left w:val="nil"/>
              <w:bottom w:val="single" w:sz="4" w:space="0" w:color="auto"/>
              <w:right w:val="single" w:sz="4" w:space="0" w:color="FFFFFF"/>
            </w:tcBorders>
            <w:shd w:val="clear" w:color="FFFFFF" w:fill="FFFFFF"/>
            <w:noWrap/>
            <w:vAlign w:val="center"/>
            <w:hideMark/>
          </w:tcPr>
          <w:p w14:paraId="1333DBB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724.9 </w:t>
            </w:r>
          </w:p>
        </w:tc>
      </w:tr>
      <w:tr w:rsidR="00F1540A" w:rsidRPr="005734B8" w14:paraId="2FAAFA81" w14:textId="77777777" w:rsidTr="000F48B1">
        <w:trPr>
          <w:trHeight w:val="285"/>
        </w:trPr>
        <w:tc>
          <w:tcPr>
            <w:tcW w:w="1269"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D412744"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w:t>
            </w:r>
          </w:p>
        </w:tc>
        <w:tc>
          <w:tcPr>
            <w:tcW w:w="907" w:type="dxa"/>
            <w:tcBorders>
              <w:top w:val="single" w:sz="12" w:space="0" w:color="auto"/>
              <w:left w:val="nil"/>
              <w:bottom w:val="single" w:sz="12" w:space="0" w:color="auto"/>
              <w:right w:val="nil"/>
            </w:tcBorders>
            <w:shd w:val="clear" w:color="FFFFFF" w:fill="FFFFFF"/>
            <w:noWrap/>
            <w:vAlign w:val="center"/>
            <w:hideMark/>
          </w:tcPr>
          <w:p w14:paraId="278C3F96"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608.8 </w:t>
            </w:r>
          </w:p>
        </w:tc>
        <w:tc>
          <w:tcPr>
            <w:tcW w:w="903" w:type="dxa"/>
            <w:tcBorders>
              <w:top w:val="single" w:sz="12" w:space="0" w:color="auto"/>
              <w:left w:val="nil"/>
              <w:bottom w:val="single" w:sz="12" w:space="0" w:color="auto"/>
              <w:right w:val="nil"/>
            </w:tcBorders>
            <w:shd w:val="clear" w:color="FFFFFF" w:fill="FFFFFF"/>
            <w:noWrap/>
            <w:vAlign w:val="center"/>
            <w:hideMark/>
          </w:tcPr>
          <w:p w14:paraId="4A7015D7"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1,014.5 </w:t>
            </w:r>
          </w:p>
        </w:tc>
        <w:tc>
          <w:tcPr>
            <w:tcW w:w="926" w:type="dxa"/>
            <w:tcBorders>
              <w:top w:val="single" w:sz="12" w:space="0" w:color="auto"/>
              <w:left w:val="nil"/>
              <w:bottom w:val="single" w:sz="12" w:space="0" w:color="auto"/>
              <w:right w:val="nil"/>
            </w:tcBorders>
            <w:shd w:val="clear" w:color="FFFFFF" w:fill="FFFFFF"/>
            <w:noWrap/>
            <w:vAlign w:val="center"/>
            <w:hideMark/>
          </w:tcPr>
          <w:p w14:paraId="4902A35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1.3 </w:t>
            </w:r>
          </w:p>
        </w:tc>
        <w:tc>
          <w:tcPr>
            <w:tcW w:w="914" w:type="dxa"/>
            <w:tcBorders>
              <w:top w:val="single" w:sz="12" w:space="0" w:color="auto"/>
              <w:left w:val="nil"/>
              <w:bottom w:val="single" w:sz="12" w:space="0" w:color="auto"/>
              <w:right w:val="nil"/>
            </w:tcBorders>
            <w:shd w:val="clear" w:color="FFFFFF" w:fill="FFFFFF"/>
            <w:noWrap/>
            <w:vAlign w:val="center"/>
            <w:hideMark/>
          </w:tcPr>
          <w:p w14:paraId="0541DA7D"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13.3 </w:t>
            </w:r>
          </w:p>
        </w:tc>
        <w:tc>
          <w:tcPr>
            <w:tcW w:w="902" w:type="dxa"/>
            <w:tcBorders>
              <w:top w:val="single" w:sz="12" w:space="0" w:color="auto"/>
              <w:left w:val="nil"/>
              <w:bottom w:val="single" w:sz="12" w:space="0" w:color="auto"/>
              <w:right w:val="nil"/>
            </w:tcBorders>
            <w:shd w:val="clear" w:color="FFFFFF" w:fill="FFFFFF"/>
            <w:noWrap/>
            <w:vAlign w:val="center"/>
            <w:hideMark/>
          </w:tcPr>
          <w:p w14:paraId="4A67ADA0"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54.6 </w:t>
            </w:r>
          </w:p>
        </w:tc>
        <w:tc>
          <w:tcPr>
            <w:tcW w:w="902" w:type="dxa"/>
            <w:tcBorders>
              <w:top w:val="single" w:sz="12" w:space="0" w:color="auto"/>
              <w:left w:val="nil"/>
              <w:bottom w:val="single" w:sz="12" w:space="0" w:color="auto"/>
              <w:right w:val="nil"/>
            </w:tcBorders>
            <w:shd w:val="clear" w:color="FFFFFF" w:fill="FFFFFF"/>
            <w:noWrap/>
            <w:vAlign w:val="center"/>
            <w:hideMark/>
          </w:tcPr>
          <w:p w14:paraId="067CA028"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220.4 </w:t>
            </w:r>
          </w:p>
        </w:tc>
        <w:tc>
          <w:tcPr>
            <w:tcW w:w="902" w:type="dxa"/>
            <w:tcBorders>
              <w:top w:val="single" w:sz="12" w:space="0" w:color="auto"/>
              <w:left w:val="nil"/>
              <w:bottom w:val="single" w:sz="12" w:space="0" w:color="auto"/>
              <w:right w:val="nil"/>
            </w:tcBorders>
            <w:shd w:val="clear" w:color="FFFFFF" w:fill="FFFFFF"/>
            <w:noWrap/>
            <w:vAlign w:val="center"/>
            <w:hideMark/>
          </w:tcPr>
          <w:p w14:paraId="7618C784"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724.9 </w:t>
            </w:r>
          </w:p>
        </w:tc>
      </w:tr>
    </w:tbl>
    <w:p w14:paraId="6AAAC8FE" w14:textId="10D8FE06" w:rsidR="00F1540A" w:rsidRPr="005734B8" w:rsidRDefault="00F1540A" w:rsidP="002D345C">
      <w:pPr>
        <w:spacing w:before="240" w:after="120" w:line="240" w:lineRule="atLeast"/>
        <w:outlineLvl w:val="2"/>
        <w:rPr>
          <w:rFonts w:ascii="Calibri" w:hAnsi="Calibri" w:cs="Calibri"/>
          <w:b/>
          <w:color w:val="53565A"/>
          <w:szCs w:val="18"/>
          <w:lang w:val="en-US"/>
        </w:rPr>
      </w:pPr>
      <w:bookmarkStart w:id="1588" w:name="_Toc11336415"/>
      <w:bookmarkStart w:id="1589" w:name="_Toc11336593"/>
      <w:bookmarkStart w:id="1590" w:name="_Toc13647197"/>
      <w:bookmarkStart w:id="1591" w:name="_Toc13656729"/>
      <w:bookmarkStart w:id="1592" w:name="_Toc13656891"/>
      <w:bookmarkStart w:id="1593" w:name="_Toc14965641"/>
      <w:bookmarkStart w:id="1594" w:name="_Toc15985316"/>
      <w:bookmarkStart w:id="1595" w:name="_Toc16231967"/>
      <w:bookmarkStart w:id="1596" w:name="_Toc36012793"/>
      <w:bookmarkStart w:id="1597" w:name="_Toc36012871"/>
      <w:bookmarkStart w:id="1598" w:name="_Toc36013368"/>
      <w:r w:rsidRPr="005734B8">
        <w:rPr>
          <w:rFonts w:ascii="Calibri" w:hAnsi="Calibri" w:cs="Calibri"/>
          <w:b/>
          <w:color w:val="53565A"/>
          <w:szCs w:val="18"/>
          <w:lang w:val="en-US"/>
        </w:rPr>
        <w:t>7.1.1(b) Interest expense</w:t>
      </w:r>
    </w:p>
    <w:tbl>
      <w:tblPr>
        <w:tblW w:w="7625" w:type="dxa"/>
        <w:tblInd w:w="75" w:type="dxa"/>
        <w:tblLayout w:type="fixed"/>
        <w:tblLook w:val="04A0" w:firstRow="1" w:lastRow="0" w:firstColumn="1" w:lastColumn="0" w:noHBand="0" w:noVBand="1"/>
      </w:tblPr>
      <w:tblGrid>
        <w:gridCol w:w="5452"/>
        <w:gridCol w:w="1091"/>
        <w:gridCol w:w="1082"/>
      </w:tblGrid>
      <w:tr w:rsidR="00F1540A" w:rsidRPr="005734B8" w14:paraId="0A01FA27" w14:textId="77777777" w:rsidTr="000F48B1">
        <w:trPr>
          <w:trHeight w:val="480"/>
        </w:trPr>
        <w:tc>
          <w:tcPr>
            <w:tcW w:w="5452" w:type="dxa"/>
            <w:tcBorders>
              <w:top w:val="nil"/>
              <w:left w:val="single" w:sz="4" w:space="0" w:color="FFFFFF"/>
              <w:bottom w:val="nil"/>
              <w:right w:val="single" w:sz="4" w:space="0" w:color="FFFFFF"/>
            </w:tcBorders>
            <w:shd w:val="clear" w:color="000000" w:fill="AF272F"/>
            <w:vAlign w:val="bottom"/>
            <w:hideMark/>
          </w:tcPr>
          <w:p w14:paraId="34ED9C74" w14:textId="77777777" w:rsidR="00F1540A" w:rsidRPr="005734B8" w:rsidRDefault="00F1540A" w:rsidP="000F48B1">
            <w:pPr>
              <w:jc w:val="center"/>
              <w:rPr>
                <w:rFonts w:ascii="Calibri" w:hAnsi="Calibri" w:cs="Calibri"/>
                <w:b/>
                <w:color w:val="FFFFFF"/>
                <w:sz w:val="18"/>
                <w:szCs w:val="18"/>
              </w:rPr>
            </w:pPr>
            <w:bookmarkStart w:id="1599" w:name="Note_ITETABLE1" w:colFirst="0" w:colLast="0"/>
            <w:r w:rsidRPr="005734B8">
              <w:rPr>
                <w:rFonts w:ascii="Calibri" w:hAnsi="Calibri" w:cs="Calibri"/>
                <w:b/>
                <w:color w:val="FFFFFF"/>
                <w:sz w:val="18"/>
                <w:szCs w:val="18"/>
              </w:rPr>
              <w:t> </w:t>
            </w:r>
          </w:p>
        </w:tc>
        <w:tc>
          <w:tcPr>
            <w:tcW w:w="1091" w:type="dxa"/>
            <w:tcBorders>
              <w:top w:val="nil"/>
              <w:left w:val="nil"/>
              <w:bottom w:val="nil"/>
              <w:right w:val="single" w:sz="4" w:space="0" w:color="FFFFFF"/>
            </w:tcBorders>
            <w:shd w:val="clear" w:color="000000" w:fill="AF272F"/>
            <w:hideMark/>
          </w:tcPr>
          <w:p w14:paraId="1A97E25D"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82" w:type="dxa"/>
            <w:tcBorders>
              <w:top w:val="nil"/>
              <w:left w:val="nil"/>
              <w:bottom w:val="nil"/>
              <w:right w:val="single" w:sz="4" w:space="0" w:color="FFFFFF"/>
            </w:tcBorders>
            <w:shd w:val="clear" w:color="000000" w:fill="AF272F"/>
            <w:hideMark/>
          </w:tcPr>
          <w:p w14:paraId="4FD3C38E"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599"/>
      <w:tr w:rsidR="00F1540A" w:rsidRPr="005734B8" w14:paraId="2B77542D"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08E65C4C"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Interest on leases liabilities</w:t>
            </w:r>
          </w:p>
        </w:tc>
        <w:tc>
          <w:tcPr>
            <w:tcW w:w="1091" w:type="dxa"/>
            <w:tcBorders>
              <w:top w:val="nil"/>
              <w:left w:val="nil"/>
              <w:bottom w:val="single" w:sz="4" w:space="0" w:color="auto"/>
              <w:right w:val="single" w:sz="4" w:space="0" w:color="FFFFFF"/>
            </w:tcBorders>
            <w:shd w:val="clear" w:color="000000" w:fill="D9D9D9"/>
            <w:noWrap/>
            <w:vAlign w:val="center"/>
            <w:hideMark/>
          </w:tcPr>
          <w:p w14:paraId="086F96F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24.9 </w:t>
            </w:r>
          </w:p>
        </w:tc>
        <w:tc>
          <w:tcPr>
            <w:tcW w:w="1082" w:type="dxa"/>
            <w:tcBorders>
              <w:top w:val="nil"/>
              <w:left w:val="nil"/>
              <w:bottom w:val="single" w:sz="4" w:space="0" w:color="auto"/>
              <w:right w:val="single" w:sz="4" w:space="0" w:color="FFFFFF"/>
            </w:tcBorders>
            <w:shd w:val="clear" w:color="FFFFFF" w:fill="FFFFFF"/>
            <w:noWrap/>
            <w:vAlign w:val="center"/>
            <w:hideMark/>
          </w:tcPr>
          <w:p w14:paraId="3BFE726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30.3 </w:t>
            </w:r>
          </w:p>
        </w:tc>
      </w:tr>
      <w:tr w:rsidR="00F1540A" w:rsidRPr="005734B8" w14:paraId="24219E54"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1BE500C4"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interest expense</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3B5B1E71"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24.9 </w:t>
            </w:r>
          </w:p>
        </w:tc>
        <w:tc>
          <w:tcPr>
            <w:tcW w:w="1082" w:type="dxa"/>
            <w:tcBorders>
              <w:top w:val="single" w:sz="12" w:space="0" w:color="auto"/>
              <w:left w:val="nil"/>
              <w:bottom w:val="single" w:sz="12" w:space="0" w:color="auto"/>
              <w:right w:val="nil"/>
            </w:tcBorders>
            <w:shd w:val="clear" w:color="FFFFFF" w:fill="FFFFFF"/>
            <w:noWrap/>
            <w:vAlign w:val="center"/>
            <w:hideMark/>
          </w:tcPr>
          <w:p w14:paraId="31ABBA94"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30.3 </w:t>
            </w:r>
          </w:p>
        </w:tc>
      </w:tr>
    </w:tbl>
    <w:p w14:paraId="4796A5AF" w14:textId="77777777" w:rsidR="00F1540A" w:rsidRPr="005734B8" w:rsidRDefault="00F1540A" w:rsidP="00F1540A">
      <w:pPr>
        <w:spacing w:before="240" w:after="180" w:line="240" w:lineRule="atLeast"/>
        <w:outlineLvl w:val="0"/>
        <w:rPr>
          <w:rFonts w:ascii="Calibri" w:hAnsi="Calibri" w:cs="Calibri"/>
          <w:bCs/>
          <w:color w:val="8A2A2F"/>
          <w:spacing w:val="5"/>
          <w:kern w:val="28"/>
          <w:sz w:val="28"/>
          <w:lang w:val="en-US"/>
        </w:rPr>
      </w:pPr>
      <w:bookmarkStart w:id="1600" w:name="_Toc58243450"/>
      <w:bookmarkStart w:id="1601" w:name="_Toc72958100"/>
      <w:bookmarkStart w:id="1602" w:name="_Toc72958148"/>
      <w:bookmarkStart w:id="1603" w:name="_Toc80272088"/>
      <w:bookmarkStart w:id="1604" w:name="_Toc81315388"/>
      <w:r w:rsidRPr="005734B8">
        <w:rPr>
          <w:rFonts w:ascii="Calibri" w:hAnsi="Calibri" w:cs="Calibri"/>
          <w:bCs/>
          <w:color w:val="8A2A2F"/>
          <w:spacing w:val="5"/>
          <w:kern w:val="28"/>
          <w:sz w:val="28"/>
          <w:lang w:val="en-US"/>
        </w:rPr>
        <w:t>7.2</w:t>
      </w:r>
      <w:r w:rsidRPr="005734B8">
        <w:rPr>
          <w:rFonts w:ascii="Calibri" w:hAnsi="Calibri" w:cs="Calibri"/>
          <w:bCs/>
          <w:color w:val="8A2A2F"/>
          <w:spacing w:val="5"/>
          <w:kern w:val="28"/>
          <w:sz w:val="28"/>
          <w:lang w:val="en-US"/>
        </w:rPr>
        <w:tab/>
        <w:t>Leases</w:t>
      </w:r>
      <w:bookmarkEnd w:id="1600"/>
      <w:bookmarkEnd w:id="1601"/>
      <w:bookmarkEnd w:id="1602"/>
      <w:bookmarkEnd w:id="1603"/>
      <w:bookmarkEnd w:id="1604"/>
    </w:p>
    <w:p w14:paraId="795F1066" w14:textId="77777777" w:rsidR="00F1540A" w:rsidRPr="005734B8" w:rsidRDefault="00F1540A" w:rsidP="00F1540A">
      <w:pPr>
        <w:autoSpaceDE w:val="0"/>
        <w:autoSpaceDN w:val="0"/>
        <w:adjustRightInd w:val="0"/>
        <w:rPr>
          <w:rFonts w:ascii="Calibri" w:eastAsia="Arial" w:hAnsi="Calibri" w:cs="Calibri"/>
        </w:rPr>
      </w:pPr>
      <w:r w:rsidRPr="005734B8">
        <w:rPr>
          <w:rFonts w:ascii="Calibri" w:eastAsia="Arial" w:hAnsi="Calibri" w:cs="Calibri"/>
        </w:rPr>
        <w:t>Information about leases for which the Department is a lessee is presented below.</w:t>
      </w:r>
    </w:p>
    <w:p w14:paraId="4F05137D" w14:textId="77777777" w:rsidR="00F1540A" w:rsidRPr="005734B8" w:rsidRDefault="00F1540A" w:rsidP="002D345C">
      <w:pPr>
        <w:pStyle w:val="ESHeading4"/>
        <w:ind w:left="0" w:firstLine="0"/>
        <w:rPr>
          <w:rFonts w:ascii="Calibri" w:hAnsi="Calibri" w:cs="Calibri"/>
        </w:rPr>
      </w:pPr>
      <w:r w:rsidRPr="005734B8">
        <w:rPr>
          <w:rFonts w:ascii="Calibri" w:hAnsi="Calibri" w:cs="Calibri"/>
        </w:rPr>
        <w:t>The Department’s leasing activities</w:t>
      </w:r>
    </w:p>
    <w:p w14:paraId="10C974C2" w14:textId="77777777" w:rsidR="00F1540A" w:rsidRPr="005734B8" w:rsidRDefault="00F1540A" w:rsidP="00F1540A">
      <w:pPr>
        <w:autoSpaceDE w:val="0"/>
        <w:autoSpaceDN w:val="0"/>
        <w:adjustRightInd w:val="0"/>
        <w:rPr>
          <w:rFonts w:ascii="Calibri" w:eastAsia="Arial" w:hAnsi="Calibri" w:cs="Calibri"/>
        </w:rPr>
      </w:pPr>
      <w:r w:rsidRPr="005734B8">
        <w:rPr>
          <w:rFonts w:ascii="Calibri" w:eastAsia="Arial" w:hAnsi="Calibri" w:cs="Calibri"/>
        </w:rPr>
        <w:t xml:space="preserve">The Department leases various properties, office and IT equipment, and motor vehicles. The lease contracts are typically for fixed periods of 1–10 years. The Department does not have a contractual option to purchase the leased assets at the end of the lease term. Lease payments are renegotiated every three years to reflect market rentals. </w:t>
      </w:r>
    </w:p>
    <w:p w14:paraId="1B9101DB" w14:textId="77777777" w:rsidR="00F1540A" w:rsidRPr="005734B8" w:rsidRDefault="00F1540A" w:rsidP="00F1540A">
      <w:pPr>
        <w:autoSpaceDE w:val="0"/>
        <w:autoSpaceDN w:val="0"/>
        <w:adjustRightInd w:val="0"/>
        <w:rPr>
          <w:rFonts w:ascii="Calibri" w:eastAsia="Arial" w:hAnsi="Calibri" w:cs="Calibri"/>
        </w:rPr>
      </w:pPr>
    </w:p>
    <w:p w14:paraId="2500FE0F" w14:textId="52F1789E" w:rsidR="00F1540A" w:rsidRPr="005734B8" w:rsidRDefault="00F1540A" w:rsidP="00F1540A">
      <w:pPr>
        <w:autoSpaceDE w:val="0"/>
        <w:autoSpaceDN w:val="0"/>
        <w:adjustRightInd w:val="0"/>
        <w:rPr>
          <w:rFonts w:ascii="Calibri" w:eastAsia="Arial" w:hAnsi="Calibri" w:cs="Calibri"/>
        </w:rPr>
      </w:pPr>
      <w:r w:rsidRPr="005734B8">
        <w:rPr>
          <w:rFonts w:ascii="Calibri" w:eastAsia="Arial" w:hAnsi="Calibri" w:cs="Calibri"/>
        </w:rPr>
        <w:t>The Department leases office and IT equipment with contract terms of 1–3 years. These leases are short-term and/or leases of low</w:t>
      </w:r>
      <w:r w:rsidR="00230F96" w:rsidRPr="005734B8">
        <w:rPr>
          <w:rFonts w:ascii="Calibri" w:eastAsia="Arial" w:hAnsi="Calibri" w:cs="Calibri"/>
        </w:rPr>
        <w:noBreakHyphen/>
      </w:r>
      <w:r w:rsidRPr="005734B8">
        <w:rPr>
          <w:rFonts w:ascii="Calibri" w:eastAsia="Arial" w:hAnsi="Calibri" w:cs="Calibri"/>
        </w:rPr>
        <w:t>value items. The Department has elected not to recognise right-of-use assets and lease liabilities for these leases.</w:t>
      </w:r>
    </w:p>
    <w:p w14:paraId="321F5493" w14:textId="77777777" w:rsidR="00F1540A" w:rsidRPr="005734B8" w:rsidRDefault="00F1540A" w:rsidP="00F1540A">
      <w:pPr>
        <w:autoSpaceDE w:val="0"/>
        <w:autoSpaceDN w:val="0"/>
        <w:adjustRightInd w:val="0"/>
        <w:rPr>
          <w:rFonts w:ascii="Calibri" w:eastAsia="Arial" w:hAnsi="Calibri" w:cs="Calibri"/>
        </w:rPr>
      </w:pPr>
    </w:p>
    <w:p w14:paraId="76FC5E0C" w14:textId="0F47A05A" w:rsidR="00F1540A" w:rsidRPr="005734B8" w:rsidRDefault="00F1540A" w:rsidP="00F1540A">
      <w:pPr>
        <w:autoSpaceDE w:val="0"/>
        <w:autoSpaceDN w:val="0"/>
        <w:adjustRightInd w:val="0"/>
        <w:rPr>
          <w:rFonts w:ascii="Calibri" w:eastAsia="Arial" w:hAnsi="Calibri" w:cs="Calibri"/>
        </w:rPr>
      </w:pPr>
      <w:r w:rsidRPr="005734B8">
        <w:rPr>
          <w:rFonts w:ascii="Calibri" w:eastAsia="Arial" w:hAnsi="Calibri" w:cs="Calibri"/>
        </w:rPr>
        <w:t xml:space="preserve">At </w:t>
      </w:r>
      <w:r w:rsidRPr="005734B8">
        <w:rPr>
          <w:rFonts w:ascii="Calibri" w:eastAsia="Arial" w:hAnsi="Calibri" w:cs="Calibri"/>
        </w:rPr>
        <w:fldChar w:fldCharType="begin"/>
      </w:r>
      <w:r w:rsidRPr="005734B8">
        <w:rPr>
          <w:rFonts w:ascii="Calibri" w:eastAsia="Arial" w:hAnsi="Calibri" w:cs="Calibri"/>
        </w:rPr>
        <w:instrText xml:space="preserve"> DOCPROPERTY  pEnd  \* MERGEFORMAT </w:instrText>
      </w:r>
      <w:r w:rsidRPr="005734B8">
        <w:rPr>
          <w:rFonts w:ascii="Calibri" w:eastAsia="Arial" w:hAnsi="Calibri" w:cs="Calibri"/>
        </w:rPr>
        <w:fldChar w:fldCharType="separate"/>
      </w:r>
      <w:r w:rsidRPr="005734B8">
        <w:rPr>
          <w:rFonts w:ascii="Calibri" w:eastAsia="Arial" w:hAnsi="Calibri" w:cs="Calibri"/>
        </w:rPr>
        <w:t>30 June</w:t>
      </w:r>
      <w:r w:rsidRPr="005734B8">
        <w:rPr>
          <w:rFonts w:ascii="Calibri" w:eastAsia="Arial" w:hAnsi="Calibri" w:cs="Calibri"/>
        </w:rPr>
        <w:fldChar w:fldCharType="end"/>
      </w:r>
      <w:r w:rsidRPr="005734B8">
        <w:rPr>
          <w:rFonts w:ascii="Calibri" w:eastAsia="Arial" w:hAnsi="Calibri" w:cs="Calibri"/>
        </w:rPr>
        <w:t xml:space="preserve"> </w:t>
      </w:r>
      <w:r w:rsidR="0043712A" w:rsidRPr="005734B8">
        <w:rPr>
          <w:rFonts w:ascii="Calibri" w:eastAsia="Arial" w:hAnsi="Calibri" w:cs="Calibri"/>
        </w:rPr>
        <w:t>202</w:t>
      </w:r>
      <w:r w:rsidRPr="005734B8">
        <w:rPr>
          <w:rFonts w:ascii="Calibri" w:eastAsia="Arial" w:hAnsi="Calibri" w:cs="Calibri"/>
        </w:rPr>
        <w:fldChar w:fldCharType="begin"/>
      </w:r>
      <w:r w:rsidRPr="005734B8">
        <w:rPr>
          <w:rFonts w:ascii="Calibri" w:eastAsia="Arial" w:hAnsi="Calibri" w:cs="Calibri"/>
        </w:rPr>
        <w:instrText xml:space="preserve"> DOCPROPERTY  crYear  \* MERGEFORMAT </w:instrText>
      </w:r>
      <w:r w:rsidR="006C463E">
        <w:rPr>
          <w:rFonts w:ascii="Calibri" w:eastAsia="Arial" w:hAnsi="Calibri" w:cs="Calibri"/>
        </w:rPr>
        <w:fldChar w:fldCharType="separate"/>
      </w:r>
      <w:r w:rsidRPr="005734B8">
        <w:rPr>
          <w:rFonts w:ascii="Calibri" w:eastAsia="Arial" w:hAnsi="Calibri" w:cs="Calibri"/>
        </w:rPr>
        <w:fldChar w:fldCharType="end"/>
      </w:r>
      <w:r w:rsidR="005F0E5C" w:rsidRPr="005734B8">
        <w:rPr>
          <w:rFonts w:ascii="Calibri" w:eastAsia="Arial" w:hAnsi="Calibri" w:cs="Calibri"/>
        </w:rPr>
        <w:t>1</w:t>
      </w:r>
      <w:r w:rsidRPr="005734B8">
        <w:rPr>
          <w:rFonts w:ascii="Calibri" w:eastAsia="Arial" w:hAnsi="Calibri" w:cs="Calibri"/>
        </w:rPr>
        <w:t>, the Department was committed to short</w:t>
      </w:r>
      <w:r w:rsidR="00230F96" w:rsidRPr="005734B8">
        <w:rPr>
          <w:rFonts w:ascii="Calibri" w:eastAsia="Arial" w:hAnsi="Calibri" w:cs="Calibri"/>
        </w:rPr>
        <w:noBreakHyphen/>
      </w:r>
      <w:r w:rsidRPr="005734B8">
        <w:rPr>
          <w:rFonts w:ascii="Calibri" w:eastAsia="Arial" w:hAnsi="Calibri" w:cs="Calibri"/>
        </w:rPr>
        <w:t>term and low</w:t>
      </w:r>
      <w:r w:rsidR="00230F96" w:rsidRPr="005734B8">
        <w:rPr>
          <w:rFonts w:ascii="Calibri" w:eastAsia="Arial" w:hAnsi="Calibri" w:cs="Calibri"/>
        </w:rPr>
        <w:noBreakHyphen/>
      </w:r>
      <w:r w:rsidRPr="005734B8">
        <w:rPr>
          <w:rFonts w:ascii="Calibri" w:eastAsia="Arial" w:hAnsi="Calibri" w:cs="Calibri"/>
        </w:rPr>
        <w:t>value leases and the total commitment at that date was $4</w:t>
      </w:r>
      <w:r w:rsidR="005F0E5C" w:rsidRPr="005734B8">
        <w:rPr>
          <w:rFonts w:ascii="Calibri" w:eastAsia="Arial" w:hAnsi="Calibri" w:cs="Calibri"/>
        </w:rPr>
        <w:t>4 million (2020: $</w:t>
      </w:r>
      <w:r w:rsidRPr="005734B8">
        <w:rPr>
          <w:rFonts w:ascii="Calibri" w:eastAsia="Arial" w:hAnsi="Calibri" w:cs="Calibri"/>
        </w:rPr>
        <w:t>46 million</w:t>
      </w:r>
      <w:r w:rsidR="005F0E5C" w:rsidRPr="005734B8">
        <w:rPr>
          <w:rFonts w:ascii="Calibri" w:eastAsia="Arial" w:hAnsi="Calibri" w:cs="Calibri"/>
        </w:rPr>
        <w:t>)</w:t>
      </w:r>
      <w:r w:rsidRPr="005734B8">
        <w:rPr>
          <w:rFonts w:ascii="Calibri" w:eastAsia="Arial" w:hAnsi="Calibri" w:cs="Calibri"/>
        </w:rPr>
        <w:t>.</w:t>
      </w:r>
    </w:p>
    <w:p w14:paraId="4AB0D99C" w14:textId="77777777" w:rsidR="00F1540A" w:rsidRPr="005734B8" w:rsidRDefault="00F1540A" w:rsidP="00F1540A">
      <w:pPr>
        <w:autoSpaceDE w:val="0"/>
        <w:autoSpaceDN w:val="0"/>
        <w:adjustRightInd w:val="0"/>
        <w:rPr>
          <w:rFonts w:ascii="Calibri" w:eastAsia="Arial" w:hAnsi="Calibri" w:cs="Calibri"/>
        </w:rPr>
      </w:pPr>
    </w:p>
    <w:p w14:paraId="7D991B32" w14:textId="77777777" w:rsidR="00F1540A" w:rsidRPr="005734B8" w:rsidRDefault="00F1540A" w:rsidP="002D345C">
      <w:pPr>
        <w:pStyle w:val="ESHeading4"/>
        <w:ind w:left="0" w:firstLine="0"/>
        <w:rPr>
          <w:rFonts w:ascii="Calibri" w:hAnsi="Calibri" w:cs="Calibri"/>
        </w:rPr>
      </w:pPr>
      <w:r w:rsidRPr="005734B8">
        <w:rPr>
          <w:rFonts w:ascii="Calibri" w:hAnsi="Calibri" w:cs="Calibri"/>
        </w:rPr>
        <w:lastRenderedPageBreak/>
        <w:t>Leases at significantly below-market terms and conditions</w:t>
      </w:r>
    </w:p>
    <w:p w14:paraId="75B55215" w14:textId="7CA807E0" w:rsidR="00F1540A" w:rsidRPr="005734B8" w:rsidRDefault="00F1540A" w:rsidP="00F1540A">
      <w:pPr>
        <w:autoSpaceDE w:val="0"/>
        <w:autoSpaceDN w:val="0"/>
        <w:adjustRightInd w:val="0"/>
        <w:rPr>
          <w:rFonts w:ascii="Calibri" w:eastAsia="Arial" w:hAnsi="Calibri" w:cs="Calibri"/>
        </w:rPr>
      </w:pPr>
      <w:r w:rsidRPr="005734B8">
        <w:rPr>
          <w:rFonts w:ascii="Calibri" w:eastAsia="Arial" w:hAnsi="Calibri" w:cs="Calibri"/>
        </w:rPr>
        <w:t>The Department entered into numerous leases for the use of facilities to provide a wide range of educational and community services. These leases are typically long</w:t>
      </w:r>
      <w:r w:rsidR="00B748F9" w:rsidRPr="005734B8">
        <w:rPr>
          <w:rFonts w:ascii="Calibri" w:eastAsia="Arial" w:hAnsi="Calibri" w:cs="Calibri"/>
        </w:rPr>
        <w:noBreakHyphen/>
      </w:r>
      <w:r w:rsidRPr="005734B8">
        <w:rPr>
          <w:rFonts w:ascii="Calibri" w:eastAsia="Arial" w:hAnsi="Calibri" w:cs="Calibri"/>
        </w:rPr>
        <w:t xml:space="preserve">term arrangements for up to 35 years with lease payments of $1 per annum if demanded. The leased premises are used by the Department to primarily provide teaching of specialist programs, community use such as church grounds, childcare and early learning centres, and playground for out of school hours. These leases are a small portion of similar assets </w:t>
      </w:r>
      <w:r w:rsidR="00230F96" w:rsidRPr="005734B8">
        <w:rPr>
          <w:rFonts w:ascii="Calibri" w:eastAsia="Arial" w:hAnsi="Calibri" w:cs="Calibri"/>
        </w:rPr>
        <w:t xml:space="preserve">that </w:t>
      </w:r>
      <w:r w:rsidRPr="005734B8">
        <w:rPr>
          <w:rFonts w:ascii="Calibri" w:eastAsia="Arial" w:hAnsi="Calibri" w:cs="Calibri"/>
        </w:rPr>
        <w:t>the Department uses for the purpose of providing educational and community services</w:t>
      </w:r>
      <w:r w:rsidR="00230F96" w:rsidRPr="005734B8">
        <w:rPr>
          <w:rFonts w:ascii="Calibri" w:eastAsia="Arial" w:hAnsi="Calibri" w:cs="Calibri"/>
        </w:rPr>
        <w:t>,</w:t>
      </w:r>
      <w:r w:rsidRPr="005734B8">
        <w:rPr>
          <w:rFonts w:ascii="Calibri" w:eastAsia="Arial" w:hAnsi="Calibri" w:cs="Calibri"/>
        </w:rPr>
        <w:t xml:space="preserve"> and therefore do not have a significant impact on the Department’s operation.</w:t>
      </w:r>
    </w:p>
    <w:p w14:paraId="481AF8D3" w14:textId="75459148" w:rsidR="00F1540A" w:rsidRPr="005734B8" w:rsidRDefault="00F1540A" w:rsidP="00F1540A">
      <w:pPr>
        <w:spacing w:before="240" w:after="120" w:line="240" w:lineRule="atLeast"/>
        <w:outlineLvl w:val="2"/>
        <w:rPr>
          <w:rFonts w:ascii="Calibri" w:hAnsi="Calibri" w:cs="Calibri"/>
          <w:b/>
          <w:color w:val="53565A"/>
          <w:szCs w:val="18"/>
          <w:lang w:val="en-US"/>
        </w:rPr>
      </w:pPr>
      <w:r w:rsidRPr="005734B8">
        <w:rPr>
          <w:rFonts w:ascii="Calibri" w:hAnsi="Calibri" w:cs="Calibri"/>
          <w:b/>
          <w:color w:val="53565A"/>
          <w:szCs w:val="18"/>
          <w:lang w:val="en-US"/>
        </w:rPr>
        <w:t xml:space="preserve">7.2.1 (a) Right-of-use </w:t>
      </w:r>
      <w:r w:rsidR="00B40FB0" w:rsidRPr="005734B8">
        <w:rPr>
          <w:rFonts w:ascii="Calibri" w:hAnsi="Calibri" w:cs="Calibri"/>
          <w:b/>
          <w:color w:val="53565A"/>
          <w:szCs w:val="18"/>
          <w:lang w:val="en-US"/>
        </w:rPr>
        <w:t>a</w:t>
      </w:r>
      <w:r w:rsidRPr="005734B8">
        <w:rPr>
          <w:rFonts w:ascii="Calibri" w:hAnsi="Calibri" w:cs="Calibri"/>
          <w:b/>
          <w:color w:val="53565A"/>
          <w:szCs w:val="18"/>
          <w:lang w:val="en-US"/>
        </w:rPr>
        <w:t>ssets</w:t>
      </w:r>
    </w:p>
    <w:p w14:paraId="4DC8809B" w14:textId="77777777" w:rsidR="00F1540A" w:rsidRPr="005734B8" w:rsidRDefault="00F1540A" w:rsidP="00F1540A">
      <w:pPr>
        <w:autoSpaceDE w:val="0"/>
        <w:autoSpaceDN w:val="0"/>
        <w:adjustRightInd w:val="0"/>
        <w:rPr>
          <w:rFonts w:ascii="Calibri" w:eastAsia="Arial" w:hAnsi="Calibri" w:cs="Calibri"/>
        </w:rPr>
      </w:pPr>
      <w:r w:rsidRPr="005734B8">
        <w:rPr>
          <w:rFonts w:ascii="Calibri" w:eastAsia="Arial" w:hAnsi="Calibri" w:cs="Calibri"/>
        </w:rPr>
        <w:t>Right-of-use assets are presented in note 5.1(a).</w:t>
      </w:r>
    </w:p>
    <w:p w14:paraId="1FFA9EDD" w14:textId="3E4BFD04" w:rsidR="00F1540A" w:rsidRPr="005734B8" w:rsidRDefault="00F1540A" w:rsidP="00F1540A">
      <w:pPr>
        <w:spacing w:before="240" w:after="120" w:line="240" w:lineRule="atLeast"/>
        <w:outlineLvl w:val="2"/>
        <w:rPr>
          <w:rFonts w:ascii="Calibri" w:hAnsi="Calibri" w:cs="Calibri"/>
          <w:b/>
          <w:color w:val="53565A"/>
          <w:szCs w:val="18"/>
          <w:lang w:val="en-US"/>
        </w:rPr>
      </w:pPr>
      <w:r w:rsidRPr="005734B8">
        <w:rPr>
          <w:rFonts w:ascii="Calibri" w:hAnsi="Calibri" w:cs="Calibri"/>
          <w:b/>
          <w:color w:val="53565A"/>
          <w:szCs w:val="18"/>
          <w:lang w:val="en-US"/>
        </w:rPr>
        <w:t xml:space="preserve">7.2.1 (b) Amounts </w:t>
      </w:r>
      <w:r w:rsidR="00B748F9" w:rsidRPr="005734B8">
        <w:rPr>
          <w:rFonts w:ascii="Calibri" w:hAnsi="Calibri" w:cs="Calibri"/>
          <w:b/>
          <w:color w:val="53565A"/>
          <w:szCs w:val="18"/>
          <w:lang w:val="en-US"/>
        </w:rPr>
        <w:t>r</w:t>
      </w:r>
      <w:r w:rsidR="00B15F9A" w:rsidRPr="005734B8">
        <w:rPr>
          <w:rFonts w:ascii="Calibri" w:hAnsi="Calibri" w:cs="Calibri"/>
          <w:b/>
          <w:color w:val="53565A"/>
          <w:szCs w:val="18"/>
          <w:lang w:val="en-US"/>
        </w:rPr>
        <w:t>ecogni</w:t>
      </w:r>
      <w:r w:rsidR="00B748F9" w:rsidRPr="005734B8">
        <w:rPr>
          <w:rFonts w:ascii="Calibri" w:hAnsi="Calibri" w:cs="Calibri"/>
          <w:b/>
          <w:color w:val="53565A"/>
          <w:szCs w:val="18"/>
          <w:lang w:val="en-US"/>
        </w:rPr>
        <w:t>s</w:t>
      </w:r>
      <w:r w:rsidR="00B15F9A" w:rsidRPr="005734B8">
        <w:rPr>
          <w:rFonts w:ascii="Calibri" w:hAnsi="Calibri" w:cs="Calibri"/>
          <w:b/>
          <w:color w:val="53565A"/>
          <w:szCs w:val="18"/>
          <w:lang w:val="en-US"/>
        </w:rPr>
        <w:t>ed</w:t>
      </w:r>
      <w:r w:rsidRPr="005734B8">
        <w:rPr>
          <w:rFonts w:ascii="Calibri" w:hAnsi="Calibri" w:cs="Calibri"/>
          <w:b/>
          <w:color w:val="53565A"/>
          <w:szCs w:val="18"/>
          <w:lang w:val="en-US"/>
        </w:rPr>
        <w:t xml:space="preserve"> in the </w:t>
      </w:r>
      <w:r w:rsidR="00230F96" w:rsidRPr="005734B8">
        <w:rPr>
          <w:rFonts w:ascii="Calibri" w:hAnsi="Calibri" w:cs="Calibri"/>
          <w:b/>
          <w:color w:val="53565A"/>
          <w:szCs w:val="18"/>
          <w:lang w:val="en-US"/>
        </w:rPr>
        <w:t>c</w:t>
      </w:r>
      <w:r w:rsidRPr="005734B8">
        <w:rPr>
          <w:rFonts w:ascii="Calibri" w:hAnsi="Calibri" w:cs="Calibri"/>
          <w:b/>
          <w:color w:val="53565A"/>
          <w:szCs w:val="18"/>
          <w:lang w:val="en-US"/>
        </w:rPr>
        <w:t xml:space="preserve">omprehensive </w:t>
      </w:r>
      <w:r w:rsidR="00230F96" w:rsidRPr="005734B8">
        <w:rPr>
          <w:rFonts w:ascii="Calibri" w:hAnsi="Calibri" w:cs="Calibri"/>
          <w:b/>
          <w:color w:val="53565A"/>
          <w:szCs w:val="18"/>
          <w:lang w:val="en-US"/>
        </w:rPr>
        <w:t>o</w:t>
      </w:r>
      <w:r w:rsidRPr="005734B8">
        <w:rPr>
          <w:rFonts w:ascii="Calibri" w:hAnsi="Calibri" w:cs="Calibri"/>
          <w:b/>
          <w:color w:val="53565A"/>
          <w:szCs w:val="18"/>
          <w:lang w:val="en-US"/>
        </w:rPr>
        <w:t xml:space="preserve">perating </w:t>
      </w:r>
      <w:r w:rsidR="00230F96" w:rsidRPr="005734B8">
        <w:rPr>
          <w:rFonts w:ascii="Calibri" w:hAnsi="Calibri" w:cs="Calibri"/>
          <w:b/>
          <w:color w:val="53565A"/>
          <w:szCs w:val="18"/>
          <w:lang w:val="en-US"/>
        </w:rPr>
        <w:t>s</w:t>
      </w:r>
      <w:r w:rsidRPr="005734B8">
        <w:rPr>
          <w:rFonts w:ascii="Calibri" w:hAnsi="Calibri" w:cs="Calibri"/>
          <w:b/>
          <w:color w:val="53565A"/>
          <w:szCs w:val="18"/>
          <w:lang w:val="en-US"/>
        </w:rPr>
        <w:t>tatement</w:t>
      </w:r>
    </w:p>
    <w:p w14:paraId="6CAD54FB" w14:textId="275CBD76" w:rsidR="00F1540A" w:rsidRPr="005734B8" w:rsidRDefault="00F1540A" w:rsidP="00F1540A">
      <w:pPr>
        <w:autoSpaceDE w:val="0"/>
        <w:autoSpaceDN w:val="0"/>
        <w:adjustRightInd w:val="0"/>
        <w:rPr>
          <w:rFonts w:ascii="Calibri" w:eastAsia="Arial" w:hAnsi="Calibri" w:cs="Calibri"/>
        </w:rPr>
      </w:pPr>
      <w:r w:rsidRPr="005734B8">
        <w:rPr>
          <w:rFonts w:ascii="Calibri" w:eastAsia="Arial" w:hAnsi="Calibri" w:cs="Calibri"/>
        </w:rPr>
        <w:t xml:space="preserve">The following amounts </w:t>
      </w:r>
      <w:r w:rsidR="00230F96" w:rsidRPr="005734B8">
        <w:rPr>
          <w:rFonts w:ascii="Calibri" w:eastAsia="Arial" w:hAnsi="Calibri" w:cs="Calibri"/>
        </w:rPr>
        <w:t xml:space="preserve">relating to leases </w:t>
      </w:r>
      <w:r w:rsidRPr="005734B8">
        <w:rPr>
          <w:rFonts w:ascii="Calibri" w:eastAsia="Arial" w:hAnsi="Calibri" w:cs="Calibri"/>
        </w:rPr>
        <w:t xml:space="preserve">are recognised in the </w:t>
      </w:r>
      <w:r w:rsidR="00230F96" w:rsidRPr="005734B8">
        <w:rPr>
          <w:rFonts w:ascii="Calibri" w:eastAsia="Arial" w:hAnsi="Calibri" w:cs="Calibri"/>
        </w:rPr>
        <w:t>c</w:t>
      </w:r>
      <w:r w:rsidRPr="005734B8">
        <w:rPr>
          <w:rFonts w:ascii="Calibri" w:eastAsia="Arial" w:hAnsi="Calibri" w:cs="Calibri"/>
        </w:rPr>
        <w:t xml:space="preserve">omprehensive </w:t>
      </w:r>
      <w:r w:rsidR="00230F96" w:rsidRPr="005734B8">
        <w:rPr>
          <w:rFonts w:ascii="Calibri" w:eastAsia="Arial" w:hAnsi="Calibri" w:cs="Calibri"/>
        </w:rPr>
        <w:t>o</w:t>
      </w:r>
      <w:r w:rsidRPr="005734B8">
        <w:rPr>
          <w:rFonts w:ascii="Calibri" w:eastAsia="Arial" w:hAnsi="Calibri" w:cs="Calibri"/>
        </w:rPr>
        <w:t xml:space="preserve">perating </w:t>
      </w:r>
      <w:r w:rsidR="00230F96" w:rsidRPr="005734B8">
        <w:rPr>
          <w:rFonts w:ascii="Calibri" w:eastAsia="Arial" w:hAnsi="Calibri" w:cs="Calibri"/>
        </w:rPr>
        <w:t>s</w:t>
      </w:r>
      <w:r w:rsidRPr="005734B8">
        <w:rPr>
          <w:rFonts w:ascii="Calibri" w:eastAsia="Arial" w:hAnsi="Calibri" w:cs="Calibri"/>
        </w:rPr>
        <w:t>tatement:</w:t>
      </w:r>
      <w:r w:rsidRPr="005734B8">
        <w:rPr>
          <w:rFonts w:ascii="Calibri" w:hAnsi="Calibri" w:cs="Calibri"/>
        </w:rPr>
        <w:t xml:space="preserve"> </w:t>
      </w:r>
    </w:p>
    <w:p w14:paraId="50A21313" w14:textId="77777777" w:rsidR="00F1540A" w:rsidRPr="005734B8" w:rsidRDefault="00F1540A" w:rsidP="00F1540A">
      <w:pPr>
        <w:autoSpaceDE w:val="0"/>
        <w:autoSpaceDN w:val="0"/>
        <w:adjustRightInd w:val="0"/>
        <w:rPr>
          <w:rFonts w:ascii="Calibri" w:eastAsia="Arial" w:hAnsi="Calibri" w:cs="Calibri"/>
        </w:rPr>
      </w:pPr>
    </w:p>
    <w:tbl>
      <w:tblPr>
        <w:tblW w:w="7625" w:type="dxa"/>
        <w:tblInd w:w="75" w:type="dxa"/>
        <w:tblLayout w:type="fixed"/>
        <w:tblLook w:val="04A0" w:firstRow="1" w:lastRow="0" w:firstColumn="1" w:lastColumn="0" w:noHBand="0" w:noVBand="1"/>
      </w:tblPr>
      <w:tblGrid>
        <w:gridCol w:w="5723"/>
        <w:gridCol w:w="952"/>
        <w:gridCol w:w="950"/>
      </w:tblGrid>
      <w:tr w:rsidR="00F1540A" w:rsidRPr="005734B8" w14:paraId="640575C9" w14:textId="77777777" w:rsidTr="000F48B1">
        <w:trPr>
          <w:trHeight w:val="255"/>
        </w:trPr>
        <w:tc>
          <w:tcPr>
            <w:tcW w:w="5723" w:type="dxa"/>
            <w:tcBorders>
              <w:top w:val="nil"/>
              <w:left w:val="single" w:sz="4" w:space="0" w:color="FFFFFF"/>
              <w:bottom w:val="nil"/>
              <w:right w:val="single" w:sz="4" w:space="0" w:color="FFFFFF"/>
            </w:tcBorders>
            <w:shd w:val="clear" w:color="000000" w:fill="AF272F"/>
            <w:vAlign w:val="bottom"/>
            <w:hideMark/>
          </w:tcPr>
          <w:p w14:paraId="74C29D56" w14:textId="77777777" w:rsidR="00F1540A" w:rsidRPr="005734B8" w:rsidRDefault="00F1540A" w:rsidP="000F48B1">
            <w:pPr>
              <w:jc w:val="right"/>
              <w:rPr>
                <w:rFonts w:ascii="Calibri" w:hAnsi="Calibri" w:cs="Calibri"/>
                <w:b/>
                <w:color w:val="FFFFFF"/>
                <w:sz w:val="18"/>
                <w:szCs w:val="18"/>
              </w:rPr>
            </w:pPr>
            <w:bookmarkStart w:id="1605" w:name="Note_ISLTABLE1" w:colFirst="0" w:colLast="0"/>
            <w:r w:rsidRPr="005734B8">
              <w:rPr>
                <w:rFonts w:ascii="Calibri" w:hAnsi="Calibri" w:cs="Calibri"/>
                <w:b/>
                <w:color w:val="FFFFFF"/>
                <w:sz w:val="18"/>
                <w:szCs w:val="18"/>
              </w:rPr>
              <w:t> </w:t>
            </w:r>
          </w:p>
        </w:tc>
        <w:tc>
          <w:tcPr>
            <w:tcW w:w="952" w:type="dxa"/>
            <w:tcBorders>
              <w:top w:val="nil"/>
              <w:left w:val="nil"/>
              <w:bottom w:val="nil"/>
              <w:right w:val="single" w:sz="4" w:space="0" w:color="FFFFFF"/>
            </w:tcBorders>
            <w:shd w:val="clear" w:color="000000" w:fill="AF272F"/>
            <w:vAlign w:val="bottom"/>
            <w:hideMark/>
          </w:tcPr>
          <w:p w14:paraId="691AD97C"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p>
        </w:tc>
        <w:tc>
          <w:tcPr>
            <w:tcW w:w="950" w:type="dxa"/>
            <w:tcBorders>
              <w:top w:val="nil"/>
              <w:left w:val="nil"/>
              <w:right w:val="single" w:sz="4" w:space="0" w:color="FFFFFF"/>
            </w:tcBorders>
            <w:shd w:val="clear" w:color="000000" w:fill="AF272F"/>
            <w:hideMark/>
          </w:tcPr>
          <w:p w14:paraId="461663F5"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p>
        </w:tc>
      </w:tr>
      <w:bookmarkEnd w:id="1605"/>
      <w:tr w:rsidR="00F1540A" w:rsidRPr="005734B8" w14:paraId="6C155E1C" w14:textId="77777777" w:rsidTr="000F48B1">
        <w:trPr>
          <w:trHeight w:val="255"/>
        </w:trPr>
        <w:tc>
          <w:tcPr>
            <w:tcW w:w="5723" w:type="dxa"/>
            <w:tcBorders>
              <w:top w:val="nil"/>
              <w:left w:val="single" w:sz="4" w:space="0" w:color="FFFFFF"/>
              <w:bottom w:val="nil"/>
              <w:right w:val="single" w:sz="4" w:space="0" w:color="FFFFFF"/>
            </w:tcBorders>
            <w:shd w:val="clear" w:color="000000" w:fill="AF272F"/>
            <w:vAlign w:val="bottom"/>
            <w:hideMark/>
          </w:tcPr>
          <w:p w14:paraId="40847A4F"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w:t>
            </w:r>
          </w:p>
        </w:tc>
        <w:tc>
          <w:tcPr>
            <w:tcW w:w="952" w:type="dxa"/>
            <w:tcBorders>
              <w:top w:val="nil"/>
              <w:left w:val="nil"/>
              <w:bottom w:val="single" w:sz="4" w:space="0" w:color="auto"/>
              <w:right w:val="single" w:sz="4" w:space="0" w:color="FFFFFF"/>
            </w:tcBorders>
            <w:shd w:val="clear" w:color="000000" w:fill="AF272F"/>
            <w:hideMark/>
          </w:tcPr>
          <w:p w14:paraId="3554FDD2"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($m)</w:t>
            </w:r>
          </w:p>
        </w:tc>
        <w:tc>
          <w:tcPr>
            <w:tcW w:w="950" w:type="dxa"/>
            <w:tcBorders>
              <w:left w:val="nil"/>
              <w:bottom w:val="single" w:sz="4" w:space="0" w:color="auto"/>
              <w:right w:val="single" w:sz="4" w:space="0" w:color="FFFFFF"/>
            </w:tcBorders>
            <w:shd w:val="clear" w:color="000000" w:fill="AF272F"/>
            <w:hideMark/>
          </w:tcPr>
          <w:p w14:paraId="189A21F4"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($m)</w:t>
            </w:r>
          </w:p>
        </w:tc>
      </w:tr>
      <w:tr w:rsidR="00F1540A" w:rsidRPr="005734B8" w14:paraId="610D87E1" w14:textId="77777777" w:rsidTr="000F48B1">
        <w:trPr>
          <w:trHeight w:val="255"/>
        </w:trPr>
        <w:tc>
          <w:tcPr>
            <w:tcW w:w="5723"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0AC85B86"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Interest expense on lease liabilities</w:t>
            </w:r>
          </w:p>
        </w:tc>
        <w:tc>
          <w:tcPr>
            <w:tcW w:w="952" w:type="dxa"/>
            <w:tcBorders>
              <w:top w:val="nil"/>
              <w:left w:val="nil"/>
              <w:bottom w:val="single" w:sz="4" w:space="0" w:color="auto"/>
              <w:right w:val="single" w:sz="4" w:space="0" w:color="FFFFFF"/>
            </w:tcBorders>
            <w:shd w:val="clear" w:color="000000" w:fill="D9D9D9"/>
            <w:noWrap/>
            <w:vAlign w:val="center"/>
            <w:hideMark/>
          </w:tcPr>
          <w:p w14:paraId="436BE73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24.9 </w:t>
            </w:r>
          </w:p>
        </w:tc>
        <w:tc>
          <w:tcPr>
            <w:tcW w:w="950" w:type="dxa"/>
            <w:tcBorders>
              <w:top w:val="nil"/>
              <w:left w:val="nil"/>
              <w:bottom w:val="single" w:sz="4" w:space="0" w:color="auto"/>
              <w:right w:val="single" w:sz="4" w:space="0" w:color="FFFFFF"/>
            </w:tcBorders>
            <w:shd w:val="clear" w:color="FFFFFF" w:fill="FFFFFF"/>
            <w:noWrap/>
            <w:vAlign w:val="center"/>
            <w:hideMark/>
          </w:tcPr>
          <w:p w14:paraId="1D910F88"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30.3 </w:t>
            </w:r>
          </w:p>
        </w:tc>
      </w:tr>
      <w:tr w:rsidR="00F1540A" w:rsidRPr="005734B8" w14:paraId="6B4C2C34" w14:textId="77777777" w:rsidTr="000F48B1">
        <w:trPr>
          <w:trHeight w:val="270"/>
        </w:trPr>
        <w:tc>
          <w:tcPr>
            <w:tcW w:w="5723" w:type="dxa"/>
            <w:tcBorders>
              <w:top w:val="nil"/>
              <w:left w:val="single" w:sz="4" w:space="0" w:color="FFFFFF"/>
              <w:bottom w:val="single" w:sz="4" w:space="0" w:color="auto"/>
              <w:right w:val="single" w:sz="4" w:space="0" w:color="FFFFFF"/>
            </w:tcBorders>
            <w:shd w:val="clear" w:color="FFFFFF" w:fill="FFFFFF"/>
            <w:vAlign w:val="center"/>
            <w:hideMark/>
          </w:tcPr>
          <w:p w14:paraId="5F22BAC6" w14:textId="19006444" w:rsidR="00F1540A" w:rsidRPr="005734B8" w:rsidRDefault="00F1540A" w:rsidP="000F48B1">
            <w:pPr>
              <w:rPr>
                <w:rFonts w:ascii="Calibri" w:hAnsi="Calibri" w:cs="Calibri"/>
                <w:sz w:val="18"/>
                <w:szCs w:val="18"/>
              </w:rPr>
            </w:pPr>
            <w:r w:rsidRPr="005734B8">
              <w:rPr>
                <w:rFonts w:ascii="Calibri" w:hAnsi="Calibri" w:cs="Calibri"/>
                <w:sz w:val="18"/>
                <w:szCs w:val="18"/>
              </w:rPr>
              <w:t>Expenses relating to short</w:t>
            </w:r>
            <w:r w:rsidR="00230F96" w:rsidRPr="005734B8">
              <w:rPr>
                <w:rFonts w:ascii="Calibri" w:hAnsi="Calibri" w:cs="Calibri"/>
                <w:sz w:val="18"/>
                <w:szCs w:val="18"/>
              </w:rPr>
              <w:noBreakHyphen/>
            </w:r>
            <w:r w:rsidRPr="005734B8">
              <w:rPr>
                <w:rFonts w:ascii="Calibri" w:hAnsi="Calibri" w:cs="Calibri"/>
                <w:sz w:val="18"/>
                <w:szCs w:val="18"/>
              </w:rPr>
              <w:t>term and low</w:t>
            </w:r>
            <w:r w:rsidR="00230F96" w:rsidRPr="005734B8">
              <w:rPr>
                <w:rFonts w:ascii="Calibri" w:hAnsi="Calibri" w:cs="Calibri"/>
                <w:sz w:val="18"/>
                <w:szCs w:val="18"/>
              </w:rPr>
              <w:noBreakHyphen/>
            </w:r>
            <w:r w:rsidRPr="005734B8">
              <w:rPr>
                <w:rFonts w:ascii="Calibri" w:hAnsi="Calibri" w:cs="Calibri"/>
                <w:sz w:val="18"/>
                <w:szCs w:val="18"/>
              </w:rPr>
              <w:t>value leases</w:t>
            </w:r>
          </w:p>
        </w:tc>
        <w:tc>
          <w:tcPr>
            <w:tcW w:w="952" w:type="dxa"/>
            <w:tcBorders>
              <w:top w:val="nil"/>
              <w:left w:val="nil"/>
              <w:bottom w:val="single" w:sz="4" w:space="0" w:color="auto"/>
              <w:right w:val="single" w:sz="4" w:space="0" w:color="FFFFFF"/>
            </w:tcBorders>
            <w:shd w:val="clear" w:color="000000" w:fill="D9D9D9"/>
            <w:noWrap/>
            <w:vAlign w:val="center"/>
            <w:hideMark/>
          </w:tcPr>
          <w:p w14:paraId="5264175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43.8 </w:t>
            </w:r>
          </w:p>
        </w:tc>
        <w:tc>
          <w:tcPr>
            <w:tcW w:w="950" w:type="dxa"/>
            <w:tcBorders>
              <w:top w:val="nil"/>
              <w:left w:val="nil"/>
              <w:bottom w:val="single" w:sz="4" w:space="0" w:color="auto"/>
              <w:right w:val="single" w:sz="4" w:space="0" w:color="FFFFFF"/>
            </w:tcBorders>
            <w:shd w:val="clear" w:color="FFFFFF" w:fill="FFFFFF"/>
            <w:noWrap/>
            <w:vAlign w:val="center"/>
            <w:hideMark/>
          </w:tcPr>
          <w:p w14:paraId="64DF730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46.3 </w:t>
            </w:r>
          </w:p>
        </w:tc>
      </w:tr>
      <w:tr w:rsidR="00F1540A" w:rsidRPr="005734B8" w14:paraId="5A52BD56" w14:textId="77777777" w:rsidTr="000F48B1">
        <w:trPr>
          <w:trHeight w:val="285"/>
        </w:trPr>
        <w:tc>
          <w:tcPr>
            <w:tcW w:w="5723"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448B93B" w14:textId="5DCB5D5B" w:rsidR="00F1540A" w:rsidRPr="005734B8" w:rsidRDefault="00F1540A" w:rsidP="000F48B1">
            <w:pPr>
              <w:rPr>
                <w:rFonts w:ascii="Calibri" w:hAnsi="Calibri" w:cs="Calibri"/>
                <w:b/>
                <w:sz w:val="18"/>
                <w:szCs w:val="18"/>
              </w:rPr>
            </w:pPr>
            <w:r w:rsidRPr="005734B8">
              <w:rPr>
                <w:rFonts w:ascii="Calibri" w:hAnsi="Calibri" w:cs="Calibri"/>
                <w:b/>
                <w:sz w:val="18"/>
                <w:szCs w:val="18"/>
              </w:rPr>
              <w:t xml:space="preserve">Total amount recognised in the comprehensive </w:t>
            </w:r>
            <w:r w:rsidR="00230F96" w:rsidRPr="005734B8">
              <w:rPr>
                <w:rFonts w:ascii="Calibri" w:hAnsi="Calibri" w:cs="Calibri"/>
                <w:b/>
                <w:sz w:val="18"/>
                <w:szCs w:val="18"/>
              </w:rPr>
              <w:t>operating</w:t>
            </w:r>
            <w:r w:rsidRPr="005734B8">
              <w:rPr>
                <w:rFonts w:ascii="Calibri" w:hAnsi="Calibri" w:cs="Calibri"/>
                <w:b/>
                <w:sz w:val="18"/>
                <w:szCs w:val="18"/>
              </w:rPr>
              <w:t xml:space="preserve"> statement</w:t>
            </w:r>
          </w:p>
        </w:tc>
        <w:tc>
          <w:tcPr>
            <w:tcW w:w="95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4F6ED77"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68.7 </w:t>
            </w:r>
          </w:p>
        </w:tc>
        <w:tc>
          <w:tcPr>
            <w:tcW w:w="950" w:type="dxa"/>
            <w:tcBorders>
              <w:top w:val="single" w:sz="12" w:space="0" w:color="auto"/>
              <w:left w:val="nil"/>
              <w:bottom w:val="single" w:sz="12" w:space="0" w:color="auto"/>
              <w:right w:val="nil"/>
            </w:tcBorders>
            <w:shd w:val="clear" w:color="FFFFFF" w:fill="FFFFFF"/>
            <w:noWrap/>
            <w:vAlign w:val="center"/>
            <w:hideMark/>
          </w:tcPr>
          <w:p w14:paraId="2000D0B0"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76.6 </w:t>
            </w:r>
          </w:p>
        </w:tc>
      </w:tr>
    </w:tbl>
    <w:p w14:paraId="4C9D3B45" w14:textId="4BC7EAD2" w:rsidR="00F1540A" w:rsidRPr="005734B8" w:rsidRDefault="00F1540A" w:rsidP="00F1540A">
      <w:pPr>
        <w:spacing w:before="240" w:after="120" w:line="240" w:lineRule="atLeast"/>
        <w:outlineLvl w:val="2"/>
        <w:rPr>
          <w:rFonts w:ascii="Calibri" w:hAnsi="Calibri" w:cs="Calibri"/>
          <w:b/>
          <w:color w:val="53565A"/>
          <w:szCs w:val="18"/>
          <w:lang w:val="en-US"/>
        </w:rPr>
      </w:pPr>
      <w:r w:rsidRPr="005734B8">
        <w:rPr>
          <w:rFonts w:ascii="Calibri" w:hAnsi="Calibri" w:cs="Calibri"/>
          <w:b/>
          <w:color w:val="53565A"/>
          <w:szCs w:val="18"/>
          <w:lang w:val="en-US"/>
        </w:rPr>
        <w:t xml:space="preserve">7.2.1 </w:t>
      </w:r>
      <w:r w:rsidR="00B40FB0" w:rsidRPr="005734B8">
        <w:rPr>
          <w:rFonts w:ascii="Calibri" w:hAnsi="Calibri" w:cs="Calibri"/>
          <w:b/>
          <w:color w:val="53565A"/>
          <w:szCs w:val="18"/>
          <w:lang w:val="en-US"/>
        </w:rPr>
        <w:t>(c)</w:t>
      </w:r>
      <w:r w:rsidRPr="005734B8">
        <w:rPr>
          <w:rFonts w:ascii="Calibri" w:hAnsi="Calibri" w:cs="Calibri"/>
          <w:b/>
          <w:color w:val="53565A"/>
          <w:szCs w:val="18"/>
          <w:lang w:val="en-US"/>
        </w:rPr>
        <w:t xml:space="preserve"> Amounts </w:t>
      </w:r>
      <w:r w:rsidR="00B748F9" w:rsidRPr="005734B8">
        <w:rPr>
          <w:rFonts w:ascii="Calibri" w:hAnsi="Calibri" w:cs="Calibri"/>
          <w:b/>
          <w:color w:val="53565A"/>
          <w:szCs w:val="18"/>
          <w:lang w:val="en-US"/>
        </w:rPr>
        <w:t>r</w:t>
      </w:r>
      <w:r w:rsidR="00B15F9A" w:rsidRPr="005734B8">
        <w:rPr>
          <w:rFonts w:ascii="Calibri" w:hAnsi="Calibri" w:cs="Calibri"/>
          <w:b/>
          <w:color w:val="53565A"/>
          <w:szCs w:val="18"/>
          <w:lang w:val="en-US"/>
        </w:rPr>
        <w:t>ecogni</w:t>
      </w:r>
      <w:r w:rsidR="00B748F9" w:rsidRPr="005734B8">
        <w:rPr>
          <w:rFonts w:ascii="Calibri" w:hAnsi="Calibri" w:cs="Calibri"/>
          <w:b/>
          <w:color w:val="53565A"/>
          <w:szCs w:val="18"/>
          <w:lang w:val="en-US"/>
        </w:rPr>
        <w:t>s</w:t>
      </w:r>
      <w:r w:rsidR="00B15F9A" w:rsidRPr="005734B8">
        <w:rPr>
          <w:rFonts w:ascii="Calibri" w:hAnsi="Calibri" w:cs="Calibri"/>
          <w:b/>
          <w:color w:val="53565A"/>
          <w:szCs w:val="18"/>
          <w:lang w:val="en-US"/>
        </w:rPr>
        <w:t>ed</w:t>
      </w:r>
      <w:r w:rsidRPr="005734B8">
        <w:rPr>
          <w:rFonts w:ascii="Calibri" w:hAnsi="Calibri" w:cs="Calibri"/>
          <w:b/>
          <w:color w:val="53565A"/>
          <w:szCs w:val="18"/>
          <w:lang w:val="en-US"/>
        </w:rPr>
        <w:t xml:space="preserve"> in the </w:t>
      </w:r>
      <w:r w:rsidR="00230F96" w:rsidRPr="005734B8">
        <w:rPr>
          <w:rFonts w:ascii="Calibri" w:hAnsi="Calibri" w:cs="Calibri"/>
          <w:b/>
          <w:color w:val="53565A"/>
          <w:szCs w:val="18"/>
          <w:lang w:val="en-US"/>
        </w:rPr>
        <w:t>c</w:t>
      </w:r>
      <w:r w:rsidRPr="005734B8">
        <w:rPr>
          <w:rFonts w:ascii="Calibri" w:hAnsi="Calibri" w:cs="Calibri"/>
          <w:b/>
          <w:color w:val="53565A"/>
          <w:szCs w:val="18"/>
          <w:lang w:val="en-US"/>
        </w:rPr>
        <w:t xml:space="preserve">ash </w:t>
      </w:r>
      <w:r w:rsidR="00230F96" w:rsidRPr="005734B8">
        <w:rPr>
          <w:rFonts w:ascii="Calibri" w:hAnsi="Calibri" w:cs="Calibri"/>
          <w:b/>
          <w:color w:val="53565A"/>
          <w:szCs w:val="18"/>
          <w:lang w:val="en-US"/>
        </w:rPr>
        <w:t>f</w:t>
      </w:r>
      <w:r w:rsidRPr="005734B8">
        <w:rPr>
          <w:rFonts w:ascii="Calibri" w:hAnsi="Calibri" w:cs="Calibri"/>
          <w:b/>
          <w:color w:val="53565A"/>
          <w:szCs w:val="18"/>
          <w:lang w:val="en-US"/>
        </w:rPr>
        <w:t xml:space="preserve">low </w:t>
      </w:r>
      <w:r w:rsidR="00230F96" w:rsidRPr="005734B8">
        <w:rPr>
          <w:rFonts w:ascii="Calibri" w:hAnsi="Calibri" w:cs="Calibri"/>
          <w:b/>
          <w:color w:val="53565A"/>
          <w:szCs w:val="18"/>
          <w:lang w:val="en-US"/>
        </w:rPr>
        <w:t>s</w:t>
      </w:r>
      <w:r w:rsidRPr="005734B8">
        <w:rPr>
          <w:rFonts w:ascii="Calibri" w:hAnsi="Calibri" w:cs="Calibri"/>
          <w:b/>
          <w:color w:val="53565A"/>
          <w:szCs w:val="18"/>
          <w:lang w:val="en-US"/>
        </w:rPr>
        <w:t>tatement</w:t>
      </w:r>
    </w:p>
    <w:p w14:paraId="46F7A2D4" w14:textId="0C4FD5C6" w:rsidR="00F1540A" w:rsidRPr="005734B8" w:rsidRDefault="00F1540A" w:rsidP="00F1540A">
      <w:pPr>
        <w:autoSpaceDE w:val="0"/>
        <w:autoSpaceDN w:val="0"/>
        <w:adjustRightInd w:val="0"/>
        <w:rPr>
          <w:rFonts w:ascii="Calibri" w:eastAsia="Arial" w:hAnsi="Calibri" w:cs="Calibri"/>
        </w:rPr>
      </w:pPr>
      <w:r w:rsidRPr="005734B8">
        <w:rPr>
          <w:rFonts w:ascii="Calibri" w:eastAsia="Arial" w:hAnsi="Calibri" w:cs="Calibri"/>
        </w:rPr>
        <w:t xml:space="preserve">The following amounts </w:t>
      </w:r>
      <w:r w:rsidR="00230F96" w:rsidRPr="005734B8">
        <w:rPr>
          <w:rFonts w:ascii="Calibri" w:eastAsia="Arial" w:hAnsi="Calibri" w:cs="Calibri"/>
        </w:rPr>
        <w:t>relating to leases</w:t>
      </w:r>
      <w:r w:rsidRPr="005734B8">
        <w:rPr>
          <w:rFonts w:ascii="Calibri" w:eastAsia="Arial" w:hAnsi="Calibri" w:cs="Calibri"/>
        </w:rPr>
        <w:t xml:space="preserve"> are recognised in the of </w:t>
      </w:r>
      <w:r w:rsidR="00230F96" w:rsidRPr="005734B8">
        <w:rPr>
          <w:rFonts w:ascii="Calibri" w:eastAsia="Arial" w:hAnsi="Calibri" w:cs="Calibri"/>
        </w:rPr>
        <w:t>c</w:t>
      </w:r>
      <w:r w:rsidRPr="005734B8">
        <w:rPr>
          <w:rFonts w:ascii="Calibri" w:eastAsia="Arial" w:hAnsi="Calibri" w:cs="Calibri"/>
        </w:rPr>
        <w:t xml:space="preserve">ash </w:t>
      </w:r>
      <w:r w:rsidR="00230F96" w:rsidRPr="005734B8">
        <w:rPr>
          <w:rFonts w:ascii="Calibri" w:eastAsia="Arial" w:hAnsi="Calibri" w:cs="Calibri"/>
        </w:rPr>
        <w:t>f</w:t>
      </w:r>
      <w:r w:rsidRPr="005734B8">
        <w:rPr>
          <w:rFonts w:ascii="Calibri" w:eastAsia="Arial" w:hAnsi="Calibri" w:cs="Calibri"/>
        </w:rPr>
        <w:t xml:space="preserve">low </w:t>
      </w:r>
      <w:r w:rsidR="00230F96" w:rsidRPr="005734B8">
        <w:rPr>
          <w:rFonts w:ascii="Calibri" w:eastAsia="Arial" w:hAnsi="Calibri" w:cs="Calibri"/>
        </w:rPr>
        <w:t>s</w:t>
      </w:r>
      <w:r w:rsidRPr="005734B8">
        <w:rPr>
          <w:rFonts w:ascii="Calibri" w:eastAsia="Arial" w:hAnsi="Calibri" w:cs="Calibri"/>
        </w:rPr>
        <w:t xml:space="preserve">tatement for the year ending </w:t>
      </w:r>
      <w:r w:rsidRPr="005734B8">
        <w:rPr>
          <w:rFonts w:ascii="Calibri" w:eastAsia="Arial" w:hAnsi="Calibri" w:cs="Calibri"/>
        </w:rPr>
        <w:fldChar w:fldCharType="begin"/>
      </w:r>
      <w:r w:rsidRPr="005734B8">
        <w:rPr>
          <w:rFonts w:ascii="Calibri" w:eastAsia="Arial" w:hAnsi="Calibri" w:cs="Calibri"/>
        </w:rPr>
        <w:instrText xml:space="preserve"> DOCPROPERTY  pEnd  \* MERGEFORMAT </w:instrText>
      </w:r>
      <w:r w:rsidRPr="005734B8">
        <w:rPr>
          <w:rFonts w:ascii="Calibri" w:eastAsia="Arial" w:hAnsi="Calibri" w:cs="Calibri"/>
        </w:rPr>
        <w:fldChar w:fldCharType="separate"/>
      </w:r>
      <w:r w:rsidRPr="005734B8">
        <w:rPr>
          <w:rFonts w:ascii="Calibri" w:eastAsia="Arial" w:hAnsi="Calibri" w:cs="Calibri"/>
        </w:rPr>
        <w:t>30 June</w:t>
      </w:r>
      <w:r w:rsidRPr="005734B8">
        <w:rPr>
          <w:rFonts w:ascii="Calibri" w:eastAsia="Arial" w:hAnsi="Calibri" w:cs="Calibri"/>
        </w:rPr>
        <w:fldChar w:fldCharType="end"/>
      </w:r>
      <w:r w:rsidRPr="005734B8">
        <w:rPr>
          <w:rFonts w:ascii="Calibri" w:eastAsia="Arial" w:hAnsi="Calibri" w:cs="Calibri"/>
        </w:rPr>
        <w:t xml:space="preserve"> </w:t>
      </w:r>
      <w:r w:rsidRPr="005734B8">
        <w:rPr>
          <w:rFonts w:ascii="Calibri" w:eastAsia="Arial" w:hAnsi="Calibri" w:cs="Calibri"/>
        </w:rPr>
        <w:fldChar w:fldCharType="begin"/>
      </w:r>
      <w:r w:rsidRPr="005734B8">
        <w:rPr>
          <w:rFonts w:ascii="Calibri" w:eastAsia="Arial" w:hAnsi="Calibri" w:cs="Calibri"/>
        </w:rPr>
        <w:instrText xml:space="preserve"> DOCPROPERTY  crYear  \* MERGEFORMAT </w:instrText>
      </w:r>
      <w:r w:rsidRPr="005734B8">
        <w:rPr>
          <w:rFonts w:ascii="Calibri" w:eastAsia="Arial" w:hAnsi="Calibri" w:cs="Calibri"/>
        </w:rPr>
        <w:fldChar w:fldCharType="separate"/>
      </w:r>
      <w:r w:rsidRPr="005734B8">
        <w:rPr>
          <w:rFonts w:ascii="Calibri" w:eastAsia="Arial" w:hAnsi="Calibri" w:cs="Calibri"/>
        </w:rPr>
        <w:t>2021</w:t>
      </w:r>
      <w:r w:rsidRPr="005734B8">
        <w:rPr>
          <w:rFonts w:ascii="Calibri" w:eastAsia="Arial" w:hAnsi="Calibri" w:cs="Calibri"/>
        </w:rPr>
        <w:fldChar w:fldCharType="end"/>
      </w:r>
      <w:r w:rsidRPr="005734B8">
        <w:rPr>
          <w:rFonts w:ascii="Calibri" w:hAnsi="Calibri" w:cs="Calibri"/>
        </w:rPr>
        <w:t>.</w:t>
      </w:r>
    </w:p>
    <w:p w14:paraId="252E73E9" w14:textId="77777777" w:rsidR="00F1540A" w:rsidRPr="005734B8" w:rsidRDefault="00F1540A" w:rsidP="00F1540A">
      <w:pPr>
        <w:autoSpaceDE w:val="0"/>
        <w:autoSpaceDN w:val="0"/>
        <w:adjustRightInd w:val="0"/>
        <w:rPr>
          <w:rFonts w:ascii="Calibri" w:eastAsia="Arial" w:hAnsi="Calibri" w:cs="Calibri"/>
        </w:rPr>
      </w:pPr>
    </w:p>
    <w:tbl>
      <w:tblPr>
        <w:tblW w:w="7625" w:type="dxa"/>
        <w:tblInd w:w="75" w:type="dxa"/>
        <w:tblLayout w:type="fixed"/>
        <w:tblLook w:val="04A0" w:firstRow="1" w:lastRow="0" w:firstColumn="1" w:lastColumn="0" w:noHBand="0" w:noVBand="1"/>
      </w:tblPr>
      <w:tblGrid>
        <w:gridCol w:w="5723"/>
        <w:gridCol w:w="952"/>
        <w:gridCol w:w="950"/>
      </w:tblGrid>
      <w:tr w:rsidR="00F1540A" w:rsidRPr="005734B8" w14:paraId="094DA725" w14:textId="77777777" w:rsidTr="000F48B1">
        <w:trPr>
          <w:trHeight w:val="255"/>
        </w:trPr>
        <w:tc>
          <w:tcPr>
            <w:tcW w:w="5723" w:type="dxa"/>
            <w:tcBorders>
              <w:top w:val="nil"/>
              <w:left w:val="single" w:sz="4" w:space="0" w:color="FFFFFF"/>
              <w:bottom w:val="nil"/>
              <w:right w:val="single" w:sz="4" w:space="0" w:color="FFFFFF"/>
            </w:tcBorders>
            <w:shd w:val="clear" w:color="000000" w:fill="AF272F"/>
            <w:vAlign w:val="bottom"/>
            <w:hideMark/>
          </w:tcPr>
          <w:p w14:paraId="022183C5" w14:textId="77777777" w:rsidR="00F1540A" w:rsidRPr="005734B8" w:rsidRDefault="00F1540A" w:rsidP="000F48B1">
            <w:pPr>
              <w:jc w:val="right"/>
              <w:rPr>
                <w:rFonts w:ascii="Calibri" w:hAnsi="Calibri" w:cs="Calibri"/>
                <w:b/>
                <w:color w:val="FFFFFF"/>
                <w:sz w:val="18"/>
                <w:szCs w:val="18"/>
              </w:rPr>
            </w:pPr>
            <w:bookmarkStart w:id="1606" w:name="Note_ISCTABLE1" w:colFirst="0" w:colLast="0"/>
            <w:r w:rsidRPr="005734B8">
              <w:rPr>
                <w:rFonts w:ascii="Calibri" w:hAnsi="Calibri" w:cs="Calibri"/>
                <w:b/>
                <w:color w:val="FFFFFF"/>
                <w:sz w:val="18"/>
                <w:szCs w:val="18"/>
              </w:rPr>
              <w:t> </w:t>
            </w:r>
          </w:p>
        </w:tc>
        <w:tc>
          <w:tcPr>
            <w:tcW w:w="952" w:type="dxa"/>
            <w:tcBorders>
              <w:top w:val="nil"/>
              <w:left w:val="nil"/>
              <w:bottom w:val="nil"/>
              <w:right w:val="nil"/>
            </w:tcBorders>
            <w:shd w:val="clear" w:color="000000" w:fill="AF272F"/>
            <w:vAlign w:val="bottom"/>
            <w:hideMark/>
          </w:tcPr>
          <w:p w14:paraId="5AC8D30A"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p>
        </w:tc>
        <w:tc>
          <w:tcPr>
            <w:tcW w:w="950" w:type="dxa"/>
            <w:tcBorders>
              <w:top w:val="nil"/>
              <w:left w:val="single" w:sz="4" w:space="0" w:color="FFFFFF"/>
              <w:bottom w:val="nil"/>
              <w:right w:val="nil"/>
            </w:tcBorders>
            <w:shd w:val="clear" w:color="000000" w:fill="AF272F"/>
            <w:vAlign w:val="bottom"/>
            <w:hideMark/>
          </w:tcPr>
          <w:p w14:paraId="6555027F"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p>
        </w:tc>
      </w:tr>
      <w:bookmarkEnd w:id="1606"/>
      <w:tr w:rsidR="00F1540A" w:rsidRPr="005734B8" w14:paraId="3A4FACC9" w14:textId="77777777" w:rsidTr="000F48B1">
        <w:trPr>
          <w:trHeight w:val="255"/>
        </w:trPr>
        <w:tc>
          <w:tcPr>
            <w:tcW w:w="5723" w:type="dxa"/>
            <w:tcBorders>
              <w:top w:val="nil"/>
              <w:left w:val="single" w:sz="4" w:space="0" w:color="FFFFFF"/>
              <w:bottom w:val="nil"/>
              <w:right w:val="single" w:sz="4" w:space="0" w:color="FFFFFF"/>
            </w:tcBorders>
            <w:shd w:val="clear" w:color="000000" w:fill="AF272F"/>
            <w:vAlign w:val="bottom"/>
            <w:hideMark/>
          </w:tcPr>
          <w:p w14:paraId="0311E43A"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w:t>
            </w:r>
          </w:p>
        </w:tc>
        <w:tc>
          <w:tcPr>
            <w:tcW w:w="952" w:type="dxa"/>
            <w:tcBorders>
              <w:top w:val="nil"/>
              <w:left w:val="nil"/>
              <w:bottom w:val="single" w:sz="4" w:space="0" w:color="auto"/>
              <w:right w:val="single" w:sz="4" w:space="0" w:color="FFFFFF"/>
            </w:tcBorders>
            <w:shd w:val="clear" w:color="000000" w:fill="AF272F"/>
            <w:hideMark/>
          </w:tcPr>
          <w:p w14:paraId="606D37DF"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($m)</w:t>
            </w:r>
          </w:p>
        </w:tc>
        <w:tc>
          <w:tcPr>
            <w:tcW w:w="950" w:type="dxa"/>
            <w:tcBorders>
              <w:top w:val="nil"/>
              <w:left w:val="nil"/>
              <w:bottom w:val="single" w:sz="4" w:space="0" w:color="auto"/>
              <w:right w:val="single" w:sz="4" w:space="0" w:color="FFFFFF"/>
            </w:tcBorders>
            <w:shd w:val="clear" w:color="000000" w:fill="AF272F"/>
            <w:hideMark/>
          </w:tcPr>
          <w:p w14:paraId="590545B2"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($m)</w:t>
            </w:r>
          </w:p>
        </w:tc>
      </w:tr>
      <w:tr w:rsidR="00F1540A" w:rsidRPr="005734B8" w14:paraId="6452D2CF" w14:textId="77777777" w:rsidTr="000F48B1">
        <w:trPr>
          <w:trHeight w:val="255"/>
        </w:trPr>
        <w:tc>
          <w:tcPr>
            <w:tcW w:w="5723" w:type="dxa"/>
            <w:tcBorders>
              <w:top w:val="single" w:sz="4" w:space="0" w:color="auto"/>
              <w:left w:val="single" w:sz="4" w:space="0" w:color="FFFFFF"/>
              <w:bottom w:val="single" w:sz="4" w:space="0" w:color="auto"/>
              <w:right w:val="single" w:sz="4" w:space="0" w:color="FFFFFF"/>
            </w:tcBorders>
            <w:shd w:val="clear" w:color="FFFFFF" w:fill="FFFFFF"/>
            <w:noWrap/>
            <w:vAlign w:val="bottom"/>
            <w:hideMark/>
          </w:tcPr>
          <w:p w14:paraId="1DA45CCF"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Total cash outflow for leases</w:t>
            </w:r>
          </w:p>
        </w:tc>
        <w:tc>
          <w:tcPr>
            <w:tcW w:w="952" w:type="dxa"/>
            <w:tcBorders>
              <w:top w:val="nil"/>
              <w:left w:val="nil"/>
              <w:bottom w:val="single" w:sz="4" w:space="0" w:color="auto"/>
              <w:right w:val="single" w:sz="4" w:space="0" w:color="FFFFFF"/>
            </w:tcBorders>
            <w:shd w:val="clear" w:color="000000" w:fill="D9D9D9"/>
            <w:noWrap/>
            <w:vAlign w:val="center"/>
            <w:hideMark/>
          </w:tcPr>
          <w:p w14:paraId="4589371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(94.1) </w:t>
            </w:r>
          </w:p>
        </w:tc>
        <w:tc>
          <w:tcPr>
            <w:tcW w:w="950" w:type="dxa"/>
            <w:tcBorders>
              <w:top w:val="nil"/>
              <w:left w:val="nil"/>
              <w:bottom w:val="single" w:sz="4" w:space="0" w:color="auto"/>
              <w:right w:val="single" w:sz="4" w:space="0" w:color="FFFFFF"/>
            </w:tcBorders>
            <w:shd w:val="clear" w:color="FFFFFF" w:fill="FFFFFF"/>
            <w:noWrap/>
            <w:vAlign w:val="center"/>
            <w:hideMark/>
          </w:tcPr>
          <w:p w14:paraId="3C13F2B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(104.2) </w:t>
            </w:r>
          </w:p>
        </w:tc>
      </w:tr>
    </w:tbl>
    <w:p w14:paraId="586E2CDC" w14:textId="77777777" w:rsidR="00F1540A" w:rsidRPr="005734B8" w:rsidRDefault="00F1540A" w:rsidP="00F1540A">
      <w:pPr>
        <w:autoSpaceDE w:val="0"/>
        <w:autoSpaceDN w:val="0"/>
        <w:adjustRightInd w:val="0"/>
        <w:rPr>
          <w:rFonts w:ascii="Calibri" w:eastAsia="Arial" w:hAnsi="Calibri" w:cs="Calibri"/>
        </w:rPr>
      </w:pPr>
    </w:p>
    <w:p w14:paraId="15BBCFB6" w14:textId="5DC94A3E" w:rsidR="00F1540A" w:rsidRPr="005734B8" w:rsidRDefault="00F1540A" w:rsidP="00F1540A">
      <w:pPr>
        <w:rPr>
          <w:rFonts w:ascii="Calibri" w:hAnsi="Calibri" w:cs="Calibri"/>
          <w:szCs w:val="22"/>
        </w:rPr>
      </w:pPr>
      <w:bookmarkStart w:id="1607" w:name="_Hlk69464291"/>
      <w:bookmarkStart w:id="1608" w:name="_Hlk69722764"/>
      <w:r w:rsidRPr="005734B8">
        <w:rPr>
          <w:rFonts w:ascii="Calibri" w:hAnsi="Calibri" w:cs="Calibri"/>
          <w:szCs w:val="22"/>
        </w:rPr>
        <w:t>For any new contracts entered into, the Department considers whether a contract is, or contains</w:t>
      </w:r>
      <w:r w:rsidR="00230F96" w:rsidRPr="005734B8">
        <w:rPr>
          <w:rFonts w:ascii="Calibri" w:hAnsi="Calibri" w:cs="Calibri"/>
          <w:szCs w:val="22"/>
        </w:rPr>
        <w:t>,</w:t>
      </w:r>
      <w:r w:rsidRPr="005734B8">
        <w:rPr>
          <w:rFonts w:ascii="Calibri" w:hAnsi="Calibri" w:cs="Calibri"/>
          <w:szCs w:val="22"/>
        </w:rPr>
        <w:t xml:space="preserve"> a lease. A lease is defined as ‘a contract, or part of a contract, that conveys the right to use an asset (the underlying asset) for a period of time in exchange for consideration’. To apply this definition the Department assesses whether the contract meets three key evaluations of whether:</w:t>
      </w:r>
    </w:p>
    <w:p w14:paraId="611C4026" w14:textId="7A98BC92" w:rsidR="00F1540A" w:rsidRPr="005734B8" w:rsidRDefault="00F1540A" w:rsidP="005A1FAF">
      <w:pPr>
        <w:pStyle w:val="ESbullet1"/>
        <w:numPr>
          <w:ilvl w:val="0"/>
          <w:numId w:val="40"/>
        </w:numPr>
        <w:spacing w:after="0"/>
        <w:rPr>
          <w:rFonts w:ascii="Calibri" w:hAnsi="Calibri" w:cs="Calibri"/>
        </w:rPr>
      </w:pPr>
      <w:r w:rsidRPr="005734B8">
        <w:rPr>
          <w:rFonts w:ascii="Calibri" w:hAnsi="Calibri" w:cs="Calibri"/>
        </w:rPr>
        <w:t>the contract contains an identified asset, which is either explicitly identified in the contract or implicitly specified by being identified at the time the asset is made available to the Department and for which the supplier does not have substantive substitution rights</w:t>
      </w:r>
    </w:p>
    <w:p w14:paraId="13D5D324" w14:textId="0E3212BB" w:rsidR="00F1540A" w:rsidRPr="005734B8" w:rsidRDefault="00F1540A" w:rsidP="005A1FAF">
      <w:pPr>
        <w:pStyle w:val="ESbullet1"/>
        <w:numPr>
          <w:ilvl w:val="0"/>
          <w:numId w:val="40"/>
        </w:numPr>
        <w:spacing w:after="0"/>
        <w:rPr>
          <w:rFonts w:ascii="Calibri" w:hAnsi="Calibri" w:cs="Calibri"/>
        </w:rPr>
      </w:pPr>
      <w:r w:rsidRPr="005734B8">
        <w:rPr>
          <w:rFonts w:ascii="Calibri" w:hAnsi="Calibri" w:cs="Calibri"/>
        </w:rPr>
        <w:t>the Department has the right to obtain substantially all of the economic benefits from use of the identified asset throughout the period of use, considering its rights within the defined scope of the contract</w:t>
      </w:r>
      <w:r w:rsidR="00230F96" w:rsidRPr="005734B8">
        <w:rPr>
          <w:rFonts w:ascii="Calibri" w:hAnsi="Calibri" w:cs="Calibri"/>
        </w:rPr>
        <w:t>,</w:t>
      </w:r>
      <w:r w:rsidRPr="005734B8">
        <w:rPr>
          <w:rFonts w:ascii="Calibri" w:hAnsi="Calibri" w:cs="Calibri"/>
        </w:rPr>
        <w:t xml:space="preserve"> and the department has the right to direct the use of the identified asset throughout the period of use</w:t>
      </w:r>
    </w:p>
    <w:p w14:paraId="0D11BDAF" w14:textId="77777777" w:rsidR="00F1540A" w:rsidRPr="005734B8" w:rsidRDefault="00F1540A" w:rsidP="005A1FAF">
      <w:pPr>
        <w:pStyle w:val="ESbullet1"/>
        <w:numPr>
          <w:ilvl w:val="0"/>
          <w:numId w:val="40"/>
        </w:numPr>
        <w:spacing w:after="0"/>
        <w:rPr>
          <w:rFonts w:ascii="Calibri" w:hAnsi="Calibri" w:cs="Calibri"/>
        </w:rPr>
      </w:pPr>
      <w:r w:rsidRPr="005734B8">
        <w:rPr>
          <w:rFonts w:ascii="Calibri" w:hAnsi="Calibri" w:cs="Calibri"/>
        </w:rPr>
        <w:t>the Department has the right to take decisions in respect of ‘how and for what purpose’ the asset is used throughout the period of use.</w:t>
      </w:r>
    </w:p>
    <w:p w14:paraId="19AC02E5" w14:textId="77777777" w:rsidR="000F6516" w:rsidRPr="005734B8" w:rsidRDefault="000F6516" w:rsidP="00F1540A">
      <w:pPr>
        <w:rPr>
          <w:rFonts w:ascii="Calibri" w:hAnsi="Calibri" w:cs="Calibri"/>
          <w:szCs w:val="22"/>
        </w:rPr>
      </w:pPr>
    </w:p>
    <w:p w14:paraId="7CA69F7D" w14:textId="58DC6217" w:rsidR="00F1540A" w:rsidRPr="005734B8" w:rsidRDefault="00F1540A" w:rsidP="00F1540A">
      <w:pPr>
        <w:rPr>
          <w:rFonts w:ascii="Calibri" w:hAnsi="Calibri" w:cs="Calibri"/>
          <w:szCs w:val="22"/>
        </w:rPr>
      </w:pPr>
      <w:r w:rsidRPr="005734B8">
        <w:rPr>
          <w:rFonts w:ascii="Calibri" w:hAnsi="Calibri" w:cs="Calibri"/>
          <w:szCs w:val="22"/>
        </w:rPr>
        <w:t>This policy is applied to contracts entered into, or changed, on or after 1 July 2019.</w:t>
      </w:r>
    </w:p>
    <w:bookmarkEnd w:id="1607"/>
    <w:bookmarkEnd w:id="1608"/>
    <w:p w14:paraId="1F41721A" w14:textId="77777777" w:rsidR="00F1540A" w:rsidRPr="005734B8" w:rsidRDefault="00F1540A" w:rsidP="00F1540A">
      <w:pPr>
        <w:autoSpaceDE w:val="0"/>
        <w:autoSpaceDN w:val="0"/>
        <w:adjustRightInd w:val="0"/>
        <w:rPr>
          <w:rFonts w:ascii="Calibri" w:eastAsia="Arial" w:hAnsi="Calibri" w:cs="Calibri"/>
        </w:rPr>
      </w:pPr>
    </w:p>
    <w:p w14:paraId="2CC3144E" w14:textId="647A69AA" w:rsidR="00F1540A" w:rsidRPr="005734B8" w:rsidRDefault="00F1540A" w:rsidP="00F1540A">
      <w:pPr>
        <w:autoSpaceDE w:val="0"/>
        <w:autoSpaceDN w:val="0"/>
        <w:adjustRightInd w:val="0"/>
        <w:rPr>
          <w:rFonts w:ascii="Calibri" w:eastAsia="Arial" w:hAnsi="Calibri" w:cs="Calibri"/>
        </w:rPr>
      </w:pPr>
      <w:bookmarkStart w:id="1609" w:name="_Hlk48752434"/>
      <w:r w:rsidRPr="005734B8">
        <w:rPr>
          <w:rFonts w:ascii="Calibri" w:eastAsia="Arial" w:hAnsi="Calibri" w:cs="Calibri"/>
        </w:rPr>
        <w:lastRenderedPageBreak/>
        <w:t xml:space="preserve">In October 2019, the Department agreed to centralised accommodation management services with the </w:t>
      </w:r>
      <w:r w:rsidR="00F953A0" w:rsidRPr="005734B8">
        <w:rPr>
          <w:rFonts w:ascii="Calibri" w:eastAsia="Arial" w:hAnsi="Calibri" w:cs="Calibri"/>
        </w:rPr>
        <w:t>DTF</w:t>
      </w:r>
      <w:r w:rsidRPr="005734B8">
        <w:rPr>
          <w:rFonts w:ascii="Calibri" w:eastAsia="Arial" w:hAnsi="Calibri" w:cs="Calibri"/>
        </w:rPr>
        <w:t xml:space="preserve"> Shared Service Provider (SSP). Following this agreement, the right-of-use asset and lease liability recognised for the accommodation leases at that date were de-recognised and transferred to SSP as a transfer through equity, in accordance with the requirements of FRD 119A Transfers through contributed capital. From November 2019, accommodation has been recognised as an expense (Note 3.1.4 Other operating expenses) and the commitment for the service payments recognised in Note 7.5 Commitments for expenditure.</w:t>
      </w:r>
    </w:p>
    <w:bookmarkEnd w:id="1609"/>
    <w:p w14:paraId="52EECB67" w14:textId="77777777" w:rsidR="00F1540A" w:rsidRPr="005734B8" w:rsidRDefault="00F1540A" w:rsidP="00F1540A">
      <w:pPr>
        <w:autoSpaceDE w:val="0"/>
        <w:autoSpaceDN w:val="0"/>
        <w:adjustRightInd w:val="0"/>
        <w:rPr>
          <w:rFonts w:ascii="Calibri" w:eastAsia="Arial" w:hAnsi="Calibri" w:cs="Calibri"/>
        </w:rPr>
      </w:pPr>
    </w:p>
    <w:p w14:paraId="05F15941" w14:textId="0A3A3633" w:rsidR="00F1540A" w:rsidRPr="005734B8" w:rsidRDefault="00F1540A" w:rsidP="00F1540A">
      <w:pPr>
        <w:autoSpaceDE w:val="0"/>
        <w:autoSpaceDN w:val="0"/>
        <w:adjustRightInd w:val="0"/>
        <w:rPr>
          <w:rFonts w:ascii="Calibri" w:eastAsiaTheme="minorEastAsia" w:hAnsi="Calibri" w:cs="Calibri"/>
          <w:color w:val="53565A"/>
          <w:szCs w:val="18"/>
          <w:lang w:val="en-US"/>
        </w:rPr>
      </w:pPr>
      <w:r w:rsidRPr="005734B8">
        <w:rPr>
          <w:rFonts w:ascii="Calibri" w:eastAsiaTheme="minorEastAsia" w:hAnsi="Calibri" w:cs="Calibri"/>
          <w:color w:val="53565A"/>
          <w:szCs w:val="18"/>
          <w:lang w:val="en-US"/>
        </w:rPr>
        <w:t>Separation of lease and non-lease components</w:t>
      </w:r>
    </w:p>
    <w:p w14:paraId="16F9D2FB" w14:textId="20436B09" w:rsidR="00F1540A" w:rsidRPr="005734B8" w:rsidRDefault="00F1540A" w:rsidP="00F1540A">
      <w:pPr>
        <w:autoSpaceDE w:val="0"/>
        <w:autoSpaceDN w:val="0"/>
        <w:adjustRightInd w:val="0"/>
        <w:rPr>
          <w:rFonts w:ascii="Calibri" w:eastAsia="Arial" w:hAnsi="Calibri" w:cs="Calibri"/>
        </w:rPr>
      </w:pPr>
      <w:r w:rsidRPr="005734B8">
        <w:rPr>
          <w:rFonts w:ascii="Calibri" w:eastAsia="Arial" w:hAnsi="Calibri" w:cs="Calibri"/>
        </w:rPr>
        <w:t xml:space="preserve">At inception or on reassessment of a contract that contains a lease component, the </w:t>
      </w:r>
      <w:r w:rsidR="00767291" w:rsidRPr="005734B8">
        <w:rPr>
          <w:rFonts w:ascii="Calibri" w:eastAsia="Arial" w:hAnsi="Calibri" w:cs="Calibri"/>
        </w:rPr>
        <w:t>D</w:t>
      </w:r>
      <w:r w:rsidRPr="005734B8">
        <w:rPr>
          <w:rFonts w:ascii="Calibri" w:eastAsia="Arial" w:hAnsi="Calibri" w:cs="Calibri"/>
        </w:rPr>
        <w:t>epartment as a lessee identifies lease and non-</w:t>
      </w:r>
      <w:r w:rsidR="00767291" w:rsidRPr="005734B8">
        <w:rPr>
          <w:rFonts w:ascii="Calibri" w:eastAsia="Arial" w:hAnsi="Calibri" w:cs="Calibri"/>
        </w:rPr>
        <w:t>lease</w:t>
      </w:r>
      <w:r w:rsidR="005F0E5C" w:rsidRPr="005734B8">
        <w:rPr>
          <w:rFonts w:ascii="Calibri" w:eastAsia="Arial" w:hAnsi="Calibri" w:cs="Calibri"/>
        </w:rPr>
        <w:t xml:space="preserve"> </w:t>
      </w:r>
      <w:r w:rsidRPr="005734B8">
        <w:rPr>
          <w:rFonts w:ascii="Calibri" w:eastAsia="Arial" w:hAnsi="Calibri" w:cs="Calibri"/>
        </w:rPr>
        <w:t>components in the lease contract. Non-lease components are separately accounted for and the amounts are excluded from determining the lease liability and right-of-use asset amounts.</w:t>
      </w:r>
    </w:p>
    <w:p w14:paraId="7E2F8581" w14:textId="77777777" w:rsidR="00796C31" w:rsidRPr="005734B8" w:rsidRDefault="00796C31" w:rsidP="000F6516">
      <w:pPr>
        <w:pStyle w:val="Heading4"/>
        <w:ind w:left="0" w:firstLine="0"/>
        <w:rPr>
          <w:rFonts w:ascii="Calibri" w:hAnsi="Calibri" w:cs="Calibri"/>
        </w:rPr>
      </w:pPr>
      <w:bookmarkStart w:id="1610" w:name="_Hlk69722888"/>
    </w:p>
    <w:p w14:paraId="1CA83521" w14:textId="18B8A21A" w:rsidR="00F1540A" w:rsidRPr="005734B8" w:rsidRDefault="00F1540A" w:rsidP="000F6516">
      <w:pPr>
        <w:pStyle w:val="Heading4"/>
        <w:ind w:left="0" w:firstLine="0"/>
        <w:rPr>
          <w:rFonts w:ascii="Calibri" w:hAnsi="Calibri" w:cs="Calibri"/>
        </w:rPr>
      </w:pPr>
      <w:r w:rsidRPr="005734B8">
        <w:rPr>
          <w:rFonts w:ascii="Calibri" w:hAnsi="Calibri" w:cs="Calibri"/>
        </w:rPr>
        <w:t xml:space="preserve">Recognition and measurement of leases as a lessee </w:t>
      </w:r>
    </w:p>
    <w:p w14:paraId="7C0AF4EC" w14:textId="77777777" w:rsidR="00F1540A" w:rsidRPr="005734B8" w:rsidRDefault="00F1540A" w:rsidP="00F1540A">
      <w:pPr>
        <w:autoSpaceDE w:val="0"/>
        <w:autoSpaceDN w:val="0"/>
        <w:adjustRightInd w:val="0"/>
        <w:rPr>
          <w:rFonts w:ascii="Calibri" w:eastAsiaTheme="minorEastAsia" w:hAnsi="Calibri" w:cs="Calibri"/>
          <w:color w:val="53565A"/>
          <w:szCs w:val="18"/>
          <w:lang w:val="en-US"/>
        </w:rPr>
      </w:pPr>
    </w:p>
    <w:p w14:paraId="4B62FBF1" w14:textId="125F243C" w:rsidR="00F1540A" w:rsidRPr="005734B8" w:rsidRDefault="00F1540A" w:rsidP="00F1540A">
      <w:pPr>
        <w:autoSpaceDE w:val="0"/>
        <w:autoSpaceDN w:val="0"/>
        <w:adjustRightInd w:val="0"/>
        <w:rPr>
          <w:rFonts w:ascii="Calibri" w:eastAsiaTheme="minorEastAsia" w:hAnsi="Calibri" w:cs="Calibri"/>
          <w:color w:val="53565A"/>
          <w:szCs w:val="18"/>
          <w:lang w:val="en-US"/>
        </w:rPr>
      </w:pPr>
      <w:r w:rsidRPr="005734B8">
        <w:rPr>
          <w:rFonts w:ascii="Calibri" w:eastAsiaTheme="minorEastAsia" w:hAnsi="Calibri" w:cs="Calibri"/>
          <w:color w:val="53565A"/>
          <w:szCs w:val="18"/>
          <w:lang w:val="en-US"/>
        </w:rPr>
        <w:t>Lease Liability</w:t>
      </w:r>
      <w:r w:rsidR="0043712A" w:rsidRPr="005734B8">
        <w:rPr>
          <w:rFonts w:ascii="Calibri" w:eastAsiaTheme="minorEastAsia" w:hAnsi="Calibri" w:cs="Calibri"/>
          <w:color w:val="53565A"/>
          <w:szCs w:val="18"/>
          <w:lang w:val="en-US"/>
        </w:rPr>
        <w:t>—</w:t>
      </w:r>
      <w:r w:rsidRPr="005734B8">
        <w:rPr>
          <w:rFonts w:ascii="Calibri" w:eastAsiaTheme="minorEastAsia" w:hAnsi="Calibri" w:cs="Calibri"/>
          <w:color w:val="53565A"/>
          <w:szCs w:val="18"/>
          <w:lang w:val="en-US"/>
        </w:rPr>
        <w:t>initial measurement</w:t>
      </w:r>
    </w:p>
    <w:p w14:paraId="4B110AEE" w14:textId="4C002D55" w:rsidR="00F1540A" w:rsidRPr="005734B8" w:rsidRDefault="00F1540A" w:rsidP="00F1540A">
      <w:pPr>
        <w:rPr>
          <w:rFonts w:ascii="Calibri" w:hAnsi="Calibri" w:cs="Calibri"/>
        </w:rPr>
      </w:pPr>
      <w:r w:rsidRPr="005734B8">
        <w:rPr>
          <w:rFonts w:ascii="Calibri" w:hAnsi="Calibri" w:cs="Calibri"/>
        </w:rPr>
        <w:t>The lease liability is initially measured at the present value of the lease payments unpaid at the commencement date, discounted using the interest rate implicit in the lease if that rate is readily determinable or the Department</w:t>
      </w:r>
      <w:r w:rsidR="00767291" w:rsidRPr="005734B8">
        <w:rPr>
          <w:rFonts w:ascii="Calibri" w:hAnsi="Calibri" w:cs="Calibri"/>
        </w:rPr>
        <w:t>’</w:t>
      </w:r>
      <w:r w:rsidRPr="005734B8">
        <w:rPr>
          <w:rFonts w:ascii="Calibri" w:hAnsi="Calibri" w:cs="Calibri"/>
        </w:rPr>
        <w:t xml:space="preserve">s incremental borrowing rate. </w:t>
      </w:r>
    </w:p>
    <w:p w14:paraId="67DD1EF4" w14:textId="77777777" w:rsidR="00F1540A" w:rsidRPr="005734B8" w:rsidRDefault="00F1540A" w:rsidP="00F1540A">
      <w:pPr>
        <w:rPr>
          <w:rFonts w:ascii="Calibri" w:hAnsi="Calibri" w:cs="Calibri"/>
        </w:rPr>
      </w:pPr>
    </w:p>
    <w:p w14:paraId="28F97652" w14:textId="77777777" w:rsidR="00F1540A" w:rsidRPr="005734B8" w:rsidRDefault="00F1540A" w:rsidP="00F1540A">
      <w:pPr>
        <w:rPr>
          <w:rFonts w:ascii="Calibri" w:hAnsi="Calibri" w:cs="Calibri"/>
          <w:szCs w:val="22"/>
        </w:rPr>
      </w:pPr>
      <w:r w:rsidRPr="005734B8">
        <w:rPr>
          <w:rFonts w:ascii="Calibri" w:hAnsi="Calibri" w:cs="Calibri"/>
        </w:rPr>
        <w:t xml:space="preserve">Lease payments included in the measurement of the lease liability comprise the </w:t>
      </w:r>
      <w:r w:rsidRPr="005734B8">
        <w:rPr>
          <w:rFonts w:ascii="Calibri" w:hAnsi="Calibri" w:cs="Calibri"/>
          <w:szCs w:val="22"/>
        </w:rPr>
        <w:t>following:</w:t>
      </w:r>
    </w:p>
    <w:p w14:paraId="053CEF0D" w14:textId="17C868CE" w:rsidR="00F1540A" w:rsidRPr="005734B8" w:rsidRDefault="00F1540A" w:rsidP="005A1FAF">
      <w:pPr>
        <w:pStyle w:val="ESbullet1"/>
        <w:numPr>
          <w:ilvl w:val="0"/>
          <w:numId w:val="40"/>
        </w:numPr>
        <w:spacing w:after="0"/>
        <w:rPr>
          <w:rFonts w:ascii="Calibri" w:hAnsi="Calibri" w:cs="Calibri"/>
        </w:rPr>
      </w:pPr>
      <w:r w:rsidRPr="005734B8">
        <w:rPr>
          <w:rFonts w:ascii="Calibri" w:hAnsi="Calibri" w:cs="Calibri"/>
        </w:rPr>
        <w:t>fixed payments (including in-substance fixed payments) less any lease incentive receivable</w:t>
      </w:r>
    </w:p>
    <w:p w14:paraId="0DAB6F3D" w14:textId="7E695F67" w:rsidR="00F1540A" w:rsidRPr="005734B8" w:rsidRDefault="00F1540A" w:rsidP="005A1FAF">
      <w:pPr>
        <w:pStyle w:val="ESbullet1"/>
        <w:numPr>
          <w:ilvl w:val="0"/>
          <w:numId w:val="40"/>
        </w:numPr>
        <w:spacing w:after="0"/>
        <w:rPr>
          <w:rFonts w:ascii="Calibri" w:hAnsi="Calibri" w:cs="Calibri"/>
        </w:rPr>
      </w:pPr>
      <w:r w:rsidRPr="005734B8">
        <w:rPr>
          <w:rFonts w:ascii="Calibri" w:hAnsi="Calibri" w:cs="Calibri"/>
        </w:rPr>
        <w:t>variable payments based on an index or rate, initially measured using the index or rate as at the commencement date</w:t>
      </w:r>
    </w:p>
    <w:p w14:paraId="04D71C67" w14:textId="2B7DF7F1" w:rsidR="00F1540A" w:rsidRPr="005734B8" w:rsidRDefault="00F1540A" w:rsidP="005A1FAF">
      <w:pPr>
        <w:pStyle w:val="ESbullet1"/>
        <w:numPr>
          <w:ilvl w:val="0"/>
          <w:numId w:val="40"/>
        </w:numPr>
        <w:spacing w:after="0"/>
        <w:rPr>
          <w:rFonts w:ascii="Calibri" w:hAnsi="Calibri" w:cs="Calibri"/>
        </w:rPr>
      </w:pPr>
      <w:r w:rsidRPr="005734B8">
        <w:rPr>
          <w:rFonts w:ascii="Calibri" w:hAnsi="Calibri" w:cs="Calibri"/>
        </w:rPr>
        <w:t>amounts expected to be payable under a residual value guarantee</w:t>
      </w:r>
    </w:p>
    <w:p w14:paraId="4B695975" w14:textId="77777777" w:rsidR="00F1540A" w:rsidRPr="005734B8" w:rsidRDefault="00F1540A" w:rsidP="005A1FAF">
      <w:pPr>
        <w:pStyle w:val="ESbullet1"/>
        <w:numPr>
          <w:ilvl w:val="0"/>
          <w:numId w:val="40"/>
        </w:numPr>
        <w:spacing w:after="0"/>
        <w:rPr>
          <w:rFonts w:ascii="Calibri" w:hAnsi="Calibri" w:cs="Calibri"/>
        </w:rPr>
      </w:pPr>
      <w:r w:rsidRPr="005734B8">
        <w:rPr>
          <w:rFonts w:ascii="Calibri" w:hAnsi="Calibri" w:cs="Calibri"/>
        </w:rPr>
        <w:t>payments arising from purchase and termination options reasonably certain to be exercised.</w:t>
      </w:r>
    </w:p>
    <w:bookmarkEnd w:id="1610"/>
    <w:p w14:paraId="2399C6A1" w14:textId="77777777" w:rsidR="00F1540A" w:rsidRPr="005734B8" w:rsidRDefault="00F1540A" w:rsidP="00F1540A">
      <w:pPr>
        <w:autoSpaceDE w:val="0"/>
        <w:autoSpaceDN w:val="0"/>
        <w:adjustRightInd w:val="0"/>
        <w:rPr>
          <w:rFonts w:ascii="Calibri" w:eastAsiaTheme="minorEastAsia" w:hAnsi="Calibri" w:cs="Calibri"/>
          <w:color w:val="53565A"/>
          <w:szCs w:val="18"/>
          <w:lang w:val="en-US"/>
        </w:rPr>
      </w:pPr>
    </w:p>
    <w:p w14:paraId="28A5DAAA" w14:textId="543921BE" w:rsidR="00F1540A" w:rsidRPr="005734B8" w:rsidRDefault="00F1540A" w:rsidP="00F1540A">
      <w:pPr>
        <w:autoSpaceDE w:val="0"/>
        <w:autoSpaceDN w:val="0"/>
        <w:adjustRightInd w:val="0"/>
        <w:rPr>
          <w:rFonts w:ascii="Calibri" w:eastAsiaTheme="minorEastAsia" w:hAnsi="Calibri" w:cs="Calibri"/>
          <w:color w:val="53565A"/>
          <w:szCs w:val="18"/>
          <w:lang w:val="en-US"/>
        </w:rPr>
      </w:pPr>
      <w:r w:rsidRPr="005734B8">
        <w:rPr>
          <w:rFonts w:ascii="Calibri" w:eastAsiaTheme="minorEastAsia" w:hAnsi="Calibri" w:cs="Calibri"/>
          <w:color w:val="53565A"/>
          <w:szCs w:val="18"/>
          <w:lang w:val="en-US"/>
        </w:rPr>
        <w:t xml:space="preserve">Lease </w:t>
      </w:r>
      <w:r w:rsidR="00767291" w:rsidRPr="005734B8">
        <w:rPr>
          <w:rFonts w:ascii="Calibri" w:eastAsiaTheme="minorEastAsia" w:hAnsi="Calibri" w:cs="Calibri"/>
          <w:color w:val="53565A"/>
          <w:szCs w:val="18"/>
          <w:lang w:val="en-US"/>
        </w:rPr>
        <w:t>l</w:t>
      </w:r>
      <w:r w:rsidRPr="005734B8">
        <w:rPr>
          <w:rFonts w:ascii="Calibri" w:eastAsiaTheme="minorEastAsia" w:hAnsi="Calibri" w:cs="Calibri"/>
          <w:color w:val="53565A"/>
          <w:szCs w:val="18"/>
          <w:lang w:val="en-US"/>
        </w:rPr>
        <w:t>iability</w:t>
      </w:r>
      <w:r w:rsidR="00767291" w:rsidRPr="005734B8">
        <w:rPr>
          <w:rFonts w:ascii="Calibri" w:eastAsiaTheme="minorEastAsia" w:hAnsi="Calibri" w:cs="Calibri"/>
          <w:color w:val="53565A"/>
          <w:szCs w:val="18"/>
          <w:lang w:val="en-US"/>
        </w:rPr>
        <w:t>—</w:t>
      </w:r>
      <w:r w:rsidRPr="005734B8">
        <w:rPr>
          <w:rFonts w:ascii="Calibri" w:eastAsiaTheme="minorEastAsia" w:hAnsi="Calibri" w:cs="Calibri"/>
          <w:color w:val="53565A"/>
          <w:szCs w:val="18"/>
          <w:lang w:val="en-US"/>
        </w:rPr>
        <w:t>subsequent measurement</w:t>
      </w:r>
    </w:p>
    <w:p w14:paraId="7DC279AE" w14:textId="5009005B" w:rsidR="00F1540A" w:rsidRPr="005734B8" w:rsidRDefault="00F1540A" w:rsidP="00F1540A">
      <w:pPr>
        <w:autoSpaceDE w:val="0"/>
        <w:autoSpaceDN w:val="0"/>
        <w:adjustRightInd w:val="0"/>
        <w:rPr>
          <w:rFonts w:ascii="Calibri" w:eastAsia="Arial" w:hAnsi="Calibri" w:cs="Calibri"/>
        </w:rPr>
      </w:pPr>
      <w:r w:rsidRPr="005734B8">
        <w:rPr>
          <w:rFonts w:ascii="Calibri" w:eastAsia="Arial" w:hAnsi="Calibri" w:cs="Calibri"/>
        </w:rPr>
        <w:t>Subsequent to initial measurement, the liability is reduced by payments made and increased by interest incurred. It is re</w:t>
      </w:r>
      <w:r w:rsidR="00767291" w:rsidRPr="005734B8">
        <w:rPr>
          <w:rFonts w:ascii="Calibri" w:eastAsia="Arial" w:hAnsi="Calibri" w:cs="Calibri"/>
        </w:rPr>
        <w:noBreakHyphen/>
      </w:r>
      <w:r w:rsidRPr="005734B8">
        <w:rPr>
          <w:rFonts w:ascii="Calibri" w:eastAsia="Arial" w:hAnsi="Calibri" w:cs="Calibri"/>
        </w:rPr>
        <w:t xml:space="preserve">measured to reflect any reassessment or modification, or if there are changes </w:t>
      </w:r>
      <w:r w:rsidR="00767291" w:rsidRPr="005734B8">
        <w:rPr>
          <w:rFonts w:ascii="Calibri" w:eastAsia="Arial" w:hAnsi="Calibri" w:cs="Calibri"/>
        </w:rPr>
        <w:t xml:space="preserve">to </w:t>
      </w:r>
      <w:r w:rsidRPr="005734B8">
        <w:rPr>
          <w:rFonts w:ascii="Calibri" w:eastAsia="Arial" w:hAnsi="Calibri" w:cs="Calibri"/>
        </w:rPr>
        <w:t>in-substance fixed payments. When the lease liability is re</w:t>
      </w:r>
      <w:r w:rsidR="00767291" w:rsidRPr="005734B8">
        <w:rPr>
          <w:rFonts w:ascii="Calibri" w:eastAsia="Arial" w:hAnsi="Calibri" w:cs="Calibri"/>
        </w:rPr>
        <w:noBreakHyphen/>
      </w:r>
      <w:r w:rsidRPr="005734B8">
        <w:rPr>
          <w:rFonts w:ascii="Calibri" w:eastAsia="Arial" w:hAnsi="Calibri" w:cs="Calibri"/>
        </w:rPr>
        <w:t>measured, the corresponding adjustment is reflected in the right-of-use asset, or profit and loss if the right</w:t>
      </w:r>
      <w:r w:rsidR="00767291" w:rsidRPr="005734B8">
        <w:rPr>
          <w:rFonts w:ascii="Calibri" w:eastAsia="Arial" w:hAnsi="Calibri" w:cs="Calibri"/>
        </w:rPr>
        <w:noBreakHyphen/>
      </w:r>
      <w:r w:rsidRPr="005734B8">
        <w:rPr>
          <w:rFonts w:ascii="Calibri" w:eastAsia="Arial" w:hAnsi="Calibri" w:cs="Calibri"/>
        </w:rPr>
        <w:t>of</w:t>
      </w:r>
      <w:r w:rsidR="00767291" w:rsidRPr="005734B8">
        <w:rPr>
          <w:rFonts w:ascii="Calibri" w:eastAsia="Arial" w:hAnsi="Calibri" w:cs="Calibri"/>
        </w:rPr>
        <w:noBreakHyphen/>
      </w:r>
      <w:r w:rsidRPr="005734B8">
        <w:rPr>
          <w:rFonts w:ascii="Calibri" w:eastAsia="Arial" w:hAnsi="Calibri" w:cs="Calibri"/>
        </w:rPr>
        <w:t>use asset is reduced to zero.</w:t>
      </w:r>
    </w:p>
    <w:p w14:paraId="28C304D2" w14:textId="77777777" w:rsidR="00F1540A" w:rsidRPr="005734B8" w:rsidRDefault="00F1540A" w:rsidP="00F1540A">
      <w:pPr>
        <w:autoSpaceDE w:val="0"/>
        <w:autoSpaceDN w:val="0"/>
        <w:adjustRightInd w:val="0"/>
        <w:rPr>
          <w:rFonts w:ascii="Calibri" w:eastAsia="Arial" w:hAnsi="Calibri" w:cs="Calibri"/>
        </w:rPr>
      </w:pPr>
    </w:p>
    <w:p w14:paraId="5C9CA276" w14:textId="4D9A7B84" w:rsidR="00F1540A" w:rsidRPr="005734B8" w:rsidRDefault="00F1540A" w:rsidP="00F1540A">
      <w:pPr>
        <w:rPr>
          <w:rFonts w:ascii="Calibri" w:hAnsi="Calibri" w:cs="Calibri"/>
        </w:rPr>
      </w:pPr>
      <w:bookmarkStart w:id="1611" w:name="_Hlk48859002"/>
      <w:r w:rsidRPr="005734B8">
        <w:rPr>
          <w:rFonts w:ascii="Calibri" w:hAnsi="Calibri" w:cs="Calibri"/>
        </w:rPr>
        <w:t>The Department, as a lessee, did not receive rent concessions for its leases during the COVID-19 pandemic, nor did the pandemic result in other factors that required the Department to re</w:t>
      </w:r>
      <w:r w:rsidR="00767291" w:rsidRPr="005734B8">
        <w:rPr>
          <w:rFonts w:ascii="Calibri" w:hAnsi="Calibri" w:cs="Calibri"/>
        </w:rPr>
        <w:noBreakHyphen/>
      </w:r>
      <w:r w:rsidRPr="005734B8">
        <w:rPr>
          <w:rFonts w:ascii="Calibri" w:hAnsi="Calibri" w:cs="Calibri"/>
        </w:rPr>
        <w:t>measure its lease liabilities. Accordingly, the Department did not apply the practical expedient available under AASB 2020-4 Amendments to Australian Accounting Standards</w:t>
      </w:r>
      <w:r w:rsidR="00767291" w:rsidRPr="005734B8">
        <w:rPr>
          <w:rFonts w:ascii="Calibri" w:hAnsi="Calibri" w:cs="Calibri"/>
        </w:rPr>
        <w:t>—</w:t>
      </w:r>
      <w:r w:rsidRPr="005734B8">
        <w:rPr>
          <w:rFonts w:ascii="Calibri" w:hAnsi="Calibri" w:cs="Calibri"/>
        </w:rPr>
        <w:t>Covid-19-Related Rent Concessions, which permit</w:t>
      </w:r>
      <w:r w:rsidR="00767291" w:rsidRPr="005734B8">
        <w:rPr>
          <w:rFonts w:ascii="Calibri" w:hAnsi="Calibri" w:cs="Calibri"/>
        </w:rPr>
        <w:t>s</w:t>
      </w:r>
      <w:r w:rsidRPr="005734B8">
        <w:rPr>
          <w:rFonts w:ascii="Calibri" w:hAnsi="Calibri" w:cs="Calibri"/>
        </w:rPr>
        <w:t xml:space="preserve"> a lessee not to assess whether a rent concession meets the conditions of a lease modification that requires the re</w:t>
      </w:r>
      <w:r w:rsidR="00767291" w:rsidRPr="005734B8">
        <w:rPr>
          <w:rFonts w:ascii="Calibri" w:hAnsi="Calibri" w:cs="Calibri"/>
        </w:rPr>
        <w:noBreakHyphen/>
      </w:r>
      <w:r w:rsidRPr="005734B8">
        <w:rPr>
          <w:rFonts w:ascii="Calibri" w:hAnsi="Calibri" w:cs="Calibri"/>
        </w:rPr>
        <w:t>measurement of the lease liability.</w:t>
      </w:r>
    </w:p>
    <w:bookmarkEnd w:id="1611"/>
    <w:p w14:paraId="6AF519DC" w14:textId="77777777" w:rsidR="005A1FAF" w:rsidRPr="005734B8" w:rsidRDefault="005A1FAF" w:rsidP="00F1540A">
      <w:pPr>
        <w:rPr>
          <w:rFonts w:ascii="Calibri" w:eastAsiaTheme="minorEastAsia" w:hAnsi="Calibri" w:cs="Calibri"/>
          <w:i/>
          <w:iCs/>
          <w:color w:val="53565A"/>
          <w:szCs w:val="18"/>
          <w:lang w:val="en-US"/>
        </w:rPr>
      </w:pPr>
    </w:p>
    <w:p w14:paraId="37E495D4" w14:textId="0C5EC06F" w:rsidR="00F1540A" w:rsidRPr="005734B8" w:rsidRDefault="00F1540A" w:rsidP="00F1540A">
      <w:pPr>
        <w:rPr>
          <w:rFonts w:ascii="Calibri" w:eastAsiaTheme="minorEastAsia" w:hAnsi="Calibri" w:cs="Calibri"/>
          <w:i/>
          <w:iCs/>
          <w:color w:val="53565A"/>
          <w:szCs w:val="18"/>
          <w:lang w:val="en-US"/>
        </w:rPr>
      </w:pPr>
      <w:r w:rsidRPr="005734B8">
        <w:rPr>
          <w:rFonts w:ascii="Calibri" w:eastAsiaTheme="minorEastAsia" w:hAnsi="Calibri" w:cs="Calibri"/>
          <w:i/>
          <w:iCs/>
          <w:color w:val="53565A"/>
          <w:szCs w:val="18"/>
          <w:lang w:val="en-US"/>
        </w:rPr>
        <w:t>Short-term leases and leases of low</w:t>
      </w:r>
      <w:r w:rsidR="00767291" w:rsidRPr="005734B8">
        <w:rPr>
          <w:rFonts w:ascii="Calibri" w:eastAsiaTheme="minorEastAsia" w:hAnsi="Calibri" w:cs="Calibri"/>
          <w:i/>
          <w:iCs/>
          <w:color w:val="53565A"/>
          <w:szCs w:val="18"/>
          <w:lang w:val="en-US"/>
        </w:rPr>
        <w:noBreakHyphen/>
      </w:r>
      <w:r w:rsidRPr="005734B8">
        <w:rPr>
          <w:rFonts w:ascii="Calibri" w:eastAsiaTheme="minorEastAsia" w:hAnsi="Calibri" w:cs="Calibri"/>
          <w:i/>
          <w:iCs/>
          <w:color w:val="53565A"/>
          <w:szCs w:val="18"/>
          <w:lang w:val="en-US"/>
        </w:rPr>
        <w:t>value assets</w:t>
      </w:r>
    </w:p>
    <w:p w14:paraId="5754C1BA" w14:textId="6C132630" w:rsidR="00F1540A" w:rsidRPr="005734B8" w:rsidRDefault="00F1540A" w:rsidP="00F1540A">
      <w:pPr>
        <w:autoSpaceDE w:val="0"/>
        <w:autoSpaceDN w:val="0"/>
        <w:adjustRightInd w:val="0"/>
        <w:rPr>
          <w:rFonts w:ascii="Calibri" w:eastAsia="Arial" w:hAnsi="Calibri" w:cs="Calibri"/>
        </w:rPr>
      </w:pPr>
      <w:r w:rsidRPr="005734B8">
        <w:rPr>
          <w:rFonts w:ascii="Calibri" w:eastAsia="Arial" w:hAnsi="Calibri" w:cs="Calibri"/>
        </w:rPr>
        <w:t>The Department has elected to account for short-term leases and leases of low</w:t>
      </w:r>
      <w:r w:rsidR="00767291" w:rsidRPr="005734B8">
        <w:rPr>
          <w:rFonts w:ascii="Calibri" w:eastAsia="Arial" w:hAnsi="Calibri" w:cs="Calibri"/>
        </w:rPr>
        <w:noBreakHyphen/>
      </w:r>
      <w:r w:rsidRPr="005734B8">
        <w:rPr>
          <w:rFonts w:ascii="Calibri" w:eastAsia="Arial" w:hAnsi="Calibri" w:cs="Calibri"/>
        </w:rPr>
        <w:t>value assets using the practical expedients. Instead of recognising a right</w:t>
      </w:r>
      <w:r w:rsidR="00767291" w:rsidRPr="005734B8">
        <w:rPr>
          <w:rFonts w:ascii="Calibri" w:eastAsia="Arial" w:hAnsi="Calibri" w:cs="Calibri"/>
        </w:rPr>
        <w:noBreakHyphen/>
      </w:r>
      <w:r w:rsidRPr="005734B8">
        <w:rPr>
          <w:rFonts w:ascii="Calibri" w:eastAsia="Arial" w:hAnsi="Calibri" w:cs="Calibri"/>
        </w:rPr>
        <w:t>of</w:t>
      </w:r>
      <w:r w:rsidR="00767291" w:rsidRPr="005734B8">
        <w:rPr>
          <w:rFonts w:ascii="Calibri" w:eastAsia="Arial" w:hAnsi="Calibri" w:cs="Calibri"/>
        </w:rPr>
        <w:noBreakHyphen/>
      </w:r>
      <w:r w:rsidRPr="005734B8">
        <w:rPr>
          <w:rFonts w:ascii="Calibri" w:eastAsia="Arial" w:hAnsi="Calibri" w:cs="Calibri"/>
        </w:rPr>
        <w:t xml:space="preserve">use asset and </w:t>
      </w:r>
      <w:r w:rsidRPr="005734B8">
        <w:rPr>
          <w:rFonts w:ascii="Calibri" w:eastAsia="Arial" w:hAnsi="Calibri" w:cs="Calibri"/>
        </w:rPr>
        <w:lastRenderedPageBreak/>
        <w:t>lease liability, the payments in relation to these are recognised as an expense in profit or loss on a straight</w:t>
      </w:r>
      <w:r w:rsidR="001B06C9" w:rsidRPr="005734B8">
        <w:rPr>
          <w:rFonts w:ascii="Calibri" w:eastAsia="Arial" w:hAnsi="Calibri" w:cs="Calibri"/>
        </w:rPr>
        <w:noBreakHyphen/>
      </w:r>
      <w:r w:rsidRPr="005734B8">
        <w:rPr>
          <w:rFonts w:ascii="Calibri" w:eastAsia="Arial" w:hAnsi="Calibri" w:cs="Calibri"/>
        </w:rPr>
        <w:t>line basis over the lease term.</w:t>
      </w:r>
    </w:p>
    <w:p w14:paraId="6998F0A2" w14:textId="77777777" w:rsidR="00F1540A" w:rsidRPr="005734B8" w:rsidRDefault="00F1540A" w:rsidP="00F1540A">
      <w:pPr>
        <w:autoSpaceDE w:val="0"/>
        <w:autoSpaceDN w:val="0"/>
        <w:adjustRightInd w:val="0"/>
        <w:rPr>
          <w:rFonts w:ascii="Calibri" w:hAnsi="Calibri" w:cs="Calibri"/>
          <w:color w:val="000000"/>
          <w:sz w:val="18"/>
          <w:szCs w:val="18"/>
          <w:lang w:eastAsia="en-AU"/>
        </w:rPr>
      </w:pPr>
    </w:p>
    <w:p w14:paraId="2B545E8E" w14:textId="3A99764D" w:rsidR="00F1540A" w:rsidRPr="005734B8" w:rsidRDefault="00F1540A" w:rsidP="00F1540A">
      <w:pPr>
        <w:autoSpaceDE w:val="0"/>
        <w:autoSpaceDN w:val="0"/>
        <w:adjustRightInd w:val="0"/>
        <w:rPr>
          <w:rFonts w:ascii="Calibri" w:eastAsiaTheme="minorEastAsia" w:hAnsi="Calibri" w:cs="Calibri"/>
          <w:i/>
          <w:iCs/>
          <w:color w:val="53565A"/>
          <w:szCs w:val="18"/>
          <w:lang w:val="en-US"/>
        </w:rPr>
      </w:pPr>
      <w:r w:rsidRPr="005734B8">
        <w:rPr>
          <w:rFonts w:ascii="Calibri" w:eastAsiaTheme="minorEastAsia" w:hAnsi="Calibri" w:cs="Calibri"/>
          <w:i/>
          <w:iCs/>
          <w:color w:val="53565A"/>
          <w:szCs w:val="18"/>
          <w:lang w:val="en-US"/>
        </w:rPr>
        <w:t>Below</w:t>
      </w:r>
      <w:r w:rsidR="001B06C9" w:rsidRPr="005734B8">
        <w:rPr>
          <w:rFonts w:ascii="Calibri" w:eastAsiaTheme="minorEastAsia" w:hAnsi="Calibri" w:cs="Calibri"/>
          <w:i/>
          <w:iCs/>
          <w:color w:val="53565A"/>
          <w:szCs w:val="18"/>
          <w:lang w:val="en-US"/>
        </w:rPr>
        <w:noBreakHyphen/>
      </w:r>
      <w:r w:rsidRPr="005734B8">
        <w:rPr>
          <w:rFonts w:ascii="Calibri" w:eastAsiaTheme="minorEastAsia" w:hAnsi="Calibri" w:cs="Calibri"/>
          <w:i/>
          <w:iCs/>
          <w:color w:val="53565A"/>
          <w:szCs w:val="18"/>
          <w:lang w:val="en-US"/>
        </w:rPr>
        <w:t>market/</w:t>
      </w:r>
      <w:r w:rsidR="001B06C9" w:rsidRPr="005734B8">
        <w:rPr>
          <w:rFonts w:ascii="Calibri" w:eastAsiaTheme="minorEastAsia" w:hAnsi="Calibri" w:cs="Calibri"/>
          <w:i/>
          <w:iCs/>
          <w:color w:val="53565A"/>
          <w:szCs w:val="18"/>
          <w:lang w:val="en-US"/>
        </w:rPr>
        <w:t>p</w:t>
      </w:r>
      <w:r w:rsidRPr="005734B8">
        <w:rPr>
          <w:rFonts w:ascii="Calibri" w:eastAsiaTheme="minorEastAsia" w:hAnsi="Calibri" w:cs="Calibri"/>
          <w:i/>
          <w:iCs/>
          <w:color w:val="53565A"/>
          <w:szCs w:val="18"/>
          <w:lang w:val="en-US"/>
        </w:rPr>
        <w:t>eppercorn lease</w:t>
      </w:r>
      <w:r w:rsidR="001B06C9" w:rsidRPr="005734B8">
        <w:rPr>
          <w:rFonts w:ascii="Calibri" w:eastAsiaTheme="minorEastAsia" w:hAnsi="Calibri" w:cs="Calibri"/>
          <w:i/>
          <w:iCs/>
          <w:color w:val="53565A"/>
          <w:szCs w:val="18"/>
          <w:lang w:val="en-US"/>
        </w:rPr>
        <w:t>s</w:t>
      </w:r>
    </w:p>
    <w:p w14:paraId="5EBC300C" w14:textId="77777777" w:rsidR="00F1540A" w:rsidRPr="005734B8" w:rsidRDefault="00F1540A" w:rsidP="00F1540A">
      <w:pPr>
        <w:autoSpaceDE w:val="0"/>
        <w:autoSpaceDN w:val="0"/>
        <w:adjustRightInd w:val="0"/>
        <w:rPr>
          <w:rFonts w:ascii="Calibri" w:eastAsia="Arial" w:hAnsi="Calibri" w:cs="Calibri"/>
        </w:rPr>
      </w:pPr>
      <w:r w:rsidRPr="005734B8">
        <w:rPr>
          <w:rFonts w:ascii="Calibri" w:eastAsia="Arial" w:hAnsi="Calibri" w:cs="Calibri"/>
        </w:rPr>
        <w:t>Right-of-use assets under leases at significantly below-market terms and conditions that are entered into principally to enable the Department to further its objectives, are initially and subsequently measured at cost.</w:t>
      </w:r>
    </w:p>
    <w:p w14:paraId="748C1A9E" w14:textId="77777777" w:rsidR="00F1540A" w:rsidRPr="005734B8" w:rsidRDefault="00F1540A" w:rsidP="00F1540A">
      <w:pPr>
        <w:autoSpaceDE w:val="0"/>
        <w:autoSpaceDN w:val="0"/>
        <w:adjustRightInd w:val="0"/>
        <w:rPr>
          <w:rFonts w:ascii="Calibri" w:eastAsia="Arial" w:hAnsi="Calibri" w:cs="Calibri"/>
        </w:rPr>
      </w:pPr>
    </w:p>
    <w:p w14:paraId="3DE60C92" w14:textId="35ACE63D" w:rsidR="00F1540A" w:rsidRPr="005734B8" w:rsidRDefault="00F1540A" w:rsidP="00F1540A">
      <w:pPr>
        <w:autoSpaceDE w:val="0"/>
        <w:autoSpaceDN w:val="0"/>
        <w:adjustRightInd w:val="0"/>
        <w:rPr>
          <w:rFonts w:ascii="Calibri" w:eastAsia="Arial" w:hAnsi="Calibri" w:cs="Calibri"/>
        </w:rPr>
      </w:pPr>
      <w:r w:rsidRPr="005734B8">
        <w:rPr>
          <w:rFonts w:ascii="Calibri" w:eastAsia="Arial" w:hAnsi="Calibri" w:cs="Calibri"/>
        </w:rPr>
        <w:t>These right-of-use assets are depreciated on a straight-line basis over the shorter of the lease term and the estimated useful lives of the assets.</w:t>
      </w:r>
    </w:p>
    <w:p w14:paraId="00E3DE6F" w14:textId="77777777" w:rsidR="00F1540A" w:rsidRPr="005734B8" w:rsidRDefault="00F1540A" w:rsidP="00F1540A">
      <w:pPr>
        <w:autoSpaceDE w:val="0"/>
        <w:autoSpaceDN w:val="0"/>
        <w:adjustRightInd w:val="0"/>
        <w:rPr>
          <w:rFonts w:ascii="Calibri" w:eastAsiaTheme="minorEastAsia" w:hAnsi="Calibri" w:cs="Calibri"/>
          <w:color w:val="53565A"/>
          <w:szCs w:val="18"/>
          <w:lang w:val="en-US"/>
        </w:rPr>
      </w:pPr>
    </w:p>
    <w:p w14:paraId="5FE1B1E7" w14:textId="07D2934E" w:rsidR="00F1540A" w:rsidRPr="005734B8" w:rsidRDefault="00F1540A" w:rsidP="00F1540A">
      <w:pPr>
        <w:autoSpaceDE w:val="0"/>
        <w:autoSpaceDN w:val="0"/>
        <w:adjustRightInd w:val="0"/>
        <w:rPr>
          <w:rFonts w:ascii="Calibri" w:eastAsiaTheme="minorEastAsia" w:hAnsi="Calibri" w:cs="Calibri"/>
          <w:color w:val="53565A"/>
          <w:szCs w:val="18"/>
          <w:lang w:val="en-US"/>
        </w:rPr>
      </w:pPr>
      <w:r w:rsidRPr="005734B8">
        <w:rPr>
          <w:rFonts w:ascii="Calibri" w:eastAsiaTheme="minorEastAsia" w:hAnsi="Calibri" w:cs="Calibri"/>
          <w:color w:val="53565A"/>
          <w:szCs w:val="18"/>
          <w:lang w:val="en-US"/>
        </w:rPr>
        <w:t>Presentation of right-of-use assets and lease liabilities</w:t>
      </w:r>
    </w:p>
    <w:p w14:paraId="7F82A62B" w14:textId="5A31CCD4" w:rsidR="00F1540A" w:rsidRPr="005734B8" w:rsidRDefault="00F1540A" w:rsidP="005A1FAF">
      <w:pPr>
        <w:autoSpaceDE w:val="0"/>
        <w:autoSpaceDN w:val="0"/>
        <w:adjustRightInd w:val="0"/>
        <w:rPr>
          <w:rFonts w:ascii="Calibri" w:eastAsia="Arial" w:hAnsi="Calibri" w:cs="Calibri"/>
        </w:rPr>
      </w:pPr>
      <w:r w:rsidRPr="005734B8">
        <w:rPr>
          <w:rFonts w:ascii="Calibri" w:eastAsia="Arial" w:hAnsi="Calibri" w:cs="Calibri"/>
        </w:rPr>
        <w:t>The Department presents right-of-use assets as ‘property plant equipment’ unless they meet the definition of an ‘investment property’, in which case they are disclosed as ‘investment property’ in the balance sheet. Lease liabilities are presented as ‘borrowings’ in the balance sheet.</w:t>
      </w:r>
    </w:p>
    <w:p w14:paraId="522DC212" w14:textId="45015324" w:rsidR="00F1540A" w:rsidRPr="005734B8" w:rsidRDefault="00F1540A" w:rsidP="000F6516">
      <w:pPr>
        <w:pStyle w:val="ESHeading3"/>
        <w:ind w:left="0" w:firstLine="0"/>
        <w:rPr>
          <w:rFonts w:ascii="Calibri" w:hAnsi="Calibri" w:cs="Calibri"/>
        </w:rPr>
      </w:pPr>
      <w:r w:rsidRPr="005734B8">
        <w:rPr>
          <w:rFonts w:ascii="Calibri" w:hAnsi="Calibri" w:cs="Calibri"/>
        </w:rPr>
        <w:t xml:space="preserve">7.2.1 (d) </w:t>
      </w:r>
      <w:r w:rsidR="003A4E70" w:rsidRPr="005734B8">
        <w:rPr>
          <w:rFonts w:ascii="Calibri" w:hAnsi="Calibri" w:cs="Calibri"/>
        </w:rPr>
        <w:t>L</w:t>
      </w:r>
      <w:r w:rsidRPr="005734B8">
        <w:rPr>
          <w:rFonts w:ascii="Calibri" w:hAnsi="Calibri" w:cs="Calibri"/>
        </w:rPr>
        <w:t>ease liabilities</w:t>
      </w:r>
      <w:r w:rsidR="001B06C9" w:rsidRPr="005734B8">
        <w:rPr>
          <w:rFonts w:ascii="Calibri" w:hAnsi="Calibri" w:cs="Calibri"/>
        </w:rPr>
        <w:t>—</w:t>
      </w:r>
      <w:r w:rsidRPr="005734B8">
        <w:rPr>
          <w:rFonts w:ascii="Calibri" w:hAnsi="Calibri" w:cs="Calibri"/>
        </w:rPr>
        <w:t>Department as lessee</w:t>
      </w:r>
    </w:p>
    <w:tbl>
      <w:tblPr>
        <w:tblW w:w="7625" w:type="dxa"/>
        <w:tblInd w:w="75" w:type="dxa"/>
        <w:tblLayout w:type="fixed"/>
        <w:tblLook w:val="04A0" w:firstRow="1" w:lastRow="0" w:firstColumn="1" w:lastColumn="0" w:noHBand="0" w:noVBand="1"/>
      </w:tblPr>
      <w:tblGrid>
        <w:gridCol w:w="3424"/>
        <w:gridCol w:w="1057"/>
        <w:gridCol w:w="1054"/>
        <w:gridCol w:w="1046"/>
        <w:gridCol w:w="1044"/>
      </w:tblGrid>
      <w:tr w:rsidR="00F1540A" w:rsidRPr="005734B8" w14:paraId="15E15C3C" w14:textId="77777777" w:rsidTr="007029C7">
        <w:trPr>
          <w:trHeight w:val="593"/>
        </w:trPr>
        <w:tc>
          <w:tcPr>
            <w:tcW w:w="3424" w:type="dxa"/>
            <w:tcBorders>
              <w:top w:val="nil"/>
              <w:left w:val="single" w:sz="4" w:space="0" w:color="FFFFFF"/>
              <w:bottom w:val="single" w:sz="4" w:space="0" w:color="FFFFFF"/>
              <w:right w:val="single" w:sz="4" w:space="0" w:color="FFFFFF"/>
            </w:tcBorders>
            <w:shd w:val="clear" w:color="000000" w:fill="AF272F"/>
            <w:hideMark/>
          </w:tcPr>
          <w:p w14:paraId="407B0F85" w14:textId="77777777" w:rsidR="00F1540A" w:rsidRPr="005734B8" w:rsidRDefault="00F1540A" w:rsidP="000F48B1">
            <w:pPr>
              <w:rPr>
                <w:rFonts w:ascii="Calibri" w:hAnsi="Calibri" w:cs="Calibri"/>
                <w:b/>
                <w:color w:val="FFFFFF"/>
                <w:sz w:val="18"/>
                <w:szCs w:val="18"/>
              </w:rPr>
            </w:pPr>
            <w:bookmarkStart w:id="1612" w:name="Note_APSTABLE1" w:colFirst="0" w:colLast="0"/>
            <w:r w:rsidRPr="005734B8">
              <w:rPr>
                <w:rFonts w:ascii="Calibri" w:hAnsi="Calibri" w:cs="Calibri"/>
                <w:b/>
                <w:color w:val="FFFFFF"/>
                <w:sz w:val="18"/>
                <w:szCs w:val="18"/>
              </w:rPr>
              <w:t> </w:t>
            </w:r>
          </w:p>
        </w:tc>
        <w:tc>
          <w:tcPr>
            <w:tcW w:w="2111" w:type="dxa"/>
            <w:gridSpan w:val="2"/>
            <w:tcBorders>
              <w:top w:val="nil"/>
              <w:left w:val="nil"/>
              <w:bottom w:val="single" w:sz="4" w:space="0" w:color="FFFFFF"/>
              <w:right w:val="single" w:sz="4" w:space="0" w:color="FFFFFF"/>
            </w:tcBorders>
            <w:shd w:val="clear" w:color="000000" w:fill="AF272F"/>
            <w:hideMark/>
          </w:tcPr>
          <w:p w14:paraId="4C0F3922"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Minimum future lease payments</w:t>
            </w:r>
          </w:p>
        </w:tc>
        <w:tc>
          <w:tcPr>
            <w:tcW w:w="2090" w:type="dxa"/>
            <w:gridSpan w:val="2"/>
            <w:tcBorders>
              <w:top w:val="nil"/>
              <w:left w:val="nil"/>
              <w:bottom w:val="single" w:sz="4" w:space="0" w:color="FFFFFF"/>
              <w:right w:val="single" w:sz="4" w:space="0" w:color="FFFFFF"/>
            </w:tcBorders>
            <w:shd w:val="clear" w:color="000000" w:fill="AF272F"/>
            <w:hideMark/>
          </w:tcPr>
          <w:p w14:paraId="7F0FA2B1"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Present value of minimum future lease payments</w:t>
            </w:r>
          </w:p>
        </w:tc>
      </w:tr>
      <w:bookmarkEnd w:id="1612"/>
      <w:tr w:rsidR="00F1540A" w:rsidRPr="005734B8" w14:paraId="6D864B1F" w14:textId="77777777" w:rsidTr="007029C7">
        <w:trPr>
          <w:trHeight w:val="480"/>
        </w:trPr>
        <w:tc>
          <w:tcPr>
            <w:tcW w:w="3424" w:type="dxa"/>
            <w:tcBorders>
              <w:top w:val="nil"/>
              <w:left w:val="single" w:sz="4" w:space="0" w:color="FFFFFF"/>
              <w:bottom w:val="single" w:sz="4" w:space="0" w:color="FFFFFF"/>
              <w:right w:val="single" w:sz="4" w:space="0" w:color="FFFFFF"/>
            </w:tcBorders>
            <w:shd w:val="clear" w:color="000000" w:fill="AF272F"/>
            <w:hideMark/>
          </w:tcPr>
          <w:p w14:paraId="019C2E10" w14:textId="77777777" w:rsidR="00F1540A" w:rsidRPr="005734B8" w:rsidRDefault="00F1540A" w:rsidP="000F48B1">
            <w:pPr>
              <w:rPr>
                <w:rFonts w:ascii="Calibri" w:hAnsi="Calibri" w:cs="Calibri"/>
                <w:b/>
                <w:color w:val="FFFFFF"/>
                <w:sz w:val="18"/>
                <w:szCs w:val="18"/>
              </w:rPr>
            </w:pPr>
            <w:r w:rsidRPr="005734B8">
              <w:rPr>
                <w:rFonts w:ascii="Calibri" w:hAnsi="Calibri" w:cs="Calibri"/>
                <w:b/>
                <w:color w:val="FFFFFF"/>
                <w:sz w:val="18"/>
                <w:szCs w:val="18"/>
              </w:rPr>
              <w:t> </w:t>
            </w:r>
          </w:p>
        </w:tc>
        <w:tc>
          <w:tcPr>
            <w:tcW w:w="1057" w:type="dxa"/>
            <w:tcBorders>
              <w:top w:val="nil"/>
              <w:left w:val="nil"/>
              <w:bottom w:val="nil"/>
              <w:right w:val="single" w:sz="4" w:space="0" w:color="FFFFFF"/>
            </w:tcBorders>
            <w:shd w:val="clear" w:color="000000" w:fill="AF272F"/>
            <w:vAlign w:val="bottom"/>
            <w:hideMark/>
          </w:tcPr>
          <w:p w14:paraId="5F9FBB22"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54" w:type="dxa"/>
            <w:tcBorders>
              <w:top w:val="nil"/>
              <w:left w:val="nil"/>
              <w:bottom w:val="nil"/>
              <w:right w:val="single" w:sz="4" w:space="0" w:color="FFFFFF"/>
            </w:tcBorders>
            <w:shd w:val="clear" w:color="000000" w:fill="AF272F"/>
            <w:hideMark/>
          </w:tcPr>
          <w:p w14:paraId="0DDADE59"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c>
          <w:tcPr>
            <w:tcW w:w="1046" w:type="dxa"/>
            <w:tcBorders>
              <w:top w:val="nil"/>
              <w:left w:val="nil"/>
              <w:bottom w:val="nil"/>
              <w:right w:val="single" w:sz="4" w:space="0" w:color="FFFFFF"/>
            </w:tcBorders>
            <w:shd w:val="clear" w:color="000000" w:fill="AF272F"/>
            <w:vAlign w:val="bottom"/>
            <w:hideMark/>
          </w:tcPr>
          <w:p w14:paraId="2090B6DA"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44" w:type="dxa"/>
            <w:tcBorders>
              <w:top w:val="nil"/>
              <w:left w:val="nil"/>
              <w:bottom w:val="nil"/>
              <w:right w:val="single" w:sz="4" w:space="0" w:color="FFFFFF"/>
            </w:tcBorders>
            <w:shd w:val="clear" w:color="000000" w:fill="AF272F"/>
            <w:hideMark/>
          </w:tcPr>
          <w:p w14:paraId="6AC39DB6"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tr w:rsidR="00F1540A" w:rsidRPr="005734B8" w14:paraId="259F3488" w14:textId="77777777" w:rsidTr="007029C7">
        <w:trPr>
          <w:trHeight w:val="255"/>
        </w:trPr>
        <w:tc>
          <w:tcPr>
            <w:tcW w:w="7625" w:type="dxa"/>
            <w:gridSpan w:val="5"/>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53FCD5B4" w14:textId="33E4FA4A" w:rsidR="00F1540A" w:rsidRPr="005734B8" w:rsidRDefault="00F1540A" w:rsidP="000F48B1">
            <w:pPr>
              <w:rPr>
                <w:rFonts w:ascii="Calibri" w:hAnsi="Calibri" w:cs="Calibri"/>
                <w:b/>
                <w:sz w:val="18"/>
                <w:szCs w:val="18"/>
              </w:rPr>
            </w:pPr>
            <w:r w:rsidRPr="005734B8">
              <w:rPr>
                <w:rFonts w:ascii="Calibri" w:hAnsi="Calibri" w:cs="Calibri"/>
                <w:b/>
                <w:sz w:val="18"/>
                <w:szCs w:val="18"/>
              </w:rPr>
              <w:t>PPP related lease liabilities</w:t>
            </w:r>
          </w:p>
        </w:tc>
      </w:tr>
      <w:tr w:rsidR="00F1540A" w:rsidRPr="005734B8" w14:paraId="45C912A0" w14:textId="77777777" w:rsidTr="007029C7">
        <w:trPr>
          <w:trHeight w:val="255"/>
        </w:trPr>
        <w:tc>
          <w:tcPr>
            <w:tcW w:w="3424" w:type="dxa"/>
            <w:tcBorders>
              <w:top w:val="nil"/>
              <w:left w:val="nil"/>
              <w:bottom w:val="single" w:sz="4" w:space="0" w:color="auto"/>
              <w:right w:val="nil"/>
            </w:tcBorders>
            <w:shd w:val="clear" w:color="FFFFFF" w:fill="FFFFFF"/>
            <w:vAlign w:val="center"/>
            <w:hideMark/>
          </w:tcPr>
          <w:p w14:paraId="67AF0C96"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Not longer than one year</w:t>
            </w:r>
          </w:p>
        </w:tc>
        <w:tc>
          <w:tcPr>
            <w:tcW w:w="1057" w:type="dxa"/>
            <w:tcBorders>
              <w:top w:val="nil"/>
              <w:left w:val="single" w:sz="4" w:space="0" w:color="FFFFFF"/>
              <w:bottom w:val="single" w:sz="4" w:space="0" w:color="auto"/>
              <w:right w:val="single" w:sz="4" w:space="0" w:color="FFFFFF"/>
            </w:tcBorders>
            <w:shd w:val="clear" w:color="000000" w:fill="D9D9D9"/>
            <w:noWrap/>
            <w:vAlign w:val="center"/>
            <w:hideMark/>
          </w:tcPr>
          <w:p w14:paraId="4182C5C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40.6 </w:t>
            </w:r>
          </w:p>
        </w:tc>
        <w:tc>
          <w:tcPr>
            <w:tcW w:w="1054" w:type="dxa"/>
            <w:tcBorders>
              <w:top w:val="nil"/>
              <w:left w:val="nil"/>
              <w:bottom w:val="single" w:sz="4" w:space="0" w:color="auto"/>
              <w:right w:val="single" w:sz="4" w:space="0" w:color="FFFFFF"/>
            </w:tcBorders>
            <w:shd w:val="clear" w:color="FFFFFF" w:fill="FFFFFF"/>
            <w:noWrap/>
            <w:vAlign w:val="center"/>
            <w:hideMark/>
          </w:tcPr>
          <w:p w14:paraId="50E9999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46.0 </w:t>
            </w:r>
          </w:p>
        </w:tc>
        <w:tc>
          <w:tcPr>
            <w:tcW w:w="1046" w:type="dxa"/>
            <w:tcBorders>
              <w:top w:val="nil"/>
              <w:left w:val="nil"/>
              <w:bottom w:val="single" w:sz="4" w:space="0" w:color="auto"/>
              <w:right w:val="single" w:sz="4" w:space="0" w:color="FFFFFF"/>
            </w:tcBorders>
            <w:shd w:val="clear" w:color="000000" w:fill="D9D9D9"/>
            <w:noWrap/>
            <w:vAlign w:val="center"/>
            <w:hideMark/>
          </w:tcPr>
          <w:p w14:paraId="2CB50D58"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39.2 </w:t>
            </w:r>
          </w:p>
        </w:tc>
        <w:tc>
          <w:tcPr>
            <w:tcW w:w="1044" w:type="dxa"/>
            <w:tcBorders>
              <w:top w:val="nil"/>
              <w:left w:val="nil"/>
              <w:bottom w:val="single" w:sz="4" w:space="0" w:color="auto"/>
              <w:right w:val="single" w:sz="4" w:space="0" w:color="FFFFFF"/>
            </w:tcBorders>
            <w:shd w:val="clear" w:color="FFFFFF" w:fill="FFFFFF"/>
            <w:noWrap/>
            <w:vAlign w:val="center"/>
            <w:hideMark/>
          </w:tcPr>
          <w:p w14:paraId="38CDAF4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43.9 </w:t>
            </w:r>
          </w:p>
        </w:tc>
      </w:tr>
      <w:tr w:rsidR="00F1540A" w:rsidRPr="005734B8" w14:paraId="0973BC76" w14:textId="77777777" w:rsidTr="007029C7">
        <w:trPr>
          <w:trHeight w:val="480"/>
        </w:trPr>
        <w:tc>
          <w:tcPr>
            <w:tcW w:w="3424" w:type="dxa"/>
            <w:tcBorders>
              <w:top w:val="nil"/>
              <w:left w:val="nil"/>
              <w:bottom w:val="single" w:sz="4" w:space="0" w:color="auto"/>
              <w:right w:val="nil"/>
            </w:tcBorders>
            <w:shd w:val="clear" w:color="FFFFFF" w:fill="FFFFFF"/>
            <w:vAlign w:val="center"/>
            <w:hideMark/>
          </w:tcPr>
          <w:p w14:paraId="4DDC5EF0"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Longer than one year but not longer than five years</w:t>
            </w:r>
          </w:p>
        </w:tc>
        <w:tc>
          <w:tcPr>
            <w:tcW w:w="1057" w:type="dxa"/>
            <w:tcBorders>
              <w:top w:val="nil"/>
              <w:left w:val="single" w:sz="4" w:space="0" w:color="FFFFFF"/>
              <w:bottom w:val="single" w:sz="4" w:space="0" w:color="auto"/>
              <w:right w:val="single" w:sz="4" w:space="0" w:color="FFFFFF"/>
            </w:tcBorders>
            <w:shd w:val="clear" w:color="000000" w:fill="D9D9D9"/>
            <w:noWrap/>
            <w:vAlign w:val="center"/>
            <w:hideMark/>
          </w:tcPr>
          <w:p w14:paraId="1A32FCB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169.5 </w:t>
            </w:r>
          </w:p>
        </w:tc>
        <w:tc>
          <w:tcPr>
            <w:tcW w:w="1054" w:type="dxa"/>
            <w:tcBorders>
              <w:top w:val="nil"/>
              <w:left w:val="nil"/>
              <w:bottom w:val="single" w:sz="4" w:space="0" w:color="auto"/>
              <w:right w:val="single" w:sz="4" w:space="0" w:color="FFFFFF"/>
            </w:tcBorders>
            <w:shd w:val="clear" w:color="FFFFFF" w:fill="FFFFFF"/>
            <w:noWrap/>
            <w:vAlign w:val="center"/>
            <w:hideMark/>
          </w:tcPr>
          <w:p w14:paraId="31160F6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189.1 </w:t>
            </w:r>
          </w:p>
        </w:tc>
        <w:tc>
          <w:tcPr>
            <w:tcW w:w="1046" w:type="dxa"/>
            <w:tcBorders>
              <w:top w:val="nil"/>
              <w:left w:val="nil"/>
              <w:bottom w:val="single" w:sz="4" w:space="0" w:color="auto"/>
              <w:right w:val="single" w:sz="4" w:space="0" w:color="FFFFFF"/>
            </w:tcBorders>
            <w:shd w:val="clear" w:color="000000" w:fill="D9D9D9"/>
            <w:noWrap/>
            <w:vAlign w:val="center"/>
            <w:hideMark/>
          </w:tcPr>
          <w:p w14:paraId="36591C1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141.9 </w:t>
            </w:r>
          </w:p>
        </w:tc>
        <w:tc>
          <w:tcPr>
            <w:tcW w:w="1044" w:type="dxa"/>
            <w:tcBorders>
              <w:top w:val="nil"/>
              <w:left w:val="nil"/>
              <w:bottom w:val="single" w:sz="4" w:space="0" w:color="auto"/>
              <w:right w:val="single" w:sz="4" w:space="0" w:color="FFFFFF"/>
            </w:tcBorders>
            <w:shd w:val="clear" w:color="FFFFFF" w:fill="FFFFFF"/>
            <w:noWrap/>
            <w:vAlign w:val="center"/>
            <w:hideMark/>
          </w:tcPr>
          <w:p w14:paraId="1396562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155.6 </w:t>
            </w:r>
          </w:p>
        </w:tc>
      </w:tr>
      <w:tr w:rsidR="00F1540A" w:rsidRPr="005734B8" w14:paraId="4C6CAE2D" w14:textId="77777777" w:rsidTr="007029C7">
        <w:trPr>
          <w:trHeight w:val="255"/>
        </w:trPr>
        <w:tc>
          <w:tcPr>
            <w:tcW w:w="3424" w:type="dxa"/>
            <w:tcBorders>
              <w:top w:val="nil"/>
              <w:left w:val="nil"/>
              <w:bottom w:val="single" w:sz="4" w:space="0" w:color="auto"/>
              <w:right w:val="nil"/>
            </w:tcBorders>
            <w:shd w:val="clear" w:color="FFFFFF" w:fill="FFFFFF"/>
            <w:vAlign w:val="center"/>
            <w:hideMark/>
          </w:tcPr>
          <w:p w14:paraId="3811A760"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Longer than five years</w:t>
            </w:r>
          </w:p>
        </w:tc>
        <w:tc>
          <w:tcPr>
            <w:tcW w:w="1057" w:type="dxa"/>
            <w:tcBorders>
              <w:top w:val="nil"/>
              <w:left w:val="single" w:sz="4" w:space="0" w:color="FFFFFF"/>
              <w:bottom w:val="single" w:sz="4" w:space="0" w:color="auto"/>
              <w:right w:val="single" w:sz="4" w:space="0" w:color="FFFFFF"/>
            </w:tcBorders>
            <w:shd w:val="clear" w:color="000000" w:fill="D9D9D9"/>
            <w:noWrap/>
            <w:vAlign w:val="center"/>
            <w:hideMark/>
          </w:tcPr>
          <w:p w14:paraId="184EE3A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652.1 </w:t>
            </w:r>
          </w:p>
        </w:tc>
        <w:tc>
          <w:tcPr>
            <w:tcW w:w="1054" w:type="dxa"/>
            <w:tcBorders>
              <w:top w:val="nil"/>
              <w:left w:val="nil"/>
              <w:bottom w:val="single" w:sz="4" w:space="0" w:color="auto"/>
              <w:right w:val="single" w:sz="4" w:space="0" w:color="FFFFFF"/>
            </w:tcBorders>
            <w:shd w:val="clear" w:color="FFFFFF" w:fill="FFFFFF"/>
            <w:noWrap/>
            <w:vAlign w:val="center"/>
            <w:hideMark/>
          </w:tcPr>
          <w:p w14:paraId="2580F02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721.0 </w:t>
            </w:r>
          </w:p>
        </w:tc>
        <w:tc>
          <w:tcPr>
            <w:tcW w:w="1046" w:type="dxa"/>
            <w:tcBorders>
              <w:top w:val="nil"/>
              <w:left w:val="nil"/>
              <w:bottom w:val="single" w:sz="4" w:space="0" w:color="auto"/>
              <w:right w:val="single" w:sz="4" w:space="0" w:color="FFFFFF"/>
            </w:tcBorders>
            <w:shd w:val="clear" w:color="000000" w:fill="D9D9D9"/>
            <w:noWrap/>
            <w:vAlign w:val="center"/>
            <w:hideMark/>
          </w:tcPr>
          <w:p w14:paraId="5E89407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350.9 </w:t>
            </w:r>
          </w:p>
        </w:tc>
        <w:tc>
          <w:tcPr>
            <w:tcW w:w="1044" w:type="dxa"/>
            <w:tcBorders>
              <w:top w:val="nil"/>
              <w:left w:val="nil"/>
              <w:bottom w:val="single" w:sz="4" w:space="0" w:color="auto"/>
              <w:right w:val="single" w:sz="4" w:space="0" w:color="FFFFFF"/>
            </w:tcBorders>
            <w:shd w:val="clear" w:color="FFFFFF" w:fill="FFFFFF"/>
            <w:noWrap/>
            <w:vAlign w:val="center"/>
            <w:hideMark/>
          </w:tcPr>
          <w:p w14:paraId="527ACF3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352.6 </w:t>
            </w:r>
          </w:p>
        </w:tc>
      </w:tr>
      <w:tr w:rsidR="00F1540A" w:rsidRPr="005734B8" w14:paraId="677ED0C6" w14:textId="77777777" w:rsidTr="007029C7">
        <w:trPr>
          <w:trHeight w:val="255"/>
        </w:trPr>
        <w:tc>
          <w:tcPr>
            <w:tcW w:w="7625" w:type="dxa"/>
            <w:gridSpan w:val="5"/>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0062C07B" w14:textId="11FA598C" w:rsidR="00F1540A" w:rsidRPr="005734B8" w:rsidRDefault="00F1540A" w:rsidP="000F48B1">
            <w:pPr>
              <w:rPr>
                <w:rFonts w:ascii="Calibri" w:hAnsi="Calibri" w:cs="Calibri"/>
                <w:b/>
                <w:sz w:val="18"/>
                <w:szCs w:val="18"/>
              </w:rPr>
            </w:pPr>
            <w:r w:rsidRPr="005734B8">
              <w:rPr>
                <w:rFonts w:ascii="Calibri" w:hAnsi="Calibri" w:cs="Calibri"/>
                <w:b/>
                <w:sz w:val="18"/>
                <w:szCs w:val="18"/>
              </w:rPr>
              <w:t>Non-PPP lease liabilities</w:t>
            </w:r>
          </w:p>
        </w:tc>
      </w:tr>
      <w:tr w:rsidR="00F1540A" w:rsidRPr="005734B8" w14:paraId="7818D142" w14:textId="77777777" w:rsidTr="007029C7">
        <w:trPr>
          <w:trHeight w:val="255"/>
        </w:trPr>
        <w:tc>
          <w:tcPr>
            <w:tcW w:w="3424" w:type="dxa"/>
            <w:tcBorders>
              <w:top w:val="nil"/>
              <w:left w:val="nil"/>
              <w:bottom w:val="single" w:sz="4" w:space="0" w:color="auto"/>
              <w:right w:val="nil"/>
            </w:tcBorders>
            <w:shd w:val="clear" w:color="FFFFFF" w:fill="FFFFFF"/>
            <w:vAlign w:val="center"/>
            <w:hideMark/>
          </w:tcPr>
          <w:p w14:paraId="071C2E93"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Not longer than one year</w:t>
            </w:r>
          </w:p>
        </w:tc>
        <w:tc>
          <w:tcPr>
            <w:tcW w:w="1057" w:type="dxa"/>
            <w:tcBorders>
              <w:top w:val="nil"/>
              <w:left w:val="single" w:sz="4" w:space="0" w:color="FFFFFF"/>
              <w:bottom w:val="single" w:sz="4" w:space="0" w:color="auto"/>
              <w:right w:val="single" w:sz="4" w:space="0" w:color="FFFFFF"/>
            </w:tcBorders>
            <w:shd w:val="clear" w:color="000000" w:fill="D9D9D9"/>
            <w:noWrap/>
            <w:vAlign w:val="center"/>
            <w:hideMark/>
          </w:tcPr>
          <w:p w14:paraId="5F337BD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8.2 </w:t>
            </w:r>
          </w:p>
        </w:tc>
        <w:tc>
          <w:tcPr>
            <w:tcW w:w="1054" w:type="dxa"/>
            <w:tcBorders>
              <w:top w:val="nil"/>
              <w:left w:val="nil"/>
              <w:bottom w:val="single" w:sz="4" w:space="0" w:color="auto"/>
              <w:right w:val="single" w:sz="4" w:space="0" w:color="FFFFFF"/>
            </w:tcBorders>
            <w:shd w:val="clear" w:color="FFFFFF" w:fill="FFFFFF"/>
            <w:noWrap/>
            <w:vAlign w:val="center"/>
            <w:hideMark/>
          </w:tcPr>
          <w:p w14:paraId="5521E68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9.1 </w:t>
            </w:r>
          </w:p>
        </w:tc>
        <w:tc>
          <w:tcPr>
            <w:tcW w:w="1046" w:type="dxa"/>
            <w:tcBorders>
              <w:top w:val="nil"/>
              <w:left w:val="nil"/>
              <w:bottom w:val="single" w:sz="4" w:space="0" w:color="auto"/>
              <w:right w:val="single" w:sz="4" w:space="0" w:color="FFFFFF"/>
            </w:tcBorders>
            <w:shd w:val="clear" w:color="000000" w:fill="D9D9D9"/>
            <w:noWrap/>
            <w:vAlign w:val="center"/>
            <w:hideMark/>
          </w:tcPr>
          <w:p w14:paraId="1095AE9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7.8 </w:t>
            </w:r>
          </w:p>
        </w:tc>
        <w:tc>
          <w:tcPr>
            <w:tcW w:w="1044" w:type="dxa"/>
            <w:tcBorders>
              <w:top w:val="nil"/>
              <w:left w:val="nil"/>
              <w:bottom w:val="single" w:sz="4" w:space="0" w:color="auto"/>
              <w:right w:val="single" w:sz="4" w:space="0" w:color="FFFFFF"/>
            </w:tcBorders>
            <w:shd w:val="clear" w:color="FFFFFF" w:fill="FFFFFF"/>
            <w:noWrap/>
            <w:vAlign w:val="center"/>
            <w:hideMark/>
          </w:tcPr>
          <w:p w14:paraId="5956F59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8.7 </w:t>
            </w:r>
          </w:p>
        </w:tc>
      </w:tr>
      <w:tr w:rsidR="00F1540A" w:rsidRPr="005734B8" w14:paraId="780F3D38" w14:textId="77777777" w:rsidTr="007029C7">
        <w:trPr>
          <w:trHeight w:val="480"/>
        </w:trPr>
        <w:tc>
          <w:tcPr>
            <w:tcW w:w="3424" w:type="dxa"/>
            <w:tcBorders>
              <w:top w:val="nil"/>
              <w:left w:val="nil"/>
              <w:bottom w:val="single" w:sz="4" w:space="0" w:color="auto"/>
              <w:right w:val="nil"/>
            </w:tcBorders>
            <w:shd w:val="clear" w:color="FFFFFF" w:fill="FFFFFF"/>
            <w:vAlign w:val="center"/>
            <w:hideMark/>
          </w:tcPr>
          <w:p w14:paraId="6B20D9A5"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Longer than one year but not longer than five years</w:t>
            </w:r>
          </w:p>
        </w:tc>
        <w:tc>
          <w:tcPr>
            <w:tcW w:w="1057" w:type="dxa"/>
            <w:tcBorders>
              <w:top w:val="nil"/>
              <w:left w:val="single" w:sz="4" w:space="0" w:color="FFFFFF"/>
              <w:bottom w:val="single" w:sz="4" w:space="0" w:color="auto"/>
              <w:right w:val="single" w:sz="4" w:space="0" w:color="FFFFFF"/>
            </w:tcBorders>
            <w:shd w:val="clear" w:color="000000" w:fill="D9D9D9"/>
            <w:noWrap/>
            <w:vAlign w:val="center"/>
            <w:hideMark/>
          </w:tcPr>
          <w:p w14:paraId="664A74C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11.4 </w:t>
            </w:r>
          </w:p>
        </w:tc>
        <w:tc>
          <w:tcPr>
            <w:tcW w:w="1054" w:type="dxa"/>
            <w:tcBorders>
              <w:top w:val="nil"/>
              <w:left w:val="nil"/>
              <w:bottom w:val="single" w:sz="4" w:space="0" w:color="auto"/>
              <w:right w:val="single" w:sz="4" w:space="0" w:color="FFFFFF"/>
            </w:tcBorders>
            <w:shd w:val="clear" w:color="FFFFFF" w:fill="FFFFFF"/>
            <w:noWrap/>
            <w:vAlign w:val="center"/>
            <w:hideMark/>
          </w:tcPr>
          <w:p w14:paraId="516E7DB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9.2 </w:t>
            </w:r>
          </w:p>
        </w:tc>
        <w:tc>
          <w:tcPr>
            <w:tcW w:w="1046" w:type="dxa"/>
            <w:tcBorders>
              <w:top w:val="nil"/>
              <w:left w:val="nil"/>
              <w:bottom w:val="single" w:sz="4" w:space="0" w:color="auto"/>
              <w:right w:val="single" w:sz="4" w:space="0" w:color="FFFFFF"/>
            </w:tcBorders>
            <w:shd w:val="clear" w:color="000000" w:fill="D9D9D9"/>
            <w:noWrap/>
            <w:vAlign w:val="center"/>
            <w:hideMark/>
          </w:tcPr>
          <w:p w14:paraId="16D9884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11.0 </w:t>
            </w:r>
          </w:p>
        </w:tc>
        <w:tc>
          <w:tcPr>
            <w:tcW w:w="1044" w:type="dxa"/>
            <w:tcBorders>
              <w:top w:val="nil"/>
              <w:left w:val="nil"/>
              <w:bottom w:val="single" w:sz="4" w:space="0" w:color="auto"/>
              <w:right w:val="single" w:sz="4" w:space="0" w:color="FFFFFF"/>
            </w:tcBorders>
            <w:shd w:val="clear" w:color="FFFFFF" w:fill="FFFFFF"/>
            <w:noWrap/>
            <w:vAlign w:val="center"/>
            <w:hideMark/>
          </w:tcPr>
          <w:p w14:paraId="324E11D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8.8 </w:t>
            </w:r>
          </w:p>
        </w:tc>
      </w:tr>
      <w:tr w:rsidR="00F1540A" w:rsidRPr="005734B8" w14:paraId="4F3EB1E6" w14:textId="77777777" w:rsidTr="007029C7">
        <w:trPr>
          <w:trHeight w:val="270"/>
        </w:trPr>
        <w:tc>
          <w:tcPr>
            <w:tcW w:w="3424" w:type="dxa"/>
            <w:tcBorders>
              <w:top w:val="nil"/>
              <w:left w:val="nil"/>
              <w:bottom w:val="single" w:sz="4" w:space="0" w:color="auto"/>
              <w:right w:val="nil"/>
            </w:tcBorders>
            <w:shd w:val="clear" w:color="FFFFFF" w:fill="FFFFFF"/>
            <w:vAlign w:val="center"/>
            <w:hideMark/>
          </w:tcPr>
          <w:p w14:paraId="7BAC7E8F"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Longer than five years</w:t>
            </w:r>
          </w:p>
        </w:tc>
        <w:tc>
          <w:tcPr>
            <w:tcW w:w="1057" w:type="dxa"/>
            <w:tcBorders>
              <w:top w:val="nil"/>
              <w:left w:val="single" w:sz="4" w:space="0" w:color="FFFFFF"/>
              <w:bottom w:val="single" w:sz="4" w:space="0" w:color="auto"/>
              <w:right w:val="single" w:sz="4" w:space="0" w:color="FFFFFF"/>
            </w:tcBorders>
            <w:shd w:val="clear" w:color="000000" w:fill="D9D9D9"/>
            <w:noWrap/>
            <w:vAlign w:val="center"/>
            <w:hideMark/>
          </w:tcPr>
          <w:p w14:paraId="23801F7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1.4 </w:t>
            </w:r>
          </w:p>
        </w:tc>
        <w:tc>
          <w:tcPr>
            <w:tcW w:w="1054" w:type="dxa"/>
            <w:tcBorders>
              <w:top w:val="nil"/>
              <w:left w:val="nil"/>
              <w:bottom w:val="single" w:sz="4" w:space="0" w:color="auto"/>
              <w:right w:val="single" w:sz="4" w:space="0" w:color="FFFFFF"/>
            </w:tcBorders>
            <w:shd w:val="clear" w:color="FFFFFF" w:fill="FFFFFF"/>
            <w:noWrap/>
            <w:vAlign w:val="center"/>
            <w:hideMark/>
          </w:tcPr>
          <w:p w14:paraId="0544319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1.4 </w:t>
            </w:r>
          </w:p>
        </w:tc>
        <w:tc>
          <w:tcPr>
            <w:tcW w:w="1046" w:type="dxa"/>
            <w:tcBorders>
              <w:top w:val="nil"/>
              <w:left w:val="nil"/>
              <w:bottom w:val="single" w:sz="4" w:space="0" w:color="auto"/>
              <w:right w:val="single" w:sz="4" w:space="0" w:color="FFFFFF"/>
            </w:tcBorders>
            <w:shd w:val="clear" w:color="000000" w:fill="D9D9D9"/>
            <w:noWrap/>
            <w:vAlign w:val="center"/>
            <w:hideMark/>
          </w:tcPr>
          <w:p w14:paraId="2430008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1.2 </w:t>
            </w:r>
          </w:p>
        </w:tc>
        <w:tc>
          <w:tcPr>
            <w:tcW w:w="1044" w:type="dxa"/>
            <w:tcBorders>
              <w:top w:val="nil"/>
              <w:left w:val="nil"/>
              <w:bottom w:val="single" w:sz="4" w:space="0" w:color="auto"/>
              <w:right w:val="single" w:sz="4" w:space="0" w:color="FFFFFF"/>
            </w:tcBorders>
            <w:shd w:val="clear" w:color="FFFFFF" w:fill="FFFFFF"/>
            <w:noWrap/>
            <w:vAlign w:val="center"/>
            <w:hideMark/>
          </w:tcPr>
          <w:p w14:paraId="6091AA4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0.4 </w:t>
            </w:r>
          </w:p>
        </w:tc>
      </w:tr>
      <w:tr w:rsidR="00F1540A" w:rsidRPr="005734B8" w14:paraId="56618A9D" w14:textId="77777777" w:rsidTr="007029C7">
        <w:trPr>
          <w:trHeight w:val="285"/>
        </w:trPr>
        <w:tc>
          <w:tcPr>
            <w:tcW w:w="3424"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33B964D"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Minimum future lease payments</w:t>
            </w:r>
          </w:p>
        </w:tc>
        <w:tc>
          <w:tcPr>
            <w:tcW w:w="1057"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1001E855"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883.2 </w:t>
            </w:r>
          </w:p>
        </w:tc>
        <w:tc>
          <w:tcPr>
            <w:tcW w:w="1054" w:type="dxa"/>
            <w:tcBorders>
              <w:top w:val="single" w:sz="12" w:space="0" w:color="auto"/>
              <w:left w:val="nil"/>
              <w:bottom w:val="single" w:sz="12" w:space="0" w:color="auto"/>
              <w:right w:val="single" w:sz="12" w:space="0" w:color="FFFFFF"/>
            </w:tcBorders>
            <w:shd w:val="clear" w:color="FFFFFF" w:fill="FFFFFF"/>
            <w:noWrap/>
            <w:vAlign w:val="center"/>
            <w:hideMark/>
          </w:tcPr>
          <w:p w14:paraId="343ACEF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975.8 </w:t>
            </w:r>
          </w:p>
        </w:tc>
        <w:tc>
          <w:tcPr>
            <w:tcW w:w="1046"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4F2365A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552.0 </w:t>
            </w:r>
          </w:p>
        </w:tc>
        <w:tc>
          <w:tcPr>
            <w:tcW w:w="1044" w:type="dxa"/>
            <w:tcBorders>
              <w:top w:val="single" w:sz="12" w:space="0" w:color="auto"/>
              <w:left w:val="nil"/>
              <w:bottom w:val="single" w:sz="12" w:space="0" w:color="auto"/>
              <w:right w:val="single" w:sz="12" w:space="0" w:color="FFFFFF"/>
            </w:tcBorders>
            <w:shd w:val="clear" w:color="FFFFFF" w:fill="FFFFFF"/>
            <w:noWrap/>
            <w:vAlign w:val="center"/>
            <w:hideMark/>
          </w:tcPr>
          <w:p w14:paraId="1C00664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570.0 </w:t>
            </w:r>
          </w:p>
        </w:tc>
      </w:tr>
      <w:tr w:rsidR="00F1540A" w:rsidRPr="005734B8" w14:paraId="4CBA586D" w14:textId="77777777" w:rsidTr="007029C7">
        <w:trPr>
          <w:trHeight w:val="285"/>
        </w:trPr>
        <w:tc>
          <w:tcPr>
            <w:tcW w:w="3424" w:type="dxa"/>
            <w:tcBorders>
              <w:top w:val="nil"/>
              <w:left w:val="nil"/>
              <w:bottom w:val="single" w:sz="4" w:space="0" w:color="auto"/>
              <w:right w:val="nil"/>
            </w:tcBorders>
            <w:shd w:val="clear" w:color="FFFFFF" w:fill="FFFFFF"/>
            <w:vAlign w:val="center"/>
            <w:hideMark/>
          </w:tcPr>
          <w:p w14:paraId="770F7F6D"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Less future finance charges</w:t>
            </w:r>
          </w:p>
        </w:tc>
        <w:tc>
          <w:tcPr>
            <w:tcW w:w="1057" w:type="dxa"/>
            <w:tcBorders>
              <w:top w:val="single" w:sz="12" w:space="0" w:color="auto"/>
              <w:left w:val="single" w:sz="4" w:space="0" w:color="FFFFFF"/>
              <w:bottom w:val="single" w:sz="12" w:space="0" w:color="auto"/>
              <w:right w:val="single" w:sz="4" w:space="0" w:color="FFFFFF"/>
            </w:tcBorders>
            <w:shd w:val="clear" w:color="000000" w:fill="D9D9D9" w:themeFill="background1" w:themeFillShade="D9"/>
            <w:noWrap/>
            <w:vAlign w:val="center"/>
            <w:hideMark/>
          </w:tcPr>
          <w:p w14:paraId="289862F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(331.2) </w:t>
            </w:r>
          </w:p>
        </w:tc>
        <w:tc>
          <w:tcPr>
            <w:tcW w:w="1054" w:type="dxa"/>
            <w:tcBorders>
              <w:top w:val="nil"/>
              <w:left w:val="nil"/>
              <w:bottom w:val="single" w:sz="4" w:space="0" w:color="auto"/>
              <w:right w:val="single" w:sz="4" w:space="0" w:color="FFFFFF"/>
            </w:tcBorders>
            <w:shd w:val="clear" w:color="FFFFFF" w:fill="FFFFFF"/>
            <w:noWrap/>
            <w:vAlign w:val="center"/>
            <w:hideMark/>
          </w:tcPr>
          <w:p w14:paraId="791AA7C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(405.8) </w:t>
            </w:r>
          </w:p>
        </w:tc>
        <w:tc>
          <w:tcPr>
            <w:tcW w:w="1046" w:type="dxa"/>
            <w:tcBorders>
              <w:top w:val="single" w:sz="4" w:space="0" w:color="auto"/>
              <w:left w:val="nil"/>
              <w:bottom w:val="single" w:sz="4" w:space="0" w:color="auto"/>
              <w:right w:val="single" w:sz="4" w:space="0" w:color="FFFFFF"/>
            </w:tcBorders>
            <w:shd w:val="clear" w:color="000000" w:fill="D9D9D9"/>
            <w:noWrap/>
            <w:vAlign w:val="center"/>
            <w:hideMark/>
          </w:tcPr>
          <w:p w14:paraId="0EA360A7" w14:textId="04DE7366"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1044" w:type="dxa"/>
            <w:tcBorders>
              <w:top w:val="nil"/>
              <w:left w:val="nil"/>
              <w:bottom w:val="single" w:sz="4" w:space="0" w:color="auto"/>
              <w:right w:val="single" w:sz="4" w:space="0" w:color="FFFFFF"/>
            </w:tcBorders>
            <w:shd w:val="clear" w:color="FFFFFF" w:fill="FFFFFF"/>
            <w:noWrap/>
            <w:vAlign w:val="center"/>
            <w:hideMark/>
          </w:tcPr>
          <w:p w14:paraId="2CBF94C0" w14:textId="765FC8C8"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r>
      <w:tr w:rsidR="00F1540A" w:rsidRPr="005734B8" w14:paraId="09509AFB" w14:textId="77777777" w:rsidTr="007029C7">
        <w:trPr>
          <w:trHeight w:val="285"/>
        </w:trPr>
        <w:tc>
          <w:tcPr>
            <w:tcW w:w="3424"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23DF1CCD"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Present value of minimum lease payments</w:t>
            </w:r>
          </w:p>
        </w:tc>
        <w:tc>
          <w:tcPr>
            <w:tcW w:w="1057"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416097B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552.0 </w:t>
            </w:r>
          </w:p>
        </w:tc>
        <w:tc>
          <w:tcPr>
            <w:tcW w:w="1054" w:type="dxa"/>
            <w:tcBorders>
              <w:top w:val="single" w:sz="12" w:space="0" w:color="auto"/>
              <w:left w:val="nil"/>
              <w:bottom w:val="single" w:sz="12" w:space="0" w:color="auto"/>
              <w:right w:val="single" w:sz="12" w:space="0" w:color="FFFFFF"/>
            </w:tcBorders>
            <w:shd w:val="clear" w:color="FFFFFF" w:fill="FFFFFF"/>
            <w:noWrap/>
            <w:vAlign w:val="center"/>
            <w:hideMark/>
          </w:tcPr>
          <w:p w14:paraId="31A97757"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570.0 </w:t>
            </w:r>
          </w:p>
        </w:tc>
        <w:tc>
          <w:tcPr>
            <w:tcW w:w="1046"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4D5403FF"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552.0 </w:t>
            </w:r>
          </w:p>
        </w:tc>
        <w:tc>
          <w:tcPr>
            <w:tcW w:w="1044" w:type="dxa"/>
            <w:tcBorders>
              <w:top w:val="single" w:sz="12" w:space="0" w:color="auto"/>
              <w:left w:val="nil"/>
              <w:bottom w:val="single" w:sz="12" w:space="0" w:color="auto"/>
              <w:right w:val="single" w:sz="12" w:space="0" w:color="FFFFFF"/>
            </w:tcBorders>
            <w:shd w:val="clear" w:color="FFFFFF" w:fill="FFFFFF"/>
            <w:noWrap/>
            <w:vAlign w:val="center"/>
            <w:hideMark/>
          </w:tcPr>
          <w:p w14:paraId="2B2A1ABD"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570.0 </w:t>
            </w:r>
          </w:p>
        </w:tc>
      </w:tr>
      <w:tr w:rsidR="00F1540A" w:rsidRPr="005734B8" w14:paraId="2DB80E84" w14:textId="77777777" w:rsidTr="007029C7">
        <w:trPr>
          <w:trHeight w:val="270"/>
        </w:trPr>
        <w:tc>
          <w:tcPr>
            <w:tcW w:w="7625" w:type="dxa"/>
            <w:gridSpan w:val="5"/>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74564C3F"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Included in the financial statements as:</w:t>
            </w:r>
          </w:p>
        </w:tc>
      </w:tr>
      <w:tr w:rsidR="00F1540A" w:rsidRPr="005734B8" w14:paraId="01B8C83E" w14:textId="77777777" w:rsidTr="007029C7">
        <w:trPr>
          <w:trHeight w:val="480"/>
        </w:trPr>
        <w:tc>
          <w:tcPr>
            <w:tcW w:w="3424" w:type="dxa"/>
            <w:tcBorders>
              <w:top w:val="nil"/>
              <w:left w:val="nil"/>
              <w:bottom w:val="single" w:sz="4" w:space="0" w:color="auto"/>
              <w:right w:val="nil"/>
            </w:tcBorders>
            <w:shd w:val="clear" w:color="FFFFFF" w:fill="FFFFFF"/>
            <w:vAlign w:val="center"/>
            <w:hideMark/>
          </w:tcPr>
          <w:p w14:paraId="1D28698F" w14:textId="77777777" w:rsidR="003A4E70" w:rsidRPr="005734B8" w:rsidRDefault="00F1540A" w:rsidP="000F48B1">
            <w:pPr>
              <w:rPr>
                <w:rFonts w:ascii="Calibri" w:hAnsi="Calibri" w:cs="Calibri"/>
                <w:sz w:val="18"/>
                <w:szCs w:val="18"/>
              </w:rPr>
            </w:pPr>
            <w:r w:rsidRPr="005734B8">
              <w:rPr>
                <w:rFonts w:ascii="Calibri" w:hAnsi="Calibri" w:cs="Calibri"/>
                <w:sz w:val="18"/>
                <w:szCs w:val="18"/>
              </w:rPr>
              <w:t>Current borrowings</w:t>
            </w:r>
            <w:r w:rsidR="003A4E70" w:rsidRPr="005734B8">
              <w:rPr>
                <w:rFonts w:ascii="Calibri" w:hAnsi="Calibri" w:cs="Calibri"/>
                <w:sz w:val="18"/>
                <w:szCs w:val="18"/>
              </w:rPr>
              <w:t>:</w:t>
            </w:r>
            <w:r w:rsidRPr="005734B8">
              <w:rPr>
                <w:rFonts w:ascii="Calibri" w:hAnsi="Calibri" w:cs="Calibri"/>
                <w:sz w:val="18"/>
                <w:szCs w:val="18"/>
              </w:rPr>
              <w:t xml:space="preserve"> lease liabilities</w:t>
            </w:r>
          </w:p>
          <w:p w14:paraId="09119AB9" w14:textId="1DD0A780" w:rsidR="00F1540A" w:rsidRPr="005734B8" w:rsidRDefault="00F1540A" w:rsidP="000F48B1">
            <w:pPr>
              <w:rPr>
                <w:rFonts w:ascii="Calibri" w:hAnsi="Calibri" w:cs="Calibri"/>
                <w:sz w:val="18"/>
                <w:szCs w:val="18"/>
              </w:rPr>
            </w:pPr>
            <w:r w:rsidRPr="005734B8">
              <w:rPr>
                <w:rFonts w:ascii="Calibri" w:hAnsi="Calibri" w:cs="Calibri"/>
                <w:sz w:val="18"/>
                <w:szCs w:val="18"/>
              </w:rPr>
              <w:t>(Note 7.1)</w:t>
            </w:r>
          </w:p>
        </w:tc>
        <w:tc>
          <w:tcPr>
            <w:tcW w:w="1057" w:type="dxa"/>
            <w:tcBorders>
              <w:top w:val="nil"/>
              <w:left w:val="single" w:sz="4" w:space="0" w:color="FFFFFF"/>
              <w:bottom w:val="single" w:sz="4" w:space="0" w:color="auto"/>
              <w:right w:val="single" w:sz="4" w:space="0" w:color="FFFFFF"/>
            </w:tcBorders>
            <w:shd w:val="clear" w:color="FFFFFF" w:fill="FFFFFF"/>
            <w:noWrap/>
            <w:vAlign w:val="center"/>
            <w:hideMark/>
          </w:tcPr>
          <w:p w14:paraId="03696A9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w:t>
            </w:r>
          </w:p>
        </w:tc>
        <w:tc>
          <w:tcPr>
            <w:tcW w:w="1054" w:type="dxa"/>
            <w:tcBorders>
              <w:top w:val="nil"/>
              <w:left w:val="nil"/>
              <w:bottom w:val="single" w:sz="4" w:space="0" w:color="auto"/>
              <w:right w:val="single" w:sz="4" w:space="0" w:color="FFFFFF"/>
            </w:tcBorders>
            <w:shd w:val="clear" w:color="FFFFFF" w:fill="FFFFFF"/>
            <w:noWrap/>
            <w:vAlign w:val="center"/>
            <w:hideMark/>
          </w:tcPr>
          <w:p w14:paraId="7E2B3CA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w:t>
            </w:r>
          </w:p>
        </w:tc>
        <w:tc>
          <w:tcPr>
            <w:tcW w:w="1046" w:type="dxa"/>
            <w:tcBorders>
              <w:top w:val="nil"/>
              <w:left w:val="nil"/>
              <w:bottom w:val="single" w:sz="4" w:space="0" w:color="auto"/>
              <w:right w:val="single" w:sz="4" w:space="0" w:color="FFFFFF"/>
            </w:tcBorders>
            <w:shd w:val="clear" w:color="000000" w:fill="D9D9D9"/>
            <w:noWrap/>
            <w:vAlign w:val="center"/>
            <w:hideMark/>
          </w:tcPr>
          <w:p w14:paraId="5BC3DBE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47.0 </w:t>
            </w:r>
          </w:p>
        </w:tc>
        <w:tc>
          <w:tcPr>
            <w:tcW w:w="1044" w:type="dxa"/>
            <w:tcBorders>
              <w:top w:val="nil"/>
              <w:left w:val="nil"/>
              <w:bottom w:val="single" w:sz="4" w:space="0" w:color="auto"/>
              <w:right w:val="single" w:sz="4" w:space="0" w:color="FFFFFF"/>
            </w:tcBorders>
            <w:shd w:val="clear" w:color="FFFFFF" w:fill="FFFFFF"/>
            <w:noWrap/>
            <w:vAlign w:val="center"/>
            <w:hideMark/>
          </w:tcPr>
          <w:p w14:paraId="03D79D4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52.6 </w:t>
            </w:r>
          </w:p>
        </w:tc>
      </w:tr>
      <w:tr w:rsidR="00F1540A" w:rsidRPr="005734B8" w14:paraId="660BB3D6" w14:textId="77777777" w:rsidTr="007029C7">
        <w:trPr>
          <w:trHeight w:val="495"/>
        </w:trPr>
        <w:tc>
          <w:tcPr>
            <w:tcW w:w="3424" w:type="dxa"/>
            <w:tcBorders>
              <w:top w:val="nil"/>
              <w:left w:val="nil"/>
              <w:bottom w:val="single" w:sz="4" w:space="0" w:color="auto"/>
              <w:right w:val="nil"/>
            </w:tcBorders>
            <w:shd w:val="clear" w:color="FFFFFF" w:fill="FFFFFF"/>
            <w:vAlign w:val="center"/>
            <w:hideMark/>
          </w:tcPr>
          <w:p w14:paraId="28E6AF24" w14:textId="064ACD49" w:rsidR="00F1540A" w:rsidRPr="005734B8" w:rsidRDefault="00F1540A" w:rsidP="000F48B1">
            <w:pPr>
              <w:rPr>
                <w:rFonts w:ascii="Calibri" w:hAnsi="Calibri" w:cs="Calibri"/>
                <w:sz w:val="18"/>
                <w:szCs w:val="18"/>
              </w:rPr>
            </w:pPr>
            <w:r w:rsidRPr="005734B8">
              <w:rPr>
                <w:rFonts w:ascii="Calibri" w:hAnsi="Calibri" w:cs="Calibri"/>
                <w:sz w:val="18"/>
                <w:szCs w:val="18"/>
              </w:rPr>
              <w:t>Non-current borrowings</w:t>
            </w:r>
            <w:r w:rsidR="003A4E70" w:rsidRPr="005734B8">
              <w:rPr>
                <w:rFonts w:ascii="Calibri" w:hAnsi="Calibri" w:cs="Calibri"/>
                <w:sz w:val="18"/>
                <w:szCs w:val="18"/>
              </w:rPr>
              <w:t>:</w:t>
            </w:r>
            <w:r w:rsidRPr="005734B8">
              <w:rPr>
                <w:rFonts w:ascii="Calibri" w:hAnsi="Calibri" w:cs="Calibri"/>
                <w:sz w:val="18"/>
                <w:szCs w:val="18"/>
              </w:rPr>
              <w:t xml:space="preserve"> lease liabilities (Note 7.1)</w:t>
            </w:r>
          </w:p>
        </w:tc>
        <w:tc>
          <w:tcPr>
            <w:tcW w:w="1057" w:type="dxa"/>
            <w:tcBorders>
              <w:top w:val="nil"/>
              <w:left w:val="single" w:sz="4" w:space="0" w:color="FFFFFF"/>
              <w:bottom w:val="single" w:sz="4" w:space="0" w:color="auto"/>
              <w:right w:val="single" w:sz="4" w:space="0" w:color="FFFFFF"/>
            </w:tcBorders>
            <w:shd w:val="clear" w:color="FFFFFF" w:fill="FFFFFF"/>
            <w:noWrap/>
            <w:vAlign w:val="center"/>
            <w:hideMark/>
          </w:tcPr>
          <w:p w14:paraId="34D9CFE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w:t>
            </w:r>
          </w:p>
        </w:tc>
        <w:tc>
          <w:tcPr>
            <w:tcW w:w="1054" w:type="dxa"/>
            <w:tcBorders>
              <w:top w:val="nil"/>
              <w:left w:val="nil"/>
              <w:bottom w:val="single" w:sz="4" w:space="0" w:color="auto"/>
              <w:right w:val="single" w:sz="4" w:space="0" w:color="FFFFFF"/>
            </w:tcBorders>
            <w:shd w:val="clear" w:color="FFFFFF" w:fill="FFFFFF"/>
            <w:noWrap/>
            <w:vAlign w:val="center"/>
            <w:hideMark/>
          </w:tcPr>
          <w:p w14:paraId="2309708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w:t>
            </w:r>
          </w:p>
        </w:tc>
        <w:tc>
          <w:tcPr>
            <w:tcW w:w="1046" w:type="dxa"/>
            <w:tcBorders>
              <w:top w:val="nil"/>
              <w:left w:val="nil"/>
              <w:bottom w:val="single" w:sz="4" w:space="0" w:color="auto"/>
              <w:right w:val="single" w:sz="4" w:space="0" w:color="FFFFFF"/>
            </w:tcBorders>
            <w:shd w:val="clear" w:color="000000" w:fill="D9D9D9"/>
            <w:noWrap/>
            <w:vAlign w:val="center"/>
            <w:hideMark/>
          </w:tcPr>
          <w:p w14:paraId="3C2F2AA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505.0 </w:t>
            </w:r>
          </w:p>
        </w:tc>
        <w:tc>
          <w:tcPr>
            <w:tcW w:w="1044" w:type="dxa"/>
            <w:tcBorders>
              <w:top w:val="nil"/>
              <w:left w:val="nil"/>
              <w:bottom w:val="single" w:sz="4" w:space="0" w:color="auto"/>
              <w:right w:val="single" w:sz="4" w:space="0" w:color="FFFFFF"/>
            </w:tcBorders>
            <w:shd w:val="clear" w:color="FFFFFF" w:fill="FFFFFF"/>
            <w:noWrap/>
            <w:vAlign w:val="center"/>
            <w:hideMark/>
          </w:tcPr>
          <w:p w14:paraId="7883742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517.4 </w:t>
            </w:r>
          </w:p>
        </w:tc>
      </w:tr>
      <w:tr w:rsidR="00F1540A" w:rsidRPr="005734B8" w14:paraId="019CF4CF" w14:textId="77777777" w:rsidTr="007029C7">
        <w:trPr>
          <w:trHeight w:val="510"/>
        </w:trPr>
        <w:tc>
          <w:tcPr>
            <w:tcW w:w="3424"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9FF1772"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aggregate carrying amount of borrowings</w:t>
            </w:r>
            <w:r w:rsidRPr="005734B8">
              <w:rPr>
                <w:rStyle w:val="FootnoteReference"/>
                <w:rFonts w:ascii="Calibri" w:hAnsi="Calibri" w:cs="Calibri"/>
                <w:b/>
                <w:sz w:val="18"/>
                <w:szCs w:val="18"/>
              </w:rPr>
              <w:footnoteReference w:id="93"/>
            </w:r>
          </w:p>
        </w:tc>
        <w:tc>
          <w:tcPr>
            <w:tcW w:w="1057" w:type="dxa"/>
            <w:tcBorders>
              <w:top w:val="single" w:sz="12" w:space="0" w:color="auto"/>
              <w:left w:val="nil"/>
              <w:bottom w:val="single" w:sz="12" w:space="0" w:color="auto"/>
              <w:right w:val="single" w:sz="12" w:space="0" w:color="FFFFFF"/>
            </w:tcBorders>
            <w:shd w:val="clear" w:color="FFFFFF" w:fill="FFFFFF"/>
            <w:noWrap/>
            <w:vAlign w:val="center"/>
            <w:hideMark/>
          </w:tcPr>
          <w:p w14:paraId="7A33502B"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w:t>
            </w:r>
          </w:p>
        </w:tc>
        <w:tc>
          <w:tcPr>
            <w:tcW w:w="1054" w:type="dxa"/>
            <w:tcBorders>
              <w:top w:val="single" w:sz="12" w:space="0" w:color="auto"/>
              <w:left w:val="nil"/>
              <w:bottom w:val="single" w:sz="12" w:space="0" w:color="auto"/>
              <w:right w:val="single" w:sz="12" w:space="0" w:color="FFFFFF"/>
            </w:tcBorders>
            <w:shd w:val="clear" w:color="FFFFFF" w:fill="FFFFFF"/>
            <w:noWrap/>
            <w:vAlign w:val="center"/>
            <w:hideMark/>
          </w:tcPr>
          <w:p w14:paraId="1D978712"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w:t>
            </w:r>
          </w:p>
        </w:tc>
        <w:tc>
          <w:tcPr>
            <w:tcW w:w="1046"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9258458"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552.0 </w:t>
            </w:r>
          </w:p>
        </w:tc>
        <w:tc>
          <w:tcPr>
            <w:tcW w:w="1044" w:type="dxa"/>
            <w:tcBorders>
              <w:top w:val="single" w:sz="12" w:space="0" w:color="auto"/>
              <w:left w:val="nil"/>
              <w:bottom w:val="single" w:sz="12" w:space="0" w:color="auto"/>
              <w:right w:val="single" w:sz="12" w:space="0" w:color="FFFFFF"/>
            </w:tcBorders>
            <w:shd w:val="clear" w:color="FFFFFF" w:fill="FFFFFF"/>
            <w:noWrap/>
            <w:vAlign w:val="center"/>
            <w:hideMark/>
          </w:tcPr>
          <w:p w14:paraId="0F5316C3"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570.0 </w:t>
            </w:r>
          </w:p>
        </w:tc>
      </w:tr>
    </w:tbl>
    <w:p w14:paraId="2E32901E" w14:textId="77777777" w:rsidR="007029C7" w:rsidRPr="005734B8" w:rsidRDefault="007029C7">
      <w:pPr>
        <w:rPr>
          <w:rFonts w:ascii="Calibri" w:hAnsi="Calibri" w:cs="Calibri"/>
        </w:rPr>
      </w:pPr>
      <w:r w:rsidRPr="005734B8">
        <w:rPr>
          <w:rFonts w:ascii="Calibri" w:hAnsi="Calibri" w:cs="Calibri"/>
        </w:rPr>
        <w:br w:type="page"/>
      </w:r>
    </w:p>
    <w:tbl>
      <w:tblPr>
        <w:tblW w:w="7625" w:type="dxa"/>
        <w:tblInd w:w="80" w:type="dxa"/>
        <w:tblLayout w:type="fixed"/>
        <w:tblLook w:val="04A0" w:firstRow="1" w:lastRow="0" w:firstColumn="1" w:lastColumn="0" w:noHBand="0" w:noVBand="1"/>
      </w:tblPr>
      <w:tblGrid>
        <w:gridCol w:w="3424"/>
        <w:gridCol w:w="1057"/>
        <w:gridCol w:w="1054"/>
        <w:gridCol w:w="1046"/>
        <w:gridCol w:w="1044"/>
      </w:tblGrid>
      <w:tr w:rsidR="00F1540A" w:rsidRPr="005734B8" w14:paraId="692A5F35" w14:textId="77777777" w:rsidTr="007029C7">
        <w:trPr>
          <w:trHeight w:val="270"/>
        </w:trPr>
        <w:tc>
          <w:tcPr>
            <w:tcW w:w="3424" w:type="dxa"/>
            <w:tcBorders>
              <w:top w:val="nil"/>
              <w:left w:val="nil"/>
              <w:bottom w:val="nil"/>
              <w:right w:val="nil"/>
            </w:tcBorders>
            <w:shd w:val="clear" w:color="auto" w:fill="auto"/>
            <w:noWrap/>
            <w:vAlign w:val="bottom"/>
            <w:hideMark/>
          </w:tcPr>
          <w:p w14:paraId="7D6864FD" w14:textId="235926CF" w:rsidR="00F1540A" w:rsidRPr="005734B8" w:rsidRDefault="00F1540A" w:rsidP="007029C7">
            <w:pPr>
              <w:jc w:val="center"/>
              <w:rPr>
                <w:rFonts w:ascii="Calibri" w:hAnsi="Calibri" w:cs="Calibri"/>
                <w:b/>
                <w:bCs/>
                <w:sz w:val="18"/>
                <w:szCs w:val="18"/>
              </w:rPr>
            </w:pPr>
          </w:p>
        </w:tc>
        <w:tc>
          <w:tcPr>
            <w:tcW w:w="1057" w:type="dxa"/>
            <w:tcBorders>
              <w:top w:val="nil"/>
              <w:left w:val="nil"/>
              <w:bottom w:val="nil"/>
              <w:right w:val="nil"/>
            </w:tcBorders>
            <w:shd w:val="clear" w:color="auto" w:fill="auto"/>
            <w:noWrap/>
            <w:vAlign w:val="bottom"/>
            <w:hideMark/>
          </w:tcPr>
          <w:p w14:paraId="28F73C2B" w14:textId="77777777" w:rsidR="00F1540A" w:rsidRPr="005734B8" w:rsidRDefault="00F1540A" w:rsidP="000F48B1">
            <w:pPr>
              <w:rPr>
                <w:rFonts w:ascii="Calibri" w:hAnsi="Calibri" w:cs="Calibri"/>
                <w:sz w:val="20"/>
              </w:rPr>
            </w:pPr>
          </w:p>
        </w:tc>
        <w:tc>
          <w:tcPr>
            <w:tcW w:w="1054" w:type="dxa"/>
            <w:tcBorders>
              <w:top w:val="nil"/>
              <w:left w:val="nil"/>
              <w:bottom w:val="nil"/>
              <w:right w:val="nil"/>
            </w:tcBorders>
            <w:shd w:val="clear" w:color="auto" w:fill="auto"/>
            <w:noWrap/>
            <w:vAlign w:val="bottom"/>
            <w:hideMark/>
          </w:tcPr>
          <w:p w14:paraId="2FCBFF2F" w14:textId="77777777" w:rsidR="00F1540A" w:rsidRPr="005734B8" w:rsidRDefault="00F1540A" w:rsidP="000F48B1">
            <w:pPr>
              <w:rPr>
                <w:rFonts w:ascii="Calibri" w:hAnsi="Calibri" w:cs="Calibri"/>
                <w:sz w:val="20"/>
              </w:rPr>
            </w:pPr>
          </w:p>
        </w:tc>
        <w:tc>
          <w:tcPr>
            <w:tcW w:w="1046" w:type="dxa"/>
            <w:tcBorders>
              <w:top w:val="nil"/>
              <w:left w:val="nil"/>
              <w:bottom w:val="nil"/>
              <w:right w:val="nil"/>
            </w:tcBorders>
            <w:shd w:val="clear" w:color="auto" w:fill="auto"/>
            <w:noWrap/>
            <w:vAlign w:val="bottom"/>
            <w:hideMark/>
          </w:tcPr>
          <w:p w14:paraId="40098571" w14:textId="77777777" w:rsidR="00F1540A" w:rsidRPr="005734B8" w:rsidRDefault="00F1540A" w:rsidP="000F48B1">
            <w:pPr>
              <w:rPr>
                <w:rFonts w:ascii="Calibri" w:hAnsi="Calibri" w:cs="Calibri"/>
                <w:sz w:val="20"/>
              </w:rPr>
            </w:pPr>
          </w:p>
        </w:tc>
        <w:tc>
          <w:tcPr>
            <w:tcW w:w="1044" w:type="dxa"/>
            <w:tcBorders>
              <w:top w:val="nil"/>
              <w:left w:val="nil"/>
              <w:bottom w:val="nil"/>
              <w:right w:val="nil"/>
            </w:tcBorders>
            <w:shd w:val="clear" w:color="auto" w:fill="auto"/>
            <w:noWrap/>
            <w:vAlign w:val="bottom"/>
            <w:hideMark/>
          </w:tcPr>
          <w:p w14:paraId="485111F2" w14:textId="77777777" w:rsidR="00F1540A" w:rsidRPr="005734B8" w:rsidRDefault="00F1540A" w:rsidP="000F48B1">
            <w:pPr>
              <w:rPr>
                <w:rFonts w:ascii="Calibri" w:hAnsi="Calibri" w:cs="Calibri"/>
                <w:sz w:val="20"/>
              </w:rPr>
            </w:pPr>
          </w:p>
        </w:tc>
      </w:tr>
      <w:tr w:rsidR="00F1540A" w:rsidRPr="005734B8" w14:paraId="6214A900" w14:textId="77777777" w:rsidTr="007029C7">
        <w:trPr>
          <w:trHeight w:val="480"/>
        </w:trPr>
        <w:tc>
          <w:tcPr>
            <w:tcW w:w="5535" w:type="dxa"/>
            <w:gridSpan w:val="3"/>
            <w:tcBorders>
              <w:top w:val="nil"/>
              <w:left w:val="single" w:sz="4" w:space="0" w:color="FFFFFF"/>
              <w:bottom w:val="single" w:sz="4" w:space="0" w:color="auto"/>
              <w:right w:val="single" w:sz="4" w:space="0" w:color="FFFFFF"/>
            </w:tcBorders>
            <w:shd w:val="clear" w:color="000000" w:fill="AF272F"/>
            <w:vAlign w:val="bottom"/>
            <w:hideMark/>
          </w:tcPr>
          <w:p w14:paraId="19935C7B"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 </w:t>
            </w:r>
          </w:p>
        </w:tc>
        <w:tc>
          <w:tcPr>
            <w:tcW w:w="1046" w:type="dxa"/>
            <w:tcBorders>
              <w:top w:val="nil"/>
              <w:left w:val="nil"/>
              <w:bottom w:val="nil"/>
              <w:right w:val="single" w:sz="4" w:space="0" w:color="FFFFFF"/>
            </w:tcBorders>
            <w:shd w:val="clear" w:color="000000" w:fill="AF272F"/>
            <w:vAlign w:val="bottom"/>
            <w:hideMark/>
          </w:tcPr>
          <w:p w14:paraId="454FA78F"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44" w:type="dxa"/>
            <w:tcBorders>
              <w:top w:val="nil"/>
              <w:left w:val="nil"/>
              <w:bottom w:val="nil"/>
              <w:right w:val="single" w:sz="4" w:space="0" w:color="FFFFFF"/>
            </w:tcBorders>
            <w:shd w:val="clear" w:color="000000" w:fill="AF272F"/>
            <w:hideMark/>
          </w:tcPr>
          <w:p w14:paraId="1BDC00BA"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tr w:rsidR="00F1540A" w:rsidRPr="005734B8" w14:paraId="31170F43" w14:textId="77777777" w:rsidTr="007029C7">
        <w:trPr>
          <w:trHeight w:val="255"/>
        </w:trPr>
        <w:tc>
          <w:tcPr>
            <w:tcW w:w="7625" w:type="dxa"/>
            <w:gridSpan w:val="5"/>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4DA43F23"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Assets pledged as security</w:t>
            </w:r>
          </w:p>
        </w:tc>
      </w:tr>
      <w:tr w:rsidR="00F1540A" w:rsidRPr="005734B8" w14:paraId="6E8C61BC" w14:textId="77777777" w:rsidTr="007029C7">
        <w:trPr>
          <w:trHeight w:val="255"/>
        </w:trPr>
        <w:tc>
          <w:tcPr>
            <w:tcW w:w="3424" w:type="dxa"/>
            <w:tcBorders>
              <w:top w:val="nil"/>
              <w:left w:val="single" w:sz="4" w:space="0" w:color="FFFFFF"/>
              <w:bottom w:val="nil"/>
              <w:right w:val="nil"/>
            </w:tcBorders>
            <w:shd w:val="clear" w:color="FFFFFF" w:fill="FFFFFF"/>
            <w:vAlign w:val="center"/>
            <w:hideMark/>
          </w:tcPr>
          <w:p w14:paraId="5CB1463E" w14:textId="728C49F6" w:rsidR="00F1540A" w:rsidRPr="005734B8" w:rsidRDefault="00F1540A" w:rsidP="000F48B1">
            <w:pPr>
              <w:rPr>
                <w:rFonts w:ascii="Calibri" w:hAnsi="Calibri" w:cs="Calibri"/>
                <w:sz w:val="18"/>
                <w:szCs w:val="18"/>
              </w:rPr>
            </w:pPr>
            <w:r w:rsidRPr="005734B8">
              <w:rPr>
                <w:rFonts w:ascii="Calibri" w:hAnsi="Calibri" w:cs="Calibri"/>
                <w:sz w:val="18"/>
                <w:szCs w:val="18"/>
              </w:rPr>
              <w:t xml:space="preserve">Non-PPP leases (VicFleet and </w:t>
            </w:r>
            <w:r w:rsidR="001B06C9" w:rsidRPr="005734B8">
              <w:rPr>
                <w:rFonts w:ascii="Calibri" w:hAnsi="Calibri" w:cs="Calibri"/>
                <w:sz w:val="18"/>
                <w:szCs w:val="18"/>
              </w:rPr>
              <w:t>right</w:t>
            </w:r>
            <w:r w:rsidR="001B06C9" w:rsidRPr="005734B8">
              <w:rPr>
                <w:rFonts w:ascii="Calibri" w:hAnsi="Calibri" w:cs="Calibri"/>
                <w:sz w:val="18"/>
                <w:szCs w:val="18"/>
              </w:rPr>
              <w:noBreakHyphen/>
              <w:t>of</w:t>
            </w:r>
            <w:r w:rsidR="001B06C9" w:rsidRPr="005734B8">
              <w:rPr>
                <w:rFonts w:ascii="Calibri" w:hAnsi="Calibri" w:cs="Calibri"/>
                <w:sz w:val="18"/>
                <w:szCs w:val="18"/>
              </w:rPr>
              <w:noBreakHyphen/>
              <w:t>use</w:t>
            </w:r>
            <w:r w:rsidRPr="005734B8">
              <w:rPr>
                <w:rFonts w:ascii="Calibri" w:hAnsi="Calibri" w:cs="Calibri"/>
                <w:sz w:val="18"/>
                <w:szCs w:val="18"/>
              </w:rPr>
              <w:t xml:space="preserve"> leases)</w:t>
            </w:r>
          </w:p>
        </w:tc>
        <w:tc>
          <w:tcPr>
            <w:tcW w:w="1057" w:type="dxa"/>
            <w:tcBorders>
              <w:top w:val="nil"/>
              <w:left w:val="nil"/>
              <w:bottom w:val="nil"/>
              <w:right w:val="nil"/>
            </w:tcBorders>
            <w:shd w:val="clear" w:color="FFFFFF" w:fill="FFFFFF"/>
            <w:vAlign w:val="center"/>
            <w:hideMark/>
          </w:tcPr>
          <w:p w14:paraId="17E0AE9D"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 </w:t>
            </w:r>
          </w:p>
        </w:tc>
        <w:tc>
          <w:tcPr>
            <w:tcW w:w="1054" w:type="dxa"/>
            <w:tcBorders>
              <w:top w:val="nil"/>
              <w:left w:val="nil"/>
              <w:bottom w:val="nil"/>
              <w:right w:val="single" w:sz="4" w:space="0" w:color="FFFFFF"/>
            </w:tcBorders>
            <w:shd w:val="clear" w:color="FFFFFF" w:fill="FFFFFF"/>
            <w:vAlign w:val="center"/>
            <w:hideMark/>
          </w:tcPr>
          <w:p w14:paraId="21977AB4"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 </w:t>
            </w:r>
          </w:p>
        </w:tc>
        <w:tc>
          <w:tcPr>
            <w:tcW w:w="1046" w:type="dxa"/>
            <w:tcBorders>
              <w:top w:val="nil"/>
              <w:left w:val="nil"/>
              <w:bottom w:val="single" w:sz="4" w:space="0" w:color="auto"/>
              <w:right w:val="single" w:sz="4" w:space="0" w:color="FFFFFF"/>
            </w:tcBorders>
            <w:shd w:val="clear" w:color="000000" w:fill="D9D9D9"/>
            <w:noWrap/>
            <w:vAlign w:val="center"/>
            <w:hideMark/>
          </w:tcPr>
          <w:p w14:paraId="4B4B11A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10.7 </w:t>
            </w:r>
          </w:p>
        </w:tc>
        <w:tc>
          <w:tcPr>
            <w:tcW w:w="1044" w:type="dxa"/>
            <w:tcBorders>
              <w:top w:val="nil"/>
              <w:left w:val="nil"/>
              <w:bottom w:val="single" w:sz="4" w:space="0" w:color="auto"/>
              <w:right w:val="single" w:sz="4" w:space="0" w:color="FFFFFF"/>
            </w:tcBorders>
            <w:shd w:val="clear" w:color="FFFFFF" w:fill="FFFFFF"/>
            <w:noWrap/>
            <w:vAlign w:val="center"/>
            <w:hideMark/>
          </w:tcPr>
          <w:p w14:paraId="19F1DBD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12.5 </w:t>
            </w:r>
          </w:p>
        </w:tc>
      </w:tr>
      <w:tr w:rsidR="00F1540A" w:rsidRPr="005734B8" w14:paraId="622F1C95" w14:textId="77777777" w:rsidTr="007029C7">
        <w:trPr>
          <w:trHeight w:val="270"/>
        </w:trPr>
        <w:tc>
          <w:tcPr>
            <w:tcW w:w="5535" w:type="dxa"/>
            <w:gridSpan w:val="3"/>
            <w:tcBorders>
              <w:top w:val="single" w:sz="4" w:space="0" w:color="auto"/>
              <w:left w:val="single" w:sz="4" w:space="0" w:color="FFFFFF"/>
              <w:bottom w:val="single" w:sz="12" w:space="0" w:color="auto"/>
              <w:right w:val="single" w:sz="4" w:space="0" w:color="FFFFFF"/>
            </w:tcBorders>
            <w:shd w:val="clear" w:color="FFFFFF" w:fill="FFFFFF"/>
            <w:vAlign w:val="center"/>
            <w:hideMark/>
          </w:tcPr>
          <w:p w14:paraId="1A8E48D5"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Partnership Victoria in schools assets</w:t>
            </w:r>
          </w:p>
        </w:tc>
        <w:tc>
          <w:tcPr>
            <w:tcW w:w="1046" w:type="dxa"/>
            <w:tcBorders>
              <w:top w:val="nil"/>
              <w:left w:val="nil"/>
              <w:bottom w:val="single" w:sz="4" w:space="0" w:color="auto"/>
              <w:right w:val="single" w:sz="4" w:space="0" w:color="FFFFFF"/>
            </w:tcBorders>
            <w:shd w:val="clear" w:color="000000" w:fill="D9D9D9"/>
            <w:noWrap/>
            <w:vAlign w:val="center"/>
            <w:hideMark/>
          </w:tcPr>
          <w:p w14:paraId="5F8CDDA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513.2 </w:t>
            </w:r>
          </w:p>
        </w:tc>
        <w:tc>
          <w:tcPr>
            <w:tcW w:w="1044" w:type="dxa"/>
            <w:tcBorders>
              <w:top w:val="nil"/>
              <w:left w:val="nil"/>
              <w:bottom w:val="single" w:sz="4" w:space="0" w:color="auto"/>
              <w:right w:val="single" w:sz="4" w:space="0" w:color="FFFFFF"/>
            </w:tcBorders>
            <w:shd w:val="clear" w:color="FFFFFF" w:fill="FFFFFF"/>
            <w:noWrap/>
            <w:vAlign w:val="center"/>
            <w:hideMark/>
          </w:tcPr>
          <w:p w14:paraId="3A1F69E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528.1 </w:t>
            </w:r>
          </w:p>
        </w:tc>
      </w:tr>
      <w:tr w:rsidR="00F1540A" w:rsidRPr="005734B8" w14:paraId="5E8F92BC" w14:textId="77777777" w:rsidTr="007029C7">
        <w:trPr>
          <w:trHeight w:val="285"/>
        </w:trPr>
        <w:tc>
          <w:tcPr>
            <w:tcW w:w="5535" w:type="dxa"/>
            <w:gridSpan w:val="3"/>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4687385"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assets pledged as security</w:t>
            </w:r>
          </w:p>
        </w:tc>
        <w:tc>
          <w:tcPr>
            <w:tcW w:w="1046"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762484AA"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523.9 </w:t>
            </w:r>
          </w:p>
        </w:tc>
        <w:tc>
          <w:tcPr>
            <w:tcW w:w="1044" w:type="dxa"/>
            <w:tcBorders>
              <w:top w:val="single" w:sz="12" w:space="0" w:color="auto"/>
              <w:left w:val="nil"/>
              <w:bottom w:val="single" w:sz="12" w:space="0" w:color="auto"/>
              <w:right w:val="single" w:sz="12" w:space="0" w:color="FFFFFF"/>
            </w:tcBorders>
            <w:shd w:val="clear" w:color="FFFFFF" w:fill="FFFFFF"/>
            <w:noWrap/>
            <w:vAlign w:val="center"/>
            <w:hideMark/>
          </w:tcPr>
          <w:p w14:paraId="7202554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540.6 </w:t>
            </w:r>
          </w:p>
        </w:tc>
      </w:tr>
    </w:tbl>
    <w:p w14:paraId="3F603259" w14:textId="04A94137" w:rsidR="00F1540A" w:rsidRPr="005734B8" w:rsidRDefault="00F1540A" w:rsidP="00F1540A">
      <w:pPr>
        <w:rPr>
          <w:rFonts w:ascii="Calibri" w:hAnsi="Calibri" w:cs="Calibri"/>
        </w:rPr>
      </w:pPr>
      <w:r w:rsidRPr="005734B8">
        <w:rPr>
          <w:rFonts w:ascii="Calibri" w:hAnsi="Calibri" w:cs="Calibri"/>
        </w:rPr>
        <w:t>The Department’s leases comprise PPP arrangements, properties and motor vehicles.</w:t>
      </w:r>
    </w:p>
    <w:p w14:paraId="6878506E" w14:textId="77777777" w:rsidR="00F1540A" w:rsidRPr="005734B8" w:rsidRDefault="00F1540A" w:rsidP="00F1540A">
      <w:pPr>
        <w:rPr>
          <w:rFonts w:ascii="Calibri" w:hAnsi="Calibri" w:cs="Calibri"/>
        </w:rPr>
      </w:pPr>
    </w:p>
    <w:p w14:paraId="6AB26C77" w14:textId="501BC91E" w:rsidR="00F1540A" w:rsidRPr="005734B8" w:rsidRDefault="00F1540A" w:rsidP="00F1540A">
      <w:pPr>
        <w:rPr>
          <w:rFonts w:ascii="Calibri" w:hAnsi="Calibri" w:cs="Calibri"/>
        </w:rPr>
      </w:pPr>
      <w:r w:rsidRPr="005734B8">
        <w:rPr>
          <w:rFonts w:ascii="Calibri" w:hAnsi="Calibri" w:cs="Calibri"/>
        </w:rPr>
        <w:t>At the commencement of the lease term, leases are initially recognised as assets and liabilities at amounts equal to the fair value of the lease property or, if lower, the present value of the minimum lease payment, each determined at the inception of the lease. The lease asset is accounted for as a non-financial physical asset</w:t>
      </w:r>
      <w:r w:rsidR="001B06C9" w:rsidRPr="005734B8">
        <w:rPr>
          <w:rFonts w:ascii="Calibri" w:hAnsi="Calibri" w:cs="Calibri"/>
        </w:rPr>
        <w:t>,</w:t>
      </w:r>
      <w:r w:rsidRPr="005734B8">
        <w:rPr>
          <w:rFonts w:ascii="Calibri" w:hAnsi="Calibri" w:cs="Calibri"/>
        </w:rPr>
        <w:t xml:space="preserve"> and </w:t>
      </w:r>
      <w:r w:rsidR="001B06C9" w:rsidRPr="005734B8">
        <w:rPr>
          <w:rFonts w:ascii="Calibri" w:hAnsi="Calibri" w:cs="Calibri"/>
        </w:rPr>
        <w:t>is</w:t>
      </w:r>
      <w:r w:rsidRPr="005734B8">
        <w:rPr>
          <w:rFonts w:ascii="Calibri" w:hAnsi="Calibri" w:cs="Calibri"/>
        </w:rPr>
        <w:t xml:space="preserve"> depreciated over the shorter of the estimated useful life of the asset, or the term of the lease.</w:t>
      </w:r>
    </w:p>
    <w:p w14:paraId="59F80FA2" w14:textId="77777777" w:rsidR="00F1540A" w:rsidRPr="005734B8" w:rsidRDefault="00F1540A" w:rsidP="00F1540A">
      <w:pPr>
        <w:rPr>
          <w:rFonts w:ascii="Calibri" w:hAnsi="Calibri" w:cs="Calibri"/>
        </w:rPr>
      </w:pPr>
    </w:p>
    <w:p w14:paraId="1C7CA41A" w14:textId="54FF751D" w:rsidR="00F1540A" w:rsidRPr="005734B8" w:rsidRDefault="00F1540A" w:rsidP="00F1540A">
      <w:pPr>
        <w:rPr>
          <w:rFonts w:ascii="Calibri" w:hAnsi="Calibri" w:cs="Calibri"/>
        </w:rPr>
      </w:pPr>
      <w:r w:rsidRPr="005734B8">
        <w:rPr>
          <w:rFonts w:ascii="Calibri" w:hAnsi="Calibri" w:cs="Calibri"/>
        </w:rPr>
        <w:t>Minimum lease payments are apportioned between reduction of the outstanding lease liability and periodic finance expense</w:t>
      </w:r>
      <w:r w:rsidR="001B06C9" w:rsidRPr="005734B8">
        <w:rPr>
          <w:rFonts w:ascii="Calibri" w:hAnsi="Calibri" w:cs="Calibri"/>
        </w:rPr>
        <w:t>,</w:t>
      </w:r>
      <w:r w:rsidRPr="005734B8">
        <w:rPr>
          <w:rFonts w:ascii="Calibri" w:hAnsi="Calibri" w:cs="Calibri"/>
        </w:rPr>
        <w:t xml:space="preserve"> which is calculated using the interest rate implicit in the lease and charged directly to the comprehensive operating statement.</w:t>
      </w:r>
    </w:p>
    <w:p w14:paraId="74B042A6" w14:textId="77777777" w:rsidR="00F1540A" w:rsidRPr="005734B8" w:rsidRDefault="00F1540A" w:rsidP="00F1540A">
      <w:pPr>
        <w:rPr>
          <w:rFonts w:ascii="Calibri" w:hAnsi="Calibri" w:cs="Calibri"/>
        </w:rPr>
      </w:pPr>
    </w:p>
    <w:p w14:paraId="28F9C5E7" w14:textId="29B45A09" w:rsidR="00F1540A" w:rsidRPr="005734B8" w:rsidRDefault="00F1540A" w:rsidP="00F1540A">
      <w:pPr>
        <w:rPr>
          <w:rFonts w:ascii="Calibri" w:hAnsi="Calibri" w:cs="Calibri"/>
        </w:rPr>
      </w:pPr>
      <w:bookmarkStart w:id="1614" w:name="_Hlk48859098"/>
      <w:r w:rsidRPr="005734B8">
        <w:rPr>
          <w:rFonts w:ascii="Calibri" w:hAnsi="Calibri" w:cs="Calibri"/>
        </w:rPr>
        <w:t>The Department, as a lessee, did not receive rent concessions for its leases during the COVID-19 pandemic, nor was there evidence of other factors that required the Department to re</w:t>
      </w:r>
      <w:r w:rsidR="001B06C9" w:rsidRPr="005734B8">
        <w:rPr>
          <w:rFonts w:ascii="Calibri" w:hAnsi="Calibri" w:cs="Calibri"/>
        </w:rPr>
        <w:noBreakHyphen/>
      </w:r>
      <w:r w:rsidRPr="005734B8">
        <w:rPr>
          <w:rFonts w:ascii="Calibri" w:hAnsi="Calibri" w:cs="Calibri"/>
        </w:rPr>
        <w:t>measure its lease liabilities.</w:t>
      </w:r>
    </w:p>
    <w:bookmarkEnd w:id="1614"/>
    <w:p w14:paraId="112A0277" w14:textId="77777777" w:rsidR="00F1540A" w:rsidRPr="005734B8" w:rsidRDefault="00F1540A" w:rsidP="00F1540A">
      <w:pPr>
        <w:spacing w:before="240" w:after="120" w:line="240" w:lineRule="atLeast"/>
        <w:outlineLvl w:val="2"/>
        <w:rPr>
          <w:rFonts w:ascii="Calibri" w:hAnsi="Calibri" w:cs="Calibri"/>
          <w:color w:val="53565A"/>
          <w:szCs w:val="18"/>
          <w:lang w:val="en-US"/>
        </w:rPr>
      </w:pPr>
      <w:r w:rsidRPr="005734B8">
        <w:rPr>
          <w:rFonts w:ascii="Calibri" w:hAnsi="Calibri" w:cs="Calibri"/>
          <w:color w:val="53565A"/>
          <w:szCs w:val="18"/>
          <w:lang w:val="en-US" w:eastAsia="en-AU"/>
        </w:rPr>
        <w:t>PPP—Partnerships Victoria in schools</w:t>
      </w:r>
    </w:p>
    <w:p w14:paraId="13AD5704" w14:textId="77777777" w:rsidR="00F1540A" w:rsidRPr="005734B8" w:rsidRDefault="00F1540A" w:rsidP="00F1540A">
      <w:pPr>
        <w:rPr>
          <w:rFonts w:ascii="Calibri" w:eastAsia="Arial" w:hAnsi="Calibri" w:cs="Calibri"/>
        </w:rPr>
      </w:pPr>
      <w:r w:rsidRPr="005734B8">
        <w:rPr>
          <w:rFonts w:ascii="Calibri" w:eastAsia="Arial" w:hAnsi="Calibri" w:cs="Calibri"/>
        </w:rPr>
        <w:t>In December 2008, the State of Victoria entered into a 25-year agreement with Axiom Education Victoria Pty Ltd, under the Partnerships Victoria policy, for the financing, design, construction, and maintenance of 11 schools. The schools were constructed on sites that were purchased by the Department. At the end of the lease period, the Department will continue to own all the assets.</w:t>
      </w:r>
    </w:p>
    <w:p w14:paraId="7BEFE860" w14:textId="77777777" w:rsidR="00F1540A" w:rsidRPr="005734B8" w:rsidRDefault="00F1540A" w:rsidP="00F1540A">
      <w:pPr>
        <w:rPr>
          <w:rFonts w:ascii="Calibri" w:eastAsia="Arial" w:hAnsi="Calibri" w:cs="Calibri"/>
        </w:rPr>
      </w:pPr>
    </w:p>
    <w:p w14:paraId="3DB2A65B" w14:textId="145638E0" w:rsidR="00F1540A" w:rsidRPr="005734B8" w:rsidRDefault="00F1540A" w:rsidP="00F1540A">
      <w:pPr>
        <w:rPr>
          <w:rFonts w:ascii="Calibri" w:eastAsia="Arial" w:hAnsi="Calibri" w:cs="Calibri"/>
        </w:rPr>
      </w:pPr>
      <w:r w:rsidRPr="005734B8">
        <w:rPr>
          <w:rFonts w:ascii="Calibri" w:eastAsia="Arial" w:hAnsi="Calibri" w:cs="Calibri"/>
        </w:rPr>
        <w:t>All 11 schools have been open since 2011</w:t>
      </w:r>
      <w:r w:rsidR="001B06C9" w:rsidRPr="005734B8">
        <w:rPr>
          <w:rFonts w:ascii="Calibri" w:eastAsia="Arial" w:hAnsi="Calibri" w:cs="Calibri"/>
        </w:rPr>
        <w:t>.</w:t>
      </w:r>
      <w:r w:rsidRPr="005734B8">
        <w:rPr>
          <w:rFonts w:ascii="Calibri" w:eastAsia="Arial" w:hAnsi="Calibri" w:cs="Calibri"/>
        </w:rPr>
        <w:t xml:space="preserve"> </w:t>
      </w:r>
      <w:r w:rsidR="001B06C9" w:rsidRPr="005734B8">
        <w:rPr>
          <w:rFonts w:ascii="Calibri" w:eastAsia="Arial" w:hAnsi="Calibri" w:cs="Calibri"/>
        </w:rPr>
        <w:t>T</w:t>
      </w:r>
      <w:r w:rsidRPr="005734B8">
        <w:rPr>
          <w:rFonts w:ascii="Calibri" w:eastAsia="Arial" w:hAnsi="Calibri" w:cs="Calibri"/>
        </w:rPr>
        <w:t>he Department has assumed responsibility for education provision, staffing, curriculum and teacher practice, and a commitment in regard to these assets is recognised as a lease with related lease assets.</w:t>
      </w:r>
    </w:p>
    <w:p w14:paraId="09A4D817" w14:textId="77777777" w:rsidR="00F1540A" w:rsidRPr="005734B8" w:rsidRDefault="00F1540A" w:rsidP="00F1540A">
      <w:pPr>
        <w:rPr>
          <w:rFonts w:ascii="Calibri" w:eastAsia="Arial" w:hAnsi="Calibri" w:cs="Calibri"/>
        </w:rPr>
      </w:pPr>
    </w:p>
    <w:p w14:paraId="14029478" w14:textId="02FB3514" w:rsidR="00F1540A" w:rsidRPr="005734B8" w:rsidRDefault="00F1540A" w:rsidP="00F1540A">
      <w:pPr>
        <w:rPr>
          <w:rFonts w:ascii="Calibri" w:eastAsia="Arial" w:hAnsi="Calibri" w:cs="Calibri"/>
        </w:rPr>
      </w:pPr>
      <w:r w:rsidRPr="005734B8">
        <w:rPr>
          <w:rFonts w:ascii="Calibri" w:eastAsia="Arial" w:hAnsi="Calibri" w:cs="Calibri"/>
        </w:rPr>
        <w:t>In October 2015, the State of Victoria entered into a 25-year agreement with Learning Communities Victoria under the new schools PPP project. All 15 schools were delivered and opened over the 2017 and 2018 school years. Under the PPP</w:t>
      </w:r>
      <w:r w:rsidR="001B06C9" w:rsidRPr="005734B8">
        <w:rPr>
          <w:rFonts w:ascii="Calibri" w:eastAsia="Arial" w:hAnsi="Calibri" w:cs="Calibri"/>
        </w:rPr>
        <w:t>,</w:t>
      </w:r>
      <w:r w:rsidRPr="005734B8">
        <w:rPr>
          <w:rFonts w:ascii="Calibri" w:eastAsia="Arial" w:hAnsi="Calibri" w:cs="Calibri"/>
        </w:rPr>
        <w:t xml:space="preserve"> Learning Communities Victoria is responsible for the finance, design, construction and maintenance of the new schools over the 25</w:t>
      </w:r>
      <w:r w:rsidR="001B06C9" w:rsidRPr="005734B8">
        <w:rPr>
          <w:rFonts w:ascii="Calibri" w:eastAsia="Arial" w:hAnsi="Calibri" w:cs="Calibri"/>
        </w:rPr>
        <w:noBreakHyphen/>
      </w:r>
      <w:r w:rsidRPr="005734B8">
        <w:rPr>
          <w:rFonts w:ascii="Calibri" w:eastAsia="Arial" w:hAnsi="Calibri" w:cs="Calibri"/>
        </w:rPr>
        <w:t xml:space="preserve">year contract period. The Department retains school ownership and responsibility for delivering educational services. </w:t>
      </w:r>
    </w:p>
    <w:p w14:paraId="42067637" w14:textId="77777777" w:rsidR="00F1540A" w:rsidRPr="005734B8" w:rsidRDefault="00F1540A" w:rsidP="00F1540A">
      <w:pPr>
        <w:rPr>
          <w:rFonts w:ascii="Calibri" w:eastAsia="Arial" w:hAnsi="Calibri" w:cs="Calibri"/>
        </w:rPr>
      </w:pPr>
    </w:p>
    <w:p w14:paraId="0BA921EF" w14:textId="2A3C4914" w:rsidR="005A1FAF" w:rsidRPr="005734B8" w:rsidRDefault="00F1540A" w:rsidP="00F1540A">
      <w:pPr>
        <w:rPr>
          <w:rFonts w:ascii="Calibri" w:eastAsia="Arial" w:hAnsi="Calibri" w:cs="Calibri"/>
        </w:rPr>
      </w:pPr>
      <w:r w:rsidRPr="005734B8">
        <w:rPr>
          <w:rFonts w:ascii="Calibri" w:hAnsi="Calibri" w:cs="Calibri"/>
        </w:rPr>
        <w:t xml:space="preserve">In October 2020, Learning Community Victoria refinanced a tranche of maturing debt </w:t>
      </w:r>
      <w:r w:rsidR="00345F77" w:rsidRPr="005734B8">
        <w:rPr>
          <w:rFonts w:ascii="Calibri" w:hAnsi="Calibri" w:cs="Calibri"/>
        </w:rPr>
        <w:t>($303 million)</w:t>
      </w:r>
      <w:r w:rsidRPr="005734B8">
        <w:rPr>
          <w:rFonts w:ascii="Calibri" w:hAnsi="Calibri" w:cs="Calibri"/>
        </w:rPr>
        <w:t xml:space="preserve"> used to finance the new school PPP project. The refinanc</w:t>
      </w:r>
      <w:r w:rsidR="00345F77" w:rsidRPr="005734B8">
        <w:rPr>
          <w:rFonts w:ascii="Calibri" w:hAnsi="Calibri" w:cs="Calibri"/>
        </w:rPr>
        <w:t xml:space="preserve">ed debt </w:t>
      </w:r>
      <w:r w:rsidR="00D40321" w:rsidRPr="005734B8">
        <w:rPr>
          <w:rFonts w:ascii="Calibri" w:hAnsi="Calibri" w:cs="Calibri"/>
        </w:rPr>
        <w:t>results in lower interest payments</w:t>
      </w:r>
      <w:r w:rsidR="00345F77" w:rsidRPr="005734B8">
        <w:rPr>
          <w:rFonts w:ascii="Calibri" w:hAnsi="Calibri" w:cs="Calibri"/>
        </w:rPr>
        <w:t xml:space="preserve"> and </w:t>
      </w:r>
      <w:r w:rsidR="00D40321" w:rsidRPr="005734B8">
        <w:rPr>
          <w:rFonts w:ascii="Calibri" w:hAnsi="Calibri" w:cs="Calibri"/>
        </w:rPr>
        <w:t>m</w:t>
      </w:r>
      <w:r w:rsidR="00345F77" w:rsidRPr="005734B8">
        <w:rPr>
          <w:rFonts w:ascii="Calibri" w:hAnsi="Calibri" w:cs="Calibri"/>
        </w:rPr>
        <w:t>ature</w:t>
      </w:r>
      <w:r w:rsidR="00D40321" w:rsidRPr="005734B8">
        <w:rPr>
          <w:rFonts w:ascii="Calibri" w:hAnsi="Calibri" w:cs="Calibri"/>
        </w:rPr>
        <w:t>s</w:t>
      </w:r>
      <w:r w:rsidR="00345F77" w:rsidRPr="005734B8">
        <w:rPr>
          <w:rFonts w:ascii="Calibri" w:hAnsi="Calibri" w:cs="Calibri"/>
        </w:rPr>
        <w:t xml:space="preserve"> in October 202</w:t>
      </w:r>
      <w:r w:rsidR="00D40321" w:rsidRPr="005734B8">
        <w:rPr>
          <w:rFonts w:ascii="Calibri" w:hAnsi="Calibri" w:cs="Calibri"/>
        </w:rPr>
        <w:t>8</w:t>
      </w:r>
      <w:r w:rsidR="00345F77" w:rsidRPr="005734B8">
        <w:rPr>
          <w:rFonts w:ascii="Calibri" w:hAnsi="Calibri" w:cs="Calibri"/>
        </w:rPr>
        <w:t xml:space="preserve">. The lower interest rate </w:t>
      </w:r>
      <w:r w:rsidRPr="005734B8">
        <w:rPr>
          <w:rFonts w:ascii="Calibri" w:hAnsi="Calibri" w:cs="Calibri"/>
        </w:rPr>
        <w:t>contributed to a reduction in the Department’s quarterly lease payments</w:t>
      </w:r>
      <w:r w:rsidR="00345F77" w:rsidRPr="005734B8">
        <w:rPr>
          <w:rFonts w:ascii="Calibri" w:hAnsi="Calibri" w:cs="Calibri"/>
        </w:rPr>
        <w:t xml:space="preserve"> totalling $43.5 million over the term of the refinancing period</w:t>
      </w:r>
      <w:r w:rsidRPr="005734B8">
        <w:rPr>
          <w:rFonts w:ascii="Calibri" w:hAnsi="Calibri" w:cs="Calibri"/>
        </w:rPr>
        <w:t xml:space="preserve">. The </w:t>
      </w:r>
      <w:r w:rsidR="00345F77" w:rsidRPr="005734B8">
        <w:rPr>
          <w:rFonts w:ascii="Calibri" w:hAnsi="Calibri" w:cs="Calibri"/>
        </w:rPr>
        <w:t>re-measurement of lease liabilities from the reduction in quarterly lease payments, together with a reduction in discount rate (from 5.3 to 4.5 per cent), is re</w:t>
      </w:r>
      <w:r w:rsidRPr="005734B8">
        <w:rPr>
          <w:rFonts w:ascii="Calibri" w:hAnsi="Calibri" w:cs="Calibri"/>
        </w:rPr>
        <w:t>flected in Note 7.2.1 (d).</w:t>
      </w:r>
      <w:r w:rsidR="00345F77" w:rsidRPr="005734B8">
        <w:rPr>
          <w:rFonts w:ascii="Calibri" w:eastAsia="Arial" w:hAnsi="Calibri" w:cs="Calibri"/>
        </w:rPr>
        <w:br w:type="page"/>
      </w:r>
    </w:p>
    <w:p w14:paraId="3BD48F6A" w14:textId="77777777" w:rsidR="00F1540A" w:rsidRPr="005734B8" w:rsidRDefault="00F1540A" w:rsidP="00F1540A">
      <w:pPr>
        <w:spacing w:before="240" w:after="180" w:line="240" w:lineRule="atLeast"/>
        <w:outlineLvl w:val="0"/>
        <w:rPr>
          <w:rFonts w:ascii="Calibri" w:hAnsi="Calibri" w:cs="Calibri"/>
          <w:bCs/>
          <w:color w:val="8A2A2F"/>
          <w:spacing w:val="5"/>
          <w:kern w:val="28"/>
          <w:sz w:val="28"/>
          <w:lang w:val="en-US"/>
        </w:rPr>
      </w:pPr>
      <w:bookmarkStart w:id="1615" w:name="_Toc58243451"/>
      <w:bookmarkStart w:id="1616" w:name="_Toc72958101"/>
      <w:bookmarkStart w:id="1617" w:name="_Toc72958149"/>
      <w:bookmarkStart w:id="1618" w:name="_Toc80272089"/>
      <w:bookmarkStart w:id="1619" w:name="_Toc81315389"/>
      <w:r w:rsidRPr="005734B8">
        <w:rPr>
          <w:rFonts w:ascii="Calibri" w:hAnsi="Calibri" w:cs="Calibri"/>
          <w:bCs/>
          <w:color w:val="8A2A2F"/>
          <w:spacing w:val="5"/>
          <w:kern w:val="28"/>
          <w:sz w:val="28"/>
          <w:lang w:val="en-US"/>
        </w:rPr>
        <w:lastRenderedPageBreak/>
        <w:t>7.3</w:t>
      </w:r>
      <w:r w:rsidRPr="005734B8">
        <w:rPr>
          <w:rFonts w:ascii="Calibri" w:hAnsi="Calibri" w:cs="Calibri"/>
          <w:bCs/>
          <w:color w:val="8A2A2F"/>
          <w:spacing w:val="5"/>
          <w:kern w:val="28"/>
          <w:sz w:val="28"/>
          <w:lang w:val="en-US"/>
        </w:rPr>
        <w:tab/>
        <w:t>Cash flow information and balances</w:t>
      </w:r>
      <w:bookmarkEnd w:id="1588"/>
      <w:bookmarkEnd w:id="1589"/>
      <w:bookmarkEnd w:id="1590"/>
      <w:bookmarkEnd w:id="1591"/>
      <w:bookmarkEnd w:id="1592"/>
      <w:bookmarkEnd w:id="1593"/>
      <w:bookmarkEnd w:id="1594"/>
      <w:bookmarkEnd w:id="1595"/>
      <w:bookmarkEnd w:id="1596"/>
      <w:bookmarkEnd w:id="1597"/>
      <w:bookmarkEnd w:id="1598"/>
      <w:bookmarkEnd w:id="1615"/>
      <w:bookmarkEnd w:id="1616"/>
      <w:bookmarkEnd w:id="1617"/>
      <w:bookmarkEnd w:id="1618"/>
      <w:bookmarkEnd w:id="1619"/>
    </w:p>
    <w:p w14:paraId="648EB377" w14:textId="77777777" w:rsidR="00F1540A" w:rsidRPr="005734B8" w:rsidRDefault="00F1540A" w:rsidP="00F1540A">
      <w:pPr>
        <w:rPr>
          <w:rFonts w:ascii="Calibri" w:eastAsia="Arial" w:hAnsi="Calibri" w:cs="Calibri"/>
        </w:rPr>
      </w:pPr>
      <w:r w:rsidRPr="005734B8">
        <w:rPr>
          <w:rFonts w:ascii="Calibri" w:eastAsia="Arial" w:hAnsi="Calibri" w:cs="Calibri"/>
        </w:rPr>
        <w:t>Cash and deposits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of cash and are subject to an insignificant risk of changes in value.</w:t>
      </w:r>
    </w:p>
    <w:p w14:paraId="5187D3E4" w14:textId="77777777" w:rsidR="00F1540A" w:rsidRPr="005734B8" w:rsidRDefault="00F1540A" w:rsidP="00F1540A">
      <w:pPr>
        <w:rPr>
          <w:rFonts w:ascii="Calibri" w:eastAsia="Arial" w:hAnsi="Calibri" w:cs="Calibri"/>
        </w:rPr>
      </w:pPr>
    </w:p>
    <w:tbl>
      <w:tblPr>
        <w:tblW w:w="7625" w:type="dxa"/>
        <w:tblInd w:w="75" w:type="dxa"/>
        <w:tblLayout w:type="fixed"/>
        <w:tblLook w:val="04A0" w:firstRow="1" w:lastRow="0" w:firstColumn="1" w:lastColumn="0" w:noHBand="0" w:noVBand="1"/>
      </w:tblPr>
      <w:tblGrid>
        <w:gridCol w:w="5452"/>
        <w:gridCol w:w="1091"/>
        <w:gridCol w:w="1082"/>
      </w:tblGrid>
      <w:tr w:rsidR="00F1540A" w:rsidRPr="005734B8" w14:paraId="13B00642" w14:textId="77777777" w:rsidTr="000F48B1">
        <w:trPr>
          <w:trHeight w:val="480"/>
        </w:trPr>
        <w:tc>
          <w:tcPr>
            <w:tcW w:w="5452" w:type="dxa"/>
            <w:tcBorders>
              <w:top w:val="nil"/>
              <w:left w:val="single" w:sz="4" w:space="0" w:color="FFFFFF"/>
              <w:bottom w:val="nil"/>
              <w:right w:val="single" w:sz="4" w:space="0" w:color="FFFFFF"/>
            </w:tcBorders>
            <w:shd w:val="clear" w:color="000000" w:fill="AF272F"/>
            <w:vAlign w:val="bottom"/>
            <w:hideMark/>
          </w:tcPr>
          <w:p w14:paraId="62D8AEBD" w14:textId="77777777" w:rsidR="00F1540A" w:rsidRPr="005734B8" w:rsidRDefault="00F1540A" w:rsidP="000F48B1">
            <w:pPr>
              <w:jc w:val="center"/>
              <w:rPr>
                <w:rFonts w:ascii="Calibri" w:hAnsi="Calibri" w:cs="Calibri"/>
                <w:b/>
                <w:color w:val="FFFFFF"/>
                <w:sz w:val="18"/>
                <w:szCs w:val="18"/>
              </w:rPr>
            </w:pPr>
            <w:bookmarkStart w:id="1620" w:name="Note_CFITABLE1" w:colFirst="0" w:colLast="0"/>
            <w:r w:rsidRPr="005734B8">
              <w:rPr>
                <w:rFonts w:ascii="Calibri" w:hAnsi="Calibri" w:cs="Calibri"/>
                <w:b/>
                <w:color w:val="FFFFFF"/>
                <w:sz w:val="18"/>
                <w:szCs w:val="18"/>
              </w:rPr>
              <w:t> </w:t>
            </w:r>
          </w:p>
        </w:tc>
        <w:tc>
          <w:tcPr>
            <w:tcW w:w="1091" w:type="dxa"/>
            <w:tcBorders>
              <w:top w:val="nil"/>
              <w:left w:val="nil"/>
              <w:bottom w:val="nil"/>
              <w:right w:val="single" w:sz="4" w:space="0" w:color="FFFFFF"/>
            </w:tcBorders>
            <w:shd w:val="clear" w:color="000000" w:fill="AF272F"/>
            <w:vAlign w:val="bottom"/>
            <w:hideMark/>
          </w:tcPr>
          <w:p w14:paraId="2DB46B7E"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82" w:type="dxa"/>
            <w:tcBorders>
              <w:top w:val="nil"/>
              <w:left w:val="nil"/>
              <w:bottom w:val="nil"/>
              <w:right w:val="single" w:sz="4" w:space="0" w:color="FFFFFF"/>
            </w:tcBorders>
            <w:shd w:val="clear" w:color="000000" w:fill="AF272F"/>
            <w:hideMark/>
          </w:tcPr>
          <w:p w14:paraId="7D8C8AA6"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620"/>
      <w:tr w:rsidR="00F1540A" w:rsidRPr="005734B8" w14:paraId="13FF097C"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62ECC081"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Amounts held by schools</w:t>
            </w:r>
          </w:p>
        </w:tc>
        <w:tc>
          <w:tcPr>
            <w:tcW w:w="1091" w:type="dxa"/>
            <w:tcBorders>
              <w:top w:val="nil"/>
              <w:left w:val="nil"/>
              <w:bottom w:val="single" w:sz="4" w:space="0" w:color="auto"/>
              <w:right w:val="single" w:sz="4" w:space="0" w:color="FFFFFF"/>
            </w:tcBorders>
            <w:shd w:val="clear" w:color="000000" w:fill="D9D9D9"/>
            <w:noWrap/>
            <w:vAlign w:val="center"/>
            <w:hideMark/>
          </w:tcPr>
          <w:p w14:paraId="2FA20D5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1,341.8 </w:t>
            </w:r>
          </w:p>
        </w:tc>
        <w:tc>
          <w:tcPr>
            <w:tcW w:w="1082" w:type="dxa"/>
            <w:tcBorders>
              <w:top w:val="nil"/>
              <w:left w:val="nil"/>
              <w:bottom w:val="single" w:sz="4" w:space="0" w:color="auto"/>
              <w:right w:val="single" w:sz="4" w:space="0" w:color="FFFFFF"/>
            </w:tcBorders>
            <w:shd w:val="clear" w:color="FFFFFF" w:fill="FFFFFF"/>
            <w:noWrap/>
            <w:vAlign w:val="center"/>
            <w:hideMark/>
          </w:tcPr>
          <w:p w14:paraId="76E6EC2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1,121.1 </w:t>
            </w:r>
          </w:p>
        </w:tc>
      </w:tr>
      <w:tr w:rsidR="00F1540A" w:rsidRPr="005734B8" w14:paraId="02D93768"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3A1BA833"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Bank accounts held in trust</w:t>
            </w:r>
          </w:p>
        </w:tc>
        <w:tc>
          <w:tcPr>
            <w:tcW w:w="1091" w:type="dxa"/>
            <w:tcBorders>
              <w:top w:val="nil"/>
              <w:left w:val="nil"/>
              <w:bottom w:val="single" w:sz="4" w:space="0" w:color="auto"/>
              <w:right w:val="single" w:sz="4" w:space="0" w:color="FFFFFF"/>
            </w:tcBorders>
            <w:shd w:val="clear" w:color="000000" w:fill="D9D9D9"/>
            <w:noWrap/>
            <w:vAlign w:val="center"/>
            <w:hideMark/>
          </w:tcPr>
          <w:p w14:paraId="5210715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120.1 </w:t>
            </w:r>
          </w:p>
        </w:tc>
        <w:tc>
          <w:tcPr>
            <w:tcW w:w="1082" w:type="dxa"/>
            <w:tcBorders>
              <w:top w:val="nil"/>
              <w:left w:val="nil"/>
              <w:bottom w:val="single" w:sz="4" w:space="0" w:color="auto"/>
              <w:right w:val="single" w:sz="4" w:space="0" w:color="FFFFFF"/>
            </w:tcBorders>
            <w:shd w:val="clear" w:color="FFFFFF" w:fill="FFFFFF"/>
            <w:noWrap/>
            <w:vAlign w:val="center"/>
            <w:hideMark/>
          </w:tcPr>
          <w:p w14:paraId="5BD7DA2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423.1 </w:t>
            </w:r>
          </w:p>
        </w:tc>
      </w:tr>
      <w:tr w:rsidR="00F1540A" w:rsidRPr="005734B8" w14:paraId="3D1E1452"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622F4275"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Other bank accounts</w:t>
            </w:r>
          </w:p>
        </w:tc>
        <w:tc>
          <w:tcPr>
            <w:tcW w:w="1091" w:type="dxa"/>
            <w:tcBorders>
              <w:top w:val="nil"/>
              <w:left w:val="nil"/>
              <w:bottom w:val="single" w:sz="4" w:space="0" w:color="auto"/>
              <w:right w:val="single" w:sz="4" w:space="0" w:color="FFFFFF"/>
            </w:tcBorders>
            <w:shd w:val="clear" w:color="000000" w:fill="D9D9D9"/>
            <w:noWrap/>
            <w:vAlign w:val="center"/>
            <w:hideMark/>
          </w:tcPr>
          <w:p w14:paraId="4A156CC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20.7 </w:t>
            </w:r>
          </w:p>
        </w:tc>
        <w:tc>
          <w:tcPr>
            <w:tcW w:w="1082" w:type="dxa"/>
            <w:tcBorders>
              <w:top w:val="nil"/>
              <w:left w:val="nil"/>
              <w:bottom w:val="single" w:sz="4" w:space="0" w:color="auto"/>
              <w:right w:val="single" w:sz="4" w:space="0" w:color="FFFFFF"/>
            </w:tcBorders>
            <w:shd w:val="clear" w:color="FFFFFF" w:fill="FFFFFF"/>
            <w:noWrap/>
            <w:vAlign w:val="center"/>
            <w:hideMark/>
          </w:tcPr>
          <w:p w14:paraId="32FA085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13.0 </w:t>
            </w:r>
          </w:p>
        </w:tc>
      </w:tr>
      <w:tr w:rsidR="00F1540A" w:rsidRPr="005734B8" w14:paraId="7A0B2AF1"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5FE6229"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cash and deposits</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4B08869A"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1,482.6 </w:t>
            </w:r>
          </w:p>
        </w:tc>
        <w:tc>
          <w:tcPr>
            <w:tcW w:w="1082" w:type="dxa"/>
            <w:tcBorders>
              <w:top w:val="single" w:sz="12" w:space="0" w:color="auto"/>
              <w:left w:val="nil"/>
              <w:bottom w:val="single" w:sz="12" w:space="0" w:color="auto"/>
              <w:right w:val="single" w:sz="12" w:space="0" w:color="FFFFFF"/>
            </w:tcBorders>
            <w:shd w:val="clear" w:color="FFFFFF" w:fill="FFFFFF"/>
            <w:noWrap/>
            <w:vAlign w:val="center"/>
            <w:hideMark/>
          </w:tcPr>
          <w:p w14:paraId="21209545"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1,557.2 </w:t>
            </w:r>
          </w:p>
        </w:tc>
      </w:tr>
    </w:tbl>
    <w:p w14:paraId="197B4635" w14:textId="77777777" w:rsidR="00F1540A" w:rsidRPr="005734B8" w:rsidRDefault="00F1540A" w:rsidP="00F1540A">
      <w:pPr>
        <w:rPr>
          <w:rFonts w:ascii="Calibri" w:hAnsi="Calibri" w:cs="Calibri"/>
        </w:rPr>
      </w:pPr>
    </w:p>
    <w:p w14:paraId="29410D09" w14:textId="77777777" w:rsidR="00F1540A" w:rsidRPr="005734B8" w:rsidRDefault="00F1540A" w:rsidP="00F1540A">
      <w:pPr>
        <w:rPr>
          <w:rFonts w:ascii="Calibri" w:hAnsi="Calibri" w:cs="Calibri"/>
        </w:rPr>
      </w:pPr>
      <w:r w:rsidRPr="005734B8">
        <w:rPr>
          <w:rFonts w:ascii="Calibri" w:hAnsi="Calibri" w:cs="Calibri"/>
        </w:rPr>
        <w:t>Amounts held by schools at the end of the financial year disclosed as ‘Cash and deposits’ include bank accounts and short-term deposits with a maturity of less than three months.</w:t>
      </w:r>
    </w:p>
    <w:p w14:paraId="3F9DEB6F" w14:textId="77777777" w:rsidR="00F1540A" w:rsidRPr="005734B8" w:rsidRDefault="00F1540A" w:rsidP="00F1540A">
      <w:pPr>
        <w:rPr>
          <w:rFonts w:ascii="Calibri" w:hAnsi="Calibri" w:cs="Calibri"/>
        </w:rPr>
      </w:pPr>
    </w:p>
    <w:p w14:paraId="285DE102" w14:textId="2437237C" w:rsidR="00F1540A" w:rsidRPr="005734B8" w:rsidRDefault="00F1540A" w:rsidP="00F1540A">
      <w:pPr>
        <w:rPr>
          <w:rFonts w:ascii="Calibri" w:hAnsi="Calibri" w:cs="Calibri"/>
        </w:rPr>
      </w:pPr>
      <w:r w:rsidRPr="005734B8">
        <w:rPr>
          <w:rFonts w:ascii="Calibri" w:hAnsi="Calibri" w:cs="Calibri"/>
        </w:rPr>
        <w:t xml:space="preserve">Due to the State of Victoria’s investment policy and government funding arrangements, the Department generally does not hold a large cash reserve in its bank accounts. The </w:t>
      </w:r>
      <w:r w:rsidR="001B06C9" w:rsidRPr="005734B8">
        <w:rPr>
          <w:rFonts w:ascii="Calibri" w:hAnsi="Calibri" w:cs="Calibri"/>
        </w:rPr>
        <w:t>d</w:t>
      </w:r>
      <w:r w:rsidRPr="005734B8">
        <w:rPr>
          <w:rFonts w:ascii="Calibri" w:hAnsi="Calibri" w:cs="Calibri"/>
        </w:rPr>
        <w:t>epartmental operating bank accounts hold funds on behalf of trusts and for working accounts (Note 7.4 Trust account balances).</w:t>
      </w:r>
    </w:p>
    <w:p w14:paraId="348DE1D8" w14:textId="5DF02B16" w:rsidR="00F1540A" w:rsidRPr="005734B8" w:rsidRDefault="00F1540A" w:rsidP="00F1540A">
      <w:pPr>
        <w:spacing w:before="240" w:after="120" w:line="240" w:lineRule="atLeast"/>
        <w:outlineLvl w:val="2"/>
        <w:rPr>
          <w:rFonts w:ascii="Calibri" w:hAnsi="Calibri" w:cs="Calibri"/>
        </w:rPr>
      </w:pPr>
      <w:r w:rsidRPr="005734B8">
        <w:rPr>
          <w:rFonts w:ascii="Calibri" w:hAnsi="Calibri" w:cs="Calibri"/>
        </w:rPr>
        <w:t>Cash received by the Department from the generation of income is generally paid into the State’s bank account, known as the public account. Similarly, any departmental expenditure, including those payments for goods and services to its suppliers and creditors, are made via the public account. The process is such that the public account remits to the Department the cash required to cover its transactions. This remittance by the public account occurs upon the electronic transfer of funds and the presentation of cheques by the Department’s suppliers or creditors.</w:t>
      </w:r>
      <w:bookmarkStart w:id="1621" w:name="_Toc11336416"/>
      <w:bookmarkStart w:id="1622" w:name="_Toc14965642"/>
    </w:p>
    <w:p w14:paraId="421DE653" w14:textId="6F4912CE" w:rsidR="00F1540A" w:rsidRPr="005734B8" w:rsidRDefault="00F1540A" w:rsidP="00F1540A">
      <w:pPr>
        <w:spacing w:before="240" w:after="120" w:line="240" w:lineRule="atLeast"/>
        <w:outlineLvl w:val="2"/>
        <w:rPr>
          <w:rFonts w:ascii="Calibri" w:hAnsi="Calibri" w:cs="Calibri"/>
          <w:b/>
          <w:color w:val="53565A"/>
          <w:szCs w:val="18"/>
          <w:lang w:val="en-US"/>
        </w:rPr>
      </w:pPr>
      <w:r w:rsidRPr="005734B8">
        <w:rPr>
          <w:rFonts w:ascii="Calibri" w:hAnsi="Calibri" w:cs="Calibri"/>
          <w:b/>
          <w:color w:val="53565A"/>
          <w:szCs w:val="18"/>
          <w:lang w:val="en-US"/>
        </w:rPr>
        <w:t>7.3.1</w:t>
      </w:r>
      <w:r w:rsidR="007029C7" w:rsidRPr="005734B8">
        <w:rPr>
          <w:rFonts w:ascii="Calibri" w:hAnsi="Calibri" w:cs="Calibri"/>
          <w:b/>
          <w:color w:val="53565A"/>
          <w:szCs w:val="18"/>
          <w:lang w:val="en-US"/>
        </w:rPr>
        <w:t xml:space="preserve"> </w:t>
      </w:r>
      <w:r w:rsidRPr="005734B8">
        <w:rPr>
          <w:rFonts w:ascii="Calibri" w:hAnsi="Calibri" w:cs="Calibri"/>
          <w:b/>
          <w:color w:val="53565A"/>
          <w:szCs w:val="18"/>
          <w:lang w:val="en-US"/>
        </w:rPr>
        <w:t>Reconciliation of net result for the period to cash flow from operating activities</w:t>
      </w:r>
      <w:bookmarkEnd w:id="1621"/>
      <w:bookmarkEnd w:id="1622"/>
    </w:p>
    <w:tbl>
      <w:tblPr>
        <w:tblW w:w="7625" w:type="dxa"/>
        <w:tblInd w:w="75" w:type="dxa"/>
        <w:tblLayout w:type="fixed"/>
        <w:tblLook w:val="04A0" w:firstRow="1" w:lastRow="0" w:firstColumn="1" w:lastColumn="0" w:noHBand="0" w:noVBand="1"/>
      </w:tblPr>
      <w:tblGrid>
        <w:gridCol w:w="5452"/>
        <w:gridCol w:w="1091"/>
        <w:gridCol w:w="1082"/>
      </w:tblGrid>
      <w:tr w:rsidR="00F1540A" w:rsidRPr="005734B8" w14:paraId="34341B65" w14:textId="77777777" w:rsidTr="000F48B1">
        <w:trPr>
          <w:trHeight w:val="480"/>
        </w:trPr>
        <w:tc>
          <w:tcPr>
            <w:tcW w:w="5452" w:type="dxa"/>
            <w:tcBorders>
              <w:top w:val="nil"/>
              <w:left w:val="single" w:sz="4" w:space="0" w:color="FFFFFF"/>
              <w:bottom w:val="nil"/>
              <w:right w:val="single" w:sz="4" w:space="0" w:color="FFFFFF"/>
            </w:tcBorders>
            <w:shd w:val="clear" w:color="000000" w:fill="AF272F"/>
            <w:vAlign w:val="bottom"/>
            <w:hideMark/>
          </w:tcPr>
          <w:p w14:paraId="1019C33D" w14:textId="77777777" w:rsidR="00F1540A" w:rsidRPr="005734B8" w:rsidRDefault="00F1540A" w:rsidP="000F48B1">
            <w:pPr>
              <w:jc w:val="center"/>
              <w:rPr>
                <w:rFonts w:ascii="Calibri" w:hAnsi="Calibri" w:cs="Calibri"/>
                <w:b/>
                <w:color w:val="FFFFFF"/>
                <w:sz w:val="18"/>
                <w:szCs w:val="18"/>
              </w:rPr>
            </w:pPr>
            <w:bookmarkStart w:id="1623" w:name="Note_CFRTABLE1" w:colFirst="0" w:colLast="0"/>
            <w:r w:rsidRPr="005734B8">
              <w:rPr>
                <w:rFonts w:ascii="Calibri" w:hAnsi="Calibri" w:cs="Calibri"/>
                <w:b/>
                <w:color w:val="FFFFFF"/>
                <w:sz w:val="18"/>
                <w:szCs w:val="18"/>
              </w:rPr>
              <w:t> </w:t>
            </w:r>
          </w:p>
        </w:tc>
        <w:tc>
          <w:tcPr>
            <w:tcW w:w="1091" w:type="dxa"/>
            <w:tcBorders>
              <w:top w:val="nil"/>
              <w:left w:val="nil"/>
              <w:bottom w:val="nil"/>
              <w:right w:val="single" w:sz="4" w:space="0" w:color="FFFFFF"/>
            </w:tcBorders>
            <w:shd w:val="clear" w:color="000000" w:fill="AF272F"/>
            <w:hideMark/>
          </w:tcPr>
          <w:p w14:paraId="4763C0C5"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82" w:type="dxa"/>
            <w:tcBorders>
              <w:top w:val="nil"/>
              <w:left w:val="nil"/>
              <w:bottom w:val="nil"/>
              <w:right w:val="single" w:sz="4" w:space="0" w:color="FFFFFF"/>
            </w:tcBorders>
            <w:shd w:val="clear" w:color="000000" w:fill="AF272F"/>
            <w:hideMark/>
          </w:tcPr>
          <w:p w14:paraId="58E71597"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623"/>
      <w:tr w:rsidR="00F1540A" w:rsidRPr="005734B8" w14:paraId="1AC02B8B"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000000" w:fill="53565A"/>
            <w:vAlign w:val="center"/>
            <w:hideMark/>
          </w:tcPr>
          <w:p w14:paraId="4E0BCDDA" w14:textId="77777777" w:rsidR="00F1540A" w:rsidRPr="005734B8" w:rsidRDefault="00F1540A" w:rsidP="000F48B1">
            <w:pPr>
              <w:rPr>
                <w:rFonts w:ascii="Calibri" w:hAnsi="Calibri" w:cs="Calibri"/>
                <w:b/>
                <w:color w:val="FFFFFF"/>
                <w:sz w:val="18"/>
                <w:szCs w:val="18"/>
              </w:rPr>
            </w:pPr>
            <w:r w:rsidRPr="005734B8">
              <w:rPr>
                <w:rFonts w:ascii="Calibri" w:hAnsi="Calibri" w:cs="Calibri"/>
                <w:b/>
                <w:color w:val="FFFFFF"/>
                <w:sz w:val="18"/>
                <w:szCs w:val="18"/>
              </w:rPr>
              <w:t>Net results for the reporting period</w:t>
            </w:r>
          </w:p>
        </w:tc>
        <w:tc>
          <w:tcPr>
            <w:tcW w:w="1091" w:type="dxa"/>
            <w:tcBorders>
              <w:top w:val="nil"/>
              <w:left w:val="nil"/>
              <w:bottom w:val="single" w:sz="4" w:space="0" w:color="auto"/>
              <w:right w:val="single" w:sz="4" w:space="0" w:color="FFFFFF"/>
            </w:tcBorders>
            <w:shd w:val="clear" w:color="000000" w:fill="53565A"/>
            <w:hideMark/>
          </w:tcPr>
          <w:p w14:paraId="35E50E12"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660.7 </w:t>
            </w:r>
          </w:p>
        </w:tc>
        <w:tc>
          <w:tcPr>
            <w:tcW w:w="1082" w:type="dxa"/>
            <w:tcBorders>
              <w:top w:val="nil"/>
              <w:left w:val="nil"/>
              <w:bottom w:val="single" w:sz="4" w:space="0" w:color="auto"/>
              <w:right w:val="single" w:sz="4" w:space="0" w:color="FFFFFF"/>
            </w:tcBorders>
            <w:shd w:val="clear" w:color="000000" w:fill="53565A"/>
            <w:hideMark/>
          </w:tcPr>
          <w:p w14:paraId="2F599544"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xml:space="preserve">560.6 </w:t>
            </w:r>
          </w:p>
        </w:tc>
      </w:tr>
      <w:tr w:rsidR="00F1540A" w:rsidRPr="005734B8" w14:paraId="079CC82F"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000000" w:fill="D9D9D9"/>
            <w:vAlign w:val="center"/>
            <w:hideMark/>
          </w:tcPr>
          <w:p w14:paraId="5953452B"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Non-cash movements</w:t>
            </w:r>
          </w:p>
        </w:tc>
        <w:tc>
          <w:tcPr>
            <w:tcW w:w="1091" w:type="dxa"/>
            <w:tcBorders>
              <w:top w:val="nil"/>
              <w:left w:val="nil"/>
              <w:bottom w:val="single" w:sz="4" w:space="0" w:color="auto"/>
              <w:right w:val="single" w:sz="4" w:space="0" w:color="FFFFFF"/>
            </w:tcBorders>
            <w:shd w:val="clear" w:color="000000" w:fill="D9D9D9"/>
            <w:vAlign w:val="bottom"/>
            <w:hideMark/>
          </w:tcPr>
          <w:p w14:paraId="6A915C02"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082" w:type="dxa"/>
            <w:tcBorders>
              <w:top w:val="nil"/>
              <w:left w:val="nil"/>
              <w:bottom w:val="single" w:sz="4" w:space="0" w:color="auto"/>
              <w:right w:val="single" w:sz="4" w:space="0" w:color="FFFFFF"/>
            </w:tcBorders>
            <w:shd w:val="clear" w:color="000000" w:fill="D9D9D9"/>
            <w:vAlign w:val="bottom"/>
            <w:hideMark/>
          </w:tcPr>
          <w:p w14:paraId="6583AD50"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5DF66ED7"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24B858B1"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Net (gain)/loss on sale of non-financial assets</w:t>
            </w:r>
          </w:p>
        </w:tc>
        <w:tc>
          <w:tcPr>
            <w:tcW w:w="1091" w:type="dxa"/>
            <w:tcBorders>
              <w:top w:val="nil"/>
              <w:left w:val="nil"/>
              <w:bottom w:val="single" w:sz="4" w:space="0" w:color="auto"/>
              <w:right w:val="single" w:sz="4" w:space="0" w:color="FFFFFF"/>
            </w:tcBorders>
            <w:shd w:val="clear" w:color="000000" w:fill="D9D9D9"/>
            <w:noWrap/>
            <w:vAlign w:val="center"/>
            <w:hideMark/>
          </w:tcPr>
          <w:p w14:paraId="4F2F38D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(0.2) </w:t>
            </w:r>
          </w:p>
        </w:tc>
        <w:tc>
          <w:tcPr>
            <w:tcW w:w="1082" w:type="dxa"/>
            <w:tcBorders>
              <w:top w:val="nil"/>
              <w:left w:val="nil"/>
              <w:bottom w:val="single" w:sz="4" w:space="0" w:color="auto"/>
              <w:right w:val="single" w:sz="4" w:space="0" w:color="FFFFFF"/>
            </w:tcBorders>
            <w:shd w:val="clear" w:color="FFFFFF" w:fill="FFFFFF"/>
            <w:noWrap/>
            <w:vAlign w:val="center"/>
            <w:hideMark/>
          </w:tcPr>
          <w:p w14:paraId="61A3A4C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3.5 </w:t>
            </w:r>
          </w:p>
        </w:tc>
      </w:tr>
      <w:tr w:rsidR="00F1540A" w:rsidRPr="005734B8" w14:paraId="61E22332"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52071F8C"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Depreciation and amortisation</w:t>
            </w:r>
          </w:p>
        </w:tc>
        <w:tc>
          <w:tcPr>
            <w:tcW w:w="1091" w:type="dxa"/>
            <w:tcBorders>
              <w:top w:val="nil"/>
              <w:left w:val="nil"/>
              <w:bottom w:val="single" w:sz="4" w:space="0" w:color="auto"/>
              <w:right w:val="single" w:sz="4" w:space="0" w:color="FFFFFF"/>
            </w:tcBorders>
            <w:shd w:val="clear" w:color="000000" w:fill="D9D9D9"/>
            <w:noWrap/>
            <w:vAlign w:val="center"/>
            <w:hideMark/>
          </w:tcPr>
          <w:p w14:paraId="765217D8"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458.0 </w:t>
            </w:r>
          </w:p>
        </w:tc>
        <w:tc>
          <w:tcPr>
            <w:tcW w:w="1082" w:type="dxa"/>
            <w:tcBorders>
              <w:top w:val="nil"/>
              <w:left w:val="nil"/>
              <w:bottom w:val="single" w:sz="4" w:space="0" w:color="auto"/>
              <w:right w:val="single" w:sz="4" w:space="0" w:color="FFFFFF"/>
            </w:tcBorders>
            <w:shd w:val="clear" w:color="FFFFFF" w:fill="FFFFFF"/>
            <w:noWrap/>
            <w:vAlign w:val="center"/>
            <w:hideMark/>
          </w:tcPr>
          <w:p w14:paraId="4669BF7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444.2 </w:t>
            </w:r>
          </w:p>
        </w:tc>
      </w:tr>
      <w:tr w:rsidR="00F1540A" w:rsidRPr="005734B8" w14:paraId="57414909"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3B6D2A81"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Assets received free of charge</w:t>
            </w:r>
          </w:p>
        </w:tc>
        <w:tc>
          <w:tcPr>
            <w:tcW w:w="1091" w:type="dxa"/>
            <w:tcBorders>
              <w:top w:val="nil"/>
              <w:left w:val="nil"/>
              <w:bottom w:val="single" w:sz="4" w:space="0" w:color="auto"/>
              <w:right w:val="single" w:sz="4" w:space="0" w:color="FFFFFF"/>
            </w:tcBorders>
            <w:shd w:val="clear" w:color="000000" w:fill="D9D9D9"/>
            <w:noWrap/>
            <w:vAlign w:val="center"/>
            <w:hideMark/>
          </w:tcPr>
          <w:p w14:paraId="66045B9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(6.3) </w:t>
            </w:r>
          </w:p>
        </w:tc>
        <w:tc>
          <w:tcPr>
            <w:tcW w:w="1082" w:type="dxa"/>
            <w:tcBorders>
              <w:top w:val="nil"/>
              <w:left w:val="nil"/>
              <w:bottom w:val="single" w:sz="4" w:space="0" w:color="auto"/>
              <w:right w:val="single" w:sz="4" w:space="0" w:color="FFFFFF"/>
            </w:tcBorders>
            <w:shd w:val="clear" w:color="FFFFFF" w:fill="FFFFFF"/>
            <w:noWrap/>
            <w:vAlign w:val="center"/>
            <w:hideMark/>
          </w:tcPr>
          <w:p w14:paraId="5039DF88"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(15.0) </w:t>
            </w:r>
          </w:p>
        </w:tc>
      </w:tr>
      <w:tr w:rsidR="00F1540A" w:rsidRPr="005734B8" w14:paraId="267F7E24"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000000" w:fill="D9D9D9"/>
            <w:vAlign w:val="center"/>
            <w:hideMark/>
          </w:tcPr>
          <w:p w14:paraId="7E9BB5EF"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Non-cash movements in assets liabilities</w:t>
            </w:r>
          </w:p>
        </w:tc>
        <w:tc>
          <w:tcPr>
            <w:tcW w:w="1091" w:type="dxa"/>
            <w:tcBorders>
              <w:top w:val="nil"/>
              <w:left w:val="nil"/>
              <w:bottom w:val="single" w:sz="4" w:space="0" w:color="auto"/>
              <w:right w:val="single" w:sz="4" w:space="0" w:color="FFFFFF"/>
            </w:tcBorders>
            <w:shd w:val="clear" w:color="000000" w:fill="D9D9D9"/>
            <w:vAlign w:val="bottom"/>
            <w:hideMark/>
          </w:tcPr>
          <w:p w14:paraId="369F7F98"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082" w:type="dxa"/>
            <w:tcBorders>
              <w:top w:val="nil"/>
              <w:left w:val="nil"/>
              <w:bottom w:val="single" w:sz="4" w:space="0" w:color="auto"/>
              <w:right w:val="single" w:sz="4" w:space="0" w:color="FFFFFF"/>
            </w:tcBorders>
            <w:shd w:val="clear" w:color="000000" w:fill="D9D9D9"/>
            <w:vAlign w:val="bottom"/>
            <w:hideMark/>
          </w:tcPr>
          <w:p w14:paraId="1FEEC81B"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1C2697EB"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0416E5C0"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 xml:space="preserve">Decrease/(increase) in current receivables </w:t>
            </w:r>
          </w:p>
        </w:tc>
        <w:tc>
          <w:tcPr>
            <w:tcW w:w="1091" w:type="dxa"/>
            <w:tcBorders>
              <w:top w:val="nil"/>
              <w:left w:val="nil"/>
              <w:bottom w:val="single" w:sz="4" w:space="0" w:color="auto"/>
              <w:right w:val="single" w:sz="4" w:space="0" w:color="FFFFFF"/>
            </w:tcBorders>
            <w:shd w:val="clear" w:color="000000" w:fill="D9D9D9"/>
            <w:noWrap/>
            <w:vAlign w:val="center"/>
            <w:hideMark/>
          </w:tcPr>
          <w:p w14:paraId="7D78B2D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(405.4) </w:t>
            </w:r>
          </w:p>
        </w:tc>
        <w:tc>
          <w:tcPr>
            <w:tcW w:w="1082" w:type="dxa"/>
            <w:tcBorders>
              <w:top w:val="nil"/>
              <w:left w:val="nil"/>
              <w:bottom w:val="single" w:sz="4" w:space="0" w:color="auto"/>
              <w:right w:val="single" w:sz="4" w:space="0" w:color="FFFFFF"/>
            </w:tcBorders>
            <w:shd w:val="clear" w:color="FFFFFF" w:fill="FFFFFF"/>
            <w:noWrap/>
            <w:vAlign w:val="center"/>
            <w:hideMark/>
          </w:tcPr>
          <w:p w14:paraId="1A71D5D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42.3 </w:t>
            </w:r>
          </w:p>
        </w:tc>
      </w:tr>
      <w:tr w:rsidR="00F1540A" w:rsidRPr="005734B8" w14:paraId="6FFFF10A"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0F9EC5ED"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Decrease/(increase) in non-current receivables</w:t>
            </w:r>
          </w:p>
        </w:tc>
        <w:tc>
          <w:tcPr>
            <w:tcW w:w="1091" w:type="dxa"/>
            <w:tcBorders>
              <w:top w:val="nil"/>
              <w:left w:val="nil"/>
              <w:bottom w:val="single" w:sz="4" w:space="0" w:color="auto"/>
              <w:right w:val="single" w:sz="4" w:space="0" w:color="FFFFFF"/>
            </w:tcBorders>
            <w:shd w:val="clear" w:color="000000" w:fill="D9D9D9"/>
            <w:noWrap/>
            <w:vAlign w:val="center"/>
            <w:hideMark/>
          </w:tcPr>
          <w:p w14:paraId="591BC76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(12.3) </w:t>
            </w:r>
          </w:p>
        </w:tc>
        <w:tc>
          <w:tcPr>
            <w:tcW w:w="1082" w:type="dxa"/>
            <w:tcBorders>
              <w:top w:val="nil"/>
              <w:left w:val="nil"/>
              <w:bottom w:val="single" w:sz="4" w:space="0" w:color="auto"/>
              <w:right w:val="single" w:sz="4" w:space="0" w:color="FFFFFF"/>
            </w:tcBorders>
            <w:shd w:val="clear" w:color="FFFFFF" w:fill="FFFFFF"/>
            <w:noWrap/>
            <w:vAlign w:val="center"/>
            <w:hideMark/>
          </w:tcPr>
          <w:p w14:paraId="19BC832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(46.3) </w:t>
            </w:r>
          </w:p>
        </w:tc>
      </w:tr>
      <w:tr w:rsidR="00F1540A" w:rsidRPr="005734B8" w14:paraId="19940C22"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48CEFB3A"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Decrease/(increase) in other non-financial assets</w:t>
            </w:r>
          </w:p>
        </w:tc>
        <w:tc>
          <w:tcPr>
            <w:tcW w:w="1091" w:type="dxa"/>
            <w:tcBorders>
              <w:top w:val="nil"/>
              <w:left w:val="nil"/>
              <w:bottom w:val="single" w:sz="4" w:space="0" w:color="auto"/>
              <w:right w:val="single" w:sz="4" w:space="0" w:color="FFFFFF"/>
            </w:tcBorders>
            <w:shd w:val="clear" w:color="000000" w:fill="D9D9D9"/>
            <w:noWrap/>
            <w:vAlign w:val="center"/>
            <w:hideMark/>
          </w:tcPr>
          <w:p w14:paraId="4788BDC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(56.9) </w:t>
            </w:r>
          </w:p>
        </w:tc>
        <w:tc>
          <w:tcPr>
            <w:tcW w:w="1082" w:type="dxa"/>
            <w:tcBorders>
              <w:top w:val="nil"/>
              <w:left w:val="nil"/>
              <w:bottom w:val="single" w:sz="4" w:space="0" w:color="auto"/>
              <w:right w:val="single" w:sz="4" w:space="0" w:color="FFFFFF"/>
            </w:tcBorders>
            <w:shd w:val="clear" w:color="FFFFFF" w:fill="FFFFFF"/>
            <w:noWrap/>
            <w:vAlign w:val="center"/>
            <w:hideMark/>
          </w:tcPr>
          <w:p w14:paraId="63E66A9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(0.1) </w:t>
            </w:r>
          </w:p>
        </w:tc>
      </w:tr>
      <w:tr w:rsidR="00F1540A" w:rsidRPr="005734B8" w14:paraId="017E882F"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5FA22FB1"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Increase/(decrease) in current payables</w:t>
            </w:r>
          </w:p>
        </w:tc>
        <w:tc>
          <w:tcPr>
            <w:tcW w:w="1091" w:type="dxa"/>
            <w:tcBorders>
              <w:top w:val="nil"/>
              <w:left w:val="nil"/>
              <w:bottom w:val="single" w:sz="4" w:space="0" w:color="auto"/>
              <w:right w:val="single" w:sz="4" w:space="0" w:color="FFFFFF"/>
            </w:tcBorders>
            <w:shd w:val="clear" w:color="000000" w:fill="D9D9D9"/>
            <w:noWrap/>
            <w:vAlign w:val="center"/>
            <w:hideMark/>
          </w:tcPr>
          <w:p w14:paraId="6C0C941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(199.9) </w:t>
            </w:r>
          </w:p>
        </w:tc>
        <w:tc>
          <w:tcPr>
            <w:tcW w:w="1082" w:type="dxa"/>
            <w:tcBorders>
              <w:top w:val="nil"/>
              <w:left w:val="nil"/>
              <w:bottom w:val="single" w:sz="4" w:space="0" w:color="auto"/>
              <w:right w:val="single" w:sz="4" w:space="0" w:color="FFFFFF"/>
            </w:tcBorders>
            <w:shd w:val="clear" w:color="FFFFFF" w:fill="FFFFFF"/>
            <w:noWrap/>
            <w:vAlign w:val="center"/>
            <w:hideMark/>
          </w:tcPr>
          <w:p w14:paraId="399AC4D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71.6 </w:t>
            </w:r>
          </w:p>
        </w:tc>
      </w:tr>
      <w:tr w:rsidR="00F1540A" w:rsidRPr="005734B8" w14:paraId="72F5057D"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6E3B3442"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Increase/(decrease) in other liabilities</w:t>
            </w:r>
          </w:p>
        </w:tc>
        <w:tc>
          <w:tcPr>
            <w:tcW w:w="1091" w:type="dxa"/>
            <w:tcBorders>
              <w:top w:val="nil"/>
              <w:left w:val="nil"/>
              <w:bottom w:val="single" w:sz="4" w:space="0" w:color="auto"/>
              <w:right w:val="single" w:sz="4" w:space="0" w:color="FFFFFF"/>
            </w:tcBorders>
            <w:shd w:val="clear" w:color="000000" w:fill="D9D9D9"/>
            <w:noWrap/>
            <w:vAlign w:val="center"/>
            <w:hideMark/>
          </w:tcPr>
          <w:p w14:paraId="7050C93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(7.9) </w:t>
            </w:r>
          </w:p>
        </w:tc>
        <w:tc>
          <w:tcPr>
            <w:tcW w:w="1082" w:type="dxa"/>
            <w:tcBorders>
              <w:top w:val="nil"/>
              <w:left w:val="nil"/>
              <w:bottom w:val="single" w:sz="4" w:space="0" w:color="auto"/>
              <w:right w:val="single" w:sz="4" w:space="0" w:color="FFFFFF"/>
            </w:tcBorders>
            <w:shd w:val="clear" w:color="FFFFFF" w:fill="FFFFFF"/>
            <w:noWrap/>
            <w:vAlign w:val="center"/>
            <w:hideMark/>
          </w:tcPr>
          <w:p w14:paraId="6644A82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(5.5) </w:t>
            </w:r>
          </w:p>
        </w:tc>
      </w:tr>
      <w:tr w:rsidR="00F1540A" w:rsidRPr="005734B8" w14:paraId="627CA48C"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3CE07443"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Increase/(decrease) in current employee entitlements</w:t>
            </w:r>
          </w:p>
        </w:tc>
        <w:tc>
          <w:tcPr>
            <w:tcW w:w="1091" w:type="dxa"/>
            <w:tcBorders>
              <w:top w:val="nil"/>
              <w:left w:val="nil"/>
              <w:bottom w:val="single" w:sz="4" w:space="0" w:color="auto"/>
              <w:right w:val="single" w:sz="4" w:space="0" w:color="FFFFFF"/>
            </w:tcBorders>
            <w:shd w:val="clear" w:color="000000" w:fill="D9D9D9"/>
            <w:noWrap/>
            <w:vAlign w:val="center"/>
            <w:hideMark/>
          </w:tcPr>
          <w:p w14:paraId="09D8FEE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162.0 </w:t>
            </w:r>
          </w:p>
        </w:tc>
        <w:tc>
          <w:tcPr>
            <w:tcW w:w="1082" w:type="dxa"/>
            <w:tcBorders>
              <w:top w:val="nil"/>
              <w:left w:val="nil"/>
              <w:bottom w:val="single" w:sz="4" w:space="0" w:color="auto"/>
              <w:right w:val="single" w:sz="4" w:space="0" w:color="FFFFFF"/>
            </w:tcBorders>
            <w:shd w:val="clear" w:color="FFFFFF" w:fill="FFFFFF"/>
            <w:noWrap/>
            <w:vAlign w:val="center"/>
            <w:hideMark/>
          </w:tcPr>
          <w:p w14:paraId="64B72E6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123.5 </w:t>
            </w:r>
          </w:p>
        </w:tc>
      </w:tr>
      <w:tr w:rsidR="00F1540A" w:rsidRPr="005734B8" w14:paraId="42832196" w14:textId="77777777" w:rsidTr="000F48B1">
        <w:trPr>
          <w:trHeight w:val="270"/>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62C17B5B"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Increase/(decrease) in non-current employee entitlements</w:t>
            </w:r>
          </w:p>
        </w:tc>
        <w:tc>
          <w:tcPr>
            <w:tcW w:w="1091" w:type="dxa"/>
            <w:tcBorders>
              <w:top w:val="nil"/>
              <w:left w:val="nil"/>
              <w:bottom w:val="single" w:sz="4" w:space="0" w:color="auto"/>
              <w:right w:val="single" w:sz="4" w:space="0" w:color="FFFFFF"/>
            </w:tcBorders>
            <w:shd w:val="clear" w:color="000000" w:fill="D9D9D9"/>
            <w:noWrap/>
            <w:vAlign w:val="center"/>
            <w:hideMark/>
          </w:tcPr>
          <w:p w14:paraId="33A62C8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13.9 </w:t>
            </w:r>
          </w:p>
        </w:tc>
        <w:tc>
          <w:tcPr>
            <w:tcW w:w="1082" w:type="dxa"/>
            <w:tcBorders>
              <w:top w:val="nil"/>
              <w:left w:val="nil"/>
              <w:bottom w:val="single" w:sz="4" w:space="0" w:color="auto"/>
              <w:right w:val="single" w:sz="4" w:space="0" w:color="FFFFFF"/>
            </w:tcBorders>
            <w:shd w:val="clear" w:color="FFFFFF" w:fill="FFFFFF"/>
            <w:noWrap/>
            <w:vAlign w:val="center"/>
            <w:hideMark/>
          </w:tcPr>
          <w:p w14:paraId="0905E73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41.5 </w:t>
            </w:r>
          </w:p>
        </w:tc>
      </w:tr>
      <w:tr w:rsidR="00F1540A" w:rsidRPr="005734B8" w14:paraId="29DC32F2"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BAC48B7"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Net cash inflow from/(used in) operating activities</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B6E6A6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605.7 </w:t>
            </w:r>
          </w:p>
        </w:tc>
        <w:tc>
          <w:tcPr>
            <w:tcW w:w="1082" w:type="dxa"/>
            <w:tcBorders>
              <w:top w:val="single" w:sz="12" w:space="0" w:color="auto"/>
              <w:left w:val="nil"/>
              <w:bottom w:val="single" w:sz="12" w:space="0" w:color="auto"/>
              <w:right w:val="single" w:sz="12" w:space="0" w:color="FFFFFF"/>
            </w:tcBorders>
            <w:shd w:val="clear" w:color="FFFFFF" w:fill="FFFFFF"/>
            <w:noWrap/>
            <w:vAlign w:val="center"/>
            <w:hideMark/>
          </w:tcPr>
          <w:p w14:paraId="35F59830"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1,220.3 </w:t>
            </w:r>
          </w:p>
        </w:tc>
      </w:tr>
    </w:tbl>
    <w:p w14:paraId="7F9B28A7" w14:textId="77777777" w:rsidR="00F1540A" w:rsidRPr="005734B8" w:rsidRDefault="00F1540A" w:rsidP="00F1540A">
      <w:pPr>
        <w:rPr>
          <w:rFonts w:ascii="Calibri" w:hAnsi="Calibri" w:cs="Calibri"/>
          <w:bCs/>
          <w:color w:val="8A2A2F"/>
          <w:spacing w:val="5"/>
          <w:kern w:val="28"/>
          <w:sz w:val="28"/>
          <w:lang w:val="en-US"/>
        </w:rPr>
      </w:pPr>
      <w:bookmarkStart w:id="1624" w:name="_Toc11336417"/>
      <w:bookmarkStart w:id="1625" w:name="_Toc11336594"/>
      <w:bookmarkStart w:id="1626" w:name="_Toc13647198"/>
      <w:bookmarkStart w:id="1627" w:name="_Toc13656730"/>
      <w:bookmarkStart w:id="1628" w:name="_Toc13656892"/>
      <w:bookmarkStart w:id="1629" w:name="_Toc14965643"/>
      <w:bookmarkStart w:id="1630" w:name="_Toc15985317"/>
      <w:bookmarkStart w:id="1631" w:name="_Toc16231968"/>
      <w:bookmarkStart w:id="1632" w:name="_Toc36012794"/>
      <w:bookmarkStart w:id="1633" w:name="_Toc36012872"/>
      <w:bookmarkStart w:id="1634" w:name="_Toc36013369"/>
      <w:bookmarkStart w:id="1635" w:name="_Toc58243452"/>
      <w:bookmarkStart w:id="1636" w:name="_Toc72958102"/>
      <w:bookmarkStart w:id="1637" w:name="_Toc72958150"/>
      <w:r w:rsidRPr="005734B8">
        <w:rPr>
          <w:rFonts w:ascii="Calibri" w:hAnsi="Calibri" w:cs="Calibri"/>
          <w:bCs/>
          <w:color w:val="8A2A2F"/>
          <w:spacing w:val="5"/>
          <w:kern w:val="28"/>
          <w:sz w:val="28"/>
          <w:lang w:val="en-US"/>
        </w:rPr>
        <w:br w:type="page"/>
      </w:r>
    </w:p>
    <w:p w14:paraId="7E739E74" w14:textId="77777777" w:rsidR="00F1540A" w:rsidRPr="005734B8" w:rsidRDefault="00F1540A" w:rsidP="00F1540A">
      <w:pPr>
        <w:spacing w:before="240" w:after="180" w:line="240" w:lineRule="atLeast"/>
        <w:outlineLvl w:val="0"/>
        <w:rPr>
          <w:rFonts w:ascii="Calibri" w:hAnsi="Calibri" w:cs="Calibri"/>
          <w:bCs/>
          <w:color w:val="8A2A2F"/>
          <w:spacing w:val="5"/>
          <w:kern w:val="28"/>
          <w:sz w:val="28"/>
          <w:lang w:val="en-US"/>
        </w:rPr>
      </w:pPr>
      <w:bookmarkStart w:id="1638" w:name="_Toc80272090"/>
      <w:bookmarkStart w:id="1639" w:name="_Toc81315390"/>
      <w:r w:rsidRPr="005734B8">
        <w:rPr>
          <w:rFonts w:ascii="Calibri" w:hAnsi="Calibri" w:cs="Calibri"/>
          <w:bCs/>
          <w:color w:val="8A2A2F"/>
          <w:spacing w:val="5"/>
          <w:kern w:val="28"/>
          <w:sz w:val="28"/>
          <w:lang w:val="en-US"/>
        </w:rPr>
        <w:lastRenderedPageBreak/>
        <w:t>7.4</w:t>
      </w:r>
      <w:r w:rsidRPr="005734B8">
        <w:rPr>
          <w:rFonts w:ascii="Calibri" w:hAnsi="Calibri" w:cs="Calibri"/>
          <w:bCs/>
          <w:color w:val="8A2A2F"/>
          <w:spacing w:val="5"/>
          <w:kern w:val="28"/>
          <w:sz w:val="28"/>
          <w:lang w:val="en-US"/>
        </w:rPr>
        <w:tab/>
        <w:t>Trust account balances</w:t>
      </w:r>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p>
    <w:p w14:paraId="3492B7DC" w14:textId="77777777" w:rsidR="00F1540A" w:rsidRPr="005734B8" w:rsidRDefault="00F1540A" w:rsidP="00F1540A">
      <w:pPr>
        <w:rPr>
          <w:rFonts w:ascii="Calibri" w:eastAsia="Arial" w:hAnsi="Calibri" w:cs="Calibri"/>
        </w:rPr>
      </w:pPr>
      <w:r w:rsidRPr="005734B8">
        <w:rPr>
          <w:rFonts w:ascii="Calibri" w:eastAsia="Arial" w:hAnsi="Calibri" w:cs="Calibri"/>
        </w:rPr>
        <w:t>The following is a listing of trust account balances relating to trust accounts controlled and/or administered by the Department:</w:t>
      </w:r>
    </w:p>
    <w:p w14:paraId="7BA4462A" w14:textId="77777777" w:rsidR="00F1540A" w:rsidRPr="005734B8" w:rsidRDefault="00F1540A" w:rsidP="00F1540A">
      <w:pPr>
        <w:rPr>
          <w:rFonts w:ascii="Calibri" w:eastAsia="Arial" w:hAnsi="Calibri" w:cs="Calibri"/>
        </w:rPr>
      </w:pPr>
    </w:p>
    <w:tbl>
      <w:tblPr>
        <w:tblW w:w="7625" w:type="dxa"/>
        <w:tblInd w:w="75" w:type="dxa"/>
        <w:tblLayout w:type="fixed"/>
        <w:tblLook w:val="04A0" w:firstRow="1" w:lastRow="0" w:firstColumn="1" w:lastColumn="0" w:noHBand="0" w:noVBand="1"/>
      </w:tblPr>
      <w:tblGrid>
        <w:gridCol w:w="2836"/>
        <w:gridCol w:w="1198"/>
        <w:gridCol w:w="1197"/>
        <w:gridCol w:w="1197"/>
        <w:gridCol w:w="1197"/>
      </w:tblGrid>
      <w:tr w:rsidR="00F1540A" w:rsidRPr="005734B8" w14:paraId="40AB986F" w14:textId="77777777" w:rsidTr="000F48B1">
        <w:trPr>
          <w:trHeight w:val="1118"/>
        </w:trPr>
        <w:tc>
          <w:tcPr>
            <w:tcW w:w="2836" w:type="dxa"/>
            <w:tcBorders>
              <w:top w:val="nil"/>
              <w:left w:val="single" w:sz="4" w:space="0" w:color="FFFFFF"/>
              <w:bottom w:val="single" w:sz="4" w:space="0" w:color="FFFFFF"/>
              <w:right w:val="single" w:sz="4" w:space="0" w:color="FFFFFF"/>
            </w:tcBorders>
            <w:shd w:val="clear" w:color="000000" w:fill="AF272F"/>
            <w:hideMark/>
          </w:tcPr>
          <w:p w14:paraId="6824B1E4" w14:textId="77777777" w:rsidR="00F1540A" w:rsidRPr="005734B8" w:rsidRDefault="00F1540A" w:rsidP="000F48B1">
            <w:pPr>
              <w:rPr>
                <w:rFonts w:ascii="Calibri" w:hAnsi="Calibri" w:cs="Calibri"/>
                <w:b/>
                <w:color w:val="FFFFFF"/>
                <w:sz w:val="18"/>
                <w:szCs w:val="18"/>
              </w:rPr>
            </w:pPr>
            <w:bookmarkStart w:id="1640" w:name="Note_TACTABLE1" w:colFirst="0" w:colLast="0"/>
            <w:r w:rsidRPr="005734B8">
              <w:rPr>
                <w:rFonts w:ascii="Calibri" w:hAnsi="Calibri" w:cs="Calibri"/>
                <w:b/>
                <w:color w:val="FFFFFF"/>
                <w:sz w:val="18"/>
                <w:szCs w:val="18"/>
              </w:rPr>
              <w:t>2021</w:t>
            </w:r>
          </w:p>
        </w:tc>
        <w:tc>
          <w:tcPr>
            <w:tcW w:w="1198" w:type="dxa"/>
            <w:tcBorders>
              <w:top w:val="nil"/>
              <w:left w:val="nil"/>
              <w:bottom w:val="single" w:sz="4" w:space="0" w:color="auto"/>
              <w:right w:val="single" w:sz="4" w:space="0" w:color="FFFFFF"/>
            </w:tcBorders>
            <w:shd w:val="clear" w:color="000000" w:fill="AF272F"/>
            <w:hideMark/>
          </w:tcPr>
          <w:p w14:paraId="62C962C0"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Opening balance as at 1 July 2020 ($m)</w:t>
            </w:r>
          </w:p>
        </w:tc>
        <w:tc>
          <w:tcPr>
            <w:tcW w:w="1197" w:type="dxa"/>
            <w:tcBorders>
              <w:top w:val="nil"/>
              <w:left w:val="nil"/>
              <w:bottom w:val="single" w:sz="4" w:space="0" w:color="auto"/>
              <w:right w:val="single" w:sz="4" w:space="0" w:color="FFFFFF"/>
            </w:tcBorders>
            <w:shd w:val="clear" w:color="000000" w:fill="AF272F"/>
            <w:hideMark/>
          </w:tcPr>
          <w:p w14:paraId="62DE414E"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Total receipts ($m)</w:t>
            </w:r>
          </w:p>
        </w:tc>
        <w:tc>
          <w:tcPr>
            <w:tcW w:w="1197" w:type="dxa"/>
            <w:tcBorders>
              <w:top w:val="nil"/>
              <w:left w:val="nil"/>
              <w:bottom w:val="single" w:sz="4" w:space="0" w:color="auto"/>
              <w:right w:val="single" w:sz="4" w:space="0" w:color="FFFFFF"/>
            </w:tcBorders>
            <w:shd w:val="clear" w:color="000000" w:fill="AF272F"/>
            <w:hideMark/>
          </w:tcPr>
          <w:p w14:paraId="037C3A36"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Total payments ($m)</w:t>
            </w:r>
          </w:p>
        </w:tc>
        <w:tc>
          <w:tcPr>
            <w:tcW w:w="1197" w:type="dxa"/>
            <w:tcBorders>
              <w:top w:val="nil"/>
              <w:left w:val="nil"/>
              <w:bottom w:val="single" w:sz="4" w:space="0" w:color="auto"/>
              <w:right w:val="single" w:sz="4" w:space="0" w:color="FFFFFF"/>
            </w:tcBorders>
            <w:shd w:val="clear" w:color="000000" w:fill="AF272F"/>
            <w:hideMark/>
          </w:tcPr>
          <w:p w14:paraId="4FD1DA2C"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Closing balance as at 30 June 2021 ($m)</w:t>
            </w:r>
          </w:p>
        </w:tc>
      </w:tr>
      <w:bookmarkEnd w:id="1640"/>
      <w:tr w:rsidR="00F1540A" w:rsidRPr="005734B8" w14:paraId="1DFE6060" w14:textId="77777777" w:rsidTr="000F48B1">
        <w:trPr>
          <w:trHeight w:val="255"/>
        </w:trPr>
        <w:tc>
          <w:tcPr>
            <w:tcW w:w="2836"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1203BAFC"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Controlled trusts</w:t>
            </w:r>
          </w:p>
        </w:tc>
        <w:tc>
          <w:tcPr>
            <w:tcW w:w="1198" w:type="dxa"/>
            <w:tcBorders>
              <w:top w:val="nil"/>
              <w:left w:val="nil"/>
              <w:bottom w:val="single" w:sz="4" w:space="0" w:color="auto"/>
              <w:right w:val="single" w:sz="4" w:space="0" w:color="FFFFFF"/>
            </w:tcBorders>
            <w:shd w:val="clear" w:color="000000" w:fill="D9D9D9"/>
            <w:vAlign w:val="bottom"/>
            <w:hideMark/>
          </w:tcPr>
          <w:p w14:paraId="34291529"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197" w:type="dxa"/>
            <w:tcBorders>
              <w:top w:val="nil"/>
              <w:left w:val="nil"/>
              <w:bottom w:val="single" w:sz="4" w:space="0" w:color="auto"/>
              <w:right w:val="single" w:sz="4" w:space="0" w:color="FFFFFF"/>
            </w:tcBorders>
            <w:shd w:val="clear" w:color="000000" w:fill="D9D9D9"/>
            <w:vAlign w:val="bottom"/>
            <w:hideMark/>
          </w:tcPr>
          <w:p w14:paraId="271DA7E7"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197" w:type="dxa"/>
            <w:tcBorders>
              <w:top w:val="nil"/>
              <w:left w:val="nil"/>
              <w:bottom w:val="single" w:sz="4" w:space="0" w:color="auto"/>
              <w:right w:val="single" w:sz="4" w:space="0" w:color="FFFFFF"/>
            </w:tcBorders>
            <w:shd w:val="clear" w:color="000000" w:fill="D9D9D9"/>
            <w:vAlign w:val="bottom"/>
            <w:hideMark/>
          </w:tcPr>
          <w:p w14:paraId="37BF12DF"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197" w:type="dxa"/>
            <w:tcBorders>
              <w:top w:val="nil"/>
              <w:left w:val="nil"/>
              <w:bottom w:val="single" w:sz="4" w:space="0" w:color="auto"/>
              <w:right w:val="single" w:sz="4" w:space="0" w:color="FFFFFF"/>
            </w:tcBorders>
            <w:shd w:val="clear" w:color="000000" w:fill="D9D9D9"/>
            <w:vAlign w:val="bottom"/>
            <w:hideMark/>
          </w:tcPr>
          <w:p w14:paraId="3843D991"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05A3D714" w14:textId="77777777" w:rsidTr="000F48B1">
        <w:trPr>
          <w:trHeight w:val="270"/>
        </w:trPr>
        <w:tc>
          <w:tcPr>
            <w:tcW w:w="2836" w:type="dxa"/>
            <w:tcBorders>
              <w:top w:val="nil"/>
              <w:left w:val="nil"/>
              <w:bottom w:val="single" w:sz="4" w:space="0" w:color="auto"/>
              <w:right w:val="nil"/>
            </w:tcBorders>
            <w:shd w:val="clear" w:color="FFFFFF" w:fill="FFFFFF"/>
            <w:vAlign w:val="center"/>
            <w:hideMark/>
          </w:tcPr>
          <w:p w14:paraId="42C40E67"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State treasury trust</w:t>
            </w:r>
          </w:p>
        </w:tc>
        <w:tc>
          <w:tcPr>
            <w:tcW w:w="1198" w:type="dxa"/>
            <w:tcBorders>
              <w:top w:val="nil"/>
              <w:left w:val="single" w:sz="4" w:space="0" w:color="FFFFFF"/>
              <w:bottom w:val="single" w:sz="4" w:space="0" w:color="auto"/>
              <w:right w:val="single" w:sz="4" w:space="0" w:color="FFFFFF"/>
            </w:tcBorders>
            <w:shd w:val="clear" w:color="FFFFFF" w:fill="FFFFFF"/>
            <w:noWrap/>
            <w:vAlign w:val="center"/>
            <w:hideMark/>
          </w:tcPr>
          <w:p w14:paraId="766962D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67.9 </w:t>
            </w:r>
          </w:p>
        </w:tc>
        <w:tc>
          <w:tcPr>
            <w:tcW w:w="1197" w:type="dxa"/>
            <w:tcBorders>
              <w:top w:val="nil"/>
              <w:left w:val="nil"/>
              <w:bottom w:val="single" w:sz="4" w:space="0" w:color="auto"/>
              <w:right w:val="single" w:sz="4" w:space="0" w:color="FFFFFF"/>
            </w:tcBorders>
            <w:shd w:val="clear" w:color="FFFFFF" w:fill="FFFFFF"/>
            <w:noWrap/>
            <w:vAlign w:val="center"/>
            <w:hideMark/>
          </w:tcPr>
          <w:p w14:paraId="4402327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47.8 </w:t>
            </w:r>
          </w:p>
        </w:tc>
        <w:tc>
          <w:tcPr>
            <w:tcW w:w="1197" w:type="dxa"/>
            <w:tcBorders>
              <w:top w:val="nil"/>
              <w:left w:val="nil"/>
              <w:bottom w:val="single" w:sz="4" w:space="0" w:color="auto"/>
              <w:right w:val="single" w:sz="4" w:space="0" w:color="FFFFFF"/>
            </w:tcBorders>
            <w:shd w:val="clear" w:color="FFFFFF" w:fill="FFFFFF"/>
            <w:noWrap/>
            <w:vAlign w:val="center"/>
            <w:hideMark/>
          </w:tcPr>
          <w:p w14:paraId="2355EC9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(64.6) </w:t>
            </w:r>
          </w:p>
        </w:tc>
        <w:tc>
          <w:tcPr>
            <w:tcW w:w="1197" w:type="dxa"/>
            <w:tcBorders>
              <w:top w:val="nil"/>
              <w:left w:val="nil"/>
              <w:bottom w:val="single" w:sz="4" w:space="0" w:color="auto"/>
              <w:right w:val="single" w:sz="4" w:space="0" w:color="FFFFFF"/>
            </w:tcBorders>
            <w:shd w:val="clear" w:color="FFFFFF" w:fill="FFFFFF"/>
            <w:noWrap/>
            <w:vAlign w:val="center"/>
            <w:hideMark/>
          </w:tcPr>
          <w:p w14:paraId="3262715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51.1 </w:t>
            </w:r>
          </w:p>
        </w:tc>
      </w:tr>
      <w:tr w:rsidR="00F1540A" w:rsidRPr="005734B8" w14:paraId="3E238ED1" w14:textId="77777777" w:rsidTr="000F48B1">
        <w:trPr>
          <w:trHeight w:val="255"/>
        </w:trPr>
        <w:tc>
          <w:tcPr>
            <w:tcW w:w="2836" w:type="dxa"/>
            <w:tcBorders>
              <w:top w:val="nil"/>
              <w:left w:val="nil"/>
              <w:bottom w:val="single" w:sz="4" w:space="0" w:color="auto"/>
              <w:right w:val="nil"/>
            </w:tcBorders>
            <w:shd w:val="clear" w:color="FFFFFF" w:fill="FFFFFF"/>
            <w:vAlign w:val="center"/>
            <w:hideMark/>
          </w:tcPr>
          <w:p w14:paraId="797EC905" w14:textId="61B1E580" w:rsidR="00F1540A" w:rsidRPr="005734B8" w:rsidRDefault="00F1540A" w:rsidP="000F48B1">
            <w:pPr>
              <w:rPr>
                <w:rFonts w:ascii="Calibri" w:hAnsi="Calibri" w:cs="Calibri"/>
                <w:sz w:val="18"/>
                <w:szCs w:val="18"/>
              </w:rPr>
            </w:pPr>
            <w:r w:rsidRPr="005734B8">
              <w:rPr>
                <w:rFonts w:ascii="Calibri" w:hAnsi="Calibri" w:cs="Calibri"/>
                <w:sz w:val="18"/>
                <w:szCs w:val="18"/>
              </w:rPr>
              <w:t>Interdepartmental trust</w:t>
            </w:r>
          </w:p>
        </w:tc>
        <w:tc>
          <w:tcPr>
            <w:tcW w:w="1198" w:type="dxa"/>
            <w:tcBorders>
              <w:top w:val="nil"/>
              <w:left w:val="single" w:sz="4" w:space="0" w:color="FFFFFF"/>
              <w:bottom w:val="single" w:sz="4" w:space="0" w:color="auto"/>
              <w:right w:val="single" w:sz="4" w:space="0" w:color="FFFFFF"/>
            </w:tcBorders>
            <w:shd w:val="clear" w:color="FFFFFF" w:fill="FFFFFF"/>
            <w:noWrap/>
            <w:vAlign w:val="center"/>
            <w:hideMark/>
          </w:tcPr>
          <w:p w14:paraId="0FF2ABD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336.5 </w:t>
            </w:r>
          </w:p>
        </w:tc>
        <w:tc>
          <w:tcPr>
            <w:tcW w:w="1197" w:type="dxa"/>
            <w:tcBorders>
              <w:top w:val="nil"/>
              <w:left w:val="nil"/>
              <w:bottom w:val="single" w:sz="4" w:space="0" w:color="auto"/>
              <w:right w:val="single" w:sz="4" w:space="0" w:color="FFFFFF"/>
            </w:tcBorders>
            <w:shd w:val="clear" w:color="FFFFFF" w:fill="FFFFFF"/>
            <w:noWrap/>
            <w:vAlign w:val="center"/>
            <w:hideMark/>
          </w:tcPr>
          <w:p w14:paraId="6BB74E0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(266.2) </w:t>
            </w:r>
          </w:p>
        </w:tc>
        <w:tc>
          <w:tcPr>
            <w:tcW w:w="1197" w:type="dxa"/>
            <w:tcBorders>
              <w:top w:val="nil"/>
              <w:left w:val="nil"/>
              <w:bottom w:val="single" w:sz="4" w:space="0" w:color="auto"/>
              <w:right w:val="single" w:sz="4" w:space="0" w:color="FFFFFF"/>
            </w:tcBorders>
            <w:shd w:val="clear" w:color="FFFFFF" w:fill="FFFFFF"/>
            <w:noWrap/>
            <w:vAlign w:val="center"/>
            <w:hideMark/>
          </w:tcPr>
          <w:p w14:paraId="7238D368"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(34.8) </w:t>
            </w:r>
          </w:p>
        </w:tc>
        <w:tc>
          <w:tcPr>
            <w:tcW w:w="1197" w:type="dxa"/>
            <w:tcBorders>
              <w:top w:val="nil"/>
              <w:left w:val="nil"/>
              <w:bottom w:val="single" w:sz="4" w:space="0" w:color="auto"/>
              <w:right w:val="single" w:sz="4" w:space="0" w:color="FFFFFF"/>
            </w:tcBorders>
            <w:shd w:val="clear" w:color="FFFFFF" w:fill="FFFFFF"/>
            <w:noWrap/>
            <w:vAlign w:val="center"/>
            <w:hideMark/>
          </w:tcPr>
          <w:p w14:paraId="0913229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35.5 </w:t>
            </w:r>
          </w:p>
        </w:tc>
      </w:tr>
      <w:tr w:rsidR="00F1540A" w:rsidRPr="005734B8" w14:paraId="2B293D81" w14:textId="77777777" w:rsidTr="000F48B1">
        <w:trPr>
          <w:trHeight w:val="255"/>
        </w:trPr>
        <w:tc>
          <w:tcPr>
            <w:tcW w:w="2836" w:type="dxa"/>
            <w:tcBorders>
              <w:top w:val="nil"/>
              <w:left w:val="nil"/>
              <w:bottom w:val="single" w:sz="4" w:space="0" w:color="auto"/>
              <w:right w:val="nil"/>
            </w:tcBorders>
            <w:shd w:val="clear" w:color="FFFFFF" w:fill="FFFFFF"/>
            <w:vAlign w:val="center"/>
            <w:hideMark/>
          </w:tcPr>
          <w:p w14:paraId="752AC116"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School capital contributions</w:t>
            </w:r>
          </w:p>
        </w:tc>
        <w:tc>
          <w:tcPr>
            <w:tcW w:w="1198" w:type="dxa"/>
            <w:tcBorders>
              <w:top w:val="nil"/>
              <w:left w:val="single" w:sz="4" w:space="0" w:color="FFFFFF"/>
              <w:bottom w:val="single" w:sz="4" w:space="0" w:color="auto"/>
              <w:right w:val="single" w:sz="4" w:space="0" w:color="FFFFFF"/>
            </w:tcBorders>
            <w:shd w:val="clear" w:color="FFFFFF" w:fill="FFFFFF"/>
            <w:noWrap/>
            <w:vAlign w:val="center"/>
            <w:hideMark/>
          </w:tcPr>
          <w:p w14:paraId="043E6F0B" w14:textId="04025803"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1197" w:type="dxa"/>
            <w:tcBorders>
              <w:top w:val="nil"/>
              <w:left w:val="nil"/>
              <w:bottom w:val="single" w:sz="4" w:space="0" w:color="auto"/>
              <w:right w:val="single" w:sz="4" w:space="0" w:color="FFFFFF"/>
            </w:tcBorders>
            <w:shd w:val="clear" w:color="FFFFFF" w:fill="FFFFFF"/>
            <w:noWrap/>
            <w:vAlign w:val="center"/>
            <w:hideMark/>
          </w:tcPr>
          <w:p w14:paraId="6A36AAD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13.5 </w:t>
            </w:r>
          </w:p>
        </w:tc>
        <w:tc>
          <w:tcPr>
            <w:tcW w:w="1197" w:type="dxa"/>
            <w:tcBorders>
              <w:top w:val="nil"/>
              <w:left w:val="nil"/>
              <w:bottom w:val="single" w:sz="4" w:space="0" w:color="auto"/>
              <w:right w:val="single" w:sz="4" w:space="0" w:color="FFFFFF"/>
            </w:tcBorders>
            <w:shd w:val="clear" w:color="FFFFFF" w:fill="FFFFFF"/>
            <w:noWrap/>
            <w:vAlign w:val="center"/>
            <w:hideMark/>
          </w:tcPr>
          <w:p w14:paraId="4E44327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(13.5) </w:t>
            </w:r>
          </w:p>
        </w:tc>
        <w:tc>
          <w:tcPr>
            <w:tcW w:w="1197" w:type="dxa"/>
            <w:tcBorders>
              <w:top w:val="nil"/>
              <w:left w:val="nil"/>
              <w:bottom w:val="single" w:sz="4" w:space="0" w:color="auto"/>
              <w:right w:val="single" w:sz="4" w:space="0" w:color="FFFFFF"/>
            </w:tcBorders>
            <w:shd w:val="clear" w:color="FFFFFF" w:fill="FFFFFF"/>
            <w:noWrap/>
            <w:vAlign w:val="center"/>
            <w:hideMark/>
          </w:tcPr>
          <w:p w14:paraId="29513349" w14:textId="263FD180" w:rsidR="00F1540A" w:rsidRPr="005734B8" w:rsidRDefault="00141228" w:rsidP="000F48B1">
            <w:pPr>
              <w:jc w:val="right"/>
              <w:rPr>
                <w:rFonts w:ascii="Calibri" w:hAnsi="Calibri" w:cs="Calibri"/>
                <w:sz w:val="18"/>
                <w:szCs w:val="18"/>
              </w:rPr>
            </w:pPr>
            <w:r w:rsidRPr="005734B8">
              <w:rPr>
                <w:rFonts w:ascii="Calibri" w:hAnsi="Calibri" w:cs="Calibri"/>
                <w:sz w:val="18"/>
                <w:szCs w:val="18"/>
              </w:rPr>
              <w:softHyphen/>
            </w:r>
            <w:r w:rsidR="002653E2" w:rsidRPr="005734B8">
              <w:rPr>
                <w:rFonts w:ascii="Calibri" w:hAnsi="Calibri" w:cs="Calibri"/>
                <w:sz w:val="18"/>
                <w:szCs w:val="18"/>
              </w:rPr>
              <w:t>–</w:t>
            </w:r>
          </w:p>
        </w:tc>
      </w:tr>
      <w:tr w:rsidR="00F1540A" w:rsidRPr="005734B8" w14:paraId="2147D14D" w14:textId="77777777" w:rsidTr="000F48B1">
        <w:trPr>
          <w:trHeight w:val="255"/>
        </w:trPr>
        <w:tc>
          <w:tcPr>
            <w:tcW w:w="2836" w:type="dxa"/>
            <w:tcBorders>
              <w:top w:val="nil"/>
              <w:left w:val="nil"/>
              <w:bottom w:val="single" w:sz="4" w:space="0" w:color="auto"/>
              <w:right w:val="nil"/>
            </w:tcBorders>
            <w:shd w:val="clear" w:color="FFFFFF" w:fill="FFFFFF"/>
            <w:vAlign w:val="center"/>
            <w:hideMark/>
          </w:tcPr>
          <w:p w14:paraId="68294A5D"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School Sports Victoria</w:t>
            </w:r>
          </w:p>
        </w:tc>
        <w:tc>
          <w:tcPr>
            <w:tcW w:w="1198" w:type="dxa"/>
            <w:tcBorders>
              <w:top w:val="nil"/>
              <w:left w:val="single" w:sz="4" w:space="0" w:color="FFFFFF"/>
              <w:bottom w:val="single" w:sz="4" w:space="0" w:color="auto"/>
              <w:right w:val="single" w:sz="4" w:space="0" w:color="FFFFFF"/>
            </w:tcBorders>
            <w:shd w:val="clear" w:color="FFFFFF" w:fill="FFFFFF"/>
            <w:noWrap/>
            <w:vAlign w:val="center"/>
            <w:hideMark/>
          </w:tcPr>
          <w:p w14:paraId="1316BD16" w14:textId="699C0685"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1197" w:type="dxa"/>
            <w:tcBorders>
              <w:top w:val="nil"/>
              <w:left w:val="nil"/>
              <w:bottom w:val="single" w:sz="4" w:space="0" w:color="auto"/>
              <w:right w:val="single" w:sz="4" w:space="0" w:color="FFFFFF"/>
            </w:tcBorders>
            <w:shd w:val="clear" w:color="FFFFFF" w:fill="FFFFFF"/>
            <w:noWrap/>
            <w:vAlign w:val="center"/>
            <w:hideMark/>
          </w:tcPr>
          <w:p w14:paraId="6A60ACA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1.6 </w:t>
            </w:r>
          </w:p>
        </w:tc>
        <w:tc>
          <w:tcPr>
            <w:tcW w:w="1197" w:type="dxa"/>
            <w:tcBorders>
              <w:top w:val="nil"/>
              <w:left w:val="nil"/>
              <w:bottom w:val="single" w:sz="4" w:space="0" w:color="auto"/>
              <w:right w:val="single" w:sz="4" w:space="0" w:color="FFFFFF"/>
            </w:tcBorders>
            <w:shd w:val="clear" w:color="FFFFFF" w:fill="FFFFFF"/>
            <w:noWrap/>
            <w:vAlign w:val="center"/>
            <w:hideMark/>
          </w:tcPr>
          <w:p w14:paraId="19CCCE0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(0.1) </w:t>
            </w:r>
          </w:p>
        </w:tc>
        <w:tc>
          <w:tcPr>
            <w:tcW w:w="1197" w:type="dxa"/>
            <w:tcBorders>
              <w:top w:val="nil"/>
              <w:left w:val="nil"/>
              <w:bottom w:val="single" w:sz="4" w:space="0" w:color="auto"/>
              <w:right w:val="single" w:sz="4" w:space="0" w:color="FFFFFF"/>
            </w:tcBorders>
            <w:shd w:val="clear" w:color="FFFFFF" w:fill="FFFFFF"/>
            <w:noWrap/>
            <w:vAlign w:val="center"/>
            <w:hideMark/>
          </w:tcPr>
          <w:p w14:paraId="610894F8"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1.5 </w:t>
            </w:r>
          </w:p>
        </w:tc>
      </w:tr>
      <w:tr w:rsidR="00F1540A" w:rsidRPr="005734B8" w14:paraId="2A9491E5" w14:textId="77777777" w:rsidTr="000F48B1">
        <w:trPr>
          <w:trHeight w:val="270"/>
        </w:trPr>
        <w:tc>
          <w:tcPr>
            <w:tcW w:w="2836" w:type="dxa"/>
            <w:tcBorders>
              <w:top w:val="nil"/>
              <w:left w:val="nil"/>
              <w:bottom w:val="single" w:sz="4" w:space="0" w:color="auto"/>
              <w:right w:val="nil"/>
            </w:tcBorders>
            <w:shd w:val="clear" w:color="FFFFFF" w:fill="FFFFFF"/>
            <w:vAlign w:val="center"/>
            <w:hideMark/>
          </w:tcPr>
          <w:p w14:paraId="5B353D54"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Commonwealth treasury trust</w:t>
            </w:r>
          </w:p>
        </w:tc>
        <w:tc>
          <w:tcPr>
            <w:tcW w:w="1198" w:type="dxa"/>
            <w:tcBorders>
              <w:top w:val="nil"/>
              <w:left w:val="single" w:sz="4" w:space="0" w:color="FFFFFF"/>
              <w:bottom w:val="single" w:sz="4" w:space="0" w:color="auto"/>
              <w:right w:val="single" w:sz="4" w:space="0" w:color="FFFFFF"/>
            </w:tcBorders>
            <w:shd w:val="clear" w:color="FFFFFF" w:fill="FFFFFF"/>
            <w:noWrap/>
            <w:vAlign w:val="center"/>
            <w:hideMark/>
          </w:tcPr>
          <w:p w14:paraId="247EAED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18.7 </w:t>
            </w:r>
          </w:p>
        </w:tc>
        <w:tc>
          <w:tcPr>
            <w:tcW w:w="1197" w:type="dxa"/>
            <w:tcBorders>
              <w:top w:val="nil"/>
              <w:left w:val="nil"/>
              <w:bottom w:val="single" w:sz="4" w:space="0" w:color="auto"/>
              <w:right w:val="single" w:sz="4" w:space="0" w:color="FFFFFF"/>
            </w:tcBorders>
            <w:shd w:val="clear" w:color="FFFFFF" w:fill="FFFFFF"/>
            <w:noWrap/>
            <w:vAlign w:val="center"/>
            <w:hideMark/>
          </w:tcPr>
          <w:p w14:paraId="2B07049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41.7 </w:t>
            </w:r>
          </w:p>
        </w:tc>
        <w:tc>
          <w:tcPr>
            <w:tcW w:w="1197" w:type="dxa"/>
            <w:tcBorders>
              <w:top w:val="nil"/>
              <w:left w:val="nil"/>
              <w:bottom w:val="single" w:sz="4" w:space="0" w:color="auto"/>
              <w:right w:val="single" w:sz="4" w:space="0" w:color="FFFFFF"/>
            </w:tcBorders>
            <w:shd w:val="clear" w:color="FFFFFF" w:fill="FFFFFF"/>
            <w:noWrap/>
            <w:vAlign w:val="center"/>
            <w:hideMark/>
          </w:tcPr>
          <w:p w14:paraId="4748DAF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(28.4) </w:t>
            </w:r>
          </w:p>
        </w:tc>
        <w:tc>
          <w:tcPr>
            <w:tcW w:w="1197" w:type="dxa"/>
            <w:tcBorders>
              <w:top w:val="nil"/>
              <w:left w:val="nil"/>
              <w:bottom w:val="single" w:sz="4" w:space="0" w:color="auto"/>
              <w:right w:val="single" w:sz="4" w:space="0" w:color="FFFFFF"/>
            </w:tcBorders>
            <w:shd w:val="clear" w:color="FFFFFF" w:fill="FFFFFF"/>
            <w:noWrap/>
            <w:vAlign w:val="center"/>
            <w:hideMark/>
          </w:tcPr>
          <w:p w14:paraId="51043C9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32.0 </w:t>
            </w:r>
          </w:p>
        </w:tc>
      </w:tr>
      <w:tr w:rsidR="00F1540A" w:rsidRPr="005734B8" w14:paraId="0DBA5AED" w14:textId="77777777" w:rsidTr="000F48B1">
        <w:trPr>
          <w:trHeight w:val="285"/>
        </w:trPr>
        <w:tc>
          <w:tcPr>
            <w:tcW w:w="2836"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20ADC467"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controlled trusts</w:t>
            </w:r>
          </w:p>
        </w:tc>
        <w:tc>
          <w:tcPr>
            <w:tcW w:w="1198" w:type="dxa"/>
            <w:tcBorders>
              <w:top w:val="single" w:sz="12" w:space="0" w:color="auto"/>
              <w:left w:val="nil"/>
              <w:bottom w:val="single" w:sz="12" w:space="0" w:color="auto"/>
              <w:right w:val="single" w:sz="12" w:space="0" w:color="FFFFFF"/>
            </w:tcBorders>
            <w:shd w:val="clear" w:color="FFFFFF" w:fill="FFFFFF"/>
            <w:noWrap/>
            <w:vAlign w:val="center"/>
            <w:hideMark/>
          </w:tcPr>
          <w:p w14:paraId="45545E76"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423.1 </w:t>
            </w:r>
          </w:p>
        </w:tc>
        <w:tc>
          <w:tcPr>
            <w:tcW w:w="1197" w:type="dxa"/>
            <w:tcBorders>
              <w:top w:val="single" w:sz="12" w:space="0" w:color="auto"/>
              <w:left w:val="nil"/>
              <w:bottom w:val="single" w:sz="12" w:space="0" w:color="auto"/>
              <w:right w:val="single" w:sz="12" w:space="0" w:color="FFFFFF"/>
            </w:tcBorders>
            <w:shd w:val="clear" w:color="FFFFFF" w:fill="FFFFFF"/>
            <w:noWrap/>
            <w:vAlign w:val="center"/>
            <w:hideMark/>
          </w:tcPr>
          <w:p w14:paraId="50B8B3CD"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(161.6) </w:t>
            </w:r>
          </w:p>
        </w:tc>
        <w:tc>
          <w:tcPr>
            <w:tcW w:w="1197" w:type="dxa"/>
            <w:tcBorders>
              <w:top w:val="single" w:sz="12" w:space="0" w:color="auto"/>
              <w:left w:val="nil"/>
              <w:bottom w:val="single" w:sz="12" w:space="0" w:color="auto"/>
              <w:right w:val="single" w:sz="12" w:space="0" w:color="FFFFFF"/>
            </w:tcBorders>
            <w:shd w:val="clear" w:color="FFFFFF" w:fill="FFFFFF"/>
            <w:noWrap/>
            <w:vAlign w:val="center"/>
            <w:hideMark/>
          </w:tcPr>
          <w:p w14:paraId="58D69EA1"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(141.4) </w:t>
            </w:r>
          </w:p>
        </w:tc>
        <w:tc>
          <w:tcPr>
            <w:tcW w:w="1197" w:type="dxa"/>
            <w:tcBorders>
              <w:top w:val="single" w:sz="12" w:space="0" w:color="auto"/>
              <w:left w:val="nil"/>
              <w:bottom w:val="single" w:sz="12" w:space="0" w:color="auto"/>
              <w:right w:val="single" w:sz="12" w:space="0" w:color="FFFFFF"/>
            </w:tcBorders>
            <w:shd w:val="clear" w:color="FFFFFF" w:fill="FFFFFF"/>
            <w:noWrap/>
            <w:vAlign w:val="center"/>
            <w:hideMark/>
          </w:tcPr>
          <w:p w14:paraId="3C907A8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120.1 </w:t>
            </w:r>
          </w:p>
        </w:tc>
      </w:tr>
      <w:tr w:rsidR="00F1540A" w:rsidRPr="005734B8" w14:paraId="1CF06B63" w14:textId="77777777" w:rsidTr="000F48B1">
        <w:trPr>
          <w:trHeight w:val="270"/>
        </w:trPr>
        <w:tc>
          <w:tcPr>
            <w:tcW w:w="2836"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413EF88F"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Administered trusts</w:t>
            </w:r>
          </w:p>
        </w:tc>
        <w:tc>
          <w:tcPr>
            <w:tcW w:w="1198" w:type="dxa"/>
            <w:tcBorders>
              <w:top w:val="single" w:sz="4" w:space="0" w:color="auto"/>
              <w:left w:val="nil"/>
              <w:bottom w:val="single" w:sz="4" w:space="0" w:color="auto"/>
              <w:right w:val="single" w:sz="4" w:space="0" w:color="FFFFFF"/>
            </w:tcBorders>
            <w:shd w:val="clear" w:color="000000" w:fill="D9D9D9"/>
            <w:vAlign w:val="bottom"/>
            <w:hideMark/>
          </w:tcPr>
          <w:p w14:paraId="27D26436"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197" w:type="dxa"/>
            <w:tcBorders>
              <w:top w:val="single" w:sz="4" w:space="0" w:color="auto"/>
              <w:left w:val="nil"/>
              <w:bottom w:val="single" w:sz="4" w:space="0" w:color="auto"/>
              <w:right w:val="single" w:sz="4" w:space="0" w:color="FFFFFF"/>
            </w:tcBorders>
            <w:shd w:val="clear" w:color="000000" w:fill="D9D9D9"/>
            <w:vAlign w:val="bottom"/>
            <w:hideMark/>
          </w:tcPr>
          <w:p w14:paraId="4D5B326D"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197" w:type="dxa"/>
            <w:tcBorders>
              <w:top w:val="single" w:sz="4" w:space="0" w:color="auto"/>
              <w:left w:val="nil"/>
              <w:bottom w:val="single" w:sz="4" w:space="0" w:color="auto"/>
              <w:right w:val="single" w:sz="4" w:space="0" w:color="FFFFFF"/>
            </w:tcBorders>
            <w:shd w:val="clear" w:color="000000" w:fill="D9D9D9"/>
            <w:vAlign w:val="bottom"/>
            <w:hideMark/>
          </w:tcPr>
          <w:p w14:paraId="3EAA4C06"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197" w:type="dxa"/>
            <w:tcBorders>
              <w:top w:val="single" w:sz="4" w:space="0" w:color="auto"/>
              <w:left w:val="nil"/>
              <w:bottom w:val="single" w:sz="4" w:space="0" w:color="auto"/>
              <w:right w:val="single" w:sz="4" w:space="0" w:color="FFFFFF"/>
            </w:tcBorders>
            <w:shd w:val="clear" w:color="000000" w:fill="D9D9D9"/>
            <w:vAlign w:val="bottom"/>
            <w:hideMark/>
          </w:tcPr>
          <w:p w14:paraId="26336683"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319ED60D" w14:textId="77777777" w:rsidTr="000F48B1">
        <w:trPr>
          <w:trHeight w:val="255"/>
        </w:trPr>
        <w:tc>
          <w:tcPr>
            <w:tcW w:w="2836" w:type="dxa"/>
            <w:tcBorders>
              <w:top w:val="nil"/>
              <w:left w:val="nil"/>
              <w:bottom w:val="single" w:sz="4" w:space="0" w:color="auto"/>
              <w:right w:val="nil"/>
            </w:tcBorders>
            <w:shd w:val="clear" w:color="FFFFFF" w:fill="FFFFFF"/>
            <w:vAlign w:val="center"/>
            <w:hideMark/>
          </w:tcPr>
          <w:p w14:paraId="4E54667E"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Prizes and scholarships</w:t>
            </w:r>
          </w:p>
        </w:tc>
        <w:tc>
          <w:tcPr>
            <w:tcW w:w="1198" w:type="dxa"/>
            <w:tcBorders>
              <w:top w:val="nil"/>
              <w:left w:val="single" w:sz="4" w:space="0" w:color="FFFFFF"/>
              <w:bottom w:val="single" w:sz="4" w:space="0" w:color="auto"/>
              <w:right w:val="single" w:sz="4" w:space="0" w:color="FFFFFF"/>
            </w:tcBorders>
            <w:shd w:val="clear" w:color="FFFFFF" w:fill="FFFFFF"/>
            <w:noWrap/>
            <w:vAlign w:val="center"/>
            <w:hideMark/>
          </w:tcPr>
          <w:p w14:paraId="16ECCC1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1.5 </w:t>
            </w:r>
          </w:p>
        </w:tc>
        <w:tc>
          <w:tcPr>
            <w:tcW w:w="1197" w:type="dxa"/>
            <w:tcBorders>
              <w:top w:val="nil"/>
              <w:left w:val="nil"/>
              <w:bottom w:val="single" w:sz="4" w:space="0" w:color="auto"/>
              <w:right w:val="single" w:sz="4" w:space="0" w:color="FFFFFF"/>
            </w:tcBorders>
            <w:shd w:val="clear" w:color="FFFFFF" w:fill="FFFFFF"/>
            <w:noWrap/>
            <w:vAlign w:val="center"/>
            <w:hideMark/>
          </w:tcPr>
          <w:p w14:paraId="155E397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0.2 </w:t>
            </w:r>
          </w:p>
        </w:tc>
        <w:tc>
          <w:tcPr>
            <w:tcW w:w="1197" w:type="dxa"/>
            <w:tcBorders>
              <w:top w:val="nil"/>
              <w:left w:val="nil"/>
              <w:bottom w:val="single" w:sz="4" w:space="0" w:color="auto"/>
              <w:right w:val="single" w:sz="4" w:space="0" w:color="FFFFFF"/>
            </w:tcBorders>
            <w:shd w:val="clear" w:color="FFFFFF" w:fill="FFFFFF"/>
            <w:noWrap/>
            <w:vAlign w:val="center"/>
            <w:hideMark/>
          </w:tcPr>
          <w:p w14:paraId="5ACE688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(0.1) </w:t>
            </w:r>
          </w:p>
        </w:tc>
        <w:tc>
          <w:tcPr>
            <w:tcW w:w="1197" w:type="dxa"/>
            <w:tcBorders>
              <w:top w:val="nil"/>
              <w:left w:val="nil"/>
              <w:bottom w:val="single" w:sz="4" w:space="0" w:color="auto"/>
              <w:right w:val="single" w:sz="4" w:space="0" w:color="FFFFFF"/>
            </w:tcBorders>
            <w:shd w:val="clear" w:color="FFFFFF" w:fill="FFFFFF"/>
            <w:noWrap/>
            <w:vAlign w:val="center"/>
            <w:hideMark/>
          </w:tcPr>
          <w:p w14:paraId="3B8D2A5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1.6 </w:t>
            </w:r>
          </w:p>
        </w:tc>
      </w:tr>
      <w:tr w:rsidR="00F1540A" w:rsidRPr="005734B8" w14:paraId="04F87C70" w14:textId="77777777" w:rsidTr="000F48B1">
        <w:trPr>
          <w:trHeight w:val="255"/>
        </w:trPr>
        <w:tc>
          <w:tcPr>
            <w:tcW w:w="2836" w:type="dxa"/>
            <w:tcBorders>
              <w:top w:val="nil"/>
              <w:left w:val="nil"/>
              <w:bottom w:val="single" w:sz="4" w:space="0" w:color="auto"/>
              <w:right w:val="nil"/>
            </w:tcBorders>
            <w:shd w:val="clear" w:color="FFFFFF" w:fill="FFFFFF"/>
            <w:vAlign w:val="center"/>
            <w:hideMark/>
          </w:tcPr>
          <w:p w14:paraId="35868744"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Commuter club</w:t>
            </w:r>
          </w:p>
        </w:tc>
        <w:tc>
          <w:tcPr>
            <w:tcW w:w="1198" w:type="dxa"/>
            <w:tcBorders>
              <w:top w:val="nil"/>
              <w:left w:val="single" w:sz="4" w:space="0" w:color="FFFFFF"/>
              <w:bottom w:val="single" w:sz="4" w:space="0" w:color="auto"/>
              <w:right w:val="single" w:sz="4" w:space="0" w:color="FFFFFF"/>
            </w:tcBorders>
            <w:shd w:val="clear" w:color="FFFFFF" w:fill="FFFFFF"/>
            <w:noWrap/>
            <w:vAlign w:val="center"/>
            <w:hideMark/>
          </w:tcPr>
          <w:p w14:paraId="05000DA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(0.1) </w:t>
            </w:r>
          </w:p>
        </w:tc>
        <w:tc>
          <w:tcPr>
            <w:tcW w:w="1197" w:type="dxa"/>
            <w:tcBorders>
              <w:top w:val="nil"/>
              <w:left w:val="nil"/>
              <w:bottom w:val="single" w:sz="4" w:space="0" w:color="auto"/>
              <w:right w:val="single" w:sz="4" w:space="0" w:color="FFFFFF"/>
            </w:tcBorders>
            <w:shd w:val="clear" w:color="FFFFFF" w:fill="FFFFFF"/>
            <w:noWrap/>
            <w:vAlign w:val="center"/>
            <w:hideMark/>
          </w:tcPr>
          <w:p w14:paraId="6E1974B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0.5 </w:t>
            </w:r>
          </w:p>
        </w:tc>
        <w:tc>
          <w:tcPr>
            <w:tcW w:w="1197" w:type="dxa"/>
            <w:tcBorders>
              <w:top w:val="nil"/>
              <w:left w:val="nil"/>
              <w:bottom w:val="single" w:sz="4" w:space="0" w:color="auto"/>
              <w:right w:val="single" w:sz="4" w:space="0" w:color="FFFFFF"/>
            </w:tcBorders>
            <w:shd w:val="clear" w:color="FFFFFF" w:fill="FFFFFF"/>
            <w:noWrap/>
            <w:vAlign w:val="center"/>
            <w:hideMark/>
          </w:tcPr>
          <w:p w14:paraId="61A0A77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(0.1) </w:t>
            </w:r>
          </w:p>
        </w:tc>
        <w:tc>
          <w:tcPr>
            <w:tcW w:w="1197" w:type="dxa"/>
            <w:tcBorders>
              <w:top w:val="nil"/>
              <w:left w:val="nil"/>
              <w:bottom w:val="single" w:sz="4" w:space="0" w:color="auto"/>
              <w:right w:val="single" w:sz="4" w:space="0" w:color="FFFFFF"/>
            </w:tcBorders>
            <w:shd w:val="clear" w:color="FFFFFF" w:fill="FFFFFF"/>
            <w:noWrap/>
            <w:vAlign w:val="center"/>
            <w:hideMark/>
          </w:tcPr>
          <w:p w14:paraId="6B465A0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0.3 </w:t>
            </w:r>
          </w:p>
        </w:tc>
      </w:tr>
      <w:tr w:rsidR="00F1540A" w:rsidRPr="005734B8" w14:paraId="22641605" w14:textId="77777777" w:rsidTr="000F48B1">
        <w:trPr>
          <w:trHeight w:val="495"/>
        </w:trPr>
        <w:tc>
          <w:tcPr>
            <w:tcW w:w="2836" w:type="dxa"/>
            <w:tcBorders>
              <w:top w:val="nil"/>
              <w:left w:val="nil"/>
              <w:bottom w:val="single" w:sz="4" w:space="0" w:color="auto"/>
              <w:right w:val="nil"/>
            </w:tcBorders>
            <w:shd w:val="clear" w:color="FFFFFF" w:fill="FFFFFF"/>
            <w:vAlign w:val="center"/>
            <w:hideMark/>
          </w:tcPr>
          <w:p w14:paraId="4BCA89A9"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On-passing from the Commonwealth</w:t>
            </w:r>
          </w:p>
        </w:tc>
        <w:tc>
          <w:tcPr>
            <w:tcW w:w="1198" w:type="dxa"/>
            <w:tcBorders>
              <w:top w:val="nil"/>
              <w:left w:val="single" w:sz="4" w:space="0" w:color="FFFFFF"/>
              <w:bottom w:val="single" w:sz="4" w:space="0" w:color="auto"/>
              <w:right w:val="single" w:sz="4" w:space="0" w:color="FFFFFF"/>
            </w:tcBorders>
            <w:shd w:val="clear" w:color="FFFFFF" w:fill="FFFFFF"/>
            <w:noWrap/>
            <w:vAlign w:val="center"/>
            <w:hideMark/>
          </w:tcPr>
          <w:p w14:paraId="34100258"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1.8 </w:t>
            </w:r>
          </w:p>
        </w:tc>
        <w:tc>
          <w:tcPr>
            <w:tcW w:w="1197" w:type="dxa"/>
            <w:tcBorders>
              <w:top w:val="nil"/>
              <w:left w:val="nil"/>
              <w:bottom w:val="single" w:sz="4" w:space="0" w:color="auto"/>
              <w:right w:val="single" w:sz="4" w:space="0" w:color="FFFFFF"/>
            </w:tcBorders>
            <w:shd w:val="clear" w:color="FFFFFF" w:fill="FFFFFF"/>
            <w:noWrap/>
            <w:vAlign w:val="center"/>
            <w:hideMark/>
          </w:tcPr>
          <w:p w14:paraId="6536BDA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3,904.3 </w:t>
            </w:r>
          </w:p>
        </w:tc>
        <w:tc>
          <w:tcPr>
            <w:tcW w:w="1197" w:type="dxa"/>
            <w:tcBorders>
              <w:top w:val="nil"/>
              <w:left w:val="nil"/>
              <w:bottom w:val="single" w:sz="4" w:space="0" w:color="auto"/>
              <w:right w:val="single" w:sz="4" w:space="0" w:color="FFFFFF"/>
            </w:tcBorders>
            <w:shd w:val="clear" w:color="FFFFFF" w:fill="FFFFFF"/>
            <w:noWrap/>
            <w:vAlign w:val="center"/>
            <w:hideMark/>
          </w:tcPr>
          <w:p w14:paraId="0016F87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(3,905.5) </w:t>
            </w:r>
          </w:p>
        </w:tc>
        <w:tc>
          <w:tcPr>
            <w:tcW w:w="1197" w:type="dxa"/>
            <w:tcBorders>
              <w:top w:val="nil"/>
              <w:left w:val="nil"/>
              <w:bottom w:val="single" w:sz="4" w:space="0" w:color="auto"/>
              <w:right w:val="single" w:sz="4" w:space="0" w:color="FFFFFF"/>
            </w:tcBorders>
            <w:shd w:val="clear" w:color="FFFFFF" w:fill="FFFFFF"/>
            <w:noWrap/>
            <w:vAlign w:val="center"/>
            <w:hideMark/>
          </w:tcPr>
          <w:p w14:paraId="0C47325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0.6 </w:t>
            </w:r>
          </w:p>
        </w:tc>
      </w:tr>
      <w:tr w:rsidR="00F1540A" w:rsidRPr="005734B8" w14:paraId="0A4D95E7" w14:textId="77777777" w:rsidTr="000F48B1">
        <w:trPr>
          <w:trHeight w:val="285"/>
        </w:trPr>
        <w:tc>
          <w:tcPr>
            <w:tcW w:w="2836"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4AD8517"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administered trusts</w:t>
            </w:r>
          </w:p>
        </w:tc>
        <w:tc>
          <w:tcPr>
            <w:tcW w:w="1198" w:type="dxa"/>
            <w:tcBorders>
              <w:top w:val="single" w:sz="12" w:space="0" w:color="auto"/>
              <w:left w:val="nil"/>
              <w:bottom w:val="single" w:sz="12" w:space="0" w:color="auto"/>
              <w:right w:val="single" w:sz="12" w:space="0" w:color="FFFFFF"/>
            </w:tcBorders>
            <w:shd w:val="clear" w:color="FFFFFF" w:fill="FFFFFF"/>
            <w:noWrap/>
            <w:vAlign w:val="center"/>
            <w:hideMark/>
          </w:tcPr>
          <w:p w14:paraId="3FD7B1BA"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3.2 </w:t>
            </w:r>
          </w:p>
        </w:tc>
        <w:tc>
          <w:tcPr>
            <w:tcW w:w="1197" w:type="dxa"/>
            <w:tcBorders>
              <w:top w:val="single" w:sz="12" w:space="0" w:color="auto"/>
              <w:left w:val="nil"/>
              <w:bottom w:val="single" w:sz="12" w:space="0" w:color="auto"/>
              <w:right w:val="single" w:sz="12" w:space="0" w:color="FFFFFF"/>
            </w:tcBorders>
            <w:shd w:val="clear" w:color="FFFFFF" w:fill="FFFFFF"/>
            <w:noWrap/>
            <w:vAlign w:val="center"/>
            <w:hideMark/>
          </w:tcPr>
          <w:p w14:paraId="50C9F57A"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3,905.0 </w:t>
            </w:r>
          </w:p>
        </w:tc>
        <w:tc>
          <w:tcPr>
            <w:tcW w:w="1197" w:type="dxa"/>
            <w:tcBorders>
              <w:top w:val="single" w:sz="12" w:space="0" w:color="auto"/>
              <w:left w:val="nil"/>
              <w:bottom w:val="single" w:sz="12" w:space="0" w:color="auto"/>
              <w:right w:val="single" w:sz="12" w:space="0" w:color="FFFFFF"/>
            </w:tcBorders>
            <w:shd w:val="clear" w:color="FFFFFF" w:fill="FFFFFF"/>
            <w:noWrap/>
            <w:vAlign w:val="center"/>
            <w:hideMark/>
          </w:tcPr>
          <w:p w14:paraId="6EDB190B"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(3,905.7) </w:t>
            </w:r>
          </w:p>
        </w:tc>
        <w:tc>
          <w:tcPr>
            <w:tcW w:w="1197" w:type="dxa"/>
            <w:tcBorders>
              <w:top w:val="single" w:sz="12" w:space="0" w:color="auto"/>
              <w:left w:val="nil"/>
              <w:bottom w:val="single" w:sz="12" w:space="0" w:color="auto"/>
              <w:right w:val="single" w:sz="12" w:space="0" w:color="FFFFFF"/>
            </w:tcBorders>
            <w:shd w:val="clear" w:color="FFFFFF" w:fill="FFFFFF"/>
            <w:noWrap/>
            <w:vAlign w:val="center"/>
            <w:hideMark/>
          </w:tcPr>
          <w:p w14:paraId="665C9F06"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2.5 </w:t>
            </w:r>
          </w:p>
        </w:tc>
      </w:tr>
    </w:tbl>
    <w:p w14:paraId="5D7C87E6" w14:textId="77777777" w:rsidR="00F1540A" w:rsidRPr="005734B8" w:rsidRDefault="00F1540A" w:rsidP="00F1540A">
      <w:pPr>
        <w:rPr>
          <w:rFonts w:ascii="Calibri" w:eastAsia="Arial" w:hAnsi="Calibri" w:cs="Calibri"/>
        </w:rPr>
      </w:pPr>
    </w:p>
    <w:tbl>
      <w:tblPr>
        <w:tblW w:w="7625" w:type="dxa"/>
        <w:tblInd w:w="75" w:type="dxa"/>
        <w:tblLayout w:type="fixed"/>
        <w:tblLook w:val="04A0" w:firstRow="1" w:lastRow="0" w:firstColumn="1" w:lastColumn="0" w:noHBand="0" w:noVBand="1"/>
      </w:tblPr>
      <w:tblGrid>
        <w:gridCol w:w="2836"/>
        <w:gridCol w:w="1198"/>
        <w:gridCol w:w="1197"/>
        <w:gridCol w:w="1197"/>
        <w:gridCol w:w="1197"/>
      </w:tblGrid>
      <w:tr w:rsidR="00F1540A" w:rsidRPr="005734B8" w14:paraId="50A8B070" w14:textId="77777777" w:rsidTr="000F48B1">
        <w:trPr>
          <w:trHeight w:val="1118"/>
        </w:trPr>
        <w:tc>
          <w:tcPr>
            <w:tcW w:w="2836" w:type="dxa"/>
            <w:tcBorders>
              <w:top w:val="nil"/>
              <w:left w:val="single" w:sz="4" w:space="0" w:color="FFFFFF"/>
              <w:bottom w:val="single" w:sz="4" w:space="0" w:color="FFFFFF"/>
              <w:right w:val="single" w:sz="4" w:space="0" w:color="FFFFFF"/>
            </w:tcBorders>
            <w:shd w:val="clear" w:color="000000" w:fill="AF272F"/>
            <w:hideMark/>
          </w:tcPr>
          <w:p w14:paraId="0D765940" w14:textId="77777777" w:rsidR="00F1540A" w:rsidRPr="005734B8" w:rsidRDefault="00F1540A" w:rsidP="000F48B1">
            <w:pPr>
              <w:rPr>
                <w:rFonts w:ascii="Calibri" w:hAnsi="Calibri" w:cs="Calibri"/>
                <w:b/>
                <w:color w:val="FFFFFF"/>
                <w:sz w:val="18"/>
                <w:szCs w:val="18"/>
              </w:rPr>
            </w:pPr>
            <w:bookmarkStart w:id="1641" w:name="Note_TAPTABLE1" w:colFirst="0" w:colLast="0"/>
            <w:r w:rsidRPr="005734B8">
              <w:rPr>
                <w:rFonts w:ascii="Calibri" w:hAnsi="Calibri" w:cs="Calibri"/>
                <w:b/>
                <w:color w:val="FFFFFF"/>
                <w:sz w:val="18"/>
                <w:szCs w:val="18"/>
              </w:rPr>
              <w:t>2020</w:t>
            </w:r>
          </w:p>
        </w:tc>
        <w:tc>
          <w:tcPr>
            <w:tcW w:w="1198" w:type="dxa"/>
            <w:tcBorders>
              <w:top w:val="nil"/>
              <w:left w:val="nil"/>
              <w:bottom w:val="single" w:sz="4" w:space="0" w:color="auto"/>
              <w:right w:val="single" w:sz="4" w:space="0" w:color="FFFFFF"/>
            </w:tcBorders>
            <w:shd w:val="clear" w:color="000000" w:fill="AF272F"/>
            <w:hideMark/>
          </w:tcPr>
          <w:p w14:paraId="104AA5CC"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Opening balance as at 1 July 2019 ($m)</w:t>
            </w:r>
          </w:p>
        </w:tc>
        <w:tc>
          <w:tcPr>
            <w:tcW w:w="1197" w:type="dxa"/>
            <w:tcBorders>
              <w:top w:val="nil"/>
              <w:left w:val="nil"/>
              <w:bottom w:val="single" w:sz="4" w:space="0" w:color="auto"/>
              <w:right w:val="single" w:sz="4" w:space="0" w:color="FFFFFF"/>
            </w:tcBorders>
            <w:shd w:val="clear" w:color="000000" w:fill="AF272F"/>
            <w:hideMark/>
          </w:tcPr>
          <w:p w14:paraId="1AC749C5"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Total receipts ($m)</w:t>
            </w:r>
          </w:p>
        </w:tc>
        <w:tc>
          <w:tcPr>
            <w:tcW w:w="1197" w:type="dxa"/>
            <w:tcBorders>
              <w:top w:val="nil"/>
              <w:left w:val="nil"/>
              <w:bottom w:val="single" w:sz="4" w:space="0" w:color="auto"/>
              <w:right w:val="single" w:sz="4" w:space="0" w:color="FFFFFF"/>
            </w:tcBorders>
            <w:shd w:val="clear" w:color="000000" w:fill="AF272F"/>
            <w:hideMark/>
          </w:tcPr>
          <w:p w14:paraId="6A65C90E"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Total payments ($m)</w:t>
            </w:r>
          </w:p>
        </w:tc>
        <w:tc>
          <w:tcPr>
            <w:tcW w:w="1197" w:type="dxa"/>
            <w:tcBorders>
              <w:top w:val="nil"/>
              <w:left w:val="nil"/>
              <w:bottom w:val="single" w:sz="4" w:space="0" w:color="auto"/>
              <w:right w:val="single" w:sz="4" w:space="0" w:color="FFFFFF"/>
            </w:tcBorders>
            <w:shd w:val="clear" w:color="000000" w:fill="AF272F"/>
            <w:hideMark/>
          </w:tcPr>
          <w:p w14:paraId="5DDF0AA8"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Closing balance as at 30 June 2020 ($m)</w:t>
            </w:r>
          </w:p>
        </w:tc>
      </w:tr>
      <w:bookmarkEnd w:id="1641"/>
      <w:tr w:rsidR="00F1540A" w:rsidRPr="005734B8" w14:paraId="1B242608" w14:textId="77777777" w:rsidTr="000F48B1">
        <w:trPr>
          <w:trHeight w:val="255"/>
        </w:trPr>
        <w:tc>
          <w:tcPr>
            <w:tcW w:w="2836"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7285979E"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Controlled trusts</w:t>
            </w:r>
          </w:p>
        </w:tc>
        <w:tc>
          <w:tcPr>
            <w:tcW w:w="1198" w:type="dxa"/>
            <w:tcBorders>
              <w:top w:val="nil"/>
              <w:left w:val="nil"/>
              <w:bottom w:val="single" w:sz="4" w:space="0" w:color="auto"/>
              <w:right w:val="single" w:sz="4" w:space="0" w:color="FFFFFF"/>
            </w:tcBorders>
            <w:shd w:val="clear" w:color="000000" w:fill="D9D9D9"/>
            <w:vAlign w:val="bottom"/>
            <w:hideMark/>
          </w:tcPr>
          <w:p w14:paraId="0A168DED"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197" w:type="dxa"/>
            <w:tcBorders>
              <w:top w:val="nil"/>
              <w:left w:val="nil"/>
              <w:bottom w:val="single" w:sz="4" w:space="0" w:color="auto"/>
              <w:right w:val="single" w:sz="4" w:space="0" w:color="FFFFFF"/>
            </w:tcBorders>
            <w:shd w:val="clear" w:color="000000" w:fill="D9D9D9"/>
            <w:vAlign w:val="bottom"/>
            <w:hideMark/>
          </w:tcPr>
          <w:p w14:paraId="1E4F6496"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197" w:type="dxa"/>
            <w:tcBorders>
              <w:top w:val="nil"/>
              <w:left w:val="nil"/>
              <w:bottom w:val="single" w:sz="4" w:space="0" w:color="auto"/>
              <w:right w:val="single" w:sz="4" w:space="0" w:color="FFFFFF"/>
            </w:tcBorders>
            <w:shd w:val="clear" w:color="000000" w:fill="D9D9D9"/>
            <w:vAlign w:val="bottom"/>
            <w:hideMark/>
          </w:tcPr>
          <w:p w14:paraId="66D29DC4"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197" w:type="dxa"/>
            <w:tcBorders>
              <w:top w:val="nil"/>
              <w:left w:val="nil"/>
              <w:bottom w:val="single" w:sz="4" w:space="0" w:color="auto"/>
              <w:right w:val="single" w:sz="4" w:space="0" w:color="FFFFFF"/>
            </w:tcBorders>
            <w:shd w:val="clear" w:color="000000" w:fill="D9D9D9"/>
            <w:vAlign w:val="bottom"/>
            <w:hideMark/>
          </w:tcPr>
          <w:p w14:paraId="38FB48C9"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3BF0C863" w14:textId="77777777" w:rsidTr="000F48B1">
        <w:trPr>
          <w:trHeight w:val="255"/>
        </w:trPr>
        <w:tc>
          <w:tcPr>
            <w:tcW w:w="2836" w:type="dxa"/>
            <w:tcBorders>
              <w:top w:val="nil"/>
              <w:left w:val="nil"/>
              <w:bottom w:val="single" w:sz="4" w:space="0" w:color="auto"/>
              <w:right w:val="nil"/>
            </w:tcBorders>
            <w:shd w:val="clear" w:color="FFFFFF" w:fill="FFFFFF"/>
            <w:vAlign w:val="center"/>
            <w:hideMark/>
          </w:tcPr>
          <w:p w14:paraId="54D3C0AB"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State treasury trust</w:t>
            </w:r>
          </w:p>
        </w:tc>
        <w:tc>
          <w:tcPr>
            <w:tcW w:w="1198" w:type="dxa"/>
            <w:tcBorders>
              <w:top w:val="nil"/>
              <w:left w:val="single" w:sz="4" w:space="0" w:color="FFFFFF"/>
              <w:bottom w:val="single" w:sz="4" w:space="0" w:color="auto"/>
              <w:right w:val="single" w:sz="4" w:space="0" w:color="FFFFFF"/>
            </w:tcBorders>
            <w:shd w:val="clear" w:color="FFFFFF" w:fill="FFFFFF"/>
            <w:noWrap/>
            <w:vAlign w:val="center"/>
            <w:hideMark/>
          </w:tcPr>
          <w:p w14:paraId="5A93501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57.3 </w:t>
            </w:r>
          </w:p>
        </w:tc>
        <w:tc>
          <w:tcPr>
            <w:tcW w:w="1197" w:type="dxa"/>
            <w:tcBorders>
              <w:top w:val="nil"/>
              <w:left w:val="nil"/>
              <w:bottom w:val="single" w:sz="4" w:space="0" w:color="auto"/>
              <w:right w:val="single" w:sz="4" w:space="0" w:color="FFFFFF"/>
            </w:tcBorders>
            <w:shd w:val="clear" w:color="FFFFFF" w:fill="FFFFFF"/>
            <w:noWrap/>
            <w:vAlign w:val="center"/>
            <w:hideMark/>
          </w:tcPr>
          <w:p w14:paraId="60735DE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67.7 </w:t>
            </w:r>
          </w:p>
        </w:tc>
        <w:tc>
          <w:tcPr>
            <w:tcW w:w="1197" w:type="dxa"/>
            <w:tcBorders>
              <w:top w:val="nil"/>
              <w:left w:val="nil"/>
              <w:bottom w:val="single" w:sz="4" w:space="0" w:color="auto"/>
              <w:right w:val="single" w:sz="4" w:space="0" w:color="FFFFFF"/>
            </w:tcBorders>
            <w:shd w:val="clear" w:color="FFFFFF" w:fill="FFFFFF"/>
            <w:noWrap/>
            <w:vAlign w:val="center"/>
            <w:hideMark/>
          </w:tcPr>
          <w:p w14:paraId="44E5B2C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(57.1) </w:t>
            </w:r>
          </w:p>
        </w:tc>
        <w:tc>
          <w:tcPr>
            <w:tcW w:w="1197" w:type="dxa"/>
            <w:tcBorders>
              <w:top w:val="nil"/>
              <w:left w:val="nil"/>
              <w:bottom w:val="single" w:sz="4" w:space="0" w:color="auto"/>
              <w:right w:val="single" w:sz="4" w:space="0" w:color="FFFFFF"/>
            </w:tcBorders>
            <w:shd w:val="clear" w:color="FFFFFF" w:fill="FFFFFF"/>
            <w:noWrap/>
            <w:vAlign w:val="center"/>
            <w:hideMark/>
          </w:tcPr>
          <w:p w14:paraId="3B07F93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67.9 </w:t>
            </w:r>
          </w:p>
        </w:tc>
      </w:tr>
      <w:tr w:rsidR="00F1540A" w:rsidRPr="005734B8" w14:paraId="3346238C" w14:textId="77777777" w:rsidTr="000F48B1">
        <w:trPr>
          <w:trHeight w:val="270"/>
        </w:trPr>
        <w:tc>
          <w:tcPr>
            <w:tcW w:w="2836" w:type="dxa"/>
            <w:tcBorders>
              <w:top w:val="nil"/>
              <w:left w:val="nil"/>
              <w:bottom w:val="single" w:sz="4" w:space="0" w:color="auto"/>
              <w:right w:val="nil"/>
            </w:tcBorders>
            <w:shd w:val="clear" w:color="FFFFFF" w:fill="FFFFFF"/>
            <w:vAlign w:val="center"/>
            <w:hideMark/>
          </w:tcPr>
          <w:p w14:paraId="1F445F26" w14:textId="00BE38AB" w:rsidR="00F1540A" w:rsidRPr="005734B8" w:rsidRDefault="00F1540A" w:rsidP="000F48B1">
            <w:pPr>
              <w:rPr>
                <w:rFonts w:ascii="Calibri" w:hAnsi="Calibri" w:cs="Calibri"/>
                <w:sz w:val="18"/>
                <w:szCs w:val="18"/>
              </w:rPr>
            </w:pPr>
            <w:r w:rsidRPr="005734B8">
              <w:rPr>
                <w:rFonts w:ascii="Calibri" w:hAnsi="Calibri" w:cs="Calibri"/>
                <w:sz w:val="18"/>
                <w:szCs w:val="18"/>
              </w:rPr>
              <w:t>Interdepartmental trust</w:t>
            </w:r>
          </w:p>
        </w:tc>
        <w:tc>
          <w:tcPr>
            <w:tcW w:w="1198" w:type="dxa"/>
            <w:tcBorders>
              <w:top w:val="nil"/>
              <w:left w:val="single" w:sz="4" w:space="0" w:color="FFFFFF"/>
              <w:bottom w:val="single" w:sz="4" w:space="0" w:color="auto"/>
              <w:right w:val="single" w:sz="4" w:space="0" w:color="FFFFFF"/>
            </w:tcBorders>
            <w:shd w:val="clear" w:color="FFFFFF" w:fill="FFFFFF"/>
            <w:noWrap/>
            <w:vAlign w:val="center"/>
            <w:hideMark/>
          </w:tcPr>
          <w:p w14:paraId="1D02FED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202.9 </w:t>
            </w:r>
          </w:p>
        </w:tc>
        <w:tc>
          <w:tcPr>
            <w:tcW w:w="1197" w:type="dxa"/>
            <w:tcBorders>
              <w:top w:val="nil"/>
              <w:left w:val="nil"/>
              <w:bottom w:val="single" w:sz="4" w:space="0" w:color="auto"/>
              <w:right w:val="single" w:sz="4" w:space="0" w:color="FFFFFF"/>
            </w:tcBorders>
            <w:shd w:val="clear" w:color="FFFFFF" w:fill="FFFFFF"/>
            <w:noWrap/>
            <w:vAlign w:val="center"/>
            <w:hideMark/>
          </w:tcPr>
          <w:p w14:paraId="16F71CE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139.5 </w:t>
            </w:r>
          </w:p>
        </w:tc>
        <w:tc>
          <w:tcPr>
            <w:tcW w:w="1197" w:type="dxa"/>
            <w:tcBorders>
              <w:top w:val="nil"/>
              <w:left w:val="nil"/>
              <w:bottom w:val="single" w:sz="4" w:space="0" w:color="auto"/>
              <w:right w:val="single" w:sz="4" w:space="0" w:color="FFFFFF"/>
            </w:tcBorders>
            <w:shd w:val="clear" w:color="FFFFFF" w:fill="FFFFFF"/>
            <w:noWrap/>
            <w:vAlign w:val="center"/>
            <w:hideMark/>
          </w:tcPr>
          <w:p w14:paraId="211C967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(5.9) </w:t>
            </w:r>
          </w:p>
        </w:tc>
        <w:tc>
          <w:tcPr>
            <w:tcW w:w="1197" w:type="dxa"/>
            <w:tcBorders>
              <w:top w:val="nil"/>
              <w:left w:val="nil"/>
              <w:bottom w:val="single" w:sz="4" w:space="0" w:color="auto"/>
              <w:right w:val="single" w:sz="4" w:space="0" w:color="FFFFFF"/>
            </w:tcBorders>
            <w:shd w:val="clear" w:color="FFFFFF" w:fill="FFFFFF"/>
            <w:noWrap/>
            <w:vAlign w:val="center"/>
            <w:hideMark/>
          </w:tcPr>
          <w:p w14:paraId="60C6520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336.5 </w:t>
            </w:r>
          </w:p>
        </w:tc>
      </w:tr>
      <w:tr w:rsidR="00F1540A" w:rsidRPr="005734B8" w14:paraId="7F708F37" w14:textId="77777777" w:rsidTr="000F48B1">
        <w:trPr>
          <w:trHeight w:val="270"/>
        </w:trPr>
        <w:tc>
          <w:tcPr>
            <w:tcW w:w="2836" w:type="dxa"/>
            <w:tcBorders>
              <w:top w:val="nil"/>
              <w:left w:val="nil"/>
              <w:bottom w:val="single" w:sz="4" w:space="0" w:color="auto"/>
              <w:right w:val="nil"/>
            </w:tcBorders>
            <w:shd w:val="clear" w:color="FFFFFF" w:fill="FFFFFF"/>
            <w:vAlign w:val="center"/>
            <w:hideMark/>
          </w:tcPr>
          <w:p w14:paraId="24CE8A80"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 xml:space="preserve">Commonwealth treasury trust </w:t>
            </w:r>
          </w:p>
        </w:tc>
        <w:tc>
          <w:tcPr>
            <w:tcW w:w="1198" w:type="dxa"/>
            <w:tcBorders>
              <w:top w:val="nil"/>
              <w:left w:val="single" w:sz="4" w:space="0" w:color="FFFFFF"/>
              <w:bottom w:val="single" w:sz="4" w:space="0" w:color="auto"/>
              <w:right w:val="single" w:sz="4" w:space="0" w:color="FFFFFF"/>
            </w:tcBorders>
            <w:shd w:val="clear" w:color="FFFFFF" w:fill="FFFFFF"/>
            <w:noWrap/>
            <w:vAlign w:val="center"/>
            <w:hideMark/>
          </w:tcPr>
          <w:p w14:paraId="22A425C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9.2 </w:t>
            </w:r>
          </w:p>
        </w:tc>
        <w:tc>
          <w:tcPr>
            <w:tcW w:w="1197" w:type="dxa"/>
            <w:tcBorders>
              <w:top w:val="nil"/>
              <w:left w:val="nil"/>
              <w:bottom w:val="single" w:sz="4" w:space="0" w:color="auto"/>
              <w:right w:val="single" w:sz="4" w:space="0" w:color="FFFFFF"/>
            </w:tcBorders>
            <w:shd w:val="clear" w:color="FFFFFF" w:fill="FFFFFF"/>
            <w:noWrap/>
            <w:vAlign w:val="center"/>
            <w:hideMark/>
          </w:tcPr>
          <w:p w14:paraId="0E49C52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36.5 </w:t>
            </w:r>
          </w:p>
        </w:tc>
        <w:tc>
          <w:tcPr>
            <w:tcW w:w="1197" w:type="dxa"/>
            <w:tcBorders>
              <w:top w:val="nil"/>
              <w:left w:val="nil"/>
              <w:bottom w:val="single" w:sz="4" w:space="0" w:color="auto"/>
              <w:right w:val="single" w:sz="4" w:space="0" w:color="FFFFFF"/>
            </w:tcBorders>
            <w:shd w:val="clear" w:color="FFFFFF" w:fill="FFFFFF"/>
            <w:noWrap/>
            <w:vAlign w:val="center"/>
            <w:hideMark/>
          </w:tcPr>
          <w:p w14:paraId="3F1DCAD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(27.0) </w:t>
            </w:r>
          </w:p>
        </w:tc>
        <w:tc>
          <w:tcPr>
            <w:tcW w:w="1197" w:type="dxa"/>
            <w:tcBorders>
              <w:top w:val="nil"/>
              <w:left w:val="nil"/>
              <w:bottom w:val="single" w:sz="4" w:space="0" w:color="auto"/>
              <w:right w:val="single" w:sz="4" w:space="0" w:color="FFFFFF"/>
            </w:tcBorders>
            <w:shd w:val="clear" w:color="FFFFFF" w:fill="FFFFFF"/>
            <w:noWrap/>
            <w:vAlign w:val="center"/>
            <w:hideMark/>
          </w:tcPr>
          <w:p w14:paraId="74FBEAE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18.7 </w:t>
            </w:r>
          </w:p>
        </w:tc>
      </w:tr>
      <w:tr w:rsidR="00F1540A" w:rsidRPr="005734B8" w14:paraId="579218FA" w14:textId="77777777" w:rsidTr="000F48B1">
        <w:trPr>
          <w:trHeight w:val="285"/>
        </w:trPr>
        <w:tc>
          <w:tcPr>
            <w:tcW w:w="2836"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1C331A68"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controlled trusts</w:t>
            </w:r>
          </w:p>
        </w:tc>
        <w:tc>
          <w:tcPr>
            <w:tcW w:w="1198" w:type="dxa"/>
            <w:tcBorders>
              <w:top w:val="single" w:sz="12" w:space="0" w:color="auto"/>
              <w:left w:val="nil"/>
              <w:bottom w:val="single" w:sz="12" w:space="0" w:color="auto"/>
              <w:right w:val="single" w:sz="12" w:space="0" w:color="FFFFFF"/>
            </w:tcBorders>
            <w:shd w:val="clear" w:color="FFFFFF" w:fill="FFFFFF"/>
            <w:noWrap/>
            <w:vAlign w:val="center"/>
            <w:hideMark/>
          </w:tcPr>
          <w:p w14:paraId="6F88D122"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269.5 </w:t>
            </w:r>
          </w:p>
        </w:tc>
        <w:tc>
          <w:tcPr>
            <w:tcW w:w="1197" w:type="dxa"/>
            <w:tcBorders>
              <w:top w:val="single" w:sz="12" w:space="0" w:color="auto"/>
              <w:left w:val="nil"/>
              <w:bottom w:val="single" w:sz="12" w:space="0" w:color="auto"/>
              <w:right w:val="single" w:sz="12" w:space="0" w:color="FFFFFF"/>
            </w:tcBorders>
            <w:shd w:val="clear" w:color="FFFFFF" w:fill="FFFFFF"/>
            <w:noWrap/>
            <w:vAlign w:val="center"/>
            <w:hideMark/>
          </w:tcPr>
          <w:p w14:paraId="6ECBFEE2"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243.7 </w:t>
            </w:r>
          </w:p>
        </w:tc>
        <w:tc>
          <w:tcPr>
            <w:tcW w:w="1197" w:type="dxa"/>
            <w:tcBorders>
              <w:top w:val="single" w:sz="12" w:space="0" w:color="auto"/>
              <w:left w:val="nil"/>
              <w:bottom w:val="single" w:sz="12" w:space="0" w:color="auto"/>
              <w:right w:val="single" w:sz="12" w:space="0" w:color="FFFFFF"/>
            </w:tcBorders>
            <w:shd w:val="clear" w:color="FFFFFF" w:fill="FFFFFF"/>
            <w:noWrap/>
            <w:vAlign w:val="center"/>
            <w:hideMark/>
          </w:tcPr>
          <w:p w14:paraId="22FE15EB"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(90.0) </w:t>
            </w:r>
          </w:p>
        </w:tc>
        <w:tc>
          <w:tcPr>
            <w:tcW w:w="1197" w:type="dxa"/>
            <w:tcBorders>
              <w:top w:val="single" w:sz="12" w:space="0" w:color="auto"/>
              <w:left w:val="nil"/>
              <w:bottom w:val="single" w:sz="12" w:space="0" w:color="auto"/>
              <w:right w:val="single" w:sz="12" w:space="0" w:color="FFFFFF"/>
            </w:tcBorders>
            <w:shd w:val="clear" w:color="FFFFFF" w:fill="FFFFFF"/>
            <w:noWrap/>
            <w:vAlign w:val="center"/>
            <w:hideMark/>
          </w:tcPr>
          <w:p w14:paraId="089BAEEB"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423.1 </w:t>
            </w:r>
          </w:p>
        </w:tc>
      </w:tr>
      <w:tr w:rsidR="00F1540A" w:rsidRPr="005734B8" w14:paraId="6349271C" w14:textId="77777777" w:rsidTr="000F48B1">
        <w:trPr>
          <w:trHeight w:val="270"/>
        </w:trPr>
        <w:tc>
          <w:tcPr>
            <w:tcW w:w="2836"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1AD52416"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Administered trusts</w:t>
            </w:r>
          </w:p>
        </w:tc>
        <w:tc>
          <w:tcPr>
            <w:tcW w:w="1198" w:type="dxa"/>
            <w:tcBorders>
              <w:top w:val="single" w:sz="4" w:space="0" w:color="auto"/>
              <w:left w:val="nil"/>
              <w:bottom w:val="single" w:sz="4" w:space="0" w:color="auto"/>
              <w:right w:val="single" w:sz="4" w:space="0" w:color="FFFFFF"/>
            </w:tcBorders>
            <w:shd w:val="clear" w:color="000000" w:fill="D9D9D9"/>
            <w:vAlign w:val="bottom"/>
            <w:hideMark/>
          </w:tcPr>
          <w:p w14:paraId="7DD61DBB"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197" w:type="dxa"/>
            <w:tcBorders>
              <w:top w:val="single" w:sz="4" w:space="0" w:color="auto"/>
              <w:left w:val="nil"/>
              <w:bottom w:val="single" w:sz="4" w:space="0" w:color="auto"/>
              <w:right w:val="single" w:sz="4" w:space="0" w:color="FFFFFF"/>
            </w:tcBorders>
            <w:shd w:val="clear" w:color="000000" w:fill="D9D9D9"/>
            <w:vAlign w:val="bottom"/>
            <w:hideMark/>
          </w:tcPr>
          <w:p w14:paraId="1A3F828D"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197" w:type="dxa"/>
            <w:tcBorders>
              <w:top w:val="single" w:sz="4" w:space="0" w:color="auto"/>
              <w:left w:val="nil"/>
              <w:bottom w:val="single" w:sz="4" w:space="0" w:color="auto"/>
              <w:right w:val="single" w:sz="4" w:space="0" w:color="FFFFFF"/>
            </w:tcBorders>
            <w:shd w:val="clear" w:color="000000" w:fill="D9D9D9"/>
            <w:vAlign w:val="bottom"/>
            <w:hideMark/>
          </w:tcPr>
          <w:p w14:paraId="11801931"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197" w:type="dxa"/>
            <w:tcBorders>
              <w:top w:val="single" w:sz="4" w:space="0" w:color="auto"/>
              <w:left w:val="nil"/>
              <w:bottom w:val="single" w:sz="4" w:space="0" w:color="auto"/>
              <w:right w:val="single" w:sz="4" w:space="0" w:color="FFFFFF"/>
            </w:tcBorders>
            <w:shd w:val="clear" w:color="000000" w:fill="D9D9D9"/>
            <w:vAlign w:val="bottom"/>
            <w:hideMark/>
          </w:tcPr>
          <w:p w14:paraId="7A532897"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6069F999" w14:textId="77777777" w:rsidTr="000F48B1">
        <w:trPr>
          <w:trHeight w:val="255"/>
        </w:trPr>
        <w:tc>
          <w:tcPr>
            <w:tcW w:w="2836" w:type="dxa"/>
            <w:tcBorders>
              <w:top w:val="nil"/>
              <w:left w:val="nil"/>
              <w:bottom w:val="single" w:sz="4" w:space="0" w:color="auto"/>
              <w:right w:val="nil"/>
            </w:tcBorders>
            <w:shd w:val="clear" w:color="FFFFFF" w:fill="FFFFFF"/>
            <w:vAlign w:val="center"/>
            <w:hideMark/>
          </w:tcPr>
          <w:p w14:paraId="086E3990"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Prizes and scholarships</w:t>
            </w:r>
          </w:p>
        </w:tc>
        <w:tc>
          <w:tcPr>
            <w:tcW w:w="1198" w:type="dxa"/>
            <w:tcBorders>
              <w:top w:val="nil"/>
              <w:left w:val="single" w:sz="4" w:space="0" w:color="FFFFFF"/>
              <w:bottom w:val="single" w:sz="4" w:space="0" w:color="auto"/>
              <w:right w:val="single" w:sz="4" w:space="0" w:color="FFFFFF"/>
            </w:tcBorders>
            <w:shd w:val="clear" w:color="FFFFFF" w:fill="FFFFFF"/>
            <w:noWrap/>
            <w:vAlign w:val="center"/>
            <w:hideMark/>
          </w:tcPr>
          <w:p w14:paraId="07A2FB5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 </w:t>
            </w:r>
          </w:p>
        </w:tc>
        <w:tc>
          <w:tcPr>
            <w:tcW w:w="1197" w:type="dxa"/>
            <w:tcBorders>
              <w:top w:val="nil"/>
              <w:left w:val="nil"/>
              <w:bottom w:val="single" w:sz="4" w:space="0" w:color="auto"/>
              <w:right w:val="single" w:sz="4" w:space="0" w:color="FFFFFF"/>
            </w:tcBorders>
            <w:shd w:val="clear" w:color="FFFFFF" w:fill="FFFFFF"/>
            <w:noWrap/>
            <w:vAlign w:val="center"/>
            <w:hideMark/>
          </w:tcPr>
          <w:p w14:paraId="1292058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0.2 </w:t>
            </w:r>
          </w:p>
        </w:tc>
        <w:tc>
          <w:tcPr>
            <w:tcW w:w="1197" w:type="dxa"/>
            <w:tcBorders>
              <w:top w:val="nil"/>
              <w:left w:val="nil"/>
              <w:bottom w:val="single" w:sz="4" w:space="0" w:color="auto"/>
              <w:right w:val="single" w:sz="4" w:space="0" w:color="FFFFFF"/>
            </w:tcBorders>
            <w:shd w:val="clear" w:color="FFFFFF" w:fill="FFFFFF"/>
            <w:noWrap/>
            <w:vAlign w:val="center"/>
            <w:hideMark/>
          </w:tcPr>
          <w:p w14:paraId="06EA4D8E" w14:textId="4B4C3CAA" w:rsidR="00F1540A" w:rsidRPr="005734B8" w:rsidRDefault="00141228" w:rsidP="000F48B1">
            <w:pPr>
              <w:jc w:val="right"/>
              <w:rPr>
                <w:rFonts w:ascii="Calibri" w:hAnsi="Calibri" w:cs="Calibri"/>
                <w:sz w:val="18"/>
                <w:szCs w:val="18"/>
              </w:rPr>
            </w:pPr>
            <w:r w:rsidRPr="005734B8">
              <w:rPr>
                <w:rFonts w:ascii="Calibri" w:hAnsi="Calibri" w:cs="Calibri"/>
                <w:sz w:val="18"/>
                <w:szCs w:val="18"/>
              </w:rPr>
              <w:softHyphen/>
            </w:r>
            <w:r w:rsidR="002653E2" w:rsidRPr="005734B8">
              <w:rPr>
                <w:rFonts w:ascii="Calibri" w:hAnsi="Calibri" w:cs="Calibri"/>
                <w:sz w:val="18"/>
                <w:szCs w:val="18"/>
              </w:rPr>
              <w:t>–</w:t>
            </w:r>
            <w:r w:rsidR="00F1540A" w:rsidRPr="005734B8">
              <w:rPr>
                <w:rFonts w:ascii="Calibri" w:hAnsi="Calibri" w:cs="Calibri"/>
                <w:sz w:val="18"/>
                <w:szCs w:val="18"/>
              </w:rPr>
              <w:t xml:space="preserve"> </w:t>
            </w:r>
          </w:p>
        </w:tc>
        <w:tc>
          <w:tcPr>
            <w:tcW w:w="1197" w:type="dxa"/>
            <w:tcBorders>
              <w:top w:val="nil"/>
              <w:left w:val="nil"/>
              <w:bottom w:val="single" w:sz="4" w:space="0" w:color="auto"/>
              <w:right w:val="single" w:sz="4" w:space="0" w:color="FFFFFF"/>
            </w:tcBorders>
            <w:shd w:val="clear" w:color="FFFFFF" w:fill="FFFFFF"/>
            <w:noWrap/>
            <w:vAlign w:val="center"/>
            <w:hideMark/>
          </w:tcPr>
          <w:p w14:paraId="65AE07B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1.5 </w:t>
            </w:r>
          </w:p>
        </w:tc>
      </w:tr>
      <w:tr w:rsidR="00F1540A" w:rsidRPr="005734B8" w14:paraId="4D0674BD" w14:textId="77777777" w:rsidTr="000F48B1">
        <w:trPr>
          <w:trHeight w:val="255"/>
        </w:trPr>
        <w:tc>
          <w:tcPr>
            <w:tcW w:w="2836" w:type="dxa"/>
            <w:tcBorders>
              <w:top w:val="nil"/>
              <w:left w:val="nil"/>
              <w:bottom w:val="single" w:sz="4" w:space="0" w:color="auto"/>
              <w:right w:val="nil"/>
            </w:tcBorders>
            <w:shd w:val="clear" w:color="FFFFFF" w:fill="FFFFFF"/>
            <w:vAlign w:val="center"/>
            <w:hideMark/>
          </w:tcPr>
          <w:p w14:paraId="5C995CCA"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Commuter club</w:t>
            </w:r>
          </w:p>
        </w:tc>
        <w:tc>
          <w:tcPr>
            <w:tcW w:w="1198" w:type="dxa"/>
            <w:tcBorders>
              <w:top w:val="nil"/>
              <w:left w:val="single" w:sz="4" w:space="0" w:color="FFFFFF"/>
              <w:bottom w:val="single" w:sz="4" w:space="0" w:color="auto"/>
              <w:right w:val="single" w:sz="4" w:space="0" w:color="FFFFFF"/>
            </w:tcBorders>
            <w:shd w:val="clear" w:color="FFFFFF" w:fill="FFFFFF"/>
            <w:noWrap/>
            <w:vAlign w:val="center"/>
            <w:hideMark/>
          </w:tcPr>
          <w:p w14:paraId="0289950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(0.2) </w:t>
            </w:r>
          </w:p>
        </w:tc>
        <w:tc>
          <w:tcPr>
            <w:tcW w:w="1197" w:type="dxa"/>
            <w:tcBorders>
              <w:top w:val="nil"/>
              <w:left w:val="nil"/>
              <w:bottom w:val="single" w:sz="4" w:space="0" w:color="auto"/>
              <w:right w:val="single" w:sz="4" w:space="0" w:color="FFFFFF"/>
            </w:tcBorders>
            <w:shd w:val="clear" w:color="FFFFFF" w:fill="FFFFFF"/>
            <w:noWrap/>
            <w:vAlign w:val="center"/>
            <w:hideMark/>
          </w:tcPr>
          <w:p w14:paraId="73276A6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1.1 </w:t>
            </w:r>
          </w:p>
        </w:tc>
        <w:tc>
          <w:tcPr>
            <w:tcW w:w="1197" w:type="dxa"/>
            <w:tcBorders>
              <w:top w:val="nil"/>
              <w:left w:val="nil"/>
              <w:bottom w:val="single" w:sz="4" w:space="0" w:color="auto"/>
              <w:right w:val="single" w:sz="4" w:space="0" w:color="FFFFFF"/>
            </w:tcBorders>
            <w:shd w:val="clear" w:color="FFFFFF" w:fill="FFFFFF"/>
            <w:noWrap/>
            <w:vAlign w:val="center"/>
            <w:hideMark/>
          </w:tcPr>
          <w:p w14:paraId="4A2B214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 </w:t>
            </w:r>
          </w:p>
        </w:tc>
        <w:tc>
          <w:tcPr>
            <w:tcW w:w="1197" w:type="dxa"/>
            <w:tcBorders>
              <w:top w:val="nil"/>
              <w:left w:val="nil"/>
              <w:bottom w:val="single" w:sz="4" w:space="0" w:color="auto"/>
              <w:right w:val="single" w:sz="4" w:space="0" w:color="FFFFFF"/>
            </w:tcBorders>
            <w:shd w:val="clear" w:color="FFFFFF" w:fill="FFFFFF"/>
            <w:noWrap/>
            <w:vAlign w:val="center"/>
            <w:hideMark/>
          </w:tcPr>
          <w:p w14:paraId="73A99D5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(0.1) </w:t>
            </w:r>
          </w:p>
        </w:tc>
      </w:tr>
      <w:tr w:rsidR="00F1540A" w:rsidRPr="005734B8" w14:paraId="4DFB9E39" w14:textId="77777777" w:rsidTr="000F48B1">
        <w:trPr>
          <w:trHeight w:val="495"/>
        </w:trPr>
        <w:tc>
          <w:tcPr>
            <w:tcW w:w="2836" w:type="dxa"/>
            <w:tcBorders>
              <w:top w:val="nil"/>
              <w:left w:val="nil"/>
              <w:bottom w:val="single" w:sz="4" w:space="0" w:color="auto"/>
              <w:right w:val="nil"/>
            </w:tcBorders>
            <w:shd w:val="clear" w:color="FFFFFF" w:fill="FFFFFF"/>
            <w:vAlign w:val="center"/>
            <w:hideMark/>
          </w:tcPr>
          <w:p w14:paraId="0BB957FF"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On-passing from the Commonwealth</w:t>
            </w:r>
          </w:p>
        </w:tc>
        <w:tc>
          <w:tcPr>
            <w:tcW w:w="1198" w:type="dxa"/>
            <w:tcBorders>
              <w:top w:val="nil"/>
              <w:left w:val="single" w:sz="4" w:space="0" w:color="FFFFFF"/>
              <w:bottom w:val="single" w:sz="4" w:space="0" w:color="auto"/>
              <w:right w:val="single" w:sz="4" w:space="0" w:color="FFFFFF"/>
            </w:tcBorders>
            <w:shd w:val="clear" w:color="FFFFFF" w:fill="FFFFFF"/>
            <w:noWrap/>
            <w:vAlign w:val="center"/>
            <w:hideMark/>
          </w:tcPr>
          <w:p w14:paraId="6071833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0.6 </w:t>
            </w:r>
          </w:p>
        </w:tc>
        <w:tc>
          <w:tcPr>
            <w:tcW w:w="1197" w:type="dxa"/>
            <w:tcBorders>
              <w:top w:val="nil"/>
              <w:left w:val="nil"/>
              <w:bottom w:val="single" w:sz="4" w:space="0" w:color="auto"/>
              <w:right w:val="single" w:sz="4" w:space="0" w:color="FFFFFF"/>
            </w:tcBorders>
            <w:shd w:val="clear" w:color="FFFFFF" w:fill="FFFFFF"/>
            <w:noWrap/>
            <w:vAlign w:val="center"/>
            <w:hideMark/>
          </w:tcPr>
          <w:p w14:paraId="7DC49E7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3,798.4 </w:t>
            </w:r>
          </w:p>
        </w:tc>
        <w:tc>
          <w:tcPr>
            <w:tcW w:w="1197" w:type="dxa"/>
            <w:tcBorders>
              <w:top w:val="nil"/>
              <w:left w:val="nil"/>
              <w:bottom w:val="single" w:sz="4" w:space="0" w:color="auto"/>
              <w:right w:val="single" w:sz="4" w:space="0" w:color="FFFFFF"/>
            </w:tcBorders>
            <w:shd w:val="clear" w:color="FFFFFF" w:fill="FFFFFF"/>
            <w:noWrap/>
            <w:vAlign w:val="center"/>
            <w:hideMark/>
          </w:tcPr>
          <w:p w14:paraId="7AFF226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(3,797.2) </w:t>
            </w:r>
          </w:p>
        </w:tc>
        <w:tc>
          <w:tcPr>
            <w:tcW w:w="1197" w:type="dxa"/>
            <w:tcBorders>
              <w:top w:val="nil"/>
              <w:left w:val="nil"/>
              <w:bottom w:val="single" w:sz="4" w:space="0" w:color="auto"/>
              <w:right w:val="single" w:sz="4" w:space="0" w:color="FFFFFF"/>
            </w:tcBorders>
            <w:shd w:val="clear" w:color="FFFFFF" w:fill="FFFFFF"/>
            <w:noWrap/>
            <w:vAlign w:val="center"/>
            <w:hideMark/>
          </w:tcPr>
          <w:p w14:paraId="28D6A81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1.8 </w:t>
            </w:r>
          </w:p>
        </w:tc>
      </w:tr>
      <w:tr w:rsidR="00F1540A" w:rsidRPr="005734B8" w14:paraId="19FE60E7" w14:textId="77777777" w:rsidTr="000F48B1">
        <w:trPr>
          <w:trHeight w:val="285"/>
        </w:trPr>
        <w:tc>
          <w:tcPr>
            <w:tcW w:w="2836"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8F1D410"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administered trusts</w:t>
            </w:r>
          </w:p>
        </w:tc>
        <w:tc>
          <w:tcPr>
            <w:tcW w:w="1198" w:type="dxa"/>
            <w:tcBorders>
              <w:top w:val="single" w:sz="12" w:space="0" w:color="auto"/>
              <w:left w:val="nil"/>
              <w:bottom w:val="single" w:sz="12" w:space="0" w:color="auto"/>
              <w:right w:val="single" w:sz="12" w:space="0" w:color="FFFFFF"/>
            </w:tcBorders>
            <w:shd w:val="clear" w:color="FFFFFF" w:fill="FFFFFF"/>
            <w:noWrap/>
            <w:vAlign w:val="center"/>
            <w:hideMark/>
          </w:tcPr>
          <w:p w14:paraId="00613E1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1.7 </w:t>
            </w:r>
          </w:p>
        </w:tc>
        <w:tc>
          <w:tcPr>
            <w:tcW w:w="1197" w:type="dxa"/>
            <w:tcBorders>
              <w:top w:val="single" w:sz="12" w:space="0" w:color="auto"/>
              <w:left w:val="nil"/>
              <w:bottom w:val="single" w:sz="12" w:space="0" w:color="auto"/>
              <w:right w:val="single" w:sz="12" w:space="0" w:color="FFFFFF"/>
            </w:tcBorders>
            <w:shd w:val="clear" w:color="FFFFFF" w:fill="FFFFFF"/>
            <w:noWrap/>
            <w:vAlign w:val="center"/>
            <w:hideMark/>
          </w:tcPr>
          <w:p w14:paraId="2D9878E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3,799.7 </w:t>
            </w:r>
          </w:p>
        </w:tc>
        <w:tc>
          <w:tcPr>
            <w:tcW w:w="1197" w:type="dxa"/>
            <w:tcBorders>
              <w:top w:val="single" w:sz="12" w:space="0" w:color="auto"/>
              <w:left w:val="nil"/>
              <w:bottom w:val="single" w:sz="12" w:space="0" w:color="auto"/>
              <w:right w:val="single" w:sz="12" w:space="0" w:color="FFFFFF"/>
            </w:tcBorders>
            <w:shd w:val="clear" w:color="FFFFFF" w:fill="FFFFFF"/>
            <w:noWrap/>
            <w:vAlign w:val="center"/>
            <w:hideMark/>
          </w:tcPr>
          <w:p w14:paraId="4D635A16"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(3,798.2) </w:t>
            </w:r>
          </w:p>
        </w:tc>
        <w:tc>
          <w:tcPr>
            <w:tcW w:w="1197" w:type="dxa"/>
            <w:tcBorders>
              <w:top w:val="single" w:sz="12" w:space="0" w:color="auto"/>
              <w:left w:val="nil"/>
              <w:bottom w:val="single" w:sz="12" w:space="0" w:color="auto"/>
              <w:right w:val="single" w:sz="12" w:space="0" w:color="FFFFFF"/>
            </w:tcBorders>
            <w:shd w:val="clear" w:color="FFFFFF" w:fill="FFFFFF"/>
            <w:noWrap/>
            <w:vAlign w:val="center"/>
            <w:hideMark/>
          </w:tcPr>
          <w:p w14:paraId="7783E53E" w14:textId="77777777" w:rsidR="00F1540A" w:rsidRPr="005734B8" w:rsidRDefault="00F1540A" w:rsidP="000F48B1">
            <w:pPr>
              <w:jc w:val="right"/>
              <w:rPr>
                <w:rFonts w:ascii="Calibri" w:hAnsi="Calibri" w:cs="Calibri"/>
                <w:b/>
                <w:bCs/>
                <w:sz w:val="18"/>
                <w:szCs w:val="18"/>
              </w:rPr>
            </w:pPr>
            <w:r w:rsidRPr="005734B8">
              <w:rPr>
                <w:rFonts w:ascii="Calibri" w:hAnsi="Calibri" w:cs="Calibri"/>
                <w:b/>
                <w:sz w:val="18"/>
                <w:szCs w:val="18"/>
              </w:rPr>
              <w:t>3.2</w:t>
            </w:r>
            <w:r w:rsidRPr="005734B8">
              <w:rPr>
                <w:rFonts w:ascii="Calibri" w:hAnsi="Calibri" w:cs="Calibri"/>
                <w:b/>
                <w:bCs/>
                <w:sz w:val="18"/>
                <w:szCs w:val="18"/>
              </w:rPr>
              <w:t xml:space="preserve"> </w:t>
            </w:r>
          </w:p>
        </w:tc>
      </w:tr>
    </w:tbl>
    <w:p w14:paraId="4ED84E9D" w14:textId="77777777" w:rsidR="00F1540A" w:rsidRPr="005734B8" w:rsidRDefault="00F1540A" w:rsidP="00F1540A">
      <w:pPr>
        <w:rPr>
          <w:rFonts w:ascii="Calibri" w:eastAsia="Arial" w:hAnsi="Calibri" w:cs="Calibri"/>
        </w:rPr>
      </w:pPr>
    </w:p>
    <w:p w14:paraId="5B4CCEED" w14:textId="2FB68BFA" w:rsidR="00F1540A" w:rsidRPr="005734B8" w:rsidRDefault="00F1540A" w:rsidP="00F1540A">
      <w:pPr>
        <w:rPr>
          <w:rFonts w:ascii="Calibri" w:eastAsia="Arial" w:hAnsi="Calibri" w:cs="Calibri"/>
        </w:rPr>
      </w:pPr>
      <w:r w:rsidRPr="005734B8">
        <w:rPr>
          <w:rFonts w:ascii="Calibri" w:eastAsia="Arial" w:hAnsi="Calibri" w:cs="Calibri"/>
        </w:rPr>
        <w:t>Trust accounts are used as the legal mechanism to record and access monies for specific, clearly</w:t>
      </w:r>
      <w:r w:rsidR="001B06C9" w:rsidRPr="005734B8">
        <w:rPr>
          <w:rFonts w:ascii="Calibri" w:eastAsia="Arial" w:hAnsi="Calibri" w:cs="Calibri"/>
        </w:rPr>
        <w:t xml:space="preserve"> </w:t>
      </w:r>
      <w:r w:rsidRPr="005734B8">
        <w:rPr>
          <w:rFonts w:ascii="Calibri" w:eastAsia="Arial" w:hAnsi="Calibri" w:cs="Calibri"/>
        </w:rPr>
        <w:t>identified purposes</w:t>
      </w:r>
      <w:r w:rsidR="001B06C9" w:rsidRPr="005734B8">
        <w:rPr>
          <w:rFonts w:ascii="Calibri" w:eastAsia="Arial" w:hAnsi="Calibri" w:cs="Calibri"/>
        </w:rPr>
        <w:t>,</w:t>
      </w:r>
      <w:r w:rsidRPr="005734B8">
        <w:rPr>
          <w:rFonts w:ascii="Calibri" w:eastAsia="Arial" w:hAnsi="Calibri" w:cs="Calibri"/>
        </w:rPr>
        <w:t xml:space="preserve"> and are not funded by state appropriation unless approved by DTF or provided by specific alignment. The State treasury trust fund operates by virtue of Section 19 of the FM Act.</w:t>
      </w:r>
    </w:p>
    <w:p w14:paraId="2CAB3789" w14:textId="77777777" w:rsidR="00F1540A" w:rsidRPr="005734B8" w:rsidRDefault="00F1540A" w:rsidP="00F1540A">
      <w:pPr>
        <w:rPr>
          <w:rFonts w:ascii="Calibri" w:eastAsia="Arial" w:hAnsi="Calibri" w:cs="Calibri"/>
        </w:rPr>
      </w:pPr>
    </w:p>
    <w:p w14:paraId="63596269" w14:textId="77777777" w:rsidR="001B06C9" w:rsidRPr="005734B8" w:rsidRDefault="001B06C9">
      <w:pPr>
        <w:rPr>
          <w:rFonts w:ascii="Calibri" w:eastAsia="Arial" w:hAnsi="Calibri" w:cs="Calibri"/>
        </w:rPr>
      </w:pPr>
      <w:r w:rsidRPr="005734B8">
        <w:rPr>
          <w:rFonts w:ascii="Calibri" w:eastAsia="Arial" w:hAnsi="Calibri" w:cs="Calibri"/>
        </w:rPr>
        <w:br w:type="page"/>
      </w:r>
    </w:p>
    <w:p w14:paraId="3F7E49A7" w14:textId="016161DC" w:rsidR="00F1540A" w:rsidRPr="005734B8" w:rsidRDefault="00F1540A" w:rsidP="00F1540A">
      <w:pPr>
        <w:rPr>
          <w:rFonts w:ascii="Calibri" w:eastAsia="Arial" w:hAnsi="Calibri" w:cs="Calibri"/>
        </w:rPr>
      </w:pPr>
      <w:r w:rsidRPr="005734B8">
        <w:rPr>
          <w:rFonts w:ascii="Calibri" w:eastAsia="Arial" w:hAnsi="Calibri" w:cs="Calibri"/>
        </w:rPr>
        <w:lastRenderedPageBreak/>
        <w:t xml:space="preserve">Two new controlled trusts accounts were opened by the Department during </w:t>
      </w:r>
      <w:r w:rsidRPr="005734B8">
        <w:rPr>
          <w:rFonts w:ascii="Calibri" w:eastAsia="Arial" w:hAnsi="Calibri" w:cs="Calibri"/>
        </w:rPr>
        <w:fldChar w:fldCharType="begin"/>
      </w:r>
      <w:r w:rsidRPr="005734B8">
        <w:rPr>
          <w:rFonts w:ascii="Calibri" w:eastAsia="Arial" w:hAnsi="Calibri" w:cs="Calibri"/>
        </w:rPr>
        <w:instrText xml:space="preserve"> DOCPROPERTY  crYear  \* MERGEFORMAT </w:instrText>
      </w:r>
      <w:r w:rsidRPr="005734B8">
        <w:rPr>
          <w:rFonts w:ascii="Calibri" w:eastAsia="Arial" w:hAnsi="Calibri" w:cs="Calibri"/>
        </w:rPr>
        <w:fldChar w:fldCharType="separate"/>
      </w:r>
      <w:r w:rsidRPr="005734B8">
        <w:rPr>
          <w:rFonts w:ascii="Calibri" w:eastAsia="Arial" w:hAnsi="Calibri" w:cs="Calibri"/>
        </w:rPr>
        <w:t>2021</w:t>
      </w:r>
      <w:r w:rsidRPr="005734B8">
        <w:rPr>
          <w:rFonts w:ascii="Calibri" w:eastAsia="Arial" w:hAnsi="Calibri" w:cs="Calibri"/>
        </w:rPr>
        <w:fldChar w:fldCharType="end"/>
      </w:r>
      <w:r w:rsidRPr="005734B8">
        <w:rPr>
          <w:rFonts w:ascii="Calibri" w:eastAsia="Arial" w:hAnsi="Calibri" w:cs="Calibri"/>
        </w:rPr>
        <w:t xml:space="preserve"> (2020:</w:t>
      </w:r>
      <w:r w:rsidR="006D53C6" w:rsidRPr="005734B8">
        <w:rPr>
          <w:rFonts w:ascii="Calibri" w:eastAsia="Arial" w:hAnsi="Calibri" w:cs="Calibri"/>
        </w:rPr>
        <w:t> </w:t>
      </w:r>
      <w:r w:rsidRPr="005734B8">
        <w:rPr>
          <w:rFonts w:ascii="Calibri" w:eastAsia="Arial" w:hAnsi="Calibri" w:cs="Calibri"/>
        </w:rPr>
        <w:t>nil) to manage:</w:t>
      </w:r>
    </w:p>
    <w:p w14:paraId="6ADC5F10" w14:textId="764B8926" w:rsidR="00F1540A" w:rsidRPr="005734B8" w:rsidRDefault="00F1540A" w:rsidP="00670895">
      <w:pPr>
        <w:pStyle w:val="ListParagraph"/>
        <w:numPr>
          <w:ilvl w:val="0"/>
          <w:numId w:val="79"/>
        </w:numPr>
        <w:rPr>
          <w:rFonts w:ascii="Calibri" w:eastAsia="Arial" w:hAnsi="Calibri" w:cs="Calibri"/>
        </w:rPr>
      </w:pPr>
      <w:r w:rsidRPr="005734B8">
        <w:rPr>
          <w:rFonts w:ascii="Calibri" w:eastAsia="Arial" w:hAnsi="Calibri" w:cs="Calibri"/>
        </w:rPr>
        <w:t xml:space="preserve">School capital contributions from government schools to fund increases in the size of their capital works program, over and above the </w:t>
      </w:r>
      <w:r w:rsidR="00BB7440" w:rsidRPr="005734B8">
        <w:rPr>
          <w:rFonts w:ascii="Calibri" w:eastAsia="Arial" w:hAnsi="Calibri" w:cs="Calibri"/>
        </w:rPr>
        <w:t>r</w:t>
      </w:r>
      <w:r w:rsidR="00B15F9A" w:rsidRPr="005734B8">
        <w:rPr>
          <w:rFonts w:ascii="Calibri" w:eastAsia="Arial" w:hAnsi="Calibri" w:cs="Calibri"/>
        </w:rPr>
        <w:t>ecogni</w:t>
      </w:r>
      <w:r w:rsidR="00BB7440" w:rsidRPr="005734B8">
        <w:rPr>
          <w:rFonts w:ascii="Calibri" w:eastAsia="Arial" w:hAnsi="Calibri" w:cs="Calibri"/>
        </w:rPr>
        <w:t>sed</w:t>
      </w:r>
      <w:r w:rsidRPr="005734B8">
        <w:rPr>
          <w:rFonts w:ascii="Calibri" w:eastAsia="Arial" w:hAnsi="Calibri" w:cs="Calibri"/>
        </w:rPr>
        <w:t xml:space="preserve"> scope of state</w:t>
      </w:r>
      <w:r w:rsidR="001B06C9" w:rsidRPr="005734B8">
        <w:rPr>
          <w:rFonts w:ascii="Calibri" w:eastAsia="Arial" w:hAnsi="Calibri" w:cs="Calibri"/>
        </w:rPr>
        <w:noBreakHyphen/>
      </w:r>
      <w:r w:rsidRPr="005734B8">
        <w:rPr>
          <w:rFonts w:ascii="Calibri" w:eastAsia="Arial" w:hAnsi="Calibri" w:cs="Calibri"/>
        </w:rPr>
        <w:t>funded capital projects</w:t>
      </w:r>
    </w:p>
    <w:p w14:paraId="2337C906" w14:textId="4DD855BF" w:rsidR="00F1540A" w:rsidRPr="005734B8" w:rsidRDefault="00F1540A" w:rsidP="00670895">
      <w:pPr>
        <w:pStyle w:val="ListParagraph"/>
        <w:numPr>
          <w:ilvl w:val="0"/>
          <w:numId w:val="79"/>
        </w:numPr>
        <w:rPr>
          <w:rFonts w:ascii="Calibri" w:eastAsia="Arial" w:hAnsi="Calibri" w:cs="Calibri"/>
        </w:rPr>
      </w:pPr>
      <w:r w:rsidRPr="005734B8">
        <w:rPr>
          <w:rFonts w:ascii="Calibri" w:eastAsia="Arial" w:hAnsi="Calibri" w:cs="Calibri"/>
        </w:rPr>
        <w:t>School Sports Victoria</w:t>
      </w:r>
      <w:r w:rsidR="001B06C9" w:rsidRPr="005734B8">
        <w:rPr>
          <w:rFonts w:ascii="Calibri" w:eastAsia="Arial" w:hAnsi="Calibri" w:cs="Calibri"/>
        </w:rPr>
        <w:t>—</w:t>
      </w:r>
      <w:r w:rsidRPr="005734B8">
        <w:rPr>
          <w:rFonts w:ascii="Calibri" w:eastAsia="Arial" w:hAnsi="Calibri" w:cs="Calibri"/>
        </w:rPr>
        <w:t>funds received from both government and non-government schools and sponsors to support the running of an extensive school sport program for primary and secondary students across Victoria.</w:t>
      </w:r>
    </w:p>
    <w:p w14:paraId="2E27A759" w14:textId="77777777" w:rsidR="00F1540A" w:rsidRPr="005734B8" w:rsidRDefault="00F1540A" w:rsidP="00F1540A">
      <w:pPr>
        <w:rPr>
          <w:rFonts w:ascii="Calibri" w:eastAsia="Arial" w:hAnsi="Calibri" w:cs="Calibri"/>
        </w:rPr>
      </w:pPr>
    </w:p>
    <w:p w14:paraId="72522218" w14:textId="3FCD57BE" w:rsidR="00F1540A" w:rsidRPr="005734B8" w:rsidRDefault="00F1540A" w:rsidP="00F1540A">
      <w:pPr>
        <w:rPr>
          <w:rFonts w:ascii="Calibri" w:eastAsia="Arial" w:hAnsi="Calibri" w:cs="Calibri"/>
        </w:rPr>
      </w:pPr>
      <w:r w:rsidRPr="005734B8">
        <w:rPr>
          <w:rFonts w:ascii="Calibri" w:eastAsia="Arial" w:hAnsi="Calibri" w:cs="Calibri"/>
        </w:rPr>
        <w:t>The Department has responsibility for transactions and balances relating to trust funds on behalf of third parties external to the Victorian Government. Funds managed on behalf of third parties are not recognised in these financial statements as they are managed on a fiduciary and custodial basis</w:t>
      </w:r>
      <w:r w:rsidR="00425184" w:rsidRPr="005734B8">
        <w:rPr>
          <w:rFonts w:ascii="Calibri" w:eastAsia="Arial" w:hAnsi="Calibri" w:cs="Calibri"/>
        </w:rPr>
        <w:t>,</w:t>
      </w:r>
      <w:r w:rsidRPr="005734B8">
        <w:rPr>
          <w:rFonts w:ascii="Calibri" w:eastAsia="Arial" w:hAnsi="Calibri" w:cs="Calibri"/>
        </w:rPr>
        <w:t xml:space="preserve"> and </w:t>
      </w:r>
      <w:r w:rsidR="001B06C9" w:rsidRPr="005734B8">
        <w:rPr>
          <w:rFonts w:ascii="Calibri" w:eastAsia="Arial" w:hAnsi="Calibri" w:cs="Calibri"/>
        </w:rPr>
        <w:t>are</w:t>
      </w:r>
      <w:r w:rsidRPr="005734B8">
        <w:rPr>
          <w:rFonts w:ascii="Calibri" w:eastAsia="Arial" w:hAnsi="Calibri" w:cs="Calibri"/>
        </w:rPr>
        <w:t xml:space="preserve"> therefore not controlled by the Department.</w:t>
      </w:r>
    </w:p>
    <w:p w14:paraId="296404A9" w14:textId="79370C5D" w:rsidR="00F1540A" w:rsidRPr="005734B8" w:rsidRDefault="00F1540A" w:rsidP="00B40FB0">
      <w:pPr>
        <w:spacing w:before="240" w:after="180" w:line="240" w:lineRule="atLeast"/>
        <w:outlineLvl w:val="0"/>
        <w:rPr>
          <w:rFonts w:ascii="Calibri" w:hAnsi="Calibri" w:cs="Calibri"/>
          <w:bCs/>
          <w:color w:val="8A2A2F"/>
          <w:spacing w:val="5"/>
          <w:kern w:val="28"/>
          <w:sz w:val="28"/>
          <w:lang w:val="en-US"/>
        </w:rPr>
      </w:pPr>
      <w:bookmarkStart w:id="1642" w:name="_Toc11336418"/>
      <w:bookmarkStart w:id="1643" w:name="_Toc11336595"/>
      <w:bookmarkStart w:id="1644" w:name="_Toc13647199"/>
      <w:bookmarkStart w:id="1645" w:name="_Toc13656731"/>
      <w:bookmarkStart w:id="1646" w:name="_Toc13656893"/>
      <w:bookmarkStart w:id="1647" w:name="_Toc14965644"/>
      <w:bookmarkStart w:id="1648" w:name="_Toc15985318"/>
      <w:bookmarkStart w:id="1649" w:name="_Toc16231969"/>
      <w:bookmarkStart w:id="1650" w:name="_Toc36012795"/>
      <w:bookmarkStart w:id="1651" w:name="_Toc36012873"/>
      <w:bookmarkStart w:id="1652" w:name="_Toc36013370"/>
      <w:bookmarkStart w:id="1653" w:name="_Toc58243453"/>
      <w:bookmarkStart w:id="1654" w:name="_Toc81315391"/>
      <w:bookmarkStart w:id="1655" w:name="_Hlk78461384"/>
      <w:r w:rsidRPr="005734B8">
        <w:rPr>
          <w:rFonts w:ascii="Calibri" w:hAnsi="Calibri" w:cs="Calibri"/>
          <w:bCs/>
          <w:color w:val="8A2A2F"/>
          <w:spacing w:val="5"/>
          <w:kern w:val="28"/>
          <w:sz w:val="28"/>
          <w:lang w:val="en-US"/>
        </w:rPr>
        <w:t>7.5</w:t>
      </w:r>
      <w:r w:rsidRPr="005734B8">
        <w:rPr>
          <w:rFonts w:ascii="Calibri" w:hAnsi="Calibri" w:cs="Calibri"/>
          <w:bCs/>
          <w:color w:val="8A2A2F"/>
          <w:spacing w:val="5"/>
          <w:kern w:val="28"/>
          <w:sz w:val="28"/>
          <w:lang w:val="en-US"/>
        </w:rPr>
        <w:tab/>
        <w:t>Commitments for expenditure</w:t>
      </w:r>
      <w:bookmarkEnd w:id="1642"/>
      <w:bookmarkEnd w:id="1643"/>
      <w:bookmarkEnd w:id="1644"/>
      <w:bookmarkEnd w:id="1645"/>
      <w:bookmarkEnd w:id="1646"/>
      <w:bookmarkEnd w:id="1647"/>
      <w:bookmarkEnd w:id="1648"/>
      <w:bookmarkEnd w:id="1649"/>
      <w:bookmarkEnd w:id="1650"/>
      <w:bookmarkEnd w:id="1651"/>
      <w:bookmarkEnd w:id="1652"/>
      <w:bookmarkEnd w:id="1653"/>
      <w:bookmarkEnd w:id="1654"/>
    </w:p>
    <w:p w14:paraId="71491891" w14:textId="337E6E2F" w:rsidR="00F1540A" w:rsidRPr="005734B8" w:rsidRDefault="00F1540A" w:rsidP="00F1540A">
      <w:pPr>
        <w:rPr>
          <w:rFonts w:ascii="Calibri" w:hAnsi="Calibri" w:cs="Calibri"/>
        </w:rPr>
      </w:pPr>
      <w:r w:rsidRPr="005734B8">
        <w:rPr>
          <w:rFonts w:ascii="Calibri" w:hAnsi="Calibri" w:cs="Calibri"/>
        </w:rPr>
        <w:t>Commitments for future expenditure include operating and capital commitments arising from contracts. These 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w:t>
      </w:r>
    </w:p>
    <w:p w14:paraId="1C406458" w14:textId="77777777" w:rsidR="00F1540A" w:rsidRPr="005734B8" w:rsidRDefault="00F1540A" w:rsidP="00B40FB0">
      <w:pPr>
        <w:spacing w:before="240" w:after="120" w:line="240" w:lineRule="atLeast"/>
        <w:outlineLvl w:val="2"/>
        <w:rPr>
          <w:rFonts w:ascii="Calibri" w:hAnsi="Calibri" w:cs="Calibri"/>
          <w:b/>
          <w:color w:val="53565A"/>
          <w:szCs w:val="18"/>
          <w:lang w:val="en-US"/>
        </w:rPr>
      </w:pPr>
      <w:bookmarkStart w:id="1656" w:name="_Toc11336419"/>
      <w:bookmarkStart w:id="1657" w:name="_Toc14965645"/>
      <w:r w:rsidRPr="005734B8">
        <w:rPr>
          <w:rFonts w:ascii="Calibri" w:hAnsi="Calibri" w:cs="Calibri"/>
          <w:b/>
          <w:color w:val="53565A"/>
          <w:szCs w:val="18"/>
          <w:lang w:val="en-US"/>
        </w:rPr>
        <w:t>7.5.1</w:t>
      </w:r>
      <w:r w:rsidRPr="005734B8">
        <w:rPr>
          <w:rFonts w:ascii="Calibri" w:hAnsi="Calibri" w:cs="Calibri"/>
          <w:b/>
          <w:color w:val="53565A"/>
          <w:szCs w:val="18"/>
          <w:lang w:val="en-US"/>
        </w:rPr>
        <w:tab/>
        <w:t>Total commitments payable</w:t>
      </w:r>
      <w:bookmarkEnd w:id="1656"/>
      <w:bookmarkEnd w:id="1657"/>
    </w:p>
    <w:tbl>
      <w:tblPr>
        <w:tblW w:w="7625" w:type="dxa"/>
        <w:tblInd w:w="75" w:type="dxa"/>
        <w:tblLayout w:type="fixed"/>
        <w:tblLook w:val="04A0" w:firstRow="1" w:lastRow="0" w:firstColumn="1" w:lastColumn="0" w:noHBand="0" w:noVBand="1"/>
      </w:tblPr>
      <w:tblGrid>
        <w:gridCol w:w="2893"/>
        <w:gridCol w:w="1190"/>
        <w:gridCol w:w="1190"/>
        <w:gridCol w:w="1177"/>
        <w:gridCol w:w="1175"/>
      </w:tblGrid>
      <w:tr w:rsidR="00F1540A" w:rsidRPr="005734B8" w14:paraId="4906B529" w14:textId="77777777" w:rsidTr="000F48B1">
        <w:trPr>
          <w:trHeight w:val="720"/>
        </w:trPr>
        <w:tc>
          <w:tcPr>
            <w:tcW w:w="2893" w:type="dxa"/>
            <w:tcBorders>
              <w:top w:val="nil"/>
              <w:left w:val="single" w:sz="4" w:space="0" w:color="FFFFFF"/>
              <w:bottom w:val="nil"/>
              <w:right w:val="single" w:sz="4" w:space="0" w:color="FFFFFF"/>
            </w:tcBorders>
            <w:shd w:val="clear" w:color="000000" w:fill="AF272F"/>
            <w:hideMark/>
          </w:tcPr>
          <w:p w14:paraId="6D564C92" w14:textId="77777777" w:rsidR="00F1540A" w:rsidRPr="005734B8" w:rsidRDefault="00F1540A" w:rsidP="000F48B1">
            <w:pPr>
              <w:rPr>
                <w:rFonts w:ascii="Calibri" w:hAnsi="Calibri" w:cs="Calibri"/>
                <w:b/>
                <w:color w:val="FFFFFF"/>
                <w:sz w:val="18"/>
                <w:szCs w:val="18"/>
              </w:rPr>
            </w:pPr>
            <w:bookmarkStart w:id="1658" w:name="Note_TCPTABLE1" w:colFirst="0" w:colLast="0"/>
            <w:r w:rsidRPr="005734B8">
              <w:rPr>
                <w:rFonts w:ascii="Calibri" w:hAnsi="Calibri" w:cs="Calibri"/>
                <w:b/>
                <w:color w:val="FFFFFF"/>
                <w:sz w:val="18"/>
                <w:szCs w:val="18"/>
              </w:rPr>
              <w:t>2021</w:t>
            </w:r>
          </w:p>
        </w:tc>
        <w:tc>
          <w:tcPr>
            <w:tcW w:w="1190" w:type="dxa"/>
            <w:tcBorders>
              <w:top w:val="nil"/>
              <w:left w:val="nil"/>
              <w:bottom w:val="single" w:sz="4" w:space="0" w:color="auto"/>
              <w:right w:val="single" w:sz="4" w:space="0" w:color="FFFFFF"/>
            </w:tcBorders>
            <w:shd w:val="clear" w:color="000000" w:fill="AF272F"/>
            <w:hideMark/>
          </w:tcPr>
          <w:p w14:paraId="22C47D9E"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Less than 1 year</w:t>
            </w:r>
            <w:r w:rsidRPr="005734B8">
              <w:rPr>
                <w:rFonts w:ascii="Calibri" w:hAnsi="Calibri" w:cs="Calibri"/>
                <w:b/>
                <w:color w:val="FFFFFF"/>
                <w:sz w:val="18"/>
                <w:szCs w:val="18"/>
              </w:rPr>
              <w:br/>
              <w:t>($m)</w:t>
            </w:r>
          </w:p>
        </w:tc>
        <w:tc>
          <w:tcPr>
            <w:tcW w:w="1190" w:type="dxa"/>
            <w:tcBorders>
              <w:top w:val="nil"/>
              <w:left w:val="nil"/>
              <w:bottom w:val="nil"/>
              <w:right w:val="single" w:sz="4" w:space="0" w:color="FFFFFF"/>
            </w:tcBorders>
            <w:shd w:val="clear" w:color="000000" w:fill="AF272F"/>
            <w:hideMark/>
          </w:tcPr>
          <w:p w14:paraId="6713E48C"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Between 1-5 years</w:t>
            </w:r>
            <w:r w:rsidRPr="005734B8">
              <w:rPr>
                <w:rFonts w:ascii="Calibri" w:hAnsi="Calibri" w:cs="Calibri"/>
                <w:b/>
                <w:color w:val="FFFFFF"/>
                <w:sz w:val="18"/>
                <w:szCs w:val="18"/>
              </w:rPr>
              <w:br/>
              <w:t>($m)</w:t>
            </w:r>
          </w:p>
        </w:tc>
        <w:tc>
          <w:tcPr>
            <w:tcW w:w="1177" w:type="dxa"/>
            <w:tcBorders>
              <w:top w:val="nil"/>
              <w:left w:val="nil"/>
              <w:bottom w:val="single" w:sz="4" w:space="0" w:color="auto"/>
              <w:right w:val="single" w:sz="4" w:space="0" w:color="FFFFFF"/>
            </w:tcBorders>
            <w:shd w:val="clear" w:color="000000" w:fill="AF272F"/>
            <w:hideMark/>
          </w:tcPr>
          <w:p w14:paraId="0133BA03"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Over 5 years</w:t>
            </w:r>
            <w:r w:rsidRPr="005734B8">
              <w:rPr>
                <w:rFonts w:ascii="Calibri" w:hAnsi="Calibri" w:cs="Calibri"/>
                <w:b/>
                <w:color w:val="FFFFFF"/>
                <w:sz w:val="18"/>
                <w:szCs w:val="18"/>
              </w:rPr>
              <w:br/>
              <w:t>($m)</w:t>
            </w:r>
          </w:p>
        </w:tc>
        <w:tc>
          <w:tcPr>
            <w:tcW w:w="1175" w:type="dxa"/>
            <w:tcBorders>
              <w:top w:val="nil"/>
              <w:left w:val="nil"/>
              <w:bottom w:val="single" w:sz="4" w:space="0" w:color="auto"/>
              <w:right w:val="single" w:sz="4" w:space="0" w:color="FFFFFF"/>
            </w:tcBorders>
            <w:shd w:val="clear" w:color="000000" w:fill="AF272F"/>
            <w:hideMark/>
          </w:tcPr>
          <w:p w14:paraId="3873AED3"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Total</w:t>
            </w:r>
            <w:r w:rsidRPr="005734B8">
              <w:rPr>
                <w:rFonts w:ascii="Calibri" w:hAnsi="Calibri" w:cs="Calibri"/>
                <w:b/>
                <w:color w:val="FFFFFF"/>
                <w:sz w:val="18"/>
                <w:szCs w:val="18"/>
              </w:rPr>
              <w:br/>
              <w:t>($m)</w:t>
            </w:r>
          </w:p>
        </w:tc>
      </w:tr>
      <w:bookmarkEnd w:id="1658"/>
      <w:tr w:rsidR="00F1540A" w:rsidRPr="005734B8" w14:paraId="5A0B3CFB" w14:textId="77777777" w:rsidTr="000F48B1">
        <w:trPr>
          <w:trHeight w:val="255"/>
        </w:trPr>
        <w:tc>
          <w:tcPr>
            <w:tcW w:w="2893" w:type="dxa"/>
            <w:tcBorders>
              <w:top w:val="single" w:sz="4" w:space="0" w:color="auto"/>
              <w:left w:val="nil"/>
              <w:bottom w:val="single" w:sz="4" w:space="0" w:color="auto"/>
              <w:right w:val="single" w:sz="4" w:space="0" w:color="FFFFFF"/>
            </w:tcBorders>
            <w:shd w:val="clear" w:color="FFFFFF" w:fill="FFFFFF"/>
            <w:vAlign w:val="center"/>
            <w:hideMark/>
          </w:tcPr>
          <w:p w14:paraId="2160C967"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PPP commitments</w:t>
            </w:r>
          </w:p>
        </w:tc>
        <w:tc>
          <w:tcPr>
            <w:tcW w:w="1190" w:type="dxa"/>
            <w:tcBorders>
              <w:top w:val="nil"/>
              <w:left w:val="nil"/>
              <w:bottom w:val="single" w:sz="4" w:space="0" w:color="auto"/>
              <w:right w:val="single" w:sz="4" w:space="0" w:color="FFFFFF"/>
            </w:tcBorders>
            <w:shd w:val="clear" w:color="FFFFFF" w:fill="FFFFFF"/>
            <w:noWrap/>
            <w:vAlign w:val="center"/>
            <w:hideMark/>
          </w:tcPr>
          <w:p w14:paraId="191B304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24.6 </w:t>
            </w:r>
          </w:p>
        </w:tc>
        <w:tc>
          <w:tcPr>
            <w:tcW w:w="1190" w:type="dxa"/>
            <w:tcBorders>
              <w:top w:val="single" w:sz="4" w:space="0" w:color="auto"/>
              <w:left w:val="nil"/>
              <w:bottom w:val="single" w:sz="4" w:space="0" w:color="auto"/>
              <w:right w:val="single" w:sz="4" w:space="0" w:color="FFFFFF"/>
            </w:tcBorders>
            <w:shd w:val="clear" w:color="FFFFFF" w:fill="FFFFFF"/>
            <w:noWrap/>
            <w:vAlign w:val="center"/>
            <w:hideMark/>
          </w:tcPr>
          <w:p w14:paraId="43183F6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109.7 </w:t>
            </w:r>
          </w:p>
        </w:tc>
        <w:tc>
          <w:tcPr>
            <w:tcW w:w="1177" w:type="dxa"/>
            <w:tcBorders>
              <w:top w:val="nil"/>
              <w:left w:val="nil"/>
              <w:bottom w:val="single" w:sz="4" w:space="0" w:color="auto"/>
              <w:right w:val="single" w:sz="4" w:space="0" w:color="FFFFFF"/>
            </w:tcBorders>
            <w:shd w:val="clear" w:color="FFFFFF" w:fill="FFFFFF"/>
            <w:noWrap/>
            <w:vAlign w:val="center"/>
            <w:hideMark/>
          </w:tcPr>
          <w:p w14:paraId="1444446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482.1 </w:t>
            </w:r>
          </w:p>
        </w:tc>
        <w:tc>
          <w:tcPr>
            <w:tcW w:w="1175" w:type="dxa"/>
            <w:tcBorders>
              <w:top w:val="nil"/>
              <w:left w:val="nil"/>
              <w:bottom w:val="single" w:sz="4" w:space="0" w:color="auto"/>
              <w:right w:val="single" w:sz="4" w:space="0" w:color="FFFFFF"/>
            </w:tcBorders>
            <w:shd w:val="clear" w:color="FFFFFF" w:fill="FFFFFF"/>
            <w:noWrap/>
            <w:vAlign w:val="center"/>
            <w:hideMark/>
          </w:tcPr>
          <w:p w14:paraId="1A0201C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616.4 </w:t>
            </w:r>
          </w:p>
        </w:tc>
      </w:tr>
      <w:tr w:rsidR="00F1540A" w:rsidRPr="005734B8" w14:paraId="7C6047A6" w14:textId="77777777" w:rsidTr="000F48B1">
        <w:trPr>
          <w:trHeight w:val="480"/>
        </w:trPr>
        <w:tc>
          <w:tcPr>
            <w:tcW w:w="2893" w:type="dxa"/>
            <w:tcBorders>
              <w:top w:val="nil"/>
              <w:left w:val="nil"/>
              <w:bottom w:val="single" w:sz="4" w:space="0" w:color="auto"/>
              <w:right w:val="nil"/>
            </w:tcBorders>
            <w:shd w:val="clear" w:color="FFFFFF" w:fill="FFFFFF"/>
            <w:vAlign w:val="center"/>
            <w:hideMark/>
          </w:tcPr>
          <w:p w14:paraId="7C2F5587"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 xml:space="preserve">Capital expenditure commitments payable </w:t>
            </w:r>
          </w:p>
        </w:tc>
        <w:tc>
          <w:tcPr>
            <w:tcW w:w="1190" w:type="dxa"/>
            <w:tcBorders>
              <w:top w:val="nil"/>
              <w:left w:val="single" w:sz="4" w:space="0" w:color="FFFFFF"/>
              <w:bottom w:val="single" w:sz="4" w:space="0" w:color="auto"/>
              <w:right w:val="single" w:sz="4" w:space="0" w:color="FFFFFF"/>
            </w:tcBorders>
            <w:shd w:val="clear" w:color="FFFFFF" w:fill="FFFFFF"/>
            <w:noWrap/>
            <w:vAlign w:val="center"/>
            <w:hideMark/>
          </w:tcPr>
          <w:p w14:paraId="3EF10EE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682.2 </w:t>
            </w:r>
          </w:p>
        </w:tc>
        <w:tc>
          <w:tcPr>
            <w:tcW w:w="1190" w:type="dxa"/>
            <w:tcBorders>
              <w:top w:val="nil"/>
              <w:left w:val="nil"/>
              <w:bottom w:val="single" w:sz="4" w:space="0" w:color="auto"/>
              <w:right w:val="single" w:sz="4" w:space="0" w:color="FFFFFF"/>
            </w:tcBorders>
            <w:shd w:val="clear" w:color="FFFFFF" w:fill="FFFFFF"/>
            <w:noWrap/>
            <w:vAlign w:val="center"/>
            <w:hideMark/>
          </w:tcPr>
          <w:p w14:paraId="40D5C5A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217.1 </w:t>
            </w:r>
          </w:p>
        </w:tc>
        <w:tc>
          <w:tcPr>
            <w:tcW w:w="1177" w:type="dxa"/>
            <w:tcBorders>
              <w:top w:val="nil"/>
              <w:left w:val="nil"/>
              <w:bottom w:val="single" w:sz="4" w:space="0" w:color="auto"/>
              <w:right w:val="single" w:sz="4" w:space="0" w:color="FFFFFF"/>
            </w:tcBorders>
            <w:shd w:val="clear" w:color="FFFFFF" w:fill="FFFFFF"/>
            <w:noWrap/>
            <w:vAlign w:val="center"/>
            <w:hideMark/>
          </w:tcPr>
          <w:p w14:paraId="640C7CAB" w14:textId="5554ED90" w:rsidR="00F1540A" w:rsidRPr="005734B8" w:rsidRDefault="00141228" w:rsidP="000F48B1">
            <w:pPr>
              <w:jc w:val="right"/>
              <w:rPr>
                <w:rFonts w:ascii="Calibri" w:hAnsi="Calibri" w:cs="Calibri"/>
                <w:sz w:val="18"/>
                <w:szCs w:val="18"/>
              </w:rPr>
            </w:pPr>
            <w:r w:rsidRPr="005734B8">
              <w:rPr>
                <w:rFonts w:ascii="Calibri" w:hAnsi="Calibri" w:cs="Calibri"/>
                <w:sz w:val="18"/>
                <w:szCs w:val="18"/>
              </w:rPr>
              <w:softHyphen/>
            </w:r>
            <w:r w:rsidR="002653E2" w:rsidRPr="005734B8">
              <w:rPr>
                <w:rFonts w:ascii="Calibri" w:hAnsi="Calibri" w:cs="Calibri"/>
                <w:sz w:val="18"/>
                <w:szCs w:val="18"/>
              </w:rPr>
              <w:t>–</w:t>
            </w:r>
            <w:r w:rsidR="00F1540A" w:rsidRPr="005734B8">
              <w:rPr>
                <w:rFonts w:ascii="Calibri" w:hAnsi="Calibri" w:cs="Calibri"/>
                <w:sz w:val="18"/>
                <w:szCs w:val="18"/>
              </w:rPr>
              <w:t xml:space="preserve"> </w:t>
            </w:r>
          </w:p>
        </w:tc>
        <w:tc>
          <w:tcPr>
            <w:tcW w:w="1175" w:type="dxa"/>
            <w:tcBorders>
              <w:top w:val="nil"/>
              <w:left w:val="nil"/>
              <w:bottom w:val="single" w:sz="4" w:space="0" w:color="auto"/>
              <w:right w:val="single" w:sz="4" w:space="0" w:color="FFFFFF"/>
            </w:tcBorders>
            <w:shd w:val="clear" w:color="FFFFFF" w:fill="FFFFFF"/>
            <w:noWrap/>
            <w:vAlign w:val="center"/>
            <w:hideMark/>
          </w:tcPr>
          <w:p w14:paraId="4E17A6A1"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899.3 </w:t>
            </w:r>
          </w:p>
        </w:tc>
      </w:tr>
      <w:tr w:rsidR="00F1540A" w:rsidRPr="005734B8" w14:paraId="428B4E4C" w14:textId="77777777" w:rsidTr="000F48B1">
        <w:trPr>
          <w:trHeight w:val="270"/>
        </w:trPr>
        <w:tc>
          <w:tcPr>
            <w:tcW w:w="2893" w:type="dxa"/>
            <w:tcBorders>
              <w:top w:val="nil"/>
              <w:left w:val="nil"/>
              <w:bottom w:val="single" w:sz="4" w:space="0" w:color="auto"/>
              <w:right w:val="nil"/>
            </w:tcBorders>
            <w:shd w:val="clear" w:color="FFFFFF" w:fill="FFFFFF"/>
            <w:vAlign w:val="center"/>
            <w:hideMark/>
          </w:tcPr>
          <w:p w14:paraId="14A9B15B"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Other commitments payable</w:t>
            </w:r>
          </w:p>
        </w:tc>
        <w:tc>
          <w:tcPr>
            <w:tcW w:w="1190" w:type="dxa"/>
            <w:tcBorders>
              <w:top w:val="nil"/>
              <w:left w:val="single" w:sz="4" w:space="0" w:color="FFFFFF"/>
              <w:bottom w:val="single" w:sz="4" w:space="0" w:color="auto"/>
              <w:right w:val="single" w:sz="4" w:space="0" w:color="FFFFFF"/>
            </w:tcBorders>
            <w:shd w:val="clear" w:color="FFFFFF" w:fill="FFFFFF"/>
            <w:noWrap/>
            <w:vAlign w:val="center"/>
            <w:hideMark/>
          </w:tcPr>
          <w:p w14:paraId="4D05A1E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1308.1 </w:t>
            </w:r>
          </w:p>
        </w:tc>
        <w:tc>
          <w:tcPr>
            <w:tcW w:w="1190" w:type="dxa"/>
            <w:tcBorders>
              <w:top w:val="nil"/>
              <w:left w:val="nil"/>
              <w:bottom w:val="single" w:sz="4" w:space="0" w:color="auto"/>
              <w:right w:val="single" w:sz="4" w:space="0" w:color="FFFFFF"/>
            </w:tcBorders>
            <w:shd w:val="clear" w:color="FFFFFF" w:fill="FFFFFF"/>
            <w:noWrap/>
            <w:vAlign w:val="center"/>
            <w:hideMark/>
          </w:tcPr>
          <w:p w14:paraId="6C20534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339.8 </w:t>
            </w:r>
          </w:p>
        </w:tc>
        <w:tc>
          <w:tcPr>
            <w:tcW w:w="1177" w:type="dxa"/>
            <w:tcBorders>
              <w:top w:val="nil"/>
              <w:left w:val="nil"/>
              <w:bottom w:val="single" w:sz="4" w:space="0" w:color="auto"/>
              <w:right w:val="single" w:sz="4" w:space="0" w:color="FFFFFF"/>
            </w:tcBorders>
            <w:shd w:val="clear" w:color="FFFFFF" w:fill="FFFFFF"/>
            <w:noWrap/>
            <w:vAlign w:val="center"/>
            <w:hideMark/>
          </w:tcPr>
          <w:p w14:paraId="2F27FED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68.2 </w:t>
            </w:r>
          </w:p>
        </w:tc>
        <w:tc>
          <w:tcPr>
            <w:tcW w:w="1175" w:type="dxa"/>
            <w:tcBorders>
              <w:top w:val="nil"/>
              <w:left w:val="nil"/>
              <w:bottom w:val="single" w:sz="4" w:space="0" w:color="auto"/>
              <w:right w:val="single" w:sz="4" w:space="0" w:color="FFFFFF"/>
            </w:tcBorders>
            <w:shd w:val="clear" w:color="FFFFFF" w:fill="FFFFFF"/>
            <w:noWrap/>
            <w:vAlign w:val="center"/>
            <w:hideMark/>
          </w:tcPr>
          <w:p w14:paraId="2C6890E4" w14:textId="46956A7A"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1,716.1 </w:t>
            </w:r>
          </w:p>
        </w:tc>
      </w:tr>
      <w:tr w:rsidR="00F1540A" w:rsidRPr="005734B8" w14:paraId="432C6FD1" w14:textId="77777777" w:rsidTr="000F48B1">
        <w:trPr>
          <w:trHeight w:val="285"/>
        </w:trPr>
        <w:tc>
          <w:tcPr>
            <w:tcW w:w="2893"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547A0C8"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commitments (inclusive of GST)</w:t>
            </w:r>
          </w:p>
        </w:tc>
        <w:tc>
          <w:tcPr>
            <w:tcW w:w="1190" w:type="dxa"/>
            <w:tcBorders>
              <w:top w:val="single" w:sz="12" w:space="0" w:color="auto"/>
              <w:left w:val="nil"/>
              <w:bottom w:val="single" w:sz="12" w:space="0" w:color="auto"/>
              <w:right w:val="single" w:sz="12" w:space="0" w:color="FFFFFF"/>
            </w:tcBorders>
            <w:shd w:val="clear" w:color="FFFFFF" w:fill="FFFFFF"/>
            <w:noWrap/>
            <w:vAlign w:val="center"/>
            <w:hideMark/>
          </w:tcPr>
          <w:p w14:paraId="57F01D6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2,014.9 </w:t>
            </w:r>
          </w:p>
        </w:tc>
        <w:tc>
          <w:tcPr>
            <w:tcW w:w="1190" w:type="dxa"/>
            <w:tcBorders>
              <w:top w:val="single" w:sz="12" w:space="0" w:color="auto"/>
              <w:left w:val="nil"/>
              <w:bottom w:val="single" w:sz="12" w:space="0" w:color="auto"/>
              <w:right w:val="single" w:sz="12" w:space="0" w:color="FFFFFF"/>
            </w:tcBorders>
            <w:shd w:val="clear" w:color="FFFFFF" w:fill="FFFFFF"/>
            <w:noWrap/>
            <w:vAlign w:val="center"/>
            <w:hideMark/>
          </w:tcPr>
          <w:p w14:paraId="31A5D9B5"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666.6 </w:t>
            </w:r>
          </w:p>
        </w:tc>
        <w:tc>
          <w:tcPr>
            <w:tcW w:w="1177" w:type="dxa"/>
            <w:tcBorders>
              <w:top w:val="single" w:sz="12" w:space="0" w:color="auto"/>
              <w:left w:val="nil"/>
              <w:bottom w:val="single" w:sz="12" w:space="0" w:color="auto"/>
              <w:right w:val="single" w:sz="12" w:space="0" w:color="FFFFFF"/>
            </w:tcBorders>
            <w:shd w:val="clear" w:color="FFFFFF" w:fill="FFFFFF"/>
            <w:noWrap/>
            <w:vAlign w:val="center"/>
            <w:hideMark/>
          </w:tcPr>
          <w:p w14:paraId="429DB8F0"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550.3 </w:t>
            </w:r>
          </w:p>
        </w:tc>
        <w:tc>
          <w:tcPr>
            <w:tcW w:w="1175" w:type="dxa"/>
            <w:tcBorders>
              <w:top w:val="single" w:sz="12" w:space="0" w:color="auto"/>
              <w:left w:val="nil"/>
              <w:bottom w:val="single" w:sz="12" w:space="0" w:color="auto"/>
              <w:right w:val="single" w:sz="12" w:space="0" w:color="FFFFFF"/>
            </w:tcBorders>
            <w:shd w:val="clear" w:color="FFFFFF" w:fill="FFFFFF"/>
            <w:noWrap/>
            <w:vAlign w:val="center"/>
            <w:hideMark/>
          </w:tcPr>
          <w:p w14:paraId="37CCB444"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3,231.8 </w:t>
            </w:r>
          </w:p>
        </w:tc>
      </w:tr>
      <w:tr w:rsidR="00F1540A" w:rsidRPr="005734B8" w14:paraId="33928672" w14:textId="77777777" w:rsidTr="000F48B1">
        <w:trPr>
          <w:trHeight w:val="285"/>
        </w:trPr>
        <w:tc>
          <w:tcPr>
            <w:tcW w:w="2893" w:type="dxa"/>
            <w:tcBorders>
              <w:top w:val="nil"/>
              <w:left w:val="nil"/>
              <w:bottom w:val="single" w:sz="4" w:space="0" w:color="auto"/>
              <w:right w:val="nil"/>
            </w:tcBorders>
            <w:shd w:val="clear" w:color="FFFFFF" w:fill="FFFFFF"/>
            <w:vAlign w:val="center"/>
            <w:hideMark/>
          </w:tcPr>
          <w:p w14:paraId="1ACA79F9"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Less GST recoverable</w:t>
            </w:r>
          </w:p>
        </w:tc>
        <w:tc>
          <w:tcPr>
            <w:tcW w:w="1190" w:type="dxa"/>
            <w:tcBorders>
              <w:top w:val="single" w:sz="4" w:space="0" w:color="auto"/>
              <w:left w:val="single" w:sz="4" w:space="0" w:color="FFFFFF"/>
              <w:bottom w:val="single" w:sz="4" w:space="0" w:color="auto"/>
              <w:right w:val="single" w:sz="4" w:space="0" w:color="FFFFFF"/>
            </w:tcBorders>
            <w:shd w:val="clear" w:color="FFFFFF" w:fill="FFFFFF"/>
            <w:noWrap/>
            <w:vAlign w:val="center"/>
            <w:hideMark/>
          </w:tcPr>
          <w:p w14:paraId="64B5FF2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175.1 </w:t>
            </w:r>
          </w:p>
        </w:tc>
        <w:tc>
          <w:tcPr>
            <w:tcW w:w="1190" w:type="dxa"/>
            <w:tcBorders>
              <w:top w:val="single" w:sz="4" w:space="0" w:color="auto"/>
              <w:left w:val="nil"/>
              <w:bottom w:val="single" w:sz="4" w:space="0" w:color="auto"/>
              <w:right w:val="single" w:sz="4" w:space="0" w:color="FFFFFF"/>
            </w:tcBorders>
            <w:shd w:val="clear" w:color="FFFFFF" w:fill="FFFFFF"/>
            <w:noWrap/>
            <w:vAlign w:val="center"/>
            <w:hideMark/>
          </w:tcPr>
          <w:p w14:paraId="350A4FC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57.2 </w:t>
            </w:r>
          </w:p>
        </w:tc>
        <w:tc>
          <w:tcPr>
            <w:tcW w:w="1177" w:type="dxa"/>
            <w:tcBorders>
              <w:top w:val="single" w:sz="4" w:space="0" w:color="auto"/>
              <w:left w:val="nil"/>
              <w:bottom w:val="single" w:sz="4" w:space="0" w:color="auto"/>
              <w:right w:val="single" w:sz="4" w:space="0" w:color="FFFFFF"/>
            </w:tcBorders>
            <w:shd w:val="clear" w:color="FFFFFF" w:fill="FFFFFF"/>
            <w:noWrap/>
            <w:vAlign w:val="center"/>
            <w:hideMark/>
          </w:tcPr>
          <w:p w14:paraId="67A2C87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50.0 </w:t>
            </w:r>
          </w:p>
        </w:tc>
        <w:tc>
          <w:tcPr>
            <w:tcW w:w="1175" w:type="dxa"/>
            <w:tcBorders>
              <w:top w:val="nil"/>
              <w:left w:val="nil"/>
              <w:bottom w:val="single" w:sz="4" w:space="0" w:color="auto"/>
              <w:right w:val="single" w:sz="4" w:space="0" w:color="FFFFFF"/>
            </w:tcBorders>
            <w:shd w:val="clear" w:color="FFFFFF" w:fill="FFFFFF"/>
            <w:noWrap/>
            <w:vAlign w:val="center"/>
            <w:hideMark/>
          </w:tcPr>
          <w:p w14:paraId="6AF0D118"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282.3 </w:t>
            </w:r>
          </w:p>
        </w:tc>
      </w:tr>
      <w:tr w:rsidR="00F1540A" w:rsidRPr="005734B8" w14:paraId="53EBA330" w14:textId="77777777" w:rsidTr="000F48B1">
        <w:trPr>
          <w:trHeight w:val="285"/>
        </w:trPr>
        <w:tc>
          <w:tcPr>
            <w:tcW w:w="2893"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173C9FA7"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commitments (exclusive of GST)</w:t>
            </w:r>
          </w:p>
        </w:tc>
        <w:tc>
          <w:tcPr>
            <w:tcW w:w="1190" w:type="dxa"/>
            <w:tcBorders>
              <w:top w:val="single" w:sz="12" w:space="0" w:color="auto"/>
              <w:left w:val="nil"/>
              <w:bottom w:val="single" w:sz="12" w:space="0" w:color="auto"/>
              <w:right w:val="single" w:sz="12" w:space="0" w:color="FFFFFF"/>
            </w:tcBorders>
            <w:shd w:val="clear" w:color="FFFFFF" w:fill="FFFFFF"/>
            <w:noWrap/>
            <w:vAlign w:val="center"/>
            <w:hideMark/>
          </w:tcPr>
          <w:p w14:paraId="0BC59426"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1,845.8 </w:t>
            </w:r>
          </w:p>
        </w:tc>
        <w:tc>
          <w:tcPr>
            <w:tcW w:w="1190" w:type="dxa"/>
            <w:tcBorders>
              <w:top w:val="single" w:sz="12" w:space="0" w:color="auto"/>
              <w:left w:val="nil"/>
              <w:bottom w:val="single" w:sz="12" w:space="0" w:color="auto"/>
              <w:right w:val="single" w:sz="12" w:space="0" w:color="FFFFFF"/>
            </w:tcBorders>
            <w:shd w:val="clear" w:color="FFFFFF" w:fill="FFFFFF"/>
            <w:noWrap/>
            <w:vAlign w:val="center"/>
            <w:hideMark/>
          </w:tcPr>
          <w:p w14:paraId="35D13E6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663.4 </w:t>
            </w:r>
          </w:p>
        </w:tc>
        <w:tc>
          <w:tcPr>
            <w:tcW w:w="1177" w:type="dxa"/>
            <w:tcBorders>
              <w:top w:val="single" w:sz="12" w:space="0" w:color="auto"/>
              <w:left w:val="nil"/>
              <w:bottom w:val="single" w:sz="12" w:space="0" w:color="auto"/>
              <w:right w:val="single" w:sz="12" w:space="0" w:color="FFFFFF"/>
            </w:tcBorders>
            <w:shd w:val="clear" w:color="FFFFFF" w:fill="FFFFFF"/>
            <w:noWrap/>
            <w:vAlign w:val="center"/>
            <w:hideMark/>
          </w:tcPr>
          <w:p w14:paraId="37541C5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500.3 </w:t>
            </w:r>
          </w:p>
        </w:tc>
        <w:tc>
          <w:tcPr>
            <w:tcW w:w="1175" w:type="dxa"/>
            <w:tcBorders>
              <w:top w:val="single" w:sz="12" w:space="0" w:color="auto"/>
              <w:left w:val="nil"/>
              <w:bottom w:val="single" w:sz="12" w:space="0" w:color="auto"/>
              <w:right w:val="single" w:sz="12" w:space="0" w:color="FFFFFF"/>
            </w:tcBorders>
            <w:shd w:val="clear" w:color="FFFFFF" w:fill="FFFFFF"/>
            <w:noWrap/>
            <w:vAlign w:val="center"/>
            <w:hideMark/>
          </w:tcPr>
          <w:p w14:paraId="30D0C393"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3,009.5 </w:t>
            </w:r>
          </w:p>
        </w:tc>
      </w:tr>
      <w:tr w:rsidR="00F1540A" w:rsidRPr="005734B8" w14:paraId="69F97AE5" w14:textId="77777777" w:rsidTr="000F48B1">
        <w:trPr>
          <w:trHeight w:val="270"/>
        </w:trPr>
        <w:tc>
          <w:tcPr>
            <w:tcW w:w="2893" w:type="dxa"/>
            <w:tcBorders>
              <w:top w:val="nil"/>
              <w:left w:val="nil"/>
              <w:bottom w:val="nil"/>
              <w:right w:val="nil"/>
            </w:tcBorders>
            <w:shd w:val="clear" w:color="auto" w:fill="auto"/>
            <w:noWrap/>
            <w:vAlign w:val="bottom"/>
            <w:hideMark/>
          </w:tcPr>
          <w:p w14:paraId="11E0388A" w14:textId="77777777" w:rsidR="00F1540A" w:rsidRPr="005734B8" w:rsidRDefault="00F1540A" w:rsidP="000F48B1">
            <w:pPr>
              <w:jc w:val="right"/>
              <w:rPr>
                <w:rFonts w:ascii="Calibri" w:hAnsi="Calibri" w:cs="Calibri"/>
                <w:b/>
                <w:sz w:val="18"/>
                <w:szCs w:val="18"/>
              </w:rPr>
            </w:pPr>
          </w:p>
        </w:tc>
        <w:tc>
          <w:tcPr>
            <w:tcW w:w="1190" w:type="dxa"/>
            <w:tcBorders>
              <w:top w:val="nil"/>
              <w:left w:val="nil"/>
              <w:bottom w:val="nil"/>
              <w:right w:val="nil"/>
            </w:tcBorders>
            <w:shd w:val="clear" w:color="auto" w:fill="auto"/>
            <w:noWrap/>
            <w:vAlign w:val="bottom"/>
            <w:hideMark/>
          </w:tcPr>
          <w:p w14:paraId="61E5C047" w14:textId="77777777" w:rsidR="00F1540A" w:rsidRPr="005734B8" w:rsidRDefault="00F1540A" w:rsidP="000F48B1">
            <w:pPr>
              <w:rPr>
                <w:rFonts w:ascii="Calibri" w:hAnsi="Calibri" w:cs="Calibri"/>
                <w:sz w:val="20"/>
              </w:rPr>
            </w:pPr>
          </w:p>
        </w:tc>
        <w:tc>
          <w:tcPr>
            <w:tcW w:w="1190" w:type="dxa"/>
            <w:tcBorders>
              <w:top w:val="nil"/>
              <w:left w:val="nil"/>
              <w:bottom w:val="nil"/>
              <w:right w:val="nil"/>
            </w:tcBorders>
            <w:shd w:val="clear" w:color="auto" w:fill="auto"/>
            <w:noWrap/>
            <w:vAlign w:val="bottom"/>
            <w:hideMark/>
          </w:tcPr>
          <w:p w14:paraId="460E3BD5" w14:textId="77777777" w:rsidR="00F1540A" w:rsidRPr="005734B8" w:rsidRDefault="00F1540A" w:rsidP="000F48B1">
            <w:pPr>
              <w:rPr>
                <w:rFonts w:ascii="Calibri" w:hAnsi="Calibri" w:cs="Calibri"/>
                <w:sz w:val="20"/>
              </w:rPr>
            </w:pPr>
          </w:p>
        </w:tc>
        <w:tc>
          <w:tcPr>
            <w:tcW w:w="1177" w:type="dxa"/>
            <w:tcBorders>
              <w:top w:val="nil"/>
              <w:left w:val="nil"/>
              <w:bottom w:val="nil"/>
              <w:right w:val="nil"/>
            </w:tcBorders>
            <w:shd w:val="clear" w:color="auto" w:fill="auto"/>
            <w:noWrap/>
            <w:vAlign w:val="bottom"/>
            <w:hideMark/>
          </w:tcPr>
          <w:p w14:paraId="2B1A44A1" w14:textId="77777777" w:rsidR="00F1540A" w:rsidRPr="005734B8" w:rsidRDefault="00F1540A" w:rsidP="000F48B1">
            <w:pPr>
              <w:rPr>
                <w:rFonts w:ascii="Calibri" w:hAnsi="Calibri" w:cs="Calibri"/>
                <w:sz w:val="20"/>
              </w:rPr>
            </w:pPr>
          </w:p>
        </w:tc>
        <w:tc>
          <w:tcPr>
            <w:tcW w:w="1175" w:type="dxa"/>
            <w:tcBorders>
              <w:top w:val="nil"/>
              <w:left w:val="nil"/>
              <w:bottom w:val="nil"/>
              <w:right w:val="nil"/>
            </w:tcBorders>
            <w:shd w:val="clear" w:color="auto" w:fill="auto"/>
            <w:noWrap/>
            <w:vAlign w:val="bottom"/>
            <w:hideMark/>
          </w:tcPr>
          <w:p w14:paraId="29C79DB2" w14:textId="77777777" w:rsidR="00F1540A" w:rsidRPr="005734B8" w:rsidRDefault="00F1540A" w:rsidP="000F48B1">
            <w:pPr>
              <w:rPr>
                <w:rFonts w:ascii="Calibri" w:hAnsi="Calibri" w:cs="Calibri"/>
                <w:sz w:val="20"/>
              </w:rPr>
            </w:pPr>
          </w:p>
        </w:tc>
      </w:tr>
      <w:tr w:rsidR="00F1540A" w:rsidRPr="005734B8" w14:paraId="6C85715D" w14:textId="77777777" w:rsidTr="000F48B1">
        <w:trPr>
          <w:trHeight w:val="720"/>
        </w:trPr>
        <w:tc>
          <w:tcPr>
            <w:tcW w:w="2893" w:type="dxa"/>
            <w:tcBorders>
              <w:top w:val="nil"/>
              <w:left w:val="single" w:sz="4" w:space="0" w:color="FFFFFF"/>
              <w:bottom w:val="nil"/>
              <w:right w:val="single" w:sz="4" w:space="0" w:color="FFFFFF"/>
            </w:tcBorders>
            <w:shd w:val="clear" w:color="000000" w:fill="AF272F"/>
            <w:hideMark/>
          </w:tcPr>
          <w:p w14:paraId="22EC9D1A" w14:textId="77777777" w:rsidR="00F1540A" w:rsidRPr="005734B8" w:rsidRDefault="00F1540A" w:rsidP="000F48B1">
            <w:pPr>
              <w:rPr>
                <w:rFonts w:ascii="Calibri" w:hAnsi="Calibri" w:cs="Calibri"/>
                <w:b/>
                <w:color w:val="FFFFFF"/>
                <w:sz w:val="18"/>
                <w:szCs w:val="18"/>
              </w:rPr>
            </w:pPr>
            <w:r w:rsidRPr="005734B8">
              <w:rPr>
                <w:rFonts w:ascii="Calibri" w:hAnsi="Calibri" w:cs="Calibri"/>
                <w:b/>
                <w:color w:val="FFFFFF"/>
                <w:sz w:val="18"/>
                <w:szCs w:val="18"/>
              </w:rPr>
              <w:t>2020</w:t>
            </w:r>
          </w:p>
        </w:tc>
        <w:tc>
          <w:tcPr>
            <w:tcW w:w="1190" w:type="dxa"/>
            <w:tcBorders>
              <w:top w:val="nil"/>
              <w:left w:val="nil"/>
              <w:bottom w:val="nil"/>
              <w:right w:val="single" w:sz="4" w:space="0" w:color="FFFFFF"/>
            </w:tcBorders>
            <w:shd w:val="clear" w:color="000000" w:fill="AF272F"/>
            <w:hideMark/>
          </w:tcPr>
          <w:p w14:paraId="6A53B639"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Less than 1 year</w:t>
            </w:r>
            <w:r w:rsidRPr="005734B8">
              <w:rPr>
                <w:rFonts w:ascii="Calibri" w:hAnsi="Calibri" w:cs="Calibri"/>
                <w:b/>
                <w:color w:val="FFFFFF"/>
                <w:sz w:val="18"/>
                <w:szCs w:val="18"/>
              </w:rPr>
              <w:br/>
              <w:t>($m)</w:t>
            </w:r>
          </w:p>
        </w:tc>
        <w:tc>
          <w:tcPr>
            <w:tcW w:w="1190" w:type="dxa"/>
            <w:tcBorders>
              <w:top w:val="nil"/>
              <w:left w:val="nil"/>
              <w:bottom w:val="nil"/>
              <w:right w:val="single" w:sz="4" w:space="0" w:color="FFFFFF"/>
            </w:tcBorders>
            <w:shd w:val="clear" w:color="000000" w:fill="AF272F"/>
            <w:hideMark/>
          </w:tcPr>
          <w:p w14:paraId="2882A95C"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Between 1-5 years</w:t>
            </w:r>
            <w:r w:rsidRPr="005734B8">
              <w:rPr>
                <w:rFonts w:ascii="Calibri" w:hAnsi="Calibri" w:cs="Calibri"/>
                <w:b/>
                <w:color w:val="FFFFFF"/>
                <w:sz w:val="18"/>
                <w:szCs w:val="18"/>
              </w:rPr>
              <w:br/>
              <w:t>($m)</w:t>
            </w:r>
          </w:p>
        </w:tc>
        <w:tc>
          <w:tcPr>
            <w:tcW w:w="1177" w:type="dxa"/>
            <w:tcBorders>
              <w:top w:val="nil"/>
              <w:left w:val="nil"/>
              <w:bottom w:val="single" w:sz="4" w:space="0" w:color="auto"/>
              <w:right w:val="single" w:sz="4" w:space="0" w:color="FFFFFF"/>
            </w:tcBorders>
            <w:shd w:val="clear" w:color="000000" w:fill="AF272F"/>
            <w:hideMark/>
          </w:tcPr>
          <w:p w14:paraId="37A8038B"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Over 5 years</w:t>
            </w:r>
            <w:r w:rsidRPr="005734B8">
              <w:rPr>
                <w:rFonts w:ascii="Calibri" w:hAnsi="Calibri" w:cs="Calibri"/>
                <w:b/>
                <w:color w:val="FFFFFF"/>
                <w:sz w:val="18"/>
                <w:szCs w:val="18"/>
              </w:rPr>
              <w:br/>
              <w:t>($m)</w:t>
            </w:r>
          </w:p>
        </w:tc>
        <w:tc>
          <w:tcPr>
            <w:tcW w:w="1175" w:type="dxa"/>
            <w:tcBorders>
              <w:top w:val="nil"/>
              <w:left w:val="nil"/>
              <w:bottom w:val="single" w:sz="4" w:space="0" w:color="auto"/>
              <w:right w:val="single" w:sz="4" w:space="0" w:color="FFFFFF"/>
            </w:tcBorders>
            <w:shd w:val="clear" w:color="000000" w:fill="AF272F"/>
            <w:hideMark/>
          </w:tcPr>
          <w:p w14:paraId="439CAC29"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Total</w:t>
            </w:r>
            <w:r w:rsidRPr="005734B8">
              <w:rPr>
                <w:rFonts w:ascii="Calibri" w:hAnsi="Calibri" w:cs="Calibri"/>
                <w:b/>
                <w:color w:val="FFFFFF"/>
                <w:sz w:val="18"/>
                <w:szCs w:val="18"/>
              </w:rPr>
              <w:br/>
              <w:t>($m)</w:t>
            </w:r>
          </w:p>
        </w:tc>
      </w:tr>
      <w:tr w:rsidR="00F1540A" w:rsidRPr="005734B8" w14:paraId="39BFC8D1" w14:textId="77777777" w:rsidTr="000F48B1">
        <w:trPr>
          <w:trHeight w:val="255"/>
        </w:trPr>
        <w:tc>
          <w:tcPr>
            <w:tcW w:w="2893" w:type="dxa"/>
            <w:tcBorders>
              <w:top w:val="single" w:sz="4" w:space="0" w:color="auto"/>
              <w:left w:val="nil"/>
              <w:bottom w:val="single" w:sz="4" w:space="0" w:color="auto"/>
              <w:right w:val="single" w:sz="4" w:space="0" w:color="FFFFFF"/>
            </w:tcBorders>
            <w:shd w:val="clear" w:color="FFFFFF" w:fill="FFFFFF"/>
            <w:vAlign w:val="center"/>
            <w:hideMark/>
          </w:tcPr>
          <w:p w14:paraId="565B0022"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PPP commitments</w:t>
            </w:r>
          </w:p>
        </w:tc>
        <w:tc>
          <w:tcPr>
            <w:tcW w:w="1190" w:type="dxa"/>
            <w:tcBorders>
              <w:top w:val="single" w:sz="4" w:space="0" w:color="auto"/>
              <w:left w:val="nil"/>
              <w:bottom w:val="single" w:sz="4" w:space="0" w:color="auto"/>
              <w:right w:val="single" w:sz="4" w:space="0" w:color="FFFFFF"/>
            </w:tcBorders>
            <w:shd w:val="clear" w:color="FFFFFF" w:fill="FFFFFF"/>
            <w:noWrap/>
            <w:vAlign w:val="center"/>
            <w:hideMark/>
          </w:tcPr>
          <w:p w14:paraId="7C21023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17.0 </w:t>
            </w:r>
          </w:p>
        </w:tc>
        <w:tc>
          <w:tcPr>
            <w:tcW w:w="1190" w:type="dxa"/>
            <w:tcBorders>
              <w:top w:val="single" w:sz="4" w:space="0" w:color="auto"/>
              <w:left w:val="nil"/>
              <w:bottom w:val="single" w:sz="4" w:space="0" w:color="auto"/>
              <w:right w:val="single" w:sz="4" w:space="0" w:color="FFFFFF"/>
            </w:tcBorders>
            <w:shd w:val="clear" w:color="FFFFFF" w:fill="FFFFFF"/>
            <w:noWrap/>
            <w:vAlign w:val="center"/>
            <w:hideMark/>
          </w:tcPr>
          <w:p w14:paraId="195F37C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71.6 </w:t>
            </w:r>
          </w:p>
        </w:tc>
        <w:tc>
          <w:tcPr>
            <w:tcW w:w="1177" w:type="dxa"/>
            <w:tcBorders>
              <w:top w:val="nil"/>
              <w:left w:val="nil"/>
              <w:bottom w:val="single" w:sz="4" w:space="0" w:color="auto"/>
              <w:right w:val="single" w:sz="4" w:space="0" w:color="FFFFFF"/>
            </w:tcBorders>
            <w:shd w:val="clear" w:color="FFFFFF" w:fill="FFFFFF"/>
            <w:noWrap/>
            <w:vAlign w:val="center"/>
            <w:hideMark/>
          </w:tcPr>
          <w:p w14:paraId="74EC66F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397.3 </w:t>
            </w:r>
          </w:p>
        </w:tc>
        <w:tc>
          <w:tcPr>
            <w:tcW w:w="1175" w:type="dxa"/>
            <w:tcBorders>
              <w:top w:val="nil"/>
              <w:left w:val="nil"/>
              <w:bottom w:val="single" w:sz="4" w:space="0" w:color="auto"/>
              <w:right w:val="single" w:sz="4" w:space="0" w:color="FFFFFF"/>
            </w:tcBorders>
            <w:shd w:val="clear" w:color="FFFFFF" w:fill="FFFFFF"/>
            <w:noWrap/>
            <w:vAlign w:val="center"/>
            <w:hideMark/>
          </w:tcPr>
          <w:p w14:paraId="2C3649F3" w14:textId="6D22A91A"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485.9 </w:t>
            </w:r>
          </w:p>
        </w:tc>
      </w:tr>
      <w:tr w:rsidR="00F1540A" w:rsidRPr="005734B8" w14:paraId="1B390B8F" w14:textId="77777777" w:rsidTr="000F48B1">
        <w:trPr>
          <w:trHeight w:val="450"/>
        </w:trPr>
        <w:tc>
          <w:tcPr>
            <w:tcW w:w="2893" w:type="dxa"/>
            <w:tcBorders>
              <w:top w:val="nil"/>
              <w:left w:val="nil"/>
              <w:bottom w:val="single" w:sz="4" w:space="0" w:color="auto"/>
              <w:right w:val="nil"/>
            </w:tcBorders>
            <w:shd w:val="clear" w:color="FFFFFF" w:fill="FFFFFF"/>
            <w:vAlign w:val="center"/>
            <w:hideMark/>
          </w:tcPr>
          <w:p w14:paraId="0D87D617"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 xml:space="preserve">Capital expenditure commitments payable </w:t>
            </w:r>
          </w:p>
        </w:tc>
        <w:tc>
          <w:tcPr>
            <w:tcW w:w="1190" w:type="dxa"/>
            <w:tcBorders>
              <w:top w:val="nil"/>
              <w:left w:val="single" w:sz="4" w:space="0" w:color="FFFFFF"/>
              <w:bottom w:val="single" w:sz="4" w:space="0" w:color="auto"/>
              <w:right w:val="single" w:sz="4" w:space="0" w:color="FFFFFF"/>
            </w:tcBorders>
            <w:shd w:val="clear" w:color="FFFFFF" w:fill="FFFFFF"/>
            <w:noWrap/>
            <w:vAlign w:val="center"/>
            <w:hideMark/>
          </w:tcPr>
          <w:p w14:paraId="2F2CF3D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622.1 </w:t>
            </w:r>
          </w:p>
        </w:tc>
        <w:tc>
          <w:tcPr>
            <w:tcW w:w="1190" w:type="dxa"/>
            <w:tcBorders>
              <w:top w:val="nil"/>
              <w:left w:val="nil"/>
              <w:bottom w:val="single" w:sz="4" w:space="0" w:color="auto"/>
              <w:right w:val="single" w:sz="4" w:space="0" w:color="FFFFFF"/>
            </w:tcBorders>
            <w:shd w:val="clear" w:color="FFFFFF" w:fill="FFFFFF"/>
            <w:noWrap/>
            <w:vAlign w:val="center"/>
            <w:hideMark/>
          </w:tcPr>
          <w:p w14:paraId="6A94585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66.3 </w:t>
            </w:r>
          </w:p>
        </w:tc>
        <w:tc>
          <w:tcPr>
            <w:tcW w:w="1177" w:type="dxa"/>
            <w:tcBorders>
              <w:top w:val="nil"/>
              <w:left w:val="nil"/>
              <w:bottom w:val="single" w:sz="4" w:space="0" w:color="auto"/>
              <w:right w:val="single" w:sz="4" w:space="0" w:color="FFFFFF"/>
            </w:tcBorders>
            <w:shd w:val="clear" w:color="FFFFFF" w:fill="FFFFFF"/>
            <w:noWrap/>
            <w:vAlign w:val="center"/>
            <w:hideMark/>
          </w:tcPr>
          <w:p w14:paraId="580F34B6" w14:textId="176A8209" w:rsidR="00F1540A" w:rsidRPr="005734B8" w:rsidRDefault="00141228" w:rsidP="000F48B1">
            <w:pPr>
              <w:jc w:val="right"/>
              <w:rPr>
                <w:rFonts w:ascii="Calibri" w:hAnsi="Calibri" w:cs="Calibri"/>
                <w:sz w:val="18"/>
                <w:szCs w:val="18"/>
              </w:rPr>
            </w:pPr>
            <w:r w:rsidRPr="005734B8">
              <w:rPr>
                <w:rFonts w:ascii="Calibri" w:hAnsi="Calibri" w:cs="Calibri"/>
                <w:sz w:val="18"/>
                <w:szCs w:val="18"/>
              </w:rPr>
              <w:softHyphen/>
            </w:r>
            <w:r w:rsidR="002653E2" w:rsidRPr="005734B8">
              <w:rPr>
                <w:rFonts w:ascii="Calibri" w:hAnsi="Calibri" w:cs="Calibri"/>
                <w:sz w:val="18"/>
                <w:szCs w:val="18"/>
              </w:rPr>
              <w:t>–</w:t>
            </w:r>
            <w:r w:rsidR="00F1540A" w:rsidRPr="005734B8">
              <w:rPr>
                <w:rFonts w:ascii="Calibri" w:hAnsi="Calibri" w:cs="Calibri"/>
                <w:sz w:val="18"/>
                <w:szCs w:val="18"/>
              </w:rPr>
              <w:t xml:space="preserve"> </w:t>
            </w:r>
          </w:p>
        </w:tc>
        <w:tc>
          <w:tcPr>
            <w:tcW w:w="1175" w:type="dxa"/>
            <w:tcBorders>
              <w:top w:val="nil"/>
              <w:left w:val="nil"/>
              <w:bottom w:val="single" w:sz="4" w:space="0" w:color="auto"/>
              <w:right w:val="single" w:sz="4" w:space="0" w:color="FFFFFF"/>
            </w:tcBorders>
            <w:shd w:val="clear" w:color="FFFFFF" w:fill="FFFFFF"/>
            <w:noWrap/>
            <w:vAlign w:val="center"/>
            <w:hideMark/>
          </w:tcPr>
          <w:p w14:paraId="5A662227"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688.4 </w:t>
            </w:r>
          </w:p>
        </w:tc>
      </w:tr>
      <w:tr w:rsidR="00F1540A" w:rsidRPr="005734B8" w14:paraId="2400A3B8" w14:textId="77777777" w:rsidTr="000F48B1">
        <w:trPr>
          <w:trHeight w:val="270"/>
        </w:trPr>
        <w:tc>
          <w:tcPr>
            <w:tcW w:w="2893" w:type="dxa"/>
            <w:tcBorders>
              <w:top w:val="nil"/>
              <w:left w:val="nil"/>
              <w:bottom w:val="single" w:sz="4" w:space="0" w:color="auto"/>
              <w:right w:val="nil"/>
            </w:tcBorders>
            <w:shd w:val="clear" w:color="FFFFFF" w:fill="FFFFFF"/>
            <w:vAlign w:val="center"/>
            <w:hideMark/>
          </w:tcPr>
          <w:p w14:paraId="767D3B2C"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Other commitments payable</w:t>
            </w:r>
          </w:p>
        </w:tc>
        <w:tc>
          <w:tcPr>
            <w:tcW w:w="1190" w:type="dxa"/>
            <w:tcBorders>
              <w:top w:val="nil"/>
              <w:left w:val="single" w:sz="4" w:space="0" w:color="FFFFFF"/>
              <w:bottom w:val="single" w:sz="4" w:space="0" w:color="auto"/>
              <w:right w:val="single" w:sz="4" w:space="0" w:color="FFFFFF"/>
            </w:tcBorders>
            <w:shd w:val="clear" w:color="FFFFFF" w:fill="FFFFFF"/>
            <w:noWrap/>
            <w:vAlign w:val="center"/>
            <w:hideMark/>
          </w:tcPr>
          <w:p w14:paraId="3D53F91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1,105.8 </w:t>
            </w:r>
          </w:p>
        </w:tc>
        <w:tc>
          <w:tcPr>
            <w:tcW w:w="1190" w:type="dxa"/>
            <w:tcBorders>
              <w:top w:val="nil"/>
              <w:left w:val="nil"/>
              <w:bottom w:val="single" w:sz="4" w:space="0" w:color="auto"/>
              <w:right w:val="single" w:sz="4" w:space="0" w:color="FFFFFF"/>
            </w:tcBorders>
            <w:shd w:val="clear" w:color="FFFFFF" w:fill="FFFFFF"/>
            <w:noWrap/>
            <w:vAlign w:val="center"/>
            <w:hideMark/>
          </w:tcPr>
          <w:p w14:paraId="5988267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454.5 </w:t>
            </w:r>
          </w:p>
        </w:tc>
        <w:tc>
          <w:tcPr>
            <w:tcW w:w="1177" w:type="dxa"/>
            <w:tcBorders>
              <w:top w:val="nil"/>
              <w:left w:val="nil"/>
              <w:bottom w:val="single" w:sz="4" w:space="0" w:color="auto"/>
              <w:right w:val="single" w:sz="4" w:space="0" w:color="FFFFFF"/>
            </w:tcBorders>
            <w:shd w:val="clear" w:color="FFFFFF" w:fill="FFFFFF"/>
            <w:noWrap/>
            <w:vAlign w:val="center"/>
            <w:hideMark/>
          </w:tcPr>
          <w:p w14:paraId="5739BDF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149.5 </w:t>
            </w:r>
          </w:p>
        </w:tc>
        <w:tc>
          <w:tcPr>
            <w:tcW w:w="1175" w:type="dxa"/>
            <w:tcBorders>
              <w:top w:val="nil"/>
              <w:left w:val="nil"/>
              <w:bottom w:val="single" w:sz="4" w:space="0" w:color="auto"/>
              <w:right w:val="single" w:sz="4" w:space="0" w:color="FFFFFF"/>
            </w:tcBorders>
            <w:shd w:val="clear" w:color="FFFFFF" w:fill="FFFFFF"/>
            <w:noWrap/>
            <w:vAlign w:val="center"/>
            <w:hideMark/>
          </w:tcPr>
          <w:p w14:paraId="5D3A634F"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1,709.8 </w:t>
            </w:r>
          </w:p>
        </w:tc>
      </w:tr>
      <w:tr w:rsidR="00F1540A" w:rsidRPr="005734B8" w14:paraId="35933CD9" w14:textId="77777777" w:rsidTr="000F48B1">
        <w:trPr>
          <w:trHeight w:val="285"/>
        </w:trPr>
        <w:tc>
          <w:tcPr>
            <w:tcW w:w="2893"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7959166"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commitments (inclusive of GST)</w:t>
            </w:r>
          </w:p>
        </w:tc>
        <w:tc>
          <w:tcPr>
            <w:tcW w:w="1190" w:type="dxa"/>
            <w:tcBorders>
              <w:top w:val="single" w:sz="12" w:space="0" w:color="auto"/>
              <w:left w:val="nil"/>
              <w:bottom w:val="single" w:sz="12" w:space="0" w:color="auto"/>
              <w:right w:val="single" w:sz="12" w:space="0" w:color="FFFFFF"/>
            </w:tcBorders>
            <w:shd w:val="clear" w:color="FFFFFF" w:fill="FFFFFF"/>
            <w:noWrap/>
            <w:vAlign w:val="center"/>
            <w:hideMark/>
          </w:tcPr>
          <w:p w14:paraId="4FF7E1CD"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1,744.9 </w:t>
            </w:r>
          </w:p>
        </w:tc>
        <w:tc>
          <w:tcPr>
            <w:tcW w:w="1190" w:type="dxa"/>
            <w:tcBorders>
              <w:top w:val="single" w:sz="12" w:space="0" w:color="auto"/>
              <w:left w:val="nil"/>
              <w:bottom w:val="single" w:sz="12" w:space="0" w:color="auto"/>
              <w:right w:val="single" w:sz="12" w:space="0" w:color="FFFFFF"/>
            </w:tcBorders>
            <w:shd w:val="clear" w:color="FFFFFF" w:fill="FFFFFF"/>
            <w:noWrap/>
            <w:vAlign w:val="center"/>
            <w:hideMark/>
          </w:tcPr>
          <w:p w14:paraId="739E56F4"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592.4</w:t>
            </w:r>
          </w:p>
        </w:tc>
        <w:tc>
          <w:tcPr>
            <w:tcW w:w="1177" w:type="dxa"/>
            <w:tcBorders>
              <w:top w:val="single" w:sz="12" w:space="0" w:color="auto"/>
              <w:left w:val="nil"/>
              <w:bottom w:val="single" w:sz="12" w:space="0" w:color="auto"/>
              <w:right w:val="single" w:sz="12" w:space="0" w:color="FFFFFF"/>
            </w:tcBorders>
            <w:shd w:val="clear" w:color="FFFFFF" w:fill="FFFFFF"/>
            <w:noWrap/>
            <w:vAlign w:val="center"/>
            <w:hideMark/>
          </w:tcPr>
          <w:p w14:paraId="1C7AB48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546.8 </w:t>
            </w:r>
          </w:p>
        </w:tc>
        <w:tc>
          <w:tcPr>
            <w:tcW w:w="1175" w:type="dxa"/>
            <w:tcBorders>
              <w:top w:val="single" w:sz="12" w:space="0" w:color="auto"/>
              <w:left w:val="nil"/>
              <w:bottom w:val="single" w:sz="12" w:space="0" w:color="auto"/>
              <w:right w:val="single" w:sz="12" w:space="0" w:color="FFFFFF"/>
            </w:tcBorders>
            <w:shd w:val="clear" w:color="FFFFFF" w:fill="FFFFFF"/>
            <w:noWrap/>
            <w:vAlign w:val="center"/>
            <w:hideMark/>
          </w:tcPr>
          <w:p w14:paraId="2A6D138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2,884.1 </w:t>
            </w:r>
          </w:p>
        </w:tc>
      </w:tr>
      <w:tr w:rsidR="00F1540A" w:rsidRPr="005734B8" w14:paraId="1F86073C" w14:textId="77777777" w:rsidTr="000F48B1">
        <w:trPr>
          <w:trHeight w:val="285"/>
        </w:trPr>
        <w:tc>
          <w:tcPr>
            <w:tcW w:w="2893" w:type="dxa"/>
            <w:tcBorders>
              <w:top w:val="nil"/>
              <w:left w:val="nil"/>
              <w:bottom w:val="single" w:sz="4" w:space="0" w:color="auto"/>
              <w:right w:val="nil"/>
            </w:tcBorders>
            <w:shd w:val="clear" w:color="FFFFFF" w:fill="FFFFFF"/>
            <w:vAlign w:val="center"/>
            <w:hideMark/>
          </w:tcPr>
          <w:p w14:paraId="6C920EA5"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Less GST recoverable</w:t>
            </w:r>
          </w:p>
        </w:tc>
        <w:tc>
          <w:tcPr>
            <w:tcW w:w="1190" w:type="dxa"/>
            <w:tcBorders>
              <w:top w:val="nil"/>
              <w:left w:val="nil"/>
              <w:bottom w:val="nil"/>
              <w:right w:val="nil"/>
            </w:tcBorders>
            <w:shd w:val="clear" w:color="auto" w:fill="auto"/>
            <w:noWrap/>
            <w:vAlign w:val="bottom"/>
            <w:hideMark/>
          </w:tcPr>
          <w:p w14:paraId="3A48CA86" w14:textId="77777777" w:rsidR="00F1540A" w:rsidRPr="005734B8" w:rsidRDefault="00F1540A" w:rsidP="000F48B1">
            <w:pPr>
              <w:jc w:val="right"/>
              <w:rPr>
                <w:rFonts w:ascii="Calibri" w:hAnsi="Calibri" w:cs="Calibri"/>
                <w:sz w:val="20"/>
              </w:rPr>
            </w:pPr>
            <w:r w:rsidRPr="005734B8">
              <w:rPr>
                <w:rFonts w:ascii="Calibri" w:hAnsi="Calibri" w:cs="Calibri"/>
                <w:sz w:val="20"/>
              </w:rPr>
              <w:t xml:space="preserve">152.1 </w:t>
            </w:r>
          </w:p>
        </w:tc>
        <w:tc>
          <w:tcPr>
            <w:tcW w:w="1190" w:type="dxa"/>
            <w:tcBorders>
              <w:top w:val="nil"/>
              <w:left w:val="nil"/>
              <w:bottom w:val="nil"/>
              <w:right w:val="nil"/>
            </w:tcBorders>
            <w:shd w:val="clear" w:color="auto" w:fill="auto"/>
            <w:noWrap/>
            <w:vAlign w:val="bottom"/>
            <w:hideMark/>
          </w:tcPr>
          <w:p w14:paraId="158E56D1" w14:textId="77777777" w:rsidR="00F1540A" w:rsidRPr="005734B8" w:rsidRDefault="00F1540A" w:rsidP="000F48B1">
            <w:pPr>
              <w:jc w:val="right"/>
              <w:rPr>
                <w:rFonts w:ascii="Calibri" w:hAnsi="Calibri" w:cs="Calibri"/>
                <w:sz w:val="20"/>
              </w:rPr>
            </w:pPr>
            <w:r w:rsidRPr="005734B8">
              <w:rPr>
                <w:rFonts w:ascii="Calibri" w:hAnsi="Calibri" w:cs="Calibri"/>
                <w:sz w:val="20"/>
              </w:rPr>
              <w:t>49.1</w:t>
            </w:r>
          </w:p>
        </w:tc>
        <w:tc>
          <w:tcPr>
            <w:tcW w:w="1177" w:type="dxa"/>
            <w:tcBorders>
              <w:top w:val="nil"/>
              <w:left w:val="nil"/>
              <w:bottom w:val="nil"/>
              <w:right w:val="nil"/>
            </w:tcBorders>
            <w:shd w:val="clear" w:color="auto" w:fill="auto"/>
            <w:noWrap/>
            <w:vAlign w:val="bottom"/>
            <w:hideMark/>
          </w:tcPr>
          <w:p w14:paraId="10A54521" w14:textId="77777777" w:rsidR="00F1540A" w:rsidRPr="005734B8" w:rsidRDefault="00F1540A" w:rsidP="000F48B1">
            <w:pPr>
              <w:jc w:val="right"/>
              <w:rPr>
                <w:rFonts w:ascii="Calibri" w:hAnsi="Calibri" w:cs="Calibri"/>
                <w:sz w:val="20"/>
              </w:rPr>
            </w:pPr>
            <w:r w:rsidRPr="005734B8">
              <w:rPr>
                <w:rFonts w:ascii="Calibri" w:hAnsi="Calibri" w:cs="Calibri"/>
                <w:sz w:val="20"/>
              </w:rPr>
              <w:t>38.9</w:t>
            </w:r>
          </w:p>
        </w:tc>
        <w:tc>
          <w:tcPr>
            <w:tcW w:w="1175" w:type="dxa"/>
            <w:tcBorders>
              <w:top w:val="nil"/>
              <w:left w:val="single" w:sz="4" w:space="0" w:color="FFFFFF"/>
              <w:bottom w:val="single" w:sz="4" w:space="0" w:color="auto"/>
              <w:right w:val="single" w:sz="4" w:space="0" w:color="FFFFFF"/>
            </w:tcBorders>
            <w:shd w:val="clear" w:color="FFFFFF" w:fill="FFFFFF"/>
            <w:noWrap/>
            <w:vAlign w:val="center"/>
            <w:hideMark/>
          </w:tcPr>
          <w:p w14:paraId="2F59B51E" w14:textId="65BE420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240.1 </w:t>
            </w:r>
          </w:p>
        </w:tc>
      </w:tr>
      <w:tr w:rsidR="00F1540A" w:rsidRPr="005734B8" w14:paraId="759955F4" w14:textId="77777777" w:rsidTr="000F48B1">
        <w:trPr>
          <w:trHeight w:val="285"/>
        </w:trPr>
        <w:tc>
          <w:tcPr>
            <w:tcW w:w="2893"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3D03946"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commitments (exclusive of GST)</w:t>
            </w:r>
          </w:p>
        </w:tc>
        <w:tc>
          <w:tcPr>
            <w:tcW w:w="1190" w:type="dxa"/>
            <w:tcBorders>
              <w:top w:val="single" w:sz="12" w:space="0" w:color="auto"/>
              <w:left w:val="nil"/>
              <w:bottom w:val="single" w:sz="12" w:space="0" w:color="auto"/>
              <w:right w:val="single" w:sz="12" w:space="0" w:color="FFFFFF"/>
            </w:tcBorders>
            <w:shd w:val="clear" w:color="FFFFFF" w:fill="FFFFFF"/>
            <w:noWrap/>
            <w:vAlign w:val="center"/>
            <w:hideMark/>
          </w:tcPr>
          <w:p w14:paraId="16322047"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1,592.8 </w:t>
            </w:r>
          </w:p>
        </w:tc>
        <w:tc>
          <w:tcPr>
            <w:tcW w:w="1190" w:type="dxa"/>
            <w:tcBorders>
              <w:top w:val="single" w:sz="12" w:space="0" w:color="auto"/>
              <w:left w:val="nil"/>
              <w:bottom w:val="single" w:sz="12" w:space="0" w:color="auto"/>
              <w:right w:val="single" w:sz="12" w:space="0" w:color="FFFFFF"/>
            </w:tcBorders>
            <w:shd w:val="clear" w:color="FFFFFF" w:fill="FFFFFF"/>
            <w:noWrap/>
            <w:vAlign w:val="center"/>
            <w:hideMark/>
          </w:tcPr>
          <w:p w14:paraId="1C0D025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543.3 </w:t>
            </w:r>
          </w:p>
        </w:tc>
        <w:tc>
          <w:tcPr>
            <w:tcW w:w="1177" w:type="dxa"/>
            <w:tcBorders>
              <w:top w:val="single" w:sz="12" w:space="0" w:color="auto"/>
              <w:left w:val="nil"/>
              <w:bottom w:val="single" w:sz="12" w:space="0" w:color="auto"/>
              <w:right w:val="single" w:sz="12" w:space="0" w:color="FFFFFF"/>
            </w:tcBorders>
            <w:shd w:val="clear" w:color="FFFFFF" w:fill="FFFFFF"/>
            <w:noWrap/>
            <w:vAlign w:val="center"/>
            <w:hideMark/>
          </w:tcPr>
          <w:p w14:paraId="3A20509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507.9 </w:t>
            </w:r>
          </w:p>
        </w:tc>
        <w:tc>
          <w:tcPr>
            <w:tcW w:w="1175" w:type="dxa"/>
            <w:tcBorders>
              <w:top w:val="single" w:sz="12" w:space="0" w:color="auto"/>
              <w:left w:val="nil"/>
              <w:bottom w:val="single" w:sz="12" w:space="0" w:color="auto"/>
              <w:right w:val="single" w:sz="12" w:space="0" w:color="FFFFFF"/>
            </w:tcBorders>
            <w:shd w:val="clear" w:color="FFFFFF" w:fill="FFFFFF"/>
            <w:noWrap/>
            <w:vAlign w:val="center"/>
            <w:hideMark/>
          </w:tcPr>
          <w:p w14:paraId="04C0DADF"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2,644.0 </w:t>
            </w:r>
          </w:p>
        </w:tc>
      </w:tr>
    </w:tbl>
    <w:p w14:paraId="168373A5" w14:textId="77777777" w:rsidR="00F1540A" w:rsidRPr="005734B8" w:rsidRDefault="00F1540A" w:rsidP="00F1540A">
      <w:pPr>
        <w:pStyle w:val="BodyText"/>
        <w:rPr>
          <w:rFonts w:ascii="Calibri" w:hAnsi="Calibri" w:cs="Calibri"/>
        </w:rPr>
      </w:pPr>
    </w:p>
    <w:p w14:paraId="4BF83A1C" w14:textId="77777777" w:rsidR="00F1540A" w:rsidRPr="005734B8" w:rsidRDefault="00F1540A" w:rsidP="00F1540A">
      <w:pPr>
        <w:rPr>
          <w:rFonts w:ascii="Calibri" w:eastAsia="Verdana" w:hAnsi="Calibri" w:cs="Calibri"/>
          <w:sz w:val="18"/>
          <w:szCs w:val="18"/>
          <w:lang w:val="en-US"/>
        </w:rPr>
      </w:pPr>
      <w:r w:rsidRPr="005734B8">
        <w:rPr>
          <w:rFonts w:ascii="Calibri" w:hAnsi="Calibri" w:cs="Calibri"/>
        </w:rPr>
        <w:br w:type="page"/>
      </w:r>
    </w:p>
    <w:p w14:paraId="0CDA34B8" w14:textId="67D83D1E" w:rsidR="00F1540A" w:rsidRPr="005734B8" w:rsidRDefault="00F1540A" w:rsidP="00F1540A">
      <w:pPr>
        <w:spacing w:before="240" w:after="120" w:line="240" w:lineRule="atLeast"/>
        <w:outlineLvl w:val="2"/>
        <w:rPr>
          <w:rFonts w:ascii="Calibri" w:hAnsi="Calibri" w:cs="Calibri"/>
          <w:b/>
          <w:color w:val="53565A"/>
          <w:szCs w:val="18"/>
          <w:lang w:val="en-US"/>
        </w:rPr>
      </w:pPr>
      <w:bookmarkStart w:id="1659" w:name="_Toc11336420"/>
      <w:bookmarkStart w:id="1660" w:name="_Toc14965646"/>
      <w:r w:rsidRPr="005734B8">
        <w:rPr>
          <w:rFonts w:ascii="Calibri" w:hAnsi="Calibri" w:cs="Calibri"/>
          <w:b/>
          <w:color w:val="53565A"/>
          <w:szCs w:val="18"/>
          <w:lang w:val="en-US"/>
        </w:rPr>
        <w:lastRenderedPageBreak/>
        <w:t>7.5.2</w:t>
      </w:r>
      <w:r w:rsidRPr="005734B8">
        <w:rPr>
          <w:rFonts w:ascii="Calibri" w:hAnsi="Calibri" w:cs="Calibri"/>
          <w:b/>
          <w:color w:val="53565A"/>
          <w:szCs w:val="18"/>
          <w:lang w:val="en-US"/>
        </w:rPr>
        <w:tab/>
      </w:r>
      <w:r w:rsidR="00B40FB0" w:rsidRPr="005734B8">
        <w:rPr>
          <w:rFonts w:ascii="Calibri" w:hAnsi="Calibri" w:cs="Calibri"/>
          <w:b/>
          <w:color w:val="53565A"/>
          <w:szCs w:val="18"/>
          <w:lang w:val="en-US"/>
        </w:rPr>
        <w:t>PPP</w:t>
      </w:r>
      <w:r w:rsidRPr="005734B8">
        <w:rPr>
          <w:rFonts w:ascii="Calibri" w:hAnsi="Calibri" w:cs="Calibri"/>
          <w:b/>
          <w:color w:val="53565A"/>
          <w:szCs w:val="18"/>
          <w:lang w:val="en-US"/>
        </w:rPr>
        <w:t xml:space="preserve"> commitments</w:t>
      </w:r>
      <w:bookmarkEnd w:id="1659"/>
      <w:bookmarkEnd w:id="1660"/>
    </w:p>
    <w:p w14:paraId="2A252394" w14:textId="77777777" w:rsidR="00F1540A" w:rsidRPr="005734B8" w:rsidRDefault="00F1540A" w:rsidP="00F1540A">
      <w:pPr>
        <w:rPr>
          <w:rFonts w:ascii="Calibri" w:eastAsia="Arial" w:hAnsi="Calibri" w:cs="Calibri"/>
        </w:rPr>
      </w:pPr>
      <w:r w:rsidRPr="005734B8">
        <w:rPr>
          <w:rFonts w:ascii="Calibri" w:eastAsia="Arial" w:hAnsi="Calibri" w:cs="Calibri"/>
        </w:rPr>
        <w:t>The Department sometimes enters into arrangements with private sector participants, to design and construct or upgrade an asset used to provide public services. These arrangements are typically complex and usually include the provision of operational and maintenance services for a specified period of time. These arrangements are often referred to as either PPPs or service concession arrangements, where the PPPs meet the definition of a service concession asset under AASB 1059</w:t>
      </w:r>
      <w:r w:rsidRPr="005734B8">
        <w:rPr>
          <w:rFonts w:ascii="Calibri" w:eastAsia="Arial" w:hAnsi="Calibri" w:cs="Calibri"/>
          <w:i/>
          <w:iCs/>
        </w:rPr>
        <w:t xml:space="preserve"> Service Concession Arrangements: Grantors</w:t>
      </w:r>
      <w:r w:rsidRPr="005734B8">
        <w:rPr>
          <w:rFonts w:ascii="Calibri" w:eastAsia="Arial" w:hAnsi="Calibri" w:cs="Calibri"/>
        </w:rPr>
        <w:t>.</w:t>
      </w:r>
    </w:p>
    <w:p w14:paraId="6DD2A919" w14:textId="77777777" w:rsidR="00F1540A" w:rsidRPr="005734B8" w:rsidRDefault="00F1540A" w:rsidP="00F1540A">
      <w:pPr>
        <w:rPr>
          <w:rFonts w:ascii="Calibri" w:eastAsia="Arial" w:hAnsi="Calibri" w:cs="Calibri"/>
        </w:rPr>
      </w:pPr>
    </w:p>
    <w:p w14:paraId="45AE1719" w14:textId="0E3FA895" w:rsidR="00F1540A" w:rsidRPr="005734B8" w:rsidRDefault="00F1540A" w:rsidP="00F1540A">
      <w:pPr>
        <w:rPr>
          <w:rFonts w:ascii="Calibri" w:hAnsi="Calibri" w:cs="Calibri"/>
          <w:szCs w:val="22"/>
        </w:rPr>
      </w:pPr>
      <w:r w:rsidRPr="005734B8">
        <w:rPr>
          <w:rFonts w:ascii="Calibri" w:eastAsia="Arial" w:hAnsi="Calibri" w:cs="Calibri"/>
        </w:rPr>
        <w:t>The Department’s PPPs are not a service concession arrangement as defined in AASB</w:t>
      </w:r>
      <w:r w:rsidR="001B06C9" w:rsidRPr="005734B8">
        <w:rPr>
          <w:rFonts w:ascii="Calibri" w:eastAsia="Arial" w:hAnsi="Calibri" w:cs="Calibri"/>
        </w:rPr>
        <w:t> </w:t>
      </w:r>
      <w:r w:rsidRPr="005734B8">
        <w:rPr>
          <w:rFonts w:ascii="Calibri" w:eastAsia="Arial" w:hAnsi="Calibri" w:cs="Calibri"/>
        </w:rPr>
        <w:t>1059. AASB 1059 applies to an arrangement where an operator provides public services using a service concession asset. As the Department is the provider of the public education service (not the operator), AASB 1059 does not apply.</w:t>
      </w:r>
      <w:r w:rsidR="007029C7" w:rsidRPr="005734B8">
        <w:rPr>
          <w:rFonts w:ascii="Calibri" w:eastAsia="Arial" w:hAnsi="Calibri" w:cs="Calibri"/>
        </w:rPr>
        <w:t xml:space="preserve"> </w:t>
      </w:r>
      <w:r w:rsidRPr="005734B8">
        <w:rPr>
          <w:rFonts w:ascii="Calibri" w:eastAsia="Arial" w:hAnsi="Calibri" w:cs="Calibri"/>
        </w:rPr>
        <w:t>The Department’s PPPs involve paying the operator over the period of the arrangement,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 The former component is accounted for as a lease payment. The remaining components are accounted for as commitments for operating costs, which are expensed in the comprehensive operating statement as they are incurred.</w:t>
      </w:r>
    </w:p>
    <w:p w14:paraId="42B8ED07" w14:textId="2DD04288" w:rsidR="00F1540A" w:rsidRPr="005734B8" w:rsidRDefault="00F1540A" w:rsidP="00F1540A">
      <w:pPr>
        <w:spacing w:before="240" w:after="120" w:line="240" w:lineRule="atLeast"/>
        <w:outlineLvl w:val="2"/>
        <w:rPr>
          <w:rFonts w:ascii="Calibri" w:hAnsi="Calibri" w:cs="Calibri"/>
          <w:color w:val="53565A"/>
          <w:szCs w:val="18"/>
          <w:lang w:val="en-US"/>
        </w:rPr>
      </w:pPr>
      <w:bookmarkStart w:id="1661" w:name="_Toc11336421"/>
      <w:bookmarkStart w:id="1662" w:name="_Toc14965647"/>
      <w:r w:rsidRPr="005734B8">
        <w:rPr>
          <w:rFonts w:ascii="Calibri" w:hAnsi="Calibri" w:cs="Calibri"/>
          <w:color w:val="53565A"/>
          <w:szCs w:val="18"/>
          <w:lang w:val="en-US"/>
        </w:rPr>
        <w:t xml:space="preserve">Commissioned </w:t>
      </w:r>
      <w:bookmarkEnd w:id="1661"/>
      <w:bookmarkEnd w:id="1662"/>
      <w:r w:rsidR="00B40FB0" w:rsidRPr="005734B8">
        <w:rPr>
          <w:rFonts w:ascii="Calibri" w:hAnsi="Calibri" w:cs="Calibri"/>
          <w:color w:val="53565A"/>
          <w:szCs w:val="18"/>
          <w:lang w:val="en-US"/>
        </w:rPr>
        <w:t>PPPs</w:t>
      </w:r>
    </w:p>
    <w:p w14:paraId="4B6A024E" w14:textId="77777777" w:rsidR="00F1540A" w:rsidRPr="005734B8" w:rsidRDefault="00F1540A" w:rsidP="00F1540A">
      <w:pPr>
        <w:rPr>
          <w:rFonts w:ascii="Calibri" w:eastAsia="Arial" w:hAnsi="Calibri" w:cs="Calibri"/>
          <w:i/>
        </w:rPr>
      </w:pPr>
      <w:r w:rsidRPr="005734B8">
        <w:rPr>
          <w:rFonts w:ascii="Calibri" w:eastAsia="Arial" w:hAnsi="Calibri" w:cs="Calibri"/>
          <w:i/>
        </w:rPr>
        <w:t>Partnership Victoria in schools</w:t>
      </w:r>
    </w:p>
    <w:p w14:paraId="3CE73F3B" w14:textId="0C87F48B" w:rsidR="00F1540A" w:rsidRPr="005734B8" w:rsidRDefault="00F1540A" w:rsidP="00F1540A">
      <w:pPr>
        <w:rPr>
          <w:rFonts w:ascii="Calibri" w:eastAsia="Arial" w:hAnsi="Calibri" w:cs="Calibri"/>
        </w:rPr>
      </w:pPr>
      <w:r w:rsidRPr="005734B8">
        <w:rPr>
          <w:rFonts w:ascii="Calibri" w:eastAsia="Arial" w:hAnsi="Calibri" w:cs="Calibri"/>
        </w:rPr>
        <w:t>The Department entered into a 25-year PPP arrangement through the Partnerships Victoria Project (P</w:t>
      </w:r>
      <w:r w:rsidR="00B15F9A" w:rsidRPr="005734B8">
        <w:rPr>
          <w:rFonts w:ascii="Calibri" w:eastAsia="Arial" w:hAnsi="Calibri" w:cs="Calibri"/>
        </w:rPr>
        <w:t>v</w:t>
      </w:r>
      <w:r w:rsidRPr="005734B8">
        <w:rPr>
          <w:rFonts w:ascii="Calibri" w:eastAsia="Arial" w:hAnsi="Calibri" w:cs="Calibri"/>
        </w:rPr>
        <w:t>iS). The portions of the payments that relate to the right to use the assets are accounted for as leases and are disclosed in Note 7.2.1.</w:t>
      </w:r>
    </w:p>
    <w:p w14:paraId="0E718C8F" w14:textId="77777777" w:rsidR="00F1540A" w:rsidRPr="005734B8" w:rsidRDefault="00F1540A" w:rsidP="00F1540A">
      <w:pPr>
        <w:rPr>
          <w:rFonts w:ascii="Calibri" w:eastAsia="Arial" w:hAnsi="Calibri" w:cs="Calibri"/>
        </w:rPr>
      </w:pPr>
    </w:p>
    <w:p w14:paraId="352A006C" w14:textId="6823CB68" w:rsidR="00F1540A" w:rsidRPr="005734B8" w:rsidRDefault="00F1540A" w:rsidP="00F1540A">
      <w:pPr>
        <w:rPr>
          <w:rFonts w:ascii="Calibri" w:eastAsia="Arial" w:hAnsi="Calibri" w:cs="Calibri"/>
        </w:rPr>
      </w:pPr>
      <w:r w:rsidRPr="005734B8">
        <w:rPr>
          <w:rFonts w:ascii="Calibri" w:eastAsia="Arial" w:hAnsi="Calibri" w:cs="Calibri"/>
        </w:rPr>
        <w:t>The Department pays a base charge for delivery of contracted services (subject to the performance criteria set out in the agreement). The contract is amended to provide for additional services, such as an extension to the facilities, which are at the Department’s discretion. The nominal amounts for the operating and maintenance commitment below represent the charges payable under the agreement at the end of the reporting period.</w:t>
      </w:r>
    </w:p>
    <w:p w14:paraId="275F0B19" w14:textId="77777777" w:rsidR="00F1540A" w:rsidRPr="005734B8" w:rsidRDefault="00F1540A" w:rsidP="00F1540A">
      <w:pPr>
        <w:rPr>
          <w:rFonts w:ascii="Calibri" w:eastAsia="Arial" w:hAnsi="Calibri" w:cs="Calibri"/>
        </w:rPr>
      </w:pPr>
    </w:p>
    <w:p w14:paraId="04398C16" w14:textId="77777777" w:rsidR="00F1540A" w:rsidRPr="005734B8" w:rsidRDefault="00F1540A" w:rsidP="00F1540A">
      <w:pPr>
        <w:rPr>
          <w:rFonts w:ascii="Calibri" w:eastAsia="Arial" w:hAnsi="Calibri" w:cs="Calibri"/>
          <w:i/>
        </w:rPr>
      </w:pPr>
      <w:r w:rsidRPr="005734B8">
        <w:rPr>
          <w:rFonts w:ascii="Calibri" w:eastAsia="Arial" w:hAnsi="Calibri" w:cs="Calibri"/>
          <w:i/>
        </w:rPr>
        <w:t>New Schools PPP</w:t>
      </w:r>
    </w:p>
    <w:p w14:paraId="2EBFDED7" w14:textId="7C8B33A9" w:rsidR="00F1540A" w:rsidRPr="005734B8" w:rsidRDefault="00F1540A" w:rsidP="00F1540A">
      <w:pPr>
        <w:rPr>
          <w:rFonts w:ascii="Calibri" w:eastAsia="Arial" w:hAnsi="Calibri" w:cs="Calibri"/>
        </w:rPr>
      </w:pPr>
      <w:r w:rsidRPr="005734B8">
        <w:rPr>
          <w:rFonts w:ascii="Calibri" w:eastAsia="Arial" w:hAnsi="Calibri" w:cs="Calibri"/>
        </w:rPr>
        <w:t xml:space="preserve">In October 2015, the State of Victoria entered into a 25-year agreement with Learning Communities Victoria under the new schools PPP project. </w:t>
      </w:r>
      <w:r w:rsidR="008420B5" w:rsidRPr="005734B8">
        <w:rPr>
          <w:rFonts w:ascii="Calibri" w:eastAsia="Arial" w:hAnsi="Calibri" w:cs="Calibri"/>
        </w:rPr>
        <w:t>Fifteen</w:t>
      </w:r>
      <w:r w:rsidRPr="005734B8">
        <w:rPr>
          <w:rFonts w:ascii="Calibri" w:eastAsia="Arial" w:hAnsi="Calibri" w:cs="Calibri"/>
        </w:rPr>
        <w:t xml:space="preserve"> schools were delivered and opened over the 2017 and 2018 school years. Under the PPP model Learning Communities Victoria is responsible for the finance, design, construction and maintenance of the new schools over a 25-year period. The Department retains school ownership and responsibility for delivering educational services. </w:t>
      </w:r>
    </w:p>
    <w:p w14:paraId="11D4B673" w14:textId="0C368F1D" w:rsidR="00B748F9" w:rsidRPr="005734B8" w:rsidRDefault="00B748F9">
      <w:pPr>
        <w:rPr>
          <w:rFonts w:ascii="Calibri" w:hAnsi="Calibri" w:cs="Calibri"/>
          <w:b/>
          <w:sz w:val="28"/>
          <w:szCs w:val="18"/>
          <w:lang w:eastAsia="en-AU"/>
        </w:rPr>
      </w:pPr>
      <w:r w:rsidRPr="005734B8">
        <w:rPr>
          <w:rFonts w:ascii="Calibri" w:hAnsi="Calibri" w:cs="Calibri"/>
          <w:b/>
          <w:sz w:val="28"/>
          <w:szCs w:val="18"/>
          <w:lang w:eastAsia="en-AU"/>
        </w:rPr>
        <w:br w:type="page"/>
      </w:r>
    </w:p>
    <w:p w14:paraId="241D030F" w14:textId="77777777" w:rsidR="00F1540A" w:rsidRPr="005734B8" w:rsidRDefault="00F1540A" w:rsidP="00F1540A">
      <w:pPr>
        <w:rPr>
          <w:rFonts w:ascii="Calibri" w:hAnsi="Calibri" w:cs="Calibri"/>
          <w:b/>
          <w:sz w:val="28"/>
          <w:szCs w:val="18"/>
          <w:lang w:eastAsia="en-AU"/>
        </w:rPr>
      </w:pPr>
    </w:p>
    <w:p w14:paraId="2868132D" w14:textId="77777777" w:rsidR="00F1540A" w:rsidRPr="005734B8" w:rsidRDefault="00F1540A" w:rsidP="00F1540A">
      <w:pPr>
        <w:rPr>
          <w:rFonts w:ascii="Calibri" w:eastAsia="Arial" w:hAnsi="Calibri" w:cs="Calibri"/>
        </w:rPr>
      </w:pPr>
      <w:r w:rsidRPr="005734B8">
        <w:rPr>
          <w:rFonts w:ascii="Calibri" w:eastAsia="Arial" w:hAnsi="Calibri" w:cs="Calibri"/>
        </w:rPr>
        <w:t>The total commitments for PPPs are as follows:</w:t>
      </w:r>
    </w:p>
    <w:tbl>
      <w:tblPr>
        <w:tblW w:w="7625" w:type="dxa"/>
        <w:tblInd w:w="75" w:type="dxa"/>
        <w:tblLayout w:type="fixed"/>
        <w:tblLook w:val="04A0" w:firstRow="1" w:lastRow="0" w:firstColumn="1" w:lastColumn="0" w:noHBand="0" w:noVBand="1"/>
      </w:tblPr>
      <w:tblGrid>
        <w:gridCol w:w="3172"/>
        <w:gridCol w:w="1076"/>
        <w:gridCol w:w="1160"/>
        <w:gridCol w:w="1077"/>
        <w:gridCol w:w="1140"/>
      </w:tblGrid>
      <w:tr w:rsidR="00F1540A" w:rsidRPr="005734B8" w14:paraId="66DEBDEA" w14:textId="77777777" w:rsidTr="000F48B1">
        <w:trPr>
          <w:trHeight w:val="263"/>
        </w:trPr>
        <w:tc>
          <w:tcPr>
            <w:tcW w:w="2993" w:type="dxa"/>
            <w:tcBorders>
              <w:top w:val="nil"/>
              <w:left w:val="single" w:sz="4" w:space="0" w:color="FFFFFF"/>
              <w:bottom w:val="single" w:sz="4" w:space="0" w:color="FFFFFF"/>
              <w:right w:val="single" w:sz="4" w:space="0" w:color="FFFFFF"/>
            </w:tcBorders>
            <w:shd w:val="clear" w:color="000000" w:fill="AF272F"/>
            <w:hideMark/>
          </w:tcPr>
          <w:p w14:paraId="3BB45E12" w14:textId="77777777" w:rsidR="00F1540A" w:rsidRPr="005734B8" w:rsidRDefault="00F1540A" w:rsidP="000F48B1">
            <w:pPr>
              <w:rPr>
                <w:rFonts w:ascii="Calibri" w:hAnsi="Calibri" w:cs="Calibri"/>
                <w:b/>
                <w:bCs/>
                <w:color w:val="FFFFFF"/>
                <w:sz w:val="18"/>
                <w:szCs w:val="18"/>
              </w:rPr>
            </w:pPr>
            <w:bookmarkStart w:id="1663" w:name="Note_TCQTABLE1" w:colFirst="0" w:colLast="0"/>
            <w:r w:rsidRPr="005734B8">
              <w:rPr>
                <w:rFonts w:ascii="Calibri" w:hAnsi="Calibri" w:cs="Calibri"/>
                <w:b/>
                <w:bCs/>
                <w:color w:val="FFFFFF"/>
                <w:sz w:val="18"/>
                <w:szCs w:val="18"/>
              </w:rPr>
              <w:t> </w:t>
            </w:r>
          </w:p>
        </w:tc>
        <w:tc>
          <w:tcPr>
            <w:tcW w:w="2110" w:type="dxa"/>
            <w:gridSpan w:val="2"/>
            <w:tcBorders>
              <w:top w:val="nil"/>
              <w:left w:val="nil"/>
              <w:bottom w:val="single" w:sz="4" w:space="0" w:color="FFFFFF"/>
              <w:right w:val="single" w:sz="4" w:space="0" w:color="FFFFFF"/>
            </w:tcBorders>
            <w:shd w:val="clear" w:color="000000" w:fill="AF272F"/>
            <w:vAlign w:val="center"/>
            <w:hideMark/>
          </w:tcPr>
          <w:p w14:paraId="11899F46"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Other commitments</w:t>
            </w:r>
          </w:p>
        </w:tc>
        <w:tc>
          <w:tcPr>
            <w:tcW w:w="2092" w:type="dxa"/>
            <w:gridSpan w:val="2"/>
            <w:tcBorders>
              <w:top w:val="nil"/>
              <w:left w:val="nil"/>
              <w:bottom w:val="single" w:sz="4" w:space="0" w:color="FFFFFF"/>
              <w:right w:val="single" w:sz="4" w:space="0" w:color="FFFFFF"/>
            </w:tcBorders>
            <w:shd w:val="clear" w:color="000000" w:fill="AF272F"/>
            <w:vAlign w:val="center"/>
            <w:hideMark/>
          </w:tcPr>
          <w:p w14:paraId="67B005E3" w14:textId="4EF802D9"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Other commitments</w:t>
            </w:r>
          </w:p>
        </w:tc>
      </w:tr>
      <w:bookmarkEnd w:id="1663"/>
      <w:tr w:rsidR="00F1540A" w:rsidRPr="005734B8" w14:paraId="225BA4BA" w14:textId="77777777" w:rsidTr="000F48B1">
        <w:trPr>
          <w:trHeight w:val="720"/>
        </w:trPr>
        <w:tc>
          <w:tcPr>
            <w:tcW w:w="2993" w:type="dxa"/>
            <w:tcBorders>
              <w:top w:val="nil"/>
              <w:left w:val="nil"/>
              <w:bottom w:val="single" w:sz="4" w:space="0" w:color="auto"/>
              <w:right w:val="single" w:sz="4" w:space="0" w:color="FFFFFF"/>
            </w:tcBorders>
            <w:shd w:val="clear" w:color="000000" w:fill="AF272F"/>
            <w:hideMark/>
          </w:tcPr>
          <w:p w14:paraId="0A289BCB"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 </w:t>
            </w:r>
          </w:p>
        </w:tc>
        <w:tc>
          <w:tcPr>
            <w:tcW w:w="1015" w:type="dxa"/>
            <w:tcBorders>
              <w:top w:val="nil"/>
              <w:left w:val="nil"/>
              <w:bottom w:val="nil"/>
              <w:right w:val="single" w:sz="4" w:space="0" w:color="FFFFFF"/>
            </w:tcBorders>
            <w:shd w:val="clear" w:color="000000" w:fill="AF272F"/>
            <w:hideMark/>
          </w:tcPr>
          <w:p w14:paraId="52ED6FCB"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Present value 2021 ($m)</w:t>
            </w:r>
          </w:p>
        </w:tc>
        <w:tc>
          <w:tcPr>
            <w:tcW w:w="1095" w:type="dxa"/>
            <w:tcBorders>
              <w:top w:val="nil"/>
              <w:left w:val="nil"/>
              <w:bottom w:val="nil"/>
              <w:right w:val="single" w:sz="4" w:space="0" w:color="FFFFFF"/>
            </w:tcBorders>
            <w:shd w:val="clear" w:color="000000" w:fill="AF272F"/>
            <w:hideMark/>
          </w:tcPr>
          <w:p w14:paraId="79E6AFA9"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Nominal value 2021 ($m)</w:t>
            </w:r>
          </w:p>
        </w:tc>
        <w:tc>
          <w:tcPr>
            <w:tcW w:w="1016" w:type="dxa"/>
            <w:tcBorders>
              <w:top w:val="nil"/>
              <w:left w:val="nil"/>
              <w:bottom w:val="nil"/>
              <w:right w:val="single" w:sz="4" w:space="0" w:color="FFFFFF"/>
            </w:tcBorders>
            <w:shd w:val="clear" w:color="000000" w:fill="AF272F"/>
            <w:hideMark/>
          </w:tcPr>
          <w:p w14:paraId="21EDDC55"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Present value 2020 ($m)</w:t>
            </w:r>
          </w:p>
        </w:tc>
        <w:tc>
          <w:tcPr>
            <w:tcW w:w="1076" w:type="dxa"/>
            <w:tcBorders>
              <w:top w:val="nil"/>
              <w:left w:val="nil"/>
              <w:bottom w:val="nil"/>
              <w:right w:val="single" w:sz="4" w:space="0" w:color="FFFFFF"/>
            </w:tcBorders>
            <w:shd w:val="clear" w:color="000000" w:fill="AF272F"/>
            <w:hideMark/>
          </w:tcPr>
          <w:p w14:paraId="3D2A7F1F"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Nominal value 2020 ($m)</w:t>
            </w:r>
          </w:p>
        </w:tc>
      </w:tr>
      <w:tr w:rsidR="00F1540A" w:rsidRPr="005734B8" w14:paraId="2C19AC15" w14:textId="77777777" w:rsidTr="000F48B1">
        <w:trPr>
          <w:trHeight w:val="255"/>
        </w:trPr>
        <w:tc>
          <w:tcPr>
            <w:tcW w:w="2993" w:type="dxa"/>
            <w:tcBorders>
              <w:top w:val="nil"/>
              <w:left w:val="single" w:sz="4" w:space="0" w:color="FFFFFF"/>
              <w:bottom w:val="single" w:sz="4" w:space="0" w:color="auto"/>
              <w:right w:val="single" w:sz="4" w:space="0" w:color="FFFFFF"/>
            </w:tcBorders>
            <w:shd w:val="clear" w:color="000000" w:fill="D9D9D9"/>
            <w:vAlign w:val="center"/>
            <w:hideMark/>
          </w:tcPr>
          <w:p w14:paraId="30CB2C98"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Commissioned PPPs</w:t>
            </w:r>
          </w:p>
        </w:tc>
        <w:tc>
          <w:tcPr>
            <w:tcW w:w="1015" w:type="dxa"/>
            <w:tcBorders>
              <w:top w:val="single" w:sz="4" w:space="0" w:color="auto"/>
              <w:left w:val="nil"/>
              <w:bottom w:val="single" w:sz="4" w:space="0" w:color="auto"/>
              <w:right w:val="single" w:sz="4" w:space="0" w:color="FFFFFF"/>
            </w:tcBorders>
            <w:shd w:val="clear" w:color="000000" w:fill="D9D9D9"/>
            <w:vAlign w:val="center"/>
            <w:hideMark/>
          </w:tcPr>
          <w:p w14:paraId="7D7A7F75"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095" w:type="dxa"/>
            <w:tcBorders>
              <w:top w:val="single" w:sz="4" w:space="0" w:color="auto"/>
              <w:left w:val="nil"/>
              <w:bottom w:val="single" w:sz="4" w:space="0" w:color="auto"/>
              <w:right w:val="single" w:sz="4" w:space="0" w:color="FFFFFF"/>
            </w:tcBorders>
            <w:shd w:val="clear" w:color="000000" w:fill="D9D9D9"/>
            <w:vAlign w:val="center"/>
            <w:hideMark/>
          </w:tcPr>
          <w:p w14:paraId="5F78AD34"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016" w:type="dxa"/>
            <w:tcBorders>
              <w:top w:val="single" w:sz="4" w:space="0" w:color="auto"/>
              <w:left w:val="nil"/>
              <w:bottom w:val="single" w:sz="4" w:space="0" w:color="auto"/>
              <w:right w:val="single" w:sz="4" w:space="0" w:color="FFFFFF"/>
            </w:tcBorders>
            <w:shd w:val="clear" w:color="000000" w:fill="D9D9D9"/>
            <w:vAlign w:val="center"/>
            <w:hideMark/>
          </w:tcPr>
          <w:p w14:paraId="33998DEA"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076" w:type="dxa"/>
            <w:tcBorders>
              <w:top w:val="single" w:sz="4" w:space="0" w:color="auto"/>
              <w:left w:val="nil"/>
              <w:bottom w:val="single" w:sz="4" w:space="0" w:color="auto"/>
              <w:right w:val="single" w:sz="4" w:space="0" w:color="FFFFFF"/>
            </w:tcBorders>
            <w:shd w:val="clear" w:color="000000" w:fill="D9D9D9"/>
            <w:vAlign w:val="center"/>
            <w:hideMark/>
          </w:tcPr>
          <w:p w14:paraId="24E624AC"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5059D390" w14:textId="77777777" w:rsidTr="000F48B1">
        <w:trPr>
          <w:trHeight w:val="480"/>
        </w:trPr>
        <w:tc>
          <w:tcPr>
            <w:tcW w:w="2993" w:type="dxa"/>
            <w:tcBorders>
              <w:top w:val="nil"/>
              <w:left w:val="nil"/>
              <w:bottom w:val="single" w:sz="4" w:space="0" w:color="auto"/>
              <w:right w:val="nil"/>
            </w:tcBorders>
            <w:shd w:val="clear" w:color="FFFFFF" w:fill="FFFFFF"/>
            <w:vAlign w:val="center"/>
            <w:hideMark/>
          </w:tcPr>
          <w:p w14:paraId="6FEB740C" w14:textId="075562AF" w:rsidR="00F1540A" w:rsidRPr="005734B8" w:rsidRDefault="00F1540A" w:rsidP="000F48B1">
            <w:pPr>
              <w:rPr>
                <w:rFonts w:ascii="Calibri" w:hAnsi="Calibri" w:cs="Calibri"/>
                <w:sz w:val="18"/>
                <w:szCs w:val="18"/>
              </w:rPr>
            </w:pPr>
            <w:r w:rsidRPr="005734B8">
              <w:rPr>
                <w:rFonts w:ascii="Calibri" w:hAnsi="Calibri" w:cs="Calibri"/>
                <w:sz w:val="18"/>
                <w:szCs w:val="18"/>
              </w:rPr>
              <w:t>Partnerships Victoria in schools—Operations and maintenance</w:t>
            </w:r>
          </w:p>
        </w:tc>
        <w:tc>
          <w:tcPr>
            <w:tcW w:w="1015" w:type="dxa"/>
            <w:tcBorders>
              <w:top w:val="nil"/>
              <w:left w:val="single" w:sz="4" w:space="0" w:color="FFFFFF"/>
              <w:bottom w:val="single" w:sz="4" w:space="0" w:color="auto"/>
              <w:right w:val="single" w:sz="4" w:space="0" w:color="FFFFFF"/>
            </w:tcBorders>
            <w:shd w:val="clear" w:color="000000" w:fill="D9D9D9"/>
            <w:noWrap/>
            <w:vAlign w:val="center"/>
            <w:hideMark/>
          </w:tcPr>
          <w:p w14:paraId="36CFE91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139.0 </w:t>
            </w:r>
          </w:p>
        </w:tc>
        <w:tc>
          <w:tcPr>
            <w:tcW w:w="1095" w:type="dxa"/>
            <w:tcBorders>
              <w:top w:val="nil"/>
              <w:left w:val="nil"/>
              <w:bottom w:val="single" w:sz="4" w:space="0" w:color="auto"/>
              <w:right w:val="single" w:sz="4" w:space="0" w:color="FFFFFF"/>
            </w:tcBorders>
            <w:shd w:val="clear" w:color="000000" w:fill="D9D9D9"/>
            <w:noWrap/>
            <w:vAlign w:val="center"/>
            <w:hideMark/>
          </w:tcPr>
          <w:p w14:paraId="612D22F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243.1 </w:t>
            </w:r>
          </w:p>
        </w:tc>
        <w:tc>
          <w:tcPr>
            <w:tcW w:w="1016" w:type="dxa"/>
            <w:tcBorders>
              <w:top w:val="nil"/>
              <w:left w:val="nil"/>
              <w:bottom w:val="single" w:sz="4" w:space="0" w:color="auto"/>
              <w:right w:val="single" w:sz="4" w:space="0" w:color="FFFFFF"/>
            </w:tcBorders>
            <w:shd w:val="clear" w:color="FFFFFF" w:fill="FFFFFF"/>
            <w:noWrap/>
            <w:vAlign w:val="center"/>
            <w:hideMark/>
          </w:tcPr>
          <w:p w14:paraId="1BA440B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119.4 </w:t>
            </w:r>
          </w:p>
        </w:tc>
        <w:tc>
          <w:tcPr>
            <w:tcW w:w="1076" w:type="dxa"/>
            <w:tcBorders>
              <w:top w:val="nil"/>
              <w:left w:val="nil"/>
              <w:bottom w:val="single" w:sz="4" w:space="0" w:color="auto"/>
              <w:right w:val="single" w:sz="4" w:space="0" w:color="FFFFFF"/>
            </w:tcBorders>
            <w:shd w:val="clear" w:color="FFFFFF" w:fill="FFFFFF"/>
            <w:noWrap/>
            <w:vAlign w:val="center"/>
            <w:hideMark/>
          </w:tcPr>
          <w:p w14:paraId="07548408"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216.7 </w:t>
            </w:r>
          </w:p>
        </w:tc>
      </w:tr>
      <w:tr w:rsidR="00F1540A" w:rsidRPr="005734B8" w14:paraId="5292ADC2" w14:textId="77777777" w:rsidTr="000F48B1">
        <w:trPr>
          <w:trHeight w:val="270"/>
        </w:trPr>
        <w:tc>
          <w:tcPr>
            <w:tcW w:w="2993" w:type="dxa"/>
            <w:tcBorders>
              <w:top w:val="nil"/>
              <w:left w:val="nil"/>
              <w:bottom w:val="single" w:sz="4" w:space="0" w:color="auto"/>
              <w:right w:val="nil"/>
            </w:tcBorders>
            <w:shd w:val="clear" w:color="FFFFFF" w:fill="FFFFFF"/>
            <w:vAlign w:val="center"/>
            <w:hideMark/>
          </w:tcPr>
          <w:p w14:paraId="21161F0B"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New schools PPP</w:t>
            </w:r>
          </w:p>
        </w:tc>
        <w:tc>
          <w:tcPr>
            <w:tcW w:w="1015" w:type="dxa"/>
            <w:tcBorders>
              <w:top w:val="nil"/>
              <w:left w:val="single" w:sz="4" w:space="0" w:color="FFFFFF"/>
              <w:bottom w:val="single" w:sz="4" w:space="0" w:color="auto"/>
              <w:right w:val="single" w:sz="4" w:space="0" w:color="FFFFFF"/>
            </w:tcBorders>
            <w:shd w:val="clear" w:color="000000" w:fill="D9D9D9"/>
            <w:noWrap/>
            <w:vAlign w:val="center"/>
            <w:hideMark/>
          </w:tcPr>
          <w:p w14:paraId="68B1B9C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211.5 </w:t>
            </w:r>
          </w:p>
        </w:tc>
        <w:tc>
          <w:tcPr>
            <w:tcW w:w="1095" w:type="dxa"/>
            <w:tcBorders>
              <w:top w:val="nil"/>
              <w:left w:val="nil"/>
              <w:bottom w:val="single" w:sz="4" w:space="0" w:color="auto"/>
              <w:right w:val="single" w:sz="4" w:space="0" w:color="FFFFFF"/>
            </w:tcBorders>
            <w:shd w:val="clear" w:color="000000" w:fill="D9D9D9"/>
            <w:noWrap/>
            <w:vAlign w:val="center"/>
            <w:hideMark/>
          </w:tcPr>
          <w:p w14:paraId="05308D1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373.3 </w:t>
            </w:r>
          </w:p>
        </w:tc>
        <w:tc>
          <w:tcPr>
            <w:tcW w:w="1016" w:type="dxa"/>
            <w:tcBorders>
              <w:top w:val="nil"/>
              <w:left w:val="nil"/>
              <w:bottom w:val="single" w:sz="4" w:space="0" w:color="auto"/>
              <w:right w:val="single" w:sz="4" w:space="0" w:color="FFFFFF"/>
            </w:tcBorders>
            <w:shd w:val="clear" w:color="FFFFFF" w:fill="FFFFFF"/>
            <w:noWrap/>
            <w:vAlign w:val="center"/>
            <w:hideMark/>
          </w:tcPr>
          <w:p w14:paraId="32A0782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141.6 </w:t>
            </w:r>
          </w:p>
        </w:tc>
        <w:tc>
          <w:tcPr>
            <w:tcW w:w="1076" w:type="dxa"/>
            <w:tcBorders>
              <w:top w:val="nil"/>
              <w:left w:val="nil"/>
              <w:bottom w:val="single" w:sz="4" w:space="0" w:color="auto"/>
              <w:right w:val="single" w:sz="4" w:space="0" w:color="FFFFFF"/>
            </w:tcBorders>
            <w:shd w:val="clear" w:color="FFFFFF" w:fill="FFFFFF"/>
            <w:noWrap/>
            <w:vAlign w:val="center"/>
            <w:hideMark/>
          </w:tcPr>
          <w:p w14:paraId="512D513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269.2 </w:t>
            </w:r>
          </w:p>
        </w:tc>
      </w:tr>
      <w:tr w:rsidR="00F1540A" w:rsidRPr="005734B8" w14:paraId="2B485BDF" w14:textId="77777777" w:rsidTr="000F48B1">
        <w:trPr>
          <w:trHeight w:val="285"/>
        </w:trPr>
        <w:tc>
          <w:tcPr>
            <w:tcW w:w="2993"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020DD71"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commitments for PPPs</w:t>
            </w:r>
          </w:p>
        </w:tc>
        <w:tc>
          <w:tcPr>
            <w:tcW w:w="1015"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67DC1C74"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350.5 </w:t>
            </w:r>
          </w:p>
        </w:tc>
        <w:tc>
          <w:tcPr>
            <w:tcW w:w="1095" w:type="dxa"/>
            <w:tcBorders>
              <w:top w:val="single" w:sz="12" w:space="0" w:color="auto"/>
              <w:left w:val="nil"/>
              <w:bottom w:val="single" w:sz="12" w:space="0" w:color="auto"/>
              <w:right w:val="single" w:sz="4" w:space="0" w:color="FFFFFF"/>
            </w:tcBorders>
            <w:shd w:val="clear" w:color="000000" w:fill="D9D9D9"/>
            <w:noWrap/>
            <w:vAlign w:val="center"/>
            <w:hideMark/>
          </w:tcPr>
          <w:p w14:paraId="023C7745"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616.4 </w:t>
            </w:r>
          </w:p>
        </w:tc>
        <w:tc>
          <w:tcPr>
            <w:tcW w:w="1016" w:type="dxa"/>
            <w:tcBorders>
              <w:top w:val="single" w:sz="12" w:space="0" w:color="auto"/>
              <w:left w:val="nil"/>
              <w:bottom w:val="single" w:sz="12" w:space="0" w:color="auto"/>
              <w:right w:val="single" w:sz="12" w:space="0" w:color="FFFFFF"/>
            </w:tcBorders>
            <w:shd w:val="clear" w:color="FFFFFF" w:fill="FFFFFF"/>
            <w:noWrap/>
            <w:vAlign w:val="center"/>
            <w:hideMark/>
          </w:tcPr>
          <w:p w14:paraId="64B83F7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261.0 </w:t>
            </w:r>
          </w:p>
        </w:tc>
        <w:tc>
          <w:tcPr>
            <w:tcW w:w="1076" w:type="dxa"/>
            <w:tcBorders>
              <w:top w:val="single" w:sz="12" w:space="0" w:color="auto"/>
              <w:left w:val="nil"/>
              <w:bottom w:val="single" w:sz="12" w:space="0" w:color="auto"/>
              <w:right w:val="single" w:sz="12" w:space="0" w:color="FFFFFF"/>
            </w:tcBorders>
            <w:shd w:val="clear" w:color="FFFFFF" w:fill="FFFFFF"/>
            <w:noWrap/>
            <w:vAlign w:val="center"/>
            <w:hideMark/>
          </w:tcPr>
          <w:p w14:paraId="0B67E1A6"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485.9 </w:t>
            </w:r>
          </w:p>
        </w:tc>
      </w:tr>
    </w:tbl>
    <w:p w14:paraId="232CD9BA" w14:textId="38E46A56" w:rsidR="00F1540A" w:rsidRPr="005734B8" w:rsidRDefault="00F1540A" w:rsidP="00F1540A">
      <w:pPr>
        <w:spacing w:before="240" w:after="120" w:line="240" w:lineRule="atLeast"/>
        <w:outlineLvl w:val="2"/>
        <w:rPr>
          <w:rFonts w:ascii="Calibri" w:hAnsi="Calibri" w:cs="Calibri"/>
          <w:b/>
          <w:color w:val="53565A"/>
          <w:szCs w:val="18"/>
          <w:lang w:val="en-US"/>
        </w:rPr>
      </w:pPr>
      <w:bookmarkStart w:id="1664" w:name="_Toc11336423"/>
      <w:bookmarkStart w:id="1665" w:name="_Toc14965649"/>
      <w:r w:rsidRPr="005734B8">
        <w:rPr>
          <w:rFonts w:ascii="Calibri" w:hAnsi="Calibri" w:cs="Calibri"/>
          <w:b/>
          <w:color w:val="53565A"/>
          <w:szCs w:val="18"/>
          <w:lang w:val="en-US"/>
        </w:rPr>
        <w:t>7.5.3</w:t>
      </w:r>
      <w:r w:rsidRPr="005734B8">
        <w:rPr>
          <w:rFonts w:ascii="Calibri" w:hAnsi="Calibri" w:cs="Calibri"/>
          <w:b/>
          <w:color w:val="53565A"/>
          <w:szCs w:val="18"/>
          <w:lang w:val="en-US"/>
        </w:rPr>
        <w:tab/>
        <w:t xml:space="preserve">Commitments other than </w:t>
      </w:r>
      <w:bookmarkEnd w:id="1664"/>
      <w:bookmarkEnd w:id="1665"/>
      <w:r w:rsidR="00B40FB0" w:rsidRPr="005734B8">
        <w:rPr>
          <w:rFonts w:ascii="Calibri" w:hAnsi="Calibri" w:cs="Calibri"/>
          <w:b/>
          <w:color w:val="53565A"/>
          <w:szCs w:val="18"/>
          <w:lang w:val="en-US"/>
        </w:rPr>
        <w:t>PPPs</w:t>
      </w:r>
    </w:p>
    <w:tbl>
      <w:tblPr>
        <w:tblW w:w="7625" w:type="dxa"/>
        <w:tblInd w:w="80" w:type="dxa"/>
        <w:tblLayout w:type="fixed"/>
        <w:tblLook w:val="04A0" w:firstRow="1" w:lastRow="0" w:firstColumn="1" w:lastColumn="0" w:noHBand="0" w:noVBand="1"/>
      </w:tblPr>
      <w:tblGrid>
        <w:gridCol w:w="5009"/>
        <w:gridCol w:w="1332"/>
        <w:gridCol w:w="1284"/>
      </w:tblGrid>
      <w:tr w:rsidR="00F1540A" w:rsidRPr="005734B8" w14:paraId="276C82A3" w14:textId="77777777" w:rsidTr="000F48B1">
        <w:trPr>
          <w:trHeight w:val="960"/>
        </w:trPr>
        <w:tc>
          <w:tcPr>
            <w:tcW w:w="4196" w:type="dxa"/>
            <w:tcBorders>
              <w:top w:val="nil"/>
              <w:left w:val="nil"/>
              <w:bottom w:val="single" w:sz="4" w:space="0" w:color="auto"/>
              <w:right w:val="single" w:sz="4" w:space="0" w:color="FFFFFF"/>
            </w:tcBorders>
            <w:shd w:val="clear" w:color="000000" w:fill="AF272F"/>
            <w:hideMark/>
          </w:tcPr>
          <w:p w14:paraId="0AA96D85" w14:textId="77777777" w:rsidR="00F1540A" w:rsidRPr="005734B8" w:rsidRDefault="00F1540A" w:rsidP="000F48B1">
            <w:pPr>
              <w:jc w:val="right"/>
              <w:rPr>
                <w:rFonts w:ascii="Calibri" w:hAnsi="Calibri" w:cs="Calibri"/>
                <w:b/>
                <w:color w:val="FFFFFF"/>
                <w:sz w:val="18"/>
                <w:szCs w:val="18"/>
              </w:rPr>
            </w:pPr>
            <w:bookmarkStart w:id="1666" w:name="Note_CPPTABLE1" w:colFirst="0" w:colLast="0"/>
            <w:r w:rsidRPr="005734B8">
              <w:rPr>
                <w:rFonts w:ascii="Calibri" w:hAnsi="Calibri" w:cs="Calibri"/>
                <w:b/>
                <w:color w:val="FFFFFF"/>
                <w:sz w:val="18"/>
                <w:szCs w:val="18"/>
              </w:rPr>
              <w:t> </w:t>
            </w:r>
          </w:p>
        </w:tc>
        <w:tc>
          <w:tcPr>
            <w:tcW w:w="1116" w:type="dxa"/>
            <w:tcBorders>
              <w:top w:val="nil"/>
              <w:left w:val="nil"/>
              <w:bottom w:val="single" w:sz="4" w:space="0" w:color="FFFFFF"/>
              <w:right w:val="single" w:sz="4" w:space="0" w:color="FFFFFF"/>
            </w:tcBorders>
            <w:shd w:val="clear" w:color="000000" w:fill="AF272F"/>
            <w:hideMark/>
          </w:tcPr>
          <w:p w14:paraId="20DB3C98"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 nominal value (incl. GST)  ($m)</w:t>
            </w:r>
          </w:p>
        </w:tc>
        <w:tc>
          <w:tcPr>
            <w:tcW w:w="1076" w:type="dxa"/>
            <w:tcBorders>
              <w:top w:val="nil"/>
              <w:left w:val="nil"/>
              <w:bottom w:val="single" w:sz="4" w:space="0" w:color="auto"/>
              <w:right w:val="single" w:sz="4" w:space="0" w:color="FFFFFF"/>
            </w:tcBorders>
            <w:shd w:val="clear" w:color="000000" w:fill="AF272F"/>
            <w:hideMark/>
          </w:tcPr>
          <w:p w14:paraId="15B04C51"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 nominal value (incl. GST)  ($m)</w:t>
            </w:r>
          </w:p>
        </w:tc>
      </w:tr>
      <w:bookmarkEnd w:id="1666"/>
      <w:tr w:rsidR="00F1540A" w:rsidRPr="005734B8" w14:paraId="5A69B9C7" w14:textId="77777777" w:rsidTr="000F48B1">
        <w:trPr>
          <w:trHeight w:val="522"/>
        </w:trPr>
        <w:tc>
          <w:tcPr>
            <w:tcW w:w="4196" w:type="dxa"/>
            <w:tcBorders>
              <w:top w:val="nil"/>
              <w:left w:val="nil"/>
              <w:bottom w:val="single" w:sz="4" w:space="0" w:color="auto"/>
              <w:right w:val="nil"/>
            </w:tcBorders>
            <w:shd w:val="clear" w:color="FFFFFF" w:fill="FFFFFF"/>
            <w:vAlign w:val="center"/>
            <w:hideMark/>
          </w:tcPr>
          <w:p w14:paraId="08DC7E6F"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Capital expenditure commitments: Plant, buildings and equipment</w:t>
            </w:r>
          </w:p>
        </w:tc>
        <w:tc>
          <w:tcPr>
            <w:tcW w:w="1116" w:type="dxa"/>
            <w:tcBorders>
              <w:top w:val="single" w:sz="4" w:space="0" w:color="auto"/>
              <w:left w:val="single" w:sz="4" w:space="0" w:color="FFFFFF"/>
              <w:bottom w:val="single" w:sz="4" w:space="0" w:color="auto"/>
              <w:right w:val="single" w:sz="4" w:space="0" w:color="FFFFFF"/>
            </w:tcBorders>
            <w:shd w:val="clear" w:color="000000" w:fill="D9D9D9"/>
            <w:noWrap/>
            <w:vAlign w:val="center"/>
            <w:hideMark/>
          </w:tcPr>
          <w:p w14:paraId="0DEB2C4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899.3 </w:t>
            </w:r>
          </w:p>
        </w:tc>
        <w:tc>
          <w:tcPr>
            <w:tcW w:w="1076" w:type="dxa"/>
            <w:tcBorders>
              <w:top w:val="nil"/>
              <w:left w:val="nil"/>
              <w:bottom w:val="single" w:sz="4" w:space="0" w:color="auto"/>
              <w:right w:val="single" w:sz="4" w:space="0" w:color="FFFFFF"/>
            </w:tcBorders>
            <w:shd w:val="clear" w:color="FFFFFF" w:fill="FFFFFF"/>
            <w:noWrap/>
            <w:vAlign w:val="center"/>
            <w:hideMark/>
          </w:tcPr>
          <w:p w14:paraId="120EBCB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688.4 </w:t>
            </w:r>
          </w:p>
        </w:tc>
      </w:tr>
      <w:tr w:rsidR="00F1540A" w:rsidRPr="005734B8" w14:paraId="21B5713F" w14:textId="77777777" w:rsidTr="000F48B1">
        <w:trPr>
          <w:trHeight w:val="270"/>
        </w:trPr>
        <w:tc>
          <w:tcPr>
            <w:tcW w:w="4196" w:type="dxa"/>
            <w:tcBorders>
              <w:top w:val="nil"/>
              <w:left w:val="nil"/>
              <w:bottom w:val="single" w:sz="4" w:space="0" w:color="auto"/>
              <w:right w:val="nil"/>
            </w:tcBorders>
            <w:shd w:val="clear" w:color="FFFFFF" w:fill="FFFFFF"/>
            <w:vAlign w:val="center"/>
            <w:hideMark/>
          </w:tcPr>
          <w:p w14:paraId="2508DB37"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Other expenditure commitments</w:t>
            </w:r>
          </w:p>
        </w:tc>
        <w:tc>
          <w:tcPr>
            <w:tcW w:w="1116" w:type="dxa"/>
            <w:tcBorders>
              <w:top w:val="nil"/>
              <w:left w:val="single" w:sz="4" w:space="0" w:color="FFFFFF"/>
              <w:bottom w:val="single" w:sz="4" w:space="0" w:color="auto"/>
              <w:right w:val="single" w:sz="4" w:space="0" w:color="FFFFFF"/>
            </w:tcBorders>
            <w:shd w:val="clear" w:color="000000" w:fill="D9D9D9"/>
            <w:noWrap/>
            <w:vAlign w:val="center"/>
            <w:hideMark/>
          </w:tcPr>
          <w:p w14:paraId="5FCE913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1,716.1 </w:t>
            </w:r>
          </w:p>
        </w:tc>
        <w:tc>
          <w:tcPr>
            <w:tcW w:w="1076" w:type="dxa"/>
            <w:tcBorders>
              <w:top w:val="nil"/>
              <w:left w:val="nil"/>
              <w:bottom w:val="single" w:sz="4" w:space="0" w:color="auto"/>
              <w:right w:val="single" w:sz="4" w:space="0" w:color="FFFFFF"/>
            </w:tcBorders>
            <w:shd w:val="clear" w:color="FFFFFF" w:fill="FFFFFF"/>
            <w:noWrap/>
            <w:vAlign w:val="center"/>
            <w:hideMark/>
          </w:tcPr>
          <w:p w14:paraId="12A6BD3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1,709.8 </w:t>
            </w:r>
          </w:p>
        </w:tc>
      </w:tr>
      <w:tr w:rsidR="00F1540A" w:rsidRPr="005734B8" w14:paraId="7A4DC66B" w14:textId="77777777" w:rsidTr="000F48B1">
        <w:trPr>
          <w:trHeight w:val="285"/>
        </w:trPr>
        <w:tc>
          <w:tcPr>
            <w:tcW w:w="4196"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8C6534E"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commitments other than PPPs</w:t>
            </w:r>
          </w:p>
        </w:tc>
        <w:tc>
          <w:tcPr>
            <w:tcW w:w="1116"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7B76B3D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2,615.4 </w:t>
            </w:r>
          </w:p>
        </w:tc>
        <w:tc>
          <w:tcPr>
            <w:tcW w:w="1076" w:type="dxa"/>
            <w:tcBorders>
              <w:top w:val="single" w:sz="12" w:space="0" w:color="auto"/>
              <w:left w:val="nil"/>
              <w:bottom w:val="single" w:sz="12" w:space="0" w:color="auto"/>
              <w:right w:val="single" w:sz="12" w:space="0" w:color="FFFFFF"/>
            </w:tcBorders>
            <w:shd w:val="clear" w:color="FFFFFF" w:fill="FFFFFF"/>
            <w:noWrap/>
            <w:vAlign w:val="center"/>
            <w:hideMark/>
          </w:tcPr>
          <w:p w14:paraId="13DF585E" w14:textId="77777777" w:rsidR="00F1540A" w:rsidRPr="005734B8" w:rsidRDefault="00F1540A" w:rsidP="000F48B1">
            <w:pPr>
              <w:jc w:val="right"/>
              <w:rPr>
                <w:rFonts w:ascii="Calibri" w:hAnsi="Calibri" w:cs="Calibri"/>
                <w:b/>
                <w:bCs/>
                <w:sz w:val="18"/>
                <w:szCs w:val="18"/>
              </w:rPr>
            </w:pPr>
            <w:r w:rsidRPr="005734B8">
              <w:rPr>
                <w:rFonts w:ascii="Calibri" w:hAnsi="Calibri" w:cs="Calibri"/>
                <w:b/>
                <w:sz w:val="18"/>
                <w:szCs w:val="18"/>
              </w:rPr>
              <w:t>2,398.2</w:t>
            </w:r>
            <w:r w:rsidRPr="005734B8">
              <w:rPr>
                <w:rFonts w:ascii="Calibri" w:hAnsi="Calibri" w:cs="Calibri"/>
                <w:b/>
                <w:bCs/>
                <w:sz w:val="18"/>
                <w:szCs w:val="18"/>
              </w:rPr>
              <w:t xml:space="preserve"> </w:t>
            </w:r>
          </w:p>
        </w:tc>
      </w:tr>
    </w:tbl>
    <w:p w14:paraId="14C1E086" w14:textId="77777777" w:rsidR="00F1540A" w:rsidRPr="005734B8" w:rsidRDefault="00F1540A" w:rsidP="00F1540A">
      <w:pPr>
        <w:spacing w:before="240" w:after="120" w:line="240" w:lineRule="atLeast"/>
        <w:outlineLvl w:val="2"/>
        <w:rPr>
          <w:rFonts w:ascii="Calibri" w:hAnsi="Calibri" w:cs="Calibri"/>
          <w:color w:val="53565A"/>
          <w:szCs w:val="18"/>
          <w:lang w:val="en-US"/>
        </w:rPr>
      </w:pPr>
      <w:bookmarkStart w:id="1667" w:name="_Toc11336424"/>
      <w:bookmarkStart w:id="1668" w:name="_Toc14965650"/>
      <w:r w:rsidRPr="005734B8">
        <w:rPr>
          <w:rFonts w:ascii="Calibri" w:hAnsi="Calibri" w:cs="Calibri"/>
          <w:color w:val="53565A"/>
          <w:szCs w:val="18"/>
          <w:lang w:val="en-US"/>
        </w:rPr>
        <w:t>Capital commitments</w:t>
      </w:r>
      <w:bookmarkEnd w:id="1667"/>
      <w:bookmarkEnd w:id="1668"/>
    </w:p>
    <w:p w14:paraId="6CCF2CA6" w14:textId="718889E3" w:rsidR="00F1540A" w:rsidRPr="005734B8" w:rsidRDefault="008420B5" w:rsidP="00F1540A">
      <w:pPr>
        <w:rPr>
          <w:rFonts w:ascii="Calibri" w:hAnsi="Calibri" w:cs="Calibri"/>
          <w:color w:val="53565A"/>
          <w:szCs w:val="18"/>
          <w:lang w:val="en-US"/>
        </w:rPr>
      </w:pPr>
      <w:r w:rsidRPr="005734B8">
        <w:rPr>
          <w:rFonts w:ascii="Calibri" w:eastAsia="Arial" w:hAnsi="Calibri" w:cs="Calibri"/>
        </w:rPr>
        <w:t>These are c</w:t>
      </w:r>
      <w:r w:rsidR="00F1540A" w:rsidRPr="005734B8">
        <w:rPr>
          <w:rFonts w:ascii="Calibri" w:eastAsia="Arial" w:hAnsi="Calibri" w:cs="Calibri"/>
        </w:rPr>
        <w:t>ommitments for the acquisition of buildings, plant and equipment contracted for at the reporting date but not recognised as liabilities.</w:t>
      </w:r>
      <w:bookmarkStart w:id="1669" w:name="_Toc11336426"/>
      <w:bookmarkStart w:id="1670" w:name="_Toc14965652"/>
    </w:p>
    <w:p w14:paraId="62F0D071" w14:textId="77777777" w:rsidR="00F1540A" w:rsidRPr="005734B8" w:rsidRDefault="00F1540A" w:rsidP="00F1540A">
      <w:pPr>
        <w:rPr>
          <w:rFonts w:ascii="Calibri" w:hAnsi="Calibri" w:cs="Calibri"/>
          <w:color w:val="53565A"/>
          <w:szCs w:val="18"/>
          <w:lang w:val="en-US"/>
        </w:rPr>
      </w:pPr>
    </w:p>
    <w:p w14:paraId="4B796DDF" w14:textId="77777777" w:rsidR="00F1540A" w:rsidRPr="005734B8" w:rsidRDefault="00F1540A" w:rsidP="00F1540A">
      <w:pPr>
        <w:rPr>
          <w:rFonts w:ascii="Calibri" w:hAnsi="Calibri" w:cs="Calibri"/>
          <w:color w:val="53565A"/>
          <w:szCs w:val="18"/>
          <w:lang w:val="en-US"/>
        </w:rPr>
      </w:pPr>
      <w:r w:rsidRPr="005734B8">
        <w:rPr>
          <w:rFonts w:ascii="Calibri" w:hAnsi="Calibri" w:cs="Calibri"/>
          <w:color w:val="53565A"/>
          <w:szCs w:val="18"/>
          <w:lang w:val="en-US"/>
        </w:rPr>
        <w:t>Other expenditure commitments</w:t>
      </w:r>
      <w:bookmarkEnd w:id="1669"/>
      <w:bookmarkEnd w:id="1670"/>
    </w:p>
    <w:p w14:paraId="0C78D04B" w14:textId="1E1EAF4B" w:rsidR="00F1540A" w:rsidRPr="005734B8" w:rsidRDefault="00F1540A" w:rsidP="00F1540A">
      <w:pPr>
        <w:rPr>
          <w:rFonts w:ascii="Calibri" w:eastAsia="Arial" w:hAnsi="Calibri" w:cs="Calibri"/>
        </w:rPr>
      </w:pPr>
      <w:r w:rsidRPr="005734B8">
        <w:rPr>
          <w:rFonts w:ascii="Calibri" w:eastAsia="Arial" w:hAnsi="Calibri" w:cs="Calibri"/>
        </w:rPr>
        <w:t>Other commitments include agreements entered into for provision of financial information technology and human resource services to the Department</w:t>
      </w:r>
      <w:r w:rsidR="008420B5" w:rsidRPr="005734B8">
        <w:rPr>
          <w:rFonts w:ascii="Calibri" w:eastAsia="Arial" w:hAnsi="Calibri" w:cs="Calibri"/>
        </w:rPr>
        <w:t>,</w:t>
      </w:r>
      <w:r w:rsidRPr="005734B8">
        <w:rPr>
          <w:rFonts w:ascii="Calibri" w:eastAsia="Arial" w:hAnsi="Calibri" w:cs="Calibri"/>
        </w:rPr>
        <w:t xml:space="preserve"> and grants to non-government schools and TAFEs.</w:t>
      </w:r>
    </w:p>
    <w:bookmarkEnd w:id="1655"/>
    <w:p w14:paraId="52B5F655" w14:textId="77777777" w:rsidR="002E4354" w:rsidRPr="005734B8" w:rsidRDefault="002E4354" w:rsidP="002E4354">
      <w:pPr>
        <w:rPr>
          <w:rFonts w:ascii="Calibri" w:hAnsi="Calibri" w:cs="Calibri"/>
          <w:b/>
          <w:sz w:val="28"/>
          <w:szCs w:val="18"/>
          <w:lang w:eastAsia="en-AU"/>
        </w:rPr>
      </w:pPr>
    </w:p>
    <w:p w14:paraId="2DF55354" w14:textId="77777777" w:rsidR="00B748F9" w:rsidRPr="003E39DC" w:rsidRDefault="00B748F9">
      <w:pPr>
        <w:rPr>
          <w:rFonts w:ascii="Calibri" w:eastAsiaTheme="majorEastAsia" w:hAnsi="Calibri" w:cstheme="majorBidi"/>
          <w:b/>
          <w:color w:val="AF272F" w:themeColor="accent4"/>
          <w:spacing w:val="5"/>
          <w:kern w:val="28"/>
          <w:sz w:val="44"/>
          <w:szCs w:val="52"/>
          <w:lang w:val="en-US"/>
        </w:rPr>
      </w:pPr>
      <w:bookmarkStart w:id="1671" w:name="_Toc14965653"/>
      <w:bookmarkStart w:id="1672" w:name="_Toc36012796"/>
      <w:bookmarkStart w:id="1673" w:name="_Toc36012874"/>
      <w:bookmarkStart w:id="1674" w:name="_Toc58243454"/>
      <w:bookmarkStart w:id="1675" w:name="_Toc72958104"/>
      <w:bookmarkStart w:id="1676" w:name="_Toc72958152"/>
      <w:bookmarkStart w:id="1677" w:name="_Toc80272091"/>
      <w:bookmarkStart w:id="1678" w:name="_Toc14965667"/>
      <w:bookmarkStart w:id="1679" w:name="_Toc36012800"/>
      <w:bookmarkStart w:id="1680" w:name="_Toc36012878"/>
      <w:bookmarkStart w:id="1681" w:name="_Toc48402850"/>
      <w:bookmarkStart w:id="1682" w:name="_Toc48403087"/>
      <w:bookmarkStart w:id="1683" w:name="_Toc51332830"/>
      <w:r w:rsidRPr="005734B8">
        <w:rPr>
          <w:rFonts w:ascii="Calibri" w:hAnsi="Calibri" w:cs="Calibri"/>
        </w:rPr>
        <w:br w:type="page"/>
      </w:r>
    </w:p>
    <w:p w14:paraId="1C33800E" w14:textId="77777777" w:rsidR="005E5773" w:rsidRDefault="00F1540A" w:rsidP="00B748F9">
      <w:pPr>
        <w:pStyle w:val="Note"/>
      </w:pPr>
      <w:bookmarkStart w:id="1684" w:name="_Toc81315392"/>
      <w:r w:rsidRPr="00B748F9">
        <w:lastRenderedPageBreak/>
        <w:t>Risk, contingencies and valuation judgements</w:t>
      </w:r>
      <w:bookmarkEnd w:id="1671"/>
      <w:bookmarkEnd w:id="1672"/>
      <w:bookmarkEnd w:id="1673"/>
      <w:bookmarkEnd w:id="1674"/>
      <w:bookmarkEnd w:id="1675"/>
      <w:bookmarkEnd w:id="1676"/>
      <w:bookmarkEnd w:id="1677"/>
      <w:bookmarkEnd w:id="1684"/>
    </w:p>
    <w:p w14:paraId="39A4DCA9" w14:textId="2AAF2537" w:rsidR="00F1540A" w:rsidRPr="005734B8" w:rsidRDefault="000E29FE" w:rsidP="005E5773">
      <w:pPr>
        <w:rPr>
          <w:rFonts w:ascii="Calibri" w:eastAsia="Arial" w:hAnsi="Calibri" w:cs="Calibri"/>
        </w:rPr>
      </w:pPr>
      <w:r w:rsidRPr="005734B8">
        <w:rPr>
          <w:rFonts w:ascii="Calibri" w:eastAsia="Arial" w:hAnsi="Calibri" w:cs="Calibri"/>
        </w:rPr>
        <w:fldChar w:fldCharType="begin"/>
      </w:r>
      <w:r w:rsidRPr="005734B8">
        <w:rPr>
          <w:rFonts w:ascii="Calibri" w:eastAsia="Arial" w:hAnsi="Calibri" w:cs="Calibri"/>
        </w:rPr>
        <w:instrText xml:space="preserve"> TC  "</w:instrText>
      </w:r>
      <w:bookmarkStart w:id="1685" w:name="_Toc80718040"/>
      <w:r w:rsidR="00F20069" w:rsidRPr="005734B8">
        <w:rPr>
          <w:rFonts w:ascii="Calibri" w:eastAsia="Arial" w:hAnsi="Calibri" w:cs="Calibri"/>
        </w:rPr>
        <w:instrText>Note 8</w:instrText>
      </w:r>
      <w:r w:rsidR="00F20069" w:rsidRPr="005734B8">
        <w:rPr>
          <w:rFonts w:ascii="Calibri" w:eastAsia="Arial" w:hAnsi="Calibri" w:cs="Calibri"/>
        </w:rPr>
        <w:tab/>
      </w:r>
      <w:r w:rsidR="001F5912" w:rsidRPr="005734B8">
        <w:rPr>
          <w:rFonts w:ascii="Calibri" w:eastAsia="Arial" w:hAnsi="Calibri" w:cs="Calibri"/>
        </w:rPr>
        <w:instrText>Risk, contingencies and valuation judgements</w:instrText>
      </w:r>
      <w:bookmarkEnd w:id="1685"/>
      <w:r w:rsidRPr="005734B8">
        <w:rPr>
          <w:rFonts w:ascii="Calibri" w:eastAsia="Arial" w:hAnsi="Calibri" w:cs="Calibri"/>
        </w:rPr>
        <w:instrText xml:space="preserve">" \f X \l 1 </w:instrText>
      </w:r>
      <w:r w:rsidRPr="005734B8">
        <w:rPr>
          <w:rFonts w:ascii="Calibri" w:eastAsia="Arial" w:hAnsi="Calibri" w:cs="Calibri"/>
        </w:rPr>
        <w:fldChar w:fldCharType="end"/>
      </w:r>
    </w:p>
    <w:tbl>
      <w:tblPr>
        <w:tblStyle w:val="TableGrid4"/>
        <w:tblpPr w:leftFromText="180" w:rightFromText="180" w:vertAnchor="page" w:horzAnchor="margin" w:tblpY="2791"/>
        <w:tblW w:w="7669" w:type="dxa"/>
        <w:tblLook w:val="04A0" w:firstRow="1" w:lastRow="0" w:firstColumn="1" w:lastColumn="0" w:noHBand="0" w:noVBand="1"/>
      </w:tblPr>
      <w:tblGrid>
        <w:gridCol w:w="3864"/>
        <w:gridCol w:w="3805"/>
      </w:tblGrid>
      <w:tr w:rsidR="00B748F9" w:rsidRPr="005734B8" w14:paraId="6353A79E" w14:textId="77777777" w:rsidTr="00EC0ED2">
        <w:trPr>
          <w:trHeight w:val="2574"/>
        </w:trPr>
        <w:tc>
          <w:tcPr>
            <w:tcW w:w="3864" w:type="dxa"/>
            <w:tcBorders>
              <w:bottom w:val="single" w:sz="4" w:space="0" w:color="auto"/>
              <w:right w:val="nil"/>
            </w:tcBorders>
          </w:tcPr>
          <w:p w14:paraId="50087D4C" w14:textId="77777777" w:rsidR="00B748F9" w:rsidRPr="005734B8" w:rsidRDefault="00B748F9" w:rsidP="00B748F9">
            <w:pPr>
              <w:keepNext/>
              <w:tabs>
                <w:tab w:val="left" w:pos="361"/>
              </w:tabs>
              <w:spacing w:after="90" w:line="220" w:lineRule="atLeast"/>
              <w:outlineLvl w:val="3"/>
              <w:rPr>
                <w:rFonts w:ascii="Calibri" w:hAnsi="Calibri" w:cs="Calibri"/>
                <w:b/>
                <w:color w:val="8A2A2F"/>
                <w:sz w:val="18"/>
                <w:szCs w:val="18"/>
              </w:rPr>
            </w:pPr>
            <w:r w:rsidRPr="005734B8">
              <w:rPr>
                <w:rFonts w:ascii="Calibri" w:hAnsi="Calibri" w:cs="Calibri"/>
                <w:b/>
                <w:color w:val="8A2A2F"/>
                <w:sz w:val="18"/>
                <w:szCs w:val="18"/>
              </w:rPr>
              <w:t>Introduction</w:t>
            </w:r>
          </w:p>
          <w:p w14:paraId="70BBA279" w14:textId="77777777" w:rsidR="00B748F9" w:rsidRPr="005734B8" w:rsidRDefault="00B748F9" w:rsidP="00B748F9">
            <w:pPr>
              <w:spacing w:after="90"/>
              <w:rPr>
                <w:rFonts w:ascii="Calibri" w:hAnsi="Calibri" w:cs="Calibri"/>
                <w:sz w:val="18"/>
                <w:szCs w:val="18"/>
              </w:rPr>
            </w:pPr>
            <w:r w:rsidRPr="005734B8">
              <w:rPr>
                <w:rFonts w:ascii="Calibri" w:hAnsi="Calibri" w:cs="Calibri"/>
                <w:sz w:val="18"/>
                <w:szCs w:val="18"/>
              </w:rPr>
              <w:t>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w:t>
            </w:r>
          </w:p>
        </w:tc>
        <w:tc>
          <w:tcPr>
            <w:tcW w:w="3805" w:type="dxa"/>
            <w:tcBorders>
              <w:left w:val="nil"/>
              <w:bottom w:val="single" w:sz="4" w:space="0" w:color="auto"/>
            </w:tcBorders>
          </w:tcPr>
          <w:p w14:paraId="6955024D" w14:textId="77777777" w:rsidR="00B748F9" w:rsidRPr="005734B8" w:rsidRDefault="00B748F9" w:rsidP="00B748F9">
            <w:pPr>
              <w:keepNext/>
              <w:tabs>
                <w:tab w:val="left" w:pos="361"/>
              </w:tabs>
              <w:spacing w:after="90" w:line="220" w:lineRule="atLeast"/>
              <w:outlineLvl w:val="3"/>
              <w:rPr>
                <w:rFonts w:ascii="Calibri" w:hAnsi="Calibri" w:cs="Calibri"/>
                <w:b/>
                <w:color w:val="8A2A2F"/>
                <w:sz w:val="18"/>
                <w:szCs w:val="18"/>
              </w:rPr>
            </w:pPr>
            <w:r w:rsidRPr="005734B8">
              <w:rPr>
                <w:rFonts w:ascii="Calibri" w:hAnsi="Calibri" w:cs="Calibri"/>
                <w:b/>
                <w:color w:val="8A2A2F"/>
                <w:sz w:val="18"/>
                <w:szCs w:val="18"/>
              </w:rPr>
              <w:t>Structure</w:t>
            </w:r>
          </w:p>
          <w:p w14:paraId="7D463808" w14:textId="77777777" w:rsidR="00B748F9" w:rsidRPr="005734B8" w:rsidRDefault="00B748F9" w:rsidP="00B748F9">
            <w:pPr>
              <w:spacing w:after="90"/>
              <w:rPr>
                <w:rFonts w:ascii="Calibri" w:hAnsi="Calibri" w:cs="Calibri"/>
                <w:sz w:val="18"/>
                <w:szCs w:val="18"/>
              </w:rPr>
            </w:pPr>
            <w:r w:rsidRPr="005734B8">
              <w:rPr>
                <w:rFonts w:ascii="Calibri" w:hAnsi="Calibri" w:cs="Calibri"/>
                <w:sz w:val="18"/>
                <w:szCs w:val="18"/>
              </w:rPr>
              <w:t>8.1 Financial instrument specific disclosures</w:t>
            </w:r>
          </w:p>
          <w:p w14:paraId="09E098F9" w14:textId="77777777" w:rsidR="00B748F9" w:rsidRPr="005734B8" w:rsidRDefault="00B748F9" w:rsidP="00B748F9">
            <w:pPr>
              <w:spacing w:after="90"/>
              <w:rPr>
                <w:rFonts w:ascii="Calibri" w:hAnsi="Calibri" w:cs="Calibri"/>
                <w:sz w:val="18"/>
                <w:szCs w:val="18"/>
              </w:rPr>
            </w:pPr>
            <w:r w:rsidRPr="005734B8">
              <w:rPr>
                <w:rFonts w:ascii="Calibri" w:hAnsi="Calibri" w:cs="Calibri"/>
                <w:sz w:val="18"/>
                <w:szCs w:val="18"/>
              </w:rPr>
              <w:t>8.2 Fair value determination</w:t>
            </w:r>
          </w:p>
          <w:p w14:paraId="08594AEC" w14:textId="77777777" w:rsidR="00B748F9" w:rsidRPr="005734B8" w:rsidRDefault="00B748F9" w:rsidP="00B748F9">
            <w:pPr>
              <w:spacing w:after="90"/>
              <w:rPr>
                <w:rFonts w:ascii="Calibri" w:hAnsi="Calibri" w:cs="Calibri"/>
                <w:sz w:val="18"/>
                <w:szCs w:val="18"/>
              </w:rPr>
            </w:pPr>
            <w:r w:rsidRPr="005734B8">
              <w:rPr>
                <w:rFonts w:ascii="Calibri" w:hAnsi="Calibri" w:cs="Calibri"/>
                <w:sz w:val="18"/>
                <w:szCs w:val="18"/>
              </w:rPr>
              <w:t>8.3 Contingent assets and liabilities</w:t>
            </w:r>
          </w:p>
          <w:p w14:paraId="649BF7A1" w14:textId="77777777" w:rsidR="00B748F9" w:rsidRPr="005734B8" w:rsidRDefault="00B748F9" w:rsidP="00B748F9">
            <w:pPr>
              <w:spacing w:after="90"/>
              <w:ind w:left="417"/>
              <w:rPr>
                <w:rFonts w:ascii="Calibri" w:hAnsi="Calibri" w:cs="Calibri"/>
                <w:sz w:val="18"/>
                <w:szCs w:val="18"/>
              </w:rPr>
            </w:pPr>
            <w:r w:rsidRPr="005734B8">
              <w:rPr>
                <w:rFonts w:ascii="Calibri" w:hAnsi="Calibri" w:cs="Calibri"/>
                <w:sz w:val="18"/>
                <w:szCs w:val="18"/>
              </w:rPr>
              <w:t>8.3.1 Contingent assets</w:t>
            </w:r>
          </w:p>
          <w:p w14:paraId="4E77C8A9" w14:textId="77777777" w:rsidR="00B748F9" w:rsidRPr="005734B8" w:rsidRDefault="00B748F9" w:rsidP="00B748F9">
            <w:pPr>
              <w:spacing w:after="90"/>
              <w:ind w:left="417"/>
              <w:rPr>
                <w:rFonts w:ascii="Calibri" w:hAnsi="Calibri" w:cs="Calibri"/>
                <w:sz w:val="18"/>
                <w:szCs w:val="18"/>
              </w:rPr>
            </w:pPr>
            <w:r w:rsidRPr="005734B8">
              <w:rPr>
                <w:rFonts w:ascii="Calibri" w:hAnsi="Calibri" w:cs="Calibri"/>
                <w:sz w:val="18"/>
                <w:szCs w:val="18"/>
              </w:rPr>
              <w:t>8.3.2 Contingent liabilities</w:t>
            </w:r>
          </w:p>
          <w:p w14:paraId="6459C7D2" w14:textId="77777777" w:rsidR="00B748F9" w:rsidRPr="005734B8" w:rsidRDefault="00B748F9" w:rsidP="00B748F9">
            <w:pPr>
              <w:spacing w:after="90"/>
              <w:ind w:left="417"/>
              <w:rPr>
                <w:rFonts w:ascii="Calibri" w:hAnsi="Calibri" w:cs="Calibri"/>
                <w:sz w:val="18"/>
                <w:szCs w:val="18"/>
              </w:rPr>
            </w:pPr>
          </w:p>
        </w:tc>
      </w:tr>
    </w:tbl>
    <w:p w14:paraId="04B2187D" w14:textId="77777777" w:rsidR="00F1540A" w:rsidRPr="005734B8" w:rsidRDefault="00F1540A" w:rsidP="00F1540A">
      <w:pPr>
        <w:rPr>
          <w:rFonts w:ascii="Calibri" w:hAnsi="Calibri" w:cs="Calibri"/>
        </w:rPr>
      </w:pPr>
    </w:p>
    <w:p w14:paraId="0B738A26" w14:textId="77777777" w:rsidR="00F1540A" w:rsidRPr="005734B8" w:rsidRDefault="00F1540A" w:rsidP="00F1540A">
      <w:pPr>
        <w:pStyle w:val="ESHeading2"/>
        <w:rPr>
          <w:rFonts w:ascii="Calibri" w:hAnsi="Calibri" w:cs="Calibri"/>
        </w:rPr>
      </w:pPr>
      <w:bookmarkStart w:id="1686" w:name="_Toc11336428"/>
      <w:bookmarkStart w:id="1687" w:name="_Toc11336596"/>
      <w:bookmarkStart w:id="1688" w:name="_Toc13647200"/>
      <w:bookmarkStart w:id="1689" w:name="_Toc13656732"/>
      <w:bookmarkStart w:id="1690" w:name="_Toc13656894"/>
      <w:bookmarkStart w:id="1691" w:name="_Toc14965654"/>
      <w:bookmarkStart w:id="1692" w:name="_Toc15985319"/>
      <w:bookmarkStart w:id="1693" w:name="_Toc16231970"/>
      <w:bookmarkStart w:id="1694" w:name="_Toc36012797"/>
      <w:bookmarkStart w:id="1695" w:name="_Toc36012875"/>
      <w:bookmarkStart w:id="1696" w:name="_Toc36013372"/>
      <w:bookmarkStart w:id="1697" w:name="_Toc58243455"/>
      <w:bookmarkStart w:id="1698" w:name="_Toc72958105"/>
      <w:bookmarkStart w:id="1699" w:name="_Toc72958153"/>
      <w:bookmarkStart w:id="1700" w:name="_Toc80272092"/>
      <w:bookmarkStart w:id="1701" w:name="_Toc81315393"/>
      <w:r w:rsidRPr="005734B8">
        <w:rPr>
          <w:rFonts w:ascii="Calibri" w:hAnsi="Calibri" w:cs="Calibri"/>
        </w:rPr>
        <w:t>8.1 Financial instrument specific disclosures</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p>
    <w:p w14:paraId="6A879657" w14:textId="77777777" w:rsidR="00F1540A" w:rsidRPr="005734B8" w:rsidRDefault="00F1540A" w:rsidP="00F1540A">
      <w:pPr>
        <w:rPr>
          <w:rFonts w:ascii="Calibri" w:eastAsia="Arial" w:hAnsi="Calibri" w:cs="Calibri"/>
        </w:rPr>
      </w:pPr>
      <w:r w:rsidRPr="005734B8">
        <w:rPr>
          <w:rFonts w:ascii="Calibri" w:eastAsia="Arial" w:hAnsi="Calibri" w:cs="Calibri"/>
        </w:rPr>
        <w:t xml:space="preserve">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Such assets and liabilities do not meet the definition of financial instruments in AASB 132 Financial Instruments: Presentation. </w:t>
      </w:r>
    </w:p>
    <w:p w14:paraId="6E9F6CD5" w14:textId="77777777" w:rsidR="00F1540A" w:rsidRPr="005734B8" w:rsidRDefault="00F1540A" w:rsidP="00F1540A">
      <w:pPr>
        <w:rPr>
          <w:rFonts w:ascii="Calibri" w:eastAsia="Arial" w:hAnsi="Calibri" w:cs="Calibri"/>
        </w:rPr>
      </w:pPr>
    </w:p>
    <w:p w14:paraId="751F106D" w14:textId="77777777" w:rsidR="00F1540A" w:rsidRPr="005734B8" w:rsidRDefault="00F1540A" w:rsidP="00F1540A">
      <w:pPr>
        <w:rPr>
          <w:rFonts w:ascii="Calibri" w:eastAsia="Arial" w:hAnsi="Calibri" w:cs="Calibri"/>
        </w:rPr>
      </w:pPr>
      <w:r w:rsidRPr="005734B8">
        <w:rPr>
          <w:rFonts w:ascii="Calibri" w:eastAsia="Arial" w:hAnsi="Calibri" w:cs="Calibri"/>
        </w:rPr>
        <w:t>Guarantees issued by the Treasurer on behalf of the Department are financial instruments because, although authorised under statute, the terms and conditions for each financial guarantee may vary and are subject to an agreement.</w:t>
      </w:r>
    </w:p>
    <w:p w14:paraId="43C618EA" w14:textId="77777777" w:rsidR="00F1540A" w:rsidRPr="005734B8" w:rsidRDefault="00F1540A" w:rsidP="00F1540A">
      <w:pPr>
        <w:spacing w:before="240" w:after="120" w:line="240" w:lineRule="atLeast"/>
        <w:outlineLvl w:val="2"/>
        <w:rPr>
          <w:rFonts w:ascii="Calibri" w:hAnsi="Calibri" w:cs="Calibri"/>
          <w:color w:val="53565A"/>
          <w:szCs w:val="18"/>
          <w:lang w:val="en-US"/>
        </w:rPr>
      </w:pPr>
      <w:bookmarkStart w:id="1702" w:name="_Toc11336430"/>
      <w:bookmarkStart w:id="1703" w:name="_Toc14965656"/>
      <w:r w:rsidRPr="005734B8">
        <w:rPr>
          <w:rFonts w:ascii="Calibri" w:hAnsi="Calibri" w:cs="Calibri"/>
          <w:color w:val="53565A"/>
          <w:szCs w:val="18"/>
          <w:lang w:val="en-US"/>
        </w:rPr>
        <w:t>Categories of financial instruments</w:t>
      </w:r>
      <w:bookmarkEnd w:id="1702"/>
      <w:bookmarkEnd w:id="1703"/>
      <w:r w:rsidRPr="005734B8">
        <w:rPr>
          <w:rFonts w:ascii="Calibri" w:hAnsi="Calibri" w:cs="Calibri"/>
          <w:color w:val="53565A"/>
          <w:szCs w:val="18"/>
          <w:lang w:val="en-US"/>
        </w:rPr>
        <w:t xml:space="preserve"> under AASB 9</w:t>
      </w:r>
    </w:p>
    <w:p w14:paraId="21B69177" w14:textId="77777777" w:rsidR="00F1540A" w:rsidRPr="005734B8" w:rsidRDefault="00F1540A" w:rsidP="00F1540A">
      <w:pPr>
        <w:rPr>
          <w:rFonts w:ascii="Calibri" w:eastAsia="Arial" w:hAnsi="Calibri" w:cs="Calibri"/>
          <w:i/>
        </w:rPr>
      </w:pPr>
      <w:r w:rsidRPr="005734B8">
        <w:rPr>
          <w:rFonts w:ascii="Calibri" w:eastAsia="Arial" w:hAnsi="Calibri" w:cs="Calibri"/>
          <w:i/>
        </w:rPr>
        <w:t>Financial assets at amortised cost</w:t>
      </w:r>
    </w:p>
    <w:p w14:paraId="73F74E81" w14:textId="50B978A8" w:rsidR="00F1540A" w:rsidRPr="005734B8" w:rsidRDefault="00F1540A" w:rsidP="00F1540A">
      <w:pPr>
        <w:rPr>
          <w:rFonts w:ascii="Calibri" w:eastAsia="Arial" w:hAnsi="Calibri" w:cs="Calibri"/>
        </w:rPr>
      </w:pPr>
      <w:r w:rsidRPr="005734B8">
        <w:rPr>
          <w:rFonts w:ascii="Calibri" w:eastAsia="Arial" w:hAnsi="Calibri" w:cs="Calibri"/>
        </w:rPr>
        <w:t>Financial assets are measured at amortised cost and the assets are not designated as fair value through net result</w:t>
      </w:r>
      <w:r w:rsidR="008420B5" w:rsidRPr="005734B8">
        <w:rPr>
          <w:rFonts w:ascii="Calibri" w:eastAsia="Arial" w:hAnsi="Calibri" w:cs="Calibri"/>
        </w:rPr>
        <w:t xml:space="preserve"> if both the following criteria are met</w:t>
      </w:r>
      <w:r w:rsidRPr="005734B8">
        <w:rPr>
          <w:rFonts w:ascii="Calibri" w:eastAsia="Arial" w:hAnsi="Calibri" w:cs="Calibri"/>
        </w:rPr>
        <w:t>:</w:t>
      </w:r>
    </w:p>
    <w:p w14:paraId="718BA79E" w14:textId="77777777" w:rsidR="00F1540A" w:rsidRPr="005734B8" w:rsidRDefault="00F1540A" w:rsidP="00F1540A">
      <w:pPr>
        <w:numPr>
          <w:ilvl w:val="0"/>
          <w:numId w:val="41"/>
        </w:numPr>
        <w:contextualSpacing/>
        <w:rPr>
          <w:rFonts w:ascii="Calibri" w:eastAsia="Arial" w:hAnsi="Calibri" w:cs="Calibri"/>
        </w:rPr>
      </w:pPr>
      <w:r w:rsidRPr="005734B8">
        <w:rPr>
          <w:rFonts w:ascii="Calibri" w:eastAsia="Arial" w:hAnsi="Calibri" w:cs="Calibri"/>
        </w:rPr>
        <w:t>the assets are held by the Department to collect contractual cash flows</w:t>
      </w:r>
    </w:p>
    <w:p w14:paraId="15AA42E0" w14:textId="63AA697E" w:rsidR="00F1540A" w:rsidRPr="005734B8" w:rsidRDefault="00F1540A" w:rsidP="00F1540A">
      <w:pPr>
        <w:numPr>
          <w:ilvl w:val="0"/>
          <w:numId w:val="41"/>
        </w:numPr>
        <w:contextualSpacing/>
        <w:rPr>
          <w:rFonts w:ascii="Calibri" w:eastAsia="Arial" w:hAnsi="Calibri" w:cs="Calibri"/>
        </w:rPr>
      </w:pPr>
      <w:r w:rsidRPr="005734B8">
        <w:rPr>
          <w:rFonts w:ascii="Calibri" w:eastAsia="Arial" w:hAnsi="Calibri" w:cs="Calibri"/>
        </w:rPr>
        <w:t>the assets’ contractual terms give rise to cash flows that are solely payments of principal and interest.</w:t>
      </w:r>
    </w:p>
    <w:p w14:paraId="3FD44332" w14:textId="77777777" w:rsidR="00F1540A" w:rsidRPr="005734B8" w:rsidRDefault="00F1540A" w:rsidP="00F1540A">
      <w:pPr>
        <w:rPr>
          <w:rFonts w:ascii="Calibri" w:eastAsia="Arial" w:hAnsi="Calibri" w:cs="Calibri"/>
        </w:rPr>
      </w:pPr>
    </w:p>
    <w:p w14:paraId="4D22BB5E" w14:textId="77777777" w:rsidR="00F1540A" w:rsidRPr="005734B8" w:rsidRDefault="00F1540A" w:rsidP="00F1540A">
      <w:pPr>
        <w:rPr>
          <w:rFonts w:ascii="Calibri" w:eastAsia="Arial" w:hAnsi="Calibri" w:cs="Calibri"/>
        </w:rPr>
      </w:pPr>
      <w:r w:rsidRPr="005734B8">
        <w:rPr>
          <w:rFonts w:ascii="Calibri" w:eastAsia="Arial" w:hAnsi="Calibri" w:cs="Calibri"/>
        </w:rPr>
        <w:t>These assets are initially recognised at fair value plus any directly attributable transaction costs. Subsequent to initial measurement, receivables are measured at amortised cost using the effective interest method, less any impairment.</w:t>
      </w:r>
    </w:p>
    <w:p w14:paraId="487AD5B2" w14:textId="77777777" w:rsidR="00F1540A" w:rsidRPr="005734B8" w:rsidRDefault="00F1540A" w:rsidP="00F1540A">
      <w:pPr>
        <w:rPr>
          <w:rFonts w:ascii="Calibri" w:eastAsia="Arial" w:hAnsi="Calibri" w:cs="Calibri"/>
        </w:rPr>
      </w:pPr>
    </w:p>
    <w:p w14:paraId="2B64F19F" w14:textId="77777777" w:rsidR="00F1540A" w:rsidRPr="005734B8" w:rsidRDefault="00F1540A" w:rsidP="00F1540A">
      <w:pPr>
        <w:rPr>
          <w:rFonts w:ascii="Calibri" w:eastAsia="Arial" w:hAnsi="Calibri" w:cs="Calibri"/>
        </w:rPr>
      </w:pPr>
      <w:r w:rsidRPr="005734B8">
        <w:rPr>
          <w:rFonts w:ascii="Calibri" w:eastAsia="Arial" w:hAnsi="Calibri" w:cs="Calibri"/>
        </w:rPr>
        <w:t>This category includes cash and deposits, term deposits with maturity greater than three months, receivables, and other receivables.</w:t>
      </w:r>
    </w:p>
    <w:p w14:paraId="5A962013" w14:textId="77777777" w:rsidR="00F1540A" w:rsidRPr="005734B8" w:rsidRDefault="00F1540A" w:rsidP="00F1540A">
      <w:pPr>
        <w:rPr>
          <w:rFonts w:ascii="Calibri" w:eastAsia="Arial" w:hAnsi="Calibri" w:cs="Calibri"/>
        </w:rPr>
      </w:pPr>
    </w:p>
    <w:p w14:paraId="4C596566" w14:textId="77777777" w:rsidR="00F1540A" w:rsidRPr="005734B8" w:rsidRDefault="00F1540A" w:rsidP="00F1540A">
      <w:pPr>
        <w:rPr>
          <w:rFonts w:ascii="Calibri" w:eastAsia="Arial" w:hAnsi="Calibri" w:cs="Calibri"/>
          <w:i/>
        </w:rPr>
      </w:pPr>
      <w:r w:rsidRPr="005734B8">
        <w:rPr>
          <w:rFonts w:ascii="Calibri" w:eastAsia="Arial" w:hAnsi="Calibri" w:cs="Calibri"/>
          <w:i/>
        </w:rPr>
        <w:t>Financial liabilities at amortised cost</w:t>
      </w:r>
    </w:p>
    <w:p w14:paraId="1C93D47F" w14:textId="77777777" w:rsidR="00F1540A" w:rsidRPr="005734B8" w:rsidRDefault="00F1540A" w:rsidP="00F1540A">
      <w:pPr>
        <w:rPr>
          <w:rFonts w:ascii="Calibri" w:eastAsia="Arial" w:hAnsi="Calibri" w:cs="Calibri"/>
        </w:rPr>
      </w:pPr>
      <w:r w:rsidRPr="005734B8">
        <w:rPr>
          <w:rFonts w:ascii="Calibri" w:eastAsia="Arial" w:hAnsi="Calibri" w:cs="Calibri"/>
        </w:rPr>
        <w:t>Financial instrument liabilities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interest-bearing liability, using the effective interest rate method.</w:t>
      </w:r>
    </w:p>
    <w:p w14:paraId="6E4BC8D3" w14:textId="77777777" w:rsidR="00F1540A" w:rsidRPr="005734B8" w:rsidRDefault="00F1540A" w:rsidP="00F1540A">
      <w:pPr>
        <w:rPr>
          <w:rFonts w:ascii="Calibri" w:eastAsia="Arial" w:hAnsi="Calibri" w:cs="Calibri"/>
        </w:rPr>
      </w:pPr>
    </w:p>
    <w:p w14:paraId="6C644BCC" w14:textId="77777777" w:rsidR="00F1540A" w:rsidRPr="005734B8" w:rsidRDefault="00F1540A" w:rsidP="00F1540A">
      <w:pPr>
        <w:rPr>
          <w:rFonts w:ascii="Calibri" w:eastAsia="Arial" w:hAnsi="Calibri" w:cs="Calibri"/>
        </w:rPr>
      </w:pPr>
      <w:r w:rsidRPr="005734B8">
        <w:rPr>
          <w:rFonts w:ascii="Calibri" w:eastAsia="Arial" w:hAnsi="Calibri" w:cs="Calibri"/>
        </w:rPr>
        <w:t>Financial instrument liabilities measured at amortised cost include all of the Department’s payables and borrowings.</w:t>
      </w:r>
    </w:p>
    <w:p w14:paraId="5EBCC8C5" w14:textId="77777777" w:rsidR="00F1540A" w:rsidRPr="005734B8" w:rsidRDefault="00F1540A" w:rsidP="00F1540A">
      <w:pPr>
        <w:rPr>
          <w:rFonts w:ascii="Calibri" w:eastAsia="Arial" w:hAnsi="Calibri" w:cs="Calibri"/>
          <w:i/>
        </w:rPr>
      </w:pPr>
    </w:p>
    <w:p w14:paraId="0B6F0A8E" w14:textId="77777777" w:rsidR="00F1540A" w:rsidRPr="005734B8" w:rsidRDefault="00F1540A" w:rsidP="00F1540A">
      <w:pPr>
        <w:rPr>
          <w:rFonts w:ascii="Calibri" w:eastAsia="Arial" w:hAnsi="Calibri" w:cs="Calibri"/>
          <w:i/>
        </w:rPr>
      </w:pPr>
      <w:r w:rsidRPr="005734B8">
        <w:rPr>
          <w:rFonts w:ascii="Calibri" w:eastAsia="Arial" w:hAnsi="Calibri" w:cs="Calibri"/>
          <w:i/>
        </w:rPr>
        <w:t>Impairment of financial assets under AASB 9</w:t>
      </w:r>
    </w:p>
    <w:p w14:paraId="3DF4AD06" w14:textId="72A1139F" w:rsidR="00F1540A" w:rsidRPr="005734B8" w:rsidRDefault="00F1540A" w:rsidP="00F1540A">
      <w:pPr>
        <w:rPr>
          <w:rFonts w:ascii="Calibri" w:eastAsia="Arial" w:hAnsi="Calibri" w:cs="Calibri"/>
        </w:rPr>
      </w:pPr>
      <w:r w:rsidRPr="005734B8">
        <w:rPr>
          <w:rFonts w:ascii="Calibri" w:eastAsia="Arial" w:hAnsi="Calibri" w:cs="Calibri"/>
        </w:rPr>
        <w:t>Subject to AASB 9</w:t>
      </w:r>
      <w:r w:rsidR="008420B5" w:rsidRPr="005734B8">
        <w:rPr>
          <w:rFonts w:ascii="Calibri" w:eastAsia="Arial" w:hAnsi="Calibri" w:cs="Calibri"/>
        </w:rPr>
        <w:t>,</w:t>
      </w:r>
      <w:r w:rsidRPr="005734B8">
        <w:rPr>
          <w:rFonts w:ascii="Calibri" w:eastAsia="Arial" w:hAnsi="Calibri" w:cs="Calibri"/>
        </w:rPr>
        <w:t xml:space="preserve"> impairment assessment include</w:t>
      </w:r>
      <w:r w:rsidR="008420B5" w:rsidRPr="005734B8">
        <w:rPr>
          <w:rFonts w:ascii="Calibri" w:eastAsia="Arial" w:hAnsi="Calibri" w:cs="Calibri"/>
        </w:rPr>
        <w:t>s</w:t>
      </w:r>
      <w:r w:rsidRPr="005734B8">
        <w:rPr>
          <w:rFonts w:ascii="Calibri" w:eastAsia="Arial" w:hAnsi="Calibri" w:cs="Calibri"/>
        </w:rPr>
        <w:t xml:space="preserve"> the Department’s contractual receivables.</w:t>
      </w:r>
    </w:p>
    <w:p w14:paraId="6E9E84EF" w14:textId="77777777" w:rsidR="00F1540A" w:rsidRPr="005734B8" w:rsidRDefault="00F1540A" w:rsidP="00F1540A">
      <w:pPr>
        <w:rPr>
          <w:rFonts w:ascii="Calibri" w:eastAsia="Arial" w:hAnsi="Calibri" w:cs="Calibri"/>
        </w:rPr>
      </w:pPr>
    </w:p>
    <w:p w14:paraId="525EC926" w14:textId="67878F5C" w:rsidR="00F1540A" w:rsidRPr="005734B8" w:rsidRDefault="00F1540A" w:rsidP="00F1540A">
      <w:pPr>
        <w:autoSpaceDE w:val="0"/>
        <w:autoSpaceDN w:val="0"/>
        <w:adjustRightInd w:val="0"/>
        <w:rPr>
          <w:rFonts w:ascii="Calibri" w:eastAsia="Arial" w:hAnsi="Calibri" w:cs="Calibri"/>
        </w:rPr>
      </w:pPr>
      <w:r w:rsidRPr="005734B8">
        <w:rPr>
          <w:rFonts w:ascii="Calibri" w:eastAsia="Arial" w:hAnsi="Calibri" w:cs="Calibri"/>
        </w:rPr>
        <w:t xml:space="preserve">Although not a financial asset, contract assets recognised </w:t>
      </w:r>
      <w:r w:rsidR="008420B5" w:rsidRPr="005734B8">
        <w:rPr>
          <w:rFonts w:ascii="Calibri" w:eastAsia="Arial" w:hAnsi="Calibri" w:cs="Calibri"/>
        </w:rPr>
        <w:t xml:space="preserve">as </w:t>
      </w:r>
      <w:r w:rsidRPr="005734B8">
        <w:rPr>
          <w:rFonts w:ascii="Calibri" w:eastAsia="Arial" w:hAnsi="Calibri" w:cs="Calibri"/>
        </w:rPr>
        <w:t>applying AASB 15 are also subject to impairment</w:t>
      </w:r>
      <w:r w:rsidR="008420B5" w:rsidRPr="005734B8">
        <w:rPr>
          <w:rFonts w:ascii="Calibri" w:eastAsia="Arial" w:hAnsi="Calibri" w:cs="Calibri"/>
        </w:rPr>
        <w:t>,</w:t>
      </w:r>
      <w:r w:rsidRPr="005734B8">
        <w:rPr>
          <w:rFonts w:ascii="Calibri" w:eastAsia="Arial" w:hAnsi="Calibri" w:cs="Calibri"/>
        </w:rPr>
        <w:t xml:space="preserve"> however</w:t>
      </w:r>
      <w:r w:rsidR="008420B5" w:rsidRPr="005734B8">
        <w:rPr>
          <w:rFonts w:ascii="Calibri" w:eastAsia="Arial" w:hAnsi="Calibri" w:cs="Calibri"/>
        </w:rPr>
        <w:t>,</w:t>
      </w:r>
      <w:r w:rsidRPr="005734B8">
        <w:rPr>
          <w:rFonts w:ascii="Calibri" w:eastAsia="Arial" w:hAnsi="Calibri" w:cs="Calibri"/>
        </w:rPr>
        <w:t xml:space="preserve"> it is immaterial.</w:t>
      </w:r>
    </w:p>
    <w:p w14:paraId="19578841" w14:textId="77777777" w:rsidR="00F1540A" w:rsidRPr="005734B8" w:rsidRDefault="00F1540A" w:rsidP="00F1540A">
      <w:pPr>
        <w:rPr>
          <w:rFonts w:ascii="Calibri" w:eastAsia="Arial" w:hAnsi="Calibri" w:cs="Calibri"/>
        </w:rPr>
      </w:pPr>
    </w:p>
    <w:p w14:paraId="4E12EA19" w14:textId="77777777" w:rsidR="00F1540A" w:rsidRPr="005734B8" w:rsidRDefault="00F1540A" w:rsidP="00F1540A">
      <w:pPr>
        <w:rPr>
          <w:rFonts w:ascii="Calibri" w:eastAsia="Arial" w:hAnsi="Calibri" w:cs="Calibri"/>
          <w:i/>
        </w:rPr>
      </w:pPr>
      <w:r w:rsidRPr="005734B8">
        <w:rPr>
          <w:rFonts w:ascii="Calibri" w:eastAsia="Arial" w:hAnsi="Calibri" w:cs="Calibri"/>
          <w:i/>
        </w:rPr>
        <w:t>Contractual receivables at amortised cost</w:t>
      </w:r>
    </w:p>
    <w:p w14:paraId="46AB9BAC" w14:textId="73CB9FFF" w:rsidR="00F1540A" w:rsidRPr="005734B8" w:rsidRDefault="00F1540A" w:rsidP="00F1540A">
      <w:pPr>
        <w:rPr>
          <w:rFonts w:ascii="Calibri" w:eastAsia="Arial" w:hAnsi="Calibri" w:cs="Calibri"/>
        </w:rPr>
      </w:pPr>
      <w:r w:rsidRPr="005734B8">
        <w:rPr>
          <w:rFonts w:ascii="Calibri" w:eastAsia="Arial" w:hAnsi="Calibri" w:cs="Calibri"/>
        </w:rPr>
        <w:t xml:space="preserve">The Department applies AASB 9’s simplified approach </w:t>
      </w:r>
      <w:r w:rsidR="008420B5" w:rsidRPr="005734B8">
        <w:rPr>
          <w:rFonts w:ascii="Calibri" w:eastAsia="Arial" w:hAnsi="Calibri" w:cs="Calibri"/>
        </w:rPr>
        <w:t>to</w:t>
      </w:r>
      <w:r w:rsidRPr="005734B8">
        <w:rPr>
          <w:rFonts w:ascii="Calibri" w:eastAsia="Arial" w:hAnsi="Calibri" w:cs="Calibri"/>
        </w:rPr>
        <w:t xml:space="preserve"> all contractual receivables</w:t>
      </w:r>
      <w:r w:rsidR="008420B5" w:rsidRPr="005734B8">
        <w:rPr>
          <w:rFonts w:ascii="Calibri" w:eastAsia="Arial" w:hAnsi="Calibri" w:cs="Calibri"/>
        </w:rPr>
        <w:t>,</w:t>
      </w:r>
      <w:r w:rsidRPr="005734B8">
        <w:rPr>
          <w:rFonts w:ascii="Calibri" w:eastAsia="Arial" w:hAnsi="Calibri" w:cs="Calibri"/>
        </w:rPr>
        <w:t xml:space="preserve"> </w:t>
      </w:r>
      <w:r w:rsidR="00425184" w:rsidRPr="005734B8">
        <w:rPr>
          <w:rFonts w:ascii="Calibri" w:eastAsia="Arial" w:hAnsi="Calibri" w:cs="Calibri"/>
        </w:rPr>
        <w:t xml:space="preserve">in order </w:t>
      </w:r>
      <w:r w:rsidRPr="005734B8">
        <w:rPr>
          <w:rFonts w:ascii="Calibri" w:eastAsia="Arial" w:hAnsi="Calibri" w:cs="Calibri"/>
        </w:rPr>
        <w:t>to measure expected credit losses using a lifetime expected loss allowance based on the assumptions about risk of default and expected loss rates. The Department has grouped contractual receivables on shared credit risk characteristics and days past due</w:t>
      </w:r>
      <w:r w:rsidR="008420B5" w:rsidRPr="005734B8">
        <w:rPr>
          <w:rFonts w:ascii="Calibri" w:eastAsia="Arial" w:hAnsi="Calibri" w:cs="Calibri"/>
        </w:rPr>
        <w:t>,</w:t>
      </w:r>
      <w:r w:rsidRPr="005734B8">
        <w:rPr>
          <w:rFonts w:ascii="Calibri" w:eastAsia="Arial" w:hAnsi="Calibri" w:cs="Calibri"/>
        </w:rPr>
        <w:t xml:space="preserve"> and select</w:t>
      </w:r>
      <w:r w:rsidR="008420B5" w:rsidRPr="005734B8">
        <w:rPr>
          <w:rFonts w:ascii="Calibri" w:eastAsia="Arial" w:hAnsi="Calibri" w:cs="Calibri"/>
        </w:rPr>
        <w:t>s</w:t>
      </w:r>
      <w:r w:rsidRPr="005734B8">
        <w:rPr>
          <w:rFonts w:ascii="Calibri" w:eastAsia="Arial" w:hAnsi="Calibri" w:cs="Calibri"/>
        </w:rPr>
        <w:t xml:space="preserve"> the expected loss rate based on the Department’s past history as well as forward</w:t>
      </w:r>
      <w:r w:rsidR="008420B5" w:rsidRPr="005734B8">
        <w:rPr>
          <w:rFonts w:ascii="Calibri" w:eastAsia="Arial" w:hAnsi="Calibri" w:cs="Calibri"/>
        </w:rPr>
        <w:noBreakHyphen/>
      </w:r>
      <w:r w:rsidRPr="005734B8">
        <w:rPr>
          <w:rFonts w:ascii="Calibri" w:eastAsia="Arial" w:hAnsi="Calibri" w:cs="Calibri"/>
        </w:rPr>
        <w:t>looking estimates at the end of the financial year. The increase in expected loss allowance takes into account the Department’s assessment of its ability to collect its receivables when they fall due</w:t>
      </w:r>
      <w:r w:rsidR="008420B5" w:rsidRPr="005734B8">
        <w:rPr>
          <w:rFonts w:ascii="Calibri" w:eastAsia="Arial" w:hAnsi="Calibri" w:cs="Calibri"/>
        </w:rPr>
        <w:t>,</w:t>
      </w:r>
      <w:r w:rsidRPr="005734B8">
        <w:rPr>
          <w:rFonts w:ascii="Calibri" w:eastAsia="Arial" w:hAnsi="Calibri" w:cs="Calibri"/>
        </w:rPr>
        <w:t xml:space="preserve"> given the continuing impact of </w:t>
      </w:r>
      <w:r w:rsidR="002E0D40" w:rsidRPr="005734B8">
        <w:rPr>
          <w:rFonts w:ascii="Calibri" w:eastAsia="Arial" w:hAnsi="Calibri" w:cs="Calibri"/>
        </w:rPr>
        <w:t xml:space="preserve">the </w:t>
      </w:r>
      <w:r w:rsidRPr="005734B8">
        <w:rPr>
          <w:rFonts w:ascii="Calibri" w:eastAsia="Arial" w:hAnsi="Calibri" w:cs="Calibri"/>
        </w:rPr>
        <w:t>COVID-19</w:t>
      </w:r>
      <w:r w:rsidR="002E0D40" w:rsidRPr="005734B8">
        <w:rPr>
          <w:rFonts w:ascii="Calibri" w:eastAsia="Arial" w:hAnsi="Calibri" w:cs="Calibri"/>
        </w:rPr>
        <w:t xml:space="preserve"> pandemic</w:t>
      </w:r>
      <w:r w:rsidRPr="005734B8">
        <w:rPr>
          <w:rFonts w:ascii="Calibri" w:eastAsia="Arial" w:hAnsi="Calibri" w:cs="Calibri"/>
        </w:rPr>
        <w:t>.</w:t>
      </w:r>
    </w:p>
    <w:p w14:paraId="407FE01D" w14:textId="77777777" w:rsidR="00F1540A" w:rsidRPr="005734B8" w:rsidRDefault="00F1540A" w:rsidP="00F1540A">
      <w:pPr>
        <w:rPr>
          <w:rFonts w:ascii="Calibri" w:eastAsia="Arial" w:hAnsi="Calibri" w:cs="Calibri"/>
        </w:rPr>
      </w:pPr>
    </w:p>
    <w:p w14:paraId="04C58F15" w14:textId="6A08F4A1" w:rsidR="00F1540A" w:rsidRPr="005734B8" w:rsidRDefault="00F1540A" w:rsidP="00F1540A">
      <w:pPr>
        <w:rPr>
          <w:rFonts w:ascii="Calibri" w:eastAsia="Arial" w:hAnsi="Calibri" w:cs="Calibri"/>
        </w:rPr>
      </w:pPr>
      <w:r w:rsidRPr="005734B8">
        <w:rPr>
          <w:rFonts w:ascii="Calibri" w:eastAsia="Arial" w:hAnsi="Calibri" w:cs="Calibri"/>
        </w:rPr>
        <w:t>On this basis, the Department determines the opening loss allowance on initial application date of AASB 9 and the closing loss allowance at the end of the financial year</w:t>
      </w:r>
      <w:r w:rsidR="008420B5" w:rsidRPr="005734B8">
        <w:rPr>
          <w:rFonts w:ascii="Calibri" w:eastAsia="Arial" w:hAnsi="Calibri" w:cs="Calibri"/>
        </w:rPr>
        <w:t>,</w:t>
      </w:r>
      <w:r w:rsidRPr="005734B8">
        <w:rPr>
          <w:rFonts w:ascii="Calibri" w:eastAsia="Arial" w:hAnsi="Calibri" w:cs="Calibri"/>
        </w:rPr>
        <w:t xml:space="preserve"> as follows:</w:t>
      </w:r>
    </w:p>
    <w:p w14:paraId="2A0EC43D" w14:textId="77777777" w:rsidR="00F1540A" w:rsidRPr="005734B8" w:rsidRDefault="00F1540A" w:rsidP="00F1540A">
      <w:pPr>
        <w:rPr>
          <w:rFonts w:ascii="Calibri" w:eastAsia="Arial" w:hAnsi="Calibri" w:cs="Calibri"/>
        </w:rPr>
      </w:pPr>
    </w:p>
    <w:tbl>
      <w:tblPr>
        <w:tblW w:w="7625" w:type="dxa"/>
        <w:tblInd w:w="75" w:type="dxa"/>
        <w:tblLayout w:type="fixed"/>
        <w:tblLook w:val="04A0" w:firstRow="1" w:lastRow="0" w:firstColumn="1" w:lastColumn="0" w:noHBand="0" w:noVBand="1"/>
      </w:tblPr>
      <w:tblGrid>
        <w:gridCol w:w="1414"/>
        <w:gridCol w:w="1092"/>
        <w:gridCol w:w="1092"/>
        <w:gridCol w:w="1071"/>
        <w:gridCol w:w="964"/>
        <w:gridCol w:w="899"/>
        <w:gridCol w:w="1093"/>
      </w:tblGrid>
      <w:tr w:rsidR="00F1540A" w:rsidRPr="005734B8" w14:paraId="4B6F77FF" w14:textId="77777777" w:rsidTr="002653E2">
        <w:trPr>
          <w:trHeight w:val="255"/>
        </w:trPr>
        <w:tc>
          <w:tcPr>
            <w:tcW w:w="1414" w:type="dxa"/>
            <w:tcBorders>
              <w:top w:val="nil"/>
              <w:left w:val="single" w:sz="4" w:space="0" w:color="FFFFFF"/>
              <w:bottom w:val="single" w:sz="4" w:space="0" w:color="FFFFFF"/>
              <w:right w:val="single" w:sz="4" w:space="0" w:color="FFFFFF"/>
            </w:tcBorders>
            <w:shd w:val="clear" w:color="000000" w:fill="AF272F"/>
            <w:vAlign w:val="center"/>
            <w:hideMark/>
          </w:tcPr>
          <w:p w14:paraId="138B2710" w14:textId="77777777" w:rsidR="00F1540A" w:rsidRPr="005734B8" w:rsidRDefault="00F1540A" w:rsidP="000F48B1">
            <w:pPr>
              <w:jc w:val="center"/>
              <w:rPr>
                <w:rFonts w:ascii="Calibri" w:hAnsi="Calibri" w:cs="Calibri"/>
                <w:b/>
                <w:color w:val="FFFFFF"/>
                <w:sz w:val="18"/>
                <w:szCs w:val="18"/>
              </w:rPr>
            </w:pPr>
            <w:bookmarkStart w:id="1704" w:name="Note_FIBTABLE1" w:colFirst="0" w:colLast="0"/>
            <w:r w:rsidRPr="005734B8">
              <w:rPr>
                <w:rFonts w:ascii="Calibri" w:hAnsi="Calibri" w:cs="Calibri"/>
                <w:b/>
                <w:color w:val="FFFFFF"/>
                <w:sz w:val="18"/>
                <w:szCs w:val="18"/>
              </w:rPr>
              <w:t> </w:t>
            </w:r>
          </w:p>
        </w:tc>
        <w:tc>
          <w:tcPr>
            <w:tcW w:w="2184" w:type="dxa"/>
            <w:gridSpan w:val="2"/>
            <w:tcBorders>
              <w:top w:val="nil"/>
              <w:left w:val="nil"/>
              <w:bottom w:val="single" w:sz="4" w:space="0" w:color="FFFFFF"/>
              <w:right w:val="single" w:sz="4" w:space="0" w:color="FFFFFF"/>
            </w:tcBorders>
            <w:shd w:val="clear" w:color="000000" w:fill="AF272F"/>
            <w:vAlign w:val="center"/>
            <w:hideMark/>
          </w:tcPr>
          <w:p w14:paraId="5C664E8D"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 </w:t>
            </w:r>
          </w:p>
        </w:tc>
        <w:tc>
          <w:tcPr>
            <w:tcW w:w="4027" w:type="dxa"/>
            <w:gridSpan w:val="4"/>
            <w:tcBorders>
              <w:top w:val="nil"/>
              <w:left w:val="nil"/>
              <w:bottom w:val="single" w:sz="4" w:space="0" w:color="FFFFFF"/>
              <w:right w:val="single" w:sz="4" w:space="0" w:color="FFFFFF"/>
            </w:tcBorders>
            <w:shd w:val="clear" w:color="000000" w:fill="AF272F"/>
            <w:vAlign w:val="center"/>
            <w:hideMark/>
          </w:tcPr>
          <w:p w14:paraId="5BE06AD6"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Past due but not impaired</w:t>
            </w:r>
          </w:p>
        </w:tc>
      </w:tr>
      <w:bookmarkEnd w:id="1704"/>
      <w:tr w:rsidR="00F1540A" w:rsidRPr="005734B8" w14:paraId="486ACD6F" w14:textId="77777777" w:rsidTr="002653E2">
        <w:trPr>
          <w:trHeight w:val="1200"/>
        </w:trPr>
        <w:tc>
          <w:tcPr>
            <w:tcW w:w="1414" w:type="dxa"/>
            <w:tcBorders>
              <w:top w:val="nil"/>
              <w:left w:val="single" w:sz="4" w:space="0" w:color="FFFFFF"/>
              <w:bottom w:val="single" w:sz="4" w:space="0" w:color="FFFFFF"/>
              <w:right w:val="single" w:sz="4" w:space="0" w:color="FFFFFF"/>
            </w:tcBorders>
            <w:shd w:val="clear" w:color="000000" w:fill="AF272F"/>
            <w:hideMark/>
          </w:tcPr>
          <w:p w14:paraId="0E5B4CD4" w14:textId="77777777" w:rsidR="00F1540A" w:rsidRPr="005734B8" w:rsidRDefault="00F1540A" w:rsidP="000F48B1">
            <w:pPr>
              <w:rPr>
                <w:rFonts w:ascii="Calibri" w:hAnsi="Calibri" w:cs="Calibri"/>
                <w:b/>
                <w:color w:val="FFFFFF"/>
                <w:sz w:val="18"/>
                <w:szCs w:val="18"/>
              </w:rPr>
            </w:pPr>
            <w:r w:rsidRPr="005734B8">
              <w:rPr>
                <w:rFonts w:ascii="Calibri" w:hAnsi="Calibri" w:cs="Calibri"/>
                <w:b/>
                <w:color w:val="FFFFFF"/>
                <w:sz w:val="18"/>
                <w:szCs w:val="18"/>
              </w:rPr>
              <w:t>30 June 2021</w:t>
            </w:r>
          </w:p>
        </w:tc>
        <w:tc>
          <w:tcPr>
            <w:tcW w:w="1092" w:type="dxa"/>
            <w:tcBorders>
              <w:top w:val="nil"/>
              <w:left w:val="nil"/>
              <w:bottom w:val="single" w:sz="4" w:space="0" w:color="auto"/>
              <w:right w:val="single" w:sz="4" w:space="0" w:color="FFFFFF"/>
            </w:tcBorders>
            <w:shd w:val="clear" w:color="000000" w:fill="AF272F"/>
            <w:hideMark/>
          </w:tcPr>
          <w:p w14:paraId="5F9F16AA"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Carrying amount</w:t>
            </w:r>
            <w:r w:rsidRPr="005734B8">
              <w:rPr>
                <w:rFonts w:ascii="Calibri" w:hAnsi="Calibri" w:cs="Calibri"/>
                <w:b/>
                <w:color w:val="FFFFFF"/>
                <w:sz w:val="18"/>
                <w:szCs w:val="18"/>
              </w:rPr>
              <w:br/>
              <w:t>($m)</w:t>
            </w:r>
          </w:p>
        </w:tc>
        <w:tc>
          <w:tcPr>
            <w:tcW w:w="1092" w:type="dxa"/>
            <w:tcBorders>
              <w:top w:val="nil"/>
              <w:left w:val="nil"/>
              <w:bottom w:val="single" w:sz="4" w:space="0" w:color="auto"/>
              <w:right w:val="single" w:sz="4" w:space="0" w:color="FFFFFF"/>
            </w:tcBorders>
            <w:shd w:val="clear" w:color="000000" w:fill="AF272F"/>
            <w:hideMark/>
          </w:tcPr>
          <w:p w14:paraId="753553B1"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Not past due and not impaired</w:t>
            </w:r>
            <w:r w:rsidRPr="005734B8">
              <w:rPr>
                <w:rFonts w:ascii="Calibri" w:hAnsi="Calibri" w:cs="Calibri"/>
                <w:b/>
                <w:color w:val="FFFFFF"/>
                <w:sz w:val="18"/>
                <w:szCs w:val="18"/>
              </w:rPr>
              <w:br/>
              <w:t>($m)</w:t>
            </w:r>
          </w:p>
        </w:tc>
        <w:tc>
          <w:tcPr>
            <w:tcW w:w="1071" w:type="dxa"/>
            <w:tcBorders>
              <w:top w:val="nil"/>
              <w:left w:val="nil"/>
              <w:bottom w:val="single" w:sz="4" w:space="0" w:color="auto"/>
              <w:right w:val="single" w:sz="4" w:space="0" w:color="FFFFFF"/>
            </w:tcBorders>
            <w:shd w:val="clear" w:color="000000" w:fill="AF272F"/>
            <w:hideMark/>
          </w:tcPr>
          <w:p w14:paraId="19D8A8A3"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Less than 1 month</w:t>
            </w:r>
            <w:r w:rsidRPr="005734B8">
              <w:rPr>
                <w:rFonts w:ascii="Calibri" w:hAnsi="Calibri" w:cs="Calibri"/>
                <w:b/>
                <w:color w:val="FFFFFF"/>
                <w:sz w:val="18"/>
                <w:szCs w:val="18"/>
              </w:rPr>
              <w:br/>
              <w:t>($m)</w:t>
            </w:r>
          </w:p>
        </w:tc>
        <w:tc>
          <w:tcPr>
            <w:tcW w:w="964" w:type="dxa"/>
            <w:tcBorders>
              <w:top w:val="nil"/>
              <w:left w:val="nil"/>
              <w:bottom w:val="single" w:sz="4" w:space="0" w:color="auto"/>
              <w:right w:val="single" w:sz="4" w:space="0" w:color="FFFFFF"/>
            </w:tcBorders>
            <w:shd w:val="clear" w:color="000000" w:fill="AF272F"/>
            <w:hideMark/>
          </w:tcPr>
          <w:p w14:paraId="27CA2818"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1-3 months</w:t>
            </w:r>
            <w:r w:rsidRPr="005734B8">
              <w:rPr>
                <w:rFonts w:ascii="Calibri" w:hAnsi="Calibri" w:cs="Calibri"/>
                <w:b/>
                <w:color w:val="FFFFFF"/>
                <w:sz w:val="18"/>
                <w:szCs w:val="18"/>
              </w:rPr>
              <w:br/>
              <w:t>($m)</w:t>
            </w:r>
          </w:p>
        </w:tc>
        <w:tc>
          <w:tcPr>
            <w:tcW w:w="899" w:type="dxa"/>
            <w:tcBorders>
              <w:top w:val="nil"/>
              <w:left w:val="nil"/>
              <w:bottom w:val="single" w:sz="4" w:space="0" w:color="auto"/>
              <w:right w:val="single" w:sz="4" w:space="0" w:color="FFFFFF"/>
            </w:tcBorders>
            <w:shd w:val="clear" w:color="000000" w:fill="AF272F"/>
            <w:hideMark/>
          </w:tcPr>
          <w:p w14:paraId="1170E103"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3 months-1 year</w:t>
            </w:r>
            <w:r w:rsidRPr="005734B8">
              <w:rPr>
                <w:rFonts w:ascii="Calibri" w:hAnsi="Calibri" w:cs="Calibri"/>
                <w:b/>
                <w:color w:val="FFFFFF"/>
                <w:sz w:val="18"/>
                <w:szCs w:val="18"/>
              </w:rPr>
              <w:br/>
              <w:t>($m)</w:t>
            </w:r>
          </w:p>
        </w:tc>
        <w:tc>
          <w:tcPr>
            <w:tcW w:w="1093" w:type="dxa"/>
            <w:tcBorders>
              <w:top w:val="nil"/>
              <w:left w:val="nil"/>
              <w:bottom w:val="single" w:sz="4" w:space="0" w:color="auto"/>
              <w:right w:val="single" w:sz="4" w:space="0" w:color="FFFFFF"/>
            </w:tcBorders>
            <w:shd w:val="clear" w:color="000000" w:fill="AF272F"/>
            <w:hideMark/>
          </w:tcPr>
          <w:p w14:paraId="3274DDB9"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Over 1 year</w:t>
            </w:r>
            <w:r w:rsidRPr="005734B8">
              <w:rPr>
                <w:rFonts w:ascii="Calibri" w:hAnsi="Calibri" w:cs="Calibri"/>
                <w:b/>
                <w:color w:val="FFFFFF"/>
                <w:sz w:val="18"/>
                <w:szCs w:val="18"/>
              </w:rPr>
              <w:br/>
              <w:t>($m)</w:t>
            </w:r>
          </w:p>
        </w:tc>
      </w:tr>
      <w:tr w:rsidR="00F1540A" w:rsidRPr="005734B8" w14:paraId="0EF314C4" w14:textId="77777777" w:rsidTr="002653E2">
        <w:trPr>
          <w:trHeight w:val="480"/>
        </w:trPr>
        <w:tc>
          <w:tcPr>
            <w:tcW w:w="1414"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44580340"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Expected loss rate</w:t>
            </w:r>
          </w:p>
        </w:tc>
        <w:tc>
          <w:tcPr>
            <w:tcW w:w="1092" w:type="dxa"/>
            <w:tcBorders>
              <w:top w:val="nil"/>
              <w:left w:val="nil"/>
              <w:bottom w:val="single" w:sz="4" w:space="0" w:color="auto"/>
              <w:right w:val="single" w:sz="4" w:space="0" w:color="FFFFFF"/>
            </w:tcBorders>
            <w:shd w:val="clear" w:color="FFFFFF" w:fill="FFFFFF"/>
            <w:noWrap/>
            <w:vAlign w:val="center"/>
            <w:hideMark/>
          </w:tcPr>
          <w:p w14:paraId="7F81859D" w14:textId="71B7870C"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w:t>
            </w:r>
          </w:p>
        </w:tc>
        <w:tc>
          <w:tcPr>
            <w:tcW w:w="1092" w:type="dxa"/>
            <w:tcBorders>
              <w:top w:val="nil"/>
              <w:left w:val="nil"/>
              <w:bottom w:val="single" w:sz="4" w:space="0" w:color="auto"/>
              <w:right w:val="single" w:sz="4" w:space="0" w:color="FFFFFF"/>
            </w:tcBorders>
            <w:shd w:val="clear" w:color="FFFFFF" w:fill="FFFFFF"/>
            <w:noWrap/>
            <w:vAlign w:val="center"/>
            <w:hideMark/>
          </w:tcPr>
          <w:p w14:paraId="26EFD04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91%</w:t>
            </w:r>
          </w:p>
        </w:tc>
        <w:tc>
          <w:tcPr>
            <w:tcW w:w="1071" w:type="dxa"/>
            <w:tcBorders>
              <w:top w:val="nil"/>
              <w:left w:val="nil"/>
              <w:bottom w:val="single" w:sz="4" w:space="0" w:color="auto"/>
              <w:right w:val="single" w:sz="4" w:space="0" w:color="FFFFFF"/>
            </w:tcBorders>
            <w:shd w:val="clear" w:color="FFFFFF" w:fill="FFFFFF"/>
            <w:noWrap/>
            <w:vAlign w:val="center"/>
            <w:hideMark/>
          </w:tcPr>
          <w:p w14:paraId="5916BB9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5%</w:t>
            </w:r>
          </w:p>
        </w:tc>
        <w:tc>
          <w:tcPr>
            <w:tcW w:w="964" w:type="dxa"/>
            <w:tcBorders>
              <w:top w:val="nil"/>
              <w:left w:val="nil"/>
              <w:bottom w:val="single" w:sz="4" w:space="0" w:color="auto"/>
              <w:right w:val="single" w:sz="4" w:space="0" w:color="FFFFFF"/>
            </w:tcBorders>
            <w:shd w:val="clear" w:color="FFFFFF" w:fill="FFFFFF"/>
            <w:noWrap/>
            <w:vAlign w:val="center"/>
            <w:hideMark/>
          </w:tcPr>
          <w:p w14:paraId="5828653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0%</w:t>
            </w:r>
          </w:p>
        </w:tc>
        <w:tc>
          <w:tcPr>
            <w:tcW w:w="899" w:type="dxa"/>
            <w:tcBorders>
              <w:top w:val="nil"/>
              <w:left w:val="nil"/>
              <w:bottom w:val="single" w:sz="4" w:space="0" w:color="auto"/>
              <w:right w:val="single" w:sz="4" w:space="0" w:color="FFFFFF"/>
            </w:tcBorders>
            <w:shd w:val="clear" w:color="FFFFFF" w:fill="FFFFFF"/>
            <w:noWrap/>
            <w:vAlign w:val="center"/>
            <w:hideMark/>
          </w:tcPr>
          <w:p w14:paraId="20C0513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6%</w:t>
            </w:r>
          </w:p>
        </w:tc>
        <w:tc>
          <w:tcPr>
            <w:tcW w:w="1093" w:type="dxa"/>
            <w:tcBorders>
              <w:top w:val="nil"/>
              <w:left w:val="nil"/>
              <w:bottom w:val="single" w:sz="4" w:space="0" w:color="auto"/>
              <w:right w:val="single" w:sz="4" w:space="0" w:color="FFFFFF"/>
            </w:tcBorders>
            <w:shd w:val="clear" w:color="FFFFFF" w:fill="FFFFFF"/>
            <w:noWrap/>
            <w:vAlign w:val="center"/>
            <w:hideMark/>
          </w:tcPr>
          <w:p w14:paraId="0CF7869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37%</w:t>
            </w:r>
          </w:p>
        </w:tc>
      </w:tr>
      <w:tr w:rsidR="00F1540A" w:rsidRPr="005734B8" w14:paraId="62A8C625" w14:textId="77777777" w:rsidTr="002653E2">
        <w:trPr>
          <w:trHeight w:val="270"/>
        </w:trPr>
        <w:tc>
          <w:tcPr>
            <w:tcW w:w="1414" w:type="dxa"/>
            <w:tcBorders>
              <w:top w:val="nil"/>
              <w:left w:val="single" w:sz="4" w:space="0" w:color="FFFFFF"/>
              <w:bottom w:val="single" w:sz="4" w:space="0" w:color="auto"/>
              <w:right w:val="single" w:sz="4" w:space="0" w:color="FFFFFF"/>
            </w:tcBorders>
            <w:shd w:val="clear" w:color="FFFFFF" w:fill="FFFFFF"/>
            <w:vAlign w:val="center"/>
            <w:hideMark/>
          </w:tcPr>
          <w:p w14:paraId="1E7068BD"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Receivables</w:t>
            </w:r>
          </w:p>
        </w:tc>
        <w:tc>
          <w:tcPr>
            <w:tcW w:w="1092" w:type="dxa"/>
            <w:tcBorders>
              <w:top w:val="nil"/>
              <w:left w:val="nil"/>
              <w:bottom w:val="single" w:sz="4" w:space="0" w:color="auto"/>
              <w:right w:val="single" w:sz="4" w:space="0" w:color="FFFFFF"/>
            </w:tcBorders>
            <w:shd w:val="clear" w:color="FFFFFF" w:fill="FFFFFF"/>
            <w:noWrap/>
            <w:vAlign w:val="center"/>
            <w:hideMark/>
          </w:tcPr>
          <w:p w14:paraId="596EE3B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130.5 </w:t>
            </w:r>
          </w:p>
        </w:tc>
        <w:tc>
          <w:tcPr>
            <w:tcW w:w="1092" w:type="dxa"/>
            <w:tcBorders>
              <w:top w:val="nil"/>
              <w:left w:val="nil"/>
              <w:bottom w:val="single" w:sz="4" w:space="0" w:color="auto"/>
              <w:right w:val="single" w:sz="4" w:space="0" w:color="FFFFFF"/>
            </w:tcBorders>
            <w:shd w:val="clear" w:color="FFFFFF" w:fill="FFFFFF"/>
            <w:noWrap/>
            <w:vAlign w:val="center"/>
            <w:hideMark/>
          </w:tcPr>
          <w:p w14:paraId="0E22C12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4.5 </w:t>
            </w:r>
          </w:p>
        </w:tc>
        <w:tc>
          <w:tcPr>
            <w:tcW w:w="1071" w:type="dxa"/>
            <w:tcBorders>
              <w:top w:val="nil"/>
              <w:left w:val="nil"/>
              <w:bottom w:val="single" w:sz="4" w:space="0" w:color="auto"/>
              <w:right w:val="single" w:sz="4" w:space="0" w:color="FFFFFF"/>
            </w:tcBorders>
            <w:shd w:val="clear" w:color="FFFFFF" w:fill="FFFFFF"/>
            <w:noWrap/>
            <w:vAlign w:val="center"/>
            <w:hideMark/>
          </w:tcPr>
          <w:p w14:paraId="66585DD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0.6 </w:t>
            </w:r>
          </w:p>
        </w:tc>
        <w:tc>
          <w:tcPr>
            <w:tcW w:w="964" w:type="dxa"/>
            <w:tcBorders>
              <w:top w:val="nil"/>
              <w:left w:val="nil"/>
              <w:bottom w:val="single" w:sz="4" w:space="0" w:color="auto"/>
              <w:right w:val="single" w:sz="4" w:space="0" w:color="FFFFFF"/>
            </w:tcBorders>
            <w:shd w:val="clear" w:color="FFFFFF" w:fill="FFFFFF"/>
            <w:noWrap/>
            <w:vAlign w:val="center"/>
            <w:hideMark/>
          </w:tcPr>
          <w:p w14:paraId="6715D4A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2.8 </w:t>
            </w:r>
          </w:p>
        </w:tc>
        <w:tc>
          <w:tcPr>
            <w:tcW w:w="899" w:type="dxa"/>
            <w:tcBorders>
              <w:top w:val="nil"/>
              <w:left w:val="nil"/>
              <w:bottom w:val="single" w:sz="4" w:space="0" w:color="auto"/>
              <w:right w:val="single" w:sz="4" w:space="0" w:color="FFFFFF"/>
            </w:tcBorders>
            <w:shd w:val="clear" w:color="FFFFFF" w:fill="FFFFFF"/>
            <w:noWrap/>
            <w:vAlign w:val="center"/>
            <w:hideMark/>
          </w:tcPr>
          <w:p w14:paraId="4B8CF88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18.4 </w:t>
            </w:r>
          </w:p>
        </w:tc>
        <w:tc>
          <w:tcPr>
            <w:tcW w:w="1093" w:type="dxa"/>
            <w:tcBorders>
              <w:top w:val="nil"/>
              <w:left w:val="nil"/>
              <w:bottom w:val="single" w:sz="4" w:space="0" w:color="auto"/>
              <w:right w:val="single" w:sz="4" w:space="0" w:color="FFFFFF"/>
            </w:tcBorders>
            <w:shd w:val="clear" w:color="FFFFFF" w:fill="FFFFFF"/>
            <w:noWrap/>
            <w:vAlign w:val="center"/>
            <w:hideMark/>
          </w:tcPr>
          <w:p w14:paraId="7A27C47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104.2 </w:t>
            </w:r>
          </w:p>
        </w:tc>
      </w:tr>
      <w:tr w:rsidR="00F1540A" w:rsidRPr="005734B8" w14:paraId="2EBBA906" w14:textId="77777777" w:rsidTr="002653E2">
        <w:trPr>
          <w:trHeight w:val="510"/>
        </w:trPr>
        <w:tc>
          <w:tcPr>
            <w:tcW w:w="1414"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FC66D34"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Loss allowance</w:t>
            </w:r>
          </w:p>
        </w:tc>
        <w:tc>
          <w:tcPr>
            <w:tcW w:w="1092" w:type="dxa"/>
            <w:tcBorders>
              <w:top w:val="single" w:sz="12" w:space="0" w:color="auto"/>
              <w:left w:val="nil"/>
              <w:bottom w:val="single" w:sz="12" w:space="0" w:color="auto"/>
              <w:right w:val="single" w:sz="12" w:space="0" w:color="FFFFFF"/>
            </w:tcBorders>
            <w:shd w:val="clear" w:color="FFFFFF" w:fill="FFFFFF"/>
            <w:noWrap/>
            <w:vAlign w:val="center"/>
            <w:hideMark/>
          </w:tcPr>
          <w:p w14:paraId="7A585614"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43.2 </w:t>
            </w:r>
          </w:p>
        </w:tc>
        <w:tc>
          <w:tcPr>
            <w:tcW w:w="1092" w:type="dxa"/>
            <w:tcBorders>
              <w:top w:val="single" w:sz="12" w:space="0" w:color="auto"/>
              <w:left w:val="nil"/>
              <w:bottom w:val="single" w:sz="12" w:space="0" w:color="auto"/>
              <w:right w:val="single" w:sz="12" w:space="0" w:color="FFFFFF"/>
            </w:tcBorders>
            <w:shd w:val="clear" w:color="FFFFFF" w:fill="FFFFFF"/>
            <w:noWrap/>
            <w:vAlign w:val="center"/>
            <w:hideMark/>
          </w:tcPr>
          <w:p w14:paraId="29EB3694"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4.1 </w:t>
            </w:r>
          </w:p>
        </w:tc>
        <w:tc>
          <w:tcPr>
            <w:tcW w:w="1071" w:type="dxa"/>
            <w:tcBorders>
              <w:top w:val="single" w:sz="12" w:space="0" w:color="auto"/>
              <w:left w:val="nil"/>
              <w:bottom w:val="single" w:sz="12" w:space="0" w:color="auto"/>
              <w:right w:val="single" w:sz="12" w:space="0" w:color="FFFFFF"/>
            </w:tcBorders>
            <w:shd w:val="clear" w:color="FFFFFF" w:fill="FFFFFF"/>
            <w:noWrap/>
            <w:vAlign w:val="center"/>
            <w:hideMark/>
          </w:tcPr>
          <w:p w14:paraId="3F99823D" w14:textId="046176E4" w:rsidR="00F1540A" w:rsidRPr="005734B8" w:rsidRDefault="002653E2" w:rsidP="000F48B1">
            <w:pPr>
              <w:jc w:val="right"/>
              <w:rPr>
                <w:rFonts w:ascii="Calibri" w:hAnsi="Calibri" w:cs="Calibri"/>
                <w:b/>
                <w:sz w:val="18"/>
                <w:szCs w:val="18"/>
              </w:rPr>
            </w:pPr>
            <w:r w:rsidRPr="005734B8">
              <w:rPr>
                <w:rFonts w:ascii="Calibri" w:hAnsi="Calibri" w:cs="Calibri"/>
                <w:sz w:val="18"/>
                <w:szCs w:val="18"/>
              </w:rPr>
              <w:t>–</w:t>
            </w:r>
          </w:p>
        </w:tc>
        <w:tc>
          <w:tcPr>
            <w:tcW w:w="964" w:type="dxa"/>
            <w:tcBorders>
              <w:top w:val="single" w:sz="12" w:space="0" w:color="auto"/>
              <w:left w:val="nil"/>
              <w:bottom w:val="single" w:sz="12" w:space="0" w:color="auto"/>
              <w:right w:val="single" w:sz="12" w:space="0" w:color="FFFFFF"/>
            </w:tcBorders>
            <w:shd w:val="clear" w:color="FFFFFF" w:fill="FFFFFF"/>
            <w:noWrap/>
            <w:vAlign w:val="center"/>
            <w:hideMark/>
          </w:tcPr>
          <w:p w14:paraId="7F263A05" w14:textId="602C7D32" w:rsidR="00F1540A" w:rsidRPr="005734B8" w:rsidRDefault="002653E2" w:rsidP="000F48B1">
            <w:pPr>
              <w:jc w:val="right"/>
              <w:rPr>
                <w:rFonts w:ascii="Calibri" w:hAnsi="Calibri" w:cs="Calibri"/>
                <w:b/>
                <w:sz w:val="18"/>
                <w:szCs w:val="18"/>
              </w:rPr>
            </w:pPr>
            <w:r w:rsidRPr="005734B8">
              <w:rPr>
                <w:rFonts w:ascii="Calibri" w:hAnsi="Calibri" w:cs="Calibri"/>
                <w:sz w:val="18"/>
                <w:szCs w:val="18"/>
              </w:rPr>
              <w:t>–</w:t>
            </w:r>
          </w:p>
        </w:tc>
        <w:tc>
          <w:tcPr>
            <w:tcW w:w="899" w:type="dxa"/>
            <w:tcBorders>
              <w:top w:val="single" w:sz="12" w:space="0" w:color="auto"/>
              <w:left w:val="nil"/>
              <w:bottom w:val="single" w:sz="12" w:space="0" w:color="auto"/>
              <w:right w:val="single" w:sz="12" w:space="0" w:color="FFFFFF"/>
            </w:tcBorders>
            <w:shd w:val="clear" w:color="FFFFFF" w:fill="FFFFFF"/>
            <w:noWrap/>
            <w:vAlign w:val="center"/>
            <w:hideMark/>
          </w:tcPr>
          <w:p w14:paraId="788CC62D"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1.1 </w:t>
            </w:r>
          </w:p>
        </w:tc>
        <w:tc>
          <w:tcPr>
            <w:tcW w:w="1093" w:type="dxa"/>
            <w:tcBorders>
              <w:top w:val="single" w:sz="12" w:space="0" w:color="auto"/>
              <w:left w:val="nil"/>
              <w:bottom w:val="single" w:sz="12" w:space="0" w:color="auto"/>
              <w:right w:val="single" w:sz="12" w:space="0" w:color="FFFFFF"/>
            </w:tcBorders>
            <w:shd w:val="clear" w:color="FFFFFF" w:fill="FFFFFF"/>
            <w:noWrap/>
            <w:vAlign w:val="center"/>
            <w:hideMark/>
          </w:tcPr>
          <w:p w14:paraId="4B9BAFFF"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38.0 </w:t>
            </w:r>
          </w:p>
        </w:tc>
      </w:tr>
      <w:tr w:rsidR="00F1540A" w:rsidRPr="005734B8" w14:paraId="12A6342D" w14:textId="77777777" w:rsidTr="002653E2">
        <w:trPr>
          <w:trHeight w:val="285"/>
        </w:trPr>
        <w:tc>
          <w:tcPr>
            <w:tcW w:w="1414" w:type="dxa"/>
            <w:tcBorders>
              <w:top w:val="nil"/>
              <w:left w:val="nil"/>
              <w:bottom w:val="nil"/>
              <w:right w:val="nil"/>
            </w:tcBorders>
            <w:shd w:val="clear" w:color="auto" w:fill="auto"/>
            <w:noWrap/>
            <w:vAlign w:val="bottom"/>
            <w:hideMark/>
          </w:tcPr>
          <w:p w14:paraId="7050076B" w14:textId="77777777" w:rsidR="00F1540A" w:rsidRPr="005734B8" w:rsidRDefault="00F1540A" w:rsidP="000F48B1">
            <w:pPr>
              <w:jc w:val="right"/>
              <w:rPr>
                <w:rFonts w:ascii="Calibri" w:hAnsi="Calibri" w:cs="Calibri"/>
                <w:b/>
                <w:sz w:val="18"/>
                <w:szCs w:val="18"/>
              </w:rPr>
            </w:pPr>
          </w:p>
        </w:tc>
        <w:tc>
          <w:tcPr>
            <w:tcW w:w="1092" w:type="dxa"/>
            <w:tcBorders>
              <w:top w:val="nil"/>
              <w:left w:val="nil"/>
              <w:bottom w:val="nil"/>
              <w:right w:val="nil"/>
            </w:tcBorders>
            <w:shd w:val="clear" w:color="auto" w:fill="auto"/>
            <w:noWrap/>
            <w:vAlign w:val="bottom"/>
            <w:hideMark/>
          </w:tcPr>
          <w:p w14:paraId="49399592" w14:textId="77777777" w:rsidR="00F1540A" w:rsidRPr="005734B8" w:rsidRDefault="00F1540A" w:rsidP="000F48B1">
            <w:pPr>
              <w:rPr>
                <w:rFonts w:ascii="Calibri" w:hAnsi="Calibri" w:cs="Calibri"/>
                <w:sz w:val="20"/>
              </w:rPr>
            </w:pPr>
          </w:p>
        </w:tc>
        <w:tc>
          <w:tcPr>
            <w:tcW w:w="1092" w:type="dxa"/>
            <w:tcBorders>
              <w:top w:val="nil"/>
              <w:left w:val="nil"/>
              <w:bottom w:val="nil"/>
              <w:right w:val="nil"/>
            </w:tcBorders>
            <w:shd w:val="clear" w:color="auto" w:fill="auto"/>
            <w:noWrap/>
            <w:vAlign w:val="bottom"/>
            <w:hideMark/>
          </w:tcPr>
          <w:p w14:paraId="412BEC10" w14:textId="77777777" w:rsidR="00F1540A" w:rsidRPr="005734B8" w:rsidRDefault="00F1540A" w:rsidP="000F48B1">
            <w:pPr>
              <w:rPr>
                <w:rFonts w:ascii="Calibri" w:hAnsi="Calibri" w:cs="Calibri"/>
                <w:sz w:val="20"/>
              </w:rPr>
            </w:pPr>
          </w:p>
        </w:tc>
        <w:tc>
          <w:tcPr>
            <w:tcW w:w="1071" w:type="dxa"/>
            <w:tcBorders>
              <w:top w:val="nil"/>
              <w:left w:val="nil"/>
              <w:bottom w:val="nil"/>
              <w:right w:val="nil"/>
            </w:tcBorders>
            <w:shd w:val="clear" w:color="auto" w:fill="auto"/>
            <w:noWrap/>
            <w:vAlign w:val="bottom"/>
            <w:hideMark/>
          </w:tcPr>
          <w:p w14:paraId="4D0BFC7A" w14:textId="77777777" w:rsidR="00F1540A" w:rsidRPr="005734B8" w:rsidRDefault="00F1540A" w:rsidP="000F48B1">
            <w:pPr>
              <w:rPr>
                <w:rFonts w:ascii="Calibri" w:hAnsi="Calibri" w:cs="Calibri"/>
                <w:sz w:val="20"/>
              </w:rPr>
            </w:pPr>
          </w:p>
        </w:tc>
        <w:tc>
          <w:tcPr>
            <w:tcW w:w="964" w:type="dxa"/>
            <w:tcBorders>
              <w:top w:val="nil"/>
              <w:left w:val="nil"/>
              <w:bottom w:val="nil"/>
              <w:right w:val="nil"/>
            </w:tcBorders>
            <w:shd w:val="clear" w:color="auto" w:fill="auto"/>
            <w:noWrap/>
            <w:vAlign w:val="bottom"/>
            <w:hideMark/>
          </w:tcPr>
          <w:p w14:paraId="5FE1A5EA" w14:textId="77777777" w:rsidR="00F1540A" w:rsidRPr="005734B8" w:rsidRDefault="00F1540A" w:rsidP="000F48B1">
            <w:pPr>
              <w:rPr>
                <w:rFonts w:ascii="Calibri" w:hAnsi="Calibri" w:cs="Calibri"/>
                <w:sz w:val="20"/>
              </w:rPr>
            </w:pPr>
          </w:p>
        </w:tc>
        <w:tc>
          <w:tcPr>
            <w:tcW w:w="899" w:type="dxa"/>
            <w:tcBorders>
              <w:top w:val="nil"/>
              <w:left w:val="nil"/>
              <w:bottom w:val="nil"/>
              <w:right w:val="nil"/>
            </w:tcBorders>
            <w:shd w:val="clear" w:color="auto" w:fill="auto"/>
            <w:noWrap/>
            <w:vAlign w:val="bottom"/>
            <w:hideMark/>
          </w:tcPr>
          <w:p w14:paraId="6EA6FACA" w14:textId="77777777" w:rsidR="00F1540A" w:rsidRPr="005734B8" w:rsidRDefault="00F1540A" w:rsidP="000F48B1">
            <w:pPr>
              <w:rPr>
                <w:rFonts w:ascii="Calibri" w:hAnsi="Calibri" w:cs="Calibri"/>
                <w:sz w:val="20"/>
              </w:rPr>
            </w:pPr>
          </w:p>
        </w:tc>
        <w:tc>
          <w:tcPr>
            <w:tcW w:w="1093" w:type="dxa"/>
            <w:tcBorders>
              <w:top w:val="nil"/>
              <w:left w:val="nil"/>
              <w:bottom w:val="nil"/>
              <w:right w:val="nil"/>
            </w:tcBorders>
            <w:shd w:val="clear" w:color="auto" w:fill="auto"/>
            <w:noWrap/>
            <w:vAlign w:val="bottom"/>
            <w:hideMark/>
          </w:tcPr>
          <w:p w14:paraId="16F01018" w14:textId="77777777" w:rsidR="00F1540A" w:rsidRPr="005734B8" w:rsidRDefault="00F1540A" w:rsidP="000F48B1">
            <w:pPr>
              <w:rPr>
                <w:rFonts w:ascii="Calibri" w:hAnsi="Calibri" w:cs="Calibri"/>
                <w:sz w:val="20"/>
              </w:rPr>
            </w:pPr>
          </w:p>
        </w:tc>
      </w:tr>
      <w:tr w:rsidR="00F1540A" w:rsidRPr="005734B8" w14:paraId="4796A799" w14:textId="77777777" w:rsidTr="002653E2">
        <w:trPr>
          <w:trHeight w:val="255"/>
        </w:trPr>
        <w:tc>
          <w:tcPr>
            <w:tcW w:w="1414" w:type="dxa"/>
            <w:tcBorders>
              <w:top w:val="nil"/>
              <w:left w:val="single" w:sz="4" w:space="0" w:color="FFFFFF"/>
              <w:bottom w:val="single" w:sz="4" w:space="0" w:color="FFFFFF"/>
              <w:right w:val="single" w:sz="4" w:space="0" w:color="FFFFFF"/>
            </w:tcBorders>
            <w:shd w:val="clear" w:color="000000" w:fill="AF272F"/>
            <w:vAlign w:val="center"/>
            <w:hideMark/>
          </w:tcPr>
          <w:p w14:paraId="0D2C5274"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 </w:t>
            </w:r>
          </w:p>
        </w:tc>
        <w:tc>
          <w:tcPr>
            <w:tcW w:w="2184" w:type="dxa"/>
            <w:gridSpan w:val="2"/>
            <w:tcBorders>
              <w:top w:val="nil"/>
              <w:left w:val="nil"/>
              <w:bottom w:val="single" w:sz="4" w:space="0" w:color="FFFFFF"/>
              <w:right w:val="single" w:sz="4" w:space="0" w:color="FFFFFF"/>
            </w:tcBorders>
            <w:shd w:val="clear" w:color="000000" w:fill="AF272F"/>
            <w:vAlign w:val="center"/>
            <w:hideMark/>
          </w:tcPr>
          <w:p w14:paraId="7863F724"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 </w:t>
            </w:r>
          </w:p>
        </w:tc>
        <w:tc>
          <w:tcPr>
            <w:tcW w:w="4027" w:type="dxa"/>
            <w:gridSpan w:val="4"/>
            <w:tcBorders>
              <w:top w:val="nil"/>
              <w:left w:val="nil"/>
              <w:bottom w:val="single" w:sz="4" w:space="0" w:color="FFFFFF"/>
              <w:right w:val="single" w:sz="4" w:space="0" w:color="FFFFFF"/>
            </w:tcBorders>
            <w:shd w:val="clear" w:color="000000" w:fill="AF272F"/>
            <w:vAlign w:val="center"/>
            <w:hideMark/>
          </w:tcPr>
          <w:p w14:paraId="2E0D1977"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Past due but not impaired</w:t>
            </w:r>
          </w:p>
        </w:tc>
      </w:tr>
      <w:tr w:rsidR="00F1540A" w:rsidRPr="005734B8" w14:paraId="200E6B7A" w14:textId="77777777" w:rsidTr="002653E2">
        <w:trPr>
          <w:trHeight w:val="1200"/>
        </w:trPr>
        <w:tc>
          <w:tcPr>
            <w:tcW w:w="1414" w:type="dxa"/>
            <w:tcBorders>
              <w:top w:val="nil"/>
              <w:left w:val="single" w:sz="4" w:space="0" w:color="FFFFFF"/>
              <w:bottom w:val="single" w:sz="4" w:space="0" w:color="FFFFFF"/>
              <w:right w:val="single" w:sz="4" w:space="0" w:color="FFFFFF"/>
            </w:tcBorders>
            <w:shd w:val="clear" w:color="000000" w:fill="AF272F"/>
            <w:hideMark/>
          </w:tcPr>
          <w:p w14:paraId="79A8695A" w14:textId="77777777" w:rsidR="00F1540A" w:rsidRPr="005734B8" w:rsidRDefault="00F1540A" w:rsidP="000F48B1">
            <w:pPr>
              <w:rPr>
                <w:rFonts w:ascii="Calibri" w:hAnsi="Calibri" w:cs="Calibri"/>
                <w:b/>
                <w:color w:val="FFFFFF"/>
                <w:sz w:val="18"/>
                <w:szCs w:val="18"/>
              </w:rPr>
            </w:pPr>
            <w:r w:rsidRPr="005734B8">
              <w:rPr>
                <w:rFonts w:ascii="Calibri" w:hAnsi="Calibri" w:cs="Calibri"/>
                <w:b/>
                <w:color w:val="FFFFFF"/>
                <w:sz w:val="18"/>
                <w:szCs w:val="18"/>
              </w:rPr>
              <w:t>1 July 2020</w:t>
            </w:r>
          </w:p>
        </w:tc>
        <w:tc>
          <w:tcPr>
            <w:tcW w:w="1092" w:type="dxa"/>
            <w:tcBorders>
              <w:top w:val="nil"/>
              <w:left w:val="nil"/>
              <w:bottom w:val="single" w:sz="4" w:space="0" w:color="auto"/>
              <w:right w:val="single" w:sz="4" w:space="0" w:color="FFFFFF"/>
            </w:tcBorders>
            <w:shd w:val="clear" w:color="000000" w:fill="AF272F"/>
            <w:hideMark/>
          </w:tcPr>
          <w:p w14:paraId="4CDE9A8E"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Carrying amount</w:t>
            </w:r>
            <w:r w:rsidRPr="005734B8">
              <w:rPr>
                <w:rFonts w:ascii="Calibri" w:hAnsi="Calibri" w:cs="Calibri"/>
                <w:b/>
                <w:color w:val="FFFFFF"/>
                <w:sz w:val="18"/>
                <w:szCs w:val="18"/>
              </w:rPr>
              <w:br/>
              <w:t>($m)</w:t>
            </w:r>
          </w:p>
        </w:tc>
        <w:tc>
          <w:tcPr>
            <w:tcW w:w="1092" w:type="dxa"/>
            <w:tcBorders>
              <w:top w:val="nil"/>
              <w:left w:val="nil"/>
              <w:bottom w:val="single" w:sz="4" w:space="0" w:color="auto"/>
              <w:right w:val="single" w:sz="4" w:space="0" w:color="FFFFFF"/>
            </w:tcBorders>
            <w:shd w:val="clear" w:color="000000" w:fill="AF272F"/>
            <w:hideMark/>
          </w:tcPr>
          <w:p w14:paraId="12DC12FA"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Not past due and not impaired</w:t>
            </w:r>
            <w:r w:rsidRPr="005734B8">
              <w:rPr>
                <w:rFonts w:ascii="Calibri" w:hAnsi="Calibri" w:cs="Calibri"/>
                <w:b/>
                <w:color w:val="FFFFFF"/>
                <w:sz w:val="18"/>
                <w:szCs w:val="18"/>
              </w:rPr>
              <w:br/>
              <w:t>($m)</w:t>
            </w:r>
          </w:p>
        </w:tc>
        <w:tc>
          <w:tcPr>
            <w:tcW w:w="1071" w:type="dxa"/>
            <w:tcBorders>
              <w:top w:val="nil"/>
              <w:left w:val="nil"/>
              <w:bottom w:val="single" w:sz="4" w:space="0" w:color="auto"/>
              <w:right w:val="single" w:sz="4" w:space="0" w:color="FFFFFF"/>
            </w:tcBorders>
            <w:shd w:val="clear" w:color="000000" w:fill="AF272F"/>
            <w:hideMark/>
          </w:tcPr>
          <w:p w14:paraId="1FD0CF0C"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Less than 1 month</w:t>
            </w:r>
            <w:r w:rsidRPr="005734B8">
              <w:rPr>
                <w:rFonts w:ascii="Calibri" w:hAnsi="Calibri" w:cs="Calibri"/>
                <w:b/>
                <w:color w:val="FFFFFF"/>
                <w:sz w:val="18"/>
                <w:szCs w:val="18"/>
              </w:rPr>
              <w:br/>
              <w:t>($m)</w:t>
            </w:r>
          </w:p>
        </w:tc>
        <w:tc>
          <w:tcPr>
            <w:tcW w:w="964" w:type="dxa"/>
            <w:tcBorders>
              <w:top w:val="nil"/>
              <w:left w:val="nil"/>
              <w:bottom w:val="single" w:sz="4" w:space="0" w:color="auto"/>
              <w:right w:val="single" w:sz="4" w:space="0" w:color="FFFFFF"/>
            </w:tcBorders>
            <w:shd w:val="clear" w:color="000000" w:fill="AF272F"/>
            <w:hideMark/>
          </w:tcPr>
          <w:p w14:paraId="28A3CB1D"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1-3 months</w:t>
            </w:r>
            <w:r w:rsidRPr="005734B8">
              <w:rPr>
                <w:rFonts w:ascii="Calibri" w:hAnsi="Calibri" w:cs="Calibri"/>
                <w:b/>
                <w:color w:val="FFFFFF"/>
                <w:sz w:val="18"/>
                <w:szCs w:val="18"/>
              </w:rPr>
              <w:br/>
              <w:t>($m)</w:t>
            </w:r>
          </w:p>
        </w:tc>
        <w:tc>
          <w:tcPr>
            <w:tcW w:w="899" w:type="dxa"/>
            <w:tcBorders>
              <w:top w:val="nil"/>
              <w:left w:val="nil"/>
              <w:bottom w:val="single" w:sz="4" w:space="0" w:color="auto"/>
              <w:right w:val="single" w:sz="4" w:space="0" w:color="FFFFFF"/>
            </w:tcBorders>
            <w:shd w:val="clear" w:color="000000" w:fill="AF272F"/>
            <w:hideMark/>
          </w:tcPr>
          <w:p w14:paraId="2EB3E384"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3 months-1 year</w:t>
            </w:r>
            <w:r w:rsidRPr="005734B8">
              <w:rPr>
                <w:rFonts w:ascii="Calibri" w:hAnsi="Calibri" w:cs="Calibri"/>
                <w:b/>
                <w:color w:val="FFFFFF"/>
                <w:sz w:val="18"/>
                <w:szCs w:val="18"/>
              </w:rPr>
              <w:br/>
              <w:t>($m)</w:t>
            </w:r>
          </w:p>
        </w:tc>
        <w:tc>
          <w:tcPr>
            <w:tcW w:w="1093" w:type="dxa"/>
            <w:tcBorders>
              <w:top w:val="nil"/>
              <w:left w:val="nil"/>
              <w:bottom w:val="single" w:sz="4" w:space="0" w:color="auto"/>
              <w:right w:val="single" w:sz="4" w:space="0" w:color="FFFFFF"/>
            </w:tcBorders>
            <w:shd w:val="clear" w:color="000000" w:fill="AF272F"/>
            <w:hideMark/>
          </w:tcPr>
          <w:p w14:paraId="462BF979"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Over 1 year</w:t>
            </w:r>
            <w:r w:rsidRPr="005734B8">
              <w:rPr>
                <w:rFonts w:ascii="Calibri" w:hAnsi="Calibri" w:cs="Calibri"/>
                <w:b/>
                <w:color w:val="FFFFFF"/>
                <w:sz w:val="18"/>
                <w:szCs w:val="18"/>
              </w:rPr>
              <w:br/>
              <w:t>($m)</w:t>
            </w:r>
          </w:p>
        </w:tc>
      </w:tr>
      <w:tr w:rsidR="00F1540A" w:rsidRPr="005734B8" w14:paraId="6F741913" w14:textId="77777777" w:rsidTr="002653E2">
        <w:trPr>
          <w:trHeight w:val="480"/>
        </w:trPr>
        <w:tc>
          <w:tcPr>
            <w:tcW w:w="1414"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643DFCF6"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Expected loss rate</w:t>
            </w:r>
          </w:p>
        </w:tc>
        <w:tc>
          <w:tcPr>
            <w:tcW w:w="1092" w:type="dxa"/>
            <w:tcBorders>
              <w:top w:val="nil"/>
              <w:left w:val="nil"/>
              <w:bottom w:val="single" w:sz="4" w:space="0" w:color="auto"/>
              <w:right w:val="single" w:sz="4" w:space="0" w:color="FFFFFF"/>
            </w:tcBorders>
            <w:shd w:val="clear" w:color="FFFFFF" w:fill="FFFFFF"/>
            <w:noWrap/>
            <w:vAlign w:val="center"/>
            <w:hideMark/>
          </w:tcPr>
          <w:p w14:paraId="391E5ACF" w14:textId="048FE0CB"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1092" w:type="dxa"/>
            <w:tcBorders>
              <w:top w:val="nil"/>
              <w:left w:val="nil"/>
              <w:bottom w:val="single" w:sz="4" w:space="0" w:color="auto"/>
              <w:right w:val="single" w:sz="4" w:space="0" w:color="FFFFFF"/>
            </w:tcBorders>
            <w:shd w:val="clear" w:color="FFFFFF" w:fill="FFFFFF"/>
            <w:noWrap/>
            <w:vAlign w:val="center"/>
            <w:hideMark/>
          </w:tcPr>
          <w:p w14:paraId="5C8E913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31%</w:t>
            </w:r>
          </w:p>
        </w:tc>
        <w:tc>
          <w:tcPr>
            <w:tcW w:w="1071" w:type="dxa"/>
            <w:tcBorders>
              <w:top w:val="nil"/>
              <w:left w:val="nil"/>
              <w:bottom w:val="single" w:sz="4" w:space="0" w:color="auto"/>
              <w:right w:val="single" w:sz="4" w:space="0" w:color="FFFFFF"/>
            </w:tcBorders>
            <w:shd w:val="clear" w:color="FFFFFF" w:fill="FFFFFF"/>
            <w:noWrap/>
            <w:vAlign w:val="center"/>
            <w:hideMark/>
          </w:tcPr>
          <w:p w14:paraId="6464BE0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0%</w:t>
            </w:r>
          </w:p>
        </w:tc>
        <w:tc>
          <w:tcPr>
            <w:tcW w:w="964" w:type="dxa"/>
            <w:tcBorders>
              <w:top w:val="nil"/>
              <w:left w:val="nil"/>
              <w:bottom w:val="single" w:sz="4" w:space="0" w:color="auto"/>
              <w:right w:val="single" w:sz="4" w:space="0" w:color="FFFFFF"/>
            </w:tcBorders>
            <w:shd w:val="clear" w:color="FFFFFF" w:fill="FFFFFF"/>
            <w:noWrap/>
            <w:vAlign w:val="center"/>
            <w:hideMark/>
          </w:tcPr>
          <w:p w14:paraId="07DBA38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0%</w:t>
            </w:r>
          </w:p>
        </w:tc>
        <w:tc>
          <w:tcPr>
            <w:tcW w:w="899" w:type="dxa"/>
            <w:tcBorders>
              <w:top w:val="nil"/>
              <w:left w:val="nil"/>
              <w:bottom w:val="single" w:sz="4" w:space="0" w:color="auto"/>
              <w:right w:val="single" w:sz="4" w:space="0" w:color="FFFFFF"/>
            </w:tcBorders>
            <w:shd w:val="clear" w:color="FFFFFF" w:fill="FFFFFF"/>
            <w:noWrap/>
            <w:vAlign w:val="center"/>
            <w:hideMark/>
          </w:tcPr>
          <w:p w14:paraId="101C813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16%</w:t>
            </w:r>
          </w:p>
        </w:tc>
        <w:tc>
          <w:tcPr>
            <w:tcW w:w="1093" w:type="dxa"/>
            <w:tcBorders>
              <w:top w:val="nil"/>
              <w:left w:val="nil"/>
              <w:bottom w:val="single" w:sz="4" w:space="0" w:color="auto"/>
              <w:right w:val="single" w:sz="4" w:space="0" w:color="FFFFFF"/>
            </w:tcBorders>
            <w:shd w:val="clear" w:color="FFFFFF" w:fill="FFFFFF"/>
            <w:noWrap/>
            <w:vAlign w:val="center"/>
            <w:hideMark/>
          </w:tcPr>
          <w:p w14:paraId="30956C9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39%</w:t>
            </w:r>
          </w:p>
        </w:tc>
      </w:tr>
      <w:tr w:rsidR="00F1540A" w:rsidRPr="005734B8" w14:paraId="29643713" w14:textId="77777777" w:rsidTr="002653E2">
        <w:trPr>
          <w:trHeight w:val="270"/>
        </w:trPr>
        <w:tc>
          <w:tcPr>
            <w:tcW w:w="1414" w:type="dxa"/>
            <w:tcBorders>
              <w:top w:val="nil"/>
              <w:left w:val="single" w:sz="4" w:space="0" w:color="FFFFFF"/>
              <w:bottom w:val="single" w:sz="4" w:space="0" w:color="auto"/>
              <w:right w:val="single" w:sz="4" w:space="0" w:color="FFFFFF"/>
            </w:tcBorders>
            <w:shd w:val="clear" w:color="FFFFFF" w:fill="FFFFFF"/>
            <w:vAlign w:val="center"/>
            <w:hideMark/>
          </w:tcPr>
          <w:p w14:paraId="53F2D288"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Receivables</w:t>
            </w:r>
          </w:p>
        </w:tc>
        <w:tc>
          <w:tcPr>
            <w:tcW w:w="1092" w:type="dxa"/>
            <w:tcBorders>
              <w:top w:val="nil"/>
              <w:left w:val="nil"/>
              <w:bottom w:val="single" w:sz="4" w:space="0" w:color="auto"/>
              <w:right w:val="single" w:sz="4" w:space="0" w:color="FFFFFF"/>
            </w:tcBorders>
            <w:shd w:val="clear" w:color="FFFFFF" w:fill="FFFFFF"/>
            <w:noWrap/>
            <w:vAlign w:val="center"/>
            <w:hideMark/>
          </w:tcPr>
          <w:p w14:paraId="2583832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124.6 </w:t>
            </w:r>
          </w:p>
        </w:tc>
        <w:tc>
          <w:tcPr>
            <w:tcW w:w="1092" w:type="dxa"/>
            <w:tcBorders>
              <w:top w:val="nil"/>
              <w:left w:val="nil"/>
              <w:bottom w:val="single" w:sz="4" w:space="0" w:color="auto"/>
              <w:right w:val="single" w:sz="4" w:space="0" w:color="FFFFFF"/>
            </w:tcBorders>
            <w:shd w:val="clear" w:color="FFFFFF" w:fill="FFFFFF"/>
            <w:noWrap/>
            <w:vAlign w:val="center"/>
            <w:hideMark/>
          </w:tcPr>
          <w:p w14:paraId="414B172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7.5 </w:t>
            </w:r>
          </w:p>
        </w:tc>
        <w:tc>
          <w:tcPr>
            <w:tcW w:w="1071" w:type="dxa"/>
            <w:tcBorders>
              <w:top w:val="nil"/>
              <w:left w:val="nil"/>
              <w:bottom w:val="single" w:sz="4" w:space="0" w:color="auto"/>
              <w:right w:val="single" w:sz="4" w:space="0" w:color="FFFFFF"/>
            </w:tcBorders>
            <w:shd w:val="clear" w:color="FFFFFF" w:fill="FFFFFF"/>
            <w:noWrap/>
            <w:vAlign w:val="center"/>
            <w:hideMark/>
          </w:tcPr>
          <w:p w14:paraId="78C5196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5.7 </w:t>
            </w:r>
          </w:p>
        </w:tc>
        <w:tc>
          <w:tcPr>
            <w:tcW w:w="964" w:type="dxa"/>
            <w:tcBorders>
              <w:top w:val="nil"/>
              <w:left w:val="nil"/>
              <w:bottom w:val="single" w:sz="4" w:space="0" w:color="auto"/>
              <w:right w:val="single" w:sz="4" w:space="0" w:color="FFFFFF"/>
            </w:tcBorders>
            <w:shd w:val="clear" w:color="FFFFFF" w:fill="FFFFFF"/>
            <w:noWrap/>
            <w:vAlign w:val="center"/>
            <w:hideMark/>
          </w:tcPr>
          <w:p w14:paraId="3C6C482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2.3 </w:t>
            </w:r>
          </w:p>
        </w:tc>
        <w:tc>
          <w:tcPr>
            <w:tcW w:w="899" w:type="dxa"/>
            <w:tcBorders>
              <w:top w:val="nil"/>
              <w:left w:val="nil"/>
              <w:bottom w:val="single" w:sz="4" w:space="0" w:color="auto"/>
              <w:right w:val="single" w:sz="4" w:space="0" w:color="FFFFFF"/>
            </w:tcBorders>
            <w:shd w:val="clear" w:color="FFFFFF" w:fill="FFFFFF"/>
            <w:noWrap/>
            <w:vAlign w:val="center"/>
            <w:hideMark/>
          </w:tcPr>
          <w:p w14:paraId="2118E1C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9.0 </w:t>
            </w:r>
          </w:p>
        </w:tc>
        <w:tc>
          <w:tcPr>
            <w:tcW w:w="1093" w:type="dxa"/>
            <w:tcBorders>
              <w:top w:val="nil"/>
              <w:left w:val="nil"/>
              <w:bottom w:val="single" w:sz="4" w:space="0" w:color="auto"/>
              <w:right w:val="single" w:sz="4" w:space="0" w:color="FFFFFF"/>
            </w:tcBorders>
            <w:shd w:val="clear" w:color="FFFFFF" w:fill="FFFFFF"/>
            <w:noWrap/>
            <w:vAlign w:val="center"/>
            <w:hideMark/>
          </w:tcPr>
          <w:p w14:paraId="529B42F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100.1 </w:t>
            </w:r>
          </w:p>
        </w:tc>
      </w:tr>
      <w:tr w:rsidR="00F1540A" w:rsidRPr="005734B8" w14:paraId="52D0C44B" w14:textId="77777777" w:rsidTr="002653E2">
        <w:trPr>
          <w:trHeight w:val="510"/>
        </w:trPr>
        <w:tc>
          <w:tcPr>
            <w:tcW w:w="1414"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4A1A2BB"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Loss allowance</w:t>
            </w:r>
          </w:p>
        </w:tc>
        <w:tc>
          <w:tcPr>
            <w:tcW w:w="1092" w:type="dxa"/>
            <w:tcBorders>
              <w:top w:val="single" w:sz="12" w:space="0" w:color="auto"/>
              <w:left w:val="nil"/>
              <w:bottom w:val="single" w:sz="12" w:space="0" w:color="auto"/>
              <w:right w:val="single" w:sz="12" w:space="0" w:color="FFFFFF"/>
            </w:tcBorders>
            <w:shd w:val="clear" w:color="FFFFFF" w:fill="FFFFFF"/>
            <w:noWrap/>
            <w:vAlign w:val="center"/>
            <w:hideMark/>
          </w:tcPr>
          <w:p w14:paraId="47EC96B5"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43.0 </w:t>
            </w:r>
          </w:p>
        </w:tc>
        <w:tc>
          <w:tcPr>
            <w:tcW w:w="1092" w:type="dxa"/>
            <w:tcBorders>
              <w:top w:val="single" w:sz="12" w:space="0" w:color="auto"/>
              <w:left w:val="nil"/>
              <w:bottom w:val="single" w:sz="12" w:space="0" w:color="auto"/>
              <w:right w:val="single" w:sz="12" w:space="0" w:color="FFFFFF"/>
            </w:tcBorders>
            <w:shd w:val="clear" w:color="FFFFFF" w:fill="FFFFFF"/>
            <w:noWrap/>
            <w:vAlign w:val="center"/>
            <w:hideMark/>
          </w:tcPr>
          <w:p w14:paraId="5A5E6F20"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2.3 </w:t>
            </w:r>
          </w:p>
        </w:tc>
        <w:tc>
          <w:tcPr>
            <w:tcW w:w="1071" w:type="dxa"/>
            <w:tcBorders>
              <w:top w:val="single" w:sz="12" w:space="0" w:color="auto"/>
              <w:left w:val="nil"/>
              <w:bottom w:val="single" w:sz="12" w:space="0" w:color="auto"/>
              <w:right w:val="single" w:sz="12" w:space="0" w:color="FFFFFF"/>
            </w:tcBorders>
            <w:shd w:val="clear" w:color="FFFFFF" w:fill="FFFFFF"/>
            <w:noWrap/>
            <w:vAlign w:val="center"/>
            <w:hideMark/>
          </w:tcPr>
          <w:p w14:paraId="73DA0280" w14:textId="3BD8F78C"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964" w:type="dxa"/>
            <w:tcBorders>
              <w:top w:val="single" w:sz="12" w:space="0" w:color="auto"/>
              <w:left w:val="nil"/>
              <w:bottom w:val="single" w:sz="12" w:space="0" w:color="auto"/>
              <w:right w:val="single" w:sz="12" w:space="0" w:color="FFFFFF"/>
            </w:tcBorders>
            <w:shd w:val="clear" w:color="FFFFFF" w:fill="FFFFFF"/>
            <w:noWrap/>
            <w:vAlign w:val="center"/>
            <w:hideMark/>
          </w:tcPr>
          <w:p w14:paraId="0D9EED93" w14:textId="724524AF"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899" w:type="dxa"/>
            <w:tcBorders>
              <w:top w:val="single" w:sz="12" w:space="0" w:color="auto"/>
              <w:left w:val="nil"/>
              <w:bottom w:val="single" w:sz="12" w:space="0" w:color="auto"/>
              <w:right w:val="single" w:sz="12" w:space="0" w:color="FFFFFF"/>
            </w:tcBorders>
            <w:shd w:val="clear" w:color="FFFFFF" w:fill="FFFFFF"/>
            <w:noWrap/>
            <w:vAlign w:val="center"/>
            <w:hideMark/>
          </w:tcPr>
          <w:p w14:paraId="250CEAA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1.4 </w:t>
            </w:r>
          </w:p>
        </w:tc>
        <w:tc>
          <w:tcPr>
            <w:tcW w:w="1093" w:type="dxa"/>
            <w:tcBorders>
              <w:top w:val="single" w:sz="12" w:space="0" w:color="auto"/>
              <w:left w:val="nil"/>
              <w:bottom w:val="single" w:sz="12" w:space="0" w:color="auto"/>
              <w:right w:val="single" w:sz="12" w:space="0" w:color="FFFFFF"/>
            </w:tcBorders>
            <w:shd w:val="clear" w:color="FFFFFF" w:fill="FFFFFF"/>
            <w:noWrap/>
            <w:vAlign w:val="center"/>
            <w:hideMark/>
          </w:tcPr>
          <w:p w14:paraId="7B930917"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39.3 </w:t>
            </w:r>
          </w:p>
        </w:tc>
      </w:tr>
    </w:tbl>
    <w:p w14:paraId="2E0764B6" w14:textId="77777777" w:rsidR="00F1540A" w:rsidRPr="005734B8" w:rsidRDefault="00F1540A" w:rsidP="00F1540A">
      <w:pPr>
        <w:rPr>
          <w:rFonts w:ascii="Calibri" w:eastAsia="Arial" w:hAnsi="Calibri" w:cs="Calibri"/>
        </w:rPr>
        <w:sectPr w:rsidR="00F1540A" w:rsidRPr="005734B8" w:rsidSect="000F48B1">
          <w:pgSz w:w="11906" w:h="16838" w:code="9"/>
          <w:pgMar w:top="1440" w:right="1134" w:bottom="1440" w:left="2835" w:header="958" w:footer="737" w:gutter="0"/>
          <w:cols w:space="708"/>
          <w:docGrid w:linePitch="360"/>
        </w:sectPr>
      </w:pPr>
    </w:p>
    <w:p w14:paraId="6CAF706F" w14:textId="50C05986" w:rsidR="00F1540A" w:rsidRPr="005734B8" w:rsidRDefault="00F1540A" w:rsidP="00F1540A">
      <w:pPr>
        <w:rPr>
          <w:rFonts w:ascii="Calibri" w:eastAsia="Arial" w:hAnsi="Calibri" w:cs="Calibri"/>
        </w:rPr>
      </w:pPr>
      <w:r w:rsidRPr="005734B8">
        <w:rPr>
          <w:rFonts w:ascii="Calibri" w:eastAsia="Arial" w:hAnsi="Calibri" w:cs="Calibri"/>
        </w:rPr>
        <w:lastRenderedPageBreak/>
        <w:t>The following table represent classifications of financial assets and liabilities under AASB 9.</w:t>
      </w:r>
    </w:p>
    <w:p w14:paraId="217935C2" w14:textId="77777777" w:rsidR="00F1540A" w:rsidRPr="005734B8" w:rsidRDefault="00F1540A" w:rsidP="00F1540A">
      <w:pPr>
        <w:rPr>
          <w:rFonts w:ascii="Calibri" w:hAnsi="Calibri" w:cs="Calibri"/>
        </w:rPr>
      </w:pPr>
    </w:p>
    <w:tbl>
      <w:tblPr>
        <w:tblW w:w="13946" w:type="dxa"/>
        <w:tblInd w:w="75" w:type="dxa"/>
        <w:tblLayout w:type="fixed"/>
        <w:tblLook w:val="04A0" w:firstRow="1" w:lastRow="0" w:firstColumn="1" w:lastColumn="0" w:noHBand="0" w:noVBand="1"/>
      </w:tblPr>
      <w:tblGrid>
        <w:gridCol w:w="2787"/>
        <w:gridCol w:w="1401"/>
        <w:gridCol w:w="1388"/>
        <w:gridCol w:w="2074"/>
        <w:gridCol w:w="2121"/>
        <w:gridCol w:w="1401"/>
        <w:gridCol w:w="1388"/>
        <w:gridCol w:w="1386"/>
      </w:tblGrid>
      <w:tr w:rsidR="00F1540A" w:rsidRPr="005734B8" w14:paraId="26793ABE" w14:textId="77777777" w:rsidTr="000F48B1">
        <w:trPr>
          <w:trHeight w:val="170"/>
        </w:trPr>
        <w:tc>
          <w:tcPr>
            <w:tcW w:w="2787" w:type="dxa"/>
            <w:tcBorders>
              <w:top w:val="nil"/>
              <w:left w:val="single" w:sz="4" w:space="0" w:color="FFFFFF"/>
              <w:bottom w:val="nil"/>
              <w:right w:val="single" w:sz="4" w:space="0" w:color="FFFFFF"/>
            </w:tcBorders>
            <w:shd w:val="clear" w:color="000000" w:fill="AF272F"/>
            <w:hideMark/>
          </w:tcPr>
          <w:p w14:paraId="42100873" w14:textId="77777777" w:rsidR="00F1540A" w:rsidRPr="005734B8" w:rsidRDefault="00F1540A" w:rsidP="000F48B1">
            <w:pPr>
              <w:rPr>
                <w:rFonts w:ascii="Calibri" w:hAnsi="Calibri" w:cs="Calibri"/>
                <w:b/>
                <w:color w:val="FFFFFF"/>
                <w:sz w:val="16"/>
                <w:szCs w:val="16"/>
              </w:rPr>
            </w:pPr>
            <w:bookmarkStart w:id="1705" w:name="Note_FICTABLE1" w:colFirst="0" w:colLast="0"/>
            <w:r w:rsidRPr="005734B8">
              <w:rPr>
                <w:rFonts w:ascii="Calibri" w:hAnsi="Calibri" w:cs="Calibri"/>
                <w:b/>
                <w:color w:val="FFFFFF"/>
                <w:sz w:val="16"/>
                <w:szCs w:val="16"/>
              </w:rPr>
              <w:t>2021</w:t>
            </w:r>
          </w:p>
        </w:tc>
        <w:tc>
          <w:tcPr>
            <w:tcW w:w="1401" w:type="dxa"/>
            <w:tcBorders>
              <w:top w:val="nil"/>
              <w:left w:val="nil"/>
              <w:bottom w:val="nil"/>
              <w:right w:val="single" w:sz="4" w:space="0" w:color="FFFFFF"/>
            </w:tcBorders>
            <w:shd w:val="clear" w:color="000000" w:fill="AF272F"/>
            <w:hideMark/>
          </w:tcPr>
          <w:p w14:paraId="7C210DB9"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Cash and deposits ($m)</w:t>
            </w:r>
          </w:p>
        </w:tc>
        <w:tc>
          <w:tcPr>
            <w:tcW w:w="1388" w:type="dxa"/>
            <w:tcBorders>
              <w:top w:val="nil"/>
              <w:left w:val="nil"/>
              <w:bottom w:val="nil"/>
              <w:right w:val="single" w:sz="4" w:space="0" w:color="FFFFFF"/>
            </w:tcBorders>
            <w:shd w:val="clear" w:color="000000" w:fill="AF272F"/>
            <w:hideMark/>
          </w:tcPr>
          <w:p w14:paraId="1B186C45"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Financial assets/ liabilities designated at fair value through profit/ loss (FVTPL) ($m)</w:t>
            </w:r>
          </w:p>
        </w:tc>
        <w:tc>
          <w:tcPr>
            <w:tcW w:w="2074" w:type="dxa"/>
            <w:tcBorders>
              <w:top w:val="nil"/>
              <w:left w:val="nil"/>
              <w:bottom w:val="nil"/>
              <w:right w:val="single" w:sz="4" w:space="0" w:color="FFFFFF"/>
            </w:tcBorders>
            <w:shd w:val="clear" w:color="000000" w:fill="AF272F"/>
            <w:hideMark/>
          </w:tcPr>
          <w:p w14:paraId="12FE4280"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Financial assets/liabilities mandatorily measured at fair value through profit/ loss (FVTPL) ($m)</w:t>
            </w:r>
          </w:p>
        </w:tc>
        <w:tc>
          <w:tcPr>
            <w:tcW w:w="2121" w:type="dxa"/>
            <w:tcBorders>
              <w:top w:val="nil"/>
              <w:left w:val="nil"/>
              <w:bottom w:val="nil"/>
              <w:right w:val="single" w:sz="4" w:space="0" w:color="FFFFFF"/>
            </w:tcBorders>
            <w:shd w:val="clear" w:color="000000" w:fill="AF272F"/>
            <w:hideMark/>
          </w:tcPr>
          <w:p w14:paraId="3F49DB27"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Financial assets/liabilities measured at fair value through other comprehensive income ($m)</w:t>
            </w:r>
          </w:p>
        </w:tc>
        <w:tc>
          <w:tcPr>
            <w:tcW w:w="1401" w:type="dxa"/>
            <w:tcBorders>
              <w:top w:val="nil"/>
              <w:left w:val="nil"/>
              <w:bottom w:val="nil"/>
              <w:right w:val="single" w:sz="4" w:space="0" w:color="FFFFFF"/>
            </w:tcBorders>
            <w:shd w:val="clear" w:color="000000" w:fill="AF272F"/>
            <w:hideMark/>
          </w:tcPr>
          <w:p w14:paraId="0F6938EB"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Financial assets at amortised cost (AC) ($m)</w:t>
            </w:r>
          </w:p>
        </w:tc>
        <w:tc>
          <w:tcPr>
            <w:tcW w:w="1388" w:type="dxa"/>
            <w:tcBorders>
              <w:top w:val="nil"/>
              <w:left w:val="nil"/>
              <w:bottom w:val="nil"/>
              <w:right w:val="single" w:sz="4" w:space="0" w:color="FFFFFF"/>
            </w:tcBorders>
            <w:shd w:val="clear" w:color="000000" w:fill="AF272F"/>
            <w:hideMark/>
          </w:tcPr>
          <w:p w14:paraId="52B9495D"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Financial liabilities at amortised cost (AC) ($m)</w:t>
            </w:r>
          </w:p>
        </w:tc>
        <w:tc>
          <w:tcPr>
            <w:tcW w:w="1386" w:type="dxa"/>
            <w:tcBorders>
              <w:top w:val="nil"/>
              <w:left w:val="nil"/>
              <w:bottom w:val="nil"/>
              <w:right w:val="single" w:sz="4" w:space="0" w:color="FFFFFF"/>
            </w:tcBorders>
            <w:shd w:val="clear" w:color="000000" w:fill="AF272F"/>
            <w:hideMark/>
          </w:tcPr>
          <w:p w14:paraId="29406541"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Total ($m)</w:t>
            </w:r>
          </w:p>
        </w:tc>
      </w:tr>
      <w:bookmarkEnd w:id="1705"/>
      <w:tr w:rsidR="00F1540A" w:rsidRPr="005734B8" w14:paraId="7CC53E18" w14:textId="77777777" w:rsidTr="000F48B1">
        <w:trPr>
          <w:trHeight w:val="170"/>
        </w:trPr>
        <w:tc>
          <w:tcPr>
            <w:tcW w:w="2787" w:type="dxa"/>
            <w:tcBorders>
              <w:top w:val="nil"/>
              <w:left w:val="single" w:sz="4" w:space="0" w:color="FFFFFF"/>
              <w:bottom w:val="single" w:sz="4" w:space="0" w:color="auto"/>
              <w:right w:val="single" w:sz="4" w:space="0" w:color="FFFFFF"/>
            </w:tcBorders>
            <w:shd w:val="clear" w:color="000000" w:fill="53565A"/>
            <w:vAlign w:val="center"/>
            <w:hideMark/>
          </w:tcPr>
          <w:p w14:paraId="13CF537B" w14:textId="77777777" w:rsidR="00F1540A" w:rsidRPr="005734B8" w:rsidRDefault="00F1540A" w:rsidP="000F48B1">
            <w:pPr>
              <w:rPr>
                <w:rFonts w:ascii="Calibri" w:hAnsi="Calibri" w:cs="Calibri"/>
                <w:b/>
                <w:color w:val="FFFFFF"/>
                <w:sz w:val="16"/>
                <w:szCs w:val="16"/>
              </w:rPr>
            </w:pPr>
            <w:r w:rsidRPr="005734B8">
              <w:rPr>
                <w:rFonts w:ascii="Calibri" w:hAnsi="Calibri" w:cs="Calibri"/>
                <w:b/>
                <w:color w:val="FFFFFF"/>
                <w:sz w:val="16"/>
                <w:szCs w:val="16"/>
              </w:rPr>
              <w:t>Contractual financial assets:</w:t>
            </w:r>
          </w:p>
        </w:tc>
        <w:tc>
          <w:tcPr>
            <w:tcW w:w="1401" w:type="dxa"/>
            <w:tcBorders>
              <w:top w:val="nil"/>
              <w:left w:val="nil"/>
              <w:bottom w:val="single" w:sz="4" w:space="0" w:color="auto"/>
              <w:right w:val="single" w:sz="4" w:space="0" w:color="FFFFFF"/>
            </w:tcBorders>
            <w:shd w:val="clear" w:color="000000" w:fill="53565A"/>
            <w:hideMark/>
          </w:tcPr>
          <w:p w14:paraId="13C261F7"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1388" w:type="dxa"/>
            <w:tcBorders>
              <w:top w:val="nil"/>
              <w:left w:val="nil"/>
              <w:bottom w:val="single" w:sz="4" w:space="0" w:color="auto"/>
              <w:right w:val="single" w:sz="4" w:space="0" w:color="FFFFFF"/>
            </w:tcBorders>
            <w:shd w:val="clear" w:color="000000" w:fill="53565A"/>
            <w:hideMark/>
          </w:tcPr>
          <w:p w14:paraId="2334F0C3"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2074" w:type="dxa"/>
            <w:tcBorders>
              <w:top w:val="nil"/>
              <w:left w:val="nil"/>
              <w:bottom w:val="single" w:sz="4" w:space="0" w:color="auto"/>
              <w:right w:val="single" w:sz="4" w:space="0" w:color="FFFFFF"/>
            </w:tcBorders>
            <w:shd w:val="clear" w:color="000000" w:fill="53565A"/>
            <w:hideMark/>
          </w:tcPr>
          <w:p w14:paraId="41052CE0"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2121" w:type="dxa"/>
            <w:tcBorders>
              <w:top w:val="nil"/>
              <w:left w:val="nil"/>
              <w:bottom w:val="single" w:sz="4" w:space="0" w:color="auto"/>
              <w:right w:val="single" w:sz="4" w:space="0" w:color="FFFFFF"/>
            </w:tcBorders>
            <w:shd w:val="clear" w:color="000000" w:fill="53565A"/>
            <w:hideMark/>
          </w:tcPr>
          <w:p w14:paraId="7E976483"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1401" w:type="dxa"/>
            <w:tcBorders>
              <w:top w:val="nil"/>
              <w:left w:val="nil"/>
              <w:bottom w:val="single" w:sz="4" w:space="0" w:color="auto"/>
              <w:right w:val="single" w:sz="4" w:space="0" w:color="FFFFFF"/>
            </w:tcBorders>
            <w:shd w:val="clear" w:color="000000" w:fill="53565A"/>
            <w:hideMark/>
          </w:tcPr>
          <w:p w14:paraId="10F7FF50"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1388" w:type="dxa"/>
            <w:tcBorders>
              <w:top w:val="nil"/>
              <w:left w:val="nil"/>
              <w:bottom w:val="single" w:sz="4" w:space="0" w:color="auto"/>
              <w:right w:val="single" w:sz="4" w:space="0" w:color="FFFFFF"/>
            </w:tcBorders>
            <w:shd w:val="clear" w:color="000000" w:fill="53565A"/>
            <w:hideMark/>
          </w:tcPr>
          <w:p w14:paraId="150A4E25"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1386" w:type="dxa"/>
            <w:tcBorders>
              <w:top w:val="nil"/>
              <w:left w:val="nil"/>
              <w:bottom w:val="single" w:sz="4" w:space="0" w:color="auto"/>
              <w:right w:val="single" w:sz="4" w:space="0" w:color="FFFFFF"/>
            </w:tcBorders>
            <w:shd w:val="clear" w:color="000000" w:fill="53565A"/>
            <w:hideMark/>
          </w:tcPr>
          <w:p w14:paraId="4764B01E"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r>
      <w:tr w:rsidR="00F1540A" w:rsidRPr="005734B8" w14:paraId="1C96A588" w14:textId="77777777" w:rsidTr="000F48B1">
        <w:trPr>
          <w:trHeight w:val="170"/>
        </w:trPr>
        <w:tc>
          <w:tcPr>
            <w:tcW w:w="2787" w:type="dxa"/>
            <w:tcBorders>
              <w:top w:val="nil"/>
              <w:left w:val="nil"/>
              <w:bottom w:val="single" w:sz="4" w:space="0" w:color="auto"/>
              <w:right w:val="nil"/>
            </w:tcBorders>
            <w:shd w:val="clear" w:color="000000" w:fill="D9D9D9"/>
            <w:vAlign w:val="center"/>
            <w:hideMark/>
          </w:tcPr>
          <w:p w14:paraId="35EC1EB2" w14:textId="3350FF29" w:rsidR="00F1540A" w:rsidRPr="005734B8" w:rsidRDefault="00F1540A" w:rsidP="000F48B1">
            <w:pPr>
              <w:rPr>
                <w:rFonts w:ascii="Calibri" w:hAnsi="Calibri" w:cs="Calibri"/>
                <w:color w:val="000000"/>
                <w:sz w:val="16"/>
                <w:szCs w:val="16"/>
              </w:rPr>
            </w:pPr>
            <w:r w:rsidRPr="005734B8">
              <w:rPr>
                <w:rFonts w:ascii="Calibri" w:hAnsi="Calibri" w:cs="Calibri"/>
                <w:color w:val="000000"/>
                <w:sz w:val="16"/>
                <w:szCs w:val="16"/>
              </w:rPr>
              <w:t xml:space="preserve">Cash and deposits </w:t>
            </w:r>
            <w:r w:rsidR="00B15F9A" w:rsidRPr="005734B8">
              <w:rPr>
                <w:rFonts w:ascii="Calibri" w:hAnsi="Calibri" w:cs="Calibri"/>
                <w:color w:val="000000"/>
                <w:sz w:val="16"/>
                <w:szCs w:val="16"/>
              </w:rPr>
              <w:t>–</w:t>
            </w:r>
            <w:r w:rsidRPr="005734B8">
              <w:rPr>
                <w:rFonts w:ascii="Calibri" w:hAnsi="Calibri" w:cs="Calibri"/>
                <w:color w:val="000000"/>
                <w:sz w:val="16"/>
                <w:szCs w:val="16"/>
              </w:rPr>
              <w:t xml:space="preserve"> Department </w:t>
            </w:r>
          </w:p>
        </w:tc>
        <w:tc>
          <w:tcPr>
            <w:tcW w:w="1401" w:type="dxa"/>
            <w:tcBorders>
              <w:top w:val="nil"/>
              <w:left w:val="single" w:sz="4" w:space="0" w:color="FFFFFF"/>
              <w:bottom w:val="single" w:sz="4" w:space="0" w:color="auto"/>
              <w:right w:val="single" w:sz="4" w:space="0" w:color="FFFFFF"/>
            </w:tcBorders>
            <w:shd w:val="clear" w:color="000000" w:fill="D9D9D9"/>
            <w:noWrap/>
            <w:vAlign w:val="center"/>
            <w:hideMark/>
          </w:tcPr>
          <w:p w14:paraId="3E6275CB" w14:textId="77777777" w:rsidR="00F1540A" w:rsidRPr="005734B8" w:rsidRDefault="00F1540A" w:rsidP="000F48B1">
            <w:pPr>
              <w:jc w:val="right"/>
              <w:rPr>
                <w:rFonts w:ascii="Calibri" w:hAnsi="Calibri" w:cs="Calibri"/>
                <w:sz w:val="16"/>
                <w:szCs w:val="16"/>
              </w:rPr>
            </w:pPr>
            <w:r w:rsidRPr="005734B8">
              <w:rPr>
                <w:rFonts w:ascii="Calibri" w:hAnsi="Calibri" w:cs="Calibri"/>
                <w:sz w:val="16"/>
                <w:szCs w:val="16"/>
              </w:rPr>
              <w:t xml:space="preserve">140.8 </w:t>
            </w:r>
          </w:p>
        </w:tc>
        <w:tc>
          <w:tcPr>
            <w:tcW w:w="1388" w:type="dxa"/>
            <w:tcBorders>
              <w:top w:val="nil"/>
              <w:left w:val="nil"/>
              <w:bottom w:val="single" w:sz="4" w:space="0" w:color="auto"/>
              <w:right w:val="single" w:sz="4" w:space="0" w:color="FFFFFF"/>
            </w:tcBorders>
            <w:shd w:val="clear" w:color="000000" w:fill="D9D9D9"/>
            <w:noWrap/>
            <w:vAlign w:val="center"/>
            <w:hideMark/>
          </w:tcPr>
          <w:p w14:paraId="624DD27F" w14:textId="3F4B2EE7"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2074" w:type="dxa"/>
            <w:tcBorders>
              <w:top w:val="nil"/>
              <w:left w:val="nil"/>
              <w:bottom w:val="single" w:sz="4" w:space="0" w:color="auto"/>
              <w:right w:val="single" w:sz="4" w:space="0" w:color="FFFFFF"/>
            </w:tcBorders>
            <w:shd w:val="clear" w:color="000000" w:fill="D9D9D9"/>
            <w:noWrap/>
            <w:vAlign w:val="center"/>
            <w:hideMark/>
          </w:tcPr>
          <w:p w14:paraId="5E91459A" w14:textId="5C955748"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2121" w:type="dxa"/>
            <w:tcBorders>
              <w:top w:val="nil"/>
              <w:left w:val="nil"/>
              <w:bottom w:val="single" w:sz="4" w:space="0" w:color="auto"/>
              <w:right w:val="single" w:sz="4" w:space="0" w:color="FFFFFF"/>
            </w:tcBorders>
            <w:shd w:val="clear" w:color="000000" w:fill="D9D9D9"/>
            <w:noWrap/>
            <w:vAlign w:val="center"/>
            <w:hideMark/>
          </w:tcPr>
          <w:p w14:paraId="0627FB44" w14:textId="60F6C3B4"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401" w:type="dxa"/>
            <w:tcBorders>
              <w:top w:val="nil"/>
              <w:left w:val="nil"/>
              <w:bottom w:val="single" w:sz="4" w:space="0" w:color="auto"/>
              <w:right w:val="single" w:sz="4" w:space="0" w:color="FFFFFF"/>
            </w:tcBorders>
            <w:shd w:val="clear" w:color="000000" w:fill="D9D9D9"/>
            <w:noWrap/>
            <w:vAlign w:val="center"/>
            <w:hideMark/>
          </w:tcPr>
          <w:p w14:paraId="46DF1CC5" w14:textId="07F96354"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388" w:type="dxa"/>
            <w:tcBorders>
              <w:top w:val="nil"/>
              <w:left w:val="nil"/>
              <w:bottom w:val="single" w:sz="4" w:space="0" w:color="auto"/>
              <w:right w:val="single" w:sz="4" w:space="0" w:color="FFFFFF"/>
            </w:tcBorders>
            <w:shd w:val="clear" w:color="000000" w:fill="D9D9D9"/>
            <w:noWrap/>
            <w:vAlign w:val="center"/>
            <w:hideMark/>
          </w:tcPr>
          <w:p w14:paraId="785F8CD3" w14:textId="77602478"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386" w:type="dxa"/>
            <w:tcBorders>
              <w:top w:val="nil"/>
              <w:left w:val="nil"/>
              <w:bottom w:val="single" w:sz="4" w:space="0" w:color="auto"/>
              <w:right w:val="single" w:sz="4" w:space="0" w:color="FFFFFF"/>
            </w:tcBorders>
            <w:shd w:val="clear" w:color="000000" w:fill="D9D9D9"/>
            <w:noWrap/>
            <w:vAlign w:val="center"/>
            <w:hideMark/>
          </w:tcPr>
          <w:p w14:paraId="04AA8400" w14:textId="77777777" w:rsidR="00F1540A" w:rsidRPr="005734B8" w:rsidRDefault="00F1540A" w:rsidP="000F48B1">
            <w:pPr>
              <w:jc w:val="right"/>
              <w:rPr>
                <w:rFonts w:ascii="Calibri" w:hAnsi="Calibri" w:cs="Calibri"/>
                <w:sz w:val="16"/>
                <w:szCs w:val="16"/>
              </w:rPr>
            </w:pPr>
            <w:r w:rsidRPr="005734B8">
              <w:rPr>
                <w:rFonts w:ascii="Calibri" w:hAnsi="Calibri" w:cs="Calibri"/>
                <w:sz w:val="16"/>
                <w:szCs w:val="16"/>
              </w:rPr>
              <w:t xml:space="preserve">140.8 </w:t>
            </w:r>
          </w:p>
        </w:tc>
      </w:tr>
      <w:tr w:rsidR="00F1540A" w:rsidRPr="005734B8" w14:paraId="58D030C6" w14:textId="77777777" w:rsidTr="000F48B1">
        <w:trPr>
          <w:trHeight w:val="170"/>
        </w:trPr>
        <w:tc>
          <w:tcPr>
            <w:tcW w:w="2787" w:type="dxa"/>
            <w:tcBorders>
              <w:top w:val="nil"/>
              <w:left w:val="nil"/>
              <w:bottom w:val="single" w:sz="4" w:space="0" w:color="auto"/>
              <w:right w:val="nil"/>
            </w:tcBorders>
            <w:shd w:val="clear" w:color="000000" w:fill="D9D9D9"/>
            <w:vAlign w:val="center"/>
            <w:hideMark/>
          </w:tcPr>
          <w:p w14:paraId="5A59085A" w14:textId="192E8B86" w:rsidR="00F1540A" w:rsidRPr="005734B8" w:rsidRDefault="00F1540A" w:rsidP="000F48B1">
            <w:pPr>
              <w:rPr>
                <w:rFonts w:ascii="Calibri" w:hAnsi="Calibri" w:cs="Calibri"/>
                <w:color w:val="000000"/>
                <w:sz w:val="16"/>
                <w:szCs w:val="16"/>
              </w:rPr>
            </w:pPr>
            <w:r w:rsidRPr="005734B8">
              <w:rPr>
                <w:rFonts w:ascii="Calibri" w:hAnsi="Calibri" w:cs="Calibri"/>
                <w:color w:val="000000"/>
                <w:sz w:val="16"/>
                <w:szCs w:val="16"/>
              </w:rPr>
              <w:t xml:space="preserve">Cash and deposits </w:t>
            </w:r>
            <w:r w:rsidR="00B15F9A" w:rsidRPr="005734B8">
              <w:rPr>
                <w:rFonts w:ascii="Calibri" w:hAnsi="Calibri" w:cs="Calibri"/>
                <w:color w:val="000000"/>
                <w:sz w:val="16"/>
                <w:szCs w:val="16"/>
              </w:rPr>
              <w:t>–</w:t>
            </w:r>
            <w:r w:rsidRPr="005734B8">
              <w:rPr>
                <w:rFonts w:ascii="Calibri" w:hAnsi="Calibri" w:cs="Calibri"/>
                <w:color w:val="000000"/>
                <w:sz w:val="16"/>
                <w:szCs w:val="16"/>
              </w:rPr>
              <w:t xml:space="preserve"> Schools</w:t>
            </w:r>
          </w:p>
        </w:tc>
        <w:tc>
          <w:tcPr>
            <w:tcW w:w="1401" w:type="dxa"/>
            <w:tcBorders>
              <w:top w:val="nil"/>
              <w:left w:val="single" w:sz="4" w:space="0" w:color="FFFFFF"/>
              <w:bottom w:val="single" w:sz="4" w:space="0" w:color="auto"/>
              <w:right w:val="single" w:sz="4" w:space="0" w:color="FFFFFF"/>
            </w:tcBorders>
            <w:shd w:val="clear" w:color="000000" w:fill="D9D9D9"/>
            <w:noWrap/>
            <w:vAlign w:val="center"/>
            <w:hideMark/>
          </w:tcPr>
          <w:p w14:paraId="24A25C82" w14:textId="77777777" w:rsidR="00F1540A" w:rsidRPr="005734B8" w:rsidRDefault="00F1540A" w:rsidP="000F48B1">
            <w:pPr>
              <w:jc w:val="right"/>
              <w:rPr>
                <w:rFonts w:ascii="Calibri" w:hAnsi="Calibri" w:cs="Calibri"/>
                <w:sz w:val="16"/>
                <w:szCs w:val="16"/>
              </w:rPr>
            </w:pPr>
            <w:r w:rsidRPr="005734B8">
              <w:rPr>
                <w:rFonts w:ascii="Calibri" w:hAnsi="Calibri" w:cs="Calibri"/>
                <w:sz w:val="16"/>
                <w:szCs w:val="16"/>
              </w:rPr>
              <w:t xml:space="preserve">1,341.8 </w:t>
            </w:r>
          </w:p>
        </w:tc>
        <w:tc>
          <w:tcPr>
            <w:tcW w:w="1388" w:type="dxa"/>
            <w:tcBorders>
              <w:top w:val="nil"/>
              <w:left w:val="nil"/>
              <w:bottom w:val="single" w:sz="4" w:space="0" w:color="auto"/>
              <w:right w:val="single" w:sz="4" w:space="0" w:color="FFFFFF"/>
            </w:tcBorders>
            <w:shd w:val="clear" w:color="000000" w:fill="D9D9D9"/>
            <w:noWrap/>
            <w:vAlign w:val="center"/>
            <w:hideMark/>
          </w:tcPr>
          <w:p w14:paraId="03C3ABB7" w14:textId="0C70F8C1"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2074" w:type="dxa"/>
            <w:tcBorders>
              <w:top w:val="nil"/>
              <w:left w:val="nil"/>
              <w:bottom w:val="single" w:sz="4" w:space="0" w:color="auto"/>
              <w:right w:val="single" w:sz="4" w:space="0" w:color="FFFFFF"/>
            </w:tcBorders>
            <w:shd w:val="clear" w:color="000000" w:fill="D9D9D9"/>
            <w:noWrap/>
            <w:vAlign w:val="center"/>
            <w:hideMark/>
          </w:tcPr>
          <w:p w14:paraId="049F3FB6" w14:textId="5368AC6D"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2121" w:type="dxa"/>
            <w:tcBorders>
              <w:top w:val="nil"/>
              <w:left w:val="nil"/>
              <w:bottom w:val="single" w:sz="4" w:space="0" w:color="auto"/>
              <w:right w:val="single" w:sz="4" w:space="0" w:color="FFFFFF"/>
            </w:tcBorders>
            <w:shd w:val="clear" w:color="000000" w:fill="D9D9D9"/>
            <w:noWrap/>
            <w:vAlign w:val="center"/>
            <w:hideMark/>
          </w:tcPr>
          <w:p w14:paraId="6C5BCD61" w14:textId="31F3C44F"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401" w:type="dxa"/>
            <w:tcBorders>
              <w:top w:val="nil"/>
              <w:left w:val="nil"/>
              <w:bottom w:val="single" w:sz="4" w:space="0" w:color="auto"/>
              <w:right w:val="single" w:sz="4" w:space="0" w:color="FFFFFF"/>
            </w:tcBorders>
            <w:shd w:val="clear" w:color="000000" w:fill="D9D9D9"/>
            <w:noWrap/>
            <w:vAlign w:val="center"/>
            <w:hideMark/>
          </w:tcPr>
          <w:p w14:paraId="18E2FF25" w14:textId="7171A9B4"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388" w:type="dxa"/>
            <w:tcBorders>
              <w:top w:val="nil"/>
              <w:left w:val="nil"/>
              <w:bottom w:val="single" w:sz="4" w:space="0" w:color="auto"/>
              <w:right w:val="single" w:sz="4" w:space="0" w:color="FFFFFF"/>
            </w:tcBorders>
            <w:shd w:val="clear" w:color="000000" w:fill="D9D9D9"/>
            <w:noWrap/>
            <w:vAlign w:val="center"/>
            <w:hideMark/>
          </w:tcPr>
          <w:p w14:paraId="5763007D" w14:textId="1BD963A9"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386" w:type="dxa"/>
            <w:tcBorders>
              <w:top w:val="nil"/>
              <w:left w:val="nil"/>
              <w:bottom w:val="single" w:sz="4" w:space="0" w:color="auto"/>
              <w:right w:val="single" w:sz="4" w:space="0" w:color="FFFFFF"/>
            </w:tcBorders>
            <w:shd w:val="clear" w:color="000000" w:fill="D9D9D9"/>
            <w:noWrap/>
            <w:vAlign w:val="center"/>
            <w:hideMark/>
          </w:tcPr>
          <w:p w14:paraId="0C169148" w14:textId="77777777" w:rsidR="00F1540A" w:rsidRPr="005734B8" w:rsidRDefault="00F1540A" w:rsidP="000F48B1">
            <w:pPr>
              <w:jc w:val="right"/>
              <w:rPr>
                <w:rFonts w:ascii="Calibri" w:hAnsi="Calibri" w:cs="Calibri"/>
                <w:sz w:val="16"/>
                <w:szCs w:val="16"/>
              </w:rPr>
            </w:pPr>
            <w:r w:rsidRPr="005734B8">
              <w:rPr>
                <w:rFonts w:ascii="Calibri" w:hAnsi="Calibri" w:cs="Calibri"/>
                <w:sz w:val="16"/>
                <w:szCs w:val="16"/>
              </w:rPr>
              <w:t xml:space="preserve">1,341.8 </w:t>
            </w:r>
          </w:p>
        </w:tc>
      </w:tr>
      <w:tr w:rsidR="00F1540A" w:rsidRPr="005734B8" w14:paraId="0891AC22" w14:textId="77777777" w:rsidTr="000F48B1">
        <w:trPr>
          <w:trHeight w:val="170"/>
        </w:trPr>
        <w:tc>
          <w:tcPr>
            <w:tcW w:w="2787" w:type="dxa"/>
            <w:tcBorders>
              <w:top w:val="nil"/>
              <w:left w:val="nil"/>
              <w:bottom w:val="single" w:sz="4" w:space="0" w:color="auto"/>
              <w:right w:val="nil"/>
            </w:tcBorders>
            <w:shd w:val="clear" w:color="000000" w:fill="D9D9D9"/>
            <w:vAlign w:val="center"/>
            <w:hideMark/>
          </w:tcPr>
          <w:p w14:paraId="45EC0FEB" w14:textId="77777777" w:rsidR="00F1540A" w:rsidRPr="005734B8" w:rsidRDefault="00F1540A" w:rsidP="000F48B1">
            <w:pPr>
              <w:rPr>
                <w:rFonts w:ascii="Calibri" w:hAnsi="Calibri" w:cs="Calibri"/>
                <w:color w:val="000000"/>
                <w:sz w:val="16"/>
                <w:szCs w:val="16"/>
              </w:rPr>
            </w:pPr>
            <w:r w:rsidRPr="005734B8">
              <w:rPr>
                <w:rFonts w:ascii="Calibri" w:hAnsi="Calibri" w:cs="Calibri"/>
                <w:color w:val="000000"/>
                <w:sz w:val="16"/>
                <w:szCs w:val="16"/>
              </w:rPr>
              <w:t>Receivables</w:t>
            </w:r>
          </w:p>
        </w:tc>
        <w:tc>
          <w:tcPr>
            <w:tcW w:w="1401" w:type="dxa"/>
            <w:tcBorders>
              <w:top w:val="nil"/>
              <w:left w:val="single" w:sz="4" w:space="0" w:color="FFFFFF"/>
              <w:bottom w:val="single" w:sz="4" w:space="0" w:color="auto"/>
              <w:right w:val="single" w:sz="4" w:space="0" w:color="FFFFFF"/>
            </w:tcBorders>
            <w:shd w:val="clear" w:color="000000" w:fill="D9D9D9"/>
            <w:noWrap/>
            <w:vAlign w:val="center"/>
            <w:hideMark/>
          </w:tcPr>
          <w:p w14:paraId="0C2B8B1B" w14:textId="5AD91A05"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388" w:type="dxa"/>
            <w:tcBorders>
              <w:top w:val="nil"/>
              <w:left w:val="nil"/>
              <w:bottom w:val="single" w:sz="4" w:space="0" w:color="auto"/>
              <w:right w:val="single" w:sz="4" w:space="0" w:color="FFFFFF"/>
            </w:tcBorders>
            <w:shd w:val="clear" w:color="000000" w:fill="D9D9D9"/>
            <w:noWrap/>
            <w:vAlign w:val="center"/>
            <w:hideMark/>
          </w:tcPr>
          <w:p w14:paraId="7D845163" w14:textId="78204A6E"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2074" w:type="dxa"/>
            <w:tcBorders>
              <w:top w:val="nil"/>
              <w:left w:val="nil"/>
              <w:bottom w:val="single" w:sz="4" w:space="0" w:color="auto"/>
              <w:right w:val="single" w:sz="4" w:space="0" w:color="FFFFFF"/>
            </w:tcBorders>
            <w:shd w:val="clear" w:color="000000" w:fill="D9D9D9"/>
            <w:noWrap/>
            <w:vAlign w:val="center"/>
            <w:hideMark/>
          </w:tcPr>
          <w:p w14:paraId="58334736" w14:textId="3313643F"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2121" w:type="dxa"/>
            <w:tcBorders>
              <w:top w:val="nil"/>
              <w:left w:val="nil"/>
              <w:bottom w:val="single" w:sz="4" w:space="0" w:color="auto"/>
              <w:right w:val="single" w:sz="4" w:space="0" w:color="FFFFFF"/>
            </w:tcBorders>
            <w:shd w:val="clear" w:color="000000" w:fill="D9D9D9"/>
            <w:noWrap/>
            <w:vAlign w:val="center"/>
            <w:hideMark/>
          </w:tcPr>
          <w:p w14:paraId="423FD362" w14:textId="445FE460"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401" w:type="dxa"/>
            <w:tcBorders>
              <w:top w:val="nil"/>
              <w:left w:val="nil"/>
              <w:bottom w:val="single" w:sz="4" w:space="0" w:color="auto"/>
              <w:right w:val="single" w:sz="4" w:space="0" w:color="FFFFFF"/>
            </w:tcBorders>
            <w:shd w:val="clear" w:color="000000" w:fill="D9D9D9"/>
            <w:noWrap/>
            <w:vAlign w:val="center"/>
            <w:hideMark/>
          </w:tcPr>
          <w:p w14:paraId="259D3E9B" w14:textId="77777777" w:rsidR="00F1540A" w:rsidRPr="005734B8" w:rsidRDefault="00F1540A" w:rsidP="000F48B1">
            <w:pPr>
              <w:jc w:val="right"/>
              <w:rPr>
                <w:rFonts w:ascii="Calibri" w:hAnsi="Calibri" w:cs="Calibri"/>
                <w:sz w:val="16"/>
                <w:szCs w:val="16"/>
              </w:rPr>
            </w:pPr>
            <w:r w:rsidRPr="005734B8">
              <w:rPr>
                <w:rFonts w:ascii="Calibri" w:hAnsi="Calibri" w:cs="Calibri"/>
                <w:sz w:val="16"/>
                <w:szCs w:val="16"/>
              </w:rPr>
              <w:t xml:space="preserve">87.3 </w:t>
            </w:r>
          </w:p>
        </w:tc>
        <w:tc>
          <w:tcPr>
            <w:tcW w:w="1388" w:type="dxa"/>
            <w:tcBorders>
              <w:top w:val="nil"/>
              <w:left w:val="nil"/>
              <w:bottom w:val="single" w:sz="4" w:space="0" w:color="auto"/>
              <w:right w:val="single" w:sz="4" w:space="0" w:color="FFFFFF"/>
            </w:tcBorders>
            <w:shd w:val="clear" w:color="000000" w:fill="D9D9D9"/>
            <w:noWrap/>
            <w:vAlign w:val="center"/>
            <w:hideMark/>
          </w:tcPr>
          <w:p w14:paraId="1C777848" w14:textId="2D9BB79C" w:rsidR="00F1540A" w:rsidRPr="005734B8" w:rsidRDefault="005216A0" w:rsidP="000F48B1">
            <w:pPr>
              <w:jc w:val="right"/>
              <w:rPr>
                <w:rFonts w:ascii="Calibri" w:hAnsi="Calibri" w:cs="Calibri"/>
                <w:sz w:val="16"/>
                <w:szCs w:val="16"/>
              </w:rPr>
            </w:pPr>
            <w:r w:rsidRPr="005734B8">
              <w:rPr>
                <w:rFonts w:ascii="Calibri" w:hAnsi="Calibri" w:cs="Calibri"/>
                <w:sz w:val="18"/>
                <w:szCs w:val="18"/>
              </w:rPr>
              <w:t>-</w:t>
            </w:r>
          </w:p>
        </w:tc>
        <w:tc>
          <w:tcPr>
            <w:tcW w:w="1386" w:type="dxa"/>
            <w:tcBorders>
              <w:top w:val="nil"/>
              <w:left w:val="nil"/>
              <w:bottom w:val="single" w:sz="4" w:space="0" w:color="auto"/>
              <w:right w:val="single" w:sz="4" w:space="0" w:color="FFFFFF"/>
            </w:tcBorders>
            <w:shd w:val="clear" w:color="000000" w:fill="D9D9D9"/>
            <w:noWrap/>
            <w:vAlign w:val="center"/>
            <w:hideMark/>
          </w:tcPr>
          <w:p w14:paraId="2E4E2FEF" w14:textId="77777777" w:rsidR="00F1540A" w:rsidRPr="005734B8" w:rsidRDefault="00F1540A" w:rsidP="000F48B1">
            <w:pPr>
              <w:jc w:val="right"/>
              <w:rPr>
                <w:rFonts w:ascii="Calibri" w:hAnsi="Calibri" w:cs="Calibri"/>
                <w:sz w:val="16"/>
                <w:szCs w:val="16"/>
              </w:rPr>
            </w:pPr>
            <w:r w:rsidRPr="005734B8">
              <w:rPr>
                <w:rFonts w:ascii="Calibri" w:hAnsi="Calibri" w:cs="Calibri"/>
                <w:sz w:val="16"/>
                <w:szCs w:val="16"/>
              </w:rPr>
              <w:t xml:space="preserve">87.3 </w:t>
            </w:r>
          </w:p>
        </w:tc>
      </w:tr>
      <w:tr w:rsidR="00F1540A" w:rsidRPr="005734B8" w14:paraId="5ECFB941" w14:textId="77777777" w:rsidTr="000F48B1">
        <w:trPr>
          <w:trHeight w:val="170"/>
        </w:trPr>
        <w:tc>
          <w:tcPr>
            <w:tcW w:w="2787" w:type="dxa"/>
            <w:tcBorders>
              <w:top w:val="nil"/>
              <w:left w:val="nil"/>
              <w:bottom w:val="single" w:sz="4" w:space="0" w:color="auto"/>
              <w:right w:val="nil"/>
            </w:tcBorders>
            <w:shd w:val="clear" w:color="000000" w:fill="D9D9D9"/>
            <w:vAlign w:val="center"/>
            <w:hideMark/>
          </w:tcPr>
          <w:p w14:paraId="578552B1" w14:textId="77777777" w:rsidR="00F1540A" w:rsidRPr="005734B8" w:rsidRDefault="00F1540A" w:rsidP="000F48B1">
            <w:pPr>
              <w:rPr>
                <w:rFonts w:ascii="Calibri" w:hAnsi="Calibri" w:cs="Calibri"/>
                <w:color w:val="000000"/>
                <w:sz w:val="16"/>
                <w:szCs w:val="16"/>
              </w:rPr>
            </w:pPr>
            <w:r w:rsidRPr="005734B8">
              <w:rPr>
                <w:rFonts w:ascii="Calibri" w:hAnsi="Calibri" w:cs="Calibri"/>
                <w:color w:val="000000"/>
                <w:sz w:val="16"/>
                <w:szCs w:val="16"/>
              </w:rPr>
              <w:t>Term deposits</w:t>
            </w:r>
          </w:p>
        </w:tc>
        <w:tc>
          <w:tcPr>
            <w:tcW w:w="1401" w:type="dxa"/>
            <w:tcBorders>
              <w:top w:val="nil"/>
              <w:left w:val="single" w:sz="4" w:space="0" w:color="FFFFFF"/>
              <w:bottom w:val="single" w:sz="4" w:space="0" w:color="auto"/>
              <w:right w:val="single" w:sz="4" w:space="0" w:color="FFFFFF"/>
            </w:tcBorders>
            <w:shd w:val="clear" w:color="000000" w:fill="D9D9D9"/>
            <w:noWrap/>
            <w:vAlign w:val="center"/>
            <w:hideMark/>
          </w:tcPr>
          <w:p w14:paraId="30C22EF0" w14:textId="77777777" w:rsidR="00F1540A" w:rsidRPr="005734B8" w:rsidRDefault="00F1540A" w:rsidP="000F48B1">
            <w:pPr>
              <w:jc w:val="right"/>
              <w:rPr>
                <w:rFonts w:ascii="Calibri" w:hAnsi="Calibri" w:cs="Calibri"/>
                <w:sz w:val="16"/>
                <w:szCs w:val="16"/>
              </w:rPr>
            </w:pPr>
            <w:r w:rsidRPr="005734B8">
              <w:rPr>
                <w:rFonts w:ascii="Calibri" w:hAnsi="Calibri" w:cs="Calibri"/>
                <w:sz w:val="16"/>
                <w:szCs w:val="16"/>
              </w:rPr>
              <w:t xml:space="preserve">0.4 </w:t>
            </w:r>
          </w:p>
        </w:tc>
        <w:tc>
          <w:tcPr>
            <w:tcW w:w="1388" w:type="dxa"/>
            <w:tcBorders>
              <w:top w:val="nil"/>
              <w:left w:val="nil"/>
              <w:bottom w:val="single" w:sz="4" w:space="0" w:color="auto"/>
              <w:right w:val="single" w:sz="4" w:space="0" w:color="FFFFFF"/>
            </w:tcBorders>
            <w:shd w:val="clear" w:color="000000" w:fill="D9D9D9"/>
            <w:noWrap/>
            <w:vAlign w:val="center"/>
            <w:hideMark/>
          </w:tcPr>
          <w:p w14:paraId="248F707A" w14:textId="2CEF5E06"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2074" w:type="dxa"/>
            <w:tcBorders>
              <w:top w:val="nil"/>
              <w:left w:val="nil"/>
              <w:bottom w:val="single" w:sz="4" w:space="0" w:color="auto"/>
              <w:right w:val="single" w:sz="4" w:space="0" w:color="FFFFFF"/>
            </w:tcBorders>
            <w:shd w:val="clear" w:color="000000" w:fill="D9D9D9"/>
            <w:noWrap/>
            <w:vAlign w:val="center"/>
            <w:hideMark/>
          </w:tcPr>
          <w:p w14:paraId="2DDAB025" w14:textId="141B0E33"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2121" w:type="dxa"/>
            <w:tcBorders>
              <w:top w:val="nil"/>
              <w:left w:val="nil"/>
              <w:bottom w:val="single" w:sz="4" w:space="0" w:color="auto"/>
              <w:right w:val="single" w:sz="4" w:space="0" w:color="FFFFFF"/>
            </w:tcBorders>
            <w:shd w:val="clear" w:color="000000" w:fill="D9D9D9"/>
            <w:noWrap/>
            <w:vAlign w:val="center"/>
            <w:hideMark/>
          </w:tcPr>
          <w:p w14:paraId="39A43B48" w14:textId="0E1F045A"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401" w:type="dxa"/>
            <w:tcBorders>
              <w:top w:val="nil"/>
              <w:left w:val="nil"/>
              <w:bottom w:val="single" w:sz="4" w:space="0" w:color="auto"/>
              <w:right w:val="single" w:sz="4" w:space="0" w:color="FFFFFF"/>
            </w:tcBorders>
            <w:shd w:val="clear" w:color="000000" w:fill="D9D9D9"/>
            <w:noWrap/>
            <w:vAlign w:val="center"/>
            <w:hideMark/>
          </w:tcPr>
          <w:p w14:paraId="6C8309B4" w14:textId="1BFD3919"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388" w:type="dxa"/>
            <w:tcBorders>
              <w:top w:val="nil"/>
              <w:left w:val="nil"/>
              <w:bottom w:val="single" w:sz="4" w:space="0" w:color="auto"/>
              <w:right w:val="single" w:sz="4" w:space="0" w:color="FFFFFF"/>
            </w:tcBorders>
            <w:shd w:val="clear" w:color="000000" w:fill="D9D9D9"/>
            <w:noWrap/>
            <w:vAlign w:val="center"/>
            <w:hideMark/>
          </w:tcPr>
          <w:p w14:paraId="7A182257" w14:textId="5960B768"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386" w:type="dxa"/>
            <w:tcBorders>
              <w:top w:val="nil"/>
              <w:left w:val="nil"/>
              <w:bottom w:val="single" w:sz="4" w:space="0" w:color="auto"/>
              <w:right w:val="single" w:sz="4" w:space="0" w:color="FFFFFF"/>
            </w:tcBorders>
            <w:shd w:val="clear" w:color="000000" w:fill="D9D9D9"/>
            <w:noWrap/>
            <w:vAlign w:val="center"/>
            <w:hideMark/>
          </w:tcPr>
          <w:p w14:paraId="0AEA6FCD" w14:textId="77777777" w:rsidR="00F1540A" w:rsidRPr="005734B8" w:rsidRDefault="00F1540A" w:rsidP="000F48B1">
            <w:pPr>
              <w:jc w:val="right"/>
              <w:rPr>
                <w:rFonts w:ascii="Calibri" w:hAnsi="Calibri" w:cs="Calibri"/>
                <w:sz w:val="16"/>
                <w:szCs w:val="16"/>
              </w:rPr>
            </w:pPr>
            <w:r w:rsidRPr="005734B8">
              <w:rPr>
                <w:rFonts w:ascii="Calibri" w:hAnsi="Calibri" w:cs="Calibri"/>
                <w:sz w:val="16"/>
                <w:szCs w:val="16"/>
              </w:rPr>
              <w:t xml:space="preserve">0.4 </w:t>
            </w:r>
          </w:p>
        </w:tc>
      </w:tr>
      <w:tr w:rsidR="00F1540A" w:rsidRPr="005734B8" w14:paraId="335F2533" w14:textId="77777777" w:rsidTr="000F48B1">
        <w:trPr>
          <w:trHeight w:val="170"/>
        </w:trPr>
        <w:tc>
          <w:tcPr>
            <w:tcW w:w="2787"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6202CBC7" w14:textId="77777777" w:rsidR="00F1540A" w:rsidRPr="005734B8" w:rsidRDefault="00F1540A" w:rsidP="000F48B1">
            <w:pPr>
              <w:rPr>
                <w:rFonts w:ascii="Calibri" w:hAnsi="Calibri" w:cs="Calibri"/>
                <w:b/>
                <w:sz w:val="16"/>
                <w:szCs w:val="16"/>
              </w:rPr>
            </w:pPr>
            <w:r w:rsidRPr="005734B8">
              <w:rPr>
                <w:rFonts w:ascii="Calibri" w:hAnsi="Calibri" w:cs="Calibri"/>
                <w:b/>
                <w:sz w:val="16"/>
                <w:szCs w:val="16"/>
              </w:rPr>
              <w:t>Total contractual financial assets</w:t>
            </w:r>
          </w:p>
        </w:tc>
        <w:tc>
          <w:tcPr>
            <w:tcW w:w="1401" w:type="dxa"/>
            <w:tcBorders>
              <w:top w:val="single" w:sz="12" w:space="0" w:color="auto"/>
              <w:left w:val="nil"/>
              <w:bottom w:val="single" w:sz="12" w:space="0" w:color="auto"/>
              <w:right w:val="single" w:sz="4" w:space="0" w:color="FFFFFF"/>
            </w:tcBorders>
            <w:shd w:val="clear" w:color="000000" w:fill="D9D9D9"/>
            <w:noWrap/>
            <w:vAlign w:val="center"/>
            <w:hideMark/>
          </w:tcPr>
          <w:p w14:paraId="205070FB" w14:textId="77777777" w:rsidR="00F1540A" w:rsidRPr="005734B8" w:rsidRDefault="00F1540A" w:rsidP="000F48B1">
            <w:pPr>
              <w:jc w:val="right"/>
              <w:rPr>
                <w:rFonts w:ascii="Calibri" w:hAnsi="Calibri" w:cs="Calibri"/>
                <w:b/>
                <w:sz w:val="16"/>
                <w:szCs w:val="16"/>
              </w:rPr>
            </w:pPr>
            <w:r w:rsidRPr="005734B8">
              <w:rPr>
                <w:rFonts w:ascii="Calibri" w:hAnsi="Calibri" w:cs="Calibri"/>
                <w:b/>
                <w:sz w:val="16"/>
                <w:szCs w:val="16"/>
              </w:rPr>
              <w:t xml:space="preserve">1,483.0 </w:t>
            </w:r>
          </w:p>
        </w:tc>
        <w:tc>
          <w:tcPr>
            <w:tcW w:w="1388" w:type="dxa"/>
            <w:tcBorders>
              <w:top w:val="single" w:sz="12" w:space="0" w:color="auto"/>
              <w:left w:val="nil"/>
              <w:bottom w:val="single" w:sz="12" w:space="0" w:color="auto"/>
              <w:right w:val="single" w:sz="4" w:space="0" w:color="FFFFFF"/>
            </w:tcBorders>
            <w:shd w:val="clear" w:color="000000" w:fill="D9D9D9"/>
            <w:noWrap/>
            <w:vAlign w:val="center"/>
            <w:hideMark/>
          </w:tcPr>
          <w:p w14:paraId="490AFEF0" w14:textId="19090057" w:rsidR="00F1540A" w:rsidRPr="005734B8" w:rsidRDefault="002653E2" w:rsidP="000F48B1">
            <w:pPr>
              <w:jc w:val="right"/>
              <w:rPr>
                <w:rFonts w:ascii="Calibri" w:hAnsi="Calibri" w:cs="Calibri"/>
                <w:b/>
                <w:sz w:val="16"/>
                <w:szCs w:val="16"/>
              </w:rPr>
            </w:pPr>
            <w:r w:rsidRPr="005734B8">
              <w:rPr>
                <w:rFonts w:ascii="Calibri" w:hAnsi="Calibri" w:cs="Calibri"/>
                <w:sz w:val="18"/>
                <w:szCs w:val="18"/>
              </w:rPr>
              <w:t>–</w:t>
            </w:r>
          </w:p>
        </w:tc>
        <w:tc>
          <w:tcPr>
            <w:tcW w:w="2074" w:type="dxa"/>
            <w:tcBorders>
              <w:top w:val="single" w:sz="12" w:space="0" w:color="auto"/>
              <w:left w:val="nil"/>
              <w:bottom w:val="single" w:sz="12" w:space="0" w:color="auto"/>
              <w:right w:val="single" w:sz="4" w:space="0" w:color="FFFFFF"/>
            </w:tcBorders>
            <w:shd w:val="clear" w:color="000000" w:fill="D9D9D9"/>
            <w:noWrap/>
            <w:vAlign w:val="center"/>
            <w:hideMark/>
          </w:tcPr>
          <w:p w14:paraId="45E3080A" w14:textId="2ACA3166" w:rsidR="00F1540A" w:rsidRPr="005734B8" w:rsidRDefault="002653E2" w:rsidP="000F48B1">
            <w:pPr>
              <w:jc w:val="right"/>
              <w:rPr>
                <w:rFonts w:ascii="Calibri" w:hAnsi="Calibri" w:cs="Calibri"/>
                <w:b/>
                <w:sz w:val="16"/>
                <w:szCs w:val="16"/>
              </w:rPr>
            </w:pPr>
            <w:r w:rsidRPr="005734B8">
              <w:rPr>
                <w:rFonts w:ascii="Calibri" w:hAnsi="Calibri" w:cs="Calibri"/>
                <w:sz w:val="18"/>
                <w:szCs w:val="18"/>
              </w:rPr>
              <w:t>–</w:t>
            </w:r>
          </w:p>
        </w:tc>
        <w:tc>
          <w:tcPr>
            <w:tcW w:w="2121" w:type="dxa"/>
            <w:tcBorders>
              <w:top w:val="single" w:sz="12" w:space="0" w:color="auto"/>
              <w:left w:val="nil"/>
              <w:bottom w:val="single" w:sz="12" w:space="0" w:color="auto"/>
              <w:right w:val="single" w:sz="4" w:space="0" w:color="FFFFFF"/>
            </w:tcBorders>
            <w:shd w:val="clear" w:color="000000" w:fill="D9D9D9"/>
            <w:noWrap/>
            <w:vAlign w:val="center"/>
            <w:hideMark/>
          </w:tcPr>
          <w:p w14:paraId="31B85315" w14:textId="4F21BC5D" w:rsidR="00F1540A" w:rsidRPr="005734B8" w:rsidRDefault="002653E2" w:rsidP="000F48B1">
            <w:pPr>
              <w:jc w:val="right"/>
              <w:rPr>
                <w:rFonts w:ascii="Calibri" w:hAnsi="Calibri" w:cs="Calibri"/>
                <w:b/>
                <w:sz w:val="16"/>
                <w:szCs w:val="16"/>
              </w:rPr>
            </w:pPr>
            <w:r w:rsidRPr="005734B8">
              <w:rPr>
                <w:rFonts w:ascii="Calibri" w:hAnsi="Calibri" w:cs="Calibri"/>
                <w:sz w:val="18"/>
                <w:szCs w:val="18"/>
              </w:rPr>
              <w:t>–</w:t>
            </w:r>
          </w:p>
        </w:tc>
        <w:tc>
          <w:tcPr>
            <w:tcW w:w="1401" w:type="dxa"/>
            <w:tcBorders>
              <w:top w:val="single" w:sz="12" w:space="0" w:color="auto"/>
              <w:left w:val="nil"/>
              <w:bottom w:val="single" w:sz="12" w:space="0" w:color="auto"/>
              <w:right w:val="single" w:sz="4" w:space="0" w:color="FFFFFF"/>
            </w:tcBorders>
            <w:shd w:val="clear" w:color="000000" w:fill="D9D9D9"/>
            <w:noWrap/>
            <w:vAlign w:val="center"/>
            <w:hideMark/>
          </w:tcPr>
          <w:p w14:paraId="0758123E" w14:textId="77777777" w:rsidR="00F1540A" w:rsidRPr="005734B8" w:rsidRDefault="00F1540A" w:rsidP="000F48B1">
            <w:pPr>
              <w:jc w:val="right"/>
              <w:rPr>
                <w:rFonts w:ascii="Calibri" w:hAnsi="Calibri" w:cs="Calibri"/>
                <w:b/>
                <w:sz w:val="16"/>
                <w:szCs w:val="16"/>
              </w:rPr>
            </w:pPr>
            <w:r w:rsidRPr="005734B8">
              <w:rPr>
                <w:rFonts w:ascii="Calibri" w:hAnsi="Calibri" w:cs="Calibri"/>
                <w:b/>
                <w:sz w:val="16"/>
                <w:szCs w:val="16"/>
              </w:rPr>
              <w:t xml:space="preserve">87.3 </w:t>
            </w:r>
          </w:p>
        </w:tc>
        <w:tc>
          <w:tcPr>
            <w:tcW w:w="1388" w:type="dxa"/>
            <w:tcBorders>
              <w:top w:val="single" w:sz="12" w:space="0" w:color="auto"/>
              <w:left w:val="nil"/>
              <w:bottom w:val="single" w:sz="12" w:space="0" w:color="auto"/>
              <w:right w:val="single" w:sz="4" w:space="0" w:color="FFFFFF"/>
            </w:tcBorders>
            <w:shd w:val="clear" w:color="000000" w:fill="D9D9D9"/>
            <w:noWrap/>
            <w:vAlign w:val="center"/>
            <w:hideMark/>
          </w:tcPr>
          <w:p w14:paraId="58C07E2F" w14:textId="3024A7B3" w:rsidR="00F1540A" w:rsidRPr="005734B8" w:rsidRDefault="002653E2" w:rsidP="000F48B1">
            <w:pPr>
              <w:jc w:val="right"/>
              <w:rPr>
                <w:rFonts w:ascii="Calibri" w:hAnsi="Calibri" w:cs="Calibri"/>
                <w:b/>
                <w:sz w:val="16"/>
                <w:szCs w:val="16"/>
              </w:rPr>
            </w:pPr>
            <w:r w:rsidRPr="005734B8">
              <w:rPr>
                <w:rFonts w:ascii="Calibri" w:hAnsi="Calibri" w:cs="Calibri"/>
                <w:sz w:val="18"/>
                <w:szCs w:val="18"/>
              </w:rPr>
              <w:t>–</w:t>
            </w:r>
          </w:p>
        </w:tc>
        <w:tc>
          <w:tcPr>
            <w:tcW w:w="1386" w:type="dxa"/>
            <w:tcBorders>
              <w:top w:val="single" w:sz="12" w:space="0" w:color="auto"/>
              <w:left w:val="nil"/>
              <w:bottom w:val="single" w:sz="12" w:space="0" w:color="auto"/>
              <w:right w:val="single" w:sz="4" w:space="0" w:color="FFFFFF"/>
            </w:tcBorders>
            <w:shd w:val="clear" w:color="000000" w:fill="D9D9D9"/>
            <w:noWrap/>
            <w:vAlign w:val="center"/>
            <w:hideMark/>
          </w:tcPr>
          <w:p w14:paraId="6BB5AA9C" w14:textId="77777777" w:rsidR="00F1540A" w:rsidRPr="005734B8" w:rsidRDefault="00F1540A" w:rsidP="000F48B1">
            <w:pPr>
              <w:jc w:val="right"/>
              <w:rPr>
                <w:rFonts w:ascii="Calibri" w:hAnsi="Calibri" w:cs="Calibri"/>
                <w:b/>
                <w:sz w:val="16"/>
                <w:szCs w:val="16"/>
              </w:rPr>
            </w:pPr>
            <w:r w:rsidRPr="005734B8">
              <w:rPr>
                <w:rFonts w:ascii="Calibri" w:hAnsi="Calibri" w:cs="Calibri"/>
                <w:b/>
                <w:sz w:val="16"/>
                <w:szCs w:val="16"/>
              </w:rPr>
              <w:t xml:space="preserve">1,570.3 </w:t>
            </w:r>
          </w:p>
        </w:tc>
      </w:tr>
      <w:tr w:rsidR="00F1540A" w:rsidRPr="005734B8" w14:paraId="538B3A96" w14:textId="77777777" w:rsidTr="002653E2">
        <w:trPr>
          <w:trHeight w:val="170"/>
        </w:trPr>
        <w:tc>
          <w:tcPr>
            <w:tcW w:w="2787" w:type="dxa"/>
            <w:tcBorders>
              <w:top w:val="nil"/>
              <w:left w:val="single" w:sz="4" w:space="0" w:color="FFFFFF"/>
              <w:bottom w:val="single" w:sz="4" w:space="0" w:color="auto"/>
              <w:right w:val="single" w:sz="4" w:space="0" w:color="FFFFFF"/>
            </w:tcBorders>
            <w:shd w:val="clear" w:color="000000" w:fill="53565A"/>
            <w:vAlign w:val="center"/>
            <w:hideMark/>
          </w:tcPr>
          <w:p w14:paraId="6422D930" w14:textId="77777777" w:rsidR="00F1540A" w:rsidRPr="005734B8" w:rsidRDefault="00F1540A" w:rsidP="000F48B1">
            <w:pPr>
              <w:rPr>
                <w:rFonts w:ascii="Calibri" w:hAnsi="Calibri" w:cs="Calibri"/>
                <w:b/>
                <w:color w:val="FFFFFF"/>
                <w:sz w:val="16"/>
                <w:szCs w:val="16"/>
              </w:rPr>
            </w:pPr>
            <w:r w:rsidRPr="005734B8">
              <w:rPr>
                <w:rFonts w:ascii="Calibri" w:hAnsi="Calibri" w:cs="Calibri"/>
                <w:b/>
                <w:color w:val="FFFFFF"/>
                <w:sz w:val="16"/>
                <w:szCs w:val="16"/>
              </w:rPr>
              <w:t>Contractual financial liabilities</w:t>
            </w:r>
          </w:p>
        </w:tc>
        <w:tc>
          <w:tcPr>
            <w:tcW w:w="1401" w:type="dxa"/>
            <w:tcBorders>
              <w:top w:val="nil"/>
              <w:left w:val="nil"/>
              <w:bottom w:val="single" w:sz="4" w:space="0" w:color="auto"/>
              <w:right w:val="single" w:sz="4" w:space="0" w:color="FFFFFF"/>
            </w:tcBorders>
            <w:shd w:val="clear" w:color="000000" w:fill="53565A"/>
            <w:vAlign w:val="center"/>
            <w:hideMark/>
          </w:tcPr>
          <w:p w14:paraId="27F2E11A"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1388" w:type="dxa"/>
            <w:tcBorders>
              <w:top w:val="nil"/>
              <w:left w:val="nil"/>
              <w:bottom w:val="single" w:sz="4" w:space="0" w:color="auto"/>
              <w:right w:val="single" w:sz="4" w:space="0" w:color="FFFFFF"/>
            </w:tcBorders>
            <w:shd w:val="clear" w:color="000000" w:fill="53565A"/>
            <w:vAlign w:val="center"/>
            <w:hideMark/>
          </w:tcPr>
          <w:p w14:paraId="2BB2740B"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2074" w:type="dxa"/>
            <w:tcBorders>
              <w:top w:val="nil"/>
              <w:left w:val="nil"/>
              <w:bottom w:val="single" w:sz="4" w:space="0" w:color="auto"/>
              <w:right w:val="single" w:sz="4" w:space="0" w:color="FFFFFF"/>
            </w:tcBorders>
            <w:shd w:val="clear" w:color="000000" w:fill="53565A"/>
            <w:vAlign w:val="center"/>
            <w:hideMark/>
          </w:tcPr>
          <w:p w14:paraId="781A9C6A"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2121" w:type="dxa"/>
            <w:tcBorders>
              <w:top w:val="nil"/>
              <w:left w:val="nil"/>
              <w:bottom w:val="single" w:sz="4" w:space="0" w:color="auto"/>
              <w:right w:val="single" w:sz="4" w:space="0" w:color="FFFFFF"/>
            </w:tcBorders>
            <w:shd w:val="clear" w:color="000000" w:fill="53565A"/>
            <w:vAlign w:val="center"/>
            <w:hideMark/>
          </w:tcPr>
          <w:p w14:paraId="2FEF8738"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1401" w:type="dxa"/>
            <w:tcBorders>
              <w:top w:val="nil"/>
              <w:left w:val="nil"/>
              <w:bottom w:val="single" w:sz="4" w:space="0" w:color="auto"/>
              <w:right w:val="single" w:sz="4" w:space="0" w:color="FFFFFF"/>
            </w:tcBorders>
            <w:shd w:val="clear" w:color="000000" w:fill="53565A"/>
            <w:vAlign w:val="center"/>
            <w:hideMark/>
          </w:tcPr>
          <w:p w14:paraId="13233ACD"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1388" w:type="dxa"/>
            <w:tcBorders>
              <w:top w:val="nil"/>
              <w:left w:val="nil"/>
              <w:bottom w:val="single" w:sz="4" w:space="0" w:color="auto"/>
              <w:right w:val="single" w:sz="4" w:space="0" w:color="FFFFFF"/>
            </w:tcBorders>
            <w:shd w:val="clear" w:color="000000" w:fill="53565A"/>
            <w:vAlign w:val="center"/>
            <w:hideMark/>
          </w:tcPr>
          <w:p w14:paraId="49937A94"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1386" w:type="dxa"/>
            <w:tcBorders>
              <w:top w:val="nil"/>
              <w:left w:val="nil"/>
              <w:bottom w:val="single" w:sz="4" w:space="0" w:color="auto"/>
              <w:right w:val="single" w:sz="4" w:space="0" w:color="FFFFFF"/>
            </w:tcBorders>
            <w:shd w:val="clear" w:color="000000" w:fill="53565A"/>
            <w:vAlign w:val="center"/>
            <w:hideMark/>
          </w:tcPr>
          <w:p w14:paraId="39D24AC5"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r>
      <w:tr w:rsidR="00F1540A" w:rsidRPr="005734B8" w14:paraId="6E495531" w14:textId="77777777" w:rsidTr="000F48B1">
        <w:trPr>
          <w:trHeight w:val="170"/>
        </w:trPr>
        <w:tc>
          <w:tcPr>
            <w:tcW w:w="2787" w:type="dxa"/>
            <w:tcBorders>
              <w:top w:val="nil"/>
              <w:left w:val="nil"/>
              <w:bottom w:val="single" w:sz="4" w:space="0" w:color="auto"/>
              <w:right w:val="nil"/>
            </w:tcBorders>
            <w:shd w:val="clear" w:color="000000" w:fill="D9D9D9"/>
            <w:vAlign w:val="center"/>
            <w:hideMark/>
          </w:tcPr>
          <w:p w14:paraId="1F537039" w14:textId="77777777" w:rsidR="00F1540A" w:rsidRPr="005734B8" w:rsidRDefault="00F1540A" w:rsidP="000F48B1">
            <w:pPr>
              <w:rPr>
                <w:rFonts w:ascii="Calibri" w:hAnsi="Calibri" w:cs="Calibri"/>
                <w:color w:val="000000"/>
                <w:sz w:val="16"/>
                <w:szCs w:val="16"/>
              </w:rPr>
            </w:pPr>
            <w:r w:rsidRPr="005734B8">
              <w:rPr>
                <w:rFonts w:ascii="Calibri" w:hAnsi="Calibri" w:cs="Calibri"/>
                <w:color w:val="000000"/>
                <w:sz w:val="16"/>
                <w:szCs w:val="16"/>
              </w:rPr>
              <w:t>Payables</w:t>
            </w:r>
          </w:p>
        </w:tc>
        <w:tc>
          <w:tcPr>
            <w:tcW w:w="1401" w:type="dxa"/>
            <w:tcBorders>
              <w:top w:val="nil"/>
              <w:left w:val="single" w:sz="4" w:space="0" w:color="FFFFFF"/>
              <w:bottom w:val="single" w:sz="4" w:space="0" w:color="auto"/>
              <w:right w:val="single" w:sz="4" w:space="0" w:color="FFFFFF"/>
            </w:tcBorders>
            <w:shd w:val="clear" w:color="000000" w:fill="D9D9D9"/>
            <w:noWrap/>
            <w:vAlign w:val="center"/>
            <w:hideMark/>
          </w:tcPr>
          <w:p w14:paraId="5F050B7A" w14:textId="73758C99"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388" w:type="dxa"/>
            <w:tcBorders>
              <w:top w:val="nil"/>
              <w:left w:val="nil"/>
              <w:bottom w:val="single" w:sz="4" w:space="0" w:color="auto"/>
              <w:right w:val="single" w:sz="4" w:space="0" w:color="FFFFFF"/>
            </w:tcBorders>
            <w:shd w:val="clear" w:color="000000" w:fill="D9D9D9"/>
            <w:noWrap/>
            <w:vAlign w:val="center"/>
            <w:hideMark/>
          </w:tcPr>
          <w:p w14:paraId="5F96402E" w14:textId="4CA5B94D"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2074" w:type="dxa"/>
            <w:tcBorders>
              <w:top w:val="nil"/>
              <w:left w:val="nil"/>
              <w:bottom w:val="single" w:sz="4" w:space="0" w:color="auto"/>
              <w:right w:val="single" w:sz="4" w:space="0" w:color="FFFFFF"/>
            </w:tcBorders>
            <w:shd w:val="clear" w:color="000000" w:fill="D9D9D9"/>
            <w:noWrap/>
            <w:vAlign w:val="center"/>
            <w:hideMark/>
          </w:tcPr>
          <w:p w14:paraId="2228FE07" w14:textId="07F26802"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2121" w:type="dxa"/>
            <w:tcBorders>
              <w:top w:val="nil"/>
              <w:left w:val="nil"/>
              <w:bottom w:val="single" w:sz="4" w:space="0" w:color="auto"/>
              <w:right w:val="single" w:sz="4" w:space="0" w:color="FFFFFF"/>
            </w:tcBorders>
            <w:shd w:val="clear" w:color="000000" w:fill="D9D9D9"/>
            <w:noWrap/>
            <w:vAlign w:val="center"/>
            <w:hideMark/>
          </w:tcPr>
          <w:p w14:paraId="19A619CD" w14:textId="138BDEA9"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401" w:type="dxa"/>
            <w:tcBorders>
              <w:top w:val="nil"/>
              <w:left w:val="nil"/>
              <w:bottom w:val="single" w:sz="4" w:space="0" w:color="auto"/>
              <w:right w:val="single" w:sz="4" w:space="0" w:color="FFFFFF"/>
            </w:tcBorders>
            <w:shd w:val="clear" w:color="000000" w:fill="D9D9D9"/>
            <w:noWrap/>
            <w:vAlign w:val="center"/>
            <w:hideMark/>
          </w:tcPr>
          <w:p w14:paraId="14389D59" w14:textId="6D0967B9"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388" w:type="dxa"/>
            <w:tcBorders>
              <w:top w:val="nil"/>
              <w:left w:val="nil"/>
              <w:bottom w:val="single" w:sz="4" w:space="0" w:color="auto"/>
              <w:right w:val="single" w:sz="4" w:space="0" w:color="FFFFFF"/>
            </w:tcBorders>
            <w:shd w:val="clear" w:color="000000" w:fill="D9D9D9"/>
            <w:noWrap/>
            <w:vAlign w:val="center"/>
            <w:hideMark/>
          </w:tcPr>
          <w:p w14:paraId="5AF92AEF" w14:textId="77777777" w:rsidR="00F1540A" w:rsidRPr="005734B8" w:rsidRDefault="00F1540A" w:rsidP="000F48B1">
            <w:pPr>
              <w:jc w:val="right"/>
              <w:rPr>
                <w:rFonts w:ascii="Calibri" w:hAnsi="Calibri" w:cs="Calibri"/>
                <w:sz w:val="16"/>
                <w:szCs w:val="16"/>
              </w:rPr>
            </w:pPr>
            <w:r w:rsidRPr="005734B8">
              <w:rPr>
                <w:rFonts w:ascii="Calibri" w:hAnsi="Calibri" w:cs="Calibri"/>
                <w:sz w:val="16"/>
                <w:szCs w:val="16"/>
              </w:rPr>
              <w:t xml:space="preserve">598.2 </w:t>
            </w:r>
          </w:p>
        </w:tc>
        <w:tc>
          <w:tcPr>
            <w:tcW w:w="1386" w:type="dxa"/>
            <w:tcBorders>
              <w:top w:val="nil"/>
              <w:left w:val="nil"/>
              <w:bottom w:val="single" w:sz="4" w:space="0" w:color="auto"/>
              <w:right w:val="single" w:sz="4" w:space="0" w:color="FFFFFF"/>
            </w:tcBorders>
            <w:shd w:val="clear" w:color="000000" w:fill="D9D9D9"/>
            <w:noWrap/>
            <w:vAlign w:val="center"/>
            <w:hideMark/>
          </w:tcPr>
          <w:p w14:paraId="23F0F73B" w14:textId="77777777" w:rsidR="00F1540A" w:rsidRPr="005734B8" w:rsidRDefault="00F1540A" w:rsidP="000F48B1">
            <w:pPr>
              <w:jc w:val="right"/>
              <w:rPr>
                <w:rFonts w:ascii="Calibri" w:hAnsi="Calibri" w:cs="Calibri"/>
                <w:sz w:val="16"/>
                <w:szCs w:val="16"/>
              </w:rPr>
            </w:pPr>
            <w:r w:rsidRPr="005734B8">
              <w:rPr>
                <w:rFonts w:ascii="Calibri" w:hAnsi="Calibri" w:cs="Calibri"/>
                <w:sz w:val="16"/>
                <w:szCs w:val="16"/>
              </w:rPr>
              <w:t xml:space="preserve">598.2 </w:t>
            </w:r>
          </w:p>
        </w:tc>
      </w:tr>
      <w:tr w:rsidR="00F1540A" w:rsidRPr="005734B8" w14:paraId="03711A48" w14:textId="77777777" w:rsidTr="000F48B1">
        <w:trPr>
          <w:trHeight w:val="170"/>
        </w:trPr>
        <w:tc>
          <w:tcPr>
            <w:tcW w:w="2787" w:type="dxa"/>
            <w:tcBorders>
              <w:top w:val="nil"/>
              <w:left w:val="nil"/>
              <w:bottom w:val="single" w:sz="4" w:space="0" w:color="auto"/>
              <w:right w:val="nil"/>
            </w:tcBorders>
            <w:shd w:val="clear" w:color="000000" w:fill="D9D9D9"/>
            <w:vAlign w:val="center"/>
            <w:hideMark/>
          </w:tcPr>
          <w:p w14:paraId="0E5632F0" w14:textId="77777777" w:rsidR="00F1540A" w:rsidRPr="005734B8" w:rsidRDefault="00F1540A" w:rsidP="000F48B1">
            <w:pPr>
              <w:rPr>
                <w:rFonts w:ascii="Calibri" w:hAnsi="Calibri" w:cs="Calibri"/>
                <w:color w:val="000000"/>
                <w:sz w:val="16"/>
                <w:szCs w:val="16"/>
              </w:rPr>
            </w:pPr>
            <w:r w:rsidRPr="005734B8">
              <w:rPr>
                <w:rFonts w:ascii="Calibri" w:hAnsi="Calibri" w:cs="Calibri"/>
                <w:color w:val="000000"/>
                <w:sz w:val="16"/>
                <w:szCs w:val="16"/>
              </w:rPr>
              <w:t>Borrowings</w:t>
            </w:r>
          </w:p>
        </w:tc>
        <w:tc>
          <w:tcPr>
            <w:tcW w:w="1401" w:type="dxa"/>
            <w:tcBorders>
              <w:top w:val="nil"/>
              <w:left w:val="single" w:sz="4" w:space="0" w:color="FFFFFF"/>
              <w:bottom w:val="single" w:sz="4" w:space="0" w:color="auto"/>
              <w:right w:val="single" w:sz="4" w:space="0" w:color="FFFFFF"/>
            </w:tcBorders>
            <w:shd w:val="clear" w:color="000000" w:fill="D9D9D9"/>
            <w:noWrap/>
            <w:vAlign w:val="center"/>
            <w:hideMark/>
          </w:tcPr>
          <w:p w14:paraId="1BECD7AA" w14:textId="2ED96388"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388" w:type="dxa"/>
            <w:tcBorders>
              <w:top w:val="nil"/>
              <w:left w:val="nil"/>
              <w:bottom w:val="single" w:sz="4" w:space="0" w:color="auto"/>
              <w:right w:val="single" w:sz="4" w:space="0" w:color="FFFFFF"/>
            </w:tcBorders>
            <w:shd w:val="clear" w:color="000000" w:fill="D9D9D9"/>
            <w:noWrap/>
            <w:vAlign w:val="center"/>
            <w:hideMark/>
          </w:tcPr>
          <w:p w14:paraId="681A4A41" w14:textId="1FA9BE08"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2074" w:type="dxa"/>
            <w:tcBorders>
              <w:top w:val="nil"/>
              <w:left w:val="nil"/>
              <w:bottom w:val="single" w:sz="4" w:space="0" w:color="auto"/>
              <w:right w:val="single" w:sz="4" w:space="0" w:color="FFFFFF"/>
            </w:tcBorders>
            <w:shd w:val="clear" w:color="000000" w:fill="D9D9D9"/>
            <w:noWrap/>
            <w:vAlign w:val="center"/>
            <w:hideMark/>
          </w:tcPr>
          <w:p w14:paraId="539F93FA" w14:textId="292B6197"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2121" w:type="dxa"/>
            <w:tcBorders>
              <w:top w:val="nil"/>
              <w:left w:val="nil"/>
              <w:bottom w:val="single" w:sz="4" w:space="0" w:color="auto"/>
              <w:right w:val="single" w:sz="4" w:space="0" w:color="FFFFFF"/>
            </w:tcBorders>
            <w:shd w:val="clear" w:color="000000" w:fill="D9D9D9"/>
            <w:noWrap/>
            <w:vAlign w:val="center"/>
            <w:hideMark/>
          </w:tcPr>
          <w:p w14:paraId="2BFCBB08" w14:textId="5C2946B5"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401" w:type="dxa"/>
            <w:tcBorders>
              <w:top w:val="nil"/>
              <w:left w:val="nil"/>
              <w:bottom w:val="single" w:sz="4" w:space="0" w:color="auto"/>
              <w:right w:val="single" w:sz="4" w:space="0" w:color="FFFFFF"/>
            </w:tcBorders>
            <w:shd w:val="clear" w:color="000000" w:fill="D9D9D9"/>
            <w:noWrap/>
            <w:vAlign w:val="center"/>
            <w:hideMark/>
          </w:tcPr>
          <w:p w14:paraId="199FFA40" w14:textId="6B23BDF4"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388" w:type="dxa"/>
            <w:tcBorders>
              <w:top w:val="nil"/>
              <w:left w:val="nil"/>
              <w:bottom w:val="single" w:sz="4" w:space="0" w:color="auto"/>
              <w:right w:val="single" w:sz="4" w:space="0" w:color="FFFFFF"/>
            </w:tcBorders>
            <w:shd w:val="clear" w:color="000000" w:fill="D9D9D9"/>
            <w:noWrap/>
            <w:vAlign w:val="center"/>
            <w:hideMark/>
          </w:tcPr>
          <w:p w14:paraId="295022A6" w14:textId="77777777" w:rsidR="00F1540A" w:rsidRPr="005734B8" w:rsidRDefault="00F1540A" w:rsidP="000F48B1">
            <w:pPr>
              <w:jc w:val="right"/>
              <w:rPr>
                <w:rFonts w:ascii="Calibri" w:hAnsi="Calibri" w:cs="Calibri"/>
                <w:sz w:val="16"/>
                <w:szCs w:val="16"/>
              </w:rPr>
            </w:pPr>
            <w:r w:rsidRPr="005734B8">
              <w:rPr>
                <w:rFonts w:ascii="Calibri" w:hAnsi="Calibri" w:cs="Calibri"/>
                <w:sz w:val="16"/>
                <w:szCs w:val="16"/>
              </w:rPr>
              <w:t xml:space="preserve">582.3 </w:t>
            </w:r>
          </w:p>
        </w:tc>
        <w:tc>
          <w:tcPr>
            <w:tcW w:w="1386" w:type="dxa"/>
            <w:tcBorders>
              <w:top w:val="nil"/>
              <w:left w:val="nil"/>
              <w:bottom w:val="single" w:sz="4" w:space="0" w:color="auto"/>
              <w:right w:val="single" w:sz="4" w:space="0" w:color="FFFFFF"/>
            </w:tcBorders>
            <w:shd w:val="clear" w:color="000000" w:fill="D9D9D9"/>
            <w:noWrap/>
            <w:vAlign w:val="center"/>
            <w:hideMark/>
          </w:tcPr>
          <w:p w14:paraId="024DF308" w14:textId="77777777" w:rsidR="00F1540A" w:rsidRPr="005734B8" w:rsidRDefault="00F1540A" w:rsidP="000F48B1">
            <w:pPr>
              <w:jc w:val="right"/>
              <w:rPr>
                <w:rFonts w:ascii="Calibri" w:hAnsi="Calibri" w:cs="Calibri"/>
                <w:sz w:val="16"/>
                <w:szCs w:val="16"/>
              </w:rPr>
            </w:pPr>
            <w:r w:rsidRPr="005734B8">
              <w:rPr>
                <w:rFonts w:ascii="Calibri" w:hAnsi="Calibri" w:cs="Calibri"/>
                <w:sz w:val="16"/>
                <w:szCs w:val="16"/>
              </w:rPr>
              <w:t xml:space="preserve">582.3 </w:t>
            </w:r>
          </w:p>
        </w:tc>
      </w:tr>
      <w:tr w:rsidR="00F1540A" w:rsidRPr="005734B8" w14:paraId="370C16E9" w14:textId="77777777" w:rsidTr="000F48B1">
        <w:trPr>
          <w:trHeight w:val="170"/>
        </w:trPr>
        <w:tc>
          <w:tcPr>
            <w:tcW w:w="2787"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2509DB41" w14:textId="77777777" w:rsidR="00F1540A" w:rsidRPr="005734B8" w:rsidRDefault="00F1540A" w:rsidP="000F48B1">
            <w:pPr>
              <w:rPr>
                <w:rFonts w:ascii="Calibri" w:hAnsi="Calibri" w:cs="Calibri"/>
                <w:b/>
                <w:sz w:val="16"/>
                <w:szCs w:val="16"/>
              </w:rPr>
            </w:pPr>
            <w:r w:rsidRPr="005734B8">
              <w:rPr>
                <w:rFonts w:ascii="Calibri" w:hAnsi="Calibri" w:cs="Calibri"/>
                <w:b/>
                <w:sz w:val="16"/>
                <w:szCs w:val="16"/>
              </w:rPr>
              <w:t>Total contractual financial liabilities</w:t>
            </w:r>
          </w:p>
        </w:tc>
        <w:tc>
          <w:tcPr>
            <w:tcW w:w="1401" w:type="dxa"/>
            <w:tcBorders>
              <w:top w:val="single" w:sz="12" w:space="0" w:color="auto"/>
              <w:left w:val="nil"/>
              <w:bottom w:val="single" w:sz="12" w:space="0" w:color="auto"/>
              <w:right w:val="single" w:sz="4" w:space="0" w:color="FFFFFF"/>
            </w:tcBorders>
            <w:shd w:val="clear" w:color="000000" w:fill="D9D9D9"/>
            <w:noWrap/>
            <w:vAlign w:val="center"/>
            <w:hideMark/>
          </w:tcPr>
          <w:p w14:paraId="062D25B3" w14:textId="05B98EB4" w:rsidR="00F1540A" w:rsidRPr="005734B8" w:rsidRDefault="002653E2" w:rsidP="000F48B1">
            <w:pPr>
              <w:jc w:val="right"/>
              <w:rPr>
                <w:rFonts w:ascii="Calibri" w:hAnsi="Calibri" w:cs="Calibri"/>
                <w:b/>
                <w:sz w:val="16"/>
                <w:szCs w:val="16"/>
              </w:rPr>
            </w:pPr>
            <w:r w:rsidRPr="005734B8">
              <w:rPr>
                <w:rFonts w:ascii="Calibri" w:hAnsi="Calibri" w:cs="Calibri"/>
                <w:sz w:val="18"/>
                <w:szCs w:val="18"/>
              </w:rPr>
              <w:t>–</w:t>
            </w:r>
          </w:p>
        </w:tc>
        <w:tc>
          <w:tcPr>
            <w:tcW w:w="1388" w:type="dxa"/>
            <w:tcBorders>
              <w:top w:val="single" w:sz="12" w:space="0" w:color="auto"/>
              <w:left w:val="nil"/>
              <w:bottom w:val="single" w:sz="12" w:space="0" w:color="auto"/>
              <w:right w:val="single" w:sz="4" w:space="0" w:color="FFFFFF"/>
            </w:tcBorders>
            <w:shd w:val="clear" w:color="000000" w:fill="D9D9D9"/>
            <w:noWrap/>
            <w:vAlign w:val="center"/>
            <w:hideMark/>
          </w:tcPr>
          <w:p w14:paraId="0D0BE722" w14:textId="708769DF" w:rsidR="00F1540A" w:rsidRPr="005734B8" w:rsidRDefault="002653E2" w:rsidP="000F48B1">
            <w:pPr>
              <w:jc w:val="right"/>
              <w:rPr>
                <w:rFonts w:ascii="Calibri" w:hAnsi="Calibri" w:cs="Calibri"/>
                <w:b/>
                <w:sz w:val="16"/>
                <w:szCs w:val="16"/>
              </w:rPr>
            </w:pPr>
            <w:r w:rsidRPr="005734B8">
              <w:rPr>
                <w:rFonts w:ascii="Calibri" w:hAnsi="Calibri" w:cs="Calibri"/>
                <w:sz w:val="18"/>
                <w:szCs w:val="18"/>
              </w:rPr>
              <w:t>–</w:t>
            </w:r>
          </w:p>
        </w:tc>
        <w:tc>
          <w:tcPr>
            <w:tcW w:w="2074" w:type="dxa"/>
            <w:tcBorders>
              <w:top w:val="single" w:sz="12" w:space="0" w:color="auto"/>
              <w:left w:val="nil"/>
              <w:bottom w:val="single" w:sz="12" w:space="0" w:color="auto"/>
              <w:right w:val="single" w:sz="4" w:space="0" w:color="FFFFFF"/>
            </w:tcBorders>
            <w:shd w:val="clear" w:color="000000" w:fill="D9D9D9"/>
            <w:noWrap/>
            <w:vAlign w:val="center"/>
            <w:hideMark/>
          </w:tcPr>
          <w:p w14:paraId="1CAECDCC" w14:textId="710FD926" w:rsidR="00F1540A" w:rsidRPr="005734B8" w:rsidRDefault="002653E2" w:rsidP="000F48B1">
            <w:pPr>
              <w:jc w:val="right"/>
              <w:rPr>
                <w:rFonts w:ascii="Calibri" w:hAnsi="Calibri" w:cs="Calibri"/>
                <w:b/>
                <w:sz w:val="16"/>
                <w:szCs w:val="16"/>
              </w:rPr>
            </w:pPr>
            <w:r w:rsidRPr="005734B8">
              <w:rPr>
                <w:rFonts w:ascii="Calibri" w:hAnsi="Calibri" w:cs="Calibri"/>
                <w:sz w:val="18"/>
                <w:szCs w:val="18"/>
              </w:rPr>
              <w:t>–</w:t>
            </w:r>
          </w:p>
        </w:tc>
        <w:tc>
          <w:tcPr>
            <w:tcW w:w="2121" w:type="dxa"/>
            <w:tcBorders>
              <w:top w:val="single" w:sz="12" w:space="0" w:color="auto"/>
              <w:left w:val="nil"/>
              <w:bottom w:val="single" w:sz="12" w:space="0" w:color="auto"/>
              <w:right w:val="single" w:sz="4" w:space="0" w:color="FFFFFF"/>
            </w:tcBorders>
            <w:shd w:val="clear" w:color="000000" w:fill="D9D9D9"/>
            <w:noWrap/>
            <w:vAlign w:val="center"/>
            <w:hideMark/>
          </w:tcPr>
          <w:p w14:paraId="7919BD0C" w14:textId="770B4002" w:rsidR="00F1540A" w:rsidRPr="005734B8" w:rsidRDefault="002653E2" w:rsidP="000F48B1">
            <w:pPr>
              <w:jc w:val="right"/>
              <w:rPr>
                <w:rFonts w:ascii="Calibri" w:hAnsi="Calibri" w:cs="Calibri"/>
                <w:b/>
                <w:sz w:val="16"/>
                <w:szCs w:val="16"/>
              </w:rPr>
            </w:pPr>
            <w:r w:rsidRPr="005734B8">
              <w:rPr>
                <w:rFonts w:ascii="Calibri" w:hAnsi="Calibri" w:cs="Calibri"/>
                <w:sz w:val="18"/>
                <w:szCs w:val="18"/>
              </w:rPr>
              <w:t>–</w:t>
            </w:r>
          </w:p>
        </w:tc>
        <w:tc>
          <w:tcPr>
            <w:tcW w:w="1401" w:type="dxa"/>
            <w:tcBorders>
              <w:top w:val="single" w:sz="12" w:space="0" w:color="auto"/>
              <w:left w:val="nil"/>
              <w:bottom w:val="single" w:sz="12" w:space="0" w:color="auto"/>
              <w:right w:val="single" w:sz="4" w:space="0" w:color="FFFFFF"/>
            </w:tcBorders>
            <w:shd w:val="clear" w:color="000000" w:fill="D9D9D9"/>
            <w:noWrap/>
            <w:vAlign w:val="center"/>
            <w:hideMark/>
          </w:tcPr>
          <w:p w14:paraId="6B7664D0" w14:textId="5C4683DE" w:rsidR="00F1540A" w:rsidRPr="005734B8" w:rsidRDefault="002653E2" w:rsidP="000F48B1">
            <w:pPr>
              <w:jc w:val="right"/>
              <w:rPr>
                <w:rFonts w:ascii="Calibri" w:hAnsi="Calibri" w:cs="Calibri"/>
                <w:b/>
                <w:sz w:val="16"/>
                <w:szCs w:val="16"/>
              </w:rPr>
            </w:pPr>
            <w:r w:rsidRPr="005734B8">
              <w:rPr>
                <w:rFonts w:ascii="Calibri" w:hAnsi="Calibri" w:cs="Calibri"/>
                <w:sz w:val="18"/>
                <w:szCs w:val="18"/>
              </w:rPr>
              <w:t>–</w:t>
            </w:r>
          </w:p>
        </w:tc>
        <w:tc>
          <w:tcPr>
            <w:tcW w:w="1388" w:type="dxa"/>
            <w:tcBorders>
              <w:top w:val="single" w:sz="12" w:space="0" w:color="auto"/>
              <w:left w:val="nil"/>
              <w:bottom w:val="single" w:sz="12" w:space="0" w:color="auto"/>
              <w:right w:val="single" w:sz="4" w:space="0" w:color="FFFFFF"/>
            </w:tcBorders>
            <w:shd w:val="clear" w:color="000000" w:fill="D9D9D9"/>
            <w:noWrap/>
            <w:vAlign w:val="center"/>
            <w:hideMark/>
          </w:tcPr>
          <w:p w14:paraId="380673ED" w14:textId="77777777" w:rsidR="00F1540A" w:rsidRPr="005734B8" w:rsidRDefault="00F1540A" w:rsidP="000F48B1">
            <w:pPr>
              <w:jc w:val="right"/>
              <w:rPr>
                <w:rFonts w:ascii="Calibri" w:hAnsi="Calibri" w:cs="Calibri"/>
                <w:b/>
                <w:sz w:val="16"/>
                <w:szCs w:val="16"/>
              </w:rPr>
            </w:pPr>
            <w:r w:rsidRPr="005734B8">
              <w:rPr>
                <w:rFonts w:ascii="Calibri" w:hAnsi="Calibri" w:cs="Calibri"/>
                <w:b/>
                <w:sz w:val="16"/>
                <w:szCs w:val="16"/>
              </w:rPr>
              <w:t xml:space="preserve">1,180.5 </w:t>
            </w:r>
          </w:p>
        </w:tc>
        <w:tc>
          <w:tcPr>
            <w:tcW w:w="1386" w:type="dxa"/>
            <w:tcBorders>
              <w:top w:val="single" w:sz="12" w:space="0" w:color="auto"/>
              <w:left w:val="nil"/>
              <w:bottom w:val="single" w:sz="12" w:space="0" w:color="auto"/>
              <w:right w:val="single" w:sz="4" w:space="0" w:color="FFFFFF"/>
            </w:tcBorders>
            <w:shd w:val="clear" w:color="000000" w:fill="D9D9D9"/>
            <w:noWrap/>
            <w:vAlign w:val="center"/>
            <w:hideMark/>
          </w:tcPr>
          <w:p w14:paraId="6A9A2862" w14:textId="77777777" w:rsidR="00F1540A" w:rsidRPr="005734B8" w:rsidRDefault="00F1540A" w:rsidP="000F48B1">
            <w:pPr>
              <w:jc w:val="right"/>
              <w:rPr>
                <w:rFonts w:ascii="Calibri" w:hAnsi="Calibri" w:cs="Calibri"/>
                <w:b/>
                <w:sz w:val="16"/>
                <w:szCs w:val="16"/>
              </w:rPr>
            </w:pPr>
            <w:r w:rsidRPr="005734B8">
              <w:rPr>
                <w:rFonts w:ascii="Calibri" w:hAnsi="Calibri" w:cs="Calibri"/>
                <w:b/>
                <w:sz w:val="16"/>
                <w:szCs w:val="16"/>
              </w:rPr>
              <w:t xml:space="preserve">1,180.5 </w:t>
            </w:r>
          </w:p>
        </w:tc>
      </w:tr>
      <w:tr w:rsidR="00F1540A" w:rsidRPr="005734B8" w14:paraId="70A63F8E" w14:textId="77777777" w:rsidTr="000F48B1">
        <w:trPr>
          <w:trHeight w:val="170"/>
        </w:trPr>
        <w:tc>
          <w:tcPr>
            <w:tcW w:w="2787" w:type="dxa"/>
            <w:tcBorders>
              <w:top w:val="nil"/>
              <w:left w:val="single" w:sz="4" w:space="0" w:color="FFFFFF"/>
              <w:bottom w:val="nil"/>
              <w:right w:val="single" w:sz="4" w:space="0" w:color="FFFFFF"/>
            </w:tcBorders>
            <w:shd w:val="clear" w:color="000000" w:fill="AF272F"/>
            <w:hideMark/>
          </w:tcPr>
          <w:p w14:paraId="65D7C448" w14:textId="77777777" w:rsidR="00F1540A" w:rsidRPr="005734B8" w:rsidRDefault="00F1540A" w:rsidP="000F48B1">
            <w:pPr>
              <w:rPr>
                <w:rFonts w:ascii="Calibri" w:hAnsi="Calibri" w:cs="Calibri"/>
                <w:b/>
                <w:color w:val="FFFFFF"/>
                <w:sz w:val="16"/>
                <w:szCs w:val="16"/>
              </w:rPr>
            </w:pPr>
            <w:r w:rsidRPr="005734B8">
              <w:rPr>
                <w:rFonts w:ascii="Calibri" w:hAnsi="Calibri" w:cs="Calibri"/>
                <w:b/>
                <w:color w:val="FFFFFF"/>
                <w:sz w:val="16"/>
                <w:szCs w:val="16"/>
              </w:rPr>
              <w:t>2020</w:t>
            </w:r>
          </w:p>
        </w:tc>
        <w:tc>
          <w:tcPr>
            <w:tcW w:w="1401" w:type="dxa"/>
            <w:tcBorders>
              <w:top w:val="nil"/>
              <w:left w:val="nil"/>
              <w:bottom w:val="single" w:sz="4" w:space="0" w:color="auto"/>
              <w:right w:val="single" w:sz="4" w:space="0" w:color="FFFFFF"/>
            </w:tcBorders>
            <w:shd w:val="clear" w:color="000000" w:fill="AF272F"/>
            <w:hideMark/>
          </w:tcPr>
          <w:p w14:paraId="2191DD9E"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Cash and deposits ($m)</w:t>
            </w:r>
          </w:p>
        </w:tc>
        <w:tc>
          <w:tcPr>
            <w:tcW w:w="1388" w:type="dxa"/>
            <w:tcBorders>
              <w:top w:val="nil"/>
              <w:left w:val="nil"/>
              <w:bottom w:val="single" w:sz="4" w:space="0" w:color="auto"/>
              <w:right w:val="single" w:sz="4" w:space="0" w:color="FFFFFF"/>
            </w:tcBorders>
            <w:shd w:val="clear" w:color="000000" w:fill="AF272F"/>
            <w:hideMark/>
          </w:tcPr>
          <w:p w14:paraId="73EFB99B"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Financial assets/ liabilities designated at fair value through profit/ loss (FVTPL) ($m)</w:t>
            </w:r>
          </w:p>
        </w:tc>
        <w:tc>
          <w:tcPr>
            <w:tcW w:w="2074" w:type="dxa"/>
            <w:tcBorders>
              <w:top w:val="nil"/>
              <w:left w:val="nil"/>
              <w:bottom w:val="single" w:sz="4" w:space="0" w:color="auto"/>
              <w:right w:val="single" w:sz="4" w:space="0" w:color="FFFFFF"/>
            </w:tcBorders>
            <w:shd w:val="clear" w:color="000000" w:fill="AF272F"/>
            <w:hideMark/>
          </w:tcPr>
          <w:p w14:paraId="4EB06CE3"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Financial assets/liabilities mandatorily measured at fair value through profit/ loss (FVTPL) ($m)</w:t>
            </w:r>
          </w:p>
        </w:tc>
        <w:tc>
          <w:tcPr>
            <w:tcW w:w="2121" w:type="dxa"/>
            <w:tcBorders>
              <w:top w:val="nil"/>
              <w:left w:val="nil"/>
              <w:bottom w:val="single" w:sz="4" w:space="0" w:color="auto"/>
              <w:right w:val="single" w:sz="4" w:space="0" w:color="FFFFFF"/>
            </w:tcBorders>
            <w:shd w:val="clear" w:color="000000" w:fill="AF272F"/>
            <w:hideMark/>
          </w:tcPr>
          <w:p w14:paraId="614E2AC9"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Financial assets/liabilities measured at fair value through other comprehensive income ($m)</w:t>
            </w:r>
          </w:p>
        </w:tc>
        <w:tc>
          <w:tcPr>
            <w:tcW w:w="1401" w:type="dxa"/>
            <w:tcBorders>
              <w:top w:val="nil"/>
              <w:left w:val="nil"/>
              <w:bottom w:val="single" w:sz="4" w:space="0" w:color="auto"/>
              <w:right w:val="single" w:sz="4" w:space="0" w:color="FFFFFF"/>
            </w:tcBorders>
            <w:shd w:val="clear" w:color="000000" w:fill="AF272F"/>
            <w:hideMark/>
          </w:tcPr>
          <w:p w14:paraId="0ECC578F"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Financial assets at amortised cost (AC) ($m)</w:t>
            </w:r>
          </w:p>
        </w:tc>
        <w:tc>
          <w:tcPr>
            <w:tcW w:w="1388" w:type="dxa"/>
            <w:tcBorders>
              <w:top w:val="nil"/>
              <w:left w:val="nil"/>
              <w:bottom w:val="single" w:sz="4" w:space="0" w:color="auto"/>
              <w:right w:val="single" w:sz="4" w:space="0" w:color="FFFFFF"/>
            </w:tcBorders>
            <w:shd w:val="clear" w:color="000000" w:fill="AF272F"/>
            <w:hideMark/>
          </w:tcPr>
          <w:p w14:paraId="5047CA10"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Financial liabilities at amortised cost (AC) ($m)</w:t>
            </w:r>
          </w:p>
        </w:tc>
        <w:tc>
          <w:tcPr>
            <w:tcW w:w="1386" w:type="dxa"/>
            <w:tcBorders>
              <w:top w:val="nil"/>
              <w:left w:val="nil"/>
              <w:bottom w:val="single" w:sz="4" w:space="0" w:color="auto"/>
              <w:right w:val="single" w:sz="4" w:space="0" w:color="FFFFFF"/>
            </w:tcBorders>
            <w:shd w:val="clear" w:color="000000" w:fill="AF272F"/>
            <w:hideMark/>
          </w:tcPr>
          <w:p w14:paraId="6D1F9BBB"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Total ($m)</w:t>
            </w:r>
          </w:p>
        </w:tc>
      </w:tr>
      <w:tr w:rsidR="00F1540A" w:rsidRPr="005734B8" w14:paraId="4BCA3891" w14:textId="77777777" w:rsidTr="000F48B1">
        <w:trPr>
          <w:trHeight w:val="170"/>
        </w:trPr>
        <w:tc>
          <w:tcPr>
            <w:tcW w:w="2787" w:type="dxa"/>
            <w:tcBorders>
              <w:top w:val="nil"/>
              <w:left w:val="single" w:sz="4" w:space="0" w:color="FFFFFF"/>
              <w:bottom w:val="single" w:sz="4" w:space="0" w:color="auto"/>
              <w:right w:val="single" w:sz="4" w:space="0" w:color="FFFFFF"/>
            </w:tcBorders>
            <w:shd w:val="clear" w:color="000000" w:fill="53565A"/>
            <w:vAlign w:val="center"/>
            <w:hideMark/>
          </w:tcPr>
          <w:p w14:paraId="34E116B5" w14:textId="77777777" w:rsidR="00F1540A" w:rsidRPr="005734B8" w:rsidRDefault="00F1540A" w:rsidP="000F48B1">
            <w:pPr>
              <w:rPr>
                <w:rFonts w:ascii="Calibri" w:hAnsi="Calibri" w:cs="Calibri"/>
                <w:b/>
                <w:color w:val="FFFFFF"/>
                <w:sz w:val="16"/>
                <w:szCs w:val="16"/>
              </w:rPr>
            </w:pPr>
            <w:r w:rsidRPr="005734B8">
              <w:rPr>
                <w:rFonts w:ascii="Calibri" w:hAnsi="Calibri" w:cs="Calibri"/>
                <w:b/>
                <w:color w:val="FFFFFF"/>
                <w:sz w:val="16"/>
                <w:szCs w:val="16"/>
              </w:rPr>
              <w:t>Contractual financial assets:</w:t>
            </w:r>
          </w:p>
        </w:tc>
        <w:tc>
          <w:tcPr>
            <w:tcW w:w="1401" w:type="dxa"/>
            <w:tcBorders>
              <w:top w:val="nil"/>
              <w:left w:val="nil"/>
              <w:bottom w:val="single" w:sz="4" w:space="0" w:color="auto"/>
              <w:right w:val="single" w:sz="4" w:space="0" w:color="FFFFFF"/>
            </w:tcBorders>
            <w:shd w:val="clear" w:color="000000" w:fill="53565A"/>
            <w:hideMark/>
          </w:tcPr>
          <w:p w14:paraId="3A30FBCA"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1388" w:type="dxa"/>
            <w:tcBorders>
              <w:top w:val="nil"/>
              <w:left w:val="nil"/>
              <w:bottom w:val="single" w:sz="4" w:space="0" w:color="auto"/>
              <w:right w:val="single" w:sz="4" w:space="0" w:color="FFFFFF"/>
            </w:tcBorders>
            <w:shd w:val="clear" w:color="000000" w:fill="53565A"/>
            <w:hideMark/>
          </w:tcPr>
          <w:p w14:paraId="04384CA7"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2074" w:type="dxa"/>
            <w:tcBorders>
              <w:top w:val="nil"/>
              <w:left w:val="nil"/>
              <w:bottom w:val="single" w:sz="4" w:space="0" w:color="auto"/>
              <w:right w:val="single" w:sz="4" w:space="0" w:color="FFFFFF"/>
            </w:tcBorders>
            <w:shd w:val="clear" w:color="000000" w:fill="53565A"/>
            <w:hideMark/>
          </w:tcPr>
          <w:p w14:paraId="7EE15517"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2121" w:type="dxa"/>
            <w:tcBorders>
              <w:top w:val="nil"/>
              <w:left w:val="nil"/>
              <w:bottom w:val="single" w:sz="4" w:space="0" w:color="auto"/>
              <w:right w:val="single" w:sz="4" w:space="0" w:color="FFFFFF"/>
            </w:tcBorders>
            <w:shd w:val="clear" w:color="000000" w:fill="53565A"/>
            <w:hideMark/>
          </w:tcPr>
          <w:p w14:paraId="258A5CED"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1401" w:type="dxa"/>
            <w:tcBorders>
              <w:top w:val="nil"/>
              <w:left w:val="nil"/>
              <w:bottom w:val="single" w:sz="4" w:space="0" w:color="auto"/>
              <w:right w:val="single" w:sz="4" w:space="0" w:color="FFFFFF"/>
            </w:tcBorders>
            <w:shd w:val="clear" w:color="000000" w:fill="53565A"/>
            <w:hideMark/>
          </w:tcPr>
          <w:p w14:paraId="481BB675"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1388" w:type="dxa"/>
            <w:tcBorders>
              <w:top w:val="nil"/>
              <w:left w:val="nil"/>
              <w:bottom w:val="single" w:sz="4" w:space="0" w:color="auto"/>
              <w:right w:val="single" w:sz="4" w:space="0" w:color="FFFFFF"/>
            </w:tcBorders>
            <w:shd w:val="clear" w:color="000000" w:fill="53565A"/>
            <w:hideMark/>
          </w:tcPr>
          <w:p w14:paraId="6A336F7B"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1386" w:type="dxa"/>
            <w:tcBorders>
              <w:top w:val="nil"/>
              <w:left w:val="nil"/>
              <w:bottom w:val="single" w:sz="4" w:space="0" w:color="auto"/>
              <w:right w:val="single" w:sz="4" w:space="0" w:color="FFFFFF"/>
            </w:tcBorders>
            <w:shd w:val="clear" w:color="000000" w:fill="53565A"/>
            <w:hideMark/>
          </w:tcPr>
          <w:p w14:paraId="5248BEBD"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r>
      <w:tr w:rsidR="00F1540A" w:rsidRPr="005734B8" w14:paraId="21E0AFB0" w14:textId="77777777" w:rsidTr="000F48B1">
        <w:trPr>
          <w:trHeight w:val="170"/>
        </w:trPr>
        <w:tc>
          <w:tcPr>
            <w:tcW w:w="2787" w:type="dxa"/>
            <w:tcBorders>
              <w:top w:val="nil"/>
              <w:left w:val="single" w:sz="4" w:space="0" w:color="FFFFFF"/>
              <w:bottom w:val="single" w:sz="4" w:space="0" w:color="auto"/>
              <w:right w:val="single" w:sz="4" w:space="0" w:color="FFFFFF"/>
            </w:tcBorders>
            <w:shd w:val="clear" w:color="FFFFFF" w:fill="FFFFFF"/>
            <w:vAlign w:val="center"/>
            <w:hideMark/>
          </w:tcPr>
          <w:p w14:paraId="27E8FFB3" w14:textId="2F142A52" w:rsidR="00F1540A" w:rsidRPr="005734B8" w:rsidRDefault="00F1540A" w:rsidP="000F48B1">
            <w:pPr>
              <w:rPr>
                <w:rFonts w:ascii="Calibri" w:hAnsi="Calibri" w:cs="Calibri"/>
                <w:sz w:val="16"/>
                <w:szCs w:val="16"/>
              </w:rPr>
            </w:pPr>
            <w:r w:rsidRPr="005734B8">
              <w:rPr>
                <w:rFonts w:ascii="Calibri" w:hAnsi="Calibri" w:cs="Calibri"/>
                <w:sz w:val="16"/>
                <w:szCs w:val="16"/>
              </w:rPr>
              <w:t xml:space="preserve">Cash and deposits </w:t>
            </w:r>
            <w:r w:rsidR="00B15F9A" w:rsidRPr="005734B8">
              <w:rPr>
                <w:rFonts w:ascii="Calibri" w:hAnsi="Calibri" w:cs="Calibri"/>
                <w:sz w:val="16"/>
                <w:szCs w:val="16"/>
              </w:rPr>
              <w:t>–</w:t>
            </w:r>
            <w:r w:rsidRPr="005734B8">
              <w:rPr>
                <w:rFonts w:ascii="Calibri" w:hAnsi="Calibri" w:cs="Calibri"/>
                <w:sz w:val="16"/>
                <w:szCs w:val="16"/>
              </w:rPr>
              <w:t xml:space="preserve"> Department </w:t>
            </w:r>
          </w:p>
        </w:tc>
        <w:tc>
          <w:tcPr>
            <w:tcW w:w="1401" w:type="dxa"/>
            <w:tcBorders>
              <w:top w:val="nil"/>
              <w:left w:val="nil"/>
              <w:bottom w:val="single" w:sz="4" w:space="0" w:color="auto"/>
              <w:right w:val="single" w:sz="4" w:space="0" w:color="FFFFFF"/>
            </w:tcBorders>
            <w:shd w:val="clear" w:color="FFFFFF" w:fill="FFFFFF"/>
            <w:noWrap/>
            <w:vAlign w:val="center"/>
            <w:hideMark/>
          </w:tcPr>
          <w:p w14:paraId="30A63485" w14:textId="77777777" w:rsidR="00F1540A" w:rsidRPr="005734B8" w:rsidRDefault="00F1540A" w:rsidP="000F48B1">
            <w:pPr>
              <w:jc w:val="right"/>
              <w:rPr>
                <w:rFonts w:ascii="Calibri" w:hAnsi="Calibri" w:cs="Calibri"/>
                <w:sz w:val="16"/>
                <w:szCs w:val="16"/>
              </w:rPr>
            </w:pPr>
            <w:r w:rsidRPr="005734B8">
              <w:rPr>
                <w:rFonts w:ascii="Calibri" w:hAnsi="Calibri" w:cs="Calibri"/>
                <w:sz w:val="16"/>
                <w:szCs w:val="16"/>
              </w:rPr>
              <w:t xml:space="preserve">436.1 </w:t>
            </w:r>
          </w:p>
        </w:tc>
        <w:tc>
          <w:tcPr>
            <w:tcW w:w="1388" w:type="dxa"/>
            <w:tcBorders>
              <w:top w:val="nil"/>
              <w:left w:val="nil"/>
              <w:bottom w:val="single" w:sz="4" w:space="0" w:color="auto"/>
              <w:right w:val="single" w:sz="4" w:space="0" w:color="FFFFFF"/>
            </w:tcBorders>
            <w:shd w:val="clear" w:color="FFFFFF" w:fill="FFFFFF"/>
            <w:noWrap/>
            <w:vAlign w:val="center"/>
            <w:hideMark/>
          </w:tcPr>
          <w:p w14:paraId="73399885" w14:textId="1F7CABD7"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2074" w:type="dxa"/>
            <w:tcBorders>
              <w:top w:val="nil"/>
              <w:left w:val="nil"/>
              <w:bottom w:val="single" w:sz="4" w:space="0" w:color="auto"/>
              <w:right w:val="single" w:sz="4" w:space="0" w:color="FFFFFF"/>
            </w:tcBorders>
            <w:shd w:val="clear" w:color="FFFFFF" w:fill="FFFFFF"/>
            <w:noWrap/>
            <w:vAlign w:val="center"/>
            <w:hideMark/>
          </w:tcPr>
          <w:p w14:paraId="039D2E17" w14:textId="05BD6837"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2121" w:type="dxa"/>
            <w:tcBorders>
              <w:top w:val="nil"/>
              <w:left w:val="nil"/>
              <w:bottom w:val="single" w:sz="4" w:space="0" w:color="auto"/>
              <w:right w:val="single" w:sz="4" w:space="0" w:color="FFFFFF"/>
            </w:tcBorders>
            <w:shd w:val="clear" w:color="FFFFFF" w:fill="FFFFFF"/>
            <w:noWrap/>
            <w:vAlign w:val="center"/>
            <w:hideMark/>
          </w:tcPr>
          <w:p w14:paraId="3FFDE0ED" w14:textId="0B732B4A"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401" w:type="dxa"/>
            <w:tcBorders>
              <w:top w:val="nil"/>
              <w:left w:val="nil"/>
              <w:bottom w:val="single" w:sz="4" w:space="0" w:color="auto"/>
              <w:right w:val="single" w:sz="4" w:space="0" w:color="FFFFFF"/>
            </w:tcBorders>
            <w:shd w:val="clear" w:color="FFFFFF" w:fill="FFFFFF"/>
            <w:noWrap/>
            <w:vAlign w:val="center"/>
            <w:hideMark/>
          </w:tcPr>
          <w:p w14:paraId="09AAC343" w14:textId="148E7E79"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388" w:type="dxa"/>
            <w:tcBorders>
              <w:top w:val="nil"/>
              <w:left w:val="nil"/>
              <w:bottom w:val="single" w:sz="4" w:space="0" w:color="auto"/>
              <w:right w:val="single" w:sz="4" w:space="0" w:color="FFFFFF"/>
            </w:tcBorders>
            <w:shd w:val="clear" w:color="FFFFFF" w:fill="FFFFFF"/>
            <w:noWrap/>
            <w:vAlign w:val="center"/>
            <w:hideMark/>
          </w:tcPr>
          <w:p w14:paraId="771188AD" w14:textId="047415E6"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386" w:type="dxa"/>
            <w:tcBorders>
              <w:top w:val="nil"/>
              <w:left w:val="nil"/>
              <w:bottom w:val="single" w:sz="4" w:space="0" w:color="auto"/>
              <w:right w:val="single" w:sz="4" w:space="0" w:color="FFFFFF"/>
            </w:tcBorders>
            <w:shd w:val="clear" w:color="FFFFFF" w:fill="FFFFFF"/>
            <w:noWrap/>
            <w:vAlign w:val="center"/>
            <w:hideMark/>
          </w:tcPr>
          <w:p w14:paraId="76B53C8C" w14:textId="77777777" w:rsidR="00F1540A" w:rsidRPr="005734B8" w:rsidRDefault="00F1540A" w:rsidP="000F48B1">
            <w:pPr>
              <w:jc w:val="right"/>
              <w:rPr>
                <w:rFonts w:ascii="Calibri" w:hAnsi="Calibri" w:cs="Calibri"/>
                <w:sz w:val="16"/>
                <w:szCs w:val="16"/>
              </w:rPr>
            </w:pPr>
            <w:r w:rsidRPr="005734B8">
              <w:rPr>
                <w:rFonts w:ascii="Calibri" w:hAnsi="Calibri" w:cs="Calibri"/>
                <w:sz w:val="16"/>
                <w:szCs w:val="16"/>
              </w:rPr>
              <w:t xml:space="preserve">436.1 </w:t>
            </w:r>
          </w:p>
        </w:tc>
      </w:tr>
      <w:tr w:rsidR="00F1540A" w:rsidRPr="005734B8" w14:paraId="59C98CBD" w14:textId="77777777" w:rsidTr="000F48B1">
        <w:trPr>
          <w:trHeight w:val="170"/>
        </w:trPr>
        <w:tc>
          <w:tcPr>
            <w:tcW w:w="2787" w:type="dxa"/>
            <w:tcBorders>
              <w:top w:val="nil"/>
              <w:left w:val="single" w:sz="4" w:space="0" w:color="FFFFFF"/>
              <w:bottom w:val="single" w:sz="4" w:space="0" w:color="auto"/>
              <w:right w:val="single" w:sz="4" w:space="0" w:color="FFFFFF"/>
            </w:tcBorders>
            <w:shd w:val="clear" w:color="FFFFFF" w:fill="FFFFFF"/>
            <w:vAlign w:val="center"/>
            <w:hideMark/>
          </w:tcPr>
          <w:p w14:paraId="43C0AAE9" w14:textId="5AC34C07" w:rsidR="00F1540A" w:rsidRPr="005734B8" w:rsidRDefault="00F1540A" w:rsidP="000F48B1">
            <w:pPr>
              <w:rPr>
                <w:rFonts w:ascii="Calibri" w:hAnsi="Calibri" w:cs="Calibri"/>
                <w:sz w:val="16"/>
                <w:szCs w:val="16"/>
              </w:rPr>
            </w:pPr>
            <w:r w:rsidRPr="005734B8">
              <w:rPr>
                <w:rFonts w:ascii="Calibri" w:hAnsi="Calibri" w:cs="Calibri"/>
                <w:sz w:val="16"/>
                <w:szCs w:val="16"/>
              </w:rPr>
              <w:t xml:space="preserve">Cash and deposits </w:t>
            </w:r>
            <w:r w:rsidR="00B15F9A" w:rsidRPr="005734B8">
              <w:rPr>
                <w:rFonts w:ascii="Calibri" w:hAnsi="Calibri" w:cs="Calibri"/>
                <w:sz w:val="16"/>
                <w:szCs w:val="16"/>
              </w:rPr>
              <w:t>–</w:t>
            </w:r>
            <w:r w:rsidRPr="005734B8">
              <w:rPr>
                <w:rFonts w:ascii="Calibri" w:hAnsi="Calibri" w:cs="Calibri"/>
                <w:sz w:val="16"/>
                <w:szCs w:val="16"/>
              </w:rPr>
              <w:t xml:space="preserve"> Schools</w:t>
            </w:r>
          </w:p>
        </w:tc>
        <w:tc>
          <w:tcPr>
            <w:tcW w:w="1401" w:type="dxa"/>
            <w:tcBorders>
              <w:top w:val="nil"/>
              <w:left w:val="nil"/>
              <w:bottom w:val="single" w:sz="4" w:space="0" w:color="auto"/>
              <w:right w:val="single" w:sz="4" w:space="0" w:color="FFFFFF"/>
            </w:tcBorders>
            <w:shd w:val="clear" w:color="FFFFFF" w:fill="FFFFFF"/>
            <w:noWrap/>
            <w:vAlign w:val="center"/>
            <w:hideMark/>
          </w:tcPr>
          <w:p w14:paraId="51697A6B" w14:textId="77777777" w:rsidR="00F1540A" w:rsidRPr="005734B8" w:rsidRDefault="00F1540A" w:rsidP="000F48B1">
            <w:pPr>
              <w:jc w:val="right"/>
              <w:rPr>
                <w:rFonts w:ascii="Calibri" w:hAnsi="Calibri" w:cs="Calibri"/>
                <w:sz w:val="16"/>
                <w:szCs w:val="16"/>
              </w:rPr>
            </w:pPr>
            <w:r w:rsidRPr="005734B8">
              <w:rPr>
                <w:rFonts w:ascii="Calibri" w:hAnsi="Calibri" w:cs="Calibri"/>
                <w:sz w:val="16"/>
                <w:szCs w:val="16"/>
              </w:rPr>
              <w:t xml:space="preserve">1,121.1 </w:t>
            </w:r>
          </w:p>
        </w:tc>
        <w:tc>
          <w:tcPr>
            <w:tcW w:w="1388" w:type="dxa"/>
            <w:tcBorders>
              <w:top w:val="nil"/>
              <w:left w:val="nil"/>
              <w:bottom w:val="single" w:sz="4" w:space="0" w:color="auto"/>
              <w:right w:val="single" w:sz="4" w:space="0" w:color="FFFFFF"/>
            </w:tcBorders>
            <w:shd w:val="clear" w:color="FFFFFF" w:fill="FFFFFF"/>
            <w:noWrap/>
            <w:vAlign w:val="center"/>
            <w:hideMark/>
          </w:tcPr>
          <w:p w14:paraId="568A498A" w14:textId="004C2737"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2074" w:type="dxa"/>
            <w:tcBorders>
              <w:top w:val="nil"/>
              <w:left w:val="nil"/>
              <w:bottom w:val="single" w:sz="4" w:space="0" w:color="auto"/>
              <w:right w:val="single" w:sz="4" w:space="0" w:color="FFFFFF"/>
            </w:tcBorders>
            <w:shd w:val="clear" w:color="FFFFFF" w:fill="FFFFFF"/>
            <w:noWrap/>
            <w:vAlign w:val="center"/>
            <w:hideMark/>
          </w:tcPr>
          <w:p w14:paraId="123417D7" w14:textId="7AFC0652"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2121" w:type="dxa"/>
            <w:tcBorders>
              <w:top w:val="nil"/>
              <w:left w:val="nil"/>
              <w:bottom w:val="single" w:sz="4" w:space="0" w:color="auto"/>
              <w:right w:val="single" w:sz="4" w:space="0" w:color="FFFFFF"/>
            </w:tcBorders>
            <w:shd w:val="clear" w:color="FFFFFF" w:fill="FFFFFF"/>
            <w:noWrap/>
            <w:vAlign w:val="center"/>
            <w:hideMark/>
          </w:tcPr>
          <w:p w14:paraId="73834B60" w14:textId="1608E786"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401" w:type="dxa"/>
            <w:tcBorders>
              <w:top w:val="nil"/>
              <w:left w:val="nil"/>
              <w:bottom w:val="single" w:sz="4" w:space="0" w:color="auto"/>
              <w:right w:val="single" w:sz="4" w:space="0" w:color="FFFFFF"/>
            </w:tcBorders>
            <w:shd w:val="clear" w:color="FFFFFF" w:fill="FFFFFF"/>
            <w:noWrap/>
            <w:vAlign w:val="center"/>
            <w:hideMark/>
          </w:tcPr>
          <w:p w14:paraId="0EEF8B87" w14:textId="62571D2D"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388" w:type="dxa"/>
            <w:tcBorders>
              <w:top w:val="nil"/>
              <w:left w:val="nil"/>
              <w:bottom w:val="single" w:sz="4" w:space="0" w:color="auto"/>
              <w:right w:val="single" w:sz="4" w:space="0" w:color="FFFFFF"/>
            </w:tcBorders>
            <w:shd w:val="clear" w:color="FFFFFF" w:fill="FFFFFF"/>
            <w:noWrap/>
            <w:vAlign w:val="center"/>
            <w:hideMark/>
          </w:tcPr>
          <w:p w14:paraId="16C87204" w14:textId="565B218E"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386" w:type="dxa"/>
            <w:tcBorders>
              <w:top w:val="nil"/>
              <w:left w:val="nil"/>
              <w:bottom w:val="single" w:sz="4" w:space="0" w:color="auto"/>
              <w:right w:val="single" w:sz="4" w:space="0" w:color="FFFFFF"/>
            </w:tcBorders>
            <w:shd w:val="clear" w:color="FFFFFF" w:fill="FFFFFF"/>
            <w:noWrap/>
            <w:vAlign w:val="center"/>
            <w:hideMark/>
          </w:tcPr>
          <w:p w14:paraId="22CAD13B" w14:textId="77777777" w:rsidR="00F1540A" w:rsidRPr="005734B8" w:rsidRDefault="00F1540A" w:rsidP="000F48B1">
            <w:pPr>
              <w:jc w:val="right"/>
              <w:rPr>
                <w:rFonts w:ascii="Calibri" w:hAnsi="Calibri" w:cs="Calibri"/>
                <w:sz w:val="16"/>
                <w:szCs w:val="16"/>
              </w:rPr>
            </w:pPr>
            <w:r w:rsidRPr="005734B8">
              <w:rPr>
                <w:rFonts w:ascii="Calibri" w:hAnsi="Calibri" w:cs="Calibri"/>
                <w:sz w:val="16"/>
                <w:szCs w:val="16"/>
              </w:rPr>
              <w:t xml:space="preserve">1,121.1 </w:t>
            </w:r>
          </w:p>
        </w:tc>
      </w:tr>
      <w:tr w:rsidR="00F1540A" w:rsidRPr="005734B8" w14:paraId="0C23459D" w14:textId="77777777" w:rsidTr="000F48B1">
        <w:trPr>
          <w:trHeight w:val="170"/>
        </w:trPr>
        <w:tc>
          <w:tcPr>
            <w:tcW w:w="2787" w:type="dxa"/>
            <w:tcBorders>
              <w:top w:val="nil"/>
              <w:left w:val="single" w:sz="4" w:space="0" w:color="FFFFFF"/>
              <w:bottom w:val="single" w:sz="4" w:space="0" w:color="auto"/>
              <w:right w:val="single" w:sz="4" w:space="0" w:color="FFFFFF"/>
            </w:tcBorders>
            <w:shd w:val="clear" w:color="FFFFFF" w:fill="FFFFFF"/>
            <w:vAlign w:val="center"/>
            <w:hideMark/>
          </w:tcPr>
          <w:p w14:paraId="2429135E" w14:textId="77777777" w:rsidR="00F1540A" w:rsidRPr="005734B8" w:rsidRDefault="00F1540A" w:rsidP="000F48B1">
            <w:pPr>
              <w:rPr>
                <w:rFonts w:ascii="Calibri" w:hAnsi="Calibri" w:cs="Calibri"/>
                <w:sz w:val="16"/>
                <w:szCs w:val="16"/>
              </w:rPr>
            </w:pPr>
            <w:r w:rsidRPr="005734B8">
              <w:rPr>
                <w:rFonts w:ascii="Calibri" w:hAnsi="Calibri" w:cs="Calibri"/>
                <w:sz w:val="16"/>
                <w:szCs w:val="16"/>
              </w:rPr>
              <w:t>Receivables</w:t>
            </w:r>
          </w:p>
        </w:tc>
        <w:tc>
          <w:tcPr>
            <w:tcW w:w="1401" w:type="dxa"/>
            <w:tcBorders>
              <w:top w:val="nil"/>
              <w:left w:val="nil"/>
              <w:bottom w:val="single" w:sz="4" w:space="0" w:color="auto"/>
              <w:right w:val="single" w:sz="4" w:space="0" w:color="FFFFFF"/>
            </w:tcBorders>
            <w:shd w:val="clear" w:color="FFFFFF" w:fill="FFFFFF"/>
            <w:noWrap/>
            <w:vAlign w:val="center"/>
            <w:hideMark/>
          </w:tcPr>
          <w:p w14:paraId="56D8B56B" w14:textId="2B41CDCC" w:rsidR="00F1540A" w:rsidRPr="005734B8" w:rsidRDefault="00141228" w:rsidP="000F48B1">
            <w:pPr>
              <w:jc w:val="right"/>
              <w:rPr>
                <w:rFonts w:ascii="Calibri" w:hAnsi="Calibri" w:cs="Calibri"/>
                <w:sz w:val="16"/>
                <w:szCs w:val="16"/>
              </w:rPr>
            </w:pPr>
            <w:r w:rsidRPr="005734B8">
              <w:rPr>
                <w:rFonts w:ascii="Calibri" w:hAnsi="Calibri" w:cs="Calibri"/>
                <w:sz w:val="18"/>
                <w:szCs w:val="18"/>
              </w:rPr>
              <w:softHyphen/>
            </w:r>
            <w:r w:rsidR="002653E2" w:rsidRPr="005734B8">
              <w:rPr>
                <w:rFonts w:ascii="Calibri" w:hAnsi="Calibri" w:cs="Calibri"/>
                <w:sz w:val="18"/>
                <w:szCs w:val="18"/>
              </w:rPr>
              <w:t>–</w:t>
            </w:r>
          </w:p>
        </w:tc>
        <w:tc>
          <w:tcPr>
            <w:tcW w:w="1388" w:type="dxa"/>
            <w:tcBorders>
              <w:top w:val="nil"/>
              <w:left w:val="nil"/>
              <w:bottom w:val="single" w:sz="4" w:space="0" w:color="auto"/>
              <w:right w:val="single" w:sz="4" w:space="0" w:color="FFFFFF"/>
            </w:tcBorders>
            <w:shd w:val="clear" w:color="FFFFFF" w:fill="FFFFFF"/>
            <w:noWrap/>
            <w:vAlign w:val="center"/>
            <w:hideMark/>
          </w:tcPr>
          <w:p w14:paraId="52B4B385" w14:textId="1A9CCB9D"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2074" w:type="dxa"/>
            <w:tcBorders>
              <w:top w:val="nil"/>
              <w:left w:val="nil"/>
              <w:bottom w:val="single" w:sz="4" w:space="0" w:color="auto"/>
              <w:right w:val="single" w:sz="4" w:space="0" w:color="FFFFFF"/>
            </w:tcBorders>
            <w:shd w:val="clear" w:color="FFFFFF" w:fill="FFFFFF"/>
            <w:noWrap/>
            <w:vAlign w:val="center"/>
            <w:hideMark/>
          </w:tcPr>
          <w:p w14:paraId="7957D380" w14:textId="4FC62EBD"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2121" w:type="dxa"/>
            <w:tcBorders>
              <w:top w:val="nil"/>
              <w:left w:val="nil"/>
              <w:bottom w:val="single" w:sz="4" w:space="0" w:color="auto"/>
              <w:right w:val="single" w:sz="4" w:space="0" w:color="FFFFFF"/>
            </w:tcBorders>
            <w:shd w:val="clear" w:color="FFFFFF" w:fill="FFFFFF"/>
            <w:noWrap/>
            <w:vAlign w:val="center"/>
            <w:hideMark/>
          </w:tcPr>
          <w:p w14:paraId="3959BBB4" w14:textId="0F86B0ED"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401" w:type="dxa"/>
            <w:tcBorders>
              <w:top w:val="nil"/>
              <w:left w:val="nil"/>
              <w:bottom w:val="single" w:sz="4" w:space="0" w:color="auto"/>
              <w:right w:val="single" w:sz="4" w:space="0" w:color="FFFFFF"/>
            </w:tcBorders>
            <w:shd w:val="clear" w:color="FFFFFF" w:fill="FFFFFF"/>
            <w:noWrap/>
            <w:vAlign w:val="center"/>
            <w:hideMark/>
          </w:tcPr>
          <w:p w14:paraId="4282B8F0" w14:textId="77777777" w:rsidR="00F1540A" w:rsidRPr="005734B8" w:rsidRDefault="00F1540A" w:rsidP="000F48B1">
            <w:pPr>
              <w:jc w:val="right"/>
              <w:rPr>
                <w:rFonts w:ascii="Calibri" w:hAnsi="Calibri" w:cs="Calibri"/>
                <w:sz w:val="16"/>
                <w:szCs w:val="16"/>
              </w:rPr>
            </w:pPr>
            <w:r w:rsidRPr="005734B8">
              <w:rPr>
                <w:rFonts w:ascii="Calibri" w:hAnsi="Calibri" w:cs="Calibri"/>
                <w:sz w:val="16"/>
                <w:szCs w:val="16"/>
              </w:rPr>
              <w:t xml:space="preserve">81.6 </w:t>
            </w:r>
          </w:p>
        </w:tc>
        <w:tc>
          <w:tcPr>
            <w:tcW w:w="1388" w:type="dxa"/>
            <w:tcBorders>
              <w:top w:val="nil"/>
              <w:left w:val="nil"/>
              <w:bottom w:val="single" w:sz="4" w:space="0" w:color="auto"/>
              <w:right w:val="single" w:sz="4" w:space="0" w:color="FFFFFF"/>
            </w:tcBorders>
            <w:shd w:val="clear" w:color="FFFFFF" w:fill="FFFFFF"/>
            <w:noWrap/>
            <w:vAlign w:val="center"/>
            <w:hideMark/>
          </w:tcPr>
          <w:p w14:paraId="2BFDB325" w14:textId="7DBCF1B9"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386" w:type="dxa"/>
            <w:tcBorders>
              <w:top w:val="nil"/>
              <w:left w:val="nil"/>
              <w:bottom w:val="single" w:sz="4" w:space="0" w:color="auto"/>
              <w:right w:val="single" w:sz="4" w:space="0" w:color="FFFFFF"/>
            </w:tcBorders>
            <w:shd w:val="clear" w:color="FFFFFF" w:fill="FFFFFF"/>
            <w:noWrap/>
            <w:vAlign w:val="center"/>
            <w:hideMark/>
          </w:tcPr>
          <w:p w14:paraId="3ECE51C2" w14:textId="77777777" w:rsidR="00F1540A" w:rsidRPr="005734B8" w:rsidRDefault="00F1540A" w:rsidP="000F48B1">
            <w:pPr>
              <w:jc w:val="right"/>
              <w:rPr>
                <w:rFonts w:ascii="Calibri" w:hAnsi="Calibri" w:cs="Calibri"/>
                <w:sz w:val="16"/>
                <w:szCs w:val="16"/>
              </w:rPr>
            </w:pPr>
            <w:r w:rsidRPr="005734B8">
              <w:rPr>
                <w:rFonts w:ascii="Calibri" w:hAnsi="Calibri" w:cs="Calibri"/>
                <w:sz w:val="16"/>
                <w:szCs w:val="16"/>
              </w:rPr>
              <w:t xml:space="preserve">81.6 </w:t>
            </w:r>
          </w:p>
        </w:tc>
      </w:tr>
      <w:tr w:rsidR="00F1540A" w:rsidRPr="005734B8" w14:paraId="7A61CBF9" w14:textId="77777777" w:rsidTr="000F48B1">
        <w:trPr>
          <w:trHeight w:val="170"/>
        </w:trPr>
        <w:tc>
          <w:tcPr>
            <w:tcW w:w="2787" w:type="dxa"/>
            <w:tcBorders>
              <w:top w:val="nil"/>
              <w:left w:val="single" w:sz="4" w:space="0" w:color="FFFFFF"/>
              <w:bottom w:val="single" w:sz="4" w:space="0" w:color="auto"/>
              <w:right w:val="single" w:sz="4" w:space="0" w:color="FFFFFF"/>
            </w:tcBorders>
            <w:shd w:val="clear" w:color="FFFFFF" w:fill="FFFFFF"/>
            <w:vAlign w:val="center"/>
            <w:hideMark/>
          </w:tcPr>
          <w:p w14:paraId="40324C1C" w14:textId="77777777" w:rsidR="00F1540A" w:rsidRPr="005734B8" w:rsidRDefault="00F1540A" w:rsidP="000F48B1">
            <w:pPr>
              <w:rPr>
                <w:rFonts w:ascii="Calibri" w:hAnsi="Calibri" w:cs="Calibri"/>
                <w:sz w:val="16"/>
                <w:szCs w:val="16"/>
              </w:rPr>
            </w:pPr>
            <w:r w:rsidRPr="005734B8">
              <w:rPr>
                <w:rFonts w:ascii="Calibri" w:hAnsi="Calibri" w:cs="Calibri"/>
                <w:sz w:val="16"/>
                <w:szCs w:val="16"/>
              </w:rPr>
              <w:t>Term deposits</w:t>
            </w:r>
          </w:p>
        </w:tc>
        <w:tc>
          <w:tcPr>
            <w:tcW w:w="1401" w:type="dxa"/>
            <w:tcBorders>
              <w:top w:val="nil"/>
              <w:left w:val="nil"/>
              <w:bottom w:val="single" w:sz="4" w:space="0" w:color="auto"/>
              <w:right w:val="single" w:sz="4" w:space="0" w:color="FFFFFF"/>
            </w:tcBorders>
            <w:shd w:val="clear" w:color="FFFFFF" w:fill="FFFFFF"/>
            <w:noWrap/>
            <w:vAlign w:val="center"/>
            <w:hideMark/>
          </w:tcPr>
          <w:p w14:paraId="649EB13A" w14:textId="77777777" w:rsidR="00F1540A" w:rsidRPr="005734B8" w:rsidRDefault="00F1540A" w:rsidP="000F48B1">
            <w:pPr>
              <w:jc w:val="right"/>
              <w:rPr>
                <w:rFonts w:ascii="Calibri" w:hAnsi="Calibri" w:cs="Calibri"/>
                <w:sz w:val="16"/>
                <w:szCs w:val="16"/>
              </w:rPr>
            </w:pPr>
            <w:r w:rsidRPr="005734B8">
              <w:rPr>
                <w:rFonts w:ascii="Calibri" w:hAnsi="Calibri" w:cs="Calibri"/>
                <w:sz w:val="16"/>
                <w:szCs w:val="16"/>
              </w:rPr>
              <w:t xml:space="preserve">2.8 </w:t>
            </w:r>
          </w:p>
        </w:tc>
        <w:tc>
          <w:tcPr>
            <w:tcW w:w="1388" w:type="dxa"/>
            <w:tcBorders>
              <w:top w:val="nil"/>
              <w:left w:val="nil"/>
              <w:bottom w:val="single" w:sz="4" w:space="0" w:color="auto"/>
              <w:right w:val="single" w:sz="4" w:space="0" w:color="FFFFFF"/>
            </w:tcBorders>
            <w:shd w:val="clear" w:color="FFFFFF" w:fill="FFFFFF"/>
            <w:noWrap/>
            <w:vAlign w:val="center"/>
            <w:hideMark/>
          </w:tcPr>
          <w:p w14:paraId="3701DCDB" w14:textId="7327668E"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2074" w:type="dxa"/>
            <w:tcBorders>
              <w:top w:val="nil"/>
              <w:left w:val="nil"/>
              <w:bottom w:val="single" w:sz="4" w:space="0" w:color="auto"/>
              <w:right w:val="single" w:sz="4" w:space="0" w:color="FFFFFF"/>
            </w:tcBorders>
            <w:shd w:val="clear" w:color="FFFFFF" w:fill="FFFFFF"/>
            <w:noWrap/>
            <w:vAlign w:val="center"/>
            <w:hideMark/>
          </w:tcPr>
          <w:p w14:paraId="5D828EC8" w14:textId="5CA29DD9"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2121" w:type="dxa"/>
            <w:tcBorders>
              <w:top w:val="nil"/>
              <w:left w:val="nil"/>
              <w:bottom w:val="single" w:sz="4" w:space="0" w:color="auto"/>
              <w:right w:val="single" w:sz="4" w:space="0" w:color="FFFFFF"/>
            </w:tcBorders>
            <w:shd w:val="clear" w:color="FFFFFF" w:fill="FFFFFF"/>
            <w:noWrap/>
            <w:vAlign w:val="center"/>
            <w:hideMark/>
          </w:tcPr>
          <w:p w14:paraId="74AC6499" w14:textId="15A07725"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401" w:type="dxa"/>
            <w:tcBorders>
              <w:top w:val="nil"/>
              <w:left w:val="nil"/>
              <w:bottom w:val="single" w:sz="4" w:space="0" w:color="auto"/>
              <w:right w:val="single" w:sz="4" w:space="0" w:color="FFFFFF"/>
            </w:tcBorders>
            <w:shd w:val="clear" w:color="FFFFFF" w:fill="FFFFFF"/>
            <w:noWrap/>
            <w:vAlign w:val="center"/>
            <w:hideMark/>
          </w:tcPr>
          <w:p w14:paraId="149C2889" w14:textId="0DD03DE5"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388" w:type="dxa"/>
            <w:tcBorders>
              <w:top w:val="nil"/>
              <w:left w:val="nil"/>
              <w:bottom w:val="single" w:sz="4" w:space="0" w:color="auto"/>
              <w:right w:val="single" w:sz="4" w:space="0" w:color="FFFFFF"/>
            </w:tcBorders>
            <w:shd w:val="clear" w:color="FFFFFF" w:fill="FFFFFF"/>
            <w:noWrap/>
            <w:vAlign w:val="center"/>
            <w:hideMark/>
          </w:tcPr>
          <w:p w14:paraId="45CBD96D" w14:textId="09B286C2"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386" w:type="dxa"/>
            <w:tcBorders>
              <w:top w:val="nil"/>
              <w:left w:val="nil"/>
              <w:bottom w:val="single" w:sz="4" w:space="0" w:color="auto"/>
              <w:right w:val="single" w:sz="4" w:space="0" w:color="FFFFFF"/>
            </w:tcBorders>
            <w:shd w:val="clear" w:color="FFFFFF" w:fill="FFFFFF"/>
            <w:noWrap/>
            <w:vAlign w:val="center"/>
            <w:hideMark/>
          </w:tcPr>
          <w:p w14:paraId="3860F347" w14:textId="77777777" w:rsidR="00F1540A" w:rsidRPr="005734B8" w:rsidRDefault="00F1540A" w:rsidP="000F48B1">
            <w:pPr>
              <w:jc w:val="right"/>
              <w:rPr>
                <w:rFonts w:ascii="Calibri" w:hAnsi="Calibri" w:cs="Calibri"/>
                <w:sz w:val="16"/>
                <w:szCs w:val="16"/>
              </w:rPr>
            </w:pPr>
            <w:r w:rsidRPr="005734B8">
              <w:rPr>
                <w:rFonts w:ascii="Calibri" w:hAnsi="Calibri" w:cs="Calibri"/>
                <w:sz w:val="16"/>
                <w:szCs w:val="16"/>
              </w:rPr>
              <w:t xml:space="preserve">2.8 </w:t>
            </w:r>
          </w:p>
        </w:tc>
      </w:tr>
      <w:tr w:rsidR="00F1540A" w:rsidRPr="005734B8" w14:paraId="237F1822" w14:textId="77777777" w:rsidTr="000F48B1">
        <w:trPr>
          <w:trHeight w:val="170"/>
        </w:trPr>
        <w:tc>
          <w:tcPr>
            <w:tcW w:w="278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14DAFFDA" w14:textId="77777777" w:rsidR="00F1540A" w:rsidRPr="005734B8" w:rsidRDefault="00F1540A" w:rsidP="000F48B1">
            <w:pPr>
              <w:rPr>
                <w:rFonts w:ascii="Calibri" w:hAnsi="Calibri" w:cs="Calibri"/>
                <w:b/>
                <w:sz w:val="16"/>
                <w:szCs w:val="16"/>
              </w:rPr>
            </w:pPr>
            <w:r w:rsidRPr="005734B8">
              <w:rPr>
                <w:rFonts w:ascii="Calibri" w:hAnsi="Calibri" w:cs="Calibri"/>
                <w:b/>
                <w:sz w:val="16"/>
                <w:szCs w:val="16"/>
              </w:rPr>
              <w:t>Total contractual financial liabilities</w:t>
            </w:r>
          </w:p>
        </w:tc>
        <w:tc>
          <w:tcPr>
            <w:tcW w:w="1401" w:type="dxa"/>
            <w:tcBorders>
              <w:top w:val="single" w:sz="12" w:space="0" w:color="auto"/>
              <w:left w:val="nil"/>
              <w:bottom w:val="single" w:sz="12" w:space="0" w:color="auto"/>
              <w:right w:val="single" w:sz="12" w:space="0" w:color="FFFFFF"/>
            </w:tcBorders>
            <w:shd w:val="clear" w:color="FFFFFF" w:fill="FFFFFF"/>
            <w:noWrap/>
            <w:vAlign w:val="center"/>
            <w:hideMark/>
          </w:tcPr>
          <w:p w14:paraId="3096135B" w14:textId="77777777" w:rsidR="00F1540A" w:rsidRPr="005734B8" w:rsidRDefault="00F1540A" w:rsidP="000F48B1">
            <w:pPr>
              <w:jc w:val="right"/>
              <w:rPr>
                <w:rFonts w:ascii="Calibri" w:hAnsi="Calibri" w:cs="Calibri"/>
                <w:b/>
                <w:sz w:val="16"/>
                <w:szCs w:val="16"/>
              </w:rPr>
            </w:pPr>
            <w:r w:rsidRPr="005734B8">
              <w:rPr>
                <w:rFonts w:ascii="Calibri" w:hAnsi="Calibri" w:cs="Calibri"/>
                <w:b/>
                <w:sz w:val="16"/>
                <w:szCs w:val="16"/>
              </w:rPr>
              <w:t xml:space="preserve">1,560.0 </w:t>
            </w:r>
          </w:p>
        </w:tc>
        <w:tc>
          <w:tcPr>
            <w:tcW w:w="1388" w:type="dxa"/>
            <w:tcBorders>
              <w:top w:val="single" w:sz="12" w:space="0" w:color="auto"/>
              <w:left w:val="nil"/>
              <w:bottom w:val="single" w:sz="12" w:space="0" w:color="auto"/>
              <w:right w:val="single" w:sz="12" w:space="0" w:color="FFFFFF"/>
            </w:tcBorders>
            <w:shd w:val="clear" w:color="FFFFFF" w:fill="FFFFFF"/>
            <w:noWrap/>
            <w:vAlign w:val="center"/>
            <w:hideMark/>
          </w:tcPr>
          <w:p w14:paraId="087156A4" w14:textId="26A9B091" w:rsidR="00F1540A" w:rsidRPr="005734B8" w:rsidRDefault="002653E2" w:rsidP="000F48B1">
            <w:pPr>
              <w:jc w:val="right"/>
              <w:rPr>
                <w:rFonts w:ascii="Calibri" w:hAnsi="Calibri" w:cs="Calibri"/>
                <w:b/>
                <w:sz w:val="16"/>
                <w:szCs w:val="16"/>
              </w:rPr>
            </w:pPr>
            <w:r w:rsidRPr="005734B8">
              <w:rPr>
                <w:rFonts w:ascii="Calibri" w:hAnsi="Calibri" w:cs="Calibri"/>
                <w:sz w:val="18"/>
                <w:szCs w:val="18"/>
              </w:rPr>
              <w:t>–</w:t>
            </w:r>
          </w:p>
        </w:tc>
        <w:tc>
          <w:tcPr>
            <w:tcW w:w="2074" w:type="dxa"/>
            <w:tcBorders>
              <w:top w:val="single" w:sz="12" w:space="0" w:color="auto"/>
              <w:left w:val="nil"/>
              <w:bottom w:val="single" w:sz="12" w:space="0" w:color="auto"/>
              <w:right w:val="single" w:sz="12" w:space="0" w:color="FFFFFF"/>
            </w:tcBorders>
            <w:shd w:val="clear" w:color="FFFFFF" w:fill="FFFFFF"/>
            <w:noWrap/>
            <w:vAlign w:val="center"/>
            <w:hideMark/>
          </w:tcPr>
          <w:p w14:paraId="7F15771D" w14:textId="25D54FF9" w:rsidR="00F1540A" w:rsidRPr="005734B8" w:rsidRDefault="002653E2" w:rsidP="000F48B1">
            <w:pPr>
              <w:jc w:val="right"/>
              <w:rPr>
                <w:rFonts w:ascii="Calibri" w:hAnsi="Calibri" w:cs="Calibri"/>
                <w:b/>
                <w:sz w:val="16"/>
                <w:szCs w:val="16"/>
              </w:rPr>
            </w:pPr>
            <w:r w:rsidRPr="005734B8">
              <w:rPr>
                <w:rFonts w:ascii="Calibri" w:hAnsi="Calibri" w:cs="Calibri"/>
                <w:sz w:val="18"/>
                <w:szCs w:val="18"/>
              </w:rPr>
              <w:t>–</w:t>
            </w:r>
          </w:p>
        </w:tc>
        <w:tc>
          <w:tcPr>
            <w:tcW w:w="2121" w:type="dxa"/>
            <w:tcBorders>
              <w:top w:val="single" w:sz="12" w:space="0" w:color="auto"/>
              <w:left w:val="nil"/>
              <w:bottom w:val="single" w:sz="12" w:space="0" w:color="auto"/>
              <w:right w:val="single" w:sz="12" w:space="0" w:color="FFFFFF"/>
            </w:tcBorders>
            <w:shd w:val="clear" w:color="FFFFFF" w:fill="FFFFFF"/>
            <w:noWrap/>
            <w:vAlign w:val="center"/>
            <w:hideMark/>
          </w:tcPr>
          <w:p w14:paraId="758793CF" w14:textId="63472DBF" w:rsidR="00F1540A" w:rsidRPr="005734B8" w:rsidRDefault="002653E2" w:rsidP="000F48B1">
            <w:pPr>
              <w:jc w:val="right"/>
              <w:rPr>
                <w:rFonts w:ascii="Calibri" w:hAnsi="Calibri" w:cs="Calibri"/>
                <w:b/>
                <w:sz w:val="16"/>
                <w:szCs w:val="16"/>
              </w:rPr>
            </w:pPr>
            <w:r w:rsidRPr="005734B8">
              <w:rPr>
                <w:rFonts w:ascii="Calibri" w:hAnsi="Calibri" w:cs="Calibri"/>
                <w:sz w:val="18"/>
                <w:szCs w:val="18"/>
              </w:rPr>
              <w:t>–</w:t>
            </w:r>
          </w:p>
        </w:tc>
        <w:tc>
          <w:tcPr>
            <w:tcW w:w="1401" w:type="dxa"/>
            <w:tcBorders>
              <w:top w:val="single" w:sz="12" w:space="0" w:color="auto"/>
              <w:left w:val="nil"/>
              <w:bottom w:val="single" w:sz="12" w:space="0" w:color="auto"/>
              <w:right w:val="single" w:sz="12" w:space="0" w:color="FFFFFF"/>
            </w:tcBorders>
            <w:shd w:val="clear" w:color="FFFFFF" w:fill="FFFFFF"/>
            <w:noWrap/>
            <w:vAlign w:val="center"/>
            <w:hideMark/>
          </w:tcPr>
          <w:p w14:paraId="6D3E6B33" w14:textId="77777777" w:rsidR="00F1540A" w:rsidRPr="005734B8" w:rsidRDefault="00F1540A" w:rsidP="000F48B1">
            <w:pPr>
              <w:jc w:val="right"/>
              <w:rPr>
                <w:rFonts w:ascii="Calibri" w:hAnsi="Calibri" w:cs="Calibri"/>
                <w:b/>
                <w:sz w:val="16"/>
                <w:szCs w:val="16"/>
              </w:rPr>
            </w:pPr>
            <w:r w:rsidRPr="005734B8">
              <w:rPr>
                <w:rFonts w:ascii="Calibri" w:hAnsi="Calibri" w:cs="Calibri"/>
                <w:b/>
                <w:sz w:val="16"/>
                <w:szCs w:val="16"/>
              </w:rPr>
              <w:t xml:space="preserve">81.6 </w:t>
            </w:r>
          </w:p>
        </w:tc>
        <w:tc>
          <w:tcPr>
            <w:tcW w:w="1388" w:type="dxa"/>
            <w:tcBorders>
              <w:top w:val="single" w:sz="12" w:space="0" w:color="auto"/>
              <w:left w:val="nil"/>
              <w:bottom w:val="single" w:sz="12" w:space="0" w:color="auto"/>
              <w:right w:val="single" w:sz="12" w:space="0" w:color="FFFFFF"/>
            </w:tcBorders>
            <w:shd w:val="clear" w:color="FFFFFF" w:fill="FFFFFF"/>
            <w:noWrap/>
            <w:vAlign w:val="center"/>
            <w:hideMark/>
          </w:tcPr>
          <w:p w14:paraId="0EA37F3D" w14:textId="11D1BC83" w:rsidR="00F1540A" w:rsidRPr="005734B8" w:rsidRDefault="002653E2" w:rsidP="000F48B1">
            <w:pPr>
              <w:jc w:val="right"/>
              <w:rPr>
                <w:rFonts w:ascii="Calibri" w:hAnsi="Calibri" w:cs="Calibri"/>
                <w:b/>
                <w:sz w:val="16"/>
                <w:szCs w:val="16"/>
              </w:rPr>
            </w:pPr>
            <w:r w:rsidRPr="005734B8">
              <w:rPr>
                <w:rFonts w:ascii="Calibri" w:hAnsi="Calibri" w:cs="Calibri"/>
                <w:sz w:val="18"/>
                <w:szCs w:val="18"/>
              </w:rPr>
              <w:t>–</w:t>
            </w:r>
          </w:p>
        </w:tc>
        <w:tc>
          <w:tcPr>
            <w:tcW w:w="1386" w:type="dxa"/>
            <w:tcBorders>
              <w:top w:val="single" w:sz="12" w:space="0" w:color="auto"/>
              <w:left w:val="nil"/>
              <w:bottom w:val="single" w:sz="12" w:space="0" w:color="auto"/>
              <w:right w:val="single" w:sz="12" w:space="0" w:color="FFFFFF"/>
            </w:tcBorders>
            <w:shd w:val="clear" w:color="FFFFFF" w:fill="FFFFFF"/>
            <w:noWrap/>
            <w:vAlign w:val="center"/>
            <w:hideMark/>
          </w:tcPr>
          <w:p w14:paraId="3154F671" w14:textId="77777777" w:rsidR="00F1540A" w:rsidRPr="005734B8" w:rsidRDefault="00F1540A" w:rsidP="000F48B1">
            <w:pPr>
              <w:jc w:val="right"/>
              <w:rPr>
                <w:rFonts w:ascii="Calibri" w:hAnsi="Calibri" w:cs="Calibri"/>
                <w:b/>
                <w:sz w:val="16"/>
                <w:szCs w:val="16"/>
              </w:rPr>
            </w:pPr>
            <w:r w:rsidRPr="005734B8">
              <w:rPr>
                <w:rFonts w:ascii="Calibri" w:hAnsi="Calibri" w:cs="Calibri"/>
                <w:b/>
                <w:sz w:val="16"/>
                <w:szCs w:val="16"/>
              </w:rPr>
              <w:t xml:space="preserve">1,641.6 </w:t>
            </w:r>
          </w:p>
        </w:tc>
      </w:tr>
      <w:tr w:rsidR="00F1540A" w:rsidRPr="005734B8" w14:paraId="04F3585A" w14:textId="77777777" w:rsidTr="002653E2">
        <w:trPr>
          <w:trHeight w:val="170"/>
        </w:trPr>
        <w:tc>
          <w:tcPr>
            <w:tcW w:w="2787" w:type="dxa"/>
            <w:tcBorders>
              <w:top w:val="nil"/>
              <w:left w:val="single" w:sz="4" w:space="0" w:color="FFFFFF"/>
              <w:bottom w:val="single" w:sz="4" w:space="0" w:color="auto"/>
              <w:right w:val="single" w:sz="4" w:space="0" w:color="FFFFFF"/>
            </w:tcBorders>
            <w:shd w:val="clear" w:color="000000" w:fill="53565A"/>
            <w:vAlign w:val="center"/>
            <w:hideMark/>
          </w:tcPr>
          <w:p w14:paraId="5DCD83FA" w14:textId="77777777" w:rsidR="00F1540A" w:rsidRPr="005734B8" w:rsidRDefault="00F1540A" w:rsidP="000F48B1">
            <w:pPr>
              <w:rPr>
                <w:rFonts w:ascii="Calibri" w:hAnsi="Calibri" w:cs="Calibri"/>
                <w:b/>
                <w:color w:val="FFFFFF"/>
                <w:sz w:val="16"/>
                <w:szCs w:val="16"/>
              </w:rPr>
            </w:pPr>
            <w:r w:rsidRPr="005734B8">
              <w:rPr>
                <w:rFonts w:ascii="Calibri" w:hAnsi="Calibri" w:cs="Calibri"/>
                <w:b/>
                <w:color w:val="FFFFFF"/>
                <w:sz w:val="16"/>
                <w:szCs w:val="16"/>
              </w:rPr>
              <w:t>Contractual financial liabilities</w:t>
            </w:r>
          </w:p>
        </w:tc>
        <w:tc>
          <w:tcPr>
            <w:tcW w:w="1401" w:type="dxa"/>
            <w:tcBorders>
              <w:top w:val="nil"/>
              <w:left w:val="nil"/>
              <w:bottom w:val="single" w:sz="4" w:space="0" w:color="auto"/>
              <w:right w:val="single" w:sz="4" w:space="0" w:color="FFFFFF"/>
            </w:tcBorders>
            <w:shd w:val="clear" w:color="000000" w:fill="53565A"/>
            <w:vAlign w:val="center"/>
            <w:hideMark/>
          </w:tcPr>
          <w:p w14:paraId="304CED6E"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1388" w:type="dxa"/>
            <w:tcBorders>
              <w:top w:val="nil"/>
              <w:left w:val="nil"/>
              <w:bottom w:val="single" w:sz="4" w:space="0" w:color="auto"/>
              <w:right w:val="single" w:sz="4" w:space="0" w:color="FFFFFF"/>
            </w:tcBorders>
            <w:shd w:val="clear" w:color="000000" w:fill="53565A"/>
            <w:vAlign w:val="center"/>
            <w:hideMark/>
          </w:tcPr>
          <w:p w14:paraId="123D661D"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2074" w:type="dxa"/>
            <w:tcBorders>
              <w:top w:val="nil"/>
              <w:left w:val="nil"/>
              <w:bottom w:val="single" w:sz="4" w:space="0" w:color="auto"/>
              <w:right w:val="single" w:sz="4" w:space="0" w:color="FFFFFF"/>
            </w:tcBorders>
            <w:shd w:val="clear" w:color="000000" w:fill="53565A"/>
            <w:vAlign w:val="center"/>
            <w:hideMark/>
          </w:tcPr>
          <w:p w14:paraId="58830F25"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2121" w:type="dxa"/>
            <w:tcBorders>
              <w:top w:val="nil"/>
              <w:left w:val="nil"/>
              <w:bottom w:val="single" w:sz="4" w:space="0" w:color="auto"/>
              <w:right w:val="single" w:sz="4" w:space="0" w:color="FFFFFF"/>
            </w:tcBorders>
            <w:shd w:val="clear" w:color="000000" w:fill="53565A"/>
            <w:vAlign w:val="center"/>
            <w:hideMark/>
          </w:tcPr>
          <w:p w14:paraId="36E8E984"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1401" w:type="dxa"/>
            <w:tcBorders>
              <w:top w:val="nil"/>
              <w:left w:val="nil"/>
              <w:bottom w:val="single" w:sz="4" w:space="0" w:color="auto"/>
              <w:right w:val="single" w:sz="4" w:space="0" w:color="FFFFFF"/>
            </w:tcBorders>
            <w:shd w:val="clear" w:color="000000" w:fill="53565A"/>
            <w:vAlign w:val="center"/>
            <w:hideMark/>
          </w:tcPr>
          <w:p w14:paraId="20533616"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1388" w:type="dxa"/>
            <w:tcBorders>
              <w:top w:val="nil"/>
              <w:left w:val="nil"/>
              <w:bottom w:val="single" w:sz="4" w:space="0" w:color="auto"/>
              <w:right w:val="single" w:sz="4" w:space="0" w:color="FFFFFF"/>
            </w:tcBorders>
            <w:shd w:val="clear" w:color="000000" w:fill="53565A"/>
            <w:vAlign w:val="center"/>
            <w:hideMark/>
          </w:tcPr>
          <w:p w14:paraId="334EA842"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c>
          <w:tcPr>
            <w:tcW w:w="1386" w:type="dxa"/>
            <w:tcBorders>
              <w:top w:val="nil"/>
              <w:left w:val="nil"/>
              <w:bottom w:val="single" w:sz="4" w:space="0" w:color="auto"/>
              <w:right w:val="single" w:sz="4" w:space="0" w:color="FFFFFF"/>
            </w:tcBorders>
            <w:shd w:val="clear" w:color="000000" w:fill="53565A"/>
            <w:vAlign w:val="center"/>
            <w:hideMark/>
          </w:tcPr>
          <w:p w14:paraId="6B99C3A4"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w:t>
            </w:r>
          </w:p>
        </w:tc>
      </w:tr>
      <w:tr w:rsidR="00F1540A" w:rsidRPr="005734B8" w14:paraId="781EA12D" w14:textId="77777777" w:rsidTr="000F48B1">
        <w:trPr>
          <w:trHeight w:val="170"/>
        </w:trPr>
        <w:tc>
          <w:tcPr>
            <w:tcW w:w="2787" w:type="dxa"/>
            <w:tcBorders>
              <w:top w:val="nil"/>
              <w:left w:val="single" w:sz="4" w:space="0" w:color="FFFFFF"/>
              <w:bottom w:val="single" w:sz="4" w:space="0" w:color="auto"/>
              <w:right w:val="single" w:sz="4" w:space="0" w:color="FFFFFF"/>
            </w:tcBorders>
            <w:shd w:val="clear" w:color="FFFFFF" w:fill="FFFFFF"/>
            <w:vAlign w:val="center"/>
            <w:hideMark/>
          </w:tcPr>
          <w:p w14:paraId="06912C39" w14:textId="77777777" w:rsidR="00F1540A" w:rsidRPr="005734B8" w:rsidRDefault="00F1540A" w:rsidP="000F48B1">
            <w:pPr>
              <w:rPr>
                <w:rFonts w:ascii="Calibri" w:hAnsi="Calibri" w:cs="Calibri"/>
                <w:sz w:val="16"/>
                <w:szCs w:val="16"/>
              </w:rPr>
            </w:pPr>
            <w:r w:rsidRPr="005734B8">
              <w:rPr>
                <w:rFonts w:ascii="Calibri" w:hAnsi="Calibri" w:cs="Calibri"/>
                <w:sz w:val="16"/>
                <w:szCs w:val="16"/>
              </w:rPr>
              <w:t>Payables</w:t>
            </w:r>
          </w:p>
        </w:tc>
        <w:tc>
          <w:tcPr>
            <w:tcW w:w="1401" w:type="dxa"/>
            <w:tcBorders>
              <w:top w:val="nil"/>
              <w:left w:val="nil"/>
              <w:bottom w:val="single" w:sz="4" w:space="0" w:color="auto"/>
              <w:right w:val="single" w:sz="4" w:space="0" w:color="FFFFFF"/>
            </w:tcBorders>
            <w:shd w:val="clear" w:color="FFFFFF" w:fill="FFFFFF"/>
            <w:noWrap/>
            <w:vAlign w:val="center"/>
            <w:hideMark/>
          </w:tcPr>
          <w:p w14:paraId="0A5A2AAD" w14:textId="4136D807"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388" w:type="dxa"/>
            <w:tcBorders>
              <w:top w:val="nil"/>
              <w:left w:val="nil"/>
              <w:bottom w:val="single" w:sz="4" w:space="0" w:color="auto"/>
              <w:right w:val="single" w:sz="4" w:space="0" w:color="FFFFFF"/>
            </w:tcBorders>
            <w:shd w:val="clear" w:color="FFFFFF" w:fill="FFFFFF"/>
            <w:noWrap/>
            <w:vAlign w:val="center"/>
            <w:hideMark/>
          </w:tcPr>
          <w:p w14:paraId="4023E984" w14:textId="27110430"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2074" w:type="dxa"/>
            <w:tcBorders>
              <w:top w:val="nil"/>
              <w:left w:val="nil"/>
              <w:bottom w:val="single" w:sz="4" w:space="0" w:color="auto"/>
              <w:right w:val="single" w:sz="4" w:space="0" w:color="FFFFFF"/>
            </w:tcBorders>
            <w:shd w:val="clear" w:color="FFFFFF" w:fill="FFFFFF"/>
            <w:noWrap/>
            <w:vAlign w:val="center"/>
            <w:hideMark/>
          </w:tcPr>
          <w:p w14:paraId="3CC24F69" w14:textId="7F01E346"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2121" w:type="dxa"/>
            <w:tcBorders>
              <w:top w:val="nil"/>
              <w:left w:val="nil"/>
              <w:bottom w:val="single" w:sz="4" w:space="0" w:color="auto"/>
              <w:right w:val="single" w:sz="4" w:space="0" w:color="FFFFFF"/>
            </w:tcBorders>
            <w:shd w:val="clear" w:color="FFFFFF" w:fill="FFFFFF"/>
            <w:noWrap/>
            <w:vAlign w:val="center"/>
            <w:hideMark/>
          </w:tcPr>
          <w:p w14:paraId="056D3C8D" w14:textId="4846BBFC"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401" w:type="dxa"/>
            <w:tcBorders>
              <w:top w:val="nil"/>
              <w:left w:val="nil"/>
              <w:bottom w:val="single" w:sz="4" w:space="0" w:color="auto"/>
              <w:right w:val="single" w:sz="4" w:space="0" w:color="FFFFFF"/>
            </w:tcBorders>
            <w:shd w:val="clear" w:color="FFFFFF" w:fill="FFFFFF"/>
            <w:noWrap/>
            <w:vAlign w:val="center"/>
            <w:hideMark/>
          </w:tcPr>
          <w:p w14:paraId="4AB892B0" w14:textId="3B2B5600"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388" w:type="dxa"/>
            <w:tcBorders>
              <w:top w:val="nil"/>
              <w:left w:val="nil"/>
              <w:bottom w:val="single" w:sz="4" w:space="0" w:color="auto"/>
              <w:right w:val="single" w:sz="4" w:space="0" w:color="FFFFFF"/>
            </w:tcBorders>
            <w:shd w:val="clear" w:color="FFFFFF" w:fill="FFFFFF"/>
            <w:noWrap/>
            <w:vAlign w:val="center"/>
            <w:hideMark/>
          </w:tcPr>
          <w:p w14:paraId="25E03CE3" w14:textId="77777777" w:rsidR="00F1540A" w:rsidRPr="005734B8" w:rsidRDefault="00F1540A" w:rsidP="000F48B1">
            <w:pPr>
              <w:jc w:val="right"/>
              <w:rPr>
                <w:rFonts w:ascii="Calibri" w:hAnsi="Calibri" w:cs="Calibri"/>
                <w:sz w:val="16"/>
                <w:szCs w:val="16"/>
              </w:rPr>
            </w:pPr>
            <w:r w:rsidRPr="005734B8">
              <w:rPr>
                <w:rFonts w:ascii="Calibri" w:hAnsi="Calibri" w:cs="Calibri"/>
                <w:sz w:val="16"/>
                <w:szCs w:val="16"/>
              </w:rPr>
              <w:t xml:space="preserve">793.6 </w:t>
            </w:r>
          </w:p>
        </w:tc>
        <w:tc>
          <w:tcPr>
            <w:tcW w:w="1386" w:type="dxa"/>
            <w:tcBorders>
              <w:top w:val="nil"/>
              <w:left w:val="nil"/>
              <w:bottom w:val="single" w:sz="4" w:space="0" w:color="auto"/>
              <w:right w:val="single" w:sz="4" w:space="0" w:color="FFFFFF"/>
            </w:tcBorders>
            <w:shd w:val="clear" w:color="FFFFFF" w:fill="FFFFFF"/>
            <w:noWrap/>
            <w:vAlign w:val="center"/>
            <w:hideMark/>
          </w:tcPr>
          <w:p w14:paraId="268C86DD" w14:textId="77777777" w:rsidR="00F1540A" w:rsidRPr="005734B8" w:rsidRDefault="00F1540A" w:rsidP="000F48B1">
            <w:pPr>
              <w:jc w:val="right"/>
              <w:rPr>
                <w:rFonts w:ascii="Calibri" w:hAnsi="Calibri" w:cs="Calibri"/>
                <w:sz w:val="16"/>
                <w:szCs w:val="16"/>
              </w:rPr>
            </w:pPr>
            <w:r w:rsidRPr="005734B8">
              <w:rPr>
                <w:rFonts w:ascii="Calibri" w:hAnsi="Calibri" w:cs="Calibri"/>
                <w:sz w:val="16"/>
                <w:szCs w:val="16"/>
              </w:rPr>
              <w:t xml:space="preserve">793.6 </w:t>
            </w:r>
          </w:p>
        </w:tc>
      </w:tr>
      <w:tr w:rsidR="00F1540A" w:rsidRPr="005734B8" w14:paraId="12B424F8" w14:textId="77777777" w:rsidTr="000F48B1">
        <w:trPr>
          <w:trHeight w:val="170"/>
        </w:trPr>
        <w:tc>
          <w:tcPr>
            <w:tcW w:w="2787" w:type="dxa"/>
            <w:tcBorders>
              <w:top w:val="nil"/>
              <w:left w:val="single" w:sz="4" w:space="0" w:color="FFFFFF"/>
              <w:bottom w:val="single" w:sz="4" w:space="0" w:color="auto"/>
              <w:right w:val="single" w:sz="4" w:space="0" w:color="FFFFFF"/>
            </w:tcBorders>
            <w:shd w:val="clear" w:color="FFFFFF" w:fill="FFFFFF"/>
            <w:vAlign w:val="center"/>
            <w:hideMark/>
          </w:tcPr>
          <w:p w14:paraId="4A1A33D5" w14:textId="77777777" w:rsidR="00F1540A" w:rsidRPr="005734B8" w:rsidRDefault="00F1540A" w:rsidP="000F48B1">
            <w:pPr>
              <w:rPr>
                <w:rFonts w:ascii="Calibri" w:hAnsi="Calibri" w:cs="Calibri"/>
                <w:sz w:val="16"/>
                <w:szCs w:val="16"/>
              </w:rPr>
            </w:pPr>
            <w:r w:rsidRPr="005734B8">
              <w:rPr>
                <w:rFonts w:ascii="Calibri" w:hAnsi="Calibri" w:cs="Calibri"/>
                <w:sz w:val="16"/>
                <w:szCs w:val="16"/>
              </w:rPr>
              <w:t>Borrowings</w:t>
            </w:r>
          </w:p>
        </w:tc>
        <w:tc>
          <w:tcPr>
            <w:tcW w:w="1401" w:type="dxa"/>
            <w:tcBorders>
              <w:top w:val="nil"/>
              <w:left w:val="nil"/>
              <w:bottom w:val="single" w:sz="4" w:space="0" w:color="auto"/>
              <w:right w:val="single" w:sz="4" w:space="0" w:color="FFFFFF"/>
            </w:tcBorders>
            <w:shd w:val="clear" w:color="FFFFFF" w:fill="FFFFFF"/>
            <w:noWrap/>
            <w:vAlign w:val="center"/>
            <w:hideMark/>
          </w:tcPr>
          <w:p w14:paraId="6A434F36" w14:textId="56FF1C5A"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388" w:type="dxa"/>
            <w:tcBorders>
              <w:top w:val="nil"/>
              <w:left w:val="nil"/>
              <w:bottom w:val="single" w:sz="4" w:space="0" w:color="auto"/>
              <w:right w:val="single" w:sz="4" w:space="0" w:color="FFFFFF"/>
            </w:tcBorders>
            <w:shd w:val="clear" w:color="FFFFFF" w:fill="FFFFFF"/>
            <w:noWrap/>
            <w:vAlign w:val="center"/>
            <w:hideMark/>
          </w:tcPr>
          <w:p w14:paraId="3342CCD8" w14:textId="1E5551E3"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2074" w:type="dxa"/>
            <w:tcBorders>
              <w:top w:val="nil"/>
              <w:left w:val="nil"/>
              <w:bottom w:val="single" w:sz="4" w:space="0" w:color="auto"/>
              <w:right w:val="single" w:sz="4" w:space="0" w:color="FFFFFF"/>
            </w:tcBorders>
            <w:shd w:val="clear" w:color="FFFFFF" w:fill="FFFFFF"/>
            <w:noWrap/>
            <w:vAlign w:val="center"/>
            <w:hideMark/>
          </w:tcPr>
          <w:p w14:paraId="24B94879" w14:textId="66739D72"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2121" w:type="dxa"/>
            <w:tcBorders>
              <w:top w:val="nil"/>
              <w:left w:val="nil"/>
              <w:bottom w:val="single" w:sz="4" w:space="0" w:color="auto"/>
              <w:right w:val="single" w:sz="4" w:space="0" w:color="FFFFFF"/>
            </w:tcBorders>
            <w:shd w:val="clear" w:color="FFFFFF" w:fill="FFFFFF"/>
            <w:noWrap/>
            <w:vAlign w:val="center"/>
            <w:hideMark/>
          </w:tcPr>
          <w:p w14:paraId="731E00CD" w14:textId="7D2DBA95"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401" w:type="dxa"/>
            <w:tcBorders>
              <w:top w:val="nil"/>
              <w:left w:val="nil"/>
              <w:bottom w:val="single" w:sz="4" w:space="0" w:color="auto"/>
              <w:right w:val="single" w:sz="4" w:space="0" w:color="FFFFFF"/>
            </w:tcBorders>
            <w:shd w:val="clear" w:color="FFFFFF" w:fill="FFFFFF"/>
            <w:noWrap/>
            <w:vAlign w:val="center"/>
            <w:hideMark/>
          </w:tcPr>
          <w:p w14:paraId="6111B72D" w14:textId="72565E83" w:rsidR="00F1540A" w:rsidRPr="005734B8" w:rsidRDefault="002653E2" w:rsidP="000F48B1">
            <w:pPr>
              <w:jc w:val="right"/>
              <w:rPr>
                <w:rFonts w:ascii="Calibri" w:hAnsi="Calibri" w:cs="Calibri"/>
                <w:sz w:val="16"/>
                <w:szCs w:val="16"/>
              </w:rPr>
            </w:pPr>
            <w:r w:rsidRPr="005734B8">
              <w:rPr>
                <w:rFonts w:ascii="Calibri" w:hAnsi="Calibri" w:cs="Calibri"/>
                <w:sz w:val="18"/>
                <w:szCs w:val="18"/>
              </w:rPr>
              <w:t>–</w:t>
            </w:r>
          </w:p>
        </w:tc>
        <w:tc>
          <w:tcPr>
            <w:tcW w:w="1388" w:type="dxa"/>
            <w:tcBorders>
              <w:top w:val="nil"/>
              <w:left w:val="nil"/>
              <w:bottom w:val="single" w:sz="4" w:space="0" w:color="auto"/>
              <w:right w:val="single" w:sz="4" w:space="0" w:color="FFFFFF"/>
            </w:tcBorders>
            <w:shd w:val="clear" w:color="FFFFFF" w:fill="FFFFFF"/>
            <w:noWrap/>
            <w:vAlign w:val="center"/>
            <w:hideMark/>
          </w:tcPr>
          <w:p w14:paraId="7FAD192D" w14:textId="77777777" w:rsidR="00F1540A" w:rsidRPr="005734B8" w:rsidRDefault="00F1540A" w:rsidP="000F48B1">
            <w:pPr>
              <w:jc w:val="right"/>
              <w:rPr>
                <w:rFonts w:ascii="Calibri" w:hAnsi="Calibri" w:cs="Calibri"/>
                <w:sz w:val="16"/>
                <w:szCs w:val="16"/>
              </w:rPr>
            </w:pPr>
            <w:r w:rsidRPr="005734B8">
              <w:rPr>
                <w:rFonts w:ascii="Calibri" w:hAnsi="Calibri" w:cs="Calibri"/>
                <w:sz w:val="16"/>
                <w:szCs w:val="16"/>
              </w:rPr>
              <w:t xml:space="preserve">608.8 </w:t>
            </w:r>
          </w:p>
        </w:tc>
        <w:tc>
          <w:tcPr>
            <w:tcW w:w="1386" w:type="dxa"/>
            <w:tcBorders>
              <w:top w:val="nil"/>
              <w:left w:val="nil"/>
              <w:bottom w:val="single" w:sz="4" w:space="0" w:color="auto"/>
              <w:right w:val="single" w:sz="4" w:space="0" w:color="FFFFFF"/>
            </w:tcBorders>
            <w:shd w:val="clear" w:color="FFFFFF" w:fill="FFFFFF"/>
            <w:noWrap/>
            <w:vAlign w:val="center"/>
            <w:hideMark/>
          </w:tcPr>
          <w:p w14:paraId="2EABDFC4" w14:textId="77777777" w:rsidR="00F1540A" w:rsidRPr="005734B8" w:rsidRDefault="00F1540A" w:rsidP="000F48B1">
            <w:pPr>
              <w:jc w:val="right"/>
              <w:rPr>
                <w:rFonts w:ascii="Calibri" w:hAnsi="Calibri" w:cs="Calibri"/>
                <w:sz w:val="16"/>
                <w:szCs w:val="16"/>
              </w:rPr>
            </w:pPr>
            <w:r w:rsidRPr="005734B8">
              <w:rPr>
                <w:rFonts w:ascii="Calibri" w:hAnsi="Calibri" w:cs="Calibri"/>
                <w:sz w:val="16"/>
                <w:szCs w:val="16"/>
              </w:rPr>
              <w:t xml:space="preserve">608.8 </w:t>
            </w:r>
          </w:p>
        </w:tc>
      </w:tr>
      <w:tr w:rsidR="00F1540A" w:rsidRPr="005734B8" w14:paraId="45A5CC1A" w14:textId="77777777" w:rsidTr="000F48B1">
        <w:trPr>
          <w:trHeight w:val="170"/>
        </w:trPr>
        <w:tc>
          <w:tcPr>
            <w:tcW w:w="278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23FAEB81" w14:textId="77777777" w:rsidR="00F1540A" w:rsidRPr="005734B8" w:rsidRDefault="00F1540A" w:rsidP="000F48B1">
            <w:pPr>
              <w:rPr>
                <w:rFonts w:ascii="Calibri" w:hAnsi="Calibri" w:cs="Calibri"/>
                <w:b/>
                <w:sz w:val="16"/>
                <w:szCs w:val="16"/>
              </w:rPr>
            </w:pPr>
            <w:r w:rsidRPr="005734B8">
              <w:rPr>
                <w:rFonts w:ascii="Calibri" w:hAnsi="Calibri" w:cs="Calibri"/>
                <w:b/>
                <w:sz w:val="16"/>
                <w:szCs w:val="16"/>
              </w:rPr>
              <w:t>Total contractual financial liabilities</w:t>
            </w:r>
          </w:p>
        </w:tc>
        <w:tc>
          <w:tcPr>
            <w:tcW w:w="1401" w:type="dxa"/>
            <w:tcBorders>
              <w:top w:val="single" w:sz="12" w:space="0" w:color="auto"/>
              <w:left w:val="nil"/>
              <w:bottom w:val="single" w:sz="12" w:space="0" w:color="auto"/>
              <w:right w:val="single" w:sz="12" w:space="0" w:color="FFFFFF"/>
            </w:tcBorders>
            <w:shd w:val="clear" w:color="FFFFFF" w:fill="FFFFFF"/>
            <w:noWrap/>
            <w:vAlign w:val="center"/>
            <w:hideMark/>
          </w:tcPr>
          <w:p w14:paraId="6C296A2F" w14:textId="694F7255" w:rsidR="00F1540A" w:rsidRPr="005734B8" w:rsidRDefault="002653E2" w:rsidP="000F48B1">
            <w:pPr>
              <w:jc w:val="right"/>
              <w:rPr>
                <w:rFonts w:ascii="Calibri" w:hAnsi="Calibri" w:cs="Calibri"/>
                <w:b/>
                <w:sz w:val="16"/>
                <w:szCs w:val="16"/>
              </w:rPr>
            </w:pPr>
            <w:r w:rsidRPr="005734B8">
              <w:rPr>
                <w:rFonts w:ascii="Calibri" w:hAnsi="Calibri" w:cs="Calibri"/>
                <w:sz w:val="18"/>
                <w:szCs w:val="18"/>
              </w:rPr>
              <w:t>–</w:t>
            </w:r>
          </w:p>
        </w:tc>
        <w:tc>
          <w:tcPr>
            <w:tcW w:w="1388" w:type="dxa"/>
            <w:tcBorders>
              <w:top w:val="single" w:sz="12" w:space="0" w:color="auto"/>
              <w:left w:val="nil"/>
              <w:bottom w:val="single" w:sz="12" w:space="0" w:color="auto"/>
              <w:right w:val="single" w:sz="12" w:space="0" w:color="FFFFFF"/>
            </w:tcBorders>
            <w:shd w:val="clear" w:color="FFFFFF" w:fill="FFFFFF"/>
            <w:noWrap/>
            <w:vAlign w:val="center"/>
            <w:hideMark/>
          </w:tcPr>
          <w:p w14:paraId="0BDB815E" w14:textId="2B0B15F6" w:rsidR="00F1540A" w:rsidRPr="005734B8" w:rsidRDefault="002653E2" w:rsidP="000F48B1">
            <w:pPr>
              <w:jc w:val="right"/>
              <w:rPr>
                <w:rFonts w:ascii="Calibri" w:hAnsi="Calibri" w:cs="Calibri"/>
                <w:b/>
                <w:sz w:val="16"/>
                <w:szCs w:val="16"/>
              </w:rPr>
            </w:pPr>
            <w:r w:rsidRPr="005734B8">
              <w:rPr>
                <w:rFonts w:ascii="Calibri" w:hAnsi="Calibri" w:cs="Calibri"/>
                <w:sz w:val="18"/>
                <w:szCs w:val="18"/>
              </w:rPr>
              <w:t>–</w:t>
            </w:r>
          </w:p>
        </w:tc>
        <w:tc>
          <w:tcPr>
            <w:tcW w:w="2074" w:type="dxa"/>
            <w:tcBorders>
              <w:top w:val="single" w:sz="12" w:space="0" w:color="auto"/>
              <w:left w:val="nil"/>
              <w:bottom w:val="single" w:sz="12" w:space="0" w:color="auto"/>
              <w:right w:val="single" w:sz="12" w:space="0" w:color="FFFFFF"/>
            </w:tcBorders>
            <w:shd w:val="clear" w:color="FFFFFF" w:fill="FFFFFF"/>
            <w:noWrap/>
            <w:vAlign w:val="center"/>
            <w:hideMark/>
          </w:tcPr>
          <w:p w14:paraId="7EFEA306" w14:textId="57BD6927" w:rsidR="00F1540A" w:rsidRPr="005734B8" w:rsidRDefault="002653E2" w:rsidP="000F48B1">
            <w:pPr>
              <w:jc w:val="right"/>
              <w:rPr>
                <w:rFonts w:ascii="Calibri" w:hAnsi="Calibri" w:cs="Calibri"/>
                <w:b/>
                <w:sz w:val="16"/>
                <w:szCs w:val="16"/>
              </w:rPr>
            </w:pPr>
            <w:r w:rsidRPr="005734B8">
              <w:rPr>
                <w:rFonts w:ascii="Calibri" w:hAnsi="Calibri" w:cs="Calibri"/>
                <w:sz w:val="18"/>
                <w:szCs w:val="18"/>
              </w:rPr>
              <w:t>–</w:t>
            </w:r>
          </w:p>
        </w:tc>
        <w:tc>
          <w:tcPr>
            <w:tcW w:w="2121" w:type="dxa"/>
            <w:tcBorders>
              <w:top w:val="single" w:sz="12" w:space="0" w:color="auto"/>
              <w:left w:val="nil"/>
              <w:bottom w:val="single" w:sz="12" w:space="0" w:color="auto"/>
              <w:right w:val="single" w:sz="12" w:space="0" w:color="FFFFFF"/>
            </w:tcBorders>
            <w:shd w:val="clear" w:color="FFFFFF" w:fill="FFFFFF"/>
            <w:noWrap/>
            <w:vAlign w:val="center"/>
            <w:hideMark/>
          </w:tcPr>
          <w:p w14:paraId="09C12002" w14:textId="03923FCE" w:rsidR="00F1540A" w:rsidRPr="005734B8" w:rsidRDefault="002653E2" w:rsidP="000F48B1">
            <w:pPr>
              <w:jc w:val="right"/>
              <w:rPr>
                <w:rFonts w:ascii="Calibri" w:hAnsi="Calibri" w:cs="Calibri"/>
                <w:b/>
                <w:sz w:val="16"/>
                <w:szCs w:val="16"/>
              </w:rPr>
            </w:pPr>
            <w:r w:rsidRPr="005734B8">
              <w:rPr>
                <w:rFonts w:ascii="Calibri" w:hAnsi="Calibri" w:cs="Calibri"/>
                <w:sz w:val="18"/>
                <w:szCs w:val="18"/>
              </w:rPr>
              <w:t>–</w:t>
            </w:r>
          </w:p>
        </w:tc>
        <w:tc>
          <w:tcPr>
            <w:tcW w:w="1401" w:type="dxa"/>
            <w:tcBorders>
              <w:top w:val="single" w:sz="12" w:space="0" w:color="auto"/>
              <w:left w:val="nil"/>
              <w:bottom w:val="single" w:sz="12" w:space="0" w:color="auto"/>
              <w:right w:val="single" w:sz="12" w:space="0" w:color="FFFFFF"/>
            </w:tcBorders>
            <w:shd w:val="clear" w:color="FFFFFF" w:fill="FFFFFF"/>
            <w:noWrap/>
            <w:vAlign w:val="center"/>
            <w:hideMark/>
          </w:tcPr>
          <w:p w14:paraId="50F5A5E5" w14:textId="757B5299" w:rsidR="00F1540A" w:rsidRPr="005734B8" w:rsidRDefault="002653E2" w:rsidP="000F48B1">
            <w:pPr>
              <w:jc w:val="right"/>
              <w:rPr>
                <w:rFonts w:ascii="Calibri" w:hAnsi="Calibri" w:cs="Calibri"/>
                <w:b/>
                <w:sz w:val="16"/>
                <w:szCs w:val="16"/>
              </w:rPr>
            </w:pPr>
            <w:r w:rsidRPr="005734B8">
              <w:rPr>
                <w:rFonts w:ascii="Calibri" w:hAnsi="Calibri" w:cs="Calibri"/>
                <w:sz w:val="18"/>
                <w:szCs w:val="18"/>
              </w:rPr>
              <w:t>–</w:t>
            </w:r>
          </w:p>
        </w:tc>
        <w:tc>
          <w:tcPr>
            <w:tcW w:w="1388" w:type="dxa"/>
            <w:tcBorders>
              <w:top w:val="single" w:sz="12" w:space="0" w:color="auto"/>
              <w:left w:val="nil"/>
              <w:bottom w:val="single" w:sz="12" w:space="0" w:color="auto"/>
              <w:right w:val="single" w:sz="12" w:space="0" w:color="FFFFFF"/>
            </w:tcBorders>
            <w:shd w:val="clear" w:color="FFFFFF" w:fill="FFFFFF"/>
            <w:noWrap/>
            <w:vAlign w:val="center"/>
            <w:hideMark/>
          </w:tcPr>
          <w:p w14:paraId="7AEA32BB" w14:textId="77777777" w:rsidR="00F1540A" w:rsidRPr="005734B8" w:rsidRDefault="00F1540A" w:rsidP="000F48B1">
            <w:pPr>
              <w:jc w:val="right"/>
              <w:rPr>
                <w:rFonts w:ascii="Calibri" w:hAnsi="Calibri" w:cs="Calibri"/>
                <w:b/>
                <w:sz w:val="16"/>
                <w:szCs w:val="16"/>
              </w:rPr>
            </w:pPr>
            <w:r w:rsidRPr="005734B8">
              <w:rPr>
                <w:rFonts w:ascii="Calibri" w:hAnsi="Calibri" w:cs="Calibri"/>
                <w:b/>
                <w:sz w:val="16"/>
                <w:szCs w:val="16"/>
              </w:rPr>
              <w:t xml:space="preserve">1,402.4 </w:t>
            </w:r>
          </w:p>
        </w:tc>
        <w:tc>
          <w:tcPr>
            <w:tcW w:w="1386" w:type="dxa"/>
            <w:tcBorders>
              <w:top w:val="single" w:sz="12" w:space="0" w:color="auto"/>
              <w:left w:val="nil"/>
              <w:bottom w:val="single" w:sz="12" w:space="0" w:color="auto"/>
              <w:right w:val="single" w:sz="12" w:space="0" w:color="FFFFFF"/>
            </w:tcBorders>
            <w:shd w:val="clear" w:color="FFFFFF" w:fill="FFFFFF"/>
            <w:noWrap/>
            <w:vAlign w:val="center"/>
            <w:hideMark/>
          </w:tcPr>
          <w:p w14:paraId="05A92965" w14:textId="77777777" w:rsidR="00F1540A" w:rsidRPr="005734B8" w:rsidRDefault="00F1540A" w:rsidP="000F48B1">
            <w:pPr>
              <w:jc w:val="right"/>
              <w:rPr>
                <w:rFonts w:ascii="Calibri" w:hAnsi="Calibri" w:cs="Calibri"/>
                <w:b/>
                <w:sz w:val="16"/>
                <w:szCs w:val="16"/>
              </w:rPr>
            </w:pPr>
            <w:r w:rsidRPr="005734B8">
              <w:rPr>
                <w:rFonts w:ascii="Calibri" w:hAnsi="Calibri" w:cs="Calibri"/>
                <w:b/>
                <w:sz w:val="16"/>
                <w:szCs w:val="16"/>
              </w:rPr>
              <w:t xml:space="preserve">1,402.4 </w:t>
            </w:r>
          </w:p>
        </w:tc>
      </w:tr>
    </w:tbl>
    <w:p w14:paraId="0493D512" w14:textId="77777777" w:rsidR="00F1540A" w:rsidRPr="005734B8" w:rsidRDefault="00F1540A" w:rsidP="00F1540A">
      <w:pPr>
        <w:pStyle w:val="ESHeading2"/>
        <w:spacing w:line="240" w:lineRule="auto"/>
        <w:rPr>
          <w:rFonts w:ascii="Calibri" w:hAnsi="Calibri" w:cs="Calibri"/>
        </w:rPr>
        <w:sectPr w:rsidR="00F1540A" w:rsidRPr="005734B8" w:rsidSect="000F48B1">
          <w:pgSz w:w="16838" w:h="11906" w:orient="landscape" w:code="9"/>
          <w:pgMar w:top="1134" w:right="1440" w:bottom="1134" w:left="1440" w:header="958" w:footer="737" w:gutter="0"/>
          <w:cols w:space="708"/>
          <w:docGrid w:linePitch="360"/>
        </w:sectPr>
      </w:pPr>
      <w:bookmarkStart w:id="1706" w:name="_Toc11336431"/>
      <w:bookmarkStart w:id="1707" w:name="_Toc11336597"/>
      <w:bookmarkStart w:id="1708" w:name="_Toc13647201"/>
      <w:bookmarkStart w:id="1709" w:name="_Toc13656733"/>
      <w:bookmarkStart w:id="1710" w:name="_Toc13656895"/>
      <w:bookmarkStart w:id="1711" w:name="_Toc14965657"/>
      <w:bookmarkStart w:id="1712" w:name="_Toc15985320"/>
      <w:bookmarkStart w:id="1713" w:name="_Toc16231971"/>
      <w:bookmarkStart w:id="1714" w:name="_Toc36012798"/>
      <w:bookmarkStart w:id="1715" w:name="_Toc36012876"/>
      <w:bookmarkStart w:id="1716" w:name="_Toc36013373"/>
    </w:p>
    <w:p w14:paraId="3661BBED" w14:textId="77777777" w:rsidR="00F1540A" w:rsidRPr="005734B8" w:rsidRDefault="00F1540A" w:rsidP="00F1540A">
      <w:pPr>
        <w:pStyle w:val="ESHeading2"/>
        <w:rPr>
          <w:rFonts w:ascii="Calibri" w:hAnsi="Calibri" w:cs="Calibri"/>
        </w:rPr>
      </w:pPr>
      <w:bookmarkStart w:id="1717" w:name="_Toc58243456"/>
      <w:bookmarkStart w:id="1718" w:name="_Toc72958106"/>
      <w:bookmarkStart w:id="1719" w:name="_Toc72958154"/>
      <w:bookmarkStart w:id="1720" w:name="_Toc80272093"/>
      <w:bookmarkStart w:id="1721" w:name="_Toc81315394"/>
      <w:r w:rsidRPr="005734B8">
        <w:rPr>
          <w:rFonts w:ascii="Calibri" w:hAnsi="Calibri" w:cs="Calibri"/>
        </w:rPr>
        <w:lastRenderedPageBreak/>
        <w:t>8.2</w:t>
      </w:r>
      <w:r w:rsidRPr="005734B8">
        <w:rPr>
          <w:rFonts w:ascii="Calibri" w:hAnsi="Calibri" w:cs="Calibri"/>
        </w:rPr>
        <w:tab/>
        <w:t>Fair value determination</w:t>
      </w:r>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14:paraId="5E734943" w14:textId="60AFAD14" w:rsidR="00F1540A" w:rsidRPr="005734B8" w:rsidRDefault="00F1540A" w:rsidP="00F1540A">
      <w:pPr>
        <w:rPr>
          <w:rFonts w:ascii="Calibri" w:hAnsi="Calibri" w:cs="Calibri"/>
        </w:rPr>
      </w:pPr>
      <w:r w:rsidRPr="005734B8">
        <w:rPr>
          <w:rFonts w:ascii="Calibri" w:hAnsi="Calibri" w:cs="Calibri"/>
        </w:rPr>
        <w:t>This section sets out information on how the Department determine</w:t>
      </w:r>
      <w:r w:rsidR="008420B5" w:rsidRPr="005734B8">
        <w:rPr>
          <w:rFonts w:ascii="Calibri" w:hAnsi="Calibri" w:cs="Calibri"/>
        </w:rPr>
        <w:t>s</w:t>
      </w:r>
      <w:r w:rsidRPr="005734B8">
        <w:rPr>
          <w:rFonts w:ascii="Calibri" w:hAnsi="Calibri" w:cs="Calibri"/>
        </w:rPr>
        <w:t xml:space="preserve"> fair value for financial reporting purposes. Fair value is the price that would be received to sell an asset or paid to transfer a liability in an orderly transaction between market participants at the measurement date. </w:t>
      </w:r>
    </w:p>
    <w:p w14:paraId="07CE8B33" w14:textId="77777777" w:rsidR="00F1540A" w:rsidRPr="005734B8" w:rsidRDefault="00F1540A" w:rsidP="00F1540A">
      <w:pPr>
        <w:rPr>
          <w:rFonts w:ascii="Calibri" w:hAnsi="Calibri" w:cs="Calibri"/>
        </w:rPr>
      </w:pPr>
    </w:p>
    <w:p w14:paraId="19BEE0AC" w14:textId="77777777" w:rsidR="00F1540A" w:rsidRPr="005734B8" w:rsidRDefault="00F1540A" w:rsidP="00F1540A">
      <w:pPr>
        <w:rPr>
          <w:rFonts w:ascii="Calibri" w:hAnsi="Calibri" w:cs="Calibri"/>
        </w:rPr>
      </w:pPr>
      <w:r w:rsidRPr="005734B8">
        <w:rPr>
          <w:rFonts w:ascii="Calibri" w:hAnsi="Calibri" w:cs="Calibri"/>
        </w:rPr>
        <w:t>The following assets and liabilities are carried at fair value:</w:t>
      </w:r>
    </w:p>
    <w:p w14:paraId="4ABDE25A" w14:textId="77777777" w:rsidR="00F1540A" w:rsidRPr="005734B8" w:rsidRDefault="00F1540A" w:rsidP="00F1540A">
      <w:pPr>
        <w:pStyle w:val="ESbullet1"/>
        <w:numPr>
          <w:ilvl w:val="0"/>
          <w:numId w:val="42"/>
        </w:numPr>
        <w:spacing w:after="0"/>
        <w:rPr>
          <w:rFonts w:ascii="Calibri" w:hAnsi="Calibri" w:cs="Calibri"/>
        </w:rPr>
      </w:pPr>
      <w:r w:rsidRPr="005734B8">
        <w:rPr>
          <w:rFonts w:ascii="Calibri" w:hAnsi="Calibri" w:cs="Calibri"/>
        </w:rPr>
        <w:t>land, buildings, infrastructure, plant and equipment.</w:t>
      </w:r>
    </w:p>
    <w:p w14:paraId="71A1758D" w14:textId="77777777" w:rsidR="00F1540A" w:rsidRPr="005734B8" w:rsidRDefault="00F1540A" w:rsidP="00F1540A">
      <w:pPr>
        <w:rPr>
          <w:rFonts w:ascii="Calibri" w:hAnsi="Calibri" w:cs="Calibri"/>
        </w:rPr>
      </w:pPr>
    </w:p>
    <w:p w14:paraId="5A27A0C6" w14:textId="3B79F251" w:rsidR="00F1540A" w:rsidRPr="005734B8" w:rsidRDefault="00F1540A" w:rsidP="00F1540A">
      <w:pPr>
        <w:rPr>
          <w:rFonts w:ascii="Calibri" w:hAnsi="Calibri" w:cs="Calibri"/>
        </w:rPr>
      </w:pPr>
      <w:r w:rsidRPr="005734B8">
        <w:rPr>
          <w:rFonts w:ascii="Calibri" w:hAnsi="Calibri" w:cs="Calibri"/>
        </w:rPr>
        <w:t xml:space="preserve">In addition, the fair value of other assets and liabilities which are carried at amortised cost need to be determined for disclosure purposes. </w:t>
      </w:r>
    </w:p>
    <w:p w14:paraId="3D4FC431" w14:textId="77777777" w:rsidR="00F1540A" w:rsidRPr="005734B8" w:rsidRDefault="00F1540A" w:rsidP="00F1540A">
      <w:pPr>
        <w:rPr>
          <w:rFonts w:ascii="Calibri" w:hAnsi="Calibri" w:cs="Calibri"/>
        </w:rPr>
      </w:pPr>
    </w:p>
    <w:p w14:paraId="382653BC" w14:textId="77777777" w:rsidR="00F1540A" w:rsidRPr="005734B8" w:rsidRDefault="00F1540A" w:rsidP="00F1540A">
      <w:pPr>
        <w:rPr>
          <w:rFonts w:ascii="Calibri" w:hAnsi="Calibri" w:cs="Calibri"/>
        </w:rPr>
      </w:pPr>
      <w:r w:rsidRPr="005734B8">
        <w:rPr>
          <w:rFonts w:ascii="Calibri" w:hAnsi="Calibri" w:cs="Calibri"/>
        </w:rPr>
        <w:t>The Department determines the policies and procedures for determining fair values for both financial and non-financial assets and liabilities as required.</w:t>
      </w:r>
    </w:p>
    <w:p w14:paraId="31671529" w14:textId="77777777" w:rsidR="00F1540A" w:rsidRPr="005734B8" w:rsidRDefault="00F1540A" w:rsidP="000F6516">
      <w:pPr>
        <w:pStyle w:val="ESHeading3"/>
        <w:ind w:left="0" w:firstLine="0"/>
        <w:rPr>
          <w:rFonts w:ascii="Calibri" w:hAnsi="Calibri" w:cs="Calibri"/>
        </w:rPr>
      </w:pPr>
      <w:bookmarkStart w:id="1722" w:name="_Toc11336432"/>
      <w:bookmarkStart w:id="1723" w:name="_Toc14965658"/>
      <w:r w:rsidRPr="005734B8">
        <w:rPr>
          <w:rFonts w:ascii="Calibri" w:hAnsi="Calibri" w:cs="Calibri"/>
        </w:rPr>
        <w:t>Fair value hierarchy</w:t>
      </w:r>
      <w:bookmarkEnd w:id="1722"/>
      <w:bookmarkEnd w:id="1723"/>
    </w:p>
    <w:p w14:paraId="5AA392C5" w14:textId="77777777" w:rsidR="00F1540A" w:rsidRPr="005734B8" w:rsidRDefault="00F1540A" w:rsidP="00F1540A">
      <w:pPr>
        <w:rPr>
          <w:rFonts w:ascii="Calibri" w:hAnsi="Calibri" w:cs="Calibri"/>
        </w:rPr>
      </w:pPr>
      <w:r w:rsidRPr="005734B8">
        <w:rPr>
          <w:rFonts w:ascii="Calibri" w:hAnsi="Calibri" w:cs="Calibri"/>
        </w:rPr>
        <w:t>In determining fair values, a number of inputs are used. To increase consistency and comparability in the financial statements, these inputs are categorised into three levels, also known as the fair value hierarchy. The levels are:</w:t>
      </w:r>
    </w:p>
    <w:p w14:paraId="50427757" w14:textId="4EC581AA" w:rsidR="00F1540A" w:rsidRPr="005734B8" w:rsidRDefault="00F1540A" w:rsidP="00F1540A">
      <w:pPr>
        <w:pStyle w:val="ESbullet1"/>
        <w:numPr>
          <w:ilvl w:val="0"/>
          <w:numId w:val="42"/>
        </w:numPr>
        <w:spacing w:after="0"/>
        <w:rPr>
          <w:rFonts w:ascii="Calibri" w:hAnsi="Calibri" w:cs="Calibri"/>
        </w:rPr>
      </w:pPr>
      <w:r w:rsidRPr="005734B8">
        <w:rPr>
          <w:rFonts w:ascii="Calibri" w:hAnsi="Calibri" w:cs="Calibri"/>
        </w:rPr>
        <w:t>Level 1</w:t>
      </w:r>
      <w:r w:rsidR="008420B5" w:rsidRPr="005734B8">
        <w:rPr>
          <w:rFonts w:ascii="Calibri" w:hAnsi="Calibri" w:cs="Calibri"/>
        </w:rPr>
        <w:t>—q</w:t>
      </w:r>
      <w:r w:rsidRPr="005734B8">
        <w:rPr>
          <w:rFonts w:ascii="Calibri" w:hAnsi="Calibri" w:cs="Calibri"/>
        </w:rPr>
        <w:t>uoted (unadjusted) market prices in active markets for identical assets or liabilities</w:t>
      </w:r>
    </w:p>
    <w:p w14:paraId="20E93467" w14:textId="010BCEA8" w:rsidR="00F1540A" w:rsidRPr="005734B8" w:rsidRDefault="00F1540A" w:rsidP="00F1540A">
      <w:pPr>
        <w:pStyle w:val="ESbullet1"/>
        <w:numPr>
          <w:ilvl w:val="0"/>
          <w:numId w:val="42"/>
        </w:numPr>
        <w:spacing w:after="0"/>
        <w:rPr>
          <w:rFonts w:ascii="Calibri" w:hAnsi="Calibri" w:cs="Calibri"/>
        </w:rPr>
      </w:pPr>
      <w:r w:rsidRPr="005734B8">
        <w:rPr>
          <w:rFonts w:ascii="Calibri" w:hAnsi="Calibri" w:cs="Calibri"/>
        </w:rPr>
        <w:t>Level 2</w:t>
      </w:r>
      <w:r w:rsidR="008420B5" w:rsidRPr="005734B8">
        <w:rPr>
          <w:rFonts w:ascii="Calibri" w:hAnsi="Calibri" w:cs="Calibri"/>
        </w:rPr>
        <w:t>—v</w:t>
      </w:r>
      <w:r w:rsidRPr="005734B8">
        <w:rPr>
          <w:rFonts w:ascii="Calibri" w:hAnsi="Calibri" w:cs="Calibri"/>
        </w:rPr>
        <w:t>aluation techniques for which the lowest level input that is significant to the fair value measurement is directly or indirectly observable</w:t>
      </w:r>
    </w:p>
    <w:p w14:paraId="2D8C0732" w14:textId="257A567C" w:rsidR="00F1540A" w:rsidRPr="005734B8" w:rsidRDefault="00F1540A" w:rsidP="00F1540A">
      <w:pPr>
        <w:pStyle w:val="ESbullet1"/>
        <w:numPr>
          <w:ilvl w:val="0"/>
          <w:numId w:val="42"/>
        </w:numPr>
        <w:spacing w:after="0"/>
        <w:rPr>
          <w:rFonts w:ascii="Calibri" w:hAnsi="Calibri" w:cs="Calibri"/>
        </w:rPr>
      </w:pPr>
      <w:r w:rsidRPr="005734B8">
        <w:rPr>
          <w:rFonts w:ascii="Calibri" w:hAnsi="Calibri" w:cs="Calibri"/>
        </w:rPr>
        <w:t>Level 3</w:t>
      </w:r>
      <w:r w:rsidR="008420B5" w:rsidRPr="005734B8">
        <w:rPr>
          <w:rFonts w:ascii="Calibri" w:hAnsi="Calibri" w:cs="Calibri"/>
        </w:rPr>
        <w:t>—v</w:t>
      </w:r>
      <w:r w:rsidRPr="005734B8">
        <w:rPr>
          <w:rFonts w:ascii="Calibri" w:hAnsi="Calibri" w:cs="Calibri"/>
        </w:rPr>
        <w:t>aluation techniques for which the lowest level input that is significant to the fair value measurement is unobservable.</w:t>
      </w:r>
    </w:p>
    <w:p w14:paraId="6FFCD058" w14:textId="77777777" w:rsidR="00F1540A" w:rsidRPr="005734B8" w:rsidRDefault="00F1540A" w:rsidP="00F1540A">
      <w:pPr>
        <w:pStyle w:val="ESbullet1"/>
        <w:spacing w:after="0"/>
        <w:ind w:left="0" w:firstLine="0"/>
        <w:rPr>
          <w:rFonts w:ascii="Calibri" w:hAnsi="Calibri" w:cs="Calibri"/>
        </w:rPr>
      </w:pPr>
    </w:p>
    <w:p w14:paraId="50D1AF3D" w14:textId="77777777" w:rsidR="00F1540A" w:rsidRPr="005734B8" w:rsidRDefault="00F1540A" w:rsidP="00F1540A">
      <w:pPr>
        <w:rPr>
          <w:rFonts w:ascii="Calibri" w:hAnsi="Calibri" w:cs="Calibri"/>
        </w:rPr>
      </w:pPr>
      <w:r w:rsidRPr="005734B8">
        <w:rPr>
          <w:rFonts w:ascii="Calibri" w:hAnsi="Calibri" w:cs="Calibri"/>
        </w:rPr>
        <w:t>The Department determines whether transfers have occurred between levels in the hierarchy by reassessing categorisation (based on the lowest level input that is significant to the fair value measurement as a whole) at the end of each reporting period.</w:t>
      </w:r>
    </w:p>
    <w:p w14:paraId="173C86F6" w14:textId="77777777" w:rsidR="00F1540A" w:rsidRPr="005734B8" w:rsidRDefault="00F1540A" w:rsidP="000F6516">
      <w:pPr>
        <w:pStyle w:val="ESHeading3"/>
        <w:ind w:left="0" w:firstLine="0"/>
        <w:rPr>
          <w:rFonts w:ascii="Calibri" w:hAnsi="Calibri" w:cs="Calibri"/>
        </w:rPr>
      </w:pPr>
      <w:bookmarkStart w:id="1724" w:name="_Toc11336433"/>
      <w:bookmarkStart w:id="1725" w:name="_Toc14965659"/>
      <w:r w:rsidRPr="005734B8">
        <w:rPr>
          <w:rFonts w:ascii="Calibri" w:hAnsi="Calibri" w:cs="Calibri"/>
        </w:rPr>
        <w:t>How this section is structured</w:t>
      </w:r>
      <w:bookmarkEnd w:id="1724"/>
      <w:bookmarkEnd w:id="1725"/>
    </w:p>
    <w:p w14:paraId="08125001" w14:textId="77777777" w:rsidR="00F1540A" w:rsidRPr="005734B8" w:rsidRDefault="00F1540A" w:rsidP="00F1540A">
      <w:pPr>
        <w:rPr>
          <w:rFonts w:ascii="Calibri" w:hAnsi="Calibri" w:cs="Calibri"/>
        </w:rPr>
      </w:pPr>
      <w:r w:rsidRPr="005734B8">
        <w:rPr>
          <w:rFonts w:ascii="Calibri" w:hAnsi="Calibri" w:cs="Calibri"/>
        </w:rPr>
        <w:t>For those assets and liabilities for which fair values are determined, the following disclosures are provided:</w:t>
      </w:r>
    </w:p>
    <w:p w14:paraId="4193F886" w14:textId="77777777" w:rsidR="00F1540A" w:rsidRPr="005734B8" w:rsidRDefault="00F1540A" w:rsidP="00F1540A">
      <w:pPr>
        <w:pStyle w:val="ESbullet1"/>
        <w:numPr>
          <w:ilvl w:val="0"/>
          <w:numId w:val="43"/>
        </w:numPr>
        <w:spacing w:after="0"/>
        <w:rPr>
          <w:rFonts w:ascii="Calibri" w:hAnsi="Calibri" w:cs="Calibri"/>
        </w:rPr>
      </w:pPr>
      <w:r w:rsidRPr="005734B8">
        <w:rPr>
          <w:rFonts w:ascii="Calibri" w:hAnsi="Calibri" w:cs="Calibri"/>
        </w:rPr>
        <w:t>carrying amount and the fair value (which would be the same for those assets measured at fair value)</w:t>
      </w:r>
    </w:p>
    <w:p w14:paraId="64B2156D" w14:textId="77777777" w:rsidR="00F1540A" w:rsidRPr="005734B8" w:rsidRDefault="00F1540A" w:rsidP="00F1540A">
      <w:pPr>
        <w:pStyle w:val="ESbullet1"/>
        <w:numPr>
          <w:ilvl w:val="0"/>
          <w:numId w:val="43"/>
        </w:numPr>
        <w:spacing w:after="0"/>
        <w:rPr>
          <w:rFonts w:ascii="Calibri" w:hAnsi="Calibri" w:cs="Calibri"/>
        </w:rPr>
      </w:pPr>
      <w:r w:rsidRPr="005734B8">
        <w:rPr>
          <w:rFonts w:ascii="Calibri" w:hAnsi="Calibri" w:cs="Calibri"/>
        </w:rPr>
        <w:t>which level of the fair value hierarchy was used to determine the fair value</w:t>
      </w:r>
    </w:p>
    <w:p w14:paraId="1EECF441" w14:textId="77777777" w:rsidR="00F1540A" w:rsidRPr="005734B8" w:rsidRDefault="00F1540A" w:rsidP="00F1540A">
      <w:pPr>
        <w:pStyle w:val="ESbullet1"/>
        <w:numPr>
          <w:ilvl w:val="0"/>
          <w:numId w:val="43"/>
        </w:numPr>
        <w:spacing w:after="0"/>
        <w:rPr>
          <w:rFonts w:ascii="Calibri" w:hAnsi="Calibri" w:cs="Calibri"/>
        </w:rPr>
      </w:pPr>
      <w:r w:rsidRPr="005734B8">
        <w:rPr>
          <w:rFonts w:ascii="Calibri" w:hAnsi="Calibri" w:cs="Calibri"/>
        </w:rPr>
        <w:t>in respect of those assets and liabilities subject to fair value determination using Level 3 inputs:</w:t>
      </w:r>
    </w:p>
    <w:p w14:paraId="03632C8C" w14:textId="77777777" w:rsidR="00F1540A" w:rsidRPr="005734B8" w:rsidRDefault="00F1540A" w:rsidP="00F1540A">
      <w:pPr>
        <w:pStyle w:val="ESbullet1"/>
        <w:numPr>
          <w:ilvl w:val="1"/>
          <w:numId w:val="2"/>
        </w:numPr>
        <w:spacing w:after="0"/>
        <w:rPr>
          <w:rFonts w:ascii="Calibri" w:hAnsi="Calibri" w:cs="Calibri"/>
        </w:rPr>
      </w:pPr>
      <w:r w:rsidRPr="005734B8">
        <w:rPr>
          <w:rFonts w:ascii="Calibri" w:hAnsi="Calibri" w:cs="Calibri"/>
        </w:rPr>
        <w:t>a reconciliation of the movements in fair values from the beginning of the year to the end, and</w:t>
      </w:r>
    </w:p>
    <w:p w14:paraId="0EB09C8D" w14:textId="77777777" w:rsidR="00F1540A" w:rsidRPr="005734B8" w:rsidRDefault="00F1540A" w:rsidP="00F1540A">
      <w:pPr>
        <w:pStyle w:val="ESbullet1"/>
        <w:numPr>
          <w:ilvl w:val="1"/>
          <w:numId w:val="2"/>
        </w:numPr>
        <w:spacing w:after="0"/>
        <w:rPr>
          <w:rFonts w:ascii="Calibri" w:hAnsi="Calibri" w:cs="Calibri"/>
        </w:rPr>
      </w:pPr>
      <w:r w:rsidRPr="005734B8">
        <w:rPr>
          <w:rFonts w:ascii="Calibri" w:hAnsi="Calibri" w:cs="Calibri"/>
        </w:rPr>
        <w:t xml:space="preserve">details of significant unobservable inputs used in the fair value determination. </w:t>
      </w:r>
    </w:p>
    <w:p w14:paraId="28728EB6" w14:textId="77777777" w:rsidR="00F1540A" w:rsidRPr="005734B8" w:rsidRDefault="00F1540A" w:rsidP="00F1540A">
      <w:pPr>
        <w:rPr>
          <w:rFonts w:ascii="Calibri" w:hAnsi="Calibri" w:cs="Calibri"/>
        </w:rPr>
      </w:pPr>
    </w:p>
    <w:p w14:paraId="4DD9AC84" w14:textId="77777777" w:rsidR="00F1540A" w:rsidRPr="005734B8" w:rsidRDefault="00F1540A" w:rsidP="00F1540A">
      <w:pPr>
        <w:rPr>
          <w:rFonts w:ascii="Calibri" w:hAnsi="Calibri" w:cs="Calibri"/>
        </w:rPr>
      </w:pPr>
      <w:r w:rsidRPr="005734B8">
        <w:rPr>
          <w:rFonts w:ascii="Calibri" w:hAnsi="Calibri" w:cs="Calibri"/>
        </w:rPr>
        <w:t>This section is divided between disclosures in connection with fair value determination for financial instruments (Note 8.2.1) and non-financial physical assets (Note 8.2.2).</w:t>
      </w:r>
    </w:p>
    <w:p w14:paraId="32BC19F9" w14:textId="77777777" w:rsidR="00F1540A" w:rsidRPr="005734B8" w:rsidRDefault="00F1540A" w:rsidP="00F1540A">
      <w:pPr>
        <w:rPr>
          <w:rFonts w:ascii="Calibri" w:hAnsi="Calibri" w:cs="Calibri"/>
        </w:rPr>
      </w:pPr>
      <w:r w:rsidRPr="005734B8">
        <w:rPr>
          <w:rFonts w:ascii="Calibri" w:hAnsi="Calibri" w:cs="Calibri"/>
        </w:rPr>
        <w:br w:type="page"/>
      </w:r>
    </w:p>
    <w:p w14:paraId="753D2D03" w14:textId="77777777" w:rsidR="00F1540A" w:rsidRPr="005734B8" w:rsidRDefault="00F1540A" w:rsidP="000F6516">
      <w:pPr>
        <w:pStyle w:val="ESHeading3"/>
        <w:ind w:left="0" w:firstLine="0"/>
        <w:rPr>
          <w:rFonts w:ascii="Calibri" w:hAnsi="Calibri" w:cs="Calibri"/>
        </w:rPr>
      </w:pPr>
      <w:r w:rsidRPr="005734B8">
        <w:rPr>
          <w:rFonts w:ascii="Calibri" w:hAnsi="Calibri" w:cs="Calibri"/>
        </w:rPr>
        <w:lastRenderedPageBreak/>
        <w:t>8.2.1</w:t>
      </w:r>
      <w:r w:rsidRPr="005734B8">
        <w:rPr>
          <w:rFonts w:ascii="Calibri" w:hAnsi="Calibri" w:cs="Calibri"/>
        </w:rPr>
        <w:tab/>
        <w:t>Fair value determination of financial assets and liabilities</w:t>
      </w:r>
    </w:p>
    <w:p w14:paraId="46F4B7D6" w14:textId="77777777" w:rsidR="00F1540A" w:rsidRPr="005734B8" w:rsidRDefault="00F1540A" w:rsidP="00F1540A">
      <w:pPr>
        <w:rPr>
          <w:rFonts w:ascii="Calibri" w:hAnsi="Calibri" w:cs="Calibri"/>
        </w:rPr>
      </w:pPr>
      <w:r w:rsidRPr="005734B8">
        <w:rPr>
          <w:rFonts w:ascii="Calibri" w:hAnsi="Calibri" w:cs="Calibri"/>
        </w:rPr>
        <w:t xml:space="preserve">The fair values and net fair values of financial assets and financial liabilities are determined as follows: </w:t>
      </w:r>
    </w:p>
    <w:p w14:paraId="353D6E60" w14:textId="55FC7CB3" w:rsidR="00F1540A" w:rsidRPr="005734B8" w:rsidRDefault="00F1540A" w:rsidP="00F1540A">
      <w:pPr>
        <w:pStyle w:val="ESbullet1"/>
        <w:numPr>
          <w:ilvl w:val="0"/>
          <w:numId w:val="44"/>
        </w:numPr>
        <w:spacing w:after="0"/>
        <w:rPr>
          <w:rFonts w:ascii="Calibri" w:hAnsi="Calibri" w:cs="Calibri"/>
        </w:rPr>
      </w:pPr>
      <w:r w:rsidRPr="005734B8">
        <w:rPr>
          <w:rFonts w:ascii="Calibri" w:hAnsi="Calibri" w:cs="Calibri"/>
        </w:rPr>
        <w:t>Level 1</w:t>
      </w:r>
      <w:r w:rsidR="008420B5" w:rsidRPr="005734B8">
        <w:rPr>
          <w:rFonts w:ascii="Calibri" w:hAnsi="Calibri" w:cs="Calibri"/>
        </w:rPr>
        <w:t>—</w:t>
      </w:r>
      <w:r w:rsidRPr="005734B8">
        <w:rPr>
          <w:rFonts w:ascii="Calibri" w:hAnsi="Calibri" w:cs="Calibri"/>
        </w:rPr>
        <w:t xml:space="preserve">the fair value of financial assets and financial liabilities with standard terms and conditions and traded in active liquid markets are determined with reference to quoted market prices. </w:t>
      </w:r>
    </w:p>
    <w:p w14:paraId="10C0265B" w14:textId="4EE7A802" w:rsidR="00F1540A" w:rsidRPr="005734B8" w:rsidRDefault="00F1540A" w:rsidP="00F1540A">
      <w:pPr>
        <w:pStyle w:val="ESbullet1"/>
        <w:numPr>
          <w:ilvl w:val="0"/>
          <w:numId w:val="44"/>
        </w:numPr>
        <w:spacing w:after="0"/>
        <w:rPr>
          <w:rFonts w:ascii="Calibri" w:hAnsi="Calibri" w:cs="Calibri"/>
        </w:rPr>
      </w:pPr>
      <w:r w:rsidRPr="005734B8">
        <w:rPr>
          <w:rFonts w:ascii="Calibri" w:hAnsi="Calibri" w:cs="Calibri"/>
        </w:rPr>
        <w:t>Level 2</w:t>
      </w:r>
      <w:r w:rsidR="008420B5" w:rsidRPr="005734B8">
        <w:rPr>
          <w:rFonts w:ascii="Calibri" w:hAnsi="Calibri" w:cs="Calibri"/>
        </w:rPr>
        <w:t>—</w:t>
      </w:r>
      <w:r w:rsidRPr="005734B8">
        <w:rPr>
          <w:rFonts w:ascii="Calibri" w:hAnsi="Calibri" w:cs="Calibri"/>
        </w:rPr>
        <w:t xml:space="preserve">the fair value is determined using inputs other than the quoted price that are observable for the financial asset or liability, either directly or indirectly. </w:t>
      </w:r>
    </w:p>
    <w:p w14:paraId="368C1D7E" w14:textId="40C03050" w:rsidR="00F1540A" w:rsidRPr="005734B8" w:rsidRDefault="00F1540A" w:rsidP="00F1540A">
      <w:pPr>
        <w:pStyle w:val="ESbullet1"/>
        <w:numPr>
          <w:ilvl w:val="0"/>
          <w:numId w:val="44"/>
        </w:numPr>
        <w:spacing w:after="0"/>
        <w:rPr>
          <w:rFonts w:ascii="Calibri" w:hAnsi="Calibri" w:cs="Calibri"/>
        </w:rPr>
      </w:pPr>
      <w:r w:rsidRPr="005734B8">
        <w:rPr>
          <w:rFonts w:ascii="Calibri" w:hAnsi="Calibri" w:cs="Calibri"/>
        </w:rPr>
        <w:t>Level 3</w:t>
      </w:r>
      <w:r w:rsidR="008420B5" w:rsidRPr="005734B8">
        <w:rPr>
          <w:rFonts w:ascii="Calibri" w:hAnsi="Calibri" w:cs="Calibri"/>
        </w:rPr>
        <w:t>—</w:t>
      </w:r>
      <w:r w:rsidRPr="005734B8">
        <w:rPr>
          <w:rFonts w:ascii="Calibri" w:hAnsi="Calibri" w:cs="Calibri"/>
        </w:rPr>
        <w:t xml:space="preserve">the fair value is determined in accordance with generally accepted pricing models based on discounted cash flow analysis using unobservable market inputs. </w:t>
      </w:r>
    </w:p>
    <w:p w14:paraId="38543999" w14:textId="77777777" w:rsidR="00F1540A" w:rsidRPr="005734B8" w:rsidRDefault="00F1540A" w:rsidP="00F1540A">
      <w:pPr>
        <w:rPr>
          <w:rFonts w:ascii="Calibri" w:hAnsi="Calibri" w:cs="Calibri"/>
        </w:rPr>
      </w:pPr>
    </w:p>
    <w:p w14:paraId="12327FB9" w14:textId="43CFFC4A" w:rsidR="00F1540A" w:rsidRPr="005734B8" w:rsidRDefault="00F1540A" w:rsidP="00F1540A">
      <w:pPr>
        <w:rPr>
          <w:rFonts w:ascii="Calibri" w:hAnsi="Calibri" w:cs="Calibri"/>
        </w:rPr>
      </w:pPr>
      <w:r w:rsidRPr="005734B8">
        <w:rPr>
          <w:rFonts w:ascii="Calibri" w:hAnsi="Calibri" w:cs="Calibri"/>
        </w:rPr>
        <w:t xml:space="preserve">The Department considers that the carrying amount of financial instrument assets and liabilities recorded in the financial statements </w:t>
      </w:r>
      <w:r w:rsidR="008420B5" w:rsidRPr="005734B8">
        <w:rPr>
          <w:rFonts w:ascii="Calibri" w:hAnsi="Calibri" w:cs="Calibri"/>
        </w:rPr>
        <w:t>is</w:t>
      </w:r>
      <w:r w:rsidRPr="005734B8">
        <w:rPr>
          <w:rFonts w:ascii="Calibri" w:hAnsi="Calibri" w:cs="Calibri"/>
        </w:rPr>
        <w:t xml:space="preserve"> a fair approximation of their fair values, because of the short-term nature of the financial instruments and the expectation that they will be paid in full. </w:t>
      </w:r>
    </w:p>
    <w:p w14:paraId="365A8737" w14:textId="77777777" w:rsidR="00F1540A" w:rsidRPr="005734B8" w:rsidRDefault="00F1540A" w:rsidP="00F1540A">
      <w:pPr>
        <w:rPr>
          <w:rFonts w:ascii="Calibri" w:hAnsi="Calibri" w:cs="Calibri"/>
        </w:rPr>
      </w:pPr>
    </w:p>
    <w:p w14:paraId="4A022CDC" w14:textId="4D0D86F6" w:rsidR="00F1540A" w:rsidRPr="005734B8" w:rsidRDefault="00F1540A" w:rsidP="00F1540A">
      <w:pPr>
        <w:rPr>
          <w:rFonts w:ascii="Calibri" w:hAnsi="Calibri" w:cs="Calibri"/>
        </w:rPr>
      </w:pPr>
      <w:r w:rsidRPr="005734B8">
        <w:rPr>
          <w:rFonts w:ascii="Calibri" w:hAnsi="Calibri" w:cs="Calibri"/>
        </w:rPr>
        <w:t xml:space="preserve">The Department’s contractual financial assets and liabilities are measured at amortised cost; none of the classes of financial assets and liabilities </w:t>
      </w:r>
      <w:r w:rsidR="008420B5" w:rsidRPr="005734B8">
        <w:rPr>
          <w:rFonts w:ascii="Calibri" w:hAnsi="Calibri" w:cs="Calibri"/>
        </w:rPr>
        <w:t>is</w:t>
      </w:r>
      <w:r w:rsidRPr="005734B8">
        <w:rPr>
          <w:rFonts w:ascii="Calibri" w:hAnsi="Calibri" w:cs="Calibri"/>
        </w:rPr>
        <w:t xml:space="preserve"> readily traded on organised markets in standardised form</w:t>
      </w:r>
      <w:r w:rsidR="008420B5" w:rsidRPr="005734B8">
        <w:rPr>
          <w:rFonts w:ascii="Calibri" w:hAnsi="Calibri" w:cs="Calibri"/>
        </w:rPr>
        <w:t>—</w:t>
      </w:r>
      <w:r w:rsidRPr="005734B8">
        <w:rPr>
          <w:rFonts w:ascii="Calibri" w:hAnsi="Calibri" w:cs="Calibri"/>
        </w:rPr>
        <w:t>hence the fair value disclosures are not required.</w:t>
      </w:r>
    </w:p>
    <w:p w14:paraId="52C05B1B" w14:textId="77777777" w:rsidR="00F1540A" w:rsidRPr="005734B8" w:rsidRDefault="00F1540A" w:rsidP="000F6516">
      <w:pPr>
        <w:pStyle w:val="ESHeading3"/>
        <w:ind w:left="0" w:firstLine="0"/>
        <w:rPr>
          <w:rFonts w:ascii="Calibri" w:hAnsi="Calibri" w:cs="Calibri"/>
        </w:rPr>
      </w:pPr>
      <w:bookmarkStart w:id="1726" w:name="_Toc11336435"/>
      <w:bookmarkStart w:id="1727" w:name="_Toc14965661"/>
      <w:r w:rsidRPr="005734B8">
        <w:rPr>
          <w:rFonts w:ascii="Calibri" w:hAnsi="Calibri" w:cs="Calibri"/>
        </w:rPr>
        <w:t>8.2.2</w:t>
      </w:r>
      <w:r w:rsidRPr="005734B8">
        <w:rPr>
          <w:rFonts w:ascii="Calibri" w:hAnsi="Calibri" w:cs="Calibri"/>
        </w:rPr>
        <w:tab/>
        <w:t>Fair value determination: Non-financial physical assets</w:t>
      </w:r>
      <w:bookmarkEnd w:id="1726"/>
      <w:bookmarkEnd w:id="1727"/>
    </w:p>
    <w:p w14:paraId="3873F4E0" w14:textId="42CB0BCC" w:rsidR="00F1540A" w:rsidRPr="005734B8" w:rsidRDefault="00F1540A" w:rsidP="00F1540A">
      <w:pPr>
        <w:rPr>
          <w:rFonts w:ascii="Calibri" w:hAnsi="Calibri" w:cs="Calibri"/>
        </w:rPr>
      </w:pPr>
      <w:r w:rsidRPr="005734B8">
        <w:rPr>
          <w:rFonts w:ascii="Calibri" w:hAnsi="Calibri" w:cs="Calibri"/>
        </w:rPr>
        <w:t xml:space="preserve">The </w:t>
      </w:r>
      <w:r w:rsidR="00235194" w:rsidRPr="005734B8">
        <w:rPr>
          <w:rFonts w:ascii="Calibri" w:hAnsi="Calibri" w:cs="Calibri"/>
        </w:rPr>
        <w:t>VGV</w:t>
      </w:r>
      <w:r w:rsidRPr="005734B8">
        <w:rPr>
          <w:rFonts w:ascii="Calibri" w:hAnsi="Calibri" w:cs="Calibri"/>
        </w:rPr>
        <w:t xml:space="preserve"> is the Department’s independent valuation agency.</w:t>
      </w:r>
    </w:p>
    <w:p w14:paraId="5385F596" w14:textId="77777777" w:rsidR="00F1540A" w:rsidRPr="005734B8" w:rsidRDefault="00F1540A" w:rsidP="00F1540A">
      <w:pPr>
        <w:rPr>
          <w:rFonts w:ascii="Calibri" w:hAnsi="Calibri" w:cs="Calibri"/>
        </w:rPr>
      </w:pPr>
    </w:p>
    <w:p w14:paraId="552B6EE1" w14:textId="556B9336" w:rsidR="00F1540A" w:rsidRPr="005734B8" w:rsidRDefault="00F1540A" w:rsidP="00F1540A">
      <w:pPr>
        <w:rPr>
          <w:rFonts w:ascii="Calibri" w:hAnsi="Calibri" w:cs="Calibri"/>
        </w:rPr>
      </w:pPr>
      <w:r w:rsidRPr="005734B8">
        <w:rPr>
          <w:rFonts w:ascii="Calibri" w:hAnsi="Calibri" w:cs="Calibri"/>
        </w:rPr>
        <w:t xml:space="preserve">The Department, in conjunction with the </w:t>
      </w:r>
      <w:r w:rsidR="00235194" w:rsidRPr="005734B8">
        <w:rPr>
          <w:rFonts w:ascii="Calibri" w:hAnsi="Calibri" w:cs="Calibri"/>
        </w:rPr>
        <w:t>VGV</w:t>
      </w:r>
      <w:r w:rsidRPr="005734B8">
        <w:rPr>
          <w:rFonts w:ascii="Calibri" w:hAnsi="Calibri" w:cs="Calibri"/>
        </w:rPr>
        <w:t xml:space="preserve">, monitors changes in the fair value of each asset through relevant data sources to determine whether revaluations are required. The recurring fair value measurements of non-financial physical assets, such as land and school buildings, are based on </w:t>
      </w:r>
      <w:r w:rsidR="008420B5" w:rsidRPr="005734B8">
        <w:rPr>
          <w:rFonts w:ascii="Calibri" w:hAnsi="Calibri" w:cs="Calibri"/>
        </w:rPr>
        <w:t>L</w:t>
      </w:r>
      <w:r w:rsidRPr="005734B8">
        <w:rPr>
          <w:rFonts w:ascii="Calibri" w:hAnsi="Calibri" w:cs="Calibri"/>
        </w:rPr>
        <w:t>evel 3 unobservable inputs</w:t>
      </w:r>
      <w:r w:rsidR="008420B5" w:rsidRPr="005734B8">
        <w:rPr>
          <w:rFonts w:ascii="Calibri" w:hAnsi="Calibri" w:cs="Calibri"/>
        </w:rPr>
        <w:t>,</w:t>
      </w:r>
      <w:r w:rsidRPr="005734B8">
        <w:rPr>
          <w:rFonts w:ascii="Calibri" w:hAnsi="Calibri" w:cs="Calibri"/>
        </w:rPr>
        <w:t xml:space="preserve"> due to the nature and characteristics of the school assets. School land assets are specialised assets where there is little or no observable market evidence of the market</w:t>
      </w:r>
      <w:r w:rsidR="008420B5" w:rsidRPr="005734B8">
        <w:rPr>
          <w:rFonts w:ascii="Calibri" w:hAnsi="Calibri" w:cs="Calibri"/>
        </w:rPr>
        <w:t xml:space="preserve"> </w:t>
      </w:r>
      <w:r w:rsidRPr="005734B8">
        <w:rPr>
          <w:rFonts w:ascii="Calibri" w:hAnsi="Calibri" w:cs="Calibri"/>
        </w:rPr>
        <w:t>selling price as a CSO is applied to such assets.</w:t>
      </w:r>
    </w:p>
    <w:p w14:paraId="7E49A372" w14:textId="77777777" w:rsidR="00F1540A" w:rsidRPr="005734B8" w:rsidRDefault="00F1540A" w:rsidP="00F1540A">
      <w:pPr>
        <w:rPr>
          <w:rFonts w:ascii="Calibri" w:hAnsi="Calibri" w:cs="Calibri"/>
        </w:rPr>
      </w:pPr>
      <w:r w:rsidRPr="005734B8">
        <w:rPr>
          <w:rFonts w:ascii="Calibri" w:hAnsi="Calibri" w:cs="Calibri"/>
        </w:rPr>
        <w:br w:type="page"/>
      </w:r>
    </w:p>
    <w:p w14:paraId="6A105A53" w14:textId="77777777" w:rsidR="00F1540A" w:rsidRPr="005734B8" w:rsidRDefault="00F1540A" w:rsidP="00F1540A">
      <w:pPr>
        <w:pStyle w:val="ES-HeadingTableRed"/>
        <w:rPr>
          <w:rFonts w:ascii="Calibri" w:hAnsi="Calibri" w:cs="Calibri"/>
        </w:rPr>
      </w:pPr>
      <w:r w:rsidRPr="005734B8">
        <w:rPr>
          <w:rFonts w:ascii="Calibri" w:hAnsi="Calibri" w:cs="Calibri"/>
        </w:rPr>
        <w:lastRenderedPageBreak/>
        <w:t xml:space="preserve">Fair value measurement hierarchy for assets as at </w:t>
      </w:r>
      <w:r w:rsidRPr="005734B8">
        <w:rPr>
          <w:rFonts w:ascii="Calibri" w:hAnsi="Calibri" w:cs="Calibri"/>
        </w:rPr>
        <w:fldChar w:fldCharType="begin"/>
      </w:r>
      <w:r w:rsidRPr="005734B8">
        <w:rPr>
          <w:rFonts w:ascii="Calibri" w:hAnsi="Calibri" w:cs="Calibri"/>
        </w:rPr>
        <w:instrText xml:space="preserve"> DOCPROPERTY  pEnd  \* MERGEFORMAT </w:instrText>
      </w:r>
      <w:r w:rsidRPr="005734B8">
        <w:rPr>
          <w:rFonts w:ascii="Calibri" w:hAnsi="Calibri" w:cs="Calibri"/>
        </w:rPr>
        <w:fldChar w:fldCharType="separate"/>
      </w:r>
      <w:r w:rsidRPr="005734B8">
        <w:rPr>
          <w:rFonts w:ascii="Calibri" w:hAnsi="Calibri" w:cs="Calibri"/>
        </w:rPr>
        <w:t>30 June</w:t>
      </w:r>
      <w:r w:rsidRPr="005734B8">
        <w:rPr>
          <w:rFonts w:ascii="Calibri" w:hAnsi="Calibri" w:cs="Calibri"/>
        </w:rPr>
        <w:fldChar w:fldCharType="end"/>
      </w:r>
      <w:r w:rsidRPr="005734B8">
        <w:rPr>
          <w:rFonts w:ascii="Calibri" w:hAnsi="Calibri" w:cs="Calibri"/>
        </w:rPr>
        <w:t xml:space="preserve"> </w:t>
      </w:r>
      <w:r w:rsidRPr="005734B8">
        <w:rPr>
          <w:rFonts w:ascii="Calibri" w:hAnsi="Calibri" w:cs="Calibri"/>
        </w:rPr>
        <w:fldChar w:fldCharType="begin"/>
      </w:r>
      <w:r w:rsidRPr="005734B8">
        <w:rPr>
          <w:rFonts w:ascii="Calibri" w:hAnsi="Calibri" w:cs="Calibri"/>
        </w:rPr>
        <w:instrText xml:space="preserve"> DOCPROPERTY  crYear  \* MERGEFORMAT </w:instrText>
      </w:r>
      <w:r w:rsidRPr="005734B8">
        <w:rPr>
          <w:rFonts w:ascii="Calibri" w:hAnsi="Calibri" w:cs="Calibri"/>
        </w:rPr>
        <w:fldChar w:fldCharType="separate"/>
      </w:r>
      <w:r w:rsidRPr="005734B8">
        <w:rPr>
          <w:rFonts w:ascii="Calibri" w:hAnsi="Calibri" w:cs="Calibri"/>
        </w:rPr>
        <w:t>2021</w:t>
      </w:r>
      <w:r w:rsidRPr="005734B8">
        <w:rPr>
          <w:rFonts w:ascii="Calibri" w:hAnsi="Calibri" w:cs="Calibri"/>
        </w:rPr>
        <w:fldChar w:fldCharType="end"/>
      </w:r>
    </w:p>
    <w:tbl>
      <w:tblPr>
        <w:tblW w:w="7625" w:type="dxa"/>
        <w:tblInd w:w="75" w:type="dxa"/>
        <w:tblLayout w:type="fixed"/>
        <w:tblLook w:val="04A0" w:firstRow="1" w:lastRow="0" w:firstColumn="1" w:lastColumn="0" w:noHBand="0" w:noVBand="1"/>
      </w:tblPr>
      <w:tblGrid>
        <w:gridCol w:w="3291"/>
        <w:gridCol w:w="1256"/>
        <w:gridCol w:w="951"/>
        <w:gridCol w:w="1033"/>
        <w:gridCol w:w="1094"/>
      </w:tblGrid>
      <w:tr w:rsidR="00F1540A" w:rsidRPr="005734B8" w14:paraId="6AAE5392" w14:textId="77777777" w:rsidTr="00425184">
        <w:trPr>
          <w:trHeight w:val="533"/>
        </w:trPr>
        <w:tc>
          <w:tcPr>
            <w:tcW w:w="3291" w:type="dxa"/>
            <w:tcBorders>
              <w:top w:val="nil"/>
              <w:left w:val="single" w:sz="4" w:space="0" w:color="FFFFFF"/>
              <w:bottom w:val="single" w:sz="4" w:space="0" w:color="FFFFFF"/>
              <w:right w:val="single" w:sz="4" w:space="0" w:color="FFFFFF"/>
            </w:tcBorders>
            <w:shd w:val="clear" w:color="000000" w:fill="AF272F"/>
            <w:hideMark/>
          </w:tcPr>
          <w:p w14:paraId="1066238F" w14:textId="77777777" w:rsidR="00F1540A" w:rsidRPr="005734B8" w:rsidRDefault="00F1540A" w:rsidP="000F48B1">
            <w:pPr>
              <w:rPr>
                <w:rFonts w:ascii="Calibri" w:hAnsi="Calibri" w:cs="Calibri"/>
                <w:b/>
                <w:color w:val="FFFFFF"/>
                <w:sz w:val="18"/>
                <w:szCs w:val="18"/>
              </w:rPr>
            </w:pPr>
            <w:bookmarkStart w:id="1728" w:name="Note_FVDTABLE1" w:colFirst="0" w:colLast="0"/>
            <w:r w:rsidRPr="005734B8">
              <w:rPr>
                <w:rFonts w:ascii="Calibri" w:hAnsi="Calibri" w:cs="Calibri"/>
                <w:b/>
                <w:color w:val="FFFFFF"/>
                <w:sz w:val="18"/>
                <w:szCs w:val="18"/>
              </w:rPr>
              <w:t> </w:t>
            </w:r>
          </w:p>
        </w:tc>
        <w:tc>
          <w:tcPr>
            <w:tcW w:w="4334" w:type="dxa"/>
            <w:gridSpan w:val="4"/>
            <w:tcBorders>
              <w:top w:val="nil"/>
              <w:left w:val="nil"/>
              <w:bottom w:val="single" w:sz="4" w:space="0" w:color="FFFFFF"/>
              <w:right w:val="single" w:sz="4" w:space="0" w:color="FFFFFF"/>
            </w:tcBorders>
            <w:shd w:val="clear" w:color="000000" w:fill="AF272F"/>
            <w:vAlign w:val="center"/>
            <w:hideMark/>
          </w:tcPr>
          <w:p w14:paraId="396ECCA9"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Fair value measurement at end of reporting period using:</w:t>
            </w:r>
          </w:p>
        </w:tc>
      </w:tr>
      <w:bookmarkEnd w:id="1728"/>
      <w:tr w:rsidR="00F1540A" w:rsidRPr="005734B8" w14:paraId="67B4846B" w14:textId="77777777" w:rsidTr="00425184">
        <w:trPr>
          <w:trHeight w:val="1200"/>
        </w:trPr>
        <w:tc>
          <w:tcPr>
            <w:tcW w:w="3291" w:type="dxa"/>
            <w:tcBorders>
              <w:top w:val="nil"/>
              <w:left w:val="single" w:sz="4" w:space="0" w:color="FFFFFF"/>
              <w:bottom w:val="single" w:sz="4" w:space="0" w:color="FFFFFF"/>
              <w:right w:val="single" w:sz="4" w:space="0" w:color="FFFFFF"/>
            </w:tcBorders>
            <w:shd w:val="clear" w:color="000000" w:fill="AF272F"/>
            <w:hideMark/>
          </w:tcPr>
          <w:p w14:paraId="3CC9029F" w14:textId="77777777" w:rsidR="00F1540A" w:rsidRPr="005734B8" w:rsidRDefault="00F1540A" w:rsidP="000F48B1">
            <w:pPr>
              <w:rPr>
                <w:rFonts w:ascii="Calibri" w:hAnsi="Calibri" w:cs="Calibri"/>
                <w:b/>
                <w:color w:val="FFFFFF"/>
                <w:sz w:val="18"/>
                <w:szCs w:val="18"/>
              </w:rPr>
            </w:pPr>
            <w:r w:rsidRPr="005734B8">
              <w:rPr>
                <w:rFonts w:ascii="Calibri" w:hAnsi="Calibri" w:cs="Calibri"/>
                <w:b/>
                <w:color w:val="FFFFFF"/>
                <w:sz w:val="18"/>
                <w:szCs w:val="18"/>
              </w:rPr>
              <w:t>2021</w:t>
            </w:r>
          </w:p>
        </w:tc>
        <w:tc>
          <w:tcPr>
            <w:tcW w:w="1256" w:type="dxa"/>
            <w:tcBorders>
              <w:top w:val="nil"/>
              <w:left w:val="nil"/>
              <w:bottom w:val="single" w:sz="4" w:space="0" w:color="auto"/>
              <w:right w:val="single" w:sz="4" w:space="0" w:color="FFFFFF"/>
            </w:tcBorders>
            <w:shd w:val="clear" w:color="000000" w:fill="AF272F"/>
            <w:hideMark/>
          </w:tcPr>
          <w:p w14:paraId="06766DE6"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Carrying amount as at 30 June 2021 ($m)</w:t>
            </w:r>
          </w:p>
        </w:tc>
        <w:tc>
          <w:tcPr>
            <w:tcW w:w="951" w:type="dxa"/>
            <w:tcBorders>
              <w:top w:val="nil"/>
              <w:left w:val="nil"/>
              <w:bottom w:val="single" w:sz="4" w:space="0" w:color="auto"/>
              <w:right w:val="single" w:sz="4" w:space="0" w:color="FFFFFF"/>
            </w:tcBorders>
            <w:shd w:val="clear" w:color="000000" w:fill="AF272F"/>
            <w:hideMark/>
          </w:tcPr>
          <w:p w14:paraId="0862C5C2"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Level 1 ($m)</w:t>
            </w:r>
          </w:p>
        </w:tc>
        <w:tc>
          <w:tcPr>
            <w:tcW w:w="1033" w:type="dxa"/>
            <w:tcBorders>
              <w:top w:val="nil"/>
              <w:left w:val="nil"/>
              <w:bottom w:val="single" w:sz="4" w:space="0" w:color="auto"/>
              <w:right w:val="single" w:sz="4" w:space="0" w:color="FFFFFF"/>
            </w:tcBorders>
            <w:shd w:val="clear" w:color="000000" w:fill="AF272F"/>
            <w:hideMark/>
          </w:tcPr>
          <w:p w14:paraId="5049559A"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Level 2 ($m)</w:t>
            </w:r>
          </w:p>
        </w:tc>
        <w:tc>
          <w:tcPr>
            <w:tcW w:w="1094" w:type="dxa"/>
            <w:tcBorders>
              <w:top w:val="nil"/>
              <w:left w:val="nil"/>
              <w:bottom w:val="single" w:sz="4" w:space="0" w:color="auto"/>
              <w:right w:val="single" w:sz="4" w:space="0" w:color="FFFFFF"/>
            </w:tcBorders>
            <w:shd w:val="clear" w:color="000000" w:fill="AF272F"/>
            <w:hideMark/>
          </w:tcPr>
          <w:p w14:paraId="2865E2A4"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Level 3 ($m)</w:t>
            </w:r>
          </w:p>
        </w:tc>
      </w:tr>
      <w:tr w:rsidR="00F1540A" w:rsidRPr="005734B8" w14:paraId="5DD42B84" w14:textId="77777777" w:rsidTr="00425184">
        <w:trPr>
          <w:trHeight w:val="255"/>
        </w:trPr>
        <w:tc>
          <w:tcPr>
            <w:tcW w:w="3291"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1348EAB8"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Land at fair value</w:t>
            </w:r>
          </w:p>
        </w:tc>
        <w:tc>
          <w:tcPr>
            <w:tcW w:w="1256" w:type="dxa"/>
            <w:tcBorders>
              <w:top w:val="nil"/>
              <w:left w:val="nil"/>
              <w:bottom w:val="single" w:sz="4" w:space="0" w:color="auto"/>
              <w:right w:val="single" w:sz="4" w:space="0" w:color="FFFFFF"/>
            </w:tcBorders>
            <w:shd w:val="clear" w:color="000000" w:fill="D9D9D9"/>
            <w:vAlign w:val="bottom"/>
            <w:hideMark/>
          </w:tcPr>
          <w:p w14:paraId="6F615342"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951" w:type="dxa"/>
            <w:tcBorders>
              <w:top w:val="nil"/>
              <w:left w:val="nil"/>
              <w:bottom w:val="single" w:sz="4" w:space="0" w:color="auto"/>
              <w:right w:val="single" w:sz="4" w:space="0" w:color="FFFFFF"/>
            </w:tcBorders>
            <w:shd w:val="clear" w:color="000000" w:fill="D9D9D9"/>
            <w:vAlign w:val="bottom"/>
            <w:hideMark/>
          </w:tcPr>
          <w:p w14:paraId="03C3F095"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033" w:type="dxa"/>
            <w:tcBorders>
              <w:top w:val="nil"/>
              <w:left w:val="nil"/>
              <w:bottom w:val="single" w:sz="4" w:space="0" w:color="auto"/>
              <w:right w:val="single" w:sz="4" w:space="0" w:color="FFFFFF"/>
            </w:tcBorders>
            <w:shd w:val="clear" w:color="000000" w:fill="D9D9D9"/>
            <w:vAlign w:val="bottom"/>
            <w:hideMark/>
          </w:tcPr>
          <w:p w14:paraId="0EF1434C"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094" w:type="dxa"/>
            <w:tcBorders>
              <w:top w:val="nil"/>
              <w:left w:val="nil"/>
              <w:bottom w:val="single" w:sz="4" w:space="0" w:color="auto"/>
              <w:right w:val="single" w:sz="4" w:space="0" w:color="FFFFFF"/>
            </w:tcBorders>
            <w:shd w:val="clear" w:color="000000" w:fill="D9D9D9"/>
            <w:vAlign w:val="bottom"/>
            <w:hideMark/>
          </w:tcPr>
          <w:p w14:paraId="58AF72CE"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4D288D5E" w14:textId="77777777" w:rsidTr="00425184">
        <w:trPr>
          <w:trHeight w:val="270"/>
        </w:trPr>
        <w:tc>
          <w:tcPr>
            <w:tcW w:w="3291" w:type="dxa"/>
            <w:tcBorders>
              <w:top w:val="nil"/>
              <w:left w:val="nil"/>
              <w:bottom w:val="single" w:sz="4" w:space="0" w:color="auto"/>
              <w:right w:val="nil"/>
            </w:tcBorders>
            <w:shd w:val="clear" w:color="FFFFFF" w:fill="FFFFFF"/>
            <w:vAlign w:val="center"/>
            <w:hideMark/>
          </w:tcPr>
          <w:p w14:paraId="2F964943"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Land</w:t>
            </w:r>
          </w:p>
        </w:tc>
        <w:tc>
          <w:tcPr>
            <w:tcW w:w="1256" w:type="dxa"/>
            <w:tcBorders>
              <w:top w:val="nil"/>
              <w:left w:val="single" w:sz="4" w:space="0" w:color="FFFFFF"/>
              <w:bottom w:val="single" w:sz="4" w:space="0" w:color="auto"/>
              <w:right w:val="single" w:sz="4" w:space="0" w:color="FFFFFF"/>
            </w:tcBorders>
            <w:shd w:val="clear" w:color="FFFFFF" w:fill="FFFFFF"/>
            <w:noWrap/>
            <w:vAlign w:val="center"/>
            <w:hideMark/>
          </w:tcPr>
          <w:p w14:paraId="33854EC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13,856.5 </w:t>
            </w:r>
          </w:p>
        </w:tc>
        <w:tc>
          <w:tcPr>
            <w:tcW w:w="951" w:type="dxa"/>
            <w:tcBorders>
              <w:top w:val="nil"/>
              <w:left w:val="nil"/>
              <w:bottom w:val="single" w:sz="4" w:space="0" w:color="auto"/>
              <w:right w:val="single" w:sz="4" w:space="0" w:color="FFFFFF"/>
            </w:tcBorders>
            <w:shd w:val="clear" w:color="FFFFFF" w:fill="FFFFFF"/>
            <w:noWrap/>
            <w:vAlign w:val="center"/>
            <w:hideMark/>
          </w:tcPr>
          <w:p w14:paraId="1C2D08E8" w14:textId="3CBB3CC8"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1033" w:type="dxa"/>
            <w:tcBorders>
              <w:top w:val="nil"/>
              <w:left w:val="nil"/>
              <w:bottom w:val="single" w:sz="4" w:space="0" w:color="auto"/>
              <w:right w:val="single" w:sz="4" w:space="0" w:color="FFFFFF"/>
            </w:tcBorders>
            <w:shd w:val="clear" w:color="FFFFFF" w:fill="FFFFFF"/>
            <w:noWrap/>
            <w:vAlign w:val="center"/>
            <w:hideMark/>
          </w:tcPr>
          <w:p w14:paraId="06BB7E7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1,274.6 </w:t>
            </w:r>
          </w:p>
        </w:tc>
        <w:tc>
          <w:tcPr>
            <w:tcW w:w="1094" w:type="dxa"/>
            <w:tcBorders>
              <w:top w:val="nil"/>
              <w:left w:val="nil"/>
              <w:bottom w:val="single" w:sz="4" w:space="0" w:color="auto"/>
              <w:right w:val="single" w:sz="4" w:space="0" w:color="FFFFFF"/>
            </w:tcBorders>
            <w:shd w:val="clear" w:color="FFFFFF" w:fill="FFFFFF"/>
            <w:noWrap/>
            <w:vAlign w:val="center"/>
            <w:hideMark/>
          </w:tcPr>
          <w:p w14:paraId="61EFF22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12,581.9 </w:t>
            </w:r>
          </w:p>
        </w:tc>
      </w:tr>
      <w:tr w:rsidR="00F1540A" w:rsidRPr="005734B8" w14:paraId="0FEA966A" w14:textId="77777777" w:rsidTr="00425184">
        <w:trPr>
          <w:trHeight w:val="285"/>
        </w:trPr>
        <w:tc>
          <w:tcPr>
            <w:tcW w:w="329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27C41D86"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land at fair value</w:t>
            </w:r>
          </w:p>
        </w:tc>
        <w:tc>
          <w:tcPr>
            <w:tcW w:w="1256" w:type="dxa"/>
            <w:tcBorders>
              <w:top w:val="single" w:sz="12" w:space="0" w:color="auto"/>
              <w:left w:val="nil"/>
              <w:bottom w:val="single" w:sz="12" w:space="0" w:color="auto"/>
              <w:right w:val="single" w:sz="12" w:space="0" w:color="FFFFFF"/>
            </w:tcBorders>
            <w:shd w:val="clear" w:color="FFFFFF" w:fill="FFFFFF"/>
            <w:noWrap/>
            <w:vAlign w:val="center"/>
            <w:hideMark/>
          </w:tcPr>
          <w:p w14:paraId="29AD775F"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13,856.5 </w:t>
            </w:r>
          </w:p>
        </w:tc>
        <w:tc>
          <w:tcPr>
            <w:tcW w:w="951" w:type="dxa"/>
            <w:tcBorders>
              <w:top w:val="single" w:sz="12" w:space="0" w:color="auto"/>
              <w:left w:val="nil"/>
              <w:bottom w:val="single" w:sz="12" w:space="0" w:color="auto"/>
              <w:right w:val="single" w:sz="12" w:space="0" w:color="FFFFFF"/>
            </w:tcBorders>
            <w:shd w:val="clear" w:color="FFFFFF" w:fill="FFFFFF"/>
            <w:noWrap/>
            <w:vAlign w:val="center"/>
            <w:hideMark/>
          </w:tcPr>
          <w:p w14:paraId="7EC93B3E" w14:textId="0222AB95" w:rsidR="00F1540A" w:rsidRPr="005734B8" w:rsidRDefault="002653E2" w:rsidP="000F48B1">
            <w:pPr>
              <w:jc w:val="right"/>
              <w:rPr>
                <w:rFonts w:ascii="Calibri" w:hAnsi="Calibri" w:cs="Calibri"/>
                <w:b/>
                <w:sz w:val="18"/>
                <w:szCs w:val="18"/>
              </w:rPr>
            </w:pPr>
            <w:r w:rsidRPr="005734B8">
              <w:rPr>
                <w:rFonts w:ascii="Calibri" w:hAnsi="Calibri" w:cs="Calibri"/>
                <w:sz w:val="18"/>
                <w:szCs w:val="18"/>
              </w:rPr>
              <w:t>–</w:t>
            </w:r>
          </w:p>
        </w:tc>
        <w:tc>
          <w:tcPr>
            <w:tcW w:w="1033" w:type="dxa"/>
            <w:tcBorders>
              <w:top w:val="single" w:sz="12" w:space="0" w:color="auto"/>
              <w:left w:val="nil"/>
              <w:bottom w:val="single" w:sz="12" w:space="0" w:color="auto"/>
              <w:right w:val="single" w:sz="12" w:space="0" w:color="FFFFFF"/>
            </w:tcBorders>
            <w:shd w:val="clear" w:color="FFFFFF" w:fill="FFFFFF"/>
            <w:noWrap/>
            <w:vAlign w:val="center"/>
            <w:hideMark/>
          </w:tcPr>
          <w:p w14:paraId="08F2C186"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1,274.6 </w:t>
            </w:r>
          </w:p>
        </w:tc>
        <w:tc>
          <w:tcPr>
            <w:tcW w:w="1094" w:type="dxa"/>
            <w:tcBorders>
              <w:top w:val="single" w:sz="12" w:space="0" w:color="auto"/>
              <w:left w:val="nil"/>
              <w:bottom w:val="single" w:sz="12" w:space="0" w:color="auto"/>
              <w:right w:val="single" w:sz="12" w:space="0" w:color="FFFFFF"/>
            </w:tcBorders>
            <w:shd w:val="clear" w:color="FFFFFF" w:fill="FFFFFF"/>
            <w:noWrap/>
            <w:vAlign w:val="center"/>
            <w:hideMark/>
          </w:tcPr>
          <w:p w14:paraId="63F6D8D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12,581.9 </w:t>
            </w:r>
          </w:p>
        </w:tc>
      </w:tr>
      <w:tr w:rsidR="00F1540A" w:rsidRPr="005734B8" w14:paraId="23DD8A4D" w14:textId="77777777" w:rsidTr="002653E2">
        <w:trPr>
          <w:trHeight w:val="270"/>
        </w:trPr>
        <w:tc>
          <w:tcPr>
            <w:tcW w:w="3291"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35992B36"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Buildings at fair value</w:t>
            </w:r>
          </w:p>
        </w:tc>
        <w:tc>
          <w:tcPr>
            <w:tcW w:w="1256" w:type="dxa"/>
            <w:tcBorders>
              <w:top w:val="single" w:sz="4" w:space="0" w:color="auto"/>
              <w:left w:val="nil"/>
              <w:bottom w:val="single" w:sz="4" w:space="0" w:color="auto"/>
              <w:right w:val="single" w:sz="4" w:space="0" w:color="FFFFFF"/>
            </w:tcBorders>
            <w:shd w:val="clear" w:color="000000" w:fill="D9D9D9"/>
            <w:vAlign w:val="bottom"/>
            <w:hideMark/>
          </w:tcPr>
          <w:p w14:paraId="501B9421"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951" w:type="dxa"/>
            <w:tcBorders>
              <w:top w:val="single" w:sz="4" w:space="0" w:color="auto"/>
              <w:left w:val="nil"/>
              <w:bottom w:val="single" w:sz="4" w:space="0" w:color="auto"/>
              <w:right w:val="single" w:sz="4" w:space="0" w:color="FFFFFF"/>
            </w:tcBorders>
            <w:shd w:val="clear" w:color="000000" w:fill="D9D9D9"/>
            <w:vAlign w:val="center"/>
            <w:hideMark/>
          </w:tcPr>
          <w:p w14:paraId="4D0E83D7" w14:textId="77777777" w:rsidR="00F1540A" w:rsidRPr="005734B8" w:rsidRDefault="00F1540A" w:rsidP="002653E2">
            <w:pPr>
              <w:jc w:val="right"/>
              <w:rPr>
                <w:rFonts w:ascii="Calibri" w:hAnsi="Calibri" w:cs="Calibri"/>
                <w:b/>
                <w:sz w:val="18"/>
                <w:szCs w:val="18"/>
              </w:rPr>
            </w:pPr>
            <w:r w:rsidRPr="005734B8">
              <w:rPr>
                <w:rFonts w:ascii="Calibri" w:hAnsi="Calibri" w:cs="Calibri"/>
                <w:b/>
                <w:sz w:val="18"/>
                <w:szCs w:val="18"/>
              </w:rPr>
              <w:t> </w:t>
            </w:r>
          </w:p>
        </w:tc>
        <w:tc>
          <w:tcPr>
            <w:tcW w:w="1033" w:type="dxa"/>
            <w:tcBorders>
              <w:top w:val="single" w:sz="4" w:space="0" w:color="auto"/>
              <w:left w:val="nil"/>
              <w:bottom w:val="single" w:sz="4" w:space="0" w:color="auto"/>
              <w:right w:val="single" w:sz="4" w:space="0" w:color="FFFFFF"/>
            </w:tcBorders>
            <w:shd w:val="clear" w:color="000000" w:fill="D9D9D9"/>
            <w:vAlign w:val="center"/>
            <w:hideMark/>
          </w:tcPr>
          <w:p w14:paraId="40E49E61" w14:textId="77777777" w:rsidR="00F1540A" w:rsidRPr="005734B8" w:rsidRDefault="00F1540A" w:rsidP="002653E2">
            <w:pPr>
              <w:jc w:val="right"/>
              <w:rPr>
                <w:rFonts w:ascii="Calibri" w:hAnsi="Calibri" w:cs="Calibri"/>
                <w:b/>
                <w:sz w:val="18"/>
                <w:szCs w:val="18"/>
              </w:rPr>
            </w:pPr>
            <w:r w:rsidRPr="005734B8">
              <w:rPr>
                <w:rFonts w:ascii="Calibri" w:hAnsi="Calibri" w:cs="Calibri"/>
                <w:b/>
                <w:sz w:val="18"/>
                <w:szCs w:val="18"/>
              </w:rPr>
              <w:t> </w:t>
            </w:r>
          </w:p>
        </w:tc>
        <w:tc>
          <w:tcPr>
            <w:tcW w:w="1094" w:type="dxa"/>
            <w:tcBorders>
              <w:top w:val="single" w:sz="4" w:space="0" w:color="auto"/>
              <w:left w:val="nil"/>
              <w:bottom w:val="single" w:sz="4" w:space="0" w:color="auto"/>
              <w:right w:val="single" w:sz="4" w:space="0" w:color="FFFFFF"/>
            </w:tcBorders>
            <w:shd w:val="clear" w:color="000000" w:fill="D9D9D9"/>
            <w:vAlign w:val="bottom"/>
            <w:hideMark/>
          </w:tcPr>
          <w:p w14:paraId="1D9CCFD3"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4B5CA320" w14:textId="77777777" w:rsidTr="00425184">
        <w:trPr>
          <w:trHeight w:val="270"/>
        </w:trPr>
        <w:tc>
          <w:tcPr>
            <w:tcW w:w="3291" w:type="dxa"/>
            <w:tcBorders>
              <w:top w:val="nil"/>
              <w:left w:val="nil"/>
              <w:bottom w:val="single" w:sz="4" w:space="0" w:color="auto"/>
              <w:right w:val="nil"/>
            </w:tcBorders>
            <w:shd w:val="clear" w:color="FFFFFF" w:fill="FFFFFF"/>
            <w:vAlign w:val="center"/>
            <w:hideMark/>
          </w:tcPr>
          <w:p w14:paraId="050F6BBE"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Buildings</w:t>
            </w:r>
          </w:p>
        </w:tc>
        <w:tc>
          <w:tcPr>
            <w:tcW w:w="1256" w:type="dxa"/>
            <w:tcBorders>
              <w:top w:val="nil"/>
              <w:left w:val="single" w:sz="4" w:space="0" w:color="FFFFFF"/>
              <w:bottom w:val="single" w:sz="4" w:space="0" w:color="auto"/>
              <w:right w:val="single" w:sz="4" w:space="0" w:color="FFFFFF"/>
            </w:tcBorders>
            <w:shd w:val="clear" w:color="FFFFFF" w:fill="FFFFFF"/>
            <w:noWrap/>
            <w:vAlign w:val="center"/>
            <w:hideMark/>
          </w:tcPr>
          <w:p w14:paraId="3BA4FB3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13,112.4 </w:t>
            </w:r>
          </w:p>
        </w:tc>
        <w:tc>
          <w:tcPr>
            <w:tcW w:w="951" w:type="dxa"/>
            <w:tcBorders>
              <w:top w:val="nil"/>
              <w:left w:val="nil"/>
              <w:bottom w:val="single" w:sz="4" w:space="0" w:color="auto"/>
              <w:right w:val="single" w:sz="4" w:space="0" w:color="FFFFFF"/>
            </w:tcBorders>
            <w:shd w:val="clear" w:color="FFFFFF" w:fill="FFFFFF"/>
            <w:noWrap/>
            <w:vAlign w:val="center"/>
            <w:hideMark/>
          </w:tcPr>
          <w:p w14:paraId="43473B3C" w14:textId="229E6659"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1033" w:type="dxa"/>
            <w:tcBorders>
              <w:top w:val="nil"/>
              <w:left w:val="nil"/>
              <w:bottom w:val="single" w:sz="4" w:space="0" w:color="auto"/>
              <w:right w:val="single" w:sz="4" w:space="0" w:color="FFFFFF"/>
            </w:tcBorders>
            <w:shd w:val="clear" w:color="FFFFFF" w:fill="FFFFFF"/>
            <w:noWrap/>
            <w:vAlign w:val="center"/>
            <w:hideMark/>
          </w:tcPr>
          <w:p w14:paraId="1EB8521A" w14:textId="65CF2B90"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1094" w:type="dxa"/>
            <w:tcBorders>
              <w:top w:val="nil"/>
              <w:left w:val="nil"/>
              <w:bottom w:val="single" w:sz="4" w:space="0" w:color="auto"/>
              <w:right w:val="single" w:sz="4" w:space="0" w:color="FFFFFF"/>
            </w:tcBorders>
            <w:shd w:val="clear" w:color="FFFFFF" w:fill="FFFFFF"/>
            <w:noWrap/>
            <w:vAlign w:val="center"/>
            <w:hideMark/>
          </w:tcPr>
          <w:p w14:paraId="2032791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13,112.4 </w:t>
            </w:r>
          </w:p>
        </w:tc>
      </w:tr>
      <w:tr w:rsidR="00F1540A" w:rsidRPr="005734B8" w14:paraId="16B91002" w14:textId="77777777" w:rsidTr="00425184">
        <w:trPr>
          <w:trHeight w:val="285"/>
        </w:trPr>
        <w:tc>
          <w:tcPr>
            <w:tcW w:w="329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BEAE3CF"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buildings at fair value</w:t>
            </w:r>
          </w:p>
        </w:tc>
        <w:tc>
          <w:tcPr>
            <w:tcW w:w="1256" w:type="dxa"/>
            <w:tcBorders>
              <w:top w:val="single" w:sz="12" w:space="0" w:color="auto"/>
              <w:left w:val="nil"/>
              <w:bottom w:val="single" w:sz="12" w:space="0" w:color="auto"/>
              <w:right w:val="single" w:sz="12" w:space="0" w:color="FFFFFF"/>
            </w:tcBorders>
            <w:shd w:val="clear" w:color="FFFFFF" w:fill="FFFFFF"/>
            <w:noWrap/>
            <w:vAlign w:val="center"/>
            <w:hideMark/>
          </w:tcPr>
          <w:p w14:paraId="3D32463B"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13,112.4 </w:t>
            </w:r>
          </w:p>
        </w:tc>
        <w:tc>
          <w:tcPr>
            <w:tcW w:w="951" w:type="dxa"/>
            <w:tcBorders>
              <w:top w:val="single" w:sz="12" w:space="0" w:color="auto"/>
              <w:left w:val="nil"/>
              <w:bottom w:val="single" w:sz="12" w:space="0" w:color="auto"/>
              <w:right w:val="single" w:sz="12" w:space="0" w:color="FFFFFF"/>
            </w:tcBorders>
            <w:shd w:val="clear" w:color="FFFFFF" w:fill="FFFFFF"/>
            <w:noWrap/>
            <w:vAlign w:val="center"/>
            <w:hideMark/>
          </w:tcPr>
          <w:p w14:paraId="4CBD0A98" w14:textId="1001340E"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1033" w:type="dxa"/>
            <w:tcBorders>
              <w:top w:val="single" w:sz="12" w:space="0" w:color="auto"/>
              <w:left w:val="nil"/>
              <w:bottom w:val="single" w:sz="12" w:space="0" w:color="auto"/>
              <w:right w:val="single" w:sz="12" w:space="0" w:color="FFFFFF"/>
            </w:tcBorders>
            <w:shd w:val="clear" w:color="FFFFFF" w:fill="FFFFFF"/>
            <w:noWrap/>
            <w:vAlign w:val="center"/>
            <w:hideMark/>
          </w:tcPr>
          <w:p w14:paraId="0B4C35CD" w14:textId="0EA5F0EC"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1094" w:type="dxa"/>
            <w:tcBorders>
              <w:top w:val="single" w:sz="12" w:space="0" w:color="auto"/>
              <w:left w:val="nil"/>
              <w:bottom w:val="single" w:sz="12" w:space="0" w:color="auto"/>
              <w:right w:val="single" w:sz="12" w:space="0" w:color="FFFFFF"/>
            </w:tcBorders>
            <w:shd w:val="clear" w:color="FFFFFF" w:fill="FFFFFF"/>
            <w:noWrap/>
            <w:vAlign w:val="center"/>
            <w:hideMark/>
          </w:tcPr>
          <w:p w14:paraId="05B89F04"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13,112.4 </w:t>
            </w:r>
          </w:p>
        </w:tc>
      </w:tr>
      <w:tr w:rsidR="00F1540A" w:rsidRPr="005734B8" w14:paraId="2A91B6B8" w14:textId="77777777" w:rsidTr="002653E2">
        <w:trPr>
          <w:trHeight w:val="270"/>
        </w:trPr>
        <w:tc>
          <w:tcPr>
            <w:tcW w:w="3291"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54A7CF01"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xml:space="preserve">Heritage buildings at fair value </w:t>
            </w:r>
          </w:p>
        </w:tc>
        <w:tc>
          <w:tcPr>
            <w:tcW w:w="1256" w:type="dxa"/>
            <w:tcBorders>
              <w:top w:val="single" w:sz="4" w:space="0" w:color="auto"/>
              <w:left w:val="nil"/>
              <w:bottom w:val="single" w:sz="4" w:space="0" w:color="auto"/>
              <w:right w:val="single" w:sz="4" w:space="0" w:color="FFFFFF"/>
            </w:tcBorders>
            <w:shd w:val="clear" w:color="000000" w:fill="D9D9D9"/>
            <w:vAlign w:val="bottom"/>
            <w:hideMark/>
          </w:tcPr>
          <w:p w14:paraId="44BD2EA2"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951" w:type="dxa"/>
            <w:tcBorders>
              <w:top w:val="single" w:sz="4" w:space="0" w:color="auto"/>
              <w:left w:val="nil"/>
              <w:bottom w:val="single" w:sz="4" w:space="0" w:color="auto"/>
              <w:right w:val="single" w:sz="4" w:space="0" w:color="FFFFFF"/>
            </w:tcBorders>
            <w:shd w:val="clear" w:color="000000" w:fill="D9D9D9"/>
            <w:vAlign w:val="center"/>
            <w:hideMark/>
          </w:tcPr>
          <w:p w14:paraId="28B2CB74" w14:textId="77777777" w:rsidR="00F1540A" w:rsidRPr="005734B8" w:rsidRDefault="00F1540A" w:rsidP="002653E2">
            <w:pPr>
              <w:jc w:val="right"/>
              <w:rPr>
                <w:rFonts w:ascii="Calibri" w:hAnsi="Calibri" w:cs="Calibri"/>
                <w:b/>
                <w:sz w:val="18"/>
                <w:szCs w:val="18"/>
              </w:rPr>
            </w:pPr>
            <w:r w:rsidRPr="005734B8">
              <w:rPr>
                <w:rFonts w:ascii="Calibri" w:hAnsi="Calibri" w:cs="Calibri"/>
                <w:b/>
                <w:sz w:val="18"/>
                <w:szCs w:val="18"/>
              </w:rPr>
              <w:t> </w:t>
            </w:r>
          </w:p>
        </w:tc>
        <w:tc>
          <w:tcPr>
            <w:tcW w:w="1033" w:type="dxa"/>
            <w:tcBorders>
              <w:top w:val="single" w:sz="4" w:space="0" w:color="auto"/>
              <w:left w:val="nil"/>
              <w:bottom w:val="single" w:sz="4" w:space="0" w:color="auto"/>
              <w:right w:val="single" w:sz="4" w:space="0" w:color="FFFFFF"/>
            </w:tcBorders>
            <w:shd w:val="clear" w:color="000000" w:fill="D9D9D9"/>
            <w:vAlign w:val="center"/>
            <w:hideMark/>
          </w:tcPr>
          <w:p w14:paraId="6E33E95E" w14:textId="77777777" w:rsidR="00F1540A" w:rsidRPr="005734B8" w:rsidRDefault="00F1540A" w:rsidP="002653E2">
            <w:pPr>
              <w:jc w:val="right"/>
              <w:rPr>
                <w:rFonts w:ascii="Calibri" w:hAnsi="Calibri" w:cs="Calibri"/>
                <w:b/>
                <w:sz w:val="18"/>
                <w:szCs w:val="18"/>
              </w:rPr>
            </w:pPr>
            <w:r w:rsidRPr="005734B8">
              <w:rPr>
                <w:rFonts w:ascii="Calibri" w:hAnsi="Calibri" w:cs="Calibri"/>
                <w:b/>
                <w:sz w:val="18"/>
                <w:szCs w:val="18"/>
              </w:rPr>
              <w:t> </w:t>
            </w:r>
          </w:p>
        </w:tc>
        <w:tc>
          <w:tcPr>
            <w:tcW w:w="1094" w:type="dxa"/>
            <w:tcBorders>
              <w:top w:val="single" w:sz="4" w:space="0" w:color="auto"/>
              <w:left w:val="nil"/>
              <w:bottom w:val="single" w:sz="4" w:space="0" w:color="auto"/>
              <w:right w:val="single" w:sz="4" w:space="0" w:color="FFFFFF"/>
            </w:tcBorders>
            <w:shd w:val="clear" w:color="000000" w:fill="D9D9D9"/>
            <w:vAlign w:val="bottom"/>
            <w:hideMark/>
          </w:tcPr>
          <w:p w14:paraId="588CBF3F"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5C9311D0" w14:textId="77777777" w:rsidTr="00425184">
        <w:trPr>
          <w:trHeight w:val="270"/>
        </w:trPr>
        <w:tc>
          <w:tcPr>
            <w:tcW w:w="3291" w:type="dxa"/>
            <w:tcBorders>
              <w:top w:val="nil"/>
              <w:left w:val="nil"/>
              <w:bottom w:val="single" w:sz="4" w:space="0" w:color="auto"/>
              <w:right w:val="nil"/>
            </w:tcBorders>
            <w:shd w:val="clear" w:color="FFFFFF" w:fill="FFFFFF"/>
            <w:vAlign w:val="center"/>
            <w:hideMark/>
          </w:tcPr>
          <w:p w14:paraId="331B7AB9"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Heritage buildings</w:t>
            </w:r>
          </w:p>
        </w:tc>
        <w:tc>
          <w:tcPr>
            <w:tcW w:w="1256" w:type="dxa"/>
            <w:tcBorders>
              <w:top w:val="nil"/>
              <w:left w:val="single" w:sz="4" w:space="0" w:color="FFFFFF"/>
              <w:bottom w:val="single" w:sz="4" w:space="0" w:color="auto"/>
              <w:right w:val="single" w:sz="4" w:space="0" w:color="FFFFFF"/>
            </w:tcBorders>
            <w:shd w:val="clear" w:color="FFFFFF" w:fill="FFFFFF"/>
            <w:noWrap/>
            <w:vAlign w:val="center"/>
            <w:hideMark/>
          </w:tcPr>
          <w:p w14:paraId="403FE8C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92.5 </w:t>
            </w:r>
          </w:p>
        </w:tc>
        <w:tc>
          <w:tcPr>
            <w:tcW w:w="951" w:type="dxa"/>
            <w:tcBorders>
              <w:top w:val="nil"/>
              <w:left w:val="nil"/>
              <w:bottom w:val="single" w:sz="4" w:space="0" w:color="auto"/>
              <w:right w:val="single" w:sz="4" w:space="0" w:color="FFFFFF"/>
            </w:tcBorders>
            <w:shd w:val="clear" w:color="FFFFFF" w:fill="FFFFFF"/>
            <w:noWrap/>
            <w:vAlign w:val="center"/>
            <w:hideMark/>
          </w:tcPr>
          <w:p w14:paraId="6ED28890" w14:textId="6E34000D"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1033" w:type="dxa"/>
            <w:tcBorders>
              <w:top w:val="nil"/>
              <w:left w:val="nil"/>
              <w:bottom w:val="single" w:sz="4" w:space="0" w:color="auto"/>
              <w:right w:val="single" w:sz="4" w:space="0" w:color="FFFFFF"/>
            </w:tcBorders>
            <w:shd w:val="clear" w:color="FFFFFF" w:fill="FFFFFF"/>
            <w:noWrap/>
            <w:vAlign w:val="center"/>
            <w:hideMark/>
          </w:tcPr>
          <w:p w14:paraId="1DCDEDD5" w14:textId="05262949"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1094" w:type="dxa"/>
            <w:tcBorders>
              <w:top w:val="nil"/>
              <w:left w:val="nil"/>
              <w:bottom w:val="single" w:sz="4" w:space="0" w:color="auto"/>
              <w:right w:val="single" w:sz="4" w:space="0" w:color="FFFFFF"/>
            </w:tcBorders>
            <w:shd w:val="clear" w:color="FFFFFF" w:fill="FFFFFF"/>
            <w:noWrap/>
            <w:vAlign w:val="center"/>
            <w:hideMark/>
          </w:tcPr>
          <w:p w14:paraId="0029BF0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92.5 </w:t>
            </w:r>
          </w:p>
        </w:tc>
      </w:tr>
      <w:tr w:rsidR="00F1540A" w:rsidRPr="005734B8" w14:paraId="4A648099" w14:textId="77777777" w:rsidTr="00425184">
        <w:trPr>
          <w:trHeight w:val="285"/>
        </w:trPr>
        <w:tc>
          <w:tcPr>
            <w:tcW w:w="329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111F4C55"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heritage buildings at fair value</w:t>
            </w:r>
          </w:p>
        </w:tc>
        <w:tc>
          <w:tcPr>
            <w:tcW w:w="1256" w:type="dxa"/>
            <w:tcBorders>
              <w:top w:val="single" w:sz="12" w:space="0" w:color="auto"/>
              <w:left w:val="nil"/>
              <w:bottom w:val="single" w:sz="12" w:space="0" w:color="auto"/>
              <w:right w:val="single" w:sz="12" w:space="0" w:color="FFFFFF"/>
            </w:tcBorders>
            <w:shd w:val="clear" w:color="FFFFFF" w:fill="FFFFFF"/>
            <w:noWrap/>
            <w:vAlign w:val="center"/>
            <w:hideMark/>
          </w:tcPr>
          <w:p w14:paraId="78C00CBA"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92.5 </w:t>
            </w:r>
          </w:p>
        </w:tc>
        <w:tc>
          <w:tcPr>
            <w:tcW w:w="951" w:type="dxa"/>
            <w:tcBorders>
              <w:top w:val="single" w:sz="12" w:space="0" w:color="auto"/>
              <w:left w:val="nil"/>
              <w:bottom w:val="single" w:sz="12" w:space="0" w:color="auto"/>
              <w:right w:val="single" w:sz="12" w:space="0" w:color="FFFFFF"/>
            </w:tcBorders>
            <w:shd w:val="clear" w:color="FFFFFF" w:fill="FFFFFF"/>
            <w:noWrap/>
            <w:vAlign w:val="center"/>
            <w:hideMark/>
          </w:tcPr>
          <w:p w14:paraId="7AB53015" w14:textId="123601A8" w:rsidR="00F1540A" w:rsidRPr="005734B8" w:rsidRDefault="002653E2" w:rsidP="000F48B1">
            <w:pPr>
              <w:jc w:val="right"/>
              <w:rPr>
                <w:rFonts w:ascii="Calibri" w:hAnsi="Calibri" w:cs="Calibri"/>
                <w:b/>
                <w:sz w:val="18"/>
                <w:szCs w:val="18"/>
              </w:rPr>
            </w:pPr>
            <w:r w:rsidRPr="005734B8">
              <w:rPr>
                <w:rFonts w:ascii="Calibri" w:hAnsi="Calibri" w:cs="Calibri"/>
                <w:sz w:val="18"/>
                <w:szCs w:val="18"/>
              </w:rPr>
              <w:t>–</w:t>
            </w:r>
          </w:p>
        </w:tc>
        <w:tc>
          <w:tcPr>
            <w:tcW w:w="1033" w:type="dxa"/>
            <w:tcBorders>
              <w:top w:val="single" w:sz="12" w:space="0" w:color="auto"/>
              <w:left w:val="nil"/>
              <w:bottom w:val="single" w:sz="12" w:space="0" w:color="auto"/>
              <w:right w:val="single" w:sz="12" w:space="0" w:color="FFFFFF"/>
            </w:tcBorders>
            <w:shd w:val="clear" w:color="FFFFFF" w:fill="FFFFFF"/>
            <w:noWrap/>
            <w:vAlign w:val="center"/>
            <w:hideMark/>
          </w:tcPr>
          <w:p w14:paraId="140280DB" w14:textId="42CC1518" w:rsidR="00F1540A" w:rsidRPr="005734B8" w:rsidRDefault="002653E2" w:rsidP="000F48B1">
            <w:pPr>
              <w:jc w:val="right"/>
              <w:rPr>
                <w:rFonts w:ascii="Calibri" w:hAnsi="Calibri" w:cs="Calibri"/>
                <w:b/>
                <w:sz w:val="18"/>
                <w:szCs w:val="18"/>
              </w:rPr>
            </w:pPr>
            <w:r w:rsidRPr="005734B8">
              <w:rPr>
                <w:rFonts w:ascii="Calibri" w:hAnsi="Calibri" w:cs="Calibri"/>
                <w:sz w:val="18"/>
                <w:szCs w:val="18"/>
              </w:rPr>
              <w:t>–</w:t>
            </w:r>
          </w:p>
        </w:tc>
        <w:tc>
          <w:tcPr>
            <w:tcW w:w="1094" w:type="dxa"/>
            <w:tcBorders>
              <w:top w:val="single" w:sz="12" w:space="0" w:color="auto"/>
              <w:left w:val="nil"/>
              <w:bottom w:val="single" w:sz="12" w:space="0" w:color="auto"/>
              <w:right w:val="single" w:sz="12" w:space="0" w:color="FFFFFF"/>
            </w:tcBorders>
            <w:shd w:val="clear" w:color="FFFFFF" w:fill="FFFFFF"/>
            <w:noWrap/>
            <w:vAlign w:val="center"/>
            <w:hideMark/>
          </w:tcPr>
          <w:p w14:paraId="3F160256"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92.5 </w:t>
            </w:r>
          </w:p>
        </w:tc>
      </w:tr>
      <w:tr w:rsidR="00F1540A" w:rsidRPr="005734B8" w14:paraId="39980CFD" w14:textId="77777777" w:rsidTr="002653E2">
        <w:trPr>
          <w:trHeight w:val="270"/>
        </w:trPr>
        <w:tc>
          <w:tcPr>
            <w:tcW w:w="3291"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0CA641E1"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Leasehold improvements at cost</w:t>
            </w:r>
          </w:p>
        </w:tc>
        <w:tc>
          <w:tcPr>
            <w:tcW w:w="1256" w:type="dxa"/>
            <w:tcBorders>
              <w:top w:val="single" w:sz="4" w:space="0" w:color="auto"/>
              <w:left w:val="nil"/>
              <w:bottom w:val="single" w:sz="4" w:space="0" w:color="auto"/>
              <w:right w:val="single" w:sz="4" w:space="0" w:color="FFFFFF"/>
            </w:tcBorders>
            <w:shd w:val="clear" w:color="000000" w:fill="D9D9D9"/>
            <w:vAlign w:val="bottom"/>
            <w:hideMark/>
          </w:tcPr>
          <w:p w14:paraId="613A157A"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951" w:type="dxa"/>
            <w:tcBorders>
              <w:top w:val="single" w:sz="4" w:space="0" w:color="auto"/>
              <w:left w:val="nil"/>
              <w:bottom w:val="single" w:sz="4" w:space="0" w:color="auto"/>
              <w:right w:val="single" w:sz="4" w:space="0" w:color="FFFFFF"/>
            </w:tcBorders>
            <w:shd w:val="clear" w:color="000000" w:fill="D9D9D9"/>
            <w:vAlign w:val="center"/>
            <w:hideMark/>
          </w:tcPr>
          <w:p w14:paraId="0C56C0C4" w14:textId="77777777" w:rsidR="00F1540A" w:rsidRPr="005734B8" w:rsidRDefault="00F1540A" w:rsidP="002653E2">
            <w:pPr>
              <w:jc w:val="right"/>
              <w:rPr>
                <w:rFonts w:ascii="Calibri" w:hAnsi="Calibri" w:cs="Calibri"/>
                <w:b/>
                <w:sz w:val="18"/>
                <w:szCs w:val="18"/>
              </w:rPr>
            </w:pPr>
            <w:r w:rsidRPr="005734B8">
              <w:rPr>
                <w:rFonts w:ascii="Calibri" w:hAnsi="Calibri" w:cs="Calibri"/>
                <w:b/>
                <w:sz w:val="18"/>
                <w:szCs w:val="18"/>
              </w:rPr>
              <w:t> </w:t>
            </w:r>
          </w:p>
        </w:tc>
        <w:tc>
          <w:tcPr>
            <w:tcW w:w="1033" w:type="dxa"/>
            <w:tcBorders>
              <w:top w:val="single" w:sz="4" w:space="0" w:color="auto"/>
              <w:left w:val="nil"/>
              <w:bottom w:val="single" w:sz="4" w:space="0" w:color="auto"/>
              <w:right w:val="single" w:sz="4" w:space="0" w:color="FFFFFF"/>
            </w:tcBorders>
            <w:shd w:val="clear" w:color="000000" w:fill="D9D9D9"/>
            <w:vAlign w:val="center"/>
            <w:hideMark/>
          </w:tcPr>
          <w:p w14:paraId="772DD1B4" w14:textId="77777777" w:rsidR="00F1540A" w:rsidRPr="005734B8" w:rsidRDefault="00F1540A" w:rsidP="002653E2">
            <w:pPr>
              <w:jc w:val="right"/>
              <w:rPr>
                <w:rFonts w:ascii="Calibri" w:hAnsi="Calibri" w:cs="Calibri"/>
                <w:b/>
                <w:sz w:val="18"/>
                <w:szCs w:val="18"/>
              </w:rPr>
            </w:pPr>
            <w:r w:rsidRPr="005734B8">
              <w:rPr>
                <w:rFonts w:ascii="Calibri" w:hAnsi="Calibri" w:cs="Calibri"/>
                <w:b/>
                <w:sz w:val="18"/>
                <w:szCs w:val="18"/>
              </w:rPr>
              <w:t> </w:t>
            </w:r>
          </w:p>
        </w:tc>
        <w:tc>
          <w:tcPr>
            <w:tcW w:w="1094" w:type="dxa"/>
            <w:tcBorders>
              <w:top w:val="single" w:sz="4" w:space="0" w:color="auto"/>
              <w:left w:val="nil"/>
              <w:bottom w:val="single" w:sz="4" w:space="0" w:color="auto"/>
              <w:right w:val="single" w:sz="4" w:space="0" w:color="FFFFFF"/>
            </w:tcBorders>
            <w:shd w:val="clear" w:color="000000" w:fill="D9D9D9"/>
            <w:vAlign w:val="bottom"/>
            <w:hideMark/>
          </w:tcPr>
          <w:p w14:paraId="33D2D091"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7706FC91" w14:textId="77777777" w:rsidTr="00425184">
        <w:trPr>
          <w:trHeight w:val="270"/>
        </w:trPr>
        <w:tc>
          <w:tcPr>
            <w:tcW w:w="3291" w:type="dxa"/>
            <w:tcBorders>
              <w:top w:val="nil"/>
              <w:left w:val="nil"/>
              <w:bottom w:val="single" w:sz="4" w:space="0" w:color="auto"/>
              <w:right w:val="nil"/>
            </w:tcBorders>
            <w:shd w:val="clear" w:color="FFFFFF" w:fill="FFFFFF"/>
            <w:vAlign w:val="center"/>
            <w:hideMark/>
          </w:tcPr>
          <w:p w14:paraId="1937163C"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Leasehold improvements</w:t>
            </w:r>
          </w:p>
        </w:tc>
        <w:tc>
          <w:tcPr>
            <w:tcW w:w="1256" w:type="dxa"/>
            <w:tcBorders>
              <w:top w:val="nil"/>
              <w:left w:val="single" w:sz="4" w:space="0" w:color="FFFFFF"/>
              <w:bottom w:val="single" w:sz="4" w:space="0" w:color="auto"/>
              <w:right w:val="single" w:sz="4" w:space="0" w:color="FFFFFF"/>
            </w:tcBorders>
            <w:shd w:val="clear" w:color="FFFFFF" w:fill="FFFFFF"/>
            <w:noWrap/>
            <w:vAlign w:val="center"/>
            <w:hideMark/>
          </w:tcPr>
          <w:p w14:paraId="715CCAD8"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13.3 </w:t>
            </w:r>
          </w:p>
        </w:tc>
        <w:tc>
          <w:tcPr>
            <w:tcW w:w="951" w:type="dxa"/>
            <w:tcBorders>
              <w:top w:val="nil"/>
              <w:left w:val="nil"/>
              <w:bottom w:val="single" w:sz="4" w:space="0" w:color="auto"/>
              <w:right w:val="single" w:sz="4" w:space="0" w:color="FFFFFF"/>
            </w:tcBorders>
            <w:shd w:val="clear" w:color="FFFFFF" w:fill="FFFFFF"/>
            <w:noWrap/>
            <w:vAlign w:val="center"/>
            <w:hideMark/>
          </w:tcPr>
          <w:p w14:paraId="0FDEB283" w14:textId="07021ECE"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1033" w:type="dxa"/>
            <w:tcBorders>
              <w:top w:val="nil"/>
              <w:left w:val="nil"/>
              <w:bottom w:val="single" w:sz="4" w:space="0" w:color="auto"/>
              <w:right w:val="single" w:sz="4" w:space="0" w:color="FFFFFF"/>
            </w:tcBorders>
            <w:shd w:val="clear" w:color="FFFFFF" w:fill="FFFFFF"/>
            <w:noWrap/>
            <w:vAlign w:val="center"/>
            <w:hideMark/>
          </w:tcPr>
          <w:p w14:paraId="6D7310BF" w14:textId="09F89521"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1094" w:type="dxa"/>
            <w:tcBorders>
              <w:top w:val="nil"/>
              <w:left w:val="nil"/>
              <w:bottom w:val="single" w:sz="4" w:space="0" w:color="auto"/>
              <w:right w:val="single" w:sz="4" w:space="0" w:color="FFFFFF"/>
            </w:tcBorders>
            <w:shd w:val="clear" w:color="FFFFFF" w:fill="FFFFFF"/>
            <w:noWrap/>
            <w:vAlign w:val="center"/>
            <w:hideMark/>
          </w:tcPr>
          <w:p w14:paraId="7256625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13.3 </w:t>
            </w:r>
          </w:p>
        </w:tc>
      </w:tr>
      <w:tr w:rsidR="00F1540A" w:rsidRPr="005734B8" w14:paraId="4150F8FD" w14:textId="77777777" w:rsidTr="00425184">
        <w:trPr>
          <w:trHeight w:val="510"/>
        </w:trPr>
        <w:tc>
          <w:tcPr>
            <w:tcW w:w="329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2142E99"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leasehold improvements at cost</w:t>
            </w:r>
          </w:p>
        </w:tc>
        <w:tc>
          <w:tcPr>
            <w:tcW w:w="1256" w:type="dxa"/>
            <w:tcBorders>
              <w:top w:val="single" w:sz="12" w:space="0" w:color="auto"/>
              <w:left w:val="nil"/>
              <w:bottom w:val="single" w:sz="12" w:space="0" w:color="auto"/>
              <w:right w:val="single" w:sz="12" w:space="0" w:color="FFFFFF"/>
            </w:tcBorders>
            <w:shd w:val="clear" w:color="FFFFFF" w:fill="FFFFFF"/>
            <w:noWrap/>
            <w:vAlign w:val="center"/>
            <w:hideMark/>
          </w:tcPr>
          <w:p w14:paraId="3B4CA163"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13.3 </w:t>
            </w:r>
          </w:p>
        </w:tc>
        <w:tc>
          <w:tcPr>
            <w:tcW w:w="951" w:type="dxa"/>
            <w:tcBorders>
              <w:top w:val="single" w:sz="12" w:space="0" w:color="auto"/>
              <w:left w:val="nil"/>
              <w:bottom w:val="single" w:sz="12" w:space="0" w:color="auto"/>
              <w:right w:val="single" w:sz="12" w:space="0" w:color="FFFFFF"/>
            </w:tcBorders>
            <w:shd w:val="clear" w:color="FFFFFF" w:fill="FFFFFF"/>
            <w:noWrap/>
            <w:vAlign w:val="center"/>
            <w:hideMark/>
          </w:tcPr>
          <w:p w14:paraId="05D82BD5" w14:textId="62A23B2B" w:rsidR="00F1540A" w:rsidRPr="005734B8" w:rsidRDefault="002653E2" w:rsidP="000F48B1">
            <w:pPr>
              <w:jc w:val="right"/>
              <w:rPr>
                <w:rFonts w:ascii="Calibri" w:hAnsi="Calibri" w:cs="Calibri"/>
                <w:b/>
                <w:sz w:val="18"/>
                <w:szCs w:val="18"/>
              </w:rPr>
            </w:pPr>
            <w:r w:rsidRPr="005734B8">
              <w:rPr>
                <w:rFonts w:ascii="Calibri" w:hAnsi="Calibri" w:cs="Calibri"/>
                <w:sz w:val="18"/>
                <w:szCs w:val="18"/>
              </w:rPr>
              <w:t>–</w:t>
            </w:r>
          </w:p>
        </w:tc>
        <w:tc>
          <w:tcPr>
            <w:tcW w:w="1033" w:type="dxa"/>
            <w:tcBorders>
              <w:top w:val="single" w:sz="12" w:space="0" w:color="auto"/>
              <w:left w:val="nil"/>
              <w:bottom w:val="single" w:sz="12" w:space="0" w:color="auto"/>
              <w:right w:val="single" w:sz="12" w:space="0" w:color="FFFFFF"/>
            </w:tcBorders>
            <w:shd w:val="clear" w:color="FFFFFF" w:fill="FFFFFF"/>
            <w:noWrap/>
            <w:vAlign w:val="center"/>
            <w:hideMark/>
          </w:tcPr>
          <w:p w14:paraId="51164E30" w14:textId="14FCCBDA" w:rsidR="00F1540A" w:rsidRPr="005734B8" w:rsidRDefault="002653E2" w:rsidP="000F48B1">
            <w:pPr>
              <w:jc w:val="right"/>
              <w:rPr>
                <w:rFonts w:ascii="Calibri" w:hAnsi="Calibri" w:cs="Calibri"/>
                <w:b/>
                <w:sz w:val="18"/>
                <w:szCs w:val="18"/>
              </w:rPr>
            </w:pPr>
            <w:r w:rsidRPr="005734B8">
              <w:rPr>
                <w:rFonts w:ascii="Calibri" w:hAnsi="Calibri" w:cs="Calibri"/>
                <w:sz w:val="18"/>
                <w:szCs w:val="18"/>
              </w:rPr>
              <w:t>–</w:t>
            </w:r>
          </w:p>
        </w:tc>
        <w:tc>
          <w:tcPr>
            <w:tcW w:w="1094" w:type="dxa"/>
            <w:tcBorders>
              <w:top w:val="single" w:sz="12" w:space="0" w:color="auto"/>
              <w:left w:val="nil"/>
              <w:bottom w:val="single" w:sz="12" w:space="0" w:color="auto"/>
              <w:right w:val="single" w:sz="12" w:space="0" w:color="FFFFFF"/>
            </w:tcBorders>
            <w:shd w:val="clear" w:color="FFFFFF" w:fill="FFFFFF"/>
            <w:noWrap/>
            <w:vAlign w:val="center"/>
            <w:hideMark/>
          </w:tcPr>
          <w:p w14:paraId="5FC2700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13.3 </w:t>
            </w:r>
          </w:p>
        </w:tc>
      </w:tr>
      <w:tr w:rsidR="00F1540A" w:rsidRPr="005734B8" w14:paraId="76772314" w14:textId="77777777" w:rsidTr="002653E2">
        <w:trPr>
          <w:trHeight w:val="270"/>
        </w:trPr>
        <w:tc>
          <w:tcPr>
            <w:tcW w:w="3291"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5A6CD514"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Plant and equipment at fair value</w:t>
            </w:r>
          </w:p>
        </w:tc>
        <w:tc>
          <w:tcPr>
            <w:tcW w:w="1256" w:type="dxa"/>
            <w:tcBorders>
              <w:top w:val="single" w:sz="4" w:space="0" w:color="auto"/>
              <w:left w:val="nil"/>
              <w:bottom w:val="single" w:sz="4" w:space="0" w:color="auto"/>
              <w:right w:val="single" w:sz="4" w:space="0" w:color="FFFFFF"/>
            </w:tcBorders>
            <w:shd w:val="clear" w:color="000000" w:fill="D9D9D9"/>
            <w:vAlign w:val="bottom"/>
            <w:hideMark/>
          </w:tcPr>
          <w:p w14:paraId="1C3751EF"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951" w:type="dxa"/>
            <w:tcBorders>
              <w:top w:val="single" w:sz="4" w:space="0" w:color="auto"/>
              <w:left w:val="nil"/>
              <w:bottom w:val="single" w:sz="4" w:space="0" w:color="auto"/>
              <w:right w:val="single" w:sz="4" w:space="0" w:color="FFFFFF"/>
            </w:tcBorders>
            <w:shd w:val="clear" w:color="000000" w:fill="D9D9D9"/>
            <w:vAlign w:val="center"/>
            <w:hideMark/>
          </w:tcPr>
          <w:p w14:paraId="114F065C" w14:textId="77777777" w:rsidR="00F1540A" w:rsidRPr="005734B8" w:rsidRDefault="00F1540A" w:rsidP="002653E2">
            <w:pPr>
              <w:jc w:val="right"/>
              <w:rPr>
                <w:rFonts w:ascii="Calibri" w:hAnsi="Calibri" w:cs="Calibri"/>
                <w:b/>
                <w:sz w:val="18"/>
                <w:szCs w:val="18"/>
              </w:rPr>
            </w:pPr>
            <w:r w:rsidRPr="005734B8">
              <w:rPr>
                <w:rFonts w:ascii="Calibri" w:hAnsi="Calibri" w:cs="Calibri"/>
                <w:b/>
                <w:sz w:val="18"/>
                <w:szCs w:val="18"/>
              </w:rPr>
              <w:t> </w:t>
            </w:r>
          </w:p>
        </w:tc>
        <w:tc>
          <w:tcPr>
            <w:tcW w:w="1033" w:type="dxa"/>
            <w:tcBorders>
              <w:top w:val="single" w:sz="4" w:space="0" w:color="auto"/>
              <w:left w:val="nil"/>
              <w:bottom w:val="single" w:sz="4" w:space="0" w:color="auto"/>
              <w:right w:val="single" w:sz="4" w:space="0" w:color="FFFFFF"/>
            </w:tcBorders>
            <w:shd w:val="clear" w:color="000000" w:fill="D9D9D9"/>
            <w:vAlign w:val="center"/>
            <w:hideMark/>
          </w:tcPr>
          <w:p w14:paraId="1FB3A44E" w14:textId="77777777" w:rsidR="00F1540A" w:rsidRPr="005734B8" w:rsidRDefault="00F1540A" w:rsidP="002653E2">
            <w:pPr>
              <w:jc w:val="right"/>
              <w:rPr>
                <w:rFonts w:ascii="Calibri" w:hAnsi="Calibri" w:cs="Calibri"/>
                <w:b/>
                <w:sz w:val="18"/>
                <w:szCs w:val="18"/>
              </w:rPr>
            </w:pPr>
            <w:r w:rsidRPr="005734B8">
              <w:rPr>
                <w:rFonts w:ascii="Calibri" w:hAnsi="Calibri" w:cs="Calibri"/>
                <w:b/>
                <w:sz w:val="18"/>
                <w:szCs w:val="18"/>
              </w:rPr>
              <w:t> </w:t>
            </w:r>
          </w:p>
        </w:tc>
        <w:tc>
          <w:tcPr>
            <w:tcW w:w="1094" w:type="dxa"/>
            <w:tcBorders>
              <w:top w:val="single" w:sz="4" w:space="0" w:color="auto"/>
              <w:left w:val="nil"/>
              <w:bottom w:val="single" w:sz="4" w:space="0" w:color="auto"/>
              <w:right w:val="single" w:sz="4" w:space="0" w:color="FFFFFF"/>
            </w:tcBorders>
            <w:shd w:val="clear" w:color="000000" w:fill="D9D9D9"/>
            <w:vAlign w:val="bottom"/>
            <w:hideMark/>
          </w:tcPr>
          <w:p w14:paraId="49B3169B"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5A4250DD" w14:textId="77777777" w:rsidTr="00425184">
        <w:trPr>
          <w:trHeight w:val="270"/>
        </w:trPr>
        <w:tc>
          <w:tcPr>
            <w:tcW w:w="3291" w:type="dxa"/>
            <w:tcBorders>
              <w:top w:val="nil"/>
              <w:left w:val="nil"/>
              <w:bottom w:val="single" w:sz="4" w:space="0" w:color="auto"/>
              <w:right w:val="nil"/>
            </w:tcBorders>
            <w:shd w:val="clear" w:color="FFFFFF" w:fill="FFFFFF"/>
            <w:vAlign w:val="center"/>
            <w:hideMark/>
          </w:tcPr>
          <w:p w14:paraId="5389B03F"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Plant and equipment</w:t>
            </w:r>
          </w:p>
        </w:tc>
        <w:tc>
          <w:tcPr>
            <w:tcW w:w="1256" w:type="dxa"/>
            <w:tcBorders>
              <w:top w:val="nil"/>
              <w:left w:val="single" w:sz="4" w:space="0" w:color="FFFFFF"/>
              <w:bottom w:val="single" w:sz="4" w:space="0" w:color="auto"/>
              <w:right w:val="single" w:sz="4" w:space="0" w:color="FFFFFF"/>
            </w:tcBorders>
            <w:shd w:val="clear" w:color="FFFFFF" w:fill="FFFFFF"/>
            <w:noWrap/>
            <w:vAlign w:val="center"/>
            <w:hideMark/>
          </w:tcPr>
          <w:p w14:paraId="643B55F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74.0 </w:t>
            </w:r>
          </w:p>
        </w:tc>
        <w:tc>
          <w:tcPr>
            <w:tcW w:w="951" w:type="dxa"/>
            <w:tcBorders>
              <w:top w:val="nil"/>
              <w:left w:val="nil"/>
              <w:bottom w:val="single" w:sz="4" w:space="0" w:color="auto"/>
              <w:right w:val="single" w:sz="4" w:space="0" w:color="FFFFFF"/>
            </w:tcBorders>
            <w:shd w:val="clear" w:color="FFFFFF" w:fill="FFFFFF"/>
            <w:noWrap/>
            <w:vAlign w:val="center"/>
            <w:hideMark/>
          </w:tcPr>
          <w:p w14:paraId="535F142B" w14:textId="6098FC71"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1033" w:type="dxa"/>
            <w:tcBorders>
              <w:top w:val="nil"/>
              <w:left w:val="nil"/>
              <w:bottom w:val="single" w:sz="4" w:space="0" w:color="auto"/>
              <w:right w:val="single" w:sz="4" w:space="0" w:color="FFFFFF"/>
            </w:tcBorders>
            <w:shd w:val="clear" w:color="FFFFFF" w:fill="FFFFFF"/>
            <w:noWrap/>
            <w:vAlign w:val="center"/>
            <w:hideMark/>
          </w:tcPr>
          <w:p w14:paraId="01958B1E" w14:textId="0AB0C690"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1094" w:type="dxa"/>
            <w:tcBorders>
              <w:top w:val="nil"/>
              <w:left w:val="nil"/>
              <w:bottom w:val="single" w:sz="4" w:space="0" w:color="auto"/>
              <w:right w:val="single" w:sz="4" w:space="0" w:color="FFFFFF"/>
            </w:tcBorders>
            <w:shd w:val="clear" w:color="FFFFFF" w:fill="FFFFFF"/>
            <w:noWrap/>
            <w:vAlign w:val="center"/>
            <w:hideMark/>
          </w:tcPr>
          <w:p w14:paraId="6106BB0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74.0 </w:t>
            </w:r>
          </w:p>
        </w:tc>
      </w:tr>
      <w:tr w:rsidR="00F1540A" w:rsidRPr="005734B8" w14:paraId="083D7A20" w14:textId="77777777" w:rsidTr="00425184">
        <w:trPr>
          <w:trHeight w:val="510"/>
        </w:trPr>
        <w:tc>
          <w:tcPr>
            <w:tcW w:w="329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D25189C"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plant and equipment at fair value</w:t>
            </w:r>
          </w:p>
        </w:tc>
        <w:tc>
          <w:tcPr>
            <w:tcW w:w="1256" w:type="dxa"/>
            <w:tcBorders>
              <w:top w:val="single" w:sz="12" w:space="0" w:color="auto"/>
              <w:left w:val="nil"/>
              <w:bottom w:val="single" w:sz="12" w:space="0" w:color="auto"/>
              <w:right w:val="single" w:sz="12" w:space="0" w:color="FFFFFF"/>
            </w:tcBorders>
            <w:shd w:val="clear" w:color="FFFFFF" w:fill="FFFFFF"/>
            <w:noWrap/>
            <w:vAlign w:val="center"/>
            <w:hideMark/>
          </w:tcPr>
          <w:p w14:paraId="532DE8D8"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74.0 </w:t>
            </w:r>
          </w:p>
        </w:tc>
        <w:tc>
          <w:tcPr>
            <w:tcW w:w="951" w:type="dxa"/>
            <w:tcBorders>
              <w:top w:val="single" w:sz="12" w:space="0" w:color="auto"/>
              <w:left w:val="nil"/>
              <w:bottom w:val="single" w:sz="12" w:space="0" w:color="auto"/>
              <w:right w:val="single" w:sz="12" w:space="0" w:color="FFFFFF"/>
            </w:tcBorders>
            <w:shd w:val="clear" w:color="FFFFFF" w:fill="FFFFFF"/>
            <w:noWrap/>
            <w:vAlign w:val="center"/>
            <w:hideMark/>
          </w:tcPr>
          <w:p w14:paraId="234A8DF2" w14:textId="32895615" w:rsidR="00F1540A" w:rsidRPr="005734B8" w:rsidRDefault="002653E2" w:rsidP="000F48B1">
            <w:pPr>
              <w:jc w:val="right"/>
              <w:rPr>
                <w:rFonts w:ascii="Calibri" w:hAnsi="Calibri" w:cs="Calibri"/>
                <w:b/>
                <w:sz w:val="18"/>
                <w:szCs w:val="18"/>
              </w:rPr>
            </w:pPr>
            <w:r w:rsidRPr="005734B8">
              <w:rPr>
                <w:rFonts w:ascii="Calibri" w:hAnsi="Calibri" w:cs="Calibri"/>
                <w:sz w:val="18"/>
                <w:szCs w:val="18"/>
              </w:rPr>
              <w:t>–</w:t>
            </w:r>
          </w:p>
        </w:tc>
        <w:tc>
          <w:tcPr>
            <w:tcW w:w="1033" w:type="dxa"/>
            <w:tcBorders>
              <w:top w:val="single" w:sz="12" w:space="0" w:color="auto"/>
              <w:left w:val="nil"/>
              <w:bottom w:val="single" w:sz="12" w:space="0" w:color="auto"/>
              <w:right w:val="single" w:sz="12" w:space="0" w:color="FFFFFF"/>
            </w:tcBorders>
            <w:shd w:val="clear" w:color="FFFFFF" w:fill="FFFFFF"/>
            <w:noWrap/>
            <w:vAlign w:val="center"/>
            <w:hideMark/>
          </w:tcPr>
          <w:p w14:paraId="7E3450D5" w14:textId="3124B566" w:rsidR="00F1540A" w:rsidRPr="005734B8" w:rsidRDefault="002653E2" w:rsidP="000F48B1">
            <w:pPr>
              <w:jc w:val="right"/>
              <w:rPr>
                <w:rFonts w:ascii="Calibri" w:hAnsi="Calibri" w:cs="Calibri"/>
                <w:b/>
                <w:sz w:val="18"/>
                <w:szCs w:val="18"/>
              </w:rPr>
            </w:pPr>
            <w:r w:rsidRPr="005734B8">
              <w:rPr>
                <w:rFonts w:ascii="Calibri" w:hAnsi="Calibri" w:cs="Calibri"/>
                <w:sz w:val="18"/>
                <w:szCs w:val="18"/>
              </w:rPr>
              <w:t>–</w:t>
            </w:r>
          </w:p>
        </w:tc>
        <w:tc>
          <w:tcPr>
            <w:tcW w:w="1094" w:type="dxa"/>
            <w:tcBorders>
              <w:top w:val="single" w:sz="12" w:space="0" w:color="auto"/>
              <w:left w:val="nil"/>
              <w:bottom w:val="single" w:sz="12" w:space="0" w:color="auto"/>
              <w:right w:val="single" w:sz="12" w:space="0" w:color="FFFFFF"/>
            </w:tcBorders>
            <w:shd w:val="clear" w:color="FFFFFF" w:fill="FFFFFF"/>
            <w:noWrap/>
            <w:vAlign w:val="center"/>
            <w:hideMark/>
          </w:tcPr>
          <w:p w14:paraId="380DE601"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74.0 </w:t>
            </w:r>
          </w:p>
        </w:tc>
      </w:tr>
    </w:tbl>
    <w:p w14:paraId="6B3ABD00" w14:textId="77777777" w:rsidR="00F1540A" w:rsidRPr="005734B8" w:rsidRDefault="00F1540A" w:rsidP="00F1540A">
      <w:pPr>
        <w:spacing w:before="240" w:after="120" w:line="240" w:lineRule="atLeast"/>
        <w:outlineLvl w:val="2"/>
        <w:rPr>
          <w:rFonts w:ascii="Calibri" w:hAnsi="Calibri" w:cs="Calibri"/>
          <w:color w:val="53565A"/>
          <w:szCs w:val="18"/>
          <w:lang w:val="en-US"/>
        </w:rPr>
      </w:pPr>
      <w:r w:rsidRPr="005734B8">
        <w:rPr>
          <w:rFonts w:ascii="Calibri" w:hAnsi="Calibri" w:cs="Calibri"/>
          <w:color w:val="53565A"/>
          <w:szCs w:val="18"/>
          <w:lang w:val="en-US"/>
        </w:rPr>
        <w:t>Revaluations of non-financial physical assets</w:t>
      </w:r>
    </w:p>
    <w:p w14:paraId="4771AC46" w14:textId="77777777" w:rsidR="00F1540A" w:rsidRPr="005734B8" w:rsidRDefault="00F1540A" w:rsidP="00F1540A">
      <w:pPr>
        <w:rPr>
          <w:rFonts w:ascii="Calibri" w:eastAsia="Arial" w:hAnsi="Calibri" w:cs="Calibri"/>
        </w:rPr>
      </w:pPr>
      <w:r w:rsidRPr="005734B8">
        <w:rPr>
          <w:rFonts w:ascii="Calibri" w:eastAsia="Arial" w:hAnsi="Calibri" w:cs="Calibri"/>
        </w:rPr>
        <w:t xml:space="preserve">Non-financial physical assets are measured at fair value on a cyclical basis, in accordance with FRD 103I </w:t>
      </w:r>
      <w:r w:rsidRPr="005734B8">
        <w:rPr>
          <w:rFonts w:ascii="Calibri" w:eastAsia="Arial" w:hAnsi="Calibri" w:cs="Calibri"/>
          <w:i/>
          <w:iCs/>
        </w:rPr>
        <w:t>Non-financial Physical Assets</w:t>
      </w:r>
      <w:r w:rsidRPr="005734B8">
        <w:rPr>
          <w:rFonts w:ascii="Calibri" w:eastAsia="Arial" w:hAnsi="Calibri" w:cs="Calibri"/>
        </w:rPr>
        <w:t>, issued by the Assistant Treasurer. A full revaluation normally occurs every five years, based upon the asset’s government purpose classification, but may occur more frequently if fair value assessments indicate material changes in values. Independent valuers are generally used to conduct these scheduled revaluations. Any interim revaluations are determined in accordance with the requirements of the FRD. Revaluation increases or decreases arise from differences between an asset’s carrying value and fair value.</w:t>
      </w:r>
    </w:p>
    <w:p w14:paraId="6EEADC42" w14:textId="77777777" w:rsidR="00F1540A" w:rsidRPr="005734B8" w:rsidRDefault="00F1540A" w:rsidP="00F1540A">
      <w:pPr>
        <w:rPr>
          <w:rFonts w:ascii="Calibri" w:eastAsia="Arial" w:hAnsi="Calibri" w:cs="Calibri"/>
        </w:rPr>
      </w:pPr>
    </w:p>
    <w:p w14:paraId="4310C038" w14:textId="7E374AC9" w:rsidR="00F1540A" w:rsidRPr="005734B8" w:rsidRDefault="00F1540A" w:rsidP="00F1540A">
      <w:pPr>
        <w:rPr>
          <w:rFonts w:ascii="Calibri" w:eastAsia="Arial" w:hAnsi="Calibri" w:cs="Calibri"/>
        </w:rPr>
      </w:pPr>
      <w:r w:rsidRPr="005734B8">
        <w:rPr>
          <w:rFonts w:ascii="Calibri" w:eastAsia="Arial" w:hAnsi="Calibri" w:cs="Calibri"/>
        </w:rPr>
        <w:t>In a non-revaluation year, land and buildings are measured at each reporting date by applying industry indices to the values to ensure there has been no material movement. Where there has been a material movement (based on the entity’s materiality or 10 per cent movement), the fair value is adjusted accordingly.</w:t>
      </w:r>
    </w:p>
    <w:p w14:paraId="74AB0213" w14:textId="77777777" w:rsidR="00F1540A" w:rsidRPr="005734B8" w:rsidRDefault="00F1540A" w:rsidP="00F1540A">
      <w:pPr>
        <w:rPr>
          <w:rFonts w:ascii="Calibri" w:eastAsia="Arial" w:hAnsi="Calibri" w:cs="Calibri"/>
        </w:rPr>
      </w:pPr>
    </w:p>
    <w:p w14:paraId="5F7B9C05" w14:textId="77777777" w:rsidR="00F1540A" w:rsidRPr="005734B8" w:rsidRDefault="00F1540A" w:rsidP="00F1540A">
      <w:pPr>
        <w:rPr>
          <w:rFonts w:ascii="Calibri" w:eastAsia="Arial" w:hAnsi="Calibri" w:cs="Calibri"/>
        </w:rPr>
      </w:pPr>
      <w:r w:rsidRPr="005734B8">
        <w:rPr>
          <w:rFonts w:ascii="Calibri" w:eastAsia="Arial" w:hAnsi="Calibri" w:cs="Calibri"/>
        </w:rPr>
        <w:t>Net revaluation increases (where the carrying amount of a class of assets is increased as a result of a revaluation) are recognised in ‘other economic flows—other comprehensive income’ and accumulated in equity under the asset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w:t>
      </w:r>
    </w:p>
    <w:p w14:paraId="241D553E" w14:textId="77777777" w:rsidR="00F1540A" w:rsidRPr="005734B8" w:rsidRDefault="00F1540A" w:rsidP="00F1540A">
      <w:pPr>
        <w:rPr>
          <w:rFonts w:ascii="Calibri" w:eastAsia="Arial" w:hAnsi="Calibri" w:cs="Calibri"/>
        </w:rPr>
      </w:pPr>
    </w:p>
    <w:p w14:paraId="74638C66" w14:textId="77777777" w:rsidR="00F265A9" w:rsidRPr="005734B8" w:rsidRDefault="00F265A9" w:rsidP="00F1540A">
      <w:pPr>
        <w:rPr>
          <w:rFonts w:ascii="Calibri" w:eastAsia="Arial" w:hAnsi="Calibri" w:cs="Calibri"/>
        </w:rPr>
      </w:pPr>
    </w:p>
    <w:p w14:paraId="145BF4CE" w14:textId="77777777" w:rsidR="00F1540A" w:rsidRPr="005734B8" w:rsidRDefault="00F1540A" w:rsidP="00F1540A">
      <w:pPr>
        <w:rPr>
          <w:rFonts w:ascii="Calibri" w:eastAsia="Arial" w:hAnsi="Calibri" w:cs="Calibri"/>
        </w:rPr>
      </w:pPr>
      <w:r w:rsidRPr="005734B8">
        <w:rPr>
          <w:rFonts w:ascii="Calibri" w:eastAsia="Arial" w:hAnsi="Calibri" w:cs="Calibri"/>
        </w:rPr>
        <w:lastRenderedPageBreak/>
        <w:t>Net revaluation decrease is recognised in ‘other economic flows—other comprehensive income’ to the extent that a credit balance exists in the asset revaluation surplus in respect of the same class of property, plant and equipment. Otherwise, the net revaluation decreases are recognised immediately as other economic flows in the net result. The net revaluation decrease recognised in ‘other economic flows—other comprehensive income’ reduces the amount accumulated in equity under the asset revaluation surplus.</w:t>
      </w:r>
    </w:p>
    <w:p w14:paraId="26CB4F0A" w14:textId="77777777" w:rsidR="00F1540A" w:rsidRPr="005734B8" w:rsidRDefault="00F1540A" w:rsidP="00F1540A">
      <w:pPr>
        <w:rPr>
          <w:rFonts w:ascii="Calibri" w:eastAsia="Arial" w:hAnsi="Calibri" w:cs="Calibri"/>
        </w:rPr>
      </w:pPr>
    </w:p>
    <w:p w14:paraId="60A4020E" w14:textId="1172250A" w:rsidR="00F1540A" w:rsidRPr="005734B8" w:rsidRDefault="00F1540A" w:rsidP="00F1540A">
      <w:pPr>
        <w:rPr>
          <w:rFonts w:ascii="Calibri" w:eastAsia="Arial" w:hAnsi="Calibri" w:cs="Calibri"/>
        </w:rPr>
      </w:pPr>
      <w:r w:rsidRPr="005734B8">
        <w:rPr>
          <w:rFonts w:ascii="Calibri" w:eastAsia="Arial" w:hAnsi="Calibri" w:cs="Calibri"/>
        </w:rPr>
        <w:t>Revaluation increases and decreases relating to individual assets within a class of property, plant and equipment</w:t>
      </w:r>
      <w:r w:rsidR="00425184" w:rsidRPr="005734B8">
        <w:rPr>
          <w:rFonts w:ascii="Calibri" w:eastAsia="Arial" w:hAnsi="Calibri" w:cs="Calibri"/>
        </w:rPr>
        <w:t>,</w:t>
      </w:r>
      <w:r w:rsidRPr="005734B8">
        <w:rPr>
          <w:rFonts w:ascii="Calibri" w:eastAsia="Arial" w:hAnsi="Calibri" w:cs="Calibri"/>
        </w:rPr>
        <w:t xml:space="preserve"> are offset against one another within that class but are not offset in respect of assets in different classes. The asset revaluation surplus is not transferred to accumulated funds on de-recognition of the relevant asset.</w:t>
      </w:r>
    </w:p>
    <w:p w14:paraId="0EEFC19C" w14:textId="77777777" w:rsidR="00F1540A" w:rsidRPr="005734B8" w:rsidRDefault="00F1540A" w:rsidP="00F1540A">
      <w:pPr>
        <w:rPr>
          <w:rFonts w:ascii="Calibri" w:eastAsia="Arial" w:hAnsi="Calibri" w:cs="Calibri"/>
        </w:rPr>
      </w:pPr>
    </w:p>
    <w:p w14:paraId="1EE32E14" w14:textId="77777777" w:rsidR="00F1540A" w:rsidRPr="005734B8" w:rsidRDefault="00F1540A" w:rsidP="00F1540A">
      <w:pPr>
        <w:rPr>
          <w:rFonts w:ascii="Calibri" w:eastAsia="Arial" w:hAnsi="Calibri" w:cs="Calibri"/>
          <w:i/>
        </w:rPr>
      </w:pPr>
      <w:r w:rsidRPr="005734B8">
        <w:rPr>
          <w:rFonts w:ascii="Calibri" w:eastAsia="Arial" w:hAnsi="Calibri" w:cs="Calibri"/>
          <w:i/>
        </w:rPr>
        <w:t>Land</w:t>
      </w:r>
    </w:p>
    <w:p w14:paraId="0C6B75C8" w14:textId="77777777" w:rsidR="00F1540A" w:rsidRPr="005734B8" w:rsidRDefault="00F1540A" w:rsidP="00F1540A">
      <w:pPr>
        <w:rPr>
          <w:rFonts w:ascii="Calibri" w:eastAsia="Arial" w:hAnsi="Calibri" w:cs="Calibri"/>
        </w:rPr>
      </w:pPr>
      <w:r w:rsidRPr="005734B8">
        <w:rPr>
          <w:rFonts w:ascii="Calibri" w:eastAsia="Arial" w:hAnsi="Calibri" w:cs="Calibri"/>
        </w:rPr>
        <w:t>The market approach is used for specialised land, although is adjusted for the CSO to reflect the specialised nature of the land being valued.</w:t>
      </w:r>
    </w:p>
    <w:p w14:paraId="11923C32" w14:textId="77777777" w:rsidR="00F1540A" w:rsidRPr="005734B8" w:rsidRDefault="00F1540A" w:rsidP="00F1540A">
      <w:pPr>
        <w:rPr>
          <w:rFonts w:ascii="Calibri" w:eastAsia="Arial" w:hAnsi="Calibri" w:cs="Calibri"/>
        </w:rPr>
      </w:pPr>
    </w:p>
    <w:p w14:paraId="321C0908" w14:textId="4ED03B39" w:rsidR="00F1540A" w:rsidRPr="005734B8" w:rsidRDefault="00F1540A" w:rsidP="00F1540A">
      <w:pPr>
        <w:rPr>
          <w:rFonts w:ascii="Calibri" w:eastAsia="Arial" w:hAnsi="Calibri" w:cs="Calibri"/>
        </w:rPr>
      </w:pPr>
      <w:r w:rsidRPr="005734B8">
        <w:rPr>
          <w:rFonts w:ascii="Calibri" w:eastAsia="Arial" w:hAnsi="Calibri" w:cs="Calibri"/>
        </w:rPr>
        <w:t>The CSO is an adjustment for the difference in value between unrestricted assets (</w:t>
      </w:r>
      <w:r w:rsidR="008420B5" w:rsidRPr="005734B8">
        <w:rPr>
          <w:rFonts w:ascii="Calibri" w:eastAsia="Arial" w:hAnsi="Calibri" w:cs="Calibri"/>
        </w:rPr>
        <w:t>such as</w:t>
      </w:r>
      <w:r w:rsidRPr="005734B8">
        <w:rPr>
          <w:rFonts w:ascii="Calibri" w:eastAsia="Arial" w:hAnsi="Calibri" w:cs="Calibri"/>
        </w:rPr>
        <w:t xml:space="preserve"> freehold land) and assets held by the public sector, taking into account any legal, financial or physical restrictions imposed on the use or sale of the assets. As adjustments of CSO are considered as significant unobservable inputs, specialised land is classified as Level 3 assets.</w:t>
      </w:r>
    </w:p>
    <w:p w14:paraId="78933A97" w14:textId="77777777" w:rsidR="00F1540A" w:rsidRPr="005734B8" w:rsidRDefault="00F1540A" w:rsidP="00F1540A">
      <w:pPr>
        <w:rPr>
          <w:rFonts w:ascii="Calibri" w:eastAsia="Arial" w:hAnsi="Calibri" w:cs="Calibri"/>
        </w:rPr>
      </w:pPr>
    </w:p>
    <w:p w14:paraId="433BA605" w14:textId="3DC2438B" w:rsidR="00F1540A" w:rsidRPr="005734B8" w:rsidRDefault="00F1540A" w:rsidP="00F1540A">
      <w:pPr>
        <w:rPr>
          <w:rFonts w:ascii="Calibri" w:eastAsia="Arial" w:hAnsi="Calibri" w:cs="Calibri"/>
        </w:rPr>
      </w:pPr>
      <w:r w:rsidRPr="005734B8">
        <w:rPr>
          <w:rFonts w:ascii="Calibri" w:eastAsia="Arial" w:hAnsi="Calibri" w:cs="Calibri"/>
        </w:rPr>
        <w:t xml:space="preserve">An independent valuation of the Department’s specialised land was performed by the </w:t>
      </w:r>
      <w:r w:rsidR="00235194" w:rsidRPr="005734B8">
        <w:rPr>
          <w:rFonts w:ascii="Calibri" w:eastAsia="Arial" w:hAnsi="Calibri" w:cs="Calibri"/>
        </w:rPr>
        <w:t>VGV</w:t>
      </w:r>
      <w:r w:rsidRPr="005734B8">
        <w:rPr>
          <w:rFonts w:ascii="Calibri" w:eastAsia="Arial" w:hAnsi="Calibri" w:cs="Calibri"/>
        </w:rPr>
        <w:t xml:space="preserve">. The valuation was performed using the market approach adjusted for CSO. The effective date of the </w:t>
      </w:r>
      <w:r w:rsidR="00425184" w:rsidRPr="005734B8">
        <w:rPr>
          <w:rFonts w:ascii="Calibri" w:eastAsia="Arial" w:hAnsi="Calibri" w:cs="Calibri"/>
        </w:rPr>
        <w:t xml:space="preserve">last independent </w:t>
      </w:r>
      <w:r w:rsidRPr="005734B8">
        <w:rPr>
          <w:rFonts w:ascii="Calibri" w:eastAsia="Arial" w:hAnsi="Calibri" w:cs="Calibri"/>
        </w:rPr>
        <w:t>valuation was 30 June 2018.</w:t>
      </w:r>
    </w:p>
    <w:p w14:paraId="625CEEB2" w14:textId="77777777" w:rsidR="00F1540A" w:rsidRPr="005734B8" w:rsidRDefault="00F1540A" w:rsidP="00F1540A">
      <w:pPr>
        <w:rPr>
          <w:rFonts w:ascii="Calibri" w:eastAsia="Arial" w:hAnsi="Calibri" w:cs="Calibri"/>
        </w:rPr>
      </w:pPr>
    </w:p>
    <w:p w14:paraId="223E1D8C" w14:textId="77777777" w:rsidR="00F1540A" w:rsidRPr="005734B8" w:rsidRDefault="00F1540A" w:rsidP="00F1540A">
      <w:pPr>
        <w:rPr>
          <w:rFonts w:ascii="Calibri" w:eastAsia="Arial" w:hAnsi="Calibri" w:cs="Calibri"/>
          <w:i/>
        </w:rPr>
      </w:pPr>
      <w:r w:rsidRPr="005734B8">
        <w:rPr>
          <w:rFonts w:ascii="Calibri" w:eastAsia="Arial" w:hAnsi="Calibri" w:cs="Calibri"/>
          <w:i/>
        </w:rPr>
        <w:t>Buildings</w:t>
      </w:r>
    </w:p>
    <w:p w14:paraId="44005981" w14:textId="2A9FF607" w:rsidR="00F1540A" w:rsidRPr="005734B8" w:rsidRDefault="00F1540A" w:rsidP="00F1540A">
      <w:pPr>
        <w:rPr>
          <w:rFonts w:ascii="Calibri" w:eastAsia="Arial" w:hAnsi="Calibri" w:cs="Calibri"/>
        </w:rPr>
      </w:pPr>
      <w:r w:rsidRPr="005734B8">
        <w:rPr>
          <w:rFonts w:ascii="Calibri" w:eastAsia="Arial" w:hAnsi="Calibri" w:cs="Calibri"/>
        </w:rPr>
        <w:t xml:space="preserve">The valuations are undertaken by the </w:t>
      </w:r>
      <w:r w:rsidR="00235194" w:rsidRPr="005734B8">
        <w:rPr>
          <w:rFonts w:ascii="Calibri" w:eastAsia="Arial" w:hAnsi="Calibri" w:cs="Calibri"/>
        </w:rPr>
        <w:t>VGV</w:t>
      </w:r>
      <w:r w:rsidRPr="005734B8">
        <w:rPr>
          <w:rFonts w:ascii="Calibri" w:eastAsia="Arial" w:hAnsi="Calibri" w:cs="Calibri"/>
        </w:rPr>
        <w:t xml:space="preserve"> in accordance with the Department’s policies. School buildings are specialised assets that are restricted to primarily providing education services, with some ancillary community services also provided. As such, there is generally little or no observable market-based evidence for determining the fair value of such assets. Accordingly, school buildings and other improvements are valued under the </w:t>
      </w:r>
      <w:r w:rsidR="00CF4660" w:rsidRPr="005734B8">
        <w:rPr>
          <w:rFonts w:ascii="Calibri" w:eastAsia="Arial" w:hAnsi="Calibri" w:cs="Calibri"/>
        </w:rPr>
        <w:t>Current</w:t>
      </w:r>
      <w:r w:rsidRPr="005734B8">
        <w:rPr>
          <w:rFonts w:ascii="Calibri" w:eastAsia="Arial" w:hAnsi="Calibri" w:cs="Calibri"/>
        </w:rPr>
        <w:t xml:space="preserve"> Replacement Cost (</w:t>
      </w:r>
      <w:r w:rsidR="00CF4660" w:rsidRPr="005734B8">
        <w:rPr>
          <w:rFonts w:ascii="Calibri" w:eastAsia="Arial" w:hAnsi="Calibri" w:cs="Calibri"/>
        </w:rPr>
        <w:t>C</w:t>
      </w:r>
      <w:r w:rsidRPr="005734B8">
        <w:rPr>
          <w:rFonts w:ascii="Calibri" w:eastAsia="Arial" w:hAnsi="Calibri" w:cs="Calibri"/>
        </w:rPr>
        <w:t>RC) method</w:t>
      </w:r>
      <w:r w:rsidR="008420B5" w:rsidRPr="005734B8">
        <w:rPr>
          <w:rFonts w:ascii="Calibri" w:eastAsia="Arial" w:hAnsi="Calibri" w:cs="Calibri"/>
        </w:rPr>
        <w:t>,</w:t>
      </w:r>
      <w:r w:rsidRPr="005734B8">
        <w:rPr>
          <w:rFonts w:ascii="Calibri" w:eastAsia="Arial" w:hAnsi="Calibri" w:cs="Calibri"/>
        </w:rPr>
        <w:t xml:space="preserve"> which represents the highest and best use under AASB 13 Fair Value Measurement. </w:t>
      </w:r>
    </w:p>
    <w:p w14:paraId="5C7674F1" w14:textId="77777777" w:rsidR="00F1540A" w:rsidRPr="005734B8" w:rsidRDefault="00F1540A" w:rsidP="00F1540A">
      <w:pPr>
        <w:rPr>
          <w:rFonts w:ascii="Calibri" w:eastAsia="Arial" w:hAnsi="Calibri" w:cs="Calibri"/>
        </w:rPr>
      </w:pPr>
    </w:p>
    <w:p w14:paraId="47711B8A" w14:textId="6774AD03" w:rsidR="00F1540A" w:rsidRPr="005734B8" w:rsidRDefault="00CF4660" w:rsidP="00F1540A">
      <w:pPr>
        <w:rPr>
          <w:rFonts w:ascii="Calibri" w:eastAsia="Arial" w:hAnsi="Calibri" w:cs="Calibri"/>
        </w:rPr>
      </w:pPr>
      <w:r w:rsidRPr="005734B8">
        <w:rPr>
          <w:rFonts w:ascii="Calibri" w:eastAsia="Arial" w:hAnsi="Calibri" w:cs="Calibri"/>
        </w:rPr>
        <w:t>C</w:t>
      </w:r>
      <w:r w:rsidR="00F1540A" w:rsidRPr="005734B8">
        <w:rPr>
          <w:rFonts w:ascii="Calibri" w:eastAsia="Arial" w:hAnsi="Calibri" w:cs="Calibri"/>
        </w:rPr>
        <w:t>RC is the current replacement cost of an asset less</w:t>
      </w:r>
      <w:r w:rsidR="008420B5" w:rsidRPr="005734B8">
        <w:rPr>
          <w:rFonts w:ascii="Calibri" w:eastAsia="Arial" w:hAnsi="Calibri" w:cs="Calibri"/>
        </w:rPr>
        <w:t>,</w:t>
      </w:r>
      <w:r w:rsidR="00F1540A" w:rsidRPr="005734B8">
        <w:rPr>
          <w:rFonts w:ascii="Calibri" w:eastAsia="Arial" w:hAnsi="Calibri" w:cs="Calibri"/>
        </w:rPr>
        <w:t xml:space="preserve"> where applicable, accumulated depreciation calculated on the basis of such cost to reflect age and the already consumed or expired future economic benefits of the asset. For the majority of the Department’s specialised buildings, the </w:t>
      </w:r>
      <w:r w:rsidR="00425184" w:rsidRPr="005734B8">
        <w:rPr>
          <w:rFonts w:ascii="Calibri" w:eastAsia="Arial" w:hAnsi="Calibri" w:cs="Calibri"/>
        </w:rPr>
        <w:t>CRC</w:t>
      </w:r>
      <w:r w:rsidR="00F1540A" w:rsidRPr="005734B8">
        <w:rPr>
          <w:rFonts w:ascii="Calibri" w:eastAsia="Arial" w:hAnsi="Calibri" w:cs="Calibri"/>
        </w:rPr>
        <w:t xml:space="preserve"> method is used, adjusting associated depreciation. Depreciation adjustments are considered as significant and unobservable inputs in nature, therefore these specialised buildings are classified as </w:t>
      </w:r>
      <w:r w:rsidR="006E0A5C" w:rsidRPr="005734B8">
        <w:rPr>
          <w:rFonts w:ascii="Calibri" w:eastAsia="Arial" w:hAnsi="Calibri" w:cs="Calibri"/>
        </w:rPr>
        <w:t>L</w:t>
      </w:r>
      <w:r w:rsidR="00F1540A" w:rsidRPr="005734B8">
        <w:rPr>
          <w:rFonts w:ascii="Calibri" w:eastAsia="Arial" w:hAnsi="Calibri" w:cs="Calibri"/>
        </w:rPr>
        <w:t>evel 3 fair value measurements.</w:t>
      </w:r>
    </w:p>
    <w:p w14:paraId="593A5CBD" w14:textId="77777777" w:rsidR="00F1540A" w:rsidRPr="005734B8" w:rsidRDefault="00F1540A" w:rsidP="00F1540A">
      <w:pPr>
        <w:rPr>
          <w:rFonts w:ascii="Calibri" w:eastAsia="Arial" w:hAnsi="Calibri" w:cs="Calibri"/>
        </w:rPr>
      </w:pPr>
    </w:p>
    <w:p w14:paraId="2F04B62C" w14:textId="77777777" w:rsidR="00F1540A" w:rsidRPr="005734B8" w:rsidRDefault="00F1540A" w:rsidP="00F1540A">
      <w:pPr>
        <w:rPr>
          <w:rFonts w:ascii="Calibri" w:eastAsia="Arial" w:hAnsi="Calibri" w:cs="Calibri"/>
        </w:rPr>
      </w:pPr>
      <w:r w:rsidRPr="005734B8">
        <w:rPr>
          <w:rFonts w:ascii="Calibri" w:eastAsia="Arial" w:hAnsi="Calibri" w:cs="Calibri"/>
        </w:rPr>
        <w:t>Where assets acquired within 12 months of the relevant scheduled revaluation have not been revalued, the acquisition cost is deemed to be fair value.</w:t>
      </w:r>
    </w:p>
    <w:p w14:paraId="62CD84F5" w14:textId="77777777" w:rsidR="00F1540A" w:rsidRPr="005734B8" w:rsidRDefault="00F1540A" w:rsidP="00F1540A">
      <w:pPr>
        <w:rPr>
          <w:rFonts w:ascii="Calibri" w:eastAsia="Arial" w:hAnsi="Calibri" w:cs="Calibri"/>
        </w:rPr>
      </w:pPr>
    </w:p>
    <w:p w14:paraId="01729615" w14:textId="2E369302" w:rsidR="00F1540A" w:rsidRPr="005734B8" w:rsidRDefault="00F1540A" w:rsidP="00F1540A">
      <w:pPr>
        <w:rPr>
          <w:rFonts w:ascii="Calibri" w:eastAsia="Arial" w:hAnsi="Calibri" w:cs="Calibri"/>
        </w:rPr>
      </w:pPr>
      <w:r w:rsidRPr="005734B8">
        <w:rPr>
          <w:rFonts w:ascii="Calibri" w:eastAsia="Arial" w:hAnsi="Calibri" w:cs="Calibri"/>
        </w:rPr>
        <w:t xml:space="preserve">An independent valuation of the Department’s specialised buildings was performed by the </w:t>
      </w:r>
      <w:r w:rsidR="00752D66" w:rsidRPr="005734B8">
        <w:rPr>
          <w:rFonts w:ascii="Calibri" w:eastAsia="Arial" w:hAnsi="Calibri" w:cs="Calibri"/>
        </w:rPr>
        <w:t>VGV</w:t>
      </w:r>
      <w:r w:rsidRPr="005734B8">
        <w:rPr>
          <w:rFonts w:ascii="Calibri" w:eastAsia="Arial" w:hAnsi="Calibri" w:cs="Calibri"/>
        </w:rPr>
        <w:t xml:space="preserve">. The valuation was performed using the </w:t>
      </w:r>
      <w:r w:rsidR="00CF4660" w:rsidRPr="005734B8">
        <w:rPr>
          <w:rFonts w:ascii="Calibri" w:eastAsia="Arial" w:hAnsi="Calibri" w:cs="Calibri"/>
        </w:rPr>
        <w:t>current</w:t>
      </w:r>
      <w:r w:rsidRPr="005734B8">
        <w:rPr>
          <w:rFonts w:ascii="Calibri" w:eastAsia="Arial" w:hAnsi="Calibri" w:cs="Calibri"/>
        </w:rPr>
        <w:t xml:space="preserve"> replacement cost approach. The effective date of the </w:t>
      </w:r>
      <w:r w:rsidR="00CA146C" w:rsidRPr="005734B8">
        <w:rPr>
          <w:rFonts w:ascii="Calibri" w:eastAsia="Arial" w:hAnsi="Calibri" w:cs="Calibri"/>
        </w:rPr>
        <w:t xml:space="preserve">last independent </w:t>
      </w:r>
      <w:r w:rsidRPr="005734B8">
        <w:rPr>
          <w:rFonts w:ascii="Calibri" w:eastAsia="Arial" w:hAnsi="Calibri" w:cs="Calibri"/>
        </w:rPr>
        <w:t>valuation was 30 June 2018.</w:t>
      </w:r>
    </w:p>
    <w:p w14:paraId="23F44666" w14:textId="2760671B" w:rsidR="00F1540A" w:rsidRPr="005734B8" w:rsidRDefault="00F1540A" w:rsidP="00F1540A">
      <w:pPr>
        <w:rPr>
          <w:rFonts w:ascii="Calibri" w:eastAsia="Arial" w:hAnsi="Calibri" w:cs="Calibri"/>
        </w:rPr>
      </w:pPr>
    </w:p>
    <w:p w14:paraId="6D3D7552" w14:textId="77777777" w:rsidR="00F1540A" w:rsidRPr="005734B8" w:rsidRDefault="00F1540A" w:rsidP="00F1540A">
      <w:pPr>
        <w:rPr>
          <w:rFonts w:ascii="Calibri" w:eastAsia="Arial" w:hAnsi="Calibri" w:cs="Calibri"/>
          <w:i/>
        </w:rPr>
      </w:pPr>
      <w:r w:rsidRPr="005734B8">
        <w:rPr>
          <w:rFonts w:ascii="Calibri" w:eastAsia="Arial" w:hAnsi="Calibri" w:cs="Calibri"/>
          <w:i/>
        </w:rPr>
        <w:lastRenderedPageBreak/>
        <w:t>Plant and equipment</w:t>
      </w:r>
    </w:p>
    <w:p w14:paraId="69CAADF4" w14:textId="77777777" w:rsidR="00F1540A" w:rsidRPr="005734B8" w:rsidRDefault="00F1540A" w:rsidP="00F1540A">
      <w:pPr>
        <w:rPr>
          <w:rFonts w:ascii="Calibri" w:eastAsia="Arial" w:hAnsi="Calibri" w:cs="Calibri"/>
        </w:rPr>
      </w:pPr>
      <w:r w:rsidRPr="005734B8">
        <w:rPr>
          <w:rFonts w:ascii="Calibri" w:eastAsia="Arial" w:hAnsi="Calibri" w:cs="Calibri"/>
        </w:rPr>
        <w:t>Plant and equipment assets are measured at fair value (equating to cost) less accumulated depreciation and impairment.</w:t>
      </w:r>
    </w:p>
    <w:p w14:paraId="1F806619" w14:textId="77777777" w:rsidR="00F1540A" w:rsidRPr="005734B8" w:rsidRDefault="00F1540A" w:rsidP="00F1540A">
      <w:pPr>
        <w:rPr>
          <w:rFonts w:ascii="Calibri" w:eastAsia="Arial" w:hAnsi="Calibri" w:cs="Calibri"/>
        </w:rPr>
      </w:pPr>
    </w:p>
    <w:p w14:paraId="1BD99B9C" w14:textId="6F332C3A" w:rsidR="00F1540A" w:rsidRPr="005734B8" w:rsidRDefault="00F1540A" w:rsidP="00F1540A">
      <w:pPr>
        <w:rPr>
          <w:rFonts w:ascii="Calibri" w:eastAsia="Arial" w:hAnsi="Calibri" w:cs="Calibri"/>
        </w:rPr>
      </w:pPr>
      <w:r w:rsidRPr="005734B8">
        <w:rPr>
          <w:rFonts w:ascii="Calibri" w:eastAsia="Arial" w:hAnsi="Calibri" w:cs="Calibri"/>
        </w:rPr>
        <w:t xml:space="preserve">The fair value of plant and equipment is normally determined by reference to the asset’s </w:t>
      </w:r>
      <w:r w:rsidR="006F39B6" w:rsidRPr="005734B8">
        <w:rPr>
          <w:rFonts w:ascii="Calibri" w:eastAsia="Arial" w:hAnsi="Calibri" w:cs="Calibri"/>
        </w:rPr>
        <w:t>current</w:t>
      </w:r>
      <w:r w:rsidRPr="005734B8">
        <w:rPr>
          <w:rFonts w:ascii="Calibri" w:eastAsia="Arial" w:hAnsi="Calibri" w:cs="Calibri"/>
        </w:rPr>
        <w:t xml:space="preserve"> replacement cost. Existing depreciated historical cost is generally a reasonable approximation for </w:t>
      </w:r>
      <w:r w:rsidR="006F39B6" w:rsidRPr="005734B8">
        <w:rPr>
          <w:rFonts w:ascii="Calibri" w:eastAsia="Arial" w:hAnsi="Calibri" w:cs="Calibri"/>
        </w:rPr>
        <w:t>current</w:t>
      </w:r>
      <w:r w:rsidRPr="005734B8">
        <w:rPr>
          <w:rFonts w:ascii="Calibri" w:eastAsia="Arial" w:hAnsi="Calibri" w:cs="Calibri"/>
        </w:rPr>
        <w:t xml:space="preserve"> replacement cost because of the short lives of the assets concerned.</w:t>
      </w:r>
    </w:p>
    <w:p w14:paraId="063370F0" w14:textId="77777777" w:rsidR="00F1540A" w:rsidRPr="005734B8" w:rsidRDefault="00F1540A" w:rsidP="00F1540A">
      <w:pPr>
        <w:rPr>
          <w:rFonts w:ascii="Calibri" w:eastAsia="Arial" w:hAnsi="Calibri" w:cs="Calibri"/>
        </w:rPr>
      </w:pPr>
    </w:p>
    <w:p w14:paraId="7E8062AD" w14:textId="570A35F3" w:rsidR="00F1540A" w:rsidRPr="005734B8" w:rsidRDefault="00F1540A" w:rsidP="00F1540A">
      <w:pPr>
        <w:rPr>
          <w:rFonts w:ascii="Calibri" w:eastAsia="Arial" w:hAnsi="Calibri" w:cs="Calibri"/>
          <w:i/>
        </w:rPr>
      </w:pPr>
      <w:r w:rsidRPr="005734B8">
        <w:rPr>
          <w:rFonts w:ascii="Calibri" w:eastAsia="Arial" w:hAnsi="Calibri" w:cs="Calibri"/>
          <w:i/>
        </w:rPr>
        <w:t>Non-financial physical assets arising from leases</w:t>
      </w:r>
    </w:p>
    <w:p w14:paraId="1E568F98" w14:textId="7F1D27A7" w:rsidR="00F1540A" w:rsidRPr="005734B8" w:rsidRDefault="00F1540A" w:rsidP="00F1540A">
      <w:pPr>
        <w:rPr>
          <w:rFonts w:ascii="Calibri" w:eastAsia="Arial" w:hAnsi="Calibri" w:cs="Calibri"/>
        </w:rPr>
      </w:pPr>
      <w:r w:rsidRPr="005734B8">
        <w:rPr>
          <w:rFonts w:ascii="Calibri" w:eastAsia="Arial" w:hAnsi="Calibri" w:cs="Calibri"/>
        </w:rPr>
        <w:t>The initial cost for non-financial physical assets under a lease (Note 7.2.1) is measured at amounts equal to the fair value of the leased asset or, if lower, the present value of the minimum lease payments, each determined at the inception of the lease.</w:t>
      </w:r>
    </w:p>
    <w:p w14:paraId="79CF80B9" w14:textId="77777777" w:rsidR="00F1540A" w:rsidRPr="005734B8" w:rsidRDefault="00F1540A" w:rsidP="00F1540A">
      <w:pPr>
        <w:rPr>
          <w:rFonts w:ascii="Calibri" w:eastAsia="Arial" w:hAnsi="Calibri" w:cs="Calibri"/>
        </w:rPr>
      </w:pPr>
    </w:p>
    <w:p w14:paraId="288A367D" w14:textId="00F8E339" w:rsidR="00F1540A" w:rsidRPr="005734B8" w:rsidRDefault="00F1540A" w:rsidP="00F1540A">
      <w:pPr>
        <w:rPr>
          <w:rFonts w:ascii="Calibri" w:eastAsia="Arial" w:hAnsi="Calibri" w:cs="Calibri"/>
        </w:rPr>
      </w:pPr>
      <w:r w:rsidRPr="005734B8">
        <w:rPr>
          <w:rFonts w:ascii="Calibri" w:eastAsia="Arial" w:hAnsi="Calibri" w:cs="Calibri"/>
        </w:rPr>
        <w:t>Certain assets are acquired under leases, which may form part of a service concession arrangement. See Note 7.5 in relation to such assets and arrangements.</w:t>
      </w:r>
    </w:p>
    <w:p w14:paraId="595927DC" w14:textId="77777777" w:rsidR="00F1540A" w:rsidRPr="005734B8" w:rsidRDefault="00F1540A" w:rsidP="00F1540A">
      <w:pPr>
        <w:rPr>
          <w:rFonts w:ascii="Calibri" w:eastAsia="Arial" w:hAnsi="Calibri" w:cs="Calibri"/>
        </w:rPr>
      </w:pPr>
    </w:p>
    <w:p w14:paraId="4C5B0394" w14:textId="5A974F5D" w:rsidR="00F1540A" w:rsidRPr="005734B8" w:rsidRDefault="00F1540A" w:rsidP="00F1540A">
      <w:pPr>
        <w:rPr>
          <w:rFonts w:ascii="Calibri" w:eastAsia="Arial" w:hAnsi="Calibri" w:cs="Calibri"/>
          <w:i/>
        </w:rPr>
      </w:pPr>
      <w:r w:rsidRPr="005734B8">
        <w:rPr>
          <w:rFonts w:ascii="Calibri" w:eastAsia="Arial" w:hAnsi="Calibri" w:cs="Calibri"/>
          <w:i/>
        </w:rPr>
        <w:t>An independent valuation of land and building</w:t>
      </w:r>
      <w:r w:rsidR="006E0A5C" w:rsidRPr="005734B8">
        <w:rPr>
          <w:rFonts w:ascii="Calibri" w:eastAsia="Arial" w:hAnsi="Calibri" w:cs="Calibri"/>
          <w:i/>
        </w:rPr>
        <w:t>s</w:t>
      </w:r>
    </w:p>
    <w:p w14:paraId="5AA52ABE" w14:textId="607C96CA" w:rsidR="00F1540A" w:rsidRPr="005734B8" w:rsidRDefault="00F1540A" w:rsidP="00F1540A">
      <w:pPr>
        <w:rPr>
          <w:rFonts w:ascii="Calibri" w:eastAsia="Arial" w:hAnsi="Calibri" w:cs="Calibri"/>
        </w:rPr>
      </w:pPr>
      <w:r w:rsidRPr="005734B8">
        <w:rPr>
          <w:rFonts w:ascii="Calibri" w:eastAsia="Arial" w:hAnsi="Calibri" w:cs="Calibri"/>
        </w:rPr>
        <w:t>An assessment of land and building</w:t>
      </w:r>
      <w:r w:rsidR="006E0A5C" w:rsidRPr="005734B8">
        <w:rPr>
          <w:rFonts w:ascii="Calibri" w:eastAsia="Arial" w:hAnsi="Calibri" w:cs="Calibri"/>
        </w:rPr>
        <w:t>s</w:t>
      </w:r>
      <w:r w:rsidRPr="005734B8">
        <w:rPr>
          <w:rFonts w:ascii="Calibri" w:eastAsia="Arial" w:hAnsi="Calibri" w:cs="Calibri"/>
        </w:rPr>
        <w:t xml:space="preserve"> was conducted utilising indices by the </w:t>
      </w:r>
      <w:r w:rsidR="006F39B6" w:rsidRPr="005734B8">
        <w:rPr>
          <w:rFonts w:ascii="Calibri" w:eastAsia="Arial" w:hAnsi="Calibri" w:cs="Calibri"/>
        </w:rPr>
        <w:t>VGV</w:t>
      </w:r>
      <w:r w:rsidRPr="005734B8">
        <w:rPr>
          <w:rFonts w:ascii="Calibri" w:eastAsia="Arial" w:hAnsi="Calibri" w:cs="Calibri"/>
        </w:rPr>
        <w:t xml:space="preserve"> for 2021, which resulted in a revaluation increment for land. Refer to Note 9.6 Reserves for the quantum of the revaluation increment.</w:t>
      </w:r>
    </w:p>
    <w:p w14:paraId="0D659D08" w14:textId="77777777" w:rsidR="00F1540A" w:rsidRPr="005734B8" w:rsidRDefault="00F1540A" w:rsidP="00F1540A">
      <w:pPr>
        <w:rPr>
          <w:rFonts w:ascii="Calibri" w:hAnsi="Calibri" w:cs="Calibri"/>
          <w:b/>
          <w:color w:val="8A2A2F"/>
          <w:sz w:val="19"/>
          <w:szCs w:val="18"/>
          <w:lang w:val="en-US"/>
        </w:rPr>
      </w:pPr>
    </w:p>
    <w:p w14:paraId="0E4605DD" w14:textId="77777777" w:rsidR="00F1540A" w:rsidRPr="005734B8" w:rsidRDefault="00F1540A" w:rsidP="00F1540A">
      <w:pPr>
        <w:pStyle w:val="ES-HeadingTableRed"/>
        <w:rPr>
          <w:rFonts w:ascii="Calibri" w:hAnsi="Calibri" w:cs="Calibri"/>
        </w:rPr>
      </w:pPr>
      <w:r w:rsidRPr="005734B8">
        <w:rPr>
          <w:rFonts w:ascii="Calibri" w:hAnsi="Calibri" w:cs="Calibri"/>
        </w:rPr>
        <w:t xml:space="preserve">Fair value measurement hierarchy for assets as at </w:t>
      </w:r>
      <w:r w:rsidRPr="005734B8">
        <w:rPr>
          <w:rFonts w:ascii="Calibri" w:hAnsi="Calibri" w:cs="Calibri"/>
        </w:rPr>
        <w:fldChar w:fldCharType="begin"/>
      </w:r>
      <w:r w:rsidRPr="005734B8">
        <w:rPr>
          <w:rFonts w:ascii="Calibri" w:hAnsi="Calibri" w:cs="Calibri"/>
        </w:rPr>
        <w:instrText xml:space="preserve"> DOCPROPERTY  pEnd  \* MERGEFORMAT </w:instrText>
      </w:r>
      <w:r w:rsidRPr="005734B8">
        <w:rPr>
          <w:rFonts w:ascii="Calibri" w:hAnsi="Calibri" w:cs="Calibri"/>
        </w:rPr>
        <w:fldChar w:fldCharType="separate"/>
      </w:r>
      <w:r w:rsidRPr="005734B8">
        <w:rPr>
          <w:rFonts w:ascii="Calibri" w:hAnsi="Calibri" w:cs="Calibri"/>
        </w:rPr>
        <w:t>30 June</w:t>
      </w:r>
      <w:r w:rsidRPr="005734B8">
        <w:rPr>
          <w:rFonts w:ascii="Calibri" w:hAnsi="Calibri" w:cs="Calibri"/>
        </w:rPr>
        <w:fldChar w:fldCharType="end"/>
      </w:r>
      <w:r w:rsidRPr="005734B8">
        <w:rPr>
          <w:rFonts w:ascii="Calibri" w:hAnsi="Calibri" w:cs="Calibri"/>
        </w:rPr>
        <w:t xml:space="preserve"> </w:t>
      </w:r>
      <w:r w:rsidRPr="005734B8">
        <w:rPr>
          <w:rFonts w:ascii="Calibri" w:hAnsi="Calibri" w:cs="Calibri"/>
        </w:rPr>
        <w:fldChar w:fldCharType="begin"/>
      </w:r>
      <w:r w:rsidRPr="005734B8">
        <w:rPr>
          <w:rFonts w:ascii="Calibri" w:hAnsi="Calibri" w:cs="Calibri"/>
        </w:rPr>
        <w:instrText xml:space="preserve"> DOCPROPERTY  prYear  \* MERGEFORMAT </w:instrText>
      </w:r>
      <w:r w:rsidRPr="005734B8">
        <w:rPr>
          <w:rFonts w:ascii="Calibri" w:hAnsi="Calibri" w:cs="Calibri"/>
        </w:rPr>
        <w:fldChar w:fldCharType="separate"/>
      </w:r>
      <w:r w:rsidRPr="005734B8">
        <w:rPr>
          <w:rFonts w:ascii="Calibri" w:hAnsi="Calibri" w:cs="Calibri"/>
        </w:rPr>
        <w:t>2020</w:t>
      </w:r>
      <w:r w:rsidRPr="005734B8">
        <w:rPr>
          <w:rFonts w:ascii="Calibri" w:hAnsi="Calibri" w:cs="Calibri"/>
        </w:rPr>
        <w:fldChar w:fldCharType="end"/>
      </w:r>
    </w:p>
    <w:tbl>
      <w:tblPr>
        <w:tblW w:w="7625" w:type="dxa"/>
        <w:tblInd w:w="75" w:type="dxa"/>
        <w:tblLayout w:type="fixed"/>
        <w:tblLook w:val="04A0" w:firstRow="1" w:lastRow="0" w:firstColumn="1" w:lastColumn="0" w:noHBand="0" w:noVBand="1"/>
      </w:tblPr>
      <w:tblGrid>
        <w:gridCol w:w="3291"/>
        <w:gridCol w:w="1256"/>
        <w:gridCol w:w="951"/>
        <w:gridCol w:w="1033"/>
        <w:gridCol w:w="1094"/>
      </w:tblGrid>
      <w:tr w:rsidR="00F1540A" w:rsidRPr="005734B8" w14:paraId="03C37559" w14:textId="77777777" w:rsidTr="002653E2">
        <w:trPr>
          <w:trHeight w:val="533"/>
        </w:trPr>
        <w:tc>
          <w:tcPr>
            <w:tcW w:w="3291" w:type="dxa"/>
            <w:tcBorders>
              <w:top w:val="nil"/>
              <w:left w:val="single" w:sz="4" w:space="0" w:color="FFFFFF"/>
              <w:bottom w:val="single" w:sz="4" w:space="0" w:color="FFFFFF"/>
              <w:right w:val="single" w:sz="4" w:space="0" w:color="FFFFFF"/>
            </w:tcBorders>
            <w:shd w:val="clear" w:color="000000" w:fill="AF272F"/>
            <w:hideMark/>
          </w:tcPr>
          <w:p w14:paraId="2F5BAD7A" w14:textId="77777777" w:rsidR="00F1540A" w:rsidRPr="005734B8" w:rsidRDefault="00F1540A" w:rsidP="000F48B1">
            <w:pPr>
              <w:rPr>
                <w:rFonts w:ascii="Calibri" w:hAnsi="Calibri" w:cs="Calibri"/>
                <w:b/>
                <w:color w:val="FFFFFF"/>
                <w:sz w:val="18"/>
                <w:szCs w:val="18"/>
              </w:rPr>
            </w:pPr>
            <w:bookmarkStart w:id="1729" w:name="Note_FVMTABLE1" w:colFirst="0" w:colLast="0"/>
            <w:r w:rsidRPr="005734B8">
              <w:rPr>
                <w:rFonts w:ascii="Calibri" w:hAnsi="Calibri" w:cs="Calibri"/>
                <w:b/>
                <w:color w:val="FFFFFF"/>
                <w:sz w:val="18"/>
                <w:szCs w:val="18"/>
              </w:rPr>
              <w:t> </w:t>
            </w:r>
          </w:p>
        </w:tc>
        <w:tc>
          <w:tcPr>
            <w:tcW w:w="4334" w:type="dxa"/>
            <w:gridSpan w:val="4"/>
            <w:tcBorders>
              <w:top w:val="nil"/>
              <w:left w:val="nil"/>
              <w:bottom w:val="single" w:sz="4" w:space="0" w:color="FFFFFF"/>
              <w:right w:val="single" w:sz="4" w:space="0" w:color="FFFFFF"/>
            </w:tcBorders>
            <w:shd w:val="clear" w:color="000000" w:fill="AF272F"/>
            <w:vAlign w:val="center"/>
            <w:hideMark/>
          </w:tcPr>
          <w:p w14:paraId="6B1AF204"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Fair value measurement at end of reporting period using:</w:t>
            </w:r>
          </w:p>
        </w:tc>
      </w:tr>
      <w:bookmarkEnd w:id="1729"/>
      <w:tr w:rsidR="00F1540A" w:rsidRPr="005734B8" w14:paraId="5D48A6A1" w14:textId="77777777" w:rsidTr="002653E2">
        <w:trPr>
          <w:trHeight w:val="960"/>
        </w:trPr>
        <w:tc>
          <w:tcPr>
            <w:tcW w:w="3291" w:type="dxa"/>
            <w:tcBorders>
              <w:top w:val="nil"/>
              <w:left w:val="single" w:sz="4" w:space="0" w:color="FFFFFF"/>
              <w:bottom w:val="single" w:sz="4" w:space="0" w:color="FFFFFF"/>
              <w:right w:val="single" w:sz="4" w:space="0" w:color="FFFFFF"/>
            </w:tcBorders>
            <w:shd w:val="clear" w:color="000000" w:fill="AF272F"/>
            <w:hideMark/>
          </w:tcPr>
          <w:p w14:paraId="7C798E67" w14:textId="77777777" w:rsidR="00F1540A" w:rsidRPr="005734B8" w:rsidRDefault="00F1540A" w:rsidP="000F48B1">
            <w:pPr>
              <w:rPr>
                <w:rFonts w:ascii="Calibri" w:hAnsi="Calibri" w:cs="Calibri"/>
                <w:b/>
                <w:color w:val="FFFFFF"/>
                <w:sz w:val="18"/>
                <w:szCs w:val="18"/>
              </w:rPr>
            </w:pPr>
            <w:r w:rsidRPr="005734B8">
              <w:rPr>
                <w:rFonts w:ascii="Calibri" w:hAnsi="Calibri" w:cs="Calibri"/>
                <w:b/>
                <w:color w:val="FFFFFF"/>
                <w:sz w:val="18"/>
                <w:szCs w:val="18"/>
              </w:rPr>
              <w:t>2020</w:t>
            </w:r>
          </w:p>
        </w:tc>
        <w:tc>
          <w:tcPr>
            <w:tcW w:w="1256" w:type="dxa"/>
            <w:tcBorders>
              <w:top w:val="nil"/>
              <w:left w:val="nil"/>
              <w:bottom w:val="single" w:sz="4" w:space="0" w:color="auto"/>
              <w:right w:val="single" w:sz="4" w:space="0" w:color="FFFFFF"/>
            </w:tcBorders>
            <w:shd w:val="clear" w:color="000000" w:fill="AF272F"/>
            <w:hideMark/>
          </w:tcPr>
          <w:p w14:paraId="5E58F2A9"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Carrying amount as at 30 June 2020 ($m)</w:t>
            </w:r>
          </w:p>
        </w:tc>
        <w:tc>
          <w:tcPr>
            <w:tcW w:w="951" w:type="dxa"/>
            <w:tcBorders>
              <w:top w:val="nil"/>
              <w:left w:val="nil"/>
              <w:bottom w:val="single" w:sz="4" w:space="0" w:color="auto"/>
              <w:right w:val="single" w:sz="4" w:space="0" w:color="FFFFFF"/>
            </w:tcBorders>
            <w:shd w:val="clear" w:color="000000" w:fill="AF272F"/>
            <w:hideMark/>
          </w:tcPr>
          <w:p w14:paraId="1562374E"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Level 1 ($m)</w:t>
            </w:r>
          </w:p>
        </w:tc>
        <w:tc>
          <w:tcPr>
            <w:tcW w:w="1033" w:type="dxa"/>
            <w:tcBorders>
              <w:top w:val="nil"/>
              <w:left w:val="nil"/>
              <w:bottom w:val="single" w:sz="4" w:space="0" w:color="auto"/>
              <w:right w:val="single" w:sz="4" w:space="0" w:color="FFFFFF"/>
            </w:tcBorders>
            <w:shd w:val="clear" w:color="000000" w:fill="AF272F"/>
            <w:hideMark/>
          </w:tcPr>
          <w:p w14:paraId="73F0731D"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Level 2 ($m)</w:t>
            </w:r>
          </w:p>
        </w:tc>
        <w:tc>
          <w:tcPr>
            <w:tcW w:w="1094" w:type="dxa"/>
            <w:tcBorders>
              <w:top w:val="nil"/>
              <w:left w:val="nil"/>
              <w:bottom w:val="single" w:sz="4" w:space="0" w:color="auto"/>
              <w:right w:val="single" w:sz="4" w:space="0" w:color="FFFFFF"/>
            </w:tcBorders>
            <w:shd w:val="clear" w:color="000000" w:fill="AF272F"/>
            <w:hideMark/>
          </w:tcPr>
          <w:p w14:paraId="6A7D202F"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Level 3 ($m)</w:t>
            </w:r>
          </w:p>
        </w:tc>
      </w:tr>
      <w:tr w:rsidR="00F1540A" w:rsidRPr="005734B8" w14:paraId="13F1E89B" w14:textId="77777777" w:rsidTr="002653E2">
        <w:trPr>
          <w:trHeight w:val="255"/>
        </w:trPr>
        <w:tc>
          <w:tcPr>
            <w:tcW w:w="3291"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472D5C7C"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Land at fair value</w:t>
            </w:r>
          </w:p>
        </w:tc>
        <w:tc>
          <w:tcPr>
            <w:tcW w:w="1256" w:type="dxa"/>
            <w:tcBorders>
              <w:top w:val="nil"/>
              <w:left w:val="nil"/>
              <w:bottom w:val="single" w:sz="4" w:space="0" w:color="auto"/>
              <w:right w:val="single" w:sz="4" w:space="0" w:color="FFFFFF"/>
            </w:tcBorders>
            <w:shd w:val="clear" w:color="000000" w:fill="D9D9D9"/>
            <w:vAlign w:val="bottom"/>
            <w:hideMark/>
          </w:tcPr>
          <w:p w14:paraId="3241CD66"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951" w:type="dxa"/>
            <w:tcBorders>
              <w:top w:val="nil"/>
              <w:left w:val="nil"/>
              <w:bottom w:val="single" w:sz="4" w:space="0" w:color="auto"/>
              <w:right w:val="single" w:sz="4" w:space="0" w:color="FFFFFF"/>
            </w:tcBorders>
            <w:shd w:val="clear" w:color="000000" w:fill="D9D9D9"/>
            <w:vAlign w:val="bottom"/>
            <w:hideMark/>
          </w:tcPr>
          <w:p w14:paraId="21719F6B"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033" w:type="dxa"/>
            <w:tcBorders>
              <w:top w:val="nil"/>
              <w:left w:val="nil"/>
              <w:bottom w:val="single" w:sz="4" w:space="0" w:color="auto"/>
              <w:right w:val="single" w:sz="4" w:space="0" w:color="FFFFFF"/>
            </w:tcBorders>
            <w:shd w:val="clear" w:color="000000" w:fill="D9D9D9"/>
            <w:vAlign w:val="bottom"/>
            <w:hideMark/>
          </w:tcPr>
          <w:p w14:paraId="1EFD8BCA"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094" w:type="dxa"/>
            <w:tcBorders>
              <w:top w:val="nil"/>
              <w:left w:val="nil"/>
              <w:bottom w:val="single" w:sz="4" w:space="0" w:color="auto"/>
              <w:right w:val="single" w:sz="4" w:space="0" w:color="FFFFFF"/>
            </w:tcBorders>
            <w:shd w:val="clear" w:color="000000" w:fill="D9D9D9"/>
            <w:vAlign w:val="bottom"/>
            <w:hideMark/>
          </w:tcPr>
          <w:p w14:paraId="7FE87588"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707F38BE" w14:textId="77777777" w:rsidTr="002653E2">
        <w:trPr>
          <w:trHeight w:val="270"/>
        </w:trPr>
        <w:tc>
          <w:tcPr>
            <w:tcW w:w="3291" w:type="dxa"/>
            <w:tcBorders>
              <w:top w:val="nil"/>
              <w:left w:val="nil"/>
              <w:bottom w:val="single" w:sz="4" w:space="0" w:color="auto"/>
              <w:right w:val="nil"/>
            </w:tcBorders>
            <w:shd w:val="clear" w:color="FFFFFF" w:fill="FFFFFF"/>
            <w:vAlign w:val="center"/>
            <w:hideMark/>
          </w:tcPr>
          <w:p w14:paraId="42754213"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Land</w:t>
            </w:r>
          </w:p>
        </w:tc>
        <w:tc>
          <w:tcPr>
            <w:tcW w:w="1256" w:type="dxa"/>
            <w:tcBorders>
              <w:top w:val="nil"/>
              <w:left w:val="single" w:sz="4" w:space="0" w:color="FFFFFF"/>
              <w:bottom w:val="single" w:sz="4" w:space="0" w:color="auto"/>
              <w:right w:val="single" w:sz="4" w:space="0" w:color="FFFFFF"/>
            </w:tcBorders>
            <w:shd w:val="clear" w:color="FFFFFF" w:fill="FFFFFF"/>
            <w:noWrap/>
            <w:vAlign w:val="center"/>
            <w:hideMark/>
          </w:tcPr>
          <w:p w14:paraId="27749C7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10,869.9 </w:t>
            </w:r>
          </w:p>
        </w:tc>
        <w:tc>
          <w:tcPr>
            <w:tcW w:w="951" w:type="dxa"/>
            <w:tcBorders>
              <w:top w:val="nil"/>
              <w:left w:val="nil"/>
              <w:bottom w:val="single" w:sz="4" w:space="0" w:color="auto"/>
              <w:right w:val="single" w:sz="4" w:space="0" w:color="FFFFFF"/>
            </w:tcBorders>
            <w:shd w:val="clear" w:color="FFFFFF" w:fill="FFFFFF"/>
            <w:noWrap/>
            <w:vAlign w:val="center"/>
            <w:hideMark/>
          </w:tcPr>
          <w:p w14:paraId="3FA402C2" w14:textId="7E893526"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1033" w:type="dxa"/>
            <w:tcBorders>
              <w:top w:val="nil"/>
              <w:left w:val="nil"/>
              <w:bottom w:val="single" w:sz="4" w:space="0" w:color="auto"/>
              <w:right w:val="single" w:sz="4" w:space="0" w:color="FFFFFF"/>
            </w:tcBorders>
            <w:shd w:val="clear" w:color="FFFFFF" w:fill="FFFFFF"/>
            <w:noWrap/>
            <w:vAlign w:val="center"/>
            <w:hideMark/>
          </w:tcPr>
          <w:p w14:paraId="120AB1C8"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928.1 </w:t>
            </w:r>
          </w:p>
        </w:tc>
        <w:tc>
          <w:tcPr>
            <w:tcW w:w="1094" w:type="dxa"/>
            <w:tcBorders>
              <w:top w:val="nil"/>
              <w:left w:val="nil"/>
              <w:bottom w:val="single" w:sz="4" w:space="0" w:color="auto"/>
              <w:right w:val="single" w:sz="4" w:space="0" w:color="FFFFFF"/>
            </w:tcBorders>
            <w:shd w:val="clear" w:color="FFFFFF" w:fill="FFFFFF"/>
            <w:noWrap/>
            <w:vAlign w:val="center"/>
            <w:hideMark/>
          </w:tcPr>
          <w:p w14:paraId="3F530F5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9,941.8 </w:t>
            </w:r>
          </w:p>
        </w:tc>
      </w:tr>
      <w:tr w:rsidR="00F1540A" w:rsidRPr="005734B8" w14:paraId="7A60E3CD" w14:textId="77777777" w:rsidTr="002653E2">
        <w:trPr>
          <w:trHeight w:val="285"/>
        </w:trPr>
        <w:tc>
          <w:tcPr>
            <w:tcW w:w="329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BB0B234"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land at fair value</w:t>
            </w:r>
          </w:p>
        </w:tc>
        <w:tc>
          <w:tcPr>
            <w:tcW w:w="1256" w:type="dxa"/>
            <w:tcBorders>
              <w:top w:val="single" w:sz="12" w:space="0" w:color="auto"/>
              <w:left w:val="nil"/>
              <w:bottom w:val="single" w:sz="12" w:space="0" w:color="auto"/>
              <w:right w:val="single" w:sz="12" w:space="0" w:color="FFFFFF"/>
            </w:tcBorders>
            <w:shd w:val="clear" w:color="FFFFFF" w:fill="FFFFFF"/>
            <w:noWrap/>
            <w:vAlign w:val="center"/>
            <w:hideMark/>
          </w:tcPr>
          <w:p w14:paraId="24B1655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10,869.9 </w:t>
            </w:r>
          </w:p>
        </w:tc>
        <w:tc>
          <w:tcPr>
            <w:tcW w:w="951" w:type="dxa"/>
            <w:tcBorders>
              <w:top w:val="single" w:sz="12" w:space="0" w:color="auto"/>
              <w:left w:val="nil"/>
              <w:bottom w:val="single" w:sz="12" w:space="0" w:color="auto"/>
              <w:right w:val="single" w:sz="12" w:space="0" w:color="FFFFFF"/>
            </w:tcBorders>
            <w:shd w:val="clear" w:color="FFFFFF" w:fill="FFFFFF"/>
            <w:noWrap/>
            <w:vAlign w:val="center"/>
            <w:hideMark/>
          </w:tcPr>
          <w:p w14:paraId="448A468D" w14:textId="669E36CD" w:rsidR="00F1540A" w:rsidRPr="005734B8" w:rsidRDefault="002653E2" w:rsidP="000F48B1">
            <w:pPr>
              <w:jc w:val="right"/>
              <w:rPr>
                <w:rFonts w:ascii="Calibri" w:hAnsi="Calibri" w:cs="Calibri"/>
                <w:b/>
                <w:sz w:val="18"/>
                <w:szCs w:val="18"/>
              </w:rPr>
            </w:pPr>
            <w:r w:rsidRPr="005734B8">
              <w:rPr>
                <w:rFonts w:ascii="Calibri" w:hAnsi="Calibri" w:cs="Calibri"/>
                <w:sz w:val="18"/>
                <w:szCs w:val="18"/>
              </w:rPr>
              <w:t>–</w:t>
            </w:r>
          </w:p>
        </w:tc>
        <w:tc>
          <w:tcPr>
            <w:tcW w:w="1033" w:type="dxa"/>
            <w:tcBorders>
              <w:top w:val="single" w:sz="12" w:space="0" w:color="auto"/>
              <w:left w:val="nil"/>
              <w:bottom w:val="single" w:sz="12" w:space="0" w:color="auto"/>
              <w:right w:val="single" w:sz="12" w:space="0" w:color="FFFFFF"/>
            </w:tcBorders>
            <w:shd w:val="clear" w:color="FFFFFF" w:fill="FFFFFF"/>
            <w:noWrap/>
            <w:vAlign w:val="center"/>
            <w:hideMark/>
          </w:tcPr>
          <w:p w14:paraId="07C157AF"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928.1 </w:t>
            </w:r>
          </w:p>
        </w:tc>
        <w:tc>
          <w:tcPr>
            <w:tcW w:w="1094" w:type="dxa"/>
            <w:tcBorders>
              <w:top w:val="single" w:sz="12" w:space="0" w:color="auto"/>
              <w:left w:val="nil"/>
              <w:bottom w:val="single" w:sz="12" w:space="0" w:color="auto"/>
              <w:right w:val="single" w:sz="12" w:space="0" w:color="FFFFFF"/>
            </w:tcBorders>
            <w:shd w:val="clear" w:color="FFFFFF" w:fill="FFFFFF"/>
            <w:noWrap/>
            <w:vAlign w:val="center"/>
            <w:hideMark/>
          </w:tcPr>
          <w:p w14:paraId="1F4D7A7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9,941.8 </w:t>
            </w:r>
          </w:p>
        </w:tc>
      </w:tr>
      <w:tr w:rsidR="00F1540A" w:rsidRPr="005734B8" w14:paraId="5348B05B" w14:textId="77777777" w:rsidTr="002653E2">
        <w:trPr>
          <w:trHeight w:val="270"/>
        </w:trPr>
        <w:tc>
          <w:tcPr>
            <w:tcW w:w="3291"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721019DE"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Buildings at fair value</w:t>
            </w:r>
          </w:p>
        </w:tc>
        <w:tc>
          <w:tcPr>
            <w:tcW w:w="1256" w:type="dxa"/>
            <w:tcBorders>
              <w:top w:val="single" w:sz="4" w:space="0" w:color="auto"/>
              <w:left w:val="nil"/>
              <w:bottom w:val="single" w:sz="4" w:space="0" w:color="auto"/>
              <w:right w:val="single" w:sz="4" w:space="0" w:color="FFFFFF"/>
            </w:tcBorders>
            <w:shd w:val="clear" w:color="000000" w:fill="D9D9D9"/>
            <w:vAlign w:val="bottom"/>
            <w:hideMark/>
          </w:tcPr>
          <w:p w14:paraId="6EBD5727"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951" w:type="dxa"/>
            <w:tcBorders>
              <w:top w:val="single" w:sz="4" w:space="0" w:color="auto"/>
              <w:left w:val="nil"/>
              <w:bottom w:val="single" w:sz="4" w:space="0" w:color="auto"/>
              <w:right w:val="single" w:sz="4" w:space="0" w:color="FFFFFF"/>
            </w:tcBorders>
            <w:shd w:val="clear" w:color="000000" w:fill="D9D9D9"/>
            <w:vAlign w:val="bottom"/>
            <w:hideMark/>
          </w:tcPr>
          <w:p w14:paraId="70C55698"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033" w:type="dxa"/>
            <w:tcBorders>
              <w:top w:val="single" w:sz="4" w:space="0" w:color="auto"/>
              <w:left w:val="nil"/>
              <w:bottom w:val="single" w:sz="4" w:space="0" w:color="auto"/>
              <w:right w:val="single" w:sz="4" w:space="0" w:color="FFFFFF"/>
            </w:tcBorders>
            <w:shd w:val="clear" w:color="000000" w:fill="D9D9D9"/>
            <w:vAlign w:val="bottom"/>
            <w:hideMark/>
          </w:tcPr>
          <w:p w14:paraId="5D9806EB"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094" w:type="dxa"/>
            <w:tcBorders>
              <w:top w:val="single" w:sz="4" w:space="0" w:color="auto"/>
              <w:left w:val="nil"/>
              <w:bottom w:val="single" w:sz="4" w:space="0" w:color="auto"/>
              <w:right w:val="single" w:sz="4" w:space="0" w:color="FFFFFF"/>
            </w:tcBorders>
            <w:shd w:val="clear" w:color="000000" w:fill="D9D9D9"/>
            <w:vAlign w:val="bottom"/>
            <w:hideMark/>
          </w:tcPr>
          <w:p w14:paraId="2C4E4F65"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381CADF8" w14:textId="77777777" w:rsidTr="002653E2">
        <w:trPr>
          <w:trHeight w:val="270"/>
        </w:trPr>
        <w:tc>
          <w:tcPr>
            <w:tcW w:w="3291" w:type="dxa"/>
            <w:tcBorders>
              <w:top w:val="nil"/>
              <w:left w:val="nil"/>
              <w:bottom w:val="single" w:sz="4" w:space="0" w:color="auto"/>
              <w:right w:val="nil"/>
            </w:tcBorders>
            <w:shd w:val="clear" w:color="FFFFFF" w:fill="FFFFFF"/>
            <w:vAlign w:val="center"/>
            <w:hideMark/>
          </w:tcPr>
          <w:p w14:paraId="26A264A8"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Buildings</w:t>
            </w:r>
          </w:p>
        </w:tc>
        <w:tc>
          <w:tcPr>
            <w:tcW w:w="1256" w:type="dxa"/>
            <w:tcBorders>
              <w:top w:val="nil"/>
              <w:left w:val="single" w:sz="4" w:space="0" w:color="FFFFFF"/>
              <w:bottom w:val="single" w:sz="4" w:space="0" w:color="auto"/>
              <w:right w:val="single" w:sz="4" w:space="0" w:color="FFFFFF"/>
            </w:tcBorders>
            <w:shd w:val="clear" w:color="FFFFFF" w:fill="FFFFFF"/>
            <w:noWrap/>
            <w:vAlign w:val="center"/>
            <w:hideMark/>
          </w:tcPr>
          <w:p w14:paraId="3EFC537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12,509.2 </w:t>
            </w:r>
          </w:p>
        </w:tc>
        <w:tc>
          <w:tcPr>
            <w:tcW w:w="951" w:type="dxa"/>
            <w:tcBorders>
              <w:top w:val="nil"/>
              <w:left w:val="nil"/>
              <w:bottom w:val="single" w:sz="4" w:space="0" w:color="auto"/>
              <w:right w:val="single" w:sz="4" w:space="0" w:color="FFFFFF"/>
            </w:tcBorders>
            <w:shd w:val="clear" w:color="FFFFFF" w:fill="FFFFFF"/>
            <w:noWrap/>
            <w:vAlign w:val="center"/>
            <w:hideMark/>
          </w:tcPr>
          <w:p w14:paraId="711A5B7C" w14:textId="7B6A3583"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1033" w:type="dxa"/>
            <w:tcBorders>
              <w:top w:val="nil"/>
              <w:left w:val="nil"/>
              <w:bottom w:val="single" w:sz="4" w:space="0" w:color="auto"/>
              <w:right w:val="single" w:sz="4" w:space="0" w:color="FFFFFF"/>
            </w:tcBorders>
            <w:shd w:val="clear" w:color="FFFFFF" w:fill="FFFFFF"/>
            <w:noWrap/>
            <w:vAlign w:val="center"/>
            <w:hideMark/>
          </w:tcPr>
          <w:p w14:paraId="1B3495CA" w14:textId="7D18239C"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1094" w:type="dxa"/>
            <w:tcBorders>
              <w:top w:val="nil"/>
              <w:left w:val="nil"/>
              <w:bottom w:val="single" w:sz="4" w:space="0" w:color="auto"/>
              <w:right w:val="single" w:sz="4" w:space="0" w:color="FFFFFF"/>
            </w:tcBorders>
            <w:shd w:val="clear" w:color="FFFFFF" w:fill="FFFFFF"/>
            <w:noWrap/>
            <w:vAlign w:val="center"/>
            <w:hideMark/>
          </w:tcPr>
          <w:p w14:paraId="4B633608"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12,509.2 </w:t>
            </w:r>
          </w:p>
        </w:tc>
      </w:tr>
      <w:tr w:rsidR="00F1540A" w:rsidRPr="005734B8" w14:paraId="07122B8B" w14:textId="77777777" w:rsidTr="002653E2">
        <w:trPr>
          <w:trHeight w:val="285"/>
        </w:trPr>
        <w:tc>
          <w:tcPr>
            <w:tcW w:w="329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F4ACD7F"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buildings at fair value</w:t>
            </w:r>
          </w:p>
        </w:tc>
        <w:tc>
          <w:tcPr>
            <w:tcW w:w="1256" w:type="dxa"/>
            <w:tcBorders>
              <w:top w:val="single" w:sz="12" w:space="0" w:color="auto"/>
              <w:left w:val="nil"/>
              <w:bottom w:val="single" w:sz="12" w:space="0" w:color="auto"/>
              <w:right w:val="single" w:sz="12" w:space="0" w:color="FFFFFF"/>
            </w:tcBorders>
            <w:shd w:val="clear" w:color="FFFFFF" w:fill="FFFFFF"/>
            <w:noWrap/>
            <w:vAlign w:val="center"/>
            <w:hideMark/>
          </w:tcPr>
          <w:p w14:paraId="33BA6923"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12,509.2 </w:t>
            </w:r>
          </w:p>
        </w:tc>
        <w:tc>
          <w:tcPr>
            <w:tcW w:w="951" w:type="dxa"/>
            <w:tcBorders>
              <w:top w:val="single" w:sz="12" w:space="0" w:color="auto"/>
              <w:left w:val="nil"/>
              <w:bottom w:val="single" w:sz="12" w:space="0" w:color="auto"/>
              <w:right w:val="single" w:sz="12" w:space="0" w:color="FFFFFF"/>
            </w:tcBorders>
            <w:shd w:val="clear" w:color="FFFFFF" w:fill="FFFFFF"/>
            <w:noWrap/>
            <w:vAlign w:val="center"/>
            <w:hideMark/>
          </w:tcPr>
          <w:p w14:paraId="1160420D" w14:textId="29702BE9" w:rsidR="00F1540A" w:rsidRPr="005734B8" w:rsidRDefault="002653E2" w:rsidP="000F48B1">
            <w:pPr>
              <w:jc w:val="right"/>
              <w:rPr>
                <w:rFonts w:ascii="Calibri" w:hAnsi="Calibri" w:cs="Calibri"/>
                <w:b/>
                <w:sz w:val="18"/>
                <w:szCs w:val="18"/>
              </w:rPr>
            </w:pPr>
            <w:r w:rsidRPr="005734B8">
              <w:rPr>
                <w:rFonts w:ascii="Calibri" w:hAnsi="Calibri" w:cs="Calibri"/>
                <w:sz w:val="18"/>
                <w:szCs w:val="18"/>
              </w:rPr>
              <w:t>–</w:t>
            </w:r>
          </w:p>
        </w:tc>
        <w:tc>
          <w:tcPr>
            <w:tcW w:w="1033" w:type="dxa"/>
            <w:tcBorders>
              <w:top w:val="single" w:sz="12" w:space="0" w:color="auto"/>
              <w:left w:val="nil"/>
              <w:bottom w:val="single" w:sz="12" w:space="0" w:color="auto"/>
              <w:right w:val="single" w:sz="12" w:space="0" w:color="FFFFFF"/>
            </w:tcBorders>
            <w:shd w:val="clear" w:color="FFFFFF" w:fill="FFFFFF"/>
            <w:noWrap/>
            <w:vAlign w:val="center"/>
            <w:hideMark/>
          </w:tcPr>
          <w:p w14:paraId="34D2BA80" w14:textId="0159419E" w:rsidR="00F1540A" w:rsidRPr="005734B8" w:rsidRDefault="002653E2" w:rsidP="000F48B1">
            <w:pPr>
              <w:jc w:val="right"/>
              <w:rPr>
                <w:rFonts w:ascii="Calibri" w:hAnsi="Calibri" w:cs="Calibri"/>
                <w:b/>
                <w:sz w:val="18"/>
                <w:szCs w:val="18"/>
              </w:rPr>
            </w:pPr>
            <w:r w:rsidRPr="005734B8">
              <w:rPr>
                <w:rFonts w:ascii="Calibri" w:hAnsi="Calibri" w:cs="Calibri"/>
                <w:sz w:val="18"/>
                <w:szCs w:val="18"/>
              </w:rPr>
              <w:t>–</w:t>
            </w:r>
          </w:p>
        </w:tc>
        <w:tc>
          <w:tcPr>
            <w:tcW w:w="1094" w:type="dxa"/>
            <w:tcBorders>
              <w:top w:val="single" w:sz="12" w:space="0" w:color="auto"/>
              <w:left w:val="nil"/>
              <w:bottom w:val="single" w:sz="12" w:space="0" w:color="auto"/>
              <w:right w:val="single" w:sz="12" w:space="0" w:color="FFFFFF"/>
            </w:tcBorders>
            <w:shd w:val="clear" w:color="FFFFFF" w:fill="FFFFFF"/>
            <w:noWrap/>
            <w:vAlign w:val="center"/>
            <w:hideMark/>
          </w:tcPr>
          <w:p w14:paraId="134988CF"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12,509.2 </w:t>
            </w:r>
          </w:p>
        </w:tc>
      </w:tr>
      <w:tr w:rsidR="00F1540A" w:rsidRPr="005734B8" w14:paraId="120D096E" w14:textId="77777777" w:rsidTr="002653E2">
        <w:trPr>
          <w:trHeight w:val="270"/>
        </w:trPr>
        <w:tc>
          <w:tcPr>
            <w:tcW w:w="3291"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5F1D2BC4"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xml:space="preserve">Heritage buildings at fair value </w:t>
            </w:r>
          </w:p>
        </w:tc>
        <w:tc>
          <w:tcPr>
            <w:tcW w:w="1256" w:type="dxa"/>
            <w:tcBorders>
              <w:top w:val="single" w:sz="4" w:space="0" w:color="auto"/>
              <w:left w:val="nil"/>
              <w:bottom w:val="single" w:sz="4" w:space="0" w:color="auto"/>
              <w:right w:val="single" w:sz="4" w:space="0" w:color="FFFFFF"/>
            </w:tcBorders>
            <w:shd w:val="clear" w:color="000000" w:fill="D9D9D9"/>
            <w:vAlign w:val="bottom"/>
            <w:hideMark/>
          </w:tcPr>
          <w:p w14:paraId="7D24E7D9"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951" w:type="dxa"/>
            <w:tcBorders>
              <w:top w:val="single" w:sz="4" w:space="0" w:color="auto"/>
              <w:left w:val="nil"/>
              <w:bottom w:val="single" w:sz="4" w:space="0" w:color="auto"/>
              <w:right w:val="single" w:sz="4" w:space="0" w:color="FFFFFF"/>
            </w:tcBorders>
            <w:shd w:val="clear" w:color="000000" w:fill="D9D9D9"/>
            <w:vAlign w:val="center"/>
            <w:hideMark/>
          </w:tcPr>
          <w:p w14:paraId="0BDF7462" w14:textId="77777777" w:rsidR="00F1540A" w:rsidRPr="005734B8" w:rsidRDefault="00F1540A" w:rsidP="002653E2">
            <w:pPr>
              <w:jc w:val="right"/>
              <w:rPr>
                <w:rFonts w:ascii="Calibri" w:hAnsi="Calibri" w:cs="Calibri"/>
                <w:b/>
                <w:sz w:val="18"/>
                <w:szCs w:val="18"/>
              </w:rPr>
            </w:pPr>
            <w:r w:rsidRPr="005734B8">
              <w:rPr>
                <w:rFonts w:ascii="Calibri" w:hAnsi="Calibri" w:cs="Calibri"/>
                <w:b/>
                <w:sz w:val="18"/>
                <w:szCs w:val="18"/>
              </w:rPr>
              <w:t> </w:t>
            </w:r>
          </w:p>
        </w:tc>
        <w:tc>
          <w:tcPr>
            <w:tcW w:w="1033" w:type="dxa"/>
            <w:tcBorders>
              <w:top w:val="single" w:sz="4" w:space="0" w:color="auto"/>
              <w:left w:val="nil"/>
              <w:bottom w:val="single" w:sz="4" w:space="0" w:color="auto"/>
              <w:right w:val="single" w:sz="4" w:space="0" w:color="FFFFFF"/>
            </w:tcBorders>
            <w:shd w:val="clear" w:color="000000" w:fill="D9D9D9"/>
            <w:vAlign w:val="center"/>
            <w:hideMark/>
          </w:tcPr>
          <w:p w14:paraId="16809385" w14:textId="77777777" w:rsidR="00F1540A" w:rsidRPr="005734B8" w:rsidRDefault="00F1540A" w:rsidP="002653E2">
            <w:pPr>
              <w:jc w:val="right"/>
              <w:rPr>
                <w:rFonts w:ascii="Calibri" w:hAnsi="Calibri" w:cs="Calibri"/>
                <w:b/>
                <w:sz w:val="18"/>
                <w:szCs w:val="18"/>
              </w:rPr>
            </w:pPr>
            <w:r w:rsidRPr="005734B8">
              <w:rPr>
                <w:rFonts w:ascii="Calibri" w:hAnsi="Calibri" w:cs="Calibri"/>
                <w:b/>
                <w:sz w:val="18"/>
                <w:szCs w:val="18"/>
              </w:rPr>
              <w:t> </w:t>
            </w:r>
          </w:p>
        </w:tc>
        <w:tc>
          <w:tcPr>
            <w:tcW w:w="1094" w:type="dxa"/>
            <w:tcBorders>
              <w:top w:val="single" w:sz="4" w:space="0" w:color="auto"/>
              <w:left w:val="nil"/>
              <w:bottom w:val="single" w:sz="4" w:space="0" w:color="auto"/>
              <w:right w:val="single" w:sz="4" w:space="0" w:color="FFFFFF"/>
            </w:tcBorders>
            <w:shd w:val="clear" w:color="000000" w:fill="D9D9D9"/>
            <w:vAlign w:val="bottom"/>
            <w:hideMark/>
          </w:tcPr>
          <w:p w14:paraId="5DA80678"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350C7A50" w14:textId="77777777" w:rsidTr="002653E2">
        <w:trPr>
          <w:trHeight w:val="270"/>
        </w:trPr>
        <w:tc>
          <w:tcPr>
            <w:tcW w:w="3291" w:type="dxa"/>
            <w:tcBorders>
              <w:top w:val="nil"/>
              <w:left w:val="nil"/>
              <w:bottom w:val="single" w:sz="4" w:space="0" w:color="auto"/>
              <w:right w:val="nil"/>
            </w:tcBorders>
            <w:shd w:val="clear" w:color="FFFFFF" w:fill="FFFFFF"/>
            <w:vAlign w:val="center"/>
            <w:hideMark/>
          </w:tcPr>
          <w:p w14:paraId="192F80A7"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Heritage buildings</w:t>
            </w:r>
          </w:p>
        </w:tc>
        <w:tc>
          <w:tcPr>
            <w:tcW w:w="1256" w:type="dxa"/>
            <w:tcBorders>
              <w:top w:val="nil"/>
              <w:left w:val="single" w:sz="4" w:space="0" w:color="FFFFFF"/>
              <w:bottom w:val="single" w:sz="4" w:space="0" w:color="auto"/>
              <w:right w:val="single" w:sz="4" w:space="0" w:color="FFFFFF"/>
            </w:tcBorders>
            <w:shd w:val="clear" w:color="FFFFFF" w:fill="FFFFFF"/>
            <w:noWrap/>
            <w:vAlign w:val="center"/>
            <w:hideMark/>
          </w:tcPr>
          <w:p w14:paraId="4E67494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96.5 </w:t>
            </w:r>
          </w:p>
        </w:tc>
        <w:tc>
          <w:tcPr>
            <w:tcW w:w="951" w:type="dxa"/>
            <w:tcBorders>
              <w:top w:val="nil"/>
              <w:left w:val="nil"/>
              <w:bottom w:val="single" w:sz="4" w:space="0" w:color="auto"/>
              <w:right w:val="single" w:sz="4" w:space="0" w:color="FFFFFF"/>
            </w:tcBorders>
            <w:shd w:val="clear" w:color="FFFFFF" w:fill="FFFFFF"/>
            <w:noWrap/>
            <w:vAlign w:val="center"/>
            <w:hideMark/>
          </w:tcPr>
          <w:p w14:paraId="6B7314FD" w14:textId="795B249D"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1033" w:type="dxa"/>
            <w:tcBorders>
              <w:top w:val="nil"/>
              <w:left w:val="nil"/>
              <w:bottom w:val="single" w:sz="4" w:space="0" w:color="auto"/>
              <w:right w:val="single" w:sz="4" w:space="0" w:color="FFFFFF"/>
            </w:tcBorders>
            <w:shd w:val="clear" w:color="FFFFFF" w:fill="FFFFFF"/>
            <w:noWrap/>
            <w:vAlign w:val="center"/>
            <w:hideMark/>
          </w:tcPr>
          <w:p w14:paraId="38F912D7" w14:textId="7414F49E"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1094" w:type="dxa"/>
            <w:tcBorders>
              <w:top w:val="nil"/>
              <w:left w:val="nil"/>
              <w:bottom w:val="single" w:sz="4" w:space="0" w:color="auto"/>
              <w:right w:val="single" w:sz="4" w:space="0" w:color="FFFFFF"/>
            </w:tcBorders>
            <w:shd w:val="clear" w:color="FFFFFF" w:fill="FFFFFF"/>
            <w:noWrap/>
            <w:vAlign w:val="center"/>
            <w:hideMark/>
          </w:tcPr>
          <w:p w14:paraId="46548F5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96.5 </w:t>
            </w:r>
          </w:p>
        </w:tc>
      </w:tr>
      <w:tr w:rsidR="00F1540A" w:rsidRPr="005734B8" w14:paraId="33B72B2D" w14:textId="77777777" w:rsidTr="002653E2">
        <w:trPr>
          <w:trHeight w:val="285"/>
        </w:trPr>
        <w:tc>
          <w:tcPr>
            <w:tcW w:w="329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ABD2A40"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heritage buildings at fair value</w:t>
            </w:r>
          </w:p>
        </w:tc>
        <w:tc>
          <w:tcPr>
            <w:tcW w:w="1256" w:type="dxa"/>
            <w:tcBorders>
              <w:top w:val="single" w:sz="12" w:space="0" w:color="auto"/>
              <w:left w:val="nil"/>
              <w:bottom w:val="single" w:sz="12" w:space="0" w:color="auto"/>
              <w:right w:val="single" w:sz="12" w:space="0" w:color="FFFFFF"/>
            </w:tcBorders>
            <w:shd w:val="clear" w:color="FFFFFF" w:fill="FFFFFF"/>
            <w:noWrap/>
            <w:vAlign w:val="center"/>
            <w:hideMark/>
          </w:tcPr>
          <w:p w14:paraId="060AB544"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96.5 </w:t>
            </w:r>
          </w:p>
        </w:tc>
        <w:tc>
          <w:tcPr>
            <w:tcW w:w="951" w:type="dxa"/>
            <w:tcBorders>
              <w:top w:val="single" w:sz="12" w:space="0" w:color="auto"/>
              <w:left w:val="nil"/>
              <w:bottom w:val="single" w:sz="12" w:space="0" w:color="auto"/>
              <w:right w:val="single" w:sz="12" w:space="0" w:color="FFFFFF"/>
            </w:tcBorders>
            <w:shd w:val="clear" w:color="FFFFFF" w:fill="FFFFFF"/>
            <w:noWrap/>
            <w:vAlign w:val="center"/>
            <w:hideMark/>
          </w:tcPr>
          <w:p w14:paraId="63D8A746" w14:textId="4D97523A" w:rsidR="00F1540A" w:rsidRPr="005734B8" w:rsidRDefault="002653E2" w:rsidP="000F48B1">
            <w:pPr>
              <w:jc w:val="right"/>
              <w:rPr>
                <w:rFonts w:ascii="Calibri" w:hAnsi="Calibri" w:cs="Calibri"/>
                <w:b/>
                <w:sz w:val="18"/>
                <w:szCs w:val="18"/>
              </w:rPr>
            </w:pPr>
            <w:r w:rsidRPr="005734B8">
              <w:rPr>
                <w:rFonts w:ascii="Calibri" w:hAnsi="Calibri" w:cs="Calibri"/>
                <w:sz w:val="18"/>
                <w:szCs w:val="18"/>
              </w:rPr>
              <w:t>–</w:t>
            </w:r>
          </w:p>
        </w:tc>
        <w:tc>
          <w:tcPr>
            <w:tcW w:w="1033" w:type="dxa"/>
            <w:tcBorders>
              <w:top w:val="single" w:sz="12" w:space="0" w:color="auto"/>
              <w:left w:val="nil"/>
              <w:bottom w:val="single" w:sz="12" w:space="0" w:color="auto"/>
              <w:right w:val="single" w:sz="12" w:space="0" w:color="FFFFFF"/>
            </w:tcBorders>
            <w:shd w:val="clear" w:color="FFFFFF" w:fill="FFFFFF"/>
            <w:noWrap/>
            <w:vAlign w:val="center"/>
            <w:hideMark/>
          </w:tcPr>
          <w:p w14:paraId="099623C4" w14:textId="10E4BC52" w:rsidR="00F1540A" w:rsidRPr="005734B8" w:rsidRDefault="002653E2" w:rsidP="000F48B1">
            <w:pPr>
              <w:jc w:val="right"/>
              <w:rPr>
                <w:rFonts w:ascii="Calibri" w:hAnsi="Calibri" w:cs="Calibri"/>
                <w:b/>
                <w:sz w:val="18"/>
                <w:szCs w:val="18"/>
              </w:rPr>
            </w:pPr>
            <w:r w:rsidRPr="005734B8">
              <w:rPr>
                <w:rFonts w:ascii="Calibri" w:hAnsi="Calibri" w:cs="Calibri"/>
                <w:sz w:val="18"/>
                <w:szCs w:val="18"/>
              </w:rPr>
              <w:t>–</w:t>
            </w:r>
          </w:p>
        </w:tc>
        <w:tc>
          <w:tcPr>
            <w:tcW w:w="1094" w:type="dxa"/>
            <w:tcBorders>
              <w:top w:val="single" w:sz="12" w:space="0" w:color="auto"/>
              <w:left w:val="nil"/>
              <w:bottom w:val="single" w:sz="12" w:space="0" w:color="auto"/>
              <w:right w:val="single" w:sz="12" w:space="0" w:color="FFFFFF"/>
            </w:tcBorders>
            <w:shd w:val="clear" w:color="FFFFFF" w:fill="FFFFFF"/>
            <w:noWrap/>
            <w:vAlign w:val="center"/>
            <w:hideMark/>
          </w:tcPr>
          <w:p w14:paraId="5FE6C8E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96.5 </w:t>
            </w:r>
          </w:p>
        </w:tc>
      </w:tr>
      <w:tr w:rsidR="00F1540A" w:rsidRPr="005734B8" w14:paraId="367EA973" w14:textId="77777777" w:rsidTr="002653E2">
        <w:trPr>
          <w:trHeight w:val="270"/>
        </w:trPr>
        <w:tc>
          <w:tcPr>
            <w:tcW w:w="3291"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15003996"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Leasehold improvements at cost</w:t>
            </w:r>
          </w:p>
        </w:tc>
        <w:tc>
          <w:tcPr>
            <w:tcW w:w="1256" w:type="dxa"/>
            <w:tcBorders>
              <w:top w:val="single" w:sz="4" w:space="0" w:color="auto"/>
              <w:left w:val="nil"/>
              <w:bottom w:val="single" w:sz="4" w:space="0" w:color="auto"/>
              <w:right w:val="single" w:sz="4" w:space="0" w:color="FFFFFF"/>
            </w:tcBorders>
            <w:shd w:val="clear" w:color="000000" w:fill="D9D9D9"/>
            <w:vAlign w:val="bottom"/>
            <w:hideMark/>
          </w:tcPr>
          <w:p w14:paraId="44ADF9F9"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951" w:type="dxa"/>
            <w:tcBorders>
              <w:top w:val="single" w:sz="4" w:space="0" w:color="auto"/>
              <w:left w:val="nil"/>
              <w:bottom w:val="single" w:sz="4" w:space="0" w:color="auto"/>
              <w:right w:val="single" w:sz="4" w:space="0" w:color="FFFFFF"/>
            </w:tcBorders>
            <w:shd w:val="clear" w:color="000000" w:fill="D9D9D9"/>
            <w:vAlign w:val="center"/>
            <w:hideMark/>
          </w:tcPr>
          <w:p w14:paraId="615B8E10" w14:textId="77777777" w:rsidR="00F1540A" w:rsidRPr="005734B8" w:rsidRDefault="00F1540A" w:rsidP="002653E2">
            <w:pPr>
              <w:jc w:val="right"/>
              <w:rPr>
                <w:rFonts w:ascii="Calibri" w:hAnsi="Calibri" w:cs="Calibri"/>
                <w:b/>
                <w:sz w:val="18"/>
                <w:szCs w:val="18"/>
              </w:rPr>
            </w:pPr>
            <w:r w:rsidRPr="005734B8">
              <w:rPr>
                <w:rFonts w:ascii="Calibri" w:hAnsi="Calibri" w:cs="Calibri"/>
                <w:b/>
                <w:sz w:val="18"/>
                <w:szCs w:val="18"/>
              </w:rPr>
              <w:t> </w:t>
            </w:r>
          </w:p>
        </w:tc>
        <w:tc>
          <w:tcPr>
            <w:tcW w:w="1033" w:type="dxa"/>
            <w:tcBorders>
              <w:top w:val="single" w:sz="4" w:space="0" w:color="auto"/>
              <w:left w:val="nil"/>
              <w:bottom w:val="single" w:sz="4" w:space="0" w:color="auto"/>
              <w:right w:val="single" w:sz="4" w:space="0" w:color="FFFFFF"/>
            </w:tcBorders>
            <w:shd w:val="clear" w:color="000000" w:fill="D9D9D9"/>
            <w:vAlign w:val="center"/>
            <w:hideMark/>
          </w:tcPr>
          <w:p w14:paraId="1065D608" w14:textId="77777777" w:rsidR="00F1540A" w:rsidRPr="005734B8" w:rsidRDefault="00F1540A" w:rsidP="002653E2">
            <w:pPr>
              <w:jc w:val="right"/>
              <w:rPr>
                <w:rFonts w:ascii="Calibri" w:hAnsi="Calibri" w:cs="Calibri"/>
                <w:b/>
                <w:sz w:val="18"/>
                <w:szCs w:val="18"/>
              </w:rPr>
            </w:pPr>
            <w:r w:rsidRPr="005734B8">
              <w:rPr>
                <w:rFonts w:ascii="Calibri" w:hAnsi="Calibri" w:cs="Calibri"/>
                <w:b/>
                <w:sz w:val="18"/>
                <w:szCs w:val="18"/>
              </w:rPr>
              <w:t> </w:t>
            </w:r>
          </w:p>
        </w:tc>
        <w:tc>
          <w:tcPr>
            <w:tcW w:w="1094" w:type="dxa"/>
            <w:tcBorders>
              <w:top w:val="single" w:sz="4" w:space="0" w:color="auto"/>
              <w:left w:val="nil"/>
              <w:bottom w:val="single" w:sz="4" w:space="0" w:color="auto"/>
              <w:right w:val="single" w:sz="4" w:space="0" w:color="FFFFFF"/>
            </w:tcBorders>
            <w:shd w:val="clear" w:color="000000" w:fill="D9D9D9"/>
            <w:vAlign w:val="bottom"/>
            <w:hideMark/>
          </w:tcPr>
          <w:p w14:paraId="2DD098B2"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243A8785" w14:textId="77777777" w:rsidTr="002653E2">
        <w:trPr>
          <w:trHeight w:val="270"/>
        </w:trPr>
        <w:tc>
          <w:tcPr>
            <w:tcW w:w="3291" w:type="dxa"/>
            <w:tcBorders>
              <w:top w:val="nil"/>
              <w:left w:val="nil"/>
              <w:bottom w:val="single" w:sz="4" w:space="0" w:color="auto"/>
              <w:right w:val="nil"/>
            </w:tcBorders>
            <w:shd w:val="clear" w:color="FFFFFF" w:fill="FFFFFF"/>
            <w:vAlign w:val="center"/>
            <w:hideMark/>
          </w:tcPr>
          <w:p w14:paraId="343770E0"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Leasehold improvements</w:t>
            </w:r>
          </w:p>
        </w:tc>
        <w:tc>
          <w:tcPr>
            <w:tcW w:w="1256" w:type="dxa"/>
            <w:tcBorders>
              <w:top w:val="nil"/>
              <w:left w:val="single" w:sz="4" w:space="0" w:color="FFFFFF"/>
              <w:bottom w:val="single" w:sz="4" w:space="0" w:color="auto"/>
              <w:right w:val="single" w:sz="4" w:space="0" w:color="FFFFFF"/>
            </w:tcBorders>
            <w:shd w:val="clear" w:color="FFFFFF" w:fill="FFFFFF"/>
            <w:noWrap/>
            <w:vAlign w:val="center"/>
            <w:hideMark/>
          </w:tcPr>
          <w:p w14:paraId="4DF221E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12.4 </w:t>
            </w:r>
          </w:p>
        </w:tc>
        <w:tc>
          <w:tcPr>
            <w:tcW w:w="951" w:type="dxa"/>
            <w:tcBorders>
              <w:top w:val="nil"/>
              <w:left w:val="nil"/>
              <w:bottom w:val="single" w:sz="4" w:space="0" w:color="auto"/>
              <w:right w:val="single" w:sz="4" w:space="0" w:color="FFFFFF"/>
            </w:tcBorders>
            <w:shd w:val="clear" w:color="FFFFFF" w:fill="FFFFFF"/>
            <w:noWrap/>
            <w:vAlign w:val="center"/>
            <w:hideMark/>
          </w:tcPr>
          <w:p w14:paraId="5D0AB324" w14:textId="6FE3EEE8"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1033" w:type="dxa"/>
            <w:tcBorders>
              <w:top w:val="nil"/>
              <w:left w:val="nil"/>
              <w:bottom w:val="single" w:sz="4" w:space="0" w:color="auto"/>
              <w:right w:val="single" w:sz="4" w:space="0" w:color="FFFFFF"/>
            </w:tcBorders>
            <w:shd w:val="clear" w:color="FFFFFF" w:fill="FFFFFF"/>
            <w:noWrap/>
            <w:vAlign w:val="center"/>
            <w:hideMark/>
          </w:tcPr>
          <w:p w14:paraId="7E875653" w14:textId="20C1D3D3"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1094" w:type="dxa"/>
            <w:tcBorders>
              <w:top w:val="nil"/>
              <w:left w:val="nil"/>
              <w:bottom w:val="single" w:sz="4" w:space="0" w:color="auto"/>
              <w:right w:val="single" w:sz="4" w:space="0" w:color="FFFFFF"/>
            </w:tcBorders>
            <w:shd w:val="clear" w:color="FFFFFF" w:fill="FFFFFF"/>
            <w:noWrap/>
            <w:vAlign w:val="center"/>
            <w:hideMark/>
          </w:tcPr>
          <w:p w14:paraId="29079DB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12.4 </w:t>
            </w:r>
          </w:p>
        </w:tc>
      </w:tr>
      <w:tr w:rsidR="00F1540A" w:rsidRPr="005734B8" w14:paraId="3DAE6B0A" w14:textId="77777777" w:rsidTr="002653E2">
        <w:trPr>
          <w:trHeight w:val="510"/>
        </w:trPr>
        <w:tc>
          <w:tcPr>
            <w:tcW w:w="329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46DAD77"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leasehold improvements at cost</w:t>
            </w:r>
          </w:p>
        </w:tc>
        <w:tc>
          <w:tcPr>
            <w:tcW w:w="1256" w:type="dxa"/>
            <w:tcBorders>
              <w:top w:val="single" w:sz="12" w:space="0" w:color="auto"/>
              <w:left w:val="nil"/>
              <w:bottom w:val="single" w:sz="12" w:space="0" w:color="auto"/>
              <w:right w:val="single" w:sz="12" w:space="0" w:color="FFFFFF"/>
            </w:tcBorders>
            <w:shd w:val="clear" w:color="FFFFFF" w:fill="FFFFFF"/>
            <w:noWrap/>
            <w:vAlign w:val="center"/>
            <w:hideMark/>
          </w:tcPr>
          <w:p w14:paraId="2EA49841"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12.4 </w:t>
            </w:r>
          </w:p>
        </w:tc>
        <w:tc>
          <w:tcPr>
            <w:tcW w:w="951" w:type="dxa"/>
            <w:tcBorders>
              <w:top w:val="single" w:sz="12" w:space="0" w:color="auto"/>
              <w:left w:val="nil"/>
              <w:bottom w:val="single" w:sz="12" w:space="0" w:color="auto"/>
              <w:right w:val="single" w:sz="12" w:space="0" w:color="FFFFFF"/>
            </w:tcBorders>
            <w:shd w:val="clear" w:color="FFFFFF" w:fill="FFFFFF"/>
            <w:noWrap/>
            <w:vAlign w:val="center"/>
            <w:hideMark/>
          </w:tcPr>
          <w:p w14:paraId="7B71D059" w14:textId="46208EA7" w:rsidR="00F1540A" w:rsidRPr="005734B8" w:rsidRDefault="002653E2" w:rsidP="000F48B1">
            <w:pPr>
              <w:jc w:val="right"/>
              <w:rPr>
                <w:rFonts w:ascii="Calibri" w:hAnsi="Calibri" w:cs="Calibri"/>
                <w:b/>
                <w:sz w:val="18"/>
                <w:szCs w:val="18"/>
              </w:rPr>
            </w:pPr>
            <w:r w:rsidRPr="005734B8">
              <w:rPr>
                <w:rFonts w:ascii="Calibri" w:hAnsi="Calibri" w:cs="Calibri"/>
                <w:sz w:val="18"/>
                <w:szCs w:val="18"/>
              </w:rPr>
              <w:t>–</w:t>
            </w:r>
          </w:p>
        </w:tc>
        <w:tc>
          <w:tcPr>
            <w:tcW w:w="1033" w:type="dxa"/>
            <w:tcBorders>
              <w:top w:val="single" w:sz="12" w:space="0" w:color="auto"/>
              <w:left w:val="nil"/>
              <w:bottom w:val="single" w:sz="12" w:space="0" w:color="auto"/>
              <w:right w:val="single" w:sz="12" w:space="0" w:color="FFFFFF"/>
            </w:tcBorders>
            <w:shd w:val="clear" w:color="FFFFFF" w:fill="FFFFFF"/>
            <w:noWrap/>
            <w:vAlign w:val="center"/>
            <w:hideMark/>
          </w:tcPr>
          <w:p w14:paraId="5852E542" w14:textId="4E9A7E26" w:rsidR="00F1540A" w:rsidRPr="005734B8" w:rsidRDefault="002653E2" w:rsidP="000F48B1">
            <w:pPr>
              <w:jc w:val="right"/>
              <w:rPr>
                <w:rFonts w:ascii="Calibri" w:hAnsi="Calibri" w:cs="Calibri"/>
                <w:b/>
                <w:sz w:val="18"/>
                <w:szCs w:val="18"/>
              </w:rPr>
            </w:pPr>
            <w:r w:rsidRPr="005734B8">
              <w:rPr>
                <w:rFonts w:ascii="Calibri" w:hAnsi="Calibri" w:cs="Calibri"/>
                <w:sz w:val="18"/>
                <w:szCs w:val="18"/>
              </w:rPr>
              <w:t>–</w:t>
            </w:r>
          </w:p>
        </w:tc>
        <w:tc>
          <w:tcPr>
            <w:tcW w:w="1094" w:type="dxa"/>
            <w:tcBorders>
              <w:top w:val="single" w:sz="12" w:space="0" w:color="auto"/>
              <w:left w:val="nil"/>
              <w:bottom w:val="single" w:sz="12" w:space="0" w:color="auto"/>
              <w:right w:val="single" w:sz="12" w:space="0" w:color="FFFFFF"/>
            </w:tcBorders>
            <w:shd w:val="clear" w:color="FFFFFF" w:fill="FFFFFF"/>
            <w:noWrap/>
            <w:vAlign w:val="center"/>
            <w:hideMark/>
          </w:tcPr>
          <w:p w14:paraId="7F3209C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12.4 </w:t>
            </w:r>
          </w:p>
        </w:tc>
      </w:tr>
      <w:tr w:rsidR="00F1540A" w:rsidRPr="005734B8" w14:paraId="3212F5AE" w14:textId="77777777" w:rsidTr="002653E2">
        <w:trPr>
          <w:trHeight w:val="270"/>
        </w:trPr>
        <w:tc>
          <w:tcPr>
            <w:tcW w:w="3291"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674D44C2"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Plant and equipment at fair value</w:t>
            </w:r>
          </w:p>
        </w:tc>
        <w:tc>
          <w:tcPr>
            <w:tcW w:w="1256" w:type="dxa"/>
            <w:tcBorders>
              <w:top w:val="single" w:sz="4" w:space="0" w:color="auto"/>
              <w:left w:val="nil"/>
              <w:bottom w:val="single" w:sz="4" w:space="0" w:color="auto"/>
              <w:right w:val="single" w:sz="4" w:space="0" w:color="FFFFFF"/>
            </w:tcBorders>
            <w:shd w:val="clear" w:color="000000" w:fill="D9D9D9"/>
            <w:vAlign w:val="bottom"/>
            <w:hideMark/>
          </w:tcPr>
          <w:p w14:paraId="1A53B66C"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951" w:type="dxa"/>
            <w:tcBorders>
              <w:top w:val="single" w:sz="4" w:space="0" w:color="auto"/>
              <w:left w:val="nil"/>
              <w:bottom w:val="single" w:sz="4" w:space="0" w:color="auto"/>
              <w:right w:val="single" w:sz="4" w:space="0" w:color="FFFFFF"/>
            </w:tcBorders>
            <w:shd w:val="clear" w:color="000000" w:fill="D9D9D9"/>
            <w:vAlign w:val="center"/>
            <w:hideMark/>
          </w:tcPr>
          <w:p w14:paraId="188A0EF3" w14:textId="77777777" w:rsidR="00F1540A" w:rsidRPr="005734B8" w:rsidRDefault="00F1540A" w:rsidP="002653E2">
            <w:pPr>
              <w:jc w:val="right"/>
              <w:rPr>
                <w:rFonts w:ascii="Calibri" w:hAnsi="Calibri" w:cs="Calibri"/>
                <w:b/>
                <w:sz w:val="18"/>
                <w:szCs w:val="18"/>
              </w:rPr>
            </w:pPr>
            <w:r w:rsidRPr="005734B8">
              <w:rPr>
                <w:rFonts w:ascii="Calibri" w:hAnsi="Calibri" w:cs="Calibri"/>
                <w:b/>
                <w:sz w:val="18"/>
                <w:szCs w:val="18"/>
              </w:rPr>
              <w:t> </w:t>
            </w:r>
          </w:p>
        </w:tc>
        <w:tc>
          <w:tcPr>
            <w:tcW w:w="1033" w:type="dxa"/>
            <w:tcBorders>
              <w:top w:val="single" w:sz="4" w:space="0" w:color="auto"/>
              <w:left w:val="nil"/>
              <w:bottom w:val="single" w:sz="4" w:space="0" w:color="auto"/>
              <w:right w:val="single" w:sz="4" w:space="0" w:color="FFFFFF"/>
            </w:tcBorders>
            <w:shd w:val="clear" w:color="000000" w:fill="D9D9D9"/>
            <w:vAlign w:val="center"/>
            <w:hideMark/>
          </w:tcPr>
          <w:p w14:paraId="036C3F39" w14:textId="77777777" w:rsidR="00F1540A" w:rsidRPr="005734B8" w:rsidRDefault="00F1540A" w:rsidP="002653E2">
            <w:pPr>
              <w:jc w:val="right"/>
              <w:rPr>
                <w:rFonts w:ascii="Calibri" w:hAnsi="Calibri" w:cs="Calibri"/>
                <w:b/>
                <w:sz w:val="18"/>
                <w:szCs w:val="18"/>
              </w:rPr>
            </w:pPr>
            <w:r w:rsidRPr="005734B8">
              <w:rPr>
                <w:rFonts w:ascii="Calibri" w:hAnsi="Calibri" w:cs="Calibri"/>
                <w:b/>
                <w:sz w:val="18"/>
                <w:szCs w:val="18"/>
              </w:rPr>
              <w:t> </w:t>
            </w:r>
          </w:p>
        </w:tc>
        <w:tc>
          <w:tcPr>
            <w:tcW w:w="1094" w:type="dxa"/>
            <w:tcBorders>
              <w:top w:val="single" w:sz="4" w:space="0" w:color="auto"/>
              <w:left w:val="nil"/>
              <w:bottom w:val="single" w:sz="4" w:space="0" w:color="auto"/>
              <w:right w:val="single" w:sz="4" w:space="0" w:color="FFFFFF"/>
            </w:tcBorders>
            <w:shd w:val="clear" w:color="000000" w:fill="D9D9D9"/>
            <w:vAlign w:val="bottom"/>
            <w:hideMark/>
          </w:tcPr>
          <w:p w14:paraId="6AC210FF"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4D663F9D" w14:textId="77777777" w:rsidTr="002653E2">
        <w:trPr>
          <w:trHeight w:val="270"/>
        </w:trPr>
        <w:tc>
          <w:tcPr>
            <w:tcW w:w="3291" w:type="dxa"/>
            <w:tcBorders>
              <w:top w:val="nil"/>
              <w:left w:val="nil"/>
              <w:bottom w:val="single" w:sz="4" w:space="0" w:color="auto"/>
              <w:right w:val="nil"/>
            </w:tcBorders>
            <w:shd w:val="clear" w:color="FFFFFF" w:fill="FFFFFF"/>
            <w:vAlign w:val="center"/>
            <w:hideMark/>
          </w:tcPr>
          <w:p w14:paraId="1C67F565"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Plant and equipment</w:t>
            </w:r>
          </w:p>
        </w:tc>
        <w:tc>
          <w:tcPr>
            <w:tcW w:w="1256" w:type="dxa"/>
            <w:tcBorders>
              <w:top w:val="nil"/>
              <w:left w:val="single" w:sz="4" w:space="0" w:color="FFFFFF"/>
              <w:bottom w:val="single" w:sz="4" w:space="0" w:color="auto"/>
              <w:right w:val="single" w:sz="4" w:space="0" w:color="FFFFFF"/>
            </w:tcBorders>
            <w:shd w:val="clear" w:color="FFFFFF" w:fill="FFFFFF"/>
            <w:noWrap/>
            <w:vAlign w:val="center"/>
            <w:hideMark/>
          </w:tcPr>
          <w:p w14:paraId="5B3DEDB8"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78.3 </w:t>
            </w:r>
          </w:p>
        </w:tc>
        <w:tc>
          <w:tcPr>
            <w:tcW w:w="951" w:type="dxa"/>
            <w:tcBorders>
              <w:top w:val="nil"/>
              <w:left w:val="nil"/>
              <w:bottom w:val="single" w:sz="4" w:space="0" w:color="auto"/>
              <w:right w:val="single" w:sz="4" w:space="0" w:color="FFFFFF"/>
            </w:tcBorders>
            <w:shd w:val="clear" w:color="FFFFFF" w:fill="FFFFFF"/>
            <w:noWrap/>
            <w:vAlign w:val="center"/>
            <w:hideMark/>
          </w:tcPr>
          <w:p w14:paraId="71D5975D" w14:textId="00CBBE74"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1033" w:type="dxa"/>
            <w:tcBorders>
              <w:top w:val="nil"/>
              <w:left w:val="nil"/>
              <w:bottom w:val="single" w:sz="4" w:space="0" w:color="auto"/>
              <w:right w:val="single" w:sz="4" w:space="0" w:color="FFFFFF"/>
            </w:tcBorders>
            <w:shd w:val="clear" w:color="FFFFFF" w:fill="FFFFFF"/>
            <w:noWrap/>
            <w:vAlign w:val="center"/>
            <w:hideMark/>
          </w:tcPr>
          <w:p w14:paraId="2A1CBDBA" w14:textId="6844A8F3" w:rsidR="00F1540A" w:rsidRPr="005734B8" w:rsidRDefault="002653E2" w:rsidP="000F48B1">
            <w:pPr>
              <w:jc w:val="right"/>
              <w:rPr>
                <w:rFonts w:ascii="Calibri" w:hAnsi="Calibri" w:cs="Calibri"/>
                <w:sz w:val="18"/>
                <w:szCs w:val="18"/>
              </w:rPr>
            </w:pPr>
            <w:r w:rsidRPr="005734B8">
              <w:rPr>
                <w:rFonts w:ascii="Calibri" w:hAnsi="Calibri" w:cs="Calibri"/>
                <w:sz w:val="18"/>
                <w:szCs w:val="18"/>
              </w:rPr>
              <w:t>–</w:t>
            </w:r>
          </w:p>
        </w:tc>
        <w:tc>
          <w:tcPr>
            <w:tcW w:w="1094" w:type="dxa"/>
            <w:tcBorders>
              <w:top w:val="nil"/>
              <w:left w:val="nil"/>
              <w:bottom w:val="single" w:sz="4" w:space="0" w:color="auto"/>
              <w:right w:val="single" w:sz="4" w:space="0" w:color="FFFFFF"/>
            </w:tcBorders>
            <w:shd w:val="clear" w:color="FFFFFF" w:fill="FFFFFF"/>
            <w:noWrap/>
            <w:vAlign w:val="center"/>
            <w:hideMark/>
          </w:tcPr>
          <w:p w14:paraId="2BA754A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78.3 </w:t>
            </w:r>
          </w:p>
        </w:tc>
      </w:tr>
      <w:tr w:rsidR="00F1540A" w:rsidRPr="005734B8" w14:paraId="28455D2B" w14:textId="77777777" w:rsidTr="002653E2">
        <w:trPr>
          <w:trHeight w:val="510"/>
        </w:trPr>
        <w:tc>
          <w:tcPr>
            <w:tcW w:w="329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6A33A6E"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plant and equipment at fair value</w:t>
            </w:r>
          </w:p>
        </w:tc>
        <w:tc>
          <w:tcPr>
            <w:tcW w:w="1256" w:type="dxa"/>
            <w:tcBorders>
              <w:top w:val="single" w:sz="12" w:space="0" w:color="auto"/>
              <w:left w:val="nil"/>
              <w:bottom w:val="single" w:sz="12" w:space="0" w:color="auto"/>
              <w:right w:val="single" w:sz="12" w:space="0" w:color="FFFFFF"/>
            </w:tcBorders>
            <w:shd w:val="clear" w:color="FFFFFF" w:fill="FFFFFF"/>
            <w:noWrap/>
            <w:vAlign w:val="center"/>
            <w:hideMark/>
          </w:tcPr>
          <w:p w14:paraId="1F058A58"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78.3 </w:t>
            </w:r>
          </w:p>
        </w:tc>
        <w:tc>
          <w:tcPr>
            <w:tcW w:w="951" w:type="dxa"/>
            <w:tcBorders>
              <w:top w:val="single" w:sz="12" w:space="0" w:color="auto"/>
              <w:left w:val="nil"/>
              <w:bottom w:val="single" w:sz="12" w:space="0" w:color="auto"/>
              <w:right w:val="single" w:sz="12" w:space="0" w:color="FFFFFF"/>
            </w:tcBorders>
            <w:shd w:val="clear" w:color="FFFFFF" w:fill="FFFFFF"/>
            <w:noWrap/>
            <w:vAlign w:val="center"/>
            <w:hideMark/>
          </w:tcPr>
          <w:p w14:paraId="32991987" w14:textId="38EFD3C3" w:rsidR="00F1540A" w:rsidRPr="005734B8" w:rsidRDefault="002653E2" w:rsidP="000F48B1">
            <w:pPr>
              <w:jc w:val="right"/>
              <w:rPr>
                <w:rFonts w:ascii="Calibri" w:hAnsi="Calibri" w:cs="Calibri"/>
                <w:b/>
                <w:sz w:val="18"/>
                <w:szCs w:val="18"/>
              </w:rPr>
            </w:pPr>
            <w:r w:rsidRPr="005734B8">
              <w:rPr>
                <w:rFonts w:ascii="Calibri" w:hAnsi="Calibri" w:cs="Calibri"/>
                <w:sz w:val="18"/>
                <w:szCs w:val="18"/>
              </w:rPr>
              <w:t>–</w:t>
            </w:r>
          </w:p>
        </w:tc>
        <w:tc>
          <w:tcPr>
            <w:tcW w:w="1033" w:type="dxa"/>
            <w:tcBorders>
              <w:top w:val="single" w:sz="12" w:space="0" w:color="auto"/>
              <w:left w:val="nil"/>
              <w:bottom w:val="single" w:sz="12" w:space="0" w:color="auto"/>
              <w:right w:val="single" w:sz="12" w:space="0" w:color="FFFFFF"/>
            </w:tcBorders>
            <w:shd w:val="clear" w:color="FFFFFF" w:fill="FFFFFF"/>
            <w:noWrap/>
            <w:vAlign w:val="center"/>
            <w:hideMark/>
          </w:tcPr>
          <w:p w14:paraId="3675156D" w14:textId="33915A77" w:rsidR="00F1540A" w:rsidRPr="005734B8" w:rsidRDefault="002653E2" w:rsidP="000F48B1">
            <w:pPr>
              <w:jc w:val="right"/>
              <w:rPr>
                <w:rFonts w:ascii="Calibri" w:hAnsi="Calibri" w:cs="Calibri"/>
                <w:b/>
                <w:sz w:val="18"/>
                <w:szCs w:val="18"/>
              </w:rPr>
            </w:pPr>
            <w:r w:rsidRPr="005734B8">
              <w:rPr>
                <w:rFonts w:ascii="Calibri" w:hAnsi="Calibri" w:cs="Calibri"/>
                <w:sz w:val="18"/>
                <w:szCs w:val="18"/>
              </w:rPr>
              <w:t>–</w:t>
            </w:r>
          </w:p>
        </w:tc>
        <w:tc>
          <w:tcPr>
            <w:tcW w:w="1094" w:type="dxa"/>
            <w:tcBorders>
              <w:top w:val="single" w:sz="12" w:space="0" w:color="auto"/>
              <w:left w:val="nil"/>
              <w:bottom w:val="single" w:sz="12" w:space="0" w:color="auto"/>
              <w:right w:val="single" w:sz="12" w:space="0" w:color="FFFFFF"/>
            </w:tcBorders>
            <w:shd w:val="clear" w:color="FFFFFF" w:fill="FFFFFF"/>
            <w:noWrap/>
            <w:vAlign w:val="center"/>
            <w:hideMark/>
          </w:tcPr>
          <w:p w14:paraId="44C3D814"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78.3 </w:t>
            </w:r>
          </w:p>
        </w:tc>
      </w:tr>
    </w:tbl>
    <w:p w14:paraId="081415AA" w14:textId="6E3A0CBA" w:rsidR="00F1540A" w:rsidRPr="005734B8" w:rsidRDefault="00F1540A" w:rsidP="00F1540A">
      <w:pPr>
        <w:rPr>
          <w:rFonts w:ascii="Calibri" w:hAnsi="Calibri" w:cs="Calibri"/>
        </w:rPr>
      </w:pPr>
    </w:p>
    <w:p w14:paraId="44073B2C" w14:textId="6475EDB6" w:rsidR="000F6516" w:rsidRPr="005734B8" w:rsidRDefault="000F6516" w:rsidP="00F1540A">
      <w:pPr>
        <w:rPr>
          <w:rFonts w:ascii="Calibri" w:hAnsi="Calibri" w:cs="Calibri"/>
        </w:rPr>
      </w:pPr>
    </w:p>
    <w:p w14:paraId="1B2D3A15" w14:textId="3119FEBD" w:rsidR="000F6516" w:rsidRPr="005734B8" w:rsidRDefault="000F6516" w:rsidP="00F1540A">
      <w:pPr>
        <w:rPr>
          <w:rFonts w:ascii="Calibri" w:hAnsi="Calibri" w:cs="Calibri"/>
        </w:rPr>
      </w:pPr>
    </w:p>
    <w:p w14:paraId="4D4E5A99" w14:textId="77777777" w:rsidR="000F6516" w:rsidRPr="005734B8" w:rsidRDefault="000F6516" w:rsidP="00F1540A">
      <w:pPr>
        <w:rPr>
          <w:rFonts w:ascii="Calibri" w:hAnsi="Calibri" w:cs="Calibri"/>
        </w:rPr>
      </w:pPr>
    </w:p>
    <w:p w14:paraId="058FC279" w14:textId="77777777" w:rsidR="00F1540A" w:rsidRPr="005734B8" w:rsidRDefault="00F1540A" w:rsidP="00F1540A">
      <w:pPr>
        <w:pStyle w:val="ES-HeadingTableRed"/>
        <w:rPr>
          <w:rFonts w:ascii="Calibri" w:hAnsi="Calibri" w:cs="Calibri"/>
          <w:sz w:val="18"/>
        </w:rPr>
      </w:pPr>
      <w:r w:rsidRPr="005734B8">
        <w:rPr>
          <w:rFonts w:ascii="Calibri" w:hAnsi="Calibri" w:cs="Calibri"/>
          <w:sz w:val="18"/>
        </w:rPr>
        <w:lastRenderedPageBreak/>
        <w:t xml:space="preserve">Reconciliation of Level 3 fair value </w:t>
      </w:r>
      <w:r w:rsidRPr="005734B8">
        <w:rPr>
          <w:rFonts w:ascii="Calibri" w:hAnsi="Calibri" w:cs="Calibri"/>
          <w:sz w:val="18"/>
        </w:rPr>
        <w:fldChar w:fldCharType="begin"/>
      </w:r>
      <w:r w:rsidRPr="005734B8">
        <w:rPr>
          <w:rFonts w:ascii="Calibri" w:hAnsi="Calibri" w:cs="Calibri"/>
          <w:sz w:val="18"/>
        </w:rPr>
        <w:instrText xml:space="preserve"> DOCPROPERTY  pEnd  \* MERGEFORMAT </w:instrText>
      </w:r>
      <w:r w:rsidRPr="005734B8">
        <w:rPr>
          <w:rFonts w:ascii="Calibri" w:hAnsi="Calibri" w:cs="Calibri"/>
          <w:sz w:val="18"/>
        </w:rPr>
        <w:fldChar w:fldCharType="separate"/>
      </w:r>
      <w:r w:rsidRPr="005734B8">
        <w:rPr>
          <w:rFonts w:ascii="Calibri" w:hAnsi="Calibri" w:cs="Calibri"/>
          <w:sz w:val="18"/>
        </w:rPr>
        <w:t>30 June</w:t>
      </w:r>
      <w:r w:rsidRPr="005734B8">
        <w:rPr>
          <w:rFonts w:ascii="Calibri" w:hAnsi="Calibri" w:cs="Calibri"/>
          <w:sz w:val="18"/>
        </w:rPr>
        <w:fldChar w:fldCharType="end"/>
      </w:r>
      <w:r w:rsidRPr="005734B8">
        <w:rPr>
          <w:rFonts w:ascii="Calibri" w:hAnsi="Calibri" w:cs="Calibri"/>
          <w:sz w:val="18"/>
        </w:rPr>
        <w:t xml:space="preserve"> </w:t>
      </w:r>
      <w:r w:rsidRPr="005734B8">
        <w:rPr>
          <w:rFonts w:ascii="Calibri" w:hAnsi="Calibri" w:cs="Calibri"/>
          <w:sz w:val="18"/>
        </w:rPr>
        <w:fldChar w:fldCharType="begin"/>
      </w:r>
      <w:r w:rsidRPr="005734B8">
        <w:rPr>
          <w:rFonts w:ascii="Calibri" w:hAnsi="Calibri" w:cs="Calibri"/>
          <w:sz w:val="18"/>
        </w:rPr>
        <w:instrText xml:space="preserve"> DOCPROPERTY  crYear  \* MERGEFORMAT </w:instrText>
      </w:r>
      <w:r w:rsidRPr="005734B8">
        <w:rPr>
          <w:rFonts w:ascii="Calibri" w:hAnsi="Calibri" w:cs="Calibri"/>
          <w:sz w:val="18"/>
        </w:rPr>
        <w:fldChar w:fldCharType="separate"/>
      </w:r>
      <w:r w:rsidRPr="005734B8">
        <w:rPr>
          <w:rFonts w:ascii="Calibri" w:hAnsi="Calibri" w:cs="Calibri"/>
          <w:sz w:val="18"/>
        </w:rPr>
        <w:t>2021</w:t>
      </w:r>
      <w:r w:rsidRPr="005734B8">
        <w:rPr>
          <w:rFonts w:ascii="Calibri" w:hAnsi="Calibri" w:cs="Calibri"/>
          <w:sz w:val="18"/>
        </w:rPr>
        <w:fldChar w:fldCharType="end"/>
      </w:r>
    </w:p>
    <w:tbl>
      <w:tblPr>
        <w:tblW w:w="7625" w:type="dxa"/>
        <w:tblInd w:w="80" w:type="dxa"/>
        <w:tblLayout w:type="fixed"/>
        <w:tblLook w:val="04A0" w:firstRow="1" w:lastRow="0" w:firstColumn="1" w:lastColumn="0" w:noHBand="0" w:noVBand="1"/>
      </w:tblPr>
      <w:tblGrid>
        <w:gridCol w:w="2163"/>
        <w:gridCol w:w="1113"/>
        <w:gridCol w:w="1084"/>
        <w:gridCol w:w="1089"/>
        <w:gridCol w:w="1099"/>
        <w:gridCol w:w="1077"/>
      </w:tblGrid>
      <w:tr w:rsidR="00F1540A" w:rsidRPr="005734B8" w14:paraId="60C66F45" w14:textId="77777777" w:rsidTr="000F48B1">
        <w:trPr>
          <w:trHeight w:val="900"/>
        </w:trPr>
        <w:tc>
          <w:tcPr>
            <w:tcW w:w="2163" w:type="dxa"/>
            <w:tcBorders>
              <w:top w:val="nil"/>
              <w:left w:val="nil"/>
              <w:bottom w:val="single" w:sz="4" w:space="0" w:color="auto"/>
              <w:right w:val="single" w:sz="4" w:space="0" w:color="FFFFFF"/>
            </w:tcBorders>
            <w:shd w:val="clear" w:color="000000" w:fill="AF272F"/>
            <w:hideMark/>
          </w:tcPr>
          <w:p w14:paraId="772459C5" w14:textId="77777777" w:rsidR="00F1540A" w:rsidRPr="005734B8" w:rsidRDefault="00F1540A" w:rsidP="000F48B1">
            <w:pPr>
              <w:rPr>
                <w:rFonts w:ascii="Calibri" w:hAnsi="Calibri" w:cs="Calibri"/>
                <w:b/>
                <w:color w:val="FFFFFF"/>
                <w:sz w:val="16"/>
                <w:szCs w:val="16"/>
              </w:rPr>
            </w:pPr>
            <w:bookmarkStart w:id="1730" w:name="Note_RFPTABLE1" w:colFirst="0" w:colLast="0"/>
            <w:r w:rsidRPr="005734B8">
              <w:rPr>
                <w:rFonts w:ascii="Calibri" w:hAnsi="Calibri" w:cs="Calibri"/>
                <w:b/>
                <w:color w:val="FFFFFF"/>
                <w:sz w:val="16"/>
                <w:szCs w:val="16"/>
              </w:rPr>
              <w:t>2021</w:t>
            </w:r>
          </w:p>
        </w:tc>
        <w:tc>
          <w:tcPr>
            <w:tcW w:w="1113" w:type="dxa"/>
            <w:tcBorders>
              <w:top w:val="nil"/>
              <w:left w:val="nil"/>
              <w:bottom w:val="single" w:sz="4" w:space="0" w:color="auto"/>
              <w:right w:val="single" w:sz="4" w:space="0" w:color="FFFFFF"/>
            </w:tcBorders>
            <w:shd w:val="clear" w:color="000000" w:fill="AF272F"/>
            <w:hideMark/>
          </w:tcPr>
          <w:p w14:paraId="4894D526"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xml:space="preserve">Land </w:t>
            </w:r>
            <w:r w:rsidRPr="005734B8">
              <w:rPr>
                <w:rFonts w:ascii="Calibri" w:hAnsi="Calibri" w:cs="Calibri"/>
                <w:b/>
                <w:color w:val="FFFFFF"/>
                <w:sz w:val="16"/>
                <w:szCs w:val="16"/>
              </w:rPr>
              <w:br/>
              <w:t>($m)</w:t>
            </w:r>
          </w:p>
        </w:tc>
        <w:tc>
          <w:tcPr>
            <w:tcW w:w="1084" w:type="dxa"/>
            <w:tcBorders>
              <w:top w:val="nil"/>
              <w:left w:val="nil"/>
              <w:bottom w:val="single" w:sz="4" w:space="0" w:color="auto"/>
              <w:right w:val="single" w:sz="4" w:space="0" w:color="FFFFFF"/>
            </w:tcBorders>
            <w:shd w:val="clear" w:color="000000" w:fill="AF272F"/>
            <w:hideMark/>
          </w:tcPr>
          <w:p w14:paraId="10C1F2F1"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Build-</w:t>
            </w:r>
            <w:r w:rsidRPr="005734B8">
              <w:rPr>
                <w:rFonts w:ascii="Calibri" w:hAnsi="Calibri" w:cs="Calibri"/>
                <w:b/>
                <w:color w:val="FFFFFF"/>
                <w:sz w:val="16"/>
                <w:szCs w:val="16"/>
              </w:rPr>
              <w:br/>
              <w:t xml:space="preserve">ings </w:t>
            </w:r>
            <w:r w:rsidRPr="005734B8">
              <w:rPr>
                <w:rFonts w:ascii="Calibri" w:hAnsi="Calibri" w:cs="Calibri"/>
                <w:b/>
                <w:color w:val="FFFFFF"/>
                <w:sz w:val="16"/>
                <w:szCs w:val="16"/>
              </w:rPr>
              <w:br/>
              <w:t>($m)</w:t>
            </w:r>
          </w:p>
        </w:tc>
        <w:tc>
          <w:tcPr>
            <w:tcW w:w="1089" w:type="dxa"/>
            <w:tcBorders>
              <w:top w:val="nil"/>
              <w:left w:val="nil"/>
              <w:bottom w:val="single" w:sz="4" w:space="0" w:color="auto"/>
              <w:right w:val="single" w:sz="4" w:space="0" w:color="FFFFFF"/>
            </w:tcBorders>
            <w:shd w:val="clear" w:color="000000" w:fill="AF272F"/>
            <w:hideMark/>
          </w:tcPr>
          <w:p w14:paraId="7B91BCBF"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Heritage build-</w:t>
            </w:r>
            <w:r w:rsidRPr="005734B8">
              <w:rPr>
                <w:rFonts w:ascii="Calibri" w:hAnsi="Calibri" w:cs="Calibri"/>
                <w:b/>
                <w:color w:val="FFFFFF"/>
                <w:sz w:val="16"/>
                <w:szCs w:val="16"/>
              </w:rPr>
              <w:br/>
              <w:t xml:space="preserve">ings </w:t>
            </w:r>
            <w:r w:rsidRPr="005734B8">
              <w:rPr>
                <w:rFonts w:ascii="Calibri" w:hAnsi="Calibri" w:cs="Calibri"/>
                <w:b/>
                <w:color w:val="FFFFFF"/>
                <w:sz w:val="16"/>
                <w:szCs w:val="16"/>
              </w:rPr>
              <w:br/>
              <w:t>($m)</w:t>
            </w:r>
          </w:p>
        </w:tc>
        <w:tc>
          <w:tcPr>
            <w:tcW w:w="1099" w:type="dxa"/>
            <w:tcBorders>
              <w:top w:val="nil"/>
              <w:left w:val="nil"/>
              <w:bottom w:val="single" w:sz="4" w:space="0" w:color="auto"/>
              <w:right w:val="single" w:sz="4" w:space="0" w:color="FFFFFF"/>
            </w:tcBorders>
            <w:shd w:val="clear" w:color="000000" w:fill="AF272F"/>
            <w:hideMark/>
          </w:tcPr>
          <w:p w14:paraId="2102EA3E"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Leasehold improve-</w:t>
            </w:r>
            <w:r w:rsidRPr="005734B8">
              <w:rPr>
                <w:rFonts w:ascii="Calibri" w:hAnsi="Calibri" w:cs="Calibri"/>
                <w:b/>
                <w:color w:val="FFFFFF"/>
                <w:sz w:val="16"/>
                <w:szCs w:val="16"/>
              </w:rPr>
              <w:br/>
              <w:t xml:space="preserve">ments </w:t>
            </w:r>
            <w:r w:rsidRPr="005734B8">
              <w:rPr>
                <w:rFonts w:ascii="Calibri" w:hAnsi="Calibri" w:cs="Calibri"/>
                <w:b/>
                <w:color w:val="FFFFFF"/>
                <w:sz w:val="16"/>
                <w:szCs w:val="16"/>
              </w:rPr>
              <w:br/>
              <w:t>($m)</w:t>
            </w:r>
          </w:p>
        </w:tc>
        <w:tc>
          <w:tcPr>
            <w:tcW w:w="1077" w:type="dxa"/>
            <w:tcBorders>
              <w:top w:val="nil"/>
              <w:left w:val="nil"/>
              <w:bottom w:val="single" w:sz="4" w:space="0" w:color="auto"/>
              <w:right w:val="single" w:sz="4" w:space="0" w:color="FFFFFF"/>
            </w:tcBorders>
            <w:shd w:val="clear" w:color="000000" w:fill="AF272F"/>
            <w:hideMark/>
          </w:tcPr>
          <w:p w14:paraId="07E113EF"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Plant and equip-</w:t>
            </w:r>
            <w:r w:rsidRPr="005734B8">
              <w:rPr>
                <w:rFonts w:ascii="Calibri" w:hAnsi="Calibri" w:cs="Calibri"/>
                <w:b/>
                <w:color w:val="FFFFFF"/>
                <w:sz w:val="16"/>
                <w:szCs w:val="16"/>
              </w:rPr>
              <w:br/>
              <w:t xml:space="preserve">ment </w:t>
            </w:r>
            <w:r w:rsidRPr="005734B8">
              <w:rPr>
                <w:rFonts w:ascii="Calibri" w:hAnsi="Calibri" w:cs="Calibri"/>
                <w:b/>
                <w:color w:val="FFFFFF"/>
                <w:sz w:val="16"/>
                <w:szCs w:val="16"/>
              </w:rPr>
              <w:br/>
              <w:t>($m)</w:t>
            </w:r>
          </w:p>
        </w:tc>
      </w:tr>
      <w:bookmarkEnd w:id="1730"/>
      <w:tr w:rsidR="00F1540A" w:rsidRPr="005734B8" w14:paraId="0B128AA6" w14:textId="77777777" w:rsidTr="000F48B1">
        <w:trPr>
          <w:trHeight w:val="255"/>
        </w:trPr>
        <w:tc>
          <w:tcPr>
            <w:tcW w:w="2163" w:type="dxa"/>
            <w:tcBorders>
              <w:top w:val="nil"/>
              <w:left w:val="single" w:sz="4" w:space="0" w:color="FFFFFF"/>
              <w:bottom w:val="single" w:sz="4" w:space="0" w:color="auto"/>
              <w:right w:val="single" w:sz="4" w:space="0" w:color="FFFFFF"/>
            </w:tcBorders>
            <w:shd w:val="clear" w:color="000000" w:fill="D9D9D9"/>
            <w:vAlign w:val="center"/>
            <w:hideMark/>
          </w:tcPr>
          <w:p w14:paraId="37A793CB"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Opening balance</w:t>
            </w:r>
          </w:p>
        </w:tc>
        <w:tc>
          <w:tcPr>
            <w:tcW w:w="1113" w:type="dxa"/>
            <w:tcBorders>
              <w:top w:val="nil"/>
              <w:left w:val="nil"/>
              <w:bottom w:val="single" w:sz="4" w:space="0" w:color="auto"/>
              <w:right w:val="single" w:sz="4" w:space="0" w:color="FFFFFF"/>
            </w:tcBorders>
            <w:shd w:val="clear" w:color="000000" w:fill="D9D9D9"/>
            <w:vAlign w:val="center"/>
            <w:hideMark/>
          </w:tcPr>
          <w:p w14:paraId="32DD918A"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9,941.8 </w:t>
            </w:r>
          </w:p>
        </w:tc>
        <w:tc>
          <w:tcPr>
            <w:tcW w:w="1084" w:type="dxa"/>
            <w:tcBorders>
              <w:top w:val="nil"/>
              <w:left w:val="nil"/>
              <w:bottom w:val="single" w:sz="4" w:space="0" w:color="auto"/>
              <w:right w:val="single" w:sz="4" w:space="0" w:color="FFFFFF"/>
            </w:tcBorders>
            <w:shd w:val="clear" w:color="000000" w:fill="D9D9D9"/>
            <w:vAlign w:val="center"/>
            <w:hideMark/>
          </w:tcPr>
          <w:p w14:paraId="792516D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12,509.2 </w:t>
            </w:r>
          </w:p>
        </w:tc>
        <w:tc>
          <w:tcPr>
            <w:tcW w:w="1089" w:type="dxa"/>
            <w:tcBorders>
              <w:top w:val="nil"/>
              <w:left w:val="nil"/>
              <w:bottom w:val="single" w:sz="4" w:space="0" w:color="auto"/>
              <w:right w:val="single" w:sz="4" w:space="0" w:color="FFFFFF"/>
            </w:tcBorders>
            <w:shd w:val="clear" w:color="000000" w:fill="D9D9D9"/>
            <w:vAlign w:val="center"/>
            <w:hideMark/>
          </w:tcPr>
          <w:p w14:paraId="1EEA7A1F"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96.5 </w:t>
            </w:r>
          </w:p>
        </w:tc>
        <w:tc>
          <w:tcPr>
            <w:tcW w:w="1099" w:type="dxa"/>
            <w:tcBorders>
              <w:top w:val="nil"/>
              <w:left w:val="nil"/>
              <w:bottom w:val="single" w:sz="4" w:space="0" w:color="auto"/>
              <w:right w:val="single" w:sz="4" w:space="0" w:color="FFFFFF"/>
            </w:tcBorders>
            <w:shd w:val="clear" w:color="000000" w:fill="D9D9D9"/>
            <w:vAlign w:val="center"/>
            <w:hideMark/>
          </w:tcPr>
          <w:p w14:paraId="245BB155"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12.4 </w:t>
            </w:r>
          </w:p>
        </w:tc>
        <w:tc>
          <w:tcPr>
            <w:tcW w:w="1077" w:type="dxa"/>
            <w:tcBorders>
              <w:top w:val="nil"/>
              <w:left w:val="nil"/>
              <w:bottom w:val="single" w:sz="4" w:space="0" w:color="auto"/>
              <w:right w:val="single" w:sz="4" w:space="0" w:color="FFFFFF"/>
            </w:tcBorders>
            <w:shd w:val="clear" w:color="000000" w:fill="D9D9D9"/>
            <w:vAlign w:val="center"/>
            <w:hideMark/>
          </w:tcPr>
          <w:p w14:paraId="6CAEDAF3"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78.3 </w:t>
            </w:r>
          </w:p>
        </w:tc>
      </w:tr>
      <w:tr w:rsidR="00F1540A" w:rsidRPr="005734B8" w14:paraId="23C2F4F4" w14:textId="77777777" w:rsidTr="000F48B1">
        <w:trPr>
          <w:trHeight w:val="720"/>
        </w:trPr>
        <w:tc>
          <w:tcPr>
            <w:tcW w:w="2163" w:type="dxa"/>
            <w:tcBorders>
              <w:top w:val="nil"/>
              <w:left w:val="single" w:sz="4" w:space="0" w:color="FFFFFF"/>
              <w:bottom w:val="single" w:sz="4" w:space="0" w:color="auto"/>
              <w:right w:val="single" w:sz="4" w:space="0" w:color="FFFFFF"/>
            </w:tcBorders>
            <w:shd w:val="clear" w:color="FFFFFF" w:fill="FFFFFF"/>
            <w:vAlign w:val="center"/>
            <w:hideMark/>
          </w:tcPr>
          <w:p w14:paraId="615DCB35"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Fair value of assets received free of charge or for nominal considerations</w:t>
            </w:r>
          </w:p>
        </w:tc>
        <w:tc>
          <w:tcPr>
            <w:tcW w:w="1113" w:type="dxa"/>
            <w:tcBorders>
              <w:top w:val="nil"/>
              <w:left w:val="nil"/>
              <w:bottom w:val="single" w:sz="4" w:space="0" w:color="auto"/>
              <w:right w:val="single" w:sz="4" w:space="0" w:color="FFFFFF"/>
            </w:tcBorders>
            <w:shd w:val="clear" w:color="FFFFFF" w:fill="FFFFFF"/>
            <w:noWrap/>
            <w:vAlign w:val="center"/>
            <w:hideMark/>
          </w:tcPr>
          <w:p w14:paraId="6649A65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6.3 </w:t>
            </w:r>
          </w:p>
        </w:tc>
        <w:tc>
          <w:tcPr>
            <w:tcW w:w="1084" w:type="dxa"/>
            <w:tcBorders>
              <w:top w:val="nil"/>
              <w:left w:val="nil"/>
              <w:bottom w:val="single" w:sz="4" w:space="0" w:color="auto"/>
              <w:right w:val="single" w:sz="4" w:space="0" w:color="FFFFFF"/>
            </w:tcBorders>
            <w:shd w:val="clear" w:color="FFFFFF" w:fill="FFFFFF"/>
            <w:noWrap/>
            <w:vAlign w:val="center"/>
            <w:hideMark/>
          </w:tcPr>
          <w:p w14:paraId="327F3BA3" w14:textId="13A6B494" w:rsidR="00F1540A" w:rsidRPr="005734B8" w:rsidRDefault="00732B92"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89" w:type="dxa"/>
            <w:tcBorders>
              <w:top w:val="nil"/>
              <w:left w:val="nil"/>
              <w:bottom w:val="single" w:sz="4" w:space="0" w:color="auto"/>
              <w:right w:val="single" w:sz="4" w:space="0" w:color="FFFFFF"/>
            </w:tcBorders>
            <w:shd w:val="clear" w:color="FFFFFF" w:fill="FFFFFF"/>
            <w:noWrap/>
            <w:vAlign w:val="center"/>
            <w:hideMark/>
          </w:tcPr>
          <w:p w14:paraId="561FA27F" w14:textId="0A5DA2A8" w:rsidR="00F1540A" w:rsidRPr="005734B8" w:rsidRDefault="00732B92"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99" w:type="dxa"/>
            <w:tcBorders>
              <w:top w:val="nil"/>
              <w:left w:val="nil"/>
              <w:bottom w:val="single" w:sz="4" w:space="0" w:color="auto"/>
              <w:right w:val="single" w:sz="4" w:space="0" w:color="FFFFFF"/>
            </w:tcBorders>
            <w:shd w:val="clear" w:color="FFFFFF" w:fill="FFFFFF"/>
            <w:noWrap/>
            <w:vAlign w:val="center"/>
            <w:hideMark/>
          </w:tcPr>
          <w:p w14:paraId="16A9CA84" w14:textId="3BE74061" w:rsidR="00F1540A" w:rsidRPr="005734B8" w:rsidRDefault="00732B92"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77" w:type="dxa"/>
            <w:tcBorders>
              <w:top w:val="nil"/>
              <w:left w:val="nil"/>
              <w:bottom w:val="single" w:sz="4" w:space="0" w:color="auto"/>
              <w:right w:val="single" w:sz="4" w:space="0" w:color="FFFFFF"/>
            </w:tcBorders>
            <w:shd w:val="clear" w:color="FFFFFF" w:fill="FFFFFF"/>
            <w:noWrap/>
            <w:vAlign w:val="center"/>
            <w:hideMark/>
          </w:tcPr>
          <w:p w14:paraId="0ACADE68" w14:textId="056F5FFF" w:rsidR="00F1540A" w:rsidRPr="005734B8" w:rsidRDefault="00732B92"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r>
      <w:tr w:rsidR="00F1540A" w:rsidRPr="005734B8" w14:paraId="6C7041CA" w14:textId="77777777" w:rsidTr="000F48B1">
        <w:trPr>
          <w:trHeight w:val="255"/>
        </w:trPr>
        <w:tc>
          <w:tcPr>
            <w:tcW w:w="2163" w:type="dxa"/>
            <w:tcBorders>
              <w:top w:val="nil"/>
              <w:left w:val="single" w:sz="4" w:space="0" w:color="FFFFFF"/>
              <w:bottom w:val="single" w:sz="4" w:space="0" w:color="auto"/>
              <w:right w:val="single" w:sz="4" w:space="0" w:color="FFFFFF"/>
            </w:tcBorders>
            <w:shd w:val="clear" w:color="FFFFFF" w:fill="FFFFFF"/>
            <w:vAlign w:val="center"/>
            <w:hideMark/>
          </w:tcPr>
          <w:p w14:paraId="093BFED3" w14:textId="1D9F157F" w:rsidR="00F1540A" w:rsidRPr="005734B8" w:rsidRDefault="00F1540A" w:rsidP="000F48B1">
            <w:pPr>
              <w:rPr>
                <w:rFonts w:ascii="Calibri" w:hAnsi="Calibri" w:cs="Calibri"/>
                <w:sz w:val="18"/>
                <w:szCs w:val="18"/>
              </w:rPr>
            </w:pPr>
            <w:r w:rsidRPr="005734B8">
              <w:rPr>
                <w:rFonts w:ascii="Calibri" w:hAnsi="Calibri" w:cs="Calibri"/>
                <w:sz w:val="18"/>
                <w:szCs w:val="18"/>
              </w:rPr>
              <w:t>Purchases</w:t>
            </w:r>
          </w:p>
        </w:tc>
        <w:tc>
          <w:tcPr>
            <w:tcW w:w="1113" w:type="dxa"/>
            <w:tcBorders>
              <w:top w:val="nil"/>
              <w:left w:val="nil"/>
              <w:bottom w:val="single" w:sz="4" w:space="0" w:color="auto"/>
              <w:right w:val="single" w:sz="4" w:space="0" w:color="FFFFFF"/>
            </w:tcBorders>
            <w:shd w:val="clear" w:color="FFFFFF" w:fill="FFFFFF"/>
            <w:noWrap/>
            <w:vAlign w:val="center"/>
            <w:hideMark/>
          </w:tcPr>
          <w:p w14:paraId="5DAB9162" w14:textId="69B2C546" w:rsidR="00F1540A" w:rsidRPr="005734B8" w:rsidRDefault="00732B92"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84" w:type="dxa"/>
            <w:tcBorders>
              <w:top w:val="nil"/>
              <w:left w:val="nil"/>
              <w:bottom w:val="single" w:sz="4" w:space="0" w:color="auto"/>
              <w:right w:val="single" w:sz="4" w:space="0" w:color="FFFFFF"/>
            </w:tcBorders>
            <w:shd w:val="clear" w:color="FFFFFF" w:fill="FFFFFF"/>
            <w:noWrap/>
            <w:vAlign w:val="center"/>
            <w:hideMark/>
          </w:tcPr>
          <w:p w14:paraId="19F5474D" w14:textId="7CA87EE5" w:rsidR="00F1540A" w:rsidRPr="005734B8" w:rsidRDefault="00732B92" w:rsidP="000F48B1">
            <w:pPr>
              <w:jc w:val="right"/>
              <w:rPr>
                <w:rFonts w:ascii="Calibri" w:hAnsi="Calibri" w:cs="Calibri"/>
                <w:sz w:val="18"/>
                <w:szCs w:val="18"/>
              </w:rPr>
            </w:pPr>
            <w:r w:rsidRPr="005734B8">
              <w:rPr>
                <w:rFonts w:ascii="Calibri" w:hAnsi="Calibri" w:cs="Calibri"/>
                <w:sz w:val="18"/>
                <w:szCs w:val="18"/>
              </w:rPr>
              <w:t>–</w:t>
            </w:r>
          </w:p>
        </w:tc>
        <w:tc>
          <w:tcPr>
            <w:tcW w:w="1089" w:type="dxa"/>
            <w:tcBorders>
              <w:top w:val="nil"/>
              <w:left w:val="nil"/>
              <w:bottom w:val="single" w:sz="4" w:space="0" w:color="auto"/>
              <w:right w:val="single" w:sz="4" w:space="0" w:color="FFFFFF"/>
            </w:tcBorders>
            <w:shd w:val="clear" w:color="FFFFFF" w:fill="FFFFFF"/>
            <w:noWrap/>
            <w:vAlign w:val="center"/>
            <w:hideMark/>
          </w:tcPr>
          <w:p w14:paraId="71BD219F" w14:textId="46F702C8" w:rsidR="00F1540A" w:rsidRPr="005734B8" w:rsidRDefault="00732B92"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99" w:type="dxa"/>
            <w:tcBorders>
              <w:top w:val="nil"/>
              <w:left w:val="nil"/>
              <w:bottom w:val="single" w:sz="4" w:space="0" w:color="auto"/>
              <w:right w:val="single" w:sz="4" w:space="0" w:color="FFFFFF"/>
            </w:tcBorders>
            <w:shd w:val="clear" w:color="FFFFFF" w:fill="FFFFFF"/>
            <w:noWrap/>
            <w:vAlign w:val="center"/>
            <w:hideMark/>
          </w:tcPr>
          <w:p w14:paraId="7FBFC9FE" w14:textId="6952BE24" w:rsidR="00F1540A" w:rsidRPr="005734B8" w:rsidRDefault="00732B92"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77" w:type="dxa"/>
            <w:tcBorders>
              <w:top w:val="nil"/>
              <w:left w:val="nil"/>
              <w:bottom w:val="single" w:sz="4" w:space="0" w:color="auto"/>
              <w:right w:val="single" w:sz="4" w:space="0" w:color="FFFFFF"/>
            </w:tcBorders>
            <w:shd w:val="clear" w:color="FFFFFF" w:fill="FFFFFF"/>
            <w:noWrap/>
            <w:vAlign w:val="center"/>
            <w:hideMark/>
          </w:tcPr>
          <w:p w14:paraId="7BB5119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23.8 </w:t>
            </w:r>
          </w:p>
        </w:tc>
      </w:tr>
      <w:tr w:rsidR="00F1540A" w:rsidRPr="005734B8" w14:paraId="4C68A28A" w14:textId="77777777" w:rsidTr="000F48B1">
        <w:trPr>
          <w:trHeight w:val="255"/>
        </w:trPr>
        <w:tc>
          <w:tcPr>
            <w:tcW w:w="2163" w:type="dxa"/>
            <w:tcBorders>
              <w:top w:val="nil"/>
              <w:left w:val="single" w:sz="4" w:space="0" w:color="FFFFFF"/>
              <w:bottom w:val="single" w:sz="4" w:space="0" w:color="auto"/>
              <w:right w:val="single" w:sz="4" w:space="0" w:color="FFFFFF"/>
            </w:tcBorders>
            <w:shd w:val="clear" w:color="FFFFFF" w:fill="FFFFFF"/>
            <w:vAlign w:val="center"/>
            <w:hideMark/>
          </w:tcPr>
          <w:p w14:paraId="2998D94C"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Transfers to completed assets</w:t>
            </w:r>
          </w:p>
        </w:tc>
        <w:tc>
          <w:tcPr>
            <w:tcW w:w="1113" w:type="dxa"/>
            <w:tcBorders>
              <w:top w:val="nil"/>
              <w:left w:val="nil"/>
              <w:bottom w:val="single" w:sz="4" w:space="0" w:color="auto"/>
              <w:right w:val="single" w:sz="4" w:space="0" w:color="FFFFFF"/>
            </w:tcBorders>
            <w:shd w:val="clear" w:color="FFFFFF" w:fill="FFFFFF"/>
            <w:noWrap/>
            <w:vAlign w:val="center"/>
            <w:hideMark/>
          </w:tcPr>
          <w:p w14:paraId="67D4F646" w14:textId="32278730" w:rsidR="00F1540A" w:rsidRPr="005734B8" w:rsidRDefault="00732B92"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84" w:type="dxa"/>
            <w:tcBorders>
              <w:top w:val="nil"/>
              <w:left w:val="nil"/>
              <w:bottom w:val="single" w:sz="4" w:space="0" w:color="auto"/>
              <w:right w:val="single" w:sz="4" w:space="0" w:color="FFFFFF"/>
            </w:tcBorders>
            <w:shd w:val="clear" w:color="FFFFFF" w:fill="FFFFFF"/>
            <w:noWrap/>
            <w:vAlign w:val="center"/>
            <w:hideMark/>
          </w:tcPr>
          <w:p w14:paraId="6FF8C81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1,037.8 </w:t>
            </w:r>
          </w:p>
        </w:tc>
        <w:tc>
          <w:tcPr>
            <w:tcW w:w="1089" w:type="dxa"/>
            <w:tcBorders>
              <w:top w:val="nil"/>
              <w:left w:val="nil"/>
              <w:bottom w:val="single" w:sz="4" w:space="0" w:color="auto"/>
              <w:right w:val="single" w:sz="4" w:space="0" w:color="FFFFFF"/>
            </w:tcBorders>
            <w:shd w:val="clear" w:color="FFFFFF" w:fill="FFFFFF"/>
            <w:noWrap/>
            <w:vAlign w:val="center"/>
            <w:hideMark/>
          </w:tcPr>
          <w:p w14:paraId="36206947" w14:textId="32C11E75" w:rsidR="00F1540A" w:rsidRPr="005734B8" w:rsidRDefault="00732B92"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99" w:type="dxa"/>
            <w:tcBorders>
              <w:top w:val="nil"/>
              <w:left w:val="nil"/>
              <w:bottom w:val="single" w:sz="4" w:space="0" w:color="auto"/>
              <w:right w:val="single" w:sz="4" w:space="0" w:color="FFFFFF"/>
            </w:tcBorders>
            <w:shd w:val="clear" w:color="FFFFFF" w:fill="FFFFFF"/>
            <w:noWrap/>
            <w:vAlign w:val="center"/>
            <w:hideMark/>
          </w:tcPr>
          <w:p w14:paraId="1473A3A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5.8 </w:t>
            </w:r>
          </w:p>
        </w:tc>
        <w:tc>
          <w:tcPr>
            <w:tcW w:w="1077" w:type="dxa"/>
            <w:tcBorders>
              <w:top w:val="nil"/>
              <w:left w:val="nil"/>
              <w:bottom w:val="single" w:sz="4" w:space="0" w:color="auto"/>
              <w:right w:val="single" w:sz="4" w:space="0" w:color="FFFFFF"/>
            </w:tcBorders>
            <w:shd w:val="clear" w:color="FFFFFF" w:fill="FFFFFF"/>
            <w:noWrap/>
            <w:vAlign w:val="center"/>
            <w:hideMark/>
          </w:tcPr>
          <w:p w14:paraId="335B30B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2.3 </w:t>
            </w:r>
          </w:p>
        </w:tc>
      </w:tr>
      <w:tr w:rsidR="00F1540A" w:rsidRPr="005734B8" w14:paraId="51A5DC2C" w14:textId="77777777" w:rsidTr="000F48B1">
        <w:trPr>
          <w:trHeight w:val="255"/>
        </w:trPr>
        <w:tc>
          <w:tcPr>
            <w:tcW w:w="2163" w:type="dxa"/>
            <w:tcBorders>
              <w:top w:val="nil"/>
              <w:left w:val="single" w:sz="4" w:space="0" w:color="FFFFFF"/>
              <w:bottom w:val="single" w:sz="4" w:space="0" w:color="auto"/>
              <w:right w:val="single" w:sz="4" w:space="0" w:color="FFFFFF"/>
            </w:tcBorders>
            <w:shd w:val="clear" w:color="FFFFFF" w:fill="FFFFFF"/>
            <w:vAlign w:val="center"/>
            <w:hideMark/>
          </w:tcPr>
          <w:p w14:paraId="65305B9A"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Disposal</w:t>
            </w:r>
          </w:p>
        </w:tc>
        <w:tc>
          <w:tcPr>
            <w:tcW w:w="1113" w:type="dxa"/>
            <w:tcBorders>
              <w:top w:val="nil"/>
              <w:left w:val="nil"/>
              <w:bottom w:val="single" w:sz="4" w:space="0" w:color="auto"/>
              <w:right w:val="single" w:sz="4" w:space="0" w:color="FFFFFF"/>
            </w:tcBorders>
            <w:shd w:val="clear" w:color="FFFFFF" w:fill="FFFFFF"/>
            <w:noWrap/>
            <w:vAlign w:val="center"/>
            <w:hideMark/>
          </w:tcPr>
          <w:p w14:paraId="0B370A20" w14:textId="472581C0" w:rsidR="00F1540A" w:rsidRPr="005734B8" w:rsidRDefault="00732B92"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84" w:type="dxa"/>
            <w:tcBorders>
              <w:top w:val="nil"/>
              <w:left w:val="nil"/>
              <w:bottom w:val="single" w:sz="4" w:space="0" w:color="auto"/>
              <w:right w:val="single" w:sz="4" w:space="0" w:color="FFFFFF"/>
            </w:tcBorders>
            <w:shd w:val="clear" w:color="FFFFFF" w:fill="FFFFFF"/>
            <w:noWrap/>
            <w:vAlign w:val="center"/>
            <w:hideMark/>
          </w:tcPr>
          <w:p w14:paraId="598C25A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(44.0) </w:t>
            </w:r>
          </w:p>
        </w:tc>
        <w:tc>
          <w:tcPr>
            <w:tcW w:w="1089" w:type="dxa"/>
            <w:tcBorders>
              <w:top w:val="nil"/>
              <w:left w:val="nil"/>
              <w:bottom w:val="single" w:sz="4" w:space="0" w:color="auto"/>
              <w:right w:val="single" w:sz="4" w:space="0" w:color="FFFFFF"/>
            </w:tcBorders>
            <w:shd w:val="clear" w:color="FFFFFF" w:fill="FFFFFF"/>
            <w:noWrap/>
            <w:vAlign w:val="center"/>
            <w:hideMark/>
          </w:tcPr>
          <w:p w14:paraId="708E0C3A" w14:textId="750C81AF" w:rsidR="00F1540A" w:rsidRPr="005734B8" w:rsidRDefault="00732B92"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99" w:type="dxa"/>
            <w:tcBorders>
              <w:top w:val="nil"/>
              <w:left w:val="nil"/>
              <w:bottom w:val="single" w:sz="4" w:space="0" w:color="auto"/>
              <w:right w:val="single" w:sz="4" w:space="0" w:color="FFFFFF"/>
            </w:tcBorders>
            <w:shd w:val="clear" w:color="FFFFFF" w:fill="FFFFFF"/>
            <w:noWrap/>
            <w:vAlign w:val="center"/>
            <w:hideMark/>
          </w:tcPr>
          <w:p w14:paraId="1477F79F" w14:textId="2C1F7FC5" w:rsidR="00F1540A" w:rsidRPr="005734B8" w:rsidRDefault="00732B92"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77" w:type="dxa"/>
            <w:tcBorders>
              <w:top w:val="nil"/>
              <w:left w:val="nil"/>
              <w:bottom w:val="single" w:sz="4" w:space="0" w:color="auto"/>
              <w:right w:val="single" w:sz="4" w:space="0" w:color="FFFFFF"/>
            </w:tcBorders>
            <w:shd w:val="clear" w:color="FFFFFF" w:fill="FFFFFF"/>
            <w:noWrap/>
            <w:vAlign w:val="center"/>
            <w:hideMark/>
          </w:tcPr>
          <w:p w14:paraId="59634DA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(1.3) </w:t>
            </w:r>
          </w:p>
        </w:tc>
      </w:tr>
      <w:tr w:rsidR="00F1540A" w:rsidRPr="005734B8" w14:paraId="46B86D0F" w14:textId="77777777" w:rsidTr="000F48B1">
        <w:trPr>
          <w:trHeight w:val="255"/>
        </w:trPr>
        <w:tc>
          <w:tcPr>
            <w:tcW w:w="2163" w:type="dxa"/>
            <w:tcBorders>
              <w:top w:val="nil"/>
              <w:left w:val="single" w:sz="4" w:space="0" w:color="FFFFFF"/>
              <w:bottom w:val="single" w:sz="4" w:space="0" w:color="auto"/>
              <w:right w:val="single" w:sz="4" w:space="0" w:color="FFFFFF"/>
            </w:tcBorders>
            <w:shd w:val="clear" w:color="FFFFFF" w:fill="FFFFFF"/>
            <w:vAlign w:val="center"/>
            <w:hideMark/>
          </w:tcPr>
          <w:p w14:paraId="62FC7726"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Asset revaluation movement</w:t>
            </w:r>
          </w:p>
        </w:tc>
        <w:tc>
          <w:tcPr>
            <w:tcW w:w="1113" w:type="dxa"/>
            <w:tcBorders>
              <w:top w:val="nil"/>
              <w:left w:val="nil"/>
              <w:bottom w:val="single" w:sz="4" w:space="0" w:color="auto"/>
              <w:right w:val="single" w:sz="4" w:space="0" w:color="FFFFFF"/>
            </w:tcBorders>
            <w:shd w:val="clear" w:color="FFFFFF" w:fill="FFFFFF"/>
            <w:noWrap/>
            <w:vAlign w:val="center"/>
            <w:hideMark/>
          </w:tcPr>
          <w:p w14:paraId="0A73CD9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2,633.8 </w:t>
            </w:r>
          </w:p>
        </w:tc>
        <w:tc>
          <w:tcPr>
            <w:tcW w:w="1084" w:type="dxa"/>
            <w:tcBorders>
              <w:top w:val="nil"/>
              <w:left w:val="nil"/>
              <w:bottom w:val="single" w:sz="4" w:space="0" w:color="auto"/>
              <w:right w:val="single" w:sz="4" w:space="0" w:color="FFFFFF"/>
            </w:tcBorders>
            <w:shd w:val="clear" w:color="FFFFFF" w:fill="FFFFFF"/>
            <w:noWrap/>
            <w:vAlign w:val="center"/>
            <w:hideMark/>
          </w:tcPr>
          <w:p w14:paraId="17A3CD9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(2.9) </w:t>
            </w:r>
          </w:p>
        </w:tc>
        <w:tc>
          <w:tcPr>
            <w:tcW w:w="1089" w:type="dxa"/>
            <w:tcBorders>
              <w:top w:val="nil"/>
              <w:left w:val="nil"/>
              <w:bottom w:val="single" w:sz="4" w:space="0" w:color="auto"/>
              <w:right w:val="single" w:sz="4" w:space="0" w:color="FFFFFF"/>
            </w:tcBorders>
            <w:shd w:val="clear" w:color="FFFFFF" w:fill="FFFFFF"/>
            <w:noWrap/>
            <w:vAlign w:val="center"/>
            <w:hideMark/>
          </w:tcPr>
          <w:p w14:paraId="0212CD43" w14:textId="654A58CD" w:rsidR="00F1540A" w:rsidRPr="005734B8" w:rsidRDefault="00732B92"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99" w:type="dxa"/>
            <w:tcBorders>
              <w:top w:val="nil"/>
              <w:left w:val="nil"/>
              <w:bottom w:val="single" w:sz="4" w:space="0" w:color="auto"/>
              <w:right w:val="single" w:sz="4" w:space="0" w:color="FFFFFF"/>
            </w:tcBorders>
            <w:shd w:val="clear" w:color="FFFFFF" w:fill="FFFFFF"/>
            <w:noWrap/>
            <w:vAlign w:val="center"/>
            <w:hideMark/>
          </w:tcPr>
          <w:p w14:paraId="265927AF" w14:textId="097BF0DA" w:rsidR="00F1540A" w:rsidRPr="005734B8" w:rsidRDefault="00732B92"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77" w:type="dxa"/>
            <w:tcBorders>
              <w:top w:val="nil"/>
              <w:left w:val="nil"/>
              <w:bottom w:val="single" w:sz="4" w:space="0" w:color="auto"/>
              <w:right w:val="single" w:sz="4" w:space="0" w:color="FFFFFF"/>
            </w:tcBorders>
            <w:shd w:val="clear" w:color="FFFFFF" w:fill="FFFFFF"/>
            <w:noWrap/>
            <w:vAlign w:val="center"/>
            <w:hideMark/>
          </w:tcPr>
          <w:p w14:paraId="45541BB9" w14:textId="38A23354" w:rsidR="00F1540A" w:rsidRPr="005734B8" w:rsidRDefault="00732B92"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r>
      <w:tr w:rsidR="00F1540A" w:rsidRPr="005734B8" w14:paraId="2DEDDC2D" w14:textId="77777777" w:rsidTr="000F48B1">
        <w:trPr>
          <w:trHeight w:val="270"/>
        </w:trPr>
        <w:tc>
          <w:tcPr>
            <w:tcW w:w="2163" w:type="dxa"/>
            <w:tcBorders>
              <w:top w:val="nil"/>
              <w:left w:val="single" w:sz="4" w:space="0" w:color="FFFFFF"/>
              <w:bottom w:val="single" w:sz="4" w:space="0" w:color="auto"/>
              <w:right w:val="single" w:sz="4" w:space="0" w:color="FFFFFF"/>
            </w:tcBorders>
            <w:shd w:val="clear" w:color="FFFFFF" w:fill="FFFFFF"/>
            <w:vAlign w:val="center"/>
            <w:hideMark/>
          </w:tcPr>
          <w:p w14:paraId="023E8DC2"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Depreciation</w:t>
            </w:r>
          </w:p>
        </w:tc>
        <w:tc>
          <w:tcPr>
            <w:tcW w:w="1113" w:type="dxa"/>
            <w:tcBorders>
              <w:top w:val="nil"/>
              <w:left w:val="nil"/>
              <w:bottom w:val="single" w:sz="4" w:space="0" w:color="auto"/>
              <w:right w:val="single" w:sz="4" w:space="0" w:color="FFFFFF"/>
            </w:tcBorders>
            <w:shd w:val="clear" w:color="FFFFFF" w:fill="FFFFFF"/>
            <w:noWrap/>
            <w:vAlign w:val="center"/>
            <w:hideMark/>
          </w:tcPr>
          <w:p w14:paraId="34D0FA92" w14:textId="0E801AA1" w:rsidR="00F1540A" w:rsidRPr="005734B8" w:rsidRDefault="00732B92"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84" w:type="dxa"/>
            <w:tcBorders>
              <w:top w:val="nil"/>
              <w:left w:val="nil"/>
              <w:bottom w:val="single" w:sz="4" w:space="0" w:color="auto"/>
              <w:right w:val="single" w:sz="4" w:space="0" w:color="FFFFFF"/>
            </w:tcBorders>
            <w:shd w:val="clear" w:color="FFFFFF" w:fill="FFFFFF"/>
            <w:noWrap/>
            <w:vAlign w:val="center"/>
            <w:hideMark/>
          </w:tcPr>
          <w:p w14:paraId="50297FE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(387.7) </w:t>
            </w:r>
          </w:p>
        </w:tc>
        <w:tc>
          <w:tcPr>
            <w:tcW w:w="1089" w:type="dxa"/>
            <w:tcBorders>
              <w:top w:val="nil"/>
              <w:left w:val="nil"/>
              <w:bottom w:val="single" w:sz="4" w:space="0" w:color="auto"/>
              <w:right w:val="single" w:sz="4" w:space="0" w:color="FFFFFF"/>
            </w:tcBorders>
            <w:shd w:val="clear" w:color="FFFFFF" w:fill="FFFFFF"/>
            <w:noWrap/>
            <w:vAlign w:val="center"/>
            <w:hideMark/>
          </w:tcPr>
          <w:p w14:paraId="631BC2D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(4.0) </w:t>
            </w:r>
          </w:p>
        </w:tc>
        <w:tc>
          <w:tcPr>
            <w:tcW w:w="1099" w:type="dxa"/>
            <w:tcBorders>
              <w:top w:val="nil"/>
              <w:left w:val="nil"/>
              <w:bottom w:val="single" w:sz="4" w:space="0" w:color="auto"/>
              <w:right w:val="single" w:sz="4" w:space="0" w:color="FFFFFF"/>
            </w:tcBorders>
            <w:shd w:val="clear" w:color="FFFFFF" w:fill="FFFFFF"/>
            <w:noWrap/>
            <w:vAlign w:val="center"/>
            <w:hideMark/>
          </w:tcPr>
          <w:p w14:paraId="3B0EFAC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(4.9) </w:t>
            </w:r>
          </w:p>
        </w:tc>
        <w:tc>
          <w:tcPr>
            <w:tcW w:w="1077" w:type="dxa"/>
            <w:tcBorders>
              <w:top w:val="nil"/>
              <w:left w:val="nil"/>
              <w:bottom w:val="single" w:sz="4" w:space="0" w:color="auto"/>
              <w:right w:val="single" w:sz="4" w:space="0" w:color="FFFFFF"/>
            </w:tcBorders>
            <w:shd w:val="clear" w:color="FFFFFF" w:fill="FFFFFF"/>
            <w:noWrap/>
            <w:vAlign w:val="center"/>
            <w:hideMark/>
          </w:tcPr>
          <w:p w14:paraId="48B6F55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(29.1) </w:t>
            </w:r>
          </w:p>
        </w:tc>
      </w:tr>
      <w:tr w:rsidR="00F1540A" w:rsidRPr="005734B8" w14:paraId="2D10ACF9" w14:textId="77777777" w:rsidTr="000F48B1">
        <w:trPr>
          <w:trHeight w:val="285"/>
        </w:trPr>
        <w:tc>
          <w:tcPr>
            <w:tcW w:w="2163" w:type="dxa"/>
            <w:tcBorders>
              <w:top w:val="single" w:sz="12" w:space="0" w:color="auto"/>
              <w:left w:val="single" w:sz="12" w:space="0" w:color="FFFFFF"/>
              <w:bottom w:val="single" w:sz="12" w:space="0" w:color="auto"/>
              <w:right w:val="single" w:sz="12" w:space="0" w:color="FFFFFF"/>
            </w:tcBorders>
            <w:shd w:val="clear" w:color="FFFFFF" w:fill="FFFFFF"/>
            <w:noWrap/>
            <w:vAlign w:val="center"/>
            <w:hideMark/>
          </w:tcPr>
          <w:p w14:paraId="19246339"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Closing balance</w:t>
            </w:r>
          </w:p>
        </w:tc>
        <w:tc>
          <w:tcPr>
            <w:tcW w:w="1113" w:type="dxa"/>
            <w:tcBorders>
              <w:top w:val="single" w:sz="12" w:space="0" w:color="auto"/>
              <w:left w:val="nil"/>
              <w:bottom w:val="single" w:sz="12" w:space="0" w:color="auto"/>
              <w:right w:val="single" w:sz="12" w:space="0" w:color="FFFFFF"/>
            </w:tcBorders>
            <w:shd w:val="clear" w:color="FFFFFF" w:fill="FFFFFF"/>
            <w:noWrap/>
            <w:vAlign w:val="center"/>
            <w:hideMark/>
          </w:tcPr>
          <w:p w14:paraId="23FF3004"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12,581.9 </w:t>
            </w:r>
          </w:p>
        </w:tc>
        <w:tc>
          <w:tcPr>
            <w:tcW w:w="1084" w:type="dxa"/>
            <w:tcBorders>
              <w:top w:val="single" w:sz="12" w:space="0" w:color="auto"/>
              <w:left w:val="nil"/>
              <w:bottom w:val="single" w:sz="12" w:space="0" w:color="auto"/>
              <w:right w:val="single" w:sz="12" w:space="0" w:color="FFFFFF"/>
            </w:tcBorders>
            <w:shd w:val="clear" w:color="FFFFFF" w:fill="FFFFFF"/>
            <w:noWrap/>
            <w:vAlign w:val="center"/>
            <w:hideMark/>
          </w:tcPr>
          <w:p w14:paraId="0FE1C6A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13,112.4 </w:t>
            </w:r>
          </w:p>
        </w:tc>
        <w:tc>
          <w:tcPr>
            <w:tcW w:w="1089" w:type="dxa"/>
            <w:tcBorders>
              <w:top w:val="single" w:sz="12" w:space="0" w:color="auto"/>
              <w:left w:val="nil"/>
              <w:bottom w:val="single" w:sz="12" w:space="0" w:color="auto"/>
              <w:right w:val="single" w:sz="12" w:space="0" w:color="FFFFFF"/>
            </w:tcBorders>
            <w:shd w:val="clear" w:color="FFFFFF" w:fill="FFFFFF"/>
            <w:noWrap/>
            <w:vAlign w:val="center"/>
            <w:hideMark/>
          </w:tcPr>
          <w:p w14:paraId="638F7752"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92.5 </w:t>
            </w:r>
          </w:p>
        </w:tc>
        <w:tc>
          <w:tcPr>
            <w:tcW w:w="1099" w:type="dxa"/>
            <w:tcBorders>
              <w:top w:val="single" w:sz="12" w:space="0" w:color="auto"/>
              <w:left w:val="nil"/>
              <w:bottom w:val="single" w:sz="12" w:space="0" w:color="auto"/>
              <w:right w:val="single" w:sz="12" w:space="0" w:color="FFFFFF"/>
            </w:tcBorders>
            <w:shd w:val="clear" w:color="FFFFFF" w:fill="FFFFFF"/>
            <w:noWrap/>
            <w:vAlign w:val="center"/>
            <w:hideMark/>
          </w:tcPr>
          <w:p w14:paraId="11E15F88"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13.3 </w:t>
            </w:r>
          </w:p>
        </w:tc>
        <w:tc>
          <w:tcPr>
            <w:tcW w:w="1077" w:type="dxa"/>
            <w:tcBorders>
              <w:top w:val="single" w:sz="12" w:space="0" w:color="auto"/>
              <w:left w:val="nil"/>
              <w:bottom w:val="single" w:sz="12" w:space="0" w:color="auto"/>
              <w:right w:val="single" w:sz="12" w:space="0" w:color="FFFFFF"/>
            </w:tcBorders>
            <w:shd w:val="clear" w:color="FFFFFF" w:fill="FFFFFF"/>
            <w:noWrap/>
            <w:vAlign w:val="center"/>
            <w:hideMark/>
          </w:tcPr>
          <w:p w14:paraId="0E1A969D"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74.0 </w:t>
            </w:r>
          </w:p>
        </w:tc>
      </w:tr>
    </w:tbl>
    <w:p w14:paraId="728F6F90" w14:textId="530D3FF2" w:rsidR="00F1540A" w:rsidRPr="005734B8" w:rsidRDefault="00F1540A" w:rsidP="00F1540A">
      <w:pPr>
        <w:rPr>
          <w:rFonts w:ascii="Calibri" w:hAnsi="Calibri" w:cs="Calibri"/>
          <w:b/>
          <w:color w:val="8A2A2F"/>
          <w:sz w:val="19"/>
          <w:szCs w:val="18"/>
          <w:lang w:val="en-US"/>
        </w:rPr>
      </w:pPr>
    </w:p>
    <w:p w14:paraId="03B7EF03" w14:textId="77777777" w:rsidR="00F1540A" w:rsidRPr="005734B8" w:rsidRDefault="00F1540A" w:rsidP="00F1540A">
      <w:pPr>
        <w:pStyle w:val="ES-HeadingTableRed"/>
        <w:rPr>
          <w:rFonts w:ascii="Calibri" w:hAnsi="Calibri" w:cs="Calibri"/>
          <w:sz w:val="22"/>
          <w:szCs w:val="22"/>
        </w:rPr>
      </w:pPr>
      <w:r w:rsidRPr="005734B8">
        <w:rPr>
          <w:rFonts w:ascii="Calibri" w:hAnsi="Calibri" w:cs="Calibri"/>
          <w:sz w:val="22"/>
          <w:szCs w:val="22"/>
        </w:rPr>
        <w:t xml:space="preserve">Reconciliation of Level 3 fair value </w:t>
      </w:r>
      <w:r w:rsidRPr="005734B8">
        <w:rPr>
          <w:rFonts w:ascii="Calibri" w:hAnsi="Calibri" w:cs="Calibri"/>
          <w:sz w:val="22"/>
          <w:szCs w:val="22"/>
        </w:rPr>
        <w:fldChar w:fldCharType="begin"/>
      </w:r>
      <w:r w:rsidRPr="005734B8">
        <w:rPr>
          <w:rFonts w:ascii="Calibri" w:hAnsi="Calibri" w:cs="Calibri"/>
          <w:sz w:val="22"/>
          <w:szCs w:val="22"/>
        </w:rPr>
        <w:instrText xml:space="preserve"> DOCPROPERTY  pEnd  \* MERGEFORMAT </w:instrText>
      </w:r>
      <w:r w:rsidRPr="005734B8">
        <w:rPr>
          <w:rFonts w:ascii="Calibri" w:hAnsi="Calibri" w:cs="Calibri"/>
          <w:sz w:val="22"/>
          <w:szCs w:val="22"/>
        </w:rPr>
        <w:fldChar w:fldCharType="separate"/>
      </w:r>
      <w:r w:rsidRPr="005734B8">
        <w:rPr>
          <w:rFonts w:ascii="Calibri" w:hAnsi="Calibri" w:cs="Calibri"/>
          <w:sz w:val="22"/>
          <w:szCs w:val="22"/>
        </w:rPr>
        <w:t>30 June</w:t>
      </w:r>
      <w:r w:rsidRPr="005734B8">
        <w:rPr>
          <w:rFonts w:ascii="Calibri" w:hAnsi="Calibri" w:cs="Calibri"/>
          <w:sz w:val="22"/>
          <w:szCs w:val="22"/>
        </w:rPr>
        <w:fldChar w:fldCharType="end"/>
      </w:r>
      <w:r w:rsidRPr="005734B8">
        <w:rPr>
          <w:rFonts w:ascii="Calibri" w:hAnsi="Calibri" w:cs="Calibri"/>
          <w:sz w:val="22"/>
          <w:szCs w:val="22"/>
        </w:rPr>
        <w:t xml:space="preserve"> </w:t>
      </w:r>
      <w:r w:rsidRPr="005734B8">
        <w:rPr>
          <w:rFonts w:ascii="Calibri" w:hAnsi="Calibri" w:cs="Calibri"/>
          <w:sz w:val="22"/>
          <w:szCs w:val="22"/>
        </w:rPr>
        <w:fldChar w:fldCharType="begin"/>
      </w:r>
      <w:r w:rsidRPr="005734B8">
        <w:rPr>
          <w:rFonts w:ascii="Calibri" w:hAnsi="Calibri" w:cs="Calibri"/>
          <w:sz w:val="22"/>
          <w:szCs w:val="22"/>
        </w:rPr>
        <w:instrText xml:space="preserve"> DOCPROPERTY  prYear  \* MERGEFORMAT </w:instrText>
      </w:r>
      <w:r w:rsidRPr="005734B8">
        <w:rPr>
          <w:rFonts w:ascii="Calibri" w:hAnsi="Calibri" w:cs="Calibri"/>
          <w:sz w:val="22"/>
          <w:szCs w:val="22"/>
        </w:rPr>
        <w:fldChar w:fldCharType="separate"/>
      </w:r>
      <w:r w:rsidRPr="005734B8">
        <w:rPr>
          <w:rFonts w:ascii="Calibri" w:hAnsi="Calibri" w:cs="Calibri"/>
          <w:sz w:val="22"/>
          <w:szCs w:val="22"/>
        </w:rPr>
        <w:t>2020</w:t>
      </w:r>
      <w:r w:rsidRPr="005734B8">
        <w:rPr>
          <w:rFonts w:ascii="Calibri" w:hAnsi="Calibri" w:cs="Calibri"/>
          <w:sz w:val="22"/>
          <w:szCs w:val="22"/>
        </w:rPr>
        <w:fldChar w:fldCharType="end"/>
      </w:r>
    </w:p>
    <w:tbl>
      <w:tblPr>
        <w:tblW w:w="7625" w:type="dxa"/>
        <w:tblInd w:w="80" w:type="dxa"/>
        <w:tblLayout w:type="fixed"/>
        <w:tblLook w:val="04A0" w:firstRow="1" w:lastRow="0" w:firstColumn="1" w:lastColumn="0" w:noHBand="0" w:noVBand="1"/>
      </w:tblPr>
      <w:tblGrid>
        <w:gridCol w:w="1809"/>
        <w:gridCol w:w="925"/>
        <w:gridCol w:w="935"/>
        <w:gridCol w:w="899"/>
        <w:gridCol w:w="1103"/>
        <w:gridCol w:w="1070"/>
        <w:gridCol w:w="884"/>
      </w:tblGrid>
      <w:tr w:rsidR="00F1540A" w:rsidRPr="005734B8" w14:paraId="38482F26" w14:textId="77777777" w:rsidTr="000F48B1">
        <w:trPr>
          <w:trHeight w:val="900"/>
        </w:trPr>
        <w:tc>
          <w:tcPr>
            <w:tcW w:w="1809" w:type="dxa"/>
            <w:tcBorders>
              <w:top w:val="nil"/>
              <w:left w:val="nil"/>
              <w:bottom w:val="single" w:sz="4" w:space="0" w:color="auto"/>
              <w:right w:val="single" w:sz="4" w:space="0" w:color="FFFFFF"/>
            </w:tcBorders>
            <w:shd w:val="clear" w:color="000000" w:fill="AF272F"/>
            <w:hideMark/>
          </w:tcPr>
          <w:p w14:paraId="4258F7C4" w14:textId="77777777" w:rsidR="00F1540A" w:rsidRPr="005734B8" w:rsidRDefault="00F1540A" w:rsidP="000F48B1">
            <w:pPr>
              <w:rPr>
                <w:rFonts w:ascii="Calibri" w:hAnsi="Calibri" w:cs="Calibri"/>
                <w:b/>
                <w:color w:val="FFFFFF"/>
                <w:sz w:val="16"/>
                <w:szCs w:val="16"/>
              </w:rPr>
            </w:pPr>
            <w:bookmarkStart w:id="1731" w:name="Note_RFCTABLE1" w:colFirst="0" w:colLast="0"/>
            <w:r w:rsidRPr="005734B8">
              <w:rPr>
                <w:rFonts w:ascii="Calibri" w:hAnsi="Calibri" w:cs="Calibri"/>
                <w:b/>
                <w:color w:val="FFFFFF"/>
                <w:sz w:val="16"/>
                <w:szCs w:val="16"/>
              </w:rPr>
              <w:t>2020</w:t>
            </w:r>
          </w:p>
        </w:tc>
        <w:tc>
          <w:tcPr>
            <w:tcW w:w="925" w:type="dxa"/>
            <w:tcBorders>
              <w:top w:val="nil"/>
              <w:left w:val="nil"/>
              <w:bottom w:val="single" w:sz="4" w:space="0" w:color="auto"/>
              <w:right w:val="single" w:sz="4" w:space="0" w:color="FFFFFF"/>
            </w:tcBorders>
            <w:shd w:val="clear" w:color="000000" w:fill="AF272F"/>
            <w:hideMark/>
          </w:tcPr>
          <w:p w14:paraId="6A260473"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xml:space="preserve">Land </w:t>
            </w:r>
            <w:r w:rsidRPr="005734B8">
              <w:rPr>
                <w:rFonts w:ascii="Calibri" w:hAnsi="Calibri" w:cs="Calibri"/>
                <w:b/>
                <w:color w:val="FFFFFF"/>
                <w:sz w:val="16"/>
                <w:szCs w:val="16"/>
              </w:rPr>
              <w:br/>
              <w:t>($m)</w:t>
            </w:r>
          </w:p>
        </w:tc>
        <w:tc>
          <w:tcPr>
            <w:tcW w:w="935" w:type="dxa"/>
            <w:tcBorders>
              <w:top w:val="nil"/>
              <w:left w:val="nil"/>
              <w:bottom w:val="single" w:sz="4" w:space="0" w:color="auto"/>
              <w:right w:val="single" w:sz="4" w:space="0" w:color="FFFFFF"/>
            </w:tcBorders>
            <w:shd w:val="clear" w:color="000000" w:fill="AF272F"/>
            <w:hideMark/>
          </w:tcPr>
          <w:p w14:paraId="4F859F58"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Build-</w:t>
            </w:r>
            <w:r w:rsidRPr="005734B8">
              <w:rPr>
                <w:rFonts w:ascii="Calibri" w:hAnsi="Calibri" w:cs="Calibri"/>
                <w:b/>
                <w:color w:val="FFFFFF"/>
                <w:sz w:val="16"/>
                <w:szCs w:val="16"/>
              </w:rPr>
              <w:br/>
              <w:t xml:space="preserve">ings </w:t>
            </w:r>
            <w:r w:rsidRPr="005734B8">
              <w:rPr>
                <w:rFonts w:ascii="Calibri" w:hAnsi="Calibri" w:cs="Calibri"/>
                <w:b/>
                <w:color w:val="FFFFFF"/>
                <w:sz w:val="16"/>
                <w:szCs w:val="16"/>
              </w:rPr>
              <w:br/>
              <w:t>($m)</w:t>
            </w:r>
          </w:p>
        </w:tc>
        <w:tc>
          <w:tcPr>
            <w:tcW w:w="899" w:type="dxa"/>
            <w:tcBorders>
              <w:top w:val="nil"/>
              <w:left w:val="nil"/>
              <w:bottom w:val="single" w:sz="4" w:space="0" w:color="auto"/>
              <w:right w:val="single" w:sz="4" w:space="0" w:color="FFFFFF"/>
            </w:tcBorders>
            <w:shd w:val="clear" w:color="000000" w:fill="AF272F"/>
            <w:hideMark/>
          </w:tcPr>
          <w:p w14:paraId="543EDE91"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Heritage build-</w:t>
            </w:r>
            <w:r w:rsidRPr="005734B8">
              <w:rPr>
                <w:rFonts w:ascii="Calibri" w:hAnsi="Calibri" w:cs="Calibri"/>
                <w:b/>
                <w:color w:val="FFFFFF"/>
                <w:sz w:val="16"/>
                <w:szCs w:val="16"/>
              </w:rPr>
              <w:br/>
              <w:t xml:space="preserve">ings </w:t>
            </w:r>
            <w:r w:rsidRPr="005734B8">
              <w:rPr>
                <w:rFonts w:ascii="Calibri" w:hAnsi="Calibri" w:cs="Calibri"/>
                <w:b/>
                <w:color w:val="FFFFFF"/>
                <w:sz w:val="16"/>
                <w:szCs w:val="16"/>
              </w:rPr>
              <w:br/>
              <w:t>($m)</w:t>
            </w:r>
          </w:p>
        </w:tc>
        <w:tc>
          <w:tcPr>
            <w:tcW w:w="1103" w:type="dxa"/>
            <w:tcBorders>
              <w:top w:val="nil"/>
              <w:left w:val="nil"/>
              <w:bottom w:val="single" w:sz="4" w:space="0" w:color="auto"/>
              <w:right w:val="single" w:sz="4" w:space="0" w:color="FFFFFF"/>
            </w:tcBorders>
            <w:shd w:val="clear" w:color="000000" w:fill="AF272F"/>
            <w:hideMark/>
          </w:tcPr>
          <w:p w14:paraId="0AED3439"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 xml:space="preserve">Leasehold buildings </w:t>
            </w:r>
            <w:r w:rsidRPr="005734B8">
              <w:rPr>
                <w:rFonts w:ascii="Calibri" w:hAnsi="Calibri" w:cs="Calibri"/>
                <w:b/>
                <w:color w:val="FFFFFF"/>
                <w:sz w:val="16"/>
                <w:szCs w:val="16"/>
              </w:rPr>
              <w:br/>
              <w:t>($m)</w:t>
            </w:r>
          </w:p>
        </w:tc>
        <w:tc>
          <w:tcPr>
            <w:tcW w:w="1070" w:type="dxa"/>
            <w:tcBorders>
              <w:top w:val="nil"/>
              <w:left w:val="nil"/>
              <w:bottom w:val="single" w:sz="4" w:space="0" w:color="auto"/>
              <w:right w:val="single" w:sz="4" w:space="0" w:color="FFFFFF"/>
            </w:tcBorders>
            <w:shd w:val="clear" w:color="000000" w:fill="AF272F"/>
            <w:hideMark/>
          </w:tcPr>
          <w:p w14:paraId="48F9367D"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Leasehold improve-</w:t>
            </w:r>
            <w:r w:rsidRPr="005734B8">
              <w:rPr>
                <w:rFonts w:ascii="Calibri" w:hAnsi="Calibri" w:cs="Calibri"/>
                <w:b/>
                <w:color w:val="FFFFFF"/>
                <w:sz w:val="16"/>
                <w:szCs w:val="16"/>
              </w:rPr>
              <w:br/>
              <w:t xml:space="preserve">ments </w:t>
            </w:r>
            <w:r w:rsidRPr="005734B8">
              <w:rPr>
                <w:rFonts w:ascii="Calibri" w:hAnsi="Calibri" w:cs="Calibri"/>
                <w:b/>
                <w:color w:val="FFFFFF"/>
                <w:sz w:val="16"/>
                <w:szCs w:val="16"/>
              </w:rPr>
              <w:br/>
              <w:t>($m)</w:t>
            </w:r>
          </w:p>
        </w:tc>
        <w:tc>
          <w:tcPr>
            <w:tcW w:w="884" w:type="dxa"/>
            <w:tcBorders>
              <w:top w:val="nil"/>
              <w:left w:val="nil"/>
              <w:bottom w:val="single" w:sz="4" w:space="0" w:color="auto"/>
              <w:right w:val="single" w:sz="4" w:space="0" w:color="FFFFFF"/>
            </w:tcBorders>
            <w:shd w:val="clear" w:color="000000" w:fill="AF272F"/>
            <w:hideMark/>
          </w:tcPr>
          <w:p w14:paraId="1BAC33B4" w14:textId="77777777" w:rsidR="00F1540A" w:rsidRPr="005734B8" w:rsidRDefault="00F1540A" w:rsidP="000F48B1">
            <w:pPr>
              <w:jc w:val="right"/>
              <w:rPr>
                <w:rFonts w:ascii="Calibri" w:hAnsi="Calibri" w:cs="Calibri"/>
                <w:b/>
                <w:color w:val="FFFFFF"/>
                <w:sz w:val="16"/>
                <w:szCs w:val="16"/>
              </w:rPr>
            </w:pPr>
            <w:r w:rsidRPr="005734B8">
              <w:rPr>
                <w:rFonts w:ascii="Calibri" w:hAnsi="Calibri" w:cs="Calibri"/>
                <w:b/>
                <w:color w:val="FFFFFF"/>
                <w:sz w:val="16"/>
                <w:szCs w:val="16"/>
              </w:rPr>
              <w:t>Plant and equip-</w:t>
            </w:r>
            <w:r w:rsidRPr="005734B8">
              <w:rPr>
                <w:rFonts w:ascii="Calibri" w:hAnsi="Calibri" w:cs="Calibri"/>
                <w:b/>
                <w:color w:val="FFFFFF"/>
                <w:sz w:val="16"/>
                <w:szCs w:val="16"/>
              </w:rPr>
              <w:br/>
              <w:t xml:space="preserve">ment </w:t>
            </w:r>
            <w:r w:rsidRPr="005734B8">
              <w:rPr>
                <w:rFonts w:ascii="Calibri" w:hAnsi="Calibri" w:cs="Calibri"/>
                <w:b/>
                <w:color w:val="FFFFFF"/>
                <w:sz w:val="16"/>
                <w:szCs w:val="16"/>
              </w:rPr>
              <w:br/>
              <w:t>($m)</w:t>
            </w:r>
          </w:p>
        </w:tc>
      </w:tr>
      <w:bookmarkEnd w:id="1731"/>
      <w:tr w:rsidR="00F1540A" w:rsidRPr="005734B8" w14:paraId="2A8825C8" w14:textId="77777777" w:rsidTr="000F48B1">
        <w:trPr>
          <w:trHeight w:val="255"/>
        </w:trPr>
        <w:tc>
          <w:tcPr>
            <w:tcW w:w="1809" w:type="dxa"/>
            <w:tcBorders>
              <w:top w:val="nil"/>
              <w:left w:val="single" w:sz="4" w:space="0" w:color="FFFFFF"/>
              <w:bottom w:val="single" w:sz="4" w:space="0" w:color="auto"/>
              <w:right w:val="single" w:sz="4" w:space="0" w:color="FFFFFF"/>
            </w:tcBorders>
            <w:shd w:val="clear" w:color="000000" w:fill="D9D9D9"/>
            <w:vAlign w:val="center"/>
            <w:hideMark/>
          </w:tcPr>
          <w:p w14:paraId="44458578"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Opening balance</w:t>
            </w:r>
          </w:p>
        </w:tc>
        <w:tc>
          <w:tcPr>
            <w:tcW w:w="925" w:type="dxa"/>
            <w:tcBorders>
              <w:top w:val="nil"/>
              <w:left w:val="nil"/>
              <w:bottom w:val="single" w:sz="4" w:space="0" w:color="auto"/>
              <w:right w:val="single" w:sz="4" w:space="0" w:color="FFFFFF"/>
            </w:tcBorders>
            <w:shd w:val="clear" w:color="000000" w:fill="D9D9D9"/>
            <w:vAlign w:val="center"/>
            <w:hideMark/>
          </w:tcPr>
          <w:p w14:paraId="3A1E1D11"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9,929.2 </w:t>
            </w:r>
          </w:p>
        </w:tc>
        <w:tc>
          <w:tcPr>
            <w:tcW w:w="935" w:type="dxa"/>
            <w:tcBorders>
              <w:top w:val="nil"/>
              <w:left w:val="nil"/>
              <w:bottom w:val="single" w:sz="4" w:space="0" w:color="auto"/>
              <w:right w:val="single" w:sz="4" w:space="0" w:color="FFFFFF"/>
            </w:tcBorders>
            <w:shd w:val="clear" w:color="000000" w:fill="D9D9D9"/>
            <w:vAlign w:val="center"/>
            <w:hideMark/>
          </w:tcPr>
          <w:p w14:paraId="304DF22A"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11,775.2 </w:t>
            </w:r>
          </w:p>
        </w:tc>
        <w:tc>
          <w:tcPr>
            <w:tcW w:w="899" w:type="dxa"/>
            <w:tcBorders>
              <w:top w:val="nil"/>
              <w:left w:val="nil"/>
              <w:bottom w:val="single" w:sz="4" w:space="0" w:color="auto"/>
              <w:right w:val="single" w:sz="4" w:space="0" w:color="FFFFFF"/>
            </w:tcBorders>
            <w:shd w:val="clear" w:color="000000" w:fill="D9D9D9"/>
            <w:vAlign w:val="center"/>
            <w:hideMark/>
          </w:tcPr>
          <w:p w14:paraId="394FF8B2"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100.6 </w:t>
            </w:r>
          </w:p>
        </w:tc>
        <w:tc>
          <w:tcPr>
            <w:tcW w:w="1103" w:type="dxa"/>
            <w:tcBorders>
              <w:top w:val="nil"/>
              <w:left w:val="nil"/>
              <w:bottom w:val="single" w:sz="4" w:space="0" w:color="auto"/>
              <w:right w:val="single" w:sz="4" w:space="0" w:color="FFFFFF"/>
            </w:tcBorders>
            <w:shd w:val="clear" w:color="000000" w:fill="D9D9D9"/>
            <w:vAlign w:val="center"/>
            <w:hideMark/>
          </w:tcPr>
          <w:p w14:paraId="4C048A6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516.4 </w:t>
            </w:r>
          </w:p>
        </w:tc>
        <w:tc>
          <w:tcPr>
            <w:tcW w:w="1070" w:type="dxa"/>
            <w:tcBorders>
              <w:top w:val="nil"/>
              <w:left w:val="nil"/>
              <w:bottom w:val="single" w:sz="4" w:space="0" w:color="auto"/>
              <w:right w:val="single" w:sz="4" w:space="0" w:color="FFFFFF"/>
            </w:tcBorders>
            <w:shd w:val="clear" w:color="000000" w:fill="D9D9D9"/>
            <w:vAlign w:val="center"/>
            <w:hideMark/>
          </w:tcPr>
          <w:p w14:paraId="653F2F31"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21.6 </w:t>
            </w:r>
          </w:p>
        </w:tc>
        <w:tc>
          <w:tcPr>
            <w:tcW w:w="884" w:type="dxa"/>
            <w:tcBorders>
              <w:top w:val="nil"/>
              <w:left w:val="nil"/>
              <w:bottom w:val="single" w:sz="4" w:space="0" w:color="auto"/>
              <w:right w:val="single" w:sz="4" w:space="0" w:color="FFFFFF"/>
            </w:tcBorders>
            <w:shd w:val="clear" w:color="000000" w:fill="D9D9D9"/>
            <w:vAlign w:val="center"/>
            <w:hideMark/>
          </w:tcPr>
          <w:p w14:paraId="44026276"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73.6 </w:t>
            </w:r>
          </w:p>
        </w:tc>
      </w:tr>
      <w:tr w:rsidR="00F1540A" w:rsidRPr="005734B8" w14:paraId="6DBF1DF7" w14:textId="77777777" w:rsidTr="000F48B1">
        <w:trPr>
          <w:trHeight w:val="255"/>
        </w:trPr>
        <w:tc>
          <w:tcPr>
            <w:tcW w:w="1809" w:type="dxa"/>
            <w:tcBorders>
              <w:top w:val="nil"/>
              <w:left w:val="single" w:sz="4" w:space="0" w:color="FFFFFF"/>
              <w:bottom w:val="single" w:sz="4" w:space="0" w:color="auto"/>
              <w:right w:val="single" w:sz="4" w:space="0" w:color="FFFFFF"/>
            </w:tcBorders>
            <w:shd w:val="clear" w:color="FFFFFF" w:fill="FFFFFF"/>
            <w:vAlign w:val="center"/>
            <w:hideMark/>
          </w:tcPr>
          <w:p w14:paraId="441E2620" w14:textId="067A4A19" w:rsidR="00F1540A" w:rsidRPr="005734B8" w:rsidRDefault="00F1540A" w:rsidP="000F48B1">
            <w:pPr>
              <w:rPr>
                <w:rFonts w:ascii="Calibri" w:hAnsi="Calibri" w:cs="Calibri"/>
                <w:sz w:val="18"/>
                <w:szCs w:val="18"/>
              </w:rPr>
            </w:pPr>
            <w:r w:rsidRPr="005734B8">
              <w:rPr>
                <w:rFonts w:ascii="Calibri" w:hAnsi="Calibri" w:cs="Calibri"/>
                <w:sz w:val="18"/>
                <w:szCs w:val="18"/>
              </w:rPr>
              <w:t>Prior</w:t>
            </w:r>
            <w:r w:rsidR="006E0A5C" w:rsidRPr="005734B8">
              <w:rPr>
                <w:rFonts w:ascii="Calibri" w:hAnsi="Calibri" w:cs="Calibri"/>
                <w:sz w:val="18"/>
                <w:szCs w:val="18"/>
              </w:rPr>
              <w:noBreakHyphen/>
            </w:r>
            <w:r w:rsidRPr="005734B8">
              <w:rPr>
                <w:rFonts w:ascii="Calibri" w:hAnsi="Calibri" w:cs="Calibri"/>
                <w:sz w:val="18"/>
                <w:szCs w:val="18"/>
              </w:rPr>
              <w:t>year adjustments</w:t>
            </w:r>
          </w:p>
        </w:tc>
        <w:tc>
          <w:tcPr>
            <w:tcW w:w="925" w:type="dxa"/>
            <w:tcBorders>
              <w:top w:val="nil"/>
              <w:left w:val="nil"/>
              <w:bottom w:val="single" w:sz="4" w:space="0" w:color="auto"/>
              <w:right w:val="single" w:sz="4" w:space="0" w:color="FFFFFF"/>
            </w:tcBorders>
            <w:shd w:val="clear" w:color="FFFFFF" w:fill="FFFFFF"/>
            <w:noWrap/>
            <w:vAlign w:val="center"/>
            <w:hideMark/>
          </w:tcPr>
          <w:p w14:paraId="53A9638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(0.5) </w:t>
            </w:r>
          </w:p>
        </w:tc>
        <w:tc>
          <w:tcPr>
            <w:tcW w:w="935" w:type="dxa"/>
            <w:tcBorders>
              <w:top w:val="nil"/>
              <w:left w:val="nil"/>
              <w:bottom w:val="single" w:sz="4" w:space="0" w:color="auto"/>
              <w:right w:val="single" w:sz="4" w:space="0" w:color="FFFFFF"/>
            </w:tcBorders>
            <w:shd w:val="clear" w:color="FFFFFF" w:fill="FFFFFF"/>
            <w:noWrap/>
            <w:vAlign w:val="center"/>
            <w:hideMark/>
          </w:tcPr>
          <w:p w14:paraId="245B2973" w14:textId="1CDB18CD"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899" w:type="dxa"/>
            <w:tcBorders>
              <w:top w:val="nil"/>
              <w:left w:val="nil"/>
              <w:bottom w:val="single" w:sz="4" w:space="0" w:color="auto"/>
              <w:right w:val="single" w:sz="4" w:space="0" w:color="FFFFFF"/>
            </w:tcBorders>
            <w:shd w:val="clear" w:color="FFFFFF" w:fill="FFFFFF"/>
            <w:noWrap/>
            <w:vAlign w:val="center"/>
            <w:hideMark/>
          </w:tcPr>
          <w:p w14:paraId="5851F598" w14:textId="3FFDEBC4"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103" w:type="dxa"/>
            <w:tcBorders>
              <w:top w:val="nil"/>
              <w:left w:val="nil"/>
              <w:bottom w:val="single" w:sz="4" w:space="0" w:color="auto"/>
              <w:right w:val="single" w:sz="4" w:space="0" w:color="FFFFFF"/>
            </w:tcBorders>
            <w:shd w:val="clear" w:color="FFFFFF" w:fill="FFFFFF"/>
            <w:noWrap/>
            <w:vAlign w:val="center"/>
            <w:hideMark/>
          </w:tcPr>
          <w:p w14:paraId="5B47B9BC" w14:textId="447EB4C9"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70" w:type="dxa"/>
            <w:tcBorders>
              <w:top w:val="nil"/>
              <w:left w:val="nil"/>
              <w:bottom w:val="single" w:sz="4" w:space="0" w:color="auto"/>
              <w:right w:val="single" w:sz="4" w:space="0" w:color="FFFFFF"/>
            </w:tcBorders>
            <w:shd w:val="clear" w:color="FFFFFF" w:fill="FFFFFF"/>
            <w:noWrap/>
            <w:vAlign w:val="center"/>
            <w:hideMark/>
          </w:tcPr>
          <w:p w14:paraId="69AD4240" w14:textId="77EDE19E"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884" w:type="dxa"/>
            <w:tcBorders>
              <w:top w:val="nil"/>
              <w:left w:val="nil"/>
              <w:bottom w:val="single" w:sz="4" w:space="0" w:color="auto"/>
              <w:right w:val="single" w:sz="4" w:space="0" w:color="FFFFFF"/>
            </w:tcBorders>
            <w:shd w:val="clear" w:color="FFFFFF" w:fill="FFFFFF"/>
            <w:noWrap/>
            <w:vAlign w:val="center"/>
            <w:hideMark/>
          </w:tcPr>
          <w:p w14:paraId="36D3931A" w14:textId="10E7C90B"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r>
      <w:tr w:rsidR="00F1540A" w:rsidRPr="005734B8" w14:paraId="4CBD8D14" w14:textId="77777777" w:rsidTr="000F48B1">
        <w:trPr>
          <w:trHeight w:val="720"/>
        </w:trPr>
        <w:tc>
          <w:tcPr>
            <w:tcW w:w="1809" w:type="dxa"/>
            <w:tcBorders>
              <w:top w:val="nil"/>
              <w:left w:val="single" w:sz="4" w:space="0" w:color="FFFFFF"/>
              <w:bottom w:val="single" w:sz="4" w:space="0" w:color="auto"/>
              <w:right w:val="single" w:sz="4" w:space="0" w:color="FFFFFF"/>
            </w:tcBorders>
            <w:shd w:val="clear" w:color="FFFFFF" w:fill="FFFFFF"/>
            <w:vAlign w:val="center"/>
            <w:hideMark/>
          </w:tcPr>
          <w:p w14:paraId="57ED7E8C"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Recognition of right-of-use assets on initial application of AASB 16</w:t>
            </w:r>
          </w:p>
        </w:tc>
        <w:tc>
          <w:tcPr>
            <w:tcW w:w="925" w:type="dxa"/>
            <w:tcBorders>
              <w:top w:val="nil"/>
              <w:left w:val="nil"/>
              <w:bottom w:val="single" w:sz="4" w:space="0" w:color="auto"/>
              <w:right w:val="single" w:sz="4" w:space="0" w:color="FFFFFF"/>
            </w:tcBorders>
            <w:shd w:val="clear" w:color="FFFFFF" w:fill="FFFFFF"/>
            <w:noWrap/>
            <w:vAlign w:val="center"/>
            <w:hideMark/>
          </w:tcPr>
          <w:p w14:paraId="4D1C9767" w14:textId="3B7A87A3"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935" w:type="dxa"/>
            <w:tcBorders>
              <w:top w:val="nil"/>
              <w:left w:val="nil"/>
              <w:bottom w:val="single" w:sz="4" w:space="0" w:color="auto"/>
              <w:right w:val="single" w:sz="4" w:space="0" w:color="FFFFFF"/>
            </w:tcBorders>
            <w:shd w:val="clear" w:color="FFFFFF" w:fill="FFFFFF"/>
            <w:noWrap/>
            <w:vAlign w:val="center"/>
            <w:hideMark/>
          </w:tcPr>
          <w:p w14:paraId="5CE91C63" w14:textId="62DD2AED"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899" w:type="dxa"/>
            <w:tcBorders>
              <w:top w:val="nil"/>
              <w:left w:val="nil"/>
              <w:bottom w:val="single" w:sz="4" w:space="0" w:color="auto"/>
              <w:right w:val="single" w:sz="4" w:space="0" w:color="FFFFFF"/>
            </w:tcBorders>
            <w:shd w:val="clear" w:color="FFFFFF" w:fill="FFFFFF"/>
            <w:noWrap/>
            <w:vAlign w:val="center"/>
            <w:hideMark/>
          </w:tcPr>
          <w:p w14:paraId="75F2F73A" w14:textId="6BF59548"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103" w:type="dxa"/>
            <w:tcBorders>
              <w:top w:val="nil"/>
              <w:left w:val="nil"/>
              <w:bottom w:val="single" w:sz="4" w:space="0" w:color="auto"/>
              <w:right w:val="single" w:sz="4" w:space="0" w:color="FFFFFF"/>
            </w:tcBorders>
            <w:shd w:val="clear" w:color="FFFFFF" w:fill="FFFFFF"/>
            <w:noWrap/>
            <w:vAlign w:val="center"/>
            <w:hideMark/>
          </w:tcPr>
          <w:p w14:paraId="0503502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(516.4) </w:t>
            </w:r>
          </w:p>
        </w:tc>
        <w:tc>
          <w:tcPr>
            <w:tcW w:w="1070" w:type="dxa"/>
            <w:tcBorders>
              <w:top w:val="nil"/>
              <w:left w:val="nil"/>
              <w:bottom w:val="single" w:sz="4" w:space="0" w:color="auto"/>
              <w:right w:val="single" w:sz="4" w:space="0" w:color="FFFFFF"/>
            </w:tcBorders>
            <w:shd w:val="clear" w:color="FFFFFF" w:fill="FFFFFF"/>
            <w:noWrap/>
            <w:vAlign w:val="center"/>
            <w:hideMark/>
          </w:tcPr>
          <w:p w14:paraId="6B279B99" w14:textId="369410EE"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884" w:type="dxa"/>
            <w:tcBorders>
              <w:top w:val="nil"/>
              <w:left w:val="nil"/>
              <w:bottom w:val="single" w:sz="4" w:space="0" w:color="auto"/>
              <w:right w:val="single" w:sz="4" w:space="0" w:color="FFFFFF"/>
            </w:tcBorders>
            <w:shd w:val="clear" w:color="FFFFFF" w:fill="FFFFFF"/>
            <w:noWrap/>
            <w:vAlign w:val="center"/>
            <w:hideMark/>
          </w:tcPr>
          <w:p w14:paraId="698920D5" w14:textId="49D0FA9A"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r>
      <w:tr w:rsidR="00F1540A" w:rsidRPr="005734B8" w14:paraId="181718F6" w14:textId="77777777" w:rsidTr="000F48B1">
        <w:trPr>
          <w:trHeight w:val="480"/>
        </w:trPr>
        <w:tc>
          <w:tcPr>
            <w:tcW w:w="1809" w:type="dxa"/>
            <w:tcBorders>
              <w:top w:val="nil"/>
              <w:left w:val="single" w:sz="4" w:space="0" w:color="FFFFFF"/>
              <w:bottom w:val="single" w:sz="4" w:space="0" w:color="auto"/>
              <w:right w:val="single" w:sz="4" w:space="0" w:color="FFFFFF"/>
            </w:tcBorders>
            <w:shd w:val="clear" w:color="000000" w:fill="D9D9D9"/>
            <w:vAlign w:val="center"/>
            <w:hideMark/>
          </w:tcPr>
          <w:p w14:paraId="1EDA2237"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Adjusted balance as at 1 July 2019</w:t>
            </w:r>
          </w:p>
        </w:tc>
        <w:tc>
          <w:tcPr>
            <w:tcW w:w="925" w:type="dxa"/>
            <w:tcBorders>
              <w:top w:val="nil"/>
              <w:left w:val="nil"/>
              <w:bottom w:val="single" w:sz="4" w:space="0" w:color="auto"/>
              <w:right w:val="single" w:sz="4" w:space="0" w:color="FFFFFF"/>
            </w:tcBorders>
            <w:shd w:val="clear" w:color="000000" w:fill="D9D9D9"/>
            <w:vAlign w:val="center"/>
            <w:hideMark/>
          </w:tcPr>
          <w:p w14:paraId="315F6BAD"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9,928.7 </w:t>
            </w:r>
          </w:p>
        </w:tc>
        <w:tc>
          <w:tcPr>
            <w:tcW w:w="935" w:type="dxa"/>
            <w:tcBorders>
              <w:top w:val="nil"/>
              <w:left w:val="nil"/>
              <w:bottom w:val="single" w:sz="4" w:space="0" w:color="auto"/>
              <w:right w:val="single" w:sz="4" w:space="0" w:color="FFFFFF"/>
            </w:tcBorders>
            <w:shd w:val="clear" w:color="000000" w:fill="D9D9D9"/>
            <w:vAlign w:val="center"/>
            <w:hideMark/>
          </w:tcPr>
          <w:p w14:paraId="34B2A191"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11,775.2 </w:t>
            </w:r>
          </w:p>
        </w:tc>
        <w:tc>
          <w:tcPr>
            <w:tcW w:w="899" w:type="dxa"/>
            <w:tcBorders>
              <w:top w:val="nil"/>
              <w:left w:val="nil"/>
              <w:bottom w:val="single" w:sz="4" w:space="0" w:color="auto"/>
              <w:right w:val="single" w:sz="4" w:space="0" w:color="FFFFFF"/>
            </w:tcBorders>
            <w:shd w:val="clear" w:color="000000" w:fill="D9D9D9"/>
            <w:vAlign w:val="center"/>
            <w:hideMark/>
          </w:tcPr>
          <w:p w14:paraId="43ED09B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100.6 </w:t>
            </w:r>
          </w:p>
        </w:tc>
        <w:tc>
          <w:tcPr>
            <w:tcW w:w="1103" w:type="dxa"/>
            <w:tcBorders>
              <w:top w:val="nil"/>
              <w:left w:val="nil"/>
              <w:bottom w:val="single" w:sz="4" w:space="0" w:color="auto"/>
              <w:right w:val="single" w:sz="4" w:space="0" w:color="FFFFFF"/>
            </w:tcBorders>
            <w:shd w:val="clear" w:color="000000" w:fill="D9D9D9"/>
            <w:vAlign w:val="center"/>
            <w:hideMark/>
          </w:tcPr>
          <w:p w14:paraId="779AD412" w14:textId="04E0B9DB"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 </w:t>
            </w:r>
            <w:r w:rsidR="00FD4AAA" w:rsidRPr="005734B8">
              <w:rPr>
                <w:rFonts w:ascii="Calibri" w:hAnsi="Calibri" w:cs="Calibri"/>
                <w:sz w:val="18"/>
                <w:szCs w:val="18"/>
              </w:rPr>
              <w:t>–</w:t>
            </w:r>
            <w:r w:rsidRPr="005734B8">
              <w:rPr>
                <w:rFonts w:ascii="Calibri" w:hAnsi="Calibri" w:cs="Calibri"/>
                <w:b/>
                <w:sz w:val="18"/>
                <w:szCs w:val="18"/>
              </w:rPr>
              <w:t xml:space="preserve"> </w:t>
            </w:r>
          </w:p>
        </w:tc>
        <w:tc>
          <w:tcPr>
            <w:tcW w:w="1070" w:type="dxa"/>
            <w:tcBorders>
              <w:top w:val="nil"/>
              <w:left w:val="nil"/>
              <w:bottom w:val="single" w:sz="4" w:space="0" w:color="auto"/>
              <w:right w:val="single" w:sz="4" w:space="0" w:color="FFFFFF"/>
            </w:tcBorders>
            <w:shd w:val="clear" w:color="000000" w:fill="D9D9D9"/>
            <w:vAlign w:val="center"/>
            <w:hideMark/>
          </w:tcPr>
          <w:p w14:paraId="09C6BCE4"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21.6 </w:t>
            </w:r>
          </w:p>
        </w:tc>
        <w:tc>
          <w:tcPr>
            <w:tcW w:w="884" w:type="dxa"/>
            <w:tcBorders>
              <w:top w:val="nil"/>
              <w:left w:val="nil"/>
              <w:bottom w:val="single" w:sz="4" w:space="0" w:color="auto"/>
              <w:right w:val="single" w:sz="4" w:space="0" w:color="FFFFFF"/>
            </w:tcBorders>
            <w:shd w:val="clear" w:color="000000" w:fill="D9D9D9"/>
            <w:vAlign w:val="center"/>
            <w:hideMark/>
          </w:tcPr>
          <w:p w14:paraId="28491E2B"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73.6 </w:t>
            </w:r>
          </w:p>
        </w:tc>
      </w:tr>
      <w:tr w:rsidR="00F1540A" w:rsidRPr="005734B8" w14:paraId="4229E42E" w14:textId="77777777" w:rsidTr="000F48B1">
        <w:trPr>
          <w:trHeight w:val="720"/>
        </w:trPr>
        <w:tc>
          <w:tcPr>
            <w:tcW w:w="1809" w:type="dxa"/>
            <w:tcBorders>
              <w:top w:val="nil"/>
              <w:left w:val="single" w:sz="4" w:space="0" w:color="FFFFFF"/>
              <w:bottom w:val="single" w:sz="4" w:space="0" w:color="auto"/>
              <w:right w:val="single" w:sz="4" w:space="0" w:color="FFFFFF"/>
            </w:tcBorders>
            <w:shd w:val="clear" w:color="FFFFFF" w:fill="FFFFFF"/>
            <w:vAlign w:val="center"/>
            <w:hideMark/>
          </w:tcPr>
          <w:p w14:paraId="492557D4"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Fair value of assets received free of charge or for nominal considerations</w:t>
            </w:r>
          </w:p>
        </w:tc>
        <w:tc>
          <w:tcPr>
            <w:tcW w:w="925" w:type="dxa"/>
            <w:tcBorders>
              <w:top w:val="nil"/>
              <w:left w:val="nil"/>
              <w:bottom w:val="single" w:sz="4" w:space="0" w:color="auto"/>
              <w:right w:val="single" w:sz="4" w:space="0" w:color="FFFFFF"/>
            </w:tcBorders>
            <w:shd w:val="clear" w:color="FFFFFF" w:fill="FFFFFF"/>
            <w:noWrap/>
            <w:vAlign w:val="center"/>
            <w:hideMark/>
          </w:tcPr>
          <w:p w14:paraId="38A73E4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15.0 </w:t>
            </w:r>
          </w:p>
        </w:tc>
        <w:tc>
          <w:tcPr>
            <w:tcW w:w="935" w:type="dxa"/>
            <w:tcBorders>
              <w:top w:val="nil"/>
              <w:left w:val="nil"/>
              <w:bottom w:val="single" w:sz="4" w:space="0" w:color="auto"/>
              <w:right w:val="single" w:sz="4" w:space="0" w:color="FFFFFF"/>
            </w:tcBorders>
            <w:shd w:val="clear" w:color="FFFFFF" w:fill="FFFFFF"/>
            <w:noWrap/>
            <w:vAlign w:val="center"/>
            <w:hideMark/>
          </w:tcPr>
          <w:p w14:paraId="030CF09B" w14:textId="0EE44104"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899" w:type="dxa"/>
            <w:tcBorders>
              <w:top w:val="nil"/>
              <w:left w:val="nil"/>
              <w:bottom w:val="single" w:sz="4" w:space="0" w:color="auto"/>
              <w:right w:val="single" w:sz="4" w:space="0" w:color="FFFFFF"/>
            </w:tcBorders>
            <w:shd w:val="clear" w:color="FFFFFF" w:fill="FFFFFF"/>
            <w:noWrap/>
            <w:vAlign w:val="center"/>
            <w:hideMark/>
          </w:tcPr>
          <w:p w14:paraId="22771060" w14:textId="1CD19D84"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103" w:type="dxa"/>
            <w:tcBorders>
              <w:top w:val="nil"/>
              <w:left w:val="nil"/>
              <w:bottom w:val="single" w:sz="4" w:space="0" w:color="auto"/>
              <w:right w:val="single" w:sz="4" w:space="0" w:color="FFFFFF"/>
            </w:tcBorders>
            <w:shd w:val="clear" w:color="FFFFFF" w:fill="FFFFFF"/>
            <w:noWrap/>
            <w:vAlign w:val="center"/>
            <w:hideMark/>
          </w:tcPr>
          <w:p w14:paraId="4CBBF0D8" w14:textId="4C8C82ED"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70" w:type="dxa"/>
            <w:tcBorders>
              <w:top w:val="nil"/>
              <w:left w:val="nil"/>
              <w:bottom w:val="single" w:sz="4" w:space="0" w:color="auto"/>
              <w:right w:val="single" w:sz="4" w:space="0" w:color="FFFFFF"/>
            </w:tcBorders>
            <w:shd w:val="clear" w:color="FFFFFF" w:fill="FFFFFF"/>
            <w:noWrap/>
            <w:vAlign w:val="center"/>
            <w:hideMark/>
          </w:tcPr>
          <w:p w14:paraId="61136143" w14:textId="7E389FB8"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884" w:type="dxa"/>
            <w:tcBorders>
              <w:top w:val="nil"/>
              <w:left w:val="nil"/>
              <w:bottom w:val="single" w:sz="4" w:space="0" w:color="auto"/>
              <w:right w:val="single" w:sz="4" w:space="0" w:color="FFFFFF"/>
            </w:tcBorders>
            <w:shd w:val="clear" w:color="FFFFFF" w:fill="FFFFFF"/>
            <w:noWrap/>
            <w:vAlign w:val="center"/>
            <w:hideMark/>
          </w:tcPr>
          <w:p w14:paraId="3F873C87" w14:textId="7FA6A516"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r>
      <w:tr w:rsidR="00F1540A" w:rsidRPr="005734B8" w14:paraId="1CA961AA" w14:textId="77777777" w:rsidTr="000F48B1">
        <w:trPr>
          <w:trHeight w:val="255"/>
        </w:trPr>
        <w:tc>
          <w:tcPr>
            <w:tcW w:w="1809" w:type="dxa"/>
            <w:tcBorders>
              <w:top w:val="nil"/>
              <w:left w:val="single" w:sz="4" w:space="0" w:color="FFFFFF"/>
              <w:bottom w:val="single" w:sz="4" w:space="0" w:color="auto"/>
              <w:right w:val="single" w:sz="4" w:space="0" w:color="FFFFFF"/>
            </w:tcBorders>
            <w:shd w:val="clear" w:color="FFFFFF" w:fill="FFFFFF"/>
            <w:vAlign w:val="center"/>
            <w:hideMark/>
          </w:tcPr>
          <w:p w14:paraId="5C238A15"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Purchases (sales)</w:t>
            </w:r>
          </w:p>
        </w:tc>
        <w:tc>
          <w:tcPr>
            <w:tcW w:w="925" w:type="dxa"/>
            <w:tcBorders>
              <w:top w:val="nil"/>
              <w:left w:val="nil"/>
              <w:bottom w:val="single" w:sz="4" w:space="0" w:color="auto"/>
              <w:right w:val="single" w:sz="4" w:space="0" w:color="FFFFFF"/>
            </w:tcBorders>
            <w:shd w:val="clear" w:color="FFFFFF" w:fill="FFFFFF"/>
            <w:noWrap/>
            <w:vAlign w:val="center"/>
            <w:hideMark/>
          </w:tcPr>
          <w:p w14:paraId="5A752B8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(1.7) </w:t>
            </w:r>
          </w:p>
        </w:tc>
        <w:tc>
          <w:tcPr>
            <w:tcW w:w="935" w:type="dxa"/>
            <w:tcBorders>
              <w:top w:val="nil"/>
              <w:left w:val="nil"/>
              <w:bottom w:val="single" w:sz="4" w:space="0" w:color="auto"/>
              <w:right w:val="single" w:sz="4" w:space="0" w:color="FFFFFF"/>
            </w:tcBorders>
            <w:shd w:val="clear" w:color="FFFFFF" w:fill="FFFFFF"/>
            <w:noWrap/>
            <w:vAlign w:val="center"/>
            <w:hideMark/>
          </w:tcPr>
          <w:p w14:paraId="5C12F8E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17.0 </w:t>
            </w:r>
          </w:p>
        </w:tc>
        <w:tc>
          <w:tcPr>
            <w:tcW w:w="899" w:type="dxa"/>
            <w:tcBorders>
              <w:top w:val="nil"/>
              <w:left w:val="nil"/>
              <w:bottom w:val="single" w:sz="4" w:space="0" w:color="auto"/>
              <w:right w:val="single" w:sz="4" w:space="0" w:color="FFFFFF"/>
            </w:tcBorders>
            <w:shd w:val="clear" w:color="FFFFFF" w:fill="FFFFFF"/>
            <w:noWrap/>
            <w:vAlign w:val="center"/>
            <w:hideMark/>
          </w:tcPr>
          <w:p w14:paraId="5EE4D971" w14:textId="36892927"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103" w:type="dxa"/>
            <w:tcBorders>
              <w:top w:val="nil"/>
              <w:left w:val="nil"/>
              <w:bottom w:val="single" w:sz="4" w:space="0" w:color="auto"/>
              <w:right w:val="single" w:sz="4" w:space="0" w:color="FFFFFF"/>
            </w:tcBorders>
            <w:shd w:val="clear" w:color="FFFFFF" w:fill="FFFFFF"/>
            <w:noWrap/>
            <w:vAlign w:val="center"/>
            <w:hideMark/>
          </w:tcPr>
          <w:p w14:paraId="0C769E1E" w14:textId="61F52803"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70" w:type="dxa"/>
            <w:tcBorders>
              <w:top w:val="nil"/>
              <w:left w:val="nil"/>
              <w:bottom w:val="single" w:sz="4" w:space="0" w:color="auto"/>
              <w:right w:val="single" w:sz="4" w:space="0" w:color="FFFFFF"/>
            </w:tcBorders>
            <w:shd w:val="clear" w:color="FFFFFF" w:fill="FFFFFF"/>
            <w:noWrap/>
            <w:vAlign w:val="center"/>
            <w:hideMark/>
          </w:tcPr>
          <w:p w14:paraId="3D9CA51D" w14:textId="290C57BA"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884" w:type="dxa"/>
            <w:tcBorders>
              <w:top w:val="nil"/>
              <w:left w:val="nil"/>
              <w:bottom w:val="single" w:sz="4" w:space="0" w:color="auto"/>
              <w:right w:val="single" w:sz="4" w:space="0" w:color="FFFFFF"/>
            </w:tcBorders>
            <w:shd w:val="clear" w:color="FFFFFF" w:fill="FFFFFF"/>
            <w:noWrap/>
            <w:vAlign w:val="center"/>
            <w:hideMark/>
          </w:tcPr>
          <w:p w14:paraId="3D77169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31.8 </w:t>
            </w:r>
          </w:p>
        </w:tc>
      </w:tr>
      <w:tr w:rsidR="00F1540A" w:rsidRPr="005734B8" w14:paraId="6AE65575" w14:textId="77777777" w:rsidTr="000F48B1">
        <w:trPr>
          <w:trHeight w:val="255"/>
        </w:trPr>
        <w:tc>
          <w:tcPr>
            <w:tcW w:w="1809" w:type="dxa"/>
            <w:tcBorders>
              <w:top w:val="nil"/>
              <w:left w:val="single" w:sz="4" w:space="0" w:color="FFFFFF"/>
              <w:bottom w:val="single" w:sz="4" w:space="0" w:color="auto"/>
              <w:right w:val="single" w:sz="4" w:space="0" w:color="FFFFFF"/>
            </w:tcBorders>
            <w:shd w:val="clear" w:color="FFFFFF" w:fill="FFFFFF"/>
            <w:vAlign w:val="center"/>
            <w:hideMark/>
          </w:tcPr>
          <w:p w14:paraId="291477F2"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Transfers to completed assets</w:t>
            </w:r>
          </w:p>
        </w:tc>
        <w:tc>
          <w:tcPr>
            <w:tcW w:w="925" w:type="dxa"/>
            <w:tcBorders>
              <w:top w:val="nil"/>
              <w:left w:val="nil"/>
              <w:bottom w:val="single" w:sz="4" w:space="0" w:color="auto"/>
              <w:right w:val="single" w:sz="4" w:space="0" w:color="FFFFFF"/>
            </w:tcBorders>
            <w:shd w:val="clear" w:color="FFFFFF" w:fill="FFFFFF"/>
            <w:noWrap/>
            <w:vAlign w:val="center"/>
            <w:hideMark/>
          </w:tcPr>
          <w:p w14:paraId="114A59CE" w14:textId="4451B16E"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935" w:type="dxa"/>
            <w:tcBorders>
              <w:top w:val="nil"/>
              <w:left w:val="nil"/>
              <w:bottom w:val="single" w:sz="4" w:space="0" w:color="auto"/>
              <w:right w:val="single" w:sz="4" w:space="0" w:color="FFFFFF"/>
            </w:tcBorders>
            <w:shd w:val="clear" w:color="FFFFFF" w:fill="FFFFFF"/>
            <w:noWrap/>
            <w:vAlign w:val="center"/>
            <w:hideMark/>
          </w:tcPr>
          <w:p w14:paraId="6C63F3F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1,134.7 </w:t>
            </w:r>
          </w:p>
        </w:tc>
        <w:tc>
          <w:tcPr>
            <w:tcW w:w="899" w:type="dxa"/>
            <w:tcBorders>
              <w:top w:val="nil"/>
              <w:left w:val="nil"/>
              <w:bottom w:val="single" w:sz="4" w:space="0" w:color="auto"/>
              <w:right w:val="single" w:sz="4" w:space="0" w:color="FFFFFF"/>
            </w:tcBorders>
            <w:shd w:val="clear" w:color="FFFFFF" w:fill="FFFFFF"/>
            <w:noWrap/>
            <w:vAlign w:val="center"/>
            <w:hideMark/>
          </w:tcPr>
          <w:p w14:paraId="519383E1" w14:textId="5056DA42"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103" w:type="dxa"/>
            <w:tcBorders>
              <w:top w:val="nil"/>
              <w:left w:val="nil"/>
              <w:bottom w:val="single" w:sz="4" w:space="0" w:color="auto"/>
              <w:right w:val="single" w:sz="4" w:space="0" w:color="FFFFFF"/>
            </w:tcBorders>
            <w:shd w:val="clear" w:color="FFFFFF" w:fill="FFFFFF"/>
            <w:noWrap/>
            <w:vAlign w:val="center"/>
            <w:hideMark/>
          </w:tcPr>
          <w:p w14:paraId="23372249" w14:textId="2DADFEEF"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70" w:type="dxa"/>
            <w:tcBorders>
              <w:top w:val="nil"/>
              <w:left w:val="nil"/>
              <w:bottom w:val="single" w:sz="4" w:space="0" w:color="auto"/>
              <w:right w:val="single" w:sz="4" w:space="0" w:color="FFFFFF"/>
            </w:tcBorders>
            <w:shd w:val="clear" w:color="FFFFFF" w:fill="FFFFFF"/>
            <w:noWrap/>
            <w:vAlign w:val="center"/>
            <w:hideMark/>
          </w:tcPr>
          <w:p w14:paraId="152B124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4.8 </w:t>
            </w:r>
          </w:p>
        </w:tc>
        <w:tc>
          <w:tcPr>
            <w:tcW w:w="884" w:type="dxa"/>
            <w:tcBorders>
              <w:top w:val="nil"/>
              <w:left w:val="nil"/>
              <w:bottom w:val="single" w:sz="4" w:space="0" w:color="auto"/>
              <w:right w:val="single" w:sz="4" w:space="0" w:color="FFFFFF"/>
            </w:tcBorders>
            <w:shd w:val="clear" w:color="FFFFFF" w:fill="FFFFFF"/>
            <w:noWrap/>
            <w:vAlign w:val="center"/>
            <w:hideMark/>
          </w:tcPr>
          <w:p w14:paraId="3069EE4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2.5 </w:t>
            </w:r>
          </w:p>
        </w:tc>
      </w:tr>
      <w:tr w:rsidR="00F1540A" w:rsidRPr="005734B8" w14:paraId="6D367E3E" w14:textId="77777777" w:rsidTr="000F48B1">
        <w:trPr>
          <w:trHeight w:val="255"/>
        </w:trPr>
        <w:tc>
          <w:tcPr>
            <w:tcW w:w="1809" w:type="dxa"/>
            <w:tcBorders>
              <w:top w:val="nil"/>
              <w:left w:val="single" w:sz="4" w:space="0" w:color="FFFFFF"/>
              <w:bottom w:val="single" w:sz="4" w:space="0" w:color="auto"/>
              <w:right w:val="single" w:sz="4" w:space="0" w:color="FFFFFF"/>
            </w:tcBorders>
            <w:shd w:val="clear" w:color="FFFFFF" w:fill="FFFFFF"/>
            <w:vAlign w:val="center"/>
            <w:hideMark/>
          </w:tcPr>
          <w:p w14:paraId="21695088"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Disposal</w:t>
            </w:r>
          </w:p>
        </w:tc>
        <w:tc>
          <w:tcPr>
            <w:tcW w:w="925" w:type="dxa"/>
            <w:tcBorders>
              <w:top w:val="nil"/>
              <w:left w:val="nil"/>
              <w:bottom w:val="single" w:sz="4" w:space="0" w:color="auto"/>
              <w:right w:val="single" w:sz="4" w:space="0" w:color="FFFFFF"/>
            </w:tcBorders>
            <w:shd w:val="clear" w:color="FFFFFF" w:fill="FFFFFF"/>
            <w:noWrap/>
            <w:vAlign w:val="center"/>
            <w:hideMark/>
          </w:tcPr>
          <w:p w14:paraId="604341F4" w14:textId="055887CB"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935" w:type="dxa"/>
            <w:tcBorders>
              <w:top w:val="nil"/>
              <w:left w:val="nil"/>
              <w:bottom w:val="single" w:sz="4" w:space="0" w:color="auto"/>
              <w:right w:val="single" w:sz="4" w:space="0" w:color="FFFFFF"/>
            </w:tcBorders>
            <w:shd w:val="clear" w:color="FFFFFF" w:fill="FFFFFF"/>
            <w:noWrap/>
            <w:vAlign w:val="center"/>
            <w:hideMark/>
          </w:tcPr>
          <w:p w14:paraId="0F46119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(51.1) </w:t>
            </w:r>
          </w:p>
        </w:tc>
        <w:tc>
          <w:tcPr>
            <w:tcW w:w="899" w:type="dxa"/>
            <w:tcBorders>
              <w:top w:val="nil"/>
              <w:left w:val="nil"/>
              <w:bottom w:val="single" w:sz="4" w:space="0" w:color="auto"/>
              <w:right w:val="single" w:sz="4" w:space="0" w:color="FFFFFF"/>
            </w:tcBorders>
            <w:shd w:val="clear" w:color="FFFFFF" w:fill="FFFFFF"/>
            <w:noWrap/>
            <w:vAlign w:val="center"/>
            <w:hideMark/>
          </w:tcPr>
          <w:p w14:paraId="0E1DD9E6" w14:textId="26924960"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103" w:type="dxa"/>
            <w:tcBorders>
              <w:top w:val="nil"/>
              <w:left w:val="nil"/>
              <w:bottom w:val="single" w:sz="4" w:space="0" w:color="auto"/>
              <w:right w:val="single" w:sz="4" w:space="0" w:color="FFFFFF"/>
            </w:tcBorders>
            <w:shd w:val="clear" w:color="FFFFFF" w:fill="FFFFFF"/>
            <w:noWrap/>
            <w:vAlign w:val="center"/>
            <w:hideMark/>
          </w:tcPr>
          <w:p w14:paraId="2A3D12B0" w14:textId="39A4F57B"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70" w:type="dxa"/>
            <w:tcBorders>
              <w:top w:val="nil"/>
              <w:left w:val="nil"/>
              <w:bottom w:val="single" w:sz="4" w:space="0" w:color="auto"/>
              <w:right w:val="single" w:sz="4" w:space="0" w:color="FFFFFF"/>
            </w:tcBorders>
            <w:shd w:val="clear" w:color="FFFFFF" w:fill="FFFFFF"/>
            <w:noWrap/>
            <w:vAlign w:val="center"/>
            <w:hideMark/>
          </w:tcPr>
          <w:p w14:paraId="0402C46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(5.9) </w:t>
            </w:r>
          </w:p>
        </w:tc>
        <w:tc>
          <w:tcPr>
            <w:tcW w:w="884" w:type="dxa"/>
            <w:tcBorders>
              <w:top w:val="nil"/>
              <w:left w:val="nil"/>
              <w:bottom w:val="single" w:sz="4" w:space="0" w:color="auto"/>
              <w:right w:val="single" w:sz="4" w:space="0" w:color="FFFFFF"/>
            </w:tcBorders>
            <w:shd w:val="clear" w:color="FFFFFF" w:fill="FFFFFF"/>
            <w:noWrap/>
            <w:vAlign w:val="center"/>
            <w:hideMark/>
          </w:tcPr>
          <w:p w14:paraId="793479E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(2.0) </w:t>
            </w:r>
          </w:p>
        </w:tc>
      </w:tr>
      <w:tr w:rsidR="00F1540A" w:rsidRPr="005734B8" w14:paraId="2082B196" w14:textId="77777777" w:rsidTr="000F48B1">
        <w:trPr>
          <w:trHeight w:val="255"/>
        </w:trPr>
        <w:tc>
          <w:tcPr>
            <w:tcW w:w="1809" w:type="dxa"/>
            <w:tcBorders>
              <w:top w:val="nil"/>
              <w:left w:val="single" w:sz="4" w:space="0" w:color="FFFFFF"/>
              <w:bottom w:val="single" w:sz="4" w:space="0" w:color="auto"/>
              <w:right w:val="single" w:sz="4" w:space="0" w:color="FFFFFF"/>
            </w:tcBorders>
            <w:shd w:val="clear" w:color="FFFFFF" w:fill="FFFFFF"/>
            <w:vAlign w:val="center"/>
            <w:hideMark/>
          </w:tcPr>
          <w:p w14:paraId="5E96082F"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Asset revaluation movement</w:t>
            </w:r>
          </w:p>
        </w:tc>
        <w:tc>
          <w:tcPr>
            <w:tcW w:w="925" w:type="dxa"/>
            <w:tcBorders>
              <w:top w:val="nil"/>
              <w:left w:val="nil"/>
              <w:bottom w:val="single" w:sz="4" w:space="0" w:color="auto"/>
              <w:right w:val="single" w:sz="4" w:space="0" w:color="FFFFFF"/>
            </w:tcBorders>
            <w:shd w:val="clear" w:color="FFFFFF" w:fill="FFFFFF"/>
            <w:noWrap/>
            <w:vAlign w:val="center"/>
            <w:hideMark/>
          </w:tcPr>
          <w:p w14:paraId="3CC4D010" w14:textId="6D54B0B9"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935" w:type="dxa"/>
            <w:tcBorders>
              <w:top w:val="nil"/>
              <w:left w:val="nil"/>
              <w:bottom w:val="single" w:sz="4" w:space="0" w:color="auto"/>
              <w:right w:val="single" w:sz="4" w:space="0" w:color="FFFFFF"/>
            </w:tcBorders>
            <w:shd w:val="clear" w:color="FFFFFF" w:fill="FFFFFF"/>
            <w:noWrap/>
            <w:vAlign w:val="center"/>
            <w:hideMark/>
          </w:tcPr>
          <w:p w14:paraId="656EB93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(8.2) </w:t>
            </w:r>
          </w:p>
        </w:tc>
        <w:tc>
          <w:tcPr>
            <w:tcW w:w="899" w:type="dxa"/>
            <w:tcBorders>
              <w:top w:val="nil"/>
              <w:left w:val="nil"/>
              <w:bottom w:val="single" w:sz="4" w:space="0" w:color="auto"/>
              <w:right w:val="single" w:sz="4" w:space="0" w:color="FFFFFF"/>
            </w:tcBorders>
            <w:shd w:val="clear" w:color="FFFFFF" w:fill="FFFFFF"/>
            <w:noWrap/>
            <w:vAlign w:val="center"/>
            <w:hideMark/>
          </w:tcPr>
          <w:p w14:paraId="63C59202" w14:textId="31FCD09E"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103" w:type="dxa"/>
            <w:tcBorders>
              <w:top w:val="nil"/>
              <w:left w:val="nil"/>
              <w:bottom w:val="single" w:sz="4" w:space="0" w:color="auto"/>
              <w:right w:val="single" w:sz="4" w:space="0" w:color="FFFFFF"/>
            </w:tcBorders>
            <w:shd w:val="clear" w:color="FFFFFF" w:fill="FFFFFF"/>
            <w:noWrap/>
            <w:vAlign w:val="center"/>
            <w:hideMark/>
          </w:tcPr>
          <w:p w14:paraId="2D7F34B0" w14:textId="7962E618"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70" w:type="dxa"/>
            <w:tcBorders>
              <w:top w:val="nil"/>
              <w:left w:val="nil"/>
              <w:bottom w:val="single" w:sz="4" w:space="0" w:color="auto"/>
              <w:right w:val="single" w:sz="4" w:space="0" w:color="FFFFFF"/>
            </w:tcBorders>
            <w:shd w:val="clear" w:color="FFFFFF" w:fill="FFFFFF"/>
            <w:noWrap/>
            <w:vAlign w:val="center"/>
            <w:hideMark/>
          </w:tcPr>
          <w:p w14:paraId="0415153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1.9 </w:t>
            </w:r>
          </w:p>
        </w:tc>
        <w:tc>
          <w:tcPr>
            <w:tcW w:w="884" w:type="dxa"/>
            <w:tcBorders>
              <w:top w:val="nil"/>
              <w:left w:val="nil"/>
              <w:bottom w:val="single" w:sz="4" w:space="0" w:color="auto"/>
              <w:right w:val="single" w:sz="4" w:space="0" w:color="FFFFFF"/>
            </w:tcBorders>
            <w:shd w:val="clear" w:color="FFFFFF" w:fill="FFFFFF"/>
            <w:noWrap/>
            <w:vAlign w:val="center"/>
            <w:hideMark/>
          </w:tcPr>
          <w:p w14:paraId="37DC7BB5" w14:textId="53A6589F"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r>
      <w:tr w:rsidR="00F1540A" w:rsidRPr="005734B8" w14:paraId="6B679789" w14:textId="77777777" w:rsidTr="000F48B1">
        <w:trPr>
          <w:trHeight w:val="480"/>
        </w:trPr>
        <w:tc>
          <w:tcPr>
            <w:tcW w:w="1809" w:type="dxa"/>
            <w:tcBorders>
              <w:top w:val="nil"/>
              <w:left w:val="single" w:sz="4" w:space="0" w:color="FFFFFF"/>
              <w:bottom w:val="single" w:sz="4" w:space="0" w:color="auto"/>
              <w:right w:val="single" w:sz="4" w:space="0" w:color="FFFFFF"/>
            </w:tcBorders>
            <w:shd w:val="clear" w:color="FFFFFF" w:fill="FFFFFF"/>
            <w:vAlign w:val="center"/>
            <w:hideMark/>
          </w:tcPr>
          <w:p w14:paraId="50E3915F"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Transfer (to)/from assets held for sale</w:t>
            </w:r>
          </w:p>
        </w:tc>
        <w:tc>
          <w:tcPr>
            <w:tcW w:w="925" w:type="dxa"/>
            <w:tcBorders>
              <w:top w:val="nil"/>
              <w:left w:val="nil"/>
              <w:bottom w:val="single" w:sz="4" w:space="0" w:color="auto"/>
              <w:right w:val="single" w:sz="4" w:space="0" w:color="FFFFFF"/>
            </w:tcBorders>
            <w:shd w:val="clear" w:color="FFFFFF" w:fill="FFFFFF"/>
            <w:noWrap/>
            <w:vAlign w:val="center"/>
            <w:hideMark/>
          </w:tcPr>
          <w:p w14:paraId="454CC71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(0.2) </w:t>
            </w:r>
          </w:p>
        </w:tc>
        <w:tc>
          <w:tcPr>
            <w:tcW w:w="935" w:type="dxa"/>
            <w:tcBorders>
              <w:top w:val="nil"/>
              <w:left w:val="nil"/>
              <w:bottom w:val="single" w:sz="4" w:space="0" w:color="auto"/>
              <w:right w:val="single" w:sz="4" w:space="0" w:color="FFFFFF"/>
            </w:tcBorders>
            <w:shd w:val="clear" w:color="FFFFFF" w:fill="FFFFFF"/>
            <w:noWrap/>
            <w:vAlign w:val="center"/>
            <w:hideMark/>
          </w:tcPr>
          <w:p w14:paraId="2D7EDEE7" w14:textId="0DCBF5B7"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899" w:type="dxa"/>
            <w:tcBorders>
              <w:top w:val="nil"/>
              <w:left w:val="nil"/>
              <w:bottom w:val="single" w:sz="4" w:space="0" w:color="auto"/>
              <w:right w:val="single" w:sz="4" w:space="0" w:color="FFFFFF"/>
            </w:tcBorders>
            <w:shd w:val="clear" w:color="FFFFFF" w:fill="FFFFFF"/>
            <w:noWrap/>
            <w:vAlign w:val="center"/>
            <w:hideMark/>
          </w:tcPr>
          <w:p w14:paraId="773A0F11" w14:textId="22BEF908"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103" w:type="dxa"/>
            <w:tcBorders>
              <w:top w:val="nil"/>
              <w:left w:val="nil"/>
              <w:bottom w:val="single" w:sz="4" w:space="0" w:color="auto"/>
              <w:right w:val="single" w:sz="4" w:space="0" w:color="FFFFFF"/>
            </w:tcBorders>
            <w:shd w:val="clear" w:color="FFFFFF" w:fill="FFFFFF"/>
            <w:noWrap/>
            <w:vAlign w:val="center"/>
            <w:hideMark/>
          </w:tcPr>
          <w:p w14:paraId="09610680" w14:textId="0C0430EC"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70" w:type="dxa"/>
            <w:tcBorders>
              <w:top w:val="nil"/>
              <w:left w:val="nil"/>
              <w:bottom w:val="single" w:sz="4" w:space="0" w:color="auto"/>
              <w:right w:val="single" w:sz="4" w:space="0" w:color="FFFFFF"/>
            </w:tcBorders>
            <w:shd w:val="clear" w:color="FFFFFF" w:fill="FFFFFF"/>
            <w:noWrap/>
            <w:vAlign w:val="center"/>
            <w:hideMark/>
          </w:tcPr>
          <w:p w14:paraId="6A4311C6" w14:textId="77D0037F"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884" w:type="dxa"/>
            <w:tcBorders>
              <w:top w:val="nil"/>
              <w:left w:val="nil"/>
              <w:bottom w:val="single" w:sz="4" w:space="0" w:color="auto"/>
              <w:right w:val="single" w:sz="4" w:space="0" w:color="FFFFFF"/>
            </w:tcBorders>
            <w:shd w:val="clear" w:color="FFFFFF" w:fill="FFFFFF"/>
            <w:noWrap/>
            <w:vAlign w:val="center"/>
            <w:hideMark/>
          </w:tcPr>
          <w:p w14:paraId="2A0DB864" w14:textId="18FD385A"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r>
      <w:tr w:rsidR="00F1540A" w:rsidRPr="005734B8" w14:paraId="7231055E" w14:textId="77777777" w:rsidTr="000F48B1">
        <w:trPr>
          <w:trHeight w:val="255"/>
        </w:trPr>
        <w:tc>
          <w:tcPr>
            <w:tcW w:w="1809" w:type="dxa"/>
            <w:tcBorders>
              <w:top w:val="nil"/>
              <w:left w:val="single" w:sz="4" w:space="0" w:color="FFFFFF"/>
              <w:bottom w:val="single" w:sz="4" w:space="0" w:color="auto"/>
              <w:right w:val="single" w:sz="4" w:space="0" w:color="FFFFFF"/>
            </w:tcBorders>
            <w:shd w:val="clear" w:color="FFFFFF" w:fill="FFFFFF"/>
            <w:vAlign w:val="center"/>
            <w:hideMark/>
          </w:tcPr>
          <w:p w14:paraId="002D605B"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Impairment</w:t>
            </w:r>
          </w:p>
        </w:tc>
        <w:tc>
          <w:tcPr>
            <w:tcW w:w="925" w:type="dxa"/>
            <w:tcBorders>
              <w:top w:val="nil"/>
              <w:left w:val="nil"/>
              <w:bottom w:val="single" w:sz="4" w:space="0" w:color="auto"/>
              <w:right w:val="single" w:sz="4" w:space="0" w:color="FFFFFF"/>
            </w:tcBorders>
            <w:shd w:val="clear" w:color="FFFFFF" w:fill="FFFFFF"/>
            <w:noWrap/>
            <w:vAlign w:val="center"/>
            <w:hideMark/>
          </w:tcPr>
          <w:p w14:paraId="67D620A7" w14:textId="319D749D"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935" w:type="dxa"/>
            <w:tcBorders>
              <w:top w:val="nil"/>
              <w:left w:val="nil"/>
              <w:bottom w:val="single" w:sz="4" w:space="0" w:color="auto"/>
              <w:right w:val="single" w:sz="4" w:space="0" w:color="FFFFFF"/>
            </w:tcBorders>
            <w:shd w:val="clear" w:color="FFFFFF" w:fill="FFFFFF"/>
            <w:noWrap/>
            <w:vAlign w:val="center"/>
            <w:hideMark/>
          </w:tcPr>
          <w:p w14:paraId="1CAF9D3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(1.6) </w:t>
            </w:r>
          </w:p>
        </w:tc>
        <w:tc>
          <w:tcPr>
            <w:tcW w:w="899" w:type="dxa"/>
            <w:tcBorders>
              <w:top w:val="nil"/>
              <w:left w:val="nil"/>
              <w:bottom w:val="single" w:sz="4" w:space="0" w:color="auto"/>
              <w:right w:val="single" w:sz="4" w:space="0" w:color="FFFFFF"/>
            </w:tcBorders>
            <w:shd w:val="clear" w:color="FFFFFF" w:fill="FFFFFF"/>
            <w:noWrap/>
            <w:vAlign w:val="center"/>
            <w:hideMark/>
          </w:tcPr>
          <w:p w14:paraId="182EC9C1" w14:textId="1D7ED053"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103" w:type="dxa"/>
            <w:tcBorders>
              <w:top w:val="nil"/>
              <w:left w:val="nil"/>
              <w:bottom w:val="single" w:sz="4" w:space="0" w:color="auto"/>
              <w:right w:val="single" w:sz="4" w:space="0" w:color="FFFFFF"/>
            </w:tcBorders>
            <w:shd w:val="clear" w:color="FFFFFF" w:fill="FFFFFF"/>
            <w:noWrap/>
            <w:vAlign w:val="center"/>
            <w:hideMark/>
          </w:tcPr>
          <w:p w14:paraId="55FEC03D" w14:textId="28EA2A06"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70" w:type="dxa"/>
            <w:tcBorders>
              <w:top w:val="nil"/>
              <w:left w:val="nil"/>
              <w:bottom w:val="single" w:sz="4" w:space="0" w:color="auto"/>
              <w:right w:val="single" w:sz="4" w:space="0" w:color="FFFFFF"/>
            </w:tcBorders>
            <w:shd w:val="clear" w:color="FFFFFF" w:fill="FFFFFF"/>
            <w:noWrap/>
            <w:vAlign w:val="center"/>
            <w:hideMark/>
          </w:tcPr>
          <w:p w14:paraId="2921B6CF" w14:textId="4C0C8DBB"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884" w:type="dxa"/>
            <w:tcBorders>
              <w:top w:val="nil"/>
              <w:left w:val="nil"/>
              <w:bottom w:val="single" w:sz="4" w:space="0" w:color="auto"/>
              <w:right w:val="single" w:sz="4" w:space="0" w:color="FFFFFF"/>
            </w:tcBorders>
            <w:shd w:val="clear" w:color="FFFFFF" w:fill="FFFFFF"/>
            <w:noWrap/>
            <w:vAlign w:val="center"/>
            <w:hideMark/>
          </w:tcPr>
          <w:p w14:paraId="0D6EE417" w14:textId="385606FD"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r>
      <w:tr w:rsidR="00F1540A" w:rsidRPr="005734B8" w14:paraId="5F95B81E" w14:textId="77777777" w:rsidTr="000F48B1">
        <w:trPr>
          <w:trHeight w:val="255"/>
        </w:trPr>
        <w:tc>
          <w:tcPr>
            <w:tcW w:w="1809" w:type="dxa"/>
            <w:tcBorders>
              <w:top w:val="nil"/>
              <w:left w:val="single" w:sz="4" w:space="0" w:color="FFFFFF"/>
              <w:bottom w:val="single" w:sz="4" w:space="0" w:color="auto"/>
              <w:right w:val="single" w:sz="4" w:space="0" w:color="FFFFFF"/>
            </w:tcBorders>
            <w:shd w:val="clear" w:color="FFFFFF" w:fill="FFFFFF"/>
            <w:vAlign w:val="center"/>
            <w:hideMark/>
          </w:tcPr>
          <w:p w14:paraId="5DA7DE22"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Depreciation</w:t>
            </w:r>
          </w:p>
        </w:tc>
        <w:tc>
          <w:tcPr>
            <w:tcW w:w="925" w:type="dxa"/>
            <w:tcBorders>
              <w:top w:val="nil"/>
              <w:left w:val="nil"/>
              <w:bottom w:val="single" w:sz="4" w:space="0" w:color="auto"/>
              <w:right w:val="single" w:sz="4" w:space="0" w:color="FFFFFF"/>
            </w:tcBorders>
            <w:shd w:val="clear" w:color="FFFFFF" w:fill="FFFFFF"/>
            <w:noWrap/>
            <w:vAlign w:val="center"/>
            <w:hideMark/>
          </w:tcPr>
          <w:p w14:paraId="0C01A947" w14:textId="3CA7CE61"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935" w:type="dxa"/>
            <w:tcBorders>
              <w:top w:val="nil"/>
              <w:left w:val="nil"/>
              <w:bottom w:val="single" w:sz="4" w:space="0" w:color="auto"/>
              <w:right w:val="single" w:sz="4" w:space="0" w:color="FFFFFF"/>
            </w:tcBorders>
            <w:shd w:val="clear" w:color="FFFFFF" w:fill="FFFFFF"/>
            <w:noWrap/>
            <w:vAlign w:val="center"/>
            <w:hideMark/>
          </w:tcPr>
          <w:p w14:paraId="36C7C3F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(356.8) </w:t>
            </w:r>
          </w:p>
        </w:tc>
        <w:tc>
          <w:tcPr>
            <w:tcW w:w="899" w:type="dxa"/>
            <w:tcBorders>
              <w:top w:val="nil"/>
              <w:left w:val="nil"/>
              <w:bottom w:val="single" w:sz="4" w:space="0" w:color="auto"/>
              <w:right w:val="single" w:sz="4" w:space="0" w:color="FFFFFF"/>
            </w:tcBorders>
            <w:shd w:val="clear" w:color="FFFFFF" w:fill="FFFFFF"/>
            <w:noWrap/>
            <w:vAlign w:val="center"/>
            <w:hideMark/>
          </w:tcPr>
          <w:p w14:paraId="28B6876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(4.1) </w:t>
            </w:r>
          </w:p>
        </w:tc>
        <w:tc>
          <w:tcPr>
            <w:tcW w:w="1103" w:type="dxa"/>
            <w:tcBorders>
              <w:top w:val="nil"/>
              <w:left w:val="nil"/>
              <w:bottom w:val="single" w:sz="4" w:space="0" w:color="auto"/>
              <w:right w:val="single" w:sz="4" w:space="0" w:color="FFFFFF"/>
            </w:tcBorders>
            <w:shd w:val="clear" w:color="FFFFFF" w:fill="FFFFFF"/>
            <w:noWrap/>
            <w:vAlign w:val="center"/>
            <w:hideMark/>
          </w:tcPr>
          <w:p w14:paraId="7D75EAC9" w14:textId="3B09D4BD"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70" w:type="dxa"/>
            <w:tcBorders>
              <w:top w:val="nil"/>
              <w:left w:val="nil"/>
              <w:bottom w:val="single" w:sz="4" w:space="0" w:color="auto"/>
              <w:right w:val="single" w:sz="4" w:space="0" w:color="FFFFFF"/>
            </w:tcBorders>
            <w:shd w:val="clear" w:color="FFFFFF" w:fill="FFFFFF"/>
            <w:noWrap/>
            <w:vAlign w:val="center"/>
            <w:hideMark/>
          </w:tcPr>
          <w:p w14:paraId="2FBD15D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(10.0) </w:t>
            </w:r>
          </w:p>
        </w:tc>
        <w:tc>
          <w:tcPr>
            <w:tcW w:w="884" w:type="dxa"/>
            <w:tcBorders>
              <w:top w:val="nil"/>
              <w:left w:val="nil"/>
              <w:bottom w:val="single" w:sz="4" w:space="0" w:color="auto"/>
              <w:right w:val="single" w:sz="4" w:space="0" w:color="FFFFFF"/>
            </w:tcBorders>
            <w:shd w:val="clear" w:color="FFFFFF" w:fill="FFFFFF"/>
            <w:noWrap/>
            <w:vAlign w:val="center"/>
            <w:hideMark/>
          </w:tcPr>
          <w:p w14:paraId="03FB6D1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(27.5) </w:t>
            </w:r>
          </w:p>
        </w:tc>
      </w:tr>
      <w:tr w:rsidR="00F1540A" w:rsidRPr="005734B8" w14:paraId="4DF5F9C2" w14:textId="77777777" w:rsidTr="000F48B1">
        <w:trPr>
          <w:trHeight w:val="285"/>
        </w:trPr>
        <w:tc>
          <w:tcPr>
            <w:tcW w:w="1809" w:type="dxa"/>
            <w:tcBorders>
              <w:top w:val="single" w:sz="12" w:space="0" w:color="auto"/>
              <w:left w:val="single" w:sz="12" w:space="0" w:color="FFFFFF"/>
              <w:bottom w:val="single" w:sz="12" w:space="0" w:color="auto"/>
              <w:right w:val="single" w:sz="12" w:space="0" w:color="FFFFFF"/>
            </w:tcBorders>
            <w:shd w:val="clear" w:color="FFFFFF" w:fill="FFFFFF"/>
            <w:noWrap/>
            <w:vAlign w:val="center"/>
            <w:hideMark/>
          </w:tcPr>
          <w:p w14:paraId="0DC534C9"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Closing balance</w:t>
            </w:r>
          </w:p>
        </w:tc>
        <w:tc>
          <w:tcPr>
            <w:tcW w:w="925" w:type="dxa"/>
            <w:tcBorders>
              <w:top w:val="single" w:sz="12" w:space="0" w:color="auto"/>
              <w:left w:val="nil"/>
              <w:bottom w:val="single" w:sz="12" w:space="0" w:color="auto"/>
              <w:right w:val="single" w:sz="12" w:space="0" w:color="FFFFFF"/>
            </w:tcBorders>
            <w:shd w:val="clear" w:color="FFFFFF" w:fill="FFFFFF"/>
            <w:noWrap/>
            <w:vAlign w:val="center"/>
            <w:hideMark/>
          </w:tcPr>
          <w:p w14:paraId="6186CD5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9,941.8 </w:t>
            </w:r>
          </w:p>
        </w:tc>
        <w:tc>
          <w:tcPr>
            <w:tcW w:w="935" w:type="dxa"/>
            <w:tcBorders>
              <w:top w:val="single" w:sz="12" w:space="0" w:color="auto"/>
              <w:left w:val="nil"/>
              <w:bottom w:val="single" w:sz="12" w:space="0" w:color="auto"/>
              <w:right w:val="single" w:sz="12" w:space="0" w:color="FFFFFF"/>
            </w:tcBorders>
            <w:shd w:val="clear" w:color="FFFFFF" w:fill="FFFFFF"/>
            <w:noWrap/>
            <w:vAlign w:val="center"/>
            <w:hideMark/>
          </w:tcPr>
          <w:p w14:paraId="0B80B05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12,509.2 </w:t>
            </w:r>
          </w:p>
        </w:tc>
        <w:tc>
          <w:tcPr>
            <w:tcW w:w="899" w:type="dxa"/>
            <w:tcBorders>
              <w:top w:val="single" w:sz="12" w:space="0" w:color="auto"/>
              <w:left w:val="nil"/>
              <w:bottom w:val="single" w:sz="12" w:space="0" w:color="auto"/>
              <w:right w:val="single" w:sz="12" w:space="0" w:color="FFFFFF"/>
            </w:tcBorders>
            <w:shd w:val="clear" w:color="FFFFFF" w:fill="FFFFFF"/>
            <w:noWrap/>
            <w:vAlign w:val="center"/>
            <w:hideMark/>
          </w:tcPr>
          <w:p w14:paraId="62FAC23D"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96.5 </w:t>
            </w:r>
          </w:p>
        </w:tc>
        <w:tc>
          <w:tcPr>
            <w:tcW w:w="1103" w:type="dxa"/>
            <w:tcBorders>
              <w:top w:val="single" w:sz="12" w:space="0" w:color="auto"/>
              <w:left w:val="nil"/>
              <w:bottom w:val="single" w:sz="12" w:space="0" w:color="auto"/>
              <w:right w:val="single" w:sz="12" w:space="0" w:color="FFFFFF"/>
            </w:tcBorders>
            <w:shd w:val="clear" w:color="FFFFFF" w:fill="FFFFFF"/>
            <w:noWrap/>
            <w:vAlign w:val="center"/>
            <w:hideMark/>
          </w:tcPr>
          <w:p w14:paraId="48FA91ED" w14:textId="5C20A3F5"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 </w:t>
            </w:r>
            <w:r w:rsidR="00FD4AAA" w:rsidRPr="005734B8">
              <w:rPr>
                <w:rFonts w:ascii="Calibri" w:hAnsi="Calibri" w:cs="Calibri"/>
                <w:sz w:val="18"/>
                <w:szCs w:val="18"/>
              </w:rPr>
              <w:t>–</w:t>
            </w:r>
            <w:r w:rsidRPr="005734B8">
              <w:rPr>
                <w:rFonts w:ascii="Calibri" w:hAnsi="Calibri" w:cs="Calibri"/>
                <w:b/>
                <w:sz w:val="18"/>
                <w:szCs w:val="18"/>
              </w:rPr>
              <w:t xml:space="preserve"> </w:t>
            </w:r>
          </w:p>
        </w:tc>
        <w:tc>
          <w:tcPr>
            <w:tcW w:w="1070" w:type="dxa"/>
            <w:tcBorders>
              <w:top w:val="single" w:sz="12" w:space="0" w:color="auto"/>
              <w:left w:val="nil"/>
              <w:bottom w:val="single" w:sz="12" w:space="0" w:color="auto"/>
              <w:right w:val="single" w:sz="12" w:space="0" w:color="FFFFFF"/>
            </w:tcBorders>
            <w:shd w:val="clear" w:color="FFFFFF" w:fill="FFFFFF"/>
            <w:noWrap/>
            <w:vAlign w:val="center"/>
            <w:hideMark/>
          </w:tcPr>
          <w:p w14:paraId="4FBCFCED"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12.4 </w:t>
            </w:r>
          </w:p>
        </w:tc>
        <w:tc>
          <w:tcPr>
            <w:tcW w:w="884" w:type="dxa"/>
            <w:tcBorders>
              <w:top w:val="single" w:sz="12" w:space="0" w:color="auto"/>
              <w:left w:val="nil"/>
              <w:bottom w:val="single" w:sz="12" w:space="0" w:color="auto"/>
              <w:right w:val="single" w:sz="12" w:space="0" w:color="FFFFFF"/>
            </w:tcBorders>
            <w:shd w:val="clear" w:color="FFFFFF" w:fill="FFFFFF"/>
            <w:noWrap/>
            <w:vAlign w:val="center"/>
            <w:hideMark/>
          </w:tcPr>
          <w:p w14:paraId="203FE30C"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78.3 </w:t>
            </w:r>
          </w:p>
        </w:tc>
      </w:tr>
    </w:tbl>
    <w:p w14:paraId="707B5C5E" w14:textId="2DADC7B9" w:rsidR="00CA146C" w:rsidRPr="005734B8" w:rsidRDefault="00CA146C" w:rsidP="00F1540A">
      <w:pPr>
        <w:spacing w:before="120" w:after="120"/>
        <w:rPr>
          <w:rFonts w:ascii="Calibri" w:hAnsi="Calibri" w:cs="Calibri"/>
        </w:rPr>
      </w:pPr>
    </w:p>
    <w:p w14:paraId="7ED3C0F8" w14:textId="77777777" w:rsidR="00CA146C" w:rsidRPr="005734B8" w:rsidRDefault="00CA146C">
      <w:pPr>
        <w:rPr>
          <w:rFonts w:ascii="Calibri" w:hAnsi="Calibri" w:cs="Calibri"/>
        </w:rPr>
      </w:pPr>
      <w:r w:rsidRPr="005734B8">
        <w:rPr>
          <w:rFonts w:ascii="Calibri" w:hAnsi="Calibri" w:cs="Calibri"/>
        </w:rPr>
        <w:br w:type="page"/>
      </w:r>
    </w:p>
    <w:p w14:paraId="47937AA2" w14:textId="77777777" w:rsidR="00F1540A" w:rsidRPr="005734B8" w:rsidRDefault="00F1540A" w:rsidP="00F1540A">
      <w:pPr>
        <w:spacing w:before="80" w:after="80"/>
        <w:rPr>
          <w:rFonts w:ascii="Calibri" w:hAnsi="Calibri" w:cs="Calibri"/>
          <w:b/>
          <w:color w:val="8A2A2F"/>
          <w:szCs w:val="22"/>
          <w:lang w:val="en-US"/>
        </w:rPr>
      </w:pPr>
      <w:r w:rsidRPr="005734B8">
        <w:rPr>
          <w:rFonts w:ascii="Calibri" w:hAnsi="Calibri" w:cs="Calibri"/>
          <w:b/>
          <w:color w:val="8A2A2F"/>
          <w:szCs w:val="22"/>
          <w:lang w:val="en-US"/>
        </w:rPr>
        <w:lastRenderedPageBreak/>
        <w:t>Description of significant unobservable inputs to Level 3 valuations</w:t>
      </w:r>
    </w:p>
    <w:tbl>
      <w:tblPr>
        <w:tblStyle w:val="TableGrid"/>
        <w:tblW w:w="4914"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3"/>
        <w:gridCol w:w="2552"/>
        <w:gridCol w:w="2970"/>
      </w:tblGrid>
      <w:tr w:rsidR="00F1540A" w:rsidRPr="005734B8" w14:paraId="26C308E9" w14:textId="77777777" w:rsidTr="000F48B1">
        <w:trPr>
          <w:cantSplit/>
          <w:trHeight w:val="77"/>
          <w:tblHeader/>
        </w:trPr>
        <w:tc>
          <w:tcPr>
            <w:tcW w:w="2263" w:type="dxa"/>
            <w:tcBorders>
              <w:bottom w:val="single" w:sz="4" w:space="0" w:color="FFFFFF" w:themeColor="background1"/>
            </w:tcBorders>
            <w:shd w:val="clear" w:color="auto" w:fill="AF272F"/>
          </w:tcPr>
          <w:p w14:paraId="7FD475AF" w14:textId="77777777" w:rsidR="00F1540A" w:rsidRPr="005734B8" w:rsidRDefault="00F1540A" w:rsidP="000F48B1">
            <w:pPr>
              <w:pStyle w:val="ESTableheadingwhite"/>
              <w:spacing w:beforeLines="20" w:before="48" w:afterLines="20" w:after="48"/>
              <w:rPr>
                <w:rFonts w:ascii="Calibri" w:hAnsi="Calibri" w:cs="Calibri"/>
                <w:sz w:val="18"/>
              </w:rPr>
            </w:pPr>
            <w:r w:rsidRPr="005734B8">
              <w:rPr>
                <w:rFonts w:ascii="Calibri" w:hAnsi="Calibri" w:cs="Calibri"/>
                <w:sz w:val="18"/>
              </w:rPr>
              <w:fldChar w:fldCharType="begin"/>
            </w:r>
            <w:r w:rsidRPr="005734B8">
              <w:rPr>
                <w:rFonts w:ascii="Calibri" w:hAnsi="Calibri" w:cs="Calibri"/>
                <w:sz w:val="18"/>
              </w:rPr>
              <w:instrText xml:space="preserve"> DOCPROPERTY  crYear  \* MERGEFORMAT </w:instrText>
            </w:r>
            <w:r w:rsidRPr="005734B8">
              <w:rPr>
                <w:rFonts w:ascii="Calibri" w:hAnsi="Calibri" w:cs="Calibri"/>
                <w:sz w:val="18"/>
              </w:rPr>
              <w:fldChar w:fldCharType="separate"/>
            </w:r>
            <w:r w:rsidRPr="005734B8">
              <w:rPr>
                <w:rFonts w:ascii="Calibri" w:hAnsi="Calibri" w:cs="Calibri"/>
                <w:sz w:val="18"/>
              </w:rPr>
              <w:t>2021</w:t>
            </w:r>
            <w:r w:rsidRPr="005734B8">
              <w:rPr>
                <w:rFonts w:ascii="Calibri" w:hAnsi="Calibri" w:cs="Calibri"/>
                <w:sz w:val="18"/>
              </w:rPr>
              <w:fldChar w:fldCharType="end"/>
            </w:r>
            <w:r w:rsidRPr="005734B8">
              <w:rPr>
                <w:rFonts w:ascii="Calibri" w:hAnsi="Calibri" w:cs="Calibri"/>
                <w:sz w:val="18"/>
              </w:rPr>
              <w:t xml:space="preserve"> and </w:t>
            </w:r>
            <w:r w:rsidRPr="005734B8">
              <w:rPr>
                <w:rFonts w:ascii="Calibri" w:hAnsi="Calibri" w:cs="Calibri"/>
                <w:sz w:val="18"/>
              </w:rPr>
              <w:fldChar w:fldCharType="begin"/>
            </w:r>
            <w:r w:rsidRPr="005734B8">
              <w:rPr>
                <w:rFonts w:ascii="Calibri" w:hAnsi="Calibri" w:cs="Calibri"/>
                <w:sz w:val="18"/>
              </w:rPr>
              <w:instrText xml:space="preserve"> DOCPROPERTY  prYear  \* MERGEFORMAT </w:instrText>
            </w:r>
            <w:r w:rsidRPr="005734B8">
              <w:rPr>
                <w:rFonts w:ascii="Calibri" w:hAnsi="Calibri" w:cs="Calibri"/>
                <w:sz w:val="18"/>
              </w:rPr>
              <w:fldChar w:fldCharType="separate"/>
            </w:r>
            <w:r w:rsidRPr="005734B8">
              <w:rPr>
                <w:rFonts w:ascii="Calibri" w:hAnsi="Calibri" w:cs="Calibri"/>
                <w:sz w:val="18"/>
              </w:rPr>
              <w:t>2020</w:t>
            </w:r>
            <w:r w:rsidRPr="005734B8">
              <w:rPr>
                <w:rFonts w:ascii="Calibri" w:hAnsi="Calibri" w:cs="Calibri"/>
                <w:sz w:val="18"/>
              </w:rPr>
              <w:fldChar w:fldCharType="end"/>
            </w:r>
          </w:p>
        </w:tc>
        <w:tc>
          <w:tcPr>
            <w:tcW w:w="2552" w:type="dxa"/>
            <w:tcBorders>
              <w:bottom w:val="single" w:sz="4" w:space="0" w:color="FFFFFF" w:themeColor="background1"/>
            </w:tcBorders>
            <w:shd w:val="clear" w:color="auto" w:fill="AF272F"/>
          </w:tcPr>
          <w:p w14:paraId="14B3BCCD" w14:textId="77777777" w:rsidR="00F1540A" w:rsidRPr="005734B8" w:rsidRDefault="00F1540A" w:rsidP="000F48B1">
            <w:pPr>
              <w:pStyle w:val="ESTableheadingwhite"/>
              <w:spacing w:beforeLines="20" w:before="48" w:afterLines="20" w:after="48"/>
              <w:rPr>
                <w:rFonts w:ascii="Calibri" w:hAnsi="Calibri" w:cs="Calibri"/>
                <w:sz w:val="18"/>
              </w:rPr>
            </w:pPr>
            <w:r w:rsidRPr="005734B8">
              <w:rPr>
                <w:rFonts w:ascii="Calibri" w:hAnsi="Calibri" w:cs="Calibri"/>
                <w:sz w:val="18"/>
                <w:lang w:eastAsia="en-AU"/>
              </w:rPr>
              <w:t>Valuation technique</w:t>
            </w:r>
          </w:p>
        </w:tc>
        <w:tc>
          <w:tcPr>
            <w:tcW w:w="2970" w:type="dxa"/>
            <w:tcBorders>
              <w:bottom w:val="single" w:sz="4" w:space="0" w:color="FFFFFF" w:themeColor="background1"/>
            </w:tcBorders>
            <w:shd w:val="clear" w:color="auto" w:fill="AF272F"/>
          </w:tcPr>
          <w:p w14:paraId="4E5ED29F" w14:textId="77777777" w:rsidR="00F1540A" w:rsidRPr="005734B8" w:rsidRDefault="00F1540A" w:rsidP="000F48B1">
            <w:pPr>
              <w:pStyle w:val="ESTableheadingwhite"/>
              <w:spacing w:beforeLines="20" w:before="48" w:afterLines="20" w:after="48"/>
              <w:rPr>
                <w:rFonts w:ascii="Calibri" w:hAnsi="Calibri" w:cs="Calibri"/>
                <w:sz w:val="18"/>
              </w:rPr>
            </w:pPr>
            <w:r w:rsidRPr="005734B8">
              <w:rPr>
                <w:rFonts w:ascii="Calibri" w:hAnsi="Calibri" w:cs="Calibri"/>
                <w:sz w:val="18"/>
                <w:lang w:eastAsia="en-AU"/>
              </w:rPr>
              <w:t>Significant unobservable inputs</w:t>
            </w:r>
          </w:p>
        </w:tc>
      </w:tr>
      <w:tr w:rsidR="00F1540A" w:rsidRPr="005734B8" w14:paraId="6281BFBC" w14:textId="77777777" w:rsidTr="000F48B1">
        <w:trPr>
          <w:cantSplit/>
          <w:trHeight w:val="99"/>
        </w:trPr>
        <w:tc>
          <w:tcPr>
            <w:tcW w:w="2263" w:type="dxa"/>
            <w:tcBorders>
              <w:top w:val="single" w:sz="4" w:space="0" w:color="53565A" w:themeColor="accent5"/>
              <w:bottom w:val="single" w:sz="4" w:space="0" w:color="53565A" w:themeColor="accent5"/>
            </w:tcBorders>
            <w:shd w:val="clear" w:color="auto" w:fill="auto"/>
          </w:tcPr>
          <w:p w14:paraId="2339A2BF" w14:textId="77777777" w:rsidR="00F1540A" w:rsidRPr="005734B8" w:rsidRDefault="00F1540A" w:rsidP="000F48B1">
            <w:pPr>
              <w:pStyle w:val="ESTablebody"/>
              <w:spacing w:beforeLines="20" w:before="48" w:afterLines="20" w:after="48"/>
              <w:rPr>
                <w:rFonts w:ascii="Calibri" w:hAnsi="Calibri" w:cs="Calibri"/>
                <w:b/>
                <w:sz w:val="18"/>
              </w:rPr>
            </w:pPr>
            <w:r w:rsidRPr="005734B8">
              <w:rPr>
                <w:rFonts w:ascii="Calibri" w:hAnsi="Calibri" w:cs="Calibri"/>
                <w:sz w:val="18"/>
              </w:rPr>
              <w:t>Land</w:t>
            </w:r>
          </w:p>
        </w:tc>
        <w:tc>
          <w:tcPr>
            <w:tcW w:w="2552" w:type="dxa"/>
            <w:tcBorders>
              <w:top w:val="single" w:sz="4" w:space="0" w:color="53565A" w:themeColor="accent5"/>
              <w:bottom w:val="single" w:sz="4" w:space="0" w:color="53565A" w:themeColor="accent5"/>
            </w:tcBorders>
            <w:shd w:val="clear" w:color="auto" w:fill="auto"/>
          </w:tcPr>
          <w:p w14:paraId="75253387" w14:textId="77777777" w:rsidR="00F1540A" w:rsidRPr="005734B8" w:rsidRDefault="00F1540A" w:rsidP="000F48B1">
            <w:pPr>
              <w:pStyle w:val="ESTablenumberrightaligned"/>
              <w:spacing w:beforeLines="20" w:before="48" w:afterLines="20" w:after="48"/>
              <w:jc w:val="left"/>
              <w:rPr>
                <w:rFonts w:ascii="Calibri" w:hAnsi="Calibri" w:cs="Calibri"/>
                <w:sz w:val="18"/>
              </w:rPr>
            </w:pPr>
            <w:r w:rsidRPr="005734B8">
              <w:rPr>
                <w:rFonts w:ascii="Calibri" w:hAnsi="Calibri" w:cs="Calibri"/>
                <w:sz w:val="18"/>
              </w:rPr>
              <w:t>Market approach</w:t>
            </w:r>
          </w:p>
        </w:tc>
        <w:tc>
          <w:tcPr>
            <w:tcW w:w="2970" w:type="dxa"/>
            <w:tcBorders>
              <w:top w:val="single" w:sz="4" w:space="0" w:color="53565A" w:themeColor="accent5"/>
              <w:bottom w:val="single" w:sz="4" w:space="0" w:color="53565A" w:themeColor="accent5"/>
            </w:tcBorders>
            <w:shd w:val="clear" w:color="auto" w:fill="auto"/>
          </w:tcPr>
          <w:p w14:paraId="2F36C073" w14:textId="77777777" w:rsidR="00F1540A" w:rsidRPr="005734B8" w:rsidRDefault="00F1540A" w:rsidP="000F48B1">
            <w:pPr>
              <w:pStyle w:val="ESTablenumberrightaligned"/>
              <w:spacing w:beforeLines="20" w:before="48" w:afterLines="20" w:after="48"/>
              <w:jc w:val="left"/>
              <w:rPr>
                <w:rFonts w:ascii="Calibri" w:hAnsi="Calibri" w:cs="Calibri"/>
                <w:sz w:val="18"/>
              </w:rPr>
            </w:pPr>
            <w:r w:rsidRPr="005734B8">
              <w:rPr>
                <w:rFonts w:ascii="Calibri" w:hAnsi="Calibri" w:cs="Calibri"/>
                <w:sz w:val="18"/>
              </w:rPr>
              <w:t>CSO</w:t>
            </w:r>
          </w:p>
        </w:tc>
      </w:tr>
      <w:tr w:rsidR="00F1540A" w:rsidRPr="005734B8" w14:paraId="232E6F99" w14:textId="77777777" w:rsidTr="000F48B1">
        <w:trPr>
          <w:cantSplit/>
          <w:trHeight w:val="151"/>
        </w:trPr>
        <w:tc>
          <w:tcPr>
            <w:tcW w:w="2263" w:type="dxa"/>
            <w:tcBorders>
              <w:top w:val="single" w:sz="4" w:space="0" w:color="53565A" w:themeColor="accent5"/>
              <w:bottom w:val="single" w:sz="4" w:space="0" w:color="53565A" w:themeColor="accent5"/>
            </w:tcBorders>
            <w:shd w:val="clear" w:color="auto" w:fill="auto"/>
          </w:tcPr>
          <w:p w14:paraId="26A585D6" w14:textId="77777777" w:rsidR="00F1540A" w:rsidRPr="005734B8" w:rsidRDefault="00F1540A" w:rsidP="000F48B1">
            <w:pPr>
              <w:pStyle w:val="ESTablebody"/>
              <w:spacing w:beforeLines="20" w:before="48" w:afterLines="20" w:after="48"/>
              <w:rPr>
                <w:rFonts w:ascii="Calibri" w:hAnsi="Calibri" w:cs="Calibri"/>
                <w:sz w:val="18"/>
              </w:rPr>
            </w:pPr>
            <w:r w:rsidRPr="005734B8">
              <w:rPr>
                <w:rFonts w:ascii="Calibri" w:hAnsi="Calibri" w:cs="Calibri"/>
                <w:sz w:val="18"/>
              </w:rPr>
              <w:t>Buildings</w:t>
            </w:r>
          </w:p>
        </w:tc>
        <w:tc>
          <w:tcPr>
            <w:tcW w:w="2552" w:type="dxa"/>
            <w:tcBorders>
              <w:top w:val="single" w:sz="4" w:space="0" w:color="53565A" w:themeColor="accent5"/>
              <w:bottom w:val="single" w:sz="4" w:space="0" w:color="53565A" w:themeColor="accent5"/>
            </w:tcBorders>
            <w:shd w:val="clear" w:color="auto" w:fill="auto"/>
          </w:tcPr>
          <w:p w14:paraId="370C23DB" w14:textId="77777777" w:rsidR="00F1540A" w:rsidRPr="005734B8" w:rsidRDefault="00F1540A" w:rsidP="000F48B1">
            <w:pPr>
              <w:pStyle w:val="ESTablenumberrightaligned"/>
              <w:spacing w:beforeLines="20" w:before="48" w:afterLines="20" w:after="48"/>
              <w:jc w:val="left"/>
              <w:rPr>
                <w:rFonts w:ascii="Calibri" w:hAnsi="Calibri" w:cs="Calibri"/>
                <w:sz w:val="18"/>
              </w:rPr>
            </w:pPr>
            <w:r w:rsidRPr="005734B8">
              <w:rPr>
                <w:rFonts w:ascii="Calibri" w:hAnsi="Calibri" w:cs="Calibri"/>
                <w:sz w:val="18"/>
              </w:rPr>
              <w:t>Current replacement cost</w:t>
            </w:r>
          </w:p>
        </w:tc>
        <w:tc>
          <w:tcPr>
            <w:tcW w:w="2970" w:type="dxa"/>
            <w:tcBorders>
              <w:top w:val="single" w:sz="4" w:space="0" w:color="53565A" w:themeColor="accent5"/>
              <w:bottom w:val="single" w:sz="4" w:space="0" w:color="53565A" w:themeColor="accent5"/>
            </w:tcBorders>
            <w:shd w:val="clear" w:color="auto" w:fill="auto"/>
          </w:tcPr>
          <w:p w14:paraId="67C85C7A" w14:textId="77777777" w:rsidR="00F1540A" w:rsidRPr="005734B8" w:rsidRDefault="00F1540A" w:rsidP="000F48B1">
            <w:pPr>
              <w:pStyle w:val="ESTablenumberrightaligned"/>
              <w:spacing w:beforeLines="20" w:before="48" w:afterLines="20" w:after="48"/>
              <w:jc w:val="left"/>
              <w:rPr>
                <w:rFonts w:ascii="Calibri" w:hAnsi="Calibri" w:cs="Calibri"/>
                <w:sz w:val="18"/>
              </w:rPr>
            </w:pPr>
            <w:r w:rsidRPr="005734B8">
              <w:rPr>
                <w:rFonts w:ascii="Calibri" w:hAnsi="Calibri" w:cs="Calibri"/>
                <w:sz w:val="18"/>
              </w:rPr>
              <w:t>Direct cost per square metre</w:t>
            </w:r>
          </w:p>
          <w:p w14:paraId="0C909EF2" w14:textId="7E0C0228" w:rsidR="00F1540A" w:rsidRPr="005734B8" w:rsidRDefault="00F1540A" w:rsidP="000F48B1">
            <w:pPr>
              <w:pStyle w:val="ESTablenumberrightaligned"/>
              <w:spacing w:beforeLines="20" w:before="48" w:afterLines="20" w:after="48"/>
              <w:jc w:val="left"/>
              <w:rPr>
                <w:rFonts w:ascii="Calibri" w:hAnsi="Calibri" w:cs="Calibri"/>
                <w:sz w:val="18"/>
              </w:rPr>
            </w:pPr>
            <w:r w:rsidRPr="005734B8">
              <w:rPr>
                <w:rFonts w:ascii="Calibri" w:hAnsi="Calibri" w:cs="Calibri"/>
                <w:sz w:val="18"/>
              </w:rPr>
              <w:t xml:space="preserve">Useful life of </w:t>
            </w:r>
            <w:r w:rsidR="00BB7440" w:rsidRPr="005734B8">
              <w:rPr>
                <w:rFonts w:ascii="Calibri" w:hAnsi="Calibri" w:cs="Calibri"/>
                <w:sz w:val="18"/>
              </w:rPr>
              <w:t>recognised</w:t>
            </w:r>
            <w:r w:rsidRPr="005734B8">
              <w:rPr>
                <w:rFonts w:ascii="Calibri" w:hAnsi="Calibri" w:cs="Calibri"/>
                <w:sz w:val="18"/>
              </w:rPr>
              <w:t xml:space="preserve"> buildings</w:t>
            </w:r>
          </w:p>
        </w:tc>
      </w:tr>
      <w:tr w:rsidR="00F1540A" w:rsidRPr="005734B8" w14:paraId="12EA3CB9" w14:textId="77777777" w:rsidTr="000F48B1">
        <w:trPr>
          <w:cantSplit/>
          <w:trHeight w:val="106"/>
        </w:trPr>
        <w:tc>
          <w:tcPr>
            <w:tcW w:w="2263" w:type="dxa"/>
            <w:tcBorders>
              <w:top w:val="single" w:sz="4" w:space="0" w:color="53565A" w:themeColor="accent5"/>
              <w:bottom w:val="single" w:sz="4" w:space="0" w:color="53565A" w:themeColor="accent5"/>
            </w:tcBorders>
            <w:shd w:val="clear" w:color="auto" w:fill="auto"/>
          </w:tcPr>
          <w:p w14:paraId="477C1793" w14:textId="77777777" w:rsidR="00F1540A" w:rsidRPr="005734B8" w:rsidRDefault="00F1540A" w:rsidP="000F48B1">
            <w:pPr>
              <w:pStyle w:val="ESTablebody"/>
              <w:spacing w:beforeLines="20" w:before="48" w:afterLines="20" w:after="48"/>
              <w:rPr>
                <w:rFonts w:ascii="Calibri" w:hAnsi="Calibri" w:cs="Calibri"/>
                <w:sz w:val="18"/>
              </w:rPr>
            </w:pPr>
            <w:r w:rsidRPr="005734B8">
              <w:rPr>
                <w:rFonts w:ascii="Calibri" w:hAnsi="Calibri" w:cs="Calibri"/>
                <w:sz w:val="18"/>
              </w:rPr>
              <w:t>Heritage buildings</w:t>
            </w:r>
          </w:p>
        </w:tc>
        <w:tc>
          <w:tcPr>
            <w:tcW w:w="2552" w:type="dxa"/>
            <w:tcBorders>
              <w:top w:val="single" w:sz="4" w:space="0" w:color="53565A" w:themeColor="accent5"/>
              <w:bottom w:val="single" w:sz="4" w:space="0" w:color="53565A" w:themeColor="accent5"/>
            </w:tcBorders>
            <w:shd w:val="clear" w:color="auto" w:fill="auto"/>
          </w:tcPr>
          <w:p w14:paraId="7EA137D1" w14:textId="77777777" w:rsidR="00F1540A" w:rsidRPr="005734B8" w:rsidRDefault="00F1540A" w:rsidP="000F48B1">
            <w:pPr>
              <w:pStyle w:val="ESTablenumberrightaligned"/>
              <w:spacing w:beforeLines="20" w:before="48" w:afterLines="20" w:after="48"/>
              <w:jc w:val="left"/>
              <w:rPr>
                <w:rFonts w:ascii="Calibri" w:hAnsi="Calibri" w:cs="Calibri"/>
                <w:sz w:val="18"/>
              </w:rPr>
            </w:pPr>
            <w:r w:rsidRPr="005734B8">
              <w:rPr>
                <w:rFonts w:ascii="Calibri" w:hAnsi="Calibri" w:cs="Calibri"/>
                <w:sz w:val="18"/>
              </w:rPr>
              <w:t>Reproduction cost</w:t>
            </w:r>
          </w:p>
        </w:tc>
        <w:tc>
          <w:tcPr>
            <w:tcW w:w="2970" w:type="dxa"/>
            <w:tcBorders>
              <w:top w:val="single" w:sz="4" w:space="0" w:color="53565A" w:themeColor="accent5"/>
              <w:bottom w:val="single" w:sz="4" w:space="0" w:color="53565A" w:themeColor="accent5"/>
            </w:tcBorders>
            <w:shd w:val="clear" w:color="auto" w:fill="auto"/>
          </w:tcPr>
          <w:p w14:paraId="09E74FD4" w14:textId="77777777" w:rsidR="00F1540A" w:rsidRPr="005734B8" w:rsidRDefault="00F1540A" w:rsidP="000F48B1">
            <w:pPr>
              <w:pStyle w:val="ESTablenumberrightaligned"/>
              <w:spacing w:beforeLines="20" w:before="48" w:afterLines="20" w:after="48"/>
              <w:jc w:val="left"/>
              <w:rPr>
                <w:rFonts w:ascii="Calibri" w:hAnsi="Calibri" w:cs="Calibri"/>
                <w:sz w:val="18"/>
              </w:rPr>
            </w:pPr>
            <w:r w:rsidRPr="005734B8">
              <w:rPr>
                <w:rFonts w:ascii="Calibri" w:hAnsi="Calibri" w:cs="Calibri"/>
                <w:sz w:val="18"/>
              </w:rPr>
              <w:t>Direct cost per square metre</w:t>
            </w:r>
          </w:p>
          <w:p w14:paraId="09EE3815" w14:textId="77777777" w:rsidR="00F1540A" w:rsidRPr="005734B8" w:rsidRDefault="00F1540A" w:rsidP="000F48B1">
            <w:pPr>
              <w:pStyle w:val="ESTablenumberrightaligned"/>
              <w:spacing w:beforeLines="20" w:before="48" w:afterLines="20" w:after="48"/>
              <w:jc w:val="left"/>
              <w:rPr>
                <w:rFonts w:ascii="Calibri" w:hAnsi="Calibri" w:cs="Calibri"/>
                <w:sz w:val="18"/>
              </w:rPr>
            </w:pPr>
            <w:r w:rsidRPr="005734B8">
              <w:rPr>
                <w:rFonts w:ascii="Calibri" w:hAnsi="Calibri" w:cs="Calibri"/>
                <w:sz w:val="18"/>
              </w:rPr>
              <w:t>Useful life of heritage buildings</w:t>
            </w:r>
          </w:p>
        </w:tc>
      </w:tr>
      <w:tr w:rsidR="00F1540A" w:rsidRPr="005734B8" w14:paraId="6D7FC17F" w14:textId="77777777" w:rsidTr="000F48B1">
        <w:trPr>
          <w:cantSplit/>
          <w:trHeight w:val="82"/>
        </w:trPr>
        <w:tc>
          <w:tcPr>
            <w:tcW w:w="2263" w:type="dxa"/>
            <w:tcBorders>
              <w:top w:val="single" w:sz="4" w:space="0" w:color="53565A" w:themeColor="accent5"/>
              <w:bottom w:val="single" w:sz="4" w:space="0" w:color="53565A" w:themeColor="accent5"/>
            </w:tcBorders>
            <w:shd w:val="clear" w:color="auto" w:fill="auto"/>
          </w:tcPr>
          <w:p w14:paraId="3F28366F" w14:textId="77777777" w:rsidR="00F1540A" w:rsidRPr="005734B8" w:rsidRDefault="00F1540A" w:rsidP="000F48B1">
            <w:pPr>
              <w:pStyle w:val="ESTablebody"/>
              <w:spacing w:beforeLines="20" w:before="48" w:afterLines="20" w:after="48"/>
              <w:rPr>
                <w:rFonts w:ascii="Calibri" w:hAnsi="Calibri" w:cs="Calibri"/>
                <w:sz w:val="18"/>
              </w:rPr>
            </w:pPr>
            <w:r w:rsidRPr="005734B8">
              <w:rPr>
                <w:rFonts w:ascii="Calibri" w:hAnsi="Calibri" w:cs="Calibri"/>
                <w:sz w:val="18"/>
              </w:rPr>
              <w:t>Leasehold buildings</w:t>
            </w:r>
          </w:p>
        </w:tc>
        <w:tc>
          <w:tcPr>
            <w:tcW w:w="2552" w:type="dxa"/>
            <w:tcBorders>
              <w:top w:val="single" w:sz="4" w:space="0" w:color="53565A" w:themeColor="accent5"/>
              <w:bottom w:val="single" w:sz="4" w:space="0" w:color="53565A" w:themeColor="accent5"/>
            </w:tcBorders>
            <w:shd w:val="clear" w:color="auto" w:fill="auto"/>
          </w:tcPr>
          <w:p w14:paraId="04BD2721" w14:textId="46755D3D" w:rsidR="00F1540A" w:rsidRPr="005734B8" w:rsidRDefault="00CF4660" w:rsidP="000F48B1">
            <w:pPr>
              <w:pStyle w:val="ESTablenumberrightaligned"/>
              <w:spacing w:beforeLines="20" w:before="48" w:afterLines="20" w:after="48"/>
              <w:jc w:val="left"/>
              <w:rPr>
                <w:rFonts w:ascii="Calibri" w:hAnsi="Calibri" w:cs="Calibri"/>
                <w:sz w:val="18"/>
              </w:rPr>
            </w:pPr>
            <w:r w:rsidRPr="005734B8">
              <w:rPr>
                <w:rFonts w:ascii="Calibri" w:hAnsi="Calibri" w:cs="Calibri"/>
                <w:sz w:val="18"/>
              </w:rPr>
              <w:t>Current</w:t>
            </w:r>
            <w:r w:rsidR="00F1540A" w:rsidRPr="005734B8">
              <w:rPr>
                <w:rFonts w:ascii="Calibri" w:hAnsi="Calibri" w:cs="Calibri"/>
                <w:sz w:val="18"/>
              </w:rPr>
              <w:t xml:space="preserve"> replacement cost</w:t>
            </w:r>
          </w:p>
        </w:tc>
        <w:tc>
          <w:tcPr>
            <w:tcW w:w="2970" w:type="dxa"/>
            <w:tcBorders>
              <w:top w:val="single" w:sz="4" w:space="0" w:color="53565A" w:themeColor="accent5"/>
              <w:bottom w:val="single" w:sz="4" w:space="0" w:color="53565A" w:themeColor="accent5"/>
            </w:tcBorders>
            <w:shd w:val="clear" w:color="auto" w:fill="auto"/>
          </w:tcPr>
          <w:p w14:paraId="6792D88E" w14:textId="77777777" w:rsidR="00F1540A" w:rsidRPr="005734B8" w:rsidRDefault="00F1540A" w:rsidP="000F48B1">
            <w:pPr>
              <w:pStyle w:val="ESTablenumberrightaligned"/>
              <w:spacing w:beforeLines="20" w:before="48" w:afterLines="20" w:after="48"/>
              <w:jc w:val="left"/>
              <w:rPr>
                <w:rFonts w:ascii="Calibri" w:hAnsi="Calibri" w:cs="Calibri"/>
                <w:sz w:val="18"/>
              </w:rPr>
            </w:pPr>
            <w:r w:rsidRPr="005734B8">
              <w:rPr>
                <w:rFonts w:ascii="Calibri" w:hAnsi="Calibri" w:cs="Calibri"/>
                <w:sz w:val="18"/>
              </w:rPr>
              <w:t>Direct cost per square metre</w:t>
            </w:r>
          </w:p>
          <w:p w14:paraId="078AA8F0" w14:textId="77777777" w:rsidR="00F1540A" w:rsidRPr="005734B8" w:rsidRDefault="00F1540A" w:rsidP="000F48B1">
            <w:pPr>
              <w:pStyle w:val="ESTablenumberrightaligned"/>
              <w:spacing w:beforeLines="20" w:before="48" w:afterLines="20" w:after="48"/>
              <w:jc w:val="left"/>
              <w:rPr>
                <w:rFonts w:ascii="Calibri" w:hAnsi="Calibri" w:cs="Calibri"/>
                <w:sz w:val="18"/>
              </w:rPr>
            </w:pPr>
            <w:r w:rsidRPr="005734B8">
              <w:rPr>
                <w:rFonts w:ascii="Calibri" w:hAnsi="Calibri" w:cs="Calibri"/>
                <w:sz w:val="18"/>
              </w:rPr>
              <w:t>Useful life of leasehold buildings</w:t>
            </w:r>
          </w:p>
        </w:tc>
      </w:tr>
      <w:tr w:rsidR="00F1540A" w:rsidRPr="005734B8" w14:paraId="1C72B39B" w14:textId="77777777" w:rsidTr="000F48B1">
        <w:trPr>
          <w:cantSplit/>
          <w:trHeight w:val="82"/>
        </w:trPr>
        <w:tc>
          <w:tcPr>
            <w:tcW w:w="2263" w:type="dxa"/>
            <w:tcBorders>
              <w:top w:val="single" w:sz="4" w:space="0" w:color="53565A" w:themeColor="accent5"/>
              <w:bottom w:val="single" w:sz="4" w:space="0" w:color="53565A" w:themeColor="accent5"/>
            </w:tcBorders>
            <w:shd w:val="clear" w:color="auto" w:fill="auto"/>
          </w:tcPr>
          <w:p w14:paraId="592F1BD2" w14:textId="77777777" w:rsidR="00F1540A" w:rsidRPr="005734B8" w:rsidRDefault="00F1540A" w:rsidP="000F48B1">
            <w:pPr>
              <w:pStyle w:val="ESTablebody"/>
              <w:spacing w:beforeLines="20" w:before="48" w:afterLines="20" w:after="48"/>
              <w:rPr>
                <w:rFonts w:ascii="Calibri" w:hAnsi="Calibri" w:cs="Calibri"/>
                <w:sz w:val="18"/>
              </w:rPr>
            </w:pPr>
            <w:r w:rsidRPr="005734B8">
              <w:rPr>
                <w:rFonts w:ascii="Calibri" w:hAnsi="Calibri" w:cs="Calibri"/>
                <w:sz w:val="18"/>
              </w:rPr>
              <w:t>Leasehold improvements</w:t>
            </w:r>
          </w:p>
        </w:tc>
        <w:tc>
          <w:tcPr>
            <w:tcW w:w="2552" w:type="dxa"/>
            <w:tcBorders>
              <w:top w:val="single" w:sz="4" w:space="0" w:color="53565A" w:themeColor="accent5"/>
              <w:bottom w:val="single" w:sz="4" w:space="0" w:color="53565A" w:themeColor="accent5"/>
            </w:tcBorders>
            <w:shd w:val="clear" w:color="auto" w:fill="auto"/>
          </w:tcPr>
          <w:p w14:paraId="7F4B3CB3" w14:textId="0F3FABAD" w:rsidR="00F1540A" w:rsidRPr="005734B8" w:rsidRDefault="00CF4660" w:rsidP="000F48B1">
            <w:pPr>
              <w:pStyle w:val="ESTablenumberrightaligned"/>
              <w:spacing w:beforeLines="20" w:before="48" w:afterLines="20" w:after="48"/>
              <w:jc w:val="left"/>
              <w:rPr>
                <w:rFonts w:ascii="Calibri" w:hAnsi="Calibri" w:cs="Calibri"/>
                <w:sz w:val="18"/>
              </w:rPr>
            </w:pPr>
            <w:r w:rsidRPr="005734B8">
              <w:rPr>
                <w:rFonts w:ascii="Calibri" w:hAnsi="Calibri" w:cs="Calibri"/>
                <w:sz w:val="18"/>
              </w:rPr>
              <w:t>Current</w:t>
            </w:r>
            <w:r w:rsidR="00F1540A" w:rsidRPr="005734B8">
              <w:rPr>
                <w:rFonts w:ascii="Calibri" w:hAnsi="Calibri" w:cs="Calibri"/>
                <w:sz w:val="18"/>
              </w:rPr>
              <w:t xml:space="preserve"> replacement cost</w:t>
            </w:r>
          </w:p>
        </w:tc>
        <w:tc>
          <w:tcPr>
            <w:tcW w:w="2970" w:type="dxa"/>
            <w:tcBorders>
              <w:top w:val="single" w:sz="4" w:space="0" w:color="53565A" w:themeColor="accent5"/>
              <w:bottom w:val="single" w:sz="4" w:space="0" w:color="53565A" w:themeColor="accent5"/>
            </w:tcBorders>
            <w:shd w:val="clear" w:color="auto" w:fill="auto"/>
          </w:tcPr>
          <w:p w14:paraId="04649112" w14:textId="77777777" w:rsidR="00F1540A" w:rsidRPr="005734B8" w:rsidRDefault="00F1540A" w:rsidP="000F48B1">
            <w:pPr>
              <w:pStyle w:val="ESTablenumberrightaligned"/>
              <w:spacing w:beforeLines="20" w:before="48" w:afterLines="20" w:after="48"/>
              <w:jc w:val="left"/>
              <w:rPr>
                <w:rFonts w:ascii="Calibri" w:hAnsi="Calibri" w:cs="Calibri"/>
                <w:sz w:val="18"/>
              </w:rPr>
            </w:pPr>
            <w:r w:rsidRPr="005734B8">
              <w:rPr>
                <w:rFonts w:ascii="Calibri" w:hAnsi="Calibri" w:cs="Calibri"/>
                <w:sz w:val="18"/>
              </w:rPr>
              <w:t>Direct cost per square metre</w:t>
            </w:r>
          </w:p>
          <w:p w14:paraId="211E24B3" w14:textId="77777777" w:rsidR="00F1540A" w:rsidRPr="005734B8" w:rsidRDefault="00F1540A" w:rsidP="000F48B1">
            <w:pPr>
              <w:pStyle w:val="ESTablenumberrightaligned"/>
              <w:spacing w:beforeLines="20" w:before="48" w:afterLines="20" w:after="48"/>
              <w:jc w:val="left"/>
              <w:rPr>
                <w:rFonts w:ascii="Calibri" w:hAnsi="Calibri" w:cs="Calibri"/>
                <w:sz w:val="18"/>
              </w:rPr>
            </w:pPr>
            <w:r w:rsidRPr="005734B8">
              <w:rPr>
                <w:rFonts w:ascii="Calibri" w:hAnsi="Calibri" w:cs="Calibri"/>
                <w:sz w:val="18"/>
              </w:rPr>
              <w:t>Useful life of leasehold buildings</w:t>
            </w:r>
          </w:p>
        </w:tc>
      </w:tr>
      <w:tr w:rsidR="00F1540A" w:rsidRPr="005734B8" w14:paraId="5F6B4816" w14:textId="77777777" w:rsidTr="000F48B1">
        <w:trPr>
          <w:cantSplit/>
          <w:trHeight w:val="82"/>
        </w:trPr>
        <w:tc>
          <w:tcPr>
            <w:tcW w:w="2263" w:type="dxa"/>
            <w:tcBorders>
              <w:top w:val="single" w:sz="4" w:space="0" w:color="53565A" w:themeColor="accent5"/>
              <w:bottom w:val="single" w:sz="4" w:space="0" w:color="53565A" w:themeColor="accent5"/>
            </w:tcBorders>
            <w:shd w:val="clear" w:color="auto" w:fill="auto"/>
          </w:tcPr>
          <w:p w14:paraId="77610D35" w14:textId="77777777" w:rsidR="00F1540A" w:rsidRPr="005734B8" w:rsidRDefault="00F1540A" w:rsidP="000F48B1">
            <w:pPr>
              <w:pStyle w:val="ESTablebody"/>
              <w:spacing w:beforeLines="20" w:before="48" w:afterLines="20" w:after="48"/>
              <w:rPr>
                <w:rFonts w:ascii="Calibri" w:hAnsi="Calibri" w:cs="Calibri"/>
                <w:sz w:val="18"/>
              </w:rPr>
            </w:pPr>
            <w:r w:rsidRPr="005734B8">
              <w:rPr>
                <w:rFonts w:ascii="Calibri" w:hAnsi="Calibri" w:cs="Calibri"/>
                <w:sz w:val="18"/>
              </w:rPr>
              <w:t>Plant and equipment</w:t>
            </w:r>
          </w:p>
        </w:tc>
        <w:tc>
          <w:tcPr>
            <w:tcW w:w="2552" w:type="dxa"/>
            <w:tcBorders>
              <w:top w:val="single" w:sz="4" w:space="0" w:color="53565A" w:themeColor="accent5"/>
              <w:bottom w:val="single" w:sz="4" w:space="0" w:color="53565A" w:themeColor="accent5"/>
            </w:tcBorders>
            <w:shd w:val="clear" w:color="auto" w:fill="auto"/>
          </w:tcPr>
          <w:p w14:paraId="6144AA88" w14:textId="45B2C714" w:rsidR="00F1540A" w:rsidRPr="005734B8" w:rsidRDefault="00CF4660" w:rsidP="000F48B1">
            <w:pPr>
              <w:pStyle w:val="ESTablenumberrightaligned"/>
              <w:spacing w:beforeLines="20" w:before="48" w:afterLines="20" w:after="48"/>
              <w:jc w:val="left"/>
              <w:rPr>
                <w:rFonts w:ascii="Calibri" w:hAnsi="Calibri" w:cs="Calibri"/>
                <w:sz w:val="18"/>
              </w:rPr>
            </w:pPr>
            <w:r w:rsidRPr="005734B8">
              <w:rPr>
                <w:rFonts w:ascii="Calibri" w:hAnsi="Calibri" w:cs="Calibri"/>
                <w:sz w:val="18"/>
              </w:rPr>
              <w:t>Current</w:t>
            </w:r>
            <w:r w:rsidR="00F1540A" w:rsidRPr="005734B8">
              <w:rPr>
                <w:rFonts w:ascii="Calibri" w:hAnsi="Calibri" w:cs="Calibri"/>
                <w:sz w:val="18"/>
              </w:rPr>
              <w:t xml:space="preserve"> replacement cost</w:t>
            </w:r>
          </w:p>
        </w:tc>
        <w:tc>
          <w:tcPr>
            <w:tcW w:w="2970" w:type="dxa"/>
            <w:tcBorders>
              <w:top w:val="single" w:sz="4" w:space="0" w:color="53565A" w:themeColor="accent5"/>
              <w:bottom w:val="single" w:sz="4" w:space="0" w:color="53565A" w:themeColor="accent5"/>
            </w:tcBorders>
            <w:shd w:val="clear" w:color="auto" w:fill="auto"/>
          </w:tcPr>
          <w:p w14:paraId="224EFC0C" w14:textId="77777777" w:rsidR="00F1540A" w:rsidRPr="005734B8" w:rsidRDefault="00F1540A" w:rsidP="000F48B1">
            <w:pPr>
              <w:pStyle w:val="ESTablenumberrightaligned"/>
              <w:spacing w:beforeLines="20" w:before="48" w:afterLines="20" w:after="48"/>
              <w:jc w:val="left"/>
              <w:rPr>
                <w:rFonts w:ascii="Calibri" w:hAnsi="Calibri" w:cs="Calibri"/>
                <w:sz w:val="18"/>
              </w:rPr>
            </w:pPr>
            <w:r w:rsidRPr="005734B8">
              <w:rPr>
                <w:rFonts w:ascii="Calibri" w:hAnsi="Calibri" w:cs="Calibri"/>
                <w:sz w:val="18"/>
              </w:rPr>
              <w:t>Direct cost per square metre</w:t>
            </w:r>
          </w:p>
          <w:p w14:paraId="4B282DA1" w14:textId="77777777" w:rsidR="00F1540A" w:rsidRPr="005734B8" w:rsidRDefault="00F1540A" w:rsidP="000F48B1">
            <w:pPr>
              <w:pStyle w:val="ESTablenumberrightaligned"/>
              <w:spacing w:beforeLines="20" w:before="48" w:afterLines="20" w:after="48"/>
              <w:jc w:val="left"/>
              <w:rPr>
                <w:rFonts w:ascii="Calibri" w:hAnsi="Calibri" w:cs="Calibri"/>
                <w:sz w:val="18"/>
              </w:rPr>
            </w:pPr>
            <w:r w:rsidRPr="005734B8">
              <w:rPr>
                <w:rFonts w:ascii="Calibri" w:hAnsi="Calibri" w:cs="Calibri"/>
                <w:sz w:val="18"/>
              </w:rPr>
              <w:t>Useful life of plant and equipment</w:t>
            </w:r>
          </w:p>
        </w:tc>
      </w:tr>
    </w:tbl>
    <w:p w14:paraId="3BE47DD4" w14:textId="4E7E65A2" w:rsidR="00F1540A" w:rsidRPr="005734B8" w:rsidRDefault="00F1540A" w:rsidP="00F1540A">
      <w:pPr>
        <w:pStyle w:val="ESHeading2"/>
        <w:rPr>
          <w:rFonts w:ascii="Calibri" w:hAnsi="Calibri" w:cs="Calibri"/>
        </w:rPr>
      </w:pPr>
      <w:bookmarkStart w:id="1732" w:name="_Toc36012799"/>
      <w:bookmarkStart w:id="1733" w:name="_Toc36012877"/>
      <w:bookmarkStart w:id="1734" w:name="_Toc36013374"/>
      <w:bookmarkStart w:id="1735" w:name="_Toc58243457"/>
      <w:bookmarkStart w:id="1736" w:name="_Toc72958107"/>
      <w:bookmarkStart w:id="1737" w:name="_Toc72958155"/>
      <w:bookmarkStart w:id="1738" w:name="_Toc80272094"/>
      <w:bookmarkStart w:id="1739" w:name="_Toc81315395"/>
      <w:r w:rsidRPr="005734B8">
        <w:rPr>
          <w:rFonts w:ascii="Calibri" w:hAnsi="Calibri" w:cs="Calibri"/>
        </w:rPr>
        <w:t>8.3</w:t>
      </w:r>
      <w:r w:rsidRPr="005734B8">
        <w:rPr>
          <w:rFonts w:ascii="Calibri" w:hAnsi="Calibri" w:cs="Calibri"/>
        </w:rPr>
        <w:tab/>
        <w:t>Contingent assets and liabilities</w:t>
      </w:r>
      <w:bookmarkEnd w:id="1732"/>
      <w:bookmarkEnd w:id="1733"/>
      <w:bookmarkEnd w:id="1734"/>
      <w:bookmarkEnd w:id="1735"/>
      <w:bookmarkEnd w:id="1736"/>
      <w:bookmarkEnd w:id="1737"/>
      <w:bookmarkEnd w:id="1738"/>
      <w:bookmarkEnd w:id="1739"/>
    </w:p>
    <w:p w14:paraId="47BBF0ED" w14:textId="77777777" w:rsidR="00F1540A" w:rsidRPr="005734B8" w:rsidRDefault="00F1540A" w:rsidP="00F1540A">
      <w:pPr>
        <w:rPr>
          <w:rFonts w:ascii="Calibri" w:hAnsi="Calibri" w:cs="Calibri"/>
        </w:rPr>
      </w:pPr>
      <w:r w:rsidRPr="005734B8">
        <w:rPr>
          <w:rFonts w:ascii="Calibri" w:hAnsi="Calibri" w:cs="Calibri"/>
        </w:rPr>
        <w:t>Contingent assets and contingent liabilities are not recognised in the balance sheet, but are disclosed and, if quantifiable, are measured at nominal value.</w:t>
      </w:r>
    </w:p>
    <w:p w14:paraId="101695CF" w14:textId="77777777" w:rsidR="00F1540A" w:rsidRPr="005734B8" w:rsidRDefault="00F1540A" w:rsidP="00F1540A">
      <w:pPr>
        <w:rPr>
          <w:rFonts w:ascii="Calibri" w:hAnsi="Calibri" w:cs="Calibri"/>
        </w:rPr>
      </w:pPr>
    </w:p>
    <w:p w14:paraId="6F459CD4" w14:textId="3CABBFD2" w:rsidR="00F1540A" w:rsidRPr="005734B8" w:rsidRDefault="00F1540A" w:rsidP="00F1540A">
      <w:pPr>
        <w:rPr>
          <w:rFonts w:ascii="Calibri" w:hAnsi="Calibri" w:cs="Calibri"/>
        </w:rPr>
      </w:pPr>
      <w:r w:rsidRPr="005734B8">
        <w:rPr>
          <w:rFonts w:ascii="Calibri" w:hAnsi="Calibri" w:cs="Calibri"/>
        </w:rPr>
        <w:t>Contingent assets and liabilities are presented inclusive of GST receivable or payable respectively.</w:t>
      </w:r>
    </w:p>
    <w:p w14:paraId="5C9E6694" w14:textId="77777777" w:rsidR="00F1540A" w:rsidRPr="005734B8" w:rsidRDefault="00F1540A" w:rsidP="000F6516">
      <w:pPr>
        <w:pStyle w:val="ESHeading3"/>
        <w:ind w:left="0" w:firstLine="0"/>
        <w:rPr>
          <w:rFonts w:ascii="Calibri" w:hAnsi="Calibri" w:cs="Calibri"/>
        </w:rPr>
      </w:pPr>
      <w:bookmarkStart w:id="1740" w:name="_Toc11336438"/>
      <w:bookmarkStart w:id="1741" w:name="_Toc14965664"/>
      <w:r w:rsidRPr="005734B8">
        <w:rPr>
          <w:rFonts w:ascii="Calibri" w:hAnsi="Calibri" w:cs="Calibri"/>
        </w:rPr>
        <w:t>8.3.1</w:t>
      </w:r>
      <w:r w:rsidRPr="005734B8">
        <w:rPr>
          <w:rFonts w:ascii="Calibri" w:hAnsi="Calibri" w:cs="Calibri"/>
        </w:rPr>
        <w:tab/>
        <w:t>Contingent assets</w:t>
      </w:r>
      <w:bookmarkEnd w:id="1740"/>
      <w:bookmarkEnd w:id="1741"/>
    </w:p>
    <w:p w14:paraId="43D21574" w14:textId="77777777" w:rsidR="00F1540A" w:rsidRPr="005734B8" w:rsidRDefault="00F1540A" w:rsidP="00F1540A">
      <w:pPr>
        <w:rPr>
          <w:rFonts w:ascii="Calibri" w:hAnsi="Calibri" w:cs="Calibri"/>
        </w:rPr>
      </w:pPr>
      <w:r w:rsidRPr="005734B8">
        <w:rPr>
          <w:rFonts w:ascii="Calibri" w:hAnsi="Calibri" w:cs="Calibri"/>
        </w:rPr>
        <w:t>Contingent assets are possible assets that arise from past events, whose existence will be confirmed only by the occurrence or non-occurrence of one or more uncertain future events not wholly within the control of the entity.</w:t>
      </w:r>
    </w:p>
    <w:p w14:paraId="6D8DED3D" w14:textId="77777777" w:rsidR="00F1540A" w:rsidRPr="005734B8" w:rsidRDefault="00F1540A" w:rsidP="00F1540A">
      <w:pPr>
        <w:rPr>
          <w:rFonts w:ascii="Calibri" w:hAnsi="Calibri" w:cs="Calibri"/>
        </w:rPr>
      </w:pPr>
    </w:p>
    <w:p w14:paraId="78D31ECA" w14:textId="77777777" w:rsidR="00F1540A" w:rsidRPr="005734B8" w:rsidRDefault="00F1540A" w:rsidP="00F1540A">
      <w:pPr>
        <w:rPr>
          <w:rFonts w:ascii="Calibri" w:hAnsi="Calibri" w:cs="Calibri"/>
        </w:rPr>
      </w:pPr>
      <w:r w:rsidRPr="005734B8">
        <w:rPr>
          <w:rFonts w:ascii="Calibri" w:hAnsi="Calibri" w:cs="Calibri"/>
        </w:rPr>
        <w:t>These are classified as either quantifiable, where the potential economic benefit is known, or non-quantifiable.</w:t>
      </w:r>
    </w:p>
    <w:p w14:paraId="56511F4C" w14:textId="77777777" w:rsidR="00F1540A" w:rsidRPr="005734B8" w:rsidRDefault="00F1540A" w:rsidP="00F1540A">
      <w:pPr>
        <w:rPr>
          <w:rFonts w:ascii="Calibri" w:hAnsi="Calibri" w:cs="Calibri"/>
        </w:rPr>
      </w:pPr>
    </w:p>
    <w:p w14:paraId="012A8074" w14:textId="1C795097" w:rsidR="00F1540A" w:rsidRPr="005734B8" w:rsidRDefault="00F1540A" w:rsidP="00F1540A">
      <w:pPr>
        <w:spacing w:before="80" w:after="80"/>
        <w:rPr>
          <w:rFonts w:ascii="Calibri" w:hAnsi="Calibri" w:cs="Calibri"/>
          <w:b/>
          <w:color w:val="8A2A2F"/>
          <w:szCs w:val="22"/>
          <w:lang w:val="en-US"/>
        </w:rPr>
      </w:pPr>
      <w:r w:rsidRPr="005734B8">
        <w:rPr>
          <w:rFonts w:ascii="Calibri" w:hAnsi="Calibri" w:cs="Calibri"/>
          <w:b/>
          <w:color w:val="8A2A2F"/>
          <w:szCs w:val="22"/>
          <w:lang w:val="en-US"/>
        </w:rPr>
        <w:t>Quantifiable contingent assets (arising from outside government)</w:t>
      </w:r>
    </w:p>
    <w:tbl>
      <w:tblPr>
        <w:tblW w:w="7625" w:type="dxa"/>
        <w:tblInd w:w="75" w:type="dxa"/>
        <w:tblLayout w:type="fixed"/>
        <w:tblLook w:val="04A0" w:firstRow="1" w:lastRow="0" w:firstColumn="1" w:lastColumn="0" w:noHBand="0" w:noVBand="1"/>
      </w:tblPr>
      <w:tblGrid>
        <w:gridCol w:w="5452"/>
        <w:gridCol w:w="1091"/>
        <w:gridCol w:w="1082"/>
      </w:tblGrid>
      <w:tr w:rsidR="00F1540A" w:rsidRPr="005734B8" w14:paraId="3F4D3DCC" w14:textId="77777777" w:rsidTr="000F48B1">
        <w:trPr>
          <w:trHeight w:val="480"/>
        </w:trPr>
        <w:tc>
          <w:tcPr>
            <w:tcW w:w="5452" w:type="dxa"/>
            <w:tcBorders>
              <w:top w:val="nil"/>
              <w:left w:val="single" w:sz="4" w:space="0" w:color="FFFFFF"/>
              <w:bottom w:val="nil"/>
              <w:right w:val="single" w:sz="4" w:space="0" w:color="FFFFFF"/>
            </w:tcBorders>
            <w:shd w:val="clear" w:color="000000" w:fill="AF272F"/>
            <w:vAlign w:val="bottom"/>
            <w:hideMark/>
          </w:tcPr>
          <w:p w14:paraId="568E8D73" w14:textId="77777777" w:rsidR="00F1540A" w:rsidRPr="005734B8" w:rsidRDefault="00F1540A" w:rsidP="000F48B1">
            <w:pPr>
              <w:jc w:val="center"/>
              <w:rPr>
                <w:rFonts w:ascii="Calibri" w:hAnsi="Calibri" w:cs="Calibri"/>
                <w:b/>
                <w:color w:val="FFFFFF"/>
                <w:sz w:val="18"/>
                <w:szCs w:val="18"/>
              </w:rPr>
            </w:pPr>
            <w:bookmarkStart w:id="1742" w:name="Note_CAATABLE1" w:colFirst="0" w:colLast="0"/>
            <w:r w:rsidRPr="005734B8">
              <w:rPr>
                <w:rFonts w:ascii="Calibri" w:hAnsi="Calibri" w:cs="Calibri"/>
                <w:b/>
                <w:color w:val="FFFFFF"/>
                <w:sz w:val="18"/>
                <w:szCs w:val="18"/>
              </w:rPr>
              <w:t> </w:t>
            </w:r>
          </w:p>
        </w:tc>
        <w:tc>
          <w:tcPr>
            <w:tcW w:w="1091" w:type="dxa"/>
            <w:tcBorders>
              <w:top w:val="nil"/>
              <w:left w:val="nil"/>
              <w:bottom w:val="nil"/>
              <w:right w:val="single" w:sz="4" w:space="0" w:color="FFFFFF"/>
            </w:tcBorders>
            <w:shd w:val="clear" w:color="000000" w:fill="AF272F"/>
            <w:hideMark/>
          </w:tcPr>
          <w:p w14:paraId="35D54E2B"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82" w:type="dxa"/>
            <w:tcBorders>
              <w:top w:val="nil"/>
              <w:left w:val="nil"/>
              <w:bottom w:val="nil"/>
              <w:right w:val="single" w:sz="4" w:space="0" w:color="FFFFFF"/>
            </w:tcBorders>
            <w:shd w:val="clear" w:color="000000" w:fill="AF272F"/>
            <w:hideMark/>
          </w:tcPr>
          <w:p w14:paraId="5324A14F"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742"/>
      <w:tr w:rsidR="00F1540A" w:rsidRPr="005734B8" w14:paraId="603F916F" w14:textId="77777777" w:rsidTr="000F48B1">
        <w:trPr>
          <w:trHeight w:val="270"/>
        </w:trPr>
        <w:tc>
          <w:tcPr>
            <w:tcW w:w="5452" w:type="dxa"/>
            <w:tcBorders>
              <w:top w:val="single" w:sz="4" w:space="0" w:color="auto"/>
              <w:left w:val="nil"/>
              <w:bottom w:val="single" w:sz="4" w:space="0" w:color="auto"/>
              <w:right w:val="nil"/>
            </w:tcBorders>
            <w:shd w:val="clear" w:color="FFFFFF" w:fill="FFFFFF"/>
            <w:vAlign w:val="center"/>
            <w:hideMark/>
          </w:tcPr>
          <w:p w14:paraId="11489CBE"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Commercial litigations</w:t>
            </w:r>
          </w:p>
        </w:tc>
        <w:tc>
          <w:tcPr>
            <w:tcW w:w="1091" w:type="dxa"/>
            <w:tcBorders>
              <w:top w:val="single" w:sz="4" w:space="0" w:color="auto"/>
              <w:left w:val="single" w:sz="4" w:space="0" w:color="FFFFFF"/>
              <w:bottom w:val="single" w:sz="4" w:space="0" w:color="auto"/>
              <w:right w:val="single" w:sz="4" w:space="0" w:color="FFFFFF"/>
            </w:tcBorders>
            <w:shd w:val="clear" w:color="000000" w:fill="D9D9D9"/>
            <w:noWrap/>
            <w:vAlign w:val="center"/>
            <w:hideMark/>
          </w:tcPr>
          <w:p w14:paraId="29B1F280" w14:textId="64F55614"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82" w:type="dxa"/>
            <w:tcBorders>
              <w:top w:val="nil"/>
              <w:left w:val="nil"/>
              <w:bottom w:val="single" w:sz="4" w:space="0" w:color="auto"/>
              <w:right w:val="single" w:sz="4" w:space="0" w:color="FFFFFF"/>
            </w:tcBorders>
            <w:shd w:val="clear" w:color="FFFFFF" w:fill="FFFFFF"/>
            <w:noWrap/>
            <w:vAlign w:val="center"/>
            <w:hideMark/>
          </w:tcPr>
          <w:p w14:paraId="2AB0EB4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9.0 </w:t>
            </w:r>
          </w:p>
        </w:tc>
      </w:tr>
      <w:tr w:rsidR="00F1540A" w:rsidRPr="005734B8" w14:paraId="0DB9B957"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1BB2C77"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quantifiable contingent assets</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04A57C3E" w14:textId="5BB69AFE" w:rsidR="00F1540A" w:rsidRPr="005734B8" w:rsidRDefault="00FD4AAA" w:rsidP="000F48B1">
            <w:pPr>
              <w:jc w:val="right"/>
              <w:rPr>
                <w:rFonts w:ascii="Calibri" w:hAnsi="Calibri" w:cs="Calibri"/>
                <w:b/>
                <w:sz w:val="18"/>
                <w:szCs w:val="18"/>
              </w:rPr>
            </w:pPr>
            <w:r w:rsidRPr="005734B8">
              <w:rPr>
                <w:rFonts w:ascii="Calibri" w:hAnsi="Calibri" w:cs="Calibri"/>
                <w:sz w:val="18"/>
                <w:szCs w:val="18"/>
              </w:rPr>
              <w:t>–</w:t>
            </w:r>
            <w:r w:rsidR="00F1540A" w:rsidRPr="005734B8">
              <w:rPr>
                <w:rFonts w:ascii="Calibri" w:hAnsi="Calibri" w:cs="Calibri"/>
                <w:b/>
                <w:sz w:val="18"/>
                <w:szCs w:val="18"/>
              </w:rPr>
              <w:t xml:space="preserve"> </w:t>
            </w:r>
          </w:p>
        </w:tc>
        <w:tc>
          <w:tcPr>
            <w:tcW w:w="1082" w:type="dxa"/>
            <w:tcBorders>
              <w:top w:val="single" w:sz="12" w:space="0" w:color="auto"/>
              <w:left w:val="nil"/>
              <w:bottom w:val="single" w:sz="12" w:space="0" w:color="auto"/>
              <w:right w:val="nil"/>
            </w:tcBorders>
            <w:shd w:val="clear" w:color="FFFFFF" w:fill="FFFFFF"/>
            <w:noWrap/>
            <w:vAlign w:val="center"/>
            <w:hideMark/>
          </w:tcPr>
          <w:p w14:paraId="5B9C140A"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9.0 </w:t>
            </w:r>
          </w:p>
        </w:tc>
      </w:tr>
    </w:tbl>
    <w:p w14:paraId="2907F082"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743" w:name="_Toc11336439"/>
      <w:bookmarkStart w:id="1744" w:name="_Toc14965665"/>
      <w:r w:rsidRPr="005734B8">
        <w:rPr>
          <w:rFonts w:ascii="Calibri" w:hAnsi="Calibri" w:cs="Calibri"/>
          <w:b/>
          <w:color w:val="53565A"/>
          <w:szCs w:val="18"/>
          <w:lang w:val="en-US"/>
        </w:rPr>
        <w:t>8.3.2</w:t>
      </w:r>
      <w:r w:rsidRPr="005734B8">
        <w:rPr>
          <w:rFonts w:ascii="Calibri" w:hAnsi="Calibri" w:cs="Calibri"/>
          <w:b/>
          <w:color w:val="53565A"/>
          <w:szCs w:val="18"/>
          <w:lang w:val="en-US"/>
        </w:rPr>
        <w:tab/>
        <w:t>Contingent liabilities</w:t>
      </w:r>
      <w:bookmarkEnd w:id="1743"/>
      <w:bookmarkEnd w:id="1744"/>
    </w:p>
    <w:p w14:paraId="30A28405" w14:textId="77777777" w:rsidR="00F1540A" w:rsidRPr="005734B8" w:rsidRDefault="00F1540A" w:rsidP="00F1540A">
      <w:pPr>
        <w:rPr>
          <w:rFonts w:ascii="Calibri" w:eastAsia="Arial" w:hAnsi="Calibri" w:cs="Calibri"/>
        </w:rPr>
      </w:pPr>
      <w:r w:rsidRPr="005734B8">
        <w:rPr>
          <w:rFonts w:ascii="Calibri" w:eastAsia="Arial" w:hAnsi="Calibri" w:cs="Calibri"/>
        </w:rPr>
        <w:t>Contingent liabilities are:</w:t>
      </w:r>
    </w:p>
    <w:p w14:paraId="65AF70A8" w14:textId="77777777" w:rsidR="00F1540A" w:rsidRPr="005734B8" w:rsidRDefault="00F1540A" w:rsidP="00F1540A">
      <w:pPr>
        <w:numPr>
          <w:ilvl w:val="0"/>
          <w:numId w:val="45"/>
        </w:numPr>
        <w:rPr>
          <w:rFonts w:ascii="Calibri" w:hAnsi="Calibri" w:cs="Calibri"/>
          <w:szCs w:val="18"/>
          <w:lang w:val="en-US"/>
        </w:rPr>
      </w:pPr>
      <w:r w:rsidRPr="005734B8">
        <w:rPr>
          <w:rFonts w:ascii="Calibri" w:hAnsi="Calibri" w:cs="Calibri"/>
          <w:szCs w:val="18"/>
          <w:lang w:val="en-US"/>
        </w:rPr>
        <w:t>possible obligations that arise from past events, whose existence will be confirmed only by the occurrence or non-occurrence of one or more uncertain future events not wholly within the control of the entity, or</w:t>
      </w:r>
    </w:p>
    <w:p w14:paraId="1681C9C1" w14:textId="17B8DE74" w:rsidR="00F1540A" w:rsidRPr="005734B8" w:rsidRDefault="00F1540A" w:rsidP="00F1540A">
      <w:pPr>
        <w:numPr>
          <w:ilvl w:val="0"/>
          <w:numId w:val="45"/>
        </w:numPr>
        <w:rPr>
          <w:rFonts w:ascii="Calibri" w:hAnsi="Calibri" w:cs="Calibri"/>
          <w:szCs w:val="18"/>
          <w:lang w:val="en-US"/>
        </w:rPr>
      </w:pPr>
      <w:r w:rsidRPr="005734B8">
        <w:rPr>
          <w:rFonts w:ascii="Calibri" w:hAnsi="Calibri" w:cs="Calibri"/>
          <w:szCs w:val="18"/>
          <w:lang w:val="en-US"/>
        </w:rPr>
        <w:t xml:space="preserve">present obligations that arise from past events but are not </w:t>
      </w:r>
      <w:r w:rsidR="00BB7440" w:rsidRPr="005734B8">
        <w:rPr>
          <w:rFonts w:ascii="Calibri" w:hAnsi="Calibri" w:cs="Calibri"/>
          <w:szCs w:val="18"/>
          <w:lang w:val="en-US"/>
        </w:rPr>
        <w:t>recognised</w:t>
      </w:r>
      <w:r w:rsidRPr="005734B8">
        <w:rPr>
          <w:rFonts w:ascii="Calibri" w:hAnsi="Calibri" w:cs="Calibri"/>
          <w:szCs w:val="18"/>
          <w:lang w:val="en-US"/>
        </w:rPr>
        <w:t xml:space="preserve"> because:</w:t>
      </w:r>
    </w:p>
    <w:p w14:paraId="0C25BA19" w14:textId="77777777" w:rsidR="00F1540A" w:rsidRPr="005734B8" w:rsidRDefault="00F1540A" w:rsidP="00F1540A">
      <w:pPr>
        <w:numPr>
          <w:ilvl w:val="1"/>
          <w:numId w:val="2"/>
        </w:numPr>
        <w:rPr>
          <w:rFonts w:ascii="Calibri" w:hAnsi="Calibri" w:cs="Calibri"/>
          <w:szCs w:val="18"/>
          <w:lang w:val="en-US"/>
        </w:rPr>
      </w:pPr>
      <w:r w:rsidRPr="005734B8">
        <w:rPr>
          <w:rFonts w:ascii="Calibri" w:hAnsi="Calibri" w:cs="Calibri"/>
          <w:szCs w:val="18"/>
          <w:lang w:val="en-US"/>
        </w:rPr>
        <w:t>it is not probable that an outflow of resources embodying economic benefits will be required to settle the obligations, or</w:t>
      </w:r>
    </w:p>
    <w:p w14:paraId="1E61016A" w14:textId="77777777" w:rsidR="00F1540A" w:rsidRPr="005734B8" w:rsidRDefault="00F1540A" w:rsidP="00F1540A">
      <w:pPr>
        <w:numPr>
          <w:ilvl w:val="1"/>
          <w:numId w:val="2"/>
        </w:numPr>
        <w:rPr>
          <w:rFonts w:ascii="Calibri" w:hAnsi="Calibri" w:cs="Calibri"/>
          <w:szCs w:val="18"/>
          <w:lang w:val="en-US"/>
        </w:rPr>
      </w:pPr>
      <w:r w:rsidRPr="005734B8">
        <w:rPr>
          <w:rFonts w:ascii="Calibri" w:hAnsi="Calibri" w:cs="Calibri"/>
          <w:szCs w:val="18"/>
          <w:lang w:val="en-US"/>
        </w:rPr>
        <w:t>the amount of the obligations cannot be measured with sufficient reliability.</w:t>
      </w:r>
    </w:p>
    <w:p w14:paraId="0A7FF90E" w14:textId="77777777" w:rsidR="00F1540A" w:rsidRPr="005734B8" w:rsidRDefault="00F1540A" w:rsidP="00F1540A">
      <w:pPr>
        <w:rPr>
          <w:rFonts w:ascii="Calibri" w:eastAsia="Arial" w:hAnsi="Calibri" w:cs="Calibri"/>
        </w:rPr>
      </w:pPr>
    </w:p>
    <w:p w14:paraId="24F9E1E1" w14:textId="5FAF7819" w:rsidR="00F1540A" w:rsidRPr="005734B8" w:rsidRDefault="00F1540A" w:rsidP="000F6516">
      <w:pPr>
        <w:rPr>
          <w:rFonts w:ascii="Calibri" w:eastAsia="Arial" w:hAnsi="Calibri" w:cs="Calibri"/>
        </w:rPr>
      </w:pPr>
      <w:r w:rsidRPr="005734B8">
        <w:rPr>
          <w:rFonts w:ascii="Calibri" w:eastAsia="Arial" w:hAnsi="Calibri" w:cs="Calibri"/>
        </w:rPr>
        <w:t>Contingent liabilities are also classified as either quantifiable or non-quantifiable.</w:t>
      </w:r>
    </w:p>
    <w:p w14:paraId="699F4C7E" w14:textId="77777777" w:rsidR="000F6516" w:rsidRPr="005734B8" w:rsidRDefault="000F6516" w:rsidP="000F6516">
      <w:pPr>
        <w:rPr>
          <w:rFonts w:ascii="Calibri" w:eastAsia="Arial" w:hAnsi="Calibri" w:cs="Calibri"/>
        </w:rPr>
      </w:pPr>
    </w:p>
    <w:p w14:paraId="215B3AF3" w14:textId="77777777" w:rsidR="00F1540A" w:rsidRPr="005734B8" w:rsidRDefault="00F1540A" w:rsidP="00F1540A">
      <w:pPr>
        <w:spacing w:before="80" w:after="80"/>
        <w:rPr>
          <w:rFonts w:ascii="Calibri" w:hAnsi="Calibri" w:cs="Calibri"/>
          <w:b/>
          <w:color w:val="8A2A2F"/>
          <w:szCs w:val="22"/>
          <w:lang w:val="en-US"/>
        </w:rPr>
      </w:pPr>
      <w:r w:rsidRPr="005734B8">
        <w:rPr>
          <w:rFonts w:ascii="Calibri" w:hAnsi="Calibri" w:cs="Calibri"/>
          <w:b/>
          <w:color w:val="8A2A2F"/>
          <w:szCs w:val="22"/>
          <w:lang w:val="en-US"/>
        </w:rPr>
        <w:lastRenderedPageBreak/>
        <w:t>Quantifiable contingent liabilities</w:t>
      </w:r>
    </w:p>
    <w:tbl>
      <w:tblPr>
        <w:tblW w:w="7625" w:type="dxa"/>
        <w:tblInd w:w="75" w:type="dxa"/>
        <w:tblLayout w:type="fixed"/>
        <w:tblLook w:val="04A0" w:firstRow="1" w:lastRow="0" w:firstColumn="1" w:lastColumn="0" w:noHBand="0" w:noVBand="1"/>
      </w:tblPr>
      <w:tblGrid>
        <w:gridCol w:w="5452"/>
        <w:gridCol w:w="1091"/>
        <w:gridCol w:w="1082"/>
      </w:tblGrid>
      <w:tr w:rsidR="00F1540A" w:rsidRPr="005734B8" w14:paraId="4C6096D9" w14:textId="77777777" w:rsidTr="000F48B1">
        <w:trPr>
          <w:trHeight w:val="480"/>
        </w:trPr>
        <w:tc>
          <w:tcPr>
            <w:tcW w:w="5452" w:type="dxa"/>
            <w:tcBorders>
              <w:top w:val="nil"/>
              <w:left w:val="single" w:sz="4" w:space="0" w:color="FFFFFF"/>
              <w:bottom w:val="nil"/>
              <w:right w:val="single" w:sz="4" w:space="0" w:color="FFFFFF"/>
            </w:tcBorders>
            <w:shd w:val="clear" w:color="000000" w:fill="AF272F"/>
            <w:vAlign w:val="bottom"/>
            <w:hideMark/>
          </w:tcPr>
          <w:p w14:paraId="43F13752" w14:textId="77777777" w:rsidR="00F1540A" w:rsidRPr="005734B8" w:rsidRDefault="00F1540A" w:rsidP="000F48B1">
            <w:pPr>
              <w:jc w:val="center"/>
              <w:rPr>
                <w:rFonts w:ascii="Calibri" w:hAnsi="Calibri" w:cs="Calibri"/>
                <w:b/>
                <w:color w:val="FFFFFF"/>
                <w:sz w:val="18"/>
                <w:szCs w:val="18"/>
              </w:rPr>
            </w:pPr>
            <w:bookmarkStart w:id="1745" w:name="Note_QCLTABLE1" w:colFirst="0" w:colLast="0"/>
            <w:r w:rsidRPr="005734B8">
              <w:rPr>
                <w:rFonts w:ascii="Calibri" w:hAnsi="Calibri" w:cs="Calibri"/>
                <w:b/>
                <w:color w:val="FFFFFF"/>
                <w:sz w:val="18"/>
                <w:szCs w:val="18"/>
              </w:rPr>
              <w:t> </w:t>
            </w:r>
          </w:p>
        </w:tc>
        <w:tc>
          <w:tcPr>
            <w:tcW w:w="1091" w:type="dxa"/>
            <w:tcBorders>
              <w:top w:val="nil"/>
              <w:left w:val="nil"/>
              <w:bottom w:val="nil"/>
              <w:right w:val="single" w:sz="4" w:space="0" w:color="FFFFFF"/>
            </w:tcBorders>
            <w:shd w:val="clear" w:color="000000" w:fill="AF272F"/>
            <w:hideMark/>
          </w:tcPr>
          <w:p w14:paraId="17E423BA"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82" w:type="dxa"/>
            <w:tcBorders>
              <w:top w:val="nil"/>
              <w:left w:val="nil"/>
              <w:bottom w:val="nil"/>
              <w:right w:val="single" w:sz="4" w:space="0" w:color="FFFFFF"/>
            </w:tcBorders>
            <w:shd w:val="clear" w:color="000000" w:fill="AF272F"/>
            <w:hideMark/>
          </w:tcPr>
          <w:p w14:paraId="263B4F5E"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745"/>
      <w:tr w:rsidR="00F1540A" w:rsidRPr="005734B8" w14:paraId="4124E079" w14:textId="77777777" w:rsidTr="000F48B1">
        <w:trPr>
          <w:trHeight w:val="270"/>
        </w:trPr>
        <w:tc>
          <w:tcPr>
            <w:tcW w:w="5452" w:type="dxa"/>
            <w:tcBorders>
              <w:top w:val="single" w:sz="4" w:space="0" w:color="auto"/>
              <w:left w:val="nil"/>
              <w:bottom w:val="single" w:sz="4" w:space="0" w:color="auto"/>
              <w:right w:val="nil"/>
            </w:tcBorders>
            <w:shd w:val="clear" w:color="FFFFFF" w:fill="FFFFFF"/>
            <w:vAlign w:val="center"/>
            <w:hideMark/>
          </w:tcPr>
          <w:p w14:paraId="3087EA89"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Claims for damages</w:t>
            </w:r>
          </w:p>
        </w:tc>
        <w:tc>
          <w:tcPr>
            <w:tcW w:w="1091" w:type="dxa"/>
            <w:tcBorders>
              <w:top w:val="single" w:sz="4" w:space="0" w:color="auto"/>
              <w:left w:val="single" w:sz="4" w:space="0" w:color="FFFFFF"/>
              <w:bottom w:val="single" w:sz="4" w:space="0" w:color="auto"/>
              <w:right w:val="single" w:sz="4" w:space="0" w:color="FFFFFF"/>
            </w:tcBorders>
            <w:shd w:val="clear" w:color="000000" w:fill="D9D9D9"/>
            <w:noWrap/>
            <w:vAlign w:val="center"/>
            <w:hideMark/>
          </w:tcPr>
          <w:p w14:paraId="693D4C3B"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64.5 </w:t>
            </w:r>
          </w:p>
        </w:tc>
        <w:tc>
          <w:tcPr>
            <w:tcW w:w="1082" w:type="dxa"/>
            <w:tcBorders>
              <w:top w:val="nil"/>
              <w:left w:val="nil"/>
              <w:bottom w:val="single" w:sz="4" w:space="0" w:color="auto"/>
              <w:right w:val="single" w:sz="4" w:space="0" w:color="FFFFFF"/>
            </w:tcBorders>
            <w:shd w:val="clear" w:color="FFFFFF" w:fill="FFFFFF"/>
            <w:noWrap/>
            <w:vAlign w:val="center"/>
            <w:hideMark/>
          </w:tcPr>
          <w:p w14:paraId="6FA251B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79.0 </w:t>
            </w:r>
          </w:p>
        </w:tc>
      </w:tr>
      <w:tr w:rsidR="00F1540A" w:rsidRPr="005734B8" w14:paraId="65CEA27D"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EC44E76"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quantifiable contingent liabilities</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0C02C9C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64.5 </w:t>
            </w:r>
          </w:p>
        </w:tc>
        <w:tc>
          <w:tcPr>
            <w:tcW w:w="1082" w:type="dxa"/>
            <w:tcBorders>
              <w:top w:val="single" w:sz="12" w:space="0" w:color="auto"/>
              <w:left w:val="nil"/>
              <w:bottom w:val="single" w:sz="12" w:space="0" w:color="auto"/>
              <w:right w:val="nil"/>
            </w:tcBorders>
            <w:shd w:val="clear" w:color="FFFFFF" w:fill="FFFFFF"/>
            <w:noWrap/>
            <w:vAlign w:val="center"/>
            <w:hideMark/>
          </w:tcPr>
          <w:p w14:paraId="62049B82"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79.0 </w:t>
            </w:r>
          </w:p>
        </w:tc>
      </w:tr>
    </w:tbl>
    <w:p w14:paraId="433C9490" w14:textId="77777777" w:rsidR="00F1540A" w:rsidRPr="005734B8" w:rsidRDefault="00F1540A" w:rsidP="00F1540A">
      <w:pPr>
        <w:spacing w:before="240" w:after="120" w:line="240" w:lineRule="atLeast"/>
        <w:outlineLvl w:val="2"/>
        <w:rPr>
          <w:rFonts w:ascii="Calibri" w:hAnsi="Calibri" w:cs="Calibri"/>
          <w:color w:val="53565A"/>
          <w:szCs w:val="18"/>
          <w:lang w:val="en-US"/>
        </w:rPr>
      </w:pPr>
      <w:bookmarkStart w:id="1746" w:name="_Toc11336440"/>
      <w:bookmarkStart w:id="1747" w:name="_Toc14965666"/>
      <w:r w:rsidRPr="005734B8">
        <w:rPr>
          <w:rFonts w:ascii="Calibri" w:hAnsi="Calibri" w:cs="Calibri"/>
          <w:color w:val="53565A"/>
          <w:szCs w:val="18"/>
          <w:lang w:val="en-US"/>
        </w:rPr>
        <w:t>Non-quantifiable contingent liabilities</w:t>
      </w:r>
      <w:bookmarkEnd w:id="1746"/>
      <w:bookmarkEnd w:id="1747"/>
    </w:p>
    <w:p w14:paraId="061C3B85" w14:textId="77777777" w:rsidR="00F1540A" w:rsidRPr="005734B8" w:rsidRDefault="00F1540A" w:rsidP="00F1540A">
      <w:pPr>
        <w:rPr>
          <w:rFonts w:ascii="Calibri" w:eastAsia="Arial" w:hAnsi="Calibri" w:cs="Calibri"/>
        </w:rPr>
      </w:pPr>
      <w:r w:rsidRPr="005734B8">
        <w:rPr>
          <w:rFonts w:ascii="Calibri" w:eastAsia="Arial" w:hAnsi="Calibri" w:cs="Calibri"/>
        </w:rPr>
        <w:t>The Department has several non-quantifiable contingent liabilities arising from indemnities provided by it, as follows.</w:t>
      </w:r>
    </w:p>
    <w:p w14:paraId="042423AE" w14:textId="608E25BC" w:rsidR="00F1540A" w:rsidRPr="005734B8" w:rsidRDefault="00F1540A" w:rsidP="00F1540A">
      <w:pPr>
        <w:numPr>
          <w:ilvl w:val="0"/>
          <w:numId w:val="46"/>
        </w:numPr>
        <w:rPr>
          <w:rFonts w:ascii="Calibri" w:hAnsi="Calibri" w:cs="Calibri"/>
          <w:szCs w:val="18"/>
          <w:lang w:val="en-US"/>
        </w:rPr>
      </w:pPr>
      <w:r w:rsidRPr="005734B8">
        <w:rPr>
          <w:rFonts w:ascii="Calibri" w:hAnsi="Calibri" w:cs="Calibri"/>
          <w:szCs w:val="18"/>
          <w:lang w:val="en-US"/>
        </w:rPr>
        <w:t>Volunteer school workers and volunteer student workers: Th</w:t>
      </w:r>
      <w:r w:rsidR="00F637BA">
        <w:rPr>
          <w:rFonts w:ascii="Calibri" w:hAnsi="Calibri" w:cs="Calibri"/>
          <w:szCs w:val="18"/>
          <w:lang w:val="en-US"/>
        </w:rPr>
        <w:t xml:space="preserve">e </w:t>
      </w:r>
      <w:r w:rsidR="00F637BA" w:rsidRPr="005734B8">
        <w:rPr>
          <w:rFonts w:ascii="Calibri" w:hAnsi="Calibri" w:cs="Calibri"/>
          <w:szCs w:val="18"/>
          <w:lang w:val="en-US"/>
        </w:rPr>
        <w:t>Education and Training Reform Act</w:t>
      </w:r>
      <w:r w:rsidRPr="005734B8">
        <w:rPr>
          <w:rFonts w:ascii="Calibri" w:hAnsi="Calibri" w:cs="Calibri"/>
          <w:i/>
          <w:iCs/>
          <w:szCs w:val="18"/>
          <w:lang w:val="en-US"/>
        </w:rPr>
        <w:t xml:space="preserve"> </w:t>
      </w:r>
      <w:r w:rsidRPr="005734B8">
        <w:rPr>
          <w:rFonts w:ascii="Calibri" w:hAnsi="Calibri" w:cs="Calibri"/>
          <w:szCs w:val="18"/>
          <w:lang w:val="en-US"/>
        </w:rPr>
        <w:t>provides a specific indemnity for personal injuries or death (and at the discretion of the Minister, for property damage) suffered by volunteer school workers and volunteer student workers arising out of, or in the course of engaging in</w:t>
      </w:r>
      <w:r w:rsidR="006E0A5C" w:rsidRPr="005734B8">
        <w:rPr>
          <w:rFonts w:ascii="Calibri" w:hAnsi="Calibri" w:cs="Calibri"/>
          <w:szCs w:val="18"/>
          <w:lang w:val="en-US"/>
        </w:rPr>
        <w:t>,</w:t>
      </w:r>
      <w:r w:rsidRPr="005734B8">
        <w:rPr>
          <w:rFonts w:ascii="Calibri" w:hAnsi="Calibri" w:cs="Calibri"/>
          <w:szCs w:val="18"/>
          <w:lang w:val="en-US"/>
        </w:rPr>
        <w:t xml:space="preserve"> school work or community work respectively.</w:t>
      </w:r>
    </w:p>
    <w:p w14:paraId="79796CD3" w14:textId="04755CFC" w:rsidR="00F1540A" w:rsidRPr="005734B8" w:rsidRDefault="00F1540A" w:rsidP="00F1540A">
      <w:pPr>
        <w:numPr>
          <w:ilvl w:val="0"/>
          <w:numId w:val="46"/>
        </w:numPr>
        <w:rPr>
          <w:rFonts w:ascii="Calibri" w:hAnsi="Calibri" w:cs="Calibri"/>
          <w:szCs w:val="18"/>
          <w:lang w:val="en-US"/>
        </w:rPr>
      </w:pPr>
      <w:r w:rsidRPr="005734B8">
        <w:rPr>
          <w:rFonts w:ascii="Calibri" w:hAnsi="Calibri" w:cs="Calibri"/>
          <w:szCs w:val="18"/>
          <w:lang w:val="en-US"/>
        </w:rPr>
        <w:t xml:space="preserve">Teaching service and public service employees: If a </w:t>
      </w:r>
      <w:r w:rsidR="006E0A5C" w:rsidRPr="005734B8">
        <w:rPr>
          <w:rFonts w:ascii="Calibri" w:hAnsi="Calibri" w:cs="Calibri"/>
          <w:szCs w:val="18"/>
          <w:lang w:val="en-US"/>
        </w:rPr>
        <w:t>d</w:t>
      </w:r>
      <w:r w:rsidRPr="005734B8">
        <w:rPr>
          <w:rFonts w:ascii="Calibri" w:hAnsi="Calibri" w:cs="Calibri"/>
          <w:szCs w:val="18"/>
          <w:lang w:val="en-US"/>
        </w:rPr>
        <w:t>epartmental employee is named as a defendant in a civil proceeding (for example</w:t>
      </w:r>
      <w:r w:rsidR="00B97F79" w:rsidRPr="005734B8">
        <w:rPr>
          <w:rFonts w:ascii="Calibri" w:hAnsi="Calibri" w:cs="Calibri"/>
          <w:szCs w:val="18"/>
          <w:lang w:val="en-US"/>
        </w:rPr>
        <w:t>,</w:t>
      </w:r>
      <w:r w:rsidR="006E0A5C" w:rsidRPr="005734B8">
        <w:rPr>
          <w:rFonts w:ascii="Calibri" w:hAnsi="Calibri" w:cs="Calibri"/>
          <w:szCs w:val="18"/>
          <w:lang w:val="en-US"/>
        </w:rPr>
        <w:t xml:space="preserve"> a</w:t>
      </w:r>
      <w:r w:rsidRPr="005734B8">
        <w:rPr>
          <w:rFonts w:ascii="Calibri" w:hAnsi="Calibri" w:cs="Calibri"/>
          <w:szCs w:val="18"/>
          <w:lang w:val="en-US"/>
        </w:rPr>
        <w:t xml:space="preserve"> personal injury, discrimination or employment claim)</w:t>
      </w:r>
      <w:r w:rsidR="006E0A5C" w:rsidRPr="005734B8">
        <w:rPr>
          <w:rFonts w:ascii="Calibri" w:hAnsi="Calibri" w:cs="Calibri"/>
          <w:szCs w:val="18"/>
          <w:lang w:val="en-US"/>
        </w:rPr>
        <w:t>,</w:t>
      </w:r>
      <w:r w:rsidRPr="005734B8">
        <w:rPr>
          <w:rFonts w:ascii="Calibri" w:hAnsi="Calibri" w:cs="Calibri"/>
          <w:szCs w:val="18"/>
          <w:lang w:val="en-US"/>
        </w:rPr>
        <w:t xml:space="preserve"> any costs and damages will generally be paid by the Department</w:t>
      </w:r>
      <w:r w:rsidR="006E0A5C" w:rsidRPr="005734B8">
        <w:rPr>
          <w:rFonts w:ascii="Calibri" w:hAnsi="Calibri" w:cs="Calibri"/>
          <w:szCs w:val="18"/>
          <w:lang w:val="en-US"/>
        </w:rPr>
        <w:t>,</w:t>
      </w:r>
      <w:r w:rsidRPr="005734B8">
        <w:rPr>
          <w:rFonts w:ascii="Calibri" w:hAnsi="Calibri" w:cs="Calibri"/>
          <w:szCs w:val="18"/>
          <w:lang w:val="en-US"/>
        </w:rPr>
        <w:t xml:space="preserve"> provided the employee was not under the influence of illicit drugs or alcohol or engaging in a criminal offence</w:t>
      </w:r>
      <w:r w:rsidR="006E0A5C" w:rsidRPr="005734B8">
        <w:rPr>
          <w:rFonts w:ascii="Calibri" w:hAnsi="Calibri" w:cs="Calibri"/>
          <w:szCs w:val="18"/>
          <w:lang w:val="en-US"/>
        </w:rPr>
        <w:t>,</w:t>
      </w:r>
      <w:r w:rsidRPr="005734B8">
        <w:rPr>
          <w:rFonts w:ascii="Calibri" w:hAnsi="Calibri" w:cs="Calibri"/>
          <w:szCs w:val="18"/>
          <w:lang w:val="en-US"/>
        </w:rPr>
        <w:t xml:space="preserve"> and the behaviour was not outrageous and was related to their employment.</w:t>
      </w:r>
    </w:p>
    <w:p w14:paraId="4250D7B5" w14:textId="1272B606" w:rsidR="00F1540A" w:rsidRPr="005734B8" w:rsidRDefault="00F1540A" w:rsidP="00F1540A">
      <w:pPr>
        <w:numPr>
          <w:ilvl w:val="0"/>
          <w:numId w:val="46"/>
        </w:numPr>
        <w:contextualSpacing/>
        <w:rPr>
          <w:rFonts w:ascii="Calibri" w:hAnsi="Calibri" w:cs="Calibri"/>
          <w:szCs w:val="18"/>
          <w:lang w:val="en-US"/>
        </w:rPr>
      </w:pPr>
      <w:r w:rsidRPr="005734B8">
        <w:rPr>
          <w:rFonts w:ascii="Calibri" w:hAnsi="Calibri" w:cs="Calibri"/>
          <w:szCs w:val="18"/>
          <w:lang w:val="en-US"/>
        </w:rPr>
        <w:t>Board members: The Education and Training Reform Act requires the State to indemnify a member of a Merit Protection Board or a Disciplinary Appeals Board for anything done or omitted to be done in good faith in the exercise of a power or the discharge of their statutory duties</w:t>
      </w:r>
      <w:r w:rsidR="006E0A5C" w:rsidRPr="005734B8">
        <w:rPr>
          <w:rFonts w:ascii="Calibri" w:hAnsi="Calibri" w:cs="Calibri"/>
          <w:szCs w:val="18"/>
          <w:lang w:val="en-US"/>
        </w:rPr>
        <w:t>.</w:t>
      </w:r>
    </w:p>
    <w:p w14:paraId="32701ABD" w14:textId="6B8BB2F3" w:rsidR="00F1540A" w:rsidRPr="005734B8" w:rsidRDefault="00F1540A" w:rsidP="00F1540A">
      <w:pPr>
        <w:numPr>
          <w:ilvl w:val="0"/>
          <w:numId w:val="46"/>
        </w:numPr>
        <w:rPr>
          <w:rFonts w:ascii="Calibri" w:hAnsi="Calibri" w:cs="Calibri"/>
          <w:szCs w:val="18"/>
          <w:lang w:val="en-US"/>
        </w:rPr>
      </w:pPr>
      <w:r w:rsidRPr="005734B8">
        <w:rPr>
          <w:rFonts w:ascii="Calibri" w:hAnsi="Calibri" w:cs="Calibri"/>
          <w:szCs w:val="18"/>
          <w:lang w:val="en-US"/>
        </w:rPr>
        <w:t xml:space="preserve">School councils: The Education and Training Reform Act requires the Department to indemnify individual members of school councils for any legal liability, whether in contract, negligence or defamation, if they acted in good faith and in the exercise of their powers or functions. The Department may decide to indemnify school councils (which are separate entities </w:t>
      </w:r>
      <w:r w:rsidR="006E0A5C" w:rsidRPr="005734B8">
        <w:rPr>
          <w:rFonts w:ascii="Calibri" w:hAnsi="Calibri" w:cs="Calibri"/>
          <w:szCs w:val="18"/>
          <w:lang w:val="en-US"/>
        </w:rPr>
        <w:t>from</w:t>
      </w:r>
      <w:r w:rsidRPr="005734B8">
        <w:rPr>
          <w:rFonts w:ascii="Calibri" w:hAnsi="Calibri" w:cs="Calibri"/>
          <w:szCs w:val="18"/>
          <w:lang w:val="en-US"/>
        </w:rPr>
        <w:t xml:space="preserve"> the Department), in claims of common law negligence, employment disputes and other civil claims, for the cost of settlement and/or legal representation. The Department will take into account the impact of payment upon the school’s educational program and any insurance cover for the school council, and will likely indemnify if the Department is satisfied that:</w:t>
      </w:r>
    </w:p>
    <w:p w14:paraId="11BE924A" w14:textId="77777777" w:rsidR="00F1540A" w:rsidRPr="005734B8" w:rsidRDefault="00F1540A" w:rsidP="00F1540A">
      <w:pPr>
        <w:numPr>
          <w:ilvl w:val="1"/>
          <w:numId w:val="2"/>
        </w:numPr>
        <w:rPr>
          <w:rFonts w:ascii="Calibri" w:hAnsi="Calibri" w:cs="Calibri"/>
          <w:szCs w:val="18"/>
          <w:lang w:val="en-US"/>
        </w:rPr>
      </w:pPr>
      <w:r w:rsidRPr="005734B8">
        <w:rPr>
          <w:rFonts w:ascii="Calibri" w:hAnsi="Calibri" w:cs="Calibri"/>
          <w:szCs w:val="18"/>
          <w:lang w:val="en-US"/>
        </w:rPr>
        <w:t>the school council acted in good faith and according to issued guidelines and directions</w:t>
      </w:r>
    </w:p>
    <w:p w14:paraId="56FEDB40" w14:textId="77777777" w:rsidR="00F1540A" w:rsidRPr="005734B8" w:rsidRDefault="00F1540A" w:rsidP="00F1540A">
      <w:pPr>
        <w:numPr>
          <w:ilvl w:val="1"/>
          <w:numId w:val="2"/>
        </w:numPr>
        <w:rPr>
          <w:rFonts w:ascii="Calibri" w:hAnsi="Calibri" w:cs="Calibri"/>
          <w:szCs w:val="18"/>
          <w:lang w:val="en-US"/>
        </w:rPr>
      </w:pPr>
      <w:r w:rsidRPr="005734B8">
        <w:rPr>
          <w:rFonts w:ascii="Calibri" w:hAnsi="Calibri" w:cs="Calibri"/>
          <w:szCs w:val="18"/>
          <w:lang w:val="en-US"/>
        </w:rPr>
        <w:t>the school council has insufficient funds to pay the claim.</w:t>
      </w:r>
    </w:p>
    <w:p w14:paraId="0A2E1333" w14:textId="4CCD16A2" w:rsidR="00F1540A" w:rsidRPr="005734B8" w:rsidRDefault="00F1540A" w:rsidP="00F1540A">
      <w:pPr>
        <w:numPr>
          <w:ilvl w:val="0"/>
          <w:numId w:val="46"/>
        </w:numPr>
        <w:contextualSpacing/>
        <w:rPr>
          <w:rFonts w:ascii="Calibri" w:hAnsi="Calibri" w:cs="Calibri"/>
          <w:szCs w:val="18"/>
          <w:lang w:val="en-US"/>
        </w:rPr>
      </w:pPr>
      <w:r w:rsidRPr="005734B8">
        <w:rPr>
          <w:rFonts w:ascii="Calibri" w:hAnsi="Calibri" w:cs="Calibri"/>
          <w:szCs w:val="18"/>
          <w:lang w:val="en-US"/>
        </w:rPr>
        <w:t>TAFEs: The Department issued letters of comfort to support eight TAFEs financially until 30 April 2022 to ensure their financial statements have been prepared on a going concern basis which assumes these TAFE</w:t>
      </w:r>
      <w:r w:rsidR="006E0A5C" w:rsidRPr="005734B8">
        <w:rPr>
          <w:rFonts w:ascii="Calibri" w:hAnsi="Calibri" w:cs="Calibri"/>
          <w:szCs w:val="18"/>
          <w:lang w:val="en-US"/>
        </w:rPr>
        <w:t>s</w:t>
      </w:r>
      <w:r w:rsidRPr="005734B8">
        <w:rPr>
          <w:rFonts w:ascii="Calibri" w:hAnsi="Calibri" w:cs="Calibri"/>
          <w:szCs w:val="18"/>
          <w:lang w:val="en-US"/>
        </w:rPr>
        <w:t xml:space="preserve"> will be able to realise </w:t>
      </w:r>
      <w:r w:rsidR="006E0A5C" w:rsidRPr="005734B8">
        <w:rPr>
          <w:rFonts w:ascii="Calibri" w:hAnsi="Calibri" w:cs="Calibri"/>
          <w:szCs w:val="18"/>
          <w:lang w:val="en-US"/>
        </w:rPr>
        <w:t>their</w:t>
      </w:r>
      <w:r w:rsidRPr="005734B8">
        <w:rPr>
          <w:rFonts w:ascii="Calibri" w:hAnsi="Calibri" w:cs="Calibri"/>
          <w:szCs w:val="18"/>
          <w:lang w:val="en-US"/>
        </w:rPr>
        <w:t xml:space="preserve"> assets and discharge </w:t>
      </w:r>
      <w:r w:rsidR="006E0A5C" w:rsidRPr="005734B8">
        <w:rPr>
          <w:rFonts w:ascii="Calibri" w:hAnsi="Calibri" w:cs="Calibri"/>
          <w:szCs w:val="18"/>
          <w:lang w:val="en-US"/>
        </w:rPr>
        <w:t>their</w:t>
      </w:r>
      <w:r w:rsidRPr="005734B8">
        <w:rPr>
          <w:rFonts w:ascii="Calibri" w:hAnsi="Calibri" w:cs="Calibri"/>
          <w:szCs w:val="18"/>
          <w:lang w:val="en-US"/>
        </w:rPr>
        <w:t xml:space="preserve"> liabilities in the normal course of business for the foreseeable future. TAFE</w:t>
      </w:r>
      <w:r w:rsidR="006E0A5C" w:rsidRPr="005734B8">
        <w:rPr>
          <w:rFonts w:ascii="Calibri" w:hAnsi="Calibri" w:cs="Calibri"/>
          <w:szCs w:val="18"/>
          <w:lang w:val="en-US"/>
        </w:rPr>
        <w:t>s</w:t>
      </w:r>
      <w:r w:rsidRPr="005734B8">
        <w:rPr>
          <w:rFonts w:ascii="Calibri" w:hAnsi="Calibri" w:cs="Calibri"/>
          <w:szCs w:val="18"/>
          <w:lang w:val="en-US"/>
        </w:rPr>
        <w:t xml:space="preserve"> </w:t>
      </w:r>
      <w:r w:rsidR="006E0A5C" w:rsidRPr="005734B8">
        <w:rPr>
          <w:rFonts w:ascii="Calibri" w:hAnsi="Calibri" w:cs="Calibri"/>
          <w:szCs w:val="18"/>
          <w:lang w:val="en-US"/>
        </w:rPr>
        <w:t>that</w:t>
      </w:r>
      <w:r w:rsidRPr="005734B8">
        <w:rPr>
          <w:rFonts w:ascii="Calibri" w:hAnsi="Calibri" w:cs="Calibri"/>
          <w:szCs w:val="18"/>
          <w:lang w:val="en-US"/>
        </w:rPr>
        <w:t xml:space="preserve"> received letters of comfort are Bendigo Kangan, Box Hill, GOTAFE, Melbourne Poly, South West, SuniTAFE, TAFE Gippsland and William Angliss.</w:t>
      </w:r>
    </w:p>
    <w:p w14:paraId="24A3430D" w14:textId="77777777" w:rsidR="00F1540A" w:rsidRPr="005734B8" w:rsidRDefault="00F1540A" w:rsidP="00F1540A">
      <w:pPr>
        <w:spacing w:before="120" w:after="120"/>
        <w:rPr>
          <w:rFonts w:ascii="Calibri" w:hAnsi="Calibri" w:cs="Calibri"/>
        </w:rPr>
      </w:pPr>
      <w:r w:rsidRPr="005734B8">
        <w:rPr>
          <w:rFonts w:ascii="Calibri" w:hAnsi="Calibri" w:cs="Calibri"/>
        </w:rPr>
        <w:br w:type="page"/>
      </w:r>
    </w:p>
    <w:p w14:paraId="0E3111F9" w14:textId="77777777" w:rsidR="005E5773" w:rsidRPr="005734B8" w:rsidRDefault="00F1540A" w:rsidP="00CE3E19">
      <w:pPr>
        <w:pStyle w:val="Note"/>
        <w:ind w:left="709" w:right="-1" w:hanging="709"/>
        <w:rPr>
          <w:rFonts w:cs="Calibri"/>
          <w:b w:val="0"/>
        </w:rPr>
      </w:pPr>
      <w:bookmarkStart w:id="1748" w:name="_Toc58243458"/>
      <w:bookmarkStart w:id="1749" w:name="_Toc72958108"/>
      <w:bookmarkStart w:id="1750" w:name="_Toc72958156"/>
      <w:bookmarkStart w:id="1751" w:name="_Toc80272095"/>
      <w:bookmarkStart w:id="1752" w:name="_Toc81315396"/>
      <w:bookmarkStart w:id="1753" w:name="_Toc11158320"/>
      <w:bookmarkStart w:id="1754" w:name="_Toc11336506"/>
      <w:bookmarkStart w:id="1755" w:name="_Toc13656744"/>
      <w:bookmarkStart w:id="1756" w:name="_Toc14965732"/>
      <w:bookmarkStart w:id="1757" w:name="_Toc15985331"/>
      <w:bookmarkStart w:id="1758" w:name="_Toc19272305"/>
      <w:bookmarkStart w:id="1759" w:name="_Toc19272671"/>
      <w:bookmarkStart w:id="1760" w:name="_Toc19274006"/>
      <w:bookmarkStart w:id="1761" w:name="_Toc48402862"/>
      <w:bookmarkStart w:id="1762" w:name="_Toc48403099"/>
      <w:bookmarkStart w:id="1763" w:name="_Toc51332842"/>
      <w:bookmarkEnd w:id="1678"/>
      <w:bookmarkEnd w:id="1679"/>
      <w:bookmarkEnd w:id="1680"/>
      <w:bookmarkEnd w:id="1681"/>
      <w:bookmarkEnd w:id="1682"/>
      <w:bookmarkEnd w:id="1683"/>
      <w:r w:rsidRPr="005734B8">
        <w:rPr>
          <w:rFonts w:cs="Calibri"/>
        </w:rPr>
        <w:lastRenderedPageBreak/>
        <w:t>Other disclosures</w:t>
      </w:r>
      <w:bookmarkEnd w:id="1748"/>
      <w:bookmarkEnd w:id="1749"/>
      <w:bookmarkEnd w:id="1750"/>
      <w:bookmarkEnd w:id="1751"/>
      <w:bookmarkEnd w:id="1752"/>
    </w:p>
    <w:p w14:paraId="4E38D052" w14:textId="41484FFA" w:rsidR="00F1540A" w:rsidRPr="005734B8" w:rsidRDefault="000E29FE" w:rsidP="005E5773">
      <w:pPr>
        <w:rPr>
          <w:rFonts w:ascii="Calibri" w:eastAsia="Arial" w:hAnsi="Calibri" w:cs="Calibri"/>
          <w:bCs/>
        </w:rPr>
      </w:pPr>
      <w:r w:rsidRPr="005734B8">
        <w:rPr>
          <w:rFonts w:ascii="Calibri" w:eastAsia="Arial" w:hAnsi="Calibri" w:cs="Calibri"/>
          <w:bCs/>
        </w:rPr>
        <w:fldChar w:fldCharType="begin"/>
      </w:r>
      <w:r w:rsidRPr="005734B8">
        <w:rPr>
          <w:rFonts w:ascii="Calibri" w:eastAsia="Arial" w:hAnsi="Calibri" w:cs="Calibri"/>
          <w:bCs/>
        </w:rPr>
        <w:instrText xml:space="preserve"> TC  "</w:instrText>
      </w:r>
      <w:bookmarkStart w:id="1764" w:name="_Toc80718041"/>
      <w:r w:rsidRPr="005734B8">
        <w:rPr>
          <w:rFonts w:ascii="Calibri" w:eastAsia="Arial" w:hAnsi="Calibri" w:cs="Calibri"/>
          <w:bCs/>
        </w:rPr>
        <w:instrText xml:space="preserve">Note </w:instrText>
      </w:r>
      <w:r w:rsidR="001F5912" w:rsidRPr="005734B8">
        <w:rPr>
          <w:rFonts w:ascii="Calibri" w:eastAsia="Arial" w:hAnsi="Calibri" w:cs="Calibri"/>
          <w:bCs/>
        </w:rPr>
        <w:instrText>9</w:instrText>
      </w:r>
      <w:r w:rsidR="001F5912" w:rsidRPr="005734B8">
        <w:rPr>
          <w:rFonts w:ascii="Calibri" w:eastAsia="Arial" w:hAnsi="Calibri" w:cs="Calibri"/>
          <w:bCs/>
        </w:rPr>
        <w:tab/>
      </w:r>
      <w:r w:rsidRPr="005734B8">
        <w:rPr>
          <w:rFonts w:ascii="Calibri" w:eastAsia="Arial" w:hAnsi="Calibri" w:cs="Calibri"/>
          <w:bCs/>
        </w:rPr>
        <w:tab/>
      </w:r>
      <w:r w:rsidR="001F5912" w:rsidRPr="005734B8">
        <w:rPr>
          <w:rFonts w:ascii="Calibri" w:eastAsia="Arial" w:hAnsi="Calibri" w:cs="Calibri"/>
          <w:bCs/>
        </w:rPr>
        <w:instrText>Other disclosures</w:instrText>
      </w:r>
      <w:bookmarkEnd w:id="1764"/>
      <w:r w:rsidRPr="005734B8">
        <w:rPr>
          <w:rFonts w:ascii="Calibri" w:eastAsia="Arial" w:hAnsi="Calibri" w:cs="Calibri"/>
          <w:bCs/>
        </w:rPr>
        <w:instrText xml:space="preserve">" \f X \l 1 </w:instrText>
      </w:r>
      <w:r w:rsidRPr="005734B8">
        <w:rPr>
          <w:rFonts w:ascii="Calibri" w:eastAsia="Arial" w:hAnsi="Calibri" w:cs="Calibri"/>
          <w:bCs/>
        </w:rPr>
        <w:fldChar w:fldCharType="end"/>
      </w:r>
    </w:p>
    <w:tbl>
      <w:tblPr>
        <w:tblStyle w:val="TableGrid6"/>
        <w:tblpPr w:leftFromText="180" w:rightFromText="180" w:vertAnchor="page" w:horzAnchor="margin" w:tblpY="2137"/>
        <w:tblW w:w="7803" w:type="dxa"/>
        <w:tblLook w:val="04A0" w:firstRow="1" w:lastRow="0" w:firstColumn="1" w:lastColumn="0" w:noHBand="0" w:noVBand="1"/>
      </w:tblPr>
      <w:tblGrid>
        <w:gridCol w:w="4247"/>
        <w:gridCol w:w="3556"/>
      </w:tblGrid>
      <w:tr w:rsidR="002B13F6" w:rsidRPr="005734B8" w14:paraId="118362D1" w14:textId="77777777" w:rsidTr="00E32431">
        <w:trPr>
          <w:trHeight w:val="2500"/>
        </w:trPr>
        <w:tc>
          <w:tcPr>
            <w:tcW w:w="4247" w:type="dxa"/>
            <w:tcBorders>
              <w:bottom w:val="single" w:sz="4" w:space="0" w:color="auto"/>
              <w:right w:val="nil"/>
            </w:tcBorders>
          </w:tcPr>
          <w:p w14:paraId="3BFA09C5" w14:textId="77777777" w:rsidR="002B13F6" w:rsidRPr="005734B8" w:rsidRDefault="002B13F6" w:rsidP="00E32431">
            <w:pPr>
              <w:keepNext/>
              <w:tabs>
                <w:tab w:val="left" w:pos="361"/>
              </w:tabs>
              <w:spacing w:after="90" w:line="220" w:lineRule="atLeast"/>
              <w:outlineLvl w:val="3"/>
              <w:rPr>
                <w:rFonts w:ascii="Calibri" w:hAnsi="Calibri" w:cs="Calibri"/>
                <w:b/>
                <w:color w:val="8A2A2F"/>
                <w:sz w:val="18"/>
                <w:szCs w:val="18"/>
              </w:rPr>
            </w:pPr>
            <w:bookmarkStart w:id="1765" w:name="_Toc11336442"/>
            <w:bookmarkStart w:id="1766" w:name="_Toc11336599"/>
            <w:bookmarkStart w:id="1767" w:name="_Toc13647203"/>
            <w:bookmarkStart w:id="1768" w:name="_Toc13656735"/>
            <w:bookmarkStart w:id="1769" w:name="_Toc13656897"/>
            <w:bookmarkStart w:id="1770" w:name="_Toc14965668"/>
            <w:bookmarkStart w:id="1771" w:name="_Toc15985322"/>
            <w:bookmarkStart w:id="1772" w:name="_Toc16231973"/>
            <w:r w:rsidRPr="005734B8">
              <w:rPr>
                <w:rFonts w:ascii="Calibri" w:hAnsi="Calibri" w:cs="Calibri"/>
                <w:b/>
                <w:color w:val="8A2A2F"/>
                <w:sz w:val="18"/>
                <w:szCs w:val="18"/>
              </w:rPr>
              <w:t>Introduction</w:t>
            </w:r>
          </w:p>
          <w:p w14:paraId="0255AC5A" w14:textId="77777777" w:rsidR="002B13F6" w:rsidRPr="005734B8" w:rsidRDefault="002B13F6" w:rsidP="00E32431">
            <w:pPr>
              <w:spacing w:after="90"/>
              <w:rPr>
                <w:rFonts w:ascii="Calibri" w:hAnsi="Calibri" w:cs="Calibri"/>
                <w:sz w:val="18"/>
                <w:szCs w:val="18"/>
              </w:rPr>
            </w:pPr>
            <w:r w:rsidRPr="005734B8">
              <w:rPr>
                <w:rFonts w:ascii="Calibri" w:hAnsi="Calibri" w:cs="Calibri"/>
                <w:sz w:val="18"/>
                <w:szCs w:val="18"/>
              </w:rPr>
              <w:t>This section includes additional material disclosures required by accounting standards or otherwise, for the understanding of this financial report.</w:t>
            </w:r>
          </w:p>
          <w:p w14:paraId="2BC1ADBF" w14:textId="77777777" w:rsidR="002B13F6" w:rsidRPr="005734B8" w:rsidRDefault="002B13F6" w:rsidP="00E32431">
            <w:pPr>
              <w:keepNext/>
              <w:tabs>
                <w:tab w:val="left" w:pos="361"/>
              </w:tabs>
              <w:spacing w:after="90" w:line="220" w:lineRule="atLeast"/>
              <w:outlineLvl w:val="3"/>
              <w:rPr>
                <w:rFonts w:ascii="Calibri" w:hAnsi="Calibri" w:cs="Calibri"/>
                <w:b/>
                <w:color w:val="8A2A2F"/>
                <w:sz w:val="18"/>
                <w:szCs w:val="18"/>
              </w:rPr>
            </w:pPr>
            <w:r w:rsidRPr="005734B8">
              <w:rPr>
                <w:rFonts w:ascii="Calibri" w:hAnsi="Calibri" w:cs="Calibri"/>
                <w:b/>
                <w:color w:val="8A2A2F"/>
                <w:sz w:val="18"/>
                <w:szCs w:val="18"/>
              </w:rPr>
              <w:t>Structure</w:t>
            </w:r>
          </w:p>
          <w:p w14:paraId="403342F1" w14:textId="77777777" w:rsidR="002B13F6" w:rsidRPr="005734B8" w:rsidRDefault="002B13F6" w:rsidP="00E32431">
            <w:pPr>
              <w:spacing w:after="90"/>
              <w:rPr>
                <w:rFonts w:ascii="Calibri" w:hAnsi="Calibri" w:cs="Calibri"/>
                <w:sz w:val="18"/>
                <w:szCs w:val="18"/>
              </w:rPr>
            </w:pPr>
            <w:r w:rsidRPr="005734B8">
              <w:rPr>
                <w:rFonts w:ascii="Calibri" w:hAnsi="Calibri" w:cs="Calibri"/>
                <w:sz w:val="18"/>
                <w:szCs w:val="18"/>
              </w:rPr>
              <w:t>9.1 Subsequent events</w:t>
            </w:r>
          </w:p>
          <w:p w14:paraId="099BFE22" w14:textId="77777777" w:rsidR="002B13F6" w:rsidRPr="005734B8" w:rsidRDefault="002B13F6" w:rsidP="00E32431">
            <w:pPr>
              <w:spacing w:after="90"/>
              <w:rPr>
                <w:rFonts w:ascii="Calibri" w:hAnsi="Calibri" w:cs="Calibri"/>
                <w:sz w:val="18"/>
                <w:szCs w:val="18"/>
              </w:rPr>
            </w:pPr>
            <w:r w:rsidRPr="005734B8">
              <w:rPr>
                <w:rFonts w:ascii="Calibri" w:hAnsi="Calibri" w:cs="Calibri"/>
                <w:sz w:val="18"/>
                <w:szCs w:val="18"/>
              </w:rPr>
              <w:t>9.2 Other economic flows included in net results</w:t>
            </w:r>
          </w:p>
          <w:p w14:paraId="40710504" w14:textId="27A5D411" w:rsidR="002B13F6" w:rsidRPr="005734B8" w:rsidRDefault="002B13F6" w:rsidP="00E32431">
            <w:pPr>
              <w:spacing w:after="90"/>
              <w:rPr>
                <w:rFonts w:ascii="Calibri" w:hAnsi="Calibri" w:cs="Calibri"/>
                <w:sz w:val="18"/>
                <w:szCs w:val="18"/>
              </w:rPr>
            </w:pPr>
            <w:r w:rsidRPr="005734B8">
              <w:rPr>
                <w:rFonts w:ascii="Calibri" w:hAnsi="Calibri" w:cs="Calibri"/>
                <w:sz w:val="18"/>
                <w:szCs w:val="18"/>
              </w:rPr>
              <w:t>9.3 Remuneration of executives and other personnel</w:t>
            </w:r>
          </w:p>
          <w:p w14:paraId="1FC55D5B" w14:textId="471EB2BF" w:rsidR="006E0A5C" w:rsidRPr="005734B8" w:rsidRDefault="006E0A5C" w:rsidP="006E0A5C">
            <w:pPr>
              <w:spacing w:after="90"/>
              <w:rPr>
                <w:rFonts w:ascii="Calibri" w:hAnsi="Calibri" w:cs="Calibri"/>
                <w:sz w:val="18"/>
                <w:szCs w:val="18"/>
              </w:rPr>
            </w:pPr>
            <w:r w:rsidRPr="005734B8">
              <w:rPr>
                <w:rFonts w:ascii="Calibri" w:hAnsi="Calibri" w:cs="Calibri"/>
                <w:sz w:val="18"/>
                <w:szCs w:val="18"/>
              </w:rPr>
              <w:t>9.4 Responsible persons</w:t>
            </w:r>
          </w:p>
          <w:p w14:paraId="4ADA39CD" w14:textId="77777777" w:rsidR="002B13F6" w:rsidRPr="005734B8" w:rsidRDefault="002B13F6" w:rsidP="00E32431">
            <w:pPr>
              <w:spacing w:after="90"/>
              <w:rPr>
                <w:rFonts w:ascii="Calibri" w:hAnsi="Calibri" w:cs="Calibri"/>
                <w:sz w:val="18"/>
                <w:szCs w:val="18"/>
              </w:rPr>
            </w:pPr>
          </w:p>
        </w:tc>
        <w:tc>
          <w:tcPr>
            <w:tcW w:w="3556" w:type="dxa"/>
            <w:tcBorders>
              <w:left w:val="nil"/>
              <w:bottom w:val="single" w:sz="4" w:space="0" w:color="auto"/>
            </w:tcBorders>
          </w:tcPr>
          <w:p w14:paraId="5C12A211" w14:textId="77777777" w:rsidR="002B13F6" w:rsidRPr="005734B8" w:rsidRDefault="002B13F6" w:rsidP="00E32431">
            <w:pPr>
              <w:spacing w:after="90"/>
              <w:rPr>
                <w:rFonts w:ascii="Calibri" w:hAnsi="Calibri" w:cs="Calibri"/>
                <w:sz w:val="18"/>
                <w:szCs w:val="18"/>
              </w:rPr>
            </w:pPr>
            <w:r w:rsidRPr="005734B8">
              <w:rPr>
                <w:rFonts w:ascii="Calibri" w:hAnsi="Calibri" w:cs="Calibri"/>
                <w:sz w:val="18"/>
                <w:szCs w:val="18"/>
              </w:rPr>
              <w:t>9.5 Related parties</w:t>
            </w:r>
          </w:p>
          <w:p w14:paraId="51E04CAD" w14:textId="77777777" w:rsidR="002B13F6" w:rsidRPr="005734B8" w:rsidRDefault="002B13F6" w:rsidP="00E32431">
            <w:pPr>
              <w:spacing w:after="90"/>
              <w:rPr>
                <w:rFonts w:ascii="Calibri" w:hAnsi="Calibri" w:cs="Calibri"/>
                <w:sz w:val="18"/>
                <w:szCs w:val="18"/>
              </w:rPr>
            </w:pPr>
            <w:r w:rsidRPr="005734B8">
              <w:rPr>
                <w:rFonts w:ascii="Calibri" w:hAnsi="Calibri" w:cs="Calibri"/>
                <w:sz w:val="18"/>
                <w:szCs w:val="18"/>
              </w:rPr>
              <w:t>9.6 Reserves</w:t>
            </w:r>
          </w:p>
          <w:p w14:paraId="24EA7545" w14:textId="77777777" w:rsidR="002B13F6" w:rsidRPr="005734B8" w:rsidRDefault="002B13F6" w:rsidP="00E32431">
            <w:pPr>
              <w:spacing w:after="90"/>
              <w:rPr>
                <w:rFonts w:ascii="Calibri" w:hAnsi="Calibri" w:cs="Calibri"/>
                <w:sz w:val="18"/>
                <w:szCs w:val="18"/>
              </w:rPr>
            </w:pPr>
            <w:r w:rsidRPr="005734B8">
              <w:rPr>
                <w:rFonts w:ascii="Calibri" w:hAnsi="Calibri" w:cs="Calibri"/>
                <w:sz w:val="18"/>
                <w:szCs w:val="18"/>
              </w:rPr>
              <w:t>9.7 Remuneration of auditors</w:t>
            </w:r>
          </w:p>
          <w:p w14:paraId="51A1AB89" w14:textId="77777777" w:rsidR="002B13F6" w:rsidRPr="005734B8" w:rsidRDefault="002B13F6" w:rsidP="00E32431">
            <w:pPr>
              <w:spacing w:after="90"/>
              <w:rPr>
                <w:rFonts w:ascii="Calibri" w:hAnsi="Calibri" w:cs="Calibri"/>
                <w:sz w:val="18"/>
                <w:szCs w:val="18"/>
              </w:rPr>
            </w:pPr>
            <w:r w:rsidRPr="005734B8">
              <w:rPr>
                <w:rFonts w:ascii="Calibri" w:hAnsi="Calibri" w:cs="Calibri"/>
                <w:sz w:val="18"/>
                <w:szCs w:val="18"/>
              </w:rPr>
              <w:t>9.8 Other accounting policies</w:t>
            </w:r>
          </w:p>
          <w:p w14:paraId="423E8DF2" w14:textId="77777777" w:rsidR="002B13F6" w:rsidRPr="005734B8" w:rsidRDefault="002B13F6" w:rsidP="00E32431">
            <w:pPr>
              <w:spacing w:after="90"/>
              <w:rPr>
                <w:rFonts w:ascii="Calibri" w:hAnsi="Calibri" w:cs="Calibri"/>
                <w:sz w:val="18"/>
                <w:szCs w:val="18"/>
              </w:rPr>
            </w:pPr>
            <w:r w:rsidRPr="005734B8">
              <w:rPr>
                <w:rFonts w:ascii="Calibri" w:hAnsi="Calibri" w:cs="Calibri"/>
                <w:sz w:val="18"/>
                <w:szCs w:val="18"/>
              </w:rPr>
              <w:t>9.9 Australian accounting standards and interpretation issues that are not yet effective</w:t>
            </w:r>
          </w:p>
          <w:p w14:paraId="74D85B52" w14:textId="77777777" w:rsidR="002B13F6" w:rsidRPr="005734B8" w:rsidRDefault="002B13F6" w:rsidP="00E32431">
            <w:pPr>
              <w:spacing w:after="90"/>
              <w:rPr>
                <w:rFonts w:ascii="Calibri" w:hAnsi="Calibri" w:cs="Calibri"/>
                <w:sz w:val="18"/>
                <w:szCs w:val="18"/>
              </w:rPr>
            </w:pPr>
            <w:r w:rsidRPr="005734B8">
              <w:rPr>
                <w:rFonts w:ascii="Calibri" w:hAnsi="Calibri" w:cs="Calibri"/>
                <w:sz w:val="18"/>
                <w:szCs w:val="18"/>
              </w:rPr>
              <w:t>9.10 Glossary of technical terms</w:t>
            </w:r>
          </w:p>
          <w:p w14:paraId="2B3453E6" w14:textId="77777777" w:rsidR="002B13F6" w:rsidRPr="005734B8" w:rsidRDefault="002B13F6" w:rsidP="00E32431">
            <w:pPr>
              <w:spacing w:after="90"/>
              <w:rPr>
                <w:rFonts w:ascii="Calibri" w:hAnsi="Calibri" w:cs="Calibri"/>
                <w:sz w:val="18"/>
                <w:szCs w:val="18"/>
              </w:rPr>
            </w:pPr>
            <w:r w:rsidRPr="005734B8">
              <w:rPr>
                <w:rFonts w:ascii="Calibri" w:hAnsi="Calibri" w:cs="Calibri"/>
                <w:sz w:val="18"/>
                <w:szCs w:val="18"/>
              </w:rPr>
              <w:t>9.11 Style conventions</w:t>
            </w:r>
          </w:p>
        </w:tc>
      </w:tr>
    </w:tbl>
    <w:p w14:paraId="7872B19B" w14:textId="10E9CDCC" w:rsidR="00F1540A" w:rsidRPr="005734B8" w:rsidRDefault="00F1540A" w:rsidP="00F1540A">
      <w:pPr>
        <w:spacing w:before="240" w:after="180" w:line="240" w:lineRule="atLeast"/>
        <w:outlineLvl w:val="0"/>
        <w:rPr>
          <w:rFonts w:ascii="Calibri" w:hAnsi="Calibri" w:cs="Calibri"/>
          <w:bCs/>
          <w:color w:val="8A2A2F"/>
          <w:spacing w:val="5"/>
          <w:kern w:val="28"/>
          <w:sz w:val="28"/>
          <w:lang w:val="en-US"/>
        </w:rPr>
      </w:pPr>
      <w:bookmarkStart w:id="1773" w:name="_Toc36012801"/>
      <w:bookmarkStart w:id="1774" w:name="_Toc36012879"/>
      <w:bookmarkStart w:id="1775" w:name="_Toc36013376"/>
      <w:bookmarkStart w:id="1776" w:name="_Toc58243459"/>
      <w:bookmarkStart w:id="1777" w:name="_Toc72958109"/>
      <w:bookmarkStart w:id="1778" w:name="_Toc72958157"/>
      <w:bookmarkStart w:id="1779" w:name="_Toc80272096"/>
      <w:bookmarkStart w:id="1780" w:name="_Toc81315397"/>
      <w:bookmarkStart w:id="1781" w:name="_Toc11336443"/>
      <w:bookmarkStart w:id="1782" w:name="_Toc11336600"/>
      <w:bookmarkStart w:id="1783" w:name="_Toc13647204"/>
      <w:bookmarkStart w:id="1784" w:name="_Toc13656736"/>
      <w:bookmarkStart w:id="1785" w:name="_Toc13656898"/>
      <w:bookmarkStart w:id="1786" w:name="_Toc14965669"/>
      <w:bookmarkStart w:id="1787" w:name="_Toc15985323"/>
      <w:bookmarkStart w:id="1788" w:name="_Toc16231974"/>
      <w:bookmarkEnd w:id="1765"/>
      <w:bookmarkEnd w:id="1766"/>
      <w:bookmarkEnd w:id="1767"/>
      <w:bookmarkEnd w:id="1768"/>
      <w:bookmarkEnd w:id="1769"/>
      <w:bookmarkEnd w:id="1770"/>
      <w:bookmarkEnd w:id="1771"/>
      <w:bookmarkEnd w:id="1772"/>
      <w:r w:rsidRPr="005734B8">
        <w:rPr>
          <w:rFonts w:ascii="Calibri" w:hAnsi="Calibri" w:cs="Calibri"/>
          <w:bCs/>
          <w:color w:val="8A2A2F"/>
          <w:spacing w:val="5"/>
          <w:kern w:val="28"/>
          <w:sz w:val="28"/>
          <w:lang w:val="en-US"/>
        </w:rPr>
        <w:t>9.1 Subsequent events</w:t>
      </w:r>
      <w:bookmarkEnd w:id="1773"/>
      <w:bookmarkEnd w:id="1774"/>
      <w:bookmarkEnd w:id="1775"/>
      <w:bookmarkEnd w:id="1776"/>
      <w:bookmarkEnd w:id="1777"/>
      <w:bookmarkEnd w:id="1778"/>
      <w:bookmarkEnd w:id="1779"/>
      <w:bookmarkEnd w:id="1780"/>
    </w:p>
    <w:p w14:paraId="25324341" w14:textId="6F9DD32E" w:rsidR="00F1540A" w:rsidRPr="005734B8" w:rsidRDefault="00F1540A" w:rsidP="00F1540A">
      <w:pPr>
        <w:rPr>
          <w:rFonts w:ascii="Calibri" w:eastAsia="Arial" w:hAnsi="Calibri" w:cs="Calibri"/>
          <w:bCs/>
        </w:rPr>
      </w:pPr>
      <w:r w:rsidRPr="005734B8">
        <w:rPr>
          <w:rFonts w:ascii="Calibri" w:eastAsia="Arial" w:hAnsi="Calibri" w:cs="Calibri"/>
        </w:rPr>
        <w:t xml:space="preserve">No matters or circumstances have arisen since the end of the financial year </w:t>
      </w:r>
      <w:r w:rsidR="006E0A5C" w:rsidRPr="005734B8">
        <w:rPr>
          <w:rFonts w:ascii="Calibri" w:eastAsia="Arial" w:hAnsi="Calibri" w:cs="Calibri"/>
        </w:rPr>
        <w:t>that</w:t>
      </w:r>
      <w:r w:rsidRPr="005734B8">
        <w:rPr>
          <w:rFonts w:ascii="Calibri" w:eastAsia="Arial" w:hAnsi="Calibri" w:cs="Calibri"/>
        </w:rPr>
        <w:t xml:space="preserve"> significantly</w:t>
      </w:r>
      <w:r w:rsidRPr="005734B8">
        <w:rPr>
          <w:rFonts w:ascii="Calibri" w:eastAsia="Arial" w:hAnsi="Calibri" w:cs="Calibri"/>
          <w:bCs/>
        </w:rPr>
        <w:t xml:space="preserve"> affected or may affect the operations of the Department, the results of the operations or the state of affairs of the Department in future financial years.</w:t>
      </w:r>
      <w:bookmarkStart w:id="1789" w:name="_Toc36012802"/>
      <w:bookmarkStart w:id="1790" w:name="_Toc36012880"/>
      <w:bookmarkStart w:id="1791" w:name="_Toc36013377"/>
      <w:bookmarkStart w:id="1792" w:name="_Toc58243460"/>
    </w:p>
    <w:p w14:paraId="144AD1C2" w14:textId="77777777" w:rsidR="00F1540A" w:rsidRPr="005734B8" w:rsidRDefault="00F1540A" w:rsidP="00F1540A">
      <w:pPr>
        <w:pStyle w:val="ESHeading2"/>
        <w:rPr>
          <w:rFonts w:ascii="Calibri" w:hAnsi="Calibri" w:cs="Calibri"/>
        </w:rPr>
      </w:pPr>
      <w:bookmarkStart w:id="1793" w:name="_Toc72958110"/>
      <w:bookmarkStart w:id="1794" w:name="_Toc72958158"/>
      <w:bookmarkStart w:id="1795" w:name="_Toc80272097"/>
      <w:bookmarkStart w:id="1796" w:name="_Toc81315398"/>
      <w:r w:rsidRPr="005734B8">
        <w:rPr>
          <w:rFonts w:ascii="Calibri" w:hAnsi="Calibri" w:cs="Calibri"/>
        </w:rPr>
        <w:t>9.2 Other economic flows included in net results</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p>
    <w:tbl>
      <w:tblPr>
        <w:tblW w:w="7625" w:type="dxa"/>
        <w:tblInd w:w="75" w:type="dxa"/>
        <w:tblLayout w:type="fixed"/>
        <w:tblLook w:val="04A0" w:firstRow="1" w:lastRow="0" w:firstColumn="1" w:lastColumn="0" w:noHBand="0" w:noVBand="1"/>
      </w:tblPr>
      <w:tblGrid>
        <w:gridCol w:w="5452"/>
        <w:gridCol w:w="1091"/>
        <w:gridCol w:w="1082"/>
      </w:tblGrid>
      <w:tr w:rsidR="00F1540A" w:rsidRPr="005734B8" w14:paraId="554F7113" w14:textId="77777777" w:rsidTr="000F48B1">
        <w:trPr>
          <w:trHeight w:val="480"/>
        </w:trPr>
        <w:tc>
          <w:tcPr>
            <w:tcW w:w="5452" w:type="dxa"/>
            <w:tcBorders>
              <w:top w:val="nil"/>
              <w:left w:val="single" w:sz="4" w:space="0" w:color="FFFFFF"/>
              <w:bottom w:val="nil"/>
              <w:right w:val="single" w:sz="4" w:space="0" w:color="FFFFFF"/>
            </w:tcBorders>
            <w:shd w:val="clear" w:color="000000" w:fill="AF272F"/>
            <w:vAlign w:val="bottom"/>
            <w:hideMark/>
          </w:tcPr>
          <w:p w14:paraId="155DBB59" w14:textId="77777777" w:rsidR="00F1540A" w:rsidRPr="005734B8" w:rsidRDefault="00F1540A" w:rsidP="000F48B1">
            <w:pPr>
              <w:jc w:val="center"/>
              <w:rPr>
                <w:rFonts w:ascii="Calibri" w:hAnsi="Calibri" w:cs="Calibri"/>
                <w:b/>
                <w:color w:val="FFFFFF"/>
                <w:sz w:val="18"/>
                <w:szCs w:val="18"/>
              </w:rPr>
            </w:pPr>
            <w:bookmarkStart w:id="1797" w:name="Note_OEFTABLE1" w:colFirst="0" w:colLast="0"/>
            <w:r w:rsidRPr="005734B8">
              <w:rPr>
                <w:rFonts w:ascii="Calibri" w:hAnsi="Calibri" w:cs="Calibri"/>
                <w:b/>
                <w:color w:val="FFFFFF"/>
                <w:sz w:val="18"/>
                <w:szCs w:val="18"/>
              </w:rPr>
              <w:t> </w:t>
            </w:r>
          </w:p>
        </w:tc>
        <w:tc>
          <w:tcPr>
            <w:tcW w:w="1091" w:type="dxa"/>
            <w:tcBorders>
              <w:top w:val="nil"/>
              <w:left w:val="nil"/>
              <w:bottom w:val="nil"/>
              <w:right w:val="single" w:sz="4" w:space="0" w:color="FFFFFF"/>
            </w:tcBorders>
            <w:shd w:val="clear" w:color="000000" w:fill="AF272F"/>
            <w:hideMark/>
          </w:tcPr>
          <w:p w14:paraId="47E8FDD4"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82" w:type="dxa"/>
            <w:tcBorders>
              <w:top w:val="nil"/>
              <w:left w:val="nil"/>
              <w:bottom w:val="nil"/>
              <w:right w:val="single" w:sz="4" w:space="0" w:color="FFFFFF"/>
            </w:tcBorders>
            <w:shd w:val="clear" w:color="000000" w:fill="AF272F"/>
            <w:hideMark/>
          </w:tcPr>
          <w:p w14:paraId="505E8635"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797"/>
      <w:tr w:rsidR="00F1540A" w:rsidRPr="005734B8" w14:paraId="69B4CECF" w14:textId="77777777" w:rsidTr="000F48B1">
        <w:trPr>
          <w:trHeight w:val="255"/>
        </w:trPr>
        <w:tc>
          <w:tcPr>
            <w:tcW w:w="5452"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63B1CD3A"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(a) Net gain/(loss) on non-financial assets</w:t>
            </w:r>
          </w:p>
        </w:tc>
        <w:tc>
          <w:tcPr>
            <w:tcW w:w="1091" w:type="dxa"/>
            <w:tcBorders>
              <w:top w:val="single" w:sz="4" w:space="0" w:color="auto"/>
              <w:left w:val="nil"/>
              <w:bottom w:val="single" w:sz="4" w:space="0" w:color="auto"/>
              <w:right w:val="single" w:sz="4" w:space="0" w:color="FFFFFF"/>
            </w:tcBorders>
            <w:shd w:val="clear" w:color="000000" w:fill="D9D9D9"/>
            <w:vAlign w:val="center"/>
            <w:hideMark/>
          </w:tcPr>
          <w:p w14:paraId="371B166B"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082" w:type="dxa"/>
            <w:tcBorders>
              <w:top w:val="single" w:sz="4" w:space="0" w:color="auto"/>
              <w:left w:val="nil"/>
              <w:bottom w:val="single" w:sz="4" w:space="0" w:color="auto"/>
              <w:right w:val="single" w:sz="4" w:space="0" w:color="FFFFFF"/>
            </w:tcBorders>
            <w:shd w:val="clear" w:color="000000" w:fill="D9D9D9"/>
            <w:vAlign w:val="center"/>
            <w:hideMark/>
          </w:tcPr>
          <w:p w14:paraId="2537D360"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75B62026" w14:textId="77777777" w:rsidTr="000F48B1">
        <w:trPr>
          <w:trHeight w:val="255"/>
        </w:trPr>
        <w:tc>
          <w:tcPr>
            <w:tcW w:w="5452" w:type="dxa"/>
            <w:tcBorders>
              <w:top w:val="nil"/>
              <w:left w:val="nil"/>
              <w:bottom w:val="single" w:sz="4" w:space="0" w:color="auto"/>
              <w:right w:val="nil"/>
            </w:tcBorders>
            <w:shd w:val="clear" w:color="FFFFFF" w:fill="FFFFFF"/>
            <w:vAlign w:val="center"/>
            <w:hideMark/>
          </w:tcPr>
          <w:p w14:paraId="586EB93C"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Net gain/(loss) on disposals of non-financial assets</w:t>
            </w:r>
          </w:p>
        </w:tc>
        <w:tc>
          <w:tcPr>
            <w:tcW w:w="1091" w:type="dxa"/>
            <w:tcBorders>
              <w:top w:val="nil"/>
              <w:left w:val="single" w:sz="4" w:space="0" w:color="FFFFFF"/>
              <w:bottom w:val="single" w:sz="4" w:space="0" w:color="auto"/>
              <w:right w:val="single" w:sz="4" w:space="0" w:color="FFFFFF"/>
            </w:tcBorders>
            <w:shd w:val="clear" w:color="000000" w:fill="D9D9D9"/>
            <w:noWrap/>
            <w:vAlign w:val="center"/>
            <w:hideMark/>
          </w:tcPr>
          <w:p w14:paraId="2AC50B1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0.2 </w:t>
            </w:r>
          </w:p>
        </w:tc>
        <w:tc>
          <w:tcPr>
            <w:tcW w:w="1082" w:type="dxa"/>
            <w:tcBorders>
              <w:top w:val="nil"/>
              <w:left w:val="nil"/>
              <w:bottom w:val="single" w:sz="4" w:space="0" w:color="auto"/>
              <w:right w:val="single" w:sz="4" w:space="0" w:color="FFFFFF"/>
            </w:tcBorders>
            <w:shd w:val="clear" w:color="FFFFFF" w:fill="FFFFFF"/>
            <w:noWrap/>
            <w:vAlign w:val="center"/>
            <w:hideMark/>
          </w:tcPr>
          <w:p w14:paraId="64463D9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(0.4) </w:t>
            </w:r>
          </w:p>
        </w:tc>
      </w:tr>
      <w:tr w:rsidR="00F1540A" w:rsidRPr="005734B8" w14:paraId="3D975AF6" w14:textId="77777777" w:rsidTr="000F48B1">
        <w:trPr>
          <w:trHeight w:val="270"/>
        </w:trPr>
        <w:tc>
          <w:tcPr>
            <w:tcW w:w="5452" w:type="dxa"/>
            <w:tcBorders>
              <w:top w:val="nil"/>
              <w:left w:val="nil"/>
              <w:bottom w:val="single" w:sz="4" w:space="0" w:color="auto"/>
              <w:right w:val="nil"/>
            </w:tcBorders>
            <w:shd w:val="clear" w:color="FFFFFF" w:fill="FFFFFF"/>
            <w:vAlign w:val="center"/>
            <w:hideMark/>
          </w:tcPr>
          <w:p w14:paraId="66FC3E86"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Impairment of non-current assets</w:t>
            </w:r>
          </w:p>
        </w:tc>
        <w:tc>
          <w:tcPr>
            <w:tcW w:w="1091" w:type="dxa"/>
            <w:tcBorders>
              <w:top w:val="nil"/>
              <w:left w:val="single" w:sz="4" w:space="0" w:color="FFFFFF"/>
              <w:bottom w:val="single" w:sz="4" w:space="0" w:color="auto"/>
              <w:right w:val="single" w:sz="4" w:space="0" w:color="FFFFFF"/>
            </w:tcBorders>
            <w:shd w:val="clear" w:color="000000" w:fill="D9D9D9"/>
            <w:noWrap/>
            <w:vAlign w:val="center"/>
            <w:hideMark/>
          </w:tcPr>
          <w:p w14:paraId="75F78A18" w14:textId="4637355C"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82" w:type="dxa"/>
            <w:tcBorders>
              <w:top w:val="nil"/>
              <w:left w:val="nil"/>
              <w:bottom w:val="single" w:sz="4" w:space="0" w:color="auto"/>
              <w:right w:val="single" w:sz="4" w:space="0" w:color="FFFFFF"/>
            </w:tcBorders>
            <w:shd w:val="clear" w:color="FFFFFF" w:fill="FFFFFF"/>
            <w:noWrap/>
            <w:vAlign w:val="center"/>
            <w:hideMark/>
          </w:tcPr>
          <w:p w14:paraId="3479BEB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(3.1) </w:t>
            </w:r>
          </w:p>
        </w:tc>
      </w:tr>
      <w:tr w:rsidR="00F1540A" w:rsidRPr="005734B8" w14:paraId="495F3453"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2896455"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net gain/(loss) on non-financial assets</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1BDB1056"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0.2 </w:t>
            </w:r>
          </w:p>
        </w:tc>
        <w:tc>
          <w:tcPr>
            <w:tcW w:w="1082" w:type="dxa"/>
            <w:tcBorders>
              <w:top w:val="single" w:sz="12" w:space="0" w:color="auto"/>
              <w:left w:val="nil"/>
              <w:bottom w:val="single" w:sz="12" w:space="0" w:color="auto"/>
              <w:right w:val="nil"/>
            </w:tcBorders>
            <w:shd w:val="clear" w:color="FFFFFF" w:fill="FFFFFF"/>
            <w:noWrap/>
            <w:vAlign w:val="center"/>
            <w:hideMark/>
          </w:tcPr>
          <w:p w14:paraId="3E0E65AB"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(3.5) </w:t>
            </w:r>
          </w:p>
        </w:tc>
      </w:tr>
      <w:tr w:rsidR="00F1540A" w:rsidRPr="005734B8" w14:paraId="779884A8" w14:textId="77777777" w:rsidTr="000F48B1">
        <w:trPr>
          <w:trHeight w:val="270"/>
        </w:trPr>
        <w:tc>
          <w:tcPr>
            <w:tcW w:w="5452"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646740DF"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(b) Net gain/(loss) on financial instruments</w:t>
            </w:r>
          </w:p>
        </w:tc>
        <w:tc>
          <w:tcPr>
            <w:tcW w:w="1091" w:type="dxa"/>
            <w:tcBorders>
              <w:top w:val="single" w:sz="4" w:space="0" w:color="auto"/>
              <w:left w:val="nil"/>
              <w:bottom w:val="single" w:sz="4" w:space="0" w:color="auto"/>
              <w:right w:val="single" w:sz="4" w:space="0" w:color="FFFFFF"/>
            </w:tcBorders>
            <w:shd w:val="clear" w:color="000000" w:fill="D9D9D9"/>
            <w:vAlign w:val="center"/>
            <w:hideMark/>
          </w:tcPr>
          <w:p w14:paraId="68309A5A"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082" w:type="dxa"/>
            <w:tcBorders>
              <w:top w:val="single" w:sz="4" w:space="0" w:color="auto"/>
              <w:left w:val="nil"/>
              <w:bottom w:val="single" w:sz="4" w:space="0" w:color="auto"/>
              <w:right w:val="single" w:sz="4" w:space="0" w:color="FFFFFF"/>
            </w:tcBorders>
            <w:shd w:val="clear" w:color="000000" w:fill="D9D9D9"/>
            <w:vAlign w:val="center"/>
            <w:hideMark/>
          </w:tcPr>
          <w:p w14:paraId="2B9E6BC1"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6C4CF7C1" w14:textId="77777777" w:rsidTr="000F48B1">
        <w:trPr>
          <w:trHeight w:val="270"/>
        </w:trPr>
        <w:tc>
          <w:tcPr>
            <w:tcW w:w="5452" w:type="dxa"/>
            <w:tcBorders>
              <w:top w:val="nil"/>
              <w:left w:val="nil"/>
              <w:bottom w:val="single" w:sz="4" w:space="0" w:color="auto"/>
              <w:right w:val="nil"/>
            </w:tcBorders>
            <w:shd w:val="clear" w:color="FFFFFF" w:fill="FFFFFF"/>
            <w:vAlign w:val="center"/>
            <w:hideMark/>
          </w:tcPr>
          <w:p w14:paraId="31260E0E"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Impairment of loans and receivables</w:t>
            </w:r>
          </w:p>
        </w:tc>
        <w:tc>
          <w:tcPr>
            <w:tcW w:w="1091" w:type="dxa"/>
            <w:tcBorders>
              <w:top w:val="nil"/>
              <w:left w:val="single" w:sz="4" w:space="0" w:color="FFFFFF"/>
              <w:bottom w:val="single" w:sz="4" w:space="0" w:color="auto"/>
              <w:right w:val="single" w:sz="4" w:space="0" w:color="FFFFFF"/>
            </w:tcBorders>
            <w:shd w:val="clear" w:color="000000" w:fill="D9D9D9"/>
            <w:noWrap/>
            <w:vAlign w:val="center"/>
            <w:hideMark/>
          </w:tcPr>
          <w:p w14:paraId="1BF5EDA7"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(2.4) </w:t>
            </w:r>
          </w:p>
        </w:tc>
        <w:tc>
          <w:tcPr>
            <w:tcW w:w="1082" w:type="dxa"/>
            <w:tcBorders>
              <w:top w:val="nil"/>
              <w:left w:val="nil"/>
              <w:bottom w:val="single" w:sz="4" w:space="0" w:color="auto"/>
              <w:right w:val="single" w:sz="4" w:space="0" w:color="FFFFFF"/>
            </w:tcBorders>
            <w:shd w:val="clear" w:color="FFFFFF" w:fill="FFFFFF"/>
            <w:noWrap/>
            <w:vAlign w:val="center"/>
            <w:hideMark/>
          </w:tcPr>
          <w:p w14:paraId="44AAECD8" w14:textId="54BAC3AB"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r>
      <w:tr w:rsidR="00F1540A" w:rsidRPr="005734B8" w14:paraId="4BBA3F2B"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FC9866C"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net gain/(loss) on financial instruments</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136B8DF"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(2.4) </w:t>
            </w:r>
          </w:p>
        </w:tc>
        <w:tc>
          <w:tcPr>
            <w:tcW w:w="1082" w:type="dxa"/>
            <w:tcBorders>
              <w:top w:val="single" w:sz="12" w:space="0" w:color="auto"/>
              <w:left w:val="nil"/>
              <w:bottom w:val="single" w:sz="12" w:space="0" w:color="auto"/>
              <w:right w:val="nil"/>
            </w:tcBorders>
            <w:shd w:val="clear" w:color="FFFFFF" w:fill="FFFFFF"/>
            <w:noWrap/>
            <w:vAlign w:val="center"/>
            <w:hideMark/>
          </w:tcPr>
          <w:p w14:paraId="3B5F2279" w14:textId="158D6A17" w:rsidR="00F1540A" w:rsidRPr="005734B8" w:rsidRDefault="00FD4AAA" w:rsidP="000F48B1">
            <w:pPr>
              <w:jc w:val="right"/>
              <w:rPr>
                <w:rFonts w:ascii="Calibri" w:hAnsi="Calibri" w:cs="Calibri"/>
                <w:b/>
                <w:sz w:val="18"/>
                <w:szCs w:val="18"/>
              </w:rPr>
            </w:pPr>
            <w:r w:rsidRPr="005734B8">
              <w:rPr>
                <w:rFonts w:ascii="Calibri" w:hAnsi="Calibri" w:cs="Calibri"/>
                <w:sz w:val="18"/>
                <w:szCs w:val="18"/>
              </w:rPr>
              <w:t>–</w:t>
            </w:r>
            <w:r w:rsidR="00F1540A" w:rsidRPr="005734B8">
              <w:rPr>
                <w:rFonts w:ascii="Calibri" w:hAnsi="Calibri" w:cs="Calibri"/>
                <w:b/>
                <w:sz w:val="18"/>
                <w:szCs w:val="18"/>
              </w:rPr>
              <w:t xml:space="preserve"> </w:t>
            </w:r>
          </w:p>
        </w:tc>
      </w:tr>
      <w:tr w:rsidR="00F1540A" w:rsidRPr="005734B8" w14:paraId="59BB5CCF" w14:textId="77777777" w:rsidTr="000F48B1">
        <w:trPr>
          <w:trHeight w:val="270"/>
        </w:trPr>
        <w:tc>
          <w:tcPr>
            <w:tcW w:w="5452"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43162BD6" w14:textId="3ADDC9C2" w:rsidR="00F1540A" w:rsidRPr="005734B8" w:rsidRDefault="003F5987" w:rsidP="000F48B1">
            <w:pPr>
              <w:rPr>
                <w:rFonts w:ascii="Calibri" w:hAnsi="Calibri" w:cs="Calibri"/>
                <w:b/>
                <w:sz w:val="18"/>
                <w:szCs w:val="18"/>
              </w:rPr>
            </w:pPr>
            <w:r w:rsidRPr="005734B8">
              <w:rPr>
                <w:rFonts w:ascii="Calibri" w:hAnsi="Calibri" w:cs="Calibri"/>
                <w:b/>
                <w:sz w:val="18"/>
                <w:szCs w:val="18"/>
              </w:rPr>
              <w:t>(c)</w:t>
            </w:r>
            <w:r w:rsidR="00F1540A" w:rsidRPr="005734B8">
              <w:rPr>
                <w:rFonts w:ascii="Calibri" w:hAnsi="Calibri" w:cs="Calibri"/>
                <w:b/>
                <w:sz w:val="18"/>
                <w:szCs w:val="18"/>
              </w:rPr>
              <w:t xml:space="preserve"> Net gain/(loss) from other economic flows</w:t>
            </w:r>
          </w:p>
        </w:tc>
        <w:tc>
          <w:tcPr>
            <w:tcW w:w="1091" w:type="dxa"/>
            <w:tcBorders>
              <w:top w:val="single" w:sz="4" w:space="0" w:color="auto"/>
              <w:left w:val="nil"/>
              <w:bottom w:val="single" w:sz="4" w:space="0" w:color="auto"/>
              <w:right w:val="single" w:sz="4" w:space="0" w:color="FFFFFF"/>
            </w:tcBorders>
            <w:shd w:val="clear" w:color="000000" w:fill="D9D9D9"/>
            <w:vAlign w:val="center"/>
            <w:hideMark/>
          </w:tcPr>
          <w:p w14:paraId="449C9B11"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082" w:type="dxa"/>
            <w:tcBorders>
              <w:top w:val="single" w:sz="4" w:space="0" w:color="auto"/>
              <w:left w:val="nil"/>
              <w:bottom w:val="single" w:sz="4" w:space="0" w:color="auto"/>
              <w:right w:val="single" w:sz="4" w:space="0" w:color="FFFFFF"/>
            </w:tcBorders>
            <w:shd w:val="clear" w:color="000000" w:fill="D9D9D9"/>
            <w:vAlign w:val="center"/>
            <w:hideMark/>
          </w:tcPr>
          <w:p w14:paraId="46F5AB59"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10F3C2C8" w14:textId="77777777" w:rsidTr="000F48B1">
        <w:trPr>
          <w:trHeight w:val="270"/>
        </w:trPr>
        <w:tc>
          <w:tcPr>
            <w:tcW w:w="5452" w:type="dxa"/>
            <w:tcBorders>
              <w:top w:val="nil"/>
              <w:left w:val="nil"/>
              <w:bottom w:val="single" w:sz="4" w:space="0" w:color="auto"/>
              <w:right w:val="nil"/>
            </w:tcBorders>
            <w:shd w:val="clear" w:color="FFFFFF" w:fill="FFFFFF"/>
            <w:vAlign w:val="center"/>
            <w:hideMark/>
          </w:tcPr>
          <w:p w14:paraId="03E4451F"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Net gain/(loss) arising from revaluation of long service leave liability</w:t>
            </w:r>
          </w:p>
        </w:tc>
        <w:tc>
          <w:tcPr>
            <w:tcW w:w="1091" w:type="dxa"/>
            <w:tcBorders>
              <w:top w:val="nil"/>
              <w:left w:val="single" w:sz="4" w:space="0" w:color="FFFFFF"/>
              <w:bottom w:val="single" w:sz="4" w:space="0" w:color="auto"/>
              <w:right w:val="single" w:sz="4" w:space="0" w:color="FFFFFF"/>
            </w:tcBorders>
            <w:shd w:val="clear" w:color="000000" w:fill="D9D9D9"/>
            <w:noWrap/>
            <w:vAlign w:val="center"/>
            <w:hideMark/>
          </w:tcPr>
          <w:p w14:paraId="673C7A8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52.7 </w:t>
            </w:r>
          </w:p>
        </w:tc>
        <w:tc>
          <w:tcPr>
            <w:tcW w:w="1082" w:type="dxa"/>
            <w:tcBorders>
              <w:top w:val="nil"/>
              <w:left w:val="nil"/>
              <w:bottom w:val="single" w:sz="4" w:space="0" w:color="auto"/>
              <w:right w:val="single" w:sz="4" w:space="0" w:color="FFFFFF"/>
            </w:tcBorders>
            <w:shd w:val="clear" w:color="FFFFFF" w:fill="FFFFFF"/>
            <w:noWrap/>
            <w:vAlign w:val="center"/>
            <w:hideMark/>
          </w:tcPr>
          <w:p w14:paraId="16352C5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(35.7) </w:t>
            </w:r>
          </w:p>
        </w:tc>
      </w:tr>
      <w:tr w:rsidR="00F1540A" w:rsidRPr="005734B8" w14:paraId="13FEEE2D"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28421B5"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other gains/(losses) from other economic flows</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20E1FA7"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52.7 </w:t>
            </w:r>
          </w:p>
        </w:tc>
        <w:tc>
          <w:tcPr>
            <w:tcW w:w="1082" w:type="dxa"/>
            <w:tcBorders>
              <w:top w:val="single" w:sz="12" w:space="0" w:color="auto"/>
              <w:left w:val="nil"/>
              <w:bottom w:val="single" w:sz="12" w:space="0" w:color="auto"/>
              <w:right w:val="nil"/>
            </w:tcBorders>
            <w:shd w:val="clear" w:color="FFFFFF" w:fill="FFFFFF"/>
            <w:noWrap/>
            <w:vAlign w:val="center"/>
            <w:hideMark/>
          </w:tcPr>
          <w:p w14:paraId="02E1301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(35.7) </w:t>
            </w:r>
          </w:p>
        </w:tc>
      </w:tr>
    </w:tbl>
    <w:p w14:paraId="3603E594" w14:textId="77777777" w:rsidR="00F1540A" w:rsidRPr="005734B8" w:rsidRDefault="00F1540A" w:rsidP="00F1540A">
      <w:pPr>
        <w:rPr>
          <w:rFonts w:ascii="Calibri" w:eastAsia="Arial" w:hAnsi="Calibri" w:cs="Calibri"/>
        </w:rPr>
      </w:pPr>
    </w:p>
    <w:p w14:paraId="4E8B3635" w14:textId="169CBD2D" w:rsidR="00F1540A" w:rsidRPr="005734B8" w:rsidRDefault="00F1540A" w:rsidP="00F1540A">
      <w:pPr>
        <w:rPr>
          <w:rFonts w:ascii="Calibri" w:eastAsia="Arial" w:hAnsi="Calibri" w:cs="Calibri"/>
        </w:rPr>
      </w:pPr>
      <w:r w:rsidRPr="005734B8">
        <w:rPr>
          <w:rFonts w:ascii="Calibri" w:eastAsia="Arial" w:hAnsi="Calibri" w:cs="Calibri"/>
        </w:rPr>
        <w:t xml:space="preserve">Other economic flows measure the change in volume or value of assets or liabilities that do not result from transactions. </w:t>
      </w:r>
      <w:r w:rsidR="006E0A5C" w:rsidRPr="005734B8">
        <w:rPr>
          <w:rFonts w:ascii="Calibri" w:eastAsia="Arial" w:hAnsi="Calibri" w:cs="Calibri"/>
        </w:rPr>
        <w:t>They</w:t>
      </w:r>
      <w:r w:rsidRPr="005734B8">
        <w:rPr>
          <w:rFonts w:ascii="Calibri" w:eastAsia="Arial" w:hAnsi="Calibri" w:cs="Calibri"/>
        </w:rPr>
        <w:t xml:space="preserve"> include:</w:t>
      </w:r>
    </w:p>
    <w:p w14:paraId="4DAB681E" w14:textId="77777777" w:rsidR="00F1540A" w:rsidRPr="005734B8" w:rsidRDefault="00F1540A" w:rsidP="00F1540A">
      <w:pPr>
        <w:spacing w:before="240" w:after="120" w:line="240" w:lineRule="atLeast"/>
        <w:outlineLvl w:val="2"/>
        <w:rPr>
          <w:rFonts w:ascii="Calibri" w:hAnsi="Calibri" w:cs="Calibri"/>
          <w:color w:val="53565A"/>
          <w:szCs w:val="18"/>
          <w:lang w:val="en-US"/>
        </w:rPr>
      </w:pPr>
      <w:bookmarkStart w:id="1798" w:name="_Toc11336444"/>
      <w:bookmarkStart w:id="1799" w:name="_Toc14965670"/>
      <w:r w:rsidRPr="005734B8">
        <w:rPr>
          <w:rFonts w:ascii="Calibri" w:hAnsi="Calibri" w:cs="Calibri"/>
          <w:color w:val="53565A"/>
          <w:szCs w:val="18"/>
          <w:lang w:val="en-US"/>
        </w:rPr>
        <w:t>Net gain/(loss) on non-financial assets</w:t>
      </w:r>
      <w:bookmarkEnd w:id="1798"/>
      <w:bookmarkEnd w:id="1799"/>
    </w:p>
    <w:p w14:paraId="43C63112" w14:textId="16121BCD" w:rsidR="00F1540A" w:rsidRPr="005734B8" w:rsidRDefault="00F1540A" w:rsidP="00F1540A">
      <w:pPr>
        <w:rPr>
          <w:rFonts w:ascii="Calibri" w:eastAsia="Arial" w:hAnsi="Calibri" w:cs="Calibri"/>
        </w:rPr>
      </w:pPr>
      <w:r w:rsidRPr="005734B8">
        <w:rPr>
          <w:rFonts w:ascii="Calibri" w:eastAsia="Arial" w:hAnsi="Calibri" w:cs="Calibri"/>
        </w:rPr>
        <w:t>Net gain/(loss) on non-financial assets includes realised and unrealised gains and losses as follows:</w:t>
      </w:r>
    </w:p>
    <w:p w14:paraId="5888F66F" w14:textId="77777777" w:rsidR="00F1540A" w:rsidRPr="005734B8" w:rsidRDefault="00F1540A" w:rsidP="000F6516">
      <w:pPr>
        <w:pStyle w:val="ListParagraph"/>
        <w:numPr>
          <w:ilvl w:val="0"/>
          <w:numId w:val="12"/>
        </w:numPr>
        <w:rPr>
          <w:rFonts w:ascii="Calibri" w:eastAsia="Arial" w:hAnsi="Calibri" w:cs="Calibri"/>
          <w:i/>
        </w:rPr>
      </w:pPr>
      <w:bookmarkStart w:id="1800" w:name="_Toc11336445"/>
      <w:bookmarkStart w:id="1801" w:name="_Toc14965671"/>
      <w:r w:rsidRPr="005734B8">
        <w:rPr>
          <w:rFonts w:ascii="Calibri" w:eastAsia="Arial" w:hAnsi="Calibri" w:cs="Calibri"/>
          <w:i/>
        </w:rPr>
        <w:t>Net gain/(loss) on disposal of non-financial assets</w:t>
      </w:r>
      <w:bookmarkEnd w:id="1800"/>
      <w:bookmarkEnd w:id="1801"/>
    </w:p>
    <w:p w14:paraId="1962D37F" w14:textId="77777777" w:rsidR="00F1540A" w:rsidRPr="005734B8" w:rsidRDefault="00F1540A" w:rsidP="000F6516">
      <w:pPr>
        <w:ind w:left="360"/>
        <w:rPr>
          <w:rFonts w:ascii="Calibri" w:eastAsia="Arial" w:hAnsi="Calibri" w:cs="Calibri"/>
        </w:rPr>
      </w:pPr>
      <w:r w:rsidRPr="005734B8">
        <w:rPr>
          <w:rFonts w:ascii="Calibri" w:eastAsia="Arial" w:hAnsi="Calibri" w:cs="Calibri"/>
        </w:rPr>
        <w:t>Any gain or loss on the disposal of non-financial assets is recognised at the date of disposal and is determined after deducting the proceeds from the carrying value of the asset at the time</w:t>
      </w:r>
      <w:r w:rsidRPr="005734B8">
        <w:rPr>
          <w:rFonts w:ascii="Calibri" w:hAnsi="Calibri" w:cs="Calibri"/>
        </w:rPr>
        <w:t>.</w:t>
      </w:r>
    </w:p>
    <w:p w14:paraId="005E0996" w14:textId="77777777" w:rsidR="00F1540A" w:rsidRPr="005734B8" w:rsidRDefault="00F1540A" w:rsidP="000F6516">
      <w:pPr>
        <w:pStyle w:val="ListParagraph"/>
        <w:numPr>
          <w:ilvl w:val="0"/>
          <w:numId w:val="12"/>
        </w:numPr>
        <w:rPr>
          <w:rFonts w:ascii="Calibri" w:eastAsia="Arial" w:hAnsi="Calibri" w:cs="Calibri"/>
          <w:i/>
        </w:rPr>
      </w:pPr>
      <w:bookmarkStart w:id="1802" w:name="_Toc11336446"/>
      <w:bookmarkStart w:id="1803" w:name="_Toc14965672"/>
      <w:r w:rsidRPr="005734B8">
        <w:rPr>
          <w:rFonts w:ascii="Calibri" w:eastAsia="Arial" w:hAnsi="Calibri" w:cs="Calibri"/>
          <w:i/>
        </w:rPr>
        <w:t>Assets previously not recognised</w:t>
      </w:r>
    </w:p>
    <w:p w14:paraId="32A26C60" w14:textId="43FF45B7" w:rsidR="00F1540A" w:rsidRPr="005734B8" w:rsidRDefault="00F1540A" w:rsidP="000F6516">
      <w:pPr>
        <w:ind w:left="360"/>
        <w:rPr>
          <w:rFonts w:ascii="Calibri" w:eastAsia="Arial" w:hAnsi="Calibri" w:cs="Calibri"/>
        </w:rPr>
      </w:pPr>
      <w:r w:rsidRPr="005734B8">
        <w:rPr>
          <w:rFonts w:ascii="Calibri" w:eastAsia="Arial" w:hAnsi="Calibri" w:cs="Calibri"/>
        </w:rPr>
        <w:t xml:space="preserve">Assets not recognised in previous periods that subsequently met the recognition criteria (not as a result of an error) are recognised from the date that the criteria are </w:t>
      </w:r>
      <w:r w:rsidRPr="005734B8">
        <w:rPr>
          <w:rFonts w:ascii="Calibri" w:eastAsia="Arial" w:hAnsi="Calibri" w:cs="Calibri"/>
        </w:rPr>
        <w:lastRenderedPageBreak/>
        <w:t xml:space="preserve">met. For example, </w:t>
      </w:r>
      <w:r w:rsidR="006E0A5C" w:rsidRPr="005734B8">
        <w:rPr>
          <w:rFonts w:ascii="Calibri" w:eastAsia="Arial" w:hAnsi="Calibri" w:cs="Calibri"/>
        </w:rPr>
        <w:t>assets</w:t>
      </w:r>
      <w:r w:rsidRPr="005734B8">
        <w:rPr>
          <w:rFonts w:ascii="Calibri" w:eastAsia="Arial" w:hAnsi="Calibri" w:cs="Calibri"/>
        </w:rPr>
        <w:t xml:space="preserve"> subsequently identified through revaluation, stocktakes or other processes.</w:t>
      </w:r>
    </w:p>
    <w:p w14:paraId="1C247126" w14:textId="77777777" w:rsidR="00F1540A" w:rsidRPr="005734B8" w:rsidRDefault="00F1540A" w:rsidP="00F1540A">
      <w:pPr>
        <w:ind w:firstLine="567"/>
        <w:rPr>
          <w:rFonts w:ascii="Calibri" w:eastAsia="Arial" w:hAnsi="Calibri" w:cs="Calibri"/>
          <w:i/>
        </w:rPr>
      </w:pPr>
    </w:p>
    <w:p w14:paraId="3D15919A" w14:textId="77777777" w:rsidR="00F1540A" w:rsidRPr="005734B8" w:rsidRDefault="00F1540A" w:rsidP="000F6516">
      <w:pPr>
        <w:pStyle w:val="ListParagraph"/>
        <w:numPr>
          <w:ilvl w:val="0"/>
          <w:numId w:val="12"/>
        </w:numPr>
        <w:rPr>
          <w:rFonts w:ascii="Calibri" w:eastAsia="Arial" w:hAnsi="Calibri" w:cs="Calibri"/>
          <w:i/>
        </w:rPr>
      </w:pPr>
      <w:r w:rsidRPr="005734B8">
        <w:rPr>
          <w:rFonts w:ascii="Calibri" w:eastAsia="Arial" w:hAnsi="Calibri" w:cs="Calibri"/>
          <w:i/>
        </w:rPr>
        <w:t>Impairment of non-current assets</w:t>
      </w:r>
    </w:p>
    <w:p w14:paraId="7F7F8FC4" w14:textId="302B42DD" w:rsidR="00F1540A" w:rsidRPr="005734B8" w:rsidRDefault="00F1540A" w:rsidP="000F6516">
      <w:pPr>
        <w:ind w:left="360"/>
        <w:rPr>
          <w:rFonts w:ascii="Calibri" w:eastAsia="Arial" w:hAnsi="Calibri" w:cs="Calibri"/>
        </w:rPr>
      </w:pPr>
      <w:r w:rsidRPr="005734B8">
        <w:rPr>
          <w:rFonts w:ascii="Calibri" w:eastAsia="Arial" w:hAnsi="Calibri" w:cs="Calibri"/>
        </w:rPr>
        <w:t xml:space="preserve">Any further loss on assets when carrying amounts are reduced to </w:t>
      </w:r>
      <w:r w:rsidR="003F5987" w:rsidRPr="005734B8">
        <w:rPr>
          <w:rFonts w:ascii="Calibri" w:eastAsia="Arial" w:hAnsi="Calibri" w:cs="Calibri"/>
        </w:rPr>
        <w:t>current</w:t>
      </w:r>
      <w:r w:rsidRPr="005734B8">
        <w:rPr>
          <w:rFonts w:ascii="Calibri" w:eastAsia="Arial" w:hAnsi="Calibri" w:cs="Calibri"/>
        </w:rPr>
        <w:t xml:space="preserve"> replacement cost, </w:t>
      </w:r>
      <w:r w:rsidRPr="005734B8">
        <w:rPr>
          <w:rFonts w:ascii="Calibri" w:hAnsi="Calibri" w:cs="Calibri"/>
        </w:rPr>
        <w:t>except when these are taken through the asset revaluation surplus.</w:t>
      </w:r>
    </w:p>
    <w:p w14:paraId="5BBB55B3" w14:textId="77777777" w:rsidR="00F1540A" w:rsidRPr="005734B8" w:rsidRDefault="00F1540A" w:rsidP="00F1540A">
      <w:pPr>
        <w:spacing w:before="240" w:after="120" w:line="240" w:lineRule="atLeast"/>
        <w:outlineLvl w:val="2"/>
        <w:rPr>
          <w:rFonts w:ascii="Calibri" w:hAnsi="Calibri" w:cs="Calibri"/>
          <w:color w:val="53565A"/>
          <w:szCs w:val="18"/>
          <w:lang w:val="en-US"/>
        </w:rPr>
      </w:pPr>
      <w:r w:rsidRPr="005734B8">
        <w:rPr>
          <w:rFonts w:ascii="Calibri" w:hAnsi="Calibri" w:cs="Calibri"/>
          <w:color w:val="53565A"/>
          <w:szCs w:val="18"/>
          <w:lang w:val="en-US"/>
        </w:rPr>
        <w:t>Net gain/(loss) on financial instruments</w:t>
      </w:r>
      <w:bookmarkEnd w:id="1802"/>
      <w:bookmarkEnd w:id="1803"/>
    </w:p>
    <w:p w14:paraId="3CD3ABD7" w14:textId="77777777" w:rsidR="00F1540A" w:rsidRPr="005734B8" w:rsidRDefault="00F1540A" w:rsidP="00F1540A">
      <w:pPr>
        <w:rPr>
          <w:rFonts w:ascii="Calibri" w:eastAsia="Arial" w:hAnsi="Calibri" w:cs="Calibri"/>
        </w:rPr>
      </w:pPr>
      <w:r w:rsidRPr="005734B8">
        <w:rPr>
          <w:rFonts w:ascii="Calibri" w:eastAsia="Arial" w:hAnsi="Calibri" w:cs="Calibri"/>
        </w:rPr>
        <w:t>Net gain/(loss) on financial instruments includes impairment and reversal of impairment for financial instruments at amortised cost.</w:t>
      </w:r>
    </w:p>
    <w:p w14:paraId="1F741B98" w14:textId="77777777" w:rsidR="00F1540A" w:rsidRPr="005734B8" w:rsidRDefault="00F1540A" w:rsidP="00F1540A">
      <w:pPr>
        <w:spacing w:before="240" w:after="120" w:line="240" w:lineRule="atLeast"/>
        <w:outlineLvl w:val="2"/>
        <w:rPr>
          <w:rFonts w:ascii="Calibri" w:hAnsi="Calibri" w:cs="Calibri"/>
          <w:color w:val="53565A"/>
          <w:szCs w:val="18"/>
          <w:lang w:val="en-US"/>
        </w:rPr>
      </w:pPr>
      <w:r w:rsidRPr="005734B8">
        <w:rPr>
          <w:rFonts w:ascii="Calibri" w:hAnsi="Calibri" w:cs="Calibri"/>
          <w:color w:val="53565A"/>
          <w:szCs w:val="18"/>
          <w:lang w:val="en-US"/>
        </w:rPr>
        <w:t>Other gains/(losses) from other economic flows</w:t>
      </w:r>
    </w:p>
    <w:p w14:paraId="44534A72" w14:textId="77777777" w:rsidR="00F1540A" w:rsidRPr="005734B8" w:rsidRDefault="00F1540A" w:rsidP="00F1540A">
      <w:pPr>
        <w:rPr>
          <w:rFonts w:ascii="Calibri" w:hAnsi="Calibri" w:cs="Calibri"/>
        </w:rPr>
      </w:pPr>
      <w:r w:rsidRPr="005734B8">
        <w:rPr>
          <w:rFonts w:ascii="Calibri" w:eastAsia="Arial" w:hAnsi="Calibri" w:cs="Calibri"/>
        </w:rPr>
        <w:t>Other gains/(losses) from other economic flows include the gains or losses from the revaluation of the present value of the long service leave liability due to changes in the bond interest rate.</w:t>
      </w:r>
    </w:p>
    <w:p w14:paraId="4A5BC20B" w14:textId="77777777" w:rsidR="00F1540A" w:rsidRPr="005734B8" w:rsidRDefault="00F1540A" w:rsidP="00F1540A">
      <w:pPr>
        <w:pStyle w:val="ESHeading2"/>
        <w:rPr>
          <w:rFonts w:ascii="Calibri" w:hAnsi="Calibri" w:cs="Calibri"/>
        </w:rPr>
      </w:pPr>
      <w:bookmarkStart w:id="1804" w:name="_Toc11336447"/>
      <w:bookmarkStart w:id="1805" w:name="_Toc11336601"/>
      <w:bookmarkStart w:id="1806" w:name="_Toc13647205"/>
      <w:bookmarkStart w:id="1807" w:name="_Toc13656737"/>
      <w:bookmarkStart w:id="1808" w:name="_Toc13656899"/>
      <w:bookmarkStart w:id="1809" w:name="_Toc14965673"/>
      <w:bookmarkStart w:id="1810" w:name="_Toc15985324"/>
      <w:bookmarkStart w:id="1811" w:name="_Toc16231975"/>
      <w:bookmarkStart w:id="1812" w:name="_Toc36012803"/>
      <w:bookmarkStart w:id="1813" w:name="_Toc36012881"/>
      <w:bookmarkStart w:id="1814" w:name="_Toc36013378"/>
      <w:bookmarkStart w:id="1815" w:name="_Toc58243461"/>
      <w:bookmarkStart w:id="1816" w:name="_Toc72958111"/>
      <w:bookmarkStart w:id="1817" w:name="_Toc72958159"/>
      <w:bookmarkStart w:id="1818" w:name="_Toc80272098"/>
      <w:bookmarkStart w:id="1819" w:name="_Toc81315399"/>
      <w:r w:rsidRPr="005734B8">
        <w:rPr>
          <w:rFonts w:ascii="Calibri" w:hAnsi="Calibri" w:cs="Calibri"/>
        </w:rPr>
        <w:t>9.3</w:t>
      </w:r>
      <w:r w:rsidRPr="005734B8">
        <w:rPr>
          <w:rFonts w:ascii="Calibri" w:hAnsi="Calibri" w:cs="Calibri"/>
        </w:rPr>
        <w:tab/>
        <w:t>Remuneration of executives and other personnel</w:t>
      </w:r>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14:paraId="3D2FF68A" w14:textId="77777777" w:rsidR="00F1540A" w:rsidRPr="005734B8" w:rsidRDefault="00F1540A" w:rsidP="000F6516">
      <w:pPr>
        <w:pStyle w:val="ESHeading3"/>
        <w:ind w:left="0" w:firstLine="0"/>
        <w:rPr>
          <w:rFonts w:ascii="Calibri" w:hAnsi="Calibri" w:cs="Calibri"/>
        </w:rPr>
      </w:pPr>
      <w:bookmarkStart w:id="1820" w:name="_Toc11336448"/>
      <w:bookmarkStart w:id="1821" w:name="_Toc14965674"/>
      <w:r w:rsidRPr="005734B8">
        <w:rPr>
          <w:rFonts w:ascii="Calibri" w:hAnsi="Calibri" w:cs="Calibri"/>
        </w:rPr>
        <w:t>9.3.1</w:t>
      </w:r>
      <w:r w:rsidRPr="005734B8">
        <w:rPr>
          <w:rFonts w:ascii="Calibri" w:hAnsi="Calibri" w:cs="Calibri"/>
        </w:rPr>
        <w:tab/>
        <w:t>Remuneration of executives</w:t>
      </w:r>
      <w:bookmarkEnd w:id="1820"/>
      <w:bookmarkEnd w:id="1821"/>
    </w:p>
    <w:p w14:paraId="7411DE1A" w14:textId="3322567F" w:rsidR="00F1540A" w:rsidRPr="005734B8" w:rsidRDefault="00F1540A" w:rsidP="00F1540A">
      <w:pPr>
        <w:rPr>
          <w:rFonts w:ascii="Calibri" w:hAnsi="Calibri" w:cs="Calibri"/>
        </w:rPr>
      </w:pPr>
      <w:r w:rsidRPr="005734B8">
        <w:rPr>
          <w:rFonts w:ascii="Calibri" w:hAnsi="Calibri" w:cs="Calibri"/>
        </w:rPr>
        <w:t>The number of executive officers, other than ministers and accountable officers, and their total remuneration during the reporting period</w:t>
      </w:r>
      <w:r w:rsidR="006E0A5C" w:rsidRPr="005734B8">
        <w:rPr>
          <w:rFonts w:ascii="Calibri" w:hAnsi="Calibri" w:cs="Calibri"/>
        </w:rPr>
        <w:t>,</w:t>
      </w:r>
      <w:r w:rsidRPr="005734B8">
        <w:rPr>
          <w:rFonts w:ascii="Calibri" w:hAnsi="Calibri" w:cs="Calibri"/>
        </w:rPr>
        <w:t xml:space="preserve"> are shown in the table below. Total annualised employee equivalents provide a measure of </w:t>
      </w:r>
      <w:r w:rsidR="000732FD" w:rsidRPr="005734B8">
        <w:rPr>
          <w:rFonts w:ascii="Calibri" w:hAnsi="Calibri" w:cs="Calibri"/>
        </w:rPr>
        <w:t>FTE</w:t>
      </w:r>
      <w:r w:rsidRPr="005734B8">
        <w:rPr>
          <w:rFonts w:ascii="Calibri" w:hAnsi="Calibri" w:cs="Calibri"/>
        </w:rPr>
        <w:t xml:space="preserve"> executive officers over the reporting period.</w:t>
      </w:r>
    </w:p>
    <w:p w14:paraId="6C8280B5" w14:textId="77777777" w:rsidR="00F1540A" w:rsidRPr="005734B8" w:rsidRDefault="00F1540A" w:rsidP="00F1540A">
      <w:pPr>
        <w:rPr>
          <w:rFonts w:ascii="Calibri" w:hAnsi="Calibri" w:cs="Calibri"/>
        </w:rPr>
      </w:pPr>
    </w:p>
    <w:p w14:paraId="659083EE" w14:textId="049EAA5F" w:rsidR="00F1540A" w:rsidRPr="005734B8" w:rsidRDefault="00F1540A" w:rsidP="00F1540A">
      <w:pPr>
        <w:rPr>
          <w:rFonts w:ascii="Calibri" w:hAnsi="Calibri" w:cs="Calibri"/>
        </w:rPr>
      </w:pPr>
      <w:r w:rsidRPr="005734B8">
        <w:rPr>
          <w:rFonts w:ascii="Calibri" w:hAnsi="Calibri" w:cs="Calibri"/>
        </w:rPr>
        <w:t>Remuneration comprises employee benefits (as defined in AASB 119 Employee Benefits) in all forms of consideration paid, payable or provided by the entity, or on behalf of the entity, in exchange for services rendered. Accordingly, remuneration is determined on an accrual basis, and is disclosed in the following categories</w:t>
      </w:r>
      <w:r w:rsidR="003F5987" w:rsidRPr="005734B8">
        <w:rPr>
          <w:rFonts w:ascii="Calibri" w:hAnsi="Calibri" w:cs="Calibri"/>
        </w:rPr>
        <w:t>:</w:t>
      </w:r>
    </w:p>
    <w:p w14:paraId="74223C1E" w14:textId="77777777" w:rsidR="00F1540A" w:rsidRPr="005734B8" w:rsidRDefault="00F1540A" w:rsidP="00F1540A">
      <w:pPr>
        <w:rPr>
          <w:rFonts w:ascii="Calibri" w:hAnsi="Calibri" w:cs="Calibri"/>
        </w:rPr>
      </w:pPr>
    </w:p>
    <w:p w14:paraId="60693200" w14:textId="77777777" w:rsidR="00F1540A" w:rsidRPr="005734B8" w:rsidRDefault="00F1540A" w:rsidP="00F1540A">
      <w:pPr>
        <w:rPr>
          <w:rFonts w:ascii="Calibri" w:hAnsi="Calibri" w:cs="Calibri"/>
        </w:rPr>
      </w:pPr>
      <w:r w:rsidRPr="005734B8">
        <w:rPr>
          <w:rFonts w:ascii="Calibri" w:hAnsi="Calibri" w:cs="Calibri"/>
          <w:b/>
        </w:rPr>
        <w:t>Short-term employee benefits</w:t>
      </w:r>
      <w:r w:rsidRPr="005734B8">
        <w:rPr>
          <w:rFonts w:ascii="Calibri" w:hAnsi="Calibri" w:cs="Calibri"/>
        </w:rPr>
        <w:t xml:space="preserve"> include amounts such as wages, salaries, annual leave or sick leave that are usually paid or payable on a regular basis, as well as non-monetary benefits such as allowances and free or subsidised goods or services. </w:t>
      </w:r>
    </w:p>
    <w:p w14:paraId="3EB00171" w14:textId="77777777" w:rsidR="00F1540A" w:rsidRPr="005734B8" w:rsidRDefault="00F1540A" w:rsidP="00F1540A">
      <w:pPr>
        <w:rPr>
          <w:rFonts w:ascii="Calibri" w:hAnsi="Calibri" w:cs="Calibri"/>
        </w:rPr>
      </w:pPr>
    </w:p>
    <w:p w14:paraId="013424EB" w14:textId="77777777" w:rsidR="00F1540A" w:rsidRPr="005734B8" w:rsidRDefault="00F1540A" w:rsidP="00F1540A">
      <w:pPr>
        <w:rPr>
          <w:rFonts w:ascii="Calibri" w:hAnsi="Calibri" w:cs="Calibri"/>
        </w:rPr>
      </w:pPr>
      <w:r w:rsidRPr="005734B8">
        <w:rPr>
          <w:rFonts w:ascii="Calibri" w:hAnsi="Calibri" w:cs="Calibri"/>
          <w:b/>
        </w:rPr>
        <w:t xml:space="preserve">Post-employment benefits </w:t>
      </w:r>
      <w:r w:rsidRPr="005734B8">
        <w:rPr>
          <w:rFonts w:ascii="Calibri" w:hAnsi="Calibri" w:cs="Calibri"/>
        </w:rPr>
        <w:t>include pensions and other retirement benefits paid or payable on a discrete basis when employment has ceased.</w:t>
      </w:r>
    </w:p>
    <w:p w14:paraId="48790F2E" w14:textId="77777777" w:rsidR="00F1540A" w:rsidRPr="005734B8" w:rsidRDefault="00F1540A" w:rsidP="00F1540A">
      <w:pPr>
        <w:rPr>
          <w:rFonts w:ascii="Calibri" w:hAnsi="Calibri" w:cs="Calibri"/>
        </w:rPr>
      </w:pPr>
    </w:p>
    <w:p w14:paraId="6748404F" w14:textId="77777777" w:rsidR="00F1540A" w:rsidRPr="005734B8" w:rsidRDefault="00F1540A" w:rsidP="00F1540A">
      <w:pPr>
        <w:rPr>
          <w:rFonts w:ascii="Calibri" w:hAnsi="Calibri" w:cs="Calibri"/>
        </w:rPr>
      </w:pPr>
      <w:r w:rsidRPr="005734B8">
        <w:rPr>
          <w:rFonts w:ascii="Calibri" w:hAnsi="Calibri" w:cs="Calibri"/>
          <w:b/>
        </w:rPr>
        <w:t>Other long-term benefits</w:t>
      </w:r>
      <w:r w:rsidRPr="005734B8">
        <w:rPr>
          <w:rFonts w:ascii="Calibri" w:hAnsi="Calibri" w:cs="Calibri"/>
        </w:rPr>
        <w:t xml:space="preserve"> include long service leave, other long-service benefit or deferred compensation. </w:t>
      </w:r>
    </w:p>
    <w:p w14:paraId="59D811E1" w14:textId="77777777" w:rsidR="00F1540A" w:rsidRPr="005734B8" w:rsidRDefault="00F1540A" w:rsidP="00F1540A">
      <w:pPr>
        <w:rPr>
          <w:rFonts w:ascii="Calibri" w:hAnsi="Calibri" w:cs="Calibri"/>
        </w:rPr>
      </w:pPr>
    </w:p>
    <w:p w14:paraId="5132D641" w14:textId="77777777" w:rsidR="00F1540A" w:rsidRPr="005734B8" w:rsidRDefault="00F1540A" w:rsidP="00F1540A">
      <w:pPr>
        <w:rPr>
          <w:rFonts w:ascii="Calibri" w:hAnsi="Calibri" w:cs="Calibri"/>
        </w:rPr>
      </w:pPr>
      <w:r w:rsidRPr="005734B8">
        <w:rPr>
          <w:rFonts w:ascii="Calibri" w:hAnsi="Calibri" w:cs="Calibri"/>
          <w:b/>
        </w:rPr>
        <w:t>Termination benefits</w:t>
      </w:r>
      <w:r w:rsidRPr="005734B8">
        <w:rPr>
          <w:rFonts w:ascii="Calibri" w:hAnsi="Calibri" w:cs="Calibri"/>
        </w:rPr>
        <w:t xml:space="preserve"> include termination of employment payments, such as severance packages.</w:t>
      </w:r>
    </w:p>
    <w:p w14:paraId="26525C93" w14:textId="77777777" w:rsidR="00F1540A" w:rsidRPr="005734B8" w:rsidRDefault="00F1540A" w:rsidP="00F1540A">
      <w:pPr>
        <w:rPr>
          <w:rFonts w:ascii="Calibri" w:hAnsi="Calibri" w:cs="Calibri"/>
        </w:rPr>
      </w:pPr>
    </w:p>
    <w:p w14:paraId="40B62887" w14:textId="0DF283EE" w:rsidR="00F1540A" w:rsidRPr="005734B8" w:rsidRDefault="00F1540A" w:rsidP="00F1540A">
      <w:pPr>
        <w:rPr>
          <w:rFonts w:ascii="Calibri" w:hAnsi="Calibri" w:cs="Calibri"/>
        </w:rPr>
      </w:pPr>
      <w:r w:rsidRPr="005734B8">
        <w:rPr>
          <w:rFonts w:ascii="Calibri" w:hAnsi="Calibri" w:cs="Calibri"/>
        </w:rPr>
        <w:t>Several factors affected total remuneration payable to executives over the year. A</w:t>
      </w:r>
      <w:r w:rsidR="003F5987" w:rsidRPr="005734B8">
        <w:rPr>
          <w:rFonts w:ascii="Calibri" w:hAnsi="Calibri" w:cs="Calibri"/>
        </w:rPr>
        <w:t> </w:t>
      </w:r>
      <w:r w:rsidRPr="005734B8">
        <w:rPr>
          <w:rFonts w:ascii="Calibri" w:hAnsi="Calibri" w:cs="Calibri"/>
        </w:rPr>
        <w:t>number of employment contracts were completed and renegotiated and a number of executive officers retired or resigned.</w:t>
      </w:r>
    </w:p>
    <w:p w14:paraId="273D9491" w14:textId="77777777" w:rsidR="00F1540A" w:rsidRPr="005734B8" w:rsidRDefault="00F1540A" w:rsidP="00F1540A">
      <w:pPr>
        <w:rPr>
          <w:rFonts w:ascii="Calibri" w:hAnsi="Calibri" w:cs="Calibri"/>
        </w:rPr>
      </w:pPr>
      <w:r w:rsidRPr="005734B8">
        <w:rPr>
          <w:rFonts w:ascii="Calibri" w:hAnsi="Calibri" w:cs="Calibri"/>
        </w:rPr>
        <w:br w:type="page"/>
      </w:r>
    </w:p>
    <w:p w14:paraId="00794A22" w14:textId="77777777" w:rsidR="00F1540A" w:rsidRPr="005734B8" w:rsidRDefault="00F1540A" w:rsidP="00F1540A">
      <w:pPr>
        <w:rPr>
          <w:rFonts w:ascii="Calibri" w:hAnsi="Calibri" w:cs="Calibri"/>
        </w:rPr>
      </w:pPr>
    </w:p>
    <w:tbl>
      <w:tblPr>
        <w:tblW w:w="7625" w:type="dxa"/>
        <w:tblInd w:w="75" w:type="dxa"/>
        <w:tblLayout w:type="fixed"/>
        <w:tblLook w:val="04A0" w:firstRow="1" w:lastRow="0" w:firstColumn="1" w:lastColumn="0" w:noHBand="0" w:noVBand="1"/>
      </w:tblPr>
      <w:tblGrid>
        <w:gridCol w:w="5452"/>
        <w:gridCol w:w="1091"/>
        <w:gridCol w:w="1082"/>
      </w:tblGrid>
      <w:tr w:rsidR="00F1540A" w:rsidRPr="005734B8" w14:paraId="5142FAB6" w14:textId="77777777" w:rsidTr="000F48B1">
        <w:trPr>
          <w:trHeight w:val="263"/>
        </w:trPr>
        <w:tc>
          <w:tcPr>
            <w:tcW w:w="5452" w:type="dxa"/>
            <w:tcBorders>
              <w:top w:val="nil"/>
              <w:left w:val="single" w:sz="4" w:space="0" w:color="FFFFFF"/>
              <w:bottom w:val="single" w:sz="4" w:space="0" w:color="FFFFFF"/>
              <w:right w:val="single" w:sz="4" w:space="0" w:color="FFFFFF"/>
            </w:tcBorders>
            <w:shd w:val="clear" w:color="000000" w:fill="AF272F"/>
            <w:vAlign w:val="center"/>
            <w:hideMark/>
          </w:tcPr>
          <w:p w14:paraId="481DAA75" w14:textId="77777777" w:rsidR="00F1540A" w:rsidRPr="005734B8" w:rsidRDefault="00F1540A" w:rsidP="000F48B1">
            <w:pPr>
              <w:jc w:val="center"/>
              <w:rPr>
                <w:rFonts w:ascii="Calibri" w:hAnsi="Calibri" w:cs="Calibri"/>
                <w:b/>
                <w:color w:val="FFFFFF"/>
                <w:sz w:val="18"/>
                <w:szCs w:val="18"/>
              </w:rPr>
            </w:pPr>
            <w:bookmarkStart w:id="1822" w:name="Note_RMETABLE1" w:colFirst="0" w:colLast="0"/>
            <w:r w:rsidRPr="005734B8">
              <w:rPr>
                <w:rFonts w:ascii="Calibri" w:hAnsi="Calibri" w:cs="Calibri"/>
                <w:b/>
                <w:color w:val="FFFFFF"/>
                <w:sz w:val="18"/>
                <w:szCs w:val="18"/>
              </w:rPr>
              <w:t> </w:t>
            </w:r>
          </w:p>
        </w:tc>
        <w:tc>
          <w:tcPr>
            <w:tcW w:w="2173" w:type="dxa"/>
            <w:gridSpan w:val="2"/>
            <w:tcBorders>
              <w:top w:val="nil"/>
              <w:left w:val="nil"/>
              <w:bottom w:val="single" w:sz="4" w:space="0" w:color="FFFFFF"/>
              <w:right w:val="single" w:sz="4" w:space="0" w:color="FFFFFF"/>
            </w:tcBorders>
            <w:shd w:val="clear" w:color="000000" w:fill="AF272F"/>
            <w:vAlign w:val="center"/>
            <w:hideMark/>
          </w:tcPr>
          <w:p w14:paraId="35211582"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Total Remuneration</w:t>
            </w:r>
          </w:p>
        </w:tc>
      </w:tr>
      <w:bookmarkEnd w:id="1822"/>
      <w:tr w:rsidR="00F1540A" w:rsidRPr="005734B8" w14:paraId="66943274" w14:textId="77777777" w:rsidTr="000F48B1">
        <w:trPr>
          <w:trHeight w:val="480"/>
        </w:trPr>
        <w:tc>
          <w:tcPr>
            <w:tcW w:w="5452" w:type="dxa"/>
            <w:tcBorders>
              <w:top w:val="nil"/>
              <w:left w:val="single" w:sz="4" w:space="0" w:color="FFFFFF"/>
              <w:bottom w:val="single" w:sz="4" w:space="0" w:color="FFFFFF"/>
              <w:right w:val="single" w:sz="4" w:space="0" w:color="FFFFFF"/>
            </w:tcBorders>
            <w:shd w:val="clear" w:color="000000" w:fill="AF272F"/>
            <w:vAlign w:val="center"/>
            <w:hideMark/>
          </w:tcPr>
          <w:p w14:paraId="1198F3D5" w14:textId="7777777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 </w:t>
            </w:r>
          </w:p>
        </w:tc>
        <w:tc>
          <w:tcPr>
            <w:tcW w:w="1091" w:type="dxa"/>
            <w:tcBorders>
              <w:top w:val="nil"/>
              <w:left w:val="nil"/>
              <w:bottom w:val="nil"/>
              <w:right w:val="single" w:sz="4" w:space="0" w:color="FFFFFF"/>
            </w:tcBorders>
            <w:shd w:val="clear" w:color="000000" w:fill="AF272F"/>
            <w:hideMark/>
          </w:tcPr>
          <w:p w14:paraId="33CEF272"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82" w:type="dxa"/>
            <w:tcBorders>
              <w:top w:val="nil"/>
              <w:left w:val="nil"/>
              <w:bottom w:val="nil"/>
              <w:right w:val="single" w:sz="4" w:space="0" w:color="FFFFFF"/>
            </w:tcBorders>
            <w:shd w:val="clear" w:color="000000" w:fill="AF272F"/>
            <w:hideMark/>
          </w:tcPr>
          <w:p w14:paraId="2537BE81"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Style w:val="FootnoteReference"/>
                <w:rFonts w:ascii="Calibri" w:hAnsi="Calibri" w:cs="Calibri"/>
                <w:b/>
                <w:color w:val="FFFFFF"/>
                <w:sz w:val="18"/>
                <w:szCs w:val="18"/>
              </w:rPr>
              <w:footnoteReference w:id="94"/>
            </w:r>
            <w:r w:rsidRPr="005734B8">
              <w:rPr>
                <w:rFonts w:ascii="Calibri" w:hAnsi="Calibri" w:cs="Calibri"/>
                <w:b/>
                <w:color w:val="FFFFFF"/>
                <w:sz w:val="18"/>
                <w:szCs w:val="18"/>
              </w:rPr>
              <w:br/>
              <w:t>($m)</w:t>
            </w:r>
          </w:p>
        </w:tc>
      </w:tr>
      <w:tr w:rsidR="00F1540A" w:rsidRPr="005734B8" w14:paraId="0A2E8496" w14:textId="77777777" w:rsidTr="000F48B1">
        <w:trPr>
          <w:trHeight w:val="255"/>
        </w:trPr>
        <w:tc>
          <w:tcPr>
            <w:tcW w:w="5452" w:type="dxa"/>
            <w:tcBorders>
              <w:top w:val="single" w:sz="4" w:space="0" w:color="auto"/>
              <w:left w:val="nil"/>
              <w:bottom w:val="single" w:sz="4" w:space="0" w:color="auto"/>
              <w:right w:val="nil"/>
            </w:tcBorders>
            <w:shd w:val="clear" w:color="FFFFFF" w:fill="FFFFFF"/>
            <w:vAlign w:val="center"/>
            <w:hideMark/>
          </w:tcPr>
          <w:p w14:paraId="5E6072F1"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Short-term employee benefits</w:t>
            </w:r>
          </w:p>
        </w:tc>
        <w:tc>
          <w:tcPr>
            <w:tcW w:w="1091" w:type="dxa"/>
            <w:tcBorders>
              <w:top w:val="single" w:sz="4" w:space="0" w:color="auto"/>
              <w:left w:val="single" w:sz="4" w:space="0" w:color="FFFFFF"/>
              <w:bottom w:val="single" w:sz="4" w:space="0" w:color="auto"/>
              <w:right w:val="single" w:sz="4" w:space="0" w:color="FFFFFF"/>
            </w:tcBorders>
            <w:shd w:val="clear" w:color="000000" w:fill="D9D9D9"/>
            <w:noWrap/>
            <w:vAlign w:val="center"/>
            <w:hideMark/>
          </w:tcPr>
          <w:p w14:paraId="3526697C"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22.8 </w:t>
            </w:r>
          </w:p>
        </w:tc>
        <w:tc>
          <w:tcPr>
            <w:tcW w:w="1082" w:type="dxa"/>
            <w:tcBorders>
              <w:top w:val="single" w:sz="4" w:space="0" w:color="auto"/>
              <w:left w:val="nil"/>
              <w:bottom w:val="single" w:sz="4" w:space="0" w:color="auto"/>
              <w:right w:val="single" w:sz="4" w:space="0" w:color="FFFFFF"/>
            </w:tcBorders>
            <w:shd w:val="clear" w:color="FFFFFF" w:fill="FFFFFF"/>
            <w:noWrap/>
            <w:vAlign w:val="center"/>
            <w:hideMark/>
          </w:tcPr>
          <w:p w14:paraId="1DA97D0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18.9 </w:t>
            </w:r>
          </w:p>
        </w:tc>
      </w:tr>
      <w:tr w:rsidR="00F1540A" w:rsidRPr="005734B8" w14:paraId="4168DBB2" w14:textId="77777777" w:rsidTr="000F48B1">
        <w:trPr>
          <w:trHeight w:val="255"/>
        </w:trPr>
        <w:tc>
          <w:tcPr>
            <w:tcW w:w="5452" w:type="dxa"/>
            <w:tcBorders>
              <w:top w:val="nil"/>
              <w:left w:val="nil"/>
              <w:bottom w:val="single" w:sz="4" w:space="0" w:color="auto"/>
              <w:right w:val="nil"/>
            </w:tcBorders>
            <w:shd w:val="clear" w:color="FFFFFF" w:fill="FFFFFF"/>
            <w:vAlign w:val="center"/>
            <w:hideMark/>
          </w:tcPr>
          <w:p w14:paraId="35A11874"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Post-employee benefits</w:t>
            </w:r>
          </w:p>
        </w:tc>
        <w:tc>
          <w:tcPr>
            <w:tcW w:w="1091" w:type="dxa"/>
            <w:tcBorders>
              <w:top w:val="nil"/>
              <w:left w:val="single" w:sz="4" w:space="0" w:color="FFFFFF"/>
              <w:bottom w:val="single" w:sz="4" w:space="0" w:color="auto"/>
              <w:right w:val="single" w:sz="4" w:space="0" w:color="FFFFFF"/>
            </w:tcBorders>
            <w:shd w:val="clear" w:color="000000" w:fill="D9D9D9"/>
            <w:noWrap/>
            <w:vAlign w:val="center"/>
            <w:hideMark/>
          </w:tcPr>
          <w:p w14:paraId="0033E93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1.9 </w:t>
            </w:r>
          </w:p>
        </w:tc>
        <w:tc>
          <w:tcPr>
            <w:tcW w:w="1082" w:type="dxa"/>
            <w:tcBorders>
              <w:top w:val="nil"/>
              <w:left w:val="nil"/>
              <w:bottom w:val="single" w:sz="4" w:space="0" w:color="auto"/>
              <w:right w:val="single" w:sz="4" w:space="0" w:color="FFFFFF"/>
            </w:tcBorders>
            <w:shd w:val="clear" w:color="FFFFFF" w:fill="FFFFFF"/>
            <w:noWrap/>
            <w:vAlign w:val="center"/>
            <w:hideMark/>
          </w:tcPr>
          <w:p w14:paraId="6285C87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1.6 </w:t>
            </w:r>
          </w:p>
        </w:tc>
      </w:tr>
      <w:tr w:rsidR="00F1540A" w:rsidRPr="005734B8" w14:paraId="6A1BBC64" w14:textId="77777777" w:rsidTr="000F48B1">
        <w:trPr>
          <w:trHeight w:val="255"/>
        </w:trPr>
        <w:tc>
          <w:tcPr>
            <w:tcW w:w="5452" w:type="dxa"/>
            <w:tcBorders>
              <w:top w:val="nil"/>
              <w:left w:val="nil"/>
              <w:bottom w:val="single" w:sz="4" w:space="0" w:color="auto"/>
              <w:right w:val="nil"/>
            </w:tcBorders>
            <w:shd w:val="clear" w:color="FFFFFF" w:fill="FFFFFF"/>
            <w:vAlign w:val="center"/>
            <w:hideMark/>
          </w:tcPr>
          <w:p w14:paraId="6EC108B0"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Other long-term benefits</w:t>
            </w:r>
          </w:p>
        </w:tc>
        <w:tc>
          <w:tcPr>
            <w:tcW w:w="1091" w:type="dxa"/>
            <w:tcBorders>
              <w:top w:val="nil"/>
              <w:left w:val="single" w:sz="4" w:space="0" w:color="FFFFFF"/>
              <w:bottom w:val="single" w:sz="4" w:space="0" w:color="auto"/>
              <w:right w:val="single" w:sz="4" w:space="0" w:color="FFFFFF"/>
            </w:tcBorders>
            <w:shd w:val="clear" w:color="000000" w:fill="D9D9D9"/>
            <w:noWrap/>
            <w:vAlign w:val="center"/>
            <w:hideMark/>
          </w:tcPr>
          <w:p w14:paraId="7E773DA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0.6 </w:t>
            </w:r>
          </w:p>
        </w:tc>
        <w:tc>
          <w:tcPr>
            <w:tcW w:w="1082" w:type="dxa"/>
            <w:tcBorders>
              <w:top w:val="nil"/>
              <w:left w:val="nil"/>
              <w:bottom w:val="single" w:sz="4" w:space="0" w:color="auto"/>
              <w:right w:val="single" w:sz="4" w:space="0" w:color="FFFFFF"/>
            </w:tcBorders>
            <w:shd w:val="clear" w:color="FFFFFF" w:fill="FFFFFF"/>
            <w:noWrap/>
            <w:vAlign w:val="center"/>
            <w:hideMark/>
          </w:tcPr>
          <w:p w14:paraId="3F84F0E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0.5 </w:t>
            </w:r>
          </w:p>
        </w:tc>
      </w:tr>
      <w:tr w:rsidR="00F1540A" w:rsidRPr="005734B8" w14:paraId="1A78586A" w14:textId="77777777" w:rsidTr="000F48B1">
        <w:trPr>
          <w:trHeight w:val="270"/>
        </w:trPr>
        <w:tc>
          <w:tcPr>
            <w:tcW w:w="5452" w:type="dxa"/>
            <w:tcBorders>
              <w:top w:val="nil"/>
              <w:left w:val="nil"/>
              <w:bottom w:val="single" w:sz="4" w:space="0" w:color="auto"/>
              <w:right w:val="nil"/>
            </w:tcBorders>
            <w:shd w:val="clear" w:color="FFFFFF" w:fill="FFFFFF"/>
            <w:vAlign w:val="center"/>
            <w:hideMark/>
          </w:tcPr>
          <w:p w14:paraId="451731AD"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Termination benefits</w:t>
            </w:r>
          </w:p>
        </w:tc>
        <w:tc>
          <w:tcPr>
            <w:tcW w:w="1091" w:type="dxa"/>
            <w:tcBorders>
              <w:top w:val="nil"/>
              <w:left w:val="single" w:sz="4" w:space="0" w:color="FFFFFF"/>
              <w:bottom w:val="single" w:sz="4" w:space="0" w:color="auto"/>
              <w:right w:val="single" w:sz="4" w:space="0" w:color="FFFFFF"/>
            </w:tcBorders>
            <w:shd w:val="clear" w:color="000000" w:fill="D9D9D9"/>
            <w:noWrap/>
            <w:vAlign w:val="center"/>
            <w:hideMark/>
          </w:tcPr>
          <w:p w14:paraId="25D9A28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0.3 </w:t>
            </w:r>
          </w:p>
        </w:tc>
        <w:tc>
          <w:tcPr>
            <w:tcW w:w="1082" w:type="dxa"/>
            <w:tcBorders>
              <w:top w:val="nil"/>
              <w:left w:val="nil"/>
              <w:bottom w:val="single" w:sz="4" w:space="0" w:color="auto"/>
              <w:right w:val="single" w:sz="4" w:space="0" w:color="FFFFFF"/>
            </w:tcBorders>
            <w:shd w:val="clear" w:color="FFFFFF" w:fill="FFFFFF"/>
            <w:noWrap/>
            <w:vAlign w:val="center"/>
            <w:hideMark/>
          </w:tcPr>
          <w:p w14:paraId="293CBF0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0.6 </w:t>
            </w:r>
          </w:p>
        </w:tc>
      </w:tr>
      <w:tr w:rsidR="00F1540A" w:rsidRPr="005734B8" w14:paraId="528E1304"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15E4A630"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remuneration</w:t>
            </w:r>
            <w:r w:rsidRPr="005734B8">
              <w:rPr>
                <w:rStyle w:val="FootnoteReference"/>
                <w:rFonts w:ascii="Calibri" w:hAnsi="Calibri" w:cs="Calibri"/>
                <w:b/>
                <w:sz w:val="18"/>
                <w:szCs w:val="18"/>
              </w:rPr>
              <w:footnoteReference w:id="95"/>
            </w:r>
          </w:p>
        </w:tc>
        <w:tc>
          <w:tcPr>
            <w:tcW w:w="1091" w:type="dxa"/>
            <w:tcBorders>
              <w:top w:val="single" w:sz="12" w:space="0" w:color="auto"/>
              <w:left w:val="single" w:sz="4" w:space="0" w:color="FFFFFF"/>
              <w:bottom w:val="nil"/>
              <w:right w:val="single" w:sz="4" w:space="0" w:color="FFFFFF"/>
            </w:tcBorders>
            <w:shd w:val="clear" w:color="000000" w:fill="D9D9D9"/>
            <w:noWrap/>
            <w:vAlign w:val="center"/>
            <w:hideMark/>
          </w:tcPr>
          <w:p w14:paraId="7FC84471"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25.6 </w:t>
            </w:r>
          </w:p>
        </w:tc>
        <w:tc>
          <w:tcPr>
            <w:tcW w:w="1082" w:type="dxa"/>
            <w:tcBorders>
              <w:top w:val="single" w:sz="12" w:space="0" w:color="auto"/>
              <w:left w:val="nil"/>
              <w:bottom w:val="single" w:sz="12" w:space="0" w:color="auto"/>
              <w:right w:val="nil"/>
            </w:tcBorders>
            <w:shd w:val="clear" w:color="FFFFFF" w:fill="FFFFFF"/>
            <w:noWrap/>
            <w:vAlign w:val="center"/>
            <w:hideMark/>
          </w:tcPr>
          <w:p w14:paraId="40F6AE6B"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21.2 </w:t>
            </w:r>
          </w:p>
        </w:tc>
      </w:tr>
      <w:tr w:rsidR="00F1540A" w:rsidRPr="005734B8" w14:paraId="3C47C53E" w14:textId="77777777" w:rsidTr="000F48B1">
        <w:trPr>
          <w:trHeight w:val="285"/>
        </w:trPr>
        <w:tc>
          <w:tcPr>
            <w:tcW w:w="5452" w:type="dxa"/>
            <w:tcBorders>
              <w:top w:val="nil"/>
              <w:left w:val="single" w:sz="12" w:space="0" w:color="FFFFFF"/>
              <w:bottom w:val="single" w:sz="12" w:space="0" w:color="auto"/>
              <w:right w:val="single" w:sz="12" w:space="0" w:color="FFFFFF"/>
            </w:tcBorders>
            <w:shd w:val="clear" w:color="FFFFFF" w:fill="FFFFFF"/>
            <w:vAlign w:val="center"/>
            <w:hideMark/>
          </w:tcPr>
          <w:p w14:paraId="2F7C599E"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number of executives</w:t>
            </w:r>
            <w:r w:rsidRPr="005734B8">
              <w:rPr>
                <w:rStyle w:val="FootnoteReference"/>
                <w:rFonts w:ascii="Calibri" w:hAnsi="Calibri" w:cs="Calibri"/>
                <w:b/>
                <w:sz w:val="18"/>
                <w:szCs w:val="18"/>
              </w:rPr>
              <w:footnoteReference w:id="96"/>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bottom"/>
            <w:hideMark/>
          </w:tcPr>
          <w:p w14:paraId="5086E215" w14:textId="77777777" w:rsidR="00F1540A" w:rsidRPr="005734B8" w:rsidRDefault="00F1540A" w:rsidP="000F48B1">
            <w:pPr>
              <w:ind w:left="30" w:right="-578"/>
              <w:jc w:val="center"/>
              <w:rPr>
                <w:rFonts w:ascii="Calibri" w:hAnsi="Calibri" w:cs="Calibri"/>
                <w:b/>
                <w:sz w:val="18"/>
                <w:szCs w:val="18"/>
              </w:rPr>
            </w:pPr>
            <w:r w:rsidRPr="005734B8">
              <w:rPr>
                <w:rFonts w:ascii="Calibri" w:hAnsi="Calibri" w:cs="Calibri"/>
                <w:b/>
                <w:sz w:val="18"/>
                <w:szCs w:val="18"/>
              </w:rPr>
              <w:t>116</w:t>
            </w:r>
          </w:p>
        </w:tc>
        <w:tc>
          <w:tcPr>
            <w:tcW w:w="1082" w:type="dxa"/>
            <w:tcBorders>
              <w:top w:val="nil"/>
              <w:left w:val="nil"/>
              <w:bottom w:val="single" w:sz="12" w:space="0" w:color="auto"/>
              <w:right w:val="nil"/>
            </w:tcBorders>
            <w:shd w:val="clear" w:color="FFFFFF" w:fill="FFFFFF"/>
            <w:noWrap/>
            <w:vAlign w:val="center"/>
            <w:hideMark/>
          </w:tcPr>
          <w:p w14:paraId="619C17B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96 </w:t>
            </w:r>
          </w:p>
        </w:tc>
      </w:tr>
      <w:tr w:rsidR="00F1540A" w:rsidRPr="005734B8" w14:paraId="23F3A641" w14:textId="77777777" w:rsidTr="000F48B1">
        <w:trPr>
          <w:trHeight w:val="285"/>
        </w:trPr>
        <w:tc>
          <w:tcPr>
            <w:tcW w:w="5452" w:type="dxa"/>
            <w:tcBorders>
              <w:top w:val="nil"/>
              <w:left w:val="single" w:sz="12" w:space="0" w:color="FFFFFF"/>
              <w:bottom w:val="single" w:sz="12" w:space="0" w:color="auto"/>
              <w:right w:val="single" w:sz="12" w:space="0" w:color="FFFFFF"/>
            </w:tcBorders>
            <w:shd w:val="clear" w:color="FFFFFF" w:fill="FFFFFF"/>
            <w:vAlign w:val="center"/>
            <w:hideMark/>
          </w:tcPr>
          <w:p w14:paraId="2866A09C"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 annualised employee equivalents</w:t>
            </w:r>
            <w:r w:rsidRPr="005734B8">
              <w:rPr>
                <w:rStyle w:val="FootnoteReference"/>
                <w:rFonts w:ascii="Calibri" w:hAnsi="Calibri" w:cs="Calibri"/>
                <w:b/>
                <w:sz w:val="18"/>
                <w:szCs w:val="18"/>
              </w:rPr>
              <w:footnoteReference w:id="97"/>
            </w:r>
          </w:p>
        </w:tc>
        <w:tc>
          <w:tcPr>
            <w:tcW w:w="1091" w:type="dxa"/>
            <w:tcBorders>
              <w:top w:val="nil"/>
              <w:left w:val="single" w:sz="4" w:space="0" w:color="FFFFFF"/>
              <w:bottom w:val="single" w:sz="12" w:space="0" w:color="auto"/>
              <w:right w:val="single" w:sz="4" w:space="0" w:color="FFFFFF"/>
            </w:tcBorders>
            <w:shd w:val="clear" w:color="000000" w:fill="D9D9D9"/>
            <w:noWrap/>
            <w:vAlign w:val="bottom"/>
            <w:hideMark/>
          </w:tcPr>
          <w:p w14:paraId="042C4649"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96.0</w:t>
            </w:r>
          </w:p>
        </w:tc>
        <w:tc>
          <w:tcPr>
            <w:tcW w:w="1082" w:type="dxa"/>
            <w:tcBorders>
              <w:top w:val="nil"/>
              <w:left w:val="nil"/>
              <w:bottom w:val="single" w:sz="12" w:space="0" w:color="auto"/>
              <w:right w:val="nil"/>
            </w:tcBorders>
            <w:shd w:val="clear" w:color="FFFFFF" w:fill="FFFFFF"/>
            <w:noWrap/>
            <w:vAlign w:val="center"/>
            <w:hideMark/>
          </w:tcPr>
          <w:p w14:paraId="3191082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83.4 </w:t>
            </w:r>
          </w:p>
        </w:tc>
      </w:tr>
    </w:tbl>
    <w:p w14:paraId="553DC169" w14:textId="77777777" w:rsidR="00F1540A" w:rsidRPr="005734B8" w:rsidRDefault="00F1540A" w:rsidP="00F1540A">
      <w:pPr>
        <w:pStyle w:val="ESHeading2"/>
        <w:rPr>
          <w:rFonts w:ascii="Calibri" w:hAnsi="Calibri" w:cs="Calibri"/>
        </w:rPr>
      </w:pPr>
      <w:bookmarkStart w:id="1823" w:name="_Toc11336449"/>
      <w:bookmarkStart w:id="1824" w:name="_Toc11336602"/>
      <w:bookmarkStart w:id="1825" w:name="_Toc13647206"/>
      <w:bookmarkStart w:id="1826" w:name="_Toc13656738"/>
      <w:bookmarkStart w:id="1827" w:name="_Toc13656900"/>
      <w:bookmarkStart w:id="1828" w:name="_Toc14965675"/>
      <w:bookmarkStart w:id="1829" w:name="_Toc15985325"/>
      <w:bookmarkStart w:id="1830" w:name="_Toc16231976"/>
      <w:bookmarkStart w:id="1831" w:name="_Toc36012804"/>
      <w:bookmarkStart w:id="1832" w:name="_Toc36012882"/>
      <w:bookmarkStart w:id="1833" w:name="_Toc36013379"/>
      <w:bookmarkStart w:id="1834" w:name="_Toc58243462"/>
      <w:bookmarkStart w:id="1835" w:name="_Toc72958112"/>
      <w:bookmarkStart w:id="1836" w:name="_Toc72958160"/>
      <w:bookmarkStart w:id="1837" w:name="_Toc80272099"/>
      <w:bookmarkStart w:id="1838" w:name="_Toc81315400"/>
      <w:bookmarkStart w:id="1839" w:name="_Hlk79785413"/>
      <w:r w:rsidRPr="005734B8">
        <w:rPr>
          <w:rFonts w:ascii="Calibri" w:hAnsi="Calibri" w:cs="Calibri"/>
        </w:rPr>
        <w:t>9.4</w:t>
      </w:r>
      <w:r w:rsidRPr="005734B8">
        <w:rPr>
          <w:rFonts w:ascii="Calibri" w:hAnsi="Calibri" w:cs="Calibri"/>
        </w:rPr>
        <w:tab/>
        <w:t>Responsible persons</w:t>
      </w:r>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p>
    <w:p w14:paraId="3D31C305" w14:textId="77777777" w:rsidR="00F1540A" w:rsidRPr="005734B8" w:rsidRDefault="00F1540A" w:rsidP="00F1540A">
      <w:pPr>
        <w:rPr>
          <w:rFonts w:ascii="Calibri" w:hAnsi="Calibri" w:cs="Calibri"/>
        </w:rPr>
      </w:pPr>
      <w:r w:rsidRPr="005734B8">
        <w:rPr>
          <w:rFonts w:ascii="Calibri" w:hAnsi="Calibri" w:cs="Calibri"/>
        </w:rPr>
        <w:t>In accordance with the Ministerial Directions issued by the Assistant Treasurer under the FM Act, the following disclosures are made regarding responsible persons for the reporting period.</w:t>
      </w:r>
    </w:p>
    <w:p w14:paraId="3913638B" w14:textId="77777777" w:rsidR="00F1540A" w:rsidRPr="005734B8" w:rsidRDefault="00F1540A" w:rsidP="000F6516">
      <w:pPr>
        <w:pStyle w:val="ESHeading3"/>
        <w:ind w:left="0" w:firstLine="0"/>
        <w:rPr>
          <w:rFonts w:ascii="Calibri" w:hAnsi="Calibri" w:cs="Calibri"/>
        </w:rPr>
      </w:pPr>
      <w:bookmarkStart w:id="1840" w:name="_Toc11336450"/>
      <w:bookmarkStart w:id="1841" w:name="_Toc14965676"/>
      <w:r w:rsidRPr="005734B8">
        <w:rPr>
          <w:rFonts w:ascii="Calibri" w:hAnsi="Calibri" w:cs="Calibri"/>
        </w:rPr>
        <w:t>Names</w:t>
      </w:r>
      <w:bookmarkEnd w:id="1840"/>
      <w:bookmarkEnd w:id="1841"/>
    </w:p>
    <w:p w14:paraId="37DEA556" w14:textId="77777777" w:rsidR="00F1540A" w:rsidRPr="005734B8" w:rsidRDefault="00F1540A" w:rsidP="00F1540A">
      <w:pPr>
        <w:rPr>
          <w:rFonts w:ascii="Calibri" w:hAnsi="Calibri" w:cs="Calibri"/>
        </w:rPr>
      </w:pPr>
      <w:r w:rsidRPr="005734B8">
        <w:rPr>
          <w:rFonts w:ascii="Calibri" w:hAnsi="Calibri" w:cs="Calibri"/>
        </w:rPr>
        <w:t>The persons who held the positions of ministers and accountable officers in the Department are as follows:</w:t>
      </w:r>
    </w:p>
    <w:p w14:paraId="7379A5E9" w14:textId="77777777" w:rsidR="00F1540A" w:rsidRPr="005734B8" w:rsidRDefault="00F1540A" w:rsidP="00F1540A">
      <w:pPr>
        <w:rPr>
          <w:rFonts w:ascii="Calibri" w:hAnsi="Calibri" w:cs="Calibri"/>
        </w:rPr>
      </w:pPr>
    </w:p>
    <w:tbl>
      <w:tblPr>
        <w:tblStyle w:val="TableGrid"/>
        <w:tblW w:w="4914"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1"/>
        <w:gridCol w:w="2832"/>
        <w:gridCol w:w="2692"/>
      </w:tblGrid>
      <w:tr w:rsidR="00F1540A" w:rsidRPr="005734B8" w14:paraId="3CA09783" w14:textId="77777777" w:rsidTr="000F48B1">
        <w:trPr>
          <w:cantSplit/>
          <w:trHeight w:val="77"/>
          <w:tblHeader/>
        </w:trPr>
        <w:tc>
          <w:tcPr>
            <w:tcW w:w="2263" w:type="dxa"/>
            <w:tcBorders>
              <w:bottom w:val="single" w:sz="4" w:space="0" w:color="FFFFFF" w:themeColor="background1"/>
            </w:tcBorders>
            <w:shd w:val="clear" w:color="auto" w:fill="AF272F"/>
          </w:tcPr>
          <w:p w14:paraId="1CDEDB66" w14:textId="77777777" w:rsidR="00F1540A" w:rsidRPr="005734B8" w:rsidRDefault="00F1540A" w:rsidP="000F48B1">
            <w:pPr>
              <w:pStyle w:val="ESTableheadingwhite"/>
              <w:spacing w:beforeLines="20" w:before="48" w:afterLines="20" w:after="48"/>
              <w:rPr>
                <w:rFonts w:ascii="Calibri" w:hAnsi="Calibri" w:cs="Calibri"/>
                <w:sz w:val="18"/>
              </w:rPr>
            </w:pPr>
            <w:r w:rsidRPr="005734B8">
              <w:rPr>
                <w:rFonts w:ascii="Calibri" w:hAnsi="Calibri" w:cs="Calibri"/>
                <w:sz w:val="18"/>
              </w:rPr>
              <w:t>Position</w:t>
            </w:r>
          </w:p>
        </w:tc>
        <w:tc>
          <w:tcPr>
            <w:tcW w:w="2835" w:type="dxa"/>
            <w:tcBorders>
              <w:bottom w:val="single" w:sz="4" w:space="0" w:color="FFFFFF" w:themeColor="background1"/>
            </w:tcBorders>
            <w:shd w:val="clear" w:color="auto" w:fill="AF272F"/>
          </w:tcPr>
          <w:p w14:paraId="2C93A65B" w14:textId="77777777" w:rsidR="00F1540A" w:rsidRPr="005734B8" w:rsidRDefault="00F1540A" w:rsidP="000F48B1">
            <w:pPr>
              <w:pStyle w:val="ESTableheadingwhite"/>
              <w:spacing w:beforeLines="20" w:before="48" w:afterLines="20" w:after="48"/>
              <w:rPr>
                <w:rFonts w:ascii="Calibri" w:hAnsi="Calibri" w:cs="Calibri"/>
                <w:sz w:val="18"/>
              </w:rPr>
            </w:pPr>
            <w:r w:rsidRPr="005734B8">
              <w:rPr>
                <w:rFonts w:ascii="Calibri" w:hAnsi="Calibri" w:cs="Calibri"/>
                <w:sz w:val="18"/>
                <w:lang w:eastAsia="en-AU"/>
              </w:rPr>
              <w:t>Name</w:t>
            </w:r>
          </w:p>
        </w:tc>
        <w:tc>
          <w:tcPr>
            <w:tcW w:w="2693" w:type="dxa"/>
            <w:tcBorders>
              <w:bottom w:val="single" w:sz="4" w:space="0" w:color="FFFFFF" w:themeColor="background1"/>
            </w:tcBorders>
            <w:shd w:val="clear" w:color="auto" w:fill="AF272F"/>
          </w:tcPr>
          <w:p w14:paraId="3761C3C8" w14:textId="77777777" w:rsidR="00F1540A" w:rsidRPr="005734B8" w:rsidRDefault="00F1540A" w:rsidP="000F48B1">
            <w:pPr>
              <w:pStyle w:val="ESTableheadingwhite"/>
              <w:spacing w:beforeLines="20" w:before="48" w:afterLines="20" w:after="48"/>
              <w:rPr>
                <w:rFonts w:ascii="Calibri" w:hAnsi="Calibri" w:cs="Calibri"/>
                <w:sz w:val="18"/>
                <w:lang w:eastAsia="en-AU"/>
              </w:rPr>
            </w:pPr>
            <w:r w:rsidRPr="005734B8">
              <w:rPr>
                <w:rFonts w:ascii="Calibri" w:hAnsi="Calibri" w:cs="Calibri"/>
                <w:sz w:val="18"/>
                <w:lang w:eastAsia="en-AU"/>
              </w:rPr>
              <w:t>Dates they were Minister/Secretary</w:t>
            </w:r>
          </w:p>
        </w:tc>
      </w:tr>
      <w:tr w:rsidR="00F1540A" w:rsidRPr="005734B8" w14:paraId="6449BFB1" w14:textId="77777777" w:rsidTr="000F48B1">
        <w:trPr>
          <w:cantSplit/>
          <w:trHeight w:val="151"/>
        </w:trPr>
        <w:tc>
          <w:tcPr>
            <w:tcW w:w="2263" w:type="dxa"/>
            <w:tcBorders>
              <w:top w:val="single" w:sz="4" w:space="0" w:color="53565A" w:themeColor="accent5"/>
              <w:bottom w:val="single" w:sz="4" w:space="0" w:color="53565A" w:themeColor="accent5"/>
            </w:tcBorders>
            <w:shd w:val="clear" w:color="auto" w:fill="auto"/>
          </w:tcPr>
          <w:p w14:paraId="77E15DD8" w14:textId="77777777" w:rsidR="00F1540A" w:rsidRPr="005734B8" w:rsidRDefault="00F1540A" w:rsidP="000F48B1">
            <w:pPr>
              <w:pStyle w:val="ESTablebody"/>
              <w:spacing w:beforeLines="20" w:before="48" w:afterLines="20" w:after="48"/>
              <w:rPr>
                <w:rFonts w:ascii="Calibri" w:hAnsi="Calibri" w:cs="Calibri"/>
                <w:sz w:val="18"/>
              </w:rPr>
            </w:pPr>
            <w:r w:rsidRPr="005734B8">
              <w:rPr>
                <w:rFonts w:ascii="Calibri" w:hAnsi="Calibri" w:cs="Calibri"/>
                <w:sz w:val="18"/>
              </w:rPr>
              <w:t>Minister for Education</w:t>
            </w:r>
          </w:p>
        </w:tc>
        <w:tc>
          <w:tcPr>
            <w:tcW w:w="2835" w:type="dxa"/>
            <w:tcBorders>
              <w:top w:val="single" w:sz="4" w:space="0" w:color="53565A" w:themeColor="accent5"/>
              <w:bottom w:val="single" w:sz="4" w:space="0" w:color="53565A" w:themeColor="accent5"/>
            </w:tcBorders>
            <w:shd w:val="clear" w:color="auto" w:fill="auto"/>
          </w:tcPr>
          <w:p w14:paraId="1BDA1ED5" w14:textId="7CD5ED8D" w:rsidR="00F1540A" w:rsidRPr="005734B8" w:rsidRDefault="00F1540A" w:rsidP="000F48B1">
            <w:pPr>
              <w:pStyle w:val="ESTablenumberrightaligned"/>
              <w:spacing w:beforeLines="20" w:before="48" w:afterLines="20" w:after="48"/>
              <w:jc w:val="left"/>
              <w:rPr>
                <w:rFonts w:ascii="Calibri" w:hAnsi="Calibri" w:cs="Calibri"/>
                <w:sz w:val="18"/>
              </w:rPr>
            </w:pPr>
            <w:r w:rsidRPr="005734B8">
              <w:rPr>
                <w:rFonts w:ascii="Calibri" w:hAnsi="Calibri" w:cs="Calibri"/>
                <w:color w:val="000000"/>
                <w:sz w:val="18"/>
              </w:rPr>
              <w:t>The Hon. James Merlino</w:t>
            </w:r>
            <w:r w:rsidR="006E0A5C" w:rsidRPr="005734B8">
              <w:rPr>
                <w:rFonts w:ascii="Calibri" w:hAnsi="Calibri" w:cs="Calibri"/>
                <w:color w:val="000000"/>
                <w:sz w:val="18"/>
              </w:rPr>
              <w:t>,</w:t>
            </w:r>
            <w:r w:rsidRPr="005734B8">
              <w:rPr>
                <w:rFonts w:ascii="Calibri" w:hAnsi="Calibri" w:cs="Calibri"/>
                <w:color w:val="000000"/>
                <w:sz w:val="18"/>
              </w:rPr>
              <w:t xml:space="preserve"> MP</w:t>
            </w:r>
          </w:p>
        </w:tc>
        <w:tc>
          <w:tcPr>
            <w:tcW w:w="2693" w:type="dxa"/>
            <w:tcBorders>
              <w:top w:val="single" w:sz="4" w:space="0" w:color="53565A" w:themeColor="accent5"/>
              <w:bottom w:val="single" w:sz="4" w:space="0" w:color="53565A" w:themeColor="accent5"/>
            </w:tcBorders>
            <w:shd w:val="clear" w:color="auto" w:fill="auto"/>
          </w:tcPr>
          <w:p w14:paraId="19DD927F" w14:textId="77777777" w:rsidR="00F1540A" w:rsidRPr="005734B8" w:rsidRDefault="00F1540A" w:rsidP="000F48B1">
            <w:pPr>
              <w:pStyle w:val="ESTablenumberrightaligned"/>
              <w:spacing w:beforeLines="20" w:before="48" w:afterLines="20" w:after="48"/>
              <w:jc w:val="left"/>
              <w:rPr>
                <w:rFonts w:ascii="Calibri" w:hAnsi="Calibri" w:cs="Calibri"/>
                <w:sz w:val="18"/>
              </w:rPr>
            </w:pPr>
            <w:r w:rsidRPr="005734B8">
              <w:rPr>
                <w:rFonts w:ascii="Calibri" w:hAnsi="Calibri" w:cs="Calibri"/>
                <w:color w:val="000000"/>
                <w:sz w:val="18"/>
              </w:rPr>
              <w:t>1 July 2020 to 30 June 2021</w:t>
            </w:r>
          </w:p>
        </w:tc>
      </w:tr>
      <w:tr w:rsidR="00F1540A" w:rsidRPr="005734B8" w14:paraId="157B6187" w14:textId="77777777" w:rsidTr="000F48B1">
        <w:trPr>
          <w:cantSplit/>
          <w:trHeight w:val="82"/>
        </w:trPr>
        <w:tc>
          <w:tcPr>
            <w:tcW w:w="2263" w:type="dxa"/>
            <w:tcBorders>
              <w:top w:val="single" w:sz="4" w:space="0" w:color="53565A" w:themeColor="accent5"/>
              <w:bottom w:val="single" w:sz="4" w:space="0" w:color="53565A" w:themeColor="accent5"/>
            </w:tcBorders>
            <w:shd w:val="clear" w:color="auto" w:fill="auto"/>
          </w:tcPr>
          <w:p w14:paraId="7C4BD3EC" w14:textId="77777777" w:rsidR="00F1540A" w:rsidRPr="005734B8" w:rsidRDefault="00F1540A" w:rsidP="000F48B1">
            <w:pPr>
              <w:pStyle w:val="ESTablebody"/>
              <w:spacing w:beforeLines="20" w:before="48" w:afterLines="20" w:after="48"/>
              <w:rPr>
                <w:rFonts w:ascii="Calibri" w:hAnsi="Calibri" w:cs="Calibri"/>
                <w:sz w:val="18"/>
              </w:rPr>
            </w:pPr>
            <w:r w:rsidRPr="005734B8">
              <w:rPr>
                <w:rFonts w:ascii="Calibri" w:hAnsi="Calibri" w:cs="Calibri"/>
                <w:sz w:val="18"/>
              </w:rPr>
              <w:t>Minister for Training and Skills</w:t>
            </w:r>
          </w:p>
          <w:p w14:paraId="040DF0C9" w14:textId="77777777" w:rsidR="00F1540A" w:rsidRPr="005734B8" w:rsidRDefault="00F1540A" w:rsidP="000F48B1">
            <w:pPr>
              <w:pStyle w:val="ESTablebody"/>
              <w:spacing w:beforeLines="20" w:before="48" w:afterLines="20" w:after="48"/>
              <w:rPr>
                <w:rFonts w:ascii="Calibri" w:hAnsi="Calibri" w:cs="Calibri"/>
                <w:sz w:val="18"/>
              </w:rPr>
            </w:pPr>
            <w:r w:rsidRPr="005734B8">
              <w:rPr>
                <w:rFonts w:ascii="Calibri" w:hAnsi="Calibri" w:cs="Calibri"/>
                <w:sz w:val="18"/>
              </w:rPr>
              <w:t>Minister for Higher Education</w:t>
            </w:r>
          </w:p>
        </w:tc>
        <w:tc>
          <w:tcPr>
            <w:tcW w:w="2835" w:type="dxa"/>
            <w:tcBorders>
              <w:top w:val="single" w:sz="4" w:space="0" w:color="53565A" w:themeColor="accent5"/>
              <w:bottom w:val="single" w:sz="4" w:space="0" w:color="53565A" w:themeColor="accent5"/>
            </w:tcBorders>
            <w:shd w:val="clear" w:color="auto" w:fill="auto"/>
          </w:tcPr>
          <w:p w14:paraId="25DAFFCD" w14:textId="7B9E23F2" w:rsidR="00F1540A" w:rsidRPr="005734B8" w:rsidRDefault="00F1540A" w:rsidP="000F48B1">
            <w:pPr>
              <w:pStyle w:val="ESTablenumberrightaligned"/>
              <w:spacing w:beforeLines="20" w:before="48" w:afterLines="20" w:after="48"/>
              <w:jc w:val="left"/>
              <w:rPr>
                <w:rFonts w:ascii="Calibri" w:hAnsi="Calibri" w:cs="Calibri"/>
                <w:sz w:val="18"/>
              </w:rPr>
            </w:pPr>
            <w:r w:rsidRPr="005734B8">
              <w:rPr>
                <w:rFonts w:ascii="Calibri" w:hAnsi="Calibri" w:cs="Calibri"/>
                <w:sz w:val="18"/>
              </w:rPr>
              <w:t>The Hon. Gayle Tierney</w:t>
            </w:r>
            <w:r w:rsidR="006E0A5C" w:rsidRPr="005734B8">
              <w:rPr>
                <w:rFonts w:ascii="Calibri" w:hAnsi="Calibri" w:cs="Calibri"/>
                <w:sz w:val="18"/>
              </w:rPr>
              <w:t>,</w:t>
            </w:r>
            <w:r w:rsidRPr="005734B8">
              <w:rPr>
                <w:rFonts w:ascii="Calibri" w:hAnsi="Calibri" w:cs="Calibri"/>
                <w:sz w:val="18"/>
              </w:rPr>
              <w:t xml:space="preserve"> MP</w:t>
            </w:r>
          </w:p>
        </w:tc>
        <w:tc>
          <w:tcPr>
            <w:tcW w:w="2693" w:type="dxa"/>
            <w:tcBorders>
              <w:top w:val="single" w:sz="4" w:space="0" w:color="53565A" w:themeColor="accent5"/>
              <w:bottom w:val="single" w:sz="4" w:space="0" w:color="53565A" w:themeColor="accent5"/>
            </w:tcBorders>
            <w:shd w:val="clear" w:color="auto" w:fill="auto"/>
          </w:tcPr>
          <w:p w14:paraId="5D941876" w14:textId="77777777" w:rsidR="00F1540A" w:rsidRPr="005734B8" w:rsidRDefault="00F1540A" w:rsidP="000F48B1">
            <w:pPr>
              <w:pStyle w:val="ESTablenumberrightaligned"/>
              <w:spacing w:beforeLines="20" w:before="48" w:afterLines="20" w:after="48"/>
              <w:jc w:val="left"/>
              <w:rPr>
                <w:rFonts w:ascii="Calibri" w:hAnsi="Calibri" w:cs="Calibri"/>
                <w:sz w:val="18"/>
              </w:rPr>
            </w:pPr>
            <w:r w:rsidRPr="005734B8">
              <w:rPr>
                <w:rFonts w:ascii="Calibri" w:hAnsi="Calibri" w:cs="Calibri"/>
                <w:sz w:val="18"/>
              </w:rPr>
              <w:t>1 July 2020 to 30 June 2021</w:t>
            </w:r>
          </w:p>
        </w:tc>
      </w:tr>
      <w:tr w:rsidR="00F1540A" w:rsidRPr="005734B8" w14:paraId="014D7117" w14:textId="77777777" w:rsidTr="000F48B1">
        <w:trPr>
          <w:cantSplit/>
          <w:trHeight w:val="82"/>
        </w:trPr>
        <w:tc>
          <w:tcPr>
            <w:tcW w:w="2263" w:type="dxa"/>
            <w:tcBorders>
              <w:top w:val="single" w:sz="4" w:space="0" w:color="53565A" w:themeColor="accent5"/>
              <w:bottom w:val="single" w:sz="4" w:space="0" w:color="53565A" w:themeColor="accent5"/>
            </w:tcBorders>
            <w:shd w:val="clear" w:color="auto" w:fill="auto"/>
          </w:tcPr>
          <w:p w14:paraId="395938C8" w14:textId="565F8DF8" w:rsidR="00F1540A" w:rsidRPr="005734B8" w:rsidRDefault="00F1540A" w:rsidP="000F48B1">
            <w:pPr>
              <w:pStyle w:val="ESTablebody"/>
              <w:spacing w:beforeLines="20" w:before="48" w:afterLines="20" w:after="48"/>
              <w:rPr>
                <w:rFonts w:ascii="Calibri" w:hAnsi="Calibri" w:cs="Calibri"/>
                <w:sz w:val="18"/>
              </w:rPr>
            </w:pPr>
            <w:r w:rsidRPr="005734B8">
              <w:rPr>
                <w:rFonts w:ascii="Calibri" w:hAnsi="Calibri" w:cs="Calibri"/>
                <w:sz w:val="18"/>
              </w:rPr>
              <w:t>Minister for Early Childhood</w:t>
            </w:r>
          </w:p>
        </w:tc>
        <w:tc>
          <w:tcPr>
            <w:tcW w:w="2835" w:type="dxa"/>
            <w:tcBorders>
              <w:top w:val="single" w:sz="4" w:space="0" w:color="53565A" w:themeColor="accent5"/>
              <w:bottom w:val="single" w:sz="4" w:space="0" w:color="53565A" w:themeColor="accent5"/>
            </w:tcBorders>
            <w:shd w:val="clear" w:color="auto" w:fill="auto"/>
          </w:tcPr>
          <w:p w14:paraId="2EE42819" w14:textId="115FDA82" w:rsidR="00F1540A" w:rsidRPr="005734B8" w:rsidRDefault="0043574D" w:rsidP="000F48B1">
            <w:pPr>
              <w:pStyle w:val="ESTablenumberrightaligned"/>
              <w:spacing w:beforeLines="20" w:before="48" w:afterLines="20" w:after="48"/>
              <w:jc w:val="left"/>
              <w:rPr>
                <w:rFonts w:ascii="Calibri" w:hAnsi="Calibri" w:cs="Calibri"/>
                <w:sz w:val="18"/>
              </w:rPr>
            </w:pPr>
            <w:r>
              <w:rPr>
                <w:rFonts w:ascii="Calibri" w:hAnsi="Calibri" w:cs="Calibri"/>
                <w:sz w:val="18"/>
              </w:rPr>
              <w:t>Ms</w:t>
            </w:r>
            <w:r w:rsidR="00F1540A" w:rsidRPr="005734B8">
              <w:rPr>
                <w:rFonts w:ascii="Calibri" w:hAnsi="Calibri" w:cs="Calibri"/>
                <w:sz w:val="18"/>
              </w:rPr>
              <w:t xml:space="preserve"> Ingrid Stitt</w:t>
            </w:r>
            <w:r w:rsidR="006E0A5C" w:rsidRPr="005734B8">
              <w:rPr>
                <w:rFonts w:ascii="Calibri" w:hAnsi="Calibri" w:cs="Calibri"/>
                <w:sz w:val="18"/>
              </w:rPr>
              <w:t>,</w:t>
            </w:r>
            <w:r w:rsidR="00F1540A" w:rsidRPr="005734B8">
              <w:rPr>
                <w:rFonts w:ascii="Calibri" w:hAnsi="Calibri" w:cs="Calibri"/>
                <w:sz w:val="18"/>
              </w:rPr>
              <w:t xml:space="preserve"> MP</w:t>
            </w:r>
          </w:p>
        </w:tc>
        <w:tc>
          <w:tcPr>
            <w:tcW w:w="2693" w:type="dxa"/>
            <w:tcBorders>
              <w:top w:val="single" w:sz="4" w:space="0" w:color="53565A" w:themeColor="accent5"/>
              <w:bottom w:val="single" w:sz="4" w:space="0" w:color="53565A" w:themeColor="accent5"/>
            </w:tcBorders>
            <w:shd w:val="clear" w:color="auto" w:fill="auto"/>
          </w:tcPr>
          <w:p w14:paraId="01E31FF3" w14:textId="77777777" w:rsidR="00F1540A" w:rsidRPr="005734B8" w:rsidRDefault="00F1540A" w:rsidP="000F48B1">
            <w:pPr>
              <w:pStyle w:val="ESTablenumberrightaligned"/>
              <w:spacing w:beforeLines="20" w:before="48" w:afterLines="20" w:after="48"/>
              <w:jc w:val="left"/>
              <w:rPr>
                <w:rFonts w:ascii="Calibri" w:hAnsi="Calibri" w:cs="Calibri"/>
                <w:sz w:val="18"/>
              </w:rPr>
            </w:pPr>
            <w:r w:rsidRPr="005734B8">
              <w:rPr>
                <w:rFonts w:ascii="Calibri" w:hAnsi="Calibri" w:cs="Calibri"/>
                <w:sz w:val="18"/>
              </w:rPr>
              <w:t>29 September 2020 to 30 June 2021</w:t>
            </w:r>
          </w:p>
        </w:tc>
      </w:tr>
      <w:tr w:rsidR="00F1540A" w:rsidRPr="005734B8" w14:paraId="3DD8E162" w14:textId="77777777" w:rsidTr="000F48B1">
        <w:trPr>
          <w:cantSplit/>
          <w:trHeight w:val="82"/>
        </w:trPr>
        <w:tc>
          <w:tcPr>
            <w:tcW w:w="2263" w:type="dxa"/>
            <w:tcBorders>
              <w:top w:val="single" w:sz="4" w:space="0" w:color="53565A" w:themeColor="accent5"/>
              <w:bottom w:val="single" w:sz="4" w:space="0" w:color="53565A" w:themeColor="accent5"/>
            </w:tcBorders>
            <w:shd w:val="clear" w:color="auto" w:fill="auto"/>
          </w:tcPr>
          <w:p w14:paraId="12F84199" w14:textId="77777777" w:rsidR="00F1540A" w:rsidRPr="005734B8" w:rsidRDefault="00F1540A" w:rsidP="000F48B1">
            <w:pPr>
              <w:pStyle w:val="ESTablebody"/>
              <w:spacing w:beforeLines="20" w:before="48" w:afterLines="20" w:after="48"/>
              <w:rPr>
                <w:rFonts w:ascii="Calibri" w:hAnsi="Calibri" w:cs="Calibri"/>
                <w:sz w:val="18"/>
              </w:rPr>
            </w:pPr>
            <w:r w:rsidRPr="005734B8">
              <w:rPr>
                <w:rFonts w:ascii="Calibri" w:hAnsi="Calibri" w:cs="Calibri"/>
                <w:sz w:val="18"/>
              </w:rPr>
              <w:t>Secretary</w:t>
            </w:r>
          </w:p>
        </w:tc>
        <w:tc>
          <w:tcPr>
            <w:tcW w:w="2835" w:type="dxa"/>
            <w:tcBorders>
              <w:top w:val="single" w:sz="4" w:space="0" w:color="53565A" w:themeColor="accent5"/>
              <w:bottom w:val="single" w:sz="4" w:space="0" w:color="53565A" w:themeColor="accent5"/>
            </w:tcBorders>
            <w:shd w:val="clear" w:color="auto" w:fill="auto"/>
          </w:tcPr>
          <w:p w14:paraId="58F94492" w14:textId="77777777" w:rsidR="00F1540A" w:rsidRPr="005734B8" w:rsidRDefault="00F1540A" w:rsidP="000F48B1">
            <w:pPr>
              <w:pStyle w:val="ESTablenumberrightaligned"/>
              <w:spacing w:beforeLines="20" w:before="48" w:afterLines="20" w:after="48"/>
              <w:jc w:val="left"/>
              <w:rPr>
                <w:rFonts w:ascii="Calibri" w:hAnsi="Calibri" w:cs="Calibri"/>
                <w:sz w:val="18"/>
              </w:rPr>
            </w:pPr>
            <w:r w:rsidRPr="005734B8">
              <w:rPr>
                <w:rFonts w:ascii="Calibri" w:hAnsi="Calibri" w:cs="Calibri"/>
                <w:sz w:val="18"/>
              </w:rPr>
              <w:t>Jenny Atta</w:t>
            </w:r>
          </w:p>
        </w:tc>
        <w:tc>
          <w:tcPr>
            <w:tcW w:w="2693" w:type="dxa"/>
            <w:tcBorders>
              <w:top w:val="single" w:sz="4" w:space="0" w:color="53565A" w:themeColor="accent5"/>
              <w:bottom w:val="single" w:sz="4" w:space="0" w:color="53565A" w:themeColor="accent5"/>
            </w:tcBorders>
            <w:shd w:val="clear" w:color="auto" w:fill="auto"/>
          </w:tcPr>
          <w:p w14:paraId="6DC87261" w14:textId="77777777" w:rsidR="00F1540A" w:rsidRPr="005734B8" w:rsidRDefault="00F1540A" w:rsidP="000F48B1">
            <w:pPr>
              <w:pStyle w:val="ESTablenumberrightaligned"/>
              <w:spacing w:beforeLines="20" w:before="48" w:afterLines="20" w:after="48"/>
              <w:jc w:val="left"/>
              <w:rPr>
                <w:rFonts w:ascii="Calibri" w:hAnsi="Calibri" w:cs="Calibri"/>
                <w:sz w:val="18"/>
              </w:rPr>
            </w:pPr>
            <w:r w:rsidRPr="005734B8">
              <w:rPr>
                <w:rFonts w:ascii="Calibri" w:hAnsi="Calibri" w:cs="Calibri"/>
                <w:sz w:val="18"/>
              </w:rPr>
              <w:t>1 July 2020 to 30 June 2021</w:t>
            </w:r>
          </w:p>
        </w:tc>
      </w:tr>
    </w:tbl>
    <w:p w14:paraId="444B470A" w14:textId="77777777" w:rsidR="00F1540A" w:rsidRPr="005734B8" w:rsidRDefault="00F1540A" w:rsidP="00F1540A">
      <w:pPr>
        <w:ind w:left="720"/>
        <w:rPr>
          <w:rFonts w:ascii="Calibri" w:hAnsi="Calibri" w:cs="Calibri"/>
          <w:sz w:val="16"/>
          <w:szCs w:val="16"/>
        </w:rPr>
      </w:pPr>
    </w:p>
    <w:p w14:paraId="16F12DB1" w14:textId="1FDFA8CC" w:rsidR="00F1540A" w:rsidRPr="005734B8" w:rsidRDefault="00F1540A" w:rsidP="00F1540A">
      <w:pPr>
        <w:rPr>
          <w:rFonts w:ascii="Calibri" w:eastAsia="Arial" w:hAnsi="Calibri" w:cs="Calibri"/>
        </w:rPr>
      </w:pPr>
      <w:r w:rsidRPr="005734B8">
        <w:rPr>
          <w:rFonts w:ascii="Calibri" w:eastAsia="Arial" w:hAnsi="Calibri" w:cs="Calibri"/>
        </w:rPr>
        <w:t>The Hon. Gayle Tierney</w:t>
      </w:r>
      <w:r w:rsidR="006E0A5C" w:rsidRPr="005734B8">
        <w:rPr>
          <w:rFonts w:ascii="Calibri" w:eastAsia="Arial" w:hAnsi="Calibri" w:cs="Calibri"/>
        </w:rPr>
        <w:t>,</w:t>
      </w:r>
      <w:r w:rsidRPr="005734B8">
        <w:rPr>
          <w:rFonts w:ascii="Calibri" w:eastAsia="Arial" w:hAnsi="Calibri" w:cs="Calibri"/>
        </w:rPr>
        <w:t xml:space="preserve"> MP acted in the office of the Minister for Education from 27</w:t>
      </w:r>
      <w:r w:rsidR="00182976" w:rsidRPr="005734B8">
        <w:rPr>
          <w:rFonts w:ascii="Calibri" w:eastAsia="Arial" w:hAnsi="Calibri" w:cs="Calibri"/>
        </w:rPr>
        <w:t> </w:t>
      </w:r>
      <w:r w:rsidRPr="005734B8">
        <w:rPr>
          <w:rFonts w:ascii="Calibri" w:eastAsia="Arial" w:hAnsi="Calibri" w:cs="Calibri"/>
        </w:rPr>
        <w:t>December 2020 to 6 January 2021.</w:t>
      </w:r>
    </w:p>
    <w:p w14:paraId="3D7297B9" w14:textId="77777777" w:rsidR="00F1540A" w:rsidRPr="005734B8" w:rsidRDefault="00F1540A" w:rsidP="00F1540A">
      <w:pPr>
        <w:rPr>
          <w:rFonts w:ascii="Calibri" w:eastAsia="Arial" w:hAnsi="Calibri" w:cs="Calibri"/>
        </w:rPr>
      </w:pPr>
    </w:p>
    <w:p w14:paraId="7033656D" w14:textId="090C85DE" w:rsidR="00F1540A" w:rsidRPr="005734B8" w:rsidRDefault="00281E46" w:rsidP="00F1540A">
      <w:pPr>
        <w:rPr>
          <w:rFonts w:ascii="Calibri" w:eastAsia="Arial" w:hAnsi="Calibri" w:cs="Calibri"/>
        </w:rPr>
      </w:pPr>
      <w:r>
        <w:rPr>
          <w:rFonts w:ascii="Calibri" w:eastAsia="Arial" w:hAnsi="Calibri" w:cs="Calibri"/>
        </w:rPr>
        <w:t>Ms</w:t>
      </w:r>
      <w:r w:rsidR="00F1540A" w:rsidRPr="005734B8">
        <w:rPr>
          <w:rFonts w:ascii="Calibri" w:eastAsia="Arial" w:hAnsi="Calibri" w:cs="Calibri"/>
        </w:rPr>
        <w:t xml:space="preserve"> Ingrid Stitt</w:t>
      </w:r>
      <w:r w:rsidR="00182976" w:rsidRPr="005734B8">
        <w:rPr>
          <w:rFonts w:ascii="Calibri" w:eastAsia="Arial" w:hAnsi="Calibri" w:cs="Calibri"/>
        </w:rPr>
        <w:t>,</w:t>
      </w:r>
      <w:r w:rsidR="00F1540A" w:rsidRPr="005734B8">
        <w:rPr>
          <w:rFonts w:ascii="Calibri" w:eastAsia="Arial" w:hAnsi="Calibri" w:cs="Calibri"/>
        </w:rPr>
        <w:t xml:space="preserve"> MP acted in the office of the Minister for Education, Minister for Training and Skills and Minister for Higher Education from 7 January 2021 to 10 January</w:t>
      </w:r>
      <w:r w:rsidR="00182976" w:rsidRPr="005734B8">
        <w:rPr>
          <w:rFonts w:ascii="Calibri" w:eastAsia="Arial" w:hAnsi="Calibri" w:cs="Calibri"/>
        </w:rPr>
        <w:t> </w:t>
      </w:r>
      <w:r w:rsidR="00F1540A" w:rsidRPr="005734B8">
        <w:rPr>
          <w:rFonts w:ascii="Calibri" w:eastAsia="Arial" w:hAnsi="Calibri" w:cs="Calibri"/>
        </w:rPr>
        <w:t>2021.</w:t>
      </w:r>
    </w:p>
    <w:p w14:paraId="7EC702E6" w14:textId="77777777" w:rsidR="00F1540A" w:rsidRPr="005734B8" w:rsidRDefault="00F1540A" w:rsidP="00F1540A">
      <w:pPr>
        <w:rPr>
          <w:rFonts w:ascii="Calibri" w:eastAsia="Arial" w:hAnsi="Calibri" w:cs="Calibri"/>
        </w:rPr>
      </w:pPr>
    </w:p>
    <w:p w14:paraId="33C73EF2" w14:textId="47DE9563" w:rsidR="00F1540A" w:rsidRPr="005734B8" w:rsidRDefault="00F1540A" w:rsidP="00F1540A">
      <w:pPr>
        <w:rPr>
          <w:rFonts w:ascii="Calibri" w:eastAsia="Arial" w:hAnsi="Calibri" w:cs="Calibri"/>
        </w:rPr>
      </w:pPr>
      <w:r w:rsidRPr="005734B8">
        <w:rPr>
          <w:rFonts w:ascii="Calibri" w:eastAsia="Arial" w:hAnsi="Calibri" w:cs="Calibri"/>
        </w:rPr>
        <w:t>The Hon. James Merlino</w:t>
      </w:r>
      <w:r w:rsidR="00182976" w:rsidRPr="005734B8">
        <w:rPr>
          <w:rFonts w:ascii="Calibri" w:eastAsia="Arial" w:hAnsi="Calibri" w:cs="Calibri"/>
        </w:rPr>
        <w:t>,</w:t>
      </w:r>
      <w:r w:rsidRPr="005734B8">
        <w:rPr>
          <w:rFonts w:ascii="Calibri" w:eastAsia="Arial" w:hAnsi="Calibri" w:cs="Calibri"/>
        </w:rPr>
        <w:t xml:space="preserve"> MP acted in the office of the Minister for Training and Skills and Minister for Higher Education from 20 to 29 July 2020, 19 to 20 October, 11 to 25</w:t>
      </w:r>
      <w:r w:rsidR="00182976" w:rsidRPr="005734B8">
        <w:rPr>
          <w:rFonts w:ascii="Calibri" w:eastAsia="Arial" w:hAnsi="Calibri" w:cs="Calibri"/>
        </w:rPr>
        <w:t> </w:t>
      </w:r>
      <w:r w:rsidRPr="005734B8">
        <w:rPr>
          <w:rFonts w:ascii="Calibri" w:eastAsia="Arial" w:hAnsi="Calibri" w:cs="Calibri"/>
        </w:rPr>
        <w:t xml:space="preserve">January, </w:t>
      </w:r>
      <w:r w:rsidR="00182976" w:rsidRPr="005734B8">
        <w:rPr>
          <w:rFonts w:ascii="Calibri" w:eastAsia="Arial" w:hAnsi="Calibri" w:cs="Calibri"/>
        </w:rPr>
        <w:t xml:space="preserve">and </w:t>
      </w:r>
      <w:r w:rsidRPr="005734B8">
        <w:rPr>
          <w:rFonts w:ascii="Calibri" w:eastAsia="Arial" w:hAnsi="Calibri" w:cs="Calibri"/>
        </w:rPr>
        <w:t>8 to 13 April</w:t>
      </w:r>
      <w:r w:rsidR="00182976" w:rsidRPr="005734B8">
        <w:rPr>
          <w:rFonts w:ascii="Calibri" w:eastAsia="Arial" w:hAnsi="Calibri" w:cs="Calibri"/>
        </w:rPr>
        <w:t>,</w:t>
      </w:r>
      <w:r w:rsidRPr="005734B8">
        <w:rPr>
          <w:rFonts w:ascii="Calibri" w:eastAsia="Arial" w:hAnsi="Calibri" w:cs="Calibri"/>
        </w:rPr>
        <w:t xml:space="preserve"> and acted in the office of the Minister </w:t>
      </w:r>
      <w:r w:rsidR="00182976" w:rsidRPr="005734B8">
        <w:rPr>
          <w:rFonts w:ascii="Calibri" w:eastAsia="Arial" w:hAnsi="Calibri" w:cs="Calibri"/>
        </w:rPr>
        <w:t>for</w:t>
      </w:r>
      <w:r w:rsidRPr="005734B8">
        <w:rPr>
          <w:rFonts w:ascii="Calibri" w:eastAsia="Arial" w:hAnsi="Calibri" w:cs="Calibri"/>
        </w:rPr>
        <w:t xml:space="preserve"> Early Childhood from 22 to 26 December 2020.</w:t>
      </w:r>
    </w:p>
    <w:p w14:paraId="472084D2" w14:textId="77777777" w:rsidR="00F1540A" w:rsidRPr="005734B8" w:rsidRDefault="00F1540A" w:rsidP="00F1540A">
      <w:pPr>
        <w:rPr>
          <w:rFonts w:ascii="Calibri" w:eastAsia="Arial" w:hAnsi="Calibri" w:cs="Calibri"/>
        </w:rPr>
      </w:pPr>
      <w:r w:rsidRPr="005734B8">
        <w:rPr>
          <w:rFonts w:ascii="Calibri" w:eastAsia="Arial" w:hAnsi="Calibri" w:cs="Calibri"/>
        </w:rPr>
        <w:lastRenderedPageBreak/>
        <w:t>Tony Bates, Deputy Secretary, Financial Policy and Information Services Group acted as Secretary from 28 December 2020 to 10 January 2021.</w:t>
      </w:r>
    </w:p>
    <w:p w14:paraId="4594521E" w14:textId="77777777" w:rsidR="00F1540A" w:rsidRPr="005734B8" w:rsidRDefault="00F1540A" w:rsidP="00F1540A">
      <w:pPr>
        <w:spacing w:before="240" w:after="120" w:line="240" w:lineRule="atLeast"/>
        <w:outlineLvl w:val="2"/>
        <w:rPr>
          <w:rFonts w:ascii="Calibri" w:hAnsi="Calibri" w:cs="Calibri"/>
          <w:b/>
          <w:color w:val="53565A"/>
          <w:szCs w:val="18"/>
          <w:lang w:val="en-US"/>
        </w:rPr>
      </w:pPr>
      <w:r w:rsidRPr="005734B8">
        <w:rPr>
          <w:rFonts w:ascii="Calibri" w:hAnsi="Calibri" w:cs="Calibri"/>
          <w:b/>
          <w:color w:val="53565A"/>
          <w:szCs w:val="18"/>
          <w:lang w:val="en-US"/>
        </w:rPr>
        <w:t>Remuneration</w:t>
      </w:r>
    </w:p>
    <w:p w14:paraId="661F1CF7" w14:textId="7D38C469" w:rsidR="00F1540A" w:rsidRPr="005734B8" w:rsidRDefault="00F1540A" w:rsidP="00F1540A">
      <w:pPr>
        <w:rPr>
          <w:rFonts w:ascii="Calibri" w:eastAsia="Arial" w:hAnsi="Calibri" w:cs="Calibri"/>
        </w:rPr>
      </w:pPr>
      <w:r w:rsidRPr="005734B8">
        <w:rPr>
          <w:rFonts w:ascii="Calibri" w:eastAsia="Arial" w:hAnsi="Calibri" w:cs="Calibri"/>
        </w:rPr>
        <w:t xml:space="preserve">Remuneration received or receivable by the </w:t>
      </w:r>
      <w:r w:rsidR="00182976" w:rsidRPr="005734B8">
        <w:rPr>
          <w:rFonts w:ascii="Calibri" w:eastAsia="Arial" w:hAnsi="Calibri" w:cs="Calibri"/>
        </w:rPr>
        <w:t>A</w:t>
      </w:r>
      <w:r w:rsidRPr="005734B8">
        <w:rPr>
          <w:rFonts w:ascii="Calibri" w:eastAsia="Arial" w:hAnsi="Calibri" w:cs="Calibri"/>
        </w:rPr>
        <w:t xml:space="preserve">ccountable </w:t>
      </w:r>
      <w:r w:rsidR="00182976" w:rsidRPr="005734B8">
        <w:rPr>
          <w:rFonts w:ascii="Calibri" w:eastAsia="Arial" w:hAnsi="Calibri" w:cs="Calibri"/>
        </w:rPr>
        <w:t>O</w:t>
      </w:r>
      <w:r w:rsidRPr="005734B8">
        <w:rPr>
          <w:rFonts w:ascii="Calibri" w:eastAsia="Arial" w:hAnsi="Calibri" w:cs="Calibri"/>
        </w:rPr>
        <w:t>fficer in connection with the management of the Department during the reporting period was in the range:</w:t>
      </w:r>
    </w:p>
    <w:tbl>
      <w:tblPr>
        <w:tblW w:w="7625" w:type="dxa"/>
        <w:tblInd w:w="80" w:type="dxa"/>
        <w:tblLayout w:type="fixed"/>
        <w:tblLook w:val="04A0" w:firstRow="1" w:lastRow="0" w:firstColumn="1" w:lastColumn="0" w:noHBand="0" w:noVBand="1"/>
      </w:tblPr>
      <w:tblGrid>
        <w:gridCol w:w="3707"/>
        <w:gridCol w:w="1959"/>
        <w:gridCol w:w="1959"/>
      </w:tblGrid>
      <w:tr w:rsidR="00F1540A" w:rsidRPr="005734B8" w14:paraId="7678EEA8" w14:textId="77777777" w:rsidTr="00241116">
        <w:trPr>
          <w:trHeight w:val="255"/>
        </w:trPr>
        <w:tc>
          <w:tcPr>
            <w:tcW w:w="3707" w:type="dxa"/>
            <w:tcBorders>
              <w:top w:val="nil"/>
              <w:left w:val="nil"/>
              <w:bottom w:val="single" w:sz="4" w:space="0" w:color="auto"/>
              <w:right w:val="single" w:sz="4" w:space="0" w:color="FFFFFF"/>
            </w:tcBorders>
            <w:shd w:val="clear" w:color="000000" w:fill="AF272F"/>
            <w:hideMark/>
          </w:tcPr>
          <w:p w14:paraId="52A7284A" w14:textId="77777777" w:rsidR="00F1540A" w:rsidRPr="005734B8" w:rsidRDefault="00F1540A" w:rsidP="000F48B1">
            <w:pPr>
              <w:jc w:val="right"/>
              <w:rPr>
                <w:rFonts w:ascii="Calibri" w:hAnsi="Calibri" w:cs="Calibri"/>
                <w:b/>
                <w:color w:val="FFFFFF"/>
                <w:sz w:val="18"/>
                <w:szCs w:val="18"/>
              </w:rPr>
            </w:pPr>
            <w:bookmarkStart w:id="1842" w:name="Note_RPPTABLE1" w:colFirst="0" w:colLast="0"/>
            <w:r w:rsidRPr="005734B8">
              <w:rPr>
                <w:rFonts w:ascii="Calibri" w:hAnsi="Calibri" w:cs="Calibri"/>
                <w:b/>
                <w:color w:val="FFFFFF"/>
                <w:sz w:val="18"/>
                <w:szCs w:val="18"/>
              </w:rPr>
              <w:t> </w:t>
            </w:r>
          </w:p>
        </w:tc>
        <w:tc>
          <w:tcPr>
            <w:tcW w:w="1959" w:type="dxa"/>
            <w:tcBorders>
              <w:top w:val="nil"/>
              <w:left w:val="nil"/>
              <w:bottom w:val="single" w:sz="4" w:space="0" w:color="FFFFFF"/>
              <w:right w:val="single" w:sz="4" w:space="0" w:color="FFFFFF"/>
            </w:tcBorders>
            <w:shd w:val="clear" w:color="000000" w:fill="AF272F"/>
            <w:vAlign w:val="center"/>
            <w:hideMark/>
          </w:tcPr>
          <w:p w14:paraId="71C182AF" w14:textId="6067FC87"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 xml:space="preserve">2021 </w:t>
            </w:r>
            <w:r w:rsidR="000D7367">
              <w:rPr>
                <w:rFonts w:ascii="Calibri" w:hAnsi="Calibri" w:cs="Calibri"/>
                <w:b/>
                <w:color w:val="FFFFFF"/>
                <w:sz w:val="18"/>
                <w:szCs w:val="18"/>
              </w:rPr>
              <w:t>n</w:t>
            </w:r>
            <w:r w:rsidRPr="003E39DC">
              <w:rPr>
                <w:rFonts w:ascii="Calibri" w:hAnsi="Calibri" w:cs="Calibri"/>
                <w:b/>
                <w:color w:val="FFFFFF"/>
                <w:sz w:val="18"/>
                <w:szCs w:val="18"/>
              </w:rPr>
              <w:t>umber</w:t>
            </w:r>
          </w:p>
        </w:tc>
        <w:tc>
          <w:tcPr>
            <w:tcW w:w="1959" w:type="dxa"/>
            <w:tcBorders>
              <w:top w:val="nil"/>
              <w:left w:val="nil"/>
              <w:bottom w:val="single" w:sz="4" w:space="0" w:color="FFFFFF"/>
              <w:right w:val="single" w:sz="4" w:space="0" w:color="FFFFFF"/>
            </w:tcBorders>
            <w:shd w:val="clear" w:color="000000" w:fill="AF272F"/>
            <w:vAlign w:val="center"/>
            <w:hideMark/>
          </w:tcPr>
          <w:p w14:paraId="27BF71AE" w14:textId="5DC719A4" w:rsidR="00F1540A" w:rsidRPr="005734B8" w:rsidRDefault="00F1540A" w:rsidP="000F48B1">
            <w:pPr>
              <w:jc w:val="center"/>
              <w:rPr>
                <w:rFonts w:ascii="Calibri" w:hAnsi="Calibri" w:cs="Calibri"/>
                <w:b/>
                <w:color w:val="FFFFFF"/>
                <w:sz w:val="18"/>
                <w:szCs w:val="18"/>
              </w:rPr>
            </w:pPr>
            <w:r w:rsidRPr="005734B8">
              <w:rPr>
                <w:rFonts w:ascii="Calibri" w:hAnsi="Calibri" w:cs="Calibri"/>
                <w:b/>
                <w:color w:val="FFFFFF"/>
                <w:sz w:val="18"/>
                <w:szCs w:val="18"/>
              </w:rPr>
              <w:t xml:space="preserve">2020 </w:t>
            </w:r>
            <w:r w:rsidR="000D7367">
              <w:rPr>
                <w:rFonts w:ascii="Calibri" w:hAnsi="Calibri" w:cs="Calibri"/>
                <w:b/>
                <w:color w:val="FFFFFF"/>
                <w:sz w:val="18"/>
                <w:szCs w:val="18"/>
              </w:rPr>
              <w:t>n</w:t>
            </w:r>
            <w:r w:rsidRPr="003E39DC">
              <w:rPr>
                <w:rFonts w:ascii="Calibri" w:hAnsi="Calibri" w:cs="Calibri"/>
                <w:b/>
                <w:color w:val="FFFFFF"/>
                <w:sz w:val="18"/>
                <w:szCs w:val="18"/>
              </w:rPr>
              <w:t>umber</w:t>
            </w:r>
          </w:p>
        </w:tc>
      </w:tr>
      <w:bookmarkEnd w:id="1842"/>
      <w:tr w:rsidR="00F1540A" w:rsidRPr="005734B8" w14:paraId="78469873" w14:textId="77777777" w:rsidTr="00241116">
        <w:trPr>
          <w:trHeight w:val="270"/>
        </w:trPr>
        <w:tc>
          <w:tcPr>
            <w:tcW w:w="3707" w:type="dxa"/>
            <w:tcBorders>
              <w:top w:val="nil"/>
              <w:left w:val="single" w:sz="4" w:space="0" w:color="FFFFFF"/>
              <w:bottom w:val="single" w:sz="8" w:space="0" w:color="auto"/>
              <w:right w:val="single" w:sz="4" w:space="0" w:color="FFFFFF"/>
            </w:tcBorders>
            <w:shd w:val="clear" w:color="FFFFFF" w:fill="FFFFFF"/>
            <w:vAlign w:val="bottom"/>
            <w:hideMark/>
          </w:tcPr>
          <w:p w14:paraId="4AC3AD17"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$540,000 - $549,999</w:t>
            </w:r>
          </w:p>
        </w:tc>
        <w:tc>
          <w:tcPr>
            <w:tcW w:w="1959" w:type="dxa"/>
            <w:tcBorders>
              <w:top w:val="nil"/>
              <w:left w:val="nil"/>
              <w:bottom w:val="single" w:sz="8" w:space="0" w:color="auto"/>
              <w:right w:val="single" w:sz="4" w:space="0" w:color="FFFFFF"/>
            </w:tcBorders>
            <w:shd w:val="clear" w:color="FFFFFF" w:fill="FFFFFF"/>
            <w:noWrap/>
            <w:vAlign w:val="bottom"/>
            <w:hideMark/>
          </w:tcPr>
          <w:p w14:paraId="4FD4377A" w14:textId="77777777" w:rsidR="00F1540A" w:rsidRPr="005734B8" w:rsidRDefault="00F1540A" w:rsidP="000F48B1">
            <w:pPr>
              <w:jc w:val="center"/>
              <w:rPr>
                <w:rFonts w:ascii="Calibri" w:hAnsi="Calibri" w:cs="Calibri"/>
                <w:sz w:val="18"/>
                <w:szCs w:val="18"/>
              </w:rPr>
            </w:pPr>
            <w:r w:rsidRPr="005734B8">
              <w:rPr>
                <w:rFonts w:ascii="Calibri" w:hAnsi="Calibri" w:cs="Calibri"/>
                <w:sz w:val="18"/>
                <w:szCs w:val="18"/>
              </w:rPr>
              <w:t>1</w:t>
            </w:r>
          </w:p>
        </w:tc>
        <w:tc>
          <w:tcPr>
            <w:tcW w:w="1959" w:type="dxa"/>
            <w:tcBorders>
              <w:top w:val="nil"/>
              <w:left w:val="nil"/>
              <w:bottom w:val="single" w:sz="8" w:space="0" w:color="auto"/>
              <w:right w:val="nil"/>
            </w:tcBorders>
            <w:shd w:val="clear" w:color="FFFFFF" w:fill="FFFFFF"/>
            <w:noWrap/>
            <w:vAlign w:val="bottom"/>
            <w:hideMark/>
          </w:tcPr>
          <w:p w14:paraId="1B612148" w14:textId="77777777" w:rsidR="00F1540A" w:rsidRPr="005734B8" w:rsidRDefault="00F1540A" w:rsidP="000F48B1">
            <w:pPr>
              <w:jc w:val="center"/>
              <w:rPr>
                <w:rFonts w:ascii="Calibri" w:hAnsi="Calibri" w:cs="Calibri"/>
                <w:sz w:val="18"/>
                <w:szCs w:val="18"/>
              </w:rPr>
            </w:pPr>
            <w:r w:rsidRPr="005734B8">
              <w:rPr>
                <w:rFonts w:ascii="Calibri" w:hAnsi="Calibri" w:cs="Calibri"/>
                <w:sz w:val="18"/>
                <w:szCs w:val="18"/>
              </w:rPr>
              <w:t>1</w:t>
            </w:r>
          </w:p>
        </w:tc>
      </w:tr>
      <w:tr w:rsidR="00F1540A" w:rsidRPr="005734B8" w14:paraId="2A95D7D8" w14:textId="77777777" w:rsidTr="00241116">
        <w:trPr>
          <w:trHeight w:val="255"/>
        </w:trPr>
        <w:tc>
          <w:tcPr>
            <w:tcW w:w="3707" w:type="dxa"/>
            <w:tcBorders>
              <w:top w:val="nil"/>
              <w:left w:val="single" w:sz="4" w:space="0" w:color="FFFFFF"/>
              <w:bottom w:val="single" w:sz="4" w:space="0" w:color="auto"/>
              <w:right w:val="single" w:sz="4" w:space="0" w:color="FFFFFF"/>
            </w:tcBorders>
            <w:shd w:val="clear" w:color="FFFFFF" w:fill="FFFFFF"/>
            <w:vAlign w:val="bottom"/>
            <w:hideMark/>
          </w:tcPr>
          <w:p w14:paraId="03C279C0"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Total remuneration</w:t>
            </w:r>
            <w:r w:rsidRPr="005734B8">
              <w:rPr>
                <w:rStyle w:val="FootnoteReference"/>
                <w:rFonts w:ascii="Calibri" w:hAnsi="Calibri" w:cs="Calibri"/>
                <w:sz w:val="18"/>
                <w:szCs w:val="18"/>
              </w:rPr>
              <w:footnoteReference w:id="98"/>
            </w:r>
          </w:p>
        </w:tc>
        <w:tc>
          <w:tcPr>
            <w:tcW w:w="1959" w:type="dxa"/>
            <w:tcBorders>
              <w:top w:val="nil"/>
              <w:left w:val="nil"/>
              <w:bottom w:val="single" w:sz="4" w:space="0" w:color="auto"/>
              <w:right w:val="single" w:sz="4" w:space="0" w:color="FFFFFF"/>
            </w:tcBorders>
            <w:shd w:val="clear" w:color="FFFFFF" w:fill="FFFFFF"/>
            <w:noWrap/>
            <w:vAlign w:val="center"/>
            <w:hideMark/>
          </w:tcPr>
          <w:p w14:paraId="56C55F8A" w14:textId="77777777" w:rsidR="00F1540A" w:rsidRPr="005734B8" w:rsidRDefault="00F1540A" w:rsidP="000F48B1">
            <w:pPr>
              <w:jc w:val="center"/>
              <w:rPr>
                <w:rFonts w:ascii="Calibri" w:hAnsi="Calibri" w:cs="Calibri"/>
                <w:sz w:val="18"/>
                <w:szCs w:val="18"/>
              </w:rPr>
            </w:pPr>
            <w:r w:rsidRPr="005734B8">
              <w:rPr>
                <w:rFonts w:ascii="Calibri" w:hAnsi="Calibri" w:cs="Calibri"/>
                <w:sz w:val="18"/>
                <w:szCs w:val="18"/>
              </w:rPr>
              <w:t>$543,000</w:t>
            </w:r>
          </w:p>
        </w:tc>
        <w:tc>
          <w:tcPr>
            <w:tcW w:w="1959" w:type="dxa"/>
            <w:tcBorders>
              <w:top w:val="nil"/>
              <w:left w:val="nil"/>
              <w:bottom w:val="single" w:sz="4" w:space="0" w:color="auto"/>
              <w:right w:val="single" w:sz="4" w:space="0" w:color="FFFFFF"/>
            </w:tcBorders>
            <w:shd w:val="clear" w:color="FFFFFF" w:fill="FFFFFF"/>
            <w:noWrap/>
            <w:vAlign w:val="center"/>
            <w:hideMark/>
          </w:tcPr>
          <w:p w14:paraId="6CEF1216" w14:textId="77777777" w:rsidR="00F1540A" w:rsidRPr="005734B8" w:rsidRDefault="00F1540A" w:rsidP="000F48B1">
            <w:pPr>
              <w:jc w:val="center"/>
              <w:rPr>
                <w:rFonts w:ascii="Calibri" w:hAnsi="Calibri" w:cs="Calibri"/>
                <w:sz w:val="18"/>
                <w:szCs w:val="18"/>
              </w:rPr>
            </w:pPr>
            <w:r w:rsidRPr="005734B8">
              <w:rPr>
                <w:rFonts w:ascii="Calibri" w:hAnsi="Calibri" w:cs="Calibri"/>
                <w:sz w:val="18"/>
                <w:szCs w:val="18"/>
              </w:rPr>
              <w:t xml:space="preserve">$545,000 </w:t>
            </w:r>
          </w:p>
        </w:tc>
      </w:tr>
    </w:tbl>
    <w:p w14:paraId="51864B11" w14:textId="7DFAE0C4" w:rsidR="00F1540A" w:rsidRPr="005734B8" w:rsidRDefault="00F1540A" w:rsidP="00F1540A">
      <w:pPr>
        <w:pStyle w:val="ESHeading2"/>
        <w:rPr>
          <w:rFonts w:ascii="Calibri" w:hAnsi="Calibri" w:cs="Calibri"/>
        </w:rPr>
      </w:pPr>
      <w:bookmarkStart w:id="1843" w:name="_Toc11336452"/>
      <w:bookmarkStart w:id="1844" w:name="_Toc11336603"/>
      <w:bookmarkStart w:id="1845" w:name="_Toc13647207"/>
      <w:bookmarkStart w:id="1846" w:name="_Toc13656739"/>
      <w:bookmarkStart w:id="1847" w:name="_Toc13656901"/>
      <w:bookmarkStart w:id="1848" w:name="_Toc14965678"/>
      <w:bookmarkStart w:id="1849" w:name="_Toc15985326"/>
      <w:bookmarkStart w:id="1850" w:name="_Toc16231977"/>
      <w:bookmarkStart w:id="1851" w:name="_Toc36012805"/>
      <w:bookmarkStart w:id="1852" w:name="_Toc36012883"/>
      <w:bookmarkStart w:id="1853" w:name="_Toc36013380"/>
      <w:bookmarkStart w:id="1854" w:name="_Toc58243463"/>
      <w:bookmarkStart w:id="1855" w:name="_Toc72958113"/>
      <w:bookmarkStart w:id="1856" w:name="_Toc72958161"/>
      <w:bookmarkStart w:id="1857" w:name="_Toc80272100"/>
      <w:bookmarkStart w:id="1858" w:name="_Toc81315401"/>
      <w:bookmarkEnd w:id="1839"/>
      <w:r w:rsidRPr="005734B8">
        <w:rPr>
          <w:rFonts w:ascii="Calibri" w:hAnsi="Calibri" w:cs="Calibri"/>
        </w:rPr>
        <w:t>9.5</w:t>
      </w:r>
      <w:r w:rsidRPr="005734B8">
        <w:rPr>
          <w:rFonts w:ascii="Calibri" w:hAnsi="Calibri" w:cs="Calibri"/>
        </w:rPr>
        <w:tab/>
        <w:t>Related parties</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p>
    <w:p w14:paraId="27FA9D99" w14:textId="77777777" w:rsidR="00F1540A" w:rsidRPr="005734B8" w:rsidRDefault="00F1540A" w:rsidP="00F1540A">
      <w:pPr>
        <w:rPr>
          <w:rFonts w:ascii="Calibri" w:eastAsia="Arial" w:hAnsi="Calibri" w:cs="Calibri"/>
        </w:rPr>
      </w:pPr>
      <w:r w:rsidRPr="005734B8">
        <w:rPr>
          <w:rFonts w:ascii="Calibri" w:eastAsia="Arial" w:hAnsi="Calibri" w:cs="Calibri"/>
        </w:rPr>
        <w:t>The Department is a wholly owned and controlled entity of the State of Victoria. Related parties of the Department include:</w:t>
      </w:r>
    </w:p>
    <w:p w14:paraId="547CC8ED" w14:textId="77777777" w:rsidR="00F1540A" w:rsidRPr="005734B8" w:rsidRDefault="00F1540A" w:rsidP="00F1540A">
      <w:pPr>
        <w:numPr>
          <w:ilvl w:val="0"/>
          <w:numId w:val="47"/>
        </w:numPr>
        <w:rPr>
          <w:rFonts w:ascii="Calibri" w:hAnsi="Calibri" w:cs="Calibri"/>
          <w:szCs w:val="18"/>
          <w:lang w:val="en-US"/>
        </w:rPr>
      </w:pPr>
      <w:r w:rsidRPr="005734B8">
        <w:rPr>
          <w:rFonts w:ascii="Calibri" w:hAnsi="Calibri" w:cs="Calibri"/>
          <w:szCs w:val="18"/>
          <w:lang w:val="en-US"/>
        </w:rPr>
        <w:t>all key management personnel and their close family members</w:t>
      </w:r>
    </w:p>
    <w:p w14:paraId="52351DD7" w14:textId="77777777" w:rsidR="00F1540A" w:rsidRPr="005734B8" w:rsidRDefault="00F1540A" w:rsidP="00F1540A">
      <w:pPr>
        <w:numPr>
          <w:ilvl w:val="0"/>
          <w:numId w:val="47"/>
        </w:numPr>
        <w:rPr>
          <w:rFonts w:ascii="Calibri" w:hAnsi="Calibri" w:cs="Calibri"/>
          <w:szCs w:val="18"/>
          <w:lang w:val="en-US"/>
        </w:rPr>
      </w:pPr>
      <w:r w:rsidRPr="005734B8">
        <w:rPr>
          <w:rFonts w:ascii="Calibri" w:hAnsi="Calibri" w:cs="Calibri"/>
          <w:szCs w:val="18"/>
          <w:lang w:val="en-US"/>
        </w:rPr>
        <w:t>all Cabinet ministers and their close family members</w:t>
      </w:r>
    </w:p>
    <w:p w14:paraId="5AC6909A" w14:textId="6F0EFEB6" w:rsidR="00F1540A" w:rsidRPr="005734B8" w:rsidRDefault="00F1540A" w:rsidP="00F1540A">
      <w:pPr>
        <w:numPr>
          <w:ilvl w:val="0"/>
          <w:numId w:val="47"/>
        </w:numPr>
        <w:rPr>
          <w:rFonts w:ascii="Calibri" w:hAnsi="Calibri" w:cs="Calibri"/>
          <w:szCs w:val="18"/>
          <w:lang w:val="en-US"/>
        </w:rPr>
      </w:pPr>
      <w:r w:rsidRPr="005734B8">
        <w:rPr>
          <w:rFonts w:ascii="Calibri" w:hAnsi="Calibri" w:cs="Calibri"/>
          <w:szCs w:val="18"/>
          <w:lang w:val="en-US"/>
        </w:rPr>
        <w:t>all departments and public sector entities that are controlled and consolidated into the whole</w:t>
      </w:r>
      <w:r w:rsidR="00182976" w:rsidRPr="005734B8">
        <w:rPr>
          <w:rFonts w:ascii="Calibri" w:hAnsi="Calibri" w:cs="Calibri"/>
          <w:szCs w:val="18"/>
          <w:lang w:val="en-US"/>
        </w:rPr>
        <w:noBreakHyphen/>
      </w:r>
      <w:r w:rsidRPr="005734B8">
        <w:rPr>
          <w:rFonts w:ascii="Calibri" w:hAnsi="Calibri" w:cs="Calibri"/>
          <w:szCs w:val="18"/>
          <w:lang w:val="en-US"/>
        </w:rPr>
        <w:t>of</w:t>
      </w:r>
      <w:r w:rsidR="00182976" w:rsidRPr="005734B8">
        <w:rPr>
          <w:rFonts w:ascii="Calibri" w:hAnsi="Calibri" w:cs="Calibri"/>
          <w:szCs w:val="18"/>
          <w:lang w:val="en-US"/>
        </w:rPr>
        <w:noBreakHyphen/>
      </w:r>
      <w:r w:rsidRPr="005734B8">
        <w:rPr>
          <w:rFonts w:ascii="Calibri" w:hAnsi="Calibri" w:cs="Calibri"/>
          <w:szCs w:val="18"/>
          <w:lang w:val="en-US"/>
        </w:rPr>
        <w:t>state consolidated financial statements.</w:t>
      </w:r>
    </w:p>
    <w:p w14:paraId="2D4E84D4" w14:textId="77777777" w:rsidR="00182976" w:rsidRPr="005734B8" w:rsidRDefault="00182976" w:rsidP="00182976">
      <w:pPr>
        <w:ind w:left="360"/>
        <w:rPr>
          <w:rFonts w:ascii="Calibri" w:hAnsi="Calibri" w:cs="Calibri"/>
          <w:szCs w:val="18"/>
          <w:lang w:val="en-US"/>
        </w:rPr>
      </w:pPr>
    </w:p>
    <w:p w14:paraId="0EA65970" w14:textId="53215ADC" w:rsidR="00F1540A" w:rsidRPr="005734B8" w:rsidRDefault="00F1540A" w:rsidP="00F1540A">
      <w:pPr>
        <w:rPr>
          <w:rFonts w:ascii="Calibri" w:eastAsia="Arial" w:hAnsi="Calibri" w:cs="Calibri"/>
        </w:rPr>
      </w:pPr>
      <w:r w:rsidRPr="005734B8">
        <w:rPr>
          <w:rFonts w:ascii="Calibri" w:eastAsia="Arial" w:hAnsi="Calibri" w:cs="Calibri"/>
        </w:rPr>
        <w:t xml:space="preserve">All related party transactions have been entered into on an arm’s length basis. Key management personnel of the Department include the Portfolio Ministers, the Secretary, Deputy Secretaries and members of the Executive Board. The compensation detailed below excludes the salaries and benefits </w:t>
      </w:r>
      <w:r w:rsidR="00182976" w:rsidRPr="005734B8">
        <w:rPr>
          <w:rFonts w:ascii="Calibri" w:eastAsia="Arial" w:hAnsi="Calibri" w:cs="Calibri"/>
        </w:rPr>
        <w:t xml:space="preserve">that </w:t>
      </w:r>
      <w:r w:rsidRPr="005734B8">
        <w:rPr>
          <w:rFonts w:ascii="Calibri" w:eastAsia="Arial" w:hAnsi="Calibri" w:cs="Calibri"/>
        </w:rPr>
        <w:t xml:space="preserve">the </w:t>
      </w:r>
      <w:r w:rsidR="000D7367">
        <w:rPr>
          <w:rFonts w:ascii="Calibri" w:eastAsia="Arial" w:hAnsi="Calibri" w:cs="Calibri"/>
        </w:rPr>
        <w:t>p</w:t>
      </w:r>
      <w:r w:rsidRPr="00DD2992">
        <w:rPr>
          <w:rFonts w:ascii="Calibri" w:eastAsia="Arial" w:hAnsi="Calibri" w:cs="Calibri"/>
        </w:rPr>
        <w:t xml:space="preserve">ortfolio </w:t>
      </w:r>
      <w:r w:rsidR="000D7367">
        <w:rPr>
          <w:rFonts w:ascii="Calibri" w:eastAsia="Arial" w:hAnsi="Calibri" w:cs="Calibri"/>
        </w:rPr>
        <w:t>m</w:t>
      </w:r>
      <w:r w:rsidRPr="00DD2992">
        <w:rPr>
          <w:rFonts w:ascii="Calibri" w:eastAsia="Arial" w:hAnsi="Calibri" w:cs="Calibri"/>
        </w:rPr>
        <w:t>inisters receive.</w:t>
      </w:r>
      <w:r w:rsidRPr="005734B8">
        <w:rPr>
          <w:rFonts w:ascii="Calibri" w:eastAsia="Arial" w:hAnsi="Calibri" w:cs="Calibri"/>
        </w:rPr>
        <w:t xml:space="preserve"> The Ministers’ remuneration and allowances are set by the </w:t>
      </w:r>
      <w:r w:rsidRPr="005734B8">
        <w:rPr>
          <w:rFonts w:ascii="Calibri" w:eastAsia="Arial" w:hAnsi="Calibri" w:cs="Calibri"/>
          <w:i/>
        </w:rPr>
        <w:t>Parliamentary Salaries and Superannuation Act 1968</w:t>
      </w:r>
      <w:r w:rsidRPr="005734B8">
        <w:rPr>
          <w:rFonts w:ascii="Calibri" w:eastAsia="Arial" w:hAnsi="Calibri" w:cs="Calibri"/>
        </w:rPr>
        <w:t xml:space="preserve"> and </w:t>
      </w:r>
      <w:r w:rsidR="00182976" w:rsidRPr="005734B8">
        <w:rPr>
          <w:rFonts w:ascii="Calibri" w:eastAsia="Arial" w:hAnsi="Calibri" w:cs="Calibri"/>
        </w:rPr>
        <w:t>are</w:t>
      </w:r>
      <w:r w:rsidRPr="005734B8">
        <w:rPr>
          <w:rFonts w:ascii="Calibri" w:eastAsia="Arial" w:hAnsi="Calibri" w:cs="Calibri"/>
        </w:rPr>
        <w:t xml:space="preserve"> reported in the Department of Parliamentary Services’ Financial Report</w:t>
      </w:r>
      <w:r w:rsidR="00182976" w:rsidRPr="005734B8">
        <w:rPr>
          <w:rFonts w:ascii="Calibri" w:eastAsia="Arial" w:hAnsi="Calibri" w:cs="Calibri"/>
        </w:rPr>
        <w:t>.</w:t>
      </w:r>
    </w:p>
    <w:p w14:paraId="1EC1C9F9" w14:textId="77777777" w:rsidR="00F1540A" w:rsidRPr="005734B8" w:rsidRDefault="00F1540A" w:rsidP="00F1540A">
      <w:pPr>
        <w:rPr>
          <w:rFonts w:ascii="Calibri" w:hAnsi="Calibri" w:cs="Calibri"/>
        </w:rPr>
      </w:pPr>
    </w:p>
    <w:tbl>
      <w:tblPr>
        <w:tblW w:w="7625" w:type="dxa"/>
        <w:tblInd w:w="75" w:type="dxa"/>
        <w:tblLayout w:type="fixed"/>
        <w:tblLook w:val="04A0" w:firstRow="1" w:lastRow="0" w:firstColumn="1" w:lastColumn="0" w:noHBand="0" w:noVBand="1"/>
      </w:tblPr>
      <w:tblGrid>
        <w:gridCol w:w="5452"/>
        <w:gridCol w:w="1091"/>
        <w:gridCol w:w="1082"/>
      </w:tblGrid>
      <w:tr w:rsidR="00F1540A" w:rsidRPr="005734B8" w14:paraId="65A73490" w14:textId="77777777" w:rsidTr="000F48B1">
        <w:trPr>
          <w:trHeight w:val="480"/>
        </w:trPr>
        <w:tc>
          <w:tcPr>
            <w:tcW w:w="5452" w:type="dxa"/>
            <w:tcBorders>
              <w:top w:val="nil"/>
              <w:left w:val="single" w:sz="4" w:space="0" w:color="FFFFFF"/>
              <w:bottom w:val="single" w:sz="4" w:space="0" w:color="FFFFFF"/>
              <w:right w:val="single" w:sz="4" w:space="0" w:color="FFFFFF"/>
            </w:tcBorders>
            <w:shd w:val="clear" w:color="000000" w:fill="AF272F"/>
            <w:hideMark/>
          </w:tcPr>
          <w:p w14:paraId="0B6E1659" w14:textId="77777777" w:rsidR="00F1540A" w:rsidRPr="005734B8" w:rsidRDefault="00F1540A" w:rsidP="000F48B1">
            <w:pPr>
              <w:rPr>
                <w:rFonts w:ascii="Calibri" w:hAnsi="Calibri" w:cs="Calibri"/>
                <w:b/>
                <w:color w:val="FFFFFF"/>
                <w:sz w:val="18"/>
                <w:szCs w:val="18"/>
              </w:rPr>
            </w:pPr>
            <w:bookmarkStart w:id="1859" w:name="Note_ERETABLE1" w:colFirst="0" w:colLast="0"/>
            <w:r w:rsidRPr="005734B8">
              <w:rPr>
                <w:rFonts w:ascii="Calibri" w:hAnsi="Calibri" w:cs="Calibri"/>
                <w:b/>
                <w:color w:val="FFFFFF"/>
                <w:sz w:val="18"/>
                <w:szCs w:val="18"/>
              </w:rPr>
              <w:t>Compensation</w:t>
            </w:r>
            <w:r w:rsidRPr="005734B8">
              <w:rPr>
                <w:rStyle w:val="FootnoteReference"/>
                <w:rFonts w:ascii="Calibri" w:hAnsi="Calibri" w:cs="Calibri"/>
                <w:color w:val="FFFFFF" w:themeColor="background1"/>
                <w:sz w:val="18"/>
                <w:szCs w:val="18"/>
              </w:rPr>
              <w:footnoteReference w:id="99"/>
            </w:r>
          </w:p>
        </w:tc>
        <w:tc>
          <w:tcPr>
            <w:tcW w:w="1091" w:type="dxa"/>
            <w:tcBorders>
              <w:top w:val="nil"/>
              <w:left w:val="nil"/>
              <w:bottom w:val="nil"/>
              <w:right w:val="single" w:sz="4" w:space="0" w:color="FFFFFF"/>
            </w:tcBorders>
            <w:shd w:val="clear" w:color="000000" w:fill="AF272F"/>
            <w:hideMark/>
          </w:tcPr>
          <w:p w14:paraId="195C1359"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82" w:type="dxa"/>
            <w:tcBorders>
              <w:top w:val="nil"/>
              <w:left w:val="nil"/>
              <w:bottom w:val="nil"/>
              <w:right w:val="single" w:sz="4" w:space="0" w:color="FFFFFF"/>
            </w:tcBorders>
            <w:shd w:val="clear" w:color="000000" w:fill="AF272F"/>
            <w:hideMark/>
          </w:tcPr>
          <w:p w14:paraId="7C5F0DF4"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859"/>
      <w:tr w:rsidR="00F1540A" w:rsidRPr="005734B8" w14:paraId="7C7AE372" w14:textId="77777777" w:rsidTr="000F48B1">
        <w:trPr>
          <w:trHeight w:val="255"/>
        </w:trPr>
        <w:tc>
          <w:tcPr>
            <w:tcW w:w="5452" w:type="dxa"/>
            <w:tcBorders>
              <w:top w:val="single" w:sz="4" w:space="0" w:color="auto"/>
              <w:left w:val="nil"/>
              <w:bottom w:val="single" w:sz="4" w:space="0" w:color="auto"/>
              <w:right w:val="nil"/>
            </w:tcBorders>
            <w:shd w:val="clear" w:color="FFFFFF" w:fill="FFFFFF"/>
            <w:vAlign w:val="center"/>
            <w:hideMark/>
          </w:tcPr>
          <w:p w14:paraId="5A9859F1"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Short-term employee benefits</w:t>
            </w:r>
          </w:p>
        </w:tc>
        <w:tc>
          <w:tcPr>
            <w:tcW w:w="1091" w:type="dxa"/>
            <w:tcBorders>
              <w:top w:val="single" w:sz="4" w:space="0" w:color="auto"/>
              <w:left w:val="single" w:sz="4" w:space="0" w:color="FFFFFF"/>
              <w:bottom w:val="single" w:sz="4" w:space="0" w:color="auto"/>
              <w:right w:val="single" w:sz="4" w:space="0" w:color="FFFFFF"/>
            </w:tcBorders>
            <w:shd w:val="clear" w:color="000000" w:fill="D9D9D9"/>
            <w:noWrap/>
            <w:vAlign w:val="center"/>
            <w:hideMark/>
          </w:tcPr>
          <w:p w14:paraId="21BF6664" w14:textId="207D2E51" w:rsidR="00F1540A" w:rsidRPr="005734B8" w:rsidRDefault="00F1540A" w:rsidP="000F48B1">
            <w:pPr>
              <w:jc w:val="right"/>
              <w:rPr>
                <w:rFonts w:ascii="Calibri" w:hAnsi="Calibri" w:cs="Calibri"/>
                <w:sz w:val="18"/>
                <w:szCs w:val="18"/>
              </w:rPr>
            </w:pPr>
            <w:r w:rsidRPr="005734B8">
              <w:rPr>
                <w:rFonts w:ascii="Calibri" w:hAnsi="Calibri" w:cs="Calibri"/>
                <w:sz w:val="18"/>
                <w:szCs w:val="18"/>
              </w:rPr>
              <w:t>4.</w:t>
            </w:r>
            <w:r w:rsidR="00E32431" w:rsidRPr="005734B8">
              <w:rPr>
                <w:rFonts w:ascii="Calibri" w:hAnsi="Calibri" w:cs="Calibri"/>
                <w:sz w:val="18"/>
                <w:szCs w:val="18"/>
              </w:rPr>
              <w:t>5</w:t>
            </w:r>
            <w:r w:rsidRPr="005734B8">
              <w:rPr>
                <w:rFonts w:ascii="Calibri" w:hAnsi="Calibri" w:cs="Calibri"/>
                <w:sz w:val="18"/>
                <w:szCs w:val="18"/>
              </w:rPr>
              <w:t> </w:t>
            </w:r>
          </w:p>
        </w:tc>
        <w:tc>
          <w:tcPr>
            <w:tcW w:w="1082" w:type="dxa"/>
            <w:tcBorders>
              <w:top w:val="single" w:sz="4" w:space="0" w:color="auto"/>
              <w:left w:val="nil"/>
              <w:bottom w:val="single" w:sz="4" w:space="0" w:color="auto"/>
              <w:right w:val="single" w:sz="4" w:space="0" w:color="FFFFFF"/>
            </w:tcBorders>
            <w:shd w:val="clear" w:color="FFFFFF" w:fill="FFFFFF"/>
            <w:noWrap/>
            <w:vAlign w:val="center"/>
            <w:hideMark/>
          </w:tcPr>
          <w:p w14:paraId="46C7DD2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4.0 </w:t>
            </w:r>
          </w:p>
        </w:tc>
      </w:tr>
      <w:tr w:rsidR="00F1540A" w:rsidRPr="005734B8" w14:paraId="08ED9D81" w14:textId="77777777" w:rsidTr="000F48B1">
        <w:trPr>
          <w:trHeight w:val="255"/>
        </w:trPr>
        <w:tc>
          <w:tcPr>
            <w:tcW w:w="5452" w:type="dxa"/>
            <w:tcBorders>
              <w:top w:val="nil"/>
              <w:left w:val="nil"/>
              <w:bottom w:val="single" w:sz="4" w:space="0" w:color="auto"/>
              <w:right w:val="nil"/>
            </w:tcBorders>
            <w:shd w:val="clear" w:color="FFFFFF" w:fill="FFFFFF"/>
            <w:vAlign w:val="center"/>
            <w:hideMark/>
          </w:tcPr>
          <w:p w14:paraId="11748FEB"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Post-employee benefits</w:t>
            </w:r>
          </w:p>
        </w:tc>
        <w:tc>
          <w:tcPr>
            <w:tcW w:w="1091" w:type="dxa"/>
            <w:tcBorders>
              <w:top w:val="nil"/>
              <w:left w:val="single" w:sz="4" w:space="0" w:color="FFFFFF"/>
              <w:bottom w:val="single" w:sz="4" w:space="0" w:color="auto"/>
              <w:right w:val="single" w:sz="4" w:space="0" w:color="FFFFFF"/>
            </w:tcBorders>
            <w:shd w:val="clear" w:color="000000" w:fill="D9D9D9"/>
            <w:noWrap/>
            <w:vAlign w:val="center"/>
            <w:hideMark/>
          </w:tcPr>
          <w:p w14:paraId="3FC1D57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0.3 </w:t>
            </w:r>
          </w:p>
        </w:tc>
        <w:tc>
          <w:tcPr>
            <w:tcW w:w="1082" w:type="dxa"/>
            <w:tcBorders>
              <w:top w:val="nil"/>
              <w:left w:val="nil"/>
              <w:bottom w:val="single" w:sz="4" w:space="0" w:color="auto"/>
              <w:right w:val="single" w:sz="4" w:space="0" w:color="FFFFFF"/>
            </w:tcBorders>
            <w:shd w:val="clear" w:color="FFFFFF" w:fill="FFFFFF"/>
            <w:noWrap/>
            <w:vAlign w:val="center"/>
            <w:hideMark/>
          </w:tcPr>
          <w:p w14:paraId="0A26ADF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0.3 </w:t>
            </w:r>
          </w:p>
        </w:tc>
      </w:tr>
      <w:tr w:rsidR="00F1540A" w:rsidRPr="005734B8" w14:paraId="3EAAF123" w14:textId="77777777" w:rsidTr="000F48B1">
        <w:trPr>
          <w:trHeight w:val="255"/>
        </w:trPr>
        <w:tc>
          <w:tcPr>
            <w:tcW w:w="5452" w:type="dxa"/>
            <w:tcBorders>
              <w:top w:val="nil"/>
              <w:left w:val="nil"/>
              <w:bottom w:val="single" w:sz="4" w:space="0" w:color="auto"/>
              <w:right w:val="nil"/>
            </w:tcBorders>
            <w:shd w:val="clear" w:color="FFFFFF" w:fill="FFFFFF"/>
            <w:vAlign w:val="center"/>
            <w:hideMark/>
          </w:tcPr>
          <w:p w14:paraId="1EC00222"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Other long-term benefits</w:t>
            </w:r>
          </w:p>
        </w:tc>
        <w:tc>
          <w:tcPr>
            <w:tcW w:w="1091" w:type="dxa"/>
            <w:tcBorders>
              <w:top w:val="nil"/>
              <w:left w:val="single" w:sz="4" w:space="0" w:color="FFFFFF"/>
              <w:bottom w:val="single" w:sz="4" w:space="0" w:color="auto"/>
              <w:right w:val="single" w:sz="4" w:space="0" w:color="FFFFFF"/>
            </w:tcBorders>
            <w:shd w:val="clear" w:color="000000" w:fill="D9D9D9"/>
            <w:noWrap/>
            <w:vAlign w:val="center"/>
            <w:hideMark/>
          </w:tcPr>
          <w:p w14:paraId="471E8288"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0.1 </w:t>
            </w:r>
          </w:p>
        </w:tc>
        <w:tc>
          <w:tcPr>
            <w:tcW w:w="1082" w:type="dxa"/>
            <w:tcBorders>
              <w:top w:val="nil"/>
              <w:left w:val="nil"/>
              <w:bottom w:val="single" w:sz="4" w:space="0" w:color="auto"/>
              <w:right w:val="single" w:sz="4" w:space="0" w:color="FFFFFF"/>
            </w:tcBorders>
            <w:shd w:val="clear" w:color="FFFFFF" w:fill="FFFFFF"/>
            <w:noWrap/>
            <w:vAlign w:val="center"/>
            <w:hideMark/>
          </w:tcPr>
          <w:p w14:paraId="78826D6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0.1 </w:t>
            </w:r>
          </w:p>
        </w:tc>
      </w:tr>
      <w:tr w:rsidR="00F1540A" w:rsidRPr="005734B8" w14:paraId="114CCB72"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18ACB28D"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Total</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344A928E" w14:textId="7A6C2451"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4.</w:t>
            </w:r>
            <w:r w:rsidR="00E32431" w:rsidRPr="005734B8">
              <w:rPr>
                <w:rFonts w:ascii="Calibri" w:hAnsi="Calibri" w:cs="Calibri"/>
                <w:b/>
                <w:sz w:val="18"/>
                <w:szCs w:val="18"/>
              </w:rPr>
              <w:t>9</w:t>
            </w:r>
            <w:r w:rsidRPr="005734B8">
              <w:rPr>
                <w:rFonts w:ascii="Calibri" w:hAnsi="Calibri" w:cs="Calibri"/>
                <w:b/>
                <w:sz w:val="18"/>
                <w:szCs w:val="18"/>
              </w:rPr>
              <w:t xml:space="preserve"> </w:t>
            </w:r>
          </w:p>
        </w:tc>
        <w:tc>
          <w:tcPr>
            <w:tcW w:w="1082" w:type="dxa"/>
            <w:tcBorders>
              <w:top w:val="single" w:sz="12" w:space="0" w:color="auto"/>
              <w:left w:val="nil"/>
              <w:bottom w:val="single" w:sz="12" w:space="0" w:color="auto"/>
              <w:right w:val="nil"/>
            </w:tcBorders>
            <w:shd w:val="clear" w:color="FFFFFF" w:fill="FFFFFF"/>
            <w:noWrap/>
            <w:vAlign w:val="center"/>
            <w:hideMark/>
          </w:tcPr>
          <w:p w14:paraId="2BE5286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4.4 </w:t>
            </w:r>
          </w:p>
        </w:tc>
      </w:tr>
    </w:tbl>
    <w:p w14:paraId="4A2592D4"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860" w:name="_Toc11336453"/>
      <w:bookmarkStart w:id="1861" w:name="_Toc14965679"/>
      <w:r w:rsidRPr="005734B8">
        <w:rPr>
          <w:rFonts w:ascii="Calibri" w:hAnsi="Calibri" w:cs="Calibri"/>
          <w:b/>
          <w:color w:val="53565A"/>
          <w:szCs w:val="18"/>
          <w:lang w:val="en-US"/>
        </w:rPr>
        <w:t>Transactions with key management personnel and other related parties</w:t>
      </w:r>
      <w:bookmarkEnd w:id="1860"/>
      <w:bookmarkEnd w:id="1861"/>
    </w:p>
    <w:p w14:paraId="1E7EB49F" w14:textId="77EB4F64" w:rsidR="00F1540A" w:rsidRPr="005734B8" w:rsidRDefault="00F1540A" w:rsidP="00F1540A">
      <w:pPr>
        <w:rPr>
          <w:rFonts w:ascii="Calibri" w:hAnsi="Calibri" w:cs="Calibri"/>
          <w:b/>
          <w:color w:val="53565A"/>
          <w:szCs w:val="18"/>
          <w:lang w:val="en-US"/>
        </w:rPr>
      </w:pPr>
      <w:r w:rsidRPr="005734B8">
        <w:rPr>
          <w:rFonts w:ascii="Calibri" w:eastAsia="Arial" w:hAnsi="Calibri" w:cs="Calibri"/>
        </w:rPr>
        <w:t xml:space="preserve">Given the breadth and depth of State government activities, related parties transact with the Victorian public sector in a manner consistent with other members of the public, for example, stamp duty and other government fees and charges. Further employment of processes </w:t>
      </w:r>
      <w:r w:rsidR="00182976" w:rsidRPr="005734B8">
        <w:rPr>
          <w:rFonts w:ascii="Calibri" w:eastAsia="Arial" w:hAnsi="Calibri" w:cs="Calibri"/>
        </w:rPr>
        <w:t>in</w:t>
      </w:r>
      <w:r w:rsidRPr="005734B8">
        <w:rPr>
          <w:rFonts w:ascii="Calibri" w:eastAsia="Arial" w:hAnsi="Calibri" w:cs="Calibri"/>
        </w:rPr>
        <w:t xml:space="preserve"> the Victorian public sector occur</w:t>
      </w:r>
      <w:r w:rsidR="00182976" w:rsidRPr="005734B8">
        <w:rPr>
          <w:rFonts w:ascii="Calibri" w:eastAsia="Arial" w:hAnsi="Calibri" w:cs="Calibri"/>
        </w:rPr>
        <w:t>s</w:t>
      </w:r>
      <w:r w:rsidRPr="005734B8">
        <w:rPr>
          <w:rFonts w:ascii="Calibri" w:eastAsia="Arial" w:hAnsi="Calibri" w:cs="Calibri"/>
        </w:rPr>
        <w:t xml:space="preserve"> on terms and conditions consistent with the Public Administration Act</w:t>
      </w:r>
      <w:r w:rsidRPr="005734B8">
        <w:rPr>
          <w:rFonts w:ascii="Calibri" w:eastAsia="Arial" w:hAnsi="Calibri" w:cs="Calibri"/>
          <w:i/>
        </w:rPr>
        <w:t xml:space="preserve"> </w:t>
      </w:r>
      <w:r w:rsidRPr="005734B8">
        <w:rPr>
          <w:rFonts w:ascii="Calibri" w:eastAsia="Arial" w:hAnsi="Calibri" w:cs="Calibri"/>
        </w:rPr>
        <w:t>and Codes of Conduct and Standards issued by the Victorian Public Sector Commission. Procurement processes occur on terms and conditions consistent with the Victorian Government Procurement Board requirements. Outside normal citizen</w:t>
      </w:r>
      <w:r w:rsidR="00182976" w:rsidRPr="005734B8">
        <w:rPr>
          <w:rFonts w:ascii="Calibri" w:eastAsia="Arial" w:hAnsi="Calibri" w:cs="Calibri"/>
        </w:rPr>
        <w:noBreakHyphen/>
      </w:r>
      <w:r w:rsidRPr="005734B8">
        <w:rPr>
          <w:rFonts w:ascii="Calibri" w:eastAsia="Arial" w:hAnsi="Calibri" w:cs="Calibri"/>
        </w:rPr>
        <w:t xml:space="preserve">type transactions with the Department, with the exception of the items noted under ‘Related party transactions’ below, there were no other related party transactions that involved key management personnel </w:t>
      </w:r>
      <w:r w:rsidR="00182976" w:rsidRPr="005734B8">
        <w:rPr>
          <w:rFonts w:ascii="Calibri" w:eastAsia="Arial" w:hAnsi="Calibri" w:cs="Calibri"/>
        </w:rPr>
        <w:t>or</w:t>
      </w:r>
      <w:r w:rsidRPr="005734B8">
        <w:rPr>
          <w:rFonts w:ascii="Calibri" w:eastAsia="Arial" w:hAnsi="Calibri" w:cs="Calibri"/>
        </w:rPr>
        <w:t xml:space="preserve"> their close family members. No provision has been required, nor any expense recognised, for impairment of receivables from related parties.</w:t>
      </w:r>
      <w:bookmarkStart w:id="1862" w:name="_Toc11336454"/>
      <w:bookmarkStart w:id="1863" w:name="_Toc14965680"/>
    </w:p>
    <w:p w14:paraId="7DE3F6EC" w14:textId="1C8DB8BD" w:rsidR="00F1540A" w:rsidRPr="005734B8" w:rsidRDefault="00F1540A" w:rsidP="00F1540A">
      <w:pPr>
        <w:spacing w:before="240" w:after="120" w:line="240" w:lineRule="atLeast"/>
        <w:outlineLvl w:val="2"/>
        <w:rPr>
          <w:rFonts w:ascii="Calibri" w:hAnsi="Calibri" w:cs="Calibri"/>
          <w:b/>
          <w:color w:val="53565A"/>
          <w:szCs w:val="18"/>
          <w:lang w:val="en-US"/>
        </w:rPr>
      </w:pPr>
      <w:r w:rsidRPr="005734B8">
        <w:rPr>
          <w:rFonts w:ascii="Calibri" w:hAnsi="Calibri" w:cs="Calibri"/>
          <w:b/>
          <w:color w:val="53565A"/>
          <w:szCs w:val="18"/>
          <w:lang w:val="en-US"/>
        </w:rPr>
        <w:lastRenderedPageBreak/>
        <w:t>Related party transactions</w:t>
      </w:r>
      <w:bookmarkEnd w:id="1862"/>
      <w:bookmarkEnd w:id="1863"/>
    </w:p>
    <w:p w14:paraId="2D84C0A9" w14:textId="1951A1F9" w:rsidR="00F1540A" w:rsidRPr="005734B8" w:rsidRDefault="00F1540A" w:rsidP="00F1540A">
      <w:pPr>
        <w:rPr>
          <w:rFonts w:ascii="Calibri" w:eastAsia="Arial" w:hAnsi="Calibri" w:cs="Calibri"/>
        </w:rPr>
      </w:pPr>
      <w:r w:rsidRPr="005734B8">
        <w:rPr>
          <w:rFonts w:ascii="Calibri" w:eastAsia="Arial" w:hAnsi="Calibri" w:cs="Calibri"/>
        </w:rPr>
        <w:t>The Secretary is an ex-officio member of the boards of the VRQA and the VCAA, to which the Department paid grants on normal commercial terms during the financial year. As these roles are ex-officio</w:t>
      </w:r>
      <w:r w:rsidR="00182976" w:rsidRPr="005734B8">
        <w:rPr>
          <w:rFonts w:ascii="Calibri" w:eastAsia="Arial" w:hAnsi="Calibri" w:cs="Calibri"/>
        </w:rPr>
        <w:t>,</w:t>
      </w:r>
      <w:r w:rsidRPr="005734B8">
        <w:rPr>
          <w:rFonts w:ascii="Calibri" w:eastAsia="Arial" w:hAnsi="Calibri" w:cs="Calibri"/>
        </w:rPr>
        <w:t xml:space="preserve"> the Secretary receives no remuneration to perform these roles.</w:t>
      </w:r>
    </w:p>
    <w:p w14:paraId="58DFCFDC" w14:textId="77777777" w:rsidR="00F1540A" w:rsidRPr="005734B8" w:rsidRDefault="00F1540A" w:rsidP="00F1540A">
      <w:pPr>
        <w:rPr>
          <w:rFonts w:ascii="Calibri" w:eastAsia="Arial" w:hAnsi="Calibri" w:cs="Calibri"/>
        </w:rPr>
      </w:pPr>
    </w:p>
    <w:p w14:paraId="1D361B2B" w14:textId="77777777" w:rsidR="00F1540A" w:rsidRPr="005734B8" w:rsidRDefault="00F1540A" w:rsidP="00F1540A">
      <w:pPr>
        <w:rPr>
          <w:rFonts w:ascii="Calibri" w:eastAsia="Arial" w:hAnsi="Calibri" w:cs="Calibri"/>
        </w:rPr>
      </w:pPr>
      <w:r w:rsidRPr="005734B8">
        <w:rPr>
          <w:rFonts w:ascii="Calibri" w:eastAsia="Arial" w:hAnsi="Calibri" w:cs="Calibri"/>
        </w:rPr>
        <w:t>The Secretary is on the Advisory Board for the Melbourne Institute of Applied Economic and Social Research. The Secretary receives no remuneration for her role on this advisory board.</w:t>
      </w:r>
    </w:p>
    <w:tbl>
      <w:tblPr>
        <w:tblW w:w="7625" w:type="dxa"/>
        <w:tblInd w:w="75" w:type="dxa"/>
        <w:tblLayout w:type="fixed"/>
        <w:tblLook w:val="04A0" w:firstRow="1" w:lastRow="0" w:firstColumn="1" w:lastColumn="0" w:noHBand="0" w:noVBand="1"/>
      </w:tblPr>
      <w:tblGrid>
        <w:gridCol w:w="5452"/>
        <w:gridCol w:w="1091"/>
        <w:gridCol w:w="1082"/>
      </w:tblGrid>
      <w:tr w:rsidR="00F1540A" w:rsidRPr="005734B8" w14:paraId="3514323A" w14:textId="77777777" w:rsidTr="000F48B1">
        <w:trPr>
          <w:trHeight w:val="480"/>
        </w:trPr>
        <w:tc>
          <w:tcPr>
            <w:tcW w:w="5452" w:type="dxa"/>
            <w:tcBorders>
              <w:top w:val="nil"/>
              <w:left w:val="single" w:sz="4" w:space="0" w:color="FFFFFF"/>
              <w:bottom w:val="single" w:sz="4" w:space="0" w:color="FFFFFF"/>
              <w:right w:val="single" w:sz="4" w:space="0" w:color="FFFFFF"/>
            </w:tcBorders>
            <w:shd w:val="clear" w:color="000000" w:fill="AF272F"/>
            <w:hideMark/>
          </w:tcPr>
          <w:p w14:paraId="3FBCF7D8" w14:textId="77777777" w:rsidR="00F1540A" w:rsidRPr="005734B8" w:rsidRDefault="00F1540A" w:rsidP="000F48B1">
            <w:pPr>
              <w:rPr>
                <w:rFonts w:ascii="Calibri" w:hAnsi="Calibri" w:cs="Calibri"/>
                <w:b/>
                <w:color w:val="FFFFFF"/>
                <w:sz w:val="18"/>
                <w:szCs w:val="18"/>
              </w:rPr>
            </w:pPr>
            <w:bookmarkStart w:id="1864" w:name="Note_GDYTABLE1" w:colFirst="0" w:colLast="0"/>
            <w:r w:rsidRPr="005734B8">
              <w:rPr>
                <w:rFonts w:ascii="Calibri" w:hAnsi="Calibri" w:cs="Calibri"/>
                <w:b/>
                <w:color w:val="FFFFFF"/>
                <w:sz w:val="18"/>
                <w:szCs w:val="18"/>
              </w:rPr>
              <w:t> </w:t>
            </w:r>
          </w:p>
        </w:tc>
        <w:tc>
          <w:tcPr>
            <w:tcW w:w="1091" w:type="dxa"/>
            <w:tcBorders>
              <w:top w:val="nil"/>
              <w:left w:val="nil"/>
              <w:bottom w:val="nil"/>
              <w:right w:val="single" w:sz="4" w:space="0" w:color="FFFFFF"/>
            </w:tcBorders>
            <w:shd w:val="clear" w:color="000000" w:fill="AF272F"/>
            <w:hideMark/>
          </w:tcPr>
          <w:p w14:paraId="4F7CEE49"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82" w:type="dxa"/>
            <w:tcBorders>
              <w:top w:val="nil"/>
              <w:left w:val="nil"/>
              <w:bottom w:val="nil"/>
              <w:right w:val="single" w:sz="4" w:space="0" w:color="FFFFFF"/>
            </w:tcBorders>
            <w:shd w:val="clear" w:color="000000" w:fill="AF272F"/>
            <w:hideMark/>
          </w:tcPr>
          <w:p w14:paraId="06CE580A"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864"/>
      <w:tr w:rsidR="00F1540A" w:rsidRPr="005734B8" w14:paraId="1A53B09D" w14:textId="77777777" w:rsidTr="000F48B1">
        <w:trPr>
          <w:trHeight w:val="255"/>
        </w:trPr>
        <w:tc>
          <w:tcPr>
            <w:tcW w:w="5452"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62D7B68E"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Grants paid during the year</w:t>
            </w:r>
          </w:p>
        </w:tc>
        <w:tc>
          <w:tcPr>
            <w:tcW w:w="1091" w:type="dxa"/>
            <w:tcBorders>
              <w:top w:val="single" w:sz="4" w:space="0" w:color="auto"/>
              <w:left w:val="nil"/>
              <w:bottom w:val="single" w:sz="4" w:space="0" w:color="auto"/>
              <w:right w:val="single" w:sz="4" w:space="0" w:color="FFFFFF"/>
            </w:tcBorders>
            <w:shd w:val="clear" w:color="000000" w:fill="D9D9D9"/>
            <w:vAlign w:val="center"/>
            <w:hideMark/>
          </w:tcPr>
          <w:p w14:paraId="08835D7A"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082" w:type="dxa"/>
            <w:tcBorders>
              <w:top w:val="single" w:sz="4" w:space="0" w:color="auto"/>
              <w:left w:val="nil"/>
              <w:bottom w:val="single" w:sz="4" w:space="0" w:color="auto"/>
              <w:right w:val="single" w:sz="4" w:space="0" w:color="FFFFFF"/>
            </w:tcBorders>
            <w:shd w:val="clear" w:color="000000" w:fill="D9D9D9"/>
            <w:vAlign w:val="center"/>
            <w:hideMark/>
          </w:tcPr>
          <w:p w14:paraId="32A5B669"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3F4EC7D4"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17AB420B"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 xml:space="preserve">VRQA </w:t>
            </w:r>
          </w:p>
        </w:tc>
        <w:tc>
          <w:tcPr>
            <w:tcW w:w="1091" w:type="dxa"/>
            <w:tcBorders>
              <w:top w:val="nil"/>
              <w:left w:val="nil"/>
              <w:bottom w:val="single" w:sz="4" w:space="0" w:color="auto"/>
              <w:right w:val="single" w:sz="4" w:space="0" w:color="FFFFFF"/>
            </w:tcBorders>
            <w:shd w:val="clear" w:color="000000" w:fill="D9D9D9"/>
            <w:noWrap/>
            <w:vAlign w:val="center"/>
            <w:hideMark/>
          </w:tcPr>
          <w:p w14:paraId="20114CA8" w14:textId="77CAAB5B" w:rsidR="00F1540A" w:rsidRPr="005734B8" w:rsidRDefault="008C3E5C" w:rsidP="000F48B1">
            <w:pPr>
              <w:jc w:val="right"/>
              <w:rPr>
                <w:rFonts w:ascii="Calibri" w:hAnsi="Calibri" w:cs="Calibri"/>
                <w:sz w:val="18"/>
                <w:szCs w:val="18"/>
              </w:rPr>
            </w:pPr>
            <w:r w:rsidRPr="005734B8">
              <w:rPr>
                <w:rFonts w:ascii="Calibri" w:hAnsi="Calibri" w:cs="Calibri"/>
                <w:sz w:val="18"/>
                <w:szCs w:val="18"/>
              </w:rPr>
              <w:t>17.2</w:t>
            </w:r>
            <w:r w:rsidR="00F1540A" w:rsidRPr="005734B8">
              <w:rPr>
                <w:rFonts w:ascii="Calibri" w:hAnsi="Calibri" w:cs="Calibri"/>
                <w:sz w:val="18"/>
                <w:szCs w:val="18"/>
              </w:rPr>
              <w:t> </w:t>
            </w:r>
          </w:p>
        </w:tc>
        <w:tc>
          <w:tcPr>
            <w:tcW w:w="1082" w:type="dxa"/>
            <w:tcBorders>
              <w:top w:val="nil"/>
              <w:left w:val="nil"/>
              <w:bottom w:val="single" w:sz="4" w:space="0" w:color="auto"/>
              <w:right w:val="single" w:sz="4" w:space="0" w:color="FFFFFF"/>
            </w:tcBorders>
            <w:shd w:val="clear" w:color="FFFFFF" w:fill="FFFFFF"/>
            <w:noWrap/>
            <w:vAlign w:val="center"/>
            <w:hideMark/>
          </w:tcPr>
          <w:p w14:paraId="52B6866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15.6 </w:t>
            </w:r>
          </w:p>
        </w:tc>
      </w:tr>
      <w:tr w:rsidR="00F1540A" w:rsidRPr="005734B8" w14:paraId="6AD33114"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4C54E283"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 xml:space="preserve">VCAA </w:t>
            </w:r>
          </w:p>
        </w:tc>
        <w:tc>
          <w:tcPr>
            <w:tcW w:w="1091" w:type="dxa"/>
            <w:tcBorders>
              <w:top w:val="nil"/>
              <w:left w:val="nil"/>
              <w:bottom w:val="single" w:sz="4" w:space="0" w:color="auto"/>
              <w:right w:val="single" w:sz="4" w:space="0" w:color="FFFFFF"/>
            </w:tcBorders>
            <w:shd w:val="clear" w:color="000000" w:fill="D9D9D9"/>
            <w:noWrap/>
            <w:vAlign w:val="center"/>
            <w:hideMark/>
          </w:tcPr>
          <w:p w14:paraId="6F8294E7" w14:textId="2DCE3DEF" w:rsidR="00F1540A" w:rsidRPr="005734B8" w:rsidRDefault="008C3E5C" w:rsidP="000F48B1">
            <w:pPr>
              <w:jc w:val="right"/>
              <w:rPr>
                <w:rFonts w:ascii="Calibri" w:hAnsi="Calibri" w:cs="Calibri"/>
                <w:sz w:val="18"/>
                <w:szCs w:val="18"/>
              </w:rPr>
            </w:pPr>
            <w:r w:rsidRPr="005734B8">
              <w:rPr>
                <w:rFonts w:ascii="Calibri" w:hAnsi="Calibri" w:cs="Calibri"/>
                <w:sz w:val="18"/>
                <w:szCs w:val="18"/>
              </w:rPr>
              <w:t>70.4</w:t>
            </w:r>
            <w:r w:rsidR="00F1540A" w:rsidRPr="005734B8">
              <w:rPr>
                <w:rFonts w:ascii="Calibri" w:hAnsi="Calibri" w:cs="Calibri"/>
                <w:sz w:val="18"/>
                <w:szCs w:val="18"/>
              </w:rPr>
              <w:t> </w:t>
            </w:r>
          </w:p>
        </w:tc>
        <w:tc>
          <w:tcPr>
            <w:tcW w:w="1082" w:type="dxa"/>
            <w:tcBorders>
              <w:top w:val="nil"/>
              <w:left w:val="nil"/>
              <w:bottom w:val="single" w:sz="4" w:space="0" w:color="auto"/>
              <w:right w:val="single" w:sz="4" w:space="0" w:color="FFFFFF"/>
            </w:tcBorders>
            <w:shd w:val="clear" w:color="FFFFFF" w:fill="FFFFFF"/>
            <w:noWrap/>
            <w:vAlign w:val="center"/>
            <w:hideMark/>
          </w:tcPr>
          <w:p w14:paraId="7F974F8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67.5 </w:t>
            </w:r>
          </w:p>
        </w:tc>
      </w:tr>
      <w:tr w:rsidR="00F1540A" w:rsidRPr="005734B8" w14:paraId="0DC5505F"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000000" w:fill="D9D9D9"/>
            <w:vAlign w:val="center"/>
            <w:hideMark/>
          </w:tcPr>
          <w:p w14:paraId="430EC546"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Rent provided free of charge during the year</w:t>
            </w:r>
          </w:p>
        </w:tc>
        <w:tc>
          <w:tcPr>
            <w:tcW w:w="1091" w:type="dxa"/>
            <w:tcBorders>
              <w:top w:val="nil"/>
              <w:left w:val="nil"/>
              <w:bottom w:val="nil"/>
              <w:right w:val="nil"/>
            </w:tcBorders>
            <w:shd w:val="clear" w:color="000000" w:fill="D9D9D9"/>
            <w:noWrap/>
            <w:vAlign w:val="bottom"/>
            <w:hideMark/>
          </w:tcPr>
          <w:p w14:paraId="28B2F5C2"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 </w:t>
            </w:r>
          </w:p>
        </w:tc>
        <w:tc>
          <w:tcPr>
            <w:tcW w:w="1082" w:type="dxa"/>
            <w:tcBorders>
              <w:top w:val="nil"/>
              <w:left w:val="nil"/>
              <w:bottom w:val="nil"/>
              <w:right w:val="nil"/>
            </w:tcBorders>
            <w:shd w:val="clear" w:color="000000" w:fill="D9D9D9"/>
            <w:noWrap/>
            <w:vAlign w:val="bottom"/>
            <w:hideMark/>
          </w:tcPr>
          <w:p w14:paraId="748AD975"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 </w:t>
            </w:r>
          </w:p>
        </w:tc>
      </w:tr>
      <w:tr w:rsidR="00F1540A" w:rsidRPr="005734B8" w14:paraId="37C032FD"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65A91185"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 xml:space="preserve">VRQA </w:t>
            </w:r>
          </w:p>
        </w:tc>
        <w:tc>
          <w:tcPr>
            <w:tcW w:w="1091" w:type="dxa"/>
            <w:tcBorders>
              <w:top w:val="single" w:sz="4" w:space="0" w:color="auto"/>
              <w:left w:val="nil"/>
              <w:bottom w:val="single" w:sz="4" w:space="0" w:color="auto"/>
              <w:right w:val="single" w:sz="4" w:space="0" w:color="FFFFFF"/>
            </w:tcBorders>
            <w:shd w:val="clear" w:color="000000" w:fill="D9D9D9"/>
            <w:noWrap/>
            <w:vAlign w:val="center"/>
            <w:hideMark/>
          </w:tcPr>
          <w:p w14:paraId="22120052"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0.5 </w:t>
            </w:r>
          </w:p>
        </w:tc>
        <w:tc>
          <w:tcPr>
            <w:tcW w:w="1082" w:type="dxa"/>
            <w:tcBorders>
              <w:top w:val="single" w:sz="4" w:space="0" w:color="auto"/>
              <w:left w:val="nil"/>
              <w:bottom w:val="single" w:sz="4" w:space="0" w:color="auto"/>
              <w:right w:val="single" w:sz="4" w:space="0" w:color="FFFFFF"/>
            </w:tcBorders>
            <w:shd w:val="clear" w:color="FFFFFF" w:fill="FFFFFF"/>
            <w:noWrap/>
            <w:vAlign w:val="center"/>
            <w:hideMark/>
          </w:tcPr>
          <w:p w14:paraId="27A31DEF"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0.5 </w:t>
            </w:r>
          </w:p>
        </w:tc>
      </w:tr>
      <w:tr w:rsidR="00F1540A" w:rsidRPr="005734B8" w14:paraId="77A0503D"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FFFFFF" w:fill="FFFFFF"/>
            <w:vAlign w:val="center"/>
            <w:hideMark/>
          </w:tcPr>
          <w:p w14:paraId="6370F397"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 xml:space="preserve">VCAA </w:t>
            </w:r>
          </w:p>
        </w:tc>
        <w:tc>
          <w:tcPr>
            <w:tcW w:w="1091" w:type="dxa"/>
            <w:tcBorders>
              <w:top w:val="nil"/>
              <w:left w:val="nil"/>
              <w:bottom w:val="single" w:sz="4" w:space="0" w:color="auto"/>
              <w:right w:val="single" w:sz="4" w:space="0" w:color="FFFFFF"/>
            </w:tcBorders>
            <w:shd w:val="clear" w:color="000000" w:fill="D9D9D9"/>
            <w:noWrap/>
            <w:vAlign w:val="center"/>
            <w:hideMark/>
          </w:tcPr>
          <w:p w14:paraId="7F3DE655"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2.6 </w:t>
            </w:r>
          </w:p>
        </w:tc>
        <w:tc>
          <w:tcPr>
            <w:tcW w:w="1082" w:type="dxa"/>
            <w:tcBorders>
              <w:top w:val="nil"/>
              <w:left w:val="nil"/>
              <w:bottom w:val="single" w:sz="4" w:space="0" w:color="auto"/>
              <w:right w:val="single" w:sz="4" w:space="0" w:color="FFFFFF"/>
            </w:tcBorders>
            <w:shd w:val="clear" w:color="FFFFFF" w:fill="FFFFFF"/>
            <w:noWrap/>
            <w:vAlign w:val="center"/>
            <w:hideMark/>
          </w:tcPr>
          <w:p w14:paraId="04BA3C19"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2.6 </w:t>
            </w:r>
          </w:p>
        </w:tc>
      </w:tr>
      <w:tr w:rsidR="00F1540A" w:rsidRPr="005734B8" w14:paraId="3D86494F" w14:textId="77777777" w:rsidTr="000F48B1">
        <w:trPr>
          <w:trHeight w:val="255"/>
        </w:trPr>
        <w:tc>
          <w:tcPr>
            <w:tcW w:w="5452" w:type="dxa"/>
            <w:tcBorders>
              <w:top w:val="nil"/>
              <w:left w:val="single" w:sz="4" w:space="0" w:color="FFFFFF"/>
              <w:bottom w:val="single" w:sz="4" w:space="0" w:color="auto"/>
              <w:right w:val="single" w:sz="4" w:space="0" w:color="FFFFFF"/>
            </w:tcBorders>
            <w:shd w:val="clear" w:color="000000" w:fill="D9D9D9"/>
            <w:vAlign w:val="center"/>
            <w:hideMark/>
          </w:tcPr>
          <w:p w14:paraId="5C332719"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Payments made during the year</w:t>
            </w:r>
          </w:p>
        </w:tc>
        <w:tc>
          <w:tcPr>
            <w:tcW w:w="1091" w:type="dxa"/>
            <w:tcBorders>
              <w:top w:val="single" w:sz="4" w:space="0" w:color="auto"/>
              <w:left w:val="nil"/>
              <w:bottom w:val="single" w:sz="4" w:space="0" w:color="auto"/>
              <w:right w:val="nil"/>
            </w:tcBorders>
            <w:shd w:val="clear" w:color="000000" w:fill="D9D9D9"/>
            <w:noWrap/>
            <w:vAlign w:val="bottom"/>
            <w:hideMark/>
          </w:tcPr>
          <w:p w14:paraId="316FDC80"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 </w:t>
            </w:r>
          </w:p>
        </w:tc>
        <w:tc>
          <w:tcPr>
            <w:tcW w:w="1082" w:type="dxa"/>
            <w:tcBorders>
              <w:top w:val="single" w:sz="4" w:space="0" w:color="auto"/>
              <w:left w:val="nil"/>
              <w:bottom w:val="single" w:sz="4" w:space="0" w:color="auto"/>
              <w:right w:val="nil"/>
            </w:tcBorders>
            <w:shd w:val="clear" w:color="000000" w:fill="D9D9D9"/>
            <w:noWrap/>
            <w:vAlign w:val="bottom"/>
            <w:hideMark/>
          </w:tcPr>
          <w:p w14:paraId="2B6ADBFD"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 </w:t>
            </w:r>
          </w:p>
        </w:tc>
      </w:tr>
    </w:tbl>
    <w:p w14:paraId="63B731B7" w14:textId="77777777" w:rsidR="00F1540A" w:rsidRPr="005734B8" w:rsidRDefault="00F1540A" w:rsidP="00F1540A">
      <w:pPr>
        <w:pStyle w:val="ESHeading2"/>
        <w:rPr>
          <w:rFonts w:ascii="Calibri" w:hAnsi="Calibri" w:cs="Calibri"/>
        </w:rPr>
      </w:pPr>
      <w:bookmarkStart w:id="1865" w:name="_Toc11336455"/>
      <w:bookmarkStart w:id="1866" w:name="_Toc11336604"/>
      <w:bookmarkStart w:id="1867" w:name="_Toc13647208"/>
      <w:bookmarkStart w:id="1868" w:name="_Toc13656740"/>
      <w:bookmarkStart w:id="1869" w:name="_Toc13656902"/>
      <w:bookmarkStart w:id="1870" w:name="_Toc14965681"/>
      <w:bookmarkStart w:id="1871" w:name="_Toc15985327"/>
      <w:bookmarkStart w:id="1872" w:name="_Toc16231978"/>
      <w:bookmarkStart w:id="1873" w:name="_Toc36012806"/>
      <w:bookmarkStart w:id="1874" w:name="_Toc36012884"/>
      <w:bookmarkStart w:id="1875" w:name="_Toc36013381"/>
      <w:bookmarkStart w:id="1876" w:name="_Toc58243464"/>
      <w:bookmarkStart w:id="1877" w:name="_Toc72958114"/>
      <w:bookmarkStart w:id="1878" w:name="_Toc72958162"/>
      <w:bookmarkStart w:id="1879" w:name="_Toc80272101"/>
      <w:bookmarkStart w:id="1880" w:name="_Toc81315402"/>
      <w:r w:rsidRPr="005734B8">
        <w:rPr>
          <w:rFonts w:ascii="Calibri" w:hAnsi="Calibri" w:cs="Calibri"/>
        </w:rPr>
        <w:t>9.6</w:t>
      </w:r>
      <w:r w:rsidRPr="005734B8">
        <w:rPr>
          <w:rFonts w:ascii="Calibri" w:hAnsi="Calibri" w:cs="Calibri"/>
        </w:rPr>
        <w:tab/>
        <w:t>Reserves</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p>
    <w:tbl>
      <w:tblPr>
        <w:tblW w:w="7625" w:type="dxa"/>
        <w:tblInd w:w="75" w:type="dxa"/>
        <w:tblLayout w:type="fixed"/>
        <w:tblLook w:val="04A0" w:firstRow="1" w:lastRow="0" w:firstColumn="1" w:lastColumn="0" w:noHBand="0" w:noVBand="1"/>
      </w:tblPr>
      <w:tblGrid>
        <w:gridCol w:w="5480"/>
        <w:gridCol w:w="1074"/>
        <w:gridCol w:w="1071"/>
      </w:tblGrid>
      <w:tr w:rsidR="00F1540A" w:rsidRPr="005734B8" w14:paraId="53A6A28B" w14:textId="77777777" w:rsidTr="000F48B1">
        <w:trPr>
          <w:trHeight w:val="480"/>
        </w:trPr>
        <w:tc>
          <w:tcPr>
            <w:tcW w:w="5480" w:type="dxa"/>
            <w:tcBorders>
              <w:top w:val="nil"/>
              <w:left w:val="single" w:sz="4" w:space="0" w:color="FFFFFF"/>
              <w:bottom w:val="single" w:sz="4" w:space="0" w:color="FFFFFF"/>
              <w:right w:val="single" w:sz="4" w:space="0" w:color="FFFFFF"/>
            </w:tcBorders>
            <w:shd w:val="clear" w:color="000000" w:fill="AF272F"/>
            <w:hideMark/>
          </w:tcPr>
          <w:p w14:paraId="05FB2767" w14:textId="77777777" w:rsidR="00F1540A" w:rsidRPr="005734B8" w:rsidRDefault="00F1540A" w:rsidP="000F48B1">
            <w:pPr>
              <w:rPr>
                <w:rFonts w:ascii="Calibri" w:hAnsi="Calibri" w:cs="Calibri"/>
                <w:b/>
                <w:color w:val="FFFFFF"/>
                <w:sz w:val="18"/>
                <w:szCs w:val="18"/>
              </w:rPr>
            </w:pPr>
            <w:bookmarkStart w:id="1881" w:name="Note_RRRTABLE1" w:colFirst="0" w:colLast="0"/>
            <w:r w:rsidRPr="005734B8">
              <w:rPr>
                <w:rFonts w:ascii="Calibri" w:hAnsi="Calibri" w:cs="Calibri"/>
                <w:b/>
                <w:color w:val="FFFFFF"/>
                <w:sz w:val="18"/>
                <w:szCs w:val="18"/>
              </w:rPr>
              <w:t> </w:t>
            </w:r>
          </w:p>
        </w:tc>
        <w:tc>
          <w:tcPr>
            <w:tcW w:w="1074" w:type="dxa"/>
            <w:tcBorders>
              <w:top w:val="nil"/>
              <w:left w:val="nil"/>
              <w:bottom w:val="nil"/>
              <w:right w:val="single" w:sz="4" w:space="0" w:color="FFFFFF"/>
            </w:tcBorders>
            <w:shd w:val="clear" w:color="000000" w:fill="AF272F"/>
            <w:hideMark/>
          </w:tcPr>
          <w:p w14:paraId="0F235FCE"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71" w:type="dxa"/>
            <w:tcBorders>
              <w:top w:val="nil"/>
              <w:left w:val="nil"/>
              <w:bottom w:val="nil"/>
              <w:right w:val="single" w:sz="4" w:space="0" w:color="FFFFFF"/>
            </w:tcBorders>
            <w:shd w:val="clear" w:color="000000" w:fill="AF272F"/>
            <w:hideMark/>
          </w:tcPr>
          <w:p w14:paraId="5B1F1CF4"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881"/>
      <w:tr w:rsidR="00F1540A" w:rsidRPr="005734B8" w14:paraId="31E81886" w14:textId="77777777" w:rsidTr="000F48B1">
        <w:trPr>
          <w:trHeight w:val="255"/>
        </w:trPr>
        <w:tc>
          <w:tcPr>
            <w:tcW w:w="5480"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3AB68989"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Physical asset revaluation surplus</w:t>
            </w:r>
          </w:p>
        </w:tc>
        <w:tc>
          <w:tcPr>
            <w:tcW w:w="1074" w:type="dxa"/>
            <w:tcBorders>
              <w:top w:val="single" w:sz="4" w:space="0" w:color="auto"/>
              <w:left w:val="nil"/>
              <w:bottom w:val="single" w:sz="4" w:space="0" w:color="auto"/>
              <w:right w:val="single" w:sz="4" w:space="0" w:color="FFFFFF"/>
            </w:tcBorders>
            <w:shd w:val="clear" w:color="000000" w:fill="D9D9D9"/>
            <w:vAlign w:val="center"/>
            <w:hideMark/>
          </w:tcPr>
          <w:p w14:paraId="07C71AD9"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c>
          <w:tcPr>
            <w:tcW w:w="1071" w:type="dxa"/>
            <w:tcBorders>
              <w:top w:val="single" w:sz="4" w:space="0" w:color="auto"/>
              <w:left w:val="nil"/>
              <w:bottom w:val="single" w:sz="4" w:space="0" w:color="auto"/>
              <w:right w:val="single" w:sz="4" w:space="0" w:color="FFFFFF"/>
            </w:tcBorders>
            <w:shd w:val="clear" w:color="000000" w:fill="D9D9D9"/>
            <w:vAlign w:val="center"/>
            <w:hideMark/>
          </w:tcPr>
          <w:p w14:paraId="7C5DB4A5"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w:t>
            </w:r>
          </w:p>
        </w:tc>
      </w:tr>
      <w:tr w:rsidR="00F1540A" w:rsidRPr="005734B8" w14:paraId="20F6B53B" w14:textId="77777777" w:rsidTr="000F48B1">
        <w:trPr>
          <w:trHeight w:val="255"/>
        </w:trPr>
        <w:tc>
          <w:tcPr>
            <w:tcW w:w="5480" w:type="dxa"/>
            <w:tcBorders>
              <w:top w:val="nil"/>
              <w:left w:val="single" w:sz="4" w:space="0" w:color="FFFFFF"/>
              <w:bottom w:val="single" w:sz="4" w:space="0" w:color="auto"/>
              <w:right w:val="single" w:sz="4" w:space="0" w:color="FFFFFF"/>
            </w:tcBorders>
            <w:shd w:val="clear" w:color="FFFFFF" w:fill="FFFFFF"/>
            <w:vAlign w:val="center"/>
            <w:hideMark/>
          </w:tcPr>
          <w:p w14:paraId="3001ACD0"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Balance at beginning of financial year</w:t>
            </w:r>
          </w:p>
        </w:tc>
        <w:tc>
          <w:tcPr>
            <w:tcW w:w="1074" w:type="dxa"/>
            <w:tcBorders>
              <w:top w:val="nil"/>
              <w:left w:val="nil"/>
              <w:bottom w:val="single" w:sz="4" w:space="0" w:color="auto"/>
              <w:right w:val="single" w:sz="4" w:space="0" w:color="FFFFFF"/>
            </w:tcBorders>
            <w:shd w:val="clear" w:color="000000" w:fill="D9D9D9"/>
            <w:noWrap/>
            <w:vAlign w:val="center"/>
            <w:hideMark/>
          </w:tcPr>
          <w:p w14:paraId="4B4F832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12,211.5 </w:t>
            </w:r>
          </w:p>
        </w:tc>
        <w:tc>
          <w:tcPr>
            <w:tcW w:w="1071" w:type="dxa"/>
            <w:tcBorders>
              <w:top w:val="nil"/>
              <w:left w:val="nil"/>
              <w:bottom w:val="single" w:sz="4" w:space="0" w:color="auto"/>
              <w:right w:val="single" w:sz="4" w:space="0" w:color="FFFFFF"/>
            </w:tcBorders>
            <w:shd w:val="clear" w:color="FFFFFF" w:fill="FFFFFF"/>
            <w:noWrap/>
            <w:vAlign w:val="center"/>
            <w:hideMark/>
          </w:tcPr>
          <w:p w14:paraId="44663B1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12,219.5 </w:t>
            </w:r>
          </w:p>
        </w:tc>
      </w:tr>
      <w:tr w:rsidR="00F1540A" w:rsidRPr="005734B8" w14:paraId="7D1A9EDA" w14:textId="77777777" w:rsidTr="000F48B1">
        <w:trPr>
          <w:trHeight w:val="270"/>
        </w:trPr>
        <w:tc>
          <w:tcPr>
            <w:tcW w:w="5480" w:type="dxa"/>
            <w:tcBorders>
              <w:top w:val="nil"/>
              <w:left w:val="single" w:sz="4" w:space="0" w:color="FFFFFF"/>
              <w:bottom w:val="single" w:sz="4" w:space="0" w:color="auto"/>
              <w:right w:val="single" w:sz="4" w:space="0" w:color="FFFFFF"/>
            </w:tcBorders>
            <w:shd w:val="clear" w:color="FFFFFF" w:fill="FFFFFF"/>
            <w:vAlign w:val="center"/>
            <w:hideMark/>
          </w:tcPr>
          <w:p w14:paraId="33936F47"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Revaluation increment/(decrement) of land during the year</w:t>
            </w:r>
          </w:p>
        </w:tc>
        <w:tc>
          <w:tcPr>
            <w:tcW w:w="1074" w:type="dxa"/>
            <w:tcBorders>
              <w:top w:val="nil"/>
              <w:left w:val="nil"/>
              <w:bottom w:val="single" w:sz="4" w:space="0" w:color="auto"/>
              <w:right w:val="single" w:sz="4" w:space="0" w:color="FFFFFF"/>
            </w:tcBorders>
            <w:shd w:val="clear" w:color="000000" w:fill="D9D9D9"/>
            <w:noWrap/>
            <w:vAlign w:val="center"/>
            <w:hideMark/>
          </w:tcPr>
          <w:p w14:paraId="3A20BE4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2,826.4 </w:t>
            </w:r>
          </w:p>
        </w:tc>
        <w:tc>
          <w:tcPr>
            <w:tcW w:w="1071" w:type="dxa"/>
            <w:tcBorders>
              <w:top w:val="nil"/>
              <w:left w:val="nil"/>
              <w:bottom w:val="single" w:sz="4" w:space="0" w:color="auto"/>
              <w:right w:val="single" w:sz="4" w:space="0" w:color="FFFFFF"/>
            </w:tcBorders>
            <w:shd w:val="clear" w:color="FFFFFF" w:fill="FFFFFF"/>
            <w:noWrap/>
            <w:vAlign w:val="center"/>
            <w:hideMark/>
          </w:tcPr>
          <w:p w14:paraId="15306836" w14:textId="7A8E31A8"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r>
      <w:tr w:rsidR="00F1540A" w:rsidRPr="005734B8" w14:paraId="221F979D" w14:textId="77777777" w:rsidTr="000F48B1">
        <w:trPr>
          <w:trHeight w:val="270"/>
        </w:trPr>
        <w:tc>
          <w:tcPr>
            <w:tcW w:w="5480" w:type="dxa"/>
            <w:tcBorders>
              <w:top w:val="nil"/>
              <w:left w:val="single" w:sz="4" w:space="0" w:color="FFFFFF"/>
              <w:bottom w:val="single" w:sz="4" w:space="0" w:color="auto"/>
              <w:right w:val="single" w:sz="4" w:space="0" w:color="FFFFFF"/>
            </w:tcBorders>
            <w:shd w:val="clear" w:color="FFFFFF" w:fill="FFFFFF"/>
            <w:vAlign w:val="center"/>
            <w:hideMark/>
          </w:tcPr>
          <w:p w14:paraId="014D1D17"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Revaluation increment/(decrement) of buildings during the year</w:t>
            </w:r>
          </w:p>
        </w:tc>
        <w:tc>
          <w:tcPr>
            <w:tcW w:w="1074" w:type="dxa"/>
            <w:tcBorders>
              <w:top w:val="nil"/>
              <w:left w:val="nil"/>
              <w:bottom w:val="single" w:sz="4" w:space="0" w:color="auto"/>
              <w:right w:val="single" w:sz="4" w:space="0" w:color="FFFFFF"/>
            </w:tcBorders>
            <w:shd w:val="clear" w:color="000000" w:fill="D9D9D9"/>
            <w:noWrap/>
            <w:vAlign w:val="center"/>
            <w:hideMark/>
          </w:tcPr>
          <w:p w14:paraId="0661B3A1"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(2.9) </w:t>
            </w:r>
          </w:p>
        </w:tc>
        <w:tc>
          <w:tcPr>
            <w:tcW w:w="1071" w:type="dxa"/>
            <w:tcBorders>
              <w:top w:val="nil"/>
              <w:left w:val="nil"/>
              <w:bottom w:val="single" w:sz="4" w:space="0" w:color="auto"/>
              <w:right w:val="single" w:sz="4" w:space="0" w:color="FFFFFF"/>
            </w:tcBorders>
            <w:shd w:val="clear" w:color="FFFFFF" w:fill="FFFFFF"/>
            <w:noWrap/>
            <w:vAlign w:val="center"/>
            <w:hideMark/>
          </w:tcPr>
          <w:p w14:paraId="6D34EAC6"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(8.2) </w:t>
            </w:r>
          </w:p>
        </w:tc>
      </w:tr>
      <w:tr w:rsidR="00F1540A" w:rsidRPr="005734B8" w14:paraId="549E73E1" w14:textId="77777777" w:rsidTr="000F48B1">
        <w:trPr>
          <w:trHeight w:val="270"/>
        </w:trPr>
        <w:tc>
          <w:tcPr>
            <w:tcW w:w="5480" w:type="dxa"/>
            <w:tcBorders>
              <w:top w:val="nil"/>
              <w:left w:val="single" w:sz="4" w:space="0" w:color="FFFFFF"/>
              <w:bottom w:val="single" w:sz="4" w:space="0" w:color="auto"/>
              <w:right w:val="single" w:sz="4" w:space="0" w:color="FFFFFF"/>
            </w:tcBorders>
            <w:shd w:val="clear" w:color="FFFFFF" w:fill="FFFFFF"/>
            <w:vAlign w:val="center"/>
            <w:hideMark/>
          </w:tcPr>
          <w:p w14:paraId="310828FE"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Revaluation increment/(decrement) of leasehold buildings during the year</w:t>
            </w:r>
          </w:p>
        </w:tc>
        <w:tc>
          <w:tcPr>
            <w:tcW w:w="1074" w:type="dxa"/>
            <w:tcBorders>
              <w:top w:val="nil"/>
              <w:left w:val="nil"/>
              <w:bottom w:val="single" w:sz="4" w:space="0" w:color="auto"/>
              <w:right w:val="single" w:sz="4" w:space="0" w:color="FFFFFF"/>
            </w:tcBorders>
            <w:shd w:val="clear" w:color="000000" w:fill="D9D9D9"/>
            <w:noWrap/>
            <w:vAlign w:val="center"/>
            <w:hideMark/>
          </w:tcPr>
          <w:p w14:paraId="211972A4"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9.5 </w:t>
            </w:r>
          </w:p>
        </w:tc>
        <w:tc>
          <w:tcPr>
            <w:tcW w:w="1071" w:type="dxa"/>
            <w:tcBorders>
              <w:top w:val="nil"/>
              <w:left w:val="nil"/>
              <w:bottom w:val="single" w:sz="4" w:space="0" w:color="auto"/>
              <w:right w:val="single" w:sz="4" w:space="0" w:color="FFFFFF"/>
            </w:tcBorders>
            <w:shd w:val="clear" w:color="FFFFFF" w:fill="FFFFFF"/>
            <w:noWrap/>
            <w:vAlign w:val="center"/>
            <w:hideMark/>
          </w:tcPr>
          <w:p w14:paraId="684FB34D"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1.9 </w:t>
            </w:r>
          </w:p>
        </w:tc>
      </w:tr>
      <w:tr w:rsidR="00F1540A" w:rsidRPr="005734B8" w14:paraId="56A8FE28" w14:textId="77777777" w:rsidTr="000F48B1">
        <w:trPr>
          <w:trHeight w:val="255"/>
        </w:trPr>
        <w:tc>
          <w:tcPr>
            <w:tcW w:w="5480" w:type="dxa"/>
            <w:tcBorders>
              <w:top w:val="nil"/>
              <w:left w:val="single" w:sz="4" w:space="0" w:color="FFFFFF"/>
              <w:bottom w:val="single" w:sz="4" w:space="0" w:color="auto"/>
              <w:right w:val="single" w:sz="4" w:space="0" w:color="FFFFFF"/>
            </w:tcBorders>
            <w:shd w:val="clear" w:color="FFFFFF" w:fill="FFFFFF"/>
            <w:vAlign w:val="center"/>
            <w:hideMark/>
          </w:tcPr>
          <w:p w14:paraId="5DD04F96"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Prior year adjustments</w:t>
            </w:r>
          </w:p>
        </w:tc>
        <w:tc>
          <w:tcPr>
            <w:tcW w:w="1074" w:type="dxa"/>
            <w:tcBorders>
              <w:top w:val="nil"/>
              <w:left w:val="nil"/>
              <w:bottom w:val="single" w:sz="4" w:space="0" w:color="auto"/>
              <w:right w:val="single" w:sz="4" w:space="0" w:color="FFFFFF"/>
            </w:tcBorders>
            <w:shd w:val="clear" w:color="000000" w:fill="D9D9D9"/>
            <w:noWrap/>
            <w:vAlign w:val="center"/>
            <w:hideMark/>
          </w:tcPr>
          <w:p w14:paraId="1B8A06F6" w14:textId="63CA34AF"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71" w:type="dxa"/>
            <w:tcBorders>
              <w:top w:val="nil"/>
              <w:left w:val="nil"/>
              <w:bottom w:val="single" w:sz="4" w:space="0" w:color="auto"/>
              <w:right w:val="single" w:sz="4" w:space="0" w:color="FFFFFF"/>
            </w:tcBorders>
            <w:shd w:val="clear" w:color="FFFFFF" w:fill="FFFFFF"/>
            <w:noWrap/>
            <w:vAlign w:val="center"/>
            <w:hideMark/>
          </w:tcPr>
          <w:p w14:paraId="1939BA33"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(0.1) </w:t>
            </w:r>
          </w:p>
        </w:tc>
      </w:tr>
      <w:tr w:rsidR="00F1540A" w:rsidRPr="005734B8" w14:paraId="26040EC7" w14:textId="77777777" w:rsidTr="000F48B1">
        <w:trPr>
          <w:trHeight w:val="255"/>
        </w:trPr>
        <w:tc>
          <w:tcPr>
            <w:tcW w:w="5480" w:type="dxa"/>
            <w:tcBorders>
              <w:top w:val="nil"/>
              <w:left w:val="single" w:sz="4" w:space="0" w:color="FFFFFF"/>
              <w:bottom w:val="single" w:sz="4" w:space="0" w:color="auto"/>
              <w:right w:val="single" w:sz="4" w:space="0" w:color="FFFFFF"/>
            </w:tcBorders>
            <w:shd w:val="clear" w:color="FFFFFF" w:fill="FFFFFF"/>
            <w:vAlign w:val="center"/>
            <w:hideMark/>
          </w:tcPr>
          <w:p w14:paraId="2C2B373F"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Impairment losses</w:t>
            </w:r>
          </w:p>
        </w:tc>
        <w:tc>
          <w:tcPr>
            <w:tcW w:w="1074" w:type="dxa"/>
            <w:tcBorders>
              <w:top w:val="nil"/>
              <w:left w:val="nil"/>
              <w:bottom w:val="single" w:sz="4" w:space="0" w:color="auto"/>
              <w:right w:val="single" w:sz="4" w:space="0" w:color="FFFFFF"/>
            </w:tcBorders>
            <w:shd w:val="clear" w:color="000000" w:fill="D9D9D9"/>
            <w:noWrap/>
            <w:vAlign w:val="center"/>
            <w:hideMark/>
          </w:tcPr>
          <w:p w14:paraId="10F34940" w14:textId="33AC0AA8" w:rsidR="00F1540A" w:rsidRPr="005734B8" w:rsidRDefault="00FD4AAA" w:rsidP="000F48B1">
            <w:pPr>
              <w:jc w:val="right"/>
              <w:rPr>
                <w:rFonts w:ascii="Calibri" w:hAnsi="Calibri" w:cs="Calibri"/>
                <w:sz w:val="18"/>
                <w:szCs w:val="18"/>
              </w:rPr>
            </w:pPr>
            <w:r w:rsidRPr="005734B8">
              <w:rPr>
                <w:rFonts w:ascii="Calibri" w:hAnsi="Calibri" w:cs="Calibri"/>
                <w:sz w:val="18"/>
                <w:szCs w:val="18"/>
              </w:rPr>
              <w:t>–</w:t>
            </w:r>
            <w:r w:rsidR="00F1540A" w:rsidRPr="005734B8">
              <w:rPr>
                <w:rFonts w:ascii="Calibri" w:hAnsi="Calibri" w:cs="Calibri"/>
                <w:sz w:val="18"/>
                <w:szCs w:val="18"/>
              </w:rPr>
              <w:t xml:space="preserve"> </w:t>
            </w:r>
          </w:p>
        </w:tc>
        <w:tc>
          <w:tcPr>
            <w:tcW w:w="1071" w:type="dxa"/>
            <w:tcBorders>
              <w:top w:val="nil"/>
              <w:left w:val="nil"/>
              <w:bottom w:val="single" w:sz="4" w:space="0" w:color="auto"/>
              <w:right w:val="single" w:sz="4" w:space="0" w:color="FFFFFF"/>
            </w:tcBorders>
            <w:shd w:val="clear" w:color="FFFFFF" w:fill="FFFFFF"/>
            <w:noWrap/>
            <w:vAlign w:val="center"/>
            <w:hideMark/>
          </w:tcPr>
          <w:p w14:paraId="604DDC2A"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(1.6) </w:t>
            </w:r>
          </w:p>
        </w:tc>
      </w:tr>
      <w:tr w:rsidR="00F1540A" w:rsidRPr="005734B8" w14:paraId="06AD3EAC" w14:textId="77777777" w:rsidTr="000F48B1">
        <w:trPr>
          <w:trHeight w:val="285"/>
        </w:trPr>
        <w:tc>
          <w:tcPr>
            <w:tcW w:w="5480"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4B7A1C4"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Balance at the end of the financial year</w:t>
            </w:r>
          </w:p>
        </w:tc>
        <w:tc>
          <w:tcPr>
            <w:tcW w:w="1074"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13C59BE5"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15,044.5 </w:t>
            </w:r>
          </w:p>
        </w:tc>
        <w:tc>
          <w:tcPr>
            <w:tcW w:w="1071" w:type="dxa"/>
            <w:tcBorders>
              <w:top w:val="single" w:sz="12" w:space="0" w:color="auto"/>
              <w:left w:val="nil"/>
              <w:bottom w:val="single" w:sz="12" w:space="0" w:color="auto"/>
              <w:right w:val="nil"/>
            </w:tcBorders>
            <w:shd w:val="clear" w:color="FFFFFF" w:fill="FFFFFF"/>
            <w:noWrap/>
            <w:vAlign w:val="center"/>
            <w:hideMark/>
          </w:tcPr>
          <w:p w14:paraId="1EFA62CE"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12,211.5 </w:t>
            </w:r>
          </w:p>
        </w:tc>
      </w:tr>
    </w:tbl>
    <w:p w14:paraId="3F4A0B0D" w14:textId="77777777" w:rsidR="00F1540A" w:rsidRPr="005734B8" w:rsidRDefault="00F1540A" w:rsidP="00F1540A">
      <w:pPr>
        <w:rPr>
          <w:rFonts w:ascii="Calibri" w:eastAsia="Arial" w:hAnsi="Calibri" w:cs="Calibri"/>
          <w:lang w:val="en-US"/>
        </w:rPr>
      </w:pPr>
    </w:p>
    <w:p w14:paraId="1696BEE7" w14:textId="77777777" w:rsidR="00F1540A" w:rsidRPr="005734B8" w:rsidRDefault="00F1540A" w:rsidP="00F1540A">
      <w:pPr>
        <w:rPr>
          <w:rFonts w:ascii="Calibri" w:eastAsia="Arial" w:hAnsi="Calibri" w:cs="Calibri"/>
          <w:lang w:val="en-US"/>
        </w:rPr>
      </w:pPr>
      <w:r w:rsidRPr="005734B8">
        <w:rPr>
          <w:rFonts w:ascii="Calibri" w:eastAsia="Arial" w:hAnsi="Calibri" w:cs="Calibri"/>
          <w:lang w:val="en-US"/>
        </w:rPr>
        <w:t>The physical asset revaluation surplus is used to record increments and decrements on the revaluation of non-financial physical assets.</w:t>
      </w:r>
    </w:p>
    <w:p w14:paraId="30265AD7" w14:textId="77777777" w:rsidR="00F1540A" w:rsidRPr="005734B8" w:rsidRDefault="00F1540A" w:rsidP="00F1540A">
      <w:pPr>
        <w:pStyle w:val="ESHeading2"/>
        <w:rPr>
          <w:rFonts w:ascii="Calibri" w:hAnsi="Calibri" w:cs="Calibri"/>
        </w:rPr>
      </w:pPr>
      <w:bookmarkStart w:id="1882" w:name="_Toc36012807"/>
      <w:bookmarkStart w:id="1883" w:name="_Toc36012885"/>
      <w:bookmarkStart w:id="1884" w:name="_Toc36013382"/>
      <w:bookmarkStart w:id="1885" w:name="_Toc58243465"/>
      <w:bookmarkStart w:id="1886" w:name="_Toc72958115"/>
      <w:bookmarkStart w:id="1887" w:name="_Toc72958163"/>
      <w:bookmarkStart w:id="1888" w:name="_Toc80272102"/>
      <w:bookmarkStart w:id="1889" w:name="_Toc81315403"/>
      <w:r w:rsidRPr="005734B8">
        <w:rPr>
          <w:rFonts w:ascii="Calibri" w:hAnsi="Calibri" w:cs="Calibri"/>
        </w:rPr>
        <w:t>9.7</w:t>
      </w:r>
      <w:r w:rsidRPr="005734B8">
        <w:rPr>
          <w:rFonts w:ascii="Calibri" w:hAnsi="Calibri" w:cs="Calibri"/>
        </w:rPr>
        <w:tab/>
        <w:t>Remuneration of auditors</w:t>
      </w:r>
      <w:bookmarkEnd w:id="1882"/>
      <w:bookmarkEnd w:id="1883"/>
      <w:bookmarkEnd w:id="1884"/>
      <w:bookmarkEnd w:id="1885"/>
      <w:bookmarkEnd w:id="1886"/>
      <w:bookmarkEnd w:id="1887"/>
      <w:bookmarkEnd w:id="1888"/>
      <w:bookmarkEnd w:id="1889"/>
    </w:p>
    <w:tbl>
      <w:tblPr>
        <w:tblW w:w="7625" w:type="dxa"/>
        <w:tblInd w:w="75" w:type="dxa"/>
        <w:tblLayout w:type="fixed"/>
        <w:tblLook w:val="04A0" w:firstRow="1" w:lastRow="0" w:firstColumn="1" w:lastColumn="0" w:noHBand="0" w:noVBand="1"/>
      </w:tblPr>
      <w:tblGrid>
        <w:gridCol w:w="5452"/>
        <w:gridCol w:w="1091"/>
        <w:gridCol w:w="1082"/>
      </w:tblGrid>
      <w:tr w:rsidR="00F1540A" w:rsidRPr="005734B8" w14:paraId="24D1FE48" w14:textId="77777777" w:rsidTr="000F48B1">
        <w:trPr>
          <w:trHeight w:val="480"/>
        </w:trPr>
        <w:tc>
          <w:tcPr>
            <w:tcW w:w="5452" w:type="dxa"/>
            <w:tcBorders>
              <w:top w:val="nil"/>
              <w:left w:val="single" w:sz="4" w:space="0" w:color="FFFFFF"/>
              <w:bottom w:val="single" w:sz="4" w:space="0" w:color="FFFFFF"/>
              <w:right w:val="single" w:sz="4" w:space="0" w:color="FFFFFF"/>
            </w:tcBorders>
            <w:shd w:val="clear" w:color="000000" w:fill="AF272F"/>
            <w:hideMark/>
          </w:tcPr>
          <w:p w14:paraId="4A77C96A" w14:textId="77777777" w:rsidR="00F1540A" w:rsidRPr="005734B8" w:rsidRDefault="00F1540A" w:rsidP="000F48B1">
            <w:pPr>
              <w:rPr>
                <w:rFonts w:ascii="Calibri" w:hAnsi="Calibri" w:cs="Calibri"/>
                <w:b/>
                <w:color w:val="FFFFFF"/>
                <w:sz w:val="18"/>
                <w:szCs w:val="18"/>
              </w:rPr>
            </w:pPr>
            <w:bookmarkStart w:id="1890" w:name="Note_RMATABLE1" w:colFirst="0" w:colLast="0"/>
            <w:r w:rsidRPr="005734B8">
              <w:rPr>
                <w:rFonts w:ascii="Calibri" w:hAnsi="Calibri" w:cs="Calibri"/>
                <w:b/>
                <w:color w:val="FFFFFF"/>
                <w:sz w:val="18"/>
                <w:szCs w:val="18"/>
              </w:rPr>
              <w:t> </w:t>
            </w:r>
          </w:p>
        </w:tc>
        <w:tc>
          <w:tcPr>
            <w:tcW w:w="1091" w:type="dxa"/>
            <w:tcBorders>
              <w:top w:val="nil"/>
              <w:left w:val="nil"/>
              <w:bottom w:val="nil"/>
              <w:right w:val="single" w:sz="4" w:space="0" w:color="FFFFFF"/>
            </w:tcBorders>
            <w:shd w:val="clear" w:color="000000" w:fill="AF272F"/>
            <w:hideMark/>
          </w:tcPr>
          <w:p w14:paraId="7076C324"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2021</w:t>
            </w:r>
            <w:r w:rsidRPr="005734B8">
              <w:rPr>
                <w:rFonts w:ascii="Calibri" w:hAnsi="Calibri" w:cs="Calibri"/>
                <w:b/>
                <w:color w:val="FFFFFF"/>
                <w:sz w:val="18"/>
                <w:szCs w:val="18"/>
              </w:rPr>
              <w:br/>
              <w:t>($m)</w:t>
            </w:r>
          </w:p>
        </w:tc>
        <w:tc>
          <w:tcPr>
            <w:tcW w:w="1082" w:type="dxa"/>
            <w:tcBorders>
              <w:top w:val="nil"/>
              <w:left w:val="nil"/>
              <w:bottom w:val="nil"/>
              <w:right w:val="single" w:sz="4" w:space="0" w:color="FFFFFF"/>
            </w:tcBorders>
            <w:shd w:val="clear" w:color="000000" w:fill="AF272F"/>
            <w:hideMark/>
          </w:tcPr>
          <w:p w14:paraId="172941E7" w14:textId="77777777" w:rsidR="00F1540A" w:rsidRPr="005734B8" w:rsidRDefault="00F1540A" w:rsidP="000F48B1">
            <w:pPr>
              <w:jc w:val="right"/>
              <w:rPr>
                <w:rFonts w:ascii="Calibri" w:hAnsi="Calibri" w:cs="Calibri"/>
                <w:b/>
                <w:color w:val="FFFFFF"/>
                <w:sz w:val="18"/>
                <w:szCs w:val="18"/>
              </w:rPr>
            </w:pPr>
            <w:r w:rsidRPr="005734B8">
              <w:rPr>
                <w:rFonts w:ascii="Calibri" w:hAnsi="Calibri" w:cs="Calibri"/>
                <w:b/>
                <w:color w:val="FFFFFF"/>
                <w:sz w:val="18"/>
                <w:szCs w:val="18"/>
              </w:rPr>
              <w:t>2020</w:t>
            </w:r>
            <w:r w:rsidRPr="005734B8">
              <w:rPr>
                <w:rFonts w:ascii="Calibri" w:hAnsi="Calibri" w:cs="Calibri"/>
                <w:b/>
                <w:color w:val="FFFFFF"/>
                <w:sz w:val="18"/>
                <w:szCs w:val="18"/>
              </w:rPr>
              <w:br/>
              <w:t>($m)</w:t>
            </w:r>
          </w:p>
        </w:tc>
      </w:tr>
      <w:bookmarkEnd w:id="1890"/>
      <w:tr w:rsidR="00F1540A" w:rsidRPr="005734B8" w14:paraId="1AF4EC62" w14:textId="77777777" w:rsidTr="000F48B1">
        <w:trPr>
          <w:trHeight w:val="270"/>
        </w:trPr>
        <w:tc>
          <w:tcPr>
            <w:tcW w:w="5452"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2714CEF3" w14:textId="77777777" w:rsidR="00F1540A" w:rsidRPr="005734B8" w:rsidRDefault="00F1540A" w:rsidP="000F48B1">
            <w:pPr>
              <w:rPr>
                <w:rFonts w:ascii="Calibri" w:hAnsi="Calibri" w:cs="Calibri"/>
                <w:sz w:val="18"/>
                <w:szCs w:val="18"/>
              </w:rPr>
            </w:pPr>
            <w:r w:rsidRPr="005734B8">
              <w:rPr>
                <w:rFonts w:ascii="Calibri" w:hAnsi="Calibri" w:cs="Calibri"/>
                <w:sz w:val="18"/>
                <w:szCs w:val="18"/>
              </w:rPr>
              <w:t>Audit fees – Victorian Auditor-General’s Office</w:t>
            </w:r>
          </w:p>
        </w:tc>
        <w:tc>
          <w:tcPr>
            <w:tcW w:w="1091" w:type="dxa"/>
            <w:tcBorders>
              <w:top w:val="single" w:sz="4" w:space="0" w:color="auto"/>
              <w:left w:val="nil"/>
              <w:bottom w:val="single" w:sz="4" w:space="0" w:color="auto"/>
              <w:right w:val="single" w:sz="4" w:space="0" w:color="FFFFFF"/>
            </w:tcBorders>
            <w:shd w:val="clear" w:color="000000" w:fill="D9D9D9"/>
            <w:noWrap/>
            <w:vAlign w:val="center"/>
            <w:hideMark/>
          </w:tcPr>
          <w:p w14:paraId="6453FBFE"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0.6 </w:t>
            </w:r>
          </w:p>
        </w:tc>
        <w:tc>
          <w:tcPr>
            <w:tcW w:w="1082" w:type="dxa"/>
            <w:tcBorders>
              <w:top w:val="single" w:sz="4" w:space="0" w:color="auto"/>
              <w:left w:val="nil"/>
              <w:bottom w:val="single" w:sz="4" w:space="0" w:color="auto"/>
              <w:right w:val="single" w:sz="4" w:space="0" w:color="FFFFFF"/>
            </w:tcBorders>
            <w:shd w:val="clear" w:color="FFFFFF" w:fill="FFFFFF"/>
            <w:noWrap/>
            <w:vAlign w:val="center"/>
            <w:hideMark/>
          </w:tcPr>
          <w:p w14:paraId="04F73690" w14:textId="77777777" w:rsidR="00F1540A" w:rsidRPr="005734B8" w:rsidRDefault="00F1540A" w:rsidP="000F48B1">
            <w:pPr>
              <w:jc w:val="right"/>
              <w:rPr>
                <w:rFonts w:ascii="Calibri" w:hAnsi="Calibri" w:cs="Calibri"/>
                <w:sz w:val="18"/>
                <w:szCs w:val="18"/>
              </w:rPr>
            </w:pPr>
            <w:r w:rsidRPr="005734B8">
              <w:rPr>
                <w:rFonts w:ascii="Calibri" w:hAnsi="Calibri" w:cs="Calibri"/>
                <w:sz w:val="18"/>
                <w:szCs w:val="18"/>
              </w:rPr>
              <w:t xml:space="preserve">0.6 </w:t>
            </w:r>
          </w:p>
        </w:tc>
      </w:tr>
      <w:tr w:rsidR="00F1540A" w:rsidRPr="005734B8" w14:paraId="00423716" w14:textId="77777777" w:rsidTr="000F48B1">
        <w:trPr>
          <w:trHeight w:val="285"/>
        </w:trPr>
        <w:tc>
          <w:tcPr>
            <w:tcW w:w="545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11D3CAD" w14:textId="77777777" w:rsidR="00F1540A" w:rsidRPr="005734B8" w:rsidRDefault="00F1540A" w:rsidP="000F48B1">
            <w:pPr>
              <w:rPr>
                <w:rFonts w:ascii="Calibri" w:hAnsi="Calibri" w:cs="Calibri"/>
                <w:b/>
                <w:sz w:val="18"/>
                <w:szCs w:val="18"/>
              </w:rPr>
            </w:pPr>
            <w:r w:rsidRPr="005734B8">
              <w:rPr>
                <w:rFonts w:ascii="Calibri" w:hAnsi="Calibri" w:cs="Calibri"/>
                <w:b/>
                <w:sz w:val="18"/>
                <w:szCs w:val="18"/>
              </w:rPr>
              <w:t xml:space="preserve">Total remuneration of auditors </w:t>
            </w:r>
          </w:p>
        </w:tc>
        <w:tc>
          <w:tcPr>
            <w:tcW w:w="109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19AD80DB"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0.6 </w:t>
            </w:r>
          </w:p>
        </w:tc>
        <w:tc>
          <w:tcPr>
            <w:tcW w:w="1082" w:type="dxa"/>
            <w:tcBorders>
              <w:top w:val="single" w:sz="12" w:space="0" w:color="auto"/>
              <w:left w:val="nil"/>
              <w:bottom w:val="single" w:sz="12" w:space="0" w:color="auto"/>
              <w:right w:val="nil"/>
            </w:tcBorders>
            <w:shd w:val="clear" w:color="FFFFFF" w:fill="FFFFFF"/>
            <w:noWrap/>
            <w:vAlign w:val="center"/>
            <w:hideMark/>
          </w:tcPr>
          <w:p w14:paraId="30351A64" w14:textId="77777777" w:rsidR="00F1540A" w:rsidRPr="005734B8" w:rsidRDefault="00F1540A" w:rsidP="000F48B1">
            <w:pPr>
              <w:jc w:val="right"/>
              <w:rPr>
                <w:rFonts w:ascii="Calibri" w:hAnsi="Calibri" w:cs="Calibri"/>
                <w:b/>
                <w:sz w:val="18"/>
                <w:szCs w:val="18"/>
              </w:rPr>
            </w:pPr>
            <w:r w:rsidRPr="005734B8">
              <w:rPr>
                <w:rFonts w:ascii="Calibri" w:hAnsi="Calibri" w:cs="Calibri"/>
                <w:b/>
                <w:sz w:val="18"/>
                <w:szCs w:val="18"/>
              </w:rPr>
              <w:t xml:space="preserve">0.6 </w:t>
            </w:r>
          </w:p>
        </w:tc>
      </w:tr>
    </w:tbl>
    <w:p w14:paraId="074808C8" w14:textId="77777777" w:rsidR="00F1540A" w:rsidRPr="005734B8" w:rsidRDefault="00F1540A" w:rsidP="00B40FB0">
      <w:pPr>
        <w:spacing w:before="240" w:after="180" w:line="240" w:lineRule="atLeast"/>
        <w:outlineLvl w:val="0"/>
        <w:rPr>
          <w:rFonts w:ascii="Calibri" w:hAnsi="Calibri" w:cs="Calibri"/>
          <w:bCs/>
          <w:color w:val="8A2A2F"/>
          <w:spacing w:val="5"/>
          <w:kern w:val="28"/>
          <w:sz w:val="28"/>
          <w:lang w:val="en-US"/>
        </w:rPr>
      </w:pPr>
      <w:r w:rsidRPr="005734B8">
        <w:rPr>
          <w:rFonts w:ascii="Calibri" w:hAnsi="Calibri" w:cs="Calibri"/>
        </w:rPr>
        <w:br w:type="page"/>
      </w:r>
      <w:bookmarkStart w:id="1891" w:name="_Toc72958116"/>
      <w:bookmarkStart w:id="1892" w:name="_Toc72958164"/>
      <w:bookmarkStart w:id="1893" w:name="_Toc81315404"/>
      <w:bookmarkStart w:id="1894" w:name="_Toc16231980"/>
      <w:bookmarkStart w:id="1895" w:name="_Toc36012808"/>
      <w:bookmarkStart w:id="1896" w:name="_Toc36012886"/>
      <w:bookmarkStart w:id="1897" w:name="_Toc36013383"/>
      <w:r w:rsidRPr="005734B8">
        <w:rPr>
          <w:rFonts w:ascii="Calibri" w:hAnsi="Calibri" w:cs="Calibri"/>
          <w:bCs/>
          <w:color w:val="8A2A2F"/>
          <w:spacing w:val="5"/>
          <w:kern w:val="28"/>
          <w:sz w:val="28"/>
          <w:lang w:val="en-US"/>
        </w:rPr>
        <w:lastRenderedPageBreak/>
        <w:t>9.8 Other accounting policies</w:t>
      </w:r>
      <w:bookmarkEnd w:id="1891"/>
      <w:bookmarkEnd w:id="1892"/>
      <w:bookmarkEnd w:id="1893"/>
    </w:p>
    <w:p w14:paraId="7185A690" w14:textId="77777777" w:rsidR="00F1540A" w:rsidRPr="005734B8" w:rsidRDefault="00F1540A" w:rsidP="000F6516">
      <w:pPr>
        <w:pStyle w:val="ESHeading4"/>
        <w:ind w:left="0" w:firstLine="0"/>
        <w:rPr>
          <w:rFonts w:ascii="Calibri" w:hAnsi="Calibri" w:cs="Calibri"/>
          <w:b/>
        </w:rPr>
      </w:pPr>
      <w:r w:rsidRPr="005734B8">
        <w:rPr>
          <w:rFonts w:ascii="Calibri" w:hAnsi="Calibri" w:cs="Calibri"/>
        </w:rPr>
        <w:t xml:space="preserve">Contributions by owners </w:t>
      </w:r>
    </w:p>
    <w:p w14:paraId="2F53DC96" w14:textId="77777777" w:rsidR="00F1540A" w:rsidRPr="005734B8" w:rsidRDefault="00F1540A" w:rsidP="00F1540A">
      <w:pPr>
        <w:rPr>
          <w:rFonts w:ascii="Calibri" w:hAnsi="Calibri" w:cs="Calibri"/>
        </w:rPr>
      </w:pPr>
      <w:r w:rsidRPr="005734B8">
        <w:rPr>
          <w:rFonts w:ascii="Calibri" w:hAnsi="Calibri" w:cs="Calibri"/>
        </w:rPr>
        <w:t>Consistent with the requirements of AASB 1004 Contributions, contributions by owners (that is, contributed capital and its distribution) are treated as equity transactions and, therefore, do not form part of the income and expenses of the Department.</w:t>
      </w:r>
    </w:p>
    <w:p w14:paraId="3F4241FB" w14:textId="77777777" w:rsidR="00F1540A" w:rsidRPr="005734B8" w:rsidRDefault="00F1540A" w:rsidP="00F1540A">
      <w:pPr>
        <w:rPr>
          <w:rFonts w:ascii="Calibri" w:hAnsi="Calibri" w:cs="Calibri"/>
        </w:rPr>
      </w:pPr>
    </w:p>
    <w:p w14:paraId="6BEA0BB4" w14:textId="77777777" w:rsidR="00F1540A" w:rsidRPr="005734B8" w:rsidRDefault="00F1540A" w:rsidP="00F1540A">
      <w:pPr>
        <w:rPr>
          <w:rFonts w:ascii="Calibri" w:hAnsi="Calibri" w:cs="Calibri"/>
        </w:rPr>
      </w:pPr>
      <w:r w:rsidRPr="005734B8">
        <w:rPr>
          <w:rFonts w:ascii="Calibri" w:hAnsi="Calibri" w:cs="Calibri"/>
        </w:rPr>
        <w:t>Additions to net assets that have been designated as contributions by owners are recognised as contributed capital. Other transfers that are in the nature of contributions to or distributions by owners have also been designated as contributions by owners.</w:t>
      </w:r>
    </w:p>
    <w:p w14:paraId="0CCFEA36" w14:textId="77777777" w:rsidR="00F1540A" w:rsidRPr="005734B8" w:rsidRDefault="00F1540A" w:rsidP="00F1540A">
      <w:pPr>
        <w:rPr>
          <w:rFonts w:ascii="Calibri" w:hAnsi="Calibri" w:cs="Calibri"/>
        </w:rPr>
      </w:pPr>
    </w:p>
    <w:p w14:paraId="2C426915" w14:textId="7EC8B90D" w:rsidR="00F1540A" w:rsidRPr="005734B8" w:rsidRDefault="00F1540A" w:rsidP="00F1540A">
      <w:pPr>
        <w:rPr>
          <w:rFonts w:ascii="Calibri" w:hAnsi="Calibri" w:cs="Calibri"/>
        </w:rPr>
      </w:pPr>
      <w:r w:rsidRPr="005734B8">
        <w:rPr>
          <w:rFonts w:ascii="Calibri" w:hAnsi="Calibri" w:cs="Calibri"/>
        </w:rPr>
        <w:t>Transfers of net assets arising from administrative restructurings are treated as distributions to or contributions by owners. Transfers of net liabilities arising from administrative restructurings are treated as distributions to owners.</w:t>
      </w:r>
      <w:bookmarkStart w:id="1898" w:name="_Toc58243468"/>
    </w:p>
    <w:p w14:paraId="0AC61988" w14:textId="77777777" w:rsidR="00F1540A" w:rsidRPr="005734B8" w:rsidRDefault="00F1540A" w:rsidP="00F1540A">
      <w:pPr>
        <w:spacing w:before="240" w:after="180" w:line="240" w:lineRule="atLeast"/>
        <w:outlineLvl w:val="0"/>
        <w:rPr>
          <w:rFonts w:ascii="Calibri" w:hAnsi="Calibri" w:cs="Calibri"/>
          <w:bCs/>
          <w:color w:val="8A2A2F"/>
          <w:spacing w:val="5"/>
          <w:kern w:val="28"/>
          <w:sz w:val="28"/>
          <w:lang w:val="en-US"/>
        </w:rPr>
      </w:pPr>
      <w:bookmarkStart w:id="1899" w:name="_Toc72958117"/>
      <w:bookmarkStart w:id="1900" w:name="_Toc72958165"/>
      <w:bookmarkStart w:id="1901" w:name="_Toc80272103"/>
      <w:bookmarkStart w:id="1902" w:name="_Toc81315405"/>
      <w:r w:rsidRPr="005734B8">
        <w:rPr>
          <w:rFonts w:ascii="Calibri" w:hAnsi="Calibri" w:cs="Calibri"/>
          <w:bCs/>
          <w:color w:val="8A2A2F"/>
          <w:spacing w:val="5"/>
          <w:kern w:val="28"/>
          <w:sz w:val="28"/>
          <w:lang w:val="en-US"/>
        </w:rPr>
        <w:t>9.9 Australian Accounting Standards and interpretation issues that are not yet effective</w:t>
      </w:r>
      <w:bookmarkEnd w:id="1894"/>
      <w:bookmarkEnd w:id="1895"/>
      <w:bookmarkEnd w:id="1896"/>
      <w:bookmarkEnd w:id="1897"/>
      <w:bookmarkEnd w:id="1898"/>
      <w:bookmarkEnd w:id="1899"/>
      <w:bookmarkEnd w:id="1900"/>
      <w:bookmarkEnd w:id="1901"/>
      <w:bookmarkEnd w:id="1902"/>
    </w:p>
    <w:p w14:paraId="6CCE3425" w14:textId="77777777" w:rsidR="00F1540A" w:rsidRPr="005734B8" w:rsidRDefault="00F1540A" w:rsidP="00F1540A">
      <w:pPr>
        <w:rPr>
          <w:rFonts w:ascii="Calibri" w:hAnsi="Calibri" w:cs="Calibri"/>
          <w:szCs w:val="22"/>
        </w:rPr>
      </w:pPr>
      <w:r w:rsidRPr="005734B8">
        <w:rPr>
          <w:rFonts w:ascii="Calibri" w:hAnsi="Calibri" w:cs="Calibri"/>
          <w:szCs w:val="22"/>
        </w:rPr>
        <w:t>Certain new and revised accounting standards have been issued but are not effective for the 2020–21</w:t>
      </w:r>
      <w:r w:rsidRPr="005734B8">
        <w:rPr>
          <w:rFonts w:ascii="Calibri" w:hAnsi="Calibri" w:cs="Calibri"/>
          <w:szCs w:val="22"/>
        </w:rPr>
        <w:fldChar w:fldCharType="begin"/>
      </w:r>
      <w:r w:rsidRPr="005734B8">
        <w:rPr>
          <w:rFonts w:ascii="Calibri" w:hAnsi="Calibri" w:cs="Calibri"/>
          <w:szCs w:val="22"/>
        </w:rPr>
        <w:instrText xml:space="preserve"> DOCPROPERTY  FinYearCurrent  \* MERGEFORMAT </w:instrText>
      </w:r>
      <w:r w:rsidRPr="005734B8">
        <w:rPr>
          <w:rFonts w:ascii="Calibri" w:hAnsi="Calibri" w:cs="Calibri"/>
          <w:szCs w:val="22"/>
        </w:rPr>
        <w:fldChar w:fldCharType="end"/>
      </w:r>
      <w:r w:rsidRPr="005734B8">
        <w:rPr>
          <w:rFonts w:ascii="Calibri" w:hAnsi="Calibri" w:cs="Calibri"/>
          <w:szCs w:val="22"/>
        </w:rPr>
        <w:t xml:space="preserve"> reporting period. These accounting standards have not been applied to the Department’s Financial Statements. The State is reviewing its existing policies and assessing the potential implications of these accounting standards which includes:</w:t>
      </w:r>
    </w:p>
    <w:p w14:paraId="3DB3630E" w14:textId="0D77CD2C" w:rsidR="00F1540A" w:rsidRPr="005734B8" w:rsidRDefault="00F1540A" w:rsidP="00670895">
      <w:pPr>
        <w:pStyle w:val="ListBullet"/>
        <w:numPr>
          <w:ilvl w:val="0"/>
          <w:numId w:val="81"/>
        </w:numPr>
        <w:spacing w:before="40" w:after="80" w:line="264" w:lineRule="auto"/>
        <w:ind w:left="567" w:hanging="567"/>
        <w:contextualSpacing w:val="0"/>
        <w:rPr>
          <w:rFonts w:ascii="Calibri" w:hAnsi="Calibri" w:cs="Calibri"/>
          <w:sz w:val="22"/>
          <w:szCs w:val="22"/>
        </w:rPr>
      </w:pPr>
      <w:r w:rsidRPr="005734B8">
        <w:rPr>
          <w:rFonts w:ascii="Calibri" w:hAnsi="Calibri" w:cs="Calibri"/>
          <w:sz w:val="22"/>
          <w:szCs w:val="22"/>
        </w:rPr>
        <w:t>AASB 2020-1 Amendments to Australian Accounting Standards</w:t>
      </w:r>
      <w:r w:rsidR="00182976" w:rsidRPr="005734B8">
        <w:rPr>
          <w:rFonts w:ascii="Calibri" w:hAnsi="Calibri" w:cs="Calibri"/>
          <w:sz w:val="22"/>
          <w:szCs w:val="22"/>
        </w:rPr>
        <w:t>—</w:t>
      </w:r>
      <w:r w:rsidRPr="005734B8">
        <w:rPr>
          <w:rFonts w:ascii="Calibri" w:hAnsi="Calibri" w:cs="Calibri"/>
          <w:sz w:val="22"/>
          <w:szCs w:val="22"/>
        </w:rPr>
        <w:t>Classification of Liabilities as Current or Non</w:t>
      </w:r>
      <w:r w:rsidRPr="005734B8">
        <w:rPr>
          <w:rFonts w:ascii="Calibri" w:hAnsi="Calibri" w:cs="Calibri"/>
          <w:sz w:val="22"/>
          <w:szCs w:val="22"/>
        </w:rPr>
        <w:noBreakHyphen/>
        <w:t>Current</w:t>
      </w:r>
    </w:p>
    <w:p w14:paraId="25EBF46B" w14:textId="7720F32B" w:rsidR="00F1540A" w:rsidRPr="005734B8" w:rsidRDefault="00F1540A" w:rsidP="00F1540A">
      <w:pPr>
        <w:pStyle w:val="ListContinue"/>
        <w:ind w:left="567"/>
        <w:rPr>
          <w:rFonts w:ascii="Calibri" w:hAnsi="Calibri" w:cs="Calibri"/>
          <w:szCs w:val="22"/>
        </w:rPr>
      </w:pPr>
      <w:r w:rsidRPr="005734B8">
        <w:rPr>
          <w:rFonts w:ascii="Calibri" w:hAnsi="Calibri" w:cs="Calibri"/>
          <w:szCs w:val="22"/>
        </w:rPr>
        <w:t>This Standard amends AASB 101 to clarify requirements for the presentation of liabilities in the statement of financial position as current or non-current. It initially applied to annual reporting periods beginning on or after 1 January 2022 with earlier application permitted</w:t>
      </w:r>
      <w:r w:rsidR="00182976" w:rsidRPr="005734B8">
        <w:rPr>
          <w:rFonts w:ascii="Calibri" w:hAnsi="Calibri" w:cs="Calibri"/>
          <w:szCs w:val="22"/>
        </w:rPr>
        <w:t>.</w:t>
      </w:r>
      <w:r w:rsidRPr="005734B8">
        <w:rPr>
          <w:rFonts w:ascii="Calibri" w:hAnsi="Calibri" w:cs="Calibri"/>
          <w:szCs w:val="22"/>
        </w:rPr>
        <w:t xml:space="preserve"> </w:t>
      </w:r>
      <w:r w:rsidR="00182976" w:rsidRPr="005734B8">
        <w:rPr>
          <w:rFonts w:ascii="Calibri" w:hAnsi="Calibri" w:cs="Calibri"/>
          <w:szCs w:val="22"/>
        </w:rPr>
        <w:t>H</w:t>
      </w:r>
      <w:r w:rsidRPr="005734B8">
        <w:rPr>
          <w:rFonts w:ascii="Calibri" w:hAnsi="Calibri" w:cs="Calibri"/>
          <w:szCs w:val="22"/>
        </w:rPr>
        <w:t>owever</w:t>
      </w:r>
      <w:r w:rsidR="00182976" w:rsidRPr="005734B8">
        <w:rPr>
          <w:rFonts w:ascii="Calibri" w:hAnsi="Calibri" w:cs="Calibri"/>
          <w:szCs w:val="22"/>
        </w:rPr>
        <w:t>,</w:t>
      </w:r>
      <w:r w:rsidRPr="005734B8">
        <w:rPr>
          <w:rFonts w:ascii="Calibri" w:hAnsi="Calibri" w:cs="Calibri"/>
          <w:szCs w:val="22"/>
        </w:rPr>
        <w:t xml:space="preserve"> the AASB has recently issued AASB 2020–1 Amendments to Australian Accounting Standards</w:t>
      </w:r>
      <w:r w:rsidR="00182976" w:rsidRPr="005734B8">
        <w:rPr>
          <w:rFonts w:ascii="Calibri" w:hAnsi="Calibri" w:cs="Calibri"/>
          <w:szCs w:val="22"/>
        </w:rPr>
        <w:t>—</w:t>
      </w:r>
      <w:r w:rsidRPr="005734B8">
        <w:rPr>
          <w:rFonts w:ascii="Calibri" w:hAnsi="Calibri" w:cs="Calibri"/>
          <w:szCs w:val="22"/>
        </w:rPr>
        <w:t>Classification of Liabilities as Current or Non-current</w:t>
      </w:r>
      <w:r w:rsidR="00182976" w:rsidRPr="005734B8">
        <w:rPr>
          <w:rFonts w:ascii="Calibri" w:hAnsi="Calibri" w:cs="Calibri"/>
          <w:szCs w:val="22"/>
        </w:rPr>
        <w:t>—</w:t>
      </w:r>
      <w:r w:rsidRPr="005734B8">
        <w:rPr>
          <w:rFonts w:ascii="Calibri" w:hAnsi="Calibri" w:cs="Calibri"/>
          <w:szCs w:val="22"/>
        </w:rPr>
        <w:t xml:space="preserve">Deferral of Effective Date to defer the application by one year to periods beginning on or after 1 January 2023. The Department will not adopt the </w:t>
      </w:r>
      <w:r w:rsidR="00182976" w:rsidRPr="005734B8">
        <w:rPr>
          <w:rFonts w:ascii="Calibri" w:hAnsi="Calibri" w:cs="Calibri"/>
          <w:szCs w:val="22"/>
        </w:rPr>
        <w:t>s</w:t>
      </w:r>
      <w:r w:rsidRPr="005734B8">
        <w:rPr>
          <w:rFonts w:ascii="Calibri" w:hAnsi="Calibri" w:cs="Calibri"/>
          <w:szCs w:val="22"/>
        </w:rPr>
        <w:t>tandard</w:t>
      </w:r>
      <w:r w:rsidR="00182976" w:rsidRPr="005734B8">
        <w:rPr>
          <w:rFonts w:ascii="Calibri" w:hAnsi="Calibri" w:cs="Calibri"/>
          <w:szCs w:val="22"/>
        </w:rPr>
        <w:t xml:space="preserve"> early</w:t>
      </w:r>
      <w:r w:rsidRPr="005734B8">
        <w:rPr>
          <w:rFonts w:ascii="Calibri" w:hAnsi="Calibri" w:cs="Calibri"/>
          <w:szCs w:val="22"/>
        </w:rPr>
        <w:t>.</w:t>
      </w:r>
    </w:p>
    <w:p w14:paraId="680C68A9" w14:textId="77777777" w:rsidR="00393350" w:rsidRPr="005734B8" w:rsidRDefault="00393350" w:rsidP="00F1540A">
      <w:pPr>
        <w:pStyle w:val="ListContinue"/>
        <w:ind w:left="567"/>
        <w:rPr>
          <w:rFonts w:ascii="Calibri" w:hAnsi="Calibri" w:cs="Calibri"/>
          <w:szCs w:val="22"/>
        </w:rPr>
      </w:pPr>
    </w:p>
    <w:p w14:paraId="3F1819A6" w14:textId="7E8A39E9" w:rsidR="00F1540A" w:rsidRPr="005734B8" w:rsidRDefault="00F1540A" w:rsidP="00F1540A">
      <w:pPr>
        <w:pStyle w:val="ListContinue"/>
        <w:ind w:left="567"/>
        <w:rPr>
          <w:rFonts w:ascii="Calibri" w:hAnsi="Calibri" w:cs="Calibri"/>
          <w:szCs w:val="22"/>
        </w:rPr>
      </w:pPr>
      <w:r w:rsidRPr="005734B8">
        <w:rPr>
          <w:rFonts w:ascii="Calibri" w:hAnsi="Calibri" w:cs="Calibri"/>
          <w:szCs w:val="22"/>
        </w:rPr>
        <w:t xml:space="preserve">The Department is in the process of analysing the impacts of this </w:t>
      </w:r>
      <w:r w:rsidR="00182976" w:rsidRPr="005734B8">
        <w:rPr>
          <w:rFonts w:ascii="Calibri" w:hAnsi="Calibri" w:cs="Calibri"/>
          <w:szCs w:val="22"/>
        </w:rPr>
        <w:t>s</w:t>
      </w:r>
      <w:r w:rsidRPr="005734B8">
        <w:rPr>
          <w:rFonts w:ascii="Calibri" w:hAnsi="Calibri" w:cs="Calibri"/>
          <w:szCs w:val="22"/>
        </w:rPr>
        <w:t>tandard. However, it is not anticipated to have a material impact.</w:t>
      </w:r>
    </w:p>
    <w:p w14:paraId="1A9CD19E" w14:textId="77777777" w:rsidR="00F1540A" w:rsidRPr="005734B8" w:rsidRDefault="00F1540A" w:rsidP="00F1540A">
      <w:pPr>
        <w:pStyle w:val="ListContinue"/>
        <w:ind w:left="0"/>
        <w:rPr>
          <w:rFonts w:ascii="Calibri" w:hAnsi="Calibri" w:cs="Calibri"/>
          <w:szCs w:val="22"/>
        </w:rPr>
      </w:pPr>
    </w:p>
    <w:p w14:paraId="0D226BD9" w14:textId="06B9307A" w:rsidR="00F1540A" w:rsidRPr="005734B8" w:rsidRDefault="00F1540A" w:rsidP="00F1540A">
      <w:pPr>
        <w:pStyle w:val="ListContinue"/>
        <w:ind w:left="0"/>
        <w:rPr>
          <w:rFonts w:ascii="Calibri" w:hAnsi="Calibri" w:cs="Calibri"/>
        </w:rPr>
      </w:pPr>
      <w:r w:rsidRPr="005734B8">
        <w:rPr>
          <w:rFonts w:ascii="Calibri" w:hAnsi="Calibri" w:cs="Calibri"/>
        </w:rPr>
        <w:t>Several other amending standards and AASB interpretations have been issued that apply to future reporting periods, but are considered to have limited impact on the Department’s reporting</w:t>
      </w:r>
      <w:r w:rsidR="00182976" w:rsidRPr="005734B8">
        <w:rPr>
          <w:rFonts w:ascii="Calibri" w:hAnsi="Calibri" w:cs="Calibri"/>
        </w:rPr>
        <w:t>:</w:t>
      </w:r>
      <w:r w:rsidRPr="005734B8">
        <w:rPr>
          <w:rFonts w:ascii="Calibri" w:hAnsi="Calibri" w:cs="Calibri"/>
        </w:rPr>
        <w:t xml:space="preserve"> </w:t>
      </w:r>
    </w:p>
    <w:p w14:paraId="7C902850" w14:textId="77777777" w:rsidR="00F1540A" w:rsidRPr="005734B8" w:rsidRDefault="00F1540A" w:rsidP="00182976">
      <w:pPr>
        <w:numPr>
          <w:ilvl w:val="0"/>
          <w:numId w:val="47"/>
        </w:numPr>
        <w:rPr>
          <w:rFonts w:ascii="Calibri" w:hAnsi="Calibri" w:cs="Calibri"/>
          <w:szCs w:val="22"/>
        </w:rPr>
      </w:pPr>
      <w:bookmarkStart w:id="1903" w:name="_Hlk69462956"/>
      <w:r w:rsidRPr="005734B8">
        <w:rPr>
          <w:rFonts w:ascii="Calibri" w:hAnsi="Calibri" w:cs="Calibri"/>
          <w:szCs w:val="18"/>
          <w:lang w:val="en-US"/>
        </w:rPr>
        <w:t xml:space="preserve">AASB 17 </w:t>
      </w:r>
      <w:r w:rsidRPr="005734B8">
        <w:rPr>
          <w:rFonts w:ascii="Calibri" w:hAnsi="Calibri" w:cs="Calibri"/>
          <w:szCs w:val="22"/>
        </w:rPr>
        <w:t>Insurance Contracts.</w:t>
      </w:r>
    </w:p>
    <w:p w14:paraId="41678604" w14:textId="726BB18E" w:rsidR="00F1540A" w:rsidRPr="005734B8" w:rsidRDefault="00F1540A" w:rsidP="00182976">
      <w:pPr>
        <w:numPr>
          <w:ilvl w:val="0"/>
          <w:numId w:val="47"/>
        </w:numPr>
        <w:rPr>
          <w:rFonts w:ascii="Calibri" w:hAnsi="Calibri" w:cs="Calibri"/>
          <w:szCs w:val="22"/>
        </w:rPr>
      </w:pPr>
      <w:r w:rsidRPr="005734B8">
        <w:rPr>
          <w:rFonts w:ascii="Calibri" w:hAnsi="Calibri" w:cs="Calibri"/>
          <w:szCs w:val="18"/>
          <w:lang w:val="en-US"/>
        </w:rPr>
        <w:t>AASB 1060 General Purpose Financial Statements</w:t>
      </w:r>
      <w:r w:rsidR="00182976" w:rsidRPr="005734B8">
        <w:rPr>
          <w:rFonts w:ascii="Calibri" w:hAnsi="Calibri" w:cs="Calibri"/>
          <w:szCs w:val="18"/>
          <w:lang w:val="en-US"/>
        </w:rPr>
        <w:t>—</w:t>
      </w:r>
      <w:r w:rsidRPr="005734B8">
        <w:rPr>
          <w:rFonts w:ascii="Calibri" w:hAnsi="Calibri" w:cs="Calibri"/>
          <w:szCs w:val="18"/>
          <w:lang w:val="en-US"/>
        </w:rPr>
        <w:t>Simplified Disclosures for For-Profit and Not-for-Profit Tier 2 Entities (Appendix C)</w:t>
      </w:r>
      <w:r w:rsidRPr="005734B8">
        <w:rPr>
          <w:rFonts w:ascii="Calibri" w:hAnsi="Calibri" w:cs="Calibri"/>
          <w:szCs w:val="22"/>
        </w:rPr>
        <w:t>.</w:t>
      </w:r>
    </w:p>
    <w:p w14:paraId="3B8D1228" w14:textId="548AF4E5" w:rsidR="00F1540A" w:rsidRPr="005734B8" w:rsidRDefault="00F1540A" w:rsidP="00182976">
      <w:pPr>
        <w:numPr>
          <w:ilvl w:val="0"/>
          <w:numId w:val="47"/>
        </w:numPr>
        <w:rPr>
          <w:rFonts w:ascii="Calibri" w:hAnsi="Calibri" w:cs="Calibri"/>
          <w:szCs w:val="22"/>
        </w:rPr>
      </w:pPr>
      <w:r w:rsidRPr="005734B8">
        <w:rPr>
          <w:rFonts w:ascii="Calibri" w:hAnsi="Calibri" w:cs="Calibri"/>
          <w:szCs w:val="18"/>
          <w:lang w:val="en-US"/>
        </w:rPr>
        <w:t>AASB 2020-2 Amendments to Australian Accounting Standards</w:t>
      </w:r>
      <w:r w:rsidR="00182976" w:rsidRPr="005734B8">
        <w:rPr>
          <w:rFonts w:ascii="Calibri" w:hAnsi="Calibri" w:cs="Calibri"/>
          <w:szCs w:val="18"/>
          <w:lang w:val="en-US"/>
        </w:rPr>
        <w:t>—</w:t>
      </w:r>
      <w:r w:rsidRPr="005734B8">
        <w:rPr>
          <w:rFonts w:ascii="Calibri" w:hAnsi="Calibri" w:cs="Calibri"/>
          <w:szCs w:val="18"/>
          <w:lang w:val="en-US"/>
        </w:rPr>
        <w:t xml:space="preserve">Removal of Special Purpose </w:t>
      </w:r>
      <w:r w:rsidRPr="005734B8">
        <w:rPr>
          <w:rFonts w:ascii="Calibri" w:hAnsi="Calibri" w:cs="Calibri"/>
          <w:szCs w:val="22"/>
        </w:rPr>
        <w:t>Financial Statements for Certain For-Profit Private Sector Entities.</w:t>
      </w:r>
    </w:p>
    <w:p w14:paraId="2DFE660B" w14:textId="69336948" w:rsidR="00F1540A" w:rsidRPr="005734B8" w:rsidRDefault="00F1540A" w:rsidP="00182976">
      <w:pPr>
        <w:numPr>
          <w:ilvl w:val="0"/>
          <w:numId w:val="47"/>
        </w:numPr>
        <w:rPr>
          <w:rFonts w:ascii="Calibri" w:hAnsi="Calibri" w:cs="Calibri"/>
          <w:szCs w:val="22"/>
        </w:rPr>
      </w:pPr>
      <w:r w:rsidRPr="005734B8">
        <w:rPr>
          <w:rFonts w:ascii="Calibri" w:hAnsi="Calibri" w:cs="Calibri"/>
          <w:szCs w:val="18"/>
          <w:lang w:val="en-US"/>
        </w:rPr>
        <w:t>AASB 2020-3 Amendments to Australian Accounting Standards</w:t>
      </w:r>
      <w:r w:rsidR="00182976" w:rsidRPr="005734B8">
        <w:rPr>
          <w:rFonts w:ascii="Calibri" w:hAnsi="Calibri" w:cs="Calibri"/>
          <w:szCs w:val="18"/>
          <w:lang w:val="en-US"/>
        </w:rPr>
        <w:t>—</w:t>
      </w:r>
      <w:r w:rsidRPr="005734B8">
        <w:rPr>
          <w:rFonts w:ascii="Calibri" w:hAnsi="Calibri" w:cs="Calibri"/>
          <w:szCs w:val="18"/>
          <w:lang w:val="en-US"/>
        </w:rPr>
        <w:t>Annual Improvements 2018</w:t>
      </w:r>
      <w:r w:rsidR="00182976" w:rsidRPr="005734B8">
        <w:rPr>
          <w:rFonts w:ascii="Calibri" w:hAnsi="Calibri" w:cs="Calibri"/>
          <w:szCs w:val="18"/>
          <w:lang w:val="en-US"/>
        </w:rPr>
        <w:t>–</w:t>
      </w:r>
      <w:r w:rsidRPr="005734B8">
        <w:rPr>
          <w:rFonts w:ascii="Calibri" w:hAnsi="Calibri" w:cs="Calibri"/>
          <w:szCs w:val="18"/>
          <w:lang w:val="en-US"/>
        </w:rPr>
        <w:t>2020 and Other Amendments</w:t>
      </w:r>
      <w:r w:rsidRPr="005734B8">
        <w:rPr>
          <w:rFonts w:ascii="Calibri" w:hAnsi="Calibri" w:cs="Calibri"/>
          <w:szCs w:val="22"/>
        </w:rPr>
        <w:t>.</w:t>
      </w:r>
    </w:p>
    <w:p w14:paraId="139D81DA" w14:textId="53C1E32F" w:rsidR="00F1540A" w:rsidRPr="005734B8" w:rsidRDefault="00F1540A" w:rsidP="00182976">
      <w:pPr>
        <w:numPr>
          <w:ilvl w:val="0"/>
          <w:numId w:val="47"/>
        </w:numPr>
        <w:rPr>
          <w:rFonts w:ascii="Calibri" w:hAnsi="Calibri" w:cs="Calibri"/>
          <w:szCs w:val="22"/>
        </w:rPr>
      </w:pPr>
      <w:r w:rsidRPr="005734B8">
        <w:rPr>
          <w:rFonts w:ascii="Calibri" w:hAnsi="Calibri" w:cs="Calibri"/>
          <w:szCs w:val="18"/>
          <w:lang w:val="en-US"/>
        </w:rPr>
        <w:t>AASB 2020-7 Amendments to Australian Accounting Standards</w:t>
      </w:r>
      <w:r w:rsidR="00182976" w:rsidRPr="005734B8">
        <w:rPr>
          <w:rFonts w:ascii="Calibri" w:hAnsi="Calibri" w:cs="Calibri"/>
          <w:szCs w:val="18"/>
          <w:lang w:val="en-US"/>
        </w:rPr>
        <w:t>—</w:t>
      </w:r>
      <w:r w:rsidRPr="005734B8">
        <w:rPr>
          <w:rFonts w:ascii="Calibri" w:hAnsi="Calibri" w:cs="Calibri"/>
          <w:szCs w:val="18"/>
          <w:lang w:val="en-US"/>
        </w:rPr>
        <w:t xml:space="preserve">Covid-19-Rent Related </w:t>
      </w:r>
      <w:r w:rsidRPr="005734B8">
        <w:rPr>
          <w:rFonts w:ascii="Calibri" w:hAnsi="Calibri" w:cs="Calibri"/>
          <w:szCs w:val="22"/>
        </w:rPr>
        <w:t>Concessions: Tier 2 Disclosures.</w:t>
      </w:r>
    </w:p>
    <w:p w14:paraId="1C8B311C" w14:textId="2889B071" w:rsidR="00F1540A" w:rsidRPr="005734B8" w:rsidRDefault="00F1540A" w:rsidP="00182976">
      <w:pPr>
        <w:numPr>
          <w:ilvl w:val="0"/>
          <w:numId w:val="47"/>
        </w:numPr>
        <w:rPr>
          <w:rFonts w:ascii="Calibri" w:hAnsi="Calibri" w:cs="Calibri"/>
          <w:szCs w:val="22"/>
        </w:rPr>
      </w:pPr>
      <w:r w:rsidRPr="005734B8">
        <w:rPr>
          <w:rFonts w:ascii="Calibri" w:hAnsi="Calibri" w:cs="Calibri"/>
          <w:szCs w:val="18"/>
          <w:lang w:val="en-US"/>
        </w:rPr>
        <w:lastRenderedPageBreak/>
        <w:t>AASB 2020-8 Amendments to Australian Accounting Standards</w:t>
      </w:r>
      <w:r w:rsidR="00182976" w:rsidRPr="005734B8">
        <w:rPr>
          <w:rFonts w:ascii="Calibri" w:hAnsi="Calibri" w:cs="Calibri"/>
          <w:szCs w:val="18"/>
          <w:lang w:val="en-US"/>
        </w:rPr>
        <w:t>—</w:t>
      </w:r>
      <w:r w:rsidRPr="005734B8">
        <w:rPr>
          <w:rFonts w:ascii="Calibri" w:hAnsi="Calibri" w:cs="Calibri"/>
          <w:szCs w:val="18"/>
          <w:lang w:val="en-US"/>
        </w:rPr>
        <w:t>Interest Rate Benchmark Reform</w:t>
      </w:r>
      <w:r w:rsidR="00182976" w:rsidRPr="005734B8">
        <w:rPr>
          <w:rFonts w:ascii="Calibri" w:hAnsi="Calibri" w:cs="Calibri"/>
          <w:szCs w:val="18"/>
          <w:lang w:val="en-US"/>
        </w:rPr>
        <w:t>—</w:t>
      </w:r>
      <w:r w:rsidRPr="005734B8">
        <w:rPr>
          <w:rFonts w:ascii="Calibri" w:hAnsi="Calibri" w:cs="Calibri"/>
          <w:szCs w:val="18"/>
          <w:lang w:val="en-US"/>
        </w:rPr>
        <w:t>Phase 2</w:t>
      </w:r>
      <w:r w:rsidRPr="005734B8">
        <w:rPr>
          <w:rFonts w:ascii="Calibri" w:hAnsi="Calibri" w:cs="Calibri"/>
          <w:szCs w:val="22"/>
        </w:rPr>
        <w:t>.</w:t>
      </w:r>
    </w:p>
    <w:p w14:paraId="2EC01057" w14:textId="04696A9A" w:rsidR="00393350" w:rsidRPr="005734B8" w:rsidRDefault="00F1540A" w:rsidP="00182976">
      <w:pPr>
        <w:numPr>
          <w:ilvl w:val="0"/>
          <w:numId w:val="47"/>
        </w:numPr>
        <w:rPr>
          <w:rFonts w:ascii="Calibri" w:hAnsi="Calibri" w:cs="Calibri"/>
          <w:szCs w:val="22"/>
        </w:rPr>
      </w:pPr>
      <w:r w:rsidRPr="005734B8">
        <w:rPr>
          <w:rFonts w:ascii="Calibri" w:hAnsi="Calibri" w:cs="Calibri"/>
          <w:szCs w:val="18"/>
          <w:lang w:val="en-US"/>
        </w:rPr>
        <w:t>AASB 2020-9 Amendments to Australian Accounting Standards</w:t>
      </w:r>
      <w:r w:rsidR="00182976" w:rsidRPr="005734B8">
        <w:rPr>
          <w:rFonts w:ascii="Calibri" w:hAnsi="Calibri" w:cs="Calibri"/>
          <w:szCs w:val="18"/>
          <w:lang w:val="en-US"/>
        </w:rPr>
        <w:t>—</w:t>
      </w:r>
      <w:r w:rsidRPr="005734B8">
        <w:rPr>
          <w:rFonts w:ascii="Calibri" w:hAnsi="Calibri" w:cs="Calibri"/>
          <w:szCs w:val="18"/>
          <w:lang w:val="en-US"/>
        </w:rPr>
        <w:t xml:space="preserve">Tier 2 Disclosures: Interest Rate Benchmark Reform (Phase 2) and </w:t>
      </w:r>
      <w:r w:rsidRPr="005734B8">
        <w:rPr>
          <w:rFonts w:ascii="Calibri" w:hAnsi="Calibri" w:cs="Calibri"/>
          <w:szCs w:val="22"/>
        </w:rPr>
        <w:t>Other Amendments.</w:t>
      </w:r>
      <w:bookmarkStart w:id="1904" w:name="_Toc11336458"/>
      <w:bookmarkStart w:id="1905" w:name="_Toc11336607"/>
      <w:bookmarkStart w:id="1906" w:name="_Toc13647211"/>
      <w:bookmarkStart w:id="1907" w:name="_Toc13656743"/>
      <w:bookmarkStart w:id="1908" w:name="_Toc13656905"/>
      <w:bookmarkStart w:id="1909" w:name="_Toc14965684"/>
      <w:bookmarkStart w:id="1910" w:name="_Toc15985330"/>
      <w:bookmarkStart w:id="1911" w:name="_Toc16231981"/>
      <w:bookmarkStart w:id="1912" w:name="_Toc36012809"/>
      <w:bookmarkStart w:id="1913" w:name="_Toc36012887"/>
      <w:bookmarkStart w:id="1914" w:name="_Toc36013384"/>
      <w:bookmarkStart w:id="1915" w:name="_Toc58243469"/>
      <w:bookmarkEnd w:id="1903"/>
    </w:p>
    <w:p w14:paraId="193F995F" w14:textId="77777777" w:rsidR="00F1540A" w:rsidRPr="005734B8" w:rsidRDefault="00F1540A" w:rsidP="00B40FB0">
      <w:pPr>
        <w:spacing w:before="240" w:after="180" w:line="240" w:lineRule="atLeast"/>
        <w:outlineLvl w:val="0"/>
        <w:rPr>
          <w:rFonts w:ascii="Calibri" w:hAnsi="Calibri" w:cs="Calibri"/>
          <w:bCs/>
          <w:color w:val="8A2A2F"/>
          <w:spacing w:val="5"/>
          <w:kern w:val="28"/>
          <w:sz w:val="28"/>
          <w:lang w:val="en-US"/>
        </w:rPr>
      </w:pPr>
      <w:bookmarkStart w:id="1916" w:name="_Toc81315406"/>
      <w:r w:rsidRPr="005734B8">
        <w:rPr>
          <w:rFonts w:ascii="Calibri" w:hAnsi="Calibri" w:cs="Calibri"/>
          <w:bCs/>
          <w:color w:val="8A2A2F"/>
          <w:spacing w:val="5"/>
          <w:kern w:val="28"/>
          <w:sz w:val="28"/>
          <w:lang w:val="en-US"/>
        </w:rPr>
        <w:t>9.10 Glossary of technical terms</w:t>
      </w:r>
      <w:bookmarkEnd w:id="1904"/>
      <w:bookmarkEnd w:id="1905"/>
      <w:bookmarkEnd w:id="1906"/>
      <w:bookmarkEnd w:id="1907"/>
      <w:bookmarkEnd w:id="1908"/>
      <w:bookmarkEnd w:id="1909"/>
      <w:bookmarkEnd w:id="1910"/>
      <w:bookmarkEnd w:id="1911"/>
      <w:bookmarkEnd w:id="1912"/>
      <w:bookmarkEnd w:id="1913"/>
      <w:bookmarkEnd w:id="1914"/>
      <w:bookmarkEnd w:id="1915"/>
      <w:bookmarkEnd w:id="1916"/>
    </w:p>
    <w:p w14:paraId="37EB9B18" w14:textId="77777777" w:rsidR="00F1540A" w:rsidRPr="005734B8" w:rsidRDefault="00F1540A" w:rsidP="00F1540A">
      <w:pPr>
        <w:rPr>
          <w:rFonts w:ascii="Calibri" w:eastAsia="Arial" w:hAnsi="Calibri" w:cs="Calibri"/>
        </w:rPr>
      </w:pPr>
      <w:r w:rsidRPr="005734B8">
        <w:rPr>
          <w:rFonts w:ascii="Calibri" w:eastAsia="Arial" w:hAnsi="Calibri" w:cs="Calibri"/>
        </w:rPr>
        <w:t>The following is a summary of the major technical terms used in this report.</w:t>
      </w:r>
    </w:p>
    <w:p w14:paraId="64A9A96E"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17" w:name="_Toc11336459"/>
      <w:bookmarkStart w:id="1918" w:name="_Toc14965685"/>
      <w:r w:rsidRPr="005734B8">
        <w:rPr>
          <w:rFonts w:ascii="Calibri" w:hAnsi="Calibri" w:cs="Calibri"/>
          <w:b/>
          <w:color w:val="53565A"/>
          <w:szCs w:val="18"/>
          <w:lang w:val="en-US"/>
        </w:rPr>
        <w:t>Active liquid market</w:t>
      </w:r>
      <w:bookmarkEnd w:id="1917"/>
      <w:bookmarkEnd w:id="1918"/>
    </w:p>
    <w:p w14:paraId="5BD5C643" w14:textId="05366EE5" w:rsidR="00F1540A" w:rsidRPr="005734B8" w:rsidRDefault="003F5987" w:rsidP="00F1540A">
      <w:pPr>
        <w:rPr>
          <w:rFonts w:ascii="Calibri" w:eastAsia="Arial" w:hAnsi="Calibri" w:cs="Calibri"/>
        </w:rPr>
      </w:pPr>
      <w:r w:rsidRPr="005734B8">
        <w:rPr>
          <w:rFonts w:ascii="Calibri" w:eastAsia="Arial" w:hAnsi="Calibri" w:cs="Calibri"/>
        </w:rPr>
        <w:t>R</w:t>
      </w:r>
      <w:r w:rsidR="00F1540A" w:rsidRPr="005734B8">
        <w:rPr>
          <w:rFonts w:ascii="Calibri" w:eastAsia="Arial" w:hAnsi="Calibri" w:cs="Calibri"/>
        </w:rPr>
        <w:t>efers to any market in which there are many buyers and sellers present and in which transactions can take place with relative ease and low costs.</w:t>
      </w:r>
    </w:p>
    <w:p w14:paraId="3323E85C"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19" w:name="_Toc11336460"/>
      <w:bookmarkStart w:id="1920" w:name="_Toc14965686"/>
      <w:r w:rsidRPr="005734B8">
        <w:rPr>
          <w:rFonts w:ascii="Calibri" w:hAnsi="Calibri" w:cs="Calibri"/>
          <w:b/>
          <w:color w:val="53565A"/>
          <w:szCs w:val="18"/>
          <w:lang w:val="en-US"/>
        </w:rPr>
        <w:t>Actuarial gains or losses on superannuation defined benefit plans</w:t>
      </w:r>
      <w:bookmarkEnd w:id="1919"/>
      <w:bookmarkEnd w:id="1920"/>
    </w:p>
    <w:p w14:paraId="0395DA1B" w14:textId="3DAE0BD4" w:rsidR="00F1540A" w:rsidRPr="005734B8" w:rsidRDefault="003F5987" w:rsidP="00F1540A">
      <w:pPr>
        <w:rPr>
          <w:rFonts w:ascii="Calibri" w:eastAsia="Arial" w:hAnsi="Calibri" w:cs="Calibri"/>
        </w:rPr>
      </w:pPr>
      <w:r w:rsidRPr="005734B8">
        <w:rPr>
          <w:rFonts w:ascii="Calibri" w:eastAsia="Arial" w:hAnsi="Calibri" w:cs="Calibri"/>
        </w:rPr>
        <w:t>C</w:t>
      </w:r>
      <w:r w:rsidR="00F1540A" w:rsidRPr="005734B8">
        <w:rPr>
          <w:rFonts w:ascii="Calibri" w:eastAsia="Arial" w:hAnsi="Calibri" w:cs="Calibri"/>
        </w:rPr>
        <w:t>hanges in the present value of the superannuation defined benefit liability resulting from:</w:t>
      </w:r>
    </w:p>
    <w:p w14:paraId="26DCF8A1" w14:textId="77777777" w:rsidR="00F1540A" w:rsidRPr="005734B8" w:rsidRDefault="00F1540A" w:rsidP="00F1540A">
      <w:pPr>
        <w:numPr>
          <w:ilvl w:val="0"/>
          <w:numId w:val="21"/>
        </w:numPr>
        <w:rPr>
          <w:rFonts w:ascii="Calibri" w:hAnsi="Calibri" w:cs="Calibri"/>
          <w:szCs w:val="18"/>
          <w:lang w:val="en-US"/>
        </w:rPr>
      </w:pPr>
      <w:r w:rsidRPr="005734B8">
        <w:rPr>
          <w:rFonts w:ascii="Calibri" w:hAnsi="Calibri" w:cs="Calibri"/>
          <w:szCs w:val="18"/>
          <w:lang w:val="en-US"/>
        </w:rPr>
        <w:t>experience adjustments (the effects of differences between the previous actuarial assumptions and what has actually occurred)</w:t>
      </w:r>
    </w:p>
    <w:p w14:paraId="063B0285" w14:textId="77777777" w:rsidR="00F1540A" w:rsidRPr="005734B8" w:rsidRDefault="00F1540A" w:rsidP="00F1540A">
      <w:pPr>
        <w:numPr>
          <w:ilvl w:val="0"/>
          <w:numId w:val="21"/>
        </w:numPr>
        <w:rPr>
          <w:rFonts w:ascii="Calibri" w:hAnsi="Calibri" w:cs="Calibri"/>
          <w:szCs w:val="18"/>
          <w:lang w:val="en-US"/>
        </w:rPr>
      </w:pPr>
      <w:r w:rsidRPr="005734B8">
        <w:rPr>
          <w:rFonts w:ascii="Calibri" w:hAnsi="Calibri" w:cs="Calibri"/>
          <w:szCs w:val="18"/>
          <w:lang w:val="en-US"/>
        </w:rPr>
        <w:t>the effects of changes in actuarial assumptions.</w:t>
      </w:r>
      <w:bookmarkStart w:id="1921" w:name="_Toc11336461"/>
      <w:bookmarkStart w:id="1922" w:name="_Toc14965687"/>
    </w:p>
    <w:p w14:paraId="20DC6D7A" w14:textId="77777777" w:rsidR="00F1540A" w:rsidRPr="005734B8" w:rsidRDefault="00F1540A" w:rsidP="00F1540A">
      <w:pPr>
        <w:spacing w:before="240" w:after="120" w:line="240" w:lineRule="atLeast"/>
        <w:outlineLvl w:val="2"/>
        <w:rPr>
          <w:rFonts w:ascii="Calibri" w:hAnsi="Calibri" w:cs="Calibri"/>
          <w:b/>
          <w:color w:val="53565A"/>
          <w:szCs w:val="18"/>
          <w:lang w:val="en-US"/>
        </w:rPr>
      </w:pPr>
      <w:r w:rsidRPr="005734B8">
        <w:rPr>
          <w:rFonts w:ascii="Calibri" w:hAnsi="Calibri" w:cs="Calibri"/>
          <w:b/>
          <w:color w:val="53565A"/>
          <w:szCs w:val="18"/>
          <w:lang w:val="en-US"/>
        </w:rPr>
        <w:t>Administered item</w:t>
      </w:r>
      <w:bookmarkEnd w:id="1921"/>
      <w:bookmarkEnd w:id="1922"/>
    </w:p>
    <w:p w14:paraId="4360ADE6" w14:textId="06977635" w:rsidR="00F1540A" w:rsidRPr="005734B8" w:rsidRDefault="003F5987" w:rsidP="00F1540A">
      <w:pPr>
        <w:rPr>
          <w:rFonts w:ascii="Calibri" w:eastAsia="Arial" w:hAnsi="Calibri" w:cs="Calibri"/>
        </w:rPr>
      </w:pPr>
      <w:r w:rsidRPr="005734B8">
        <w:rPr>
          <w:rFonts w:ascii="Calibri" w:eastAsia="Arial" w:hAnsi="Calibri" w:cs="Calibri"/>
        </w:rPr>
        <w:t>G</w:t>
      </w:r>
      <w:r w:rsidR="00F1540A" w:rsidRPr="005734B8">
        <w:rPr>
          <w:rFonts w:ascii="Calibri" w:eastAsia="Arial" w:hAnsi="Calibri" w:cs="Calibri"/>
        </w:rPr>
        <w:t>enerally refers to a department lacking the capacity to benefit from that item in the pursuit of the entity’s objectives and to deny or regulate the access of others to that benefit.</w:t>
      </w:r>
    </w:p>
    <w:p w14:paraId="6EFC1C74"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23" w:name="_Toc11336462"/>
      <w:bookmarkStart w:id="1924" w:name="_Toc14965688"/>
      <w:r w:rsidRPr="005734B8">
        <w:rPr>
          <w:rFonts w:ascii="Calibri" w:hAnsi="Calibri" w:cs="Calibri"/>
          <w:b/>
          <w:color w:val="53565A"/>
          <w:szCs w:val="18"/>
          <w:lang w:val="en-US"/>
        </w:rPr>
        <w:t>Amortisation</w:t>
      </w:r>
      <w:bookmarkEnd w:id="1923"/>
      <w:bookmarkEnd w:id="1924"/>
    </w:p>
    <w:p w14:paraId="58DC8E6B" w14:textId="5977EA9A" w:rsidR="00F1540A" w:rsidRPr="005734B8" w:rsidRDefault="003F5987" w:rsidP="00F1540A">
      <w:pPr>
        <w:rPr>
          <w:rFonts w:ascii="Calibri" w:eastAsia="Arial" w:hAnsi="Calibri" w:cs="Calibri"/>
        </w:rPr>
      </w:pPr>
      <w:r w:rsidRPr="005734B8">
        <w:rPr>
          <w:rFonts w:ascii="Calibri" w:eastAsia="Arial" w:hAnsi="Calibri" w:cs="Calibri"/>
        </w:rPr>
        <w:t>T</w:t>
      </w:r>
      <w:r w:rsidR="00F1540A" w:rsidRPr="005734B8">
        <w:rPr>
          <w:rFonts w:ascii="Calibri" w:eastAsia="Arial" w:hAnsi="Calibri" w:cs="Calibri"/>
        </w:rPr>
        <w:t xml:space="preserve">he expense </w:t>
      </w:r>
      <w:r w:rsidR="00305CCE" w:rsidRPr="005734B8">
        <w:rPr>
          <w:rFonts w:ascii="Calibri" w:eastAsia="Arial" w:hAnsi="Calibri" w:cs="Calibri"/>
        </w:rPr>
        <w:t>that</w:t>
      </w:r>
      <w:r w:rsidR="00F1540A" w:rsidRPr="005734B8">
        <w:rPr>
          <w:rFonts w:ascii="Calibri" w:eastAsia="Arial" w:hAnsi="Calibri" w:cs="Calibri"/>
        </w:rPr>
        <w:t xml:space="preserve"> results from the consumption, extraction or use over time of a non-produced physical or intangible asset. This expense is classified as an </w:t>
      </w:r>
      <w:r w:rsidR="00305CCE" w:rsidRPr="005734B8">
        <w:rPr>
          <w:rFonts w:ascii="Calibri" w:eastAsia="Arial" w:hAnsi="Calibri" w:cs="Calibri"/>
        </w:rPr>
        <w:t>‘</w:t>
      </w:r>
      <w:r w:rsidR="00F1540A" w:rsidRPr="005734B8">
        <w:rPr>
          <w:rFonts w:ascii="Calibri" w:eastAsia="Arial" w:hAnsi="Calibri" w:cs="Calibri"/>
        </w:rPr>
        <w:t>other economic flow</w:t>
      </w:r>
      <w:r w:rsidR="00305CCE" w:rsidRPr="005734B8">
        <w:rPr>
          <w:rFonts w:ascii="Calibri" w:eastAsia="Arial" w:hAnsi="Calibri" w:cs="Calibri"/>
        </w:rPr>
        <w:t>’</w:t>
      </w:r>
      <w:r w:rsidR="00F1540A" w:rsidRPr="005734B8">
        <w:rPr>
          <w:rFonts w:ascii="Calibri" w:eastAsia="Arial" w:hAnsi="Calibri" w:cs="Calibri"/>
        </w:rPr>
        <w:t>.</w:t>
      </w:r>
    </w:p>
    <w:p w14:paraId="20507783"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25" w:name="_Toc11336463"/>
      <w:bookmarkStart w:id="1926" w:name="_Toc14965689"/>
      <w:r w:rsidRPr="005734B8">
        <w:rPr>
          <w:rFonts w:ascii="Calibri" w:hAnsi="Calibri" w:cs="Calibri"/>
          <w:b/>
          <w:color w:val="53565A"/>
          <w:szCs w:val="18"/>
          <w:lang w:val="en-US"/>
        </w:rPr>
        <w:t>Borrowings</w:t>
      </w:r>
      <w:bookmarkEnd w:id="1925"/>
      <w:bookmarkEnd w:id="1926"/>
    </w:p>
    <w:p w14:paraId="4A05B1DC" w14:textId="4A14666B" w:rsidR="00F1540A" w:rsidRPr="005734B8" w:rsidRDefault="003F5987" w:rsidP="00F1540A">
      <w:pPr>
        <w:rPr>
          <w:rFonts w:ascii="Calibri" w:eastAsia="Arial" w:hAnsi="Calibri" w:cs="Calibri"/>
        </w:rPr>
      </w:pPr>
      <w:r w:rsidRPr="005734B8">
        <w:rPr>
          <w:rFonts w:ascii="Calibri" w:eastAsia="Arial" w:hAnsi="Calibri" w:cs="Calibri"/>
        </w:rPr>
        <w:t>I</w:t>
      </w:r>
      <w:r w:rsidR="00F1540A" w:rsidRPr="005734B8">
        <w:rPr>
          <w:rFonts w:ascii="Calibri" w:eastAsia="Arial" w:hAnsi="Calibri" w:cs="Calibri"/>
        </w:rPr>
        <w:t>nterest-bearing liabilities mainly raised from public borrowings raised through the Treasury Corporation of Victoria, leases and other interest-bearing arrangements. Borrowings also include non-interest-bearing advances from government that are acquired for policy purposes.</w:t>
      </w:r>
    </w:p>
    <w:p w14:paraId="57851385"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27" w:name="_Toc11336464"/>
      <w:bookmarkStart w:id="1928" w:name="_Toc14965690"/>
      <w:r w:rsidRPr="005734B8">
        <w:rPr>
          <w:rFonts w:ascii="Calibri" w:hAnsi="Calibri" w:cs="Calibri"/>
          <w:b/>
          <w:color w:val="53565A"/>
          <w:szCs w:val="18"/>
          <w:lang w:val="en-US"/>
        </w:rPr>
        <w:t>Capital asset charge</w:t>
      </w:r>
      <w:bookmarkEnd w:id="1927"/>
      <w:bookmarkEnd w:id="1928"/>
    </w:p>
    <w:p w14:paraId="274AC3EA" w14:textId="7421BE30" w:rsidR="00F1540A" w:rsidRPr="005734B8" w:rsidRDefault="00F1540A" w:rsidP="00F1540A">
      <w:pPr>
        <w:rPr>
          <w:rFonts w:ascii="Calibri" w:eastAsia="Arial" w:hAnsi="Calibri" w:cs="Calibri"/>
        </w:rPr>
      </w:pPr>
      <w:r w:rsidRPr="005734B8">
        <w:rPr>
          <w:rFonts w:ascii="Calibri" w:eastAsia="Arial" w:hAnsi="Calibri" w:cs="Calibri"/>
        </w:rPr>
        <w:t>A charge levied on the written down value of controlled non-current physical assets in a department’s balance sheet which aims to attribute to agency outputs the opportunity cost of capital used in service delivery</w:t>
      </w:r>
      <w:r w:rsidR="00305CCE" w:rsidRPr="005734B8">
        <w:rPr>
          <w:rFonts w:ascii="Calibri" w:eastAsia="Arial" w:hAnsi="Calibri" w:cs="Calibri"/>
        </w:rPr>
        <w:t>,</w:t>
      </w:r>
      <w:r w:rsidRPr="005734B8">
        <w:rPr>
          <w:rFonts w:ascii="Calibri" w:eastAsia="Arial" w:hAnsi="Calibri" w:cs="Calibri"/>
        </w:rPr>
        <w:t xml:space="preserve"> and </w:t>
      </w:r>
      <w:r w:rsidR="00305CCE" w:rsidRPr="005734B8">
        <w:rPr>
          <w:rFonts w:ascii="Calibri" w:eastAsia="Arial" w:hAnsi="Calibri" w:cs="Calibri"/>
        </w:rPr>
        <w:t>to</w:t>
      </w:r>
      <w:r w:rsidRPr="005734B8">
        <w:rPr>
          <w:rFonts w:ascii="Calibri" w:eastAsia="Arial" w:hAnsi="Calibri" w:cs="Calibri"/>
        </w:rPr>
        <w:t xml:space="preserve"> provide incentives to departments to identify and dispose of under</w:t>
      </w:r>
      <w:r w:rsidR="00305CCE" w:rsidRPr="005734B8">
        <w:rPr>
          <w:rFonts w:ascii="Calibri" w:eastAsia="Arial" w:hAnsi="Calibri" w:cs="Calibri"/>
        </w:rPr>
        <w:noBreakHyphen/>
      </w:r>
      <w:r w:rsidRPr="005734B8">
        <w:rPr>
          <w:rFonts w:ascii="Calibri" w:eastAsia="Arial" w:hAnsi="Calibri" w:cs="Calibri"/>
        </w:rPr>
        <w:t>utilised or surplus assets in a timely manner.</w:t>
      </w:r>
    </w:p>
    <w:p w14:paraId="53A4A244" w14:textId="77777777" w:rsidR="003F5987" w:rsidRPr="005734B8" w:rsidRDefault="003F5987" w:rsidP="003F5987">
      <w:pPr>
        <w:rPr>
          <w:rFonts w:ascii="Calibri" w:hAnsi="Calibri" w:cs="Calibri"/>
          <w:b/>
          <w:color w:val="53565A"/>
          <w:szCs w:val="18"/>
          <w:lang w:val="en-US"/>
        </w:rPr>
      </w:pPr>
      <w:bookmarkStart w:id="1929" w:name="_Toc11336465"/>
      <w:bookmarkStart w:id="1930" w:name="_Toc14965691"/>
    </w:p>
    <w:p w14:paraId="1BD12EFF" w14:textId="77777777" w:rsidR="00F1540A" w:rsidRPr="005734B8" w:rsidRDefault="00F1540A" w:rsidP="003F5987">
      <w:pPr>
        <w:rPr>
          <w:rFonts w:ascii="Calibri" w:hAnsi="Calibri" w:cs="Calibri"/>
          <w:b/>
          <w:color w:val="53565A"/>
          <w:szCs w:val="18"/>
          <w:lang w:val="en-US"/>
        </w:rPr>
      </w:pPr>
      <w:r w:rsidRPr="005734B8">
        <w:rPr>
          <w:rFonts w:ascii="Calibri" w:hAnsi="Calibri" w:cs="Calibri"/>
          <w:b/>
          <w:color w:val="53565A"/>
          <w:szCs w:val="18"/>
          <w:lang w:val="en-US"/>
        </w:rPr>
        <w:t>Commitments</w:t>
      </w:r>
      <w:bookmarkEnd w:id="1929"/>
      <w:bookmarkEnd w:id="1930"/>
    </w:p>
    <w:p w14:paraId="4304AFB3" w14:textId="4C899959" w:rsidR="00F1540A" w:rsidRPr="005734B8" w:rsidRDefault="003F5987" w:rsidP="00F1540A">
      <w:pPr>
        <w:rPr>
          <w:rFonts w:ascii="Calibri" w:eastAsia="Arial" w:hAnsi="Calibri" w:cs="Calibri"/>
        </w:rPr>
      </w:pPr>
      <w:r w:rsidRPr="005734B8">
        <w:rPr>
          <w:rFonts w:ascii="Calibri" w:eastAsia="Arial" w:hAnsi="Calibri" w:cs="Calibri"/>
        </w:rPr>
        <w:t>I</w:t>
      </w:r>
      <w:r w:rsidR="00F1540A" w:rsidRPr="005734B8">
        <w:rPr>
          <w:rFonts w:ascii="Calibri" w:eastAsia="Arial" w:hAnsi="Calibri" w:cs="Calibri"/>
        </w:rPr>
        <w:t>nclude those operating, capital and other outsourcing commitments arising from non-cancellable contractual or statutory sources.</w:t>
      </w:r>
    </w:p>
    <w:p w14:paraId="735AFFDB" w14:textId="77777777" w:rsidR="003F5987" w:rsidRPr="005734B8" w:rsidRDefault="003F5987">
      <w:pPr>
        <w:rPr>
          <w:rFonts w:ascii="Calibri" w:hAnsi="Calibri" w:cs="Calibri"/>
          <w:b/>
          <w:color w:val="53565A"/>
          <w:szCs w:val="18"/>
          <w:lang w:val="en-US"/>
        </w:rPr>
      </w:pPr>
      <w:bookmarkStart w:id="1931" w:name="_Toc11336466"/>
      <w:bookmarkStart w:id="1932" w:name="_Toc14965692"/>
      <w:r w:rsidRPr="005734B8">
        <w:rPr>
          <w:rFonts w:ascii="Calibri" w:hAnsi="Calibri" w:cs="Calibri"/>
          <w:b/>
          <w:color w:val="53565A"/>
          <w:szCs w:val="18"/>
          <w:lang w:val="en-US"/>
        </w:rPr>
        <w:br w:type="page"/>
      </w:r>
    </w:p>
    <w:p w14:paraId="25D52F4F" w14:textId="77777777" w:rsidR="00F1540A" w:rsidRPr="005734B8" w:rsidRDefault="00F1540A" w:rsidP="00F1540A">
      <w:pPr>
        <w:spacing w:before="240" w:after="120" w:line="240" w:lineRule="atLeast"/>
        <w:outlineLvl w:val="2"/>
        <w:rPr>
          <w:rFonts w:ascii="Calibri" w:hAnsi="Calibri" w:cs="Calibri"/>
          <w:b/>
          <w:color w:val="53565A"/>
          <w:szCs w:val="18"/>
          <w:lang w:val="en-US"/>
        </w:rPr>
      </w:pPr>
      <w:r w:rsidRPr="005734B8">
        <w:rPr>
          <w:rFonts w:ascii="Calibri" w:hAnsi="Calibri" w:cs="Calibri"/>
          <w:b/>
          <w:color w:val="53565A"/>
          <w:szCs w:val="18"/>
          <w:lang w:val="en-US"/>
        </w:rPr>
        <w:lastRenderedPageBreak/>
        <w:t>Community service obligation</w:t>
      </w:r>
      <w:bookmarkEnd w:id="1931"/>
      <w:bookmarkEnd w:id="1932"/>
    </w:p>
    <w:p w14:paraId="7E84B5E6" w14:textId="29C6FC80" w:rsidR="00F1540A" w:rsidRPr="005734B8" w:rsidRDefault="003F5987" w:rsidP="00F1540A">
      <w:pPr>
        <w:rPr>
          <w:rFonts w:ascii="Calibri" w:eastAsia="Arial" w:hAnsi="Calibri" w:cs="Calibri"/>
        </w:rPr>
      </w:pPr>
      <w:r w:rsidRPr="005734B8">
        <w:rPr>
          <w:rFonts w:ascii="Calibri" w:eastAsia="Arial" w:hAnsi="Calibri" w:cs="Calibri"/>
        </w:rPr>
        <w:t>A</w:t>
      </w:r>
      <w:r w:rsidR="00F1540A" w:rsidRPr="005734B8">
        <w:rPr>
          <w:rFonts w:ascii="Calibri" w:eastAsia="Arial" w:hAnsi="Calibri" w:cs="Calibri"/>
        </w:rPr>
        <w:t>n ongoing legislative requirement placed on an organisation by government to provide a benefit to an identified group, that would not otherwise be provided by that organisation, in the pursuit of its other objectives.</w:t>
      </w:r>
    </w:p>
    <w:p w14:paraId="44432E58" w14:textId="77777777" w:rsidR="00F1540A" w:rsidRPr="005734B8" w:rsidRDefault="00F1540A" w:rsidP="00F1540A">
      <w:pPr>
        <w:rPr>
          <w:rFonts w:ascii="Calibri" w:hAnsi="Calibri" w:cs="Calibri"/>
          <w:b/>
          <w:color w:val="53565A"/>
          <w:szCs w:val="18"/>
          <w:lang w:val="en-US"/>
        </w:rPr>
      </w:pPr>
      <w:bookmarkStart w:id="1933" w:name="_Toc11336467"/>
      <w:bookmarkStart w:id="1934" w:name="_Toc14965693"/>
    </w:p>
    <w:p w14:paraId="6055AE20" w14:textId="77777777" w:rsidR="00F1540A" w:rsidRPr="005734B8" w:rsidRDefault="00F1540A" w:rsidP="00F1540A">
      <w:pPr>
        <w:rPr>
          <w:rFonts w:ascii="Calibri" w:hAnsi="Calibri" w:cs="Calibri"/>
          <w:b/>
          <w:color w:val="53565A"/>
          <w:szCs w:val="18"/>
          <w:lang w:val="en-US"/>
        </w:rPr>
      </w:pPr>
      <w:r w:rsidRPr="005734B8">
        <w:rPr>
          <w:rFonts w:ascii="Calibri" w:hAnsi="Calibri" w:cs="Calibri"/>
          <w:b/>
          <w:color w:val="53565A"/>
          <w:szCs w:val="18"/>
          <w:lang w:val="en-US"/>
        </w:rPr>
        <w:t>Comprehensive result</w:t>
      </w:r>
      <w:bookmarkEnd w:id="1933"/>
      <w:bookmarkEnd w:id="1934"/>
    </w:p>
    <w:p w14:paraId="5205D864" w14:textId="10B9605A" w:rsidR="00F1540A" w:rsidRPr="005734B8" w:rsidRDefault="006D29DF" w:rsidP="00F1540A">
      <w:pPr>
        <w:rPr>
          <w:rFonts w:ascii="Calibri" w:eastAsia="Arial" w:hAnsi="Calibri" w:cs="Calibri"/>
        </w:rPr>
      </w:pPr>
      <w:r w:rsidRPr="005734B8">
        <w:rPr>
          <w:rFonts w:ascii="Calibri" w:eastAsia="Arial" w:hAnsi="Calibri" w:cs="Calibri"/>
        </w:rPr>
        <w:t>T</w:t>
      </w:r>
      <w:r w:rsidR="00F1540A" w:rsidRPr="005734B8">
        <w:rPr>
          <w:rFonts w:ascii="Calibri" w:eastAsia="Arial" w:hAnsi="Calibri" w:cs="Calibri"/>
        </w:rPr>
        <w:t xml:space="preserve">he amount included in the operating statement representing total change in </w:t>
      </w:r>
      <w:r w:rsidR="008C3E5C" w:rsidRPr="005734B8">
        <w:rPr>
          <w:rFonts w:ascii="Calibri" w:eastAsia="Arial" w:hAnsi="Calibri" w:cs="Calibri"/>
        </w:rPr>
        <w:t xml:space="preserve">equity </w:t>
      </w:r>
      <w:r w:rsidR="00F1540A" w:rsidRPr="005734B8">
        <w:rPr>
          <w:rFonts w:ascii="Calibri" w:eastAsia="Arial" w:hAnsi="Calibri" w:cs="Calibri"/>
        </w:rPr>
        <w:t>other than transactions with owners as owners.</w:t>
      </w:r>
    </w:p>
    <w:p w14:paraId="454B5B34"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35" w:name="_Toc11336468"/>
      <w:bookmarkStart w:id="1936" w:name="_Toc14965694"/>
      <w:r w:rsidRPr="005734B8">
        <w:rPr>
          <w:rFonts w:ascii="Calibri" w:hAnsi="Calibri" w:cs="Calibri"/>
          <w:b/>
          <w:color w:val="53565A"/>
          <w:szCs w:val="18"/>
          <w:lang w:val="en-US"/>
        </w:rPr>
        <w:t>Controlled item</w:t>
      </w:r>
      <w:bookmarkEnd w:id="1935"/>
      <w:bookmarkEnd w:id="1936"/>
    </w:p>
    <w:p w14:paraId="76F6C2CA" w14:textId="3D3D2799" w:rsidR="00F1540A" w:rsidRPr="005734B8" w:rsidRDefault="006D29DF" w:rsidP="00F1540A">
      <w:pPr>
        <w:rPr>
          <w:rFonts w:ascii="Calibri" w:eastAsia="Arial" w:hAnsi="Calibri" w:cs="Calibri"/>
        </w:rPr>
      </w:pPr>
      <w:r w:rsidRPr="005734B8">
        <w:rPr>
          <w:rFonts w:ascii="Calibri" w:eastAsia="Arial" w:hAnsi="Calibri" w:cs="Calibri"/>
        </w:rPr>
        <w:t>G</w:t>
      </w:r>
      <w:r w:rsidR="00F1540A" w:rsidRPr="005734B8">
        <w:rPr>
          <w:rFonts w:ascii="Calibri" w:eastAsia="Arial" w:hAnsi="Calibri" w:cs="Calibri"/>
        </w:rPr>
        <w:t>enerally refers to the capacity of a department to benefit from that item in the pursuit of the entity’s objectives and to deny or regulate the access of others to that benefit.</w:t>
      </w:r>
    </w:p>
    <w:p w14:paraId="739BA49C"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37" w:name="_Toc11336469"/>
      <w:bookmarkStart w:id="1938" w:name="_Toc14965695"/>
      <w:r w:rsidRPr="005734B8">
        <w:rPr>
          <w:rFonts w:ascii="Calibri" w:hAnsi="Calibri" w:cs="Calibri"/>
          <w:b/>
          <w:color w:val="53565A"/>
          <w:szCs w:val="18"/>
          <w:lang w:val="en-US"/>
        </w:rPr>
        <w:t>Current grants</w:t>
      </w:r>
      <w:bookmarkEnd w:id="1937"/>
      <w:bookmarkEnd w:id="1938"/>
    </w:p>
    <w:p w14:paraId="3506DDCC" w14:textId="77777777" w:rsidR="00F1540A" w:rsidRPr="005734B8" w:rsidRDefault="00F1540A" w:rsidP="00F1540A">
      <w:pPr>
        <w:rPr>
          <w:rFonts w:ascii="Calibri" w:eastAsia="Arial" w:hAnsi="Calibri" w:cs="Calibri"/>
        </w:rPr>
      </w:pPr>
      <w:r w:rsidRPr="005734B8">
        <w:rPr>
          <w:rFonts w:ascii="Calibri" w:eastAsia="Arial" w:hAnsi="Calibri" w:cs="Calibri"/>
        </w:rPr>
        <w:t>Amounts payable or receivable for current purposes for which no economic benefits of equal value are receivable or payable in return.</w:t>
      </w:r>
    </w:p>
    <w:p w14:paraId="29DFEB31" w14:textId="4B3B89B4" w:rsidR="006D29DF" w:rsidRPr="005734B8" w:rsidRDefault="006D29DF" w:rsidP="006D29DF">
      <w:pPr>
        <w:spacing w:before="240" w:after="120" w:line="240" w:lineRule="atLeast"/>
        <w:outlineLvl w:val="2"/>
        <w:rPr>
          <w:rFonts w:ascii="Calibri" w:hAnsi="Calibri" w:cs="Calibri"/>
          <w:b/>
          <w:color w:val="53565A"/>
          <w:szCs w:val="18"/>
          <w:lang w:val="en-US"/>
        </w:rPr>
      </w:pPr>
      <w:bookmarkStart w:id="1939" w:name="_Toc11336470"/>
      <w:bookmarkStart w:id="1940" w:name="_Toc14965696"/>
      <w:r w:rsidRPr="005734B8">
        <w:rPr>
          <w:rFonts w:ascii="Calibri" w:hAnsi="Calibri" w:cs="Calibri"/>
          <w:b/>
          <w:color w:val="53565A"/>
          <w:szCs w:val="18"/>
          <w:lang w:val="en-US"/>
        </w:rPr>
        <w:t>Current replacement cost</w:t>
      </w:r>
    </w:p>
    <w:p w14:paraId="0E4E8BB3" w14:textId="56618295" w:rsidR="006D29DF" w:rsidRPr="005734B8" w:rsidRDefault="006D29DF" w:rsidP="006D29DF">
      <w:pPr>
        <w:rPr>
          <w:rFonts w:ascii="Calibri" w:eastAsia="Arial" w:hAnsi="Calibri" w:cs="Calibri"/>
        </w:rPr>
      </w:pPr>
      <w:r w:rsidRPr="005734B8">
        <w:rPr>
          <w:rFonts w:ascii="Calibri" w:eastAsia="Arial" w:hAnsi="Calibri" w:cs="Calibri"/>
        </w:rPr>
        <w:t>The current replacement cost of an asset less, where applicable, accumulated depreciation calculated on the basis of such cost to reflect age and the already consumed or expired future economic benefits of the asset.</w:t>
      </w:r>
    </w:p>
    <w:p w14:paraId="6377AEF4" w14:textId="77777777" w:rsidR="00F1540A" w:rsidRPr="005734B8" w:rsidRDefault="00F1540A" w:rsidP="00F1540A">
      <w:pPr>
        <w:spacing w:before="240" w:after="120" w:line="240" w:lineRule="atLeast"/>
        <w:outlineLvl w:val="2"/>
        <w:rPr>
          <w:rFonts w:ascii="Calibri" w:hAnsi="Calibri" w:cs="Calibri"/>
          <w:b/>
          <w:color w:val="53565A"/>
          <w:szCs w:val="18"/>
          <w:lang w:val="en-US"/>
        </w:rPr>
      </w:pPr>
      <w:r w:rsidRPr="005734B8">
        <w:rPr>
          <w:rFonts w:ascii="Calibri" w:hAnsi="Calibri" w:cs="Calibri"/>
          <w:b/>
          <w:color w:val="53565A"/>
          <w:szCs w:val="18"/>
          <w:lang w:val="en-US"/>
        </w:rPr>
        <w:t>Depreciation</w:t>
      </w:r>
      <w:bookmarkEnd w:id="1939"/>
      <w:bookmarkEnd w:id="1940"/>
    </w:p>
    <w:p w14:paraId="017FAA4D" w14:textId="7DACB4F7" w:rsidR="00F1540A" w:rsidRPr="005734B8" w:rsidRDefault="006D29DF" w:rsidP="00F1540A">
      <w:pPr>
        <w:rPr>
          <w:rFonts w:ascii="Calibri" w:eastAsia="Arial" w:hAnsi="Calibri" w:cs="Calibri"/>
        </w:rPr>
      </w:pPr>
      <w:r w:rsidRPr="005734B8">
        <w:rPr>
          <w:rFonts w:ascii="Calibri" w:eastAsia="Arial" w:hAnsi="Calibri" w:cs="Calibri"/>
        </w:rPr>
        <w:t>A</w:t>
      </w:r>
      <w:r w:rsidR="00F1540A" w:rsidRPr="005734B8">
        <w:rPr>
          <w:rFonts w:ascii="Calibri" w:eastAsia="Arial" w:hAnsi="Calibri" w:cs="Calibri"/>
        </w:rPr>
        <w:t>n expense that arises from the consumption through wear or time of a produced physical asset. This expense is classified as a ‘transaction’ and so reduces the ‘net result from transaction’.</w:t>
      </w:r>
    </w:p>
    <w:p w14:paraId="4C798C11"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41" w:name="_Toc11336472"/>
      <w:bookmarkStart w:id="1942" w:name="_Toc14965698"/>
      <w:r w:rsidRPr="005734B8">
        <w:rPr>
          <w:rFonts w:ascii="Calibri" w:hAnsi="Calibri" w:cs="Calibri"/>
          <w:b/>
          <w:color w:val="53565A"/>
          <w:szCs w:val="18"/>
          <w:lang w:val="en-US"/>
        </w:rPr>
        <w:t>Economic obsolescence</w:t>
      </w:r>
      <w:bookmarkEnd w:id="1941"/>
      <w:bookmarkEnd w:id="1942"/>
    </w:p>
    <w:p w14:paraId="6DFF41A3" w14:textId="3FE94710" w:rsidR="00F1540A" w:rsidRPr="005734B8" w:rsidRDefault="006D29DF" w:rsidP="00F1540A">
      <w:pPr>
        <w:rPr>
          <w:rFonts w:ascii="Calibri" w:eastAsia="Arial" w:hAnsi="Calibri" w:cs="Calibri"/>
        </w:rPr>
      </w:pPr>
      <w:r w:rsidRPr="005734B8">
        <w:rPr>
          <w:rFonts w:ascii="Calibri" w:eastAsia="Arial" w:hAnsi="Calibri" w:cs="Calibri"/>
        </w:rPr>
        <w:t>A</w:t>
      </w:r>
      <w:r w:rsidR="00F1540A" w:rsidRPr="005734B8">
        <w:rPr>
          <w:rFonts w:ascii="Calibri" w:eastAsia="Arial" w:hAnsi="Calibri" w:cs="Calibri"/>
        </w:rPr>
        <w:t xml:space="preserve"> loss in value or reduction in the desirability or economic life of an asset caused by external factors. These external factors may be changes in optimum use, regulatory changes and technological changes.</w:t>
      </w:r>
    </w:p>
    <w:p w14:paraId="34F92457" w14:textId="03F4F61E" w:rsidR="008C3E5C" w:rsidRPr="005734B8" w:rsidRDefault="008C3E5C" w:rsidP="008C3E5C">
      <w:pPr>
        <w:spacing w:before="240" w:after="120" w:line="240" w:lineRule="atLeast"/>
        <w:outlineLvl w:val="2"/>
        <w:rPr>
          <w:rFonts w:ascii="Calibri" w:hAnsi="Calibri" w:cs="Calibri"/>
          <w:b/>
          <w:color w:val="53565A"/>
          <w:szCs w:val="18"/>
          <w:lang w:val="en-US"/>
        </w:rPr>
      </w:pPr>
      <w:bookmarkStart w:id="1943" w:name="_Toc11336473"/>
      <w:bookmarkStart w:id="1944" w:name="_Toc14965699"/>
      <w:r w:rsidRPr="005734B8">
        <w:rPr>
          <w:rFonts w:ascii="Calibri" w:hAnsi="Calibri" w:cs="Calibri"/>
          <w:b/>
          <w:color w:val="53565A"/>
          <w:szCs w:val="18"/>
          <w:lang w:val="en-US"/>
        </w:rPr>
        <w:t>Equity</w:t>
      </w:r>
    </w:p>
    <w:p w14:paraId="54F3F412" w14:textId="51D2E7B6" w:rsidR="008C3E5C" w:rsidRPr="005734B8" w:rsidRDefault="008C3E5C" w:rsidP="008C3E5C">
      <w:pPr>
        <w:rPr>
          <w:rFonts w:ascii="Calibri" w:eastAsia="Arial" w:hAnsi="Calibri" w:cs="Calibri"/>
        </w:rPr>
      </w:pPr>
      <w:r w:rsidRPr="005734B8">
        <w:rPr>
          <w:rFonts w:ascii="Calibri" w:eastAsia="Arial" w:hAnsi="Calibri" w:cs="Calibri"/>
        </w:rPr>
        <w:t>Assets less liabilities</w:t>
      </w:r>
      <w:r w:rsidR="00305CCE" w:rsidRPr="005734B8">
        <w:rPr>
          <w:rFonts w:ascii="Calibri" w:eastAsia="Arial" w:hAnsi="Calibri" w:cs="Calibri"/>
        </w:rPr>
        <w:t>—</w:t>
      </w:r>
      <w:r w:rsidRPr="005734B8">
        <w:rPr>
          <w:rFonts w:ascii="Calibri" w:eastAsia="Arial" w:hAnsi="Calibri" w:cs="Calibri"/>
        </w:rPr>
        <w:t xml:space="preserve">an economic measure of wealth. </w:t>
      </w:r>
    </w:p>
    <w:p w14:paraId="748605C5" w14:textId="69A59075" w:rsidR="00F1540A" w:rsidRPr="005734B8" w:rsidRDefault="00F1540A" w:rsidP="00F1540A">
      <w:pPr>
        <w:spacing w:before="240" w:after="120" w:line="240" w:lineRule="atLeast"/>
        <w:outlineLvl w:val="2"/>
        <w:rPr>
          <w:rFonts w:ascii="Calibri" w:hAnsi="Calibri" w:cs="Calibri"/>
          <w:b/>
          <w:color w:val="53565A"/>
          <w:szCs w:val="18"/>
          <w:lang w:val="en-US"/>
        </w:rPr>
      </w:pPr>
      <w:r w:rsidRPr="005734B8">
        <w:rPr>
          <w:rFonts w:ascii="Calibri" w:hAnsi="Calibri" w:cs="Calibri"/>
          <w:b/>
          <w:color w:val="53565A"/>
          <w:szCs w:val="18"/>
          <w:lang w:val="en-US"/>
        </w:rPr>
        <w:t>Effective interest method</w:t>
      </w:r>
      <w:bookmarkEnd w:id="1943"/>
      <w:bookmarkEnd w:id="1944"/>
    </w:p>
    <w:p w14:paraId="549844A3" w14:textId="3CDACD31" w:rsidR="00F1540A" w:rsidRPr="005734B8" w:rsidRDefault="006D29DF" w:rsidP="00F1540A">
      <w:pPr>
        <w:rPr>
          <w:rFonts w:ascii="Calibri" w:eastAsia="Arial" w:hAnsi="Calibri" w:cs="Calibri"/>
        </w:rPr>
      </w:pPr>
      <w:r>
        <w:rPr>
          <w:rFonts w:ascii="Calibri" w:eastAsia="Arial" w:hAnsi="Calibri" w:cs="Calibri"/>
        </w:rPr>
        <w:t>C</w:t>
      </w:r>
      <w:r w:rsidR="00F1540A" w:rsidRPr="00DD2992">
        <w:rPr>
          <w:rFonts w:ascii="Calibri" w:eastAsia="Arial" w:hAnsi="Calibri" w:cs="Calibri"/>
        </w:rPr>
        <w:t>alculat</w:t>
      </w:r>
      <w:r w:rsidR="00565185">
        <w:rPr>
          <w:rFonts w:ascii="Calibri" w:eastAsia="Arial" w:hAnsi="Calibri" w:cs="Calibri"/>
        </w:rPr>
        <w:t>ion of</w:t>
      </w:r>
      <w:r w:rsidR="00F1540A" w:rsidRPr="005734B8">
        <w:rPr>
          <w:rFonts w:ascii="Calibri" w:eastAsia="Arial" w:hAnsi="Calibri" w:cs="Calibri"/>
        </w:rPr>
        <w:t xml:space="preserve"> amortised cost of a financial asset or liability and of allocating interest income over the relevant period. The effective interest rate is the rate that exactly discounts estimated future cash receipts through the expected life of the financial instrument, or, where appropriate, a shorter period.</w:t>
      </w:r>
    </w:p>
    <w:p w14:paraId="1DC5CD68" w14:textId="77777777" w:rsidR="006D29DF" w:rsidRPr="005734B8" w:rsidRDefault="006D29DF" w:rsidP="006D29DF">
      <w:pPr>
        <w:rPr>
          <w:rFonts w:ascii="Calibri" w:hAnsi="Calibri" w:cs="Calibri"/>
          <w:b/>
          <w:color w:val="53565A"/>
          <w:szCs w:val="18"/>
          <w:lang w:val="en-US"/>
        </w:rPr>
      </w:pPr>
      <w:bookmarkStart w:id="1945" w:name="_Toc11336474"/>
      <w:bookmarkStart w:id="1946" w:name="_Toc14965700"/>
    </w:p>
    <w:p w14:paraId="708DF49B" w14:textId="5F712C20" w:rsidR="00F1540A" w:rsidRPr="005734B8" w:rsidRDefault="00F1540A" w:rsidP="006D29DF">
      <w:pPr>
        <w:rPr>
          <w:rFonts w:ascii="Calibri" w:hAnsi="Calibri" w:cs="Calibri"/>
          <w:b/>
          <w:color w:val="53565A"/>
          <w:szCs w:val="18"/>
          <w:lang w:val="en-US"/>
        </w:rPr>
      </w:pPr>
      <w:r w:rsidRPr="005734B8">
        <w:rPr>
          <w:rFonts w:ascii="Calibri" w:hAnsi="Calibri" w:cs="Calibri"/>
          <w:b/>
          <w:color w:val="53565A"/>
          <w:szCs w:val="18"/>
          <w:lang w:val="en-US"/>
        </w:rPr>
        <w:t>Employee benefits expenses</w:t>
      </w:r>
      <w:bookmarkEnd w:id="1945"/>
      <w:bookmarkEnd w:id="1946"/>
    </w:p>
    <w:p w14:paraId="10EDE4E2" w14:textId="6695B514" w:rsidR="00F1540A" w:rsidRPr="005734B8" w:rsidRDefault="006D29DF" w:rsidP="00F1540A">
      <w:pPr>
        <w:rPr>
          <w:rFonts w:ascii="Calibri" w:eastAsia="Arial" w:hAnsi="Calibri" w:cs="Calibri"/>
        </w:rPr>
      </w:pPr>
      <w:r w:rsidRPr="005734B8">
        <w:rPr>
          <w:rFonts w:ascii="Calibri" w:eastAsia="Arial" w:hAnsi="Calibri" w:cs="Calibri"/>
        </w:rPr>
        <w:t>I</w:t>
      </w:r>
      <w:r w:rsidR="00F1540A" w:rsidRPr="005734B8">
        <w:rPr>
          <w:rFonts w:ascii="Calibri" w:eastAsia="Arial" w:hAnsi="Calibri" w:cs="Calibri"/>
        </w:rPr>
        <w:t>nclude all costs related to employment including wages and salaries, fringe benefits tax, leave entitlements, redundancy payments, defined benefits superannuation plans, and defined contribution superannuation plans.</w:t>
      </w:r>
    </w:p>
    <w:p w14:paraId="04559E95" w14:textId="77777777" w:rsidR="006D29DF" w:rsidRPr="005734B8" w:rsidRDefault="006D29DF">
      <w:pPr>
        <w:rPr>
          <w:rFonts w:ascii="Calibri" w:hAnsi="Calibri" w:cs="Calibri"/>
          <w:b/>
          <w:color w:val="53565A"/>
          <w:szCs w:val="18"/>
          <w:lang w:val="en-US"/>
        </w:rPr>
      </w:pPr>
      <w:bookmarkStart w:id="1947" w:name="_Toc11336475"/>
      <w:bookmarkStart w:id="1948" w:name="_Toc14965701"/>
      <w:r w:rsidRPr="005734B8">
        <w:rPr>
          <w:rFonts w:ascii="Calibri" w:hAnsi="Calibri" w:cs="Calibri"/>
          <w:b/>
          <w:color w:val="53565A"/>
          <w:szCs w:val="18"/>
          <w:lang w:val="en-US"/>
        </w:rPr>
        <w:br w:type="page"/>
      </w:r>
    </w:p>
    <w:p w14:paraId="11726E46" w14:textId="77777777" w:rsidR="00F1540A" w:rsidRPr="005734B8" w:rsidRDefault="00F1540A" w:rsidP="00F1540A">
      <w:pPr>
        <w:spacing w:before="240" w:after="120" w:line="240" w:lineRule="atLeast"/>
        <w:outlineLvl w:val="2"/>
        <w:rPr>
          <w:rFonts w:ascii="Calibri" w:hAnsi="Calibri" w:cs="Calibri"/>
          <w:b/>
          <w:color w:val="53565A"/>
          <w:szCs w:val="18"/>
          <w:lang w:val="en-US"/>
        </w:rPr>
      </w:pPr>
      <w:r w:rsidRPr="005734B8">
        <w:rPr>
          <w:rFonts w:ascii="Calibri" w:hAnsi="Calibri" w:cs="Calibri"/>
          <w:b/>
          <w:color w:val="53565A"/>
          <w:szCs w:val="18"/>
          <w:lang w:val="en-US"/>
        </w:rPr>
        <w:lastRenderedPageBreak/>
        <w:t>Ex-gratia expenses</w:t>
      </w:r>
      <w:bookmarkEnd w:id="1947"/>
      <w:bookmarkEnd w:id="1948"/>
    </w:p>
    <w:p w14:paraId="6DFD216F" w14:textId="67999AC4" w:rsidR="00F1540A" w:rsidRPr="005734B8" w:rsidRDefault="006D29DF" w:rsidP="00F1540A">
      <w:pPr>
        <w:rPr>
          <w:rFonts w:ascii="Calibri" w:eastAsia="Arial" w:hAnsi="Calibri" w:cs="Calibri"/>
        </w:rPr>
      </w:pPr>
      <w:r w:rsidRPr="005734B8">
        <w:rPr>
          <w:rFonts w:ascii="Calibri" w:eastAsia="Arial" w:hAnsi="Calibri" w:cs="Calibri"/>
        </w:rPr>
        <w:t>V</w:t>
      </w:r>
      <w:r w:rsidR="00F1540A" w:rsidRPr="005734B8">
        <w:rPr>
          <w:rFonts w:ascii="Calibri" w:eastAsia="Arial" w:hAnsi="Calibri" w:cs="Calibri"/>
        </w:rPr>
        <w:t>oluntary payments not made either to acquire goods, services or other benefits for the entity or to meet a legal liability, or to settle or resolve a possible legal liability or claim against the entity.</w:t>
      </w:r>
    </w:p>
    <w:p w14:paraId="22F88D65" w14:textId="77777777" w:rsidR="00F1540A" w:rsidRPr="005734B8" w:rsidRDefault="00F1540A" w:rsidP="00F1540A">
      <w:pPr>
        <w:rPr>
          <w:rFonts w:ascii="Calibri" w:hAnsi="Calibri" w:cs="Calibri"/>
          <w:b/>
          <w:color w:val="53565A"/>
          <w:szCs w:val="18"/>
          <w:lang w:val="en-US"/>
        </w:rPr>
      </w:pPr>
      <w:bookmarkStart w:id="1949" w:name="_Toc11336476"/>
      <w:bookmarkStart w:id="1950" w:name="_Toc14965702"/>
    </w:p>
    <w:p w14:paraId="34552F16" w14:textId="77777777" w:rsidR="00F1540A" w:rsidRPr="005734B8" w:rsidRDefault="00F1540A" w:rsidP="00F1540A">
      <w:pPr>
        <w:rPr>
          <w:rFonts w:ascii="Calibri" w:hAnsi="Calibri" w:cs="Calibri"/>
          <w:b/>
          <w:color w:val="53565A"/>
          <w:szCs w:val="18"/>
          <w:lang w:val="en-US"/>
        </w:rPr>
      </w:pPr>
      <w:r w:rsidRPr="005734B8">
        <w:rPr>
          <w:rFonts w:ascii="Calibri" w:hAnsi="Calibri" w:cs="Calibri"/>
          <w:b/>
          <w:color w:val="53565A"/>
          <w:szCs w:val="18"/>
          <w:lang w:val="en-US"/>
        </w:rPr>
        <w:t>Financial asset</w:t>
      </w:r>
      <w:bookmarkEnd w:id="1949"/>
      <w:bookmarkEnd w:id="1950"/>
    </w:p>
    <w:p w14:paraId="42FC3F33" w14:textId="27F9228A" w:rsidR="00F1540A" w:rsidRPr="005734B8" w:rsidRDefault="00565185" w:rsidP="00F1540A">
      <w:pPr>
        <w:rPr>
          <w:rFonts w:ascii="Calibri" w:eastAsia="Arial" w:hAnsi="Calibri" w:cs="Calibri"/>
        </w:rPr>
      </w:pPr>
      <w:r>
        <w:rPr>
          <w:rFonts w:ascii="Calibri" w:eastAsia="Arial" w:hAnsi="Calibri" w:cs="Calibri"/>
        </w:rPr>
        <w:t>Includes a</w:t>
      </w:r>
      <w:r w:rsidR="00F1540A" w:rsidRPr="00DD2992">
        <w:rPr>
          <w:rFonts w:ascii="Calibri" w:eastAsia="Arial" w:hAnsi="Calibri" w:cs="Calibri"/>
        </w:rPr>
        <w:t>ny</w:t>
      </w:r>
      <w:r w:rsidR="00F1540A" w:rsidRPr="005734B8">
        <w:rPr>
          <w:rFonts w:ascii="Calibri" w:eastAsia="Arial" w:hAnsi="Calibri" w:cs="Calibri"/>
        </w:rPr>
        <w:t xml:space="preserve"> asset that is:</w:t>
      </w:r>
    </w:p>
    <w:p w14:paraId="62116A0E" w14:textId="77777777" w:rsidR="00F1540A" w:rsidRPr="005734B8" w:rsidRDefault="00F1540A" w:rsidP="00F1540A">
      <w:pPr>
        <w:numPr>
          <w:ilvl w:val="0"/>
          <w:numId w:val="20"/>
        </w:numPr>
        <w:rPr>
          <w:rFonts w:ascii="Calibri" w:hAnsi="Calibri" w:cs="Calibri"/>
          <w:szCs w:val="18"/>
          <w:lang w:val="en-US"/>
        </w:rPr>
      </w:pPr>
      <w:r w:rsidRPr="005734B8">
        <w:rPr>
          <w:rFonts w:ascii="Calibri" w:hAnsi="Calibri" w:cs="Calibri"/>
          <w:szCs w:val="18"/>
          <w:lang w:val="en-US"/>
        </w:rPr>
        <w:t>cash</w:t>
      </w:r>
    </w:p>
    <w:p w14:paraId="511E95D1" w14:textId="77777777" w:rsidR="00F1540A" w:rsidRPr="005734B8" w:rsidRDefault="00F1540A" w:rsidP="00F1540A">
      <w:pPr>
        <w:numPr>
          <w:ilvl w:val="0"/>
          <w:numId w:val="20"/>
        </w:numPr>
        <w:rPr>
          <w:rFonts w:ascii="Calibri" w:hAnsi="Calibri" w:cs="Calibri"/>
          <w:szCs w:val="18"/>
          <w:lang w:val="en-US"/>
        </w:rPr>
      </w:pPr>
      <w:r w:rsidRPr="005734B8">
        <w:rPr>
          <w:rFonts w:ascii="Calibri" w:hAnsi="Calibri" w:cs="Calibri"/>
          <w:szCs w:val="18"/>
          <w:lang w:val="en-US"/>
        </w:rPr>
        <w:t>an equity instrument of another entity</w:t>
      </w:r>
    </w:p>
    <w:p w14:paraId="1D6660FF" w14:textId="77777777" w:rsidR="00F1540A" w:rsidRPr="005734B8" w:rsidRDefault="00F1540A" w:rsidP="00F1540A">
      <w:pPr>
        <w:numPr>
          <w:ilvl w:val="0"/>
          <w:numId w:val="20"/>
        </w:numPr>
        <w:rPr>
          <w:rFonts w:ascii="Calibri" w:hAnsi="Calibri" w:cs="Calibri"/>
          <w:szCs w:val="18"/>
          <w:lang w:val="en-US"/>
        </w:rPr>
      </w:pPr>
      <w:r w:rsidRPr="005734B8">
        <w:rPr>
          <w:rFonts w:ascii="Calibri" w:hAnsi="Calibri" w:cs="Calibri"/>
          <w:szCs w:val="18"/>
          <w:lang w:val="en-US"/>
        </w:rPr>
        <w:t>a contractual right:</w:t>
      </w:r>
    </w:p>
    <w:p w14:paraId="7BA3E9F4" w14:textId="77777777" w:rsidR="00F1540A" w:rsidRPr="005734B8" w:rsidRDefault="00F1540A" w:rsidP="00F1540A">
      <w:pPr>
        <w:numPr>
          <w:ilvl w:val="1"/>
          <w:numId w:val="20"/>
        </w:numPr>
        <w:rPr>
          <w:rFonts w:ascii="Calibri" w:hAnsi="Calibri" w:cs="Calibri"/>
          <w:szCs w:val="18"/>
          <w:lang w:val="en-US"/>
        </w:rPr>
      </w:pPr>
      <w:r w:rsidRPr="005734B8">
        <w:rPr>
          <w:rFonts w:ascii="Calibri" w:hAnsi="Calibri" w:cs="Calibri"/>
          <w:szCs w:val="18"/>
          <w:lang w:val="en-US"/>
        </w:rPr>
        <w:t>to receive cash or another financial asset from another entity, or</w:t>
      </w:r>
    </w:p>
    <w:p w14:paraId="5A53353E" w14:textId="77777777" w:rsidR="00F1540A" w:rsidRPr="005734B8" w:rsidRDefault="00F1540A" w:rsidP="00F1540A">
      <w:pPr>
        <w:numPr>
          <w:ilvl w:val="1"/>
          <w:numId w:val="20"/>
        </w:numPr>
        <w:rPr>
          <w:rFonts w:ascii="Calibri" w:hAnsi="Calibri" w:cs="Calibri"/>
          <w:szCs w:val="18"/>
          <w:lang w:val="en-US"/>
        </w:rPr>
      </w:pPr>
      <w:r w:rsidRPr="005734B8">
        <w:rPr>
          <w:rFonts w:ascii="Calibri" w:hAnsi="Calibri" w:cs="Calibri"/>
          <w:szCs w:val="18"/>
          <w:lang w:val="en-US"/>
        </w:rPr>
        <w:t>to exchange financial assets or financial liabilities with another entity under conditions that are potentially favourable to the entity</w:t>
      </w:r>
    </w:p>
    <w:p w14:paraId="452E7240" w14:textId="1C592938" w:rsidR="00F1540A" w:rsidRPr="005734B8" w:rsidRDefault="00F1540A" w:rsidP="00F1540A">
      <w:pPr>
        <w:numPr>
          <w:ilvl w:val="0"/>
          <w:numId w:val="20"/>
        </w:numPr>
        <w:rPr>
          <w:rFonts w:ascii="Calibri" w:hAnsi="Calibri" w:cs="Calibri"/>
          <w:szCs w:val="18"/>
          <w:lang w:val="en-US"/>
        </w:rPr>
      </w:pPr>
      <w:r w:rsidRPr="005734B8">
        <w:rPr>
          <w:rFonts w:ascii="Calibri" w:hAnsi="Calibri" w:cs="Calibri"/>
          <w:szCs w:val="18"/>
          <w:lang w:val="en-US"/>
        </w:rPr>
        <w:t xml:space="preserve">a contract that will or may be settled in the entity’s own equity instruments and </w:t>
      </w:r>
      <w:r w:rsidR="00305CCE" w:rsidRPr="005734B8">
        <w:rPr>
          <w:rFonts w:ascii="Calibri" w:hAnsi="Calibri" w:cs="Calibri"/>
          <w:szCs w:val="18"/>
          <w:lang w:val="en-US"/>
        </w:rPr>
        <w:t>that</w:t>
      </w:r>
      <w:r w:rsidRPr="005734B8">
        <w:rPr>
          <w:rFonts w:ascii="Calibri" w:hAnsi="Calibri" w:cs="Calibri"/>
          <w:szCs w:val="18"/>
          <w:lang w:val="en-US"/>
        </w:rPr>
        <w:t xml:space="preserve"> is:</w:t>
      </w:r>
    </w:p>
    <w:p w14:paraId="21E1DC37" w14:textId="77777777" w:rsidR="00F1540A" w:rsidRPr="005734B8" w:rsidRDefault="00F1540A" w:rsidP="00F1540A">
      <w:pPr>
        <w:numPr>
          <w:ilvl w:val="1"/>
          <w:numId w:val="20"/>
        </w:numPr>
        <w:rPr>
          <w:rFonts w:ascii="Calibri" w:hAnsi="Calibri" w:cs="Calibri"/>
          <w:szCs w:val="18"/>
          <w:lang w:val="en-US"/>
        </w:rPr>
      </w:pPr>
      <w:r w:rsidRPr="005734B8">
        <w:rPr>
          <w:rFonts w:ascii="Calibri" w:hAnsi="Calibri" w:cs="Calibri"/>
          <w:szCs w:val="18"/>
          <w:lang w:val="en-US"/>
        </w:rPr>
        <w:t>a non-derivative for which the entity is or may be obliged to receive a variable number of the entity’s own equity instruments, or</w:t>
      </w:r>
    </w:p>
    <w:p w14:paraId="70C9F116" w14:textId="77777777" w:rsidR="00F1540A" w:rsidRPr="005734B8" w:rsidRDefault="00F1540A" w:rsidP="00F1540A">
      <w:pPr>
        <w:numPr>
          <w:ilvl w:val="1"/>
          <w:numId w:val="20"/>
        </w:numPr>
        <w:rPr>
          <w:rFonts w:ascii="Calibri" w:hAnsi="Calibri" w:cs="Calibri"/>
          <w:szCs w:val="18"/>
          <w:lang w:val="en-US"/>
        </w:rPr>
      </w:pPr>
      <w:r w:rsidRPr="005734B8">
        <w:rPr>
          <w:rFonts w:ascii="Calibri" w:hAnsi="Calibri" w:cs="Calibri"/>
          <w:szCs w:val="18"/>
          <w:lang w:val="en-US"/>
        </w:rPr>
        <w:t>a derivative that will or may be settled other than by the exchange of a fixed amount of cash or another financial asset for a fixed number of the entity’s own equity instruments.</w:t>
      </w:r>
    </w:p>
    <w:p w14:paraId="0E32C14C"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51" w:name="_Toc11336477"/>
      <w:bookmarkStart w:id="1952" w:name="_Toc14965703"/>
      <w:r w:rsidRPr="005734B8">
        <w:rPr>
          <w:rFonts w:ascii="Calibri" w:hAnsi="Calibri" w:cs="Calibri"/>
          <w:b/>
          <w:color w:val="53565A"/>
          <w:szCs w:val="18"/>
          <w:lang w:val="en-US"/>
        </w:rPr>
        <w:t>Financial instrument</w:t>
      </w:r>
      <w:bookmarkEnd w:id="1951"/>
      <w:bookmarkEnd w:id="1952"/>
    </w:p>
    <w:p w14:paraId="4C2E2E17" w14:textId="3C4A26DA" w:rsidR="00F1540A" w:rsidRPr="005734B8" w:rsidRDefault="006D29DF" w:rsidP="00F1540A">
      <w:pPr>
        <w:rPr>
          <w:rFonts w:ascii="Calibri" w:eastAsia="Arial" w:hAnsi="Calibri" w:cs="Calibri"/>
        </w:rPr>
      </w:pPr>
      <w:r w:rsidRPr="005734B8">
        <w:rPr>
          <w:rFonts w:ascii="Calibri" w:eastAsia="Arial" w:hAnsi="Calibri" w:cs="Calibri"/>
        </w:rPr>
        <w:t>A</w:t>
      </w:r>
      <w:r w:rsidR="00F1540A" w:rsidRPr="005734B8">
        <w:rPr>
          <w:rFonts w:ascii="Calibri" w:eastAsia="Arial" w:hAnsi="Calibri" w:cs="Calibri"/>
        </w:rPr>
        <w:t>ny contract that gives rise to a financial asset of one entity and a financial liability or equity instrument of another entity.</w:t>
      </w:r>
    </w:p>
    <w:p w14:paraId="22AB0C03"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53" w:name="_Toc11336478"/>
      <w:bookmarkStart w:id="1954" w:name="_Toc14965704"/>
      <w:r w:rsidRPr="005734B8">
        <w:rPr>
          <w:rFonts w:ascii="Calibri" w:hAnsi="Calibri" w:cs="Calibri"/>
          <w:b/>
          <w:color w:val="53565A"/>
          <w:szCs w:val="18"/>
          <w:lang w:val="en-US"/>
        </w:rPr>
        <w:t>Financial liability</w:t>
      </w:r>
      <w:bookmarkEnd w:id="1953"/>
      <w:bookmarkEnd w:id="1954"/>
    </w:p>
    <w:p w14:paraId="16F898E6" w14:textId="60A9F0BC" w:rsidR="00F1540A" w:rsidRPr="005734B8" w:rsidRDefault="006D29DF" w:rsidP="00F1540A">
      <w:pPr>
        <w:rPr>
          <w:rFonts w:ascii="Calibri" w:eastAsia="Arial" w:hAnsi="Calibri" w:cs="Calibri"/>
        </w:rPr>
      </w:pPr>
      <w:r w:rsidRPr="005734B8">
        <w:rPr>
          <w:rFonts w:ascii="Calibri" w:eastAsia="Arial" w:hAnsi="Calibri" w:cs="Calibri"/>
        </w:rPr>
        <w:t>A</w:t>
      </w:r>
      <w:r w:rsidR="00F1540A" w:rsidRPr="005734B8">
        <w:rPr>
          <w:rFonts w:ascii="Calibri" w:eastAsia="Arial" w:hAnsi="Calibri" w:cs="Calibri"/>
        </w:rPr>
        <w:t>ny liability that is:</w:t>
      </w:r>
    </w:p>
    <w:p w14:paraId="5A0E5FCF" w14:textId="77777777" w:rsidR="00F1540A" w:rsidRPr="005734B8" w:rsidRDefault="00F1540A" w:rsidP="00F1540A">
      <w:pPr>
        <w:numPr>
          <w:ilvl w:val="0"/>
          <w:numId w:val="19"/>
        </w:numPr>
        <w:rPr>
          <w:rFonts w:ascii="Calibri" w:hAnsi="Calibri" w:cs="Calibri"/>
          <w:szCs w:val="18"/>
          <w:lang w:val="en-US"/>
        </w:rPr>
      </w:pPr>
      <w:r w:rsidRPr="005734B8">
        <w:rPr>
          <w:rFonts w:ascii="Calibri" w:hAnsi="Calibri" w:cs="Calibri"/>
          <w:szCs w:val="18"/>
          <w:lang w:val="en-US"/>
        </w:rPr>
        <w:t>a contractual obligation:</w:t>
      </w:r>
    </w:p>
    <w:p w14:paraId="747E6123" w14:textId="77777777" w:rsidR="00F1540A" w:rsidRPr="005734B8" w:rsidRDefault="00F1540A" w:rsidP="00F1540A">
      <w:pPr>
        <w:numPr>
          <w:ilvl w:val="1"/>
          <w:numId w:val="19"/>
        </w:numPr>
        <w:rPr>
          <w:rFonts w:ascii="Calibri" w:hAnsi="Calibri" w:cs="Calibri"/>
          <w:szCs w:val="18"/>
          <w:lang w:val="en-US"/>
        </w:rPr>
      </w:pPr>
      <w:r w:rsidRPr="005734B8">
        <w:rPr>
          <w:rFonts w:ascii="Calibri" w:hAnsi="Calibri" w:cs="Calibri"/>
          <w:szCs w:val="18"/>
          <w:lang w:val="en-US"/>
        </w:rPr>
        <w:t>to deliver cash or another financial asset to another entity, or</w:t>
      </w:r>
    </w:p>
    <w:p w14:paraId="2F616CDC" w14:textId="77777777" w:rsidR="00F1540A" w:rsidRPr="005734B8" w:rsidRDefault="00F1540A" w:rsidP="00F1540A">
      <w:pPr>
        <w:numPr>
          <w:ilvl w:val="1"/>
          <w:numId w:val="19"/>
        </w:numPr>
        <w:rPr>
          <w:rFonts w:ascii="Calibri" w:hAnsi="Calibri" w:cs="Calibri"/>
          <w:szCs w:val="18"/>
          <w:lang w:val="en-US"/>
        </w:rPr>
      </w:pPr>
      <w:r w:rsidRPr="005734B8">
        <w:rPr>
          <w:rFonts w:ascii="Calibri" w:hAnsi="Calibri" w:cs="Calibri"/>
          <w:szCs w:val="18"/>
          <w:lang w:val="en-US"/>
        </w:rPr>
        <w:t>to exchange financial assets or financial liabilities with another entity under conditions that are potentially unfavourable to the entity</w:t>
      </w:r>
    </w:p>
    <w:p w14:paraId="4799F230" w14:textId="72CBB245" w:rsidR="00F1540A" w:rsidRPr="005734B8" w:rsidRDefault="00F1540A" w:rsidP="00F1540A">
      <w:pPr>
        <w:numPr>
          <w:ilvl w:val="0"/>
          <w:numId w:val="19"/>
        </w:numPr>
        <w:rPr>
          <w:rFonts w:ascii="Calibri" w:hAnsi="Calibri" w:cs="Calibri"/>
          <w:szCs w:val="18"/>
          <w:lang w:val="en-US"/>
        </w:rPr>
      </w:pPr>
      <w:r w:rsidRPr="005734B8">
        <w:rPr>
          <w:rFonts w:ascii="Calibri" w:hAnsi="Calibri" w:cs="Calibri"/>
          <w:szCs w:val="18"/>
          <w:lang w:val="en-US"/>
        </w:rPr>
        <w:t xml:space="preserve">a contract that will or may be settled in the entity’s own equity instruments and </w:t>
      </w:r>
      <w:r w:rsidR="00305CCE" w:rsidRPr="005734B8">
        <w:rPr>
          <w:rFonts w:ascii="Calibri" w:hAnsi="Calibri" w:cs="Calibri"/>
          <w:szCs w:val="18"/>
          <w:lang w:val="en-US"/>
        </w:rPr>
        <w:t>that</w:t>
      </w:r>
      <w:r w:rsidRPr="005734B8">
        <w:rPr>
          <w:rFonts w:ascii="Calibri" w:hAnsi="Calibri" w:cs="Calibri"/>
          <w:szCs w:val="18"/>
          <w:lang w:val="en-US"/>
        </w:rPr>
        <w:t xml:space="preserve"> is:</w:t>
      </w:r>
    </w:p>
    <w:p w14:paraId="77ECF31A" w14:textId="77777777" w:rsidR="00F1540A" w:rsidRPr="005734B8" w:rsidRDefault="00F1540A" w:rsidP="00F1540A">
      <w:pPr>
        <w:numPr>
          <w:ilvl w:val="1"/>
          <w:numId w:val="19"/>
        </w:numPr>
        <w:rPr>
          <w:rFonts w:ascii="Calibri" w:hAnsi="Calibri" w:cs="Calibri"/>
          <w:szCs w:val="18"/>
          <w:lang w:val="en-US"/>
        </w:rPr>
      </w:pPr>
      <w:r w:rsidRPr="005734B8">
        <w:rPr>
          <w:rFonts w:ascii="Calibri" w:hAnsi="Calibri" w:cs="Calibri"/>
          <w:szCs w:val="18"/>
          <w:lang w:val="en-US"/>
        </w:rPr>
        <w:t xml:space="preserve">a non-derivative for which the entity is or may be obliged to deliver a variable number of the entity’s own equity instruments, or </w:t>
      </w:r>
    </w:p>
    <w:p w14:paraId="58371A37" w14:textId="77777777" w:rsidR="00F1540A" w:rsidRPr="005734B8" w:rsidRDefault="00F1540A" w:rsidP="00F1540A">
      <w:pPr>
        <w:numPr>
          <w:ilvl w:val="1"/>
          <w:numId w:val="19"/>
        </w:numPr>
        <w:rPr>
          <w:rFonts w:ascii="Calibri" w:hAnsi="Calibri" w:cs="Calibri"/>
          <w:szCs w:val="18"/>
          <w:lang w:val="en-US"/>
        </w:rPr>
      </w:pPr>
      <w:r w:rsidRPr="005734B8">
        <w:rPr>
          <w:rFonts w:ascii="Calibri" w:hAnsi="Calibri" w:cs="Calibri"/>
          <w:szCs w:val="18"/>
          <w:lang w:val="en-US"/>
        </w:rPr>
        <w:t>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14:paraId="54F58DDD"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55" w:name="_Toc14965705"/>
      <w:bookmarkStart w:id="1956" w:name="_Toc11336479"/>
      <w:r w:rsidRPr="005734B8">
        <w:rPr>
          <w:rFonts w:ascii="Calibri" w:hAnsi="Calibri" w:cs="Calibri"/>
          <w:b/>
          <w:color w:val="53565A"/>
          <w:szCs w:val="18"/>
          <w:lang w:val="en-US"/>
        </w:rPr>
        <w:t>Financial Reporting Directions</w:t>
      </w:r>
      <w:bookmarkEnd w:id="1955"/>
      <w:r w:rsidRPr="005734B8">
        <w:rPr>
          <w:rFonts w:ascii="Calibri" w:hAnsi="Calibri" w:cs="Calibri"/>
          <w:b/>
          <w:color w:val="53565A"/>
          <w:szCs w:val="18"/>
          <w:lang w:val="en-US"/>
        </w:rPr>
        <w:t xml:space="preserve"> </w:t>
      </w:r>
      <w:bookmarkEnd w:id="1956"/>
    </w:p>
    <w:p w14:paraId="6B5047FA" w14:textId="3D5E157E" w:rsidR="00F1540A" w:rsidRPr="005734B8" w:rsidRDefault="006D29DF" w:rsidP="00F1540A">
      <w:pPr>
        <w:rPr>
          <w:rFonts w:ascii="Calibri" w:eastAsia="Arial" w:hAnsi="Calibri" w:cs="Calibri"/>
        </w:rPr>
      </w:pPr>
      <w:r w:rsidRPr="005734B8">
        <w:rPr>
          <w:rFonts w:ascii="Calibri" w:eastAsia="Arial" w:hAnsi="Calibri" w:cs="Calibri"/>
        </w:rPr>
        <w:t>Guidelines</w:t>
      </w:r>
      <w:r w:rsidR="00F1540A" w:rsidRPr="005734B8">
        <w:rPr>
          <w:rFonts w:ascii="Calibri" w:eastAsia="Arial" w:hAnsi="Calibri" w:cs="Calibri"/>
        </w:rPr>
        <w:t xml:space="preserve"> applicable to all entities defined as either a public body or a department under section 3 of the FM Act, unless otherwise stated. The aims of FRDs are to ensure consistent application of accounting treatment across the Victorian public sector in compliance with that particular standard and also to impose other government non-financial policy and disclosure requirements.</w:t>
      </w:r>
    </w:p>
    <w:p w14:paraId="798DB30F" w14:textId="77777777" w:rsidR="006D29DF" w:rsidRPr="005734B8" w:rsidRDefault="006D29DF">
      <w:pPr>
        <w:rPr>
          <w:rFonts w:ascii="Calibri" w:hAnsi="Calibri" w:cs="Calibri"/>
          <w:b/>
          <w:color w:val="53565A"/>
          <w:szCs w:val="18"/>
          <w:lang w:val="en-US"/>
        </w:rPr>
      </w:pPr>
      <w:bookmarkStart w:id="1957" w:name="_Toc11336480"/>
      <w:bookmarkStart w:id="1958" w:name="_Toc14965706"/>
      <w:r w:rsidRPr="005734B8">
        <w:rPr>
          <w:rFonts w:ascii="Calibri" w:hAnsi="Calibri" w:cs="Calibri"/>
          <w:b/>
          <w:color w:val="53565A"/>
          <w:szCs w:val="18"/>
          <w:lang w:val="en-US"/>
        </w:rPr>
        <w:br w:type="page"/>
      </w:r>
    </w:p>
    <w:p w14:paraId="74D3E7B9" w14:textId="77777777" w:rsidR="00F1540A" w:rsidRPr="005734B8" w:rsidRDefault="00F1540A" w:rsidP="00F1540A">
      <w:pPr>
        <w:spacing w:before="240" w:after="120" w:line="240" w:lineRule="atLeast"/>
        <w:outlineLvl w:val="2"/>
        <w:rPr>
          <w:rFonts w:ascii="Calibri" w:hAnsi="Calibri" w:cs="Calibri"/>
          <w:b/>
          <w:color w:val="53565A"/>
          <w:szCs w:val="18"/>
          <w:lang w:val="en-US"/>
        </w:rPr>
      </w:pPr>
      <w:r w:rsidRPr="005734B8">
        <w:rPr>
          <w:rFonts w:ascii="Calibri" w:hAnsi="Calibri" w:cs="Calibri"/>
          <w:b/>
          <w:color w:val="53565A"/>
          <w:szCs w:val="18"/>
          <w:lang w:val="en-US"/>
        </w:rPr>
        <w:lastRenderedPageBreak/>
        <w:t>Financial statements</w:t>
      </w:r>
      <w:bookmarkEnd w:id="1957"/>
      <w:bookmarkEnd w:id="1958"/>
    </w:p>
    <w:p w14:paraId="006D9EF2" w14:textId="77777777" w:rsidR="00F1540A" w:rsidRPr="005734B8" w:rsidRDefault="00F1540A" w:rsidP="00F1540A">
      <w:pPr>
        <w:rPr>
          <w:rFonts w:ascii="Calibri" w:eastAsia="Arial" w:hAnsi="Calibri" w:cs="Calibri"/>
        </w:rPr>
      </w:pPr>
      <w:r w:rsidRPr="005734B8">
        <w:rPr>
          <w:rFonts w:ascii="Calibri" w:eastAsia="Arial" w:hAnsi="Calibri" w:cs="Calibri"/>
        </w:rPr>
        <w:t>A complete set of financial statements comprises:</w:t>
      </w:r>
    </w:p>
    <w:p w14:paraId="08776257" w14:textId="77777777" w:rsidR="00F1540A" w:rsidRPr="005734B8" w:rsidRDefault="00F1540A" w:rsidP="00F1540A">
      <w:pPr>
        <w:numPr>
          <w:ilvl w:val="0"/>
          <w:numId w:val="18"/>
        </w:numPr>
        <w:rPr>
          <w:rFonts w:ascii="Calibri" w:hAnsi="Calibri" w:cs="Calibri"/>
          <w:szCs w:val="18"/>
          <w:lang w:val="en-US"/>
        </w:rPr>
      </w:pPr>
      <w:r w:rsidRPr="005734B8">
        <w:rPr>
          <w:rFonts w:ascii="Calibri" w:hAnsi="Calibri" w:cs="Calibri"/>
          <w:szCs w:val="18"/>
          <w:lang w:val="en-US"/>
        </w:rPr>
        <w:t>a balance sheet as at the end of the period</w:t>
      </w:r>
    </w:p>
    <w:p w14:paraId="67044E77" w14:textId="77777777" w:rsidR="00F1540A" w:rsidRPr="005734B8" w:rsidRDefault="00F1540A" w:rsidP="00F1540A">
      <w:pPr>
        <w:numPr>
          <w:ilvl w:val="0"/>
          <w:numId w:val="18"/>
        </w:numPr>
        <w:rPr>
          <w:rFonts w:ascii="Calibri" w:hAnsi="Calibri" w:cs="Calibri"/>
          <w:szCs w:val="18"/>
          <w:lang w:val="en-US"/>
        </w:rPr>
      </w:pPr>
      <w:r w:rsidRPr="005734B8">
        <w:rPr>
          <w:rFonts w:ascii="Calibri" w:hAnsi="Calibri" w:cs="Calibri"/>
          <w:szCs w:val="18"/>
          <w:lang w:val="en-US"/>
        </w:rPr>
        <w:t>a comprehensive operating statement for the period</w:t>
      </w:r>
    </w:p>
    <w:p w14:paraId="2B430CAD" w14:textId="77777777" w:rsidR="00F1540A" w:rsidRPr="005734B8" w:rsidRDefault="00F1540A" w:rsidP="00F1540A">
      <w:pPr>
        <w:numPr>
          <w:ilvl w:val="0"/>
          <w:numId w:val="18"/>
        </w:numPr>
        <w:rPr>
          <w:rFonts w:ascii="Calibri" w:hAnsi="Calibri" w:cs="Calibri"/>
          <w:szCs w:val="18"/>
          <w:lang w:val="en-US"/>
        </w:rPr>
      </w:pPr>
      <w:r w:rsidRPr="005734B8">
        <w:rPr>
          <w:rFonts w:ascii="Calibri" w:hAnsi="Calibri" w:cs="Calibri"/>
          <w:szCs w:val="18"/>
          <w:lang w:val="en-US"/>
        </w:rPr>
        <w:t>a statement of changes in equity for the period</w:t>
      </w:r>
    </w:p>
    <w:p w14:paraId="464A181F" w14:textId="77777777" w:rsidR="00F1540A" w:rsidRPr="005734B8" w:rsidRDefault="00F1540A" w:rsidP="00F1540A">
      <w:pPr>
        <w:numPr>
          <w:ilvl w:val="0"/>
          <w:numId w:val="18"/>
        </w:numPr>
        <w:rPr>
          <w:rFonts w:ascii="Calibri" w:hAnsi="Calibri" w:cs="Calibri"/>
          <w:szCs w:val="18"/>
          <w:lang w:val="en-US"/>
        </w:rPr>
      </w:pPr>
      <w:r w:rsidRPr="005734B8">
        <w:rPr>
          <w:rFonts w:ascii="Calibri" w:hAnsi="Calibri" w:cs="Calibri"/>
          <w:szCs w:val="18"/>
          <w:lang w:val="en-US"/>
        </w:rPr>
        <w:t>a statement of cash flows for the period</w:t>
      </w:r>
    </w:p>
    <w:p w14:paraId="238C3DD9" w14:textId="77777777" w:rsidR="00F1540A" w:rsidRPr="005734B8" w:rsidRDefault="00F1540A" w:rsidP="00F1540A">
      <w:pPr>
        <w:numPr>
          <w:ilvl w:val="0"/>
          <w:numId w:val="18"/>
        </w:numPr>
        <w:rPr>
          <w:rFonts w:ascii="Calibri" w:hAnsi="Calibri" w:cs="Calibri"/>
          <w:szCs w:val="18"/>
          <w:lang w:val="en-US"/>
        </w:rPr>
      </w:pPr>
      <w:r w:rsidRPr="005734B8">
        <w:rPr>
          <w:rFonts w:ascii="Calibri" w:hAnsi="Calibri" w:cs="Calibri"/>
          <w:szCs w:val="18"/>
          <w:lang w:val="en-US"/>
        </w:rPr>
        <w:t>notes, comprising a summary of significant accounting policies and other explanatory information</w:t>
      </w:r>
    </w:p>
    <w:p w14:paraId="562D667A" w14:textId="77777777" w:rsidR="00F1540A" w:rsidRPr="005734B8" w:rsidRDefault="00F1540A" w:rsidP="00F1540A">
      <w:pPr>
        <w:numPr>
          <w:ilvl w:val="0"/>
          <w:numId w:val="18"/>
        </w:numPr>
        <w:rPr>
          <w:rFonts w:ascii="Calibri" w:hAnsi="Calibri" w:cs="Calibri"/>
          <w:szCs w:val="18"/>
          <w:lang w:val="en-US"/>
        </w:rPr>
      </w:pPr>
      <w:r w:rsidRPr="005734B8">
        <w:rPr>
          <w:rFonts w:ascii="Calibri" w:hAnsi="Calibri" w:cs="Calibri"/>
          <w:szCs w:val="18"/>
          <w:lang w:val="en-US"/>
        </w:rPr>
        <w:t>comparative information in respect of the preceding period as specified in paragraphs 38 of AASB 101 Presentation of Financial Statements</w:t>
      </w:r>
    </w:p>
    <w:p w14:paraId="26C13C73" w14:textId="34D14B76" w:rsidR="00F1540A" w:rsidRPr="005734B8" w:rsidRDefault="00F1540A" w:rsidP="00F1540A">
      <w:pPr>
        <w:numPr>
          <w:ilvl w:val="0"/>
          <w:numId w:val="18"/>
        </w:numPr>
        <w:rPr>
          <w:rFonts w:ascii="Calibri" w:hAnsi="Calibri" w:cs="Calibri"/>
          <w:szCs w:val="18"/>
          <w:lang w:val="en-US"/>
        </w:rPr>
      </w:pPr>
      <w:r w:rsidRPr="005734B8">
        <w:rPr>
          <w:rFonts w:ascii="Calibri" w:hAnsi="Calibri" w:cs="Calibri"/>
          <w:szCs w:val="18"/>
          <w:lang w:val="en-US"/>
        </w:rPr>
        <w:t>a statement of financial position as at the beginning of the preceding period when an entity applies an accounting policy retrospectively or makes a retrospective re</w:t>
      </w:r>
      <w:r w:rsidR="00341871" w:rsidRPr="005734B8">
        <w:rPr>
          <w:rFonts w:ascii="Calibri" w:hAnsi="Calibri" w:cs="Calibri"/>
          <w:szCs w:val="18"/>
          <w:lang w:val="en-US"/>
        </w:rPr>
        <w:noBreakHyphen/>
      </w:r>
      <w:r w:rsidRPr="005734B8">
        <w:rPr>
          <w:rFonts w:ascii="Calibri" w:hAnsi="Calibri" w:cs="Calibri"/>
          <w:szCs w:val="18"/>
          <w:lang w:val="en-US"/>
        </w:rPr>
        <w:t>statement of items in its financial statements, or when it reclassifies items in its financial statements in accordance with paragraph 41 of AASB 101.</w:t>
      </w:r>
    </w:p>
    <w:p w14:paraId="5E38D15B"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59" w:name="_Toc11336481"/>
      <w:bookmarkStart w:id="1960" w:name="_Toc14965707"/>
      <w:r w:rsidRPr="005734B8">
        <w:rPr>
          <w:rFonts w:ascii="Calibri" w:hAnsi="Calibri" w:cs="Calibri"/>
          <w:b/>
          <w:color w:val="53565A"/>
          <w:szCs w:val="18"/>
          <w:lang w:val="en-US"/>
        </w:rPr>
        <w:t>Functional obsolescence</w:t>
      </w:r>
      <w:bookmarkEnd w:id="1959"/>
      <w:bookmarkEnd w:id="1960"/>
    </w:p>
    <w:p w14:paraId="44C47822" w14:textId="51A673A8" w:rsidR="00F1540A" w:rsidRPr="005734B8" w:rsidRDefault="006D29DF" w:rsidP="00F1540A">
      <w:pPr>
        <w:rPr>
          <w:rFonts w:ascii="Calibri" w:eastAsia="Arial" w:hAnsi="Calibri" w:cs="Calibri"/>
        </w:rPr>
      </w:pPr>
      <w:r w:rsidRPr="005734B8">
        <w:rPr>
          <w:rFonts w:ascii="Calibri" w:eastAsia="Arial" w:hAnsi="Calibri" w:cs="Calibri"/>
        </w:rPr>
        <w:t>A</w:t>
      </w:r>
      <w:r w:rsidR="00F1540A" w:rsidRPr="005734B8">
        <w:rPr>
          <w:rFonts w:ascii="Calibri" w:eastAsia="Arial" w:hAnsi="Calibri" w:cs="Calibri"/>
        </w:rPr>
        <w:t xml:space="preserve"> reduction or loss of an asset value due to a reduction in the usefulness or desirability of an asset because of its inability either to be upgraded or modified to serve the user’s current needs or outdated functional capabilities.</w:t>
      </w:r>
    </w:p>
    <w:p w14:paraId="404195A8"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61" w:name="_Toc11336482"/>
      <w:bookmarkStart w:id="1962" w:name="_Toc14965708"/>
      <w:r w:rsidRPr="005734B8">
        <w:rPr>
          <w:rFonts w:ascii="Calibri" w:hAnsi="Calibri" w:cs="Calibri"/>
          <w:b/>
          <w:color w:val="53565A"/>
          <w:szCs w:val="18"/>
          <w:lang w:val="en-US"/>
        </w:rPr>
        <w:t>Grants and other transfers</w:t>
      </w:r>
      <w:bookmarkEnd w:id="1961"/>
      <w:bookmarkEnd w:id="1962"/>
    </w:p>
    <w:p w14:paraId="2F1717B0" w14:textId="3EBA4DD2" w:rsidR="00F1540A" w:rsidRPr="005734B8" w:rsidRDefault="00F1540A" w:rsidP="00F1540A">
      <w:pPr>
        <w:rPr>
          <w:rFonts w:ascii="Calibri" w:eastAsia="Arial" w:hAnsi="Calibri" w:cs="Calibri"/>
        </w:rPr>
      </w:pPr>
      <w:r w:rsidRPr="005734B8">
        <w:rPr>
          <w:rFonts w:ascii="Calibri" w:eastAsia="Arial" w:hAnsi="Calibri" w:cs="Calibri"/>
        </w:rPr>
        <w:t>Transactions in which one unit provides goods, services, assets (or extinguishes a liability) or labour to another unit without receiving approximately equal value in return. Grants can be either operating or capital in nature.</w:t>
      </w:r>
    </w:p>
    <w:p w14:paraId="23F4839F" w14:textId="77777777" w:rsidR="00F1540A" w:rsidRPr="005734B8" w:rsidRDefault="00F1540A" w:rsidP="00F1540A">
      <w:pPr>
        <w:rPr>
          <w:rFonts w:ascii="Calibri" w:eastAsia="Arial" w:hAnsi="Calibri" w:cs="Calibri"/>
        </w:rPr>
      </w:pPr>
    </w:p>
    <w:p w14:paraId="766A2594" w14:textId="5ADCF02A" w:rsidR="00F1540A" w:rsidRPr="005734B8" w:rsidRDefault="00341871" w:rsidP="00F1540A">
      <w:pPr>
        <w:rPr>
          <w:rFonts w:ascii="Calibri" w:eastAsia="Arial" w:hAnsi="Calibri" w:cs="Calibri"/>
        </w:rPr>
      </w:pPr>
      <w:r w:rsidRPr="005734B8">
        <w:rPr>
          <w:rFonts w:ascii="Calibri" w:eastAsia="Arial" w:hAnsi="Calibri" w:cs="Calibri"/>
        </w:rPr>
        <w:t>Although</w:t>
      </w:r>
      <w:r w:rsidR="00F1540A" w:rsidRPr="005734B8">
        <w:rPr>
          <w:rFonts w:ascii="Calibri" w:eastAsia="Arial" w:hAnsi="Calibri" w:cs="Calibri"/>
        </w:rPr>
        <w:t xml:space="preserv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w:t>
      </w:r>
    </w:p>
    <w:p w14:paraId="61308F28" w14:textId="77777777" w:rsidR="00F1540A" w:rsidRPr="005734B8" w:rsidRDefault="00F1540A" w:rsidP="00F1540A">
      <w:pPr>
        <w:rPr>
          <w:rFonts w:ascii="Calibri" w:eastAsia="Arial" w:hAnsi="Calibri" w:cs="Calibri"/>
        </w:rPr>
      </w:pPr>
    </w:p>
    <w:p w14:paraId="1EF0DD0E" w14:textId="49A05972" w:rsidR="00F1540A" w:rsidRPr="005734B8" w:rsidRDefault="00F1540A" w:rsidP="00F1540A">
      <w:pPr>
        <w:rPr>
          <w:rFonts w:ascii="Calibri" w:eastAsia="Arial" w:hAnsi="Calibri" w:cs="Calibri"/>
        </w:rPr>
      </w:pPr>
      <w:r w:rsidRPr="005734B8">
        <w:rPr>
          <w:rFonts w:ascii="Calibri" w:eastAsia="Arial" w:hAnsi="Calibri" w:cs="Calibri"/>
        </w:rPr>
        <w:t>Grants can be paid as general purpose grants</w:t>
      </w:r>
      <w:r w:rsidR="00341871" w:rsidRPr="005734B8">
        <w:rPr>
          <w:rFonts w:ascii="Calibri" w:eastAsia="Arial" w:hAnsi="Calibri" w:cs="Calibri"/>
        </w:rPr>
        <w:t>,</w:t>
      </w:r>
      <w:r w:rsidRPr="005734B8">
        <w:rPr>
          <w:rFonts w:ascii="Calibri" w:eastAsia="Arial" w:hAnsi="Calibri" w:cs="Calibri"/>
        </w:rPr>
        <w:t xml:space="preserve"> which are not subject to conditions regarding their use. Alternatively, they may be paid as specific purpose grants</w:t>
      </w:r>
      <w:r w:rsidR="00341871" w:rsidRPr="005734B8">
        <w:rPr>
          <w:rFonts w:ascii="Calibri" w:eastAsia="Arial" w:hAnsi="Calibri" w:cs="Calibri"/>
        </w:rPr>
        <w:t>,</w:t>
      </w:r>
      <w:r w:rsidRPr="005734B8">
        <w:rPr>
          <w:rFonts w:ascii="Calibri" w:eastAsia="Arial" w:hAnsi="Calibri" w:cs="Calibri"/>
        </w:rPr>
        <w:t xml:space="preserve"> which are paid for a particular purpose and/or have conditions attached regarding their use.</w:t>
      </w:r>
    </w:p>
    <w:p w14:paraId="195D2EAA"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63" w:name="_Toc11336483"/>
      <w:bookmarkStart w:id="1964" w:name="_Toc14965709"/>
      <w:r w:rsidRPr="005734B8">
        <w:rPr>
          <w:rFonts w:ascii="Calibri" w:hAnsi="Calibri" w:cs="Calibri"/>
          <w:b/>
          <w:color w:val="53565A"/>
          <w:szCs w:val="18"/>
          <w:lang w:val="en-US"/>
        </w:rPr>
        <w:t>General government sector</w:t>
      </w:r>
      <w:bookmarkEnd w:id="1963"/>
      <w:bookmarkEnd w:id="1964"/>
    </w:p>
    <w:p w14:paraId="26D3FBA9" w14:textId="1A48ED90" w:rsidR="00F1540A" w:rsidRPr="005734B8" w:rsidRDefault="006D29DF" w:rsidP="00F1540A">
      <w:pPr>
        <w:rPr>
          <w:rFonts w:ascii="Calibri" w:eastAsia="Arial" w:hAnsi="Calibri" w:cs="Calibri"/>
        </w:rPr>
      </w:pPr>
      <w:r w:rsidRPr="005734B8">
        <w:rPr>
          <w:rFonts w:ascii="Calibri" w:eastAsia="Arial" w:hAnsi="Calibri" w:cs="Calibri"/>
        </w:rPr>
        <w:t>C</w:t>
      </w:r>
      <w:r w:rsidR="00F1540A" w:rsidRPr="005734B8">
        <w:rPr>
          <w:rFonts w:ascii="Calibri" w:eastAsia="Arial" w:hAnsi="Calibri" w:cs="Calibri"/>
        </w:rPr>
        <w:t xml:space="preserve">omprises all government departments, offices and other bodies engaged in providing services free of charge or at prices significantly below their cost of production. General government services include those </w:t>
      </w:r>
      <w:r w:rsidR="00341871" w:rsidRPr="005734B8">
        <w:rPr>
          <w:rFonts w:ascii="Calibri" w:eastAsia="Arial" w:hAnsi="Calibri" w:cs="Calibri"/>
        </w:rPr>
        <w:t>that</w:t>
      </w:r>
      <w:r w:rsidR="00F1540A" w:rsidRPr="005734B8">
        <w:rPr>
          <w:rFonts w:ascii="Calibri" w:eastAsia="Arial" w:hAnsi="Calibri" w:cs="Calibri"/>
        </w:rPr>
        <w:t xml:space="preserve"> are mainly non</w:t>
      </w:r>
      <w:r w:rsidR="00341871" w:rsidRPr="005734B8">
        <w:rPr>
          <w:rFonts w:ascii="Calibri" w:eastAsia="Arial" w:hAnsi="Calibri" w:cs="Calibri"/>
        </w:rPr>
        <w:noBreakHyphen/>
      </w:r>
      <w:r w:rsidR="00F1540A" w:rsidRPr="005734B8">
        <w:rPr>
          <w:rFonts w:ascii="Calibri" w:eastAsia="Arial" w:hAnsi="Calibri" w:cs="Calibri"/>
        </w:rPr>
        <w:t xml:space="preserve">market in nature, those </w:t>
      </w:r>
      <w:r w:rsidR="00341871" w:rsidRPr="005734B8">
        <w:rPr>
          <w:rFonts w:ascii="Calibri" w:eastAsia="Arial" w:hAnsi="Calibri" w:cs="Calibri"/>
        </w:rPr>
        <w:t>that</w:t>
      </w:r>
      <w:r w:rsidR="00F1540A" w:rsidRPr="005734B8">
        <w:rPr>
          <w:rFonts w:ascii="Calibri" w:eastAsia="Arial" w:hAnsi="Calibri" w:cs="Calibri"/>
        </w:rPr>
        <w:t xml:space="preserve"> are largely for collective consumption by the community</w:t>
      </w:r>
      <w:r w:rsidR="00341871" w:rsidRPr="005734B8">
        <w:rPr>
          <w:rFonts w:ascii="Calibri" w:eastAsia="Arial" w:hAnsi="Calibri" w:cs="Calibri"/>
        </w:rPr>
        <w:t>,</w:t>
      </w:r>
      <w:r w:rsidR="00F1540A" w:rsidRPr="005734B8">
        <w:rPr>
          <w:rFonts w:ascii="Calibri" w:eastAsia="Arial" w:hAnsi="Calibri" w:cs="Calibri"/>
        </w:rPr>
        <w:t xml:space="preserve"> and those </w:t>
      </w:r>
      <w:r w:rsidR="00341871" w:rsidRPr="005734B8">
        <w:rPr>
          <w:rFonts w:ascii="Calibri" w:eastAsia="Arial" w:hAnsi="Calibri" w:cs="Calibri"/>
        </w:rPr>
        <w:t>that</w:t>
      </w:r>
      <w:r w:rsidR="00F1540A" w:rsidRPr="005734B8">
        <w:rPr>
          <w:rFonts w:ascii="Calibri" w:eastAsia="Arial" w:hAnsi="Calibri" w:cs="Calibri"/>
        </w:rPr>
        <w:t xml:space="preserve"> involve the transfer or redistribution of income. These services are financed mainly through taxes, or other compulsory levies and user charges.</w:t>
      </w:r>
    </w:p>
    <w:p w14:paraId="2D6A5C4F" w14:textId="77777777" w:rsidR="00F1540A" w:rsidRPr="005734B8" w:rsidRDefault="00F1540A" w:rsidP="00F1540A">
      <w:pPr>
        <w:rPr>
          <w:rFonts w:ascii="Calibri" w:hAnsi="Calibri" w:cs="Calibri"/>
          <w:b/>
          <w:color w:val="53565A"/>
          <w:szCs w:val="18"/>
          <w:lang w:val="en-US"/>
        </w:rPr>
      </w:pPr>
      <w:bookmarkStart w:id="1965" w:name="_Toc11336484"/>
      <w:bookmarkStart w:id="1966" w:name="_Toc14965710"/>
      <w:r w:rsidRPr="005734B8">
        <w:rPr>
          <w:rFonts w:ascii="Calibri" w:hAnsi="Calibri" w:cs="Calibri"/>
          <w:b/>
          <w:color w:val="53565A"/>
          <w:szCs w:val="18"/>
          <w:lang w:val="en-US"/>
        </w:rPr>
        <w:br w:type="page"/>
      </w:r>
    </w:p>
    <w:p w14:paraId="64641B56" w14:textId="77777777" w:rsidR="00F1540A" w:rsidRPr="005734B8" w:rsidRDefault="00F1540A" w:rsidP="00F1540A">
      <w:pPr>
        <w:spacing w:before="240" w:after="120" w:line="240" w:lineRule="atLeast"/>
        <w:outlineLvl w:val="2"/>
        <w:rPr>
          <w:rFonts w:ascii="Calibri" w:hAnsi="Calibri" w:cs="Calibri"/>
          <w:b/>
          <w:color w:val="53565A"/>
          <w:szCs w:val="18"/>
          <w:lang w:val="en-US"/>
        </w:rPr>
      </w:pPr>
      <w:r w:rsidRPr="005734B8">
        <w:rPr>
          <w:rFonts w:ascii="Calibri" w:hAnsi="Calibri" w:cs="Calibri"/>
          <w:b/>
          <w:color w:val="53565A"/>
          <w:szCs w:val="18"/>
          <w:lang w:val="en-US"/>
        </w:rPr>
        <w:lastRenderedPageBreak/>
        <w:t>Grants for on-passing</w:t>
      </w:r>
      <w:bookmarkEnd w:id="1965"/>
      <w:bookmarkEnd w:id="1966"/>
    </w:p>
    <w:p w14:paraId="6F79ADDF" w14:textId="77777777" w:rsidR="00F1540A" w:rsidRPr="005734B8" w:rsidRDefault="00F1540A" w:rsidP="00F1540A">
      <w:pPr>
        <w:rPr>
          <w:rFonts w:ascii="Calibri" w:eastAsia="Arial" w:hAnsi="Calibri" w:cs="Calibri"/>
        </w:rPr>
      </w:pPr>
      <w:r w:rsidRPr="005734B8">
        <w:rPr>
          <w:rFonts w:ascii="Calibri" w:eastAsia="Arial" w:hAnsi="Calibri" w:cs="Calibri"/>
        </w:rPr>
        <w:t>All grants paid to one institutional sector (for example, a State general government entity) to be passed on to another institutional sector (for example, local government or a private non-profit institution).</w:t>
      </w:r>
    </w:p>
    <w:p w14:paraId="2A1038FA"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67" w:name="_Toc11336485"/>
      <w:bookmarkStart w:id="1968" w:name="_Toc14965711"/>
      <w:r w:rsidRPr="005734B8">
        <w:rPr>
          <w:rFonts w:ascii="Calibri" w:hAnsi="Calibri" w:cs="Calibri"/>
          <w:b/>
          <w:color w:val="53565A"/>
          <w:szCs w:val="18"/>
          <w:lang w:val="en-US"/>
        </w:rPr>
        <w:t>Intangible produced assets</w:t>
      </w:r>
      <w:bookmarkEnd w:id="1967"/>
      <w:bookmarkEnd w:id="1968"/>
    </w:p>
    <w:p w14:paraId="4B669720" w14:textId="77777777" w:rsidR="00F1540A" w:rsidRPr="005734B8" w:rsidRDefault="00F1540A" w:rsidP="00F1540A">
      <w:pPr>
        <w:rPr>
          <w:rFonts w:ascii="Calibri" w:eastAsia="Arial" w:hAnsi="Calibri" w:cs="Calibri"/>
        </w:rPr>
      </w:pPr>
      <w:r w:rsidRPr="005734B8">
        <w:rPr>
          <w:rFonts w:ascii="Calibri" w:eastAsia="Arial" w:hAnsi="Calibri" w:cs="Calibri"/>
        </w:rPr>
        <w:t>See produced assets in this glossary.</w:t>
      </w:r>
    </w:p>
    <w:p w14:paraId="39C08B54"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69" w:name="_Toc11336486"/>
      <w:bookmarkStart w:id="1970" w:name="_Toc14965712"/>
      <w:r w:rsidRPr="005734B8">
        <w:rPr>
          <w:rFonts w:ascii="Calibri" w:hAnsi="Calibri" w:cs="Calibri"/>
          <w:b/>
          <w:color w:val="53565A"/>
          <w:szCs w:val="18"/>
          <w:lang w:val="en-US"/>
        </w:rPr>
        <w:t>Intangible non-produced assets</w:t>
      </w:r>
      <w:bookmarkEnd w:id="1969"/>
      <w:bookmarkEnd w:id="1970"/>
    </w:p>
    <w:p w14:paraId="2AADF427" w14:textId="77777777" w:rsidR="00F1540A" w:rsidRPr="005734B8" w:rsidRDefault="00F1540A" w:rsidP="00F1540A">
      <w:pPr>
        <w:rPr>
          <w:rFonts w:ascii="Calibri" w:eastAsia="Arial" w:hAnsi="Calibri" w:cs="Calibri"/>
        </w:rPr>
      </w:pPr>
      <w:r w:rsidRPr="005734B8">
        <w:rPr>
          <w:rFonts w:ascii="Calibri" w:eastAsia="Arial" w:hAnsi="Calibri" w:cs="Calibri"/>
        </w:rPr>
        <w:t>See non-produced assets in this glossary.</w:t>
      </w:r>
    </w:p>
    <w:p w14:paraId="6E7C3F73"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71" w:name="_Toc11336487"/>
      <w:bookmarkStart w:id="1972" w:name="_Toc14965713"/>
      <w:r w:rsidRPr="005734B8">
        <w:rPr>
          <w:rFonts w:ascii="Calibri" w:hAnsi="Calibri" w:cs="Calibri"/>
          <w:b/>
          <w:color w:val="53565A"/>
          <w:szCs w:val="18"/>
          <w:lang w:val="en-US"/>
        </w:rPr>
        <w:t>Interest expense</w:t>
      </w:r>
      <w:bookmarkEnd w:id="1971"/>
      <w:bookmarkEnd w:id="1972"/>
    </w:p>
    <w:p w14:paraId="2F9B2354" w14:textId="4D40BED2" w:rsidR="00F1540A" w:rsidRPr="005734B8" w:rsidRDefault="00F7207D" w:rsidP="00F1540A">
      <w:pPr>
        <w:rPr>
          <w:rFonts w:ascii="Calibri" w:eastAsia="Arial" w:hAnsi="Calibri" w:cs="Calibri"/>
        </w:rPr>
      </w:pPr>
      <w:r w:rsidRPr="005734B8">
        <w:rPr>
          <w:rFonts w:ascii="Calibri" w:eastAsia="Arial" w:hAnsi="Calibri" w:cs="Calibri"/>
        </w:rPr>
        <w:t>R</w:t>
      </w:r>
      <w:r w:rsidR="00F1540A" w:rsidRPr="005734B8">
        <w:rPr>
          <w:rFonts w:ascii="Calibri" w:eastAsia="Arial" w:hAnsi="Calibri" w:cs="Calibri"/>
        </w:rPr>
        <w:t>epresents costs incurred in connection with borrowings. It includes interest on advances, loans, overdrafts, bonds and bills, deposits, interest components of finance lease repayments, and amortisation of discounts or premiums in relation to borrowings.</w:t>
      </w:r>
    </w:p>
    <w:p w14:paraId="6DA70D6D"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73" w:name="_Toc11336488"/>
      <w:bookmarkStart w:id="1974" w:name="_Toc14965714"/>
      <w:r w:rsidRPr="005734B8">
        <w:rPr>
          <w:rFonts w:ascii="Calibri" w:hAnsi="Calibri" w:cs="Calibri"/>
          <w:b/>
          <w:color w:val="53565A"/>
          <w:szCs w:val="18"/>
          <w:lang w:val="en-US"/>
        </w:rPr>
        <w:t>Interest income</w:t>
      </w:r>
      <w:bookmarkEnd w:id="1973"/>
      <w:bookmarkEnd w:id="1974"/>
    </w:p>
    <w:p w14:paraId="3CBB0C7A" w14:textId="49F28130" w:rsidR="00F1540A" w:rsidRPr="005734B8" w:rsidRDefault="00F1540A" w:rsidP="00F1540A">
      <w:pPr>
        <w:rPr>
          <w:rFonts w:ascii="Calibri" w:eastAsia="Arial" w:hAnsi="Calibri" w:cs="Calibri"/>
        </w:rPr>
      </w:pPr>
      <w:r w:rsidRPr="005734B8">
        <w:rPr>
          <w:rFonts w:ascii="Calibri" w:eastAsia="Arial" w:hAnsi="Calibri" w:cs="Calibri"/>
        </w:rPr>
        <w:t>I</w:t>
      </w:r>
      <w:r w:rsidR="00F7207D" w:rsidRPr="005734B8">
        <w:rPr>
          <w:rFonts w:ascii="Calibri" w:eastAsia="Arial" w:hAnsi="Calibri" w:cs="Calibri"/>
        </w:rPr>
        <w:t>n</w:t>
      </w:r>
      <w:r w:rsidRPr="005734B8">
        <w:rPr>
          <w:rFonts w:ascii="Calibri" w:eastAsia="Arial" w:hAnsi="Calibri" w:cs="Calibri"/>
        </w:rPr>
        <w:t>cludes unwinding over time of discounts on financial assets and interest received on bank term deposits and other investments.</w:t>
      </w:r>
    </w:p>
    <w:p w14:paraId="6EDA8427"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75" w:name="_Toc11336489"/>
      <w:bookmarkStart w:id="1976" w:name="_Toc14965715"/>
      <w:r w:rsidRPr="005734B8">
        <w:rPr>
          <w:rFonts w:ascii="Calibri" w:hAnsi="Calibri" w:cs="Calibri"/>
          <w:b/>
          <w:color w:val="53565A"/>
          <w:szCs w:val="18"/>
          <w:lang w:val="en-US"/>
        </w:rPr>
        <w:t>Lease</w:t>
      </w:r>
      <w:bookmarkEnd w:id="1975"/>
      <w:bookmarkEnd w:id="1976"/>
    </w:p>
    <w:p w14:paraId="500CB238" w14:textId="6C56C3EF" w:rsidR="00F1540A" w:rsidRPr="005734B8" w:rsidRDefault="00F7207D" w:rsidP="00F1540A">
      <w:pPr>
        <w:rPr>
          <w:rFonts w:ascii="Calibri" w:eastAsia="Arial" w:hAnsi="Calibri" w:cs="Calibri"/>
        </w:rPr>
      </w:pPr>
      <w:r w:rsidRPr="005734B8">
        <w:rPr>
          <w:rFonts w:ascii="Calibri" w:eastAsia="Arial" w:hAnsi="Calibri" w:cs="Calibri"/>
        </w:rPr>
        <w:t>R</w:t>
      </w:r>
      <w:r w:rsidR="00F1540A" w:rsidRPr="005734B8">
        <w:rPr>
          <w:rFonts w:ascii="Calibri" w:eastAsia="Arial" w:hAnsi="Calibri" w:cs="Calibri"/>
        </w:rPr>
        <w:t>ights conveyed in a contract, or part of a contract</w:t>
      </w:r>
      <w:r w:rsidRPr="005734B8">
        <w:rPr>
          <w:rFonts w:ascii="Calibri" w:eastAsia="Arial" w:hAnsi="Calibri" w:cs="Calibri"/>
        </w:rPr>
        <w:t xml:space="preserve"> for</w:t>
      </w:r>
      <w:r w:rsidR="00F1540A" w:rsidRPr="005734B8">
        <w:rPr>
          <w:rFonts w:ascii="Calibri" w:eastAsia="Arial" w:hAnsi="Calibri" w:cs="Calibri"/>
        </w:rPr>
        <w:t xml:space="preserve"> the right</w:t>
      </w:r>
      <w:r w:rsidR="00341871" w:rsidRPr="005734B8">
        <w:rPr>
          <w:rFonts w:ascii="Calibri" w:eastAsia="Arial" w:hAnsi="Calibri" w:cs="Calibri"/>
        </w:rPr>
        <w:noBreakHyphen/>
      </w:r>
      <w:r w:rsidR="00F1540A" w:rsidRPr="005734B8">
        <w:rPr>
          <w:rFonts w:ascii="Calibri" w:eastAsia="Arial" w:hAnsi="Calibri" w:cs="Calibri"/>
        </w:rPr>
        <w:t>to</w:t>
      </w:r>
      <w:r w:rsidR="00341871" w:rsidRPr="005734B8">
        <w:rPr>
          <w:rFonts w:ascii="Calibri" w:eastAsia="Arial" w:hAnsi="Calibri" w:cs="Calibri"/>
        </w:rPr>
        <w:noBreakHyphen/>
      </w:r>
      <w:r w:rsidR="00F1540A" w:rsidRPr="005734B8">
        <w:rPr>
          <w:rFonts w:ascii="Calibri" w:eastAsia="Arial" w:hAnsi="Calibri" w:cs="Calibri"/>
        </w:rPr>
        <w:t>use an asset (the underlying asset) for a period of time in exchange for consideration.</w:t>
      </w:r>
    </w:p>
    <w:p w14:paraId="121DF779"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77" w:name="_Toc11336490"/>
      <w:bookmarkStart w:id="1978" w:name="_Toc14965716"/>
      <w:r w:rsidRPr="005734B8">
        <w:rPr>
          <w:rFonts w:ascii="Calibri" w:hAnsi="Calibri" w:cs="Calibri"/>
          <w:b/>
          <w:color w:val="53565A"/>
          <w:szCs w:val="18"/>
          <w:lang w:val="en-US"/>
        </w:rPr>
        <w:t>Net result</w:t>
      </w:r>
      <w:bookmarkEnd w:id="1977"/>
      <w:bookmarkEnd w:id="1978"/>
    </w:p>
    <w:p w14:paraId="22AB8A5E" w14:textId="6B4A2341" w:rsidR="00F1540A" w:rsidRPr="005734B8" w:rsidRDefault="00F7207D" w:rsidP="00F1540A">
      <w:pPr>
        <w:rPr>
          <w:rFonts w:ascii="Calibri" w:eastAsia="Arial" w:hAnsi="Calibri" w:cs="Calibri"/>
        </w:rPr>
      </w:pPr>
      <w:r w:rsidRPr="005734B8">
        <w:rPr>
          <w:rFonts w:ascii="Calibri" w:eastAsia="Arial" w:hAnsi="Calibri" w:cs="Calibri"/>
        </w:rPr>
        <w:t>A</w:t>
      </w:r>
      <w:r w:rsidR="00F1540A" w:rsidRPr="005734B8">
        <w:rPr>
          <w:rFonts w:ascii="Calibri" w:eastAsia="Arial" w:hAnsi="Calibri" w:cs="Calibri"/>
        </w:rPr>
        <w:t xml:space="preserve"> measure of financial performance of the operations for the period. It is the net result of items of income, gains and expenses (including losses) recognised for the period, excluding those that are classified as other </w:t>
      </w:r>
      <w:r w:rsidR="00341871" w:rsidRPr="005734B8">
        <w:rPr>
          <w:rFonts w:ascii="Calibri" w:eastAsia="Arial" w:hAnsi="Calibri" w:cs="Calibri"/>
        </w:rPr>
        <w:t>‘</w:t>
      </w:r>
      <w:r w:rsidR="00F1540A" w:rsidRPr="005734B8">
        <w:rPr>
          <w:rFonts w:ascii="Calibri" w:eastAsia="Arial" w:hAnsi="Calibri" w:cs="Calibri"/>
        </w:rPr>
        <w:t>economic flows—other comprehensive income</w:t>
      </w:r>
      <w:r w:rsidR="00341871" w:rsidRPr="005734B8">
        <w:rPr>
          <w:rFonts w:ascii="Calibri" w:eastAsia="Arial" w:hAnsi="Calibri" w:cs="Calibri"/>
        </w:rPr>
        <w:t>’</w:t>
      </w:r>
      <w:r w:rsidR="00F1540A" w:rsidRPr="005734B8">
        <w:rPr>
          <w:rFonts w:ascii="Calibri" w:eastAsia="Arial" w:hAnsi="Calibri" w:cs="Calibri"/>
        </w:rPr>
        <w:t>.</w:t>
      </w:r>
    </w:p>
    <w:p w14:paraId="29E7EE79"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79" w:name="_Toc11336491"/>
      <w:bookmarkStart w:id="1980" w:name="_Toc14965717"/>
      <w:r w:rsidRPr="005734B8">
        <w:rPr>
          <w:rFonts w:ascii="Calibri" w:hAnsi="Calibri" w:cs="Calibri"/>
          <w:b/>
          <w:color w:val="53565A"/>
          <w:szCs w:val="18"/>
          <w:lang w:val="en-US"/>
        </w:rPr>
        <w:t>Net result from transactions/net operating balance</w:t>
      </w:r>
      <w:bookmarkEnd w:id="1979"/>
      <w:bookmarkEnd w:id="1980"/>
    </w:p>
    <w:p w14:paraId="41B465E2" w14:textId="5BFEF122" w:rsidR="00F1540A" w:rsidRPr="005734B8" w:rsidRDefault="00F7207D" w:rsidP="00F1540A">
      <w:pPr>
        <w:rPr>
          <w:rFonts w:ascii="Calibri" w:eastAsia="Arial" w:hAnsi="Calibri" w:cs="Calibri"/>
        </w:rPr>
      </w:pPr>
      <w:r w:rsidRPr="005734B8">
        <w:rPr>
          <w:rFonts w:ascii="Calibri" w:eastAsia="Arial" w:hAnsi="Calibri" w:cs="Calibri"/>
        </w:rPr>
        <w:t>A</w:t>
      </w:r>
      <w:r w:rsidR="00F1540A" w:rsidRPr="005734B8">
        <w:rPr>
          <w:rFonts w:ascii="Calibri" w:eastAsia="Arial" w:hAnsi="Calibri" w:cs="Calibri"/>
        </w:rPr>
        <w:t xml:space="preserve"> key fiscal aggregate and is income from transactions minus expenses from transactions. It is a summary measure of the ongoing sustainability of operations. It excludes gains and losses resulting from changes in price levels and other changes in the volume of assets. It is the component of the change in </w:t>
      </w:r>
      <w:r w:rsidR="008C3E5C" w:rsidRPr="005734B8">
        <w:rPr>
          <w:rFonts w:ascii="Calibri" w:eastAsia="Arial" w:hAnsi="Calibri" w:cs="Calibri"/>
        </w:rPr>
        <w:t xml:space="preserve">equity </w:t>
      </w:r>
      <w:r w:rsidR="00F1540A" w:rsidRPr="005734B8">
        <w:rPr>
          <w:rFonts w:ascii="Calibri" w:eastAsia="Arial" w:hAnsi="Calibri" w:cs="Calibri"/>
        </w:rPr>
        <w:t>that is due to transactions and can be attributed directly to government policies.</w:t>
      </w:r>
    </w:p>
    <w:p w14:paraId="66590458"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81" w:name="_Toc11336493"/>
      <w:bookmarkStart w:id="1982" w:name="_Toc14965719"/>
      <w:r w:rsidRPr="005734B8">
        <w:rPr>
          <w:rFonts w:ascii="Calibri" w:hAnsi="Calibri" w:cs="Calibri"/>
          <w:b/>
          <w:color w:val="53565A"/>
          <w:szCs w:val="18"/>
          <w:lang w:val="en-US"/>
        </w:rPr>
        <w:t>Non-financial assets</w:t>
      </w:r>
      <w:bookmarkEnd w:id="1981"/>
      <w:bookmarkEnd w:id="1982"/>
    </w:p>
    <w:p w14:paraId="00088694" w14:textId="5FBD560C" w:rsidR="00F1540A" w:rsidRPr="005734B8" w:rsidRDefault="00F7207D" w:rsidP="00F1540A">
      <w:pPr>
        <w:rPr>
          <w:rFonts w:ascii="Calibri" w:eastAsia="Arial" w:hAnsi="Calibri" w:cs="Calibri"/>
        </w:rPr>
      </w:pPr>
      <w:r w:rsidRPr="005734B8">
        <w:rPr>
          <w:rFonts w:ascii="Calibri" w:eastAsia="Arial" w:hAnsi="Calibri" w:cs="Calibri"/>
        </w:rPr>
        <w:t>A</w:t>
      </w:r>
      <w:r w:rsidR="00F1540A" w:rsidRPr="005734B8">
        <w:rPr>
          <w:rFonts w:ascii="Calibri" w:eastAsia="Arial" w:hAnsi="Calibri" w:cs="Calibri"/>
        </w:rPr>
        <w:t>ll assets that are not ‘financial assets’. These include land, buildings, plant and equipment, heritage buildings, and intangible assets.</w:t>
      </w:r>
    </w:p>
    <w:p w14:paraId="1F2029BF" w14:textId="77777777" w:rsidR="008C3E5C" w:rsidRPr="005734B8" w:rsidRDefault="008C3E5C">
      <w:pPr>
        <w:rPr>
          <w:rFonts w:ascii="Calibri" w:hAnsi="Calibri" w:cs="Calibri"/>
          <w:b/>
          <w:color w:val="53565A"/>
          <w:szCs w:val="18"/>
          <w:lang w:val="en-US"/>
        </w:rPr>
      </w:pPr>
      <w:bookmarkStart w:id="1983" w:name="_Toc11336494"/>
      <w:bookmarkStart w:id="1984" w:name="_Toc14965720"/>
      <w:r w:rsidRPr="005734B8">
        <w:rPr>
          <w:rFonts w:ascii="Calibri" w:hAnsi="Calibri" w:cs="Calibri"/>
          <w:b/>
          <w:color w:val="53565A"/>
          <w:szCs w:val="18"/>
          <w:lang w:val="en-US"/>
        </w:rPr>
        <w:br w:type="page"/>
      </w:r>
    </w:p>
    <w:p w14:paraId="621F90BD" w14:textId="0F50858D" w:rsidR="00F1540A" w:rsidRPr="005734B8" w:rsidRDefault="00F1540A" w:rsidP="00F1540A">
      <w:pPr>
        <w:spacing w:before="240" w:after="120" w:line="240" w:lineRule="atLeast"/>
        <w:outlineLvl w:val="2"/>
        <w:rPr>
          <w:rFonts w:ascii="Calibri" w:hAnsi="Calibri" w:cs="Calibri"/>
          <w:b/>
          <w:color w:val="53565A"/>
          <w:szCs w:val="18"/>
          <w:lang w:val="en-US"/>
        </w:rPr>
      </w:pPr>
      <w:r w:rsidRPr="005734B8">
        <w:rPr>
          <w:rFonts w:ascii="Calibri" w:hAnsi="Calibri" w:cs="Calibri"/>
          <w:b/>
          <w:color w:val="53565A"/>
          <w:szCs w:val="18"/>
          <w:lang w:val="en-US"/>
        </w:rPr>
        <w:lastRenderedPageBreak/>
        <w:t>Non-produced assets</w:t>
      </w:r>
      <w:bookmarkEnd w:id="1983"/>
      <w:bookmarkEnd w:id="1984"/>
    </w:p>
    <w:p w14:paraId="70008C9C" w14:textId="407D8E85" w:rsidR="00F1540A" w:rsidRPr="005734B8" w:rsidRDefault="00F7207D" w:rsidP="00F1540A">
      <w:pPr>
        <w:rPr>
          <w:rFonts w:ascii="Calibri" w:eastAsia="Arial" w:hAnsi="Calibri" w:cs="Calibri"/>
        </w:rPr>
      </w:pPr>
      <w:r w:rsidRPr="005734B8">
        <w:rPr>
          <w:rFonts w:ascii="Calibri" w:eastAsia="Arial" w:hAnsi="Calibri" w:cs="Calibri"/>
        </w:rPr>
        <w:t>A</w:t>
      </w:r>
      <w:r w:rsidR="00F1540A" w:rsidRPr="005734B8">
        <w:rPr>
          <w:rFonts w:ascii="Calibri" w:eastAsia="Arial" w:hAnsi="Calibri" w:cs="Calibri"/>
        </w:rPr>
        <w:t>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w:t>
      </w:r>
    </w:p>
    <w:p w14:paraId="601F1E01"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85" w:name="_Toc11336495"/>
      <w:bookmarkStart w:id="1986" w:name="_Toc14965721"/>
      <w:r w:rsidRPr="005734B8">
        <w:rPr>
          <w:rFonts w:ascii="Calibri" w:hAnsi="Calibri" w:cs="Calibri"/>
          <w:b/>
          <w:color w:val="53565A"/>
          <w:szCs w:val="18"/>
          <w:lang w:val="en-US"/>
        </w:rPr>
        <w:t>Operating result</w:t>
      </w:r>
      <w:bookmarkEnd w:id="1985"/>
      <w:bookmarkEnd w:id="1986"/>
    </w:p>
    <w:p w14:paraId="24CEE468" w14:textId="18C5A556" w:rsidR="00F1540A" w:rsidRPr="005734B8" w:rsidRDefault="00F7207D" w:rsidP="00F1540A">
      <w:pPr>
        <w:rPr>
          <w:rFonts w:ascii="Calibri" w:eastAsia="Arial" w:hAnsi="Calibri" w:cs="Calibri"/>
        </w:rPr>
      </w:pPr>
      <w:r w:rsidRPr="005734B8">
        <w:rPr>
          <w:rFonts w:ascii="Calibri" w:eastAsia="Arial" w:hAnsi="Calibri" w:cs="Calibri"/>
        </w:rPr>
        <w:t>A</w:t>
      </w:r>
      <w:r w:rsidR="00F1540A" w:rsidRPr="005734B8">
        <w:rPr>
          <w:rFonts w:ascii="Calibri" w:eastAsia="Arial" w:hAnsi="Calibri" w:cs="Calibri"/>
        </w:rPr>
        <w:t xml:space="preserve"> measure of financial performance of the operations for the period. It is the net result of items of revenue, gains and expenses (including losses) recognised for the period, excluding those that are classified as ‘other non-owner movements in equity’. </w:t>
      </w:r>
      <w:r w:rsidR="00341871" w:rsidRPr="005734B8">
        <w:rPr>
          <w:rFonts w:ascii="Calibri" w:eastAsia="Arial" w:hAnsi="Calibri" w:cs="Calibri"/>
        </w:rPr>
        <w:t>See</w:t>
      </w:r>
      <w:r w:rsidR="00F1540A" w:rsidRPr="005734B8">
        <w:rPr>
          <w:rFonts w:ascii="Calibri" w:eastAsia="Arial" w:hAnsi="Calibri" w:cs="Calibri"/>
        </w:rPr>
        <w:t xml:space="preserve"> also ‘net result’</w:t>
      </w:r>
      <w:r w:rsidR="00341871" w:rsidRPr="005734B8">
        <w:rPr>
          <w:rFonts w:ascii="Calibri" w:eastAsia="Arial" w:hAnsi="Calibri" w:cs="Calibri"/>
        </w:rPr>
        <w:t xml:space="preserve"> in this glossary</w:t>
      </w:r>
      <w:r w:rsidR="00F1540A" w:rsidRPr="005734B8">
        <w:rPr>
          <w:rFonts w:ascii="Calibri" w:eastAsia="Arial" w:hAnsi="Calibri" w:cs="Calibri"/>
        </w:rPr>
        <w:t>.</w:t>
      </w:r>
    </w:p>
    <w:p w14:paraId="301D2DAB"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87" w:name="_Toc11336496"/>
      <w:bookmarkStart w:id="1988" w:name="_Toc14965722"/>
      <w:r w:rsidRPr="005734B8">
        <w:rPr>
          <w:rFonts w:ascii="Calibri" w:hAnsi="Calibri" w:cs="Calibri"/>
          <w:b/>
          <w:color w:val="53565A"/>
          <w:szCs w:val="18"/>
          <w:lang w:val="en-US"/>
        </w:rPr>
        <w:t>Other economic flows included in net result</w:t>
      </w:r>
      <w:bookmarkEnd w:id="1987"/>
      <w:bookmarkEnd w:id="1988"/>
    </w:p>
    <w:p w14:paraId="6A6DC253" w14:textId="5B663DDF" w:rsidR="00F1540A" w:rsidRPr="005734B8" w:rsidRDefault="00F7207D" w:rsidP="00F1540A">
      <w:pPr>
        <w:rPr>
          <w:rFonts w:ascii="Calibri" w:eastAsia="Arial" w:hAnsi="Calibri" w:cs="Calibri"/>
        </w:rPr>
      </w:pPr>
      <w:r w:rsidRPr="005734B8">
        <w:rPr>
          <w:rFonts w:ascii="Calibri" w:eastAsia="Arial" w:hAnsi="Calibri" w:cs="Calibri"/>
        </w:rPr>
        <w:t xml:space="preserve">Included in the </w:t>
      </w:r>
      <w:r w:rsidR="00F1540A" w:rsidRPr="005734B8">
        <w:rPr>
          <w:rFonts w:ascii="Calibri" w:eastAsia="Arial" w:hAnsi="Calibri" w:cs="Calibri"/>
        </w:rPr>
        <w:t xml:space="preserve">net result </w:t>
      </w:r>
      <w:r w:rsidRPr="005734B8">
        <w:rPr>
          <w:rFonts w:ascii="Calibri" w:eastAsia="Arial" w:hAnsi="Calibri" w:cs="Calibri"/>
        </w:rPr>
        <w:t xml:space="preserve">that </w:t>
      </w:r>
      <w:r w:rsidR="00F1540A" w:rsidRPr="005734B8">
        <w:rPr>
          <w:rFonts w:ascii="Calibri" w:eastAsia="Arial" w:hAnsi="Calibri" w:cs="Calibri"/>
        </w:rPr>
        <w:t xml:space="preserve">are changes in the volume or value of an asset or liability that do not result from transactions. </w:t>
      </w:r>
    </w:p>
    <w:p w14:paraId="0FC4D5C1" w14:textId="77777777" w:rsidR="00F1540A" w:rsidRPr="005734B8" w:rsidRDefault="00F1540A" w:rsidP="00F1540A">
      <w:pPr>
        <w:rPr>
          <w:rFonts w:ascii="Calibri" w:eastAsia="Arial" w:hAnsi="Calibri" w:cs="Calibri"/>
        </w:rPr>
      </w:pPr>
    </w:p>
    <w:p w14:paraId="0D48FA4C" w14:textId="7C3A1E3C" w:rsidR="00F1540A" w:rsidRPr="005734B8" w:rsidRDefault="00F1540A" w:rsidP="00F1540A">
      <w:pPr>
        <w:rPr>
          <w:rFonts w:ascii="Calibri" w:eastAsia="Arial" w:hAnsi="Calibri" w:cs="Calibri"/>
        </w:rPr>
      </w:pPr>
      <w:r w:rsidRPr="005734B8">
        <w:rPr>
          <w:rFonts w:ascii="Calibri" w:eastAsia="Arial" w:hAnsi="Calibri" w:cs="Calibri"/>
        </w:rPr>
        <w:t>In simple terms, other economic flows are changes arising from market re</w:t>
      </w:r>
      <w:r w:rsidRPr="005734B8">
        <w:rPr>
          <w:rFonts w:ascii="Calibri" w:eastAsia="Arial" w:hAnsi="Calibri" w:cs="Calibri"/>
        </w:rPr>
        <w:noBreakHyphen/>
        <w:t xml:space="preserve">measurements. They include gains and losses from disposals, revaluations and impairments of non-current physical and intangible assets; </w:t>
      </w:r>
      <w:r w:rsidR="00341871" w:rsidRPr="005734B8">
        <w:rPr>
          <w:rFonts w:ascii="Calibri" w:eastAsia="Arial" w:hAnsi="Calibri" w:cs="Calibri"/>
        </w:rPr>
        <w:t>and</w:t>
      </w:r>
      <w:r w:rsidRPr="005734B8">
        <w:rPr>
          <w:rFonts w:ascii="Calibri" w:eastAsia="Arial" w:hAnsi="Calibri" w:cs="Calibri"/>
        </w:rPr>
        <w:t xml:space="preserve"> fair value changes of financial instruments.</w:t>
      </w:r>
    </w:p>
    <w:p w14:paraId="43B6FD64"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89" w:name="_Toc11336497"/>
      <w:bookmarkStart w:id="1990" w:name="_Toc14965723"/>
      <w:r w:rsidRPr="005734B8">
        <w:rPr>
          <w:rFonts w:ascii="Calibri" w:hAnsi="Calibri" w:cs="Calibri"/>
          <w:b/>
          <w:color w:val="53565A"/>
          <w:szCs w:val="18"/>
          <w:lang w:val="en-US"/>
        </w:rPr>
        <w:t>Other economic flows—other comprehensive income</w:t>
      </w:r>
      <w:bookmarkEnd w:id="1989"/>
      <w:bookmarkEnd w:id="1990"/>
    </w:p>
    <w:p w14:paraId="5E23BF9D" w14:textId="4C984180" w:rsidR="00F1540A" w:rsidRPr="005734B8" w:rsidRDefault="00F7207D" w:rsidP="00F1540A">
      <w:pPr>
        <w:rPr>
          <w:rFonts w:ascii="Calibri" w:eastAsia="Arial" w:hAnsi="Calibri" w:cs="Calibri"/>
        </w:rPr>
      </w:pPr>
      <w:r w:rsidRPr="005734B8">
        <w:rPr>
          <w:rFonts w:ascii="Calibri" w:eastAsia="Arial" w:hAnsi="Calibri" w:cs="Calibri"/>
        </w:rPr>
        <w:t>C</w:t>
      </w:r>
      <w:r w:rsidR="00F1540A" w:rsidRPr="005734B8">
        <w:rPr>
          <w:rFonts w:ascii="Calibri" w:eastAsia="Arial" w:hAnsi="Calibri" w:cs="Calibri"/>
        </w:rPr>
        <w:t xml:space="preserve">omprises items (including reclassification adjustments) that are not recognised in net result as required or permitted by other </w:t>
      </w:r>
      <w:r w:rsidR="00341871" w:rsidRPr="005734B8">
        <w:rPr>
          <w:rFonts w:ascii="Calibri" w:eastAsia="Arial" w:hAnsi="Calibri" w:cs="Calibri"/>
        </w:rPr>
        <w:t>AAS</w:t>
      </w:r>
      <w:r w:rsidR="00F1540A" w:rsidRPr="005734B8">
        <w:rPr>
          <w:rFonts w:ascii="Calibri" w:eastAsia="Arial" w:hAnsi="Calibri" w:cs="Calibri"/>
        </w:rPr>
        <w:t>. They include:</w:t>
      </w:r>
    </w:p>
    <w:p w14:paraId="1C7AE585" w14:textId="77777777" w:rsidR="00F1540A" w:rsidRPr="005734B8" w:rsidRDefault="00F1540A" w:rsidP="00F1540A">
      <w:pPr>
        <w:numPr>
          <w:ilvl w:val="0"/>
          <w:numId w:val="17"/>
        </w:numPr>
        <w:rPr>
          <w:rFonts w:ascii="Calibri" w:hAnsi="Calibri" w:cs="Calibri"/>
          <w:szCs w:val="18"/>
          <w:lang w:val="en-US"/>
        </w:rPr>
      </w:pPr>
      <w:r w:rsidRPr="005734B8">
        <w:rPr>
          <w:rFonts w:ascii="Calibri" w:hAnsi="Calibri" w:cs="Calibri"/>
          <w:szCs w:val="18"/>
          <w:lang w:val="en-US"/>
        </w:rPr>
        <w:t>changes in physical asset revaluation surplus</w:t>
      </w:r>
    </w:p>
    <w:p w14:paraId="31C3DFFB" w14:textId="77777777" w:rsidR="00F1540A" w:rsidRPr="005734B8" w:rsidRDefault="00F1540A" w:rsidP="00F1540A">
      <w:pPr>
        <w:numPr>
          <w:ilvl w:val="0"/>
          <w:numId w:val="17"/>
        </w:numPr>
        <w:rPr>
          <w:rFonts w:ascii="Calibri" w:hAnsi="Calibri" w:cs="Calibri"/>
          <w:szCs w:val="18"/>
          <w:lang w:val="en-US"/>
        </w:rPr>
      </w:pPr>
      <w:r w:rsidRPr="005734B8">
        <w:rPr>
          <w:rFonts w:ascii="Calibri" w:hAnsi="Calibri" w:cs="Calibri"/>
          <w:szCs w:val="18"/>
          <w:lang w:val="en-US"/>
        </w:rPr>
        <w:t>gains and losses on re-measuring available-for-sale financial assets.</w:t>
      </w:r>
    </w:p>
    <w:p w14:paraId="427470A8"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91" w:name="_Toc11336498"/>
      <w:bookmarkStart w:id="1992" w:name="_Toc14965724"/>
      <w:r w:rsidRPr="005734B8">
        <w:rPr>
          <w:rFonts w:ascii="Calibri" w:hAnsi="Calibri" w:cs="Calibri"/>
          <w:b/>
          <w:color w:val="53565A"/>
          <w:szCs w:val="18"/>
          <w:lang w:val="en-US"/>
        </w:rPr>
        <w:t>Payables</w:t>
      </w:r>
      <w:bookmarkEnd w:id="1991"/>
      <w:bookmarkEnd w:id="1992"/>
    </w:p>
    <w:p w14:paraId="0812BA05" w14:textId="77777777" w:rsidR="00F1540A" w:rsidRPr="005734B8" w:rsidRDefault="00F1540A" w:rsidP="00F1540A">
      <w:pPr>
        <w:rPr>
          <w:rFonts w:ascii="Calibri" w:eastAsia="Arial" w:hAnsi="Calibri" w:cs="Calibri"/>
        </w:rPr>
      </w:pPr>
      <w:r w:rsidRPr="005734B8">
        <w:rPr>
          <w:rFonts w:ascii="Calibri" w:eastAsia="Arial" w:hAnsi="Calibri" w:cs="Calibri"/>
        </w:rPr>
        <w:t>Includes short and long-term trade debt and accounts payable, grants, taxes and interest payable.</w:t>
      </w:r>
    </w:p>
    <w:p w14:paraId="51771540"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93" w:name="_Toc11336499"/>
      <w:bookmarkStart w:id="1994" w:name="_Toc14965725"/>
      <w:r w:rsidRPr="005734B8">
        <w:rPr>
          <w:rFonts w:ascii="Calibri" w:hAnsi="Calibri" w:cs="Calibri"/>
          <w:b/>
          <w:color w:val="53565A"/>
          <w:szCs w:val="18"/>
          <w:lang w:val="en-US"/>
        </w:rPr>
        <w:t>Physical obsolescence</w:t>
      </w:r>
      <w:bookmarkEnd w:id="1993"/>
      <w:bookmarkEnd w:id="1994"/>
    </w:p>
    <w:p w14:paraId="6077245F" w14:textId="12D7F75E" w:rsidR="00F1540A" w:rsidRPr="005734B8" w:rsidRDefault="00F7207D" w:rsidP="00F1540A">
      <w:pPr>
        <w:rPr>
          <w:rFonts w:ascii="Calibri" w:eastAsia="Arial" w:hAnsi="Calibri" w:cs="Calibri"/>
        </w:rPr>
      </w:pPr>
      <w:r w:rsidRPr="005734B8">
        <w:rPr>
          <w:rFonts w:ascii="Calibri" w:eastAsia="Arial" w:hAnsi="Calibri" w:cs="Calibri"/>
        </w:rPr>
        <w:t>A</w:t>
      </w:r>
      <w:r w:rsidR="00F1540A" w:rsidRPr="005734B8">
        <w:rPr>
          <w:rFonts w:ascii="Calibri" w:eastAsia="Arial" w:hAnsi="Calibri" w:cs="Calibri"/>
        </w:rPr>
        <w:t xml:space="preserve"> reduction or loss of an asset value as a result of its physical deterioration caused by wear and tear or increasing age. </w:t>
      </w:r>
      <w:r w:rsidR="00341871" w:rsidRPr="005734B8">
        <w:rPr>
          <w:rFonts w:ascii="Calibri" w:eastAsia="Arial" w:hAnsi="Calibri" w:cs="Calibri"/>
        </w:rPr>
        <w:t>The asset</w:t>
      </w:r>
      <w:r w:rsidR="00F1540A" w:rsidRPr="005734B8">
        <w:rPr>
          <w:rFonts w:ascii="Calibri" w:eastAsia="Arial" w:hAnsi="Calibri" w:cs="Calibri"/>
        </w:rPr>
        <w:t xml:space="preserve"> eventually becomes obsolete.</w:t>
      </w:r>
    </w:p>
    <w:p w14:paraId="55BB2E79"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95" w:name="_Toc11336500"/>
      <w:bookmarkStart w:id="1996" w:name="_Toc14965726"/>
      <w:r w:rsidRPr="005734B8">
        <w:rPr>
          <w:rFonts w:ascii="Calibri" w:hAnsi="Calibri" w:cs="Calibri"/>
          <w:b/>
          <w:color w:val="53565A"/>
          <w:szCs w:val="18"/>
          <w:lang w:val="en-US"/>
        </w:rPr>
        <w:t>Produced assets</w:t>
      </w:r>
      <w:bookmarkEnd w:id="1995"/>
      <w:bookmarkEnd w:id="1996"/>
    </w:p>
    <w:p w14:paraId="08F2A942" w14:textId="2F1061B1" w:rsidR="00F1540A" w:rsidRPr="005734B8" w:rsidRDefault="00F7207D" w:rsidP="00F1540A">
      <w:pPr>
        <w:rPr>
          <w:rFonts w:ascii="Calibri" w:eastAsia="Arial" w:hAnsi="Calibri" w:cs="Calibri"/>
        </w:rPr>
      </w:pPr>
      <w:r w:rsidRPr="005734B8">
        <w:rPr>
          <w:rFonts w:ascii="Calibri" w:eastAsia="Arial" w:hAnsi="Calibri" w:cs="Calibri"/>
        </w:rPr>
        <w:t>I</w:t>
      </w:r>
      <w:r w:rsidR="00F1540A" w:rsidRPr="005734B8">
        <w:rPr>
          <w:rFonts w:ascii="Calibri" w:eastAsia="Arial" w:hAnsi="Calibri" w:cs="Calibri"/>
        </w:rPr>
        <w:t>nclude</w:t>
      </w:r>
      <w:r w:rsidRPr="005734B8">
        <w:rPr>
          <w:rFonts w:ascii="Calibri" w:eastAsia="Arial" w:hAnsi="Calibri" w:cs="Calibri"/>
        </w:rPr>
        <w:t>s</w:t>
      </w:r>
      <w:r w:rsidR="00F1540A" w:rsidRPr="005734B8">
        <w:rPr>
          <w:rFonts w:ascii="Calibri" w:eastAsia="Arial" w:hAnsi="Calibri" w:cs="Calibri"/>
        </w:rPr>
        <w:t xml:space="preserve"> buildings, plant and equipment and certain intangible assets. Intangible produced assets may include computer software, and research and development costs (which do not include the start-up costs associated with capital projects).</w:t>
      </w:r>
    </w:p>
    <w:p w14:paraId="6053FF86"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1997" w:name="_Toc11336501"/>
      <w:bookmarkStart w:id="1998" w:name="_Toc14965727"/>
      <w:r w:rsidRPr="005734B8">
        <w:rPr>
          <w:rFonts w:ascii="Calibri" w:hAnsi="Calibri" w:cs="Calibri"/>
          <w:b/>
          <w:color w:val="53565A"/>
          <w:szCs w:val="18"/>
          <w:lang w:val="en-US"/>
        </w:rPr>
        <w:t>Receivables</w:t>
      </w:r>
      <w:bookmarkEnd w:id="1997"/>
      <w:bookmarkEnd w:id="1998"/>
    </w:p>
    <w:p w14:paraId="117E9A83" w14:textId="22809F78" w:rsidR="00F1540A" w:rsidRPr="005734B8" w:rsidRDefault="00F1540A" w:rsidP="00F1540A">
      <w:pPr>
        <w:rPr>
          <w:rFonts w:ascii="Calibri" w:eastAsia="Arial" w:hAnsi="Calibri" w:cs="Calibri"/>
        </w:rPr>
      </w:pPr>
      <w:r w:rsidRPr="005734B8">
        <w:rPr>
          <w:rFonts w:ascii="Calibri" w:eastAsia="Arial" w:hAnsi="Calibri" w:cs="Calibri"/>
        </w:rPr>
        <w:t>Includes amounts owing from government through appropriation receivable, short</w:t>
      </w:r>
      <w:r w:rsidR="00613301" w:rsidRPr="005734B8">
        <w:rPr>
          <w:rFonts w:ascii="Calibri" w:eastAsia="Arial" w:hAnsi="Calibri" w:cs="Calibri"/>
        </w:rPr>
        <w:noBreakHyphen/>
      </w:r>
      <w:r w:rsidRPr="005734B8">
        <w:rPr>
          <w:rFonts w:ascii="Calibri" w:eastAsia="Arial" w:hAnsi="Calibri" w:cs="Calibri"/>
        </w:rPr>
        <w:t xml:space="preserve"> and long-term trade credit and accounts receivable, grants, taxes and interest receivable.</w:t>
      </w:r>
    </w:p>
    <w:p w14:paraId="7EC4065A" w14:textId="77777777" w:rsidR="008C3E5C" w:rsidRPr="005734B8" w:rsidRDefault="008C3E5C">
      <w:pPr>
        <w:rPr>
          <w:rFonts w:ascii="Calibri" w:hAnsi="Calibri" w:cs="Calibri"/>
          <w:b/>
          <w:color w:val="53565A"/>
          <w:szCs w:val="18"/>
          <w:lang w:val="en-US"/>
        </w:rPr>
      </w:pPr>
      <w:bookmarkStart w:id="1999" w:name="_Toc11336502"/>
      <w:bookmarkStart w:id="2000" w:name="_Toc14965728"/>
      <w:r w:rsidRPr="005734B8">
        <w:rPr>
          <w:rFonts w:ascii="Calibri" w:hAnsi="Calibri" w:cs="Calibri"/>
          <w:b/>
          <w:color w:val="53565A"/>
          <w:szCs w:val="18"/>
          <w:lang w:val="en-US"/>
        </w:rPr>
        <w:br w:type="page"/>
      </w:r>
    </w:p>
    <w:p w14:paraId="40FA5D78" w14:textId="40B87096" w:rsidR="00F1540A" w:rsidRPr="005734B8" w:rsidRDefault="00F1540A" w:rsidP="00F1540A">
      <w:pPr>
        <w:spacing w:before="240" w:after="120" w:line="240" w:lineRule="atLeast"/>
        <w:outlineLvl w:val="2"/>
        <w:rPr>
          <w:rFonts w:ascii="Calibri" w:hAnsi="Calibri" w:cs="Calibri"/>
          <w:b/>
          <w:color w:val="53565A"/>
          <w:szCs w:val="18"/>
          <w:lang w:val="en-US"/>
        </w:rPr>
      </w:pPr>
      <w:r w:rsidRPr="005734B8">
        <w:rPr>
          <w:rFonts w:ascii="Calibri" w:hAnsi="Calibri" w:cs="Calibri"/>
          <w:b/>
          <w:color w:val="53565A"/>
          <w:szCs w:val="18"/>
          <w:lang w:val="en-US"/>
        </w:rPr>
        <w:lastRenderedPageBreak/>
        <w:t>Sales of goods and services</w:t>
      </w:r>
      <w:bookmarkEnd w:id="1999"/>
      <w:bookmarkEnd w:id="2000"/>
    </w:p>
    <w:p w14:paraId="5FE0A22D" w14:textId="650737F2" w:rsidR="00F1540A" w:rsidRPr="005734B8" w:rsidRDefault="00F1540A" w:rsidP="00F1540A">
      <w:pPr>
        <w:rPr>
          <w:rFonts w:ascii="Calibri" w:eastAsia="Arial" w:hAnsi="Calibri" w:cs="Calibri"/>
        </w:rPr>
      </w:pPr>
      <w:r w:rsidRPr="005734B8">
        <w:rPr>
          <w:rFonts w:ascii="Calibri" w:eastAsia="Arial" w:hAnsi="Calibri" w:cs="Calibri"/>
        </w:rPr>
        <w:t>Refers to income from the direct provision of goods and services and includes fees and charges for services rendered, sales of goods and services</w:t>
      </w:r>
      <w:r w:rsidR="00613301" w:rsidRPr="005734B8">
        <w:rPr>
          <w:rFonts w:ascii="Calibri" w:eastAsia="Arial" w:hAnsi="Calibri" w:cs="Calibri"/>
        </w:rPr>
        <w:t>,</w:t>
      </w:r>
      <w:r w:rsidRPr="005734B8">
        <w:rPr>
          <w:rFonts w:ascii="Calibri" w:eastAsia="Arial" w:hAnsi="Calibri" w:cs="Calibri"/>
        </w:rPr>
        <w:t xml:space="preserve"> and fees from regulatory services and work done as an agent for private enterprises. It also includes rental income under leases and on produced assets such as buildings and entertainment, but excludes rent income from the use of non-produced assets such as land. User charges include sale of goods and services income.</w:t>
      </w:r>
    </w:p>
    <w:p w14:paraId="47BA9388" w14:textId="77777777" w:rsidR="00F1540A" w:rsidRPr="005734B8" w:rsidRDefault="00F1540A" w:rsidP="00F1540A">
      <w:pPr>
        <w:rPr>
          <w:rFonts w:ascii="Calibri" w:eastAsia="Arial" w:hAnsi="Calibri" w:cs="Calibri"/>
        </w:rPr>
      </w:pPr>
    </w:p>
    <w:p w14:paraId="07B54828" w14:textId="77777777" w:rsidR="00613301" w:rsidRPr="005734B8" w:rsidRDefault="00F1540A" w:rsidP="00F1540A">
      <w:pPr>
        <w:rPr>
          <w:rFonts w:ascii="Calibri" w:hAnsi="Calibri" w:cs="Calibri"/>
          <w:b/>
        </w:rPr>
      </w:pPr>
      <w:r w:rsidRPr="005734B8">
        <w:rPr>
          <w:rFonts w:ascii="Calibri" w:hAnsi="Calibri" w:cs="Calibri"/>
          <w:b/>
          <w:color w:val="53565A"/>
          <w:szCs w:val="18"/>
          <w:lang w:val="en-US"/>
        </w:rPr>
        <w:t>Service concession arrangement</w:t>
      </w:r>
    </w:p>
    <w:p w14:paraId="5BBA938F" w14:textId="5508D625" w:rsidR="00F1540A" w:rsidRPr="005734B8" w:rsidRDefault="00613301" w:rsidP="00F1540A">
      <w:pPr>
        <w:rPr>
          <w:rFonts w:ascii="Calibri" w:hAnsi="Calibri" w:cs="Calibri"/>
          <w:b/>
        </w:rPr>
      </w:pPr>
      <w:r w:rsidRPr="005734B8">
        <w:rPr>
          <w:rFonts w:ascii="Calibri" w:hAnsi="Calibri" w:cs="Calibri"/>
          <w:bCs/>
        </w:rPr>
        <w:t>A</w:t>
      </w:r>
      <w:r w:rsidR="00F1540A" w:rsidRPr="005734B8">
        <w:rPr>
          <w:rFonts w:ascii="Calibri" w:hAnsi="Calibri" w:cs="Calibri"/>
          <w:bCs/>
        </w:rPr>
        <w:t xml:space="preserve"> contract effective during the reporting period between a grantor and an operator in which:</w:t>
      </w:r>
    </w:p>
    <w:p w14:paraId="1FBBB5E9" w14:textId="260BE2B8" w:rsidR="00F1540A" w:rsidRPr="005734B8" w:rsidRDefault="00F1540A" w:rsidP="00613301">
      <w:pPr>
        <w:numPr>
          <w:ilvl w:val="0"/>
          <w:numId w:val="17"/>
        </w:numPr>
        <w:rPr>
          <w:rFonts w:ascii="Calibri" w:hAnsi="Calibri" w:cs="Calibri"/>
          <w:szCs w:val="18"/>
          <w:lang w:val="en-US"/>
        </w:rPr>
      </w:pPr>
      <w:r w:rsidRPr="005734B8">
        <w:rPr>
          <w:rFonts w:ascii="Calibri" w:hAnsi="Calibri" w:cs="Calibri"/>
          <w:szCs w:val="18"/>
          <w:lang w:val="en-US"/>
        </w:rPr>
        <w:t>the operator has the right of access to the service concession asset (or assets) to provide public services on behalf of the grantor for a specified period of time</w:t>
      </w:r>
    </w:p>
    <w:p w14:paraId="7F3E60C4" w14:textId="4520322F" w:rsidR="00F1540A" w:rsidRPr="005734B8" w:rsidRDefault="00F1540A" w:rsidP="00613301">
      <w:pPr>
        <w:numPr>
          <w:ilvl w:val="0"/>
          <w:numId w:val="17"/>
        </w:numPr>
        <w:rPr>
          <w:rFonts w:ascii="Calibri" w:hAnsi="Calibri" w:cs="Calibri"/>
          <w:szCs w:val="18"/>
          <w:lang w:val="en-US"/>
        </w:rPr>
      </w:pPr>
      <w:r w:rsidRPr="005734B8">
        <w:rPr>
          <w:rFonts w:ascii="Calibri" w:hAnsi="Calibri" w:cs="Calibri"/>
          <w:szCs w:val="18"/>
          <w:lang w:val="en-US"/>
        </w:rPr>
        <w:t>the operator is responsible for at least some of the management of the public services provided through the asset and does not act merely as an agent on behalf of the grantor</w:t>
      </w:r>
    </w:p>
    <w:p w14:paraId="17133717" w14:textId="77777777" w:rsidR="00F1540A" w:rsidRPr="005734B8" w:rsidRDefault="00F1540A" w:rsidP="00613301">
      <w:pPr>
        <w:numPr>
          <w:ilvl w:val="0"/>
          <w:numId w:val="17"/>
        </w:numPr>
        <w:rPr>
          <w:rFonts w:ascii="Calibri" w:hAnsi="Calibri" w:cs="Calibri"/>
          <w:szCs w:val="18"/>
          <w:lang w:val="en-US"/>
        </w:rPr>
      </w:pPr>
      <w:r w:rsidRPr="005734B8">
        <w:rPr>
          <w:rFonts w:ascii="Calibri" w:hAnsi="Calibri" w:cs="Calibri"/>
          <w:szCs w:val="18"/>
          <w:lang w:val="en-US"/>
        </w:rPr>
        <w:t>the operator is compensated for its services over the period of the service concession arrangement.</w:t>
      </w:r>
    </w:p>
    <w:p w14:paraId="573538CF"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2001" w:name="_Toc11336503"/>
      <w:bookmarkStart w:id="2002" w:name="_Toc14965729"/>
      <w:r w:rsidRPr="005734B8">
        <w:rPr>
          <w:rFonts w:ascii="Calibri" w:hAnsi="Calibri" w:cs="Calibri"/>
          <w:b/>
          <w:color w:val="53565A"/>
          <w:szCs w:val="18"/>
          <w:lang w:val="en-US"/>
        </w:rPr>
        <w:t>Supplies and services</w:t>
      </w:r>
      <w:bookmarkEnd w:id="2001"/>
      <w:bookmarkEnd w:id="2002"/>
    </w:p>
    <w:p w14:paraId="2FD133AB" w14:textId="397DDF31" w:rsidR="00F1540A" w:rsidRPr="005734B8" w:rsidRDefault="00F7207D" w:rsidP="00F1540A">
      <w:pPr>
        <w:rPr>
          <w:rFonts w:ascii="Calibri" w:eastAsia="Arial" w:hAnsi="Calibri" w:cs="Calibri"/>
        </w:rPr>
      </w:pPr>
      <w:r w:rsidRPr="005734B8">
        <w:rPr>
          <w:rFonts w:ascii="Calibri" w:eastAsia="Arial" w:hAnsi="Calibri" w:cs="Calibri"/>
        </w:rPr>
        <w:t>G</w:t>
      </w:r>
      <w:r w:rsidR="00F1540A" w:rsidRPr="005734B8">
        <w:rPr>
          <w:rFonts w:ascii="Calibri" w:eastAsia="Arial" w:hAnsi="Calibri" w:cs="Calibri"/>
        </w:rPr>
        <w:t>enerally represent cost of goods sold and the day-to-day running costs, including maintenance costs, incurred in the normal operations of the Department.</w:t>
      </w:r>
    </w:p>
    <w:p w14:paraId="07B7F221" w14:textId="77777777" w:rsidR="00F1540A" w:rsidRPr="005734B8" w:rsidRDefault="00F1540A" w:rsidP="00F1540A">
      <w:pPr>
        <w:spacing w:before="240" w:after="120" w:line="240" w:lineRule="atLeast"/>
        <w:outlineLvl w:val="2"/>
        <w:rPr>
          <w:rFonts w:ascii="Calibri" w:hAnsi="Calibri" w:cs="Calibri"/>
          <w:b/>
          <w:color w:val="53565A"/>
          <w:szCs w:val="18"/>
          <w:lang w:val="en-US"/>
        </w:rPr>
      </w:pPr>
      <w:bookmarkStart w:id="2003" w:name="_Toc11336504"/>
      <w:bookmarkStart w:id="2004" w:name="_Toc14965730"/>
      <w:r w:rsidRPr="005734B8">
        <w:rPr>
          <w:rFonts w:ascii="Calibri" w:hAnsi="Calibri" w:cs="Calibri"/>
          <w:b/>
          <w:color w:val="53565A"/>
          <w:szCs w:val="18"/>
          <w:lang w:val="en-US"/>
        </w:rPr>
        <w:t>Transactions</w:t>
      </w:r>
      <w:bookmarkEnd w:id="2003"/>
      <w:bookmarkEnd w:id="2004"/>
    </w:p>
    <w:p w14:paraId="36D088A5" w14:textId="4AA8A691" w:rsidR="00F1540A" w:rsidRPr="005734B8" w:rsidRDefault="00F7207D" w:rsidP="00F1540A">
      <w:pPr>
        <w:rPr>
          <w:rFonts w:ascii="Calibri" w:eastAsia="Arial" w:hAnsi="Calibri" w:cs="Calibri"/>
        </w:rPr>
      </w:pPr>
      <w:r w:rsidRPr="005734B8">
        <w:rPr>
          <w:rFonts w:ascii="Calibri" w:eastAsia="Arial" w:hAnsi="Calibri" w:cs="Calibri"/>
        </w:rPr>
        <w:t>E</w:t>
      </w:r>
      <w:r w:rsidR="00F1540A" w:rsidRPr="005734B8">
        <w:rPr>
          <w:rFonts w:ascii="Calibri" w:eastAsia="Arial" w:hAnsi="Calibri" w:cs="Calibri"/>
        </w:rPr>
        <w:t>conomic flows that are considered to arise as a result of policy decisions, usually an interaction between two entities by mutual agreement. They also include flows 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(for example, assets provided/given free of charge or for nominal consideration) or where the final consideration is cash. In simple terms, transactions arise from the policy decisions of the government.</w:t>
      </w:r>
    </w:p>
    <w:p w14:paraId="791705AB" w14:textId="3CBE0C56" w:rsidR="00F1540A" w:rsidRPr="005734B8" w:rsidRDefault="00F1540A" w:rsidP="00F1540A">
      <w:pPr>
        <w:spacing w:before="240" w:after="180" w:line="240" w:lineRule="atLeast"/>
        <w:outlineLvl w:val="0"/>
        <w:rPr>
          <w:rFonts w:ascii="Calibri" w:hAnsi="Calibri" w:cs="Calibri"/>
          <w:bCs/>
          <w:color w:val="8A2A2F"/>
          <w:spacing w:val="5"/>
          <w:kern w:val="28"/>
          <w:sz w:val="28"/>
          <w:lang w:val="en-US"/>
        </w:rPr>
      </w:pPr>
      <w:bookmarkStart w:id="2005" w:name="_Toc72958118"/>
      <w:bookmarkStart w:id="2006" w:name="_Toc72958166"/>
      <w:bookmarkStart w:id="2007" w:name="_Toc80272104"/>
      <w:bookmarkStart w:id="2008" w:name="_Toc81315407"/>
      <w:bookmarkStart w:id="2009" w:name="_Toc11336505"/>
      <w:bookmarkStart w:id="2010" w:name="_Toc14965731"/>
      <w:r w:rsidRPr="005734B8">
        <w:rPr>
          <w:rFonts w:ascii="Calibri" w:hAnsi="Calibri" w:cs="Calibri"/>
          <w:bCs/>
          <w:color w:val="8A2A2F"/>
          <w:spacing w:val="5"/>
          <w:kern w:val="28"/>
          <w:sz w:val="28"/>
          <w:lang w:val="en-US"/>
        </w:rPr>
        <w:t xml:space="preserve">9.11 Style </w:t>
      </w:r>
      <w:r w:rsidR="00613301" w:rsidRPr="005734B8">
        <w:rPr>
          <w:rFonts w:ascii="Calibri" w:hAnsi="Calibri" w:cs="Calibri"/>
          <w:bCs/>
          <w:color w:val="8A2A2F"/>
          <w:spacing w:val="5"/>
          <w:kern w:val="28"/>
          <w:sz w:val="28"/>
          <w:lang w:val="en-US"/>
        </w:rPr>
        <w:t>c</w:t>
      </w:r>
      <w:r w:rsidRPr="005734B8">
        <w:rPr>
          <w:rFonts w:ascii="Calibri" w:hAnsi="Calibri" w:cs="Calibri"/>
          <w:bCs/>
          <w:color w:val="8A2A2F"/>
          <w:spacing w:val="5"/>
          <w:kern w:val="28"/>
          <w:sz w:val="28"/>
          <w:lang w:val="en-US"/>
        </w:rPr>
        <w:t>onventions</w:t>
      </w:r>
      <w:bookmarkEnd w:id="2005"/>
      <w:bookmarkEnd w:id="2006"/>
      <w:bookmarkEnd w:id="2007"/>
      <w:bookmarkEnd w:id="2008"/>
    </w:p>
    <w:bookmarkEnd w:id="2009"/>
    <w:bookmarkEnd w:id="2010"/>
    <w:p w14:paraId="03416843" w14:textId="77777777" w:rsidR="00F1540A" w:rsidRPr="005734B8" w:rsidRDefault="00F1540A" w:rsidP="00F1540A">
      <w:pPr>
        <w:rPr>
          <w:rFonts w:ascii="Calibri" w:eastAsia="Arial" w:hAnsi="Calibri" w:cs="Calibri"/>
        </w:rPr>
      </w:pPr>
      <w:r w:rsidRPr="005734B8">
        <w:rPr>
          <w:rFonts w:ascii="Calibri" w:eastAsia="Arial" w:hAnsi="Calibri" w:cs="Calibri"/>
        </w:rPr>
        <w:t>Figures in the tables and in the text have been rounded. Discrepancies in tables between totals and sums of components reflect rounding. Percentage variations in all tables are based on the underlying unrounded amounts.</w:t>
      </w:r>
    </w:p>
    <w:p w14:paraId="7F497E9E" w14:textId="77777777" w:rsidR="00F1540A" w:rsidRPr="005734B8" w:rsidRDefault="00F1540A" w:rsidP="00F1540A">
      <w:pPr>
        <w:rPr>
          <w:rFonts w:ascii="Calibri" w:eastAsia="Arial" w:hAnsi="Calibri" w:cs="Calibri"/>
        </w:rPr>
      </w:pPr>
    </w:p>
    <w:p w14:paraId="418B8104" w14:textId="77777777" w:rsidR="00F1540A" w:rsidRPr="005734B8" w:rsidRDefault="00F1540A" w:rsidP="00F1540A">
      <w:pPr>
        <w:rPr>
          <w:rFonts w:ascii="Calibri" w:eastAsia="Arial" w:hAnsi="Calibri" w:cs="Calibri"/>
        </w:rPr>
      </w:pPr>
      <w:r w:rsidRPr="005734B8">
        <w:rPr>
          <w:rFonts w:ascii="Calibri" w:eastAsia="Arial" w:hAnsi="Calibri" w:cs="Calibri"/>
        </w:rPr>
        <w:t>The notation used in the tables is as follows:</w:t>
      </w:r>
    </w:p>
    <w:tbl>
      <w:tblPr>
        <w:tblStyle w:val="TableGrid7"/>
        <w:tblW w:w="491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896"/>
        <w:gridCol w:w="3897"/>
      </w:tblGrid>
      <w:tr w:rsidR="00F1540A" w:rsidRPr="005734B8" w14:paraId="0B38483B" w14:textId="77777777" w:rsidTr="000F48B1">
        <w:trPr>
          <w:cantSplit/>
          <w:trHeight w:val="242"/>
          <w:tblHeader/>
        </w:trPr>
        <w:tc>
          <w:tcPr>
            <w:tcW w:w="3896" w:type="dxa"/>
            <w:tcBorders>
              <w:bottom w:val="single" w:sz="4" w:space="0" w:color="FFFFFF"/>
            </w:tcBorders>
            <w:shd w:val="clear" w:color="auto" w:fill="AF272F"/>
            <w:vAlign w:val="center"/>
          </w:tcPr>
          <w:p w14:paraId="1FE14C8C" w14:textId="77777777" w:rsidR="00F1540A" w:rsidRPr="005734B8" w:rsidRDefault="00F1540A" w:rsidP="000F48B1">
            <w:pPr>
              <w:spacing w:before="80" w:after="80"/>
              <w:rPr>
                <w:rFonts w:ascii="Calibri" w:hAnsi="Calibri" w:cs="Calibri"/>
                <w:b/>
                <w:color w:val="FFFFFF"/>
                <w:sz w:val="19"/>
                <w:szCs w:val="18"/>
                <w:lang w:val="en-US"/>
              </w:rPr>
            </w:pPr>
          </w:p>
        </w:tc>
        <w:tc>
          <w:tcPr>
            <w:tcW w:w="3897" w:type="dxa"/>
            <w:tcBorders>
              <w:bottom w:val="single" w:sz="4" w:space="0" w:color="FFFFFF"/>
            </w:tcBorders>
            <w:shd w:val="clear" w:color="auto" w:fill="AF272F"/>
            <w:vAlign w:val="center"/>
          </w:tcPr>
          <w:p w14:paraId="21426563" w14:textId="77777777" w:rsidR="00F1540A" w:rsidRPr="005734B8" w:rsidRDefault="00F1540A" w:rsidP="000F48B1">
            <w:pPr>
              <w:spacing w:before="80" w:after="80"/>
              <w:rPr>
                <w:rFonts w:ascii="Calibri" w:hAnsi="Calibri" w:cs="Calibri"/>
                <w:b/>
                <w:color w:val="FFFFFF"/>
                <w:sz w:val="19"/>
                <w:szCs w:val="18"/>
                <w:lang w:val="en-US"/>
              </w:rPr>
            </w:pPr>
          </w:p>
        </w:tc>
      </w:tr>
      <w:tr w:rsidR="00F1540A" w:rsidRPr="005734B8" w14:paraId="51EB4D1E" w14:textId="77777777" w:rsidTr="000F48B1">
        <w:trPr>
          <w:cantSplit/>
        </w:trPr>
        <w:tc>
          <w:tcPr>
            <w:tcW w:w="3896" w:type="dxa"/>
            <w:tcBorders>
              <w:top w:val="single" w:sz="4" w:space="0" w:color="FFFFFF"/>
              <w:bottom w:val="single" w:sz="4" w:space="0" w:color="53565A"/>
            </w:tcBorders>
            <w:shd w:val="clear" w:color="auto" w:fill="auto"/>
            <w:vAlign w:val="center"/>
          </w:tcPr>
          <w:p w14:paraId="0937BAEE" w14:textId="77777777" w:rsidR="00F1540A" w:rsidRPr="005734B8" w:rsidRDefault="00F1540A" w:rsidP="000F48B1">
            <w:pPr>
              <w:spacing w:before="120" w:after="120"/>
              <w:rPr>
                <w:rFonts w:ascii="Calibri" w:hAnsi="Calibri" w:cs="Calibri"/>
                <w:sz w:val="18"/>
                <w:szCs w:val="18"/>
                <w:lang w:val="en-US"/>
              </w:rPr>
            </w:pPr>
            <w:r w:rsidRPr="005734B8">
              <w:rPr>
                <w:rFonts w:ascii="Calibri" w:hAnsi="Calibri" w:cs="Calibri"/>
                <w:sz w:val="18"/>
                <w:szCs w:val="18"/>
                <w:lang w:val="en-US"/>
              </w:rPr>
              <w:t>‒</w:t>
            </w:r>
          </w:p>
        </w:tc>
        <w:tc>
          <w:tcPr>
            <w:tcW w:w="3897" w:type="dxa"/>
            <w:tcBorders>
              <w:top w:val="single" w:sz="4" w:space="0" w:color="FFFFFF"/>
              <w:bottom w:val="single" w:sz="4" w:space="0" w:color="53565A"/>
            </w:tcBorders>
            <w:shd w:val="clear" w:color="auto" w:fill="auto"/>
            <w:vAlign w:val="center"/>
          </w:tcPr>
          <w:p w14:paraId="3A0AF87B" w14:textId="3B627718" w:rsidR="00F1540A" w:rsidRPr="005734B8" w:rsidRDefault="00613301" w:rsidP="000F48B1">
            <w:pPr>
              <w:spacing w:before="120" w:after="120"/>
              <w:rPr>
                <w:rFonts w:ascii="Calibri" w:hAnsi="Calibri" w:cs="Calibri"/>
                <w:sz w:val="18"/>
                <w:szCs w:val="18"/>
                <w:lang w:val="en-US"/>
              </w:rPr>
            </w:pPr>
            <w:r w:rsidRPr="005734B8">
              <w:rPr>
                <w:rFonts w:ascii="Calibri" w:hAnsi="Calibri" w:cs="Calibri"/>
                <w:sz w:val="18"/>
                <w:szCs w:val="18"/>
                <w:lang w:val="en-US"/>
              </w:rPr>
              <w:t>z</w:t>
            </w:r>
            <w:r w:rsidR="00F1540A" w:rsidRPr="005734B8">
              <w:rPr>
                <w:rFonts w:ascii="Calibri" w:hAnsi="Calibri" w:cs="Calibri"/>
                <w:sz w:val="18"/>
                <w:szCs w:val="18"/>
                <w:lang w:val="en-US"/>
              </w:rPr>
              <w:t>ero, or rounded to zero</w:t>
            </w:r>
          </w:p>
        </w:tc>
      </w:tr>
      <w:tr w:rsidR="00F1540A" w:rsidRPr="005734B8" w14:paraId="536BA9B3" w14:textId="77777777" w:rsidTr="000F48B1">
        <w:trPr>
          <w:cantSplit/>
        </w:trPr>
        <w:tc>
          <w:tcPr>
            <w:tcW w:w="3896" w:type="dxa"/>
            <w:tcBorders>
              <w:top w:val="single" w:sz="4" w:space="0" w:color="53565A"/>
              <w:bottom w:val="single" w:sz="4" w:space="0" w:color="53565A"/>
            </w:tcBorders>
            <w:shd w:val="clear" w:color="auto" w:fill="auto"/>
            <w:vAlign w:val="center"/>
          </w:tcPr>
          <w:p w14:paraId="4AFA47D9" w14:textId="77777777" w:rsidR="00F1540A" w:rsidRPr="005734B8" w:rsidRDefault="00F1540A" w:rsidP="000F48B1">
            <w:pPr>
              <w:spacing w:before="120" w:after="120"/>
              <w:rPr>
                <w:rFonts w:ascii="Calibri" w:hAnsi="Calibri" w:cs="Calibri"/>
                <w:sz w:val="18"/>
                <w:szCs w:val="18"/>
                <w:lang w:val="en-US"/>
              </w:rPr>
            </w:pPr>
            <w:r w:rsidRPr="005734B8">
              <w:rPr>
                <w:rFonts w:ascii="Calibri" w:hAnsi="Calibri" w:cs="Calibri"/>
                <w:sz w:val="18"/>
                <w:szCs w:val="18"/>
                <w:lang w:val="en-US"/>
              </w:rPr>
              <w:t>(xxx.x)</w:t>
            </w:r>
          </w:p>
        </w:tc>
        <w:tc>
          <w:tcPr>
            <w:tcW w:w="3897" w:type="dxa"/>
            <w:tcBorders>
              <w:top w:val="single" w:sz="4" w:space="0" w:color="53565A"/>
              <w:bottom w:val="single" w:sz="4" w:space="0" w:color="53565A"/>
            </w:tcBorders>
            <w:shd w:val="clear" w:color="auto" w:fill="auto"/>
            <w:vAlign w:val="center"/>
          </w:tcPr>
          <w:p w14:paraId="7EA32266" w14:textId="78948243" w:rsidR="00F1540A" w:rsidRPr="005734B8" w:rsidRDefault="00613301" w:rsidP="000F48B1">
            <w:pPr>
              <w:spacing w:before="120" w:after="120"/>
              <w:rPr>
                <w:rFonts w:ascii="Calibri" w:hAnsi="Calibri" w:cs="Calibri"/>
                <w:sz w:val="18"/>
                <w:szCs w:val="18"/>
                <w:lang w:val="en-US"/>
              </w:rPr>
            </w:pPr>
            <w:r w:rsidRPr="005734B8">
              <w:rPr>
                <w:rFonts w:ascii="Calibri" w:hAnsi="Calibri" w:cs="Calibri"/>
                <w:sz w:val="18"/>
                <w:szCs w:val="18"/>
                <w:lang w:val="en-US"/>
              </w:rPr>
              <w:t>n</w:t>
            </w:r>
            <w:r w:rsidR="00F1540A" w:rsidRPr="005734B8">
              <w:rPr>
                <w:rFonts w:ascii="Calibri" w:hAnsi="Calibri" w:cs="Calibri"/>
                <w:sz w:val="18"/>
                <w:szCs w:val="18"/>
                <w:lang w:val="en-US"/>
              </w:rPr>
              <w:t>egative numbers</w:t>
            </w:r>
          </w:p>
        </w:tc>
      </w:tr>
      <w:tr w:rsidR="00F1540A" w:rsidRPr="005734B8" w14:paraId="40225738" w14:textId="77777777" w:rsidTr="000F48B1">
        <w:trPr>
          <w:cantSplit/>
        </w:trPr>
        <w:tc>
          <w:tcPr>
            <w:tcW w:w="3896" w:type="dxa"/>
            <w:tcBorders>
              <w:top w:val="single" w:sz="4" w:space="0" w:color="53565A"/>
              <w:bottom w:val="single" w:sz="4" w:space="0" w:color="53565A"/>
            </w:tcBorders>
            <w:shd w:val="clear" w:color="auto" w:fill="auto"/>
            <w:vAlign w:val="center"/>
          </w:tcPr>
          <w:p w14:paraId="645A2199" w14:textId="77777777" w:rsidR="00F1540A" w:rsidRPr="005734B8" w:rsidRDefault="00F1540A" w:rsidP="000F48B1">
            <w:pPr>
              <w:spacing w:before="120" w:after="120"/>
              <w:rPr>
                <w:rFonts w:ascii="Calibri" w:hAnsi="Calibri" w:cs="Calibri"/>
                <w:sz w:val="18"/>
                <w:szCs w:val="18"/>
              </w:rPr>
            </w:pPr>
            <w:r w:rsidRPr="005734B8">
              <w:rPr>
                <w:rFonts w:ascii="Calibri" w:hAnsi="Calibri" w:cs="Calibri"/>
                <w:sz w:val="18"/>
                <w:szCs w:val="18"/>
                <w:lang w:val="en-US"/>
              </w:rPr>
              <w:t>201x</w:t>
            </w:r>
          </w:p>
        </w:tc>
        <w:tc>
          <w:tcPr>
            <w:tcW w:w="3897" w:type="dxa"/>
            <w:tcBorders>
              <w:top w:val="single" w:sz="4" w:space="0" w:color="53565A"/>
              <w:bottom w:val="single" w:sz="4" w:space="0" w:color="53565A"/>
            </w:tcBorders>
            <w:shd w:val="clear" w:color="auto" w:fill="auto"/>
            <w:vAlign w:val="center"/>
          </w:tcPr>
          <w:p w14:paraId="70C7E829" w14:textId="2A23762E" w:rsidR="00F1540A" w:rsidRPr="005734B8" w:rsidRDefault="00613301" w:rsidP="000F48B1">
            <w:pPr>
              <w:spacing w:before="120" w:after="120"/>
              <w:rPr>
                <w:rFonts w:ascii="Calibri" w:hAnsi="Calibri" w:cs="Calibri"/>
                <w:sz w:val="18"/>
                <w:szCs w:val="18"/>
              </w:rPr>
            </w:pPr>
            <w:r w:rsidRPr="005734B8">
              <w:rPr>
                <w:rFonts w:ascii="Calibri" w:hAnsi="Calibri" w:cs="Calibri"/>
                <w:sz w:val="18"/>
                <w:szCs w:val="18"/>
                <w:lang w:val="en-US"/>
              </w:rPr>
              <w:t>y</w:t>
            </w:r>
            <w:r w:rsidR="00F1540A" w:rsidRPr="005734B8">
              <w:rPr>
                <w:rFonts w:ascii="Calibri" w:hAnsi="Calibri" w:cs="Calibri"/>
                <w:sz w:val="18"/>
                <w:szCs w:val="18"/>
                <w:lang w:val="en-US"/>
              </w:rPr>
              <w:t>ear</w:t>
            </w:r>
          </w:p>
        </w:tc>
      </w:tr>
      <w:tr w:rsidR="00F1540A" w:rsidRPr="005734B8" w14:paraId="3EEAD3C6" w14:textId="77777777" w:rsidTr="000F48B1">
        <w:trPr>
          <w:cantSplit/>
        </w:trPr>
        <w:tc>
          <w:tcPr>
            <w:tcW w:w="3896" w:type="dxa"/>
            <w:tcBorders>
              <w:top w:val="single" w:sz="4" w:space="0" w:color="53565A"/>
              <w:bottom w:val="single" w:sz="4" w:space="0" w:color="53565A"/>
            </w:tcBorders>
            <w:shd w:val="clear" w:color="auto" w:fill="auto"/>
            <w:vAlign w:val="center"/>
          </w:tcPr>
          <w:p w14:paraId="0078CF99" w14:textId="77777777" w:rsidR="00F1540A" w:rsidRPr="005734B8" w:rsidRDefault="00F1540A" w:rsidP="000F48B1">
            <w:pPr>
              <w:spacing w:before="120" w:after="120"/>
              <w:rPr>
                <w:rFonts w:ascii="Calibri" w:hAnsi="Calibri" w:cs="Calibri"/>
                <w:sz w:val="18"/>
                <w:szCs w:val="18"/>
              </w:rPr>
            </w:pPr>
            <w:r w:rsidRPr="005734B8">
              <w:rPr>
                <w:rFonts w:ascii="Calibri" w:hAnsi="Calibri" w:cs="Calibri"/>
                <w:sz w:val="18"/>
                <w:szCs w:val="18"/>
                <w:lang w:val="en-US"/>
              </w:rPr>
              <w:t>201x–1x</w:t>
            </w:r>
          </w:p>
        </w:tc>
        <w:tc>
          <w:tcPr>
            <w:tcW w:w="3897" w:type="dxa"/>
            <w:tcBorders>
              <w:top w:val="single" w:sz="4" w:space="0" w:color="53565A"/>
              <w:bottom w:val="single" w:sz="4" w:space="0" w:color="53565A"/>
            </w:tcBorders>
            <w:shd w:val="clear" w:color="auto" w:fill="auto"/>
            <w:vAlign w:val="center"/>
          </w:tcPr>
          <w:p w14:paraId="35C0C24D" w14:textId="29DFC848" w:rsidR="00F1540A" w:rsidRPr="005734B8" w:rsidRDefault="00613301" w:rsidP="000F48B1">
            <w:pPr>
              <w:spacing w:before="120" w:after="120"/>
              <w:rPr>
                <w:rFonts w:ascii="Calibri" w:hAnsi="Calibri" w:cs="Calibri"/>
                <w:sz w:val="18"/>
                <w:szCs w:val="18"/>
              </w:rPr>
            </w:pPr>
            <w:r w:rsidRPr="005734B8">
              <w:rPr>
                <w:rFonts w:ascii="Calibri" w:hAnsi="Calibri" w:cs="Calibri"/>
                <w:sz w:val="18"/>
                <w:szCs w:val="18"/>
                <w:lang w:val="en-US"/>
              </w:rPr>
              <w:t>y</w:t>
            </w:r>
            <w:r w:rsidR="00F1540A" w:rsidRPr="005734B8">
              <w:rPr>
                <w:rFonts w:ascii="Calibri" w:hAnsi="Calibri" w:cs="Calibri"/>
                <w:sz w:val="18"/>
                <w:szCs w:val="18"/>
                <w:lang w:val="en-US"/>
              </w:rPr>
              <w:t>ear period</w:t>
            </w:r>
          </w:p>
        </w:tc>
      </w:tr>
    </w:tbl>
    <w:p w14:paraId="51CB2307" w14:textId="77777777" w:rsidR="00F1540A" w:rsidRPr="005734B8" w:rsidRDefault="00F1540A" w:rsidP="00F1540A">
      <w:pPr>
        <w:rPr>
          <w:rFonts w:ascii="Calibri" w:eastAsia="Arial" w:hAnsi="Calibri" w:cs="Calibri"/>
        </w:rPr>
      </w:pPr>
    </w:p>
    <w:p w14:paraId="21382CA9" w14:textId="190AC59F" w:rsidR="008A3484" w:rsidRPr="005734B8" w:rsidRDefault="003A3128" w:rsidP="003A3128">
      <w:pPr>
        <w:pStyle w:val="ESHeading1"/>
        <w:rPr>
          <w:rFonts w:ascii="Calibri" w:hAnsi="Calibri" w:cs="Calibri"/>
        </w:rPr>
      </w:pPr>
      <w:bookmarkStart w:id="2011" w:name="_Toc81315408"/>
      <w:r w:rsidRPr="005734B8">
        <w:rPr>
          <w:rFonts w:ascii="Calibri" w:hAnsi="Calibri" w:cs="Calibri"/>
        </w:rPr>
        <w:lastRenderedPageBreak/>
        <w:t>Appendices</w:t>
      </w:r>
      <w:bookmarkEnd w:id="1753"/>
      <w:bookmarkEnd w:id="1754"/>
      <w:bookmarkEnd w:id="1755"/>
      <w:bookmarkEnd w:id="1756"/>
      <w:bookmarkEnd w:id="1757"/>
      <w:bookmarkEnd w:id="1758"/>
      <w:bookmarkEnd w:id="1759"/>
      <w:bookmarkEnd w:id="1760"/>
      <w:bookmarkEnd w:id="1761"/>
      <w:bookmarkEnd w:id="1762"/>
      <w:bookmarkEnd w:id="1763"/>
      <w:bookmarkEnd w:id="2011"/>
    </w:p>
    <w:p w14:paraId="3E8EE4FB" w14:textId="76A3390B" w:rsidR="00B40FB0" w:rsidRPr="005734B8" w:rsidRDefault="003A3128">
      <w:pPr>
        <w:pStyle w:val="TOC1"/>
        <w:tabs>
          <w:tab w:val="left" w:pos="1320"/>
        </w:tabs>
        <w:rPr>
          <w:rFonts w:eastAsiaTheme="minorEastAsia"/>
          <w:b w:val="0"/>
          <w:bCs w:val="0"/>
          <w:caps w:val="0"/>
          <w:lang w:val="en-AU" w:eastAsia="en-AU"/>
        </w:rPr>
      </w:pPr>
      <w:r w:rsidRPr="005734B8">
        <w:rPr>
          <w:color w:val="AF272F"/>
        </w:rPr>
        <w:fldChar w:fldCharType="begin"/>
      </w:r>
      <w:r w:rsidRPr="005734B8">
        <w:instrText xml:space="preserve"> TOC \t "ES_Appendix 1,1" </w:instrText>
      </w:r>
      <w:r w:rsidRPr="005734B8">
        <w:rPr>
          <w:color w:val="AF272F"/>
        </w:rPr>
        <w:fldChar w:fldCharType="separate"/>
      </w:r>
      <w:r w:rsidR="00B40FB0" w:rsidRPr="005734B8">
        <w:t>Appendix 1</w:t>
      </w:r>
      <w:r w:rsidR="00B40FB0" w:rsidRPr="005734B8">
        <w:rPr>
          <w:rFonts w:eastAsiaTheme="minorEastAsia"/>
          <w:b w:val="0"/>
          <w:bCs w:val="0"/>
          <w:caps w:val="0"/>
          <w:lang w:val="en-AU" w:eastAsia="en-AU"/>
        </w:rPr>
        <w:tab/>
      </w:r>
      <w:r w:rsidR="00B40FB0" w:rsidRPr="005734B8">
        <w:t>Disclosure index</w:t>
      </w:r>
      <w:r w:rsidR="00B40FB0" w:rsidRPr="005734B8">
        <w:tab/>
      </w:r>
      <w:r w:rsidR="00B40FB0" w:rsidRPr="005734B8">
        <w:fldChar w:fldCharType="begin"/>
      </w:r>
      <w:r w:rsidR="00B40FB0" w:rsidRPr="005734B8">
        <w:instrText xml:space="preserve"> PAGEREF _Toc80361027 \h </w:instrText>
      </w:r>
      <w:r w:rsidR="00B40FB0" w:rsidRPr="005734B8">
        <w:fldChar w:fldCharType="separate"/>
      </w:r>
      <w:r w:rsidR="00606DA8">
        <w:t>203</w:t>
      </w:r>
      <w:r w:rsidR="00B40FB0" w:rsidRPr="005734B8">
        <w:fldChar w:fldCharType="end"/>
      </w:r>
    </w:p>
    <w:p w14:paraId="0AF359DD" w14:textId="4AA660EE" w:rsidR="00B40FB0" w:rsidRPr="005734B8" w:rsidRDefault="00B40FB0">
      <w:pPr>
        <w:pStyle w:val="TOC1"/>
        <w:tabs>
          <w:tab w:val="left" w:pos="1320"/>
        </w:tabs>
        <w:rPr>
          <w:rFonts w:eastAsiaTheme="minorEastAsia"/>
          <w:b w:val="0"/>
          <w:bCs w:val="0"/>
          <w:caps w:val="0"/>
          <w:lang w:val="en-AU" w:eastAsia="en-AU"/>
        </w:rPr>
      </w:pPr>
      <w:r w:rsidRPr="005734B8">
        <w:t>Appendix 2</w:t>
      </w:r>
      <w:r w:rsidRPr="005734B8">
        <w:rPr>
          <w:rFonts w:eastAsiaTheme="minorEastAsia"/>
          <w:b w:val="0"/>
          <w:bCs w:val="0"/>
          <w:caps w:val="0"/>
          <w:lang w:val="en-AU" w:eastAsia="en-AU"/>
        </w:rPr>
        <w:tab/>
      </w:r>
      <w:r w:rsidRPr="005734B8">
        <w:t>Budget portfolio outcomes</w:t>
      </w:r>
      <w:r w:rsidRPr="005734B8">
        <w:tab/>
      </w:r>
      <w:r w:rsidRPr="005734B8">
        <w:fldChar w:fldCharType="begin"/>
      </w:r>
      <w:r w:rsidRPr="005734B8">
        <w:instrText xml:space="preserve"> PAGEREF _Toc80361028 \h </w:instrText>
      </w:r>
      <w:r w:rsidRPr="005734B8">
        <w:fldChar w:fldCharType="separate"/>
      </w:r>
      <w:r w:rsidR="00606DA8">
        <w:t>206</w:t>
      </w:r>
      <w:r w:rsidRPr="005734B8">
        <w:fldChar w:fldCharType="end"/>
      </w:r>
    </w:p>
    <w:p w14:paraId="34CB1D3F" w14:textId="43611229" w:rsidR="00B40FB0" w:rsidRPr="005734B8" w:rsidRDefault="00B40FB0">
      <w:pPr>
        <w:pStyle w:val="TOC1"/>
        <w:tabs>
          <w:tab w:val="left" w:pos="1320"/>
        </w:tabs>
        <w:rPr>
          <w:rFonts w:eastAsiaTheme="minorEastAsia"/>
          <w:b w:val="0"/>
          <w:bCs w:val="0"/>
          <w:caps w:val="0"/>
          <w:lang w:val="en-AU" w:eastAsia="en-AU"/>
        </w:rPr>
      </w:pPr>
      <w:r w:rsidRPr="005734B8">
        <w:t>Appendix 3</w:t>
      </w:r>
      <w:r w:rsidRPr="005734B8">
        <w:rPr>
          <w:rFonts w:eastAsiaTheme="minorEastAsia"/>
          <w:b w:val="0"/>
          <w:bCs w:val="0"/>
          <w:caps w:val="0"/>
          <w:lang w:val="en-AU" w:eastAsia="en-AU"/>
        </w:rPr>
        <w:tab/>
      </w:r>
      <w:r w:rsidRPr="005734B8">
        <w:t>Statutory bodies’ reports</w:t>
      </w:r>
      <w:r w:rsidRPr="005734B8">
        <w:tab/>
      </w:r>
      <w:r w:rsidRPr="005734B8">
        <w:fldChar w:fldCharType="begin"/>
      </w:r>
      <w:r w:rsidRPr="005734B8">
        <w:instrText xml:space="preserve"> PAGEREF _Toc80361029 \h </w:instrText>
      </w:r>
      <w:r w:rsidRPr="005734B8">
        <w:fldChar w:fldCharType="separate"/>
      </w:r>
      <w:r w:rsidR="00606DA8">
        <w:t>219</w:t>
      </w:r>
      <w:r w:rsidRPr="005734B8">
        <w:fldChar w:fldCharType="end"/>
      </w:r>
    </w:p>
    <w:p w14:paraId="6F2DC8EF" w14:textId="3F648714" w:rsidR="00B40FB0" w:rsidRPr="005734B8" w:rsidRDefault="00B40FB0">
      <w:pPr>
        <w:pStyle w:val="TOC1"/>
        <w:tabs>
          <w:tab w:val="left" w:pos="1320"/>
        </w:tabs>
        <w:rPr>
          <w:rFonts w:eastAsiaTheme="minorEastAsia"/>
          <w:b w:val="0"/>
          <w:bCs w:val="0"/>
          <w:caps w:val="0"/>
          <w:lang w:val="en-AU" w:eastAsia="en-AU"/>
        </w:rPr>
      </w:pPr>
      <w:r w:rsidRPr="005734B8">
        <w:t>Appendix 4</w:t>
      </w:r>
      <w:r w:rsidRPr="005734B8">
        <w:rPr>
          <w:rFonts w:eastAsiaTheme="minorEastAsia"/>
          <w:b w:val="0"/>
          <w:bCs w:val="0"/>
          <w:caps w:val="0"/>
          <w:lang w:val="en-AU" w:eastAsia="en-AU"/>
        </w:rPr>
        <w:tab/>
      </w:r>
      <w:r w:rsidRPr="005734B8">
        <w:t>Acronyms and abbreviations</w:t>
      </w:r>
      <w:r w:rsidRPr="005734B8">
        <w:tab/>
      </w:r>
      <w:r w:rsidRPr="005734B8">
        <w:fldChar w:fldCharType="begin"/>
      </w:r>
      <w:r w:rsidRPr="005734B8">
        <w:instrText xml:space="preserve"> PAGEREF _Toc80361030 \h </w:instrText>
      </w:r>
      <w:r w:rsidRPr="005734B8">
        <w:fldChar w:fldCharType="separate"/>
      </w:r>
      <w:r w:rsidR="00606DA8">
        <w:t>235</w:t>
      </w:r>
      <w:r w:rsidRPr="005734B8">
        <w:fldChar w:fldCharType="end"/>
      </w:r>
    </w:p>
    <w:p w14:paraId="4A826ADD" w14:textId="7DB6531A" w:rsidR="00B40FB0" w:rsidRPr="005734B8" w:rsidRDefault="00B40FB0" w:rsidP="00B40FB0">
      <w:pPr>
        <w:pStyle w:val="TOC1"/>
        <w:tabs>
          <w:tab w:val="left" w:pos="1320"/>
        </w:tabs>
      </w:pPr>
      <w:r w:rsidRPr="005734B8">
        <w:t>Appendix 5</w:t>
      </w:r>
      <w:r w:rsidRPr="005734B8">
        <w:rPr>
          <w:rFonts w:eastAsiaTheme="minorEastAsia"/>
          <w:b w:val="0"/>
          <w:bCs w:val="0"/>
          <w:caps w:val="0"/>
          <w:lang w:val="en-AU" w:eastAsia="en-AU"/>
        </w:rPr>
        <w:tab/>
      </w:r>
      <w:r w:rsidRPr="005734B8">
        <w:t>Grants and transfer payments (other than contributions by owners)</w:t>
      </w:r>
      <w:r w:rsidRPr="005734B8">
        <w:tab/>
        <w:t>………………………………………………………………………………………………………..</w:t>
      </w:r>
      <w:r w:rsidRPr="005734B8">
        <w:fldChar w:fldCharType="begin"/>
      </w:r>
      <w:r w:rsidRPr="005734B8">
        <w:instrText xml:space="preserve"> PAGEREF _Toc80361031 \h </w:instrText>
      </w:r>
      <w:r w:rsidRPr="005734B8">
        <w:fldChar w:fldCharType="separate"/>
      </w:r>
      <w:r w:rsidR="00606DA8">
        <w:t>237</w:t>
      </w:r>
      <w:r w:rsidRPr="005734B8">
        <w:fldChar w:fldCharType="end"/>
      </w:r>
    </w:p>
    <w:p w14:paraId="134D8FCB" w14:textId="084A8BD0" w:rsidR="003A3128" w:rsidRPr="005734B8" w:rsidRDefault="003A3128" w:rsidP="003A3128">
      <w:pPr>
        <w:rPr>
          <w:rFonts w:ascii="Calibri" w:hAnsi="Calibri" w:cs="Calibri"/>
          <w:highlight w:val="yellow"/>
          <w:lang w:val="en-US"/>
        </w:rPr>
      </w:pPr>
      <w:r w:rsidRPr="005734B8">
        <w:rPr>
          <w:rFonts w:ascii="Calibri" w:hAnsi="Calibri" w:cs="Calibri"/>
        </w:rPr>
        <w:fldChar w:fldCharType="end"/>
      </w:r>
    </w:p>
    <w:p w14:paraId="5777BFAC" w14:textId="77777777" w:rsidR="003A3128" w:rsidRPr="005734B8" w:rsidRDefault="003A3128" w:rsidP="003A3128">
      <w:pPr>
        <w:rPr>
          <w:rFonts w:ascii="Calibri" w:hAnsi="Calibri" w:cs="Calibri"/>
          <w:highlight w:val="yellow"/>
          <w:lang w:val="en-US"/>
        </w:rPr>
        <w:sectPr w:rsidR="003A3128" w:rsidRPr="005734B8" w:rsidSect="003B3A5C">
          <w:headerReference w:type="default" r:id="rId75"/>
          <w:footerReference w:type="default" r:id="rId76"/>
          <w:pgSz w:w="11900" w:h="16840"/>
          <w:pgMar w:top="1440" w:right="1134" w:bottom="1440" w:left="2835" w:header="708" w:footer="708" w:gutter="0"/>
          <w:cols w:space="708"/>
          <w:docGrid w:linePitch="360"/>
        </w:sectPr>
      </w:pPr>
    </w:p>
    <w:p w14:paraId="21922B8D" w14:textId="7192D5F9" w:rsidR="003A3128" w:rsidRPr="00FE5E0C" w:rsidRDefault="000657F0" w:rsidP="00FE5E0C">
      <w:pPr>
        <w:pStyle w:val="ESAppendix1"/>
      </w:pPr>
      <w:bookmarkStart w:id="2012" w:name="_Toc11158321"/>
      <w:bookmarkStart w:id="2013" w:name="_Toc11336507"/>
      <w:bookmarkStart w:id="2014" w:name="_Toc14965733"/>
      <w:bookmarkStart w:id="2015" w:name="_Toc15985097"/>
      <w:bookmarkStart w:id="2016" w:name="_Toc15985178"/>
      <w:bookmarkStart w:id="2017" w:name="_Toc19272306"/>
      <w:bookmarkStart w:id="2018" w:name="_Toc19272672"/>
      <w:bookmarkStart w:id="2019" w:name="_Toc19274007"/>
      <w:bookmarkStart w:id="2020" w:name="_Toc48402863"/>
      <w:bookmarkStart w:id="2021" w:name="_Toc48403100"/>
      <w:bookmarkStart w:id="2022" w:name="_Toc51332843"/>
      <w:bookmarkStart w:id="2023" w:name="_Toc80272106"/>
      <w:bookmarkStart w:id="2024" w:name="_Toc80361027"/>
      <w:bookmarkStart w:id="2025" w:name="_Toc81315409"/>
      <w:r w:rsidRPr="00FE5E0C">
        <w:lastRenderedPageBreak/>
        <w:t>Disclosure index</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p>
    <w:p w14:paraId="29E5F863" w14:textId="1C6BF009" w:rsidR="000657F0" w:rsidRPr="005734B8" w:rsidRDefault="000657F0" w:rsidP="00897E30">
      <w:pPr>
        <w:rPr>
          <w:rFonts w:ascii="Calibri" w:hAnsi="Calibri" w:cs="Calibri"/>
        </w:rPr>
      </w:pPr>
      <w:r w:rsidRPr="005734B8">
        <w:rPr>
          <w:rFonts w:ascii="Calibri" w:hAnsi="Calibri" w:cs="Calibri"/>
        </w:rPr>
        <w:t>The annual report of the Department is prepared in accordance with all relevant Victorian legislation and pronouncements. This index has been prepared to facilitate identification of the Department’s compliance with statutory disclosure requirements.</w:t>
      </w:r>
    </w:p>
    <w:p w14:paraId="73E44D74" w14:textId="77777777" w:rsidR="00897E30" w:rsidRPr="005734B8" w:rsidRDefault="00897E30" w:rsidP="00897E30">
      <w:pPr>
        <w:rPr>
          <w:rFonts w:ascii="Calibri" w:hAnsi="Calibri" w:cs="Calibri"/>
        </w:rPr>
      </w:pPr>
    </w:p>
    <w:tbl>
      <w:tblPr>
        <w:tblStyle w:val="TableGrid"/>
        <w:tblW w:w="4948"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1"/>
        <w:gridCol w:w="5730"/>
        <w:gridCol w:w="838"/>
      </w:tblGrid>
      <w:tr w:rsidR="000657F0" w:rsidRPr="005734B8" w14:paraId="58165D6F" w14:textId="77777777" w:rsidTr="00337C16">
        <w:trPr>
          <w:cantSplit/>
          <w:trHeight w:val="43"/>
          <w:tblHeader/>
        </w:trPr>
        <w:tc>
          <w:tcPr>
            <w:tcW w:w="1271" w:type="dxa"/>
            <w:tcBorders>
              <w:bottom w:val="single" w:sz="4" w:space="0" w:color="FFFFFF" w:themeColor="background1"/>
            </w:tcBorders>
            <w:shd w:val="clear" w:color="auto" w:fill="AF272F"/>
          </w:tcPr>
          <w:p w14:paraId="7676B696" w14:textId="14EFD2DF" w:rsidR="000657F0" w:rsidRPr="005734B8" w:rsidRDefault="000657F0" w:rsidP="006C17D8">
            <w:pPr>
              <w:pStyle w:val="ESTableheadingwhite"/>
              <w:rPr>
                <w:rFonts w:ascii="Calibri" w:hAnsi="Calibri" w:cs="Calibri"/>
                <w:szCs w:val="19"/>
              </w:rPr>
            </w:pPr>
            <w:r w:rsidRPr="005734B8">
              <w:rPr>
                <w:rFonts w:ascii="Calibri" w:hAnsi="Calibri" w:cs="Calibri"/>
                <w:szCs w:val="19"/>
              </w:rPr>
              <w:t>Legislation</w:t>
            </w:r>
          </w:p>
        </w:tc>
        <w:tc>
          <w:tcPr>
            <w:tcW w:w="5730" w:type="dxa"/>
            <w:tcBorders>
              <w:bottom w:val="single" w:sz="4" w:space="0" w:color="FFFFFF" w:themeColor="background1"/>
            </w:tcBorders>
            <w:shd w:val="clear" w:color="auto" w:fill="AF272F" w:themeFill="accent4"/>
          </w:tcPr>
          <w:p w14:paraId="43479134" w14:textId="2428A872" w:rsidR="000657F0" w:rsidRPr="005734B8" w:rsidRDefault="000657F0" w:rsidP="006C17D8">
            <w:pPr>
              <w:pStyle w:val="ESTableheadingwhite"/>
              <w:rPr>
                <w:rFonts w:ascii="Calibri" w:hAnsi="Calibri" w:cs="Calibri"/>
                <w:szCs w:val="19"/>
              </w:rPr>
            </w:pPr>
            <w:r w:rsidRPr="005734B8">
              <w:rPr>
                <w:rFonts w:ascii="Calibri" w:hAnsi="Calibri" w:cs="Calibri"/>
                <w:szCs w:val="19"/>
              </w:rPr>
              <w:t>Requirement</w:t>
            </w:r>
          </w:p>
        </w:tc>
        <w:tc>
          <w:tcPr>
            <w:tcW w:w="838" w:type="dxa"/>
            <w:tcBorders>
              <w:bottom w:val="single" w:sz="4" w:space="0" w:color="FFFFFF" w:themeColor="background1"/>
            </w:tcBorders>
            <w:shd w:val="clear" w:color="auto" w:fill="AF272F" w:themeFill="accent4"/>
          </w:tcPr>
          <w:p w14:paraId="2B9A4358" w14:textId="308A349A" w:rsidR="000657F0" w:rsidRPr="005734B8" w:rsidRDefault="000657F0" w:rsidP="006C17D8">
            <w:pPr>
              <w:pStyle w:val="ESTableheadingwhite"/>
              <w:rPr>
                <w:rFonts w:ascii="Calibri" w:hAnsi="Calibri" w:cs="Calibri"/>
                <w:szCs w:val="19"/>
              </w:rPr>
            </w:pPr>
            <w:r w:rsidRPr="005734B8">
              <w:rPr>
                <w:rFonts w:ascii="Calibri" w:hAnsi="Calibri" w:cs="Calibri"/>
                <w:szCs w:val="19"/>
              </w:rPr>
              <w:t>Page</w:t>
            </w:r>
          </w:p>
        </w:tc>
      </w:tr>
      <w:tr w:rsidR="000657F0" w:rsidRPr="005734B8" w14:paraId="0C731E9D" w14:textId="77777777" w:rsidTr="006C17D8">
        <w:trPr>
          <w:cantSplit/>
          <w:trHeight w:val="43"/>
          <w:tblHeader/>
        </w:trPr>
        <w:tc>
          <w:tcPr>
            <w:tcW w:w="7839" w:type="dxa"/>
            <w:gridSpan w:val="3"/>
            <w:tcBorders>
              <w:bottom w:val="single" w:sz="4" w:space="0" w:color="FFFFFF" w:themeColor="background1"/>
            </w:tcBorders>
            <w:shd w:val="clear" w:color="auto" w:fill="53565A" w:themeFill="accent5"/>
          </w:tcPr>
          <w:p w14:paraId="74D0E1CB" w14:textId="1406D3CD" w:rsidR="000657F0" w:rsidRPr="005734B8" w:rsidRDefault="000657F0" w:rsidP="006C17D8">
            <w:pPr>
              <w:pStyle w:val="ESTableheadingwhite"/>
              <w:rPr>
                <w:rFonts w:ascii="Calibri" w:hAnsi="Calibri" w:cs="Calibri"/>
                <w:szCs w:val="19"/>
              </w:rPr>
            </w:pPr>
            <w:r w:rsidRPr="005734B8">
              <w:rPr>
                <w:rFonts w:ascii="Calibri" w:hAnsi="Calibri" w:cs="Calibri"/>
                <w:szCs w:val="19"/>
              </w:rPr>
              <w:t>Report of operations</w:t>
            </w:r>
          </w:p>
        </w:tc>
      </w:tr>
      <w:tr w:rsidR="006C17D8" w:rsidRPr="005734B8" w14:paraId="4AA6C517" w14:textId="77777777" w:rsidTr="006C17D8">
        <w:trPr>
          <w:cantSplit/>
          <w:trHeight w:val="415"/>
        </w:trPr>
        <w:tc>
          <w:tcPr>
            <w:tcW w:w="7839" w:type="dxa"/>
            <w:gridSpan w:val="3"/>
            <w:tcBorders>
              <w:top w:val="single" w:sz="4" w:space="0" w:color="FFFFFF" w:themeColor="background1"/>
              <w:bottom w:val="single" w:sz="4" w:space="0" w:color="auto"/>
            </w:tcBorders>
            <w:shd w:val="clear" w:color="auto" w:fill="D9D9D6" w:themeFill="accent6"/>
          </w:tcPr>
          <w:p w14:paraId="7471BE84" w14:textId="40F8713F" w:rsidR="006C17D8" w:rsidRPr="005734B8" w:rsidRDefault="006C17D8" w:rsidP="006C17D8">
            <w:pPr>
              <w:pStyle w:val="ESTablebody"/>
              <w:rPr>
                <w:rFonts w:ascii="Calibri" w:hAnsi="Calibri" w:cs="Calibri"/>
                <w:b/>
                <w:sz w:val="19"/>
                <w:szCs w:val="19"/>
                <w:lang w:val="en-AU"/>
              </w:rPr>
            </w:pPr>
            <w:r w:rsidRPr="005734B8">
              <w:rPr>
                <w:rFonts w:ascii="Calibri" w:hAnsi="Calibri" w:cs="Calibri"/>
                <w:b/>
                <w:sz w:val="19"/>
                <w:szCs w:val="19"/>
              </w:rPr>
              <w:t>Charter and purpose</w:t>
            </w:r>
          </w:p>
        </w:tc>
      </w:tr>
      <w:tr w:rsidR="000657F0" w:rsidRPr="005734B8" w14:paraId="2D0D49DB" w14:textId="77777777" w:rsidTr="00337C16">
        <w:trPr>
          <w:cantSplit/>
          <w:trHeight w:val="415"/>
        </w:trPr>
        <w:tc>
          <w:tcPr>
            <w:tcW w:w="1271" w:type="dxa"/>
            <w:tcBorders>
              <w:top w:val="single" w:sz="4" w:space="0" w:color="auto"/>
              <w:bottom w:val="single" w:sz="4" w:space="0" w:color="auto"/>
            </w:tcBorders>
            <w:shd w:val="clear" w:color="auto" w:fill="auto"/>
          </w:tcPr>
          <w:p w14:paraId="7AE3D600" w14:textId="0027842C" w:rsidR="000657F0" w:rsidRPr="005734B8" w:rsidRDefault="00337C16" w:rsidP="006C17D8">
            <w:pPr>
              <w:pStyle w:val="ESTablebody"/>
              <w:rPr>
                <w:rFonts w:ascii="Calibri" w:hAnsi="Calibri" w:cs="Calibri"/>
                <w:sz w:val="19"/>
                <w:szCs w:val="19"/>
              </w:rPr>
            </w:pPr>
            <w:r w:rsidRPr="005734B8">
              <w:rPr>
                <w:rFonts w:ascii="Calibri" w:hAnsi="Calibri" w:cs="Calibri"/>
                <w:sz w:val="19"/>
                <w:szCs w:val="19"/>
              </w:rPr>
              <w:t>FRD 22</w:t>
            </w:r>
            <w:r w:rsidR="003F0894" w:rsidRPr="005734B8">
              <w:rPr>
                <w:rFonts w:ascii="Calibri" w:hAnsi="Calibri" w:cs="Calibri"/>
                <w:sz w:val="19"/>
                <w:szCs w:val="19"/>
              </w:rPr>
              <w:t>I</w:t>
            </w:r>
          </w:p>
        </w:tc>
        <w:tc>
          <w:tcPr>
            <w:tcW w:w="5730" w:type="dxa"/>
            <w:tcBorders>
              <w:top w:val="single" w:sz="4" w:space="0" w:color="auto"/>
              <w:bottom w:val="single" w:sz="4" w:space="0" w:color="auto"/>
            </w:tcBorders>
          </w:tcPr>
          <w:p w14:paraId="1195A541" w14:textId="139DBC9F" w:rsidR="000657F0" w:rsidRPr="005734B8" w:rsidRDefault="00337C16" w:rsidP="006C17D8">
            <w:pPr>
              <w:pStyle w:val="ESTablebody"/>
              <w:rPr>
                <w:rFonts w:ascii="Calibri" w:hAnsi="Calibri" w:cs="Calibri"/>
                <w:sz w:val="19"/>
                <w:szCs w:val="19"/>
                <w:lang w:val="en-AU"/>
              </w:rPr>
            </w:pPr>
            <w:r w:rsidRPr="005734B8">
              <w:rPr>
                <w:rFonts w:ascii="Calibri" w:hAnsi="Calibri" w:cs="Calibri"/>
                <w:sz w:val="19"/>
                <w:szCs w:val="19"/>
                <w:lang w:val="en-AU"/>
              </w:rPr>
              <w:t>Manner of establishment and the relevant ministers</w:t>
            </w:r>
          </w:p>
        </w:tc>
        <w:tc>
          <w:tcPr>
            <w:tcW w:w="838" w:type="dxa"/>
            <w:tcBorders>
              <w:top w:val="single" w:sz="4" w:space="0" w:color="auto"/>
              <w:bottom w:val="single" w:sz="4" w:space="0" w:color="auto"/>
            </w:tcBorders>
          </w:tcPr>
          <w:p w14:paraId="34F16DC7" w14:textId="2762EC95" w:rsidR="000657F0" w:rsidRPr="005734B8" w:rsidRDefault="00652BCF" w:rsidP="002C1821">
            <w:pPr>
              <w:pStyle w:val="ESTablebody"/>
              <w:jc w:val="right"/>
              <w:rPr>
                <w:rFonts w:ascii="Calibri" w:hAnsi="Calibri" w:cs="Calibri"/>
                <w:sz w:val="19"/>
                <w:szCs w:val="19"/>
                <w:highlight w:val="yellow"/>
                <w:lang w:val="en-AU"/>
              </w:rPr>
            </w:pPr>
            <w:r w:rsidRPr="005734B8">
              <w:rPr>
                <w:rFonts w:ascii="Calibri" w:hAnsi="Calibri" w:cs="Calibri"/>
                <w:sz w:val="19"/>
                <w:szCs w:val="19"/>
                <w:lang w:val="en-AU"/>
              </w:rPr>
              <w:t>5</w:t>
            </w:r>
            <w:r w:rsidR="0040764B" w:rsidRPr="005734B8">
              <w:rPr>
                <w:rFonts w:ascii="Calibri" w:hAnsi="Calibri" w:cs="Calibri"/>
                <w:sz w:val="19"/>
                <w:szCs w:val="19"/>
                <w:lang w:val="en-AU"/>
              </w:rPr>
              <w:t>2</w:t>
            </w:r>
          </w:p>
        </w:tc>
      </w:tr>
      <w:tr w:rsidR="006C17D8" w:rsidRPr="005734B8" w14:paraId="3C03E6A8" w14:textId="77777777" w:rsidTr="00337C16">
        <w:trPr>
          <w:cantSplit/>
          <w:trHeight w:val="415"/>
        </w:trPr>
        <w:tc>
          <w:tcPr>
            <w:tcW w:w="1271" w:type="dxa"/>
            <w:tcBorders>
              <w:top w:val="single" w:sz="4" w:space="0" w:color="auto"/>
              <w:bottom w:val="single" w:sz="4" w:space="0" w:color="auto"/>
            </w:tcBorders>
            <w:shd w:val="clear" w:color="auto" w:fill="auto"/>
          </w:tcPr>
          <w:p w14:paraId="082529B2" w14:textId="6FDA0170" w:rsidR="006C17D8" w:rsidRPr="005734B8" w:rsidRDefault="00337C16" w:rsidP="006C17D8">
            <w:pPr>
              <w:pStyle w:val="ESTablebody"/>
              <w:rPr>
                <w:rFonts w:ascii="Calibri" w:hAnsi="Calibri" w:cs="Calibri"/>
                <w:sz w:val="19"/>
                <w:szCs w:val="19"/>
                <w:highlight w:val="yellow"/>
              </w:rPr>
            </w:pPr>
            <w:r w:rsidRPr="005734B8">
              <w:rPr>
                <w:rFonts w:ascii="Calibri" w:hAnsi="Calibri" w:cs="Calibri"/>
                <w:sz w:val="19"/>
                <w:szCs w:val="19"/>
              </w:rPr>
              <w:t>FRD 22</w:t>
            </w:r>
            <w:r w:rsidR="009411A1" w:rsidRPr="005734B8">
              <w:rPr>
                <w:rFonts w:ascii="Calibri" w:hAnsi="Calibri" w:cs="Calibri"/>
                <w:sz w:val="19"/>
                <w:szCs w:val="19"/>
              </w:rPr>
              <w:t>I</w:t>
            </w:r>
          </w:p>
        </w:tc>
        <w:tc>
          <w:tcPr>
            <w:tcW w:w="5730" w:type="dxa"/>
            <w:tcBorders>
              <w:top w:val="single" w:sz="4" w:space="0" w:color="auto"/>
              <w:bottom w:val="single" w:sz="4" w:space="0" w:color="auto"/>
            </w:tcBorders>
          </w:tcPr>
          <w:p w14:paraId="14BD436B" w14:textId="19D6261E" w:rsidR="006C17D8" w:rsidRPr="005734B8" w:rsidRDefault="00337C16" w:rsidP="006C17D8">
            <w:pPr>
              <w:pStyle w:val="ESTablebody"/>
              <w:rPr>
                <w:rFonts w:ascii="Calibri" w:hAnsi="Calibri" w:cs="Calibri"/>
                <w:sz w:val="19"/>
                <w:szCs w:val="19"/>
                <w:highlight w:val="yellow"/>
                <w:lang w:val="en-AU"/>
              </w:rPr>
            </w:pPr>
            <w:r w:rsidRPr="005734B8">
              <w:rPr>
                <w:rFonts w:ascii="Calibri" w:hAnsi="Calibri" w:cs="Calibri"/>
                <w:sz w:val="19"/>
                <w:szCs w:val="19"/>
                <w:lang w:val="en-AU"/>
              </w:rPr>
              <w:t>Purpose, functions, power and duties</w:t>
            </w:r>
          </w:p>
        </w:tc>
        <w:tc>
          <w:tcPr>
            <w:tcW w:w="838" w:type="dxa"/>
            <w:tcBorders>
              <w:top w:val="single" w:sz="4" w:space="0" w:color="auto"/>
              <w:bottom w:val="single" w:sz="4" w:space="0" w:color="auto"/>
            </w:tcBorders>
          </w:tcPr>
          <w:p w14:paraId="3BD02ABA" w14:textId="37B95E8F" w:rsidR="006C17D8" w:rsidRPr="00CA7D6D" w:rsidRDefault="00CA7D6D" w:rsidP="007429B1">
            <w:pPr>
              <w:pStyle w:val="ESTablebody"/>
              <w:jc w:val="right"/>
              <w:rPr>
                <w:rFonts w:ascii="Calibri" w:hAnsi="Calibri" w:cs="Calibri"/>
                <w:sz w:val="19"/>
                <w:szCs w:val="19"/>
                <w:lang w:val="en-AU"/>
              </w:rPr>
            </w:pPr>
            <w:r w:rsidRPr="00CA7D6D">
              <w:rPr>
                <w:rFonts w:ascii="Calibri" w:hAnsi="Calibri" w:cs="Calibri"/>
                <w:sz w:val="19"/>
                <w:szCs w:val="19"/>
                <w:lang w:val="en-AU"/>
              </w:rPr>
              <w:t>7</w:t>
            </w:r>
          </w:p>
        </w:tc>
      </w:tr>
      <w:tr w:rsidR="006C17D8" w:rsidRPr="005734B8" w14:paraId="11E48DEB" w14:textId="77777777" w:rsidTr="00337C16">
        <w:trPr>
          <w:cantSplit/>
          <w:trHeight w:val="415"/>
        </w:trPr>
        <w:tc>
          <w:tcPr>
            <w:tcW w:w="1271" w:type="dxa"/>
            <w:tcBorders>
              <w:top w:val="single" w:sz="4" w:space="0" w:color="auto"/>
              <w:bottom w:val="single" w:sz="4" w:space="0" w:color="auto"/>
            </w:tcBorders>
            <w:shd w:val="clear" w:color="auto" w:fill="auto"/>
          </w:tcPr>
          <w:p w14:paraId="163EA6F6" w14:textId="135EDAE2" w:rsidR="006C17D8" w:rsidRPr="005734B8" w:rsidRDefault="00337C16" w:rsidP="006C17D8">
            <w:pPr>
              <w:pStyle w:val="ESTablebody"/>
              <w:rPr>
                <w:rFonts w:ascii="Calibri" w:hAnsi="Calibri" w:cs="Calibri"/>
                <w:sz w:val="19"/>
                <w:szCs w:val="19"/>
              </w:rPr>
            </w:pPr>
            <w:r w:rsidRPr="005734B8">
              <w:rPr>
                <w:rFonts w:ascii="Calibri" w:hAnsi="Calibri" w:cs="Calibri"/>
                <w:sz w:val="19"/>
                <w:szCs w:val="19"/>
              </w:rPr>
              <w:t>FRD 8D</w:t>
            </w:r>
          </w:p>
        </w:tc>
        <w:tc>
          <w:tcPr>
            <w:tcW w:w="5730" w:type="dxa"/>
            <w:tcBorders>
              <w:top w:val="single" w:sz="4" w:space="0" w:color="auto"/>
              <w:bottom w:val="single" w:sz="4" w:space="0" w:color="auto"/>
            </w:tcBorders>
          </w:tcPr>
          <w:p w14:paraId="7C97F7F1" w14:textId="309ED4F1" w:rsidR="006C17D8" w:rsidRPr="005734B8" w:rsidRDefault="00337C16" w:rsidP="006C17D8">
            <w:pPr>
              <w:pStyle w:val="ESTablebody"/>
              <w:rPr>
                <w:rFonts w:ascii="Calibri" w:hAnsi="Calibri" w:cs="Calibri"/>
                <w:sz w:val="19"/>
                <w:szCs w:val="19"/>
                <w:lang w:val="en-AU"/>
              </w:rPr>
            </w:pPr>
            <w:r w:rsidRPr="005734B8">
              <w:rPr>
                <w:rFonts w:ascii="Calibri" w:hAnsi="Calibri" w:cs="Calibri"/>
                <w:sz w:val="19"/>
                <w:szCs w:val="19"/>
                <w:lang w:val="en-AU"/>
              </w:rPr>
              <w:t>Departmental objectives, indicators and outputs</w:t>
            </w:r>
          </w:p>
        </w:tc>
        <w:tc>
          <w:tcPr>
            <w:tcW w:w="838" w:type="dxa"/>
            <w:tcBorders>
              <w:top w:val="single" w:sz="4" w:space="0" w:color="auto"/>
              <w:bottom w:val="single" w:sz="4" w:space="0" w:color="auto"/>
            </w:tcBorders>
          </w:tcPr>
          <w:p w14:paraId="6D0FCAD0" w14:textId="05B4B999" w:rsidR="006C17D8" w:rsidRPr="005734B8" w:rsidRDefault="0068538E" w:rsidP="007429B1">
            <w:pPr>
              <w:pStyle w:val="ESTablebody"/>
              <w:jc w:val="right"/>
              <w:rPr>
                <w:rFonts w:ascii="Calibri" w:hAnsi="Calibri" w:cs="Calibri"/>
                <w:sz w:val="19"/>
                <w:szCs w:val="19"/>
                <w:highlight w:val="yellow"/>
                <w:lang w:val="en-AU"/>
              </w:rPr>
            </w:pPr>
            <w:r w:rsidRPr="005734B8">
              <w:rPr>
                <w:rFonts w:ascii="Calibri" w:hAnsi="Calibri" w:cs="Calibri"/>
                <w:sz w:val="19"/>
                <w:szCs w:val="19"/>
                <w:lang w:val="en-AU"/>
              </w:rPr>
              <w:t>12</w:t>
            </w:r>
          </w:p>
        </w:tc>
      </w:tr>
      <w:tr w:rsidR="006C17D8" w:rsidRPr="005734B8" w14:paraId="3604A556" w14:textId="77777777" w:rsidTr="00337C16">
        <w:trPr>
          <w:cantSplit/>
          <w:trHeight w:val="415"/>
        </w:trPr>
        <w:tc>
          <w:tcPr>
            <w:tcW w:w="1271" w:type="dxa"/>
            <w:tcBorders>
              <w:top w:val="single" w:sz="4" w:space="0" w:color="auto"/>
              <w:bottom w:val="single" w:sz="4" w:space="0" w:color="auto"/>
            </w:tcBorders>
            <w:shd w:val="clear" w:color="auto" w:fill="auto"/>
          </w:tcPr>
          <w:p w14:paraId="01B72C1D" w14:textId="5594AB1A" w:rsidR="006C17D8" w:rsidRPr="005734B8" w:rsidRDefault="00337C16" w:rsidP="006C17D8">
            <w:pPr>
              <w:pStyle w:val="ESTablebody"/>
              <w:rPr>
                <w:rFonts w:ascii="Calibri" w:hAnsi="Calibri" w:cs="Calibri"/>
                <w:sz w:val="19"/>
                <w:szCs w:val="19"/>
              </w:rPr>
            </w:pPr>
            <w:r w:rsidRPr="005734B8">
              <w:rPr>
                <w:rFonts w:ascii="Calibri" w:hAnsi="Calibri" w:cs="Calibri"/>
                <w:sz w:val="19"/>
                <w:szCs w:val="19"/>
              </w:rPr>
              <w:t>FRD 22</w:t>
            </w:r>
            <w:r w:rsidR="00D05FE3" w:rsidRPr="005734B8">
              <w:rPr>
                <w:rFonts w:ascii="Calibri" w:hAnsi="Calibri" w:cs="Calibri"/>
                <w:sz w:val="19"/>
                <w:szCs w:val="19"/>
              </w:rPr>
              <w:t>I</w:t>
            </w:r>
          </w:p>
        </w:tc>
        <w:tc>
          <w:tcPr>
            <w:tcW w:w="5730" w:type="dxa"/>
            <w:tcBorders>
              <w:top w:val="single" w:sz="4" w:space="0" w:color="auto"/>
              <w:bottom w:val="single" w:sz="4" w:space="0" w:color="auto"/>
            </w:tcBorders>
          </w:tcPr>
          <w:p w14:paraId="6B23FFC4" w14:textId="7784C1DD" w:rsidR="006C17D8" w:rsidRPr="005734B8" w:rsidRDefault="00337C16" w:rsidP="006C17D8">
            <w:pPr>
              <w:pStyle w:val="ESTablebody"/>
              <w:rPr>
                <w:rFonts w:ascii="Calibri" w:hAnsi="Calibri" w:cs="Calibri"/>
                <w:sz w:val="19"/>
                <w:szCs w:val="19"/>
                <w:lang w:val="en-AU"/>
              </w:rPr>
            </w:pPr>
            <w:r w:rsidRPr="005734B8">
              <w:rPr>
                <w:rFonts w:ascii="Calibri" w:hAnsi="Calibri" w:cs="Calibri"/>
                <w:sz w:val="19"/>
                <w:szCs w:val="19"/>
                <w:lang w:val="en-AU"/>
              </w:rPr>
              <w:t>Key initiatives and projects</w:t>
            </w:r>
          </w:p>
        </w:tc>
        <w:tc>
          <w:tcPr>
            <w:tcW w:w="838" w:type="dxa"/>
            <w:tcBorders>
              <w:top w:val="single" w:sz="4" w:space="0" w:color="auto"/>
              <w:bottom w:val="single" w:sz="4" w:space="0" w:color="auto"/>
            </w:tcBorders>
          </w:tcPr>
          <w:p w14:paraId="5F17FAFD" w14:textId="06E9A79C" w:rsidR="006C17D8" w:rsidRPr="00CA7D6D" w:rsidRDefault="00CA7D6D" w:rsidP="007429B1">
            <w:pPr>
              <w:pStyle w:val="ESTablebody"/>
              <w:jc w:val="right"/>
              <w:rPr>
                <w:rFonts w:ascii="Calibri" w:hAnsi="Calibri" w:cs="Calibri"/>
                <w:sz w:val="19"/>
                <w:szCs w:val="19"/>
                <w:lang w:val="en-AU"/>
              </w:rPr>
            </w:pPr>
            <w:r w:rsidRPr="00CA7D6D">
              <w:rPr>
                <w:rFonts w:ascii="Calibri" w:hAnsi="Calibri" w:cs="Calibri"/>
                <w:sz w:val="19"/>
                <w:szCs w:val="19"/>
                <w:lang w:val="en-AU"/>
              </w:rPr>
              <w:t>8</w:t>
            </w:r>
          </w:p>
        </w:tc>
      </w:tr>
      <w:tr w:rsidR="006C17D8" w:rsidRPr="005734B8" w14:paraId="0D04AD13" w14:textId="77777777" w:rsidTr="00337C16">
        <w:trPr>
          <w:cantSplit/>
          <w:trHeight w:val="415"/>
        </w:trPr>
        <w:tc>
          <w:tcPr>
            <w:tcW w:w="1271" w:type="dxa"/>
            <w:tcBorders>
              <w:top w:val="single" w:sz="4" w:space="0" w:color="auto"/>
              <w:bottom w:val="single" w:sz="4" w:space="0" w:color="auto"/>
            </w:tcBorders>
            <w:shd w:val="clear" w:color="auto" w:fill="auto"/>
          </w:tcPr>
          <w:p w14:paraId="6B479D85" w14:textId="78ADE397" w:rsidR="006C17D8" w:rsidRPr="005734B8" w:rsidRDefault="00337C16" w:rsidP="006C17D8">
            <w:pPr>
              <w:pStyle w:val="ESTablebody"/>
              <w:rPr>
                <w:rFonts w:ascii="Calibri" w:hAnsi="Calibri" w:cs="Calibri"/>
                <w:sz w:val="19"/>
                <w:szCs w:val="19"/>
              </w:rPr>
            </w:pPr>
            <w:r w:rsidRPr="005734B8">
              <w:rPr>
                <w:rFonts w:ascii="Calibri" w:hAnsi="Calibri" w:cs="Calibri"/>
                <w:sz w:val="19"/>
                <w:szCs w:val="19"/>
              </w:rPr>
              <w:t>FRD 22</w:t>
            </w:r>
            <w:r w:rsidR="00D05FE3" w:rsidRPr="005734B8">
              <w:rPr>
                <w:rFonts w:ascii="Calibri" w:hAnsi="Calibri" w:cs="Calibri"/>
                <w:sz w:val="19"/>
                <w:szCs w:val="19"/>
              </w:rPr>
              <w:t>I</w:t>
            </w:r>
          </w:p>
        </w:tc>
        <w:tc>
          <w:tcPr>
            <w:tcW w:w="5730" w:type="dxa"/>
            <w:tcBorders>
              <w:top w:val="single" w:sz="4" w:space="0" w:color="auto"/>
              <w:bottom w:val="single" w:sz="4" w:space="0" w:color="auto"/>
            </w:tcBorders>
          </w:tcPr>
          <w:p w14:paraId="3572E9E2" w14:textId="19647023" w:rsidR="006C17D8" w:rsidRPr="005734B8" w:rsidRDefault="00337C16" w:rsidP="006C17D8">
            <w:pPr>
              <w:pStyle w:val="ESTablebody"/>
              <w:rPr>
                <w:rFonts w:ascii="Calibri" w:hAnsi="Calibri" w:cs="Calibri"/>
                <w:sz w:val="19"/>
                <w:szCs w:val="19"/>
                <w:lang w:val="en-AU"/>
              </w:rPr>
            </w:pPr>
            <w:r w:rsidRPr="005734B8">
              <w:rPr>
                <w:rFonts w:ascii="Calibri" w:hAnsi="Calibri" w:cs="Calibri"/>
                <w:sz w:val="19"/>
                <w:szCs w:val="19"/>
                <w:lang w:val="en-AU"/>
              </w:rPr>
              <w:t>Nature and range of services provided</w:t>
            </w:r>
          </w:p>
        </w:tc>
        <w:tc>
          <w:tcPr>
            <w:tcW w:w="838" w:type="dxa"/>
            <w:tcBorders>
              <w:top w:val="single" w:sz="4" w:space="0" w:color="auto"/>
              <w:bottom w:val="single" w:sz="4" w:space="0" w:color="auto"/>
            </w:tcBorders>
          </w:tcPr>
          <w:p w14:paraId="1483529A" w14:textId="5874CB85" w:rsidR="006C17D8" w:rsidRPr="00CA7D6D" w:rsidRDefault="00CA7D6D" w:rsidP="007429B1">
            <w:pPr>
              <w:pStyle w:val="ESTablebody"/>
              <w:jc w:val="right"/>
              <w:rPr>
                <w:rFonts w:ascii="Calibri" w:hAnsi="Calibri" w:cs="Calibri"/>
                <w:sz w:val="19"/>
                <w:szCs w:val="19"/>
                <w:lang w:val="en-AU"/>
              </w:rPr>
            </w:pPr>
            <w:r w:rsidRPr="00CA7D6D">
              <w:rPr>
                <w:rFonts w:ascii="Calibri" w:hAnsi="Calibri" w:cs="Calibri"/>
                <w:sz w:val="19"/>
                <w:szCs w:val="19"/>
                <w:lang w:val="en-AU"/>
              </w:rPr>
              <w:t>7</w:t>
            </w:r>
          </w:p>
        </w:tc>
      </w:tr>
      <w:tr w:rsidR="00337C16" w:rsidRPr="005734B8" w14:paraId="28E7EB1B" w14:textId="77777777" w:rsidTr="00ED74EC">
        <w:trPr>
          <w:cantSplit/>
          <w:trHeight w:val="415"/>
        </w:trPr>
        <w:tc>
          <w:tcPr>
            <w:tcW w:w="7839" w:type="dxa"/>
            <w:gridSpan w:val="3"/>
            <w:tcBorders>
              <w:top w:val="single" w:sz="4" w:space="0" w:color="auto"/>
              <w:bottom w:val="single" w:sz="4" w:space="0" w:color="auto"/>
            </w:tcBorders>
            <w:shd w:val="clear" w:color="auto" w:fill="D9D9D6" w:themeFill="accent6"/>
          </w:tcPr>
          <w:p w14:paraId="55E40D88" w14:textId="77B3EECC" w:rsidR="00337C16" w:rsidRPr="00CA7D6D" w:rsidRDefault="00337C16" w:rsidP="006C17D8">
            <w:pPr>
              <w:pStyle w:val="ESTablebody"/>
              <w:rPr>
                <w:rFonts w:ascii="Calibri" w:hAnsi="Calibri" w:cs="Calibri"/>
                <w:b/>
                <w:sz w:val="19"/>
                <w:szCs w:val="19"/>
              </w:rPr>
            </w:pPr>
            <w:r w:rsidRPr="005734B8">
              <w:rPr>
                <w:rFonts w:ascii="Calibri" w:hAnsi="Calibri" w:cs="Calibri"/>
                <w:b/>
                <w:sz w:val="19"/>
                <w:szCs w:val="19"/>
              </w:rPr>
              <w:t>Management and structure</w:t>
            </w:r>
          </w:p>
        </w:tc>
      </w:tr>
      <w:tr w:rsidR="006C17D8" w:rsidRPr="005734B8" w14:paraId="54815C1A" w14:textId="77777777" w:rsidTr="00337C16">
        <w:trPr>
          <w:cantSplit/>
          <w:trHeight w:val="415"/>
        </w:trPr>
        <w:tc>
          <w:tcPr>
            <w:tcW w:w="1271" w:type="dxa"/>
            <w:tcBorders>
              <w:top w:val="single" w:sz="4" w:space="0" w:color="auto"/>
              <w:bottom w:val="single" w:sz="4" w:space="0" w:color="auto"/>
            </w:tcBorders>
            <w:shd w:val="clear" w:color="auto" w:fill="auto"/>
          </w:tcPr>
          <w:p w14:paraId="36DB967E" w14:textId="0A82609D" w:rsidR="006C17D8" w:rsidRPr="005734B8" w:rsidRDefault="00337C16" w:rsidP="006C17D8">
            <w:pPr>
              <w:pStyle w:val="ESTablebody"/>
              <w:rPr>
                <w:rFonts w:ascii="Calibri" w:hAnsi="Calibri" w:cs="Calibri"/>
                <w:sz w:val="19"/>
                <w:szCs w:val="19"/>
              </w:rPr>
            </w:pPr>
            <w:r w:rsidRPr="005734B8">
              <w:rPr>
                <w:rFonts w:ascii="Calibri" w:hAnsi="Calibri" w:cs="Calibri"/>
                <w:sz w:val="19"/>
                <w:szCs w:val="19"/>
              </w:rPr>
              <w:t>FRD 22</w:t>
            </w:r>
            <w:r w:rsidR="00621571" w:rsidRPr="005734B8">
              <w:rPr>
                <w:rFonts w:ascii="Calibri" w:hAnsi="Calibri" w:cs="Calibri"/>
                <w:sz w:val="19"/>
                <w:szCs w:val="19"/>
              </w:rPr>
              <w:t>I</w:t>
            </w:r>
          </w:p>
        </w:tc>
        <w:tc>
          <w:tcPr>
            <w:tcW w:w="5730" w:type="dxa"/>
            <w:tcBorders>
              <w:top w:val="single" w:sz="4" w:space="0" w:color="auto"/>
              <w:bottom w:val="single" w:sz="4" w:space="0" w:color="auto"/>
            </w:tcBorders>
          </w:tcPr>
          <w:p w14:paraId="21292516" w14:textId="6E149BD6" w:rsidR="006C17D8" w:rsidRPr="005734B8" w:rsidRDefault="00337C16" w:rsidP="006C17D8">
            <w:pPr>
              <w:pStyle w:val="ESTablebody"/>
              <w:rPr>
                <w:rFonts w:ascii="Calibri" w:hAnsi="Calibri" w:cs="Calibri"/>
                <w:sz w:val="19"/>
                <w:szCs w:val="19"/>
                <w:lang w:val="en-AU"/>
              </w:rPr>
            </w:pPr>
            <w:r w:rsidRPr="005734B8">
              <w:rPr>
                <w:rFonts w:ascii="Calibri" w:hAnsi="Calibri" w:cs="Calibri"/>
                <w:sz w:val="19"/>
                <w:szCs w:val="19"/>
                <w:lang w:val="en-AU"/>
              </w:rPr>
              <w:t>Organisational structure</w:t>
            </w:r>
          </w:p>
        </w:tc>
        <w:tc>
          <w:tcPr>
            <w:tcW w:w="838" w:type="dxa"/>
            <w:tcBorders>
              <w:top w:val="single" w:sz="4" w:space="0" w:color="auto"/>
              <w:bottom w:val="single" w:sz="4" w:space="0" w:color="auto"/>
            </w:tcBorders>
          </w:tcPr>
          <w:p w14:paraId="42807124" w14:textId="144FA1D6" w:rsidR="006C17D8" w:rsidRPr="00CA7D6D" w:rsidRDefault="00CA7D6D" w:rsidP="00A73C53">
            <w:pPr>
              <w:pStyle w:val="ESTablebody"/>
              <w:jc w:val="right"/>
              <w:rPr>
                <w:rFonts w:ascii="Calibri" w:hAnsi="Calibri" w:cs="Calibri"/>
                <w:sz w:val="19"/>
                <w:szCs w:val="19"/>
                <w:lang w:val="en-AU"/>
              </w:rPr>
            </w:pPr>
            <w:r w:rsidRPr="00CA7D6D">
              <w:rPr>
                <w:rFonts w:ascii="Calibri" w:hAnsi="Calibri" w:cs="Calibri"/>
                <w:sz w:val="19"/>
                <w:szCs w:val="19"/>
                <w:lang w:val="en-AU"/>
              </w:rPr>
              <w:t>59</w:t>
            </w:r>
          </w:p>
        </w:tc>
      </w:tr>
      <w:tr w:rsidR="00337C16" w:rsidRPr="005734B8" w14:paraId="36B2D1F0" w14:textId="77777777" w:rsidTr="00ED74EC">
        <w:trPr>
          <w:cantSplit/>
          <w:trHeight w:val="415"/>
        </w:trPr>
        <w:tc>
          <w:tcPr>
            <w:tcW w:w="7839" w:type="dxa"/>
            <w:gridSpan w:val="3"/>
            <w:tcBorders>
              <w:top w:val="single" w:sz="4" w:space="0" w:color="auto"/>
              <w:bottom w:val="single" w:sz="4" w:space="0" w:color="auto"/>
            </w:tcBorders>
            <w:shd w:val="clear" w:color="auto" w:fill="D9D9D6" w:themeFill="accent6"/>
          </w:tcPr>
          <w:p w14:paraId="307940AC" w14:textId="0D121FD0" w:rsidR="00337C16" w:rsidRPr="00CA7D6D" w:rsidRDefault="00337C16" w:rsidP="006C17D8">
            <w:pPr>
              <w:pStyle w:val="ESTablebody"/>
              <w:rPr>
                <w:rFonts w:ascii="Calibri" w:hAnsi="Calibri" w:cs="Calibri"/>
                <w:b/>
                <w:sz w:val="19"/>
                <w:szCs w:val="19"/>
              </w:rPr>
            </w:pPr>
            <w:r w:rsidRPr="005734B8">
              <w:rPr>
                <w:rFonts w:ascii="Calibri" w:hAnsi="Calibri" w:cs="Calibri"/>
                <w:b/>
                <w:sz w:val="19"/>
                <w:szCs w:val="19"/>
              </w:rPr>
              <w:t>Financial and other information</w:t>
            </w:r>
          </w:p>
        </w:tc>
      </w:tr>
      <w:tr w:rsidR="00337C16" w:rsidRPr="005734B8" w14:paraId="62662A4D" w14:textId="77777777" w:rsidTr="00337C16">
        <w:trPr>
          <w:cantSplit/>
          <w:trHeight w:val="415"/>
        </w:trPr>
        <w:tc>
          <w:tcPr>
            <w:tcW w:w="1271" w:type="dxa"/>
            <w:tcBorders>
              <w:top w:val="single" w:sz="4" w:space="0" w:color="auto"/>
              <w:bottom w:val="single" w:sz="4" w:space="0" w:color="auto"/>
            </w:tcBorders>
            <w:shd w:val="clear" w:color="auto" w:fill="auto"/>
          </w:tcPr>
          <w:p w14:paraId="6593AC1A" w14:textId="6EB76BD0" w:rsidR="00337C16" w:rsidRPr="005734B8" w:rsidRDefault="00337C16" w:rsidP="00337C16">
            <w:pPr>
              <w:pStyle w:val="ESTablebody"/>
              <w:rPr>
                <w:rFonts w:ascii="Calibri" w:hAnsi="Calibri" w:cs="Calibri"/>
                <w:sz w:val="19"/>
                <w:szCs w:val="19"/>
              </w:rPr>
            </w:pPr>
            <w:r w:rsidRPr="005734B8">
              <w:rPr>
                <w:rFonts w:ascii="Calibri" w:hAnsi="Calibri" w:cs="Calibri"/>
                <w:sz w:val="19"/>
                <w:szCs w:val="19"/>
              </w:rPr>
              <w:t>FRD 8D</w:t>
            </w:r>
          </w:p>
        </w:tc>
        <w:tc>
          <w:tcPr>
            <w:tcW w:w="5730" w:type="dxa"/>
            <w:tcBorders>
              <w:top w:val="single" w:sz="4" w:space="0" w:color="auto"/>
              <w:bottom w:val="single" w:sz="4" w:space="0" w:color="auto"/>
            </w:tcBorders>
          </w:tcPr>
          <w:p w14:paraId="6D3E5C1A" w14:textId="562876D0" w:rsidR="00337C16" w:rsidRPr="005734B8" w:rsidRDefault="00337C16" w:rsidP="00337C16">
            <w:pPr>
              <w:pStyle w:val="ESTablebody"/>
              <w:rPr>
                <w:rFonts w:ascii="Calibri" w:hAnsi="Calibri" w:cs="Calibri"/>
                <w:sz w:val="19"/>
                <w:szCs w:val="19"/>
                <w:lang w:val="en-AU"/>
              </w:rPr>
            </w:pPr>
            <w:r w:rsidRPr="005734B8">
              <w:rPr>
                <w:rFonts w:ascii="Calibri" w:hAnsi="Calibri" w:cs="Calibri"/>
                <w:sz w:val="19"/>
                <w:szCs w:val="19"/>
                <w:lang w:val="en-AU"/>
              </w:rPr>
              <w:t>Performance against output performance measures</w:t>
            </w:r>
          </w:p>
        </w:tc>
        <w:tc>
          <w:tcPr>
            <w:tcW w:w="838" w:type="dxa"/>
            <w:tcBorders>
              <w:top w:val="single" w:sz="4" w:space="0" w:color="auto"/>
              <w:bottom w:val="single" w:sz="4" w:space="0" w:color="auto"/>
            </w:tcBorders>
          </w:tcPr>
          <w:p w14:paraId="0C60388D" w14:textId="22DF63F3" w:rsidR="00337C16" w:rsidRPr="00CA7D6D" w:rsidRDefault="00A45232" w:rsidP="00A73C53">
            <w:pPr>
              <w:pStyle w:val="ESTablebody"/>
              <w:jc w:val="right"/>
              <w:rPr>
                <w:rFonts w:ascii="Calibri" w:hAnsi="Calibri" w:cs="Calibri"/>
                <w:sz w:val="19"/>
                <w:szCs w:val="19"/>
                <w:lang w:val="en-AU"/>
              </w:rPr>
            </w:pPr>
            <w:r w:rsidRPr="005734B8">
              <w:rPr>
                <w:rFonts w:ascii="Calibri" w:hAnsi="Calibri" w:cs="Calibri"/>
                <w:sz w:val="19"/>
                <w:szCs w:val="19"/>
                <w:lang w:val="en-AU"/>
              </w:rPr>
              <w:t>27</w:t>
            </w:r>
          </w:p>
        </w:tc>
      </w:tr>
      <w:tr w:rsidR="00337C16" w:rsidRPr="005734B8" w14:paraId="757FE606" w14:textId="77777777" w:rsidTr="00337C16">
        <w:trPr>
          <w:cantSplit/>
          <w:trHeight w:val="415"/>
        </w:trPr>
        <w:tc>
          <w:tcPr>
            <w:tcW w:w="1271" w:type="dxa"/>
            <w:tcBorders>
              <w:top w:val="single" w:sz="4" w:space="0" w:color="auto"/>
              <w:bottom w:val="single" w:sz="4" w:space="0" w:color="auto"/>
            </w:tcBorders>
            <w:shd w:val="clear" w:color="auto" w:fill="auto"/>
          </w:tcPr>
          <w:p w14:paraId="0471A4D7" w14:textId="694A2867" w:rsidR="00337C16" w:rsidRPr="005734B8" w:rsidRDefault="00337C16" w:rsidP="00337C16">
            <w:pPr>
              <w:pStyle w:val="ESTablebody"/>
              <w:rPr>
                <w:rFonts w:ascii="Calibri" w:hAnsi="Calibri" w:cs="Calibri"/>
                <w:sz w:val="19"/>
                <w:szCs w:val="19"/>
              </w:rPr>
            </w:pPr>
            <w:r w:rsidRPr="005734B8">
              <w:rPr>
                <w:rFonts w:ascii="Calibri" w:hAnsi="Calibri" w:cs="Calibri"/>
                <w:sz w:val="19"/>
                <w:szCs w:val="19"/>
              </w:rPr>
              <w:t>FRD 8D</w:t>
            </w:r>
          </w:p>
        </w:tc>
        <w:tc>
          <w:tcPr>
            <w:tcW w:w="5730" w:type="dxa"/>
            <w:tcBorders>
              <w:top w:val="single" w:sz="4" w:space="0" w:color="auto"/>
              <w:bottom w:val="single" w:sz="4" w:space="0" w:color="auto"/>
            </w:tcBorders>
          </w:tcPr>
          <w:p w14:paraId="16CD8FEB" w14:textId="6F7E7CD9" w:rsidR="00337C16" w:rsidRPr="005734B8" w:rsidRDefault="00337C16" w:rsidP="00337C16">
            <w:pPr>
              <w:pStyle w:val="ESTablebody"/>
              <w:rPr>
                <w:rFonts w:ascii="Calibri" w:hAnsi="Calibri" w:cs="Calibri"/>
                <w:sz w:val="19"/>
                <w:szCs w:val="19"/>
                <w:lang w:val="en-AU"/>
              </w:rPr>
            </w:pPr>
            <w:r w:rsidRPr="005734B8">
              <w:rPr>
                <w:rFonts w:ascii="Calibri" w:hAnsi="Calibri" w:cs="Calibri"/>
                <w:sz w:val="19"/>
                <w:szCs w:val="19"/>
                <w:lang w:val="en-AU"/>
              </w:rPr>
              <w:t>Budget portfolio outcomes</w:t>
            </w:r>
          </w:p>
        </w:tc>
        <w:tc>
          <w:tcPr>
            <w:tcW w:w="838" w:type="dxa"/>
            <w:tcBorders>
              <w:top w:val="single" w:sz="4" w:space="0" w:color="auto"/>
              <w:bottom w:val="single" w:sz="4" w:space="0" w:color="auto"/>
            </w:tcBorders>
          </w:tcPr>
          <w:p w14:paraId="6716EC9B" w14:textId="0CAFAEA3" w:rsidR="00337C16" w:rsidRPr="005734B8" w:rsidRDefault="00A45232" w:rsidP="00A73C53">
            <w:pPr>
              <w:pStyle w:val="ESTablebody"/>
              <w:jc w:val="right"/>
              <w:rPr>
                <w:rFonts w:ascii="Calibri" w:hAnsi="Calibri" w:cs="Calibri"/>
                <w:sz w:val="19"/>
                <w:szCs w:val="19"/>
                <w:lang w:val="en-AU"/>
              </w:rPr>
            </w:pPr>
            <w:r w:rsidRPr="00CA7D6D">
              <w:rPr>
                <w:rFonts w:ascii="Calibri" w:hAnsi="Calibri" w:cs="Calibri"/>
                <w:sz w:val="19"/>
                <w:szCs w:val="19"/>
                <w:lang w:val="en-AU"/>
              </w:rPr>
              <w:t>2</w:t>
            </w:r>
            <w:r w:rsidR="00CA7D6D" w:rsidRPr="00CA7D6D">
              <w:rPr>
                <w:rFonts w:ascii="Calibri" w:hAnsi="Calibri" w:cs="Calibri"/>
                <w:sz w:val="19"/>
                <w:szCs w:val="19"/>
                <w:lang w:val="en-AU"/>
              </w:rPr>
              <w:t>10</w:t>
            </w:r>
          </w:p>
        </w:tc>
      </w:tr>
      <w:tr w:rsidR="001C0AD7" w:rsidRPr="005734B8" w14:paraId="0E2F0341" w14:textId="77777777" w:rsidTr="00337C16">
        <w:trPr>
          <w:cantSplit/>
          <w:trHeight w:val="415"/>
        </w:trPr>
        <w:tc>
          <w:tcPr>
            <w:tcW w:w="1271" w:type="dxa"/>
            <w:tcBorders>
              <w:top w:val="single" w:sz="4" w:space="0" w:color="auto"/>
              <w:bottom w:val="single" w:sz="4" w:space="0" w:color="auto"/>
            </w:tcBorders>
            <w:shd w:val="clear" w:color="auto" w:fill="auto"/>
          </w:tcPr>
          <w:p w14:paraId="46A86DB7" w14:textId="252FFD18" w:rsidR="001C0AD7" w:rsidRPr="005734B8" w:rsidRDefault="001C0AD7" w:rsidP="001C0AD7">
            <w:pPr>
              <w:pStyle w:val="ESTablebody"/>
              <w:rPr>
                <w:rFonts w:ascii="Calibri" w:hAnsi="Calibri" w:cs="Calibri"/>
                <w:sz w:val="19"/>
                <w:szCs w:val="19"/>
              </w:rPr>
            </w:pPr>
            <w:r w:rsidRPr="005734B8">
              <w:rPr>
                <w:rFonts w:ascii="Calibri" w:hAnsi="Calibri" w:cs="Calibri"/>
                <w:sz w:val="19"/>
                <w:szCs w:val="19"/>
              </w:rPr>
              <w:t>FRD 10A</w:t>
            </w:r>
          </w:p>
        </w:tc>
        <w:tc>
          <w:tcPr>
            <w:tcW w:w="5730" w:type="dxa"/>
            <w:tcBorders>
              <w:top w:val="single" w:sz="4" w:space="0" w:color="auto"/>
              <w:bottom w:val="single" w:sz="4" w:space="0" w:color="auto"/>
            </w:tcBorders>
          </w:tcPr>
          <w:p w14:paraId="4685D0EF" w14:textId="3402BD1D" w:rsidR="001C0AD7" w:rsidRPr="005734B8" w:rsidRDefault="001C0AD7" w:rsidP="001C0AD7">
            <w:pPr>
              <w:pStyle w:val="ESTablebody"/>
              <w:rPr>
                <w:rFonts w:ascii="Calibri" w:hAnsi="Calibri" w:cs="Calibri"/>
                <w:sz w:val="19"/>
                <w:szCs w:val="19"/>
                <w:lang w:val="en-AU"/>
              </w:rPr>
            </w:pPr>
            <w:r w:rsidRPr="005734B8">
              <w:rPr>
                <w:rFonts w:ascii="Calibri" w:hAnsi="Calibri" w:cs="Calibri"/>
                <w:sz w:val="19"/>
                <w:szCs w:val="19"/>
                <w:lang w:val="en-AU"/>
              </w:rPr>
              <w:t>Disclosure index</w:t>
            </w:r>
          </w:p>
        </w:tc>
        <w:tc>
          <w:tcPr>
            <w:tcW w:w="838" w:type="dxa"/>
            <w:tcBorders>
              <w:top w:val="single" w:sz="4" w:space="0" w:color="auto"/>
              <w:bottom w:val="single" w:sz="4" w:space="0" w:color="auto"/>
            </w:tcBorders>
          </w:tcPr>
          <w:p w14:paraId="16AD374B" w14:textId="6BAFBD3E" w:rsidR="001C0AD7" w:rsidRPr="005734B8" w:rsidRDefault="004007FE" w:rsidP="00A73C53">
            <w:pPr>
              <w:pStyle w:val="ESTablebody"/>
              <w:jc w:val="right"/>
              <w:rPr>
                <w:rFonts w:ascii="Calibri" w:hAnsi="Calibri" w:cs="Calibri"/>
                <w:sz w:val="19"/>
                <w:szCs w:val="19"/>
                <w:lang w:val="en-AU"/>
              </w:rPr>
            </w:pPr>
            <w:r w:rsidRPr="00CA7D6D">
              <w:rPr>
                <w:rFonts w:ascii="Calibri" w:hAnsi="Calibri" w:cs="Calibri"/>
                <w:sz w:val="19"/>
                <w:szCs w:val="19"/>
                <w:lang w:val="en-AU"/>
              </w:rPr>
              <w:t>2</w:t>
            </w:r>
            <w:r w:rsidR="00CA7D6D" w:rsidRPr="00CA7D6D">
              <w:rPr>
                <w:rFonts w:ascii="Calibri" w:hAnsi="Calibri" w:cs="Calibri"/>
                <w:sz w:val="19"/>
                <w:szCs w:val="19"/>
                <w:lang w:val="en-AU"/>
              </w:rPr>
              <w:t>07</w:t>
            </w:r>
          </w:p>
        </w:tc>
      </w:tr>
      <w:tr w:rsidR="001C0AD7" w:rsidRPr="005734B8" w14:paraId="62625999" w14:textId="77777777" w:rsidTr="00337C16">
        <w:trPr>
          <w:cantSplit/>
          <w:trHeight w:val="415"/>
        </w:trPr>
        <w:tc>
          <w:tcPr>
            <w:tcW w:w="1271" w:type="dxa"/>
            <w:tcBorders>
              <w:top w:val="single" w:sz="4" w:space="0" w:color="auto"/>
              <w:bottom w:val="single" w:sz="4" w:space="0" w:color="auto"/>
            </w:tcBorders>
            <w:shd w:val="clear" w:color="auto" w:fill="auto"/>
          </w:tcPr>
          <w:p w14:paraId="3C9C8145" w14:textId="16B1EF7B" w:rsidR="001C0AD7" w:rsidRPr="005734B8" w:rsidRDefault="001C0AD7" w:rsidP="001C0AD7">
            <w:pPr>
              <w:pStyle w:val="ESTablebody"/>
              <w:rPr>
                <w:rFonts w:ascii="Calibri" w:hAnsi="Calibri" w:cs="Calibri"/>
                <w:sz w:val="19"/>
                <w:szCs w:val="19"/>
              </w:rPr>
            </w:pPr>
            <w:r w:rsidRPr="005734B8">
              <w:rPr>
                <w:rFonts w:ascii="Calibri" w:hAnsi="Calibri" w:cs="Calibri"/>
                <w:sz w:val="19"/>
                <w:szCs w:val="19"/>
              </w:rPr>
              <w:t>FRD 12B</w:t>
            </w:r>
          </w:p>
        </w:tc>
        <w:tc>
          <w:tcPr>
            <w:tcW w:w="5730" w:type="dxa"/>
            <w:tcBorders>
              <w:top w:val="single" w:sz="4" w:space="0" w:color="auto"/>
              <w:bottom w:val="single" w:sz="4" w:space="0" w:color="auto"/>
            </w:tcBorders>
          </w:tcPr>
          <w:p w14:paraId="5B1817CB" w14:textId="432DFC97" w:rsidR="001C0AD7" w:rsidRPr="005734B8" w:rsidRDefault="001C0AD7" w:rsidP="001C0AD7">
            <w:pPr>
              <w:pStyle w:val="ESTablebody"/>
              <w:rPr>
                <w:rFonts w:ascii="Calibri" w:hAnsi="Calibri" w:cs="Calibri"/>
                <w:sz w:val="19"/>
                <w:szCs w:val="19"/>
                <w:lang w:val="en-AU"/>
              </w:rPr>
            </w:pPr>
            <w:r w:rsidRPr="005734B8">
              <w:rPr>
                <w:rFonts w:ascii="Calibri" w:hAnsi="Calibri" w:cs="Calibri"/>
                <w:sz w:val="19"/>
                <w:szCs w:val="19"/>
                <w:lang w:val="en-AU"/>
              </w:rPr>
              <w:t>Disclosure of major contracts</w:t>
            </w:r>
          </w:p>
        </w:tc>
        <w:tc>
          <w:tcPr>
            <w:tcW w:w="838" w:type="dxa"/>
            <w:tcBorders>
              <w:top w:val="single" w:sz="4" w:space="0" w:color="auto"/>
              <w:bottom w:val="single" w:sz="4" w:space="0" w:color="auto"/>
            </w:tcBorders>
          </w:tcPr>
          <w:p w14:paraId="4655BDE2" w14:textId="0AD41105" w:rsidR="001C0AD7" w:rsidRPr="00CA7D6D" w:rsidRDefault="00152F5A" w:rsidP="00A73C53">
            <w:pPr>
              <w:pStyle w:val="ESTablebody"/>
              <w:jc w:val="right"/>
              <w:rPr>
                <w:rFonts w:ascii="Calibri" w:hAnsi="Calibri" w:cs="Calibri"/>
                <w:sz w:val="19"/>
                <w:szCs w:val="19"/>
                <w:lang w:val="en-AU"/>
              </w:rPr>
            </w:pPr>
            <w:r w:rsidRPr="00CA7D6D">
              <w:rPr>
                <w:rFonts w:ascii="Calibri" w:hAnsi="Calibri" w:cs="Calibri"/>
                <w:sz w:val="19"/>
                <w:szCs w:val="19"/>
                <w:lang w:val="en-AU"/>
              </w:rPr>
              <w:t>9</w:t>
            </w:r>
            <w:r w:rsidR="00CA7D6D" w:rsidRPr="00CA7D6D">
              <w:rPr>
                <w:rFonts w:ascii="Calibri" w:hAnsi="Calibri" w:cs="Calibri"/>
                <w:sz w:val="19"/>
                <w:szCs w:val="19"/>
                <w:lang w:val="en-AU"/>
              </w:rPr>
              <w:t>3</w:t>
            </w:r>
          </w:p>
        </w:tc>
      </w:tr>
      <w:tr w:rsidR="001C0AD7" w:rsidRPr="005734B8" w14:paraId="2CB6D82A" w14:textId="77777777" w:rsidTr="00337C16">
        <w:trPr>
          <w:cantSplit/>
          <w:trHeight w:val="415"/>
        </w:trPr>
        <w:tc>
          <w:tcPr>
            <w:tcW w:w="1271" w:type="dxa"/>
            <w:tcBorders>
              <w:top w:val="single" w:sz="4" w:space="0" w:color="auto"/>
              <w:bottom w:val="single" w:sz="4" w:space="0" w:color="auto"/>
            </w:tcBorders>
            <w:shd w:val="clear" w:color="auto" w:fill="auto"/>
          </w:tcPr>
          <w:p w14:paraId="72141BE5" w14:textId="754BC139" w:rsidR="001C0AD7" w:rsidRPr="005734B8" w:rsidRDefault="001C0AD7" w:rsidP="001C0AD7">
            <w:pPr>
              <w:pStyle w:val="ESTablebody"/>
              <w:rPr>
                <w:rFonts w:ascii="Calibri" w:hAnsi="Calibri" w:cs="Calibri"/>
                <w:sz w:val="19"/>
                <w:szCs w:val="19"/>
              </w:rPr>
            </w:pPr>
            <w:r w:rsidRPr="005734B8">
              <w:rPr>
                <w:rFonts w:ascii="Calibri" w:hAnsi="Calibri" w:cs="Calibri"/>
                <w:sz w:val="19"/>
                <w:szCs w:val="19"/>
              </w:rPr>
              <w:t>FRD 15</w:t>
            </w:r>
            <w:r w:rsidR="00CD24A1" w:rsidRPr="005734B8">
              <w:rPr>
                <w:rFonts w:ascii="Calibri" w:hAnsi="Calibri" w:cs="Calibri"/>
                <w:sz w:val="19"/>
                <w:szCs w:val="19"/>
              </w:rPr>
              <w:t>E</w:t>
            </w:r>
          </w:p>
        </w:tc>
        <w:tc>
          <w:tcPr>
            <w:tcW w:w="5730" w:type="dxa"/>
            <w:tcBorders>
              <w:top w:val="single" w:sz="4" w:space="0" w:color="auto"/>
              <w:bottom w:val="single" w:sz="4" w:space="0" w:color="auto"/>
            </w:tcBorders>
          </w:tcPr>
          <w:p w14:paraId="087F0DD1" w14:textId="672AFFCA" w:rsidR="001C0AD7" w:rsidRPr="005734B8" w:rsidRDefault="001C0AD7" w:rsidP="001C0AD7">
            <w:pPr>
              <w:pStyle w:val="ESTablebody"/>
              <w:rPr>
                <w:rFonts w:ascii="Calibri" w:hAnsi="Calibri" w:cs="Calibri"/>
                <w:sz w:val="19"/>
                <w:szCs w:val="19"/>
                <w:lang w:val="en-AU"/>
              </w:rPr>
            </w:pPr>
            <w:r w:rsidRPr="005734B8">
              <w:rPr>
                <w:rFonts w:ascii="Calibri" w:hAnsi="Calibri" w:cs="Calibri"/>
                <w:sz w:val="19"/>
                <w:szCs w:val="19"/>
                <w:lang w:val="en-AU"/>
              </w:rPr>
              <w:t>Executive officer disclosures</w:t>
            </w:r>
          </w:p>
        </w:tc>
        <w:tc>
          <w:tcPr>
            <w:tcW w:w="838" w:type="dxa"/>
            <w:tcBorders>
              <w:top w:val="single" w:sz="4" w:space="0" w:color="auto"/>
              <w:bottom w:val="single" w:sz="4" w:space="0" w:color="auto"/>
            </w:tcBorders>
          </w:tcPr>
          <w:p w14:paraId="0D41B484" w14:textId="2EF2C538" w:rsidR="001C0AD7" w:rsidRPr="00CA7D6D" w:rsidRDefault="00112876" w:rsidP="00A73C53">
            <w:pPr>
              <w:pStyle w:val="ESTablebody"/>
              <w:jc w:val="right"/>
              <w:rPr>
                <w:rFonts w:ascii="Calibri" w:hAnsi="Calibri" w:cs="Calibri"/>
                <w:sz w:val="19"/>
                <w:szCs w:val="19"/>
                <w:lang w:val="en-AU"/>
              </w:rPr>
            </w:pPr>
            <w:r w:rsidRPr="00CA7D6D">
              <w:rPr>
                <w:rFonts w:ascii="Calibri" w:hAnsi="Calibri" w:cs="Calibri"/>
                <w:sz w:val="19"/>
                <w:szCs w:val="19"/>
                <w:lang w:val="en-AU"/>
              </w:rPr>
              <w:t>8</w:t>
            </w:r>
            <w:r w:rsidR="00CA7D6D" w:rsidRPr="00CA7D6D">
              <w:rPr>
                <w:rFonts w:ascii="Calibri" w:hAnsi="Calibri" w:cs="Calibri"/>
                <w:sz w:val="19"/>
                <w:szCs w:val="19"/>
                <w:lang w:val="en-AU"/>
              </w:rPr>
              <w:t>3</w:t>
            </w:r>
          </w:p>
        </w:tc>
      </w:tr>
      <w:tr w:rsidR="006C17D8" w:rsidRPr="005734B8" w14:paraId="27545EB6" w14:textId="77777777" w:rsidTr="00337C16">
        <w:trPr>
          <w:cantSplit/>
          <w:trHeight w:val="415"/>
        </w:trPr>
        <w:tc>
          <w:tcPr>
            <w:tcW w:w="1271" w:type="dxa"/>
            <w:tcBorders>
              <w:top w:val="single" w:sz="4" w:space="0" w:color="auto"/>
              <w:bottom w:val="single" w:sz="4" w:space="0" w:color="auto"/>
            </w:tcBorders>
            <w:shd w:val="clear" w:color="auto" w:fill="auto"/>
          </w:tcPr>
          <w:p w14:paraId="7D8F7D2D" w14:textId="2C36E0CF" w:rsidR="006C17D8" w:rsidRPr="005734B8" w:rsidRDefault="001C0AD7" w:rsidP="006C17D8">
            <w:pPr>
              <w:pStyle w:val="ESTablebody"/>
              <w:rPr>
                <w:rFonts w:ascii="Calibri" w:hAnsi="Calibri" w:cs="Calibri"/>
                <w:sz w:val="19"/>
                <w:szCs w:val="19"/>
              </w:rPr>
            </w:pPr>
            <w:r w:rsidRPr="005734B8">
              <w:rPr>
                <w:rFonts w:ascii="Calibri" w:hAnsi="Calibri" w:cs="Calibri"/>
                <w:sz w:val="19"/>
                <w:szCs w:val="19"/>
              </w:rPr>
              <w:t>FRD 22</w:t>
            </w:r>
            <w:r w:rsidR="00741EE6" w:rsidRPr="005734B8">
              <w:rPr>
                <w:rFonts w:ascii="Calibri" w:hAnsi="Calibri" w:cs="Calibri"/>
                <w:sz w:val="19"/>
                <w:szCs w:val="19"/>
              </w:rPr>
              <w:t>I</w:t>
            </w:r>
          </w:p>
        </w:tc>
        <w:tc>
          <w:tcPr>
            <w:tcW w:w="5730" w:type="dxa"/>
            <w:tcBorders>
              <w:top w:val="single" w:sz="4" w:space="0" w:color="auto"/>
              <w:bottom w:val="single" w:sz="4" w:space="0" w:color="auto"/>
            </w:tcBorders>
          </w:tcPr>
          <w:p w14:paraId="04C210DA" w14:textId="64ECC063" w:rsidR="006C17D8" w:rsidRPr="005734B8" w:rsidRDefault="00337C16" w:rsidP="006C17D8">
            <w:pPr>
              <w:pStyle w:val="ESTablebody"/>
              <w:rPr>
                <w:rFonts w:ascii="Calibri" w:hAnsi="Calibri" w:cs="Calibri"/>
                <w:sz w:val="19"/>
                <w:szCs w:val="19"/>
                <w:highlight w:val="yellow"/>
                <w:lang w:val="en-AU"/>
              </w:rPr>
            </w:pPr>
            <w:r w:rsidRPr="005734B8">
              <w:rPr>
                <w:rFonts w:ascii="Calibri" w:hAnsi="Calibri" w:cs="Calibri"/>
                <w:sz w:val="19"/>
                <w:szCs w:val="19"/>
                <w:lang w:val="en-AU"/>
              </w:rPr>
              <w:t>Employment and conduct principles</w:t>
            </w:r>
          </w:p>
        </w:tc>
        <w:tc>
          <w:tcPr>
            <w:tcW w:w="838" w:type="dxa"/>
            <w:tcBorders>
              <w:top w:val="single" w:sz="4" w:space="0" w:color="auto"/>
              <w:bottom w:val="single" w:sz="4" w:space="0" w:color="auto"/>
            </w:tcBorders>
          </w:tcPr>
          <w:p w14:paraId="240D2515" w14:textId="5699B4E4" w:rsidR="006C17D8" w:rsidRPr="00CA7D6D" w:rsidRDefault="00CA7D6D" w:rsidP="00A73C53">
            <w:pPr>
              <w:pStyle w:val="ESTablebody"/>
              <w:jc w:val="right"/>
              <w:rPr>
                <w:rFonts w:ascii="Calibri" w:hAnsi="Calibri" w:cs="Calibri"/>
                <w:sz w:val="19"/>
                <w:szCs w:val="19"/>
                <w:lang w:val="en-AU"/>
              </w:rPr>
            </w:pPr>
            <w:r w:rsidRPr="00CA7D6D">
              <w:rPr>
                <w:rFonts w:ascii="Calibri" w:hAnsi="Calibri" w:cs="Calibri"/>
                <w:sz w:val="19"/>
                <w:szCs w:val="19"/>
                <w:lang w:val="en-AU"/>
              </w:rPr>
              <w:t>69</w:t>
            </w:r>
          </w:p>
        </w:tc>
      </w:tr>
      <w:tr w:rsidR="001C0AD7" w:rsidRPr="005734B8" w14:paraId="1D9D0638" w14:textId="77777777" w:rsidTr="00337C16">
        <w:trPr>
          <w:cantSplit/>
          <w:trHeight w:val="415"/>
        </w:trPr>
        <w:tc>
          <w:tcPr>
            <w:tcW w:w="1271" w:type="dxa"/>
            <w:tcBorders>
              <w:top w:val="single" w:sz="4" w:space="0" w:color="auto"/>
              <w:bottom w:val="single" w:sz="4" w:space="0" w:color="auto"/>
            </w:tcBorders>
            <w:shd w:val="clear" w:color="auto" w:fill="auto"/>
          </w:tcPr>
          <w:p w14:paraId="6AC23BEA" w14:textId="5671A11B" w:rsidR="001C0AD7" w:rsidRPr="005734B8" w:rsidRDefault="001C0AD7" w:rsidP="001C0AD7">
            <w:pPr>
              <w:pStyle w:val="ESTablebody"/>
              <w:rPr>
                <w:rFonts w:ascii="Calibri" w:hAnsi="Calibri" w:cs="Calibri"/>
                <w:sz w:val="19"/>
                <w:szCs w:val="19"/>
              </w:rPr>
            </w:pPr>
            <w:r w:rsidRPr="005734B8">
              <w:rPr>
                <w:rFonts w:ascii="Calibri" w:hAnsi="Calibri" w:cs="Calibri"/>
                <w:sz w:val="19"/>
                <w:szCs w:val="19"/>
              </w:rPr>
              <w:t>FRD 22</w:t>
            </w:r>
            <w:r w:rsidR="00741EE6" w:rsidRPr="005734B8">
              <w:rPr>
                <w:rFonts w:ascii="Calibri" w:hAnsi="Calibri" w:cs="Calibri"/>
                <w:sz w:val="19"/>
                <w:szCs w:val="19"/>
              </w:rPr>
              <w:t>I</w:t>
            </w:r>
          </w:p>
        </w:tc>
        <w:tc>
          <w:tcPr>
            <w:tcW w:w="5730" w:type="dxa"/>
            <w:tcBorders>
              <w:top w:val="single" w:sz="4" w:space="0" w:color="auto"/>
              <w:bottom w:val="single" w:sz="4" w:space="0" w:color="auto"/>
            </w:tcBorders>
          </w:tcPr>
          <w:p w14:paraId="38816B02" w14:textId="587AD9C1" w:rsidR="001C0AD7" w:rsidRPr="005734B8" w:rsidRDefault="001C0AD7" w:rsidP="001C0AD7">
            <w:pPr>
              <w:pStyle w:val="ESTablebody"/>
              <w:rPr>
                <w:rFonts w:ascii="Calibri" w:hAnsi="Calibri" w:cs="Calibri"/>
                <w:sz w:val="19"/>
                <w:szCs w:val="19"/>
                <w:highlight w:val="yellow"/>
                <w:lang w:val="en-AU"/>
              </w:rPr>
            </w:pPr>
            <w:r w:rsidRPr="005734B8">
              <w:rPr>
                <w:rFonts w:ascii="Calibri" w:hAnsi="Calibri" w:cs="Calibri"/>
                <w:sz w:val="19"/>
                <w:szCs w:val="19"/>
                <w:lang w:val="en-AU"/>
              </w:rPr>
              <w:t>Occupational health and safety policy</w:t>
            </w:r>
          </w:p>
        </w:tc>
        <w:tc>
          <w:tcPr>
            <w:tcW w:w="838" w:type="dxa"/>
            <w:tcBorders>
              <w:top w:val="single" w:sz="4" w:space="0" w:color="auto"/>
              <w:bottom w:val="single" w:sz="4" w:space="0" w:color="auto"/>
            </w:tcBorders>
          </w:tcPr>
          <w:p w14:paraId="57F2EDE3" w14:textId="18F0086D" w:rsidR="001C0AD7" w:rsidRPr="00CA7D6D" w:rsidRDefault="00CA7D6D" w:rsidP="00A73C53">
            <w:pPr>
              <w:pStyle w:val="ESTablebody"/>
              <w:jc w:val="right"/>
              <w:rPr>
                <w:rFonts w:ascii="Calibri" w:hAnsi="Calibri" w:cs="Calibri"/>
                <w:sz w:val="19"/>
                <w:szCs w:val="19"/>
                <w:lang w:val="en-AU"/>
              </w:rPr>
            </w:pPr>
            <w:r w:rsidRPr="00CA7D6D">
              <w:rPr>
                <w:rFonts w:ascii="Calibri" w:hAnsi="Calibri" w:cs="Calibri"/>
                <w:sz w:val="19"/>
                <w:szCs w:val="19"/>
                <w:lang w:val="en-AU"/>
              </w:rPr>
              <w:t>69</w:t>
            </w:r>
          </w:p>
        </w:tc>
      </w:tr>
      <w:tr w:rsidR="001C0AD7" w:rsidRPr="005734B8" w14:paraId="7CC201CE" w14:textId="77777777" w:rsidTr="00337C16">
        <w:trPr>
          <w:cantSplit/>
          <w:trHeight w:val="415"/>
        </w:trPr>
        <w:tc>
          <w:tcPr>
            <w:tcW w:w="1271" w:type="dxa"/>
            <w:tcBorders>
              <w:top w:val="single" w:sz="4" w:space="0" w:color="auto"/>
              <w:bottom w:val="single" w:sz="4" w:space="0" w:color="auto"/>
            </w:tcBorders>
            <w:shd w:val="clear" w:color="auto" w:fill="auto"/>
          </w:tcPr>
          <w:p w14:paraId="2C044346" w14:textId="57F042B8" w:rsidR="001C0AD7" w:rsidRPr="005734B8" w:rsidRDefault="001C0AD7" w:rsidP="001C0AD7">
            <w:pPr>
              <w:pStyle w:val="ESTablebody"/>
              <w:rPr>
                <w:rFonts w:ascii="Calibri" w:hAnsi="Calibri" w:cs="Calibri"/>
                <w:sz w:val="19"/>
                <w:szCs w:val="19"/>
              </w:rPr>
            </w:pPr>
            <w:r w:rsidRPr="005734B8">
              <w:rPr>
                <w:rFonts w:ascii="Calibri" w:hAnsi="Calibri" w:cs="Calibri"/>
                <w:sz w:val="19"/>
                <w:szCs w:val="19"/>
              </w:rPr>
              <w:t>FRD 22</w:t>
            </w:r>
            <w:r w:rsidR="00741EE6" w:rsidRPr="005734B8">
              <w:rPr>
                <w:rFonts w:ascii="Calibri" w:hAnsi="Calibri" w:cs="Calibri"/>
                <w:sz w:val="19"/>
                <w:szCs w:val="19"/>
              </w:rPr>
              <w:t>I</w:t>
            </w:r>
          </w:p>
        </w:tc>
        <w:tc>
          <w:tcPr>
            <w:tcW w:w="5730" w:type="dxa"/>
            <w:tcBorders>
              <w:top w:val="single" w:sz="4" w:space="0" w:color="auto"/>
              <w:bottom w:val="single" w:sz="4" w:space="0" w:color="auto"/>
            </w:tcBorders>
          </w:tcPr>
          <w:p w14:paraId="3A959F5C" w14:textId="236228A8" w:rsidR="001C0AD7" w:rsidRPr="005734B8" w:rsidRDefault="001C0AD7" w:rsidP="001C0AD7">
            <w:pPr>
              <w:pStyle w:val="ESTablebody"/>
              <w:rPr>
                <w:rFonts w:ascii="Calibri" w:hAnsi="Calibri" w:cs="Calibri"/>
                <w:sz w:val="19"/>
                <w:szCs w:val="19"/>
                <w:lang w:val="en-AU"/>
              </w:rPr>
            </w:pPr>
            <w:r w:rsidRPr="005734B8">
              <w:rPr>
                <w:rFonts w:ascii="Calibri" w:hAnsi="Calibri" w:cs="Calibri"/>
                <w:sz w:val="19"/>
                <w:szCs w:val="19"/>
                <w:lang w:val="en-AU"/>
              </w:rPr>
              <w:t>Summary of the financial results for the year</w:t>
            </w:r>
          </w:p>
        </w:tc>
        <w:tc>
          <w:tcPr>
            <w:tcW w:w="838" w:type="dxa"/>
            <w:tcBorders>
              <w:top w:val="single" w:sz="4" w:space="0" w:color="auto"/>
              <w:bottom w:val="single" w:sz="4" w:space="0" w:color="auto"/>
            </w:tcBorders>
          </w:tcPr>
          <w:p w14:paraId="190F587A" w14:textId="7FC2E0D5" w:rsidR="001C0AD7" w:rsidRPr="005734B8" w:rsidRDefault="00917D9D" w:rsidP="00A73C53">
            <w:pPr>
              <w:pStyle w:val="ESTablebody"/>
              <w:jc w:val="right"/>
              <w:rPr>
                <w:rFonts w:ascii="Calibri" w:hAnsi="Calibri" w:cs="Calibri"/>
                <w:sz w:val="19"/>
                <w:szCs w:val="19"/>
                <w:highlight w:val="yellow"/>
                <w:lang w:val="en-AU"/>
              </w:rPr>
            </w:pPr>
            <w:r w:rsidRPr="005734B8">
              <w:rPr>
                <w:rFonts w:ascii="Calibri" w:hAnsi="Calibri" w:cs="Calibri"/>
                <w:sz w:val="19"/>
                <w:szCs w:val="19"/>
                <w:lang w:val="en-AU"/>
              </w:rPr>
              <w:t>47</w:t>
            </w:r>
          </w:p>
        </w:tc>
      </w:tr>
      <w:tr w:rsidR="001C0AD7" w:rsidRPr="005734B8" w14:paraId="49072823" w14:textId="77777777" w:rsidTr="00337C16">
        <w:trPr>
          <w:cantSplit/>
          <w:trHeight w:val="415"/>
        </w:trPr>
        <w:tc>
          <w:tcPr>
            <w:tcW w:w="1271" w:type="dxa"/>
            <w:tcBorders>
              <w:top w:val="single" w:sz="4" w:space="0" w:color="auto"/>
              <w:bottom w:val="single" w:sz="4" w:space="0" w:color="auto"/>
            </w:tcBorders>
            <w:shd w:val="clear" w:color="auto" w:fill="auto"/>
          </w:tcPr>
          <w:p w14:paraId="39CC3299" w14:textId="2760C987" w:rsidR="001C0AD7" w:rsidRPr="005734B8" w:rsidRDefault="001C0AD7" w:rsidP="001C0AD7">
            <w:pPr>
              <w:pStyle w:val="ESTablebody"/>
              <w:rPr>
                <w:rFonts w:ascii="Calibri" w:hAnsi="Calibri" w:cs="Calibri"/>
                <w:sz w:val="19"/>
                <w:szCs w:val="19"/>
              </w:rPr>
            </w:pPr>
            <w:r w:rsidRPr="005734B8">
              <w:rPr>
                <w:rFonts w:ascii="Calibri" w:hAnsi="Calibri" w:cs="Calibri"/>
                <w:sz w:val="19"/>
                <w:szCs w:val="19"/>
              </w:rPr>
              <w:t>FRD 22</w:t>
            </w:r>
            <w:r w:rsidR="00741EE6" w:rsidRPr="005734B8">
              <w:rPr>
                <w:rFonts w:ascii="Calibri" w:hAnsi="Calibri" w:cs="Calibri"/>
                <w:sz w:val="19"/>
                <w:szCs w:val="19"/>
              </w:rPr>
              <w:t>I</w:t>
            </w:r>
          </w:p>
        </w:tc>
        <w:tc>
          <w:tcPr>
            <w:tcW w:w="5730" w:type="dxa"/>
            <w:tcBorders>
              <w:top w:val="single" w:sz="4" w:space="0" w:color="auto"/>
              <w:bottom w:val="single" w:sz="4" w:space="0" w:color="auto"/>
            </w:tcBorders>
          </w:tcPr>
          <w:p w14:paraId="69BDEDAC" w14:textId="6EEFA261" w:rsidR="001C0AD7" w:rsidRPr="005734B8" w:rsidRDefault="001C0AD7" w:rsidP="001C0AD7">
            <w:pPr>
              <w:pStyle w:val="ESTablebody"/>
              <w:rPr>
                <w:rFonts w:ascii="Calibri" w:hAnsi="Calibri" w:cs="Calibri"/>
                <w:sz w:val="19"/>
                <w:szCs w:val="19"/>
                <w:lang w:val="en-AU"/>
              </w:rPr>
            </w:pPr>
            <w:r w:rsidRPr="005734B8">
              <w:rPr>
                <w:rFonts w:ascii="Calibri" w:hAnsi="Calibri" w:cs="Calibri"/>
                <w:sz w:val="19"/>
                <w:szCs w:val="19"/>
                <w:lang w:val="en-AU"/>
              </w:rPr>
              <w:t>Significant changes in financial position during the year</w:t>
            </w:r>
          </w:p>
        </w:tc>
        <w:tc>
          <w:tcPr>
            <w:tcW w:w="838" w:type="dxa"/>
            <w:tcBorders>
              <w:top w:val="single" w:sz="4" w:space="0" w:color="auto"/>
              <w:bottom w:val="single" w:sz="4" w:space="0" w:color="auto"/>
            </w:tcBorders>
          </w:tcPr>
          <w:p w14:paraId="3653D460" w14:textId="3A00930B" w:rsidR="001C0AD7" w:rsidRPr="005734B8" w:rsidRDefault="006A1630" w:rsidP="00A73C53">
            <w:pPr>
              <w:pStyle w:val="ESTablebody"/>
              <w:jc w:val="right"/>
              <w:rPr>
                <w:rFonts w:ascii="Calibri" w:hAnsi="Calibri" w:cs="Calibri"/>
                <w:sz w:val="19"/>
                <w:szCs w:val="19"/>
                <w:highlight w:val="yellow"/>
                <w:lang w:val="en-AU"/>
              </w:rPr>
            </w:pPr>
            <w:r w:rsidRPr="005734B8">
              <w:rPr>
                <w:rFonts w:ascii="Calibri" w:hAnsi="Calibri" w:cs="Calibri"/>
                <w:sz w:val="19"/>
                <w:szCs w:val="19"/>
                <w:lang w:val="en-AU"/>
              </w:rPr>
              <w:t>47</w:t>
            </w:r>
          </w:p>
        </w:tc>
      </w:tr>
      <w:tr w:rsidR="001C0AD7" w:rsidRPr="005734B8" w14:paraId="43DD509D" w14:textId="77777777" w:rsidTr="00337C16">
        <w:trPr>
          <w:cantSplit/>
          <w:trHeight w:val="415"/>
        </w:trPr>
        <w:tc>
          <w:tcPr>
            <w:tcW w:w="1271" w:type="dxa"/>
            <w:tcBorders>
              <w:top w:val="single" w:sz="4" w:space="0" w:color="auto"/>
              <w:bottom w:val="single" w:sz="4" w:space="0" w:color="auto"/>
            </w:tcBorders>
            <w:shd w:val="clear" w:color="auto" w:fill="auto"/>
          </w:tcPr>
          <w:p w14:paraId="052CBAA9" w14:textId="31D08FD7" w:rsidR="001C0AD7" w:rsidRPr="005734B8" w:rsidRDefault="001C0AD7" w:rsidP="001C0AD7">
            <w:pPr>
              <w:pStyle w:val="ESTablebody"/>
              <w:rPr>
                <w:rFonts w:ascii="Calibri" w:hAnsi="Calibri" w:cs="Calibri"/>
                <w:sz w:val="19"/>
                <w:szCs w:val="19"/>
              </w:rPr>
            </w:pPr>
            <w:r w:rsidRPr="005734B8">
              <w:rPr>
                <w:rFonts w:ascii="Calibri" w:hAnsi="Calibri" w:cs="Calibri"/>
                <w:sz w:val="19"/>
                <w:szCs w:val="19"/>
              </w:rPr>
              <w:t>FRD 22</w:t>
            </w:r>
            <w:r w:rsidR="00741EE6" w:rsidRPr="005734B8">
              <w:rPr>
                <w:rFonts w:ascii="Calibri" w:hAnsi="Calibri" w:cs="Calibri"/>
                <w:sz w:val="19"/>
                <w:szCs w:val="19"/>
              </w:rPr>
              <w:t>I</w:t>
            </w:r>
          </w:p>
        </w:tc>
        <w:tc>
          <w:tcPr>
            <w:tcW w:w="5730" w:type="dxa"/>
            <w:tcBorders>
              <w:top w:val="single" w:sz="4" w:space="0" w:color="auto"/>
              <w:bottom w:val="single" w:sz="4" w:space="0" w:color="auto"/>
            </w:tcBorders>
          </w:tcPr>
          <w:p w14:paraId="20018A09" w14:textId="747CA4E4" w:rsidR="001C0AD7" w:rsidRPr="005734B8" w:rsidRDefault="001C0AD7" w:rsidP="001C0AD7">
            <w:pPr>
              <w:pStyle w:val="ESTablebody"/>
              <w:rPr>
                <w:rFonts w:ascii="Calibri" w:hAnsi="Calibri" w:cs="Calibri"/>
                <w:sz w:val="19"/>
                <w:szCs w:val="19"/>
                <w:lang w:val="en-AU"/>
              </w:rPr>
            </w:pPr>
            <w:r w:rsidRPr="005734B8">
              <w:rPr>
                <w:rFonts w:ascii="Calibri" w:hAnsi="Calibri" w:cs="Calibri"/>
                <w:sz w:val="19"/>
                <w:szCs w:val="19"/>
                <w:lang w:val="en-AU"/>
              </w:rPr>
              <w:t>Major changes or factors affecting performance</w:t>
            </w:r>
          </w:p>
        </w:tc>
        <w:tc>
          <w:tcPr>
            <w:tcW w:w="838" w:type="dxa"/>
            <w:tcBorders>
              <w:top w:val="single" w:sz="4" w:space="0" w:color="auto"/>
              <w:bottom w:val="single" w:sz="4" w:space="0" w:color="auto"/>
            </w:tcBorders>
          </w:tcPr>
          <w:p w14:paraId="76194E49" w14:textId="3AB4C016" w:rsidR="001C0AD7" w:rsidRPr="005734B8" w:rsidRDefault="00A63DFA" w:rsidP="00A73C53">
            <w:pPr>
              <w:pStyle w:val="ESTablebody"/>
              <w:jc w:val="right"/>
              <w:rPr>
                <w:rFonts w:ascii="Calibri" w:hAnsi="Calibri" w:cs="Calibri"/>
                <w:sz w:val="19"/>
                <w:szCs w:val="19"/>
                <w:highlight w:val="yellow"/>
                <w:lang w:val="en-AU"/>
              </w:rPr>
            </w:pPr>
            <w:r w:rsidRPr="005734B8">
              <w:rPr>
                <w:rFonts w:ascii="Calibri" w:hAnsi="Calibri" w:cs="Calibri"/>
                <w:sz w:val="19"/>
                <w:szCs w:val="19"/>
                <w:lang w:val="en-AU"/>
              </w:rPr>
              <w:t>47</w:t>
            </w:r>
          </w:p>
        </w:tc>
      </w:tr>
      <w:tr w:rsidR="001C0AD7" w:rsidRPr="005734B8" w14:paraId="094AD7A6" w14:textId="77777777" w:rsidTr="00337C16">
        <w:trPr>
          <w:cantSplit/>
          <w:trHeight w:val="415"/>
        </w:trPr>
        <w:tc>
          <w:tcPr>
            <w:tcW w:w="1271" w:type="dxa"/>
            <w:tcBorders>
              <w:top w:val="single" w:sz="4" w:space="0" w:color="auto"/>
              <w:bottom w:val="single" w:sz="4" w:space="0" w:color="auto"/>
            </w:tcBorders>
            <w:shd w:val="clear" w:color="auto" w:fill="auto"/>
          </w:tcPr>
          <w:p w14:paraId="1C6A67E3" w14:textId="7107F97E" w:rsidR="001C0AD7" w:rsidRPr="005734B8" w:rsidRDefault="001C0AD7" w:rsidP="001C0AD7">
            <w:pPr>
              <w:pStyle w:val="ESTablebody"/>
              <w:rPr>
                <w:rFonts w:ascii="Calibri" w:hAnsi="Calibri" w:cs="Calibri"/>
                <w:sz w:val="19"/>
                <w:szCs w:val="19"/>
              </w:rPr>
            </w:pPr>
            <w:r w:rsidRPr="005734B8">
              <w:rPr>
                <w:rFonts w:ascii="Calibri" w:hAnsi="Calibri" w:cs="Calibri"/>
                <w:sz w:val="19"/>
                <w:szCs w:val="19"/>
              </w:rPr>
              <w:t>FRD 22</w:t>
            </w:r>
            <w:r w:rsidR="00741EE6" w:rsidRPr="005734B8">
              <w:rPr>
                <w:rFonts w:ascii="Calibri" w:hAnsi="Calibri" w:cs="Calibri"/>
                <w:sz w:val="19"/>
                <w:szCs w:val="19"/>
              </w:rPr>
              <w:t>I</w:t>
            </w:r>
          </w:p>
        </w:tc>
        <w:tc>
          <w:tcPr>
            <w:tcW w:w="5730" w:type="dxa"/>
            <w:tcBorders>
              <w:top w:val="single" w:sz="4" w:space="0" w:color="auto"/>
              <w:bottom w:val="single" w:sz="4" w:space="0" w:color="auto"/>
            </w:tcBorders>
          </w:tcPr>
          <w:p w14:paraId="39202291" w14:textId="78311303" w:rsidR="001C0AD7" w:rsidRPr="005734B8" w:rsidRDefault="001C0AD7" w:rsidP="001C0AD7">
            <w:pPr>
              <w:pStyle w:val="ESTablebody"/>
              <w:rPr>
                <w:rFonts w:ascii="Calibri" w:hAnsi="Calibri" w:cs="Calibri"/>
                <w:sz w:val="19"/>
                <w:szCs w:val="19"/>
                <w:lang w:val="en-AU"/>
              </w:rPr>
            </w:pPr>
            <w:r w:rsidRPr="005734B8">
              <w:rPr>
                <w:rFonts w:ascii="Calibri" w:hAnsi="Calibri" w:cs="Calibri"/>
                <w:sz w:val="19"/>
                <w:szCs w:val="19"/>
                <w:lang w:val="en-AU"/>
              </w:rPr>
              <w:t>Subsequent events</w:t>
            </w:r>
          </w:p>
        </w:tc>
        <w:tc>
          <w:tcPr>
            <w:tcW w:w="838" w:type="dxa"/>
            <w:tcBorders>
              <w:top w:val="single" w:sz="4" w:space="0" w:color="auto"/>
              <w:bottom w:val="single" w:sz="4" w:space="0" w:color="auto"/>
            </w:tcBorders>
          </w:tcPr>
          <w:p w14:paraId="20DAE9DF" w14:textId="3C8D20F7" w:rsidR="001C0AD7" w:rsidRPr="005734B8" w:rsidRDefault="00A63DFA" w:rsidP="00A73C53">
            <w:pPr>
              <w:pStyle w:val="ESTablebody"/>
              <w:jc w:val="right"/>
              <w:rPr>
                <w:rFonts w:ascii="Calibri" w:hAnsi="Calibri" w:cs="Calibri"/>
                <w:sz w:val="19"/>
                <w:szCs w:val="19"/>
                <w:highlight w:val="yellow"/>
                <w:lang w:val="en-AU"/>
              </w:rPr>
            </w:pPr>
            <w:r w:rsidRPr="005734B8">
              <w:rPr>
                <w:rFonts w:ascii="Calibri" w:hAnsi="Calibri" w:cs="Calibri"/>
                <w:sz w:val="19"/>
                <w:szCs w:val="19"/>
                <w:lang w:val="en-AU"/>
              </w:rPr>
              <w:t>19</w:t>
            </w:r>
            <w:r w:rsidR="00CA7D6D">
              <w:rPr>
                <w:rFonts w:ascii="Calibri" w:hAnsi="Calibri" w:cs="Calibri"/>
                <w:sz w:val="19"/>
                <w:szCs w:val="19"/>
                <w:lang w:val="en-AU"/>
              </w:rPr>
              <w:t>3</w:t>
            </w:r>
          </w:p>
        </w:tc>
      </w:tr>
      <w:tr w:rsidR="001C0AD7" w:rsidRPr="005734B8" w14:paraId="28278116" w14:textId="77777777" w:rsidTr="00337C16">
        <w:trPr>
          <w:cantSplit/>
          <w:trHeight w:val="415"/>
        </w:trPr>
        <w:tc>
          <w:tcPr>
            <w:tcW w:w="1271" w:type="dxa"/>
            <w:tcBorders>
              <w:top w:val="single" w:sz="4" w:space="0" w:color="auto"/>
              <w:bottom w:val="single" w:sz="4" w:space="0" w:color="auto"/>
            </w:tcBorders>
            <w:shd w:val="clear" w:color="auto" w:fill="auto"/>
          </w:tcPr>
          <w:p w14:paraId="173FA14C" w14:textId="15ACDB8A" w:rsidR="001C0AD7" w:rsidRPr="005734B8" w:rsidRDefault="001C0AD7" w:rsidP="001C0AD7">
            <w:pPr>
              <w:pStyle w:val="ESTablebody"/>
              <w:rPr>
                <w:rFonts w:ascii="Calibri" w:hAnsi="Calibri" w:cs="Calibri"/>
                <w:sz w:val="19"/>
                <w:szCs w:val="19"/>
              </w:rPr>
            </w:pPr>
            <w:r w:rsidRPr="005734B8">
              <w:rPr>
                <w:rFonts w:ascii="Calibri" w:hAnsi="Calibri" w:cs="Calibri"/>
                <w:sz w:val="19"/>
                <w:szCs w:val="19"/>
              </w:rPr>
              <w:t>FRD 22</w:t>
            </w:r>
            <w:r w:rsidR="00741EE6" w:rsidRPr="005734B8">
              <w:rPr>
                <w:rFonts w:ascii="Calibri" w:hAnsi="Calibri" w:cs="Calibri"/>
                <w:sz w:val="19"/>
                <w:szCs w:val="19"/>
              </w:rPr>
              <w:t>I</w:t>
            </w:r>
          </w:p>
        </w:tc>
        <w:tc>
          <w:tcPr>
            <w:tcW w:w="5730" w:type="dxa"/>
            <w:tcBorders>
              <w:top w:val="single" w:sz="4" w:space="0" w:color="auto"/>
              <w:bottom w:val="single" w:sz="4" w:space="0" w:color="auto"/>
            </w:tcBorders>
          </w:tcPr>
          <w:p w14:paraId="7F1B979A" w14:textId="1BAF8E20" w:rsidR="001C0AD7" w:rsidRPr="005734B8" w:rsidRDefault="001C0AD7" w:rsidP="001C0AD7">
            <w:pPr>
              <w:pStyle w:val="ESTablebody"/>
              <w:rPr>
                <w:rFonts w:ascii="Calibri" w:hAnsi="Calibri" w:cs="Calibri"/>
                <w:sz w:val="19"/>
                <w:szCs w:val="19"/>
                <w:lang w:val="en-AU"/>
              </w:rPr>
            </w:pPr>
            <w:r w:rsidRPr="005734B8">
              <w:rPr>
                <w:rFonts w:ascii="Calibri" w:hAnsi="Calibri" w:cs="Calibri"/>
                <w:sz w:val="19"/>
                <w:szCs w:val="19"/>
                <w:lang w:val="en-AU"/>
              </w:rPr>
              <w:t>Application and operation of the FOI Act</w:t>
            </w:r>
          </w:p>
        </w:tc>
        <w:tc>
          <w:tcPr>
            <w:tcW w:w="838" w:type="dxa"/>
            <w:tcBorders>
              <w:top w:val="single" w:sz="4" w:space="0" w:color="auto"/>
              <w:bottom w:val="single" w:sz="4" w:space="0" w:color="auto"/>
            </w:tcBorders>
          </w:tcPr>
          <w:p w14:paraId="6093FB96" w14:textId="7AD305DE" w:rsidR="001C0AD7" w:rsidRPr="005734B8" w:rsidRDefault="00481E6E" w:rsidP="00A73C53">
            <w:pPr>
              <w:pStyle w:val="ESTablebody"/>
              <w:jc w:val="right"/>
              <w:rPr>
                <w:rFonts w:ascii="Calibri" w:hAnsi="Calibri" w:cs="Calibri"/>
                <w:sz w:val="19"/>
                <w:szCs w:val="19"/>
                <w:highlight w:val="yellow"/>
                <w:lang w:val="en-AU"/>
              </w:rPr>
            </w:pPr>
            <w:r w:rsidRPr="005734B8">
              <w:rPr>
                <w:rFonts w:ascii="Calibri" w:hAnsi="Calibri" w:cs="Calibri"/>
                <w:sz w:val="19"/>
                <w:szCs w:val="19"/>
                <w:lang w:val="en-AU"/>
              </w:rPr>
              <w:t>9</w:t>
            </w:r>
            <w:r w:rsidR="00CA7D6D">
              <w:rPr>
                <w:rFonts w:ascii="Calibri" w:hAnsi="Calibri" w:cs="Calibri"/>
                <w:sz w:val="19"/>
                <w:szCs w:val="19"/>
                <w:lang w:val="en-AU"/>
              </w:rPr>
              <w:t>4</w:t>
            </w:r>
          </w:p>
        </w:tc>
      </w:tr>
      <w:tr w:rsidR="001C0AD7" w:rsidRPr="005734B8" w14:paraId="14B47D07" w14:textId="77777777" w:rsidTr="00337C16">
        <w:trPr>
          <w:cantSplit/>
          <w:trHeight w:val="415"/>
        </w:trPr>
        <w:tc>
          <w:tcPr>
            <w:tcW w:w="1271" w:type="dxa"/>
            <w:tcBorders>
              <w:top w:val="single" w:sz="4" w:space="0" w:color="auto"/>
              <w:bottom w:val="single" w:sz="4" w:space="0" w:color="auto"/>
            </w:tcBorders>
            <w:shd w:val="clear" w:color="auto" w:fill="auto"/>
          </w:tcPr>
          <w:p w14:paraId="0E8FE96F" w14:textId="73B7EF54" w:rsidR="001C0AD7" w:rsidRPr="005734B8" w:rsidRDefault="001C0AD7" w:rsidP="001C0AD7">
            <w:pPr>
              <w:pStyle w:val="ESTablebody"/>
              <w:rPr>
                <w:rFonts w:ascii="Calibri" w:hAnsi="Calibri" w:cs="Calibri"/>
                <w:sz w:val="19"/>
                <w:szCs w:val="19"/>
              </w:rPr>
            </w:pPr>
            <w:r w:rsidRPr="005734B8">
              <w:rPr>
                <w:rFonts w:ascii="Calibri" w:hAnsi="Calibri" w:cs="Calibri"/>
                <w:sz w:val="19"/>
                <w:szCs w:val="19"/>
              </w:rPr>
              <w:t>FRD 22</w:t>
            </w:r>
            <w:r w:rsidR="00741EE6" w:rsidRPr="005734B8">
              <w:rPr>
                <w:rFonts w:ascii="Calibri" w:hAnsi="Calibri" w:cs="Calibri"/>
                <w:sz w:val="19"/>
                <w:szCs w:val="19"/>
              </w:rPr>
              <w:t>I</w:t>
            </w:r>
          </w:p>
        </w:tc>
        <w:tc>
          <w:tcPr>
            <w:tcW w:w="5730" w:type="dxa"/>
            <w:tcBorders>
              <w:top w:val="single" w:sz="4" w:space="0" w:color="auto"/>
              <w:bottom w:val="single" w:sz="4" w:space="0" w:color="auto"/>
            </w:tcBorders>
          </w:tcPr>
          <w:p w14:paraId="41FB02E4" w14:textId="61981FF5" w:rsidR="001C0AD7" w:rsidRPr="005734B8" w:rsidRDefault="001C0AD7" w:rsidP="001C0AD7">
            <w:pPr>
              <w:pStyle w:val="ESTablebody"/>
              <w:rPr>
                <w:rFonts w:ascii="Calibri" w:hAnsi="Calibri" w:cs="Calibri"/>
                <w:sz w:val="19"/>
                <w:szCs w:val="19"/>
                <w:lang w:val="en-AU"/>
              </w:rPr>
            </w:pPr>
            <w:r w:rsidRPr="005734B8">
              <w:rPr>
                <w:rFonts w:ascii="Calibri" w:hAnsi="Calibri" w:cs="Calibri"/>
                <w:sz w:val="19"/>
                <w:szCs w:val="19"/>
                <w:lang w:val="en-AU"/>
              </w:rPr>
              <w:t>Compliance with the building and maintenance provisions of the Building Act</w:t>
            </w:r>
          </w:p>
        </w:tc>
        <w:tc>
          <w:tcPr>
            <w:tcW w:w="838" w:type="dxa"/>
            <w:tcBorders>
              <w:top w:val="single" w:sz="4" w:space="0" w:color="auto"/>
              <w:bottom w:val="single" w:sz="4" w:space="0" w:color="auto"/>
            </w:tcBorders>
          </w:tcPr>
          <w:p w14:paraId="55AACE2D" w14:textId="4E7F9D6D" w:rsidR="001C0AD7" w:rsidRPr="005734B8" w:rsidRDefault="004C04EE" w:rsidP="00A73C53">
            <w:pPr>
              <w:pStyle w:val="ESTablebody"/>
              <w:jc w:val="right"/>
              <w:rPr>
                <w:rFonts w:ascii="Calibri" w:hAnsi="Calibri" w:cs="Calibri"/>
                <w:sz w:val="19"/>
                <w:szCs w:val="19"/>
                <w:highlight w:val="yellow"/>
                <w:lang w:val="en-AU"/>
              </w:rPr>
            </w:pPr>
            <w:r w:rsidRPr="005734B8">
              <w:rPr>
                <w:rFonts w:ascii="Calibri" w:hAnsi="Calibri" w:cs="Calibri"/>
                <w:sz w:val="19"/>
                <w:szCs w:val="19"/>
                <w:lang w:val="en-AU"/>
              </w:rPr>
              <w:t>9</w:t>
            </w:r>
            <w:r w:rsidR="00CA7D6D">
              <w:rPr>
                <w:rFonts w:ascii="Calibri" w:hAnsi="Calibri" w:cs="Calibri"/>
                <w:sz w:val="19"/>
                <w:szCs w:val="19"/>
                <w:lang w:val="en-AU"/>
              </w:rPr>
              <w:t>6</w:t>
            </w:r>
          </w:p>
        </w:tc>
      </w:tr>
      <w:tr w:rsidR="001C0AD7" w:rsidRPr="005734B8" w14:paraId="1E6106D2" w14:textId="77777777" w:rsidTr="00337C16">
        <w:trPr>
          <w:cantSplit/>
          <w:trHeight w:val="415"/>
        </w:trPr>
        <w:tc>
          <w:tcPr>
            <w:tcW w:w="1271" w:type="dxa"/>
            <w:tcBorders>
              <w:top w:val="single" w:sz="4" w:space="0" w:color="auto"/>
              <w:bottom w:val="single" w:sz="4" w:space="0" w:color="auto"/>
            </w:tcBorders>
            <w:shd w:val="clear" w:color="auto" w:fill="auto"/>
          </w:tcPr>
          <w:p w14:paraId="6B2D1F80" w14:textId="38B7DC74" w:rsidR="001C0AD7" w:rsidRPr="005734B8" w:rsidRDefault="001C0AD7" w:rsidP="001C0AD7">
            <w:pPr>
              <w:pStyle w:val="ESTablebody"/>
              <w:rPr>
                <w:rFonts w:ascii="Calibri" w:hAnsi="Calibri" w:cs="Calibri"/>
                <w:sz w:val="19"/>
                <w:szCs w:val="19"/>
              </w:rPr>
            </w:pPr>
            <w:r w:rsidRPr="005734B8">
              <w:rPr>
                <w:rFonts w:ascii="Calibri" w:hAnsi="Calibri" w:cs="Calibri"/>
                <w:sz w:val="19"/>
                <w:szCs w:val="19"/>
              </w:rPr>
              <w:t>FRD 22</w:t>
            </w:r>
            <w:r w:rsidR="00741EE6" w:rsidRPr="005734B8">
              <w:rPr>
                <w:rFonts w:ascii="Calibri" w:hAnsi="Calibri" w:cs="Calibri"/>
                <w:sz w:val="19"/>
                <w:szCs w:val="19"/>
              </w:rPr>
              <w:t>I</w:t>
            </w:r>
          </w:p>
        </w:tc>
        <w:tc>
          <w:tcPr>
            <w:tcW w:w="5730" w:type="dxa"/>
            <w:tcBorders>
              <w:top w:val="single" w:sz="4" w:space="0" w:color="auto"/>
              <w:bottom w:val="single" w:sz="4" w:space="0" w:color="auto"/>
            </w:tcBorders>
          </w:tcPr>
          <w:p w14:paraId="3D1E66EA" w14:textId="56EE20B6" w:rsidR="001C0AD7" w:rsidRPr="005734B8" w:rsidRDefault="001C0AD7" w:rsidP="001C0AD7">
            <w:pPr>
              <w:pStyle w:val="ESTablebody"/>
              <w:rPr>
                <w:rFonts w:ascii="Calibri" w:hAnsi="Calibri" w:cs="Calibri"/>
                <w:sz w:val="19"/>
                <w:szCs w:val="19"/>
                <w:lang w:val="en-AU"/>
              </w:rPr>
            </w:pPr>
            <w:r w:rsidRPr="005734B8">
              <w:rPr>
                <w:rFonts w:ascii="Calibri" w:hAnsi="Calibri" w:cs="Calibri"/>
                <w:sz w:val="19"/>
                <w:szCs w:val="19"/>
                <w:lang w:val="en-AU"/>
              </w:rPr>
              <w:t>Statement on national competition policy</w:t>
            </w:r>
          </w:p>
        </w:tc>
        <w:tc>
          <w:tcPr>
            <w:tcW w:w="838" w:type="dxa"/>
            <w:tcBorders>
              <w:top w:val="single" w:sz="4" w:space="0" w:color="auto"/>
              <w:bottom w:val="single" w:sz="4" w:space="0" w:color="auto"/>
            </w:tcBorders>
          </w:tcPr>
          <w:p w14:paraId="525EEAC2" w14:textId="444EA38F" w:rsidR="001C0AD7" w:rsidRPr="005734B8" w:rsidRDefault="00A73DFF" w:rsidP="00A73C53">
            <w:pPr>
              <w:pStyle w:val="ESTablebody"/>
              <w:jc w:val="right"/>
              <w:rPr>
                <w:rFonts w:ascii="Calibri" w:hAnsi="Calibri" w:cs="Calibri"/>
                <w:sz w:val="19"/>
                <w:szCs w:val="19"/>
                <w:highlight w:val="yellow"/>
                <w:lang w:val="en-AU"/>
              </w:rPr>
            </w:pPr>
            <w:r w:rsidRPr="005734B8">
              <w:rPr>
                <w:rFonts w:ascii="Calibri" w:hAnsi="Calibri" w:cs="Calibri"/>
                <w:sz w:val="19"/>
                <w:szCs w:val="19"/>
                <w:lang w:val="en-AU"/>
              </w:rPr>
              <w:t>10</w:t>
            </w:r>
            <w:r w:rsidR="00CA7D6D">
              <w:rPr>
                <w:rFonts w:ascii="Calibri" w:hAnsi="Calibri" w:cs="Calibri"/>
                <w:sz w:val="19"/>
                <w:szCs w:val="19"/>
                <w:lang w:val="en-AU"/>
              </w:rPr>
              <w:t>5</w:t>
            </w:r>
          </w:p>
        </w:tc>
      </w:tr>
      <w:tr w:rsidR="001C0AD7" w:rsidRPr="005734B8" w14:paraId="6F6C8F90" w14:textId="77777777" w:rsidTr="00337C16">
        <w:trPr>
          <w:cantSplit/>
          <w:trHeight w:val="415"/>
        </w:trPr>
        <w:tc>
          <w:tcPr>
            <w:tcW w:w="1271" w:type="dxa"/>
            <w:tcBorders>
              <w:top w:val="single" w:sz="4" w:space="0" w:color="auto"/>
              <w:bottom w:val="single" w:sz="4" w:space="0" w:color="auto"/>
            </w:tcBorders>
            <w:shd w:val="clear" w:color="auto" w:fill="auto"/>
          </w:tcPr>
          <w:p w14:paraId="0B4F60D0" w14:textId="5C86908B" w:rsidR="001C0AD7" w:rsidRPr="005734B8" w:rsidRDefault="001C0AD7" w:rsidP="001C0AD7">
            <w:pPr>
              <w:pStyle w:val="ESTablebody"/>
              <w:rPr>
                <w:rFonts w:ascii="Calibri" w:hAnsi="Calibri" w:cs="Calibri"/>
                <w:sz w:val="19"/>
                <w:szCs w:val="19"/>
              </w:rPr>
            </w:pPr>
            <w:r w:rsidRPr="005734B8">
              <w:rPr>
                <w:rFonts w:ascii="Calibri" w:hAnsi="Calibri" w:cs="Calibri"/>
                <w:sz w:val="19"/>
                <w:szCs w:val="19"/>
              </w:rPr>
              <w:lastRenderedPageBreak/>
              <w:t>FRD 22</w:t>
            </w:r>
            <w:r w:rsidR="00741EE6" w:rsidRPr="005734B8">
              <w:rPr>
                <w:rFonts w:ascii="Calibri" w:hAnsi="Calibri" w:cs="Calibri"/>
                <w:sz w:val="19"/>
                <w:szCs w:val="19"/>
              </w:rPr>
              <w:t>I</w:t>
            </w:r>
          </w:p>
        </w:tc>
        <w:tc>
          <w:tcPr>
            <w:tcW w:w="5730" w:type="dxa"/>
            <w:tcBorders>
              <w:top w:val="single" w:sz="4" w:space="0" w:color="auto"/>
              <w:bottom w:val="single" w:sz="4" w:space="0" w:color="auto"/>
            </w:tcBorders>
          </w:tcPr>
          <w:p w14:paraId="7F41B9B7" w14:textId="727C9FC5" w:rsidR="001C0AD7" w:rsidRPr="005734B8" w:rsidRDefault="001C0AD7" w:rsidP="001C0AD7">
            <w:pPr>
              <w:pStyle w:val="ESTablebody"/>
              <w:rPr>
                <w:rFonts w:ascii="Calibri" w:hAnsi="Calibri" w:cs="Calibri"/>
                <w:sz w:val="19"/>
                <w:szCs w:val="19"/>
                <w:lang w:val="en-AU"/>
              </w:rPr>
            </w:pPr>
            <w:r w:rsidRPr="005734B8">
              <w:rPr>
                <w:rFonts w:ascii="Calibri" w:hAnsi="Calibri" w:cs="Calibri"/>
                <w:sz w:val="19"/>
                <w:szCs w:val="19"/>
                <w:lang w:val="en-AU"/>
              </w:rPr>
              <w:t xml:space="preserve">Application and operation of the </w:t>
            </w:r>
            <w:r w:rsidR="0094052C" w:rsidRPr="0094052C">
              <w:rPr>
                <w:rFonts w:ascii="Calibri" w:hAnsi="Calibri" w:cs="Calibri"/>
                <w:sz w:val="19"/>
                <w:szCs w:val="19"/>
                <w:lang w:val="en-AU"/>
              </w:rPr>
              <w:t>Public Interest Disclosures</w:t>
            </w:r>
            <w:r w:rsidRPr="005734B8">
              <w:rPr>
                <w:rFonts w:ascii="Calibri" w:hAnsi="Calibri" w:cs="Calibri"/>
                <w:sz w:val="19"/>
                <w:szCs w:val="19"/>
                <w:lang w:val="en-AU"/>
              </w:rPr>
              <w:t xml:space="preserve"> Act</w:t>
            </w:r>
          </w:p>
        </w:tc>
        <w:tc>
          <w:tcPr>
            <w:tcW w:w="838" w:type="dxa"/>
            <w:tcBorders>
              <w:top w:val="single" w:sz="4" w:space="0" w:color="auto"/>
              <w:bottom w:val="single" w:sz="4" w:space="0" w:color="auto"/>
            </w:tcBorders>
          </w:tcPr>
          <w:p w14:paraId="177E9D7D" w14:textId="559C5195" w:rsidR="001C0AD7" w:rsidRPr="005734B8" w:rsidRDefault="00A73DFF" w:rsidP="00A73C53">
            <w:pPr>
              <w:pStyle w:val="ESTablebody"/>
              <w:jc w:val="right"/>
              <w:rPr>
                <w:rFonts w:ascii="Calibri" w:hAnsi="Calibri" w:cs="Calibri"/>
                <w:sz w:val="19"/>
                <w:szCs w:val="19"/>
                <w:highlight w:val="yellow"/>
                <w:lang w:val="en-AU"/>
              </w:rPr>
            </w:pPr>
            <w:r w:rsidRPr="005734B8">
              <w:rPr>
                <w:rFonts w:ascii="Calibri" w:hAnsi="Calibri" w:cs="Calibri"/>
                <w:sz w:val="19"/>
                <w:szCs w:val="19"/>
                <w:lang w:val="en-AU"/>
              </w:rPr>
              <w:t>1</w:t>
            </w:r>
            <w:r w:rsidR="0094052C">
              <w:rPr>
                <w:rFonts w:ascii="Calibri" w:hAnsi="Calibri" w:cs="Calibri"/>
                <w:sz w:val="19"/>
                <w:szCs w:val="19"/>
                <w:lang w:val="en-AU"/>
              </w:rPr>
              <w:t>04</w:t>
            </w:r>
          </w:p>
        </w:tc>
      </w:tr>
      <w:tr w:rsidR="001C0AD7" w:rsidRPr="005734B8" w14:paraId="4EAD32FE" w14:textId="77777777" w:rsidTr="00337C16">
        <w:trPr>
          <w:cantSplit/>
          <w:trHeight w:val="415"/>
        </w:trPr>
        <w:tc>
          <w:tcPr>
            <w:tcW w:w="1271" w:type="dxa"/>
            <w:tcBorders>
              <w:top w:val="single" w:sz="4" w:space="0" w:color="auto"/>
              <w:bottom w:val="single" w:sz="4" w:space="0" w:color="auto"/>
            </w:tcBorders>
            <w:shd w:val="clear" w:color="auto" w:fill="auto"/>
          </w:tcPr>
          <w:p w14:paraId="73A9BF1F" w14:textId="743843EA" w:rsidR="001C0AD7" w:rsidRPr="005734B8" w:rsidRDefault="001C0AD7" w:rsidP="001C0AD7">
            <w:pPr>
              <w:pStyle w:val="ESTablebody"/>
              <w:rPr>
                <w:rFonts w:ascii="Calibri" w:hAnsi="Calibri" w:cs="Calibri"/>
                <w:sz w:val="19"/>
                <w:szCs w:val="19"/>
              </w:rPr>
            </w:pPr>
            <w:r w:rsidRPr="005734B8">
              <w:rPr>
                <w:rFonts w:ascii="Calibri" w:hAnsi="Calibri" w:cs="Calibri"/>
                <w:sz w:val="19"/>
                <w:szCs w:val="19"/>
              </w:rPr>
              <w:t>FRD 22</w:t>
            </w:r>
            <w:r w:rsidR="00741EE6" w:rsidRPr="005734B8">
              <w:rPr>
                <w:rFonts w:ascii="Calibri" w:hAnsi="Calibri" w:cs="Calibri"/>
                <w:sz w:val="19"/>
                <w:szCs w:val="19"/>
              </w:rPr>
              <w:t>I</w:t>
            </w:r>
          </w:p>
        </w:tc>
        <w:tc>
          <w:tcPr>
            <w:tcW w:w="5730" w:type="dxa"/>
            <w:tcBorders>
              <w:top w:val="single" w:sz="4" w:space="0" w:color="auto"/>
              <w:bottom w:val="single" w:sz="4" w:space="0" w:color="auto"/>
            </w:tcBorders>
          </w:tcPr>
          <w:p w14:paraId="521609F6" w14:textId="47703D4D" w:rsidR="001C0AD7" w:rsidRPr="005734B8" w:rsidRDefault="001C0AD7" w:rsidP="001C0AD7">
            <w:pPr>
              <w:pStyle w:val="ESTablebody"/>
              <w:rPr>
                <w:rFonts w:ascii="Calibri" w:hAnsi="Calibri" w:cs="Calibri"/>
                <w:sz w:val="19"/>
                <w:szCs w:val="19"/>
                <w:lang w:val="en-AU"/>
              </w:rPr>
            </w:pPr>
            <w:r w:rsidRPr="005734B8">
              <w:rPr>
                <w:rFonts w:ascii="Calibri" w:hAnsi="Calibri" w:cs="Calibri"/>
                <w:sz w:val="19"/>
                <w:szCs w:val="19"/>
                <w:lang w:val="en-AU"/>
              </w:rPr>
              <w:t>Applicat</w:t>
            </w:r>
            <w:r w:rsidR="000214CC" w:rsidRPr="005734B8">
              <w:rPr>
                <w:rFonts w:ascii="Calibri" w:hAnsi="Calibri" w:cs="Calibri"/>
                <w:sz w:val="19"/>
                <w:szCs w:val="19"/>
                <w:lang w:val="en-AU"/>
              </w:rPr>
              <w:t>io</w:t>
            </w:r>
            <w:r w:rsidRPr="005734B8">
              <w:rPr>
                <w:rFonts w:ascii="Calibri" w:hAnsi="Calibri" w:cs="Calibri"/>
                <w:sz w:val="19"/>
                <w:szCs w:val="19"/>
                <w:lang w:val="en-AU"/>
              </w:rPr>
              <w:t>n and operation of the Carers Recognition Act</w:t>
            </w:r>
          </w:p>
        </w:tc>
        <w:tc>
          <w:tcPr>
            <w:tcW w:w="838" w:type="dxa"/>
            <w:tcBorders>
              <w:top w:val="single" w:sz="4" w:space="0" w:color="auto"/>
              <w:bottom w:val="single" w:sz="4" w:space="0" w:color="auto"/>
            </w:tcBorders>
          </w:tcPr>
          <w:p w14:paraId="32890C64" w14:textId="1B7F770D" w:rsidR="001C0AD7" w:rsidRPr="005734B8" w:rsidRDefault="008D0BCE" w:rsidP="00A73C53">
            <w:pPr>
              <w:pStyle w:val="ESTablebody"/>
              <w:jc w:val="right"/>
              <w:rPr>
                <w:rFonts w:ascii="Calibri" w:hAnsi="Calibri" w:cs="Calibri"/>
                <w:sz w:val="19"/>
                <w:szCs w:val="19"/>
                <w:highlight w:val="yellow"/>
                <w:lang w:val="en-AU"/>
              </w:rPr>
            </w:pPr>
            <w:r w:rsidRPr="005734B8">
              <w:rPr>
                <w:rFonts w:ascii="Calibri" w:hAnsi="Calibri" w:cs="Calibri"/>
                <w:sz w:val="19"/>
                <w:szCs w:val="19"/>
                <w:lang w:val="en-AU"/>
              </w:rPr>
              <w:t>1</w:t>
            </w:r>
            <w:r w:rsidR="0054407D">
              <w:rPr>
                <w:rFonts w:ascii="Calibri" w:hAnsi="Calibri" w:cs="Calibri"/>
                <w:sz w:val="19"/>
                <w:szCs w:val="19"/>
                <w:lang w:val="en-AU"/>
              </w:rPr>
              <w:t>07</w:t>
            </w:r>
          </w:p>
        </w:tc>
      </w:tr>
      <w:tr w:rsidR="001C0AD7" w:rsidRPr="005734B8" w14:paraId="66B7436F" w14:textId="77777777" w:rsidTr="00337C16">
        <w:trPr>
          <w:cantSplit/>
          <w:trHeight w:val="415"/>
        </w:trPr>
        <w:tc>
          <w:tcPr>
            <w:tcW w:w="1271" w:type="dxa"/>
            <w:tcBorders>
              <w:top w:val="single" w:sz="4" w:space="0" w:color="auto"/>
              <w:bottom w:val="single" w:sz="4" w:space="0" w:color="auto"/>
            </w:tcBorders>
            <w:shd w:val="clear" w:color="auto" w:fill="auto"/>
          </w:tcPr>
          <w:p w14:paraId="0A338E6B" w14:textId="4449C18A" w:rsidR="001C0AD7" w:rsidRPr="005734B8" w:rsidRDefault="00741EE6" w:rsidP="001C0AD7">
            <w:pPr>
              <w:pStyle w:val="ESTablebody"/>
              <w:rPr>
                <w:rFonts w:ascii="Calibri" w:hAnsi="Calibri" w:cs="Calibri"/>
                <w:sz w:val="19"/>
                <w:szCs w:val="19"/>
              </w:rPr>
            </w:pPr>
            <w:r w:rsidRPr="005734B8">
              <w:rPr>
                <w:rFonts w:ascii="Calibri" w:hAnsi="Calibri" w:cs="Calibri"/>
                <w:sz w:val="19"/>
                <w:szCs w:val="19"/>
              </w:rPr>
              <w:t>FRD 22I</w:t>
            </w:r>
          </w:p>
        </w:tc>
        <w:tc>
          <w:tcPr>
            <w:tcW w:w="5730" w:type="dxa"/>
            <w:tcBorders>
              <w:top w:val="single" w:sz="4" w:space="0" w:color="auto"/>
              <w:bottom w:val="single" w:sz="4" w:space="0" w:color="auto"/>
            </w:tcBorders>
          </w:tcPr>
          <w:p w14:paraId="76EB4FDF" w14:textId="64260339" w:rsidR="001C0AD7" w:rsidRPr="005734B8" w:rsidRDefault="001C0AD7" w:rsidP="001C0AD7">
            <w:pPr>
              <w:pStyle w:val="ESTablebody"/>
              <w:rPr>
                <w:rFonts w:ascii="Calibri" w:hAnsi="Calibri" w:cs="Calibri"/>
                <w:sz w:val="19"/>
                <w:szCs w:val="19"/>
                <w:lang w:val="en-AU"/>
              </w:rPr>
            </w:pPr>
            <w:r w:rsidRPr="005734B8">
              <w:rPr>
                <w:rFonts w:ascii="Calibri" w:hAnsi="Calibri" w:cs="Calibri"/>
                <w:sz w:val="19"/>
                <w:szCs w:val="19"/>
                <w:lang w:val="en-AU"/>
              </w:rPr>
              <w:t>Details of consultancies over $10,000</w:t>
            </w:r>
          </w:p>
        </w:tc>
        <w:tc>
          <w:tcPr>
            <w:tcW w:w="838" w:type="dxa"/>
            <w:tcBorders>
              <w:top w:val="single" w:sz="4" w:space="0" w:color="auto"/>
              <w:bottom w:val="single" w:sz="4" w:space="0" w:color="auto"/>
            </w:tcBorders>
          </w:tcPr>
          <w:p w14:paraId="3C641646" w14:textId="1AC007C0" w:rsidR="001C0AD7" w:rsidRPr="005734B8" w:rsidRDefault="00DF1837" w:rsidP="00A73C53">
            <w:pPr>
              <w:pStyle w:val="ESTablebody"/>
              <w:jc w:val="right"/>
              <w:rPr>
                <w:rFonts w:ascii="Calibri" w:hAnsi="Calibri" w:cs="Calibri"/>
                <w:sz w:val="19"/>
                <w:szCs w:val="19"/>
                <w:lang w:val="en-AU"/>
              </w:rPr>
            </w:pPr>
            <w:r w:rsidRPr="005734B8">
              <w:rPr>
                <w:rFonts w:ascii="Calibri" w:hAnsi="Calibri" w:cs="Calibri"/>
                <w:sz w:val="19"/>
                <w:szCs w:val="19"/>
                <w:lang w:val="en-AU"/>
              </w:rPr>
              <w:t>9</w:t>
            </w:r>
            <w:r w:rsidR="0054407D">
              <w:rPr>
                <w:rFonts w:ascii="Calibri" w:hAnsi="Calibri" w:cs="Calibri"/>
                <w:sz w:val="19"/>
                <w:szCs w:val="19"/>
                <w:lang w:val="en-AU"/>
              </w:rPr>
              <w:t>3</w:t>
            </w:r>
          </w:p>
        </w:tc>
      </w:tr>
      <w:tr w:rsidR="001C0AD7" w:rsidRPr="005734B8" w14:paraId="58E77535" w14:textId="77777777" w:rsidTr="00337C16">
        <w:trPr>
          <w:cantSplit/>
          <w:trHeight w:val="415"/>
        </w:trPr>
        <w:tc>
          <w:tcPr>
            <w:tcW w:w="1271" w:type="dxa"/>
            <w:tcBorders>
              <w:top w:val="single" w:sz="4" w:space="0" w:color="auto"/>
              <w:bottom w:val="single" w:sz="4" w:space="0" w:color="auto"/>
            </w:tcBorders>
            <w:shd w:val="clear" w:color="auto" w:fill="auto"/>
          </w:tcPr>
          <w:p w14:paraId="1FA2E885" w14:textId="00EC74D7" w:rsidR="001C0AD7" w:rsidRPr="005734B8" w:rsidRDefault="00741EE6" w:rsidP="001C0AD7">
            <w:pPr>
              <w:pStyle w:val="ESTablebody"/>
              <w:rPr>
                <w:rFonts w:ascii="Calibri" w:hAnsi="Calibri" w:cs="Calibri"/>
                <w:sz w:val="19"/>
                <w:szCs w:val="19"/>
              </w:rPr>
            </w:pPr>
            <w:r w:rsidRPr="005734B8">
              <w:rPr>
                <w:rFonts w:ascii="Calibri" w:hAnsi="Calibri" w:cs="Calibri"/>
                <w:sz w:val="19"/>
                <w:szCs w:val="19"/>
              </w:rPr>
              <w:t>FRD 22I</w:t>
            </w:r>
          </w:p>
        </w:tc>
        <w:tc>
          <w:tcPr>
            <w:tcW w:w="5730" w:type="dxa"/>
            <w:tcBorders>
              <w:top w:val="single" w:sz="4" w:space="0" w:color="auto"/>
              <w:bottom w:val="single" w:sz="4" w:space="0" w:color="auto"/>
            </w:tcBorders>
          </w:tcPr>
          <w:p w14:paraId="47BEFF12" w14:textId="77375E10" w:rsidR="001C0AD7" w:rsidRPr="005734B8" w:rsidRDefault="001C0AD7" w:rsidP="001C0AD7">
            <w:pPr>
              <w:pStyle w:val="ESTablebody"/>
              <w:rPr>
                <w:rFonts w:ascii="Calibri" w:hAnsi="Calibri" w:cs="Calibri"/>
                <w:sz w:val="19"/>
                <w:szCs w:val="19"/>
                <w:lang w:val="en-AU"/>
              </w:rPr>
            </w:pPr>
            <w:r w:rsidRPr="005734B8">
              <w:rPr>
                <w:rFonts w:ascii="Calibri" w:hAnsi="Calibri" w:cs="Calibri"/>
                <w:sz w:val="19"/>
                <w:szCs w:val="19"/>
                <w:lang w:val="en-AU"/>
              </w:rPr>
              <w:t>Details of consultancies under $10,000</w:t>
            </w:r>
          </w:p>
        </w:tc>
        <w:tc>
          <w:tcPr>
            <w:tcW w:w="838" w:type="dxa"/>
            <w:tcBorders>
              <w:top w:val="single" w:sz="4" w:space="0" w:color="auto"/>
              <w:bottom w:val="single" w:sz="4" w:space="0" w:color="auto"/>
            </w:tcBorders>
          </w:tcPr>
          <w:p w14:paraId="054C3DB1" w14:textId="2EFDB5C9" w:rsidR="001C0AD7" w:rsidRPr="005734B8" w:rsidRDefault="00DF1837" w:rsidP="00A73C53">
            <w:pPr>
              <w:pStyle w:val="ESTablebody"/>
              <w:jc w:val="right"/>
              <w:rPr>
                <w:rFonts w:ascii="Calibri" w:hAnsi="Calibri" w:cs="Calibri"/>
                <w:sz w:val="19"/>
                <w:szCs w:val="19"/>
                <w:lang w:val="en-AU"/>
              </w:rPr>
            </w:pPr>
            <w:r w:rsidRPr="005734B8">
              <w:rPr>
                <w:rFonts w:ascii="Calibri" w:hAnsi="Calibri" w:cs="Calibri"/>
                <w:sz w:val="19"/>
                <w:szCs w:val="19"/>
                <w:lang w:val="en-AU"/>
              </w:rPr>
              <w:t>9</w:t>
            </w:r>
            <w:r w:rsidR="0054407D">
              <w:rPr>
                <w:rFonts w:ascii="Calibri" w:hAnsi="Calibri" w:cs="Calibri"/>
                <w:sz w:val="19"/>
                <w:szCs w:val="19"/>
                <w:lang w:val="en-AU"/>
              </w:rPr>
              <w:t>3</w:t>
            </w:r>
          </w:p>
        </w:tc>
      </w:tr>
      <w:tr w:rsidR="001C0AD7" w:rsidRPr="005734B8" w14:paraId="10E8F8F0" w14:textId="77777777" w:rsidTr="00337C16">
        <w:trPr>
          <w:cantSplit/>
          <w:trHeight w:val="415"/>
        </w:trPr>
        <w:tc>
          <w:tcPr>
            <w:tcW w:w="1271" w:type="dxa"/>
            <w:tcBorders>
              <w:top w:val="single" w:sz="4" w:space="0" w:color="auto"/>
              <w:bottom w:val="single" w:sz="4" w:space="0" w:color="auto"/>
            </w:tcBorders>
            <w:shd w:val="clear" w:color="auto" w:fill="auto"/>
          </w:tcPr>
          <w:p w14:paraId="42885E27" w14:textId="7C231E7D" w:rsidR="001C0AD7" w:rsidRPr="005734B8" w:rsidRDefault="00741EE6" w:rsidP="001C0AD7">
            <w:pPr>
              <w:pStyle w:val="ESTablebody"/>
              <w:rPr>
                <w:rFonts w:ascii="Calibri" w:hAnsi="Calibri" w:cs="Calibri"/>
                <w:sz w:val="19"/>
                <w:szCs w:val="19"/>
              </w:rPr>
            </w:pPr>
            <w:r w:rsidRPr="005734B8">
              <w:rPr>
                <w:rFonts w:ascii="Calibri" w:hAnsi="Calibri" w:cs="Calibri"/>
                <w:sz w:val="19"/>
                <w:szCs w:val="19"/>
              </w:rPr>
              <w:t>FRD 22I</w:t>
            </w:r>
          </w:p>
        </w:tc>
        <w:tc>
          <w:tcPr>
            <w:tcW w:w="5730" w:type="dxa"/>
            <w:tcBorders>
              <w:top w:val="single" w:sz="4" w:space="0" w:color="auto"/>
              <w:bottom w:val="single" w:sz="4" w:space="0" w:color="auto"/>
            </w:tcBorders>
          </w:tcPr>
          <w:p w14:paraId="0490C73A" w14:textId="172C9BF2" w:rsidR="001C0AD7" w:rsidRPr="005734B8" w:rsidRDefault="001C0AD7" w:rsidP="001C0AD7">
            <w:pPr>
              <w:pStyle w:val="ESTablebody"/>
              <w:rPr>
                <w:rFonts w:ascii="Calibri" w:hAnsi="Calibri" w:cs="Calibri"/>
                <w:sz w:val="19"/>
                <w:szCs w:val="19"/>
                <w:lang w:val="en-AU"/>
              </w:rPr>
            </w:pPr>
            <w:r w:rsidRPr="005734B8">
              <w:rPr>
                <w:rFonts w:ascii="Calibri" w:hAnsi="Calibri" w:cs="Calibri"/>
                <w:sz w:val="19"/>
                <w:szCs w:val="19"/>
                <w:lang w:val="en-AU"/>
              </w:rPr>
              <w:t>Disclosure of government advertising expenditure</w:t>
            </w:r>
          </w:p>
        </w:tc>
        <w:tc>
          <w:tcPr>
            <w:tcW w:w="838" w:type="dxa"/>
            <w:tcBorders>
              <w:top w:val="single" w:sz="4" w:space="0" w:color="auto"/>
              <w:bottom w:val="single" w:sz="4" w:space="0" w:color="auto"/>
            </w:tcBorders>
          </w:tcPr>
          <w:p w14:paraId="4137B35E" w14:textId="171259C1" w:rsidR="001C0AD7" w:rsidRPr="005734B8" w:rsidRDefault="00DF1837" w:rsidP="00A73C53">
            <w:pPr>
              <w:pStyle w:val="ESTablebody"/>
              <w:jc w:val="right"/>
              <w:rPr>
                <w:rFonts w:ascii="Calibri" w:hAnsi="Calibri" w:cs="Calibri"/>
                <w:sz w:val="19"/>
                <w:szCs w:val="19"/>
                <w:highlight w:val="yellow"/>
                <w:lang w:val="en-AU"/>
              </w:rPr>
            </w:pPr>
            <w:r w:rsidRPr="005734B8">
              <w:rPr>
                <w:rFonts w:ascii="Calibri" w:hAnsi="Calibri" w:cs="Calibri"/>
                <w:sz w:val="19"/>
                <w:szCs w:val="19"/>
                <w:lang w:val="en-AU"/>
              </w:rPr>
              <w:t>9</w:t>
            </w:r>
            <w:r w:rsidR="0054407D">
              <w:rPr>
                <w:rFonts w:ascii="Calibri" w:hAnsi="Calibri" w:cs="Calibri"/>
                <w:sz w:val="19"/>
                <w:szCs w:val="19"/>
                <w:lang w:val="en-AU"/>
              </w:rPr>
              <w:t>0</w:t>
            </w:r>
          </w:p>
        </w:tc>
      </w:tr>
      <w:tr w:rsidR="001C0AD7" w:rsidRPr="005734B8" w14:paraId="6C5B9DD7" w14:textId="77777777" w:rsidTr="00337C16">
        <w:trPr>
          <w:cantSplit/>
          <w:trHeight w:val="415"/>
        </w:trPr>
        <w:tc>
          <w:tcPr>
            <w:tcW w:w="1271" w:type="dxa"/>
            <w:tcBorders>
              <w:top w:val="single" w:sz="4" w:space="0" w:color="auto"/>
              <w:bottom w:val="single" w:sz="4" w:space="0" w:color="auto"/>
            </w:tcBorders>
            <w:shd w:val="clear" w:color="auto" w:fill="auto"/>
          </w:tcPr>
          <w:p w14:paraId="54A2D638" w14:textId="723B64D9" w:rsidR="001C0AD7" w:rsidRPr="005734B8" w:rsidRDefault="00741EE6" w:rsidP="001C0AD7">
            <w:pPr>
              <w:pStyle w:val="ESTablebody"/>
              <w:rPr>
                <w:rFonts w:ascii="Calibri" w:hAnsi="Calibri" w:cs="Calibri"/>
                <w:sz w:val="19"/>
                <w:szCs w:val="19"/>
              </w:rPr>
            </w:pPr>
            <w:r w:rsidRPr="005734B8">
              <w:rPr>
                <w:rFonts w:ascii="Calibri" w:hAnsi="Calibri" w:cs="Calibri"/>
                <w:sz w:val="19"/>
                <w:szCs w:val="19"/>
              </w:rPr>
              <w:t>FRD 22I</w:t>
            </w:r>
          </w:p>
        </w:tc>
        <w:tc>
          <w:tcPr>
            <w:tcW w:w="5730" w:type="dxa"/>
            <w:tcBorders>
              <w:top w:val="single" w:sz="4" w:space="0" w:color="auto"/>
              <w:bottom w:val="single" w:sz="4" w:space="0" w:color="auto"/>
            </w:tcBorders>
          </w:tcPr>
          <w:p w14:paraId="060103AE" w14:textId="65AD906A" w:rsidR="001C0AD7" w:rsidRPr="005734B8" w:rsidRDefault="001C0AD7" w:rsidP="001C0AD7">
            <w:pPr>
              <w:pStyle w:val="ESTablebody"/>
              <w:rPr>
                <w:rFonts w:ascii="Calibri" w:hAnsi="Calibri" w:cs="Calibri"/>
                <w:sz w:val="19"/>
                <w:szCs w:val="19"/>
                <w:lang w:val="en-AU"/>
              </w:rPr>
            </w:pPr>
            <w:r w:rsidRPr="005734B8">
              <w:rPr>
                <w:rFonts w:ascii="Calibri" w:hAnsi="Calibri" w:cs="Calibri"/>
                <w:sz w:val="19"/>
                <w:szCs w:val="19"/>
                <w:lang w:val="en-AU"/>
              </w:rPr>
              <w:t>Disclosure of ICT expenditure</w:t>
            </w:r>
          </w:p>
        </w:tc>
        <w:tc>
          <w:tcPr>
            <w:tcW w:w="838" w:type="dxa"/>
            <w:tcBorders>
              <w:top w:val="single" w:sz="4" w:space="0" w:color="auto"/>
              <w:bottom w:val="single" w:sz="4" w:space="0" w:color="auto"/>
            </w:tcBorders>
          </w:tcPr>
          <w:p w14:paraId="6FF6DBD0" w14:textId="3A1DF251" w:rsidR="001C0AD7" w:rsidRPr="005734B8" w:rsidRDefault="00FF0584" w:rsidP="00A73C53">
            <w:pPr>
              <w:pStyle w:val="ESTablebody"/>
              <w:jc w:val="right"/>
              <w:rPr>
                <w:rFonts w:ascii="Calibri" w:hAnsi="Calibri" w:cs="Calibri"/>
                <w:sz w:val="19"/>
                <w:szCs w:val="19"/>
                <w:highlight w:val="yellow"/>
                <w:lang w:val="en-AU"/>
              </w:rPr>
            </w:pPr>
            <w:r w:rsidRPr="005734B8">
              <w:rPr>
                <w:rFonts w:ascii="Calibri" w:hAnsi="Calibri" w:cs="Calibri"/>
                <w:sz w:val="19"/>
                <w:szCs w:val="19"/>
                <w:lang w:val="en-AU"/>
              </w:rPr>
              <w:t>9</w:t>
            </w:r>
            <w:r w:rsidR="0054407D">
              <w:rPr>
                <w:rFonts w:ascii="Calibri" w:hAnsi="Calibri" w:cs="Calibri"/>
                <w:sz w:val="19"/>
                <w:szCs w:val="19"/>
                <w:lang w:val="en-AU"/>
              </w:rPr>
              <w:t>3</w:t>
            </w:r>
          </w:p>
        </w:tc>
      </w:tr>
      <w:tr w:rsidR="001C0AD7" w:rsidRPr="005734B8" w14:paraId="0CEAA261" w14:textId="77777777" w:rsidTr="00337C16">
        <w:trPr>
          <w:cantSplit/>
          <w:trHeight w:val="415"/>
        </w:trPr>
        <w:tc>
          <w:tcPr>
            <w:tcW w:w="1271" w:type="dxa"/>
            <w:tcBorders>
              <w:top w:val="single" w:sz="4" w:space="0" w:color="auto"/>
              <w:bottom w:val="single" w:sz="4" w:space="0" w:color="auto"/>
            </w:tcBorders>
            <w:shd w:val="clear" w:color="auto" w:fill="auto"/>
          </w:tcPr>
          <w:p w14:paraId="11C334DF" w14:textId="5EA90406" w:rsidR="001C0AD7" w:rsidRPr="005734B8" w:rsidRDefault="00741EE6" w:rsidP="001C0AD7">
            <w:pPr>
              <w:pStyle w:val="ESTablebody"/>
              <w:rPr>
                <w:rFonts w:ascii="Calibri" w:hAnsi="Calibri" w:cs="Calibri"/>
                <w:sz w:val="19"/>
                <w:szCs w:val="19"/>
              </w:rPr>
            </w:pPr>
            <w:r w:rsidRPr="005734B8">
              <w:rPr>
                <w:rFonts w:ascii="Calibri" w:hAnsi="Calibri" w:cs="Calibri"/>
                <w:sz w:val="19"/>
                <w:szCs w:val="19"/>
              </w:rPr>
              <w:t>FRD 22I</w:t>
            </w:r>
          </w:p>
        </w:tc>
        <w:tc>
          <w:tcPr>
            <w:tcW w:w="5730" w:type="dxa"/>
            <w:tcBorders>
              <w:top w:val="single" w:sz="4" w:space="0" w:color="auto"/>
              <w:bottom w:val="single" w:sz="4" w:space="0" w:color="auto"/>
            </w:tcBorders>
          </w:tcPr>
          <w:p w14:paraId="08D01AEB" w14:textId="077C806F" w:rsidR="001C0AD7" w:rsidRPr="005734B8" w:rsidRDefault="001C0AD7" w:rsidP="001C0AD7">
            <w:pPr>
              <w:pStyle w:val="ESTablebody"/>
              <w:rPr>
                <w:rFonts w:ascii="Calibri" w:hAnsi="Calibri" w:cs="Calibri"/>
                <w:sz w:val="19"/>
                <w:szCs w:val="19"/>
                <w:lang w:val="en-AU"/>
              </w:rPr>
            </w:pPr>
            <w:r w:rsidRPr="005734B8">
              <w:rPr>
                <w:rFonts w:ascii="Calibri" w:hAnsi="Calibri" w:cs="Calibri"/>
                <w:sz w:val="19"/>
                <w:szCs w:val="19"/>
                <w:lang w:val="en-AU"/>
              </w:rPr>
              <w:t>Statement of availability of other information</w:t>
            </w:r>
          </w:p>
        </w:tc>
        <w:tc>
          <w:tcPr>
            <w:tcW w:w="838" w:type="dxa"/>
            <w:tcBorders>
              <w:top w:val="single" w:sz="4" w:space="0" w:color="auto"/>
              <w:bottom w:val="single" w:sz="4" w:space="0" w:color="auto"/>
            </w:tcBorders>
          </w:tcPr>
          <w:p w14:paraId="32A55CEC" w14:textId="5D27634D" w:rsidR="001C0AD7" w:rsidRPr="0054407D" w:rsidRDefault="0054407D" w:rsidP="00A73C53">
            <w:pPr>
              <w:pStyle w:val="ESTablebody"/>
              <w:jc w:val="right"/>
              <w:rPr>
                <w:rFonts w:ascii="Calibri" w:hAnsi="Calibri" w:cs="Calibri"/>
                <w:sz w:val="19"/>
                <w:szCs w:val="19"/>
                <w:lang w:val="en-AU"/>
              </w:rPr>
            </w:pPr>
            <w:r w:rsidRPr="0054407D">
              <w:rPr>
                <w:rFonts w:ascii="Calibri" w:hAnsi="Calibri" w:cs="Calibri"/>
                <w:sz w:val="19"/>
                <w:szCs w:val="19"/>
                <w:lang w:val="en-AU"/>
              </w:rPr>
              <w:t>118</w:t>
            </w:r>
          </w:p>
        </w:tc>
      </w:tr>
      <w:tr w:rsidR="001C0AD7" w:rsidRPr="005734B8" w14:paraId="2D8688CF" w14:textId="77777777" w:rsidTr="00337C16">
        <w:trPr>
          <w:cantSplit/>
          <w:trHeight w:val="415"/>
        </w:trPr>
        <w:tc>
          <w:tcPr>
            <w:tcW w:w="1271" w:type="dxa"/>
            <w:tcBorders>
              <w:top w:val="single" w:sz="4" w:space="0" w:color="auto"/>
              <w:bottom w:val="single" w:sz="4" w:space="0" w:color="auto"/>
            </w:tcBorders>
            <w:shd w:val="clear" w:color="auto" w:fill="auto"/>
          </w:tcPr>
          <w:p w14:paraId="20641225" w14:textId="5F7961AD" w:rsidR="001C0AD7" w:rsidRPr="005734B8" w:rsidRDefault="00741EE6" w:rsidP="001C0AD7">
            <w:pPr>
              <w:pStyle w:val="ESTablebody"/>
              <w:rPr>
                <w:rFonts w:ascii="Calibri" w:hAnsi="Calibri" w:cs="Calibri"/>
                <w:sz w:val="19"/>
                <w:szCs w:val="19"/>
              </w:rPr>
            </w:pPr>
            <w:r w:rsidRPr="005734B8">
              <w:rPr>
                <w:rFonts w:ascii="Calibri" w:hAnsi="Calibri" w:cs="Calibri"/>
                <w:sz w:val="19"/>
                <w:szCs w:val="19"/>
              </w:rPr>
              <w:t xml:space="preserve">FRD </w:t>
            </w:r>
            <w:r w:rsidR="009F07CD" w:rsidRPr="005734B8">
              <w:rPr>
                <w:rFonts w:ascii="Calibri" w:hAnsi="Calibri" w:cs="Calibri"/>
                <w:sz w:val="19"/>
                <w:szCs w:val="19"/>
              </w:rPr>
              <w:t>24D</w:t>
            </w:r>
          </w:p>
        </w:tc>
        <w:tc>
          <w:tcPr>
            <w:tcW w:w="5730" w:type="dxa"/>
            <w:tcBorders>
              <w:top w:val="single" w:sz="4" w:space="0" w:color="auto"/>
              <w:bottom w:val="single" w:sz="4" w:space="0" w:color="auto"/>
            </w:tcBorders>
          </w:tcPr>
          <w:p w14:paraId="3A18E40B" w14:textId="5C904B34" w:rsidR="001C0AD7" w:rsidRPr="005734B8" w:rsidRDefault="001C0AD7" w:rsidP="001C0AD7">
            <w:pPr>
              <w:pStyle w:val="ESTablebody"/>
              <w:rPr>
                <w:rFonts w:ascii="Calibri" w:hAnsi="Calibri" w:cs="Calibri"/>
                <w:sz w:val="19"/>
                <w:szCs w:val="19"/>
                <w:lang w:val="en-AU"/>
              </w:rPr>
            </w:pPr>
            <w:r w:rsidRPr="005734B8">
              <w:rPr>
                <w:rFonts w:ascii="Calibri" w:hAnsi="Calibri" w:cs="Calibri"/>
                <w:sz w:val="19"/>
                <w:szCs w:val="19"/>
                <w:lang w:val="en-AU"/>
              </w:rPr>
              <w:t>Reporting of office-based environmental impacts</w:t>
            </w:r>
          </w:p>
        </w:tc>
        <w:tc>
          <w:tcPr>
            <w:tcW w:w="838" w:type="dxa"/>
            <w:tcBorders>
              <w:top w:val="single" w:sz="4" w:space="0" w:color="auto"/>
              <w:bottom w:val="single" w:sz="4" w:space="0" w:color="auto"/>
            </w:tcBorders>
          </w:tcPr>
          <w:p w14:paraId="67F1423A" w14:textId="427451E7" w:rsidR="001C0AD7" w:rsidRPr="0054407D" w:rsidRDefault="000C30F7" w:rsidP="00A73C53">
            <w:pPr>
              <w:pStyle w:val="ESTablebody"/>
              <w:jc w:val="right"/>
              <w:rPr>
                <w:rFonts w:ascii="Calibri" w:hAnsi="Calibri" w:cs="Calibri"/>
                <w:sz w:val="19"/>
                <w:szCs w:val="19"/>
                <w:lang w:val="en-AU"/>
              </w:rPr>
            </w:pPr>
            <w:r w:rsidRPr="0054407D">
              <w:rPr>
                <w:rFonts w:ascii="Calibri" w:hAnsi="Calibri" w:cs="Calibri"/>
                <w:sz w:val="19"/>
                <w:szCs w:val="19"/>
                <w:lang w:val="en-AU"/>
              </w:rPr>
              <w:t>1</w:t>
            </w:r>
            <w:r w:rsidR="0054407D" w:rsidRPr="0054407D">
              <w:rPr>
                <w:rFonts w:ascii="Calibri" w:hAnsi="Calibri" w:cs="Calibri"/>
                <w:sz w:val="19"/>
                <w:szCs w:val="19"/>
                <w:lang w:val="en-AU"/>
              </w:rPr>
              <w:t>07</w:t>
            </w:r>
          </w:p>
        </w:tc>
      </w:tr>
      <w:tr w:rsidR="006C17D8" w:rsidRPr="005734B8" w14:paraId="2CEC4F1D" w14:textId="77777777" w:rsidTr="00337C16">
        <w:trPr>
          <w:cantSplit/>
          <w:trHeight w:val="415"/>
        </w:trPr>
        <w:tc>
          <w:tcPr>
            <w:tcW w:w="1271" w:type="dxa"/>
            <w:tcBorders>
              <w:top w:val="single" w:sz="4" w:space="0" w:color="auto"/>
              <w:bottom w:val="single" w:sz="4" w:space="0" w:color="auto"/>
            </w:tcBorders>
            <w:shd w:val="clear" w:color="auto" w:fill="auto"/>
          </w:tcPr>
          <w:p w14:paraId="1D3B2998" w14:textId="18756C77" w:rsidR="006C17D8" w:rsidRPr="005734B8" w:rsidRDefault="009F07CD" w:rsidP="006C17D8">
            <w:pPr>
              <w:pStyle w:val="ESTablebody"/>
              <w:rPr>
                <w:rFonts w:ascii="Calibri" w:hAnsi="Calibri" w:cs="Calibri"/>
                <w:sz w:val="19"/>
                <w:szCs w:val="19"/>
              </w:rPr>
            </w:pPr>
            <w:r w:rsidRPr="005734B8">
              <w:rPr>
                <w:rFonts w:ascii="Calibri" w:hAnsi="Calibri" w:cs="Calibri"/>
                <w:sz w:val="19"/>
                <w:szCs w:val="19"/>
              </w:rPr>
              <w:t>FRD 25D</w:t>
            </w:r>
          </w:p>
        </w:tc>
        <w:tc>
          <w:tcPr>
            <w:tcW w:w="5730" w:type="dxa"/>
            <w:tcBorders>
              <w:top w:val="single" w:sz="4" w:space="0" w:color="auto"/>
              <w:bottom w:val="single" w:sz="4" w:space="0" w:color="auto"/>
            </w:tcBorders>
          </w:tcPr>
          <w:p w14:paraId="01B76F22" w14:textId="34707E08" w:rsidR="006C17D8" w:rsidRPr="005734B8" w:rsidRDefault="00337C16" w:rsidP="006C17D8">
            <w:pPr>
              <w:pStyle w:val="ESTablebody"/>
              <w:rPr>
                <w:rFonts w:ascii="Calibri" w:hAnsi="Calibri" w:cs="Calibri"/>
                <w:sz w:val="19"/>
                <w:szCs w:val="19"/>
                <w:lang w:val="en-AU"/>
              </w:rPr>
            </w:pPr>
            <w:r w:rsidRPr="005734B8">
              <w:rPr>
                <w:rFonts w:ascii="Calibri" w:hAnsi="Calibri" w:cs="Calibri"/>
                <w:sz w:val="19"/>
                <w:szCs w:val="19"/>
                <w:lang w:val="en-AU"/>
              </w:rPr>
              <w:t>Local jobs first</w:t>
            </w:r>
          </w:p>
        </w:tc>
        <w:tc>
          <w:tcPr>
            <w:tcW w:w="838" w:type="dxa"/>
            <w:tcBorders>
              <w:top w:val="single" w:sz="4" w:space="0" w:color="auto"/>
              <w:bottom w:val="single" w:sz="4" w:space="0" w:color="auto"/>
            </w:tcBorders>
          </w:tcPr>
          <w:p w14:paraId="752F26B1" w14:textId="2CC7373E" w:rsidR="006C17D8" w:rsidRPr="0054407D" w:rsidRDefault="0054407D" w:rsidP="00A73C53">
            <w:pPr>
              <w:pStyle w:val="ESTablebody"/>
              <w:jc w:val="right"/>
              <w:rPr>
                <w:rFonts w:ascii="Calibri" w:hAnsi="Calibri" w:cs="Calibri"/>
                <w:sz w:val="19"/>
                <w:szCs w:val="19"/>
                <w:lang w:val="en-AU"/>
              </w:rPr>
            </w:pPr>
            <w:r w:rsidRPr="0054407D">
              <w:rPr>
                <w:rFonts w:ascii="Calibri" w:hAnsi="Calibri" w:cs="Calibri"/>
                <w:sz w:val="19"/>
                <w:szCs w:val="19"/>
                <w:lang w:val="en-AU"/>
              </w:rPr>
              <w:t>88</w:t>
            </w:r>
          </w:p>
        </w:tc>
      </w:tr>
      <w:tr w:rsidR="006C17D8" w:rsidRPr="005734B8" w14:paraId="632CDA32" w14:textId="77777777" w:rsidTr="00337C16">
        <w:trPr>
          <w:cantSplit/>
          <w:trHeight w:val="415"/>
        </w:trPr>
        <w:tc>
          <w:tcPr>
            <w:tcW w:w="1271" w:type="dxa"/>
            <w:tcBorders>
              <w:top w:val="single" w:sz="4" w:space="0" w:color="auto"/>
              <w:bottom w:val="single" w:sz="4" w:space="0" w:color="auto"/>
            </w:tcBorders>
            <w:shd w:val="clear" w:color="auto" w:fill="auto"/>
          </w:tcPr>
          <w:p w14:paraId="00A3CADB" w14:textId="20055471" w:rsidR="006C17D8" w:rsidRPr="005734B8" w:rsidRDefault="001C0AD7" w:rsidP="006C17D8">
            <w:pPr>
              <w:pStyle w:val="ESTablebody"/>
              <w:rPr>
                <w:rFonts w:ascii="Calibri" w:hAnsi="Calibri" w:cs="Calibri"/>
                <w:sz w:val="19"/>
                <w:szCs w:val="19"/>
              </w:rPr>
            </w:pPr>
            <w:r w:rsidRPr="005734B8">
              <w:rPr>
                <w:rFonts w:ascii="Calibri" w:hAnsi="Calibri" w:cs="Calibri"/>
                <w:sz w:val="19"/>
                <w:szCs w:val="19"/>
              </w:rPr>
              <w:t>FRD</w:t>
            </w:r>
            <w:r w:rsidR="009F07CD" w:rsidRPr="005734B8">
              <w:rPr>
                <w:rFonts w:ascii="Calibri" w:hAnsi="Calibri" w:cs="Calibri"/>
                <w:sz w:val="19"/>
                <w:szCs w:val="19"/>
              </w:rPr>
              <w:t>29C</w:t>
            </w:r>
          </w:p>
        </w:tc>
        <w:tc>
          <w:tcPr>
            <w:tcW w:w="5730" w:type="dxa"/>
            <w:tcBorders>
              <w:top w:val="single" w:sz="4" w:space="0" w:color="auto"/>
              <w:bottom w:val="single" w:sz="4" w:space="0" w:color="auto"/>
            </w:tcBorders>
          </w:tcPr>
          <w:p w14:paraId="26A9D354" w14:textId="1D451A6F" w:rsidR="006C17D8" w:rsidRPr="005734B8" w:rsidRDefault="00337C16" w:rsidP="006C17D8">
            <w:pPr>
              <w:pStyle w:val="ESTablebody"/>
              <w:rPr>
                <w:rFonts w:ascii="Calibri" w:hAnsi="Calibri" w:cs="Calibri"/>
                <w:sz w:val="19"/>
                <w:szCs w:val="19"/>
                <w:lang w:val="en-AU"/>
              </w:rPr>
            </w:pPr>
            <w:r w:rsidRPr="005734B8">
              <w:rPr>
                <w:rFonts w:ascii="Calibri" w:hAnsi="Calibri" w:cs="Calibri"/>
                <w:sz w:val="19"/>
                <w:szCs w:val="19"/>
                <w:lang w:val="en-AU"/>
              </w:rPr>
              <w:t>Workforce data disclosures</w:t>
            </w:r>
          </w:p>
        </w:tc>
        <w:tc>
          <w:tcPr>
            <w:tcW w:w="838" w:type="dxa"/>
            <w:tcBorders>
              <w:top w:val="single" w:sz="4" w:space="0" w:color="auto"/>
              <w:bottom w:val="single" w:sz="4" w:space="0" w:color="auto"/>
            </w:tcBorders>
          </w:tcPr>
          <w:p w14:paraId="5C1D17F4" w14:textId="7FE20BB2" w:rsidR="006C17D8" w:rsidRPr="0054407D" w:rsidRDefault="005B2F83" w:rsidP="00A73C53">
            <w:pPr>
              <w:pStyle w:val="ESTablebody"/>
              <w:jc w:val="right"/>
              <w:rPr>
                <w:rFonts w:ascii="Calibri" w:hAnsi="Calibri" w:cs="Calibri"/>
                <w:sz w:val="19"/>
                <w:szCs w:val="19"/>
                <w:lang w:val="en-AU"/>
              </w:rPr>
            </w:pPr>
            <w:r w:rsidRPr="0054407D">
              <w:rPr>
                <w:rFonts w:ascii="Calibri" w:hAnsi="Calibri" w:cs="Calibri"/>
                <w:sz w:val="19"/>
                <w:szCs w:val="19"/>
                <w:lang w:val="en-AU"/>
              </w:rPr>
              <w:t>7</w:t>
            </w:r>
            <w:r w:rsidR="0054407D" w:rsidRPr="0054407D">
              <w:rPr>
                <w:rFonts w:ascii="Calibri" w:hAnsi="Calibri" w:cs="Calibri"/>
                <w:sz w:val="19"/>
                <w:szCs w:val="19"/>
                <w:lang w:val="en-AU"/>
              </w:rPr>
              <w:t>8</w:t>
            </w:r>
          </w:p>
        </w:tc>
      </w:tr>
      <w:tr w:rsidR="006C17D8" w:rsidRPr="005734B8" w14:paraId="77487A8A" w14:textId="77777777" w:rsidTr="00337C16">
        <w:trPr>
          <w:cantSplit/>
          <w:trHeight w:val="415"/>
        </w:trPr>
        <w:tc>
          <w:tcPr>
            <w:tcW w:w="1271" w:type="dxa"/>
            <w:tcBorders>
              <w:top w:val="single" w:sz="4" w:space="0" w:color="auto"/>
              <w:bottom w:val="single" w:sz="4" w:space="0" w:color="auto"/>
            </w:tcBorders>
            <w:shd w:val="clear" w:color="auto" w:fill="auto"/>
          </w:tcPr>
          <w:p w14:paraId="4ABB9D8F" w14:textId="551791A5" w:rsidR="006C17D8" w:rsidRPr="005734B8" w:rsidRDefault="00492C80" w:rsidP="006C17D8">
            <w:pPr>
              <w:pStyle w:val="ESTablebody"/>
              <w:rPr>
                <w:rFonts w:ascii="Calibri" w:hAnsi="Calibri" w:cs="Calibri"/>
                <w:sz w:val="19"/>
                <w:szCs w:val="19"/>
              </w:rPr>
            </w:pPr>
            <w:r w:rsidRPr="005734B8">
              <w:rPr>
                <w:rFonts w:ascii="Calibri" w:hAnsi="Calibri" w:cs="Calibri"/>
                <w:sz w:val="19"/>
                <w:szCs w:val="19"/>
              </w:rPr>
              <w:t>SD 5.2</w:t>
            </w:r>
          </w:p>
        </w:tc>
        <w:tc>
          <w:tcPr>
            <w:tcW w:w="5730" w:type="dxa"/>
            <w:tcBorders>
              <w:top w:val="single" w:sz="4" w:space="0" w:color="auto"/>
              <w:bottom w:val="single" w:sz="4" w:space="0" w:color="auto"/>
            </w:tcBorders>
          </w:tcPr>
          <w:p w14:paraId="1A985849" w14:textId="20A939AD" w:rsidR="006C17D8" w:rsidRPr="005734B8" w:rsidRDefault="00337C16" w:rsidP="006C17D8">
            <w:pPr>
              <w:pStyle w:val="ESTablebody"/>
              <w:rPr>
                <w:rFonts w:ascii="Calibri" w:hAnsi="Calibri" w:cs="Calibri"/>
                <w:sz w:val="19"/>
                <w:szCs w:val="19"/>
                <w:lang w:val="en-AU"/>
              </w:rPr>
            </w:pPr>
            <w:r w:rsidRPr="005734B8">
              <w:rPr>
                <w:rFonts w:ascii="Calibri" w:hAnsi="Calibri" w:cs="Calibri"/>
                <w:sz w:val="19"/>
                <w:szCs w:val="19"/>
                <w:lang w:val="en-AU"/>
              </w:rPr>
              <w:t>Specific requirements under Standing Direction 5.2</w:t>
            </w:r>
          </w:p>
        </w:tc>
        <w:tc>
          <w:tcPr>
            <w:tcW w:w="838" w:type="dxa"/>
            <w:tcBorders>
              <w:top w:val="single" w:sz="4" w:space="0" w:color="auto"/>
              <w:bottom w:val="single" w:sz="4" w:space="0" w:color="auto"/>
            </w:tcBorders>
          </w:tcPr>
          <w:p w14:paraId="617F9A1F" w14:textId="15546946" w:rsidR="006C17D8" w:rsidRPr="005734B8" w:rsidRDefault="00376663" w:rsidP="00A73C53">
            <w:pPr>
              <w:pStyle w:val="ESTablebody"/>
              <w:jc w:val="right"/>
              <w:rPr>
                <w:rFonts w:ascii="Calibri" w:hAnsi="Calibri" w:cs="Calibri"/>
                <w:sz w:val="19"/>
                <w:szCs w:val="19"/>
                <w:lang w:val="en-AU"/>
              </w:rPr>
            </w:pPr>
            <w:r w:rsidRPr="005734B8">
              <w:rPr>
                <w:rFonts w:ascii="Calibri" w:hAnsi="Calibri" w:cs="Calibri"/>
                <w:sz w:val="19"/>
                <w:szCs w:val="19"/>
                <w:lang w:val="en-AU"/>
              </w:rPr>
              <w:t>i</w:t>
            </w:r>
          </w:p>
        </w:tc>
      </w:tr>
      <w:tr w:rsidR="00337C16" w:rsidRPr="005734B8" w14:paraId="0B641B6C" w14:textId="77777777" w:rsidTr="00337C16">
        <w:trPr>
          <w:cantSplit/>
          <w:trHeight w:val="415"/>
        </w:trPr>
        <w:tc>
          <w:tcPr>
            <w:tcW w:w="7839" w:type="dxa"/>
            <w:gridSpan w:val="3"/>
            <w:tcBorders>
              <w:top w:val="single" w:sz="4" w:space="0" w:color="auto"/>
              <w:bottom w:val="single" w:sz="4" w:space="0" w:color="auto"/>
            </w:tcBorders>
            <w:shd w:val="clear" w:color="auto" w:fill="D9D9D6" w:themeFill="accent6"/>
          </w:tcPr>
          <w:p w14:paraId="52F13AA8" w14:textId="3EB87D34" w:rsidR="00337C16" w:rsidRPr="005734B8" w:rsidRDefault="00337C16" w:rsidP="006C17D8">
            <w:pPr>
              <w:pStyle w:val="ESTablebody"/>
              <w:rPr>
                <w:rFonts w:ascii="Calibri" w:hAnsi="Calibri" w:cs="Calibri"/>
                <w:b/>
                <w:sz w:val="19"/>
                <w:szCs w:val="19"/>
                <w:highlight w:val="yellow"/>
              </w:rPr>
            </w:pPr>
            <w:r w:rsidRPr="005734B8">
              <w:rPr>
                <w:rFonts w:ascii="Calibri" w:hAnsi="Calibri" w:cs="Calibri"/>
                <w:b/>
                <w:sz w:val="19"/>
                <w:szCs w:val="19"/>
                <w:shd w:val="clear" w:color="auto" w:fill="D9D9D6" w:themeFill="accent6"/>
              </w:rPr>
              <w:t>Compliance attestation and declaration</w:t>
            </w:r>
          </w:p>
        </w:tc>
      </w:tr>
      <w:tr w:rsidR="006C17D8" w:rsidRPr="005734B8" w14:paraId="07CAF04E" w14:textId="77777777" w:rsidTr="00337C16">
        <w:trPr>
          <w:cantSplit/>
          <w:trHeight w:val="415"/>
        </w:trPr>
        <w:tc>
          <w:tcPr>
            <w:tcW w:w="1271" w:type="dxa"/>
            <w:tcBorders>
              <w:top w:val="single" w:sz="4" w:space="0" w:color="auto"/>
              <w:bottom w:val="single" w:sz="4" w:space="0" w:color="auto"/>
            </w:tcBorders>
            <w:shd w:val="clear" w:color="auto" w:fill="auto"/>
          </w:tcPr>
          <w:p w14:paraId="1A7CB04A" w14:textId="7F7F3B21" w:rsidR="006C17D8" w:rsidRPr="005734B8" w:rsidRDefault="00492C80" w:rsidP="00492C80">
            <w:pPr>
              <w:pStyle w:val="ESTablebody"/>
              <w:rPr>
                <w:rFonts w:ascii="Calibri" w:hAnsi="Calibri" w:cs="Calibri"/>
                <w:sz w:val="19"/>
                <w:szCs w:val="19"/>
              </w:rPr>
            </w:pPr>
            <w:r w:rsidRPr="005734B8">
              <w:rPr>
                <w:rFonts w:ascii="Calibri" w:hAnsi="Calibri" w:cs="Calibri"/>
                <w:sz w:val="19"/>
                <w:szCs w:val="19"/>
              </w:rPr>
              <w:t xml:space="preserve">SD </w:t>
            </w:r>
            <w:r w:rsidR="0054407D">
              <w:rPr>
                <w:rFonts w:ascii="Calibri" w:hAnsi="Calibri" w:cs="Calibri"/>
                <w:sz w:val="19"/>
                <w:szCs w:val="19"/>
              </w:rPr>
              <w:t>5</w:t>
            </w:r>
            <w:r w:rsidRPr="005734B8">
              <w:rPr>
                <w:rFonts w:ascii="Calibri" w:hAnsi="Calibri" w:cs="Calibri"/>
                <w:sz w:val="19"/>
                <w:szCs w:val="19"/>
              </w:rPr>
              <w:t>.1.</w:t>
            </w:r>
            <w:r w:rsidR="0054407D">
              <w:rPr>
                <w:rFonts w:ascii="Calibri" w:hAnsi="Calibri" w:cs="Calibri"/>
                <w:sz w:val="19"/>
                <w:szCs w:val="19"/>
              </w:rPr>
              <w:t>4</w:t>
            </w:r>
          </w:p>
        </w:tc>
        <w:tc>
          <w:tcPr>
            <w:tcW w:w="5730" w:type="dxa"/>
            <w:tcBorders>
              <w:top w:val="single" w:sz="4" w:space="0" w:color="auto"/>
              <w:bottom w:val="single" w:sz="4" w:space="0" w:color="auto"/>
            </w:tcBorders>
          </w:tcPr>
          <w:p w14:paraId="3C83C73F" w14:textId="279AB654" w:rsidR="006C17D8" w:rsidRPr="005734B8" w:rsidRDefault="00337C16" w:rsidP="006C17D8">
            <w:pPr>
              <w:pStyle w:val="ESTablebody"/>
              <w:rPr>
                <w:rFonts w:ascii="Calibri" w:hAnsi="Calibri" w:cs="Calibri"/>
                <w:sz w:val="19"/>
                <w:szCs w:val="19"/>
                <w:lang w:val="en-AU"/>
              </w:rPr>
            </w:pPr>
            <w:r w:rsidRPr="005734B8">
              <w:rPr>
                <w:rFonts w:ascii="Calibri" w:hAnsi="Calibri" w:cs="Calibri"/>
                <w:sz w:val="19"/>
                <w:szCs w:val="19"/>
                <w:lang w:val="en-AU"/>
              </w:rPr>
              <w:t xml:space="preserve">Attestation for </w:t>
            </w:r>
            <w:r w:rsidR="0054407D" w:rsidRPr="0054407D">
              <w:rPr>
                <w:rFonts w:ascii="Calibri" w:hAnsi="Calibri" w:cs="Calibri"/>
                <w:sz w:val="19"/>
                <w:szCs w:val="19"/>
                <w:lang w:val="en-AU"/>
              </w:rPr>
              <w:t xml:space="preserve">financial management </w:t>
            </w:r>
            <w:r w:rsidRPr="005734B8">
              <w:rPr>
                <w:rFonts w:ascii="Calibri" w:hAnsi="Calibri" w:cs="Calibri"/>
                <w:sz w:val="19"/>
                <w:szCs w:val="19"/>
                <w:lang w:val="en-AU"/>
              </w:rPr>
              <w:t>compliance</w:t>
            </w:r>
          </w:p>
        </w:tc>
        <w:tc>
          <w:tcPr>
            <w:tcW w:w="838" w:type="dxa"/>
            <w:tcBorders>
              <w:top w:val="single" w:sz="4" w:space="0" w:color="auto"/>
              <w:bottom w:val="single" w:sz="4" w:space="0" w:color="auto"/>
            </w:tcBorders>
          </w:tcPr>
          <w:p w14:paraId="267F96DA" w14:textId="7817D6FB" w:rsidR="006C17D8" w:rsidRPr="005734B8" w:rsidRDefault="0085465D" w:rsidP="00A73C53">
            <w:pPr>
              <w:pStyle w:val="ESTablebody"/>
              <w:jc w:val="right"/>
              <w:rPr>
                <w:rFonts w:ascii="Calibri" w:hAnsi="Calibri" w:cs="Calibri"/>
                <w:sz w:val="19"/>
                <w:szCs w:val="19"/>
                <w:lang w:val="en-AU"/>
              </w:rPr>
            </w:pPr>
            <w:r>
              <w:rPr>
                <w:rFonts w:ascii="Calibri" w:hAnsi="Calibri" w:cs="Calibri"/>
                <w:sz w:val="19"/>
                <w:szCs w:val="19"/>
                <w:lang w:val="en-AU"/>
              </w:rPr>
              <w:t>119</w:t>
            </w:r>
          </w:p>
        </w:tc>
      </w:tr>
      <w:tr w:rsidR="006C17D8" w:rsidRPr="005734B8" w14:paraId="6FD815CB" w14:textId="77777777" w:rsidTr="00337C16">
        <w:trPr>
          <w:cantSplit/>
          <w:trHeight w:val="415"/>
        </w:trPr>
        <w:tc>
          <w:tcPr>
            <w:tcW w:w="1271" w:type="dxa"/>
            <w:tcBorders>
              <w:top w:val="single" w:sz="4" w:space="0" w:color="auto"/>
              <w:bottom w:val="single" w:sz="4" w:space="0" w:color="auto"/>
            </w:tcBorders>
            <w:shd w:val="clear" w:color="auto" w:fill="auto"/>
          </w:tcPr>
          <w:p w14:paraId="0F71A247" w14:textId="4B1BE844" w:rsidR="006C17D8" w:rsidRPr="005734B8" w:rsidRDefault="00492C80" w:rsidP="006C17D8">
            <w:pPr>
              <w:pStyle w:val="ESTablebody"/>
              <w:rPr>
                <w:rFonts w:ascii="Calibri" w:hAnsi="Calibri" w:cs="Calibri"/>
                <w:sz w:val="19"/>
                <w:szCs w:val="19"/>
              </w:rPr>
            </w:pPr>
            <w:r w:rsidRPr="005734B8">
              <w:rPr>
                <w:rFonts w:ascii="Calibri" w:hAnsi="Calibri" w:cs="Calibri"/>
                <w:sz w:val="19"/>
                <w:szCs w:val="19"/>
              </w:rPr>
              <w:t>SD 5.2.3</w:t>
            </w:r>
          </w:p>
        </w:tc>
        <w:tc>
          <w:tcPr>
            <w:tcW w:w="5730" w:type="dxa"/>
            <w:tcBorders>
              <w:top w:val="single" w:sz="4" w:space="0" w:color="auto"/>
              <w:bottom w:val="single" w:sz="4" w:space="0" w:color="auto"/>
            </w:tcBorders>
          </w:tcPr>
          <w:p w14:paraId="156B2B47" w14:textId="25DCC4CF" w:rsidR="006C17D8" w:rsidRPr="005734B8" w:rsidRDefault="00337C16" w:rsidP="006C17D8">
            <w:pPr>
              <w:pStyle w:val="ESTablebody"/>
              <w:rPr>
                <w:rFonts w:ascii="Calibri" w:hAnsi="Calibri" w:cs="Calibri"/>
                <w:sz w:val="19"/>
                <w:szCs w:val="19"/>
                <w:lang w:val="en-AU"/>
              </w:rPr>
            </w:pPr>
            <w:r w:rsidRPr="005734B8">
              <w:rPr>
                <w:rFonts w:ascii="Calibri" w:hAnsi="Calibri" w:cs="Calibri"/>
                <w:sz w:val="19"/>
                <w:szCs w:val="19"/>
                <w:lang w:val="en-AU"/>
              </w:rPr>
              <w:t xml:space="preserve">Declaration in </w:t>
            </w:r>
            <w:r w:rsidR="00897E30" w:rsidRPr="005734B8">
              <w:rPr>
                <w:rFonts w:ascii="Calibri" w:hAnsi="Calibri" w:cs="Calibri"/>
                <w:sz w:val="19"/>
                <w:szCs w:val="19"/>
                <w:lang w:val="en-AU"/>
              </w:rPr>
              <w:t>R</w:t>
            </w:r>
            <w:r w:rsidRPr="005734B8">
              <w:rPr>
                <w:rFonts w:ascii="Calibri" w:hAnsi="Calibri" w:cs="Calibri"/>
                <w:sz w:val="19"/>
                <w:szCs w:val="19"/>
                <w:lang w:val="en-AU"/>
              </w:rPr>
              <w:t xml:space="preserve">eport of </w:t>
            </w:r>
            <w:r w:rsidR="00897E30" w:rsidRPr="005734B8">
              <w:rPr>
                <w:rFonts w:ascii="Calibri" w:hAnsi="Calibri" w:cs="Calibri"/>
                <w:sz w:val="19"/>
                <w:szCs w:val="19"/>
                <w:lang w:val="en-AU"/>
              </w:rPr>
              <w:t>O</w:t>
            </w:r>
            <w:r w:rsidRPr="005734B8">
              <w:rPr>
                <w:rFonts w:ascii="Calibri" w:hAnsi="Calibri" w:cs="Calibri"/>
                <w:sz w:val="19"/>
                <w:szCs w:val="19"/>
                <w:lang w:val="en-AU"/>
              </w:rPr>
              <w:t>perations</w:t>
            </w:r>
          </w:p>
        </w:tc>
        <w:tc>
          <w:tcPr>
            <w:tcW w:w="838" w:type="dxa"/>
            <w:tcBorders>
              <w:top w:val="single" w:sz="4" w:space="0" w:color="auto"/>
              <w:bottom w:val="single" w:sz="4" w:space="0" w:color="auto"/>
            </w:tcBorders>
          </w:tcPr>
          <w:p w14:paraId="4B680015" w14:textId="0EA129C8" w:rsidR="006C17D8" w:rsidRPr="005734B8" w:rsidRDefault="0085465D" w:rsidP="00A73C53">
            <w:pPr>
              <w:pStyle w:val="ESTablebody"/>
              <w:jc w:val="right"/>
              <w:rPr>
                <w:rFonts w:ascii="Calibri" w:hAnsi="Calibri" w:cs="Calibri"/>
                <w:sz w:val="19"/>
                <w:szCs w:val="19"/>
                <w:lang w:val="en-AU"/>
              </w:rPr>
            </w:pPr>
            <w:r w:rsidRPr="005734B8">
              <w:rPr>
                <w:rFonts w:ascii="Calibri" w:hAnsi="Calibri" w:cs="Calibri"/>
                <w:sz w:val="19"/>
                <w:szCs w:val="19"/>
                <w:lang w:val="en-AU"/>
              </w:rPr>
              <w:t>I</w:t>
            </w:r>
          </w:p>
        </w:tc>
      </w:tr>
      <w:tr w:rsidR="00337C16" w:rsidRPr="005734B8" w14:paraId="79AFDBC6" w14:textId="77777777" w:rsidTr="00337C16">
        <w:trPr>
          <w:cantSplit/>
          <w:trHeight w:val="415"/>
        </w:trPr>
        <w:tc>
          <w:tcPr>
            <w:tcW w:w="7839" w:type="dxa"/>
            <w:gridSpan w:val="3"/>
            <w:tcBorders>
              <w:top w:val="single" w:sz="4" w:space="0" w:color="auto"/>
              <w:bottom w:val="single" w:sz="4" w:space="0" w:color="auto"/>
            </w:tcBorders>
            <w:shd w:val="clear" w:color="auto" w:fill="53565A" w:themeFill="accent5"/>
          </w:tcPr>
          <w:p w14:paraId="4BB8555E" w14:textId="001F4ABB" w:rsidR="00337C16" w:rsidRPr="005734B8" w:rsidRDefault="00337C16" w:rsidP="00337C16">
            <w:pPr>
              <w:pStyle w:val="ESTableheadingwhite"/>
              <w:rPr>
                <w:rFonts w:ascii="Calibri" w:hAnsi="Calibri" w:cs="Calibri"/>
                <w:szCs w:val="19"/>
                <w:lang w:val="en-AU"/>
              </w:rPr>
            </w:pPr>
            <w:r w:rsidRPr="005734B8">
              <w:rPr>
                <w:rFonts w:ascii="Calibri" w:hAnsi="Calibri" w:cs="Calibri"/>
                <w:szCs w:val="19"/>
              </w:rPr>
              <w:t>Financial statements</w:t>
            </w:r>
          </w:p>
        </w:tc>
      </w:tr>
      <w:tr w:rsidR="00337C16" w:rsidRPr="005734B8" w14:paraId="2319B12B" w14:textId="77777777" w:rsidTr="00ED74EC">
        <w:trPr>
          <w:cantSplit/>
          <w:trHeight w:val="415"/>
        </w:trPr>
        <w:tc>
          <w:tcPr>
            <w:tcW w:w="7839" w:type="dxa"/>
            <w:gridSpan w:val="3"/>
            <w:tcBorders>
              <w:top w:val="single" w:sz="4" w:space="0" w:color="auto"/>
              <w:bottom w:val="single" w:sz="4" w:space="0" w:color="auto"/>
            </w:tcBorders>
            <w:shd w:val="clear" w:color="auto" w:fill="D9D9D6" w:themeFill="accent6"/>
          </w:tcPr>
          <w:p w14:paraId="095BD57C" w14:textId="230745AF" w:rsidR="00337C16" w:rsidRPr="005734B8" w:rsidRDefault="00492C80" w:rsidP="00337C16">
            <w:pPr>
              <w:pStyle w:val="ESTablebody"/>
              <w:rPr>
                <w:rFonts w:ascii="Calibri" w:hAnsi="Calibri" w:cs="Calibri"/>
                <w:b/>
                <w:sz w:val="19"/>
                <w:szCs w:val="19"/>
                <w:lang w:val="en-AU"/>
              </w:rPr>
            </w:pPr>
            <w:r w:rsidRPr="005734B8">
              <w:rPr>
                <w:rFonts w:ascii="Calibri" w:hAnsi="Calibri" w:cs="Calibri"/>
                <w:b/>
                <w:sz w:val="19"/>
                <w:szCs w:val="19"/>
              </w:rPr>
              <w:t>Declaration</w:t>
            </w:r>
          </w:p>
        </w:tc>
      </w:tr>
      <w:tr w:rsidR="006C17D8" w:rsidRPr="005734B8" w14:paraId="43526EBC" w14:textId="77777777" w:rsidTr="00337C16">
        <w:trPr>
          <w:cantSplit/>
          <w:trHeight w:val="415"/>
        </w:trPr>
        <w:tc>
          <w:tcPr>
            <w:tcW w:w="1271" w:type="dxa"/>
            <w:tcBorders>
              <w:top w:val="single" w:sz="4" w:space="0" w:color="auto"/>
              <w:bottom w:val="single" w:sz="4" w:space="0" w:color="auto"/>
            </w:tcBorders>
            <w:shd w:val="clear" w:color="auto" w:fill="auto"/>
          </w:tcPr>
          <w:p w14:paraId="2BAE7E29" w14:textId="2ADE5519" w:rsidR="006C17D8" w:rsidRPr="005734B8" w:rsidRDefault="00492C80" w:rsidP="00492C80">
            <w:pPr>
              <w:pStyle w:val="ESTablebody"/>
              <w:rPr>
                <w:rFonts w:ascii="Calibri" w:hAnsi="Calibri" w:cs="Calibri"/>
                <w:sz w:val="19"/>
                <w:szCs w:val="19"/>
              </w:rPr>
            </w:pPr>
            <w:r w:rsidRPr="005734B8">
              <w:rPr>
                <w:rFonts w:ascii="Calibri" w:hAnsi="Calibri" w:cs="Calibri"/>
                <w:sz w:val="19"/>
                <w:szCs w:val="19"/>
              </w:rPr>
              <w:t>SD 5.2.2</w:t>
            </w:r>
          </w:p>
        </w:tc>
        <w:tc>
          <w:tcPr>
            <w:tcW w:w="5730" w:type="dxa"/>
            <w:tcBorders>
              <w:top w:val="single" w:sz="4" w:space="0" w:color="auto"/>
              <w:bottom w:val="single" w:sz="4" w:space="0" w:color="auto"/>
            </w:tcBorders>
          </w:tcPr>
          <w:p w14:paraId="602AC5EE" w14:textId="4D76A84E" w:rsidR="006C17D8" w:rsidRPr="005734B8" w:rsidRDefault="00492C80" w:rsidP="006C17D8">
            <w:pPr>
              <w:pStyle w:val="ESTablebody"/>
              <w:rPr>
                <w:rFonts w:ascii="Calibri" w:hAnsi="Calibri" w:cs="Calibri"/>
                <w:sz w:val="19"/>
                <w:szCs w:val="19"/>
                <w:lang w:val="en-AU"/>
              </w:rPr>
            </w:pPr>
            <w:r w:rsidRPr="005734B8">
              <w:rPr>
                <w:rFonts w:ascii="Calibri" w:hAnsi="Calibri" w:cs="Calibri"/>
                <w:sz w:val="19"/>
                <w:szCs w:val="19"/>
                <w:lang w:val="en-AU"/>
              </w:rPr>
              <w:t>Declaration in financial statements</w:t>
            </w:r>
          </w:p>
        </w:tc>
        <w:tc>
          <w:tcPr>
            <w:tcW w:w="838" w:type="dxa"/>
            <w:tcBorders>
              <w:top w:val="single" w:sz="4" w:space="0" w:color="auto"/>
              <w:bottom w:val="single" w:sz="4" w:space="0" w:color="auto"/>
            </w:tcBorders>
          </w:tcPr>
          <w:p w14:paraId="63F82FE6" w14:textId="605E1AB3" w:rsidR="006C17D8" w:rsidRPr="005734B8" w:rsidRDefault="007634B6" w:rsidP="00A73C53">
            <w:pPr>
              <w:pStyle w:val="ESTablebody"/>
              <w:jc w:val="right"/>
              <w:rPr>
                <w:rFonts w:ascii="Calibri" w:hAnsi="Calibri" w:cs="Calibri"/>
                <w:sz w:val="19"/>
                <w:szCs w:val="19"/>
                <w:lang w:val="en-AU"/>
              </w:rPr>
            </w:pPr>
            <w:r w:rsidRPr="005734B8">
              <w:rPr>
                <w:rFonts w:ascii="Calibri" w:hAnsi="Calibri" w:cs="Calibri"/>
                <w:sz w:val="19"/>
                <w:szCs w:val="19"/>
                <w:lang w:val="en-AU"/>
              </w:rPr>
              <w:t>12</w:t>
            </w:r>
            <w:r w:rsidR="0085465D">
              <w:rPr>
                <w:rFonts w:ascii="Calibri" w:hAnsi="Calibri" w:cs="Calibri"/>
                <w:sz w:val="19"/>
                <w:szCs w:val="19"/>
                <w:lang w:val="en-AU"/>
              </w:rPr>
              <w:t>2</w:t>
            </w:r>
          </w:p>
        </w:tc>
      </w:tr>
      <w:tr w:rsidR="00492C80" w:rsidRPr="005734B8" w14:paraId="18943EA2" w14:textId="77777777" w:rsidTr="00ED74EC">
        <w:trPr>
          <w:cantSplit/>
          <w:trHeight w:val="415"/>
        </w:trPr>
        <w:tc>
          <w:tcPr>
            <w:tcW w:w="7839" w:type="dxa"/>
            <w:gridSpan w:val="3"/>
            <w:tcBorders>
              <w:top w:val="single" w:sz="4" w:space="0" w:color="auto"/>
              <w:bottom w:val="single" w:sz="4" w:space="0" w:color="auto"/>
            </w:tcBorders>
            <w:shd w:val="clear" w:color="auto" w:fill="D9D9D6" w:themeFill="accent6"/>
          </w:tcPr>
          <w:p w14:paraId="63C85C92" w14:textId="3EC3DA36" w:rsidR="00492C80" w:rsidRPr="005734B8" w:rsidRDefault="00492C80" w:rsidP="006C17D8">
            <w:pPr>
              <w:pStyle w:val="ESTablebody"/>
              <w:rPr>
                <w:rFonts w:ascii="Calibri" w:hAnsi="Calibri" w:cs="Calibri"/>
                <w:b/>
                <w:sz w:val="19"/>
                <w:szCs w:val="19"/>
                <w:highlight w:val="yellow"/>
              </w:rPr>
            </w:pPr>
            <w:r w:rsidRPr="005734B8">
              <w:rPr>
                <w:rFonts w:ascii="Calibri" w:hAnsi="Calibri" w:cs="Calibri"/>
                <w:b/>
                <w:sz w:val="19"/>
                <w:szCs w:val="19"/>
              </w:rPr>
              <w:t>Other requirements under Standing Direction 5.2</w:t>
            </w:r>
          </w:p>
        </w:tc>
      </w:tr>
      <w:tr w:rsidR="00337C16" w:rsidRPr="005734B8" w14:paraId="4EB1DD5D" w14:textId="77777777" w:rsidTr="00337C16">
        <w:trPr>
          <w:cantSplit/>
          <w:trHeight w:val="415"/>
        </w:trPr>
        <w:tc>
          <w:tcPr>
            <w:tcW w:w="1271" w:type="dxa"/>
            <w:tcBorders>
              <w:top w:val="single" w:sz="4" w:space="0" w:color="auto"/>
              <w:bottom w:val="single" w:sz="4" w:space="0" w:color="auto"/>
            </w:tcBorders>
            <w:shd w:val="clear" w:color="auto" w:fill="auto"/>
          </w:tcPr>
          <w:p w14:paraId="044EB729" w14:textId="1F8197E6" w:rsidR="00337C16" w:rsidRPr="005734B8" w:rsidRDefault="00492C80" w:rsidP="006C17D8">
            <w:pPr>
              <w:pStyle w:val="ESTablebody"/>
              <w:rPr>
                <w:rFonts w:ascii="Calibri" w:hAnsi="Calibri" w:cs="Calibri"/>
                <w:sz w:val="19"/>
                <w:szCs w:val="19"/>
              </w:rPr>
            </w:pPr>
            <w:r w:rsidRPr="005734B8">
              <w:rPr>
                <w:rFonts w:ascii="Calibri" w:hAnsi="Calibri" w:cs="Calibri"/>
                <w:sz w:val="19"/>
                <w:szCs w:val="19"/>
              </w:rPr>
              <w:t>SD 5.2.1(a)</w:t>
            </w:r>
          </w:p>
        </w:tc>
        <w:tc>
          <w:tcPr>
            <w:tcW w:w="5730" w:type="dxa"/>
            <w:tcBorders>
              <w:top w:val="single" w:sz="4" w:space="0" w:color="auto"/>
              <w:bottom w:val="single" w:sz="4" w:space="0" w:color="auto"/>
            </w:tcBorders>
          </w:tcPr>
          <w:p w14:paraId="5AD545BB" w14:textId="1EE35458" w:rsidR="00337C16" w:rsidRPr="005734B8" w:rsidRDefault="00492C80" w:rsidP="00444622">
            <w:pPr>
              <w:pStyle w:val="ESTablebody"/>
              <w:rPr>
                <w:rFonts w:ascii="Calibri" w:hAnsi="Calibri" w:cs="Calibri"/>
                <w:sz w:val="19"/>
                <w:szCs w:val="19"/>
                <w:lang w:val="en-AU"/>
              </w:rPr>
            </w:pPr>
            <w:r w:rsidRPr="005734B8">
              <w:rPr>
                <w:rFonts w:ascii="Calibri" w:hAnsi="Calibri" w:cs="Calibri"/>
                <w:sz w:val="19"/>
                <w:szCs w:val="19"/>
                <w:lang w:val="en-AU"/>
              </w:rPr>
              <w:t xml:space="preserve">Compliance with </w:t>
            </w:r>
            <w:r w:rsidR="00444622" w:rsidRPr="005734B8">
              <w:rPr>
                <w:rFonts w:ascii="Calibri" w:hAnsi="Calibri" w:cs="Calibri"/>
                <w:sz w:val="19"/>
                <w:szCs w:val="19"/>
                <w:lang w:val="en-AU"/>
              </w:rPr>
              <w:t>ASS</w:t>
            </w:r>
            <w:r w:rsidRPr="005734B8">
              <w:rPr>
                <w:rFonts w:ascii="Calibri" w:hAnsi="Calibri" w:cs="Calibri"/>
                <w:sz w:val="19"/>
                <w:szCs w:val="19"/>
                <w:lang w:val="en-AU"/>
              </w:rPr>
              <w:t xml:space="preserve"> and other authoritative pronouncements</w:t>
            </w:r>
          </w:p>
        </w:tc>
        <w:tc>
          <w:tcPr>
            <w:tcW w:w="838" w:type="dxa"/>
            <w:tcBorders>
              <w:top w:val="single" w:sz="4" w:space="0" w:color="auto"/>
              <w:bottom w:val="single" w:sz="4" w:space="0" w:color="auto"/>
            </w:tcBorders>
          </w:tcPr>
          <w:p w14:paraId="42E10CB9" w14:textId="67DD3DAB" w:rsidR="00337C16" w:rsidRPr="005734B8" w:rsidRDefault="00EF38E8" w:rsidP="00A73C53">
            <w:pPr>
              <w:pStyle w:val="ESTablebody"/>
              <w:jc w:val="right"/>
              <w:rPr>
                <w:rFonts w:ascii="Calibri" w:hAnsi="Calibri" w:cs="Calibri"/>
                <w:sz w:val="19"/>
                <w:szCs w:val="19"/>
                <w:highlight w:val="yellow"/>
                <w:lang w:val="en-AU"/>
              </w:rPr>
            </w:pPr>
            <w:r w:rsidRPr="005734B8">
              <w:rPr>
                <w:rFonts w:ascii="Calibri" w:hAnsi="Calibri" w:cs="Calibri"/>
                <w:sz w:val="19"/>
                <w:szCs w:val="19"/>
                <w:lang w:val="en-AU"/>
              </w:rPr>
              <w:t>13</w:t>
            </w:r>
            <w:r w:rsidR="0085465D">
              <w:rPr>
                <w:rFonts w:ascii="Calibri" w:hAnsi="Calibri" w:cs="Calibri"/>
                <w:sz w:val="19"/>
                <w:szCs w:val="19"/>
                <w:lang w:val="en-AU"/>
              </w:rPr>
              <w:t>0</w:t>
            </w:r>
          </w:p>
        </w:tc>
      </w:tr>
      <w:tr w:rsidR="00337C16" w:rsidRPr="005734B8" w14:paraId="61FFC069" w14:textId="77777777" w:rsidTr="00337C16">
        <w:trPr>
          <w:cantSplit/>
          <w:trHeight w:val="415"/>
        </w:trPr>
        <w:tc>
          <w:tcPr>
            <w:tcW w:w="1271" w:type="dxa"/>
            <w:tcBorders>
              <w:top w:val="single" w:sz="4" w:space="0" w:color="auto"/>
              <w:bottom w:val="single" w:sz="4" w:space="0" w:color="auto"/>
            </w:tcBorders>
            <w:shd w:val="clear" w:color="auto" w:fill="auto"/>
          </w:tcPr>
          <w:p w14:paraId="18860F8E" w14:textId="6B33F712" w:rsidR="00337C16" w:rsidRPr="005734B8" w:rsidRDefault="00492C80" w:rsidP="006C17D8">
            <w:pPr>
              <w:pStyle w:val="ESTablebody"/>
              <w:rPr>
                <w:rFonts w:ascii="Calibri" w:hAnsi="Calibri" w:cs="Calibri"/>
                <w:sz w:val="19"/>
                <w:szCs w:val="19"/>
              </w:rPr>
            </w:pPr>
            <w:r w:rsidRPr="005734B8">
              <w:rPr>
                <w:rFonts w:ascii="Calibri" w:hAnsi="Calibri" w:cs="Calibri"/>
                <w:sz w:val="19"/>
                <w:szCs w:val="19"/>
              </w:rPr>
              <w:t>SD 5.2.1(a)</w:t>
            </w:r>
          </w:p>
        </w:tc>
        <w:tc>
          <w:tcPr>
            <w:tcW w:w="5730" w:type="dxa"/>
            <w:tcBorders>
              <w:top w:val="single" w:sz="4" w:space="0" w:color="auto"/>
              <w:bottom w:val="single" w:sz="4" w:space="0" w:color="auto"/>
            </w:tcBorders>
          </w:tcPr>
          <w:p w14:paraId="6A0F7B19" w14:textId="237F9947" w:rsidR="00337C16" w:rsidRPr="005734B8" w:rsidRDefault="00492C80" w:rsidP="006C17D8">
            <w:pPr>
              <w:pStyle w:val="ESTablebody"/>
              <w:rPr>
                <w:rFonts w:ascii="Calibri" w:hAnsi="Calibri" w:cs="Calibri"/>
                <w:sz w:val="19"/>
                <w:szCs w:val="19"/>
                <w:lang w:val="en-AU"/>
              </w:rPr>
            </w:pPr>
            <w:r w:rsidRPr="005734B8">
              <w:rPr>
                <w:rFonts w:ascii="Calibri" w:hAnsi="Calibri" w:cs="Calibri"/>
                <w:sz w:val="19"/>
                <w:szCs w:val="19"/>
                <w:lang w:val="en-AU"/>
              </w:rPr>
              <w:t>Compliance with Standing Directions</w:t>
            </w:r>
          </w:p>
        </w:tc>
        <w:tc>
          <w:tcPr>
            <w:tcW w:w="838" w:type="dxa"/>
            <w:tcBorders>
              <w:top w:val="single" w:sz="4" w:space="0" w:color="auto"/>
              <w:bottom w:val="single" w:sz="4" w:space="0" w:color="auto"/>
            </w:tcBorders>
          </w:tcPr>
          <w:p w14:paraId="6EF256FB" w14:textId="00850982" w:rsidR="00337C16" w:rsidRPr="005734B8" w:rsidRDefault="00EF38E8" w:rsidP="00A73C53">
            <w:pPr>
              <w:pStyle w:val="ESTablebody"/>
              <w:jc w:val="right"/>
              <w:rPr>
                <w:rFonts w:ascii="Calibri" w:hAnsi="Calibri" w:cs="Calibri"/>
                <w:sz w:val="19"/>
                <w:szCs w:val="19"/>
                <w:lang w:val="en-AU"/>
              </w:rPr>
            </w:pPr>
            <w:r w:rsidRPr="005734B8">
              <w:rPr>
                <w:rFonts w:ascii="Calibri" w:hAnsi="Calibri" w:cs="Calibri"/>
                <w:sz w:val="19"/>
                <w:szCs w:val="19"/>
                <w:lang w:val="en-AU"/>
              </w:rPr>
              <w:t>122</w:t>
            </w:r>
          </w:p>
        </w:tc>
      </w:tr>
      <w:tr w:rsidR="00492C80" w:rsidRPr="005734B8" w14:paraId="3BEC8B22" w14:textId="77777777" w:rsidTr="00ED74EC">
        <w:trPr>
          <w:cantSplit/>
          <w:trHeight w:val="415"/>
        </w:trPr>
        <w:tc>
          <w:tcPr>
            <w:tcW w:w="7839" w:type="dxa"/>
            <w:gridSpan w:val="3"/>
            <w:tcBorders>
              <w:top w:val="single" w:sz="4" w:space="0" w:color="auto"/>
              <w:bottom w:val="single" w:sz="4" w:space="0" w:color="auto"/>
            </w:tcBorders>
            <w:shd w:val="clear" w:color="auto" w:fill="D9D9D6" w:themeFill="accent6"/>
          </w:tcPr>
          <w:p w14:paraId="522A4D83" w14:textId="24ED219B" w:rsidR="00492C80" w:rsidRPr="005734B8" w:rsidRDefault="00492C80" w:rsidP="006C17D8">
            <w:pPr>
              <w:pStyle w:val="ESTablebody"/>
              <w:rPr>
                <w:rFonts w:ascii="Calibri" w:hAnsi="Calibri" w:cs="Calibri"/>
                <w:b/>
                <w:sz w:val="19"/>
                <w:szCs w:val="19"/>
                <w:highlight w:val="yellow"/>
              </w:rPr>
            </w:pPr>
            <w:r w:rsidRPr="005734B8">
              <w:rPr>
                <w:rFonts w:ascii="Calibri" w:hAnsi="Calibri" w:cs="Calibri"/>
                <w:b/>
                <w:sz w:val="19"/>
                <w:szCs w:val="19"/>
              </w:rPr>
              <w:t>Other disclosures as required by FRDs in notes to the financial statements</w:t>
            </w:r>
          </w:p>
        </w:tc>
      </w:tr>
      <w:tr w:rsidR="00337C16" w:rsidRPr="005734B8" w14:paraId="1C568763" w14:textId="77777777" w:rsidTr="00337C16">
        <w:trPr>
          <w:cantSplit/>
          <w:trHeight w:val="415"/>
        </w:trPr>
        <w:tc>
          <w:tcPr>
            <w:tcW w:w="1271" w:type="dxa"/>
            <w:tcBorders>
              <w:top w:val="single" w:sz="4" w:space="0" w:color="auto"/>
              <w:bottom w:val="single" w:sz="4" w:space="0" w:color="auto"/>
            </w:tcBorders>
            <w:shd w:val="clear" w:color="auto" w:fill="auto"/>
          </w:tcPr>
          <w:p w14:paraId="7CA26A72" w14:textId="375DCFC9" w:rsidR="00337C16" w:rsidRPr="005734B8" w:rsidRDefault="00492C80" w:rsidP="006C17D8">
            <w:pPr>
              <w:pStyle w:val="ESTablebody"/>
              <w:rPr>
                <w:rFonts w:ascii="Calibri" w:hAnsi="Calibri" w:cs="Calibri"/>
                <w:sz w:val="19"/>
                <w:szCs w:val="19"/>
              </w:rPr>
            </w:pPr>
            <w:r w:rsidRPr="005734B8">
              <w:rPr>
                <w:rFonts w:ascii="Calibri" w:hAnsi="Calibri" w:cs="Calibri"/>
                <w:sz w:val="19"/>
                <w:szCs w:val="19"/>
              </w:rPr>
              <w:t>FRD 9</w:t>
            </w:r>
            <w:r w:rsidR="00120F02" w:rsidRPr="005734B8">
              <w:rPr>
                <w:rFonts w:ascii="Calibri" w:hAnsi="Calibri" w:cs="Calibri"/>
                <w:sz w:val="19"/>
                <w:szCs w:val="19"/>
              </w:rPr>
              <w:t>B</w:t>
            </w:r>
          </w:p>
        </w:tc>
        <w:tc>
          <w:tcPr>
            <w:tcW w:w="5730" w:type="dxa"/>
            <w:tcBorders>
              <w:top w:val="single" w:sz="4" w:space="0" w:color="auto"/>
              <w:bottom w:val="single" w:sz="4" w:space="0" w:color="auto"/>
            </w:tcBorders>
          </w:tcPr>
          <w:p w14:paraId="7DDA821C" w14:textId="09C3C5AE" w:rsidR="00337C16" w:rsidRPr="005734B8" w:rsidRDefault="00492C80" w:rsidP="006C17D8">
            <w:pPr>
              <w:pStyle w:val="ESTablebody"/>
              <w:rPr>
                <w:rFonts w:ascii="Calibri" w:hAnsi="Calibri" w:cs="Calibri"/>
                <w:sz w:val="19"/>
                <w:szCs w:val="19"/>
                <w:lang w:val="en-AU"/>
              </w:rPr>
            </w:pPr>
            <w:r w:rsidRPr="005734B8">
              <w:rPr>
                <w:rFonts w:ascii="Calibri" w:hAnsi="Calibri" w:cs="Calibri"/>
                <w:sz w:val="19"/>
                <w:szCs w:val="19"/>
                <w:lang w:val="en-AU"/>
              </w:rPr>
              <w:t>Departmental disclosure of administered assets and liabilities by activity</w:t>
            </w:r>
          </w:p>
        </w:tc>
        <w:tc>
          <w:tcPr>
            <w:tcW w:w="838" w:type="dxa"/>
            <w:tcBorders>
              <w:top w:val="single" w:sz="4" w:space="0" w:color="auto"/>
              <w:bottom w:val="single" w:sz="4" w:space="0" w:color="auto"/>
            </w:tcBorders>
          </w:tcPr>
          <w:p w14:paraId="42BE5F30" w14:textId="7CEE83BE" w:rsidR="00337C16" w:rsidRPr="005734B8" w:rsidRDefault="009B2025" w:rsidP="00A73C53">
            <w:pPr>
              <w:pStyle w:val="ESTablebody"/>
              <w:jc w:val="right"/>
              <w:rPr>
                <w:rFonts w:ascii="Calibri" w:hAnsi="Calibri" w:cs="Calibri"/>
                <w:sz w:val="19"/>
                <w:szCs w:val="19"/>
                <w:highlight w:val="yellow"/>
                <w:lang w:val="en-AU"/>
              </w:rPr>
            </w:pPr>
            <w:r w:rsidRPr="005734B8">
              <w:rPr>
                <w:rFonts w:ascii="Calibri" w:hAnsi="Calibri" w:cs="Calibri"/>
                <w:sz w:val="19"/>
                <w:szCs w:val="19"/>
                <w:lang w:val="en-AU"/>
              </w:rPr>
              <w:t>15</w:t>
            </w:r>
            <w:r w:rsidR="0070582A">
              <w:rPr>
                <w:rFonts w:ascii="Calibri" w:hAnsi="Calibri" w:cs="Calibri"/>
                <w:sz w:val="19"/>
                <w:szCs w:val="19"/>
                <w:lang w:val="en-AU"/>
              </w:rPr>
              <w:t>4</w:t>
            </w:r>
          </w:p>
        </w:tc>
      </w:tr>
      <w:tr w:rsidR="00337C16" w:rsidRPr="005734B8" w14:paraId="5853075F" w14:textId="77777777" w:rsidTr="00492C80">
        <w:trPr>
          <w:cantSplit/>
          <w:trHeight w:val="415"/>
        </w:trPr>
        <w:tc>
          <w:tcPr>
            <w:tcW w:w="1271" w:type="dxa"/>
            <w:tcBorders>
              <w:top w:val="single" w:sz="4" w:space="0" w:color="auto"/>
              <w:bottom w:val="single" w:sz="4" w:space="0" w:color="auto"/>
            </w:tcBorders>
            <w:shd w:val="clear" w:color="auto" w:fill="auto"/>
          </w:tcPr>
          <w:p w14:paraId="51DB885E" w14:textId="7A1DCF95" w:rsidR="00337C16" w:rsidRPr="005734B8" w:rsidRDefault="00492C80" w:rsidP="006C17D8">
            <w:pPr>
              <w:pStyle w:val="ESTablebody"/>
              <w:rPr>
                <w:rFonts w:ascii="Calibri" w:hAnsi="Calibri" w:cs="Calibri"/>
                <w:sz w:val="19"/>
                <w:szCs w:val="19"/>
              </w:rPr>
            </w:pPr>
            <w:r w:rsidRPr="005734B8">
              <w:rPr>
                <w:rFonts w:ascii="Calibri" w:hAnsi="Calibri" w:cs="Calibri"/>
                <w:sz w:val="19"/>
                <w:szCs w:val="19"/>
              </w:rPr>
              <w:t>FRD 11A</w:t>
            </w:r>
          </w:p>
        </w:tc>
        <w:tc>
          <w:tcPr>
            <w:tcW w:w="5730" w:type="dxa"/>
            <w:tcBorders>
              <w:top w:val="single" w:sz="4" w:space="0" w:color="auto"/>
              <w:bottom w:val="single" w:sz="4" w:space="0" w:color="auto"/>
            </w:tcBorders>
          </w:tcPr>
          <w:p w14:paraId="6E0B6E04" w14:textId="18F3913A" w:rsidR="00337C16" w:rsidRPr="005734B8" w:rsidRDefault="00492C80" w:rsidP="006C17D8">
            <w:pPr>
              <w:pStyle w:val="ESTablebody"/>
              <w:rPr>
                <w:rFonts w:ascii="Calibri" w:hAnsi="Calibri" w:cs="Calibri"/>
                <w:sz w:val="19"/>
                <w:szCs w:val="19"/>
                <w:lang w:val="en-AU"/>
              </w:rPr>
            </w:pPr>
            <w:r w:rsidRPr="005734B8">
              <w:rPr>
                <w:rFonts w:ascii="Calibri" w:hAnsi="Calibri" w:cs="Calibri"/>
                <w:sz w:val="19"/>
                <w:szCs w:val="19"/>
                <w:lang w:val="en-AU"/>
              </w:rPr>
              <w:t>Disclosure of ex-gratia expenses</w:t>
            </w:r>
          </w:p>
        </w:tc>
        <w:tc>
          <w:tcPr>
            <w:tcW w:w="838" w:type="dxa"/>
            <w:tcBorders>
              <w:top w:val="single" w:sz="4" w:space="0" w:color="auto"/>
              <w:bottom w:val="single" w:sz="4" w:space="0" w:color="auto"/>
            </w:tcBorders>
          </w:tcPr>
          <w:p w14:paraId="4788708F" w14:textId="61F35A01" w:rsidR="00337C16" w:rsidRPr="005734B8" w:rsidRDefault="00682447" w:rsidP="00A73C53">
            <w:pPr>
              <w:pStyle w:val="ESTablebody"/>
              <w:jc w:val="right"/>
              <w:rPr>
                <w:rFonts w:ascii="Calibri" w:hAnsi="Calibri" w:cs="Calibri"/>
                <w:sz w:val="19"/>
                <w:szCs w:val="19"/>
                <w:highlight w:val="yellow"/>
                <w:lang w:val="en-AU"/>
              </w:rPr>
            </w:pPr>
            <w:r w:rsidRPr="005734B8">
              <w:rPr>
                <w:rFonts w:ascii="Calibri" w:hAnsi="Calibri" w:cs="Calibri"/>
                <w:sz w:val="19"/>
                <w:szCs w:val="19"/>
                <w:lang w:val="en-AU"/>
              </w:rPr>
              <w:t>14</w:t>
            </w:r>
            <w:r w:rsidR="00EF3EC8" w:rsidRPr="005734B8">
              <w:rPr>
                <w:rFonts w:ascii="Calibri" w:hAnsi="Calibri" w:cs="Calibri"/>
                <w:sz w:val="19"/>
                <w:szCs w:val="19"/>
                <w:lang w:val="en-AU"/>
              </w:rPr>
              <w:t>8</w:t>
            </w:r>
          </w:p>
        </w:tc>
      </w:tr>
      <w:tr w:rsidR="00492C80" w:rsidRPr="005734B8" w14:paraId="64373116" w14:textId="77777777" w:rsidTr="00492C80">
        <w:trPr>
          <w:cantSplit/>
          <w:trHeight w:val="415"/>
        </w:trPr>
        <w:tc>
          <w:tcPr>
            <w:tcW w:w="1271" w:type="dxa"/>
            <w:tcBorders>
              <w:top w:val="single" w:sz="4" w:space="0" w:color="auto"/>
              <w:bottom w:val="single" w:sz="4" w:space="0" w:color="auto"/>
            </w:tcBorders>
            <w:shd w:val="clear" w:color="auto" w:fill="auto"/>
          </w:tcPr>
          <w:p w14:paraId="41185F9F" w14:textId="0A01EBE8" w:rsidR="00492C80" w:rsidRPr="005734B8" w:rsidRDefault="00492C80" w:rsidP="006C17D8">
            <w:pPr>
              <w:pStyle w:val="ESTablebody"/>
              <w:rPr>
                <w:rFonts w:ascii="Calibri" w:hAnsi="Calibri" w:cs="Calibri"/>
                <w:sz w:val="19"/>
                <w:szCs w:val="19"/>
              </w:rPr>
            </w:pPr>
            <w:r w:rsidRPr="005734B8">
              <w:rPr>
                <w:rFonts w:ascii="Calibri" w:hAnsi="Calibri" w:cs="Calibri"/>
                <w:sz w:val="19"/>
                <w:szCs w:val="19"/>
              </w:rPr>
              <w:t>FRD 13</w:t>
            </w:r>
          </w:p>
        </w:tc>
        <w:tc>
          <w:tcPr>
            <w:tcW w:w="5730" w:type="dxa"/>
            <w:tcBorders>
              <w:top w:val="single" w:sz="4" w:space="0" w:color="auto"/>
              <w:bottom w:val="single" w:sz="4" w:space="0" w:color="auto"/>
            </w:tcBorders>
          </w:tcPr>
          <w:p w14:paraId="5F1933D2" w14:textId="64BE29B4" w:rsidR="00492C80" w:rsidRPr="005734B8" w:rsidRDefault="00492C80" w:rsidP="006C17D8">
            <w:pPr>
              <w:pStyle w:val="ESTablebody"/>
              <w:rPr>
                <w:rFonts w:ascii="Calibri" w:hAnsi="Calibri" w:cs="Calibri"/>
                <w:sz w:val="19"/>
                <w:szCs w:val="19"/>
                <w:lang w:val="en-AU"/>
              </w:rPr>
            </w:pPr>
            <w:r w:rsidRPr="005734B8">
              <w:rPr>
                <w:rFonts w:ascii="Calibri" w:hAnsi="Calibri" w:cs="Calibri"/>
                <w:sz w:val="19"/>
                <w:szCs w:val="19"/>
                <w:lang w:val="en-AU"/>
              </w:rPr>
              <w:t>Disclosure of parliamentary appropriations</w:t>
            </w:r>
          </w:p>
        </w:tc>
        <w:tc>
          <w:tcPr>
            <w:tcW w:w="838" w:type="dxa"/>
            <w:tcBorders>
              <w:top w:val="single" w:sz="4" w:space="0" w:color="auto"/>
              <w:bottom w:val="single" w:sz="4" w:space="0" w:color="auto"/>
            </w:tcBorders>
          </w:tcPr>
          <w:p w14:paraId="64E5F00E" w14:textId="0CB66BC8" w:rsidR="00492C80" w:rsidRPr="005734B8" w:rsidRDefault="00F71E7F" w:rsidP="00A73C53">
            <w:pPr>
              <w:pStyle w:val="ESTablebody"/>
              <w:jc w:val="right"/>
              <w:rPr>
                <w:rFonts w:ascii="Calibri" w:hAnsi="Calibri" w:cs="Calibri"/>
                <w:sz w:val="19"/>
                <w:szCs w:val="19"/>
                <w:highlight w:val="yellow"/>
                <w:lang w:val="en-AU"/>
              </w:rPr>
            </w:pPr>
            <w:r w:rsidRPr="005734B8">
              <w:rPr>
                <w:rFonts w:ascii="Calibri" w:hAnsi="Calibri" w:cs="Calibri"/>
                <w:sz w:val="19"/>
                <w:szCs w:val="19"/>
                <w:lang w:val="en-AU"/>
              </w:rPr>
              <w:t>13</w:t>
            </w:r>
            <w:r w:rsidR="0070582A">
              <w:rPr>
                <w:rFonts w:ascii="Calibri" w:hAnsi="Calibri" w:cs="Calibri"/>
                <w:sz w:val="19"/>
                <w:szCs w:val="19"/>
                <w:lang w:val="en-AU"/>
              </w:rPr>
              <w:t>5</w:t>
            </w:r>
          </w:p>
        </w:tc>
      </w:tr>
      <w:tr w:rsidR="00492C80" w:rsidRPr="005734B8" w14:paraId="11442DEE" w14:textId="77777777" w:rsidTr="00492C80">
        <w:trPr>
          <w:cantSplit/>
          <w:trHeight w:val="415"/>
        </w:trPr>
        <w:tc>
          <w:tcPr>
            <w:tcW w:w="1271" w:type="dxa"/>
            <w:tcBorders>
              <w:top w:val="single" w:sz="4" w:space="0" w:color="auto"/>
              <w:bottom w:val="single" w:sz="4" w:space="0" w:color="auto"/>
            </w:tcBorders>
            <w:shd w:val="clear" w:color="auto" w:fill="auto"/>
          </w:tcPr>
          <w:p w14:paraId="3462F754" w14:textId="1CBE7EA2" w:rsidR="00492C80" w:rsidRPr="005734B8" w:rsidRDefault="00492C80" w:rsidP="006C17D8">
            <w:pPr>
              <w:pStyle w:val="ESTablebody"/>
              <w:rPr>
                <w:rFonts w:ascii="Calibri" w:hAnsi="Calibri" w:cs="Calibri"/>
                <w:sz w:val="19"/>
                <w:szCs w:val="19"/>
              </w:rPr>
            </w:pPr>
            <w:r w:rsidRPr="005734B8">
              <w:rPr>
                <w:rFonts w:ascii="Calibri" w:hAnsi="Calibri" w:cs="Calibri"/>
                <w:sz w:val="19"/>
                <w:szCs w:val="19"/>
              </w:rPr>
              <w:t>FRD 21C</w:t>
            </w:r>
          </w:p>
        </w:tc>
        <w:tc>
          <w:tcPr>
            <w:tcW w:w="5730" w:type="dxa"/>
            <w:tcBorders>
              <w:top w:val="single" w:sz="4" w:space="0" w:color="auto"/>
              <w:bottom w:val="single" w:sz="4" w:space="0" w:color="auto"/>
            </w:tcBorders>
          </w:tcPr>
          <w:p w14:paraId="53B71F4A" w14:textId="2EA1F533" w:rsidR="00492C80" w:rsidRPr="005734B8" w:rsidRDefault="00492C80" w:rsidP="006C17D8">
            <w:pPr>
              <w:pStyle w:val="ESTablebody"/>
              <w:rPr>
                <w:rFonts w:ascii="Calibri" w:hAnsi="Calibri" w:cs="Calibri"/>
                <w:sz w:val="19"/>
                <w:szCs w:val="19"/>
                <w:lang w:val="en-AU"/>
              </w:rPr>
            </w:pPr>
            <w:r w:rsidRPr="005734B8">
              <w:rPr>
                <w:rFonts w:ascii="Calibri" w:hAnsi="Calibri" w:cs="Calibri"/>
                <w:sz w:val="19"/>
                <w:szCs w:val="19"/>
                <w:lang w:val="en-AU"/>
              </w:rPr>
              <w:t>Disclosure of responsible persons, executive officers and other personnel (contractors with significant management responsibilities) in the financial report</w:t>
            </w:r>
          </w:p>
        </w:tc>
        <w:tc>
          <w:tcPr>
            <w:tcW w:w="838" w:type="dxa"/>
            <w:tcBorders>
              <w:top w:val="single" w:sz="4" w:space="0" w:color="auto"/>
              <w:bottom w:val="single" w:sz="4" w:space="0" w:color="auto"/>
            </w:tcBorders>
          </w:tcPr>
          <w:p w14:paraId="3338488E" w14:textId="4EDFEBAA" w:rsidR="00492C80" w:rsidRPr="005734B8" w:rsidRDefault="00CE0BE6" w:rsidP="00A73C53">
            <w:pPr>
              <w:pStyle w:val="ESTablebody"/>
              <w:jc w:val="right"/>
              <w:rPr>
                <w:rFonts w:ascii="Calibri" w:hAnsi="Calibri" w:cs="Calibri"/>
                <w:sz w:val="19"/>
                <w:szCs w:val="19"/>
                <w:highlight w:val="yellow"/>
                <w:lang w:val="en-AU"/>
              </w:rPr>
            </w:pPr>
            <w:r w:rsidRPr="005734B8">
              <w:rPr>
                <w:rFonts w:ascii="Calibri" w:hAnsi="Calibri" w:cs="Calibri"/>
                <w:sz w:val="19"/>
                <w:szCs w:val="19"/>
                <w:lang w:val="en-AU"/>
              </w:rPr>
              <w:t>19</w:t>
            </w:r>
            <w:r w:rsidR="0070582A">
              <w:rPr>
                <w:rFonts w:ascii="Calibri" w:hAnsi="Calibri" w:cs="Calibri"/>
                <w:sz w:val="19"/>
                <w:szCs w:val="19"/>
                <w:lang w:val="en-AU"/>
              </w:rPr>
              <w:t>5</w:t>
            </w:r>
          </w:p>
        </w:tc>
      </w:tr>
      <w:tr w:rsidR="00492C80" w:rsidRPr="005734B8" w14:paraId="4E301B01" w14:textId="77777777" w:rsidTr="00492C80">
        <w:trPr>
          <w:cantSplit/>
          <w:trHeight w:val="415"/>
        </w:trPr>
        <w:tc>
          <w:tcPr>
            <w:tcW w:w="1271" w:type="dxa"/>
            <w:tcBorders>
              <w:top w:val="single" w:sz="4" w:space="0" w:color="auto"/>
              <w:bottom w:val="single" w:sz="4" w:space="0" w:color="auto"/>
            </w:tcBorders>
            <w:shd w:val="clear" w:color="auto" w:fill="auto"/>
          </w:tcPr>
          <w:p w14:paraId="7FA2BBBB" w14:textId="25055C01" w:rsidR="00492C80" w:rsidRPr="005734B8" w:rsidRDefault="00492C80" w:rsidP="006C17D8">
            <w:pPr>
              <w:pStyle w:val="ESTablebody"/>
              <w:rPr>
                <w:rFonts w:ascii="Calibri" w:hAnsi="Calibri" w:cs="Calibri"/>
                <w:sz w:val="19"/>
                <w:szCs w:val="19"/>
              </w:rPr>
            </w:pPr>
            <w:r w:rsidRPr="005734B8">
              <w:rPr>
                <w:rFonts w:ascii="Calibri" w:hAnsi="Calibri" w:cs="Calibri"/>
                <w:sz w:val="19"/>
                <w:szCs w:val="19"/>
              </w:rPr>
              <w:lastRenderedPageBreak/>
              <w:t>FRD 103</w:t>
            </w:r>
            <w:r w:rsidR="00F4184C" w:rsidRPr="005734B8">
              <w:rPr>
                <w:rFonts w:ascii="Calibri" w:hAnsi="Calibri" w:cs="Calibri"/>
                <w:sz w:val="19"/>
                <w:szCs w:val="19"/>
              </w:rPr>
              <w:t>I</w:t>
            </w:r>
          </w:p>
        </w:tc>
        <w:tc>
          <w:tcPr>
            <w:tcW w:w="5730" w:type="dxa"/>
            <w:tcBorders>
              <w:top w:val="single" w:sz="4" w:space="0" w:color="auto"/>
              <w:bottom w:val="single" w:sz="4" w:space="0" w:color="auto"/>
            </w:tcBorders>
          </w:tcPr>
          <w:p w14:paraId="2108DE96" w14:textId="4E2CD036" w:rsidR="00492C80" w:rsidRPr="005734B8" w:rsidRDefault="00492C80" w:rsidP="006C17D8">
            <w:pPr>
              <w:pStyle w:val="ESTablebody"/>
              <w:rPr>
                <w:rFonts w:ascii="Calibri" w:hAnsi="Calibri" w:cs="Calibri"/>
                <w:sz w:val="19"/>
                <w:szCs w:val="19"/>
                <w:lang w:val="en-AU"/>
              </w:rPr>
            </w:pPr>
            <w:r w:rsidRPr="005734B8">
              <w:rPr>
                <w:rFonts w:ascii="Calibri" w:hAnsi="Calibri" w:cs="Calibri"/>
                <w:sz w:val="19"/>
                <w:szCs w:val="19"/>
                <w:lang w:val="en-AU"/>
              </w:rPr>
              <w:t>Non-financial physical assets</w:t>
            </w:r>
          </w:p>
        </w:tc>
        <w:tc>
          <w:tcPr>
            <w:tcW w:w="838" w:type="dxa"/>
            <w:tcBorders>
              <w:top w:val="single" w:sz="4" w:space="0" w:color="auto"/>
              <w:bottom w:val="single" w:sz="4" w:space="0" w:color="auto"/>
            </w:tcBorders>
          </w:tcPr>
          <w:p w14:paraId="6C4FD876" w14:textId="39D2EF1D" w:rsidR="00492C80" w:rsidRPr="005734B8" w:rsidRDefault="00784EC1" w:rsidP="00E30CEE">
            <w:pPr>
              <w:pStyle w:val="ESTablebody"/>
              <w:jc w:val="right"/>
              <w:rPr>
                <w:rFonts w:ascii="Calibri" w:hAnsi="Calibri" w:cs="Calibri"/>
                <w:sz w:val="19"/>
                <w:szCs w:val="19"/>
                <w:highlight w:val="yellow"/>
                <w:lang w:val="en-AU"/>
              </w:rPr>
            </w:pPr>
            <w:r w:rsidRPr="005734B8">
              <w:rPr>
                <w:rFonts w:ascii="Calibri" w:hAnsi="Calibri" w:cs="Calibri"/>
                <w:sz w:val="19"/>
                <w:szCs w:val="19"/>
                <w:lang w:val="en-AU"/>
              </w:rPr>
              <w:t>1</w:t>
            </w:r>
            <w:r w:rsidR="0070582A">
              <w:rPr>
                <w:rFonts w:ascii="Calibri" w:hAnsi="Calibri" w:cs="Calibri"/>
                <w:sz w:val="19"/>
                <w:szCs w:val="19"/>
                <w:lang w:val="en-AU"/>
              </w:rPr>
              <w:t>68</w:t>
            </w:r>
          </w:p>
        </w:tc>
      </w:tr>
      <w:tr w:rsidR="00492C80" w:rsidRPr="005734B8" w14:paraId="4C0DA077" w14:textId="77777777" w:rsidTr="00492C80">
        <w:trPr>
          <w:cantSplit/>
          <w:trHeight w:val="415"/>
        </w:trPr>
        <w:tc>
          <w:tcPr>
            <w:tcW w:w="1271" w:type="dxa"/>
            <w:tcBorders>
              <w:top w:val="single" w:sz="4" w:space="0" w:color="auto"/>
              <w:bottom w:val="single" w:sz="4" w:space="0" w:color="auto"/>
            </w:tcBorders>
            <w:shd w:val="clear" w:color="auto" w:fill="auto"/>
          </w:tcPr>
          <w:p w14:paraId="2688E42F" w14:textId="53AE4707" w:rsidR="00492C80" w:rsidRPr="005734B8" w:rsidRDefault="00492C80" w:rsidP="006C17D8">
            <w:pPr>
              <w:pStyle w:val="ESTablebody"/>
              <w:rPr>
                <w:rFonts w:ascii="Calibri" w:hAnsi="Calibri" w:cs="Calibri"/>
                <w:sz w:val="19"/>
                <w:szCs w:val="19"/>
              </w:rPr>
            </w:pPr>
            <w:r w:rsidRPr="005734B8">
              <w:rPr>
                <w:rFonts w:ascii="Calibri" w:hAnsi="Calibri" w:cs="Calibri"/>
                <w:sz w:val="19"/>
                <w:szCs w:val="19"/>
              </w:rPr>
              <w:t>FRD 110A</w:t>
            </w:r>
          </w:p>
        </w:tc>
        <w:tc>
          <w:tcPr>
            <w:tcW w:w="5730" w:type="dxa"/>
            <w:tcBorders>
              <w:top w:val="single" w:sz="4" w:space="0" w:color="auto"/>
              <w:bottom w:val="single" w:sz="4" w:space="0" w:color="auto"/>
            </w:tcBorders>
          </w:tcPr>
          <w:p w14:paraId="6CA6AB59" w14:textId="564C7BFB" w:rsidR="00492C80" w:rsidRPr="005734B8" w:rsidRDefault="00492C80" w:rsidP="006C17D8">
            <w:pPr>
              <w:pStyle w:val="ESTablebody"/>
              <w:rPr>
                <w:rFonts w:ascii="Calibri" w:hAnsi="Calibri" w:cs="Calibri"/>
                <w:sz w:val="19"/>
                <w:szCs w:val="19"/>
                <w:lang w:val="en-AU"/>
              </w:rPr>
            </w:pPr>
            <w:r w:rsidRPr="005734B8">
              <w:rPr>
                <w:rFonts w:ascii="Calibri" w:hAnsi="Calibri" w:cs="Calibri"/>
                <w:sz w:val="19"/>
                <w:szCs w:val="19"/>
                <w:lang w:val="en-AU"/>
              </w:rPr>
              <w:t>Cash flow statements</w:t>
            </w:r>
          </w:p>
        </w:tc>
        <w:tc>
          <w:tcPr>
            <w:tcW w:w="838" w:type="dxa"/>
            <w:tcBorders>
              <w:top w:val="single" w:sz="4" w:space="0" w:color="auto"/>
              <w:bottom w:val="single" w:sz="4" w:space="0" w:color="auto"/>
            </w:tcBorders>
          </w:tcPr>
          <w:p w14:paraId="51087216" w14:textId="70C2BAF1" w:rsidR="00492C80" w:rsidRPr="005734B8" w:rsidRDefault="006C4BC1" w:rsidP="00A73C53">
            <w:pPr>
              <w:pStyle w:val="ESTablebody"/>
              <w:jc w:val="right"/>
              <w:rPr>
                <w:rFonts w:ascii="Calibri" w:hAnsi="Calibri" w:cs="Calibri"/>
                <w:sz w:val="19"/>
                <w:szCs w:val="19"/>
                <w:highlight w:val="yellow"/>
                <w:lang w:val="en-AU"/>
              </w:rPr>
            </w:pPr>
            <w:r w:rsidRPr="005734B8">
              <w:rPr>
                <w:rFonts w:ascii="Calibri" w:hAnsi="Calibri" w:cs="Calibri"/>
                <w:sz w:val="19"/>
                <w:szCs w:val="19"/>
                <w:lang w:val="en-AU"/>
              </w:rPr>
              <w:t>12</w:t>
            </w:r>
            <w:r w:rsidR="0070582A">
              <w:rPr>
                <w:rFonts w:ascii="Calibri" w:hAnsi="Calibri" w:cs="Calibri"/>
                <w:sz w:val="19"/>
                <w:szCs w:val="19"/>
                <w:lang w:val="en-AU"/>
              </w:rPr>
              <w:t>7</w:t>
            </w:r>
          </w:p>
        </w:tc>
      </w:tr>
      <w:tr w:rsidR="00492C80" w:rsidRPr="005734B8" w14:paraId="48E03282" w14:textId="77777777" w:rsidTr="00492C80">
        <w:trPr>
          <w:cantSplit/>
          <w:trHeight w:val="415"/>
        </w:trPr>
        <w:tc>
          <w:tcPr>
            <w:tcW w:w="1271" w:type="dxa"/>
            <w:tcBorders>
              <w:top w:val="single" w:sz="4" w:space="0" w:color="auto"/>
              <w:bottom w:val="single" w:sz="4" w:space="0" w:color="auto"/>
            </w:tcBorders>
            <w:shd w:val="clear" w:color="auto" w:fill="auto"/>
          </w:tcPr>
          <w:p w14:paraId="41D1D357" w14:textId="67D66501" w:rsidR="00492C80" w:rsidRPr="005734B8" w:rsidRDefault="00492C80" w:rsidP="006C17D8">
            <w:pPr>
              <w:pStyle w:val="ESTablebody"/>
              <w:rPr>
                <w:rFonts w:ascii="Calibri" w:hAnsi="Calibri" w:cs="Calibri"/>
                <w:sz w:val="19"/>
                <w:szCs w:val="19"/>
              </w:rPr>
            </w:pPr>
            <w:r w:rsidRPr="005734B8">
              <w:rPr>
                <w:rFonts w:ascii="Calibri" w:hAnsi="Calibri" w:cs="Calibri"/>
                <w:sz w:val="19"/>
                <w:szCs w:val="19"/>
              </w:rPr>
              <w:t>FRD 112D</w:t>
            </w:r>
          </w:p>
        </w:tc>
        <w:tc>
          <w:tcPr>
            <w:tcW w:w="5730" w:type="dxa"/>
            <w:tcBorders>
              <w:top w:val="single" w:sz="4" w:space="0" w:color="auto"/>
              <w:bottom w:val="single" w:sz="4" w:space="0" w:color="auto"/>
            </w:tcBorders>
          </w:tcPr>
          <w:p w14:paraId="29A58FD7" w14:textId="03083A04" w:rsidR="00492C80" w:rsidRPr="005734B8" w:rsidRDefault="00492C80" w:rsidP="006C17D8">
            <w:pPr>
              <w:pStyle w:val="ESTablebody"/>
              <w:rPr>
                <w:rFonts w:ascii="Calibri" w:hAnsi="Calibri" w:cs="Calibri"/>
                <w:sz w:val="19"/>
                <w:szCs w:val="19"/>
                <w:lang w:val="en-AU"/>
              </w:rPr>
            </w:pPr>
            <w:r w:rsidRPr="005734B8">
              <w:rPr>
                <w:rFonts w:ascii="Calibri" w:hAnsi="Calibri" w:cs="Calibri"/>
                <w:sz w:val="19"/>
                <w:szCs w:val="19"/>
                <w:lang w:val="en-AU"/>
              </w:rPr>
              <w:t>Defined benefit superannuation obligations</w:t>
            </w:r>
          </w:p>
        </w:tc>
        <w:tc>
          <w:tcPr>
            <w:tcW w:w="838" w:type="dxa"/>
            <w:tcBorders>
              <w:top w:val="single" w:sz="4" w:space="0" w:color="auto"/>
              <w:bottom w:val="single" w:sz="4" w:space="0" w:color="auto"/>
            </w:tcBorders>
          </w:tcPr>
          <w:p w14:paraId="4F8BFFC6" w14:textId="53CE072D" w:rsidR="00492C80" w:rsidRPr="005734B8" w:rsidRDefault="006706C3" w:rsidP="00A73C53">
            <w:pPr>
              <w:pStyle w:val="ESTablebody"/>
              <w:jc w:val="right"/>
              <w:rPr>
                <w:rFonts w:ascii="Calibri" w:hAnsi="Calibri" w:cs="Calibri"/>
                <w:sz w:val="19"/>
                <w:szCs w:val="19"/>
                <w:highlight w:val="yellow"/>
                <w:lang w:val="en-AU"/>
              </w:rPr>
            </w:pPr>
            <w:r w:rsidRPr="005734B8">
              <w:rPr>
                <w:rFonts w:ascii="Calibri" w:hAnsi="Calibri" w:cs="Calibri"/>
                <w:sz w:val="19"/>
                <w:szCs w:val="19"/>
                <w:lang w:val="en-AU"/>
              </w:rPr>
              <w:t>14</w:t>
            </w:r>
            <w:r w:rsidR="0070582A">
              <w:rPr>
                <w:rFonts w:ascii="Calibri" w:hAnsi="Calibri" w:cs="Calibri"/>
                <w:sz w:val="19"/>
                <w:szCs w:val="19"/>
                <w:lang w:val="en-AU"/>
              </w:rPr>
              <w:t>4</w:t>
            </w:r>
          </w:p>
        </w:tc>
      </w:tr>
      <w:tr w:rsidR="00492C80" w:rsidRPr="005734B8" w14:paraId="2933BE4D" w14:textId="77777777" w:rsidTr="00492C80">
        <w:trPr>
          <w:cantSplit/>
          <w:trHeight w:val="415"/>
        </w:trPr>
        <w:tc>
          <w:tcPr>
            <w:tcW w:w="1271" w:type="dxa"/>
            <w:tcBorders>
              <w:top w:val="single" w:sz="4" w:space="0" w:color="auto"/>
              <w:bottom w:val="single" w:sz="4" w:space="0" w:color="auto"/>
            </w:tcBorders>
            <w:shd w:val="clear" w:color="auto" w:fill="auto"/>
          </w:tcPr>
          <w:p w14:paraId="10196354" w14:textId="7F7CA963" w:rsidR="00492C80" w:rsidRPr="005734B8" w:rsidRDefault="00492C80" w:rsidP="006C17D8">
            <w:pPr>
              <w:pStyle w:val="ESTablebody"/>
              <w:rPr>
                <w:rFonts w:ascii="Calibri" w:hAnsi="Calibri" w:cs="Calibri"/>
                <w:sz w:val="19"/>
                <w:szCs w:val="19"/>
              </w:rPr>
            </w:pPr>
            <w:r w:rsidRPr="005734B8">
              <w:rPr>
                <w:rFonts w:ascii="Calibri" w:hAnsi="Calibri" w:cs="Calibri"/>
                <w:sz w:val="19"/>
                <w:szCs w:val="19"/>
              </w:rPr>
              <w:t>FRD 114C</w:t>
            </w:r>
          </w:p>
        </w:tc>
        <w:tc>
          <w:tcPr>
            <w:tcW w:w="5730" w:type="dxa"/>
            <w:tcBorders>
              <w:top w:val="single" w:sz="4" w:space="0" w:color="auto"/>
              <w:bottom w:val="single" w:sz="4" w:space="0" w:color="auto"/>
            </w:tcBorders>
          </w:tcPr>
          <w:p w14:paraId="3904584B" w14:textId="68922074" w:rsidR="00492C80" w:rsidRPr="005734B8" w:rsidRDefault="00492C80" w:rsidP="006C17D8">
            <w:pPr>
              <w:pStyle w:val="ESTablebody"/>
              <w:rPr>
                <w:rFonts w:ascii="Calibri" w:hAnsi="Calibri" w:cs="Calibri"/>
                <w:sz w:val="19"/>
                <w:szCs w:val="19"/>
                <w:lang w:val="en-AU"/>
              </w:rPr>
            </w:pPr>
            <w:r w:rsidRPr="005734B8">
              <w:rPr>
                <w:rFonts w:ascii="Calibri" w:hAnsi="Calibri" w:cs="Calibri"/>
                <w:sz w:val="19"/>
                <w:szCs w:val="19"/>
                <w:lang w:val="en-AU"/>
              </w:rPr>
              <w:t>Financial instruments</w:t>
            </w:r>
            <w:r w:rsidR="00897E30" w:rsidRPr="005734B8">
              <w:rPr>
                <w:rFonts w:ascii="Calibri" w:hAnsi="Calibri" w:cs="Calibri"/>
                <w:sz w:val="19"/>
                <w:szCs w:val="19"/>
                <w:lang w:val="en-AU"/>
              </w:rPr>
              <w:t>—</w:t>
            </w:r>
            <w:r w:rsidRPr="005734B8">
              <w:rPr>
                <w:rFonts w:ascii="Calibri" w:hAnsi="Calibri" w:cs="Calibri"/>
                <w:sz w:val="19"/>
                <w:szCs w:val="19"/>
                <w:lang w:val="en-AU"/>
              </w:rPr>
              <w:t>general government entities and public non</w:t>
            </w:r>
            <w:r w:rsidR="00897E30" w:rsidRPr="005734B8">
              <w:rPr>
                <w:rFonts w:ascii="Calibri" w:hAnsi="Calibri" w:cs="Calibri"/>
                <w:sz w:val="19"/>
                <w:szCs w:val="19"/>
                <w:lang w:val="en-AU"/>
              </w:rPr>
              <w:noBreakHyphen/>
            </w:r>
            <w:r w:rsidRPr="005734B8">
              <w:rPr>
                <w:rFonts w:ascii="Calibri" w:hAnsi="Calibri" w:cs="Calibri"/>
                <w:sz w:val="19"/>
                <w:szCs w:val="19"/>
                <w:lang w:val="en-AU"/>
              </w:rPr>
              <w:t>financial corporations</w:t>
            </w:r>
          </w:p>
        </w:tc>
        <w:tc>
          <w:tcPr>
            <w:tcW w:w="838" w:type="dxa"/>
            <w:tcBorders>
              <w:top w:val="single" w:sz="4" w:space="0" w:color="auto"/>
              <w:bottom w:val="single" w:sz="4" w:space="0" w:color="auto"/>
            </w:tcBorders>
          </w:tcPr>
          <w:p w14:paraId="76BC19B9" w14:textId="6D0A3B76" w:rsidR="00492C80" w:rsidRPr="005734B8" w:rsidRDefault="001D6DBD" w:rsidP="00A73C53">
            <w:pPr>
              <w:pStyle w:val="ESTablebody"/>
              <w:jc w:val="right"/>
              <w:rPr>
                <w:rFonts w:ascii="Calibri" w:hAnsi="Calibri" w:cs="Calibri"/>
                <w:sz w:val="19"/>
                <w:szCs w:val="19"/>
                <w:highlight w:val="yellow"/>
                <w:lang w:val="en-AU"/>
              </w:rPr>
            </w:pPr>
            <w:r w:rsidRPr="005734B8">
              <w:rPr>
                <w:rFonts w:ascii="Calibri" w:hAnsi="Calibri" w:cs="Calibri"/>
                <w:sz w:val="19"/>
                <w:szCs w:val="19"/>
                <w:lang w:val="en-AU"/>
              </w:rPr>
              <w:t>18</w:t>
            </w:r>
            <w:r w:rsidR="00891CEF" w:rsidRPr="005734B8">
              <w:rPr>
                <w:rFonts w:ascii="Calibri" w:hAnsi="Calibri" w:cs="Calibri"/>
                <w:sz w:val="19"/>
                <w:szCs w:val="19"/>
                <w:lang w:val="en-AU"/>
              </w:rPr>
              <w:t>2</w:t>
            </w:r>
          </w:p>
        </w:tc>
      </w:tr>
      <w:tr w:rsidR="00492C80" w:rsidRPr="005734B8" w14:paraId="7CE4820B" w14:textId="77777777" w:rsidTr="00492C80">
        <w:trPr>
          <w:cantSplit/>
          <w:trHeight w:val="415"/>
        </w:trPr>
        <w:tc>
          <w:tcPr>
            <w:tcW w:w="7839" w:type="dxa"/>
            <w:gridSpan w:val="3"/>
            <w:tcBorders>
              <w:top w:val="single" w:sz="4" w:space="0" w:color="auto"/>
              <w:bottom w:val="single" w:sz="4" w:space="0" w:color="auto"/>
            </w:tcBorders>
            <w:shd w:val="clear" w:color="auto" w:fill="53565A" w:themeFill="accent5"/>
          </w:tcPr>
          <w:p w14:paraId="31D614B0" w14:textId="1D900F30" w:rsidR="00492C80" w:rsidRPr="005734B8" w:rsidRDefault="00492C80" w:rsidP="00492C80">
            <w:pPr>
              <w:pStyle w:val="ESTableheadingwhite"/>
              <w:rPr>
                <w:rFonts w:ascii="Calibri" w:hAnsi="Calibri" w:cs="Calibri"/>
                <w:szCs w:val="19"/>
                <w:highlight w:val="yellow"/>
              </w:rPr>
            </w:pPr>
            <w:r w:rsidRPr="005734B8">
              <w:rPr>
                <w:rFonts w:ascii="Calibri" w:hAnsi="Calibri" w:cs="Calibri"/>
                <w:szCs w:val="19"/>
              </w:rPr>
              <w:t>Legislation</w:t>
            </w:r>
          </w:p>
        </w:tc>
      </w:tr>
      <w:tr w:rsidR="00492C80" w:rsidRPr="005734B8" w14:paraId="31F06D16" w14:textId="77777777" w:rsidTr="00492C80">
        <w:trPr>
          <w:cantSplit/>
          <w:trHeight w:val="415"/>
        </w:trPr>
        <w:tc>
          <w:tcPr>
            <w:tcW w:w="1271" w:type="dxa"/>
            <w:tcBorders>
              <w:top w:val="single" w:sz="4" w:space="0" w:color="auto"/>
              <w:bottom w:val="single" w:sz="4" w:space="0" w:color="auto"/>
            </w:tcBorders>
            <w:shd w:val="clear" w:color="auto" w:fill="auto"/>
          </w:tcPr>
          <w:p w14:paraId="655DE597" w14:textId="77777777" w:rsidR="00492C80" w:rsidRPr="005734B8" w:rsidRDefault="00492C80" w:rsidP="006C17D8">
            <w:pPr>
              <w:pStyle w:val="ESTablebody"/>
              <w:rPr>
                <w:rFonts w:ascii="Calibri" w:hAnsi="Calibri" w:cs="Calibri"/>
                <w:sz w:val="19"/>
                <w:szCs w:val="19"/>
                <w:highlight w:val="yellow"/>
              </w:rPr>
            </w:pPr>
          </w:p>
        </w:tc>
        <w:tc>
          <w:tcPr>
            <w:tcW w:w="5730" w:type="dxa"/>
            <w:tcBorders>
              <w:top w:val="single" w:sz="4" w:space="0" w:color="auto"/>
              <w:bottom w:val="single" w:sz="4" w:space="0" w:color="auto"/>
            </w:tcBorders>
          </w:tcPr>
          <w:p w14:paraId="5E3DCCF6" w14:textId="63DE9140" w:rsidR="00492C80" w:rsidRPr="005734B8" w:rsidRDefault="00492C80" w:rsidP="006C17D8">
            <w:pPr>
              <w:pStyle w:val="ESTablebody"/>
              <w:rPr>
                <w:rFonts w:ascii="Calibri" w:hAnsi="Calibri" w:cs="Calibri"/>
                <w:i/>
                <w:sz w:val="19"/>
                <w:szCs w:val="19"/>
                <w:highlight w:val="yellow"/>
                <w:lang w:val="en-AU"/>
              </w:rPr>
            </w:pPr>
            <w:r w:rsidRPr="005734B8">
              <w:rPr>
                <w:rFonts w:ascii="Calibri" w:hAnsi="Calibri" w:cs="Calibri"/>
                <w:i/>
                <w:sz w:val="19"/>
                <w:szCs w:val="19"/>
                <w:lang w:val="en-AU"/>
              </w:rPr>
              <w:t>Freedom of Information Act 1982</w:t>
            </w:r>
          </w:p>
        </w:tc>
        <w:tc>
          <w:tcPr>
            <w:tcW w:w="838" w:type="dxa"/>
            <w:tcBorders>
              <w:top w:val="single" w:sz="4" w:space="0" w:color="auto"/>
              <w:bottom w:val="single" w:sz="4" w:space="0" w:color="auto"/>
            </w:tcBorders>
          </w:tcPr>
          <w:p w14:paraId="03ECE3EB" w14:textId="7C5A26F7" w:rsidR="00492C80" w:rsidRPr="005734B8" w:rsidRDefault="00C846EE" w:rsidP="00A73C53">
            <w:pPr>
              <w:pStyle w:val="ESTablebody"/>
              <w:jc w:val="right"/>
              <w:rPr>
                <w:rFonts w:ascii="Calibri" w:hAnsi="Calibri" w:cs="Calibri"/>
                <w:sz w:val="19"/>
                <w:szCs w:val="19"/>
                <w:highlight w:val="yellow"/>
                <w:lang w:val="en-AU"/>
              </w:rPr>
            </w:pPr>
            <w:r w:rsidRPr="005734B8">
              <w:rPr>
                <w:rFonts w:ascii="Calibri" w:hAnsi="Calibri" w:cs="Calibri"/>
                <w:sz w:val="19"/>
                <w:szCs w:val="19"/>
                <w:lang w:val="en-AU"/>
              </w:rPr>
              <w:t>9</w:t>
            </w:r>
            <w:r w:rsidR="0070582A">
              <w:rPr>
                <w:rFonts w:ascii="Calibri" w:hAnsi="Calibri" w:cs="Calibri"/>
                <w:sz w:val="19"/>
                <w:szCs w:val="19"/>
                <w:lang w:val="en-AU"/>
              </w:rPr>
              <w:t>4</w:t>
            </w:r>
          </w:p>
        </w:tc>
      </w:tr>
      <w:tr w:rsidR="00492C80" w:rsidRPr="005734B8" w14:paraId="7ED39113" w14:textId="77777777" w:rsidTr="00492C80">
        <w:trPr>
          <w:cantSplit/>
          <w:trHeight w:val="415"/>
        </w:trPr>
        <w:tc>
          <w:tcPr>
            <w:tcW w:w="1271" w:type="dxa"/>
            <w:tcBorders>
              <w:top w:val="single" w:sz="4" w:space="0" w:color="auto"/>
              <w:bottom w:val="single" w:sz="4" w:space="0" w:color="auto"/>
            </w:tcBorders>
            <w:shd w:val="clear" w:color="auto" w:fill="auto"/>
          </w:tcPr>
          <w:p w14:paraId="6F95C01A" w14:textId="77777777" w:rsidR="00492C80" w:rsidRPr="005734B8" w:rsidRDefault="00492C80" w:rsidP="006C17D8">
            <w:pPr>
              <w:pStyle w:val="ESTablebody"/>
              <w:rPr>
                <w:rFonts w:ascii="Calibri" w:hAnsi="Calibri" w:cs="Calibri"/>
                <w:sz w:val="19"/>
                <w:szCs w:val="19"/>
                <w:highlight w:val="yellow"/>
              </w:rPr>
            </w:pPr>
          </w:p>
        </w:tc>
        <w:tc>
          <w:tcPr>
            <w:tcW w:w="5730" w:type="dxa"/>
            <w:tcBorders>
              <w:top w:val="single" w:sz="4" w:space="0" w:color="auto"/>
              <w:bottom w:val="single" w:sz="4" w:space="0" w:color="auto"/>
            </w:tcBorders>
          </w:tcPr>
          <w:p w14:paraId="5EF7A0DA" w14:textId="0D4F56F0" w:rsidR="00492C80" w:rsidRPr="005734B8" w:rsidRDefault="00492C80" w:rsidP="006C17D8">
            <w:pPr>
              <w:pStyle w:val="ESTablebody"/>
              <w:rPr>
                <w:rFonts w:ascii="Calibri" w:hAnsi="Calibri" w:cs="Calibri"/>
                <w:i/>
                <w:sz w:val="19"/>
                <w:szCs w:val="19"/>
                <w:lang w:val="en-AU"/>
              </w:rPr>
            </w:pPr>
            <w:r w:rsidRPr="005734B8">
              <w:rPr>
                <w:rFonts w:ascii="Calibri" w:hAnsi="Calibri" w:cs="Calibri"/>
                <w:i/>
                <w:sz w:val="19"/>
                <w:szCs w:val="19"/>
                <w:lang w:val="en-AU"/>
              </w:rPr>
              <w:t>Building Act 1993</w:t>
            </w:r>
          </w:p>
        </w:tc>
        <w:tc>
          <w:tcPr>
            <w:tcW w:w="838" w:type="dxa"/>
            <w:tcBorders>
              <w:top w:val="single" w:sz="4" w:space="0" w:color="auto"/>
              <w:bottom w:val="single" w:sz="4" w:space="0" w:color="auto"/>
            </w:tcBorders>
          </w:tcPr>
          <w:p w14:paraId="5CE2AB54" w14:textId="7427C99E" w:rsidR="00492C80" w:rsidRPr="005734B8" w:rsidRDefault="00C76A78" w:rsidP="00A73C53">
            <w:pPr>
              <w:pStyle w:val="ESTablebody"/>
              <w:jc w:val="right"/>
              <w:rPr>
                <w:rFonts w:ascii="Calibri" w:hAnsi="Calibri" w:cs="Calibri"/>
                <w:sz w:val="19"/>
                <w:szCs w:val="19"/>
                <w:lang w:val="en-AU"/>
              </w:rPr>
            </w:pPr>
            <w:r w:rsidRPr="005734B8">
              <w:rPr>
                <w:rFonts w:ascii="Calibri" w:hAnsi="Calibri" w:cs="Calibri"/>
                <w:sz w:val="19"/>
                <w:szCs w:val="19"/>
                <w:lang w:val="en-AU"/>
              </w:rPr>
              <w:t>9</w:t>
            </w:r>
            <w:r w:rsidR="0070582A">
              <w:rPr>
                <w:rFonts w:ascii="Calibri" w:hAnsi="Calibri" w:cs="Calibri"/>
                <w:sz w:val="19"/>
                <w:szCs w:val="19"/>
                <w:lang w:val="en-AU"/>
              </w:rPr>
              <w:t>6</w:t>
            </w:r>
          </w:p>
        </w:tc>
      </w:tr>
      <w:tr w:rsidR="00492C80" w:rsidRPr="005734B8" w14:paraId="7153B85E" w14:textId="77777777" w:rsidTr="00492C80">
        <w:trPr>
          <w:cantSplit/>
          <w:trHeight w:val="415"/>
        </w:trPr>
        <w:tc>
          <w:tcPr>
            <w:tcW w:w="1271" w:type="dxa"/>
            <w:tcBorders>
              <w:top w:val="single" w:sz="4" w:space="0" w:color="auto"/>
              <w:bottom w:val="single" w:sz="4" w:space="0" w:color="auto"/>
            </w:tcBorders>
            <w:shd w:val="clear" w:color="auto" w:fill="auto"/>
          </w:tcPr>
          <w:p w14:paraId="157184C2" w14:textId="77777777" w:rsidR="00492C80" w:rsidRPr="005734B8" w:rsidRDefault="00492C80" w:rsidP="006C17D8">
            <w:pPr>
              <w:pStyle w:val="ESTablebody"/>
              <w:rPr>
                <w:rFonts w:ascii="Calibri" w:hAnsi="Calibri" w:cs="Calibri"/>
                <w:sz w:val="19"/>
                <w:szCs w:val="19"/>
                <w:highlight w:val="yellow"/>
              </w:rPr>
            </w:pPr>
          </w:p>
        </w:tc>
        <w:tc>
          <w:tcPr>
            <w:tcW w:w="5730" w:type="dxa"/>
            <w:tcBorders>
              <w:top w:val="single" w:sz="4" w:space="0" w:color="auto"/>
              <w:bottom w:val="single" w:sz="4" w:space="0" w:color="auto"/>
            </w:tcBorders>
          </w:tcPr>
          <w:p w14:paraId="3EFECDE2" w14:textId="0D9432AD" w:rsidR="00492C80" w:rsidRPr="005734B8" w:rsidRDefault="0094052C" w:rsidP="006C17D8">
            <w:pPr>
              <w:pStyle w:val="ESTablebody"/>
              <w:rPr>
                <w:rFonts w:ascii="Calibri" w:hAnsi="Calibri" w:cs="Calibri"/>
                <w:i/>
                <w:sz w:val="19"/>
                <w:szCs w:val="19"/>
                <w:lang w:val="en-AU"/>
              </w:rPr>
            </w:pPr>
            <w:r w:rsidRPr="0094052C">
              <w:rPr>
                <w:rFonts w:ascii="Calibri" w:hAnsi="Calibri" w:cs="Calibri"/>
                <w:i/>
                <w:sz w:val="19"/>
                <w:szCs w:val="19"/>
                <w:lang w:val="en-AU"/>
              </w:rPr>
              <w:t xml:space="preserve">Public Interest Disclosures Act </w:t>
            </w:r>
            <w:r w:rsidR="00492C80" w:rsidRPr="005734B8">
              <w:rPr>
                <w:rFonts w:ascii="Calibri" w:hAnsi="Calibri" w:cs="Calibri"/>
                <w:i/>
                <w:sz w:val="19"/>
                <w:szCs w:val="19"/>
                <w:lang w:val="en-AU"/>
              </w:rPr>
              <w:t>20</w:t>
            </w:r>
            <w:r>
              <w:rPr>
                <w:rFonts w:ascii="Calibri" w:hAnsi="Calibri" w:cs="Calibri"/>
                <w:i/>
                <w:sz w:val="19"/>
                <w:szCs w:val="19"/>
                <w:lang w:val="en-AU"/>
              </w:rPr>
              <w:t>12</w:t>
            </w:r>
          </w:p>
        </w:tc>
        <w:tc>
          <w:tcPr>
            <w:tcW w:w="838" w:type="dxa"/>
            <w:tcBorders>
              <w:top w:val="single" w:sz="4" w:space="0" w:color="auto"/>
              <w:bottom w:val="single" w:sz="4" w:space="0" w:color="auto"/>
            </w:tcBorders>
          </w:tcPr>
          <w:p w14:paraId="502D34E9" w14:textId="3D191A50" w:rsidR="00492C80" w:rsidRPr="005734B8" w:rsidRDefault="00B11988" w:rsidP="00A73C53">
            <w:pPr>
              <w:pStyle w:val="ESTablebody"/>
              <w:jc w:val="right"/>
              <w:rPr>
                <w:rFonts w:ascii="Calibri" w:hAnsi="Calibri" w:cs="Calibri"/>
                <w:sz w:val="19"/>
                <w:szCs w:val="19"/>
                <w:lang w:val="en-AU"/>
              </w:rPr>
            </w:pPr>
            <w:r w:rsidRPr="005734B8">
              <w:rPr>
                <w:rFonts w:ascii="Calibri" w:hAnsi="Calibri" w:cs="Calibri"/>
                <w:sz w:val="19"/>
                <w:szCs w:val="19"/>
                <w:lang w:val="en-AU"/>
              </w:rPr>
              <w:t>10</w:t>
            </w:r>
            <w:r w:rsidR="0094052C">
              <w:rPr>
                <w:rFonts w:ascii="Calibri" w:hAnsi="Calibri" w:cs="Calibri"/>
                <w:sz w:val="19"/>
                <w:szCs w:val="19"/>
                <w:lang w:val="en-AU"/>
              </w:rPr>
              <w:t>4</w:t>
            </w:r>
          </w:p>
        </w:tc>
      </w:tr>
      <w:tr w:rsidR="00492C80" w:rsidRPr="005734B8" w14:paraId="15A9EDF2" w14:textId="77777777" w:rsidTr="00492C80">
        <w:trPr>
          <w:cantSplit/>
          <w:trHeight w:val="415"/>
        </w:trPr>
        <w:tc>
          <w:tcPr>
            <w:tcW w:w="1271" w:type="dxa"/>
            <w:tcBorders>
              <w:top w:val="single" w:sz="4" w:space="0" w:color="auto"/>
              <w:bottom w:val="single" w:sz="4" w:space="0" w:color="auto"/>
            </w:tcBorders>
            <w:shd w:val="clear" w:color="auto" w:fill="auto"/>
          </w:tcPr>
          <w:p w14:paraId="33D4D34D" w14:textId="77777777" w:rsidR="00492C80" w:rsidRPr="005734B8" w:rsidRDefault="00492C80" w:rsidP="006C17D8">
            <w:pPr>
              <w:pStyle w:val="ESTablebody"/>
              <w:rPr>
                <w:rFonts w:ascii="Calibri" w:hAnsi="Calibri" w:cs="Calibri"/>
                <w:sz w:val="19"/>
                <w:szCs w:val="19"/>
                <w:highlight w:val="yellow"/>
              </w:rPr>
            </w:pPr>
          </w:p>
        </w:tc>
        <w:tc>
          <w:tcPr>
            <w:tcW w:w="5730" w:type="dxa"/>
            <w:tcBorders>
              <w:top w:val="single" w:sz="4" w:space="0" w:color="auto"/>
              <w:bottom w:val="single" w:sz="4" w:space="0" w:color="auto"/>
            </w:tcBorders>
          </w:tcPr>
          <w:p w14:paraId="06BB1335" w14:textId="642B4828" w:rsidR="00492C80" w:rsidRPr="005734B8" w:rsidRDefault="00492C80" w:rsidP="006C17D8">
            <w:pPr>
              <w:pStyle w:val="ESTablebody"/>
              <w:rPr>
                <w:rFonts w:ascii="Calibri" w:hAnsi="Calibri" w:cs="Calibri"/>
                <w:i/>
                <w:sz w:val="19"/>
                <w:szCs w:val="19"/>
                <w:lang w:val="en-AU"/>
              </w:rPr>
            </w:pPr>
            <w:r w:rsidRPr="005734B8">
              <w:rPr>
                <w:rFonts w:ascii="Calibri" w:hAnsi="Calibri" w:cs="Calibri"/>
                <w:i/>
                <w:sz w:val="19"/>
                <w:szCs w:val="19"/>
                <w:lang w:val="en-AU"/>
              </w:rPr>
              <w:t>Carers Recognition Act 2012</w:t>
            </w:r>
          </w:p>
        </w:tc>
        <w:tc>
          <w:tcPr>
            <w:tcW w:w="838" w:type="dxa"/>
            <w:tcBorders>
              <w:top w:val="single" w:sz="4" w:space="0" w:color="auto"/>
              <w:bottom w:val="single" w:sz="4" w:space="0" w:color="auto"/>
            </w:tcBorders>
          </w:tcPr>
          <w:p w14:paraId="51DC90C0" w14:textId="4BADB07B" w:rsidR="00492C80" w:rsidRPr="005734B8" w:rsidRDefault="00BD65CD" w:rsidP="00A73C53">
            <w:pPr>
              <w:pStyle w:val="ESTablebody"/>
              <w:jc w:val="right"/>
              <w:rPr>
                <w:rFonts w:ascii="Calibri" w:hAnsi="Calibri" w:cs="Calibri"/>
                <w:sz w:val="19"/>
                <w:szCs w:val="19"/>
                <w:lang w:val="en-AU"/>
              </w:rPr>
            </w:pPr>
            <w:r w:rsidRPr="005734B8">
              <w:rPr>
                <w:rFonts w:ascii="Calibri" w:hAnsi="Calibri" w:cs="Calibri"/>
                <w:sz w:val="19"/>
                <w:szCs w:val="19"/>
                <w:lang w:val="en-AU"/>
              </w:rPr>
              <w:t>1</w:t>
            </w:r>
            <w:r w:rsidR="0070582A">
              <w:rPr>
                <w:rFonts w:ascii="Calibri" w:hAnsi="Calibri" w:cs="Calibri"/>
                <w:sz w:val="19"/>
                <w:szCs w:val="19"/>
                <w:lang w:val="en-AU"/>
              </w:rPr>
              <w:t>07</w:t>
            </w:r>
          </w:p>
        </w:tc>
      </w:tr>
      <w:tr w:rsidR="00492C80" w:rsidRPr="005734B8" w14:paraId="040427DC" w14:textId="77777777" w:rsidTr="00492C80">
        <w:trPr>
          <w:cantSplit/>
          <w:trHeight w:val="415"/>
        </w:trPr>
        <w:tc>
          <w:tcPr>
            <w:tcW w:w="1271" w:type="dxa"/>
            <w:tcBorders>
              <w:top w:val="single" w:sz="4" w:space="0" w:color="auto"/>
              <w:bottom w:val="single" w:sz="4" w:space="0" w:color="auto"/>
            </w:tcBorders>
            <w:shd w:val="clear" w:color="auto" w:fill="auto"/>
          </w:tcPr>
          <w:p w14:paraId="331A0860" w14:textId="77777777" w:rsidR="00492C80" w:rsidRPr="005734B8" w:rsidRDefault="00492C80" w:rsidP="006C17D8">
            <w:pPr>
              <w:pStyle w:val="ESTablebody"/>
              <w:rPr>
                <w:rFonts w:ascii="Calibri" w:hAnsi="Calibri" w:cs="Calibri"/>
                <w:sz w:val="19"/>
                <w:szCs w:val="19"/>
                <w:highlight w:val="yellow"/>
              </w:rPr>
            </w:pPr>
          </w:p>
        </w:tc>
        <w:tc>
          <w:tcPr>
            <w:tcW w:w="5730" w:type="dxa"/>
            <w:tcBorders>
              <w:top w:val="single" w:sz="4" w:space="0" w:color="auto"/>
              <w:bottom w:val="single" w:sz="4" w:space="0" w:color="auto"/>
            </w:tcBorders>
          </w:tcPr>
          <w:p w14:paraId="08C00BD7" w14:textId="49757B21" w:rsidR="00492C80" w:rsidRPr="005734B8" w:rsidRDefault="00492C80" w:rsidP="006C17D8">
            <w:pPr>
              <w:pStyle w:val="ESTablebody"/>
              <w:rPr>
                <w:rFonts w:ascii="Calibri" w:hAnsi="Calibri" w:cs="Calibri"/>
                <w:i/>
                <w:sz w:val="19"/>
                <w:szCs w:val="19"/>
                <w:lang w:val="en-AU"/>
              </w:rPr>
            </w:pPr>
            <w:r w:rsidRPr="005734B8">
              <w:rPr>
                <w:rFonts w:ascii="Calibri" w:hAnsi="Calibri" w:cs="Calibri"/>
                <w:i/>
                <w:sz w:val="19"/>
                <w:szCs w:val="19"/>
                <w:lang w:val="en-AU"/>
              </w:rPr>
              <w:t>Disability Act 2006</w:t>
            </w:r>
          </w:p>
        </w:tc>
        <w:tc>
          <w:tcPr>
            <w:tcW w:w="838" w:type="dxa"/>
            <w:tcBorders>
              <w:top w:val="single" w:sz="4" w:space="0" w:color="auto"/>
              <w:bottom w:val="single" w:sz="4" w:space="0" w:color="auto"/>
            </w:tcBorders>
          </w:tcPr>
          <w:p w14:paraId="4A92FD17" w14:textId="11F5CD6A" w:rsidR="00492C80" w:rsidRPr="005734B8" w:rsidRDefault="00E2011C" w:rsidP="00A73C53">
            <w:pPr>
              <w:pStyle w:val="ESTablebody"/>
              <w:jc w:val="right"/>
              <w:rPr>
                <w:rFonts w:ascii="Calibri" w:hAnsi="Calibri" w:cs="Calibri"/>
                <w:sz w:val="19"/>
                <w:szCs w:val="19"/>
                <w:lang w:val="en-AU"/>
              </w:rPr>
            </w:pPr>
            <w:r w:rsidRPr="005734B8">
              <w:rPr>
                <w:rFonts w:ascii="Calibri" w:hAnsi="Calibri" w:cs="Calibri"/>
                <w:sz w:val="19"/>
                <w:szCs w:val="19"/>
                <w:lang w:val="en-AU"/>
              </w:rPr>
              <w:t>10</w:t>
            </w:r>
            <w:r w:rsidR="0070582A">
              <w:rPr>
                <w:rFonts w:ascii="Calibri" w:hAnsi="Calibri" w:cs="Calibri"/>
                <w:sz w:val="19"/>
                <w:szCs w:val="19"/>
                <w:lang w:val="en-AU"/>
              </w:rPr>
              <w:t>6</w:t>
            </w:r>
          </w:p>
        </w:tc>
      </w:tr>
      <w:tr w:rsidR="00492C80" w:rsidRPr="005734B8" w14:paraId="6C951AD6" w14:textId="77777777" w:rsidTr="00492C80">
        <w:trPr>
          <w:cantSplit/>
          <w:trHeight w:val="415"/>
        </w:trPr>
        <w:tc>
          <w:tcPr>
            <w:tcW w:w="1271" w:type="dxa"/>
            <w:tcBorders>
              <w:top w:val="single" w:sz="4" w:space="0" w:color="auto"/>
              <w:bottom w:val="single" w:sz="4" w:space="0" w:color="auto"/>
            </w:tcBorders>
            <w:shd w:val="clear" w:color="auto" w:fill="auto"/>
          </w:tcPr>
          <w:p w14:paraId="2E79E7DB" w14:textId="77777777" w:rsidR="00492C80" w:rsidRPr="005734B8" w:rsidRDefault="00492C80" w:rsidP="006C17D8">
            <w:pPr>
              <w:pStyle w:val="ESTablebody"/>
              <w:rPr>
                <w:rFonts w:ascii="Calibri" w:hAnsi="Calibri" w:cs="Calibri"/>
                <w:sz w:val="19"/>
                <w:szCs w:val="19"/>
                <w:highlight w:val="yellow"/>
              </w:rPr>
            </w:pPr>
          </w:p>
        </w:tc>
        <w:tc>
          <w:tcPr>
            <w:tcW w:w="5730" w:type="dxa"/>
            <w:tcBorders>
              <w:top w:val="single" w:sz="4" w:space="0" w:color="auto"/>
              <w:bottom w:val="single" w:sz="4" w:space="0" w:color="auto"/>
            </w:tcBorders>
          </w:tcPr>
          <w:p w14:paraId="15C09A99" w14:textId="3EB2C2A4" w:rsidR="00492C80" w:rsidRPr="005734B8" w:rsidRDefault="00492C80" w:rsidP="006C17D8">
            <w:pPr>
              <w:pStyle w:val="ESTablebody"/>
              <w:rPr>
                <w:rFonts w:ascii="Calibri" w:hAnsi="Calibri" w:cs="Calibri"/>
                <w:i/>
                <w:sz w:val="19"/>
                <w:szCs w:val="19"/>
                <w:lang w:val="en-AU"/>
              </w:rPr>
            </w:pPr>
            <w:r w:rsidRPr="005734B8">
              <w:rPr>
                <w:rFonts w:ascii="Calibri" w:hAnsi="Calibri" w:cs="Calibri"/>
                <w:i/>
                <w:sz w:val="19"/>
                <w:szCs w:val="19"/>
                <w:lang w:val="en-AU"/>
              </w:rPr>
              <w:t>Local Jobs Act 2003</w:t>
            </w:r>
          </w:p>
        </w:tc>
        <w:tc>
          <w:tcPr>
            <w:tcW w:w="838" w:type="dxa"/>
            <w:tcBorders>
              <w:top w:val="single" w:sz="4" w:space="0" w:color="auto"/>
              <w:bottom w:val="single" w:sz="4" w:space="0" w:color="auto"/>
            </w:tcBorders>
          </w:tcPr>
          <w:p w14:paraId="18F7917D" w14:textId="42F2EDCE" w:rsidR="00492C80" w:rsidRPr="005734B8" w:rsidRDefault="0070582A" w:rsidP="00A73C53">
            <w:pPr>
              <w:pStyle w:val="ESTablebody"/>
              <w:jc w:val="right"/>
              <w:rPr>
                <w:rFonts w:ascii="Calibri" w:hAnsi="Calibri" w:cs="Calibri"/>
                <w:sz w:val="19"/>
                <w:szCs w:val="19"/>
                <w:lang w:val="en-AU"/>
              </w:rPr>
            </w:pPr>
            <w:r>
              <w:rPr>
                <w:rFonts w:ascii="Calibri" w:hAnsi="Calibri" w:cs="Calibri"/>
                <w:sz w:val="19"/>
                <w:szCs w:val="19"/>
                <w:lang w:val="en-AU"/>
              </w:rPr>
              <w:t>88</w:t>
            </w:r>
          </w:p>
        </w:tc>
      </w:tr>
      <w:tr w:rsidR="00492C80" w:rsidRPr="005734B8" w14:paraId="37E6274A" w14:textId="77777777" w:rsidTr="00337C16">
        <w:trPr>
          <w:cantSplit/>
          <w:trHeight w:val="415"/>
        </w:trPr>
        <w:tc>
          <w:tcPr>
            <w:tcW w:w="1271" w:type="dxa"/>
            <w:tcBorders>
              <w:top w:val="single" w:sz="4" w:space="0" w:color="auto"/>
              <w:bottom w:val="single" w:sz="4" w:space="0" w:color="53565A" w:themeColor="accent5"/>
            </w:tcBorders>
            <w:shd w:val="clear" w:color="auto" w:fill="auto"/>
          </w:tcPr>
          <w:p w14:paraId="6447ED23" w14:textId="77777777" w:rsidR="00492C80" w:rsidRPr="005734B8" w:rsidRDefault="00492C80" w:rsidP="006C17D8">
            <w:pPr>
              <w:pStyle w:val="ESTablebody"/>
              <w:rPr>
                <w:rFonts w:ascii="Calibri" w:hAnsi="Calibri" w:cs="Calibri"/>
                <w:sz w:val="19"/>
                <w:szCs w:val="19"/>
                <w:highlight w:val="yellow"/>
              </w:rPr>
            </w:pPr>
          </w:p>
        </w:tc>
        <w:tc>
          <w:tcPr>
            <w:tcW w:w="5730" w:type="dxa"/>
            <w:tcBorders>
              <w:top w:val="single" w:sz="4" w:space="0" w:color="auto"/>
              <w:bottom w:val="single" w:sz="4" w:space="0" w:color="53565A" w:themeColor="accent5"/>
            </w:tcBorders>
          </w:tcPr>
          <w:p w14:paraId="366132FA" w14:textId="16D0B3E2" w:rsidR="00492C80" w:rsidRPr="005734B8" w:rsidRDefault="00492C80" w:rsidP="006C17D8">
            <w:pPr>
              <w:pStyle w:val="ESTablebody"/>
              <w:rPr>
                <w:rFonts w:ascii="Calibri" w:hAnsi="Calibri" w:cs="Calibri"/>
                <w:i/>
                <w:sz w:val="19"/>
                <w:szCs w:val="19"/>
                <w:lang w:val="en-AU"/>
              </w:rPr>
            </w:pPr>
            <w:r w:rsidRPr="005734B8">
              <w:rPr>
                <w:rFonts w:ascii="Calibri" w:hAnsi="Calibri" w:cs="Calibri"/>
                <w:i/>
                <w:sz w:val="19"/>
                <w:szCs w:val="19"/>
                <w:lang w:val="en-AU"/>
              </w:rPr>
              <w:t>Financial Management Act 1994</w:t>
            </w:r>
          </w:p>
        </w:tc>
        <w:tc>
          <w:tcPr>
            <w:tcW w:w="838" w:type="dxa"/>
            <w:tcBorders>
              <w:top w:val="single" w:sz="4" w:space="0" w:color="auto"/>
              <w:bottom w:val="single" w:sz="4" w:space="0" w:color="53565A" w:themeColor="accent5"/>
            </w:tcBorders>
          </w:tcPr>
          <w:p w14:paraId="49ED83CD" w14:textId="729D06E6" w:rsidR="00492C80" w:rsidRPr="005734B8" w:rsidRDefault="009751AB" w:rsidP="00A73C53">
            <w:pPr>
              <w:pStyle w:val="ESTablebody"/>
              <w:jc w:val="right"/>
              <w:rPr>
                <w:rFonts w:ascii="Calibri" w:hAnsi="Calibri" w:cs="Calibri"/>
                <w:sz w:val="19"/>
                <w:szCs w:val="19"/>
                <w:lang w:val="en-AU"/>
              </w:rPr>
            </w:pPr>
            <w:r w:rsidRPr="005734B8">
              <w:rPr>
                <w:rFonts w:ascii="Calibri" w:hAnsi="Calibri" w:cs="Calibri"/>
                <w:sz w:val="19"/>
                <w:szCs w:val="19"/>
                <w:lang w:val="en-AU"/>
              </w:rPr>
              <w:t>i</w:t>
            </w:r>
          </w:p>
        </w:tc>
      </w:tr>
    </w:tbl>
    <w:p w14:paraId="36025696" w14:textId="77777777" w:rsidR="000657F0" w:rsidRPr="005734B8" w:rsidRDefault="000657F0" w:rsidP="00717490">
      <w:pPr>
        <w:rPr>
          <w:rFonts w:ascii="Calibri" w:hAnsi="Calibri" w:cs="Calibri"/>
          <w:highlight w:val="yellow"/>
        </w:rPr>
      </w:pPr>
    </w:p>
    <w:p w14:paraId="191D7433" w14:textId="47ADC353" w:rsidR="003A3128" w:rsidRPr="005734B8" w:rsidRDefault="003A3128" w:rsidP="003A3128">
      <w:pPr>
        <w:rPr>
          <w:rFonts w:ascii="Calibri" w:hAnsi="Calibri" w:cs="Calibri"/>
          <w:highlight w:val="yellow"/>
        </w:rPr>
      </w:pPr>
    </w:p>
    <w:p w14:paraId="2339391A" w14:textId="64DE321B" w:rsidR="000D325F" w:rsidRPr="005734B8" w:rsidRDefault="000D325F">
      <w:pPr>
        <w:rPr>
          <w:rFonts w:ascii="Calibri" w:hAnsi="Calibri" w:cs="Calibri"/>
          <w:highlight w:val="yellow"/>
        </w:rPr>
        <w:sectPr w:rsidR="000D325F" w:rsidRPr="005734B8" w:rsidSect="003B3A5C">
          <w:pgSz w:w="11900" w:h="16840"/>
          <w:pgMar w:top="1440" w:right="1134" w:bottom="1440" w:left="2835" w:header="708" w:footer="708" w:gutter="0"/>
          <w:cols w:space="708"/>
          <w:docGrid w:linePitch="360"/>
        </w:sectPr>
      </w:pPr>
    </w:p>
    <w:p w14:paraId="352D9487" w14:textId="7BC270DE" w:rsidR="00ED74EC" w:rsidRPr="00FE5E0C" w:rsidRDefault="00ED74EC" w:rsidP="00FE5E0C">
      <w:pPr>
        <w:pStyle w:val="ESAppendix1"/>
        <w:ind w:left="0" w:firstLine="0"/>
      </w:pPr>
      <w:bookmarkStart w:id="2026" w:name="_Toc11158322"/>
      <w:bookmarkStart w:id="2027" w:name="_Toc11336508"/>
      <w:bookmarkStart w:id="2028" w:name="_Toc14965734"/>
      <w:bookmarkStart w:id="2029" w:name="_Toc15985098"/>
      <w:bookmarkStart w:id="2030" w:name="_Toc15985179"/>
      <w:bookmarkStart w:id="2031" w:name="_Toc19272307"/>
      <w:bookmarkStart w:id="2032" w:name="_Toc19272673"/>
      <w:bookmarkStart w:id="2033" w:name="_Toc19274008"/>
      <w:bookmarkStart w:id="2034" w:name="_Toc48402864"/>
      <w:bookmarkStart w:id="2035" w:name="_Toc48403101"/>
      <w:bookmarkStart w:id="2036" w:name="_Toc51332844"/>
      <w:bookmarkStart w:id="2037" w:name="_Toc80272107"/>
      <w:bookmarkStart w:id="2038" w:name="_Toc80361028"/>
      <w:bookmarkStart w:id="2039" w:name="_Toc81315410"/>
      <w:r w:rsidRPr="00FE5E0C">
        <w:lastRenderedPageBreak/>
        <w:t>Budget portfolio outcomes</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p>
    <w:p w14:paraId="232922EF" w14:textId="08AEC9AE" w:rsidR="00F1631B" w:rsidRPr="005734B8" w:rsidRDefault="00F1631B" w:rsidP="00F1631B">
      <w:pPr>
        <w:rPr>
          <w:rFonts w:ascii="Calibri" w:eastAsia="Times New Roman" w:hAnsi="Calibri" w:cs="Calibri"/>
          <w:szCs w:val="22"/>
          <w:lang w:eastAsia="en-AU"/>
        </w:rPr>
      </w:pPr>
      <w:bookmarkStart w:id="2040" w:name="_Toc8899526"/>
      <w:bookmarkStart w:id="2041" w:name="_Toc10724196"/>
      <w:bookmarkStart w:id="2042" w:name="_Toc10724320"/>
      <w:bookmarkStart w:id="2043" w:name="_Toc11158323"/>
      <w:bookmarkStart w:id="2044" w:name="_Toc11336509"/>
      <w:bookmarkStart w:id="2045" w:name="_Toc11336609"/>
      <w:r w:rsidRPr="005734B8">
        <w:rPr>
          <w:rFonts w:ascii="Calibri" w:eastAsia="Times New Roman" w:hAnsi="Calibri" w:cs="Calibri"/>
          <w:szCs w:val="22"/>
          <w:lang w:eastAsia="en-AU"/>
        </w:rPr>
        <w:t xml:space="preserve">The budget portfolio outcomes provide a comparison between the actual financial statements of all general government sector entities </w:t>
      </w:r>
      <w:r w:rsidR="00897E30" w:rsidRPr="005734B8">
        <w:rPr>
          <w:rFonts w:ascii="Calibri" w:eastAsia="Times New Roman" w:hAnsi="Calibri" w:cs="Calibri"/>
          <w:szCs w:val="22"/>
          <w:lang w:eastAsia="en-AU"/>
        </w:rPr>
        <w:t>in</w:t>
      </w:r>
      <w:r w:rsidRPr="005734B8">
        <w:rPr>
          <w:rFonts w:ascii="Calibri" w:eastAsia="Times New Roman" w:hAnsi="Calibri" w:cs="Calibri"/>
          <w:szCs w:val="22"/>
          <w:lang w:eastAsia="en-AU"/>
        </w:rPr>
        <w:t xml:space="preserve"> the portfolio and the </w:t>
      </w:r>
      <w:r w:rsidR="00C01687" w:rsidRPr="005734B8">
        <w:rPr>
          <w:rFonts w:ascii="Calibri" w:eastAsia="Times New Roman" w:hAnsi="Calibri" w:cs="Calibri"/>
          <w:szCs w:val="22"/>
          <w:lang w:eastAsia="en-AU"/>
        </w:rPr>
        <w:t>forecast financial information published in the 20</w:t>
      </w:r>
      <w:r w:rsidR="009E15A8" w:rsidRPr="005734B8">
        <w:rPr>
          <w:rFonts w:ascii="Calibri" w:eastAsia="Times New Roman" w:hAnsi="Calibri" w:cs="Calibri"/>
          <w:szCs w:val="22"/>
          <w:lang w:eastAsia="en-AU"/>
        </w:rPr>
        <w:t>20</w:t>
      </w:r>
      <w:r w:rsidR="000F2A26" w:rsidRPr="005734B8">
        <w:rPr>
          <w:rFonts w:ascii="Calibri" w:eastAsia="Times New Roman" w:hAnsi="Calibri" w:cs="Calibri"/>
          <w:szCs w:val="22"/>
          <w:lang w:eastAsia="en-AU"/>
        </w:rPr>
        <w:t>–</w:t>
      </w:r>
      <w:r w:rsidR="00C01687" w:rsidRPr="005734B8">
        <w:rPr>
          <w:rFonts w:ascii="Calibri" w:eastAsia="Times New Roman" w:hAnsi="Calibri" w:cs="Calibri"/>
          <w:szCs w:val="22"/>
          <w:lang w:eastAsia="en-AU"/>
        </w:rPr>
        <w:t>2</w:t>
      </w:r>
      <w:r w:rsidR="009E15A8" w:rsidRPr="005734B8">
        <w:rPr>
          <w:rFonts w:ascii="Calibri" w:eastAsia="Times New Roman" w:hAnsi="Calibri" w:cs="Calibri"/>
          <w:szCs w:val="22"/>
          <w:lang w:eastAsia="en-AU"/>
        </w:rPr>
        <w:t>1</w:t>
      </w:r>
      <w:r w:rsidR="00C01687" w:rsidRPr="005734B8">
        <w:rPr>
          <w:rFonts w:ascii="Calibri" w:eastAsia="Times New Roman" w:hAnsi="Calibri" w:cs="Calibri"/>
          <w:szCs w:val="22"/>
          <w:lang w:eastAsia="en-AU"/>
        </w:rPr>
        <w:t xml:space="preserve"> </w:t>
      </w:r>
      <w:r w:rsidR="00365B79" w:rsidRPr="005734B8">
        <w:rPr>
          <w:rFonts w:ascii="Calibri" w:eastAsia="Times New Roman" w:hAnsi="Calibri" w:cs="Calibri"/>
          <w:szCs w:val="22"/>
          <w:lang w:eastAsia="en-AU"/>
        </w:rPr>
        <w:t>Budget Paper No. 5 Statement of Finances (BP5). The budget portfolio outcomes comprise the</w:t>
      </w:r>
      <w:r w:rsidR="00EE12F0" w:rsidRPr="005734B8">
        <w:rPr>
          <w:rFonts w:ascii="Calibri" w:eastAsia="Times New Roman" w:hAnsi="Calibri" w:cs="Calibri"/>
          <w:szCs w:val="22"/>
          <w:lang w:eastAsia="en-AU"/>
        </w:rPr>
        <w:t xml:space="preserve"> </w:t>
      </w:r>
      <w:r w:rsidRPr="005734B8">
        <w:rPr>
          <w:rFonts w:ascii="Calibri" w:eastAsia="Times New Roman" w:hAnsi="Calibri" w:cs="Calibri"/>
          <w:szCs w:val="22"/>
          <w:lang w:eastAsia="en-AU"/>
        </w:rPr>
        <w:t>operating statements, balance sheets, cash flow statements, statements of equity</w:t>
      </w:r>
      <w:r w:rsidR="00897E30" w:rsidRPr="005734B8">
        <w:rPr>
          <w:rFonts w:ascii="Calibri" w:eastAsia="Times New Roman" w:hAnsi="Calibri" w:cs="Calibri"/>
          <w:szCs w:val="22"/>
          <w:lang w:eastAsia="en-AU"/>
        </w:rPr>
        <w:t>,</w:t>
      </w:r>
      <w:r w:rsidRPr="005734B8">
        <w:rPr>
          <w:rFonts w:ascii="Calibri" w:eastAsia="Times New Roman" w:hAnsi="Calibri" w:cs="Calibri"/>
          <w:szCs w:val="22"/>
          <w:lang w:eastAsia="en-AU"/>
        </w:rPr>
        <w:t xml:space="preserve"> and administered item statements.</w:t>
      </w:r>
    </w:p>
    <w:p w14:paraId="7C2DE065" w14:textId="77777777" w:rsidR="00F1631B" w:rsidRPr="005734B8" w:rsidRDefault="00F1631B" w:rsidP="00F1631B">
      <w:pPr>
        <w:rPr>
          <w:rFonts w:ascii="Calibri" w:eastAsia="Times New Roman" w:hAnsi="Calibri" w:cs="Calibri"/>
          <w:szCs w:val="22"/>
          <w:lang w:eastAsia="en-AU"/>
        </w:rPr>
      </w:pPr>
    </w:p>
    <w:p w14:paraId="434E0E02" w14:textId="3CA293E3" w:rsidR="00F1631B" w:rsidRPr="005734B8" w:rsidRDefault="00F1631B" w:rsidP="00F1631B">
      <w:pPr>
        <w:rPr>
          <w:rFonts w:ascii="Calibri" w:eastAsia="Times New Roman" w:hAnsi="Calibri" w:cs="Calibri"/>
          <w:szCs w:val="22"/>
          <w:lang w:eastAsia="en-AU"/>
        </w:rPr>
      </w:pPr>
      <w:r w:rsidRPr="005734B8">
        <w:rPr>
          <w:rFonts w:ascii="Calibri" w:eastAsia="Times New Roman" w:hAnsi="Calibri" w:cs="Calibri"/>
          <w:szCs w:val="22"/>
          <w:lang w:eastAsia="en-AU"/>
        </w:rPr>
        <w:t xml:space="preserve">The budget portfolio outcomes have been prepared on a consolidated basis and include all general government sector entities </w:t>
      </w:r>
      <w:r w:rsidR="00897E30" w:rsidRPr="005734B8">
        <w:rPr>
          <w:rFonts w:ascii="Calibri" w:eastAsia="Times New Roman" w:hAnsi="Calibri" w:cs="Calibri"/>
          <w:szCs w:val="22"/>
          <w:lang w:eastAsia="en-AU"/>
        </w:rPr>
        <w:t>in</w:t>
      </w:r>
      <w:r w:rsidRPr="005734B8">
        <w:rPr>
          <w:rFonts w:ascii="Calibri" w:eastAsia="Times New Roman" w:hAnsi="Calibri" w:cs="Calibri"/>
          <w:szCs w:val="22"/>
          <w:lang w:eastAsia="en-AU"/>
        </w:rPr>
        <w:t xml:space="preserve"> the portfolio. Financial transactions and balances are classified into either controlled or administered categories as agreed with the Treasurer in the context of the published statements in BP5.</w:t>
      </w:r>
      <w:r w:rsidR="00C01687" w:rsidRPr="005734B8">
        <w:rPr>
          <w:rFonts w:ascii="Calibri" w:eastAsia="Times New Roman" w:hAnsi="Calibri" w:cs="Calibri"/>
          <w:szCs w:val="22"/>
          <w:lang w:eastAsia="en-AU"/>
        </w:rPr>
        <w:t xml:space="preserve"> </w:t>
      </w:r>
    </w:p>
    <w:p w14:paraId="247C2EC8" w14:textId="77777777" w:rsidR="00F1631B" w:rsidRPr="005734B8" w:rsidRDefault="00F1631B" w:rsidP="00F1631B">
      <w:pPr>
        <w:rPr>
          <w:rFonts w:ascii="Calibri" w:eastAsia="Times New Roman" w:hAnsi="Calibri" w:cs="Calibri"/>
          <w:szCs w:val="22"/>
          <w:lang w:eastAsia="en-AU"/>
        </w:rPr>
      </w:pPr>
    </w:p>
    <w:p w14:paraId="3987CF05" w14:textId="729E31C7" w:rsidR="00C01687" w:rsidRPr="005734B8" w:rsidRDefault="00C01687" w:rsidP="00F1631B">
      <w:pPr>
        <w:rPr>
          <w:rFonts w:ascii="Calibri" w:hAnsi="Calibri" w:cs="Calibri"/>
        </w:rPr>
      </w:pPr>
      <w:r w:rsidRPr="005734B8">
        <w:rPr>
          <w:rFonts w:ascii="Calibri" w:eastAsia="Times New Roman" w:hAnsi="Calibri" w:cs="Calibri"/>
          <w:szCs w:val="22"/>
          <w:lang w:eastAsia="en-AU"/>
        </w:rPr>
        <w:t xml:space="preserve">The following budget portfolio outcomes statements are not subject to audit by the </w:t>
      </w:r>
      <w:r w:rsidR="00BE77E2" w:rsidRPr="005734B8">
        <w:rPr>
          <w:rFonts w:ascii="Calibri" w:eastAsia="Times New Roman" w:hAnsi="Calibri" w:cs="Calibri"/>
          <w:szCs w:val="22"/>
          <w:lang w:eastAsia="en-AU"/>
        </w:rPr>
        <w:t>Victorian Auditor-General’s Office</w:t>
      </w:r>
      <w:r w:rsidRPr="005734B8">
        <w:rPr>
          <w:rFonts w:ascii="Calibri" w:eastAsia="Times New Roman" w:hAnsi="Calibri" w:cs="Calibri"/>
          <w:szCs w:val="22"/>
          <w:lang w:eastAsia="en-AU"/>
        </w:rPr>
        <w:t xml:space="preserve"> and are not prepared on the same basis as the Department’s financial statements, as they include the consolidated financial information of the following entities</w:t>
      </w:r>
      <w:r w:rsidR="00F1631B" w:rsidRPr="005734B8">
        <w:rPr>
          <w:rFonts w:ascii="Calibri" w:hAnsi="Calibri" w:cs="Calibri"/>
        </w:rPr>
        <w:t>:</w:t>
      </w:r>
    </w:p>
    <w:p w14:paraId="76AA0BD6" w14:textId="4C8A6AB2" w:rsidR="00F1631B" w:rsidRPr="005734B8" w:rsidRDefault="00365B79" w:rsidP="001C08BC">
      <w:pPr>
        <w:pStyle w:val="ListParagraph"/>
        <w:numPr>
          <w:ilvl w:val="0"/>
          <w:numId w:val="14"/>
        </w:numPr>
        <w:rPr>
          <w:rFonts w:ascii="Calibri" w:hAnsi="Calibri" w:cs="Calibri"/>
        </w:rPr>
      </w:pPr>
      <w:r w:rsidRPr="005734B8">
        <w:rPr>
          <w:rFonts w:ascii="Calibri" w:hAnsi="Calibri" w:cs="Calibri"/>
        </w:rPr>
        <w:t xml:space="preserve">the </w:t>
      </w:r>
      <w:r w:rsidR="00F1631B" w:rsidRPr="005734B8">
        <w:rPr>
          <w:rFonts w:ascii="Calibri" w:hAnsi="Calibri" w:cs="Calibri"/>
        </w:rPr>
        <w:t>Department (including government schools)</w:t>
      </w:r>
    </w:p>
    <w:p w14:paraId="74950D1F" w14:textId="5B6BAEF7" w:rsidR="00F1631B" w:rsidRPr="005734B8" w:rsidRDefault="00374C35" w:rsidP="001C08BC">
      <w:pPr>
        <w:pStyle w:val="ListParagraph"/>
        <w:numPr>
          <w:ilvl w:val="0"/>
          <w:numId w:val="14"/>
        </w:numPr>
        <w:rPr>
          <w:rFonts w:ascii="Calibri" w:hAnsi="Calibri" w:cs="Calibri"/>
        </w:rPr>
      </w:pPr>
      <w:r w:rsidRPr="005734B8">
        <w:rPr>
          <w:rFonts w:ascii="Calibri" w:hAnsi="Calibri" w:cs="Calibri"/>
        </w:rPr>
        <w:t>ACFE</w:t>
      </w:r>
    </w:p>
    <w:p w14:paraId="15254C2F" w14:textId="33A51DBE" w:rsidR="00F1631B" w:rsidRPr="005734B8" w:rsidRDefault="00D81995" w:rsidP="001C08BC">
      <w:pPr>
        <w:pStyle w:val="ListParagraph"/>
        <w:numPr>
          <w:ilvl w:val="0"/>
          <w:numId w:val="14"/>
        </w:numPr>
        <w:rPr>
          <w:rFonts w:ascii="Calibri" w:hAnsi="Calibri" w:cs="Calibri"/>
        </w:rPr>
      </w:pPr>
      <w:r w:rsidRPr="005734B8">
        <w:rPr>
          <w:rFonts w:ascii="Calibri" w:hAnsi="Calibri" w:cs="Calibri"/>
        </w:rPr>
        <w:t>VCAA</w:t>
      </w:r>
    </w:p>
    <w:p w14:paraId="1A72B0CD" w14:textId="4226D70F" w:rsidR="005E6010" w:rsidRPr="005734B8" w:rsidRDefault="006E37A4" w:rsidP="001C08BC">
      <w:pPr>
        <w:pStyle w:val="ListParagraph"/>
        <w:numPr>
          <w:ilvl w:val="0"/>
          <w:numId w:val="14"/>
        </w:numPr>
        <w:rPr>
          <w:rFonts w:ascii="Calibri" w:hAnsi="Calibri" w:cs="Calibri"/>
        </w:rPr>
      </w:pPr>
      <w:r w:rsidRPr="005734B8">
        <w:rPr>
          <w:rFonts w:ascii="Calibri" w:hAnsi="Calibri" w:cs="Calibri"/>
        </w:rPr>
        <w:t>VRQA</w:t>
      </w:r>
    </w:p>
    <w:p w14:paraId="19483330" w14:textId="3D6F5FAF" w:rsidR="005E6010" w:rsidRPr="005734B8" w:rsidRDefault="005E6010" w:rsidP="001C08BC">
      <w:pPr>
        <w:pStyle w:val="ListParagraph"/>
        <w:numPr>
          <w:ilvl w:val="0"/>
          <w:numId w:val="14"/>
        </w:numPr>
        <w:rPr>
          <w:rFonts w:ascii="Calibri" w:hAnsi="Calibri" w:cs="Calibri"/>
        </w:rPr>
      </w:pPr>
      <w:r w:rsidRPr="005734B8">
        <w:rPr>
          <w:rFonts w:ascii="Calibri" w:hAnsi="Calibri" w:cs="Calibri"/>
        </w:rPr>
        <w:t>12 TAFE institutes</w:t>
      </w:r>
      <w:r w:rsidR="00EE12F0" w:rsidRPr="005734B8">
        <w:rPr>
          <w:rFonts w:ascii="Calibri" w:hAnsi="Calibri" w:cs="Calibri"/>
        </w:rPr>
        <w:t>.</w:t>
      </w:r>
    </w:p>
    <w:p w14:paraId="1B0F0225" w14:textId="7C2F8901" w:rsidR="000D325F" w:rsidRPr="005734B8" w:rsidRDefault="000D325F">
      <w:pPr>
        <w:rPr>
          <w:rFonts w:ascii="Calibri" w:eastAsiaTheme="minorEastAsia" w:hAnsi="Calibri" w:cs="Calibri"/>
          <w:b/>
          <w:color w:val="AF272F" w:themeColor="accent4"/>
          <w:sz w:val="20"/>
          <w:szCs w:val="18"/>
          <w:highlight w:val="yellow"/>
          <w:lang w:val="en-US"/>
        </w:rPr>
      </w:pPr>
      <w:bookmarkStart w:id="2046" w:name="_Toc13647213"/>
      <w:bookmarkStart w:id="2047" w:name="_Toc13656745"/>
      <w:bookmarkStart w:id="2048" w:name="_Toc13656907"/>
    </w:p>
    <w:p w14:paraId="6CFB5A4A" w14:textId="77777777" w:rsidR="0028060C" w:rsidRPr="005734B8" w:rsidRDefault="0028060C" w:rsidP="00951939">
      <w:pPr>
        <w:pStyle w:val="ESTableintroheading"/>
        <w:rPr>
          <w:rFonts w:ascii="Calibri" w:hAnsi="Calibri" w:cs="Calibri"/>
          <w:highlight w:val="yellow"/>
        </w:rPr>
        <w:sectPr w:rsidR="0028060C" w:rsidRPr="005734B8" w:rsidSect="0028060C">
          <w:pgSz w:w="11900" w:h="16840"/>
          <w:pgMar w:top="1440" w:right="1134" w:bottom="1440" w:left="2835" w:header="708" w:footer="708" w:gutter="0"/>
          <w:cols w:space="708"/>
          <w:docGrid w:linePitch="360"/>
        </w:sectPr>
      </w:pPr>
    </w:p>
    <w:p w14:paraId="296C4069" w14:textId="69A51C38" w:rsidR="00ED74EC" w:rsidRPr="005734B8" w:rsidRDefault="00ED74EC" w:rsidP="00951939">
      <w:pPr>
        <w:pStyle w:val="ESTableintroheading"/>
        <w:rPr>
          <w:rFonts w:ascii="Calibri" w:hAnsi="Calibri" w:cs="Calibri"/>
        </w:rPr>
      </w:pPr>
      <w:r w:rsidRPr="005734B8">
        <w:rPr>
          <w:rFonts w:ascii="Calibri" w:hAnsi="Calibri" w:cs="Calibri"/>
        </w:rPr>
        <w:lastRenderedPageBreak/>
        <w:t>Comprehensive operating statement for the year ended 30 June 20</w:t>
      </w:r>
      <w:r w:rsidR="00365B79" w:rsidRPr="005734B8">
        <w:rPr>
          <w:rFonts w:ascii="Calibri" w:hAnsi="Calibri" w:cs="Calibri"/>
        </w:rPr>
        <w:t>2</w:t>
      </w:r>
      <w:bookmarkEnd w:id="2040"/>
      <w:bookmarkEnd w:id="2041"/>
      <w:bookmarkEnd w:id="2042"/>
      <w:bookmarkEnd w:id="2043"/>
      <w:bookmarkEnd w:id="2044"/>
      <w:bookmarkEnd w:id="2045"/>
      <w:bookmarkEnd w:id="2046"/>
      <w:bookmarkEnd w:id="2047"/>
      <w:bookmarkEnd w:id="2048"/>
      <w:r w:rsidR="00FE4EA0" w:rsidRPr="005734B8">
        <w:rPr>
          <w:rFonts w:ascii="Calibri" w:hAnsi="Calibri" w:cs="Calibri"/>
        </w:rPr>
        <w:t>1</w:t>
      </w:r>
    </w:p>
    <w:tbl>
      <w:tblPr>
        <w:tblStyle w:val="TableGrid"/>
        <w:tblW w:w="422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97"/>
        <w:gridCol w:w="717"/>
        <w:gridCol w:w="1117"/>
        <w:gridCol w:w="1467"/>
        <w:gridCol w:w="987"/>
        <w:gridCol w:w="987"/>
      </w:tblGrid>
      <w:tr w:rsidR="00ED74EC" w:rsidRPr="005734B8" w14:paraId="3723E0BA" w14:textId="31A46FDA" w:rsidTr="00843378">
        <w:trPr>
          <w:cantSplit/>
          <w:trHeight w:val="242"/>
          <w:tblHeader/>
        </w:trPr>
        <w:tc>
          <w:tcPr>
            <w:tcW w:w="1897" w:type="dxa"/>
            <w:tcBorders>
              <w:bottom w:val="single" w:sz="4" w:space="0" w:color="FFFFFF" w:themeColor="background1"/>
            </w:tcBorders>
            <w:shd w:val="clear" w:color="auto" w:fill="AF272F" w:themeFill="accent4"/>
          </w:tcPr>
          <w:p w14:paraId="38EFCF9E" w14:textId="77777777" w:rsidR="00ED74EC" w:rsidRPr="005734B8" w:rsidRDefault="00ED74EC" w:rsidP="00CB1231">
            <w:pPr>
              <w:pStyle w:val="ESTableheadingwhite"/>
              <w:spacing w:before="100" w:after="100"/>
              <w:rPr>
                <w:rFonts w:ascii="Calibri" w:hAnsi="Calibri" w:cs="Calibri"/>
                <w:sz w:val="18"/>
              </w:rPr>
            </w:pPr>
          </w:p>
        </w:tc>
        <w:tc>
          <w:tcPr>
            <w:tcW w:w="717" w:type="dxa"/>
            <w:tcBorders>
              <w:bottom w:val="single" w:sz="4" w:space="0" w:color="FFFFFF" w:themeColor="background1"/>
            </w:tcBorders>
            <w:shd w:val="clear" w:color="auto" w:fill="AF272F" w:themeFill="accent4"/>
          </w:tcPr>
          <w:p w14:paraId="62FCA136" w14:textId="77777777" w:rsidR="00ED74EC" w:rsidRPr="005734B8" w:rsidRDefault="00ED74EC" w:rsidP="00CB1231">
            <w:pPr>
              <w:pStyle w:val="ESTableheadingwhite"/>
              <w:spacing w:before="100" w:after="100"/>
              <w:jc w:val="right"/>
              <w:rPr>
                <w:rFonts w:ascii="Calibri" w:hAnsi="Calibri" w:cs="Calibri"/>
                <w:sz w:val="18"/>
              </w:rPr>
            </w:pPr>
            <w:r w:rsidRPr="005734B8">
              <w:rPr>
                <w:rFonts w:ascii="Calibri" w:hAnsi="Calibri" w:cs="Calibri"/>
                <w:sz w:val="18"/>
              </w:rPr>
              <w:t>Notes</w:t>
            </w:r>
          </w:p>
        </w:tc>
        <w:tc>
          <w:tcPr>
            <w:tcW w:w="1117" w:type="dxa"/>
            <w:tcBorders>
              <w:bottom w:val="single" w:sz="4" w:space="0" w:color="FFFFFF" w:themeColor="background1"/>
            </w:tcBorders>
            <w:shd w:val="clear" w:color="auto" w:fill="AF272F" w:themeFill="accent4"/>
          </w:tcPr>
          <w:p w14:paraId="5E139380" w14:textId="3070E82D" w:rsidR="000D325F" w:rsidRPr="005734B8" w:rsidRDefault="008D448C" w:rsidP="00242C48">
            <w:pPr>
              <w:pStyle w:val="ESTableheadingwhite"/>
              <w:spacing w:before="100" w:after="0"/>
              <w:jc w:val="right"/>
              <w:rPr>
                <w:rFonts w:ascii="Calibri" w:hAnsi="Calibri" w:cs="Calibri"/>
                <w:sz w:val="18"/>
              </w:rPr>
            </w:pPr>
            <w:r w:rsidRPr="005734B8">
              <w:rPr>
                <w:rFonts w:ascii="Calibri" w:hAnsi="Calibri" w:cs="Calibri"/>
                <w:sz w:val="18"/>
              </w:rPr>
              <w:t>202</w:t>
            </w:r>
            <w:r w:rsidR="009E15A8" w:rsidRPr="005734B8">
              <w:rPr>
                <w:rFonts w:ascii="Calibri" w:hAnsi="Calibri" w:cs="Calibri"/>
                <w:sz w:val="18"/>
              </w:rPr>
              <w:t>1</w:t>
            </w:r>
            <w:r w:rsidR="00242C48" w:rsidRPr="005734B8">
              <w:rPr>
                <w:rFonts w:ascii="Calibri" w:hAnsi="Calibri" w:cs="Calibri"/>
                <w:sz w:val="18"/>
              </w:rPr>
              <w:t xml:space="preserve"> </w:t>
            </w:r>
            <w:r w:rsidR="0015616B" w:rsidRPr="005734B8">
              <w:rPr>
                <w:rFonts w:ascii="Calibri" w:hAnsi="Calibri" w:cs="Calibri"/>
                <w:sz w:val="18"/>
              </w:rPr>
              <w:t>a</w:t>
            </w:r>
            <w:r w:rsidR="00244951" w:rsidRPr="005734B8">
              <w:rPr>
                <w:rFonts w:ascii="Calibri" w:hAnsi="Calibri" w:cs="Calibri"/>
                <w:sz w:val="18"/>
              </w:rPr>
              <w:t>ctual</w:t>
            </w:r>
            <w:r w:rsidR="00ED74EC" w:rsidRPr="005734B8">
              <w:rPr>
                <w:rFonts w:ascii="Calibri" w:hAnsi="Calibri" w:cs="Calibri"/>
                <w:sz w:val="18"/>
              </w:rPr>
              <w:t xml:space="preserve"> </w:t>
            </w:r>
          </w:p>
          <w:p w14:paraId="10C17308" w14:textId="1BCB3742" w:rsidR="00ED74EC" w:rsidRPr="005734B8" w:rsidRDefault="00ED74EC" w:rsidP="00242C48">
            <w:pPr>
              <w:pStyle w:val="ESTableheadingwhite"/>
              <w:spacing w:before="0" w:after="100"/>
              <w:jc w:val="right"/>
              <w:rPr>
                <w:rFonts w:ascii="Calibri" w:hAnsi="Calibri" w:cs="Calibri"/>
                <w:sz w:val="18"/>
              </w:rPr>
            </w:pPr>
            <w:r w:rsidRPr="005734B8">
              <w:rPr>
                <w:rFonts w:ascii="Calibri" w:hAnsi="Calibri" w:cs="Calibri"/>
                <w:sz w:val="18"/>
              </w:rPr>
              <w:t>($m)</w:t>
            </w:r>
          </w:p>
        </w:tc>
        <w:tc>
          <w:tcPr>
            <w:tcW w:w="1467" w:type="dxa"/>
            <w:tcBorders>
              <w:bottom w:val="single" w:sz="4" w:space="0" w:color="FFFFFF" w:themeColor="background1"/>
            </w:tcBorders>
            <w:shd w:val="clear" w:color="auto" w:fill="AF272F" w:themeFill="accent4"/>
          </w:tcPr>
          <w:p w14:paraId="6866A849" w14:textId="51CAEFFC" w:rsidR="00ED74EC" w:rsidRPr="005734B8" w:rsidRDefault="000D325F" w:rsidP="00CB1231">
            <w:pPr>
              <w:pStyle w:val="ESTableheadingwhite"/>
              <w:spacing w:before="100" w:after="100"/>
              <w:jc w:val="right"/>
              <w:rPr>
                <w:rFonts w:ascii="Calibri" w:hAnsi="Calibri" w:cs="Calibri"/>
                <w:sz w:val="18"/>
              </w:rPr>
            </w:pPr>
            <w:r w:rsidRPr="005734B8">
              <w:rPr>
                <w:rFonts w:ascii="Calibri" w:hAnsi="Calibri" w:cs="Calibri"/>
                <w:sz w:val="18"/>
              </w:rPr>
              <w:t>Published</w:t>
            </w:r>
            <w:r w:rsidR="00242C48" w:rsidRPr="005734B8">
              <w:rPr>
                <w:rFonts w:ascii="Calibri" w:hAnsi="Calibri" w:cs="Calibri"/>
                <w:sz w:val="18"/>
              </w:rPr>
              <w:t xml:space="preserve"> </w:t>
            </w:r>
            <w:r w:rsidR="00244951" w:rsidRPr="005734B8">
              <w:rPr>
                <w:rFonts w:ascii="Calibri" w:hAnsi="Calibri" w:cs="Calibri"/>
                <w:sz w:val="18"/>
              </w:rPr>
              <w:t>budget</w:t>
            </w:r>
            <w:r w:rsidR="00242C48" w:rsidRPr="005734B8">
              <w:rPr>
                <w:rFonts w:ascii="Calibri" w:hAnsi="Calibri" w:cs="Calibri"/>
                <w:sz w:val="18"/>
              </w:rPr>
              <w:t xml:space="preserve"> </w:t>
            </w:r>
            <w:r w:rsidR="00ED74EC" w:rsidRPr="005734B8">
              <w:rPr>
                <w:rFonts w:ascii="Calibri" w:hAnsi="Calibri" w:cs="Calibri"/>
                <w:sz w:val="18"/>
              </w:rPr>
              <w:t>($m)</w:t>
            </w:r>
          </w:p>
        </w:tc>
        <w:tc>
          <w:tcPr>
            <w:tcW w:w="987" w:type="dxa"/>
            <w:tcBorders>
              <w:bottom w:val="single" w:sz="4" w:space="0" w:color="FFFFFF" w:themeColor="background1"/>
            </w:tcBorders>
            <w:shd w:val="clear" w:color="auto" w:fill="AF272F" w:themeFill="accent4"/>
          </w:tcPr>
          <w:p w14:paraId="4552E311" w14:textId="62875C40" w:rsidR="00F258E4" w:rsidRPr="005734B8" w:rsidRDefault="00ED74EC" w:rsidP="00CB1231">
            <w:pPr>
              <w:pStyle w:val="ESTableheadingwhite"/>
              <w:spacing w:before="100" w:after="100"/>
              <w:jc w:val="right"/>
              <w:rPr>
                <w:rFonts w:ascii="Calibri" w:hAnsi="Calibri" w:cs="Calibri"/>
                <w:sz w:val="18"/>
              </w:rPr>
            </w:pPr>
            <w:r w:rsidRPr="005734B8">
              <w:rPr>
                <w:rFonts w:ascii="Calibri" w:hAnsi="Calibri" w:cs="Calibri"/>
                <w:sz w:val="18"/>
              </w:rPr>
              <w:t>Variation (%)</w:t>
            </w:r>
          </w:p>
        </w:tc>
        <w:tc>
          <w:tcPr>
            <w:tcW w:w="987" w:type="dxa"/>
            <w:tcBorders>
              <w:bottom w:val="single" w:sz="4" w:space="0" w:color="FFFFFF" w:themeColor="background1"/>
            </w:tcBorders>
            <w:shd w:val="clear" w:color="auto" w:fill="AF272F" w:themeFill="accent4"/>
          </w:tcPr>
          <w:p w14:paraId="17DDE842" w14:textId="27E602DF" w:rsidR="00ED74EC" w:rsidRPr="005734B8" w:rsidRDefault="00ED74EC" w:rsidP="00CB1231">
            <w:pPr>
              <w:pStyle w:val="ESTableheadingwhite"/>
              <w:spacing w:before="100" w:after="100"/>
              <w:jc w:val="right"/>
              <w:rPr>
                <w:rFonts w:ascii="Calibri" w:hAnsi="Calibri" w:cs="Calibri"/>
                <w:sz w:val="18"/>
              </w:rPr>
            </w:pPr>
            <w:r w:rsidRPr="005734B8">
              <w:rPr>
                <w:rFonts w:ascii="Calibri" w:hAnsi="Calibri" w:cs="Calibri"/>
                <w:sz w:val="18"/>
              </w:rPr>
              <w:t>Variation</w:t>
            </w:r>
            <w:r w:rsidR="00F258E4" w:rsidRPr="005734B8">
              <w:rPr>
                <w:rFonts w:ascii="Calibri" w:hAnsi="Calibri" w:cs="Calibri"/>
                <w:sz w:val="18"/>
              </w:rPr>
              <w:t xml:space="preserve"> </w:t>
            </w:r>
            <w:r w:rsidRPr="005734B8">
              <w:rPr>
                <w:rFonts w:ascii="Calibri" w:hAnsi="Calibri" w:cs="Calibri"/>
                <w:sz w:val="18"/>
              </w:rPr>
              <w:t>($m)</w:t>
            </w:r>
          </w:p>
        </w:tc>
      </w:tr>
      <w:tr w:rsidR="00ED74EC" w:rsidRPr="005734B8" w14:paraId="4C6EC88E" w14:textId="77777777" w:rsidTr="00843378">
        <w:trPr>
          <w:cantSplit/>
        </w:trPr>
        <w:tc>
          <w:tcPr>
            <w:tcW w:w="2614" w:type="dxa"/>
            <w:gridSpan w:val="2"/>
            <w:tcBorders>
              <w:bottom w:val="single" w:sz="4" w:space="0" w:color="53565A" w:themeColor="accent5"/>
              <w:right w:val="nil"/>
            </w:tcBorders>
            <w:shd w:val="clear" w:color="auto" w:fill="53565A" w:themeFill="accent5"/>
            <w:vAlign w:val="center"/>
          </w:tcPr>
          <w:p w14:paraId="6B30AB17" w14:textId="6AD582EB" w:rsidR="00ED74EC" w:rsidRPr="005734B8" w:rsidRDefault="0028060C" w:rsidP="00CB1231">
            <w:pPr>
              <w:pStyle w:val="ESTablenumberrightaligned"/>
              <w:spacing w:before="100" w:after="100"/>
              <w:jc w:val="left"/>
              <w:rPr>
                <w:rFonts w:ascii="Calibri" w:hAnsi="Calibri" w:cs="Calibri"/>
                <w:b/>
                <w:color w:val="FFFFFF" w:themeColor="background1"/>
                <w:sz w:val="18"/>
              </w:rPr>
            </w:pPr>
            <w:r w:rsidRPr="005734B8">
              <w:rPr>
                <w:rFonts w:ascii="Calibri" w:hAnsi="Calibri" w:cs="Calibri"/>
                <w:b/>
                <w:color w:val="FFFFFF" w:themeColor="background1"/>
                <w:sz w:val="18"/>
              </w:rPr>
              <w:t>Net results from continuing operations</w:t>
            </w:r>
          </w:p>
        </w:tc>
        <w:tc>
          <w:tcPr>
            <w:tcW w:w="1117" w:type="dxa"/>
            <w:tcBorders>
              <w:left w:val="nil"/>
              <w:bottom w:val="single" w:sz="4" w:space="0" w:color="53565A" w:themeColor="accent5"/>
              <w:right w:val="nil"/>
            </w:tcBorders>
            <w:shd w:val="clear" w:color="auto" w:fill="53565A" w:themeFill="accent5"/>
          </w:tcPr>
          <w:p w14:paraId="45208C76" w14:textId="77777777" w:rsidR="00ED74EC" w:rsidRPr="005734B8" w:rsidRDefault="00ED74EC" w:rsidP="00CB1231">
            <w:pPr>
              <w:pStyle w:val="ESTablenumberrightaligned"/>
              <w:spacing w:before="100" w:after="100"/>
              <w:rPr>
                <w:rFonts w:ascii="Calibri" w:hAnsi="Calibri" w:cs="Calibri"/>
                <w:sz w:val="18"/>
              </w:rPr>
            </w:pPr>
          </w:p>
        </w:tc>
        <w:tc>
          <w:tcPr>
            <w:tcW w:w="1467" w:type="dxa"/>
            <w:tcBorders>
              <w:left w:val="nil"/>
              <w:bottom w:val="single" w:sz="4" w:space="0" w:color="53565A" w:themeColor="accent5"/>
              <w:right w:val="nil"/>
            </w:tcBorders>
            <w:shd w:val="clear" w:color="auto" w:fill="53565A" w:themeFill="accent5"/>
          </w:tcPr>
          <w:p w14:paraId="0CB9757E" w14:textId="77777777" w:rsidR="00ED74EC" w:rsidRPr="005734B8" w:rsidRDefault="00ED74EC" w:rsidP="00CB1231">
            <w:pPr>
              <w:pStyle w:val="ESTablenumberrightaligned"/>
              <w:spacing w:before="100" w:after="100"/>
              <w:rPr>
                <w:rFonts w:ascii="Calibri" w:hAnsi="Calibri" w:cs="Calibri"/>
                <w:sz w:val="18"/>
              </w:rPr>
            </w:pPr>
          </w:p>
        </w:tc>
        <w:tc>
          <w:tcPr>
            <w:tcW w:w="987" w:type="dxa"/>
            <w:tcBorders>
              <w:left w:val="nil"/>
              <w:bottom w:val="single" w:sz="4" w:space="0" w:color="53565A" w:themeColor="accent5"/>
              <w:right w:val="nil"/>
            </w:tcBorders>
            <w:shd w:val="clear" w:color="auto" w:fill="53565A" w:themeFill="accent5"/>
          </w:tcPr>
          <w:p w14:paraId="41DD2875" w14:textId="77777777" w:rsidR="00ED74EC" w:rsidRPr="005734B8" w:rsidRDefault="00ED74EC" w:rsidP="00CB1231">
            <w:pPr>
              <w:pStyle w:val="ESTablenumberrightaligned"/>
              <w:spacing w:before="100" w:after="100"/>
              <w:rPr>
                <w:rFonts w:ascii="Calibri" w:hAnsi="Calibri" w:cs="Calibri"/>
                <w:sz w:val="18"/>
              </w:rPr>
            </w:pPr>
          </w:p>
        </w:tc>
        <w:tc>
          <w:tcPr>
            <w:tcW w:w="987" w:type="dxa"/>
            <w:tcBorders>
              <w:left w:val="nil"/>
              <w:bottom w:val="single" w:sz="4" w:space="0" w:color="53565A" w:themeColor="accent5"/>
            </w:tcBorders>
            <w:shd w:val="clear" w:color="auto" w:fill="53565A" w:themeFill="accent5"/>
          </w:tcPr>
          <w:p w14:paraId="70A78F8A" w14:textId="77777777" w:rsidR="008D448C" w:rsidRPr="005734B8" w:rsidRDefault="008D448C" w:rsidP="00CB1231">
            <w:pPr>
              <w:pStyle w:val="ESTablenumberrightaligned"/>
              <w:spacing w:before="100" w:after="100"/>
              <w:rPr>
                <w:rFonts w:ascii="Calibri" w:hAnsi="Calibri" w:cs="Calibri"/>
                <w:sz w:val="18"/>
              </w:rPr>
            </w:pPr>
          </w:p>
        </w:tc>
      </w:tr>
      <w:tr w:rsidR="00ED74EC" w:rsidRPr="005734B8" w14:paraId="0AAB4974" w14:textId="00DE106A" w:rsidTr="00843378">
        <w:trPr>
          <w:cantSplit/>
        </w:trPr>
        <w:tc>
          <w:tcPr>
            <w:tcW w:w="1897" w:type="dxa"/>
            <w:tcBorders>
              <w:top w:val="single" w:sz="4" w:space="0" w:color="53565A" w:themeColor="accent5"/>
              <w:bottom w:val="single" w:sz="4" w:space="0" w:color="53565A" w:themeColor="accent5"/>
            </w:tcBorders>
            <w:shd w:val="clear" w:color="auto" w:fill="D9D9D6" w:themeFill="accent6"/>
          </w:tcPr>
          <w:p w14:paraId="5110CC1F" w14:textId="77777777" w:rsidR="00ED74EC" w:rsidRPr="005734B8" w:rsidRDefault="00ED74EC" w:rsidP="00CB1231">
            <w:pPr>
              <w:pStyle w:val="ESTablebody"/>
              <w:spacing w:before="100" w:after="100"/>
              <w:rPr>
                <w:rFonts w:ascii="Calibri" w:hAnsi="Calibri" w:cs="Calibri"/>
                <w:b/>
                <w:sz w:val="18"/>
              </w:rPr>
            </w:pPr>
            <w:r w:rsidRPr="005734B8">
              <w:rPr>
                <w:rFonts w:ascii="Calibri" w:hAnsi="Calibri" w:cs="Calibri"/>
                <w:b/>
                <w:sz w:val="18"/>
              </w:rPr>
              <w:t>Income from transactions</w:t>
            </w:r>
          </w:p>
        </w:tc>
        <w:tc>
          <w:tcPr>
            <w:tcW w:w="717" w:type="dxa"/>
            <w:tcBorders>
              <w:top w:val="single" w:sz="4" w:space="0" w:color="53565A" w:themeColor="accent5"/>
              <w:bottom w:val="single" w:sz="4" w:space="0" w:color="53565A" w:themeColor="accent5"/>
            </w:tcBorders>
            <w:shd w:val="clear" w:color="auto" w:fill="D9D9D6" w:themeFill="accent6"/>
          </w:tcPr>
          <w:p w14:paraId="0C73A79E" w14:textId="77777777" w:rsidR="00ED74EC" w:rsidRPr="005734B8" w:rsidRDefault="00ED74EC" w:rsidP="00CB1231">
            <w:pPr>
              <w:pStyle w:val="ESTablenumberrightaligned"/>
              <w:spacing w:before="100" w:after="100"/>
              <w:rPr>
                <w:rFonts w:ascii="Calibri" w:hAnsi="Calibri" w:cs="Calibri"/>
                <w:sz w:val="18"/>
              </w:rPr>
            </w:pPr>
          </w:p>
        </w:tc>
        <w:tc>
          <w:tcPr>
            <w:tcW w:w="1117" w:type="dxa"/>
            <w:tcBorders>
              <w:top w:val="single" w:sz="4" w:space="0" w:color="53565A" w:themeColor="accent5"/>
              <w:bottom w:val="single" w:sz="4" w:space="0" w:color="53565A" w:themeColor="accent5"/>
            </w:tcBorders>
            <w:shd w:val="clear" w:color="auto" w:fill="D9D9D6" w:themeFill="accent6"/>
          </w:tcPr>
          <w:p w14:paraId="4BF21085" w14:textId="77777777" w:rsidR="00ED74EC" w:rsidRPr="005734B8" w:rsidRDefault="00ED74EC" w:rsidP="00CB1231">
            <w:pPr>
              <w:pStyle w:val="ESTablenumberrightaligned"/>
              <w:spacing w:before="100" w:after="100"/>
              <w:rPr>
                <w:rFonts w:ascii="Calibri" w:hAnsi="Calibri" w:cs="Calibri"/>
                <w:sz w:val="18"/>
              </w:rPr>
            </w:pPr>
          </w:p>
        </w:tc>
        <w:tc>
          <w:tcPr>
            <w:tcW w:w="1467" w:type="dxa"/>
            <w:tcBorders>
              <w:top w:val="single" w:sz="4" w:space="0" w:color="53565A" w:themeColor="accent5"/>
              <w:bottom w:val="single" w:sz="4" w:space="0" w:color="53565A" w:themeColor="accent5"/>
            </w:tcBorders>
            <w:shd w:val="clear" w:color="auto" w:fill="D9D9D6" w:themeFill="accent6"/>
          </w:tcPr>
          <w:p w14:paraId="20709A08" w14:textId="77777777" w:rsidR="00ED74EC" w:rsidRPr="005734B8" w:rsidRDefault="00ED74EC" w:rsidP="00CB1231">
            <w:pPr>
              <w:pStyle w:val="ESTablenumberrightaligned"/>
              <w:spacing w:before="100" w:after="100"/>
              <w:rPr>
                <w:rFonts w:ascii="Calibri" w:hAnsi="Calibri" w:cs="Calibri"/>
                <w:sz w:val="18"/>
              </w:rPr>
            </w:pPr>
          </w:p>
        </w:tc>
        <w:tc>
          <w:tcPr>
            <w:tcW w:w="987" w:type="dxa"/>
            <w:tcBorders>
              <w:top w:val="single" w:sz="4" w:space="0" w:color="53565A" w:themeColor="accent5"/>
              <w:bottom w:val="single" w:sz="4" w:space="0" w:color="53565A" w:themeColor="accent5"/>
            </w:tcBorders>
            <w:shd w:val="clear" w:color="auto" w:fill="D9D9D6" w:themeFill="accent6"/>
          </w:tcPr>
          <w:p w14:paraId="1AD1E4F9" w14:textId="77777777" w:rsidR="00ED74EC" w:rsidRPr="005734B8" w:rsidRDefault="00ED74EC" w:rsidP="00CB1231">
            <w:pPr>
              <w:pStyle w:val="ESTablenumberrightaligned"/>
              <w:spacing w:before="100" w:after="100"/>
              <w:rPr>
                <w:rFonts w:ascii="Calibri" w:hAnsi="Calibri" w:cs="Calibri"/>
                <w:sz w:val="18"/>
              </w:rPr>
            </w:pPr>
          </w:p>
        </w:tc>
        <w:tc>
          <w:tcPr>
            <w:tcW w:w="987" w:type="dxa"/>
            <w:tcBorders>
              <w:top w:val="single" w:sz="4" w:space="0" w:color="53565A" w:themeColor="accent5"/>
              <w:bottom w:val="single" w:sz="4" w:space="0" w:color="53565A" w:themeColor="accent5"/>
            </w:tcBorders>
            <w:shd w:val="clear" w:color="auto" w:fill="D9D9D6" w:themeFill="accent6"/>
          </w:tcPr>
          <w:p w14:paraId="0149E38D" w14:textId="77777777" w:rsidR="00ED74EC" w:rsidRPr="005734B8" w:rsidRDefault="00ED74EC" w:rsidP="00CB1231">
            <w:pPr>
              <w:pStyle w:val="ESTablenumberrightaligned"/>
              <w:spacing w:before="100" w:after="100"/>
              <w:rPr>
                <w:rFonts w:ascii="Calibri" w:hAnsi="Calibri" w:cs="Calibri"/>
                <w:sz w:val="18"/>
              </w:rPr>
            </w:pPr>
          </w:p>
        </w:tc>
      </w:tr>
      <w:tr w:rsidR="009E15A8" w:rsidRPr="005734B8" w14:paraId="3BA4E638" w14:textId="1C9672C5" w:rsidTr="000F48B1">
        <w:trPr>
          <w:cantSplit/>
        </w:trPr>
        <w:tc>
          <w:tcPr>
            <w:tcW w:w="1897" w:type="dxa"/>
            <w:tcBorders>
              <w:top w:val="single" w:sz="4" w:space="0" w:color="53565A" w:themeColor="accent5"/>
              <w:bottom w:val="single" w:sz="4" w:space="0" w:color="53565A" w:themeColor="accent5"/>
            </w:tcBorders>
            <w:shd w:val="clear" w:color="auto" w:fill="auto"/>
          </w:tcPr>
          <w:p w14:paraId="682DA794" w14:textId="77777777" w:rsidR="009E15A8" w:rsidRPr="005734B8" w:rsidRDefault="009E15A8" w:rsidP="009E15A8">
            <w:pPr>
              <w:pStyle w:val="ESTablebody"/>
              <w:spacing w:before="100" w:after="100"/>
              <w:rPr>
                <w:rFonts w:ascii="Calibri" w:hAnsi="Calibri" w:cs="Calibri"/>
                <w:sz w:val="18"/>
              </w:rPr>
            </w:pPr>
            <w:r w:rsidRPr="005734B8">
              <w:rPr>
                <w:rFonts w:ascii="Calibri" w:hAnsi="Calibri" w:cs="Calibri"/>
                <w:sz w:val="18"/>
              </w:rPr>
              <w:t>Output appropriations</w:t>
            </w:r>
          </w:p>
        </w:tc>
        <w:tc>
          <w:tcPr>
            <w:tcW w:w="717" w:type="dxa"/>
            <w:tcBorders>
              <w:top w:val="single" w:sz="4" w:space="0" w:color="53565A" w:themeColor="accent5"/>
              <w:bottom w:val="single" w:sz="4" w:space="0" w:color="53565A" w:themeColor="accent5"/>
            </w:tcBorders>
            <w:shd w:val="clear" w:color="auto" w:fill="auto"/>
            <w:vAlign w:val="center"/>
          </w:tcPr>
          <w:p w14:paraId="3A82C633" w14:textId="4A4B7AD2"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a</w:t>
            </w:r>
          </w:p>
        </w:tc>
        <w:tc>
          <w:tcPr>
            <w:tcW w:w="1117" w:type="dxa"/>
            <w:tcBorders>
              <w:top w:val="single" w:sz="4" w:space="0" w:color="53565A" w:themeColor="accent5"/>
              <w:bottom w:val="single" w:sz="4" w:space="0" w:color="53565A" w:themeColor="accent5"/>
            </w:tcBorders>
            <w:shd w:val="clear" w:color="auto" w:fill="D9D9D6" w:themeFill="accent6"/>
          </w:tcPr>
          <w:p w14:paraId="45FA6433" w14:textId="7FB25212"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16,133.9</w:t>
            </w:r>
          </w:p>
        </w:tc>
        <w:tc>
          <w:tcPr>
            <w:tcW w:w="1467" w:type="dxa"/>
            <w:tcBorders>
              <w:top w:val="single" w:sz="4" w:space="0" w:color="53565A" w:themeColor="accent5"/>
              <w:bottom w:val="single" w:sz="4" w:space="0" w:color="53565A" w:themeColor="accent5"/>
            </w:tcBorders>
          </w:tcPr>
          <w:p w14:paraId="31E2D1EB" w14:textId="5B1A7F40"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16,273.6</w:t>
            </w:r>
          </w:p>
        </w:tc>
        <w:tc>
          <w:tcPr>
            <w:tcW w:w="987" w:type="dxa"/>
            <w:tcBorders>
              <w:top w:val="single" w:sz="4" w:space="0" w:color="53565A" w:themeColor="accent5"/>
              <w:bottom w:val="single" w:sz="4" w:space="0" w:color="53565A" w:themeColor="accent5"/>
            </w:tcBorders>
          </w:tcPr>
          <w:p w14:paraId="659BF298" w14:textId="217C71C9"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(1)</w:t>
            </w:r>
          </w:p>
        </w:tc>
        <w:tc>
          <w:tcPr>
            <w:tcW w:w="987" w:type="dxa"/>
            <w:tcBorders>
              <w:top w:val="single" w:sz="4" w:space="0" w:color="53565A" w:themeColor="accent5"/>
              <w:bottom w:val="single" w:sz="4" w:space="0" w:color="53565A" w:themeColor="accent5"/>
            </w:tcBorders>
          </w:tcPr>
          <w:p w14:paraId="2AB6A356" w14:textId="50ECFAED"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(139.7)</w:t>
            </w:r>
          </w:p>
        </w:tc>
      </w:tr>
      <w:tr w:rsidR="009E15A8" w:rsidRPr="005734B8" w14:paraId="4EF99739" w14:textId="11C6EE05" w:rsidTr="000F48B1">
        <w:trPr>
          <w:cantSplit/>
        </w:trPr>
        <w:tc>
          <w:tcPr>
            <w:tcW w:w="1897" w:type="dxa"/>
            <w:tcBorders>
              <w:top w:val="single" w:sz="4" w:space="0" w:color="53565A" w:themeColor="accent5"/>
              <w:bottom w:val="single" w:sz="4" w:space="0" w:color="53565A" w:themeColor="accent5"/>
            </w:tcBorders>
            <w:shd w:val="clear" w:color="auto" w:fill="auto"/>
          </w:tcPr>
          <w:p w14:paraId="4020D33A" w14:textId="77777777" w:rsidR="009E15A8" w:rsidRPr="005734B8" w:rsidRDefault="009E15A8" w:rsidP="009E15A8">
            <w:pPr>
              <w:pStyle w:val="ESTablebody"/>
              <w:spacing w:before="100" w:after="100"/>
              <w:rPr>
                <w:rFonts w:ascii="Calibri" w:hAnsi="Calibri" w:cs="Calibri"/>
                <w:sz w:val="18"/>
              </w:rPr>
            </w:pPr>
            <w:r w:rsidRPr="005734B8">
              <w:rPr>
                <w:rFonts w:ascii="Calibri" w:hAnsi="Calibri" w:cs="Calibri"/>
                <w:sz w:val="18"/>
              </w:rPr>
              <w:t>Special appropriations</w:t>
            </w:r>
          </w:p>
        </w:tc>
        <w:tc>
          <w:tcPr>
            <w:tcW w:w="717" w:type="dxa"/>
            <w:tcBorders>
              <w:top w:val="single" w:sz="4" w:space="0" w:color="53565A" w:themeColor="accent5"/>
              <w:bottom w:val="single" w:sz="4" w:space="0" w:color="53565A" w:themeColor="accent5"/>
            </w:tcBorders>
            <w:shd w:val="clear" w:color="auto" w:fill="auto"/>
            <w:vAlign w:val="center"/>
          </w:tcPr>
          <w:p w14:paraId="46542C97" w14:textId="0EE78FF5" w:rsidR="009E15A8" w:rsidRPr="005734B8" w:rsidRDefault="009E15A8" w:rsidP="009E15A8">
            <w:pPr>
              <w:pStyle w:val="ESTablenumberrightaligned"/>
              <w:spacing w:before="100" w:after="100"/>
              <w:rPr>
                <w:rFonts w:ascii="Calibri" w:hAnsi="Calibri" w:cs="Calibri"/>
                <w:sz w:val="18"/>
              </w:rPr>
            </w:pPr>
          </w:p>
        </w:tc>
        <w:tc>
          <w:tcPr>
            <w:tcW w:w="1117" w:type="dxa"/>
            <w:tcBorders>
              <w:top w:val="single" w:sz="4" w:space="0" w:color="53565A" w:themeColor="accent5"/>
              <w:bottom w:val="single" w:sz="4" w:space="0" w:color="53565A" w:themeColor="accent5"/>
            </w:tcBorders>
            <w:shd w:val="clear" w:color="auto" w:fill="D9D9D6" w:themeFill="accent6"/>
          </w:tcPr>
          <w:p w14:paraId="263F7280" w14:textId="2D4CE635"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5.8</w:t>
            </w:r>
          </w:p>
        </w:tc>
        <w:tc>
          <w:tcPr>
            <w:tcW w:w="1467" w:type="dxa"/>
            <w:tcBorders>
              <w:top w:val="single" w:sz="4" w:space="0" w:color="53565A" w:themeColor="accent5"/>
              <w:bottom w:val="single" w:sz="4" w:space="0" w:color="53565A" w:themeColor="accent5"/>
            </w:tcBorders>
          </w:tcPr>
          <w:p w14:paraId="6B186393" w14:textId="76879B10"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6.0</w:t>
            </w:r>
          </w:p>
        </w:tc>
        <w:tc>
          <w:tcPr>
            <w:tcW w:w="987" w:type="dxa"/>
            <w:tcBorders>
              <w:top w:val="single" w:sz="4" w:space="0" w:color="53565A" w:themeColor="accent5"/>
              <w:bottom w:val="single" w:sz="4" w:space="0" w:color="53565A" w:themeColor="accent5"/>
            </w:tcBorders>
          </w:tcPr>
          <w:p w14:paraId="21B0FEC2" w14:textId="0B8EADC1"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(4)</w:t>
            </w:r>
          </w:p>
        </w:tc>
        <w:tc>
          <w:tcPr>
            <w:tcW w:w="987" w:type="dxa"/>
            <w:tcBorders>
              <w:top w:val="single" w:sz="4" w:space="0" w:color="53565A" w:themeColor="accent5"/>
              <w:bottom w:val="single" w:sz="4" w:space="0" w:color="53565A" w:themeColor="accent5"/>
            </w:tcBorders>
          </w:tcPr>
          <w:p w14:paraId="1E2A11CD" w14:textId="253E8C23"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(0.2)</w:t>
            </w:r>
          </w:p>
        </w:tc>
      </w:tr>
      <w:tr w:rsidR="009E15A8" w:rsidRPr="005734B8" w14:paraId="00B42D43" w14:textId="517CE3DE" w:rsidTr="000F48B1">
        <w:trPr>
          <w:cantSplit/>
        </w:trPr>
        <w:tc>
          <w:tcPr>
            <w:tcW w:w="1897" w:type="dxa"/>
            <w:tcBorders>
              <w:top w:val="single" w:sz="4" w:space="0" w:color="53565A" w:themeColor="accent5"/>
              <w:bottom w:val="single" w:sz="4" w:space="0" w:color="53565A" w:themeColor="accent5"/>
            </w:tcBorders>
            <w:shd w:val="clear" w:color="auto" w:fill="auto"/>
          </w:tcPr>
          <w:p w14:paraId="582B56EC" w14:textId="77777777" w:rsidR="009E15A8" w:rsidRPr="005734B8" w:rsidRDefault="009E15A8" w:rsidP="009E15A8">
            <w:pPr>
              <w:pStyle w:val="ESTablebody"/>
              <w:spacing w:before="100" w:after="100"/>
              <w:rPr>
                <w:rFonts w:ascii="Calibri" w:hAnsi="Calibri" w:cs="Calibri"/>
                <w:sz w:val="18"/>
              </w:rPr>
            </w:pPr>
            <w:r w:rsidRPr="005734B8">
              <w:rPr>
                <w:rFonts w:ascii="Calibri" w:hAnsi="Calibri" w:cs="Calibri"/>
                <w:sz w:val="18"/>
              </w:rPr>
              <w:t>Interest</w:t>
            </w:r>
          </w:p>
        </w:tc>
        <w:tc>
          <w:tcPr>
            <w:tcW w:w="717" w:type="dxa"/>
            <w:tcBorders>
              <w:top w:val="single" w:sz="4" w:space="0" w:color="53565A" w:themeColor="accent5"/>
              <w:bottom w:val="single" w:sz="4" w:space="0" w:color="53565A" w:themeColor="accent5"/>
            </w:tcBorders>
            <w:shd w:val="clear" w:color="auto" w:fill="auto"/>
            <w:vAlign w:val="center"/>
          </w:tcPr>
          <w:p w14:paraId="11B2872F" w14:textId="53FCAF9A"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b</w:t>
            </w:r>
          </w:p>
        </w:tc>
        <w:tc>
          <w:tcPr>
            <w:tcW w:w="1117" w:type="dxa"/>
            <w:tcBorders>
              <w:top w:val="single" w:sz="4" w:space="0" w:color="53565A" w:themeColor="accent5"/>
              <w:bottom w:val="single" w:sz="4" w:space="0" w:color="53565A" w:themeColor="accent5"/>
            </w:tcBorders>
            <w:shd w:val="clear" w:color="auto" w:fill="D9D9D6" w:themeFill="accent6"/>
          </w:tcPr>
          <w:p w14:paraId="08F8DBB0" w14:textId="7E470E11"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7.0</w:t>
            </w:r>
          </w:p>
        </w:tc>
        <w:tc>
          <w:tcPr>
            <w:tcW w:w="1467" w:type="dxa"/>
            <w:tcBorders>
              <w:top w:val="single" w:sz="4" w:space="0" w:color="53565A" w:themeColor="accent5"/>
              <w:bottom w:val="single" w:sz="4" w:space="0" w:color="53565A" w:themeColor="accent5"/>
            </w:tcBorders>
          </w:tcPr>
          <w:p w14:paraId="4E109899" w14:textId="4B643817"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17.6</w:t>
            </w:r>
          </w:p>
        </w:tc>
        <w:tc>
          <w:tcPr>
            <w:tcW w:w="987" w:type="dxa"/>
            <w:tcBorders>
              <w:top w:val="single" w:sz="4" w:space="0" w:color="53565A" w:themeColor="accent5"/>
              <w:bottom w:val="single" w:sz="4" w:space="0" w:color="53565A" w:themeColor="accent5"/>
            </w:tcBorders>
          </w:tcPr>
          <w:p w14:paraId="6DBAFF1E" w14:textId="50DD1485"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(60)</w:t>
            </w:r>
          </w:p>
        </w:tc>
        <w:tc>
          <w:tcPr>
            <w:tcW w:w="987" w:type="dxa"/>
            <w:tcBorders>
              <w:top w:val="single" w:sz="4" w:space="0" w:color="53565A" w:themeColor="accent5"/>
              <w:bottom w:val="single" w:sz="4" w:space="0" w:color="53565A" w:themeColor="accent5"/>
            </w:tcBorders>
          </w:tcPr>
          <w:p w14:paraId="39DA246D" w14:textId="7421166B"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(10.6)</w:t>
            </w:r>
          </w:p>
        </w:tc>
      </w:tr>
      <w:tr w:rsidR="009E15A8" w:rsidRPr="005734B8" w14:paraId="22809F99" w14:textId="6F387BE8" w:rsidTr="000F48B1">
        <w:trPr>
          <w:cantSplit/>
        </w:trPr>
        <w:tc>
          <w:tcPr>
            <w:tcW w:w="1897" w:type="dxa"/>
            <w:tcBorders>
              <w:top w:val="single" w:sz="4" w:space="0" w:color="53565A" w:themeColor="accent5"/>
              <w:bottom w:val="single" w:sz="4" w:space="0" w:color="53565A" w:themeColor="accent5"/>
            </w:tcBorders>
            <w:shd w:val="clear" w:color="auto" w:fill="auto"/>
          </w:tcPr>
          <w:p w14:paraId="1B3917A4" w14:textId="77777777" w:rsidR="009E15A8" w:rsidRPr="005734B8" w:rsidRDefault="009E15A8" w:rsidP="009E15A8">
            <w:pPr>
              <w:pStyle w:val="ESTablebody"/>
              <w:spacing w:before="100" w:after="100"/>
              <w:rPr>
                <w:rFonts w:ascii="Calibri" w:hAnsi="Calibri" w:cs="Calibri"/>
                <w:sz w:val="18"/>
              </w:rPr>
            </w:pPr>
            <w:r w:rsidRPr="005734B8">
              <w:rPr>
                <w:rFonts w:ascii="Calibri" w:hAnsi="Calibri" w:cs="Calibri"/>
                <w:sz w:val="18"/>
              </w:rPr>
              <w:t>Sale of goods and services</w:t>
            </w:r>
          </w:p>
        </w:tc>
        <w:tc>
          <w:tcPr>
            <w:tcW w:w="717" w:type="dxa"/>
            <w:tcBorders>
              <w:top w:val="single" w:sz="4" w:space="0" w:color="53565A" w:themeColor="accent5"/>
              <w:bottom w:val="single" w:sz="4" w:space="0" w:color="53565A" w:themeColor="accent5"/>
            </w:tcBorders>
            <w:shd w:val="clear" w:color="auto" w:fill="auto"/>
            <w:vAlign w:val="center"/>
          </w:tcPr>
          <w:p w14:paraId="784CC02C" w14:textId="5A8BA160"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c</w:t>
            </w:r>
          </w:p>
        </w:tc>
        <w:tc>
          <w:tcPr>
            <w:tcW w:w="1117" w:type="dxa"/>
            <w:tcBorders>
              <w:top w:val="single" w:sz="4" w:space="0" w:color="53565A" w:themeColor="accent5"/>
              <w:bottom w:val="single" w:sz="4" w:space="0" w:color="53565A" w:themeColor="accent5"/>
            </w:tcBorders>
            <w:shd w:val="clear" w:color="auto" w:fill="D9D9D6" w:themeFill="accent6"/>
          </w:tcPr>
          <w:p w14:paraId="33755C45" w14:textId="4624F883"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637.0</w:t>
            </w:r>
          </w:p>
        </w:tc>
        <w:tc>
          <w:tcPr>
            <w:tcW w:w="1467" w:type="dxa"/>
            <w:tcBorders>
              <w:top w:val="single" w:sz="4" w:space="0" w:color="53565A" w:themeColor="accent5"/>
              <w:bottom w:val="single" w:sz="4" w:space="0" w:color="53565A" w:themeColor="accent5"/>
            </w:tcBorders>
          </w:tcPr>
          <w:p w14:paraId="3861A419" w14:textId="2FB7C436"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694.4</w:t>
            </w:r>
          </w:p>
        </w:tc>
        <w:tc>
          <w:tcPr>
            <w:tcW w:w="987" w:type="dxa"/>
            <w:tcBorders>
              <w:top w:val="single" w:sz="4" w:space="0" w:color="53565A" w:themeColor="accent5"/>
              <w:bottom w:val="single" w:sz="4" w:space="0" w:color="53565A" w:themeColor="accent5"/>
            </w:tcBorders>
          </w:tcPr>
          <w:p w14:paraId="14E1358A" w14:textId="68B9D67F"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(8)</w:t>
            </w:r>
          </w:p>
        </w:tc>
        <w:tc>
          <w:tcPr>
            <w:tcW w:w="987" w:type="dxa"/>
            <w:tcBorders>
              <w:top w:val="single" w:sz="4" w:space="0" w:color="53565A" w:themeColor="accent5"/>
              <w:bottom w:val="single" w:sz="4" w:space="0" w:color="53565A" w:themeColor="accent5"/>
            </w:tcBorders>
          </w:tcPr>
          <w:p w14:paraId="1ECFBC89" w14:textId="4DAE6AF5"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(57.5)</w:t>
            </w:r>
          </w:p>
        </w:tc>
      </w:tr>
      <w:tr w:rsidR="009E15A8" w:rsidRPr="005734B8" w14:paraId="5CEA8EC9" w14:textId="3224645E" w:rsidTr="000F48B1">
        <w:trPr>
          <w:cantSplit/>
        </w:trPr>
        <w:tc>
          <w:tcPr>
            <w:tcW w:w="1897" w:type="dxa"/>
            <w:tcBorders>
              <w:top w:val="single" w:sz="4" w:space="0" w:color="53565A" w:themeColor="accent5"/>
              <w:bottom w:val="single" w:sz="4" w:space="0" w:color="53565A" w:themeColor="accent5"/>
            </w:tcBorders>
            <w:shd w:val="clear" w:color="auto" w:fill="auto"/>
          </w:tcPr>
          <w:p w14:paraId="3B778387" w14:textId="77777777" w:rsidR="009E15A8" w:rsidRPr="005734B8" w:rsidRDefault="009E15A8" w:rsidP="009E15A8">
            <w:pPr>
              <w:pStyle w:val="ESTablebody"/>
              <w:spacing w:before="100" w:after="100"/>
              <w:rPr>
                <w:rFonts w:ascii="Calibri" w:hAnsi="Calibri" w:cs="Calibri"/>
                <w:sz w:val="18"/>
              </w:rPr>
            </w:pPr>
            <w:r w:rsidRPr="005734B8">
              <w:rPr>
                <w:rFonts w:ascii="Calibri" w:hAnsi="Calibri" w:cs="Calibri"/>
                <w:sz w:val="18"/>
              </w:rPr>
              <w:t>Grants</w:t>
            </w:r>
          </w:p>
        </w:tc>
        <w:tc>
          <w:tcPr>
            <w:tcW w:w="717" w:type="dxa"/>
            <w:tcBorders>
              <w:top w:val="single" w:sz="4" w:space="0" w:color="53565A" w:themeColor="accent5"/>
              <w:bottom w:val="single" w:sz="4" w:space="0" w:color="53565A" w:themeColor="accent5"/>
            </w:tcBorders>
            <w:shd w:val="clear" w:color="auto" w:fill="auto"/>
            <w:vAlign w:val="center"/>
          </w:tcPr>
          <w:p w14:paraId="72FDAECD" w14:textId="0FB7AFED" w:rsidR="009E15A8" w:rsidRPr="005734B8" w:rsidRDefault="00881262" w:rsidP="009E15A8">
            <w:pPr>
              <w:pStyle w:val="ESTablenumberrightaligned"/>
              <w:spacing w:before="100" w:after="100"/>
              <w:rPr>
                <w:rFonts w:ascii="Calibri" w:hAnsi="Calibri" w:cs="Calibri"/>
                <w:sz w:val="18"/>
              </w:rPr>
            </w:pPr>
            <w:r w:rsidRPr="005734B8">
              <w:rPr>
                <w:rFonts w:ascii="Calibri" w:hAnsi="Calibri" w:cs="Calibri"/>
                <w:sz w:val="18"/>
              </w:rPr>
              <w:t>d</w:t>
            </w:r>
          </w:p>
        </w:tc>
        <w:tc>
          <w:tcPr>
            <w:tcW w:w="1117" w:type="dxa"/>
            <w:tcBorders>
              <w:top w:val="single" w:sz="4" w:space="0" w:color="53565A" w:themeColor="accent5"/>
              <w:bottom w:val="single" w:sz="4" w:space="0" w:color="53565A" w:themeColor="accent5"/>
            </w:tcBorders>
            <w:shd w:val="clear" w:color="auto" w:fill="D9D9D6" w:themeFill="accent6"/>
          </w:tcPr>
          <w:p w14:paraId="0927E9BC" w14:textId="31F800AA"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69.1</w:t>
            </w:r>
          </w:p>
        </w:tc>
        <w:tc>
          <w:tcPr>
            <w:tcW w:w="1467" w:type="dxa"/>
            <w:tcBorders>
              <w:top w:val="single" w:sz="4" w:space="0" w:color="53565A" w:themeColor="accent5"/>
              <w:bottom w:val="single" w:sz="4" w:space="0" w:color="53565A" w:themeColor="accent5"/>
            </w:tcBorders>
          </w:tcPr>
          <w:p w14:paraId="5B3E7D21" w14:textId="7B1A11C3"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44.5</w:t>
            </w:r>
          </w:p>
        </w:tc>
        <w:tc>
          <w:tcPr>
            <w:tcW w:w="987" w:type="dxa"/>
            <w:tcBorders>
              <w:top w:val="single" w:sz="4" w:space="0" w:color="53565A" w:themeColor="accent5"/>
              <w:bottom w:val="single" w:sz="4" w:space="0" w:color="53565A" w:themeColor="accent5"/>
            </w:tcBorders>
          </w:tcPr>
          <w:p w14:paraId="07533ECC" w14:textId="5047838B"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55</w:t>
            </w:r>
          </w:p>
        </w:tc>
        <w:tc>
          <w:tcPr>
            <w:tcW w:w="987" w:type="dxa"/>
            <w:tcBorders>
              <w:top w:val="single" w:sz="4" w:space="0" w:color="53565A" w:themeColor="accent5"/>
              <w:bottom w:val="single" w:sz="4" w:space="0" w:color="53565A" w:themeColor="accent5"/>
            </w:tcBorders>
          </w:tcPr>
          <w:p w14:paraId="1F9CC97D" w14:textId="05E472FB"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24.6</w:t>
            </w:r>
          </w:p>
        </w:tc>
      </w:tr>
      <w:tr w:rsidR="009E15A8" w:rsidRPr="005734B8" w14:paraId="3CED6694" w14:textId="2FEAA0C3" w:rsidTr="000F48B1">
        <w:trPr>
          <w:cantSplit/>
        </w:trPr>
        <w:tc>
          <w:tcPr>
            <w:tcW w:w="1897" w:type="dxa"/>
            <w:tcBorders>
              <w:top w:val="single" w:sz="4" w:space="0" w:color="53565A" w:themeColor="accent5"/>
              <w:bottom w:val="single" w:sz="18" w:space="0" w:color="53565A" w:themeColor="accent5"/>
            </w:tcBorders>
            <w:shd w:val="clear" w:color="auto" w:fill="auto"/>
          </w:tcPr>
          <w:p w14:paraId="271A26D9" w14:textId="77777777" w:rsidR="009E15A8" w:rsidRPr="005734B8" w:rsidRDefault="009E15A8" w:rsidP="009E15A8">
            <w:pPr>
              <w:pStyle w:val="ESTablebody"/>
              <w:spacing w:before="100" w:after="100"/>
              <w:rPr>
                <w:rFonts w:ascii="Calibri" w:hAnsi="Calibri" w:cs="Calibri"/>
                <w:sz w:val="18"/>
              </w:rPr>
            </w:pPr>
            <w:r w:rsidRPr="005734B8">
              <w:rPr>
                <w:rFonts w:ascii="Calibri" w:hAnsi="Calibri" w:cs="Calibri"/>
                <w:sz w:val="18"/>
              </w:rPr>
              <w:t>Other income</w:t>
            </w:r>
          </w:p>
        </w:tc>
        <w:tc>
          <w:tcPr>
            <w:tcW w:w="717" w:type="dxa"/>
            <w:tcBorders>
              <w:top w:val="single" w:sz="4" w:space="0" w:color="53565A" w:themeColor="accent5"/>
              <w:bottom w:val="single" w:sz="18" w:space="0" w:color="53565A" w:themeColor="accent5"/>
            </w:tcBorders>
            <w:shd w:val="clear" w:color="auto" w:fill="auto"/>
            <w:vAlign w:val="center"/>
          </w:tcPr>
          <w:p w14:paraId="31511DFD" w14:textId="496FA1D0"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e</w:t>
            </w:r>
          </w:p>
        </w:tc>
        <w:tc>
          <w:tcPr>
            <w:tcW w:w="1117" w:type="dxa"/>
            <w:tcBorders>
              <w:top w:val="single" w:sz="4" w:space="0" w:color="53565A" w:themeColor="accent5"/>
              <w:bottom w:val="single" w:sz="18" w:space="0" w:color="53565A" w:themeColor="accent5"/>
            </w:tcBorders>
            <w:shd w:val="clear" w:color="auto" w:fill="D9D9D6" w:themeFill="accent6"/>
          </w:tcPr>
          <w:p w14:paraId="0FF82D82" w14:textId="49E621CD"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327.2</w:t>
            </w:r>
          </w:p>
        </w:tc>
        <w:tc>
          <w:tcPr>
            <w:tcW w:w="1467" w:type="dxa"/>
            <w:tcBorders>
              <w:top w:val="single" w:sz="4" w:space="0" w:color="53565A" w:themeColor="accent5"/>
              <w:bottom w:val="single" w:sz="18" w:space="0" w:color="53565A" w:themeColor="accent5"/>
            </w:tcBorders>
          </w:tcPr>
          <w:p w14:paraId="3EF6895A" w14:textId="7C18E811"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364.7</w:t>
            </w:r>
          </w:p>
        </w:tc>
        <w:tc>
          <w:tcPr>
            <w:tcW w:w="987" w:type="dxa"/>
            <w:tcBorders>
              <w:top w:val="single" w:sz="4" w:space="0" w:color="53565A" w:themeColor="accent5"/>
              <w:bottom w:val="single" w:sz="18" w:space="0" w:color="53565A" w:themeColor="accent5"/>
            </w:tcBorders>
          </w:tcPr>
          <w:p w14:paraId="13001338" w14:textId="2AD22E3B"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(10)</w:t>
            </w:r>
          </w:p>
        </w:tc>
        <w:tc>
          <w:tcPr>
            <w:tcW w:w="987" w:type="dxa"/>
            <w:tcBorders>
              <w:top w:val="single" w:sz="4" w:space="0" w:color="53565A" w:themeColor="accent5"/>
              <w:bottom w:val="single" w:sz="18" w:space="0" w:color="53565A" w:themeColor="accent5"/>
            </w:tcBorders>
          </w:tcPr>
          <w:p w14:paraId="04EE16CD" w14:textId="423B93A7"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(37.5)</w:t>
            </w:r>
          </w:p>
        </w:tc>
      </w:tr>
      <w:tr w:rsidR="009E15A8" w:rsidRPr="005734B8" w14:paraId="4FDA75CD" w14:textId="5B7333DD" w:rsidTr="000F48B1">
        <w:trPr>
          <w:cantSplit/>
        </w:trPr>
        <w:tc>
          <w:tcPr>
            <w:tcW w:w="1897" w:type="dxa"/>
            <w:tcBorders>
              <w:top w:val="single" w:sz="18" w:space="0" w:color="53565A" w:themeColor="accent5"/>
              <w:bottom w:val="single" w:sz="4" w:space="0" w:color="53565A" w:themeColor="accent5"/>
            </w:tcBorders>
            <w:shd w:val="clear" w:color="auto" w:fill="auto"/>
          </w:tcPr>
          <w:p w14:paraId="7A8506C4" w14:textId="77777777" w:rsidR="009E15A8" w:rsidRPr="005734B8" w:rsidRDefault="009E15A8" w:rsidP="009E15A8">
            <w:pPr>
              <w:pStyle w:val="ESTablebody"/>
              <w:spacing w:before="100" w:after="100"/>
              <w:rPr>
                <w:rFonts w:ascii="Calibri" w:hAnsi="Calibri" w:cs="Calibri"/>
                <w:b/>
                <w:sz w:val="18"/>
              </w:rPr>
            </w:pPr>
            <w:r w:rsidRPr="005734B8">
              <w:rPr>
                <w:rFonts w:ascii="Calibri" w:hAnsi="Calibri" w:cs="Calibri"/>
                <w:b/>
                <w:sz w:val="18"/>
              </w:rPr>
              <w:t>Total income from transactions</w:t>
            </w:r>
          </w:p>
        </w:tc>
        <w:tc>
          <w:tcPr>
            <w:tcW w:w="717" w:type="dxa"/>
            <w:tcBorders>
              <w:top w:val="single" w:sz="18" w:space="0" w:color="53565A" w:themeColor="accent5"/>
              <w:bottom w:val="single" w:sz="4" w:space="0" w:color="53565A" w:themeColor="accent5"/>
            </w:tcBorders>
            <w:shd w:val="clear" w:color="auto" w:fill="auto"/>
            <w:vAlign w:val="center"/>
          </w:tcPr>
          <w:p w14:paraId="5C618696" w14:textId="77777777" w:rsidR="009E15A8" w:rsidRPr="005734B8" w:rsidRDefault="009E15A8" w:rsidP="009E15A8">
            <w:pPr>
              <w:pStyle w:val="ESTablenumberrightaligned"/>
              <w:spacing w:before="100" w:after="100"/>
              <w:rPr>
                <w:rFonts w:ascii="Calibri" w:hAnsi="Calibri" w:cs="Calibri"/>
                <w:b/>
                <w:sz w:val="18"/>
              </w:rPr>
            </w:pPr>
          </w:p>
        </w:tc>
        <w:tc>
          <w:tcPr>
            <w:tcW w:w="1117" w:type="dxa"/>
            <w:tcBorders>
              <w:top w:val="single" w:sz="18" w:space="0" w:color="53565A" w:themeColor="accent5"/>
              <w:bottom w:val="single" w:sz="4" w:space="0" w:color="53565A" w:themeColor="accent5"/>
            </w:tcBorders>
            <w:shd w:val="clear" w:color="auto" w:fill="D9D9D6" w:themeFill="accent6"/>
          </w:tcPr>
          <w:p w14:paraId="24750C39" w14:textId="3F3C85BD"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17,179.9</w:t>
            </w:r>
          </w:p>
        </w:tc>
        <w:tc>
          <w:tcPr>
            <w:tcW w:w="1467" w:type="dxa"/>
            <w:tcBorders>
              <w:top w:val="single" w:sz="18" w:space="0" w:color="53565A" w:themeColor="accent5"/>
              <w:bottom w:val="single" w:sz="4" w:space="0" w:color="53565A" w:themeColor="accent5"/>
            </w:tcBorders>
          </w:tcPr>
          <w:p w14:paraId="3962B77B" w14:textId="2258C273"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17,400.8</w:t>
            </w:r>
          </w:p>
        </w:tc>
        <w:tc>
          <w:tcPr>
            <w:tcW w:w="987" w:type="dxa"/>
            <w:tcBorders>
              <w:top w:val="single" w:sz="18" w:space="0" w:color="53565A" w:themeColor="accent5"/>
              <w:bottom w:val="single" w:sz="4" w:space="0" w:color="53565A" w:themeColor="accent5"/>
            </w:tcBorders>
          </w:tcPr>
          <w:p w14:paraId="1B25BC2F" w14:textId="249CA5CD"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(1)</w:t>
            </w:r>
          </w:p>
        </w:tc>
        <w:tc>
          <w:tcPr>
            <w:tcW w:w="987" w:type="dxa"/>
            <w:tcBorders>
              <w:top w:val="single" w:sz="18" w:space="0" w:color="53565A" w:themeColor="accent5"/>
              <w:bottom w:val="single" w:sz="4" w:space="0" w:color="53565A" w:themeColor="accent5"/>
            </w:tcBorders>
          </w:tcPr>
          <w:p w14:paraId="11B10A07" w14:textId="71282894"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(221.0)</w:t>
            </w:r>
          </w:p>
        </w:tc>
      </w:tr>
      <w:tr w:rsidR="00ED74EC" w:rsidRPr="005734B8" w14:paraId="710A8067" w14:textId="2C6EC69E" w:rsidTr="00843378">
        <w:trPr>
          <w:cantSplit/>
        </w:trPr>
        <w:tc>
          <w:tcPr>
            <w:tcW w:w="1897" w:type="dxa"/>
            <w:tcBorders>
              <w:top w:val="single" w:sz="4" w:space="0" w:color="53565A" w:themeColor="accent5"/>
              <w:bottom w:val="single" w:sz="4" w:space="0" w:color="53565A" w:themeColor="accent5"/>
              <w:right w:val="nil"/>
            </w:tcBorders>
            <w:shd w:val="clear" w:color="auto" w:fill="D9D9D6" w:themeFill="accent6"/>
          </w:tcPr>
          <w:p w14:paraId="0AE6095A" w14:textId="77777777" w:rsidR="00ED74EC" w:rsidRPr="005734B8" w:rsidRDefault="00ED74EC" w:rsidP="00CB1231">
            <w:pPr>
              <w:pStyle w:val="ESTablebody"/>
              <w:spacing w:before="100" w:after="100"/>
              <w:rPr>
                <w:rFonts w:ascii="Calibri" w:hAnsi="Calibri" w:cs="Calibri"/>
                <w:b/>
                <w:sz w:val="18"/>
              </w:rPr>
            </w:pPr>
            <w:r w:rsidRPr="005734B8">
              <w:rPr>
                <w:rFonts w:ascii="Calibri" w:hAnsi="Calibri" w:cs="Calibri"/>
                <w:b/>
                <w:sz w:val="18"/>
              </w:rPr>
              <w:t>Expenses from transactions</w:t>
            </w:r>
          </w:p>
        </w:tc>
        <w:tc>
          <w:tcPr>
            <w:tcW w:w="717" w:type="dxa"/>
            <w:tcBorders>
              <w:top w:val="single" w:sz="4" w:space="0" w:color="53565A" w:themeColor="accent5"/>
              <w:left w:val="nil"/>
              <w:bottom w:val="single" w:sz="4" w:space="0" w:color="53565A" w:themeColor="accent5"/>
              <w:right w:val="nil"/>
            </w:tcBorders>
            <w:shd w:val="clear" w:color="auto" w:fill="D9D9D6" w:themeFill="accent6"/>
            <w:vAlign w:val="center"/>
          </w:tcPr>
          <w:p w14:paraId="360166F0" w14:textId="77777777" w:rsidR="00ED74EC" w:rsidRPr="005734B8" w:rsidRDefault="00ED74EC" w:rsidP="00CB1231">
            <w:pPr>
              <w:pStyle w:val="ESTablenumberrightaligned"/>
              <w:spacing w:before="100" w:after="100"/>
              <w:rPr>
                <w:rFonts w:ascii="Calibri" w:hAnsi="Calibri" w:cs="Calibri"/>
                <w:b/>
                <w:sz w:val="18"/>
              </w:rPr>
            </w:pPr>
          </w:p>
        </w:tc>
        <w:tc>
          <w:tcPr>
            <w:tcW w:w="1117" w:type="dxa"/>
            <w:tcBorders>
              <w:top w:val="single" w:sz="4" w:space="0" w:color="53565A" w:themeColor="accent5"/>
              <w:left w:val="nil"/>
              <w:bottom w:val="single" w:sz="4" w:space="0" w:color="53565A" w:themeColor="accent5"/>
              <w:right w:val="nil"/>
            </w:tcBorders>
            <w:shd w:val="clear" w:color="auto" w:fill="D9D9D6" w:themeFill="accent6"/>
            <w:vAlign w:val="center"/>
          </w:tcPr>
          <w:p w14:paraId="6ED6C33A" w14:textId="017B515B" w:rsidR="00ED74EC" w:rsidRPr="005734B8" w:rsidRDefault="008C5BEA" w:rsidP="00CB1231">
            <w:pPr>
              <w:pStyle w:val="ESTablenumberrightaligned"/>
              <w:spacing w:before="100" w:after="100"/>
              <w:rPr>
                <w:rFonts w:ascii="Calibri" w:hAnsi="Calibri" w:cs="Calibri"/>
                <w:b/>
                <w:sz w:val="18"/>
              </w:rPr>
            </w:pPr>
            <w:r w:rsidRPr="005734B8">
              <w:rPr>
                <w:rFonts w:ascii="Calibri" w:hAnsi="Calibri" w:cs="Calibri"/>
                <w:color w:val="D9D9D9"/>
                <w:sz w:val="18"/>
              </w:rPr>
              <w:t>–</w:t>
            </w:r>
          </w:p>
        </w:tc>
        <w:tc>
          <w:tcPr>
            <w:tcW w:w="1467" w:type="dxa"/>
            <w:tcBorders>
              <w:top w:val="single" w:sz="4" w:space="0" w:color="53565A" w:themeColor="accent5"/>
              <w:left w:val="nil"/>
              <w:bottom w:val="single" w:sz="4" w:space="0" w:color="53565A" w:themeColor="accent5"/>
              <w:right w:val="nil"/>
            </w:tcBorders>
            <w:shd w:val="clear" w:color="auto" w:fill="D9D9D6" w:themeFill="accent6"/>
            <w:vAlign w:val="center"/>
          </w:tcPr>
          <w:p w14:paraId="400C7132" w14:textId="72DD9559" w:rsidR="00ED74EC" w:rsidRPr="005734B8" w:rsidRDefault="00ED74EC" w:rsidP="00CB1231">
            <w:pPr>
              <w:pStyle w:val="ESTablenumberrightaligned"/>
              <w:spacing w:before="100" w:after="100"/>
              <w:rPr>
                <w:rFonts w:ascii="Calibri" w:hAnsi="Calibri" w:cs="Calibri"/>
                <w:b/>
                <w:sz w:val="18"/>
              </w:rPr>
            </w:pPr>
          </w:p>
        </w:tc>
        <w:tc>
          <w:tcPr>
            <w:tcW w:w="987" w:type="dxa"/>
            <w:tcBorders>
              <w:top w:val="single" w:sz="4" w:space="0" w:color="53565A" w:themeColor="accent5"/>
              <w:left w:val="nil"/>
              <w:bottom w:val="single" w:sz="4" w:space="0" w:color="53565A" w:themeColor="accent5"/>
              <w:right w:val="nil"/>
            </w:tcBorders>
            <w:shd w:val="clear" w:color="auto" w:fill="D9D9D6" w:themeFill="accent6"/>
            <w:vAlign w:val="center"/>
          </w:tcPr>
          <w:p w14:paraId="385F5F02" w14:textId="77777777" w:rsidR="00ED74EC" w:rsidRPr="005734B8" w:rsidRDefault="00ED74EC" w:rsidP="00CB1231">
            <w:pPr>
              <w:pStyle w:val="ESTablenumberrightaligned"/>
              <w:spacing w:before="100" w:after="100"/>
              <w:rPr>
                <w:rFonts w:ascii="Calibri" w:hAnsi="Calibri" w:cs="Calibri"/>
                <w:b/>
                <w:sz w:val="18"/>
              </w:rPr>
            </w:pPr>
          </w:p>
        </w:tc>
        <w:tc>
          <w:tcPr>
            <w:tcW w:w="987" w:type="dxa"/>
            <w:tcBorders>
              <w:top w:val="single" w:sz="4" w:space="0" w:color="53565A" w:themeColor="accent5"/>
              <w:left w:val="nil"/>
              <w:bottom w:val="single" w:sz="4" w:space="0" w:color="53565A" w:themeColor="accent5"/>
            </w:tcBorders>
            <w:shd w:val="clear" w:color="auto" w:fill="D9D9D6" w:themeFill="accent6"/>
            <w:vAlign w:val="center"/>
          </w:tcPr>
          <w:p w14:paraId="3DCCB362" w14:textId="77777777" w:rsidR="00ED74EC" w:rsidRPr="005734B8" w:rsidRDefault="00ED74EC" w:rsidP="00CB1231">
            <w:pPr>
              <w:pStyle w:val="ESTablenumberrightaligned"/>
              <w:spacing w:before="100" w:after="100"/>
              <w:rPr>
                <w:rFonts w:ascii="Calibri" w:hAnsi="Calibri" w:cs="Calibri"/>
                <w:b/>
                <w:sz w:val="18"/>
              </w:rPr>
            </w:pPr>
          </w:p>
        </w:tc>
      </w:tr>
      <w:tr w:rsidR="009E15A8" w:rsidRPr="005734B8" w14:paraId="74C65821" w14:textId="7C78A9F4" w:rsidTr="000F48B1">
        <w:trPr>
          <w:cantSplit/>
        </w:trPr>
        <w:tc>
          <w:tcPr>
            <w:tcW w:w="1897" w:type="dxa"/>
            <w:tcBorders>
              <w:top w:val="single" w:sz="4" w:space="0" w:color="53565A" w:themeColor="accent5"/>
              <w:bottom w:val="single" w:sz="4" w:space="0" w:color="53565A" w:themeColor="accent5"/>
            </w:tcBorders>
            <w:shd w:val="clear" w:color="auto" w:fill="auto"/>
          </w:tcPr>
          <w:p w14:paraId="3AECEC66" w14:textId="77777777" w:rsidR="009E15A8" w:rsidRPr="005734B8" w:rsidRDefault="009E15A8" w:rsidP="009E15A8">
            <w:pPr>
              <w:pStyle w:val="ESTablebody"/>
              <w:spacing w:before="100" w:after="100"/>
              <w:rPr>
                <w:rFonts w:ascii="Calibri" w:hAnsi="Calibri" w:cs="Calibri"/>
                <w:sz w:val="18"/>
              </w:rPr>
            </w:pPr>
            <w:r w:rsidRPr="005734B8">
              <w:rPr>
                <w:rFonts w:ascii="Calibri" w:hAnsi="Calibri" w:cs="Calibri"/>
                <w:sz w:val="18"/>
              </w:rPr>
              <w:t>Employee benefits</w:t>
            </w:r>
          </w:p>
        </w:tc>
        <w:tc>
          <w:tcPr>
            <w:tcW w:w="717" w:type="dxa"/>
            <w:tcBorders>
              <w:top w:val="single" w:sz="4" w:space="0" w:color="53565A" w:themeColor="accent5"/>
              <w:bottom w:val="single" w:sz="4" w:space="0" w:color="53565A" w:themeColor="accent5"/>
            </w:tcBorders>
            <w:shd w:val="clear" w:color="auto" w:fill="auto"/>
            <w:vAlign w:val="center"/>
          </w:tcPr>
          <w:p w14:paraId="2E35DDFF" w14:textId="5C4FF605"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f</w:t>
            </w:r>
          </w:p>
        </w:tc>
        <w:tc>
          <w:tcPr>
            <w:tcW w:w="1117" w:type="dxa"/>
            <w:tcBorders>
              <w:top w:val="single" w:sz="4" w:space="0" w:color="53565A" w:themeColor="accent5"/>
              <w:bottom w:val="single" w:sz="4" w:space="0" w:color="53565A" w:themeColor="accent5"/>
            </w:tcBorders>
            <w:shd w:val="clear" w:color="auto" w:fill="D9D9D6" w:themeFill="accent6"/>
          </w:tcPr>
          <w:p w14:paraId="63924A6A" w14:textId="0399B689"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(8,894.0)</w:t>
            </w:r>
          </w:p>
        </w:tc>
        <w:tc>
          <w:tcPr>
            <w:tcW w:w="1467" w:type="dxa"/>
            <w:tcBorders>
              <w:top w:val="single" w:sz="4" w:space="0" w:color="53565A" w:themeColor="accent5"/>
              <w:bottom w:val="single" w:sz="4" w:space="0" w:color="53565A" w:themeColor="accent5"/>
            </w:tcBorders>
          </w:tcPr>
          <w:p w14:paraId="7E3DA8FC" w14:textId="7B779465"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(8,673.8)</w:t>
            </w:r>
          </w:p>
        </w:tc>
        <w:tc>
          <w:tcPr>
            <w:tcW w:w="987" w:type="dxa"/>
            <w:tcBorders>
              <w:top w:val="single" w:sz="4" w:space="0" w:color="53565A" w:themeColor="accent5"/>
              <w:bottom w:val="single" w:sz="4" w:space="0" w:color="53565A" w:themeColor="accent5"/>
            </w:tcBorders>
          </w:tcPr>
          <w:p w14:paraId="1E88BBA4" w14:textId="464754C3"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3</w:t>
            </w:r>
          </w:p>
        </w:tc>
        <w:tc>
          <w:tcPr>
            <w:tcW w:w="987" w:type="dxa"/>
            <w:tcBorders>
              <w:top w:val="single" w:sz="4" w:space="0" w:color="53565A" w:themeColor="accent5"/>
              <w:bottom w:val="single" w:sz="4" w:space="0" w:color="53565A" w:themeColor="accent5"/>
            </w:tcBorders>
          </w:tcPr>
          <w:p w14:paraId="7E935239" w14:textId="3DCF63F9"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(220.1)</w:t>
            </w:r>
          </w:p>
        </w:tc>
      </w:tr>
      <w:tr w:rsidR="009E15A8" w:rsidRPr="005734B8" w14:paraId="48BBB1CC" w14:textId="475F1EE6" w:rsidTr="000F48B1">
        <w:trPr>
          <w:cantSplit/>
        </w:trPr>
        <w:tc>
          <w:tcPr>
            <w:tcW w:w="1897" w:type="dxa"/>
            <w:tcBorders>
              <w:top w:val="single" w:sz="4" w:space="0" w:color="53565A" w:themeColor="accent5"/>
              <w:bottom w:val="single" w:sz="4" w:space="0" w:color="53565A" w:themeColor="accent5"/>
            </w:tcBorders>
            <w:shd w:val="clear" w:color="auto" w:fill="auto"/>
          </w:tcPr>
          <w:p w14:paraId="782FDAE7" w14:textId="77777777" w:rsidR="009E15A8" w:rsidRPr="005734B8" w:rsidRDefault="009E15A8" w:rsidP="009E15A8">
            <w:pPr>
              <w:pStyle w:val="ESTablebody"/>
              <w:spacing w:before="100" w:after="100"/>
              <w:rPr>
                <w:rFonts w:ascii="Calibri" w:hAnsi="Calibri" w:cs="Calibri"/>
                <w:sz w:val="18"/>
              </w:rPr>
            </w:pPr>
            <w:r w:rsidRPr="005734B8">
              <w:rPr>
                <w:rFonts w:ascii="Calibri" w:hAnsi="Calibri" w:cs="Calibri"/>
                <w:sz w:val="18"/>
              </w:rPr>
              <w:t>Depreciation and amortisation</w:t>
            </w:r>
          </w:p>
        </w:tc>
        <w:tc>
          <w:tcPr>
            <w:tcW w:w="717" w:type="dxa"/>
            <w:tcBorders>
              <w:top w:val="single" w:sz="4" w:space="0" w:color="53565A" w:themeColor="accent5"/>
              <w:bottom w:val="single" w:sz="4" w:space="0" w:color="53565A" w:themeColor="accent5"/>
            </w:tcBorders>
            <w:shd w:val="clear" w:color="auto" w:fill="auto"/>
            <w:vAlign w:val="center"/>
          </w:tcPr>
          <w:p w14:paraId="5EEDC5EE" w14:textId="029E0A64" w:rsidR="009E15A8" w:rsidRPr="005734B8" w:rsidRDefault="009E15A8" w:rsidP="009E15A8">
            <w:pPr>
              <w:pStyle w:val="ESTablenumberrightaligned"/>
              <w:spacing w:before="100" w:after="100"/>
              <w:rPr>
                <w:rFonts w:ascii="Calibri" w:hAnsi="Calibri" w:cs="Calibri"/>
                <w:sz w:val="18"/>
              </w:rPr>
            </w:pPr>
          </w:p>
        </w:tc>
        <w:tc>
          <w:tcPr>
            <w:tcW w:w="1117" w:type="dxa"/>
            <w:tcBorders>
              <w:top w:val="single" w:sz="4" w:space="0" w:color="53565A" w:themeColor="accent5"/>
              <w:bottom w:val="single" w:sz="4" w:space="0" w:color="53565A" w:themeColor="accent5"/>
            </w:tcBorders>
            <w:shd w:val="clear" w:color="auto" w:fill="D9D9D6" w:themeFill="accent6"/>
          </w:tcPr>
          <w:p w14:paraId="62CF1898" w14:textId="7147FD75"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(558.9)</w:t>
            </w:r>
          </w:p>
        </w:tc>
        <w:tc>
          <w:tcPr>
            <w:tcW w:w="1467" w:type="dxa"/>
            <w:tcBorders>
              <w:top w:val="single" w:sz="4" w:space="0" w:color="53565A" w:themeColor="accent5"/>
              <w:bottom w:val="single" w:sz="4" w:space="0" w:color="53565A" w:themeColor="accent5"/>
            </w:tcBorders>
          </w:tcPr>
          <w:p w14:paraId="3DEF76F4" w14:textId="55FAB2E1"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(575.1)</w:t>
            </w:r>
          </w:p>
        </w:tc>
        <w:tc>
          <w:tcPr>
            <w:tcW w:w="987" w:type="dxa"/>
            <w:tcBorders>
              <w:top w:val="single" w:sz="4" w:space="0" w:color="53565A" w:themeColor="accent5"/>
              <w:bottom w:val="single" w:sz="4" w:space="0" w:color="53565A" w:themeColor="accent5"/>
            </w:tcBorders>
          </w:tcPr>
          <w:p w14:paraId="26B35286" w14:textId="4B155FF4"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(3)</w:t>
            </w:r>
          </w:p>
        </w:tc>
        <w:tc>
          <w:tcPr>
            <w:tcW w:w="987" w:type="dxa"/>
            <w:tcBorders>
              <w:top w:val="single" w:sz="4" w:space="0" w:color="53565A" w:themeColor="accent5"/>
              <w:bottom w:val="single" w:sz="4" w:space="0" w:color="53565A" w:themeColor="accent5"/>
            </w:tcBorders>
          </w:tcPr>
          <w:p w14:paraId="48719707" w14:textId="6D7A1C33"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16.2</w:t>
            </w:r>
          </w:p>
        </w:tc>
      </w:tr>
      <w:tr w:rsidR="009E15A8" w:rsidRPr="005734B8" w14:paraId="2847C871" w14:textId="39BCCEFD" w:rsidTr="000F48B1">
        <w:trPr>
          <w:cantSplit/>
        </w:trPr>
        <w:tc>
          <w:tcPr>
            <w:tcW w:w="1897" w:type="dxa"/>
            <w:tcBorders>
              <w:top w:val="single" w:sz="4" w:space="0" w:color="53565A" w:themeColor="accent5"/>
              <w:bottom w:val="single" w:sz="4" w:space="0" w:color="53565A" w:themeColor="accent5"/>
            </w:tcBorders>
            <w:shd w:val="clear" w:color="auto" w:fill="auto"/>
          </w:tcPr>
          <w:p w14:paraId="63A0B92C" w14:textId="77777777" w:rsidR="009E15A8" w:rsidRPr="005734B8" w:rsidRDefault="009E15A8" w:rsidP="009E15A8">
            <w:pPr>
              <w:pStyle w:val="ESTablebody"/>
              <w:spacing w:before="100" w:after="100"/>
              <w:rPr>
                <w:rFonts w:ascii="Calibri" w:hAnsi="Calibri" w:cs="Calibri"/>
                <w:sz w:val="18"/>
              </w:rPr>
            </w:pPr>
            <w:r w:rsidRPr="005734B8">
              <w:rPr>
                <w:rFonts w:ascii="Calibri" w:hAnsi="Calibri" w:cs="Calibri"/>
                <w:sz w:val="18"/>
              </w:rPr>
              <w:t>Interest expense</w:t>
            </w:r>
          </w:p>
        </w:tc>
        <w:tc>
          <w:tcPr>
            <w:tcW w:w="717" w:type="dxa"/>
            <w:tcBorders>
              <w:top w:val="single" w:sz="4" w:space="0" w:color="53565A" w:themeColor="accent5"/>
              <w:bottom w:val="single" w:sz="4" w:space="0" w:color="53565A" w:themeColor="accent5"/>
            </w:tcBorders>
            <w:shd w:val="clear" w:color="auto" w:fill="auto"/>
            <w:vAlign w:val="center"/>
          </w:tcPr>
          <w:p w14:paraId="27ECB390" w14:textId="04015960" w:rsidR="009E15A8" w:rsidRPr="005734B8" w:rsidRDefault="009E15A8" w:rsidP="009E15A8">
            <w:pPr>
              <w:pStyle w:val="ESTablenumberrightaligned"/>
              <w:spacing w:before="100" w:after="100"/>
              <w:rPr>
                <w:rFonts w:ascii="Calibri" w:hAnsi="Calibri" w:cs="Calibri"/>
                <w:sz w:val="18"/>
              </w:rPr>
            </w:pPr>
          </w:p>
        </w:tc>
        <w:tc>
          <w:tcPr>
            <w:tcW w:w="1117" w:type="dxa"/>
            <w:tcBorders>
              <w:top w:val="single" w:sz="4" w:space="0" w:color="53565A" w:themeColor="accent5"/>
              <w:bottom w:val="single" w:sz="4" w:space="0" w:color="53565A" w:themeColor="accent5"/>
            </w:tcBorders>
            <w:shd w:val="clear" w:color="auto" w:fill="D9D9D6" w:themeFill="accent6"/>
          </w:tcPr>
          <w:p w14:paraId="3EB16857" w14:textId="7DD2129D"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(27.8)</w:t>
            </w:r>
          </w:p>
        </w:tc>
        <w:tc>
          <w:tcPr>
            <w:tcW w:w="1467" w:type="dxa"/>
            <w:tcBorders>
              <w:top w:val="single" w:sz="4" w:space="0" w:color="53565A" w:themeColor="accent5"/>
              <w:bottom w:val="single" w:sz="4" w:space="0" w:color="53565A" w:themeColor="accent5"/>
            </w:tcBorders>
          </w:tcPr>
          <w:p w14:paraId="36FCA0F5" w14:textId="31AAD95D"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(29.0)</w:t>
            </w:r>
          </w:p>
        </w:tc>
        <w:tc>
          <w:tcPr>
            <w:tcW w:w="987" w:type="dxa"/>
            <w:tcBorders>
              <w:top w:val="single" w:sz="4" w:space="0" w:color="53565A" w:themeColor="accent5"/>
              <w:bottom w:val="single" w:sz="4" w:space="0" w:color="53565A" w:themeColor="accent5"/>
            </w:tcBorders>
          </w:tcPr>
          <w:p w14:paraId="14B79832" w14:textId="76992B96"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(4)</w:t>
            </w:r>
          </w:p>
        </w:tc>
        <w:tc>
          <w:tcPr>
            <w:tcW w:w="987" w:type="dxa"/>
            <w:tcBorders>
              <w:top w:val="single" w:sz="4" w:space="0" w:color="53565A" w:themeColor="accent5"/>
              <w:bottom w:val="single" w:sz="4" w:space="0" w:color="53565A" w:themeColor="accent5"/>
            </w:tcBorders>
          </w:tcPr>
          <w:p w14:paraId="62566AB0" w14:textId="02317577"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1.2</w:t>
            </w:r>
          </w:p>
        </w:tc>
      </w:tr>
      <w:tr w:rsidR="009E15A8" w:rsidRPr="005734B8" w14:paraId="1A9E25BD" w14:textId="175A6ACD" w:rsidTr="000F48B1">
        <w:trPr>
          <w:cantSplit/>
        </w:trPr>
        <w:tc>
          <w:tcPr>
            <w:tcW w:w="1897" w:type="dxa"/>
            <w:tcBorders>
              <w:top w:val="single" w:sz="4" w:space="0" w:color="53565A" w:themeColor="accent5"/>
              <w:bottom w:val="single" w:sz="4" w:space="0" w:color="53565A" w:themeColor="accent5"/>
            </w:tcBorders>
            <w:shd w:val="clear" w:color="auto" w:fill="auto"/>
          </w:tcPr>
          <w:p w14:paraId="64E15D1B" w14:textId="77777777" w:rsidR="009E15A8" w:rsidRPr="005734B8" w:rsidRDefault="009E15A8" w:rsidP="009E15A8">
            <w:pPr>
              <w:pStyle w:val="ESTablebody"/>
              <w:spacing w:before="100" w:after="100"/>
              <w:rPr>
                <w:rFonts w:ascii="Calibri" w:hAnsi="Calibri" w:cs="Calibri"/>
                <w:sz w:val="18"/>
              </w:rPr>
            </w:pPr>
            <w:r w:rsidRPr="005734B8">
              <w:rPr>
                <w:rFonts w:ascii="Calibri" w:hAnsi="Calibri" w:cs="Calibri"/>
                <w:sz w:val="18"/>
              </w:rPr>
              <w:t xml:space="preserve">Grant and other transfers </w:t>
            </w:r>
          </w:p>
        </w:tc>
        <w:tc>
          <w:tcPr>
            <w:tcW w:w="717" w:type="dxa"/>
            <w:tcBorders>
              <w:top w:val="single" w:sz="4" w:space="0" w:color="53565A" w:themeColor="accent5"/>
              <w:bottom w:val="single" w:sz="4" w:space="0" w:color="53565A" w:themeColor="accent5"/>
            </w:tcBorders>
            <w:shd w:val="clear" w:color="auto" w:fill="auto"/>
            <w:vAlign w:val="center"/>
          </w:tcPr>
          <w:p w14:paraId="34BDCEA5" w14:textId="64334B25"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g</w:t>
            </w:r>
          </w:p>
        </w:tc>
        <w:tc>
          <w:tcPr>
            <w:tcW w:w="1117" w:type="dxa"/>
            <w:tcBorders>
              <w:top w:val="single" w:sz="4" w:space="0" w:color="53565A" w:themeColor="accent5"/>
              <w:bottom w:val="single" w:sz="4" w:space="0" w:color="53565A" w:themeColor="accent5"/>
            </w:tcBorders>
            <w:shd w:val="clear" w:color="auto" w:fill="D9D9D6" w:themeFill="accent6"/>
          </w:tcPr>
          <w:p w14:paraId="70AD50C0" w14:textId="0499B6F3"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(1,647.4)</w:t>
            </w:r>
          </w:p>
        </w:tc>
        <w:tc>
          <w:tcPr>
            <w:tcW w:w="1467" w:type="dxa"/>
            <w:tcBorders>
              <w:top w:val="single" w:sz="4" w:space="0" w:color="53565A" w:themeColor="accent5"/>
              <w:bottom w:val="single" w:sz="4" w:space="0" w:color="53565A" w:themeColor="accent5"/>
            </w:tcBorders>
          </w:tcPr>
          <w:p w14:paraId="43FFDA86" w14:textId="28770B9F"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(1,795.5)</w:t>
            </w:r>
          </w:p>
        </w:tc>
        <w:tc>
          <w:tcPr>
            <w:tcW w:w="987" w:type="dxa"/>
            <w:tcBorders>
              <w:top w:val="single" w:sz="4" w:space="0" w:color="53565A" w:themeColor="accent5"/>
              <w:bottom w:val="single" w:sz="4" w:space="0" w:color="53565A" w:themeColor="accent5"/>
            </w:tcBorders>
          </w:tcPr>
          <w:p w14:paraId="496F1B6C" w14:textId="46DB0032"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(8)</w:t>
            </w:r>
          </w:p>
        </w:tc>
        <w:tc>
          <w:tcPr>
            <w:tcW w:w="987" w:type="dxa"/>
            <w:tcBorders>
              <w:top w:val="single" w:sz="4" w:space="0" w:color="53565A" w:themeColor="accent5"/>
              <w:bottom w:val="single" w:sz="4" w:space="0" w:color="53565A" w:themeColor="accent5"/>
            </w:tcBorders>
          </w:tcPr>
          <w:p w14:paraId="467BE8C8" w14:textId="465A3CB6"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148.1</w:t>
            </w:r>
          </w:p>
        </w:tc>
      </w:tr>
      <w:tr w:rsidR="009E15A8" w:rsidRPr="005734B8" w14:paraId="64C4DD4A" w14:textId="42075194" w:rsidTr="000F48B1">
        <w:trPr>
          <w:cantSplit/>
        </w:trPr>
        <w:tc>
          <w:tcPr>
            <w:tcW w:w="1897" w:type="dxa"/>
            <w:tcBorders>
              <w:top w:val="single" w:sz="4" w:space="0" w:color="53565A" w:themeColor="accent5"/>
              <w:bottom w:val="single" w:sz="4" w:space="0" w:color="53565A" w:themeColor="accent5"/>
            </w:tcBorders>
            <w:shd w:val="clear" w:color="auto" w:fill="auto"/>
          </w:tcPr>
          <w:p w14:paraId="401A7869" w14:textId="77777777" w:rsidR="009E15A8" w:rsidRPr="005734B8" w:rsidRDefault="009E15A8" w:rsidP="009E15A8">
            <w:pPr>
              <w:pStyle w:val="ESTablebody"/>
              <w:spacing w:before="100" w:after="100"/>
              <w:rPr>
                <w:rFonts w:ascii="Calibri" w:hAnsi="Calibri" w:cs="Calibri"/>
                <w:sz w:val="18"/>
              </w:rPr>
            </w:pPr>
            <w:r w:rsidRPr="005734B8">
              <w:rPr>
                <w:rFonts w:ascii="Calibri" w:hAnsi="Calibri" w:cs="Calibri"/>
                <w:sz w:val="18"/>
              </w:rPr>
              <w:t>Capital asset charge</w:t>
            </w:r>
          </w:p>
        </w:tc>
        <w:tc>
          <w:tcPr>
            <w:tcW w:w="717" w:type="dxa"/>
            <w:tcBorders>
              <w:top w:val="single" w:sz="4" w:space="0" w:color="53565A" w:themeColor="accent5"/>
              <w:bottom w:val="single" w:sz="4" w:space="0" w:color="53565A" w:themeColor="accent5"/>
            </w:tcBorders>
            <w:shd w:val="clear" w:color="auto" w:fill="auto"/>
            <w:vAlign w:val="center"/>
          </w:tcPr>
          <w:p w14:paraId="528A2930" w14:textId="77777777" w:rsidR="009E15A8" w:rsidRPr="005734B8" w:rsidRDefault="009E15A8" w:rsidP="009E15A8">
            <w:pPr>
              <w:pStyle w:val="ESTablenumberrightaligned"/>
              <w:spacing w:before="100" w:after="100"/>
              <w:rPr>
                <w:rFonts w:ascii="Calibri" w:hAnsi="Calibri" w:cs="Calibri"/>
                <w:sz w:val="18"/>
              </w:rPr>
            </w:pPr>
          </w:p>
        </w:tc>
        <w:tc>
          <w:tcPr>
            <w:tcW w:w="1117" w:type="dxa"/>
            <w:tcBorders>
              <w:top w:val="single" w:sz="4" w:space="0" w:color="53565A" w:themeColor="accent5"/>
              <w:bottom w:val="single" w:sz="4" w:space="0" w:color="53565A" w:themeColor="accent5"/>
            </w:tcBorders>
            <w:shd w:val="clear" w:color="auto" w:fill="D9D9D6" w:themeFill="accent6"/>
          </w:tcPr>
          <w:p w14:paraId="195AF680" w14:textId="09BB07C1"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(1,996.3)</w:t>
            </w:r>
          </w:p>
        </w:tc>
        <w:tc>
          <w:tcPr>
            <w:tcW w:w="1467" w:type="dxa"/>
            <w:tcBorders>
              <w:top w:val="single" w:sz="4" w:space="0" w:color="53565A" w:themeColor="accent5"/>
              <w:bottom w:val="single" w:sz="4" w:space="0" w:color="53565A" w:themeColor="accent5"/>
            </w:tcBorders>
          </w:tcPr>
          <w:p w14:paraId="51AF3ABB" w14:textId="15BD8D1A"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(1,996.0)</w:t>
            </w:r>
          </w:p>
        </w:tc>
        <w:tc>
          <w:tcPr>
            <w:tcW w:w="987" w:type="dxa"/>
            <w:tcBorders>
              <w:top w:val="single" w:sz="4" w:space="0" w:color="53565A" w:themeColor="accent5"/>
              <w:bottom w:val="single" w:sz="4" w:space="0" w:color="53565A" w:themeColor="accent5"/>
            </w:tcBorders>
          </w:tcPr>
          <w:p w14:paraId="4A6CF48B" w14:textId="1EFE8207"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0</w:t>
            </w:r>
          </w:p>
        </w:tc>
        <w:tc>
          <w:tcPr>
            <w:tcW w:w="987" w:type="dxa"/>
            <w:tcBorders>
              <w:top w:val="single" w:sz="4" w:space="0" w:color="53565A" w:themeColor="accent5"/>
              <w:bottom w:val="single" w:sz="4" w:space="0" w:color="53565A" w:themeColor="accent5"/>
            </w:tcBorders>
          </w:tcPr>
          <w:p w14:paraId="50EE65D1" w14:textId="33C79E93"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(0.3)</w:t>
            </w:r>
          </w:p>
        </w:tc>
      </w:tr>
      <w:tr w:rsidR="009E15A8" w:rsidRPr="005734B8" w14:paraId="31A47FF2" w14:textId="369C8098" w:rsidTr="000F48B1">
        <w:trPr>
          <w:cantSplit/>
        </w:trPr>
        <w:tc>
          <w:tcPr>
            <w:tcW w:w="1897" w:type="dxa"/>
            <w:tcBorders>
              <w:top w:val="single" w:sz="4" w:space="0" w:color="53565A" w:themeColor="accent5"/>
              <w:bottom w:val="single" w:sz="18" w:space="0" w:color="53565A" w:themeColor="accent5"/>
            </w:tcBorders>
            <w:shd w:val="clear" w:color="auto" w:fill="auto"/>
          </w:tcPr>
          <w:p w14:paraId="6F6A3BF8" w14:textId="77777777" w:rsidR="009E15A8" w:rsidRPr="005734B8" w:rsidRDefault="009E15A8" w:rsidP="009E15A8">
            <w:pPr>
              <w:pStyle w:val="ESTablebody"/>
              <w:spacing w:before="100" w:after="100"/>
              <w:rPr>
                <w:rFonts w:ascii="Calibri" w:hAnsi="Calibri" w:cs="Calibri"/>
                <w:sz w:val="18"/>
              </w:rPr>
            </w:pPr>
            <w:r w:rsidRPr="005734B8">
              <w:rPr>
                <w:rFonts w:ascii="Calibri" w:hAnsi="Calibri" w:cs="Calibri"/>
                <w:sz w:val="18"/>
              </w:rPr>
              <w:t xml:space="preserve">Other operating expenses </w:t>
            </w:r>
          </w:p>
        </w:tc>
        <w:tc>
          <w:tcPr>
            <w:tcW w:w="717" w:type="dxa"/>
            <w:tcBorders>
              <w:top w:val="single" w:sz="4" w:space="0" w:color="53565A" w:themeColor="accent5"/>
              <w:bottom w:val="single" w:sz="18" w:space="0" w:color="53565A" w:themeColor="accent5"/>
            </w:tcBorders>
            <w:shd w:val="clear" w:color="auto" w:fill="auto"/>
            <w:vAlign w:val="center"/>
          </w:tcPr>
          <w:p w14:paraId="598B7BFF" w14:textId="7A72C23F"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h</w:t>
            </w:r>
          </w:p>
        </w:tc>
        <w:tc>
          <w:tcPr>
            <w:tcW w:w="1117" w:type="dxa"/>
            <w:tcBorders>
              <w:top w:val="single" w:sz="4" w:space="0" w:color="53565A" w:themeColor="accent5"/>
              <w:bottom w:val="single" w:sz="18" w:space="0" w:color="53565A" w:themeColor="accent5"/>
            </w:tcBorders>
            <w:shd w:val="clear" w:color="auto" w:fill="D9D9D6" w:themeFill="accent6"/>
          </w:tcPr>
          <w:p w14:paraId="5720DCD9" w14:textId="0CFEED68"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(3,425.7)</w:t>
            </w:r>
          </w:p>
        </w:tc>
        <w:tc>
          <w:tcPr>
            <w:tcW w:w="1467" w:type="dxa"/>
            <w:tcBorders>
              <w:top w:val="single" w:sz="4" w:space="0" w:color="53565A" w:themeColor="accent5"/>
              <w:bottom w:val="single" w:sz="18" w:space="0" w:color="53565A" w:themeColor="accent5"/>
            </w:tcBorders>
          </w:tcPr>
          <w:p w14:paraId="22C54A4C" w14:textId="64290614"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(3,923.3)</w:t>
            </w:r>
          </w:p>
        </w:tc>
        <w:tc>
          <w:tcPr>
            <w:tcW w:w="987" w:type="dxa"/>
            <w:tcBorders>
              <w:top w:val="single" w:sz="4" w:space="0" w:color="53565A" w:themeColor="accent5"/>
              <w:bottom w:val="single" w:sz="18" w:space="0" w:color="53565A" w:themeColor="accent5"/>
            </w:tcBorders>
          </w:tcPr>
          <w:p w14:paraId="05C01ACF" w14:textId="31E5E5E5"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(13)</w:t>
            </w:r>
          </w:p>
        </w:tc>
        <w:tc>
          <w:tcPr>
            <w:tcW w:w="987" w:type="dxa"/>
            <w:tcBorders>
              <w:top w:val="single" w:sz="4" w:space="0" w:color="53565A" w:themeColor="accent5"/>
              <w:bottom w:val="single" w:sz="18" w:space="0" w:color="53565A" w:themeColor="accent5"/>
            </w:tcBorders>
          </w:tcPr>
          <w:p w14:paraId="35D11878" w14:textId="3D38BB2F"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497.6</w:t>
            </w:r>
          </w:p>
        </w:tc>
      </w:tr>
      <w:tr w:rsidR="009E15A8" w:rsidRPr="005734B8" w14:paraId="6B8F7DDA" w14:textId="4EDF9A86" w:rsidTr="000F48B1">
        <w:trPr>
          <w:cantSplit/>
          <w:trHeight w:val="340"/>
        </w:trPr>
        <w:tc>
          <w:tcPr>
            <w:tcW w:w="1897" w:type="dxa"/>
            <w:tcBorders>
              <w:top w:val="single" w:sz="18" w:space="0" w:color="53565A" w:themeColor="accent5"/>
              <w:bottom w:val="single" w:sz="18" w:space="0" w:color="53565A" w:themeColor="accent5"/>
            </w:tcBorders>
            <w:shd w:val="clear" w:color="auto" w:fill="auto"/>
          </w:tcPr>
          <w:p w14:paraId="0ECD4447" w14:textId="77777777" w:rsidR="009E15A8" w:rsidRPr="005734B8" w:rsidRDefault="009E15A8" w:rsidP="009E15A8">
            <w:pPr>
              <w:pStyle w:val="ESTablebody"/>
              <w:spacing w:before="100" w:after="100"/>
              <w:rPr>
                <w:rFonts w:ascii="Calibri" w:hAnsi="Calibri" w:cs="Calibri"/>
                <w:b/>
                <w:sz w:val="18"/>
              </w:rPr>
            </w:pPr>
            <w:r w:rsidRPr="005734B8">
              <w:rPr>
                <w:rFonts w:ascii="Calibri" w:hAnsi="Calibri" w:cs="Calibri"/>
                <w:b/>
                <w:sz w:val="18"/>
              </w:rPr>
              <w:t>Total expenses from transactions</w:t>
            </w:r>
          </w:p>
        </w:tc>
        <w:tc>
          <w:tcPr>
            <w:tcW w:w="717" w:type="dxa"/>
            <w:tcBorders>
              <w:top w:val="single" w:sz="18" w:space="0" w:color="53565A" w:themeColor="accent5"/>
              <w:bottom w:val="single" w:sz="18" w:space="0" w:color="53565A" w:themeColor="accent5"/>
            </w:tcBorders>
            <w:shd w:val="clear" w:color="auto" w:fill="auto"/>
            <w:vAlign w:val="center"/>
          </w:tcPr>
          <w:p w14:paraId="73C117B4" w14:textId="77777777" w:rsidR="009E15A8" w:rsidRPr="005734B8" w:rsidRDefault="009E15A8" w:rsidP="009E15A8">
            <w:pPr>
              <w:pStyle w:val="ESTablenumberrightaligned"/>
              <w:spacing w:before="100" w:after="100"/>
              <w:jc w:val="center"/>
              <w:rPr>
                <w:rFonts w:ascii="Calibri" w:hAnsi="Calibri" w:cs="Calibri"/>
                <w:b/>
                <w:sz w:val="18"/>
              </w:rPr>
            </w:pPr>
          </w:p>
        </w:tc>
        <w:tc>
          <w:tcPr>
            <w:tcW w:w="1117" w:type="dxa"/>
            <w:tcBorders>
              <w:top w:val="single" w:sz="18" w:space="0" w:color="53565A" w:themeColor="accent5"/>
              <w:bottom w:val="single" w:sz="18" w:space="0" w:color="53565A" w:themeColor="accent5"/>
            </w:tcBorders>
            <w:shd w:val="clear" w:color="auto" w:fill="D9D9D6" w:themeFill="accent6"/>
          </w:tcPr>
          <w:p w14:paraId="51B75245" w14:textId="5CB09721"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(16,549.9)</w:t>
            </w:r>
          </w:p>
        </w:tc>
        <w:tc>
          <w:tcPr>
            <w:tcW w:w="1467" w:type="dxa"/>
            <w:tcBorders>
              <w:top w:val="single" w:sz="18" w:space="0" w:color="53565A" w:themeColor="accent5"/>
              <w:bottom w:val="single" w:sz="18" w:space="0" w:color="53565A" w:themeColor="accent5"/>
            </w:tcBorders>
          </w:tcPr>
          <w:p w14:paraId="00DC00E7" w14:textId="64D29A15"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(16,992.6)</w:t>
            </w:r>
          </w:p>
        </w:tc>
        <w:tc>
          <w:tcPr>
            <w:tcW w:w="987" w:type="dxa"/>
            <w:tcBorders>
              <w:top w:val="single" w:sz="18" w:space="0" w:color="53565A" w:themeColor="accent5"/>
              <w:bottom w:val="single" w:sz="18" w:space="0" w:color="53565A" w:themeColor="accent5"/>
            </w:tcBorders>
          </w:tcPr>
          <w:p w14:paraId="131B5D9C" w14:textId="5BDDCE5E"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(3)</w:t>
            </w:r>
          </w:p>
        </w:tc>
        <w:tc>
          <w:tcPr>
            <w:tcW w:w="987" w:type="dxa"/>
            <w:tcBorders>
              <w:top w:val="single" w:sz="18" w:space="0" w:color="53565A" w:themeColor="accent5"/>
              <w:bottom w:val="single" w:sz="18" w:space="0" w:color="53565A" w:themeColor="accent5"/>
            </w:tcBorders>
          </w:tcPr>
          <w:p w14:paraId="1BE2EC49" w14:textId="08534558"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442.7</w:t>
            </w:r>
          </w:p>
        </w:tc>
      </w:tr>
      <w:tr w:rsidR="009E15A8" w:rsidRPr="005734B8" w14:paraId="4CF687C8" w14:textId="3A94685E" w:rsidTr="000F48B1">
        <w:trPr>
          <w:cantSplit/>
        </w:trPr>
        <w:tc>
          <w:tcPr>
            <w:tcW w:w="1897" w:type="dxa"/>
            <w:tcBorders>
              <w:top w:val="single" w:sz="18" w:space="0" w:color="53565A" w:themeColor="accent5"/>
              <w:bottom w:val="single" w:sz="4" w:space="0" w:color="53565A" w:themeColor="accent5"/>
            </w:tcBorders>
            <w:shd w:val="clear" w:color="auto" w:fill="auto"/>
          </w:tcPr>
          <w:p w14:paraId="7ADC07C5" w14:textId="77777777" w:rsidR="009E15A8" w:rsidRPr="005734B8" w:rsidRDefault="009E15A8" w:rsidP="009E15A8">
            <w:pPr>
              <w:pStyle w:val="ESTablebody"/>
              <w:spacing w:before="100" w:after="100"/>
              <w:rPr>
                <w:rFonts w:ascii="Calibri" w:hAnsi="Calibri" w:cs="Calibri"/>
                <w:b/>
                <w:sz w:val="18"/>
              </w:rPr>
            </w:pPr>
            <w:r w:rsidRPr="005734B8">
              <w:rPr>
                <w:rFonts w:ascii="Calibri" w:hAnsi="Calibri" w:cs="Calibri"/>
                <w:b/>
                <w:sz w:val="18"/>
              </w:rPr>
              <w:t>Net result from transactions (net operating balance)</w:t>
            </w:r>
          </w:p>
        </w:tc>
        <w:tc>
          <w:tcPr>
            <w:tcW w:w="717" w:type="dxa"/>
            <w:tcBorders>
              <w:top w:val="single" w:sz="18" w:space="0" w:color="53565A" w:themeColor="accent5"/>
              <w:bottom w:val="single" w:sz="4" w:space="0" w:color="53565A" w:themeColor="accent5"/>
            </w:tcBorders>
            <w:shd w:val="clear" w:color="auto" w:fill="auto"/>
            <w:vAlign w:val="center"/>
          </w:tcPr>
          <w:p w14:paraId="662304A1" w14:textId="77777777" w:rsidR="009E15A8" w:rsidRPr="005734B8" w:rsidRDefault="009E15A8" w:rsidP="009E15A8">
            <w:pPr>
              <w:pStyle w:val="ESTablenumberrightaligned"/>
              <w:spacing w:before="100" w:after="100"/>
              <w:jc w:val="center"/>
              <w:rPr>
                <w:rFonts w:ascii="Calibri" w:hAnsi="Calibri" w:cs="Calibri"/>
                <w:b/>
                <w:sz w:val="18"/>
              </w:rPr>
            </w:pPr>
          </w:p>
        </w:tc>
        <w:tc>
          <w:tcPr>
            <w:tcW w:w="1117" w:type="dxa"/>
            <w:tcBorders>
              <w:top w:val="single" w:sz="18" w:space="0" w:color="53565A" w:themeColor="accent5"/>
              <w:bottom w:val="single" w:sz="4" w:space="0" w:color="53565A" w:themeColor="accent5"/>
            </w:tcBorders>
            <w:shd w:val="clear" w:color="auto" w:fill="D9D9D6" w:themeFill="accent6"/>
          </w:tcPr>
          <w:p w14:paraId="68757C43" w14:textId="49614CE5"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629.9</w:t>
            </w:r>
          </w:p>
        </w:tc>
        <w:tc>
          <w:tcPr>
            <w:tcW w:w="1467" w:type="dxa"/>
            <w:tcBorders>
              <w:top w:val="single" w:sz="18" w:space="0" w:color="53565A" w:themeColor="accent5"/>
              <w:bottom w:val="single" w:sz="4" w:space="0" w:color="53565A" w:themeColor="accent5"/>
            </w:tcBorders>
          </w:tcPr>
          <w:p w14:paraId="7E2D0621" w14:textId="24E7AEFD"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408.2</w:t>
            </w:r>
          </w:p>
        </w:tc>
        <w:tc>
          <w:tcPr>
            <w:tcW w:w="987" w:type="dxa"/>
            <w:tcBorders>
              <w:top w:val="single" w:sz="18" w:space="0" w:color="53565A" w:themeColor="accent5"/>
              <w:bottom w:val="single" w:sz="4" w:space="0" w:color="53565A" w:themeColor="accent5"/>
            </w:tcBorders>
          </w:tcPr>
          <w:p w14:paraId="2051207E" w14:textId="5C7151DA"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54</w:t>
            </w:r>
          </w:p>
        </w:tc>
        <w:tc>
          <w:tcPr>
            <w:tcW w:w="987" w:type="dxa"/>
            <w:tcBorders>
              <w:top w:val="single" w:sz="18" w:space="0" w:color="53565A" w:themeColor="accent5"/>
              <w:bottom w:val="single" w:sz="4" w:space="0" w:color="53565A" w:themeColor="accent5"/>
            </w:tcBorders>
          </w:tcPr>
          <w:p w14:paraId="63584907" w14:textId="6BFAF3D5"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222.7</w:t>
            </w:r>
          </w:p>
        </w:tc>
      </w:tr>
      <w:tr w:rsidR="00ED74EC" w:rsidRPr="005734B8" w14:paraId="3BCB8C81" w14:textId="3394DBB4" w:rsidTr="00843378">
        <w:trPr>
          <w:cantSplit/>
        </w:trPr>
        <w:tc>
          <w:tcPr>
            <w:tcW w:w="2614" w:type="dxa"/>
            <w:gridSpan w:val="2"/>
            <w:tcBorders>
              <w:top w:val="single" w:sz="4" w:space="0" w:color="53565A" w:themeColor="accent5"/>
              <w:bottom w:val="single" w:sz="4" w:space="0" w:color="53565A" w:themeColor="accent5"/>
              <w:right w:val="nil"/>
            </w:tcBorders>
            <w:shd w:val="clear" w:color="auto" w:fill="D9D9D6" w:themeFill="accent6"/>
          </w:tcPr>
          <w:p w14:paraId="7AF2FB61" w14:textId="72AA766B" w:rsidR="00ED74EC" w:rsidRPr="005734B8" w:rsidRDefault="009E15A8" w:rsidP="009E15A8">
            <w:pPr>
              <w:pStyle w:val="ESTablebody"/>
              <w:spacing w:before="100" w:after="100"/>
              <w:rPr>
                <w:rFonts w:ascii="Calibri" w:hAnsi="Calibri" w:cs="Calibri"/>
                <w:b/>
                <w:sz w:val="18"/>
              </w:rPr>
            </w:pPr>
            <w:r w:rsidRPr="005734B8">
              <w:rPr>
                <w:rFonts w:ascii="Calibri" w:hAnsi="Calibri" w:cs="Calibri"/>
                <w:b/>
                <w:sz w:val="18"/>
              </w:rPr>
              <w:t>Other economic flows included in net result</w:t>
            </w:r>
          </w:p>
        </w:tc>
        <w:tc>
          <w:tcPr>
            <w:tcW w:w="1117" w:type="dxa"/>
            <w:tcBorders>
              <w:top w:val="single" w:sz="4" w:space="0" w:color="53565A" w:themeColor="accent5"/>
              <w:left w:val="nil"/>
              <w:bottom w:val="single" w:sz="4" w:space="0" w:color="53565A" w:themeColor="accent5"/>
              <w:right w:val="nil"/>
            </w:tcBorders>
            <w:shd w:val="clear" w:color="auto" w:fill="D9D9D6" w:themeFill="accent6"/>
            <w:vAlign w:val="center"/>
          </w:tcPr>
          <w:p w14:paraId="56A2A15D" w14:textId="77777777" w:rsidR="00ED74EC" w:rsidRPr="005734B8" w:rsidRDefault="00ED74EC" w:rsidP="00CB1231">
            <w:pPr>
              <w:pStyle w:val="ESTablenumberrightaligned"/>
              <w:spacing w:before="100" w:after="100"/>
              <w:rPr>
                <w:rFonts w:ascii="Calibri" w:hAnsi="Calibri" w:cs="Calibri"/>
                <w:b/>
                <w:sz w:val="18"/>
              </w:rPr>
            </w:pPr>
          </w:p>
        </w:tc>
        <w:tc>
          <w:tcPr>
            <w:tcW w:w="1467" w:type="dxa"/>
            <w:tcBorders>
              <w:top w:val="single" w:sz="4" w:space="0" w:color="53565A" w:themeColor="accent5"/>
              <w:left w:val="nil"/>
              <w:bottom w:val="single" w:sz="4" w:space="0" w:color="53565A" w:themeColor="accent5"/>
              <w:right w:val="nil"/>
            </w:tcBorders>
            <w:shd w:val="clear" w:color="auto" w:fill="D9D9D6" w:themeFill="accent6"/>
            <w:vAlign w:val="center"/>
          </w:tcPr>
          <w:p w14:paraId="381540A1" w14:textId="773BFF39" w:rsidR="00ED74EC" w:rsidRPr="005734B8" w:rsidRDefault="008C5BEA" w:rsidP="00CB1231">
            <w:pPr>
              <w:pStyle w:val="ESTablenumberrightaligned"/>
              <w:spacing w:before="100" w:after="100"/>
              <w:rPr>
                <w:rFonts w:ascii="Calibri" w:hAnsi="Calibri" w:cs="Calibri"/>
                <w:b/>
                <w:sz w:val="18"/>
              </w:rPr>
            </w:pPr>
            <w:r w:rsidRPr="005734B8">
              <w:rPr>
                <w:rFonts w:ascii="Calibri" w:hAnsi="Calibri" w:cs="Calibri"/>
                <w:b/>
                <w:bCs/>
                <w:sz w:val="18"/>
              </w:rPr>
              <w:t> </w:t>
            </w:r>
          </w:p>
        </w:tc>
        <w:tc>
          <w:tcPr>
            <w:tcW w:w="987" w:type="dxa"/>
            <w:tcBorders>
              <w:top w:val="single" w:sz="4" w:space="0" w:color="53565A" w:themeColor="accent5"/>
              <w:left w:val="nil"/>
              <w:bottom w:val="single" w:sz="4" w:space="0" w:color="53565A" w:themeColor="accent5"/>
              <w:right w:val="nil"/>
            </w:tcBorders>
            <w:shd w:val="clear" w:color="auto" w:fill="D9D9D6" w:themeFill="accent6"/>
            <w:vAlign w:val="center"/>
          </w:tcPr>
          <w:p w14:paraId="225D4425" w14:textId="77777777" w:rsidR="00ED74EC" w:rsidRPr="005734B8" w:rsidRDefault="00ED74EC" w:rsidP="00CB1231">
            <w:pPr>
              <w:pStyle w:val="ESTablenumberrightaligned"/>
              <w:spacing w:before="100" w:after="100"/>
              <w:rPr>
                <w:rFonts w:ascii="Calibri" w:hAnsi="Calibri" w:cs="Calibri"/>
                <w:b/>
                <w:sz w:val="18"/>
              </w:rPr>
            </w:pPr>
          </w:p>
        </w:tc>
        <w:tc>
          <w:tcPr>
            <w:tcW w:w="987" w:type="dxa"/>
            <w:tcBorders>
              <w:top w:val="single" w:sz="4" w:space="0" w:color="53565A" w:themeColor="accent5"/>
              <w:left w:val="nil"/>
              <w:bottom w:val="single" w:sz="4" w:space="0" w:color="53565A" w:themeColor="accent5"/>
            </w:tcBorders>
            <w:shd w:val="clear" w:color="auto" w:fill="D9D9D6" w:themeFill="accent6"/>
            <w:vAlign w:val="center"/>
          </w:tcPr>
          <w:p w14:paraId="6F0C093E" w14:textId="77777777" w:rsidR="00ED74EC" w:rsidRPr="005734B8" w:rsidRDefault="00ED74EC" w:rsidP="00CB1231">
            <w:pPr>
              <w:pStyle w:val="ESTablenumberrightaligned"/>
              <w:spacing w:before="100" w:after="100"/>
              <w:rPr>
                <w:rFonts w:ascii="Calibri" w:hAnsi="Calibri" w:cs="Calibri"/>
                <w:b/>
                <w:sz w:val="18"/>
              </w:rPr>
            </w:pPr>
          </w:p>
        </w:tc>
      </w:tr>
      <w:tr w:rsidR="009E15A8" w:rsidRPr="005734B8" w14:paraId="1E5E31EB" w14:textId="06B3AE0E" w:rsidTr="000F48B1">
        <w:trPr>
          <w:cantSplit/>
        </w:trPr>
        <w:tc>
          <w:tcPr>
            <w:tcW w:w="1897" w:type="dxa"/>
            <w:tcBorders>
              <w:top w:val="single" w:sz="4" w:space="0" w:color="53565A" w:themeColor="accent5"/>
              <w:bottom w:val="single" w:sz="4" w:space="0" w:color="53565A" w:themeColor="accent5"/>
            </w:tcBorders>
            <w:shd w:val="clear" w:color="auto" w:fill="auto"/>
          </w:tcPr>
          <w:p w14:paraId="0ADA09CF" w14:textId="728EEC6D" w:rsidR="009E15A8" w:rsidRPr="005734B8" w:rsidRDefault="009E15A8" w:rsidP="009E15A8">
            <w:pPr>
              <w:pStyle w:val="ESTablebody"/>
              <w:spacing w:before="100" w:after="100"/>
              <w:rPr>
                <w:rFonts w:ascii="Calibri" w:hAnsi="Calibri" w:cs="Calibri"/>
                <w:sz w:val="18"/>
              </w:rPr>
            </w:pPr>
            <w:r w:rsidRPr="005734B8">
              <w:rPr>
                <w:rFonts w:ascii="Calibri" w:hAnsi="Calibri" w:cs="Calibri"/>
                <w:sz w:val="18"/>
              </w:rPr>
              <w:t>Net gain/(loss) on non-financial assets</w:t>
            </w:r>
          </w:p>
        </w:tc>
        <w:tc>
          <w:tcPr>
            <w:tcW w:w="717" w:type="dxa"/>
            <w:tcBorders>
              <w:top w:val="single" w:sz="4" w:space="0" w:color="53565A" w:themeColor="accent5"/>
              <w:bottom w:val="single" w:sz="4" w:space="0" w:color="53565A" w:themeColor="accent5"/>
            </w:tcBorders>
            <w:shd w:val="clear" w:color="auto" w:fill="auto"/>
            <w:vAlign w:val="center"/>
          </w:tcPr>
          <w:p w14:paraId="69B6EE9D" w14:textId="2DC4D4AC"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i</w:t>
            </w:r>
          </w:p>
        </w:tc>
        <w:tc>
          <w:tcPr>
            <w:tcW w:w="1117" w:type="dxa"/>
            <w:tcBorders>
              <w:top w:val="single" w:sz="4" w:space="0" w:color="53565A" w:themeColor="accent5"/>
              <w:bottom w:val="single" w:sz="4" w:space="0" w:color="53565A" w:themeColor="accent5"/>
            </w:tcBorders>
            <w:shd w:val="clear" w:color="auto" w:fill="D9D9D6" w:themeFill="accent6"/>
          </w:tcPr>
          <w:p w14:paraId="29ECE184" w14:textId="0BCC24EA"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(2.5)</w:t>
            </w:r>
          </w:p>
        </w:tc>
        <w:tc>
          <w:tcPr>
            <w:tcW w:w="1467" w:type="dxa"/>
            <w:tcBorders>
              <w:top w:val="single" w:sz="4" w:space="0" w:color="53565A" w:themeColor="accent5"/>
              <w:bottom w:val="single" w:sz="4" w:space="0" w:color="53565A" w:themeColor="accent5"/>
            </w:tcBorders>
          </w:tcPr>
          <w:p w14:paraId="7F944EAE" w14:textId="6AB84455"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(7.8)</w:t>
            </w:r>
          </w:p>
        </w:tc>
        <w:tc>
          <w:tcPr>
            <w:tcW w:w="987" w:type="dxa"/>
            <w:tcBorders>
              <w:top w:val="single" w:sz="4" w:space="0" w:color="53565A" w:themeColor="accent5"/>
              <w:bottom w:val="single" w:sz="4" w:space="0" w:color="53565A" w:themeColor="accent5"/>
            </w:tcBorders>
          </w:tcPr>
          <w:p w14:paraId="779B5F38" w14:textId="56C63F63"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(68)</w:t>
            </w:r>
          </w:p>
        </w:tc>
        <w:tc>
          <w:tcPr>
            <w:tcW w:w="987" w:type="dxa"/>
            <w:tcBorders>
              <w:top w:val="single" w:sz="4" w:space="0" w:color="53565A" w:themeColor="accent5"/>
              <w:bottom w:val="single" w:sz="4" w:space="0" w:color="53565A" w:themeColor="accent5"/>
            </w:tcBorders>
          </w:tcPr>
          <w:p w14:paraId="1EA0EAD8" w14:textId="0ED4C0B8"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5.3</w:t>
            </w:r>
          </w:p>
        </w:tc>
      </w:tr>
      <w:tr w:rsidR="009E15A8" w:rsidRPr="005734B8" w14:paraId="634DAF7F" w14:textId="1303AC63" w:rsidTr="000F48B1">
        <w:trPr>
          <w:cantSplit/>
        </w:trPr>
        <w:tc>
          <w:tcPr>
            <w:tcW w:w="1897" w:type="dxa"/>
            <w:tcBorders>
              <w:top w:val="single" w:sz="4" w:space="0" w:color="53565A" w:themeColor="accent5"/>
              <w:bottom w:val="single" w:sz="4" w:space="0" w:color="53565A" w:themeColor="accent5"/>
            </w:tcBorders>
            <w:shd w:val="clear" w:color="auto" w:fill="auto"/>
          </w:tcPr>
          <w:p w14:paraId="1EADC8DC" w14:textId="1839EAA2" w:rsidR="009E15A8" w:rsidRPr="005734B8" w:rsidRDefault="009E15A8" w:rsidP="009E15A8">
            <w:pPr>
              <w:pStyle w:val="ESTablebody"/>
              <w:spacing w:before="100" w:after="100"/>
              <w:rPr>
                <w:rFonts w:ascii="Calibri" w:hAnsi="Calibri" w:cs="Calibri"/>
                <w:sz w:val="18"/>
              </w:rPr>
            </w:pPr>
            <w:r w:rsidRPr="005734B8">
              <w:rPr>
                <w:rFonts w:ascii="Calibri" w:hAnsi="Calibri" w:cs="Calibri"/>
                <w:sz w:val="18"/>
              </w:rPr>
              <w:t>Share of net profits/(losses) of associates and joint</w:t>
            </w:r>
            <w:r w:rsidR="00CE14D8" w:rsidRPr="005734B8">
              <w:rPr>
                <w:rFonts w:ascii="Calibri" w:hAnsi="Calibri" w:cs="Calibri"/>
                <w:sz w:val="18"/>
              </w:rPr>
              <w:noBreakHyphen/>
            </w:r>
            <w:r w:rsidRPr="005734B8">
              <w:rPr>
                <w:rFonts w:ascii="Calibri" w:hAnsi="Calibri" w:cs="Calibri"/>
                <w:sz w:val="18"/>
              </w:rPr>
              <w:t>venture entities, excluding dividends</w:t>
            </w:r>
          </w:p>
        </w:tc>
        <w:tc>
          <w:tcPr>
            <w:tcW w:w="717" w:type="dxa"/>
            <w:tcBorders>
              <w:top w:val="single" w:sz="4" w:space="0" w:color="53565A" w:themeColor="accent5"/>
              <w:bottom w:val="single" w:sz="4" w:space="0" w:color="53565A" w:themeColor="accent5"/>
            </w:tcBorders>
            <w:shd w:val="clear" w:color="auto" w:fill="auto"/>
            <w:vAlign w:val="center"/>
          </w:tcPr>
          <w:p w14:paraId="0BFF5427" w14:textId="61A587F7"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j</w:t>
            </w:r>
          </w:p>
        </w:tc>
        <w:tc>
          <w:tcPr>
            <w:tcW w:w="1117" w:type="dxa"/>
            <w:tcBorders>
              <w:top w:val="single" w:sz="4" w:space="0" w:color="53565A" w:themeColor="accent5"/>
              <w:bottom w:val="single" w:sz="4" w:space="0" w:color="53565A" w:themeColor="accent5"/>
            </w:tcBorders>
            <w:shd w:val="clear" w:color="auto" w:fill="D9D9D6" w:themeFill="accent6"/>
          </w:tcPr>
          <w:p w14:paraId="5D4C006F" w14:textId="6ABDFFE3"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2.9</w:t>
            </w:r>
          </w:p>
        </w:tc>
        <w:tc>
          <w:tcPr>
            <w:tcW w:w="1467" w:type="dxa"/>
            <w:tcBorders>
              <w:top w:val="single" w:sz="4" w:space="0" w:color="53565A" w:themeColor="accent5"/>
              <w:bottom w:val="single" w:sz="4" w:space="0" w:color="53565A" w:themeColor="accent5"/>
            </w:tcBorders>
          </w:tcPr>
          <w:p w14:paraId="47B978DE" w14:textId="4B7C9A35"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(1.8)</w:t>
            </w:r>
          </w:p>
        </w:tc>
        <w:tc>
          <w:tcPr>
            <w:tcW w:w="987" w:type="dxa"/>
            <w:tcBorders>
              <w:top w:val="single" w:sz="4" w:space="0" w:color="53565A" w:themeColor="accent5"/>
              <w:bottom w:val="single" w:sz="4" w:space="0" w:color="53565A" w:themeColor="accent5"/>
            </w:tcBorders>
          </w:tcPr>
          <w:p w14:paraId="315EAE9F" w14:textId="2F5B5DFF"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(263)</w:t>
            </w:r>
          </w:p>
        </w:tc>
        <w:tc>
          <w:tcPr>
            <w:tcW w:w="987" w:type="dxa"/>
            <w:tcBorders>
              <w:top w:val="single" w:sz="4" w:space="0" w:color="53565A" w:themeColor="accent5"/>
              <w:bottom w:val="single" w:sz="4" w:space="0" w:color="53565A" w:themeColor="accent5"/>
            </w:tcBorders>
          </w:tcPr>
          <w:p w14:paraId="185DD8AA" w14:textId="1545FC72"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4.7</w:t>
            </w:r>
          </w:p>
        </w:tc>
      </w:tr>
      <w:tr w:rsidR="009E15A8" w:rsidRPr="005734B8" w14:paraId="7D7D113B" w14:textId="77777777" w:rsidTr="000F48B1">
        <w:trPr>
          <w:cantSplit/>
        </w:trPr>
        <w:tc>
          <w:tcPr>
            <w:tcW w:w="1897" w:type="dxa"/>
            <w:tcBorders>
              <w:top w:val="single" w:sz="4" w:space="0" w:color="53565A" w:themeColor="accent5"/>
              <w:bottom w:val="single" w:sz="4" w:space="0" w:color="53565A" w:themeColor="accent5"/>
            </w:tcBorders>
            <w:shd w:val="clear" w:color="auto" w:fill="auto"/>
          </w:tcPr>
          <w:p w14:paraId="42B7C463" w14:textId="560EB962" w:rsidR="009E15A8" w:rsidRPr="005734B8" w:rsidRDefault="009E15A8" w:rsidP="009E15A8">
            <w:pPr>
              <w:pStyle w:val="ESTablebody"/>
              <w:spacing w:before="100" w:after="100"/>
              <w:rPr>
                <w:rFonts w:ascii="Calibri" w:hAnsi="Calibri" w:cs="Calibri"/>
                <w:sz w:val="18"/>
              </w:rPr>
            </w:pPr>
            <w:r w:rsidRPr="005734B8">
              <w:rPr>
                <w:rFonts w:ascii="Calibri" w:hAnsi="Calibri" w:cs="Calibri"/>
                <w:sz w:val="18"/>
              </w:rPr>
              <w:lastRenderedPageBreak/>
              <w:t>Net gain/(loss) on financial instruments and statutory receivables/payables</w:t>
            </w:r>
          </w:p>
        </w:tc>
        <w:tc>
          <w:tcPr>
            <w:tcW w:w="717" w:type="dxa"/>
            <w:tcBorders>
              <w:top w:val="single" w:sz="4" w:space="0" w:color="53565A" w:themeColor="accent5"/>
              <w:bottom w:val="single" w:sz="4" w:space="0" w:color="53565A" w:themeColor="accent5"/>
            </w:tcBorders>
            <w:shd w:val="clear" w:color="auto" w:fill="auto"/>
          </w:tcPr>
          <w:p w14:paraId="1EF5E6A7" w14:textId="530A4CB9"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szCs w:val="16"/>
              </w:rPr>
              <w:t>k</w:t>
            </w:r>
          </w:p>
        </w:tc>
        <w:tc>
          <w:tcPr>
            <w:tcW w:w="1117" w:type="dxa"/>
            <w:tcBorders>
              <w:top w:val="single" w:sz="4" w:space="0" w:color="53565A" w:themeColor="accent5"/>
              <w:bottom w:val="single" w:sz="4" w:space="0" w:color="53565A" w:themeColor="accent5"/>
            </w:tcBorders>
            <w:shd w:val="clear" w:color="auto" w:fill="D9D9D6" w:themeFill="accent6"/>
          </w:tcPr>
          <w:p w14:paraId="5A9E6298" w14:textId="03228AC1"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szCs w:val="16"/>
              </w:rPr>
              <w:t>(4.4)</w:t>
            </w:r>
          </w:p>
        </w:tc>
        <w:tc>
          <w:tcPr>
            <w:tcW w:w="1467" w:type="dxa"/>
            <w:tcBorders>
              <w:top w:val="single" w:sz="4" w:space="0" w:color="53565A" w:themeColor="accent5"/>
              <w:bottom w:val="single" w:sz="4" w:space="0" w:color="53565A" w:themeColor="accent5"/>
            </w:tcBorders>
          </w:tcPr>
          <w:p w14:paraId="09393777" w14:textId="13F642DC"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szCs w:val="16"/>
              </w:rPr>
              <w:t>(3.4)</w:t>
            </w:r>
          </w:p>
        </w:tc>
        <w:tc>
          <w:tcPr>
            <w:tcW w:w="987" w:type="dxa"/>
            <w:tcBorders>
              <w:top w:val="single" w:sz="4" w:space="0" w:color="53565A" w:themeColor="accent5"/>
              <w:bottom w:val="single" w:sz="4" w:space="0" w:color="53565A" w:themeColor="accent5"/>
            </w:tcBorders>
          </w:tcPr>
          <w:p w14:paraId="73118653" w14:textId="7B8227B7"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szCs w:val="16"/>
              </w:rPr>
              <w:t>32</w:t>
            </w:r>
          </w:p>
        </w:tc>
        <w:tc>
          <w:tcPr>
            <w:tcW w:w="987" w:type="dxa"/>
            <w:tcBorders>
              <w:top w:val="single" w:sz="4" w:space="0" w:color="53565A" w:themeColor="accent5"/>
              <w:bottom w:val="single" w:sz="4" w:space="0" w:color="53565A" w:themeColor="accent5"/>
            </w:tcBorders>
          </w:tcPr>
          <w:p w14:paraId="025B23E7" w14:textId="1FE2DCE1"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szCs w:val="16"/>
              </w:rPr>
              <w:t>(1.1)</w:t>
            </w:r>
          </w:p>
        </w:tc>
      </w:tr>
      <w:tr w:rsidR="009E15A8" w:rsidRPr="005734B8" w14:paraId="5AAFC9CB" w14:textId="512029D1" w:rsidTr="000F48B1">
        <w:trPr>
          <w:cantSplit/>
        </w:trPr>
        <w:tc>
          <w:tcPr>
            <w:tcW w:w="1897" w:type="dxa"/>
            <w:tcBorders>
              <w:top w:val="single" w:sz="4" w:space="0" w:color="53565A" w:themeColor="accent5"/>
              <w:bottom w:val="single" w:sz="18" w:space="0" w:color="53565A" w:themeColor="accent5"/>
            </w:tcBorders>
            <w:shd w:val="clear" w:color="auto" w:fill="auto"/>
          </w:tcPr>
          <w:p w14:paraId="36528EC1" w14:textId="76BC9820" w:rsidR="009E15A8" w:rsidRPr="005734B8" w:rsidRDefault="009E15A8" w:rsidP="009E15A8">
            <w:pPr>
              <w:pStyle w:val="ESTablebody"/>
              <w:spacing w:before="100" w:after="100"/>
              <w:rPr>
                <w:rFonts w:ascii="Calibri" w:hAnsi="Calibri" w:cs="Calibri"/>
                <w:sz w:val="18"/>
              </w:rPr>
            </w:pPr>
            <w:r w:rsidRPr="005734B8">
              <w:rPr>
                <w:rFonts w:ascii="Calibri" w:hAnsi="Calibri" w:cs="Calibri"/>
                <w:sz w:val="18"/>
              </w:rPr>
              <w:t>Other gains/(losses) from other economic flows</w:t>
            </w:r>
          </w:p>
        </w:tc>
        <w:tc>
          <w:tcPr>
            <w:tcW w:w="717" w:type="dxa"/>
            <w:tcBorders>
              <w:top w:val="single" w:sz="4" w:space="0" w:color="53565A" w:themeColor="accent5"/>
              <w:bottom w:val="single" w:sz="18" w:space="0" w:color="53565A" w:themeColor="accent5"/>
            </w:tcBorders>
            <w:shd w:val="clear" w:color="auto" w:fill="auto"/>
          </w:tcPr>
          <w:p w14:paraId="183B4002" w14:textId="0CE5168A"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szCs w:val="16"/>
              </w:rPr>
              <w:t>l</w:t>
            </w:r>
          </w:p>
        </w:tc>
        <w:tc>
          <w:tcPr>
            <w:tcW w:w="1117" w:type="dxa"/>
            <w:tcBorders>
              <w:top w:val="single" w:sz="4" w:space="0" w:color="53565A" w:themeColor="accent5"/>
              <w:bottom w:val="single" w:sz="18" w:space="0" w:color="53565A" w:themeColor="accent5"/>
            </w:tcBorders>
            <w:shd w:val="clear" w:color="auto" w:fill="D9D9D6" w:themeFill="accent6"/>
          </w:tcPr>
          <w:p w14:paraId="3413418D" w14:textId="14092964"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szCs w:val="16"/>
              </w:rPr>
              <w:t>53.1</w:t>
            </w:r>
          </w:p>
        </w:tc>
        <w:tc>
          <w:tcPr>
            <w:tcW w:w="1467" w:type="dxa"/>
            <w:tcBorders>
              <w:top w:val="single" w:sz="4" w:space="0" w:color="53565A" w:themeColor="accent5"/>
              <w:bottom w:val="single" w:sz="18" w:space="0" w:color="53565A" w:themeColor="accent5"/>
            </w:tcBorders>
          </w:tcPr>
          <w:p w14:paraId="61C69A3C" w14:textId="29566A38"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szCs w:val="16"/>
              </w:rPr>
              <w:t>(0.5)</w:t>
            </w:r>
          </w:p>
        </w:tc>
        <w:tc>
          <w:tcPr>
            <w:tcW w:w="987" w:type="dxa"/>
            <w:tcBorders>
              <w:top w:val="single" w:sz="4" w:space="0" w:color="53565A" w:themeColor="accent5"/>
              <w:bottom w:val="single" w:sz="18" w:space="0" w:color="53565A" w:themeColor="accent5"/>
            </w:tcBorders>
          </w:tcPr>
          <w:p w14:paraId="1B17CBBD" w14:textId="6F4E85ED"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szCs w:val="16"/>
              </w:rPr>
              <w:t>(9,814)</w:t>
            </w:r>
          </w:p>
        </w:tc>
        <w:tc>
          <w:tcPr>
            <w:tcW w:w="987" w:type="dxa"/>
            <w:tcBorders>
              <w:top w:val="single" w:sz="4" w:space="0" w:color="53565A" w:themeColor="accent5"/>
              <w:bottom w:val="single" w:sz="18" w:space="0" w:color="53565A" w:themeColor="accent5"/>
            </w:tcBorders>
          </w:tcPr>
          <w:p w14:paraId="7AEFC043" w14:textId="44F45611"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szCs w:val="16"/>
              </w:rPr>
              <w:t>53.7</w:t>
            </w:r>
          </w:p>
        </w:tc>
      </w:tr>
      <w:tr w:rsidR="009E15A8" w:rsidRPr="005734B8" w14:paraId="1ED4AEBC" w14:textId="2BE00124" w:rsidTr="000F48B1">
        <w:trPr>
          <w:cantSplit/>
        </w:trPr>
        <w:tc>
          <w:tcPr>
            <w:tcW w:w="1897" w:type="dxa"/>
            <w:tcBorders>
              <w:top w:val="single" w:sz="18" w:space="0" w:color="53565A" w:themeColor="accent5"/>
              <w:bottom w:val="single" w:sz="18" w:space="0" w:color="53565A" w:themeColor="accent5"/>
            </w:tcBorders>
            <w:shd w:val="clear" w:color="auto" w:fill="auto"/>
          </w:tcPr>
          <w:p w14:paraId="24DD498A" w14:textId="77777777" w:rsidR="009E15A8" w:rsidRPr="005734B8" w:rsidRDefault="009E15A8" w:rsidP="009E15A8">
            <w:pPr>
              <w:pStyle w:val="ESTablebody"/>
              <w:spacing w:before="100" w:after="100"/>
              <w:rPr>
                <w:rFonts w:ascii="Calibri" w:hAnsi="Calibri" w:cs="Calibri"/>
                <w:b/>
                <w:sz w:val="18"/>
              </w:rPr>
            </w:pPr>
            <w:r w:rsidRPr="005734B8">
              <w:rPr>
                <w:rFonts w:ascii="Calibri" w:hAnsi="Calibri" w:cs="Calibri"/>
                <w:b/>
                <w:sz w:val="18"/>
              </w:rPr>
              <w:t>Total other economic flows included in net result</w:t>
            </w:r>
          </w:p>
        </w:tc>
        <w:tc>
          <w:tcPr>
            <w:tcW w:w="717" w:type="dxa"/>
            <w:tcBorders>
              <w:top w:val="single" w:sz="18" w:space="0" w:color="53565A" w:themeColor="accent5"/>
              <w:bottom w:val="single" w:sz="18" w:space="0" w:color="53565A" w:themeColor="accent5"/>
            </w:tcBorders>
            <w:shd w:val="clear" w:color="auto" w:fill="auto"/>
            <w:vAlign w:val="center"/>
          </w:tcPr>
          <w:p w14:paraId="585AEFF9" w14:textId="77777777" w:rsidR="009E15A8" w:rsidRPr="005734B8" w:rsidRDefault="009E15A8" w:rsidP="009E15A8">
            <w:pPr>
              <w:pStyle w:val="ESTablenumberrightaligned"/>
              <w:spacing w:before="100" w:after="100"/>
              <w:rPr>
                <w:rFonts w:ascii="Calibri" w:hAnsi="Calibri" w:cs="Calibri"/>
                <w:b/>
                <w:sz w:val="18"/>
              </w:rPr>
            </w:pPr>
          </w:p>
        </w:tc>
        <w:tc>
          <w:tcPr>
            <w:tcW w:w="1117" w:type="dxa"/>
            <w:tcBorders>
              <w:top w:val="single" w:sz="18" w:space="0" w:color="53565A" w:themeColor="accent5"/>
              <w:bottom w:val="single" w:sz="18" w:space="0" w:color="53565A" w:themeColor="accent5"/>
            </w:tcBorders>
            <w:shd w:val="clear" w:color="auto" w:fill="D9D9D6" w:themeFill="accent6"/>
          </w:tcPr>
          <w:p w14:paraId="33B5102E" w14:textId="77753F79"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49.1</w:t>
            </w:r>
          </w:p>
        </w:tc>
        <w:tc>
          <w:tcPr>
            <w:tcW w:w="1467" w:type="dxa"/>
            <w:tcBorders>
              <w:top w:val="single" w:sz="18" w:space="0" w:color="53565A" w:themeColor="accent5"/>
              <w:bottom w:val="single" w:sz="18" w:space="0" w:color="53565A" w:themeColor="accent5"/>
            </w:tcBorders>
          </w:tcPr>
          <w:p w14:paraId="443A7DB1" w14:textId="6C7090B6"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(13.5)</w:t>
            </w:r>
          </w:p>
        </w:tc>
        <w:tc>
          <w:tcPr>
            <w:tcW w:w="987" w:type="dxa"/>
            <w:tcBorders>
              <w:top w:val="single" w:sz="18" w:space="0" w:color="53565A" w:themeColor="accent5"/>
              <w:bottom w:val="single" w:sz="18" w:space="0" w:color="53565A" w:themeColor="accent5"/>
            </w:tcBorders>
          </w:tcPr>
          <w:p w14:paraId="12F4C5FF" w14:textId="1E62E10F"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(465)</w:t>
            </w:r>
          </w:p>
        </w:tc>
        <w:tc>
          <w:tcPr>
            <w:tcW w:w="987" w:type="dxa"/>
            <w:tcBorders>
              <w:top w:val="single" w:sz="18" w:space="0" w:color="53565A" w:themeColor="accent5"/>
              <w:bottom w:val="single" w:sz="18" w:space="0" w:color="53565A" w:themeColor="accent5"/>
            </w:tcBorders>
          </w:tcPr>
          <w:p w14:paraId="535C812E" w14:textId="62F38123"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62.6</w:t>
            </w:r>
          </w:p>
        </w:tc>
      </w:tr>
      <w:tr w:rsidR="009E15A8" w:rsidRPr="005734B8" w14:paraId="688E5F5C" w14:textId="04C9803F" w:rsidTr="000F48B1">
        <w:trPr>
          <w:cantSplit/>
        </w:trPr>
        <w:tc>
          <w:tcPr>
            <w:tcW w:w="1897" w:type="dxa"/>
            <w:tcBorders>
              <w:top w:val="single" w:sz="18" w:space="0" w:color="53565A" w:themeColor="accent5"/>
              <w:bottom w:val="single" w:sz="18" w:space="0" w:color="53565A" w:themeColor="accent5"/>
            </w:tcBorders>
            <w:shd w:val="clear" w:color="auto" w:fill="auto"/>
          </w:tcPr>
          <w:p w14:paraId="604020C9" w14:textId="77777777" w:rsidR="009E15A8" w:rsidRPr="005734B8" w:rsidRDefault="009E15A8" w:rsidP="009E15A8">
            <w:pPr>
              <w:pStyle w:val="ESTablebody"/>
              <w:spacing w:before="100" w:after="100"/>
              <w:rPr>
                <w:rFonts w:ascii="Calibri" w:hAnsi="Calibri" w:cs="Calibri"/>
                <w:b/>
                <w:sz w:val="18"/>
              </w:rPr>
            </w:pPr>
            <w:r w:rsidRPr="005734B8">
              <w:rPr>
                <w:rFonts w:ascii="Calibri" w:hAnsi="Calibri" w:cs="Calibri"/>
                <w:b/>
                <w:sz w:val="18"/>
              </w:rPr>
              <w:t>Net result</w:t>
            </w:r>
          </w:p>
        </w:tc>
        <w:tc>
          <w:tcPr>
            <w:tcW w:w="717" w:type="dxa"/>
            <w:tcBorders>
              <w:top w:val="single" w:sz="18" w:space="0" w:color="53565A" w:themeColor="accent5"/>
              <w:bottom w:val="single" w:sz="18" w:space="0" w:color="53565A" w:themeColor="accent5"/>
            </w:tcBorders>
            <w:shd w:val="clear" w:color="auto" w:fill="auto"/>
            <w:vAlign w:val="center"/>
          </w:tcPr>
          <w:p w14:paraId="1736AB98" w14:textId="77777777" w:rsidR="009E15A8" w:rsidRPr="005734B8" w:rsidRDefault="009E15A8" w:rsidP="009E15A8">
            <w:pPr>
              <w:pStyle w:val="ESTablenumberrightaligned"/>
              <w:spacing w:before="100" w:after="100"/>
              <w:rPr>
                <w:rFonts w:ascii="Calibri" w:hAnsi="Calibri" w:cs="Calibri"/>
                <w:b/>
                <w:sz w:val="18"/>
              </w:rPr>
            </w:pPr>
          </w:p>
        </w:tc>
        <w:tc>
          <w:tcPr>
            <w:tcW w:w="1117" w:type="dxa"/>
            <w:tcBorders>
              <w:top w:val="single" w:sz="18" w:space="0" w:color="53565A" w:themeColor="accent5"/>
              <w:bottom w:val="single" w:sz="18" w:space="0" w:color="53565A" w:themeColor="accent5"/>
            </w:tcBorders>
            <w:shd w:val="clear" w:color="auto" w:fill="D9D9D6" w:themeFill="accent6"/>
          </w:tcPr>
          <w:p w14:paraId="2761A144" w14:textId="5A6F4F31"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679.0</w:t>
            </w:r>
          </w:p>
        </w:tc>
        <w:tc>
          <w:tcPr>
            <w:tcW w:w="1467" w:type="dxa"/>
            <w:tcBorders>
              <w:top w:val="single" w:sz="18" w:space="0" w:color="53565A" w:themeColor="accent5"/>
              <w:bottom w:val="single" w:sz="18" w:space="0" w:color="53565A" w:themeColor="accent5"/>
            </w:tcBorders>
          </w:tcPr>
          <w:p w14:paraId="67746646" w14:textId="11B84AE6"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394.7</w:t>
            </w:r>
          </w:p>
        </w:tc>
        <w:tc>
          <w:tcPr>
            <w:tcW w:w="987" w:type="dxa"/>
            <w:tcBorders>
              <w:top w:val="single" w:sz="18" w:space="0" w:color="53565A" w:themeColor="accent5"/>
              <w:bottom w:val="single" w:sz="18" w:space="0" w:color="53565A" w:themeColor="accent5"/>
            </w:tcBorders>
          </w:tcPr>
          <w:p w14:paraId="77846A96" w14:textId="2A48792F"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72</w:t>
            </w:r>
          </w:p>
        </w:tc>
        <w:tc>
          <w:tcPr>
            <w:tcW w:w="987" w:type="dxa"/>
            <w:tcBorders>
              <w:top w:val="single" w:sz="18" w:space="0" w:color="53565A" w:themeColor="accent5"/>
              <w:bottom w:val="single" w:sz="18" w:space="0" w:color="53565A" w:themeColor="accent5"/>
            </w:tcBorders>
          </w:tcPr>
          <w:p w14:paraId="2DF9F08F" w14:textId="5CAC63A6"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284.3</w:t>
            </w:r>
          </w:p>
        </w:tc>
      </w:tr>
      <w:tr w:rsidR="00ED74EC" w:rsidRPr="005734B8" w14:paraId="42708D0D" w14:textId="7668110B" w:rsidTr="00843378">
        <w:trPr>
          <w:cantSplit/>
        </w:trPr>
        <w:tc>
          <w:tcPr>
            <w:tcW w:w="3731" w:type="dxa"/>
            <w:gridSpan w:val="3"/>
            <w:tcBorders>
              <w:top w:val="single" w:sz="18" w:space="0" w:color="53565A" w:themeColor="accent5"/>
              <w:bottom w:val="single" w:sz="4" w:space="0" w:color="53565A" w:themeColor="accent5"/>
              <w:right w:val="nil"/>
            </w:tcBorders>
            <w:shd w:val="clear" w:color="auto" w:fill="D9D9D6" w:themeFill="accent6"/>
            <w:vAlign w:val="center"/>
          </w:tcPr>
          <w:p w14:paraId="2EDB4072" w14:textId="7B6E905A" w:rsidR="00ED74EC" w:rsidRPr="005734B8" w:rsidRDefault="00ED74EC" w:rsidP="00635D0C">
            <w:pPr>
              <w:pStyle w:val="ESTablenumberrightaligned"/>
              <w:spacing w:before="100" w:after="100"/>
              <w:jc w:val="center"/>
              <w:rPr>
                <w:rFonts w:ascii="Calibri" w:hAnsi="Calibri" w:cs="Calibri"/>
                <w:b/>
                <w:sz w:val="18"/>
              </w:rPr>
            </w:pPr>
          </w:p>
        </w:tc>
        <w:tc>
          <w:tcPr>
            <w:tcW w:w="1467" w:type="dxa"/>
            <w:tcBorders>
              <w:top w:val="single" w:sz="18" w:space="0" w:color="53565A" w:themeColor="accent5"/>
              <w:left w:val="nil"/>
              <w:bottom w:val="single" w:sz="4" w:space="0" w:color="53565A" w:themeColor="accent5"/>
              <w:right w:val="nil"/>
            </w:tcBorders>
            <w:shd w:val="clear" w:color="auto" w:fill="D9D9D6" w:themeFill="accent6"/>
            <w:vAlign w:val="center"/>
          </w:tcPr>
          <w:p w14:paraId="2C441E53" w14:textId="77777777" w:rsidR="00ED74EC" w:rsidRPr="005734B8" w:rsidRDefault="00ED74EC" w:rsidP="00CB1231">
            <w:pPr>
              <w:pStyle w:val="ESTablenumberrightaligned"/>
              <w:spacing w:before="100" w:after="100"/>
              <w:rPr>
                <w:rFonts w:ascii="Calibri" w:hAnsi="Calibri" w:cs="Calibri"/>
                <w:b/>
                <w:sz w:val="18"/>
              </w:rPr>
            </w:pPr>
          </w:p>
        </w:tc>
        <w:tc>
          <w:tcPr>
            <w:tcW w:w="987" w:type="dxa"/>
            <w:tcBorders>
              <w:top w:val="single" w:sz="18" w:space="0" w:color="53565A" w:themeColor="accent5"/>
              <w:left w:val="nil"/>
              <w:bottom w:val="single" w:sz="4" w:space="0" w:color="53565A" w:themeColor="accent5"/>
              <w:right w:val="nil"/>
            </w:tcBorders>
            <w:shd w:val="clear" w:color="auto" w:fill="D9D9D6" w:themeFill="accent6"/>
            <w:vAlign w:val="center"/>
          </w:tcPr>
          <w:p w14:paraId="4C4C0DE6" w14:textId="77777777" w:rsidR="00ED74EC" w:rsidRPr="005734B8" w:rsidRDefault="00ED74EC" w:rsidP="00CB1231">
            <w:pPr>
              <w:pStyle w:val="ESTablenumberrightaligned"/>
              <w:spacing w:before="100" w:after="100"/>
              <w:rPr>
                <w:rFonts w:ascii="Calibri" w:hAnsi="Calibri" w:cs="Calibri"/>
                <w:b/>
                <w:sz w:val="18"/>
              </w:rPr>
            </w:pPr>
          </w:p>
        </w:tc>
        <w:tc>
          <w:tcPr>
            <w:tcW w:w="987" w:type="dxa"/>
            <w:tcBorders>
              <w:top w:val="single" w:sz="18" w:space="0" w:color="53565A" w:themeColor="accent5"/>
              <w:left w:val="nil"/>
              <w:bottom w:val="single" w:sz="4" w:space="0" w:color="53565A" w:themeColor="accent5"/>
            </w:tcBorders>
            <w:shd w:val="clear" w:color="auto" w:fill="D9D9D6" w:themeFill="accent6"/>
            <w:vAlign w:val="center"/>
          </w:tcPr>
          <w:p w14:paraId="1CBE0FCB" w14:textId="01CEA9DA" w:rsidR="00ED74EC" w:rsidRPr="005734B8" w:rsidRDefault="008C5BEA" w:rsidP="00CB1231">
            <w:pPr>
              <w:pStyle w:val="ESTablenumberrightaligned"/>
              <w:spacing w:before="100" w:after="100"/>
              <w:rPr>
                <w:rFonts w:ascii="Calibri" w:hAnsi="Calibri" w:cs="Calibri"/>
                <w:b/>
                <w:sz w:val="18"/>
              </w:rPr>
            </w:pPr>
            <w:r w:rsidRPr="005734B8">
              <w:rPr>
                <w:rFonts w:ascii="Calibri" w:hAnsi="Calibri" w:cs="Calibri"/>
                <w:b/>
                <w:bCs/>
                <w:sz w:val="18"/>
              </w:rPr>
              <w:t> </w:t>
            </w:r>
          </w:p>
        </w:tc>
      </w:tr>
      <w:tr w:rsidR="009E15A8" w:rsidRPr="005734B8" w14:paraId="0C922764" w14:textId="2ACFD8BC" w:rsidTr="000F48B1">
        <w:trPr>
          <w:cantSplit/>
        </w:trPr>
        <w:tc>
          <w:tcPr>
            <w:tcW w:w="1897" w:type="dxa"/>
            <w:tcBorders>
              <w:top w:val="single" w:sz="4" w:space="0" w:color="53565A" w:themeColor="accent5"/>
              <w:bottom w:val="single" w:sz="4" w:space="0" w:color="53565A" w:themeColor="accent5"/>
            </w:tcBorders>
            <w:shd w:val="clear" w:color="auto" w:fill="auto"/>
          </w:tcPr>
          <w:p w14:paraId="72E00F4D" w14:textId="77777777" w:rsidR="009E15A8" w:rsidRPr="005734B8" w:rsidRDefault="009E15A8" w:rsidP="009E15A8">
            <w:pPr>
              <w:pStyle w:val="ESTablebody"/>
              <w:spacing w:before="100" w:after="100"/>
              <w:rPr>
                <w:rFonts w:ascii="Calibri" w:hAnsi="Calibri" w:cs="Calibri"/>
                <w:sz w:val="18"/>
              </w:rPr>
            </w:pPr>
            <w:r w:rsidRPr="005734B8">
              <w:rPr>
                <w:rFonts w:ascii="Calibri" w:hAnsi="Calibri" w:cs="Calibri"/>
                <w:sz w:val="18"/>
              </w:rPr>
              <w:t>Changes in non-financial assets revaluation surplus</w:t>
            </w:r>
          </w:p>
        </w:tc>
        <w:tc>
          <w:tcPr>
            <w:tcW w:w="717" w:type="dxa"/>
            <w:tcBorders>
              <w:top w:val="single" w:sz="4" w:space="0" w:color="53565A" w:themeColor="accent5"/>
              <w:bottom w:val="single" w:sz="4" w:space="0" w:color="53565A" w:themeColor="accent5"/>
            </w:tcBorders>
            <w:shd w:val="clear" w:color="auto" w:fill="auto"/>
          </w:tcPr>
          <w:p w14:paraId="18B7E62D" w14:textId="3060B3CF"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m</w:t>
            </w:r>
          </w:p>
        </w:tc>
        <w:tc>
          <w:tcPr>
            <w:tcW w:w="1117" w:type="dxa"/>
            <w:tcBorders>
              <w:top w:val="single" w:sz="4" w:space="0" w:color="53565A" w:themeColor="accent5"/>
              <w:bottom w:val="single" w:sz="4" w:space="0" w:color="53565A" w:themeColor="accent5"/>
            </w:tcBorders>
            <w:shd w:val="clear" w:color="auto" w:fill="D9D9D6" w:themeFill="accent6"/>
          </w:tcPr>
          <w:p w14:paraId="620600B9" w14:textId="6A87DB2A"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2,830.4</w:t>
            </w:r>
          </w:p>
        </w:tc>
        <w:tc>
          <w:tcPr>
            <w:tcW w:w="1467" w:type="dxa"/>
            <w:tcBorders>
              <w:top w:val="single" w:sz="4" w:space="0" w:color="53565A" w:themeColor="accent5"/>
              <w:bottom w:val="single" w:sz="4" w:space="0" w:color="53565A" w:themeColor="accent5"/>
            </w:tcBorders>
          </w:tcPr>
          <w:p w14:paraId="1B5691C6" w14:textId="22079049"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(21.7)</w:t>
            </w:r>
          </w:p>
        </w:tc>
        <w:tc>
          <w:tcPr>
            <w:tcW w:w="987" w:type="dxa"/>
            <w:tcBorders>
              <w:top w:val="single" w:sz="4" w:space="0" w:color="53565A" w:themeColor="accent5"/>
              <w:bottom w:val="single" w:sz="4" w:space="0" w:color="53565A" w:themeColor="accent5"/>
            </w:tcBorders>
          </w:tcPr>
          <w:p w14:paraId="6323273A" w14:textId="363AA145"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(13,115)</w:t>
            </w:r>
          </w:p>
        </w:tc>
        <w:tc>
          <w:tcPr>
            <w:tcW w:w="987" w:type="dxa"/>
            <w:tcBorders>
              <w:top w:val="single" w:sz="4" w:space="0" w:color="53565A" w:themeColor="accent5"/>
              <w:bottom w:val="single" w:sz="4" w:space="0" w:color="53565A" w:themeColor="accent5"/>
            </w:tcBorders>
          </w:tcPr>
          <w:p w14:paraId="56A4D527" w14:textId="5E2BBFC4"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2,852.2</w:t>
            </w:r>
          </w:p>
        </w:tc>
      </w:tr>
      <w:tr w:rsidR="009E15A8" w:rsidRPr="005734B8" w14:paraId="77B77F8B" w14:textId="032928F8" w:rsidTr="000F48B1">
        <w:trPr>
          <w:cantSplit/>
        </w:trPr>
        <w:tc>
          <w:tcPr>
            <w:tcW w:w="1897" w:type="dxa"/>
            <w:tcBorders>
              <w:top w:val="single" w:sz="4" w:space="0" w:color="53565A" w:themeColor="accent5"/>
              <w:bottom w:val="single" w:sz="4" w:space="0" w:color="53565A" w:themeColor="accent5"/>
            </w:tcBorders>
            <w:shd w:val="clear" w:color="auto" w:fill="auto"/>
          </w:tcPr>
          <w:p w14:paraId="5DFDE238" w14:textId="77777777" w:rsidR="009E15A8" w:rsidRPr="005734B8" w:rsidRDefault="009E15A8" w:rsidP="009E15A8">
            <w:pPr>
              <w:pStyle w:val="ESTablebody"/>
              <w:spacing w:before="100" w:after="100"/>
              <w:rPr>
                <w:rFonts w:ascii="Calibri" w:hAnsi="Calibri" w:cs="Calibri"/>
                <w:sz w:val="18"/>
              </w:rPr>
            </w:pPr>
            <w:r w:rsidRPr="005734B8">
              <w:rPr>
                <w:rFonts w:ascii="Calibri" w:hAnsi="Calibri" w:cs="Calibri"/>
                <w:sz w:val="18"/>
              </w:rPr>
              <w:t>Other</w:t>
            </w:r>
          </w:p>
        </w:tc>
        <w:tc>
          <w:tcPr>
            <w:tcW w:w="717" w:type="dxa"/>
            <w:tcBorders>
              <w:top w:val="single" w:sz="4" w:space="0" w:color="53565A" w:themeColor="accent5"/>
              <w:bottom w:val="single" w:sz="4" w:space="0" w:color="53565A" w:themeColor="accent5"/>
            </w:tcBorders>
            <w:shd w:val="clear" w:color="auto" w:fill="auto"/>
          </w:tcPr>
          <w:p w14:paraId="6FDC75B4" w14:textId="7AF23DC5"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n</w:t>
            </w:r>
          </w:p>
        </w:tc>
        <w:tc>
          <w:tcPr>
            <w:tcW w:w="1117" w:type="dxa"/>
            <w:tcBorders>
              <w:top w:val="single" w:sz="4" w:space="0" w:color="53565A" w:themeColor="accent5"/>
              <w:bottom w:val="single" w:sz="4" w:space="0" w:color="53565A" w:themeColor="accent5"/>
            </w:tcBorders>
            <w:shd w:val="clear" w:color="auto" w:fill="D9D9D6" w:themeFill="accent6"/>
          </w:tcPr>
          <w:p w14:paraId="779C61CA" w14:textId="2D7B5762"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(2.0)</w:t>
            </w:r>
          </w:p>
        </w:tc>
        <w:tc>
          <w:tcPr>
            <w:tcW w:w="1467" w:type="dxa"/>
            <w:tcBorders>
              <w:top w:val="single" w:sz="4" w:space="0" w:color="53565A" w:themeColor="accent5"/>
              <w:bottom w:val="single" w:sz="4" w:space="0" w:color="53565A" w:themeColor="accent5"/>
            </w:tcBorders>
          </w:tcPr>
          <w:p w14:paraId="456075B3" w14:textId="37927FB7"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12.3</w:t>
            </w:r>
          </w:p>
        </w:tc>
        <w:tc>
          <w:tcPr>
            <w:tcW w:w="987" w:type="dxa"/>
            <w:tcBorders>
              <w:top w:val="single" w:sz="4" w:space="0" w:color="53565A" w:themeColor="accent5"/>
              <w:bottom w:val="single" w:sz="4" w:space="0" w:color="53565A" w:themeColor="accent5"/>
            </w:tcBorders>
          </w:tcPr>
          <w:p w14:paraId="20901C7C" w14:textId="7E997870"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(117)</w:t>
            </w:r>
          </w:p>
        </w:tc>
        <w:tc>
          <w:tcPr>
            <w:tcW w:w="987" w:type="dxa"/>
            <w:tcBorders>
              <w:top w:val="single" w:sz="4" w:space="0" w:color="53565A" w:themeColor="accent5"/>
              <w:bottom w:val="single" w:sz="4" w:space="0" w:color="53565A" w:themeColor="accent5"/>
            </w:tcBorders>
          </w:tcPr>
          <w:p w14:paraId="53A18D53" w14:textId="1EAAC6DA" w:rsidR="009E15A8" w:rsidRPr="005734B8" w:rsidRDefault="009E15A8" w:rsidP="009E15A8">
            <w:pPr>
              <w:pStyle w:val="ESTablenumberrightaligned"/>
              <w:spacing w:before="100" w:after="100"/>
              <w:rPr>
                <w:rFonts w:ascii="Calibri" w:hAnsi="Calibri" w:cs="Calibri"/>
                <w:sz w:val="18"/>
              </w:rPr>
            </w:pPr>
            <w:r w:rsidRPr="005734B8">
              <w:rPr>
                <w:rFonts w:ascii="Calibri" w:hAnsi="Calibri" w:cs="Calibri"/>
                <w:sz w:val="18"/>
              </w:rPr>
              <w:t>(14.3)</w:t>
            </w:r>
          </w:p>
        </w:tc>
      </w:tr>
      <w:tr w:rsidR="009E15A8" w:rsidRPr="005734B8" w14:paraId="0C4B011C" w14:textId="451FD03B" w:rsidTr="000F48B1">
        <w:trPr>
          <w:cantSplit/>
        </w:trPr>
        <w:tc>
          <w:tcPr>
            <w:tcW w:w="1897" w:type="dxa"/>
            <w:tcBorders>
              <w:top w:val="single" w:sz="18" w:space="0" w:color="53565A" w:themeColor="accent5"/>
              <w:bottom w:val="single" w:sz="18" w:space="0" w:color="53565A" w:themeColor="accent5"/>
            </w:tcBorders>
            <w:shd w:val="clear" w:color="auto" w:fill="auto"/>
          </w:tcPr>
          <w:p w14:paraId="3511B7CA" w14:textId="49CD3902" w:rsidR="009E15A8" w:rsidRPr="005734B8" w:rsidRDefault="009E15A8" w:rsidP="009E15A8">
            <w:pPr>
              <w:pStyle w:val="ESTablebody"/>
              <w:spacing w:before="100" w:after="100"/>
              <w:rPr>
                <w:rFonts w:ascii="Calibri" w:hAnsi="Calibri" w:cs="Calibri"/>
                <w:b/>
                <w:sz w:val="18"/>
              </w:rPr>
            </w:pPr>
            <w:r w:rsidRPr="005734B8">
              <w:rPr>
                <w:rFonts w:ascii="Calibri" w:hAnsi="Calibri" w:cs="Calibri"/>
                <w:b/>
                <w:sz w:val="18"/>
              </w:rPr>
              <w:t>Total other economic flows</w:t>
            </w:r>
            <w:r w:rsidR="00897E30" w:rsidRPr="005734B8">
              <w:rPr>
                <w:rFonts w:ascii="Calibri" w:hAnsi="Calibri" w:cs="Calibri"/>
                <w:b/>
                <w:sz w:val="18"/>
              </w:rPr>
              <w:t>—</w:t>
            </w:r>
            <w:r w:rsidRPr="005734B8">
              <w:rPr>
                <w:rFonts w:ascii="Calibri" w:hAnsi="Calibri" w:cs="Calibri"/>
                <w:b/>
                <w:sz w:val="18"/>
              </w:rPr>
              <w:t>other comprehensive income</w:t>
            </w:r>
          </w:p>
        </w:tc>
        <w:tc>
          <w:tcPr>
            <w:tcW w:w="717" w:type="dxa"/>
            <w:tcBorders>
              <w:top w:val="single" w:sz="18" w:space="0" w:color="53565A" w:themeColor="accent5"/>
              <w:bottom w:val="single" w:sz="18" w:space="0" w:color="53565A" w:themeColor="accent5"/>
            </w:tcBorders>
            <w:shd w:val="clear" w:color="auto" w:fill="auto"/>
          </w:tcPr>
          <w:p w14:paraId="03C48924" w14:textId="77777777" w:rsidR="009E15A8" w:rsidRPr="005734B8" w:rsidRDefault="009E15A8" w:rsidP="009E15A8">
            <w:pPr>
              <w:pStyle w:val="ESTablenumberrightaligned"/>
              <w:spacing w:before="100" w:after="100"/>
              <w:rPr>
                <w:rFonts w:ascii="Calibri" w:hAnsi="Calibri" w:cs="Calibri"/>
                <w:b/>
                <w:sz w:val="18"/>
              </w:rPr>
            </w:pPr>
          </w:p>
        </w:tc>
        <w:tc>
          <w:tcPr>
            <w:tcW w:w="1117" w:type="dxa"/>
            <w:tcBorders>
              <w:top w:val="single" w:sz="18" w:space="0" w:color="53565A" w:themeColor="accent5"/>
              <w:bottom w:val="single" w:sz="18" w:space="0" w:color="53565A" w:themeColor="accent5"/>
            </w:tcBorders>
            <w:shd w:val="clear" w:color="auto" w:fill="D9D9D6" w:themeFill="accent6"/>
          </w:tcPr>
          <w:p w14:paraId="25CDEBDE" w14:textId="198E4C03"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2,828.4</w:t>
            </w:r>
          </w:p>
        </w:tc>
        <w:tc>
          <w:tcPr>
            <w:tcW w:w="1467" w:type="dxa"/>
            <w:tcBorders>
              <w:top w:val="single" w:sz="18" w:space="0" w:color="53565A" w:themeColor="accent5"/>
              <w:bottom w:val="single" w:sz="18" w:space="0" w:color="53565A" w:themeColor="accent5"/>
            </w:tcBorders>
          </w:tcPr>
          <w:p w14:paraId="67DE698E" w14:textId="36A7D7BC"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(9.5)</w:t>
            </w:r>
          </w:p>
        </w:tc>
        <w:tc>
          <w:tcPr>
            <w:tcW w:w="987" w:type="dxa"/>
            <w:tcBorders>
              <w:top w:val="single" w:sz="18" w:space="0" w:color="53565A" w:themeColor="accent5"/>
              <w:bottom w:val="single" w:sz="18" w:space="0" w:color="53565A" w:themeColor="accent5"/>
            </w:tcBorders>
          </w:tcPr>
          <w:p w14:paraId="5A84587B" w14:textId="4B82CE59"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(29,909)</w:t>
            </w:r>
          </w:p>
        </w:tc>
        <w:tc>
          <w:tcPr>
            <w:tcW w:w="987" w:type="dxa"/>
            <w:tcBorders>
              <w:top w:val="single" w:sz="18" w:space="0" w:color="53565A" w:themeColor="accent5"/>
              <w:bottom w:val="single" w:sz="18" w:space="0" w:color="53565A" w:themeColor="accent5"/>
            </w:tcBorders>
          </w:tcPr>
          <w:p w14:paraId="2243561B" w14:textId="64A3161A"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2,837.9</w:t>
            </w:r>
          </w:p>
        </w:tc>
      </w:tr>
      <w:tr w:rsidR="009E15A8" w:rsidRPr="005734B8" w14:paraId="4B97BAC3" w14:textId="211DEFBC" w:rsidTr="000F48B1">
        <w:trPr>
          <w:cantSplit/>
        </w:trPr>
        <w:tc>
          <w:tcPr>
            <w:tcW w:w="1897" w:type="dxa"/>
            <w:tcBorders>
              <w:top w:val="single" w:sz="18" w:space="0" w:color="53565A" w:themeColor="accent5"/>
              <w:bottom w:val="single" w:sz="18" w:space="0" w:color="53565A" w:themeColor="accent5"/>
            </w:tcBorders>
            <w:shd w:val="clear" w:color="auto" w:fill="auto"/>
          </w:tcPr>
          <w:p w14:paraId="34764499" w14:textId="77777777" w:rsidR="009E15A8" w:rsidRPr="005734B8" w:rsidRDefault="009E15A8" w:rsidP="009E15A8">
            <w:pPr>
              <w:pStyle w:val="ESTablebody"/>
              <w:spacing w:before="100" w:after="100"/>
              <w:rPr>
                <w:rFonts w:ascii="Calibri" w:hAnsi="Calibri" w:cs="Calibri"/>
                <w:b/>
                <w:sz w:val="18"/>
              </w:rPr>
            </w:pPr>
            <w:r w:rsidRPr="005734B8">
              <w:rPr>
                <w:rFonts w:ascii="Calibri" w:hAnsi="Calibri" w:cs="Calibri"/>
                <w:b/>
                <w:sz w:val="18"/>
              </w:rPr>
              <w:t>Comprehensive result</w:t>
            </w:r>
          </w:p>
        </w:tc>
        <w:tc>
          <w:tcPr>
            <w:tcW w:w="717" w:type="dxa"/>
            <w:tcBorders>
              <w:top w:val="single" w:sz="18" w:space="0" w:color="53565A" w:themeColor="accent5"/>
              <w:bottom w:val="single" w:sz="18" w:space="0" w:color="53565A" w:themeColor="accent5"/>
            </w:tcBorders>
            <w:shd w:val="clear" w:color="auto" w:fill="auto"/>
          </w:tcPr>
          <w:p w14:paraId="3832689D" w14:textId="77777777" w:rsidR="009E15A8" w:rsidRPr="005734B8" w:rsidRDefault="009E15A8" w:rsidP="009E15A8">
            <w:pPr>
              <w:pStyle w:val="ESTablenumberrightaligned"/>
              <w:spacing w:before="100" w:after="100"/>
              <w:rPr>
                <w:rFonts w:ascii="Calibri" w:hAnsi="Calibri" w:cs="Calibri"/>
                <w:b/>
                <w:sz w:val="18"/>
              </w:rPr>
            </w:pPr>
          </w:p>
        </w:tc>
        <w:tc>
          <w:tcPr>
            <w:tcW w:w="1117" w:type="dxa"/>
            <w:tcBorders>
              <w:top w:val="single" w:sz="18" w:space="0" w:color="53565A" w:themeColor="accent5"/>
              <w:bottom w:val="single" w:sz="18" w:space="0" w:color="53565A" w:themeColor="accent5"/>
            </w:tcBorders>
            <w:shd w:val="clear" w:color="auto" w:fill="D9D9D6" w:themeFill="accent6"/>
          </w:tcPr>
          <w:p w14:paraId="00E4305F" w14:textId="45DC3CA2"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3,507.4</w:t>
            </w:r>
          </w:p>
        </w:tc>
        <w:tc>
          <w:tcPr>
            <w:tcW w:w="1467" w:type="dxa"/>
            <w:tcBorders>
              <w:top w:val="single" w:sz="18" w:space="0" w:color="53565A" w:themeColor="accent5"/>
              <w:bottom w:val="single" w:sz="18" w:space="0" w:color="53565A" w:themeColor="accent5"/>
            </w:tcBorders>
          </w:tcPr>
          <w:p w14:paraId="4D205E1D" w14:textId="326CBF06"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385.2</w:t>
            </w:r>
          </w:p>
        </w:tc>
        <w:tc>
          <w:tcPr>
            <w:tcW w:w="987" w:type="dxa"/>
            <w:tcBorders>
              <w:top w:val="single" w:sz="18" w:space="0" w:color="53565A" w:themeColor="accent5"/>
              <w:bottom w:val="single" w:sz="18" w:space="0" w:color="53565A" w:themeColor="accent5"/>
            </w:tcBorders>
          </w:tcPr>
          <w:p w14:paraId="6DC761D0" w14:textId="588FE3E7"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810</w:t>
            </w:r>
          </w:p>
        </w:tc>
        <w:tc>
          <w:tcPr>
            <w:tcW w:w="987" w:type="dxa"/>
            <w:tcBorders>
              <w:top w:val="single" w:sz="18" w:space="0" w:color="53565A" w:themeColor="accent5"/>
              <w:bottom w:val="single" w:sz="18" w:space="0" w:color="53565A" w:themeColor="accent5"/>
            </w:tcBorders>
          </w:tcPr>
          <w:p w14:paraId="150067B8" w14:textId="2C0367B6" w:rsidR="009E15A8" w:rsidRPr="005734B8" w:rsidRDefault="009E15A8" w:rsidP="009E15A8">
            <w:pPr>
              <w:pStyle w:val="ESTablenumberrightaligned"/>
              <w:spacing w:before="100" w:after="100"/>
              <w:rPr>
                <w:rFonts w:ascii="Calibri" w:hAnsi="Calibri" w:cs="Calibri"/>
                <w:b/>
                <w:bCs/>
                <w:sz w:val="18"/>
              </w:rPr>
            </w:pPr>
            <w:r w:rsidRPr="005734B8">
              <w:rPr>
                <w:rFonts w:ascii="Calibri" w:hAnsi="Calibri" w:cs="Calibri"/>
                <w:b/>
                <w:bCs/>
                <w:sz w:val="18"/>
              </w:rPr>
              <w:t>3,128.5</w:t>
            </w:r>
          </w:p>
        </w:tc>
      </w:tr>
    </w:tbl>
    <w:p w14:paraId="1FEB403A" w14:textId="520F44EB" w:rsidR="00F258E4" w:rsidRPr="005734B8" w:rsidRDefault="00F258E4" w:rsidP="003A3128">
      <w:pPr>
        <w:rPr>
          <w:rFonts w:ascii="Calibri" w:hAnsi="Calibri" w:cs="Calibri"/>
        </w:rPr>
      </w:pPr>
    </w:p>
    <w:p w14:paraId="2ED3C97B" w14:textId="77777777" w:rsidR="00F258E4" w:rsidRPr="005734B8" w:rsidRDefault="00F258E4">
      <w:pPr>
        <w:rPr>
          <w:rFonts w:ascii="Calibri" w:hAnsi="Calibri" w:cs="Calibri"/>
        </w:rPr>
      </w:pPr>
      <w:r w:rsidRPr="005734B8">
        <w:rPr>
          <w:rFonts w:ascii="Calibri" w:hAnsi="Calibri" w:cs="Calibri"/>
        </w:rPr>
        <w:br w:type="page"/>
      </w:r>
    </w:p>
    <w:p w14:paraId="2186F91B" w14:textId="77777777" w:rsidR="00ED74EC" w:rsidRPr="005734B8" w:rsidRDefault="00ED74EC" w:rsidP="003A3128">
      <w:pPr>
        <w:rPr>
          <w:rFonts w:ascii="Calibri" w:hAnsi="Calibri" w:cs="Calibri"/>
          <w:highlight w:val="yellow"/>
        </w:rPr>
      </w:pPr>
    </w:p>
    <w:p w14:paraId="6ECB3536" w14:textId="77777777" w:rsidR="004419EA" w:rsidRPr="005734B8" w:rsidRDefault="004419EA" w:rsidP="007A152A">
      <w:pPr>
        <w:ind w:left="709" w:hanging="709"/>
        <w:rPr>
          <w:rFonts w:ascii="Calibri" w:hAnsi="Calibri" w:cs="Calibri"/>
        </w:rPr>
      </w:pPr>
      <w:r w:rsidRPr="005734B8">
        <w:rPr>
          <w:rFonts w:ascii="Calibri" w:hAnsi="Calibri" w:cs="Calibri"/>
        </w:rPr>
        <w:t>Notes:</w:t>
      </w:r>
    </w:p>
    <w:p w14:paraId="5D0AB072" w14:textId="01752222" w:rsidR="00FE4EA0" w:rsidRPr="005734B8" w:rsidRDefault="00FE4EA0" w:rsidP="00670895">
      <w:pPr>
        <w:pStyle w:val="ListParagraph"/>
        <w:numPr>
          <w:ilvl w:val="0"/>
          <w:numId w:val="82"/>
        </w:numPr>
        <w:rPr>
          <w:rFonts w:ascii="Calibri" w:hAnsi="Calibri" w:cs="Calibri"/>
        </w:rPr>
      </w:pPr>
      <w:bookmarkStart w:id="2049" w:name="_Toc8899527"/>
      <w:bookmarkStart w:id="2050" w:name="_Toc10724197"/>
      <w:bookmarkStart w:id="2051" w:name="_Toc10724321"/>
      <w:bookmarkStart w:id="2052" w:name="_Toc11158324"/>
      <w:bookmarkStart w:id="2053" w:name="_Toc11336510"/>
      <w:bookmarkStart w:id="2054" w:name="_Toc11336610"/>
      <w:bookmarkStart w:id="2055" w:name="_Toc13647214"/>
      <w:bookmarkStart w:id="2056" w:name="_Toc13656746"/>
      <w:bookmarkStart w:id="2057" w:name="_Toc13656908"/>
      <w:r w:rsidRPr="005734B8">
        <w:rPr>
          <w:rFonts w:ascii="Calibri" w:hAnsi="Calibri" w:cs="Calibri"/>
        </w:rPr>
        <w:t xml:space="preserve">The variance below the published budget mainly relates to carryover requested into 2021–22 across State initiatives and Commonwealth initiatives. These include State initiatives such as Victorian Higher Education State Investment Fund, Apprenticeships Growth Strategy, TAFE Facilities Modernisation Program and TAFE Asset Maintenance Program. </w:t>
      </w:r>
    </w:p>
    <w:p w14:paraId="7E1FE65E" w14:textId="77777777" w:rsidR="00FE4EA0" w:rsidRPr="005734B8" w:rsidRDefault="00FE4EA0" w:rsidP="00670895">
      <w:pPr>
        <w:pStyle w:val="ListParagraph"/>
        <w:numPr>
          <w:ilvl w:val="0"/>
          <w:numId w:val="82"/>
        </w:numPr>
        <w:rPr>
          <w:rFonts w:ascii="Calibri" w:hAnsi="Calibri" w:cs="Calibri"/>
        </w:rPr>
      </w:pPr>
      <w:r w:rsidRPr="005734B8">
        <w:rPr>
          <w:rFonts w:ascii="Calibri" w:hAnsi="Calibri" w:cs="Calibri"/>
        </w:rPr>
        <w:t>The variance below the published budget is mainly due to schools earning lower interest revenue than anticipated.</w:t>
      </w:r>
    </w:p>
    <w:p w14:paraId="28D5A600" w14:textId="48B44D5C" w:rsidR="00FE4EA0" w:rsidRPr="005734B8" w:rsidRDefault="00FE4EA0" w:rsidP="00670895">
      <w:pPr>
        <w:pStyle w:val="ListParagraph"/>
        <w:numPr>
          <w:ilvl w:val="0"/>
          <w:numId w:val="82"/>
        </w:numPr>
        <w:rPr>
          <w:rFonts w:ascii="Calibri" w:hAnsi="Calibri" w:cs="Calibri"/>
        </w:rPr>
      </w:pPr>
      <w:r w:rsidRPr="005734B8">
        <w:rPr>
          <w:rFonts w:ascii="Calibri" w:hAnsi="Calibri" w:cs="Calibri"/>
        </w:rPr>
        <w:t>The variance below the published budget primarily relates to lower than anticipated collection of school and TAFE own sourced revenue due to the COVID-19 pandemic and Stage 4 restrictions.</w:t>
      </w:r>
      <w:r w:rsidRPr="005734B8">
        <w:rPr>
          <w:rFonts w:ascii="Calibri" w:hAnsi="Calibri" w:cs="Calibri"/>
        </w:rPr>
        <w:tab/>
      </w:r>
      <w:r w:rsidRPr="005734B8">
        <w:rPr>
          <w:rFonts w:ascii="Calibri" w:hAnsi="Calibri" w:cs="Calibri"/>
        </w:rPr>
        <w:tab/>
      </w:r>
      <w:r w:rsidRPr="005734B8">
        <w:rPr>
          <w:rFonts w:ascii="Calibri" w:hAnsi="Calibri" w:cs="Calibri"/>
        </w:rPr>
        <w:tab/>
      </w:r>
      <w:r w:rsidRPr="005734B8">
        <w:rPr>
          <w:rFonts w:ascii="Calibri" w:hAnsi="Calibri" w:cs="Calibri"/>
        </w:rPr>
        <w:tab/>
      </w:r>
      <w:r w:rsidRPr="005734B8">
        <w:rPr>
          <w:rFonts w:ascii="Calibri" w:hAnsi="Calibri" w:cs="Calibri"/>
        </w:rPr>
        <w:tab/>
      </w:r>
      <w:r w:rsidRPr="005734B8">
        <w:rPr>
          <w:rFonts w:ascii="Calibri" w:hAnsi="Calibri" w:cs="Calibri"/>
        </w:rPr>
        <w:tab/>
      </w:r>
    </w:p>
    <w:p w14:paraId="1136D25F" w14:textId="380A4AB7" w:rsidR="00FE4EA0" w:rsidRPr="005734B8" w:rsidRDefault="00FE4EA0" w:rsidP="00670895">
      <w:pPr>
        <w:pStyle w:val="ListParagraph"/>
        <w:numPr>
          <w:ilvl w:val="0"/>
          <w:numId w:val="82"/>
        </w:numPr>
        <w:rPr>
          <w:rFonts w:ascii="Calibri" w:hAnsi="Calibri" w:cs="Calibri"/>
        </w:rPr>
      </w:pPr>
      <w:r w:rsidRPr="005734B8">
        <w:rPr>
          <w:rFonts w:ascii="Calibri" w:hAnsi="Calibri" w:cs="Calibri"/>
        </w:rPr>
        <w:t xml:space="preserve">The variance above the published budget is primarily driven by higher than anticipated grants received from other Victorian government departments. This includes grants for Apprenticeships Victoria, the Asbestos removal program, the Victorian African Communities Action Plan, Bushfire Mental Health Supports, Working for Victoria Fund </w:t>
      </w:r>
      <w:r w:rsidR="00B15F9A" w:rsidRPr="005734B8">
        <w:rPr>
          <w:rFonts w:ascii="Calibri" w:hAnsi="Calibri" w:cs="Calibri"/>
        </w:rPr>
        <w:t>–</w:t>
      </w:r>
      <w:r w:rsidRPr="005734B8">
        <w:rPr>
          <w:rFonts w:ascii="Calibri" w:hAnsi="Calibri" w:cs="Calibri"/>
        </w:rPr>
        <w:t xml:space="preserve"> Youth Employment Program and the Working for Victoria Fund TAFE and Training Sector.</w:t>
      </w:r>
    </w:p>
    <w:p w14:paraId="7B1F0300" w14:textId="4C16D2F7" w:rsidR="00FE4EA0" w:rsidRPr="005734B8" w:rsidRDefault="00FE4EA0" w:rsidP="00670895">
      <w:pPr>
        <w:pStyle w:val="ListParagraph"/>
        <w:numPr>
          <w:ilvl w:val="0"/>
          <w:numId w:val="82"/>
        </w:numPr>
        <w:rPr>
          <w:rFonts w:ascii="Calibri" w:hAnsi="Calibri" w:cs="Calibri"/>
        </w:rPr>
      </w:pPr>
      <w:r w:rsidRPr="005734B8">
        <w:rPr>
          <w:rFonts w:ascii="Calibri" w:hAnsi="Calibri" w:cs="Calibri"/>
        </w:rPr>
        <w:t>The variance below the published budget is primarily due to schools</w:t>
      </w:r>
      <w:r w:rsidR="00B15F9A" w:rsidRPr="005734B8">
        <w:rPr>
          <w:rFonts w:ascii="Calibri" w:hAnsi="Calibri" w:cs="Calibri"/>
        </w:rPr>
        <w:t>’</w:t>
      </w:r>
      <w:r w:rsidRPr="005734B8">
        <w:rPr>
          <w:rFonts w:ascii="Calibri" w:hAnsi="Calibri" w:cs="Calibri"/>
        </w:rPr>
        <w:t xml:space="preserve"> third</w:t>
      </w:r>
      <w:r w:rsidR="00897E30" w:rsidRPr="005734B8">
        <w:rPr>
          <w:rFonts w:ascii="Calibri" w:hAnsi="Calibri" w:cs="Calibri"/>
        </w:rPr>
        <w:noBreakHyphen/>
      </w:r>
      <w:r w:rsidRPr="005734B8">
        <w:rPr>
          <w:rFonts w:ascii="Calibri" w:hAnsi="Calibri" w:cs="Calibri"/>
        </w:rPr>
        <w:t>party other revenue (</w:t>
      </w:r>
      <w:r w:rsidR="00897E30" w:rsidRPr="005734B8">
        <w:rPr>
          <w:rFonts w:ascii="Calibri" w:hAnsi="Calibri" w:cs="Calibri"/>
        </w:rPr>
        <w:t>for example,</w:t>
      </w:r>
      <w:r w:rsidRPr="005734B8">
        <w:rPr>
          <w:rFonts w:ascii="Calibri" w:hAnsi="Calibri" w:cs="Calibri"/>
        </w:rPr>
        <w:t xml:space="preserve"> locally raised funds from school fetes</w:t>
      </w:r>
      <w:r w:rsidR="00897E30" w:rsidRPr="005734B8">
        <w:rPr>
          <w:rFonts w:ascii="Calibri" w:hAnsi="Calibri" w:cs="Calibri"/>
        </w:rPr>
        <w:t xml:space="preserve"> and</w:t>
      </w:r>
      <w:r w:rsidRPr="005734B8">
        <w:rPr>
          <w:rFonts w:ascii="Calibri" w:hAnsi="Calibri" w:cs="Calibri"/>
        </w:rPr>
        <w:t xml:space="preserve"> fundraising events</w:t>
      </w:r>
      <w:r w:rsidR="00897E30" w:rsidRPr="005734B8">
        <w:rPr>
          <w:rFonts w:ascii="Calibri" w:hAnsi="Calibri" w:cs="Calibri"/>
        </w:rPr>
        <w:t>,</w:t>
      </w:r>
      <w:r w:rsidRPr="005734B8">
        <w:rPr>
          <w:rFonts w:ascii="Calibri" w:hAnsi="Calibri" w:cs="Calibri"/>
        </w:rPr>
        <w:t xml:space="preserve"> and voluntary contributions made by parents)</w:t>
      </w:r>
      <w:r w:rsidR="00897E30" w:rsidRPr="005734B8">
        <w:rPr>
          <w:rFonts w:ascii="Calibri" w:hAnsi="Calibri" w:cs="Calibri"/>
        </w:rPr>
        <w:t>,</w:t>
      </w:r>
      <w:r w:rsidRPr="005734B8">
        <w:rPr>
          <w:rFonts w:ascii="Calibri" w:hAnsi="Calibri" w:cs="Calibri"/>
        </w:rPr>
        <w:t xml:space="preserve"> which was lower than expected due to the COVID-19 pandemic.</w:t>
      </w:r>
      <w:r w:rsidRPr="005734B8">
        <w:rPr>
          <w:rFonts w:ascii="Calibri" w:hAnsi="Calibri" w:cs="Calibri"/>
        </w:rPr>
        <w:tab/>
      </w:r>
      <w:r w:rsidRPr="005734B8">
        <w:rPr>
          <w:rFonts w:ascii="Calibri" w:hAnsi="Calibri" w:cs="Calibri"/>
        </w:rPr>
        <w:tab/>
      </w:r>
      <w:r w:rsidRPr="005734B8">
        <w:rPr>
          <w:rFonts w:ascii="Calibri" w:hAnsi="Calibri" w:cs="Calibri"/>
        </w:rPr>
        <w:tab/>
      </w:r>
      <w:r w:rsidRPr="005734B8">
        <w:rPr>
          <w:rFonts w:ascii="Calibri" w:hAnsi="Calibri" w:cs="Calibri"/>
        </w:rPr>
        <w:tab/>
      </w:r>
      <w:r w:rsidRPr="005734B8">
        <w:rPr>
          <w:rFonts w:ascii="Calibri" w:hAnsi="Calibri" w:cs="Calibri"/>
        </w:rPr>
        <w:tab/>
      </w:r>
      <w:r w:rsidRPr="005734B8">
        <w:rPr>
          <w:rFonts w:ascii="Calibri" w:hAnsi="Calibri" w:cs="Calibri"/>
        </w:rPr>
        <w:tab/>
      </w:r>
      <w:r w:rsidRPr="005734B8">
        <w:rPr>
          <w:rFonts w:ascii="Calibri" w:hAnsi="Calibri" w:cs="Calibri"/>
        </w:rPr>
        <w:tab/>
      </w:r>
    </w:p>
    <w:p w14:paraId="293E8492" w14:textId="44DD4390" w:rsidR="00FE4EA0" w:rsidRPr="005734B8" w:rsidRDefault="00FE4EA0" w:rsidP="00670895">
      <w:pPr>
        <w:pStyle w:val="ListParagraph"/>
        <w:numPr>
          <w:ilvl w:val="0"/>
          <w:numId w:val="82"/>
        </w:numPr>
        <w:rPr>
          <w:rFonts w:ascii="Calibri" w:hAnsi="Calibri" w:cs="Calibri"/>
        </w:rPr>
      </w:pPr>
      <w:r w:rsidRPr="005734B8">
        <w:rPr>
          <w:rFonts w:ascii="Calibri" w:hAnsi="Calibri" w:cs="Calibri"/>
        </w:rPr>
        <w:t>The variance above the published budget primarily reflects salary expenditure relating to funding decisions for school education programs approved as part of the 2021–22 Budget.</w:t>
      </w:r>
    </w:p>
    <w:p w14:paraId="2373451A" w14:textId="6A1F779A" w:rsidR="00FE4EA0" w:rsidRPr="005734B8" w:rsidRDefault="00FE4EA0" w:rsidP="00670895">
      <w:pPr>
        <w:pStyle w:val="ListParagraph"/>
        <w:numPr>
          <w:ilvl w:val="0"/>
          <w:numId w:val="82"/>
        </w:numPr>
        <w:rPr>
          <w:rFonts w:ascii="Calibri" w:hAnsi="Calibri" w:cs="Calibri"/>
        </w:rPr>
      </w:pPr>
      <w:r w:rsidRPr="005734B8">
        <w:rPr>
          <w:rFonts w:ascii="Calibri" w:hAnsi="Calibri" w:cs="Calibri"/>
        </w:rPr>
        <w:t>The variance below the published budget is primarily due to re-phases approved by the Treasurer into the forward years that were only approved as part of the 2021–22 Budget. This includes Ready for school: kinder for every three-year-old, Non-Government School Infrastructure Fund</w:t>
      </w:r>
      <w:r w:rsidR="006404A1" w:rsidRPr="005734B8">
        <w:rPr>
          <w:rFonts w:ascii="Calibri" w:hAnsi="Calibri" w:cs="Calibri"/>
        </w:rPr>
        <w:t>,</w:t>
      </w:r>
      <w:r w:rsidRPr="005734B8">
        <w:rPr>
          <w:rFonts w:ascii="Calibri" w:hAnsi="Calibri" w:cs="Calibri"/>
        </w:rPr>
        <w:t xml:space="preserve"> and Kindergarten refurbishment and minor works program. This is also driven by carryover requested into 2021</w:t>
      </w:r>
      <w:r w:rsidR="006404A1" w:rsidRPr="005734B8">
        <w:rPr>
          <w:rFonts w:ascii="Calibri" w:hAnsi="Calibri" w:cs="Calibri"/>
        </w:rPr>
        <w:t>–</w:t>
      </w:r>
      <w:r w:rsidRPr="005734B8">
        <w:rPr>
          <w:rFonts w:ascii="Calibri" w:hAnsi="Calibri" w:cs="Calibri"/>
        </w:rPr>
        <w:t xml:space="preserve">22 for several initiatives including: Victorian Higher Education State Investment Fund and Non-Government Schools Infrastructure </w:t>
      </w:r>
      <w:r w:rsidR="00881262" w:rsidRPr="005734B8">
        <w:rPr>
          <w:rFonts w:ascii="Calibri" w:hAnsi="Calibri" w:cs="Calibri"/>
        </w:rPr>
        <w:t>Fund.</w:t>
      </w:r>
    </w:p>
    <w:p w14:paraId="182EC559" w14:textId="2A15A416" w:rsidR="00FE4EA0" w:rsidRPr="005734B8" w:rsidRDefault="00FE4EA0" w:rsidP="00670895">
      <w:pPr>
        <w:pStyle w:val="ListParagraph"/>
        <w:numPr>
          <w:ilvl w:val="0"/>
          <w:numId w:val="82"/>
        </w:numPr>
        <w:rPr>
          <w:rFonts w:ascii="Calibri" w:hAnsi="Calibri" w:cs="Calibri"/>
        </w:rPr>
      </w:pPr>
      <w:r w:rsidRPr="005734B8">
        <w:rPr>
          <w:rFonts w:ascii="Calibri" w:hAnsi="Calibri" w:cs="Calibri"/>
        </w:rPr>
        <w:t xml:space="preserve">The variance below the published budget is primarily due to lower purchases of supplies and consumables by schools and TAFEs in the first half of 2020-21 due to the </w:t>
      </w:r>
      <w:r w:rsidR="006404A1" w:rsidRPr="005734B8">
        <w:rPr>
          <w:rFonts w:ascii="Calibri" w:hAnsi="Calibri" w:cs="Calibri"/>
        </w:rPr>
        <w:t>COVID-19</w:t>
      </w:r>
      <w:r w:rsidRPr="005734B8">
        <w:rPr>
          <w:rFonts w:ascii="Calibri" w:hAnsi="Calibri" w:cs="Calibri"/>
        </w:rPr>
        <w:t xml:space="preserve"> pandemic and Stage 4 restrictions. This is also driven by revised delivery timelines where funding was re-phased into future years for maintenance</w:t>
      </w:r>
      <w:r w:rsidR="00DB6BED" w:rsidRPr="005734B8">
        <w:rPr>
          <w:rFonts w:ascii="Calibri" w:hAnsi="Calibri" w:cs="Calibri"/>
        </w:rPr>
        <w:t>-</w:t>
      </w:r>
      <w:r w:rsidRPr="005734B8">
        <w:rPr>
          <w:rFonts w:ascii="Calibri" w:hAnsi="Calibri" w:cs="Calibri"/>
        </w:rPr>
        <w:t>related programs</w:t>
      </w:r>
      <w:r w:rsidR="006404A1" w:rsidRPr="005734B8">
        <w:rPr>
          <w:rFonts w:ascii="Calibri" w:hAnsi="Calibri" w:cs="Calibri"/>
        </w:rPr>
        <w:t>,</w:t>
      </w:r>
      <w:r w:rsidRPr="005734B8">
        <w:rPr>
          <w:rFonts w:ascii="Calibri" w:hAnsi="Calibri" w:cs="Calibri"/>
        </w:rPr>
        <w:t xml:space="preserve"> and schools incurring less maintenance expenditure than expected. </w:t>
      </w:r>
      <w:r w:rsidRPr="005734B8">
        <w:rPr>
          <w:rFonts w:ascii="Calibri" w:hAnsi="Calibri" w:cs="Calibri"/>
        </w:rPr>
        <w:tab/>
      </w:r>
    </w:p>
    <w:p w14:paraId="5555A512" w14:textId="0847208E" w:rsidR="00FE4EA0" w:rsidRPr="005734B8" w:rsidRDefault="00FE4EA0" w:rsidP="00670895">
      <w:pPr>
        <w:pStyle w:val="ListParagraph"/>
        <w:numPr>
          <w:ilvl w:val="0"/>
          <w:numId w:val="82"/>
        </w:numPr>
        <w:rPr>
          <w:rFonts w:ascii="Calibri" w:hAnsi="Calibri" w:cs="Calibri"/>
        </w:rPr>
      </w:pPr>
      <w:r w:rsidRPr="005734B8">
        <w:rPr>
          <w:rFonts w:ascii="Calibri" w:hAnsi="Calibri" w:cs="Calibri"/>
        </w:rPr>
        <w:t>The variance above the published budget primarily relates to unbudgeted building disposals.</w:t>
      </w:r>
      <w:r w:rsidRPr="005734B8">
        <w:rPr>
          <w:rFonts w:ascii="Calibri" w:hAnsi="Calibri" w:cs="Calibri"/>
        </w:rPr>
        <w:tab/>
      </w:r>
      <w:r w:rsidRPr="005734B8">
        <w:rPr>
          <w:rFonts w:ascii="Calibri" w:hAnsi="Calibri" w:cs="Calibri"/>
        </w:rPr>
        <w:tab/>
      </w:r>
      <w:r w:rsidRPr="005734B8">
        <w:rPr>
          <w:rFonts w:ascii="Calibri" w:hAnsi="Calibri" w:cs="Calibri"/>
        </w:rPr>
        <w:tab/>
      </w:r>
      <w:r w:rsidRPr="005734B8">
        <w:rPr>
          <w:rFonts w:ascii="Calibri" w:hAnsi="Calibri" w:cs="Calibri"/>
        </w:rPr>
        <w:tab/>
      </w:r>
      <w:r w:rsidRPr="005734B8">
        <w:rPr>
          <w:rFonts w:ascii="Calibri" w:hAnsi="Calibri" w:cs="Calibri"/>
        </w:rPr>
        <w:tab/>
      </w:r>
    </w:p>
    <w:p w14:paraId="51AA9727" w14:textId="77777777" w:rsidR="00FE4EA0" w:rsidRPr="005734B8" w:rsidRDefault="00FE4EA0" w:rsidP="00670895">
      <w:pPr>
        <w:pStyle w:val="ListParagraph"/>
        <w:numPr>
          <w:ilvl w:val="0"/>
          <w:numId w:val="82"/>
        </w:numPr>
        <w:rPr>
          <w:rFonts w:ascii="Calibri" w:hAnsi="Calibri" w:cs="Calibri"/>
        </w:rPr>
      </w:pPr>
      <w:r w:rsidRPr="005734B8">
        <w:rPr>
          <w:rFonts w:ascii="Calibri" w:hAnsi="Calibri" w:cs="Calibri"/>
        </w:rPr>
        <w:t>The variance above the published budget primarily relates to TAFEs recognising a share of profits from joint ventures, which was not reflected in the budget.</w:t>
      </w:r>
      <w:r w:rsidRPr="005734B8">
        <w:rPr>
          <w:rFonts w:ascii="Calibri" w:hAnsi="Calibri" w:cs="Calibri"/>
        </w:rPr>
        <w:tab/>
      </w:r>
    </w:p>
    <w:p w14:paraId="1875976D" w14:textId="2EE18654" w:rsidR="00FE4EA0" w:rsidRPr="005734B8" w:rsidRDefault="00FE4EA0" w:rsidP="00670895">
      <w:pPr>
        <w:pStyle w:val="ListParagraph"/>
        <w:numPr>
          <w:ilvl w:val="0"/>
          <w:numId w:val="82"/>
        </w:numPr>
        <w:rPr>
          <w:rFonts w:ascii="Calibri" w:hAnsi="Calibri" w:cs="Calibri"/>
        </w:rPr>
      </w:pPr>
      <w:r w:rsidRPr="005734B8">
        <w:rPr>
          <w:rFonts w:ascii="Calibri" w:hAnsi="Calibri" w:cs="Calibri"/>
        </w:rPr>
        <w:t>The variance below the published budget is mainly due to the review and write-off of bad and doubtful debts.</w:t>
      </w:r>
      <w:r w:rsidRPr="005734B8">
        <w:rPr>
          <w:rFonts w:ascii="Calibri" w:hAnsi="Calibri" w:cs="Calibri"/>
        </w:rPr>
        <w:tab/>
      </w:r>
      <w:r w:rsidRPr="005734B8">
        <w:rPr>
          <w:rFonts w:ascii="Calibri" w:hAnsi="Calibri" w:cs="Calibri"/>
        </w:rPr>
        <w:tab/>
      </w:r>
      <w:r w:rsidRPr="005734B8">
        <w:rPr>
          <w:rFonts w:ascii="Calibri" w:hAnsi="Calibri" w:cs="Calibri"/>
        </w:rPr>
        <w:tab/>
      </w:r>
    </w:p>
    <w:p w14:paraId="723EE56B" w14:textId="691EEEE6" w:rsidR="00FE4EA0" w:rsidRPr="005734B8" w:rsidRDefault="00FE4EA0" w:rsidP="00670895">
      <w:pPr>
        <w:pStyle w:val="ListParagraph"/>
        <w:numPr>
          <w:ilvl w:val="0"/>
          <w:numId w:val="82"/>
        </w:numPr>
        <w:rPr>
          <w:rFonts w:ascii="Calibri" w:hAnsi="Calibri" w:cs="Calibri"/>
        </w:rPr>
      </w:pPr>
      <w:r w:rsidRPr="005734B8">
        <w:rPr>
          <w:rFonts w:ascii="Calibri" w:hAnsi="Calibri" w:cs="Calibri"/>
        </w:rPr>
        <w:t xml:space="preserve">The variance above the published budget mainly reflects revisions in the annual and long service leave provisions due to movements in the wage inflation and present value discount rates issued by the </w:t>
      </w:r>
      <w:r w:rsidR="00F953A0" w:rsidRPr="005734B8">
        <w:rPr>
          <w:rFonts w:ascii="Calibri" w:hAnsi="Calibri" w:cs="Calibri"/>
        </w:rPr>
        <w:t>DTF</w:t>
      </w:r>
      <w:r w:rsidRPr="005734B8">
        <w:rPr>
          <w:rFonts w:ascii="Calibri" w:hAnsi="Calibri" w:cs="Calibri"/>
        </w:rPr>
        <w:t>.</w:t>
      </w:r>
    </w:p>
    <w:p w14:paraId="4681DBCD" w14:textId="090A7A76" w:rsidR="00FE4EA0" w:rsidRPr="005734B8" w:rsidRDefault="00FE4EA0" w:rsidP="00670895">
      <w:pPr>
        <w:pStyle w:val="ListParagraph"/>
        <w:numPr>
          <w:ilvl w:val="0"/>
          <w:numId w:val="82"/>
        </w:numPr>
        <w:rPr>
          <w:rFonts w:ascii="Calibri" w:hAnsi="Calibri" w:cs="Calibri"/>
        </w:rPr>
      </w:pPr>
      <w:r w:rsidRPr="005734B8">
        <w:rPr>
          <w:rFonts w:ascii="Calibri" w:hAnsi="Calibri" w:cs="Calibri"/>
        </w:rPr>
        <w:t>The variance above the published budget primarily relates to an upward land revaluation of 25 per cent for the 2020</w:t>
      </w:r>
      <w:r w:rsidR="00F953A0" w:rsidRPr="005734B8">
        <w:rPr>
          <w:rFonts w:ascii="Calibri" w:hAnsi="Calibri" w:cs="Calibri"/>
        </w:rPr>
        <w:t>–</w:t>
      </w:r>
      <w:r w:rsidRPr="005734B8">
        <w:rPr>
          <w:rFonts w:ascii="Calibri" w:hAnsi="Calibri" w:cs="Calibri"/>
        </w:rPr>
        <w:t>21 managerial revaluation of land assets under Financial Reporting Direction 103I.</w:t>
      </w:r>
    </w:p>
    <w:p w14:paraId="05645A46" w14:textId="2BB8A182" w:rsidR="0028060C" w:rsidRPr="005734B8" w:rsidRDefault="00FE4EA0" w:rsidP="00670895">
      <w:pPr>
        <w:pStyle w:val="ListParagraph"/>
        <w:numPr>
          <w:ilvl w:val="0"/>
          <w:numId w:val="82"/>
        </w:numPr>
        <w:rPr>
          <w:rFonts w:ascii="Calibri" w:hAnsi="Calibri" w:cs="Calibri"/>
        </w:rPr>
      </w:pPr>
      <w:r w:rsidRPr="005734B8">
        <w:rPr>
          <w:rFonts w:ascii="Calibri" w:hAnsi="Calibri" w:cs="Calibri"/>
        </w:rPr>
        <w:t>The variance below the published budget is primarily due to accumulated fund transfers from reserves in TAFEs being higher than expected.</w:t>
      </w:r>
      <w:r w:rsidR="0028060C" w:rsidRPr="005734B8">
        <w:rPr>
          <w:rFonts w:ascii="Calibri" w:hAnsi="Calibri" w:cs="Calibri"/>
          <w:highlight w:val="yellow"/>
        </w:rPr>
        <w:br w:type="page"/>
      </w:r>
    </w:p>
    <w:p w14:paraId="1B80CB8D" w14:textId="3A95413E" w:rsidR="00ED74EC" w:rsidRPr="005734B8" w:rsidRDefault="00ED74EC" w:rsidP="00951939">
      <w:pPr>
        <w:pStyle w:val="ESTableintroheading"/>
        <w:rPr>
          <w:rFonts w:ascii="Calibri" w:hAnsi="Calibri" w:cs="Calibri"/>
        </w:rPr>
      </w:pPr>
      <w:r w:rsidRPr="005734B8">
        <w:rPr>
          <w:rFonts w:ascii="Calibri" w:hAnsi="Calibri" w:cs="Calibri"/>
        </w:rPr>
        <w:lastRenderedPageBreak/>
        <w:t>Balance sheet as at 30 June 20</w:t>
      </w:r>
      <w:r w:rsidR="00D25FAB" w:rsidRPr="005734B8">
        <w:rPr>
          <w:rFonts w:ascii="Calibri" w:hAnsi="Calibri" w:cs="Calibri"/>
        </w:rPr>
        <w:t>2</w:t>
      </w:r>
      <w:bookmarkEnd w:id="2049"/>
      <w:bookmarkEnd w:id="2050"/>
      <w:bookmarkEnd w:id="2051"/>
      <w:bookmarkEnd w:id="2052"/>
      <w:bookmarkEnd w:id="2053"/>
      <w:bookmarkEnd w:id="2054"/>
      <w:bookmarkEnd w:id="2055"/>
      <w:bookmarkEnd w:id="2056"/>
      <w:bookmarkEnd w:id="2057"/>
      <w:r w:rsidR="00FE4EA0" w:rsidRPr="005734B8">
        <w:rPr>
          <w:rFonts w:ascii="Calibri" w:hAnsi="Calibri" w:cs="Calibri"/>
        </w:rPr>
        <w:t>1</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0"/>
        <w:gridCol w:w="657"/>
        <w:gridCol w:w="1161"/>
        <w:gridCol w:w="1319"/>
        <w:gridCol w:w="1232"/>
        <w:gridCol w:w="1329"/>
      </w:tblGrid>
      <w:tr w:rsidR="00ED74EC" w:rsidRPr="005734B8" w14:paraId="3AD826D6" w14:textId="65960046" w:rsidTr="00FE4EA0">
        <w:trPr>
          <w:cantSplit/>
          <w:trHeight w:val="382"/>
          <w:tblHeader/>
        </w:trPr>
        <w:tc>
          <w:tcPr>
            <w:tcW w:w="1643" w:type="pct"/>
            <w:tcBorders>
              <w:bottom w:val="single" w:sz="4" w:space="0" w:color="FFFFFF" w:themeColor="background1"/>
            </w:tcBorders>
            <w:shd w:val="clear" w:color="auto" w:fill="AF272F" w:themeFill="accent4"/>
          </w:tcPr>
          <w:p w14:paraId="370DB3C5" w14:textId="77777777" w:rsidR="00ED74EC" w:rsidRPr="005734B8" w:rsidRDefault="00ED74EC" w:rsidP="000D325F">
            <w:pPr>
              <w:pStyle w:val="ESTableheadingwhite"/>
              <w:spacing w:before="0" w:after="0"/>
              <w:rPr>
                <w:rFonts w:ascii="Calibri" w:hAnsi="Calibri" w:cs="Calibri"/>
                <w:sz w:val="18"/>
              </w:rPr>
            </w:pPr>
          </w:p>
        </w:tc>
        <w:tc>
          <w:tcPr>
            <w:tcW w:w="387" w:type="pct"/>
            <w:tcBorders>
              <w:bottom w:val="single" w:sz="4" w:space="0" w:color="FFFFFF" w:themeColor="background1"/>
            </w:tcBorders>
            <w:shd w:val="clear" w:color="auto" w:fill="AF272F" w:themeFill="accent4"/>
          </w:tcPr>
          <w:p w14:paraId="23B6545A" w14:textId="77777777" w:rsidR="00ED74EC" w:rsidRPr="005734B8" w:rsidRDefault="00ED74EC" w:rsidP="000D325F">
            <w:pPr>
              <w:pStyle w:val="ESTableheadingwhite"/>
              <w:spacing w:before="0" w:after="0"/>
              <w:jc w:val="right"/>
              <w:rPr>
                <w:rFonts w:ascii="Calibri" w:hAnsi="Calibri" w:cs="Calibri"/>
                <w:sz w:val="18"/>
              </w:rPr>
            </w:pPr>
            <w:r w:rsidRPr="005734B8">
              <w:rPr>
                <w:rFonts w:ascii="Calibri" w:hAnsi="Calibri" w:cs="Calibri"/>
                <w:sz w:val="18"/>
              </w:rPr>
              <w:t>Notes</w:t>
            </w:r>
          </w:p>
        </w:tc>
        <w:tc>
          <w:tcPr>
            <w:tcW w:w="684" w:type="pct"/>
            <w:tcBorders>
              <w:bottom w:val="single" w:sz="4" w:space="0" w:color="FFFFFF" w:themeColor="background1"/>
            </w:tcBorders>
            <w:shd w:val="clear" w:color="auto" w:fill="AF272F" w:themeFill="accent4"/>
            <w:vAlign w:val="center"/>
          </w:tcPr>
          <w:p w14:paraId="164154BC" w14:textId="2FB218A3" w:rsidR="00ED6D2F" w:rsidRPr="005734B8" w:rsidRDefault="00635D0C" w:rsidP="000D325F">
            <w:pPr>
              <w:pStyle w:val="ESTableheadingwhite"/>
              <w:spacing w:before="0" w:after="0"/>
              <w:jc w:val="right"/>
              <w:rPr>
                <w:rFonts w:ascii="Calibri" w:hAnsi="Calibri" w:cs="Calibri"/>
                <w:sz w:val="18"/>
              </w:rPr>
            </w:pPr>
            <w:r w:rsidRPr="005734B8">
              <w:rPr>
                <w:rFonts w:ascii="Calibri" w:hAnsi="Calibri" w:cs="Calibri"/>
                <w:sz w:val="18"/>
              </w:rPr>
              <w:t>20</w:t>
            </w:r>
            <w:r w:rsidR="00242C48" w:rsidRPr="005734B8">
              <w:rPr>
                <w:rFonts w:ascii="Calibri" w:hAnsi="Calibri" w:cs="Calibri"/>
                <w:sz w:val="18"/>
              </w:rPr>
              <w:t>2</w:t>
            </w:r>
            <w:r w:rsidR="00FE4EA0" w:rsidRPr="005734B8">
              <w:rPr>
                <w:rFonts w:ascii="Calibri" w:hAnsi="Calibri" w:cs="Calibri"/>
                <w:sz w:val="18"/>
              </w:rPr>
              <w:t>1</w:t>
            </w:r>
          </w:p>
          <w:p w14:paraId="2BB4B113" w14:textId="6FA09752" w:rsidR="000D325F" w:rsidRPr="005734B8" w:rsidRDefault="0015616B" w:rsidP="000D325F">
            <w:pPr>
              <w:pStyle w:val="ESTableheadingwhite"/>
              <w:spacing w:before="0" w:after="0"/>
              <w:jc w:val="right"/>
              <w:rPr>
                <w:rFonts w:ascii="Calibri" w:hAnsi="Calibri" w:cs="Calibri"/>
                <w:sz w:val="18"/>
              </w:rPr>
            </w:pPr>
            <w:r w:rsidRPr="005734B8">
              <w:rPr>
                <w:rFonts w:ascii="Calibri" w:hAnsi="Calibri" w:cs="Calibri"/>
                <w:sz w:val="18"/>
              </w:rPr>
              <w:t>a</w:t>
            </w:r>
            <w:r w:rsidR="00ED6D2F" w:rsidRPr="005734B8">
              <w:rPr>
                <w:rFonts w:ascii="Calibri" w:hAnsi="Calibri" w:cs="Calibri"/>
                <w:sz w:val="18"/>
              </w:rPr>
              <w:t>ctual</w:t>
            </w:r>
            <w:r w:rsidR="00ED74EC" w:rsidRPr="005734B8">
              <w:rPr>
                <w:rFonts w:ascii="Calibri" w:hAnsi="Calibri" w:cs="Calibri"/>
                <w:sz w:val="18"/>
              </w:rPr>
              <w:t xml:space="preserve"> </w:t>
            </w:r>
          </w:p>
          <w:p w14:paraId="24CEB49F" w14:textId="4E19DBEE" w:rsidR="00ED74EC" w:rsidRPr="005734B8" w:rsidRDefault="00ED74EC" w:rsidP="000D325F">
            <w:pPr>
              <w:pStyle w:val="ESTableheadingwhite"/>
              <w:spacing w:before="0" w:after="0"/>
              <w:jc w:val="right"/>
              <w:rPr>
                <w:rFonts w:ascii="Calibri" w:hAnsi="Calibri" w:cs="Calibri"/>
                <w:sz w:val="18"/>
              </w:rPr>
            </w:pPr>
            <w:r w:rsidRPr="005734B8">
              <w:rPr>
                <w:rFonts w:ascii="Calibri" w:hAnsi="Calibri" w:cs="Calibri"/>
                <w:sz w:val="18"/>
              </w:rPr>
              <w:t>($m)</w:t>
            </w:r>
          </w:p>
        </w:tc>
        <w:tc>
          <w:tcPr>
            <w:tcW w:w="777" w:type="pct"/>
            <w:tcBorders>
              <w:bottom w:val="single" w:sz="4" w:space="0" w:color="FFFFFF" w:themeColor="background1"/>
            </w:tcBorders>
            <w:shd w:val="clear" w:color="auto" w:fill="AF272F" w:themeFill="accent4"/>
            <w:vAlign w:val="center"/>
          </w:tcPr>
          <w:p w14:paraId="08215E51" w14:textId="6143788E" w:rsidR="00ED6D2F" w:rsidRPr="005734B8" w:rsidRDefault="00FA1A4A" w:rsidP="000D325F">
            <w:pPr>
              <w:pStyle w:val="ESTableheadingwhite"/>
              <w:spacing w:before="0" w:after="0"/>
              <w:jc w:val="right"/>
              <w:rPr>
                <w:rFonts w:ascii="Calibri" w:hAnsi="Calibri" w:cs="Calibri"/>
                <w:sz w:val="18"/>
              </w:rPr>
            </w:pPr>
            <w:r w:rsidRPr="005734B8">
              <w:rPr>
                <w:rFonts w:ascii="Calibri" w:hAnsi="Calibri" w:cs="Calibri"/>
                <w:sz w:val="18"/>
              </w:rPr>
              <w:t>Published</w:t>
            </w:r>
          </w:p>
          <w:p w14:paraId="25B774EB" w14:textId="5B4B27F7" w:rsidR="000D325F" w:rsidRPr="005734B8" w:rsidRDefault="0015616B" w:rsidP="000D325F">
            <w:pPr>
              <w:pStyle w:val="ESTableheadingwhite"/>
              <w:spacing w:before="0" w:after="0"/>
              <w:jc w:val="right"/>
              <w:rPr>
                <w:rFonts w:ascii="Calibri" w:hAnsi="Calibri" w:cs="Calibri"/>
                <w:sz w:val="18"/>
              </w:rPr>
            </w:pPr>
            <w:r w:rsidRPr="005734B8">
              <w:rPr>
                <w:rFonts w:ascii="Calibri" w:hAnsi="Calibri" w:cs="Calibri"/>
                <w:sz w:val="18"/>
              </w:rPr>
              <w:t>b</w:t>
            </w:r>
            <w:r w:rsidR="00ED6D2F" w:rsidRPr="005734B8">
              <w:rPr>
                <w:rFonts w:ascii="Calibri" w:hAnsi="Calibri" w:cs="Calibri"/>
                <w:sz w:val="18"/>
              </w:rPr>
              <w:t>udget</w:t>
            </w:r>
            <w:r w:rsidR="00ED74EC" w:rsidRPr="005734B8">
              <w:rPr>
                <w:rFonts w:ascii="Calibri" w:hAnsi="Calibri" w:cs="Calibri"/>
                <w:sz w:val="18"/>
              </w:rPr>
              <w:t xml:space="preserve"> </w:t>
            </w:r>
          </w:p>
          <w:p w14:paraId="28F40CE2" w14:textId="28398083" w:rsidR="00ED74EC" w:rsidRPr="005734B8" w:rsidRDefault="00ED74EC" w:rsidP="000D325F">
            <w:pPr>
              <w:pStyle w:val="ESTableheadingwhite"/>
              <w:spacing w:before="0" w:after="0"/>
              <w:jc w:val="right"/>
              <w:rPr>
                <w:rFonts w:ascii="Calibri" w:hAnsi="Calibri" w:cs="Calibri"/>
                <w:sz w:val="18"/>
              </w:rPr>
            </w:pPr>
            <w:r w:rsidRPr="005734B8">
              <w:rPr>
                <w:rFonts w:ascii="Calibri" w:hAnsi="Calibri" w:cs="Calibri"/>
                <w:sz w:val="18"/>
              </w:rPr>
              <w:t>($m)</w:t>
            </w:r>
          </w:p>
        </w:tc>
        <w:tc>
          <w:tcPr>
            <w:tcW w:w="726" w:type="pct"/>
            <w:tcBorders>
              <w:bottom w:val="single" w:sz="4" w:space="0" w:color="FFFFFF" w:themeColor="background1"/>
            </w:tcBorders>
            <w:shd w:val="clear" w:color="auto" w:fill="AF272F" w:themeFill="accent4"/>
            <w:vAlign w:val="center"/>
          </w:tcPr>
          <w:p w14:paraId="03D33FC5" w14:textId="23FFD274" w:rsidR="000D325F" w:rsidRPr="005734B8" w:rsidRDefault="00ED74EC" w:rsidP="000D325F">
            <w:pPr>
              <w:pStyle w:val="ESTableheadingwhite"/>
              <w:spacing w:before="0" w:after="0"/>
              <w:jc w:val="right"/>
              <w:rPr>
                <w:rFonts w:ascii="Calibri" w:hAnsi="Calibri" w:cs="Calibri"/>
                <w:sz w:val="18"/>
              </w:rPr>
            </w:pPr>
            <w:r w:rsidRPr="005734B8">
              <w:rPr>
                <w:rFonts w:ascii="Calibri" w:hAnsi="Calibri" w:cs="Calibri"/>
                <w:sz w:val="18"/>
              </w:rPr>
              <w:t>Variation</w:t>
            </w:r>
          </w:p>
          <w:p w14:paraId="359EFAC4" w14:textId="2C0A58DD" w:rsidR="00ED74EC" w:rsidRPr="005734B8" w:rsidRDefault="00ED74EC" w:rsidP="000D325F">
            <w:pPr>
              <w:pStyle w:val="ESTableheadingwhite"/>
              <w:spacing w:before="0" w:after="0"/>
              <w:jc w:val="right"/>
              <w:rPr>
                <w:rFonts w:ascii="Calibri" w:hAnsi="Calibri" w:cs="Calibri"/>
                <w:sz w:val="18"/>
              </w:rPr>
            </w:pPr>
            <w:r w:rsidRPr="005734B8">
              <w:rPr>
                <w:rFonts w:ascii="Calibri" w:hAnsi="Calibri" w:cs="Calibri"/>
                <w:sz w:val="18"/>
              </w:rPr>
              <w:t>(%)</w:t>
            </w:r>
          </w:p>
        </w:tc>
        <w:tc>
          <w:tcPr>
            <w:tcW w:w="783" w:type="pct"/>
            <w:tcBorders>
              <w:bottom w:val="single" w:sz="4" w:space="0" w:color="FFFFFF" w:themeColor="background1"/>
            </w:tcBorders>
            <w:shd w:val="clear" w:color="auto" w:fill="AF272F" w:themeFill="accent4"/>
            <w:vAlign w:val="center"/>
          </w:tcPr>
          <w:p w14:paraId="43A92A84" w14:textId="3BD0808B" w:rsidR="000D325F" w:rsidRPr="005734B8" w:rsidRDefault="00ED74EC" w:rsidP="000D325F">
            <w:pPr>
              <w:pStyle w:val="ESTableheadingwhite"/>
              <w:spacing w:before="0" w:after="0"/>
              <w:jc w:val="right"/>
              <w:rPr>
                <w:rFonts w:ascii="Calibri" w:hAnsi="Calibri" w:cs="Calibri"/>
                <w:sz w:val="18"/>
              </w:rPr>
            </w:pPr>
            <w:r w:rsidRPr="005734B8">
              <w:rPr>
                <w:rFonts w:ascii="Calibri" w:hAnsi="Calibri" w:cs="Calibri"/>
                <w:sz w:val="18"/>
              </w:rPr>
              <w:t>Variation</w:t>
            </w:r>
          </w:p>
          <w:p w14:paraId="2F0701AD" w14:textId="44747A46" w:rsidR="00ED74EC" w:rsidRPr="005734B8" w:rsidRDefault="00ED74EC" w:rsidP="000D325F">
            <w:pPr>
              <w:pStyle w:val="ESTableheadingwhite"/>
              <w:spacing w:before="0" w:after="0"/>
              <w:jc w:val="right"/>
              <w:rPr>
                <w:rFonts w:ascii="Calibri" w:hAnsi="Calibri" w:cs="Calibri"/>
                <w:sz w:val="18"/>
              </w:rPr>
            </w:pPr>
            <w:r w:rsidRPr="005734B8">
              <w:rPr>
                <w:rFonts w:ascii="Calibri" w:hAnsi="Calibri" w:cs="Calibri"/>
                <w:sz w:val="18"/>
              </w:rPr>
              <w:t>($m)</w:t>
            </w:r>
          </w:p>
        </w:tc>
      </w:tr>
      <w:tr w:rsidR="00ED74EC" w:rsidRPr="005734B8" w14:paraId="3940C99D" w14:textId="1DA09709" w:rsidTr="00FE4EA0">
        <w:trPr>
          <w:cantSplit/>
          <w:trHeight w:val="382"/>
        </w:trPr>
        <w:tc>
          <w:tcPr>
            <w:tcW w:w="1643" w:type="pct"/>
            <w:tcBorders>
              <w:bottom w:val="single" w:sz="4" w:space="0" w:color="53565A" w:themeColor="accent5"/>
              <w:right w:val="nil"/>
            </w:tcBorders>
            <w:shd w:val="clear" w:color="auto" w:fill="53565A" w:themeFill="accent5"/>
          </w:tcPr>
          <w:p w14:paraId="1156A32E" w14:textId="77777777" w:rsidR="00ED74EC" w:rsidRPr="005734B8" w:rsidRDefault="00ED74EC" w:rsidP="006450CB">
            <w:pPr>
              <w:pStyle w:val="ESTableheading"/>
              <w:spacing w:after="100"/>
              <w:rPr>
                <w:rFonts w:ascii="Calibri" w:hAnsi="Calibri" w:cs="Calibri"/>
                <w:sz w:val="18"/>
              </w:rPr>
            </w:pPr>
            <w:r w:rsidRPr="005734B8">
              <w:rPr>
                <w:rFonts w:ascii="Calibri" w:hAnsi="Calibri" w:cs="Calibri"/>
                <w:sz w:val="18"/>
              </w:rPr>
              <w:t>Assets</w:t>
            </w:r>
          </w:p>
        </w:tc>
        <w:tc>
          <w:tcPr>
            <w:tcW w:w="387" w:type="pct"/>
            <w:tcBorders>
              <w:left w:val="nil"/>
              <w:bottom w:val="single" w:sz="4" w:space="0" w:color="53565A" w:themeColor="accent5"/>
              <w:right w:val="nil"/>
            </w:tcBorders>
            <w:shd w:val="clear" w:color="auto" w:fill="53565A" w:themeFill="accent5"/>
          </w:tcPr>
          <w:p w14:paraId="43BEE178" w14:textId="77777777" w:rsidR="00ED74EC" w:rsidRPr="005734B8" w:rsidRDefault="00ED74EC" w:rsidP="006450CB">
            <w:pPr>
              <w:pStyle w:val="ESTablenumberrightaligned"/>
              <w:spacing w:after="100"/>
              <w:rPr>
                <w:rFonts w:ascii="Calibri" w:hAnsi="Calibri" w:cs="Calibri"/>
                <w:sz w:val="18"/>
              </w:rPr>
            </w:pPr>
          </w:p>
        </w:tc>
        <w:tc>
          <w:tcPr>
            <w:tcW w:w="684" w:type="pct"/>
            <w:tcBorders>
              <w:left w:val="nil"/>
              <w:bottom w:val="single" w:sz="4" w:space="0" w:color="53565A" w:themeColor="accent5"/>
              <w:right w:val="nil"/>
            </w:tcBorders>
            <w:shd w:val="clear" w:color="auto" w:fill="53565A" w:themeFill="accent5"/>
            <w:vAlign w:val="center"/>
          </w:tcPr>
          <w:p w14:paraId="0CDC968F" w14:textId="77777777" w:rsidR="00ED74EC" w:rsidRPr="005734B8" w:rsidRDefault="00ED74EC" w:rsidP="006450CB">
            <w:pPr>
              <w:pStyle w:val="ESTablenumberrightaligned"/>
              <w:spacing w:after="100"/>
              <w:rPr>
                <w:rFonts w:ascii="Calibri" w:hAnsi="Calibri" w:cs="Calibri"/>
                <w:sz w:val="18"/>
              </w:rPr>
            </w:pPr>
          </w:p>
        </w:tc>
        <w:tc>
          <w:tcPr>
            <w:tcW w:w="777" w:type="pct"/>
            <w:tcBorders>
              <w:left w:val="nil"/>
              <w:bottom w:val="single" w:sz="4" w:space="0" w:color="53565A" w:themeColor="accent5"/>
              <w:right w:val="nil"/>
            </w:tcBorders>
            <w:shd w:val="clear" w:color="auto" w:fill="53565A" w:themeFill="accent5"/>
            <w:vAlign w:val="center"/>
          </w:tcPr>
          <w:p w14:paraId="058896E3" w14:textId="77777777" w:rsidR="00ED74EC" w:rsidRPr="005734B8" w:rsidRDefault="00ED74EC" w:rsidP="006450CB">
            <w:pPr>
              <w:pStyle w:val="ESTablenumberrightaligned"/>
              <w:spacing w:after="100"/>
              <w:rPr>
                <w:rFonts w:ascii="Calibri" w:hAnsi="Calibri" w:cs="Calibri"/>
                <w:sz w:val="18"/>
              </w:rPr>
            </w:pPr>
          </w:p>
        </w:tc>
        <w:tc>
          <w:tcPr>
            <w:tcW w:w="726" w:type="pct"/>
            <w:tcBorders>
              <w:left w:val="nil"/>
              <w:bottom w:val="single" w:sz="4" w:space="0" w:color="53565A" w:themeColor="accent5"/>
              <w:right w:val="nil"/>
            </w:tcBorders>
            <w:shd w:val="clear" w:color="auto" w:fill="53565A" w:themeFill="accent5"/>
            <w:vAlign w:val="center"/>
          </w:tcPr>
          <w:p w14:paraId="64113903" w14:textId="77777777" w:rsidR="00ED74EC" w:rsidRPr="005734B8" w:rsidRDefault="00ED74EC" w:rsidP="006450CB">
            <w:pPr>
              <w:pStyle w:val="ESTablenumberrightaligned"/>
              <w:spacing w:after="100"/>
              <w:rPr>
                <w:rFonts w:ascii="Calibri" w:hAnsi="Calibri" w:cs="Calibri"/>
                <w:sz w:val="18"/>
              </w:rPr>
            </w:pPr>
          </w:p>
        </w:tc>
        <w:tc>
          <w:tcPr>
            <w:tcW w:w="783" w:type="pct"/>
            <w:tcBorders>
              <w:left w:val="nil"/>
              <w:bottom w:val="single" w:sz="4" w:space="0" w:color="53565A" w:themeColor="accent5"/>
              <w:right w:val="nil"/>
            </w:tcBorders>
            <w:shd w:val="clear" w:color="auto" w:fill="53565A" w:themeFill="accent5"/>
            <w:vAlign w:val="center"/>
          </w:tcPr>
          <w:p w14:paraId="03C50AED" w14:textId="77777777" w:rsidR="00ED74EC" w:rsidRPr="005734B8" w:rsidRDefault="00ED74EC" w:rsidP="006450CB">
            <w:pPr>
              <w:pStyle w:val="ESTablenumberrightaligned"/>
              <w:spacing w:after="100"/>
              <w:rPr>
                <w:rFonts w:ascii="Calibri" w:hAnsi="Calibri" w:cs="Calibri"/>
                <w:sz w:val="18"/>
              </w:rPr>
            </w:pPr>
          </w:p>
        </w:tc>
      </w:tr>
      <w:tr w:rsidR="00ED74EC" w:rsidRPr="005734B8" w14:paraId="6FDB82D7" w14:textId="6361ADA9" w:rsidTr="00FE4EA0">
        <w:trPr>
          <w:cantSplit/>
          <w:trHeight w:val="382"/>
        </w:trPr>
        <w:tc>
          <w:tcPr>
            <w:tcW w:w="1643" w:type="pct"/>
            <w:tcBorders>
              <w:top w:val="single" w:sz="4" w:space="0" w:color="53565A" w:themeColor="accent5"/>
              <w:bottom w:val="single" w:sz="4" w:space="0" w:color="53565A" w:themeColor="accent5"/>
              <w:right w:val="nil"/>
            </w:tcBorders>
            <w:shd w:val="clear" w:color="auto" w:fill="D9D9D6" w:themeFill="accent6"/>
          </w:tcPr>
          <w:p w14:paraId="058369A0" w14:textId="77777777" w:rsidR="00ED74EC" w:rsidRPr="005734B8" w:rsidRDefault="00ED74EC" w:rsidP="006450CB">
            <w:pPr>
              <w:pStyle w:val="ESTablebody"/>
              <w:spacing w:after="100"/>
              <w:rPr>
                <w:rFonts w:ascii="Calibri" w:hAnsi="Calibri" w:cs="Calibri"/>
                <w:b/>
                <w:sz w:val="18"/>
              </w:rPr>
            </w:pPr>
            <w:r w:rsidRPr="005734B8">
              <w:rPr>
                <w:rFonts w:ascii="Calibri" w:hAnsi="Calibri" w:cs="Calibri"/>
                <w:b/>
                <w:sz w:val="18"/>
              </w:rPr>
              <w:t>Financial assets</w:t>
            </w:r>
          </w:p>
        </w:tc>
        <w:tc>
          <w:tcPr>
            <w:tcW w:w="387" w:type="pct"/>
            <w:tcBorders>
              <w:top w:val="single" w:sz="4" w:space="0" w:color="53565A" w:themeColor="accent5"/>
              <w:left w:val="nil"/>
              <w:bottom w:val="single" w:sz="4" w:space="0" w:color="53565A" w:themeColor="accent5"/>
              <w:right w:val="nil"/>
            </w:tcBorders>
            <w:shd w:val="clear" w:color="auto" w:fill="D9D9D6" w:themeFill="accent6"/>
            <w:vAlign w:val="center"/>
          </w:tcPr>
          <w:p w14:paraId="1D77CD95" w14:textId="77777777" w:rsidR="00ED74EC" w:rsidRPr="005734B8" w:rsidRDefault="00ED74EC" w:rsidP="006450CB">
            <w:pPr>
              <w:pStyle w:val="ESTablenumberrightaligned"/>
              <w:spacing w:after="100"/>
              <w:rPr>
                <w:rFonts w:ascii="Calibri" w:hAnsi="Calibri" w:cs="Calibri"/>
                <w:sz w:val="18"/>
              </w:rPr>
            </w:pPr>
          </w:p>
        </w:tc>
        <w:tc>
          <w:tcPr>
            <w:tcW w:w="684" w:type="pct"/>
            <w:tcBorders>
              <w:top w:val="single" w:sz="4" w:space="0" w:color="53565A" w:themeColor="accent5"/>
              <w:left w:val="nil"/>
              <w:bottom w:val="single" w:sz="4" w:space="0" w:color="53565A" w:themeColor="accent5"/>
              <w:right w:val="nil"/>
            </w:tcBorders>
            <w:shd w:val="clear" w:color="auto" w:fill="D9D9D6" w:themeFill="accent6"/>
            <w:vAlign w:val="center"/>
          </w:tcPr>
          <w:p w14:paraId="18169849" w14:textId="77777777" w:rsidR="00ED74EC" w:rsidRPr="005734B8" w:rsidRDefault="00ED74EC" w:rsidP="006450CB">
            <w:pPr>
              <w:pStyle w:val="ESTablenumberrightaligned"/>
              <w:spacing w:after="100"/>
              <w:rPr>
                <w:rFonts w:ascii="Calibri" w:hAnsi="Calibri" w:cs="Calibri"/>
                <w:sz w:val="18"/>
              </w:rPr>
            </w:pPr>
          </w:p>
        </w:tc>
        <w:tc>
          <w:tcPr>
            <w:tcW w:w="777" w:type="pct"/>
            <w:tcBorders>
              <w:top w:val="single" w:sz="4" w:space="0" w:color="53565A" w:themeColor="accent5"/>
              <w:left w:val="nil"/>
              <w:bottom w:val="single" w:sz="4" w:space="0" w:color="53565A" w:themeColor="accent5"/>
              <w:right w:val="nil"/>
            </w:tcBorders>
            <w:shd w:val="clear" w:color="auto" w:fill="D9D9D6" w:themeFill="accent6"/>
            <w:vAlign w:val="center"/>
          </w:tcPr>
          <w:p w14:paraId="35DCE31D" w14:textId="77777777" w:rsidR="00ED74EC" w:rsidRPr="005734B8" w:rsidRDefault="00ED74EC" w:rsidP="006450CB">
            <w:pPr>
              <w:pStyle w:val="ESTablenumberrightaligned"/>
              <w:spacing w:after="100"/>
              <w:rPr>
                <w:rFonts w:ascii="Calibri" w:hAnsi="Calibri" w:cs="Calibri"/>
                <w:sz w:val="18"/>
              </w:rPr>
            </w:pPr>
          </w:p>
        </w:tc>
        <w:tc>
          <w:tcPr>
            <w:tcW w:w="726" w:type="pct"/>
            <w:tcBorders>
              <w:top w:val="single" w:sz="4" w:space="0" w:color="53565A" w:themeColor="accent5"/>
              <w:left w:val="nil"/>
              <w:bottom w:val="single" w:sz="4" w:space="0" w:color="53565A" w:themeColor="accent5"/>
              <w:right w:val="nil"/>
            </w:tcBorders>
            <w:shd w:val="clear" w:color="auto" w:fill="D9D9D6" w:themeFill="accent6"/>
            <w:vAlign w:val="center"/>
          </w:tcPr>
          <w:p w14:paraId="7601AB05" w14:textId="77777777" w:rsidR="00ED74EC" w:rsidRPr="005734B8" w:rsidRDefault="00ED74EC" w:rsidP="006450CB">
            <w:pPr>
              <w:pStyle w:val="ESTablenumberrightaligned"/>
              <w:spacing w:after="100"/>
              <w:rPr>
                <w:rFonts w:ascii="Calibri" w:hAnsi="Calibri" w:cs="Calibri"/>
                <w:sz w:val="18"/>
              </w:rPr>
            </w:pPr>
          </w:p>
        </w:tc>
        <w:tc>
          <w:tcPr>
            <w:tcW w:w="783" w:type="pct"/>
            <w:tcBorders>
              <w:top w:val="single" w:sz="4" w:space="0" w:color="53565A" w:themeColor="accent5"/>
              <w:left w:val="nil"/>
              <w:bottom w:val="single" w:sz="4" w:space="0" w:color="53565A" w:themeColor="accent5"/>
              <w:right w:val="nil"/>
            </w:tcBorders>
            <w:shd w:val="clear" w:color="auto" w:fill="D9D9D6" w:themeFill="accent6"/>
            <w:vAlign w:val="center"/>
          </w:tcPr>
          <w:p w14:paraId="390AD6B4" w14:textId="77777777" w:rsidR="00ED74EC" w:rsidRPr="005734B8" w:rsidRDefault="00ED74EC" w:rsidP="006450CB">
            <w:pPr>
              <w:pStyle w:val="ESTablenumberrightaligned"/>
              <w:spacing w:after="100"/>
              <w:rPr>
                <w:rFonts w:ascii="Calibri" w:hAnsi="Calibri" w:cs="Calibri"/>
                <w:sz w:val="18"/>
              </w:rPr>
            </w:pPr>
          </w:p>
        </w:tc>
      </w:tr>
      <w:tr w:rsidR="00FE4EA0" w:rsidRPr="005734B8" w14:paraId="1E4F20D3" w14:textId="12A230E3" w:rsidTr="00FE4EA0">
        <w:trPr>
          <w:cantSplit/>
          <w:trHeight w:val="382"/>
        </w:trPr>
        <w:tc>
          <w:tcPr>
            <w:tcW w:w="1643" w:type="pct"/>
            <w:tcBorders>
              <w:top w:val="single" w:sz="4" w:space="0" w:color="53565A" w:themeColor="accent5"/>
              <w:bottom w:val="single" w:sz="4" w:space="0" w:color="53565A" w:themeColor="accent5"/>
            </w:tcBorders>
            <w:shd w:val="clear" w:color="auto" w:fill="auto"/>
          </w:tcPr>
          <w:p w14:paraId="53376EEF" w14:textId="77777777" w:rsidR="00FE4EA0" w:rsidRPr="005734B8" w:rsidRDefault="00FE4EA0" w:rsidP="00FE4EA0">
            <w:pPr>
              <w:pStyle w:val="ESTablebody"/>
              <w:spacing w:after="100"/>
              <w:rPr>
                <w:rFonts w:ascii="Calibri" w:hAnsi="Calibri" w:cs="Calibri"/>
                <w:sz w:val="18"/>
              </w:rPr>
            </w:pPr>
            <w:r w:rsidRPr="005734B8">
              <w:rPr>
                <w:rFonts w:ascii="Calibri" w:hAnsi="Calibri" w:cs="Calibri"/>
                <w:sz w:val="18"/>
              </w:rPr>
              <w:t>Cash and deposits</w:t>
            </w:r>
          </w:p>
        </w:tc>
        <w:tc>
          <w:tcPr>
            <w:tcW w:w="387" w:type="pct"/>
            <w:tcBorders>
              <w:top w:val="single" w:sz="4" w:space="0" w:color="53565A" w:themeColor="accent5"/>
              <w:bottom w:val="single" w:sz="4" w:space="0" w:color="53565A" w:themeColor="accent5"/>
            </w:tcBorders>
            <w:shd w:val="clear" w:color="auto" w:fill="auto"/>
          </w:tcPr>
          <w:p w14:paraId="10A7B858" w14:textId="00523A39"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a</w:t>
            </w:r>
          </w:p>
        </w:tc>
        <w:tc>
          <w:tcPr>
            <w:tcW w:w="684" w:type="pct"/>
            <w:tcBorders>
              <w:top w:val="single" w:sz="4" w:space="0" w:color="53565A" w:themeColor="accent5"/>
              <w:bottom w:val="single" w:sz="4" w:space="0" w:color="53565A" w:themeColor="accent5"/>
            </w:tcBorders>
            <w:shd w:val="clear" w:color="auto" w:fill="D9D9D6" w:themeFill="accent6"/>
          </w:tcPr>
          <w:p w14:paraId="0D57C291" w14:textId="6D903F19"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1,966.9 </w:t>
            </w:r>
          </w:p>
        </w:tc>
        <w:tc>
          <w:tcPr>
            <w:tcW w:w="777" w:type="pct"/>
            <w:tcBorders>
              <w:top w:val="single" w:sz="4" w:space="0" w:color="53565A" w:themeColor="accent5"/>
              <w:bottom w:val="single" w:sz="4" w:space="0" w:color="53565A" w:themeColor="accent5"/>
            </w:tcBorders>
          </w:tcPr>
          <w:p w14:paraId="7ACFE9CC" w14:textId="51D18A3C"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1,910.0 </w:t>
            </w:r>
          </w:p>
        </w:tc>
        <w:tc>
          <w:tcPr>
            <w:tcW w:w="726" w:type="pct"/>
            <w:tcBorders>
              <w:top w:val="single" w:sz="4" w:space="0" w:color="53565A" w:themeColor="accent5"/>
              <w:bottom w:val="single" w:sz="4" w:space="0" w:color="53565A" w:themeColor="accent5"/>
            </w:tcBorders>
          </w:tcPr>
          <w:p w14:paraId="15492EFF" w14:textId="6EB0F417"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3</w:t>
            </w:r>
          </w:p>
        </w:tc>
        <w:tc>
          <w:tcPr>
            <w:tcW w:w="783" w:type="pct"/>
            <w:tcBorders>
              <w:top w:val="single" w:sz="4" w:space="0" w:color="53565A" w:themeColor="accent5"/>
              <w:bottom w:val="single" w:sz="4" w:space="0" w:color="53565A" w:themeColor="accent5"/>
            </w:tcBorders>
          </w:tcPr>
          <w:p w14:paraId="339CB817" w14:textId="1590FD76"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56.8</w:t>
            </w:r>
          </w:p>
        </w:tc>
      </w:tr>
      <w:tr w:rsidR="00FE4EA0" w:rsidRPr="005734B8" w14:paraId="2BD82DF8" w14:textId="2C024773" w:rsidTr="00FE4EA0">
        <w:trPr>
          <w:cantSplit/>
          <w:trHeight w:val="382"/>
        </w:trPr>
        <w:tc>
          <w:tcPr>
            <w:tcW w:w="1643" w:type="pct"/>
            <w:tcBorders>
              <w:top w:val="single" w:sz="4" w:space="0" w:color="53565A" w:themeColor="accent5"/>
              <w:bottom w:val="single" w:sz="4" w:space="0" w:color="53565A" w:themeColor="accent5"/>
            </w:tcBorders>
            <w:shd w:val="clear" w:color="auto" w:fill="auto"/>
            <w:vAlign w:val="center"/>
          </w:tcPr>
          <w:p w14:paraId="5CAB09A7" w14:textId="77777777" w:rsidR="00FE4EA0" w:rsidRPr="005734B8" w:rsidRDefault="00FE4EA0" w:rsidP="00FE4EA0">
            <w:pPr>
              <w:pStyle w:val="ESTablebody"/>
              <w:spacing w:after="100"/>
              <w:rPr>
                <w:rFonts w:ascii="Calibri" w:hAnsi="Calibri" w:cs="Calibri"/>
                <w:sz w:val="18"/>
              </w:rPr>
            </w:pPr>
            <w:r w:rsidRPr="005734B8">
              <w:rPr>
                <w:rFonts w:ascii="Calibri" w:hAnsi="Calibri" w:cs="Calibri"/>
                <w:sz w:val="18"/>
                <w:lang w:val="en-AU"/>
              </w:rPr>
              <w:t>Receivables from government</w:t>
            </w:r>
          </w:p>
        </w:tc>
        <w:tc>
          <w:tcPr>
            <w:tcW w:w="387" w:type="pct"/>
            <w:tcBorders>
              <w:top w:val="single" w:sz="4" w:space="0" w:color="53565A" w:themeColor="accent5"/>
              <w:bottom w:val="single" w:sz="4" w:space="0" w:color="53565A" w:themeColor="accent5"/>
            </w:tcBorders>
            <w:shd w:val="clear" w:color="auto" w:fill="auto"/>
          </w:tcPr>
          <w:p w14:paraId="289E450E" w14:textId="765848F1"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b</w:t>
            </w:r>
          </w:p>
        </w:tc>
        <w:tc>
          <w:tcPr>
            <w:tcW w:w="684" w:type="pct"/>
            <w:tcBorders>
              <w:top w:val="single" w:sz="4" w:space="0" w:color="53565A" w:themeColor="accent5"/>
              <w:bottom w:val="single" w:sz="4" w:space="0" w:color="53565A" w:themeColor="accent5"/>
            </w:tcBorders>
            <w:shd w:val="clear" w:color="auto" w:fill="D9D9D6" w:themeFill="accent6"/>
          </w:tcPr>
          <w:p w14:paraId="5ACBE773" w14:textId="33F344C8"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2,582.7 </w:t>
            </w:r>
          </w:p>
        </w:tc>
        <w:tc>
          <w:tcPr>
            <w:tcW w:w="777" w:type="pct"/>
            <w:tcBorders>
              <w:top w:val="single" w:sz="4" w:space="0" w:color="53565A" w:themeColor="accent5"/>
              <w:bottom w:val="single" w:sz="4" w:space="0" w:color="53565A" w:themeColor="accent5"/>
            </w:tcBorders>
          </w:tcPr>
          <w:p w14:paraId="5B7B1DE9" w14:textId="16A2709E"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2,477.4 </w:t>
            </w:r>
          </w:p>
        </w:tc>
        <w:tc>
          <w:tcPr>
            <w:tcW w:w="726" w:type="pct"/>
            <w:tcBorders>
              <w:top w:val="single" w:sz="4" w:space="0" w:color="53565A" w:themeColor="accent5"/>
              <w:bottom w:val="single" w:sz="4" w:space="0" w:color="53565A" w:themeColor="accent5"/>
            </w:tcBorders>
          </w:tcPr>
          <w:p w14:paraId="1D376C82" w14:textId="70C72D92"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4</w:t>
            </w:r>
          </w:p>
        </w:tc>
        <w:tc>
          <w:tcPr>
            <w:tcW w:w="783" w:type="pct"/>
            <w:tcBorders>
              <w:top w:val="single" w:sz="4" w:space="0" w:color="53565A" w:themeColor="accent5"/>
              <w:bottom w:val="single" w:sz="4" w:space="0" w:color="53565A" w:themeColor="accent5"/>
            </w:tcBorders>
          </w:tcPr>
          <w:p w14:paraId="724A6A2D" w14:textId="242C2184"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105.3</w:t>
            </w:r>
          </w:p>
        </w:tc>
      </w:tr>
      <w:tr w:rsidR="00FE4EA0" w:rsidRPr="005734B8" w14:paraId="02CDA235" w14:textId="141C040F" w:rsidTr="00FE4EA0">
        <w:trPr>
          <w:cantSplit/>
          <w:trHeight w:val="382"/>
        </w:trPr>
        <w:tc>
          <w:tcPr>
            <w:tcW w:w="1643" w:type="pct"/>
            <w:tcBorders>
              <w:top w:val="single" w:sz="4" w:space="0" w:color="53565A" w:themeColor="accent5"/>
              <w:bottom w:val="single" w:sz="4" w:space="0" w:color="53565A" w:themeColor="accent5"/>
            </w:tcBorders>
            <w:shd w:val="clear" w:color="auto" w:fill="auto"/>
            <w:vAlign w:val="center"/>
          </w:tcPr>
          <w:p w14:paraId="1F68530B" w14:textId="77777777" w:rsidR="00FE4EA0" w:rsidRPr="005734B8" w:rsidRDefault="00FE4EA0" w:rsidP="00FE4EA0">
            <w:pPr>
              <w:pStyle w:val="ESTablebody"/>
              <w:spacing w:after="100"/>
              <w:rPr>
                <w:rFonts w:ascii="Calibri" w:hAnsi="Calibri" w:cs="Calibri"/>
                <w:sz w:val="18"/>
              </w:rPr>
            </w:pPr>
            <w:r w:rsidRPr="005734B8">
              <w:rPr>
                <w:rFonts w:ascii="Calibri" w:hAnsi="Calibri" w:cs="Calibri"/>
                <w:sz w:val="18"/>
                <w:lang w:val="en-AU"/>
              </w:rPr>
              <w:t>Other receivables</w:t>
            </w:r>
          </w:p>
        </w:tc>
        <w:tc>
          <w:tcPr>
            <w:tcW w:w="387" w:type="pct"/>
            <w:tcBorders>
              <w:top w:val="single" w:sz="4" w:space="0" w:color="53565A" w:themeColor="accent5"/>
              <w:bottom w:val="single" w:sz="4" w:space="0" w:color="53565A" w:themeColor="accent5"/>
            </w:tcBorders>
            <w:shd w:val="clear" w:color="auto" w:fill="auto"/>
          </w:tcPr>
          <w:p w14:paraId="00469F92" w14:textId="4C0E98F3"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c</w:t>
            </w:r>
          </w:p>
        </w:tc>
        <w:tc>
          <w:tcPr>
            <w:tcW w:w="684" w:type="pct"/>
            <w:tcBorders>
              <w:top w:val="single" w:sz="4" w:space="0" w:color="53565A" w:themeColor="accent5"/>
              <w:bottom w:val="single" w:sz="4" w:space="0" w:color="53565A" w:themeColor="accent5"/>
            </w:tcBorders>
            <w:shd w:val="clear" w:color="auto" w:fill="D9D9D6" w:themeFill="accent6"/>
          </w:tcPr>
          <w:p w14:paraId="30645DF6" w14:textId="670E6D81"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216.4 </w:t>
            </w:r>
          </w:p>
        </w:tc>
        <w:tc>
          <w:tcPr>
            <w:tcW w:w="777" w:type="pct"/>
            <w:tcBorders>
              <w:top w:val="single" w:sz="4" w:space="0" w:color="53565A" w:themeColor="accent5"/>
              <w:bottom w:val="single" w:sz="4" w:space="0" w:color="53565A" w:themeColor="accent5"/>
            </w:tcBorders>
          </w:tcPr>
          <w:p w14:paraId="15756982" w14:textId="2F8BD5CA"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172.4 </w:t>
            </w:r>
          </w:p>
        </w:tc>
        <w:tc>
          <w:tcPr>
            <w:tcW w:w="726" w:type="pct"/>
            <w:tcBorders>
              <w:top w:val="single" w:sz="4" w:space="0" w:color="53565A" w:themeColor="accent5"/>
              <w:bottom w:val="single" w:sz="4" w:space="0" w:color="53565A" w:themeColor="accent5"/>
            </w:tcBorders>
          </w:tcPr>
          <w:p w14:paraId="545D587F" w14:textId="22957DC0"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26</w:t>
            </w:r>
          </w:p>
        </w:tc>
        <w:tc>
          <w:tcPr>
            <w:tcW w:w="783" w:type="pct"/>
            <w:tcBorders>
              <w:top w:val="single" w:sz="4" w:space="0" w:color="53565A" w:themeColor="accent5"/>
              <w:bottom w:val="single" w:sz="4" w:space="0" w:color="53565A" w:themeColor="accent5"/>
            </w:tcBorders>
          </w:tcPr>
          <w:p w14:paraId="1C18E9CA" w14:textId="5C0600A5"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44.0</w:t>
            </w:r>
          </w:p>
        </w:tc>
      </w:tr>
      <w:tr w:rsidR="00FE4EA0" w:rsidRPr="005734B8" w14:paraId="26F75826" w14:textId="032BCC52" w:rsidTr="00FE4EA0">
        <w:trPr>
          <w:cantSplit/>
          <w:trHeight w:val="382"/>
        </w:trPr>
        <w:tc>
          <w:tcPr>
            <w:tcW w:w="1643" w:type="pct"/>
            <w:tcBorders>
              <w:top w:val="single" w:sz="4" w:space="0" w:color="53565A" w:themeColor="accent5"/>
              <w:bottom w:val="single" w:sz="4" w:space="0" w:color="53565A" w:themeColor="accent5"/>
            </w:tcBorders>
            <w:shd w:val="clear" w:color="auto" w:fill="auto"/>
            <w:vAlign w:val="center"/>
          </w:tcPr>
          <w:p w14:paraId="25D48B18" w14:textId="77777777" w:rsidR="00FE4EA0" w:rsidRPr="005734B8" w:rsidRDefault="00FE4EA0" w:rsidP="00FE4EA0">
            <w:pPr>
              <w:pStyle w:val="ESTablebody"/>
              <w:spacing w:after="100"/>
              <w:rPr>
                <w:rFonts w:ascii="Calibri" w:hAnsi="Calibri" w:cs="Calibri"/>
                <w:sz w:val="18"/>
              </w:rPr>
            </w:pPr>
            <w:r w:rsidRPr="005734B8">
              <w:rPr>
                <w:rFonts w:ascii="Calibri" w:hAnsi="Calibri" w:cs="Calibri"/>
                <w:sz w:val="18"/>
                <w:lang w:val="en-AU"/>
              </w:rPr>
              <w:t>Other financial assets</w:t>
            </w:r>
          </w:p>
        </w:tc>
        <w:tc>
          <w:tcPr>
            <w:tcW w:w="387" w:type="pct"/>
            <w:tcBorders>
              <w:top w:val="single" w:sz="4" w:space="0" w:color="53565A" w:themeColor="accent5"/>
              <w:bottom w:val="single" w:sz="4" w:space="0" w:color="53565A" w:themeColor="accent5"/>
            </w:tcBorders>
            <w:shd w:val="clear" w:color="auto" w:fill="auto"/>
          </w:tcPr>
          <w:p w14:paraId="65E8E844" w14:textId="6D53A83C"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d</w:t>
            </w:r>
          </w:p>
        </w:tc>
        <w:tc>
          <w:tcPr>
            <w:tcW w:w="684" w:type="pct"/>
            <w:tcBorders>
              <w:top w:val="single" w:sz="4" w:space="0" w:color="53565A" w:themeColor="accent5"/>
              <w:bottom w:val="single" w:sz="4" w:space="0" w:color="53565A" w:themeColor="accent5"/>
            </w:tcBorders>
            <w:shd w:val="clear" w:color="auto" w:fill="D9D9D6" w:themeFill="accent6"/>
          </w:tcPr>
          <w:p w14:paraId="332373A9" w14:textId="3D69EE06"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40.5 </w:t>
            </w:r>
          </w:p>
        </w:tc>
        <w:tc>
          <w:tcPr>
            <w:tcW w:w="777" w:type="pct"/>
            <w:tcBorders>
              <w:top w:val="single" w:sz="4" w:space="0" w:color="53565A" w:themeColor="accent5"/>
              <w:bottom w:val="single" w:sz="4" w:space="0" w:color="53565A" w:themeColor="accent5"/>
            </w:tcBorders>
          </w:tcPr>
          <w:p w14:paraId="7218F701" w14:textId="23DD2922"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31.9 </w:t>
            </w:r>
          </w:p>
        </w:tc>
        <w:tc>
          <w:tcPr>
            <w:tcW w:w="726" w:type="pct"/>
            <w:tcBorders>
              <w:top w:val="single" w:sz="4" w:space="0" w:color="53565A" w:themeColor="accent5"/>
              <w:bottom w:val="single" w:sz="4" w:space="0" w:color="53565A" w:themeColor="accent5"/>
            </w:tcBorders>
          </w:tcPr>
          <w:p w14:paraId="42C8CEAF" w14:textId="767FC5BB"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27</w:t>
            </w:r>
          </w:p>
        </w:tc>
        <w:tc>
          <w:tcPr>
            <w:tcW w:w="783" w:type="pct"/>
            <w:tcBorders>
              <w:top w:val="single" w:sz="4" w:space="0" w:color="53565A" w:themeColor="accent5"/>
              <w:bottom w:val="single" w:sz="4" w:space="0" w:color="53565A" w:themeColor="accent5"/>
            </w:tcBorders>
          </w:tcPr>
          <w:p w14:paraId="2CADEA04" w14:textId="1ED1829C"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8.6</w:t>
            </w:r>
          </w:p>
        </w:tc>
      </w:tr>
      <w:tr w:rsidR="00FE4EA0" w:rsidRPr="005734B8" w14:paraId="031D2E7A" w14:textId="4295E4CD" w:rsidTr="00FE4EA0">
        <w:trPr>
          <w:cantSplit/>
          <w:trHeight w:val="382"/>
        </w:trPr>
        <w:tc>
          <w:tcPr>
            <w:tcW w:w="1643" w:type="pct"/>
            <w:tcBorders>
              <w:top w:val="single" w:sz="18" w:space="0" w:color="53565A" w:themeColor="accent5"/>
              <w:bottom w:val="single" w:sz="4" w:space="0" w:color="53565A" w:themeColor="accent5"/>
            </w:tcBorders>
            <w:shd w:val="clear" w:color="auto" w:fill="auto"/>
          </w:tcPr>
          <w:p w14:paraId="79FD6239" w14:textId="77777777" w:rsidR="00FE4EA0" w:rsidRPr="005734B8" w:rsidRDefault="00FE4EA0" w:rsidP="00FE4EA0">
            <w:pPr>
              <w:pStyle w:val="ESTablebody"/>
              <w:spacing w:after="100"/>
              <w:rPr>
                <w:rFonts w:ascii="Calibri" w:hAnsi="Calibri" w:cs="Calibri"/>
                <w:b/>
                <w:sz w:val="18"/>
              </w:rPr>
            </w:pPr>
            <w:r w:rsidRPr="005734B8">
              <w:rPr>
                <w:rFonts w:ascii="Calibri" w:hAnsi="Calibri" w:cs="Calibri"/>
                <w:b/>
                <w:sz w:val="18"/>
              </w:rPr>
              <w:t>Total financial assets</w:t>
            </w:r>
          </w:p>
        </w:tc>
        <w:tc>
          <w:tcPr>
            <w:tcW w:w="387" w:type="pct"/>
            <w:tcBorders>
              <w:top w:val="single" w:sz="18" w:space="0" w:color="53565A" w:themeColor="accent5"/>
              <w:bottom w:val="single" w:sz="4" w:space="0" w:color="53565A" w:themeColor="accent5"/>
            </w:tcBorders>
            <w:shd w:val="clear" w:color="auto" w:fill="auto"/>
          </w:tcPr>
          <w:p w14:paraId="08AE1C4C" w14:textId="0947D8FF" w:rsidR="00FE4EA0" w:rsidRPr="005734B8" w:rsidRDefault="00FE4EA0" w:rsidP="00FE4EA0">
            <w:pPr>
              <w:pStyle w:val="ESTablenumberrightaligned"/>
              <w:spacing w:after="100"/>
              <w:rPr>
                <w:rFonts w:ascii="Calibri" w:hAnsi="Calibri" w:cs="Calibri"/>
                <w:b/>
                <w:sz w:val="18"/>
              </w:rPr>
            </w:pPr>
          </w:p>
        </w:tc>
        <w:tc>
          <w:tcPr>
            <w:tcW w:w="684" w:type="pct"/>
            <w:tcBorders>
              <w:top w:val="single" w:sz="18" w:space="0" w:color="53565A" w:themeColor="accent5"/>
              <w:bottom w:val="single" w:sz="4" w:space="0" w:color="53565A" w:themeColor="accent5"/>
            </w:tcBorders>
            <w:shd w:val="clear" w:color="auto" w:fill="D9D9D6" w:themeFill="accent6"/>
          </w:tcPr>
          <w:p w14:paraId="1A803F31" w14:textId="668C4EE5"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b/>
                <w:bCs/>
                <w:sz w:val="18"/>
              </w:rPr>
              <w:t xml:space="preserve"> 4,806.5 </w:t>
            </w:r>
          </w:p>
        </w:tc>
        <w:tc>
          <w:tcPr>
            <w:tcW w:w="777" w:type="pct"/>
            <w:tcBorders>
              <w:top w:val="single" w:sz="18" w:space="0" w:color="53565A" w:themeColor="accent5"/>
              <w:bottom w:val="single" w:sz="4" w:space="0" w:color="53565A" w:themeColor="accent5"/>
            </w:tcBorders>
          </w:tcPr>
          <w:p w14:paraId="4504FB64" w14:textId="2FBB982F"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b/>
                <w:bCs/>
                <w:sz w:val="18"/>
              </w:rPr>
              <w:t xml:space="preserve"> 4,591.7 </w:t>
            </w:r>
          </w:p>
        </w:tc>
        <w:tc>
          <w:tcPr>
            <w:tcW w:w="726" w:type="pct"/>
            <w:tcBorders>
              <w:top w:val="single" w:sz="18" w:space="0" w:color="53565A" w:themeColor="accent5"/>
              <w:bottom w:val="single" w:sz="4" w:space="0" w:color="53565A" w:themeColor="accent5"/>
            </w:tcBorders>
          </w:tcPr>
          <w:p w14:paraId="6B2CF4D5" w14:textId="4ACA199E"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b/>
                <w:bCs/>
                <w:sz w:val="18"/>
              </w:rPr>
              <w:t>5</w:t>
            </w:r>
          </w:p>
        </w:tc>
        <w:tc>
          <w:tcPr>
            <w:tcW w:w="783" w:type="pct"/>
            <w:tcBorders>
              <w:top w:val="single" w:sz="18" w:space="0" w:color="53565A" w:themeColor="accent5"/>
              <w:bottom w:val="single" w:sz="4" w:space="0" w:color="53565A" w:themeColor="accent5"/>
            </w:tcBorders>
          </w:tcPr>
          <w:p w14:paraId="36B9707D" w14:textId="4645945F"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b/>
                <w:bCs/>
                <w:sz w:val="18"/>
              </w:rPr>
              <w:t>214.8</w:t>
            </w:r>
          </w:p>
        </w:tc>
      </w:tr>
      <w:tr w:rsidR="00FE4EA0" w:rsidRPr="005734B8" w14:paraId="30875D19" w14:textId="02E4F2F4" w:rsidTr="00FE4EA0">
        <w:trPr>
          <w:cantSplit/>
          <w:trHeight w:val="382"/>
        </w:trPr>
        <w:tc>
          <w:tcPr>
            <w:tcW w:w="1643" w:type="pct"/>
            <w:tcBorders>
              <w:top w:val="single" w:sz="4" w:space="0" w:color="53565A" w:themeColor="accent5"/>
              <w:bottom w:val="single" w:sz="4" w:space="0" w:color="53565A" w:themeColor="accent5"/>
              <w:right w:val="nil"/>
            </w:tcBorders>
            <w:shd w:val="clear" w:color="auto" w:fill="D9D9D6" w:themeFill="accent6"/>
          </w:tcPr>
          <w:p w14:paraId="118CA13D" w14:textId="77777777" w:rsidR="00FE4EA0" w:rsidRPr="005734B8" w:rsidRDefault="00FE4EA0" w:rsidP="00FE4EA0">
            <w:pPr>
              <w:pStyle w:val="ESTablebody"/>
              <w:spacing w:after="100"/>
              <w:rPr>
                <w:rFonts w:ascii="Calibri" w:hAnsi="Calibri" w:cs="Calibri"/>
                <w:b/>
                <w:sz w:val="18"/>
              </w:rPr>
            </w:pPr>
            <w:r w:rsidRPr="005734B8">
              <w:rPr>
                <w:rFonts w:ascii="Calibri" w:hAnsi="Calibri" w:cs="Calibri"/>
                <w:b/>
                <w:sz w:val="18"/>
              </w:rPr>
              <w:t>Non-financial assets</w:t>
            </w:r>
          </w:p>
        </w:tc>
        <w:tc>
          <w:tcPr>
            <w:tcW w:w="387" w:type="pct"/>
            <w:tcBorders>
              <w:top w:val="single" w:sz="4" w:space="0" w:color="53565A" w:themeColor="accent5"/>
              <w:left w:val="nil"/>
              <w:bottom w:val="single" w:sz="4" w:space="0" w:color="53565A" w:themeColor="accent5"/>
              <w:right w:val="nil"/>
            </w:tcBorders>
            <w:shd w:val="clear" w:color="auto" w:fill="D9D9D6" w:themeFill="accent6"/>
            <w:vAlign w:val="center"/>
          </w:tcPr>
          <w:p w14:paraId="5B126D5D" w14:textId="77777777" w:rsidR="00FE4EA0" w:rsidRPr="005734B8" w:rsidRDefault="00FE4EA0" w:rsidP="00FE4EA0">
            <w:pPr>
              <w:pStyle w:val="ESTablenumberrightaligned"/>
              <w:spacing w:after="100"/>
              <w:rPr>
                <w:rFonts w:ascii="Calibri" w:hAnsi="Calibri" w:cs="Calibri"/>
                <w:b/>
                <w:sz w:val="18"/>
              </w:rPr>
            </w:pPr>
          </w:p>
        </w:tc>
        <w:tc>
          <w:tcPr>
            <w:tcW w:w="684" w:type="pct"/>
            <w:tcBorders>
              <w:top w:val="single" w:sz="4" w:space="0" w:color="53565A" w:themeColor="accent5"/>
              <w:left w:val="nil"/>
              <w:bottom w:val="single" w:sz="4" w:space="0" w:color="53565A" w:themeColor="accent5"/>
              <w:right w:val="nil"/>
            </w:tcBorders>
            <w:shd w:val="clear" w:color="auto" w:fill="D9D9D6" w:themeFill="accent6"/>
            <w:vAlign w:val="center"/>
          </w:tcPr>
          <w:p w14:paraId="6CFA6F36" w14:textId="77777777" w:rsidR="00FE4EA0" w:rsidRPr="005734B8" w:rsidRDefault="00FE4EA0" w:rsidP="00FE4EA0">
            <w:pPr>
              <w:pStyle w:val="ESTablenumberrightaligned"/>
              <w:spacing w:after="100"/>
              <w:rPr>
                <w:rFonts w:ascii="Calibri" w:hAnsi="Calibri" w:cs="Calibri"/>
                <w:b/>
                <w:sz w:val="18"/>
              </w:rPr>
            </w:pPr>
          </w:p>
        </w:tc>
        <w:tc>
          <w:tcPr>
            <w:tcW w:w="777" w:type="pct"/>
            <w:tcBorders>
              <w:top w:val="single" w:sz="4" w:space="0" w:color="53565A" w:themeColor="accent5"/>
              <w:left w:val="nil"/>
              <w:bottom w:val="single" w:sz="4" w:space="0" w:color="53565A" w:themeColor="accent5"/>
              <w:right w:val="nil"/>
            </w:tcBorders>
            <w:shd w:val="clear" w:color="auto" w:fill="D9D9D6" w:themeFill="accent6"/>
            <w:vAlign w:val="center"/>
          </w:tcPr>
          <w:p w14:paraId="5E895012" w14:textId="77777777" w:rsidR="00FE4EA0" w:rsidRPr="005734B8" w:rsidRDefault="00FE4EA0" w:rsidP="00FE4EA0">
            <w:pPr>
              <w:pStyle w:val="ESTablenumberrightaligned"/>
              <w:spacing w:after="100"/>
              <w:rPr>
                <w:rFonts w:ascii="Calibri" w:hAnsi="Calibri" w:cs="Calibri"/>
                <w:b/>
                <w:sz w:val="18"/>
              </w:rPr>
            </w:pPr>
          </w:p>
        </w:tc>
        <w:tc>
          <w:tcPr>
            <w:tcW w:w="726" w:type="pct"/>
            <w:tcBorders>
              <w:top w:val="single" w:sz="4" w:space="0" w:color="53565A" w:themeColor="accent5"/>
              <w:left w:val="nil"/>
              <w:bottom w:val="single" w:sz="4" w:space="0" w:color="53565A" w:themeColor="accent5"/>
              <w:right w:val="nil"/>
            </w:tcBorders>
            <w:shd w:val="clear" w:color="auto" w:fill="D9D9D6" w:themeFill="accent6"/>
            <w:vAlign w:val="center"/>
          </w:tcPr>
          <w:p w14:paraId="54D19A47" w14:textId="77777777" w:rsidR="00FE4EA0" w:rsidRPr="005734B8" w:rsidRDefault="00FE4EA0" w:rsidP="00FE4EA0">
            <w:pPr>
              <w:pStyle w:val="ESTablenumberrightaligned"/>
              <w:spacing w:after="100"/>
              <w:rPr>
                <w:rFonts w:ascii="Calibri" w:hAnsi="Calibri" w:cs="Calibri"/>
                <w:b/>
                <w:sz w:val="18"/>
              </w:rPr>
            </w:pPr>
          </w:p>
        </w:tc>
        <w:tc>
          <w:tcPr>
            <w:tcW w:w="783" w:type="pct"/>
            <w:tcBorders>
              <w:top w:val="single" w:sz="4" w:space="0" w:color="53565A" w:themeColor="accent5"/>
              <w:left w:val="nil"/>
              <w:bottom w:val="single" w:sz="4" w:space="0" w:color="53565A" w:themeColor="accent5"/>
              <w:right w:val="nil"/>
            </w:tcBorders>
            <w:shd w:val="clear" w:color="auto" w:fill="D9D9D6" w:themeFill="accent6"/>
            <w:vAlign w:val="center"/>
          </w:tcPr>
          <w:p w14:paraId="08188A89" w14:textId="77777777" w:rsidR="00FE4EA0" w:rsidRPr="005734B8" w:rsidRDefault="00FE4EA0" w:rsidP="00FE4EA0">
            <w:pPr>
              <w:pStyle w:val="ESTablenumberrightaligned"/>
              <w:spacing w:after="100"/>
              <w:rPr>
                <w:rFonts w:ascii="Calibri" w:hAnsi="Calibri" w:cs="Calibri"/>
                <w:b/>
                <w:sz w:val="18"/>
              </w:rPr>
            </w:pPr>
          </w:p>
        </w:tc>
      </w:tr>
      <w:tr w:rsidR="00FE4EA0" w:rsidRPr="005734B8" w14:paraId="3B31EABB" w14:textId="1F9ADA5D" w:rsidTr="00FE4EA0">
        <w:trPr>
          <w:cantSplit/>
          <w:trHeight w:val="382"/>
        </w:trPr>
        <w:tc>
          <w:tcPr>
            <w:tcW w:w="1643" w:type="pct"/>
            <w:tcBorders>
              <w:top w:val="single" w:sz="4" w:space="0" w:color="53565A" w:themeColor="accent5"/>
              <w:bottom w:val="single" w:sz="4" w:space="0" w:color="53565A" w:themeColor="accent5"/>
            </w:tcBorders>
            <w:shd w:val="clear" w:color="auto" w:fill="auto"/>
            <w:vAlign w:val="center"/>
          </w:tcPr>
          <w:p w14:paraId="540B4BD1" w14:textId="77777777" w:rsidR="00FE4EA0" w:rsidRPr="005734B8" w:rsidRDefault="00FE4EA0" w:rsidP="00FE4EA0">
            <w:pPr>
              <w:pStyle w:val="ESTablebody"/>
              <w:spacing w:after="100"/>
              <w:rPr>
                <w:rFonts w:ascii="Calibri" w:hAnsi="Calibri" w:cs="Calibri"/>
                <w:sz w:val="18"/>
              </w:rPr>
            </w:pPr>
            <w:r w:rsidRPr="005734B8">
              <w:rPr>
                <w:rFonts w:ascii="Calibri" w:hAnsi="Calibri" w:cs="Calibri"/>
                <w:sz w:val="18"/>
                <w:lang w:val="en-AU"/>
              </w:rPr>
              <w:t>Inventories</w:t>
            </w:r>
          </w:p>
        </w:tc>
        <w:tc>
          <w:tcPr>
            <w:tcW w:w="387" w:type="pct"/>
            <w:tcBorders>
              <w:top w:val="single" w:sz="4" w:space="0" w:color="53565A" w:themeColor="accent5"/>
              <w:bottom w:val="single" w:sz="4" w:space="0" w:color="53565A" w:themeColor="accent5"/>
            </w:tcBorders>
            <w:shd w:val="clear" w:color="auto" w:fill="auto"/>
          </w:tcPr>
          <w:p w14:paraId="5068728F" w14:textId="7659CF69"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e</w:t>
            </w:r>
          </w:p>
        </w:tc>
        <w:tc>
          <w:tcPr>
            <w:tcW w:w="684" w:type="pct"/>
            <w:tcBorders>
              <w:top w:val="single" w:sz="4" w:space="0" w:color="53565A" w:themeColor="accent5"/>
              <w:bottom w:val="single" w:sz="4" w:space="0" w:color="53565A" w:themeColor="accent5"/>
            </w:tcBorders>
            <w:shd w:val="clear" w:color="auto" w:fill="D9D9D6" w:themeFill="accent6"/>
          </w:tcPr>
          <w:p w14:paraId="51FFA56D" w14:textId="6E76D33F"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1.0 </w:t>
            </w:r>
          </w:p>
        </w:tc>
        <w:tc>
          <w:tcPr>
            <w:tcW w:w="777" w:type="pct"/>
            <w:tcBorders>
              <w:top w:val="single" w:sz="4" w:space="0" w:color="53565A" w:themeColor="accent5"/>
              <w:bottom w:val="single" w:sz="4" w:space="0" w:color="53565A" w:themeColor="accent5"/>
            </w:tcBorders>
          </w:tcPr>
          <w:p w14:paraId="577A1964" w14:textId="5F930B80"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1.0 </w:t>
            </w:r>
          </w:p>
        </w:tc>
        <w:tc>
          <w:tcPr>
            <w:tcW w:w="726" w:type="pct"/>
            <w:tcBorders>
              <w:top w:val="single" w:sz="4" w:space="0" w:color="53565A" w:themeColor="accent5"/>
              <w:bottom w:val="single" w:sz="4" w:space="0" w:color="53565A" w:themeColor="accent5"/>
            </w:tcBorders>
          </w:tcPr>
          <w:p w14:paraId="022D0685" w14:textId="272D11D5"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(6)</w:t>
            </w:r>
          </w:p>
        </w:tc>
        <w:tc>
          <w:tcPr>
            <w:tcW w:w="783" w:type="pct"/>
            <w:tcBorders>
              <w:top w:val="single" w:sz="4" w:space="0" w:color="53565A" w:themeColor="accent5"/>
              <w:bottom w:val="single" w:sz="4" w:space="0" w:color="53565A" w:themeColor="accent5"/>
            </w:tcBorders>
          </w:tcPr>
          <w:p w14:paraId="145FD318" w14:textId="0711D42D"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(0.1)</w:t>
            </w:r>
          </w:p>
        </w:tc>
      </w:tr>
      <w:tr w:rsidR="00FE4EA0" w:rsidRPr="005734B8" w14:paraId="38A54A05" w14:textId="40B7CBCE" w:rsidTr="00FE4EA0">
        <w:trPr>
          <w:cantSplit/>
          <w:trHeight w:val="382"/>
        </w:trPr>
        <w:tc>
          <w:tcPr>
            <w:tcW w:w="1643" w:type="pct"/>
            <w:tcBorders>
              <w:top w:val="single" w:sz="4" w:space="0" w:color="53565A" w:themeColor="accent5"/>
              <w:bottom w:val="single" w:sz="4" w:space="0" w:color="53565A" w:themeColor="accent5"/>
            </w:tcBorders>
            <w:shd w:val="clear" w:color="auto" w:fill="auto"/>
            <w:vAlign w:val="center"/>
          </w:tcPr>
          <w:p w14:paraId="0506DC75" w14:textId="77777777" w:rsidR="00FE4EA0" w:rsidRPr="005734B8" w:rsidRDefault="00FE4EA0" w:rsidP="00FE4EA0">
            <w:pPr>
              <w:pStyle w:val="ESTablebody"/>
              <w:spacing w:after="100"/>
              <w:rPr>
                <w:rFonts w:ascii="Calibri" w:hAnsi="Calibri" w:cs="Calibri"/>
                <w:sz w:val="18"/>
              </w:rPr>
            </w:pPr>
            <w:r w:rsidRPr="005734B8">
              <w:rPr>
                <w:rFonts w:ascii="Calibri" w:hAnsi="Calibri" w:cs="Calibri"/>
                <w:sz w:val="18"/>
                <w:lang w:val="en-AU"/>
              </w:rPr>
              <w:t>Non-financial assets classified as held for sale, including disposal group assets</w:t>
            </w:r>
          </w:p>
        </w:tc>
        <w:tc>
          <w:tcPr>
            <w:tcW w:w="387" w:type="pct"/>
            <w:tcBorders>
              <w:top w:val="single" w:sz="4" w:space="0" w:color="53565A" w:themeColor="accent5"/>
              <w:bottom w:val="single" w:sz="4" w:space="0" w:color="53565A" w:themeColor="accent5"/>
            </w:tcBorders>
            <w:shd w:val="clear" w:color="auto" w:fill="auto"/>
          </w:tcPr>
          <w:p w14:paraId="734423C8" w14:textId="520573E0"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f</w:t>
            </w:r>
          </w:p>
        </w:tc>
        <w:tc>
          <w:tcPr>
            <w:tcW w:w="684" w:type="pct"/>
            <w:tcBorders>
              <w:top w:val="single" w:sz="4" w:space="0" w:color="53565A" w:themeColor="accent5"/>
              <w:bottom w:val="single" w:sz="4" w:space="0" w:color="53565A" w:themeColor="accent5"/>
            </w:tcBorders>
            <w:shd w:val="clear" w:color="auto" w:fill="D9D9D6" w:themeFill="accent6"/>
          </w:tcPr>
          <w:p w14:paraId="181DA11A" w14:textId="363B34B0"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0.2 </w:t>
            </w:r>
          </w:p>
        </w:tc>
        <w:tc>
          <w:tcPr>
            <w:tcW w:w="777" w:type="pct"/>
            <w:tcBorders>
              <w:top w:val="single" w:sz="4" w:space="0" w:color="53565A" w:themeColor="accent5"/>
              <w:bottom w:val="single" w:sz="4" w:space="0" w:color="53565A" w:themeColor="accent5"/>
            </w:tcBorders>
          </w:tcPr>
          <w:p w14:paraId="43BA1639" w14:textId="18611563"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7.0 </w:t>
            </w:r>
          </w:p>
        </w:tc>
        <w:tc>
          <w:tcPr>
            <w:tcW w:w="726" w:type="pct"/>
            <w:tcBorders>
              <w:top w:val="single" w:sz="4" w:space="0" w:color="53565A" w:themeColor="accent5"/>
              <w:bottom w:val="single" w:sz="4" w:space="0" w:color="53565A" w:themeColor="accent5"/>
            </w:tcBorders>
          </w:tcPr>
          <w:p w14:paraId="54F34FE3" w14:textId="5F7E3B73"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(97.0) </w:t>
            </w:r>
          </w:p>
        </w:tc>
        <w:tc>
          <w:tcPr>
            <w:tcW w:w="783" w:type="pct"/>
            <w:tcBorders>
              <w:top w:val="single" w:sz="4" w:space="0" w:color="53565A" w:themeColor="accent5"/>
              <w:bottom w:val="single" w:sz="4" w:space="0" w:color="53565A" w:themeColor="accent5"/>
            </w:tcBorders>
          </w:tcPr>
          <w:p w14:paraId="154CA6BC" w14:textId="08BB855F"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(6.8)</w:t>
            </w:r>
          </w:p>
        </w:tc>
      </w:tr>
      <w:tr w:rsidR="00FE4EA0" w:rsidRPr="005734B8" w14:paraId="1BB2B0A9" w14:textId="19C6CE70" w:rsidTr="00FE4EA0">
        <w:trPr>
          <w:cantSplit/>
          <w:trHeight w:val="382"/>
        </w:trPr>
        <w:tc>
          <w:tcPr>
            <w:tcW w:w="1643" w:type="pct"/>
            <w:tcBorders>
              <w:top w:val="single" w:sz="4" w:space="0" w:color="53565A" w:themeColor="accent5"/>
              <w:bottom w:val="single" w:sz="4" w:space="0" w:color="53565A" w:themeColor="accent5"/>
            </w:tcBorders>
            <w:shd w:val="clear" w:color="auto" w:fill="auto"/>
            <w:vAlign w:val="center"/>
          </w:tcPr>
          <w:p w14:paraId="381585D9" w14:textId="77777777" w:rsidR="00FE4EA0" w:rsidRPr="005734B8" w:rsidRDefault="00FE4EA0" w:rsidP="00FE4EA0">
            <w:pPr>
              <w:pStyle w:val="ESTablebody"/>
              <w:spacing w:after="100"/>
              <w:rPr>
                <w:rFonts w:ascii="Calibri" w:hAnsi="Calibri" w:cs="Calibri"/>
                <w:sz w:val="18"/>
              </w:rPr>
            </w:pPr>
            <w:r w:rsidRPr="005734B8">
              <w:rPr>
                <w:rFonts w:ascii="Calibri" w:hAnsi="Calibri" w:cs="Calibri"/>
                <w:sz w:val="18"/>
                <w:lang w:val="en-AU"/>
              </w:rPr>
              <w:t>Property, plant and equipment</w:t>
            </w:r>
          </w:p>
        </w:tc>
        <w:tc>
          <w:tcPr>
            <w:tcW w:w="387" w:type="pct"/>
            <w:tcBorders>
              <w:top w:val="single" w:sz="4" w:space="0" w:color="53565A" w:themeColor="accent5"/>
              <w:bottom w:val="single" w:sz="4" w:space="0" w:color="53565A" w:themeColor="accent5"/>
            </w:tcBorders>
            <w:shd w:val="clear" w:color="auto" w:fill="auto"/>
          </w:tcPr>
          <w:p w14:paraId="2CBC9C1E" w14:textId="1CF831C8"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g</w:t>
            </w:r>
          </w:p>
        </w:tc>
        <w:tc>
          <w:tcPr>
            <w:tcW w:w="684" w:type="pct"/>
            <w:tcBorders>
              <w:top w:val="single" w:sz="4" w:space="0" w:color="53565A" w:themeColor="accent5"/>
              <w:bottom w:val="single" w:sz="4" w:space="0" w:color="53565A" w:themeColor="accent5"/>
            </w:tcBorders>
            <w:shd w:val="clear" w:color="auto" w:fill="D9D9D6" w:themeFill="accent6"/>
          </w:tcPr>
          <w:p w14:paraId="5ABDECE9" w14:textId="789A75D5"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31,815.6 </w:t>
            </w:r>
          </w:p>
        </w:tc>
        <w:tc>
          <w:tcPr>
            <w:tcW w:w="777" w:type="pct"/>
            <w:tcBorders>
              <w:top w:val="single" w:sz="4" w:space="0" w:color="53565A" w:themeColor="accent5"/>
              <w:bottom w:val="single" w:sz="4" w:space="0" w:color="53565A" w:themeColor="accent5"/>
            </w:tcBorders>
          </w:tcPr>
          <w:p w14:paraId="43368175" w14:textId="58A764B6"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29,414.1 </w:t>
            </w:r>
          </w:p>
        </w:tc>
        <w:tc>
          <w:tcPr>
            <w:tcW w:w="726" w:type="pct"/>
            <w:tcBorders>
              <w:top w:val="single" w:sz="4" w:space="0" w:color="53565A" w:themeColor="accent5"/>
              <w:bottom w:val="single" w:sz="4" w:space="0" w:color="53565A" w:themeColor="accent5"/>
            </w:tcBorders>
          </w:tcPr>
          <w:p w14:paraId="1D11450A" w14:textId="28CF8F88"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8</w:t>
            </w:r>
          </w:p>
        </w:tc>
        <w:tc>
          <w:tcPr>
            <w:tcW w:w="783" w:type="pct"/>
            <w:tcBorders>
              <w:top w:val="single" w:sz="4" w:space="0" w:color="53565A" w:themeColor="accent5"/>
              <w:bottom w:val="single" w:sz="4" w:space="0" w:color="53565A" w:themeColor="accent5"/>
            </w:tcBorders>
          </w:tcPr>
          <w:p w14:paraId="3A925AD0" w14:textId="3DC22016"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2,401.5</w:t>
            </w:r>
          </w:p>
        </w:tc>
      </w:tr>
      <w:tr w:rsidR="00FE4EA0" w:rsidRPr="005734B8" w14:paraId="152F36C7" w14:textId="26E7A83C" w:rsidTr="00FE4EA0">
        <w:trPr>
          <w:cantSplit/>
          <w:trHeight w:val="382"/>
        </w:trPr>
        <w:tc>
          <w:tcPr>
            <w:tcW w:w="1643" w:type="pct"/>
            <w:tcBorders>
              <w:top w:val="single" w:sz="4" w:space="0" w:color="53565A" w:themeColor="accent5"/>
              <w:bottom w:val="single" w:sz="4" w:space="0" w:color="53565A" w:themeColor="accent5"/>
            </w:tcBorders>
            <w:shd w:val="clear" w:color="auto" w:fill="auto"/>
            <w:vAlign w:val="center"/>
          </w:tcPr>
          <w:p w14:paraId="313007BB" w14:textId="77777777" w:rsidR="00FE4EA0" w:rsidRPr="005734B8" w:rsidRDefault="00FE4EA0" w:rsidP="00FE4EA0">
            <w:pPr>
              <w:pStyle w:val="ESTablebody"/>
              <w:spacing w:after="100"/>
              <w:rPr>
                <w:rFonts w:ascii="Calibri" w:hAnsi="Calibri" w:cs="Calibri"/>
                <w:sz w:val="18"/>
              </w:rPr>
            </w:pPr>
            <w:r w:rsidRPr="005734B8">
              <w:rPr>
                <w:rFonts w:ascii="Calibri" w:hAnsi="Calibri" w:cs="Calibri"/>
                <w:sz w:val="18"/>
                <w:lang w:val="en-AU"/>
              </w:rPr>
              <w:t>Investment properties</w:t>
            </w:r>
          </w:p>
        </w:tc>
        <w:tc>
          <w:tcPr>
            <w:tcW w:w="387" w:type="pct"/>
            <w:tcBorders>
              <w:top w:val="single" w:sz="4" w:space="0" w:color="53565A" w:themeColor="accent5"/>
              <w:bottom w:val="single" w:sz="4" w:space="0" w:color="53565A" w:themeColor="accent5"/>
            </w:tcBorders>
            <w:shd w:val="clear" w:color="auto" w:fill="auto"/>
          </w:tcPr>
          <w:p w14:paraId="1AA55D96" w14:textId="7BE858D3" w:rsidR="00FE4EA0" w:rsidRPr="005734B8" w:rsidRDefault="00FE4EA0" w:rsidP="00FE4EA0">
            <w:pPr>
              <w:pStyle w:val="ESTablenumberrightaligned"/>
              <w:spacing w:after="100"/>
              <w:rPr>
                <w:rFonts w:ascii="Calibri" w:hAnsi="Calibri" w:cs="Calibri"/>
                <w:sz w:val="18"/>
              </w:rPr>
            </w:pPr>
          </w:p>
        </w:tc>
        <w:tc>
          <w:tcPr>
            <w:tcW w:w="684" w:type="pct"/>
            <w:tcBorders>
              <w:top w:val="single" w:sz="4" w:space="0" w:color="53565A" w:themeColor="accent5"/>
              <w:bottom w:val="single" w:sz="4" w:space="0" w:color="53565A" w:themeColor="accent5"/>
            </w:tcBorders>
            <w:shd w:val="clear" w:color="auto" w:fill="D9D9D6" w:themeFill="accent6"/>
          </w:tcPr>
          <w:p w14:paraId="5504165D" w14:textId="5B55B100"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118.9 </w:t>
            </w:r>
          </w:p>
        </w:tc>
        <w:tc>
          <w:tcPr>
            <w:tcW w:w="777" w:type="pct"/>
            <w:tcBorders>
              <w:top w:val="single" w:sz="4" w:space="0" w:color="53565A" w:themeColor="accent5"/>
              <w:bottom w:val="single" w:sz="4" w:space="0" w:color="53565A" w:themeColor="accent5"/>
            </w:tcBorders>
          </w:tcPr>
          <w:p w14:paraId="18DAC395" w14:textId="01743202"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116.9 </w:t>
            </w:r>
          </w:p>
        </w:tc>
        <w:tc>
          <w:tcPr>
            <w:tcW w:w="726" w:type="pct"/>
            <w:tcBorders>
              <w:top w:val="single" w:sz="4" w:space="0" w:color="53565A" w:themeColor="accent5"/>
              <w:bottom w:val="single" w:sz="4" w:space="0" w:color="53565A" w:themeColor="accent5"/>
            </w:tcBorders>
          </w:tcPr>
          <w:p w14:paraId="1B8DDDC8" w14:textId="61AF2482"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2</w:t>
            </w:r>
          </w:p>
        </w:tc>
        <w:tc>
          <w:tcPr>
            <w:tcW w:w="783" w:type="pct"/>
            <w:tcBorders>
              <w:top w:val="single" w:sz="4" w:space="0" w:color="53565A" w:themeColor="accent5"/>
              <w:bottom w:val="single" w:sz="4" w:space="0" w:color="53565A" w:themeColor="accent5"/>
            </w:tcBorders>
          </w:tcPr>
          <w:p w14:paraId="2C821368" w14:textId="17186865"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2.0</w:t>
            </w:r>
          </w:p>
        </w:tc>
      </w:tr>
      <w:tr w:rsidR="00FE4EA0" w:rsidRPr="005734B8" w14:paraId="5C075C22" w14:textId="45D68C05" w:rsidTr="00FE4EA0">
        <w:trPr>
          <w:cantSplit/>
          <w:trHeight w:val="382"/>
        </w:trPr>
        <w:tc>
          <w:tcPr>
            <w:tcW w:w="1643" w:type="pct"/>
            <w:tcBorders>
              <w:top w:val="single" w:sz="4" w:space="0" w:color="53565A" w:themeColor="accent5"/>
              <w:bottom w:val="single" w:sz="4" w:space="0" w:color="53565A" w:themeColor="accent5"/>
            </w:tcBorders>
            <w:shd w:val="clear" w:color="auto" w:fill="auto"/>
            <w:vAlign w:val="center"/>
          </w:tcPr>
          <w:p w14:paraId="4F553A65" w14:textId="77777777" w:rsidR="00FE4EA0" w:rsidRPr="005734B8" w:rsidRDefault="00FE4EA0" w:rsidP="00FE4EA0">
            <w:pPr>
              <w:pStyle w:val="ESTablebody"/>
              <w:spacing w:after="100"/>
              <w:rPr>
                <w:rFonts w:ascii="Calibri" w:hAnsi="Calibri" w:cs="Calibri"/>
                <w:sz w:val="18"/>
              </w:rPr>
            </w:pPr>
            <w:r w:rsidRPr="005734B8">
              <w:rPr>
                <w:rFonts w:ascii="Calibri" w:hAnsi="Calibri" w:cs="Calibri"/>
                <w:sz w:val="18"/>
                <w:lang w:val="en-AU"/>
              </w:rPr>
              <w:t>Intangible assets</w:t>
            </w:r>
          </w:p>
        </w:tc>
        <w:tc>
          <w:tcPr>
            <w:tcW w:w="387" w:type="pct"/>
            <w:tcBorders>
              <w:top w:val="single" w:sz="4" w:space="0" w:color="53565A" w:themeColor="accent5"/>
              <w:bottom w:val="single" w:sz="4" w:space="0" w:color="53565A" w:themeColor="accent5"/>
            </w:tcBorders>
            <w:shd w:val="clear" w:color="auto" w:fill="auto"/>
          </w:tcPr>
          <w:p w14:paraId="13AE272F" w14:textId="1E69AF7A"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h</w:t>
            </w:r>
          </w:p>
        </w:tc>
        <w:tc>
          <w:tcPr>
            <w:tcW w:w="684" w:type="pct"/>
            <w:tcBorders>
              <w:top w:val="single" w:sz="4" w:space="0" w:color="53565A" w:themeColor="accent5"/>
              <w:bottom w:val="single" w:sz="4" w:space="0" w:color="53565A" w:themeColor="accent5"/>
            </w:tcBorders>
            <w:shd w:val="clear" w:color="auto" w:fill="D9D9D6" w:themeFill="accent6"/>
          </w:tcPr>
          <w:p w14:paraId="1B21FE88" w14:textId="577DAB6B"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62.7 </w:t>
            </w:r>
          </w:p>
        </w:tc>
        <w:tc>
          <w:tcPr>
            <w:tcW w:w="777" w:type="pct"/>
            <w:tcBorders>
              <w:top w:val="single" w:sz="4" w:space="0" w:color="53565A" w:themeColor="accent5"/>
              <w:bottom w:val="single" w:sz="4" w:space="0" w:color="53565A" w:themeColor="accent5"/>
            </w:tcBorders>
          </w:tcPr>
          <w:p w14:paraId="022E73B0" w14:textId="0B260862"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70.1 </w:t>
            </w:r>
          </w:p>
        </w:tc>
        <w:tc>
          <w:tcPr>
            <w:tcW w:w="726" w:type="pct"/>
            <w:tcBorders>
              <w:top w:val="single" w:sz="4" w:space="0" w:color="53565A" w:themeColor="accent5"/>
              <w:bottom w:val="single" w:sz="4" w:space="0" w:color="53565A" w:themeColor="accent5"/>
            </w:tcBorders>
          </w:tcPr>
          <w:p w14:paraId="4B18D6F7" w14:textId="4D1C4947"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(10)</w:t>
            </w:r>
          </w:p>
        </w:tc>
        <w:tc>
          <w:tcPr>
            <w:tcW w:w="783" w:type="pct"/>
            <w:tcBorders>
              <w:top w:val="single" w:sz="4" w:space="0" w:color="53565A" w:themeColor="accent5"/>
              <w:bottom w:val="single" w:sz="4" w:space="0" w:color="53565A" w:themeColor="accent5"/>
            </w:tcBorders>
          </w:tcPr>
          <w:p w14:paraId="12FBAC22" w14:textId="5134130A"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(7.3)</w:t>
            </w:r>
          </w:p>
        </w:tc>
      </w:tr>
      <w:tr w:rsidR="00FE4EA0" w:rsidRPr="005734B8" w14:paraId="6AE125EB" w14:textId="7759C938" w:rsidTr="00FE4EA0">
        <w:trPr>
          <w:cantSplit/>
          <w:trHeight w:val="382"/>
        </w:trPr>
        <w:tc>
          <w:tcPr>
            <w:tcW w:w="1643" w:type="pct"/>
            <w:tcBorders>
              <w:top w:val="single" w:sz="4" w:space="0" w:color="53565A" w:themeColor="accent5"/>
              <w:bottom w:val="single" w:sz="18" w:space="0" w:color="53565A" w:themeColor="accent5"/>
            </w:tcBorders>
            <w:shd w:val="clear" w:color="auto" w:fill="auto"/>
            <w:vAlign w:val="center"/>
          </w:tcPr>
          <w:p w14:paraId="21665EA4" w14:textId="77777777" w:rsidR="00FE4EA0" w:rsidRPr="005734B8" w:rsidRDefault="00FE4EA0" w:rsidP="00FE4EA0">
            <w:pPr>
              <w:pStyle w:val="ESTablebody"/>
              <w:spacing w:after="100"/>
              <w:rPr>
                <w:rFonts w:ascii="Calibri" w:hAnsi="Calibri" w:cs="Calibri"/>
                <w:sz w:val="18"/>
              </w:rPr>
            </w:pPr>
            <w:r w:rsidRPr="005734B8">
              <w:rPr>
                <w:rFonts w:ascii="Calibri" w:hAnsi="Calibri" w:cs="Calibri"/>
                <w:sz w:val="18"/>
                <w:lang w:val="en-AU"/>
              </w:rPr>
              <w:t>Other</w:t>
            </w:r>
          </w:p>
        </w:tc>
        <w:tc>
          <w:tcPr>
            <w:tcW w:w="387" w:type="pct"/>
            <w:tcBorders>
              <w:top w:val="single" w:sz="4" w:space="0" w:color="53565A" w:themeColor="accent5"/>
              <w:bottom w:val="single" w:sz="18" w:space="0" w:color="53565A" w:themeColor="accent5"/>
            </w:tcBorders>
            <w:shd w:val="clear" w:color="auto" w:fill="auto"/>
          </w:tcPr>
          <w:p w14:paraId="6F498EB2" w14:textId="55CB5633"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i</w:t>
            </w:r>
          </w:p>
        </w:tc>
        <w:tc>
          <w:tcPr>
            <w:tcW w:w="684" w:type="pct"/>
            <w:tcBorders>
              <w:top w:val="single" w:sz="4" w:space="0" w:color="53565A" w:themeColor="accent5"/>
              <w:bottom w:val="single" w:sz="18" w:space="0" w:color="53565A" w:themeColor="accent5"/>
            </w:tcBorders>
            <w:shd w:val="clear" w:color="auto" w:fill="D9D9D6" w:themeFill="accent6"/>
          </w:tcPr>
          <w:p w14:paraId="73F429B0" w14:textId="74B6CE1F"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123.6 </w:t>
            </w:r>
          </w:p>
        </w:tc>
        <w:tc>
          <w:tcPr>
            <w:tcW w:w="777" w:type="pct"/>
            <w:tcBorders>
              <w:top w:val="single" w:sz="4" w:space="0" w:color="53565A" w:themeColor="accent5"/>
              <w:bottom w:val="single" w:sz="18" w:space="0" w:color="53565A" w:themeColor="accent5"/>
            </w:tcBorders>
          </w:tcPr>
          <w:p w14:paraId="78F03BD8" w14:textId="240E752C"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69.5 </w:t>
            </w:r>
          </w:p>
        </w:tc>
        <w:tc>
          <w:tcPr>
            <w:tcW w:w="726" w:type="pct"/>
            <w:tcBorders>
              <w:top w:val="single" w:sz="4" w:space="0" w:color="53565A" w:themeColor="accent5"/>
              <w:bottom w:val="single" w:sz="18" w:space="0" w:color="53565A" w:themeColor="accent5"/>
            </w:tcBorders>
          </w:tcPr>
          <w:p w14:paraId="3334D7DD" w14:textId="59B1E0D7"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78</w:t>
            </w:r>
          </w:p>
        </w:tc>
        <w:tc>
          <w:tcPr>
            <w:tcW w:w="783" w:type="pct"/>
            <w:tcBorders>
              <w:top w:val="single" w:sz="4" w:space="0" w:color="53565A" w:themeColor="accent5"/>
              <w:bottom w:val="single" w:sz="18" w:space="0" w:color="53565A" w:themeColor="accent5"/>
            </w:tcBorders>
          </w:tcPr>
          <w:p w14:paraId="0D49FFA5" w14:textId="180B795D"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54.1</w:t>
            </w:r>
          </w:p>
        </w:tc>
      </w:tr>
      <w:tr w:rsidR="00FE4EA0" w:rsidRPr="005734B8" w14:paraId="5C17DA38" w14:textId="08A7FE64" w:rsidTr="00FE4EA0">
        <w:trPr>
          <w:cantSplit/>
          <w:trHeight w:val="382"/>
        </w:trPr>
        <w:tc>
          <w:tcPr>
            <w:tcW w:w="1643" w:type="pct"/>
            <w:tcBorders>
              <w:top w:val="single" w:sz="18" w:space="0" w:color="53565A" w:themeColor="accent5"/>
              <w:bottom w:val="single" w:sz="18" w:space="0" w:color="53565A" w:themeColor="accent5"/>
            </w:tcBorders>
            <w:shd w:val="clear" w:color="auto" w:fill="auto"/>
          </w:tcPr>
          <w:p w14:paraId="5A78A56D" w14:textId="77777777" w:rsidR="00FE4EA0" w:rsidRPr="005734B8" w:rsidRDefault="00FE4EA0" w:rsidP="00FE4EA0">
            <w:pPr>
              <w:pStyle w:val="ESTablebody"/>
              <w:spacing w:after="100"/>
              <w:rPr>
                <w:rFonts w:ascii="Calibri" w:hAnsi="Calibri" w:cs="Calibri"/>
                <w:b/>
                <w:sz w:val="18"/>
              </w:rPr>
            </w:pPr>
            <w:r w:rsidRPr="005734B8">
              <w:rPr>
                <w:rFonts w:ascii="Calibri" w:hAnsi="Calibri" w:cs="Calibri"/>
                <w:b/>
                <w:sz w:val="18"/>
              </w:rPr>
              <w:t>Total non-financial assets</w:t>
            </w:r>
          </w:p>
        </w:tc>
        <w:tc>
          <w:tcPr>
            <w:tcW w:w="387" w:type="pct"/>
            <w:tcBorders>
              <w:top w:val="single" w:sz="18" w:space="0" w:color="53565A" w:themeColor="accent5"/>
              <w:bottom w:val="single" w:sz="18" w:space="0" w:color="53565A" w:themeColor="accent5"/>
            </w:tcBorders>
            <w:shd w:val="clear" w:color="auto" w:fill="auto"/>
            <w:vAlign w:val="center"/>
          </w:tcPr>
          <w:p w14:paraId="616F2694" w14:textId="77777777" w:rsidR="00FE4EA0" w:rsidRPr="005734B8" w:rsidRDefault="00FE4EA0" w:rsidP="00FE4EA0">
            <w:pPr>
              <w:pStyle w:val="ESTablenumberrightaligned"/>
              <w:spacing w:after="100"/>
              <w:rPr>
                <w:rFonts w:ascii="Calibri" w:hAnsi="Calibri" w:cs="Calibri"/>
                <w:b/>
                <w:sz w:val="18"/>
              </w:rPr>
            </w:pPr>
          </w:p>
        </w:tc>
        <w:tc>
          <w:tcPr>
            <w:tcW w:w="684" w:type="pct"/>
            <w:tcBorders>
              <w:top w:val="single" w:sz="18" w:space="0" w:color="53565A" w:themeColor="accent5"/>
              <w:bottom w:val="single" w:sz="18" w:space="0" w:color="53565A" w:themeColor="accent5"/>
            </w:tcBorders>
            <w:shd w:val="clear" w:color="auto" w:fill="D9D9D6" w:themeFill="accent6"/>
          </w:tcPr>
          <w:p w14:paraId="0027EFC2" w14:textId="0B3BB5C9"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b/>
                <w:bCs/>
                <w:sz w:val="18"/>
              </w:rPr>
              <w:t xml:space="preserve"> 32,122.0 </w:t>
            </w:r>
          </w:p>
        </w:tc>
        <w:tc>
          <w:tcPr>
            <w:tcW w:w="777" w:type="pct"/>
            <w:tcBorders>
              <w:top w:val="single" w:sz="18" w:space="0" w:color="53565A" w:themeColor="accent5"/>
              <w:bottom w:val="single" w:sz="18" w:space="0" w:color="53565A" w:themeColor="accent5"/>
            </w:tcBorders>
          </w:tcPr>
          <w:p w14:paraId="17259FD9" w14:textId="0CB9A110"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b/>
                <w:bCs/>
                <w:sz w:val="18"/>
              </w:rPr>
              <w:t xml:space="preserve"> 29,678.5 </w:t>
            </w:r>
          </w:p>
        </w:tc>
        <w:tc>
          <w:tcPr>
            <w:tcW w:w="726" w:type="pct"/>
            <w:tcBorders>
              <w:top w:val="single" w:sz="18" w:space="0" w:color="53565A" w:themeColor="accent5"/>
              <w:bottom w:val="single" w:sz="18" w:space="0" w:color="53565A" w:themeColor="accent5"/>
            </w:tcBorders>
          </w:tcPr>
          <w:p w14:paraId="19720E6B" w14:textId="48648966"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b/>
                <w:bCs/>
                <w:sz w:val="18"/>
              </w:rPr>
              <w:t>8</w:t>
            </w:r>
          </w:p>
        </w:tc>
        <w:tc>
          <w:tcPr>
            <w:tcW w:w="783" w:type="pct"/>
            <w:tcBorders>
              <w:top w:val="single" w:sz="18" w:space="0" w:color="53565A" w:themeColor="accent5"/>
              <w:bottom w:val="single" w:sz="18" w:space="0" w:color="53565A" w:themeColor="accent5"/>
            </w:tcBorders>
          </w:tcPr>
          <w:p w14:paraId="479FE4C3" w14:textId="53F7FCCC"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b/>
                <w:bCs/>
                <w:sz w:val="18"/>
              </w:rPr>
              <w:t>2,443.4</w:t>
            </w:r>
          </w:p>
        </w:tc>
      </w:tr>
      <w:tr w:rsidR="00FE4EA0" w:rsidRPr="005734B8" w14:paraId="597CA2E7" w14:textId="5E2A967A" w:rsidTr="00FE4EA0">
        <w:trPr>
          <w:cantSplit/>
          <w:trHeight w:val="382"/>
        </w:trPr>
        <w:tc>
          <w:tcPr>
            <w:tcW w:w="1643" w:type="pct"/>
            <w:tcBorders>
              <w:top w:val="single" w:sz="18" w:space="0" w:color="53565A" w:themeColor="accent5"/>
              <w:bottom w:val="nil"/>
            </w:tcBorders>
            <w:shd w:val="clear" w:color="auto" w:fill="auto"/>
          </w:tcPr>
          <w:p w14:paraId="1A1B9068" w14:textId="77777777" w:rsidR="00FE4EA0" w:rsidRPr="005734B8" w:rsidRDefault="00FE4EA0" w:rsidP="00FE4EA0">
            <w:pPr>
              <w:pStyle w:val="ESTablebody"/>
              <w:spacing w:after="100"/>
              <w:rPr>
                <w:rFonts w:ascii="Calibri" w:hAnsi="Calibri" w:cs="Calibri"/>
                <w:b/>
                <w:sz w:val="18"/>
              </w:rPr>
            </w:pPr>
            <w:r w:rsidRPr="005734B8">
              <w:rPr>
                <w:rFonts w:ascii="Calibri" w:hAnsi="Calibri" w:cs="Calibri"/>
                <w:b/>
                <w:sz w:val="18"/>
              </w:rPr>
              <w:t>Total assets</w:t>
            </w:r>
          </w:p>
        </w:tc>
        <w:tc>
          <w:tcPr>
            <w:tcW w:w="387" w:type="pct"/>
            <w:tcBorders>
              <w:top w:val="single" w:sz="18" w:space="0" w:color="53565A" w:themeColor="accent5"/>
              <w:bottom w:val="nil"/>
            </w:tcBorders>
            <w:shd w:val="clear" w:color="auto" w:fill="auto"/>
            <w:vAlign w:val="center"/>
          </w:tcPr>
          <w:p w14:paraId="2E7F9523" w14:textId="6BAA09C7"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sz w:val="18"/>
              </w:rPr>
              <w:t> </w:t>
            </w:r>
          </w:p>
        </w:tc>
        <w:tc>
          <w:tcPr>
            <w:tcW w:w="684" w:type="pct"/>
            <w:tcBorders>
              <w:top w:val="single" w:sz="18" w:space="0" w:color="53565A" w:themeColor="accent5"/>
              <w:bottom w:val="nil"/>
            </w:tcBorders>
            <w:shd w:val="clear" w:color="auto" w:fill="D9D9D6" w:themeFill="accent6"/>
          </w:tcPr>
          <w:p w14:paraId="6F8931C2" w14:textId="7546182B"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b/>
                <w:bCs/>
                <w:sz w:val="18"/>
              </w:rPr>
              <w:t xml:space="preserve"> 36,928.5 </w:t>
            </w:r>
          </w:p>
        </w:tc>
        <w:tc>
          <w:tcPr>
            <w:tcW w:w="777" w:type="pct"/>
            <w:tcBorders>
              <w:top w:val="single" w:sz="18" w:space="0" w:color="53565A" w:themeColor="accent5"/>
              <w:bottom w:val="nil"/>
            </w:tcBorders>
          </w:tcPr>
          <w:p w14:paraId="7D46DBB4" w14:textId="1D1A13A6"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b/>
                <w:bCs/>
                <w:sz w:val="18"/>
              </w:rPr>
              <w:t xml:space="preserve"> 34,270.2 </w:t>
            </w:r>
          </w:p>
        </w:tc>
        <w:tc>
          <w:tcPr>
            <w:tcW w:w="726" w:type="pct"/>
            <w:tcBorders>
              <w:top w:val="single" w:sz="18" w:space="0" w:color="53565A" w:themeColor="accent5"/>
              <w:bottom w:val="nil"/>
            </w:tcBorders>
          </w:tcPr>
          <w:p w14:paraId="22678EE4" w14:textId="0C707BAF"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b/>
                <w:bCs/>
                <w:sz w:val="18"/>
              </w:rPr>
              <w:t>8</w:t>
            </w:r>
          </w:p>
        </w:tc>
        <w:tc>
          <w:tcPr>
            <w:tcW w:w="783" w:type="pct"/>
            <w:tcBorders>
              <w:top w:val="single" w:sz="18" w:space="0" w:color="53565A" w:themeColor="accent5"/>
              <w:bottom w:val="nil"/>
            </w:tcBorders>
          </w:tcPr>
          <w:p w14:paraId="79E17619" w14:textId="52459AC6"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b/>
                <w:bCs/>
                <w:sz w:val="18"/>
              </w:rPr>
              <w:t>2,658.2</w:t>
            </w:r>
          </w:p>
        </w:tc>
      </w:tr>
      <w:tr w:rsidR="00FE4EA0" w:rsidRPr="005734B8" w14:paraId="79EC21FA" w14:textId="77777777" w:rsidTr="00FE4EA0">
        <w:trPr>
          <w:cantSplit/>
          <w:trHeight w:val="382"/>
        </w:trPr>
        <w:tc>
          <w:tcPr>
            <w:tcW w:w="1643" w:type="pct"/>
            <w:tcBorders>
              <w:bottom w:val="single" w:sz="4" w:space="0" w:color="53565A" w:themeColor="accent5"/>
              <w:right w:val="nil"/>
            </w:tcBorders>
            <w:shd w:val="clear" w:color="auto" w:fill="53565A" w:themeFill="accent5"/>
          </w:tcPr>
          <w:p w14:paraId="49680132" w14:textId="4BACEAF9" w:rsidR="00FE4EA0" w:rsidRPr="005734B8" w:rsidRDefault="00FE4EA0" w:rsidP="00FE4EA0">
            <w:pPr>
              <w:pStyle w:val="ESTableheading"/>
              <w:spacing w:after="100"/>
              <w:rPr>
                <w:rFonts w:ascii="Calibri" w:hAnsi="Calibri" w:cs="Calibri"/>
                <w:sz w:val="18"/>
              </w:rPr>
            </w:pPr>
            <w:r w:rsidRPr="005734B8">
              <w:rPr>
                <w:rFonts w:ascii="Calibri" w:hAnsi="Calibri" w:cs="Calibri"/>
                <w:sz w:val="18"/>
              </w:rPr>
              <w:t>Liabilities</w:t>
            </w:r>
          </w:p>
        </w:tc>
        <w:tc>
          <w:tcPr>
            <w:tcW w:w="387" w:type="pct"/>
            <w:tcBorders>
              <w:left w:val="nil"/>
              <w:bottom w:val="single" w:sz="4" w:space="0" w:color="53565A" w:themeColor="accent5"/>
              <w:right w:val="nil"/>
            </w:tcBorders>
            <w:shd w:val="clear" w:color="auto" w:fill="53565A" w:themeFill="accent5"/>
          </w:tcPr>
          <w:p w14:paraId="3602C557" w14:textId="77777777" w:rsidR="00FE4EA0" w:rsidRPr="005734B8" w:rsidRDefault="00FE4EA0" w:rsidP="00FE4EA0">
            <w:pPr>
              <w:pStyle w:val="ESTablenumberrightaligned"/>
              <w:spacing w:after="100"/>
              <w:rPr>
                <w:rFonts w:ascii="Calibri" w:hAnsi="Calibri" w:cs="Calibri"/>
                <w:sz w:val="18"/>
              </w:rPr>
            </w:pPr>
          </w:p>
        </w:tc>
        <w:tc>
          <w:tcPr>
            <w:tcW w:w="684" w:type="pct"/>
            <w:tcBorders>
              <w:left w:val="nil"/>
              <w:bottom w:val="single" w:sz="4" w:space="0" w:color="53565A" w:themeColor="accent5"/>
              <w:right w:val="nil"/>
            </w:tcBorders>
            <w:shd w:val="clear" w:color="auto" w:fill="53565A" w:themeFill="accent5"/>
            <w:vAlign w:val="center"/>
          </w:tcPr>
          <w:p w14:paraId="23595CD8" w14:textId="77777777" w:rsidR="00FE4EA0" w:rsidRPr="005734B8" w:rsidRDefault="00FE4EA0" w:rsidP="00FE4EA0">
            <w:pPr>
              <w:pStyle w:val="ESTablenumberrightaligned"/>
              <w:spacing w:after="100"/>
              <w:rPr>
                <w:rFonts w:ascii="Calibri" w:hAnsi="Calibri" w:cs="Calibri"/>
                <w:sz w:val="18"/>
              </w:rPr>
            </w:pPr>
          </w:p>
        </w:tc>
        <w:tc>
          <w:tcPr>
            <w:tcW w:w="777" w:type="pct"/>
            <w:tcBorders>
              <w:left w:val="nil"/>
              <w:bottom w:val="single" w:sz="4" w:space="0" w:color="53565A" w:themeColor="accent5"/>
              <w:right w:val="nil"/>
            </w:tcBorders>
            <w:shd w:val="clear" w:color="auto" w:fill="53565A" w:themeFill="accent5"/>
            <w:vAlign w:val="center"/>
          </w:tcPr>
          <w:p w14:paraId="364B93D3" w14:textId="77777777" w:rsidR="00FE4EA0" w:rsidRPr="005734B8" w:rsidRDefault="00FE4EA0" w:rsidP="00FE4EA0">
            <w:pPr>
              <w:pStyle w:val="ESTablenumberrightaligned"/>
              <w:spacing w:after="100"/>
              <w:rPr>
                <w:rFonts w:ascii="Calibri" w:hAnsi="Calibri" w:cs="Calibri"/>
                <w:sz w:val="18"/>
              </w:rPr>
            </w:pPr>
          </w:p>
        </w:tc>
        <w:tc>
          <w:tcPr>
            <w:tcW w:w="726" w:type="pct"/>
            <w:tcBorders>
              <w:left w:val="nil"/>
              <w:bottom w:val="single" w:sz="4" w:space="0" w:color="53565A" w:themeColor="accent5"/>
              <w:right w:val="nil"/>
            </w:tcBorders>
            <w:shd w:val="clear" w:color="auto" w:fill="53565A" w:themeFill="accent5"/>
            <w:vAlign w:val="center"/>
          </w:tcPr>
          <w:p w14:paraId="0C72D8D4" w14:textId="77777777" w:rsidR="00FE4EA0" w:rsidRPr="005734B8" w:rsidRDefault="00FE4EA0" w:rsidP="00FE4EA0">
            <w:pPr>
              <w:pStyle w:val="ESTablenumberrightaligned"/>
              <w:spacing w:after="100"/>
              <w:rPr>
                <w:rFonts w:ascii="Calibri" w:hAnsi="Calibri" w:cs="Calibri"/>
                <w:sz w:val="18"/>
              </w:rPr>
            </w:pPr>
          </w:p>
        </w:tc>
        <w:tc>
          <w:tcPr>
            <w:tcW w:w="783" w:type="pct"/>
            <w:tcBorders>
              <w:left w:val="nil"/>
              <w:bottom w:val="single" w:sz="4" w:space="0" w:color="53565A" w:themeColor="accent5"/>
              <w:right w:val="nil"/>
            </w:tcBorders>
            <w:shd w:val="clear" w:color="auto" w:fill="53565A" w:themeFill="accent5"/>
            <w:vAlign w:val="center"/>
          </w:tcPr>
          <w:p w14:paraId="2CF4E1F5" w14:textId="77777777" w:rsidR="00FE4EA0" w:rsidRPr="005734B8" w:rsidRDefault="00FE4EA0" w:rsidP="00FE4EA0">
            <w:pPr>
              <w:pStyle w:val="ESTablenumberrightaligned"/>
              <w:spacing w:after="100"/>
              <w:rPr>
                <w:rFonts w:ascii="Calibri" w:hAnsi="Calibri" w:cs="Calibri"/>
                <w:sz w:val="18"/>
              </w:rPr>
            </w:pPr>
          </w:p>
        </w:tc>
      </w:tr>
      <w:tr w:rsidR="00FE4EA0" w:rsidRPr="005734B8" w14:paraId="31FF95F2" w14:textId="77777777" w:rsidTr="00FE4EA0">
        <w:trPr>
          <w:cantSplit/>
          <w:trHeight w:val="382"/>
        </w:trPr>
        <w:tc>
          <w:tcPr>
            <w:tcW w:w="1643" w:type="pct"/>
            <w:tcBorders>
              <w:top w:val="single" w:sz="4" w:space="0" w:color="53565A" w:themeColor="accent5"/>
              <w:bottom w:val="single" w:sz="4" w:space="0" w:color="53565A" w:themeColor="accent5"/>
            </w:tcBorders>
            <w:shd w:val="clear" w:color="auto" w:fill="auto"/>
            <w:vAlign w:val="center"/>
          </w:tcPr>
          <w:p w14:paraId="7105308D" w14:textId="3AD64AE7" w:rsidR="00FE4EA0" w:rsidRPr="005734B8" w:rsidRDefault="00FE4EA0" w:rsidP="00FE4EA0">
            <w:pPr>
              <w:pStyle w:val="ESTablebody"/>
              <w:spacing w:after="100"/>
              <w:rPr>
                <w:rFonts w:ascii="Calibri" w:hAnsi="Calibri" w:cs="Calibri"/>
                <w:sz w:val="18"/>
              </w:rPr>
            </w:pPr>
            <w:r w:rsidRPr="005734B8">
              <w:rPr>
                <w:rFonts w:ascii="Calibri" w:hAnsi="Calibri" w:cs="Calibri"/>
                <w:sz w:val="18"/>
                <w:lang w:val="en-AU"/>
              </w:rPr>
              <w:t>Payables</w:t>
            </w:r>
          </w:p>
        </w:tc>
        <w:tc>
          <w:tcPr>
            <w:tcW w:w="387" w:type="pct"/>
            <w:tcBorders>
              <w:top w:val="single" w:sz="4" w:space="0" w:color="53565A" w:themeColor="accent5"/>
              <w:bottom w:val="single" w:sz="4" w:space="0" w:color="53565A" w:themeColor="accent5"/>
            </w:tcBorders>
            <w:shd w:val="clear" w:color="auto" w:fill="auto"/>
            <w:vAlign w:val="center"/>
          </w:tcPr>
          <w:p w14:paraId="6F2472B4" w14:textId="534F9298"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j</w:t>
            </w:r>
          </w:p>
        </w:tc>
        <w:tc>
          <w:tcPr>
            <w:tcW w:w="684" w:type="pct"/>
            <w:tcBorders>
              <w:top w:val="single" w:sz="4" w:space="0" w:color="53565A" w:themeColor="accent5"/>
              <w:bottom w:val="single" w:sz="4" w:space="0" w:color="53565A" w:themeColor="accent5"/>
            </w:tcBorders>
            <w:shd w:val="clear" w:color="auto" w:fill="D9D9D6" w:themeFill="accent6"/>
          </w:tcPr>
          <w:p w14:paraId="6451495E" w14:textId="2EB7A3F1"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911.9 </w:t>
            </w:r>
          </w:p>
        </w:tc>
        <w:tc>
          <w:tcPr>
            <w:tcW w:w="777" w:type="pct"/>
            <w:tcBorders>
              <w:top w:val="single" w:sz="4" w:space="0" w:color="53565A" w:themeColor="accent5"/>
              <w:bottom w:val="single" w:sz="4" w:space="0" w:color="53565A" w:themeColor="accent5"/>
            </w:tcBorders>
          </w:tcPr>
          <w:p w14:paraId="1D787D3B" w14:textId="56191C68"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1,041.4 </w:t>
            </w:r>
          </w:p>
        </w:tc>
        <w:tc>
          <w:tcPr>
            <w:tcW w:w="726" w:type="pct"/>
            <w:tcBorders>
              <w:top w:val="single" w:sz="4" w:space="0" w:color="53565A" w:themeColor="accent5"/>
              <w:bottom w:val="single" w:sz="4" w:space="0" w:color="53565A" w:themeColor="accent5"/>
            </w:tcBorders>
          </w:tcPr>
          <w:p w14:paraId="3269115B" w14:textId="1C63A30A"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(12)</w:t>
            </w:r>
          </w:p>
        </w:tc>
        <w:tc>
          <w:tcPr>
            <w:tcW w:w="783" w:type="pct"/>
            <w:tcBorders>
              <w:top w:val="single" w:sz="4" w:space="0" w:color="53565A" w:themeColor="accent5"/>
              <w:bottom w:val="single" w:sz="4" w:space="0" w:color="53565A" w:themeColor="accent5"/>
            </w:tcBorders>
          </w:tcPr>
          <w:p w14:paraId="03CBB07F" w14:textId="357287A2"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(129.5)</w:t>
            </w:r>
          </w:p>
        </w:tc>
      </w:tr>
      <w:tr w:rsidR="00FE4EA0" w:rsidRPr="005734B8" w14:paraId="77F3D026" w14:textId="77777777" w:rsidTr="00FE4EA0">
        <w:trPr>
          <w:cantSplit/>
          <w:trHeight w:val="382"/>
        </w:trPr>
        <w:tc>
          <w:tcPr>
            <w:tcW w:w="1643" w:type="pct"/>
            <w:tcBorders>
              <w:top w:val="single" w:sz="4" w:space="0" w:color="53565A" w:themeColor="accent5"/>
              <w:bottom w:val="single" w:sz="4" w:space="0" w:color="53565A" w:themeColor="accent5"/>
            </w:tcBorders>
            <w:shd w:val="clear" w:color="auto" w:fill="auto"/>
            <w:vAlign w:val="center"/>
          </w:tcPr>
          <w:p w14:paraId="352826C7" w14:textId="2569E857" w:rsidR="00FE4EA0" w:rsidRPr="005734B8" w:rsidRDefault="00FE4EA0" w:rsidP="00FE4EA0">
            <w:pPr>
              <w:pStyle w:val="ESTablebody"/>
              <w:spacing w:after="100"/>
              <w:rPr>
                <w:rFonts w:ascii="Calibri" w:hAnsi="Calibri" w:cs="Calibri"/>
                <w:sz w:val="18"/>
              </w:rPr>
            </w:pPr>
            <w:r w:rsidRPr="005734B8">
              <w:rPr>
                <w:rFonts w:ascii="Calibri" w:hAnsi="Calibri" w:cs="Calibri"/>
                <w:sz w:val="18"/>
                <w:lang w:val="en-AU"/>
              </w:rPr>
              <w:t>Borrowings</w:t>
            </w:r>
          </w:p>
        </w:tc>
        <w:tc>
          <w:tcPr>
            <w:tcW w:w="387" w:type="pct"/>
            <w:tcBorders>
              <w:top w:val="single" w:sz="4" w:space="0" w:color="53565A" w:themeColor="accent5"/>
              <w:bottom w:val="single" w:sz="4" w:space="0" w:color="53565A" w:themeColor="accent5"/>
            </w:tcBorders>
            <w:shd w:val="clear" w:color="auto" w:fill="auto"/>
            <w:vAlign w:val="center"/>
          </w:tcPr>
          <w:p w14:paraId="60646D2B" w14:textId="692FD7DE" w:rsidR="00FE4EA0" w:rsidRPr="005734B8" w:rsidRDefault="00FE4EA0" w:rsidP="00FE4EA0">
            <w:pPr>
              <w:pStyle w:val="ESTablenumberrightaligned"/>
              <w:spacing w:after="100"/>
              <w:rPr>
                <w:rFonts w:ascii="Calibri" w:hAnsi="Calibri" w:cs="Calibri"/>
                <w:sz w:val="18"/>
              </w:rPr>
            </w:pPr>
          </w:p>
        </w:tc>
        <w:tc>
          <w:tcPr>
            <w:tcW w:w="684" w:type="pct"/>
            <w:tcBorders>
              <w:top w:val="single" w:sz="4" w:space="0" w:color="53565A" w:themeColor="accent5"/>
              <w:bottom w:val="single" w:sz="4" w:space="0" w:color="53565A" w:themeColor="accent5"/>
            </w:tcBorders>
            <w:shd w:val="clear" w:color="auto" w:fill="D9D9D6" w:themeFill="accent6"/>
          </w:tcPr>
          <w:p w14:paraId="07BCF267" w14:textId="05CA12E5"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630.7 </w:t>
            </w:r>
          </w:p>
        </w:tc>
        <w:tc>
          <w:tcPr>
            <w:tcW w:w="777" w:type="pct"/>
            <w:tcBorders>
              <w:top w:val="single" w:sz="4" w:space="0" w:color="53565A" w:themeColor="accent5"/>
              <w:bottom w:val="single" w:sz="4" w:space="0" w:color="53565A" w:themeColor="accent5"/>
            </w:tcBorders>
          </w:tcPr>
          <w:p w14:paraId="76ABFC7B" w14:textId="344381C8"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617.3 </w:t>
            </w:r>
          </w:p>
        </w:tc>
        <w:tc>
          <w:tcPr>
            <w:tcW w:w="726" w:type="pct"/>
            <w:tcBorders>
              <w:top w:val="single" w:sz="4" w:space="0" w:color="53565A" w:themeColor="accent5"/>
              <w:bottom w:val="single" w:sz="4" w:space="0" w:color="53565A" w:themeColor="accent5"/>
            </w:tcBorders>
          </w:tcPr>
          <w:p w14:paraId="3F01FB30" w14:textId="1CD69E0A"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2</w:t>
            </w:r>
          </w:p>
        </w:tc>
        <w:tc>
          <w:tcPr>
            <w:tcW w:w="783" w:type="pct"/>
            <w:tcBorders>
              <w:top w:val="single" w:sz="4" w:space="0" w:color="53565A" w:themeColor="accent5"/>
              <w:bottom w:val="single" w:sz="4" w:space="0" w:color="53565A" w:themeColor="accent5"/>
            </w:tcBorders>
          </w:tcPr>
          <w:p w14:paraId="4A0E27B2" w14:textId="7079AAF0"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13.4</w:t>
            </w:r>
          </w:p>
        </w:tc>
      </w:tr>
      <w:tr w:rsidR="00FE4EA0" w:rsidRPr="005734B8" w14:paraId="1324D8BE" w14:textId="77777777" w:rsidTr="00FE4EA0">
        <w:trPr>
          <w:cantSplit/>
          <w:trHeight w:val="382"/>
        </w:trPr>
        <w:tc>
          <w:tcPr>
            <w:tcW w:w="1643" w:type="pct"/>
            <w:tcBorders>
              <w:top w:val="single" w:sz="4" w:space="0" w:color="53565A" w:themeColor="accent5"/>
              <w:bottom w:val="single" w:sz="4" w:space="0" w:color="53565A" w:themeColor="accent5"/>
            </w:tcBorders>
            <w:shd w:val="clear" w:color="auto" w:fill="auto"/>
            <w:vAlign w:val="center"/>
          </w:tcPr>
          <w:p w14:paraId="5F853BF0" w14:textId="6E0946BF" w:rsidR="00FE4EA0" w:rsidRPr="005734B8" w:rsidRDefault="00FE4EA0" w:rsidP="00FE4EA0">
            <w:pPr>
              <w:pStyle w:val="ESTablebody"/>
              <w:spacing w:after="100"/>
              <w:rPr>
                <w:rFonts w:ascii="Calibri" w:hAnsi="Calibri" w:cs="Calibri"/>
                <w:sz w:val="18"/>
              </w:rPr>
            </w:pPr>
            <w:r w:rsidRPr="005734B8">
              <w:rPr>
                <w:rFonts w:ascii="Calibri" w:hAnsi="Calibri" w:cs="Calibri"/>
                <w:sz w:val="18"/>
                <w:lang w:val="en-AU"/>
              </w:rPr>
              <w:t>Provisions</w:t>
            </w:r>
          </w:p>
        </w:tc>
        <w:tc>
          <w:tcPr>
            <w:tcW w:w="387" w:type="pct"/>
            <w:tcBorders>
              <w:top w:val="single" w:sz="4" w:space="0" w:color="53565A" w:themeColor="accent5"/>
              <w:bottom w:val="single" w:sz="4" w:space="0" w:color="53565A" w:themeColor="accent5"/>
            </w:tcBorders>
            <w:shd w:val="clear" w:color="auto" w:fill="auto"/>
            <w:vAlign w:val="center"/>
          </w:tcPr>
          <w:p w14:paraId="15594307" w14:textId="49073C2B" w:rsidR="00FE4EA0" w:rsidRPr="005734B8" w:rsidRDefault="00FE4EA0" w:rsidP="00FE4EA0">
            <w:pPr>
              <w:pStyle w:val="ESTablenumberrightaligned"/>
              <w:spacing w:after="100"/>
              <w:rPr>
                <w:rFonts w:ascii="Calibri" w:hAnsi="Calibri" w:cs="Calibri"/>
                <w:sz w:val="18"/>
              </w:rPr>
            </w:pPr>
          </w:p>
        </w:tc>
        <w:tc>
          <w:tcPr>
            <w:tcW w:w="684" w:type="pct"/>
            <w:tcBorders>
              <w:top w:val="single" w:sz="4" w:space="0" w:color="53565A" w:themeColor="accent5"/>
              <w:bottom w:val="single" w:sz="4" w:space="0" w:color="53565A" w:themeColor="accent5"/>
            </w:tcBorders>
            <w:shd w:val="clear" w:color="auto" w:fill="D9D9D6" w:themeFill="accent6"/>
          </w:tcPr>
          <w:p w14:paraId="1C6D190B" w14:textId="069FBA11"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2,132.4 </w:t>
            </w:r>
          </w:p>
        </w:tc>
        <w:tc>
          <w:tcPr>
            <w:tcW w:w="777" w:type="pct"/>
            <w:tcBorders>
              <w:top w:val="single" w:sz="4" w:space="0" w:color="53565A" w:themeColor="accent5"/>
              <w:bottom w:val="single" w:sz="4" w:space="0" w:color="53565A" w:themeColor="accent5"/>
            </w:tcBorders>
          </w:tcPr>
          <w:p w14:paraId="20668900" w14:textId="38B1E1D6"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2,095.8 </w:t>
            </w:r>
          </w:p>
        </w:tc>
        <w:tc>
          <w:tcPr>
            <w:tcW w:w="726" w:type="pct"/>
            <w:tcBorders>
              <w:top w:val="single" w:sz="4" w:space="0" w:color="53565A" w:themeColor="accent5"/>
              <w:bottom w:val="single" w:sz="4" w:space="0" w:color="53565A" w:themeColor="accent5"/>
            </w:tcBorders>
          </w:tcPr>
          <w:p w14:paraId="18A27BDA" w14:textId="1B31A968"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2</w:t>
            </w:r>
          </w:p>
        </w:tc>
        <w:tc>
          <w:tcPr>
            <w:tcW w:w="783" w:type="pct"/>
            <w:tcBorders>
              <w:top w:val="single" w:sz="4" w:space="0" w:color="53565A" w:themeColor="accent5"/>
              <w:bottom w:val="single" w:sz="4" w:space="0" w:color="53565A" w:themeColor="accent5"/>
            </w:tcBorders>
          </w:tcPr>
          <w:p w14:paraId="2C760C2D" w14:textId="5B3CCC60"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36.5</w:t>
            </w:r>
          </w:p>
        </w:tc>
      </w:tr>
      <w:tr w:rsidR="00FE4EA0" w:rsidRPr="005734B8" w14:paraId="7B2F9FFD" w14:textId="77777777" w:rsidTr="00FE4EA0">
        <w:trPr>
          <w:cantSplit/>
          <w:trHeight w:val="382"/>
        </w:trPr>
        <w:tc>
          <w:tcPr>
            <w:tcW w:w="1643" w:type="pct"/>
            <w:tcBorders>
              <w:top w:val="single" w:sz="18" w:space="0" w:color="53565A" w:themeColor="accent5"/>
              <w:bottom w:val="single" w:sz="18" w:space="0" w:color="53565A" w:themeColor="accent5"/>
            </w:tcBorders>
            <w:shd w:val="clear" w:color="auto" w:fill="auto"/>
            <w:vAlign w:val="center"/>
          </w:tcPr>
          <w:p w14:paraId="33A268BC" w14:textId="325A5242" w:rsidR="00FE4EA0" w:rsidRPr="005734B8" w:rsidRDefault="00FE4EA0" w:rsidP="00FE4EA0">
            <w:pPr>
              <w:pStyle w:val="ESTablebody"/>
              <w:spacing w:after="100"/>
              <w:rPr>
                <w:rFonts w:ascii="Calibri" w:hAnsi="Calibri" w:cs="Calibri"/>
                <w:b/>
                <w:sz w:val="18"/>
              </w:rPr>
            </w:pPr>
            <w:r w:rsidRPr="005734B8">
              <w:rPr>
                <w:rFonts w:ascii="Calibri" w:hAnsi="Calibri" w:cs="Calibri"/>
                <w:b/>
                <w:sz w:val="18"/>
                <w:lang w:val="en-AU"/>
              </w:rPr>
              <w:t>Total liabilities</w:t>
            </w:r>
          </w:p>
        </w:tc>
        <w:tc>
          <w:tcPr>
            <w:tcW w:w="387" w:type="pct"/>
            <w:tcBorders>
              <w:top w:val="single" w:sz="18" w:space="0" w:color="53565A" w:themeColor="accent5"/>
              <w:bottom w:val="single" w:sz="18" w:space="0" w:color="53565A" w:themeColor="accent5"/>
            </w:tcBorders>
            <w:shd w:val="clear" w:color="auto" w:fill="auto"/>
            <w:vAlign w:val="center"/>
          </w:tcPr>
          <w:p w14:paraId="7898C045" w14:textId="77777777" w:rsidR="00FE4EA0" w:rsidRPr="005734B8" w:rsidRDefault="00FE4EA0" w:rsidP="00FE4EA0">
            <w:pPr>
              <w:pStyle w:val="ESTablenumberrightaligned"/>
              <w:spacing w:after="100"/>
              <w:rPr>
                <w:rFonts w:ascii="Calibri" w:hAnsi="Calibri" w:cs="Calibri"/>
                <w:b/>
                <w:sz w:val="18"/>
              </w:rPr>
            </w:pPr>
          </w:p>
        </w:tc>
        <w:tc>
          <w:tcPr>
            <w:tcW w:w="684" w:type="pct"/>
            <w:tcBorders>
              <w:top w:val="single" w:sz="18" w:space="0" w:color="53565A" w:themeColor="accent5"/>
              <w:bottom w:val="single" w:sz="18" w:space="0" w:color="53565A" w:themeColor="accent5"/>
            </w:tcBorders>
            <w:shd w:val="clear" w:color="auto" w:fill="D9D9D6" w:themeFill="accent6"/>
          </w:tcPr>
          <w:p w14:paraId="17151E51" w14:textId="467977A9"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b/>
                <w:bCs/>
                <w:sz w:val="18"/>
              </w:rPr>
              <w:t xml:space="preserve"> 3,675.0 </w:t>
            </w:r>
          </w:p>
        </w:tc>
        <w:tc>
          <w:tcPr>
            <w:tcW w:w="777" w:type="pct"/>
            <w:tcBorders>
              <w:top w:val="single" w:sz="18" w:space="0" w:color="53565A" w:themeColor="accent5"/>
              <w:bottom w:val="single" w:sz="18" w:space="0" w:color="53565A" w:themeColor="accent5"/>
            </w:tcBorders>
          </w:tcPr>
          <w:p w14:paraId="2038B7A9" w14:textId="3CF060BE"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b/>
                <w:bCs/>
                <w:sz w:val="18"/>
              </w:rPr>
              <w:t xml:space="preserve"> 3,754.6 </w:t>
            </w:r>
          </w:p>
        </w:tc>
        <w:tc>
          <w:tcPr>
            <w:tcW w:w="726" w:type="pct"/>
            <w:tcBorders>
              <w:top w:val="single" w:sz="18" w:space="0" w:color="53565A" w:themeColor="accent5"/>
              <w:bottom w:val="single" w:sz="18" w:space="0" w:color="53565A" w:themeColor="accent5"/>
            </w:tcBorders>
          </w:tcPr>
          <w:p w14:paraId="3AEA84A5" w14:textId="6CBC2466"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b/>
                <w:bCs/>
                <w:sz w:val="18"/>
              </w:rPr>
              <w:t>(2)</w:t>
            </w:r>
          </w:p>
        </w:tc>
        <w:tc>
          <w:tcPr>
            <w:tcW w:w="783" w:type="pct"/>
            <w:tcBorders>
              <w:top w:val="single" w:sz="18" w:space="0" w:color="53565A" w:themeColor="accent5"/>
              <w:bottom w:val="single" w:sz="18" w:space="0" w:color="53565A" w:themeColor="accent5"/>
            </w:tcBorders>
          </w:tcPr>
          <w:p w14:paraId="51EF74E6" w14:textId="08CD52EC"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b/>
                <w:bCs/>
                <w:sz w:val="18"/>
              </w:rPr>
              <w:t>(79.6)</w:t>
            </w:r>
          </w:p>
        </w:tc>
      </w:tr>
      <w:tr w:rsidR="00FE4EA0" w:rsidRPr="005734B8" w14:paraId="35F44DB8" w14:textId="77777777" w:rsidTr="00FE4EA0">
        <w:trPr>
          <w:cantSplit/>
          <w:trHeight w:val="382"/>
        </w:trPr>
        <w:tc>
          <w:tcPr>
            <w:tcW w:w="1643" w:type="pct"/>
            <w:tcBorders>
              <w:top w:val="single" w:sz="18" w:space="0" w:color="53565A" w:themeColor="accent5"/>
              <w:bottom w:val="single" w:sz="18" w:space="0" w:color="53565A" w:themeColor="accent5"/>
            </w:tcBorders>
            <w:shd w:val="clear" w:color="auto" w:fill="auto"/>
            <w:vAlign w:val="center"/>
          </w:tcPr>
          <w:p w14:paraId="6D19ACBC" w14:textId="34FA50BE" w:rsidR="00FE4EA0" w:rsidRPr="005734B8" w:rsidRDefault="00FE4EA0" w:rsidP="00FE4EA0">
            <w:pPr>
              <w:pStyle w:val="ESTablebody"/>
              <w:spacing w:after="100"/>
              <w:rPr>
                <w:rFonts w:ascii="Calibri" w:hAnsi="Calibri" w:cs="Calibri"/>
                <w:b/>
                <w:sz w:val="18"/>
              </w:rPr>
            </w:pPr>
            <w:r w:rsidRPr="005734B8">
              <w:rPr>
                <w:rFonts w:ascii="Calibri" w:hAnsi="Calibri" w:cs="Calibri"/>
                <w:b/>
                <w:sz w:val="18"/>
                <w:lang w:val="en-AU"/>
              </w:rPr>
              <w:t>Net assets</w:t>
            </w:r>
          </w:p>
        </w:tc>
        <w:tc>
          <w:tcPr>
            <w:tcW w:w="387" w:type="pct"/>
            <w:tcBorders>
              <w:top w:val="single" w:sz="18" w:space="0" w:color="53565A" w:themeColor="accent5"/>
              <w:bottom w:val="single" w:sz="18" w:space="0" w:color="53565A" w:themeColor="accent5"/>
            </w:tcBorders>
            <w:shd w:val="clear" w:color="auto" w:fill="auto"/>
            <w:vAlign w:val="center"/>
          </w:tcPr>
          <w:p w14:paraId="0D04A402" w14:textId="77777777" w:rsidR="00FE4EA0" w:rsidRPr="005734B8" w:rsidRDefault="00FE4EA0" w:rsidP="00FE4EA0">
            <w:pPr>
              <w:pStyle w:val="ESTablenumberrightaligned"/>
              <w:spacing w:after="100"/>
              <w:rPr>
                <w:rFonts w:ascii="Calibri" w:hAnsi="Calibri" w:cs="Calibri"/>
                <w:b/>
                <w:sz w:val="18"/>
              </w:rPr>
            </w:pPr>
          </w:p>
        </w:tc>
        <w:tc>
          <w:tcPr>
            <w:tcW w:w="684" w:type="pct"/>
            <w:tcBorders>
              <w:top w:val="single" w:sz="18" w:space="0" w:color="53565A" w:themeColor="accent5"/>
              <w:bottom w:val="single" w:sz="18" w:space="0" w:color="53565A" w:themeColor="accent5"/>
            </w:tcBorders>
            <w:shd w:val="clear" w:color="auto" w:fill="D9D9D6" w:themeFill="accent6"/>
          </w:tcPr>
          <w:p w14:paraId="06149003" w14:textId="47F2D092"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b/>
                <w:bCs/>
                <w:sz w:val="18"/>
              </w:rPr>
              <w:t xml:space="preserve"> 33,253.5 </w:t>
            </w:r>
          </w:p>
        </w:tc>
        <w:tc>
          <w:tcPr>
            <w:tcW w:w="777" w:type="pct"/>
            <w:tcBorders>
              <w:top w:val="single" w:sz="18" w:space="0" w:color="53565A" w:themeColor="accent5"/>
              <w:bottom w:val="single" w:sz="18" w:space="0" w:color="53565A" w:themeColor="accent5"/>
            </w:tcBorders>
          </w:tcPr>
          <w:p w14:paraId="5DE567CE" w14:textId="49384AA7"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b/>
                <w:bCs/>
                <w:sz w:val="18"/>
              </w:rPr>
              <w:t xml:space="preserve"> 30,515.7 </w:t>
            </w:r>
          </w:p>
        </w:tc>
        <w:tc>
          <w:tcPr>
            <w:tcW w:w="726" w:type="pct"/>
            <w:tcBorders>
              <w:top w:val="single" w:sz="18" w:space="0" w:color="53565A" w:themeColor="accent5"/>
              <w:bottom w:val="single" w:sz="18" w:space="0" w:color="53565A" w:themeColor="accent5"/>
            </w:tcBorders>
          </w:tcPr>
          <w:p w14:paraId="44CC23D3" w14:textId="0F94CBCD"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b/>
                <w:bCs/>
                <w:sz w:val="18"/>
              </w:rPr>
              <w:t>9</w:t>
            </w:r>
          </w:p>
        </w:tc>
        <w:tc>
          <w:tcPr>
            <w:tcW w:w="783" w:type="pct"/>
            <w:tcBorders>
              <w:top w:val="single" w:sz="18" w:space="0" w:color="53565A" w:themeColor="accent5"/>
              <w:bottom w:val="single" w:sz="18" w:space="0" w:color="53565A" w:themeColor="accent5"/>
            </w:tcBorders>
          </w:tcPr>
          <w:p w14:paraId="66873542" w14:textId="5A5B36DC"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b/>
                <w:bCs/>
                <w:sz w:val="18"/>
              </w:rPr>
              <w:t>2,737.8</w:t>
            </w:r>
          </w:p>
        </w:tc>
      </w:tr>
      <w:tr w:rsidR="00FE4EA0" w:rsidRPr="005734B8" w14:paraId="6D9A0969" w14:textId="77777777" w:rsidTr="00FE4EA0">
        <w:trPr>
          <w:cantSplit/>
          <w:trHeight w:val="382"/>
        </w:trPr>
        <w:tc>
          <w:tcPr>
            <w:tcW w:w="1643" w:type="pct"/>
            <w:tcBorders>
              <w:bottom w:val="single" w:sz="4" w:space="0" w:color="53565A" w:themeColor="accent5"/>
              <w:right w:val="nil"/>
            </w:tcBorders>
            <w:shd w:val="clear" w:color="auto" w:fill="53565A" w:themeFill="accent5"/>
          </w:tcPr>
          <w:p w14:paraId="304366BB" w14:textId="2791A806" w:rsidR="00FE4EA0" w:rsidRPr="005734B8" w:rsidRDefault="00FE4EA0" w:rsidP="00FE4EA0">
            <w:pPr>
              <w:pStyle w:val="ESTableheading"/>
              <w:spacing w:after="100"/>
              <w:rPr>
                <w:rFonts w:ascii="Calibri" w:hAnsi="Calibri" w:cs="Calibri"/>
                <w:sz w:val="18"/>
              </w:rPr>
            </w:pPr>
            <w:r w:rsidRPr="005734B8">
              <w:rPr>
                <w:rFonts w:ascii="Calibri" w:hAnsi="Calibri" w:cs="Calibri"/>
                <w:sz w:val="18"/>
              </w:rPr>
              <w:t>Equity</w:t>
            </w:r>
          </w:p>
        </w:tc>
        <w:tc>
          <w:tcPr>
            <w:tcW w:w="387" w:type="pct"/>
            <w:tcBorders>
              <w:left w:val="nil"/>
              <w:bottom w:val="single" w:sz="4" w:space="0" w:color="53565A" w:themeColor="accent5"/>
              <w:right w:val="nil"/>
            </w:tcBorders>
            <w:shd w:val="clear" w:color="auto" w:fill="53565A" w:themeFill="accent5"/>
            <w:vAlign w:val="center"/>
          </w:tcPr>
          <w:p w14:paraId="24C8EDED" w14:textId="77777777" w:rsidR="00FE4EA0" w:rsidRPr="005734B8" w:rsidRDefault="00FE4EA0" w:rsidP="00FE4EA0">
            <w:pPr>
              <w:pStyle w:val="ESTablenumberrightaligned"/>
              <w:spacing w:after="100"/>
              <w:rPr>
                <w:rFonts w:ascii="Calibri" w:hAnsi="Calibri" w:cs="Calibri"/>
                <w:sz w:val="18"/>
              </w:rPr>
            </w:pPr>
          </w:p>
        </w:tc>
        <w:tc>
          <w:tcPr>
            <w:tcW w:w="684" w:type="pct"/>
            <w:tcBorders>
              <w:left w:val="nil"/>
              <w:bottom w:val="single" w:sz="4" w:space="0" w:color="53565A" w:themeColor="accent5"/>
              <w:right w:val="nil"/>
            </w:tcBorders>
            <w:shd w:val="clear" w:color="auto" w:fill="53565A" w:themeFill="accent5"/>
            <w:vAlign w:val="center"/>
          </w:tcPr>
          <w:p w14:paraId="4B5C5658" w14:textId="77777777" w:rsidR="00FE4EA0" w:rsidRPr="005734B8" w:rsidRDefault="00FE4EA0" w:rsidP="00FE4EA0">
            <w:pPr>
              <w:pStyle w:val="ESTablenumberrightaligned"/>
              <w:spacing w:after="100"/>
              <w:rPr>
                <w:rFonts w:ascii="Calibri" w:hAnsi="Calibri" w:cs="Calibri"/>
                <w:sz w:val="18"/>
              </w:rPr>
            </w:pPr>
          </w:p>
        </w:tc>
        <w:tc>
          <w:tcPr>
            <w:tcW w:w="777" w:type="pct"/>
            <w:tcBorders>
              <w:left w:val="nil"/>
              <w:bottom w:val="single" w:sz="4" w:space="0" w:color="53565A" w:themeColor="accent5"/>
              <w:right w:val="nil"/>
            </w:tcBorders>
            <w:shd w:val="clear" w:color="auto" w:fill="53565A" w:themeFill="accent5"/>
            <w:vAlign w:val="center"/>
          </w:tcPr>
          <w:p w14:paraId="30693F1E" w14:textId="77777777" w:rsidR="00FE4EA0" w:rsidRPr="005734B8" w:rsidRDefault="00FE4EA0" w:rsidP="00FE4EA0">
            <w:pPr>
              <w:pStyle w:val="ESTablenumberrightaligned"/>
              <w:spacing w:after="100"/>
              <w:rPr>
                <w:rFonts w:ascii="Calibri" w:hAnsi="Calibri" w:cs="Calibri"/>
                <w:sz w:val="18"/>
              </w:rPr>
            </w:pPr>
          </w:p>
        </w:tc>
        <w:tc>
          <w:tcPr>
            <w:tcW w:w="726" w:type="pct"/>
            <w:tcBorders>
              <w:left w:val="nil"/>
              <w:bottom w:val="single" w:sz="4" w:space="0" w:color="53565A" w:themeColor="accent5"/>
              <w:right w:val="nil"/>
            </w:tcBorders>
            <w:shd w:val="clear" w:color="auto" w:fill="53565A" w:themeFill="accent5"/>
            <w:vAlign w:val="center"/>
          </w:tcPr>
          <w:p w14:paraId="50A730DF" w14:textId="77777777" w:rsidR="00FE4EA0" w:rsidRPr="005734B8" w:rsidRDefault="00FE4EA0" w:rsidP="00FE4EA0">
            <w:pPr>
              <w:pStyle w:val="ESTablenumberrightaligned"/>
              <w:spacing w:after="100"/>
              <w:rPr>
                <w:rFonts w:ascii="Calibri" w:hAnsi="Calibri" w:cs="Calibri"/>
                <w:sz w:val="18"/>
              </w:rPr>
            </w:pPr>
          </w:p>
        </w:tc>
        <w:tc>
          <w:tcPr>
            <w:tcW w:w="783" w:type="pct"/>
            <w:tcBorders>
              <w:left w:val="nil"/>
              <w:bottom w:val="single" w:sz="4" w:space="0" w:color="53565A" w:themeColor="accent5"/>
              <w:right w:val="nil"/>
            </w:tcBorders>
            <w:shd w:val="clear" w:color="auto" w:fill="53565A" w:themeFill="accent5"/>
            <w:vAlign w:val="center"/>
          </w:tcPr>
          <w:p w14:paraId="390AC616" w14:textId="77777777" w:rsidR="00FE4EA0" w:rsidRPr="005734B8" w:rsidRDefault="00FE4EA0" w:rsidP="00FE4EA0">
            <w:pPr>
              <w:pStyle w:val="ESTablenumberrightaligned"/>
              <w:spacing w:after="100"/>
              <w:rPr>
                <w:rFonts w:ascii="Calibri" w:hAnsi="Calibri" w:cs="Calibri"/>
                <w:sz w:val="18"/>
              </w:rPr>
            </w:pPr>
          </w:p>
        </w:tc>
      </w:tr>
      <w:tr w:rsidR="00FE4EA0" w:rsidRPr="005734B8" w14:paraId="47938C86" w14:textId="77777777" w:rsidTr="00FE4EA0">
        <w:trPr>
          <w:cantSplit/>
          <w:trHeight w:val="382"/>
        </w:trPr>
        <w:tc>
          <w:tcPr>
            <w:tcW w:w="1643" w:type="pct"/>
            <w:tcBorders>
              <w:top w:val="single" w:sz="4" w:space="0" w:color="53565A" w:themeColor="accent5"/>
              <w:bottom w:val="single" w:sz="4" w:space="0" w:color="53565A" w:themeColor="accent5"/>
            </w:tcBorders>
            <w:shd w:val="clear" w:color="auto" w:fill="auto"/>
            <w:vAlign w:val="center"/>
          </w:tcPr>
          <w:p w14:paraId="70BD3689" w14:textId="0DFEF006" w:rsidR="00FE4EA0" w:rsidRPr="005734B8" w:rsidRDefault="00FE4EA0" w:rsidP="00FE4EA0">
            <w:pPr>
              <w:pStyle w:val="ESTablebody"/>
              <w:spacing w:after="100"/>
              <w:rPr>
                <w:rFonts w:ascii="Calibri" w:hAnsi="Calibri" w:cs="Calibri"/>
                <w:sz w:val="18"/>
              </w:rPr>
            </w:pPr>
            <w:r w:rsidRPr="005734B8">
              <w:rPr>
                <w:rFonts w:ascii="Calibri" w:hAnsi="Calibri" w:cs="Calibri"/>
                <w:sz w:val="18"/>
                <w:lang w:val="en-AU"/>
              </w:rPr>
              <w:t>Accumulated surplus/(deficit)</w:t>
            </w:r>
          </w:p>
        </w:tc>
        <w:tc>
          <w:tcPr>
            <w:tcW w:w="387" w:type="pct"/>
            <w:tcBorders>
              <w:top w:val="single" w:sz="4" w:space="0" w:color="53565A" w:themeColor="accent5"/>
              <w:bottom w:val="single" w:sz="4" w:space="0" w:color="53565A" w:themeColor="accent5"/>
            </w:tcBorders>
            <w:shd w:val="clear" w:color="auto" w:fill="auto"/>
          </w:tcPr>
          <w:p w14:paraId="25E2077A" w14:textId="78548962"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k</w:t>
            </w:r>
          </w:p>
        </w:tc>
        <w:tc>
          <w:tcPr>
            <w:tcW w:w="684" w:type="pct"/>
            <w:tcBorders>
              <w:top w:val="single" w:sz="4" w:space="0" w:color="53565A" w:themeColor="accent5"/>
              <w:bottom w:val="single" w:sz="4" w:space="0" w:color="53565A" w:themeColor="accent5"/>
            </w:tcBorders>
            <w:shd w:val="clear" w:color="auto" w:fill="D9D9D6" w:themeFill="accent6"/>
          </w:tcPr>
          <w:p w14:paraId="6B45A7C3" w14:textId="5E277148"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5,074.5 </w:t>
            </w:r>
          </w:p>
        </w:tc>
        <w:tc>
          <w:tcPr>
            <w:tcW w:w="777" w:type="pct"/>
            <w:tcBorders>
              <w:top w:val="single" w:sz="4" w:space="0" w:color="53565A" w:themeColor="accent5"/>
              <w:bottom w:val="single" w:sz="4" w:space="0" w:color="53565A" w:themeColor="accent5"/>
            </w:tcBorders>
          </w:tcPr>
          <w:p w14:paraId="6A41D8E0" w14:textId="2A31BA96"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4,804.4 </w:t>
            </w:r>
          </w:p>
        </w:tc>
        <w:tc>
          <w:tcPr>
            <w:tcW w:w="726" w:type="pct"/>
            <w:tcBorders>
              <w:top w:val="single" w:sz="4" w:space="0" w:color="53565A" w:themeColor="accent5"/>
              <w:bottom w:val="single" w:sz="4" w:space="0" w:color="53565A" w:themeColor="accent5"/>
            </w:tcBorders>
          </w:tcPr>
          <w:p w14:paraId="7B29FF16" w14:textId="50CFE7C1"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6</w:t>
            </w:r>
          </w:p>
        </w:tc>
        <w:tc>
          <w:tcPr>
            <w:tcW w:w="783" w:type="pct"/>
            <w:tcBorders>
              <w:top w:val="single" w:sz="4" w:space="0" w:color="53565A" w:themeColor="accent5"/>
              <w:bottom w:val="single" w:sz="4" w:space="0" w:color="53565A" w:themeColor="accent5"/>
            </w:tcBorders>
          </w:tcPr>
          <w:p w14:paraId="152BD68C" w14:textId="52FABA18"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270.1</w:t>
            </w:r>
          </w:p>
        </w:tc>
      </w:tr>
      <w:tr w:rsidR="00FE4EA0" w:rsidRPr="005734B8" w14:paraId="22B2B6F9" w14:textId="77777777" w:rsidTr="00FE4EA0">
        <w:trPr>
          <w:cantSplit/>
          <w:trHeight w:val="382"/>
        </w:trPr>
        <w:tc>
          <w:tcPr>
            <w:tcW w:w="1643" w:type="pct"/>
            <w:tcBorders>
              <w:top w:val="single" w:sz="4" w:space="0" w:color="53565A" w:themeColor="accent5"/>
              <w:bottom w:val="single" w:sz="4" w:space="0" w:color="53565A" w:themeColor="accent5"/>
            </w:tcBorders>
            <w:shd w:val="clear" w:color="auto" w:fill="auto"/>
            <w:vAlign w:val="center"/>
          </w:tcPr>
          <w:p w14:paraId="0282D0D1" w14:textId="3812E49C" w:rsidR="00FE4EA0" w:rsidRPr="005734B8" w:rsidRDefault="00FE4EA0" w:rsidP="00FE4EA0">
            <w:pPr>
              <w:pStyle w:val="ESTablebody"/>
              <w:spacing w:after="100"/>
              <w:rPr>
                <w:rFonts w:ascii="Calibri" w:hAnsi="Calibri" w:cs="Calibri"/>
                <w:sz w:val="18"/>
              </w:rPr>
            </w:pPr>
            <w:r w:rsidRPr="005734B8">
              <w:rPr>
                <w:rFonts w:ascii="Calibri" w:hAnsi="Calibri" w:cs="Calibri"/>
                <w:sz w:val="18"/>
                <w:lang w:val="en-AU"/>
              </w:rPr>
              <w:t>Reserves</w:t>
            </w:r>
          </w:p>
        </w:tc>
        <w:tc>
          <w:tcPr>
            <w:tcW w:w="387" w:type="pct"/>
            <w:tcBorders>
              <w:top w:val="single" w:sz="4" w:space="0" w:color="53565A" w:themeColor="accent5"/>
              <w:bottom w:val="single" w:sz="4" w:space="0" w:color="53565A" w:themeColor="accent5"/>
            </w:tcBorders>
            <w:shd w:val="clear" w:color="auto" w:fill="auto"/>
          </w:tcPr>
          <w:p w14:paraId="6F91971F" w14:textId="77C20288"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l</w:t>
            </w:r>
          </w:p>
        </w:tc>
        <w:tc>
          <w:tcPr>
            <w:tcW w:w="684" w:type="pct"/>
            <w:tcBorders>
              <w:top w:val="single" w:sz="4" w:space="0" w:color="53565A" w:themeColor="accent5"/>
              <w:bottom w:val="single" w:sz="4" w:space="0" w:color="53565A" w:themeColor="accent5"/>
            </w:tcBorders>
            <w:shd w:val="clear" w:color="auto" w:fill="D9D9D6" w:themeFill="accent6"/>
          </w:tcPr>
          <w:p w14:paraId="3F5F7F1E" w14:textId="68E8171C"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16,490.9 </w:t>
            </w:r>
          </w:p>
        </w:tc>
        <w:tc>
          <w:tcPr>
            <w:tcW w:w="777" w:type="pct"/>
            <w:tcBorders>
              <w:top w:val="single" w:sz="4" w:space="0" w:color="53565A" w:themeColor="accent5"/>
              <w:bottom w:val="single" w:sz="4" w:space="0" w:color="53565A" w:themeColor="accent5"/>
            </w:tcBorders>
          </w:tcPr>
          <w:p w14:paraId="4D9C803C" w14:textId="2ACB892E"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13,638.9 </w:t>
            </w:r>
          </w:p>
        </w:tc>
        <w:tc>
          <w:tcPr>
            <w:tcW w:w="726" w:type="pct"/>
            <w:tcBorders>
              <w:top w:val="single" w:sz="4" w:space="0" w:color="53565A" w:themeColor="accent5"/>
              <w:bottom w:val="single" w:sz="4" w:space="0" w:color="53565A" w:themeColor="accent5"/>
            </w:tcBorders>
          </w:tcPr>
          <w:p w14:paraId="07F04B94" w14:textId="5D5A74CA"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21</w:t>
            </w:r>
          </w:p>
        </w:tc>
        <w:tc>
          <w:tcPr>
            <w:tcW w:w="783" w:type="pct"/>
            <w:tcBorders>
              <w:top w:val="single" w:sz="4" w:space="0" w:color="53565A" w:themeColor="accent5"/>
              <w:bottom w:val="single" w:sz="4" w:space="0" w:color="53565A" w:themeColor="accent5"/>
            </w:tcBorders>
          </w:tcPr>
          <w:p w14:paraId="28900EB6" w14:textId="723F435E"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2,852.0</w:t>
            </w:r>
          </w:p>
        </w:tc>
      </w:tr>
      <w:tr w:rsidR="00FE4EA0" w:rsidRPr="005734B8" w14:paraId="64AB6C99" w14:textId="77777777" w:rsidTr="00FE4EA0">
        <w:trPr>
          <w:cantSplit/>
          <w:trHeight w:val="382"/>
        </w:trPr>
        <w:tc>
          <w:tcPr>
            <w:tcW w:w="1643" w:type="pct"/>
            <w:tcBorders>
              <w:top w:val="single" w:sz="4" w:space="0" w:color="53565A" w:themeColor="accent5"/>
              <w:bottom w:val="single" w:sz="4" w:space="0" w:color="53565A" w:themeColor="accent5"/>
            </w:tcBorders>
            <w:shd w:val="clear" w:color="auto" w:fill="auto"/>
            <w:vAlign w:val="center"/>
          </w:tcPr>
          <w:p w14:paraId="3D222E4C" w14:textId="6B903A76" w:rsidR="00FE4EA0" w:rsidRPr="005734B8" w:rsidRDefault="00FE4EA0" w:rsidP="00FE4EA0">
            <w:pPr>
              <w:pStyle w:val="ESTablebody"/>
              <w:spacing w:after="100"/>
              <w:rPr>
                <w:rFonts w:ascii="Calibri" w:hAnsi="Calibri" w:cs="Calibri"/>
                <w:sz w:val="18"/>
              </w:rPr>
            </w:pPr>
            <w:r w:rsidRPr="005734B8">
              <w:rPr>
                <w:rFonts w:ascii="Calibri" w:hAnsi="Calibri" w:cs="Calibri"/>
                <w:sz w:val="18"/>
                <w:lang w:val="en-AU"/>
              </w:rPr>
              <w:t>Contributed capital</w:t>
            </w:r>
          </w:p>
        </w:tc>
        <w:tc>
          <w:tcPr>
            <w:tcW w:w="387" w:type="pct"/>
            <w:tcBorders>
              <w:top w:val="single" w:sz="4" w:space="0" w:color="53565A" w:themeColor="accent5"/>
              <w:bottom w:val="single" w:sz="4" w:space="0" w:color="53565A" w:themeColor="accent5"/>
            </w:tcBorders>
            <w:shd w:val="clear" w:color="auto" w:fill="auto"/>
          </w:tcPr>
          <w:p w14:paraId="6356EA28" w14:textId="00087320"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m</w:t>
            </w:r>
          </w:p>
        </w:tc>
        <w:tc>
          <w:tcPr>
            <w:tcW w:w="684" w:type="pct"/>
            <w:tcBorders>
              <w:top w:val="single" w:sz="4" w:space="0" w:color="53565A" w:themeColor="accent5"/>
              <w:bottom w:val="single" w:sz="4" w:space="0" w:color="53565A" w:themeColor="accent5"/>
            </w:tcBorders>
            <w:shd w:val="clear" w:color="auto" w:fill="D9D9D6" w:themeFill="accent6"/>
          </w:tcPr>
          <w:p w14:paraId="1861E47D" w14:textId="5F353D68"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11,688.0 </w:t>
            </w:r>
          </w:p>
        </w:tc>
        <w:tc>
          <w:tcPr>
            <w:tcW w:w="777" w:type="pct"/>
            <w:tcBorders>
              <w:top w:val="single" w:sz="4" w:space="0" w:color="53565A" w:themeColor="accent5"/>
              <w:bottom w:val="single" w:sz="4" w:space="0" w:color="53565A" w:themeColor="accent5"/>
            </w:tcBorders>
          </w:tcPr>
          <w:p w14:paraId="7E874EB9" w14:textId="1881B420"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 xml:space="preserve"> 12,072.4 </w:t>
            </w:r>
          </w:p>
        </w:tc>
        <w:tc>
          <w:tcPr>
            <w:tcW w:w="726" w:type="pct"/>
            <w:tcBorders>
              <w:top w:val="single" w:sz="4" w:space="0" w:color="53565A" w:themeColor="accent5"/>
              <w:bottom w:val="single" w:sz="4" w:space="0" w:color="53565A" w:themeColor="accent5"/>
            </w:tcBorders>
          </w:tcPr>
          <w:p w14:paraId="27E3FBB4" w14:textId="42E7DB9C"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(3)</w:t>
            </w:r>
          </w:p>
        </w:tc>
        <w:tc>
          <w:tcPr>
            <w:tcW w:w="783" w:type="pct"/>
            <w:tcBorders>
              <w:top w:val="single" w:sz="4" w:space="0" w:color="53565A" w:themeColor="accent5"/>
              <w:bottom w:val="single" w:sz="4" w:space="0" w:color="53565A" w:themeColor="accent5"/>
            </w:tcBorders>
          </w:tcPr>
          <w:p w14:paraId="703C02D4" w14:textId="53E0BB0D" w:rsidR="00FE4EA0" w:rsidRPr="005734B8" w:rsidRDefault="00FE4EA0" w:rsidP="00FE4EA0">
            <w:pPr>
              <w:pStyle w:val="ESTablenumberrightaligned"/>
              <w:spacing w:after="100"/>
              <w:rPr>
                <w:rFonts w:ascii="Calibri" w:hAnsi="Calibri" w:cs="Calibri"/>
                <w:sz w:val="18"/>
              </w:rPr>
            </w:pPr>
            <w:r w:rsidRPr="005734B8">
              <w:rPr>
                <w:rFonts w:ascii="Calibri" w:hAnsi="Calibri" w:cs="Calibri"/>
                <w:sz w:val="18"/>
              </w:rPr>
              <w:t>(384.4)</w:t>
            </w:r>
          </w:p>
        </w:tc>
      </w:tr>
      <w:tr w:rsidR="00FE4EA0" w:rsidRPr="005734B8" w14:paraId="06E1F2BB" w14:textId="77777777" w:rsidTr="00FE4EA0">
        <w:trPr>
          <w:cantSplit/>
          <w:trHeight w:val="382"/>
        </w:trPr>
        <w:tc>
          <w:tcPr>
            <w:tcW w:w="1643" w:type="pct"/>
            <w:tcBorders>
              <w:top w:val="single" w:sz="18" w:space="0" w:color="53565A" w:themeColor="accent5"/>
              <w:bottom w:val="single" w:sz="18" w:space="0" w:color="53565A" w:themeColor="accent5"/>
            </w:tcBorders>
            <w:shd w:val="clear" w:color="auto" w:fill="auto"/>
          </w:tcPr>
          <w:p w14:paraId="4C04FAFB" w14:textId="47A2C0AF" w:rsidR="00FE4EA0" w:rsidRPr="005734B8" w:rsidRDefault="00FE4EA0" w:rsidP="00FE4EA0">
            <w:pPr>
              <w:pStyle w:val="ESTablebody"/>
              <w:spacing w:after="100"/>
              <w:rPr>
                <w:rFonts w:ascii="Calibri" w:hAnsi="Calibri" w:cs="Calibri"/>
                <w:b/>
                <w:sz w:val="18"/>
              </w:rPr>
            </w:pPr>
            <w:r w:rsidRPr="005734B8">
              <w:rPr>
                <w:rFonts w:ascii="Calibri" w:hAnsi="Calibri" w:cs="Calibri"/>
                <w:b/>
                <w:sz w:val="18"/>
              </w:rPr>
              <w:t>Total equity</w:t>
            </w:r>
          </w:p>
        </w:tc>
        <w:tc>
          <w:tcPr>
            <w:tcW w:w="387" w:type="pct"/>
            <w:tcBorders>
              <w:top w:val="single" w:sz="18" w:space="0" w:color="53565A" w:themeColor="accent5"/>
              <w:bottom w:val="single" w:sz="18" w:space="0" w:color="53565A" w:themeColor="accent5"/>
            </w:tcBorders>
            <w:shd w:val="clear" w:color="auto" w:fill="auto"/>
            <w:vAlign w:val="center"/>
          </w:tcPr>
          <w:p w14:paraId="761D5276" w14:textId="77777777" w:rsidR="00FE4EA0" w:rsidRPr="005734B8" w:rsidRDefault="00FE4EA0" w:rsidP="00FE4EA0">
            <w:pPr>
              <w:pStyle w:val="ESTablenumberrightaligned"/>
              <w:spacing w:after="100"/>
              <w:rPr>
                <w:rFonts w:ascii="Calibri" w:hAnsi="Calibri" w:cs="Calibri"/>
                <w:b/>
                <w:sz w:val="18"/>
              </w:rPr>
            </w:pPr>
          </w:p>
        </w:tc>
        <w:tc>
          <w:tcPr>
            <w:tcW w:w="684" w:type="pct"/>
            <w:tcBorders>
              <w:top w:val="single" w:sz="18" w:space="0" w:color="53565A" w:themeColor="accent5"/>
              <w:bottom w:val="single" w:sz="18" w:space="0" w:color="53565A" w:themeColor="accent5"/>
            </w:tcBorders>
            <w:shd w:val="clear" w:color="auto" w:fill="D9D9D6" w:themeFill="accent6"/>
          </w:tcPr>
          <w:p w14:paraId="5DF16C8E" w14:textId="6F74B138"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b/>
                <w:bCs/>
                <w:sz w:val="18"/>
              </w:rPr>
              <w:t xml:space="preserve"> 33,253.5 </w:t>
            </w:r>
          </w:p>
        </w:tc>
        <w:tc>
          <w:tcPr>
            <w:tcW w:w="777" w:type="pct"/>
            <w:tcBorders>
              <w:top w:val="single" w:sz="18" w:space="0" w:color="53565A" w:themeColor="accent5"/>
              <w:bottom w:val="single" w:sz="18" w:space="0" w:color="53565A" w:themeColor="accent5"/>
            </w:tcBorders>
          </w:tcPr>
          <w:p w14:paraId="11DE6ED0" w14:textId="6ABFA6D4"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b/>
                <w:bCs/>
                <w:sz w:val="18"/>
              </w:rPr>
              <w:t xml:space="preserve"> 30,515.7 </w:t>
            </w:r>
          </w:p>
        </w:tc>
        <w:tc>
          <w:tcPr>
            <w:tcW w:w="726" w:type="pct"/>
            <w:tcBorders>
              <w:top w:val="single" w:sz="18" w:space="0" w:color="53565A" w:themeColor="accent5"/>
              <w:bottom w:val="single" w:sz="18" w:space="0" w:color="53565A" w:themeColor="accent5"/>
            </w:tcBorders>
          </w:tcPr>
          <w:p w14:paraId="1D4DD245" w14:textId="55700C06"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b/>
                <w:bCs/>
                <w:sz w:val="18"/>
              </w:rPr>
              <w:t>9</w:t>
            </w:r>
          </w:p>
        </w:tc>
        <w:tc>
          <w:tcPr>
            <w:tcW w:w="783" w:type="pct"/>
            <w:tcBorders>
              <w:top w:val="single" w:sz="18" w:space="0" w:color="53565A" w:themeColor="accent5"/>
              <w:bottom w:val="single" w:sz="18" w:space="0" w:color="53565A" w:themeColor="accent5"/>
            </w:tcBorders>
          </w:tcPr>
          <w:p w14:paraId="4D885717" w14:textId="468A296E" w:rsidR="00FE4EA0" w:rsidRPr="005734B8" w:rsidRDefault="00FE4EA0" w:rsidP="00FE4EA0">
            <w:pPr>
              <w:pStyle w:val="ESTablenumberrightaligned"/>
              <w:spacing w:after="100"/>
              <w:rPr>
                <w:rFonts w:ascii="Calibri" w:hAnsi="Calibri" w:cs="Calibri"/>
                <w:b/>
                <w:sz w:val="18"/>
              </w:rPr>
            </w:pPr>
            <w:r w:rsidRPr="005734B8">
              <w:rPr>
                <w:rFonts w:ascii="Calibri" w:hAnsi="Calibri" w:cs="Calibri"/>
                <w:b/>
                <w:bCs/>
                <w:sz w:val="18"/>
              </w:rPr>
              <w:t>2,737.8</w:t>
            </w:r>
          </w:p>
        </w:tc>
      </w:tr>
    </w:tbl>
    <w:p w14:paraId="031FBA1B" w14:textId="77777777" w:rsidR="00ED74EC" w:rsidRPr="005734B8" w:rsidRDefault="00ED74EC" w:rsidP="00022614">
      <w:pPr>
        <w:ind w:left="851" w:hanging="851"/>
        <w:rPr>
          <w:rFonts w:ascii="Calibri" w:hAnsi="Calibri" w:cs="Calibri"/>
          <w:highlight w:val="yellow"/>
        </w:rPr>
      </w:pPr>
    </w:p>
    <w:p w14:paraId="4F69838A" w14:textId="5AE20BB9" w:rsidR="00874427" w:rsidRPr="005734B8" w:rsidRDefault="00874427" w:rsidP="00022614">
      <w:pPr>
        <w:ind w:left="851" w:hanging="851"/>
        <w:rPr>
          <w:rFonts w:ascii="Calibri" w:hAnsi="Calibri" w:cs="Calibri"/>
        </w:rPr>
      </w:pPr>
      <w:r w:rsidRPr="005734B8">
        <w:rPr>
          <w:rFonts w:ascii="Calibri" w:hAnsi="Calibri" w:cs="Calibri"/>
        </w:rPr>
        <w:t>Notes:</w:t>
      </w:r>
    </w:p>
    <w:p w14:paraId="24DEED8F" w14:textId="2AA7A32D" w:rsidR="00FE4EA0" w:rsidRPr="005734B8" w:rsidRDefault="00FE4EA0" w:rsidP="00670895">
      <w:pPr>
        <w:pStyle w:val="ListParagraph"/>
        <w:numPr>
          <w:ilvl w:val="0"/>
          <w:numId w:val="83"/>
        </w:numPr>
        <w:rPr>
          <w:rFonts w:ascii="Calibri" w:hAnsi="Calibri" w:cs="Calibri"/>
        </w:rPr>
      </w:pPr>
      <w:r w:rsidRPr="005734B8">
        <w:rPr>
          <w:rFonts w:ascii="Calibri" w:hAnsi="Calibri" w:cs="Calibri"/>
        </w:rPr>
        <w:t>The variance above the published budget mainly reflects:</w:t>
      </w:r>
    </w:p>
    <w:p w14:paraId="174C53E7" w14:textId="76B2CAC4" w:rsidR="00FE4EA0" w:rsidRPr="005734B8" w:rsidRDefault="00FE4EA0" w:rsidP="00FE4EA0">
      <w:pPr>
        <w:pStyle w:val="ListParagraph"/>
        <w:numPr>
          <w:ilvl w:val="0"/>
          <w:numId w:val="5"/>
        </w:numPr>
        <w:rPr>
          <w:rFonts w:ascii="Calibri" w:hAnsi="Calibri" w:cs="Calibri"/>
        </w:rPr>
      </w:pPr>
      <w:r w:rsidRPr="005734B8">
        <w:rPr>
          <w:rFonts w:ascii="Calibri" w:hAnsi="Calibri" w:cs="Calibri"/>
        </w:rPr>
        <w:t>schools</w:t>
      </w:r>
      <w:r w:rsidR="00B15F9A" w:rsidRPr="005734B8">
        <w:rPr>
          <w:rFonts w:ascii="Calibri" w:hAnsi="Calibri" w:cs="Calibri"/>
        </w:rPr>
        <w:t>’</w:t>
      </w:r>
      <w:r w:rsidRPr="005734B8">
        <w:rPr>
          <w:rFonts w:ascii="Calibri" w:hAnsi="Calibri" w:cs="Calibri"/>
        </w:rPr>
        <w:t xml:space="preserve"> cash and deposits which are higher than budget due to remote learning conditions, leading to lower operational costs as well as timing of payables balances. An increase in school payables means reduced cash outflows, and subsequently higher than budgeted cash balances</w:t>
      </w:r>
    </w:p>
    <w:p w14:paraId="663B8D4C" w14:textId="3C76B07F" w:rsidR="00FE4EA0" w:rsidRPr="005734B8" w:rsidRDefault="00FE4EA0" w:rsidP="00FE4EA0">
      <w:pPr>
        <w:pStyle w:val="ListParagraph"/>
        <w:numPr>
          <w:ilvl w:val="0"/>
          <w:numId w:val="5"/>
        </w:numPr>
        <w:rPr>
          <w:rFonts w:ascii="Calibri" w:hAnsi="Calibri" w:cs="Calibri"/>
        </w:rPr>
      </w:pPr>
      <w:r w:rsidRPr="005734B8">
        <w:rPr>
          <w:rFonts w:ascii="Calibri" w:hAnsi="Calibri" w:cs="Calibri"/>
        </w:rPr>
        <w:t>TAFEs</w:t>
      </w:r>
      <w:r w:rsidR="00B15F9A" w:rsidRPr="005734B8">
        <w:rPr>
          <w:rFonts w:ascii="Calibri" w:hAnsi="Calibri" w:cs="Calibri"/>
        </w:rPr>
        <w:t>’</w:t>
      </w:r>
      <w:r w:rsidRPr="005734B8">
        <w:rPr>
          <w:rFonts w:ascii="Calibri" w:hAnsi="Calibri" w:cs="Calibri"/>
        </w:rPr>
        <w:t xml:space="preserve"> cash and deposits which are higher than budget mainly due to timing of capital purchases of non-financial assets and timing of payments during the COVID-19 pandemic.</w:t>
      </w:r>
    </w:p>
    <w:p w14:paraId="590ED016" w14:textId="45654889" w:rsidR="00FE4EA0" w:rsidRPr="005734B8" w:rsidRDefault="00FE4EA0" w:rsidP="00670895">
      <w:pPr>
        <w:pStyle w:val="ListParagraph"/>
        <w:numPr>
          <w:ilvl w:val="0"/>
          <w:numId w:val="83"/>
        </w:numPr>
        <w:rPr>
          <w:rFonts w:ascii="Calibri" w:hAnsi="Calibri" w:cs="Calibri"/>
        </w:rPr>
      </w:pPr>
      <w:r w:rsidRPr="005734B8">
        <w:rPr>
          <w:rFonts w:ascii="Calibri" w:hAnsi="Calibri" w:cs="Calibri"/>
        </w:rPr>
        <w:t xml:space="preserve">The variance above the published budget is mainly due to the timing of the drawdown in the </w:t>
      </w:r>
      <w:r w:rsidR="006404A1" w:rsidRPr="005734B8">
        <w:rPr>
          <w:rFonts w:ascii="Calibri" w:hAnsi="Calibri" w:cs="Calibri"/>
        </w:rPr>
        <w:t>State Administration Unit</w:t>
      </w:r>
      <w:r w:rsidRPr="005734B8">
        <w:rPr>
          <w:rFonts w:ascii="Calibri" w:hAnsi="Calibri" w:cs="Calibri"/>
        </w:rPr>
        <w:t xml:space="preserve">. The </w:t>
      </w:r>
      <w:r w:rsidR="006404A1" w:rsidRPr="005734B8">
        <w:rPr>
          <w:rFonts w:ascii="Calibri" w:hAnsi="Calibri" w:cs="Calibri"/>
        </w:rPr>
        <w:t>State Administration Unit</w:t>
      </w:r>
      <w:r w:rsidRPr="005734B8">
        <w:rPr>
          <w:rFonts w:ascii="Calibri" w:hAnsi="Calibri" w:cs="Calibri"/>
        </w:rPr>
        <w:t xml:space="preserve"> balance is impacted by the movements in Prepayments and Other Financial Assets, Payables, Employee Benefits and Other Provisions.</w:t>
      </w:r>
    </w:p>
    <w:p w14:paraId="7D810CAB" w14:textId="392845E9" w:rsidR="00FE4EA0" w:rsidRPr="005734B8" w:rsidRDefault="00FE4EA0" w:rsidP="00670895">
      <w:pPr>
        <w:pStyle w:val="ListParagraph"/>
        <w:numPr>
          <w:ilvl w:val="0"/>
          <w:numId w:val="83"/>
        </w:numPr>
        <w:rPr>
          <w:rFonts w:ascii="Calibri" w:hAnsi="Calibri" w:cs="Calibri"/>
        </w:rPr>
      </w:pPr>
      <w:r w:rsidRPr="005734B8">
        <w:rPr>
          <w:rFonts w:ascii="Calibri" w:hAnsi="Calibri" w:cs="Calibri"/>
        </w:rPr>
        <w:t xml:space="preserve">The variance above the published budget mainly reflects: </w:t>
      </w:r>
    </w:p>
    <w:p w14:paraId="63467F9A" w14:textId="599C88B5" w:rsidR="00CC752D" w:rsidRPr="005734B8" w:rsidRDefault="00FE4EA0" w:rsidP="00CC752D">
      <w:pPr>
        <w:pStyle w:val="ListParagraph"/>
        <w:numPr>
          <w:ilvl w:val="0"/>
          <w:numId w:val="5"/>
        </w:numPr>
        <w:rPr>
          <w:rFonts w:ascii="Calibri" w:hAnsi="Calibri" w:cs="Calibri"/>
        </w:rPr>
      </w:pPr>
      <w:r w:rsidRPr="005734B8">
        <w:rPr>
          <w:rFonts w:ascii="Calibri" w:hAnsi="Calibri" w:cs="Calibri"/>
        </w:rPr>
        <w:t>the timing of receipts from corporate debtors of overseas students</w:t>
      </w:r>
      <w:r w:rsidR="006404A1" w:rsidRPr="005734B8">
        <w:rPr>
          <w:rFonts w:ascii="Calibri" w:hAnsi="Calibri" w:cs="Calibri"/>
        </w:rPr>
        <w:t>,</w:t>
      </w:r>
      <w:r w:rsidRPr="005734B8">
        <w:rPr>
          <w:rFonts w:ascii="Calibri" w:hAnsi="Calibri" w:cs="Calibri"/>
        </w:rPr>
        <w:t xml:space="preserve"> and expenditure reimbursement for Quarantine Accommodation Projects from the </w:t>
      </w:r>
      <w:r w:rsidR="00F953A0" w:rsidRPr="005734B8">
        <w:rPr>
          <w:rFonts w:ascii="Calibri" w:hAnsi="Calibri" w:cs="Calibri"/>
        </w:rPr>
        <w:t>DPC</w:t>
      </w:r>
    </w:p>
    <w:p w14:paraId="6283ED2D" w14:textId="4F6BCDAB" w:rsidR="00CC752D" w:rsidRPr="005734B8" w:rsidRDefault="00FE4EA0" w:rsidP="00CC752D">
      <w:pPr>
        <w:pStyle w:val="ListParagraph"/>
        <w:numPr>
          <w:ilvl w:val="0"/>
          <w:numId w:val="5"/>
        </w:numPr>
        <w:rPr>
          <w:rFonts w:ascii="Calibri" w:hAnsi="Calibri" w:cs="Calibri"/>
        </w:rPr>
      </w:pPr>
      <w:r w:rsidRPr="005734B8">
        <w:rPr>
          <w:rFonts w:ascii="Calibri" w:hAnsi="Calibri" w:cs="Calibri"/>
        </w:rPr>
        <w:t>TAFEs debtors for student fees and services provided to third</w:t>
      </w:r>
      <w:r w:rsidR="006404A1" w:rsidRPr="005734B8">
        <w:rPr>
          <w:rFonts w:ascii="Calibri" w:hAnsi="Calibri" w:cs="Calibri"/>
        </w:rPr>
        <w:noBreakHyphen/>
      </w:r>
      <w:r w:rsidRPr="005734B8">
        <w:rPr>
          <w:rFonts w:ascii="Calibri" w:hAnsi="Calibri" w:cs="Calibri"/>
        </w:rPr>
        <w:t>party organisation</w:t>
      </w:r>
      <w:r w:rsidR="00CC752D" w:rsidRPr="005734B8">
        <w:rPr>
          <w:rFonts w:ascii="Calibri" w:hAnsi="Calibri" w:cs="Calibri"/>
        </w:rPr>
        <w:t>s</w:t>
      </w:r>
      <w:r w:rsidRPr="005734B8">
        <w:rPr>
          <w:rFonts w:ascii="Calibri" w:hAnsi="Calibri" w:cs="Calibri"/>
        </w:rPr>
        <w:t>.</w:t>
      </w:r>
    </w:p>
    <w:p w14:paraId="0FF06148" w14:textId="05D8A022" w:rsidR="00FE4EA0" w:rsidRPr="005734B8" w:rsidRDefault="00FE4EA0" w:rsidP="00670895">
      <w:pPr>
        <w:pStyle w:val="ListParagraph"/>
        <w:numPr>
          <w:ilvl w:val="0"/>
          <w:numId w:val="83"/>
        </w:numPr>
        <w:rPr>
          <w:rFonts w:ascii="Calibri" w:hAnsi="Calibri" w:cs="Calibri"/>
        </w:rPr>
      </w:pPr>
      <w:r w:rsidRPr="005734B8">
        <w:rPr>
          <w:rFonts w:ascii="Calibri" w:hAnsi="Calibri" w:cs="Calibri"/>
        </w:rPr>
        <w:t xml:space="preserve">The variance above the published budget mainly reflects lower than anticipated levels of prepaid operating expenditures. </w:t>
      </w:r>
      <w:r w:rsidRPr="005734B8">
        <w:rPr>
          <w:rFonts w:ascii="Calibri" w:hAnsi="Calibri" w:cs="Calibri"/>
        </w:rPr>
        <w:tab/>
      </w:r>
      <w:r w:rsidRPr="005734B8">
        <w:rPr>
          <w:rFonts w:ascii="Calibri" w:hAnsi="Calibri" w:cs="Calibri"/>
        </w:rPr>
        <w:tab/>
      </w:r>
    </w:p>
    <w:p w14:paraId="13D0AF3F" w14:textId="064915C7" w:rsidR="00FE4EA0" w:rsidRPr="005734B8" w:rsidRDefault="00FE4EA0" w:rsidP="00670895">
      <w:pPr>
        <w:pStyle w:val="ListParagraph"/>
        <w:numPr>
          <w:ilvl w:val="0"/>
          <w:numId w:val="83"/>
        </w:numPr>
        <w:rPr>
          <w:rFonts w:ascii="Calibri" w:hAnsi="Calibri" w:cs="Calibri"/>
        </w:rPr>
      </w:pPr>
      <w:r w:rsidRPr="005734B8">
        <w:rPr>
          <w:rFonts w:ascii="Calibri" w:hAnsi="Calibri" w:cs="Calibri"/>
        </w:rPr>
        <w:t>The variance below the published budget mainly reflects lower levels of inventory held for distribution in the ordinary course of TAFEs</w:t>
      </w:r>
      <w:r w:rsidR="00B15F9A" w:rsidRPr="005734B8">
        <w:rPr>
          <w:rFonts w:ascii="Calibri" w:hAnsi="Calibri" w:cs="Calibri"/>
        </w:rPr>
        <w:t>’</w:t>
      </w:r>
      <w:r w:rsidRPr="005734B8">
        <w:rPr>
          <w:rFonts w:ascii="Calibri" w:hAnsi="Calibri" w:cs="Calibri"/>
        </w:rPr>
        <w:t xml:space="preserve"> business operations. </w:t>
      </w:r>
      <w:r w:rsidRPr="005734B8">
        <w:rPr>
          <w:rFonts w:ascii="Calibri" w:hAnsi="Calibri" w:cs="Calibri"/>
        </w:rPr>
        <w:tab/>
      </w:r>
    </w:p>
    <w:p w14:paraId="47DFBE2E" w14:textId="145A38AB" w:rsidR="00FE4EA0" w:rsidRPr="005734B8" w:rsidRDefault="00FE4EA0" w:rsidP="00670895">
      <w:pPr>
        <w:pStyle w:val="ListParagraph"/>
        <w:numPr>
          <w:ilvl w:val="0"/>
          <w:numId w:val="83"/>
        </w:numPr>
        <w:rPr>
          <w:rFonts w:ascii="Calibri" w:hAnsi="Calibri" w:cs="Calibri"/>
        </w:rPr>
      </w:pPr>
      <w:r w:rsidRPr="005734B8">
        <w:rPr>
          <w:rFonts w:ascii="Calibri" w:hAnsi="Calibri" w:cs="Calibri"/>
        </w:rPr>
        <w:t>The variance below the published budget mainly reflects lower than anticipated TAFEs assets and departmental land held for sale.</w:t>
      </w:r>
      <w:r w:rsidRPr="005734B8">
        <w:rPr>
          <w:rFonts w:ascii="Calibri" w:hAnsi="Calibri" w:cs="Calibri"/>
        </w:rPr>
        <w:tab/>
      </w:r>
      <w:r w:rsidRPr="005734B8">
        <w:rPr>
          <w:rFonts w:ascii="Calibri" w:hAnsi="Calibri" w:cs="Calibri"/>
        </w:rPr>
        <w:tab/>
      </w:r>
      <w:r w:rsidRPr="005734B8">
        <w:rPr>
          <w:rFonts w:ascii="Calibri" w:hAnsi="Calibri" w:cs="Calibri"/>
        </w:rPr>
        <w:tab/>
      </w:r>
    </w:p>
    <w:p w14:paraId="6D8FD0B0" w14:textId="1E294E33" w:rsidR="00FE4EA0" w:rsidRPr="005734B8" w:rsidRDefault="00FE4EA0" w:rsidP="00670895">
      <w:pPr>
        <w:pStyle w:val="ListParagraph"/>
        <w:numPr>
          <w:ilvl w:val="0"/>
          <w:numId w:val="83"/>
        </w:numPr>
        <w:rPr>
          <w:rFonts w:ascii="Calibri" w:hAnsi="Calibri" w:cs="Calibri"/>
        </w:rPr>
      </w:pPr>
      <w:r w:rsidRPr="005734B8">
        <w:rPr>
          <w:rFonts w:ascii="Calibri" w:hAnsi="Calibri" w:cs="Calibri"/>
        </w:rPr>
        <w:t>The variance above the published budget mainly reflects an upward land revaluation of 25</w:t>
      </w:r>
      <w:r w:rsidR="00CC752D" w:rsidRPr="005734B8">
        <w:rPr>
          <w:rFonts w:ascii="Calibri" w:hAnsi="Calibri" w:cs="Calibri"/>
        </w:rPr>
        <w:t> </w:t>
      </w:r>
      <w:r w:rsidRPr="005734B8">
        <w:rPr>
          <w:rFonts w:ascii="Calibri" w:hAnsi="Calibri" w:cs="Calibri"/>
        </w:rPr>
        <w:t>per cent for the 2020</w:t>
      </w:r>
      <w:r w:rsidR="00382813" w:rsidRPr="005734B8">
        <w:rPr>
          <w:rFonts w:ascii="Calibri" w:hAnsi="Calibri" w:cs="Calibri"/>
        </w:rPr>
        <w:t>–</w:t>
      </w:r>
      <w:r w:rsidRPr="005734B8">
        <w:rPr>
          <w:rFonts w:ascii="Calibri" w:hAnsi="Calibri" w:cs="Calibri"/>
        </w:rPr>
        <w:t>21 managerial revaluation of land assets under Financial Reporting Direction 103I.</w:t>
      </w:r>
      <w:r w:rsidRPr="005734B8">
        <w:rPr>
          <w:rFonts w:ascii="Calibri" w:hAnsi="Calibri" w:cs="Calibri"/>
        </w:rPr>
        <w:tab/>
      </w:r>
      <w:r w:rsidRPr="005734B8">
        <w:rPr>
          <w:rFonts w:ascii="Calibri" w:hAnsi="Calibri" w:cs="Calibri"/>
        </w:rPr>
        <w:tab/>
      </w:r>
      <w:r w:rsidRPr="005734B8">
        <w:rPr>
          <w:rFonts w:ascii="Calibri" w:hAnsi="Calibri" w:cs="Calibri"/>
        </w:rPr>
        <w:tab/>
      </w:r>
      <w:r w:rsidRPr="005734B8">
        <w:rPr>
          <w:rFonts w:ascii="Calibri" w:hAnsi="Calibri" w:cs="Calibri"/>
        </w:rPr>
        <w:tab/>
      </w:r>
      <w:r w:rsidRPr="005734B8">
        <w:rPr>
          <w:rFonts w:ascii="Calibri" w:hAnsi="Calibri" w:cs="Calibri"/>
        </w:rPr>
        <w:tab/>
      </w:r>
    </w:p>
    <w:p w14:paraId="4145D1F2" w14:textId="0D60197B" w:rsidR="00FE4EA0" w:rsidRPr="005734B8" w:rsidRDefault="00FE4EA0" w:rsidP="00670895">
      <w:pPr>
        <w:pStyle w:val="ListParagraph"/>
        <w:numPr>
          <w:ilvl w:val="0"/>
          <w:numId w:val="83"/>
        </w:numPr>
        <w:rPr>
          <w:rFonts w:ascii="Calibri" w:hAnsi="Calibri" w:cs="Calibri"/>
        </w:rPr>
      </w:pPr>
      <w:r w:rsidRPr="005734B8">
        <w:rPr>
          <w:rFonts w:ascii="Calibri" w:hAnsi="Calibri" w:cs="Calibri"/>
        </w:rPr>
        <w:t xml:space="preserve">The variance below the published budget mainly reflects the depreciation of software by the Department and TAFEs. </w:t>
      </w:r>
      <w:r w:rsidRPr="005734B8">
        <w:rPr>
          <w:rFonts w:ascii="Calibri" w:hAnsi="Calibri" w:cs="Calibri"/>
        </w:rPr>
        <w:tab/>
      </w:r>
      <w:r w:rsidRPr="005734B8">
        <w:rPr>
          <w:rFonts w:ascii="Calibri" w:hAnsi="Calibri" w:cs="Calibri"/>
        </w:rPr>
        <w:tab/>
      </w:r>
      <w:r w:rsidRPr="005734B8">
        <w:rPr>
          <w:rFonts w:ascii="Calibri" w:hAnsi="Calibri" w:cs="Calibri"/>
        </w:rPr>
        <w:tab/>
      </w:r>
      <w:r w:rsidRPr="005734B8">
        <w:rPr>
          <w:rFonts w:ascii="Calibri" w:hAnsi="Calibri" w:cs="Calibri"/>
        </w:rPr>
        <w:tab/>
      </w:r>
      <w:r w:rsidRPr="005734B8">
        <w:rPr>
          <w:rFonts w:ascii="Calibri" w:hAnsi="Calibri" w:cs="Calibri"/>
        </w:rPr>
        <w:tab/>
      </w:r>
    </w:p>
    <w:p w14:paraId="2E93FADF" w14:textId="65AF4067" w:rsidR="00FE4EA0" w:rsidRPr="005734B8" w:rsidRDefault="00FE4EA0" w:rsidP="00670895">
      <w:pPr>
        <w:pStyle w:val="ListParagraph"/>
        <w:numPr>
          <w:ilvl w:val="0"/>
          <w:numId w:val="83"/>
        </w:numPr>
        <w:rPr>
          <w:rFonts w:ascii="Calibri" w:hAnsi="Calibri" w:cs="Calibri"/>
        </w:rPr>
      </w:pPr>
      <w:r w:rsidRPr="005734B8">
        <w:rPr>
          <w:rFonts w:ascii="Calibri" w:hAnsi="Calibri" w:cs="Calibri"/>
        </w:rPr>
        <w:t xml:space="preserve">The variance above the published budget mainly reflects higher than anticipated levels of biological assets held by TAFEs. </w:t>
      </w:r>
      <w:r w:rsidRPr="005734B8">
        <w:rPr>
          <w:rFonts w:ascii="Calibri" w:hAnsi="Calibri" w:cs="Calibri"/>
        </w:rPr>
        <w:tab/>
      </w:r>
      <w:r w:rsidRPr="005734B8">
        <w:rPr>
          <w:rFonts w:ascii="Calibri" w:hAnsi="Calibri" w:cs="Calibri"/>
        </w:rPr>
        <w:tab/>
      </w:r>
      <w:r w:rsidRPr="005734B8">
        <w:rPr>
          <w:rFonts w:ascii="Calibri" w:hAnsi="Calibri" w:cs="Calibri"/>
        </w:rPr>
        <w:tab/>
      </w:r>
      <w:r w:rsidRPr="005734B8">
        <w:rPr>
          <w:rFonts w:ascii="Calibri" w:hAnsi="Calibri" w:cs="Calibri"/>
        </w:rPr>
        <w:tab/>
      </w:r>
      <w:r w:rsidRPr="005734B8">
        <w:rPr>
          <w:rFonts w:ascii="Calibri" w:hAnsi="Calibri" w:cs="Calibri"/>
        </w:rPr>
        <w:tab/>
      </w:r>
    </w:p>
    <w:p w14:paraId="7E0BFB33" w14:textId="0792C7A1" w:rsidR="00FE4EA0" w:rsidRPr="005734B8" w:rsidRDefault="00FE4EA0" w:rsidP="00670895">
      <w:pPr>
        <w:pStyle w:val="ListParagraph"/>
        <w:numPr>
          <w:ilvl w:val="0"/>
          <w:numId w:val="83"/>
        </w:numPr>
        <w:rPr>
          <w:rFonts w:ascii="Calibri" w:hAnsi="Calibri" w:cs="Calibri"/>
        </w:rPr>
      </w:pPr>
      <w:r w:rsidRPr="005734B8">
        <w:rPr>
          <w:rFonts w:ascii="Calibri" w:hAnsi="Calibri" w:cs="Calibri"/>
        </w:rPr>
        <w:t xml:space="preserve">The variance below the published budget is mainly due to lower accruals/payables due to the introduction of Fair Payments Policy, which shortened the invoice credit payment terms from 30 days to 10 days from 1 January 2021 where the value of goods and services </w:t>
      </w:r>
      <w:r w:rsidR="006404A1" w:rsidRPr="005734B8">
        <w:rPr>
          <w:rFonts w:ascii="Calibri" w:hAnsi="Calibri" w:cs="Calibri"/>
        </w:rPr>
        <w:t>is</w:t>
      </w:r>
      <w:r w:rsidRPr="005734B8">
        <w:rPr>
          <w:rFonts w:ascii="Calibri" w:hAnsi="Calibri" w:cs="Calibri"/>
        </w:rPr>
        <w:t xml:space="preserve"> under $3 million.</w:t>
      </w:r>
    </w:p>
    <w:p w14:paraId="2CB0CA97" w14:textId="2D855ADD" w:rsidR="00FE4EA0" w:rsidRPr="005734B8" w:rsidRDefault="00FE4EA0" w:rsidP="00670895">
      <w:pPr>
        <w:pStyle w:val="ListParagraph"/>
        <w:numPr>
          <w:ilvl w:val="0"/>
          <w:numId w:val="83"/>
        </w:numPr>
        <w:rPr>
          <w:rFonts w:ascii="Calibri" w:hAnsi="Calibri" w:cs="Calibri"/>
        </w:rPr>
      </w:pPr>
      <w:r w:rsidRPr="005734B8">
        <w:rPr>
          <w:rFonts w:ascii="Calibri" w:hAnsi="Calibri" w:cs="Calibri"/>
        </w:rPr>
        <w:t xml:space="preserve">The variance above the published budget reflects the accumulated net results of operating balances and other economic flows. </w:t>
      </w:r>
      <w:r w:rsidRPr="005734B8">
        <w:rPr>
          <w:rFonts w:ascii="Calibri" w:hAnsi="Calibri" w:cs="Calibri"/>
        </w:rPr>
        <w:tab/>
      </w:r>
      <w:r w:rsidRPr="005734B8">
        <w:rPr>
          <w:rFonts w:ascii="Calibri" w:hAnsi="Calibri" w:cs="Calibri"/>
        </w:rPr>
        <w:tab/>
      </w:r>
      <w:r w:rsidRPr="005734B8">
        <w:rPr>
          <w:rFonts w:ascii="Calibri" w:hAnsi="Calibri" w:cs="Calibri"/>
        </w:rPr>
        <w:tab/>
      </w:r>
      <w:r w:rsidRPr="005734B8">
        <w:rPr>
          <w:rFonts w:ascii="Calibri" w:hAnsi="Calibri" w:cs="Calibri"/>
        </w:rPr>
        <w:tab/>
      </w:r>
      <w:r w:rsidRPr="005734B8">
        <w:rPr>
          <w:rFonts w:ascii="Calibri" w:hAnsi="Calibri" w:cs="Calibri"/>
        </w:rPr>
        <w:tab/>
      </w:r>
    </w:p>
    <w:p w14:paraId="59FE2BE0" w14:textId="77777777" w:rsidR="00CC752D" w:rsidRPr="005734B8" w:rsidRDefault="00FE4EA0" w:rsidP="00670895">
      <w:pPr>
        <w:pStyle w:val="ListParagraph"/>
        <w:numPr>
          <w:ilvl w:val="0"/>
          <w:numId w:val="83"/>
        </w:numPr>
        <w:rPr>
          <w:rFonts w:ascii="Calibri" w:hAnsi="Calibri" w:cs="Calibri"/>
        </w:rPr>
      </w:pPr>
      <w:r w:rsidRPr="005734B8">
        <w:rPr>
          <w:rFonts w:ascii="Calibri" w:hAnsi="Calibri" w:cs="Calibri"/>
        </w:rPr>
        <w:t>The variance above the published budget mainly reflects an upward land revaluation of 25 per cent for the 2020</w:t>
      </w:r>
      <w:r w:rsidR="00382813" w:rsidRPr="005734B8">
        <w:rPr>
          <w:rFonts w:ascii="Calibri" w:hAnsi="Calibri" w:cs="Calibri"/>
        </w:rPr>
        <w:t>–</w:t>
      </w:r>
      <w:r w:rsidRPr="005734B8">
        <w:rPr>
          <w:rFonts w:ascii="Calibri" w:hAnsi="Calibri" w:cs="Calibri"/>
        </w:rPr>
        <w:t>21 managerial revaluation of land assets under Financial Reporting Direction 103I.</w:t>
      </w:r>
    </w:p>
    <w:p w14:paraId="150132E2" w14:textId="25011680" w:rsidR="00ED74EC" w:rsidRPr="005734B8" w:rsidRDefault="00FE4EA0" w:rsidP="00670895">
      <w:pPr>
        <w:pStyle w:val="ListParagraph"/>
        <w:numPr>
          <w:ilvl w:val="0"/>
          <w:numId w:val="83"/>
        </w:numPr>
        <w:rPr>
          <w:rFonts w:ascii="Calibri" w:hAnsi="Calibri" w:cs="Calibri"/>
        </w:rPr>
      </w:pPr>
      <w:r w:rsidRPr="005734B8">
        <w:rPr>
          <w:rFonts w:ascii="Calibri" w:hAnsi="Calibri" w:cs="Calibri"/>
        </w:rPr>
        <w:t>The variance below the published budget mainly reflects lower than budget capital appropriation claimed</w:t>
      </w:r>
      <w:r w:rsidR="006404A1" w:rsidRPr="005734B8">
        <w:rPr>
          <w:rFonts w:ascii="Calibri" w:hAnsi="Calibri" w:cs="Calibri"/>
        </w:rPr>
        <w:t>,</w:t>
      </w:r>
      <w:r w:rsidRPr="005734B8">
        <w:rPr>
          <w:rFonts w:ascii="Calibri" w:hAnsi="Calibri" w:cs="Calibri"/>
        </w:rPr>
        <w:t xml:space="preserve"> primarily due to revised implementation of capital programs into future years.</w:t>
      </w:r>
      <w:r w:rsidR="00ED74EC" w:rsidRPr="005734B8">
        <w:rPr>
          <w:rFonts w:ascii="Calibri" w:hAnsi="Calibri" w:cs="Calibri"/>
          <w:highlight w:val="yellow"/>
        </w:rPr>
        <w:br w:type="page"/>
      </w:r>
      <w:bookmarkStart w:id="2058" w:name="_Toc8899528"/>
    </w:p>
    <w:p w14:paraId="166699A6" w14:textId="00427F60" w:rsidR="00874427" w:rsidRPr="005734B8" w:rsidRDefault="00ED74EC" w:rsidP="004522E5">
      <w:pPr>
        <w:pStyle w:val="ESTableintroheading"/>
        <w:rPr>
          <w:rFonts w:ascii="Calibri" w:hAnsi="Calibri" w:cs="Calibri"/>
        </w:rPr>
      </w:pPr>
      <w:bookmarkStart w:id="2059" w:name="_Toc10724198"/>
      <w:bookmarkStart w:id="2060" w:name="_Toc10724322"/>
      <w:bookmarkStart w:id="2061" w:name="_Toc11158325"/>
      <w:bookmarkStart w:id="2062" w:name="_Toc11336511"/>
      <w:bookmarkStart w:id="2063" w:name="_Toc11336611"/>
      <w:bookmarkStart w:id="2064" w:name="_Toc13647215"/>
      <w:bookmarkStart w:id="2065" w:name="_Toc13656747"/>
      <w:bookmarkStart w:id="2066" w:name="_Toc13656909"/>
      <w:r w:rsidRPr="005734B8">
        <w:rPr>
          <w:rFonts w:ascii="Calibri" w:hAnsi="Calibri" w:cs="Calibri"/>
        </w:rPr>
        <w:lastRenderedPageBreak/>
        <w:t>Statement of cash flows for the year ended 30 June 20</w:t>
      </w:r>
      <w:r w:rsidR="000E5B02" w:rsidRPr="005734B8">
        <w:rPr>
          <w:rFonts w:ascii="Calibri" w:hAnsi="Calibri" w:cs="Calibri"/>
        </w:rPr>
        <w:t>2</w:t>
      </w:r>
      <w:bookmarkEnd w:id="2058"/>
      <w:bookmarkEnd w:id="2059"/>
      <w:bookmarkEnd w:id="2060"/>
      <w:bookmarkEnd w:id="2061"/>
      <w:bookmarkEnd w:id="2062"/>
      <w:bookmarkEnd w:id="2063"/>
      <w:bookmarkEnd w:id="2064"/>
      <w:bookmarkEnd w:id="2065"/>
      <w:bookmarkEnd w:id="2066"/>
      <w:r w:rsidR="00382813" w:rsidRPr="005734B8">
        <w:rPr>
          <w:rFonts w:ascii="Calibri" w:hAnsi="Calibri" w:cs="Calibri"/>
        </w:rPr>
        <w:t>1</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3"/>
        <w:gridCol w:w="847"/>
        <w:gridCol w:w="1782"/>
        <w:gridCol w:w="1273"/>
        <w:gridCol w:w="1168"/>
        <w:gridCol w:w="1165"/>
      </w:tblGrid>
      <w:tr w:rsidR="00ED74EC" w:rsidRPr="005734B8" w14:paraId="44CDED0D" w14:textId="7489FDE8" w:rsidTr="00843378">
        <w:trPr>
          <w:trHeight w:val="242"/>
          <w:tblHeader/>
        </w:trPr>
        <w:tc>
          <w:tcPr>
            <w:tcW w:w="1327" w:type="pct"/>
            <w:tcBorders>
              <w:top w:val="nil"/>
              <w:bottom w:val="single" w:sz="4" w:space="0" w:color="FFFFFF" w:themeColor="background1"/>
            </w:tcBorders>
            <w:shd w:val="clear" w:color="auto" w:fill="AF272F" w:themeFill="accent4"/>
          </w:tcPr>
          <w:p w14:paraId="57ACF30C" w14:textId="7F8DD34E" w:rsidR="00ED74EC" w:rsidRPr="005734B8" w:rsidRDefault="00ED74EC" w:rsidP="00ED74EC">
            <w:pPr>
              <w:pStyle w:val="ESTableheadingwhite"/>
              <w:rPr>
                <w:rFonts w:ascii="Calibri" w:hAnsi="Calibri" w:cs="Calibri"/>
                <w:sz w:val="18"/>
              </w:rPr>
            </w:pPr>
          </w:p>
        </w:tc>
        <w:tc>
          <w:tcPr>
            <w:tcW w:w="499" w:type="pct"/>
            <w:tcBorders>
              <w:top w:val="nil"/>
              <w:bottom w:val="single" w:sz="4" w:space="0" w:color="FFFFFF" w:themeColor="background1"/>
            </w:tcBorders>
            <w:shd w:val="clear" w:color="auto" w:fill="AF272F" w:themeFill="accent4"/>
          </w:tcPr>
          <w:p w14:paraId="20F4E7BB" w14:textId="52E5F197" w:rsidR="00ED74EC" w:rsidRPr="005734B8" w:rsidRDefault="00ED74EC" w:rsidP="00ED74EC">
            <w:pPr>
              <w:pStyle w:val="ESTableheadingwhite"/>
              <w:jc w:val="right"/>
              <w:rPr>
                <w:rFonts w:ascii="Calibri" w:hAnsi="Calibri" w:cs="Calibri"/>
                <w:sz w:val="18"/>
              </w:rPr>
            </w:pPr>
            <w:r w:rsidRPr="005734B8">
              <w:rPr>
                <w:rFonts w:ascii="Calibri" w:hAnsi="Calibri" w:cs="Calibri"/>
                <w:sz w:val="18"/>
              </w:rPr>
              <w:t>Notes</w:t>
            </w:r>
          </w:p>
        </w:tc>
        <w:tc>
          <w:tcPr>
            <w:tcW w:w="1050" w:type="pct"/>
            <w:tcBorders>
              <w:top w:val="nil"/>
              <w:bottom w:val="single" w:sz="4" w:space="0" w:color="FFFFFF" w:themeColor="background1"/>
            </w:tcBorders>
            <w:shd w:val="clear" w:color="auto" w:fill="AF272F" w:themeFill="accent4"/>
          </w:tcPr>
          <w:p w14:paraId="65C030C3" w14:textId="0FB37DFB" w:rsidR="00BC6BAD" w:rsidRPr="005734B8" w:rsidRDefault="000E5B02" w:rsidP="00FA1A4A">
            <w:pPr>
              <w:pStyle w:val="ESTableheadingwhite"/>
              <w:spacing w:before="0" w:after="0"/>
              <w:jc w:val="right"/>
              <w:rPr>
                <w:rFonts w:ascii="Calibri" w:hAnsi="Calibri" w:cs="Calibri"/>
                <w:sz w:val="18"/>
              </w:rPr>
            </w:pPr>
            <w:r w:rsidRPr="005734B8">
              <w:rPr>
                <w:rFonts w:ascii="Calibri" w:hAnsi="Calibri" w:cs="Calibri"/>
                <w:sz w:val="18"/>
              </w:rPr>
              <w:t>20</w:t>
            </w:r>
            <w:r w:rsidR="00242C48" w:rsidRPr="005734B8">
              <w:rPr>
                <w:rFonts w:ascii="Calibri" w:hAnsi="Calibri" w:cs="Calibri"/>
                <w:sz w:val="18"/>
              </w:rPr>
              <w:t>2</w:t>
            </w:r>
            <w:r w:rsidR="00DD5409" w:rsidRPr="005734B8">
              <w:rPr>
                <w:rFonts w:ascii="Calibri" w:hAnsi="Calibri" w:cs="Calibri"/>
                <w:sz w:val="18"/>
              </w:rPr>
              <w:t>1</w:t>
            </w:r>
          </w:p>
          <w:p w14:paraId="2352DD15" w14:textId="3E92CB10" w:rsidR="00FA1A4A" w:rsidRPr="005734B8" w:rsidRDefault="0015616B" w:rsidP="00FA1A4A">
            <w:pPr>
              <w:pStyle w:val="ESTableheadingwhite"/>
              <w:spacing w:before="0" w:after="0"/>
              <w:jc w:val="right"/>
              <w:rPr>
                <w:rFonts w:ascii="Calibri" w:hAnsi="Calibri" w:cs="Calibri"/>
                <w:sz w:val="18"/>
              </w:rPr>
            </w:pPr>
            <w:r w:rsidRPr="005734B8">
              <w:rPr>
                <w:rFonts w:ascii="Calibri" w:hAnsi="Calibri" w:cs="Calibri"/>
                <w:sz w:val="18"/>
              </w:rPr>
              <w:t>a</w:t>
            </w:r>
            <w:r w:rsidR="00BC6BAD" w:rsidRPr="005734B8">
              <w:rPr>
                <w:rFonts w:ascii="Calibri" w:hAnsi="Calibri" w:cs="Calibri"/>
                <w:sz w:val="18"/>
              </w:rPr>
              <w:t>ctual</w:t>
            </w:r>
            <w:r w:rsidR="00ED74EC" w:rsidRPr="005734B8">
              <w:rPr>
                <w:rFonts w:ascii="Calibri" w:hAnsi="Calibri" w:cs="Calibri"/>
                <w:sz w:val="18"/>
              </w:rPr>
              <w:t xml:space="preserve"> </w:t>
            </w:r>
          </w:p>
          <w:p w14:paraId="6E6AB8A3" w14:textId="225EA0FD" w:rsidR="00ED74EC" w:rsidRPr="005734B8" w:rsidRDefault="00ED74EC" w:rsidP="00FA1A4A">
            <w:pPr>
              <w:pStyle w:val="ESTableheadingwhite"/>
              <w:spacing w:before="0" w:after="0"/>
              <w:jc w:val="right"/>
              <w:rPr>
                <w:rFonts w:ascii="Calibri" w:hAnsi="Calibri" w:cs="Calibri"/>
                <w:sz w:val="18"/>
              </w:rPr>
            </w:pPr>
            <w:r w:rsidRPr="005734B8">
              <w:rPr>
                <w:rFonts w:ascii="Calibri" w:hAnsi="Calibri" w:cs="Calibri"/>
                <w:sz w:val="18"/>
              </w:rPr>
              <w:t>($m)</w:t>
            </w:r>
          </w:p>
        </w:tc>
        <w:tc>
          <w:tcPr>
            <w:tcW w:w="750" w:type="pct"/>
            <w:tcBorders>
              <w:top w:val="nil"/>
              <w:bottom w:val="single" w:sz="4" w:space="0" w:color="FFFFFF" w:themeColor="background1"/>
            </w:tcBorders>
            <w:shd w:val="clear" w:color="auto" w:fill="AF272F" w:themeFill="accent4"/>
          </w:tcPr>
          <w:p w14:paraId="7F757504" w14:textId="77777777" w:rsidR="00FA1A4A" w:rsidRPr="005734B8" w:rsidRDefault="00FA1A4A" w:rsidP="00FA1A4A">
            <w:pPr>
              <w:pStyle w:val="ESTableheadingwhite"/>
              <w:spacing w:before="0" w:after="0"/>
              <w:jc w:val="right"/>
              <w:rPr>
                <w:rFonts w:ascii="Calibri" w:hAnsi="Calibri" w:cs="Calibri"/>
                <w:sz w:val="18"/>
              </w:rPr>
            </w:pPr>
            <w:r w:rsidRPr="005734B8">
              <w:rPr>
                <w:rFonts w:ascii="Calibri" w:hAnsi="Calibri" w:cs="Calibri"/>
                <w:sz w:val="18"/>
              </w:rPr>
              <w:t>Published</w:t>
            </w:r>
          </w:p>
          <w:p w14:paraId="292094FC" w14:textId="3C329ACB" w:rsidR="00FA1A4A" w:rsidRPr="005734B8" w:rsidRDefault="0015616B" w:rsidP="00FA1A4A">
            <w:pPr>
              <w:pStyle w:val="ESTableheadingwhite"/>
              <w:spacing w:before="0" w:after="0"/>
              <w:jc w:val="right"/>
              <w:rPr>
                <w:rFonts w:ascii="Calibri" w:hAnsi="Calibri" w:cs="Calibri"/>
                <w:sz w:val="18"/>
              </w:rPr>
            </w:pPr>
            <w:r w:rsidRPr="005734B8">
              <w:rPr>
                <w:rFonts w:ascii="Calibri" w:hAnsi="Calibri" w:cs="Calibri"/>
                <w:sz w:val="18"/>
              </w:rPr>
              <w:t>b</w:t>
            </w:r>
            <w:r w:rsidR="00BC6BAD" w:rsidRPr="005734B8">
              <w:rPr>
                <w:rFonts w:ascii="Calibri" w:hAnsi="Calibri" w:cs="Calibri"/>
                <w:sz w:val="18"/>
              </w:rPr>
              <w:t>udget</w:t>
            </w:r>
            <w:r w:rsidR="00ED74EC" w:rsidRPr="005734B8">
              <w:rPr>
                <w:rFonts w:ascii="Calibri" w:hAnsi="Calibri" w:cs="Calibri"/>
                <w:sz w:val="18"/>
              </w:rPr>
              <w:t xml:space="preserve"> </w:t>
            </w:r>
          </w:p>
          <w:p w14:paraId="0F3A3EE7" w14:textId="77E50C94" w:rsidR="00ED74EC" w:rsidRPr="005734B8" w:rsidRDefault="00ED74EC" w:rsidP="00FA1A4A">
            <w:pPr>
              <w:pStyle w:val="ESTableheadingwhite"/>
              <w:spacing w:before="0" w:after="0"/>
              <w:jc w:val="right"/>
              <w:rPr>
                <w:rFonts w:ascii="Calibri" w:hAnsi="Calibri" w:cs="Calibri"/>
                <w:sz w:val="18"/>
              </w:rPr>
            </w:pPr>
            <w:r w:rsidRPr="005734B8">
              <w:rPr>
                <w:rFonts w:ascii="Calibri" w:hAnsi="Calibri" w:cs="Calibri"/>
                <w:sz w:val="18"/>
              </w:rPr>
              <w:t>($m)</w:t>
            </w:r>
          </w:p>
        </w:tc>
        <w:tc>
          <w:tcPr>
            <w:tcW w:w="688" w:type="pct"/>
            <w:tcBorders>
              <w:top w:val="nil"/>
              <w:bottom w:val="single" w:sz="4" w:space="0" w:color="FFFFFF" w:themeColor="background1"/>
            </w:tcBorders>
            <w:shd w:val="clear" w:color="auto" w:fill="AF272F" w:themeFill="accent4"/>
          </w:tcPr>
          <w:p w14:paraId="4F5735F0" w14:textId="77777777" w:rsidR="00FA1A4A" w:rsidRPr="005734B8" w:rsidRDefault="00ED74EC" w:rsidP="00FA1A4A">
            <w:pPr>
              <w:pStyle w:val="ESTableheadingwhite"/>
              <w:spacing w:before="0" w:after="0"/>
              <w:jc w:val="right"/>
              <w:rPr>
                <w:rFonts w:ascii="Calibri" w:hAnsi="Calibri" w:cs="Calibri"/>
                <w:sz w:val="18"/>
              </w:rPr>
            </w:pPr>
            <w:r w:rsidRPr="005734B8">
              <w:rPr>
                <w:rFonts w:ascii="Calibri" w:hAnsi="Calibri" w:cs="Calibri"/>
                <w:sz w:val="18"/>
              </w:rPr>
              <w:t>Variation</w:t>
            </w:r>
          </w:p>
          <w:p w14:paraId="488BD6CB" w14:textId="64669B0D" w:rsidR="00ED74EC" w:rsidRPr="005734B8" w:rsidRDefault="00ED74EC" w:rsidP="00FA1A4A">
            <w:pPr>
              <w:pStyle w:val="ESTableheadingwhite"/>
              <w:spacing w:before="0" w:after="0"/>
              <w:jc w:val="right"/>
              <w:rPr>
                <w:rFonts w:ascii="Calibri" w:hAnsi="Calibri" w:cs="Calibri"/>
                <w:sz w:val="18"/>
              </w:rPr>
            </w:pPr>
            <w:r w:rsidRPr="005734B8">
              <w:rPr>
                <w:rFonts w:ascii="Calibri" w:hAnsi="Calibri" w:cs="Calibri"/>
                <w:sz w:val="18"/>
              </w:rPr>
              <w:t>(%)</w:t>
            </w:r>
          </w:p>
        </w:tc>
        <w:tc>
          <w:tcPr>
            <w:tcW w:w="686" w:type="pct"/>
            <w:tcBorders>
              <w:top w:val="nil"/>
              <w:bottom w:val="single" w:sz="4" w:space="0" w:color="FFFFFF" w:themeColor="background1"/>
            </w:tcBorders>
            <w:shd w:val="clear" w:color="auto" w:fill="AF272F" w:themeFill="accent4"/>
          </w:tcPr>
          <w:p w14:paraId="0DB2E704" w14:textId="4DFE609E" w:rsidR="00FA1A4A" w:rsidRPr="005734B8" w:rsidRDefault="00ED74EC" w:rsidP="00FA1A4A">
            <w:pPr>
              <w:pStyle w:val="ESTableheadingwhite"/>
              <w:spacing w:before="0" w:after="0"/>
              <w:jc w:val="right"/>
              <w:rPr>
                <w:rFonts w:ascii="Calibri" w:hAnsi="Calibri" w:cs="Calibri"/>
                <w:sz w:val="18"/>
              </w:rPr>
            </w:pPr>
            <w:r w:rsidRPr="005734B8">
              <w:rPr>
                <w:rFonts w:ascii="Calibri" w:hAnsi="Calibri" w:cs="Calibri"/>
                <w:sz w:val="18"/>
              </w:rPr>
              <w:t>Variation</w:t>
            </w:r>
          </w:p>
          <w:p w14:paraId="37BC1066" w14:textId="7A96FE9E" w:rsidR="00ED74EC" w:rsidRPr="005734B8" w:rsidRDefault="00ED74EC" w:rsidP="00FA1A4A">
            <w:pPr>
              <w:pStyle w:val="ESTableheadingwhite"/>
              <w:spacing w:before="0" w:after="0"/>
              <w:jc w:val="right"/>
              <w:rPr>
                <w:rFonts w:ascii="Calibri" w:hAnsi="Calibri" w:cs="Calibri"/>
                <w:sz w:val="18"/>
              </w:rPr>
            </w:pPr>
            <w:r w:rsidRPr="005734B8">
              <w:rPr>
                <w:rFonts w:ascii="Calibri" w:hAnsi="Calibri" w:cs="Calibri"/>
                <w:sz w:val="18"/>
              </w:rPr>
              <w:t>($m)</w:t>
            </w:r>
          </w:p>
        </w:tc>
      </w:tr>
      <w:tr w:rsidR="00ED74EC" w:rsidRPr="005734B8" w14:paraId="6F641A50" w14:textId="173BB781" w:rsidTr="00843378">
        <w:tc>
          <w:tcPr>
            <w:tcW w:w="1327" w:type="pct"/>
            <w:tcBorders>
              <w:bottom w:val="single" w:sz="4" w:space="0" w:color="53565A" w:themeColor="accent5"/>
              <w:right w:val="nil"/>
            </w:tcBorders>
            <w:shd w:val="clear" w:color="auto" w:fill="53565A" w:themeFill="accent5"/>
            <w:vAlign w:val="center"/>
          </w:tcPr>
          <w:p w14:paraId="2B0BD6F4" w14:textId="77777777" w:rsidR="00ED74EC" w:rsidRPr="005734B8" w:rsidRDefault="00ED74EC" w:rsidP="00ED74EC">
            <w:pPr>
              <w:pStyle w:val="ESTableheading"/>
              <w:rPr>
                <w:rFonts w:ascii="Calibri" w:hAnsi="Calibri" w:cs="Calibri"/>
                <w:sz w:val="18"/>
              </w:rPr>
            </w:pPr>
            <w:r w:rsidRPr="005734B8">
              <w:rPr>
                <w:rFonts w:ascii="Calibri" w:hAnsi="Calibri" w:cs="Calibri"/>
                <w:sz w:val="18"/>
                <w:lang w:val="en-AU"/>
              </w:rPr>
              <w:t>Cash flows from operating activities</w:t>
            </w:r>
          </w:p>
        </w:tc>
        <w:tc>
          <w:tcPr>
            <w:tcW w:w="499" w:type="pct"/>
            <w:tcBorders>
              <w:left w:val="nil"/>
              <w:bottom w:val="single" w:sz="4" w:space="0" w:color="53565A" w:themeColor="accent5"/>
              <w:right w:val="nil"/>
            </w:tcBorders>
            <w:shd w:val="clear" w:color="auto" w:fill="53565A" w:themeFill="accent5"/>
          </w:tcPr>
          <w:p w14:paraId="00421035" w14:textId="77777777" w:rsidR="00ED74EC" w:rsidRPr="005734B8" w:rsidRDefault="00ED74EC" w:rsidP="00ED74EC">
            <w:pPr>
              <w:pStyle w:val="ESTablenumberrightaligned"/>
              <w:rPr>
                <w:rFonts w:ascii="Calibri" w:hAnsi="Calibri" w:cs="Calibri"/>
                <w:sz w:val="18"/>
              </w:rPr>
            </w:pPr>
          </w:p>
        </w:tc>
        <w:tc>
          <w:tcPr>
            <w:tcW w:w="1050" w:type="pct"/>
            <w:tcBorders>
              <w:left w:val="nil"/>
              <w:bottom w:val="single" w:sz="4" w:space="0" w:color="53565A" w:themeColor="accent5"/>
              <w:right w:val="nil"/>
            </w:tcBorders>
            <w:shd w:val="clear" w:color="auto" w:fill="53565A" w:themeFill="accent5"/>
          </w:tcPr>
          <w:p w14:paraId="01747243" w14:textId="77777777" w:rsidR="00ED74EC" w:rsidRPr="005734B8" w:rsidRDefault="00ED74EC" w:rsidP="00ED74EC">
            <w:pPr>
              <w:pStyle w:val="ESTablenumberrightaligned"/>
              <w:rPr>
                <w:rFonts w:ascii="Calibri" w:hAnsi="Calibri" w:cs="Calibri"/>
                <w:sz w:val="18"/>
              </w:rPr>
            </w:pPr>
          </w:p>
        </w:tc>
        <w:tc>
          <w:tcPr>
            <w:tcW w:w="750" w:type="pct"/>
            <w:tcBorders>
              <w:left w:val="nil"/>
              <w:bottom w:val="single" w:sz="4" w:space="0" w:color="53565A" w:themeColor="accent5"/>
              <w:right w:val="nil"/>
            </w:tcBorders>
            <w:shd w:val="clear" w:color="auto" w:fill="53565A" w:themeFill="accent5"/>
          </w:tcPr>
          <w:p w14:paraId="6B501FDF" w14:textId="77777777" w:rsidR="00ED74EC" w:rsidRPr="005734B8" w:rsidRDefault="00ED74EC" w:rsidP="00ED74EC">
            <w:pPr>
              <w:pStyle w:val="ESTablenumberrightaligned"/>
              <w:rPr>
                <w:rFonts w:ascii="Calibri" w:hAnsi="Calibri" w:cs="Calibri"/>
                <w:sz w:val="18"/>
              </w:rPr>
            </w:pPr>
          </w:p>
        </w:tc>
        <w:tc>
          <w:tcPr>
            <w:tcW w:w="688" w:type="pct"/>
            <w:tcBorders>
              <w:left w:val="nil"/>
              <w:bottom w:val="single" w:sz="4" w:space="0" w:color="53565A" w:themeColor="accent5"/>
              <w:right w:val="nil"/>
            </w:tcBorders>
            <w:shd w:val="clear" w:color="auto" w:fill="53565A" w:themeFill="accent5"/>
          </w:tcPr>
          <w:p w14:paraId="7BE3AAAD" w14:textId="77777777" w:rsidR="00ED74EC" w:rsidRPr="005734B8" w:rsidRDefault="00ED74EC" w:rsidP="00ED74EC">
            <w:pPr>
              <w:pStyle w:val="ESTablenumberrightaligned"/>
              <w:rPr>
                <w:rFonts w:ascii="Calibri" w:hAnsi="Calibri" w:cs="Calibri"/>
                <w:sz w:val="18"/>
              </w:rPr>
            </w:pPr>
          </w:p>
        </w:tc>
        <w:tc>
          <w:tcPr>
            <w:tcW w:w="686" w:type="pct"/>
            <w:tcBorders>
              <w:left w:val="nil"/>
              <w:bottom w:val="single" w:sz="4" w:space="0" w:color="53565A" w:themeColor="accent5"/>
              <w:right w:val="nil"/>
            </w:tcBorders>
            <w:shd w:val="clear" w:color="auto" w:fill="53565A" w:themeFill="accent5"/>
          </w:tcPr>
          <w:p w14:paraId="6817AD66" w14:textId="77777777" w:rsidR="00ED74EC" w:rsidRPr="005734B8" w:rsidRDefault="00ED74EC" w:rsidP="00ED74EC">
            <w:pPr>
              <w:pStyle w:val="ESTablenumberrightaligned"/>
              <w:rPr>
                <w:rFonts w:ascii="Calibri" w:hAnsi="Calibri" w:cs="Calibri"/>
                <w:sz w:val="18"/>
              </w:rPr>
            </w:pPr>
          </w:p>
        </w:tc>
      </w:tr>
      <w:tr w:rsidR="004504B3" w:rsidRPr="005734B8" w14:paraId="08DC9858" w14:textId="7121D3DE" w:rsidTr="00843378">
        <w:tc>
          <w:tcPr>
            <w:tcW w:w="1327" w:type="pct"/>
            <w:tcBorders>
              <w:top w:val="single" w:sz="4" w:space="0" w:color="53565A" w:themeColor="accent5"/>
              <w:bottom w:val="single" w:sz="4" w:space="0" w:color="53565A" w:themeColor="accent5"/>
              <w:right w:val="nil"/>
            </w:tcBorders>
            <w:shd w:val="clear" w:color="auto" w:fill="D9D9D6" w:themeFill="accent6"/>
            <w:vAlign w:val="center"/>
          </w:tcPr>
          <w:p w14:paraId="6E525D5B" w14:textId="77777777" w:rsidR="004504B3" w:rsidRPr="005734B8" w:rsidRDefault="004504B3" w:rsidP="004504B3">
            <w:pPr>
              <w:pStyle w:val="ESTablebody"/>
              <w:rPr>
                <w:rFonts w:ascii="Calibri" w:hAnsi="Calibri" w:cs="Calibri"/>
                <w:b/>
                <w:sz w:val="18"/>
              </w:rPr>
            </w:pPr>
            <w:r w:rsidRPr="005734B8">
              <w:rPr>
                <w:rFonts w:ascii="Calibri" w:hAnsi="Calibri" w:cs="Calibri"/>
                <w:b/>
                <w:sz w:val="18"/>
                <w:lang w:val="en-AU"/>
              </w:rPr>
              <w:t>Receipts</w:t>
            </w:r>
          </w:p>
        </w:tc>
        <w:tc>
          <w:tcPr>
            <w:tcW w:w="499" w:type="pct"/>
            <w:tcBorders>
              <w:top w:val="single" w:sz="4" w:space="0" w:color="53565A" w:themeColor="accent5"/>
              <w:left w:val="nil"/>
              <w:bottom w:val="single" w:sz="4" w:space="0" w:color="53565A" w:themeColor="accent5"/>
              <w:right w:val="nil"/>
            </w:tcBorders>
            <w:shd w:val="clear" w:color="auto" w:fill="D9D9D6" w:themeFill="accent6"/>
          </w:tcPr>
          <w:p w14:paraId="68D45448" w14:textId="77777777" w:rsidR="004504B3" w:rsidRPr="005734B8" w:rsidRDefault="004504B3" w:rsidP="004504B3">
            <w:pPr>
              <w:pStyle w:val="ESTablenumberrightaligned"/>
              <w:rPr>
                <w:rFonts w:ascii="Calibri" w:hAnsi="Calibri" w:cs="Calibri"/>
                <w:sz w:val="18"/>
              </w:rPr>
            </w:pPr>
          </w:p>
        </w:tc>
        <w:tc>
          <w:tcPr>
            <w:tcW w:w="1050" w:type="pct"/>
            <w:tcBorders>
              <w:top w:val="single" w:sz="4" w:space="0" w:color="53565A" w:themeColor="accent5"/>
              <w:left w:val="nil"/>
              <w:bottom w:val="single" w:sz="4" w:space="0" w:color="53565A" w:themeColor="accent5"/>
              <w:right w:val="nil"/>
            </w:tcBorders>
            <w:shd w:val="clear" w:color="auto" w:fill="D9D9D6" w:themeFill="accent6"/>
          </w:tcPr>
          <w:p w14:paraId="34B24179" w14:textId="77777777" w:rsidR="004504B3" w:rsidRPr="005734B8" w:rsidRDefault="004504B3" w:rsidP="004504B3">
            <w:pPr>
              <w:pStyle w:val="ESTablenumberrightaligned"/>
              <w:rPr>
                <w:rFonts w:ascii="Calibri" w:hAnsi="Calibri" w:cs="Calibri"/>
                <w:sz w:val="18"/>
              </w:rPr>
            </w:pPr>
          </w:p>
        </w:tc>
        <w:tc>
          <w:tcPr>
            <w:tcW w:w="750" w:type="pct"/>
            <w:tcBorders>
              <w:top w:val="single" w:sz="4" w:space="0" w:color="53565A" w:themeColor="accent5"/>
              <w:left w:val="nil"/>
              <w:bottom w:val="single" w:sz="4" w:space="0" w:color="53565A" w:themeColor="accent5"/>
              <w:right w:val="nil"/>
            </w:tcBorders>
            <w:shd w:val="clear" w:color="auto" w:fill="D9D9D6" w:themeFill="accent6"/>
          </w:tcPr>
          <w:p w14:paraId="35868757" w14:textId="77777777" w:rsidR="004504B3" w:rsidRPr="005734B8" w:rsidRDefault="004504B3" w:rsidP="004504B3">
            <w:pPr>
              <w:pStyle w:val="ESTablenumberrightaligned"/>
              <w:rPr>
                <w:rFonts w:ascii="Calibri" w:hAnsi="Calibri" w:cs="Calibri"/>
                <w:sz w:val="18"/>
              </w:rPr>
            </w:pPr>
          </w:p>
        </w:tc>
        <w:tc>
          <w:tcPr>
            <w:tcW w:w="688" w:type="pct"/>
            <w:tcBorders>
              <w:top w:val="single" w:sz="4" w:space="0" w:color="53565A" w:themeColor="accent5"/>
              <w:left w:val="nil"/>
              <w:bottom w:val="single" w:sz="4" w:space="0" w:color="53565A" w:themeColor="accent5"/>
              <w:right w:val="nil"/>
            </w:tcBorders>
            <w:shd w:val="clear" w:color="auto" w:fill="D9D9D6" w:themeFill="accent6"/>
          </w:tcPr>
          <w:p w14:paraId="0502D9EB" w14:textId="77777777" w:rsidR="004504B3" w:rsidRPr="005734B8" w:rsidRDefault="004504B3" w:rsidP="004504B3">
            <w:pPr>
              <w:pStyle w:val="ESTablenumberrightaligned"/>
              <w:rPr>
                <w:rFonts w:ascii="Calibri" w:hAnsi="Calibri" w:cs="Calibri"/>
                <w:sz w:val="18"/>
              </w:rPr>
            </w:pPr>
          </w:p>
        </w:tc>
        <w:tc>
          <w:tcPr>
            <w:tcW w:w="686" w:type="pct"/>
            <w:tcBorders>
              <w:top w:val="single" w:sz="4" w:space="0" w:color="53565A" w:themeColor="accent5"/>
              <w:left w:val="nil"/>
              <w:bottom w:val="single" w:sz="4" w:space="0" w:color="53565A" w:themeColor="accent5"/>
              <w:right w:val="nil"/>
            </w:tcBorders>
            <w:shd w:val="clear" w:color="auto" w:fill="D9D9D6" w:themeFill="accent6"/>
          </w:tcPr>
          <w:p w14:paraId="596EC085" w14:textId="77777777" w:rsidR="004504B3" w:rsidRPr="005734B8" w:rsidRDefault="004504B3" w:rsidP="004504B3">
            <w:pPr>
              <w:pStyle w:val="ESTablenumberrightaligned"/>
              <w:rPr>
                <w:rFonts w:ascii="Calibri" w:hAnsi="Calibri" w:cs="Calibri"/>
                <w:sz w:val="18"/>
              </w:rPr>
            </w:pPr>
          </w:p>
        </w:tc>
      </w:tr>
      <w:tr w:rsidR="004504B3" w:rsidRPr="005734B8" w14:paraId="73459813" w14:textId="07AA72A6" w:rsidTr="000F48B1">
        <w:tc>
          <w:tcPr>
            <w:tcW w:w="1327" w:type="pct"/>
            <w:tcBorders>
              <w:top w:val="single" w:sz="4" w:space="0" w:color="53565A" w:themeColor="accent5"/>
              <w:bottom w:val="single" w:sz="4" w:space="0" w:color="53565A" w:themeColor="accent5"/>
            </w:tcBorders>
            <w:shd w:val="clear" w:color="auto" w:fill="auto"/>
            <w:vAlign w:val="center"/>
          </w:tcPr>
          <w:p w14:paraId="11CD1C46" w14:textId="77777777" w:rsidR="004504B3" w:rsidRPr="005734B8" w:rsidRDefault="004504B3" w:rsidP="004504B3">
            <w:pPr>
              <w:pStyle w:val="ESTablebody"/>
              <w:rPr>
                <w:rFonts w:ascii="Calibri" w:hAnsi="Calibri" w:cs="Calibri"/>
                <w:sz w:val="18"/>
              </w:rPr>
            </w:pPr>
            <w:r w:rsidRPr="005734B8">
              <w:rPr>
                <w:rFonts w:ascii="Calibri" w:hAnsi="Calibri" w:cs="Calibri"/>
                <w:sz w:val="18"/>
                <w:lang w:val="en-AU"/>
              </w:rPr>
              <w:t>Receipts from government</w:t>
            </w:r>
          </w:p>
        </w:tc>
        <w:tc>
          <w:tcPr>
            <w:tcW w:w="499" w:type="pct"/>
            <w:tcBorders>
              <w:top w:val="single" w:sz="4" w:space="0" w:color="53565A" w:themeColor="accent5"/>
              <w:bottom w:val="single" w:sz="4" w:space="0" w:color="53565A" w:themeColor="accent5"/>
            </w:tcBorders>
            <w:shd w:val="clear" w:color="auto" w:fill="auto"/>
            <w:vAlign w:val="center"/>
          </w:tcPr>
          <w:p w14:paraId="04C254AB" w14:textId="4CA6EC08" w:rsidR="004504B3" w:rsidRPr="005734B8" w:rsidRDefault="004504B3" w:rsidP="004504B3">
            <w:pPr>
              <w:pStyle w:val="ESTablenumberrightaligned"/>
              <w:rPr>
                <w:rFonts w:ascii="Calibri" w:hAnsi="Calibri" w:cs="Calibri"/>
                <w:sz w:val="18"/>
              </w:rPr>
            </w:pPr>
            <w:r w:rsidRPr="005734B8">
              <w:rPr>
                <w:rFonts w:ascii="Calibri" w:hAnsi="Calibri" w:cs="Calibri"/>
                <w:sz w:val="18"/>
              </w:rPr>
              <w:t>a</w:t>
            </w:r>
          </w:p>
        </w:tc>
        <w:tc>
          <w:tcPr>
            <w:tcW w:w="1050" w:type="pct"/>
            <w:tcBorders>
              <w:top w:val="single" w:sz="4" w:space="0" w:color="53565A" w:themeColor="accent5"/>
              <w:bottom w:val="single" w:sz="4" w:space="0" w:color="53565A" w:themeColor="accent5"/>
            </w:tcBorders>
            <w:shd w:val="clear" w:color="auto" w:fill="D9D9D6" w:themeFill="accent6"/>
          </w:tcPr>
          <w:p w14:paraId="2E36D02E" w14:textId="6138E72E"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15,741.5</w:t>
            </w:r>
          </w:p>
        </w:tc>
        <w:tc>
          <w:tcPr>
            <w:tcW w:w="750" w:type="pct"/>
            <w:tcBorders>
              <w:top w:val="single" w:sz="4" w:space="0" w:color="53565A" w:themeColor="accent5"/>
              <w:bottom w:val="single" w:sz="4" w:space="0" w:color="53565A" w:themeColor="accent5"/>
            </w:tcBorders>
          </w:tcPr>
          <w:p w14:paraId="07DD4710" w14:textId="5F09C798"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15,989.0</w:t>
            </w:r>
          </w:p>
        </w:tc>
        <w:tc>
          <w:tcPr>
            <w:tcW w:w="688" w:type="pct"/>
            <w:tcBorders>
              <w:top w:val="single" w:sz="4" w:space="0" w:color="53565A" w:themeColor="accent5"/>
              <w:bottom w:val="single" w:sz="4" w:space="0" w:color="53565A" w:themeColor="accent5"/>
            </w:tcBorders>
          </w:tcPr>
          <w:p w14:paraId="4EFBD5D4" w14:textId="153B040A"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(2)</w:t>
            </w:r>
          </w:p>
        </w:tc>
        <w:tc>
          <w:tcPr>
            <w:tcW w:w="686" w:type="pct"/>
            <w:tcBorders>
              <w:top w:val="single" w:sz="4" w:space="0" w:color="53565A" w:themeColor="accent5"/>
              <w:bottom w:val="single" w:sz="4" w:space="0" w:color="53565A" w:themeColor="accent5"/>
            </w:tcBorders>
          </w:tcPr>
          <w:p w14:paraId="2E46F584" w14:textId="1416A3BD"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(247.5)</w:t>
            </w:r>
          </w:p>
        </w:tc>
      </w:tr>
      <w:tr w:rsidR="004504B3" w:rsidRPr="005734B8" w14:paraId="0F07D80A" w14:textId="2E6911B4" w:rsidTr="000F48B1">
        <w:tc>
          <w:tcPr>
            <w:tcW w:w="1327" w:type="pct"/>
            <w:tcBorders>
              <w:top w:val="single" w:sz="4" w:space="0" w:color="53565A" w:themeColor="accent5"/>
              <w:bottom w:val="single" w:sz="4" w:space="0" w:color="53565A" w:themeColor="accent5"/>
            </w:tcBorders>
            <w:shd w:val="clear" w:color="auto" w:fill="auto"/>
            <w:vAlign w:val="center"/>
          </w:tcPr>
          <w:p w14:paraId="4FE809E9" w14:textId="77777777" w:rsidR="004504B3" w:rsidRPr="005734B8" w:rsidRDefault="004504B3" w:rsidP="004504B3">
            <w:pPr>
              <w:pStyle w:val="ESTablebody"/>
              <w:rPr>
                <w:rFonts w:ascii="Calibri" w:hAnsi="Calibri" w:cs="Calibri"/>
                <w:sz w:val="18"/>
              </w:rPr>
            </w:pPr>
            <w:r w:rsidRPr="005734B8">
              <w:rPr>
                <w:rFonts w:ascii="Calibri" w:hAnsi="Calibri" w:cs="Calibri"/>
                <w:sz w:val="18"/>
                <w:lang w:val="en-AU"/>
              </w:rPr>
              <w:t>Receipts from other entities</w:t>
            </w:r>
          </w:p>
        </w:tc>
        <w:tc>
          <w:tcPr>
            <w:tcW w:w="499" w:type="pct"/>
            <w:tcBorders>
              <w:top w:val="single" w:sz="4" w:space="0" w:color="53565A" w:themeColor="accent5"/>
              <w:bottom w:val="single" w:sz="4" w:space="0" w:color="53565A" w:themeColor="accent5"/>
            </w:tcBorders>
            <w:shd w:val="clear" w:color="auto" w:fill="auto"/>
            <w:vAlign w:val="center"/>
          </w:tcPr>
          <w:p w14:paraId="13D116F9" w14:textId="2BD79678" w:rsidR="004504B3" w:rsidRPr="005734B8" w:rsidRDefault="004504B3" w:rsidP="004504B3">
            <w:pPr>
              <w:pStyle w:val="ESTablenumberrightaligned"/>
              <w:rPr>
                <w:rFonts w:ascii="Calibri" w:hAnsi="Calibri" w:cs="Calibri"/>
                <w:sz w:val="18"/>
              </w:rPr>
            </w:pPr>
            <w:r w:rsidRPr="005734B8">
              <w:rPr>
                <w:rFonts w:ascii="Calibri" w:hAnsi="Calibri" w:cs="Calibri"/>
                <w:sz w:val="18"/>
              </w:rPr>
              <w:t>b</w:t>
            </w:r>
          </w:p>
        </w:tc>
        <w:tc>
          <w:tcPr>
            <w:tcW w:w="1050" w:type="pct"/>
            <w:tcBorders>
              <w:top w:val="single" w:sz="4" w:space="0" w:color="53565A" w:themeColor="accent5"/>
              <w:bottom w:val="single" w:sz="4" w:space="0" w:color="53565A" w:themeColor="accent5"/>
            </w:tcBorders>
            <w:shd w:val="clear" w:color="auto" w:fill="D9D9D6" w:themeFill="accent6"/>
          </w:tcPr>
          <w:p w14:paraId="576B1470" w14:textId="0B4924F5"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646.5</w:t>
            </w:r>
          </w:p>
        </w:tc>
        <w:tc>
          <w:tcPr>
            <w:tcW w:w="750" w:type="pct"/>
            <w:tcBorders>
              <w:top w:val="single" w:sz="4" w:space="0" w:color="53565A" w:themeColor="accent5"/>
              <w:bottom w:val="single" w:sz="4" w:space="0" w:color="53565A" w:themeColor="accent5"/>
            </w:tcBorders>
          </w:tcPr>
          <w:p w14:paraId="41FBFF8E" w14:textId="101B7724"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702.0</w:t>
            </w:r>
          </w:p>
        </w:tc>
        <w:tc>
          <w:tcPr>
            <w:tcW w:w="688" w:type="pct"/>
            <w:tcBorders>
              <w:top w:val="single" w:sz="4" w:space="0" w:color="53565A" w:themeColor="accent5"/>
              <w:bottom w:val="single" w:sz="4" w:space="0" w:color="53565A" w:themeColor="accent5"/>
            </w:tcBorders>
          </w:tcPr>
          <w:p w14:paraId="7B87AF84" w14:textId="08B65308"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(8)</w:t>
            </w:r>
          </w:p>
        </w:tc>
        <w:tc>
          <w:tcPr>
            <w:tcW w:w="686" w:type="pct"/>
            <w:tcBorders>
              <w:top w:val="single" w:sz="4" w:space="0" w:color="53565A" w:themeColor="accent5"/>
              <w:bottom w:val="single" w:sz="4" w:space="0" w:color="53565A" w:themeColor="accent5"/>
            </w:tcBorders>
          </w:tcPr>
          <w:p w14:paraId="1F655F5B" w14:textId="559C2129"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(55.5)</w:t>
            </w:r>
          </w:p>
        </w:tc>
      </w:tr>
      <w:tr w:rsidR="004504B3" w:rsidRPr="005734B8" w14:paraId="59FCCA2E" w14:textId="1B90B708" w:rsidTr="000F48B1">
        <w:tc>
          <w:tcPr>
            <w:tcW w:w="1327" w:type="pct"/>
            <w:tcBorders>
              <w:top w:val="single" w:sz="4" w:space="0" w:color="53565A" w:themeColor="accent5"/>
              <w:bottom w:val="single" w:sz="4" w:space="0" w:color="53565A" w:themeColor="accent5"/>
            </w:tcBorders>
            <w:shd w:val="clear" w:color="auto" w:fill="auto"/>
            <w:vAlign w:val="center"/>
          </w:tcPr>
          <w:p w14:paraId="3AF7B107" w14:textId="77777777" w:rsidR="004504B3" w:rsidRPr="005734B8" w:rsidRDefault="004504B3" w:rsidP="004504B3">
            <w:pPr>
              <w:pStyle w:val="ESTablebody"/>
              <w:rPr>
                <w:rFonts w:ascii="Calibri" w:hAnsi="Calibri" w:cs="Calibri"/>
                <w:sz w:val="18"/>
              </w:rPr>
            </w:pPr>
            <w:r w:rsidRPr="005734B8">
              <w:rPr>
                <w:rFonts w:ascii="Calibri" w:hAnsi="Calibri" w:cs="Calibri"/>
                <w:sz w:val="18"/>
                <w:lang w:val="en-AU"/>
              </w:rPr>
              <w:t>Interest received</w:t>
            </w:r>
          </w:p>
        </w:tc>
        <w:tc>
          <w:tcPr>
            <w:tcW w:w="499" w:type="pct"/>
            <w:tcBorders>
              <w:top w:val="single" w:sz="4" w:space="0" w:color="53565A" w:themeColor="accent5"/>
              <w:bottom w:val="single" w:sz="4" w:space="0" w:color="53565A" w:themeColor="accent5"/>
            </w:tcBorders>
            <w:shd w:val="clear" w:color="auto" w:fill="auto"/>
            <w:vAlign w:val="center"/>
          </w:tcPr>
          <w:p w14:paraId="4B4F38A0" w14:textId="1C04F030" w:rsidR="004504B3" w:rsidRPr="005734B8" w:rsidRDefault="004504B3" w:rsidP="004504B3">
            <w:pPr>
              <w:pStyle w:val="ESTablenumberrightaligned"/>
              <w:rPr>
                <w:rFonts w:ascii="Calibri" w:hAnsi="Calibri" w:cs="Calibri"/>
                <w:sz w:val="18"/>
              </w:rPr>
            </w:pPr>
            <w:r w:rsidRPr="005734B8">
              <w:rPr>
                <w:rFonts w:ascii="Calibri" w:hAnsi="Calibri" w:cs="Calibri"/>
                <w:sz w:val="18"/>
              </w:rPr>
              <w:t>c</w:t>
            </w:r>
          </w:p>
        </w:tc>
        <w:tc>
          <w:tcPr>
            <w:tcW w:w="1050" w:type="pct"/>
            <w:tcBorders>
              <w:top w:val="single" w:sz="4" w:space="0" w:color="53565A" w:themeColor="accent5"/>
              <w:bottom w:val="single" w:sz="4" w:space="0" w:color="53565A" w:themeColor="accent5"/>
            </w:tcBorders>
            <w:shd w:val="clear" w:color="auto" w:fill="D9D9D6" w:themeFill="accent6"/>
          </w:tcPr>
          <w:p w14:paraId="393C3F39" w14:textId="313BC31F"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7.0</w:t>
            </w:r>
          </w:p>
        </w:tc>
        <w:tc>
          <w:tcPr>
            <w:tcW w:w="750" w:type="pct"/>
            <w:tcBorders>
              <w:top w:val="single" w:sz="4" w:space="0" w:color="53565A" w:themeColor="accent5"/>
              <w:bottom w:val="single" w:sz="4" w:space="0" w:color="53565A" w:themeColor="accent5"/>
            </w:tcBorders>
          </w:tcPr>
          <w:p w14:paraId="5752332A" w14:textId="5CB9501B"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17.6</w:t>
            </w:r>
          </w:p>
        </w:tc>
        <w:tc>
          <w:tcPr>
            <w:tcW w:w="688" w:type="pct"/>
            <w:tcBorders>
              <w:top w:val="single" w:sz="4" w:space="0" w:color="53565A" w:themeColor="accent5"/>
              <w:bottom w:val="single" w:sz="4" w:space="0" w:color="53565A" w:themeColor="accent5"/>
            </w:tcBorders>
          </w:tcPr>
          <w:p w14:paraId="0781BAB6" w14:textId="4C42FF76"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(60)</w:t>
            </w:r>
          </w:p>
        </w:tc>
        <w:tc>
          <w:tcPr>
            <w:tcW w:w="686" w:type="pct"/>
            <w:tcBorders>
              <w:top w:val="single" w:sz="4" w:space="0" w:color="53565A" w:themeColor="accent5"/>
              <w:bottom w:val="single" w:sz="4" w:space="0" w:color="53565A" w:themeColor="accent5"/>
            </w:tcBorders>
          </w:tcPr>
          <w:p w14:paraId="16E4938A" w14:textId="414F4209"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(10.6)</w:t>
            </w:r>
          </w:p>
        </w:tc>
      </w:tr>
      <w:tr w:rsidR="004504B3" w:rsidRPr="005734B8" w14:paraId="33506DE3" w14:textId="2412D7AD" w:rsidTr="000F48B1">
        <w:tc>
          <w:tcPr>
            <w:tcW w:w="1327" w:type="pct"/>
            <w:tcBorders>
              <w:top w:val="single" w:sz="4" w:space="0" w:color="53565A" w:themeColor="accent5"/>
              <w:bottom w:val="single" w:sz="4" w:space="0" w:color="53565A" w:themeColor="accent5"/>
            </w:tcBorders>
            <w:shd w:val="clear" w:color="auto" w:fill="auto"/>
            <w:vAlign w:val="center"/>
          </w:tcPr>
          <w:p w14:paraId="51E537A1" w14:textId="77777777" w:rsidR="004504B3" w:rsidRPr="005734B8" w:rsidRDefault="004504B3" w:rsidP="004504B3">
            <w:pPr>
              <w:pStyle w:val="ESTablebody"/>
              <w:rPr>
                <w:rFonts w:ascii="Calibri" w:hAnsi="Calibri" w:cs="Calibri"/>
                <w:sz w:val="18"/>
              </w:rPr>
            </w:pPr>
            <w:r w:rsidRPr="005734B8">
              <w:rPr>
                <w:rFonts w:ascii="Calibri" w:hAnsi="Calibri" w:cs="Calibri"/>
                <w:sz w:val="18"/>
                <w:lang w:val="en-AU"/>
              </w:rPr>
              <w:t>Other receipts</w:t>
            </w:r>
          </w:p>
        </w:tc>
        <w:tc>
          <w:tcPr>
            <w:tcW w:w="499" w:type="pct"/>
            <w:tcBorders>
              <w:top w:val="single" w:sz="4" w:space="0" w:color="53565A" w:themeColor="accent5"/>
              <w:bottom w:val="single" w:sz="4" w:space="0" w:color="53565A" w:themeColor="accent5"/>
            </w:tcBorders>
            <w:shd w:val="clear" w:color="auto" w:fill="auto"/>
            <w:vAlign w:val="center"/>
          </w:tcPr>
          <w:p w14:paraId="6193EB0F" w14:textId="6E590CA7" w:rsidR="004504B3" w:rsidRPr="005734B8" w:rsidRDefault="004504B3" w:rsidP="004504B3">
            <w:pPr>
              <w:pStyle w:val="ESTablenumberrightaligned"/>
              <w:rPr>
                <w:rFonts w:ascii="Calibri" w:hAnsi="Calibri" w:cs="Calibri"/>
                <w:sz w:val="18"/>
              </w:rPr>
            </w:pPr>
            <w:r w:rsidRPr="005734B8">
              <w:rPr>
                <w:rFonts w:ascii="Calibri" w:hAnsi="Calibri" w:cs="Calibri"/>
                <w:sz w:val="18"/>
              </w:rPr>
              <w:t>d</w:t>
            </w:r>
          </w:p>
        </w:tc>
        <w:tc>
          <w:tcPr>
            <w:tcW w:w="1050" w:type="pct"/>
            <w:tcBorders>
              <w:top w:val="single" w:sz="4" w:space="0" w:color="53565A" w:themeColor="accent5"/>
              <w:bottom w:val="single" w:sz="4" w:space="0" w:color="53565A" w:themeColor="accent5"/>
            </w:tcBorders>
            <w:shd w:val="clear" w:color="auto" w:fill="D9D9D6" w:themeFill="accent6"/>
          </w:tcPr>
          <w:p w14:paraId="02AD9AE9" w14:textId="4CE7846D"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311.4</w:t>
            </w:r>
          </w:p>
        </w:tc>
        <w:tc>
          <w:tcPr>
            <w:tcW w:w="750" w:type="pct"/>
            <w:tcBorders>
              <w:top w:val="single" w:sz="4" w:space="0" w:color="53565A" w:themeColor="accent5"/>
              <w:bottom w:val="single" w:sz="4" w:space="0" w:color="53565A" w:themeColor="accent5"/>
            </w:tcBorders>
          </w:tcPr>
          <w:p w14:paraId="591C84CE" w14:textId="68D039B0"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367.2</w:t>
            </w:r>
          </w:p>
        </w:tc>
        <w:tc>
          <w:tcPr>
            <w:tcW w:w="688" w:type="pct"/>
            <w:tcBorders>
              <w:top w:val="single" w:sz="4" w:space="0" w:color="53565A" w:themeColor="accent5"/>
              <w:bottom w:val="single" w:sz="4" w:space="0" w:color="53565A" w:themeColor="accent5"/>
            </w:tcBorders>
          </w:tcPr>
          <w:p w14:paraId="361FBA77" w14:textId="17420AF4"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(15)</w:t>
            </w:r>
          </w:p>
        </w:tc>
        <w:tc>
          <w:tcPr>
            <w:tcW w:w="686" w:type="pct"/>
            <w:tcBorders>
              <w:top w:val="single" w:sz="4" w:space="0" w:color="53565A" w:themeColor="accent5"/>
              <w:bottom w:val="single" w:sz="4" w:space="0" w:color="53565A" w:themeColor="accent5"/>
            </w:tcBorders>
          </w:tcPr>
          <w:p w14:paraId="7A4139B9" w14:textId="5BAAE956"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(55.9)</w:t>
            </w:r>
          </w:p>
        </w:tc>
      </w:tr>
      <w:tr w:rsidR="004504B3" w:rsidRPr="005734B8" w14:paraId="606C5515" w14:textId="399FD516" w:rsidTr="000F48B1">
        <w:tc>
          <w:tcPr>
            <w:tcW w:w="1327" w:type="pct"/>
            <w:tcBorders>
              <w:top w:val="single" w:sz="18" w:space="0" w:color="53565A" w:themeColor="accent5"/>
              <w:bottom w:val="single" w:sz="4" w:space="0" w:color="53565A" w:themeColor="accent5"/>
            </w:tcBorders>
            <w:shd w:val="clear" w:color="auto" w:fill="auto"/>
          </w:tcPr>
          <w:p w14:paraId="2F9464B9" w14:textId="77777777" w:rsidR="004504B3" w:rsidRPr="005734B8" w:rsidRDefault="004504B3" w:rsidP="004504B3">
            <w:pPr>
              <w:pStyle w:val="ESTablebody"/>
              <w:rPr>
                <w:rFonts w:ascii="Calibri" w:hAnsi="Calibri" w:cs="Calibri"/>
                <w:b/>
                <w:sz w:val="18"/>
              </w:rPr>
            </w:pPr>
            <w:r w:rsidRPr="005734B8">
              <w:rPr>
                <w:rFonts w:ascii="Calibri" w:hAnsi="Calibri" w:cs="Calibri"/>
                <w:b/>
                <w:sz w:val="18"/>
              </w:rPr>
              <w:t>Total receipts</w:t>
            </w:r>
          </w:p>
        </w:tc>
        <w:tc>
          <w:tcPr>
            <w:tcW w:w="499" w:type="pct"/>
            <w:tcBorders>
              <w:top w:val="single" w:sz="18" w:space="0" w:color="53565A" w:themeColor="accent5"/>
              <w:bottom w:val="single" w:sz="4" w:space="0" w:color="53565A" w:themeColor="accent5"/>
            </w:tcBorders>
            <w:shd w:val="clear" w:color="auto" w:fill="auto"/>
            <w:vAlign w:val="center"/>
          </w:tcPr>
          <w:p w14:paraId="6AE8DD14" w14:textId="77777777" w:rsidR="004504B3" w:rsidRPr="005734B8" w:rsidRDefault="004504B3" w:rsidP="004504B3">
            <w:pPr>
              <w:pStyle w:val="ESTablenumberrightaligned"/>
              <w:rPr>
                <w:rFonts w:ascii="Calibri" w:hAnsi="Calibri" w:cs="Calibri"/>
                <w:b/>
                <w:sz w:val="18"/>
              </w:rPr>
            </w:pPr>
          </w:p>
        </w:tc>
        <w:tc>
          <w:tcPr>
            <w:tcW w:w="1050" w:type="pct"/>
            <w:tcBorders>
              <w:top w:val="single" w:sz="18" w:space="0" w:color="53565A" w:themeColor="accent5"/>
              <w:bottom w:val="single" w:sz="4" w:space="0" w:color="53565A" w:themeColor="accent5"/>
            </w:tcBorders>
            <w:shd w:val="clear" w:color="auto" w:fill="D9D9D6" w:themeFill="accent6"/>
          </w:tcPr>
          <w:p w14:paraId="02763A3C" w14:textId="44D6A2E8"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szCs w:val="16"/>
              </w:rPr>
              <w:t>16,706.4</w:t>
            </w:r>
          </w:p>
        </w:tc>
        <w:tc>
          <w:tcPr>
            <w:tcW w:w="750" w:type="pct"/>
            <w:tcBorders>
              <w:top w:val="single" w:sz="18" w:space="0" w:color="53565A" w:themeColor="accent5"/>
              <w:bottom w:val="single" w:sz="4" w:space="0" w:color="53565A" w:themeColor="accent5"/>
            </w:tcBorders>
          </w:tcPr>
          <w:p w14:paraId="0CA4CDEA" w14:textId="79346C0E"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szCs w:val="16"/>
              </w:rPr>
              <w:t>17,075.8</w:t>
            </w:r>
          </w:p>
        </w:tc>
        <w:tc>
          <w:tcPr>
            <w:tcW w:w="688" w:type="pct"/>
            <w:tcBorders>
              <w:top w:val="single" w:sz="18" w:space="0" w:color="53565A" w:themeColor="accent5"/>
              <w:bottom w:val="single" w:sz="4" w:space="0" w:color="53565A" w:themeColor="accent5"/>
            </w:tcBorders>
          </w:tcPr>
          <w:p w14:paraId="297C53BE" w14:textId="6B2243C1"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szCs w:val="16"/>
              </w:rPr>
              <w:t>(2)</w:t>
            </w:r>
          </w:p>
        </w:tc>
        <w:tc>
          <w:tcPr>
            <w:tcW w:w="686" w:type="pct"/>
            <w:tcBorders>
              <w:top w:val="single" w:sz="18" w:space="0" w:color="53565A" w:themeColor="accent5"/>
              <w:bottom w:val="single" w:sz="4" w:space="0" w:color="53565A" w:themeColor="accent5"/>
            </w:tcBorders>
          </w:tcPr>
          <w:p w14:paraId="21A5604E" w14:textId="1C8E27E5"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szCs w:val="16"/>
              </w:rPr>
              <w:t>(369.4)</w:t>
            </w:r>
          </w:p>
        </w:tc>
      </w:tr>
      <w:tr w:rsidR="004504B3" w:rsidRPr="005734B8" w14:paraId="60E151B7" w14:textId="598BC0A3" w:rsidTr="00843378">
        <w:tc>
          <w:tcPr>
            <w:tcW w:w="1327" w:type="pct"/>
            <w:tcBorders>
              <w:top w:val="single" w:sz="4" w:space="0" w:color="53565A" w:themeColor="accent5"/>
              <w:bottom w:val="single" w:sz="4" w:space="0" w:color="53565A" w:themeColor="accent5"/>
              <w:right w:val="nil"/>
            </w:tcBorders>
            <w:shd w:val="clear" w:color="auto" w:fill="D9D9D6" w:themeFill="accent6"/>
          </w:tcPr>
          <w:p w14:paraId="3708E66D" w14:textId="77777777" w:rsidR="004504B3" w:rsidRPr="005734B8" w:rsidRDefault="004504B3" w:rsidP="004504B3">
            <w:pPr>
              <w:pStyle w:val="ESTablebody"/>
              <w:rPr>
                <w:rFonts w:ascii="Calibri" w:hAnsi="Calibri" w:cs="Calibri"/>
                <w:b/>
                <w:sz w:val="18"/>
              </w:rPr>
            </w:pPr>
            <w:r w:rsidRPr="005734B8">
              <w:rPr>
                <w:rFonts w:ascii="Calibri" w:hAnsi="Calibri" w:cs="Calibri"/>
                <w:b/>
                <w:sz w:val="18"/>
              </w:rPr>
              <w:t>Payments</w:t>
            </w:r>
          </w:p>
        </w:tc>
        <w:tc>
          <w:tcPr>
            <w:tcW w:w="499" w:type="pct"/>
            <w:tcBorders>
              <w:top w:val="single" w:sz="4" w:space="0" w:color="53565A" w:themeColor="accent5"/>
              <w:left w:val="nil"/>
              <w:bottom w:val="single" w:sz="4" w:space="0" w:color="53565A" w:themeColor="accent5"/>
              <w:right w:val="nil"/>
            </w:tcBorders>
            <w:shd w:val="clear" w:color="auto" w:fill="D9D9D6" w:themeFill="accent6"/>
            <w:vAlign w:val="center"/>
          </w:tcPr>
          <w:p w14:paraId="6B7CB305" w14:textId="77777777" w:rsidR="004504B3" w:rsidRPr="005734B8" w:rsidRDefault="004504B3" w:rsidP="004504B3">
            <w:pPr>
              <w:pStyle w:val="ESTablenumberrightaligned"/>
              <w:rPr>
                <w:rFonts w:ascii="Calibri" w:hAnsi="Calibri" w:cs="Calibri"/>
                <w:b/>
                <w:sz w:val="18"/>
              </w:rPr>
            </w:pPr>
          </w:p>
        </w:tc>
        <w:tc>
          <w:tcPr>
            <w:tcW w:w="1050" w:type="pct"/>
            <w:tcBorders>
              <w:top w:val="single" w:sz="4" w:space="0" w:color="53565A" w:themeColor="accent5"/>
              <w:left w:val="nil"/>
              <w:bottom w:val="single" w:sz="4" w:space="0" w:color="53565A" w:themeColor="accent5"/>
              <w:right w:val="nil"/>
            </w:tcBorders>
            <w:shd w:val="clear" w:color="auto" w:fill="D9D9D6" w:themeFill="accent6"/>
            <w:vAlign w:val="center"/>
          </w:tcPr>
          <w:p w14:paraId="29ECB556" w14:textId="77777777" w:rsidR="004504B3" w:rsidRPr="005734B8" w:rsidRDefault="004504B3" w:rsidP="004504B3">
            <w:pPr>
              <w:pStyle w:val="ESTablenumberrightaligned"/>
              <w:rPr>
                <w:rFonts w:ascii="Calibri" w:hAnsi="Calibri" w:cs="Calibri"/>
                <w:b/>
                <w:sz w:val="18"/>
              </w:rPr>
            </w:pPr>
          </w:p>
        </w:tc>
        <w:tc>
          <w:tcPr>
            <w:tcW w:w="750" w:type="pct"/>
            <w:tcBorders>
              <w:top w:val="single" w:sz="4" w:space="0" w:color="53565A" w:themeColor="accent5"/>
              <w:left w:val="nil"/>
              <w:bottom w:val="single" w:sz="4" w:space="0" w:color="53565A" w:themeColor="accent5"/>
              <w:right w:val="nil"/>
            </w:tcBorders>
            <w:shd w:val="clear" w:color="auto" w:fill="D9D9D6" w:themeFill="accent6"/>
            <w:vAlign w:val="center"/>
          </w:tcPr>
          <w:p w14:paraId="78F57B15" w14:textId="77777777" w:rsidR="004504B3" w:rsidRPr="005734B8" w:rsidRDefault="004504B3" w:rsidP="004504B3">
            <w:pPr>
              <w:pStyle w:val="ESTablenumberrightaligned"/>
              <w:rPr>
                <w:rFonts w:ascii="Calibri" w:hAnsi="Calibri" w:cs="Calibri"/>
                <w:b/>
                <w:sz w:val="18"/>
              </w:rPr>
            </w:pPr>
          </w:p>
        </w:tc>
        <w:tc>
          <w:tcPr>
            <w:tcW w:w="688" w:type="pct"/>
            <w:tcBorders>
              <w:top w:val="single" w:sz="4" w:space="0" w:color="53565A" w:themeColor="accent5"/>
              <w:left w:val="nil"/>
              <w:bottom w:val="single" w:sz="4" w:space="0" w:color="53565A" w:themeColor="accent5"/>
              <w:right w:val="nil"/>
            </w:tcBorders>
            <w:shd w:val="clear" w:color="auto" w:fill="D9D9D6" w:themeFill="accent6"/>
            <w:vAlign w:val="center"/>
          </w:tcPr>
          <w:p w14:paraId="7C7FC278" w14:textId="77777777" w:rsidR="004504B3" w:rsidRPr="005734B8" w:rsidRDefault="004504B3" w:rsidP="004504B3">
            <w:pPr>
              <w:pStyle w:val="ESTablenumberrightaligned"/>
              <w:rPr>
                <w:rFonts w:ascii="Calibri" w:hAnsi="Calibri" w:cs="Calibri"/>
                <w:b/>
                <w:sz w:val="18"/>
              </w:rPr>
            </w:pPr>
          </w:p>
        </w:tc>
        <w:tc>
          <w:tcPr>
            <w:tcW w:w="686" w:type="pct"/>
            <w:tcBorders>
              <w:top w:val="single" w:sz="4" w:space="0" w:color="53565A" w:themeColor="accent5"/>
              <w:left w:val="nil"/>
              <w:bottom w:val="single" w:sz="4" w:space="0" w:color="53565A" w:themeColor="accent5"/>
              <w:right w:val="nil"/>
            </w:tcBorders>
            <w:shd w:val="clear" w:color="auto" w:fill="D9D9D6" w:themeFill="accent6"/>
            <w:vAlign w:val="center"/>
          </w:tcPr>
          <w:p w14:paraId="4C5480E3" w14:textId="77777777" w:rsidR="004504B3" w:rsidRPr="005734B8" w:rsidRDefault="004504B3" w:rsidP="004504B3">
            <w:pPr>
              <w:pStyle w:val="ESTablenumberrightaligned"/>
              <w:rPr>
                <w:rFonts w:ascii="Calibri" w:hAnsi="Calibri" w:cs="Calibri"/>
                <w:b/>
                <w:sz w:val="18"/>
              </w:rPr>
            </w:pPr>
          </w:p>
        </w:tc>
      </w:tr>
      <w:tr w:rsidR="004504B3" w:rsidRPr="005734B8" w14:paraId="3B3D80CC" w14:textId="167EACD4" w:rsidTr="000F48B1">
        <w:tc>
          <w:tcPr>
            <w:tcW w:w="1327" w:type="pct"/>
            <w:tcBorders>
              <w:top w:val="single" w:sz="4" w:space="0" w:color="53565A" w:themeColor="accent5"/>
              <w:bottom w:val="single" w:sz="4" w:space="0" w:color="53565A" w:themeColor="accent5"/>
            </w:tcBorders>
            <w:shd w:val="clear" w:color="auto" w:fill="auto"/>
            <w:vAlign w:val="center"/>
          </w:tcPr>
          <w:p w14:paraId="3F08BDBC" w14:textId="77777777" w:rsidR="004504B3" w:rsidRPr="005734B8" w:rsidRDefault="004504B3" w:rsidP="004504B3">
            <w:pPr>
              <w:pStyle w:val="ESTablebody"/>
              <w:rPr>
                <w:rFonts w:ascii="Calibri" w:hAnsi="Calibri" w:cs="Calibri"/>
                <w:sz w:val="18"/>
              </w:rPr>
            </w:pPr>
            <w:r w:rsidRPr="005734B8">
              <w:rPr>
                <w:rFonts w:ascii="Calibri" w:hAnsi="Calibri" w:cs="Calibri"/>
                <w:sz w:val="18"/>
                <w:lang w:val="en-AU"/>
              </w:rPr>
              <w:t>Payments of grants and other transfers</w:t>
            </w:r>
          </w:p>
        </w:tc>
        <w:tc>
          <w:tcPr>
            <w:tcW w:w="499" w:type="pct"/>
            <w:tcBorders>
              <w:top w:val="single" w:sz="4" w:space="0" w:color="53565A" w:themeColor="accent5"/>
              <w:bottom w:val="single" w:sz="4" w:space="0" w:color="53565A" w:themeColor="accent5"/>
            </w:tcBorders>
            <w:shd w:val="clear" w:color="auto" w:fill="auto"/>
            <w:vAlign w:val="center"/>
          </w:tcPr>
          <w:p w14:paraId="4D63B07C" w14:textId="05942527" w:rsidR="004504B3" w:rsidRPr="005734B8" w:rsidRDefault="004504B3" w:rsidP="004504B3">
            <w:pPr>
              <w:pStyle w:val="ESTablenumberrightaligned"/>
              <w:rPr>
                <w:rFonts w:ascii="Calibri" w:hAnsi="Calibri" w:cs="Calibri"/>
                <w:sz w:val="18"/>
              </w:rPr>
            </w:pPr>
            <w:r w:rsidRPr="005734B8">
              <w:rPr>
                <w:rFonts w:ascii="Calibri" w:hAnsi="Calibri" w:cs="Calibri"/>
                <w:sz w:val="18"/>
              </w:rPr>
              <w:t>e</w:t>
            </w:r>
          </w:p>
        </w:tc>
        <w:tc>
          <w:tcPr>
            <w:tcW w:w="1050" w:type="pct"/>
            <w:tcBorders>
              <w:top w:val="single" w:sz="4" w:space="0" w:color="53565A" w:themeColor="accent5"/>
              <w:bottom w:val="single" w:sz="4" w:space="0" w:color="53565A" w:themeColor="accent5"/>
            </w:tcBorders>
            <w:shd w:val="clear" w:color="auto" w:fill="D9D9D6" w:themeFill="accent6"/>
          </w:tcPr>
          <w:p w14:paraId="04766110" w14:textId="50805F6C"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(1,616.7)</w:t>
            </w:r>
          </w:p>
        </w:tc>
        <w:tc>
          <w:tcPr>
            <w:tcW w:w="750" w:type="pct"/>
            <w:tcBorders>
              <w:top w:val="single" w:sz="4" w:space="0" w:color="53565A" w:themeColor="accent5"/>
              <w:bottom w:val="single" w:sz="4" w:space="0" w:color="53565A" w:themeColor="accent5"/>
            </w:tcBorders>
          </w:tcPr>
          <w:p w14:paraId="4C765863" w14:textId="67D9888D"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(1,793.7)</w:t>
            </w:r>
          </w:p>
        </w:tc>
        <w:tc>
          <w:tcPr>
            <w:tcW w:w="688" w:type="pct"/>
            <w:tcBorders>
              <w:top w:val="single" w:sz="4" w:space="0" w:color="53565A" w:themeColor="accent5"/>
              <w:bottom w:val="single" w:sz="4" w:space="0" w:color="53565A" w:themeColor="accent5"/>
            </w:tcBorders>
          </w:tcPr>
          <w:p w14:paraId="7329A2EE" w14:textId="1F586CA8"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(10)</w:t>
            </w:r>
          </w:p>
        </w:tc>
        <w:tc>
          <w:tcPr>
            <w:tcW w:w="686" w:type="pct"/>
            <w:tcBorders>
              <w:top w:val="single" w:sz="4" w:space="0" w:color="53565A" w:themeColor="accent5"/>
              <w:bottom w:val="single" w:sz="4" w:space="0" w:color="53565A" w:themeColor="accent5"/>
            </w:tcBorders>
          </w:tcPr>
          <w:p w14:paraId="1F5C83EB" w14:textId="1E4D1DEF"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177.0</w:t>
            </w:r>
          </w:p>
        </w:tc>
      </w:tr>
      <w:tr w:rsidR="004504B3" w:rsidRPr="005734B8" w14:paraId="43B25649" w14:textId="2B845EE8" w:rsidTr="000F48B1">
        <w:tc>
          <w:tcPr>
            <w:tcW w:w="1327" w:type="pct"/>
            <w:tcBorders>
              <w:top w:val="single" w:sz="4" w:space="0" w:color="53565A" w:themeColor="accent5"/>
              <w:bottom w:val="single" w:sz="4" w:space="0" w:color="53565A" w:themeColor="accent5"/>
            </w:tcBorders>
            <w:shd w:val="clear" w:color="auto" w:fill="auto"/>
            <w:vAlign w:val="center"/>
          </w:tcPr>
          <w:p w14:paraId="4182F551" w14:textId="77777777" w:rsidR="004504B3" w:rsidRPr="005734B8" w:rsidRDefault="004504B3" w:rsidP="004504B3">
            <w:pPr>
              <w:pStyle w:val="ESTablebody"/>
              <w:rPr>
                <w:rFonts w:ascii="Calibri" w:hAnsi="Calibri" w:cs="Calibri"/>
                <w:sz w:val="18"/>
              </w:rPr>
            </w:pPr>
            <w:r w:rsidRPr="005734B8">
              <w:rPr>
                <w:rFonts w:ascii="Calibri" w:hAnsi="Calibri" w:cs="Calibri"/>
                <w:sz w:val="18"/>
                <w:lang w:val="en-AU"/>
              </w:rPr>
              <w:t xml:space="preserve">Payments to suppliers and employees </w:t>
            </w:r>
          </w:p>
        </w:tc>
        <w:tc>
          <w:tcPr>
            <w:tcW w:w="499" w:type="pct"/>
            <w:tcBorders>
              <w:top w:val="single" w:sz="4" w:space="0" w:color="53565A" w:themeColor="accent5"/>
              <w:bottom w:val="single" w:sz="4" w:space="0" w:color="53565A" w:themeColor="accent5"/>
            </w:tcBorders>
            <w:shd w:val="clear" w:color="auto" w:fill="auto"/>
            <w:vAlign w:val="center"/>
          </w:tcPr>
          <w:p w14:paraId="5809EAC8" w14:textId="66F6C1E2" w:rsidR="004504B3" w:rsidRPr="005734B8" w:rsidRDefault="004504B3" w:rsidP="004504B3">
            <w:pPr>
              <w:pStyle w:val="ESTablenumberrightaligned"/>
              <w:rPr>
                <w:rFonts w:ascii="Calibri" w:hAnsi="Calibri" w:cs="Calibri"/>
                <w:sz w:val="18"/>
              </w:rPr>
            </w:pPr>
            <w:r w:rsidRPr="005734B8">
              <w:rPr>
                <w:rFonts w:ascii="Calibri" w:hAnsi="Calibri" w:cs="Calibri"/>
                <w:sz w:val="18"/>
              </w:rPr>
              <w:t>f</w:t>
            </w:r>
          </w:p>
        </w:tc>
        <w:tc>
          <w:tcPr>
            <w:tcW w:w="1050" w:type="pct"/>
            <w:tcBorders>
              <w:top w:val="single" w:sz="4" w:space="0" w:color="53565A" w:themeColor="accent5"/>
              <w:bottom w:val="single" w:sz="4" w:space="0" w:color="53565A" w:themeColor="accent5"/>
            </w:tcBorders>
            <w:shd w:val="clear" w:color="auto" w:fill="D9D9D6" w:themeFill="accent6"/>
          </w:tcPr>
          <w:p w14:paraId="0F80EA01" w14:textId="62F0DED7"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(12,335.1)</w:t>
            </w:r>
          </w:p>
        </w:tc>
        <w:tc>
          <w:tcPr>
            <w:tcW w:w="750" w:type="pct"/>
            <w:tcBorders>
              <w:top w:val="single" w:sz="4" w:space="0" w:color="53565A" w:themeColor="accent5"/>
              <w:bottom w:val="single" w:sz="4" w:space="0" w:color="53565A" w:themeColor="accent5"/>
            </w:tcBorders>
          </w:tcPr>
          <w:p w14:paraId="5F9DD8B1" w14:textId="4DA1C895"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(12,487.1)</w:t>
            </w:r>
          </w:p>
        </w:tc>
        <w:tc>
          <w:tcPr>
            <w:tcW w:w="688" w:type="pct"/>
            <w:tcBorders>
              <w:top w:val="single" w:sz="4" w:space="0" w:color="53565A" w:themeColor="accent5"/>
              <w:bottom w:val="single" w:sz="4" w:space="0" w:color="53565A" w:themeColor="accent5"/>
            </w:tcBorders>
          </w:tcPr>
          <w:p w14:paraId="458EDE35" w14:textId="5298CAE1"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(1)</w:t>
            </w:r>
          </w:p>
        </w:tc>
        <w:tc>
          <w:tcPr>
            <w:tcW w:w="686" w:type="pct"/>
            <w:tcBorders>
              <w:top w:val="single" w:sz="4" w:space="0" w:color="53565A" w:themeColor="accent5"/>
              <w:bottom w:val="single" w:sz="4" w:space="0" w:color="53565A" w:themeColor="accent5"/>
            </w:tcBorders>
          </w:tcPr>
          <w:p w14:paraId="14EF8447" w14:textId="4AABEFE8"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151.9</w:t>
            </w:r>
          </w:p>
        </w:tc>
      </w:tr>
      <w:tr w:rsidR="004504B3" w:rsidRPr="005734B8" w14:paraId="399D00B5" w14:textId="47F4B716" w:rsidTr="000F48B1">
        <w:tc>
          <w:tcPr>
            <w:tcW w:w="1327" w:type="pct"/>
            <w:tcBorders>
              <w:top w:val="single" w:sz="4" w:space="0" w:color="53565A" w:themeColor="accent5"/>
              <w:bottom w:val="single" w:sz="4" w:space="0" w:color="53565A" w:themeColor="accent5"/>
            </w:tcBorders>
            <w:shd w:val="clear" w:color="auto" w:fill="auto"/>
            <w:vAlign w:val="center"/>
          </w:tcPr>
          <w:p w14:paraId="2BA4F4BB" w14:textId="77777777" w:rsidR="004504B3" w:rsidRPr="005734B8" w:rsidRDefault="004504B3" w:rsidP="004504B3">
            <w:pPr>
              <w:pStyle w:val="ESTablebody"/>
              <w:rPr>
                <w:rFonts w:ascii="Calibri" w:hAnsi="Calibri" w:cs="Calibri"/>
                <w:sz w:val="18"/>
              </w:rPr>
            </w:pPr>
            <w:r w:rsidRPr="005734B8">
              <w:rPr>
                <w:rFonts w:ascii="Calibri" w:hAnsi="Calibri" w:cs="Calibri"/>
                <w:sz w:val="18"/>
                <w:lang w:val="en-AU"/>
              </w:rPr>
              <w:t>Capital asset charge</w:t>
            </w:r>
          </w:p>
        </w:tc>
        <w:tc>
          <w:tcPr>
            <w:tcW w:w="499" w:type="pct"/>
            <w:tcBorders>
              <w:top w:val="single" w:sz="4" w:space="0" w:color="53565A" w:themeColor="accent5"/>
              <w:bottom w:val="single" w:sz="4" w:space="0" w:color="53565A" w:themeColor="accent5"/>
            </w:tcBorders>
            <w:shd w:val="clear" w:color="auto" w:fill="auto"/>
            <w:vAlign w:val="center"/>
          </w:tcPr>
          <w:p w14:paraId="724D64F9" w14:textId="77777777" w:rsidR="004504B3" w:rsidRPr="005734B8" w:rsidRDefault="004504B3" w:rsidP="004504B3">
            <w:pPr>
              <w:pStyle w:val="ESTablenumberrightaligned"/>
              <w:rPr>
                <w:rFonts w:ascii="Calibri" w:hAnsi="Calibri" w:cs="Calibri"/>
                <w:sz w:val="18"/>
              </w:rPr>
            </w:pPr>
          </w:p>
        </w:tc>
        <w:tc>
          <w:tcPr>
            <w:tcW w:w="1050" w:type="pct"/>
            <w:tcBorders>
              <w:top w:val="single" w:sz="4" w:space="0" w:color="53565A" w:themeColor="accent5"/>
              <w:bottom w:val="single" w:sz="4" w:space="0" w:color="53565A" w:themeColor="accent5"/>
            </w:tcBorders>
            <w:shd w:val="clear" w:color="auto" w:fill="D9D9D6" w:themeFill="accent6"/>
          </w:tcPr>
          <w:p w14:paraId="1E27A9C2" w14:textId="3335438E"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(1,996.3)</w:t>
            </w:r>
          </w:p>
        </w:tc>
        <w:tc>
          <w:tcPr>
            <w:tcW w:w="750" w:type="pct"/>
            <w:tcBorders>
              <w:top w:val="single" w:sz="4" w:space="0" w:color="53565A" w:themeColor="accent5"/>
              <w:bottom w:val="single" w:sz="4" w:space="0" w:color="53565A" w:themeColor="accent5"/>
            </w:tcBorders>
          </w:tcPr>
          <w:p w14:paraId="72A83058" w14:textId="1D6D7D86"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(1,996.0)</w:t>
            </w:r>
          </w:p>
        </w:tc>
        <w:tc>
          <w:tcPr>
            <w:tcW w:w="688" w:type="pct"/>
            <w:tcBorders>
              <w:top w:val="single" w:sz="4" w:space="0" w:color="53565A" w:themeColor="accent5"/>
              <w:bottom w:val="single" w:sz="4" w:space="0" w:color="53565A" w:themeColor="accent5"/>
            </w:tcBorders>
          </w:tcPr>
          <w:p w14:paraId="39539B00" w14:textId="2F154ECA" w:rsidR="004504B3" w:rsidRPr="005734B8" w:rsidRDefault="006404A1" w:rsidP="004504B3">
            <w:pPr>
              <w:pStyle w:val="ESTablenumberrightaligned"/>
              <w:rPr>
                <w:rFonts w:ascii="Calibri" w:hAnsi="Calibri" w:cs="Calibri"/>
                <w:sz w:val="18"/>
              </w:rPr>
            </w:pPr>
            <w:r w:rsidRPr="005734B8">
              <w:rPr>
                <w:rFonts w:ascii="Calibri" w:hAnsi="Calibri" w:cs="Calibri"/>
                <w:sz w:val="18"/>
              </w:rPr>
              <w:t xml:space="preserve"> –</w:t>
            </w:r>
          </w:p>
        </w:tc>
        <w:tc>
          <w:tcPr>
            <w:tcW w:w="686" w:type="pct"/>
            <w:tcBorders>
              <w:top w:val="single" w:sz="4" w:space="0" w:color="53565A" w:themeColor="accent5"/>
              <w:bottom w:val="single" w:sz="4" w:space="0" w:color="53565A" w:themeColor="accent5"/>
            </w:tcBorders>
          </w:tcPr>
          <w:p w14:paraId="576E32BA" w14:textId="07B7B406"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(0.3)</w:t>
            </w:r>
          </w:p>
        </w:tc>
      </w:tr>
      <w:tr w:rsidR="004504B3" w:rsidRPr="005734B8" w14:paraId="04FA2CBD" w14:textId="208B6035" w:rsidTr="000F48B1">
        <w:tc>
          <w:tcPr>
            <w:tcW w:w="1327" w:type="pct"/>
            <w:tcBorders>
              <w:top w:val="single" w:sz="4" w:space="0" w:color="53565A" w:themeColor="accent5"/>
              <w:bottom w:val="single" w:sz="4" w:space="0" w:color="53565A" w:themeColor="accent5"/>
            </w:tcBorders>
            <w:shd w:val="clear" w:color="auto" w:fill="auto"/>
            <w:vAlign w:val="center"/>
          </w:tcPr>
          <w:p w14:paraId="5730F240" w14:textId="77777777" w:rsidR="004504B3" w:rsidRPr="005734B8" w:rsidRDefault="004504B3" w:rsidP="004504B3">
            <w:pPr>
              <w:pStyle w:val="ESTablebody"/>
              <w:rPr>
                <w:rFonts w:ascii="Calibri" w:hAnsi="Calibri" w:cs="Calibri"/>
                <w:sz w:val="18"/>
              </w:rPr>
            </w:pPr>
            <w:r w:rsidRPr="005734B8">
              <w:rPr>
                <w:rFonts w:ascii="Calibri" w:hAnsi="Calibri" w:cs="Calibri"/>
                <w:sz w:val="18"/>
                <w:lang w:val="en-AU"/>
              </w:rPr>
              <w:t>Interest and other costs of finance paid</w:t>
            </w:r>
          </w:p>
        </w:tc>
        <w:tc>
          <w:tcPr>
            <w:tcW w:w="499" w:type="pct"/>
            <w:tcBorders>
              <w:top w:val="single" w:sz="4" w:space="0" w:color="53565A" w:themeColor="accent5"/>
              <w:bottom w:val="single" w:sz="4" w:space="0" w:color="53565A" w:themeColor="accent5"/>
            </w:tcBorders>
            <w:shd w:val="clear" w:color="auto" w:fill="auto"/>
            <w:vAlign w:val="center"/>
          </w:tcPr>
          <w:p w14:paraId="0BCA5A91" w14:textId="58345796" w:rsidR="004504B3" w:rsidRPr="005734B8" w:rsidRDefault="004504B3" w:rsidP="004504B3">
            <w:pPr>
              <w:pStyle w:val="ESTablenumberrightaligned"/>
              <w:rPr>
                <w:rFonts w:ascii="Calibri" w:hAnsi="Calibri" w:cs="Calibri"/>
                <w:sz w:val="18"/>
              </w:rPr>
            </w:pPr>
            <w:r w:rsidRPr="005734B8">
              <w:rPr>
                <w:rFonts w:ascii="Calibri" w:hAnsi="Calibri" w:cs="Calibri"/>
                <w:sz w:val="18"/>
              </w:rPr>
              <w:t>g</w:t>
            </w:r>
          </w:p>
        </w:tc>
        <w:tc>
          <w:tcPr>
            <w:tcW w:w="1050" w:type="pct"/>
            <w:tcBorders>
              <w:top w:val="single" w:sz="4" w:space="0" w:color="53565A" w:themeColor="accent5"/>
              <w:bottom w:val="single" w:sz="4" w:space="0" w:color="53565A" w:themeColor="accent5"/>
            </w:tcBorders>
            <w:shd w:val="clear" w:color="auto" w:fill="D9D9D6" w:themeFill="accent6"/>
          </w:tcPr>
          <w:p w14:paraId="6D0133EE" w14:textId="1B80658C"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(27.3)</w:t>
            </w:r>
          </w:p>
        </w:tc>
        <w:tc>
          <w:tcPr>
            <w:tcW w:w="750" w:type="pct"/>
            <w:tcBorders>
              <w:top w:val="single" w:sz="4" w:space="0" w:color="53565A" w:themeColor="accent5"/>
              <w:bottom w:val="single" w:sz="4" w:space="0" w:color="53565A" w:themeColor="accent5"/>
            </w:tcBorders>
          </w:tcPr>
          <w:p w14:paraId="623227B2" w14:textId="27C45FDD"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(28.9)</w:t>
            </w:r>
          </w:p>
        </w:tc>
        <w:tc>
          <w:tcPr>
            <w:tcW w:w="688" w:type="pct"/>
            <w:tcBorders>
              <w:top w:val="single" w:sz="4" w:space="0" w:color="53565A" w:themeColor="accent5"/>
              <w:bottom w:val="single" w:sz="4" w:space="0" w:color="53565A" w:themeColor="accent5"/>
            </w:tcBorders>
          </w:tcPr>
          <w:p w14:paraId="3929C9C8" w14:textId="339E5703"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(5)</w:t>
            </w:r>
          </w:p>
        </w:tc>
        <w:tc>
          <w:tcPr>
            <w:tcW w:w="686" w:type="pct"/>
            <w:tcBorders>
              <w:top w:val="single" w:sz="4" w:space="0" w:color="53565A" w:themeColor="accent5"/>
              <w:bottom w:val="single" w:sz="4" w:space="0" w:color="53565A" w:themeColor="accent5"/>
            </w:tcBorders>
          </w:tcPr>
          <w:p w14:paraId="132EC9A3" w14:textId="5C7CCAA1" w:rsidR="004504B3" w:rsidRPr="005734B8" w:rsidRDefault="004504B3" w:rsidP="004504B3">
            <w:pPr>
              <w:pStyle w:val="ESTablenumberrightaligned"/>
              <w:rPr>
                <w:rFonts w:ascii="Calibri" w:hAnsi="Calibri" w:cs="Calibri"/>
                <w:sz w:val="18"/>
              </w:rPr>
            </w:pPr>
            <w:r w:rsidRPr="005734B8">
              <w:rPr>
                <w:rFonts w:ascii="Calibri" w:hAnsi="Calibri" w:cs="Calibri"/>
                <w:sz w:val="18"/>
                <w:szCs w:val="16"/>
              </w:rPr>
              <w:t>1.6</w:t>
            </w:r>
          </w:p>
        </w:tc>
      </w:tr>
      <w:tr w:rsidR="004504B3" w:rsidRPr="005734B8" w14:paraId="2A3A4CDE" w14:textId="54213CDD" w:rsidTr="000F48B1">
        <w:tc>
          <w:tcPr>
            <w:tcW w:w="1327" w:type="pct"/>
            <w:tcBorders>
              <w:top w:val="single" w:sz="18" w:space="0" w:color="53565A" w:themeColor="accent5"/>
              <w:bottom w:val="single" w:sz="18" w:space="0" w:color="53565A" w:themeColor="accent5"/>
            </w:tcBorders>
            <w:shd w:val="clear" w:color="auto" w:fill="auto"/>
            <w:vAlign w:val="center"/>
          </w:tcPr>
          <w:p w14:paraId="0C92FCD2" w14:textId="77777777" w:rsidR="004504B3" w:rsidRPr="005734B8" w:rsidRDefault="004504B3" w:rsidP="004504B3">
            <w:pPr>
              <w:pStyle w:val="ESTablebody"/>
              <w:rPr>
                <w:rFonts w:ascii="Calibri" w:hAnsi="Calibri" w:cs="Calibri"/>
                <w:b/>
                <w:sz w:val="18"/>
              </w:rPr>
            </w:pPr>
            <w:r w:rsidRPr="005734B8">
              <w:rPr>
                <w:rFonts w:ascii="Calibri" w:hAnsi="Calibri" w:cs="Calibri"/>
                <w:b/>
                <w:sz w:val="18"/>
                <w:lang w:val="en-AU"/>
              </w:rPr>
              <w:t>Total payments</w:t>
            </w:r>
          </w:p>
        </w:tc>
        <w:tc>
          <w:tcPr>
            <w:tcW w:w="499" w:type="pct"/>
            <w:tcBorders>
              <w:top w:val="single" w:sz="18" w:space="0" w:color="53565A" w:themeColor="accent5"/>
              <w:bottom w:val="single" w:sz="18" w:space="0" w:color="53565A" w:themeColor="accent5"/>
            </w:tcBorders>
            <w:shd w:val="clear" w:color="auto" w:fill="auto"/>
            <w:vAlign w:val="center"/>
          </w:tcPr>
          <w:p w14:paraId="7DF9B391" w14:textId="77777777" w:rsidR="004504B3" w:rsidRPr="005734B8" w:rsidRDefault="004504B3" w:rsidP="004504B3">
            <w:pPr>
              <w:pStyle w:val="ESTablenumberrightaligned"/>
              <w:rPr>
                <w:rFonts w:ascii="Calibri" w:hAnsi="Calibri" w:cs="Calibri"/>
                <w:b/>
                <w:sz w:val="18"/>
              </w:rPr>
            </w:pPr>
          </w:p>
        </w:tc>
        <w:tc>
          <w:tcPr>
            <w:tcW w:w="1050" w:type="pct"/>
            <w:tcBorders>
              <w:top w:val="single" w:sz="18" w:space="0" w:color="53565A" w:themeColor="accent5"/>
              <w:bottom w:val="single" w:sz="18" w:space="0" w:color="53565A" w:themeColor="accent5"/>
            </w:tcBorders>
            <w:shd w:val="clear" w:color="auto" w:fill="D9D9D6" w:themeFill="accent6"/>
          </w:tcPr>
          <w:p w14:paraId="6F6AB31D" w14:textId="016B33F9"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szCs w:val="16"/>
              </w:rPr>
              <w:t>(15,975.4)</w:t>
            </w:r>
          </w:p>
        </w:tc>
        <w:tc>
          <w:tcPr>
            <w:tcW w:w="750" w:type="pct"/>
            <w:tcBorders>
              <w:top w:val="single" w:sz="18" w:space="0" w:color="53565A" w:themeColor="accent5"/>
              <w:bottom w:val="single" w:sz="18" w:space="0" w:color="53565A" w:themeColor="accent5"/>
            </w:tcBorders>
          </w:tcPr>
          <w:p w14:paraId="6B666009" w14:textId="08B578CE"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szCs w:val="16"/>
              </w:rPr>
              <w:t>(16,305.6)</w:t>
            </w:r>
          </w:p>
        </w:tc>
        <w:tc>
          <w:tcPr>
            <w:tcW w:w="688" w:type="pct"/>
            <w:tcBorders>
              <w:top w:val="single" w:sz="18" w:space="0" w:color="53565A" w:themeColor="accent5"/>
              <w:bottom w:val="single" w:sz="18" w:space="0" w:color="53565A" w:themeColor="accent5"/>
            </w:tcBorders>
          </w:tcPr>
          <w:p w14:paraId="517F26E4" w14:textId="34E823CC"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szCs w:val="16"/>
              </w:rPr>
              <w:t>(2)</w:t>
            </w:r>
          </w:p>
        </w:tc>
        <w:tc>
          <w:tcPr>
            <w:tcW w:w="686" w:type="pct"/>
            <w:tcBorders>
              <w:top w:val="single" w:sz="18" w:space="0" w:color="53565A" w:themeColor="accent5"/>
              <w:bottom w:val="single" w:sz="18" w:space="0" w:color="53565A" w:themeColor="accent5"/>
            </w:tcBorders>
          </w:tcPr>
          <w:p w14:paraId="1603C8C8" w14:textId="48B2077D"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szCs w:val="16"/>
              </w:rPr>
              <w:t>330.1</w:t>
            </w:r>
          </w:p>
        </w:tc>
      </w:tr>
      <w:tr w:rsidR="004504B3" w:rsidRPr="005734B8" w14:paraId="3F4BE070" w14:textId="7758E928" w:rsidTr="000F48B1">
        <w:tc>
          <w:tcPr>
            <w:tcW w:w="1327" w:type="pct"/>
            <w:tcBorders>
              <w:top w:val="single" w:sz="18" w:space="0" w:color="53565A" w:themeColor="accent5"/>
              <w:bottom w:val="single" w:sz="18" w:space="0" w:color="53565A" w:themeColor="accent5"/>
            </w:tcBorders>
            <w:shd w:val="clear" w:color="auto" w:fill="auto"/>
          </w:tcPr>
          <w:p w14:paraId="19A39A92" w14:textId="77777777" w:rsidR="004504B3" w:rsidRPr="005734B8" w:rsidRDefault="004504B3" w:rsidP="004504B3">
            <w:pPr>
              <w:pStyle w:val="ESTablebody"/>
              <w:rPr>
                <w:rFonts w:ascii="Calibri" w:hAnsi="Calibri" w:cs="Calibri"/>
                <w:b/>
                <w:sz w:val="18"/>
              </w:rPr>
            </w:pPr>
            <w:r w:rsidRPr="005734B8">
              <w:rPr>
                <w:rFonts w:ascii="Calibri" w:hAnsi="Calibri" w:cs="Calibri"/>
                <w:b/>
                <w:sz w:val="18"/>
                <w:lang w:val="en-AU"/>
              </w:rPr>
              <w:t>Net cash flows from/(used in) operating activities</w:t>
            </w:r>
          </w:p>
        </w:tc>
        <w:tc>
          <w:tcPr>
            <w:tcW w:w="499" w:type="pct"/>
            <w:tcBorders>
              <w:top w:val="single" w:sz="18" w:space="0" w:color="53565A" w:themeColor="accent5"/>
              <w:bottom w:val="single" w:sz="18" w:space="0" w:color="53565A" w:themeColor="accent5"/>
            </w:tcBorders>
            <w:shd w:val="clear" w:color="auto" w:fill="auto"/>
            <w:vAlign w:val="center"/>
          </w:tcPr>
          <w:p w14:paraId="346D962D" w14:textId="77777777" w:rsidR="004504B3" w:rsidRPr="005734B8" w:rsidRDefault="004504B3" w:rsidP="004504B3">
            <w:pPr>
              <w:pStyle w:val="ESTablenumberrightaligned"/>
              <w:rPr>
                <w:rFonts w:ascii="Calibri" w:hAnsi="Calibri" w:cs="Calibri"/>
                <w:b/>
                <w:sz w:val="18"/>
              </w:rPr>
            </w:pPr>
          </w:p>
        </w:tc>
        <w:tc>
          <w:tcPr>
            <w:tcW w:w="1050" w:type="pct"/>
            <w:tcBorders>
              <w:top w:val="single" w:sz="18" w:space="0" w:color="53565A" w:themeColor="accent5"/>
              <w:bottom w:val="single" w:sz="18" w:space="0" w:color="53565A" w:themeColor="accent5"/>
            </w:tcBorders>
            <w:shd w:val="clear" w:color="auto" w:fill="D9D9D6" w:themeFill="accent6"/>
          </w:tcPr>
          <w:p w14:paraId="6B270C98" w14:textId="267C8040"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szCs w:val="16"/>
              </w:rPr>
              <w:t>730.9</w:t>
            </w:r>
          </w:p>
        </w:tc>
        <w:tc>
          <w:tcPr>
            <w:tcW w:w="750" w:type="pct"/>
            <w:tcBorders>
              <w:top w:val="single" w:sz="18" w:space="0" w:color="53565A" w:themeColor="accent5"/>
              <w:bottom w:val="single" w:sz="18" w:space="0" w:color="53565A" w:themeColor="accent5"/>
            </w:tcBorders>
          </w:tcPr>
          <w:p w14:paraId="541B11AA" w14:textId="1150D226"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szCs w:val="16"/>
              </w:rPr>
              <w:t>770.2</w:t>
            </w:r>
          </w:p>
        </w:tc>
        <w:tc>
          <w:tcPr>
            <w:tcW w:w="688" w:type="pct"/>
            <w:tcBorders>
              <w:top w:val="single" w:sz="18" w:space="0" w:color="53565A" w:themeColor="accent5"/>
              <w:bottom w:val="single" w:sz="18" w:space="0" w:color="53565A" w:themeColor="accent5"/>
            </w:tcBorders>
          </w:tcPr>
          <w:p w14:paraId="2D8176B5" w14:textId="649AA670"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szCs w:val="16"/>
              </w:rPr>
              <w:t>(5)</w:t>
            </w:r>
          </w:p>
        </w:tc>
        <w:tc>
          <w:tcPr>
            <w:tcW w:w="686" w:type="pct"/>
            <w:tcBorders>
              <w:top w:val="single" w:sz="18" w:space="0" w:color="53565A" w:themeColor="accent5"/>
              <w:bottom w:val="single" w:sz="18" w:space="0" w:color="53565A" w:themeColor="accent5"/>
            </w:tcBorders>
          </w:tcPr>
          <w:p w14:paraId="5AB3D053" w14:textId="1BEFFE17"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szCs w:val="16"/>
              </w:rPr>
              <w:t>(39.3)</w:t>
            </w:r>
          </w:p>
        </w:tc>
      </w:tr>
      <w:tr w:rsidR="00ED74EC" w:rsidRPr="005734B8" w14:paraId="57B288A1" w14:textId="589C9DF1" w:rsidTr="00843378">
        <w:tc>
          <w:tcPr>
            <w:tcW w:w="1327" w:type="pct"/>
            <w:tcBorders>
              <w:top w:val="single" w:sz="18" w:space="0" w:color="53565A" w:themeColor="accent5"/>
              <w:bottom w:val="single" w:sz="4" w:space="0" w:color="53565A" w:themeColor="accent5"/>
              <w:right w:val="nil"/>
            </w:tcBorders>
            <w:shd w:val="clear" w:color="auto" w:fill="53565A" w:themeFill="accent5"/>
            <w:vAlign w:val="center"/>
          </w:tcPr>
          <w:p w14:paraId="5CEDEBD2" w14:textId="77777777" w:rsidR="00ED74EC" w:rsidRPr="005734B8" w:rsidRDefault="00ED74EC" w:rsidP="001C6653">
            <w:pPr>
              <w:pStyle w:val="ESTableheading"/>
              <w:pageBreakBefore/>
              <w:widowControl w:val="0"/>
              <w:rPr>
                <w:rFonts w:ascii="Calibri" w:hAnsi="Calibri" w:cs="Calibri"/>
                <w:sz w:val="18"/>
                <w:lang w:val="en-AU"/>
              </w:rPr>
            </w:pPr>
            <w:r w:rsidRPr="005734B8">
              <w:rPr>
                <w:rFonts w:ascii="Calibri" w:hAnsi="Calibri" w:cs="Calibri"/>
                <w:sz w:val="18"/>
                <w:lang w:val="en-AU"/>
              </w:rPr>
              <w:lastRenderedPageBreak/>
              <w:t>Cash flows from investing activities</w:t>
            </w:r>
          </w:p>
        </w:tc>
        <w:tc>
          <w:tcPr>
            <w:tcW w:w="499"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2E7CCDE7" w14:textId="77777777" w:rsidR="00ED74EC" w:rsidRPr="005734B8" w:rsidRDefault="00ED74EC" w:rsidP="007F7B2B">
            <w:pPr>
              <w:pStyle w:val="ESTableheading"/>
              <w:jc w:val="right"/>
              <w:rPr>
                <w:rFonts w:ascii="Calibri" w:hAnsi="Calibri" w:cs="Calibri"/>
                <w:sz w:val="18"/>
              </w:rPr>
            </w:pPr>
          </w:p>
        </w:tc>
        <w:tc>
          <w:tcPr>
            <w:tcW w:w="1050"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04F3DF01" w14:textId="77777777" w:rsidR="00ED74EC" w:rsidRPr="005734B8" w:rsidRDefault="00ED74EC" w:rsidP="00C20A5F">
            <w:pPr>
              <w:pStyle w:val="ESTableheading"/>
              <w:jc w:val="right"/>
              <w:rPr>
                <w:rFonts w:ascii="Calibri" w:hAnsi="Calibri" w:cs="Calibri"/>
                <w:sz w:val="18"/>
              </w:rPr>
            </w:pPr>
          </w:p>
        </w:tc>
        <w:tc>
          <w:tcPr>
            <w:tcW w:w="750"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1ABED2CD" w14:textId="77777777" w:rsidR="00ED74EC" w:rsidRPr="005734B8" w:rsidRDefault="00ED74EC" w:rsidP="007F7B2B">
            <w:pPr>
              <w:pStyle w:val="ESTableheading"/>
              <w:jc w:val="right"/>
              <w:rPr>
                <w:rFonts w:ascii="Calibri" w:hAnsi="Calibri" w:cs="Calibri"/>
                <w:sz w:val="18"/>
              </w:rPr>
            </w:pPr>
          </w:p>
        </w:tc>
        <w:tc>
          <w:tcPr>
            <w:tcW w:w="688"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25A9C71C" w14:textId="77777777" w:rsidR="00ED74EC" w:rsidRPr="005734B8" w:rsidRDefault="00ED74EC" w:rsidP="007F7B2B">
            <w:pPr>
              <w:pStyle w:val="ESTableheading"/>
              <w:jc w:val="right"/>
              <w:rPr>
                <w:rFonts w:ascii="Calibri" w:hAnsi="Calibri" w:cs="Calibri"/>
                <w:sz w:val="18"/>
              </w:rPr>
            </w:pPr>
          </w:p>
        </w:tc>
        <w:tc>
          <w:tcPr>
            <w:tcW w:w="686"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7D483F55" w14:textId="77777777" w:rsidR="00ED74EC" w:rsidRPr="005734B8" w:rsidRDefault="00ED74EC" w:rsidP="007F7B2B">
            <w:pPr>
              <w:pStyle w:val="ESTableheading"/>
              <w:jc w:val="right"/>
              <w:rPr>
                <w:rFonts w:ascii="Calibri" w:hAnsi="Calibri" w:cs="Calibri"/>
                <w:sz w:val="18"/>
              </w:rPr>
            </w:pPr>
          </w:p>
        </w:tc>
      </w:tr>
      <w:tr w:rsidR="004504B3" w:rsidRPr="005734B8" w14:paraId="01AC2E59" w14:textId="77777777" w:rsidTr="000F48B1">
        <w:tc>
          <w:tcPr>
            <w:tcW w:w="1327" w:type="pct"/>
            <w:tcBorders>
              <w:top w:val="single" w:sz="4" w:space="0" w:color="53565A" w:themeColor="accent5"/>
              <w:bottom w:val="single" w:sz="4" w:space="0" w:color="53565A" w:themeColor="accent5"/>
            </w:tcBorders>
            <w:shd w:val="clear" w:color="auto" w:fill="auto"/>
            <w:vAlign w:val="center"/>
          </w:tcPr>
          <w:p w14:paraId="50F3DCE6" w14:textId="3231F387" w:rsidR="004504B3" w:rsidRPr="005734B8" w:rsidRDefault="004504B3" w:rsidP="004504B3">
            <w:pPr>
              <w:pStyle w:val="ESTablebody"/>
              <w:rPr>
                <w:rFonts w:ascii="Calibri" w:hAnsi="Calibri" w:cs="Calibri"/>
                <w:sz w:val="18"/>
                <w:lang w:val="en-AU"/>
              </w:rPr>
            </w:pPr>
            <w:r w:rsidRPr="005734B8">
              <w:rPr>
                <w:rFonts w:ascii="Calibri" w:hAnsi="Calibri" w:cs="Calibri"/>
                <w:sz w:val="18"/>
                <w:lang w:val="en-AU"/>
              </w:rPr>
              <w:t>Net investments</w:t>
            </w:r>
          </w:p>
        </w:tc>
        <w:tc>
          <w:tcPr>
            <w:tcW w:w="499" w:type="pct"/>
            <w:tcBorders>
              <w:top w:val="single" w:sz="4" w:space="0" w:color="53565A" w:themeColor="accent5"/>
              <w:bottom w:val="single" w:sz="4" w:space="0" w:color="53565A" w:themeColor="accent5"/>
            </w:tcBorders>
            <w:shd w:val="clear" w:color="auto" w:fill="auto"/>
            <w:vAlign w:val="center"/>
          </w:tcPr>
          <w:p w14:paraId="366E444A" w14:textId="5523804C" w:rsidR="004504B3" w:rsidRPr="005734B8" w:rsidRDefault="004504B3" w:rsidP="004504B3">
            <w:pPr>
              <w:pStyle w:val="ESTablenumberrightaligned"/>
              <w:rPr>
                <w:rFonts w:ascii="Calibri" w:hAnsi="Calibri" w:cs="Calibri"/>
                <w:sz w:val="18"/>
              </w:rPr>
            </w:pPr>
            <w:r w:rsidRPr="005734B8">
              <w:rPr>
                <w:rFonts w:ascii="Calibri" w:hAnsi="Calibri" w:cs="Calibri"/>
                <w:sz w:val="18"/>
              </w:rPr>
              <w:t>h</w:t>
            </w:r>
          </w:p>
        </w:tc>
        <w:tc>
          <w:tcPr>
            <w:tcW w:w="1050" w:type="pct"/>
            <w:tcBorders>
              <w:top w:val="single" w:sz="4" w:space="0" w:color="53565A" w:themeColor="accent5"/>
              <w:bottom w:val="single" w:sz="4" w:space="0" w:color="53565A" w:themeColor="accent5"/>
            </w:tcBorders>
            <w:shd w:val="clear" w:color="auto" w:fill="D9D9D6" w:themeFill="accent6"/>
          </w:tcPr>
          <w:p w14:paraId="3F3E9177" w14:textId="71CE15C1" w:rsidR="004504B3" w:rsidRPr="005734B8" w:rsidRDefault="004504B3" w:rsidP="004504B3">
            <w:pPr>
              <w:pStyle w:val="ESTablenumberrightaligned"/>
              <w:rPr>
                <w:rFonts w:ascii="Calibri" w:hAnsi="Calibri" w:cs="Calibri"/>
                <w:sz w:val="18"/>
              </w:rPr>
            </w:pPr>
            <w:r w:rsidRPr="005734B8">
              <w:rPr>
                <w:rFonts w:ascii="Calibri" w:hAnsi="Calibri" w:cs="Calibri"/>
                <w:sz w:val="18"/>
              </w:rPr>
              <w:t>2.0</w:t>
            </w:r>
          </w:p>
        </w:tc>
        <w:tc>
          <w:tcPr>
            <w:tcW w:w="750" w:type="pct"/>
            <w:tcBorders>
              <w:top w:val="single" w:sz="4" w:space="0" w:color="53565A" w:themeColor="accent5"/>
              <w:bottom w:val="single" w:sz="4" w:space="0" w:color="53565A" w:themeColor="accent5"/>
            </w:tcBorders>
          </w:tcPr>
          <w:p w14:paraId="5E5F601D" w14:textId="0A257292" w:rsidR="004504B3" w:rsidRPr="005734B8" w:rsidRDefault="004504B3" w:rsidP="004504B3">
            <w:pPr>
              <w:pStyle w:val="ESTablenumberrightaligned"/>
              <w:rPr>
                <w:rFonts w:ascii="Calibri" w:hAnsi="Calibri" w:cs="Calibri"/>
                <w:sz w:val="18"/>
              </w:rPr>
            </w:pPr>
            <w:r w:rsidRPr="005734B8">
              <w:rPr>
                <w:rFonts w:ascii="Calibri" w:hAnsi="Calibri" w:cs="Calibri"/>
                <w:sz w:val="18"/>
              </w:rPr>
              <w:t>5.5</w:t>
            </w:r>
          </w:p>
        </w:tc>
        <w:tc>
          <w:tcPr>
            <w:tcW w:w="688" w:type="pct"/>
            <w:tcBorders>
              <w:top w:val="single" w:sz="4" w:space="0" w:color="53565A" w:themeColor="accent5"/>
              <w:bottom w:val="single" w:sz="4" w:space="0" w:color="53565A" w:themeColor="accent5"/>
            </w:tcBorders>
          </w:tcPr>
          <w:p w14:paraId="0BF7293B" w14:textId="59A8FC6A" w:rsidR="004504B3" w:rsidRPr="005734B8" w:rsidRDefault="004504B3" w:rsidP="004504B3">
            <w:pPr>
              <w:pStyle w:val="ESTablenumberrightaligned"/>
              <w:rPr>
                <w:rFonts w:ascii="Calibri" w:hAnsi="Calibri" w:cs="Calibri"/>
                <w:sz w:val="18"/>
              </w:rPr>
            </w:pPr>
            <w:r w:rsidRPr="005734B8">
              <w:rPr>
                <w:rFonts w:ascii="Calibri" w:hAnsi="Calibri" w:cs="Calibri"/>
                <w:sz w:val="18"/>
              </w:rPr>
              <w:t>(63)</w:t>
            </w:r>
          </w:p>
        </w:tc>
        <w:tc>
          <w:tcPr>
            <w:tcW w:w="686" w:type="pct"/>
            <w:tcBorders>
              <w:top w:val="single" w:sz="4" w:space="0" w:color="53565A" w:themeColor="accent5"/>
              <w:bottom w:val="single" w:sz="4" w:space="0" w:color="53565A" w:themeColor="accent5"/>
            </w:tcBorders>
          </w:tcPr>
          <w:p w14:paraId="23F5771B" w14:textId="42E8633F" w:rsidR="004504B3" w:rsidRPr="005734B8" w:rsidRDefault="004504B3" w:rsidP="004504B3">
            <w:pPr>
              <w:pStyle w:val="ESTablenumberrightaligned"/>
              <w:rPr>
                <w:rFonts w:ascii="Calibri" w:hAnsi="Calibri" w:cs="Calibri"/>
                <w:sz w:val="18"/>
              </w:rPr>
            </w:pPr>
            <w:r w:rsidRPr="005734B8">
              <w:rPr>
                <w:rFonts w:ascii="Calibri" w:hAnsi="Calibri" w:cs="Calibri"/>
                <w:sz w:val="18"/>
              </w:rPr>
              <w:t>(3.5)</w:t>
            </w:r>
          </w:p>
        </w:tc>
      </w:tr>
      <w:tr w:rsidR="004504B3" w:rsidRPr="005734B8" w14:paraId="6CBC98F6" w14:textId="77777777" w:rsidTr="000F48B1">
        <w:tc>
          <w:tcPr>
            <w:tcW w:w="1327" w:type="pct"/>
            <w:tcBorders>
              <w:top w:val="single" w:sz="4" w:space="0" w:color="53565A" w:themeColor="accent5"/>
              <w:bottom w:val="single" w:sz="4" w:space="0" w:color="53565A" w:themeColor="accent5"/>
            </w:tcBorders>
            <w:shd w:val="clear" w:color="auto" w:fill="auto"/>
            <w:vAlign w:val="center"/>
          </w:tcPr>
          <w:p w14:paraId="6C67117C" w14:textId="2103E8C7" w:rsidR="004504B3" w:rsidRPr="005734B8" w:rsidRDefault="004504B3" w:rsidP="004504B3">
            <w:pPr>
              <w:pStyle w:val="ESTablebody"/>
              <w:rPr>
                <w:rFonts w:ascii="Calibri" w:hAnsi="Calibri" w:cs="Calibri"/>
                <w:sz w:val="18"/>
                <w:lang w:val="en-AU"/>
              </w:rPr>
            </w:pPr>
            <w:r w:rsidRPr="005734B8">
              <w:rPr>
                <w:rFonts w:ascii="Calibri" w:hAnsi="Calibri" w:cs="Calibri"/>
                <w:sz w:val="18"/>
                <w:lang w:val="en-AU"/>
              </w:rPr>
              <w:t>Payments for non-financial assets</w:t>
            </w:r>
          </w:p>
        </w:tc>
        <w:tc>
          <w:tcPr>
            <w:tcW w:w="499" w:type="pct"/>
            <w:tcBorders>
              <w:top w:val="single" w:sz="4" w:space="0" w:color="53565A" w:themeColor="accent5"/>
              <w:bottom w:val="single" w:sz="4" w:space="0" w:color="53565A" w:themeColor="accent5"/>
            </w:tcBorders>
            <w:shd w:val="clear" w:color="auto" w:fill="auto"/>
            <w:vAlign w:val="center"/>
          </w:tcPr>
          <w:p w14:paraId="4916C638" w14:textId="66F2889B" w:rsidR="004504B3" w:rsidRPr="005734B8" w:rsidRDefault="004504B3" w:rsidP="004504B3">
            <w:pPr>
              <w:pStyle w:val="ESTablenumberrightaligned"/>
              <w:rPr>
                <w:rFonts w:ascii="Calibri" w:hAnsi="Calibri" w:cs="Calibri"/>
                <w:sz w:val="18"/>
              </w:rPr>
            </w:pPr>
            <w:r w:rsidRPr="005734B8">
              <w:rPr>
                <w:rFonts w:ascii="Calibri" w:hAnsi="Calibri" w:cs="Calibri"/>
                <w:sz w:val="18"/>
              </w:rPr>
              <w:t>i</w:t>
            </w:r>
          </w:p>
        </w:tc>
        <w:tc>
          <w:tcPr>
            <w:tcW w:w="1050" w:type="pct"/>
            <w:tcBorders>
              <w:top w:val="single" w:sz="4" w:space="0" w:color="53565A" w:themeColor="accent5"/>
              <w:bottom w:val="single" w:sz="4" w:space="0" w:color="53565A" w:themeColor="accent5"/>
            </w:tcBorders>
            <w:shd w:val="clear" w:color="auto" w:fill="D9D9D6" w:themeFill="accent6"/>
          </w:tcPr>
          <w:p w14:paraId="09BF3C12" w14:textId="104133D5" w:rsidR="004504B3" w:rsidRPr="005734B8" w:rsidRDefault="004504B3" w:rsidP="004504B3">
            <w:pPr>
              <w:pStyle w:val="ESTablenumberrightaligned"/>
              <w:rPr>
                <w:rFonts w:ascii="Calibri" w:hAnsi="Calibri" w:cs="Calibri"/>
                <w:sz w:val="18"/>
              </w:rPr>
            </w:pPr>
            <w:r w:rsidRPr="005734B8">
              <w:rPr>
                <w:rFonts w:ascii="Calibri" w:hAnsi="Calibri" w:cs="Calibri"/>
                <w:sz w:val="18"/>
              </w:rPr>
              <w:t>(1,688.9)</w:t>
            </w:r>
          </w:p>
        </w:tc>
        <w:tc>
          <w:tcPr>
            <w:tcW w:w="750" w:type="pct"/>
            <w:tcBorders>
              <w:top w:val="single" w:sz="4" w:space="0" w:color="53565A" w:themeColor="accent5"/>
              <w:bottom w:val="single" w:sz="4" w:space="0" w:color="53565A" w:themeColor="accent5"/>
            </w:tcBorders>
          </w:tcPr>
          <w:p w14:paraId="08703D55" w14:textId="306E1ED0" w:rsidR="004504B3" w:rsidRPr="005734B8" w:rsidRDefault="004504B3" w:rsidP="004504B3">
            <w:pPr>
              <w:pStyle w:val="ESTablenumberrightaligned"/>
              <w:rPr>
                <w:rFonts w:ascii="Calibri" w:hAnsi="Calibri" w:cs="Calibri"/>
                <w:sz w:val="18"/>
              </w:rPr>
            </w:pPr>
            <w:r w:rsidRPr="005734B8">
              <w:rPr>
                <w:rFonts w:ascii="Calibri" w:hAnsi="Calibri" w:cs="Calibri"/>
                <w:sz w:val="18"/>
              </w:rPr>
              <w:t>(2,177.9)</w:t>
            </w:r>
          </w:p>
        </w:tc>
        <w:tc>
          <w:tcPr>
            <w:tcW w:w="688" w:type="pct"/>
            <w:tcBorders>
              <w:top w:val="single" w:sz="4" w:space="0" w:color="53565A" w:themeColor="accent5"/>
              <w:bottom w:val="single" w:sz="4" w:space="0" w:color="53565A" w:themeColor="accent5"/>
            </w:tcBorders>
          </w:tcPr>
          <w:p w14:paraId="54EDA199" w14:textId="0BA0E064" w:rsidR="004504B3" w:rsidRPr="005734B8" w:rsidRDefault="004504B3" w:rsidP="004504B3">
            <w:pPr>
              <w:pStyle w:val="ESTablenumberrightaligned"/>
              <w:rPr>
                <w:rFonts w:ascii="Calibri" w:hAnsi="Calibri" w:cs="Calibri"/>
                <w:sz w:val="18"/>
              </w:rPr>
            </w:pPr>
            <w:r w:rsidRPr="005734B8">
              <w:rPr>
                <w:rFonts w:ascii="Calibri" w:hAnsi="Calibri" w:cs="Calibri"/>
                <w:sz w:val="18"/>
              </w:rPr>
              <w:t>(22)</w:t>
            </w:r>
          </w:p>
        </w:tc>
        <w:tc>
          <w:tcPr>
            <w:tcW w:w="686" w:type="pct"/>
            <w:tcBorders>
              <w:top w:val="single" w:sz="4" w:space="0" w:color="53565A" w:themeColor="accent5"/>
              <w:bottom w:val="single" w:sz="4" w:space="0" w:color="53565A" w:themeColor="accent5"/>
            </w:tcBorders>
          </w:tcPr>
          <w:p w14:paraId="3B5D3B81" w14:textId="35CD131A" w:rsidR="004504B3" w:rsidRPr="005734B8" w:rsidRDefault="004504B3" w:rsidP="004504B3">
            <w:pPr>
              <w:pStyle w:val="ESTablenumberrightaligned"/>
              <w:rPr>
                <w:rFonts w:ascii="Calibri" w:hAnsi="Calibri" w:cs="Calibri"/>
                <w:sz w:val="18"/>
              </w:rPr>
            </w:pPr>
            <w:r w:rsidRPr="005734B8">
              <w:rPr>
                <w:rFonts w:ascii="Calibri" w:hAnsi="Calibri" w:cs="Calibri"/>
                <w:sz w:val="18"/>
              </w:rPr>
              <w:t>489.0</w:t>
            </w:r>
          </w:p>
        </w:tc>
      </w:tr>
      <w:tr w:rsidR="004504B3" w:rsidRPr="005734B8" w14:paraId="09DDCF26" w14:textId="3C4E49F4" w:rsidTr="000F48B1">
        <w:tc>
          <w:tcPr>
            <w:tcW w:w="1327" w:type="pct"/>
            <w:tcBorders>
              <w:top w:val="single" w:sz="4" w:space="0" w:color="53565A" w:themeColor="accent5"/>
              <w:bottom w:val="single" w:sz="4" w:space="0" w:color="53565A" w:themeColor="accent5"/>
            </w:tcBorders>
            <w:shd w:val="clear" w:color="auto" w:fill="auto"/>
            <w:vAlign w:val="center"/>
          </w:tcPr>
          <w:p w14:paraId="54510C59" w14:textId="77777777" w:rsidR="004504B3" w:rsidRPr="005734B8" w:rsidRDefault="004504B3" w:rsidP="004504B3">
            <w:pPr>
              <w:pStyle w:val="ESTablebody"/>
              <w:rPr>
                <w:rFonts w:ascii="Calibri" w:hAnsi="Calibri" w:cs="Calibri"/>
                <w:sz w:val="18"/>
                <w:lang w:val="en-AU"/>
              </w:rPr>
            </w:pPr>
            <w:r w:rsidRPr="005734B8">
              <w:rPr>
                <w:rFonts w:ascii="Calibri" w:hAnsi="Calibri" w:cs="Calibri"/>
                <w:sz w:val="18"/>
                <w:lang w:val="en-AU"/>
              </w:rPr>
              <w:t>Proceeds from sale of non-financial assets</w:t>
            </w:r>
          </w:p>
        </w:tc>
        <w:tc>
          <w:tcPr>
            <w:tcW w:w="499" w:type="pct"/>
            <w:tcBorders>
              <w:top w:val="single" w:sz="4" w:space="0" w:color="53565A" w:themeColor="accent5"/>
              <w:bottom w:val="single" w:sz="4" w:space="0" w:color="53565A" w:themeColor="accent5"/>
            </w:tcBorders>
            <w:shd w:val="clear" w:color="auto" w:fill="auto"/>
            <w:vAlign w:val="center"/>
          </w:tcPr>
          <w:p w14:paraId="445397DC" w14:textId="792BE0A3" w:rsidR="004504B3" w:rsidRPr="005734B8" w:rsidRDefault="004504B3" w:rsidP="004504B3">
            <w:pPr>
              <w:pStyle w:val="ESTablenumberrightaligned"/>
              <w:rPr>
                <w:rFonts w:ascii="Calibri" w:hAnsi="Calibri" w:cs="Calibri"/>
                <w:sz w:val="18"/>
              </w:rPr>
            </w:pPr>
            <w:r w:rsidRPr="005734B8">
              <w:rPr>
                <w:rFonts w:ascii="Calibri" w:hAnsi="Calibri" w:cs="Calibri"/>
                <w:sz w:val="18"/>
              </w:rPr>
              <w:t>j</w:t>
            </w:r>
          </w:p>
        </w:tc>
        <w:tc>
          <w:tcPr>
            <w:tcW w:w="1050" w:type="pct"/>
            <w:tcBorders>
              <w:top w:val="single" w:sz="4" w:space="0" w:color="53565A" w:themeColor="accent5"/>
              <w:bottom w:val="single" w:sz="4" w:space="0" w:color="53565A" w:themeColor="accent5"/>
            </w:tcBorders>
            <w:shd w:val="clear" w:color="auto" w:fill="D9D9D6" w:themeFill="accent6"/>
          </w:tcPr>
          <w:p w14:paraId="55F5B17B" w14:textId="627F1C1D" w:rsidR="004504B3" w:rsidRPr="005734B8" w:rsidRDefault="004504B3" w:rsidP="004504B3">
            <w:pPr>
              <w:pStyle w:val="ESTablenumberrightaligned"/>
              <w:rPr>
                <w:rFonts w:ascii="Calibri" w:hAnsi="Calibri" w:cs="Calibri"/>
                <w:sz w:val="18"/>
              </w:rPr>
            </w:pPr>
            <w:r w:rsidRPr="005734B8">
              <w:rPr>
                <w:rFonts w:ascii="Calibri" w:hAnsi="Calibri" w:cs="Calibri"/>
                <w:sz w:val="18"/>
              </w:rPr>
              <w:t>7.8</w:t>
            </w:r>
          </w:p>
        </w:tc>
        <w:tc>
          <w:tcPr>
            <w:tcW w:w="750" w:type="pct"/>
            <w:tcBorders>
              <w:top w:val="single" w:sz="4" w:space="0" w:color="53565A" w:themeColor="accent5"/>
              <w:bottom w:val="single" w:sz="4" w:space="0" w:color="53565A" w:themeColor="accent5"/>
            </w:tcBorders>
          </w:tcPr>
          <w:p w14:paraId="4DA69E5D" w14:textId="41665E99" w:rsidR="004504B3" w:rsidRPr="005734B8" w:rsidRDefault="004504B3" w:rsidP="004504B3">
            <w:pPr>
              <w:pStyle w:val="ESTablenumberrightaligned"/>
              <w:rPr>
                <w:rFonts w:ascii="Calibri" w:hAnsi="Calibri" w:cs="Calibri"/>
                <w:sz w:val="18"/>
              </w:rPr>
            </w:pPr>
            <w:r w:rsidRPr="005734B8">
              <w:rPr>
                <w:rFonts w:ascii="Calibri" w:hAnsi="Calibri" w:cs="Calibri"/>
                <w:sz w:val="18"/>
              </w:rPr>
              <w:t>4.4</w:t>
            </w:r>
          </w:p>
        </w:tc>
        <w:tc>
          <w:tcPr>
            <w:tcW w:w="688" w:type="pct"/>
            <w:tcBorders>
              <w:top w:val="single" w:sz="4" w:space="0" w:color="53565A" w:themeColor="accent5"/>
              <w:bottom w:val="single" w:sz="4" w:space="0" w:color="53565A" w:themeColor="accent5"/>
            </w:tcBorders>
          </w:tcPr>
          <w:p w14:paraId="0C163818" w14:textId="0F47FA2A" w:rsidR="004504B3" w:rsidRPr="005734B8" w:rsidRDefault="004504B3" w:rsidP="004504B3">
            <w:pPr>
              <w:pStyle w:val="ESTablenumberrightaligned"/>
              <w:rPr>
                <w:rFonts w:ascii="Calibri" w:hAnsi="Calibri" w:cs="Calibri"/>
                <w:sz w:val="18"/>
              </w:rPr>
            </w:pPr>
            <w:r w:rsidRPr="005734B8">
              <w:rPr>
                <w:rFonts w:ascii="Calibri" w:hAnsi="Calibri" w:cs="Calibri"/>
                <w:sz w:val="18"/>
              </w:rPr>
              <w:t>76</w:t>
            </w:r>
          </w:p>
        </w:tc>
        <w:tc>
          <w:tcPr>
            <w:tcW w:w="686" w:type="pct"/>
            <w:tcBorders>
              <w:top w:val="single" w:sz="4" w:space="0" w:color="53565A" w:themeColor="accent5"/>
              <w:bottom w:val="single" w:sz="4" w:space="0" w:color="53565A" w:themeColor="accent5"/>
            </w:tcBorders>
          </w:tcPr>
          <w:p w14:paraId="4B72B02F" w14:textId="5754C3EB" w:rsidR="004504B3" w:rsidRPr="005734B8" w:rsidRDefault="004504B3" w:rsidP="004504B3">
            <w:pPr>
              <w:pStyle w:val="ESTablenumberrightaligned"/>
              <w:rPr>
                <w:rFonts w:ascii="Calibri" w:hAnsi="Calibri" w:cs="Calibri"/>
                <w:sz w:val="18"/>
              </w:rPr>
            </w:pPr>
            <w:r w:rsidRPr="005734B8">
              <w:rPr>
                <w:rFonts w:ascii="Calibri" w:hAnsi="Calibri" w:cs="Calibri"/>
                <w:sz w:val="18"/>
              </w:rPr>
              <w:t>3.4</w:t>
            </w:r>
          </w:p>
        </w:tc>
      </w:tr>
      <w:tr w:rsidR="004504B3" w:rsidRPr="005734B8" w14:paraId="4651B7EB" w14:textId="77777777" w:rsidTr="000F48B1">
        <w:tc>
          <w:tcPr>
            <w:tcW w:w="1327" w:type="pct"/>
            <w:tcBorders>
              <w:top w:val="single" w:sz="4" w:space="0" w:color="53565A" w:themeColor="accent5"/>
              <w:bottom w:val="single" w:sz="4" w:space="0" w:color="53565A" w:themeColor="accent5"/>
            </w:tcBorders>
            <w:shd w:val="clear" w:color="auto" w:fill="auto"/>
            <w:vAlign w:val="center"/>
          </w:tcPr>
          <w:p w14:paraId="4A5D8CA1" w14:textId="6594359E" w:rsidR="004504B3" w:rsidRPr="005734B8" w:rsidRDefault="004504B3" w:rsidP="004504B3">
            <w:pPr>
              <w:pStyle w:val="ESTablebody"/>
              <w:rPr>
                <w:rFonts w:ascii="Calibri" w:hAnsi="Calibri" w:cs="Calibri"/>
                <w:sz w:val="18"/>
                <w:lang w:val="en-AU"/>
              </w:rPr>
            </w:pPr>
            <w:r w:rsidRPr="005734B8">
              <w:rPr>
                <w:rFonts w:ascii="Calibri" w:hAnsi="Calibri" w:cs="Calibri"/>
                <w:sz w:val="18"/>
                <w:lang w:val="en-AU"/>
              </w:rPr>
              <w:t>Net loans to other parties</w:t>
            </w:r>
          </w:p>
        </w:tc>
        <w:tc>
          <w:tcPr>
            <w:tcW w:w="499" w:type="pct"/>
            <w:tcBorders>
              <w:top w:val="single" w:sz="4" w:space="0" w:color="53565A" w:themeColor="accent5"/>
              <w:bottom w:val="single" w:sz="4" w:space="0" w:color="53565A" w:themeColor="accent5"/>
            </w:tcBorders>
            <w:shd w:val="clear" w:color="auto" w:fill="auto"/>
            <w:vAlign w:val="center"/>
          </w:tcPr>
          <w:p w14:paraId="01E8EB3D" w14:textId="77777777" w:rsidR="004504B3" w:rsidRPr="005734B8" w:rsidRDefault="004504B3" w:rsidP="004504B3">
            <w:pPr>
              <w:pStyle w:val="ESTablenumberrightaligned"/>
              <w:rPr>
                <w:rFonts w:ascii="Calibri" w:hAnsi="Calibri" w:cs="Calibri"/>
                <w:sz w:val="18"/>
              </w:rPr>
            </w:pPr>
          </w:p>
        </w:tc>
        <w:tc>
          <w:tcPr>
            <w:tcW w:w="1050" w:type="pct"/>
            <w:tcBorders>
              <w:top w:val="single" w:sz="4" w:space="0" w:color="53565A" w:themeColor="accent5"/>
              <w:bottom w:val="single" w:sz="4" w:space="0" w:color="53565A" w:themeColor="accent5"/>
            </w:tcBorders>
            <w:shd w:val="clear" w:color="auto" w:fill="D9D9D6" w:themeFill="accent6"/>
          </w:tcPr>
          <w:p w14:paraId="5F95221B" w14:textId="74E29C99" w:rsidR="004504B3" w:rsidRPr="005734B8" w:rsidRDefault="004504B3" w:rsidP="004504B3">
            <w:pPr>
              <w:pStyle w:val="ESTablenumberrightaligned"/>
              <w:rPr>
                <w:rFonts w:ascii="Calibri" w:hAnsi="Calibri" w:cs="Calibri"/>
                <w:sz w:val="18"/>
              </w:rPr>
            </w:pPr>
            <w:r w:rsidRPr="005734B8">
              <w:rPr>
                <w:rFonts w:ascii="Calibri" w:hAnsi="Calibri" w:cs="Calibri"/>
                <w:sz w:val="18"/>
              </w:rPr>
              <w:t>(1.8)</w:t>
            </w:r>
          </w:p>
        </w:tc>
        <w:tc>
          <w:tcPr>
            <w:tcW w:w="750" w:type="pct"/>
            <w:tcBorders>
              <w:top w:val="single" w:sz="4" w:space="0" w:color="53565A" w:themeColor="accent5"/>
              <w:bottom w:val="single" w:sz="4" w:space="0" w:color="53565A" w:themeColor="accent5"/>
            </w:tcBorders>
          </w:tcPr>
          <w:p w14:paraId="774A4052" w14:textId="7318F106" w:rsidR="004504B3" w:rsidRPr="005734B8" w:rsidRDefault="004504B3" w:rsidP="004504B3">
            <w:pPr>
              <w:pStyle w:val="ESTablenumberrightaligned"/>
              <w:rPr>
                <w:rFonts w:ascii="Calibri" w:hAnsi="Calibri" w:cs="Calibri"/>
                <w:sz w:val="18"/>
              </w:rPr>
            </w:pPr>
            <w:r w:rsidRPr="005734B8">
              <w:rPr>
                <w:rFonts w:ascii="Calibri" w:hAnsi="Calibri" w:cs="Calibri"/>
                <w:sz w:val="18"/>
              </w:rPr>
              <w:t>3.4</w:t>
            </w:r>
          </w:p>
        </w:tc>
        <w:tc>
          <w:tcPr>
            <w:tcW w:w="688" w:type="pct"/>
            <w:tcBorders>
              <w:top w:val="single" w:sz="4" w:space="0" w:color="53565A" w:themeColor="accent5"/>
              <w:bottom w:val="single" w:sz="4" w:space="0" w:color="53565A" w:themeColor="accent5"/>
            </w:tcBorders>
          </w:tcPr>
          <w:p w14:paraId="76928AD0" w14:textId="3FA4920D" w:rsidR="004504B3" w:rsidRPr="005734B8" w:rsidRDefault="004504B3" w:rsidP="004504B3">
            <w:pPr>
              <w:pStyle w:val="ESTablenumberrightaligned"/>
              <w:rPr>
                <w:rFonts w:ascii="Calibri" w:hAnsi="Calibri" w:cs="Calibri"/>
                <w:sz w:val="18"/>
              </w:rPr>
            </w:pPr>
            <w:r w:rsidRPr="005734B8">
              <w:rPr>
                <w:rFonts w:ascii="Calibri" w:hAnsi="Calibri" w:cs="Calibri"/>
                <w:sz w:val="18"/>
              </w:rPr>
              <w:t>(154)</w:t>
            </w:r>
          </w:p>
        </w:tc>
        <w:tc>
          <w:tcPr>
            <w:tcW w:w="686" w:type="pct"/>
            <w:tcBorders>
              <w:top w:val="single" w:sz="4" w:space="0" w:color="53565A" w:themeColor="accent5"/>
              <w:bottom w:val="single" w:sz="4" w:space="0" w:color="53565A" w:themeColor="accent5"/>
            </w:tcBorders>
          </w:tcPr>
          <w:p w14:paraId="6EE445AC" w14:textId="2783D032" w:rsidR="004504B3" w:rsidRPr="005734B8" w:rsidRDefault="004504B3" w:rsidP="004504B3">
            <w:pPr>
              <w:pStyle w:val="ESTablenumberrightaligned"/>
              <w:rPr>
                <w:rFonts w:ascii="Calibri" w:hAnsi="Calibri" w:cs="Calibri"/>
                <w:sz w:val="18"/>
              </w:rPr>
            </w:pPr>
            <w:r w:rsidRPr="005734B8">
              <w:rPr>
                <w:rFonts w:ascii="Calibri" w:hAnsi="Calibri" w:cs="Calibri"/>
                <w:sz w:val="18"/>
              </w:rPr>
              <w:t>(5.2)</w:t>
            </w:r>
          </w:p>
        </w:tc>
      </w:tr>
      <w:tr w:rsidR="004504B3" w:rsidRPr="005734B8" w14:paraId="4A485587" w14:textId="09581B5E" w:rsidTr="000F48B1">
        <w:tc>
          <w:tcPr>
            <w:tcW w:w="1327" w:type="pct"/>
            <w:tcBorders>
              <w:top w:val="single" w:sz="18" w:space="0" w:color="53565A" w:themeColor="accent5"/>
              <w:bottom w:val="single" w:sz="18" w:space="0" w:color="53565A" w:themeColor="accent5"/>
            </w:tcBorders>
            <w:shd w:val="clear" w:color="auto" w:fill="auto"/>
            <w:vAlign w:val="center"/>
          </w:tcPr>
          <w:p w14:paraId="43E2670C" w14:textId="77777777" w:rsidR="004504B3" w:rsidRPr="005734B8" w:rsidRDefault="004504B3" w:rsidP="004504B3">
            <w:pPr>
              <w:pStyle w:val="ESTablebody"/>
              <w:rPr>
                <w:rFonts w:ascii="Calibri" w:hAnsi="Calibri" w:cs="Calibri"/>
                <w:b/>
                <w:sz w:val="18"/>
              </w:rPr>
            </w:pPr>
            <w:r w:rsidRPr="005734B8">
              <w:rPr>
                <w:rFonts w:ascii="Calibri" w:hAnsi="Calibri" w:cs="Calibri"/>
                <w:b/>
                <w:sz w:val="18"/>
                <w:lang w:val="en-AU"/>
              </w:rPr>
              <w:t>Net cash flow from/(used in) investing activities</w:t>
            </w:r>
          </w:p>
        </w:tc>
        <w:tc>
          <w:tcPr>
            <w:tcW w:w="499" w:type="pct"/>
            <w:tcBorders>
              <w:top w:val="single" w:sz="18" w:space="0" w:color="53565A" w:themeColor="accent5"/>
              <w:bottom w:val="single" w:sz="18" w:space="0" w:color="53565A" w:themeColor="accent5"/>
            </w:tcBorders>
            <w:shd w:val="clear" w:color="auto" w:fill="auto"/>
            <w:vAlign w:val="center"/>
          </w:tcPr>
          <w:p w14:paraId="5F980A9A" w14:textId="77777777" w:rsidR="004504B3" w:rsidRPr="005734B8" w:rsidRDefault="004504B3" w:rsidP="004504B3">
            <w:pPr>
              <w:pStyle w:val="ESTablenumberrightaligned"/>
              <w:rPr>
                <w:rFonts w:ascii="Calibri" w:hAnsi="Calibri" w:cs="Calibri"/>
                <w:b/>
                <w:sz w:val="18"/>
              </w:rPr>
            </w:pPr>
          </w:p>
        </w:tc>
        <w:tc>
          <w:tcPr>
            <w:tcW w:w="1050" w:type="pct"/>
            <w:tcBorders>
              <w:top w:val="single" w:sz="18" w:space="0" w:color="53565A" w:themeColor="accent5"/>
              <w:bottom w:val="single" w:sz="18" w:space="0" w:color="53565A" w:themeColor="accent5"/>
            </w:tcBorders>
            <w:shd w:val="clear" w:color="auto" w:fill="D9D9D6" w:themeFill="accent6"/>
          </w:tcPr>
          <w:p w14:paraId="66DBAE94" w14:textId="1BBA4B2E"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(1,680.8)</w:t>
            </w:r>
          </w:p>
        </w:tc>
        <w:tc>
          <w:tcPr>
            <w:tcW w:w="750" w:type="pct"/>
            <w:tcBorders>
              <w:top w:val="single" w:sz="18" w:space="0" w:color="53565A" w:themeColor="accent5"/>
              <w:bottom w:val="single" w:sz="18" w:space="0" w:color="53565A" w:themeColor="accent5"/>
            </w:tcBorders>
          </w:tcPr>
          <w:p w14:paraId="14C54E8B" w14:textId="54E2E7F8"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(2,164.6)</w:t>
            </w:r>
          </w:p>
        </w:tc>
        <w:tc>
          <w:tcPr>
            <w:tcW w:w="688" w:type="pct"/>
            <w:tcBorders>
              <w:top w:val="single" w:sz="18" w:space="0" w:color="53565A" w:themeColor="accent5"/>
              <w:bottom w:val="single" w:sz="18" w:space="0" w:color="53565A" w:themeColor="accent5"/>
            </w:tcBorders>
          </w:tcPr>
          <w:p w14:paraId="7062D7C0" w14:textId="1FEA0125"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(22)</w:t>
            </w:r>
          </w:p>
        </w:tc>
        <w:tc>
          <w:tcPr>
            <w:tcW w:w="686" w:type="pct"/>
            <w:tcBorders>
              <w:top w:val="single" w:sz="18" w:space="0" w:color="53565A" w:themeColor="accent5"/>
              <w:bottom w:val="single" w:sz="18" w:space="0" w:color="53565A" w:themeColor="accent5"/>
            </w:tcBorders>
          </w:tcPr>
          <w:p w14:paraId="1AFBD5DE" w14:textId="6F3A9911"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483.7</w:t>
            </w:r>
          </w:p>
        </w:tc>
      </w:tr>
      <w:tr w:rsidR="004504B3" w:rsidRPr="005734B8" w14:paraId="626FF0B8" w14:textId="417A1B00" w:rsidTr="00843378">
        <w:tc>
          <w:tcPr>
            <w:tcW w:w="1327" w:type="pct"/>
            <w:tcBorders>
              <w:top w:val="single" w:sz="18" w:space="0" w:color="53565A" w:themeColor="accent5"/>
              <w:bottom w:val="single" w:sz="4" w:space="0" w:color="53565A" w:themeColor="accent5"/>
              <w:right w:val="nil"/>
            </w:tcBorders>
            <w:shd w:val="clear" w:color="auto" w:fill="53565A" w:themeFill="accent5"/>
            <w:vAlign w:val="center"/>
          </w:tcPr>
          <w:p w14:paraId="5405F881" w14:textId="77777777" w:rsidR="004504B3" w:rsidRPr="005734B8" w:rsidRDefault="004504B3" w:rsidP="004504B3">
            <w:pPr>
              <w:pStyle w:val="ESTablebody"/>
              <w:rPr>
                <w:rFonts w:ascii="Calibri" w:hAnsi="Calibri" w:cs="Calibri"/>
                <w:b/>
                <w:color w:val="FFFFFF" w:themeColor="background1"/>
                <w:sz w:val="18"/>
              </w:rPr>
            </w:pPr>
            <w:r w:rsidRPr="005734B8">
              <w:rPr>
                <w:rFonts w:ascii="Calibri" w:hAnsi="Calibri" w:cs="Calibri"/>
                <w:b/>
                <w:color w:val="FFFFFF" w:themeColor="background1"/>
                <w:sz w:val="18"/>
                <w:lang w:val="en-AU"/>
              </w:rPr>
              <w:t>Cash flows from financing activities</w:t>
            </w:r>
          </w:p>
        </w:tc>
        <w:tc>
          <w:tcPr>
            <w:tcW w:w="499"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041B4C40" w14:textId="77777777" w:rsidR="004504B3" w:rsidRPr="005734B8" w:rsidRDefault="004504B3" w:rsidP="004504B3">
            <w:pPr>
              <w:pStyle w:val="ESTablenumberrightaligned"/>
              <w:rPr>
                <w:rFonts w:ascii="Calibri" w:hAnsi="Calibri" w:cs="Calibri"/>
                <w:b/>
                <w:color w:val="FFFFFF" w:themeColor="background1"/>
                <w:sz w:val="18"/>
              </w:rPr>
            </w:pPr>
          </w:p>
        </w:tc>
        <w:tc>
          <w:tcPr>
            <w:tcW w:w="1050"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2648EF7F" w14:textId="77777777" w:rsidR="004504B3" w:rsidRPr="005734B8" w:rsidRDefault="004504B3" w:rsidP="004504B3">
            <w:pPr>
              <w:pStyle w:val="ESTablenumberrightaligned"/>
              <w:rPr>
                <w:rFonts w:ascii="Calibri" w:hAnsi="Calibri" w:cs="Calibri"/>
                <w:b/>
                <w:color w:val="FFFFFF" w:themeColor="background1"/>
                <w:sz w:val="18"/>
              </w:rPr>
            </w:pPr>
          </w:p>
        </w:tc>
        <w:tc>
          <w:tcPr>
            <w:tcW w:w="750"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5718901C" w14:textId="77777777" w:rsidR="004504B3" w:rsidRPr="005734B8" w:rsidRDefault="004504B3" w:rsidP="004504B3">
            <w:pPr>
              <w:pStyle w:val="ESTablenumberrightaligned"/>
              <w:rPr>
                <w:rFonts w:ascii="Calibri" w:hAnsi="Calibri" w:cs="Calibri"/>
                <w:b/>
                <w:color w:val="FFFFFF" w:themeColor="background1"/>
                <w:sz w:val="18"/>
              </w:rPr>
            </w:pPr>
          </w:p>
        </w:tc>
        <w:tc>
          <w:tcPr>
            <w:tcW w:w="688"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645D6C1E" w14:textId="77777777" w:rsidR="004504B3" w:rsidRPr="005734B8" w:rsidRDefault="004504B3" w:rsidP="004504B3">
            <w:pPr>
              <w:pStyle w:val="ESTablenumberrightaligned"/>
              <w:rPr>
                <w:rFonts w:ascii="Calibri" w:hAnsi="Calibri" w:cs="Calibri"/>
                <w:b/>
                <w:color w:val="FFFFFF" w:themeColor="background1"/>
                <w:sz w:val="18"/>
              </w:rPr>
            </w:pPr>
          </w:p>
        </w:tc>
        <w:tc>
          <w:tcPr>
            <w:tcW w:w="686"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6F09B4F4" w14:textId="77777777" w:rsidR="004504B3" w:rsidRPr="005734B8" w:rsidRDefault="004504B3" w:rsidP="004504B3">
            <w:pPr>
              <w:pStyle w:val="ESTablenumberrightaligned"/>
              <w:rPr>
                <w:rFonts w:ascii="Calibri" w:hAnsi="Calibri" w:cs="Calibri"/>
                <w:b/>
                <w:color w:val="FFFFFF" w:themeColor="background1"/>
                <w:sz w:val="18"/>
              </w:rPr>
            </w:pPr>
          </w:p>
        </w:tc>
      </w:tr>
      <w:tr w:rsidR="004504B3" w:rsidRPr="005734B8" w14:paraId="5C242D2F" w14:textId="083BF332" w:rsidTr="000F48B1">
        <w:tc>
          <w:tcPr>
            <w:tcW w:w="1327" w:type="pct"/>
            <w:tcBorders>
              <w:top w:val="single" w:sz="4" w:space="0" w:color="53565A" w:themeColor="accent5"/>
              <w:bottom w:val="single" w:sz="4" w:space="0" w:color="53565A" w:themeColor="accent5"/>
            </w:tcBorders>
            <w:shd w:val="clear" w:color="auto" w:fill="auto"/>
            <w:vAlign w:val="center"/>
          </w:tcPr>
          <w:p w14:paraId="7B72BB40" w14:textId="77777777" w:rsidR="004504B3" w:rsidRPr="005734B8" w:rsidRDefault="004504B3" w:rsidP="004504B3">
            <w:pPr>
              <w:pStyle w:val="ESTablebody"/>
              <w:rPr>
                <w:rFonts w:ascii="Calibri" w:hAnsi="Calibri" w:cs="Calibri"/>
                <w:sz w:val="18"/>
              </w:rPr>
            </w:pPr>
            <w:r w:rsidRPr="005734B8">
              <w:rPr>
                <w:rFonts w:ascii="Calibri" w:hAnsi="Calibri" w:cs="Calibri"/>
                <w:sz w:val="18"/>
                <w:lang w:val="en-AU"/>
              </w:rPr>
              <w:t>Owner contributions by State Government</w:t>
            </w:r>
          </w:p>
        </w:tc>
        <w:tc>
          <w:tcPr>
            <w:tcW w:w="499" w:type="pct"/>
            <w:tcBorders>
              <w:top w:val="single" w:sz="4" w:space="0" w:color="53565A" w:themeColor="accent5"/>
              <w:bottom w:val="single" w:sz="4" w:space="0" w:color="53565A" w:themeColor="accent5"/>
            </w:tcBorders>
            <w:shd w:val="clear" w:color="auto" w:fill="auto"/>
          </w:tcPr>
          <w:p w14:paraId="7B86827A" w14:textId="46B0B2DC" w:rsidR="004504B3" w:rsidRPr="005734B8" w:rsidRDefault="004504B3" w:rsidP="004504B3">
            <w:pPr>
              <w:pStyle w:val="ESTablenumberrightaligned"/>
              <w:rPr>
                <w:rFonts w:ascii="Calibri" w:hAnsi="Calibri" w:cs="Calibri"/>
                <w:sz w:val="18"/>
              </w:rPr>
            </w:pPr>
            <w:r w:rsidRPr="005734B8">
              <w:rPr>
                <w:rFonts w:ascii="Calibri" w:hAnsi="Calibri" w:cs="Calibri"/>
                <w:sz w:val="18"/>
              </w:rPr>
              <w:t>k</w:t>
            </w:r>
          </w:p>
        </w:tc>
        <w:tc>
          <w:tcPr>
            <w:tcW w:w="1050" w:type="pct"/>
            <w:tcBorders>
              <w:top w:val="single" w:sz="4" w:space="0" w:color="53565A" w:themeColor="accent5"/>
              <w:bottom w:val="single" w:sz="4" w:space="0" w:color="53565A" w:themeColor="accent5"/>
            </w:tcBorders>
            <w:shd w:val="clear" w:color="auto" w:fill="D9D9D6" w:themeFill="accent6"/>
          </w:tcPr>
          <w:p w14:paraId="724888D0" w14:textId="03CA801D" w:rsidR="004504B3" w:rsidRPr="005734B8" w:rsidRDefault="004504B3" w:rsidP="004504B3">
            <w:pPr>
              <w:pStyle w:val="ESTablenumberrightaligned"/>
              <w:rPr>
                <w:rFonts w:ascii="Calibri" w:hAnsi="Calibri" w:cs="Calibri"/>
                <w:sz w:val="18"/>
              </w:rPr>
            </w:pPr>
            <w:r w:rsidRPr="005734B8">
              <w:rPr>
                <w:rFonts w:ascii="Calibri" w:hAnsi="Calibri" w:cs="Calibri"/>
                <w:sz w:val="18"/>
              </w:rPr>
              <w:t>915.7</w:t>
            </w:r>
          </w:p>
        </w:tc>
        <w:tc>
          <w:tcPr>
            <w:tcW w:w="750" w:type="pct"/>
            <w:tcBorders>
              <w:top w:val="single" w:sz="4" w:space="0" w:color="53565A" w:themeColor="accent5"/>
              <w:bottom w:val="single" w:sz="4" w:space="0" w:color="53565A" w:themeColor="accent5"/>
            </w:tcBorders>
          </w:tcPr>
          <w:p w14:paraId="63B59590" w14:textId="0AA18904" w:rsidR="004504B3" w:rsidRPr="005734B8" w:rsidRDefault="004504B3" w:rsidP="004504B3">
            <w:pPr>
              <w:pStyle w:val="ESTablenumberrightaligned"/>
              <w:rPr>
                <w:rFonts w:ascii="Calibri" w:hAnsi="Calibri" w:cs="Calibri"/>
                <w:sz w:val="18"/>
              </w:rPr>
            </w:pPr>
            <w:r w:rsidRPr="005734B8">
              <w:rPr>
                <w:rFonts w:ascii="Calibri" w:hAnsi="Calibri" w:cs="Calibri"/>
                <w:sz w:val="18"/>
              </w:rPr>
              <w:t>1,309.9</w:t>
            </w:r>
          </w:p>
        </w:tc>
        <w:tc>
          <w:tcPr>
            <w:tcW w:w="688" w:type="pct"/>
            <w:tcBorders>
              <w:top w:val="single" w:sz="4" w:space="0" w:color="53565A" w:themeColor="accent5"/>
              <w:bottom w:val="single" w:sz="4" w:space="0" w:color="53565A" w:themeColor="accent5"/>
            </w:tcBorders>
          </w:tcPr>
          <w:p w14:paraId="483794D9" w14:textId="721225EF" w:rsidR="004504B3" w:rsidRPr="005734B8" w:rsidRDefault="004504B3" w:rsidP="004504B3">
            <w:pPr>
              <w:pStyle w:val="ESTablenumberrightaligned"/>
              <w:rPr>
                <w:rFonts w:ascii="Calibri" w:hAnsi="Calibri" w:cs="Calibri"/>
                <w:sz w:val="18"/>
              </w:rPr>
            </w:pPr>
            <w:r w:rsidRPr="005734B8">
              <w:rPr>
                <w:rFonts w:ascii="Calibri" w:hAnsi="Calibri" w:cs="Calibri"/>
                <w:sz w:val="18"/>
              </w:rPr>
              <w:t>(30)</w:t>
            </w:r>
          </w:p>
        </w:tc>
        <w:tc>
          <w:tcPr>
            <w:tcW w:w="686" w:type="pct"/>
            <w:tcBorders>
              <w:top w:val="single" w:sz="4" w:space="0" w:color="53565A" w:themeColor="accent5"/>
              <w:bottom w:val="single" w:sz="4" w:space="0" w:color="53565A" w:themeColor="accent5"/>
            </w:tcBorders>
          </w:tcPr>
          <w:p w14:paraId="17561304" w14:textId="3D46269A" w:rsidR="004504B3" w:rsidRPr="005734B8" w:rsidRDefault="004504B3" w:rsidP="004504B3">
            <w:pPr>
              <w:pStyle w:val="ESTablenumberrightaligned"/>
              <w:rPr>
                <w:rFonts w:ascii="Calibri" w:hAnsi="Calibri" w:cs="Calibri"/>
                <w:sz w:val="18"/>
              </w:rPr>
            </w:pPr>
            <w:r w:rsidRPr="005734B8">
              <w:rPr>
                <w:rFonts w:ascii="Calibri" w:hAnsi="Calibri" w:cs="Calibri"/>
                <w:sz w:val="18"/>
              </w:rPr>
              <w:t>(394.2)</w:t>
            </w:r>
          </w:p>
        </w:tc>
      </w:tr>
      <w:tr w:rsidR="004504B3" w:rsidRPr="005734B8" w14:paraId="357040D2" w14:textId="77777777" w:rsidTr="000F48B1">
        <w:tc>
          <w:tcPr>
            <w:tcW w:w="1327" w:type="pct"/>
            <w:tcBorders>
              <w:top w:val="single" w:sz="4" w:space="0" w:color="53565A" w:themeColor="accent5"/>
              <w:bottom w:val="single" w:sz="4" w:space="0" w:color="53565A" w:themeColor="accent5"/>
            </w:tcBorders>
            <w:shd w:val="clear" w:color="auto" w:fill="auto"/>
            <w:vAlign w:val="center"/>
          </w:tcPr>
          <w:p w14:paraId="094C5D65" w14:textId="5D8654A4" w:rsidR="004504B3" w:rsidRPr="005734B8" w:rsidRDefault="004504B3" w:rsidP="004504B3">
            <w:pPr>
              <w:pStyle w:val="ESTablebody"/>
              <w:rPr>
                <w:rFonts w:ascii="Calibri" w:hAnsi="Calibri" w:cs="Calibri"/>
                <w:sz w:val="18"/>
                <w:lang w:val="en-AU"/>
              </w:rPr>
            </w:pPr>
            <w:r w:rsidRPr="005734B8">
              <w:rPr>
                <w:rFonts w:ascii="Calibri" w:hAnsi="Calibri" w:cs="Calibri"/>
                <w:sz w:val="18"/>
                <w:lang w:val="en-AU"/>
              </w:rPr>
              <w:t>Repayment of right of use leases</w:t>
            </w:r>
          </w:p>
        </w:tc>
        <w:tc>
          <w:tcPr>
            <w:tcW w:w="499" w:type="pct"/>
            <w:tcBorders>
              <w:top w:val="single" w:sz="4" w:space="0" w:color="53565A" w:themeColor="accent5"/>
              <w:bottom w:val="single" w:sz="4" w:space="0" w:color="53565A" w:themeColor="accent5"/>
            </w:tcBorders>
            <w:shd w:val="clear" w:color="auto" w:fill="auto"/>
          </w:tcPr>
          <w:p w14:paraId="51A7A190" w14:textId="6312BD6A" w:rsidR="004504B3" w:rsidRPr="005734B8" w:rsidRDefault="004504B3" w:rsidP="004504B3">
            <w:pPr>
              <w:pStyle w:val="ESTablenumberrightaligned"/>
              <w:rPr>
                <w:rFonts w:ascii="Calibri" w:hAnsi="Calibri" w:cs="Calibri"/>
                <w:sz w:val="18"/>
              </w:rPr>
            </w:pPr>
            <w:r w:rsidRPr="005734B8">
              <w:rPr>
                <w:rFonts w:ascii="Calibri" w:hAnsi="Calibri" w:cs="Calibri"/>
                <w:sz w:val="18"/>
              </w:rPr>
              <w:t>l</w:t>
            </w:r>
          </w:p>
        </w:tc>
        <w:tc>
          <w:tcPr>
            <w:tcW w:w="1050" w:type="pct"/>
            <w:tcBorders>
              <w:top w:val="single" w:sz="4" w:space="0" w:color="53565A" w:themeColor="accent5"/>
              <w:bottom w:val="single" w:sz="4" w:space="0" w:color="53565A" w:themeColor="accent5"/>
            </w:tcBorders>
            <w:shd w:val="clear" w:color="auto" w:fill="D9D9D6" w:themeFill="accent6"/>
          </w:tcPr>
          <w:p w14:paraId="26EE0228" w14:textId="60F96E90" w:rsidR="004504B3" w:rsidRPr="005734B8" w:rsidRDefault="004504B3" w:rsidP="004504B3">
            <w:pPr>
              <w:pStyle w:val="ESTablenumberrightaligned"/>
              <w:rPr>
                <w:rFonts w:ascii="Calibri" w:hAnsi="Calibri" w:cs="Calibri"/>
                <w:sz w:val="18"/>
              </w:rPr>
            </w:pPr>
            <w:r w:rsidRPr="005734B8">
              <w:rPr>
                <w:rFonts w:ascii="Calibri" w:hAnsi="Calibri" w:cs="Calibri"/>
                <w:sz w:val="18"/>
              </w:rPr>
              <w:t>(39.1)</w:t>
            </w:r>
          </w:p>
        </w:tc>
        <w:tc>
          <w:tcPr>
            <w:tcW w:w="750" w:type="pct"/>
            <w:tcBorders>
              <w:top w:val="single" w:sz="4" w:space="0" w:color="53565A" w:themeColor="accent5"/>
              <w:bottom w:val="single" w:sz="4" w:space="0" w:color="53565A" w:themeColor="accent5"/>
            </w:tcBorders>
          </w:tcPr>
          <w:p w14:paraId="13D58124" w14:textId="5C136918" w:rsidR="004504B3" w:rsidRPr="005734B8" w:rsidRDefault="004504B3" w:rsidP="004504B3">
            <w:pPr>
              <w:pStyle w:val="ESTablenumberrightaligned"/>
              <w:rPr>
                <w:rFonts w:ascii="Calibri" w:hAnsi="Calibri" w:cs="Calibri"/>
                <w:sz w:val="18"/>
              </w:rPr>
            </w:pPr>
            <w:r w:rsidRPr="005734B8">
              <w:rPr>
                <w:rFonts w:ascii="Calibri" w:hAnsi="Calibri" w:cs="Calibri"/>
                <w:sz w:val="18"/>
              </w:rPr>
              <w:t>(47.4)</w:t>
            </w:r>
          </w:p>
        </w:tc>
        <w:tc>
          <w:tcPr>
            <w:tcW w:w="688" w:type="pct"/>
            <w:tcBorders>
              <w:top w:val="single" w:sz="4" w:space="0" w:color="53565A" w:themeColor="accent5"/>
              <w:bottom w:val="single" w:sz="4" w:space="0" w:color="53565A" w:themeColor="accent5"/>
            </w:tcBorders>
          </w:tcPr>
          <w:p w14:paraId="00C7F5EF" w14:textId="6FB3B54D" w:rsidR="004504B3" w:rsidRPr="005734B8" w:rsidRDefault="004504B3" w:rsidP="004504B3">
            <w:pPr>
              <w:pStyle w:val="ESTablenumberrightaligned"/>
              <w:rPr>
                <w:rFonts w:ascii="Calibri" w:hAnsi="Calibri" w:cs="Calibri"/>
                <w:sz w:val="18"/>
              </w:rPr>
            </w:pPr>
            <w:r w:rsidRPr="005734B8">
              <w:rPr>
                <w:rFonts w:ascii="Calibri" w:hAnsi="Calibri" w:cs="Calibri"/>
                <w:sz w:val="18"/>
              </w:rPr>
              <w:t>(17)</w:t>
            </w:r>
          </w:p>
        </w:tc>
        <w:tc>
          <w:tcPr>
            <w:tcW w:w="686" w:type="pct"/>
            <w:tcBorders>
              <w:top w:val="single" w:sz="4" w:space="0" w:color="53565A" w:themeColor="accent5"/>
              <w:bottom w:val="single" w:sz="4" w:space="0" w:color="53565A" w:themeColor="accent5"/>
            </w:tcBorders>
          </w:tcPr>
          <w:p w14:paraId="1232799D" w14:textId="5C3F4747" w:rsidR="004504B3" w:rsidRPr="005734B8" w:rsidRDefault="004504B3" w:rsidP="004504B3">
            <w:pPr>
              <w:pStyle w:val="ESTablenumberrightaligned"/>
              <w:rPr>
                <w:rFonts w:ascii="Calibri" w:hAnsi="Calibri" w:cs="Calibri"/>
                <w:sz w:val="18"/>
              </w:rPr>
            </w:pPr>
            <w:r w:rsidRPr="005734B8">
              <w:rPr>
                <w:rFonts w:ascii="Calibri" w:hAnsi="Calibri" w:cs="Calibri"/>
                <w:sz w:val="18"/>
              </w:rPr>
              <w:t>8.3</w:t>
            </w:r>
          </w:p>
        </w:tc>
      </w:tr>
      <w:tr w:rsidR="004504B3" w:rsidRPr="005734B8" w14:paraId="1B9DD52A" w14:textId="0F0EA21F" w:rsidTr="000F48B1">
        <w:tc>
          <w:tcPr>
            <w:tcW w:w="1327" w:type="pct"/>
            <w:tcBorders>
              <w:top w:val="single" w:sz="4" w:space="0" w:color="53565A" w:themeColor="accent5"/>
              <w:bottom w:val="single" w:sz="4" w:space="0" w:color="53565A" w:themeColor="accent5"/>
            </w:tcBorders>
            <w:shd w:val="clear" w:color="auto" w:fill="auto"/>
            <w:vAlign w:val="center"/>
          </w:tcPr>
          <w:p w14:paraId="041BB649" w14:textId="77777777" w:rsidR="004504B3" w:rsidRPr="005734B8" w:rsidRDefault="004504B3" w:rsidP="004504B3">
            <w:pPr>
              <w:pStyle w:val="ESTablebody"/>
              <w:rPr>
                <w:rFonts w:ascii="Calibri" w:hAnsi="Calibri" w:cs="Calibri"/>
                <w:sz w:val="18"/>
              </w:rPr>
            </w:pPr>
            <w:r w:rsidRPr="005734B8">
              <w:rPr>
                <w:rFonts w:ascii="Calibri" w:hAnsi="Calibri" w:cs="Calibri"/>
                <w:sz w:val="18"/>
                <w:lang w:val="en-AU"/>
              </w:rPr>
              <w:t>Net borrowings</w:t>
            </w:r>
          </w:p>
        </w:tc>
        <w:tc>
          <w:tcPr>
            <w:tcW w:w="499" w:type="pct"/>
            <w:tcBorders>
              <w:top w:val="single" w:sz="4" w:space="0" w:color="53565A" w:themeColor="accent5"/>
              <w:bottom w:val="single" w:sz="4" w:space="0" w:color="53565A" w:themeColor="accent5"/>
            </w:tcBorders>
            <w:shd w:val="clear" w:color="auto" w:fill="auto"/>
          </w:tcPr>
          <w:p w14:paraId="362CBD20" w14:textId="6B01FAD3" w:rsidR="004504B3" w:rsidRPr="005734B8" w:rsidRDefault="004504B3" w:rsidP="004504B3">
            <w:pPr>
              <w:pStyle w:val="ESTablenumberrightaligned"/>
              <w:rPr>
                <w:rFonts w:ascii="Calibri" w:hAnsi="Calibri" w:cs="Calibri"/>
                <w:sz w:val="18"/>
              </w:rPr>
            </w:pPr>
            <w:r w:rsidRPr="005734B8">
              <w:rPr>
                <w:rFonts w:ascii="Calibri" w:hAnsi="Calibri" w:cs="Calibri"/>
                <w:sz w:val="18"/>
              </w:rPr>
              <w:t>m</w:t>
            </w:r>
          </w:p>
        </w:tc>
        <w:tc>
          <w:tcPr>
            <w:tcW w:w="1050" w:type="pct"/>
            <w:tcBorders>
              <w:top w:val="single" w:sz="4" w:space="0" w:color="53565A" w:themeColor="accent5"/>
              <w:bottom w:val="single" w:sz="4" w:space="0" w:color="53565A" w:themeColor="accent5"/>
            </w:tcBorders>
            <w:shd w:val="clear" w:color="auto" w:fill="D9D9D6" w:themeFill="accent6"/>
          </w:tcPr>
          <w:p w14:paraId="6D604DB6" w14:textId="46007174" w:rsidR="004504B3" w:rsidRPr="005734B8" w:rsidRDefault="004504B3" w:rsidP="004504B3">
            <w:pPr>
              <w:pStyle w:val="ESTablenumberrightaligned"/>
              <w:rPr>
                <w:rFonts w:ascii="Calibri" w:hAnsi="Calibri" w:cs="Calibri"/>
                <w:sz w:val="18"/>
              </w:rPr>
            </w:pPr>
            <w:r w:rsidRPr="005734B8">
              <w:rPr>
                <w:rFonts w:ascii="Calibri" w:hAnsi="Calibri" w:cs="Calibri"/>
                <w:sz w:val="18"/>
              </w:rPr>
              <w:t>(4.1)</w:t>
            </w:r>
          </w:p>
        </w:tc>
        <w:tc>
          <w:tcPr>
            <w:tcW w:w="750" w:type="pct"/>
            <w:tcBorders>
              <w:top w:val="single" w:sz="4" w:space="0" w:color="53565A" w:themeColor="accent5"/>
              <w:bottom w:val="single" w:sz="4" w:space="0" w:color="53565A" w:themeColor="accent5"/>
            </w:tcBorders>
          </w:tcPr>
          <w:p w14:paraId="22923E33" w14:textId="1A0D5246" w:rsidR="004504B3" w:rsidRPr="005734B8" w:rsidRDefault="004504B3" w:rsidP="004504B3">
            <w:pPr>
              <w:pStyle w:val="ESTablenumberrightaligned"/>
              <w:rPr>
                <w:rFonts w:ascii="Calibri" w:hAnsi="Calibri" w:cs="Calibri"/>
                <w:sz w:val="18"/>
              </w:rPr>
            </w:pPr>
            <w:r w:rsidRPr="005734B8">
              <w:rPr>
                <w:rFonts w:ascii="Calibri" w:hAnsi="Calibri" w:cs="Calibri"/>
                <w:sz w:val="18"/>
              </w:rPr>
              <w:t>(2.4)</w:t>
            </w:r>
          </w:p>
        </w:tc>
        <w:tc>
          <w:tcPr>
            <w:tcW w:w="688" w:type="pct"/>
            <w:tcBorders>
              <w:top w:val="single" w:sz="4" w:space="0" w:color="53565A" w:themeColor="accent5"/>
              <w:bottom w:val="single" w:sz="4" w:space="0" w:color="53565A" w:themeColor="accent5"/>
            </w:tcBorders>
          </w:tcPr>
          <w:p w14:paraId="5F68E066" w14:textId="0C1A06D3" w:rsidR="004504B3" w:rsidRPr="005734B8" w:rsidRDefault="004504B3" w:rsidP="004504B3">
            <w:pPr>
              <w:pStyle w:val="ESTablenumberrightaligned"/>
              <w:rPr>
                <w:rFonts w:ascii="Calibri" w:hAnsi="Calibri" w:cs="Calibri"/>
                <w:sz w:val="18"/>
              </w:rPr>
            </w:pPr>
            <w:r w:rsidRPr="005734B8">
              <w:rPr>
                <w:rFonts w:ascii="Calibri" w:hAnsi="Calibri" w:cs="Calibri"/>
                <w:sz w:val="18"/>
              </w:rPr>
              <w:t>70</w:t>
            </w:r>
          </w:p>
        </w:tc>
        <w:tc>
          <w:tcPr>
            <w:tcW w:w="686" w:type="pct"/>
            <w:tcBorders>
              <w:top w:val="single" w:sz="4" w:space="0" w:color="53565A" w:themeColor="accent5"/>
              <w:bottom w:val="single" w:sz="4" w:space="0" w:color="53565A" w:themeColor="accent5"/>
            </w:tcBorders>
          </w:tcPr>
          <w:p w14:paraId="557599E5" w14:textId="5D847364" w:rsidR="004504B3" w:rsidRPr="005734B8" w:rsidRDefault="004504B3" w:rsidP="004504B3">
            <w:pPr>
              <w:pStyle w:val="ESTablenumberrightaligned"/>
              <w:rPr>
                <w:rFonts w:ascii="Calibri" w:hAnsi="Calibri" w:cs="Calibri"/>
                <w:sz w:val="18"/>
              </w:rPr>
            </w:pPr>
            <w:r w:rsidRPr="005734B8">
              <w:rPr>
                <w:rFonts w:ascii="Calibri" w:hAnsi="Calibri" w:cs="Calibri"/>
                <w:sz w:val="18"/>
              </w:rPr>
              <w:t>(1.7)</w:t>
            </w:r>
          </w:p>
        </w:tc>
      </w:tr>
      <w:tr w:rsidR="004504B3" w:rsidRPr="005734B8" w14:paraId="4767E261" w14:textId="277C2B95" w:rsidTr="000F48B1">
        <w:tc>
          <w:tcPr>
            <w:tcW w:w="1327" w:type="pct"/>
            <w:tcBorders>
              <w:top w:val="single" w:sz="18" w:space="0" w:color="53565A" w:themeColor="accent5"/>
              <w:bottom w:val="single" w:sz="18" w:space="0" w:color="53565A" w:themeColor="accent5"/>
            </w:tcBorders>
            <w:shd w:val="clear" w:color="auto" w:fill="auto"/>
            <w:vAlign w:val="center"/>
          </w:tcPr>
          <w:p w14:paraId="1107601D" w14:textId="77777777" w:rsidR="004504B3" w:rsidRPr="005734B8" w:rsidRDefault="004504B3" w:rsidP="004504B3">
            <w:pPr>
              <w:pStyle w:val="ESTablebody"/>
              <w:rPr>
                <w:rFonts w:ascii="Calibri" w:hAnsi="Calibri" w:cs="Calibri"/>
                <w:b/>
                <w:sz w:val="18"/>
              </w:rPr>
            </w:pPr>
            <w:r w:rsidRPr="005734B8">
              <w:rPr>
                <w:rFonts w:ascii="Calibri" w:hAnsi="Calibri" w:cs="Calibri"/>
                <w:b/>
                <w:sz w:val="18"/>
                <w:lang w:val="en-AU"/>
              </w:rPr>
              <w:t>Net cash flows from/ (used in) financing activities</w:t>
            </w:r>
          </w:p>
        </w:tc>
        <w:tc>
          <w:tcPr>
            <w:tcW w:w="499" w:type="pct"/>
            <w:tcBorders>
              <w:top w:val="single" w:sz="18" w:space="0" w:color="53565A" w:themeColor="accent5"/>
              <w:bottom w:val="single" w:sz="18" w:space="0" w:color="53565A" w:themeColor="accent5"/>
            </w:tcBorders>
            <w:shd w:val="clear" w:color="auto" w:fill="auto"/>
            <w:vAlign w:val="center"/>
          </w:tcPr>
          <w:p w14:paraId="62FEE052" w14:textId="77777777" w:rsidR="004504B3" w:rsidRPr="005734B8" w:rsidRDefault="004504B3" w:rsidP="004504B3">
            <w:pPr>
              <w:pStyle w:val="ESTablenumberrightaligned"/>
              <w:rPr>
                <w:rFonts w:ascii="Calibri" w:hAnsi="Calibri" w:cs="Calibri"/>
                <w:b/>
                <w:sz w:val="18"/>
              </w:rPr>
            </w:pPr>
          </w:p>
        </w:tc>
        <w:tc>
          <w:tcPr>
            <w:tcW w:w="1050" w:type="pct"/>
            <w:tcBorders>
              <w:top w:val="single" w:sz="18" w:space="0" w:color="53565A" w:themeColor="accent5"/>
              <w:bottom w:val="single" w:sz="18" w:space="0" w:color="53565A" w:themeColor="accent5"/>
            </w:tcBorders>
            <w:shd w:val="clear" w:color="auto" w:fill="D9D9D6" w:themeFill="accent6"/>
          </w:tcPr>
          <w:p w14:paraId="66F094EF" w14:textId="246341C7"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872.5</w:t>
            </w:r>
          </w:p>
        </w:tc>
        <w:tc>
          <w:tcPr>
            <w:tcW w:w="750" w:type="pct"/>
            <w:tcBorders>
              <w:top w:val="single" w:sz="18" w:space="0" w:color="53565A" w:themeColor="accent5"/>
              <w:bottom w:val="single" w:sz="18" w:space="0" w:color="53565A" w:themeColor="accent5"/>
            </w:tcBorders>
          </w:tcPr>
          <w:p w14:paraId="368E8B49" w14:textId="0EDF2BEA"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1,260.2</w:t>
            </w:r>
          </w:p>
        </w:tc>
        <w:tc>
          <w:tcPr>
            <w:tcW w:w="688" w:type="pct"/>
            <w:tcBorders>
              <w:top w:val="single" w:sz="18" w:space="0" w:color="53565A" w:themeColor="accent5"/>
              <w:bottom w:val="single" w:sz="18" w:space="0" w:color="53565A" w:themeColor="accent5"/>
            </w:tcBorders>
          </w:tcPr>
          <w:p w14:paraId="15825008" w14:textId="22A46176"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(31)</w:t>
            </w:r>
          </w:p>
        </w:tc>
        <w:tc>
          <w:tcPr>
            <w:tcW w:w="686" w:type="pct"/>
            <w:tcBorders>
              <w:top w:val="single" w:sz="18" w:space="0" w:color="53565A" w:themeColor="accent5"/>
              <w:bottom w:val="single" w:sz="18" w:space="0" w:color="53565A" w:themeColor="accent5"/>
            </w:tcBorders>
          </w:tcPr>
          <w:p w14:paraId="4344F495" w14:textId="173BC137"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(387.6)</w:t>
            </w:r>
          </w:p>
        </w:tc>
      </w:tr>
      <w:tr w:rsidR="004504B3" w:rsidRPr="005734B8" w14:paraId="29A8DCE9" w14:textId="7FF6B231" w:rsidTr="000F48B1">
        <w:tc>
          <w:tcPr>
            <w:tcW w:w="1327" w:type="pct"/>
            <w:tcBorders>
              <w:top w:val="single" w:sz="18" w:space="0" w:color="53565A" w:themeColor="accent5"/>
              <w:bottom w:val="single" w:sz="4" w:space="0" w:color="53565A" w:themeColor="accent5"/>
              <w:right w:val="nil"/>
            </w:tcBorders>
            <w:shd w:val="clear" w:color="auto" w:fill="auto"/>
            <w:vAlign w:val="center"/>
          </w:tcPr>
          <w:p w14:paraId="77646C71" w14:textId="77777777" w:rsidR="004504B3" w:rsidRPr="005734B8" w:rsidRDefault="004504B3" w:rsidP="004504B3">
            <w:pPr>
              <w:pStyle w:val="ESTablebody"/>
              <w:rPr>
                <w:rFonts w:ascii="Calibri" w:hAnsi="Calibri" w:cs="Calibri"/>
                <w:b/>
                <w:sz w:val="18"/>
                <w:lang w:val="en-AU"/>
              </w:rPr>
            </w:pPr>
            <w:r w:rsidRPr="005734B8">
              <w:rPr>
                <w:rFonts w:ascii="Calibri" w:hAnsi="Calibri" w:cs="Calibri"/>
                <w:b/>
                <w:sz w:val="18"/>
                <w:lang w:val="en-AU"/>
              </w:rPr>
              <w:t>Net increase/(decrease) in cash and cash equivalents</w:t>
            </w:r>
          </w:p>
        </w:tc>
        <w:tc>
          <w:tcPr>
            <w:tcW w:w="499" w:type="pct"/>
            <w:tcBorders>
              <w:top w:val="single" w:sz="18" w:space="0" w:color="53565A" w:themeColor="accent5"/>
              <w:left w:val="nil"/>
              <w:bottom w:val="single" w:sz="4" w:space="0" w:color="53565A" w:themeColor="accent5"/>
              <w:right w:val="nil"/>
            </w:tcBorders>
            <w:shd w:val="clear" w:color="auto" w:fill="auto"/>
            <w:vAlign w:val="center"/>
          </w:tcPr>
          <w:p w14:paraId="62A116A5" w14:textId="77777777" w:rsidR="004504B3" w:rsidRPr="005734B8" w:rsidRDefault="004504B3" w:rsidP="004504B3">
            <w:pPr>
              <w:pStyle w:val="ESTablenumberrightaligned"/>
              <w:rPr>
                <w:rFonts w:ascii="Calibri" w:hAnsi="Calibri" w:cs="Calibri"/>
                <w:b/>
                <w:sz w:val="18"/>
                <w:lang w:val="en-AU"/>
              </w:rPr>
            </w:pPr>
          </w:p>
        </w:tc>
        <w:tc>
          <w:tcPr>
            <w:tcW w:w="1050" w:type="pct"/>
            <w:tcBorders>
              <w:top w:val="single" w:sz="18" w:space="0" w:color="53565A" w:themeColor="accent5"/>
              <w:left w:val="nil"/>
              <w:bottom w:val="single" w:sz="4" w:space="0" w:color="53565A" w:themeColor="accent5"/>
              <w:right w:val="nil"/>
            </w:tcBorders>
            <w:shd w:val="clear" w:color="auto" w:fill="D9D9D6" w:themeFill="accent6"/>
          </w:tcPr>
          <w:p w14:paraId="58EEB1D9" w14:textId="201A1054" w:rsidR="004504B3" w:rsidRPr="005734B8" w:rsidRDefault="004504B3" w:rsidP="004504B3">
            <w:pPr>
              <w:pStyle w:val="ESTablenumberrightaligned"/>
              <w:rPr>
                <w:rFonts w:ascii="Calibri" w:hAnsi="Calibri" w:cs="Calibri"/>
                <w:b/>
                <w:sz w:val="18"/>
                <w:lang w:val="en-AU"/>
              </w:rPr>
            </w:pPr>
            <w:r w:rsidRPr="005734B8">
              <w:rPr>
                <w:rFonts w:ascii="Calibri" w:hAnsi="Calibri" w:cs="Calibri"/>
                <w:b/>
                <w:bCs/>
                <w:sz w:val="18"/>
              </w:rPr>
              <w:t>(77.3)</w:t>
            </w:r>
          </w:p>
        </w:tc>
        <w:tc>
          <w:tcPr>
            <w:tcW w:w="750" w:type="pct"/>
            <w:tcBorders>
              <w:top w:val="single" w:sz="18" w:space="0" w:color="53565A" w:themeColor="accent5"/>
              <w:left w:val="nil"/>
              <w:bottom w:val="single" w:sz="4" w:space="0" w:color="53565A" w:themeColor="accent5"/>
              <w:right w:val="nil"/>
            </w:tcBorders>
            <w:shd w:val="clear" w:color="auto" w:fill="auto"/>
          </w:tcPr>
          <w:p w14:paraId="5829BFFA" w14:textId="1B785DA8" w:rsidR="004504B3" w:rsidRPr="005734B8" w:rsidRDefault="004504B3" w:rsidP="004504B3">
            <w:pPr>
              <w:pStyle w:val="ESTablenumberrightaligned"/>
              <w:rPr>
                <w:rFonts w:ascii="Calibri" w:hAnsi="Calibri" w:cs="Calibri"/>
                <w:b/>
                <w:sz w:val="18"/>
                <w:lang w:val="en-AU"/>
              </w:rPr>
            </w:pPr>
            <w:r w:rsidRPr="005734B8">
              <w:rPr>
                <w:rFonts w:ascii="Calibri" w:hAnsi="Calibri" w:cs="Calibri"/>
                <w:b/>
                <w:bCs/>
                <w:sz w:val="18"/>
              </w:rPr>
              <w:t>(134.2)</w:t>
            </w:r>
          </w:p>
        </w:tc>
        <w:tc>
          <w:tcPr>
            <w:tcW w:w="688" w:type="pct"/>
            <w:tcBorders>
              <w:top w:val="single" w:sz="18" w:space="0" w:color="53565A" w:themeColor="accent5"/>
              <w:left w:val="nil"/>
              <w:bottom w:val="single" w:sz="4" w:space="0" w:color="53565A" w:themeColor="accent5"/>
              <w:right w:val="nil"/>
            </w:tcBorders>
            <w:shd w:val="clear" w:color="auto" w:fill="auto"/>
          </w:tcPr>
          <w:p w14:paraId="54B6B41C" w14:textId="6A99F762" w:rsidR="004504B3" w:rsidRPr="005734B8" w:rsidRDefault="004504B3" w:rsidP="004504B3">
            <w:pPr>
              <w:pStyle w:val="ESTablenumberrightaligned"/>
              <w:rPr>
                <w:rFonts w:ascii="Calibri" w:hAnsi="Calibri" w:cs="Calibri"/>
                <w:b/>
                <w:sz w:val="18"/>
                <w:lang w:val="en-AU"/>
              </w:rPr>
            </w:pPr>
            <w:r w:rsidRPr="005734B8">
              <w:rPr>
                <w:rFonts w:ascii="Calibri" w:hAnsi="Calibri" w:cs="Calibri"/>
                <w:b/>
                <w:bCs/>
                <w:sz w:val="18"/>
              </w:rPr>
              <w:t>(42)</w:t>
            </w:r>
          </w:p>
        </w:tc>
        <w:tc>
          <w:tcPr>
            <w:tcW w:w="686" w:type="pct"/>
            <w:tcBorders>
              <w:top w:val="single" w:sz="18" w:space="0" w:color="53565A" w:themeColor="accent5"/>
              <w:left w:val="nil"/>
              <w:bottom w:val="single" w:sz="4" w:space="0" w:color="53565A" w:themeColor="accent5"/>
              <w:right w:val="nil"/>
            </w:tcBorders>
            <w:shd w:val="clear" w:color="auto" w:fill="auto"/>
          </w:tcPr>
          <w:p w14:paraId="00286B4B" w14:textId="37443494" w:rsidR="004504B3" w:rsidRPr="005734B8" w:rsidRDefault="004504B3" w:rsidP="004504B3">
            <w:pPr>
              <w:pStyle w:val="ESTablenumberrightaligned"/>
              <w:rPr>
                <w:rFonts w:ascii="Calibri" w:hAnsi="Calibri" w:cs="Calibri"/>
                <w:b/>
                <w:sz w:val="18"/>
                <w:lang w:val="en-AU"/>
              </w:rPr>
            </w:pPr>
            <w:r w:rsidRPr="005734B8">
              <w:rPr>
                <w:rFonts w:ascii="Calibri" w:hAnsi="Calibri" w:cs="Calibri"/>
                <w:b/>
                <w:bCs/>
                <w:sz w:val="18"/>
              </w:rPr>
              <w:t>56.8</w:t>
            </w:r>
          </w:p>
        </w:tc>
      </w:tr>
      <w:tr w:rsidR="004504B3" w:rsidRPr="005734B8" w14:paraId="41E21ED3" w14:textId="08E97B07" w:rsidTr="000F48B1">
        <w:tc>
          <w:tcPr>
            <w:tcW w:w="1327" w:type="pct"/>
            <w:tcBorders>
              <w:top w:val="single" w:sz="4" w:space="0" w:color="53565A" w:themeColor="accent5"/>
              <w:bottom w:val="single" w:sz="4" w:space="0" w:color="53565A" w:themeColor="accent5"/>
            </w:tcBorders>
            <w:shd w:val="clear" w:color="auto" w:fill="auto"/>
            <w:vAlign w:val="center"/>
          </w:tcPr>
          <w:p w14:paraId="4E2FA71E" w14:textId="77777777" w:rsidR="004504B3" w:rsidRPr="005734B8" w:rsidRDefault="004504B3" w:rsidP="004504B3">
            <w:pPr>
              <w:pStyle w:val="ESTablebody"/>
              <w:rPr>
                <w:rFonts w:ascii="Calibri" w:hAnsi="Calibri" w:cs="Calibri"/>
                <w:sz w:val="18"/>
              </w:rPr>
            </w:pPr>
            <w:r w:rsidRPr="005734B8">
              <w:rPr>
                <w:rFonts w:ascii="Calibri" w:hAnsi="Calibri" w:cs="Calibri"/>
                <w:sz w:val="18"/>
                <w:lang w:val="en-AU"/>
              </w:rPr>
              <w:t>Cash and cash equivalents at the beginning of the financial year</w:t>
            </w:r>
          </w:p>
        </w:tc>
        <w:tc>
          <w:tcPr>
            <w:tcW w:w="499" w:type="pct"/>
            <w:tcBorders>
              <w:top w:val="single" w:sz="4" w:space="0" w:color="53565A" w:themeColor="accent5"/>
              <w:bottom w:val="single" w:sz="4" w:space="0" w:color="53565A" w:themeColor="accent5"/>
            </w:tcBorders>
            <w:shd w:val="clear" w:color="auto" w:fill="auto"/>
            <w:vAlign w:val="center"/>
          </w:tcPr>
          <w:p w14:paraId="152B1546" w14:textId="6A042018" w:rsidR="004504B3" w:rsidRPr="005734B8" w:rsidRDefault="004504B3" w:rsidP="004504B3">
            <w:pPr>
              <w:pStyle w:val="ESTablenumberrightaligned"/>
              <w:rPr>
                <w:rFonts w:ascii="Calibri" w:hAnsi="Calibri" w:cs="Calibri"/>
                <w:sz w:val="18"/>
              </w:rPr>
            </w:pPr>
          </w:p>
        </w:tc>
        <w:tc>
          <w:tcPr>
            <w:tcW w:w="1050" w:type="pct"/>
            <w:tcBorders>
              <w:top w:val="single" w:sz="4" w:space="0" w:color="53565A" w:themeColor="accent5"/>
              <w:bottom w:val="single" w:sz="4" w:space="0" w:color="53565A" w:themeColor="accent5"/>
            </w:tcBorders>
            <w:shd w:val="clear" w:color="auto" w:fill="D9D9D6" w:themeFill="accent6"/>
          </w:tcPr>
          <w:p w14:paraId="30DBDD12" w14:textId="6571EF36" w:rsidR="004504B3" w:rsidRPr="005734B8" w:rsidRDefault="004504B3" w:rsidP="004504B3">
            <w:pPr>
              <w:pStyle w:val="ESTablenumberrightaligned"/>
              <w:rPr>
                <w:rFonts w:ascii="Calibri" w:hAnsi="Calibri" w:cs="Calibri"/>
                <w:sz w:val="18"/>
              </w:rPr>
            </w:pPr>
            <w:r w:rsidRPr="005734B8">
              <w:rPr>
                <w:rFonts w:ascii="Calibri" w:hAnsi="Calibri" w:cs="Calibri"/>
                <w:sz w:val="18"/>
              </w:rPr>
              <w:t>2,044.2</w:t>
            </w:r>
          </w:p>
        </w:tc>
        <w:tc>
          <w:tcPr>
            <w:tcW w:w="750" w:type="pct"/>
            <w:tcBorders>
              <w:top w:val="single" w:sz="4" w:space="0" w:color="53565A" w:themeColor="accent5"/>
              <w:bottom w:val="single" w:sz="4" w:space="0" w:color="53565A" w:themeColor="accent5"/>
            </w:tcBorders>
          </w:tcPr>
          <w:p w14:paraId="7DBCCFAE" w14:textId="24B7B389" w:rsidR="004504B3" w:rsidRPr="005734B8" w:rsidRDefault="004504B3" w:rsidP="004504B3">
            <w:pPr>
              <w:pStyle w:val="ESTablenumberrightaligned"/>
              <w:rPr>
                <w:rFonts w:ascii="Calibri" w:hAnsi="Calibri" w:cs="Calibri"/>
                <w:sz w:val="18"/>
              </w:rPr>
            </w:pPr>
            <w:r w:rsidRPr="005734B8">
              <w:rPr>
                <w:rFonts w:ascii="Calibri" w:hAnsi="Calibri" w:cs="Calibri"/>
                <w:sz w:val="18"/>
              </w:rPr>
              <w:t>2,044.2</w:t>
            </w:r>
          </w:p>
        </w:tc>
        <w:tc>
          <w:tcPr>
            <w:tcW w:w="688" w:type="pct"/>
            <w:tcBorders>
              <w:top w:val="single" w:sz="4" w:space="0" w:color="53565A" w:themeColor="accent5"/>
              <w:bottom w:val="single" w:sz="4" w:space="0" w:color="53565A" w:themeColor="accent5"/>
            </w:tcBorders>
          </w:tcPr>
          <w:p w14:paraId="4F7845BD" w14:textId="1583D365" w:rsidR="004504B3" w:rsidRPr="005734B8" w:rsidRDefault="006404A1" w:rsidP="004504B3">
            <w:pPr>
              <w:pStyle w:val="ESTablenumberrightaligned"/>
              <w:rPr>
                <w:rFonts w:ascii="Calibri" w:hAnsi="Calibri" w:cs="Calibri"/>
                <w:sz w:val="18"/>
              </w:rPr>
            </w:pPr>
            <w:r w:rsidRPr="005734B8">
              <w:rPr>
                <w:rFonts w:ascii="Calibri" w:hAnsi="Calibri" w:cs="Calibri"/>
                <w:sz w:val="18"/>
              </w:rPr>
              <w:t>–</w:t>
            </w:r>
          </w:p>
        </w:tc>
        <w:tc>
          <w:tcPr>
            <w:tcW w:w="686" w:type="pct"/>
            <w:tcBorders>
              <w:top w:val="single" w:sz="4" w:space="0" w:color="53565A" w:themeColor="accent5"/>
              <w:bottom w:val="single" w:sz="4" w:space="0" w:color="53565A" w:themeColor="accent5"/>
            </w:tcBorders>
          </w:tcPr>
          <w:p w14:paraId="5418437E" w14:textId="0B31980D" w:rsidR="004504B3" w:rsidRPr="005734B8" w:rsidRDefault="004504B3" w:rsidP="004504B3">
            <w:pPr>
              <w:pStyle w:val="ESTablenumberrightaligned"/>
              <w:rPr>
                <w:rFonts w:ascii="Calibri" w:hAnsi="Calibri" w:cs="Calibri"/>
                <w:sz w:val="18"/>
              </w:rPr>
            </w:pPr>
            <w:r w:rsidRPr="005734B8">
              <w:rPr>
                <w:rFonts w:ascii="Calibri" w:hAnsi="Calibri" w:cs="Calibri"/>
                <w:sz w:val="18"/>
              </w:rPr>
              <w:t>–</w:t>
            </w:r>
          </w:p>
        </w:tc>
      </w:tr>
      <w:tr w:rsidR="004504B3" w:rsidRPr="005734B8" w14:paraId="43B821B2" w14:textId="4E79C486" w:rsidTr="000F48B1">
        <w:tc>
          <w:tcPr>
            <w:tcW w:w="1327" w:type="pct"/>
            <w:tcBorders>
              <w:top w:val="single" w:sz="18" w:space="0" w:color="53565A" w:themeColor="accent5"/>
              <w:bottom w:val="single" w:sz="18" w:space="0" w:color="53565A" w:themeColor="accent5"/>
            </w:tcBorders>
            <w:shd w:val="clear" w:color="auto" w:fill="auto"/>
            <w:vAlign w:val="center"/>
          </w:tcPr>
          <w:p w14:paraId="1AC56DA1" w14:textId="77777777" w:rsidR="004504B3" w:rsidRPr="005734B8" w:rsidRDefault="004504B3" w:rsidP="004504B3">
            <w:pPr>
              <w:pStyle w:val="ESTablebody"/>
              <w:rPr>
                <w:rFonts w:ascii="Calibri" w:hAnsi="Calibri" w:cs="Calibri"/>
                <w:b/>
                <w:sz w:val="18"/>
              </w:rPr>
            </w:pPr>
            <w:r w:rsidRPr="005734B8">
              <w:rPr>
                <w:rFonts w:ascii="Calibri" w:hAnsi="Calibri" w:cs="Calibri"/>
                <w:b/>
                <w:sz w:val="18"/>
                <w:lang w:val="en-AU"/>
              </w:rPr>
              <w:t>Cash and cash equivalents at the end of the financial year</w:t>
            </w:r>
          </w:p>
        </w:tc>
        <w:tc>
          <w:tcPr>
            <w:tcW w:w="499" w:type="pct"/>
            <w:tcBorders>
              <w:top w:val="single" w:sz="18" w:space="0" w:color="53565A" w:themeColor="accent5"/>
              <w:bottom w:val="single" w:sz="18" w:space="0" w:color="53565A" w:themeColor="accent5"/>
            </w:tcBorders>
            <w:shd w:val="clear" w:color="auto" w:fill="auto"/>
            <w:vAlign w:val="center"/>
          </w:tcPr>
          <w:p w14:paraId="230B7F53" w14:textId="77777777" w:rsidR="004504B3" w:rsidRPr="005734B8" w:rsidRDefault="004504B3" w:rsidP="004504B3">
            <w:pPr>
              <w:pStyle w:val="ESTablenumberrightaligned"/>
              <w:rPr>
                <w:rFonts w:ascii="Calibri" w:hAnsi="Calibri" w:cs="Calibri"/>
                <w:b/>
                <w:sz w:val="18"/>
              </w:rPr>
            </w:pPr>
          </w:p>
        </w:tc>
        <w:tc>
          <w:tcPr>
            <w:tcW w:w="1050" w:type="pct"/>
            <w:tcBorders>
              <w:top w:val="single" w:sz="18" w:space="0" w:color="53565A" w:themeColor="accent5"/>
              <w:bottom w:val="single" w:sz="18" w:space="0" w:color="53565A" w:themeColor="accent5"/>
            </w:tcBorders>
            <w:shd w:val="clear" w:color="auto" w:fill="D9D9D6" w:themeFill="accent6"/>
          </w:tcPr>
          <w:p w14:paraId="0B2051B9" w14:textId="5FF343D0"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1,966.9</w:t>
            </w:r>
          </w:p>
        </w:tc>
        <w:tc>
          <w:tcPr>
            <w:tcW w:w="750" w:type="pct"/>
            <w:tcBorders>
              <w:top w:val="single" w:sz="18" w:space="0" w:color="53565A" w:themeColor="accent5"/>
              <w:bottom w:val="single" w:sz="18" w:space="0" w:color="53565A" w:themeColor="accent5"/>
            </w:tcBorders>
          </w:tcPr>
          <w:p w14:paraId="71EBCD04" w14:textId="70C9F082"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1,910.0</w:t>
            </w:r>
          </w:p>
        </w:tc>
        <w:tc>
          <w:tcPr>
            <w:tcW w:w="688" w:type="pct"/>
            <w:tcBorders>
              <w:top w:val="single" w:sz="18" w:space="0" w:color="53565A" w:themeColor="accent5"/>
              <w:bottom w:val="single" w:sz="18" w:space="0" w:color="53565A" w:themeColor="accent5"/>
            </w:tcBorders>
          </w:tcPr>
          <w:p w14:paraId="7E251619" w14:textId="7896BE92"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3</w:t>
            </w:r>
          </w:p>
        </w:tc>
        <w:tc>
          <w:tcPr>
            <w:tcW w:w="686" w:type="pct"/>
            <w:tcBorders>
              <w:top w:val="single" w:sz="18" w:space="0" w:color="53565A" w:themeColor="accent5"/>
              <w:bottom w:val="single" w:sz="18" w:space="0" w:color="53565A" w:themeColor="accent5"/>
            </w:tcBorders>
          </w:tcPr>
          <w:p w14:paraId="6FCDC2D4" w14:textId="5D1CBA9D"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56.8</w:t>
            </w:r>
          </w:p>
        </w:tc>
      </w:tr>
    </w:tbl>
    <w:p w14:paraId="74E9A90A" w14:textId="77777777" w:rsidR="00937682" w:rsidRPr="005734B8" w:rsidRDefault="00937682">
      <w:pPr>
        <w:rPr>
          <w:rFonts w:ascii="Calibri" w:hAnsi="Calibri" w:cs="Calibri"/>
        </w:rPr>
      </w:pPr>
      <w:r w:rsidRPr="005734B8">
        <w:rPr>
          <w:rFonts w:ascii="Calibri" w:hAnsi="Calibri" w:cs="Calibri"/>
        </w:rPr>
        <w:br w:type="page"/>
      </w:r>
    </w:p>
    <w:p w14:paraId="72CD8918" w14:textId="77777777" w:rsidR="00F51668" w:rsidRPr="005734B8" w:rsidRDefault="00F51668" w:rsidP="00314E3E">
      <w:pPr>
        <w:ind w:left="851" w:hanging="851"/>
        <w:rPr>
          <w:rFonts w:ascii="Calibri" w:hAnsi="Calibri" w:cs="Calibri"/>
        </w:rPr>
      </w:pPr>
      <w:r w:rsidRPr="005734B8">
        <w:rPr>
          <w:rFonts w:ascii="Calibri" w:hAnsi="Calibri" w:cs="Calibri"/>
        </w:rPr>
        <w:lastRenderedPageBreak/>
        <w:t>Notes:</w:t>
      </w:r>
    </w:p>
    <w:p w14:paraId="434C9668" w14:textId="0A8F0BAC" w:rsidR="004504B3" w:rsidRPr="005734B8" w:rsidRDefault="004504B3" w:rsidP="00670895">
      <w:pPr>
        <w:pStyle w:val="ListParagraph"/>
        <w:numPr>
          <w:ilvl w:val="0"/>
          <w:numId w:val="68"/>
        </w:numPr>
        <w:rPr>
          <w:rFonts w:ascii="Calibri" w:hAnsi="Calibri" w:cs="Calibri"/>
          <w:szCs w:val="22"/>
        </w:rPr>
      </w:pPr>
      <w:r w:rsidRPr="005734B8">
        <w:rPr>
          <w:rFonts w:ascii="Calibri" w:hAnsi="Calibri" w:cs="Calibri"/>
          <w:szCs w:val="22"/>
        </w:rPr>
        <w:t xml:space="preserve">The variance below the published budget mainly relates to carryover requested into 2021–22 across </w:t>
      </w:r>
      <w:r w:rsidR="006404A1" w:rsidRPr="005734B8">
        <w:rPr>
          <w:rFonts w:ascii="Calibri" w:hAnsi="Calibri" w:cs="Calibri"/>
          <w:szCs w:val="22"/>
        </w:rPr>
        <w:t>s</w:t>
      </w:r>
      <w:r w:rsidRPr="005734B8">
        <w:rPr>
          <w:rFonts w:ascii="Calibri" w:hAnsi="Calibri" w:cs="Calibri"/>
          <w:szCs w:val="22"/>
        </w:rPr>
        <w:t xml:space="preserve">tate initiatives and Commonwealth initiatives. These include </w:t>
      </w:r>
      <w:r w:rsidR="006404A1" w:rsidRPr="005734B8">
        <w:rPr>
          <w:rFonts w:ascii="Calibri" w:hAnsi="Calibri" w:cs="Calibri"/>
          <w:szCs w:val="22"/>
        </w:rPr>
        <w:t>s</w:t>
      </w:r>
      <w:r w:rsidRPr="005734B8">
        <w:rPr>
          <w:rFonts w:ascii="Calibri" w:hAnsi="Calibri" w:cs="Calibri"/>
          <w:szCs w:val="22"/>
        </w:rPr>
        <w:t>tate initiatives such as Victorian Higher Education State Investment Fund, Apprenticeships Growth Strategy, TAFE Facilities Modernisation Program and TAFE Asset Maintenance Program.</w:t>
      </w:r>
    </w:p>
    <w:p w14:paraId="6C32EF1E" w14:textId="77777777" w:rsidR="004504B3" w:rsidRPr="005734B8" w:rsidRDefault="004504B3" w:rsidP="00670895">
      <w:pPr>
        <w:pStyle w:val="ListParagraph"/>
        <w:numPr>
          <w:ilvl w:val="0"/>
          <w:numId w:val="68"/>
        </w:numPr>
        <w:rPr>
          <w:rFonts w:ascii="Calibri" w:hAnsi="Calibri" w:cs="Calibri"/>
          <w:szCs w:val="22"/>
        </w:rPr>
      </w:pPr>
      <w:r w:rsidRPr="005734B8">
        <w:rPr>
          <w:rFonts w:ascii="Calibri" w:hAnsi="Calibri" w:cs="Calibri"/>
          <w:szCs w:val="22"/>
        </w:rPr>
        <w:t>The variance below the published budget primarily relates to lower than anticipated collection of school and TAFE own sourced revenue due to the COVID-19 pandemic and Stage 4 restrictions.</w:t>
      </w:r>
      <w:r w:rsidRPr="005734B8">
        <w:rPr>
          <w:rFonts w:ascii="Calibri" w:hAnsi="Calibri" w:cs="Calibri"/>
          <w:szCs w:val="22"/>
        </w:rPr>
        <w:tab/>
      </w:r>
      <w:r w:rsidRPr="005734B8">
        <w:rPr>
          <w:rFonts w:ascii="Calibri" w:hAnsi="Calibri" w:cs="Calibri"/>
          <w:szCs w:val="22"/>
        </w:rPr>
        <w:tab/>
      </w:r>
      <w:r w:rsidRPr="005734B8">
        <w:rPr>
          <w:rFonts w:ascii="Calibri" w:hAnsi="Calibri" w:cs="Calibri"/>
          <w:szCs w:val="22"/>
        </w:rPr>
        <w:tab/>
      </w:r>
      <w:r w:rsidRPr="005734B8">
        <w:rPr>
          <w:rFonts w:ascii="Calibri" w:hAnsi="Calibri" w:cs="Calibri"/>
          <w:szCs w:val="22"/>
        </w:rPr>
        <w:tab/>
      </w:r>
    </w:p>
    <w:p w14:paraId="790C3BD8" w14:textId="77777777" w:rsidR="004504B3" w:rsidRPr="005734B8" w:rsidRDefault="004504B3" w:rsidP="00670895">
      <w:pPr>
        <w:pStyle w:val="ListParagraph"/>
        <w:numPr>
          <w:ilvl w:val="0"/>
          <w:numId w:val="68"/>
        </w:numPr>
        <w:rPr>
          <w:rFonts w:ascii="Calibri" w:hAnsi="Calibri" w:cs="Calibri"/>
          <w:szCs w:val="22"/>
        </w:rPr>
      </w:pPr>
      <w:r w:rsidRPr="005734B8">
        <w:rPr>
          <w:rFonts w:ascii="Calibri" w:hAnsi="Calibri" w:cs="Calibri"/>
          <w:szCs w:val="22"/>
        </w:rPr>
        <w:t>The variance below the published budget is mainly due to schools earning lower interest revenue than anticipated.</w:t>
      </w:r>
      <w:r w:rsidRPr="005734B8">
        <w:rPr>
          <w:rFonts w:ascii="Calibri" w:hAnsi="Calibri" w:cs="Calibri"/>
          <w:szCs w:val="22"/>
        </w:rPr>
        <w:tab/>
      </w:r>
      <w:r w:rsidRPr="005734B8">
        <w:rPr>
          <w:rFonts w:ascii="Calibri" w:hAnsi="Calibri" w:cs="Calibri"/>
          <w:szCs w:val="22"/>
        </w:rPr>
        <w:tab/>
      </w:r>
      <w:r w:rsidRPr="005734B8">
        <w:rPr>
          <w:rFonts w:ascii="Calibri" w:hAnsi="Calibri" w:cs="Calibri"/>
          <w:szCs w:val="22"/>
        </w:rPr>
        <w:tab/>
      </w:r>
      <w:r w:rsidRPr="005734B8">
        <w:rPr>
          <w:rFonts w:ascii="Calibri" w:hAnsi="Calibri" w:cs="Calibri"/>
          <w:szCs w:val="22"/>
        </w:rPr>
        <w:tab/>
      </w:r>
      <w:r w:rsidRPr="005734B8">
        <w:rPr>
          <w:rFonts w:ascii="Calibri" w:hAnsi="Calibri" w:cs="Calibri"/>
          <w:szCs w:val="22"/>
        </w:rPr>
        <w:tab/>
      </w:r>
      <w:r w:rsidRPr="005734B8">
        <w:rPr>
          <w:rFonts w:ascii="Calibri" w:hAnsi="Calibri" w:cs="Calibri"/>
          <w:szCs w:val="22"/>
        </w:rPr>
        <w:tab/>
      </w:r>
    </w:p>
    <w:p w14:paraId="6560C7AD" w14:textId="31428CE8" w:rsidR="004504B3" w:rsidRPr="005734B8" w:rsidRDefault="004504B3" w:rsidP="00670895">
      <w:pPr>
        <w:pStyle w:val="ListParagraph"/>
        <w:numPr>
          <w:ilvl w:val="0"/>
          <w:numId w:val="68"/>
        </w:numPr>
        <w:rPr>
          <w:rFonts w:ascii="Calibri" w:hAnsi="Calibri" w:cs="Calibri"/>
          <w:szCs w:val="22"/>
        </w:rPr>
      </w:pPr>
      <w:r w:rsidRPr="005734B8">
        <w:rPr>
          <w:rFonts w:ascii="Calibri" w:hAnsi="Calibri" w:cs="Calibri"/>
          <w:szCs w:val="22"/>
        </w:rPr>
        <w:t>The variance below the published budget is primarily due to schools</w:t>
      </w:r>
      <w:r w:rsidR="00B15F9A" w:rsidRPr="005734B8">
        <w:rPr>
          <w:rFonts w:ascii="Calibri" w:hAnsi="Calibri" w:cs="Calibri"/>
          <w:szCs w:val="22"/>
        </w:rPr>
        <w:t>’</w:t>
      </w:r>
      <w:r w:rsidRPr="005734B8">
        <w:rPr>
          <w:rFonts w:ascii="Calibri" w:hAnsi="Calibri" w:cs="Calibri"/>
          <w:szCs w:val="22"/>
        </w:rPr>
        <w:t xml:space="preserve"> third</w:t>
      </w:r>
      <w:r w:rsidR="00CC752D" w:rsidRPr="005734B8">
        <w:rPr>
          <w:rFonts w:ascii="Calibri" w:hAnsi="Calibri" w:cs="Calibri"/>
          <w:szCs w:val="22"/>
        </w:rPr>
        <w:t>-</w:t>
      </w:r>
      <w:r w:rsidRPr="005734B8">
        <w:rPr>
          <w:rFonts w:ascii="Calibri" w:hAnsi="Calibri" w:cs="Calibri"/>
          <w:szCs w:val="22"/>
        </w:rPr>
        <w:t>party other revenue (</w:t>
      </w:r>
      <w:r w:rsidR="006404A1" w:rsidRPr="005734B8">
        <w:rPr>
          <w:rFonts w:ascii="Calibri" w:hAnsi="Calibri" w:cs="Calibri"/>
          <w:szCs w:val="22"/>
        </w:rPr>
        <w:t>for example,</w:t>
      </w:r>
      <w:r w:rsidRPr="005734B8">
        <w:rPr>
          <w:rFonts w:ascii="Calibri" w:hAnsi="Calibri" w:cs="Calibri"/>
          <w:szCs w:val="22"/>
        </w:rPr>
        <w:t xml:space="preserve"> locally raised funds from school fetes</w:t>
      </w:r>
      <w:r w:rsidR="006404A1" w:rsidRPr="005734B8">
        <w:rPr>
          <w:rFonts w:ascii="Calibri" w:hAnsi="Calibri" w:cs="Calibri"/>
          <w:szCs w:val="22"/>
        </w:rPr>
        <w:t xml:space="preserve"> and</w:t>
      </w:r>
      <w:r w:rsidRPr="005734B8">
        <w:rPr>
          <w:rFonts w:ascii="Calibri" w:hAnsi="Calibri" w:cs="Calibri"/>
          <w:szCs w:val="22"/>
        </w:rPr>
        <w:t>, fundraising events</w:t>
      </w:r>
      <w:r w:rsidR="006404A1" w:rsidRPr="005734B8">
        <w:rPr>
          <w:rFonts w:ascii="Calibri" w:hAnsi="Calibri" w:cs="Calibri"/>
          <w:szCs w:val="22"/>
        </w:rPr>
        <w:t>,</w:t>
      </w:r>
      <w:r w:rsidRPr="005734B8">
        <w:rPr>
          <w:rFonts w:ascii="Calibri" w:hAnsi="Calibri" w:cs="Calibri"/>
          <w:szCs w:val="22"/>
        </w:rPr>
        <w:t xml:space="preserve"> and voluntary contributions made by parents) which was lower than expected due to the COVID-19 pandemic.</w:t>
      </w:r>
      <w:r w:rsidRPr="005734B8">
        <w:rPr>
          <w:rFonts w:ascii="Calibri" w:hAnsi="Calibri" w:cs="Calibri"/>
          <w:szCs w:val="22"/>
        </w:rPr>
        <w:tab/>
      </w:r>
      <w:r w:rsidRPr="005734B8">
        <w:rPr>
          <w:rFonts w:ascii="Calibri" w:hAnsi="Calibri" w:cs="Calibri"/>
          <w:szCs w:val="22"/>
        </w:rPr>
        <w:tab/>
      </w:r>
      <w:r w:rsidRPr="005734B8">
        <w:rPr>
          <w:rFonts w:ascii="Calibri" w:hAnsi="Calibri" w:cs="Calibri"/>
          <w:szCs w:val="22"/>
        </w:rPr>
        <w:tab/>
      </w:r>
      <w:r w:rsidRPr="005734B8">
        <w:rPr>
          <w:rFonts w:ascii="Calibri" w:hAnsi="Calibri" w:cs="Calibri"/>
          <w:szCs w:val="22"/>
        </w:rPr>
        <w:tab/>
      </w:r>
      <w:r w:rsidRPr="005734B8">
        <w:rPr>
          <w:rFonts w:ascii="Calibri" w:hAnsi="Calibri" w:cs="Calibri"/>
          <w:szCs w:val="22"/>
        </w:rPr>
        <w:tab/>
      </w:r>
      <w:r w:rsidRPr="005734B8">
        <w:rPr>
          <w:rFonts w:ascii="Calibri" w:hAnsi="Calibri" w:cs="Calibri"/>
          <w:szCs w:val="22"/>
        </w:rPr>
        <w:tab/>
      </w:r>
      <w:r w:rsidRPr="005734B8">
        <w:rPr>
          <w:rFonts w:ascii="Calibri" w:hAnsi="Calibri" w:cs="Calibri"/>
          <w:szCs w:val="22"/>
        </w:rPr>
        <w:tab/>
      </w:r>
    </w:p>
    <w:p w14:paraId="4CD91B94" w14:textId="41381A57" w:rsidR="004504B3" w:rsidRPr="005734B8" w:rsidRDefault="004504B3" w:rsidP="00670895">
      <w:pPr>
        <w:pStyle w:val="ListParagraph"/>
        <w:numPr>
          <w:ilvl w:val="0"/>
          <w:numId w:val="68"/>
        </w:numPr>
        <w:rPr>
          <w:rFonts w:ascii="Calibri" w:hAnsi="Calibri" w:cs="Calibri"/>
          <w:szCs w:val="22"/>
        </w:rPr>
      </w:pPr>
      <w:r w:rsidRPr="005734B8">
        <w:rPr>
          <w:rFonts w:ascii="Calibri" w:hAnsi="Calibri" w:cs="Calibri"/>
          <w:szCs w:val="22"/>
        </w:rPr>
        <w:t>The variance below the published budget is primarily due to re-phases approved by the Treasurer into the forward years that were only approved as part of the 2021–22 Budget. This includes Ready for school: kinder for every three-year-old, Non-Government School Infrastructure Fund and Kindergarten refurbishment and minor works program. This is also driven by carryover requested into 2021</w:t>
      </w:r>
      <w:r w:rsidR="006404A1" w:rsidRPr="005734B8">
        <w:rPr>
          <w:rFonts w:ascii="Calibri" w:hAnsi="Calibri" w:cs="Calibri"/>
          <w:szCs w:val="22"/>
        </w:rPr>
        <w:t>–</w:t>
      </w:r>
      <w:r w:rsidRPr="005734B8">
        <w:rPr>
          <w:rFonts w:ascii="Calibri" w:hAnsi="Calibri" w:cs="Calibri"/>
          <w:szCs w:val="22"/>
        </w:rPr>
        <w:t>22 for several initiatives</w:t>
      </w:r>
      <w:r w:rsidR="006404A1" w:rsidRPr="005734B8">
        <w:rPr>
          <w:rFonts w:ascii="Calibri" w:hAnsi="Calibri" w:cs="Calibri"/>
          <w:szCs w:val="22"/>
        </w:rPr>
        <w:t>,</w:t>
      </w:r>
      <w:r w:rsidRPr="005734B8">
        <w:rPr>
          <w:rFonts w:ascii="Calibri" w:hAnsi="Calibri" w:cs="Calibri"/>
          <w:szCs w:val="22"/>
        </w:rPr>
        <w:t xml:space="preserve"> including Victorian Higher Education State Investment Fund and Non-Government Schools Infrastructure Fund</w:t>
      </w:r>
      <w:r w:rsidR="00CC752D" w:rsidRPr="005734B8">
        <w:rPr>
          <w:rFonts w:ascii="Calibri" w:hAnsi="Calibri" w:cs="Calibri"/>
          <w:i/>
          <w:iCs/>
          <w:szCs w:val="22"/>
        </w:rPr>
        <w:t>.</w:t>
      </w:r>
    </w:p>
    <w:p w14:paraId="4003CD8A" w14:textId="50D41448" w:rsidR="004504B3" w:rsidRPr="005734B8" w:rsidRDefault="004504B3" w:rsidP="00670895">
      <w:pPr>
        <w:pStyle w:val="ListParagraph"/>
        <w:numPr>
          <w:ilvl w:val="0"/>
          <w:numId w:val="68"/>
        </w:numPr>
        <w:rPr>
          <w:rFonts w:ascii="Calibri" w:hAnsi="Calibri" w:cs="Calibri"/>
          <w:szCs w:val="22"/>
        </w:rPr>
      </w:pPr>
      <w:r w:rsidRPr="005734B8">
        <w:rPr>
          <w:rFonts w:ascii="Calibri" w:hAnsi="Calibri" w:cs="Calibri"/>
          <w:szCs w:val="22"/>
        </w:rPr>
        <w:t>The variance below the published budget is primarily due to lower purchases of supplies and consumables by schools and TAFEs in the first half of 2020</w:t>
      </w:r>
      <w:r w:rsidR="006404A1" w:rsidRPr="005734B8">
        <w:rPr>
          <w:rFonts w:ascii="Calibri" w:hAnsi="Calibri" w:cs="Calibri"/>
          <w:szCs w:val="22"/>
        </w:rPr>
        <w:t>–</w:t>
      </w:r>
      <w:r w:rsidRPr="005734B8">
        <w:rPr>
          <w:rFonts w:ascii="Calibri" w:hAnsi="Calibri" w:cs="Calibri"/>
          <w:szCs w:val="22"/>
        </w:rPr>
        <w:t xml:space="preserve">21 due to the </w:t>
      </w:r>
      <w:r w:rsidR="006404A1" w:rsidRPr="005734B8">
        <w:rPr>
          <w:rFonts w:ascii="Calibri" w:hAnsi="Calibri" w:cs="Calibri"/>
          <w:szCs w:val="22"/>
        </w:rPr>
        <w:t>COVID-19</w:t>
      </w:r>
      <w:r w:rsidRPr="005734B8">
        <w:rPr>
          <w:rFonts w:ascii="Calibri" w:hAnsi="Calibri" w:cs="Calibri"/>
          <w:szCs w:val="22"/>
        </w:rPr>
        <w:t xml:space="preserve"> pandemic and Stage 4 restrictions. This is also driven by revised delivery timelines where funding was re-phased into future years for maintenance related programs</w:t>
      </w:r>
      <w:r w:rsidR="007F305E" w:rsidRPr="005734B8">
        <w:rPr>
          <w:rFonts w:ascii="Calibri" w:hAnsi="Calibri" w:cs="Calibri"/>
          <w:szCs w:val="22"/>
        </w:rPr>
        <w:t>,</w:t>
      </w:r>
      <w:r w:rsidRPr="005734B8">
        <w:rPr>
          <w:rFonts w:ascii="Calibri" w:hAnsi="Calibri" w:cs="Calibri"/>
          <w:szCs w:val="22"/>
        </w:rPr>
        <w:t xml:space="preserve"> and schools incurring less maintenance expenditure than expected.</w:t>
      </w:r>
    </w:p>
    <w:p w14:paraId="6CF0F9A0" w14:textId="2C6091BD" w:rsidR="004504B3" w:rsidRPr="005734B8" w:rsidRDefault="004504B3" w:rsidP="00670895">
      <w:pPr>
        <w:pStyle w:val="ListParagraph"/>
        <w:numPr>
          <w:ilvl w:val="0"/>
          <w:numId w:val="68"/>
        </w:numPr>
        <w:rPr>
          <w:rFonts w:ascii="Calibri" w:hAnsi="Calibri" w:cs="Calibri"/>
          <w:szCs w:val="22"/>
        </w:rPr>
      </w:pPr>
      <w:r w:rsidRPr="005734B8">
        <w:rPr>
          <w:rFonts w:ascii="Calibri" w:hAnsi="Calibri" w:cs="Calibri"/>
          <w:szCs w:val="22"/>
        </w:rPr>
        <w:t>The variance below the published budget is mainly driven by lower than budgeted interest lease expense on right</w:t>
      </w:r>
      <w:r w:rsidR="007F305E" w:rsidRPr="005734B8">
        <w:rPr>
          <w:rFonts w:ascii="Calibri" w:hAnsi="Calibri" w:cs="Calibri"/>
          <w:szCs w:val="22"/>
        </w:rPr>
        <w:noBreakHyphen/>
      </w:r>
      <w:r w:rsidRPr="005734B8">
        <w:rPr>
          <w:rFonts w:ascii="Calibri" w:hAnsi="Calibri" w:cs="Calibri"/>
          <w:szCs w:val="22"/>
        </w:rPr>
        <w:t>of</w:t>
      </w:r>
      <w:r w:rsidR="007F305E" w:rsidRPr="005734B8">
        <w:rPr>
          <w:rFonts w:ascii="Calibri" w:hAnsi="Calibri" w:cs="Calibri"/>
          <w:szCs w:val="22"/>
        </w:rPr>
        <w:noBreakHyphen/>
      </w:r>
      <w:r w:rsidRPr="005734B8">
        <w:rPr>
          <w:rFonts w:ascii="Calibri" w:hAnsi="Calibri" w:cs="Calibri"/>
          <w:szCs w:val="22"/>
        </w:rPr>
        <w:t>use assets.</w:t>
      </w:r>
      <w:r w:rsidRPr="005734B8">
        <w:rPr>
          <w:rFonts w:ascii="Calibri" w:hAnsi="Calibri" w:cs="Calibri"/>
          <w:szCs w:val="22"/>
        </w:rPr>
        <w:tab/>
      </w:r>
      <w:r w:rsidRPr="005734B8">
        <w:rPr>
          <w:rFonts w:ascii="Calibri" w:hAnsi="Calibri" w:cs="Calibri"/>
          <w:szCs w:val="22"/>
        </w:rPr>
        <w:tab/>
      </w:r>
      <w:r w:rsidRPr="005734B8">
        <w:rPr>
          <w:rFonts w:ascii="Calibri" w:hAnsi="Calibri" w:cs="Calibri"/>
          <w:szCs w:val="22"/>
        </w:rPr>
        <w:tab/>
      </w:r>
      <w:r w:rsidRPr="005734B8">
        <w:rPr>
          <w:rFonts w:ascii="Calibri" w:hAnsi="Calibri" w:cs="Calibri"/>
          <w:szCs w:val="22"/>
        </w:rPr>
        <w:tab/>
      </w:r>
    </w:p>
    <w:p w14:paraId="73A56ECD" w14:textId="0FC3CD37" w:rsidR="004504B3" w:rsidRPr="005734B8" w:rsidRDefault="004504B3" w:rsidP="00670895">
      <w:pPr>
        <w:pStyle w:val="ListParagraph"/>
        <w:numPr>
          <w:ilvl w:val="0"/>
          <w:numId w:val="68"/>
        </w:numPr>
        <w:rPr>
          <w:rFonts w:ascii="Calibri" w:hAnsi="Calibri" w:cs="Calibri"/>
          <w:szCs w:val="22"/>
        </w:rPr>
      </w:pPr>
      <w:r w:rsidRPr="005734B8">
        <w:rPr>
          <w:rFonts w:ascii="Calibri" w:hAnsi="Calibri" w:cs="Calibri"/>
          <w:szCs w:val="22"/>
        </w:rPr>
        <w:t>The variance below the published budget is primarily driven by loss in equity investments in TAFEs</w:t>
      </w:r>
      <w:r w:rsidR="007F305E" w:rsidRPr="005734B8">
        <w:rPr>
          <w:rFonts w:ascii="Calibri" w:hAnsi="Calibri" w:cs="Calibri"/>
          <w:szCs w:val="22"/>
        </w:rPr>
        <w:t>,</w:t>
      </w:r>
      <w:r w:rsidRPr="005734B8">
        <w:rPr>
          <w:rFonts w:ascii="Calibri" w:hAnsi="Calibri" w:cs="Calibri"/>
          <w:szCs w:val="22"/>
        </w:rPr>
        <w:t xml:space="preserve"> but is partially offset by TAFEs recognising a share of profits from joint ventures, which was not reflected in the published budget.</w:t>
      </w:r>
      <w:r w:rsidRPr="005734B8">
        <w:rPr>
          <w:rFonts w:ascii="Calibri" w:hAnsi="Calibri" w:cs="Calibri"/>
          <w:szCs w:val="22"/>
        </w:rPr>
        <w:tab/>
      </w:r>
    </w:p>
    <w:p w14:paraId="2C989C18" w14:textId="77777777" w:rsidR="004504B3" w:rsidRPr="005734B8" w:rsidRDefault="004504B3" w:rsidP="00670895">
      <w:pPr>
        <w:pStyle w:val="ListParagraph"/>
        <w:numPr>
          <w:ilvl w:val="0"/>
          <w:numId w:val="68"/>
        </w:numPr>
        <w:rPr>
          <w:rFonts w:ascii="Calibri" w:hAnsi="Calibri" w:cs="Calibri"/>
          <w:szCs w:val="22"/>
        </w:rPr>
      </w:pPr>
      <w:r w:rsidRPr="005734B8">
        <w:rPr>
          <w:rFonts w:ascii="Calibri" w:hAnsi="Calibri" w:cs="Calibri"/>
          <w:szCs w:val="22"/>
        </w:rPr>
        <w:t>The variance below the published budget relates to approved re-phases into future years primarily due to revised delivery of capital programs into future years.</w:t>
      </w:r>
      <w:r w:rsidRPr="005734B8">
        <w:rPr>
          <w:rFonts w:ascii="Calibri" w:hAnsi="Calibri" w:cs="Calibri"/>
          <w:szCs w:val="22"/>
        </w:rPr>
        <w:tab/>
      </w:r>
    </w:p>
    <w:p w14:paraId="75A914AA" w14:textId="77777777" w:rsidR="004504B3" w:rsidRPr="005734B8" w:rsidRDefault="004504B3" w:rsidP="00670895">
      <w:pPr>
        <w:pStyle w:val="ListParagraph"/>
        <w:numPr>
          <w:ilvl w:val="0"/>
          <w:numId w:val="68"/>
        </w:numPr>
        <w:rPr>
          <w:rFonts w:ascii="Calibri" w:hAnsi="Calibri" w:cs="Calibri"/>
          <w:szCs w:val="22"/>
        </w:rPr>
      </w:pPr>
      <w:r w:rsidRPr="005734B8">
        <w:rPr>
          <w:rFonts w:ascii="Calibri" w:hAnsi="Calibri" w:cs="Calibri"/>
          <w:szCs w:val="22"/>
        </w:rPr>
        <w:t>The variance above the published budget is primarily due to higher than anticipated proceeds from the sale of vehicles and equipment.</w:t>
      </w:r>
      <w:r w:rsidRPr="005734B8">
        <w:rPr>
          <w:rFonts w:ascii="Calibri" w:hAnsi="Calibri" w:cs="Calibri"/>
          <w:szCs w:val="22"/>
        </w:rPr>
        <w:tab/>
      </w:r>
      <w:r w:rsidRPr="005734B8">
        <w:rPr>
          <w:rFonts w:ascii="Calibri" w:hAnsi="Calibri" w:cs="Calibri"/>
          <w:szCs w:val="22"/>
        </w:rPr>
        <w:tab/>
      </w:r>
      <w:r w:rsidRPr="005734B8">
        <w:rPr>
          <w:rFonts w:ascii="Calibri" w:hAnsi="Calibri" w:cs="Calibri"/>
          <w:szCs w:val="22"/>
        </w:rPr>
        <w:tab/>
      </w:r>
    </w:p>
    <w:p w14:paraId="728AB6B0" w14:textId="65A47834" w:rsidR="004504B3" w:rsidRPr="005734B8" w:rsidRDefault="004504B3" w:rsidP="00670895">
      <w:pPr>
        <w:pStyle w:val="ListParagraph"/>
        <w:numPr>
          <w:ilvl w:val="0"/>
          <w:numId w:val="68"/>
        </w:numPr>
        <w:rPr>
          <w:rFonts w:ascii="Calibri" w:hAnsi="Calibri" w:cs="Calibri"/>
          <w:szCs w:val="22"/>
        </w:rPr>
      </w:pPr>
      <w:r w:rsidRPr="005734B8">
        <w:rPr>
          <w:rFonts w:ascii="Calibri" w:hAnsi="Calibri" w:cs="Calibri"/>
          <w:szCs w:val="22"/>
        </w:rPr>
        <w:t>The variance below the published budget mainly reflects lower than budget capital appropriation claimed</w:t>
      </w:r>
      <w:r w:rsidR="007F305E" w:rsidRPr="005734B8">
        <w:rPr>
          <w:rFonts w:ascii="Calibri" w:hAnsi="Calibri" w:cs="Calibri"/>
          <w:szCs w:val="22"/>
        </w:rPr>
        <w:t>,</w:t>
      </w:r>
      <w:r w:rsidRPr="005734B8">
        <w:rPr>
          <w:rFonts w:ascii="Calibri" w:hAnsi="Calibri" w:cs="Calibri"/>
          <w:szCs w:val="22"/>
        </w:rPr>
        <w:t xml:space="preserve"> primarily due to revised implementation of capital programs into future years.</w:t>
      </w:r>
      <w:r w:rsidRPr="005734B8">
        <w:rPr>
          <w:rFonts w:ascii="Calibri" w:hAnsi="Calibri" w:cs="Calibri"/>
          <w:szCs w:val="22"/>
        </w:rPr>
        <w:tab/>
      </w:r>
      <w:r w:rsidRPr="005734B8">
        <w:rPr>
          <w:rFonts w:ascii="Calibri" w:hAnsi="Calibri" w:cs="Calibri"/>
          <w:szCs w:val="22"/>
        </w:rPr>
        <w:tab/>
      </w:r>
      <w:r w:rsidRPr="005734B8">
        <w:rPr>
          <w:rFonts w:ascii="Calibri" w:hAnsi="Calibri" w:cs="Calibri"/>
          <w:szCs w:val="22"/>
        </w:rPr>
        <w:tab/>
      </w:r>
      <w:r w:rsidRPr="005734B8">
        <w:rPr>
          <w:rFonts w:ascii="Calibri" w:hAnsi="Calibri" w:cs="Calibri"/>
          <w:szCs w:val="22"/>
        </w:rPr>
        <w:tab/>
      </w:r>
      <w:r w:rsidRPr="005734B8">
        <w:rPr>
          <w:rFonts w:ascii="Calibri" w:hAnsi="Calibri" w:cs="Calibri"/>
          <w:szCs w:val="22"/>
        </w:rPr>
        <w:tab/>
      </w:r>
      <w:r w:rsidRPr="005734B8">
        <w:rPr>
          <w:rFonts w:ascii="Calibri" w:hAnsi="Calibri" w:cs="Calibri"/>
          <w:szCs w:val="22"/>
        </w:rPr>
        <w:tab/>
      </w:r>
      <w:r w:rsidRPr="005734B8">
        <w:rPr>
          <w:rFonts w:ascii="Calibri" w:hAnsi="Calibri" w:cs="Calibri"/>
          <w:szCs w:val="22"/>
        </w:rPr>
        <w:tab/>
      </w:r>
    </w:p>
    <w:p w14:paraId="4E8F84BC" w14:textId="4CAB767B" w:rsidR="004504B3" w:rsidRPr="005734B8" w:rsidRDefault="004504B3" w:rsidP="00670895">
      <w:pPr>
        <w:pStyle w:val="ListParagraph"/>
        <w:numPr>
          <w:ilvl w:val="0"/>
          <w:numId w:val="68"/>
        </w:numPr>
        <w:rPr>
          <w:rFonts w:ascii="Calibri" w:hAnsi="Calibri" w:cs="Calibri"/>
          <w:szCs w:val="22"/>
        </w:rPr>
      </w:pPr>
      <w:r w:rsidRPr="005734B8">
        <w:rPr>
          <w:rFonts w:ascii="Calibri" w:hAnsi="Calibri" w:cs="Calibri"/>
          <w:szCs w:val="22"/>
        </w:rPr>
        <w:t>The variance below the published budget primarily relates to lower than budgeted right</w:t>
      </w:r>
      <w:r w:rsidR="007F305E" w:rsidRPr="005734B8">
        <w:rPr>
          <w:rFonts w:ascii="Calibri" w:hAnsi="Calibri" w:cs="Calibri"/>
          <w:szCs w:val="22"/>
        </w:rPr>
        <w:noBreakHyphen/>
      </w:r>
      <w:r w:rsidRPr="005734B8">
        <w:rPr>
          <w:rFonts w:ascii="Calibri" w:hAnsi="Calibri" w:cs="Calibri"/>
          <w:szCs w:val="22"/>
        </w:rPr>
        <w:t>of</w:t>
      </w:r>
      <w:r w:rsidR="007F305E" w:rsidRPr="005734B8">
        <w:rPr>
          <w:rFonts w:ascii="Calibri" w:hAnsi="Calibri" w:cs="Calibri"/>
          <w:szCs w:val="22"/>
        </w:rPr>
        <w:noBreakHyphen/>
      </w:r>
      <w:r w:rsidRPr="005734B8">
        <w:rPr>
          <w:rFonts w:ascii="Calibri" w:hAnsi="Calibri" w:cs="Calibri"/>
          <w:szCs w:val="22"/>
        </w:rPr>
        <w:t>use lease repayments.</w:t>
      </w:r>
      <w:r w:rsidRPr="005734B8">
        <w:rPr>
          <w:rFonts w:ascii="Calibri" w:hAnsi="Calibri" w:cs="Calibri"/>
          <w:szCs w:val="22"/>
        </w:rPr>
        <w:tab/>
      </w:r>
      <w:r w:rsidRPr="005734B8">
        <w:rPr>
          <w:rFonts w:ascii="Calibri" w:hAnsi="Calibri" w:cs="Calibri"/>
          <w:szCs w:val="22"/>
        </w:rPr>
        <w:tab/>
      </w:r>
      <w:r w:rsidRPr="005734B8">
        <w:rPr>
          <w:rFonts w:ascii="Calibri" w:hAnsi="Calibri" w:cs="Calibri"/>
          <w:szCs w:val="22"/>
        </w:rPr>
        <w:tab/>
      </w:r>
      <w:r w:rsidRPr="005734B8">
        <w:rPr>
          <w:rFonts w:ascii="Calibri" w:hAnsi="Calibri" w:cs="Calibri"/>
          <w:szCs w:val="22"/>
        </w:rPr>
        <w:tab/>
      </w:r>
      <w:r w:rsidRPr="005734B8">
        <w:rPr>
          <w:rFonts w:ascii="Calibri" w:hAnsi="Calibri" w:cs="Calibri"/>
          <w:szCs w:val="22"/>
        </w:rPr>
        <w:tab/>
      </w:r>
      <w:r w:rsidRPr="005734B8">
        <w:rPr>
          <w:rFonts w:ascii="Calibri" w:hAnsi="Calibri" w:cs="Calibri"/>
          <w:szCs w:val="22"/>
        </w:rPr>
        <w:tab/>
      </w:r>
      <w:r w:rsidRPr="005734B8">
        <w:rPr>
          <w:rFonts w:ascii="Calibri" w:hAnsi="Calibri" w:cs="Calibri"/>
          <w:szCs w:val="22"/>
        </w:rPr>
        <w:tab/>
      </w:r>
    </w:p>
    <w:p w14:paraId="6AF2D00D" w14:textId="3A1F026D" w:rsidR="00C20A5F" w:rsidRPr="005734B8" w:rsidRDefault="004504B3" w:rsidP="00670895">
      <w:pPr>
        <w:pStyle w:val="ListParagraph"/>
        <w:numPr>
          <w:ilvl w:val="0"/>
          <w:numId w:val="68"/>
        </w:numPr>
        <w:rPr>
          <w:rFonts w:ascii="Calibri" w:hAnsi="Calibri" w:cs="Calibri"/>
          <w:szCs w:val="22"/>
        </w:rPr>
      </w:pPr>
      <w:r w:rsidRPr="005734B8">
        <w:rPr>
          <w:rFonts w:ascii="Calibri" w:hAnsi="Calibri" w:cs="Calibri"/>
          <w:szCs w:val="22"/>
        </w:rPr>
        <w:t xml:space="preserve">The variance above the published budget primarily relates to the net movement in public account advances with the </w:t>
      </w:r>
      <w:r w:rsidR="00F953A0" w:rsidRPr="005734B8">
        <w:rPr>
          <w:rFonts w:ascii="Calibri" w:hAnsi="Calibri" w:cs="Calibri"/>
          <w:szCs w:val="22"/>
        </w:rPr>
        <w:t>DTF</w:t>
      </w:r>
      <w:r w:rsidR="00EF2D1E" w:rsidRPr="005734B8">
        <w:rPr>
          <w:rFonts w:ascii="Calibri" w:hAnsi="Calibri" w:cs="Calibri"/>
          <w:szCs w:val="22"/>
        </w:rPr>
        <w:t>.</w:t>
      </w:r>
    </w:p>
    <w:p w14:paraId="08492159" w14:textId="77777777" w:rsidR="005A1994" w:rsidRPr="005734B8" w:rsidRDefault="005A1994" w:rsidP="005A1994">
      <w:pPr>
        <w:rPr>
          <w:rFonts w:ascii="Calibri" w:hAnsi="Calibri" w:cs="Calibri"/>
          <w:highlight w:val="yellow"/>
        </w:rPr>
      </w:pPr>
    </w:p>
    <w:p w14:paraId="20D7BC81" w14:textId="77777777" w:rsidR="00F514F7" w:rsidRPr="005734B8" w:rsidRDefault="00F514F7">
      <w:pPr>
        <w:rPr>
          <w:rFonts w:ascii="Calibri" w:eastAsiaTheme="minorEastAsia" w:hAnsi="Calibri" w:cs="Calibri"/>
          <w:b/>
          <w:color w:val="AF272F" w:themeColor="accent4"/>
          <w:sz w:val="20"/>
          <w:szCs w:val="18"/>
          <w:highlight w:val="yellow"/>
          <w:lang w:val="en-US"/>
        </w:rPr>
      </w:pPr>
      <w:r w:rsidRPr="005734B8">
        <w:rPr>
          <w:rFonts w:ascii="Calibri" w:hAnsi="Calibri" w:cs="Calibri"/>
          <w:highlight w:val="yellow"/>
        </w:rPr>
        <w:br w:type="page"/>
      </w:r>
    </w:p>
    <w:p w14:paraId="7203C7EE" w14:textId="59CB0E02" w:rsidR="00F51668" w:rsidRPr="005734B8" w:rsidRDefault="00ED74EC" w:rsidP="004522E5">
      <w:pPr>
        <w:pStyle w:val="ESTableintroheading"/>
        <w:rPr>
          <w:rFonts w:ascii="Calibri" w:hAnsi="Calibri" w:cs="Calibri"/>
        </w:rPr>
      </w:pPr>
      <w:bookmarkStart w:id="2067" w:name="_Toc8899529"/>
      <w:bookmarkStart w:id="2068" w:name="_Toc10724199"/>
      <w:bookmarkStart w:id="2069" w:name="_Toc10724323"/>
      <w:bookmarkStart w:id="2070" w:name="_Toc11158326"/>
      <w:bookmarkStart w:id="2071" w:name="_Toc11336512"/>
      <w:bookmarkStart w:id="2072" w:name="_Toc11336612"/>
      <w:bookmarkStart w:id="2073" w:name="_Toc13647216"/>
      <w:bookmarkStart w:id="2074" w:name="_Toc13656748"/>
      <w:bookmarkStart w:id="2075" w:name="_Toc13656910"/>
      <w:r w:rsidRPr="005734B8">
        <w:rPr>
          <w:rFonts w:ascii="Calibri" w:hAnsi="Calibri" w:cs="Calibri"/>
        </w:rPr>
        <w:lastRenderedPageBreak/>
        <w:t>Statement of changes in equity for the year ending 30 June 20</w:t>
      </w:r>
      <w:r w:rsidR="00FF3695" w:rsidRPr="005734B8">
        <w:rPr>
          <w:rFonts w:ascii="Calibri" w:hAnsi="Calibri" w:cs="Calibri"/>
        </w:rPr>
        <w:t>2</w:t>
      </w:r>
      <w:bookmarkEnd w:id="2067"/>
      <w:bookmarkEnd w:id="2068"/>
      <w:bookmarkEnd w:id="2069"/>
      <w:bookmarkEnd w:id="2070"/>
      <w:bookmarkEnd w:id="2071"/>
      <w:bookmarkEnd w:id="2072"/>
      <w:bookmarkEnd w:id="2073"/>
      <w:bookmarkEnd w:id="2074"/>
      <w:bookmarkEnd w:id="2075"/>
      <w:r w:rsidR="004504B3" w:rsidRPr="005734B8">
        <w:rPr>
          <w:rFonts w:ascii="Calibri" w:hAnsi="Calibri" w:cs="Calibri"/>
        </w:rPr>
        <w:t>1</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98"/>
        <w:gridCol w:w="661"/>
        <w:gridCol w:w="1222"/>
        <w:gridCol w:w="1265"/>
        <w:gridCol w:w="1363"/>
        <w:gridCol w:w="1080"/>
        <w:gridCol w:w="1399"/>
      </w:tblGrid>
      <w:tr w:rsidR="00EB27AE" w:rsidRPr="005734B8" w14:paraId="0147D33E" w14:textId="77777777" w:rsidTr="004504B3">
        <w:trPr>
          <w:cantSplit/>
          <w:trHeight w:val="215"/>
          <w:tblHeader/>
        </w:trPr>
        <w:tc>
          <w:tcPr>
            <w:tcW w:w="882" w:type="pct"/>
            <w:tcBorders>
              <w:bottom w:val="single" w:sz="4" w:space="0" w:color="53565A" w:themeColor="accent5"/>
            </w:tcBorders>
            <w:shd w:val="clear" w:color="auto" w:fill="AF272F" w:themeFill="accent4"/>
          </w:tcPr>
          <w:p w14:paraId="3811CFE6" w14:textId="77777777" w:rsidR="00102760" w:rsidRPr="005734B8" w:rsidRDefault="00102760" w:rsidP="00AC2EF6">
            <w:pPr>
              <w:pStyle w:val="ESTableheadingwhite"/>
              <w:rPr>
                <w:rFonts w:ascii="Calibri" w:hAnsi="Calibri" w:cs="Calibri"/>
                <w:sz w:val="16"/>
                <w:szCs w:val="16"/>
              </w:rPr>
            </w:pPr>
          </w:p>
        </w:tc>
        <w:tc>
          <w:tcPr>
            <w:tcW w:w="389" w:type="pct"/>
            <w:tcBorders>
              <w:bottom w:val="single" w:sz="4" w:space="0" w:color="53565A" w:themeColor="accent5"/>
            </w:tcBorders>
            <w:shd w:val="clear" w:color="auto" w:fill="AF272F" w:themeFill="accent4"/>
          </w:tcPr>
          <w:p w14:paraId="1E618AC4" w14:textId="77777777" w:rsidR="00102760" w:rsidRPr="005734B8" w:rsidRDefault="00102760" w:rsidP="00AC2EF6">
            <w:pPr>
              <w:pStyle w:val="ESTableheadingwhite"/>
              <w:jc w:val="right"/>
              <w:rPr>
                <w:rFonts w:ascii="Calibri" w:hAnsi="Calibri" w:cs="Calibri"/>
                <w:sz w:val="16"/>
                <w:szCs w:val="16"/>
              </w:rPr>
            </w:pPr>
            <w:r w:rsidRPr="005734B8">
              <w:rPr>
                <w:rFonts w:ascii="Calibri" w:hAnsi="Calibri" w:cs="Calibri"/>
                <w:sz w:val="16"/>
                <w:szCs w:val="16"/>
              </w:rPr>
              <w:t>Notes</w:t>
            </w:r>
          </w:p>
        </w:tc>
        <w:tc>
          <w:tcPr>
            <w:tcW w:w="720" w:type="pct"/>
            <w:tcBorders>
              <w:bottom w:val="single" w:sz="4" w:space="0" w:color="53565A" w:themeColor="accent5"/>
            </w:tcBorders>
            <w:shd w:val="clear" w:color="auto" w:fill="AF272F" w:themeFill="accent4"/>
          </w:tcPr>
          <w:p w14:paraId="07BD9A79" w14:textId="77777777" w:rsidR="004504B3" w:rsidRPr="005734B8" w:rsidRDefault="00102760" w:rsidP="00AC2EF6">
            <w:pPr>
              <w:pStyle w:val="ESTableheadingwhite"/>
              <w:jc w:val="right"/>
              <w:rPr>
                <w:rFonts w:ascii="Calibri" w:hAnsi="Calibri" w:cs="Calibri"/>
                <w:sz w:val="16"/>
                <w:szCs w:val="16"/>
              </w:rPr>
            </w:pPr>
            <w:r w:rsidRPr="005734B8">
              <w:rPr>
                <w:rFonts w:ascii="Calibri" w:hAnsi="Calibri" w:cs="Calibri"/>
                <w:sz w:val="16"/>
                <w:szCs w:val="16"/>
              </w:rPr>
              <w:t>Accumulated surplus/ (deficit)</w:t>
            </w:r>
          </w:p>
          <w:p w14:paraId="1F153D5F" w14:textId="6D731AF2" w:rsidR="00102760" w:rsidRPr="005734B8" w:rsidRDefault="004504B3" w:rsidP="00AC2EF6">
            <w:pPr>
              <w:pStyle w:val="ESTableheadingwhite"/>
              <w:jc w:val="right"/>
              <w:rPr>
                <w:rFonts w:ascii="Calibri" w:hAnsi="Calibri" w:cs="Calibri"/>
                <w:sz w:val="16"/>
                <w:szCs w:val="16"/>
              </w:rPr>
            </w:pPr>
            <w:r w:rsidRPr="005734B8">
              <w:rPr>
                <w:rFonts w:ascii="Calibri" w:hAnsi="Calibri" w:cs="Calibri"/>
                <w:sz w:val="16"/>
                <w:szCs w:val="16"/>
              </w:rPr>
              <w:t>(</w:t>
            </w:r>
            <w:r w:rsidR="00102760" w:rsidRPr="005734B8">
              <w:rPr>
                <w:rFonts w:ascii="Calibri" w:hAnsi="Calibri" w:cs="Calibri"/>
                <w:sz w:val="16"/>
                <w:szCs w:val="16"/>
              </w:rPr>
              <w:t>$m</w:t>
            </w:r>
            <w:r w:rsidRPr="005734B8">
              <w:rPr>
                <w:rFonts w:ascii="Calibri" w:hAnsi="Calibri" w:cs="Calibri"/>
                <w:sz w:val="16"/>
                <w:szCs w:val="16"/>
              </w:rPr>
              <w:t>)</w:t>
            </w:r>
          </w:p>
        </w:tc>
        <w:tc>
          <w:tcPr>
            <w:tcW w:w="745" w:type="pct"/>
            <w:tcBorders>
              <w:bottom w:val="single" w:sz="4" w:space="0" w:color="53565A" w:themeColor="accent5"/>
            </w:tcBorders>
            <w:shd w:val="clear" w:color="auto" w:fill="AF272F" w:themeFill="accent4"/>
          </w:tcPr>
          <w:p w14:paraId="07B555C8" w14:textId="77777777" w:rsidR="004504B3" w:rsidRPr="005734B8" w:rsidRDefault="00102760" w:rsidP="004504B3">
            <w:pPr>
              <w:pStyle w:val="ESTableheadingwhite"/>
              <w:jc w:val="right"/>
              <w:rPr>
                <w:rFonts w:ascii="Calibri" w:hAnsi="Calibri" w:cs="Calibri"/>
                <w:sz w:val="16"/>
                <w:szCs w:val="16"/>
              </w:rPr>
            </w:pPr>
            <w:r w:rsidRPr="005734B8">
              <w:rPr>
                <w:rFonts w:ascii="Calibri" w:hAnsi="Calibri" w:cs="Calibri"/>
                <w:sz w:val="16"/>
                <w:szCs w:val="16"/>
              </w:rPr>
              <w:t>Contributions by owner</w:t>
            </w:r>
          </w:p>
          <w:p w14:paraId="0CE039E2" w14:textId="19D48357" w:rsidR="00102760" w:rsidRPr="005734B8" w:rsidRDefault="004504B3" w:rsidP="004504B3">
            <w:pPr>
              <w:pStyle w:val="ESTableheadingwhite"/>
              <w:jc w:val="right"/>
              <w:rPr>
                <w:rFonts w:ascii="Calibri" w:hAnsi="Calibri" w:cs="Calibri"/>
                <w:sz w:val="16"/>
                <w:szCs w:val="16"/>
              </w:rPr>
            </w:pPr>
            <w:r w:rsidRPr="005734B8">
              <w:rPr>
                <w:rFonts w:ascii="Calibri" w:hAnsi="Calibri" w:cs="Calibri"/>
                <w:sz w:val="16"/>
                <w:szCs w:val="16"/>
              </w:rPr>
              <w:t>(</w:t>
            </w:r>
            <w:r w:rsidR="00102760" w:rsidRPr="005734B8">
              <w:rPr>
                <w:rFonts w:ascii="Calibri" w:hAnsi="Calibri" w:cs="Calibri"/>
                <w:sz w:val="16"/>
                <w:szCs w:val="16"/>
              </w:rPr>
              <w:t>$m</w:t>
            </w:r>
            <w:r w:rsidRPr="005734B8">
              <w:rPr>
                <w:rFonts w:ascii="Calibri" w:hAnsi="Calibri" w:cs="Calibri"/>
                <w:sz w:val="16"/>
                <w:szCs w:val="16"/>
              </w:rPr>
              <w:t>)</w:t>
            </w:r>
          </w:p>
        </w:tc>
        <w:tc>
          <w:tcPr>
            <w:tcW w:w="803" w:type="pct"/>
            <w:tcBorders>
              <w:bottom w:val="single" w:sz="4" w:space="0" w:color="53565A" w:themeColor="accent5"/>
            </w:tcBorders>
            <w:shd w:val="clear" w:color="auto" w:fill="AF272F" w:themeFill="accent4"/>
          </w:tcPr>
          <w:p w14:paraId="18ED9147" w14:textId="77777777" w:rsidR="004504B3" w:rsidRPr="005734B8" w:rsidRDefault="00102760" w:rsidP="00AC2EF6">
            <w:pPr>
              <w:pStyle w:val="ESTableheadingwhite"/>
              <w:jc w:val="right"/>
              <w:rPr>
                <w:rFonts w:ascii="Calibri" w:hAnsi="Calibri" w:cs="Calibri"/>
                <w:sz w:val="16"/>
                <w:szCs w:val="16"/>
              </w:rPr>
            </w:pPr>
            <w:r w:rsidRPr="005734B8">
              <w:rPr>
                <w:rFonts w:ascii="Calibri" w:hAnsi="Calibri" w:cs="Calibri"/>
                <w:sz w:val="16"/>
                <w:szCs w:val="16"/>
              </w:rPr>
              <w:t>Revaluation surplus</w:t>
            </w:r>
          </w:p>
          <w:p w14:paraId="11195AD0" w14:textId="311A6382" w:rsidR="00102760" w:rsidRPr="005734B8" w:rsidRDefault="004504B3" w:rsidP="00AC2EF6">
            <w:pPr>
              <w:pStyle w:val="ESTableheadingwhite"/>
              <w:jc w:val="right"/>
              <w:rPr>
                <w:rFonts w:ascii="Calibri" w:hAnsi="Calibri" w:cs="Calibri"/>
                <w:sz w:val="16"/>
                <w:szCs w:val="16"/>
              </w:rPr>
            </w:pPr>
            <w:r w:rsidRPr="005734B8">
              <w:rPr>
                <w:rFonts w:ascii="Calibri" w:hAnsi="Calibri" w:cs="Calibri"/>
                <w:sz w:val="16"/>
                <w:szCs w:val="16"/>
              </w:rPr>
              <w:t>(</w:t>
            </w:r>
            <w:r w:rsidR="00102760" w:rsidRPr="005734B8">
              <w:rPr>
                <w:rFonts w:ascii="Calibri" w:hAnsi="Calibri" w:cs="Calibri"/>
                <w:sz w:val="16"/>
                <w:szCs w:val="16"/>
              </w:rPr>
              <w:t>$m</w:t>
            </w:r>
            <w:r w:rsidRPr="005734B8">
              <w:rPr>
                <w:rFonts w:ascii="Calibri" w:hAnsi="Calibri" w:cs="Calibri"/>
                <w:sz w:val="16"/>
                <w:szCs w:val="16"/>
              </w:rPr>
              <w:t>)</w:t>
            </w:r>
          </w:p>
        </w:tc>
        <w:tc>
          <w:tcPr>
            <w:tcW w:w="636" w:type="pct"/>
            <w:tcBorders>
              <w:bottom w:val="single" w:sz="4" w:space="0" w:color="53565A" w:themeColor="accent5"/>
            </w:tcBorders>
            <w:shd w:val="clear" w:color="auto" w:fill="AF272F" w:themeFill="accent4"/>
          </w:tcPr>
          <w:p w14:paraId="778D9CFC" w14:textId="77777777" w:rsidR="004504B3" w:rsidRPr="005734B8" w:rsidRDefault="00102760" w:rsidP="00AC2EF6">
            <w:pPr>
              <w:pStyle w:val="ESTableheadingwhite"/>
              <w:jc w:val="right"/>
              <w:rPr>
                <w:rFonts w:ascii="Calibri" w:hAnsi="Calibri" w:cs="Calibri"/>
                <w:sz w:val="16"/>
                <w:szCs w:val="16"/>
              </w:rPr>
            </w:pPr>
            <w:r w:rsidRPr="005734B8">
              <w:rPr>
                <w:rFonts w:ascii="Calibri" w:hAnsi="Calibri" w:cs="Calibri"/>
                <w:sz w:val="16"/>
                <w:szCs w:val="16"/>
              </w:rPr>
              <w:t>Other reserves</w:t>
            </w:r>
          </w:p>
          <w:p w14:paraId="14BD8A86" w14:textId="23C2ED52" w:rsidR="00102760" w:rsidRPr="005734B8" w:rsidRDefault="004504B3" w:rsidP="00AC2EF6">
            <w:pPr>
              <w:pStyle w:val="ESTableheadingwhite"/>
              <w:jc w:val="right"/>
              <w:rPr>
                <w:rFonts w:ascii="Calibri" w:hAnsi="Calibri" w:cs="Calibri"/>
                <w:sz w:val="16"/>
                <w:szCs w:val="16"/>
              </w:rPr>
            </w:pPr>
            <w:r w:rsidRPr="005734B8">
              <w:rPr>
                <w:rFonts w:ascii="Calibri" w:hAnsi="Calibri" w:cs="Calibri"/>
                <w:sz w:val="16"/>
                <w:szCs w:val="16"/>
              </w:rPr>
              <w:t>(</w:t>
            </w:r>
            <w:r w:rsidR="00102760" w:rsidRPr="005734B8">
              <w:rPr>
                <w:rFonts w:ascii="Calibri" w:hAnsi="Calibri" w:cs="Calibri"/>
                <w:sz w:val="16"/>
                <w:szCs w:val="16"/>
              </w:rPr>
              <w:t>$m</w:t>
            </w:r>
            <w:r w:rsidRPr="005734B8">
              <w:rPr>
                <w:rFonts w:ascii="Calibri" w:hAnsi="Calibri" w:cs="Calibri"/>
                <w:sz w:val="16"/>
                <w:szCs w:val="16"/>
              </w:rPr>
              <w:t>)</w:t>
            </w:r>
          </w:p>
        </w:tc>
        <w:tc>
          <w:tcPr>
            <w:tcW w:w="824" w:type="pct"/>
            <w:tcBorders>
              <w:bottom w:val="single" w:sz="4" w:space="0" w:color="53565A" w:themeColor="accent5"/>
            </w:tcBorders>
            <w:shd w:val="clear" w:color="auto" w:fill="AF272F" w:themeFill="accent4"/>
          </w:tcPr>
          <w:p w14:paraId="04A70E91" w14:textId="77777777" w:rsidR="004504B3" w:rsidRPr="005734B8" w:rsidRDefault="00102760" w:rsidP="00AC2EF6">
            <w:pPr>
              <w:pStyle w:val="ESTableheadingwhite"/>
              <w:jc w:val="right"/>
              <w:rPr>
                <w:rFonts w:ascii="Calibri" w:hAnsi="Calibri" w:cs="Calibri"/>
                <w:sz w:val="16"/>
                <w:szCs w:val="16"/>
              </w:rPr>
            </w:pPr>
            <w:r w:rsidRPr="005734B8">
              <w:rPr>
                <w:rFonts w:ascii="Calibri" w:hAnsi="Calibri" w:cs="Calibri"/>
                <w:sz w:val="16"/>
                <w:szCs w:val="16"/>
              </w:rPr>
              <w:t>Total equity</w:t>
            </w:r>
          </w:p>
          <w:p w14:paraId="4677E98E" w14:textId="7D024F3A" w:rsidR="00102760" w:rsidRPr="005734B8" w:rsidRDefault="004504B3" w:rsidP="00AC2EF6">
            <w:pPr>
              <w:pStyle w:val="ESTableheadingwhite"/>
              <w:jc w:val="right"/>
              <w:rPr>
                <w:rFonts w:ascii="Calibri" w:hAnsi="Calibri" w:cs="Calibri"/>
                <w:sz w:val="16"/>
                <w:szCs w:val="16"/>
              </w:rPr>
            </w:pPr>
            <w:r w:rsidRPr="005734B8">
              <w:rPr>
                <w:rFonts w:ascii="Calibri" w:hAnsi="Calibri" w:cs="Calibri"/>
                <w:sz w:val="16"/>
                <w:szCs w:val="16"/>
              </w:rPr>
              <w:t>(</w:t>
            </w:r>
            <w:r w:rsidR="00102760" w:rsidRPr="005734B8">
              <w:rPr>
                <w:rFonts w:ascii="Calibri" w:hAnsi="Calibri" w:cs="Calibri"/>
                <w:sz w:val="16"/>
                <w:szCs w:val="16"/>
              </w:rPr>
              <w:t>$m</w:t>
            </w:r>
            <w:r w:rsidRPr="005734B8">
              <w:rPr>
                <w:rFonts w:ascii="Calibri" w:hAnsi="Calibri" w:cs="Calibri"/>
                <w:sz w:val="16"/>
                <w:szCs w:val="16"/>
              </w:rPr>
              <w:t>)</w:t>
            </w:r>
          </w:p>
        </w:tc>
      </w:tr>
      <w:tr w:rsidR="00EB27AE" w:rsidRPr="005734B8" w14:paraId="05AB0318" w14:textId="77777777" w:rsidTr="004504B3">
        <w:trPr>
          <w:cantSplit/>
          <w:trHeight w:val="375"/>
        </w:trPr>
        <w:tc>
          <w:tcPr>
            <w:tcW w:w="882" w:type="pct"/>
            <w:tcBorders>
              <w:top w:val="single" w:sz="4" w:space="0" w:color="53565A" w:themeColor="accent5"/>
              <w:bottom w:val="single" w:sz="4" w:space="0" w:color="53565A" w:themeColor="accent5"/>
              <w:right w:val="nil"/>
            </w:tcBorders>
            <w:shd w:val="clear" w:color="auto" w:fill="53565A" w:themeFill="accent5"/>
            <w:vAlign w:val="center"/>
          </w:tcPr>
          <w:p w14:paraId="3B7F9F28" w14:textId="77777777" w:rsidR="00102760" w:rsidRPr="005734B8" w:rsidRDefault="00102760" w:rsidP="00AC2EF6">
            <w:pPr>
              <w:pStyle w:val="ESTablebody"/>
              <w:rPr>
                <w:rFonts w:ascii="Calibri" w:hAnsi="Calibri" w:cs="Calibri"/>
                <w:b/>
                <w:sz w:val="16"/>
                <w:szCs w:val="16"/>
              </w:rPr>
            </w:pPr>
            <w:r w:rsidRPr="005734B8">
              <w:rPr>
                <w:rFonts w:ascii="Calibri" w:hAnsi="Calibri" w:cs="Calibri"/>
                <w:b/>
                <w:color w:val="FFFFFF" w:themeColor="background1"/>
                <w:sz w:val="16"/>
                <w:szCs w:val="16"/>
                <w:lang w:val="en-AU"/>
              </w:rPr>
              <w:t>Actual</w:t>
            </w:r>
          </w:p>
        </w:tc>
        <w:tc>
          <w:tcPr>
            <w:tcW w:w="389" w:type="pct"/>
            <w:tcBorders>
              <w:top w:val="single" w:sz="4" w:space="0" w:color="53565A" w:themeColor="accent5"/>
              <w:left w:val="nil"/>
              <w:bottom w:val="single" w:sz="4" w:space="0" w:color="53565A" w:themeColor="accent5"/>
              <w:right w:val="nil"/>
            </w:tcBorders>
            <w:shd w:val="clear" w:color="auto" w:fill="53565A" w:themeFill="accent5"/>
            <w:vAlign w:val="center"/>
          </w:tcPr>
          <w:p w14:paraId="2A098CC3" w14:textId="77777777" w:rsidR="00102760" w:rsidRPr="005734B8" w:rsidRDefault="00102760" w:rsidP="00AC2EF6">
            <w:pPr>
              <w:pStyle w:val="ESTablenumberrightaligned"/>
              <w:rPr>
                <w:rFonts w:ascii="Calibri" w:hAnsi="Calibri" w:cs="Calibri"/>
                <w:sz w:val="16"/>
                <w:szCs w:val="16"/>
              </w:rPr>
            </w:pPr>
          </w:p>
        </w:tc>
        <w:tc>
          <w:tcPr>
            <w:tcW w:w="720" w:type="pct"/>
            <w:tcBorders>
              <w:top w:val="single" w:sz="4" w:space="0" w:color="53565A" w:themeColor="accent5"/>
              <w:left w:val="nil"/>
              <w:bottom w:val="single" w:sz="4" w:space="0" w:color="53565A" w:themeColor="accent5"/>
              <w:right w:val="nil"/>
            </w:tcBorders>
            <w:shd w:val="clear" w:color="auto" w:fill="53565A" w:themeFill="accent5"/>
            <w:vAlign w:val="center"/>
          </w:tcPr>
          <w:p w14:paraId="4B69E1DE" w14:textId="77777777" w:rsidR="00102760" w:rsidRPr="005734B8" w:rsidRDefault="00102760" w:rsidP="00AC2EF6">
            <w:pPr>
              <w:pStyle w:val="ESTablenumberrightaligned"/>
              <w:rPr>
                <w:rFonts w:ascii="Calibri" w:hAnsi="Calibri" w:cs="Calibri"/>
                <w:sz w:val="16"/>
                <w:szCs w:val="16"/>
              </w:rPr>
            </w:pPr>
          </w:p>
        </w:tc>
        <w:tc>
          <w:tcPr>
            <w:tcW w:w="745" w:type="pct"/>
            <w:tcBorders>
              <w:top w:val="single" w:sz="4" w:space="0" w:color="53565A" w:themeColor="accent5"/>
              <w:left w:val="nil"/>
              <w:bottom w:val="single" w:sz="4" w:space="0" w:color="53565A" w:themeColor="accent5"/>
              <w:right w:val="nil"/>
            </w:tcBorders>
            <w:shd w:val="clear" w:color="auto" w:fill="53565A" w:themeFill="accent5"/>
            <w:vAlign w:val="center"/>
          </w:tcPr>
          <w:p w14:paraId="380AD100" w14:textId="77777777" w:rsidR="00102760" w:rsidRPr="005734B8" w:rsidRDefault="00102760" w:rsidP="00AC2EF6">
            <w:pPr>
              <w:pStyle w:val="ESTablenumberrightaligned"/>
              <w:rPr>
                <w:rFonts w:ascii="Calibri" w:hAnsi="Calibri" w:cs="Calibri"/>
                <w:sz w:val="16"/>
                <w:szCs w:val="16"/>
              </w:rPr>
            </w:pPr>
          </w:p>
        </w:tc>
        <w:tc>
          <w:tcPr>
            <w:tcW w:w="803" w:type="pct"/>
            <w:tcBorders>
              <w:top w:val="single" w:sz="4" w:space="0" w:color="53565A" w:themeColor="accent5"/>
              <w:left w:val="nil"/>
              <w:bottom w:val="single" w:sz="4" w:space="0" w:color="53565A" w:themeColor="accent5"/>
              <w:right w:val="nil"/>
            </w:tcBorders>
            <w:shd w:val="clear" w:color="auto" w:fill="53565A" w:themeFill="accent5"/>
            <w:vAlign w:val="center"/>
          </w:tcPr>
          <w:p w14:paraId="1200AE31" w14:textId="77777777" w:rsidR="00102760" w:rsidRPr="005734B8" w:rsidRDefault="00102760" w:rsidP="00AC2EF6">
            <w:pPr>
              <w:pStyle w:val="ESTablenumberrightaligned"/>
              <w:rPr>
                <w:rFonts w:ascii="Calibri" w:hAnsi="Calibri" w:cs="Calibri"/>
                <w:sz w:val="16"/>
                <w:szCs w:val="16"/>
              </w:rPr>
            </w:pPr>
          </w:p>
        </w:tc>
        <w:tc>
          <w:tcPr>
            <w:tcW w:w="636" w:type="pct"/>
            <w:tcBorders>
              <w:top w:val="single" w:sz="4" w:space="0" w:color="53565A" w:themeColor="accent5"/>
              <w:left w:val="nil"/>
              <w:bottom w:val="single" w:sz="4" w:space="0" w:color="53565A" w:themeColor="accent5"/>
              <w:right w:val="nil"/>
            </w:tcBorders>
            <w:shd w:val="clear" w:color="auto" w:fill="53565A" w:themeFill="accent5"/>
            <w:vAlign w:val="center"/>
          </w:tcPr>
          <w:p w14:paraId="3F274253" w14:textId="77777777" w:rsidR="00102760" w:rsidRPr="005734B8" w:rsidRDefault="00102760" w:rsidP="00AC2EF6">
            <w:pPr>
              <w:pStyle w:val="ESTablenumberrightaligned"/>
              <w:rPr>
                <w:rFonts w:ascii="Calibri" w:hAnsi="Calibri" w:cs="Calibri"/>
                <w:sz w:val="16"/>
                <w:szCs w:val="16"/>
              </w:rPr>
            </w:pPr>
          </w:p>
        </w:tc>
        <w:tc>
          <w:tcPr>
            <w:tcW w:w="824" w:type="pct"/>
            <w:tcBorders>
              <w:top w:val="single" w:sz="4" w:space="0" w:color="53565A" w:themeColor="accent5"/>
              <w:left w:val="nil"/>
              <w:bottom w:val="single" w:sz="4" w:space="0" w:color="53565A" w:themeColor="accent5"/>
            </w:tcBorders>
            <w:shd w:val="clear" w:color="auto" w:fill="53565A" w:themeFill="accent5"/>
            <w:vAlign w:val="center"/>
          </w:tcPr>
          <w:p w14:paraId="602850A7" w14:textId="77777777" w:rsidR="00102760" w:rsidRPr="005734B8" w:rsidRDefault="00102760" w:rsidP="00AC2EF6">
            <w:pPr>
              <w:pStyle w:val="ESTablenumberrightaligned"/>
              <w:rPr>
                <w:rFonts w:ascii="Calibri" w:hAnsi="Calibri" w:cs="Calibri"/>
                <w:sz w:val="16"/>
                <w:szCs w:val="16"/>
              </w:rPr>
            </w:pPr>
          </w:p>
        </w:tc>
      </w:tr>
      <w:tr w:rsidR="004504B3" w:rsidRPr="005734B8" w14:paraId="0B3727D4" w14:textId="77777777" w:rsidTr="004504B3">
        <w:trPr>
          <w:cantSplit/>
          <w:trHeight w:val="375"/>
        </w:trPr>
        <w:tc>
          <w:tcPr>
            <w:tcW w:w="882" w:type="pct"/>
            <w:tcBorders>
              <w:top w:val="single" w:sz="4" w:space="0" w:color="53565A" w:themeColor="accent5"/>
              <w:bottom w:val="single" w:sz="4" w:space="0" w:color="53565A" w:themeColor="accent5"/>
            </w:tcBorders>
            <w:shd w:val="clear" w:color="auto" w:fill="auto"/>
            <w:vAlign w:val="center"/>
          </w:tcPr>
          <w:p w14:paraId="0CA25CD4" w14:textId="33C8BC10" w:rsidR="004504B3" w:rsidRPr="005734B8" w:rsidRDefault="004504B3" w:rsidP="004504B3">
            <w:pPr>
              <w:pStyle w:val="ESTablebody"/>
              <w:rPr>
                <w:rFonts w:ascii="Calibri" w:hAnsi="Calibri" w:cs="Calibri"/>
                <w:b/>
                <w:sz w:val="18"/>
              </w:rPr>
            </w:pPr>
            <w:r w:rsidRPr="005734B8">
              <w:rPr>
                <w:rFonts w:ascii="Calibri" w:hAnsi="Calibri" w:cs="Calibri"/>
                <w:b/>
                <w:sz w:val="18"/>
                <w:lang w:val="en-AU"/>
              </w:rPr>
              <w:t>Opening balance at 1 July 2020</w:t>
            </w:r>
          </w:p>
        </w:tc>
        <w:tc>
          <w:tcPr>
            <w:tcW w:w="389" w:type="pct"/>
            <w:tcBorders>
              <w:top w:val="single" w:sz="4" w:space="0" w:color="53565A" w:themeColor="accent5"/>
              <w:bottom w:val="single" w:sz="4" w:space="0" w:color="53565A" w:themeColor="accent5"/>
            </w:tcBorders>
            <w:shd w:val="clear" w:color="auto" w:fill="auto"/>
            <w:vAlign w:val="center"/>
          </w:tcPr>
          <w:p w14:paraId="4BCFF1D4" w14:textId="77777777" w:rsidR="004504B3" w:rsidRPr="005734B8" w:rsidRDefault="004504B3" w:rsidP="004504B3">
            <w:pPr>
              <w:pStyle w:val="ESTablenumberrightaligned"/>
              <w:rPr>
                <w:rFonts w:ascii="Calibri" w:hAnsi="Calibri" w:cs="Calibri"/>
                <w:sz w:val="18"/>
              </w:rPr>
            </w:pPr>
          </w:p>
        </w:tc>
        <w:tc>
          <w:tcPr>
            <w:tcW w:w="720" w:type="pct"/>
            <w:tcBorders>
              <w:top w:val="single" w:sz="4" w:space="0" w:color="53565A" w:themeColor="accent5"/>
              <w:bottom w:val="single" w:sz="4" w:space="0" w:color="53565A" w:themeColor="accent5"/>
            </w:tcBorders>
          </w:tcPr>
          <w:p w14:paraId="037D306E" w14:textId="03180B11"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4,397.5</w:t>
            </w:r>
          </w:p>
        </w:tc>
        <w:tc>
          <w:tcPr>
            <w:tcW w:w="745" w:type="pct"/>
            <w:tcBorders>
              <w:top w:val="single" w:sz="4" w:space="0" w:color="53565A" w:themeColor="accent5"/>
              <w:bottom w:val="single" w:sz="4" w:space="0" w:color="53565A" w:themeColor="accent5"/>
            </w:tcBorders>
          </w:tcPr>
          <w:p w14:paraId="74B79A57" w14:textId="1551669F"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10,822.1</w:t>
            </w:r>
          </w:p>
        </w:tc>
        <w:tc>
          <w:tcPr>
            <w:tcW w:w="803" w:type="pct"/>
            <w:tcBorders>
              <w:top w:val="single" w:sz="4" w:space="0" w:color="53565A" w:themeColor="accent5"/>
              <w:bottom w:val="single" w:sz="4" w:space="0" w:color="53565A" w:themeColor="accent5"/>
            </w:tcBorders>
          </w:tcPr>
          <w:p w14:paraId="42A8E627" w14:textId="5545582E"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13,659.5</w:t>
            </w:r>
          </w:p>
        </w:tc>
        <w:tc>
          <w:tcPr>
            <w:tcW w:w="636" w:type="pct"/>
            <w:tcBorders>
              <w:top w:val="single" w:sz="4" w:space="0" w:color="53565A" w:themeColor="accent5"/>
              <w:bottom w:val="single" w:sz="4" w:space="0" w:color="53565A" w:themeColor="accent5"/>
            </w:tcBorders>
          </w:tcPr>
          <w:p w14:paraId="64924B65" w14:textId="2FF9EDB8"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1.1</w:t>
            </w:r>
          </w:p>
        </w:tc>
        <w:tc>
          <w:tcPr>
            <w:tcW w:w="824" w:type="pct"/>
            <w:tcBorders>
              <w:top w:val="single" w:sz="4" w:space="0" w:color="53565A" w:themeColor="accent5"/>
              <w:bottom w:val="single" w:sz="4" w:space="0" w:color="53565A" w:themeColor="accent5"/>
            </w:tcBorders>
          </w:tcPr>
          <w:p w14:paraId="5B634ABD" w14:textId="79BF2B81"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28,880.2</w:t>
            </w:r>
          </w:p>
        </w:tc>
      </w:tr>
      <w:tr w:rsidR="004504B3" w:rsidRPr="005734B8" w14:paraId="250E4A98" w14:textId="77777777" w:rsidTr="004504B3">
        <w:trPr>
          <w:cantSplit/>
          <w:trHeight w:val="375"/>
        </w:trPr>
        <w:tc>
          <w:tcPr>
            <w:tcW w:w="882" w:type="pct"/>
            <w:tcBorders>
              <w:top w:val="single" w:sz="4" w:space="0" w:color="53565A" w:themeColor="accent5"/>
              <w:bottom w:val="single" w:sz="4" w:space="0" w:color="53565A" w:themeColor="accent5"/>
            </w:tcBorders>
            <w:shd w:val="clear" w:color="auto" w:fill="auto"/>
            <w:vAlign w:val="center"/>
          </w:tcPr>
          <w:p w14:paraId="5DFFAA75" w14:textId="77777777" w:rsidR="004504B3" w:rsidRPr="005734B8" w:rsidRDefault="004504B3" w:rsidP="004504B3">
            <w:pPr>
              <w:pStyle w:val="ESTablebody"/>
              <w:rPr>
                <w:rFonts w:ascii="Calibri" w:hAnsi="Calibri" w:cs="Calibri"/>
                <w:sz w:val="18"/>
              </w:rPr>
            </w:pPr>
            <w:r w:rsidRPr="005734B8">
              <w:rPr>
                <w:rFonts w:ascii="Calibri" w:hAnsi="Calibri" w:cs="Calibri"/>
                <w:noProof/>
                <w:sz w:val="18"/>
                <w:lang w:val="en-AU"/>
              </w:rPr>
              <w:t>Comprehensive result</w:t>
            </w:r>
          </w:p>
        </w:tc>
        <w:tc>
          <w:tcPr>
            <w:tcW w:w="389" w:type="pct"/>
            <w:tcBorders>
              <w:top w:val="single" w:sz="4" w:space="0" w:color="53565A" w:themeColor="accent5"/>
              <w:bottom w:val="single" w:sz="4" w:space="0" w:color="53565A" w:themeColor="accent5"/>
            </w:tcBorders>
            <w:shd w:val="clear" w:color="auto" w:fill="auto"/>
            <w:vAlign w:val="center"/>
          </w:tcPr>
          <w:p w14:paraId="343B3E6B" w14:textId="77777777" w:rsidR="004504B3" w:rsidRPr="005734B8" w:rsidRDefault="004504B3" w:rsidP="004504B3">
            <w:pPr>
              <w:pStyle w:val="ESTablenumberrightaligned"/>
              <w:rPr>
                <w:rFonts w:ascii="Calibri" w:hAnsi="Calibri" w:cs="Calibri"/>
                <w:sz w:val="18"/>
              </w:rPr>
            </w:pPr>
          </w:p>
        </w:tc>
        <w:tc>
          <w:tcPr>
            <w:tcW w:w="720" w:type="pct"/>
            <w:tcBorders>
              <w:top w:val="single" w:sz="4" w:space="0" w:color="53565A" w:themeColor="accent5"/>
              <w:bottom w:val="single" w:sz="4" w:space="0" w:color="53565A" w:themeColor="accent5"/>
            </w:tcBorders>
          </w:tcPr>
          <w:p w14:paraId="5FD668A2" w14:textId="6FA6CEF2" w:rsidR="004504B3" w:rsidRPr="005734B8" w:rsidRDefault="004504B3" w:rsidP="004504B3">
            <w:pPr>
              <w:pStyle w:val="ESTablenumberrightaligned"/>
              <w:rPr>
                <w:rFonts w:ascii="Calibri" w:hAnsi="Calibri" w:cs="Calibri"/>
                <w:sz w:val="18"/>
              </w:rPr>
            </w:pPr>
            <w:r w:rsidRPr="005734B8">
              <w:rPr>
                <w:rFonts w:ascii="Calibri" w:hAnsi="Calibri" w:cs="Calibri"/>
                <w:sz w:val="18"/>
              </w:rPr>
              <w:t>677.1</w:t>
            </w:r>
          </w:p>
        </w:tc>
        <w:tc>
          <w:tcPr>
            <w:tcW w:w="745" w:type="pct"/>
            <w:tcBorders>
              <w:top w:val="single" w:sz="4" w:space="0" w:color="53565A" w:themeColor="accent5"/>
              <w:bottom w:val="single" w:sz="4" w:space="0" w:color="53565A" w:themeColor="accent5"/>
            </w:tcBorders>
          </w:tcPr>
          <w:p w14:paraId="3F78FFEB" w14:textId="0D31E2DB" w:rsidR="004504B3" w:rsidRPr="005734B8" w:rsidRDefault="004504B3" w:rsidP="004504B3">
            <w:pPr>
              <w:pStyle w:val="ESTablenumberrightaligned"/>
              <w:rPr>
                <w:rFonts w:ascii="Calibri" w:hAnsi="Calibri" w:cs="Calibri"/>
                <w:sz w:val="18"/>
              </w:rPr>
            </w:pPr>
            <w:r w:rsidRPr="005734B8">
              <w:rPr>
                <w:rFonts w:ascii="Calibri" w:hAnsi="Calibri" w:cs="Calibri"/>
                <w:sz w:val="18"/>
              </w:rPr>
              <w:t>–</w:t>
            </w:r>
          </w:p>
        </w:tc>
        <w:tc>
          <w:tcPr>
            <w:tcW w:w="803" w:type="pct"/>
            <w:tcBorders>
              <w:top w:val="single" w:sz="4" w:space="0" w:color="53565A" w:themeColor="accent5"/>
              <w:bottom w:val="single" w:sz="4" w:space="0" w:color="53565A" w:themeColor="accent5"/>
            </w:tcBorders>
          </w:tcPr>
          <w:p w14:paraId="1FFEB7E2" w14:textId="2C68E30E" w:rsidR="004504B3" w:rsidRPr="005734B8" w:rsidRDefault="004504B3" w:rsidP="004504B3">
            <w:pPr>
              <w:pStyle w:val="ESTablenumberrightaligned"/>
              <w:rPr>
                <w:rFonts w:ascii="Calibri" w:hAnsi="Calibri" w:cs="Calibri"/>
                <w:sz w:val="18"/>
              </w:rPr>
            </w:pPr>
            <w:r w:rsidRPr="005734B8">
              <w:rPr>
                <w:rFonts w:ascii="Calibri" w:hAnsi="Calibri" w:cs="Calibri"/>
                <w:sz w:val="18"/>
              </w:rPr>
              <w:t>2,830.4</w:t>
            </w:r>
          </w:p>
        </w:tc>
        <w:tc>
          <w:tcPr>
            <w:tcW w:w="636" w:type="pct"/>
            <w:tcBorders>
              <w:top w:val="single" w:sz="4" w:space="0" w:color="53565A" w:themeColor="accent5"/>
              <w:bottom w:val="single" w:sz="4" w:space="0" w:color="53565A" w:themeColor="accent5"/>
            </w:tcBorders>
          </w:tcPr>
          <w:p w14:paraId="09E126F5" w14:textId="4E1A6D35" w:rsidR="004504B3" w:rsidRPr="005734B8" w:rsidRDefault="004504B3" w:rsidP="004504B3">
            <w:pPr>
              <w:pStyle w:val="ESTablenumberrightaligned"/>
              <w:rPr>
                <w:rFonts w:ascii="Calibri" w:hAnsi="Calibri" w:cs="Calibri"/>
                <w:sz w:val="18"/>
              </w:rPr>
            </w:pPr>
            <w:r w:rsidRPr="005734B8">
              <w:rPr>
                <w:rFonts w:ascii="Calibri" w:hAnsi="Calibri" w:cs="Calibri"/>
                <w:sz w:val="18"/>
              </w:rPr>
              <w:t>(0.1)</w:t>
            </w:r>
          </w:p>
        </w:tc>
        <w:tc>
          <w:tcPr>
            <w:tcW w:w="824" w:type="pct"/>
            <w:tcBorders>
              <w:top w:val="single" w:sz="4" w:space="0" w:color="53565A" w:themeColor="accent5"/>
              <w:bottom w:val="single" w:sz="4" w:space="0" w:color="53565A" w:themeColor="accent5"/>
            </w:tcBorders>
          </w:tcPr>
          <w:p w14:paraId="1DA02DEB" w14:textId="2F4C4627"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3,507.4</w:t>
            </w:r>
          </w:p>
        </w:tc>
      </w:tr>
      <w:tr w:rsidR="004504B3" w:rsidRPr="005734B8" w14:paraId="36A8A1E8" w14:textId="77777777" w:rsidTr="004504B3">
        <w:trPr>
          <w:cantSplit/>
          <w:trHeight w:val="375"/>
        </w:trPr>
        <w:tc>
          <w:tcPr>
            <w:tcW w:w="882" w:type="pct"/>
            <w:tcBorders>
              <w:top w:val="single" w:sz="4" w:space="0" w:color="53565A" w:themeColor="accent5"/>
              <w:bottom w:val="single" w:sz="4" w:space="0" w:color="53565A" w:themeColor="accent5"/>
            </w:tcBorders>
            <w:shd w:val="clear" w:color="auto" w:fill="auto"/>
            <w:vAlign w:val="center"/>
          </w:tcPr>
          <w:p w14:paraId="305061DE" w14:textId="77777777" w:rsidR="004504B3" w:rsidRPr="005734B8" w:rsidRDefault="004504B3" w:rsidP="004504B3">
            <w:pPr>
              <w:pStyle w:val="ESTablebody"/>
              <w:rPr>
                <w:rFonts w:ascii="Calibri" w:hAnsi="Calibri" w:cs="Calibri"/>
                <w:sz w:val="18"/>
              </w:rPr>
            </w:pPr>
            <w:r w:rsidRPr="005734B8">
              <w:rPr>
                <w:rFonts w:ascii="Calibri" w:hAnsi="Calibri" w:cs="Calibri"/>
                <w:noProof/>
                <w:sz w:val="18"/>
                <w:lang w:val="en-AU"/>
              </w:rPr>
              <w:t>Transactions with owners in their capacity as owners</w:t>
            </w:r>
          </w:p>
        </w:tc>
        <w:tc>
          <w:tcPr>
            <w:tcW w:w="389" w:type="pct"/>
            <w:tcBorders>
              <w:top w:val="single" w:sz="4" w:space="0" w:color="53565A" w:themeColor="accent5"/>
              <w:bottom w:val="single" w:sz="4" w:space="0" w:color="53565A" w:themeColor="accent5"/>
            </w:tcBorders>
            <w:shd w:val="clear" w:color="auto" w:fill="auto"/>
            <w:vAlign w:val="center"/>
          </w:tcPr>
          <w:p w14:paraId="16C7416A" w14:textId="77777777" w:rsidR="004504B3" w:rsidRPr="005734B8" w:rsidRDefault="004504B3" w:rsidP="004504B3">
            <w:pPr>
              <w:pStyle w:val="ESTablenumberrightaligned"/>
              <w:rPr>
                <w:rFonts w:ascii="Calibri" w:hAnsi="Calibri" w:cs="Calibri"/>
                <w:sz w:val="18"/>
              </w:rPr>
            </w:pPr>
          </w:p>
        </w:tc>
        <w:tc>
          <w:tcPr>
            <w:tcW w:w="720" w:type="pct"/>
            <w:tcBorders>
              <w:top w:val="single" w:sz="4" w:space="0" w:color="53565A" w:themeColor="accent5"/>
              <w:bottom w:val="single" w:sz="4" w:space="0" w:color="53565A" w:themeColor="accent5"/>
            </w:tcBorders>
          </w:tcPr>
          <w:p w14:paraId="75254916" w14:textId="7F1C6902" w:rsidR="004504B3" w:rsidRPr="005734B8" w:rsidRDefault="004504B3" w:rsidP="004504B3">
            <w:pPr>
              <w:pStyle w:val="ESTablenumberrightaligned"/>
              <w:rPr>
                <w:rFonts w:ascii="Calibri" w:hAnsi="Calibri" w:cs="Calibri"/>
                <w:sz w:val="18"/>
              </w:rPr>
            </w:pPr>
            <w:r w:rsidRPr="005734B8">
              <w:rPr>
                <w:rFonts w:ascii="Calibri" w:hAnsi="Calibri" w:cs="Calibri"/>
                <w:sz w:val="18"/>
              </w:rPr>
              <w:t>–</w:t>
            </w:r>
          </w:p>
        </w:tc>
        <w:tc>
          <w:tcPr>
            <w:tcW w:w="745" w:type="pct"/>
            <w:tcBorders>
              <w:top w:val="single" w:sz="4" w:space="0" w:color="53565A" w:themeColor="accent5"/>
              <w:bottom w:val="single" w:sz="4" w:space="0" w:color="53565A" w:themeColor="accent5"/>
            </w:tcBorders>
          </w:tcPr>
          <w:p w14:paraId="3271B912" w14:textId="193B43FE" w:rsidR="004504B3" w:rsidRPr="005734B8" w:rsidRDefault="004504B3" w:rsidP="004504B3">
            <w:pPr>
              <w:pStyle w:val="ESTablenumberrightaligned"/>
              <w:rPr>
                <w:rFonts w:ascii="Calibri" w:hAnsi="Calibri" w:cs="Calibri"/>
                <w:sz w:val="18"/>
              </w:rPr>
            </w:pPr>
            <w:r w:rsidRPr="005734B8">
              <w:rPr>
                <w:rFonts w:ascii="Calibri" w:hAnsi="Calibri" w:cs="Calibri"/>
                <w:sz w:val="18"/>
              </w:rPr>
              <w:t>865.9</w:t>
            </w:r>
          </w:p>
        </w:tc>
        <w:tc>
          <w:tcPr>
            <w:tcW w:w="803" w:type="pct"/>
            <w:tcBorders>
              <w:top w:val="single" w:sz="4" w:space="0" w:color="53565A" w:themeColor="accent5"/>
              <w:bottom w:val="single" w:sz="4" w:space="0" w:color="53565A" w:themeColor="accent5"/>
            </w:tcBorders>
          </w:tcPr>
          <w:p w14:paraId="4FD5A68E" w14:textId="00CA9BBE" w:rsidR="004504B3" w:rsidRPr="005734B8" w:rsidRDefault="004504B3" w:rsidP="004504B3">
            <w:pPr>
              <w:pStyle w:val="ESTablenumberrightaligned"/>
              <w:rPr>
                <w:rFonts w:ascii="Calibri" w:hAnsi="Calibri" w:cs="Calibri"/>
                <w:sz w:val="18"/>
              </w:rPr>
            </w:pPr>
            <w:r w:rsidRPr="005734B8">
              <w:rPr>
                <w:rFonts w:ascii="Calibri" w:hAnsi="Calibri" w:cs="Calibri"/>
                <w:sz w:val="18"/>
              </w:rPr>
              <w:t>–</w:t>
            </w:r>
          </w:p>
        </w:tc>
        <w:tc>
          <w:tcPr>
            <w:tcW w:w="636" w:type="pct"/>
            <w:tcBorders>
              <w:top w:val="single" w:sz="4" w:space="0" w:color="53565A" w:themeColor="accent5"/>
              <w:bottom w:val="single" w:sz="4" w:space="0" w:color="53565A" w:themeColor="accent5"/>
            </w:tcBorders>
          </w:tcPr>
          <w:p w14:paraId="52636635" w14:textId="6EB80851" w:rsidR="004504B3" w:rsidRPr="005734B8" w:rsidRDefault="004504B3" w:rsidP="004504B3">
            <w:pPr>
              <w:pStyle w:val="ESTablenumberrightaligned"/>
              <w:rPr>
                <w:rFonts w:ascii="Calibri" w:hAnsi="Calibri" w:cs="Calibri"/>
                <w:sz w:val="18"/>
              </w:rPr>
            </w:pPr>
            <w:r w:rsidRPr="005734B8">
              <w:rPr>
                <w:rFonts w:ascii="Calibri" w:hAnsi="Calibri" w:cs="Calibri"/>
                <w:sz w:val="18"/>
              </w:rPr>
              <w:t>–</w:t>
            </w:r>
          </w:p>
        </w:tc>
        <w:tc>
          <w:tcPr>
            <w:tcW w:w="824" w:type="pct"/>
            <w:tcBorders>
              <w:top w:val="single" w:sz="4" w:space="0" w:color="53565A" w:themeColor="accent5"/>
              <w:bottom w:val="single" w:sz="4" w:space="0" w:color="53565A" w:themeColor="accent5"/>
            </w:tcBorders>
          </w:tcPr>
          <w:p w14:paraId="4A54EA2D" w14:textId="70A0DBA1"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865.9</w:t>
            </w:r>
          </w:p>
        </w:tc>
      </w:tr>
      <w:tr w:rsidR="004504B3" w:rsidRPr="005734B8" w14:paraId="483CB1CA" w14:textId="77777777" w:rsidTr="004504B3">
        <w:trPr>
          <w:cantSplit/>
          <w:trHeight w:val="375"/>
        </w:trPr>
        <w:tc>
          <w:tcPr>
            <w:tcW w:w="882" w:type="pct"/>
            <w:tcBorders>
              <w:top w:val="single" w:sz="18" w:space="0" w:color="53565A" w:themeColor="accent5"/>
              <w:bottom w:val="single" w:sz="4" w:space="0" w:color="53565A" w:themeColor="accent5"/>
            </w:tcBorders>
            <w:shd w:val="clear" w:color="auto" w:fill="auto"/>
          </w:tcPr>
          <w:p w14:paraId="7E5807C9" w14:textId="538DEA89" w:rsidR="004504B3" w:rsidRPr="005734B8" w:rsidRDefault="004504B3" w:rsidP="004504B3">
            <w:pPr>
              <w:pStyle w:val="ESTablebody"/>
              <w:rPr>
                <w:rFonts w:ascii="Calibri" w:hAnsi="Calibri" w:cs="Calibri"/>
                <w:b/>
                <w:sz w:val="18"/>
              </w:rPr>
            </w:pPr>
            <w:r w:rsidRPr="005734B8">
              <w:rPr>
                <w:rFonts w:ascii="Calibri" w:hAnsi="Calibri" w:cs="Calibri"/>
                <w:b/>
                <w:sz w:val="18"/>
              </w:rPr>
              <w:t>Closing balance 30 June 2021</w:t>
            </w:r>
          </w:p>
        </w:tc>
        <w:tc>
          <w:tcPr>
            <w:tcW w:w="389" w:type="pct"/>
            <w:tcBorders>
              <w:top w:val="single" w:sz="18" w:space="0" w:color="53565A" w:themeColor="accent5"/>
              <w:bottom w:val="single" w:sz="4" w:space="0" w:color="53565A" w:themeColor="accent5"/>
            </w:tcBorders>
            <w:shd w:val="clear" w:color="auto" w:fill="auto"/>
            <w:vAlign w:val="center"/>
          </w:tcPr>
          <w:p w14:paraId="122FA74E" w14:textId="77777777" w:rsidR="004504B3" w:rsidRPr="005734B8" w:rsidRDefault="004504B3" w:rsidP="004504B3">
            <w:pPr>
              <w:pStyle w:val="ESTablenumberrightaligned"/>
              <w:rPr>
                <w:rFonts w:ascii="Calibri" w:hAnsi="Calibri" w:cs="Calibri"/>
                <w:b/>
                <w:sz w:val="18"/>
              </w:rPr>
            </w:pPr>
          </w:p>
        </w:tc>
        <w:tc>
          <w:tcPr>
            <w:tcW w:w="720" w:type="pct"/>
            <w:tcBorders>
              <w:top w:val="single" w:sz="18" w:space="0" w:color="53565A" w:themeColor="accent5"/>
              <w:bottom w:val="single" w:sz="4" w:space="0" w:color="53565A" w:themeColor="accent5"/>
            </w:tcBorders>
          </w:tcPr>
          <w:p w14:paraId="4932036C" w14:textId="11DD6406" w:rsidR="004504B3" w:rsidRPr="005734B8" w:rsidRDefault="004504B3" w:rsidP="004504B3">
            <w:pPr>
              <w:pStyle w:val="ESTablenumberrightaligned"/>
              <w:rPr>
                <w:rFonts w:ascii="Calibri" w:hAnsi="Calibri" w:cs="Calibri"/>
                <w:b/>
                <w:bCs/>
                <w:sz w:val="18"/>
              </w:rPr>
            </w:pPr>
            <w:r w:rsidRPr="005734B8">
              <w:rPr>
                <w:rFonts w:ascii="Calibri" w:hAnsi="Calibri" w:cs="Calibri"/>
                <w:b/>
                <w:bCs/>
                <w:sz w:val="18"/>
              </w:rPr>
              <w:t>5,074.5 </w:t>
            </w:r>
          </w:p>
        </w:tc>
        <w:tc>
          <w:tcPr>
            <w:tcW w:w="745" w:type="pct"/>
            <w:tcBorders>
              <w:top w:val="single" w:sz="18" w:space="0" w:color="53565A" w:themeColor="accent5"/>
              <w:bottom w:val="single" w:sz="4" w:space="0" w:color="53565A" w:themeColor="accent5"/>
            </w:tcBorders>
          </w:tcPr>
          <w:p w14:paraId="1EBA26E5" w14:textId="0C317827" w:rsidR="004504B3" w:rsidRPr="005734B8" w:rsidRDefault="004504B3" w:rsidP="004504B3">
            <w:pPr>
              <w:pStyle w:val="ESTablenumberrightaligned"/>
              <w:rPr>
                <w:rFonts w:ascii="Calibri" w:hAnsi="Calibri" w:cs="Calibri"/>
                <w:b/>
                <w:bCs/>
                <w:sz w:val="18"/>
              </w:rPr>
            </w:pPr>
            <w:r w:rsidRPr="005734B8">
              <w:rPr>
                <w:rFonts w:ascii="Calibri" w:hAnsi="Calibri" w:cs="Calibri"/>
                <w:b/>
                <w:bCs/>
                <w:sz w:val="18"/>
              </w:rPr>
              <w:t>11,688.0</w:t>
            </w:r>
          </w:p>
        </w:tc>
        <w:tc>
          <w:tcPr>
            <w:tcW w:w="803" w:type="pct"/>
            <w:tcBorders>
              <w:top w:val="single" w:sz="18" w:space="0" w:color="53565A" w:themeColor="accent5"/>
              <w:bottom w:val="single" w:sz="4" w:space="0" w:color="53565A" w:themeColor="accent5"/>
            </w:tcBorders>
          </w:tcPr>
          <w:p w14:paraId="6672DECE" w14:textId="50B15119" w:rsidR="004504B3" w:rsidRPr="005734B8" w:rsidRDefault="004504B3" w:rsidP="004504B3">
            <w:pPr>
              <w:pStyle w:val="ESTablenumberrightaligned"/>
              <w:rPr>
                <w:rFonts w:ascii="Calibri" w:hAnsi="Calibri" w:cs="Calibri"/>
                <w:b/>
                <w:bCs/>
                <w:sz w:val="18"/>
              </w:rPr>
            </w:pPr>
            <w:r w:rsidRPr="005734B8">
              <w:rPr>
                <w:rFonts w:ascii="Calibri" w:hAnsi="Calibri" w:cs="Calibri"/>
                <w:b/>
                <w:bCs/>
                <w:sz w:val="18"/>
              </w:rPr>
              <w:t>16,489.9</w:t>
            </w:r>
          </w:p>
        </w:tc>
        <w:tc>
          <w:tcPr>
            <w:tcW w:w="636" w:type="pct"/>
            <w:tcBorders>
              <w:top w:val="single" w:sz="18" w:space="0" w:color="53565A" w:themeColor="accent5"/>
              <w:bottom w:val="single" w:sz="4" w:space="0" w:color="53565A" w:themeColor="accent5"/>
            </w:tcBorders>
          </w:tcPr>
          <w:p w14:paraId="5FDA66D7" w14:textId="4C2AA97C" w:rsidR="004504B3" w:rsidRPr="005734B8" w:rsidRDefault="004504B3" w:rsidP="004504B3">
            <w:pPr>
              <w:pStyle w:val="ESTablenumberrightaligned"/>
              <w:rPr>
                <w:rFonts w:ascii="Calibri" w:hAnsi="Calibri" w:cs="Calibri"/>
                <w:b/>
                <w:bCs/>
                <w:sz w:val="18"/>
              </w:rPr>
            </w:pPr>
            <w:r w:rsidRPr="005734B8">
              <w:rPr>
                <w:rFonts w:ascii="Calibri" w:hAnsi="Calibri" w:cs="Calibri"/>
                <w:b/>
                <w:bCs/>
                <w:sz w:val="18"/>
              </w:rPr>
              <w:t>1.1</w:t>
            </w:r>
          </w:p>
        </w:tc>
        <w:tc>
          <w:tcPr>
            <w:tcW w:w="824" w:type="pct"/>
            <w:tcBorders>
              <w:top w:val="single" w:sz="18" w:space="0" w:color="53565A" w:themeColor="accent5"/>
              <w:bottom w:val="single" w:sz="4" w:space="0" w:color="53565A" w:themeColor="accent5"/>
            </w:tcBorders>
          </w:tcPr>
          <w:p w14:paraId="58A8366C" w14:textId="68D1DB3C"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33,253.5</w:t>
            </w:r>
          </w:p>
        </w:tc>
      </w:tr>
      <w:tr w:rsidR="004504B3" w:rsidRPr="005734B8" w14:paraId="0E4813D6" w14:textId="77777777" w:rsidTr="004504B3">
        <w:trPr>
          <w:cantSplit/>
          <w:trHeight w:val="375"/>
        </w:trPr>
        <w:tc>
          <w:tcPr>
            <w:tcW w:w="882" w:type="pct"/>
            <w:tcBorders>
              <w:top w:val="single" w:sz="4" w:space="0" w:color="53565A" w:themeColor="accent5"/>
              <w:bottom w:val="single" w:sz="4" w:space="0" w:color="53565A" w:themeColor="accent5"/>
              <w:right w:val="nil"/>
            </w:tcBorders>
            <w:shd w:val="clear" w:color="auto" w:fill="53565A" w:themeFill="accent5"/>
          </w:tcPr>
          <w:p w14:paraId="5B7D6314" w14:textId="77777777" w:rsidR="004504B3" w:rsidRPr="005734B8" w:rsidRDefault="004504B3" w:rsidP="004504B3">
            <w:pPr>
              <w:pStyle w:val="ESTablebody"/>
              <w:rPr>
                <w:rFonts w:ascii="Calibri" w:hAnsi="Calibri" w:cs="Calibri"/>
                <w:b/>
                <w:sz w:val="18"/>
              </w:rPr>
            </w:pPr>
            <w:r w:rsidRPr="005734B8">
              <w:rPr>
                <w:rFonts w:ascii="Calibri" w:hAnsi="Calibri" w:cs="Calibri"/>
                <w:b/>
                <w:color w:val="FFFFFF" w:themeColor="background1"/>
                <w:sz w:val="18"/>
              </w:rPr>
              <w:t>Budget</w:t>
            </w:r>
          </w:p>
        </w:tc>
        <w:tc>
          <w:tcPr>
            <w:tcW w:w="389" w:type="pct"/>
            <w:tcBorders>
              <w:top w:val="single" w:sz="4" w:space="0" w:color="53565A" w:themeColor="accent5"/>
              <w:left w:val="nil"/>
              <w:bottom w:val="single" w:sz="4" w:space="0" w:color="53565A" w:themeColor="accent5"/>
              <w:right w:val="nil"/>
            </w:tcBorders>
            <w:shd w:val="clear" w:color="auto" w:fill="53565A" w:themeFill="accent5"/>
            <w:vAlign w:val="center"/>
          </w:tcPr>
          <w:p w14:paraId="744EE827" w14:textId="77777777" w:rsidR="004504B3" w:rsidRPr="005734B8" w:rsidRDefault="004504B3" w:rsidP="004504B3">
            <w:pPr>
              <w:pStyle w:val="ESTablenumberrightaligned"/>
              <w:rPr>
                <w:rFonts w:ascii="Calibri" w:hAnsi="Calibri" w:cs="Calibri"/>
                <w:b/>
                <w:sz w:val="18"/>
              </w:rPr>
            </w:pPr>
          </w:p>
        </w:tc>
        <w:tc>
          <w:tcPr>
            <w:tcW w:w="720" w:type="pct"/>
            <w:tcBorders>
              <w:top w:val="single" w:sz="4" w:space="0" w:color="53565A" w:themeColor="accent5"/>
              <w:left w:val="nil"/>
              <w:bottom w:val="single" w:sz="4" w:space="0" w:color="53565A" w:themeColor="accent5"/>
              <w:right w:val="nil"/>
            </w:tcBorders>
            <w:shd w:val="clear" w:color="auto" w:fill="53565A" w:themeFill="accent5"/>
          </w:tcPr>
          <w:p w14:paraId="122D23F8" w14:textId="77777777" w:rsidR="004504B3" w:rsidRPr="005734B8" w:rsidRDefault="004504B3" w:rsidP="004504B3">
            <w:pPr>
              <w:pStyle w:val="ESTablenumberrightaligned"/>
              <w:rPr>
                <w:rFonts w:ascii="Calibri" w:hAnsi="Calibri" w:cs="Calibri"/>
                <w:b/>
                <w:sz w:val="18"/>
              </w:rPr>
            </w:pPr>
          </w:p>
        </w:tc>
        <w:tc>
          <w:tcPr>
            <w:tcW w:w="745" w:type="pct"/>
            <w:tcBorders>
              <w:top w:val="single" w:sz="4" w:space="0" w:color="53565A" w:themeColor="accent5"/>
              <w:left w:val="nil"/>
              <w:bottom w:val="single" w:sz="4" w:space="0" w:color="53565A" w:themeColor="accent5"/>
              <w:right w:val="nil"/>
            </w:tcBorders>
            <w:shd w:val="clear" w:color="auto" w:fill="53565A" w:themeFill="accent5"/>
          </w:tcPr>
          <w:p w14:paraId="68C9A80C" w14:textId="77777777" w:rsidR="004504B3" w:rsidRPr="005734B8" w:rsidRDefault="004504B3" w:rsidP="004504B3">
            <w:pPr>
              <w:pStyle w:val="ESTablenumberrightaligned"/>
              <w:rPr>
                <w:rFonts w:ascii="Calibri" w:hAnsi="Calibri" w:cs="Calibri"/>
                <w:b/>
                <w:sz w:val="18"/>
              </w:rPr>
            </w:pPr>
          </w:p>
        </w:tc>
        <w:tc>
          <w:tcPr>
            <w:tcW w:w="803" w:type="pct"/>
            <w:tcBorders>
              <w:top w:val="single" w:sz="4" w:space="0" w:color="53565A" w:themeColor="accent5"/>
              <w:left w:val="nil"/>
              <w:bottom w:val="single" w:sz="4" w:space="0" w:color="53565A" w:themeColor="accent5"/>
              <w:right w:val="nil"/>
            </w:tcBorders>
            <w:shd w:val="clear" w:color="auto" w:fill="53565A" w:themeFill="accent5"/>
          </w:tcPr>
          <w:p w14:paraId="1B40D517" w14:textId="77777777" w:rsidR="004504B3" w:rsidRPr="005734B8" w:rsidRDefault="004504B3" w:rsidP="004504B3">
            <w:pPr>
              <w:pStyle w:val="ESTablenumberrightaligned"/>
              <w:rPr>
                <w:rFonts w:ascii="Calibri" w:hAnsi="Calibri" w:cs="Calibri"/>
                <w:b/>
                <w:sz w:val="18"/>
              </w:rPr>
            </w:pPr>
          </w:p>
        </w:tc>
        <w:tc>
          <w:tcPr>
            <w:tcW w:w="636" w:type="pct"/>
            <w:tcBorders>
              <w:top w:val="single" w:sz="4" w:space="0" w:color="53565A" w:themeColor="accent5"/>
              <w:left w:val="nil"/>
              <w:bottom w:val="single" w:sz="4" w:space="0" w:color="53565A" w:themeColor="accent5"/>
              <w:right w:val="nil"/>
            </w:tcBorders>
            <w:shd w:val="clear" w:color="auto" w:fill="53565A" w:themeFill="accent5"/>
          </w:tcPr>
          <w:p w14:paraId="213B8915" w14:textId="77777777" w:rsidR="004504B3" w:rsidRPr="005734B8" w:rsidRDefault="004504B3" w:rsidP="004504B3">
            <w:pPr>
              <w:pStyle w:val="ESTablenumberrightaligned"/>
              <w:rPr>
                <w:rFonts w:ascii="Calibri" w:hAnsi="Calibri" w:cs="Calibri"/>
                <w:b/>
                <w:sz w:val="18"/>
              </w:rPr>
            </w:pPr>
          </w:p>
        </w:tc>
        <w:tc>
          <w:tcPr>
            <w:tcW w:w="824" w:type="pct"/>
            <w:tcBorders>
              <w:top w:val="single" w:sz="4" w:space="0" w:color="53565A" w:themeColor="accent5"/>
              <w:left w:val="nil"/>
              <w:bottom w:val="single" w:sz="4" w:space="0" w:color="53565A" w:themeColor="accent5"/>
            </w:tcBorders>
            <w:shd w:val="clear" w:color="auto" w:fill="53565A" w:themeFill="accent5"/>
          </w:tcPr>
          <w:p w14:paraId="0406A72D" w14:textId="77777777" w:rsidR="004504B3" w:rsidRPr="005734B8" w:rsidRDefault="004504B3" w:rsidP="004504B3">
            <w:pPr>
              <w:pStyle w:val="ESTablenumberrightaligned"/>
              <w:rPr>
                <w:rFonts w:ascii="Calibri" w:hAnsi="Calibri" w:cs="Calibri"/>
                <w:b/>
                <w:sz w:val="18"/>
              </w:rPr>
            </w:pPr>
          </w:p>
        </w:tc>
      </w:tr>
      <w:tr w:rsidR="004504B3" w:rsidRPr="005734B8" w14:paraId="1F32E22F" w14:textId="77777777" w:rsidTr="004504B3">
        <w:trPr>
          <w:cantSplit/>
          <w:trHeight w:val="226"/>
        </w:trPr>
        <w:tc>
          <w:tcPr>
            <w:tcW w:w="882" w:type="pct"/>
            <w:tcBorders>
              <w:top w:val="single" w:sz="4" w:space="0" w:color="53565A" w:themeColor="accent5"/>
              <w:bottom w:val="single" w:sz="4" w:space="0" w:color="53565A" w:themeColor="accent5"/>
            </w:tcBorders>
            <w:shd w:val="clear" w:color="auto" w:fill="auto"/>
            <w:vAlign w:val="center"/>
          </w:tcPr>
          <w:p w14:paraId="7E2DABD7" w14:textId="1AA0C25A" w:rsidR="004504B3" w:rsidRPr="005734B8" w:rsidRDefault="004504B3" w:rsidP="004504B3">
            <w:pPr>
              <w:pStyle w:val="ESTablebody"/>
              <w:rPr>
                <w:rFonts w:ascii="Calibri" w:hAnsi="Calibri" w:cs="Calibri"/>
                <w:b/>
                <w:sz w:val="18"/>
              </w:rPr>
            </w:pPr>
            <w:r w:rsidRPr="005734B8">
              <w:rPr>
                <w:rFonts w:ascii="Calibri" w:hAnsi="Calibri" w:cs="Calibri"/>
                <w:b/>
                <w:sz w:val="18"/>
                <w:lang w:val="en-AU"/>
              </w:rPr>
              <w:t>Opening balance 1 July 2020</w:t>
            </w:r>
          </w:p>
        </w:tc>
        <w:tc>
          <w:tcPr>
            <w:tcW w:w="389" w:type="pct"/>
            <w:tcBorders>
              <w:top w:val="single" w:sz="4" w:space="0" w:color="53565A" w:themeColor="accent5"/>
              <w:bottom w:val="single" w:sz="4" w:space="0" w:color="53565A" w:themeColor="accent5"/>
            </w:tcBorders>
            <w:shd w:val="clear" w:color="auto" w:fill="auto"/>
            <w:vAlign w:val="center"/>
          </w:tcPr>
          <w:p w14:paraId="392652AA" w14:textId="77777777" w:rsidR="004504B3" w:rsidRPr="005734B8" w:rsidRDefault="004504B3" w:rsidP="004504B3">
            <w:pPr>
              <w:pStyle w:val="ESTablenumberrightaligned"/>
              <w:rPr>
                <w:rFonts w:ascii="Calibri" w:hAnsi="Calibri" w:cs="Calibri"/>
                <w:sz w:val="18"/>
              </w:rPr>
            </w:pPr>
          </w:p>
        </w:tc>
        <w:tc>
          <w:tcPr>
            <w:tcW w:w="720" w:type="pct"/>
            <w:tcBorders>
              <w:top w:val="single" w:sz="4" w:space="0" w:color="53565A" w:themeColor="accent5"/>
              <w:bottom w:val="single" w:sz="4" w:space="0" w:color="53565A" w:themeColor="accent5"/>
            </w:tcBorders>
          </w:tcPr>
          <w:p w14:paraId="0E3E0B78" w14:textId="76621567"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4,397.5</w:t>
            </w:r>
          </w:p>
        </w:tc>
        <w:tc>
          <w:tcPr>
            <w:tcW w:w="745" w:type="pct"/>
            <w:tcBorders>
              <w:top w:val="single" w:sz="4" w:space="0" w:color="53565A" w:themeColor="accent5"/>
              <w:bottom w:val="single" w:sz="4" w:space="0" w:color="53565A" w:themeColor="accent5"/>
            </w:tcBorders>
          </w:tcPr>
          <w:p w14:paraId="7D4AA78C" w14:textId="338AC01D"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10,822.1</w:t>
            </w:r>
          </w:p>
        </w:tc>
        <w:tc>
          <w:tcPr>
            <w:tcW w:w="803" w:type="pct"/>
            <w:tcBorders>
              <w:top w:val="single" w:sz="4" w:space="0" w:color="53565A" w:themeColor="accent5"/>
              <w:bottom w:val="single" w:sz="4" w:space="0" w:color="53565A" w:themeColor="accent5"/>
            </w:tcBorders>
          </w:tcPr>
          <w:p w14:paraId="340AA577" w14:textId="25577FF9"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13,659.5</w:t>
            </w:r>
          </w:p>
        </w:tc>
        <w:tc>
          <w:tcPr>
            <w:tcW w:w="636" w:type="pct"/>
            <w:tcBorders>
              <w:top w:val="single" w:sz="4" w:space="0" w:color="53565A" w:themeColor="accent5"/>
              <w:bottom w:val="single" w:sz="4" w:space="0" w:color="53565A" w:themeColor="accent5"/>
            </w:tcBorders>
          </w:tcPr>
          <w:p w14:paraId="177A8699" w14:textId="1540651E"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1.1</w:t>
            </w:r>
          </w:p>
        </w:tc>
        <w:tc>
          <w:tcPr>
            <w:tcW w:w="824" w:type="pct"/>
            <w:tcBorders>
              <w:top w:val="single" w:sz="4" w:space="0" w:color="53565A" w:themeColor="accent5"/>
              <w:bottom w:val="single" w:sz="4" w:space="0" w:color="53565A" w:themeColor="accent5"/>
            </w:tcBorders>
          </w:tcPr>
          <w:p w14:paraId="528A502E" w14:textId="15FA481D"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28,880.2</w:t>
            </w:r>
          </w:p>
        </w:tc>
      </w:tr>
      <w:tr w:rsidR="004504B3" w:rsidRPr="005734B8" w14:paraId="04C4150B" w14:textId="77777777" w:rsidTr="004504B3">
        <w:trPr>
          <w:cantSplit/>
          <w:trHeight w:val="220"/>
        </w:trPr>
        <w:tc>
          <w:tcPr>
            <w:tcW w:w="882" w:type="pct"/>
            <w:tcBorders>
              <w:top w:val="single" w:sz="4" w:space="0" w:color="53565A" w:themeColor="accent5"/>
              <w:bottom w:val="single" w:sz="4" w:space="0" w:color="53565A" w:themeColor="accent5"/>
            </w:tcBorders>
            <w:shd w:val="clear" w:color="auto" w:fill="auto"/>
            <w:vAlign w:val="center"/>
          </w:tcPr>
          <w:p w14:paraId="7E1BE702" w14:textId="77777777" w:rsidR="004504B3" w:rsidRPr="005734B8" w:rsidRDefault="004504B3" w:rsidP="004504B3">
            <w:pPr>
              <w:pStyle w:val="ESTablebody"/>
              <w:rPr>
                <w:rFonts w:ascii="Calibri" w:hAnsi="Calibri" w:cs="Calibri"/>
                <w:sz w:val="18"/>
              </w:rPr>
            </w:pPr>
            <w:r w:rsidRPr="005734B8">
              <w:rPr>
                <w:rFonts w:ascii="Calibri" w:hAnsi="Calibri" w:cs="Calibri"/>
                <w:noProof/>
                <w:sz w:val="18"/>
                <w:lang w:val="en-AU"/>
              </w:rPr>
              <w:t xml:space="preserve">Comprehensive result </w:t>
            </w:r>
          </w:p>
        </w:tc>
        <w:tc>
          <w:tcPr>
            <w:tcW w:w="389" w:type="pct"/>
            <w:tcBorders>
              <w:top w:val="single" w:sz="4" w:space="0" w:color="53565A" w:themeColor="accent5"/>
              <w:bottom w:val="single" w:sz="4" w:space="0" w:color="53565A" w:themeColor="accent5"/>
            </w:tcBorders>
            <w:shd w:val="clear" w:color="auto" w:fill="auto"/>
            <w:vAlign w:val="center"/>
          </w:tcPr>
          <w:p w14:paraId="0F7A31F0" w14:textId="77777777" w:rsidR="004504B3" w:rsidRPr="005734B8" w:rsidRDefault="004504B3" w:rsidP="004504B3">
            <w:pPr>
              <w:pStyle w:val="ESTablenumberrightaligned"/>
              <w:rPr>
                <w:rFonts w:ascii="Calibri" w:hAnsi="Calibri" w:cs="Calibri"/>
                <w:sz w:val="18"/>
              </w:rPr>
            </w:pPr>
          </w:p>
        </w:tc>
        <w:tc>
          <w:tcPr>
            <w:tcW w:w="720" w:type="pct"/>
            <w:tcBorders>
              <w:top w:val="single" w:sz="4" w:space="0" w:color="53565A" w:themeColor="accent5"/>
              <w:bottom w:val="single" w:sz="4" w:space="0" w:color="53565A" w:themeColor="accent5"/>
            </w:tcBorders>
          </w:tcPr>
          <w:p w14:paraId="5DDA818D" w14:textId="06539140" w:rsidR="004504B3" w:rsidRPr="005734B8" w:rsidRDefault="004504B3" w:rsidP="004504B3">
            <w:pPr>
              <w:pStyle w:val="ESTablenumberrightaligned"/>
              <w:rPr>
                <w:rFonts w:ascii="Calibri" w:hAnsi="Calibri" w:cs="Calibri"/>
                <w:sz w:val="18"/>
              </w:rPr>
            </w:pPr>
            <w:r w:rsidRPr="005734B8">
              <w:rPr>
                <w:rFonts w:ascii="Calibri" w:hAnsi="Calibri" w:cs="Calibri"/>
                <w:sz w:val="18"/>
              </w:rPr>
              <w:t>406.9</w:t>
            </w:r>
          </w:p>
        </w:tc>
        <w:tc>
          <w:tcPr>
            <w:tcW w:w="745" w:type="pct"/>
            <w:tcBorders>
              <w:top w:val="single" w:sz="4" w:space="0" w:color="53565A" w:themeColor="accent5"/>
              <w:bottom w:val="single" w:sz="4" w:space="0" w:color="53565A" w:themeColor="accent5"/>
            </w:tcBorders>
          </w:tcPr>
          <w:p w14:paraId="22A8F55C" w14:textId="05755889" w:rsidR="004504B3" w:rsidRPr="005734B8" w:rsidRDefault="004504B3" w:rsidP="004504B3">
            <w:pPr>
              <w:pStyle w:val="ESTablenumberrightaligned"/>
              <w:rPr>
                <w:rFonts w:ascii="Calibri" w:hAnsi="Calibri" w:cs="Calibri"/>
                <w:sz w:val="18"/>
              </w:rPr>
            </w:pPr>
            <w:r w:rsidRPr="005734B8">
              <w:rPr>
                <w:rFonts w:ascii="Calibri" w:hAnsi="Calibri" w:cs="Calibri"/>
                <w:sz w:val="18"/>
              </w:rPr>
              <w:t>–</w:t>
            </w:r>
          </w:p>
        </w:tc>
        <w:tc>
          <w:tcPr>
            <w:tcW w:w="803" w:type="pct"/>
            <w:tcBorders>
              <w:top w:val="single" w:sz="4" w:space="0" w:color="53565A" w:themeColor="accent5"/>
              <w:bottom w:val="single" w:sz="4" w:space="0" w:color="53565A" w:themeColor="accent5"/>
            </w:tcBorders>
          </w:tcPr>
          <w:p w14:paraId="46D99CEB" w14:textId="1E1634D1" w:rsidR="004504B3" w:rsidRPr="005734B8" w:rsidRDefault="004504B3" w:rsidP="004504B3">
            <w:pPr>
              <w:pStyle w:val="ESTablenumberrightaligned"/>
              <w:rPr>
                <w:rFonts w:ascii="Calibri" w:hAnsi="Calibri" w:cs="Calibri"/>
                <w:sz w:val="18"/>
              </w:rPr>
            </w:pPr>
            <w:r w:rsidRPr="005734B8">
              <w:rPr>
                <w:rFonts w:ascii="Calibri" w:hAnsi="Calibri" w:cs="Calibri"/>
                <w:sz w:val="18"/>
              </w:rPr>
              <w:t>(21.7)</w:t>
            </w:r>
          </w:p>
        </w:tc>
        <w:tc>
          <w:tcPr>
            <w:tcW w:w="636" w:type="pct"/>
            <w:tcBorders>
              <w:top w:val="single" w:sz="4" w:space="0" w:color="53565A" w:themeColor="accent5"/>
              <w:bottom w:val="single" w:sz="4" w:space="0" w:color="53565A" w:themeColor="accent5"/>
            </w:tcBorders>
          </w:tcPr>
          <w:p w14:paraId="2565BCB0" w14:textId="53CA5928" w:rsidR="004504B3" w:rsidRPr="005734B8" w:rsidRDefault="004504B3" w:rsidP="004504B3">
            <w:pPr>
              <w:pStyle w:val="ESTablenumberrightaligned"/>
              <w:rPr>
                <w:rFonts w:ascii="Calibri" w:hAnsi="Calibri" w:cs="Calibri"/>
                <w:sz w:val="18"/>
              </w:rPr>
            </w:pPr>
            <w:r w:rsidRPr="005734B8">
              <w:rPr>
                <w:rFonts w:ascii="Calibri" w:hAnsi="Calibri" w:cs="Calibri"/>
                <w:sz w:val="18"/>
              </w:rPr>
              <w:t>0.1</w:t>
            </w:r>
          </w:p>
        </w:tc>
        <w:tc>
          <w:tcPr>
            <w:tcW w:w="824" w:type="pct"/>
            <w:tcBorders>
              <w:top w:val="single" w:sz="4" w:space="0" w:color="53565A" w:themeColor="accent5"/>
              <w:bottom w:val="single" w:sz="4" w:space="0" w:color="53565A" w:themeColor="accent5"/>
            </w:tcBorders>
          </w:tcPr>
          <w:p w14:paraId="4B047332" w14:textId="530296E3"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385.2</w:t>
            </w:r>
          </w:p>
        </w:tc>
      </w:tr>
      <w:tr w:rsidR="004504B3" w:rsidRPr="005734B8" w14:paraId="13E722D6" w14:textId="77777777" w:rsidTr="004504B3">
        <w:trPr>
          <w:cantSplit/>
          <w:trHeight w:val="375"/>
        </w:trPr>
        <w:tc>
          <w:tcPr>
            <w:tcW w:w="882" w:type="pct"/>
            <w:tcBorders>
              <w:top w:val="single" w:sz="4" w:space="0" w:color="53565A" w:themeColor="accent5"/>
              <w:bottom w:val="single" w:sz="4" w:space="0" w:color="53565A" w:themeColor="accent5"/>
            </w:tcBorders>
            <w:shd w:val="clear" w:color="auto" w:fill="auto"/>
            <w:vAlign w:val="center"/>
          </w:tcPr>
          <w:p w14:paraId="7167EC3C" w14:textId="77777777" w:rsidR="004504B3" w:rsidRPr="005734B8" w:rsidRDefault="004504B3" w:rsidP="004504B3">
            <w:pPr>
              <w:pStyle w:val="ESTablebody"/>
              <w:rPr>
                <w:rFonts w:ascii="Calibri" w:hAnsi="Calibri" w:cs="Calibri"/>
                <w:sz w:val="18"/>
              </w:rPr>
            </w:pPr>
            <w:r w:rsidRPr="005734B8">
              <w:rPr>
                <w:rFonts w:ascii="Calibri" w:hAnsi="Calibri" w:cs="Calibri"/>
                <w:noProof/>
                <w:sz w:val="18"/>
                <w:lang w:val="en-AU"/>
              </w:rPr>
              <w:t>Transactions with owners in their capacity as owners</w:t>
            </w:r>
          </w:p>
        </w:tc>
        <w:tc>
          <w:tcPr>
            <w:tcW w:w="389" w:type="pct"/>
            <w:tcBorders>
              <w:top w:val="single" w:sz="4" w:space="0" w:color="53565A" w:themeColor="accent5"/>
              <w:bottom w:val="single" w:sz="4" w:space="0" w:color="53565A" w:themeColor="accent5"/>
            </w:tcBorders>
            <w:shd w:val="clear" w:color="auto" w:fill="auto"/>
            <w:vAlign w:val="center"/>
          </w:tcPr>
          <w:p w14:paraId="3ADE9E34" w14:textId="77777777" w:rsidR="004504B3" w:rsidRPr="005734B8" w:rsidRDefault="004504B3" w:rsidP="004504B3">
            <w:pPr>
              <w:pStyle w:val="ESTablenumberrightaligned"/>
              <w:rPr>
                <w:rFonts w:ascii="Calibri" w:hAnsi="Calibri" w:cs="Calibri"/>
                <w:sz w:val="18"/>
              </w:rPr>
            </w:pPr>
          </w:p>
        </w:tc>
        <w:tc>
          <w:tcPr>
            <w:tcW w:w="720" w:type="pct"/>
            <w:tcBorders>
              <w:top w:val="single" w:sz="4" w:space="0" w:color="53565A" w:themeColor="accent5"/>
              <w:bottom w:val="single" w:sz="4" w:space="0" w:color="53565A" w:themeColor="accent5"/>
            </w:tcBorders>
          </w:tcPr>
          <w:p w14:paraId="0967F3A8" w14:textId="64A348D4" w:rsidR="004504B3" w:rsidRPr="005734B8" w:rsidRDefault="004504B3" w:rsidP="004504B3">
            <w:pPr>
              <w:pStyle w:val="ESTablenumberrightaligned"/>
              <w:rPr>
                <w:rFonts w:ascii="Calibri" w:hAnsi="Calibri" w:cs="Calibri"/>
                <w:sz w:val="18"/>
              </w:rPr>
            </w:pPr>
            <w:r w:rsidRPr="005734B8">
              <w:rPr>
                <w:rFonts w:ascii="Calibri" w:hAnsi="Calibri" w:cs="Calibri"/>
                <w:sz w:val="18"/>
              </w:rPr>
              <w:t>–</w:t>
            </w:r>
          </w:p>
        </w:tc>
        <w:tc>
          <w:tcPr>
            <w:tcW w:w="745" w:type="pct"/>
            <w:tcBorders>
              <w:top w:val="single" w:sz="4" w:space="0" w:color="53565A" w:themeColor="accent5"/>
              <w:bottom w:val="single" w:sz="4" w:space="0" w:color="53565A" w:themeColor="accent5"/>
            </w:tcBorders>
          </w:tcPr>
          <w:p w14:paraId="73FB216F" w14:textId="0818BD67" w:rsidR="004504B3" w:rsidRPr="005734B8" w:rsidRDefault="004504B3" w:rsidP="004504B3">
            <w:pPr>
              <w:pStyle w:val="ESTablenumberrightaligned"/>
              <w:rPr>
                <w:rFonts w:ascii="Calibri" w:hAnsi="Calibri" w:cs="Calibri"/>
                <w:sz w:val="18"/>
              </w:rPr>
            </w:pPr>
            <w:r w:rsidRPr="005734B8">
              <w:rPr>
                <w:rFonts w:ascii="Calibri" w:hAnsi="Calibri" w:cs="Calibri"/>
                <w:sz w:val="18"/>
              </w:rPr>
              <w:t>1,250.3</w:t>
            </w:r>
          </w:p>
        </w:tc>
        <w:tc>
          <w:tcPr>
            <w:tcW w:w="803" w:type="pct"/>
            <w:tcBorders>
              <w:top w:val="single" w:sz="4" w:space="0" w:color="53565A" w:themeColor="accent5"/>
              <w:bottom w:val="single" w:sz="4" w:space="0" w:color="53565A" w:themeColor="accent5"/>
            </w:tcBorders>
          </w:tcPr>
          <w:p w14:paraId="043EA261" w14:textId="630D0766" w:rsidR="004504B3" w:rsidRPr="005734B8" w:rsidRDefault="004504B3" w:rsidP="004504B3">
            <w:pPr>
              <w:pStyle w:val="ESTablenumberrightaligned"/>
              <w:rPr>
                <w:rFonts w:ascii="Calibri" w:hAnsi="Calibri" w:cs="Calibri"/>
                <w:sz w:val="18"/>
              </w:rPr>
            </w:pPr>
            <w:r w:rsidRPr="005734B8">
              <w:rPr>
                <w:rFonts w:ascii="Calibri" w:hAnsi="Calibri" w:cs="Calibri"/>
                <w:sz w:val="18"/>
              </w:rPr>
              <w:t>–</w:t>
            </w:r>
          </w:p>
        </w:tc>
        <w:tc>
          <w:tcPr>
            <w:tcW w:w="636" w:type="pct"/>
            <w:tcBorders>
              <w:top w:val="single" w:sz="4" w:space="0" w:color="53565A" w:themeColor="accent5"/>
              <w:bottom w:val="single" w:sz="4" w:space="0" w:color="53565A" w:themeColor="accent5"/>
            </w:tcBorders>
          </w:tcPr>
          <w:p w14:paraId="71E80ADF" w14:textId="05E1CD84" w:rsidR="004504B3" w:rsidRPr="005734B8" w:rsidRDefault="004504B3" w:rsidP="004504B3">
            <w:pPr>
              <w:pStyle w:val="ESTablenumberrightaligned"/>
              <w:rPr>
                <w:rFonts w:ascii="Calibri" w:hAnsi="Calibri" w:cs="Calibri"/>
                <w:sz w:val="18"/>
              </w:rPr>
            </w:pPr>
            <w:r w:rsidRPr="005734B8">
              <w:rPr>
                <w:rFonts w:ascii="Calibri" w:hAnsi="Calibri" w:cs="Calibri"/>
                <w:sz w:val="18"/>
              </w:rPr>
              <w:t>–</w:t>
            </w:r>
          </w:p>
        </w:tc>
        <w:tc>
          <w:tcPr>
            <w:tcW w:w="824" w:type="pct"/>
            <w:tcBorders>
              <w:top w:val="single" w:sz="4" w:space="0" w:color="53565A" w:themeColor="accent5"/>
              <w:bottom w:val="single" w:sz="4" w:space="0" w:color="53565A" w:themeColor="accent5"/>
            </w:tcBorders>
          </w:tcPr>
          <w:p w14:paraId="6DF61095" w14:textId="1450AC2E"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1,250.3</w:t>
            </w:r>
          </w:p>
        </w:tc>
      </w:tr>
      <w:tr w:rsidR="004504B3" w:rsidRPr="005734B8" w14:paraId="496B0ED9" w14:textId="77777777" w:rsidTr="004504B3">
        <w:trPr>
          <w:cantSplit/>
          <w:trHeight w:val="388"/>
        </w:trPr>
        <w:tc>
          <w:tcPr>
            <w:tcW w:w="882" w:type="pct"/>
            <w:tcBorders>
              <w:top w:val="single" w:sz="18" w:space="0" w:color="53565A" w:themeColor="accent5"/>
              <w:bottom w:val="single" w:sz="18" w:space="0" w:color="53565A" w:themeColor="accent5"/>
            </w:tcBorders>
            <w:shd w:val="clear" w:color="auto" w:fill="auto"/>
            <w:vAlign w:val="center"/>
          </w:tcPr>
          <w:p w14:paraId="25302537" w14:textId="7038CE54" w:rsidR="004504B3" w:rsidRPr="005734B8" w:rsidRDefault="004504B3" w:rsidP="004504B3">
            <w:pPr>
              <w:pStyle w:val="ESTablebody"/>
              <w:rPr>
                <w:rFonts w:ascii="Calibri" w:hAnsi="Calibri" w:cs="Calibri"/>
                <w:b/>
                <w:sz w:val="18"/>
              </w:rPr>
            </w:pPr>
            <w:r w:rsidRPr="005734B8">
              <w:rPr>
                <w:rFonts w:ascii="Calibri" w:hAnsi="Calibri" w:cs="Calibri"/>
                <w:b/>
                <w:noProof/>
                <w:sz w:val="18"/>
                <w:lang w:val="en-AU"/>
              </w:rPr>
              <w:t>Closing balance 30 June 2021 (</w:t>
            </w:r>
            <w:r w:rsidR="007F305E" w:rsidRPr="005734B8">
              <w:rPr>
                <w:rFonts w:ascii="Calibri" w:hAnsi="Calibri" w:cs="Calibri"/>
                <w:b/>
                <w:noProof/>
                <w:sz w:val="18"/>
                <w:lang w:val="en-AU"/>
              </w:rPr>
              <w:t>p</w:t>
            </w:r>
            <w:r w:rsidRPr="005734B8">
              <w:rPr>
                <w:rFonts w:ascii="Calibri" w:hAnsi="Calibri" w:cs="Calibri"/>
                <w:b/>
                <w:noProof/>
                <w:sz w:val="18"/>
                <w:lang w:val="en-AU"/>
              </w:rPr>
              <w:t>ublished budget)</w:t>
            </w:r>
          </w:p>
        </w:tc>
        <w:tc>
          <w:tcPr>
            <w:tcW w:w="389" w:type="pct"/>
            <w:tcBorders>
              <w:top w:val="single" w:sz="18" w:space="0" w:color="53565A" w:themeColor="accent5"/>
              <w:bottom w:val="single" w:sz="18" w:space="0" w:color="53565A" w:themeColor="accent5"/>
            </w:tcBorders>
            <w:shd w:val="clear" w:color="auto" w:fill="auto"/>
            <w:vAlign w:val="center"/>
          </w:tcPr>
          <w:p w14:paraId="43106EAB" w14:textId="77777777" w:rsidR="004504B3" w:rsidRPr="005734B8" w:rsidRDefault="004504B3" w:rsidP="004504B3">
            <w:pPr>
              <w:pStyle w:val="ESTablenumberrightaligned"/>
              <w:rPr>
                <w:rFonts w:ascii="Calibri" w:hAnsi="Calibri" w:cs="Calibri"/>
                <w:b/>
                <w:sz w:val="18"/>
              </w:rPr>
            </w:pPr>
          </w:p>
        </w:tc>
        <w:tc>
          <w:tcPr>
            <w:tcW w:w="720" w:type="pct"/>
            <w:tcBorders>
              <w:top w:val="single" w:sz="18" w:space="0" w:color="53565A" w:themeColor="accent5"/>
              <w:bottom w:val="single" w:sz="18" w:space="0" w:color="53565A" w:themeColor="accent5"/>
            </w:tcBorders>
          </w:tcPr>
          <w:p w14:paraId="68727F18" w14:textId="4139AD09"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4,804.4</w:t>
            </w:r>
          </w:p>
        </w:tc>
        <w:tc>
          <w:tcPr>
            <w:tcW w:w="745" w:type="pct"/>
            <w:tcBorders>
              <w:top w:val="single" w:sz="18" w:space="0" w:color="53565A" w:themeColor="accent5"/>
              <w:bottom w:val="single" w:sz="18" w:space="0" w:color="53565A" w:themeColor="accent5"/>
            </w:tcBorders>
          </w:tcPr>
          <w:p w14:paraId="0B82A7EB" w14:textId="69405AAB"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12,072.4</w:t>
            </w:r>
          </w:p>
        </w:tc>
        <w:tc>
          <w:tcPr>
            <w:tcW w:w="803" w:type="pct"/>
            <w:tcBorders>
              <w:top w:val="single" w:sz="18" w:space="0" w:color="53565A" w:themeColor="accent5"/>
              <w:bottom w:val="single" w:sz="18" w:space="0" w:color="53565A" w:themeColor="accent5"/>
            </w:tcBorders>
          </w:tcPr>
          <w:p w14:paraId="2E70A0F0" w14:textId="7E13E041"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16,637.7</w:t>
            </w:r>
          </w:p>
        </w:tc>
        <w:tc>
          <w:tcPr>
            <w:tcW w:w="636" w:type="pct"/>
            <w:tcBorders>
              <w:top w:val="single" w:sz="18" w:space="0" w:color="53565A" w:themeColor="accent5"/>
              <w:bottom w:val="single" w:sz="18" w:space="0" w:color="53565A" w:themeColor="accent5"/>
            </w:tcBorders>
          </w:tcPr>
          <w:p w14:paraId="31DAE45D" w14:textId="1C3E2F43"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1.2</w:t>
            </w:r>
          </w:p>
        </w:tc>
        <w:tc>
          <w:tcPr>
            <w:tcW w:w="824" w:type="pct"/>
            <w:tcBorders>
              <w:top w:val="single" w:sz="18" w:space="0" w:color="53565A" w:themeColor="accent5"/>
              <w:bottom w:val="single" w:sz="18" w:space="0" w:color="53565A" w:themeColor="accent5"/>
            </w:tcBorders>
          </w:tcPr>
          <w:p w14:paraId="3577A112" w14:textId="7AD73E84"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30,515.7</w:t>
            </w:r>
          </w:p>
        </w:tc>
      </w:tr>
      <w:tr w:rsidR="004504B3" w:rsidRPr="005734B8" w14:paraId="4CC2738F" w14:textId="77777777" w:rsidTr="004504B3">
        <w:trPr>
          <w:cantSplit/>
          <w:trHeight w:val="35"/>
        </w:trPr>
        <w:tc>
          <w:tcPr>
            <w:tcW w:w="882" w:type="pct"/>
            <w:tcBorders>
              <w:top w:val="single" w:sz="18" w:space="0" w:color="53565A" w:themeColor="accent5"/>
              <w:bottom w:val="single" w:sz="4" w:space="0" w:color="53565A" w:themeColor="accent5"/>
              <w:right w:val="nil"/>
            </w:tcBorders>
            <w:shd w:val="clear" w:color="auto" w:fill="53565A" w:themeFill="accent5"/>
            <w:vAlign w:val="center"/>
          </w:tcPr>
          <w:p w14:paraId="2B257679" w14:textId="55680C06" w:rsidR="004504B3" w:rsidRPr="005734B8" w:rsidRDefault="004504B3" w:rsidP="004504B3">
            <w:pPr>
              <w:pStyle w:val="ESTableheading"/>
              <w:rPr>
                <w:rFonts w:ascii="Calibri" w:hAnsi="Calibri" w:cs="Calibri"/>
                <w:color w:val="auto"/>
                <w:sz w:val="18"/>
              </w:rPr>
            </w:pPr>
            <w:r w:rsidRPr="005734B8">
              <w:rPr>
                <w:rFonts w:ascii="Calibri" w:hAnsi="Calibri" w:cs="Calibri"/>
                <w:sz w:val="18"/>
                <w:lang w:val="en-AU"/>
              </w:rPr>
              <w:t>Variance to budget</w:t>
            </w:r>
          </w:p>
        </w:tc>
        <w:tc>
          <w:tcPr>
            <w:tcW w:w="389"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573EB90D" w14:textId="77777777" w:rsidR="004504B3" w:rsidRPr="005734B8" w:rsidRDefault="004504B3" w:rsidP="004504B3">
            <w:pPr>
              <w:pStyle w:val="ESTableheading"/>
              <w:jc w:val="right"/>
              <w:rPr>
                <w:rFonts w:ascii="Calibri" w:hAnsi="Calibri" w:cs="Calibri"/>
                <w:sz w:val="18"/>
              </w:rPr>
            </w:pPr>
          </w:p>
        </w:tc>
        <w:tc>
          <w:tcPr>
            <w:tcW w:w="720" w:type="pct"/>
            <w:tcBorders>
              <w:top w:val="single" w:sz="18" w:space="0" w:color="53565A" w:themeColor="accent5"/>
              <w:left w:val="nil"/>
              <w:bottom w:val="single" w:sz="4" w:space="0" w:color="53565A" w:themeColor="accent5"/>
              <w:right w:val="nil"/>
            </w:tcBorders>
            <w:shd w:val="clear" w:color="auto" w:fill="53565A" w:themeFill="accent5"/>
          </w:tcPr>
          <w:p w14:paraId="1C4E114D" w14:textId="77777777" w:rsidR="004504B3" w:rsidRPr="005734B8" w:rsidRDefault="004504B3" w:rsidP="004504B3">
            <w:pPr>
              <w:pStyle w:val="ESTableheading"/>
              <w:jc w:val="right"/>
              <w:rPr>
                <w:rFonts w:ascii="Calibri" w:hAnsi="Calibri" w:cs="Calibri"/>
                <w:sz w:val="18"/>
              </w:rPr>
            </w:pPr>
          </w:p>
        </w:tc>
        <w:tc>
          <w:tcPr>
            <w:tcW w:w="745" w:type="pct"/>
            <w:tcBorders>
              <w:top w:val="single" w:sz="18" w:space="0" w:color="53565A" w:themeColor="accent5"/>
              <w:left w:val="nil"/>
              <w:bottom w:val="single" w:sz="4" w:space="0" w:color="53565A" w:themeColor="accent5"/>
              <w:right w:val="nil"/>
            </w:tcBorders>
            <w:shd w:val="clear" w:color="auto" w:fill="53565A" w:themeFill="accent5"/>
          </w:tcPr>
          <w:p w14:paraId="79FA67D3" w14:textId="77777777" w:rsidR="004504B3" w:rsidRPr="005734B8" w:rsidRDefault="004504B3" w:rsidP="004504B3">
            <w:pPr>
              <w:pStyle w:val="ESTableheading"/>
              <w:jc w:val="right"/>
              <w:rPr>
                <w:rFonts w:ascii="Calibri" w:hAnsi="Calibri" w:cs="Calibri"/>
                <w:sz w:val="18"/>
              </w:rPr>
            </w:pPr>
          </w:p>
        </w:tc>
        <w:tc>
          <w:tcPr>
            <w:tcW w:w="803" w:type="pct"/>
            <w:tcBorders>
              <w:top w:val="single" w:sz="18" w:space="0" w:color="53565A" w:themeColor="accent5"/>
              <w:left w:val="nil"/>
              <w:bottom w:val="single" w:sz="4" w:space="0" w:color="53565A" w:themeColor="accent5"/>
              <w:right w:val="nil"/>
            </w:tcBorders>
            <w:shd w:val="clear" w:color="auto" w:fill="53565A" w:themeFill="accent5"/>
          </w:tcPr>
          <w:p w14:paraId="166DF3FA" w14:textId="77777777" w:rsidR="004504B3" w:rsidRPr="005734B8" w:rsidRDefault="004504B3" w:rsidP="004504B3">
            <w:pPr>
              <w:pStyle w:val="ESTableheading"/>
              <w:jc w:val="right"/>
              <w:rPr>
                <w:rFonts w:ascii="Calibri" w:hAnsi="Calibri" w:cs="Calibri"/>
                <w:sz w:val="18"/>
              </w:rPr>
            </w:pPr>
          </w:p>
        </w:tc>
        <w:tc>
          <w:tcPr>
            <w:tcW w:w="636" w:type="pct"/>
            <w:tcBorders>
              <w:top w:val="single" w:sz="18" w:space="0" w:color="53565A" w:themeColor="accent5"/>
              <w:left w:val="nil"/>
              <w:bottom w:val="single" w:sz="4" w:space="0" w:color="53565A" w:themeColor="accent5"/>
              <w:right w:val="nil"/>
            </w:tcBorders>
            <w:shd w:val="clear" w:color="auto" w:fill="53565A" w:themeFill="accent5"/>
          </w:tcPr>
          <w:p w14:paraId="13358E12" w14:textId="77777777" w:rsidR="004504B3" w:rsidRPr="005734B8" w:rsidRDefault="004504B3" w:rsidP="004504B3">
            <w:pPr>
              <w:pStyle w:val="ESTableheading"/>
              <w:jc w:val="right"/>
              <w:rPr>
                <w:rFonts w:ascii="Calibri" w:hAnsi="Calibri" w:cs="Calibri"/>
                <w:sz w:val="18"/>
              </w:rPr>
            </w:pPr>
          </w:p>
        </w:tc>
        <w:tc>
          <w:tcPr>
            <w:tcW w:w="824" w:type="pct"/>
            <w:tcBorders>
              <w:top w:val="single" w:sz="18" w:space="0" w:color="53565A" w:themeColor="accent5"/>
              <w:left w:val="nil"/>
              <w:bottom w:val="single" w:sz="4" w:space="0" w:color="53565A" w:themeColor="accent5"/>
            </w:tcBorders>
            <w:shd w:val="clear" w:color="auto" w:fill="53565A" w:themeFill="accent5"/>
          </w:tcPr>
          <w:p w14:paraId="089810A0" w14:textId="77777777" w:rsidR="004504B3" w:rsidRPr="005734B8" w:rsidRDefault="004504B3" w:rsidP="004504B3">
            <w:pPr>
              <w:pStyle w:val="ESTableheading"/>
              <w:jc w:val="right"/>
              <w:rPr>
                <w:rFonts w:ascii="Calibri" w:hAnsi="Calibri" w:cs="Calibri"/>
                <w:sz w:val="18"/>
              </w:rPr>
            </w:pPr>
          </w:p>
        </w:tc>
      </w:tr>
      <w:tr w:rsidR="004504B3" w:rsidRPr="005734B8" w14:paraId="5E3F695E" w14:textId="77777777" w:rsidTr="004504B3">
        <w:trPr>
          <w:cantSplit/>
          <w:trHeight w:val="313"/>
        </w:trPr>
        <w:tc>
          <w:tcPr>
            <w:tcW w:w="882" w:type="pct"/>
            <w:tcBorders>
              <w:top w:val="single" w:sz="4" w:space="0" w:color="53565A" w:themeColor="accent5"/>
              <w:bottom w:val="single" w:sz="4" w:space="0" w:color="53565A" w:themeColor="accent5"/>
            </w:tcBorders>
            <w:shd w:val="clear" w:color="auto" w:fill="auto"/>
            <w:vAlign w:val="center"/>
          </w:tcPr>
          <w:p w14:paraId="5AD81FF2" w14:textId="0D5A7853" w:rsidR="004504B3" w:rsidRPr="005734B8" w:rsidRDefault="004504B3" w:rsidP="004504B3">
            <w:pPr>
              <w:pStyle w:val="ESTablebody"/>
              <w:rPr>
                <w:rFonts w:ascii="Calibri" w:hAnsi="Calibri" w:cs="Calibri"/>
                <w:b/>
                <w:sz w:val="18"/>
              </w:rPr>
            </w:pPr>
            <w:r w:rsidRPr="005734B8">
              <w:rPr>
                <w:rFonts w:ascii="Calibri" w:hAnsi="Calibri" w:cs="Calibri"/>
                <w:b/>
                <w:sz w:val="18"/>
                <w:lang w:val="en-AU"/>
              </w:rPr>
              <w:t>Opening balance 1 July 2020</w:t>
            </w:r>
          </w:p>
        </w:tc>
        <w:tc>
          <w:tcPr>
            <w:tcW w:w="389" w:type="pct"/>
            <w:tcBorders>
              <w:top w:val="single" w:sz="4" w:space="0" w:color="53565A" w:themeColor="accent5"/>
              <w:bottom w:val="single" w:sz="4" w:space="0" w:color="53565A" w:themeColor="accent5"/>
            </w:tcBorders>
            <w:shd w:val="clear" w:color="auto" w:fill="auto"/>
            <w:vAlign w:val="center"/>
          </w:tcPr>
          <w:p w14:paraId="304E6F71" w14:textId="54B15593" w:rsidR="004504B3" w:rsidRPr="005734B8" w:rsidRDefault="004504B3" w:rsidP="004504B3">
            <w:pPr>
              <w:pStyle w:val="ESTablenumberrightaligned"/>
              <w:rPr>
                <w:rFonts w:ascii="Calibri" w:hAnsi="Calibri" w:cs="Calibri"/>
                <w:sz w:val="18"/>
              </w:rPr>
            </w:pPr>
          </w:p>
        </w:tc>
        <w:tc>
          <w:tcPr>
            <w:tcW w:w="720" w:type="pct"/>
            <w:tcBorders>
              <w:top w:val="single" w:sz="4" w:space="0" w:color="53565A" w:themeColor="accent5"/>
              <w:bottom w:val="single" w:sz="4" w:space="0" w:color="53565A" w:themeColor="accent5"/>
            </w:tcBorders>
          </w:tcPr>
          <w:p w14:paraId="4C160470" w14:textId="792D6150" w:rsidR="004504B3" w:rsidRPr="005734B8" w:rsidRDefault="004504B3" w:rsidP="004504B3">
            <w:pPr>
              <w:pStyle w:val="ESTablenumberrightaligned"/>
              <w:rPr>
                <w:rFonts w:ascii="Calibri" w:hAnsi="Calibri" w:cs="Calibri"/>
                <w:b/>
                <w:sz w:val="18"/>
              </w:rPr>
            </w:pPr>
            <w:r w:rsidRPr="005734B8">
              <w:rPr>
                <w:rFonts w:ascii="Calibri" w:hAnsi="Calibri" w:cs="Calibri"/>
                <w:sz w:val="18"/>
              </w:rPr>
              <w:t>–</w:t>
            </w:r>
          </w:p>
        </w:tc>
        <w:tc>
          <w:tcPr>
            <w:tcW w:w="745" w:type="pct"/>
            <w:tcBorders>
              <w:top w:val="single" w:sz="4" w:space="0" w:color="53565A" w:themeColor="accent5"/>
              <w:bottom w:val="single" w:sz="4" w:space="0" w:color="53565A" w:themeColor="accent5"/>
            </w:tcBorders>
          </w:tcPr>
          <w:p w14:paraId="03B513FC" w14:textId="2E448573" w:rsidR="004504B3" w:rsidRPr="005734B8" w:rsidRDefault="004504B3" w:rsidP="004504B3">
            <w:pPr>
              <w:pStyle w:val="ESTablenumberrightaligned"/>
              <w:rPr>
                <w:rFonts w:ascii="Calibri" w:hAnsi="Calibri" w:cs="Calibri"/>
                <w:b/>
                <w:sz w:val="18"/>
              </w:rPr>
            </w:pPr>
            <w:r w:rsidRPr="005734B8">
              <w:rPr>
                <w:rFonts w:ascii="Calibri" w:hAnsi="Calibri" w:cs="Calibri"/>
                <w:sz w:val="18"/>
              </w:rPr>
              <w:t>–</w:t>
            </w:r>
          </w:p>
        </w:tc>
        <w:tc>
          <w:tcPr>
            <w:tcW w:w="803" w:type="pct"/>
            <w:tcBorders>
              <w:top w:val="single" w:sz="4" w:space="0" w:color="53565A" w:themeColor="accent5"/>
              <w:bottom w:val="single" w:sz="4" w:space="0" w:color="53565A" w:themeColor="accent5"/>
            </w:tcBorders>
          </w:tcPr>
          <w:p w14:paraId="54CC4F1C" w14:textId="0F814058" w:rsidR="004504B3" w:rsidRPr="005734B8" w:rsidRDefault="004504B3" w:rsidP="004504B3">
            <w:pPr>
              <w:pStyle w:val="ESTablenumberrightaligned"/>
              <w:rPr>
                <w:rFonts w:ascii="Calibri" w:hAnsi="Calibri" w:cs="Calibri"/>
                <w:b/>
                <w:sz w:val="18"/>
              </w:rPr>
            </w:pPr>
            <w:r w:rsidRPr="005734B8">
              <w:rPr>
                <w:rFonts w:ascii="Calibri" w:hAnsi="Calibri" w:cs="Calibri"/>
                <w:sz w:val="18"/>
              </w:rPr>
              <w:t>–</w:t>
            </w:r>
          </w:p>
        </w:tc>
        <w:tc>
          <w:tcPr>
            <w:tcW w:w="636" w:type="pct"/>
            <w:tcBorders>
              <w:top w:val="single" w:sz="4" w:space="0" w:color="53565A" w:themeColor="accent5"/>
              <w:bottom w:val="single" w:sz="4" w:space="0" w:color="53565A" w:themeColor="accent5"/>
            </w:tcBorders>
          </w:tcPr>
          <w:p w14:paraId="3D03D796" w14:textId="23E9FE7A" w:rsidR="004504B3" w:rsidRPr="005734B8" w:rsidRDefault="004504B3" w:rsidP="004504B3">
            <w:pPr>
              <w:pStyle w:val="ESTablenumberrightaligned"/>
              <w:rPr>
                <w:rFonts w:ascii="Calibri" w:hAnsi="Calibri" w:cs="Calibri"/>
                <w:b/>
                <w:sz w:val="18"/>
              </w:rPr>
            </w:pPr>
            <w:r w:rsidRPr="005734B8">
              <w:rPr>
                <w:rFonts w:ascii="Calibri" w:hAnsi="Calibri" w:cs="Calibri"/>
                <w:sz w:val="18"/>
              </w:rPr>
              <w:t>–</w:t>
            </w:r>
          </w:p>
        </w:tc>
        <w:tc>
          <w:tcPr>
            <w:tcW w:w="824" w:type="pct"/>
            <w:tcBorders>
              <w:top w:val="single" w:sz="4" w:space="0" w:color="53565A" w:themeColor="accent5"/>
              <w:bottom w:val="single" w:sz="4" w:space="0" w:color="53565A" w:themeColor="accent5"/>
            </w:tcBorders>
          </w:tcPr>
          <w:p w14:paraId="57727D57" w14:textId="05B8EC18"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w:t>
            </w:r>
          </w:p>
        </w:tc>
      </w:tr>
      <w:tr w:rsidR="004504B3" w:rsidRPr="005734B8" w14:paraId="2BA1402D" w14:textId="77777777" w:rsidTr="004504B3">
        <w:trPr>
          <w:cantSplit/>
          <w:trHeight w:val="164"/>
        </w:trPr>
        <w:tc>
          <w:tcPr>
            <w:tcW w:w="882" w:type="pct"/>
            <w:tcBorders>
              <w:top w:val="single" w:sz="4" w:space="0" w:color="53565A" w:themeColor="accent5"/>
              <w:bottom w:val="single" w:sz="4" w:space="0" w:color="53565A" w:themeColor="accent5"/>
            </w:tcBorders>
            <w:shd w:val="clear" w:color="auto" w:fill="auto"/>
            <w:vAlign w:val="center"/>
          </w:tcPr>
          <w:p w14:paraId="41BA112B" w14:textId="77777777" w:rsidR="004504B3" w:rsidRPr="005734B8" w:rsidRDefault="004504B3" w:rsidP="004504B3">
            <w:pPr>
              <w:pStyle w:val="ESTablebody"/>
              <w:rPr>
                <w:rFonts w:ascii="Calibri" w:hAnsi="Calibri" w:cs="Calibri"/>
                <w:sz w:val="18"/>
              </w:rPr>
            </w:pPr>
            <w:r w:rsidRPr="005734B8">
              <w:rPr>
                <w:rFonts w:ascii="Calibri" w:hAnsi="Calibri" w:cs="Calibri"/>
                <w:noProof/>
                <w:sz w:val="18"/>
                <w:lang w:val="en-AU"/>
              </w:rPr>
              <w:t>Comprehensive result</w:t>
            </w:r>
          </w:p>
        </w:tc>
        <w:tc>
          <w:tcPr>
            <w:tcW w:w="389" w:type="pct"/>
            <w:tcBorders>
              <w:top w:val="single" w:sz="4" w:space="0" w:color="53565A" w:themeColor="accent5"/>
              <w:bottom w:val="single" w:sz="4" w:space="0" w:color="53565A" w:themeColor="accent5"/>
            </w:tcBorders>
            <w:shd w:val="clear" w:color="auto" w:fill="auto"/>
            <w:vAlign w:val="center"/>
          </w:tcPr>
          <w:p w14:paraId="1A31662E" w14:textId="00C07FF9" w:rsidR="004504B3" w:rsidRPr="005734B8" w:rsidRDefault="004504B3" w:rsidP="004504B3">
            <w:pPr>
              <w:pStyle w:val="ESTablenumberrightaligned"/>
              <w:rPr>
                <w:rFonts w:ascii="Calibri" w:hAnsi="Calibri" w:cs="Calibri"/>
                <w:sz w:val="18"/>
              </w:rPr>
            </w:pPr>
            <w:r w:rsidRPr="005734B8">
              <w:rPr>
                <w:rFonts w:ascii="Calibri" w:hAnsi="Calibri" w:cs="Calibri"/>
                <w:sz w:val="18"/>
              </w:rPr>
              <w:t>a</w:t>
            </w:r>
          </w:p>
        </w:tc>
        <w:tc>
          <w:tcPr>
            <w:tcW w:w="720" w:type="pct"/>
            <w:tcBorders>
              <w:top w:val="single" w:sz="4" w:space="0" w:color="53565A" w:themeColor="accent5"/>
              <w:bottom w:val="single" w:sz="4" w:space="0" w:color="53565A" w:themeColor="accent5"/>
            </w:tcBorders>
          </w:tcPr>
          <w:p w14:paraId="7429B817" w14:textId="5FBA04BA" w:rsidR="004504B3" w:rsidRPr="005734B8" w:rsidRDefault="004504B3" w:rsidP="004504B3">
            <w:pPr>
              <w:pStyle w:val="ESTablenumberrightaligned"/>
              <w:rPr>
                <w:rFonts w:ascii="Calibri" w:hAnsi="Calibri" w:cs="Calibri"/>
                <w:sz w:val="18"/>
              </w:rPr>
            </w:pPr>
            <w:r w:rsidRPr="005734B8">
              <w:rPr>
                <w:rFonts w:ascii="Calibri" w:hAnsi="Calibri" w:cs="Calibri"/>
                <w:sz w:val="18"/>
              </w:rPr>
              <w:t>270.1</w:t>
            </w:r>
          </w:p>
        </w:tc>
        <w:tc>
          <w:tcPr>
            <w:tcW w:w="745" w:type="pct"/>
            <w:tcBorders>
              <w:top w:val="single" w:sz="4" w:space="0" w:color="53565A" w:themeColor="accent5"/>
              <w:bottom w:val="single" w:sz="4" w:space="0" w:color="53565A" w:themeColor="accent5"/>
            </w:tcBorders>
          </w:tcPr>
          <w:p w14:paraId="7F885232" w14:textId="7B14EE59" w:rsidR="004504B3" w:rsidRPr="005734B8" w:rsidRDefault="004504B3" w:rsidP="004504B3">
            <w:pPr>
              <w:pStyle w:val="ESTablenumberrightaligned"/>
              <w:rPr>
                <w:rFonts w:ascii="Calibri" w:hAnsi="Calibri" w:cs="Calibri"/>
                <w:sz w:val="18"/>
              </w:rPr>
            </w:pPr>
            <w:r w:rsidRPr="005734B8">
              <w:rPr>
                <w:rFonts w:ascii="Calibri" w:hAnsi="Calibri" w:cs="Calibri"/>
                <w:sz w:val="18"/>
              </w:rPr>
              <w:t>–</w:t>
            </w:r>
          </w:p>
        </w:tc>
        <w:tc>
          <w:tcPr>
            <w:tcW w:w="803" w:type="pct"/>
            <w:tcBorders>
              <w:top w:val="single" w:sz="4" w:space="0" w:color="53565A" w:themeColor="accent5"/>
              <w:bottom w:val="single" w:sz="4" w:space="0" w:color="53565A" w:themeColor="accent5"/>
            </w:tcBorders>
          </w:tcPr>
          <w:p w14:paraId="2BC65482" w14:textId="518F9BEC" w:rsidR="004504B3" w:rsidRPr="005734B8" w:rsidRDefault="004504B3" w:rsidP="004504B3">
            <w:pPr>
              <w:pStyle w:val="ESTablenumberrightaligned"/>
              <w:rPr>
                <w:rFonts w:ascii="Calibri" w:hAnsi="Calibri" w:cs="Calibri"/>
                <w:sz w:val="18"/>
              </w:rPr>
            </w:pPr>
            <w:r w:rsidRPr="005734B8">
              <w:rPr>
                <w:rFonts w:ascii="Calibri" w:hAnsi="Calibri" w:cs="Calibri"/>
                <w:sz w:val="18"/>
              </w:rPr>
              <w:t>2,852.2</w:t>
            </w:r>
          </w:p>
        </w:tc>
        <w:tc>
          <w:tcPr>
            <w:tcW w:w="636" w:type="pct"/>
            <w:tcBorders>
              <w:top w:val="single" w:sz="4" w:space="0" w:color="53565A" w:themeColor="accent5"/>
              <w:bottom w:val="single" w:sz="4" w:space="0" w:color="53565A" w:themeColor="accent5"/>
            </w:tcBorders>
          </w:tcPr>
          <w:p w14:paraId="72A4BAF1" w14:textId="5AC68721" w:rsidR="004504B3" w:rsidRPr="005734B8" w:rsidRDefault="004504B3" w:rsidP="004504B3">
            <w:pPr>
              <w:pStyle w:val="ESTablenumberrightaligned"/>
              <w:rPr>
                <w:rFonts w:ascii="Calibri" w:hAnsi="Calibri" w:cs="Calibri"/>
                <w:sz w:val="18"/>
              </w:rPr>
            </w:pPr>
            <w:r w:rsidRPr="005734B8">
              <w:rPr>
                <w:rFonts w:ascii="Calibri" w:hAnsi="Calibri" w:cs="Calibri"/>
                <w:sz w:val="18"/>
              </w:rPr>
              <w:t>(0.1)</w:t>
            </w:r>
          </w:p>
        </w:tc>
        <w:tc>
          <w:tcPr>
            <w:tcW w:w="824" w:type="pct"/>
            <w:tcBorders>
              <w:top w:val="single" w:sz="4" w:space="0" w:color="53565A" w:themeColor="accent5"/>
              <w:bottom w:val="single" w:sz="4" w:space="0" w:color="53565A" w:themeColor="accent5"/>
            </w:tcBorders>
          </w:tcPr>
          <w:p w14:paraId="34A4A6D6" w14:textId="27EE168E"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3,122.2</w:t>
            </w:r>
          </w:p>
        </w:tc>
      </w:tr>
      <w:tr w:rsidR="004504B3" w:rsidRPr="005734B8" w14:paraId="56C1C858" w14:textId="77777777" w:rsidTr="004504B3">
        <w:trPr>
          <w:cantSplit/>
          <w:trHeight w:val="155"/>
        </w:trPr>
        <w:tc>
          <w:tcPr>
            <w:tcW w:w="882" w:type="pct"/>
            <w:tcBorders>
              <w:top w:val="single" w:sz="4" w:space="0" w:color="53565A" w:themeColor="accent5"/>
              <w:bottom w:val="single" w:sz="4" w:space="0" w:color="53565A" w:themeColor="accent5"/>
            </w:tcBorders>
            <w:shd w:val="clear" w:color="auto" w:fill="auto"/>
            <w:vAlign w:val="center"/>
          </w:tcPr>
          <w:p w14:paraId="6427CF6B" w14:textId="77777777" w:rsidR="004504B3" w:rsidRPr="005734B8" w:rsidRDefault="004504B3" w:rsidP="004504B3">
            <w:pPr>
              <w:pStyle w:val="ESTablebody"/>
              <w:rPr>
                <w:rFonts w:ascii="Calibri" w:hAnsi="Calibri" w:cs="Calibri"/>
                <w:noProof/>
                <w:sz w:val="18"/>
                <w:lang w:val="en-AU"/>
              </w:rPr>
            </w:pPr>
            <w:r w:rsidRPr="005734B8">
              <w:rPr>
                <w:rFonts w:ascii="Calibri" w:hAnsi="Calibri" w:cs="Calibri"/>
                <w:noProof/>
                <w:sz w:val="18"/>
                <w:lang w:val="en-AU"/>
              </w:rPr>
              <w:t>Transactions with owners in their capacity as owners</w:t>
            </w:r>
          </w:p>
        </w:tc>
        <w:tc>
          <w:tcPr>
            <w:tcW w:w="389" w:type="pct"/>
            <w:tcBorders>
              <w:top w:val="single" w:sz="4" w:space="0" w:color="53565A" w:themeColor="accent5"/>
              <w:bottom w:val="single" w:sz="4" w:space="0" w:color="53565A" w:themeColor="accent5"/>
            </w:tcBorders>
            <w:shd w:val="clear" w:color="auto" w:fill="auto"/>
            <w:vAlign w:val="center"/>
          </w:tcPr>
          <w:p w14:paraId="664D2A3D" w14:textId="0FC64C58" w:rsidR="004504B3" w:rsidRPr="005734B8" w:rsidRDefault="004504B3" w:rsidP="004504B3">
            <w:pPr>
              <w:pStyle w:val="ESTablenumberrightaligned"/>
              <w:rPr>
                <w:rFonts w:ascii="Calibri" w:hAnsi="Calibri" w:cs="Calibri"/>
                <w:sz w:val="18"/>
              </w:rPr>
            </w:pPr>
            <w:r w:rsidRPr="005734B8">
              <w:rPr>
                <w:rFonts w:ascii="Calibri" w:hAnsi="Calibri" w:cs="Calibri"/>
                <w:sz w:val="18"/>
              </w:rPr>
              <w:t>b</w:t>
            </w:r>
          </w:p>
        </w:tc>
        <w:tc>
          <w:tcPr>
            <w:tcW w:w="720" w:type="pct"/>
            <w:tcBorders>
              <w:top w:val="single" w:sz="4" w:space="0" w:color="53565A" w:themeColor="accent5"/>
              <w:bottom w:val="single" w:sz="4" w:space="0" w:color="53565A" w:themeColor="accent5"/>
            </w:tcBorders>
          </w:tcPr>
          <w:p w14:paraId="395A555B" w14:textId="72F69783" w:rsidR="004504B3" w:rsidRPr="005734B8" w:rsidRDefault="004504B3" w:rsidP="004504B3">
            <w:pPr>
              <w:pStyle w:val="ESTablenumberrightaligned"/>
              <w:rPr>
                <w:rFonts w:ascii="Calibri" w:hAnsi="Calibri" w:cs="Calibri"/>
                <w:sz w:val="18"/>
              </w:rPr>
            </w:pPr>
            <w:r w:rsidRPr="005734B8">
              <w:rPr>
                <w:rFonts w:ascii="Calibri" w:hAnsi="Calibri" w:cs="Calibri"/>
                <w:sz w:val="18"/>
              </w:rPr>
              <w:t>–</w:t>
            </w:r>
          </w:p>
        </w:tc>
        <w:tc>
          <w:tcPr>
            <w:tcW w:w="745" w:type="pct"/>
            <w:tcBorders>
              <w:top w:val="single" w:sz="4" w:space="0" w:color="53565A" w:themeColor="accent5"/>
              <w:bottom w:val="single" w:sz="4" w:space="0" w:color="53565A" w:themeColor="accent5"/>
            </w:tcBorders>
          </w:tcPr>
          <w:p w14:paraId="59894CD0" w14:textId="0CF677DF" w:rsidR="004504B3" w:rsidRPr="005734B8" w:rsidRDefault="004504B3" w:rsidP="004504B3">
            <w:pPr>
              <w:pStyle w:val="ESTablenumberrightaligned"/>
              <w:rPr>
                <w:rFonts w:ascii="Calibri" w:hAnsi="Calibri" w:cs="Calibri"/>
                <w:sz w:val="18"/>
              </w:rPr>
            </w:pPr>
            <w:r w:rsidRPr="005734B8">
              <w:rPr>
                <w:rFonts w:ascii="Calibri" w:hAnsi="Calibri" w:cs="Calibri"/>
                <w:sz w:val="18"/>
              </w:rPr>
              <w:t>(384.4)</w:t>
            </w:r>
          </w:p>
        </w:tc>
        <w:tc>
          <w:tcPr>
            <w:tcW w:w="803" w:type="pct"/>
            <w:tcBorders>
              <w:top w:val="single" w:sz="4" w:space="0" w:color="53565A" w:themeColor="accent5"/>
              <w:bottom w:val="single" w:sz="4" w:space="0" w:color="53565A" w:themeColor="accent5"/>
            </w:tcBorders>
          </w:tcPr>
          <w:p w14:paraId="0354AFB8" w14:textId="2FDE27CF" w:rsidR="004504B3" w:rsidRPr="005734B8" w:rsidRDefault="004504B3" w:rsidP="004504B3">
            <w:pPr>
              <w:pStyle w:val="ESTablenumberrightaligned"/>
              <w:rPr>
                <w:rFonts w:ascii="Calibri" w:hAnsi="Calibri" w:cs="Calibri"/>
                <w:sz w:val="18"/>
              </w:rPr>
            </w:pPr>
            <w:r w:rsidRPr="005734B8">
              <w:rPr>
                <w:rFonts w:ascii="Calibri" w:hAnsi="Calibri" w:cs="Calibri"/>
                <w:sz w:val="18"/>
              </w:rPr>
              <w:t>–</w:t>
            </w:r>
          </w:p>
        </w:tc>
        <w:tc>
          <w:tcPr>
            <w:tcW w:w="636" w:type="pct"/>
            <w:tcBorders>
              <w:top w:val="single" w:sz="4" w:space="0" w:color="53565A" w:themeColor="accent5"/>
              <w:bottom w:val="single" w:sz="4" w:space="0" w:color="53565A" w:themeColor="accent5"/>
            </w:tcBorders>
          </w:tcPr>
          <w:p w14:paraId="62E5C563" w14:textId="30E67250" w:rsidR="004504B3" w:rsidRPr="005734B8" w:rsidRDefault="004504B3" w:rsidP="004504B3">
            <w:pPr>
              <w:pStyle w:val="ESTablenumberrightaligned"/>
              <w:rPr>
                <w:rFonts w:ascii="Calibri" w:hAnsi="Calibri" w:cs="Calibri"/>
                <w:sz w:val="18"/>
              </w:rPr>
            </w:pPr>
            <w:r w:rsidRPr="005734B8">
              <w:rPr>
                <w:rFonts w:ascii="Calibri" w:hAnsi="Calibri" w:cs="Calibri"/>
                <w:sz w:val="18"/>
              </w:rPr>
              <w:t>–</w:t>
            </w:r>
          </w:p>
        </w:tc>
        <w:tc>
          <w:tcPr>
            <w:tcW w:w="824" w:type="pct"/>
            <w:tcBorders>
              <w:top w:val="single" w:sz="4" w:space="0" w:color="53565A" w:themeColor="accent5"/>
              <w:bottom w:val="single" w:sz="4" w:space="0" w:color="53565A" w:themeColor="accent5"/>
            </w:tcBorders>
          </w:tcPr>
          <w:p w14:paraId="23D252DE" w14:textId="57DE8DA2"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(384.4)</w:t>
            </w:r>
          </w:p>
        </w:tc>
      </w:tr>
      <w:tr w:rsidR="004504B3" w:rsidRPr="005734B8" w14:paraId="4387FC2D" w14:textId="77777777" w:rsidTr="004504B3">
        <w:trPr>
          <w:cantSplit/>
          <w:trHeight w:val="98"/>
        </w:trPr>
        <w:tc>
          <w:tcPr>
            <w:tcW w:w="882" w:type="pct"/>
            <w:tcBorders>
              <w:top w:val="single" w:sz="18" w:space="0" w:color="53565A" w:themeColor="accent5"/>
              <w:bottom w:val="single" w:sz="18" w:space="0" w:color="53565A" w:themeColor="accent5"/>
            </w:tcBorders>
            <w:shd w:val="clear" w:color="auto" w:fill="auto"/>
            <w:vAlign w:val="center"/>
          </w:tcPr>
          <w:p w14:paraId="632FAC90" w14:textId="7E57F2CD" w:rsidR="004504B3" w:rsidRPr="005734B8" w:rsidRDefault="004504B3" w:rsidP="004504B3">
            <w:pPr>
              <w:pStyle w:val="ESTablebody"/>
              <w:rPr>
                <w:rFonts w:ascii="Calibri" w:hAnsi="Calibri" w:cs="Calibri"/>
                <w:b/>
                <w:sz w:val="18"/>
              </w:rPr>
            </w:pPr>
            <w:r w:rsidRPr="005734B8">
              <w:rPr>
                <w:rFonts w:ascii="Calibri" w:hAnsi="Calibri" w:cs="Calibri"/>
                <w:b/>
                <w:noProof/>
                <w:sz w:val="18"/>
                <w:lang w:val="en-AU"/>
              </w:rPr>
              <w:t>Closing balance 30 June 2021</w:t>
            </w:r>
          </w:p>
        </w:tc>
        <w:tc>
          <w:tcPr>
            <w:tcW w:w="389" w:type="pct"/>
            <w:tcBorders>
              <w:top w:val="single" w:sz="18" w:space="0" w:color="53565A" w:themeColor="accent5"/>
              <w:bottom w:val="single" w:sz="18" w:space="0" w:color="53565A" w:themeColor="accent5"/>
            </w:tcBorders>
            <w:shd w:val="clear" w:color="auto" w:fill="auto"/>
            <w:vAlign w:val="center"/>
          </w:tcPr>
          <w:p w14:paraId="36FBECED" w14:textId="77777777" w:rsidR="004504B3" w:rsidRPr="005734B8" w:rsidRDefault="004504B3" w:rsidP="004504B3">
            <w:pPr>
              <w:pStyle w:val="ESTablenumberrightaligned"/>
              <w:rPr>
                <w:rFonts w:ascii="Calibri" w:hAnsi="Calibri" w:cs="Calibri"/>
                <w:b/>
                <w:sz w:val="18"/>
              </w:rPr>
            </w:pPr>
          </w:p>
        </w:tc>
        <w:tc>
          <w:tcPr>
            <w:tcW w:w="720" w:type="pct"/>
            <w:tcBorders>
              <w:top w:val="single" w:sz="18" w:space="0" w:color="53565A" w:themeColor="accent5"/>
              <w:bottom w:val="single" w:sz="18" w:space="0" w:color="53565A" w:themeColor="accent5"/>
            </w:tcBorders>
          </w:tcPr>
          <w:p w14:paraId="79BD070D" w14:textId="622E40F6"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270.1</w:t>
            </w:r>
          </w:p>
        </w:tc>
        <w:tc>
          <w:tcPr>
            <w:tcW w:w="745" w:type="pct"/>
            <w:tcBorders>
              <w:top w:val="single" w:sz="18" w:space="0" w:color="53565A" w:themeColor="accent5"/>
              <w:bottom w:val="single" w:sz="18" w:space="0" w:color="53565A" w:themeColor="accent5"/>
            </w:tcBorders>
          </w:tcPr>
          <w:p w14:paraId="63C47E73" w14:textId="5A76AB8F"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(384.4)</w:t>
            </w:r>
          </w:p>
        </w:tc>
        <w:tc>
          <w:tcPr>
            <w:tcW w:w="803" w:type="pct"/>
            <w:tcBorders>
              <w:top w:val="single" w:sz="18" w:space="0" w:color="53565A" w:themeColor="accent5"/>
              <w:bottom w:val="single" w:sz="18" w:space="0" w:color="53565A" w:themeColor="accent5"/>
            </w:tcBorders>
          </w:tcPr>
          <w:p w14:paraId="0433DE05" w14:textId="49CCF46E"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2,852.2</w:t>
            </w:r>
          </w:p>
        </w:tc>
        <w:tc>
          <w:tcPr>
            <w:tcW w:w="636" w:type="pct"/>
            <w:tcBorders>
              <w:top w:val="single" w:sz="18" w:space="0" w:color="53565A" w:themeColor="accent5"/>
              <w:bottom w:val="single" w:sz="18" w:space="0" w:color="53565A" w:themeColor="accent5"/>
            </w:tcBorders>
          </w:tcPr>
          <w:p w14:paraId="54D909EE" w14:textId="1B30D9CA"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(0.1)</w:t>
            </w:r>
          </w:p>
        </w:tc>
        <w:tc>
          <w:tcPr>
            <w:tcW w:w="824" w:type="pct"/>
            <w:tcBorders>
              <w:top w:val="single" w:sz="18" w:space="0" w:color="53565A" w:themeColor="accent5"/>
              <w:bottom w:val="single" w:sz="18" w:space="0" w:color="53565A" w:themeColor="accent5"/>
            </w:tcBorders>
          </w:tcPr>
          <w:p w14:paraId="255EDE6F" w14:textId="2BD5BAD6"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2,737.8</w:t>
            </w:r>
          </w:p>
        </w:tc>
      </w:tr>
      <w:tr w:rsidR="004504B3" w:rsidRPr="005734B8" w14:paraId="7A1A9556" w14:textId="77777777" w:rsidTr="004504B3">
        <w:trPr>
          <w:cantSplit/>
          <w:trHeight w:val="204"/>
        </w:trPr>
        <w:tc>
          <w:tcPr>
            <w:tcW w:w="882" w:type="pct"/>
            <w:tcBorders>
              <w:top w:val="single" w:sz="18" w:space="0" w:color="53565A" w:themeColor="accent5"/>
              <w:bottom w:val="single" w:sz="18" w:space="0" w:color="53565A" w:themeColor="accent5"/>
            </w:tcBorders>
            <w:shd w:val="clear" w:color="auto" w:fill="auto"/>
            <w:vAlign w:val="center"/>
          </w:tcPr>
          <w:p w14:paraId="52E2187F" w14:textId="77777777" w:rsidR="004504B3" w:rsidRPr="005734B8" w:rsidRDefault="004504B3" w:rsidP="004504B3">
            <w:pPr>
              <w:pStyle w:val="ESTablebody"/>
              <w:rPr>
                <w:rFonts w:ascii="Calibri" w:hAnsi="Calibri" w:cs="Calibri"/>
                <w:b/>
                <w:noProof/>
                <w:sz w:val="18"/>
                <w:lang w:val="en-AU"/>
              </w:rPr>
            </w:pPr>
            <w:r w:rsidRPr="005734B8">
              <w:rPr>
                <w:rFonts w:ascii="Calibri" w:hAnsi="Calibri" w:cs="Calibri"/>
                <w:b/>
                <w:noProof/>
                <w:sz w:val="18"/>
                <w:lang w:val="en-AU"/>
              </w:rPr>
              <w:t>Variance (%)</w:t>
            </w:r>
          </w:p>
        </w:tc>
        <w:tc>
          <w:tcPr>
            <w:tcW w:w="389" w:type="pct"/>
            <w:tcBorders>
              <w:top w:val="single" w:sz="18" w:space="0" w:color="53565A" w:themeColor="accent5"/>
              <w:bottom w:val="single" w:sz="18" w:space="0" w:color="53565A" w:themeColor="accent5"/>
            </w:tcBorders>
            <w:shd w:val="clear" w:color="auto" w:fill="auto"/>
            <w:vAlign w:val="center"/>
          </w:tcPr>
          <w:p w14:paraId="46D2AB49" w14:textId="77777777" w:rsidR="004504B3" w:rsidRPr="005734B8" w:rsidRDefault="004504B3" w:rsidP="004504B3">
            <w:pPr>
              <w:pStyle w:val="ESTablenumberrightaligned"/>
              <w:rPr>
                <w:rFonts w:ascii="Calibri" w:hAnsi="Calibri" w:cs="Calibri"/>
                <w:b/>
                <w:sz w:val="18"/>
              </w:rPr>
            </w:pPr>
          </w:p>
        </w:tc>
        <w:tc>
          <w:tcPr>
            <w:tcW w:w="720" w:type="pct"/>
            <w:tcBorders>
              <w:top w:val="single" w:sz="18" w:space="0" w:color="53565A" w:themeColor="accent5"/>
              <w:bottom w:val="single" w:sz="18" w:space="0" w:color="53565A" w:themeColor="accent5"/>
            </w:tcBorders>
          </w:tcPr>
          <w:p w14:paraId="1B01DF9F" w14:textId="217AC811"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6</w:t>
            </w:r>
          </w:p>
        </w:tc>
        <w:tc>
          <w:tcPr>
            <w:tcW w:w="745" w:type="pct"/>
            <w:tcBorders>
              <w:top w:val="single" w:sz="18" w:space="0" w:color="53565A" w:themeColor="accent5"/>
              <w:bottom w:val="single" w:sz="18" w:space="0" w:color="53565A" w:themeColor="accent5"/>
            </w:tcBorders>
          </w:tcPr>
          <w:p w14:paraId="31EC90E8" w14:textId="5ABF7BD6"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(3)</w:t>
            </w:r>
          </w:p>
        </w:tc>
        <w:tc>
          <w:tcPr>
            <w:tcW w:w="803" w:type="pct"/>
            <w:tcBorders>
              <w:top w:val="single" w:sz="18" w:space="0" w:color="53565A" w:themeColor="accent5"/>
              <w:bottom w:val="single" w:sz="18" w:space="0" w:color="53565A" w:themeColor="accent5"/>
            </w:tcBorders>
          </w:tcPr>
          <w:p w14:paraId="5B7FEC52" w14:textId="0CD865A0"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21</w:t>
            </w:r>
          </w:p>
        </w:tc>
        <w:tc>
          <w:tcPr>
            <w:tcW w:w="636" w:type="pct"/>
            <w:tcBorders>
              <w:top w:val="single" w:sz="18" w:space="0" w:color="53565A" w:themeColor="accent5"/>
              <w:bottom w:val="single" w:sz="18" w:space="0" w:color="53565A" w:themeColor="accent5"/>
            </w:tcBorders>
          </w:tcPr>
          <w:p w14:paraId="5599F009" w14:textId="1E68F6ED"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(10)</w:t>
            </w:r>
          </w:p>
        </w:tc>
        <w:tc>
          <w:tcPr>
            <w:tcW w:w="824" w:type="pct"/>
            <w:tcBorders>
              <w:top w:val="single" w:sz="18" w:space="0" w:color="53565A" w:themeColor="accent5"/>
              <w:bottom w:val="single" w:sz="18" w:space="0" w:color="53565A" w:themeColor="accent5"/>
            </w:tcBorders>
          </w:tcPr>
          <w:p w14:paraId="0D9A78D7" w14:textId="1072850E" w:rsidR="004504B3" w:rsidRPr="005734B8" w:rsidRDefault="004504B3" w:rsidP="004504B3">
            <w:pPr>
              <w:pStyle w:val="ESTablenumberrightaligned"/>
              <w:rPr>
                <w:rFonts w:ascii="Calibri" w:hAnsi="Calibri" w:cs="Calibri"/>
                <w:b/>
                <w:sz w:val="18"/>
              </w:rPr>
            </w:pPr>
            <w:r w:rsidRPr="005734B8">
              <w:rPr>
                <w:rFonts w:ascii="Calibri" w:hAnsi="Calibri" w:cs="Calibri"/>
                <w:b/>
                <w:bCs/>
                <w:sz w:val="18"/>
              </w:rPr>
              <w:t>9</w:t>
            </w:r>
          </w:p>
        </w:tc>
      </w:tr>
    </w:tbl>
    <w:p w14:paraId="531F659F" w14:textId="24EF96B3" w:rsidR="00FC3DEB" w:rsidRPr="005734B8" w:rsidRDefault="00FC3DEB" w:rsidP="000C5D48">
      <w:pPr>
        <w:rPr>
          <w:rFonts w:ascii="Calibri" w:hAnsi="Calibri" w:cs="Calibri"/>
        </w:rPr>
      </w:pPr>
      <w:r w:rsidRPr="005734B8">
        <w:rPr>
          <w:rFonts w:ascii="Calibri" w:hAnsi="Calibri" w:cs="Calibri"/>
        </w:rPr>
        <w:lastRenderedPageBreak/>
        <w:t>Notes:</w:t>
      </w:r>
    </w:p>
    <w:p w14:paraId="770AC9E3" w14:textId="7B13E367" w:rsidR="004504B3" w:rsidRPr="005734B8" w:rsidRDefault="004504B3" w:rsidP="00670895">
      <w:pPr>
        <w:pStyle w:val="ListParagraph"/>
        <w:numPr>
          <w:ilvl w:val="0"/>
          <w:numId w:val="69"/>
        </w:numPr>
        <w:rPr>
          <w:rFonts w:ascii="Calibri" w:hAnsi="Calibri" w:cs="Calibri"/>
        </w:rPr>
      </w:pPr>
      <w:r w:rsidRPr="005734B8">
        <w:rPr>
          <w:rFonts w:ascii="Calibri" w:hAnsi="Calibri" w:cs="Calibri"/>
        </w:rPr>
        <w:t>The variance in revaluation surplus above the published budget reflects an upward land revaluation of 25 per cent for the 2020–21 managerial revaluation of land assets under Financial Reporting Direction 103I for the revaluation surplus. The variance in accumulated surplus above the published budget reflects the accumulated net results of operating balances and other economic flows. The variance in accumulated surplus below the published budgets reflects the accumulated net results of operating balances and other economic flows.</w:t>
      </w:r>
    </w:p>
    <w:p w14:paraId="65E34A9E" w14:textId="4E5055F0" w:rsidR="00F365BC" w:rsidRPr="005734B8" w:rsidRDefault="004504B3" w:rsidP="00670895">
      <w:pPr>
        <w:pStyle w:val="ListParagraph"/>
        <w:numPr>
          <w:ilvl w:val="0"/>
          <w:numId w:val="69"/>
        </w:numPr>
        <w:rPr>
          <w:rFonts w:ascii="Calibri" w:hAnsi="Calibri" w:cs="Calibri"/>
        </w:rPr>
      </w:pPr>
      <w:r w:rsidRPr="005734B8">
        <w:rPr>
          <w:rFonts w:ascii="Calibri" w:hAnsi="Calibri" w:cs="Calibri"/>
        </w:rPr>
        <w:t>The variance below the published budget mainly reflects lower than budget capital appropriation claimed</w:t>
      </w:r>
      <w:r w:rsidR="007F305E" w:rsidRPr="005734B8">
        <w:rPr>
          <w:rFonts w:ascii="Calibri" w:hAnsi="Calibri" w:cs="Calibri"/>
        </w:rPr>
        <w:t>,</w:t>
      </w:r>
      <w:r w:rsidRPr="005734B8">
        <w:rPr>
          <w:rFonts w:ascii="Calibri" w:hAnsi="Calibri" w:cs="Calibri"/>
        </w:rPr>
        <w:t xml:space="preserve"> primarily due to revised implementation of capital programs into future years</w:t>
      </w:r>
      <w:r w:rsidR="00F365BC" w:rsidRPr="005734B8">
        <w:rPr>
          <w:rFonts w:ascii="Calibri" w:hAnsi="Calibri" w:cs="Calibri"/>
        </w:rPr>
        <w:t>.</w:t>
      </w:r>
    </w:p>
    <w:p w14:paraId="248D8596" w14:textId="77777777" w:rsidR="00010EE1" w:rsidRPr="005734B8" w:rsidRDefault="00010EE1">
      <w:pPr>
        <w:rPr>
          <w:rFonts w:ascii="Calibri" w:eastAsiaTheme="minorEastAsia" w:hAnsi="Calibri" w:cs="Calibri"/>
          <w:b/>
          <w:color w:val="AF272F" w:themeColor="accent4"/>
          <w:sz w:val="20"/>
          <w:szCs w:val="18"/>
          <w:lang w:val="en-US"/>
        </w:rPr>
      </w:pPr>
      <w:bookmarkStart w:id="2076" w:name="_Toc8899530"/>
      <w:bookmarkStart w:id="2077" w:name="_Toc10724200"/>
      <w:bookmarkStart w:id="2078" w:name="_Toc10724324"/>
      <w:bookmarkStart w:id="2079" w:name="_Toc11158327"/>
      <w:bookmarkStart w:id="2080" w:name="_Toc11336513"/>
      <w:bookmarkStart w:id="2081" w:name="_Toc11336613"/>
      <w:bookmarkStart w:id="2082" w:name="_Toc13647217"/>
      <w:bookmarkStart w:id="2083" w:name="_Toc13656749"/>
      <w:bookmarkStart w:id="2084" w:name="_Toc13656911"/>
      <w:r w:rsidRPr="005734B8">
        <w:rPr>
          <w:rFonts w:ascii="Calibri" w:hAnsi="Calibri" w:cs="Calibri"/>
        </w:rPr>
        <w:br w:type="page"/>
      </w:r>
    </w:p>
    <w:p w14:paraId="5ABBFB43" w14:textId="266E7441" w:rsidR="00ED74EC" w:rsidRPr="005734B8" w:rsidRDefault="00ED74EC" w:rsidP="003350DE">
      <w:pPr>
        <w:pStyle w:val="ESTableintroheading"/>
        <w:rPr>
          <w:rFonts w:ascii="Calibri" w:hAnsi="Calibri" w:cs="Calibri"/>
        </w:rPr>
      </w:pPr>
      <w:r w:rsidRPr="005734B8">
        <w:rPr>
          <w:rFonts w:ascii="Calibri" w:hAnsi="Calibri" w:cs="Calibri"/>
        </w:rPr>
        <w:lastRenderedPageBreak/>
        <w:t>Administered items statement for the year ending 30 June 20</w:t>
      </w:r>
      <w:r w:rsidR="00F365BC" w:rsidRPr="005734B8">
        <w:rPr>
          <w:rFonts w:ascii="Calibri" w:hAnsi="Calibri" w:cs="Calibri"/>
        </w:rPr>
        <w:t>2</w:t>
      </w:r>
      <w:bookmarkEnd w:id="2076"/>
      <w:bookmarkEnd w:id="2077"/>
      <w:bookmarkEnd w:id="2078"/>
      <w:bookmarkEnd w:id="2079"/>
      <w:bookmarkEnd w:id="2080"/>
      <w:bookmarkEnd w:id="2081"/>
      <w:bookmarkEnd w:id="2082"/>
      <w:bookmarkEnd w:id="2083"/>
      <w:bookmarkEnd w:id="2084"/>
      <w:r w:rsidR="004504B3" w:rsidRPr="005734B8">
        <w:rPr>
          <w:rFonts w:ascii="Calibri" w:hAnsi="Calibri" w:cs="Calibri"/>
        </w:rPr>
        <w:t>1</w:t>
      </w:r>
    </w:p>
    <w:tbl>
      <w:tblPr>
        <w:tblStyle w:val="TableGrid"/>
        <w:tblW w:w="4698"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31"/>
        <w:gridCol w:w="851"/>
        <w:gridCol w:w="1173"/>
        <w:gridCol w:w="1076"/>
        <w:gridCol w:w="1026"/>
        <w:gridCol w:w="1418"/>
      </w:tblGrid>
      <w:tr w:rsidR="00ED74EC" w:rsidRPr="005734B8" w14:paraId="1FDEEE27" w14:textId="44636E11" w:rsidTr="00363AAE">
        <w:trPr>
          <w:cantSplit/>
          <w:trHeight w:val="242"/>
          <w:tblHeader/>
        </w:trPr>
        <w:tc>
          <w:tcPr>
            <w:tcW w:w="2431" w:type="dxa"/>
            <w:tcBorders>
              <w:bottom w:val="single" w:sz="4" w:space="0" w:color="FFFFFF" w:themeColor="background1"/>
            </w:tcBorders>
            <w:shd w:val="clear" w:color="auto" w:fill="AF272F" w:themeFill="accent4"/>
          </w:tcPr>
          <w:p w14:paraId="24938CD5" w14:textId="77777777" w:rsidR="00ED74EC" w:rsidRPr="005734B8" w:rsidRDefault="00ED74EC" w:rsidP="00ED74EC">
            <w:pPr>
              <w:pStyle w:val="ESTableheadingwhite"/>
              <w:rPr>
                <w:rFonts w:ascii="Calibri" w:hAnsi="Calibri" w:cs="Calibri"/>
                <w:sz w:val="18"/>
              </w:rPr>
            </w:pPr>
          </w:p>
        </w:tc>
        <w:tc>
          <w:tcPr>
            <w:tcW w:w="851" w:type="dxa"/>
            <w:tcBorders>
              <w:bottom w:val="single" w:sz="4" w:space="0" w:color="FFFFFF" w:themeColor="background1"/>
            </w:tcBorders>
            <w:shd w:val="clear" w:color="auto" w:fill="AF272F" w:themeFill="accent4"/>
          </w:tcPr>
          <w:p w14:paraId="4B8E8425" w14:textId="53832AE8" w:rsidR="00ED74EC" w:rsidRPr="005734B8" w:rsidRDefault="00ED74EC" w:rsidP="00ED74EC">
            <w:pPr>
              <w:pStyle w:val="ESTableheadingwhite"/>
              <w:jc w:val="right"/>
              <w:rPr>
                <w:rFonts w:ascii="Calibri" w:hAnsi="Calibri" w:cs="Calibri"/>
                <w:sz w:val="18"/>
              </w:rPr>
            </w:pPr>
            <w:r w:rsidRPr="005734B8">
              <w:rPr>
                <w:rFonts w:ascii="Calibri" w:hAnsi="Calibri" w:cs="Calibri"/>
                <w:sz w:val="18"/>
              </w:rPr>
              <w:t>Notes</w:t>
            </w:r>
          </w:p>
        </w:tc>
        <w:tc>
          <w:tcPr>
            <w:tcW w:w="1173" w:type="dxa"/>
            <w:tcBorders>
              <w:bottom w:val="single" w:sz="4" w:space="0" w:color="FFFFFF" w:themeColor="background1"/>
            </w:tcBorders>
            <w:shd w:val="clear" w:color="auto" w:fill="AF272F" w:themeFill="accent4"/>
          </w:tcPr>
          <w:p w14:paraId="4BD84B09" w14:textId="0DE6E7AC" w:rsidR="00997DAA" w:rsidRPr="005734B8" w:rsidRDefault="00F365BC" w:rsidP="00FA1A4A">
            <w:pPr>
              <w:pStyle w:val="ESTableheadingwhite"/>
              <w:spacing w:before="0" w:after="0"/>
              <w:jc w:val="right"/>
              <w:rPr>
                <w:rFonts w:ascii="Calibri" w:hAnsi="Calibri" w:cs="Calibri"/>
                <w:sz w:val="18"/>
              </w:rPr>
            </w:pPr>
            <w:r w:rsidRPr="005734B8">
              <w:rPr>
                <w:rFonts w:ascii="Calibri" w:hAnsi="Calibri" w:cs="Calibri"/>
                <w:sz w:val="18"/>
              </w:rPr>
              <w:t>20</w:t>
            </w:r>
            <w:r w:rsidR="00242C48" w:rsidRPr="005734B8">
              <w:rPr>
                <w:rFonts w:ascii="Calibri" w:hAnsi="Calibri" w:cs="Calibri"/>
                <w:sz w:val="18"/>
              </w:rPr>
              <w:t>2</w:t>
            </w:r>
            <w:r w:rsidR="004504B3" w:rsidRPr="005734B8">
              <w:rPr>
                <w:rFonts w:ascii="Calibri" w:hAnsi="Calibri" w:cs="Calibri"/>
                <w:sz w:val="18"/>
              </w:rPr>
              <w:t>1</w:t>
            </w:r>
          </w:p>
          <w:p w14:paraId="01830E57" w14:textId="79566A2C" w:rsidR="00FA1A4A" w:rsidRPr="005734B8" w:rsidRDefault="0015616B" w:rsidP="00FA1A4A">
            <w:pPr>
              <w:pStyle w:val="ESTableheadingwhite"/>
              <w:spacing w:before="0" w:after="0"/>
              <w:jc w:val="right"/>
              <w:rPr>
                <w:rFonts w:ascii="Calibri" w:hAnsi="Calibri" w:cs="Calibri"/>
                <w:sz w:val="18"/>
              </w:rPr>
            </w:pPr>
            <w:r w:rsidRPr="005734B8">
              <w:rPr>
                <w:rFonts w:ascii="Calibri" w:hAnsi="Calibri" w:cs="Calibri"/>
                <w:sz w:val="18"/>
              </w:rPr>
              <w:t>a</w:t>
            </w:r>
            <w:r w:rsidR="00997DAA" w:rsidRPr="005734B8">
              <w:rPr>
                <w:rFonts w:ascii="Calibri" w:hAnsi="Calibri" w:cs="Calibri"/>
                <w:sz w:val="18"/>
              </w:rPr>
              <w:t>ctual</w:t>
            </w:r>
            <w:r w:rsidR="00ED74EC" w:rsidRPr="005734B8">
              <w:rPr>
                <w:rFonts w:ascii="Calibri" w:hAnsi="Calibri" w:cs="Calibri"/>
                <w:sz w:val="18"/>
              </w:rPr>
              <w:t xml:space="preserve"> </w:t>
            </w:r>
          </w:p>
          <w:p w14:paraId="35706532" w14:textId="20373899" w:rsidR="00ED74EC" w:rsidRPr="005734B8" w:rsidRDefault="00ED74EC" w:rsidP="00FA1A4A">
            <w:pPr>
              <w:pStyle w:val="ESTableheadingwhite"/>
              <w:spacing w:before="0" w:after="0"/>
              <w:jc w:val="right"/>
              <w:rPr>
                <w:rFonts w:ascii="Calibri" w:hAnsi="Calibri" w:cs="Calibri"/>
                <w:sz w:val="18"/>
              </w:rPr>
            </w:pPr>
            <w:r w:rsidRPr="005734B8">
              <w:rPr>
                <w:rFonts w:ascii="Calibri" w:hAnsi="Calibri" w:cs="Calibri"/>
                <w:sz w:val="18"/>
              </w:rPr>
              <w:t>($m)</w:t>
            </w:r>
          </w:p>
        </w:tc>
        <w:tc>
          <w:tcPr>
            <w:tcW w:w="1076" w:type="dxa"/>
            <w:tcBorders>
              <w:bottom w:val="single" w:sz="4" w:space="0" w:color="FFFFFF" w:themeColor="background1"/>
            </w:tcBorders>
            <w:shd w:val="clear" w:color="auto" w:fill="AF272F" w:themeFill="accent4"/>
          </w:tcPr>
          <w:p w14:paraId="69514118" w14:textId="77777777" w:rsidR="00FA1A4A" w:rsidRPr="005734B8" w:rsidRDefault="00FA1A4A" w:rsidP="00FA1A4A">
            <w:pPr>
              <w:pStyle w:val="ESTableheadingwhite"/>
              <w:spacing w:before="0" w:after="0"/>
              <w:jc w:val="right"/>
              <w:rPr>
                <w:rFonts w:ascii="Calibri" w:hAnsi="Calibri" w:cs="Calibri"/>
                <w:sz w:val="18"/>
              </w:rPr>
            </w:pPr>
            <w:r w:rsidRPr="005734B8">
              <w:rPr>
                <w:rFonts w:ascii="Calibri" w:hAnsi="Calibri" w:cs="Calibri"/>
                <w:sz w:val="18"/>
              </w:rPr>
              <w:t>Published</w:t>
            </w:r>
          </w:p>
          <w:p w14:paraId="0F9961C0" w14:textId="41A97654" w:rsidR="00FA1A4A" w:rsidRPr="005734B8" w:rsidRDefault="0015616B" w:rsidP="00FA1A4A">
            <w:pPr>
              <w:pStyle w:val="ESTableheadingwhite"/>
              <w:spacing w:before="0" w:after="0"/>
              <w:jc w:val="right"/>
              <w:rPr>
                <w:rFonts w:ascii="Calibri" w:hAnsi="Calibri" w:cs="Calibri"/>
                <w:sz w:val="18"/>
              </w:rPr>
            </w:pPr>
            <w:r w:rsidRPr="005734B8">
              <w:rPr>
                <w:rFonts w:ascii="Calibri" w:hAnsi="Calibri" w:cs="Calibri"/>
                <w:sz w:val="18"/>
              </w:rPr>
              <w:t>b</w:t>
            </w:r>
            <w:r w:rsidR="00997DAA" w:rsidRPr="005734B8">
              <w:rPr>
                <w:rFonts w:ascii="Calibri" w:hAnsi="Calibri" w:cs="Calibri"/>
                <w:sz w:val="18"/>
              </w:rPr>
              <w:t>udget</w:t>
            </w:r>
            <w:r w:rsidR="00ED74EC" w:rsidRPr="005734B8">
              <w:rPr>
                <w:rFonts w:ascii="Calibri" w:hAnsi="Calibri" w:cs="Calibri"/>
                <w:sz w:val="18"/>
              </w:rPr>
              <w:t xml:space="preserve"> </w:t>
            </w:r>
          </w:p>
          <w:p w14:paraId="33E6FC44" w14:textId="29CBEEEA" w:rsidR="00ED74EC" w:rsidRPr="005734B8" w:rsidRDefault="00ED74EC" w:rsidP="00FA1A4A">
            <w:pPr>
              <w:pStyle w:val="ESTableheadingwhite"/>
              <w:spacing w:before="0" w:after="0"/>
              <w:jc w:val="right"/>
              <w:rPr>
                <w:rFonts w:ascii="Calibri" w:hAnsi="Calibri" w:cs="Calibri"/>
                <w:sz w:val="18"/>
              </w:rPr>
            </w:pPr>
            <w:r w:rsidRPr="005734B8">
              <w:rPr>
                <w:rFonts w:ascii="Calibri" w:hAnsi="Calibri" w:cs="Calibri"/>
                <w:sz w:val="18"/>
              </w:rPr>
              <w:t>($m)</w:t>
            </w:r>
          </w:p>
        </w:tc>
        <w:tc>
          <w:tcPr>
            <w:tcW w:w="1026" w:type="dxa"/>
            <w:tcBorders>
              <w:bottom w:val="single" w:sz="4" w:space="0" w:color="FFFFFF" w:themeColor="background1"/>
            </w:tcBorders>
            <w:shd w:val="clear" w:color="auto" w:fill="AF272F" w:themeFill="accent4"/>
          </w:tcPr>
          <w:p w14:paraId="52A2CAF0" w14:textId="77777777" w:rsidR="00FA1A4A" w:rsidRPr="005734B8" w:rsidRDefault="00ED74EC" w:rsidP="00FA1A4A">
            <w:pPr>
              <w:pStyle w:val="ESTableheadingwhite"/>
              <w:spacing w:before="0" w:after="0"/>
              <w:jc w:val="right"/>
              <w:rPr>
                <w:rFonts w:ascii="Calibri" w:hAnsi="Calibri" w:cs="Calibri"/>
                <w:sz w:val="18"/>
              </w:rPr>
            </w:pPr>
            <w:r w:rsidRPr="005734B8">
              <w:rPr>
                <w:rFonts w:ascii="Calibri" w:hAnsi="Calibri" w:cs="Calibri"/>
                <w:sz w:val="18"/>
              </w:rPr>
              <w:t>Variation</w:t>
            </w:r>
          </w:p>
          <w:p w14:paraId="3F689305" w14:textId="18C4D818" w:rsidR="00ED74EC" w:rsidRPr="005734B8" w:rsidRDefault="00ED74EC" w:rsidP="00FA1A4A">
            <w:pPr>
              <w:pStyle w:val="ESTableheadingwhite"/>
              <w:spacing w:before="0" w:after="0"/>
              <w:jc w:val="right"/>
              <w:rPr>
                <w:rFonts w:ascii="Calibri" w:hAnsi="Calibri" w:cs="Calibri"/>
                <w:sz w:val="18"/>
              </w:rPr>
            </w:pPr>
            <w:r w:rsidRPr="005734B8">
              <w:rPr>
                <w:rFonts w:ascii="Calibri" w:hAnsi="Calibri" w:cs="Calibri"/>
                <w:sz w:val="18"/>
              </w:rPr>
              <w:t>(%)</w:t>
            </w:r>
          </w:p>
        </w:tc>
        <w:tc>
          <w:tcPr>
            <w:tcW w:w="1418" w:type="dxa"/>
            <w:tcBorders>
              <w:bottom w:val="single" w:sz="4" w:space="0" w:color="FFFFFF" w:themeColor="background1"/>
            </w:tcBorders>
            <w:shd w:val="clear" w:color="auto" w:fill="AF272F" w:themeFill="accent4"/>
          </w:tcPr>
          <w:p w14:paraId="441DC5E8" w14:textId="33B32275" w:rsidR="00FA1A4A" w:rsidRPr="005734B8" w:rsidRDefault="00ED74EC" w:rsidP="00FA1A4A">
            <w:pPr>
              <w:pStyle w:val="ESTableheadingwhite"/>
              <w:spacing w:before="0" w:after="0"/>
              <w:jc w:val="right"/>
              <w:rPr>
                <w:rFonts w:ascii="Calibri" w:hAnsi="Calibri" w:cs="Calibri"/>
                <w:sz w:val="18"/>
                <w:vertAlign w:val="superscript"/>
              </w:rPr>
            </w:pPr>
            <w:r w:rsidRPr="005734B8">
              <w:rPr>
                <w:rFonts w:ascii="Calibri" w:hAnsi="Calibri" w:cs="Calibri"/>
                <w:sz w:val="18"/>
              </w:rPr>
              <w:t>Variation</w:t>
            </w:r>
          </w:p>
          <w:p w14:paraId="29DD0A3F" w14:textId="1AFF02DE" w:rsidR="00ED74EC" w:rsidRPr="005734B8" w:rsidRDefault="00ED74EC" w:rsidP="00FA1A4A">
            <w:pPr>
              <w:pStyle w:val="ESTableheadingwhite"/>
              <w:spacing w:before="0" w:after="0"/>
              <w:jc w:val="right"/>
              <w:rPr>
                <w:rFonts w:ascii="Calibri" w:hAnsi="Calibri" w:cs="Calibri"/>
                <w:sz w:val="18"/>
              </w:rPr>
            </w:pPr>
            <w:r w:rsidRPr="005734B8">
              <w:rPr>
                <w:rFonts w:ascii="Calibri" w:hAnsi="Calibri" w:cs="Calibri"/>
                <w:sz w:val="18"/>
              </w:rPr>
              <w:t>($m)</w:t>
            </w:r>
          </w:p>
        </w:tc>
      </w:tr>
      <w:tr w:rsidR="00ED74EC" w:rsidRPr="005734B8" w14:paraId="7B70D433" w14:textId="01CFC71D" w:rsidTr="00363AAE">
        <w:trPr>
          <w:cantSplit/>
        </w:trPr>
        <w:tc>
          <w:tcPr>
            <w:tcW w:w="2431" w:type="dxa"/>
            <w:tcBorders>
              <w:bottom w:val="single" w:sz="4" w:space="0" w:color="53565A" w:themeColor="accent5"/>
              <w:right w:val="nil"/>
            </w:tcBorders>
            <w:shd w:val="clear" w:color="auto" w:fill="53565A" w:themeFill="accent5"/>
            <w:vAlign w:val="center"/>
          </w:tcPr>
          <w:p w14:paraId="46630AC9" w14:textId="77777777" w:rsidR="00ED74EC" w:rsidRPr="005734B8" w:rsidRDefault="00ED74EC" w:rsidP="00ED74EC">
            <w:pPr>
              <w:pStyle w:val="ESTableheading"/>
              <w:rPr>
                <w:rFonts w:ascii="Calibri" w:hAnsi="Calibri" w:cs="Calibri"/>
                <w:sz w:val="18"/>
              </w:rPr>
            </w:pPr>
          </w:p>
        </w:tc>
        <w:tc>
          <w:tcPr>
            <w:tcW w:w="851" w:type="dxa"/>
            <w:tcBorders>
              <w:left w:val="nil"/>
              <w:bottom w:val="single" w:sz="4" w:space="0" w:color="53565A" w:themeColor="accent5"/>
              <w:right w:val="nil"/>
            </w:tcBorders>
            <w:shd w:val="clear" w:color="auto" w:fill="53565A" w:themeFill="accent5"/>
          </w:tcPr>
          <w:p w14:paraId="60A198D5" w14:textId="77777777" w:rsidR="00ED74EC" w:rsidRPr="005734B8" w:rsidRDefault="00ED74EC" w:rsidP="00ED74EC">
            <w:pPr>
              <w:pStyle w:val="ESTablenumberrightaligned"/>
              <w:rPr>
                <w:rFonts w:ascii="Calibri" w:hAnsi="Calibri" w:cs="Calibri"/>
                <w:sz w:val="18"/>
              </w:rPr>
            </w:pPr>
          </w:p>
        </w:tc>
        <w:tc>
          <w:tcPr>
            <w:tcW w:w="1173" w:type="dxa"/>
            <w:tcBorders>
              <w:left w:val="nil"/>
              <w:bottom w:val="single" w:sz="4" w:space="0" w:color="53565A" w:themeColor="accent5"/>
              <w:right w:val="nil"/>
            </w:tcBorders>
            <w:shd w:val="clear" w:color="auto" w:fill="53565A" w:themeFill="accent5"/>
          </w:tcPr>
          <w:p w14:paraId="32711F16" w14:textId="77777777" w:rsidR="00ED74EC" w:rsidRPr="005734B8" w:rsidRDefault="00ED74EC" w:rsidP="00ED74EC">
            <w:pPr>
              <w:pStyle w:val="ESTablenumberrightaligned"/>
              <w:rPr>
                <w:rFonts w:ascii="Calibri" w:hAnsi="Calibri" w:cs="Calibri"/>
                <w:sz w:val="18"/>
              </w:rPr>
            </w:pPr>
          </w:p>
        </w:tc>
        <w:tc>
          <w:tcPr>
            <w:tcW w:w="1076" w:type="dxa"/>
            <w:tcBorders>
              <w:left w:val="nil"/>
              <w:bottom w:val="single" w:sz="4" w:space="0" w:color="53565A" w:themeColor="accent5"/>
              <w:right w:val="nil"/>
            </w:tcBorders>
            <w:shd w:val="clear" w:color="auto" w:fill="53565A" w:themeFill="accent5"/>
          </w:tcPr>
          <w:p w14:paraId="38C26490" w14:textId="77777777" w:rsidR="00ED74EC" w:rsidRPr="005734B8" w:rsidRDefault="00ED74EC" w:rsidP="00ED74EC">
            <w:pPr>
              <w:pStyle w:val="ESTablenumberrightaligned"/>
              <w:rPr>
                <w:rFonts w:ascii="Calibri" w:hAnsi="Calibri" w:cs="Calibri"/>
                <w:sz w:val="18"/>
              </w:rPr>
            </w:pPr>
          </w:p>
        </w:tc>
        <w:tc>
          <w:tcPr>
            <w:tcW w:w="1026" w:type="dxa"/>
            <w:tcBorders>
              <w:left w:val="nil"/>
              <w:bottom w:val="single" w:sz="4" w:space="0" w:color="53565A" w:themeColor="accent5"/>
              <w:right w:val="nil"/>
            </w:tcBorders>
            <w:shd w:val="clear" w:color="auto" w:fill="53565A" w:themeFill="accent5"/>
          </w:tcPr>
          <w:p w14:paraId="1498AC6D" w14:textId="77777777" w:rsidR="00ED74EC" w:rsidRPr="005734B8" w:rsidRDefault="00ED74EC" w:rsidP="00ED74EC">
            <w:pPr>
              <w:pStyle w:val="ESTablenumberrightaligned"/>
              <w:rPr>
                <w:rFonts w:ascii="Calibri" w:hAnsi="Calibri" w:cs="Calibri"/>
                <w:sz w:val="18"/>
              </w:rPr>
            </w:pPr>
          </w:p>
        </w:tc>
        <w:tc>
          <w:tcPr>
            <w:tcW w:w="1418" w:type="dxa"/>
            <w:tcBorders>
              <w:left w:val="nil"/>
              <w:bottom w:val="single" w:sz="4" w:space="0" w:color="53565A" w:themeColor="accent5"/>
              <w:right w:val="nil"/>
            </w:tcBorders>
            <w:shd w:val="clear" w:color="auto" w:fill="53565A" w:themeFill="accent5"/>
          </w:tcPr>
          <w:p w14:paraId="401B8958" w14:textId="77777777" w:rsidR="00ED74EC" w:rsidRPr="005734B8" w:rsidRDefault="00ED74EC" w:rsidP="00ED74EC">
            <w:pPr>
              <w:pStyle w:val="ESTablenumberrightaligned"/>
              <w:rPr>
                <w:rFonts w:ascii="Calibri" w:hAnsi="Calibri" w:cs="Calibri"/>
                <w:sz w:val="18"/>
              </w:rPr>
            </w:pPr>
          </w:p>
        </w:tc>
      </w:tr>
      <w:tr w:rsidR="000042FF" w:rsidRPr="005734B8" w14:paraId="73FE978D" w14:textId="56878FDD" w:rsidTr="00363AAE">
        <w:trPr>
          <w:cantSplit/>
        </w:trPr>
        <w:tc>
          <w:tcPr>
            <w:tcW w:w="2431" w:type="dxa"/>
            <w:tcBorders>
              <w:top w:val="single" w:sz="4" w:space="0" w:color="53565A" w:themeColor="accent5"/>
              <w:bottom w:val="single" w:sz="4" w:space="0" w:color="53565A" w:themeColor="accent5"/>
              <w:right w:val="nil"/>
            </w:tcBorders>
            <w:shd w:val="clear" w:color="auto" w:fill="D9D9D6" w:themeFill="accent6"/>
            <w:vAlign w:val="center"/>
          </w:tcPr>
          <w:p w14:paraId="3289A390" w14:textId="77777777" w:rsidR="000042FF" w:rsidRPr="005734B8" w:rsidRDefault="000042FF" w:rsidP="000042FF">
            <w:pPr>
              <w:pStyle w:val="ESTablebody"/>
              <w:rPr>
                <w:rFonts w:ascii="Calibri" w:hAnsi="Calibri" w:cs="Calibri"/>
                <w:b/>
                <w:sz w:val="18"/>
              </w:rPr>
            </w:pPr>
            <w:r w:rsidRPr="005734B8">
              <w:rPr>
                <w:rFonts w:ascii="Calibri" w:hAnsi="Calibri" w:cs="Calibri"/>
                <w:b/>
                <w:sz w:val="18"/>
                <w:lang w:val="en-AU"/>
              </w:rPr>
              <w:t>Administered income</w:t>
            </w:r>
          </w:p>
        </w:tc>
        <w:tc>
          <w:tcPr>
            <w:tcW w:w="851" w:type="dxa"/>
            <w:tcBorders>
              <w:top w:val="single" w:sz="4" w:space="0" w:color="53565A" w:themeColor="accent5"/>
              <w:left w:val="nil"/>
              <w:bottom w:val="single" w:sz="4" w:space="0" w:color="53565A" w:themeColor="accent5"/>
              <w:right w:val="nil"/>
            </w:tcBorders>
            <w:shd w:val="clear" w:color="auto" w:fill="D9D9D6" w:themeFill="accent6"/>
            <w:vAlign w:val="center"/>
          </w:tcPr>
          <w:p w14:paraId="655488AD" w14:textId="77777777" w:rsidR="000042FF" w:rsidRPr="005734B8" w:rsidRDefault="000042FF" w:rsidP="000042FF">
            <w:pPr>
              <w:pStyle w:val="ESTablenumberrightaligned"/>
              <w:rPr>
                <w:rFonts w:ascii="Calibri" w:hAnsi="Calibri" w:cs="Calibri"/>
                <w:sz w:val="18"/>
              </w:rPr>
            </w:pPr>
          </w:p>
        </w:tc>
        <w:tc>
          <w:tcPr>
            <w:tcW w:w="1173" w:type="dxa"/>
            <w:tcBorders>
              <w:top w:val="single" w:sz="4" w:space="0" w:color="53565A" w:themeColor="accent5"/>
              <w:left w:val="nil"/>
              <w:bottom w:val="single" w:sz="4" w:space="0" w:color="53565A" w:themeColor="accent5"/>
              <w:right w:val="nil"/>
            </w:tcBorders>
            <w:shd w:val="clear" w:color="auto" w:fill="D9D9D6" w:themeFill="accent6"/>
            <w:vAlign w:val="center"/>
          </w:tcPr>
          <w:p w14:paraId="770C4BFB" w14:textId="77777777" w:rsidR="000042FF" w:rsidRPr="005734B8" w:rsidRDefault="000042FF" w:rsidP="000042FF">
            <w:pPr>
              <w:pStyle w:val="ESTablenumberrightaligned"/>
              <w:rPr>
                <w:rFonts w:ascii="Calibri" w:hAnsi="Calibri" w:cs="Calibri"/>
                <w:sz w:val="18"/>
              </w:rPr>
            </w:pPr>
          </w:p>
        </w:tc>
        <w:tc>
          <w:tcPr>
            <w:tcW w:w="1076" w:type="dxa"/>
            <w:tcBorders>
              <w:top w:val="single" w:sz="4" w:space="0" w:color="53565A" w:themeColor="accent5"/>
              <w:left w:val="nil"/>
              <w:bottom w:val="single" w:sz="4" w:space="0" w:color="53565A" w:themeColor="accent5"/>
              <w:right w:val="nil"/>
            </w:tcBorders>
            <w:shd w:val="clear" w:color="auto" w:fill="D9D9D6" w:themeFill="accent6"/>
            <w:vAlign w:val="center"/>
          </w:tcPr>
          <w:p w14:paraId="2DCBD50B" w14:textId="77777777" w:rsidR="000042FF" w:rsidRPr="005734B8" w:rsidRDefault="000042FF" w:rsidP="000042FF">
            <w:pPr>
              <w:pStyle w:val="ESTablenumberrightaligned"/>
              <w:rPr>
                <w:rFonts w:ascii="Calibri" w:hAnsi="Calibri" w:cs="Calibri"/>
                <w:sz w:val="18"/>
              </w:rPr>
            </w:pPr>
          </w:p>
        </w:tc>
        <w:tc>
          <w:tcPr>
            <w:tcW w:w="1026" w:type="dxa"/>
            <w:tcBorders>
              <w:top w:val="single" w:sz="4" w:space="0" w:color="53565A" w:themeColor="accent5"/>
              <w:left w:val="nil"/>
              <w:bottom w:val="single" w:sz="4" w:space="0" w:color="53565A" w:themeColor="accent5"/>
              <w:right w:val="nil"/>
            </w:tcBorders>
            <w:shd w:val="clear" w:color="auto" w:fill="D9D9D6" w:themeFill="accent6"/>
            <w:vAlign w:val="center"/>
          </w:tcPr>
          <w:p w14:paraId="7FB8E062" w14:textId="77777777" w:rsidR="000042FF" w:rsidRPr="005734B8" w:rsidRDefault="000042FF" w:rsidP="000042FF">
            <w:pPr>
              <w:pStyle w:val="ESTablenumberrightaligned"/>
              <w:rPr>
                <w:rFonts w:ascii="Calibri" w:hAnsi="Calibri" w:cs="Calibri"/>
                <w:sz w:val="18"/>
              </w:rPr>
            </w:pPr>
          </w:p>
        </w:tc>
        <w:tc>
          <w:tcPr>
            <w:tcW w:w="1418" w:type="dxa"/>
            <w:tcBorders>
              <w:top w:val="single" w:sz="4" w:space="0" w:color="53565A" w:themeColor="accent5"/>
              <w:left w:val="nil"/>
              <w:bottom w:val="single" w:sz="4" w:space="0" w:color="53565A" w:themeColor="accent5"/>
              <w:right w:val="nil"/>
            </w:tcBorders>
            <w:shd w:val="clear" w:color="auto" w:fill="D9D9D6" w:themeFill="accent6"/>
            <w:vAlign w:val="center"/>
          </w:tcPr>
          <w:p w14:paraId="72850430" w14:textId="77777777" w:rsidR="000042FF" w:rsidRPr="005734B8" w:rsidRDefault="000042FF" w:rsidP="000042FF">
            <w:pPr>
              <w:pStyle w:val="ESTablenumberrightaligned"/>
              <w:rPr>
                <w:rFonts w:ascii="Calibri" w:hAnsi="Calibri" w:cs="Calibri"/>
                <w:sz w:val="18"/>
              </w:rPr>
            </w:pPr>
          </w:p>
        </w:tc>
      </w:tr>
      <w:tr w:rsidR="000042FF" w:rsidRPr="005734B8" w14:paraId="2CE96561" w14:textId="6B88D1A5" w:rsidTr="00363AAE">
        <w:trPr>
          <w:cantSplit/>
        </w:trPr>
        <w:tc>
          <w:tcPr>
            <w:tcW w:w="2431" w:type="dxa"/>
            <w:tcBorders>
              <w:top w:val="single" w:sz="4" w:space="0" w:color="53565A" w:themeColor="accent5"/>
              <w:bottom w:val="single" w:sz="4" w:space="0" w:color="53565A" w:themeColor="accent5"/>
            </w:tcBorders>
            <w:shd w:val="clear" w:color="auto" w:fill="auto"/>
            <w:vAlign w:val="center"/>
          </w:tcPr>
          <w:p w14:paraId="0908EEA4" w14:textId="77777777" w:rsidR="000042FF" w:rsidRPr="005734B8" w:rsidRDefault="000042FF" w:rsidP="000042FF">
            <w:pPr>
              <w:pStyle w:val="ESTablebody"/>
              <w:rPr>
                <w:rFonts w:ascii="Calibri" w:hAnsi="Calibri" w:cs="Calibri"/>
                <w:sz w:val="18"/>
              </w:rPr>
            </w:pPr>
            <w:r w:rsidRPr="005734B8">
              <w:rPr>
                <w:rFonts w:ascii="Calibri" w:hAnsi="Calibri" w:cs="Calibri"/>
                <w:sz w:val="18"/>
                <w:lang w:val="en-AU"/>
              </w:rPr>
              <w:t>Sale of goods and services</w:t>
            </w:r>
          </w:p>
        </w:tc>
        <w:tc>
          <w:tcPr>
            <w:tcW w:w="851" w:type="dxa"/>
            <w:tcBorders>
              <w:top w:val="single" w:sz="4" w:space="0" w:color="53565A" w:themeColor="accent5"/>
              <w:bottom w:val="single" w:sz="4" w:space="0" w:color="53565A" w:themeColor="accent5"/>
            </w:tcBorders>
            <w:shd w:val="clear" w:color="auto" w:fill="auto"/>
            <w:vAlign w:val="bottom"/>
          </w:tcPr>
          <w:p w14:paraId="36B7CB24" w14:textId="3B4AAA1F" w:rsidR="000042FF" w:rsidRPr="005734B8" w:rsidRDefault="000042FF" w:rsidP="000042FF">
            <w:pPr>
              <w:pStyle w:val="ESTablenumberrightaligned"/>
              <w:spacing w:after="100"/>
              <w:rPr>
                <w:rFonts w:ascii="Calibri" w:hAnsi="Calibri" w:cs="Calibri"/>
                <w:sz w:val="18"/>
              </w:rPr>
            </w:pPr>
          </w:p>
        </w:tc>
        <w:tc>
          <w:tcPr>
            <w:tcW w:w="1173" w:type="dxa"/>
            <w:tcBorders>
              <w:top w:val="single" w:sz="4" w:space="0" w:color="53565A" w:themeColor="accent5"/>
              <w:bottom w:val="single" w:sz="4" w:space="0" w:color="53565A" w:themeColor="accent5"/>
            </w:tcBorders>
            <w:shd w:val="clear" w:color="auto" w:fill="D9D9D6" w:themeFill="accent6"/>
          </w:tcPr>
          <w:p w14:paraId="43F8FB72" w14:textId="7E529835"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szCs w:val="16"/>
              </w:rPr>
              <w:t>84.8</w:t>
            </w:r>
          </w:p>
        </w:tc>
        <w:tc>
          <w:tcPr>
            <w:tcW w:w="1076" w:type="dxa"/>
            <w:tcBorders>
              <w:top w:val="single" w:sz="4" w:space="0" w:color="53565A" w:themeColor="accent5"/>
              <w:bottom w:val="single" w:sz="4" w:space="0" w:color="53565A" w:themeColor="accent5"/>
            </w:tcBorders>
          </w:tcPr>
          <w:p w14:paraId="41D31650" w14:textId="41A61C0B"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szCs w:val="16"/>
              </w:rPr>
              <w:t>87.6</w:t>
            </w:r>
          </w:p>
        </w:tc>
        <w:tc>
          <w:tcPr>
            <w:tcW w:w="1026" w:type="dxa"/>
            <w:tcBorders>
              <w:top w:val="single" w:sz="4" w:space="0" w:color="53565A" w:themeColor="accent5"/>
              <w:bottom w:val="single" w:sz="4" w:space="0" w:color="53565A" w:themeColor="accent5"/>
            </w:tcBorders>
          </w:tcPr>
          <w:p w14:paraId="5A0BC2FE" w14:textId="1C8EB654"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szCs w:val="16"/>
              </w:rPr>
              <w:t>(3)</w:t>
            </w:r>
          </w:p>
        </w:tc>
        <w:tc>
          <w:tcPr>
            <w:tcW w:w="1418" w:type="dxa"/>
            <w:tcBorders>
              <w:top w:val="single" w:sz="4" w:space="0" w:color="53565A" w:themeColor="accent5"/>
              <w:bottom w:val="single" w:sz="4" w:space="0" w:color="53565A" w:themeColor="accent5"/>
            </w:tcBorders>
          </w:tcPr>
          <w:p w14:paraId="10447280" w14:textId="29F5704F"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szCs w:val="16"/>
              </w:rPr>
              <w:t>(2.8)</w:t>
            </w:r>
          </w:p>
        </w:tc>
      </w:tr>
      <w:tr w:rsidR="000042FF" w:rsidRPr="005734B8" w14:paraId="7793DC0C" w14:textId="2BC0A25E" w:rsidTr="00363AAE">
        <w:trPr>
          <w:cantSplit/>
        </w:trPr>
        <w:tc>
          <w:tcPr>
            <w:tcW w:w="2431" w:type="dxa"/>
            <w:tcBorders>
              <w:top w:val="single" w:sz="4" w:space="0" w:color="53565A" w:themeColor="accent5"/>
              <w:bottom w:val="single" w:sz="4" w:space="0" w:color="53565A" w:themeColor="accent5"/>
            </w:tcBorders>
            <w:shd w:val="clear" w:color="auto" w:fill="auto"/>
            <w:vAlign w:val="center"/>
          </w:tcPr>
          <w:p w14:paraId="10E2FBA7" w14:textId="77777777" w:rsidR="000042FF" w:rsidRPr="005734B8" w:rsidRDefault="000042FF" w:rsidP="000042FF">
            <w:pPr>
              <w:pStyle w:val="ESTablebody"/>
              <w:rPr>
                <w:rFonts w:ascii="Calibri" w:hAnsi="Calibri" w:cs="Calibri"/>
                <w:sz w:val="18"/>
              </w:rPr>
            </w:pPr>
            <w:r w:rsidRPr="005734B8">
              <w:rPr>
                <w:rFonts w:ascii="Calibri" w:hAnsi="Calibri" w:cs="Calibri"/>
                <w:sz w:val="18"/>
                <w:lang w:val="en-AU"/>
              </w:rPr>
              <w:t xml:space="preserve">Grants </w:t>
            </w:r>
          </w:p>
        </w:tc>
        <w:tc>
          <w:tcPr>
            <w:tcW w:w="851" w:type="dxa"/>
            <w:tcBorders>
              <w:top w:val="single" w:sz="4" w:space="0" w:color="53565A" w:themeColor="accent5"/>
              <w:bottom w:val="single" w:sz="4" w:space="0" w:color="53565A" w:themeColor="accent5"/>
            </w:tcBorders>
            <w:shd w:val="clear" w:color="auto" w:fill="auto"/>
            <w:vAlign w:val="bottom"/>
          </w:tcPr>
          <w:p w14:paraId="6EDCFF18" w14:textId="6DA77A11"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rPr>
              <w:t>a</w:t>
            </w:r>
          </w:p>
        </w:tc>
        <w:tc>
          <w:tcPr>
            <w:tcW w:w="1173" w:type="dxa"/>
            <w:tcBorders>
              <w:top w:val="single" w:sz="4" w:space="0" w:color="53565A" w:themeColor="accent5"/>
              <w:bottom w:val="single" w:sz="4" w:space="0" w:color="53565A" w:themeColor="accent5"/>
            </w:tcBorders>
            <w:shd w:val="clear" w:color="auto" w:fill="D9D9D6" w:themeFill="accent6"/>
          </w:tcPr>
          <w:p w14:paraId="2F333C39" w14:textId="4D02C906"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szCs w:val="16"/>
              </w:rPr>
              <w:t>3,919.1</w:t>
            </w:r>
          </w:p>
        </w:tc>
        <w:tc>
          <w:tcPr>
            <w:tcW w:w="1076" w:type="dxa"/>
            <w:tcBorders>
              <w:top w:val="single" w:sz="4" w:space="0" w:color="53565A" w:themeColor="accent5"/>
              <w:bottom w:val="single" w:sz="4" w:space="0" w:color="53565A" w:themeColor="accent5"/>
            </w:tcBorders>
          </w:tcPr>
          <w:p w14:paraId="5B9A1DF6" w14:textId="7EE6C5EA"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szCs w:val="16"/>
              </w:rPr>
              <w:t>3,841.3</w:t>
            </w:r>
          </w:p>
        </w:tc>
        <w:tc>
          <w:tcPr>
            <w:tcW w:w="1026" w:type="dxa"/>
            <w:tcBorders>
              <w:top w:val="single" w:sz="4" w:space="0" w:color="53565A" w:themeColor="accent5"/>
              <w:bottom w:val="single" w:sz="4" w:space="0" w:color="53565A" w:themeColor="accent5"/>
            </w:tcBorders>
          </w:tcPr>
          <w:p w14:paraId="427C5C9B" w14:textId="7643A0EF"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szCs w:val="16"/>
              </w:rPr>
              <w:t>2</w:t>
            </w:r>
          </w:p>
        </w:tc>
        <w:tc>
          <w:tcPr>
            <w:tcW w:w="1418" w:type="dxa"/>
            <w:tcBorders>
              <w:top w:val="single" w:sz="4" w:space="0" w:color="53565A" w:themeColor="accent5"/>
              <w:bottom w:val="single" w:sz="4" w:space="0" w:color="53565A" w:themeColor="accent5"/>
            </w:tcBorders>
          </w:tcPr>
          <w:p w14:paraId="37F971E9" w14:textId="1B81E5A4"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szCs w:val="16"/>
              </w:rPr>
              <w:t>77.9</w:t>
            </w:r>
          </w:p>
        </w:tc>
      </w:tr>
      <w:tr w:rsidR="000042FF" w:rsidRPr="005734B8" w14:paraId="63EBCCCA" w14:textId="4E04707B" w:rsidTr="00363AAE">
        <w:trPr>
          <w:cantSplit/>
        </w:trPr>
        <w:tc>
          <w:tcPr>
            <w:tcW w:w="2431" w:type="dxa"/>
            <w:tcBorders>
              <w:top w:val="single" w:sz="4" w:space="0" w:color="53565A" w:themeColor="accent5"/>
              <w:bottom w:val="single" w:sz="4" w:space="0" w:color="53565A" w:themeColor="accent5"/>
            </w:tcBorders>
            <w:shd w:val="clear" w:color="auto" w:fill="auto"/>
            <w:vAlign w:val="center"/>
          </w:tcPr>
          <w:p w14:paraId="7E6DA17B" w14:textId="77777777" w:rsidR="000042FF" w:rsidRPr="005734B8" w:rsidRDefault="000042FF" w:rsidP="000042FF">
            <w:pPr>
              <w:pStyle w:val="ESTablebody"/>
              <w:rPr>
                <w:rFonts w:ascii="Calibri" w:hAnsi="Calibri" w:cs="Calibri"/>
                <w:sz w:val="18"/>
              </w:rPr>
            </w:pPr>
            <w:r w:rsidRPr="005734B8">
              <w:rPr>
                <w:rFonts w:ascii="Calibri" w:hAnsi="Calibri" w:cs="Calibri"/>
                <w:sz w:val="18"/>
                <w:lang w:val="en-AU"/>
              </w:rPr>
              <w:t xml:space="preserve">Other income </w:t>
            </w:r>
          </w:p>
        </w:tc>
        <w:tc>
          <w:tcPr>
            <w:tcW w:w="851" w:type="dxa"/>
            <w:tcBorders>
              <w:top w:val="single" w:sz="4" w:space="0" w:color="53565A" w:themeColor="accent5"/>
              <w:bottom w:val="single" w:sz="4" w:space="0" w:color="53565A" w:themeColor="accent5"/>
            </w:tcBorders>
            <w:shd w:val="clear" w:color="auto" w:fill="auto"/>
            <w:vAlign w:val="bottom"/>
          </w:tcPr>
          <w:p w14:paraId="4ED8E5E4" w14:textId="59C033CE"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rPr>
              <w:t>b</w:t>
            </w:r>
          </w:p>
        </w:tc>
        <w:tc>
          <w:tcPr>
            <w:tcW w:w="1173" w:type="dxa"/>
            <w:tcBorders>
              <w:top w:val="single" w:sz="4" w:space="0" w:color="53565A" w:themeColor="accent5"/>
              <w:bottom w:val="single" w:sz="4" w:space="0" w:color="53565A" w:themeColor="accent5"/>
            </w:tcBorders>
            <w:shd w:val="clear" w:color="auto" w:fill="D9D9D6" w:themeFill="accent6"/>
          </w:tcPr>
          <w:p w14:paraId="71F83F8E" w14:textId="3D905687"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szCs w:val="16"/>
              </w:rPr>
              <w:t>0.5</w:t>
            </w:r>
          </w:p>
        </w:tc>
        <w:tc>
          <w:tcPr>
            <w:tcW w:w="1076" w:type="dxa"/>
            <w:tcBorders>
              <w:top w:val="single" w:sz="4" w:space="0" w:color="53565A" w:themeColor="accent5"/>
              <w:bottom w:val="single" w:sz="4" w:space="0" w:color="53565A" w:themeColor="accent5"/>
            </w:tcBorders>
          </w:tcPr>
          <w:p w14:paraId="5BAB21B8" w14:textId="5F930F68"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szCs w:val="16"/>
              </w:rPr>
              <w:t>1.9</w:t>
            </w:r>
          </w:p>
        </w:tc>
        <w:tc>
          <w:tcPr>
            <w:tcW w:w="1026" w:type="dxa"/>
            <w:tcBorders>
              <w:top w:val="single" w:sz="4" w:space="0" w:color="53565A" w:themeColor="accent5"/>
              <w:bottom w:val="single" w:sz="4" w:space="0" w:color="53565A" w:themeColor="accent5"/>
            </w:tcBorders>
          </w:tcPr>
          <w:p w14:paraId="4F3988DA" w14:textId="70106D5B"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szCs w:val="16"/>
              </w:rPr>
              <w:t>(71)</w:t>
            </w:r>
          </w:p>
        </w:tc>
        <w:tc>
          <w:tcPr>
            <w:tcW w:w="1418" w:type="dxa"/>
            <w:tcBorders>
              <w:top w:val="single" w:sz="4" w:space="0" w:color="53565A" w:themeColor="accent5"/>
              <w:bottom w:val="single" w:sz="4" w:space="0" w:color="53565A" w:themeColor="accent5"/>
            </w:tcBorders>
          </w:tcPr>
          <w:p w14:paraId="6D43FA72" w14:textId="41402FD3"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szCs w:val="16"/>
              </w:rPr>
              <w:t>(1.3)</w:t>
            </w:r>
          </w:p>
        </w:tc>
      </w:tr>
      <w:tr w:rsidR="000042FF" w:rsidRPr="005734B8" w14:paraId="78EFBCFE" w14:textId="6032B94D" w:rsidTr="00363AAE">
        <w:trPr>
          <w:cantSplit/>
        </w:trPr>
        <w:tc>
          <w:tcPr>
            <w:tcW w:w="2431" w:type="dxa"/>
            <w:tcBorders>
              <w:top w:val="single" w:sz="18" w:space="0" w:color="53565A" w:themeColor="accent5"/>
              <w:bottom w:val="single" w:sz="4" w:space="0" w:color="53565A" w:themeColor="accent5"/>
            </w:tcBorders>
            <w:shd w:val="clear" w:color="auto" w:fill="auto"/>
            <w:vAlign w:val="center"/>
          </w:tcPr>
          <w:p w14:paraId="681C5871" w14:textId="77777777" w:rsidR="000042FF" w:rsidRPr="005734B8" w:rsidRDefault="000042FF" w:rsidP="000042FF">
            <w:pPr>
              <w:pStyle w:val="ESTablebody"/>
              <w:rPr>
                <w:rFonts w:ascii="Calibri" w:hAnsi="Calibri" w:cs="Calibri"/>
                <w:b/>
                <w:sz w:val="18"/>
              </w:rPr>
            </w:pPr>
            <w:r w:rsidRPr="005734B8">
              <w:rPr>
                <w:rFonts w:ascii="Calibri" w:hAnsi="Calibri" w:cs="Calibri"/>
                <w:b/>
                <w:sz w:val="18"/>
                <w:lang w:val="en-AU"/>
              </w:rPr>
              <w:t xml:space="preserve">Total administered income </w:t>
            </w:r>
          </w:p>
        </w:tc>
        <w:tc>
          <w:tcPr>
            <w:tcW w:w="851" w:type="dxa"/>
            <w:tcBorders>
              <w:top w:val="single" w:sz="18" w:space="0" w:color="53565A" w:themeColor="accent5"/>
              <w:bottom w:val="single" w:sz="4" w:space="0" w:color="53565A" w:themeColor="accent5"/>
            </w:tcBorders>
            <w:shd w:val="clear" w:color="auto" w:fill="auto"/>
            <w:vAlign w:val="center"/>
          </w:tcPr>
          <w:p w14:paraId="2279D8F2" w14:textId="77777777" w:rsidR="000042FF" w:rsidRPr="005734B8" w:rsidRDefault="000042FF" w:rsidP="000042FF">
            <w:pPr>
              <w:pStyle w:val="ESTablenumberrightaligned"/>
              <w:spacing w:after="100"/>
              <w:rPr>
                <w:rFonts w:ascii="Calibri" w:hAnsi="Calibri" w:cs="Calibri"/>
                <w:b/>
                <w:sz w:val="18"/>
              </w:rPr>
            </w:pPr>
          </w:p>
        </w:tc>
        <w:tc>
          <w:tcPr>
            <w:tcW w:w="1173" w:type="dxa"/>
            <w:tcBorders>
              <w:top w:val="single" w:sz="18" w:space="0" w:color="53565A" w:themeColor="accent5"/>
              <w:bottom w:val="single" w:sz="4" w:space="0" w:color="53565A" w:themeColor="accent5"/>
            </w:tcBorders>
            <w:shd w:val="clear" w:color="auto" w:fill="D9D9D6" w:themeFill="accent6"/>
          </w:tcPr>
          <w:p w14:paraId="378472FD" w14:textId="65862923"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szCs w:val="16"/>
              </w:rPr>
              <w:t>4,004.5</w:t>
            </w:r>
          </w:p>
        </w:tc>
        <w:tc>
          <w:tcPr>
            <w:tcW w:w="1076" w:type="dxa"/>
            <w:tcBorders>
              <w:top w:val="single" w:sz="18" w:space="0" w:color="53565A" w:themeColor="accent5"/>
              <w:bottom w:val="single" w:sz="4" w:space="0" w:color="53565A" w:themeColor="accent5"/>
            </w:tcBorders>
          </w:tcPr>
          <w:p w14:paraId="6F3C1ACA" w14:textId="66E51F58"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szCs w:val="16"/>
              </w:rPr>
              <w:t>3,930.8</w:t>
            </w:r>
          </w:p>
        </w:tc>
        <w:tc>
          <w:tcPr>
            <w:tcW w:w="1026" w:type="dxa"/>
            <w:tcBorders>
              <w:top w:val="single" w:sz="18" w:space="0" w:color="53565A" w:themeColor="accent5"/>
              <w:bottom w:val="single" w:sz="4" w:space="0" w:color="53565A" w:themeColor="accent5"/>
            </w:tcBorders>
          </w:tcPr>
          <w:p w14:paraId="6FDCB124" w14:textId="7EF067EE"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szCs w:val="16"/>
              </w:rPr>
              <w:t>2</w:t>
            </w:r>
          </w:p>
        </w:tc>
        <w:tc>
          <w:tcPr>
            <w:tcW w:w="1418" w:type="dxa"/>
            <w:tcBorders>
              <w:top w:val="single" w:sz="18" w:space="0" w:color="53565A" w:themeColor="accent5"/>
              <w:bottom w:val="single" w:sz="4" w:space="0" w:color="53565A" w:themeColor="accent5"/>
            </w:tcBorders>
          </w:tcPr>
          <w:p w14:paraId="0084925D" w14:textId="67D0040E"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szCs w:val="16"/>
              </w:rPr>
              <w:t>73.8</w:t>
            </w:r>
          </w:p>
        </w:tc>
      </w:tr>
      <w:tr w:rsidR="000042FF" w:rsidRPr="005734B8" w14:paraId="38F12A6C" w14:textId="260E01CB" w:rsidTr="00363AAE">
        <w:trPr>
          <w:cantSplit/>
        </w:trPr>
        <w:tc>
          <w:tcPr>
            <w:tcW w:w="2431" w:type="dxa"/>
            <w:tcBorders>
              <w:top w:val="single" w:sz="4" w:space="0" w:color="53565A" w:themeColor="accent5"/>
              <w:bottom w:val="single" w:sz="4" w:space="0" w:color="53565A" w:themeColor="accent5"/>
              <w:right w:val="nil"/>
            </w:tcBorders>
            <w:shd w:val="clear" w:color="auto" w:fill="D9D9D6" w:themeFill="accent6"/>
          </w:tcPr>
          <w:p w14:paraId="203259DB" w14:textId="77777777" w:rsidR="000042FF" w:rsidRPr="005734B8" w:rsidRDefault="000042FF" w:rsidP="000042FF">
            <w:pPr>
              <w:pStyle w:val="ESTablebody"/>
              <w:rPr>
                <w:rFonts w:ascii="Calibri" w:hAnsi="Calibri" w:cs="Calibri"/>
                <w:b/>
                <w:sz w:val="18"/>
              </w:rPr>
            </w:pPr>
            <w:r w:rsidRPr="005734B8">
              <w:rPr>
                <w:rFonts w:ascii="Calibri" w:hAnsi="Calibri" w:cs="Calibri"/>
                <w:b/>
                <w:sz w:val="18"/>
              </w:rPr>
              <w:t>Administered expenses</w:t>
            </w:r>
          </w:p>
        </w:tc>
        <w:tc>
          <w:tcPr>
            <w:tcW w:w="851" w:type="dxa"/>
            <w:tcBorders>
              <w:top w:val="single" w:sz="4" w:space="0" w:color="53565A" w:themeColor="accent5"/>
              <w:left w:val="nil"/>
              <w:bottom w:val="single" w:sz="4" w:space="0" w:color="53565A" w:themeColor="accent5"/>
              <w:right w:val="nil"/>
            </w:tcBorders>
            <w:shd w:val="clear" w:color="auto" w:fill="D9D9D6" w:themeFill="accent6"/>
            <w:vAlign w:val="center"/>
          </w:tcPr>
          <w:p w14:paraId="46ADF60F" w14:textId="77777777" w:rsidR="000042FF" w:rsidRPr="005734B8" w:rsidRDefault="000042FF" w:rsidP="000042FF">
            <w:pPr>
              <w:pStyle w:val="ESTablenumberrightaligned"/>
              <w:rPr>
                <w:rFonts w:ascii="Calibri" w:hAnsi="Calibri" w:cs="Calibri"/>
                <w:b/>
                <w:sz w:val="18"/>
              </w:rPr>
            </w:pPr>
          </w:p>
        </w:tc>
        <w:tc>
          <w:tcPr>
            <w:tcW w:w="1173" w:type="dxa"/>
            <w:tcBorders>
              <w:top w:val="single" w:sz="4" w:space="0" w:color="53565A" w:themeColor="accent5"/>
              <w:left w:val="nil"/>
              <w:bottom w:val="single" w:sz="4" w:space="0" w:color="53565A" w:themeColor="accent5"/>
              <w:right w:val="nil"/>
            </w:tcBorders>
            <w:shd w:val="clear" w:color="auto" w:fill="D9D9D6" w:themeFill="accent6"/>
            <w:vAlign w:val="center"/>
          </w:tcPr>
          <w:p w14:paraId="1AC56C93" w14:textId="77777777" w:rsidR="000042FF" w:rsidRPr="005734B8" w:rsidRDefault="000042FF" w:rsidP="000042FF">
            <w:pPr>
              <w:pStyle w:val="ESTablenumberrightaligned"/>
              <w:rPr>
                <w:rFonts w:ascii="Calibri" w:hAnsi="Calibri" w:cs="Calibri"/>
                <w:b/>
                <w:sz w:val="18"/>
              </w:rPr>
            </w:pPr>
          </w:p>
        </w:tc>
        <w:tc>
          <w:tcPr>
            <w:tcW w:w="1076" w:type="dxa"/>
            <w:tcBorders>
              <w:top w:val="single" w:sz="4" w:space="0" w:color="53565A" w:themeColor="accent5"/>
              <w:left w:val="nil"/>
              <w:bottom w:val="single" w:sz="4" w:space="0" w:color="53565A" w:themeColor="accent5"/>
              <w:right w:val="nil"/>
            </w:tcBorders>
            <w:shd w:val="clear" w:color="auto" w:fill="D9D9D6" w:themeFill="accent6"/>
            <w:vAlign w:val="center"/>
          </w:tcPr>
          <w:p w14:paraId="22E3160D" w14:textId="77777777" w:rsidR="000042FF" w:rsidRPr="005734B8" w:rsidRDefault="000042FF" w:rsidP="000042FF">
            <w:pPr>
              <w:pStyle w:val="ESTablenumberrightaligned"/>
              <w:rPr>
                <w:rFonts w:ascii="Calibri" w:hAnsi="Calibri" w:cs="Calibri"/>
                <w:b/>
                <w:sz w:val="18"/>
              </w:rPr>
            </w:pPr>
          </w:p>
        </w:tc>
        <w:tc>
          <w:tcPr>
            <w:tcW w:w="1026" w:type="dxa"/>
            <w:tcBorders>
              <w:top w:val="single" w:sz="4" w:space="0" w:color="53565A" w:themeColor="accent5"/>
              <w:left w:val="nil"/>
              <w:bottom w:val="single" w:sz="4" w:space="0" w:color="53565A" w:themeColor="accent5"/>
              <w:right w:val="nil"/>
            </w:tcBorders>
            <w:shd w:val="clear" w:color="auto" w:fill="D9D9D6" w:themeFill="accent6"/>
            <w:vAlign w:val="center"/>
          </w:tcPr>
          <w:p w14:paraId="7CD1B19B" w14:textId="77777777" w:rsidR="000042FF" w:rsidRPr="005734B8" w:rsidRDefault="000042FF" w:rsidP="000042FF">
            <w:pPr>
              <w:pStyle w:val="ESTablenumberrightaligned"/>
              <w:rPr>
                <w:rFonts w:ascii="Calibri" w:hAnsi="Calibri" w:cs="Calibri"/>
                <w:b/>
                <w:sz w:val="18"/>
              </w:rPr>
            </w:pPr>
          </w:p>
        </w:tc>
        <w:tc>
          <w:tcPr>
            <w:tcW w:w="1418" w:type="dxa"/>
            <w:tcBorders>
              <w:top w:val="single" w:sz="4" w:space="0" w:color="53565A" w:themeColor="accent5"/>
              <w:left w:val="nil"/>
              <w:bottom w:val="single" w:sz="4" w:space="0" w:color="53565A" w:themeColor="accent5"/>
              <w:right w:val="nil"/>
            </w:tcBorders>
            <w:shd w:val="clear" w:color="auto" w:fill="D9D9D6" w:themeFill="accent6"/>
            <w:vAlign w:val="center"/>
          </w:tcPr>
          <w:p w14:paraId="1397930E" w14:textId="77777777" w:rsidR="000042FF" w:rsidRPr="005734B8" w:rsidRDefault="000042FF" w:rsidP="000042FF">
            <w:pPr>
              <w:pStyle w:val="ESTablenumberrightaligned"/>
              <w:rPr>
                <w:rFonts w:ascii="Calibri" w:hAnsi="Calibri" w:cs="Calibri"/>
                <w:b/>
                <w:sz w:val="18"/>
              </w:rPr>
            </w:pPr>
          </w:p>
        </w:tc>
      </w:tr>
      <w:tr w:rsidR="000042FF" w:rsidRPr="005734B8" w14:paraId="072A6F9B" w14:textId="2547B54C" w:rsidTr="00363AAE">
        <w:trPr>
          <w:cantSplit/>
        </w:trPr>
        <w:tc>
          <w:tcPr>
            <w:tcW w:w="2431" w:type="dxa"/>
            <w:tcBorders>
              <w:top w:val="single" w:sz="4" w:space="0" w:color="53565A" w:themeColor="accent5"/>
              <w:bottom w:val="single" w:sz="4" w:space="0" w:color="53565A" w:themeColor="accent5"/>
            </w:tcBorders>
            <w:shd w:val="clear" w:color="auto" w:fill="auto"/>
            <w:vAlign w:val="center"/>
          </w:tcPr>
          <w:p w14:paraId="16F53CC4" w14:textId="36E4B956" w:rsidR="000042FF" w:rsidRPr="005734B8" w:rsidRDefault="000042FF" w:rsidP="000042FF">
            <w:pPr>
              <w:pStyle w:val="ESTablebody"/>
              <w:spacing w:after="100"/>
              <w:rPr>
                <w:rFonts w:ascii="Calibri" w:hAnsi="Calibri" w:cs="Calibri"/>
                <w:sz w:val="18"/>
              </w:rPr>
            </w:pPr>
            <w:r w:rsidRPr="005734B8">
              <w:rPr>
                <w:rFonts w:ascii="Calibri" w:hAnsi="Calibri" w:cs="Calibri"/>
                <w:sz w:val="18"/>
                <w:lang w:val="en-AU"/>
              </w:rPr>
              <w:t>Expenses on behalf of the state</w:t>
            </w:r>
          </w:p>
        </w:tc>
        <w:tc>
          <w:tcPr>
            <w:tcW w:w="851" w:type="dxa"/>
            <w:tcBorders>
              <w:top w:val="single" w:sz="4" w:space="0" w:color="53565A" w:themeColor="accent5"/>
              <w:bottom w:val="single" w:sz="4" w:space="0" w:color="53565A" w:themeColor="accent5"/>
            </w:tcBorders>
            <w:shd w:val="clear" w:color="auto" w:fill="auto"/>
            <w:vAlign w:val="center"/>
          </w:tcPr>
          <w:p w14:paraId="5928E246" w14:textId="77777777" w:rsidR="000042FF" w:rsidRPr="005734B8" w:rsidRDefault="000042FF" w:rsidP="000042FF">
            <w:pPr>
              <w:pStyle w:val="ESTablenumberrightaligned"/>
              <w:spacing w:after="100"/>
              <w:rPr>
                <w:rFonts w:ascii="Calibri" w:hAnsi="Calibri" w:cs="Calibri"/>
                <w:sz w:val="18"/>
              </w:rPr>
            </w:pPr>
          </w:p>
        </w:tc>
        <w:tc>
          <w:tcPr>
            <w:tcW w:w="1173" w:type="dxa"/>
            <w:tcBorders>
              <w:top w:val="single" w:sz="4" w:space="0" w:color="53565A" w:themeColor="accent5"/>
              <w:bottom w:val="single" w:sz="4" w:space="0" w:color="53565A" w:themeColor="accent5"/>
            </w:tcBorders>
            <w:shd w:val="clear" w:color="auto" w:fill="D9D9D6" w:themeFill="accent6"/>
          </w:tcPr>
          <w:p w14:paraId="107D84AE" w14:textId="5ED70C5A"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szCs w:val="16"/>
              </w:rPr>
              <w:t>(0.1)</w:t>
            </w:r>
          </w:p>
        </w:tc>
        <w:tc>
          <w:tcPr>
            <w:tcW w:w="1076" w:type="dxa"/>
            <w:tcBorders>
              <w:top w:val="single" w:sz="4" w:space="0" w:color="53565A" w:themeColor="accent5"/>
              <w:bottom w:val="single" w:sz="4" w:space="0" w:color="53565A" w:themeColor="accent5"/>
            </w:tcBorders>
          </w:tcPr>
          <w:p w14:paraId="3A57B43E" w14:textId="4ACC9F60"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szCs w:val="16"/>
              </w:rPr>
              <w:t>–</w:t>
            </w:r>
          </w:p>
        </w:tc>
        <w:tc>
          <w:tcPr>
            <w:tcW w:w="1026" w:type="dxa"/>
            <w:tcBorders>
              <w:top w:val="single" w:sz="4" w:space="0" w:color="53565A" w:themeColor="accent5"/>
              <w:bottom w:val="single" w:sz="4" w:space="0" w:color="53565A" w:themeColor="accent5"/>
            </w:tcBorders>
          </w:tcPr>
          <w:p w14:paraId="51AA8EBB" w14:textId="0A958A2B"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szCs w:val="16"/>
              </w:rPr>
              <w:t>n/a</w:t>
            </w:r>
          </w:p>
        </w:tc>
        <w:tc>
          <w:tcPr>
            <w:tcW w:w="1418" w:type="dxa"/>
            <w:tcBorders>
              <w:top w:val="single" w:sz="4" w:space="0" w:color="53565A" w:themeColor="accent5"/>
              <w:bottom w:val="single" w:sz="4" w:space="0" w:color="53565A" w:themeColor="accent5"/>
            </w:tcBorders>
          </w:tcPr>
          <w:p w14:paraId="17327E78" w14:textId="25E25D47"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szCs w:val="16"/>
              </w:rPr>
              <w:t>(0.1)</w:t>
            </w:r>
          </w:p>
        </w:tc>
      </w:tr>
      <w:tr w:rsidR="000042FF" w:rsidRPr="005734B8" w14:paraId="029834C0" w14:textId="0A81AA8E" w:rsidTr="00363AAE">
        <w:trPr>
          <w:cantSplit/>
        </w:trPr>
        <w:tc>
          <w:tcPr>
            <w:tcW w:w="2431" w:type="dxa"/>
            <w:tcBorders>
              <w:top w:val="single" w:sz="4" w:space="0" w:color="53565A" w:themeColor="accent5"/>
              <w:bottom w:val="single" w:sz="4" w:space="0" w:color="53565A" w:themeColor="accent5"/>
            </w:tcBorders>
            <w:shd w:val="clear" w:color="auto" w:fill="auto"/>
            <w:vAlign w:val="center"/>
          </w:tcPr>
          <w:p w14:paraId="02082EA8" w14:textId="77777777" w:rsidR="000042FF" w:rsidRPr="005734B8" w:rsidRDefault="000042FF" w:rsidP="000042FF">
            <w:pPr>
              <w:pStyle w:val="ESTablebody"/>
              <w:spacing w:after="100"/>
              <w:rPr>
                <w:rFonts w:ascii="Calibri" w:hAnsi="Calibri" w:cs="Calibri"/>
                <w:sz w:val="18"/>
              </w:rPr>
            </w:pPr>
            <w:r w:rsidRPr="005734B8">
              <w:rPr>
                <w:rFonts w:ascii="Calibri" w:hAnsi="Calibri" w:cs="Calibri"/>
                <w:sz w:val="18"/>
                <w:lang w:val="en-AU"/>
              </w:rPr>
              <w:t>Grants and other transfers</w:t>
            </w:r>
          </w:p>
        </w:tc>
        <w:tc>
          <w:tcPr>
            <w:tcW w:w="851" w:type="dxa"/>
            <w:tcBorders>
              <w:top w:val="single" w:sz="4" w:space="0" w:color="53565A" w:themeColor="accent5"/>
              <w:bottom w:val="single" w:sz="4" w:space="0" w:color="53565A" w:themeColor="accent5"/>
            </w:tcBorders>
            <w:shd w:val="clear" w:color="auto" w:fill="auto"/>
            <w:vAlign w:val="bottom"/>
          </w:tcPr>
          <w:p w14:paraId="0EF28FFE" w14:textId="70FBE32E"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rPr>
              <w:t>c</w:t>
            </w:r>
          </w:p>
        </w:tc>
        <w:tc>
          <w:tcPr>
            <w:tcW w:w="1173" w:type="dxa"/>
            <w:tcBorders>
              <w:top w:val="single" w:sz="4" w:space="0" w:color="53565A" w:themeColor="accent5"/>
              <w:bottom w:val="single" w:sz="4" w:space="0" w:color="53565A" w:themeColor="accent5"/>
            </w:tcBorders>
            <w:shd w:val="clear" w:color="auto" w:fill="D9D9D6" w:themeFill="accent6"/>
          </w:tcPr>
          <w:p w14:paraId="0A8AB628" w14:textId="0A474E34"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szCs w:val="16"/>
              </w:rPr>
              <w:t>(3,905.5)</w:t>
            </w:r>
          </w:p>
        </w:tc>
        <w:tc>
          <w:tcPr>
            <w:tcW w:w="1076" w:type="dxa"/>
            <w:tcBorders>
              <w:top w:val="single" w:sz="4" w:space="0" w:color="53565A" w:themeColor="accent5"/>
              <w:bottom w:val="single" w:sz="4" w:space="0" w:color="53565A" w:themeColor="accent5"/>
            </w:tcBorders>
          </w:tcPr>
          <w:p w14:paraId="067ACD77" w14:textId="6C8FE958"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szCs w:val="16"/>
              </w:rPr>
              <w:t>(3,833.9)</w:t>
            </w:r>
          </w:p>
        </w:tc>
        <w:tc>
          <w:tcPr>
            <w:tcW w:w="1026" w:type="dxa"/>
            <w:tcBorders>
              <w:top w:val="single" w:sz="4" w:space="0" w:color="53565A" w:themeColor="accent5"/>
              <w:bottom w:val="single" w:sz="4" w:space="0" w:color="53565A" w:themeColor="accent5"/>
            </w:tcBorders>
          </w:tcPr>
          <w:p w14:paraId="3028F2CC" w14:textId="67F7C79B"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szCs w:val="16"/>
              </w:rPr>
              <w:t>2</w:t>
            </w:r>
          </w:p>
        </w:tc>
        <w:tc>
          <w:tcPr>
            <w:tcW w:w="1418" w:type="dxa"/>
            <w:tcBorders>
              <w:top w:val="single" w:sz="4" w:space="0" w:color="53565A" w:themeColor="accent5"/>
              <w:bottom w:val="single" w:sz="4" w:space="0" w:color="53565A" w:themeColor="accent5"/>
            </w:tcBorders>
          </w:tcPr>
          <w:p w14:paraId="2DF7482A" w14:textId="27B18237"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szCs w:val="16"/>
              </w:rPr>
              <w:t>(71.7)</w:t>
            </w:r>
          </w:p>
        </w:tc>
      </w:tr>
      <w:tr w:rsidR="000042FF" w:rsidRPr="005734B8" w14:paraId="45B4F5BB" w14:textId="327219C6" w:rsidTr="00363AAE">
        <w:trPr>
          <w:cantSplit/>
        </w:trPr>
        <w:tc>
          <w:tcPr>
            <w:tcW w:w="2431" w:type="dxa"/>
            <w:tcBorders>
              <w:top w:val="single" w:sz="4" w:space="0" w:color="53565A" w:themeColor="accent5"/>
              <w:bottom w:val="single" w:sz="4" w:space="0" w:color="53565A" w:themeColor="accent5"/>
            </w:tcBorders>
            <w:shd w:val="clear" w:color="auto" w:fill="auto"/>
            <w:vAlign w:val="center"/>
          </w:tcPr>
          <w:p w14:paraId="242C53C9" w14:textId="74EAE273" w:rsidR="000042FF" w:rsidRPr="005734B8" w:rsidRDefault="000042FF" w:rsidP="000042FF">
            <w:pPr>
              <w:pStyle w:val="ESTablebody"/>
              <w:spacing w:after="100"/>
              <w:rPr>
                <w:rFonts w:ascii="Calibri" w:hAnsi="Calibri" w:cs="Calibri"/>
                <w:sz w:val="18"/>
              </w:rPr>
            </w:pPr>
            <w:r w:rsidRPr="005734B8">
              <w:rPr>
                <w:rFonts w:ascii="Calibri" w:hAnsi="Calibri" w:cs="Calibri"/>
                <w:sz w:val="18"/>
                <w:lang w:val="en-AU"/>
              </w:rPr>
              <w:t xml:space="preserve">Payments into the Consolidated </w:t>
            </w:r>
            <w:r w:rsidR="007F305E" w:rsidRPr="005734B8">
              <w:rPr>
                <w:rFonts w:ascii="Calibri" w:hAnsi="Calibri" w:cs="Calibri"/>
                <w:sz w:val="18"/>
                <w:lang w:val="en-AU"/>
              </w:rPr>
              <w:t>F</w:t>
            </w:r>
            <w:r w:rsidRPr="005734B8">
              <w:rPr>
                <w:rFonts w:ascii="Calibri" w:hAnsi="Calibri" w:cs="Calibri"/>
                <w:sz w:val="18"/>
                <w:lang w:val="en-AU"/>
              </w:rPr>
              <w:t>und</w:t>
            </w:r>
          </w:p>
        </w:tc>
        <w:tc>
          <w:tcPr>
            <w:tcW w:w="851" w:type="dxa"/>
            <w:tcBorders>
              <w:top w:val="single" w:sz="4" w:space="0" w:color="53565A" w:themeColor="accent5"/>
              <w:bottom w:val="single" w:sz="4" w:space="0" w:color="53565A" w:themeColor="accent5"/>
            </w:tcBorders>
            <w:shd w:val="clear" w:color="auto" w:fill="auto"/>
            <w:vAlign w:val="center"/>
          </w:tcPr>
          <w:p w14:paraId="53971C0A" w14:textId="6ACE663C"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rPr>
              <w:t>d</w:t>
            </w:r>
          </w:p>
        </w:tc>
        <w:tc>
          <w:tcPr>
            <w:tcW w:w="1173" w:type="dxa"/>
            <w:tcBorders>
              <w:top w:val="single" w:sz="4" w:space="0" w:color="53565A" w:themeColor="accent5"/>
              <w:bottom w:val="single" w:sz="4" w:space="0" w:color="53565A" w:themeColor="accent5"/>
            </w:tcBorders>
            <w:shd w:val="clear" w:color="auto" w:fill="D9D9D6" w:themeFill="accent6"/>
          </w:tcPr>
          <w:p w14:paraId="671B8A31" w14:textId="0B34FF6A"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szCs w:val="16"/>
              </w:rPr>
              <w:t>(58.3)</w:t>
            </w:r>
          </w:p>
        </w:tc>
        <w:tc>
          <w:tcPr>
            <w:tcW w:w="1076" w:type="dxa"/>
            <w:tcBorders>
              <w:top w:val="single" w:sz="4" w:space="0" w:color="53565A" w:themeColor="accent5"/>
              <w:bottom w:val="single" w:sz="4" w:space="0" w:color="53565A" w:themeColor="accent5"/>
            </w:tcBorders>
          </w:tcPr>
          <w:p w14:paraId="26915C7C" w14:textId="0B37437A"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szCs w:val="16"/>
              </w:rPr>
              <w:t>(73.8)</w:t>
            </w:r>
          </w:p>
        </w:tc>
        <w:tc>
          <w:tcPr>
            <w:tcW w:w="1026" w:type="dxa"/>
            <w:tcBorders>
              <w:top w:val="single" w:sz="4" w:space="0" w:color="53565A" w:themeColor="accent5"/>
              <w:bottom w:val="single" w:sz="4" w:space="0" w:color="53565A" w:themeColor="accent5"/>
            </w:tcBorders>
          </w:tcPr>
          <w:p w14:paraId="3195BCFE" w14:textId="62245B1D"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szCs w:val="16"/>
              </w:rPr>
              <w:t>(21)</w:t>
            </w:r>
          </w:p>
        </w:tc>
        <w:tc>
          <w:tcPr>
            <w:tcW w:w="1418" w:type="dxa"/>
            <w:tcBorders>
              <w:top w:val="single" w:sz="4" w:space="0" w:color="53565A" w:themeColor="accent5"/>
              <w:bottom w:val="single" w:sz="4" w:space="0" w:color="53565A" w:themeColor="accent5"/>
            </w:tcBorders>
          </w:tcPr>
          <w:p w14:paraId="58801BBD" w14:textId="27C83F6E"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szCs w:val="16"/>
              </w:rPr>
              <w:t>15.5</w:t>
            </w:r>
          </w:p>
        </w:tc>
      </w:tr>
      <w:tr w:rsidR="000042FF" w:rsidRPr="005734B8" w14:paraId="17AE4BD4" w14:textId="1D53B690" w:rsidTr="00363AAE">
        <w:trPr>
          <w:cantSplit/>
        </w:trPr>
        <w:tc>
          <w:tcPr>
            <w:tcW w:w="2431" w:type="dxa"/>
            <w:tcBorders>
              <w:top w:val="single" w:sz="18" w:space="0" w:color="53565A" w:themeColor="accent5"/>
              <w:bottom w:val="single" w:sz="18" w:space="0" w:color="53565A" w:themeColor="accent5"/>
            </w:tcBorders>
            <w:shd w:val="clear" w:color="auto" w:fill="auto"/>
            <w:vAlign w:val="center"/>
          </w:tcPr>
          <w:p w14:paraId="4A43D921" w14:textId="77777777" w:rsidR="000042FF" w:rsidRPr="005734B8" w:rsidRDefault="000042FF" w:rsidP="000042FF">
            <w:pPr>
              <w:pStyle w:val="ESTablebody"/>
              <w:spacing w:after="100"/>
              <w:rPr>
                <w:rFonts w:ascii="Calibri" w:hAnsi="Calibri" w:cs="Calibri"/>
                <w:b/>
                <w:sz w:val="18"/>
              </w:rPr>
            </w:pPr>
            <w:r w:rsidRPr="005734B8">
              <w:rPr>
                <w:rFonts w:ascii="Calibri" w:hAnsi="Calibri" w:cs="Calibri"/>
                <w:b/>
                <w:sz w:val="18"/>
                <w:lang w:val="en-AU"/>
              </w:rPr>
              <w:t>Total administered expenses</w:t>
            </w:r>
          </w:p>
        </w:tc>
        <w:tc>
          <w:tcPr>
            <w:tcW w:w="851" w:type="dxa"/>
            <w:tcBorders>
              <w:top w:val="single" w:sz="18" w:space="0" w:color="53565A" w:themeColor="accent5"/>
              <w:bottom w:val="single" w:sz="18" w:space="0" w:color="53565A" w:themeColor="accent5"/>
            </w:tcBorders>
            <w:shd w:val="clear" w:color="auto" w:fill="auto"/>
            <w:vAlign w:val="center"/>
          </w:tcPr>
          <w:p w14:paraId="27EDAACB" w14:textId="77777777" w:rsidR="000042FF" w:rsidRPr="005734B8" w:rsidRDefault="000042FF" w:rsidP="000042FF">
            <w:pPr>
              <w:pStyle w:val="ESTablenumberrightaligned"/>
              <w:spacing w:after="100"/>
              <w:rPr>
                <w:rFonts w:ascii="Calibri" w:hAnsi="Calibri" w:cs="Calibri"/>
                <w:b/>
                <w:sz w:val="18"/>
              </w:rPr>
            </w:pPr>
          </w:p>
        </w:tc>
        <w:tc>
          <w:tcPr>
            <w:tcW w:w="1173" w:type="dxa"/>
            <w:tcBorders>
              <w:top w:val="single" w:sz="18" w:space="0" w:color="53565A" w:themeColor="accent5"/>
              <w:bottom w:val="single" w:sz="18" w:space="0" w:color="53565A" w:themeColor="accent5"/>
            </w:tcBorders>
            <w:shd w:val="clear" w:color="auto" w:fill="D9D9D6" w:themeFill="accent6"/>
          </w:tcPr>
          <w:p w14:paraId="63BE057C" w14:textId="1C895D35"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szCs w:val="16"/>
              </w:rPr>
              <w:t>(3,963.9)</w:t>
            </w:r>
          </w:p>
        </w:tc>
        <w:tc>
          <w:tcPr>
            <w:tcW w:w="1076" w:type="dxa"/>
            <w:tcBorders>
              <w:top w:val="single" w:sz="18" w:space="0" w:color="53565A" w:themeColor="accent5"/>
              <w:bottom w:val="single" w:sz="18" w:space="0" w:color="53565A" w:themeColor="accent5"/>
            </w:tcBorders>
          </w:tcPr>
          <w:p w14:paraId="0BE55ACA" w14:textId="5CC96E7A"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szCs w:val="16"/>
              </w:rPr>
              <w:t>(3,907.7)</w:t>
            </w:r>
          </w:p>
        </w:tc>
        <w:tc>
          <w:tcPr>
            <w:tcW w:w="1026" w:type="dxa"/>
            <w:tcBorders>
              <w:top w:val="single" w:sz="18" w:space="0" w:color="53565A" w:themeColor="accent5"/>
              <w:bottom w:val="single" w:sz="18" w:space="0" w:color="53565A" w:themeColor="accent5"/>
            </w:tcBorders>
          </w:tcPr>
          <w:p w14:paraId="78D8AAB5" w14:textId="36A02F50"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szCs w:val="16"/>
              </w:rPr>
              <w:t>1</w:t>
            </w:r>
          </w:p>
        </w:tc>
        <w:tc>
          <w:tcPr>
            <w:tcW w:w="1418" w:type="dxa"/>
            <w:tcBorders>
              <w:top w:val="single" w:sz="18" w:space="0" w:color="53565A" w:themeColor="accent5"/>
              <w:bottom w:val="single" w:sz="18" w:space="0" w:color="53565A" w:themeColor="accent5"/>
            </w:tcBorders>
          </w:tcPr>
          <w:p w14:paraId="2B19CBDB" w14:textId="3A43E69B"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szCs w:val="16"/>
              </w:rPr>
              <w:t>(56.2)</w:t>
            </w:r>
          </w:p>
        </w:tc>
      </w:tr>
      <w:tr w:rsidR="00363AAE" w:rsidRPr="005734B8" w14:paraId="7C0570AF" w14:textId="77777777" w:rsidTr="00363AAE">
        <w:trPr>
          <w:cantSplit/>
        </w:trPr>
        <w:tc>
          <w:tcPr>
            <w:tcW w:w="2431" w:type="dxa"/>
            <w:tcBorders>
              <w:top w:val="single" w:sz="18" w:space="0" w:color="53565A" w:themeColor="accent5"/>
              <w:bottom w:val="single" w:sz="18" w:space="0" w:color="53565A" w:themeColor="accent5"/>
            </w:tcBorders>
            <w:shd w:val="clear" w:color="auto" w:fill="auto"/>
            <w:vAlign w:val="center"/>
          </w:tcPr>
          <w:p w14:paraId="665E3D56" w14:textId="56E20688" w:rsidR="00363AAE" w:rsidRPr="005734B8" w:rsidRDefault="00363AAE" w:rsidP="000042FF">
            <w:pPr>
              <w:pStyle w:val="ESTablebody"/>
              <w:spacing w:after="100"/>
              <w:rPr>
                <w:rFonts w:ascii="Calibri" w:hAnsi="Calibri" w:cs="Calibri"/>
                <w:b/>
                <w:sz w:val="18"/>
                <w:lang w:val="en-AU"/>
              </w:rPr>
            </w:pPr>
            <w:r w:rsidRPr="005734B8">
              <w:rPr>
                <w:rFonts w:ascii="Calibri" w:hAnsi="Calibri" w:cs="Calibri"/>
                <w:b/>
                <w:sz w:val="18"/>
                <w:lang w:val="en-AU"/>
              </w:rPr>
              <w:t>Income less expenses</w:t>
            </w:r>
          </w:p>
        </w:tc>
        <w:tc>
          <w:tcPr>
            <w:tcW w:w="851" w:type="dxa"/>
            <w:tcBorders>
              <w:top w:val="single" w:sz="18" w:space="0" w:color="53565A" w:themeColor="accent5"/>
              <w:bottom w:val="single" w:sz="18" w:space="0" w:color="53565A" w:themeColor="accent5"/>
            </w:tcBorders>
            <w:shd w:val="clear" w:color="auto" w:fill="auto"/>
            <w:vAlign w:val="center"/>
          </w:tcPr>
          <w:p w14:paraId="4863EEB3" w14:textId="77777777" w:rsidR="00363AAE" w:rsidRPr="005734B8" w:rsidRDefault="00363AAE" w:rsidP="000042FF">
            <w:pPr>
              <w:pStyle w:val="ESTablenumberrightaligned"/>
              <w:spacing w:after="100"/>
              <w:rPr>
                <w:rFonts w:ascii="Calibri" w:hAnsi="Calibri" w:cs="Calibri"/>
                <w:b/>
                <w:sz w:val="18"/>
              </w:rPr>
            </w:pPr>
          </w:p>
        </w:tc>
        <w:tc>
          <w:tcPr>
            <w:tcW w:w="1173" w:type="dxa"/>
            <w:tcBorders>
              <w:top w:val="single" w:sz="18" w:space="0" w:color="53565A" w:themeColor="accent5"/>
              <w:bottom w:val="single" w:sz="18" w:space="0" w:color="53565A" w:themeColor="accent5"/>
            </w:tcBorders>
            <w:shd w:val="clear" w:color="auto" w:fill="D9D9D6" w:themeFill="accent6"/>
          </w:tcPr>
          <w:p w14:paraId="3CC9166E" w14:textId="09162677" w:rsidR="00363AAE" w:rsidRPr="005734B8" w:rsidRDefault="00363AAE" w:rsidP="000042FF">
            <w:pPr>
              <w:pStyle w:val="ESTablenumberrightaligned"/>
              <w:spacing w:after="100"/>
              <w:rPr>
                <w:rFonts w:ascii="Calibri" w:hAnsi="Calibri" w:cs="Calibri"/>
                <w:b/>
                <w:bCs/>
                <w:sz w:val="18"/>
                <w:szCs w:val="16"/>
              </w:rPr>
            </w:pPr>
            <w:r w:rsidRPr="005734B8">
              <w:rPr>
                <w:rFonts w:ascii="Calibri" w:hAnsi="Calibri" w:cs="Calibri"/>
                <w:b/>
                <w:bCs/>
                <w:sz w:val="18"/>
                <w:szCs w:val="16"/>
              </w:rPr>
              <w:t>40.6</w:t>
            </w:r>
          </w:p>
        </w:tc>
        <w:tc>
          <w:tcPr>
            <w:tcW w:w="1076" w:type="dxa"/>
            <w:tcBorders>
              <w:top w:val="single" w:sz="18" w:space="0" w:color="53565A" w:themeColor="accent5"/>
              <w:bottom w:val="single" w:sz="18" w:space="0" w:color="53565A" w:themeColor="accent5"/>
            </w:tcBorders>
          </w:tcPr>
          <w:p w14:paraId="096E45CB" w14:textId="2519288C" w:rsidR="00363AAE" w:rsidRPr="005734B8" w:rsidRDefault="00363AAE" w:rsidP="000042FF">
            <w:pPr>
              <w:pStyle w:val="ESTablenumberrightaligned"/>
              <w:spacing w:after="100"/>
              <w:rPr>
                <w:rFonts w:ascii="Calibri" w:hAnsi="Calibri" w:cs="Calibri"/>
                <w:b/>
                <w:bCs/>
                <w:sz w:val="18"/>
                <w:szCs w:val="16"/>
              </w:rPr>
            </w:pPr>
            <w:r w:rsidRPr="005734B8">
              <w:rPr>
                <w:rFonts w:ascii="Calibri" w:hAnsi="Calibri" w:cs="Calibri"/>
                <w:b/>
                <w:bCs/>
                <w:sz w:val="18"/>
                <w:szCs w:val="16"/>
              </w:rPr>
              <w:t>23.1</w:t>
            </w:r>
          </w:p>
        </w:tc>
        <w:tc>
          <w:tcPr>
            <w:tcW w:w="1026" w:type="dxa"/>
            <w:tcBorders>
              <w:top w:val="single" w:sz="18" w:space="0" w:color="53565A" w:themeColor="accent5"/>
              <w:bottom w:val="single" w:sz="18" w:space="0" w:color="53565A" w:themeColor="accent5"/>
            </w:tcBorders>
          </w:tcPr>
          <w:p w14:paraId="66782954" w14:textId="1C7CE719" w:rsidR="00363AAE" w:rsidRPr="005734B8" w:rsidRDefault="00363AAE" w:rsidP="000042FF">
            <w:pPr>
              <w:pStyle w:val="ESTablenumberrightaligned"/>
              <w:spacing w:after="100"/>
              <w:rPr>
                <w:rFonts w:ascii="Calibri" w:hAnsi="Calibri" w:cs="Calibri"/>
                <w:b/>
                <w:bCs/>
                <w:sz w:val="18"/>
                <w:szCs w:val="16"/>
              </w:rPr>
            </w:pPr>
            <w:r w:rsidRPr="005734B8">
              <w:rPr>
                <w:rFonts w:ascii="Calibri" w:hAnsi="Calibri" w:cs="Calibri"/>
                <w:b/>
                <w:bCs/>
                <w:sz w:val="18"/>
                <w:szCs w:val="16"/>
              </w:rPr>
              <w:t>76</w:t>
            </w:r>
          </w:p>
        </w:tc>
        <w:tc>
          <w:tcPr>
            <w:tcW w:w="1418" w:type="dxa"/>
            <w:tcBorders>
              <w:top w:val="single" w:sz="18" w:space="0" w:color="53565A" w:themeColor="accent5"/>
              <w:bottom w:val="single" w:sz="18" w:space="0" w:color="53565A" w:themeColor="accent5"/>
            </w:tcBorders>
          </w:tcPr>
          <w:p w14:paraId="2AD65847" w14:textId="5F2550A5" w:rsidR="00363AAE" w:rsidRPr="005734B8" w:rsidRDefault="00363AAE" w:rsidP="000042FF">
            <w:pPr>
              <w:pStyle w:val="ESTablenumberrightaligned"/>
              <w:spacing w:after="100"/>
              <w:rPr>
                <w:rFonts w:ascii="Calibri" w:hAnsi="Calibri" w:cs="Calibri"/>
                <w:b/>
                <w:bCs/>
                <w:sz w:val="18"/>
                <w:szCs w:val="16"/>
              </w:rPr>
            </w:pPr>
            <w:r w:rsidRPr="005734B8">
              <w:rPr>
                <w:rFonts w:ascii="Calibri" w:hAnsi="Calibri" w:cs="Calibri"/>
                <w:b/>
                <w:bCs/>
                <w:sz w:val="18"/>
                <w:szCs w:val="16"/>
              </w:rPr>
              <w:t>17.5</w:t>
            </w:r>
          </w:p>
        </w:tc>
      </w:tr>
      <w:tr w:rsidR="000042FF" w:rsidRPr="005734B8" w14:paraId="2F992CD2" w14:textId="6325263E" w:rsidTr="00363AAE">
        <w:trPr>
          <w:cantSplit/>
        </w:trPr>
        <w:tc>
          <w:tcPr>
            <w:tcW w:w="2431" w:type="dxa"/>
            <w:tcBorders>
              <w:top w:val="single" w:sz="4" w:space="0" w:color="53565A" w:themeColor="accent5"/>
              <w:bottom w:val="single" w:sz="18" w:space="0" w:color="53565A" w:themeColor="accent5"/>
            </w:tcBorders>
            <w:shd w:val="clear" w:color="auto" w:fill="auto"/>
            <w:vAlign w:val="center"/>
          </w:tcPr>
          <w:p w14:paraId="3F4BFBC0" w14:textId="77777777" w:rsidR="000042FF" w:rsidRPr="005734B8" w:rsidRDefault="000042FF" w:rsidP="000042FF">
            <w:pPr>
              <w:pStyle w:val="ESTablebody"/>
              <w:spacing w:after="100"/>
              <w:rPr>
                <w:rFonts w:ascii="Calibri" w:hAnsi="Calibri" w:cs="Calibri"/>
                <w:sz w:val="18"/>
              </w:rPr>
            </w:pPr>
            <w:r w:rsidRPr="005734B8">
              <w:rPr>
                <w:rFonts w:ascii="Calibri" w:hAnsi="Calibri" w:cs="Calibri"/>
                <w:sz w:val="18"/>
                <w:lang w:val="en-AU"/>
              </w:rPr>
              <w:t xml:space="preserve">Net gain/(loss) on non-financial assets </w:t>
            </w:r>
          </w:p>
        </w:tc>
        <w:tc>
          <w:tcPr>
            <w:tcW w:w="851" w:type="dxa"/>
            <w:tcBorders>
              <w:top w:val="single" w:sz="4" w:space="0" w:color="53565A" w:themeColor="accent5"/>
              <w:bottom w:val="single" w:sz="18" w:space="0" w:color="53565A" w:themeColor="accent5"/>
            </w:tcBorders>
            <w:shd w:val="clear" w:color="auto" w:fill="auto"/>
            <w:vAlign w:val="center"/>
          </w:tcPr>
          <w:p w14:paraId="6105BE8D" w14:textId="27149AB9"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rPr>
              <w:t>e</w:t>
            </w:r>
          </w:p>
        </w:tc>
        <w:tc>
          <w:tcPr>
            <w:tcW w:w="1173" w:type="dxa"/>
            <w:tcBorders>
              <w:top w:val="single" w:sz="4" w:space="0" w:color="53565A" w:themeColor="accent5"/>
              <w:bottom w:val="single" w:sz="18" w:space="0" w:color="53565A" w:themeColor="accent5"/>
            </w:tcBorders>
            <w:shd w:val="clear" w:color="auto" w:fill="D9D9D6" w:themeFill="accent6"/>
          </w:tcPr>
          <w:p w14:paraId="346C2434" w14:textId="4601D71F"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rPr>
              <w:t>(34.7)</w:t>
            </w:r>
          </w:p>
        </w:tc>
        <w:tc>
          <w:tcPr>
            <w:tcW w:w="1076" w:type="dxa"/>
            <w:tcBorders>
              <w:top w:val="single" w:sz="4" w:space="0" w:color="53565A" w:themeColor="accent5"/>
              <w:bottom w:val="single" w:sz="18" w:space="0" w:color="53565A" w:themeColor="accent5"/>
            </w:tcBorders>
          </w:tcPr>
          <w:p w14:paraId="33B5B7D5" w14:textId="471C15FA"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rPr>
              <w:t>(23.0)</w:t>
            </w:r>
          </w:p>
        </w:tc>
        <w:tc>
          <w:tcPr>
            <w:tcW w:w="1026" w:type="dxa"/>
            <w:tcBorders>
              <w:top w:val="single" w:sz="4" w:space="0" w:color="53565A" w:themeColor="accent5"/>
              <w:bottom w:val="single" w:sz="18" w:space="0" w:color="53565A" w:themeColor="accent5"/>
            </w:tcBorders>
          </w:tcPr>
          <w:p w14:paraId="5D5A3128" w14:textId="305EEC1E"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rPr>
              <w:t>51</w:t>
            </w:r>
          </w:p>
        </w:tc>
        <w:tc>
          <w:tcPr>
            <w:tcW w:w="1418" w:type="dxa"/>
            <w:tcBorders>
              <w:top w:val="single" w:sz="4" w:space="0" w:color="53565A" w:themeColor="accent5"/>
              <w:bottom w:val="single" w:sz="18" w:space="0" w:color="53565A" w:themeColor="accent5"/>
            </w:tcBorders>
          </w:tcPr>
          <w:p w14:paraId="681CB002" w14:textId="268E653B"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rPr>
              <w:t>(11.7)</w:t>
            </w:r>
          </w:p>
        </w:tc>
      </w:tr>
      <w:tr w:rsidR="000042FF" w:rsidRPr="005734B8" w14:paraId="16284456" w14:textId="32102960" w:rsidTr="00363AAE">
        <w:trPr>
          <w:cantSplit/>
        </w:trPr>
        <w:tc>
          <w:tcPr>
            <w:tcW w:w="2431" w:type="dxa"/>
            <w:tcBorders>
              <w:top w:val="single" w:sz="18" w:space="0" w:color="53565A" w:themeColor="accent5"/>
              <w:bottom w:val="single" w:sz="18" w:space="0" w:color="53565A" w:themeColor="accent5"/>
            </w:tcBorders>
            <w:shd w:val="clear" w:color="auto" w:fill="auto"/>
            <w:vAlign w:val="center"/>
          </w:tcPr>
          <w:p w14:paraId="225943F1" w14:textId="77777777" w:rsidR="000042FF" w:rsidRPr="005734B8" w:rsidRDefault="000042FF" w:rsidP="000042FF">
            <w:pPr>
              <w:pStyle w:val="ESTablebody"/>
              <w:spacing w:after="100"/>
              <w:rPr>
                <w:rFonts w:ascii="Calibri" w:hAnsi="Calibri" w:cs="Calibri"/>
                <w:b/>
                <w:sz w:val="18"/>
              </w:rPr>
            </w:pPr>
            <w:r w:rsidRPr="005734B8">
              <w:rPr>
                <w:rFonts w:ascii="Calibri" w:hAnsi="Calibri" w:cs="Calibri"/>
                <w:b/>
                <w:sz w:val="18"/>
                <w:lang w:val="en-AU"/>
              </w:rPr>
              <w:t xml:space="preserve">Total other economic flows included in net result </w:t>
            </w:r>
          </w:p>
        </w:tc>
        <w:tc>
          <w:tcPr>
            <w:tcW w:w="851" w:type="dxa"/>
            <w:tcBorders>
              <w:top w:val="single" w:sz="18" w:space="0" w:color="53565A" w:themeColor="accent5"/>
              <w:bottom w:val="single" w:sz="18" w:space="0" w:color="53565A" w:themeColor="accent5"/>
            </w:tcBorders>
            <w:shd w:val="clear" w:color="auto" w:fill="auto"/>
            <w:vAlign w:val="center"/>
          </w:tcPr>
          <w:p w14:paraId="55902B3F" w14:textId="77777777" w:rsidR="000042FF" w:rsidRPr="005734B8" w:rsidRDefault="000042FF" w:rsidP="000042FF">
            <w:pPr>
              <w:pStyle w:val="ESTablenumberrightaligned"/>
              <w:spacing w:after="100"/>
              <w:rPr>
                <w:rFonts w:ascii="Calibri" w:hAnsi="Calibri" w:cs="Calibri"/>
                <w:b/>
                <w:sz w:val="18"/>
              </w:rPr>
            </w:pPr>
          </w:p>
        </w:tc>
        <w:tc>
          <w:tcPr>
            <w:tcW w:w="1173" w:type="dxa"/>
            <w:tcBorders>
              <w:top w:val="single" w:sz="18" w:space="0" w:color="53565A" w:themeColor="accent5"/>
              <w:bottom w:val="single" w:sz="18" w:space="0" w:color="53565A" w:themeColor="accent5"/>
            </w:tcBorders>
            <w:shd w:val="clear" w:color="auto" w:fill="D9D9D6" w:themeFill="accent6"/>
          </w:tcPr>
          <w:p w14:paraId="16D800A8" w14:textId="35A739BC"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rPr>
              <w:t>(34.7)</w:t>
            </w:r>
          </w:p>
        </w:tc>
        <w:tc>
          <w:tcPr>
            <w:tcW w:w="1076" w:type="dxa"/>
            <w:tcBorders>
              <w:top w:val="single" w:sz="18" w:space="0" w:color="53565A" w:themeColor="accent5"/>
              <w:bottom w:val="single" w:sz="18" w:space="0" w:color="53565A" w:themeColor="accent5"/>
            </w:tcBorders>
          </w:tcPr>
          <w:p w14:paraId="779DEEAA" w14:textId="28896A11"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rPr>
              <w:t>(23.0)</w:t>
            </w:r>
          </w:p>
        </w:tc>
        <w:tc>
          <w:tcPr>
            <w:tcW w:w="1026" w:type="dxa"/>
            <w:tcBorders>
              <w:top w:val="single" w:sz="18" w:space="0" w:color="53565A" w:themeColor="accent5"/>
              <w:bottom w:val="single" w:sz="18" w:space="0" w:color="53565A" w:themeColor="accent5"/>
            </w:tcBorders>
          </w:tcPr>
          <w:p w14:paraId="00D9F476" w14:textId="12B3D860"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rPr>
              <w:t>51</w:t>
            </w:r>
          </w:p>
        </w:tc>
        <w:tc>
          <w:tcPr>
            <w:tcW w:w="1418" w:type="dxa"/>
            <w:tcBorders>
              <w:top w:val="single" w:sz="18" w:space="0" w:color="53565A" w:themeColor="accent5"/>
              <w:bottom w:val="single" w:sz="18" w:space="0" w:color="53565A" w:themeColor="accent5"/>
            </w:tcBorders>
          </w:tcPr>
          <w:p w14:paraId="4483FA5B" w14:textId="1674A949"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rPr>
              <w:t>(11.7)</w:t>
            </w:r>
          </w:p>
        </w:tc>
      </w:tr>
      <w:tr w:rsidR="000042FF" w:rsidRPr="005734B8" w14:paraId="1C5C39C0" w14:textId="3B3E66E7" w:rsidTr="00363AAE">
        <w:trPr>
          <w:cantSplit/>
          <w:trHeight w:val="340"/>
        </w:trPr>
        <w:tc>
          <w:tcPr>
            <w:tcW w:w="2431" w:type="dxa"/>
            <w:tcBorders>
              <w:top w:val="single" w:sz="18" w:space="0" w:color="53565A" w:themeColor="accent5"/>
              <w:bottom w:val="single" w:sz="18" w:space="0" w:color="53565A" w:themeColor="accent5"/>
            </w:tcBorders>
            <w:shd w:val="clear" w:color="auto" w:fill="auto"/>
            <w:vAlign w:val="center"/>
          </w:tcPr>
          <w:p w14:paraId="21D25CED" w14:textId="77777777" w:rsidR="000042FF" w:rsidRPr="005734B8" w:rsidRDefault="000042FF" w:rsidP="000042FF">
            <w:pPr>
              <w:pStyle w:val="ESTablebody"/>
              <w:spacing w:after="100"/>
              <w:rPr>
                <w:rFonts w:ascii="Calibri" w:hAnsi="Calibri" w:cs="Calibri"/>
                <w:b/>
                <w:sz w:val="18"/>
                <w:lang w:val="en-AU"/>
              </w:rPr>
            </w:pPr>
            <w:r w:rsidRPr="005734B8">
              <w:rPr>
                <w:rFonts w:ascii="Calibri" w:hAnsi="Calibri" w:cs="Calibri"/>
                <w:b/>
                <w:sz w:val="18"/>
                <w:lang w:val="en-AU"/>
              </w:rPr>
              <w:t xml:space="preserve">Net result </w:t>
            </w:r>
          </w:p>
        </w:tc>
        <w:tc>
          <w:tcPr>
            <w:tcW w:w="851" w:type="dxa"/>
            <w:tcBorders>
              <w:top w:val="single" w:sz="18" w:space="0" w:color="53565A" w:themeColor="accent5"/>
              <w:bottom w:val="single" w:sz="18" w:space="0" w:color="53565A" w:themeColor="accent5"/>
            </w:tcBorders>
            <w:shd w:val="clear" w:color="auto" w:fill="auto"/>
            <w:vAlign w:val="center"/>
          </w:tcPr>
          <w:p w14:paraId="1E43C717" w14:textId="77777777" w:rsidR="000042FF" w:rsidRPr="005734B8" w:rsidRDefault="000042FF" w:rsidP="000042FF">
            <w:pPr>
              <w:pStyle w:val="ESTablenumberrightaligned"/>
              <w:spacing w:after="100"/>
              <w:rPr>
                <w:rFonts w:ascii="Calibri" w:hAnsi="Calibri" w:cs="Calibri"/>
                <w:b/>
                <w:sz w:val="18"/>
              </w:rPr>
            </w:pPr>
          </w:p>
        </w:tc>
        <w:tc>
          <w:tcPr>
            <w:tcW w:w="1173" w:type="dxa"/>
            <w:tcBorders>
              <w:top w:val="single" w:sz="18" w:space="0" w:color="53565A" w:themeColor="accent5"/>
              <w:bottom w:val="single" w:sz="18" w:space="0" w:color="53565A" w:themeColor="accent5"/>
            </w:tcBorders>
            <w:shd w:val="clear" w:color="auto" w:fill="D9D9D6" w:themeFill="accent6"/>
          </w:tcPr>
          <w:p w14:paraId="293992C7" w14:textId="50E7E7E1"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rPr>
              <w:t>5.9</w:t>
            </w:r>
          </w:p>
        </w:tc>
        <w:tc>
          <w:tcPr>
            <w:tcW w:w="1076" w:type="dxa"/>
            <w:tcBorders>
              <w:top w:val="single" w:sz="18" w:space="0" w:color="53565A" w:themeColor="accent5"/>
              <w:bottom w:val="single" w:sz="18" w:space="0" w:color="53565A" w:themeColor="accent5"/>
            </w:tcBorders>
          </w:tcPr>
          <w:p w14:paraId="20C09278" w14:textId="2A705640"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rPr>
              <w:t>0.1</w:t>
            </w:r>
          </w:p>
        </w:tc>
        <w:tc>
          <w:tcPr>
            <w:tcW w:w="1026" w:type="dxa"/>
            <w:tcBorders>
              <w:top w:val="single" w:sz="18" w:space="0" w:color="53565A" w:themeColor="accent5"/>
              <w:bottom w:val="single" w:sz="18" w:space="0" w:color="53565A" w:themeColor="accent5"/>
            </w:tcBorders>
          </w:tcPr>
          <w:p w14:paraId="16BFC596" w14:textId="122CAC60"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rPr>
              <w:t>11,712</w:t>
            </w:r>
          </w:p>
        </w:tc>
        <w:tc>
          <w:tcPr>
            <w:tcW w:w="1418" w:type="dxa"/>
            <w:tcBorders>
              <w:top w:val="single" w:sz="18" w:space="0" w:color="53565A" w:themeColor="accent5"/>
              <w:bottom w:val="single" w:sz="18" w:space="0" w:color="53565A" w:themeColor="accent5"/>
            </w:tcBorders>
          </w:tcPr>
          <w:p w14:paraId="560BC39D" w14:textId="0E49EC9A"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rPr>
              <w:t>5.9</w:t>
            </w:r>
          </w:p>
        </w:tc>
      </w:tr>
      <w:tr w:rsidR="000042FF" w:rsidRPr="005734B8" w14:paraId="4749A5BB" w14:textId="246D118A" w:rsidTr="00363AAE">
        <w:tc>
          <w:tcPr>
            <w:tcW w:w="2431" w:type="dxa"/>
            <w:tcBorders>
              <w:top w:val="single" w:sz="18" w:space="0" w:color="53565A" w:themeColor="accent5"/>
              <w:bottom w:val="single" w:sz="18" w:space="0" w:color="53565A" w:themeColor="accent5"/>
            </w:tcBorders>
            <w:shd w:val="clear" w:color="auto" w:fill="auto"/>
            <w:vAlign w:val="center"/>
          </w:tcPr>
          <w:p w14:paraId="19203AD1" w14:textId="77777777" w:rsidR="000042FF" w:rsidRPr="005734B8" w:rsidRDefault="000042FF" w:rsidP="000042FF">
            <w:pPr>
              <w:pStyle w:val="ESTablebody"/>
              <w:keepLines/>
              <w:widowControl w:val="0"/>
              <w:spacing w:after="100"/>
              <w:rPr>
                <w:rFonts w:ascii="Calibri" w:hAnsi="Calibri" w:cs="Calibri"/>
                <w:b/>
                <w:sz w:val="18"/>
                <w:lang w:val="en-AU"/>
              </w:rPr>
            </w:pPr>
            <w:r w:rsidRPr="005734B8">
              <w:rPr>
                <w:rFonts w:ascii="Calibri" w:hAnsi="Calibri" w:cs="Calibri"/>
                <w:b/>
                <w:sz w:val="18"/>
                <w:lang w:val="en-AU"/>
              </w:rPr>
              <w:t>Comprehensive result</w:t>
            </w:r>
          </w:p>
        </w:tc>
        <w:tc>
          <w:tcPr>
            <w:tcW w:w="851" w:type="dxa"/>
            <w:tcBorders>
              <w:top w:val="single" w:sz="18" w:space="0" w:color="53565A" w:themeColor="accent5"/>
              <w:bottom w:val="single" w:sz="18" w:space="0" w:color="53565A" w:themeColor="accent5"/>
            </w:tcBorders>
            <w:shd w:val="clear" w:color="auto" w:fill="auto"/>
            <w:vAlign w:val="center"/>
          </w:tcPr>
          <w:p w14:paraId="047D2305" w14:textId="77777777" w:rsidR="000042FF" w:rsidRPr="005734B8" w:rsidRDefault="000042FF" w:rsidP="000042FF">
            <w:pPr>
              <w:pStyle w:val="ESTablenumberrightaligned"/>
              <w:spacing w:after="100"/>
              <w:rPr>
                <w:rFonts w:ascii="Calibri" w:hAnsi="Calibri" w:cs="Calibri"/>
                <w:b/>
                <w:sz w:val="18"/>
              </w:rPr>
            </w:pPr>
          </w:p>
        </w:tc>
        <w:tc>
          <w:tcPr>
            <w:tcW w:w="1173" w:type="dxa"/>
            <w:tcBorders>
              <w:top w:val="single" w:sz="18" w:space="0" w:color="53565A" w:themeColor="accent5"/>
              <w:bottom w:val="single" w:sz="18" w:space="0" w:color="53565A" w:themeColor="accent5"/>
            </w:tcBorders>
            <w:shd w:val="clear" w:color="auto" w:fill="D9D9D6" w:themeFill="accent6"/>
          </w:tcPr>
          <w:p w14:paraId="4FB5280B" w14:textId="0F7C52D0"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rPr>
              <w:t>5.9</w:t>
            </w:r>
          </w:p>
        </w:tc>
        <w:tc>
          <w:tcPr>
            <w:tcW w:w="1076" w:type="dxa"/>
            <w:tcBorders>
              <w:top w:val="single" w:sz="18" w:space="0" w:color="53565A" w:themeColor="accent5"/>
              <w:bottom w:val="single" w:sz="18" w:space="0" w:color="53565A" w:themeColor="accent5"/>
            </w:tcBorders>
          </w:tcPr>
          <w:p w14:paraId="73CE14CB" w14:textId="7DF84B86"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rPr>
              <w:t>0.1</w:t>
            </w:r>
          </w:p>
        </w:tc>
        <w:tc>
          <w:tcPr>
            <w:tcW w:w="1026" w:type="dxa"/>
            <w:tcBorders>
              <w:top w:val="single" w:sz="18" w:space="0" w:color="53565A" w:themeColor="accent5"/>
              <w:bottom w:val="single" w:sz="18" w:space="0" w:color="53565A" w:themeColor="accent5"/>
            </w:tcBorders>
          </w:tcPr>
          <w:p w14:paraId="4400B80A" w14:textId="01003A17"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rPr>
              <w:t>11,712</w:t>
            </w:r>
          </w:p>
        </w:tc>
        <w:tc>
          <w:tcPr>
            <w:tcW w:w="1418" w:type="dxa"/>
            <w:tcBorders>
              <w:top w:val="single" w:sz="18" w:space="0" w:color="53565A" w:themeColor="accent5"/>
              <w:bottom w:val="single" w:sz="18" w:space="0" w:color="53565A" w:themeColor="accent5"/>
            </w:tcBorders>
          </w:tcPr>
          <w:p w14:paraId="6AA1410E" w14:textId="0FF4F324"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rPr>
              <w:t>5.9</w:t>
            </w:r>
          </w:p>
        </w:tc>
      </w:tr>
      <w:tr w:rsidR="000042FF" w:rsidRPr="005734B8" w14:paraId="2800FFAD" w14:textId="0E217C7B" w:rsidTr="00363AAE">
        <w:trPr>
          <w:cantSplit/>
        </w:trPr>
        <w:tc>
          <w:tcPr>
            <w:tcW w:w="2431" w:type="dxa"/>
            <w:tcBorders>
              <w:top w:val="single" w:sz="18" w:space="0" w:color="53565A" w:themeColor="accent5"/>
              <w:bottom w:val="single" w:sz="4" w:space="0" w:color="53565A" w:themeColor="accent5"/>
              <w:right w:val="nil"/>
            </w:tcBorders>
            <w:shd w:val="clear" w:color="auto" w:fill="53565A" w:themeFill="accent5"/>
            <w:vAlign w:val="center"/>
          </w:tcPr>
          <w:p w14:paraId="6F67C322" w14:textId="77777777" w:rsidR="000042FF" w:rsidRPr="005734B8" w:rsidRDefault="000042FF" w:rsidP="000042FF">
            <w:pPr>
              <w:pStyle w:val="ESTablebody"/>
              <w:spacing w:after="100"/>
              <w:rPr>
                <w:rFonts w:ascii="Calibri" w:hAnsi="Calibri" w:cs="Calibri"/>
                <w:b/>
                <w:color w:val="FFFFFF" w:themeColor="background1"/>
                <w:sz w:val="18"/>
              </w:rPr>
            </w:pPr>
            <w:r w:rsidRPr="005734B8">
              <w:rPr>
                <w:rFonts w:ascii="Calibri" w:hAnsi="Calibri" w:cs="Calibri"/>
                <w:b/>
                <w:color w:val="FFFFFF" w:themeColor="background1"/>
                <w:sz w:val="18"/>
                <w:lang w:val="en-AU"/>
              </w:rPr>
              <w:t>Administered assets</w:t>
            </w:r>
          </w:p>
        </w:tc>
        <w:tc>
          <w:tcPr>
            <w:tcW w:w="851" w:type="dxa"/>
            <w:tcBorders>
              <w:top w:val="single" w:sz="18" w:space="0" w:color="53565A" w:themeColor="accent5"/>
              <w:left w:val="nil"/>
              <w:bottom w:val="single" w:sz="4" w:space="0" w:color="53565A" w:themeColor="accent5"/>
              <w:right w:val="nil"/>
            </w:tcBorders>
            <w:shd w:val="clear" w:color="auto" w:fill="53565A" w:themeFill="accent5"/>
            <w:vAlign w:val="center"/>
          </w:tcPr>
          <w:p w14:paraId="7AB5E523" w14:textId="77777777" w:rsidR="000042FF" w:rsidRPr="005734B8" w:rsidRDefault="000042FF" w:rsidP="000042FF">
            <w:pPr>
              <w:pStyle w:val="ESTablenumberrightaligned"/>
              <w:spacing w:after="100"/>
              <w:rPr>
                <w:rFonts w:ascii="Calibri" w:hAnsi="Calibri" w:cs="Calibri"/>
                <w:b/>
                <w:color w:val="FFFFFF" w:themeColor="background1"/>
                <w:sz w:val="18"/>
              </w:rPr>
            </w:pPr>
          </w:p>
        </w:tc>
        <w:tc>
          <w:tcPr>
            <w:tcW w:w="1173" w:type="dxa"/>
            <w:tcBorders>
              <w:top w:val="single" w:sz="18" w:space="0" w:color="53565A" w:themeColor="accent5"/>
              <w:left w:val="nil"/>
              <w:bottom w:val="single" w:sz="4" w:space="0" w:color="53565A" w:themeColor="accent5"/>
              <w:right w:val="nil"/>
            </w:tcBorders>
            <w:shd w:val="clear" w:color="auto" w:fill="53565A" w:themeFill="accent5"/>
            <w:vAlign w:val="center"/>
          </w:tcPr>
          <w:p w14:paraId="2F245E3C" w14:textId="77777777" w:rsidR="000042FF" w:rsidRPr="005734B8" w:rsidRDefault="000042FF" w:rsidP="000042FF">
            <w:pPr>
              <w:pStyle w:val="ESTablenumberrightaligned"/>
              <w:spacing w:after="100"/>
              <w:rPr>
                <w:rFonts w:ascii="Calibri" w:hAnsi="Calibri" w:cs="Calibri"/>
                <w:b/>
                <w:color w:val="FFFFFF" w:themeColor="background1"/>
                <w:sz w:val="18"/>
              </w:rPr>
            </w:pPr>
          </w:p>
        </w:tc>
        <w:tc>
          <w:tcPr>
            <w:tcW w:w="1076" w:type="dxa"/>
            <w:tcBorders>
              <w:top w:val="single" w:sz="18" w:space="0" w:color="53565A" w:themeColor="accent5"/>
              <w:left w:val="nil"/>
              <w:bottom w:val="single" w:sz="4" w:space="0" w:color="53565A" w:themeColor="accent5"/>
              <w:right w:val="nil"/>
            </w:tcBorders>
            <w:shd w:val="clear" w:color="auto" w:fill="53565A" w:themeFill="accent5"/>
            <w:vAlign w:val="center"/>
          </w:tcPr>
          <w:p w14:paraId="213FFAA4" w14:textId="77777777" w:rsidR="000042FF" w:rsidRPr="005734B8" w:rsidRDefault="000042FF" w:rsidP="000042FF">
            <w:pPr>
              <w:pStyle w:val="ESTablenumberrightaligned"/>
              <w:spacing w:after="100"/>
              <w:rPr>
                <w:rFonts w:ascii="Calibri" w:hAnsi="Calibri" w:cs="Calibri"/>
                <w:b/>
                <w:color w:val="FFFFFF" w:themeColor="background1"/>
                <w:sz w:val="18"/>
              </w:rPr>
            </w:pPr>
          </w:p>
        </w:tc>
        <w:tc>
          <w:tcPr>
            <w:tcW w:w="1026" w:type="dxa"/>
            <w:tcBorders>
              <w:top w:val="single" w:sz="18" w:space="0" w:color="53565A" w:themeColor="accent5"/>
              <w:left w:val="nil"/>
              <w:bottom w:val="single" w:sz="4" w:space="0" w:color="53565A" w:themeColor="accent5"/>
              <w:right w:val="nil"/>
            </w:tcBorders>
            <w:shd w:val="clear" w:color="auto" w:fill="53565A" w:themeFill="accent5"/>
            <w:vAlign w:val="center"/>
          </w:tcPr>
          <w:p w14:paraId="2E7F2D10" w14:textId="77777777" w:rsidR="000042FF" w:rsidRPr="005734B8" w:rsidRDefault="000042FF" w:rsidP="000042FF">
            <w:pPr>
              <w:pStyle w:val="ESTablenumberrightaligned"/>
              <w:spacing w:after="100"/>
              <w:rPr>
                <w:rFonts w:ascii="Calibri" w:hAnsi="Calibri" w:cs="Calibri"/>
                <w:b/>
                <w:color w:val="FFFFFF" w:themeColor="background1"/>
                <w:sz w:val="18"/>
              </w:rPr>
            </w:pPr>
          </w:p>
        </w:tc>
        <w:tc>
          <w:tcPr>
            <w:tcW w:w="1418" w:type="dxa"/>
            <w:tcBorders>
              <w:top w:val="single" w:sz="18" w:space="0" w:color="53565A" w:themeColor="accent5"/>
              <w:left w:val="nil"/>
              <w:bottom w:val="single" w:sz="4" w:space="0" w:color="53565A" w:themeColor="accent5"/>
              <w:right w:val="nil"/>
            </w:tcBorders>
            <w:shd w:val="clear" w:color="auto" w:fill="53565A" w:themeFill="accent5"/>
            <w:vAlign w:val="center"/>
          </w:tcPr>
          <w:p w14:paraId="5FF07D3A" w14:textId="77777777" w:rsidR="000042FF" w:rsidRPr="005734B8" w:rsidRDefault="000042FF" w:rsidP="000042FF">
            <w:pPr>
              <w:pStyle w:val="ESTablenumberrightaligned"/>
              <w:spacing w:after="100"/>
              <w:rPr>
                <w:rFonts w:ascii="Calibri" w:hAnsi="Calibri" w:cs="Calibri"/>
                <w:b/>
                <w:color w:val="FFFFFF" w:themeColor="background1"/>
                <w:sz w:val="18"/>
              </w:rPr>
            </w:pPr>
          </w:p>
        </w:tc>
      </w:tr>
      <w:tr w:rsidR="000042FF" w:rsidRPr="005734B8" w14:paraId="3B662399" w14:textId="14E62D4D" w:rsidTr="00363AAE">
        <w:trPr>
          <w:cantSplit/>
        </w:trPr>
        <w:tc>
          <w:tcPr>
            <w:tcW w:w="2431" w:type="dxa"/>
            <w:tcBorders>
              <w:top w:val="single" w:sz="4" w:space="0" w:color="53565A" w:themeColor="accent5"/>
              <w:bottom w:val="single" w:sz="4" w:space="0" w:color="53565A" w:themeColor="accent5"/>
            </w:tcBorders>
            <w:shd w:val="clear" w:color="auto" w:fill="auto"/>
            <w:vAlign w:val="center"/>
          </w:tcPr>
          <w:p w14:paraId="495D4F03" w14:textId="6CEEDD6A" w:rsidR="000042FF" w:rsidRPr="005734B8" w:rsidRDefault="000042FF" w:rsidP="000042FF">
            <w:pPr>
              <w:pStyle w:val="ESTablebody"/>
              <w:spacing w:after="100"/>
              <w:rPr>
                <w:rFonts w:ascii="Calibri" w:hAnsi="Calibri" w:cs="Calibri"/>
                <w:sz w:val="18"/>
              </w:rPr>
            </w:pPr>
            <w:r w:rsidRPr="005734B8">
              <w:rPr>
                <w:rFonts w:ascii="Calibri" w:hAnsi="Calibri" w:cs="Calibri"/>
                <w:sz w:val="18"/>
              </w:rPr>
              <w:t>Cash and deposits</w:t>
            </w:r>
          </w:p>
        </w:tc>
        <w:tc>
          <w:tcPr>
            <w:tcW w:w="851" w:type="dxa"/>
            <w:tcBorders>
              <w:top w:val="single" w:sz="4" w:space="0" w:color="53565A" w:themeColor="accent5"/>
              <w:bottom w:val="single" w:sz="4" w:space="0" w:color="53565A" w:themeColor="accent5"/>
            </w:tcBorders>
            <w:shd w:val="clear" w:color="auto" w:fill="auto"/>
            <w:vAlign w:val="bottom"/>
          </w:tcPr>
          <w:p w14:paraId="1BAD04A7" w14:textId="03FF50DA" w:rsidR="000042FF" w:rsidRPr="005734B8" w:rsidRDefault="000042FF" w:rsidP="000042FF">
            <w:pPr>
              <w:pStyle w:val="ESTablenumberrightaligned"/>
              <w:spacing w:after="100"/>
              <w:rPr>
                <w:rFonts w:ascii="Calibri" w:hAnsi="Calibri" w:cs="Calibri"/>
                <w:sz w:val="18"/>
              </w:rPr>
            </w:pPr>
          </w:p>
        </w:tc>
        <w:tc>
          <w:tcPr>
            <w:tcW w:w="1173" w:type="dxa"/>
            <w:tcBorders>
              <w:top w:val="single" w:sz="4" w:space="0" w:color="53565A" w:themeColor="accent5"/>
              <w:bottom w:val="single" w:sz="4" w:space="0" w:color="53565A" w:themeColor="accent5"/>
            </w:tcBorders>
            <w:shd w:val="clear" w:color="auto" w:fill="D9D9D6" w:themeFill="accent6"/>
          </w:tcPr>
          <w:p w14:paraId="579836FC" w14:textId="1B060D57" w:rsidR="000042FF" w:rsidRPr="005734B8" w:rsidRDefault="00363AAE" w:rsidP="000042FF">
            <w:pPr>
              <w:pStyle w:val="ESTablenumberrightaligned"/>
              <w:spacing w:after="100"/>
              <w:rPr>
                <w:rFonts w:ascii="Calibri" w:hAnsi="Calibri" w:cs="Calibri"/>
                <w:sz w:val="18"/>
              </w:rPr>
            </w:pPr>
            <w:r w:rsidRPr="005734B8">
              <w:rPr>
                <w:rFonts w:ascii="Calibri" w:hAnsi="Calibri" w:cs="Calibri"/>
                <w:sz w:val="18"/>
              </w:rPr>
              <w:t>–</w:t>
            </w:r>
          </w:p>
        </w:tc>
        <w:tc>
          <w:tcPr>
            <w:tcW w:w="1076" w:type="dxa"/>
            <w:tcBorders>
              <w:top w:val="single" w:sz="4" w:space="0" w:color="53565A" w:themeColor="accent5"/>
              <w:bottom w:val="single" w:sz="4" w:space="0" w:color="53565A" w:themeColor="accent5"/>
            </w:tcBorders>
          </w:tcPr>
          <w:p w14:paraId="058243DB" w14:textId="28498FDF" w:rsidR="000042FF" w:rsidRPr="005734B8" w:rsidRDefault="00363AAE" w:rsidP="000042FF">
            <w:pPr>
              <w:pStyle w:val="ESTablenumberrightaligned"/>
              <w:spacing w:after="100"/>
              <w:rPr>
                <w:rFonts w:ascii="Calibri" w:hAnsi="Calibri" w:cs="Calibri"/>
                <w:sz w:val="18"/>
              </w:rPr>
            </w:pPr>
            <w:r w:rsidRPr="005734B8">
              <w:rPr>
                <w:rFonts w:ascii="Calibri" w:hAnsi="Calibri" w:cs="Calibri"/>
                <w:sz w:val="18"/>
              </w:rPr>
              <w:t>–</w:t>
            </w:r>
          </w:p>
        </w:tc>
        <w:tc>
          <w:tcPr>
            <w:tcW w:w="1026" w:type="dxa"/>
            <w:tcBorders>
              <w:top w:val="single" w:sz="4" w:space="0" w:color="53565A" w:themeColor="accent5"/>
              <w:bottom w:val="single" w:sz="4" w:space="0" w:color="53565A" w:themeColor="accent5"/>
            </w:tcBorders>
          </w:tcPr>
          <w:p w14:paraId="7171E805" w14:textId="01CB579F" w:rsidR="000042FF" w:rsidRPr="005734B8" w:rsidRDefault="002653E2" w:rsidP="000042FF">
            <w:pPr>
              <w:pStyle w:val="ESTablenumberrightaligned"/>
              <w:spacing w:after="100"/>
              <w:rPr>
                <w:rFonts w:ascii="Calibri" w:hAnsi="Calibri" w:cs="Calibri"/>
                <w:sz w:val="18"/>
              </w:rPr>
            </w:pPr>
            <w:r w:rsidRPr="005734B8">
              <w:rPr>
                <w:rFonts w:ascii="Calibri" w:hAnsi="Calibri" w:cs="Calibri"/>
                <w:sz w:val="18"/>
              </w:rPr>
              <w:t>–</w:t>
            </w:r>
          </w:p>
        </w:tc>
        <w:tc>
          <w:tcPr>
            <w:tcW w:w="1418" w:type="dxa"/>
            <w:tcBorders>
              <w:top w:val="single" w:sz="4" w:space="0" w:color="53565A" w:themeColor="accent5"/>
              <w:bottom w:val="single" w:sz="4" w:space="0" w:color="53565A" w:themeColor="accent5"/>
            </w:tcBorders>
          </w:tcPr>
          <w:p w14:paraId="39DF0240" w14:textId="552785BF"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rPr>
              <w:t>–</w:t>
            </w:r>
          </w:p>
        </w:tc>
      </w:tr>
      <w:tr w:rsidR="000042FF" w:rsidRPr="005734B8" w14:paraId="0EA2E54A" w14:textId="77777777" w:rsidTr="00363AAE">
        <w:trPr>
          <w:cantSplit/>
        </w:trPr>
        <w:tc>
          <w:tcPr>
            <w:tcW w:w="2431" w:type="dxa"/>
            <w:tcBorders>
              <w:top w:val="single" w:sz="4" w:space="0" w:color="53565A" w:themeColor="accent5"/>
              <w:bottom w:val="single" w:sz="4" w:space="0" w:color="53565A" w:themeColor="accent5"/>
            </w:tcBorders>
            <w:shd w:val="clear" w:color="auto" w:fill="auto"/>
            <w:vAlign w:val="center"/>
          </w:tcPr>
          <w:p w14:paraId="647FBD2D" w14:textId="7C6B00B0" w:rsidR="000042FF" w:rsidRPr="005734B8" w:rsidRDefault="000042FF" w:rsidP="000042FF">
            <w:pPr>
              <w:pStyle w:val="ESTablebody"/>
              <w:spacing w:after="100"/>
              <w:rPr>
                <w:rFonts w:ascii="Calibri" w:hAnsi="Calibri" w:cs="Calibri"/>
                <w:sz w:val="18"/>
                <w:lang w:val="en-AU"/>
              </w:rPr>
            </w:pPr>
            <w:r w:rsidRPr="005734B8">
              <w:rPr>
                <w:rFonts w:ascii="Calibri" w:hAnsi="Calibri" w:cs="Calibri"/>
                <w:sz w:val="18"/>
                <w:lang w:val="en-AU"/>
              </w:rPr>
              <w:t>Receivables</w:t>
            </w:r>
          </w:p>
        </w:tc>
        <w:tc>
          <w:tcPr>
            <w:tcW w:w="851" w:type="dxa"/>
            <w:tcBorders>
              <w:top w:val="single" w:sz="4" w:space="0" w:color="53565A" w:themeColor="accent5"/>
              <w:bottom w:val="single" w:sz="4" w:space="0" w:color="53565A" w:themeColor="accent5"/>
            </w:tcBorders>
            <w:shd w:val="clear" w:color="auto" w:fill="auto"/>
            <w:vAlign w:val="bottom"/>
          </w:tcPr>
          <w:p w14:paraId="13894D54" w14:textId="7201F1D0"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rPr>
              <w:t>f</w:t>
            </w:r>
          </w:p>
        </w:tc>
        <w:tc>
          <w:tcPr>
            <w:tcW w:w="1173" w:type="dxa"/>
            <w:tcBorders>
              <w:top w:val="single" w:sz="4" w:space="0" w:color="53565A" w:themeColor="accent5"/>
              <w:bottom w:val="single" w:sz="4" w:space="0" w:color="53565A" w:themeColor="accent5"/>
            </w:tcBorders>
            <w:shd w:val="clear" w:color="auto" w:fill="D9D9D6" w:themeFill="accent6"/>
          </w:tcPr>
          <w:p w14:paraId="15684B29" w14:textId="4775E6B2"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rPr>
              <w:t>42.9</w:t>
            </w:r>
          </w:p>
        </w:tc>
        <w:tc>
          <w:tcPr>
            <w:tcW w:w="1076" w:type="dxa"/>
            <w:tcBorders>
              <w:top w:val="single" w:sz="4" w:space="0" w:color="53565A" w:themeColor="accent5"/>
              <w:bottom w:val="single" w:sz="4" w:space="0" w:color="53565A" w:themeColor="accent5"/>
            </w:tcBorders>
          </w:tcPr>
          <w:p w14:paraId="5D182DD9" w14:textId="160A52AF"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rPr>
              <w:t>37.0</w:t>
            </w:r>
          </w:p>
        </w:tc>
        <w:tc>
          <w:tcPr>
            <w:tcW w:w="1026" w:type="dxa"/>
            <w:tcBorders>
              <w:top w:val="single" w:sz="4" w:space="0" w:color="53565A" w:themeColor="accent5"/>
              <w:bottom w:val="single" w:sz="4" w:space="0" w:color="53565A" w:themeColor="accent5"/>
            </w:tcBorders>
          </w:tcPr>
          <w:p w14:paraId="03A3C264" w14:textId="5E5DAD58"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rPr>
              <w:t>16</w:t>
            </w:r>
          </w:p>
        </w:tc>
        <w:tc>
          <w:tcPr>
            <w:tcW w:w="1418" w:type="dxa"/>
            <w:tcBorders>
              <w:top w:val="single" w:sz="4" w:space="0" w:color="53565A" w:themeColor="accent5"/>
              <w:bottom w:val="single" w:sz="4" w:space="0" w:color="53565A" w:themeColor="accent5"/>
            </w:tcBorders>
          </w:tcPr>
          <w:p w14:paraId="3C6520AA" w14:textId="26A13554"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rPr>
              <w:t>5.9</w:t>
            </w:r>
          </w:p>
        </w:tc>
      </w:tr>
      <w:tr w:rsidR="000042FF" w:rsidRPr="005734B8" w14:paraId="11933DF4" w14:textId="77777777" w:rsidTr="00363AAE">
        <w:trPr>
          <w:cantSplit/>
        </w:trPr>
        <w:tc>
          <w:tcPr>
            <w:tcW w:w="2431" w:type="dxa"/>
            <w:tcBorders>
              <w:top w:val="single" w:sz="4" w:space="0" w:color="53565A" w:themeColor="accent5"/>
              <w:bottom w:val="single" w:sz="4" w:space="0" w:color="53565A" w:themeColor="accent5"/>
            </w:tcBorders>
            <w:shd w:val="clear" w:color="auto" w:fill="auto"/>
            <w:vAlign w:val="center"/>
          </w:tcPr>
          <w:p w14:paraId="0AC6D399" w14:textId="5BD8A4D4" w:rsidR="000042FF" w:rsidRPr="005734B8" w:rsidRDefault="000042FF" w:rsidP="000042FF">
            <w:pPr>
              <w:pStyle w:val="ESTablebody"/>
              <w:spacing w:after="100"/>
              <w:rPr>
                <w:rFonts w:ascii="Calibri" w:hAnsi="Calibri" w:cs="Calibri"/>
                <w:sz w:val="18"/>
                <w:lang w:val="en-AU"/>
              </w:rPr>
            </w:pPr>
            <w:r w:rsidRPr="005734B8">
              <w:rPr>
                <w:rFonts w:ascii="Calibri" w:hAnsi="Calibri" w:cs="Calibri"/>
                <w:sz w:val="18"/>
                <w:lang w:val="en-AU"/>
              </w:rPr>
              <w:t>Other financial assets</w:t>
            </w:r>
          </w:p>
        </w:tc>
        <w:tc>
          <w:tcPr>
            <w:tcW w:w="851" w:type="dxa"/>
            <w:tcBorders>
              <w:top w:val="single" w:sz="4" w:space="0" w:color="53565A" w:themeColor="accent5"/>
              <w:bottom w:val="single" w:sz="4" w:space="0" w:color="53565A" w:themeColor="accent5"/>
            </w:tcBorders>
            <w:shd w:val="clear" w:color="auto" w:fill="auto"/>
            <w:vAlign w:val="bottom"/>
          </w:tcPr>
          <w:p w14:paraId="08B0399A" w14:textId="0580F44B" w:rsidR="000042FF" w:rsidRPr="005734B8" w:rsidRDefault="000042FF" w:rsidP="000042FF">
            <w:pPr>
              <w:pStyle w:val="ESTablenumberrightaligned"/>
              <w:spacing w:after="100"/>
              <w:rPr>
                <w:rFonts w:ascii="Calibri" w:hAnsi="Calibri" w:cs="Calibri"/>
                <w:sz w:val="18"/>
              </w:rPr>
            </w:pPr>
          </w:p>
        </w:tc>
        <w:tc>
          <w:tcPr>
            <w:tcW w:w="1173" w:type="dxa"/>
            <w:tcBorders>
              <w:top w:val="single" w:sz="4" w:space="0" w:color="53565A" w:themeColor="accent5"/>
              <w:bottom w:val="single" w:sz="4" w:space="0" w:color="53565A" w:themeColor="accent5"/>
            </w:tcBorders>
            <w:shd w:val="clear" w:color="auto" w:fill="D9D9D6" w:themeFill="accent6"/>
          </w:tcPr>
          <w:p w14:paraId="6B9E7214" w14:textId="040BEEC4"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rPr>
              <w:t>–</w:t>
            </w:r>
          </w:p>
        </w:tc>
        <w:tc>
          <w:tcPr>
            <w:tcW w:w="1076" w:type="dxa"/>
            <w:tcBorders>
              <w:top w:val="single" w:sz="4" w:space="0" w:color="53565A" w:themeColor="accent5"/>
              <w:bottom w:val="single" w:sz="4" w:space="0" w:color="53565A" w:themeColor="accent5"/>
            </w:tcBorders>
          </w:tcPr>
          <w:p w14:paraId="388B5EC1" w14:textId="54BF5394"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rPr>
              <w:t>–</w:t>
            </w:r>
          </w:p>
        </w:tc>
        <w:tc>
          <w:tcPr>
            <w:tcW w:w="1026" w:type="dxa"/>
            <w:tcBorders>
              <w:top w:val="single" w:sz="4" w:space="0" w:color="53565A" w:themeColor="accent5"/>
              <w:bottom w:val="single" w:sz="4" w:space="0" w:color="53565A" w:themeColor="accent5"/>
            </w:tcBorders>
          </w:tcPr>
          <w:p w14:paraId="55BEE4C2" w14:textId="61ABBEE0" w:rsidR="000042FF" w:rsidRPr="005734B8" w:rsidRDefault="002653E2" w:rsidP="000042FF">
            <w:pPr>
              <w:pStyle w:val="ESTablenumberrightaligned"/>
              <w:spacing w:after="100"/>
              <w:rPr>
                <w:rFonts w:ascii="Calibri" w:hAnsi="Calibri" w:cs="Calibri"/>
                <w:sz w:val="18"/>
              </w:rPr>
            </w:pPr>
            <w:r w:rsidRPr="005734B8">
              <w:rPr>
                <w:rFonts w:ascii="Calibri" w:hAnsi="Calibri" w:cs="Calibri"/>
                <w:sz w:val="18"/>
              </w:rPr>
              <w:t>–</w:t>
            </w:r>
          </w:p>
        </w:tc>
        <w:tc>
          <w:tcPr>
            <w:tcW w:w="1418" w:type="dxa"/>
            <w:tcBorders>
              <w:top w:val="single" w:sz="4" w:space="0" w:color="53565A" w:themeColor="accent5"/>
              <w:bottom w:val="single" w:sz="4" w:space="0" w:color="53565A" w:themeColor="accent5"/>
            </w:tcBorders>
          </w:tcPr>
          <w:p w14:paraId="175ACDBB" w14:textId="3B084619"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rPr>
              <w:t>–</w:t>
            </w:r>
          </w:p>
        </w:tc>
      </w:tr>
      <w:tr w:rsidR="000042FF" w:rsidRPr="005734B8" w14:paraId="6448150C" w14:textId="40D560EE" w:rsidTr="00363AAE">
        <w:trPr>
          <w:cantSplit/>
        </w:trPr>
        <w:tc>
          <w:tcPr>
            <w:tcW w:w="2431" w:type="dxa"/>
            <w:tcBorders>
              <w:top w:val="single" w:sz="18" w:space="0" w:color="53565A" w:themeColor="accent5"/>
              <w:bottom w:val="nil"/>
            </w:tcBorders>
            <w:shd w:val="clear" w:color="auto" w:fill="auto"/>
            <w:vAlign w:val="center"/>
          </w:tcPr>
          <w:p w14:paraId="3D5C821B" w14:textId="77777777" w:rsidR="000042FF" w:rsidRPr="005734B8" w:rsidRDefault="000042FF" w:rsidP="000042FF">
            <w:pPr>
              <w:pStyle w:val="ESTablebody"/>
              <w:spacing w:after="100"/>
              <w:rPr>
                <w:rFonts w:ascii="Calibri" w:hAnsi="Calibri" w:cs="Calibri"/>
                <w:b/>
                <w:sz w:val="18"/>
              </w:rPr>
            </w:pPr>
            <w:r w:rsidRPr="005734B8">
              <w:rPr>
                <w:rFonts w:ascii="Calibri" w:hAnsi="Calibri" w:cs="Calibri"/>
                <w:b/>
                <w:sz w:val="18"/>
                <w:lang w:val="en-AU"/>
              </w:rPr>
              <w:t>Total administered assets</w:t>
            </w:r>
          </w:p>
        </w:tc>
        <w:tc>
          <w:tcPr>
            <w:tcW w:w="851" w:type="dxa"/>
            <w:tcBorders>
              <w:top w:val="single" w:sz="18" w:space="0" w:color="53565A" w:themeColor="accent5"/>
              <w:bottom w:val="nil"/>
            </w:tcBorders>
            <w:shd w:val="clear" w:color="auto" w:fill="auto"/>
            <w:vAlign w:val="bottom"/>
          </w:tcPr>
          <w:p w14:paraId="20F8275E" w14:textId="77777777" w:rsidR="000042FF" w:rsidRPr="005734B8" w:rsidRDefault="000042FF" w:rsidP="000042FF">
            <w:pPr>
              <w:pStyle w:val="ESTablenumberrightaligned"/>
              <w:spacing w:after="100"/>
              <w:rPr>
                <w:rFonts w:ascii="Calibri" w:hAnsi="Calibri" w:cs="Calibri"/>
                <w:b/>
                <w:sz w:val="18"/>
              </w:rPr>
            </w:pPr>
          </w:p>
        </w:tc>
        <w:tc>
          <w:tcPr>
            <w:tcW w:w="1173" w:type="dxa"/>
            <w:tcBorders>
              <w:top w:val="single" w:sz="18" w:space="0" w:color="53565A" w:themeColor="accent5"/>
              <w:bottom w:val="nil"/>
            </w:tcBorders>
            <w:shd w:val="clear" w:color="auto" w:fill="D9D9D6" w:themeFill="accent6"/>
          </w:tcPr>
          <w:p w14:paraId="6B0B07A7" w14:textId="516120F9"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rPr>
              <w:t>42.9</w:t>
            </w:r>
          </w:p>
        </w:tc>
        <w:tc>
          <w:tcPr>
            <w:tcW w:w="1076" w:type="dxa"/>
            <w:tcBorders>
              <w:top w:val="single" w:sz="18" w:space="0" w:color="53565A" w:themeColor="accent5"/>
              <w:bottom w:val="nil"/>
            </w:tcBorders>
          </w:tcPr>
          <w:p w14:paraId="21318EF3" w14:textId="6A7ABFBE"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rPr>
              <w:t>37.0</w:t>
            </w:r>
          </w:p>
        </w:tc>
        <w:tc>
          <w:tcPr>
            <w:tcW w:w="1026" w:type="dxa"/>
            <w:tcBorders>
              <w:top w:val="single" w:sz="18" w:space="0" w:color="53565A" w:themeColor="accent5"/>
              <w:bottom w:val="nil"/>
            </w:tcBorders>
          </w:tcPr>
          <w:p w14:paraId="0545CEBB" w14:textId="584393FD"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rPr>
              <w:t>16</w:t>
            </w:r>
          </w:p>
        </w:tc>
        <w:tc>
          <w:tcPr>
            <w:tcW w:w="1418" w:type="dxa"/>
            <w:tcBorders>
              <w:top w:val="single" w:sz="18" w:space="0" w:color="53565A" w:themeColor="accent5"/>
              <w:bottom w:val="nil"/>
            </w:tcBorders>
          </w:tcPr>
          <w:p w14:paraId="6218963A" w14:textId="62B4B556"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rPr>
              <w:t>5.9</w:t>
            </w:r>
          </w:p>
        </w:tc>
      </w:tr>
      <w:tr w:rsidR="000042FF" w:rsidRPr="005734B8" w14:paraId="024AA6F5" w14:textId="19DB1911" w:rsidTr="00363AAE">
        <w:trPr>
          <w:cantSplit/>
        </w:trPr>
        <w:tc>
          <w:tcPr>
            <w:tcW w:w="2431" w:type="dxa"/>
            <w:tcBorders>
              <w:top w:val="nil"/>
              <w:bottom w:val="nil"/>
              <w:right w:val="nil"/>
            </w:tcBorders>
            <w:shd w:val="clear" w:color="auto" w:fill="53565A" w:themeFill="accent5"/>
            <w:vAlign w:val="center"/>
          </w:tcPr>
          <w:p w14:paraId="3C5C4F5E" w14:textId="77777777" w:rsidR="000042FF" w:rsidRPr="005734B8" w:rsidRDefault="000042FF" w:rsidP="000042FF">
            <w:pPr>
              <w:pStyle w:val="ESTablebody"/>
              <w:spacing w:after="100"/>
              <w:rPr>
                <w:rFonts w:ascii="Calibri" w:hAnsi="Calibri" w:cs="Calibri"/>
                <w:b/>
                <w:color w:val="FFFFFF" w:themeColor="background1"/>
                <w:sz w:val="18"/>
              </w:rPr>
            </w:pPr>
            <w:r w:rsidRPr="005734B8">
              <w:rPr>
                <w:rFonts w:ascii="Calibri" w:hAnsi="Calibri" w:cs="Calibri"/>
                <w:b/>
                <w:color w:val="FFFFFF" w:themeColor="background1"/>
                <w:sz w:val="18"/>
                <w:lang w:val="en-AU"/>
              </w:rPr>
              <w:t>Administered liabilities</w:t>
            </w:r>
          </w:p>
        </w:tc>
        <w:tc>
          <w:tcPr>
            <w:tcW w:w="851" w:type="dxa"/>
            <w:tcBorders>
              <w:top w:val="nil"/>
              <w:left w:val="nil"/>
              <w:bottom w:val="nil"/>
              <w:right w:val="nil"/>
            </w:tcBorders>
            <w:shd w:val="clear" w:color="auto" w:fill="53565A" w:themeFill="accent5"/>
            <w:vAlign w:val="center"/>
          </w:tcPr>
          <w:p w14:paraId="3C5D931A" w14:textId="77777777" w:rsidR="000042FF" w:rsidRPr="005734B8" w:rsidRDefault="000042FF" w:rsidP="000042FF">
            <w:pPr>
              <w:pStyle w:val="ESTablenumberrightaligned"/>
              <w:spacing w:after="100"/>
              <w:rPr>
                <w:rFonts w:ascii="Calibri" w:hAnsi="Calibri" w:cs="Calibri"/>
                <w:b/>
                <w:color w:val="FFFFFF" w:themeColor="background1"/>
                <w:sz w:val="18"/>
              </w:rPr>
            </w:pPr>
          </w:p>
        </w:tc>
        <w:tc>
          <w:tcPr>
            <w:tcW w:w="1173" w:type="dxa"/>
            <w:tcBorders>
              <w:top w:val="nil"/>
              <w:left w:val="nil"/>
              <w:bottom w:val="nil"/>
              <w:right w:val="nil"/>
            </w:tcBorders>
            <w:shd w:val="clear" w:color="auto" w:fill="53565A" w:themeFill="accent5"/>
            <w:vAlign w:val="center"/>
          </w:tcPr>
          <w:p w14:paraId="6CE130FF" w14:textId="77777777" w:rsidR="000042FF" w:rsidRPr="005734B8" w:rsidRDefault="000042FF" w:rsidP="000042FF">
            <w:pPr>
              <w:pStyle w:val="ESTablenumberrightaligned"/>
              <w:spacing w:after="100"/>
              <w:rPr>
                <w:rFonts w:ascii="Calibri" w:hAnsi="Calibri" w:cs="Calibri"/>
                <w:b/>
                <w:color w:val="FFFFFF" w:themeColor="background1"/>
                <w:sz w:val="18"/>
              </w:rPr>
            </w:pPr>
          </w:p>
        </w:tc>
        <w:tc>
          <w:tcPr>
            <w:tcW w:w="1076" w:type="dxa"/>
            <w:tcBorders>
              <w:top w:val="nil"/>
              <w:left w:val="nil"/>
              <w:bottom w:val="nil"/>
              <w:right w:val="nil"/>
            </w:tcBorders>
            <w:shd w:val="clear" w:color="auto" w:fill="53565A" w:themeFill="accent5"/>
            <w:vAlign w:val="center"/>
          </w:tcPr>
          <w:p w14:paraId="16219DB3" w14:textId="77777777" w:rsidR="000042FF" w:rsidRPr="005734B8" w:rsidRDefault="000042FF" w:rsidP="000042FF">
            <w:pPr>
              <w:pStyle w:val="ESTablenumberrightaligned"/>
              <w:spacing w:after="100"/>
              <w:rPr>
                <w:rFonts w:ascii="Calibri" w:hAnsi="Calibri" w:cs="Calibri"/>
                <w:b/>
                <w:color w:val="FFFFFF" w:themeColor="background1"/>
                <w:sz w:val="18"/>
              </w:rPr>
            </w:pPr>
          </w:p>
        </w:tc>
        <w:tc>
          <w:tcPr>
            <w:tcW w:w="1026" w:type="dxa"/>
            <w:tcBorders>
              <w:top w:val="nil"/>
              <w:left w:val="nil"/>
              <w:bottom w:val="nil"/>
              <w:right w:val="nil"/>
            </w:tcBorders>
            <w:shd w:val="clear" w:color="auto" w:fill="53565A" w:themeFill="accent5"/>
            <w:vAlign w:val="center"/>
          </w:tcPr>
          <w:p w14:paraId="22ABA7A2" w14:textId="77777777" w:rsidR="000042FF" w:rsidRPr="005734B8" w:rsidRDefault="000042FF" w:rsidP="000042FF">
            <w:pPr>
              <w:pStyle w:val="ESTablenumberrightaligned"/>
              <w:spacing w:after="100"/>
              <w:rPr>
                <w:rFonts w:ascii="Calibri" w:hAnsi="Calibri" w:cs="Calibri"/>
                <w:b/>
                <w:color w:val="FFFFFF" w:themeColor="background1"/>
                <w:sz w:val="18"/>
              </w:rPr>
            </w:pPr>
          </w:p>
        </w:tc>
        <w:tc>
          <w:tcPr>
            <w:tcW w:w="1418" w:type="dxa"/>
            <w:tcBorders>
              <w:top w:val="nil"/>
              <w:left w:val="nil"/>
              <w:bottom w:val="nil"/>
              <w:right w:val="nil"/>
            </w:tcBorders>
            <w:shd w:val="clear" w:color="auto" w:fill="53565A" w:themeFill="accent5"/>
            <w:vAlign w:val="center"/>
          </w:tcPr>
          <w:p w14:paraId="2E4AAFE5" w14:textId="77777777" w:rsidR="000042FF" w:rsidRPr="005734B8" w:rsidRDefault="000042FF" w:rsidP="000042FF">
            <w:pPr>
              <w:pStyle w:val="ESTablenumberrightaligned"/>
              <w:spacing w:after="100"/>
              <w:rPr>
                <w:rFonts w:ascii="Calibri" w:hAnsi="Calibri" w:cs="Calibri"/>
                <w:b/>
                <w:color w:val="FFFFFF" w:themeColor="background1"/>
                <w:sz w:val="18"/>
              </w:rPr>
            </w:pPr>
          </w:p>
        </w:tc>
      </w:tr>
      <w:tr w:rsidR="000042FF" w:rsidRPr="005734B8" w14:paraId="7BB641D9" w14:textId="77777777" w:rsidTr="00425C3C">
        <w:trPr>
          <w:cantSplit/>
        </w:trPr>
        <w:tc>
          <w:tcPr>
            <w:tcW w:w="2431" w:type="dxa"/>
            <w:tcBorders>
              <w:top w:val="nil"/>
              <w:bottom w:val="single" w:sz="18" w:space="0" w:color="53565A" w:themeColor="accent5"/>
            </w:tcBorders>
            <w:shd w:val="clear" w:color="auto" w:fill="auto"/>
            <w:vAlign w:val="center"/>
          </w:tcPr>
          <w:p w14:paraId="02EE240B" w14:textId="20269FD3" w:rsidR="000042FF" w:rsidRPr="005734B8" w:rsidRDefault="000042FF" w:rsidP="000042FF">
            <w:pPr>
              <w:pStyle w:val="ESTablebody"/>
              <w:spacing w:after="100"/>
              <w:rPr>
                <w:rFonts w:ascii="Calibri" w:hAnsi="Calibri" w:cs="Calibri"/>
                <w:sz w:val="18"/>
              </w:rPr>
            </w:pPr>
            <w:r w:rsidRPr="005734B8">
              <w:rPr>
                <w:rFonts w:ascii="Calibri" w:hAnsi="Calibri" w:cs="Calibri"/>
                <w:sz w:val="18"/>
              </w:rPr>
              <w:t>Payables</w:t>
            </w:r>
          </w:p>
        </w:tc>
        <w:tc>
          <w:tcPr>
            <w:tcW w:w="851" w:type="dxa"/>
            <w:tcBorders>
              <w:top w:val="nil"/>
              <w:bottom w:val="single" w:sz="18" w:space="0" w:color="53565A" w:themeColor="accent5"/>
            </w:tcBorders>
            <w:shd w:val="clear" w:color="auto" w:fill="auto"/>
            <w:vAlign w:val="center"/>
          </w:tcPr>
          <w:p w14:paraId="04E96010" w14:textId="27DE65DD" w:rsidR="000042FF" w:rsidRPr="005734B8" w:rsidRDefault="000042FF" w:rsidP="000042FF">
            <w:pPr>
              <w:pStyle w:val="ESTablenumberrightaligned"/>
              <w:spacing w:after="100"/>
              <w:rPr>
                <w:rFonts w:ascii="Calibri" w:hAnsi="Calibri" w:cs="Calibri"/>
                <w:sz w:val="18"/>
              </w:rPr>
            </w:pPr>
          </w:p>
        </w:tc>
        <w:tc>
          <w:tcPr>
            <w:tcW w:w="1173" w:type="dxa"/>
            <w:tcBorders>
              <w:top w:val="nil"/>
              <w:bottom w:val="single" w:sz="18" w:space="0" w:color="53565A" w:themeColor="accent5"/>
            </w:tcBorders>
            <w:shd w:val="clear" w:color="auto" w:fill="D9D9D6" w:themeFill="accent6"/>
            <w:vAlign w:val="bottom"/>
          </w:tcPr>
          <w:p w14:paraId="081703C9" w14:textId="77777777"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rPr>
              <w:t>–</w:t>
            </w:r>
          </w:p>
        </w:tc>
        <w:tc>
          <w:tcPr>
            <w:tcW w:w="1076" w:type="dxa"/>
            <w:tcBorders>
              <w:top w:val="nil"/>
              <w:bottom w:val="single" w:sz="18" w:space="0" w:color="53565A" w:themeColor="accent5"/>
            </w:tcBorders>
          </w:tcPr>
          <w:p w14:paraId="75F8E271" w14:textId="4769D62C"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rPr>
              <w:t>–</w:t>
            </w:r>
          </w:p>
        </w:tc>
        <w:tc>
          <w:tcPr>
            <w:tcW w:w="1026" w:type="dxa"/>
            <w:tcBorders>
              <w:top w:val="nil"/>
              <w:bottom w:val="single" w:sz="18" w:space="0" w:color="53565A" w:themeColor="accent5"/>
            </w:tcBorders>
          </w:tcPr>
          <w:p w14:paraId="6813EEFB" w14:textId="00488459" w:rsidR="000042FF" w:rsidRPr="005734B8" w:rsidRDefault="002653E2" w:rsidP="000042FF">
            <w:pPr>
              <w:pStyle w:val="ESTablenumberrightaligned"/>
              <w:spacing w:after="100"/>
              <w:rPr>
                <w:rFonts w:ascii="Calibri" w:hAnsi="Calibri" w:cs="Calibri"/>
                <w:sz w:val="18"/>
              </w:rPr>
            </w:pPr>
            <w:r w:rsidRPr="005734B8">
              <w:rPr>
                <w:rFonts w:ascii="Calibri" w:hAnsi="Calibri" w:cs="Calibri"/>
                <w:sz w:val="18"/>
              </w:rPr>
              <w:t>–</w:t>
            </w:r>
          </w:p>
        </w:tc>
        <w:tc>
          <w:tcPr>
            <w:tcW w:w="1418" w:type="dxa"/>
            <w:tcBorders>
              <w:top w:val="nil"/>
              <w:bottom w:val="single" w:sz="18" w:space="0" w:color="53565A" w:themeColor="accent5"/>
            </w:tcBorders>
            <w:vAlign w:val="center"/>
          </w:tcPr>
          <w:p w14:paraId="5FC3F5B6" w14:textId="5ADA13E3" w:rsidR="000042FF" w:rsidRPr="005734B8" w:rsidRDefault="000042FF" w:rsidP="000042FF">
            <w:pPr>
              <w:pStyle w:val="ESTablenumberrightaligned"/>
              <w:spacing w:after="100"/>
              <w:rPr>
                <w:rFonts w:ascii="Calibri" w:hAnsi="Calibri" w:cs="Calibri"/>
                <w:sz w:val="18"/>
              </w:rPr>
            </w:pPr>
            <w:r w:rsidRPr="005734B8">
              <w:rPr>
                <w:rFonts w:ascii="Calibri" w:hAnsi="Calibri" w:cs="Calibri"/>
                <w:sz w:val="18"/>
              </w:rPr>
              <w:t>–</w:t>
            </w:r>
          </w:p>
        </w:tc>
      </w:tr>
      <w:tr w:rsidR="000042FF" w:rsidRPr="005734B8" w14:paraId="31751A14" w14:textId="74D2DE5A" w:rsidTr="00363AAE">
        <w:trPr>
          <w:cantSplit/>
        </w:trPr>
        <w:tc>
          <w:tcPr>
            <w:tcW w:w="2431" w:type="dxa"/>
            <w:tcBorders>
              <w:top w:val="single" w:sz="18" w:space="0" w:color="53565A" w:themeColor="accent5"/>
              <w:bottom w:val="single" w:sz="18" w:space="0" w:color="53565A" w:themeColor="accent5"/>
            </w:tcBorders>
            <w:shd w:val="clear" w:color="auto" w:fill="auto"/>
            <w:vAlign w:val="center"/>
          </w:tcPr>
          <w:p w14:paraId="04F3B26A" w14:textId="77777777" w:rsidR="000042FF" w:rsidRPr="005734B8" w:rsidRDefault="000042FF" w:rsidP="000042FF">
            <w:pPr>
              <w:pStyle w:val="ESTablebody"/>
              <w:spacing w:after="100"/>
              <w:rPr>
                <w:rFonts w:ascii="Calibri" w:hAnsi="Calibri" w:cs="Calibri"/>
                <w:sz w:val="18"/>
              </w:rPr>
            </w:pPr>
            <w:r w:rsidRPr="005734B8">
              <w:rPr>
                <w:rFonts w:ascii="Calibri" w:hAnsi="Calibri" w:cs="Calibri"/>
                <w:b/>
                <w:sz w:val="18"/>
                <w:lang w:val="en-AU"/>
              </w:rPr>
              <w:t>Total administered liabilities</w:t>
            </w:r>
          </w:p>
        </w:tc>
        <w:tc>
          <w:tcPr>
            <w:tcW w:w="851" w:type="dxa"/>
            <w:tcBorders>
              <w:top w:val="single" w:sz="18" w:space="0" w:color="53565A" w:themeColor="accent5"/>
              <w:bottom w:val="single" w:sz="18" w:space="0" w:color="53565A" w:themeColor="accent5"/>
            </w:tcBorders>
            <w:shd w:val="clear" w:color="auto" w:fill="auto"/>
            <w:vAlign w:val="center"/>
          </w:tcPr>
          <w:p w14:paraId="141042D6" w14:textId="77777777" w:rsidR="000042FF" w:rsidRPr="005734B8" w:rsidRDefault="000042FF" w:rsidP="000042FF">
            <w:pPr>
              <w:pStyle w:val="ESTablenumberrightaligned"/>
              <w:spacing w:after="100"/>
              <w:rPr>
                <w:rFonts w:ascii="Calibri" w:hAnsi="Calibri" w:cs="Calibri"/>
                <w:sz w:val="18"/>
              </w:rPr>
            </w:pPr>
          </w:p>
        </w:tc>
        <w:tc>
          <w:tcPr>
            <w:tcW w:w="1173" w:type="dxa"/>
            <w:tcBorders>
              <w:top w:val="single" w:sz="18" w:space="0" w:color="53565A" w:themeColor="accent5"/>
              <w:bottom w:val="single" w:sz="18" w:space="0" w:color="53565A" w:themeColor="accent5"/>
            </w:tcBorders>
            <w:shd w:val="clear" w:color="auto" w:fill="D9D9D6" w:themeFill="accent6"/>
          </w:tcPr>
          <w:p w14:paraId="4EE0CA4C" w14:textId="5A0AD359"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sz w:val="18"/>
              </w:rPr>
              <w:t>–</w:t>
            </w:r>
          </w:p>
        </w:tc>
        <w:tc>
          <w:tcPr>
            <w:tcW w:w="1076" w:type="dxa"/>
            <w:tcBorders>
              <w:top w:val="single" w:sz="18" w:space="0" w:color="53565A" w:themeColor="accent5"/>
              <w:bottom w:val="single" w:sz="18" w:space="0" w:color="53565A" w:themeColor="accent5"/>
            </w:tcBorders>
          </w:tcPr>
          <w:p w14:paraId="20BDA9E7" w14:textId="3330824A"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sz w:val="18"/>
              </w:rPr>
              <w:t>–</w:t>
            </w:r>
          </w:p>
        </w:tc>
        <w:tc>
          <w:tcPr>
            <w:tcW w:w="1026" w:type="dxa"/>
            <w:tcBorders>
              <w:top w:val="single" w:sz="18" w:space="0" w:color="53565A" w:themeColor="accent5"/>
              <w:bottom w:val="single" w:sz="18" w:space="0" w:color="53565A" w:themeColor="accent5"/>
            </w:tcBorders>
          </w:tcPr>
          <w:p w14:paraId="272BCE73" w14:textId="0EC5469A" w:rsidR="000042FF" w:rsidRPr="005734B8" w:rsidRDefault="002653E2" w:rsidP="000042FF">
            <w:pPr>
              <w:pStyle w:val="ESTablenumberrightaligned"/>
              <w:spacing w:after="100"/>
              <w:rPr>
                <w:rFonts w:ascii="Calibri" w:hAnsi="Calibri" w:cs="Calibri"/>
                <w:b/>
                <w:sz w:val="18"/>
              </w:rPr>
            </w:pPr>
            <w:r w:rsidRPr="005734B8">
              <w:rPr>
                <w:rFonts w:ascii="Calibri" w:hAnsi="Calibri" w:cs="Calibri"/>
                <w:sz w:val="18"/>
              </w:rPr>
              <w:t>–</w:t>
            </w:r>
          </w:p>
        </w:tc>
        <w:tc>
          <w:tcPr>
            <w:tcW w:w="1418" w:type="dxa"/>
            <w:tcBorders>
              <w:top w:val="single" w:sz="18" w:space="0" w:color="53565A" w:themeColor="accent5"/>
              <w:bottom w:val="single" w:sz="18" w:space="0" w:color="53565A" w:themeColor="accent5"/>
            </w:tcBorders>
          </w:tcPr>
          <w:p w14:paraId="569BC8D9" w14:textId="4ED4D714"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sz w:val="18"/>
              </w:rPr>
              <w:t>–</w:t>
            </w:r>
          </w:p>
        </w:tc>
      </w:tr>
      <w:tr w:rsidR="000042FF" w:rsidRPr="005734B8" w14:paraId="5BC110CD" w14:textId="1E27F7E4" w:rsidTr="00363AAE">
        <w:trPr>
          <w:cantSplit/>
        </w:trPr>
        <w:tc>
          <w:tcPr>
            <w:tcW w:w="2431" w:type="dxa"/>
            <w:tcBorders>
              <w:top w:val="single" w:sz="18" w:space="0" w:color="53565A" w:themeColor="accent5"/>
              <w:bottom w:val="single" w:sz="18" w:space="0" w:color="53565A" w:themeColor="accent5"/>
            </w:tcBorders>
            <w:shd w:val="clear" w:color="auto" w:fill="auto"/>
            <w:vAlign w:val="center"/>
          </w:tcPr>
          <w:p w14:paraId="747644A8" w14:textId="77777777" w:rsidR="000042FF" w:rsidRPr="005734B8" w:rsidRDefault="000042FF" w:rsidP="000042FF">
            <w:pPr>
              <w:pStyle w:val="ESTablebody"/>
              <w:spacing w:after="100"/>
              <w:rPr>
                <w:rFonts w:ascii="Calibri" w:hAnsi="Calibri" w:cs="Calibri"/>
                <w:b/>
                <w:sz w:val="18"/>
              </w:rPr>
            </w:pPr>
            <w:r w:rsidRPr="005734B8">
              <w:rPr>
                <w:rFonts w:ascii="Calibri" w:hAnsi="Calibri" w:cs="Calibri"/>
                <w:b/>
                <w:sz w:val="18"/>
                <w:lang w:val="en-AU"/>
              </w:rPr>
              <w:t>Net assets</w:t>
            </w:r>
          </w:p>
        </w:tc>
        <w:tc>
          <w:tcPr>
            <w:tcW w:w="851" w:type="dxa"/>
            <w:tcBorders>
              <w:top w:val="single" w:sz="18" w:space="0" w:color="53565A" w:themeColor="accent5"/>
              <w:bottom w:val="single" w:sz="18" w:space="0" w:color="53565A" w:themeColor="accent5"/>
            </w:tcBorders>
            <w:shd w:val="clear" w:color="auto" w:fill="auto"/>
          </w:tcPr>
          <w:p w14:paraId="7834E799" w14:textId="60D1F1A9"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rPr>
              <w:t>42.9</w:t>
            </w:r>
          </w:p>
        </w:tc>
        <w:tc>
          <w:tcPr>
            <w:tcW w:w="1173" w:type="dxa"/>
            <w:tcBorders>
              <w:top w:val="single" w:sz="18" w:space="0" w:color="53565A" w:themeColor="accent5"/>
              <w:bottom w:val="single" w:sz="18" w:space="0" w:color="53565A" w:themeColor="accent5"/>
            </w:tcBorders>
            <w:shd w:val="clear" w:color="auto" w:fill="D9D9D6" w:themeFill="accent6"/>
          </w:tcPr>
          <w:p w14:paraId="20A5E17A" w14:textId="3BA118D1"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rPr>
              <w:t>37.0</w:t>
            </w:r>
          </w:p>
        </w:tc>
        <w:tc>
          <w:tcPr>
            <w:tcW w:w="1076" w:type="dxa"/>
            <w:tcBorders>
              <w:top w:val="single" w:sz="18" w:space="0" w:color="53565A" w:themeColor="accent5"/>
              <w:bottom w:val="single" w:sz="18" w:space="0" w:color="53565A" w:themeColor="accent5"/>
            </w:tcBorders>
          </w:tcPr>
          <w:p w14:paraId="16C7D9C4" w14:textId="2041E0F3"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rPr>
              <w:t>16</w:t>
            </w:r>
          </w:p>
        </w:tc>
        <w:tc>
          <w:tcPr>
            <w:tcW w:w="1026" w:type="dxa"/>
            <w:tcBorders>
              <w:top w:val="single" w:sz="18" w:space="0" w:color="53565A" w:themeColor="accent5"/>
              <w:bottom w:val="single" w:sz="18" w:space="0" w:color="53565A" w:themeColor="accent5"/>
            </w:tcBorders>
          </w:tcPr>
          <w:p w14:paraId="0BFA02E2" w14:textId="61840BF1"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rPr>
              <w:t>5.9</w:t>
            </w:r>
          </w:p>
        </w:tc>
        <w:tc>
          <w:tcPr>
            <w:tcW w:w="1418" w:type="dxa"/>
            <w:tcBorders>
              <w:top w:val="single" w:sz="18" w:space="0" w:color="53565A" w:themeColor="accent5"/>
              <w:bottom w:val="single" w:sz="18" w:space="0" w:color="53565A" w:themeColor="accent5"/>
            </w:tcBorders>
          </w:tcPr>
          <w:p w14:paraId="114D40F1" w14:textId="02FF04A2" w:rsidR="000042FF" w:rsidRPr="005734B8" w:rsidRDefault="000042FF" w:rsidP="000042FF">
            <w:pPr>
              <w:pStyle w:val="ESTablenumberrightaligned"/>
              <w:spacing w:after="100"/>
              <w:rPr>
                <w:rFonts w:ascii="Calibri" w:hAnsi="Calibri" w:cs="Calibri"/>
                <w:b/>
                <w:sz w:val="18"/>
              </w:rPr>
            </w:pPr>
            <w:r w:rsidRPr="005734B8">
              <w:rPr>
                <w:rFonts w:ascii="Calibri" w:hAnsi="Calibri" w:cs="Calibri"/>
                <w:b/>
                <w:bCs/>
                <w:sz w:val="18"/>
              </w:rPr>
              <w:t>42.9</w:t>
            </w:r>
          </w:p>
        </w:tc>
      </w:tr>
    </w:tbl>
    <w:p w14:paraId="18AE6B9B" w14:textId="77777777" w:rsidR="00ED74EC" w:rsidRPr="005734B8" w:rsidRDefault="00ED74EC" w:rsidP="00ED74EC">
      <w:pPr>
        <w:rPr>
          <w:rFonts w:ascii="Calibri" w:hAnsi="Calibri" w:cs="Calibri"/>
        </w:rPr>
      </w:pPr>
    </w:p>
    <w:p w14:paraId="535A18AC" w14:textId="77777777" w:rsidR="00AC2EF6" w:rsidRPr="005734B8" w:rsidRDefault="00AC2EF6" w:rsidP="00AC2EF6">
      <w:pPr>
        <w:rPr>
          <w:rFonts w:ascii="Calibri" w:hAnsi="Calibri" w:cs="Calibri"/>
        </w:rPr>
      </w:pPr>
      <w:r w:rsidRPr="005734B8">
        <w:rPr>
          <w:rFonts w:ascii="Calibri" w:hAnsi="Calibri" w:cs="Calibri"/>
        </w:rPr>
        <w:t>Notes:</w:t>
      </w:r>
    </w:p>
    <w:p w14:paraId="7B689C13" w14:textId="77777777" w:rsidR="000042FF" w:rsidRPr="005734B8" w:rsidRDefault="000042FF" w:rsidP="00670895">
      <w:pPr>
        <w:pStyle w:val="ListParagraph"/>
        <w:numPr>
          <w:ilvl w:val="0"/>
          <w:numId w:val="70"/>
        </w:numPr>
        <w:rPr>
          <w:rFonts w:ascii="Calibri" w:hAnsi="Calibri" w:cs="Calibri"/>
        </w:rPr>
      </w:pPr>
      <w:r w:rsidRPr="005734B8">
        <w:rPr>
          <w:rFonts w:ascii="Calibri" w:hAnsi="Calibri" w:cs="Calibri"/>
        </w:rPr>
        <w:t>The variance above the published budget primarily relates to higher than budgeted Commonwealth Quality Schools funding for non-government schools.</w:t>
      </w:r>
    </w:p>
    <w:p w14:paraId="77388DA5" w14:textId="77777777" w:rsidR="000042FF" w:rsidRPr="005734B8" w:rsidRDefault="000042FF" w:rsidP="00670895">
      <w:pPr>
        <w:pStyle w:val="ListParagraph"/>
        <w:numPr>
          <w:ilvl w:val="0"/>
          <w:numId w:val="70"/>
        </w:numPr>
        <w:rPr>
          <w:rFonts w:ascii="Calibri" w:hAnsi="Calibri" w:cs="Calibri"/>
        </w:rPr>
      </w:pPr>
      <w:r w:rsidRPr="005734B8">
        <w:rPr>
          <w:rFonts w:ascii="Calibri" w:hAnsi="Calibri" w:cs="Calibri"/>
        </w:rPr>
        <w:t>The variance below the published budget is mainly driven by outdated budget for property rental revenue for which revenue is no longer received.</w:t>
      </w:r>
    </w:p>
    <w:p w14:paraId="4F9EDFD0" w14:textId="77777777" w:rsidR="000042FF" w:rsidRPr="005734B8" w:rsidRDefault="000042FF" w:rsidP="00670895">
      <w:pPr>
        <w:pStyle w:val="ListParagraph"/>
        <w:numPr>
          <w:ilvl w:val="0"/>
          <w:numId w:val="70"/>
        </w:numPr>
        <w:rPr>
          <w:rFonts w:ascii="Calibri" w:hAnsi="Calibri" w:cs="Calibri"/>
        </w:rPr>
      </w:pPr>
      <w:r w:rsidRPr="005734B8">
        <w:rPr>
          <w:rFonts w:ascii="Calibri" w:hAnsi="Calibri" w:cs="Calibri"/>
        </w:rPr>
        <w:t>The variance above the published budget primarily relates to the on-passing of the Commonwealth funding explained in Note (a).</w:t>
      </w:r>
    </w:p>
    <w:p w14:paraId="1CFD058F" w14:textId="77777777" w:rsidR="000042FF" w:rsidRPr="005734B8" w:rsidRDefault="000042FF" w:rsidP="00670895">
      <w:pPr>
        <w:pStyle w:val="ListParagraph"/>
        <w:numPr>
          <w:ilvl w:val="0"/>
          <w:numId w:val="70"/>
        </w:numPr>
        <w:rPr>
          <w:rFonts w:ascii="Calibri" w:hAnsi="Calibri" w:cs="Calibri"/>
        </w:rPr>
      </w:pPr>
      <w:r w:rsidRPr="005734B8">
        <w:rPr>
          <w:rFonts w:ascii="Calibri" w:hAnsi="Calibri" w:cs="Calibri"/>
        </w:rPr>
        <w:t>The variance below the published budget is driven primarily by the return to the State Administrative Unit.</w:t>
      </w:r>
    </w:p>
    <w:p w14:paraId="31CAEE01" w14:textId="77777777" w:rsidR="000042FF" w:rsidRPr="005734B8" w:rsidRDefault="000042FF" w:rsidP="00670895">
      <w:pPr>
        <w:pStyle w:val="ListParagraph"/>
        <w:numPr>
          <w:ilvl w:val="0"/>
          <w:numId w:val="70"/>
        </w:numPr>
        <w:rPr>
          <w:rFonts w:ascii="Calibri" w:hAnsi="Calibri" w:cs="Calibri"/>
        </w:rPr>
      </w:pPr>
      <w:r w:rsidRPr="005734B8">
        <w:rPr>
          <w:rFonts w:ascii="Calibri" w:hAnsi="Calibri" w:cs="Calibri"/>
        </w:rPr>
        <w:t>The variance below the published budget is due to lower than budgeted land and building disposals which cannot be reliably forecasted. This is partially offset by lower than budgeted land sales.</w:t>
      </w:r>
    </w:p>
    <w:p w14:paraId="18AB93FD" w14:textId="55B336BE" w:rsidR="00242C48" w:rsidRPr="005734B8" w:rsidRDefault="000042FF" w:rsidP="00670895">
      <w:pPr>
        <w:pStyle w:val="ListParagraph"/>
        <w:numPr>
          <w:ilvl w:val="0"/>
          <w:numId w:val="70"/>
        </w:numPr>
        <w:rPr>
          <w:rFonts w:ascii="Calibri" w:hAnsi="Calibri" w:cs="Calibri"/>
        </w:rPr>
      </w:pPr>
      <w:r w:rsidRPr="005734B8">
        <w:rPr>
          <w:rFonts w:ascii="Calibri" w:hAnsi="Calibri" w:cs="Calibri"/>
        </w:rPr>
        <w:t>The variance above the published budget is due to higher-than-expected receivables for legal workplace, discrimination and disputes from the Department of Justice and Community Safety for settlement payments or court-ordered payments pursuant to section 26 of the Crown Proceedings Act 1958</w:t>
      </w:r>
      <w:r w:rsidR="00242C48" w:rsidRPr="005734B8">
        <w:rPr>
          <w:rFonts w:ascii="Calibri" w:hAnsi="Calibri" w:cs="Calibri"/>
        </w:rPr>
        <w:t>.</w:t>
      </w:r>
    </w:p>
    <w:p w14:paraId="3789D25D" w14:textId="77777777" w:rsidR="000D325F" w:rsidRPr="005734B8" w:rsidRDefault="000D325F">
      <w:pPr>
        <w:rPr>
          <w:rFonts w:ascii="Calibri" w:hAnsi="Calibri" w:cs="Calibri"/>
        </w:rPr>
      </w:pPr>
    </w:p>
    <w:p w14:paraId="03649D4E" w14:textId="77777777" w:rsidR="000D325F" w:rsidRPr="005734B8" w:rsidRDefault="000D325F">
      <w:pPr>
        <w:rPr>
          <w:rFonts w:ascii="Calibri" w:hAnsi="Calibri" w:cs="Calibri"/>
          <w:highlight w:val="yellow"/>
        </w:rPr>
        <w:sectPr w:rsidR="000D325F" w:rsidRPr="005734B8" w:rsidSect="006450CB">
          <w:pgSz w:w="11900" w:h="16840"/>
          <w:pgMar w:top="1440" w:right="1134" w:bottom="1440" w:left="2268" w:header="709" w:footer="709" w:gutter="0"/>
          <w:cols w:space="708"/>
          <w:docGrid w:linePitch="360"/>
        </w:sectPr>
      </w:pPr>
      <w:bookmarkStart w:id="2085" w:name="_Toc11158328"/>
      <w:bookmarkStart w:id="2086" w:name="_Toc11336514"/>
      <w:bookmarkStart w:id="2087" w:name="_Toc14965735"/>
      <w:bookmarkStart w:id="2088" w:name="_Toc15985099"/>
      <w:bookmarkStart w:id="2089" w:name="_Toc15985180"/>
    </w:p>
    <w:p w14:paraId="577BAF2C" w14:textId="6D70DBF9" w:rsidR="00ED74EC" w:rsidRPr="005734B8" w:rsidRDefault="00ED74EC" w:rsidP="00244DF4">
      <w:pPr>
        <w:pStyle w:val="ESAppendix1"/>
        <w:ind w:left="2835" w:hanging="2835"/>
        <w:rPr>
          <w:rFonts w:cs="Calibri"/>
        </w:rPr>
      </w:pPr>
      <w:bookmarkStart w:id="2090" w:name="_Toc19272308"/>
      <w:bookmarkStart w:id="2091" w:name="_Toc19272674"/>
      <w:bookmarkStart w:id="2092" w:name="_Toc19274009"/>
      <w:bookmarkStart w:id="2093" w:name="_Toc48402865"/>
      <w:bookmarkStart w:id="2094" w:name="_Toc48403102"/>
      <w:bookmarkStart w:id="2095" w:name="_Toc51332845"/>
      <w:bookmarkStart w:id="2096" w:name="_Toc80272108"/>
      <w:bookmarkStart w:id="2097" w:name="_Toc80361029"/>
      <w:bookmarkStart w:id="2098" w:name="_Toc81315411"/>
      <w:r w:rsidRPr="005734B8">
        <w:rPr>
          <w:rFonts w:cs="Calibri"/>
        </w:rPr>
        <w:lastRenderedPageBreak/>
        <w:t>Statutory bodies’ reports</w:t>
      </w:r>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p>
    <w:p w14:paraId="68823F98" w14:textId="719F76EA" w:rsidR="00ED74EC" w:rsidRPr="005734B8" w:rsidRDefault="00ED74EC" w:rsidP="00ED74EC">
      <w:pPr>
        <w:pStyle w:val="ESHeading2"/>
        <w:rPr>
          <w:rFonts w:ascii="Calibri" w:hAnsi="Calibri" w:cs="Calibri"/>
        </w:rPr>
      </w:pPr>
      <w:bookmarkStart w:id="2099" w:name="_Toc519861847"/>
      <w:bookmarkStart w:id="2100" w:name="_Toc10724201"/>
      <w:bookmarkStart w:id="2101" w:name="_Toc10724325"/>
      <w:bookmarkStart w:id="2102" w:name="_Toc11158329"/>
      <w:bookmarkStart w:id="2103" w:name="_Toc11336515"/>
      <w:bookmarkStart w:id="2104" w:name="_Toc11336614"/>
      <w:bookmarkStart w:id="2105" w:name="_Toc13647218"/>
      <w:bookmarkStart w:id="2106" w:name="_Toc13656750"/>
      <w:bookmarkStart w:id="2107" w:name="_Toc13656912"/>
      <w:bookmarkStart w:id="2108" w:name="_Toc14965736"/>
      <w:bookmarkStart w:id="2109" w:name="_Toc15985332"/>
      <w:bookmarkStart w:id="2110" w:name="_Toc16231983"/>
      <w:bookmarkStart w:id="2111" w:name="_Toc18052254"/>
      <w:bookmarkStart w:id="2112" w:name="_Toc19272309"/>
      <w:bookmarkStart w:id="2113" w:name="_Toc19272675"/>
      <w:bookmarkStart w:id="2114" w:name="_Toc19274010"/>
      <w:bookmarkStart w:id="2115" w:name="_Toc48402866"/>
      <w:bookmarkStart w:id="2116" w:name="_Toc48403103"/>
      <w:bookmarkStart w:id="2117" w:name="_Toc48403670"/>
      <w:bookmarkStart w:id="2118" w:name="_Toc51332846"/>
      <w:bookmarkStart w:id="2119" w:name="_Toc78293030"/>
      <w:bookmarkStart w:id="2120" w:name="_Toc78444235"/>
      <w:bookmarkStart w:id="2121" w:name="_Toc80272109"/>
      <w:bookmarkStart w:id="2122" w:name="_Toc81315412"/>
      <w:r w:rsidRPr="005734B8">
        <w:rPr>
          <w:rFonts w:ascii="Calibri" w:hAnsi="Calibri" w:cs="Calibri"/>
          <w:lang w:val="en-AU"/>
        </w:rPr>
        <w:t>Children’s Services Coordination Board</w:t>
      </w:r>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p>
    <w:p w14:paraId="784F1D84" w14:textId="7A754B36" w:rsidR="002D2420" w:rsidRPr="005734B8" w:rsidRDefault="002D2420" w:rsidP="002D2420">
      <w:pPr>
        <w:rPr>
          <w:rFonts w:ascii="Calibri" w:hAnsi="Calibri" w:cs="Calibri"/>
        </w:rPr>
      </w:pPr>
      <w:bookmarkStart w:id="2123" w:name="_Toc10724202"/>
      <w:bookmarkStart w:id="2124" w:name="_Toc10724326"/>
      <w:bookmarkStart w:id="2125" w:name="_Toc11158330"/>
      <w:bookmarkStart w:id="2126" w:name="_Toc11336516"/>
      <w:bookmarkStart w:id="2127" w:name="_Toc11336615"/>
      <w:bookmarkStart w:id="2128" w:name="_Toc13647219"/>
      <w:bookmarkStart w:id="2129" w:name="_Toc13656751"/>
      <w:bookmarkStart w:id="2130" w:name="_Toc13656913"/>
      <w:bookmarkStart w:id="2131" w:name="_Toc14965737"/>
      <w:bookmarkStart w:id="2132" w:name="_Toc15985333"/>
      <w:bookmarkStart w:id="2133" w:name="_Toc16231984"/>
      <w:bookmarkStart w:id="2134" w:name="_Toc18052255"/>
      <w:bookmarkStart w:id="2135" w:name="_Toc19272310"/>
      <w:bookmarkStart w:id="2136" w:name="_Toc19272676"/>
      <w:bookmarkStart w:id="2137" w:name="_Toc19274011"/>
      <w:r w:rsidRPr="005734B8">
        <w:rPr>
          <w:rFonts w:ascii="Calibri" w:hAnsi="Calibri" w:cs="Calibri"/>
        </w:rPr>
        <w:t xml:space="preserve">The Children’s Services Coordination Board was established in 2005 under the </w:t>
      </w:r>
      <w:r w:rsidRPr="005734B8">
        <w:rPr>
          <w:rFonts w:ascii="Calibri" w:hAnsi="Calibri" w:cs="Calibri"/>
          <w:i/>
          <w:iCs/>
        </w:rPr>
        <w:t>Child Wellbeing and Safety Act 2005</w:t>
      </w:r>
      <w:r w:rsidRPr="005734B8">
        <w:rPr>
          <w:rFonts w:ascii="Calibri" w:hAnsi="Calibri" w:cs="Calibri"/>
        </w:rPr>
        <w:t xml:space="preserve"> </w:t>
      </w:r>
      <w:r w:rsidR="007F305E" w:rsidRPr="005734B8">
        <w:rPr>
          <w:rFonts w:ascii="Calibri" w:hAnsi="Calibri" w:cs="Calibri"/>
        </w:rPr>
        <w:t xml:space="preserve">and </w:t>
      </w:r>
      <w:r w:rsidRPr="005734B8">
        <w:rPr>
          <w:rFonts w:ascii="Calibri" w:hAnsi="Calibri" w:cs="Calibri"/>
        </w:rPr>
        <w:t>support</w:t>
      </w:r>
      <w:r w:rsidR="007F305E" w:rsidRPr="005734B8">
        <w:rPr>
          <w:rFonts w:ascii="Calibri" w:hAnsi="Calibri" w:cs="Calibri"/>
        </w:rPr>
        <w:t>s</w:t>
      </w:r>
      <w:r w:rsidRPr="005734B8">
        <w:rPr>
          <w:rFonts w:ascii="Calibri" w:hAnsi="Calibri" w:cs="Calibri"/>
        </w:rPr>
        <w:t xml:space="preserve"> the coordination of Government actions relating to children. The Board reports annually to the Minister for Education and other ministers through the State of Victoria’s Children reports. These reports draw on data from the Victorian child and adolescent monitoring system. The Department provides secretariat support to the Board.</w:t>
      </w:r>
    </w:p>
    <w:p w14:paraId="0E2C3CB4" w14:textId="77777777" w:rsidR="002D2420" w:rsidRPr="005734B8" w:rsidRDefault="002D2420" w:rsidP="002D2420">
      <w:pPr>
        <w:rPr>
          <w:rFonts w:ascii="Calibri" w:hAnsi="Calibri" w:cs="Calibri"/>
        </w:rPr>
      </w:pPr>
    </w:p>
    <w:p w14:paraId="522180A8" w14:textId="77777777" w:rsidR="002D2420" w:rsidRPr="005734B8" w:rsidRDefault="002D2420" w:rsidP="002D2420">
      <w:pPr>
        <w:rPr>
          <w:rFonts w:ascii="Calibri" w:hAnsi="Calibri" w:cs="Calibri"/>
        </w:rPr>
      </w:pPr>
      <w:r w:rsidRPr="005734B8">
        <w:rPr>
          <w:rFonts w:ascii="Calibri" w:hAnsi="Calibri" w:cs="Calibri"/>
        </w:rPr>
        <w:t>The Children’s Services Coordination Board met two times in 2020–21. Members are shown below.</w:t>
      </w:r>
    </w:p>
    <w:p w14:paraId="4B146D5E" w14:textId="34F6D067" w:rsidR="006C5E3B" w:rsidRPr="005734B8" w:rsidRDefault="006C5E3B" w:rsidP="006C5E3B">
      <w:pPr>
        <w:rPr>
          <w:rFonts w:ascii="Calibri" w:hAnsi="Calibri" w:cs="Calibri"/>
          <w:highlight w:val="yellow"/>
        </w:rPr>
      </w:pPr>
    </w:p>
    <w:p w14:paraId="698B10DF" w14:textId="77777777" w:rsidR="002D2420" w:rsidRPr="005734B8" w:rsidRDefault="002D2420" w:rsidP="002D2420">
      <w:pPr>
        <w:pStyle w:val="ESTableintroheading"/>
        <w:rPr>
          <w:rFonts w:ascii="Calibri" w:hAnsi="Calibri" w:cs="Calibri"/>
        </w:rPr>
      </w:pPr>
      <w:r w:rsidRPr="005734B8">
        <w:rPr>
          <w:rFonts w:ascii="Calibri" w:hAnsi="Calibri" w:cs="Calibri"/>
        </w:rPr>
        <w:t>Children’s Services Coordination Board members as at 30 June 2021</w:t>
      </w:r>
    </w:p>
    <w:tbl>
      <w:tblPr>
        <w:tblStyle w:val="TableGrid"/>
        <w:tblW w:w="482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825"/>
        <w:gridCol w:w="3825"/>
      </w:tblGrid>
      <w:tr w:rsidR="002D2420" w:rsidRPr="005734B8" w14:paraId="168E5DA0" w14:textId="77777777" w:rsidTr="000E6F40">
        <w:trPr>
          <w:cantSplit/>
          <w:trHeight w:val="242"/>
          <w:tblHeader/>
        </w:trPr>
        <w:tc>
          <w:tcPr>
            <w:tcW w:w="3825" w:type="dxa"/>
            <w:tcBorders>
              <w:bottom w:val="single" w:sz="4" w:space="0" w:color="FFFFFF" w:themeColor="background1"/>
            </w:tcBorders>
            <w:shd w:val="clear" w:color="auto" w:fill="AF272F" w:themeFill="accent4"/>
          </w:tcPr>
          <w:p w14:paraId="1F1AAD73" w14:textId="77777777" w:rsidR="002D2420" w:rsidRPr="005734B8" w:rsidRDefault="002D2420" w:rsidP="000E6F40">
            <w:pPr>
              <w:pStyle w:val="ESTableheadingwhite"/>
              <w:rPr>
                <w:rFonts w:ascii="Calibri" w:hAnsi="Calibri" w:cs="Calibri"/>
                <w:sz w:val="20"/>
                <w:szCs w:val="20"/>
              </w:rPr>
            </w:pPr>
            <w:r w:rsidRPr="005734B8">
              <w:rPr>
                <w:rFonts w:ascii="Calibri" w:hAnsi="Calibri" w:cs="Calibri"/>
                <w:sz w:val="20"/>
                <w:szCs w:val="20"/>
              </w:rPr>
              <w:t>Member</w:t>
            </w:r>
          </w:p>
        </w:tc>
        <w:tc>
          <w:tcPr>
            <w:tcW w:w="3825" w:type="dxa"/>
            <w:tcBorders>
              <w:bottom w:val="single" w:sz="4" w:space="0" w:color="FFFFFF" w:themeColor="background1"/>
            </w:tcBorders>
            <w:shd w:val="clear" w:color="auto" w:fill="AF272F" w:themeFill="accent4"/>
          </w:tcPr>
          <w:p w14:paraId="5D7CC495" w14:textId="77777777" w:rsidR="002D2420" w:rsidRPr="005734B8" w:rsidRDefault="002D2420" w:rsidP="000E6F40">
            <w:pPr>
              <w:pStyle w:val="ESTableheadingwhite"/>
              <w:rPr>
                <w:rFonts w:ascii="Calibri" w:hAnsi="Calibri" w:cs="Calibri"/>
                <w:sz w:val="20"/>
                <w:szCs w:val="20"/>
              </w:rPr>
            </w:pPr>
            <w:r w:rsidRPr="005734B8">
              <w:rPr>
                <w:rFonts w:ascii="Calibri" w:hAnsi="Calibri" w:cs="Calibri"/>
                <w:sz w:val="20"/>
                <w:szCs w:val="20"/>
              </w:rPr>
              <w:t>Position</w:t>
            </w:r>
          </w:p>
        </w:tc>
      </w:tr>
      <w:tr w:rsidR="002D2420" w:rsidRPr="005734B8" w14:paraId="239CB9C3" w14:textId="77777777" w:rsidTr="000E6F40">
        <w:trPr>
          <w:cantSplit/>
          <w:trHeight w:val="480"/>
        </w:trPr>
        <w:tc>
          <w:tcPr>
            <w:tcW w:w="3825" w:type="dxa"/>
            <w:tcBorders>
              <w:top w:val="single" w:sz="4" w:space="0" w:color="53565A" w:themeColor="accent5"/>
              <w:bottom w:val="single" w:sz="4" w:space="0" w:color="53565A" w:themeColor="accent5"/>
            </w:tcBorders>
            <w:shd w:val="clear" w:color="auto" w:fill="auto"/>
          </w:tcPr>
          <w:p w14:paraId="6EAA8044" w14:textId="77777777" w:rsidR="002D2420" w:rsidRPr="005734B8" w:rsidRDefault="002D2420" w:rsidP="000E6F40">
            <w:pPr>
              <w:pStyle w:val="ESTablebody"/>
              <w:rPr>
                <w:rFonts w:ascii="Calibri" w:hAnsi="Calibri" w:cs="Calibri"/>
              </w:rPr>
            </w:pPr>
            <w:r w:rsidRPr="005734B8">
              <w:rPr>
                <w:rFonts w:ascii="Calibri" w:hAnsi="Calibri" w:cs="Calibri"/>
              </w:rPr>
              <w:t>Ms Jenny Atta (Chair)</w:t>
            </w:r>
          </w:p>
        </w:tc>
        <w:tc>
          <w:tcPr>
            <w:tcW w:w="3825" w:type="dxa"/>
            <w:tcBorders>
              <w:top w:val="single" w:sz="4" w:space="0" w:color="53565A" w:themeColor="accent5"/>
              <w:bottom w:val="single" w:sz="4" w:space="0" w:color="53565A" w:themeColor="accent5"/>
            </w:tcBorders>
            <w:shd w:val="clear" w:color="auto" w:fill="auto"/>
          </w:tcPr>
          <w:p w14:paraId="1E0792F0" w14:textId="77777777" w:rsidR="002D2420" w:rsidRPr="005734B8" w:rsidRDefault="002D2420" w:rsidP="000E6F40">
            <w:pPr>
              <w:pStyle w:val="ESTablebody"/>
              <w:rPr>
                <w:rFonts w:ascii="Calibri" w:hAnsi="Calibri" w:cs="Calibri"/>
                <w:lang w:val="en-AU"/>
              </w:rPr>
            </w:pPr>
            <w:r w:rsidRPr="005734B8">
              <w:rPr>
                <w:rFonts w:ascii="Calibri" w:hAnsi="Calibri" w:cs="Calibri"/>
                <w:lang w:val="en-AU"/>
              </w:rPr>
              <w:t>Secretary, Department of Education and Training</w:t>
            </w:r>
          </w:p>
        </w:tc>
      </w:tr>
      <w:tr w:rsidR="00DB687A" w:rsidRPr="005734B8" w14:paraId="687416F9" w14:textId="77777777" w:rsidTr="000E6F40">
        <w:trPr>
          <w:cantSplit/>
          <w:trHeight w:val="480"/>
        </w:trPr>
        <w:tc>
          <w:tcPr>
            <w:tcW w:w="3825" w:type="dxa"/>
            <w:tcBorders>
              <w:top w:val="single" w:sz="4" w:space="0" w:color="53565A" w:themeColor="accent5"/>
              <w:bottom w:val="single" w:sz="4" w:space="0" w:color="53565A" w:themeColor="accent5"/>
            </w:tcBorders>
            <w:shd w:val="clear" w:color="auto" w:fill="auto"/>
          </w:tcPr>
          <w:p w14:paraId="2A7857DE" w14:textId="2816D2AC" w:rsidR="00DB687A" w:rsidRPr="005734B8" w:rsidRDefault="00DB687A" w:rsidP="00DB687A">
            <w:pPr>
              <w:pStyle w:val="ESTablebody"/>
              <w:rPr>
                <w:rFonts w:ascii="Calibri" w:hAnsi="Calibri" w:cs="Calibri"/>
              </w:rPr>
            </w:pPr>
            <w:r w:rsidRPr="005734B8">
              <w:rPr>
                <w:rFonts w:ascii="Calibri" w:hAnsi="Calibri" w:cs="Calibri"/>
                <w:lang w:val="en-AU"/>
              </w:rPr>
              <w:t xml:space="preserve">Mr David Martine </w:t>
            </w:r>
          </w:p>
        </w:tc>
        <w:tc>
          <w:tcPr>
            <w:tcW w:w="3825" w:type="dxa"/>
            <w:tcBorders>
              <w:top w:val="single" w:sz="4" w:space="0" w:color="53565A" w:themeColor="accent5"/>
              <w:bottom w:val="single" w:sz="4" w:space="0" w:color="53565A" w:themeColor="accent5"/>
            </w:tcBorders>
            <w:shd w:val="clear" w:color="auto" w:fill="auto"/>
          </w:tcPr>
          <w:p w14:paraId="65CF9AD7" w14:textId="53EEAF37" w:rsidR="00DB687A" w:rsidRPr="005734B8" w:rsidRDefault="00DB687A" w:rsidP="00DB687A">
            <w:pPr>
              <w:pStyle w:val="ESTablebody"/>
              <w:rPr>
                <w:rFonts w:ascii="Calibri" w:hAnsi="Calibri" w:cs="Calibri"/>
                <w:lang w:val="en-AU"/>
              </w:rPr>
            </w:pPr>
            <w:r w:rsidRPr="005734B8">
              <w:rPr>
                <w:rFonts w:ascii="Calibri" w:hAnsi="Calibri" w:cs="Calibri"/>
                <w:lang w:val="en-AU"/>
              </w:rPr>
              <w:t>Secretary, D</w:t>
            </w:r>
            <w:r w:rsidR="007F305E" w:rsidRPr="005734B8">
              <w:rPr>
                <w:rFonts w:ascii="Calibri" w:hAnsi="Calibri" w:cs="Calibri"/>
                <w:lang w:val="en-AU"/>
              </w:rPr>
              <w:t>epartment of Treasury and Finance</w:t>
            </w:r>
          </w:p>
        </w:tc>
      </w:tr>
      <w:tr w:rsidR="00A650C9" w:rsidRPr="005734B8" w14:paraId="78A9E116" w14:textId="77777777" w:rsidTr="000E6F40">
        <w:trPr>
          <w:cantSplit/>
          <w:trHeight w:val="480"/>
        </w:trPr>
        <w:tc>
          <w:tcPr>
            <w:tcW w:w="3825" w:type="dxa"/>
            <w:tcBorders>
              <w:top w:val="single" w:sz="4" w:space="0" w:color="53565A" w:themeColor="accent5"/>
              <w:bottom w:val="single" w:sz="4" w:space="0" w:color="53565A" w:themeColor="accent5"/>
            </w:tcBorders>
            <w:shd w:val="clear" w:color="auto" w:fill="auto"/>
          </w:tcPr>
          <w:p w14:paraId="25B83EEA" w14:textId="2B03D9FF" w:rsidR="00A650C9" w:rsidRPr="005734B8" w:rsidRDefault="00A650C9" w:rsidP="00A650C9">
            <w:pPr>
              <w:pStyle w:val="ESTablebody"/>
              <w:rPr>
                <w:rFonts w:ascii="Calibri" w:hAnsi="Calibri" w:cs="Calibri"/>
              </w:rPr>
            </w:pPr>
            <w:r w:rsidRPr="005734B8">
              <w:rPr>
                <w:rFonts w:ascii="Calibri" w:hAnsi="Calibri" w:cs="Calibri"/>
              </w:rPr>
              <w:t>Mr Euan Wallace</w:t>
            </w:r>
          </w:p>
        </w:tc>
        <w:tc>
          <w:tcPr>
            <w:tcW w:w="3825" w:type="dxa"/>
            <w:tcBorders>
              <w:top w:val="single" w:sz="4" w:space="0" w:color="53565A" w:themeColor="accent5"/>
              <w:bottom w:val="single" w:sz="4" w:space="0" w:color="53565A" w:themeColor="accent5"/>
            </w:tcBorders>
            <w:shd w:val="clear" w:color="auto" w:fill="auto"/>
          </w:tcPr>
          <w:p w14:paraId="28524EE8" w14:textId="4DCEDDFB" w:rsidR="00A650C9" w:rsidRPr="005734B8" w:rsidRDefault="00A650C9" w:rsidP="00A650C9">
            <w:pPr>
              <w:pStyle w:val="ESTablebody"/>
              <w:rPr>
                <w:rFonts w:ascii="Calibri" w:hAnsi="Calibri" w:cs="Calibri"/>
                <w:lang w:val="en-AU"/>
              </w:rPr>
            </w:pPr>
            <w:r w:rsidRPr="005734B8">
              <w:rPr>
                <w:rFonts w:ascii="Calibri" w:hAnsi="Calibri" w:cs="Calibri"/>
                <w:lang w:val="en-AU"/>
              </w:rPr>
              <w:t>Secretary, Department of Health</w:t>
            </w:r>
          </w:p>
        </w:tc>
      </w:tr>
      <w:tr w:rsidR="002D2420" w:rsidRPr="005734B8" w14:paraId="20B56420" w14:textId="77777777" w:rsidTr="000E6F40">
        <w:trPr>
          <w:cantSplit/>
          <w:trHeight w:val="477"/>
        </w:trPr>
        <w:tc>
          <w:tcPr>
            <w:tcW w:w="3825" w:type="dxa"/>
            <w:tcBorders>
              <w:top w:val="single" w:sz="4" w:space="0" w:color="53565A" w:themeColor="accent5"/>
              <w:bottom w:val="single" w:sz="4" w:space="0" w:color="53565A" w:themeColor="accent5"/>
            </w:tcBorders>
            <w:shd w:val="clear" w:color="auto" w:fill="auto"/>
          </w:tcPr>
          <w:p w14:paraId="5CED6894" w14:textId="77777777" w:rsidR="002D2420" w:rsidRPr="005734B8" w:rsidRDefault="002D2420" w:rsidP="000E6F40">
            <w:pPr>
              <w:pStyle w:val="ESTablebody"/>
              <w:rPr>
                <w:rFonts w:ascii="Calibri" w:hAnsi="Calibri" w:cs="Calibri"/>
                <w:lang w:val="en-AU"/>
              </w:rPr>
            </w:pPr>
            <w:r w:rsidRPr="005734B8">
              <w:rPr>
                <w:rFonts w:ascii="Calibri" w:hAnsi="Calibri" w:cs="Calibri"/>
                <w:lang w:val="en-AU"/>
              </w:rPr>
              <w:t>Mr Jeremi Moule</w:t>
            </w:r>
          </w:p>
          <w:p w14:paraId="1AD1D407" w14:textId="77777777" w:rsidR="002D2420" w:rsidRPr="005734B8" w:rsidRDefault="002D2420" w:rsidP="000E6F40">
            <w:pPr>
              <w:pStyle w:val="ESTablebody"/>
              <w:rPr>
                <w:rFonts w:ascii="Calibri" w:hAnsi="Calibri" w:cs="Calibri"/>
                <w:lang w:val="en-AU"/>
              </w:rPr>
            </w:pPr>
          </w:p>
        </w:tc>
        <w:tc>
          <w:tcPr>
            <w:tcW w:w="3825" w:type="dxa"/>
            <w:tcBorders>
              <w:top w:val="single" w:sz="4" w:space="0" w:color="53565A" w:themeColor="accent5"/>
              <w:bottom w:val="single" w:sz="4" w:space="0" w:color="53565A" w:themeColor="accent5"/>
            </w:tcBorders>
            <w:shd w:val="clear" w:color="auto" w:fill="auto"/>
          </w:tcPr>
          <w:p w14:paraId="7EBFD759" w14:textId="04ABAFCD" w:rsidR="002D2420" w:rsidRPr="005734B8" w:rsidRDefault="00A650C9" w:rsidP="000E6F40">
            <w:pPr>
              <w:pStyle w:val="ESTablebody"/>
              <w:rPr>
                <w:rFonts w:ascii="Calibri" w:hAnsi="Calibri" w:cs="Calibri"/>
              </w:rPr>
            </w:pPr>
            <w:r w:rsidRPr="005734B8">
              <w:rPr>
                <w:rFonts w:ascii="Calibri" w:hAnsi="Calibri" w:cs="Calibri"/>
              </w:rPr>
              <w:t>Secretary, D</w:t>
            </w:r>
            <w:r w:rsidR="007F305E" w:rsidRPr="005734B8">
              <w:rPr>
                <w:rFonts w:ascii="Calibri" w:hAnsi="Calibri" w:cs="Calibri"/>
              </w:rPr>
              <w:t>epartment of Premier and Cabinet</w:t>
            </w:r>
          </w:p>
        </w:tc>
      </w:tr>
      <w:tr w:rsidR="002D2420" w:rsidRPr="005734B8" w14:paraId="6BFA66FA" w14:textId="77777777" w:rsidTr="000E6F40">
        <w:trPr>
          <w:cantSplit/>
          <w:trHeight w:val="477"/>
        </w:trPr>
        <w:tc>
          <w:tcPr>
            <w:tcW w:w="3825" w:type="dxa"/>
            <w:tcBorders>
              <w:top w:val="single" w:sz="4" w:space="0" w:color="53565A" w:themeColor="accent5"/>
              <w:bottom w:val="single" w:sz="4" w:space="0" w:color="53565A" w:themeColor="accent5"/>
            </w:tcBorders>
            <w:shd w:val="clear" w:color="auto" w:fill="auto"/>
          </w:tcPr>
          <w:p w14:paraId="69CEDD97" w14:textId="2FA65C6C" w:rsidR="002D2420" w:rsidRPr="005734B8" w:rsidRDefault="00A650C9" w:rsidP="000E6F40">
            <w:pPr>
              <w:pStyle w:val="ESTablebody"/>
              <w:rPr>
                <w:rFonts w:ascii="Calibri" w:hAnsi="Calibri" w:cs="Calibri"/>
                <w:lang w:val="en-AU"/>
              </w:rPr>
            </w:pPr>
            <w:r w:rsidRPr="005734B8">
              <w:rPr>
                <w:rFonts w:ascii="Calibri" w:hAnsi="Calibri" w:cs="Calibri"/>
              </w:rPr>
              <w:t>Ms Rebecca Falkingham</w:t>
            </w:r>
          </w:p>
        </w:tc>
        <w:tc>
          <w:tcPr>
            <w:tcW w:w="3825" w:type="dxa"/>
            <w:tcBorders>
              <w:top w:val="single" w:sz="4" w:space="0" w:color="53565A" w:themeColor="accent5"/>
              <w:bottom w:val="single" w:sz="4" w:space="0" w:color="53565A" w:themeColor="accent5"/>
            </w:tcBorders>
            <w:shd w:val="clear" w:color="auto" w:fill="auto"/>
          </w:tcPr>
          <w:p w14:paraId="4017CC03" w14:textId="1C34742D" w:rsidR="002D2420" w:rsidRPr="005734B8" w:rsidRDefault="002D2420" w:rsidP="000E6F40">
            <w:pPr>
              <w:pStyle w:val="ESTablebody"/>
              <w:rPr>
                <w:rFonts w:ascii="Calibri" w:hAnsi="Calibri" w:cs="Calibri"/>
              </w:rPr>
            </w:pPr>
            <w:r w:rsidRPr="005734B8">
              <w:rPr>
                <w:rFonts w:ascii="Calibri" w:hAnsi="Calibri" w:cs="Calibri"/>
                <w:lang w:val="en-AU"/>
              </w:rPr>
              <w:t xml:space="preserve">Secretary, Department of </w:t>
            </w:r>
            <w:r w:rsidR="00A650C9" w:rsidRPr="005734B8">
              <w:rPr>
                <w:rFonts w:ascii="Calibri" w:hAnsi="Calibri" w:cs="Calibri"/>
                <w:lang w:val="en-AU"/>
              </w:rPr>
              <w:t>Justice</w:t>
            </w:r>
            <w:r w:rsidRPr="005734B8">
              <w:rPr>
                <w:rFonts w:ascii="Calibri" w:hAnsi="Calibri" w:cs="Calibri"/>
                <w:lang w:val="en-AU"/>
              </w:rPr>
              <w:t xml:space="preserve"> and </w:t>
            </w:r>
            <w:r w:rsidR="00A650C9" w:rsidRPr="005734B8">
              <w:rPr>
                <w:rFonts w:ascii="Calibri" w:hAnsi="Calibri" w:cs="Calibri"/>
                <w:lang w:val="en-AU"/>
              </w:rPr>
              <w:t xml:space="preserve">Community Safety </w:t>
            </w:r>
          </w:p>
        </w:tc>
      </w:tr>
      <w:tr w:rsidR="002D2420" w:rsidRPr="005734B8" w14:paraId="0CE28E7C" w14:textId="77777777" w:rsidTr="000E6F40">
        <w:trPr>
          <w:cantSplit/>
          <w:trHeight w:val="477"/>
        </w:trPr>
        <w:tc>
          <w:tcPr>
            <w:tcW w:w="3825" w:type="dxa"/>
            <w:tcBorders>
              <w:top w:val="single" w:sz="4" w:space="0" w:color="53565A" w:themeColor="accent5"/>
              <w:bottom w:val="single" w:sz="4" w:space="0" w:color="53565A" w:themeColor="accent5"/>
            </w:tcBorders>
            <w:shd w:val="clear" w:color="auto" w:fill="auto"/>
          </w:tcPr>
          <w:p w14:paraId="4065E9CC" w14:textId="77777777" w:rsidR="002D2420" w:rsidRPr="005734B8" w:rsidRDefault="002D2420" w:rsidP="000E6F40">
            <w:pPr>
              <w:pStyle w:val="ESTablebody"/>
              <w:rPr>
                <w:rFonts w:ascii="Calibri" w:hAnsi="Calibri" w:cs="Calibri"/>
                <w:lang w:val="en-AU"/>
              </w:rPr>
            </w:pPr>
            <w:r w:rsidRPr="005734B8">
              <w:rPr>
                <w:rFonts w:ascii="Calibri" w:hAnsi="Calibri" w:cs="Calibri"/>
              </w:rPr>
              <w:t>Ms Sandy Pitcher</w:t>
            </w:r>
          </w:p>
        </w:tc>
        <w:tc>
          <w:tcPr>
            <w:tcW w:w="3825" w:type="dxa"/>
            <w:tcBorders>
              <w:top w:val="single" w:sz="4" w:space="0" w:color="53565A" w:themeColor="accent5"/>
              <w:bottom w:val="single" w:sz="4" w:space="0" w:color="53565A" w:themeColor="accent5"/>
            </w:tcBorders>
            <w:shd w:val="clear" w:color="auto" w:fill="auto"/>
          </w:tcPr>
          <w:p w14:paraId="20C6FCF2" w14:textId="77777777" w:rsidR="002D2420" w:rsidRPr="005734B8" w:rsidRDefault="002D2420" w:rsidP="000E6F40">
            <w:pPr>
              <w:pStyle w:val="ESTablebody"/>
              <w:rPr>
                <w:rFonts w:ascii="Calibri" w:hAnsi="Calibri" w:cs="Calibri"/>
                <w:lang w:val="en-AU"/>
              </w:rPr>
            </w:pPr>
            <w:r w:rsidRPr="005734B8">
              <w:rPr>
                <w:rFonts w:ascii="Calibri" w:hAnsi="Calibri" w:cs="Calibri"/>
                <w:lang w:val="en-AU"/>
              </w:rPr>
              <w:t>Secretary, Department of Families, Fairness and Housing</w:t>
            </w:r>
          </w:p>
        </w:tc>
      </w:tr>
      <w:tr w:rsidR="002D2420" w:rsidRPr="005734B8" w14:paraId="70CA4A8F" w14:textId="77777777" w:rsidTr="000E6F40">
        <w:trPr>
          <w:cantSplit/>
          <w:trHeight w:val="477"/>
        </w:trPr>
        <w:tc>
          <w:tcPr>
            <w:tcW w:w="3825" w:type="dxa"/>
            <w:tcBorders>
              <w:top w:val="single" w:sz="4" w:space="0" w:color="53565A" w:themeColor="accent5"/>
              <w:bottom w:val="single" w:sz="4" w:space="0" w:color="53565A" w:themeColor="accent5"/>
            </w:tcBorders>
            <w:shd w:val="clear" w:color="auto" w:fill="auto"/>
          </w:tcPr>
          <w:p w14:paraId="6A80D1DC" w14:textId="4CF6F624" w:rsidR="002D2420" w:rsidRPr="005734B8" w:rsidRDefault="00A650C9" w:rsidP="000E6F40">
            <w:pPr>
              <w:pStyle w:val="ESTablebody"/>
              <w:rPr>
                <w:rFonts w:ascii="Calibri" w:hAnsi="Calibri" w:cs="Calibri"/>
              </w:rPr>
            </w:pPr>
            <w:r w:rsidRPr="005734B8">
              <w:rPr>
                <w:rFonts w:ascii="Calibri" w:hAnsi="Calibri" w:cs="Calibri"/>
                <w:lang w:val="en-AU"/>
              </w:rPr>
              <w:t>Mr Shane Patton</w:t>
            </w:r>
          </w:p>
        </w:tc>
        <w:tc>
          <w:tcPr>
            <w:tcW w:w="3825" w:type="dxa"/>
            <w:tcBorders>
              <w:top w:val="single" w:sz="4" w:space="0" w:color="53565A" w:themeColor="accent5"/>
              <w:bottom w:val="single" w:sz="4" w:space="0" w:color="53565A" w:themeColor="accent5"/>
            </w:tcBorders>
            <w:shd w:val="clear" w:color="auto" w:fill="auto"/>
          </w:tcPr>
          <w:p w14:paraId="6AFFC235" w14:textId="394D9AF8" w:rsidR="002D2420" w:rsidRPr="005734B8" w:rsidRDefault="00A650C9" w:rsidP="000E6F40">
            <w:pPr>
              <w:pStyle w:val="ESTablebody"/>
              <w:rPr>
                <w:rFonts w:ascii="Calibri" w:hAnsi="Calibri" w:cs="Calibri"/>
              </w:rPr>
            </w:pPr>
            <w:r w:rsidRPr="005734B8">
              <w:rPr>
                <w:rFonts w:ascii="Calibri" w:hAnsi="Calibri" w:cs="Calibri"/>
                <w:lang w:val="en-AU"/>
              </w:rPr>
              <w:t>Chief Commissioner, Victoria Police</w:t>
            </w:r>
          </w:p>
        </w:tc>
      </w:tr>
    </w:tbl>
    <w:p w14:paraId="58EA61FA" w14:textId="77777777" w:rsidR="006C5E3B" w:rsidRPr="005734B8" w:rsidRDefault="006C5E3B" w:rsidP="006C5E3B">
      <w:pPr>
        <w:rPr>
          <w:rFonts w:ascii="Calibri" w:hAnsi="Calibri" w:cs="Calibri"/>
          <w:highlight w:val="yellow"/>
        </w:rPr>
      </w:pPr>
    </w:p>
    <w:p w14:paraId="32BD92AE" w14:textId="77777777" w:rsidR="006C5E3B" w:rsidRPr="005734B8" w:rsidRDefault="006C5E3B" w:rsidP="006C5E3B">
      <w:pPr>
        <w:rPr>
          <w:rFonts w:ascii="Calibri" w:eastAsiaTheme="majorEastAsia" w:hAnsi="Calibri" w:cs="Calibri"/>
          <w:bCs/>
          <w:color w:val="8A2A2F" w:themeColor="text1"/>
          <w:spacing w:val="5"/>
          <w:kern w:val="28"/>
          <w:sz w:val="28"/>
          <w:szCs w:val="20"/>
          <w:highlight w:val="yellow"/>
        </w:rPr>
      </w:pPr>
      <w:r w:rsidRPr="005734B8">
        <w:rPr>
          <w:rFonts w:ascii="Calibri" w:hAnsi="Calibri" w:cs="Calibri"/>
          <w:highlight w:val="yellow"/>
        </w:rPr>
        <w:br w:type="page"/>
      </w:r>
    </w:p>
    <w:p w14:paraId="64563EB3" w14:textId="77777777" w:rsidR="002D2420" w:rsidRPr="005734B8" w:rsidRDefault="002D2420" w:rsidP="000E6F40">
      <w:pPr>
        <w:pStyle w:val="ESHeading2"/>
        <w:rPr>
          <w:rFonts w:ascii="Calibri" w:hAnsi="Calibri" w:cs="Calibri"/>
        </w:rPr>
      </w:pPr>
      <w:bookmarkStart w:id="2138" w:name="_Toc48402867"/>
      <w:bookmarkStart w:id="2139" w:name="_Toc48403104"/>
      <w:bookmarkStart w:id="2140" w:name="_Toc48403671"/>
      <w:bookmarkStart w:id="2141" w:name="_Toc51332847"/>
      <w:bookmarkStart w:id="2142" w:name="_Toc71208233"/>
      <w:bookmarkStart w:id="2143" w:name="_Toc78293031"/>
      <w:bookmarkStart w:id="2144" w:name="_Toc78444236"/>
      <w:bookmarkStart w:id="2145" w:name="_Toc80272110"/>
      <w:bookmarkStart w:id="2146" w:name="_Toc81315413"/>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r w:rsidRPr="005734B8">
        <w:rPr>
          <w:rFonts w:ascii="Calibri" w:hAnsi="Calibri" w:cs="Calibri"/>
          <w:lang w:val="en-AU"/>
        </w:rPr>
        <w:lastRenderedPageBreak/>
        <w:t>Victorian Children’s Council</w:t>
      </w:r>
      <w:bookmarkEnd w:id="2138"/>
      <w:bookmarkEnd w:id="2139"/>
      <w:bookmarkEnd w:id="2140"/>
      <w:bookmarkEnd w:id="2141"/>
      <w:bookmarkEnd w:id="2142"/>
      <w:bookmarkEnd w:id="2143"/>
      <w:bookmarkEnd w:id="2144"/>
      <w:bookmarkEnd w:id="2145"/>
      <w:bookmarkEnd w:id="2146"/>
    </w:p>
    <w:p w14:paraId="5BB0575B" w14:textId="0651A1DD" w:rsidR="002D2420" w:rsidRPr="005734B8" w:rsidRDefault="002D2420" w:rsidP="000E6F40">
      <w:pPr>
        <w:rPr>
          <w:rFonts w:ascii="Calibri" w:hAnsi="Calibri" w:cs="Calibri"/>
        </w:rPr>
      </w:pPr>
      <w:r w:rsidRPr="005734B8">
        <w:rPr>
          <w:rFonts w:ascii="Calibri" w:hAnsi="Calibri" w:cs="Calibri"/>
        </w:rPr>
        <w:t>The Victorian Children’s Council was established under the Child Wellbeing and Safety Act. The Council supports the Premier and Ministers for Education, Early Childhood, Health and Child Protection with expert independent advice relating to policies and services that enhance the health, wellbeing, development and safety of children.</w:t>
      </w:r>
    </w:p>
    <w:p w14:paraId="17142157" w14:textId="77777777" w:rsidR="002D2420" w:rsidRPr="005734B8" w:rsidRDefault="002D2420" w:rsidP="000E6F40">
      <w:pPr>
        <w:rPr>
          <w:rFonts w:ascii="Calibri" w:hAnsi="Calibri" w:cs="Calibri"/>
        </w:rPr>
      </w:pPr>
    </w:p>
    <w:p w14:paraId="7A4FD3EE" w14:textId="7987AD68" w:rsidR="002D2420" w:rsidRPr="005734B8" w:rsidRDefault="002D2420" w:rsidP="000E6F40">
      <w:pPr>
        <w:rPr>
          <w:rFonts w:ascii="Calibri" w:hAnsi="Calibri" w:cs="Calibri"/>
        </w:rPr>
      </w:pPr>
      <w:r w:rsidRPr="005734B8">
        <w:rPr>
          <w:rFonts w:ascii="Calibri" w:hAnsi="Calibri" w:cs="Calibri"/>
        </w:rPr>
        <w:t>Council members are recognised experts in children’s policies and services</w:t>
      </w:r>
      <w:r w:rsidR="007F305E" w:rsidRPr="005734B8">
        <w:rPr>
          <w:rFonts w:ascii="Calibri" w:hAnsi="Calibri" w:cs="Calibri"/>
        </w:rPr>
        <w:t>,</w:t>
      </w:r>
      <w:r w:rsidRPr="005734B8">
        <w:rPr>
          <w:rFonts w:ascii="Calibri" w:hAnsi="Calibri" w:cs="Calibri"/>
        </w:rPr>
        <w:t xml:space="preserve"> and are selected as individuals, not as representatives of their organisations or sectors. The Council’s mandate is to be forward-looking, acting as an adviser to the Victorian Government on how to meet key challenges facing Victorian families and improve outcomes for children. The Council is particularly concerned with the problems faced by children who are vulnerable and at</w:t>
      </w:r>
      <w:r w:rsidR="007F305E" w:rsidRPr="005734B8">
        <w:rPr>
          <w:rFonts w:ascii="Calibri" w:hAnsi="Calibri" w:cs="Calibri"/>
        </w:rPr>
        <w:t> </w:t>
      </w:r>
      <w:r w:rsidRPr="005734B8">
        <w:rPr>
          <w:rFonts w:ascii="Calibri" w:hAnsi="Calibri" w:cs="Calibri"/>
        </w:rPr>
        <w:t>risk of poor developmental, learning or longer-term life outcomes.</w:t>
      </w:r>
    </w:p>
    <w:p w14:paraId="63823CAE" w14:textId="77777777" w:rsidR="002D2420" w:rsidRPr="005734B8" w:rsidRDefault="002D2420" w:rsidP="000E6F40">
      <w:pPr>
        <w:rPr>
          <w:rFonts w:ascii="Calibri" w:hAnsi="Calibri" w:cs="Calibri"/>
        </w:rPr>
      </w:pPr>
    </w:p>
    <w:p w14:paraId="165EDCB8" w14:textId="77777777" w:rsidR="002D2420" w:rsidRPr="005734B8" w:rsidRDefault="002D2420" w:rsidP="000E6F40">
      <w:pPr>
        <w:rPr>
          <w:rFonts w:ascii="Calibri" w:hAnsi="Calibri" w:cs="Calibri"/>
        </w:rPr>
      </w:pPr>
      <w:r w:rsidRPr="005734B8">
        <w:rPr>
          <w:rFonts w:ascii="Calibri" w:hAnsi="Calibri" w:cs="Calibri"/>
        </w:rPr>
        <w:t>The Council actively engages with the Victorian Government in planning to help families give children the best start in life, supporting young people in the transition to adulthood. It is involved in helping Victorian government departments build a stronger evidence base and understanding of how to improve child outcomes and opportunities.</w:t>
      </w:r>
    </w:p>
    <w:p w14:paraId="50463BD6" w14:textId="77777777" w:rsidR="002D2420" w:rsidRPr="005734B8" w:rsidRDefault="002D2420" w:rsidP="000E6F40">
      <w:pPr>
        <w:rPr>
          <w:rFonts w:ascii="Calibri" w:hAnsi="Calibri" w:cs="Calibri"/>
        </w:rPr>
      </w:pPr>
    </w:p>
    <w:p w14:paraId="3172550A" w14:textId="4DF1A16E" w:rsidR="002D2420" w:rsidRPr="005734B8" w:rsidRDefault="002D2420" w:rsidP="000E6F40">
      <w:pPr>
        <w:rPr>
          <w:rFonts w:ascii="Calibri" w:hAnsi="Calibri" w:cs="Calibri"/>
        </w:rPr>
      </w:pPr>
      <w:r w:rsidRPr="005734B8">
        <w:rPr>
          <w:rFonts w:ascii="Calibri" w:hAnsi="Calibri" w:cs="Calibri"/>
        </w:rPr>
        <w:t>The Council met seven times in 2020–21, with additional working group meetings as needed. The Department provides secretariat support to the Victorian Children’s Council.</w:t>
      </w:r>
    </w:p>
    <w:p w14:paraId="0A352160" w14:textId="44B7BD59" w:rsidR="002D2420" w:rsidRPr="005734B8" w:rsidRDefault="002D2420" w:rsidP="002D2420">
      <w:pPr>
        <w:pStyle w:val="ESTableintroheading"/>
        <w:rPr>
          <w:rFonts w:ascii="Calibri" w:hAnsi="Calibri" w:cs="Calibri"/>
        </w:rPr>
      </w:pPr>
      <w:r w:rsidRPr="005734B8">
        <w:rPr>
          <w:rFonts w:ascii="Calibri" w:hAnsi="Calibri" w:cs="Calibri"/>
        </w:rPr>
        <w:t>Victorian Children’s Council members as at 30 June 2021</w:t>
      </w:r>
    </w:p>
    <w:tbl>
      <w:tblPr>
        <w:tblStyle w:val="TableGrid"/>
        <w:tblW w:w="482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3"/>
        <w:gridCol w:w="5387"/>
      </w:tblGrid>
      <w:tr w:rsidR="00565C5A" w:rsidRPr="005734B8" w14:paraId="7317410E" w14:textId="77777777" w:rsidTr="000E6F40">
        <w:trPr>
          <w:cantSplit/>
          <w:trHeight w:val="242"/>
          <w:tblHeader/>
        </w:trPr>
        <w:tc>
          <w:tcPr>
            <w:tcW w:w="2263" w:type="dxa"/>
            <w:tcBorders>
              <w:bottom w:val="single" w:sz="4" w:space="0" w:color="FFFFFF" w:themeColor="background1"/>
            </w:tcBorders>
            <w:shd w:val="clear" w:color="auto" w:fill="AF272F" w:themeFill="accent4"/>
          </w:tcPr>
          <w:p w14:paraId="4C934FA9" w14:textId="77777777" w:rsidR="00565C5A" w:rsidRPr="005734B8" w:rsidRDefault="00565C5A" w:rsidP="000E6F40">
            <w:pPr>
              <w:pStyle w:val="ESTableheadingwhite"/>
              <w:rPr>
                <w:rFonts w:ascii="Calibri" w:hAnsi="Calibri" w:cs="Calibri"/>
                <w:sz w:val="20"/>
                <w:szCs w:val="20"/>
              </w:rPr>
            </w:pPr>
            <w:r w:rsidRPr="005734B8">
              <w:rPr>
                <w:rFonts w:ascii="Calibri" w:hAnsi="Calibri" w:cs="Calibri"/>
                <w:sz w:val="20"/>
                <w:szCs w:val="20"/>
              </w:rPr>
              <w:t>Member</w:t>
            </w:r>
          </w:p>
        </w:tc>
        <w:tc>
          <w:tcPr>
            <w:tcW w:w="5387" w:type="dxa"/>
            <w:tcBorders>
              <w:bottom w:val="single" w:sz="4" w:space="0" w:color="FFFFFF" w:themeColor="background1"/>
            </w:tcBorders>
            <w:shd w:val="clear" w:color="auto" w:fill="AF272F" w:themeFill="accent4"/>
          </w:tcPr>
          <w:p w14:paraId="4A63D60B" w14:textId="77777777" w:rsidR="00565C5A" w:rsidRPr="005734B8" w:rsidRDefault="00565C5A" w:rsidP="000E6F40">
            <w:pPr>
              <w:pStyle w:val="ESTableheadingwhite"/>
              <w:rPr>
                <w:rFonts w:ascii="Calibri" w:hAnsi="Calibri" w:cs="Calibri"/>
                <w:sz w:val="20"/>
                <w:szCs w:val="20"/>
              </w:rPr>
            </w:pPr>
            <w:r w:rsidRPr="005734B8">
              <w:rPr>
                <w:rFonts w:ascii="Calibri" w:hAnsi="Calibri" w:cs="Calibri"/>
                <w:sz w:val="20"/>
                <w:szCs w:val="20"/>
              </w:rPr>
              <w:t>Primary area of expertise</w:t>
            </w:r>
          </w:p>
        </w:tc>
      </w:tr>
      <w:tr w:rsidR="00565C5A" w:rsidRPr="005734B8" w14:paraId="0536E94E" w14:textId="77777777" w:rsidTr="000E6F40">
        <w:trPr>
          <w:cantSplit/>
          <w:trHeight w:val="480"/>
        </w:trPr>
        <w:tc>
          <w:tcPr>
            <w:tcW w:w="2263" w:type="dxa"/>
            <w:tcBorders>
              <w:top w:val="single" w:sz="4" w:space="0" w:color="53565A" w:themeColor="accent5"/>
              <w:bottom w:val="single" w:sz="4" w:space="0" w:color="53565A" w:themeColor="accent5"/>
            </w:tcBorders>
            <w:shd w:val="clear" w:color="auto" w:fill="auto"/>
          </w:tcPr>
          <w:p w14:paraId="5E27A6DA" w14:textId="77777777" w:rsidR="00565C5A" w:rsidRPr="005734B8" w:rsidRDefault="00565C5A" w:rsidP="000E6F40">
            <w:pPr>
              <w:pStyle w:val="ESTablebody"/>
              <w:rPr>
                <w:rFonts w:ascii="Calibri" w:hAnsi="Calibri" w:cs="Calibri"/>
              </w:rPr>
            </w:pPr>
            <w:r w:rsidRPr="005734B8">
              <w:rPr>
                <w:rFonts w:ascii="Calibri" w:hAnsi="Calibri" w:cs="Calibri"/>
                <w:lang w:val="en-AU"/>
              </w:rPr>
              <w:t xml:space="preserve">Professor Frank Oberklaid, AM (Chair) </w:t>
            </w:r>
          </w:p>
        </w:tc>
        <w:tc>
          <w:tcPr>
            <w:tcW w:w="5387" w:type="dxa"/>
            <w:tcBorders>
              <w:top w:val="single" w:sz="4" w:space="0" w:color="53565A" w:themeColor="accent5"/>
              <w:bottom w:val="single" w:sz="4" w:space="0" w:color="53565A" w:themeColor="accent5"/>
            </w:tcBorders>
            <w:shd w:val="clear" w:color="auto" w:fill="auto"/>
          </w:tcPr>
          <w:p w14:paraId="3238E146" w14:textId="77777777" w:rsidR="00565C5A" w:rsidRPr="005734B8" w:rsidRDefault="00565C5A" w:rsidP="000E6F40">
            <w:pPr>
              <w:pStyle w:val="ESTablebody"/>
              <w:rPr>
                <w:rFonts w:ascii="Calibri" w:hAnsi="Calibri" w:cs="Calibri"/>
                <w:lang w:val="en-AU"/>
              </w:rPr>
            </w:pPr>
            <w:r w:rsidRPr="005734B8">
              <w:rPr>
                <w:rFonts w:ascii="Calibri" w:hAnsi="Calibri" w:cs="Calibri"/>
                <w:lang w:val="en-AU"/>
              </w:rPr>
              <w:t>Child health and paediatric medicine</w:t>
            </w:r>
          </w:p>
          <w:p w14:paraId="4B26F95E" w14:textId="0F4881DB" w:rsidR="00565C5A" w:rsidRPr="005734B8" w:rsidRDefault="00565C5A" w:rsidP="000E6F40">
            <w:pPr>
              <w:pStyle w:val="ESTablebody"/>
              <w:rPr>
                <w:rFonts w:ascii="Calibri" w:hAnsi="Calibri" w:cs="Calibri"/>
                <w:lang w:val="en-AU"/>
              </w:rPr>
            </w:pPr>
            <w:r w:rsidRPr="005734B8">
              <w:rPr>
                <w:rFonts w:ascii="Calibri" w:hAnsi="Calibri" w:cs="Calibri"/>
                <w:lang w:val="en-AU"/>
              </w:rPr>
              <w:t>Consultant paediatrician, and Foundation Director of the Centre for Community Child Health at the Royal Children</w:t>
            </w:r>
            <w:r w:rsidR="00B15F9A" w:rsidRPr="005734B8">
              <w:rPr>
                <w:rFonts w:ascii="Calibri" w:hAnsi="Calibri" w:cs="Calibri"/>
                <w:lang w:val="en-AU"/>
              </w:rPr>
              <w:t>’</w:t>
            </w:r>
            <w:r w:rsidRPr="005734B8">
              <w:rPr>
                <w:rFonts w:ascii="Calibri" w:hAnsi="Calibri" w:cs="Calibri"/>
                <w:lang w:val="en-AU"/>
              </w:rPr>
              <w:t>s Hospital</w:t>
            </w:r>
          </w:p>
          <w:p w14:paraId="31397B2B" w14:textId="77777777" w:rsidR="00565C5A" w:rsidRPr="005734B8" w:rsidRDefault="00565C5A" w:rsidP="000E6F40">
            <w:pPr>
              <w:pStyle w:val="ESTablebody"/>
              <w:rPr>
                <w:rFonts w:ascii="Calibri" w:hAnsi="Calibri" w:cs="Calibri"/>
              </w:rPr>
            </w:pPr>
            <w:r w:rsidRPr="005734B8">
              <w:rPr>
                <w:rFonts w:ascii="Calibri" w:hAnsi="Calibri" w:cs="Calibri"/>
                <w:lang w:val="en-AU"/>
              </w:rPr>
              <w:t>Co-Research Group Leader at the Murdoch Children’s Research Institute</w:t>
            </w:r>
          </w:p>
        </w:tc>
      </w:tr>
      <w:tr w:rsidR="00D64587" w:rsidRPr="005734B8" w14:paraId="52FE1698" w14:textId="77777777" w:rsidTr="000E6F40">
        <w:trPr>
          <w:cantSplit/>
          <w:trHeight w:val="480"/>
        </w:trPr>
        <w:tc>
          <w:tcPr>
            <w:tcW w:w="2263" w:type="dxa"/>
            <w:tcBorders>
              <w:top w:val="single" w:sz="4" w:space="0" w:color="53565A" w:themeColor="accent5"/>
              <w:bottom w:val="single" w:sz="4" w:space="0" w:color="53565A" w:themeColor="accent5"/>
            </w:tcBorders>
            <w:shd w:val="clear" w:color="auto" w:fill="auto"/>
          </w:tcPr>
          <w:p w14:paraId="6B719895" w14:textId="1370498F" w:rsidR="00D64587" w:rsidRPr="005734B8" w:rsidRDefault="00D64587" w:rsidP="00D64587">
            <w:pPr>
              <w:pStyle w:val="ESTablebody"/>
              <w:rPr>
                <w:rFonts w:ascii="Calibri" w:hAnsi="Calibri" w:cs="Calibri"/>
                <w:lang w:val="en-AU"/>
              </w:rPr>
            </w:pPr>
            <w:r w:rsidRPr="005734B8">
              <w:rPr>
                <w:rFonts w:ascii="Calibri" w:hAnsi="Calibri" w:cs="Calibri"/>
                <w:lang w:val="en-AU"/>
              </w:rPr>
              <w:t>Dr Anne Kennedy</w:t>
            </w:r>
          </w:p>
        </w:tc>
        <w:tc>
          <w:tcPr>
            <w:tcW w:w="5387" w:type="dxa"/>
            <w:tcBorders>
              <w:top w:val="single" w:sz="4" w:space="0" w:color="53565A" w:themeColor="accent5"/>
              <w:bottom w:val="single" w:sz="4" w:space="0" w:color="53565A" w:themeColor="accent5"/>
            </w:tcBorders>
            <w:shd w:val="clear" w:color="auto" w:fill="auto"/>
          </w:tcPr>
          <w:p w14:paraId="55C2B8B5" w14:textId="77777777" w:rsidR="00D64587" w:rsidRPr="005734B8" w:rsidRDefault="00D64587" w:rsidP="00D64587">
            <w:pPr>
              <w:pStyle w:val="ESTablebody"/>
              <w:rPr>
                <w:rFonts w:ascii="Calibri" w:hAnsi="Calibri" w:cs="Calibri"/>
                <w:lang w:val="en-AU"/>
              </w:rPr>
            </w:pPr>
            <w:r w:rsidRPr="005734B8">
              <w:rPr>
                <w:rFonts w:ascii="Calibri" w:hAnsi="Calibri" w:cs="Calibri"/>
                <w:lang w:val="en-AU"/>
              </w:rPr>
              <w:t>Early childhood education, social disadvantage</w:t>
            </w:r>
          </w:p>
          <w:p w14:paraId="7FF772DA" w14:textId="65146D2F" w:rsidR="00D64587" w:rsidRPr="005734B8" w:rsidRDefault="00D64587" w:rsidP="00D64587">
            <w:pPr>
              <w:pStyle w:val="ESTablebody"/>
              <w:rPr>
                <w:rFonts w:ascii="Calibri" w:hAnsi="Calibri" w:cs="Calibri"/>
                <w:lang w:val="en-AU"/>
              </w:rPr>
            </w:pPr>
            <w:r w:rsidRPr="005734B8">
              <w:rPr>
                <w:rFonts w:ascii="Calibri" w:hAnsi="Calibri" w:cs="Calibri"/>
                <w:lang w:val="en-AU"/>
              </w:rPr>
              <w:t xml:space="preserve">Consultant and fellow, </w:t>
            </w:r>
            <w:r w:rsidR="005D5B78" w:rsidRPr="005734B8">
              <w:rPr>
                <w:rFonts w:ascii="Calibri" w:hAnsi="Calibri" w:cs="Calibri"/>
                <w:lang w:val="en-AU"/>
              </w:rPr>
              <w:t>t</w:t>
            </w:r>
            <w:r w:rsidRPr="005734B8">
              <w:rPr>
                <w:rFonts w:ascii="Calibri" w:hAnsi="Calibri" w:cs="Calibri"/>
                <w:lang w:val="en-AU"/>
              </w:rPr>
              <w:t>he Graduate School of Education, University of Melbourne</w:t>
            </w:r>
            <w:r w:rsidR="007F305E" w:rsidRPr="005734B8">
              <w:rPr>
                <w:rFonts w:ascii="Calibri" w:hAnsi="Calibri" w:cs="Calibri"/>
                <w:lang w:val="en-AU"/>
              </w:rPr>
              <w:t>,</w:t>
            </w:r>
            <w:r w:rsidRPr="005734B8">
              <w:rPr>
                <w:rFonts w:ascii="Calibri" w:hAnsi="Calibri" w:cs="Calibri"/>
                <w:lang w:val="en-AU"/>
              </w:rPr>
              <w:t xml:space="preserve"> and former Chairperson, Community Child Care Association Victoria</w:t>
            </w:r>
          </w:p>
        </w:tc>
      </w:tr>
      <w:tr w:rsidR="00D64587" w:rsidRPr="005734B8" w14:paraId="31897A14" w14:textId="77777777" w:rsidTr="000E6F40">
        <w:trPr>
          <w:cantSplit/>
          <w:trHeight w:val="480"/>
        </w:trPr>
        <w:tc>
          <w:tcPr>
            <w:tcW w:w="2263" w:type="dxa"/>
            <w:tcBorders>
              <w:top w:val="single" w:sz="4" w:space="0" w:color="53565A" w:themeColor="accent5"/>
              <w:bottom w:val="single" w:sz="4" w:space="0" w:color="53565A" w:themeColor="accent5"/>
            </w:tcBorders>
            <w:shd w:val="clear" w:color="auto" w:fill="auto"/>
          </w:tcPr>
          <w:p w14:paraId="45944287" w14:textId="3711BC2B" w:rsidR="00D64587" w:rsidRPr="005734B8" w:rsidRDefault="00D64587" w:rsidP="00D64587">
            <w:pPr>
              <w:pStyle w:val="ESTablebody"/>
              <w:rPr>
                <w:rFonts w:ascii="Calibri" w:hAnsi="Calibri" w:cs="Calibri"/>
                <w:lang w:val="en-AU"/>
              </w:rPr>
            </w:pPr>
            <w:r w:rsidRPr="005734B8">
              <w:rPr>
                <w:rFonts w:ascii="Calibri" w:hAnsi="Calibri" w:cs="Calibri"/>
                <w:lang w:val="en-AU"/>
              </w:rPr>
              <w:t xml:space="preserve">Mr David Huggins </w:t>
            </w:r>
          </w:p>
        </w:tc>
        <w:tc>
          <w:tcPr>
            <w:tcW w:w="5387" w:type="dxa"/>
            <w:tcBorders>
              <w:top w:val="single" w:sz="4" w:space="0" w:color="53565A" w:themeColor="accent5"/>
              <w:bottom w:val="single" w:sz="4" w:space="0" w:color="53565A" w:themeColor="accent5"/>
            </w:tcBorders>
            <w:shd w:val="clear" w:color="auto" w:fill="auto"/>
          </w:tcPr>
          <w:p w14:paraId="3E6CA027" w14:textId="77777777" w:rsidR="00D64587" w:rsidRPr="005734B8" w:rsidRDefault="00D64587" w:rsidP="00D64587">
            <w:pPr>
              <w:pStyle w:val="ESTablebody"/>
              <w:rPr>
                <w:rFonts w:ascii="Calibri" w:hAnsi="Calibri" w:cs="Calibri"/>
                <w:lang w:val="en-AU"/>
              </w:rPr>
            </w:pPr>
            <w:r w:rsidRPr="005734B8">
              <w:rPr>
                <w:rFonts w:ascii="Calibri" w:hAnsi="Calibri" w:cs="Calibri"/>
                <w:lang w:val="en-AU"/>
              </w:rPr>
              <w:t xml:space="preserve">Child development, social work and education </w:t>
            </w:r>
          </w:p>
          <w:p w14:paraId="63C9031E" w14:textId="6848CC89" w:rsidR="00D64587" w:rsidRPr="005734B8" w:rsidRDefault="00D64587" w:rsidP="00D64587">
            <w:pPr>
              <w:pStyle w:val="ESTablebody"/>
              <w:rPr>
                <w:rFonts w:ascii="Calibri" w:hAnsi="Calibri" w:cs="Calibri"/>
                <w:lang w:val="en-AU"/>
              </w:rPr>
            </w:pPr>
            <w:r w:rsidRPr="005734B8">
              <w:rPr>
                <w:rFonts w:ascii="Calibri" w:hAnsi="Calibri" w:cs="Calibri"/>
                <w:lang w:val="en-AU"/>
              </w:rPr>
              <w:t xml:space="preserve">Consultant and former Assistant Director, Student Services, Catholic Education Office </w:t>
            </w:r>
          </w:p>
        </w:tc>
      </w:tr>
      <w:tr w:rsidR="00D64587" w:rsidRPr="005734B8" w14:paraId="1BEFEE35" w14:textId="77777777" w:rsidTr="000E6F40">
        <w:trPr>
          <w:cantSplit/>
          <w:trHeight w:val="480"/>
        </w:trPr>
        <w:tc>
          <w:tcPr>
            <w:tcW w:w="2263" w:type="dxa"/>
            <w:tcBorders>
              <w:top w:val="single" w:sz="4" w:space="0" w:color="53565A" w:themeColor="accent5"/>
              <w:bottom w:val="single" w:sz="4" w:space="0" w:color="53565A" w:themeColor="accent5"/>
            </w:tcBorders>
            <w:shd w:val="clear" w:color="auto" w:fill="auto"/>
          </w:tcPr>
          <w:p w14:paraId="79115916" w14:textId="2D7AE7CA" w:rsidR="00D64587" w:rsidRPr="005734B8" w:rsidRDefault="00D64587" w:rsidP="00D64587">
            <w:pPr>
              <w:pStyle w:val="ESTablebody"/>
              <w:rPr>
                <w:rFonts w:ascii="Calibri" w:hAnsi="Calibri" w:cs="Calibri"/>
                <w:lang w:val="en-AU"/>
              </w:rPr>
            </w:pPr>
            <w:r w:rsidRPr="005734B8">
              <w:rPr>
                <w:rFonts w:ascii="Calibri" w:hAnsi="Calibri" w:cs="Calibri"/>
                <w:lang w:val="en-AU"/>
              </w:rPr>
              <w:t xml:space="preserve">Ms Deb Tsorbaris </w:t>
            </w:r>
          </w:p>
        </w:tc>
        <w:tc>
          <w:tcPr>
            <w:tcW w:w="5387" w:type="dxa"/>
            <w:tcBorders>
              <w:top w:val="single" w:sz="4" w:space="0" w:color="53565A" w:themeColor="accent5"/>
              <w:bottom w:val="single" w:sz="4" w:space="0" w:color="53565A" w:themeColor="accent5"/>
            </w:tcBorders>
            <w:shd w:val="clear" w:color="auto" w:fill="auto"/>
          </w:tcPr>
          <w:p w14:paraId="5F1AF1DE" w14:textId="77777777" w:rsidR="00D64587" w:rsidRPr="005734B8" w:rsidRDefault="00D64587" w:rsidP="00D64587">
            <w:pPr>
              <w:pStyle w:val="ESTablebody"/>
              <w:rPr>
                <w:rFonts w:ascii="Calibri" w:hAnsi="Calibri" w:cs="Calibri"/>
                <w:lang w:val="en-GB"/>
              </w:rPr>
            </w:pPr>
            <w:r w:rsidRPr="005734B8">
              <w:rPr>
                <w:rFonts w:ascii="Calibri" w:hAnsi="Calibri" w:cs="Calibri"/>
                <w:lang w:val="en-GB"/>
              </w:rPr>
              <w:t xml:space="preserve">Child protection, family services </w:t>
            </w:r>
          </w:p>
          <w:p w14:paraId="299388B2" w14:textId="27BDC869" w:rsidR="00D64587" w:rsidRPr="005734B8" w:rsidRDefault="00D64587" w:rsidP="00D64587">
            <w:pPr>
              <w:pStyle w:val="ESTablebody"/>
              <w:rPr>
                <w:rFonts w:ascii="Calibri" w:hAnsi="Calibri" w:cs="Calibri"/>
                <w:lang w:val="en-AU"/>
              </w:rPr>
            </w:pPr>
            <w:r w:rsidRPr="005734B8">
              <w:rPr>
                <w:rFonts w:ascii="Calibri" w:hAnsi="Calibri" w:cs="Calibri"/>
                <w:lang w:val="en-GB"/>
              </w:rPr>
              <w:t>CEO, Centre for Excellence in Child and Family Welfare</w:t>
            </w:r>
          </w:p>
        </w:tc>
      </w:tr>
      <w:tr w:rsidR="0080071E" w:rsidRPr="005734B8" w14:paraId="4447ACA8" w14:textId="77777777" w:rsidTr="000E6F40">
        <w:trPr>
          <w:cantSplit/>
          <w:trHeight w:val="480"/>
        </w:trPr>
        <w:tc>
          <w:tcPr>
            <w:tcW w:w="2263" w:type="dxa"/>
            <w:tcBorders>
              <w:top w:val="single" w:sz="4" w:space="0" w:color="53565A" w:themeColor="accent5"/>
              <w:bottom w:val="single" w:sz="4" w:space="0" w:color="53565A" w:themeColor="accent5"/>
            </w:tcBorders>
            <w:shd w:val="clear" w:color="auto" w:fill="auto"/>
          </w:tcPr>
          <w:p w14:paraId="03779923" w14:textId="0DAEAF27" w:rsidR="0080071E" w:rsidRPr="005734B8" w:rsidRDefault="0080071E" w:rsidP="0080071E">
            <w:pPr>
              <w:pStyle w:val="ESTablebody"/>
              <w:rPr>
                <w:rFonts w:ascii="Calibri" w:hAnsi="Calibri" w:cs="Calibri"/>
                <w:lang w:val="en-AU"/>
              </w:rPr>
            </w:pPr>
            <w:r w:rsidRPr="005734B8">
              <w:rPr>
                <w:rFonts w:ascii="Calibri" w:hAnsi="Calibri" w:cs="Calibri"/>
              </w:rPr>
              <w:t xml:space="preserve">Professor Jim Watterston </w:t>
            </w:r>
          </w:p>
        </w:tc>
        <w:tc>
          <w:tcPr>
            <w:tcW w:w="5387" w:type="dxa"/>
            <w:tcBorders>
              <w:top w:val="single" w:sz="4" w:space="0" w:color="53565A" w:themeColor="accent5"/>
              <w:bottom w:val="single" w:sz="4" w:space="0" w:color="53565A" w:themeColor="accent5"/>
            </w:tcBorders>
            <w:shd w:val="clear" w:color="auto" w:fill="auto"/>
          </w:tcPr>
          <w:p w14:paraId="018212CF" w14:textId="77777777" w:rsidR="0080071E" w:rsidRPr="005734B8" w:rsidRDefault="0080071E" w:rsidP="0080071E">
            <w:pPr>
              <w:pStyle w:val="ESTablebody"/>
              <w:rPr>
                <w:rFonts w:ascii="Calibri" w:hAnsi="Calibri" w:cs="Calibri"/>
              </w:rPr>
            </w:pPr>
            <w:r w:rsidRPr="005734B8">
              <w:rPr>
                <w:rFonts w:ascii="Calibri" w:hAnsi="Calibri" w:cs="Calibri"/>
              </w:rPr>
              <w:t xml:space="preserve">Education </w:t>
            </w:r>
          </w:p>
          <w:p w14:paraId="1E3A792E" w14:textId="7618460B" w:rsidR="0080071E" w:rsidRPr="005734B8" w:rsidRDefault="0080071E" w:rsidP="0080071E">
            <w:pPr>
              <w:pStyle w:val="ESTablebody"/>
              <w:rPr>
                <w:rFonts w:ascii="Calibri" w:hAnsi="Calibri" w:cs="Calibri"/>
                <w:lang w:val="en-GB"/>
              </w:rPr>
            </w:pPr>
            <w:r w:rsidRPr="005734B8">
              <w:rPr>
                <w:rFonts w:ascii="Calibri" w:hAnsi="Calibri" w:cs="Calibri"/>
              </w:rPr>
              <w:t xml:space="preserve">Dean, Melbourne Graduate School of Education, University of Melbourne </w:t>
            </w:r>
          </w:p>
        </w:tc>
      </w:tr>
      <w:tr w:rsidR="00D64587" w:rsidRPr="005734B8" w14:paraId="064CFFFC" w14:textId="77777777" w:rsidTr="000E6F40">
        <w:trPr>
          <w:cantSplit/>
          <w:trHeight w:val="480"/>
        </w:trPr>
        <w:tc>
          <w:tcPr>
            <w:tcW w:w="2263" w:type="dxa"/>
            <w:tcBorders>
              <w:top w:val="single" w:sz="4" w:space="0" w:color="53565A" w:themeColor="accent5"/>
              <w:bottom w:val="single" w:sz="4" w:space="0" w:color="53565A" w:themeColor="accent5"/>
            </w:tcBorders>
            <w:shd w:val="clear" w:color="auto" w:fill="auto"/>
          </w:tcPr>
          <w:p w14:paraId="1CBA4F76" w14:textId="5CBE54D2" w:rsidR="00D64587" w:rsidRPr="005734B8" w:rsidRDefault="00D64587" w:rsidP="00D64587">
            <w:pPr>
              <w:pStyle w:val="ESTablebody"/>
              <w:rPr>
                <w:rFonts w:ascii="Calibri" w:hAnsi="Calibri" w:cs="Calibri"/>
                <w:lang w:val="en-AU"/>
              </w:rPr>
            </w:pPr>
            <w:r w:rsidRPr="005734B8">
              <w:rPr>
                <w:rFonts w:ascii="Calibri" w:hAnsi="Calibri" w:cs="Calibri"/>
                <w:lang w:val="en-AU"/>
              </w:rPr>
              <w:lastRenderedPageBreak/>
              <w:t xml:space="preserve">Ms Kerry Stubbings </w:t>
            </w:r>
          </w:p>
        </w:tc>
        <w:tc>
          <w:tcPr>
            <w:tcW w:w="5387" w:type="dxa"/>
            <w:tcBorders>
              <w:top w:val="single" w:sz="4" w:space="0" w:color="53565A" w:themeColor="accent5"/>
              <w:bottom w:val="single" w:sz="4" w:space="0" w:color="53565A" w:themeColor="accent5"/>
            </w:tcBorders>
            <w:shd w:val="clear" w:color="auto" w:fill="auto"/>
          </w:tcPr>
          <w:p w14:paraId="0CC8D0E3" w14:textId="77777777" w:rsidR="00D64587" w:rsidRPr="005734B8" w:rsidRDefault="00D64587" w:rsidP="00D64587">
            <w:pPr>
              <w:pStyle w:val="ESTablebody"/>
              <w:rPr>
                <w:rFonts w:ascii="Calibri" w:hAnsi="Calibri" w:cs="Calibri"/>
                <w:lang w:val="en-AU"/>
              </w:rPr>
            </w:pPr>
            <w:r w:rsidRPr="005734B8">
              <w:rPr>
                <w:rFonts w:ascii="Calibri" w:hAnsi="Calibri" w:cs="Calibri"/>
                <w:lang w:val="en-AU"/>
              </w:rPr>
              <w:t>Local government and planning</w:t>
            </w:r>
          </w:p>
          <w:p w14:paraId="3287296D" w14:textId="0F024AB7" w:rsidR="00D64587" w:rsidRPr="005734B8" w:rsidRDefault="00D64587" w:rsidP="00D64587">
            <w:pPr>
              <w:pStyle w:val="ESTablebody"/>
              <w:rPr>
                <w:rFonts w:ascii="Calibri" w:hAnsi="Calibri" w:cs="Calibri"/>
                <w:lang w:val="en-GB"/>
              </w:rPr>
            </w:pPr>
            <w:r w:rsidRPr="005734B8">
              <w:rPr>
                <w:rFonts w:ascii="Calibri" w:hAnsi="Calibri" w:cs="Calibri"/>
                <w:lang w:val="en-AU"/>
              </w:rPr>
              <w:t xml:space="preserve">Consultant and former Director, Community Services, City of Knox </w:t>
            </w:r>
          </w:p>
        </w:tc>
      </w:tr>
      <w:tr w:rsidR="0080071E" w:rsidRPr="005734B8" w14:paraId="2B888F6D" w14:textId="77777777" w:rsidTr="000E6F40">
        <w:trPr>
          <w:cantSplit/>
          <w:trHeight w:val="480"/>
        </w:trPr>
        <w:tc>
          <w:tcPr>
            <w:tcW w:w="2263" w:type="dxa"/>
            <w:tcBorders>
              <w:top w:val="single" w:sz="4" w:space="0" w:color="53565A" w:themeColor="accent5"/>
              <w:bottom w:val="single" w:sz="4" w:space="0" w:color="53565A" w:themeColor="accent5"/>
            </w:tcBorders>
            <w:shd w:val="clear" w:color="auto" w:fill="auto"/>
          </w:tcPr>
          <w:p w14:paraId="035D5111" w14:textId="10069C5D" w:rsidR="0080071E" w:rsidRPr="005734B8" w:rsidRDefault="0080071E" w:rsidP="0080071E">
            <w:pPr>
              <w:pStyle w:val="ESTablebody"/>
              <w:rPr>
                <w:rFonts w:ascii="Calibri" w:hAnsi="Calibri" w:cs="Calibri"/>
                <w:lang w:val="en-AU"/>
              </w:rPr>
            </w:pPr>
            <w:r w:rsidRPr="005734B8">
              <w:rPr>
                <w:rFonts w:ascii="Calibri" w:hAnsi="Calibri" w:cs="Calibri"/>
              </w:rPr>
              <w:t>Dr Lisa J. Griffiths</w:t>
            </w:r>
          </w:p>
        </w:tc>
        <w:tc>
          <w:tcPr>
            <w:tcW w:w="5387" w:type="dxa"/>
            <w:tcBorders>
              <w:top w:val="single" w:sz="4" w:space="0" w:color="53565A" w:themeColor="accent5"/>
              <w:bottom w:val="single" w:sz="4" w:space="0" w:color="53565A" w:themeColor="accent5"/>
            </w:tcBorders>
            <w:shd w:val="clear" w:color="auto" w:fill="auto"/>
          </w:tcPr>
          <w:p w14:paraId="68A9643D" w14:textId="77777777" w:rsidR="0080071E" w:rsidRPr="005734B8" w:rsidRDefault="0080071E" w:rsidP="0080071E">
            <w:pPr>
              <w:pStyle w:val="ESTablebody"/>
              <w:rPr>
                <w:rFonts w:ascii="Calibri" w:hAnsi="Calibri" w:cs="Calibri"/>
              </w:rPr>
            </w:pPr>
            <w:r w:rsidRPr="005734B8">
              <w:rPr>
                <w:rFonts w:ascii="Calibri" w:hAnsi="Calibri" w:cs="Calibri"/>
              </w:rPr>
              <w:t>Family services, disability and education</w:t>
            </w:r>
          </w:p>
          <w:p w14:paraId="2DFBAF80" w14:textId="45776ACD" w:rsidR="0080071E" w:rsidRPr="005734B8" w:rsidRDefault="0080071E" w:rsidP="0080071E">
            <w:pPr>
              <w:pStyle w:val="ESTablebody"/>
              <w:rPr>
                <w:rFonts w:ascii="Calibri" w:hAnsi="Calibri" w:cs="Calibri"/>
                <w:lang w:val="en-AU"/>
              </w:rPr>
            </w:pPr>
            <w:r w:rsidRPr="005734B8">
              <w:rPr>
                <w:rFonts w:ascii="Calibri" w:hAnsi="Calibri" w:cs="Calibri"/>
              </w:rPr>
              <w:t>CEO, OzChild</w:t>
            </w:r>
          </w:p>
        </w:tc>
      </w:tr>
      <w:tr w:rsidR="00565C5A" w:rsidRPr="005734B8" w14:paraId="2CDB9B89" w14:textId="77777777" w:rsidTr="000E6F40">
        <w:trPr>
          <w:cantSplit/>
          <w:trHeight w:val="477"/>
        </w:trPr>
        <w:tc>
          <w:tcPr>
            <w:tcW w:w="2263" w:type="dxa"/>
            <w:tcBorders>
              <w:top w:val="single" w:sz="4" w:space="0" w:color="53565A" w:themeColor="accent5"/>
              <w:bottom w:val="single" w:sz="4" w:space="0" w:color="53565A" w:themeColor="accent5"/>
            </w:tcBorders>
            <w:shd w:val="clear" w:color="auto" w:fill="auto"/>
          </w:tcPr>
          <w:p w14:paraId="26A11028" w14:textId="117F2810" w:rsidR="00565C5A" w:rsidRPr="005734B8" w:rsidRDefault="0080071E" w:rsidP="000E6F40">
            <w:pPr>
              <w:pStyle w:val="ESTablebody"/>
              <w:rPr>
                <w:rFonts w:ascii="Calibri" w:hAnsi="Calibri" w:cs="Calibri"/>
              </w:rPr>
            </w:pPr>
            <w:r w:rsidRPr="005734B8">
              <w:rPr>
                <w:rFonts w:ascii="Calibri" w:hAnsi="Calibri" w:cs="Calibri"/>
                <w:lang w:val="en-AU"/>
              </w:rPr>
              <w:t>Ms Muriel Bamblett, AO</w:t>
            </w:r>
          </w:p>
        </w:tc>
        <w:tc>
          <w:tcPr>
            <w:tcW w:w="5387" w:type="dxa"/>
            <w:tcBorders>
              <w:top w:val="single" w:sz="4" w:space="0" w:color="53565A" w:themeColor="accent5"/>
              <w:bottom w:val="single" w:sz="4" w:space="0" w:color="53565A" w:themeColor="accent5"/>
            </w:tcBorders>
            <w:shd w:val="clear" w:color="auto" w:fill="auto"/>
          </w:tcPr>
          <w:p w14:paraId="5630B8E4" w14:textId="77777777" w:rsidR="0080071E" w:rsidRPr="005734B8" w:rsidRDefault="0080071E" w:rsidP="0080071E">
            <w:pPr>
              <w:pStyle w:val="ESTablebody"/>
              <w:rPr>
                <w:rFonts w:ascii="Calibri" w:hAnsi="Calibri" w:cs="Calibri"/>
              </w:rPr>
            </w:pPr>
            <w:r w:rsidRPr="005734B8">
              <w:rPr>
                <w:rFonts w:ascii="Calibri" w:hAnsi="Calibri" w:cs="Calibri"/>
              </w:rPr>
              <w:t>Aboriginal children and families, child protection, out-of-home care, family services</w:t>
            </w:r>
          </w:p>
          <w:p w14:paraId="67EA9178" w14:textId="5BAD8E65" w:rsidR="00565C5A" w:rsidRPr="005734B8" w:rsidRDefault="0080071E" w:rsidP="000E6F40">
            <w:pPr>
              <w:pStyle w:val="ESTablebody"/>
              <w:rPr>
                <w:rFonts w:ascii="Calibri" w:hAnsi="Calibri" w:cs="Calibri"/>
              </w:rPr>
            </w:pPr>
            <w:r w:rsidRPr="005734B8">
              <w:rPr>
                <w:rFonts w:ascii="Calibri" w:hAnsi="Calibri" w:cs="Calibri"/>
              </w:rPr>
              <w:t>CEO, Victorian Aboriginal Child Care Agency</w:t>
            </w:r>
            <w:r w:rsidR="007F305E" w:rsidRPr="005734B8">
              <w:rPr>
                <w:rFonts w:ascii="Calibri" w:hAnsi="Calibri" w:cs="Calibri"/>
              </w:rPr>
              <w:t>,</w:t>
            </w:r>
            <w:r w:rsidRPr="005734B8">
              <w:rPr>
                <w:rFonts w:ascii="Calibri" w:hAnsi="Calibri" w:cs="Calibri"/>
              </w:rPr>
              <w:t xml:space="preserve"> and Adjunct Professor, La Trobe University </w:t>
            </w:r>
          </w:p>
        </w:tc>
      </w:tr>
      <w:tr w:rsidR="0080071E" w:rsidRPr="005734B8" w14:paraId="55E2A6F7" w14:textId="77777777" w:rsidTr="000E6F40">
        <w:trPr>
          <w:cantSplit/>
          <w:trHeight w:val="477"/>
        </w:trPr>
        <w:tc>
          <w:tcPr>
            <w:tcW w:w="2263" w:type="dxa"/>
            <w:tcBorders>
              <w:top w:val="single" w:sz="4" w:space="0" w:color="53565A" w:themeColor="accent5"/>
              <w:bottom w:val="single" w:sz="4" w:space="0" w:color="53565A" w:themeColor="accent5"/>
            </w:tcBorders>
            <w:shd w:val="clear" w:color="auto" w:fill="auto"/>
          </w:tcPr>
          <w:p w14:paraId="6AB7BCEB" w14:textId="6AAB399F" w:rsidR="0080071E" w:rsidRPr="005734B8" w:rsidRDefault="0080071E" w:rsidP="0080071E">
            <w:pPr>
              <w:pStyle w:val="ESTablebody"/>
              <w:rPr>
                <w:rFonts w:ascii="Calibri" w:hAnsi="Calibri" w:cs="Calibri"/>
                <w:lang w:val="en-AU"/>
              </w:rPr>
            </w:pPr>
            <w:r w:rsidRPr="005734B8">
              <w:rPr>
                <w:rFonts w:ascii="Calibri" w:hAnsi="Calibri" w:cs="Calibri"/>
                <w:lang w:val="en-AU"/>
              </w:rPr>
              <w:t>Ms Raylene Harradine</w:t>
            </w:r>
          </w:p>
        </w:tc>
        <w:tc>
          <w:tcPr>
            <w:tcW w:w="5387" w:type="dxa"/>
            <w:tcBorders>
              <w:top w:val="single" w:sz="4" w:space="0" w:color="53565A" w:themeColor="accent5"/>
              <w:bottom w:val="single" w:sz="4" w:space="0" w:color="53565A" w:themeColor="accent5"/>
            </w:tcBorders>
            <w:shd w:val="clear" w:color="auto" w:fill="auto"/>
          </w:tcPr>
          <w:p w14:paraId="45CE8777" w14:textId="77777777" w:rsidR="0080071E" w:rsidRPr="005734B8" w:rsidRDefault="0080071E" w:rsidP="0080071E">
            <w:pPr>
              <w:pStyle w:val="ESTablebody"/>
              <w:rPr>
                <w:rFonts w:ascii="Calibri" w:hAnsi="Calibri" w:cs="Calibri"/>
                <w:lang w:val="en-AU"/>
              </w:rPr>
            </w:pPr>
            <w:r w:rsidRPr="005734B8">
              <w:rPr>
                <w:rFonts w:ascii="Calibri" w:hAnsi="Calibri" w:cs="Calibri"/>
              </w:rPr>
              <w:t xml:space="preserve">Aboriginal children and families, child </w:t>
            </w:r>
            <w:r w:rsidRPr="005734B8">
              <w:rPr>
                <w:rFonts w:ascii="Calibri" w:hAnsi="Calibri" w:cs="Calibri"/>
                <w:lang w:val="en-AU"/>
              </w:rPr>
              <w:t>protection, out-of-home care, family services, justice</w:t>
            </w:r>
          </w:p>
          <w:p w14:paraId="25D77650" w14:textId="1F2FBFFE" w:rsidR="0080071E" w:rsidRPr="005734B8" w:rsidRDefault="0080071E" w:rsidP="0080071E">
            <w:pPr>
              <w:pStyle w:val="ESTablebody"/>
              <w:rPr>
                <w:rFonts w:ascii="Calibri" w:hAnsi="Calibri" w:cs="Calibri"/>
              </w:rPr>
            </w:pPr>
            <w:r w:rsidRPr="005734B8">
              <w:rPr>
                <w:rFonts w:ascii="Calibri" w:hAnsi="Calibri" w:cs="Calibri"/>
                <w:lang w:val="en-AU"/>
              </w:rPr>
              <w:t>CEO, Bendigo &amp; District Aboriginal Cooperative</w:t>
            </w:r>
          </w:p>
        </w:tc>
      </w:tr>
      <w:tr w:rsidR="0080071E" w:rsidRPr="005734B8" w14:paraId="18001195" w14:textId="77777777" w:rsidTr="000E6F40">
        <w:trPr>
          <w:cantSplit/>
          <w:trHeight w:val="477"/>
        </w:trPr>
        <w:tc>
          <w:tcPr>
            <w:tcW w:w="2263" w:type="dxa"/>
            <w:tcBorders>
              <w:top w:val="single" w:sz="4" w:space="0" w:color="53565A" w:themeColor="accent5"/>
              <w:bottom w:val="single" w:sz="4" w:space="0" w:color="53565A" w:themeColor="accent5"/>
            </w:tcBorders>
            <w:shd w:val="clear" w:color="auto" w:fill="auto"/>
          </w:tcPr>
          <w:p w14:paraId="28AEE2A0" w14:textId="464A1E8E" w:rsidR="0080071E" w:rsidRPr="005734B8" w:rsidRDefault="0080071E" w:rsidP="0080071E">
            <w:pPr>
              <w:pStyle w:val="ESTablebody"/>
              <w:rPr>
                <w:rFonts w:ascii="Calibri" w:hAnsi="Calibri" w:cs="Calibri"/>
                <w:lang w:val="en-AU"/>
              </w:rPr>
            </w:pPr>
            <w:r w:rsidRPr="005734B8">
              <w:rPr>
                <w:rFonts w:ascii="Calibri" w:hAnsi="Calibri" w:cs="Calibri"/>
              </w:rPr>
              <w:t>Mr Robert Boucher</w:t>
            </w:r>
          </w:p>
        </w:tc>
        <w:tc>
          <w:tcPr>
            <w:tcW w:w="5387" w:type="dxa"/>
            <w:tcBorders>
              <w:top w:val="single" w:sz="4" w:space="0" w:color="53565A" w:themeColor="accent5"/>
              <w:bottom w:val="single" w:sz="4" w:space="0" w:color="53565A" w:themeColor="accent5"/>
            </w:tcBorders>
            <w:shd w:val="clear" w:color="auto" w:fill="auto"/>
          </w:tcPr>
          <w:p w14:paraId="2483076D" w14:textId="77777777" w:rsidR="0080071E" w:rsidRPr="005734B8" w:rsidRDefault="0080071E" w:rsidP="0080071E">
            <w:pPr>
              <w:pStyle w:val="ESTablebody"/>
              <w:rPr>
                <w:rFonts w:ascii="Calibri" w:hAnsi="Calibri" w:cs="Calibri"/>
                <w:lang w:val="en-GB"/>
              </w:rPr>
            </w:pPr>
            <w:r w:rsidRPr="005734B8">
              <w:rPr>
                <w:rFonts w:ascii="Calibri" w:hAnsi="Calibri" w:cs="Calibri"/>
                <w:lang w:val="en-GB"/>
              </w:rPr>
              <w:t xml:space="preserve">Education </w:t>
            </w:r>
          </w:p>
          <w:p w14:paraId="5838D995" w14:textId="51C0B245" w:rsidR="0080071E" w:rsidRPr="005734B8" w:rsidRDefault="0080071E" w:rsidP="0080071E">
            <w:pPr>
              <w:pStyle w:val="ESTablebody"/>
              <w:rPr>
                <w:rFonts w:ascii="Calibri" w:hAnsi="Calibri" w:cs="Calibri"/>
              </w:rPr>
            </w:pPr>
            <w:r w:rsidRPr="005734B8">
              <w:rPr>
                <w:rFonts w:ascii="Calibri" w:hAnsi="Calibri" w:cs="Calibri"/>
                <w:lang w:val="en-GB"/>
              </w:rPr>
              <w:t>Principal, Swifts Creek School</w:t>
            </w:r>
          </w:p>
        </w:tc>
      </w:tr>
      <w:tr w:rsidR="00565C5A" w:rsidRPr="005734B8" w14:paraId="2ADE48EF" w14:textId="77777777" w:rsidTr="000E6F40">
        <w:trPr>
          <w:cantSplit/>
          <w:trHeight w:val="477"/>
        </w:trPr>
        <w:tc>
          <w:tcPr>
            <w:tcW w:w="2263" w:type="dxa"/>
            <w:tcBorders>
              <w:top w:val="single" w:sz="4" w:space="0" w:color="53565A" w:themeColor="accent5"/>
              <w:bottom w:val="single" w:sz="4" w:space="0" w:color="53565A" w:themeColor="accent5"/>
            </w:tcBorders>
            <w:shd w:val="clear" w:color="auto" w:fill="auto"/>
          </w:tcPr>
          <w:p w14:paraId="7FEAA2AB" w14:textId="328C27A2" w:rsidR="00565C5A" w:rsidRPr="005734B8" w:rsidRDefault="0080071E" w:rsidP="000E6F40">
            <w:pPr>
              <w:pStyle w:val="ESTablebody"/>
              <w:rPr>
                <w:rFonts w:ascii="Calibri" w:hAnsi="Calibri" w:cs="Calibri"/>
              </w:rPr>
            </w:pPr>
            <w:r w:rsidRPr="005734B8">
              <w:rPr>
                <w:rFonts w:ascii="Calibri" w:hAnsi="Calibri" w:cs="Calibri"/>
                <w:lang w:val="en-AU"/>
              </w:rPr>
              <w:t xml:space="preserve">Ms Sandie de Wolf, AM (Deputy Chair) </w:t>
            </w:r>
          </w:p>
        </w:tc>
        <w:tc>
          <w:tcPr>
            <w:tcW w:w="5387" w:type="dxa"/>
            <w:tcBorders>
              <w:top w:val="single" w:sz="4" w:space="0" w:color="53565A" w:themeColor="accent5"/>
              <w:bottom w:val="single" w:sz="4" w:space="0" w:color="53565A" w:themeColor="accent5"/>
            </w:tcBorders>
            <w:shd w:val="clear" w:color="auto" w:fill="auto"/>
          </w:tcPr>
          <w:p w14:paraId="45D93C2E" w14:textId="77777777" w:rsidR="0080071E" w:rsidRPr="005734B8" w:rsidRDefault="0080071E" w:rsidP="0080071E">
            <w:pPr>
              <w:pStyle w:val="ESTablebody"/>
              <w:rPr>
                <w:rFonts w:ascii="Calibri" w:hAnsi="Calibri" w:cs="Calibri"/>
                <w:lang w:val="en-AU"/>
              </w:rPr>
            </w:pPr>
            <w:r w:rsidRPr="005734B8">
              <w:rPr>
                <w:rFonts w:ascii="Calibri" w:hAnsi="Calibri" w:cs="Calibri"/>
                <w:lang w:val="en-AU"/>
              </w:rPr>
              <w:t xml:space="preserve">Family services, child protection </w:t>
            </w:r>
          </w:p>
          <w:p w14:paraId="3AB773B2" w14:textId="39E691BE" w:rsidR="00565C5A" w:rsidRPr="005734B8" w:rsidRDefault="0080071E" w:rsidP="000E6F40">
            <w:pPr>
              <w:pStyle w:val="ESTablebody"/>
              <w:rPr>
                <w:rFonts w:ascii="Calibri" w:hAnsi="Calibri" w:cs="Calibri"/>
              </w:rPr>
            </w:pPr>
            <w:r w:rsidRPr="005734B8">
              <w:rPr>
                <w:rFonts w:ascii="Calibri" w:hAnsi="Calibri" w:cs="Calibri"/>
                <w:lang w:val="en-AU"/>
              </w:rPr>
              <w:t xml:space="preserve">Formerly CEO, Berry Street </w:t>
            </w:r>
          </w:p>
        </w:tc>
      </w:tr>
      <w:tr w:rsidR="00565C5A" w:rsidRPr="005734B8" w14:paraId="054D2A82" w14:textId="77777777" w:rsidTr="000E6F40">
        <w:trPr>
          <w:cantSplit/>
          <w:trHeight w:val="477"/>
        </w:trPr>
        <w:tc>
          <w:tcPr>
            <w:tcW w:w="2263" w:type="dxa"/>
            <w:tcBorders>
              <w:top w:val="single" w:sz="4" w:space="0" w:color="53565A" w:themeColor="accent5"/>
              <w:bottom w:val="single" w:sz="4" w:space="0" w:color="53565A" w:themeColor="accent5"/>
            </w:tcBorders>
            <w:shd w:val="clear" w:color="auto" w:fill="auto"/>
          </w:tcPr>
          <w:p w14:paraId="2CA0C76D" w14:textId="07B56B9F" w:rsidR="00565C5A" w:rsidRPr="005734B8" w:rsidRDefault="0080071E" w:rsidP="000E6F40">
            <w:pPr>
              <w:pStyle w:val="ESTablebody"/>
              <w:rPr>
                <w:rFonts w:ascii="Calibri" w:hAnsi="Calibri" w:cs="Calibri"/>
              </w:rPr>
            </w:pPr>
            <w:r w:rsidRPr="005734B8">
              <w:rPr>
                <w:rFonts w:ascii="Calibri" w:hAnsi="Calibri" w:cs="Calibri"/>
                <w:lang w:val="en-AU"/>
              </w:rPr>
              <w:t>Dr Susana Gavidia</w:t>
            </w:r>
            <w:r w:rsidRPr="005734B8">
              <w:rPr>
                <w:rFonts w:ascii="Calibri" w:hAnsi="Calibri" w:cs="Calibri"/>
                <w:lang w:val="en-AU"/>
              </w:rPr>
              <w:noBreakHyphen/>
              <w:t>Payne</w:t>
            </w:r>
          </w:p>
        </w:tc>
        <w:tc>
          <w:tcPr>
            <w:tcW w:w="5387" w:type="dxa"/>
            <w:tcBorders>
              <w:top w:val="single" w:sz="4" w:space="0" w:color="53565A" w:themeColor="accent5"/>
              <w:bottom w:val="single" w:sz="4" w:space="0" w:color="53565A" w:themeColor="accent5"/>
            </w:tcBorders>
            <w:shd w:val="clear" w:color="auto" w:fill="auto"/>
          </w:tcPr>
          <w:p w14:paraId="55EE5B99" w14:textId="77777777" w:rsidR="0080071E" w:rsidRPr="005734B8" w:rsidRDefault="0080071E" w:rsidP="0080071E">
            <w:pPr>
              <w:pStyle w:val="ESTablebody"/>
              <w:rPr>
                <w:rFonts w:ascii="Calibri" w:hAnsi="Calibri" w:cs="Calibri"/>
                <w:lang w:val="en-AU"/>
              </w:rPr>
            </w:pPr>
            <w:r w:rsidRPr="005734B8">
              <w:rPr>
                <w:rFonts w:ascii="Calibri" w:hAnsi="Calibri" w:cs="Calibri"/>
                <w:lang w:val="en-AU"/>
              </w:rPr>
              <w:t>Child development and early intervention</w:t>
            </w:r>
          </w:p>
          <w:p w14:paraId="7D356ABF" w14:textId="2C3CAF3B" w:rsidR="00565C5A" w:rsidRPr="005734B8" w:rsidRDefault="0080071E" w:rsidP="000E6F40">
            <w:pPr>
              <w:pStyle w:val="ESTablebody"/>
              <w:rPr>
                <w:rFonts w:ascii="Calibri" w:hAnsi="Calibri" w:cs="Calibri"/>
              </w:rPr>
            </w:pPr>
            <w:r w:rsidRPr="005734B8">
              <w:rPr>
                <w:rFonts w:ascii="Calibri" w:hAnsi="Calibri" w:cs="Calibri"/>
                <w:lang w:val="en-AU"/>
              </w:rPr>
              <w:t>Adjunct Professor, RMIT University</w:t>
            </w:r>
            <w:r w:rsidR="007F305E" w:rsidRPr="005734B8">
              <w:rPr>
                <w:rFonts w:ascii="Calibri" w:hAnsi="Calibri" w:cs="Calibri"/>
                <w:lang w:val="en-AU"/>
              </w:rPr>
              <w:t>,</w:t>
            </w:r>
            <w:r w:rsidRPr="005734B8">
              <w:rPr>
                <w:rFonts w:ascii="Calibri" w:hAnsi="Calibri" w:cs="Calibri"/>
                <w:lang w:val="en-AU"/>
              </w:rPr>
              <w:t xml:space="preserve"> and former President, Victorian chapter of Early Childhood Intervention Australia </w:t>
            </w:r>
          </w:p>
        </w:tc>
      </w:tr>
      <w:tr w:rsidR="00565C5A" w:rsidRPr="005734B8" w14:paraId="3E92F908" w14:textId="77777777" w:rsidTr="000E6F40">
        <w:trPr>
          <w:cantSplit/>
          <w:trHeight w:val="477"/>
        </w:trPr>
        <w:tc>
          <w:tcPr>
            <w:tcW w:w="2263" w:type="dxa"/>
            <w:tcBorders>
              <w:top w:val="single" w:sz="4" w:space="0" w:color="53565A" w:themeColor="accent5"/>
              <w:bottom w:val="single" w:sz="4" w:space="0" w:color="53565A" w:themeColor="accent5"/>
            </w:tcBorders>
            <w:shd w:val="clear" w:color="auto" w:fill="auto"/>
          </w:tcPr>
          <w:p w14:paraId="7C648049" w14:textId="104EB799" w:rsidR="00565C5A" w:rsidRPr="005734B8" w:rsidRDefault="0080071E" w:rsidP="000E6F40">
            <w:pPr>
              <w:pStyle w:val="ESTablebody"/>
              <w:rPr>
                <w:rFonts w:ascii="Calibri" w:hAnsi="Calibri" w:cs="Calibri"/>
              </w:rPr>
            </w:pPr>
            <w:r w:rsidRPr="005734B8">
              <w:rPr>
                <w:rFonts w:ascii="Calibri" w:hAnsi="Calibri" w:cs="Calibri"/>
                <w:lang w:val="en-AU"/>
              </w:rPr>
              <w:t xml:space="preserve">Ms Tina Hosseini </w:t>
            </w:r>
          </w:p>
        </w:tc>
        <w:tc>
          <w:tcPr>
            <w:tcW w:w="5387" w:type="dxa"/>
            <w:tcBorders>
              <w:top w:val="single" w:sz="4" w:space="0" w:color="53565A" w:themeColor="accent5"/>
              <w:bottom w:val="single" w:sz="4" w:space="0" w:color="53565A" w:themeColor="accent5"/>
            </w:tcBorders>
            <w:shd w:val="clear" w:color="auto" w:fill="auto"/>
          </w:tcPr>
          <w:p w14:paraId="36E61CBC" w14:textId="77777777" w:rsidR="0080071E" w:rsidRPr="005734B8" w:rsidRDefault="0080071E" w:rsidP="0080071E">
            <w:pPr>
              <w:pStyle w:val="ESTablebody"/>
              <w:rPr>
                <w:rFonts w:ascii="Calibri" w:hAnsi="Calibri" w:cs="Calibri"/>
                <w:lang w:val="en-AU"/>
              </w:rPr>
            </w:pPr>
            <w:r w:rsidRPr="005734B8">
              <w:rPr>
                <w:rFonts w:ascii="Calibri" w:hAnsi="Calibri" w:cs="Calibri"/>
                <w:lang w:val="en-AU"/>
              </w:rPr>
              <w:t>Adolescent development and behaviours, multicultural communities</w:t>
            </w:r>
          </w:p>
          <w:p w14:paraId="5B67F79C" w14:textId="34E91BF5" w:rsidR="00565C5A" w:rsidRPr="005734B8" w:rsidRDefault="0080071E" w:rsidP="000E6F40">
            <w:pPr>
              <w:pStyle w:val="ESTablebody"/>
              <w:rPr>
                <w:rFonts w:ascii="Calibri" w:hAnsi="Calibri" w:cs="Calibri"/>
              </w:rPr>
            </w:pPr>
            <w:r w:rsidRPr="005734B8">
              <w:rPr>
                <w:rFonts w:ascii="Calibri" w:hAnsi="Calibri" w:cs="Calibri"/>
                <w:lang w:val="en-AU"/>
              </w:rPr>
              <w:t>Research Fellow, Swinburne University</w:t>
            </w:r>
          </w:p>
        </w:tc>
      </w:tr>
      <w:tr w:rsidR="00565C5A" w:rsidRPr="005734B8" w14:paraId="487DFE11" w14:textId="77777777" w:rsidTr="000E6F40">
        <w:trPr>
          <w:cantSplit/>
          <w:trHeight w:val="477"/>
        </w:trPr>
        <w:tc>
          <w:tcPr>
            <w:tcW w:w="2263" w:type="dxa"/>
            <w:tcBorders>
              <w:top w:val="single" w:sz="4" w:space="0" w:color="53565A" w:themeColor="accent5"/>
              <w:bottom w:val="single" w:sz="4" w:space="0" w:color="53565A" w:themeColor="accent5"/>
            </w:tcBorders>
            <w:shd w:val="clear" w:color="auto" w:fill="auto"/>
          </w:tcPr>
          <w:p w14:paraId="27688E2F" w14:textId="546A339C" w:rsidR="00565C5A" w:rsidRPr="005734B8" w:rsidRDefault="0080071E" w:rsidP="000E6F40">
            <w:pPr>
              <w:pStyle w:val="ESTablebody"/>
              <w:rPr>
                <w:rFonts w:ascii="Calibri" w:hAnsi="Calibri" w:cs="Calibri"/>
              </w:rPr>
            </w:pPr>
            <w:r w:rsidRPr="005734B8">
              <w:rPr>
                <w:rFonts w:ascii="Calibri" w:hAnsi="Calibri" w:cs="Calibri"/>
              </w:rPr>
              <w:t>Mr Warren Cann</w:t>
            </w:r>
          </w:p>
        </w:tc>
        <w:tc>
          <w:tcPr>
            <w:tcW w:w="5387" w:type="dxa"/>
            <w:tcBorders>
              <w:top w:val="single" w:sz="4" w:space="0" w:color="53565A" w:themeColor="accent5"/>
              <w:bottom w:val="single" w:sz="4" w:space="0" w:color="53565A" w:themeColor="accent5"/>
            </w:tcBorders>
            <w:shd w:val="clear" w:color="auto" w:fill="auto"/>
          </w:tcPr>
          <w:p w14:paraId="094ADB97" w14:textId="77777777" w:rsidR="0080071E" w:rsidRPr="005734B8" w:rsidRDefault="0080071E" w:rsidP="0080071E">
            <w:pPr>
              <w:pStyle w:val="ESTablebody"/>
              <w:rPr>
                <w:rFonts w:ascii="Calibri" w:hAnsi="Calibri" w:cs="Calibri"/>
              </w:rPr>
            </w:pPr>
            <w:r w:rsidRPr="005734B8">
              <w:rPr>
                <w:rFonts w:ascii="Calibri" w:hAnsi="Calibri" w:cs="Calibri"/>
              </w:rPr>
              <w:t>Parenting, family support</w:t>
            </w:r>
          </w:p>
          <w:p w14:paraId="78D618B0" w14:textId="17D6E342" w:rsidR="00565C5A" w:rsidRPr="005734B8" w:rsidRDefault="0080071E" w:rsidP="000E6F40">
            <w:pPr>
              <w:pStyle w:val="ESTablebody"/>
              <w:rPr>
                <w:rFonts w:ascii="Calibri" w:hAnsi="Calibri" w:cs="Calibri"/>
              </w:rPr>
            </w:pPr>
            <w:r w:rsidRPr="005734B8">
              <w:rPr>
                <w:rFonts w:ascii="Calibri" w:hAnsi="Calibri" w:cs="Calibri"/>
              </w:rPr>
              <w:t xml:space="preserve">CEO, Parenting Research Centre and Founding Director, Raising Children Network </w:t>
            </w:r>
          </w:p>
        </w:tc>
      </w:tr>
    </w:tbl>
    <w:p w14:paraId="6F15BAED" w14:textId="41D58ACF" w:rsidR="00EC279E" w:rsidRPr="005734B8" w:rsidRDefault="00EC279E" w:rsidP="00EC279E">
      <w:pPr>
        <w:pStyle w:val="ESHeading2"/>
        <w:rPr>
          <w:rFonts w:ascii="Calibri" w:hAnsi="Calibri" w:cs="Calibri"/>
        </w:rPr>
      </w:pPr>
      <w:bookmarkStart w:id="2147" w:name="_Toc10724203"/>
      <w:bookmarkStart w:id="2148" w:name="_Toc10724327"/>
      <w:bookmarkStart w:id="2149" w:name="_Toc11336517"/>
      <w:bookmarkStart w:id="2150" w:name="_Toc11336616"/>
      <w:bookmarkStart w:id="2151" w:name="_Toc13647220"/>
      <w:bookmarkStart w:id="2152" w:name="_Toc13656752"/>
      <w:bookmarkStart w:id="2153" w:name="_Toc13656914"/>
      <w:bookmarkStart w:id="2154" w:name="_Toc14965738"/>
      <w:bookmarkStart w:id="2155" w:name="_Toc15985334"/>
      <w:bookmarkStart w:id="2156" w:name="_Toc16231985"/>
      <w:bookmarkStart w:id="2157" w:name="_Toc18052256"/>
      <w:bookmarkStart w:id="2158" w:name="_Toc19272311"/>
      <w:bookmarkStart w:id="2159" w:name="_Toc19272677"/>
      <w:bookmarkStart w:id="2160" w:name="_Toc19274012"/>
      <w:bookmarkStart w:id="2161" w:name="_Toc48402868"/>
      <w:bookmarkStart w:id="2162" w:name="_Toc48403105"/>
      <w:bookmarkStart w:id="2163" w:name="_Toc48403672"/>
      <w:bookmarkStart w:id="2164" w:name="_Toc51332848"/>
      <w:bookmarkStart w:id="2165" w:name="_Toc78293032"/>
      <w:bookmarkStart w:id="2166" w:name="_Toc78444237"/>
      <w:bookmarkStart w:id="2167" w:name="_Toc80272111"/>
      <w:bookmarkStart w:id="2168" w:name="_Toc81315414"/>
      <w:r w:rsidRPr="005734B8">
        <w:rPr>
          <w:rFonts w:ascii="Calibri" w:hAnsi="Calibri" w:cs="Calibri"/>
          <w:lang w:val="en-AU"/>
        </w:rPr>
        <w:t>Disciplinary Appeals Boards</w:t>
      </w:r>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p>
    <w:p w14:paraId="2FB106DE" w14:textId="2628EAE0" w:rsidR="00EC279E" w:rsidRPr="005734B8" w:rsidRDefault="00EC279E" w:rsidP="00EC279E">
      <w:pPr>
        <w:rPr>
          <w:rFonts w:ascii="Calibri" w:hAnsi="Calibri" w:cs="Calibri"/>
        </w:rPr>
      </w:pPr>
      <w:r w:rsidRPr="005734B8">
        <w:rPr>
          <w:rFonts w:ascii="Calibri" w:hAnsi="Calibri" w:cs="Calibri"/>
        </w:rPr>
        <w:t xml:space="preserve">The Disciplinary Appeals Boards were established in 2005 following an amendment to the </w:t>
      </w:r>
      <w:r w:rsidRPr="005734B8">
        <w:rPr>
          <w:rFonts w:ascii="Calibri" w:hAnsi="Calibri" w:cs="Calibri"/>
          <w:i/>
        </w:rPr>
        <w:t>Teaching Service Act 1981.</w:t>
      </w:r>
      <w:r w:rsidRPr="005734B8">
        <w:rPr>
          <w:rFonts w:ascii="Calibri" w:hAnsi="Calibri" w:cs="Calibri"/>
        </w:rPr>
        <w:t xml:space="preserve"> They hear and determine appeals in relation to decisions of the Secretary of the Department of Education and Training made under sections 2.4.59F, 2.4.61 and 2.4.61A of the Education and Training Reform Act. Each Disciplinary Appeals Board comprises a chairperson, a secretary’s nominee and a minister’s nominee.</w:t>
      </w:r>
    </w:p>
    <w:p w14:paraId="3561345D" w14:textId="77777777" w:rsidR="00EC279E" w:rsidRPr="005734B8" w:rsidRDefault="00EC279E" w:rsidP="00EC279E">
      <w:pPr>
        <w:rPr>
          <w:rFonts w:ascii="Calibri" w:hAnsi="Calibri" w:cs="Calibri"/>
        </w:rPr>
      </w:pPr>
    </w:p>
    <w:p w14:paraId="6D2292B9" w14:textId="77777777" w:rsidR="00EC279E" w:rsidRPr="005734B8" w:rsidRDefault="00EC279E" w:rsidP="00EC279E">
      <w:pPr>
        <w:rPr>
          <w:rFonts w:ascii="Calibri" w:hAnsi="Calibri" w:cs="Calibri"/>
        </w:rPr>
      </w:pPr>
      <w:r w:rsidRPr="005734B8">
        <w:rPr>
          <w:rFonts w:ascii="Calibri" w:hAnsi="Calibri" w:cs="Calibri"/>
        </w:rPr>
        <w:t>The Disciplinary Appeals Boards had one appeal pending as at 1 July 2020 and received a further five appeals by 30 June 2021.</w:t>
      </w:r>
    </w:p>
    <w:p w14:paraId="6263B339" w14:textId="77777777" w:rsidR="00EC279E" w:rsidRPr="005734B8" w:rsidRDefault="00EC279E" w:rsidP="00EC279E">
      <w:pPr>
        <w:rPr>
          <w:rFonts w:ascii="Calibri" w:hAnsi="Calibri" w:cs="Calibri"/>
        </w:rPr>
      </w:pPr>
    </w:p>
    <w:p w14:paraId="25DF80D4" w14:textId="77777777" w:rsidR="00EC279E" w:rsidRPr="005734B8" w:rsidRDefault="00EC279E" w:rsidP="00EC279E">
      <w:pPr>
        <w:rPr>
          <w:rFonts w:ascii="Calibri" w:hAnsi="Calibri" w:cs="Calibri"/>
        </w:rPr>
      </w:pPr>
      <w:r w:rsidRPr="005734B8">
        <w:rPr>
          <w:rFonts w:ascii="Calibri" w:hAnsi="Calibri" w:cs="Calibri"/>
        </w:rPr>
        <w:lastRenderedPageBreak/>
        <w:t>The Senior Chairperson of the Merit Protection Boards administers the Disciplinary Appeals Boards and selects members to the boards as required. The Merit Protection Boards’ staff provide administrative support to the Disciplinary Appeals Boards.</w:t>
      </w:r>
    </w:p>
    <w:p w14:paraId="0A5E06CE" w14:textId="77777777" w:rsidR="00EC279E" w:rsidRPr="005734B8" w:rsidRDefault="00EC279E" w:rsidP="00EC279E">
      <w:pPr>
        <w:rPr>
          <w:rFonts w:ascii="Calibri" w:hAnsi="Calibri" w:cs="Calibri"/>
        </w:rPr>
      </w:pPr>
    </w:p>
    <w:p w14:paraId="5437D2BE" w14:textId="709A9E8C" w:rsidR="00EC279E" w:rsidRPr="005734B8" w:rsidRDefault="00EC279E" w:rsidP="00EC279E">
      <w:pPr>
        <w:rPr>
          <w:rFonts w:ascii="Calibri" w:hAnsi="Calibri" w:cs="Calibri"/>
        </w:rPr>
      </w:pPr>
      <w:r w:rsidRPr="005734B8">
        <w:rPr>
          <w:rFonts w:ascii="Calibri" w:hAnsi="Calibri" w:cs="Calibri"/>
        </w:rPr>
        <w:t>Chairpersons, nominated by the Secretary, were appointed under sections 2.4.73(2)(a) and 2.4.74 of the Education and Training Reform Act. Chairpersons must have been admitted to legal practice in Victoria for a minimum of five years. Chairpersons of the Disciplinary Appeals Boards are shown in the table below.</w:t>
      </w:r>
    </w:p>
    <w:p w14:paraId="7C9CAEEB" w14:textId="77777777" w:rsidR="00EC279E" w:rsidRPr="005734B8" w:rsidRDefault="00EC279E" w:rsidP="00EC279E">
      <w:pPr>
        <w:rPr>
          <w:rFonts w:ascii="Calibri" w:hAnsi="Calibri" w:cs="Calibri"/>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46"/>
        <w:gridCol w:w="2655"/>
        <w:gridCol w:w="2520"/>
      </w:tblGrid>
      <w:tr w:rsidR="00B351A2" w:rsidRPr="005734B8" w14:paraId="3C74DDCC" w14:textId="77777777" w:rsidTr="00785094">
        <w:trPr>
          <w:cantSplit/>
          <w:trHeight w:val="242"/>
          <w:tblHeader/>
        </w:trPr>
        <w:tc>
          <w:tcPr>
            <w:tcW w:w="7921" w:type="dxa"/>
            <w:gridSpan w:val="3"/>
            <w:tcBorders>
              <w:bottom w:val="single" w:sz="4" w:space="0" w:color="FFFFFF" w:themeColor="background1"/>
            </w:tcBorders>
            <w:shd w:val="clear" w:color="auto" w:fill="AF272F" w:themeFill="accent4"/>
          </w:tcPr>
          <w:p w14:paraId="534295AD" w14:textId="77777777" w:rsidR="00B351A2" w:rsidRPr="005734B8" w:rsidRDefault="00B351A2" w:rsidP="00785094">
            <w:pPr>
              <w:pStyle w:val="ESTableheadingwhite"/>
              <w:rPr>
                <w:rFonts w:ascii="Calibri" w:hAnsi="Calibri" w:cs="Calibri"/>
                <w:sz w:val="18"/>
                <w:lang w:val="en-AU"/>
              </w:rPr>
            </w:pPr>
            <w:r w:rsidRPr="005734B8">
              <w:rPr>
                <w:rFonts w:ascii="Calibri" w:hAnsi="Calibri" w:cs="Calibri"/>
                <w:sz w:val="18"/>
                <w:lang w:val="en-AU"/>
              </w:rPr>
              <w:t>Chairpersons of the Disciplinary Appeals Boards to 31 July 2020</w:t>
            </w:r>
          </w:p>
        </w:tc>
      </w:tr>
      <w:tr w:rsidR="00CA62F8" w:rsidRPr="005734B8" w14:paraId="680E38AD" w14:textId="77777777" w:rsidTr="00CF53EB">
        <w:trPr>
          <w:cantSplit/>
          <w:trHeight w:val="480"/>
        </w:trPr>
        <w:tc>
          <w:tcPr>
            <w:tcW w:w="2746" w:type="dxa"/>
            <w:tcBorders>
              <w:top w:val="single" w:sz="4" w:space="0" w:color="53565A" w:themeColor="accent5"/>
              <w:bottom w:val="single" w:sz="4" w:space="0" w:color="53565A" w:themeColor="accent5"/>
            </w:tcBorders>
            <w:shd w:val="clear" w:color="auto" w:fill="auto"/>
          </w:tcPr>
          <w:p w14:paraId="6A6DADAE" w14:textId="06A2B25D" w:rsidR="00CA62F8" w:rsidRPr="005734B8" w:rsidRDefault="00CA62F8" w:rsidP="00CA62F8">
            <w:pPr>
              <w:pStyle w:val="ESTablebody"/>
              <w:rPr>
                <w:rFonts w:ascii="Calibri" w:hAnsi="Calibri" w:cs="Calibri"/>
                <w:sz w:val="18"/>
              </w:rPr>
            </w:pPr>
            <w:r w:rsidRPr="005734B8">
              <w:rPr>
                <w:rFonts w:ascii="Calibri" w:hAnsi="Calibri" w:cs="Calibri"/>
                <w:sz w:val="18"/>
              </w:rPr>
              <w:t>Ms Annette Eastman</w:t>
            </w:r>
          </w:p>
        </w:tc>
        <w:tc>
          <w:tcPr>
            <w:tcW w:w="2655" w:type="dxa"/>
            <w:tcBorders>
              <w:top w:val="single" w:sz="4" w:space="0" w:color="53565A" w:themeColor="accent5"/>
              <w:bottom w:val="single" w:sz="4" w:space="0" w:color="53565A" w:themeColor="accent5"/>
            </w:tcBorders>
            <w:shd w:val="clear" w:color="auto" w:fill="auto"/>
          </w:tcPr>
          <w:p w14:paraId="0CACCC7F" w14:textId="3A0A97C2" w:rsidR="00CA62F8" w:rsidRPr="005734B8" w:rsidRDefault="00CA62F8" w:rsidP="00CA62F8">
            <w:pPr>
              <w:pStyle w:val="ESTablebody"/>
              <w:rPr>
                <w:rFonts w:ascii="Calibri" w:hAnsi="Calibri" w:cs="Calibri"/>
                <w:sz w:val="18"/>
              </w:rPr>
            </w:pPr>
            <w:r w:rsidRPr="005734B8">
              <w:rPr>
                <w:rFonts w:ascii="Calibri" w:hAnsi="Calibri" w:cs="Calibri"/>
                <w:sz w:val="18"/>
              </w:rPr>
              <w:t>Ms Paula Robinson</w:t>
            </w:r>
          </w:p>
        </w:tc>
        <w:tc>
          <w:tcPr>
            <w:tcW w:w="2520" w:type="dxa"/>
            <w:tcBorders>
              <w:top w:val="single" w:sz="4" w:space="0" w:color="53565A" w:themeColor="accent5"/>
              <w:bottom w:val="single" w:sz="4" w:space="0" w:color="53565A" w:themeColor="accent5"/>
            </w:tcBorders>
          </w:tcPr>
          <w:p w14:paraId="5C2DE745" w14:textId="681A57A8" w:rsidR="00CA62F8" w:rsidRPr="005734B8" w:rsidRDefault="00CA62F8" w:rsidP="00CA62F8">
            <w:pPr>
              <w:pStyle w:val="ESTablebody"/>
              <w:rPr>
                <w:rFonts w:ascii="Calibri" w:hAnsi="Calibri" w:cs="Calibri"/>
                <w:sz w:val="18"/>
              </w:rPr>
            </w:pPr>
            <w:r w:rsidRPr="005734B8">
              <w:rPr>
                <w:rFonts w:ascii="Calibri" w:hAnsi="Calibri" w:cs="Calibri"/>
                <w:sz w:val="18"/>
              </w:rPr>
              <w:t>Mr Phillip Davies</w:t>
            </w:r>
          </w:p>
        </w:tc>
      </w:tr>
      <w:tr w:rsidR="00CA62F8" w:rsidRPr="005734B8" w14:paraId="63567CCC" w14:textId="77777777" w:rsidTr="00CF53EB">
        <w:trPr>
          <w:cantSplit/>
          <w:trHeight w:val="477"/>
        </w:trPr>
        <w:tc>
          <w:tcPr>
            <w:tcW w:w="2746" w:type="dxa"/>
            <w:tcBorders>
              <w:top w:val="single" w:sz="4" w:space="0" w:color="53565A" w:themeColor="accent5"/>
              <w:bottom w:val="single" w:sz="4" w:space="0" w:color="53565A" w:themeColor="accent5"/>
            </w:tcBorders>
            <w:shd w:val="clear" w:color="auto" w:fill="auto"/>
          </w:tcPr>
          <w:p w14:paraId="04A1334C" w14:textId="0ACD019E" w:rsidR="00CA62F8" w:rsidRPr="005734B8" w:rsidRDefault="00CA62F8" w:rsidP="00CA62F8">
            <w:pPr>
              <w:pStyle w:val="ESTablebody"/>
              <w:rPr>
                <w:rFonts w:ascii="Calibri" w:hAnsi="Calibri" w:cs="Calibri"/>
                <w:sz w:val="18"/>
              </w:rPr>
            </w:pPr>
            <w:r w:rsidRPr="005734B8">
              <w:rPr>
                <w:rFonts w:ascii="Calibri" w:hAnsi="Calibri" w:cs="Calibri"/>
                <w:sz w:val="18"/>
              </w:rPr>
              <w:t>Ms Catherine Healy</w:t>
            </w:r>
          </w:p>
        </w:tc>
        <w:tc>
          <w:tcPr>
            <w:tcW w:w="2655" w:type="dxa"/>
            <w:tcBorders>
              <w:top w:val="single" w:sz="4" w:space="0" w:color="53565A" w:themeColor="accent5"/>
              <w:bottom w:val="single" w:sz="4" w:space="0" w:color="53565A" w:themeColor="accent5"/>
            </w:tcBorders>
            <w:shd w:val="clear" w:color="auto" w:fill="auto"/>
          </w:tcPr>
          <w:p w14:paraId="3739940C" w14:textId="3B9DC8D6" w:rsidR="00CA62F8" w:rsidRPr="005734B8" w:rsidRDefault="00CA62F8" w:rsidP="00CA62F8">
            <w:pPr>
              <w:pStyle w:val="ESTablebody"/>
              <w:rPr>
                <w:rFonts w:ascii="Calibri" w:hAnsi="Calibri" w:cs="Calibri"/>
                <w:sz w:val="18"/>
              </w:rPr>
            </w:pPr>
            <w:r w:rsidRPr="005734B8">
              <w:rPr>
                <w:rFonts w:ascii="Calibri" w:hAnsi="Calibri" w:cs="Calibri"/>
                <w:sz w:val="18"/>
              </w:rPr>
              <w:t>Dr Peter Condliffe</w:t>
            </w:r>
          </w:p>
        </w:tc>
        <w:tc>
          <w:tcPr>
            <w:tcW w:w="2520" w:type="dxa"/>
            <w:tcBorders>
              <w:top w:val="single" w:sz="4" w:space="0" w:color="53565A" w:themeColor="accent5"/>
              <w:bottom w:val="single" w:sz="4" w:space="0" w:color="53565A" w:themeColor="accent5"/>
            </w:tcBorders>
          </w:tcPr>
          <w:p w14:paraId="36F154FF" w14:textId="39B1014C" w:rsidR="00CA62F8" w:rsidRPr="005734B8" w:rsidRDefault="00CA62F8" w:rsidP="00CA62F8">
            <w:pPr>
              <w:pStyle w:val="ESTablebody"/>
              <w:rPr>
                <w:rFonts w:ascii="Calibri" w:hAnsi="Calibri" w:cs="Calibri"/>
                <w:sz w:val="18"/>
              </w:rPr>
            </w:pPr>
            <w:r w:rsidRPr="005734B8">
              <w:rPr>
                <w:rFonts w:ascii="Calibri" w:hAnsi="Calibri" w:cs="Calibri"/>
                <w:sz w:val="18"/>
              </w:rPr>
              <w:t>Mr Robert Howard</w:t>
            </w:r>
          </w:p>
        </w:tc>
      </w:tr>
      <w:tr w:rsidR="00CA62F8" w:rsidRPr="005734B8" w14:paraId="1D76C3B3" w14:textId="77777777" w:rsidTr="00CF53EB">
        <w:trPr>
          <w:cantSplit/>
          <w:trHeight w:val="477"/>
        </w:trPr>
        <w:tc>
          <w:tcPr>
            <w:tcW w:w="2746" w:type="dxa"/>
            <w:tcBorders>
              <w:top w:val="single" w:sz="4" w:space="0" w:color="53565A" w:themeColor="accent5"/>
              <w:bottom w:val="single" w:sz="4" w:space="0" w:color="53565A" w:themeColor="accent5"/>
            </w:tcBorders>
            <w:shd w:val="clear" w:color="auto" w:fill="auto"/>
          </w:tcPr>
          <w:p w14:paraId="07FE86DD" w14:textId="70A01452" w:rsidR="00CA62F8" w:rsidRPr="005734B8" w:rsidRDefault="00CA62F8" w:rsidP="00CA62F8">
            <w:pPr>
              <w:pStyle w:val="ESTablebody"/>
              <w:rPr>
                <w:rFonts w:ascii="Calibri" w:hAnsi="Calibri" w:cs="Calibri"/>
                <w:sz w:val="18"/>
              </w:rPr>
            </w:pPr>
            <w:r w:rsidRPr="005734B8">
              <w:rPr>
                <w:rFonts w:ascii="Calibri" w:hAnsi="Calibri" w:cs="Calibri"/>
                <w:sz w:val="18"/>
              </w:rPr>
              <w:t>Mr Ian Scott</w:t>
            </w:r>
          </w:p>
        </w:tc>
        <w:tc>
          <w:tcPr>
            <w:tcW w:w="2655" w:type="dxa"/>
            <w:tcBorders>
              <w:top w:val="single" w:sz="4" w:space="0" w:color="53565A" w:themeColor="accent5"/>
              <w:bottom w:val="single" w:sz="4" w:space="0" w:color="53565A" w:themeColor="accent5"/>
            </w:tcBorders>
            <w:shd w:val="clear" w:color="auto" w:fill="auto"/>
          </w:tcPr>
          <w:p w14:paraId="4A887D37" w14:textId="27E0B850" w:rsidR="00CA62F8" w:rsidRPr="005734B8" w:rsidRDefault="00CA62F8" w:rsidP="00CA62F8">
            <w:pPr>
              <w:pStyle w:val="ESTablebody"/>
              <w:rPr>
                <w:rFonts w:ascii="Calibri" w:hAnsi="Calibri" w:cs="Calibri"/>
                <w:sz w:val="18"/>
              </w:rPr>
            </w:pPr>
            <w:r w:rsidRPr="005734B8">
              <w:rPr>
                <w:rFonts w:ascii="Calibri" w:hAnsi="Calibri" w:cs="Calibri"/>
                <w:sz w:val="18"/>
              </w:rPr>
              <w:t>Mr Peter Harris</w:t>
            </w:r>
          </w:p>
        </w:tc>
        <w:tc>
          <w:tcPr>
            <w:tcW w:w="2520" w:type="dxa"/>
            <w:tcBorders>
              <w:top w:val="single" w:sz="4" w:space="0" w:color="53565A" w:themeColor="accent5"/>
              <w:bottom w:val="single" w:sz="4" w:space="0" w:color="53565A" w:themeColor="accent5"/>
            </w:tcBorders>
          </w:tcPr>
          <w:p w14:paraId="713871E8" w14:textId="4591355D" w:rsidR="00CA62F8" w:rsidRPr="005734B8" w:rsidRDefault="00CA62F8" w:rsidP="00CA62F8">
            <w:pPr>
              <w:pStyle w:val="ESTablebody"/>
              <w:rPr>
                <w:rFonts w:ascii="Calibri" w:hAnsi="Calibri" w:cs="Calibri"/>
                <w:sz w:val="18"/>
              </w:rPr>
            </w:pPr>
            <w:r w:rsidRPr="005734B8">
              <w:rPr>
                <w:rFonts w:ascii="Calibri" w:hAnsi="Calibri" w:cs="Calibri"/>
                <w:sz w:val="18"/>
              </w:rPr>
              <w:t>Mr Russell Daily</w:t>
            </w:r>
          </w:p>
        </w:tc>
      </w:tr>
      <w:tr w:rsidR="00CA62F8" w:rsidRPr="005734B8" w14:paraId="49D57CFB" w14:textId="77777777" w:rsidTr="00CF53EB">
        <w:trPr>
          <w:cantSplit/>
          <w:trHeight w:val="477"/>
        </w:trPr>
        <w:tc>
          <w:tcPr>
            <w:tcW w:w="2746" w:type="dxa"/>
            <w:tcBorders>
              <w:top w:val="single" w:sz="4" w:space="0" w:color="53565A" w:themeColor="accent5"/>
              <w:bottom w:val="single" w:sz="4" w:space="0" w:color="53565A" w:themeColor="accent5"/>
            </w:tcBorders>
            <w:shd w:val="clear" w:color="auto" w:fill="auto"/>
          </w:tcPr>
          <w:p w14:paraId="703E6B96" w14:textId="3BE8A3D1" w:rsidR="00CA62F8" w:rsidRPr="005734B8" w:rsidRDefault="00CA62F8" w:rsidP="00CA62F8">
            <w:pPr>
              <w:pStyle w:val="ESTablebody"/>
              <w:rPr>
                <w:rFonts w:ascii="Calibri" w:hAnsi="Calibri" w:cs="Calibri"/>
                <w:sz w:val="18"/>
              </w:rPr>
            </w:pPr>
            <w:r w:rsidRPr="005734B8">
              <w:rPr>
                <w:rFonts w:ascii="Calibri" w:hAnsi="Calibri" w:cs="Calibri"/>
                <w:sz w:val="18"/>
              </w:rPr>
              <w:t xml:space="preserve">Ms Jordana Millman </w:t>
            </w:r>
          </w:p>
        </w:tc>
        <w:tc>
          <w:tcPr>
            <w:tcW w:w="2655" w:type="dxa"/>
            <w:tcBorders>
              <w:top w:val="single" w:sz="4" w:space="0" w:color="53565A" w:themeColor="accent5"/>
              <w:bottom w:val="single" w:sz="4" w:space="0" w:color="53565A" w:themeColor="accent5"/>
            </w:tcBorders>
            <w:shd w:val="clear" w:color="auto" w:fill="auto"/>
          </w:tcPr>
          <w:p w14:paraId="25B25739" w14:textId="71098192" w:rsidR="00CA62F8" w:rsidRPr="005734B8" w:rsidRDefault="00CA62F8" w:rsidP="00CA62F8">
            <w:pPr>
              <w:pStyle w:val="ESTablebody"/>
              <w:rPr>
                <w:rFonts w:ascii="Calibri" w:hAnsi="Calibri" w:cs="Calibri"/>
                <w:sz w:val="18"/>
              </w:rPr>
            </w:pPr>
            <w:r w:rsidRPr="005734B8">
              <w:rPr>
                <w:rFonts w:ascii="Calibri" w:hAnsi="Calibri" w:cs="Calibri"/>
                <w:sz w:val="18"/>
              </w:rPr>
              <w:t>Mr Peter Kempson</w:t>
            </w:r>
          </w:p>
        </w:tc>
        <w:tc>
          <w:tcPr>
            <w:tcW w:w="2520" w:type="dxa"/>
            <w:tcBorders>
              <w:top w:val="single" w:sz="4" w:space="0" w:color="53565A" w:themeColor="accent5"/>
              <w:bottom w:val="single" w:sz="4" w:space="0" w:color="53565A" w:themeColor="accent5"/>
            </w:tcBorders>
          </w:tcPr>
          <w:p w14:paraId="45C8F7C1" w14:textId="499A87A9" w:rsidR="00CA62F8" w:rsidRPr="005734B8" w:rsidRDefault="00CA62F8" w:rsidP="00CA62F8">
            <w:pPr>
              <w:pStyle w:val="ESTablebody"/>
              <w:rPr>
                <w:rFonts w:ascii="Calibri" w:hAnsi="Calibri" w:cs="Calibri"/>
                <w:sz w:val="18"/>
              </w:rPr>
            </w:pPr>
            <w:r w:rsidRPr="005734B8">
              <w:rPr>
                <w:rFonts w:ascii="Calibri" w:hAnsi="Calibri" w:cs="Calibri"/>
                <w:sz w:val="18"/>
              </w:rPr>
              <w:t>Mr William O’Shea</w:t>
            </w:r>
          </w:p>
        </w:tc>
      </w:tr>
    </w:tbl>
    <w:p w14:paraId="14230440" w14:textId="77777777" w:rsidR="00B351A2" w:rsidRPr="005734B8" w:rsidRDefault="00B351A2" w:rsidP="00EC279E">
      <w:pPr>
        <w:rPr>
          <w:rFonts w:ascii="Calibri" w:hAnsi="Calibri" w:cs="Calibri"/>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46"/>
        <w:gridCol w:w="2655"/>
        <w:gridCol w:w="2520"/>
      </w:tblGrid>
      <w:tr w:rsidR="00B351A2" w:rsidRPr="005734B8" w14:paraId="5E90A94A" w14:textId="77777777" w:rsidTr="00785094">
        <w:trPr>
          <w:cantSplit/>
          <w:trHeight w:val="242"/>
          <w:tblHeader/>
        </w:trPr>
        <w:tc>
          <w:tcPr>
            <w:tcW w:w="7921" w:type="dxa"/>
            <w:gridSpan w:val="3"/>
            <w:tcBorders>
              <w:bottom w:val="single" w:sz="4" w:space="0" w:color="FFFFFF" w:themeColor="background1"/>
            </w:tcBorders>
            <w:shd w:val="clear" w:color="auto" w:fill="AF272F" w:themeFill="accent4"/>
          </w:tcPr>
          <w:p w14:paraId="0B15CE1B" w14:textId="77777777" w:rsidR="00B351A2" w:rsidRPr="005734B8" w:rsidRDefault="00B351A2" w:rsidP="00785094">
            <w:pPr>
              <w:pStyle w:val="ESTableheadingwhite"/>
              <w:rPr>
                <w:rFonts w:ascii="Calibri" w:hAnsi="Calibri" w:cs="Calibri"/>
                <w:sz w:val="18"/>
                <w:lang w:val="en-AU"/>
              </w:rPr>
            </w:pPr>
            <w:r w:rsidRPr="005734B8">
              <w:rPr>
                <w:rFonts w:ascii="Calibri" w:hAnsi="Calibri" w:cs="Calibri"/>
                <w:sz w:val="18"/>
                <w:lang w:val="en-AU"/>
              </w:rPr>
              <w:t>Chairpersons of the Disciplinary Appeals Boards from 1 August 2020</w:t>
            </w:r>
          </w:p>
        </w:tc>
      </w:tr>
      <w:tr w:rsidR="00EF5010" w:rsidRPr="005734B8" w14:paraId="013479E4" w14:textId="77777777" w:rsidTr="00785094">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6EBB6C29" w14:textId="367D899C" w:rsidR="00EF5010" w:rsidRPr="005734B8" w:rsidRDefault="00EF5010" w:rsidP="00EF5010">
            <w:pPr>
              <w:pStyle w:val="ESTablebody"/>
              <w:rPr>
                <w:rFonts w:ascii="Calibri" w:hAnsi="Calibri" w:cs="Calibri"/>
                <w:sz w:val="18"/>
                <w:lang w:val="en-AU"/>
              </w:rPr>
            </w:pPr>
            <w:r w:rsidRPr="005734B8">
              <w:rPr>
                <w:rFonts w:ascii="Calibri" w:hAnsi="Calibri" w:cs="Calibri"/>
                <w:sz w:val="18"/>
                <w:lang w:val="en-AU"/>
              </w:rPr>
              <w:t>Ms Catherine Healy</w:t>
            </w:r>
          </w:p>
        </w:tc>
        <w:tc>
          <w:tcPr>
            <w:tcW w:w="2655" w:type="dxa"/>
            <w:tcBorders>
              <w:top w:val="single" w:sz="4" w:space="0" w:color="53565A" w:themeColor="accent5"/>
              <w:bottom w:val="single" w:sz="4" w:space="0" w:color="53565A" w:themeColor="accent5"/>
            </w:tcBorders>
            <w:shd w:val="clear" w:color="auto" w:fill="auto"/>
            <w:vAlign w:val="center"/>
          </w:tcPr>
          <w:p w14:paraId="2731552F" w14:textId="559A69F3" w:rsidR="00EF5010" w:rsidRPr="005734B8" w:rsidRDefault="00EF5010" w:rsidP="00EF5010">
            <w:pPr>
              <w:pStyle w:val="ESTablebody"/>
              <w:rPr>
                <w:rFonts w:ascii="Calibri" w:hAnsi="Calibri" w:cs="Calibri"/>
                <w:sz w:val="18"/>
                <w:lang w:val="en-AU"/>
              </w:rPr>
            </w:pPr>
            <w:r w:rsidRPr="005734B8">
              <w:rPr>
                <w:rFonts w:ascii="Calibri" w:hAnsi="Calibri" w:cs="Calibri"/>
                <w:sz w:val="18"/>
                <w:lang w:val="en-AU"/>
              </w:rPr>
              <w:t>Dr Peter Condliffe</w:t>
            </w:r>
          </w:p>
        </w:tc>
        <w:tc>
          <w:tcPr>
            <w:tcW w:w="2520" w:type="dxa"/>
            <w:tcBorders>
              <w:top w:val="single" w:sz="4" w:space="0" w:color="53565A" w:themeColor="accent5"/>
              <w:bottom w:val="single" w:sz="4" w:space="0" w:color="53565A" w:themeColor="accent5"/>
            </w:tcBorders>
            <w:vAlign w:val="center"/>
          </w:tcPr>
          <w:p w14:paraId="2A9DC251" w14:textId="1DE55FDE" w:rsidR="00EF5010" w:rsidRPr="005734B8" w:rsidRDefault="00EF5010" w:rsidP="00EF5010">
            <w:pPr>
              <w:pStyle w:val="ESTablebody"/>
              <w:rPr>
                <w:rFonts w:ascii="Calibri" w:hAnsi="Calibri" w:cs="Calibri"/>
                <w:sz w:val="18"/>
                <w:lang w:val="en-AU"/>
              </w:rPr>
            </w:pPr>
            <w:r w:rsidRPr="005734B8">
              <w:rPr>
                <w:rFonts w:ascii="Calibri" w:hAnsi="Calibri" w:cs="Calibri"/>
                <w:sz w:val="18"/>
                <w:lang w:val="en-AU"/>
              </w:rPr>
              <w:t>Mr William O’Shea</w:t>
            </w:r>
          </w:p>
        </w:tc>
      </w:tr>
      <w:tr w:rsidR="00EF5010" w:rsidRPr="005734B8" w14:paraId="0C5B4758" w14:textId="77777777" w:rsidTr="00EF5010">
        <w:trPr>
          <w:cantSplit/>
          <w:trHeight w:val="477"/>
        </w:trPr>
        <w:tc>
          <w:tcPr>
            <w:tcW w:w="2746" w:type="dxa"/>
            <w:tcBorders>
              <w:top w:val="single" w:sz="4" w:space="0" w:color="53565A" w:themeColor="accent5"/>
              <w:bottom w:val="single" w:sz="4" w:space="0" w:color="53565A" w:themeColor="accent5"/>
            </w:tcBorders>
            <w:shd w:val="clear" w:color="auto" w:fill="auto"/>
          </w:tcPr>
          <w:p w14:paraId="5534D8D9" w14:textId="49633015" w:rsidR="00EF5010" w:rsidRPr="005734B8" w:rsidRDefault="00EF5010" w:rsidP="00EF5010">
            <w:pPr>
              <w:pStyle w:val="ESTablebody"/>
              <w:rPr>
                <w:rFonts w:ascii="Calibri" w:hAnsi="Calibri" w:cs="Calibri"/>
                <w:sz w:val="18"/>
              </w:rPr>
            </w:pPr>
            <w:r w:rsidRPr="005734B8">
              <w:rPr>
                <w:rFonts w:ascii="Calibri" w:hAnsi="Calibri" w:cs="Calibri"/>
                <w:sz w:val="18"/>
                <w:lang w:val="en-AU"/>
              </w:rPr>
              <w:t>Mr Ian Scott</w:t>
            </w:r>
          </w:p>
        </w:tc>
        <w:tc>
          <w:tcPr>
            <w:tcW w:w="2655" w:type="dxa"/>
            <w:tcBorders>
              <w:top w:val="single" w:sz="4" w:space="0" w:color="53565A" w:themeColor="accent5"/>
              <w:bottom w:val="single" w:sz="4" w:space="0" w:color="53565A" w:themeColor="accent5"/>
            </w:tcBorders>
            <w:shd w:val="clear" w:color="auto" w:fill="auto"/>
            <w:vAlign w:val="center"/>
          </w:tcPr>
          <w:p w14:paraId="676FDF70" w14:textId="36AE4D60" w:rsidR="00EF5010" w:rsidRPr="005734B8" w:rsidRDefault="00EF5010" w:rsidP="00EF5010">
            <w:pPr>
              <w:pStyle w:val="ESTablebody"/>
              <w:rPr>
                <w:rFonts w:ascii="Calibri" w:hAnsi="Calibri" w:cs="Calibri"/>
                <w:sz w:val="18"/>
              </w:rPr>
            </w:pPr>
            <w:r w:rsidRPr="005734B8">
              <w:rPr>
                <w:rFonts w:ascii="Calibri" w:hAnsi="Calibri" w:cs="Calibri"/>
                <w:sz w:val="18"/>
              </w:rPr>
              <w:t>Mr Peter Harris</w:t>
            </w:r>
          </w:p>
        </w:tc>
        <w:tc>
          <w:tcPr>
            <w:tcW w:w="2520" w:type="dxa"/>
            <w:tcBorders>
              <w:top w:val="single" w:sz="4" w:space="0" w:color="53565A" w:themeColor="accent5"/>
              <w:bottom w:val="single" w:sz="4" w:space="0" w:color="53565A" w:themeColor="accent5"/>
            </w:tcBorders>
            <w:vAlign w:val="center"/>
          </w:tcPr>
          <w:p w14:paraId="49DBB27D" w14:textId="7C4FB56B" w:rsidR="00EF5010" w:rsidRPr="005734B8" w:rsidRDefault="00EF5010" w:rsidP="00EF5010">
            <w:pPr>
              <w:pStyle w:val="ESTablebody"/>
              <w:rPr>
                <w:rFonts w:ascii="Calibri" w:hAnsi="Calibri" w:cs="Calibri"/>
                <w:sz w:val="18"/>
              </w:rPr>
            </w:pPr>
          </w:p>
        </w:tc>
      </w:tr>
      <w:tr w:rsidR="00EF5010" w:rsidRPr="005734B8" w14:paraId="41208DCD" w14:textId="77777777" w:rsidTr="00785094">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24CCBDF5" w14:textId="0AB88E8C" w:rsidR="00EF5010" w:rsidRPr="005734B8" w:rsidRDefault="00EF5010" w:rsidP="00EF5010">
            <w:pPr>
              <w:pStyle w:val="ESTablebody"/>
              <w:rPr>
                <w:rFonts w:ascii="Calibri" w:hAnsi="Calibri" w:cs="Calibri"/>
                <w:sz w:val="18"/>
              </w:rPr>
            </w:pPr>
            <w:r w:rsidRPr="005734B8">
              <w:rPr>
                <w:rFonts w:ascii="Calibri" w:hAnsi="Calibri" w:cs="Calibri"/>
                <w:sz w:val="18"/>
                <w:lang w:val="en-AU"/>
              </w:rPr>
              <w:t>Ms Paula Robinson</w:t>
            </w:r>
          </w:p>
        </w:tc>
        <w:tc>
          <w:tcPr>
            <w:tcW w:w="2655" w:type="dxa"/>
            <w:tcBorders>
              <w:top w:val="single" w:sz="4" w:space="0" w:color="53565A" w:themeColor="accent5"/>
              <w:bottom w:val="single" w:sz="4" w:space="0" w:color="53565A" w:themeColor="accent5"/>
            </w:tcBorders>
            <w:shd w:val="clear" w:color="auto" w:fill="auto"/>
            <w:vAlign w:val="center"/>
          </w:tcPr>
          <w:p w14:paraId="5DA02250" w14:textId="50C46743" w:rsidR="00EF5010" w:rsidRPr="005734B8" w:rsidRDefault="00EF5010" w:rsidP="00EF5010">
            <w:pPr>
              <w:pStyle w:val="ESTablebody"/>
              <w:rPr>
                <w:rFonts w:ascii="Calibri" w:hAnsi="Calibri" w:cs="Calibri"/>
                <w:sz w:val="18"/>
              </w:rPr>
            </w:pPr>
            <w:r w:rsidRPr="005734B8">
              <w:rPr>
                <w:rFonts w:ascii="Calibri" w:hAnsi="Calibri" w:cs="Calibri"/>
                <w:sz w:val="18"/>
                <w:lang w:val="en-AU"/>
              </w:rPr>
              <w:t>Mr Richard Besley</w:t>
            </w:r>
          </w:p>
        </w:tc>
        <w:tc>
          <w:tcPr>
            <w:tcW w:w="2520" w:type="dxa"/>
            <w:tcBorders>
              <w:top w:val="single" w:sz="4" w:space="0" w:color="53565A" w:themeColor="accent5"/>
              <w:bottom w:val="single" w:sz="4" w:space="0" w:color="53565A" w:themeColor="accent5"/>
            </w:tcBorders>
            <w:vAlign w:val="center"/>
          </w:tcPr>
          <w:p w14:paraId="63514DBF" w14:textId="77777777" w:rsidR="00EF5010" w:rsidRPr="005734B8" w:rsidRDefault="00EF5010" w:rsidP="00EF5010">
            <w:pPr>
              <w:pStyle w:val="ESTablebody"/>
              <w:rPr>
                <w:rFonts w:ascii="Calibri" w:hAnsi="Calibri" w:cs="Calibri"/>
                <w:sz w:val="18"/>
              </w:rPr>
            </w:pPr>
          </w:p>
        </w:tc>
      </w:tr>
    </w:tbl>
    <w:p w14:paraId="4D21462D" w14:textId="77777777" w:rsidR="00B351A2" w:rsidRPr="005734B8" w:rsidRDefault="00B351A2" w:rsidP="00EC279E">
      <w:pPr>
        <w:rPr>
          <w:rFonts w:ascii="Calibri" w:hAnsi="Calibri" w:cs="Calibri"/>
        </w:rPr>
      </w:pPr>
    </w:p>
    <w:p w14:paraId="21EF5CCB" w14:textId="058AC1E6" w:rsidR="00EC279E" w:rsidRPr="005734B8" w:rsidRDefault="00EC279E" w:rsidP="00EC279E">
      <w:pPr>
        <w:rPr>
          <w:rFonts w:ascii="Calibri" w:hAnsi="Calibri" w:cs="Calibri"/>
        </w:rPr>
      </w:pPr>
      <w:r w:rsidRPr="005734B8">
        <w:rPr>
          <w:rFonts w:ascii="Calibri" w:hAnsi="Calibri" w:cs="Calibri"/>
        </w:rPr>
        <w:t>Secretary’s nominees, who have knowledge and experience in education, education administration or public sector administration, were appointed under sections 2.4.73(2)</w:t>
      </w:r>
      <w:r w:rsidR="00B15F9A" w:rsidRPr="005734B8">
        <w:rPr>
          <w:rFonts w:ascii="Calibri" w:hAnsi="Calibri" w:cs="Calibri"/>
        </w:rPr>
        <w:t>I</w:t>
      </w:r>
      <w:r w:rsidRPr="005734B8">
        <w:rPr>
          <w:rFonts w:ascii="Calibri" w:hAnsi="Calibri" w:cs="Calibri"/>
        </w:rPr>
        <w:t xml:space="preserve"> and 2.4.74 of the Education and Training Reform Act. Secretary’s nominees are shown below.</w:t>
      </w:r>
    </w:p>
    <w:p w14:paraId="76C78F1D" w14:textId="77777777" w:rsidR="00EC279E" w:rsidRPr="005734B8" w:rsidRDefault="00EC279E" w:rsidP="00EC279E">
      <w:pPr>
        <w:rPr>
          <w:rFonts w:ascii="Calibri" w:hAnsi="Calibri" w:cs="Calibri"/>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46"/>
        <w:gridCol w:w="2655"/>
        <w:gridCol w:w="2520"/>
      </w:tblGrid>
      <w:tr w:rsidR="00B351A2" w:rsidRPr="005734B8" w14:paraId="47A42E1A" w14:textId="77777777" w:rsidTr="00785094">
        <w:trPr>
          <w:cantSplit/>
          <w:trHeight w:val="242"/>
          <w:tblHeader/>
        </w:trPr>
        <w:tc>
          <w:tcPr>
            <w:tcW w:w="7921" w:type="dxa"/>
            <w:gridSpan w:val="3"/>
            <w:tcBorders>
              <w:bottom w:val="single" w:sz="4" w:space="0" w:color="FFFFFF" w:themeColor="background1"/>
            </w:tcBorders>
            <w:shd w:val="clear" w:color="auto" w:fill="AF272F" w:themeFill="accent4"/>
          </w:tcPr>
          <w:p w14:paraId="061AA7CE" w14:textId="77777777" w:rsidR="00B351A2" w:rsidRPr="005734B8" w:rsidRDefault="00B351A2" w:rsidP="00785094">
            <w:pPr>
              <w:pStyle w:val="ESTableheadingwhite"/>
              <w:rPr>
                <w:rFonts w:ascii="Calibri" w:hAnsi="Calibri" w:cs="Calibri"/>
                <w:sz w:val="18"/>
                <w:lang w:val="en-AU"/>
              </w:rPr>
            </w:pPr>
            <w:r w:rsidRPr="005734B8">
              <w:rPr>
                <w:rFonts w:ascii="Calibri" w:hAnsi="Calibri" w:cs="Calibri"/>
                <w:sz w:val="18"/>
                <w:lang w:val="en-AU"/>
              </w:rPr>
              <w:t>Secretary’s nominees to the Disciplinary Appeals Boards to 31 July 2020</w:t>
            </w:r>
          </w:p>
        </w:tc>
      </w:tr>
      <w:tr w:rsidR="000035D2" w:rsidRPr="005734B8" w14:paraId="428AD09B" w14:textId="77777777" w:rsidTr="00785094">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008971FE" w14:textId="3F0C3DE7" w:rsidR="000035D2" w:rsidRPr="005734B8" w:rsidRDefault="009975F5" w:rsidP="000035D2">
            <w:pPr>
              <w:pStyle w:val="ESTablebody"/>
              <w:rPr>
                <w:rFonts w:ascii="Calibri" w:hAnsi="Calibri" w:cs="Calibri"/>
                <w:sz w:val="18"/>
              </w:rPr>
            </w:pPr>
            <w:r w:rsidRPr="005734B8">
              <w:rPr>
                <w:rFonts w:ascii="Calibri" w:hAnsi="Calibri" w:cs="Calibri"/>
                <w:sz w:val="18"/>
                <w:lang w:val="en-AU"/>
              </w:rPr>
              <w:t xml:space="preserve">Mr </w:t>
            </w:r>
            <w:r w:rsidR="000035D2" w:rsidRPr="005734B8">
              <w:rPr>
                <w:rFonts w:ascii="Calibri" w:hAnsi="Calibri" w:cs="Calibri"/>
                <w:sz w:val="18"/>
                <w:lang w:val="en-AU"/>
              </w:rPr>
              <w:t>Brian O’Dea</w:t>
            </w:r>
          </w:p>
        </w:tc>
        <w:tc>
          <w:tcPr>
            <w:tcW w:w="2655" w:type="dxa"/>
            <w:tcBorders>
              <w:top w:val="single" w:sz="4" w:space="0" w:color="53565A" w:themeColor="accent5"/>
              <w:bottom w:val="single" w:sz="4" w:space="0" w:color="53565A" w:themeColor="accent5"/>
            </w:tcBorders>
            <w:shd w:val="clear" w:color="auto" w:fill="auto"/>
            <w:vAlign w:val="center"/>
          </w:tcPr>
          <w:p w14:paraId="33E6C8E2" w14:textId="0AC060F2" w:rsidR="000035D2" w:rsidRPr="005734B8" w:rsidRDefault="009975F5" w:rsidP="000035D2">
            <w:pPr>
              <w:pStyle w:val="ESTablebody"/>
              <w:rPr>
                <w:rFonts w:ascii="Calibri" w:hAnsi="Calibri" w:cs="Calibri"/>
                <w:sz w:val="18"/>
              </w:rPr>
            </w:pPr>
            <w:r w:rsidRPr="005734B8">
              <w:rPr>
                <w:rFonts w:ascii="Calibri" w:hAnsi="Calibri" w:cs="Calibri"/>
                <w:sz w:val="18"/>
                <w:lang w:val="en-AU"/>
              </w:rPr>
              <w:t xml:space="preserve">Ms </w:t>
            </w:r>
            <w:r w:rsidR="000035D2" w:rsidRPr="005734B8">
              <w:rPr>
                <w:rFonts w:ascii="Calibri" w:hAnsi="Calibri" w:cs="Calibri"/>
                <w:sz w:val="18"/>
                <w:lang w:val="en-AU"/>
              </w:rPr>
              <w:t>Lola Wenn</w:t>
            </w:r>
          </w:p>
        </w:tc>
        <w:tc>
          <w:tcPr>
            <w:tcW w:w="2520" w:type="dxa"/>
            <w:tcBorders>
              <w:top w:val="single" w:sz="4" w:space="0" w:color="53565A" w:themeColor="accent5"/>
              <w:bottom w:val="single" w:sz="4" w:space="0" w:color="53565A" w:themeColor="accent5"/>
            </w:tcBorders>
            <w:vAlign w:val="center"/>
          </w:tcPr>
          <w:p w14:paraId="37B55501" w14:textId="507A121A" w:rsidR="000035D2" w:rsidRPr="005734B8" w:rsidRDefault="009975F5" w:rsidP="000035D2">
            <w:pPr>
              <w:pStyle w:val="ESTablebody"/>
              <w:rPr>
                <w:rFonts w:ascii="Calibri" w:hAnsi="Calibri" w:cs="Calibri"/>
                <w:sz w:val="18"/>
              </w:rPr>
            </w:pPr>
            <w:r w:rsidRPr="005734B8">
              <w:rPr>
                <w:rFonts w:ascii="Calibri" w:hAnsi="Calibri" w:cs="Calibri"/>
                <w:sz w:val="18"/>
                <w:lang w:val="en-AU"/>
              </w:rPr>
              <w:t xml:space="preserve">Mr </w:t>
            </w:r>
            <w:r w:rsidR="000035D2" w:rsidRPr="005734B8">
              <w:rPr>
                <w:rFonts w:ascii="Calibri" w:hAnsi="Calibri" w:cs="Calibri"/>
                <w:sz w:val="18"/>
                <w:lang w:val="en-AU"/>
              </w:rPr>
              <w:t>Robert Loader</w:t>
            </w:r>
          </w:p>
        </w:tc>
      </w:tr>
      <w:tr w:rsidR="000035D2" w:rsidRPr="005734B8" w14:paraId="770195D0" w14:textId="77777777" w:rsidTr="00785094">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6271A62B" w14:textId="1AC631AB" w:rsidR="000035D2" w:rsidRPr="005734B8" w:rsidRDefault="009975F5" w:rsidP="000035D2">
            <w:pPr>
              <w:pStyle w:val="ESTablebody"/>
              <w:rPr>
                <w:rFonts w:ascii="Calibri" w:hAnsi="Calibri" w:cs="Calibri"/>
                <w:sz w:val="18"/>
                <w:lang w:val="en-AU"/>
              </w:rPr>
            </w:pPr>
            <w:r w:rsidRPr="005734B8">
              <w:rPr>
                <w:rFonts w:ascii="Calibri" w:hAnsi="Calibri" w:cs="Calibri"/>
                <w:sz w:val="18"/>
                <w:lang w:val="en-AU"/>
              </w:rPr>
              <w:t xml:space="preserve">Ms </w:t>
            </w:r>
            <w:r w:rsidR="000035D2" w:rsidRPr="005734B8">
              <w:rPr>
                <w:rFonts w:ascii="Calibri" w:hAnsi="Calibri" w:cs="Calibri"/>
                <w:sz w:val="18"/>
                <w:lang w:val="en-AU"/>
              </w:rPr>
              <w:t>Claire Bolster</w:t>
            </w:r>
          </w:p>
        </w:tc>
        <w:tc>
          <w:tcPr>
            <w:tcW w:w="2655" w:type="dxa"/>
            <w:tcBorders>
              <w:top w:val="single" w:sz="4" w:space="0" w:color="53565A" w:themeColor="accent5"/>
              <w:bottom w:val="single" w:sz="4" w:space="0" w:color="53565A" w:themeColor="accent5"/>
            </w:tcBorders>
            <w:shd w:val="clear" w:color="auto" w:fill="auto"/>
            <w:vAlign w:val="center"/>
          </w:tcPr>
          <w:p w14:paraId="3D00B3FC" w14:textId="6BCA4050" w:rsidR="000035D2" w:rsidRPr="005734B8" w:rsidRDefault="009975F5" w:rsidP="000035D2">
            <w:pPr>
              <w:pStyle w:val="ESTablebody"/>
              <w:rPr>
                <w:rFonts w:ascii="Calibri" w:hAnsi="Calibri" w:cs="Calibri"/>
                <w:sz w:val="18"/>
                <w:lang w:val="en-AU"/>
              </w:rPr>
            </w:pPr>
            <w:r w:rsidRPr="005734B8">
              <w:rPr>
                <w:rFonts w:ascii="Calibri" w:hAnsi="Calibri" w:cs="Calibri"/>
                <w:sz w:val="18"/>
                <w:lang w:val="en-AU"/>
              </w:rPr>
              <w:t xml:space="preserve">Ms </w:t>
            </w:r>
            <w:r w:rsidR="000035D2" w:rsidRPr="005734B8">
              <w:rPr>
                <w:rFonts w:ascii="Calibri" w:hAnsi="Calibri" w:cs="Calibri"/>
                <w:sz w:val="18"/>
                <w:lang w:val="en-AU"/>
              </w:rPr>
              <w:t>Marilyn McMahon</w:t>
            </w:r>
          </w:p>
        </w:tc>
        <w:tc>
          <w:tcPr>
            <w:tcW w:w="2520" w:type="dxa"/>
            <w:tcBorders>
              <w:top w:val="single" w:sz="4" w:space="0" w:color="53565A" w:themeColor="accent5"/>
              <w:bottom w:val="single" w:sz="4" w:space="0" w:color="53565A" w:themeColor="accent5"/>
            </w:tcBorders>
            <w:vAlign w:val="center"/>
          </w:tcPr>
          <w:p w14:paraId="5F05A7C2" w14:textId="13683D90" w:rsidR="000035D2" w:rsidRPr="005734B8" w:rsidRDefault="009975F5" w:rsidP="000035D2">
            <w:pPr>
              <w:pStyle w:val="ESTablebody"/>
              <w:rPr>
                <w:rFonts w:ascii="Calibri" w:hAnsi="Calibri" w:cs="Calibri"/>
                <w:sz w:val="18"/>
                <w:lang w:val="en-AU"/>
              </w:rPr>
            </w:pPr>
            <w:r w:rsidRPr="005734B8">
              <w:rPr>
                <w:rFonts w:ascii="Calibri" w:hAnsi="Calibri" w:cs="Calibri"/>
                <w:sz w:val="18"/>
                <w:lang w:val="en-AU"/>
              </w:rPr>
              <w:t xml:space="preserve">Mr </w:t>
            </w:r>
            <w:r w:rsidR="000035D2" w:rsidRPr="005734B8">
              <w:rPr>
                <w:rFonts w:ascii="Calibri" w:hAnsi="Calibri" w:cs="Calibri"/>
                <w:sz w:val="18"/>
                <w:lang w:val="en-AU"/>
              </w:rPr>
              <w:t>Ross Bevege</w:t>
            </w:r>
          </w:p>
        </w:tc>
      </w:tr>
      <w:tr w:rsidR="000035D2" w:rsidRPr="005734B8" w14:paraId="6F1E6F3A" w14:textId="77777777" w:rsidTr="00785094">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12DD52B0" w14:textId="1C180CA1" w:rsidR="000035D2" w:rsidRPr="005734B8" w:rsidRDefault="009975F5" w:rsidP="000035D2">
            <w:pPr>
              <w:pStyle w:val="ESTablebody"/>
              <w:rPr>
                <w:rFonts w:ascii="Calibri" w:hAnsi="Calibri" w:cs="Calibri"/>
                <w:sz w:val="18"/>
              </w:rPr>
            </w:pPr>
            <w:r w:rsidRPr="005734B8">
              <w:rPr>
                <w:rFonts w:ascii="Calibri" w:hAnsi="Calibri" w:cs="Calibri"/>
                <w:sz w:val="18"/>
                <w:lang w:val="en-AU"/>
              </w:rPr>
              <w:t xml:space="preserve">Mr </w:t>
            </w:r>
            <w:r w:rsidR="000035D2" w:rsidRPr="005734B8">
              <w:rPr>
                <w:rFonts w:ascii="Calibri" w:hAnsi="Calibri" w:cs="Calibri"/>
                <w:sz w:val="18"/>
                <w:lang w:val="en-AU"/>
              </w:rPr>
              <w:t>David Alsop</w:t>
            </w:r>
          </w:p>
        </w:tc>
        <w:tc>
          <w:tcPr>
            <w:tcW w:w="2655" w:type="dxa"/>
            <w:tcBorders>
              <w:top w:val="single" w:sz="4" w:space="0" w:color="53565A" w:themeColor="accent5"/>
              <w:bottom w:val="single" w:sz="4" w:space="0" w:color="53565A" w:themeColor="accent5"/>
            </w:tcBorders>
            <w:shd w:val="clear" w:color="auto" w:fill="auto"/>
            <w:vAlign w:val="center"/>
          </w:tcPr>
          <w:p w14:paraId="4FB9E2CF" w14:textId="2D1C0F8F" w:rsidR="000035D2" w:rsidRPr="005734B8" w:rsidRDefault="009975F5" w:rsidP="000035D2">
            <w:pPr>
              <w:pStyle w:val="ESTablebody"/>
              <w:rPr>
                <w:rFonts w:ascii="Calibri" w:hAnsi="Calibri" w:cs="Calibri"/>
                <w:sz w:val="18"/>
              </w:rPr>
            </w:pPr>
            <w:r w:rsidRPr="005734B8">
              <w:rPr>
                <w:rFonts w:ascii="Calibri" w:hAnsi="Calibri" w:cs="Calibri"/>
                <w:sz w:val="18"/>
                <w:lang w:val="en-AU"/>
              </w:rPr>
              <w:t xml:space="preserve">Ms </w:t>
            </w:r>
            <w:r w:rsidR="000035D2" w:rsidRPr="005734B8">
              <w:rPr>
                <w:rFonts w:ascii="Calibri" w:hAnsi="Calibri" w:cs="Calibri"/>
                <w:sz w:val="18"/>
                <w:lang w:val="en-AU"/>
              </w:rPr>
              <w:t>Michonne Van Rees</w:t>
            </w:r>
          </w:p>
        </w:tc>
        <w:tc>
          <w:tcPr>
            <w:tcW w:w="2520" w:type="dxa"/>
            <w:tcBorders>
              <w:top w:val="single" w:sz="4" w:space="0" w:color="53565A" w:themeColor="accent5"/>
              <w:bottom w:val="single" w:sz="4" w:space="0" w:color="53565A" w:themeColor="accent5"/>
            </w:tcBorders>
            <w:vAlign w:val="center"/>
          </w:tcPr>
          <w:p w14:paraId="293EF3DF" w14:textId="5E809415" w:rsidR="000035D2" w:rsidRPr="005734B8" w:rsidRDefault="009975F5" w:rsidP="000035D2">
            <w:pPr>
              <w:pStyle w:val="ESTablebody"/>
              <w:rPr>
                <w:rFonts w:ascii="Calibri" w:hAnsi="Calibri" w:cs="Calibri"/>
                <w:sz w:val="18"/>
              </w:rPr>
            </w:pPr>
            <w:r w:rsidRPr="005734B8">
              <w:rPr>
                <w:rFonts w:ascii="Calibri" w:hAnsi="Calibri" w:cs="Calibri"/>
                <w:sz w:val="18"/>
                <w:lang w:val="en-AU"/>
              </w:rPr>
              <w:t xml:space="preserve">Mr </w:t>
            </w:r>
            <w:r w:rsidR="000035D2" w:rsidRPr="005734B8">
              <w:rPr>
                <w:rFonts w:ascii="Calibri" w:hAnsi="Calibri" w:cs="Calibri"/>
                <w:sz w:val="18"/>
                <w:lang w:val="en-AU"/>
              </w:rPr>
              <w:t>Russell Isaac</w:t>
            </w:r>
          </w:p>
        </w:tc>
      </w:tr>
      <w:tr w:rsidR="000035D2" w:rsidRPr="005734B8" w14:paraId="16CAB297" w14:textId="77777777" w:rsidTr="00785094">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7D9DED44" w14:textId="5A0F982F" w:rsidR="000035D2" w:rsidRPr="005734B8" w:rsidRDefault="009975F5" w:rsidP="000035D2">
            <w:pPr>
              <w:pStyle w:val="ESTablebody"/>
              <w:rPr>
                <w:rFonts w:ascii="Calibri" w:hAnsi="Calibri" w:cs="Calibri"/>
                <w:sz w:val="18"/>
              </w:rPr>
            </w:pPr>
            <w:r w:rsidRPr="005734B8">
              <w:rPr>
                <w:rFonts w:ascii="Calibri" w:hAnsi="Calibri" w:cs="Calibri"/>
                <w:sz w:val="18"/>
                <w:lang w:val="en-AU"/>
              </w:rPr>
              <w:t xml:space="preserve">Mr </w:t>
            </w:r>
            <w:r w:rsidR="000035D2" w:rsidRPr="005734B8">
              <w:rPr>
                <w:rFonts w:ascii="Calibri" w:hAnsi="Calibri" w:cs="Calibri"/>
                <w:sz w:val="18"/>
                <w:lang w:val="en-AU"/>
              </w:rPr>
              <w:t>Ian Bentley</w:t>
            </w:r>
          </w:p>
        </w:tc>
        <w:tc>
          <w:tcPr>
            <w:tcW w:w="2655" w:type="dxa"/>
            <w:tcBorders>
              <w:top w:val="single" w:sz="4" w:space="0" w:color="53565A" w:themeColor="accent5"/>
              <w:bottom w:val="single" w:sz="4" w:space="0" w:color="53565A" w:themeColor="accent5"/>
            </w:tcBorders>
            <w:shd w:val="clear" w:color="auto" w:fill="auto"/>
            <w:vAlign w:val="center"/>
          </w:tcPr>
          <w:p w14:paraId="2EA44ACE" w14:textId="16F36FF4" w:rsidR="000035D2" w:rsidRPr="005734B8" w:rsidRDefault="009975F5" w:rsidP="000035D2">
            <w:pPr>
              <w:pStyle w:val="ESTablebody"/>
              <w:rPr>
                <w:rFonts w:ascii="Calibri" w:hAnsi="Calibri" w:cs="Calibri"/>
                <w:sz w:val="18"/>
              </w:rPr>
            </w:pPr>
            <w:r w:rsidRPr="005734B8">
              <w:rPr>
                <w:rFonts w:ascii="Calibri" w:hAnsi="Calibri" w:cs="Calibri"/>
                <w:sz w:val="18"/>
                <w:lang w:val="en-AU"/>
              </w:rPr>
              <w:t xml:space="preserve">Mr </w:t>
            </w:r>
            <w:r w:rsidR="000035D2" w:rsidRPr="005734B8">
              <w:rPr>
                <w:rFonts w:ascii="Calibri" w:hAnsi="Calibri" w:cs="Calibri"/>
                <w:sz w:val="18"/>
                <w:lang w:val="en-AU"/>
              </w:rPr>
              <w:t>Peter Norden</w:t>
            </w:r>
          </w:p>
        </w:tc>
        <w:tc>
          <w:tcPr>
            <w:tcW w:w="2520" w:type="dxa"/>
            <w:tcBorders>
              <w:top w:val="single" w:sz="4" w:space="0" w:color="53565A" w:themeColor="accent5"/>
              <w:bottom w:val="single" w:sz="4" w:space="0" w:color="53565A" w:themeColor="accent5"/>
            </w:tcBorders>
            <w:vAlign w:val="center"/>
          </w:tcPr>
          <w:p w14:paraId="6FD69979" w14:textId="607B9719" w:rsidR="000035D2" w:rsidRPr="005734B8" w:rsidRDefault="009975F5" w:rsidP="000035D2">
            <w:pPr>
              <w:pStyle w:val="ESTablebody"/>
              <w:rPr>
                <w:rFonts w:ascii="Calibri" w:hAnsi="Calibri" w:cs="Calibri"/>
                <w:sz w:val="18"/>
              </w:rPr>
            </w:pPr>
            <w:r w:rsidRPr="005734B8">
              <w:rPr>
                <w:rFonts w:ascii="Calibri" w:hAnsi="Calibri" w:cs="Calibri"/>
                <w:sz w:val="18"/>
                <w:lang w:val="en-AU"/>
              </w:rPr>
              <w:t xml:space="preserve">Ms </w:t>
            </w:r>
            <w:r w:rsidR="000035D2" w:rsidRPr="005734B8">
              <w:rPr>
                <w:rFonts w:ascii="Calibri" w:hAnsi="Calibri" w:cs="Calibri"/>
                <w:sz w:val="18"/>
                <w:lang w:val="en-AU"/>
              </w:rPr>
              <w:t>Vicki Augustinus</w:t>
            </w:r>
          </w:p>
        </w:tc>
      </w:tr>
      <w:tr w:rsidR="000035D2" w:rsidRPr="005734B8" w14:paraId="0F7064D0" w14:textId="77777777" w:rsidTr="00785094">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7932199A" w14:textId="2E8AAC80" w:rsidR="000035D2" w:rsidRPr="005734B8" w:rsidRDefault="009975F5" w:rsidP="000035D2">
            <w:pPr>
              <w:pStyle w:val="ESTablebody"/>
              <w:rPr>
                <w:rFonts w:ascii="Calibri" w:hAnsi="Calibri" w:cs="Calibri"/>
                <w:sz w:val="18"/>
              </w:rPr>
            </w:pPr>
            <w:r w:rsidRPr="005734B8">
              <w:rPr>
                <w:rFonts w:ascii="Calibri" w:hAnsi="Calibri" w:cs="Calibri"/>
                <w:sz w:val="18"/>
                <w:lang w:val="en-AU"/>
              </w:rPr>
              <w:t xml:space="preserve">Ms </w:t>
            </w:r>
            <w:r w:rsidR="000035D2" w:rsidRPr="005734B8">
              <w:rPr>
                <w:rFonts w:ascii="Calibri" w:hAnsi="Calibri" w:cs="Calibri"/>
                <w:sz w:val="18"/>
                <w:lang w:val="en-AU"/>
              </w:rPr>
              <w:t>Karen O’Dowd</w:t>
            </w:r>
          </w:p>
        </w:tc>
        <w:tc>
          <w:tcPr>
            <w:tcW w:w="2655" w:type="dxa"/>
            <w:tcBorders>
              <w:top w:val="single" w:sz="4" w:space="0" w:color="53565A" w:themeColor="accent5"/>
              <w:bottom w:val="single" w:sz="4" w:space="0" w:color="53565A" w:themeColor="accent5"/>
            </w:tcBorders>
            <w:shd w:val="clear" w:color="auto" w:fill="auto"/>
            <w:vAlign w:val="center"/>
          </w:tcPr>
          <w:p w14:paraId="120D257B" w14:textId="72B8F2D6" w:rsidR="000035D2" w:rsidRPr="005734B8" w:rsidRDefault="009975F5" w:rsidP="000035D2">
            <w:pPr>
              <w:pStyle w:val="ESTablebody"/>
              <w:rPr>
                <w:rFonts w:ascii="Calibri" w:hAnsi="Calibri" w:cs="Calibri"/>
                <w:sz w:val="18"/>
              </w:rPr>
            </w:pPr>
            <w:r w:rsidRPr="005734B8">
              <w:rPr>
                <w:rFonts w:ascii="Calibri" w:hAnsi="Calibri" w:cs="Calibri"/>
                <w:sz w:val="18"/>
                <w:lang w:val="en-AU"/>
              </w:rPr>
              <w:t xml:space="preserve">Dr </w:t>
            </w:r>
            <w:r w:rsidR="000035D2" w:rsidRPr="005734B8">
              <w:rPr>
                <w:rFonts w:ascii="Calibri" w:hAnsi="Calibri" w:cs="Calibri"/>
                <w:sz w:val="18"/>
                <w:lang w:val="en-AU"/>
              </w:rPr>
              <w:t>Richard Gould</w:t>
            </w:r>
          </w:p>
        </w:tc>
        <w:tc>
          <w:tcPr>
            <w:tcW w:w="2520" w:type="dxa"/>
            <w:tcBorders>
              <w:top w:val="single" w:sz="4" w:space="0" w:color="53565A" w:themeColor="accent5"/>
              <w:bottom w:val="single" w:sz="4" w:space="0" w:color="53565A" w:themeColor="accent5"/>
            </w:tcBorders>
            <w:vAlign w:val="center"/>
          </w:tcPr>
          <w:p w14:paraId="1D638EF7" w14:textId="77777777" w:rsidR="000035D2" w:rsidRPr="005734B8" w:rsidRDefault="000035D2" w:rsidP="000035D2">
            <w:pPr>
              <w:pStyle w:val="ESTablebody"/>
              <w:rPr>
                <w:rFonts w:ascii="Calibri" w:hAnsi="Calibri" w:cs="Calibri"/>
                <w:sz w:val="18"/>
              </w:rPr>
            </w:pPr>
          </w:p>
        </w:tc>
      </w:tr>
    </w:tbl>
    <w:p w14:paraId="3230980C" w14:textId="77777777" w:rsidR="00B351A2" w:rsidRPr="005734B8" w:rsidRDefault="00B351A2" w:rsidP="00EC279E">
      <w:pPr>
        <w:rPr>
          <w:rFonts w:ascii="Calibri" w:hAnsi="Calibri" w:cs="Calibri"/>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46"/>
        <w:gridCol w:w="2655"/>
        <w:gridCol w:w="2520"/>
      </w:tblGrid>
      <w:tr w:rsidR="00B351A2" w:rsidRPr="005734B8" w14:paraId="40C1C139" w14:textId="77777777" w:rsidTr="00785094">
        <w:trPr>
          <w:cantSplit/>
          <w:trHeight w:val="242"/>
          <w:tblHeader/>
        </w:trPr>
        <w:tc>
          <w:tcPr>
            <w:tcW w:w="7921" w:type="dxa"/>
            <w:gridSpan w:val="3"/>
            <w:tcBorders>
              <w:bottom w:val="single" w:sz="4" w:space="0" w:color="FFFFFF" w:themeColor="background1"/>
            </w:tcBorders>
            <w:shd w:val="clear" w:color="auto" w:fill="AF272F" w:themeFill="accent4"/>
          </w:tcPr>
          <w:p w14:paraId="49FB1782" w14:textId="77777777" w:rsidR="00B351A2" w:rsidRPr="005734B8" w:rsidRDefault="00B351A2" w:rsidP="00785094">
            <w:pPr>
              <w:pStyle w:val="ESTableheadingwhite"/>
              <w:rPr>
                <w:rFonts w:ascii="Calibri" w:hAnsi="Calibri" w:cs="Calibri"/>
                <w:sz w:val="18"/>
                <w:lang w:val="en-AU"/>
              </w:rPr>
            </w:pPr>
            <w:r w:rsidRPr="005734B8">
              <w:rPr>
                <w:rFonts w:ascii="Calibri" w:hAnsi="Calibri" w:cs="Calibri"/>
                <w:sz w:val="18"/>
                <w:lang w:val="en-AU"/>
              </w:rPr>
              <w:t>Secretary’s nominees to the Disciplinary Appeals Boards from 1 August 2020</w:t>
            </w:r>
          </w:p>
        </w:tc>
      </w:tr>
      <w:tr w:rsidR="00082B2B" w:rsidRPr="005734B8" w14:paraId="7CCC8B13" w14:textId="77777777" w:rsidTr="00785094">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641E903B" w14:textId="1D2A9A7A" w:rsidR="00082B2B" w:rsidRPr="005734B8" w:rsidRDefault="00082B2B" w:rsidP="00082B2B">
            <w:pPr>
              <w:pStyle w:val="ESTablebody"/>
              <w:rPr>
                <w:rFonts w:ascii="Calibri" w:hAnsi="Calibri" w:cs="Calibri"/>
                <w:sz w:val="18"/>
              </w:rPr>
            </w:pPr>
            <w:r w:rsidRPr="005734B8">
              <w:rPr>
                <w:rFonts w:ascii="Calibri" w:hAnsi="Calibri" w:cs="Calibri"/>
                <w:sz w:val="18"/>
              </w:rPr>
              <w:t>Mr Brendan White</w:t>
            </w:r>
          </w:p>
        </w:tc>
        <w:tc>
          <w:tcPr>
            <w:tcW w:w="2655" w:type="dxa"/>
            <w:tcBorders>
              <w:top w:val="single" w:sz="4" w:space="0" w:color="53565A" w:themeColor="accent5"/>
              <w:bottom w:val="single" w:sz="4" w:space="0" w:color="53565A" w:themeColor="accent5"/>
            </w:tcBorders>
            <w:shd w:val="clear" w:color="auto" w:fill="auto"/>
            <w:vAlign w:val="center"/>
          </w:tcPr>
          <w:p w14:paraId="03901030" w14:textId="474479E7" w:rsidR="00082B2B" w:rsidRPr="005734B8" w:rsidRDefault="00082B2B" w:rsidP="00082B2B">
            <w:pPr>
              <w:pStyle w:val="ESTablebody"/>
              <w:rPr>
                <w:rFonts w:ascii="Calibri" w:hAnsi="Calibri" w:cs="Calibri"/>
                <w:sz w:val="18"/>
              </w:rPr>
            </w:pPr>
            <w:r w:rsidRPr="005734B8">
              <w:rPr>
                <w:rFonts w:ascii="Calibri" w:hAnsi="Calibri" w:cs="Calibri"/>
                <w:sz w:val="18"/>
              </w:rPr>
              <w:t>Mr Darren Youngs</w:t>
            </w:r>
          </w:p>
        </w:tc>
        <w:tc>
          <w:tcPr>
            <w:tcW w:w="2520" w:type="dxa"/>
            <w:tcBorders>
              <w:top w:val="single" w:sz="4" w:space="0" w:color="53565A" w:themeColor="accent5"/>
              <w:bottom w:val="single" w:sz="4" w:space="0" w:color="53565A" w:themeColor="accent5"/>
            </w:tcBorders>
            <w:vAlign w:val="center"/>
          </w:tcPr>
          <w:p w14:paraId="48C9B25E" w14:textId="4856C15B" w:rsidR="00082B2B" w:rsidRPr="005734B8" w:rsidRDefault="00082B2B" w:rsidP="00082B2B">
            <w:pPr>
              <w:pStyle w:val="ESTablebody"/>
              <w:rPr>
                <w:rFonts w:ascii="Calibri" w:hAnsi="Calibri" w:cs="Calibri"/>
                <w:sz w:val="18"/>
              </w:rPr>
            </w:pPr>
            <w:r w:rsidRPr="005734B8">
              <w:rPr>
                <w:rFonts w:ascii="Calibri" w:hAnsi="Calibri" w:cs="Calibri"/>
                <w:sz w:val="18"/>
                <w:lang w:val="en-AU"/>
              </w:rPr>
              <w:t>Mr Peter Norden</w:t>
            </w:r>
          </w:p>
        </w:tc>
      </w:tr>
      <w:tr w:rsidR="00082B2B" w:rsidRPr="005734B8" w14:paraId="12B1D0DD" w14:textId="77777777" w:rsidTr="00785094">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4E004A51" w14:textId="00D45A49" w:rsidR="00082B2B" w:rsidRPr="005734B8" w:rsidRDefault="00082B2B" w:rsidP="00082B2B">
            <w:pPr>
              <w:pStyle w:val="ESTablebody"/>
              <w:rPr>
                <w:rFonts w:ascii="Calibri" w:hAnsi="Calibri" w:cs="Calibri"/>
                <w:sz w:val="18"/>
              </w:rPr>
            </w:pPr>
            <w:r w:rsidRPr="005734B8">
              <w:rPr>
                <w:rFonts w:ascii="Calibri" w:hAnsi="Calibri" w:cs="Calibri"/>
                <w:sz w:val="18"/>
                <w:lang w:val="en-AU"/>
              </w:rPr>
              <w:t>Mr Brian O’Dea</w:t>
            </w:r>
          </w:p>
        </w:tc>
        <w:tc>
          <w:tcPr>
            <w:tcW w:w="2655" w:type="dxa"/>
            <w:tcBorders>
              <w:top w:val="single" w:sz="4" w:space="0" w:color="53565A" w:themeColor="accent5"/>
              <w:bottom w:val="single" w:sz="4" w:space="0" w:color="53565A" w:themeColor="accent5"/>
            </w:tcBorders>
            <w:shd w:val="clear" w:color="auto" w:fill="auto"/>
            <w:vAlign w:val="center"/>
          </w:tcPr>
          <w:p w14:paraId="7C2FED59" w14:textId="137784BB" w:rsidR="00082B2B" w:rsidRPr="005734B8" w:rsidRDefault="00082B2B" w:rsidP="00082B2B">
            <w:pPr>
              <w:pStyle w:val="ESTablebody"/>
              <w:rPr>
                <w:rFonts w:ascii="Calibri" w:hAnsi="Calibri" w:cs="Calibri"/>
                <w:sz w:val="18"/>
              </w:rPr>
            </w:pPr>
            <w:r w:rsidRPr="005734B8">
              <w:rPr>
                <w:rFonts w:ascii="Calibri" w:hAnsi="Calibri" w:cs="Calibri"/>
                <w:sz w:val="18"/>
              </w:rPr>
              <w:t>Ms Marilyn McMahon</w:t>
            </w:r>
          </w:p>
        </w:tc>
        <w:tc>
          <w:tcPr>
            <w:tcW w:w="2520" w:type="dxa"/>
            <w:tcBorders>
              <w:top w:val="single" w:sz="4" w:space="0" w:color="53565A" w:themeColor="accent5"/>
              <w:bottom w:val="single" w:sz="4" w:space="0" w:color="53565A" w:themeColor="accent5"/>
            </w:tcBorders>
            <w:vAlign w:val="center"/>
          </w:tcPr>
          <w:p w14:paraId="55B16D10" w14:textId="3C5BEDC7" w:rsidR="00082B2B" w:rsidRPr="005734B8" w:rsidRDefault="00082B2B" w:rsidP="00082B2B">
            <w:pPr>
              <w:pStyle w:val="ESTablebody"/>
              <w:rPr>
                <w:rFonts w:ascii="Calibri" w:hAnsi="Calibri" w:cs="Calibri"/>
                <w:sz w:val="18"/>
              </w:rPr>
            </w:pPr>
            <w:r w:rsidRPr="005734B8">
              <w:rPr>
                <w:rFonts w:ascii="Calibri" w:hAnsi="Calibri" w:cs="Calibri"/>
                <w:sz w:val="18"/>
              </w:rPr>
              <w:t>Dr Richard Gould</w:t>
            </w:r>
          </w:p>
        </w:tc>
      </w:tr>
      <w:tr w:rsidR="00082B2B" w:rsidRPr="005734B8" w14:paraId="50B9E1A9" w14:textId="77777777" w:rsidTr="00785094">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4AA65DCA" w14:textId="53DC174D" w:rsidR="00082B2B" w:rsidRPr="005734B8" w:rsidRDefault="00082B2B" w:rsidP="00082B2B">
            <w:pPr>
              <w:pStyle w:val="ESTablebody"/>
              <w:rPr>
                <w:rFonts w:ascii="Calibri" w:hAnsi="Calibri" w:cs="Calibri"/>
                <w:sz w:val="18"/>
              </w:rPr>
            </w:pPr>
            <w:r w:rsidRPr="005734B8">
              <w:rPr>
                <w:rFonts w:ascii="Calibri" w:hAnsi="Calibri" w:cs="Calibri"/>
                <w:sz w:val="18"/>
                <w:lang w:val="en-AU"/>
              </w:rPr>
              <w:t>Ms Claire Bolster</w:t>
            </w:r>
          </w:p>
        </w:tc>
        <w:tc>
          <w:tcPr>
            <w:tcW w:w="2655" w:type="dxa"/>
            <w:tcBorders>
              <w:top w:val="single" w:sz="4" w:space="0" w:color="53565A" w:themeColor="accent5"/>
              <w:bottom w:val="single" w:sz="4" w:space="0" w:color="53565A" w:themeColor="accent5"/>
            </w:tcBorders>
            <w:shd w:val="clear" w:color="auto" w:fill="auto"/>
            <w:vAlign w:val="center"/>
          </w:tcPr>
          <w:p w14:paraId="6B68EE5D" w14:textId="1FEFE4D3" w:rsidR="00082B2B" w:rsidRPr="005734B8" w:rsidRDefault="00082B2B" w:rsidP="00082B2B">
            <w:pPr>
              <w:pStyle w:val="ESTablebody"/>
              <w:rPr>
                <w:rFonts w:ascii="Calibri" w:hAnsi="Calibri" w:cs="Calibri"/>
                <w:sz w:val="18"/>
              </w:rPr>
            </w:pPr>
            <w:r w:rsidRPr="005734B8">
              <w:rPr>
                <w:rFonts w:ascii="Calibri" w:hAnsi="Calibri" w:cs="Calibri"/>
                <w:sz w:val="18"/>
              </w:rPr>
              <w:t>Ms Moira Findlay</w:t>
            </w:r>
          </w:p>
        </w:tc>
        <w:tc>
          <w:tcPr>
            <w:tcW w:w="2520" w:type="dxa"/>
            <w:tcBorders>
              <w:top w:val="single" w:sz="4" w:space="0" w:color="53565A" w:themeColor="accent5"/>
              <w:bottom w:val="single" w:sz="4" w:space="0" w:color="53565A" w:themeColor="accent5"/>
            </w:tcBorders>
            <w:vAlign w:val="center"/>
          </w:tcPr>
          <w:p w14:paraId="338D59C6" w14:textId="77777777" w:rsidR="00082B2B" w:rsidRPr="005734B8" w:rsidRDefault="00082B2B" w:rsidP="00082B2B">
            <w:pPr>
              <w:pStyle w:val="ESTablebody"/>
              <w:rPr>
                <w:rFonts w:ascii="Calibri" w:hAnsi="Calibri" w:cs="Calibri"/>
                <w:sz w:val="18"/>
              </w:rPr>
            </w:pPr>
          </w:p>
        </w:tc>
      </w:tr>
    </w:tbl>
    <w:p w14:paraId="218DD07E" w14:textId="77777777" w:rsidR="00B351A2" w:rsidRPr="005734B8" w:rsidRDefault="00B351A2" w:rsidP="00EC279E">
      <w:pPr>
        <w:rPr>
          <w:rFonts w:ascii="Calibri" w:hAnsi="Calibri" w:cs="Calibri"/>
        </w:rPr>
      </w:pPr>
    </w:p>
    <w:p w14:paraId="60CA54A7" w14:textId="0612FD58" w:rsidR="00EC279E" w:rsidRPr="005734B8" w:rsidRDefault="00EC279E" w:rsidP="00EC279E">
      <w:pPr>
        <w:rPr>
          <w:rFonts w:ascii="Calibri" w:hAnsi="Calibri" w:cs="Calibri"/>
        </w:rPr>
      </w:pPr>
      <w:r w:rsidRPr="005734B8">
        <w:rPr>
          <w:rFonts w:ascii="Calibri" w:hAnsi="Calibri" w:cs="Calibri"/>
        </w:rPr>
        <w:lastRenderedPageBreak/>
        <w:t>Minister’s nominees, who are officers in the teaching service, were appointed under sections 2.4.73(2)(b) and 2.4.74 of the Education and Training Reform Act. Minister’s nominees are shown below.</w:t>
      </w:r>
    </w:p>
    <w:p w14:paraId="4D1E7417" w14:textId="77777777" w:rsidR="00EC279E" w:rsidRPr="005734B8" w:rsidRDefault="00EC279E" w:rsidP="00EC279E">
      <w:pPr>
        <w:rPr>
          <w:rFonts w:ascii="Calibri" w:hAnsi="Calibri" w:cs="Calibri"/>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46"/>
        <w:gridCol w:w="2655"/>
        <w:gridCol w:w="2520"/>
      </w:tblGrid>
      <w:tr w:rsidR="002F5360" w:rsidRPr="005734B8" w14:paraId="71DDDFE5" w14:textId="77777777" w:rsidTr="002B6980">
        <w:trPr>
          <w:cantSplit/>
          <w:trHeight w:val="242"/>
          <w:tblHeader/>
        </w:trPr>
        <w:tc>
          <w:tcPr>
            <w:tcW w:w="7921" w:type="dxa"/>
            <w:gridSpan w:val="3"/>
            <w:tcBorders>
              <w:bottom w:val="single" w:sz="4" w:space="0" w:color="FFFFFF" w:themeColor="background1"/>
            </w:tcBorders>
            <w:shd w:val="clear" w:color="auto" w:fill="AF272F" w:themeFill="accent4"/>
          </w:tcPr>
          <w:p w14:paraId="300CB08D" w14:textId="77777777" w:rsidR="002F5360" w:rsidRPr="005734B8" w:rsidRDefault="002F5360" w:rsidP="002B6980">
            <w:pPr>
              <w:pStyle w:val="ESTableheadingwhite"/>
              <w:rPr>
                <w:rFonts w:ascii="Calibri" w:hAnsi="Calibri" w:cs="Calibri"/>
                <w:sz w:val="18"/>
                <w:lang w:val="en-AU"/>
              </w:rPr>
            </w:pPr>
            <w:bookmarkStart w:id="2169" w:name="_Hlk77834905"/>
            <w:r w:rsidRPr="005734B8">
              <w:rPr>
                <w:rFonts w:ascii="Calibri" w:hAnsi="Calibri" w:cs="Calibri"/>
                <w:sz w:val="18"/>
                <w:lang w:val="en-AU"/>
              </w:rPr>
              <w:t>Minister’s nominees to the Disciplinary Appeals Boards to 31 July 2020</w:t>
            </w:r>
          </w:p>
        </w:tc>
      </w:tr>
      <w:tr w:rsidR="00934CB3" w:rsidRPr="005734B8" w14:paraId="5CBDB6AB" w14:textId="77777777" w:rsidTr="002B6980">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67E349C0" w14:textId="40DAF694" w:rsidR="00934CB3" w:rsidRPr="005734B8" w:rsidRDefault="00934CB3" w:rsidP="00934CB3">
            <w:pPr>
              <w:pStyle w:val="ESTablebody"/>
              <w:rPr>
                <w:rFonts w:ascii="Calibri" w:hAnsi="Calibri" w:cs="Calibri"/>
                <w:sz w:val="18"/>
                <w:lang w:val="en-AU"/>
              </w:rPr>
            </w:pPr>
            <w:bookmarkStart w:id="2170" w:name="_Hlk77834976"/>
            <w:r w:rsidRPr="005734B8">
              <w:rPr>
                <w:rFonts w:ascii="Calibri" w:hAnsi="Calibri" w:cs="Calibri"/>
                <w:sz w:val="18"/>
                <w:lang w:val="en-AU"/>
              </w:rPr>
              <w:t>Mr Christopher Chant</w:t>
            </w:r>
          </w:p>
        </w:tc>
        <w:tc>
          <w:tcPr>
            <w:tcW w:w="2655" w:type="dxa"/>
            <w:tcBorders>
              <w:top w:val="single" w:sz="4" w:space="0" w:color="53565A" w:themeColor="accent5"/>
              <w:bottom w:val="single" w:sz="4" w:space="0" w:color="53565A" w:themeColor="accent5"/>
            </w:tcBorders>
            <w:shd w:val="clear" w:color="auto" w:fill="auto"/>
            <w:vAlign w:val="center"/>
          </w:tcPr>
          <w:p w14:paraId="15914ACE" w14:textId="2D50428C" w:rsidR="00934CB3" w:rsidRPr="005734B8" w:rsidRDefault="00934CB3" w:rsidP="00934CB3">
            <w:pPr>
              <w:pStyle w:val="ESTablebody"/>
              <w:rPr>
                <w:rFonts w:ascii="Calibri" w:hAnsi="Calibri" w:cs="Calibri"/>
                <w:sz w:val="18"/>
                <w:lang w:val="en-AU"/>
              </w:rPr>
            </w:pPr>
            <w:r w:rsidRPr="005734B8">
              <w:rPr>
                <w:rFonts w:ascii="Calibri" w:hAnsi="Calibri" w:cs="Calibri"/>
                <w:sz w:val="18"/>
                <w:lang w:val="en-AU"/>
              </w:rPr>
              <w:t>Ms Karen Terry</w:t>
            </w:r>
          </w:p>
        </w:tc>
        <w:tc>
          <w:tcPr>
            <w:tcW w:w="2520" w:type="dxa"/>
            <w:tcBorders>
              <w:top w:val="single" w:sz="4" w:space="0" w:color="53565A" w:themeColor="accent5"/>
              <w:bottom w:val="single" w:sz="4" w:space="0" w:color="53565A" w:themeColor="accent5"/>
            </w:tcBorders>
            <w:vAlign w:val="center"/>
          </w:tcPr>
          <w:p w14:paraId="01EF8493" w14:textId="63EC9948" w:rsidR="00934CB3" w:rsidRPr="005734B8" w:rsidRDefault="00934CB3" w:rsidP="00934CB3">
            <w:pPr>
              <w:pStyle w:val="ESTablebody"/>
              <w:rPr>
                <w:rFonts w:ascii="Calibri" w:hAnsi="Calibri" w:cs="Calibri"/>
                <w:sz w:val="18"/>
                <w:lang w:val="en-AU"/>
              </w:rPr>
            </w:pPr>
            <w:r w:rsidRPr="005734B8">
              <w:rPr>
                <w:rFonts w:ascii="Calibri" w:hAnsi="Calibri" w:cs="Calibri"/>
                <w:sz w:val="18"/>
                <w:lang w:val="en-AU"/>
              </w:rPr>
              <w:t>Ms Sandra Greenhill</w:t>
            </w:r>
          </w:p>
        </w:tc>
      </w:tr>
      <w:tr w:rsidR="00934CB3" w:rsidRPr="005734B8" w14:paraId="7CF51632" w14:textId="77777777" w:rsidTr="002B6980">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7515B1F6" w14:textId="58F269BD" w:rsidR="00934CB3" w:rsidRPr="005734B8" w:rsidRDefault="00934CB3" w:rsidP="00934CB3">
            <w:pPr>
              <w:pStyle w:val="ESTablebody"/>
              <w:rPr>
                <w:rFonts w:ascii="Calibri" w:hAnsi="Calibri" w:cs="Calibri"/>
                <w:sz w:val="18"/>
              </w:rPr>
            </w:pPr>
            <w:r w:rsidRPr="005734B8">
              <w:rPr>
                <w:rFonts w:ascii="Calibri" w:hAnsi="Calibri" w:cs="Calibri"/>
                <w:sz w:val="18"/>
                <w:lang w:val="en-AU"/>
              </w:rPr>
              <w:t>Dr David Finnerty</w:t>
            </w:r>
          </w:p>
        </w:tc>
        <w:tc>
          <w:tcPr>
            <w:tcW w:w="2655" w:type="dxa"/>
            <w:tcBorders>
              <w:top w:val="single" w:sz="4" w:space="0" w:color="53565A" w:themeColor="accent5"/>
              <w:bottom w:val="single" w:sz="4" w:space="0" w:color="53565A" w:themeColor="accent5"/>
            </w:tcBorders>
            <w:shd w:val="clear" w:color="auto" w:fill="auto"/>
            <w:vAlign w:val="center"/>
          </w:tcPr>
          <w:p w14:paraId="5C59142A" w14:textId="319180DF" w:rsidR="00934CB3" w:rsidRPr="005734B8" w:rsidRDefault="00934CB3" w:rsidP="00934CB3">
            <w:pPr>
              <w:pStyle w:val="ESTablebody"/>
              <w:rPr>
                <w:rFonts w:ascii="Calibri" w:hAnsi="Calibri" w:cs="Calibri"/>
                <w:sz w:val="18"/>
              </w:rPr>
            </w:pPr>
            <w:r w:rsidRPr="005734B8">
              <w:rPr>
                <w:rFonts w:ascii="Calibri" w:hAnsi="Calibri" w:cs="Calibri"/>
                <w:sz w:val="18"/>
                <w:lang w:val="en-AU"/>
              </w:rPr>
              <w:t>Ms Leonie Fitzgerald</w:t>
            </w:r>
          </w:p>
        </w:tc>
        <w:tc>
          <w:tcPr>
            <w:tcW w:w="2520" w:type="dxa"/>
            <w:tcBorders>
              <w:top w:val="single" w:sz="4" w:space="0" w:color="53565A" w:themeColor="accent5"/>
              <w:bottom w:val="single" w:sz="4" w:space="0" w:color="53565A" w:themeColor="accent5"/>
            </w:tcBorders>
            <w:vAlign w:val="center"/>
          </w:tcPr>
          <w:p w14:paraId="60677B61" w14:textId="68F63355" w:rsidR="00934CB3" w:rsidRPr="005734B8" w:rsidRDefault="00934CB3" w:rsidP="00934CB3">
            <w:pPr>
              <w:pStyle w:val="ESTablebody"/>
              <w:rPr>
                <w:rFonts w:ascii="Calibri" w:hAnsi="Calibri" w:cs="Calibri"/>
                <w:sz w:val="18"/>
              </w:rPr>
            </w:pPr>
            <w:r w:rsidRPr="005734B8">
              <w:rPr>
                <w:rFonts w:ascii="Calibri" w:hAnsi="Calibri" w:cs="Calibri"/>
                <w:sz w:val="18"/>
                <w:lang w:val="en-AU"/>
              </w:rPr>
              <w:t>Mr Stephen McGarrigle</w:t>
            </w:r>
          </w:p>
        </w:tc>
      </w:tr>
      <w:tr w:rsidR="00934CB3" w:rsidRPr="005734B8" w14:paraId="4602CC36" w14:textId="77777777" w:rsidTr="002B6980">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616173D3" w14:textId="6603CBBD" w:rsidR="00934CB3" w:rsidRPr="005734B8" w:rsidRDefault="00934CB3" w:rsidP="00934CB3">
            <w:pPr>
              <w:pStyle w:val="ESTablebody"/>
              <w:rPr>
                <w:rFonts w:ascii="Calibri" w:hAnsi="Calibri" w:cs="Calibri"/>
                <w:sz w:val="18"/>
              </w:rPr>
            </w:pPr>
            <w:r w:rsidRPr="005734B8">
              <w:rPr>
                <w:rFonts w:ascii="Calibri" w:hAnsi="Calibri" w:cs="Calibri"/>
                <w:sz w:val="18"/>
                <w:lang w:val="en-AU"/>
              </w:rPr>
              <w:t>Mr Dennis Pratt</w:t>
            </w:r>
          </w:p>
        </w:tc>
        <w:tc>
          <w:tcPr>
            <w:tcW w:w="2655" w:type="dxa"/>
            <w:tcBorders>
              <w:top w:val="single" w:sz="4" w:space="0" w:color="53565A" w:themeColor="accent5"/>
              <w:bottom w:val="single" w:sz="4" w:space="0" w:color="53565A" w:themeColor="accent5"/>
            </w:tcBorders>
            <w:shd w:val="clear" w:color="auto" w:fill="auto"/>
            <w:vAlign w:val="center"/>
          </w:tcPr>
          <w:p w14:paraId="72A542A3" w14:textId="2EB43A15" w:rsidR="00934CB3" w:rsidRPr="005734B8" w:rsidRDefault="00934CB3" w:rsidP="00934CB3">
            <w:pPr>
              <w:pStyle w:val="ESTablebody"/>
              <w:rPr>
                <w:rFonts w:ascii="Calibri" w:hAnsi="Calibri" w:cs="Calibri"/>
                <w:sz w:val="18"/>
              </w:rPr>
            </w:pPr>
            <w:r w:rsidRPr="005734B8">
              <w:rPr>
                <w:rFonts w:ascii="Calibri" w:hAnsi="Calibri" w:cs="Calibri"/>
                <w:sz w:val="18"/>
                <w:lang w:val="en-AU"/>
              </w:rPr>
              <w:t>Ms Maureen O’Flaherty</w:t>
            </w:r>
          </w:p>
        </w:tc>
        <w:tc>
          <w:tcPr>
            <w:tcW w:w="2520" w:type="dxa"/>
            <w:tcBorders>
              <w:top w:val="single" w:sz="4" w:space="0" w:color="53565A" w:themeColor="accent5"/>
              <w:bottom w:val="single" w:sz="4" w:space="0" w:color="53565A" w:themeColor="accent5"/>
            </w:tcBorders>
            <w:vAlign w:val="center"/>
          </w:tcPr>
          <w:p w14:paraId="48FA5103" w14:textId="067D9D5D" w:rsidR="00934CB3" w:rsidRPr="005734B8" w:rsidRDefault="00934CB3" w:rsidP="00934CB3">
            <w:pPr>
              <w:pStyle w:val="ESTablebody"/>
              <w:rPr>
                <w:rFonts w:ascii="Calibri" w:hAnsi="Calibri" w:cs="Calibri"/>
                <w:sz w:val="18"/>
              </w:rPr>
            </w:pPr>
            <w:r w:rsidRPr="005734B8">
              <w:rPr>
                <w:rFonts w:ascii="Calibri" w:hAnsi="Calibri" w:cs="Calibri"/>
                <w:sz w:val="18"/>
                <w:lang w:val="en-AU"/>
              </w:rPr>
              <w:t>Ms Vincenzina (Enza) Calabro</w:t>
            </w:r>
          </w:p>
        </w:tc>
      </w:tr>
      <w:tr w:rsidR="00934CB3" w:rsidRPr="005734B8" w14:paraId="376D01E9" w14:textId="77777777" w:rsidTr="002B6980">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74611193" w14:textId="51B10DD5" w:rsidR="00934CB3" w:rsidRPr="005734B8" w:rsidRDefault="00934CB3" w:rsidP="00934CB3">
            <w:pPr>
              <w:pStyle w:val="ESTablebody"/>
              <w:rPr>
                <w:rFonts w:ascii="Calibri" w:hAnsi="Calibri" w:cs="Calibri"/>
                <w:sz w:val="18"/>
                <w:lang w:val="en-AU"/>
              </w:rPr>
            </w:pPr>
            <w:r w:rsidRPr="005734B8">
              <w:rPr>
                <w:rFonts w:ascii="Calibri" w:hAnsi="Calibri" w:cs="Calibri"/>
                <w:sz w:val="18"/>
                <w:lang w:val="en-AU"/>
              </w:rPr>
              <w:t>Ms Glenda Splatt</w:t>
            </w:r>
          </w:p>
        </w:tc>
        <w:tc>
          <w:tcPr>
            <w:tcW w:w="2655" w:type="dxa"/>
            <w:tcBorders>
              <w:top w:val="single" w:sz="4" w:space="0" w:color="53565A" w:themeColor="accent5"/>
              <w:bottom w:val="single" w:sz="4" w:space="0" w:color="53565A" w:themeColor="accent5"/>
            </w:tcBorders>
            <w:shd w:val="clear" w:color="auto" w:fill="auto"/>
            <w:vAlign w:val="center"/>
          </w:tcPr>
          <w:p w14:paraId="4AEC2C10" w14:textId="33946098" w:rsidR="00934CB3" w:rsidRPr="005734B8" w:rsidRDefault="00934CB3" w:rsidP="00934CB3">
            <w:pPr>
              <w:pStyle w:val="ESTablebody"/>
              <w:rPr>
                <w:rFonts w:ascii="Calibri" w:hAnsi="Calibri" w:cs="Calibri"/>
                <w:sz w:val="18"/>
                <w:lang w:val="en-AU"/>
              </w:rPr>
            </w:pPr>
            <w:r w:rsidRPr="005734B8">
              <w:rPr>
                <w:rFonts w:ascii="Calibri" w:hAnsi="Calibri" w:cs="Calibri"/>
                <w:sz w:val="18"/>
                <w:lang w:val="en-AU"/>
              </w:rPr>
              <w:t>Ms Moira Findlay</w:t>
            </w:r>
          </w:p>
        </w:tc>
        <w:tc>
          <w:tcPr>
            <w:tcW w:w="2520" w:type="dxa"/>
            <w:tcBorders>
              <w:top w:val="single" w:sz="4" w:space="0" w:color="53565A" w:themeColor="accent5"/>
              <w:bottom w:val="single" w:sz="4" w:space="0" w:color="53565A" w:themeColor="accent5"/>
            </w:tcBorders>
            <w:vAlign w:val="center"/>
          </w:tcPr>
          <w:p w14:paraId="61633ECC" w14:textId="3A29C059" w:rsidR="00934CB3" w:rsidRPr="005734B8" w:rsidRDefault="00934CB3" w:rsidP="00934CB3">
            <w:pPr>
              <w:pStyle w:val="ESTablebody"/>
              <w:rPr>
                <w:rFonts w:ascii="Calibri" w:hAnsi="Calibri" w:cs="Calibri"/>
                <w:sz w:val="18"/>
                <w:lang w:val="en-AU"/>
              </w:rPr>
            </w:pPr>
            <w:r w:rsidRPr="005734B8">
              <w:rPr>
                <w:rFonts w:ascii="Calibri" w:hAnsi="Calibri" w:cs="Calibri"/>
                <w:sz w:val="18"/>
                <w:lang w:val="en-AU"/>
              </w:rPr>
              <w:t>Mr Wayne Smith</w:t>
            </w:r>
          </w:p>
        </w:tc>
      </w:tr>
      <w:tr w:rsidR="00934CB3" w:rsidRPr="005734B8" w14:paraId="39578C6C" w14:textId="77777777" w:rsidTr="002B6980">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6BEF0D67" w14:textId="706F08E0" w:rsidR="00934CB3" w:rsidRPr="005734B8" w:rsidRDefault="00934CB3" w:rsidP="00934CB3">
            <w:pPr>
              <w:pStyle w:val="ESTablebody"/>
              <w:rPr>
                <w:rFonts w:ascii="Calibri" w:hAnsi="Calibri" w:cs="Calibri"/>
                <w:sz w:val="18"/>
              </w:rPr>
            </w:pPr>
            <w:r w:rsidRPr="005734B8">
              <w:rPr>
                <w:rFonts w:ascii="Calibri" w:hAnsi="Calibri" w:cs="Calibri"/>
                <w:sz w:val="18"/>
                <w:lang w:val="en-AU"/>
              </w:rPr>
              <w:t>Ms Janet Evison</w:t>
            </w:r>
          </w:p>
        </w:tc>
        <w:tc>
          <w:tcPr>
            <w:tcW w:w="2655" w:type="dxa"/>
            <w:tcBorders>
              <w:top w:val="single" w:sz="4" w:space="0" w:color="53565A" w:themeColor="accent5"/>
              <w:bottom w:val="single" w:sz="4" w:space="0" w:color="53565A" w:themeColor="accent5"/>
            </w:tcBorders>
            <w:shd w:val="clear" w:color="auto" w:fill="auto"/>
            <w:vAlign w:val="center"/>
          </w:tcPr>
          <w:p w14:paraId="4CE20661" w14:textId="69C0642F" w:rsidR="00934CB3" w:rsidRPr="005734B8" w:rsidRDefault="00934CB3" w:rsidP="00934CB3">
            <w:pPr>
              <w:pStyle w:val="ESTablebody"/>
              <w:rPr>
                <w:rFonts w:ascii="Calibri" w:hAnsi="Calibri" w:cs="Calibri"/>
                <w:sz w:val="18"/>
              </w:rPr>
            </w:pPr>
            <w:r w:rsidRPr="005734B8">
              <w:rPr>
                <w:rFonts w:ascii="Calibri" w:hAnsi="Calibri" w:cs="Calibri"/>
                <w:sz w:val="18"/>
                <w:lang w:val="en-AU"/>
              </w:rPr>
              <w:t>Ms Rhonda Warburton</w:t>
            </w:r>
          </w:p>
        </w:tc>
        <w:tc>
          <w:tcPr>
            <w:tcW w:w="2520" w:type="dxa"/>
            <w:tcBorders>
              <w:top w:val="single" w:sz="4" w:space="0" w:color="53565A" w:themeColor="accent5"/>
              <w:bottom w:val="single" w:sz="4" w:space="0" w:color="53565A" w:themeColor="accent5"/>
            </w:tcBorders>
          </w:tcPr>
          <w:p w14:paraId="161B88B0" w14:textId="77777777" w:rsidR="00934CB3" w:rsidRPr="005734B8" w:rsidRDefault="00934CB3" w:rsidP="00934CB3">
            <w:pPr>
              <w:pStyle w:val="ESTablebody"/>
              <w:rPr>
                <w:rFonts w:ascii="Calibri" w:hAnsi="Calibri" w:cs="Calibri"/>
                <w:sz w:val="18"/>
              </w:rPr>
            </w:pPr>
          </w:p>
        </w:tc>
      </w:tr>
      <w:bookmarkEnd w:id="2169"/>
      <w:bookmarkEnd w:id="2170"/>
    </w:tbl>
    <w:p w14:paraId="5E4D6E7A" w14:textId="6E471990" w:rsidR="00B351A2" w:rsidRPr="005734B8" w:rsidRDefault="00B351A2" w:rsidP="00EC279E">
      <w:pPr>
        <w:rPr>
          <w:rFonts w:ascii="Calibri" w:hAnsi="Calibri" w:cs="Calibri"/>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46"/>
        <w:gridCol w:w="2655"/>
        <w:gridCol w:w="2520"/>
      </w:tblGrid>
      <w:tr w:rsidR="00B351A2" w:rsidRPr="005734B8" w14:paraId="3281BF60" w14:textId="77777777" w:rsidTr="00785094">
        <w:trPr>
          <w:cantSplit/>
          <w:trHeight w:val="242"/>
          <w:tblHeader/>
        </w:trPr>
        <w:tc>
          <w:tcPr>
            <w:tcW w:w="7921" w:type="dxa"/>
            <w:gridSpan w:val="3"/>
            <w:tcBorders>
              <w:bottom w:val="single" w:sz="4" w:space="0" w:color="FFFFFF" w:themeColor="background1"/>
            </w:tcBorders>
            <w:shd w:val="clear" w:color="auto" w:fill="AF272F" w:themeFill="accent4"/>
          </w:tcPr>
          <w:p w14:paraId="288286FF" w14:textId="77777777" w:rsidR="00B351A2" w:rsidRPr="005734B8" w:rsidRDefault="00B351A2" w:rsidP="00785094">
            <w:pPr>
              <w:pStyle w:val="ESTableheadingwhite"/>
              <w:rPr>
                <w:rFonts w:ascii="Calibri" w:hAnsi="Calibri" w:cs="Calibri"/>
                <w:sz w:val="18"/>
                <w:lang w:val="en-AU"/>
              </w:rPr>
            </w:pPr>
            <w:r w:rsidRPr="005734B8">
              <w:rPr>
                <w:rFonts w:ascii="Calibri" w:hAnsi="Calibri" w:cs="Calibri"/>
                <w:sz w:val="18"/>
                <w:lang w:val="en-AU"/>
              </w:rPr>
              <w:t>Minister’s nominees to the Disciplinary Appeals Boards from 20 October 2020</w:t>
            </w:r>
          </w:p>
        </w:tc>
      </w:tr>
      <w:tr w:rsidR="004C7F4D" w:rsidRPr="005734B8" w14:paraId="5BADFEBA" w14:textId="77777777" w:rsidTr="00785094">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36979E71" w14:textId="04F9B9B3" w:rsidR="004C7F4D" w:rsidRPr="005734B8" w:rsidRDefault="004C7F4D" w:rsidP="004C7F4D">
            <w:pPr>
              <w:pStyle w:val="ESTablebody"/>
              <w:rPr>
                <w:rFonts w:ascii="Calibri" w:hAnsi="Calibri" w:cs="Calibri"/>
                <w:sz w:val="18"/>
              </w:rPr>
            </w:pPr>
            <w:r w:rsidRPr="005734B8">
              <w:rPr>
                <w:rFonts w:ascii="Calibri" w:hAnsi="Calibri" w:cs="Calibri"/>
                <w:sz w:val="18"/>
                <w:lang w:val="en-AU"/>
              </w:rPr>
              <w:t>Mr Daryl Bennett</w:t>
            </w:r>
          </w:p>
        </w:tc>
        <w:tc>
          <w:tcPr>
            <w:tcW w:w="2655" w:type="dxa"/>
            <w:tcBorders>
              <w:top w:val="single" w:sz="4" w:space="0" w:color="53565A" w:themeColor="accent5"/>
              <w:bottom w:val="single" w:sz="4" w:space="0" w:color="53565A" w:themeColor="accent5"/>
            </w:tcBorders>
            <w:shd w:val="clear" w:color="auto" w:fill="auto"/>
            <w:vAlign w:val="center"/>
          </w:tcPr>
          <w:p w14:paraId="71A62359" w14:textId="54880AA0" w:rsidR="004C7F4D" w:rsidRPr="005734B8" w:rsidRDefault="004F23CE" w:rsidP="004C7F4D">
            <w:pPr>
              <w:pStyle w:val="ESTablebody"/>
              <w:rPr>
                <w:rFonts w:ascii="Calibri" w:hAnsi="Calibri" w:cs="Calibri"/>
                <w:sz w:val="18"/>
              </w:rPr>
            </w:pPr>
            <w:r w:rsidRPr="005734B8">
              <w:rPr>
                <w:rFonts w:ascii="Calibri" w:hAnsi="Calibri" w:cs="Calibri"/>
                <w:sz w:val="18"/>
              </w:rPr>
              <w:t xml:space="preserve">Mr </w:t>
            </w:r>
            <w:r w:rsidR="004C7F4D" w:rsidRPr="005734B8">
              <w:rPr>
                <w:rFonts w:ascii="Calibri" w:hAnsi="Calibri" w:cs="Calibri"/>
                <w:sz w:val="18"/>
              </w:rPr>
              <w:t>Nicolas Ryan</w:t>
            </w:r>
          </w:p>
        </w:tc>
        <w:tc>
          <w:tcPr>
            <w:tcW w:w="2520" w:type="dxa"/>
            <w:tcBorders>
              <w:top w:val="single" w:sz="4" w:space="0" w:color="53565A" w:themeColor="accent5"/>
              <w:bottom w:val="single" w:sz="4" w:space="0" w:color="53565A" w:themeColor="accent5"/>
            </w:tcBorders>
            <w:vAlign w:val="center"/>
          </w:tcPr>
          <w:p w14:paraId="0DA7066B" w14:textId="5DF0432B" w:rsidR="004C7F4D" w:rsidRPr="005734B8" w:rsidRDefault="004F23CE" w:rsidP="004C7F4D">
            <w:pPr>
              <w:pStyle w:val="ESTablebody"/>
              <w:rPr>
                <w:rFonts w:ascii="Calibri" w:hAnsi="Calibri" w:cs="Calibri"/>
                <w:sz w:val="18"/>
              </w:rPr>
            </w:pPr>
            <w:r w:rsidRPr="005734B8">
              <w:rPr>
                <w:rFonts w:ascii="Calibri" w:hAnsi="Calibri" w:cs="Calibri"/>
                <w:sz w:val="18"/>
                <w:lang w:val="en-AU"/>
              </w:rPr>
              <w:t xml:space="preserve">Ms </w:t>
            </w:r>
            <w:r w:rsidR="004C7F4D" w:rsidRPr="005734B8">
              <w:rPr>
                <w:rFonts w:ascii="Calibri" w:hAnsi="Calibri" w:cs="Calibri"/>
                <w:sz w:val="18"/>
                <w:lang w:val="en-AU"/>
              </w:rPr>
              <w:t>Samantha Fleming</w:t>
            </w:r>
          </w:p>
        </w:tc>
      </w:tr>
      <w:tr w:rsidR="004C7F4D" w:rsidRPr="005734B8" w14:paraId="4D1F44B9" w14:textId="77777777" w:rsidTr="00785094">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3D1206D4" w14:textId="5BDF1BC1" w:rsidR="004C7F4D" w:rsidRPr="005734B8" w:rsidRDefault="004C7F4D" w:rsidP="004C7F4D">
            <w:pPr>
              <w:pStyle w:val="ESTablebody"/>
              <w:rPr>
                <w:rFonts w:ascii="Calibri" w:hAnsi="Calibri" w:cs="Calibri"/>
                <w:sz w:val="18"/>
                <w:lang w:val="en-AU"/>
              </w:rPr>
            </w:pPr>
            <w:r w:rsidRPr="005734B8">
              <w:rPr>
                <w:rFonts w:ascii="Calibri" w:hAnsi="Calibri" w:cs="Calibri"/>
                <w:sz w:val="18"/>
                <w:lang w:val="en-AU"/>
              </w:rPr>
              <w:t>Mr George Porter</w:t>
            </w:r>
          </w:p>
        </w:tc>
        <w:tc>
          <w:tcPr>
            <w:tcW w:w="2655" w:type="dxa"/>
            <w:tcBorders>
              <w:top w:val="single" w:sz="4" w:space="0" w:color="53565A" w:themeColor="accent5"/>
              <w:bottom w:val="single" w:sz="4" w:space="0" w:color="53565A" w:themeColor="accent5"/>
            </w:tcBorders>
            <w:shd w:val="clear" w:color="auto" w:fill="auto"/>
            <w:vAlign w:val="center"/>
          </w:tcPr>
          <w:p w14:paraId="779CC403" w14:textId="26699A9B" w:rsidR="004C7F4D" w:rsidRPr="005734B8" w:rsidRDefault="004F23CE" w:rsidP="004C7F4D">
            <w:pPr>
              <w:pStyle w:val="ESTablebody"/>
              <w:rPr>
                <w:rFonts w:ascii="Calibri" w:hAnsi="Calibri" w:cs="Calibri"/>
                <w:sz w:val="18"/>
                <w:lang w:val="en-AU"/>
              </w:rPr>
            </w:pPr>
            <w:r w:rsidRPr="005734B8">
              <w:rPr>
                <w:rFonts w:ascii="Calibri" w:hAnsi="Calibri" w:cs="Calibri"/>
                <w:sz w:val="18"/>
                <w:lang w:val="en-AU"/>
              </w:rPr>
              <w:t xml:space="preserve">Mr </w:t>
            </w:r>
            <w:r w:rsidR="004C7F4D" w:rsidRPr="005734B8">
              <w:rPr>
                <w:rFonts w:ascii="Calibri" w:hAnsi="Calibri" w:cs="Calibri"/>
                <w:sz w:val="18"/>
                <w:lang w:val="en-AU"/>
              </w:rPr>
              <w:t>Paul Newson</w:t>
            </w:r>
          </w:p>
        </w:tc>
        <w:tc>
          <w:tcPr>
            <w:tcW w:w="2520" w:type="dxa"/>
            <w:tcBorders>
              <w:top w:val="single" w:sz="4" w:space="0" w:color="53565A" w:themeColor="accent5"/>
              <w:bottom w:val="single" w:sz="4" w:space="0" w:color="53565A" w:themeColor="accent5"/>
            </w:tcBorders>
            <w:vAlign w:val="center"/>
          </w:tcPr>
          <w:p w14:paraId="54188E7D" w14:textId="3C9E03FE" w:rsidR="004C7F4D" w:rsidRPr="005734B8" w:rsidRDefault="004F23CE" w:rsidP="004C7F4D">
            <w:pPr>
              <w:pStyle w:val="ESTablebody"/>
              <w:rPr>
                <w:rFonts w:ascii="Calibri" w:hAnsi="Calibri" w:cs="Calibri"/>
                <w:sz w:val="18"/>
                <w:lang w:val="en-AU"/>
              </w:rPr>
            </w:pPr>
            <w:r w:rsidRPr="005734B8">
              <w:rPr>
                <w:rFonts w:ascii="Calibri" w:hAnsi="Calibri" w:cs="Calibri"/>
                <w:sz w:val="18"/>
                <w:lang w:val="en-AU"/>
              </w:rPr>
              <w:t xml:space="preserve">Ms </w:t>
            </w:r>
            <w:r w:rsidR="004C7F4D" w:rsidRPr="005734B8">
              <w:rPr>
                <w:rFonts w:ascii="Calibri" w:hAnsi="Calibri" w:cs="Calibri"/>
                <w:sz w:val="18"/>
                <w:lang w:val="en-AU"/>
              </w:rPr>
              <w:t>Susan Seneviratne</w:t>
            </w:r>
          </w:p>
        </w:tc>
      </w:tr>
      <w:tr w:rsidR="004C7F4D" w:rsidRPr="005734B8" w14:paraId="76CB6767" w14:textId="77777777" w:rsidTr="00785094">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439C5BF3" w14:textId="05CC42B0" w:rsidR="004C7F4D" w:rsidRPr="005734B8" w:rsidRDefault="004F23CE" w:rsidP="004C7F4D">
            <w:pPr>
              <w:pStyle w:val="ESTablebody"/>
              <w:rPr>
                <w:rFonts w:ascii="Calibri" w:hAnsi="Calibri" w:cs="Calibri"/>
                <w:sz w:val="18"/>
                <w:lang w:val="en-AU"/>
              </w:rPr>
            </w:pPr>
            <w:r w:rsidRPr="005734B8">
              <w:rPr>
                <w:rFonts w:ascii="Calibri" w:hAnsi="Calibri" w:cs="Calibri"/>
                <w:sz w:val="18"/>
                <w:lang w:val="en-AU"/>
              </w:rPr>
              <w:t xml:space="preserve">Ms </w:t>
            </w:r>
            <w:r w:rsidR="004C7F4D" w:rsidRPr="005734B8">
              <w:rPr>
                <w:rFonts w:ascii="Calibri" w:hAnsi="Calibri" w:cs="Calibri"/>
                <w:sz w:val="18"/>
                <w:lang w:val="en-AU"/>
              </w:rPr>
              <w:t>Larissa Field</w:t>
            </w:r>
          </w:p>
        </w:tc>
        <w:tc>
          <w:tcPr>
            <w:tcW w:w="2655" w:type="dxa"/>
            <w:tcBorders>
              <w:top w:val="single" w:sz="4" w:space="0" w:color="53565A" w:themeColor="accent5"/>
              <w:bottom w:val="single" w:sz="4" w:space="0" w:color="53565A" w:themeColor="accent5"/>
            </w:tcBorders>
            <w:shd w:val="clear" w:color="auto" w:fill="auto"/>
            <w:vAlign w:val="center"/>
          </w:tcPr>
          <w:p w14:paraId="608064F3" w14:textId="0FADB111" w:rsidR="004C7F4D" w:rsidRPr="005734B8" w:rsidRDefault="004F23CE" w:rsidP="004C7F4D">
            <w:pPr>
              <w:pStyle w:val="ESTablebody"/>
              <w:rPr>
                <w:rFonts w:ascii="Calibri" w:hAnsi="Calibri" w:cs="Calibri"/>
                <w:sz w:val="18"/>
                <w:lang w:val="en-AU"/>
              </w:rPr>
            </w:pPr>
            <w:r w:rsidRPr="005734B8">
              <w:rPr>
                <w:rFonts w:ascii="Calibri" w:hAnsi="Calibri" w:cs="Calibri"/>
                <w:sz w:val="18"/>
                <w:lang w:val="en-AU"/>
              </w:rPr>
              <w:t xml:space="preserve">Ms </w:t>
            </w:r>
            <w:r w:rsidR="004C7F4D" w:rsidRPr="005734B8">
              <w:rPr>
                <w:rFonts w:ascii="Calibri" w:hAnsi="Calibri" w:cs="Calibri"/>
                <w:sz w:val="18"/>
                <w:lang w:val="en-AU"/>
              </w:rPr>
              <w:t>Rachel Carlyon</w:t>
            </w:r>
          </w:p>
        </w:tc>
        <w:tc>
          <w:tcPr>
            <w:tcW w:w="2520" w:type="dxa"/>
            <w:tcBorders>
              <w:top w:val="single" w:sz="4" w:space="0" w:color="53565A" w:themeColor="accent5"/>
              <w:bottom w:val="single" w:sz="4" w:space="0" w:color="53565A" w:themeColor="accent5"/>
            </w:tcBorders>
            <w:vAlign w:val="center"/>
          </w:tcPr>
          <w:p w14:paraId="38AD98CB" w14:textId="77777777" w:rsidR="004C7F4D" w:rsidRPr="005734B8" w:rsidRDefault="004C7F4D" w:rsidP="004C7F4D">
            <w:pPr>
              <w:pStyle w:val="ESTablebody"/>
              <w:rPr>
                <w:rFonts w:ascii="Calibri" w:hAnsi="Calibri" w:cs="Calibri"/>
                <w:sz w:val="18"/>
                <w:lang w:val="en-AU"/>
              </w:rPr>
            </w:pPr>
          </w:p>
        </w:tc>
      </w:tr>
      <w:tr w:rsidR="004C7F4D" w:rsidRPr="005734B8" w14:paraId="3C53DEAA" w14:textId="77777777" w:rsidTr="00785094">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744ADB71" w14:textId="779A47DD" w:rsidR="004C7F4D" w:rsidRPr="005734B8" w:rsidRDefault="004F23CE" w:rsidP="004C7F4D">
            <w:pPr>
              <w:pStyle w:val="ESTablebody"/>
              <w:rPr>
                <w:rFonts w:ascii="Calibri" w:hAnsi="Calibri" w:cs="Calibri"/>
                <w:sz w:val="18"/>
                <w:lang w:val="en-AU"/>
              </w:rPr>
            </w:pPr>
            <w:r w:rsidRPr="005734B8">
              <w:rPr>
                <w:rFonts w:ascii="Calibri" w:hAnsi="Calibri" w:cs="Calibri"/>
                <w:sz w:val="18"/>
                <w:lang w:val="en-AU"/>
              </w:rPr>
              <w:t xml:space="preserve">Ms </w:t>
            </w:r>
            <w:r w:rsidR="004C7F4D" w:rsidRPr="005734B8">
              <w:rPr>
                <w:rFonts w:ascii="Calibri" w:hAnsi="Calibri" w:cs="Calibri"/>
                <w:sz w:val="18"/>
                <w:lang w:val="en-AU"/>
              </w:rPr>
              <w:t>Leonie Fitzgerald</w:t>
            </w:r>
          </w:p>
        </w:tc>
        <w:tc>
          <w:tcPr>
            <w:tcW w:w="2655" w:type="dxa"/>
            <w:tcBorders>
              <w:top w:val="single" w:sz="4" w:space="0" w:color="53565A" w:themeColor="accent5"/>
              <w:bottom w:val="single" w:sz="4" w:space="0" w:color="53565A" w:themeColor="accent5"/>
            </w:tcBorders>
            <w:shd w:val="clear" w:color="auto" w:fill="auto"/>
            <w:vAlign w:val="center"/>
          </w:tcPr>
          <w:p w14:paraId="76D17628" w14:textId="6EAF05C1" w:rsidR="004C7F4D" w:rsidRPr="005734B8" w:rsidRDefault="004F23CE" w:rsidP="004C7F4D">
            <w:pPr>
              <w:pStyle w:val="ESTablebody"/>
              <w:rPr>
                <w:rFonts w:ascii="Calibri" w:hAnsi="Calibri" w:cs="Calibri"/>
                <w:sz w:val="18"/>
                <w:lang w:val="en-AU"/>
              </w:rPr>
            </w:pPr>
            <w:r w:rsidRPr="005734B8">
              <w:rPr>
                <w:rFonts w:ascii="Calibri" w:hAnsi="Calibri" w:cs="Calibri"/>
                <w:sz w:val="18"/>
                <w:lang w:val="en-AU"/>
              </w:rPr>
              <w:t xml:space="preserve">Ms </w:t>
            </w:r>
            <w:r w:rsidR="004C7F4D" w:rsidRPr="005734B8">
              <w:rPr>
                <w:rFonts w:ascii="Calibri" w:hAnsi="Calibri" w:cs="Calibri"/>
                <w:sz w:val="18"/>
                <w:lang w:val="en-AU"/>
              </w:rPr>
              <w:t>Robyn Anderson</w:t>
            </w:r>
          </w:p>
        </w:tc>
        <w:tc>
          <w:tcPr>
            <w:tcW w:w="2520" w:type="dxa"/>
            <w:tcBorders>
              <w:top w:val="single" w:sz="4" w:space="0" w:color="53565A" w:themeColor="accent5"/>
              <w:bottom w:val="single" w:sz="4" w:space="0" w:color="53565A" w:themeColor="accent5"/>
            </w:tcBorders>
            <w:vAlign w:val="center"/>
          </w:tcPr>
          <w:p w14:paraId="5CAEE353" w14:textId="77777777" w:rsidR="004C7F4D" w:rsidRPr="005734B8" w:rsidRDefault="004C7F4D" w:rsidP="004C7F4D">
            <w:pPr>
              <w:pStyle w:val="ESTablebody"/>
              <w:rPr>
                <w:rFonts w:ascii="Calibri" w:hAnsi="Calibri" w:cs="Calibri"/>
                <w:sz w:val="18"/>
                <w:lang w:val="en-AU"/>
              </w:rPr>
            </w:pPr>
          </w:p>
        </w:tc>
      </w:tr>
    </w:tbl>
    <w:p w14:paraId="3EC9A0CC" w14:textId="77777777" w:rsidR="00B351A2" w:rsidRPr="005734B8" w:rsidRDefault="00B351A2" w:rsidP="00EC279E">
      <w:pPr>
        <w:rPr>
          <w:rFonts w:ascii="Calibri" w:hAnsi="Calibri" w:cs="Calibri"/>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46"/>
        <w:gridCol w:w="2655"/>
        <w:gridCol w:w="2520"/>
      </w:tblGrid>
      <w:tr w:rsidR="00B351A2" w:rsidRPr="005734B8" w14:paraId="3C1FD43B" w14:textId="77777777" w:rsidTr="00785094">
        <w:trPr>
          <w:cantSplit/>
          <w:trHeight w:val="242"/>
          <w:tblHeader/>
        </w:trPr>
        <w:tc>
          <w:tcPr>
            <w:tcW w:w="7921" w:type="dxa"/>
            <w:gridSpan w:val="3"/>
            <w:tcBorders>
              <w:bottom w:val="single" w:sz="4" w:space="0" w:color="FFFFFF" w:themeColor="background1"/>
            </w:tcBorders>
            <w:shd w:val="clear" w:color="auto" w:fill="AF272F" w:themeFill="accent4"/>
          </w:tcPr>
          <w:p w14:paraId="2FFA9B2D" w14:textId="77777777" w:rsidR="00B351A2" w:rsidRPr="005734B8" w:rsidRDefault="00B351A2" w:rsidP="00785094">
            <w:pPr>
              <w:pStyle w:val="ESTableheadingwhite"/>
              <w:rPr>
                <w:rFonts w:ascii="Calibri" w:hAnsi="Calibri" w:cs="Calibri"/>
                <w:sz w:val="18"/>
                <w:lang w:val="en-AU"/>
              </w:rPr>
            </w:pPr>
            <w:r w:rsidRPr="005734B8">
              <w:rPr>
                <w:rFonts w:ascii="Calibri" w:hAnsi="Calibri" w:cs="Calibri"/>
                <w:sz w:val="18"/>
                <w:lang w:val="en-AU"/>
              </w:rPr>
              <w:t>Minister’s nominees to the Disciplinary Appeals Boards from 1 August 2020</w:t>
            </w:r>
          </w:p>
        </w:tc>
      </w:tr>
      <w:tr w:rsidR="00B351A2" w:rsidRPr="005734B8" w14:paraId="7D6F8487" w14:textId="77777777" w:rsidTr="00785094">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2C1DAED5" w14:textId="77777777" w:rsidR="00B351A2" w:rsidRPr="005734B8" w:rsidRDefault="00B351A2" w:rsidP="00785094">
            <w:pPr>
              <w:pStyle w:val="ESTablebody"/>
              <w:rPr>
                <w:rFonts w:ascii="Calibri" w:hAnsi="Calibri" w:cs="Calibri"/>
                <w:sz w:val="18"/>
              </w:rPr>
            </w:pPr>
            <w:r w:rsidRPr="005734B8">
              <w:rPr>
                <w:rFonts w:ascii="Calibri" w:hAnsi="Calibri" w:cs="Calibri"/>
                <w:sz w:val="18"/>
                <w:lang w:val="en-AU"/>
              </w:rPr>
              <w:t>Ms Rhonda Warburton</w:t>
            </w:r>
          </w:p>
        </w:tc>
        <w:tc>
          <w:tcPr>
            <w:tcW w:w="2655" w:type="dxa"/>
            <w:tcBorders>
              <w:top w:val="single" w:sz="4" w:space="0" w:color="53565A" w:themeColor="accent5"/>
              <w:bottom w:val="single" w:sz="4" w:space="0" w:color="53565A" w:themeColor="accent5"/>
            </w:tcBorders>
            <w:shd w:val="clear" w:color="auto" w:fill="auto"/>
            <w:vAlign w:val="center"/>
          </w:tcPr>
          <w:p w14:paraId="09C8DB3A" w14:textId="77777777" w:rsidR="00B351A2" w:rsidRPr="005734B8" w:rsidRDefault="00B351A2" w:rsidP="00785094">
            <w:pPr>
              <w:pStyle w:val="ESTablebody"/>
              <w:rPr>
                <w:rFonts w:ascii="Calibri" w:hAnsi="Calibri" w:cs="Calibri"/>
                <w:sz w:val="18"/>
              </w:rPr>
            </w:pPr>
          </w:p>
        </w:tc>
        <w:tc>
          <w:tcPr>
            <w:tcW w:w="2520" w:type="dxa"/>
            <w:tcBorders>
              <w:top w:val="single" w:sz="4" w:space="0" w:color="53565A" w:themeColor="accent5"/>
              <w:bottom w:val="single" w:sz="4" w:space="0" w:color="53565A" w:themeColor="accent5"/>
            </w:tcBorders>
            <w:vAlign w:val="center"/>
          </w:tcPr>
          <w:p w14:paraId="798EFC3C" w14:textId="77777777" w:rsidR="00B351A2" w:rsidRPr="005734B8" w:rsidRDefault="00B351A2" w:rsidP="00785094">
            <w:pPr>
              <w:pStyle w:val="ESTablebody"/>
              <w:rPr>
                <w:rFonts w:ascii="Calibri" w:hAnsi="Calibri" w:cs="Calibri"/>
                <w:sz w:val="18"/>
              </w:rPr>
            </w:pPr>
          </w:p>
        </w:tc>
      </w:tr>
    </w:tbl>
    <w:p w14:paraId="3A3C1D43" w14:textId="77777777" w:rsidR="00B351A2" w:rsidRPr="005734B8" w:rsidRDefault="00B351A2" w:rsidP="00B351A2">
      <w:pPr>
        <w:pStyle w:val="ESTableintroheading"/>
        <w:rPr>
          <w:rFonts w:ascii="Calibri" w:hAnsi="Calibri" w:cs="Calibri"/>
        </w:rPr>
      </w:pPr>
    </w:p>
    <w:p w14:paraId="6EB2E5D2" w14:textId="568E617F" w:rsidR="002F5360" w:rsidRPr="005734B8" w:rsidRDefault="00EC279E" w:rsidP="00B351A2">
      <w:pPr>
        <w:rPr>
          <w:rFonts w:ascii="Calibri" w:hAnsi="Calibri" w:cs="Calibri"/>
        </w:rPr>
      </w:pPr>
      <w:r w:rsidRPr="005734B8">
        <w:rPr>
          <w:rFonts w:ascii="Calibri" w:hAnsi="Calibri" w:cs="Calibri"/>
        </w:rPr>
        <w:t>Appointments are for five years. The next appointments are scheduled for August 2025.</w:t>
      </w:r>
    </w:p>
    <w:p w14:paraId="736C8996" w14:textId="38C76E02" w:rsidR="00211C84" w:rsidRPr="005734B8" w:rsidRDefault="00211C84" w:rsidP="00211C84">
      <w:pPr>
        <w:pStyle w:val="ESHeading2"/>
        <w:rPr>
          <w:rFonts w:ascii="Calibri" w:hAnsi="Calibri" w:cs="Calibri"/>
        </w:rPr>
      </w:pPr>
      <w:bookmarkStart w:id="2171" w:name="_Toc10724204"/>
      <w:bookmarkStart w:id="2172" w:name="_Toc10724328"/>
      <w:bookmarkStart w:id="2173" w:name="_Toc11336518"/>
      <w:bookmarkStart w:id="2174" w:name="_Toc11336617"/>
      <w:bookmarkStart w:id="2175" w:name="_Toc13647221"/>
      <w:bookmarkStart w:id="2176" w:name="_Toc13656753"/>
      <w:bookmarkStart w:id="2177" w:name="_Toc13656915"/>
      <w:bookmarkStart w:id="2178" w:name="_Toc14965739"/>
      <w:bookmarkStart w:id="2179" w:name="_Toc15985335"/>
      <w:bookmarkStart w:id="2180" w:name="_Toc16231986"/>
      <w:bookmarkStart w:id="2181" w:name="_Toc18052257"/>
      <w:bookmarkStart w:id="2182" w:name="_Toc19272312"/>
      <w:bookmarkStart w:id="2183" w:name="_Toc19272678"/>
      <w:bookmarkStart w:id="2184" w:name="_Toc19274013"/>
      <w:bookmarkStart w:id="2185" w:name="_Toc48402869"/>
      <w:bookmarkStart w:id="2186" w:name="_Toc48403106"/>
      <w:bookmarkStart w:id="2187" w:name="_Toc48403673"/>
      <w:bookmarkStart w:id="2188" w:name="_Toc51332849"/>
      <w:bookmarkStart w:id="2189" w:name="_Toc78293033"/>
      <w:bookmarkStart w:id="2190" w:name="_Toc78444238"/>
      <w:bookmarkStart w:id="2191" w:name="_Toc80272112"/>
      <w:bookmarkStart w:id="2192" w:name="_Toc81315415"/>
      <w:r w:rsidRPr="005734B8">
        <w:rPr>
          <w:rFonts w:ascii="Calibri" w:hAnsi="Calibri" w:cs="Calibri"/>
          <w:lang w:val="en-AU"/>
        </w:rPr>
        <w:t>Merit Protection Boards</w:t>
      </w:r>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p>
    <w:p w14:paraId="25E74158" w14:textId="77777777" w:rsidR="00211C84" w:rsidRPr="005734B8" w:rsidRDefault="00211C84" w:rsidP="00211C84">
      <w:pPr>
        <w:rPr>
          <w:rFonts w:ascii="Calibri" w:hAnsi="Calibri" w:cs="Calibri"/>
        </w:rPr>
      </w:pPr>
      <w:r w:rsidRPr="005734B8">
        <w:rPr>
          <w:rFonts w:ascii="Calibri" w:hAnsi="Calibri" w:cs="Calibri"/>
        </w:rPr>
        <w:t>The Merit Protection Boards and Review of Action Boards provide an independent mechanism to hear appeals and grievances of employees of the Department and associated education and training statutory authorities.</w:t>
      </w:r>
    </w:p>
    <w:p w14:paraId="33C29E91" w14:textId="77777777" w:rsidR="00211C84" w:rsidRPr="005734B8" w:rsidRDefault="00211C84" w:rsidP="00211C84">
      <w:pPr>
        <w:rPr>
          <w:rFonts w:ascii="Calibri" w:hAnsi="Calibri" w:cs="Calibri"/>
        </w:rPr>
      </w:pPr>
    </w:p>
    <w:p w14:paraId="4C49F319" w14:textId="68666065" w:rsidR="00211C84" w:rsidRPr="005734B8" w:rsidRDefault="00211C84" w:rsidP="00211C84">
      <w:pPr>
        <w:rPr>
          <w:rFonts w:ascii="Calibri" w:hAnsi="Calibri" w:cs="Calibri"/>
        </w:rPr>
      </w:pPr>
      <w:r w:rsidRPr="005734B8">
        <w:rPr>
          <w:rFonts w:ascii="Calibri" w:hAnsi="Calibri" w:cs="Calibri"/>
        </w:rPr>
        <w:t>The Merit Protection Boards were established in 1993 under the Teaching Service Act and are currently empowered by the Education and Training Reform Act to:</w:t>
      </w:r>
    </w:p>
    <w:p w14:paraId="4BFFD86E" w14:textId="77777777" w:rsidR="00211C84" w:rsidRPr="005734B8" w:rsidRDefault="00211C84" w:rsidP="00211C84">
      <w:pPr>
        <w:pStyle w:val="ListParagraph"/>
        <w:numPr>
          <w:ilvl w:val="0"/>
          <w:numId w:val="16"/>
        </w:numPr>
        <w:rPr>
          <w:rFonts w:ascii="Calibri" w:hAnsi="Calibri" w:cs="Calibri"/>
        </w:rPr>
      </w:pPr>
      <w:r w:rsidRPr="005734B8">
        <w:rPr>
          <w:rFonts w:ascii="Calibri" w:hAnsi="Calibri" w:cs="Calibri"/>
        </w:rPr>
        <w:t>advise the Minister for Education about principles of merit and equity to be applied in the teaching service</w:t>
      </w:r>
    </w:p>
    <w:p w14:paraId="311EBF57" w14:textId="4A740602" w:rsidR="00211C84" w:rsidRPr="005734B8" w:rsidRDefault="00211C84" w:rsidP="00211C84">
      <w:pPr>
        <w:pStyle w:val="ListParagraph"/>
        <w:numPr>
          <w:ilvl w:val="0"/>
          <w:numId w:val="16"/>
        </w:numPr>
        <w:rPr>
          <w:rFonts w:ascii="Calibri" w:hAnsi="Calibri" w:cs="Calibri"/>
        </w:rPr>
      </w:pPr>
      <w:r w:rsidRPr="005734B8">
        <w:rPr>
          <w:rFonts w:ascii="Calibri" w:hAnsi="Calibri" w:cs="Calibri"/>
        </w:rPr>
        <w:t xml:space="preserve">hear reviews and appeals in relation to decisions made under the Education and Training Reform Act (except proceedings under Divisions 9A or 10 of Part 2.4) or other </w:t>
      </w:r>
      <w:r w:rsidR="00B351A2" w:rsidRPr="005734B8">
        <w:rPr>
          <w:rFonts w:ascii="Calibri" w:hAnsi="Calibri" w:cs="Calibri"/>
        </w:rPr>
        <w:t>a</w:t>
      </w:r>
      <w:r w:rsidRPr="005734B8">
        <w:rPr>
          <w:rFonts w:ascii="Calibri" w:hAnsi="Calibri" w:cs="Calibri"/>
        </w:rPr>
        <w:t>ct</w:t>
      </w:r>
      <w:r w:rsidR="00B351A2" w:rsidRPr="005734B8">
        <w:rPr>
          <w:rFonts w:ascii="Calibri" w:hAnsi="Calibri" w:cs="Calibri"/>
        </w:rPr>
        <w:t>s</w:t>
      </w:r>
    </w:p>
    <w:p w14:paraId="039F3C1C" w14:textId="4CEFDE9D" w:rsidR="00211C84" w:rsidRPr="005734B8" w:rsidRDefault="00211C84" w:rsidP="00211C84">
      <w:pPr>
        <w:pStyle w:val="ListParagraph"/>
        <w:numPr>
          <w:ilvl w:val="0"/>
          <w:numId w:val="16"/>
        </w:numPr>
        <w:rPr>
          <w:rFonts w:ascii="Calibri" w:hAnsi="Calibri" w:cs="Calibri"/>
        </w:rPr>
      </w:pPr>
      <w:r w:rsidRPr="005734B8">
        <w:rPr>
          <w:rFonts w:ascii="Calibri" w:hAnsi="Calibri" w:cs="Calibri"/>
        </w:rPr>
        <w:t>advise the Minister or the Secretary about referred matter</w:t>
      </w:r>
      <w:r w:rsidR="00B351A2" w:rsidRPr="005734B8">
        <w:rPr>
          <w:rFonts w:ascii="Calibri" w:hAnsi="Calibri" w:cs="Calibri"/>
        </w:rPr>
        <w:t>s</w:t>
      </w:r>
      <w:r w:rsidRPr="005734B8">
        <w:rPr>
          <w:rFonts w:ascii="Calibri" w:hAnsi="Calibri" w:cs="Calibri"/>
        </w:rPr>
        <w:t xml:space="preserve"> relating to merit and equity in the teaching service</w:t>
      </w:r>
    </w:p>
    <w:p w14:paraId="0ED1A6F0" w14:textId="3E799614" w:rsidR="00211C84" w:rsidRPr="005734B8" w:rsidRDefault="00211C84" w:rsidP="00211C84">
      <w:pPr>
        <w:pStyle w:val="ListParagraph"/>
        <w:numPr>
          <w:ilvl w:val="0"/>
          <w:numId w:val="16"/>
        </w:numPr>
        <w:rPr>
          <w:rFonts w:ascii="Calibri" w:hAnsi="Calibri" w:cs="Calibri"/>
        </w:rPr>
      </w:pPr>
      <w:r w:rsidRPr="005734B8">
        <w:rPr>
          <w:rFonts w:ascii="Calibri" w:hAnsi="Calibri" w:cs="Calibri"/>
        </w:rPr>
        <w:t xml:space="preserve">hear reviews and appeals </w:t>
      </w:r>
      <w:r w:rsidR="00B351A2" w:rsidRPr="005734B8">
        <w:rPr>
          <w:rFonts w:ascii="Calibri" w:hAnsi="Calibri" w:cs="Calibri"/>
        </w:rPr>
        <w:t>relating</w:t>
      </w:r>
      <w:r w:rsidRPr="005734B8">
        <w:rPr>
          <w:rFonts w:ascii="Calibri" w:hAnsi="Calibri" w:cs="Calibri"/>
        </w:rPr>
        <w:t xml:space="preserve"> to decision</w:t>
      </w:r>
      <w:r w:rsidR="001A5C5E" w:rsidRPr="005734B8">
        <w:rPr>
          <w:rFonts w:ascii="Calibri" w:hAnsi="Calibri" w:cs="Calibri"/>
        </w:rPr>
        <w:t>s</w:t>
      </w:r>
      <w:r w:rsidRPr="005734B8">
        <w:rPr>
          <w:rFonts w:ascii="Calibri" w:hAnsi="Calibri" w:cs="Calibri"/>
        </w:rPr>
        <w:t xml:space="preserve"> prescribed by the regulations or Ministerial Order</w:t>
      </w:r>
    </w:p>
    <w:p w14:paraId="1BFDF179" w14:textId="2E148E9F" w:rsidR="00211C84" w:rsidRPr="005734B8" w:rsidRDefault="00211C84" w:rsidP="00211C84">
      <w:pPr>
        <w:pStyle w:val="ListParagraph"/>
        <w:numPr>
          <w:ilvl w:val="0"/>
          <w:numId w:val="16"/>
        </w:numPr>
        <w:rPr>
          <w:rFonts w:ascii="Calibri" w:hAnsi="Calibri" w:cs="Calibri"/>
        </w:rPr>
      </w:pPr>
      <w:r w:rsidRPr="005734B8">
        <w:rPr>
          <w:rFonts w:ascii="Calibri" w:hAnsi="Calibri" w:cs="Calibri"/>
        </w:rPr>
        <w:t xml:space="preserve">hear reviews and appeals </w:t>
      </w:r>
      <w:r w:rsidR="00B351A2" w:rsidRPr="005734B8">
        <w:rPr>
          <w:rFonts w:ascii="Calibri" w:hAnsi="Calibri" w:cs="Calibri"/>
        </w:rPr>
        <w:t>on behalf</w:t>
      </w:r>
      <w:r w:rsidRPr="005734B8">
        <w:rPr>
          <w:rFonts w:ascii="Calibri" w:hAnsi="Calibri" w:cs="Calibri"/>
        </w:rPr>
        <w:t xml:space="preserve"> of the Secretary, if the Secretary has delegated </w:t>
      </w:r>
      <w:r w:rsidR="00B351A2" w:rsidRPr="005734B8">
        <w:rPr>
          <w:rFonts w:ascii="Calibri" w:hAnsi="Calibri" w:cs="Calibri"/>
        </w:rPr>
        <w:t>their</w:t>
      </w:r>
      <w:r w:rsidRPr="005734B8">
        <w:rPr>
          <w:rFonts w:ascii="Calibri" w:hAnsi="Calibri" w:cs="Calibri"/>
        </w:rPr>
        <w:t xml:space="preserve"> function or power to a Merit Protection Board.</w:t>
      </w:r>
    </w:p>
    <w:p w14:paraId="78256FD8" w14:textId="77777777" w:rsidR="00211C84" w:rsidRPr="005734B8" w:rsidRDefault="00211C84" w:rsidP="00211C84">
      <w:pPr>
        <w:rPr>
          <w:rFonts w:ascii="Calibri" w:hAnsi="Calibri" w:cs="Calibri"/>
        </w:rPr>
      </w:pPr>
    </w:p>
    <w:p w14:paraId="4F4096D9" w14:textId="77777777" w:rsidR="00211C84" w:rsidRPr="005734B8" w:rsidRDefault="00211C84" w:rsidP="00211C84">
      <w:pPr>
        <w:rPr>
          <w:rFonts w:ascii="Calibri" w:hAnsi="Calibri" w:cs="Calibri"/>
        </w:rPr>
      </w:pPr>
      <w:r w:rsidRPr="005734B8">
        <w:rPr>
          <w:rFonts w:ascii="Calibri" w:hAnsi="Calibri" w:cs="Calibri"/>
        </w:rPr>
        <w:t>The Senior Chairperson, Ms Alison Murphy, is a full-time member of the Merit Protection Boards. Ms June Weir is the Registrar for the Boards and there are three administrative officers who support their work.</w:t>
      </w:r>
    </w:p>
    <w:p w14:paraId="7BE7D387" w14:textId="77777777" w:rsidR="00211C84" w:rsidRPr="005734B8" w:rsidRDefault="00211C84" w:rsidP="00211C84">
      <w:pPr>
        <w:rPr>
          <w:rFonts w:ascii="Calibri" w:hAnsi="Calibri" w:cs="Calibri"/>
        </w:rPr>
      </w:pPr>
    </w:p>
    <w:p w14:paraId="07AAD3F0" w14:textId="5E618B2A" w:rsidR="00211C84" w:rsidRPr="005734B8" w:rsidRDefault="00211C84" w:rsidP="00211C84">
      <w:pPr>
        <w:rPr>
          <w:rFonts w:ascii="Calibri" w:hAnsi="Calibri" w:cs="Calibri"/>
        </w:rPr>
      </w:pPr>
      <w:r w:rsidRPr="005734B8">
        <w:rPr>
          <w:rFonts w:ascii="Calibri" w:hAnsi="Calibri" w:cs="Calibri"/>
        </w:rPr>
        <w:t>Access to the Merit Protection Boards is available to public service employees of the Department and members of the teaching service, including principals, teachers and school-based non-teaching staff. Appeals and grievances may relate to transfer and promotion, leave, change of time fraction of working hours, outcomes of performance reviews, outcomes of local complaints, translation from fixed</w:t>
      </w:r>
      <w:r w:rsidR="001A5C5E" w:rsidRPr="005734B8">
        <w:rPr>
          <w:rFonts w:ascii="Calibri" w:hAnsi="Calibri" w:cs="Calibri"/>
        </w:rPr>
        <w:noBreakHyphen/>
      </w:r>
      <w:r w:rsidRPr="005734B8">
        <w:rPr>
          <w:rFonts w:ascii="Calibri" w:hAnsi="Calibri" w:cs="Calibri"/>
        </w:rPr>
        <w:t>term to ongoing employment and other personnel management decisions. Appeals and grievances may be heard in the metropolitan area or regional centres.</w:t>
      </w:r>
      <w:r w:rsidR="00EC0772" w:rsidRPr="005734B8">
        <w:rPr>
          <w:rFonts w:ascii="Calibri" w:hAnsi="Calibri" w:cs="Calibri"/>
        </w:rPr>
        <w:t xml:space="preserve"> </w:t>
      </w:r>
    </w:p>
    <w:p w14:paraId="3F915543" w14:textId="77777777" w:rsidR="00211C84" w:rsidRPr="005734B8" w:rsidRDefault="00211C84" w:rsidP="00211C84">
      <w:pPr>
        <w:rPr>
          <w:rFonts w:ascii="Calibri" w:hAnsi="Calibri" w:cs="Calibri"/>
        </w:rPr>
      </w:pPr>
    </w:p>
    <w:p w14:paraId="4580B239" w14:textId="64F90FA7" w:rsidR="00211C84" w:rsidRPr="005734B8" w:rsidRDefault="00211C84" w:rsidP="00211C84">
      <w:pPr>
        <w:rPr>
          <w:rFonts w:ascii="Calibri" w:hAnsi="Calibri" w:cs="Calibri"/>
        </w:rPr>
      </w:pPr>
      <w:r w:rsidRPr="005734B8">
        <w:rPr>
          <w:rFonts w:ascii="Calibri" w:hAnsi="Calibri" w:cs="Calibri"/>
        </w:rPr>
        <w:t>Grievances of the Department lodged by VPS staff are heard by a Review of Action Board. The Senior Chairperson establishes the Review of Action Boards, which make recommendations to the Secretary of the Department. In the event that the Senior Chairperson does not sit on the Review of Action Board, the board make</w:t>
      </w:r>
      <w:r w:rsidR="00B351A2" w:rsidRPr="005734B8">
        <w:rPr>
          <w:rFonts w:ascii="Calibri" w:hAnsi="Calibri" w:cs="Calibri"/>
        </w:rPr>
        <w:t>s</w:t>
      </w:r>
      <w:r w:rsidRPr="005734B8">
        <w:rPr>
          <w:rFonts w:ascii="Calibri" w:hAnsi="Calibri" w:cs="Calibri"/>
        </w:rPr>
        <w:t xml:space="preserve"> a recommendation to the Senior Chairperson, who in turn make</w:t>
      </w:r>
      <w:r w:rsidR="00B351A2" w:rsidRPr="005734B8">
        <w:rPr>
          <w:rFonts w:ascii="Calibri" w:hAnsi="Calibri" w:cs="Calibri"/>
        </w:rPr>
        <w:t>s</w:t>
      </w:r>
      <w:r w:rsidRPr="005734B8">
        <w:rPr>
          <w:rFonts w:ascii="Calibri" w:hAnsi="Calibri" w:cs="Calibri"/>
        </w:rPr>
        <w:t xml:space="preserve"> the recommendation to the Secretary.</w:t>
      </w:r>
    </w:p>
    <w:p w14:paraId="75420819" w14:textId="77777777" w:rsidR="00211C84" w:rsidRPr="005734B8" w:rsidRDefault="00211C84" w:rsidP="00211C84">
      <w:pPr>
        <w:rPr>
          <w:rFonts w:ascii="Calibri" w:hAnsi="Calibri" w:cs="Calibri"/>
        </w:rPr>
      </w:pPr>
    </w:p>
    <w:p w14:paraId="013DADA8" w14:textId="77777777" w:rsidR="00211C84" w:rsidRPr="005734B8" w:rsidRDefault="00211C84" w:rsidP="00211C84">
      <w:pPr>
        <w:rPr>
          <w:rFonts w:ascii="Calibri" w:hAnsi="Calibri" w:cs="Calibri"/>
        </w:rPr>
      </w:pPr>
      <w:r w:rsidRPr="005734B8">
        <w:rPr>
          <w:rFonts w:ascii="Calibri" w:hAnsi="Calibri" w:cs="Calibri"/>
        </w:rPr>
        <w:t>Members of the Merit Protection and Review of Action Boards have a duty to act as individuals in an independent and objective manner in fairly hearing and determining appeals and grievances. The hearing procedures of both boards are consistent with the principles of procedural fairness.</w:t>
      </w:r>
    </w:p>
    <w:p w14:paraId="363BC233" w14:textId="77777777" w:rsidR="00211C84" w:rsidRPr="005734B8" w:rsidRDefault="00211C84" w:rsidP="00211C84">
      <w:pPr>
        <w:rPr>
          <w:rFonts w:ascii="Calibri" w:hAnsi="Calibri" w:cs="Calibri"/>
        </w:rPr>
      </w:pPr>
    </w:p>
    <w:p w14:paraId="2D95F2E6" w14:textId="42E1B6D4" w:rsidR="00211C84" w:rsidRPr="005734B8" w:rsidRDefault="00211C84" w:rsidP="00211C84">
      <w:pPr>
        <w:rPr>
          <w:rFonts w:ascii="Calibri" w:hAnsi="Calibri" w:cs="Calibri"/>
        </w:rPr>
      </w:pPr>
      <w:r w:rsidRPr="005734B8">
        <w:rPr>
          <w:rFonts w:ascii="Calibri" w:hAnsi="Calibri" w:cs="Calibri"/>
        </w:rPr>
        <w:t>Members are appointed for three years. The next appointments are scheduled for September 2022.</w:t>
      </w:r>
    </w:p>
    <w:p w14:paraId="682FAD31" w14:textId="77777777" w:rsidR="000E5B11" w:rsidRPr="005734B8" w:rsidRDefault="000E5B11" w:rsidP="00211C84">
      <w:pPr>
        <w:rPr>
          <w:rFonts w:ascii="Calibri" w:hAnsi="Calibri" w:cs="Calibri"/>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46"/>
        <w:gridCol w:w="2655"/>
        <w:gridCol w:w="2520"/>
      </w:tblGrid>
      <w:tr w:rsidR="000E5B11" w:rsidRPr="005734B8" w14:paraId="0D16B19A" w14:textId="77777777" w:rsidTr="002B6980">
        <w:trPr>
          <w:cantSplit/>
          <w:trHeight w:val="242"/>
          <w:tblHeader/>
        </w:trPr>
        <w:tc>
          <w:tcPr>
            <w:tcW w:w="7921" w:type="dxa"/>
            <w:gridSpan w:val="3"/>
            <w:tcBorders>
              <w:bottom w:val="single" w:sz="4" w:space="0" w:color="FFFFFF" w:themeColor="background1"/>
            </w:tcBorders>
            <w:shd w:val="clear" w:color="auto" w:fill="AF272F" w:themeFill="accent4"/>
          </w:tcPr>
          <w:p w14:paraId="0CB81552" w14:textId="77777777" w:rsidR="000E5B11" w:rsidRPr="005734B8" w:rsidRDefault="000E5B11" w:rsidP="002B6980">
            <w:pPr>
              <w:pStyle w:val="ESTableheadingwhite"/>
              <w:rPr>
                <w:rFonts w:ascii="Calibri" w:hAnsi="Calibri" w:cs="Calibri"/>
                <w:sz w:val="18"/>
                <w:lang w:val="en-AU"/>
              </w:rPr>
            </w:pPr>
            <w:r w:rsidRPr="005734B8">
              <w:rPr>
                <w:rFonts w:ascii="Calibri" w:hAnsi="Calibri" w:cs="Calibri"/>
                <w:sz w:val="18"/>
                <w:lang w:val="en-AU"/>
              </w:rPr>
              <w:t>Chairpersons of the Merit Protection Boards from 22 September 2019</w:t>
            </w:r>
          </w:p>
        </w:tc>
      </w:tr>
      <w:tr w:rsidR="000E5B11" w:rsidRPr="005734B8" w14:paraId="6211ED6A" w14:textId="77777777" w:rsidTr="002B6980">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3AA80702" w14:textId="77777777" w:rsidR="000E5B11" w:rsidRPr="005734B8" w:rsidRDefault="000E5B11" w:rsidP="002B6980">
            <w:pPr>
              <w:pStyle w:val="ESTablebody"/>
              <w:rPr>
                <w:rFonts w:ascii="Calibri" w:hAnsi="Calibri" w:cs="Calibri"/>
                <w:sz w:val="18"/>
              </w:rPr>
            </w:pPr>
            <w:r w:rsidRPr="005734B8">
              <w:rPr>
                <w:rFonts w:ascii="Calibri" w:hAnsi="Calibri" w:cs="Calibri"/>
                <w:sz w:val="18"/>
                <w:lang w:val="en-AU"/>
              </w:rPr>
              <w:t>Ms Alison Murphy (Senior Chairperson, full-time)</w:t>
            </w:r>
          </w:p>
        </w:tc>
        <w:tc>
          <w:tcPr>
            <w:tcW w:w="2655" w:type="dxa"/>
            <w:tcBorders>
              <w:top w:val="single" w:sz="4" w:space="0" w:color="53565A" w:themeColor="accent5"/>
              <w:bottom w:val="single" w:sz="4" w:space="0" w:color="53565A" w:themeColor="accent5"/>
            </w:tcBorders>
            <w:shd w:val="clear" w:color="auto" w:fill="auto"/>
            <w:vAlign w:val="center"/>
          </w:tcPr>
          <w:p w14:paraId="5B21BC0E" w14:textId="77777777" w:rsidR="000E5B11" w:rsidRPr="005734B8" w:rsidRDefault="000E5B11" w:rsidP="002B6980">
            <w:pPr>
              <w:pStyle w:val="ESTablebody"/>
              <w:rPr>
                <w:rFonts w:ascii="Calibri" w:hAnsi="Calibri" w:cs="Calibri"/>
                <w:sz w:val="18"/>
              </w:rPr>
            </w:pPr>
            <w:r w:rsidRPr="005734B8">
              <w:rPr>
                <w:rFonts w:ascii="Calibri" w:hAnsi="Calibri" w:cs="Calibri"/>
                <w:sz w:val="18"/>
                <w:lang w:val="en-AU"/>
              </w:rPr>
              <w:t>Ms Meagan Cook</w:t>
            </w:r>
          </w:p>
        </w:tc>
        <w:tc>
          <w:tcPr>
            <w:tcW w:w="2520" w:type="dxa"/>
            <w:tcBorders>
              <w:top w:val="single" w:sz="4" w:space="0" w:color="53565A" w:themeColor="accent5"/>
              <w:bottom w:val="single" w:sz="4" w:space="0" w:color="53565A" w:themeColor="accent5"/>
            </w:tcBorders>
            <w:vAlign w:val="center"/>
          </w:tcPr>
          <w:p w14:paraId="3838473E" w14:textId="77777777" w:rsidR="000E5B11" w:rsidRPr="005734B8" w:rsidRDefault="000E5B11" w:rsidP="002B6980">
            <w:pPr>
              <w:pStyle w:val="ESTablebody"/>
              <w:rPr>
                <w:rFonts w:ascii="Calibri" w:hAnsi="Calibri" w:cs="Calibri"/>
                <w:sz w:val="18"/>
              </w:rPr>
            </w:pPr>
            <w:r w:rsidRPr="005734B8">
              <w:rPr>
                <w:rFonts w:ascii="Calibri" w:hAnsi="Calibri" w:cs="Calibri"/>
                <w:sz w:val="18"/>
                <w:lang w:val="en-AU"/>
              </w:rPr>
              <w:t>Ms Sandra Greenhill</w:t>
            </w:r>
          </w:p>
        </w:tc>
      </w:tr>
      <w:tr w:rsidR="000E5B11" w:rsidRPr="005734B8" w14:paraId="0E114508" w14:textId="77777777" w:rsidTr="002B6980">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64CDD7D1" w14:textId="77777777" w:rsidR="000E5B11" w:rsidRPr="005734B8" w:rsidRDefault="000E5B11" w:rsidP="002B6980">
            <w:pPr>
              <w:pStyle w:val="ESTablebody"/>
              <w:rPr>
                <w:rFonts w:ascii="Calibri" w:hAnsi="Calibri" w:cs="Calibri"/>
                <w:sz w:val="18"/>
                <w:lang w:val="en-AU"/>
              </w:rPr>
            </w:pPr>
            <w:r w:rsidRPr="005734B8">
              <w:rPr>
                <w:rFonts w:ascii="Calibri" w:hAnsi="Calibri" w:cs="Calibri"/>
                <w:sz w:val="18"/>
                <w:lang w:val="en-AU"/>
              </w:rPr>
              <w:t>Ms Rowena Archer</w:t>
            </w:r>
          </w:p>
        </w:tc>
        <w:tc>
          <w:tcPr>
            <w:tcW w:w="2655" w:type="dxa"/>
            <w:tcBorders>
              <w:top w:val="single" w:sz="4" w:space="0" w:color="53565A" w:themeColor="accent5"/>
              <w:bottom w:val="single" w:sz="4" w:space="0" w:color="53565A" w:themeColor="accent5"/>
            </w:tcBorders>
            <w:shd w:val="clear" w:color="auto" w:fill="auto"/>
            <w:vAlign w:val="center"/>
          </w:tcPr>
          <w:p w14:paraId="47DD64BC" w14:textId="77777777" w:rsidR="000E5B11" w:rsidRPr="005734B8" w:rsidRDefault="000E5B11" w:rsidP="002B6980">
            <w:pPr>
              <w:pStyle w:val="ESTablebody"/>
              <w:rPr>
                <w:rFonts w:ascii="Calibri" w:hAnsi="Calibri" w:cs="Calibri"/>
                <w:sz w:val="18"/>
                <w:lang w:val="en-AU"/>
              </w:rPr>
            </w:pPr>
            <w:r w:rsidRPr="005734B8">
              <w:rPr>
                <w:rFonts w:ascii="Calibri" w:hAnsi="Calibri" w:cs="Calibri"/>
                <w:sz w:val="18"/>
                <w:lang w:val="en-AU"/>
              </w:rPr>
              <w:t>Mr Rick Gervasoni</w:t>
            </w:r>
          </w:p>
        </w:tc>
        <w:tc>
          <w:tcPr>
            <w:tcW w:w="2520" w:type="dxa"/>
            <w:tcBorders>
              <w:top w:val="single" w:sz="4" w:space="0" w:color="53565A" w:themeColor="accent5"/>
              <w:bottom w:val="single" w:sz="4" w:space="0" w:color="53565A" w:themeColor="accent5"/>
            </w:tcBorders>
            <w:vAlign w:val="center"/>
          </w:tcPr>
          <w:p w14:paraId="136E6B26" w14:textId="77777777" w:rsidR="000E5B11" w:rsidRPr="005734B8" w:rsidRDefault="000E5B11" w:rsidP="002B6980">
            <w:pPr>
              <w:pStyle w:val="ESTablebody"/>
              <w:rPr>
                <w:rFonts w:ascii="Calibri" w:hAnsi="Calibri" w:cs="Calibri"/>
                <w:sz w:val="18"/>
                <w:lang w:val="en-AU"/>
              </w:rPr>
            </w:pPr>
            <w:r w:rsidRPr="005734B8">
              <w:rPr>
                <w:rFonts w:ascii="Calibri" w:hAnsi="Calibri" w:cs="Calibri"/>
                <w:sz w:val="18"/>
                <w:lang w:val="en-AU"/>
              </w:rPr>
              <w:t>Mr Vernon Hilditch</w:t>
            </w:r>
          </w:p>
        </w:tc>
      </w:tr>
    </w:tbl>
    <w:p w14:paraId="47920E89" w14:textId="77777777" w:rsidR="000E5B11" w:rsidRPr="005734B8" w:rsidRDefault="000E5B11" w:rsidP="000E5B11">
      <w:pPr>
        <w:pStyle w:val="ESTableintroheading"/>
        <w:rPr>
          <w:rFonts w:ascii="Calibri" w:hAnsi="Calibri" w:cs="Calibri"/>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46"/>
        <w:gridCol w:w="2655"/>
        <w:gridCol w:w="2520"/>
      </w:tblGrid>
      <w:tr w:rsidR="000E5B11" w:rsidRPr="005734B8" w14:paraId="622EF308" w14:textId="77777777" w:rsidTr="002B6980">
        <w:trPr>
          <w:cantSplit/>
          <w:trHeight w:val="242"/>
          <w:tblHeader/>
        </w:trPr>
        <w:tc>
          <w:tcPr>
            <w:tcW w:w="7921" w:type="dxa"/>
            <w:gridSpan w:val="3"/>
            <w:tcBorders>
              <w:bottom w:val="single" w:sz="4" w:space="0" w:color="FFFFFF" w:themeColor="background1"/>
            </w:tcBorders>
            <w:shd w:val="clear" w:color="auto" w:fill="AF272F" w:themeFill="accent4"/>
          </w:tcPr>
          <w:p w14:paraId="49447450" w14:textId="795BB6B5" w:rsidR="000E5B11" w:rsidRPr="005734B8" w:rsidRDefault="000E5B11" w:rsidP="002B6980">
            <w:pPr>
              <w:pStyle w:val="ESTableheadingwhite"/>
              <w:rPr>
                <w:rFonts w:ascii="Calibri" w:hAnsi="Calibri" w:cs="Calibri"/>
                <w:sz w:val="18"/>
                <w:lang w:val="en-AU"/>
              </w:rPr>
            </w:pPr>
            <w:r w:rsidRPr="005734B8">
              <w:rPr>
                <w:rFonts w:ascii="Calibri" w:hAnsi="Calibri" w:cs="Calibri"/>
                <w:sz w:val="18"/>
                <w:lang w:val="en-AU"/>
              </w:rPr>
              <w:t>Secretary’s nominees to the Merit Protection Boards from 22 September 2019</w:t>
            </w:r>
          </w:p>
        </w:tc>
      </w:tr>
      <w:tr w:rsidR="000E5B11" w:rsidRPr="005734B8" w14:paraId="7009C08A" w14:textId="77777777" w:rsidTr="002B6980">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3E2E6F2B" w14:textId="77777777" w:rsidR="000E5B11" w:rsidRPr="005734B8" w:rsidRDefault="000E5B11" w:rsidP="002B6980">
            <w:pPr>
              <w:pStyle w:val="ESTablebody"/>
              <w:rPr>
                <w:rFonts w:ascii="Calibri" w:hAnsi="Calibri" w:cs="Calibri"/>
                <w:sz w:val="18"/>
              </w:rPr>
            </w:pPr>
            <w:r w:rsidRPr="005734B8">
              <w:rPr>
                <w:rFonts w:ascii="Calibri" w:hAnsi="Calibri" w:cs="Calibri"/>
                <w:sz w:val="18"/>
                <w:lang w:val="en-AU"/>
              </w:rPr>
              <w:t>Ms Rowena Archer</w:t>
            </w:r>
          </w:p>
        </w:tc>
        <w:tc>
          <w:tcPr>
            <w:tcW w:w="2655" w:type="dxa"/>
            <w:tcBorders>
              <w:top w:val="single" w:sz="4" w:space="0" w:color="53565A" w:themeColor="accent5"/>
              <w:bottom w:val="single" w:sz="4" w:space="0" w:color="53565A" w:themeColor="accent5"/>
            </w:tcBorders>
            <w:shd w:val="clear" w:color="auto" w:fill="auto"/>
            <w:vAlign w:val="center"/>
          </w:tcPr>
          <w:p w14:paraId="166BA8BA" w14:textId="77777777" w:rsidR="000E5B11" w:rsidRPr="005734B8" w:rsidRDefault="000E5B11" w:rsidP="002B6980">
            <w:pPr>
              <w:pStyle w:val="ESTablebody"/>
              <w:rPr>
                <w:rFonts w:ascii="Calibri" w:hAnsi="Calibri" w:cs="Calibri"/>
                <w:sz w:val="18"/>
              </w:rPr>
            </w:pPr>
            <w:r w:rsidRPr="005734B8">
              <w:rPr>
                <w:rFonts w:ascii="Calibri" w:hAnsi="Calibri" w:cs="Calibri"/>
                <w:sz w:val="18"/>
              </w:rPr>
              <w:t>Mr Graham Friedman</w:t>
            </w:r>
          </w:p>
        </w:tc>
        <w:tc>
          <w:tcPr>
            <w:tcW w:w="2520" w:type="dxa"/>
            <w:tcBorders>
              <w:top w:val="single" w:sz="4" w:space="0" w:color="53565A" w:themeColor="accent5"/>
              <w:bottom w:val="single" w:sz="4" w:space="0" w:color="53565A" w:themeColor="accent5"/>
            </w:tcBorders>
            <w:vAlign w:val="center"/>
          </w:tcPr>
          <w:p w14:paraId="3B34B4D2" w14:textId="77777777" w:rsidR="000E5B11" w:rsidRPr="005734B8" w:rsidRDefault="000E5B11" w:rsidP="002B6980">
            <w:pPr>
              <w:pStyle w:val="ESTablebody"/>
              <w:rPr>
                <w:rFonts w:ascii="Calibri" w:hAnsi="Calibri" w:cs="Calibri"/>
                <w:sz w:val="18"/>
              </w:rPr>
            </w:pPr>
            <w:r w:rsidRPr="005734B8">
              <w:rPr>
                <w:rFonts w:ascii="Calibri" w:hAnsi="Calibri" w:cs="Calibri"/>
                <w:sz w:val="18"/>
              </w:rPr>
              <w:t>Mr George Porter</w:t>
            </w:r>
          </w:p>
        </w:tc>
      </w:tr>
      <w:tr w:rsidR="000E5B11" w:rsidRPr="005734B8" w14:paraId="74C4A0D1" w14:textId="77777777" w:rsidTr="002B6980">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412C6FAF" w14:textId="77777777" w:rsidR="000E5B11" w:rsidRPr="005734B8" w:rsidRDefault="000E5B11" w:rsidP="002B6980">
            <w:pPr>
              <w:pStyle w:val="ESTablebody"/>
              <w:rPr>
                <w:rFonts w:ascii="Calibri" w:hAnsi="Calibri" w:cs="Calibri"/>
                <w:sz w:val="18"/>
              </w:rPr>
            </w:pPr>
            <w:r w:rsidRPr="005734B8">
              <w:rPr>
                <w:rFonts w:ascii="Calibri" w:hAnsi="Calibri" w:cs="Calibri"/>
                <w:sz w:val="18"/>
                <w:lang w:val="en-AU"/>
              </w:rPr>
              <w:t>Ms Clare Berger</w:t>
            </w:r>
          </w:p>
        </w:tc>
        <w:tc>
          <w:tcPr>
            <w:tcW w:w="2655" w:type="dxa"/>
            <w:tcBorders>
              <w:top w:val="single" w:sz="4" w:space="0" w:color="53565A" w:themeColor="accent5"/>
              <w:bottom w:val="single" w:sz="4" w:space="0" w:color="53565A" w:themeColor="accent5"/>
            </w:tcBorders>
            <w:shd w:val="clear" w:color="auto" w:fill="auto"/>
            <w:vAlign w:val="center"/>
          </w:tcPr>
          <w:p w14:paraId="60C568A9" w14:textId="77777777" w:rsidR="000E5B11" w:rsidRPr="005734B8" w:rsidRDefault="000E5B11" w:rsidP="002B6980">
            <w:pPr>
              <w:pStyle w:val="ESTablebody"/>
              <w:rPr>
                <w:rFonts w:ascii="Calibri" w:hAnsi="Calibri" w:cs="Calibri"/>
                <w:sz w:val="18"/>
              </w:rPr>
            </w:pPr>
            <w:r w:rsidRPr="005734B8">
              <w:rPr>
                <w:rFonts w:ascii="Calibri" w:hAnsi="Calibri" w:cs="Calibri"/>
                <w:sz w:val="18"/>
              </w:rPr>
              <w:t>Ms Sandra Greenhill</w:t>
            </w:r>
          </w:p>
        </w:tc>
        <w:tc>
          <w:tcPr>
            <w:tcW w:w="2520" w:type="dxa"/>
            <w:tcBorders>
              <w:top w:val="single" w:sz="4" w:space="0" w:color="53565A" w:themeColor="accent5"/>
              <w:bottom w:val="single" w:sz="4" w:space="0" w:color="53565A" w:themeColor="accent5"/>
            </w:tcBorders>
            <w:vAlign w:val="center"/>
          </w:tcPr>
          <w:p w14:paraId="104CFE4E" w14:textId="77777777" w:rsidR="000E5B11" w:rsidRPr="005734B8" w:rsidRDefault="000E5B11" w:rsidP="002B6980">
            <w:pPr>
              <w:pStyle w:val="ESTablebody"/>
              <w:rPr>
                <w:rFonts w:ascii="Calibri" w:hAnsi="Calibri" w:cs="Calibri"/>
                <w:sz w:val="18"/>
              </w:rPr>
            </w:pPr>
            <w:r w:rsidRPr="005734B8">
              <w:rPr>
                <w:rFonts w:ascii="Calibri" w:hAnsi="Calibri" w:cs="Calibri"/>
                <w:sz w:val="18"/>
              </w:rPr>
              <w:t>Ms Paula Robinson</w:t>
            </w:r>
          </w:p>
        </w:tc>
      </w:tr>
      <w:tr w:rsidR="000E5B11" w:rsidRPr="005734B8" w14:paraId="785D8102" w14:textId="77777777" w:rsidTr="002B6980">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365A71C1" w14:textId="77777777" w:rsidR="000E5B11" w:rsidRPr="005734B8" w:rsidRDefault="000E5B11" w:rsidP="002B6980">
            <w:pPr>
              <w:pStyle w:val="ESTablebody"/>
              <w:rPr>
                <w:rFonts w:ascii="Calibri" w:hAnsi="Calibri" w:cs="Calibri"/>
                <w:sz w:val="18"/>
              </w:rPr>
            </w:pPr>
            <w:r w:rsidRPr="005734B8">
              <w:rPr>
                <w:rFonts w:ascii="Calibri" w:hAnsi="Calibri" w:cs="Calibri"/>
                <w:sz w:val="18"/>
              </w:rPr>
              <w:t>Dr Mary Cannon</w:t>
            </w:r>
          </w:p>
        </w:tc>
        <w:tc>
          <w:tcPr>
            <w:tcW w:w="2655" w:type="dxa"/>
            <w:tcBorders>
              <w:top w:val="single" w:sz="4" w:space="0" w:color="53565A" w:themeColor="accent5"/>
              <w:bottom w:val="single" w:sz="4" w:space="0" w:color="53565A" w:themeColor="accent5"/>
            </w:tcBorders>
            <w:shd w:val="clear" w:color="auto" w:fill="auto"/>
            <w:vAlign w:val="center"/>
          </w:tcPr>
          <w:p w14:paraId="46CACE75" w14:textId="77777777" w:rsidR="000E5B11" w:rsidRPr="005734B8" w:rsidRDefault="000E5B11" w:rsidP="002B6980">
            <w:pPr>
              <w:pStyle w:val="ESTablebody"/>
              <w:rPr>
                <w:rFonts w:ascii="Calibri" w:hAnsi="Calibri" w:cs="Calibri"/>
                <w:sz w:val="18"/>
              </w:rPr>
            </w:pPr>
            <w:r w:rsidRPr="005734B8">
              <w:rPr>
                <w:rFonts w:ascii="Calibri" w:hAnsi="Calibri" w:cs="Calibri"/>
                <w:sz w:val="18"/>
              </w:rPr>
              <w:t>Mr Andrew Harnett</w:t>
            </w:r>
          </w:p>
        </w:tc>
        <w:tc>
          <w:tcPr>
            <w:tcW w:w="2520" w:type="dxa"/>
            <w:tcBorders>
              <w:top w:val="single" w:sz="4" w:space="0" w:color="53565A" w:themeColor="accent5"/>
              <w:bottom w:val="single" w:sz="4" w:space="0" w:color="53565A" w:themeColor="accent5"/>
            </w:tcBorders>
            <w:vAlign w:val="center"/>
          </w:tcPr>
          <w:p w14:paraId="6D5F3412" w14:textId="77777777" w:rsidR="000E5B11" w:rsidRPr="005734B8" w:rsidRDefault="000E5B11" w:rsidP="002B6980">
            <w:pPr>
              <w:pStyle w:val="ESTablebody"/>
              <w:rPr>
                <w:rFonts w:ascii="Calibri" w:hAnsi="Calibri" w:cs="Calibri"/>
                <w:sz w:val="18"/>
              </w:rPr>
            </w:pPr>
            <w:r w:rsidRPr="005734B8">
              <w:rPr>
                <w:rFonts w:ascii="Calibri" w:hAnsi="Calibri" w:cs="Calibri"/>
                <w:sz w:val="18"/>
              </w:rPr>
              <w:t>Ms Glenda Splatt</w:t>
            </w:r>
          </w:p>
        </w:tc>
      </w:tr>
      <w:tr w:rsidR="000E5B11" w:rsidRPr="005734B8" w14:paraId="028192E7" w14:textId="77777777" w:rsidTr="002B6980">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362B2E47" w14:textId="77777777" w:rsidR="000E5B11" w:rsidRPr="005734B8" w:rsidRDefault="000E5B11" w:rsidP="002B6980">
            <w:pPr>
              <w:pStyle w:val="ESTablebody"/>
              <w:rPr>
                <w:rFonts w:ascii="Calibri" w:hAnsi="Calibri" w:cs="Calibri"/>
                <w:sz w:val="18"/>
              </w:rPr>
            </w:pPr>
            <w:r w:rsidRPr="005734B8">
              <w:rPr>
                <w:rFonts w:ascii="Calibri" w:hAnsi="Calibri" w:cs="Calibri"/>
                <w:sz w:val="18"/>
              </w:rPr>
              <w:t>Mr Christopher Chant</w:t>
            </w:r>
          </w:p>
        </w:tc>
        <w:tc>
          <w:tcPr>
            <w:tcW w:w="2655" w:type="dxa"/>
            <w:tcBorders>
              <w:top w:val="single" w:sz="4" w:space="0" w:color="53565A" w:themeColor="accent5"/>
              <w:bottom w:val="single" w:sz="4" w:space="0" w:color="53565A" w:themeColor="accent5"/>
            </w:tcBorders>
            <w:shd w:val="clear" w:color="auto" w:fill="auto"/>
            <w:vAlign w:val="center"/>
          </w:tcPr>
          <w:p w14:paraId="319B19B5" w14:textId="77777777" w:rsidR="000E5B11" w:rsidRPr="005734B8" w:rsidRDefault="000E5B11" w:rsidP="002B6980">
            <w:pPr>
              <w:pStyle w:val="ESTablebody"/>
              <w:rPr>
                <w:rFonts w:ascii="Calibri" w:hAnsi="Calibri" w:cs="Calibri"/>
                <w:sz w:val="18"/>
              </w:rPr>
            </w:pPr>
            <w:r w:rsidRPr="005734B8">
              <w:rPr>
                <w:rFonts w:ascii="Calibri" w:hAnsi="Calibri" w:cs="Calibri"/>
                <w:sz w:val="18"/>
              </w:rPr>
              <w:t>Mr Peter Hibbins</w:t>
            </w:r>
          </w:p>
        </w:tc>
        <w:tc>
          <w:tcPr>
            <w:tcW w:w="2520" w:type="dxa"/>
            <w:tcBorders>
              <w:top w:val="single" w:sz="4" w:space="0" w:color="53565A" w:themeColor="accent5"/>
              <w:bottom w:val="single" w:sz="4" w:space="0" w:color="53565A" w:themeColor="accent5"/>
            </w:tcBorders>
            <w:vAlign w:val="center"/>
          </w:tcPr>
          <w:p w14:paraId="26360C46" w14:textId="77777777" w:rsidR="000E5B11" w:rsidRPr="005734B8" w:rsidRDefault="000E5B11" w:rsidP="002B6980">
            <w:pPr>
              <w:pStyle w:val="ESTablebody"/>
              <w:rPr>
                <w:rFonts w:ascii="Calibri" w:hAnsi="Calibri" w:cs="Calibri"/>
                <w:sz w:val="18"/>
              </w:rPr>
            </w:pPr>
            <w:r w:rsidRPr="005734B8">
              <w:rPr>
                <w:rFonts w:ascii="Calibri" w:hAnsi="Calibri" w:cs="Calibri"/>
                <w:sz w:val="18"/>
              </w:rPr>
              <w:t>Mr Timothy Wall</w:t>
            </w:r>
          </w:p>
        </w:tc>
      </w:tr>
      <w:tr w:rsidR="000E5B11" w:rsidRPr="005734B8" w14:paraId="327F75EC" w14:textId="77777777" w:rsidTr="002B6980">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3FED679B" w14:textId="77777777" w:rsidR="000E5B11" w:rsidRPr="005734B8" w:rsidRDefault="000E5B11" w:rsidP="002B6980">
            <w:pPr>
              <w:pStyle w:val="ESTablebody"/>
              <w:rPr>
                <w:rFonts w:ascii="Calibri" w:hAnsi="Calibri" w:cs="Calibri"/>
                <w:sz w:val="18"/>
              </w:rPr>
            </w:pPr>
            <w:r w:rsidRPr="005734B8">
              <w:rPr>
                <w:rFonts w:ascii="Calibri" w:hAnsi="Calibri" w:cs="Calibri"/>
                <w:sz w:val="18"/>
              </w:rPr>
              <w:t>Mr Jason Coningsby</w:t>
            </w:r>
          </w:p>
        </w:tc>
        <w:tc>
          <w:tcPr>
            <w:tcW w:w="2655" w:type="dxa"/>
            <w:tcBorders>
              <w:top w:val="single" w:sz="4" w:space="0" w:color="53565A" w:themeColor="accent5"/>
              <w:bottom w:val="single" w:sz="4" w:space="0" w:color="53565A" w:themeColor="accent5"/>
            </w:tcBorders>
            <w:shd w:val="clear" w:color="auto" w:fill="auto"/>
            <w:vAlign w:val="center"/>
          </w:tcPr>
          <w:p w14:paraId="11AC8E4A" w14:textId="77777777" w:rsidR="000E5B11" w:rsidRPr="005734B8" w:rsidRDefault="000E5B11" w:rsidP="002B6980">
            <w:pPr>
              <w:pStyle w:val="ESTablebody"/>
              <w:rPr>
                <w:rFonts w:ascii="Calibri" w:hAnsi="Calibri" w:cs="Calibri"/>
                <w:sz w:val="18"/>
              </w:rPr>
            </w:pPr>
            <w:r w:rsidRPr="005734B8">
              <w:rPr>
                <w:rFonts w:ascii="Calibri" w:hAnsi="Calibri" w:cs="Calibri"/>
                <w:sz w:val="18"/>
              </w:rPr>
              <w:t>Ms Sally Lasslett</w:t>
            </w:r>
          </w:p>
        </w:tc>
        <w:tc>
          <w:tcPr>
            <w:tcW w:w="2520" w:type="dxa"/>
            <w:tcBorders>
              <w:top w:val="single" w:sz="4" w:space="0" w:color="53565A" w:themeColor="accent5"/>
              <w:bottom w:val="single" w:sz="4" w:space="0" w:color="53565A" w:themeColor="accent5"/>
            </w:tcBorders>
            <w:vAlign w:val="center"/>
          </w:tcPr>
          <w:p w14:paraId="23DB635C" w14:textId="77777777" w:rsidR="000E5B11" w:rsidRPr="005734B8" w:rsidRDefault="000E5B11" w:rsidP="002B6980">
            <w:pPr>
              <w:pStyle w:val="ESTablebody"/>
              <w:rPr>
                <w:rFonts w:ascii="Calibri" w:hAnsi="Calibri" w:cs="Calibri"/>
                <w:sz w:val="18"/>
              </w:rPr>
            </w:pPr>
            <w:r w:rsidRPr="005734B8">
              <w:rPr>
                <w:rFonts w:ascii="Calibri" w:hAnsi="Calibri" w:cs="Calibri"/>
                <w:sz w:val="18"/>
              </w:rPr>
              <w:t>Ms Jane Warren</w:t>
            </w:r>
          </w:p>
        </w:tc>
      </w:tr>
      <w:tr w:rsidR="000E5B11" w:rsidRPr="005734B8" w14:paraId="54BA2E6F" w14:textId="77777777" w:rsidTr="002B6980">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5EDBACBC" w14:textId="77777777" w:rsidR="000E5B11" w:rsidRPr="005734B8" w:rsidRDefault="000E5B11" w:rsidP="002B6980">
            <w:pPr>
              <w:pStyle w:val="ESTablebody"/>
              <w:rPr>
                <w:rFonts w:ascii="Calibri" w:hAnsi="Calibri" w:cs="Calibri"/>
                <w:sz w:val="18"/>
              </w:rPr>
            </w:pPr>
            <w:r w:rsidRPr="005734B8">
              <w:rPr>
                <w:rFonts w:ascii="Calibri" w:hAnsi="Calibri" w:cs="Calibri"/>
                <w:sz w:val="18"/>
              </w:rPr>
              <w:t>Ms Meagan Cook</w:t>
            </w:r>
          </w:p>
        </w:tc>
        <w:tc>
          <w:tcPr>
            <w:tcW w:w="2655" w:type="dxa"/>
            <w:tcBorders>
              <w:top w:val="single" w:sz="4" w:space="0" w:color="53565A" w:themeColor="accent5"/>
              <w:bottom w:val="single" w:sz="4" w:space="0" w:color="53565A" w:themeColor="accent5"/>
            </w:tcBorders>
            <w:shd w:val="clear" w:color="auto" w:fill="auto"/>
            <w:vAlign w:val="center"/>
          </w:tcPr>
          <w:p w14:paraId="2C7E8582" w14:textId="77777777" w:rsidR="000E5B11" w:rsidRPr="005734B8" w:rsidRDefault="000E5B11" w:rsidP="002B6980">
            <w:pPr>
              <w:pStyle w:val="ESTablebody"/>
              <w:rPr>
                <w:rFonts w:ascii="Calibri" w:hAnsi="Calibri" w:cs="Calibri"/>
                <w:sz w:val="18"/>
              </w:rPr>
            </w:pPr>
            <w:r w:rsidRPr="005734B8">
              <w:rPr>
                <w:rFonts w:ascii="Calibri" w:hAnsi="Calibri" w:cs="Calibri"/>
                <w:sz w:val="18"/>
              </w:rPr>
              <w:t>Ms Julia McKean</w:t>
            </w:r>
          </w:p>
        </w:tc>
        <w:tc>
          <w:tcPr>
            <w:tcW w:w="2520" w:type="dxa"/>
            <w:tcBorders>
              <w:top w:val="single" w:sz="4" w:space="0" w:color="53565A" w:themeColor="accent5"/>
              <w:bottom w:val="single" w:sz="4" w:space="0" w:color="53565A" w:themeColor="accent5"/>
            </w:tcBorders>
            <w:vAlign w:val="center"/>
          </w:tcPr>
          <w:p w14:paraId="0CD4A492" w14:textId="77777777" w:rsidR="000E5B11" w:rsidRPr="005734B8" w:rsidRDefault="000E5B11" w:rsidP="002B6980">
            <w:pPr>
              <w:pStyle w:val="ESTablebody"/>
              <w:rPr>
                <w:rFonts w:ascii="Calibri" w:hAnsi="Calibri" w:cs="Calibri"/>
                <w:sz w:val="18"/>
              </w:rPr>
            </w:pPr>
            <w:r w:rsidRPr="005734B8">
              <w:rPr>
                <w:rFonts w:ascii="Calibri" w:hAnsi="Calibri" w:cs="Calibri"/>
                <w:sz w:val="18"/>
              </w:rPr>
              <w:t>Mr Brendan White</w:t>
            </w:r>
          </w:p>
        </w:tc>
      </w:tr>
      <w:tr w:rsidR="000E5B11" w:rsidRPr="005734B8" w14:paraId="70BEF49D" w14:textId="77777777" w:rsidTr="002B6980">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0594376A" w14:textId="77777777" w:rsidR="000E5B11" w:rsidRPr="005734B8" w:rsidRDefault="000E5B11" w:rsidP="002B6980">
            <w:pPr>
              <w:pStyle w:val="ESTablebody"/>
              <w:rPr>
                <w:rFonts w:ascii="Calibri" w:hAnsi="Calibri" w:cs="Calibri"/>
                <w:sz w:val="18"/>
              </w:rPr>
            </w:pPr>
            <w:r w:rsidRPr="005734B8">
              <w:rPr>
                <w:rFonts w:ascii="Calibri" w:hAnsi="Calibri" w:cs="Calibri"/>
                <w:sz w:val="18"/>
              </w:rPr>
              <w:t>Dr David Finnerty</w:t>
            </w:r>
          </w:p>
        </w:tc>
        <w:tc>
          <w:tcPr>
            <w:tcW w:w="2655" w:type="dxa"/>
            <w:tcBorders>
              <w:top w:val="single" w:sz="4" w:space="0" w:color="53565A" w:themeColor="accent5"/>
              <w:bottom w:val="single" w:sz="4" w:space="0" w:color="53565A" w:themeColor="accent5"/>
            </w:tcBorders>
            <w:shd w:val="clear" w:color="auto" w:fill="auto"/>
            <w:vAlign w:val="center"/>
          </w:tcPr>
          <w:p w14:paraId="221E7DE1" w14:textId="77777777" w:rsidR="000E5B11" w:rsidRPr="005734B8" w:rsidRDefault="000E5B11" w:rsidP="002B6980">
            <w:pPr>
              <w:pStyle w:val="ESTablebody"/>
              <w:rPr>
                <w:rFonts w:ascii="Calibri" w:hAnsi="Calibri" w:cs="Calibri"/>
                <w:sz w:val="18"/>
              </w:rPr>
            </w:pPr>
            <w:r w:rsidRPr="005734B8">
              <w:rPr>
                <w:rFonts w:ascii="Calibri" w:hAnsi="Calibri" w:cs="Calibri"/>
                <w:sz w:val="18"/>
              </w:rPr>
              <w:t>Ms Gillian Oscar</w:t>
            </w:r>
          </w:p>
        </w:tc>
        <w:tc>
          <w:tcPr>
            <w:tcW w:w="2520" w:type="dxa"/>
            <w:tcBorders>
              <w:top w:val="single" w:sz="4" w:space="0" w:color="53565A" w:themeColor="accent5"/>
              <w:bottom w:val="single" w:sz="4" w:space="0" w:color="53565A" w:themeColor="accent5"/>
            </w:tcBorders>
            <w:vAlign w:val="center"/>
          </w:tcPr>
          <w:p w14:paraId="06CFE633" w14:textId="77777777" w:rsidR="000E5B11" w:rsidRPr="005734B8" w:rsidRDefault="000E5B11" w:rsidP="002B6980">
            <w:pPr>
              <w:pStyle w:val="ESTablebody"/>
              <w:rPr>
                <w:rFonts w:ascii="Calibri" w:hAnsi="Calibri" w:cs="Calibri"/>
                <w:sz w:val="18"/>
              </w:rPr>
            </w:pPr>
          </w:p>
        </w:tc>
      </w:tr>
    </w:tbl>
    <w:p w14:paraId="68BB0CD0" w14:textId="77777777" w:rsidR="000E5B11" w:rsidRPr="005734B8" w:rsidRDefault="000E5B11" w:rsidP="000E5B11">
      <w:pPr>
        <w:pStyle w:val="ESTableintroheading"/>
        <w:rPr>
          <w:rFonts w:ascii="Calibri" w:hAnsi="Calibri" w:cs="Calibri"/>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46"/>
        <w:gridCol w:w="2655"/>
        <w:gridCol w:w="2520"/>
      </w:tblGrid>
      <w:tr w:rsidR="000E5B11" w:rsidRPr="005734B8" w14:paraId="4F8F7907" w14:textId="77777777" w:rsidTr="002B6980">
        <w:trPr>
          <w:cantSplit/>
          <w:trHeight w:val="242"/>
          <w:tblHeader/>
        </w:trPr>
        <w:tc>
          <w:tcPr>
            <w:tcW w:w="7921" w:type="dxa"/>
            <w:gridSpan w:val="3"/>
            <w:tcBorders>
              <w:bottom w:val="single" w:sz="4" w:space="0" w:color="FFFFFF" w:themeColor="background1"/>
            </w:tcBorders>
            <w:shd w:val="clear" w:color="auto" w:fill="AF272F" w:themeFill="accent4"/>
          </w:tcPr>
          <w:p w14:paraId="6AE78969" w14:textId="77777777" w:rsidR="000E5B11" w:rsidRPr="005734B8" w:rsidRDefault="000E5B11" w:rsidP="002B6980">
            <w:pPr>
              <w:pStyle w:val="ESTableheadingwhite"/>
              <w:rPr>
                <w:rFonts w:ascii="Calibri" w:hAnsi="Calibri" w:cs="Calibri"/>
                <w:sz w:val="18"/>
                <w:lang w:val="en-AU"/>
              </w:rPr>
            </w:pPr>
            <w:r w:rsidRPr="005734B8">
              <w:rPr>
                <w:rFonts w:ascii="Calibri" w:hAnsi="Calibri" w:cs="Calibri"/>
                <w:sz w:val="18"/>
                <w:lang w:val="en-AU"/>
              </w:rPr>
              <w:t>Minister’s nominees to the Merit Protection Boards from 22 September 2019</w:t>
            </w:r>
          </w:p>
        </w:tc>
      </w:tr>
      <w:tr w:rsidR="000E5B11" w:rsidRPr="005734B8" w14:paraId="216A5567" w14:textId="77777777" w:rsidTr="002B6980">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4E22F35C" w14:textId="77777777" w:rsidR="000E5B11" w:rsidRPr="005734B8" w:rsidRDefault="000E5B11" w:rsidP="002B6980">
            <w:pPr>
              <w:pStyle w:val="ESTablebody"/>
              <w:rPr>
                <w:rFonts w:ascii="Calibri" w:hAnsi="Calibri" w:cs="Calibri"/>
                <w:sz w:val="18"/>
              </w:rPr>
            </w:pPr>
            <w:r w:rsidRPr="005734B8">
              <w:rPr>
                <w:rFonts w:ascii="Calibri" w:hAnsi="Calibri" w:cs="Calibri"/>
                <w:sz w:val="18"/>
                <w:lang w:val="en-AU"/>
              </w:rPr>
              <w:t>Mr Steven Adams</w:t>
            </w:r>
          </w:p>
        </w:tc>
        <w:tc>
          <w:tcPr>
            <w:tcW w:w="2655" w:type="dxa"/>
            <w:tcBorders>
              <w:top w:val="single" w:sz="4" w:space="0" w:color="53565A" w:themeColor="accent5"/>
              <w:bottom w:val="single" w:sz="4" w:space="0" w:color="53565A" w:themeColor="accent5"/>
            </w:tcBorders>
            <w:shd w:val="clear" w:color="auto" w:fill="auto"/>
            <w:vAlign w:val="center"/>
          </w:tcPr>
          <w:p w14:paraId="2DDEE6E4" w14:textId="77777777" w:rsidR="000E5B11" w:rsidRPr="005734B8" w:rsidRDefault="000E5B11" w:rsidP="002B6980">
            <w:pPr>
              <w:pStyle w:val="ESTablebody"/>
              <w:rPr>
                <w:rFonts w:ascii="Calibri" w:hAnsi="Calibri" w:cs="Calibri"/>
                <w:sz w:val="18"/>
              </w:rPr>
            </w:pPr>
            <w:r w:rsidRPr="005734B8">
              <w:rPr>
                <w:rFonts w:ascii="Calibri" w:hAnsi="Calibri" w:cs="Calibri"/>
                <w:sz w:val="18"/>
                <w:lang w:val="en-AU"/>
              </w:rPr>
              <w:t>Ms Rebekah Fewkes</w:t>
            </w:r>
          </w:p>
        </w:tc>
        <w:tc>
          <w:tcPr>
            <w:tcW w:w="2520" w:type="dxa"/>
            <w:tcBorders>
              <w:top w:val="single" w:sz="4" w:space="0" w:color="53565A" w:themeColor="accent5"/>
              <w:bottom w:val="single" w:sz="4" w:space="0" w:color="53565A" w:themeColor="accent5"/>
            </w:tcBorders>
            <w:vAlign w:val="center"/>
          </w:tcPr>
          <w:p w14:paraId="5B4C83D4" w14:textId="77777777" w:rsidR="000E5B11" w:rsidRPr="005734B8" w:rsidRDefault="000E5B11" w:rsidP="002B6980">
            <w:pPr>
              <w:pStyle w:val="ESTablebody"/>
              <w:rPr>
                <w:rFonts w:ascii="Calibri" w:hAnsi="Calibri" w:cs="Calibri"/>
                <w:sz w:val="18"/>
              </w:rPr>
            </w:pPr>
            <w:r w:rsidRPr="005734B8">
              <w:rPr>
                <w:rFonts w:ascii="Calibri" w:hAnsi="Calibri" w:cs="Calibri"/>
                <w:sz w:val="18"/>
                <w:lang w:val="en-AU"/>
              </w:rPr>
              <w:t>Mr Matthew McKittrick</w:t>
            </w:r>
          </w:p>
        </w:tc>
      </w:tr>
      <w:tr w:rsidR="000E5B11" w:rsidRPr="005734B8" w14:paraId="3B1791D7" w14:textId="77777777" w:rsidTr="002B6980">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075B0DCA" w14:textId="77777777" w:rsidR="000E5B11" w:rsidRPr="005734B8" w:rsidRDefault="000E5B11" w:rsidP="002B6980">
            <w:pPr>
              <w:pStyle w:val="ESTablebody"/>
              <w:rPr>
                <w:rFonts w:ascii="Calibri" w:hAnsi="Calibri" w:cs="Calibri"/>
                <w:sz w:val="18"/>
              </w:rPr>
            </w:pPr>
            <w:r w:rsidRPr="005734B8">
              <w:rPr>
                <w:rFonts w:ascii="Calibri" w:hAnsi="Calibri" w:cs="Calibri"/>
                <w:sz w:val="18"/>
              </w:rPr>
              <w:t>Ms Tanya Burton</w:t>
            </w:r>
          </w:p>
        </w:tc>
        <w:tc>
          <w:tcPr>
            <w:tcW w:w="2655" w:type="dxa"/>
            <w:tcBorders>
              <w:top w:val="single" w:sz="4" w:space="0" w:color="53565A" w:themeColor="accent5"/>
              <w:bottom w:val="single" w:sz="4" w:space="0" w:color="53565A" w:themeColor="accent5"/>
            </w:tcBorders>
            <w:shd w:val="clear" w:color="auto" w:fill="auto"/>
            <w:vAlign w:val="center"/>
          </w:tcPr>
          <w:p w14:paraId="4B2CA8CB" w14:textId="77777777" w:rsidR="000E5B11" w:rsidRPr="005734B8" w:rsidRDefault="000E5B11" w:rsidP="002B6980">
            <w:pPr>
              <w:pStyle w:val="ESTablebody"/>
              <w:rPr>
                <w:rFonts w:ascii="Calibri" w:hAnsi="Calibri" w:cs="Calibri"/>
                <w:sz w:val="18"/>
              </w:rPr>
            </w:pPr>
            <w:r w:rsidRPr="005734B8">
              <w:rPr>
                <w:rFonts w:ascii="Calibri" w:hAnsi="Calibri" w:cs="Calibri"/>
                <w:sz w:val="18"/>
                <w:lang w:val="en-AU"/>
              </w:rPr>
              <w:t>Ms Moira Findlay</w:t>
            </w:r>
          </w:p>
        </w:tc>
        <w:tc>
          <w:tcPr>
            <w:tcW w:w="2520" w:type="dxa"/>
            <w:tcBorders>
              <w:top w:val="single" w:sz="4" w:space="0" w:color="53565A" w:themeColor="accent5"/>
              <w:bottom w:val="single" w:sz="4" w:space="0" w:color="53565A" w:themeColor="accent5"/>
            </w:tcBorders>
            <w:vAlign w:val="center"/>
          </w:tcPr>
          <w:p w14:paraId="0B54463F" w14:textId="77777777" w:rsidR="000E5B11" w:rsidRPr="005734B8" w:rsidRDefault="000E5B11" w:rsidP="002B6980">
            <w:pPr>
              <w:pStyle w:val="ESTablebody"/>
              <w:rPr>
                <w:rFonts w:ascii="Calibri" w:hAnsi="Calibri" w:cs="Calibri"/>
                <w:sz w:val="18"/>
              </w:rPr>
            </w:pPr>
            <w:r w:rsidRPr="005734B8">
              <w:rPr>
                <w:rFonts w:ascii="Calibri" w:hAnsi="Calibri" w:cs="Calibri"/>
                <w:sz w:val="18"/>
                <w:lang w:val="en-AU"/>
              </w:rPr>
              <w:t>Ms Natalie Harvey-Nelson</w:t>
            </w:r>
          </w:p>
        </w:tc>
      </w:tr>
      <w:tr w:rsidR="000E5B11" w:rsidRPr="005734B8" w14:paraId="5E30540A" w14:textId="77777777" w:rsidTr="002B6980">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1242AC5E" w14:textId="77777777" w:rsidR="000E5B11" w:rsidRPr="005734B8" w:rsidRDefault="000E5B11" w:rsidP="002B6980">
            <w:pPr>
              <w:pStyle w:val="ESTablebody"/>
              <w:rPr>
                <w:rFonts w:ascii="Calibri" w:hAnsi="Calibri" w:cs="Calibri"/>
                <w:sz w:val="18"/>
              </w:rPr>
            </w:pPr>
            <w:r w:rsidRPr="005734B8">
              <w:rPr>
                <w:rFonts w:ascii="Calibri" w:hAnsi="Calibri" w:cs="Calibri"/>
                <w:sz w:val="18"/>
              </w:rPr>
              <w:t>Ms Rachel Carlyon</w:t>
            </w:r>
          </w:p>
        </w:tc>
        <w:tc>
          <w:tcPr>
            <w:tcW w:w="2655" w:type="dxa"/>
            <w:tcBorders>
              <w:top w:val="single" w:sz="4" w:space="0" w:color="53565A" w:themeColor="accent5"/>
              <w:bottom w:val="single" w:sz="4" w:space="0" w:color="53565A" w:themeColor="accent5"/>
            </w:tcBorders>
            <w:shd w:val="clear" w:color="auto" w:fill="auto"/>
            <w:vAlign w:val="center"/>
          </w:tcPr>
          <w:p w14:paraId="22DB3BA9" w14:textId="77777777" w:rsidR="000E5B11" w:rsidRPr="005734B8" w:rsidRDefault="000E5B11" w:rsidP="002B6980">
            <w:pPr>
              <w:pStyle w:val="ESTablebody"/>
              <w:rPr>
                <w:rFonts w:ascii="Calibri" w:hAnsi="Calibri" w:cs="Calibri"/>
                <w:sz w:val="18"/>
              </w:rPr>
            </w:pPr>
            <w:r w:rsidRPr="005734B8">
              <w:rPr>
                <w:rFonts w:ascii="Calibri" w:hAnsi="Calibri" w:cs="Calibri"/>
                <w:sz w:val="18"/>
                <w:lang w:val="en-AU"/>
              </w:rPr>
              <w:t>Mr Rick Gervasoni</w:t>
            </w:r>
          </w:p>
        </w:tc>
        <w:tc>
          <w:tcPr>
            <w:tcW w:w="2520" w:type="dxa"/>
            <w:tcBorders>
              <w:top w:val="single" w:sz="4" w:space="0" w:color="53565A" w:themeColor="accent5"/>
              <w:bottom w:val="single" w:sz="4" w:space="0" w:color="53565A" w:themeColor="accent5"/>
            </w:tcBorders>
            <w:vAlign w:val="center"/>
          </w:tcPr>
          <w:p w14:paraId="4F8C8DFF" w14:textId="77777777" w:rsidR="000E5B11" w:rsidRPr="005734B8" w:rsidRDefault="000E5B11" w:rsidP="002B6980">
            <w:pPr>
              <w:pStyle w:val="ESTablebody"/>
              <w:rPr>
                <w:rFonts w:ascii="Calibri" w:hAnsi="Calibri" w:cs="Calibri"/>
                <w:sz w:val="18"/>
              </w:rPr>
            </w:pPr>
            <w:r w:rsidRPr="005734B8">
              <w:rPr>
                <w:rFonts w:ascii="Calibri" w:hAnsi="Calibri" w:cs="Calibri"/>
                <w:sz w:val="18"/>
                <w:lang w:val="en-AU"/>
              </w:rPr>
              <w:t>Ms Leanne Preece</w:t>
            </w:r>
          </w:p>
        </w:tc>
      </w:tr>
      <w:tr w:rsidR="000E5B11" w:rsidRPr="005734B8" w14:paraId="762CC011" w14:textId="77777777" w:rsidTr="002B6980">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7F14ECC1" w14:textId="77777777" w:rsidR="000E5B11" w:rsidRPr="005734B8" w:rsidRDefault="000E5B11" w:rsidP="002B6980">
            <w:pPr>
              <w:pStyle w:val="ESTablebody"/>
              <w:rPr>
                <w:rFonts w:ascii="Calibri" w:hAnsi="Calibri" w:cs="Calibri"/>
                <w:sz w:val="18"/>
                <w:lang w:val="en-AU"/>
              </w:rPr>
            </w:pPr>
            <w:r w:rsidRPr="005734B8">
              <w:rPr>
                <w:rFonts w:ascii="Calibri" w:hAnsi="Calibri" w:cs="Calibri"/>
                <w:sz w:val="18"/>
                <w:lang w:val="en-AU"/>
              </w:rPr>
              <w:t>Mr Nathan Chisholm</w:t>
            </w:r>
          </w:p>
        </w:tc>
        <w:tc>
          <w:tcPr>
            <w:tcW w:w="2655" w:type="dxa"/>
            <w:tcBorders>
              <w:top w:val="single" w:sz="4" w:space="0" w:color="53565A" w:themeColor="accent5"/>
              <w:bottom w:val="single" w:sz="4" w:space="0" w:color="53565A" w:themeColor="accent5"/>
            </w:tcBorders>
            <w:shd w:val="clear" w:color="auto" w:fill="auto"/>
            <w:vAlign w:val="center"/>
          </w:tcPr>
          <w:p w14:paraId="60CBA23F" w14:textId="77777777" w:rsidR="000E5B11" w:rsidRPr="005734B8" w:rsidRDefault="000E5B11" w:rsidP="002B6980">
            <w:pPr>
              <w:pStyle w:val="ESTablebody"/>
              <w:rPr>
                <w:rFonts w:ascii="Calibri" w:hAnsi="Calibri" w:cs="Calibri"/>
                <w:sz w:val="18"/>
                <w:lang w:val="en-AU"/>
              </w:rPr>
            </w:pPr>
            <w:r w:rsidRPr="005734B8">
              <w:rPr>
                <w:rFonts w:ascii="Calibri" w:hAnsi="Calibri" w:cs="Calibri"/>
                <w:sz w:val="18"/>
                <w:lang w:val="en-AU"/>
              </w:rPr>
              <w:t>Ms Karen Harris</w:t>
            </w:r>
          </w:p>
        </w:tc>
        <w:tc>
          <w:tcPr>
            <w:tcW w:w="2520" w:type="dxa"/>
            <w:tcBorders>
              <w:top w:val="single" w:sz="4" w:space="0" w:color="53565A" w:themeColor="accent5"/>
              <w:bottom w:val="single" w:sz="4" w:space="0" w:color="53565A" w:themeColor="accent5"/>
            </w:tcBorders>
            <w:vAlign w:val="center"/>
          </w:tcPr>
          <w:p w14:paraId="7F1C27B8" w14:textId="77777777" w:rsidR="000E5B11" w:rsidRPr="005734B8" w:rsidRDefault="000E5B11" w:rsidP="002B6980">
            <w:pPr>
              <w:pStyle w:val="ESTablebody"/>
              <w:rPr>
                <w:rFonts w:ascii="Calibri" w:hAnsi="Calibri" w:cs="Calibri"/>
                <w:sz w:val="18"/>
              </w:rPr>
            </w:pPr>
            <w:r w:rsidRPr="005734B8">
              <w:rPr>
                <w:rFonts w:ascii="Calibri" w:hAnsi="Calibri" w:cs="Calibri"/>
                <w:sz w:val="18"/>
                <w:lang w:val="en-AU"/>
              </w:rPr>
              <w:t>Mr Edward Strain</w:t>
            </w:r>
          </w:p>
        </w:tc>
      </w:tr>
      <w:tr w:rsidR="000E5B11" w:rsidRPr="005734B8" w14:paraId="2AA80BC1" w14:textId="77777777" w:rsidTr="002B6980">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2DD140B1" w14:textId="77777777" w:rsidR="000E5B11" w:rsidRPr="005734B8" w:rsidRDefault="000E5B11" w:rsidP="002B6980">
            <w:pPr>
              <w:pStyle w:val="ESTablebody"/>
              <w:rPr>
                <w:rFonts w:ascii="Calibri" w:hAnsi="Calibri" w:cs="Calibri"/>
                <w:sz w:val="18"/>
                <w:lang w:val="en-AU"/>
              </w:rPr>
            </w:pPr>
            <w:r w:rsidRPr="005734B8">
              <w:rPr>
                <w:rFonts w:ascii="Calibri" w:hAnsi="Calibri" w:cs="Calibri"/>
                <w:sz w:val="18"/>
                <w:lang w:val="en-AU"/>
              </w:rPr>
              <w:t>Ms Michelle Costa</w:t>
            </w:r>
          </w:p>
        </w:tc>
        <w:tc>
          <w:tcPr>
            <w:tcW w:w="2655" w:type="dxa"/>
            <w:tcBorders>
              <w:top w:val="single" w:sz="4" w:space="0" w:color="53565A" w:themeColor="accent5"/>
              <w:bottom w:val="single" w:sz="4" w:space="0" w:color="53565A" w:themeColor="accent5"/>
            </w:tcBorders>
            <w:shd w:val="clear" w:color="auto" w:fill="auto"/>
            <w:vAlign w:val="center"/>
          </w:tcPr>
          <w:p w14:paraId="4FAB8B29" w14:textId="77777777" w:rsidR="000E5B11" w:rsidRPr="005734B8" w:rsidRDefault="000E5B11" w:rsidP="002B6980">
            <w:pPr>
              <w:pStyle w:val="ESTablebody"/>
              <w:rPr>
                <w:rFonts w:ascii="Calibri" w:hAnsi="Calibri" w:cs="Calibri"/>
                <w:sz w:val="18"/>
                <w:lang w:val="en-AU"/>
              </w:rPr>
            </w:pPr>
            <w:r w:rsidRPr="005734B8">
              <w:rPr>
                <w:rFonts w:ascii="Calibri" w:hAnsi="Calibri" w:cs="Calibri"/>
                <w:sz w:val="18"/>
                <w:lang w:val="en-AU"/>
              </w:rPr>
              <w:t>Mr Vernon Hilditch</w:t>
            </w:r>
          </w:p>
        </w:tc>
        <w:tc>
          <w:tcPr>
            <w:tcW w:w="2520" w:type="dxa"/>
            <w:tcBorders>
              <w:top w:val="single" w:sz="4" w:space="0" w:color="53565A" w:themeColor="accent5"/>
              <w:bottom w:val="single" w:sz="4" w:space="0" w:color="53565A" w:themeColor="accent5"/>
            </w:tcBorders>
            <w:vAlign w:val="center"/>
          </w:tcPr>
          <w:p w14:paraId="03067AF7" w14:textId="77777777" w:rsidR="000E5B11" w:rsidRPr="005734B8" w:rsidRDefault="000E5B11" w:rsidP="002B6980">
            <w:pPr>
              <w:pStyle w:val="ESTablebody"/>
              <w:rPr>
                <w:rFonts w:ascii="Calibri" w:hAnsi="Calibri" w:cs="Calibri"/>
                <w:sz w:val="18"/>
              </w:rPr>
            </w:pPr>
            <w:r w:rsidRPr="005734B8">
              <w:rPr>
                <w:rFonts w:ascii="Calibri" w:hAnsi="Calibri" w:cs="Calibri"/>
                <w:sz w:val="18"/>
                <w:lang w:val="en-AU"/>
              </w:rPr>
              <w:t>Ms Rhonda Warburton</w:t>
            </w:r>
          </w:p>
        </w:tc>
      </w:tr>
      <w:tr w:rsidR="000E5B11" w:rsidRPr="005734B8" w14:paraId="6825BD05" w14:textId="77777777" w:rsidTr="002B6980">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0BD7C389" w14:textId="77777777" w:rsidR="000E5B11" w:rsidRPr="005734B8" w:rsidRDefault="000E5B11" w:rsidP="002B6980">
            <w:pPr>
              <w:pStyle w:val="ESTablebody"/>
              <w:rPr>
                <w:rFonts w:ascii="Calibri" w:hAnsi="Calibri" w:cs="Calibri"/>
                <w:sz w:val="18"/>
              </w:rPr>
            </w:pPr>
            <w:r w:rsidRPr="005734B8">
              <w:rPr>
                <w:rFonts w:ascii="Calibri" w:hAnsi="Calibri" w:cs="Calibri"/>
                <w:sz w:val="18"/>
              </w:rPr>
              <w:t>Ms Penelope Ellis</w:t>
            </w:r>
          </w:p>
        </w:tc>
        <w:tc>
          <w:tcPr>
            <w:tcW w:w="2655" w:type="dxa"/>
            <w:tcBorders>
              <w:top w:val="single" w:sz="4" w:space="0" w:color="53565A" w:themeColor="accent5"/>
              <w:bottom w:val="single" w:sz="4" w:space="0" w:color="53565A" w:themeColor="accent5"/>
            </w:tcBorders>
            <w:shd w:val="clear" w:color="auto" w:fill="auto"/>
            <w:vAlign w:val="center"/>
          </w:tcPr>
          <w:p w14:paraId="6F750FC5" w14:textId="77777777" w:rsidR="000E5B11" w:rsidRPr="005734B8" w:rsidRDefault="000E5B11" w:rsidP="002B6980">
            <w:pPr>
              <w:pStyle w:val="ESTablebody"/>
              <w:rPr>
                <w:rFonts w:ascii="Calibri" w:hAnsi="Calibri" w:cs="Calibri"/>
                <w:sz w:val="18"/>
              </w:rPr>
            </w:pPr>
            <w:r w:rsidRPr="005734B8">
              <w:rPr>
                <w:rFonts w:ascii="Calibri" w:hAnsi="Calibri" w:cs="Calibri"/>
                <w:sz w:val="18"/>
                <w:lang w:val="en-AU"/>
              </w:rPr>
              <w:t>Mr Douglas Lunt</w:t>
            </w:r>
          </w:p>
        </w:tc>
        <w:tc>
          <w:tcPr>
            <w:tcW w:w="2520" w:type="dxa"/>
            <w:tcBorders>
              <w:top w:val="single" w:sz="4" w:space="0" w:color="53565A" w:themeColor="accent5"/>
              <w:bottom w:val="single" w:sz="4" w:space="0" w:color="53565A" w:themeColor="accent5"/>
            </w:tcBorders>
            <w:vAlign w:val="center"/>
          </w:tcPr>
          <w:p w14:paraId="78EAF0D3" w14:textId="77777777" w:rsidR="000E5B11" w:rsidRPr="005734B8" w:rsidRDefault="000E5B11" w:rsidP="002B6980">
            <w:pPr>
              <w:pStyle w:val="ESTablebody"/>
              <w:rPr>
                <w:rFonts w:ascii="Calibri" w:hAnsi="Calibri" w:cs="Calibri"/>
                <w:sz w:val="18"/>
              </w:rPr>
            </w:pPr>
            <w:r w:rsidRPr="005734B8">
              <w:rPr>
                <w:rFonts w:ascii="Calibri" w:hAnsi="Calibri" w:cs="Calibri"/>
                <w:sz w:val="18"/>
                <w:lang w:val="en-AU"/>
              </w:rPr>
              <w:t>Mr Aaron Wolaniuk</w:t>
            </w:r>
          </w:p>
        </w:tc>
      </w:tr>
      <w:tr w:rsidR="000E5B11" w:rsidRPr="005734B8" w14:paraId="081062E0" w14:textId="77777777" w:rsidTr="002B6980">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0AD15817" w14:textId="77777777" w:rsidR="000E5B11" w:rsidRPr="005734B8" w:rsidRDefault="000E5B11" w:rsidP="002B6980">
            <w:pPr>
              <w:pStyle w:val="ESTablebody"/>
              <w:rPr>
                <w:rFonts w:ascii="Calibri" w:hAnsi="Calibri" w:cs="Calibri"/>
                <w:sz w:val="18"/>
                <w:lang w:val="en-AU"/>
              </w:rPr>
            </w:pPr>
            <w:r w:rsidRPr="005734B8">
              <w:rPr>
                <w:rFonts w:ascii="Calibri" w:hAnsi="Calibri" w:cs="Calibri"/>
                <w:sz w:val="18"/>
                <w:lang w:val="en-AU"/>
              </w:rPr>
              <w:t>Ms Janet Evison</w:t>
            </w:r>
          </w:p>
        </w:tc>
        <w:tc>
          <w:tcPr>
            <w:tcW w:w="2655" w:type="dxa"/>
            <w:tcBorders>
              <w:top w:val="single" w:sz="4" w:space="0" w:color="53565A" w:themeColor="accent5"/>
              <w:bottom w:val="single" w:sz="4" w:space="0" w:color="53565A" w:themeColor="accent5"/>
            </w:tcBorders>
            <w:shd w:val="clear" w:color="auto" w:fill="auto"/>
            <w:vAlign w:val="center"/>
          </w:tcPr>
          <w:p w14:paraId="1C2D13B8" w14:textId="77777777" w:rsidR="000E5B11" w:rsidRPr="005734B8" w:rsidRDefault="000E5B11" w:rsidP="002B6980">
            <w:pPr>
              <w:pStyle w:val="ESTablebody"/>
              <w:rPr>
                <w:rFonts w:ascii="Calibri" w:hAnsi="Calibri" w:cs="Calibri"/>
                <w:sz w:val="18"/>
                <w:lang w:val="en-AU"/>
              </w:rPr>
            </w:pPr>
            <w:r w:rsidRPr="005734B8">
              <w:rPr>
                <w:rFonts w:ascii="Calibri" w:hAnsi="Calibri" w:cs="Calibri"/>
                <w:sz w:val="18"/>
                <w:lang w:val="en-AU"/>
              </w:rPr>
              <w:t>Ms Susan Mattingley</w:t>
            </w:r>
          </w:p>
        </w:tc>
        <w:tc>
          <w:tcPr>
            <w:tcW w:w="2520" w:type="dxa"/>
            <w:tcBorders>
              <w:top w:val="single" w:sz="4" w:space="0" w:color="53565A" w:themeColor="accent5"/>
              <w:bottom w:val="single" w:sz="4" w:space="0" w:color="53565A" w:themeColor="accent5"/>
            </w:tcBorders>
            <w:vAlign w:val="center"/>
          </w:tcPr>
          <w:p w14:paraId="085A3783" w14:textId="77777777" w:rsidR="000E5B11" w:rsidRPr="005734B8" w:rsidRDefault="000E5B11" w:rsidP="002B6980">
            <w:pPr>
              <w:pStyle w:val="ESTablebody"/>
              <w:rPr>
                <w:rFonts w:ascii="Calibri" w:hAnsi="Calibri" w:cs="Calibri"/>
                <w:sz w:val="18"/>
                <w:lang w:val="en-AU"/>
              </w:rPr>
            </w:pPr>
          </w:p>
        </w:tc>
      </w:tr>
    </w:tbl>
    <w:p w14:paraId="54AEF803" w14:textId="77777777" w:rsidR="00401BD4" w:rsidRPr="005734B8" w:rsidRDefault="00401BD4" w:rsidP="00401BD4">
      <w:pPr>
        <w:pStyle w:val="ESTableintroheading"/>
        <w:rPr>
          <w:rFonts w:ascii="Calibri" w:hAnsi="Calibri" w:cs="Calibri"/>
          <w:highlight w:val="yellow"/>
        </w:rPr>
      </w:pPr>
    </w:p>
    <w:p w14:paraId="378598CA" w14:textId="77777777" w:rsidR="00165AC8" w:rsidRPr="005734B8" w:rsidRDefault="00165AC8" w:rsidP="003A3128">
      <w:pPr>
        <w:rPr>
          <w:rFonts w:ascii="Calibri" w:hAnsi="Calibri" w:cs="Calibri"/>
          <w:highlight w:val="yellow"/>
        </w:rPr>
        <w:sectPr w:rsidR="00165AC8" w:rsidRPr="005734B8" w:rsidSect="003B3A5C">
          <w:pgSz w:w="11900" w:h="16840"/>
          <w:pgMar w:top="1440" w:right="1134" w:bottom="1440" w:left="2835" w:header="708" w:footer="708" w:gutter="0"/>
          <w:cols w:space="708"/>
          <w:docGrid w:linePitch="360"/>
        </w:sectPr>
      </w:pPr>
    </w:p>
    <w:p w14:paraId="1FC9CD0E" w14:textId="77777777" w:rsidR="005B3907" w:rsidRPr="005734B8" w:rsidRDefault="005B3907" w:rsidP="005B3907">
      <w:pPr>
        <w:pStyle w:val="ESHeading3"/>
        <w:ind w:left="0" w:firstLine="0"/>
        <w:rPr>
          <w:rFonts w:ascii="Calibri" w:hAnsi="Calibri" w:cs="Calibri"/>
        </w:rPr>
      </w:pPr>
      <w:bookmarkStart w:id="2193" w:name="_Toc11336519"/>
      <w:bookmarkStart w:id="2194" w:name="_Toc14965740"/>
      <w:bookmarkStart w:id="2195" w:name="_Toc19272313"/>
      <w:bookmarkStart w:id="2196" w:name="_Toc19272679"/>
      <w:bookmarkStart w:id="2197" w:name="_Toc19274014"/>
      <w:r w:rsidRPr="005734B8">
        <w:rPr>
          <w:rFonts w:ascii="Calibri" w:hAnsi="Calibri" w:cs="Calibri"/>
        </w:rPr>
        <w:lastRenderedPageBreak/>
        <w:t>Appeals and grievances</w:t>
      </w:r>
      <w:bookmarkEnd w:id="2193"/>
      <w:bookmarkEnd w:id="2194"/>
      <w:bookmarkEnd w:id="2195"/>
      <w:bookmarkEnd w:id="2196"/>
      <w:bookmarkEnd w:id="2197"/>
    </w:p>
    <w:p w14:paraId="1BCC56A6" w14:textId="77777777" w:rsidR="005B3907" w:rsidRPr="005734B8" w:rsidRDefault="005B3907" w:rsidP="005B3907">
      <w:pPr>
        <w:pStyle w:val="ESTableintroheading"/>
        <w:rPr>
          <w:rFonts w:ascii="Calibri" w:hAnsi="Calibri" w:cs="Calibri"/>
        </w:rPr>
      </w:pPr>
      <w:r w:rsidRPr="005734B8">
        <w:rPr>
          <w:rFonts w:ascii="Calibri" w:hAnsi="Calibri" w:cs="Calibri"/>
        </w:rPr>
        <w:t xml:space="preserve">Teaching service appeals and grievances 2020–21 </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72"/>
        <w:gridCol w:w="587"/>
        <w:gridCol w:w="587"/>
        <w:gridCol w:w="590"/>
        <w:gridCol w:w="586"/>
        <w:gridCol w:w="585"/>
        <w:gridCol w:w="589"/>
        <w:gridCol w:w="579"/>
        <w:gridCol w:w="584"/>
        <w:gridCol w:w="590"/>
        <w:gridCol w:w="586"/>
        <w:gridCol w:w="587"/>
        <w:gridCol w:w="589"/>
        <w:gridCol w:w="586"/>
        <w:gridCol w:w="584"/>
        <w:gridCol w:w="590"/>
        <w:gridCol w:w="586"/>
        <w:gridCol w:w="587"/>
        <w:gridCol w:w="589"/>
        <w:gridCol w:w="579"/>
        <w:gridCol w:w="584"/>
        <w:gridCol w:w="590"/>
        <w:gridCol w:w="664"/>
      </w:tblGrid>
      <w:tr w:rsidR="005B3907" w:rsidRPr="005734B8" w14:paraId="1FADAB9D" w14:textId="77777777" w:rsidTr="001A5C5E">
        <w:trPr>
          <w:cantSplit/>
          <w:trHeight w:val="462"/>
          <w:tblHeader/>
        </w:trPr>
        <w:tc>
          <w:tcPr>
            <w:tcW w:w="972" w:type="dxa"/>
            <w:tcBorders>
              <w:bottom w:val="single" w:sz="4" w:space="0" w:color="FFFFFF" w:themeColor="background1"/>
            </w:tcBorders>
            <w:shd w:val="clear" w:color="auto" w:fill="AF272F" w:themeFill="accent4"/>
          </w:tcPr>
          <w:p w14:paraId="0924D980" w14:textId="77777777" w:rsidR="005B3907" w:rsidRPr="005734B8" w:rsidRDefault="005B3907" w:rsidP="002B6980">
            <w:pPr>
              <w:pStyle w:val="ESTableheadingwhite"/>
              <w:rPr>
                <w:rFonts w:ascii="Calibri" w:hAnsi="Calibri" w:cs="Calibri"/>
                <w:sz w:val="18"/>
                <w:lang w:val="en-AU"/>
              </w:rPr>
            </w:pPr>
            <w:r w:rsidRPr="005734B8">
              <w:rPr>
                <w:rFonts w:ascii="Calibri" w:hAnsi="Calibri" w:cs="Calibri"/>
                <w:sz w:val="18"/>
                <w:lang w:val="en-AU"/>
              </w:rPr>
              <w:t>Category</w:t>
            </w:r>
          </w:p>
        </w:tc>
        <w:tc>
          <w:tcPr>
            <w:tcW w:w="1764" w:type="dxa"/>
            <w:gridSpan w:val="3"/>
            <w:tcBorders>
              <w:bottom w:val="single" w:sz="4" w:space="0" w:color="FFFFFF" w:themeColor="background1"/>
            </w:tcBorders>
            <w:shd w:val="clear" w:color="auto" w:fill="AF272F" w:themeFill="accent4"/>
          </w:tcPr>
          <w:p w14:paraId="65B8CA01"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Received</w:t>
            </w:r>
          </w:p>
        </w:tc>
        <w:tc>
          <w:tcPr>
            <w:tcW w:w="1760" w:type="dxa"/>
            <w:gridSpan w:val="3"/>
            <w:tcBorders>
              <w:bottom w:val="single" w:sz="4" w:space="0" w:color="FFFFFF" w:themeColor="background1"/>
            </w:tcBorders>
            <w:shd w:val="clear" w:color="auto" w:fill="AF272F" w:themeFill="accent4"/>
          </w:tcPr>
          <w:p w14:paraId="7D2A85A4"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Upheld</w:t>
            </w:r>
          </w:p>
        </w:tc>
        <w:tc>
          <w:tcPr>
            <w:tcW w:w="1753" w:type="dxa"/>
            <w:gridSpan w:val="3"/>
            <w:tcBorders>
              <w:bottom w:val="single" w:sz="4" w:space="0" w:color="FFFFFF" w:themeColor="background1"/>
            </w:tcBorders>
            <w:shd w:val="clear" w:color="auto" w:fill="AF272F" w:themeFill="accent4"/>
          </w:tcPr>
          <w:p w14:paraId="6355D964"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Conciliated</w:t>
            </w:r>
          </w:p>
        </w:tc>
        <w:tc>
          <w:tcPr>
            <w:tcW w:w="1762" w:type="dxa"/>
            <w:gridSpan w:val="3"/>
            <w:tcBorders>
              <w:bottom w:val="single" w:sz="4" w:space="0" w:color="FFFFFF" w:themeColor="background1"/>
            </w:tcBorders>
            <w:shd w:val="clear" w:color="auto" w:fill="AF272F" w:themeFill="accent4"/>
          </w:tcPr>
          <w:p w14:paraId="6F81B20F"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Disallowed</w:t>
            </w:r>
          </w:p>
        </w:tc>
        <w:tc>
          <w:tcPr>
            <w:tcW w:w="1760" w:type="dxa"/>
            <w:gridSpan w:val="3"/>
            <w:tcBorders>
              <w:bottom w:val="single" w:sz="4" w:space="0" w:color="FFFFFF" w:themeColor="background1"/>
            </w:tcBorders>
            <w:shd w:val="clear" w:color="auto" w:fill="AF272F" w:themeFill="accent4"/>
          </w:tcPr>
          <w:p w14:paraId="5D98D665"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Withdrawn</w:t>
            </w:r>
          </w:p>
        </w:tc>
        <w:tc>
          <w:tcPr>
            <w:tcW w:w="1762" w:type="dxa"/>
            <w:gridSpan w:val="3"/>
            <w:tcBorders>
              <w:bottom w:val="single" w:sz="4" w:space="0" w:color="FFFFFF" w:themeColor="background1"/>
            </w:tcBorders>
            <w:shd w:val="clear" w:color="auto" w:fill="AF272F" w:themeFill="accent4"/>
          </w:tcPr>
          <w:p w14:paraId="4B65BEBA"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Abandoned, no grounds, no jurisdiction, or out of time</w:t>
            </w:r>
          </w:p>
        </w:tc>
        <w:tc>
          <w:tcPr>
            <w:tcW w:w="1753" w:type="dxa"/>
            <w:gridSpan w:val="3"/>
            <w:tcBorders>
              <w:bottom w:val="single" w:sz="4" w:space="0" w:color="FFFFFF" w:themeColor="background1"/>
            </w:tcBorders>
            <w:shd w:val="clear" w:color="auto" w:fill="AF272F" w:themeFill="accent4"/>
          </w:tcPr>
          <w:p w14:paraId="1952BDD7"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Pending</w:t>
            </w:r>
          </w:p>
        </w:tc>
        <w:tc>
          <w:tcPr>
            <w:tcW w:w="664" w:type="dxa"/>
            <w:tcBorders>
              <w:bottom w:val="single" w:sz="4" w:space="0" w:color="FFFFFF" w:themeColor="background1"/>
            </w:tcBorders>
            <w:shd w:val="clear" w:color="auto" w:fill="AF272F" w:themeFill="accent4"/>
          </w:tcPr>
          <w:p w14:paraId="16499389"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Total</w:t>
            </w:r>
          </w:p>
        </w:tc>
      </w:tr>
      <w:tr w:rsidR="00912670" w:rsidRPr="005734B8" w14:paraId="4C058C47" w14:textId="77777777" w:rsidTr="001A5C5E">
        <w:trPr>
          <w:cantSplit/>
          <w:trHeight w:val="462"/>
          <w:tblHeader/>
        </w:trPr>
        <w:tc>
          <w:tcPr>
            <w:tcW w:w="972" w:type="dxa"/>
            <w:tcBorders>
              <w:bottom w:val="single" w:sz="4" w:space="0" w:color="FFFFFF" w:themeColor="background1"/>
            </w:tcBorders>
            <w:shd w:val="clear" w:color="auto" w:fill="D9D9D6" w:themeFill="accent6"/>
          </w:tcPr>
          <w:p w14:paraId="649D6C64" w14:textId="77777777" w:rsidR="005B3907" w:rsidRPr="005734B8" w:rsidRDefault="005B3907" w:rsidP="002B6980">
            <w:pPr>
              <w:pStyle w:val="ESTableheadingwhite"/>
              <w:rPr>
                <w:rFonts w:ascii="Calibri" w:hAnsi="Calibri" w:cs="Calibri"/>
                <w:sz w:val="18"/>
                <w:lang w:val="en-AU"/>
              </w:rPr>
            </w:pPr>
          </w:p>
        </w:tc>
        <w:tc>
          <w:tcPr>
            <w:tcW w:w="587" w:type="dxa"/>
            <w:tcBorders>
              <w:bottom w:val="single" w:sz="4" w:space="0" w:color="FFFFFF" w:themeColor="background1"/>
            </w:tcBorders>
            <w:shd w:val="clear" w:color="auto" w:fill="D9D9D6" w:themeFill="accent6"/>
          </w:tcPr>
          <w:p w14:paraId="065427AD"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F</w:t>
            </w:r>
          </w:p>
        </w:tc>
        <w:tc>
          <w:tcPr>
            <w:tcW w:w="587" w:type="dxa"/>
            <w:tcBorders>
              <w:bottom w:val="single" w:sz="4" w:space="0" w:color="FFFFFF" w:themeColor="background1"/>
            </w:tcBorders>
            <w:shd w:val="clear" w:color="auto" w:fill="D9D9D6" w:themeFill="accent6"/>
          </w:tcPr>
          <w:p w14:paraId="6582C82D"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M</w:t>
            </w:r>
          </w:p>
        </w:tc>
        <w:tc>
          <w:tcPr>
            <w:tcW w:w="590" w:type="dxa"/>
            <w:tcBorders>
              <w:bottom w:val="single" w:sz="4" w:space="0" w:color="FFFFFF" w:themeColor="background1"/>
            </w:tcBorders>
            <w:shd w:val="clear" w:color="auto" w:fill="D9D9D6" w:themeFill="accent6"/>
          </w:tcPr>
          <w:p w14:paraId="65464641"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SD</w:t>
            </w:r>
          </w:p>
        </w:tc>
        <w:tc>
          <w:tcPr>
            <w:tcW w:w="586" w:type="dxa"/>
            <w:tcBorders>
              <w:bottom w:val="single" w:sz="4" w:space="0" w:color="FFFFFF" w:themeColor="background1"/>
            </w:tcBorders>
            <w:shd w:val="clear" w:color="auto" w:fill="D9D9D6" w:themeFill="accent6"/>
          </w:tcPr>
          <w:p w14:paraId="540218A2"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F</w:t>
            </w:r>
          </w:p>
        </w:tc>
        <w:tc>
          <w:tcPr>
            <w:tcW w:w="585" w:type="dxa"/>
            <w:tcBorders>
              <w:bottom w:val="single" w:sz="4" w:space="0" w:color="FFFFFF" w:themeColor="background1"/>
            </w:tcBorders>
            <w:shd w:val="clear" w:color="auto" w:fill="D9D9D6" w:themeFill="accent6"/>
          </w:tcPr>
          <w:p w14:paraId="6F77E3B4"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M</w:t>
            </w:r>
          </w:p>
        </w:tc>
        <w:tc>
          <w:tcPr>
            <w:tcW w:w="589" w:type="dxa"/>
            <w:tcBorders>
              <w:bottom w:val="single" w:sz="4" w:space="0" w:color="FFFFFF" w:themeColor="background1"/>
            </w:tcBorders>
            <w:shd w:val="clear" w:color="auto" w:fill="D9D9D6" w:themeFill="accent6"/>
          </w:tcPr>
          <w:p w14:paraId="65675CF6"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SD</w:t>
            </w:r>
          </w:p>
        </w:tc>
        <w:tc>
          <w:tcPr>
            <w:tcW w:w="579" w:type="dxa"/>
            <w:tcBorders>
              <w:bottom w:val="single" w:sz="4" w:space="0" w:color="FFFFFF" w:themeColor="background1"/>
            </w:tcBorders>
            <w:shd w:val="clear" w:color="auto" w:fill="D9D9D6" w:themeFill="accent6"/>
          </w:tcPr>
          <w:p w14:paraId="49662AD9"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F</w:t>
            </w:r>
          </w:p>
        </w:tc>
        <w:tc>
          <w:tcPr>
            <w:tcW w:w="584" w:type="dxa"/>
            <w:tcBorders>
              <w:bottom w:val="single" w:sz="4" w:space="0" w:color="FFFFFF" w:themeColor="background1"/>
            </w:tcBorders>
            <w:shd w:val="clear" w:color="auto" w:fill="D9D9D6" w:themeFill="accent6"/>
          </w:tcPr>
          <w:p w14:paraId="6F86ACBB"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M</w:t>
            </w:r>
          </w:p>
        </w:tc>
        <w:tc>
          <w:tcPr>
            <w:tcW w:w="590" w:type="dxa"/>
            <w:tcBorders>
              <w:bottom w:val="single" w:sz="4" w:space="0" w:color="FFFFFF" w:themeColor="background1"/>
            </w:tcBorders>
            <w:shd w:val="clear" w:color="auto" w:fill="D9D9D6" w:themeFill="accent6"/>
          </w:tcPr>
          <w:p w14:paraId="1C9D8356"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SD</w:t>
            </w:r>
          </w:p>
        </w:tc>
        <w:tc>
          <w:tcPr>
            <w:tcW w:w="586" w:type="dxa"/>
            <w:tcBorders>
              <w:bottom w:val="single" w:sz="4" w:space="0" w:color="FFFFFF" w:themeColor="background1"/>
            </w:tcBorders>
            <w:shd w:val="clear" w:color="auto" w:fill="D9D9D6" w:themeFill="accent6"/>
          </w:tcPr>
          <w:p w14:paraId="61C44864"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F</w:t>
            </w:r>
          </w:p>
        </w:tc>
        <w:tc>
          <w:tcPr>
            <w:tcW w:w="587" w:type="dxa"/>
            <w:tcBorders>
              <w:bottom w:val="single" w:sz="4" w:space="0" w:color="FFFFFF" w:themeColor="background1"/>
            </w:tcBorders>
            <w:shd w:val="clear" w:color="auto" w:fill="D9D9D6" w:themeFill="accent6"/>
          </w:tcPr>
          <w:p w14:paraId="421A0F7A"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M</w:t>
            </w:r>
          </w:p>
        </w:tc>
        <w:tc>
          <w:tcPr>
            <w:tcW w:w="589" w:type="dxa"/>
            <w:tcBorders>
              <w:bottom w:val="single" w:sz="4" w:space="0" w:color="FFFFFF" w:themeColor="background1"/>
            </w:tcBorders>
            <w:shd w:val="clear" w:color="auto" w:fill="D9D9D6" w:themeFill="accent6"/>
          </w:tcPr>
          <w:p w14:paraId="7CD08B6A"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SD</w:t>
            </w:r>
          </w:p>
        </w:tc>
        <w:tc>
          <w:tcPr>
            <w:tcW w:w="586" w:type="dxa"/>
            <w:tcBorders>
              <w:bottom w:val="single" w:sz="4" w:space="0" w:color="FFFFFF" w:themeColor="background1"/>
            </w:tcBorders>
            <w:shd w:val="clear" w:color="auto" w:fill="D9D9D6" w:themeFill="accent6"/>
          </w:tcPr>
          <w:p w14:paraId="67816860"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F</w:t>
            </w:r>
          </w:p>
        </w:tc>
        <w:tc>
          <w:tcPr>
            <w:tcW w:w="584" w:type="dxa"/>
            <w:tcBorders>
              <w:bottom w:val="single" w:sz="4" w:space="0" w:color="FFFFFF" w:themeColor="background1"/>
            </w:tcBorders>
            <w:shd w:val="clear" w:color="auto" w:fill="D9D9D6" w:themeFill="accent6"/>
          </w:tcPr>
          <w:p w14:paraId="6A8E2947"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M</w:t>
            </w:r>
          </w:p>
        </w:tc>
        <w:tc>
          <w:tcPr>
            <w:tcW w:w="590" w:type="dxa"/>
            <w:tcBorders>
              <w:bottom w:val="single" w:sz="4" w:space="0" w:color="FFFFFF" w:themeColor="background1"/>
            </w:tcBorders>
            <w:shd w:val="clear" w:color="auto" w:fill="D9D9D6" w:themeFill="accent6"/>
          </w:tcPr>
          <w:p w14:paraId="6AD2730A"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SD</w:t>
            </w:r>
          </w:p>
        </w:tc>
        <w:tc>
          <w:tcPr>
            <w:tcW w:w="586" w:type="dxa"/>
            <w:tcBorders>
              <w:bottom w:val="single" w:sz="4" w:space="0" w:color="FFFFFF" w:themeColor="background1"/>
            </w:tcBorders>
            <w:shd w:val="clear" w:color="auto" w:fill="D9D9D6" w:themeFill="accent6"/>
          </w:tcPr>
          <w:p w14:paraId="26943634"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F</w:t>
            </w:r>
          </w:p>
        </w:tc>
        <w:tc>
          <w:tcPr>
            <w:tcW w:w="587" w:type="dxa"/>
            <w:tcBorders>
              <w:bottom w:val="single" w:sz="4" w:space="0" w:color="FFFFFF" w:themeColor="background1"/>
            </w:tcBorders>
            <w:shd w:val="clear" w:color="auto" w:fill="D9D9D6" w:themeFill="accent6"/>
          </w:tcPr>
          <w:p w14:paraId="1EF02E34"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M</w:t>
            </w:r>
          </w:p>
        </w:tc>
        <w:tc>
          <w:tcPr>
            <w:tcW w:w="589" w:type="dxa"/>
            <w:tcBorders>
              <w:bottom w:val="single" w:sz="4" w:space="0" w:color="FFFFFF" w:themeColor="background1"/>
            </w:tcBorders>
            <w:shd w:val="clear" w:color="auto" w:fill="D9D9D6" w:themeFill="accent6"/>
          </w:tcPr>
          <w:p w14:paraId="7F29350A"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SD</w:t>
            </w:r>
          </w:p>
        </w:tc>
        <w:tc>
          <w:tcPr>
            <w:tcW w:w="579" w:type="dxa"/>
            <w:tcBorders>
              <w:bottom w:val="single" w:sz="4" w:space="0" w:color="FFFFFF" w:themeColor="background1"/>
            </w:tcBorders>
            <w:shd w:val="clear" w:color="auto" w:fill="D9D9D6" w:themeFill="accent6"/>
          </w:tcPr>
          <w:p w14:paraId="6AE4AAA7"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F</w:t>
            </w:r>
          </w:p>
        </w:tc>
        <w:tc>
          <w:tcPr>
            <w:tcW w:w="584" w:type="dxa"/>
            <w:tcBorders>
              <w:bottom w:val="single" w:sz="4" w:space="0" w:color="FFFFFF" w:themeColor="background1"/>
            </w:tcBorders>
            <w:shd w:val="clear" w:color="auto" w:fill="D9D9D6" w:themeFill="accent6"/>
          </w:tcPr>
          <w:p w14:paraId="6173C9C5"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M</w:t>
            </w:r>
          </w:p>
        </w:tc>
        <w:tc>
          <w:tcPr>
            <w:tcW w:w="590" w:type="dxa"/>
            <w:tcBorders>
              <w:bottom w:val="single" w:sz="4" w:space="0" w:color="FFFFFF" w:themeColor="background1"/>
            </w:tcBorders>
            <w:shd w:val="clear" w:color="auto" w:fill="D9D9D6" w:themeFill="accent6"/>
          </w:tcPr>
          <w:p w14:paraId="32106335"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SD</w:t>
            </w:r>
          </w:p>
        </w:tc>
        <w:tc>
          <w:tcPr>
            <w:tcW w:w="664" w:type="dxa"/>
            <w:tcBorders>
              <w:bottom w:val="single" w:sz="4" w:space="0" w:color="FFFFFF" w:themeColor="background1"/>
            </w:tcBorders>
            <w:shd w:val="clear" w:color="auto" w:fill="D9D9D6" w:themeFill="accent6"/>
          </w:tcPr>
          <w:p w14:paraId="39BABD86" w14:textId="77777777" w:rsidR="005B3907" w:rsidRPr="005734B8" w:rsidRDefault="005B3907" w:rsidP="002B6980">
            <w:pPr>
              <w:pStyle w:val="ESTableheadingwhite"/>
              <w:jc w:val="center"/>
              <w:rPr>
                <w:rFonts w:ascii="Calibri" w:hAnsi="Calibri" w:cs="Calibri"/>
                <w:sz w:val="18"/>
                <w:lang w:val="en-AU"/>
              </w:rPr>
            </w:pPr>
          </w:p>
        </w:tc>
      </w:tr>
      <w:tr w:rsidR="005B3907" w:rsidRPr="005734B8" w14:paraId="4D9708E4" w14:textId="77777777" w:rsidTr="001A5C5E">
        <w:trPr>
          <w:cantSplit/>
          <w:trHeight w:val="461"/>
          <w:tblHeader/>
        </w:trPr>
        <w:tc>
          <w:tcPr>
            <w:tcW w:w="972" w:type="dxa"/>
            <w:tcBorders>
              <w:bottom w:val="single" w:sz="4" w:space="0" w:color="auto"/>
            </w:tcBorders>
            <w:shd w:val="clear" w:color="auto" w:fill="auto"/>
          </w:tcPr>
          <w:p w14:paraId="0BE36E64" w14:textId="77777777" w:rsidR="005B3907" w:rsidRPr="005734B8" w:rsidRDefault="005B3907" w:rsidP="002B6980">
            <w:pPr>
              <w:pStyle w:val="ESTableheadingwhite"/>
              <w:rPr>
                <w:rFonts w:ascii="Calibri" w:hAnsi="Calibri" w:cs="Calibri"/>
                <w:b w:val="0"/>
                <w:color w:val="auto"/>
                <w:sz w:val="18"/>
                <w:lang w:val="en-AU"/>
              </w:rPr>
            </w:pPr>
            <w:r w:rsidRPr="005734B8">
              <w:rPr>
                <w:rFonts w:ascii="Calibri" w:hAnsi="Calibri" w:cs="Calibri"/>
                <w:b w:val="0"/>
                <w:color w:val="auto"/>
                <w:sz w:val="18"/>
                <w:lang w:val="en-AU"/>
              </w:rPr>
              <w:t>Personal</w:t>
            </w:r>
            <w:r w:rsidRPr="005734B8">
              <w:rPr>
                <w:rStyle w:val="FootnoteReference"/>
                <w:rFonts w:ascii="Calibri" w:hAnsi="Calibri" w:cs="Calibri"/>
                <w:b w:val="0"/>
                <w:color w:val="auto"/>
                <w:sz w:val="18"/>
                <w:lang w:val="en-AU"/>
              </w:rPr>
              <w:footnoteReference w:id="100"/>
            </w:r>
          </w:p>
        </w:tc>
        <w:tc>
          <w:tcPr>
            <w:tcW w:w="587" w:type="dxa"/>
            <w:tcBorders>
              <w:bottom w:val="single" w:sz="4" w:space="0" w:color="auto"/>
            </w:tcBorders>
            <w:shd w:val="clear" w:color="auto" w:fill="F2F2F2" w:themeFill="background1" w:themeFillShade="F2"/>
          </w:tcPr>
          <w:p w14:paraId="2F0EA9B4"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62</w:t>
            </w:r>
          </w:p>
        </w:tc>
        <w:tc>
          <w:tcPr>
            <w:tcW w:w="587" w:type="dxa"/>
            <w:tcBorders>
              <w:bottom w:val="single" w:sz="4" w:space="0" w:color="auto"/>
            </w:tcBorders>
            <w:shd w:val="clear" w:color="auto" w:fill="F2F2F2" w:themeFill="background1" w:themeFillShade="F2"/>
          </w:tcPr>
          <w:p w14:paraId="60911AC8"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34</w:t>
            </w:r>
          </w:p>
        </w:tc>
        <w:tc>
          <w:tcPr>
            <w:tcW w:w="590" w:type="dxa"/>
            <w:tcBorders>
              <w:bottom w:val="single" w:sz="4" w:space="0" w:color="auto"/>
            </w:tcBorders>
            <w:shd w:val="clear" w:color="auto" w:fill="F2F2F2" w:themeFill="background1" w:themeFillShade="F2"/>
          </w:tcPr>
          <w:p w14:paraId="39BD53EE" w14:textId="0D49FEF3"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6" w:type="dxa"/>
            <w:tcBorders>
              <w:bottom w:val="single" w:sz="4" w:space="0" w:color="auto"/>
            </w:tcBorders>
            <w:shd w:val="clear" w:color="auto" w:fill="auto"/>
          </w:tcPr>
          <w:p w14:paraId="2F49B32B"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12</w:t>
            </w:r>
          </w:p>
        </w:tc>
        <w:tc>
          <w:tcPr>
            <w:tcW w:w="585" w:type="dxa"/>
            <w:tcBorders>
              <w:bottom w:val="single" w:sz="4" w:space="0" w:color="auto"/>
            </w:tcBorders>
            <w:shd w:val="clear" w:color="auto" w:fill="auto"/>
          </w:tcPr>
          <w:p w14:paraId="396B4D11"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3</w:t>
            </w:r>
          </w:p>
        </w:tc>
        <w:tc>
          <w:tcPr>
            <w:tcW w:w="589" w:type="dxa"/>
            <w:tcBorders>
              <w:bottom w:val="single" w:sz="4" w:space="0" w:color="auto"/>
            </w:tcBorders>
            <w:shd w:val="clear" w:color="auto" w:fill="auto"/>
          </w:tcPr>
          <w:p w14:paraId="647853D9" w14:textId="44339EE8"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79" w:type="dxa"/>
            <w:tcBorders>
              <w:bottom w:val="single" w:sz="4" w:space="0" w:color="auto"/>
            </w:tcBorders>
            <w:shd w:val="clear" w:color="auto" w:fill="auto"/>
          </w:tcPr>
          <w:p w14:paraId="7735A164"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2</w:t>
            </w:r>
          </w:p>
        </w:tc>
        <w:tc>
          <w:tcPr>
            <w:tcW w:w="584" w:type="dxa"/>
            <w:tcBorders>
              <w:bottom w:val="single" w:sz="4" w:space="0" w:color="auto"/>
            </w:tcBorders>
            <w:shd w:val="clear" w:color="auto" w:fill="auto"/>
          </w:tcPr>
          <w:p w14:paraId="5F7D794E"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2</w:t>
            </w:r>
          </w:p>
        </w:tc>
        <w:tc>
          <w:tcPr>
            <w:tcW w:w="590" w:type="dxa"/>
            <w:tcBorders>
              <w:bottom w:val="single" w:sz="4" w:space="0" w:color="auto"/>
            </w:tcBorders>
            <w:shd w:val="clear" w:color="auto" w:fill="auto"/>
          </w:tcPr>
          <w:p w14:paraId="6BA38877" w14:textId="6F63E624"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6" w:type="dxa"/>
            <w:tcBorders>
              <w:bottom w:val="single" w:sz="4" w:space="0" w:color="auto"/>
            </w:tcBorders>
            <w:shd w:val="clear" w:color="auto" w:fill="auto"/>
          </w:tcPr>
          <w:p w14:paraId="7BB722FB"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17</w:t>
            </w:r>
          </w:p>
        </w:tc>
        <w:tc>
          <w:tcPr>
            <w:tcW w:w="587" w:type="dxa"/>
            <w:tcBorders>
              <w:bottom w:val="single" w:sz="4" w:space="0" w:color="auto"/>
            </w:tcBorders>
            <w:shd w:val="clear" w:color="auto" w:fill="auto"/>
          </w:tcPr>
          <w:p w14:paraId="3BC5EACC"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9</w:t>
            </w:r>
          </w:p>
        </w:tc>
        <w:tc>
          <w:tcPr>
            <w:tcW w:w="589" w:type="dxa"/>
            <w:tcBorders>
              <w:bottom w:val="single" w:sz="4" w:space="0" w:color="auto"/>
            </w:tcBorders>
            <w:shd w:val="clear" w:color="auto" w:fill="auto"/>
          </w:tcPr>
          <w:p w14:paraId="32CD7871" w14:textId="713FF0CA"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6" w:type="dxa"/>
            <w:tcBorders>
              <w:bottom w:val="single" w:sz="4" w:space="0" w:color="auto"/>
            </w:tcBorders>
            <w:shd w:val="clear" w:color="auto" w:fill="auto"/>
          </w:tcPr>
          <w:p w14:paraId="0F9242D9"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13</w:t>
            </w:r>
          </w:p>
        </w:tc>
        <w:tc>
          <w:tcPr>
            <w:tcW w:w="584" w:type="dxa"/>
            <w:tcBorders>
              <w:bottom w:val="single" w:sz="4" w:space="0" w:color="auto"/>
            </w:tcBorders>
            <w:shd w:val="clear" w:color="auto" w:fill="auto"/>
          </w:tcPr>
          <w:p w14:paraId="791B305B"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7</w:t>
            </w:r>
          </w:p>
        </w:tc>
        <w:tc>
          <w:tcPr>
            <w:tcW w:w="590" w:type="dxa"/>
            <w:tcBorders>
              <w:bottom w:val="single" w:sz="4" w:space="0" w:color="auto"/>
            </w:tcBorders>
            <w:shd w:val="clear" w:color="auto" w:fill="auto"/>
          </w:tcPr>
          <w:p w14:paraId="231B15BC" w14:textId="4BA99D7A"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6" w:type="dxa"/>
            <w:tcBorders>
              <w:bottom w:val="single" w:sz="4" w:space="0" w:color="auto"/>
            </w:tcBorders>
            <w:shd w:val="clear" w:color="auto" w:fill="auto"/>
          </w:tcPr>
          <w:p w14:paraId="611D9EBE"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14</w:t>
            </w:r>
          </w:p>
        </w:tc>
        <w:tc>
          <w:tcPr>
            <w:tcW w:w="587" w:type="dxa"/>
            <w:tcBorders>
              <w:bottom w:val="single" w:sz="4" w:space="0" w:color="auto"/>
            </w:tcBorders>
            <w:shd w:val="clear" w:color="auto" w:fill="auto"/>
          </w:tcPr>
          <w:p w14:paraId="485FC9DF"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12</w:t>
            </w:r>
          </w:p>
        </w:tc>
        <w:tc>
          <w:tcPr>
            <w:tcW w:w="589" w:type="dxa"/>
            <w:tcBorders>
              <w:bottom w:val="single" w:sz="4" w:space="0" w:color="auto"/>
            </w:tcBorders>
            <w:shd w:val="clear" w:color="auto" w:fill="auto"/>
          </w:tcPr>
          <w:p w14:paraId="1DD04A9A" w14:textId="10784F1A"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79" w:type="dxa"/>
            <w:tcBorders>
              <w:bottom w:val="single" w:sz="4" w:space="0" w:color="auto"/>
            </w:tcBorders>
            <w:shd w:val="clear" w:color="auto" w:fill="auto"/>
          </w:tcPr>
          <w:p w14:paraId="5ACAC093"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4</w:t>
            </w:r>
          </w:p>
        </w:tc>
        <w:tc>
          <w:tcPr>
            <w:tcW w:w="584" w:type="dxa"/>
            <w:tcBorders>
              <w:bottom w:val="single" w:sz="4" w:space="0" w:color="auto"/>
            </w:tcBorders>
            <w:shd w:val="clear" w:color="auto" w:fill="auto"/>
          </w:tcPr>
          <w:p w14:paraId="2F4A9DF2"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1</w:t>
            </w:r>
          </w:p>
        </w:tc>
        <w:tc>
          <w:tcPr>
            <w:tcW w:w="590" w:type="dxa"/>
            <w:tcBorders>
              <w:bottom w:val="single" w:sz="4" w:space="0" w:color="auto"/>
            </w:tcBorders>
            <w:shd w:val="clear" w:color="auto" w:fill="auto"/>
          </w:tcPr>
          <w:p w14:paraId="5C9A1EE2" w14:textId="424AA7CE"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664" w:type="dxa"/>
            <w:tcBorders>
              <w:bottom w:val="single" w:sz="4" w:space="0" w:color="auto"/>
            </w:tcBorders>
            <w:shd w:val="clear" w:color="auto" w:fill="auto"/>
          </w:tcPr>
          <w:p w14:paraId="1F9FB95E"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96</w:t>
            </w:r>
          </w:p>
        </w:tc>
      </w:tr>
      <w:tr w:rsidR="005B3907" w:rsidRPr="005734B8" w14:paraId="4042B10D" w14:textId="77777777" w:rsidTr="001A5C5E">
        <w:trPr>
          <w:cantSplit/>
          <w:trHeight w:val="461"/>
          <w:tblHeader/>
        </w:trPr>
        <w:tc>
          <w:tcPr>
            <w:tcW w:w="972" w:type="dxa"/>
            <w:tcBorders>
              <w:top w:val="single" w:sz="4" w:space="0" w:color="auto"/>
              <w:bottom w:val="single" w:sz="4" w:space="0" w:color="auto"/>
            </w:tcBorders>
            <w:shd w:val="clear" w:color="auto" w:fill="auto"/>
          </w:tcPr>
          <w:p w14:paraId="363CE015" w14:textId="77777777" w:rsidR="005B3907" w:rsidRPr="005734B8" w:rsidRDefault="005B3907" w:rsidP="002B6980">
            <w:pPr>
              <w:pStyle w:val="ESTableheadingwhite"/>
              <w:rPr>
                <w:rFonts w:ascii="Calibri" w:hAnsi="Calibri" w:cs="Calibri"/>
                <w:b w:val="0"/>
                <w:color w:val="auto"/>
                <w:sz w:val="18"/>
                <w:lang w:val="en-AU"/>
              </w:rPr>
            </w:pPr>
            <w:r w:rsidRPr="005734B8">
              <w:rPr>
                <w:rFonts w:ascii="Calibri" w:hAnsi="Calibri" w:cs="Calibri"/>
                <w:b w:val="0"/>
                <w:color w:val="auto"/>
                <w:sz w:val="18"/>
                <w:lang w:val="en-AU"/>
              </w:rPr>
              <w:t>Selection</w:t>
            </w:r>
          </w:p>
        </w:tc>
        <w:tc>
          <w:tcPr>
            <w:tcW w:w="587" w:type="dxa"/>
            <w:tcBorders>
              <w:top w:val="single" w:sz="4" w:space="0" w:color="auto"/>
              <w:bottom w:val="single" w:sz="4" w:space="0" w:color="auto"/>
            </w:tcBorders>
            <w:shd w:val="clear" w:color="auto" w:fill="F2F2F2" w:themeFill="background1" w:themeFillShade="F2"/>
          </w:tcPr>
          <w:p w14:paraId="586D4385"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6</w:t>
            </w:r>
          </w:p>
        </w:tc>
        <w:tc>
          <w:tcPr>
            <w:tcW w:w="587" w:type="dxa"/>
            <w:tcBorders>
              <w:top w:val="single" w:sz="4" w:space="0" w:color="auto"/>
              <w:bottom w:val="single" w:sz="4" w:space="0" w:color="auto"/>
            </w:tcBorders>
            <w:shd w:val="clear" w:color="auto" w:fill="F2F2F2" w:themeFill="background1" w:themeFillShade="F2"/>
          </w:tcPr>
          <w:p w14:paraId="72C42080"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6</w:t>
            </w:r>
          </w:p>
        </w:tc>
        <w:tc>
          <w:tcPr>
            <w:tcW w:w="590" w:type="dxa"/>
            <w:tcBorders>
              <w:top w:val="single" w:sz="4" w:space="0" w:color="auto"/>
              <w:bottom w:val="single" w:sz="4" w:space="0" w:color="auto"/>
            </w:tcBorders>
            <w:shd w:val="clear" w:color="auto" w:fill="F2F2F2" w:themeFill="background1" w:themeFillShade="F2"/>
          </w:tcPr>
          <w:p w14:paraId="691FD0DF" w14:textId="3557F539"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6" w:type="dxa"/>
            <w:tcBorders>
              <w:top w:val="single" w:sz="4" w:space="0" w:color="auto"/>
              <w:bottom w:val="single" w:sz="4" w:space="0" w:color="auto"/>
            </w:tcBorders>
            <w:shd w:val="clear" w:color="auto" w:fill="auto"/>
          </w:tcPr>
          <w:p w14:paraId="049CFD51" w14:textId="399BB575"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5" w:type="dxa"/>
            <w:tcBorders>
              <w:top w:val="single" w:sz="4" w:space="0" w:color="auto"/>
              <w:bottom w:val="single" w:sz="4" w:space="0" w:color="auto"/>
            </w:tcBorders>
            <w:shd w:val="clear" w:color="auto" w:fill="auto"/>
          </w:tcPr>
          <w:p w14:paraId="15AEBB09"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2</w:t>
            </w:r>
          </w:p>
        </w:tc>
        <w:tc>
          <w:tcPr>
            <w:tcW w:w="589" w:type="dxa"/>
            <w:tcBorders>
              <w:top w:val="single" w:sz="4" w:space="0" w:color="auto"/>
              <w:bottom w:val="single" w:sz="4" w:space="0" w:color="auto"/>
            </w:tcBorders>
            <w:shd w:val="clear" w:color="auto" w:fill="auto"/>
          </w:tcPr>
          <w:p w14:paraId="6B49FAFE" w14:textId="1780451E"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79" w:type="dxa"/>
            <w:tcBorders>
              <w:top w:val="single" w:sz="4" w:space="0" w:color="auto"/>
              <w:bottom w:val="single" w:sz="4" w:space="0" w:color="auto"/>
            </w:tcBorders>
            <w:shd w:val="clear" w:color="auto" w:fill="auto"/>
          </w:tcPr>
          <w:p w14:paraId="102EE15B" w14:textId="4FAF5B78"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4" w:type="dxa"/>
            <w:tcBorders>
              <w:top w:val="single" w:sz="4" w:space="0" w:color="auto"/>
              <w:bottom w:val="single" w:sz="4" w:space="0" w:color="auto"/>
            </w:tcBorders>
            <w:shd w:val="clear" w:color="auto" w:fill="auto"/>
          </w:tcPr>
          <w:p w14:paraId="718815EE" w14:textId="7727ECD6"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90" w:type="dxa"/>
            <w:tcBorders>
              <w:top w:val="single" w:sz="4" w:space="0" w:color="auto"/>
              <w:bottom w:val="single" w:sz="4" w:space="0" w:color="auto"/>
            </w:tcBorders>
            <w:shd w:val="clear" w:color="auto" w:fill="auto"/>
          </w:tcPr>
          <w:p w14:paraId="0CBE3C4E" w14:textId="4363346D"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6" w:type="dxa"/>
            <w:tcBorders>
              <w:top w:val="single" w:sz="4" w:space="0" w:color="auto"/>
              <w:bottom w:val="single" w:sz="4" w:space="0" w:color="auto"/>
            </w:tcBorders>
            <w:shd w:val="clear" w:color="auto" w:fill="auto"/>
          </w:tcPr>
          <w:p w14:paraId="791C4517"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1</w:t>
            </w:r>
          </w:p>
        </w:tc>
        <w:tc>
          <w:tcPr>
            <w:tcW w:w="587" w:type="dxa"/>
            <w:tcBorders>
              <w:top w:val="single" w:sz="4" w:space="0" w:color="auto"/>
              <w:bottom w:val="single" w:sz="4" w:space="0" w:color="auto"/>
            </w:tcBorders>
            <w:shd w:val="clear" w:color="auto" w:fill="auto"/>
          </w:tcPr>
          <w:p w14:paraId="4C936B81"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1</w:t>
            </w:r>
          </w:p>
        </w:tc>
        <w:tc>
          <w:tcPr>
            <w:tcW w:w="589" w:type="dxa"/>
            <w:tcBorders>
              <w:top w:val="single" w:sz="4" w:space="0" w:color="auto"/>
              <w:bottom w:val="single" w:sz="4" w:space="0" w:color="auto"/>
            </w:tcBorders>
            <w:shd w:val="clear" w:color="auto" w:fill="auto"/>
          </w:tcPr>
          <w:p w14:paraId="4E902049" w14:textId="14D8F4B0"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6" w:type="dxa"/>
            <w:tcBorders>
              <w:top w:val="single" w:sz="4" w:space="0" w:color="auto"/>
              <w:bottom w:val="single" w:sz="4" w:space="0" w:color="auto"/>
            </w:tcBorders>
            <w:shd w:val="clear" w:color="auto" w:fill="auto"/>
          </w:tcPr>
          <w:p w14:paraId="0A3363FE" w14:textId="6D2ADADA"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4" w:type="dxa"/>
            <w:tcBorders>
              <w:top w:val="single" w:sz="4" w:space="0" w:color="auto"/>
              <w:bottom w:val="single" w:sz="4" w:space="0" w:color="auto"/>
            </w:tcBorders>
            <w:shd w:val="clear" w:color="auto" w:fill="auto"/>
          </w:tcPr>
          <w:p w14:paraId="708FC815"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1</w:t>
            </w:r>
          </w:p>
        </w:tc>
        <w:tc>
          <w:tcPr>
            <w:tcW w:w="590" w:type="dxa"/>
            <w:tcBorders>
              <w:top w:val="single" w:sz="4" w:space="0" w:color="auto"/>
              <w:bottom w:val="single" w:sz="4" w:space="0" w:color="auto"/>
            </w:tcBorders>
            <w:shd w:val="clear" w:color="auto" w:fill="auto"/>
          </w:tcPr>
          <w:p w14:paraId="56FBD267" w14:textId="5B29F70B"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6" w:type="dxa"/>
            <w:tcBorders>
              <w:top w:val="single" w:sz="4" w:space="0" w:color="auto"/>
              <w:bottom w:val="single" w:sz="4" w:space="0" w:color="auto"/>
            </w:tcBorders>
            <w:shd w:val="clear" w:color="auto" w:fill="auto"/>
          </w:tcPr>
          <w:p w14:paraId="15C38E2A"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5</w:t>
            </w:r>
          </w:p>
        </w:tc>
        <w:tc>
          <w:tcPr>
            <w:tcW w:w="587" w:type="dxa"/>
            <w:tcBorders>
              <w:top w:val="single" w:sz="4" w:space="0" w:color="auto"/>
              <w:bottom w:val="single" w:sz="4" w:space="0" w:color="auto"/>
            </w:tcBorders>
            <w:shd w:val="clear" w:color="auto" w:fill="auto"/>
          </w:tcPr>
          <w:p w14:paraId="0A31A572"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2</w:t>
            </w:r>
          </w:p>
        </w:tc>
        <w:tc>
          <w:tcPr>
            <w:tcW w:w="589" w:type="dxa"/>
            <w:tcBorders>
              <w:top w:val="single" w:sz="4" w:space="0" w:color="auto"/>
              <w:bottom w:val="single" w:sz="4" w:space="0" w:color="auto"/>
            </w:tcBorders>
            <w:shd w:val="clear" w:color="auto" w:fill="auto"/>
          </w:tcPr>
          <w:p w14:paraId="2DA4C521" w14:textId="1776BB15"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79" w:type="dxa"/>
            <w:tcBorders>
              <w:top w:val="single" w:sz="4" w:space="0" w:color="auto"/>
              <w:bottom w:val="single" w:sz="4" w:space="0" w:color="auto"/>
            </w:tcBorders>
            <w:shd w:val="clear" w:color="auto" w:fill="auto"/>
          </w:tcPr>
          <w:p w14:paraId="252B5E1A" w14:textId="3F3B1B27"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4" w:type="dxa"/>
            <w:tcBorders>
              <w:top w:val="single" w:sz="4" w:space="0" w:color="auto"/>
              <w:bottom w:val="single" w:sz="4" w:space="0" w:color="auto"/>
            </w:tcBorders>
            <w:shd w:val="clear" w:color="auto" w:fill="auto"/>
          </w:tcPr>
          <w:p w14:paraId="0BC5E07E" w14:textId="239E06C8"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90" w:type="dxa"/>
            <w:tcBorders>
              <w:top w:val="single" w:sz="4" w:space="0" w:color="auto"/>
              <w:bottom w:val="single" w:sz="4" w:space="0" w:color="auto"/>
            </w:tcBorders>
            <w:shd w:val="clear" w:color="auto" w:fill="auto"/>
          </w:tcPr>
          <w:p w14:paraId="4141FB78" w14:textId="6D24BECB"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664" w:type="dxa"/>
            <w:tcBorders>
              <w:top w:val="single" w:sz="4" w:space="0" w:color="auto"/>
              <w:bottom w:val="single" w:sz="4" w:space="0" w:color="auto"/>
            </w:tcBorders>
            <w:shd w:val="clear" w:color="auto" w:fill="auto"/>
          </w:tcPr>
          <w:p w14:paraId="1B58FF31"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12</w:t>
            </w:r>
          </w:p>
        </w:tc>
      </w:tr>
      <w:tr w:rsidR="005B3907" w:rsidRPr="005734B8" w14:paraId="0E44E536" w14:textId="77777777" w:rsidTr="001A5C5E">
        <w:trPr>
          <w:cantSplit/>
          <w:trHeight w:val="461"/>
          <w:tblHeader/>
        </w:trPr>
        <w:tc>
          <w:tcPr>
            <w:tcW w:w="972" w:type="dxa"/>
            <w:tcBorders>
              <w:top w:val="single" w:sz="4" w:space="0" w:color="auto"/>
              <w:bottom w:val="single" w:sz="4" w:space="0" w:color="auto"/>
            </w:tcBorders>
            <w:shd w:val="clear" w:color="auto" w:fill="auto"/>
          </w:tcPr>
          <w:p w14:paraId="598F06AE" w14:textId="77777777" w:rsidR="005B3907" w:rsidRPr="005734B8" w:rsidRDefault="005B3907" w:rsidP="002B6980">
            <w:pPr>
              <w:pStyle w:val="ESTableheadingwhite"/>
              <w:rPr>
                <w:rFonts w:ascii="Calibri" w:hAnsi="Calibri" w:cs="Calibri"/>
                <w:color w:val="auto"/>
                <w:sz w:val="18"/>
                <w:lang w:val="en-AU"/>
              </w:rPr>
            </w:pPr>
            <w:r w:rsidRPr="005734B8">
              <w:rPr>
                <w:rFonts w:ascii="Calibri" w:hAnsi="Calibri" w:cs="Calibri"/>
                <w:color w:val="auto"/>
                <w:sz w:val="18"/>
                <w:lang w:val="en-AU"/>
              </w:rPr>
              <w:t>Total</w:t>
            </w:r>
          </w:p>
        </w:tc>
        <w:tc>
          <w:tcPr>
            <w:tcW w:w="587" w:type="dxa"/>
            <w:tcBorders>
              <w:top w:val="single" w:sz="4" w:space="0" w:color="auto"/>
              <w:bottom w:val="single" w:sz="4" w:space="0" w:color="auto"/>
            </w:tcBorders>
            <w:shd w:val="clear" w:color="auto" w:fill="F2F2F2" w:themeFill="background1" w:themeFillShade="F2"/>
          </w:tcPr>
          <w:p w14:paraId="5F001B93"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68</w:t>
            </w:r>
          </w:p>
        </w:tc>
        <w:tc>
          <w:tcPr>
            <w:tcW w:w="587" w:type="dxa"/>
            <w:tcBorders>
              <w:top w:val="single" w:sz="4" w:space="0" w:color="auto"/>
              <w:bottom w:val="single" w:sz="4" w:space="0" w:color="auto"/>
            </w:tcBorders>
            <w:shd w:val="clear" w:color="auto" w:fill="F2F2F2" w:themeFill="background1" w:themeFillShade="F2"/>
          </w:tcPr>
          <w:p w14:paraId="222EB27E"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40</w:t>
            </w:r>
          </w:p>
        </w:tc>
        <w:tc>
          <w:tcPr>
            <w:tcW w:w="590" w:type="dxa"/>
            <w:tcBorders>
              <w:top w:val="single" w:sz="4" w:space="0" w:color="auto"/>
              <w:bottom w:val="single" w:sz="4" w:space="0" w:color="auto"/>
            </w:tcBorders>
            <w:shd w:val="clear" w:color="auto" w:fill="F2F2F2" w:themeFill="background1" w:themeFillShade="F2"/>
          </w:tcPr>
          <w:p w14:paraId="74824850" w14:textId="057BBFA9" w:rsidR="005B3907" w:rsidRPr="005734B8" w:rsidRDefault="001A5C5E" w:rsidP="002B6980">
            <w:pPr>
              <w:pStyle w:val="ESTableheadingwhite"/>
              <w:jc w:val="center"/>
              <w:rPr>
                <w:rFonts w:ascii="Calibri" w:hAnsi="Calibri" w:cs="Calibri"/>
                <w:color w:val="auto"/>
                <w:sz w:val="18"/>
                <w:lang w:val="en-AU"/>
              </w:rPr>
            </w:pPr>
            <w:r w:rsidRPr="005734B8">
              <w:rPr>
                <w:rFonts w:ascii="Calibri" w:hAnsi="Calibri" w:cs="Calibri"/>
                <w:bCs/>
                <w:color w:val="auto"/>
                <w:sz w:val="18"/>
                <w:lang w:val="en-AU"/>
              </w:rPr>
              <w:t>–</w:t>
            </w:r>
          </w:p>
        </w:tc>
        <w:tc>
          <w:tcPr>
            <w:tcW w:w="586" w:type="dxa"/>
            <w:tcBorders>
              <w:top w:val="single" w:sz="4" w:space="0" w:color="auto"/>
              <w:bottom w:val="single" w:sz="4" w:space="0" w:color="auto"/>
            </w:tcBorders>
            <w:shd w:val="clear" w:color="auto" w:fill="auto"/>
          </w:tcPr>
          <w:p w14:paraId="451D1C46"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12</w:t>
            </w:r>
          </w:p>
        </w:tc>
        <w:tc>
          <w:tcPr>
            <w:tcW w:w="585" w:type="dxa"/>
            <w:tcBorders>
              <w:top w:val="single" w:sz="4" w:space="0" w:color="auto"/>
              <w:bottom w:val="single" w:sz="4" w:space="0" w:color="auto"/>
            </w:tcBorders>
            <w:shd w:val="clear" w:color="auto" w:fill="auto"/>
          </w:tcPr>
          <w:p w14:paraId="08D282F9"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5</w:t>
            </w:r>
          </w:p>
        </w:tc>
        <w:tc>
          <w:tcPr>
            <w:tcW w:w="589" w:type="dxa"/>
            <w:tcBorders>
              <w:top w:val="single" w:sz="4" w:space="0" w:color="auto"/>
              <w:bottom w:val="single" w:sz="4" w:space="0" w:color="auto"/>
            </w:tcBorders>
            <w:shd w:val="clear" w:color="auto" w:fill="auto"/>
          </w:tcPr>
          <w:p w14:paraId="0EF74042" w14:textId="758B8A12" w:rsidR="005B3907" w:rsidRPr="005734B8" w:rsidRDefault="001A5C5E" w:rsidP="002B6980">
            <w:pPr>
              <w:pStyle w:val="ESTableheadingwhite"/>
              <w:jc w:val="center"/>
              <w:rPr>
                <w:rFonts w:ascii="Calibri" w:hAnsi="Calibri" w:cs="Calibri"/>
                <w:color w:val="auto"/>
                <w:sz w:val="18"/>
                <w:lang w:val="en-AU"/>
              </w:rPr>
            </w:pPr>
            <w:r w:rsidRPr="005734B8">
              <w:rPr>
                <w:rFonts w:ascii="Calibri" w:hAnsi="Calibri" w:cs="Calibri"/>
                <w:bCs/>
                <w:color w:val="auto"/>
                <w:sz w:val="18"/>
                <w:lang w:val="en-AU"/>
              </w:rPr>
              <w:t>–</w:t>
            </w:r>
          </w:p>
        </w:tc>
        <w:tc>
          <w:tcPr>
            <w:tcW w:w="579" w:type="dxa"/>
            <w:tcBorders>
              <w:top w:val="single" w:sz="4" w:space="0" w:color="auto"/>
              <w:bottom w:val="single" w:sz="4" w:space="0" w:color="auto"/>
            </w:tcBorders>
            <w:shd w:val="clear" w:color="auto" w:fill="auto"/>
          </w:tcPr>
          <w:p w14:paraId="3E68E77D"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2</w:t>
            </w:r>
          </w:p>
        </w:tc>
        <w:tc>
          <w:tcPr>
            <w:tcW w:w="584" w:type="dxa"/>
            <w:tcBorders>
              <w:top w:val="single" w:sz="4" w:space="0" w:color="auto"/>
              <w:bottom w:val="single" w:sz="4" w:space="0" w:color="auto"/>
            </w:tcBorders>
            <w:shd w:val="clear" w:color="auto" w:fill="auto"/>
          </w:tcPr>
          <w:p w14:paraId="59857323"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2</w:t>
            </w:r>
          </w:p>
        </w:tc>
        <w:tc>
          <w:tcPr>
            <w:tcW w:w="590" w:type="dxa"/>
            <w:tcBorders>
              <w:top w:val="single" w:sz="4" w:space="0" w:color="auto"/>
              <w:bottom w:val="single" w:sz="4" w:space="0" w:color="auto"/>
            </w:tcBorders>
            <w:shd w:val="clear" w:color="auto" w:fill="auto"/>
          </w:tcPr>
          <w:p w14:paraId="6F9EDF8D" w14:textId="4C5E771C" w:rsidR="005B3907" w:rsidRPr="005734B8" w:rsidRDefault="001A5C5E" w:rsidP="002B6980">
            <w:pPr>
              <w:pStyle w:val="ESTableheadingwhite"/>
              <w:jc w:val="center"/>
              <w:rPr>
                <w:rFonts w:ascii="Calibri" w:hAnsi="Calibri" w:cs="Calibri"/>
                <w:color w:val="auto"/>
                <w:sz w:val="18"/>
                <w:lang w:val="en-AU"/>
              </w:rPr>
            </w:pPr>
            <w:r w:rsidRPr="005734B8">
              <w:rPr>
                <w:rFonts w:ascii="Calibri" w:hAnsi="Calibri" w:cs="Calibri"/>
                <w:bCs/>
                <w:color w:val="auto"/>
                <w:sz w:val="18"/>
                <w:lang w:val="en-AU"/>
              </w:rPr>
              <w:t>–</w:t>
            </w:r>
          </w:p>
        </w:tc>
        <w:tc>
          <w:tcPr>
            <w:tcW w:w="586" w:type="dxa"/>
            <w:tcBorders>
              <w:top w:val="single" w:sz="4" w:space="0" w:color="auto"/>
              <w:bottom w:val="single" w:sz="4" w:space="0" w:color="auto"/>
            </w:tcBorders>
            <w:shd w:val="clear" w:color="auto" w:fill="auto"/>
          </w:tcPr>
          <w:p w14:paraId="3CF31C42"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18</w:t>
            </w:r>
          </w:p>
        </w:tc>
        <w:tc>
          <w:tcPr>
            <w:tcW w:w="587" w:type="dxa"/>
            <w:tcBorders>
              <w:top w:val="single" w:sz="4" w:space="0" w:color="auto"/>
              <w:bottom w:val="single" w:sz="4" w:space="0" w:color="auto"/>
            </w:tcBorders>
            <w:shd w:val="clear" w:color="auto" w:fill="auto"/>
          </w:tcPr>
          <w:p w14:paraId="558FE984"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10</w:t>
            </w:r>
          </w:p>
        </w:tc>
        <w:tc>
          <w:tcPr>
            <w:tcW w:w="589" w:type="dxa"/>
            <w:tcBorders>
              <w:top w:val="single" w:sz="4" w:space="0" w:color="auto"/>
              <w:bottom w:val="single" w:sz="4" w:space="0" w:color="auto"/>
            </w:tcBorders>
            <w:shd w:val="clear" w:color="auto" w:fill="auto"/>
          </w:tcPr>
          <w:p w14:paraId="0CFE491E" w14:textId="5DD2E258" w:rsidR="005B3907" w:rsidRPr="005734B8" w:rsidRDefault="001A5C5E" w:rsidP="002B6980">
            <w:pPr>
              <w:pStyle w:val="ESTableheadingwhite"/>
              <w:jc w:val="center"/>
              <w:rPr>
                <w:rFonts w:ascii="Calibri" w:hAnsi="Calibri" w:cs="Calibri"/>
                <w:color w:val="auto"/>
                <w:sz w:val="18"/>
                <w:lang w:val="en-AU"/>
              </w:rPr>
            </w:pPr>
            <w:r w:rsidRPr="005734B8">
              <w:rPr>
                <w:rFonts w:ascii="Calibri" w:hAnsi="Calibri" w:cs="Calibri"/>
                <w:bCs/>
                <w:color w:val="auto"/>
                <w:sz w:val="18"/>
                <w:lang w:val="en-AU"/>
              </w:rPr>
              <w:t>–</w:t>
            </w:r>
          </w:p>
        </w:tc>
        <w:tc>
          <w:tcPr>
            <w:tcW w:w="586" w:type="dxa"/>
            <w:tcBorders>
              <w:top w:val="single" w:sz="4" w:space="0" w:color="auto"/>
              <w:bottom w:val="single" w:sz="4" w:space="0" w:color="auto"/>
            </w:tcBorders>
            <w:shd w:val="clear" w:color="auto" w:fill="auto"/>
          </w:tcPr>
          <w:p w14:paraId="1247C769"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13</w:t>
            </w:r>
          </w:p>
        </w:tc>
        <w:tc>
          <w:tcPr>
            <w:tcW w:w="584" w:type="dxa"/>
            <w:tcBorders>
              <w:top w:val="single" w:sz="4" w:space="0" w:color="auto"/>
              <w:bottom w:val="single" w:sz="4" w:space="0" w:color="auto"/>
            </w:tcBorders>
            <w:shd w:val="clear" w:color="auto" w:fill="auto"/>
          </w:tcPr>
          <w:p w14:paraId="66B9D3DE"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8</w:t>
            </w:r>
          </w:p>
        </w:tc>
        <w:tc>
          <w:tcPr>
            <w:tcW w:w="590" w:type="dxa"/>
            <w:tcBorders>
              <w:top w:val="single" w:sz="4" w:space="0" w:color="auto"/>
              <w:bottom w:val="single" w:sz="4" w:space="0" w:color="auto"/>
            </w:tcBorders>
            <w:shd w:val="clear" w:color="auto" w:fill="auto"/>
          </w:tcPr>
          <w:p w14:paraId="0201EBDB" w14:textId="3CE8ED98" w:rsidR="005B3907" w:rsidRPr="005734B8" w:rsidRDefault="001A5C5E" w:rsidP="002B6980">
            <w:pPr>
              <w:pStyle w:val="ESTableheadingwhite"/>
              <w:jc w:val="center"/>
              <w:rPr>
                <w:rFonts w:ascii="Calibri" w:hAnsi="Calibri" w:cs="Calibri"/>
                <w:color w:val="auto"/>
                <w:sz w:val="18"/>
                <w:lang w:val="en-AU"/>
              </w:rPr>
            </w:pPr>
            <w:r w:rsidRPr="005734B8">
              <w:rPr>
                <w:rFonts w:ascii="Calibri" w:hAnsi="Calibri" w:cs="Calibri"/>
                <w:bCs/>
                <w:color w:val="auto"/>
                <w:sz w:val="18"/>
                <w:lang w:val="en-AU"/>
              </w:rPr>
              <w:t>–</w:t>
            </w:r>
          </w:p>
        </w:tc>
        <w:tc>
          <w:tcPr>
            <w:tcW w:w="586" w:type="dxa"/>
            <w:tcBorders>
              <w:top w:val="single" w:sz="4" w:space="0" w:color="auto"/>
              <w:bottom w:val="single" w:sz="4" w:space="0" w:color="auto"/>
            </w:tcBorders>
            <w:shd w:val="clear" w:color="auto" w:fill="auto"/>
          </w:tcPr>
          <w:p w14:paraId="1EC1DBDF"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19</w:t>
            </w:r>
          </w:p>
        </w:tc>
        <w:tc>
          <w:tcPr>
            <w:tcW w:w="587" w:type="dxa"/>
            <w:tcBorders>
              <w:top w:val="single" w:sz="4" w:space="0" w:color="auto"/>
              <w:bottom w:val="single" w:sz="4" w:space="0" w:color="auto"/>
            </w:tcBorders>
            <w:shd w:val="clear" w:color="auto" w:fill="auto"/>
          </w:tcPr>
          <w:p w14:paraId="0E1CAD0B"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14</w:t>
            </w:r>
          </w:p>
        </w:tc>
        <w:tc>
          <w:tcPr>
            <w:tcW w:w="589" w:type="dxa"/>
            <w:tcBorders>
              <w:top w:val="single" w:sz="4" w:space="0" w:color="auto"/>
              <w:bottom w:val="single" w:sz="4" w:space="0" w:color="auto"/>
            </w:tcBorders>
            <w:shd w:val="clear" w:color="auto" w:fill="auto"/>
          </w:tcPr>
          <w:p w14:paraId="7D273DDC" w14:textId="33174E54" w:rsidR="005B3907" w:rsidRPr="005734B8" w:rsidRDefault="001A5C5E" w:rsidP="002B6980">
            <w:pPr>
              <w:pStyle w:val="ESTableheadingwhite"/>
              <w:jc w:val="center"/>
              <w:rPr>
                <w:rFonts w:ascii="Calibri" w:hAnsi="Calibri" w:cs="Calibri"/>
                <w:color w:val="auto"/>
                <w:sz w:val="18"/>
                <w:lang w:val="en-AU"/>
              </w:rPr>
            </w:pPr>
            <w:r w:rsidRPr="005734B8">
              <w:rPr>
                <w:rFonts w:ascii="Calibri" w:hAnsi="Calibri" w:cs="Calibri"/>
                <w:bCs/>
                <w:color w:val="auto"/>
                <w:sz w:val="18"/>
                <w:lang w:val="en-AU"/>
              </w:rPr>
              <w:t>–</w:t>
            </w:r>
          </w:p>
        </w:tc>
        <w:tc>
          <w:tcPr>
            <w:tcW w:w="579" w:type="dxa"/>
            <w:tcBorders>
              <w:top w:val="single" w:sz="4" w:space="0" w:color="auto"/>
              <w:bottom w:val="single" w:sz="4" w:space="0" w:color="auto"/>
            </w:tcBorders>
            <w:shd w:val="clear" w:color="auto" w:fill="auto"/>
          </w:tcPr>
          <w:p w14:paraId="657D09F8"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4</w:t>
            </w:r>
          </w:p>
        </w:tc>
        <w:tc>
          <w:tcPr>
            <w:tcW w:w="584" w:type="dxa"/>
            <w:tcBorders>
              <w:top w:val="single" w:sz="4" w:space="0" w:color="auto"/>
              <w:bottom w:val="single" w:sz="4" w:space="0" w:color="auto"/>
            </w:tcBorders>
            <w:shd w:val="clear" w:color="auto" w:fill="auto"/>
          </w:tcPr>
          <w:p w14:paraId="08F46269"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1</w:t>
            </w:r>
          </w:p>
        </w:tc>
        <w:tc>
          <w:tcPr>
            <w:tcW w:w="590" w:type="dxa"/>
            <w:tcBorders>
              <w:top w:val="single" w:sz="4" w:space="0" w:color="auto"/>
              <w:bottom w:val="single" w:sz="4" w:space="0" w:color="auto"/>
            </w:tcBorders>
            <w:shd w:val="clear" w:color="auto" w:fill="auto"/>
          </w:tcPr>
          <w:p w14:paraId="22701E87" w14:textId="38CB0655" w:rsidR="005B3907" w:rsidRPr="005734B8" w:rsidRDefault="001A5C5E" w:rsidP="002B6980">
            <w:pPr>
              <w:pStyle w:val="ESTableheadingwhite"/>
              <w:jc w:val="center"/>
              <w:rPr>
                <w:rFonts w:ascii="Calibri" w:hAnsi="Calibri" w:cs="Calibri"/>
                <w:color w:val="auto"/>
                <w:sz w:val="18"/>
                <w:lang w:val="en-AU"/>
              </w:rPr>
            </w:pPr>
            <w:r w:rsidRPr="005734B8">
              <w:rPr>
                <w:rFonts w:ascii="Calibri" w:hAnsi="Calibri" w:cs="Calibri"/>
                <w:bCs/>
                <w:color w:val="auto"/>
                <w:sz w:val="18"/>
                <w:lang w:val="en-AU"/>
              </w:rPr>
              <w:t>–</w:t>
            </w:r>
          </w:p>
        </w:tc>
        <w:tc>
          <w:tcPr>
            <w:tcW w:w="664" w:type="dxa"/>
            <w:tcBorders>
              <w:top w:val="single" w:sz="4" w:space="0" w:color="auto"/>
              <w:bottom w:val="single" w:sz="4" w:space="0" w:color="auto"/>
            </w:tcBorders>
            <w:shd w:val="clear" w:color="auto" w:fill="auto"/>
          </w:tcPr>
          <w:p w14:paraId="424FE65A"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108</w:t>
            </w:r>
          </w:p>
        </w:tc>
      </w:tr>
    </w:tbl>
    <w:p w14:paraId="041A0C48" w14:textId="77777777" w:rsidR="005B3907" w:rsidRPr="005734B8" w:rsidRDefault="005B3907" w:rsidP="005B3907">
      <w:pPr>
        <w:rPr>
          <w:rFonts w:ascii="Calibri" w:hAnsi="Calibri" w:cs="Calibri"/>
        </w:rPr>
      </w:pPr>
    </w:p>
    <w:p w14:paraId="7655DA74" w14:textId="6C45969B" w:rsidR="005B3907" w:rsidRPr="005734B8" w:rsidRDefault="005B3907" w:rsidP="005B3907">
      <w:pPr>
        <w:pStyle w:val="ESTableintroheading"/>
        <w:rPr>
          <w:rFonts w:ascii="Calibri" w:hAnsi="Calibri" w:cs="Calibri"/>
        </w:rPr>
      </w:pPr>
      <w:r w:rsidRPr="005734B8">
        <w:rPr>
          <w:rFonts w:ascii="Calibri" w:hAnsi="Calibri" w:cs="Calibri"/>
        </w:rPr>
        <w:t xml:space="preserve">Public service appeals and grievances 2020–21 </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33"/>
        <w:gridCol w:w="584"/>
        <w:gridCol w:w="584"/>
        <w:gridCol w:w="589"/>
        <w:gridCol w:w="576"/>
        <w:gridCol w:w="583"/>
        <w:gridCol w:w="587"/>
        <w:gridCol w:w="576"/>
        <w:gridCol w:w="583"/>
        <w:gridCol w:w="589"/>
        <w:gridCol w:w="576"/>
        <w:gridCol w:w="584"/>
        <w:gridCol w:w="588"/>
        <w:gridCol w:w="577"/>
        <w:gridCol w:w="583"/>
        <w:gridCol w:w="589"/>
        <w:gridCol w:w="584"/>
        <w:gridCol w:w="584"/>
        <w:gridCol w:w="588"/>
        <w:gridCol w:w="577"/>
        <w:gridCol w:w="583"/>
        <w:gridCol w:w="589"/>
        <w:gridCol w:w="664"/>
      </w:tblGrid>
      <w:tr w:rsidR="005B3907" w:rsidRPr="005734B8" w14:paraId="31300D26" w14:textId="77777777" w:rsidTr="001A5C5E">
        <w:trPr>
          <w:cantSplit/>
          <w:trHeight w:val="462"/>
          <w:tblHeader/>
        </w:trPr>
        <w:tc>
          <w:tcPr>
            <w:tcW w:w="971" w:type="dxa"/>
            <w:tcBorders>
              <w:bottom w:val="single" w:sz="4" w:space="0" w:color="FFFFFF" w:themeColor="background1"/>
            </w:tcBorders>
            <w:shd w:val="clear" w:color="auto" w:fill="AF272F" w:themeFill="accent4"/>
          </w:tcPr>
          <w:p w14:paraId="56AA8C1A" w14:textId="77777777" w:rsidR="005B3907" w:rsidRPr="005734B8" w:rsidRDefault="005B3907" w:rsidP="002B6980">
            <w:pPr>
              <w:pStyle w:val="ESTableheadingwhite"/>
              <w:rPr>
                <w:rFonts w:ascii="Calibri" w:hAnsi="Calibri" w:cs="Calibri"/>
                <w:sz w:val="18"/>
                <w:lang w:val="en-AU"/>
              </w:rPr>
            </w:pPr>
            <w:r w:rsidRPr="005734B8">
              <w:rPr>
                <w:rFonts w:ascii="Calibri" w:hAnsi="Calibri" w:cs="Calibri"/>
                <w:sz w:val="18"/>
                <w:lang w:val="en-AU"/>
              </w:rPr>
              <w:t>Category</w:t>
            </w:r>
          </w:p>
        </w:tc>
        <w:tc>
          <w:tcPr>
            <w:tcW w:w="1765" w:type="dxa"/>
            <w:gridSpan w:val="3"/>
            <w:tcBorders>
              <w:bottom w:val="single" w:sz="4" w:space="0" w:color="FFFFFF" w:themeColor="background1"/>
            </w:tcBorders>
            <w:shd w:val="clear" w:color="auto" w:fill="AF272F" w:themeFill="accent4"/>
          </w:tcPr>
          <w:p w14:paraId="67CD93F0"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Received</w:t>
            </w:r>
          </w:p>
        </w:tc>
        <w:tc>
          <w:tcPr>
            <w:tcW w:w="1755" w:type="dxa"/>
            <w:gridSpan w:val="3"/>
            <w:tcBorders>
              <w:bottom w:val="single" w:sz="4" w:space="0" w:color="FFFFFF" w:themeColor="background1"/>
            </w:tcBorders>
            <w:shd w:val="clear" w:color="auto" w:fill="AF272F" w:themeFill="accent4"/>
          </w:tcPr>
          <w:p w14:paraId="54B15DDD"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Upheld</w:t>
            </w:r>
          </w:p>
        </w:tc>
        <w:tc>
          <w:tcPr>
            <w:tcW w:w="1757" w:type="dxa"/>
            <w:gridSpan w:val="3"/>
            <w:tcBorders>
              <w:bottom w:val="single" w:sz="4" w:space="0" w:color="FFFFFF" w:themeColor="background1"/>
            </w:tcBorders>
            <w:shd w:val="clear" w:color="auto" w:fill="AF272F" w:themeFill="accent4"/>
          </w:tcPr>
          <w:p w14:paraId="336AD4E8"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Conciliated</w:t>
            </w:r>
          </w:p>
        </w:tc>
        <w:tc>
          <w:tcPr>
            <w:tcW w:w="1757" w:type="dxa"/>
            <w:gridSpan w:val="3"/>
            <w:tcBorders>
              <w:bottom w:val="single" w:sz="4" w:space="0" w:color="FFFFFF" w:themeColor="background1"/>
            </w:tcBorders>
            <w:shd w:val="clear" w:color="auto" w:fill="AF272F" w:themeFill="accent4"/>
          </w:tcPr>
          <w:p w14:paraId="24769828"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Disallowed</w:t>
            </w:r>
          </w:p>
        </w:tc>
        <w:tc>
          <w:tcPr>
            <w:tcW w:w="1758" w:type="dxa"/>
            <w:gridSpan w:val="3"/>
            <w:tcBorders>
              <w:bottom w:val="single" w:sz="4" w:space="0" w:color="FFFFFF" w:themeColor="background1"/>
            </w:tcBorders>
            <w:shd w:val="clear" w:color="auto" w:fill="AF272F" w:themeFill="accent4"/>
          </w:tcPr>
          <w:p w14:paraId="74B80222"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Withdrawn</w:t>
            </w:r>
          </w:p>
        </w:tc>
        <w:tc>
          <w:tcPr>
            <w:tcW w:w="1764" w:type="dxa"/>
            <w:gridSpan w:val="3"/>
            <w:tcBorders>
              <w:bottom w:val="single" w:sz="4" w:space="0" w:color="FFFFFF" w:themeColor="background1"/>
            </w:tcBorders>
            <w:shd w:val="clear" w:color="auto" w:fill="AF272F" w:themeFill="accent4"/>
          </w:tcPr>
          <w:p w14:paraId="5236B6C1"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Abandoned, no grounds, no jurisdiction or out of time</w:t>
            </w:r>
          </w:p>
        </w:tc>
        <w:tc>
          <w:tcPr>
            <w:tcW w:w="1758" w:type="dxa"/>
            <w:gridSpan w:val="3"/>
            <w:tcBorders>
              <w:bottom w:val="single" w:sz="4" w:space="0" w:color="FFFFFF" w:themeColor="background1"/>
            </w:tcBorders>
            <w:shd w:val="clear" w:color="auto" w:fill="AF272F" w:themeFill="accent4"/>
          </w:tcPr>
          <w:p w14:paraId="180DF33E"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Pending</w:t>
            </w:r>
          </w:p>
        </w:tc>
        <w:tc>
          <w:tcPr>
            <w:tcW w:w="665" w:type="dxa"/>
            <w:tcBorders>
              <w:bottom w:val="single" w:sz="4" w:space="0" w:color="FFFFFF" w:themeColor="background1"/>
            </w:tcBorders>
            <w:shd w:val="clear" w:color="auto" w:fill="AF272F" w:themeFill="accent4"/>
          </w:tcPr>
          <w:p w14:paraId="6A393EEE"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Total</w:t>
            </w:r>
          </w:p>
        </w:tc>
      </w:tr>
      <w:tr w:rsidR="00912670" w:rsidRPr="005734B8" w14:paraId="134037FB" w14:textId="77777777" w:rsidTr="001A5C5E">
        <w:trPr>
          <w:cantSplit/>
          <w:trHeight w:val="462"/>
          <w:tblHeader/>
        </w:trPr>
        <w:tc>
          <w:tcPr>
            <w:tcW w:w="971" w:type="dxa"/>
            <w:tcBorders>
              <w:bottom w:val="single" w:sz="4" w:space="0" w:color="FFFFFF" w:themeColor="background1"/>
            </w:tcBorders>
            <w:shd w:val="clear" w:color="auto" w:fill="D9D9D6" w:themeFill="accent6"/>
          </w:tcPr>
          <w:p w14:paraId="1B7538BC" w14:textId="77777777" w:rsidR="005B3907" w:rsidRPr="005734B8" w:rsidRDefault="005B3907" w:rsidP="002B6980">
            <w:pPr>
              <w:pStyle w:val="ESTableheadingwhite"/>
              <w:rPr>
                <w:rFonts w:ascii="Calibri" w:hAnsi="Calibri" w:cs="Calibri"/>
                <w:sz w:val="18"/>
                <w:lang w:val="en-AU"/>
              </w:rPr>
            </w:pPr>
          </w:p>
        </w:tc>
        <w:tc>
          <w:tcPr>
            <w:tcW w:w="587" w:type="dxa"/>
            <w:tcBorders>
              <w:bottom w:val="single" w:sz="4" w:space="0" w:color="FFFFFF" w:themeColor="background1"/>
            </w:tcBorders>
            <w:shd w:val="clear" w:color="auto" w:fill="D9D9D6" w:themeFill="accent6"/>
          </w:tcPr>
          <w:p w14:paraId="7B0E342C"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F</w:t>
            </w:r>
          </w:p>
        </w:tc>
        <w:tc>
          <w:tcPr>
            <w:tcW w:w="587" w:type="dxa"/>
            <w:tcBorders>
              <w:bottom w:val="single" w:sz="4" w:space="0" w:color="FFFFFF" w:themeColor="background1"/>
            </w:tcBorders>
            <w:shd w:val="clear" w:color="auto" w:fill="D9D9D6" w:themeFill="accent6"/>
          </w:tcPr>
          <w:p w14:paraId="6AF47ECF"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M</w:t>
            </w:r>
          </w:p>
        </w:tc>
        <w:tc>
          <w:tcPr>
            <w:tcW w:w="591" w:type="dxa"/>
            <w:tcBorders>
              <w:bottom w:val="single" w:sz="4" w:space="0" w:color="FFFFFF" w:themeColor="background1"/>
            </w:tcBorders>
            <w:shd w:val="clear" w:color="auto" w:fill="D9D9D6" w:themeFill="accent6"/>
          </w:tcPr>
          <w:p w14:paraId="40B1AABC"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SD</w:t>
            </w:r>
          </w:p>
        </w:tc>
        <w:tc>
          <w:tcPr>
            <w:tcW w:w="580" w:type="dxa"/>
            <w:tcBorders>
              <w:bottom w:val="single" w:sz="4" w:space="0" w:color="FFFFFF" w:themeColor="background1"/>
            </w:tcBorders>
            <w:shd w:val="clear" w:color="auto" w:fill="D9D9D6" w:themeFill="accent6"/>
          </w:tcPr>
          <w:p w14:paraId="7AEFB88C"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F</w:t>
            </w:r>
          </w:p>
        </w:tc>
        <w:tc>
          <w:tcPr>
            <w:tcW w:w="586" w:type="dxa"/>
            <w:tcBorders>
              <w:bottom w:val="single" w:sz="4" w:space="0" w:color="FFFFFF" w:themeColor="background1"/>
            </w:tcBorders>
            <w:shd w:val="clear" w:color="auto" w:fill="D9D9D6" w:themeFill="accent6"/>
          </w:tcPr>
          <w:p w14:paraId="5987D349"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M</w:t>
            </w:r>
          </w:p>
        </w:tc>
        <w:tc>
          <w:tcPr>
            <w:tcW w:w="589" w:type="dxa"/>
            <w:tcBorders>
              <w:bottom w:val="single" w:sz="4" w:space="0" w:color="FFFFFF" w:themeColor="background1"/>
            </w:tcBorders>
            <w:shd w:val="clear" w:color="auto" w:fill="D9D9D6" w:themeFill="accent6"/>
          </w:tcPr>
          <w:p w14:paraId="4AC17E3F"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SD</w:t>
            </w:r>
          </w:p>
        </w:tc>
        <w:tc>
          <w:tcPr>
            <w:tcW w:w="580" w:type="dxa"/>
            <w:tcBorders>
              <w:bottom w:val="single" w:sz="4" w:space="0" w:color="FFFFFF" w:themeColor="background1"/>
            </w:tcBorders>
            <w:shd w:val="clear" w:color="auto" w:fill="D9D9D6" w:themeFill="accent6"/>
          </w:tcPr>
          <w:p w14:paraId="7C1511D9"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F</w:t>
            </w:r>
          </w:p>
        </w:tc>
        <w:tc>
          <w:tcPr>
            <w:tcW w:w="586" w:type="dxa"/>
            <w:tcBorders>
              <w:bottom w:val="single" w:sz="4" w:space="0" w:color="FFFFFF" w:themeColor="background1"/>
            </w:tcBorders>
            <w:shd w:val="clear" w:color="auto" w:fill="D9D9D6" w:themeFill="accent6"/>
          </w:tcPr>
          <w:p w14:paraId="4F5A9F4D"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M</w:t>
            </w:r>
          </w:p>
        </w:tc>
        <w:tc>
          <w:tcPr>
            <w:tcW w:w="591" w:type="dxa"/>
            <w:tcBorders>
              <w:bottom w:val="single" w:sz="4" w:space="0" w:color="FFFFFF" w:themeColor="background1"/>
            </w:tcBorders>
            <w:shd w:val="clear" w:color="auto" w:fill="D9D9D6" w:themeFill="accent6"/>
          </w:tcPr>
          <w:p w14:paraId="629E3559"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SD</w:t>
            </w:r>
          </w:p>
        </w:tc>
        <w:tc>
          <w:tcPr>
            <w:tcW w:w="580" w:type="dxa"/>
            <w:tcBorders>
              <w:bottom w:val="single" w:sz="4" w:space="0" w:color="FFFFFF" w:themeColor="background1"/>
            </w:tcBorders>
            <w:shd w:val="clear" w:color="auto" w:fill="D9D9D6" w:themeFill="accent6"/>
          </w:tcPr>
          <w:p w14:paraId="6A717225"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F</w:t>
            </w:r>
          </w:p>
        </w:tc>
        <w:tc>
          <w:tcPr>
            <w:tcW w:w="587" w:type="dxa"/>
            <w:tcBorders>
              <w:bottom w:val="single" w:sz="4" w:space="0" w:color="FFFFFF" w:themeColor="background1"/>
            </w:tcBorders>
            <w:shd w:val="clear" w:color="auto" w:fill="D9D9D6" w:themeFill="accent6"/>
          </w:tcPr>
          <w:p w14:paraId="1D34D4FA"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M</w:t>
            </w:r>
          </w:p>
        </w:tc>
        <w:tc>
          <w:tcPr>
            <w:tcW w:w="590" w:type="dxa"/>
            <w:tcBorders>
              <w:bottom w:val="single" w:sz="4" w:space="0" w:color="FFFFFF" w:themeColor="background1"/>
            </w:tcBorders>
            <w:shd w:val="clear" w:color="auto" w:fill="D9D9D6" w:themeFill="accent6"/>
          </w:tcPr>
          <w:p w14:paraId="0EDB4501"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SD</w:t>
            </w:r>
          </w:p>
        </w:tc>
        <w:tc>
          <w:tcPr>
            <w:tcW w:w="581" w:type="dxa"/>
            <w:tcBorders>
              <w:bottom w:val="single" w:sz="4" w:space="0" w:color="FFFFFF" w:themeColor="background1"/>
            </w:tcBorders>
            <w:shd w:val="clear" w:color="auto" w:fill="D9D9D6" w:themeFill="accent6"/>
          </w:tcPr>
          <w:p w14:paraId="0CF2E419"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F</w:t>
            </w:r>
          </w:p>
        </w:tc>
        <w:tc>
          <w:tcPr>
            <w:tcW w:w="586" w:type="dxa"/>
            <w:tcBorders>
              <w:bottom w:val="single" w:sz="4" w:space="0" w:color="FFFFFF" w:themeColor="background1"/>
            </w:tcBorders>
            <w:shd w:val="clear" w:color="auto" w:fill="D9D9D6" w:themeFill="accent6"/>
          </w:tcPr>
          <w:p w14:paraId="5D25576A"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M</w:t>
            </w:r>
          </w:p>
        </w:tc>
        <w:tc>
          <w:tcPr>
            <w:tcW w:w="591" w:type="dxa"/>
            <w:tcBorders>
              <w:bottom w:val="single" w:sz="4" w:space="0" w:color="FFFFFF" w:themeColor="background1"/>
            </w:tcBorders>
            <w:shd w:val="clear" w:color="auto" w:fill="D9D9D6" w:themeFill="accent6"/>
          </w:tcPr>
          <w:p w14:paraId="7C977085"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SD</w:t>
            </w:r>
          </w:p>
        </w:tc>
        <w:tc>
          <w:tcPr>
            <w:tcW w:w="587" w:type="dxa"/>
            <w:tcBorders>
              <w:bottom w:val="single" w:sz="4" w:space="0" w:color="FFFFFF" w:themeColor="background1"/>
            </w:tcBorders>
            <w:shd w:val="clear" w:color="auto" w:fill="D9D9D6" w:themeFill="accent6"/>
          </w:tcPr>
          <w:p w14:paraId="58C4978D"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F</w:t>
            </w:r>
          </w:p>
        </w:tc>
        <w:tc>
          <w:tcPr>
            <w:tcW w:w="587" w:type="dxa"/>
            <w:tcBorders>
              <w:bottom w:val="single" w:sz="4" w:space="0" w:color="FFFFFF" w:themeColor="background1"/>
            </w:tcBorders>
            <w:shd w:val="clear" w:color="auto" w:fill="D9D9D6" w:themeFill="accent6"/>
          </w:tcPr>
          <w:p w14:paraId="08F6D22B"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M</w:t>
            </w:r>
          </w:p>
        </w:tc>
        <w:tc>
          <w:tcPr>
            <w:tcW w:w="590" w:type="dxa"/>
            <w:tcBorders>
              <w:bottom w:val="single" w:sz="4" w:space="0" w:color="FFFFFF" w:themeColor="background1"/>
            </w:tcBorders>
            <w:shd w:val="clear" w:color="auto" w:fill="D9D9D6" w:themeFill="accent6"/>
          </w:tcPr>
          <w:p w14:paraId="7FE97C35"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SD</w:t>
            </w:r>
          </w:p>
        </w:tc>
        <w:tc>
          <w:tcPr>
            <w:tcW w:w="581" w:type="dxa"/>
            <w:tcBorders>
              <w:bottom w:val="single" w:sz="4" w:space="0" w:color="FFFFFF" w:themeColor="background1"/>
            </w:tcBorders>
            <w:shd w:val="clear" w:color="auto" w:fill="D9D9D6" w:themeFill="accent6"/>
          </w:tcPr>
          <w:p w14:paraId="3B4EED1F"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F</w:t>
            </w:r>
          </w:p>
        </w:tc>
        <w:tc>
          <w:tcPr>
            <w:tcW w:w="586" w:type="dxa"/>
            <w:tcBorders>
              <w:bottom w:val="single" w:sz="4" w:space="0" w:color="FFFFFF" w:themeColor="background1"/>
            </w:tcBorders>
            <w:shd w:val="clear" w:color="auto" w:fill="D9D9D6" w:themeFill="accent6"/>
          </w:tcPr>
          <w:p w14:paraId="5DEB9F71"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M</w:t>
            </w:r>
          </w:p>
        </w:tc>
        <w:tc>
          <w:tcPr>
            <w:tcW w:w="591" w:type="dxa"/>
            <w:tcBorders>
              <w:bottom w:val="single" w:sz="4" w:space="0" w:color="FFFFFF" w:themeColor="background1"/>
            </w:tcBorders>
            <w:shd w:val="clear" w:color="auto" w:fill="D9D9D6" w:themeFill="accent6"/>
          </w:tcPr>
          <w:p w14:paraId="3350A272" w14:textId="77777777" w:rsidR="005B3907" w:rsidRPr="005734B8" w:rsidRDefault="005B3907" w:rsidP="002B6980">
            <w:pPr>
              <w:pStyle w:val="ESTableheadingwhite"/>
              <w:jc w:val="center"/>
              <w:rPr>
                <w:rFonts w:ascii="Calibri" w:hAnsi="Calibri" w:cs="Calibri"/>
                <w:sz w:val="18"/>
                <w:lang w:val="en-AU"/>
              </w:rPr>
            </w:pPr>
            <w:r w:rsidRPr="005734B8">
              <w:rPr>
                <w:rFonts w:ascii="Calibri" w:hAnsi="Calibri" w:cs="Calibri"/>
                <w:sz w:val="18"/>
                <w:lang w:val="en-AU"/>
              </w:rPr>
              <w:t>SD</w:t>
            </w:r>
          </w:p>
        </w:tc>
        <w:tc>
          <w:tcPr>
            <w:tcW w:w="665" w:type="dxa"/>
            <w:tcBorders>
              <w:bottom w:val="single" w:sz="4" w:space="0" w:color="FFFFFF" w:themeColor="background1"/>
            </w:tcBorders>
            <w:shd w:val="clear" w:color="auto" w:fill="D9D9D6" w:themeFill="accent6"/>
          </w:tcPr>
          <w:p w14:paraId="3774B493" w14:textId="77777777" w:rsidR="005B3907" w:rsidRPr="005734B8" w:rsidRDefault="005B3907" w:rsidP="002B6980">
            <w:pPr>
              <w:pStyle w:val="ESTableheadingwhite"/>
              <w:jc w:val="center"/>
              <w:rPr>
                <w:rFonts w:ascii="Calibri" w:hAnsi="Calibri" w:cs="Calibri"/>
                <w:sz w:val="18"/>
                <w:lang w:val="en-AU"/>
              </w:rPr>
            </w:pPr>
          </w:p>
        </w:tc>
      </w:tr>
      <w:tr w:rsidR="005B3907" w:rsidRPr="005734B8" w14:paraId="24771C8E" w14:textId="77777777" w:rsidTr="001A5C5E">
        <w:trPr>
          <w:cantSplit/>
          <w:trHeight w:val="461"/>
          <w:tblHeader/>
        </w:trPr>
        <w:tc>
          <w:tcPr>
            <w:tcW w:w="971" w:type="dxa"/>
            <w:tcBorders>
              <w:bottom w:val="single" w:sz="4" w:space="0" w:color="auto"/>
            </w:tcBorders>
            <w:shd w:val="clear" w:color="auto" w:fill="auto"/>
          </w:tcPr>
          <w:p w14:paraId="21B06417" w14:textId="77777777" w:rsidR="005B3907" w:rsidRPr="005734B8" w:rsidRDefault="005B3907" w:rsidP="002B6980">
            <w:pPr>
              <w:pStyle w:val="ESTableheadingwhite"/>
              <w:rPr>
                <w:rFonts w:ascii="Calibri" w:hAnsi="Calibri" w:cs="Calibri"/>
                <w:b w:val="0"/>
                <w:color w:val="auto"/>
                <w:sz w:val="18"/>
                <w:lang w:val="en-AU"/>
              </w:rPr>
            </w:pPr>
            <w:r w:rsidRPr="005734B8">
              <w:rPr>
                <w:rFonts w:ascii="Calibri" w:hAnsi="Calibri" w:cs="Calibri"/>
                <w:b w:val="0"/>
                <w:color w:val="auto"/>
                <w:sz w:val="18"/>
                <w:lang w:val="en-AU"/>
              </w:rPr>
              <w:t>Personal</w:t>
            </w:r>
            <w:r w:rsidRPr="005734B8">
              <w:rPr>
                <w:rStyle w:val="FootnoteReference"/>
                <w:rFonts w:ascii="Calibri" w:hAnsi="Calibri" w:cs="Calibri"/>
                <w:b w:val="0"/>
                <w:color w:val="auto"/>
                <w:sz w:val="18"/>
                <w:lang w:val="en-AU"/>
              </w:rPr>
              <w:footnoteReference w:id="101"/>
            </w:r>
          </w:p>
        </w:tc>
        <w:tc>
          <w:tcPr>
            <w:tcW w:w="587" w:type="dxa"/>
            <w:tcBorders>
              <w:bottom w:val="single" w:sz="4" w:space="0" w:color="auto"/>
            </w:tcBorders>
            <w:shd w:val="clear" w:color="auto" w:fill="F2F2F2" w:themeFill="background1" w:themeFillShade="F2"/>
          </w:tcPr>
          <w:p w14:paraId="06FC79E9"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3</w:t>
            </w:r>
          </w:p>
        </w:tc>
        <w:tc>
          <w:tcPr>
            <w:tcW w:w="587" w:type="dxa"/>
            <w:tcBorders>
              <w:bottom w:val="single" w:sz="4" w:space="0" w:color="auto"/>
            </w:tcBorders>
            <w:shd w:val="clear" w:color="auto" w:fill="F2F2F2" w:themeFill="background1" w:themeFillShade="F2"/>
          </w:tcPr>
          <w:p w14:paraId="1EDD91EC"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2</w:t>
            </w:r>
          </w:p>
        </w:tc>
        <w:tc>
          <w:tcPr>
            <w:tcW w:w="591" w:type="dxa"/>
            <w:tcBorders>
              <w:bottom w:val="single" w:sz="4" w:space="0" w:color="auto"/>
            </w:tcBorders>
            <w:shd w:val="clear" w:color="auto" w:fill="F2F2F2" w:themeFill="background1" w:themeFillShade="F2"/>
          </w:tcPr>
          <w:p w14:paraId="3533E001" w14:textId="64EAC47B"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0" w:type="dxa"/>
            <w:tcBorders>
              <w:bottom w:val="single" w:sz="4" w:space="0" w:color="auto"/>
            </w:tcBorders>
            <w:shd w:val="clear" w:color="auto" w:fill="auto"/>
          </w:tcPr>
          <w:p w14:paraId="222554F7" w14:textId="691B6579"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6" w:type="dxa"/>
            <w:tcBorders>
              <w:bottom w:val="single" w:sz="4" w:space="0" w:color="auto"/>
            </w:tcBorders>
            <w:shd w:val="clear" w:color="auto" w:fill="auto"/>
          </w:tcPr>
          <w:p w14:paraId="0D394FF7" w14:textId="2DDB1094"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9" w:type="dxa"/>
            <w:tcBorders>
              <w:bottom w:val="single" w:sz="4" w:space="0" w:color="auto"/>
            </w:tcBorders>
            <w:shd w:val="clear" w:color="auto" w:fill="auto"/>
          </w:tcPr>
          <w:p w14:paraId="6ABD6E1A" w14:textId="54725598"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0" w:type="dxa"/>
            <w:tcBorders>
              <w:bottom w:val="single" w:sz="4" w:space="0" w:color="auto"/>
            </w:tcBorders>
            <w:shd w:val="clear" w:color="auto" w:fill="auto"/>
          </w:tcPr>
          <w:p w14:paraId="0035BE34" w14:textId="632722B7"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6" w:type="dxa"/>
            <w:tcBorders>
              <w:bottom w:val="single" w:sz="4" w:space="0" w:color="auto"/>
            </w:tcBorders>
            <w:shd w:val="clear" w:color="auto" w:fill="auto"/>
          </w:tcPr>
          <w:p w14:paraId="28CE93CE"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1</w:t>
            </w:r>
          </w:p>
        </w:tc>
        <w:tc>
          <w:tcPr>
            <w:tcW w:w="591" w:type="dxa"/>
            <w:tcBorders>
              <w:bottom w:val="single" w:sz="4" w:space="0" w:color="auto"/>
            </w:tcBorders>
            <w:shd w:val="clear" w:color="auto" w:fill="auto"/>
          </w:tcPr>
          <w:p w14:paraId="1809012F" w14:textId="493771AF"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0" w:type="dxa"/>
            <w:tcBorders>
              <w:bottom w:val="single" w:sz="4" w:space="0" w:color="auto"/>
            </w:tcBorders>
            <w:shd w:val="clear" w:color="auto" w:fill="auto"/>
          </w:tcPr>
          <w:p w14:paraId="2C7F248B" w14:textId="7FCD4BE6"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7" w:type="dxa"/>
            <w:tcBorders>
              <w:bottom w:val="single" w:sz="4" w:space="0" w:color="auto"/>
            </w:tcBorders>
            <w:shd w:val="clear" w:color="auto" w:fill="auto"/>
          </w:tcPr>
          <w:p w14:paraId="24A9B261" w14:textId="654D7A76"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90" w:type="dxa"/>
            <w:tcBorders>
              <w:bottom w:val="single" w:sz="4" w:space="0" w:color="auto"/>
            </w:tcBorders>
            <w:shd w:val="clear" w:color="auto" w:fill="auto"/>
          </w:tcPr>
          <w:p w14:paraId="1D2CEA76" w14:textId="4480AA73"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1" w:type="dxa"/>
            <w:tcBorders>
              <w:bottom w:val="single" w:sz="4" w:space="0" w:color="auto"/>
            </w:tcBorders>
            <w:shd w:val="clear" w:color="auto" w:fill="auto"/>
          </w:tcPr>
          <w:p w14:paraId="5F2B85AF" w14:textId="082220CD"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6" w:type="dxa"/>
            <w:tcBorders>
              <w:bottom w:val="single" w:sz="4" w:space="0" w:color="auto"/>
            </w:tcBorders>
            <w:shd w:val="clear" w:color="auto" w:fill="auto"/>
          </w:tcPr>
          <w:p w14:paraId="23B47C18"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1</w:t>
            </w:r>
          </w:p>
        </w:tc>
        <w:tc>
          <w:tcPr>
            <w:tcW w:w="591" w:type="dxa"/>
            <w:tcBorders>
              <w:bottom w:val="single" w:sz="4" w:space="0" w:color="auto"/>
            </w:tcBorders>
            <w:shd w:val="clear" w:color="auto" w:fill="auto"/>
          </w:tcPr>
          <w:p w14:paraId="5E095F50"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0</w:t>
            </w:r>
          </w:p>
        </w:tc>
        <w:tc>
          <w:tcPr>
            <w:tcW w:w="587" w:type="dxa"/>
            <w:tcBorders>
              <w:bottom w:val="single" w:sz="4" w:space="0" w:color="auto"/>
            </w:tcBorders>
            <w:shd w:val="clear" w:color="auto" w:fill="auto"/>
          </w:tcPr>
          <w:p w14:paraId="289A5B8D"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3</w:t>
            </w:r>
          </w:p>
        </w:tc>
        <w:tc>
          <w:tcPr>
            <w:tcW w:w="587" w:type="dxa"/>
            <w:tcBorders>
              <w:bottom w:val="single" w:sz="4" w:space="0" w:color="auto"/>
            </w:tcBorders>
            <w:shd w:val="clear" w:color="auto" w:fill="auto"/>
          </w:tcPr>
          <w:p w14:paraId="44B701BF"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0</w:t>
            </w:r>
          </w:p>
        </w:tc>
        <w:tc>
          <w:tcPr>
            <w:tcW w:w="590" w:type="dxa"/>
            <w:tcBorders>
              <w:bottom w:val="single" w:sz="4" w:space="0" w:color="auto"/>
            </w:tcBorders>
            <w:shd w:val="clear" w:color="auto" w:fill="auto"/>
          </w:tcPr>
          <w:p w14:paraId="3BCAC7D7" w14:textId="25A82147"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1" w:type="dxa"/>
            <w:tcBorders>
              <w:bottom w:val="single" w:sz="4" w:space="0" w:color="auto"/>
            </w:tcBorders>
            <w:shd w:val="clear" w:color="auto" w:fill="auto"/>
          </w:tcPr>
          <w:p w14:paraId="6D615992" w14:textId="49B9A894"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6" w:type="dxa"/>
            <w:tcBorders>
              <w:bottom w:val="single" w:sz="4" w:space="0" w:color="auto"/>
            </w:tcBorders>
            <w:shd w:val="clear" w:color="auto" w:fill="auto"/>
          </w:tcPr>
          <w:p w14:paraId="4AB62768" w14:textId="377081E3"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91" w:type="dxa"/>
            <w:tcBorders>
              <w:bottom w:val="single" w:sz="4" w:space="0" w:color="auto"/>
            </w:tcBorders>
            <w:shd w:val="clear" w:color="auto" w:fill="auto"/>
          </w:tcPr>
          <w:p w14:paraId="491293E0" w14:textId="70679ADE"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665" w:type="dxa"/>
            <w:tcBorders>
              <w:bottom w:val="single" w:sz="4" w:space="0" w:color="auto"/>
            </w:tcBorders>
            <w:shd w:val="clear" w:color="auto" w:fill="auto"/>
          </w:tcPr>
          <w:p w14:paraId="68BFE312"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5</w:t>
            </w:r>
          </w:p>
        </w:tc>
      </w:tr>
      <w:tr w:rsidR="005B3907" w:rsidRPr="005734B8" w14:paraId="3FC0753F" w14:textId="77777777" w:rsidTr="001A5C5E">
        <w:trPr>
          <w:cantSplit/>
          <w:trHeight w:val="461"/>
          <w:tblHeader/>
        </w:trPr>
        <w:tc>
          <w:tcPr>
            <w:tcW w:w="971" w:type="dxa"/>
            <w:tcBorders>
              <w:top w:val="single" w:sz="4" w:space="0" w:color="auto"/>
              <w:bottom w:val="single" w:sz="4" w:space="0" w:color="auto"/>
            </w:tcBorders>
            <w:shd w:val="clear" w:color="auto" w:fill="auto"/>
          </w:tcPr>
          <w:p w14:paraId="088F4676" w14:textId="77777777" w:rsidR="005B3907" w:rsidRPr="005734B8" w:rsidRDefault="005B3907" w:rsidP="002B6980">
            <w:pPr>
              <w:pStyle w:val="ESTableheadingwhite"/>
              <w:rPr>
                <w:rFonts w:ascii="Calibri" w:hAnsi="Calibri" w:cs="Calibri"/>
                <w:b w:val="0"/>
                <w:color w:val="auto"/>
                <w:sz w:val="18"/>
                <w:lang w:val="en-AU"/>
              </w:rPr>
            </w:pPr>
            <w:r w:rsidRPr="005734B8">
              <w:rPr>
                <w:rFonts w:ascii="Calibri" w:hAnsi="Calibri" w:cs="Calibri"/>
                <w:b w:val="0"/>
                <w:color w:val="auto"/>
                <w:sz w:val="18"/>
                <w:lang w:val="en-AU"/>
              </w:rPr>
              <w:t>Selection</w:t>
            </w:r>
          </w:p>
        </w:tc>
        <w:tc>
          <w:tcPr>
            <w:tcW w:w="587" w:type="dxa"/>
            <w:tcBorders>
              <w:top w:val="single" w:sz="4" w:space="0" w:color="auto"/>
              <w:bottom w:val="single" w:sz="4" w:space="0" w:color="auto"/>
            </w:tcBorders>
            <w:shd w:val="clear" w:color="auto" w:fill="F2F2F2" w:themeFill="background1" w:themeFillShade="F2"/>
          </w:tcPr>
          <w:p w14:paraId="7B8ECC4B"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13</w:t>
            </w:r>
          </w:p>
        </w:tc>
        <w:tc>
          <w:tcPr>
            <w:tcW w:w="587" w:type="dxa"/>
            <w:tcBorders>
              <w:top w:val="single" w:sz="4" w:space="0" w:color="auto"/>
              <w:bottom w:val="single" w:sz="4" w:space="0" w:color="auto"/>
            </w:tcBorders>
            <w:shd w:val="clear" w:color="auto" w:fill="F2F2F2" w:themeFill="background1" w:themeFillShade="F2"/>
          </w:tcPr>
          <w:p w14:paraId="304058A0"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8</w:t>
            </w:r>
          </w:p>
        </w:tc>
        <w:tc>
          <w:tcPr>
            <w:tcW w:w="591" w:type="dxa"/>
            <w:tcBorders>
              <w:top w:val="single" w:sz="4" w:space="0" w:color="auto"/>
              <w:bottom w:val="single" w:sz="4" w:space="0" w:color="auto"/>
            </w:tcBorders>
            <w:shd w:val="clear" w:color="auto" w:fill="F2F2F2" w:themeFill="background1" w:themeFillShade="F2"/>
          </w:tcPr>
          <w:p w14:paraId="2F94C3E0" w14:textId="44A5D89A"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0" w:type="dxa"/>
            <w:tcBorders>
              <w:top w:val="single" w:sz="4" w:space="0" w:color="auto"/>
              <w:bottom w:val="single" w:sz="4" w:space="0" w:color="auto"/>
            </w:tcBorders>
            <w:shd w:val="clear" w:color="auto" w:fill="auto"/>
          </w:tcPr>
          <w:p w14:paraId="792B225E"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2</w:t>
            </w:r>
          </w:p>
        </w:tc>
        <w:tc>
          <w:tcPr>
            <w:tcW w:w="586" w:type="dxa"/>
            <w:tcBorders>
              <w:top w:val="single" w:sz="4" w:space="0" w:color="auto"/>
              <w:bottom w:val="single" w:sz="4" w:space="0" w:color="auto"/>
            </w:tcBorders>
            <w:shd w:val="clear" w:color="auto" w:fill="auto"/>
          </w:tcPr>
          <w:p w14:paraId="06D2609F"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2</w:t>
            </w:r>
          </w:p>
        </w:tc>
        <w:tc>
          <w:tcPr>
            <w:tcW w:w="589" w:type="dxa"/>
            <w:tcBorders>
              <w:top w:val="single" w:sz="4" w:space="0" w:color="auto"/>
              <w:bottom w:val="single" w:sz="4" w:space="0" w:color="auto"/>
            </w:tcBorders>
            <w:shd w:val="clear" w:color="auto" w:fill="auto"/>
          </w:tcPr>
          <w:p w14:paraId="4FD1599A" w14:textId="3770A877"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0" w:type="dxa"/>
            <w:tcBorders>
              <w:top w:val="single" w:sz="4" w:space="0" w:color="auto"/>
              <w:bottom w:val="single" w:sz="4" w:space="0" w:color="auto"/>
            </w:tcBorders>
            <w:shd w:val="clear" w:color="auto" w:fill="auto"/>
          </w:tcPr>
          <w:p w14:paraId="2D67385F" w14:textId="0AA5ED83"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6" w:type="dxa"/>
            <w:tcBorders>
              <w:top w:val="single" w:sz="4" w:space="0" w:color="auto"/>
              <w:bottom w:val="single" w:sz="4" w:space="0" w:color="auto"/>
            </w:tcBorders>
            <w:shd w:val="clear" w:color="auto" w:fill="auto"/>
          </w:tcPr>
          <w:p w14:paraId="6BEA5CAA" w14:textId="743BB65C"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91" w:type="dxa"/>
            <w:tcBorders>
              <w:top w:val="single" w:sz="4" w:space="0" w:color="auto"/>
              <w:bottom w:val="single" w:sz="4" w:space="0" w:color="auto"/>
            </w:tcBorders>
            <w:shd w:val="clear" w:color="auto" w:fill="auto"/>
          </w:tcPr>
          <w:p w14:paraId="18F1E2E4" w14:textId="0D10183E"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0" w:type="dxa"/>
            <w:tcBorders>
              <w:top w:val="single" w:sz="4" w:space="0" w:color="auto"/>
              <w:bottom w:val="single" w:sz="4" w:space="0" w:color="auto"/>
            </w:tcBorders>
            <w:shd w:val="clear" w:color="auto" w:fill="auto"/>
          </w:tcPr>
          <w:p w14:paraId="129A057F"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3</w:t>
            </w:r>
          </w:p>
        </w:tc>
        <w:tc>
          <w:tcPr>
            <w:tcW w:w="587" w:type="dxa"/>
            <w:tcBorders>
              <w:top w:val="single" w:sz="4" w:space="0" w:color="auto"/>
              <w:bottom w:val="single" w:sz="4" w:space="0" w:color="auto"/>
            </w:tcBorders>
            <w:shd w:val="clear" w:color="auto" w:fill="auto"/>
          </w:tcPr>
          <w:p w14:paraId="39D1833F"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2</w:t>
            </w:r>
          </w:p>
        </w:tc>
        <w:tc>
          <w:tcPr>
            <w:tcW w:w="590" w:type="dxa"/>
            <w:tcBorders>
              <w:top w:val="single" w:sz="4" w:space="0" w:color="auto"/>
              <w:bottom w:val="single" w:sz="4" w:space="0" w:color="auto"/>
            </w:tcBorders>
            <w:shd w:val="clear" w:color="auto" w:fill="auto"/>
          </w:tcPr>
          <w:p w14:paraId="35A4E4E0" w14:textId="757D3802"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1" w:type="dxa"/>
            <w:tcBorders>
              <w:top w:val="single" w:sz="4" w:space="0" w:color="auto"/>
              <w:bottom w:val="single" w:sz="4" w:space="0" w:color="auto"/>
            </w:tcBorders>
            <w:shd w:val="clear" w:color="auto" w:fill="auto"/>
          </w:tcPr>
          <w:p w14:paraId="11ED28D0"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1</w:t>
            </w:r>
          </w:p>
        </w:tc>
        <w:tc>
          <w:tcPr>
            <w:tcW w:w="586" w:type="dxa"/>
            <w:tcBorders>
              <w:top w:val="single" w:sz="4" w:space="0" w:color="auto"/>
              <w:bottom w:val="single" w:sz="4" w:space="0" w:color="auto"/>
            </w:tcBorders>
            <w:shd w:val="clear" w:color="auto" w:fill="auto"/>
          </w:tcPr>
          <w:p w14:paraId="52437952"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2</w:t>
            </w:r>
          </w:p>
        </w:tc>
        <w:tc>
          <w:tcPr>
            <w:tcW w:w="591" w:type="dxa"/>
            <w:tcBorders>
              <w:top w:val="single" w:sz="4" w:space="0" w:color="auto"/>
              <w:bottom w:val="single" w:sz="4" w:space="0" w:color="auto"/>
            </w:tcBorders>
            <w:shd w:val="clear" w:color="auto" w:fill="auto"/>
          </w:tcPr>
          <w:p w14:paraId="01921CC1"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0</w:t>
            </w:r>
          </w:p>
        </w:tc>
        <w:tc>
          <w:tcPr>
            <w:tcW w:w="587" w:type="dxa"/>
            <w:tcBorders>
              <w:top w:val="single" w:sz="4" w:space="0" w:color="auto"/>
              <w:bottom w:val="single" w:sz="4" w:space="0" w:color="auto"/>
            </w:tcBorders>
            <w:shd w:val="clear" w:color="auto" w:fill="auto"/>
          </w:tcPr>
          <w:p w14:paraId="5D65C30C"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7</w:t>
            </w:r>
          </w:p>
        </w:tc>
        <w:tc>
          <w:tcPr>
            <w:tcW w:w="587" w:type="dxa"/>
            <w:tcBorders>
              <w:top w:val="single" w:sz="4" w:space="0" w:color="auto"/>
              <w:bottom w:val="single" w:sz="4" w:space="0" w:color="auto"/>
            </w:tcBorders>
            <w:shd w:val="clear" w:color="auto" w:fill="auto"/>
          </w:tcPr>
          <w:p w14:paraId="23F88046"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2</w:t>
            </w:r>
          </w:p>
        </w:tc>
        <w:tc>
          <w:tcPr>
            <w:tcW w:w="590" w:type="dxa"/>
            <w:tcBorders>
              <w:top w:val="single" w:sz="4" w:space="0" w:color="auto"/>
              <w:bottom w:val="single" w:sz="4" w:space="0" w:color="auto"/>
            </w:tcBorders>
            <w:shd w:val="clear" w:color="auto" w:fill="auto"/>
          </w:tcPr>
          <w:p w14:paraId="0F5DC55D" w14:textId="3B9B1890"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1" w:type="dxa"/>
            <w:tcBorders>
              <w:top w:val="single" w:sz="4" w:space="0" w:color="auto"/>
              <w:bottom w:val="single" w:sz="4" w:space="0" w:color="auto"/>
            </w:tcBorders>
            <w:shd w:val="clear" w:color="auto" w:fill="auto"/>
          </w:tcPr>
          <w:p w14:paraId="1B6942A6" w14:textId="77806A49"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86" w:type="dxa"/>
            <w:tcBorders>
              <w:top w:val="single" w:sz="4" w:space="0" w:color="auto"/>
              <w:bottom w:val="single" w:sz="4" w:space="0" w:color="auto"/>
            </w:tcBorders>
            <w:shd w:val="clear" w:color="auto" w:fill="auto"/>
          </w:tcPr>
          <w:p w14:paraId="302EA72F" w14:textId="452416D4"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591" w:type="dxa"/>
            <w:tcBorders>
              <w:top w:val="single" w:sz="4" w:space="0" w:color="auto"/>
              <w:bottom w:val="single" w:sz="4" w:space="0" w:color="auto"/>
            </w:tcBorders>
            <w:shd w:val="clear" w:color="auto" w:fill="auto"/>
          </w:tcPr>
          <w:p w14:paraId="08D0777E" w14:textId="7B2431B3" w:rsidR="005B3907" w:rsidRPr="005734B8" w:rsidRDefault="001A5C5E"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w:t>
            </w:r>
          </w:p>
        </w:tc>
        <w:tc>
          <w:tcPr>
            <w:tcW w:w="665" w:type="dxa"/>
            <w:tcBorders>
              <w:top w:val="single" w:sz="4" w:space="0" w:color="auto"/>
              <w:bottom w:val="single" w:sz="4" w:space="0" w:color="auto"/>
            </w:tcBorders>
            <w:shd w:val="clear" w:color="auto" w:fill="auto"/>
          </w:tcPr>
          <w:p w14:paraId="4084BFD7" w14:textId="77777777" w:rsidR="005B3907" w:rsidRPr="005734B8" w:rsidRDefault="005B3907" w:rsidP="002B6980">
            <w:pPr>
              <w:pStyle w:val="ESTableheadingwhite"/>
              <w:jc w:val="center"/>
              <w:rPr>
                <w:rFonts w:ascii="Calibri" w:hAnsi="Calibri" w:cs="Calibri"/>
                <w:b w:val="0"/>
                <w:color w:val="auto"/>
                <w:sz w:val="18"/>
                <w:lang w:val="en-AU"/>
              </w:rPr>
            </w:pPr>
            <w:r w:rsidRPr="005734B8">
              <w:rPr>
                <w:rFonts w:ascii="Calibri" w:hAnsi="Calibri" w:cs="Calibri"/>
                <w:b w:val="0"/>
                <w:color w:val="auto"/>
                <w:sz w:val="18"/>
                <w:lang w:val="en-AU"/>
              </w:rPr>
              <w:t>21</w:t>
            </w:r>
          </w:p>
        </w:tc>
      </w:tr>
      <w:tr w:rsidR="005B3907" w:rsidRPr="005734B8" w14:paraId="1C621BB6" w14:textId="77777777" w:rsidTr="001A5C5E">
        <w:trPr>
          <w:cantSplit/>
          <w:trHeight w:val="461"/>
          <w:tblHeader/>
        </w:trPr>
        <w:tc>
          <w:tcPr>
            <w:tcW w:w="971" w:type="dxa"/>
            <w:tcBorders>
              <w:top w:val="single" w:sz="4" w:space="0" w:color="auto"/>
              <w:bottom w:val="single" w:sz="4" w:space="0" w:color="auto"/>
            </w:tcBorders>
            <w:shd w:val="clear" w:color="auto" w:fill="auto"/>
          </w:tcPr>
          <w:p w14:paraId="555EB911" w14:textId="77777777" w:rsidR="005B3907" w:rsidRPr="005734B8" w:rsidRDefault="005B3907" w:rsidP="002B6980">
            <w:pPr>
              <w:pStyle w:val="ESTableheadingwhite"/>
              <w:rPr>
                <w:rFonts w:ascii="Calibri" w:hAnsi="Calibri" w:cs="Calibri"/>
                <w:color w:val="auto"/>
                <w:sz w:val="18"/>
                <w:lang w:val="en-AU"/>
              </w:rPr>
            </w:pPr>
            <w:r w:rsidRPr="005734B8">
              <w:rPr>
                <w:rFonts w:ascii="Calibri" w:hAnsi="Calibri" w:cs="Calibri"/>
                <w:color w:val="auto"/>
                <w:sz w:val="18"/>
                <w:lang w:val="en-AU"/>
              </w:rPr>
              <w:t>Total</w:t>
            </w:r>
          </w:p>
        </w:tc>
        <w:tc>
          <w:tcPr>
            <w:tcW w:w="587" w:type="dxa"/>
            <w:tcBorders>
              <w:top w:val="single" w:sz="4" w:space="0" w:color="auto"/>
              <w:bottom w:val="single" w:sz="4" w:space="0" w:color="auto"/>
            </w:tcBorders>
            <w:shd w:val="clear" w:color="auto" w:fill="F2F2F2" w:themeFill="background1" w:themeFillShade="F2"/>
          </w:tcPr>
          <w:p w14:paraId="2DEEB072"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16</w:t>
            </w:r>
          </w:p>
        </w:tc>
        <w:tc>
          <w:tcPr>
            <w:tcW w:w="587" w:type="dxa"/>
            <w:tcBorders>
              <w:top w:val="single" w:sz="4" w:space="0" w:color="auto"/>
              <w:bottom w:val="single" w:sz="4" w:space="0" w:color="auto"/>
            </w:tcBorders>
            <w:shd w:val="clear" w:color="auto" w:fill="F2F2F2" w:themeFill="background1" w:themeFillShade="F2"/>
          </w:tcPr>
          <w:p w14:paraId="38F3D523"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10</w:t>
            </w:r>
          </w:p>
        </w:tc>
        <w:tc>
          <w:tcPr>
            <w:tcW w:w="591" w:type="dxa"/>
            <w:tcBorders>
              <w:top w:val="single" w:sz="4" w:space="0" w:color="auto"/>
              <w:bottom w:val="single" w:sz="4" w:space="0" w:color="auto"/>
            </w:tcBorders>
            <w:shd w:val="clear" w:color="auto" w:fill="F2F2F2" w:themeFill="background1" w:themeFillShade="F2"/>
          </w:tcPr>
          <w:p w14:paraId="7D4483BE" w14:textId="46C3D08E" w:rsidR="005B3907" w:rsidRPr="005734B8" w:rsidRDefault="001A5C5E" w:rsidP="002B6980">
            <w:pPr>
              <w:pStyle w:val="ESTableheadingwhite"/>
              <w:jc w:val="center"/>
              <w:rPr>
                <w:rFonts w:ascii="Calibri" w:hAnsi="Calibri" w:cs="Calibri"/>
                <w:color w:val="auto"/>
                <w:sz w:val="18"/>
                <w:lang w:val="en-AU"/>
              </w:rPr>
            </w:pPr>
            <w:r w:rsidRPr="005734B8">
              <w:rPr>
                <w:rFonts w:ascii="Calibri" w:hAnsi="Calibri" w:cs="Calibri"/>
                <w:bCs/>
                <w:color w:val="auto"/>
                <w:sz w:val="18"/>
                <w:lang w:val="en-AU"/>
              </w:rPr>
              <w:t>–</w:t>
            </w:r>
          </w:p>
        </w:tc>
        <w:tc>
          <w:tcPr>
            <w:tcW w:w="580" w:type="dxa"/>
            <w:tcBorders>
              <w:top w:val="single" w:sz="4" w:space="0" w:color="auto"/>
              <w:bottom w:val="single" w:sz="4" w:space="0" w:color="auto"/>
            </w:tcBorders>
            <w:shd w:val="clear" w:color="auto" w:fill="auto"/>
          </w:tcPr>
          <w:p w14:paraId="487EFCAB"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2</w:t>
            </w:r>
          </w:p>
        </w:tc>
        <w:tc>
          <w:tcPr>
            <w:tcW w:w="586" w:type="dxa"/>
            <w:tcBorders>
              <w:top w:val="single" w:sz="4" w:space="0" w:color="auto"/>
              <w:bottom w:val="single" w:sz="4" w:space="0" w:color="auto"/>
            </w:tcBorders>
            <w:shd w:val="clear" w:color="auto" w:fill="auto"/>
          </w:tcPr>
          <w:p w14:paraId="4AB014A5"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2</w:t>
            </w:r>
          </w:p>
        </w:tc>
        <w:tc>
          <w:tcPr>
            <w:tcW w:w="589" w:type="dxa"/>
            <w:tcBorders>
              <w:top w:val="single" w:sz="4" w:space="0" w:color="auto"/>
              <w:bottom w:val="single" w:sz="4" w:space="0" w:color="auto"/>
            </w:tcBorders>
            <w:shd w:val="clear" w:color="auto" w:fill="auto"/>
          </w:tcPr>
          <w:p w14:paraId="6014E6B1" w14:textId="4DD8F95D" w:rsidR="005B3907" w:rsidRPr="005734B8" w:rsidRDefault="001A5C5E" w:rsidP="002B6980">
            <w:pPr>
              <w:pStyle w:val="ESTableheadingwhite"/>
              <w:jc w:val="center"/>
              <w:rPr>
                <w:rFonts w:ascii="Calibri" w:hAnsi="Calibri" w:cs="Calibri"/>
                <w:color w:val="auto"/>
                <w:sz w:val="18"/>
                <w:lang w:val="en-AU"/>
              </w:rPr>
            </w:pPr>
            <w:r w:rsidRPr="005734B8">
              <w:rPr>
                <w:rFonts w:ascii="Calibri" w:hAnsi="Calibri" w:cs="Calibri"/>
                <w:bCs/>
                <w:color w:val="auto"/>
                <w:sz w:val="18"/>
                <w:lang w:val="en-AU"/>
              </w:rPr>
              <w:t>–</w:t>
            </w:r>
          </w:p>
        </w:tc>
        <w:tc>
          <w:tcPr>
            <w:tcW w:w="580" w:type="dxa"/>
            <w:tcBorders>
              <w:top w:val="single" w:sz="4" w:space="0" w:color="auto"/>
              <w:bottom w:val="single" w:sz="4" w:space="0" w:color="auto"/>
            </w:tcBorders>
            <w:shd w:val="clear" w:color="auto" w:fill="auto"/>
          </w:tcPr>
          <w:p w14:paraId="1CE2EB98" w14:textId="0727EC4C" w:rsidR="005B3907" w:rsidRPr="005734B8" w:rsidRDefault="001A5C5E" w:rsidP="002B6980">
            <w:pPr>
              <w:pStyle w:val="ESTableheadingwhite"/>
              <w:jc w:val="center"/>
              <w:rPr>
                <w:rFonts w:ascii="Calibri" w:hAnsi="Calibri" w:cs="Calibri"/>
                <w:color w:val="auto"/>
                <w:sz w:val="18"/>
                <w:lang w:val="en-AU"/>
              </w:rPr>
            </w:pPr>
            <w:r w:rsidRPr="005734B8">
              <w:rPr>
                <w:rFonts w:ascii="Calibri" w:hAnsi="Calibri" w:cs="Calibri"/>
                <w:bCs/>
                <w:color w:val="auto"/>
                <w:sz w:val="18"/>
                <w:lang w:val="en-AU"/>
              </w:rPr>
              <w:t>–</w:t>
            </w:r>
          </w:p>
        </w:tc>
        <w:tc>
          <w:tcPr>
            <w:tcW w:w="586" w:type="dxa"/>
            <w:tcBorders>
              <w:top w:val="single" w:sz="4" w:space="0" w:color="auto"/>
              <w:bottom w:val="single" w:sz="4" w:space="0" w:color="auto"/>
            </w:tcBorders>
            <w:shd w:val="clear" w:color="auto" w:fill="auto"/>
          </w:tcPr>
          <w:p w14:paraId="4874F126"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1</w:t>
            </w:r>
          </w:p>
        </w:tc>
        <w:tc>
          <w:tcPr>
            <w:tcW w:w="591" w:type="dxa"/>
            <w:tcBorders>
              <w:top w:val="single" w:sz="4" w:space="0" w:color="auto"/>
              <w:bottom w:val="single" w:sz="4" w:space="0" w:color="auto"/>
            </w:tcBorders>
            <w:shd w:val="clear" w:color="auto" w:fill="auto"/>
          </w:tcPr>
          <w:p w14:paraId="49540ADB" w14:textId="49CCC6CE" w:rsidR="005B3907" w:rsidRPr="005734B8" w:rsidRDefault="001A5C5E" w:rsidP="002B6980">
            <w:pPr>
              <w:pStyle w:val="ESTableheadingwhite"/>
              <w:jc w:val="center"/>
              <w:rPr>
                <w:rFonts w:ascii="Calibri" w:hAnsi="Calibri" w:cs="Calibri"/>
                <w:color w:val="auto"/>
                <w:sz w:val="18"/>
                <w:lang w:val="en-AU"/>
              </w:rPr>
            </w:pPr>
            <w:r w:rsidRPr="005734B8">
              <w:rPr>
                <w:rFonts w:ascii="Calibri" w:hAnsi="Calibri" w:cs="Calibri"/>
                <w:bCs/>
                <w:color w:val="auto"/>
                <w:sz w:val="18"/>
                <w:lang w:val="en-AU"/>
              </w:rPr>
              <w:t>–</w:t>
            </w:r>
          </w:p>
        </w:tc>
        <w:tc>
          <w:tcPr>
            <w:tcW w:w="580" w:type="dxa"/>
            <w:tcBorders>
              <w:top w:val="single" w:sz="4" w:space="0" w:color="auto"/>
              <w:bottom w:val="single" w:sz="4" w:space="0" w:color="auto"/>
            </w:tcBorders>
            <w:shd w:val="clear" w:color="auto" w:fill="auto"/>
          </w:tcPr>
          <w:p w14:paraId="38315B69"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3</w:t>
            </w:r>
          </w:p>
        </w:tc>
        <w:tc>
          <w:tcPr>
            <w:tcW w:w="587" w:type="dxa"/>
            <w:tcBorders>
              <w:top w:val="single" w:sz="4" w:space="0" w:color="auto"/>
              <w:bottom w:val="single" w:sz="4" w:space="0" w:color="auto"/>
            </w:tcBorders>
            <w:shd w:val="clear" w:color="auto" w:fill="auto"/>
          </w:tcPr>
          <w:p w14:paraId="588C9B8B"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2</w:t>
            </w:r>
          </w:p>
        </w:tc>
        <w:tc>
          <w:tcPr>
            <w:tcW w:w="590" w:type="dxa"/>
            <w:tcBorders>
              <w:top w:val="single" w:sz="4" w:space="0" w:color="auto"/>
              <w:bottom w:val="single" w:sz="4" w:space="0" w:color="auto"/>
            </w:tcBorders>
            <w:shd w:val="clear" w:color="auto" w:fill="auto"/>
          </w:tcPr>
          <w:p w14:paraId="2537F984" w14:textId="5181CA31" w:rsidR="005B3907" w:rsidRPr="005734B8" w:rsidRDefault="001A5C5E" w:rsidP="002B6980">
            <w:pPr>
              <w:pStyle w:val="ESTableheadingwhite"/>
              <w:jc w:val="center"/>
              <w:rPr>
                <w:rFonts w:ascii="Calibri" w:hAnsi="Calibri" w:cs="Calibri"/>
                <w:color w:val="auto"/>
                <w:sz w:val="18"/>
                <w:lang w:val="en-AU"/>
              </w:rPr>
            </w:pPr>
            <w:r w:rsidRPr="005734B8">
              <w:rPr>
                <w:rFonts w:ascii="Calibri" w:hAnsi="Calibri" w:cs="Calibri"/>
                <w:bCs/>
                <w:color w:val="auto"/>
                <w:sz w:val="18"/>
                <w:lang w:val="en-AU"/>
              </w:rPr>
              <w:t>–</w:t>
            </w:r>
          </w:p>
        </w:tc>
        <w:tc>
          <w:tcPr>
            <w:tcW w:w="581" w:type="dxa"/>
            <w:tcBorders>
              <w:top w:val="single" w:sz="4" w:space="0" w:color="auto"/>
              <w:bottom w:val="single" w:sz="4" w:space="0" w:color="auto"/>
            </w:tcBorders>
            <w:shd w:val="clear" w:color="auto" w:fill="auto"/>
          </w:tcPr>
          <w:p w14:paraId="6F6C0482"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1</w:t>
            </w:r>
          </w:p>
        </w:tc>
        <w:tc>
          <w:tcPr>
            <w:tcW w:w="586" w:type="dxa"/>
            <w:tcBorders>
              <w:top w:val="single" w:sz="4" w:space="0" w:color="auto"/>
              <w:bottom w:val="single" w:sz="4" w:space="0" w:color="auto"/>
            </w:tcBorders>
            <w:shd w:val="clear" w:color="auto" w:fill="auto"/>
          </w:tcPr>
          <w:p w14:paraId="1DF5DAFA"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3</w:t>
            </w:r>
          </w:p>
        </w:tc>
        <w:tc>
          <w:tcPr>
            <w:tcW w:w="591" w:type="dxa"/>
            <w:tcBorders>
              <w:top w:val="single" w:sz="4" w:space="0" w:color="auto"/>
              <w:bottom w:val="single" w:sz="4" w:space="0" w:color="auto"/>
            </w:tcBorders>
            <w:shd w:val="clear" w:color="auto" w:fill="auto"/>
          </w:tcPr>
          <w:p w14:paraId="7BDE6416" w14:textId="781B48A0" w:rsidR="005B3907" w:rsidRPr="005734B8" w:rsidRDefault="001A5C5E" w:rsidP="002B6980">
            <w:pPr>
              <w:pStyle w:val="ESTableheadingwhite"/>
              <w:jc w:val="center"/>
              <w:rPr>
                <w:rFonts w:ascii="Calibri" w:hAnsi="Calibri" w:cs="Calibri"/>
                <w:color w:val="auto"/>
                <w:sz w:val="18"/>
                <w:lang w:val="en-AU"/>
              </w:rPr>
            </w:pPr>
            <w:r w:rsidRPr="005734B8">
              <w:rPr>
                <w:rFonts w:ascii="Calibri" w:hAnsi="Calibri" w:cs="Calibri"/>
                <w:bCs/>
                <w:color w:val="auto"/>
                <w:sz w:val="18"/>
                <w:lang w:val="en-AU"/>
              </w:rPr>
              <w:t>–</w:t>
            </w:r>
          </w:p>
        </w:tc>
        <w:tc>
          <w:tcPr>
            <w:tcW w:w="587" w:type="dxa"/>
            <w:tcBorders>
              <w:top w:val="single" w:sz="4" w:space="0" w:color="auto"/>
              <w:bottom w:val="single" w:sz="4" w:space="0" w:color="auto"/>
            </w:tcBorders>
            <w:shd w:val="clear" w:color="auto" w:fill="auto"/>
          </w:tcPr>
          <w:p w14:paraId="1DB293D5"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10</w:t>
            </w:r>
          </w:p>
        </w:tc>
        <w:tc>
          <w:tcPr>
            <w:tcW w:w="587" w:type="dxa"/>
            <w:tcBorders>
              <w:top w:val="single" w:sz="4" w:space="0" w:color="auto"/>
              <w:bottom w:val="single" w:sz="4" w:space="0" w:color="auto"/>
            </w:tcBorders>
            <w:shd w:val="clear" w:color="auto" w:fill="auto"/>
          </w:tcPr>
          <w:p w14:paraId="66DE2553"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2</w:t>
            </w:r>
          </w:p>
        </w:tc>
        <w:tc>
          <w:tcPr>
            <w:tcW w:w="590" w:type="dxa"/>
            <w:tcBorders>
              <w:top w:val="single" w:sz="4" w:space="0" w:color="auto"/>
              <w:bottom w:val="single" w:sz="4" w:space="0" w:color="auto"/>
            </w:tcBorders>
            <w:shd w:val="clear" w:color="auto" w:fill="auto"/>
          </w:tcPr>
          <w:p w14:paraId="734ABDE9" w14:textId="5B1D532E" w:rsidR="005B3907" w:rsidRPr="005734B8" w:rsidRDefault="001A5C5E" w:rsidP="002B6980">
            <w:pPr>
              <w:pStyle w:val="ESTableheadingwhite"/>
              <w:jc w:val="center"/>
              <w:rPr>
                <w:rFonts w:ascii="Calibri" w:hAnsi="Calibri" w:cs="Calibri"/>
                <w:color w:val="auto"/>
                <w:sz w:val="18"/>
                <w:lang w:val="en-AU"/>
              </w:rPr>
            </w:pPr>
            <w:r w:rsidRPr="005734B8">
              <w:rPr>
                <w:rFonts w:ascii="Calibri" w:hAnsi="Calibri" w:cs="Calibri"/>
                <w:bCs/>
                <w:color w:val="auto"/>
                <w:sz w:val="18"/>
                <w:lang w:val="en-AU"/>
              </w:rPr>
              <w:t>–</w:t>
            </w:r>
          </w:p>
        </w:tc>
        <w:tc>
          <w:tcPr>
            <w:tcW w:w="581" w:type="dxa"/>
            <w:tcBorders>
              <w:top w:val="single" w:sz="4" w:space="0" w:color="auto"/>
              <w:bottom w:val="single" w:sz="4" w:space="0" w:color="auto"/>
            </w:tcBorders>
            <w:shd w:val="clear" w:color="auto" w:fill="auto"/>
          </w:tcPr>
          <w:p w14:paraId="15648EE8" w14:textId="7D507E12" w:rsidR="005B3907" w:rsidRPr="005734B8" w:rsidRDefault="001A5C5E" w:rsidP="002B6980">
            <w:pPr>
              <w:pStyle w:val="ESTableheadingwhite"/>
              <w:jc w:val="center"/>
              <w:rPr>
                <w:rFonts w:ascii="Calibri" w:hAnsi="Calibri" w:cs="Calibri"/>
                <w:color w:val="auto"/>
                <w:sz w:val="18"/>
                <w:lang w:val="en-AU"/>
              </w:rPr>
            </w:pPr>
            <w:r w:rsidRPr="005734B8">
              <w:rPr>
                <w:rFonts w:ascii="Calibri" w:hAnsi="Calibri" w:cs="Calibri"/>
                <w:bCs/>
                <w:color w:val="auto"/>
                <w:sz w:val="18"/>
                <w:lang w:val="en-AU"/>
              </w:rPr>
              <w:t>–</w:t>
            </w:r>
          </w:p>
        </w:tc>
        <w:tc>
          <w:tcPr>
            <w:tcW w:w="586" w:type="dxa"/>
            <w:tcBorders>
              <w:top w:val="single" w:sz="4" w:space="0" w:color="auto"/>
              <w:bottom w:val="single" w:sz="4" w:space="0" w:color="auto"/>
            </w:tcBorders>
            <w:shd w:val="clear" w:color="auto" w:fill="auto"/>
          </w:tcPr>
          <w:p w14:paraId="4DCB061D" w14:textId="1864F8A2" w:rsidR="005B3907" w:rsidRPr="005734B8" w:rsidRDefault="001A5C5E" w:rsidP="002B6980">
            <w:pPr>
              <w:pStyle w:val="ESTableheadingwhite"/>
              <w:jc w:val="center"/>
              <w:rPr>
                <w:rFonts w:ascii="Calibri" w:hAnsi="Calibri" w:cs="Calibri"/>
                <w:color w:val="auto"/>
                <w:sz w:val="18"/>
                <w:lang w:val="en-AU"/>
              </w:rPr>
            </w:pPr>
            <w:r w:rsidRPr="005734B8">
              <w:rPr>
                <w:rFonts w:ascii="Calibri" w:hAnsi="Calibri" w:cs="Calibri"/>
                <w:bCs/>
                <w:color w:val="auto"/>
                <w:sz w:val="18"/>
                <w:lang w:val="en-AU"/>
              </w:rPr>
              <w:t>–</w:t>
            </w:r>
          </w:p>
        </w:tc>
        <w:tc>
          <w:tcPr>
            <w:tcW w:w="591" w:type="dxa"/>
            <w:tcBorders>
              <w:top w:val="single" w:sz="4" w:space="0" w:color="auto"/>
              <w:bottom w:val="single" w:sz="4" w:space="0" w:color="auto"/>
            </w:tcBorders>
            <w:shd w:val="clear" w:color="auto" w:fill="auto"/>
          </w:tcPr>
          <w:p w14:paraId="00B66A58" w14:textId="2E3C9B1D" w:rsidR="005B3907" w:rsidRPr="005734B8" w:rsidRDefault="001A5C5E" w:rsidP="002B6980">
            <w:pPr>
              <w:pStyle w:val="ESTableheadingwhite"/>
              <w:jc w:val="center"/>
              <w:rPr>
                <w:rFonts w:ascii="Calibri" w:hAnsi="Calibri" w:cs="Calibri"/>
                <w:color w:val="auto"/>
                <w:sz w:val="18"/>
                <w:lang w:val="en-AU"/>
              </w:rPr>
            </w:pPr>
            <w:r w:rsidRPr="005734B8">
              <w:rPr>
                <w:rFonts w:ascii="Calibri" w:hAnsi="Calibri" w:cs="Calibri"/>
                <w:bCs/>
                <w:color w:val="auto"/>
                <w:sz w:val="18"/>
                <w:lang w:val="en-AU"/>
              </w:rPr>
              <w:t>–</w:t>
            </w:r>
          </w:p>
        </w:tc>
        <w:tc>
          <w:tcPr>
            <w:tcW w:w="665" w:type="dxa"/>
            <w:tcBorders>
              <w:top w:val="single" w:sz="4" w:space="0" w:color="auto"/>
              <w:bottom w:val="single" w:sz="4" w:space="0" w:color="auto"/>
            </w:tcBorders>
            <w:shd w:val="clear" w:color="auto" w:fill="auto"/>
          </w:tcPr>
          <w:p w14:paraId="711A6358" w14:textId="77777777" w:rsidR="005B3907" w:rsidRPr="005734B8" w:rsidRDefault="005B3907" w:rsidP="002B6980">
            <w:pPr>
              <w:pStyle w:val="ESTableheadingwhite"/>
              <w:jc w:val="center"/>
              <w:rPr>
                <w:rFonts w:ascii="Calibri" w:hAnsi="Calibri" w:cs="Calibri"/>
                <w:color w:val="auto"/>
                <w:sz w:val="18"/>
                <w:lang w:val="en-AU"/>
              </w:rPr>
            </w:pPr>
            <w:r w:rsidRPr="005734B8">
              <w:rPr>
                <w:rFonts w:ascii="Calibri" w:hAnsi="Calibri" w:cs="Calibri"/>
                <w:color w:val="auto"/>
                <w:sz w:val="18"/>
                <w:lang w:val="en-AU"/>
              </w:rPr>
              <w:t>26</w:t>
            </w:r>
          </w:p>
        </w:tc>
      </w:tr>
    </w:tbl>
    <w:p w14:paraId="02FD313A" w14:textId="7C71C9C3" w:rsidR="00165AC8" w:rsidRPr="005734B8" w:rsidRDefault="00165AC8" w:rsidP="003A3128">
      <w:pPr>
        <w:rPr>
          <w:rFonts w:ascii="Calibri" w:hAnsi="Calibri" w:cs="Calibri"/>
          <w:highlight w:val="yellow"/>
        </w:rPr>
      </w:pPr>
    </w:p>
    <w:p w14:paraId="05A24E9C" w14:textId="4AC492F3" w:rsidR="00165AC8" w:rsidRPr="005734B8" w:rsidRDefault="00165AC8" w:rsidP="003A3128">
      <w:pPr>
        <w:rPr>
          <w:rFonts w:ascii="Calibri" w:hAnsi="Calibri" w:cs="Calibri"/>
          <w:highlight w:val="yellow"/>
        </w:rPr>
        <w:sectPr w:rsidR="00165AC8" w:rsidRPr="005734B8" w:rsidSect="00165AC8">
          <w:pgSz w:w="16840" w:h="11900" w:orient="landscape"/>
          <w:pgMar w:top="1418" w:right="1440" w:bottom="1134" w:left="1440" w:header="708" w:footer="708" w:gutter="0"/>
          <w:cols w:space="708"/>
          <w:docGrid w:linePitch="360"/>
        </w:sectPr>
      </w:pPr>
    </w:p>
    <w:p w14:paraId="2B4FB28C" w14:textId="77777777" w:rsidR="0015702A" w:rsidRPr="005734B8" w:rsidRDefault="0015702A" w:rsidP="0015702A">
      <w:pPr>
        <w:pStyle w:val="ESHeading3"/>
        <w:ind w:left="0" w:firstLine="0"/>
        <w:rPr>
          <w:rFonts w:ascii="Calibri" w:hAnsi="Calibri" w:cs="Calibri"/>
          <w:lang w:val="en-AU"/>
        </w:rPr>
      </w:pPr>
      <w:bookmarkStart w:id="2198" w:name="_Toc519861852"/>
      <w:bookmarkStart w:id="2199" w:name="_Toc11336520"/>
      <w:bookmarkStart w:id="2200" w:name="_Toc14965741"/>
      <w:bookmarkStart w:id="2201" w:name="_Toc19272314"/>
      <w:bookmarkStart w:id="2202" w:name="_Toc19272680"/>
      <w:bookmarkStart w:id="2203" w:name="_Toc19274015"/>
      <w:r w:rsidRPr="005734B8">
        <w:rPr>
          <w:rFonts w:ascii="Calibri" w:hAnsi="Calibri" w:cs="Calibri"/>
          <w:lang w:val="en-AU"/>
        </w:rPr>
        <w:lastRenderedPageBreak/>
        <w:t>Merit protection training</w:t>
      </w:r>
      <w:bookmarkEnd w:id="2198"/>
      <w:bookmarkEnd w:id="2199"/>
      <w:bookmarkEnd w:id="2200"/>
      <w:bookmarkEnd w:id="2201"/>
      <w:bookmarkEnd w:id="2202"/>
      <w:bookmarkEnd w:id="2203"/>
    </w:p>
    <w:p w14:paraId="2B81764F" w14:textId="3450E055" w:rsidR="0015702A" w:rsidRPr="005734B8" w:rsidRDefault="0015702A" w:rsidP="0015702A">
      <w:pPr>
        <w:rPr>
          <w:rFonts w:ascii="Calibri" w:hAnsi="Calibri" w:cs="Calibri"/>
        </w:rPr>
      </w:pPr>
      <w:r w:rsidRPr="005734B8">
        <w:rPr>
          <w:rFonts w:ascii="Calibri" w:hAnsi="Calibri" w:cs="Calibri"/>
        </w:rPr>
        <w:t xml:space="preserve">It is a requirement that all </w:t>
      </w:r>
      <w:r w:rsidR="00C600E3" w:rsidRPr="005734B8">
        <w:rPr>
          <w:rFonts w:ascii="Calibri" w:hAnsi="Calibri" w:cs="Calibri"/>
        </w:rPr>
        <w:t>d</w:t>
      </w:r>
      <w:r w:rsidRPr="005734B8">
        <w:rPr>
          <w:rFonts w:ascii="Calibri" w:hAnsi="Calibri" w:cs="Calibri"/>
        </w:rPr>
        <w:t>epartment</w:t>
      </w:r>
      <w:r w:rsidR="00C600E3" w:rsidRPr="005734B8">
        <w:rPr>
          <w:rFonts w:ascii="Calibri" w:hAnsi="Calibri" w:cs="Calibri"/>
        </w:rPr>
        <w:t>al</w:t>
      </w:r>
      <w:r w:rsidRPr="005734B8">
        <w:rPr>
          <w:rFonts w:ascii="Calibri" w:hAnsi="Calibri" w:cs="Calibri"/>
        </w:rPr>
        <w:t xml:space="preserve"> recruitment and promotion selection panels include a merit-trained employee as a member. To facilitate this, the Merit Protection Boards provide training in the principles of merit and equity for teaching service and public service staff.</w:t>
      </w:r>
    </w:p>
    <w:p w14:paraId="20A484B0" w14:textId="77777777" w:rsidR="0015702A" w:rsidRPr="005734B8" w:rsidRDefault="0015702A" w:rsidP="0015702A">
      <w:pPr>
        <w:rPr>
          <w:rFonts w:ascii="Calibri" w:hAnsi="Calibri" w:cs="Calibri"/>
        </w:rPr>
      </w:pPr>
    </w:p>
    <w:p w14:paraId="628316CF" w14:textId="5CF050ED" w:rsidR="0015702A" w:rsidRPr="005734B8" w:rsidRDefault="0015702A" w:rsidP="0015702A">
      <w:pPr>
        <w:rPr>
          <w:rFonts w:ascii="Calibri" w:hAnsi="Calibri" w:cs="Calibri"/>
        </w:rPr>
      </w:pPr>
      <w:r w:rsidRPr="005734B8">
        <w:rPr>
          <w:rFonts w:ascii="Calibri" w:hAnsi="Calibri" w:cs="Calibri"/>
        </w:rPr>
        <w:t>The training programs are conducted statewide. In 2020</w:t>
      </w:r>
      <w:r w:rsidR="00C600E3" w:rsidRPr="005734B8">
        <w:rPr>
          <w:rFonts w:ascii="Calibri" w:hAnsi="Calibri" w:cs="Calibri"/>
        </w:rPr>
        <w:t>–</w:t>
      </w:r>
      <w:r w:rsidRPr="005734B8">
        <w:rPr>
          <w:rFonts w:ascii="Calibri" w:hAnsi="Calibri" w:cs="Calibri"/>
        </w:rPr>
        <w:t>21 training was delivered online, 56 seminars were conducted, and training provided for 1,323 teaching service and public service staff.</w:t>
      </w:r>
    </w:p>
    <w:p w14:paraId="2F11E2E2" w14:textId="77777777" w:rsidR="0075682E" w:rsidRPr="005734B8" w:rsidRDefault="0075682E" w:rsidP="00165AC8">
      <w:pPr>
        <w:rPr>
          <w:rFonts w:ascii="Calibri" w:hAnsi="Calibri" w:cs="Calibri"/>
          <w:highlight w:val="yellow"/>
        </w:rPr>
      </w:pPr>
    </w:p>
    <w:p w14:paraId="28780090" w14:textId="77777777" w:rsidR="00985C8D" w:rsidRPr="005734B8" w:rsidRDefault="00985C8D" w:rsidP="00985C8D">
      <w:pPr>
        <w:pStyle w:val="ESTableintroheading"/>
        <w:rPr>
          <w:rFonts w:ascii="Calibri" w:hAnsi="Calibri" w:cs="Calibri"/>
        </w:rPr>
      </w:pPr>
      <w:r w:rsidRPr="005734B8">
        <w:rPr>
          <w:rFonts w:ascii="Calibri" w:hAnsi="Calibri" w:cs="Calibri"/>
        </w:rPr>
        <w:t>Number of employees trained by region</w:t>
      </w:r>
      <w:r w:rsidRPr="005734B8">
        <w:rPr>
          <w:rStyle w:val="FootnoteReference"/>
          <w:rFonts w:ascii="Calibri" w:hAnsi="Calibri" w:cs="Calibri"/>
        </w:rPr>
        <w:footnoteReference w:id="102"/>
      </w:r>
      <w:r w:rsidRPr="005734B8">
        <w:rPr>
          <w:rFonts w:ascii="Calibri" w:hAnsi="Calibri" w:cs="Calibri"/>
        </w:rPr>
        <w:t xml:space="preserve"> (includes re</w:t>
      </w:r>
      <w:r w:rsidRPr="005734B8">
        <w:rPr>
          <w:rFonts w:ascii="Calibri" w:hAnsi="Calibri" w:cs="Calibri"/>
        </w:rPr>
        <w:noBreakHyphen/>
        <w:t>accreditation)</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39"/>
        <w:gridCol w:w="1136"/>
        <w:gridCol w:w="1136"/>
        <w:gridCol w:w="1137"/>
        <w:gridCol w:w="1136"/>
        <w:gridCol w:w="1137"/>
      </w:tblGrid>
      <w:tr w:rsidR="00985C8D" w:rsidRPr="005734B8" w14:paraId="7716CA41" w14:textId="77777777" w:rsidTr="002B6980">
        <w:trPr>
          <w:cantSplit/>
          <w:trHeight w:val="242"/>
          <w:tblHeader/>
        </w:trPr>
        <w:tc>
          <w:tcPr>
            <w:tcW w:w="2239" w:type="dxa"/>
            <w:tcBorders>
              <w:bottom w:val="single" w:sz="4" w:space="0" w:color="FFFFFF" w:themeColor="background1"/>
            </w:tcBorders>
            <w:shd w:val="clear" w:color="auto" w:fill="AF272F" w:themeFill="accent4"/>
          </w:tcPr>
          <w:p w14:paraId="1EBA6E27" w14:textId="77777777" w:rsidR="00985C8D" w:rsidRPr="005734B8" w:rsidRDefault="00985C8D" w:rsidP="002B6980">
            <w:pPr>
              <w:pStyle w:val="ESTableheadingwhite"/>
              <w:rPr>
                <w:rFonts w:ascii="Calibri" w:hAnsi="Calibri" w:cs="Calibri"/>
                <w:sz w:val="18"/>
                <w:lang w:val="en-AU"/>
              </w:rPr>
            </w:pPr>
            <w:r w:rsidRPr="005734B8">
              <w:rPr>
                <w:rFonts w:ascii="Calibri" w:hAnsi="Calibri" w:cs="Calibri"/>
                <w:sz w:val="18"/>
                <w:lang w:val="en-AU"/>
              </w:rPr>
              <w:t>Region</w:t>
            </w:r>
          </w:p>
        </w:tc>
        <w:tc>
          <w:tcPr>
            <w:tcW w:w="1136" w:type="dxa"/>
            <w:tcBorders>
              <w:bottom w:val="single" w:sz="4" w:space="0" w:color="FFFFFF" w:themeColor="background1"/>
            </w:tcBorders>
            <w:shd w:val="clear" w:color="auto" w:fill="AF272F" w:themeFill="accent4"/>
          </w:tcPr>
          <w:p w14:paraId="71209FD6" w14:textId="77777777" w:rsidR="00985C8D" w:rsidRPr="005734B8" w:rsidRDefault="00985C8D" w:rsidP="002B6980">
            <w:pPr>
              <w:pStyle w:val="ESTableheadingwhite"/>
              <w:jc w:val="center"/>
              <w:rPr>
                <w:rFonts w:ascii="Calibri" w:hAnsi="Calibri" w:cs="Calibri"/>
                <w:sz w:val="18"/>
                <w:lang w:val="en-AU"/>
              </w:rPr>
            </w:pPr>
            <w:r w:rsidRPr="005734B8">
              <w:rPr>
                <w:rFonts w:ascii="Calibri" w:hAnsi="Calibri" w:cs="Calibri"/>
                <w:sz w:val="18"/>
              </w:rPr>
              <w:t>Principals</w:t>
            </w:r>
          </w:p>
        </w:tc>
        <w:tc>
          <w:tcPr>
            <w:tcW w:w="1136" w:type="dxa"/>
            <w:tcBorders>
              <w:bottom w:val="single" w:sz="4" w:space="0" w:color="FFFFFF" w:themeColor="background1"/>
            </w:tcBorders>
            <w:shd w:val="clear" w:color="auto" w:fill="AF272F" w:themeFill="accent4"/>
          </w:tcPr>
          <w:p w14:paraId="0BA0D480" w14:textId="77777777" w:rsidR="00985C8D" w:rsidRPr="005734B8" w:rsidRDefault="00985C8D" w:rsidP="002B6980">
            <w:pPr>
              <w:pStyle w:val="ESTableheadingwhite"/>
              <w:jc w:val="center"/>
              <w:rPr>
                <w:rFonts w:ascii="Calibri" w:hAnsi="Calibri" w:cs="Calibri"/>
                <w:sz w:val="18"/>
                <w:lang w:val="en-AU"/>
              </w:rPr>
            </w:pPr>
            <w:r w:rsidRPr="005734B8">
              <w:rPr>
                <w:rFonts w:ascii="Calibri" w:hAnsi="Calibri" w:cs="Calibri"/>
                <w:sz w:val="18"/>
              </w:rPr>
              <w:t>Teachers</w:t>
            </w:r>
          </w:p>
        </w:tc>
        <w:tc>
          <w:tcPr>
            <w:tcW w:w="1137" w:type="dxa"/>
            <w:tcBorders>
              <w:bottom w:val="single" w:sz="4" w:space="0" w:color="FFFFFF" w:themeColor="background1"/>
            </w:tcBorders>
            <w:shd w:val="clear" w:color="auto" w:fill="AF272F" w:themeFill="accent4"/>
          </w:tcPr>
          <w:p w14:paraId="3404DA70" w14:textId="77777777" w:rsidR="00985C8D" w:rsidRPr="005734B8" w:rsidRDefault="00985C8D" w:rsidP="002B6980">
            <w:pPr>
              <w:pStyle w:val="ESTableheadingwhite"/>
              <w:jc w:val="center"/>
              <w:rPr>
                <w:rFonts w:ascii="Calibri" w:hAnsi="Calibri" w:cs="Calibri"/>
                <w:sz w:val="18"/>
                <w:lang w:val="en-AU"/>
              </w:rPr>
            </w:pPr>
            <w:r w:rsidRPr="005734B8">
              <w:rPr>
                <w:rFonts w:ascii="Calibri" w:hAnsi="Calibri" w:cs="Calibri"/>
                <w:sz w:val="18"/>
              </w:rPr>
              <w:t>Education support class</w:t>
            </w:r>
          </w:p>
        </w:tc>
        <w:tc>
          <w:tcPr>
            <w:tcW w:w="1136" w:type="dxa"/>
            <w:tcBorders>
              <w:bottom w:val="single" w:sz="4" w:space="0" w:color="FFFFFF" w:themeColor="background1"/>
            </w:tcBorders>
            <w:shd w:val="clear" w:color="auto" w:fill="AF272F" w:themeFill="accent4"/>
          </w:tcPr>
          <w:p w14:paraId="393CCD69" w14:textId="77777777" w:rsidR="00985C8D" w:rsidRPr="005734B8" w:rsidRDefault="00985C8D" w:rsidP="002B6980">
            <w:pPr>
              <w:pStyle w:val="ESTableheadingwhite"/>
              <w:jc w:val="center"/>
              <w:rPr>
                <w:rFonts w:ascii="Calibri" w:hAnsi="Calibri" w:cs="Calibri"/>
                <w:sz w:val="18"/>
                <w:lang w:val="en-AU"/>
              </w:rPr>
            </w:pPr>
            <w:r w:rsidRPr="005734B8">
              <w:rPr>
                <w:rFonts w:ascii="Calibri" w:hAnsi="Calibri" w:cs="Calibri"/>
                <w:sz w:val="18"/>
              </w:rPr>
              <w:t>VPS</w:t>
            </w:r>
          </w:p>
        </w:tc>
        <w:tc>
          <w:tcPr>
            <w:tcW w:w="1137" w:type="dxa"/>
            <w:tcBorders>
              <w:bottom w:val="single" w:sz="4" w:space="0" w:color="FFFFFF" w:themeColor="background1"/>
            </w:tcBorders>
            <w:shd w:val="clear" w:color="auto" w:fill="AF272F" w:themeFill="accent4"/>
          </w:tcPr>
          <w:p w14:paraId="6CA0FD00" w14:textId="77777777" w:rsidR="00985C8D" w:rsidRPr="005734B8" w:rsidRDefault="00985C8D" w:rsidP="002B6980">
            <w:pPr>
              <w:pStyle w:val="ESTableheadingwhite"/>
              <w:jc w:val="center"/>
              <w:rPr>
                <w:rFonts w:ascii="Calibri" w:hAnsi="Calibri" w:cs="Calibri"/>
                <w:sz w:val="18"/>
                <w:lang w:val="en-AU"/>
              </w:rPr>
            </w:pPr>
            <w:r w:rsidRPr="005734B8">
              <w:rPr>
                <w:rFonts w:ascii="Calibri" w:hAnsi="Calibri" w:cs="Calibri"/>
                <w:sz w:val="18"/>
              </w:rPr>
              <w:t>Total</w:t>
            </w:r>
          </w:p>
        </w:tc>
      </w:tr>
      <w:tr w:rsidR="00985C8D" w:rsidRPr="005734B8" w14:paraId="450E24A5" w14:textId="77777777" w:rsidTr="002B6980">
        <w:trPr>
          <w:cantSplit/>
          <w:trHeight w:val="480"/>
        </w:trPr>
        <w:tc>
          <w:tcPr>
            <w:tcW w:w="2239" w:type="dxa"/>
            <w:tcBorders>
              <w:top w:val="single" w:sz="4" w:space="0" w:color="53565A" w:themeColor="accent5"/>
              <w:bottom w:val="single" w:sz="4" w:space="0" w:color="53565A" w:themeColor="accent5"/>
            </w:tcBorders>
            <w:shd w:val="clear" w:color="auto" w:fill="auto"/>
          </w:tcPr>
          <w:p w14:paraId="405A1720" w14:textId="77777777" w:rsidR="00985C8D" w:rsidRPr="005734B8" w:rsidRDefault="00985C8D" w:rsidP="002B6980">
            <w:pPr>
              <w:pStyle w:val="ESTablebody"/>
              <w:rPr>
                <w:rFonts w:ascii="Calibri" w:hAnsi="Calibri" w:cs="Calibri"/>
                <w:sz w:val="18"/>
              </w:rPr>
            </w:pPr>
            <w:r w:rsidRPr="005734B8">
              <w:rPr>
                <w:rFonts w:ascii="Calibri" w:hAnsi="Calibri" w:cs="Calibri"/>
                <w:sz w:val="18"/>
                <w:lang w:val="en-AU"/>
              </w:rPr>
              <w:t>North Eastern Victoria</w:t>
            </w:r>
          </w:p>
        </w:tc>
        <w:tc>
          <w:tcPr>
            <w:tcW w:w="1136" w:type="dxa"/>
            <w:tcBorders>
              <w:top w:val="single" w:sz="4" w:space="0" w:color="53565A" w:themeColor="accent5"/>
              <w:bottom w:val="single" w:sz="4" w:space="0" w:color="53565A" w:themeColor="accent5"/>
            </w:tcBorders>
            <w:shd w:val="clear" w:color="auto" w:fill="auto"/>
            <w:vAlign w:val="center"/>
          </w:tcPr>
          <w:p w14:paraId="5B35F5AC" w14:textId="77777777" w:rsidR="00985C8D" w:rsidRPr="005734B8" w:rsidRDefault="00985C8D" w:rsidP="002B6980">
            <w:pPr>
              <w:pStyle w:val="ESTablebody"/>
              <w:jc w:val="center"/>
              <w:rPr>
                <w:rFonts w:ascii="Calibri" w:hAnsi="Calibri" w:cs="Calibri"/>
                <w:sz w:val="18"/>
              </w:rPr>
            </w:pPr>
            <w:r w:rsidRPr="005734B8">
              <w:rPr>
                <w:rFonts w:ascii="Calibri" w:hAnsi="Calibri" w:cs="Calibri"/>
                <w:sz w:val="18"/>
              </w:rPr>
              <w:t>40</w:t>
            </w:r>
          </w:p>
        </w:tc>
        <w:tc>
          <w:tcPr>
            <w:tcW w:w="1136" w:type="dxa"/>
            <w:tcBorders>
              <w:top w:val="single" w:sz="4" w:space="0" w:color="53565A" w:themeColor="accent5"/>
              <w:bottom w:val="single" w:sz="4" w:space="0" w:color="53565A" w:themeColor="accent5"/>
            </w:tcBorders>
            <w:vAlign w:val="center"/>
          </w:tcPr>
          <w:p w14:paraId="401EB987" w14:textId="77777777" w:rsidR="00985C8D" w:rsidRPr="005734B8" w:rsidRDefault="00985C8D" w:rsidP="002B6980">
            <w:pPr>
              <w:pStyle w:val="ESTablebody"/>
              <w:jc w:val="center"/>
              <w:rPr>
                <w:rFonts w:ascii="Calibri" w:hAnsi="Calibri" w:cs="Calibri"/>
                <w:sz w:val="18"/>
              </w:rPr>
            </w:pPr>
            <w:r w:rsidRPr="005734B8">
              <w:rPr>
                <w:rFonts w:ascii="Calibri" w:hAnsi="Calibri" w:cs="Calibri"/>
                <w:sz w:val="18"/>
              </w:rPr>
              <w:t>80</w:t>
            </w:r>
          </w:p>
        </w:tc>
        <w:tc>
          <w:tcPr>
            <w:tcW w:w="1137" w:type="dxa"/>
            <w:tcBorders>
              <w:top w:val="single" w:sz="4" w:space="0" w:color="53565A" w:themeColor="accent5"/>
              <w:bottom w:val="single" w:sz="4" w:space="0" w:color="53565A" w:themeColor="accent5"/>
            </w:tcBorders>
            <w:vAlign w:val="center"/>
          </w:tcPr>
          <w:p w14:paraId="75C0350D" w14:textId="77777777" w:rsidR="00985C8D" w:rsidRPr="005734B8" w:rsidRDefault="00985C8D" w:rsidP="002B6980">
            <w:pPr>
              <w:pStyle w:val="ESTablebody"/>
              <w:jc w:val="center"/>
              <w:rPr>
                <w:rFonts w:ascii="Calibri" w:hAnsi="Calibri" w:cs="Calibri"/>
                <w:sz w:val="18"/>
                <w:lang w:val="en-AU"/>
              </w:rPr>
            </w:pPr>
            <w:r w:rsidRPr="005734B8">
              <w:rPr>
                <w:rFonts w:ascii="Calibri" w:hAnsi="Calibri" w:cs="Calibri"/>
                <w:sz w:val="18"/>
                <w:lang w:val="en-AU"/>
              </w:rPr>
              <w:t>36</w:t>
            </w:r>
          </w:p>
        </w:tc>
        <w:tc>
          <w:tcPr>
            <w:tcW w:w="1136" w:type="dxa"/>
            <w:tcBorders>
              <w:top w:val="single" w:sz="4" w:space="0" w:color="53565A" w:themeColor="accent5"/>
              <w:bottom w:val="single" w:sz="4" w:space="0" w:color="53565A" w:themeColor="accent5"/>
            </w:tcBorders>
            <w:vAlign w:val="center"/>
          </w:tcPr>
          <w:p w14:paraId="69C018B9" w14:textId="77777777" w:rsidR="00985C8D" w:rsidRPr="005734B8" w:rsidRDefault="00985C8D" w:rsidP="002B6980">
            <w:pPr>
              <w:pStyle w:val="ESTablebody"/>
              <w:jc w:val="center"/>
              <w:rPr>
                <w:rFonts w:ascii="Calibri" w:hAnsi="Calibri" w:cs="Calibri"/>
                <w:sz w:val="18"/>
                <w:lang w:val="en-AU"/>
              </w:rPr>
            </w:pPr>
            <w:r w:rsidRPr="005734B8">
              <w:rPr>
                <w:rFonts w:ascii="Calibri" w:hAnsi="Calibri" w:cs="Calibri"/>
                <w:sz w:val="18"/>
                <w:lang w:val="en-AU"/>
              </w:rPr>
              <w:t>18</w:t>
            </w:r>
          </w:p>
        </w:tc>
        <w:tc>
          <w:tcPr>
            <w:tcW w:w="1137" w:type="dxa"/>
            <w:tcBorders>
              <w:top w:val="single" w:sz="4" w:space="0" w:color="53565A" w:themeColor="accent5"/>
              <w:bottom w:val="single" w:sz="4" w:space="0" w:color="53565A" w:themeColor="accent5"/>
            </w:tcBorders>
            <w:vAlign w:val="center"/>
          </w:tcPr>
          <w:p w14:paraId="09816BB8" w14:textId="77777777" w:rsidR="00985C8D" w:rsidRPr="005734B8" w:rsidRDefault="00985C8D" w:rsidP="002B6980">
            <w:pPr>
              <w:pStyle w:val="ESTablebody"/>
              <w:jc w:val="center"/>
              <w:rPr>
                <w:rFonts w:ascii="Calibri" w:hAnsi="Calibri" w:cs="Calibri"/>
                <w:sz w:val="18"/>
                <w:lang w:val="en-AU"/>
              </w:rPr>
            </w:pPr>
            <w:r w:rsidRPr="005734B8">
              <w:rPr>
                <w:rFonts w:ascii="Calibri" w:hAnsi="Calibri" w:cs="Calibri"/>
                <w:sz w:val="18"/>
                <w:lang w:val="en-AU"/>
              </w:rPr>
              <w:t>174</w:t>
            </w:r>
          </w:p>
        </w:tc>
      </w:tr>
      <w:tr w:rsidR="00985C8D" w:rsidRPr="005734B8" w14:paraId="091356B3" w14:textId="77777777" w:rsidTr="002B6980">
        <w:trPr>
          <w:cantSplit/>
          <w:trHeight w:val="477"/>
        </w:trPr>
        <w:tc>
          <w:tcPr>
            <w:tcW w:w="2239" w:type="dxa"/>
            <w:tcBorders>
              <w:top w:val="single" w:sz="4" w:space="0" w:color="53565A" w:themeColor="accent5"/>
              <w:bottom w:val="single" w:sz="4" w:space="0" w:color="53565A" w:themeColor="accent5"/>
            </w:tcBorders>
            <w:shd w:val="clear" w:color="auto" w:fill="auto"/>
          </w:tcPr>
          <w:p w14:paraId="4AA0ADA0" w14:textId="77777777" w:rsidR="00985C8D" w:rsidRPr="005734B8" w:rsidRDefault="00985C8D" w:rsidP="002B6980">
            <w:pPr>
              <w:pStyle w:val="ESTablebody"/>
              <w:rPr>
                <w:rFonts w:ascii="Calibri" w:hAnsi="Calibri" w:cs="Calibri"/>
                <w:sz w:val="18"/>
              </w:rPr>
            </w:pPr>
            <w:r w:rsidRPr="005734B8">
              <w:rPr>
                <w:rFonts w:ascii="Calibri" w:hAnsi="Calibri" w:cs="Calibri"/>
                <w:sz w:val="18"/>
                <w:lang w:val="en-AU"/>
              </w:rPr>
              <w:t>North Western Victoria</w:t>
            </w:r>
          </w:p>
        </w:tc>
        <w:tc>
          <w:tcPr>
            <w:tcW w:w="1136" w:type="dxa"/>
            <w:tcBorders>
              <w:top w:val="single" w:sz="4" w:space="0" w:color="53565A" w:themeColor="accent5"/>
              <w:bottom w:val="single" w:sz="4" w:space="0" w:color="53565A" w:themeColor="accent5"/>
            </w:tcBorders>
            <w:shd w:val="clear" w:color="auto" w:fill="auto"/>
            <w:vAlign w:val="center"/>
          </w:tcPr>
          <w:p w14:paraId="1131AB3E" w14:textId="77777777" w:rsidR="00985C8D" w:rsidRPr="005734B8" w:rsidRDefault="00985C8D" w:rsidP="002B6980">
            <w:pPr>
              <w:pStyle w:val="ESTablebody"/>
              <w:jc w:val="center"/>
              <w:rPr>
                <w:rFonts w:ascii="Calibri" w:hAnsi="Calibri" w:cs="Calibri"/>
                <w:sz w:val="18"/>
              </w:rPr>
            </w:pPr>
            <w:r w:rsidRPr="005734B8">
              <w:rPr>
                <w:rFonts w:ascii="Calibri" w:hAnsi="Calibri" w:cs="Calibri"/>
                <w:sz w:val="18"/>
              </w:rPr>
              <w:t>34</w:t>
            </w:r>
          </w:p>
        </w:tc>
        <w:tc>
          <w:tcPr>
            <w:tcW w:w="1136" w:type="dxa"/>
            <w:tcBorders>
              <w:top w:val="single" w:sz="4" w:space="0" w:color="53565A" w:themeColor="accent5"/>
              <w:bottom w:val="single" w:sz="4" w:space="0" w:color="53565A" w:themeColor="accent5"/>
            </w:tcBorders>
            <w:vAlign w:val="center"/>
          </w:tcPr>
          <w:p w14:paraId="39833461" w14:textId="77777777" w:rsidR="00985C8D" w:rsidRPr="005734B8" w:rsidRDefault="00985C8D" w:rsidP="002B6980">
            <w:pPr>
              <w:pStyle w:val="ESTablebody"/>
              <w:jc w:val="center"/>
              <w:rPr>
                <w:rFonts w:ascii="Calibri" w:hAnsi="Calibri" w:cs="Calibri"/>
                <w:sz w:val="18"/>
              </w:rPr>
            </w:pPr>
            <w:r w:rsidRPr="005734B8">
              <w:rPr>
                <w:rFonts w:ascii="Calibri" w:hAnsi="Calibri" w:cs="Calibri"/>
                <w:sz w:val="18"/>
              </w:rPr>
              <w:t>98</w:t>
            </w:r>
          </w:p>
        </w:tc>
        <w:tc>
          <w:tcPr>
            <w:tcW w:w="1137" w:type="dxa"/>
            <w:tcBorders>
              <w:top w:val="single" w:sz="4" w:space="0" w:color="53565A" w:themeColor="accent5"/>
              <w:bottom w:val="single" w:sz="4" w:space="0" w:color="53565A" w:themeColor="accent5"/>
            </w:tcBorders>
            <w:vAlign w:val="center"/>
          </w:tcPr>
          <w:p w14:paraId="797D3252" w14:textId="77777777" w:rsidR="00985C8D" w:rsidRPr="005734B8" w:rsidRDefault="00985C8D" w:rsidP="002B6980">
            <w:pPr>
              <w:pStyle w:val="ESTablebody"/>
              <w:jc w:val="center"/>
              <w:rPr>
                <w:rFonts w:ascii="Calibri" w:hAnsi="Calibri" w:cs="Calibri"/>
                <w:sz w:val="18"/>
                <w:lang w:val="en-AU"/>
              </w:rPr>
            </w:pPr>
            <w:r w:rsidRPr="005734B8">
              <w:rPr>
                <w:rFonts w:ascii="Calibri" w:hAnsi="Calibri" w:cs="Calibri"/>
                <w:sz w:val="18"/>
                <w:lang w:val="en-AU"/>
              </w:rPr>
              <w:t>35</w:t>
            </w:r>
          </w:p>
        </w:tc>
        <w:tc>
          <w:tcPr>
            <w:tcW w:w="1136" w:type="dxa"/>
            <w:tcBorders>
              <w:top w:val="single" w:sz="4" w:space="0" w:color="53565A" w:themeColor="accent5"/>
              <w:bottom w:val="single" w:sz="4" w:space="0" w:color="53565A" w:themeColor="accent5"/>
            </w:tcBorders>
            <w:vAlign w:val="center"/>
          </w:tcPr>
          <w:p w14:paraId="53005FC3" w14:textId="77777777" w:rsidR="00985C8D" w:rsidRPr="005734B8" w:rsidRDefault="00985C8D" w:rsidP="002B6980">
            <w:pPr>
              <w:pStyle w:val="ESTablebody"/>
              <w:jc w:val="center"/>
              <w:rPr>
                <w:rFonts w:ascii="Calibri" w:hAnsi="Calibri" w:cs="Calibri"/>
                <w:sz w:val="18"/>
                <w:lang w:val="en-AU"/>
              </w:rPr>
            </w:pPr>
            <w:r w:rsidRPr="005734B8">
              <w:rPr>
                <w:rFonts w:ascii="Calibri" w:hAnsi="Calibri" w:cs="Calibri"/>
                <w:sz w:val="18"/>
                <w:lang w:val="en-AU"/>
              </w:rPr>
              <w:t>43</w:t>
            </w:r>
          </w:p>
        </w:tc>
        <w:tc>
          <w:tcPr>
            <w:tcW w:w="1137" w:type="dxa"/>
            <w:tcBorders>
              <w:top w:val="single" w:sz="4" w:space="0" w:color="53565A" w:themeColor="accent5"/>
              <w:bottom w:val="single" w:sz="4" w:space="0" w:color="53565A" w:themeColor="accent5"/>
            </w:tcBorders>
            <w:vAlign w:val="center"/>
          </w:tcPr>
          <w:p w14:paraId="50668BF0" w14:textId="77777777" w:rsidR="00985C8D" w:rsidRPr="005734B8" w:rsidRDefault="00985C8D" w:rsidP="002B6980">
            <w:pPr>
              <w:pStyle w:val="ESTablebody"/>
              <w:jc w:val="center"/>
              <w:rPr>
                <w:rFonts w:ascii="Calibri" w:hAnsi="Calibri" w:cs="Calibri"/>
                <w:sz w:val="18"/>
                <w:lang w:val="en-AU"/>
              </w:rPr>
            </w:pPr>
            <w:r w:rsidRPr="005734B8">
              <w:rPr>
                <w:rFonts w:ascii="Calibri" w:hAnsi="Calibri" w:cs="Calibri"/>
                <w:sz w:val="18"/>
                <w:lang w:val="en-AU"/>
              </w:rPr>
              <w:t>210</w:t>
            </w:r>
          </w:p>
        </w:tc>
      </w:tr>
      <w:tr w:rsidR="00985C8D" w:rsidRPr="005734B8" w14:paraId="492B0523" w14:textId="77777777" w:rsidTr="002B6980">
        <w:trPr>
          <w:cantSplit/>
          <w:trHeight w:val="477"/>
        </w:trPr>
        <w:tc>
          <w:tcPr>
            <w:tcW w:w="2239" w:type="dxa"/>
            <w:tcBorders>
              <w:top w:val="single" w:sz="4" w:space="0" w:color="53565A" w:themeColor="accent5"/>
              <w:bottom w:val="single" w:sz="4" w:space="0" w:color="53565A" w:themeColor="accent5"/>
            </w:tcBorders>
            <w:shd w:val="clear" w:color="auto" w:fill="auto"/>
          </w:tcPr>
          <w:p w14:paraId="45F1C2B4" w14:textId="77777777" w:rsidR="00985C8D" w:rsidRPr="005734B8" w:rsidRDefault="00985C8D" w:rsidP="002B6980">
            <w:pPr>
              <w:pStyle w:val="ESTablebody"/>
              <w:rPr>
                <w:rFonts w:ascii="Calibri" w:hAnsi="Calibri" w:cs="Calibri"/>
                <w:sz w:val="18"/>
              </w:rPr>
            </w:pPr>
            <w:r w:rsidRPr="005734B8">
              <w:rPr>
                <w:rFonts w:ascii="Calibri" w:hAnsi="Calibri" w:cs="Calibri"/>
                <w:sz w:val="18"/>
                <w:lang w:val="en-AU"/>
              </w:rPr>
              <w:t>South Eastern Victoria</w:t>
            </w:r>
          </w:p>
        </w:tc>
        <w:tc>
          <w:tcPr>
            <w:tcW w:w="1136" w:type="dxa"/>
            <w:tcBorders>
              <w:top w:val="single" w:sz="4" w:space="0" w:color="53565A" w:themeColor="accent5"/>
              <w:bottom w:val="single" w:sz="4" w:space="0" w:color="53565A" w:themeColor="accent5"/>
            </w:tcBorders>
            <w:shd w:val="clear" w:color="auto" w:fill="auto"/>
            <w:vAlign w:val="center"/>
          </w:tcPr>
          <w:p w14:paraId="66C75DA3" w14:textId="77777777" w:rsidR="00985C8D" w:rsidRPr="005734B8" w:rsidRDefault="00985C8D" w:rsidP="002B6980">
            <w:pPr>
              <w:pStyle w:val="ESTablebody"/>
              <w:jc w:val="center"/>
              <w:rPr>
                <w:rFonts w:ascii="Calibri" w:hAnsi="Calibri" w:cs="Calibri"/>
                <w:sz w:val="18"/>
              </w:rPr>
            </w:pPr>
            <w:r w:rsidRPr="005734B8">
              <w:rPr>
                <w:rFonts w:ascii="Calibri" w:hAnsi="Calibri" w:cs="Calibri"/>
                <w:sz w:val="18"/>
              </w:rPr>
              <w:t>84</w:t>
            </w:r>
          </w:p>
        </w:tc>
        <w:tc>
          <w:tcPr>
            <w:tcW w:w="1136" w:type="dxa"/>
            <w:tcBorders>
              <w:top w:val="single" w:sz="4" w:space="0" w:color="53565A" w:themeColor="accent5"/>
              <w:bottom w:val="single" w:sz="4" w:space="0" w:color="53565A" w:themeColor="accent5"/>
            </w:tcBorders>
            <w:vAlign w:val="center"/>
          </w:tcPr>
          <w:p w14:paraId="096025C9" w14:textId="77777777" w:rsidR="00985C8D" w:rsidRPr="005734B8" w:rsidRDefault="00985C8D" w:rsidP="002B6980">
            <w:pPr>
              <w:pStyle w:val="ESTablebody"/>
              <w:jc w:val="center"/>
              <w:rPr>
                <w:rFonts w:ascii="Calibri" w:hAnsi="Calibri" w:cs="Calibri"/>
                <w:sz w:val="18"/>
              </w:rPr>
            </w:pPr>
            <w:r w:rsidRPr="005734B8">
              <w:rPr>
                <w:rFonts w:ascii="Calibri" w:hAnsi="Calibri" w:cs="Calibri"/>
                <w:sz w:val="18"/>
              </w:rPr>
              <w:t>122</w:t>
            </w:r>
          </w:p>
        </w:tc>
        <w:tc>
          <w:tcPr>
            <w:tcW w:w="1137" w:type="dxa"/>
            <w:tcBorders>
              <w:top w:val="single" w:sz="4" w:space="0" w:color="53565A" w:themeColor="accent5"/>
              <w:bottom w:val="single" w:sz="4" w:space="0" w:color="53565A" w:themeColor="accent5"/>
            </w:tcBorders>
            <w:vAlign w:val="center"/>
          </w:tcPr>
          <w:p w14:paraId="48965541" w14:textId="77777777" w:rsidR="00985C8D" w:rsidRPr="005734B8" w:rsidRDefault="00985C8D" w:rsidP="002B6980">
            <w:pPr>
              <w:pStyle w:val="ESTablebody"/>
              <w:jc w:val="center"/>
              <w:rPr>
                <w:rFonts w:ascii="Calibri" w:hAnsi="Calibri" w:cs="Calibri"/>
                <w:sz w:val="18"/>
                <w:lang w:val="en-AU"/>
              </w:rPr>
            </w:pPr>
            <w:r w:rsidRPr="005734B8">
              <w:rPr>
                <w:rFonts w:ascii="Calibri" w:hAnsi="Calibri" w:cs="Calibri"/>
                <w:sz w:val="18"/>
                <w:lang w:val="en-AU"/>
              </w:rPr>
              <w:t>56</w:t>
            </w:r>
          </w:p>
        </w:tc>
        <w:tc>
          <w:tcPr>
            <w:tcW w:w="1136" w:type="dxa"/>
            <w:tcBorders>
              <w:top w:val="single" w:sz="4" w:space="0" w:color="53565A" w:themeColor="accent5"/>
              <w:bottom w:val="single" w:sz="4" w:space="0" w:color="53565A" w:themeColor="accent5"/>
            </w:tcBorders>
            <w:vAlign w:val="center"/>
          </w:tcPr>
          <w:p w14:paraId="4A517228" w14:textId="77777777" w:rsidR="00985C8D" w:rsidRPr="005734B8" w:rsidRDefault="00985C8D" w:rsidP="002B6980">
            <w:pPr>
              <w:pStyle w:val="ESTablebody"/>
              <w:jc w:val="center"/>
              <w:rPr>
                <w:rFonts w:ascii="Calibri" w:hAnsi="Calibri" w:cs="Calibri"/>
                <w:sz w:val="18"/>
                <w:lang w:val="en-AU"/>
              </w:rPr>
            </w:pPr>
            <w:r w:rsidRPr="005734B8">
              <w:rPr>
                <w:rFonts w:ascii="Calibri" w:hAnsi="Calibri" w:cs="Calibri"/>
                <w:sz w:val="18"/>
                <w:lang w:val="en-AU"/>
              </w:rPr>
              <w:t>23</w:t>
            </w:r>
          </w:p>
        </w:tc>
        <w:tc>
          <w:tcPr>
            <w:tcW w:w="1137" w:type="dxa"/>
            <w:tcBorders>
              <w:top w:val="single" w:sz="4" w:space="0" w:color="53565A" w:themeColor="accent5"/>
              <w:bottom w:val="single" w:sz="4" w:space="0" w:color="53565A" w:themeColor="accent5"/>
            </w:tcBorders>
            <w:vAlign w:val="center"/>
          </w:tcPr>
          <w:p w14:paraId="319556AD" w14:textId="77777777" w:rsidR="00985C8D" w:rsidRPr="005734B8" w:rsidRDefault="00985C8D" w:rsidP="002B6980">
            <w:pPr>
              <w:pStyle w:val="ESTablebody"/>
              <w:jc w:val="center"/>
              <w:rPr>
                <w:rFonts w:ascii="Calibri" w:hAnsi="Calibri" w:cs="Calibri"/>
                <w:sz w:val="18"/>
                <w:lang w:val="en-AU"/>
              </w:rPr>
            </w:pPr>
            <w:r w:rsidRPr="005734B8">
              <w:rPr>
                <w:rFonts w:ascii="Calibri" w:hAnsi="Calibri" w:cs="Calibri"/>
                <w:sz w:val="18"/>
                <w:lang w:val="en-AU"/>
              </w:rPr>
              <w:t>285</w:t>
            </w:r>
          </w:p>
        </w:tc>
      </w:tr>
      <w:tr w:rsidR="00985C8D" w:rsidRPr="005734B8" w14:paraId="6B47ED61" w14:textId="77777777" w:rsidTr="002B6980">
        <w:trPr>
          <w:cantSplit/>
          <w:trHeight w:val="477"/>
        </w:trPr>
        <w:tc>
          <w:tcPr>
            <w:tcW w:w="2239" w:type="dxa"/>
            <w:tcBorders>
              <w:top w:val="single" w:sz="4" w:space="0" w:color="53565A" w:themeColor="accent5"/>
              <w:bottom w:val="single" w:sz="4" w:space="0" w:color="53565A" w:themeColor="accent5"/>
            </w:tcBorders>
            <w:shd w:val="clear" w:color="auto" w:fill="auto"/>
          </w:tcPr>
          <w:p w14:paraId="1270E4D6" w14:textId="77777777" w:rsidR="00985C8D" w:rsidRPr="005734B8" w:rsidRDefault="00985C8D" w:rsidP="002B6980">
            <w:pPr>
              <w:pStyle w:val="ESTablebody"/>
              <w:rPr>
                <w:rFonts w:ascii="Calibri" w:hAnsi="Calibri" w:cs="Calibri"/>
                <w:sz w:val="18"/>
                <w:lang w:val="en-AU"/>
              </w:rPr>
            </w:pPr>
            <w:r w:rsidRPr="005734B8">
              <w:rPr>
                <w:rFonts w:ascii="Calibri" w:hAnsi="Calibri" w:cs="Calibri"/>
                <w:sz w:val="18"/>
                <w:lang w:val="en-AU"/>
              </w:rPr>
              <w:t>South Western Victoria</w:t>
            </w:r>
          </w:p>
        </w:tc>
        <w:tc>
          <w:tcPr>
            <w:tcW w:w="1136" w:type="dxa"/>
            <w:tcBorders>
              <w:top w:val="single" w:sz="4" w:space="0" w:color="53565A" w:themeColor="accent5"/>
              <w:bottom w:val="single" w:sz="4" w:space="0" w:color="53565A" w:themeColor="accent5"/>
            </w:tcBorders>
            <w:shd w:val="clear" w:color="auto" w:fill="auto"/>
            <w:vAlign w:val="center"/>
          </w:tcPr>
          <w:p w14:paraId="1007A669" w14:textId="77777777" w:rsidR="00985C8D" w:rsidRPr="005734B8" w:rsidRDefault="00985C8D" w:rsidP="002B6980">
            <w:pPr>
              <w:pStyle w:val="ESTablebody"/>
              <w:jc w:val="center"/>
              <w:rPr>
                <w:rFonts w:ascii="Calibri" w:hAnsi="Calibri" w:cs="Calibri"/>
                <w:sz w:val="18"/>
                <w:lang w:val="en-AU"/>
              </w:rPr>
            </w:pPr>
            <w:r w:rsidRPr="005734B8">
              <w:rPr>
                <w:rFonts w:ascii="Calibri" w:hAnsi="Calibri" w:cs="Calibri"/>
                <w:sz w:val="18"/>
                <w:lang w:val="en-AU"/>
              </w:rPr>
              <w:t>79</w:t>
            </w:r>
          </w:p>
        </w:tc>
        <w:tc>
          <w:tcPr>
            <w:tcW w:w="1136" w:type="dxa"/>
            <w:tcBorders>
              <w:top w:val="single" w:sz="4" w:space="0" w:color="53565A" w:themeColor="accent5"/>
              <w:bottom w:val="single" w:sz="4" w:space="0" w:color="53565A" w:themeColor="accent5"/>
            </w:tcBorders>
            <w:vAlign w:val="center"/>
          </w:tcPr>
          <w:p w14:paraId="1087B442" w14:textId="77777777" w:rsidR="00985C8D" w:rsidRPr="005734B8" w:rsidRDefault="00985C8D" w:rsidP="002B6980">
            <w:pPr>
              <w:pStyle w:val="ESTablebody"/>
              <w:jc w:val="center"/>
              <w:rPr>
                <w:rFonts w:ascii="Calibri" w:hAnsi="Calibri" w:cs="Calibri"/>
                <w:sz w:val="18"/>
              </w:rPr>
            </w:pPr>
            <w:r w:rsidRPr="005734B8">
              <w:rPr>
                <w:rFonts w:ascii="Calibri" w:hAnsi="Calibri" w:cs="Calibri"/>
                <w:sz w:val="18"/>
              </w:rPr>
              <w:t>230</w:t>
            </w:r>
          </w:p>
        </w:tc>
        <w:tc>
          <w:tcPr>
            <w:tcW w:w="1137" w:type="dxa"/>
            <w:tcBorders>
              <w:top w:val="single" w:sz="4" w:space="0" w:color="53565A" w:themeColor="accent5"/>
              <w:bottom w:val="single" w:sz="4" w:space="0" w:color="53565A" w:themeColor="accent5"/>
            </w:tcBorders>
            <w:vAlign w:val="center"/>
          </w:tcPr>
          <w:p w14:paraId="411AFE99" w14:textId="77777777" w:rsidR="00985C8D" w:rsidRPr="005734B8" w:rsidRDefault="00985C8D" w:rsidP="002B6980">
            <w:pPr>
              <w:pStyle w:val="ESTablebody"/>
              <w:jc w:val="center"/>
              <w:rPr>
                <w:rFonts w:ascii="Calibri" w:hAnsi="Calibri" w:cs="Calibri"/>
                <w:sz w:val="18"/>
                <w:lang w:val="en-AU"/>
              </w:rPr>
            </w:pPr>
            <w:r w:rsidRPr="005734B8">
              <w:rPr>
                <w:rFonts w:ascii="Calibri" w:hAnsi="Calibri" w:cs="Calibri"/>
                <w:sz w:val="18"/>
                <w:lang w:val="en-AU"/>
              </w:rPr>
              <w:t>71</w:t>
            </w:r>
          </w:p>
        </w:tc>
        <w:tc>
          <w:tcPr>
            <w:tcW w:w="1136" w:type="dxa"/>
            <w:tcBorders>
              <w:top w:val="single" w:sz="4" w:space="0" w:color="53565A" w:themeColor="accent5"/>
              <w:bottom w:val="single" w:sz="4" w:space="0" w:color="53565A" w:themeColor="accent5"/>
            </w:tcBorders>
            <w:vAlign w:val="center"/>
          </w:tcPr>
          <w:p w14:paraId="43A61D62" w14:textId="77777777" w:rsidR="00985C8D" w:rsidRPr="005734B8" w:rsidRDefault="00985C8D" w:rsidP="002B6980">
            <w:pPr>
              <w:pStyle w:val="ESTablebody"/>
              <w:jc w:val="center"/>
              <w:rPr>
                <w:rFonts w:ascii="Calibri" w:hAnsi="Calibri" w:cs="Calibri"/>
                <w:sz w:val="18"/>
                <w:lang w:val="en-AU"/>
              </w:rPr>
            </w:pPr>
            <w:r w:rsidRPr="005734B8">
              <w:rPr>
                <w:rFonts w:ascii="Calibri" w:hAnsi="Calibri" w:cs="Calibri"/>
                <w:sz w:val="18"/>
                <w:lang w:val="en-AU"/>
              </w:rPr>
              <w:t>30</w:t>
            </w:r>
          </w:p>
        </w:tc>
        <w:tc>
          <w:tcPr>
            <w:tcW w:w="1137" w:type="dxa"/>
            <w:tcBorders>
              <w:top w:val="single" w:sz="4" w:space="0" w:color="53565A" w:themeColor="accent5"/>
              <w:bottom w:val="single" w:sz="4" w:space="0" w:color="53565A" w:themeColor="accent5"/>
            </w:tcBorders>
            <w:vAlign w:val="center"/>
          </w:tcPr>
          <w:p w14:paraId="56C1FE5C" w14:textId="77777777" w:rsidR="00985C8D" w:rsidRPr="005734B8" w:rsidRDefault="00985C8D" w:rsidP="002B6980">
            <w:pPr>
              <w:pStyle w:val="ESTablebody"/>
              <w:jc w:val="center"/>
              <w:rPr>
                <w:rFonts w:ascii="Calibri" w:hAnsi="Calibri" w:cs="Calibri"/>
                <w:sz w:val="18"/>
                <w:lang w:val="en-AU"/>
              </w:rPr>
            </w:pPr>
            <w:r w:rsidRPr="005734B8">
              <w:rPr>
                <w:rFonts w:ascii="Calibri" w:hAnsi="Calibri" w:cs="Calibri"/>
                <w:sz w:val="18"/>
                <w:lang w:val="en-AU"/>
              </w:rPr>
              <w:t>410</w:t>
            </w:r>
          </w:p>
        </w:tc>
      </w:tr>
      <w:tr w:rsidR="00985C8D" w:rsidRPr="005734B8" w14:paraId="1D166695" w14:textId="77777777" w:rsidTr="002B6980">
        <w:trPr>
          <w:cantSplit/>
          <w:trHeight w:val="477"/>
        </w:trPr>
        <w:tc>
          <w:tcPr>
            <w:tcW w:w="2239" w:type="dxa"/>
            <w:tcBorders>
              <w:top w:val="single" w:sz="4" w:space="0" w:color="53565A" w:themeColor="accent5"/>
              <w:bottom w:val="single" w:sz="4" w:space="0" w:color="53565A" w:themeColor="accent5"/>
            </w:tcBorders>
            <w:shd w:val="clear" w:color="auto" w:fill="auto"/>
          </w:tcPr>
          <w:p w14:paraId="416A99E6" w14:textId="77777777" w:rsidR="00985C8D" w:rsidRPr="005734B8" w:rsidRDefault="00985C8D" w:rsidP="002B6980">
            <w:pPr>
              <w:pStyle w:val="ESTablebody"/>
              <w:rPr>
                <w:rFonts w:ascii="Calibri" w:hAnsi="Calibri" w:cs="Calibri"/>
                <w:sz w:val="18"/>
                <w:lang w:val="en-AU"/>
              </w:rPr>
            </w:pPr>
            <w:r w:rsidRPr="005734B8">
              <w:rPr>
                <w:rFonts w:ascii="Calibri" w:hAnsi="Calibri" w:cs="Calibri"/>
                <w:sz w:val="18"/>
                <w:lang w:val="en-AU"/>
              </w:rPr>
              <w:t>Central</w:t>
            </w:r>
          </w:p>
        </w:tc>
        <w:tc>
          <w:tcPr>
            <w:tcW w:w="1136" w:type="dxa"/>
            <w:tcBorders>
              <w:top w:val="single" w:sz="4" w:space="0" w:color="53565A" w:themeColor="accent5"/>
              <w:bottom w:val="single" w:sz="4" w:space="0" w:color="53565A" w:themeColor="accent5"/>
            </w:tcBorders>
            <w:shd w:val="clear" w:color="auto" w:fill="auto"/>
            <w:vAlign w:val="center"/>
          </w:tcPr>
          <w:p w14:paraId="319EE98B" w14:textId="77777777" w:rsidR="00985C8D" w:rsidRPr="005734B8" w:rsidRDefault="00985C8D" w:rsidP="002B6980">
            <w:pPr>
              <w:pStyle w:val="ESTablebody"/>
              <w:jc w:val="center"/>
              <w:rPr>
                <w:rFonts w:ascii="Calibri" w:hAnsi="Calibri" w:cs="Calibri"/>
                <w:sz w:val="18"/>
                <w:lang w:val="en-AU"/>
              </w:rPr>
            </w:pPr>
            <w:r w:rsidRPr="005734B8">
              <w:rPr>
                <w:rFonts w:ascii="Calibri" w:hAnsi="Calibri" w:cs="Calibri"/>
                <w:sz w:val="18"/>
                <w:lang w:val="en-AU"/>
              </w:rPr>
              <w:t>1</w:t>
            </w:r>
          </w:p>
        </w:tc>
        <w:tc>
          <w:tcPr>
            <w:tcW w:w="1136" w:type="dxa"/>
            <w:tcBorders>
              <w:top w:val="single" w:sz="4" w:space="0" w:color="53565A" w:themeColor="accent5"/>
              <w:bottom w:val="single" w:sz="4" w:space="0" w:color="53565A" w:themeColor="accent5"/>
            </w:tcBorders>
            <w:vAlign w:val="center"/>
          </w:tcPr>
          <w:p w14:paraId="38723CEF" w14:textId="4B95FBDF" w:rsidR="00985C8D" w:rsidRPr="005734B8" w:rsidRDefault="001A5C5E" w:rsidP="002B6980">
            <w:pPr>
              <w:pStyle w:val="ESTablebody"/>
              <w:jc w:val="center"/>
              <w:rPr>
                <w:rFonts w:ascii="Calibri" w:hAnsi="Calibri" w:cs="Calibri"/>
                <w:sz w:val="18"/>
              </w:rPr>
            </w:pPr>
            <w:r w:rsidRPr="005734B8">
              <w:rPr>
                <w:rFonts w:ascii="Calibri" w:hAnsi="Calibri" w:cs="Calibri"/>
                <w:b/>
                <w:sz w:val="18"/>
                <w:lang w:val="en-AU"/>
              </w:rPr>
              <w:t>–</w:t>
            </w:r>
          </w:p>
        </w:tc>
        <w:tc>
          <w:tcPr>
            <w:tcW w:w="1137" w:type="dxa"/>
            <w:tcBorders>
              <w:top w:val="single" w:sz="4" w:space="0" w:color="53565A" w:themeColor="accent5"/>
              <w:bottom w:val="single" w:sz="4" w:space="0" w:color="53565A" w:themeColor="accent5"/>
            </w:tcBorders>
            <w:vAlign w:val="center"/>
          </w:tcPr>
          <w:p w14:paraId="11986296" w14:textId="320859A7" w:rsidR="00985C8D" w:rsidRPr="005734B8" w:rsidRDefault="001A5C5E" w:rsidP="002B6980">
            <w:pPr>
              <w:pStyle w:val="ESTablebody"/>
              <w:jc w:val="center"/>
              <w:rPr>
                <w:rFonts w:ascii="Calibri" w:hAnsi="Calibri" w:cs="Calibri"/>
                <w:sz w:val="18"/>
                <w:lang w:val="en-AU"/>
              </w:rPr>
            </w:pPr>
            <w:r w:rsidRPr="005734B8">
              <w:rPr>
                <w:rFonts w:ascii="Calibri" w:hAnsi="Calibri" w:cs="Calibri"/>
                <w:b/>
                <w:sz w:val="18"/>
                <w:lang w:val="en-AU"/>
              </w:rPr>
              <w:t>–</w:t>
            </w:r>
          </w:p>
        </w:tc>
        <w:tc>
          <w:tcPr>
            <w:tcW w:w="1136" w:type="dxa"/>
            <w:tcBorders>
              <w:top w:val="single" w:sz="4" w:space="0" w:color="53565A" w:themeColor="accent5"/>
              <w:bottom w:val="single" w:sz="4" w:space="0" w:color="53565A" w:themeColor="accent5"/>
            </w:tcBorders>
            <w:vAlign w:val="center"/>
          </w:tcPr>
          <w:p w14:paraId="1E0ACC17" w14:textId="77777777" w:rsidR="00985C8D" w:rsidRPr="005734B8" w:rsidRDefault="00985C8D" w:rsidP="002B6980">
            <w:pPr>
              <w:pStyle w:val="ESTablebody"/>
              <w:jc w:val="center"/>
              <w:rPr>
                <w:rFonts w:ascii="Calibri" w:hAnsi="Calibri" w:cs="Calibri"/>
                <w:sz w:val="18"/>
                <w:lang w:val="en-AU"/>
              </w:rPr>
            </w:pPr>
            <w:r w:rsidRPr="005734B8">
              <w:rPr>
                <w:rFonts w:ascii="Calibri" w:hAnsi="Calibri" w:cs="Calibri"/>
                <w:sz w:val="18"/>
                <w:lang w:val="en-AU"/>
              </w:rPr>
              <w:t>243</w:t>
            </w:r>
          </w:p>
        </w:tc>
        <w:tc>
          <w:tcPr>
            <w:tcW w:w="1137" w:type="dxa"/>
            <w:tcBorders>
              <w:top w:val="single" w:sz="4" w:space="0" w:color="53565A" w:themeColor="accent5"/>
              <w:bottom w:val="single" w:sz="4" w:space="0" w:color="53565A" w:themeColor="accent5"/>
            </w:tcBorders>
            <w:vAlign w:val="center"/>
          </w:tcPr>
          <w:p w14:paraId="1F445FA8" w14:textId="77777777" w:rsidR="00985C8D" w:rsidRPr="005734B8" w:rsidRDefault="00985C8D" w:rsidP="002B6980">
            <w:pPr>
              <w:pStyle w:val="ESTablebody"/>
              <w:jc w:val="center"/>
              <w:rPr>
                <w:rFonts w:ascii="Calibri" w:hAnsi="Calibri" w:cs="Calibri"/>
                <w:sz w:val="18"/>
                <w:lang w:val="en-AU"/>
              </w:rPr>
            </w:pPr>
            <w:r w:rsidRPr="005734B8">
              <w:rPr>
                <w:rFonts w:ascii="Calibri" w:hAnsi="Calibri" w:cs="Calibri"/>
                <w:sz w:val="18"/>
                <w:lang w:val="en-AU"/>
              </w:rPr>
              <w:t>244</w:t>
            </w:r>
          </w:p>
        </w:tc>
      </w:tr>
      <w:tr w:rsidR="00985C8D" w:rsidRPr="005734B8" w14:paraId="4B3FD5A8" w14:textId="77777777" w:rsidTr="002B6980">
        <w:trPr>
          <w:cantSplit/>
          <w:trHeight w:val="477"/>
        </w:trPr>
        <w:tc>
          <w:tcPr>
            <w:tcW w:w="2239" w:type="dxa"/>
            <w:tcBorders>
              <w:top w:val="single" w:sz="4" w:space="0" w:color="53565A" w:themeColor="accent5"/>
              <w:bottom w:val="single" w:sz="4" w:space="0" w:color="53565A" w:themeColor="accent5"/>
            </w:tcBorders>
            <w:shd w:val="clear" w:color="auto" w:fill="auto"/>
            <w:vAlign w:val="center"/>
          </w:tcPr>
          <w:p w14:paraId="7F6A1E98" w14:textId="77777777" w:rsidR="00985C8D" w:rsidRPr="005734B8" w:rsidRDefault="00985C8D" w:rsidP="002B6980">
            <w:pPr>
              <w:pStyle w:val="ESTablebody"/>
              <w:rPr>
                <w:rFonts w:ascii="Calibri" w:hAnsi="Calibri" w:cs="Calibri"/>
                <w:sz w:val="18"/>
              </w:rPr>
            </w:pPr>
            <w:r w:rsidRPr="005734B8">
              <w:rPr>
                <w:rFonts w:ascii="Calibri" w:hAnsi="Calibri" w:cs="Calibri"/>
                <w:b/>
                <w:sz w:val="18"/>
                <w:lang w:val="en-AU"/>
              </w:rPr>
              <w:t>Total</w:t>
            </w:r>
          </w:p>
        </w:tc>
        <w:tc>
          <w:tcPr>
            <w:tcW w:w="1136" w:type="dxa"/>
            <w:tcBorders>
              <w:top w:val="single" w:sz="4" w:space="0" w:color="53565A" w:themeColor="accent5"/>
              <w:bottom w:val="single" w:sz="4" w:space="0" w:color="53565A" w:themeColor="accent5"/>
            </w:tcBorders>
            <w:shd w:val="clear" w:color="auto" w:fill="auto"/>
            <w:vAlign w:val="center"/>
          </w:tcPr>
          <w:p w14:paraId="25249D77" w14:textId="77777777" w:rsidR="00985C8D" w:rsidRPr="005734B8" w:rsidRDefault="00985C8D" w:rsidP="002B6980">
            <w:pPr>
              <w:pStyle w:val="ESTablebody"/>
              <w:jc w:val="center"/>
              <w:rPr>
                <w:rFonts w:ascii="Calibri" w:hAnsi="Calibri" w:cs="Calibri"/>
                <w:b/>
                <w:sz w:val="18"/>
              </w:rPr>
            </w:pPr>
            <w:r w:rsidRPr="005734B8">
              <w:rPr>
                <w:rFonts w:ascii="Calibri" w:hAnsi="Calibri" w:cs="Calibri"/>
                <w:b/>
                <w:sz w:val="18"/>
              </w:rPr>
              <w:t>238</w:t>
            </w:r>
          </w:p>
        </w:tc>
        <w:tc>
          <w:tcPr>
            <w:tcW w:w="1136" w:type="dxa"/>
            <w:tcBorders>
              <w:top w:val="single" w:sz="4" w:space="0" w:color="53565A" w:themeColor="accent5"/>
              <w:bottom w:val="single" w:sz="4" w:space="0" w:color="53565A" w:themeColor="accent5"/>
            </w:tcBorders>
            <w:vAlign w:val="center"/>
          </w:tcPr>
          <w:p w14:paraId="08B9959B" w14:textId="77777777" w:rsidR="00985C8D" w:rsidRPr="005734B8" w:rsidRDefault="00985C8D" w:rsidP="002B6980">
            <w:pPr>
              <w:pStyle w:val="ESTablebody"/>
              <w:jc w:val="center"/>
              <w:rPr>
                <w:rFonts w:ascii="Calibri" w:hAnsi="Calibri" w:cs="Calibri"/>
                <w:b/>
                <w:sz w:val="18"/>
              </w:rPr>
            </w:pPr>
            <w:r w:rsidRPr="005734B8">
              <w:rPr>
                <w:rFonts w:ascii="Calibri" w:hAnsi="Calibri" w:cs="Calibri"/>
                <w:b/>
                <w:sz w:val="18"/>
              </w:rPr>
              <w:t>530</w:t>
            </w:r>
          </w:p>
        </w:tc>
        <w:tc>
          <w:tcPr>
            <w:tcW w:w="1137" w:type="dxa"/>
            <w:tcBorders>
              <w:top w:val="single" w:sz="4" w:space="0" w:color="53565A" w:themeColor="accent5"/>
              <w:bottom w:val="single" w:sz="4" w:space="0" w:color="53565A" w:themeColor="accent5"/>
            </w:tcBorders>
            <w:vAlign w:val="center"/>
          </w:tcPr>
          <w:p w14:paraId="52AD17B3" w14:textId="77777777" w:rsidR="00985C8D" w:rsidRPr="005734B8" w:rsidRDefault="00985C8D" w:rsidP="002B6980">
            <w:pPr>
              <w:pStyle w:val="ESTablebody"/>
              <w:jc w:val="center"/>
              <w:rPr>
                <w:rFonts w:ascii="Calibri" w:hAnsi="Calibri" w:cs="Calibri"/>
                <w:b/>
                <w:sz w:val="18"/>
                <w:lang w:val="en-AU"/>
              </w:rPr>
            </w:pPr>
            <w:r w:rsidRPr="005734B8">
              <w:rPr>
                <w:rFonts w:ascii="Calibri" w:hAnsi="Calibri" w:cs="Calibri"/>
                <w:b/>
                <w:sz w:val="18"/>
                <w:lang w:val="en-AU"/>
              </w:rPr>
              <w:t>198</w:t>
            </w:r>
          </w:p>
        </w:tc>
        <w:tc>
          <w:tcPr>
            <w:tcW w:w="1136" w:type="dxa"/>
            <w:tcBorders>
              <w:top w:val="single" w:sz="4" w:space="0" w:color="53565A" w:themeColor="accent5"/>
              <w:bottom w:val="single" w:sz="4" w:space="0" w:color="53565A" w:themeColor="accent5"/>
            </w:tcBorders>
            <w:vAlign w:val="center"/>
          </w:tcPr>
          <w:p w14:paraId="5573174D" w14:textId="77777777" w:rsidR="00985C8D" w:rsidRPr="005734B8" w:rsidRDefault="00985C8D" w:rsidP="002B6980">
            <w:pPr>
              <w:pStyle w:val="ESTablebody"/>
              <w:jc w:val="center"/>
              <w:rPr>
                <w:rFonts w:ascii="Calibri" w:hAnsi="Calibri" w:cs="Calibri"/>
                <w:b/>
                <w:sz w:val="18"/>
                <w:lang w:val="en-AU"/>
              </w:rPr>
            </w:pPr>
            <w:r w:rsidRPr="005734B8">
              <w:rPr>
                <w:rFonts w:ascii="Calibri" w:hAnsi="Calibri" w:cs="Calibri"/>
                <w:b/>
                <w:sz w:val="18"/>
                <w:lang w:val="en-AU"/>
              </w:rPr>
              <w:t>357</w:t>
            </w:r>
          </w:p>
        </w:tc>
        <w:tc>
          <w:tcPr>
            <w:tcW w:w="1137" w:type="dxa"/>
            <w:tcBorders>
              <w:top w:val="single" w:sz="4" w:space="0" w:color="53565A" w:themeColor="accent5"/>
              <w:bottom w:val="single" w:sz="4" w:space="0" w:color="53565A" w:themeColor="accent5"/>
            </w:tcBorders>
            <w:vAlign w:val="center"/>
          </w:tcPr>
          <w:p w14:paraId="3B51C6AE" w14:textId="0A5D8DC9" w:rsidR="00985C8D" w:rsidRPr="005734B8" w:rsidRDefault="00985C8D" w:rsidP="002B6980">
            <w:pPr>
              <w:pStyle w:val="ESTablebody"/>
              <w:jc w:val="center"/>
              <w:rPr>
                <w:rFonts w:ascii="Calibri" w:hAnsi="Calibri" w:cs="Calibri"/>
                <w:b/>
                <w:sz w:val="18"/>
                <w:lang w:val="en-AU"/>
              </w:rPr>
            </w:pPr>
            <w:r w:rsidRPr="005734B8">
              <w:rPr>
                <w:rFonts w:ascii="Calibri" w:hAnsi="Calibri" w:cs="Calibri"/>
                <w:b/>
                <w:sz w:val="18"/>
                <w:lang w:val="en-AU"/>
              </w:rPr>
              <w:t>1</w:t>
            </w:r>
            <w:r w:rsidR="00C600E3" w:rsidRPr="005734B8">
              <w:rPr>
                <w:rFonts w:ascii="Calibri" w:hAnsi="Calibri" w:cs="Calibri"/>
                <w:b/>
                <w:sz w:val="18"/>
                <w:lang w:val="en-AU"/>
              </w:rPr>
              <w:t>,</w:t>
            </w:r>
            <w:r w:rsidRPr="005734B8">
              <w:rPr>
                <w:rFonts w:ascii="Calibri" w:hAnsi="Calibri" w:cs="Calibri"/>
                <w:b/>
                <w:sz w:val="18"/>
                <w:lang w:val="en-AU"/>
              </w:rPr>
              <w:t>323</w:t>
            </w:r>
          </w:p>
        </w:tc>
      </w:tr>
    </w:tbl>
    <w:p w14:paraId="6115FEF0" w14:textId="77777777" w:rsidR="00165AC8" w:rsidRPr="005734B8" w:rsidRDefault="00165AC8" w:rsidP="00165AC8">
      <w:pPr>
        <w:rPr>
          <w:rFonts w:ascii="Calibri" w:hAnsi="Calibri" w:cs="Calibri"/>
          <w:highlight w:val="yellow"/>
        </w:rPr>
      </w:pPr>
    </w:p>
    <w:p w14:paraId="05D7177B" w14:textId="77777777" w:rsidR="00985C8D" w:rsidRPr="005734B8" w:rsidRDefault="00985C8D" w:rsidP="00985C8D">
      <w:pPr>
        <w:pStyle w:val="ESHeading3"/>
        <w:ind w:left="0" w:firstLine="0"/>
        <w:rPr>
          <w:rFonts w:ascii="Calibri" w:hAnsi="Calibri" w:cs="Calibri"/>
          <w:lang w:val="en-AU"/>
        </w:rPr>
      </w:pPr>
      <w:bookmarkStart w:id="2204" w:name="_Toc519861853"/>
      <w:bookmarkStart w:id="2205" w:name="_Toc11336521"/>
      <w:bookmarkStart w:id="2206" w:name="_Toc14965742"/>
      <w:bookmarkStart w:id="2207" w:name="_Toc19272315"/>
      <w:bookmarkStart w:id="2208" w:name="_Toc19272681"/>
      <w:bookmarkStart w:id="2209" w:name="_Toc19274016"/>
      <w:r w:rsidRPr="005734B8">
        <w:rPr>
          <w:rFonts w:ascii="Calibri" w:hAnsi="Calibri" w:cs="Calibri"/>
          <w:lang w:val="en-AU"/>
        </w:rPr>
        <w:t>Other activities</w:t>
      </w:r>
      <w:bookmarkEnd w:id="2204"/>
      <w:bookmarkEnd w:id="2205"/>
      <w:bookmarkEnd w:id="2206"/>
      <w:bookmarkEnd w:id="2207"/>
      <w:bookmarkEnd w:id="2208"/>
      <w:bookmarkEnd w:id="2209"/>
    </w:p>
    <w:p w14:paraId="27AC8434" w14:textId="77777777" w:rsidR="00985C8D" w:rsidRPr="005734B8" w:rsidRDefault="00985C8D" w:rsidP="00985C8D">
      <w:pPr>
        <w:rPr>
          <w:rFonts w:ascii="Calibri" w:hAnsi="Calibri" w:cs="Calibri"/>
        </w:rPr>
      </w:pPr>
      <w:r w:rsidRPr="005734B8">
        <w:rPr>
          <w:rFonts w:ascii="Calibri" w:hAnsi="Calibri" w:cs="Calibri"/>
        </w:rPr>
        <w:t>The Merit Protection Boards provided advice to the Department on merit and equity issues relating to major policy initiatives in response to requests, as well as advice when existing policies and procedures were being reviewed.</w:t>
      </w:r>
    </w:p>
    <w:p w14:paraId="20589369" w14:textId="77777777" w:rsidR="00985C8D" w:rsidRPr="005734B8" w:rsidRDefault="00985C8D" w:rsidP="00985C8D">
      <w:pPr>
        <w:rPr>
          <w:rFonts w:ascii="Calibri" w:hAnsi="Calibri" w:cs="Calibri"/>
        </w:rPr>
      </w:pPr>
    </w:p>
    <w:p w14:paraId="011BF8CB" w14:textId="77777777" w:rsidR="00985C8D" w:rsidRPr="005734B8" w:rsidRDefault="00985C8D" w:rsidP="00985C8D">
      <w:pPr>
        <w:rPr>
          <w:rFonts w:ascii="Calibri" w:hAnsi="Calibri" w:cs="Calibri"/>
        </w:rPr>
      </w:pPr>
      <w:r w:rsidRPr="005734B8">
        <w:rPr>
          <w:rFonts w:ascii="Calibri" w:hAnsi="Calibri" w:cs="Calibri"/>
        </w:rPr>
        <w:t>The Senior Chairperson accepted invitations to address groups of principals about the workings of the Merit Protection Boards.</w:t>
      </w:r>
    </w:p>
    <w:p w14:paraId="29242876" w14:textId="77777777" w:rsidR="00985C8D" w:rsidRPr="005734B8" w:rsidRDefault="00985C8D" w:rsidP="00985C8D">
      <w:pPr>
        <w:rPr>
          <w:rFonts w:ascii="Calibri" w:hAnsi="Calibri" w:cs="Calibri"/>
        </w:rPr>
      </w:pPr>
    </w:p>
    <w:p w14:paraId="6B3110DB" w14:textId="6D888EE0" w:rsidR="00985C8D" w:rsidRPr="005734B8" w:rsidRDefault="00985C8D" w:rsidP="00985C8D">
      <w:pPr>
        <w:rPr>
          <w:rFonts w:ascii="Calibri" w:hAnsi="Calibri" w:cs="Calibri"/>
        </w:rPr>
      </w:pPr>
      <w:r w:rsidRPr="005734B8">
        <w:rPr>
          <w:rFonts w:ascii="Calibri" w:hAnsi="Calibri" w:cs="Calibri"/>
        </w:rPr>
        <w:t>Information about appeal and grievance processes and merit protection accreditation programs is available on the Merit Protection Boards’ website at www.mpb.vic.gov.au.</w:t>
      </w:r>
    </w:p>
    <w:p w14:paraId="3708E7F3" w14:textId="77777777" w:rsidR="00366C94" w:rsidRPr="005734B8" w:rsidRDefault="00366C94">
      <w:pPr>
        <w:rPr>
          <w:rFonts w:ascii="Calibri" w:hAnsi="Calibri" w:cs="Calibri"/>
          <w:highlight w:val="yellow"/>
        </w:rPr>
      </w:pPr>
      <w:r w:rsidRPr="005734B8">
        <w:rPr>
          <w:rFonts w:ascii="Calibri" w:hAnsi="Calibri" w:cs="Calibri"/>
          <w:highlight w:val="yellow"/>
        </w:rPr>
        <w:br w:type="page"/>
      </w:r>
    </w:p>
    <w:p w14:paraId="78144B84" w14:textId="7409CC48" w:rsidR="00F64E04" w:rsidRPr="005734B8" w:rsidRDefault="00F64E04" w:rsidP="00F64E04">
      <w:pPr>
        <w:pStyle w:val="ESHeading2"/>
        <w:rPr>
          <w:rFonts w:ascii="Calibri" w:hAnsi="Calibri" w:cs="Calibri"/>
        </w:rPr>
      </w:pPr>
      <w:bookmarkStart w:id="2210" w:name="_Toc10724205"/>
      <w:bookmarkStart w:id="2211" w:name="_Toc10724329"/>
      <w:bookmarkStart w:id="2212" w:name="_Toc11336522"/>
      <w:bookmarkStart w:id="2213" w:name="_Toc11336618"/>
      <w:bookmarkStart w:id="2214" w:name="_Toc13647222"/>
      <w:bookmarkStart w:id="2215" w:name="_Toc13656754"/>
      <w:bookmarkStart w:id="2216" w:name="_Toc13656916"/>
      <w:bookmarkStart w:id="2217" w:name="_Toc14965743"/>
      <w:bookmarkStart w:id="2218" w:name="_Toc15985336"/>
      <w:bookmarkStart w:id="2219" w:name="_Toc16231987"/>
      <w:bookmarkStart w:id="2220" w:name="_Toc18052258"/>
      <w:bookmarkStart w:id="2221" w:name="_Toc19272316"/>
      <w:bookmarkStart w:id="2222" w:name="_Toc19272682"/>
      <w:bookmarkStart w:id="2223" w:name="_Toc19274017"/>
      <w:bookmarkStart w:id="2224" w:name="_Toc48402870"/>
      <w:bookmarkStart w:id="2225" w:name="_Toc48403107"/>
      <w:bookmarkStart w:id="2226" w:name="_Toc48403674"/>
      <w:bookmarkStart w:id="2227" w:name="_Toc51332850"/>
      <w:bookmarkStart w:id="2228" w:name="_Toc78293034"/>
      <w:bookmarkStart w:id="2229" w:name="_Toc78444239"/>
      <w:bookmarkStart w:id="2230" w:name="_Toc80272113"/>
      <w:bookmarkStart w:id="2231" w:name="_Toc81315416"/>
      <w:r w:rsidRPr="005734B8">
        <w:rPr>
          <w:rFonts w:ascii="Calibri" w:hAnsi="Calibri" w:cs="Calibri"/>
          <w:lang w:val="en-AU"/>
        </w:rPr>
        <w:lastRenderedPageBreak/>
        <w:t>Independent Office for School Dispute Resolution</w:t>
      </w:r>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p>
    <w:p w14:paraId="3DA1F2A0" w14:textId="2411F396" w:rsidR="00F64E04" w:rsidRPr="005734B8" w:rsidRDefault="00F64E04" w:rsidP="00F64E04">
      <w:pPr>
        <w:rPr>
          <w:rFonts w:ascii="Calibri" w:hAnsi="Calibri" w:cs="Calibri"/>
        </w:rPr>
      </w:pPr>
      <w:r w:rsidRPr="005734B8">
        <w:rPr>
          <w:rFonts w:ascii="Calibri" w:hAnsi="Calibri" w:cs="Calibri"/>
        </w:rPr>
        <w:t>The Independent Office for School Dispute Resolution has two main roles.</w:t>
      </w:r>
    </w:p>
    <w:p w14:paraId="08E5BEB8" w14:textId="77777777" w:rsidR="00F64E04" w:rsidRPr="005734B8" w:rsidRDefault="00F64E04" w:rsidP="00F64E04">
      <w:pPr>
        <w:rPr>
          <w:rFonts w:ascii="Calibri" w:hAnsi="Calibri" w:cs="Calibri"/>
        </w:rPr>
      </w:pPr>
    </w:p>
    <w:p w14:paraId="70D23D1B" w14:textId="77777777" w:rsidR="00F64E04" w:rsidRPr="005734B8" w:rsidRDefault="00F64E04" w:rsidP="00F64E04">
      <w:pPr>
        <w:rPr>
          <w:rFonts w:ascii="Calibri" w:hAnsi="Calibri" w:cs="Calibri"/>
        </w:rPr>
      </w:pPr>
      <w:r w:rsidRPr="005734B8">
        <w:rPr>
          <w:rFonts w:ascii="Calibri" w:hAnsi="Calibri" w:cs="Calibri"/>
        </w:rPr>
        <w:t>The first is to help resolve continuing complex and intractable disputes arising from complaints by parents or students about government schools.</w:t>
      </w:r>
    </w:p>
    <w:p w14:paraId="4C7F31B7" w14:textId="77777777" w:rsidR="00F64E04" w:rsidRPr="005734B8" w:rsidRDefault="00F64E04" w:rsidP="00F64E04">
      <w:pPr>
        <w:rPr>
          <w:rFonts w:ascii="Calibri" w:hAnsi="Calibri" w:cs="Calibri"/>
        </w:rPr>
      </w:pPr>
    </w:p>
    <w:p w14:paraId="46A30B87" w14:textId="4FABB4FA" w:rsidR="00F64E04" w:rsidRPr="005734B8" w:rsidRDefault="00F64E04" w:rsidP="00F64E04">
      <w:pPr>
        <w:rPr>
          <w:rFonts w:ascii="Calibri" w:hAnsi="Calibri" w:cs="Calibri"/>
        </w:rPr>
      </w:pPr>
      <w:r w:rsidRPr="005734B8">
        <w:rPr>
          <w:rFonts w:ascii="Calibri" w:hAnsi="Calibri" w:cs="Calibri"/>
        </w:rPr>
        <w:t xml:space="preserve">The Office strengthens the existing complaints resolution process of the Department by offering an alternative third tier of escalation, which operates from an independent perspective. The Office helps affected parties whose complaints have not been resolved at the </w:t>
      </w:r>
      <w:r w:rsidR="00AB6E22" w:rsidRPr="005734B8">
        <w:rPr>
          <w:rFonts w:ascii="Calibri" w:hAnsi="Calibri" w:cs="Calibri"/>
        </w:rPr>
        <w:t>s</w:t>
      </w:r>
      <w:r w:rsidRPr="005734B8">
        <w:rPr>
          <w:rFonts w:ascii="Calibri" w:hAnsi="Calibri" w:cs="Calibri"/>
        </w:rPr>
        <w:t xml:space="preserve">chool or </w:t>
      </w:r>
      <w:r w:rsidR="00AB6E22" w:rsidRPr="005734B8">
        <w:rPr>
          <w:rFonts w:ascii="Calibri" w:hAnsi="Calibri" w:cs="Calibri"/>
        </w:rPr>
        <w:t>r</w:t>
      </w:r>
      <w:r w:rsidRPr="005734B8">
        <w:rPr>
          <w:rFonts w:ascii="Calibri" w:hAnsi="Calibri" w:cs="Calibri"/>
        </w:rPr>
        <w:t xml:space="preserve">egional level to generate a mutually acceptable resolution, so that a student can re-engage with education, and effective working relationships among parents and schools can be rebuilt. If resolution is not possible, the Office may make recommendations for resolution to the Department about the specific complaint or make general recommendations about managing similar conflicts more effectively. </w:t>
      </w:r>
    </w:p>
    <w:p w14:paraId="77FE0FE8" w14:textId="77777777" w:rsidR="00F64E04" w:rsidRPr="005734B8" w:rsidRDefault="00F64E04" w:rsidP="00F64E04">
      <w:pPr>
        <w:rPr>
          <w:rFonts w:ascii="Calibri" w:hAnsi="Calibri" w:cs="Calibri"/>
        </w:rPr>
      </w:pPr>
    </w:p>
    <w:p w14:paraId="68B53DA0" w14:textId="51A03836" w:rsidR="00F64E04" w:rsidRPr="005734B8" w:rsidRDefault="00F64E04" w:rsidP="00F64E04">
      <w:pPr>
        <w:rPr>
          <w:rFonts w:ascii="Calibri" w:hAnsi="Calibri" w:cs="Calibri"/>
        </w:rPr>
      </w:pPr>
      <w:r w:rsidRPr="005734B8">
        <w:rPr>
          <w:rFonts w:ascii="Calibri" w:hAnsi="Calibri" w:cs="Calibri"/>
        </w:rPr>
        <w:t xml:space="preserve">The second role is to help build the complaint management and resolution capability of the </w:t>
      </w:r>
      <w:r w:rsidR="00642F3A" w:rsidRPr="005734B8">
        <w:rPr>
          <w:rFonts w:ascii="Calibri" w:hAnsi="Calibri" w:cs="Calibri"/>
        </w:rPr>
        <w:t>Victorian</w:t>
      </w:r>
      <w:r w:rsidRPr="005734B8">
        <w:rPr>
          <w:rFonts w:ascii="Calibri" w:hAnsi="Calibri" w:cs="Calibri"/>
        </w:rPr>
        <w:t xml:space="preserve"> education system. The Office accomplishes this through a variety of programs that focus on developing communication, relationship management, and conflict resolution skills, as well as recommending systemic changes, commenting on policy initiatives, and maintaining stakeholder engagement.</w:t>
      </w:r>
    </w:p>
    <w:p w14:paraId="0C0A1731" w14:textId="77777777" w:rsidR="00F64E04" w:rsidRPr="005734B8" w:rsidRDefault="00F64E04" w:rsidP="00F64E04">
      <w:pPr>
        <w:rPr>
          <w:rFonts w:ascii="Calibri" w:hAnsi="Calibri" w:cs="Calibri"/>
        </w:rPr>
      </w:pPr>
    </w:p>
    <w:p w14:paraId="7A287423" w14:textId="77777777" w:rsidR="00F64E04" w:rsidRPr="005734B8" w:rsidRDefault="00F64E04" w:rsidP="00F64E04">
      <w:pPr>
        <w:rPr>
          <w:rFonts w:ascii="Calibri" w:hAnsi="Calibri" w:cs="Calibri"/>
        </w:rPr>
      </w:pPr>
      <w:r w:rsidRPr="005734B8">
        <w:rPr>
          <w:rFonts w:ascii="Calibri" w:hAnsi="Calibri" w:cs="Calibri"/>
        </w:rPr>
        <w:t xml:space="preserve">During its fourth year of operation, in addition to its usual complaint resolution work, the Office: </w:t>
      </w:r>
    </w:p>
    <w:p w14:paraId="7CFC4B89" w14:textId="2383D2C0" w:rsidR="00F64E04" w:rsidRPr="005734B8" w:rsidRDefault="00F64E04" w:rsidP="00236B83">
      <w:pPr>
        <w:pStyle w:val="ListParagraph"/>
        <w:numPr>
          <w:ilvl w:val="0"/>
          <w:numId w:val="50"/>
        </w:numPr>
        <w:rPr>
          <w:rFonts w:ascii="Calibri" w:hAnsi="Calibri" w:cs="Calibri"/>
        </w:rPr>
      </w:pPr>
      <w:r w:rsidRPr="005734B8">
        <w:rPr>
          <w:rFonts w:ascii="Calibri" w:hAnsi="Calibri" w:cs="Calibri"/>
        </w:rPr>
        <w:t>implement</w:t>
      </w:r>
      <w:r w:rsidR="00642F3A" w:rsidRPr="005734B8">
        <w:rPr>
          <w:rFonts w:ascii="Calibri" w:hAnsi="Calibri" w:cs="Calibri"/>
        </w:rPr>
        <w:t>ed</w:t>
      </w:r>
      <w:r w:rsidRPr="005734B8">
        <w:rPr>
          <w:rFonts w:ascii="Calibri" w:hAnsi="Calibri" w:cs="Calibri"/>
        </w:rPr>
        <w:t xml:space="preserve"> the remainder of the recommendations of the independent </w:t>
      </w:r>
      <w:r w:rsidR="00642F3A" w:rsidRPr="005734B8">
        <w:rPr>
          <w:rFonts w:ascii="Calibri" w:hAnsi="Calibri" w:cs="Calibri"/>
        </w:rPr>
        <w:t>e</w:t>
      </w:r>
      <w:r w:rsidRPr="005734B8">
        <w:rPr>
          <w:rFonts w:ascii="Calibri" w:hAnsi="Calibri" w:cs="Calibri"/>
        </w:rPr>
        <w:t>valuation conducted in 2018</w:t>
      </w:r>
      <w:r w:rsidR="00642F3A" w:rsidRPr="005734B8">
        <w:rPr>
          <w:rFonts w:ascii="Calibri" w:hAnsi="Calibri" w:cs="Calibri"/>
        </w:rPr>
        <w:t>–</w:t>
      </w:r>
      <w:r w:rsidRPr="005734B8">
        <w:rPr>
          <w:rFonts w:ascii="Calibri" w:hAnsi="Calibri" w:cs="Calibri"/>
        </w:rPr>
        <w:t xml:space="preserve">19 </w:t>
      </w:r>
    </w:p>
    <w:p w14:paraId="75EACB77" w14:textId="673B473B" w:rsidR="00F64E04" w:rsidRPr="005734B8" w:rsidRDefault="00F64E04" w:rsidP="00236B83">
      <w:pPr>
        <w:pStyle w:val="ListParagraph"/>
        <w:numPr>
          <w:ilvl w:val="0"/>
          <w:numId w:val="50"/>
        </w:numPr>
        <w:rPr>
          <w:rFonts w:ascii="Calibri" w:hAnsi="Calibri" w:cs="Calibri"/>
        </w:rPr>
      </w:pPr>
      <w:r w:rsidRPr="005734B8">
        <w:rPr>
          <w:rFonts w:ascii="Calibri" w:hAnsi="Calibri" w:cs="Calibri"/>
        </w:rPr>
        <w:t xml:space="preserve">developed a suite of </w:t>
      </w:r>
      <w:r w:rsidR="00642F3A" w:rsidRPr="005734B8">
        <w:rPr>
          <w:rFonts w:ascii="Calibri" w:hAnsi="Calibri" w:cs="Calibri"/>
        </w:rPr>
        <w:t>c</w:t>
      </w:r>
      <w:r w:rsidRPr="005734B8">
        <w:rPr>
          <w:rFonts w:ascii="Calibri" w:hAnsi="Calibri" w:cs="Calibri"/>
        </w:rPr>
        <w:t xml:space="preserve">apability </w:t>
      </w:r>
      <w:r w:rsidR="00642F3A" w:rsidRPr="005734B8">
        <w:rPr>
          <w:rFonts w:ascii="Calibri" w:hAnsi="Calibri" w:cs="Calibri"/>
        </w:rPr>
        <w:t>b</w:t>
      </w:r>
      <w:r w:rsidRPr="005734B8">
        <w:rPr>
          <w:rFonts w:ascii="Calibri" w:hAnsi="Calibri" w:cs="Calibri"/>
        </w:rPr>
        <w:t xml:space="preserve">uilding </w:t>
      </w:r>
      <w:r w:rsidR="00642F3A" w:rsidRPr="005734B8">
        <w:rPr>
          <w:rFonts w:ascii="Calibri" w:hAnsi="Calibri" w:cs="Calibri"/>
        </w:rPr>
        <w:t>p</w:t>
      </w:r>
      <w:r w:rsidRPr="005734B8">
        <w:rPr>
          <w:rFonts w:ascii="Calibri" w:hAnsi="Calibri" w:cs="Calibri"/>
        </w:rPr>
        <w:t xml:space="preserve">rograms and started implementation of </w:t>
      </w:r>
      <w:r w:rsidR="00642F3A" w:rsidRPr="005734B8">
        <w:rPr>
          <w:rFonts w:ascii="Calibri" w:hAnsi="Calibri" w:cs="Calibri"/>
        </w:rPr>
        <w:t>the programs</w:t>
      </w:r>
      <w:r w:rsidRPr="005734B8">
        <w:rPr>
          <w:rFonts w:ascii="Calibri" w:hAnsi="Calibri" w:cs="Calibri"/>
        </w:rPr>
        <w:t xml:space="preserve"> at the </w:t>
      </w:r>
      <w:r w:rsidR="00642F3A" w:rsidRPr="005734B8">
        <w:rPr>
          <w:rFonts w:ascii="Calibri" w:hAnsi="Calibri" w:cs="Calibri"/>
        </w:rPr>
        <w:t>r</w:t>
      </w:r>
      <w:r w:rsidRPr="005734B8">
        <w:rPr>
          <w:rFonts w:ascii="Calibri" w:hAnsi="Calibri" w:cs="Calibri"/>
        </w:rPr>
        <w:t xml:space="preserve">egional and </w:t>
      </w:r>
      <w:r w:rsidR="00642F3A" w:rsidRPr="005734B8">
        <w:rPr>
          <w:rFonts w:ascii="Calibri" w:hAnsi="Calibri" w:cs="Calibri"/>
        </w:rPr>
        <w:t>s</w:t>
      </w:r>
      <w:r w:rsidRPr="005734B8">
        <w:rPr>
          <w:rFonts w:ascii="Calibri" w:hAnsi="Calibri" w:cs="Calibri"/>
        </w:rPr>
        <w:t xml:space="preserve">chool levels </w:t>
      </w:r>
    </w:p>
    <w:p w14:paraId="4B8C8872" w14:textId="6729484C" w:rsidR="00F64E04" w:rsidRPr="005734B8" w:rsidRDefault="00F64E04" w:rsidP="00236B83">
      <w:pPr>
        <w:pStyle w:val="ListParagraph"/>
        <w:numPr>
          <w:ilvl w:val="0"/>
          <w:numId w:val="50"/>
        </w:numPr>
        <w:rPr>
          <w:rFonts w:ascii="Calibri" w:hAnsi="Calibri" w:cs="Calibri"/>
        </w:rPr>
      </w:pPr>
      <w:r w:rsidRPr="005734B8">
        <w:rPr>
          <w:rFonts w:ascii="Calibri" w:hAnsi="Calibri" w:cs="Calibri"/>
        </w:rPr>
        <w:t xml:space="preserve">refined its </w:t>
      </w:r>
      <w:r w:rsidR="00642F3A" w:rsidRPr="005734B8">
        <w:rPr>
          <w:rFonts w:ascii="Calibri" w:hAnsi="Calibri" w:cs="Calibri"/>
        </w:rPr>
        <w:t>c</w:t>
      </w:r>
      <w:r w:rsidRPr="005734B8">
        <w:rPr>
          <w:rFonts w:ascii="Calibri" w:hAnsi="Calibri" w:cs="Calibri"/>
        </w:rPr>
        <w:t xml:space="preserve">onflict </w:t>
      </w:r>
      <w:r w:rsidR="00642F3A" w:rsidRPr="005734B8">
        <w:rPr>
          <w:rFonts w:ascii="Calibri" w:hAnsi="Calibri" w:cs="Calibri"/>
        </w:rPr>
        <w:t>c</w:t>
      </w:r>
      <w:r w:rsidRPr="005734B8">
        <w:rPr>
          <w:rFonts w:ascii="Calibri" w:hAnsi="Calibri" w:cs="Calibri"/>
        </w:rPr>
        <w:t>oaching</w:t>
      </w:r>
    </w:p>
    <w:p w14:paraId="695B4CC3" w14:textId="6B5D4126" w:rsidR="00F64E04" w:rsidRPr="005734B8" w:rsidRDefault="00F64E04" w:rsidP="00236B83">
      <w:pPr>
        <w:pStyle w:val="ListParagraph"/>
        <w:numPr>
          <w:ilvl w:val="0"/>
          <w:numId w:val="50"/>
        </w:numPr>
        <w:rPr>
          <w:rFonts w:ascii="Calibri" w:hAnsi="Calibri" w:cs="Calibri"/>
        </w:rPr>
      </w:pPr>
      <w:r w:rsidRPr="005734B8">
        <w:rPr>
          <w:rFonts w:ascii="Calibri" w:hAnsi="Calibri" w:cs="Calibri"/>
        </w:rPr>
        <w:t>implemented the elements of its Strategic Plan that could be completed in light of the C</w:t>
      </w:r>
      <w:r w:rsidR="00642F3A" w:rsidRPr="005734B8">
        <w:rPr>
          <w:rFonts w:ascii="Calibri" w:hAnsi="Calibri" w:cs="Calibri"/>
        </w:rPr>
        <w:t>OVID</w:t>
      </w:r>
      <w:r w:rsidRPr="005734B8">
        <w:rPr>
          <w:rFonts w:ascii="Calibri" w:hAnsi="Calibri" w:cs="Calibri"/>
        </w:rPr>
        <w:t xml:space="preserve">-19 </w:t>
      </w:r>
      <w:r w:rsidR="00642F3A" w:rsidRPr="005734B8">
        <w:rPr>
          <w:rFonts w:ascii="Calibri" w:hAnsi="Calibri" w:cs="Calibri"/>
        </w:rPr>
        <w:t>pandemic</w:t>
      </w:r>
      <w:r w:rsidRPr="005734B8">
        <w:rPr>
          <w:rFonts w:ascii="Calibri" w:hAnsi="Calibri" w:cs="Calibri"/>
        </w:rPr>
        <w:t xml:space="preserve"> </w:t>
      </w:r>
    </w:p>
    <w:p w14:paraId="6E9CBC63" w14:textId="77E18879" w:rsidR="00F64E04" w:rsidRPr="005734B8" w:rsidRDefault="00F64E04" w:rsidP="00236B83">
      <w:pPr>
        <w:pStyle w:val="ListParagraph"/>
        <w:numPr>
          <w:ilvl w:val="0"/>
          <w:numId w:val="50"/>
        </w:numPr>
        <w:rPr>
          <w:rFonts w:ascii="Calibri" w:hAnsi="Calibri" w:cs="Calibri"/>
        </w:rPr>
      </w:pPr>
      <w:r w:rsidRPr="005734B8">
        <w:rPr>
          <w:rFonts w:ascii="Calibri" w:hAnsi="Calibri" w:cs="Calibri"/>
        </w:rPr>
        <w:t>supported the Department’s C</w:t>
      </w:r>
      <w:r w:rsidR="00642F3A" w:rsidRPr="005734B8">
        <w:rPr>
          <w:rFonts w:ascii="Calibri" w:hAnsi="Calibri" w:cs="Calibri"/>
        </w:rPr>
        <w:t>OVID</w:t>
      </w:r>
      <w:r w:rsidRPr="005734B8">
        <w:rPr>
          <w:rFonts w:ascii="Calibri" w:hAnsi="Calibri" w:cs="Calibri"/>
        </w:rPr>
        <w:t>-19</w:t>
      </w:r>
      <w:r w:rsidR="00642F3A" w:rsidRPr="005734B8">
        <w:rPr>
          <w:rFonts w:ascii="Calibri" w:hAnsi="Calibri" w:cs="Calibri"/>
        </w:rPr>
        <w:t xml:space="preserve"> pandemic</w:t>
      </w:r>
      <w:r w:rsidRPr="005734B8">
        <w:rPr>
          <w:rFonts w:ascii="Calibri" w:hAnsi="Calibri" w:cs="Calibri"/>
        </w:rPr>
        <w:t xml:space="preserve"> response programs with custom training presentations on conflict management </w:t>
      </w:r>
    </w:p>
    <w:p w14:paraId="0DF42338" w14:textId="20C04B5E" w:rsidR="00F64E04" w:rsidRPr="005734B8" w:rsidRDefault="00F64E04" w:rsidP="00236B83">
      <w:pPr>
        <w:pStyle w:val="ListParagraph"/>
        <w:numPr>
          <w:ilvl w:val="0"/>
          <w:numId w:val="50"/>
        </w:numPr>
        <w:rPr>
          <w:rFonts w:ascii="Calibri" w:hAnsi="Calibri" w:cs="Calibri"/>
        </w:rPr>
      </w:pPr>
      <w:r w:rsidRPr="005734B8">
        <w:rPr>
          <w:rFonts w:ascii="Calibri" w:hAnsi="Calibri" w:cs="Calibri"/>
        </w:rPr>
        <w:t xml:space="preserve">provided </w:t>
      </w:r>
      <w:r w:rsidR="00642F3A" w:rsidRPr="005734B8">
        <w:rPr>
          <w:rFonts w:ascii="Calibri" w:hAnsi="Calibri" w:cs="Calibri"/>
        </w:rPr>
        <w:t>the Department with</w:t>
      </w:r>
      <w:r w:rsidRPr="005734B8">
        <w:rPr>
          <w:rFonts w:ascii="Calibri" w:hAnsi="Calibri" w:cs="Calibri"/>
        </w:rPr>
        <w:t xml:space="preserve"> commentary and consultation on a variety of complaint management</w:t>
      </w:r>
      <w:r w:rsidR="001075A3" w:rsidRPr="005734B8">
        <w:rPr>
          <w:rFonts w:ascii="Calibri" w:hAnsi="Calibri" w:cs="Calibri"/>
        </w:rPr>
        <w:t>–</w:t>
      </w:r>
      <w:r w:rsidRPr="005734B8">
        <w:rPr>
          <w:rFonts w:ascii="Calibri" w:hAnsi="Calibri" w:cs="Calibri"/>
        </w:rPr>
        <w:t>related policies and initiatives</w:t>
      </w:r>
    </w:p>
    <w:p w14:paraId="69F7DB8E" w14:textId="6137C528" w:rsidR="00F64E04" w:rsidRPr="005734B8" w:rsidRDefault="00F64E04" w:rsidP="00236B83">
      <w:pPr>
        <w:pStyle w:val="ListParagraph"/>
        <w:numPr>
          <w:ilvl w:val="0"/>
          <w:numId w:val="50"/>
        </w:numPr>
        <w:rPr>
          <w:rFonts w:ascii="Calibri" w:hAnsi="Calibri" w:cs="Calibri"/>
        </w:rPr>
      </w:pPr>
      <w:r w:rsidRPr="005734B8">
        <w:rPr>
          <w:rFonts w:ascii="Calibri" w:hAnsi="Calibri" w:cs="Calibri"/>
        </w:rPr>
        <w:t>continued to refine its internal systems, documentation, and reporting to more accurately reflect its work and experience</w:t>
      </w:r>
    </w:p>
    <w:p w14:paraId="64AEC9F9" w14:textId="7C1AD00D" w:rsidR="00F64E04" w:rsidRPr="005734B8" w:rsidRDefault="00F64E04" w:rsidP="00236B83">
      <w:pPr>
        <w:pStyle w:val="ListParagraph"/>
        <w:numPr>
          <w:ilvl w:val="0"/>
          <w:numId w:val="50"/>
        </w:numPr>
        <w:rPr>
          <w:rFonts w:ascii="Calibri" w:hAnsi="Calibri" w:cs="Calibri"/>
        </w:rPr>
      </w:pPr>
      <w:r w:rsidRPr="005734B8">
        <w:rPr>
          <w:rFonts w:ascii="Calibri" w:hAnsi="Calibri" w:cs="Calibri"/>
        </w:rPr>
        <w:t>updated and refined its Strategic Plan and set priorities and initiatives for the coming year</w:t>
      </w:r>
    </w:p>
    <w:p w14:paraId="20874B2C" w14:textId="1F2D460E" w:rsidR="00F64E04" w:rsidRPr="005734B8" w:rsidRDefault="00F64E04" w:rsidP="00236B83">
      <w:pPr>
        <w:pStyle w:val="ListParagraph"/>
        <w:numPr>
          <w:ilvl w:val="0"/>
          <w:numId w:val="50"/>
        </w:numPr>
        <w:rPr>
          <w:rFonts w:ascii="Calibri" w:hAnsi="Calibri" w:cs="Calibri"/>
        </w:rPr>
      </w:pPr>
      <w:r w:rsidRPr="005734B8">
        <w:rPr>
          <w:rFonts w:ascii="Calibri" w:hAnsi="Calibri" w:cs="Calibri"/>
        </w:rPr>
        <w:t xml:space="preserve">maintained its outreach to stakeholders across the education community. </w:t>
      </w:r>
    </w:p>
    <w:p w14:paraId="015B982D" w14:textId="77777777" w:rsidR="00F64E04" w:rsidRPr="005734B8" w:rsidRDefault="00F64E04" w:rsidP="00F64E04">
      <w:pPr>
        <w:rPr>
          <w:rFonts w:ascii="Calibri" w:hAnsi="Calibri" w:cs="Calibri"/>
        </w:rPr>
      </w:pPr>
    </w:p>
    <w:p w14:paraId="63F28083" w14:textId="0A1D2BB1" w:rsidR="00F64E04" w:rsidRPr="005734B8" w:rsidRDefault="00F64E04" w:rsidP="00F64E04">
      <w:pPr>
        <w:rPr>
          <w:rFonts w:ascii="Calibri" w:hAnsi="Calibri" w:cs="Calibri"/>
        </w:rPr>
      </w:pPr>
      <w:r w:rsidRPr="005734B8">
        <w:rPr>
          <w:rFonts w:ascii="Calibri" w:hAnsi="Calibri" w:cs="Calibri"/>
        </w:rPr>
        <w:t xml:space="preserve">The Office has refined its reporting to create more clarity, by using the terms </w:t>
      </w:r>
      <w:r w:rsidR="001075A3" w:rsidRPr="005734B8">
        <w:rPr>
          <w:rFonts w:ascii="Calibri" w:hAnsi="Calibri" w:cs="Calibri"/>
        </w:rPr>
        <w:t>‘</w:t>
      </w:r>
      <w:r w:rsidR="00642F3A" w:rsidRPr="005734B8">
        <w:rPr>
          <w:rFonts w:ascii="Calibri" w:hAnsi="Calibri" w:cs="Calibri"/>
        </w:rPr>
        <w:t>c</w:t>
      </w:r>
      <w:r w:rsidRPr="005734B8">
        <w:rPr>
          <w:rFonts w:ascii="Calibri" w:hAnsi="Calibri" w:cs="Calibri"/>
        </w:rPr>
        <w:t xml:space="preserve">apability </w:t>
      </w:r>
      <w:r w:rsidR="00642F3A" w:rsidRPr="005734B8">
        <w:rPr>
          <w:rFonts w:ascii="Calibri" w:hAnsi="Calibri" w:cs="Calibri"/>
        </w:rPr>
        <w:t>b</w:t>
      </w:r>
      <w:r w:rsidRPr="005734B8">
        <w:rPr>
          <w:rFonts w:ascii="Calibri" w:hAnsi="Calibri" w:cs="Calibri"/>
        </w:rPr>
        <w:t>uilding</w:t>
      </w:r>
      <w:r w:rsidR="001075A3" w:rsidRPr="005734B8">
        <w:rPr>
          <w:rFonts w:ascii="Calibri" w:hAnsi="Calibri" w:cs="Calibri"/>
        </w:rPr>
        <w:t>’</w:t>
      </w:r>
      <w:r w:rsidRPr="005734B8">
        <w:rPr>
          <w:rFonts w:ascii="Calibri" w:hAnsi="Calibri" w:cs="Calibri"/>
        </w:rPr>
        <w:t xml:space="preserve"> for all skill development work not related to specific situations, and </w:t>
      </w:r>
      <w:r w:rsidR="001075A3" w:rsidRPr="005734B8">
        <w:rPr>
          <w:rFonts w:ascii="Calibri" w:hAnsi="Calibri" w:cs="Calibri"/>
        </w:rPr>
        <w:t>‘</w:t>
      </w:r>
      <w:r w:rsidR="00642F3A" w:rsidRPr="005734B8">
        <w:rPr>
          <w:rFonts w:ascii="Calibri" w:hAnsi="Calibri" w:cs="Calibri"/>
        </w:rPr>
        <w:t>c</w:t>
      </w:r>
      <w:r w:rsidRPr="005734B8">
        <w:rPr>
          <w:rFonts w:ascii="Calibri" w:hAnsi="Calibri" w:cs="Calibri"/>
        </w:rPr>
        <w:t xml:space="preserve">onflict </w:t>
      </w:r>
      <w:r w:rsidR="00642F3A" w:rsidRPr="005734B8">
        <w:rPr>
          <w:rFonts w:ascii="Calibri" w:hAnsi="Calibri" w:cs="Calibri"/>
        </w:rPr>
        <w:t>c</w:t>
      </w:r>
      <w:r w:rsidRPr="005734B8">
        <w:rPr>
          <w:rFonts w:ascii="Calibri" w:hAnsi="Calibri" w:cs="Calibri"/>
        </w:rPr>
        <w:t>oaching</w:t>
      </w:r>
      <w:r w:rsidR="001075A3" w:rsidRPr="005734B8">
        <w:rPr>
          <w:rFonts w:ascii="Calibri" w:hAnsi="Calibri" w:cs="Calibri"/>
        </w:rPr>
        <w:t>’</w:t>
      </w:r>
      <w:r w:rsidRPr="005734B8">
        <w:rPr>
          <w:rFonts w:ascii="Calibri" w:hAnsi="Calibri" w:cs="Calibri"/>
        </w:rPr>
        <w:t xml:space="preserve"> for work with specific individuals, schools or </w:t>
      </w:r>
      <w:r w:rsidR="001075A3" w:rsidRPr="005734B8">
        <w:rPr>
          <w:rFonts w:ascii="Calibri" w:hAnsi="Calibri" w:cs="Calibri"/>
        </w:rPr>
        <w:t>r</w:t>
      </w:r>
      <w:r w:rsidRPr="005734B8">
        <w:rPr>
          <w:rFonts w:ascii="Calibri" w:hAnsi="Calibri" w:cs="Calibri"/>
        </w:rPr>
        <w:t xml:space="preserve">egions experiencing situations that are unusual in complexity or seriousness, but where no specific complaint currently exists. The goal is to support early resolution of matters and avoid unnecessary conflicts. As anticipated, the </w:t>
      </w:r>
      <w:r w:rsidR="00642F3A" w:rsidRPr="005734B8">
        <w:rPr>
          <w:rFonts w:ascii="Calibri" w:hAnsi="Calibri" w:cs="Calibri"/>
        </w:rPr>
        <w:t>c</w:t>
      </w:r>
      <w:r w:rsidRPr="005734B8">
        <w:rPr>
          <w:rFonts w:ascii="Calibri" w:hAnsi="Calibri" w:cs="Calibri"/>
        </w:rPr>
        <w:t xml:space="preserve">onflict </w:t>
      </w:r>
      <w:r w:rsidR="00642F3A" w:rsidRPr="005734B8">
        <w:rPr>
          <w:rFonts w:ascii="Calibri" w:hAnsi="Calibri" w:cs="Calibri"/>
        </w:rPr>
        <w:t>c</w:t>
      </w:r>
      <w:r w:rsidRPr="005734B8">
        <w:rPr>
          <w:rFonts w:ascii="Calibri" w:hAnsi="Calibri" w:cs="Calibri"/>
        </w:rPr>
        <w:t xml:space="preserve">oaching has expanded in significance and scope over the past year. </w:t>
      </w:r>
    </w:p>
    <w:p w14:paraId="693903D2" w14:textId="77777777" w:rsidR="00F64E04" w:rsidRPr="005734B8" w:rsidRDefault="00F64E04" w:rsidP="00F64E04">
      <w:pPr>
        <w:rPr>
          <w:rFonts w:ascii="Calibri" w:hAnsi="Calibri" w:cs="Calibri"/>
        </w:rPr>
      </w:pPr>
    </w:p>
    <w:p w14:paraId="4B546E26" w14:textId="2E83F69E" w:rsidR="00F64E04" w:rsidRPr="005734B8" w:rsidRDefault="00F64E04" w:rsidP="00F64E04">
      <w:pPr>
        <w:rPr>
          <w:rFonts w:ascii="Calibri" w:hAnsi="Calibri" w:cs="Calibri"/>
        </w:rPr>
      </w:pPr>
      <w:r w:rsidRPr="005734B8">
        <w:rPr>
          <w:rFonts w:ascii="Calibri" w:hAnsi="Calibri" w:cs="Calibri"/>
        </w:rPr>
        <w:t xml:space="preserve">The Office completed almost all the work set out in </w:t>
      </w:r>
      <w:r w:rsidR="001075A3" w:rsidRPr="005734B8">
        <w:rPr>
          <w:rFonts w:ascii="Calibri" w:hAnsi="Calibri" w:cs="Calibri"/>
        </w:rPr>
        <w:t>l</w:t>
      </w:r>
      <w:r w:rsidR="00642F3A" w:rsidRPr="005734B8">
        <w:rPr>
          <w:rFonts w:ascii="Calibri" w:hAnsi="Calibri" w:cs="Calibri"/>
        </w:rPr>
        <w:t>ast year’s Strategic Plan</w:t>
      </w:r>
      <w:r w:rsidRPr="005734B8">
        <w:rPr>
          <w:rFonts w:ascii="Calibri" w:hAnsi="Calibri" w:cs="Calibri"/>
        </w:rPr>
        <w:t>. The C</w:t>
      </w:r>
      <w:r w:rsidR="00642F3A" w:rsidRPr="005734B8">
        <w:rPr>
          <w:rFonts w:ascii="Calibri" w:hAnsi="Calibri" w:cs="Calibri"/>
        </w:rPr>
        <w:t>OVID-19</w:t>
      </w:r>
      <w:r w:rsidRPr="005734B8">
        <w:rPr>
          <w:rFonts w:ascii="Calibri" w:hAnsi="Calibri" w:cs="Calibri"/>
        </w:rPr>
        <w:t xml:space="preserve"> pandemic affected the Office’s ability to complete some initiatives</w:t>
      </w:r>
      <w:r w:rsidR="00642F3A" w:rsidRPr="005734B8">
        <w:rPr>
          <w:rFonts w:ascii="Calibri" w:hAnsi="Calibri" w:cs="Calibri"/>
        </w:rPr>
        <w:t>. M</w:t>
      </w:r>
      <w:r w:rsidRPr="005734B8">
        <w:rPr>
          <w:rFonts w:ascii="Calibri" w:hAnsi="Calibri" w:cs="Calibri"/>
        </w:rPr>
        <w:t xml:space="preserve">ore urgent </w:t>
      </w:r>
      <w:r w:rsidRPr="005734B8">
        <w:rPr>
          <w:rFonts w:ascii="Calibri" w:hAnsi="Calibri" w:cs="Calibri"/>
        </w:rPr>
        <w:lastRenderedPageBreak/>
        <w:t xml:space="preserve">priorities existed for </w:t>
      </w:r>
      <w:r w:rsidR="00642F3A" w:rsidRPr="005734B8">
        <w:rPr>
          <w:rFonts w:ascii="Calibri" w:hAnsi="Calibri" w:cs="Calibri"/>
        </w:rPr>
        <w:t>s</w:t>
      </w:r>
      <w:r w:rsidRPr="005734B8">
        <w:rPr>
          <w:rFonts w:ascii="Calibri" w:hAnsi="Calibri" w:cs="Calibri"/>
        </w:rPr>
        <w:t xml:space="preserve">chools and </w:t>
      </w:r>
      <w:r w:rsidR="00642F3A" w:rsidRPr="005734B8">
        <w:rPr>
          <w:rFonts w:ascii="Calibri" w:hAnsi="Calibri" w:cs="Calibri"/>
        </w:rPr>
        <w:t>r</w:t>
      </w:r>
      <w:r w:rsidRPr="005734B8">
        <w:rPr>
          <w:rFonts w:ascii="Calibri" w:hAnsi="Calibri" w:cs="Calibri"/>
        </w:rPr>
        <w:t>egions</w:t>
      </w:r>
      <w:r w:rsidR="001075A3" w:rsidRPr="005734B8">
        <w:rPr>
          <w:rFonts w:ascii="Calibri" w:hAnsi="Calibri" w:cs="Calibri"/>
        </w:rPr>
        <w:t>,</w:t>
      </w:r>
      <w:r w:rsidRPr="005734B8">
        <w:rPr>
          <w:rFonts w:ascii="Calibri" w:hAnsi="Calibri" w:cs="Calibri"/>
        </w:rPr>
        <w:t xml:space="preserve"> and items that would have been conducted in person were not able to be </w:t>
      </w:r>
      <w:r w:rsidR="00642F3A" w:rsidRPr="005734B8">
        <w:rPr>
          <w:rFonts w:ascii="Calibri" w:hAnsi="Calibri" w:cs="Calibri"/>
        </w:rPr>
        <w:t>completed</w:t>
      </w:r>
      <w:r w:rsidRPr="005734B8">
        <w:rPr>
          <w:rFonts w:ascii="Calibri" w:hAnsi="Calibri" w:cs="Calibri"/>
        </w:rPr>
        <w:t xml:space="preserve">. The Office has pivoted to online delivery of some programs and has now created a </w:t>
      </w:r>
      <w:r w:rsidR="00642F3A" w:rsidRPr="005734B8">
        <w:rPr>
          <w:rFonts w:ascii="Calibri" w:hAnsi="Calibri" w:cs="Calibri"/>
        </w:rPr>
        <w:t>f</w:t>
      </w:r>
      <w:r w:rsidRPr="005734B8">
        <w:rPr>
          <w:rFonts w:ascii="Calibri" w:hAnsi="Calibri" w:cs="Calibri"/>
        </w:rPr>
        <w:t xml:space="preserve">oundation set of programs intended to raise the general capability of </w:t>
      </w:r>
      <w:r w:rsidR="00642F3A" w:rsidRPr="005734B8">
        <w:rPr>
          <w:rFonts w:ascii="Calibri" w:hAnsi="Calibri" w:cs="Calibri"/>
        </w:rPr>
        <w:t>d</w:t>
      </w:r>
      <w:r w:rsidRPr="005734B8">
        <w:rPr>
          <w:rFonts w:ascii="Calibri" w:hAnsi="Calibri" w:cs="Calibri"/>
        </w:rPr>
        <w:t>epartment</w:t>
      </w:r>
      <w:r w:rsidR="00642F3A" w:rsidRPr="005734B8">
        <w:rPr>
          <w:rFonts w:ascii="Calibri" w:hAnsi="Calibri" w:cs="Calibri"/>
        </w:rPr>
        <w:t>al</w:t>
      </w:r>
      <w:r w:rsidRPr="005734B8">
        <w:rPr>
          <w:rFonts w:ascii="Calibri" w:hAnsi="Calibri" w:cs="Calibri"/>
        </w:rPr>
        <w:t xml:space="preserve"> staff at the </w:t>
      </w:r>
      <w:r w:rsidR="00642F3A" w:rsidRPr="005734B8">
        <w:rPr>
          <w:rFonts w:ascii="Calibri" w:hAnsi="Calibri" w:cs="Calibri"/>
        </w:rPr>
        <w:t>r</w:t>
      </w:r>
      <w:r w:rsidRPr="005734B8">
        <w:rPr>
          <w:rFonts w:ascii="Calibri" w:hAnsi="Calibri" w:cs="Calibri"/>
        </w:rPr>
        <w:t xml:space="preserve">egional level and the capability of </w:t>
      </w:r>
      <w:r w:rsidR="00642F3A" w:rsidRPr="005734B8">
        <w:rPr>
          <w:rFonts w:ascii="Calibri" w:hAnsi="Calibri" w:cs="Calibri"/>
        </w:rPr>
        <w:t>p</w:t>
      </w:r>
      <w:r w:rsidRPr="005734B8">
        <w:rPr>
          <w:rFonts w:ascii="Calibri" w:hAnsi="Calibri" w:cs="Calibri"/>
        </w:rPr>
        <w:t xml:space="preserve">rincipals at the </w:t>
      </w:r>
      <w:r w:rsidR="00642F3A" w:rsidRPr="005734B8">
        <w:rPr>
          <w:rFonts w:ascii="Calibri" w:hAnsi="Calibri" w:cs="Calibri"/>
        </w:rPr>
        <w:t>s</w:t>
      </w:r>
      <w:r w:rsidRPr="005734B8">
        <w:rPr>
          <w:rFonts w:ascii="Calibri" w:hAnsi="Calibri" w:cs="Calibri"/>
        </w:rPr>
        <w:t xml:space="preserve">chool level. These programs are being expanded and additional programs are under development. </w:t>
      </w:r>
    </w:p>
    <w:p w14:paraId="01128000" w14:textId="77777777" w:rsidR="00F64E04" w:rsidRPr="005734B8" w:rsidRDefault="00F64E04" w:rsidP="00F64E04">
      <w:pPr>
        <w:rPr>
          <w:rFonts w:ascii="Calibri" w:hAnsi="Calibri" w:cs="Calibri"/>
        </w:rPr>
      </w:pPr>
    </w:p>
    <w:p w14:paraId="3DC52B75" w14:textId="77777777" w:rsidR="00F64E04" w:rsidRPr="005734B8" w:rsidRDefault="00F64E04" w:rsidP="00F64E04">
      <w:pPr>
        <w:rPr>
          <w:rFonts w:ascii="Calibri" w:hAnsi="Calibri" w:cs="Calibri"/>
        </w:rPr>
      </w:pPr>
      <w:r w:rsidRPr="005734B8">
        <w:rPr>
          <w:rFonts w:ascii="Calibri" w:hAnsi="Calibri" w:cs="Calibri"/>
        </w:rPr>
        <w:t xml:space="preserve">The Strategic Plan has been updated and initiatives have been set for the coming year. </w:t>
      </w:r>
    </w:p>
    <w:p w14:paraId="50210ED5" w14:textId="77777777" w:rsidR="00F64E04" w:rsidRPr="005734B8" w:rsidRDefault="00F64E04" w:rsidP="00F64E04">
      <w:pPr>
        <w:rPr>
          <w:rFonts w:ascii="Calibri" w:hAnsi="Calibri" w:cs="Calibri"/>
        </w:rPr>
      </w:pPr>
    </w:p>
    <w:p w14:paraId="1F42D2D4" w14:textId="660B790A" w:rsidR="00F64E04" w:rsidRPr="005734B8" w:rsidRDefault="00F64E04" w:rsidP="00F64E04">
      <w:pPr>
        <w:rPr>
          <w:rFonts w:ascii="Calibri" w:hAnsi="Calibri" w:cs="Calibri"/>
        </w:rPr>
      </w:pPr>
      <w:r w:rsidRPr="005734B8">
        <w:rPr>
          <w:rFonts w:ascii="Calibri" w:hAnsi="Calibri" w:cs="Calibri"/>
        </w:rPr>
        <w:t xml:space="preserve">The complaints being referred to the </w:t>
      </w:r>
      <w:r w:rsidR="00642F3A" w:rsidRPr="005734B8">
        <w:rPr>
          <w:rFonts w:ascii="Calibri" w:hAnsi="Calibri" w:cs="Calibri"/>
        </w:rPr>
        <w:t>Office</w:t>
      </w:r>
      <w:r w:rsidRPr="005734B8">
        <w:rPr>
          <w:rFonts w:ascii="Calibri" w:hAnsi="Calibri" w:cs="Calibri"/>
        </w:rPr>
        <w:t xml:space="preserve"> are </w:t>
      </w:r>
      <w:r w:rsidR="00C07D1F" w:rsidRPr="005734B8">
        <w:rPr>
          <w:rFonts w:ascii="Calibri" w:hAnsi="Calibri" w:cs="Calibri"/>
        </w:rPr>
        <w:t>increasingly</w:t>
      </w:r>
      <w:r w:rsidRPr="005734B8">
        <w:rPr>
          <w:rFonts w:ascii="Calibri" w:hAnsi="Calibri" w:cs="Calibri"/>
        </w:rPr>
        <w:t xml:space="preserve"> complex and difficult, often with longstanding and entrenched disagreement between </w:t>
      </w:r>
      <w:r w:rsidR="00642F3A" w:rsidRPr="005734B8">
        <w:rPr>
          <w:rFonts w:ascii="Calibri" w:hAnsi="Calibri" w:cs="Calibri"/>
        </w:rPr>
        <w:t>parties</w:t>
      </w:r>
      <w:r w:rsidRPr="005734B8">
        <w:rPr>
          <w:rFonts w:ascii="Calibri" w:hAnsi="Calibri" w:cs="Calibri"/>
        </w:rPr>
        <w:t xml:space="preserve">. </w:t>
      </w:r>
      <w:r w:rsidR="00C07D1F" w:rsidRPr="005734B8">
        <w:rPr>
          <w:rFonts w:ascii="Calibri" w:hAnsi="Calibri" w:cs="Calibri"/>
        </w:rPr>
        <w:t>This may be a result of</w:t>
      </w:r>
      <w:r w:rsidRPr="005734B8">
        <w:rPr>
          <w:rFonts w:ascii="Calibri" w:hAnsi="Calibri" w:cs="Calibri"/>
        </w:rPr>
        <w:t xml:space="preserve"> the Department improv</w:t>
      </w:r>
      <w:r w:rsidR="00C07D1F" w:rsidRPr="005734B8">
        <w:rPr>
          <w:rFonts w:ascii="Calibri" w:hAnsi="Calibri" w:cs="Calibri"/>
        </w:rPr>
        <w:t>ing its</w:t>
      </w:r>
      <w:r w:rsidRPr="005734B8">
        <w:rPr>
          <w:rFonts w:ascii="Calibri" w:hAnsi="Calibri" w:cs="Calibri"/>
        </w:rPr>
        <w:t xml:space="preserve"> management of complaints, </w:t>
      </w:r>
      <w:r w:rsidR="00C07D1F" w:rsidRPr="005734B8">
        <w:rPr>
          <w:rFonts w:ascii="Calibri" w:hAnsi="Calibri" w:cs="Calibri"/>
        </w:rPr>
        <w:t xml:space="preserve">preventing </w:t>
      </w:r>
      <w:r w:rsidRPr="005734B8">
        <w:rPr>
          <w:rFonts w:ascii="Calibri" w:hAnsi="Calibri" w:cs="Calibri"/>
        </w:rPr>
        <w:t>escalat</w:t>
      </w:r>
      <w:r w:rsidR="00C07D1F" w:rsidRPr="005734B8">
        <w:rPr>
          <w:rFonts w:ascii="Calibri" w:hAnsi="Calibri" w:cs="Calibri"/>
        </w:rPr>
        <w:t>ion</w:t>
      </w:r>
      <w:r w:rsidRPr="005734B8">
        <w:rPr>
          <w:rFonts w:ascii="Calibri" w:hAnsi="Calibri" w:cs="Calibri"/>
        </w:rPr>
        <w:t xml:space="preserve"> to the Office. The challenges for the Office are:</w:t>
      </w:r>
    </w:p>
    <w:p w14:paraId="619ED380" w14:textId="61629D6F" w:rsidR="00F64E04" w:rsidRPr="005734B8" w:rsidRDefault="00F64E04" w:rsidP="00236B83">
      <w:pPr>
        <w:pStyle w:val="ListParagraph"/>
        <w:numPr>
          <w:ilvl w:val="0"/>
          <w:numId w:val="50"/>
        </w:numPr>
        <w:rPr>
          <w:rFonts w:ascii="Calibri" w:hAnsi="Calibri" w:cs="Calibri"/>
        </w:rPr>
      </w:pPr>
      <w:r w:rsidRPr="005734B8">
        <w:rPr>
          <w:rFonts w:ascii="Calibri" w:hAnsi="Calibri" w:cs="Calibri"/>
        </w:rPr>
        <w:t>to maintain a cutting-edge capacity for resolution and capability building, to reduce the impact on students, parents, staff, and the Department of a limited number of specific complaints</w:t>
      </w:r>
    </w:p>
    <w:p w14:paraId="2524B017" w14:textId="4007711F" w:rsidR="00F64E04" w:rsidRPr="005734B8" w:rsidRDefault="00F64E04" w:rsidP="00236B83">
      <w:pPr>
        <w:pStyle w:val="ListParagraph"/>
        <w:numPr>
          <w:ilvl w:val="0"/>
          <w:numId w:val="50"/>
        </w:numPr>
        <w:rPr>
          <w:rFonts w:ascii="Calibri" w:hAnsi="Calibri" w:cs="Calibri"/>
        </w:rPr>
      </w:pPr>
      <w:r w:rsidRPr="005734B8">
        <w:rPr>
          <w:rFonts w:ascii="Calibri" w:hAnsi="Calibri" w:cs="Calibri"/>
        </w:rPr>
        <w:t xml:space="preserve">to refine its delivery methods and resources to </w:t>
      </w:r>
      <w:r w:rsidR="001075A3" w:rsidRPr="005734B8">
        <w:rPr>
          <w:rFonts w:ascii="Calibri" w:hAnsi="Calibri" w:cs="Calibri"/>
        </w:rPr>
        <w:t>build</w:t>
      </w:r>
      <w:r w:rsidRPr="005734B8">
        <w:rPr>
          <w:rFonts w:ascii="Calibri" w:hAnsi="Calibri" w:cs="Calibri"/>
        </w:rPr>
        <w:t xml:space="preserve"> capability in the current and future C</w:t>
      </w:r>
      <w:r w:rsidR="00C07D1F" w:rsidRPr="005734B8">
        <w:rPr>
          <w:rFonts w:ascii="Calibri" w:hAnsi="Calibri" w:cs="Calibri"/>
        </w:rPr>
        <w:t>OVID-19 pandemic</w:t>
      </w:r>
      <w:r w:rsidRPr="005734B8">
        <w:rPr>
          <w:rFonts w:ascii="Calibri" w:hAnsi="Calibri" w:cs="Calibri"/>
        </w:rPr>
        <w:t xml:space="preserve">-affected environment. </w:t>
      </w:r>
    </w:p>
    <w:p w14:paraId="0B842CFD" w14:textId="77777777" w:rsidR="00F64E04" w:rsidRPr="005734B8" w:rsidRDefault="00F64E04" w:rsidP="00F64E04">
      <w:pPr>
        <w:rPr>
          <w:rFonts w:ascii="Calibri" w:hAnsi="Calibri" w:cs="Calibri"/>
        </w:rPr>
      </w:pPr>
    </w:p>
    <w:p w14:paraId="68BE9616" w14:textId="09B132A0" w:rsidR="00F64E04" w:rsidRPr="005734B8" w:rsidRDefault="00F64E04" w:rsidP="00F64E04">
      <w:pPr>
        <w:rPr>
          <w:rFonts w:ascii="Calibri" w:hAnsi="Calibri" w:cs="Calibri"/>
        </w:rPr>
      </w:pPr>
      <w:r w:rsidRPr="005734B8">
        <w:rPr>
          <w:rFonts w:ascii="Calibri" w:hAnsi="Calibri" w:cs="Calibri"/>
        </w:rPr>
        <w:t xml:space="preserve">The Office now has sufficient experience and information to make more general recommendations to </w:t>
      </w:r>
      <w:r w:rsidR="00C07D1F" w:rsidRPr="005734B8">
        <w:rPr>
          <w:rFonts w:ascii="Calibri" w:hAnsi="Calibri" w:cs="Calibri"/>
        </w:rPr>
        <w:t>r</w:t>
      </w:r>
      <w:r w:rsidRPr="005734B8">
        <w:rPr>
          <w:rFonts w:ascii="Calibri" w:hAnsi="Calibri" w:cs="Calibri"/>
        </w:rPr>
        <w:t xml:space="preserve">egions and the Department, as well as to support improved individual conflict management performance by school and </w:t>
      </w:r>
      <w:r w:rsidR="00C07D1F" w:rsidRPr="005734B8">
        <w:rPr>
          <w:rFonts w:ascii="Calibri" w:hAnsi="Calibri" w:cs="Calibri"/>
        </w:rPr>
        <w:t>r</w:t>
      </w:r>
      <w:r w:rsidRPr="005734B8">
        <w:rPr>
          <w:rFonts w:ascii="Calibri" w:hAnsi="Calibri" w:cs="Calibri"/>
        </w:rPr>
        <w:t xml:space="preserve">egional leadership. In the coming year, the Office </w:t>
      </w:r>
      <w:r w:rsidR="00C07D1F" w:rsidRPr="005734B8">
        <w:rPr>
          <w:rFonts w:ascii="Calibri" w:hAnsi="Calibri" w:cs="Calibri"/>
        </w:rPr>
        <w:t>aims</w:t>
      </w:r>
      <w:r w:rsidRPr="005734B8">
        <w:rPr>
          <w:rFonts w:ascii="Calibri" w:hAnsi="Calibri" w:cs="Calibri"/>
        </w:rPr>
        <w:t xml:space="preserve"> to provide recommendations that improve the structural elements </w:t>
      </w:r>
      <w:r w:rsidR="00C07D1F" w:rsidRPr="005734B8">
        <w:rPr>
          <w:rFonts w:ascii="Calibri" w:hAnsi="Calibri" w:cs="Calibri"/>
        </w:rPr>
        <w:t>and</w:t>
      </w:r>
      <w:r w:rsidRPr="005734B8">
        <w:rPr>
          <w:rFonts w:ascii="Calibri" w:hAnsi="Calibri" w:cs="Calibri"/>
        </w:rPr>
        <w:t xml:space="preserve"> practices </w:t>
      </w:r>
      <w:r w:rsidR="001075A3" w:rsidRPr="005734B8">
        <w:rPr>
          <w:rFonts w:ascii="Calibri" w:hAnsi="Calibri" w:cs="Calibri"/>
        </w:rPr>
        <w:t>of</w:t>
      </w:r>
      <w:r w:rsidRPr="005734B8">
        <w:rPr>
          <w:rFonts w:ascii="Calibri" w:hAnsi="Calibri" w:cs="Calibri"/>
        </w:rPr>
        <w:t xml:space="preserve"> the education system</w:t>
      </w:r>
      <w:r w:rsidR="00C07D1F" w:rsidRPr="005734B8">
        <w:rPr>
          <w:rFonts w:ascii="Calibri" w:hAnsi="Calibri" w:cs="Calibri"/>
        </w:rPr>
        <w:t>. This will reduce</w:t>
      </w:r>
      <w:r w:rsidRPr="005734B8">
        <w:rPr>
          <w:rFonts w:ascii="Calibri" w:hAnsi="Calibri" w:cs="Calibri"/>
        </w:rPr>
        <w:t xml:space="preserve"> complaints and </w:t>
      </w:r>
      <w:r w:rsidR="00445197" w:rsidRPr="005734B8">
        <w:rPr>
          <w:rFonts w:ascii="Calibri" w:hAnsi="Calibri" w:cs="Calibri"/>
        </w:rPr>
        <w:t>the</w:t>
      </w:r>
      <w:r w:rsidRPr="005734B8">
        <w:rPr>
          <w:rFonts w:ascii="Calibri" w:hAnsi="Calibri" w:cs="Calibri"/>
        </w:rPr>
        <w:t xml:space="preserve"> negative impacts for school staff as well as for parents and students. </w:t>
      </w:r>
    </w:p>
    <w:p w14:paraId="7290C253" w14:textId="77777777" w:rsidR="00F64E04" w:rsidRPr="005734B8" w:rsidRDefault="00F64E04" w:rsidP="00F64E04">
      <w:pPr>
        <w:rPr>
          <w:rFonts w:ascii="Calibri" w:hAnsi="Calibri" w:cs="Calibri"/>
        </w:rPr>
      </w:pPr>
    </w:p>
    <w:p w14:paraId="367BDF6B" w14:textId="359B160B" w:rsidR="00F64E04" w:rsidRPr="005734B8" w:rsidRDefault="00F64E04" w:rsidP="00F64E04">
      <w:pPr>
        <w:rPr>
          <w:rFonts w:ascii="Calibri" w:hAnsi="Calibri" w:cs="Calibri"/>
        </w:rPr>
      </w:pPr>
      <w:r w:rsidRPr="005734B8">
        <w:rPr>
          <w:rFonts w:ascii="Calibri" w:hAnsi="Calibri" w:cs="Calibri"/>
        </w:rPr>
        <w:t>The C</w:t>
      </w:r>
      <w:r w:rsidR="00445197" w:rsidRPr="005734B8">
        <w:rPr>
          <w:rFonts w:ascii="Calibri" w:hAnsi="Calibri" w:cs="Calibri"/>
        </w:rPr>
        <w:t>OVID-19</w:t>
      </w:r>
      <w:r w:rsidRPr="005734B8">
        <w:rPr>
          <w:rFonts w:ascii="Calibri" w:hAnsi="Calibri" w:cs="Calibri"/>
        </w:rPr>
        <w:t xml:space="preserve"> pandemic has been challenging. The stress of changing </w:t>
      </w:r>
      <w:r w:rsidR="00445197" w:rsidRPr="005734B8">
        <w:rPr>
          <w:rFonts w:ascii="Calibri" w:hAnsi="Calibri" w:cs="Calibri"/>
        </w:rPr>
        <w:t xml:space="preserve">school </w:t>
      </w:r>
      <w:r w:rsidRPr="005734B8">
        <w:rPr>
          <w:rFonts w:ascii="Calibri" w:hAnsi="Calibri" w:cs="Calibri"/>
        </w:rPr>
        <w:t xml:space="preserve">conditions and the need to develop and deliver remote learning, combined with the uncertainty and stress in the broader community, has had a </w:t>
      </w:r>
      <w:r w:rsidR="00445197" w:rsidRPr="005734B8">
        <w:rPr>
          <w:rFonts w:ascii="Calibri" w:hAnsi="Calibri" w:cs="Calibri"/>
        </w:rPr>
        <w:t>measurable</w:t>
      </w:r>
      <w:r w:rsidRPr="005734B8">
        <w:rPr>
          <w:rFonts w:ascii="Calibri" w:hAnsi="Calibri" w:cs="Calibri"/>
        </w:rPr>
        <w:t xml:space="preserve"> impact on complaints. Effective resolution of these conflicts and complaints will be an avenue for recovery of equilibrium and re-establishment of high confidence in the Victorian public education system</w:t>
      </w:r>
      <w:r w:rsidR="001075A3" w:rsidRPr="005734B8">
        <w:rPr>
          <w:rFonts w:ascii="Calibri" w:hAnsi="Calibri" w:cs="Calibri"/>
        </w:rPr>
        <w:t>—</w:t>
      </w:r>
      <w:r w:rsidRPr="005734B8">
        <w:rPr>
          <w:rFonts w:ascii="Calibri" w:hAnsi="Calibri" w:cs="Calibri"/>
        </w:rPr>
        <w:t xml:space="preserve">outcomes </w:t>
      </w:r>
      <w:r w:rsidR="001075A3" w:rsidRPr="005734B8">
        <w:rPr>
          <w:rFonts w:ascii="Calibri" w:hAnsi="Calibri" w:cs="Calibri"/>
        </w:rPr>
        <w:t>that</w:t>
      </w:r>
      <w:r w:rsidRPr="005734B8">
        <w:rPr>
          <w:rFonts w:ascii="Calibri" w:hAnsi="Calibri" w:cs="Calibri"/>
        </w:rPr>
        <w:t xml:space="preserve"> the Office strives to support. </w:t>
      </w:r>
    </w:p>
    <w:p w14:paraId="4936C9B0" w14:textId="77777777" w:rsidR="00F64E04" w:rsidRPr="005734B8" w:rsidRDefault="00F64E04" w:rsidP="00F64E04">
      <w:pPr>
        <w:rPr>
          <w:rFonts w:ascii="Calibri" w:hAnsi="Calibri" w:cs="Calibri"/>
        </w:rPr>
      </w:pPr>
    </w:p>
    <w:p w14:paraId="55E43928" w14:textId="77777777" w:rsidR="00F64E04" w:rsidRPr="005734B8" w:rsidRDefault="00F64E04" w:rsidP="00F64E04">
      <w:pPr>
        <w:pStyle w:val="ESTableintroheading"/>
        <w:rPr>
          <w:rFonts w:ascii="Calibri" w:hAnsi="Calibri" w:cs="Calibri"/>
        </w:rPr>
      </w:pPr>
      <w:r w:rsidRPr="005734B8">
        <w:rPr>
          <w:rFonts w:ascii="Calibri" w:hAnsi="Calibri" w:cs="Calibri"/>
        </w:rPr>
        <w:t>Chair and Deputy Chair of the Independent Office for School Dispute Resolution</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960"/>
        <w:gridCol w:w="3961"/>
      </w:tblGrid>
      <w:tr w:rsidR="00F64E04" w:rsidRPr="005734B8" w14:paraId="6F576E47" w14:textId="77777777" w:rsidTr="002B6980">
        <w:trPr>
          <w:cantSplit/>
          <w:trHeight w:val="242"/>
          <w:tblHeader/>
        </w:trPr>
        <w:tc>
          <w:tcPr>
            <w:tcW w:w="3960" w:type="dxa"/>
            <w:tcBorders>
              <w:bottom w:val="single" w:sz="4" w:space="0" w:color="FFFFFF" w:themeColor="background1"/>
            </w:tcBorders>
            <w:shd w:val="clear" w:color="auto" w:fill="AF272F" w:themeFill="accent4"/>
          </w:tcPr>
          <w:p w14:paraId="2F7193AA" w14:textId="77777777" w:rsidR="00F64E04" w:rsidRPr="005734B8" w:rsidRDefault="00F64E04" w:rsidP="002B6980">
            <w:pPr>
              <w:pStyle w:val="ESTableheadingwhite"/>
              <w:rPr>
                <w:rFonts w:ascii="Calibri" w:hAnsi="Calibri" w:cs="Calibri"/>
                <w:sz w:val="18"/>
                <w:lang w:val="en-AU"/>
              </w:rPr>
            </w:pPr>
            <w:r w:rsidRPr="005734B8">
              <w:rPr>
                <w:rFonts w:ascii="Calibri" w:hAnsi="Calibri" w:cs="Calibri"/>
                <w:sz w:val="18"/>
                <w:lang w:val="en-AU"/>
              </w:rPr>
              <w:t>Name</w:t>
            </w:r>
          </w:p>
        </w:tc>
        <w:tc>
          <w:tcPr>
            <w:tcW w:w="3961" w:type="dxa"/>
            <w:tcBorders>
              <w:bottom w:val="single" w:sz="4" w:space="0" w:color="FFFFFF" w:themeColor="background1"/>
            </w:tcBorders>
            <w:shd w:val="clear" w:color="auto" w:fill="AF272F" w:themeFill="accent4"/>
          </w:tcPr>
          <w:p w14:paraId="333ABC52" w14:textId="7EDEF471" w:rsidR="00F64E04" w:rsidRPr="005734B8" w:rsidRDefault="001075A3" w:rsidP="002B6980">
            <w:pPr>
              <w:pStyle w:val="ESTableheadingwhite"/>
              <w:rPr>
                <w:rFonts w:ascii="Calibri" w:hAnsi="Calibri" w:cs="Calibri"/>
                <w:sz w:val="18"/>
                <w:lang w:val="en-AU"/>
              </w:rPr>
            </w:pPr>
            <w:r w:rsidRPr="005734B8">
              <w:rPr>
                <w:rFonts w:ascii="Calibri" w:hAnsi="Calibri" w:cs="Calibri"/>
                <w:sz w:val="18"/>
                <w:lang w:val="en-AU"/>
              </w:rPr>
              <w:t>P</w:t>
            </w:r>
            <w:r w:rsidR="00F64E04" w:rsidRPr="005734B8">
              <w:rPr>
                <w:rFonts w:ascii="Calibri" w:hAnsi="Calibri" w:cs="Calibri"/>
                <w:sz w:val="18"/>
                <w:lang w:val="en-AU"/>
              </w:rPr>
              <w:t>osition</w:t>
            </w:r>
          </w:p>
        </w:tc>
      </w:tr>
      <w:tr w:rsidR="00F64E04" w:rsidRPr="005734B8" w14:paraId="246D8E19" w14:textId="77777777" w:rsidTr="002B6980">
        <w:trPr>
          <w:cantSplit/>
          <w:trHeight w:val="480"/>
        </w:trPr>
        <w:tc>
          <w:tcPr>
            <w:tcW w:w="3960" w:type="dxa"/>
            <w:tcBorders>
              <w:top w:val="single" w:sz="4" w:space="0" w:color="53565A" w:themeColor="accent5"/>
              <w:bottom w:val="single" w:sz="4" w:space="0" w:color="53565A" w:themeColor="accent5"/>
            </w:tcBorders>
            <w:shd w:val="clear" w:color="auto" w:fill="auto"/>
          </w:tcPr>
          <w:p w14:paraId="082E877E" w14:textId="77777777" w:rsidR="00F64E04" w:rsidRPr="005734B8" w:rsidRDefault="00F64E04" w:rsidP="002B6980">
            <w:pPr>
              <w:pStyle w:val="ESTablebody"/>
              <w:rPr>
                <w:rFonts w:ascii="Calibri" w:hAnsi="Calibri" w:cs="Calibri"/>
                <w:sz w:val="18"/>
              </w:rPr>
            </w:pPr>
            <w:r w:rsidRPr="005734B8">
              <w:rPr>
                <w:rFonts w:ascii="Calibri" w:hAnsi="Calibri" w:cs="Calibri"/>
                <w:sz w:val="18"/>
                <w:lang w:val="en-AU"/>
              </w:rPr>
              <w:t>Mr Frank Handy</w:t>
            </w:r>
          </w:p>
        </w:tc>
        <w:tc>
          <w:tcPr>
            <w:tcW w:w="3961" w:type="dxa"/>
            <w:tcBorders>
              <w:top w:val="single" w:sz="4" w:space="0" w:color="53565A" w:themeColor="accent5"/>
              <w:bottom w:val="single" w:sz="4" w:space="0" w:color="53565A" w:themeColor="accent5"/>
            </w:tcBorders>
            <w:shd w:val="clear" w:color="auto" w:fill="auto"/>
          </w:tcPr>
          <w:p w14:paraId="7C109D40" w14:textId="77777777" w:rsidR="00F64E04" w:rsidRPr="005734B8" w:rsidRDefault="00F64E04" w:rsidP="002B6980">
            <w:pPr>
              <w:pStyle w:val="ESTablebody"/>
              <w:rPr>
                <w:rFonts w:ascii="Calibri" w:hAnsi="Calibri" w:cs="Calibri"/>
                <w:sz w:val="18"/>
              </w:rPr>
            </w:pPr>
            <w:r w:rsidRPr="005734B8">
              <w:rPr>
                <w:rFonts w:ascii="Calibri" w:hAnsi="Calibri" w:cs="Calibri"/>
                <w:sz w:val="18"/>
                <w:lang w:val="en-AU"/>
              </w:rPr>
              <w:t>Chair</w:t>
            </w:r>
          </w:p>
        </w:tc>
      </w:tr>
      <w:tr w:rsidR="00F64E04" w:rsidRPr="005734B8" w14:paraId="15CC0FF9" w14:textId="77777777" w:rsidTr="002B6980">
        <w:trPr>
          <w:cantSplit/>
          <w:trHeight w:val="477"/>
        </w:trPr>
        <w:tc>
          <w:tcPr>
            <w:tcW w:w="3960" w:type="dxa"/>
            <w:tcBorders>
              <w:top w:val="single" w:sz="4" w:space="0" w:color="53565A" w:themeColor="accent5"/>
              <w:bottom w:val="single" w:sz="4" w:space="0" w:color="53565A" w:themeColor="accent5"/>
            </w:tcBorders>
            <w:shd w:val="clear" w:color="auto" w:fill="auto"/>
          </w:tcPr>
          <w:p w14:paraId="19F113A6" w14:textId="77777777" w:rsidR="00F64E04" w:rsidRPr="005734B8" w:rsidRDefault="00F64E04" w:rsidP="002B6980">
            <w:pPr>
              <w:pStyle w:val="ESTablebody"/>
              <w:rPr>
                <w:rFonts w:ascii="Calibri" w:hAnsi="Calibri" w:cs="Calibri"/>
                <w:sz w:val="18"/>
              </w:rPr>
            </w:pPr>
            <w:r w:rsidRPr="005734B8">
              <w:rPr>
                <w:rFonts w:ascii="Calibri" w:hAnsi="Calibri" w:cs="Calibri"/>
                <w:sz w:val="18"/>
                <w:lang w:val="en-AU"/>
              </w:rPr>
              <w:t>Ms Jo-Anne Mazzeo</w:t>
            </w:r>
          </w:p>
        </w:tc>
        <w:tc>
          <w:tcPr>
            <w:tcW w:w="3961" w:type="dxa"/>
            <w:tcBorders>
              <w:top w:val="single" w:sz="4" w:space="0" w:color="53565A" w:themeColor="accent5"/>
              <w:bottom w:val="single" w:sz="4" w:space="0" w:color="53565A" w:themeColor="accent5"/>
            </w:tcBorders>
            <w:shd w:val="clear" w:color="auto" w:fill="auto"/>
          </w:tcPr>
          <w:p w14:paraId="508B947B" w14:textId="77777777" w:rsidR="00F64E04" w:rsidRPr="005734B8" w:rsidRDefault="00F64E04" w:rsidP="002B6980">
            <w:pPr>
              <w:pStyle w:val="ESTablebody"/>
              <w:rPr>
                <w:rFonts w:ascii="Calibri" w:hAnsi="Calibri" w:cs="Calibri"/>
                <w:sz w:val="18"/>
              </w:rPr>
            </w:pPr>
            <w:r w:rsidRPr="005734B8">
              <w:rPr>
                <w:rFonts w:ascii="Calibri" w:hAnsi="Calibri" w:cs="Calibri"/>
                <w:sz w:val="18"/>
                <w:lang w:val="en-AU"/>
              </w:rPr>
              <w:t xml:space="preserve">Deputy Chair </w:t>
            </w:r>
          </w:p>
        </w:tc>
      </w:tr>
    </w:tbl>
    <w:p w14:paraId="689F085B" w14:textId="310B1594" w:rsidR="00165AC8" w:rsidRPr="005734B8" w:rsidRDefault="00165AC8" w:rsidP="003A3128">
      <w:pPr>
        <w:rPr>
          <w:rFonts w:ascii="Calibri" w:hAnsi="Calibri" w:cs="Calibri"/>
          <w:highlight w:val="yellow"/>
        </w:rPr>
      </w:pPr>
    </w:p>
    <w:p w14:paraId="3147F807" w14:textId="014E9652" w:rsidR="00165AC8" w:rsidRPr="005734B8" w:rsidRDefault="00165AC8" w:rsidP="00165AC8">
      <w:pPr>
        <w:pStyle w:val="ESTableintroheading"/>
        <w:rPr>
          <w:rFonts w:ascii="Calibri" w:hAnsi="Calibri" w:cs="Calibri"/>
          <w:highlight w:val="yellow"/>
        </w:rPr>
        <w:sectPr w:rsidR="00165AC8" w:rsidRPr="005734B8" w:rsidSect="003B3A5C">
          <w:pgSz w:w="11900" w:h="16840"/>
          <w:pgMar w:top="1440" w:right="1134" w:bottom="1440" w:left="2835" w:header="708" w:footer="708" w:gutter="0"/>
          <w:cols w:space="708"/>
          <w:docGrid w:linePitch="360"/>
        </w:sectPr>
      </w:pPr>
    </w:p>
    <w:p w14:paraId="61099DC1" w14:textId="77777777" w:rsidR="000A3A50" w:rsidRPr="005734B8" w:rsidRDefault="000A3A50" w:rsidP="000A3A50">
      <w:pPr>
        <w:pStyle w:val="ESTableintroheading"/>
        <w:rPr>
          <w:rFonts w:ascii="Calibri" w:hAnsi="Calibri" w:cs="Calibri"/>
        </w:rPr>
      </w:pPr>
      <w:r w:rsidRPr="005734B8">
        <w:rPr>
          <w:rFonts w:ascii="Calibri" w:hAnsi="Calibri" w:cs="Calibri"/>
        </w:rPr>
        <w:lastRenderedPageBreak/>
        <w:t>Matter types by source of contact</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96"/>
        <w:gridCol w:w="1579"/>
        <w:gridCol w:w="1579"/>
        <w:gridCol w:w="1579"/>
        <w:gridCol w:w="1579"/>
        <w:gridCol w:w="1579"/>
        <w:gridCol w:w="1579"/>
        <w:gridCol w:w="1580"/>
      </w:tblGrid>
      <w:tr w:rsidR="000A3A50" w:rsidRPr="005734B8" w14:paraId="75218FBF" w14:textId="77777777" w:rsidTr="002B6980">
        <w:trPr>
          <w:cantSplit/>
          <w:trHeight w:val="242"/>
          <w:tblHeader/>
        </w:trPr>
        <w:tc>
          <w:tcPr>
            <w:tcW w:w="2896" w:type="dxa"/>
            <w:vMerge w:val="restart"/>
            <w:shd w:val="clear" w:color="auto" w:fill="AF272F" w:themeFill="accent4"/>
          </w:tcPr>
          <w:p w14:paraId="48F5E428" w14:textId="77777777" w:rsidR="000A3A50" w:rsidRPr="005734B8" w:rsidRDefault="000A3A50" w:rsidP="002B6980">
            <w:pPr>
              <w:pStyle w:val="ESTableheadingwhite"/>
              <w:rPr>
                <w:rFonts w:ascii="Calibri" w:hAnsi="Calibri" w:cs="Calibri"/>
                <w:sz w:val="18"/>
              </w:rPr>
            </w:pPr>
          </w:p>
          <w:p w14:paraId="1C3EB3B7" w14:textId="77777777" w:rsidR="000A3A50" w:rsidRPr="005734B8" w:rsidRDefault="000A3A50" w:rsidP="002B6980">
            <w:pPr>
              <w:pStyle w:val="ESTableheadingwhite"/>
              <w:rPr>
                <w:rFonts w:ascii="Calibri" w:hAnsi="Calibri" w:cs="Calibri"/>
                <w:sz w:val="18"/>
              </w:rPr>
            </w:pPr>
            <w:r w:rsidRPr="005734B8">
              <w:rPr>
                <w:rFonts w:ascii="Calibri" w:hAnsi="Calibri" w:cs="Calibri"/>
                <w:sz w:val="18"/>
              </w:rPr>
              <w:t>Case type</w:t>
            </w:r>
          </w:p>
        </w:tc>
        <w:tc>
          <w:tcPr>
            <w:tcW w:w="11054" w:type="dxa"/>
            <w:gridSpan w:val="7"/>
            <w:tcBorders>
              <w:bottom w:val="single" w:sz="4" w:space="0" w:color="FFFFFF" w:themeColor="background1"/>
            </w:tcBorders>
            <w:shd w:val="clear" w:color="auto" w:fill="AF272F" w:themeFill="accent4"/>
          </w:tcPr>
          <w:p w14:paraId="2C813D83" w14:textId="77777777" w:rsidR="000A3A50" w:rsidRPr="005734B8" w:rsidRDefault="000A3A50" w:rsidP="002B6980">
            <w:pPr>
              <w:pStyle w:val="ESTableheadingwhite"/>
              <w:jc w:val="center"/>
              <w:rPr>
                <w:rFonts w:ascii="Calibri" w:hAnsi="Calibri" w:cs="Calibri"/>
                <w:sz w:val="18"/>
              </w:rPr>
            </w:pPr>
            <w:r w:rsidRPr="005734B8">
              <w:rPr>
                <w:rFonts w:ascii="Calibri" w:hAnsi="Calibri" w:cs="Calibri"/>
                <w:sz w:val="18"/>
              </w:rPr>
              <w:t>Source of Contact</w:t>
            </w:r>
          </w:p>
        </w:tc>
      </w:tr>
      <w:tr w:rsidR="000A3A50" w:rsidRPr="005734B8" w14:paraId="278DD505" w14:textId="77777777" w:rsidTr="002B6980">
        <w:trPr>
          <w:cantSplit/>
          <w:trHeight w:val="242"/>
          <w:tblHeader/>
        </w:trPr>
        <w:tc>
          <w:tcPr>
            <w:tcW w:w="2896" w:type="dxa"/>
            <w:vMerge/>
            <w:tcBorders>
              <w:bottom w:val="single" w:sz="4" w:space="0" w:color="FFFFFF" w:themeColor="background1"/>
            </w:tcBorders>
            <w:shd w:val="clear" w:color="auto" w:fill="AF272F" w:themeFill="accent4"/>
          </w:tcPr>
          <w:p w14:paraId="23948554" w14:textId="77777777" w:rsidR="000A3A50" w:rsidRPr="005734B8" w:rsidRDefault="000A3A50" w:rsidP="002B6980">
            <w:pPr>
              <w:pStyle w:val="ESTableheadingwhite"/>
              <w:rPr>
                <w:rFonts w:ascii="Calibri" w:hAnsi="Calibri" w:cs="Calibri"/>
                <w:sz w:val="18"/>
                <w:lang w:val="en-AU"/>
              </w:rPr>
            </w:pPr>
          </w:p>
        </w:tc>
        <w:tc>
          <w:tcPr>
            <w:tcW w:w="1579" w:type="dxa"/>
            <w:tcBorders>
              <w:bottom w:val="single" w:sz="4" w:space="0" w:color="FFFFFF" w:themeColor="background1"/>
            </w:tcBorders>
            <w:shd w:val="clear" w:color="auto" w:fill="AF272F" w:themeFill="accent4"/>
          </w:tcPr>
          <w:p w14:paraId="13CBB392" w14:textId="77777777" w:rsidR="000A3A50" w:rsidRPr="005734B8" w:rsidRDefault="000A3A50" w:rsidP="002B6980">
            <w:pPr>
              <w:pStyle w:val="ESTableheadingwhite"/>
              <w:jc w:val="center"/>
              <w:rPr>
                <w:rFonts w:ascii="Calibri" w:hAnsi="Calibri" w:cs="Calibri"/>
                <w:sz w:val="18"/>
                <w:lang w:val="en-AU"/>
              </w:rPr>
            </w:pPr>
            <w:r w:rsidRPr="005734B8">
              <w:rPr>
                <w:rFonts w:ascii="Calibri" w:hAnsi="Calibri" w:cs="Calibri"/>
                <w:sz w:val="18"/>
              </w:rPr>
              <w:t>Advocate</w:t>
            </w:r>
          </w:p>
        </w:tc>
        <w:tc>
          <w:tcPr>
            <w:tcW w:w="1579" w:type="dxa"/>
            <w:tcBorders>
              <w:bottom w:val="single" w:sz="4" w:space="0" w:color="FFFFFF" w:themeColor="background1"/>
            </w:tcBorders>
            <w:shd w:val="clear" w:color="auto" w:fill="AF272F" w:themeFill="accent4"/>
          </w:tcPr>
          <w:p w14:paraId="08B4A988" w14:textId="77777777" w:rsidR="000A3A50" w:rsidRPr="005734B8" w:rsidRDefault="000A3A50" w:rsidP="002B6980">
            <w:pPr>
              <w:pStyle w:val="ESTableheadingwhite"/>
              <w:jc w:val="center"/>
              <w:rPr>
                <w:rFonts w:ascii="Calibri" w:hAnsi="Calibri" w:cs="Calibri"/>
                <w:sz w:val="18"/>
                <w:lang w:val="en-AU"/>
              </w:rPr>
            </w:pPr>
            <w:r w:rsidRPr="005734B8">
              <w:rPr>
                <w:rFonts w:ascii="Calibri" w:hAnsi="Calibri" w:cs="Calibri"/>
                <w:sz w:val="18"/>
              </w:rPr>
              <w:t>Department</w:t>
            </w:r>
          </w:p>
        </w:tc>
        <w:tc>
          <w:tcPr>
            <w:tcW w:w="1579" w:type="dxa"/>
            <w:tcBorders>
              <w:bottom w:val="single" w:sz="4" w:space="0" w:color="FFFFFF" w:themeColor="background1"/>
            </w:tcBorders>
            <w:shd w:val="clear" w:color="auto" w:fill="AF272F" w:themeFill="accent4"/>
          </w:tcPr>
          <w:p w14:paraId="15D87072" w14:textId="77777777" w:rsidR="000A3A50" w:rsidRPr="005734B8" w:rsidRDefault="000A3A50" w:rsidP="002B6980">
            <w:pPr>
              <w:pStyle w:val="ESTableheadingwhite"/>
              <w:jc w:val="center"/>
              <w:rPr>
                <w:rFonts w:ascii="Calibri" w:hAnsi="Calibri" w:cs="Calibri"/>
                <w:sz w:val="18"/>
              </w:rPr>
            </w:pPr>
            <w:r w:rsidRPr="005734B8">
              <w:rPr>
                <w:rFonts w:ascii="Calibri" w:hAnsi="Calibri" w:cs="Calibri"/>
                <w:sz w:val="18"/>
              </w:rPr>
              <w:t>Region</w:t>
            </w:r>
          </w:p>
        </w:tc>
        <w:tc>
          <w:tcPr>
            <w:tcW w:w="1579" w:type="dxa"/>
            <w:tcBorders>
              <w:bottom w:val="single" w:sz="4" w:space="0" w:color="FFFFFF" w:themeColor="background1"/>
            </w:tcBorders>
            <w:shd w:val="clear" w:color="auto" w:fill="AF272F" w:themeFill="accent4"/>
          </w:tcPr>
          <w:p w14:paraId="2B5E7512" w14:textId="77777777" w:rsidR="000A3A50" w:rsidRPr="005734B8" w:rsidRDefault="000A3A50" w:rsidP="002B6980">
            <w:pPr>
              <w:pStyle w:val="ESTableheadingwhite"/>
              <w:jc w:val="center"/>
              <w:rPr>
                <w:rFonts w:ascii="Calibri" w:hAnsi="Calibri" w:cs="Calibri"/>
                <w:sz w:val="18"/>
              </w:rPr>
            </w:pPr>
            <w:r w:rsidRPr="005734B8">
              <w:rPr>
                <w:rFonts w:ascii="Calibri" w:hAnsi="Calibri" w:cs="Calibri"/>
                <w:sz w:val="18"/>
              </w:rPr>
              <w:t>School</w:t>
            </w:r>
          </w:p>
        </w:tc>
        <w:tc>
          <w:tcPr>
            <w:tcW w:w="1579" w:type="dxa"/>
            <w:tcBorders>
              <w:bottom w:val="single" w:sz="4" w:space="0" w:color="FFFFFF" w:themeColor="background1"/>
            </w:tcBorders>
            <w:shd w:val="clear" w:color="auto" w:fill="AF272F" w:themeFill="accent4"/>
          </w:tcPr>
          <w:p w14:paraId="61BDFB18" w14:textId="77777777" w:rsidR="000A3A50" w:rsidRPr="005734B8" w:rsidRDefault="000A3A50" w:rsidP="002B6980">
            <w:pPr>
              <w:pStyle w:val="ESTableheadingwhite"/>
              <w:jc w:val="center"/>
              <w:rPr>
                <w:rFonts w:ascii="Calibri" w:hAnsi="Calibri" w:cs="Calibri"/>
                <w:sz w:val="18"/>
                <w:lang w:val="en-AU"/>
              </w:rPr>
            </w:pPr>
            <w:r w:rsidRPr="005734B8">
              <w:rPr>
                <w:rFonts w:ascii="Calibri" w:hAnsi="Calibri" w:cs="Calibri"/>
                <w:sz w:val="18"/>
              </w:rPr>
              <w:t>Parent</w:t>
            </w:r>
          </w:p>
        </w:tc>
        <w:tc>
          <w:tcPr>
            <w:tcW w:w="1579" w:type="dxa"/>
            <w:tcBorders>
              <w:bottom w:val="single" w:sz="4" w:space="0" w:color="FFFFFF" w:themeColor="background1"/>
            </w:tcBorders>
            <w:shd w:val="clear" w:color="auto" w:fill="AF272F" w:themeFill="accent4"/>
          </w:tcPr>
          <w:p w14:paraId="5056B377" w14:textId="77777777" w:rsidR="000A3A50" w:rsidRPr="005734B8" w:rsidRDefault="000A3A50" w:rsidP="002B6980">
            <w:pPr>
              <w:pStyle w:val="ESTableheadingwhite"/>
              <w:jc w:val="center"/>
              <w:rPr>
                <w:rFonts w:ascii="Calibri" w:hAnsi="Calibri" w:cs="Calibri"/>
                <w:sz w:val="18"/>
                <w:lang w:val="en-AU"/>
              </w:rPr>
            </w:pPr>
            <w:r w:rsidRPr="005734B8">
              <w:rPr>
                <w:rFonts w:ascii="Calibri" w:hAnsi="Calibri" w:cs="Calibri"/>
                <w:sz w:val="18"/>
              </w:rPr>
              <w:t>Third party</w:t>
            </w:r>
          </w:p>
        </w:tc>
        <w:tc>
          <w:tcPr>
            <w:tcW w:w="1580" w:type="dxa"/>
            <w:tcBorders>
              <w:bottom w:val="single" w:sz="4" w:space="0" w:color="FFFFFF" w:themeColor="background1"/>
            </w:tcBorders>
            <w:shd w:val="clear" w:color="auto" w:fill="AF272F" w:themeFill="accent4"/>
          </w:tcPr>
          <w:p w14:paraId="292FBDB7" w14:textId="77777777" w:rsidR="000A3A50" w:rsidRPr="005734B8" w:rsidRDefault="000A3A50" w:rsidP="002B6980">
            <w:pPr>
              <w:pStyle w:val="ESTableheadingwhite"/>
              <w:jc w:val="center"/>
              <w:rPr>
                <w:rFonts w:ascii="Calibri" w:hAnsi="Calibri" w:cs="Calibri"/>
                <w:sz w:val="18"/>
                <w:lang w:val="en-AU"/>
              </w:rPr>
            </w:pPr>
            <w:r w:rsidRPr="005734B8">
              <w:rPr>
                <w:rFonts w:ascii="Calibri" w:hAnsi="Calibri" w:cs="Calibri"/>
                <w:sz w:val="18"/>
              </w:rPr>
              <w:t>Total</w:t>
            </w:r>
          </w:p>
        </w:tc>
      </w:tr>
      <w:tr w:rsidR="000A3A50" w:rsidRPr="005734B8" w14:paraId="7EBA58A0" w14:textId="77777777" w:rsidTr="002B6980">
        <w:trPr>
          <w:cantSplit/>
          <w:trHeight w:val="480"/>
        </w:trPr>
        <w:tc>
          <w:tcPr>
            <w:tcW w:w="2896" w:type="dxa"/>
            <w:tcBorders>
              <w:top w:val="single" w:sz="4" w:space="0" w:color="53565A" w:themeColor="accent5"/>
              <w:bottom w:val="single" w:sz="4" w:space="0" w:color="53565A" w:themeColor="accent5"/>
            </w:tcBorders>
            <w:shd w:val="clear" w:color="auto" w:fill="F2F2F2" w:themeFill="background1" w:themeFillShade="F2"/>
          </w:tcPr>
          <w:p w14:paraId="0731FBDC" w14:textId="77777777" w:rsidR="000A3A50" w:rsidRPr="005734B8" w:rsidRDefault="000A3A50" w:rsidP="002B6980">
            <w:pPr>
              <w:pStyle w:val="ESTablebody"/>
              <w:rPr>
                <w:rFonts w:ascii="Calibri" w:hAnsi="Calibri" w:cs="Calibri"/>
                <w:sz w:val="18"/>
              </w:rPr>
            </w:pPr>
            <w:r w:rsidRPr="005734B8">
              <w:rPr>
                <w:rFonts w:ascii="Calibri" w:hAnsi="Calibri" w:cs="Calibri"/>
                <w:sz w:val="18"/>
                <w:lang w:val="en-AU"/>
              </w:rPr>
              <w:t>Enquiry</w:t>
            </w:r>
          </w:p>
        </w:tc>
        <w:tc>
          <w:tcPr>
            <w:tcW w:w="1579" w:type="dxa"/>
            <w:tcBorders>
              <w:top w:val="single" w:sz="4" w:space="0" w:color="53565A" w:themeColor="accent5"/>
              <w:bottom w:val="single" w:sz="4" w:space="0" w:color="53565A" w:themeColor="accent5"/>
            </w:tcBorders>
            <w:shd w:val="clear" w:color="auto" w:fill="auto"/>
            <w:vAlign w:val="center"/>
          </w:tcPr>
          <w:p w14:paraId="2397CEA3" w14:textId="77777777" w:rsidR="000A3A50" w:rsidRPr="005734B8" w:rsidRDefault="000A3A50" w:rsidP="002B6980">
            <w:pPr>
              <w:pStyle w:val="ESTablebody"/>
              <w:jc w:val="center"/>
              <w:rPr>
                <w:rFonts w:ascii="Calibri" w:hAnsi="Calibri" w:cs="Calibri"/>
                <w:sz w:val="18"/>
              </w:rPr>
            </w:pPr>
            <w:r w:rsidRPr="005734B8">
              <w:rPr>
                <w:rFonts w:ascii="Calibri" w:hAnsi="Calibri" w:cs="Calibri"/>
                <w:sz w:val="18"/>
              </w:rPr>
              <w:t>3</w:t>
            </w:r>
          </w:p>
        </w:tc>
        <w:tc>
          <w:tcPr>
            <w:tcW w:w="1579" w:type="dxa"/>
            <w:tcBorders>
              <w:top w:val="single" w:sz="4" w:space="0" w:color="53565A" w:themeColor="accent5"/>
              <w:bottom w:val="single" w:sz="4" w:space="0" w:color="53565A" w:themeColor="accent5"/>
            </w:tcBorders>
            <w:vAlign w:val="center"/>
          </w:tcPr>
          <w:p w14:paraId="11DF0109" w14:textId="77777777" w:rsidR="000A3A50" w:rsidRPr="005734B8" w:rsidRDefault="000A3A50" w:rsidP="002B6980">
            <w:pPr>
              <w:pStyle w:val="ESTablebody"/>
              <w:jc w:val="center"/>
              <w:rPr>
                <w:rFonts w:ascii="Calibri" w:hAnsi="Calibri" w:cs="Calibri"/>
                <w:sz w:val="18"/>
              </w:rPr>
            </w:pPr>
            <w:r w:rsidRPr="005734B8">
              <w:rPr>
                <w:rFonts w:ascii="Calibri" w:hAnsi="Calibri" w:cs="Calibri"/>
                <w:sz w:val="18"/>
              </w:rPr>
              <w:t>1</w:t>
            </w:r>
          </w:p>
        </w:tc>
        <w:tc>
          <w:tcPr>
            <w:tcW w:w="1579" w:type="dxa"/>
            <w:tcBorders>
              <w:top w:val="single" w:sz="4" w:space="0" w:color="53565A" w:themeColor="accent5"/>
              <w:bottom w:val="single" w:sz="4" w:space="0" w:color="53565A" w:themeColor="accent5"/>
            </w:tcBorders>
          </w:tcPr>
          <w:p w14:paraId="33376420"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3</w:t>
            </w:r>
          </w:p>
        </w:tc>
        <w:tc>
          <w:tcPr>
            <w:tcW w:w="1579" w:type="dxa"/>
            <w:tcBorders>
              <w:top w:val="single" w:sz="4" w:space="0" w:color="53565A" w:themeColor="accent5"/>
              <w:bottom w:val="single" w:sz="4" w:space="0" w:color="53565A" w:themeColor="accent5"/>
            </w:tcBorders>
          </w:tcPr>
          <w:p w14:paraId="6F08FFC1" w14:textId="0D060A55"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c>
          <w:tcPr>
            <w:tcW w:w="1579" w:type="dxa"/>
            <w:tcBorders>
              <w:top w:val="single" w:sz="4" w:space="0" w:color="53565A" w:themeColor="accent5"/>
              <w:bottom w:val="single" w:sz="4" w:space="0" w:color="53565A" w:themeColor="accent5"/>
            </w:tcBorders>
            <w:vAlign w:val="center"/>
          </w:tcPr>
          <w:p w14:paraId="4748910A"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74</w:t>
            </w:r>
          </w:p>
        </w:tc>
        <w:tc>
          <w:tcPr>
            <w:tcW w:w="1579" w:type="dxa"/>
            <w:tcBorders>
              <w:top w:val="single" w:sz="4" w:space="0" w:color="53565A" w:themeColor="accent5"/>
              <w:bottom w:val="single" w:sz="4" w:space="0" w:color="53565A" w:themeColor="accent5"/>
            </w:tcBorders>
            <w:vAlign w:val="center"/>
          </w:tcPr>
          <w:p w14:paraId="45F10546"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11</w:t>
            </w:r>
          </w:p>
        </w:tc>
        <w:tc>
          <w:tcPr>
            <w:tcW w:w="1580" w:type="dxa"/>
            <w:tcBorders>
              <w:top w:val="single" w:sz="4" w:space="0" w:color="53565A" w:themeColor="accent5"/>
              <w:bottom w:val="single" w:sz="4" w:space="0" w:color="53565A" w:themeColor="accent5"/>
            </w:tcBorders>
            <w:vAlign w:val="center"/>
          </w:tcPr>
          <w:p w14:paraId="4A6423B3"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92</w:t>
            </w:r>
          </w:p>
        </w:tc>
      </w:tr>
      <w:tr w:rsidR="000A3A50" w:rsidRPr="005734B8" w14:paraId="56AD18C3" w14:textId="77777777" w:rsidTr="002B6980">
        <w:trPr>
          <w:cantSplit/>
          <w:trHeight w:val="477"/>
        </w:trPr>
        <w:tc>
          <w:tcPr>
            <w:tcW w:w="2896" w:type="dxa"/>
            <w:tcBorders>
              <w:top w:val="single" w:sz="4" w:space="0" w:color="53565A" w:themeColor="accent5"/>
              <w:bottom w:val="single" w:sz="4" w:space="0" w:color="53565A" w:themeColor="accent5"/>
            </w:tcBorders>
            <w:shd w:val="clear" w:color="auto" w:fill="F2F2F2" w:themeFill="background1" w:themeFillShade="F2"/>
          </w:tcPr>
          <w:p w14:paraId="4DE6E0B8" w14:textId="77777777" w:rsidR="000A3A50" w:rsidRPr="005734B8" w:rsidRDefault="000A3A50" w:rsidP="002B6980">
            <w:pPr>
              <w:pStyle w:val="ESTablebody"/>
              <w:rPr>
                <w:rFonts w:ascii="Calibri" w:hAnsi="Calibri" w:cs="Calibri"/>
                <w:sz w:val="18"/>
              </w:rPr>
            </w:pPr>
            <w:r w:rsidRPr="005734B8">
              <w:rPr>
                <w:rFonts w:ascii="Calibri" w:hAnsi="Calibri" w:cs="Calibri"/>
                <w:sz w:val="18"/>
                <w:lang w:val="en-AU"/>
              </w:rPr>
              <w:t>Refer and monitor</w:t>
            </w:r>
            <w:r w:rsidRPr="005734B8">
              <w:rPr>
                <w:rStyle w:val="FootnoteReference"/>
                <w:rFonts w:ascii="Calibri" w:hAnsi="Calibri" w:cs="Calibri"/>
                <w:sz w:val="18"/>
                <w:lang w:val="en-AU"/>
              </w:rPr>
              <w:footnoteReference w:id="103"/>
            </w:r>
          </w:p>
        </w:tc>
        <w:tc>
          <w:tcPr>
            <w:tcW w:w="1579" w:type="dxa"/>
            <w:tcBorders>
              <w:top w:val="single" w:sz="4" w:space="0" w:color="53565A" w:themeColor="accent5"/>
              <w:bottom w:val="single" w:sz="4" w:space="0" w:color="53565A" w:themeColor="accent5"/>
            </w:tcBorders>
            <w:shd w:val="clear" w:color="auto" w:fill="auto"/>
            <w:vAlign w:val="center"/>
          </w:tcPr>
          <w:p w14:paraId="2D47D095" w14:textId="51B4BB6F" w:rsidR="000A3A50" w:rsidRPr="005734B8" w:rsidRDefault="001075A3" w:rsidP="002B6980">
            <w:pPr>
              <w:pStyle w:val="ESTablebody"/>
              <w:jc w:val="center"/>
              <w:rPr>
                <w:rFonts w:ascii="Calibri" w:hAnsi="Calibri" w:cs="Calibri"/>
                <w:sz w:val="18"/>
              </w:rPr>
            </w:pPr>
            <w:r w:rsidRPr="005734B8">
              <w:rPr>
                <w:rFonts w:ascii="Calibri" w:hAnsi="Calibri" w:cs="Calibri"/>
                <w:sz w:val="18"/>
              </w:rPr>
              <w:t>–</w:t>
            </w:r>
          </w:p>
        </w:tc>
        <w:tc>
          <w:tcPr>
            <w:tcW w:w="1579" w:type="dxa"/>
            <w:tcBorders>
              <w:top w:val="single" w:sz="4" w:space="0" w:color="53565A" w:themeColor="accent5"/>
              <w:bottom w:val="single" w:sz="4" w:space="0" w:color="53565A" w:themeColor="accent5"/>
            </w:tcBorders>
            <w:vAlign w:val="center"/>
          </w:tcPr>
          <w:p w14:paraId="3719A086" w14:textId="7B332CB5" w:rsidR="000A3A50" w:rsidRPr="005734B8" w:rsidRDefault="001075A3" w:rsidP="002B6980">
            <w:pPr>
              <w:pStyle w:val="ESTablebody"/>
              <w:jc w:val="center"/>
              <w:rPr>
                <w:rFonts w:ascii="Calibri" w:hAnsi="Calibri" w:cs="Calibri"/>
                <w:sz w:val="18"/>
              </w:rPr>
            </w:pPr>
            <w:r w:rsidRPr="005734B8">
              <w:rPr>
                <w:rFonts w:ascii="Calibri" w:hAnsi="Calibri" w:cs="Calibri"/>
                <w:sz w:val="18"/>
              </w:rPr>
              <w:t>–</w:t>
            </w:r>
          </w:p>
        </w:tc>
        <w:tc>
          <w:tcPr>
            <w:tcW w:w="1579" w:type="dxa"/>
            <w:tcBorders>
              <w:top w:val="single" w:sz="4" w:space="0" w:color="53565A" w:themeColor="accent5"/>
              <w:bottom w:val="single" w:sz="4" w:space="0" w:color="53565A" w:themeColor="accent5"/>
            </w:tcBorders>
          </w:tcPr>
          <w:p w14:paraId="6D2FF797"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1</w:t>
            </w:r>
          </w:p>
        </w:tc>
        <w:tc>
          <w:tcPr>
            <w:tcW w:w="1579" w:type="dxa"/>
            <w:tcBorders>
              <w:top w:val="single" w:sz="4" w:space="0" w:color="53565A" w:themeColor="accent5"/>
              <w:bottom w:val="single" w:sz="4" w:space="0" w:color="53565A" w:themeColor="accent5"/>
            </w:tcBorders>
          </w:tcPr>
          <w:p w14:paraId="643A3D8F" w14:textId="5E71463B"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c>
          <w:tcPr>
            <w:tcW w:w="1579" w:type="dxa"/>
            <w:tcBorders>
              <w:top w:val="single" w:sz="4" w:space="0" w:color="53565A" w:themeColor="accent5"/>
              <w:bottom w:val="single" w:sz="4" w:space="0" w:color="53565A" w:themeColor="accent5"/>
            </w:tcBorders>
            <w:vAlign w:val="center"/>
          </w:tcPr>
          <w:p w14:paraId="295891C2"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14</w:t>
            </w:r>
          </w:p>
        </w:tc>
        <w:tc>
          <w:tcPr>
            <w:tcW w:w="1579" w:type="dxa"/>
            <w:tcBorders>
              <w:top w:val="single" w:sz="4" w:space="0" w:color="53565A" w:themeColor="accent5"/>
              <w:bottom w:val="single" w:sz="4" w:space="0" w:color="53565A" w:themeColor="accent5"/>
            </w:tcBorders>
            <w:vAlign w:val="center"/>
          </w:tcPr>
          <w:p w14:paraId="45DC8E27"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1</w:t>
            </w:r>
          </w:p>
        </w:tc>
        <w:tc>
          <w:tcPr>
            <w:tcW w:w="1580" w:type="dxa"/>
            <w:tcBorders>
              <w:top w:val="single" w:sz="4" w:space="0" w:color="53565A" w:themeColor="accent5"/>
              <w:bottom w:val="single" w:sz="4" w:space="0" w:color="53565A" w:themeColor="accent5"/>
            </w:tcBorders>
            <w:vAlign w:val="center"/>
          </w:tcPr>
          <w:p w14:paraId="39463D5E"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16</w:t>
            </w:r>
          </w:p>
        </w:tc>
      </w:tr>
      <w:tr w:rsidR="000A3A50" w:rsidRPr="005734B8" w14:paraId="49EB9DB1" w14:textId="77777777" w:rsidTr="009509FB">
        <w:trPr>
          <w:cantSplit/>
          <w:trHeight w:val="477"/>
        </w:trPr>
        <w:tc>
          <w:tcPr>
            <w:tcW w:w="2896" w:type="dxa"/>
            <w:tcBorders>
              <w:top w:val="single" w:sz="4" w:space="0" w:color="53565A" w:themeColor="accent5"/>
              <w:bottom w:val="single" w:sz="4" w:space="0" w:color="53565A" w:themeColor="accent5"/>
            </w:tcBorders>
            <w:shd w:val="clear" w:color="auto" w:fill="F2F2F2" w:themeFill="background1" w:themeFillShade="F2"/>
          </w:tcPr>
          <w:p w14:paraId="499BD3F8" w14:textId="77777777" w:rsidR="000A3A50" w:rsidRPr="005734B8" w:rsidRDefault="000A3A50" w:rsidP="002B6980">
            <w:pPr>
              <w:pStyle w:val="ESTablebody"/>
              <w:rPr>
                <w:rFonts w:ascii="Calibri" w:hAnsi="Calibri" w:cs="Calibri"/>
                <w:sz w:val="18"/>
              </w:rPr>
            </w:pPr>
            <w:r w:rsidRPr="005734B8">
              <w:rPr>
                <w:rFonts w:ascii="Calibri" w:hAnsi="Calibri" w:cs="Calibri"/>
                <w:sz w:val="18"/>
                <w:lang w:val="en-AU"/>
              </w:rPr>
              <w:t>Complaint</w:t>
            </w:r>
          </w:p>
        </w:tc>
        <w:tc>
          <w:tcPr>
            <w:tcW w:w="1579" w:type="dxa"/>
            <w:tcBorders>
              <w:top w:val="single" w:sz="4" w:space="0" w:color="53565A" w:themeColor="accent5"/>
              <w:bottom w:val="single" w:sz="4" w:space="0" w:color="53565A" w:themeColor="accent5"/>
            </w:tcBorders>
            <w:shd w:val="clear" w:color="auto" w:fill="auto"/>
          </w:tcPr>
          <w:p w14:paraId="7A1FB6D8" w14:textId="356F4E21" w:rsidR="000A3A50" w:rsidRPr="005734B8" w:rsidRDefault="001075A3" w:rsidP="002B6980">
            <w:pPr>
              <w:pStyle w:val="ESTablebody"/>
              <w:jc w:val="center"/>
              <w:rPr>
                <w:rFonts w:ascii="Calibri" w:hAnsi="Calibri" w:cs="Calibri"/>
                <w:sz w:val="18"/>
              </w:rPr>
            </w:pPr>
            <w:r w:rsidRPr="005734B8">
              <w:rPr>
                <w:rFonts w:ascii="Calibri" w:hAnsi="Calibri" w:cs="Calibri"/>
                <w:sz w:val="18"/>
              </w:rPr>
              <w:t>–</w:t>
            </w:r>
          </w:p>
        </w:tc>
        <w:tc>
          <w:tcPr>
            <w:tcW w:w="1579" w:type="dxa"/>
            <w:tcBorders>
              <w:top w:val="single" w:sz="4" w:space="0" w:color="53565A" w:themeColor="accent5"/>
              <w:bottom w:val="single" w:sz="4" w:space="0" w:color="53565A" w:themeColor="accent5"/>
            </w:tcBorders>
            <w:vAlign w:val="center"/>
          </w:tcPr>
          <w:p w14:paraId="2DB66FEF" w14:textId="77777777" w:rsidR="000A3A50" w:rsidRPr="005734B8" w:rsidRDefault="000A3A50" w:rsidP="002B6980">
            <w:pPr>
              <w:pStyle w:val="ESTablebody"/>
              <w:jc w:val="center"/>
              <w:rPr>
                <w:rFonts w:ascii="Calibri" w:hAnsi="Calibri" w:cs="Calibri"/>
                <w:sz w:val="18"/>
              </w:rPr>
            </w:pPr>
            <w:r w:rsidRPr="005734B8">
              <w:rPr>
                <w:rFonts w:ascii="Calibri" w:hAnsi="Calibri" w:cs="Calibri"/>
                <w:sz w:val="18"/>
              </w:rPr>
              <w:t>5</w:t>
            </w:r>
          </w:p>
        </w:tc>
        <w:tc>
          <w:tcPr>
            <w:tcW w:w="1579" w:type="dxa"/>
            <w:tcBorders>
              <w:top w:val="single" w:sz="4" w:space="0" w:color="53565A" w:themeColor="accent5"/>
              <w:bottom w:val="single" w:sz="4" w:space="0" w:color="53565A" w:themeColor="accent5"/>
            </w:tcBorders>
          </w:tcPr>
          <w:p w14:paraId="4AF0FA37"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4</w:t>
            </w:r>
          </w:p>
        </w:tc>
        <w:tc>
          <w:tcPr>
            <w:tcW w:w="1579" w:type="dxa"/>
            <w:tcBorders>
              <w:top w:val="single" w:sz="4" w:space="0" w:color="53565A" w:themeColor="accent5"/>
              <w:bottom w:val="single" w:sz="4" w:space="0" w:color="53565A" w:themeColor="accent5"/>
            </w:tcBorders>
          </w:tcPr>
          <w:p w14:paraId="19BBFA62" w14:textId="2D1E839E"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c>
          <w:tcPr>
            <w:tcW w:w="1579" w:type="dxa"/>
            <w:tcBorders>
              <w:top w:val="single" w:sz="4" w:space="0" w:color="53565A" w:themeColor="accent5"/>
              <w:bottom w:val="single" w:sz="4" w:space="0" w:color="53565A" w:themeColor="accent5"/>
            </w:tcBorders>
            <w:vAlign w:val="center"/>
          </w:tcPr>
          <w:p w14:paraId="5B813261"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3</w:t>
            </w:r>
          </w:p>
        </w:tc>
        <w:tc>
          <w:tcPr>
            <w:tcW w:w="1579" w:type="dxa"/>
            <w:tcBorders>
              <w:top w:val="single" w:sz="4" w:space="0" w:color="53565A" w:themeColor="accent5"/>
              <w:bottom w:val="single" w:sz="4" w:space="0" w:color="53565A" w:themeColor="accent5"/>
            </w:tcBorders>
            <w:vAlign w:val="center"/>
          </w:tcPr>
          <w:p w14:paraId="06769699"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2</w:t>
            </w:r>
          </w:p>
        </w:tc>
        <w:tc>
          <w:tcPr>
            <w:tcW w:w="1580" w:type="dxa"/>
            <w:tcBorders>
              <w:top w:val="single" w:sz="4" w:space="0" w:color="53565A" w:themeColor="accent5"/>
              <w:bottom w:val="single" w:sz="4" w:space="0" w:color="53565A" w:themeColor="accent5"/>
            </w:tcBorders>
            <w:vAlign w:val="center"/>
          </w:tcPr>
          <w:p w14:paraId="0E7C1984"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14</w:t>
            </w:r>
          </w:p>
        </w:tc>
      </w:tr>
      <w:tr w:rsidR="000A3A50" w:rsidRPr="005734B8" w14:paraId="32A74DC0" w14:textId="77777777" w:rsidTr="009509FB">
        <w:trPr>
          <w:cantSplit/>
          <w:trHeight w:val="477"/>
        </w:trPr>
        <w:tc>
          <w:tcPr>
            <w:tcW w:w="2896" w:type="dxa"/>
            <w:tcBorders>
              <w:top w:val="single" w:sz="4" w:space="0" w:color="53565A" w:themeColor="accent5"/>
              <w:bottom w:val="single" w:sz="4" w:space="0" w:color="53565A" w:themeColor="accent5"/>
            </w:tcBorders>
            <w:shd w:val="clear" w:color="auto" w:fill="F2F2F2" w:themeFill="background1" w:themeFillShade="F2"/>
          </w:tcPr>
          <w:p w14:paraId="6F0D66BD" w14:textId="77777777" w:rsidR="000A3A50" w:rsidRPr="005734B8" w:rsidRDefault="000A3A50" w:rsidP="002B6980">
            <w:pPr>
              <w:pStyle w:val="ESTablebody"/>
              <w:rPr>
                <w:rFonts w:ascii="Calibri" w:hAnsi="Calibri" w:cs="Calibri"/>
                <w:sz w:val="18"/>
                <w:lang w:val="en-AU"/>
              </w:rPr>
            </w:pPr>
            <w:r w:rsidRPr="005734B8">
              <w:rPr>
                <w:rFonts w:ascii="Calibri" w:hAnsi="Calibri" w:cs="Calibri"/>
                <w:sz w:val="18"/>
                <w:lang w:val="en-AU"/>
              </w:rPr>
              <w:t>Capability building</w:t>
            </w:r>
            <w:r w:rsidRPr="005734B8">
              <w:rPr>
                <w:rStyle w:val="FootnoteReference"/>
                <w:rFonts w:ascii="Calibri" w:hAnsi="Calibri" w:cs="Calibri"/>
                <w:sz w:val="18"/>
                <w:lang w:val="en-AU"/>
              </w:rPr>
              <w:footnoteReference w:id="104"/>
            </w:r>
          </w:p>
        </w:tc>
        <w:tc>
          <w:tcPr>
            <w:tcW w:w="1579" w:type="dxa"/>
            <w:tcBorders>
              <w:top w:val="single" w:sz="4" w:space="0" w:color="53565A" w:themeColor="accent5"/>
              <w:bottom w:val="single" w:sz="4" w:space="0" w:color="53565A" w:themeColor="accent5"/>
            </w:tcBorders>
            <w:shd w:val="clear" w:color="auto" w:fill="auto"/>
          </w:tcPr>
          <w:p w14:paraId="702B5FE3" w14:textId="691B6409"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c>
          <w:tcPr>
            <w:tcW w:w="1579" w:type="dxa"/>
            <w:tcBorders>
              <w:top w:val="single" w:sz="4" w:space="0" w:color="53565A" w:themeColor="accent5"/>
              <w:bottom w:val="single" w:sz="4" w:space="0" w:color="53565A" w:themeColor="accent5"/>
            </w:tcBorders>
            <w:vAlign w:val="center"/>
          </w:tcPr>
          <w:p w14:paraId="4B0A71CA" w14:textId="77777777" w:rsidR="000A3A50" w:rsidRPr="005734B8" w:rsidRDefault="000A3A50" w:rsidP="002B6980">
            <w:pPr>
              <w:pStyle w:val="ESTablebody"/>
              <w:jc w:val="center"/>
              <w:rPr>
                <w:rFonts w:ascii="Calibri" w:hAnsi="Calibri" w:cs="Calibri"/>
                <w:sz w:val="18"/>
              </w:rPr>
            </w:pPr>
            <w:r w:rsidRPr="005734B8">
              <w:rPr>
                <w:rFonts w:ascii="Calibri" w:hAnsi="Calibri" w:cs="Calibri"/>
                <w:sz w:val="18"/>
              </w:rPr>
              <w:t>12</w:t>
            </w:r>
          </w:p>
        </w:tc>
        <w:tc>
          <w:tcPr>
            <w:tcW w:w="1579" w:type="dxa"/>
            <w:tcBorders>
              <w:top w:val="single" w:sz="4" w:space="0" w:color="53565A" w:themeColor="accent5"/>
              <w:bottom w:val="single" w:sz="4" w:space="0" w:color="53565A" w:themeColor="accent5"/>
            </w:tcBorders>
          </w:tcPr>
          <w:p w14:paraId="6ABC22A1"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12</w:t>
            </w:r>
          </w:p>
        </w:tc>
        <w:tc>
          <w:tcPr>
            <w:tcW w:w="1579" w:type="dxa"/>
            <w:tcBorders>
              <w:top w:val="single" w:sz="4" w:space="0" w:color="53565A" w:themeColor="accent5"/>
              <w:bottom w:val="single" w:sz="4" w:space="0" w:color="53565A" w:themeColor="accent5"/>
            </w:tcBorders>
          </w:tcPr>
          <w:p w14:paraId="4E8968EF"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4</w:t>
            </w:r>
          </w:p>
        </w:tc>
        <w:tc>
          <w:tcPr>
            <w:tcW w:w="1579" w:type="dxa"/>
            <w:tcBorders>
              <w:top w:val="single" w:sz="4" w:space="0" w:color="53565A" w:themeColor="accent5"/>
              <w:bottom w:val="single" w:sz="4" w:space="0" w:color="53565A" w:themeColor="accent5"/>
            </w:tcBorders>
            <w:vAlign w:val="center"/>
          </w:tcPr>
          <w:p w14:paraId="088B68A0"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0</w:t>
            </w:r>
          </w:p>
        </w:tc>
        <w:tc>
          <w:tcPr>
            <w:tcW w:w="1579" w:type="dxa"/>
            <w:tcBorders>
              <w:top w:val="single" w:sz="4" w:space="0" w:color="53565A" w:themeColor="accent5"/>
              <w:bottom w:val="single" w:sz="4" w:space="0" w:color="53565A" w:themeColor="accent5"/>
            </w:tcBorders>
            <w:vAlign w:val="center"/>
          </w:tcPr>
          <w:p w14:paraId="673986C2"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6</w:t>
            </w:r>
          </w:p>
        </w:tc>
        <w:tc>
          <w:tcPr>
            <w:tcW w:w="1580" w:type="dxa"/>
            <w:tcBorders>
              <w:top w:val="single" w:sz="4" w:space="0" w:color="53565A" w:themeColor="accent5"/>
              <w:bottom w:val="single" w:sz="4" w:space="0" w:color="53565A" w:themeColor="accent5"/>
            </w:tcBorders>
            <w:vAlign w:val="center"/>
          </w:tcPr>
          <w:p w14:paraId="24F3A901"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34</w:t>
            </w:r>
          </w:p>
        </w:tc>
      </w:tr>
      <w:tr w:rsidR="000A3A50" w:rsidRPr="005734B8" w14:paraId="57B24D00" w14:textId="77777777" w:rsidTr="009509FB">
        <w:trPr>
          <w:cantSplit/>
          <w:trHeight w:val="477"/>
        </w:trPr>
        <w:tc>
          <w:tcPr>
            <w:tcW w:w="2896" w:type="dxa"/>
            <w:tcBorders>
              <w:top w:val="single" w:sz="4" w:space="0" w:color="53565A" w:themeColor="accent5"/>
              <w:bottom w:val="single" w:sz="4" w:space="0" w:color="53565A" w:themeColor="accent5"/>
            </w:tcBorders>
            <w:shd w:val="clear" w:color="auto" w:fill="F2F2F2" w:themeFill="background1" w:themeFillShade="F2"/>
          </w:tcPr>
          <w:p w14:paraId="575E960A" w14:textId="77777777" w:rsidR="000A3A50" w:rsidRPr="005734B8" w:rsidRDefault="000A3A50" w:rsidP="002B6980">
            <w:pPr>
              <w:pStyle w:val="ESTablebody"/>
              <w:rPr>
                <w:rFonts w:ascii="Calibri" w:hAnsi="Calibri" w:cs="Calibri"/>
                <w:sz w:val="18"/>
                <w:lang w:val="en-AU"/>
              </w:rPr>
            </w:pPr>
            <w:r w:rsidRPr="005734B8">
              <w:rPr>
                <w:rFonts w:ascii="Calibri" w:hAnsi="Calibri" w:cs="Calibri"/>
                <w:sz w:val="18"/>
                <w:lang w:val="en-AU"/>
              </w:rPr>
              <w:t>Conflict coaching</w:t>
            </w:r>
          </w:p>
        </w:tc>
        <w:tc>
          <w:tcPr>
            <w:tcW w:w="1579" w:type="dxa"/>
            <w:tcBorders>
              <w:top w:val="single" w:sz="4" w:space="0" w:color="53565A" w:themeColor="accent5"/>
              <w:bottom w:val="single" w:sz="4" w:space="0" w:color="53565A" w:themeColor="accent5"/>
            </w:tcBorders>
            <w:shd w:val="clear" w:color="auto" w:fill="auto"/>
          </w:tcPr>
          <w:p w14:paraId="62AEEEEC" w14:textId="6BD26D46"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c>
          <w:tcPr>
            <w:tcW w:w="1579" w:type="dxa"/>
            <w:tcBorders>
              <w:top w:val="single" w:sz="4" w:space="0" w:color="53565A" w:themeColor="accent5"/>
              <w:bottom w:val="single" w:sz="4" w:space="0" w:color="53565A" w:themeColor="accent5"/>
            </w:tcBorders>
            <w:vAlign w:val="center"/>
          </w:tcPr>
          <w:p w14:paraId="6C10C626" w14:textId="77777777" w:rsidR="000A3A50" w:rsidRPr="005734B8" w:rsidRDefault="000A3A50" w:rsidP="002B6980">
            <w:pPr>
              <w:pStyle w:val="ESTablebody"/>
              <w:jc w:val="center"/>
              <w:rPr>
                <w:rFonts w:ascii="Calibri" w:hAnsi="Calibri" w:cs="Calibri"/>
                <w:sz w:val="18"/>
              </w:rPr>
            </w:pPr>
            <w:r w:rsidRPr="005734B8">
              <w:rPr>
                <w:rFonts w:ascii="Calibri" w:hAnsi="Calibri" w:cs="Calibri"/>
                <w:sz w:val="18"/>
              </w:rPr>
              <w:t>6</w:t>
            </w:r>
          </w:p>
        </w:tc>
        <w:tc>
          <w:tcPr>
            <w:tcW w:w="1579" w:type="dxa"/>
            <w:tcBorders>
              <w:top w:val="single" w:sz="4" w:space="0" w:color="53565A" w:themeColor="accent5"/>
              <w:bottom w:val="single" w:sz="4" w:space="0" w:color="53565A" w:themeColor="accent5"/>
            </w:tcBorders>
          </w:tcPr>
          <w:p w14:paraId="5A8E87A7"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4</w:t>
            </w:r>
          </w:p>
        </w:tc>
        <w:tc>
          <w:tcPr>
            <w:tcW w:w="1579" w:type="dxa"/>
            <w:tcBorders>
              <w:top w:val="single" w:sz="4" w:space="0" w:color="53565A" w:themeColor="accent5"/>
              <w:bottom w:val="single" w:sz="4" w:space="0" w:color="53565A" w:themeColor="accent5"/>
            </w:tcBorders>
          </w:tcPr>
          <w:p w14:paraId="28F70895"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6</w:t>
            </w:r>
          </w:p>
        </w:tc>
        <w:tc>
          <w:tcPr>
            <w:tcW w:w="1579" w:type="dxa"/>
            <w:tcBorders>
              <w:top w:val="single" w:sz="4" w:space="0" w:color="53565A" w:themeColor="accent5"/>
              <w:bottom w:val="single" w:sz="4" w:space="0" w:color="53565A" w:themeColor="accent5"/>
            </w:tcBorders>
            <w:vAlign w:val="center"/>
          </w:tcPr>
          <w:p w14:paraId="2810F9B9"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1</w:t>
            </w:r>
          </w:p>
        </w:tc>
        <w:tc>
          <w:tcPr>
            <w:tcW w:w="1579" w:type="dxa"/>
            <w:tcBorders>
              <w:top w:val="single" w:sz="4" w:space="0" w:color="53565A" w:themeColor="accent5"/>
              <w:bottom w:val="single" w:sz="4" w:space="0" w:color="53565A" w:themeColor="accent5"/>
            </w:tcBorders>
            <w:vAlign w:val="center"/>
          </w:tcPr>
          <w:p w14:paraId="2E48ED86"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1</w:t>
            </w:r>
          </w:p>
        </w:tc>
        <w:tc>
          <w:tcPr>
            <w:tcW w:w="1580" w:type="dxa"/>
            <w:tcBorders>
              <w:top w:val="single" w:sz="4" w:space="0" w:color="53565A" w:themeColor="accent5"/>
              <w:bottom w:val="single" w:sz="4" w:space="0" w:color="53565A" w:themeColor="accent5"/>
            </w:tcBorders>
            <w:vAlign w:val="center"/>
          </w:tcPr>
          <w:p w14:paraId="3ECCF3D0"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18</w:t>
            </w:r>
          </w:p>
        </w:tc>
      </w:tr>
      <w:tr w:rsidR="000A3A50" w:rsidRPr="005734B8" w14:paraId="7C2AEEEC" w14:textId="77777777" w:rsidTr="00AE2830">
        <w:trPr>
          <w:cantSplit/>
          <w:trHeight w:val="477"/>
        </w:trPr>
        <w:tc>
          <w:tcPr>
            <w:tcW w:w="2896" w:type="dxa"/>
            <w:tcBorders>
              <w:top w:val="single" w:sz="4" w:space="0" w:color="53565A" w:themeColor="accent5"/>
              <w:bottom w:val="single" w:sz="4" w:space="0" w:color="53565A" w:themeColor="accent5"/>
            </w:tcBorders>
            <w:shd w:val="clear" w:color="auto" w:fill="F2F2F2" w:themeFill="background1" w:themeFillShade="F2"/>
          </w:tcPr>
          <w:p w14:paraId="6E40DC0D" w14:textId="77777777" w:rsidR="000A3A50" w:rsidRPr="005734B8" w:rsidRDefault="000A3A50" w:rsidP="002B6980">
            <w:pPr>
              <w:pStyle w:val="ESTablebody"/>
              <w:rPr>
                <w:rFonts w:ascii="Calibri" w:hAnsi="Calibri" w:cs="Calibri"/>
                <w:sz w:val="18"/>
                <w:lang w:val="en-AU"/>
              </w:rPr>
            </w:pPr>
            <w:r w:rsidRPr="005734B8">
              <w:rPr>
                <w:rFonts w:ascii="Calibri" w:hAnsi="Calibri" w:cs="Calibri"/>
                <w:sz w:val="18"/>
                <w:lang w:val="en-AU"/>
              </w:rPr>
              <w:t>Community awareness</w:t>
            </w:r>
          </w:p>
        </w:tc>
        <w:tc>
          <w:tcPr>
            <w:tcW w:w="1579" w:type="dxa"/>
            <w:tcBorders>
              <w:top w:val="single" w:sz="4" w:space="0" w:color="53565A" w:themeColor="accent5"/>
              <w:bottom w:val="single" w:sz="4" w:space="0" w:color="53565A" w:themeColor="accent5"/>
            </w:tcBorders>
            <w:shd w:val="clear" w:color="auto" w:fill="auto"/>
          </w:tcPr>
          <w:p w14:paraId="4946E3DF" w14:textId="423195F3"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c>
          <w:tcPr>
            <w:tcW w:w="1579" w:type="dxa"/>
            <w:tcBorders>
              <w:top w:val="single" w:sz="4" w:space="0" w:color="53565A" w:themeColor="accent5"/>
              <w:bottom w:val="single" w:sz="4" w:space="0" w:color="53565A" w:themeColor="accent5"/>
            </w:tcBorders>
          </w:tcPr>
          <w:p w14:paraId="3FA0B34F" w14:textId="12FE108E" w:rsidR="000A3A50" w:rsidRPr="005734B8" w:rsidRDefault="001075A3" w:rsidP="002B6980">
            <w:pPr>
              <w:pStyle w:val="ESTablebody"/>
              <w:jc w:val="center"/>
              <w:rPr>
                <w:rFonts w:ascii="Calibri" w:hAnsi="Calibri" w:cs="Calibri"/>
                <w:sz w:val="18"/>
              </w:rPr>
            </w:pPr>
            <w:r w:rsidRPr="005734B8">
              <w:rPr>
                <w:rFonts w:ascii="Calibri" w:hAnsi="Calibri" w:cs="Calibri"/>
                <w:sz w:val="18"/>
              </w:rPr>
              <w:t>–</w:t>
            </w:r>
          </w:p>
        </w:tc>
        <w:tc>
          <w:tcPr>
            <w:tcW w:w="1579" w:type="dxa"/>
            <w:tcBorders>
              <w:top w:val="single" w:sz="4" w:space="0" w:color="53565A" w:themeColor="accent5"/>
              <w:bottom w:val="single" w:sz="4" w:space="0" w:color="53565A" w:themeColor="accent5"/>
            </w:tcBorders>
          </w:tcPr>
          <w:p w14:paraId="130BBA9D" w14:textId="6CD17809"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c>
          <w:tcPr>
            <w:tcW w:w="1579" w:type="dxa"/>
            <w:tcBorders>
              <w:top w:val="single" w:sz="4" w:space="0" w:color="53565A" w:themeColor="accent5"/>
              <w:bottom w:val="single" w:sz="4" w:space="0" w:color="53565A" w:themeColor="accent5"/>
            </w:tcBorders>
          </w:tcPr>
          <w:p w14:paraId="4402D581" w14:textId="2A72F08E"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c>
          <w:tcPr>
            <w:tcW w:w="1579" w:type="dxa"/>
            <w:tcBorders>
              <w:top w:val="single" w:sz="4" w:space="0" w:color="53565A" w:themeColor="accent5"/>
              <w:bottom w:val="single" w:sz="4" w:space="0" w:color="53565A" w:themeColor="accent5"/>
            </w:tcBorders>
          </w:tcPr>
          <w:p w14:paraId="3BC57FBE" w14:textId="465BF9D5"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c>
          <w:tcPr>
            <w:tcW w:w="1579" w:type="dxa"/>
            <w:tcBorders>
              <w:top w:val="single" w:sz="4" w:space="0" w:color="53565A" w:themeColor="accent5"/>
              <w:bottom w:val="single" w:sz="4" w:space="0" w:color="53565A" w:themeColor="accent5"/>
            </w:tcBorders>
          </w:tcPr>
          <w:p w14:paraId="22C2799C" w14:textId="09608204"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c>
          <w:tcPr>
            <w:tcW w:w="1580" w:type="dxa"/>
            <w:tcBorders>
              <w:top w:val="single" w:sz="4" w:space="0" w:color="53565A" w:themeColor="accent5"/>
              <w:bottom w:val="single" w:sz="4" w:space="0" w:color="53565A" w:themeColor="accent5"/>
            </w:tcBorders>
          </w:tcPr>
          <w:p w14:paraId="19C02A7E" w14:textId="00A325F1"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r>
      <w:tr w:rsidR="000A3A50" w:rsidRPr="005734B8" w14:paraId="18D3B4D1" w14:textId="77777777" w:rsidTr="002B6980">
        <w:trPr>
          <w:cantSplit/>
          <w:trHeight w:val="477"/>
        </w:trPr>
        <w:tc>
          <w:tcPr>
            <w:tcW w:w="2896" w:type="dxa"/>
            <w:tcBorders>
              <w:top w:val="single" w:sz="4" w:space="0" w:color="53565A" w:themeColor="accent5"/>
              <w:bottom w:val="single" w:sz="4" w:space="0" w:color="53565A" w:themeColor="accent5"/>
            </w:tcBorders>
            <w:shd w:val="clear" w:color="auto" w:fill="F2F2F2" w:themeFill="background1" w:themeFillShade="F2"/>
            <w:vAlign w:val="center"/>
          </w:tcPr>
          <w:p w14:paraId="161CDB0F" w14:textId="77777777" w:rsidR="000A3A50" w:rsidRPr="005734B8" w:rsidRDefault="000A3A50" w:rsidP="002B6980">
            <w:pPr>
              <w:pStyle w:val="ESTablebody"/>
              <w:rPr>
                <w:rFonts w:ascii="Calibri" w:hAnsi="Calibri" w:cs="Calibri"/>
                <w:sz w:val="18"/>
                <w:lang w:val="en-AU"/>
              </w:rPr>
            </w:pPr>
            <w:r w:rsidRPr="005734B8">
              <w:rPr>
                <w:rFonts w:ascii="Calibri" w:hAnsi="Calibri" w:cs="Calibri"/>
                <w:b/>
                <w:sz w:val="18"/>
                <w:lang w:val="en-AU"/>
              </w:rPr>
              <w:t>Total</w:t>
            </w:r>
          </w:p>
        </w:tc>
        <w:tc>
          <w:tcPr>
            <w:tcW w:w="1579" w:type="dxa"/>
            <w:tcBorders>
              <w:top w:val="single" w:sz="4" w:space="0" w:color="53565A" w:themeColor="accent5"/>
              <w:bottom w:val="single" w:sz="4" w:space="0" w:color="53565A" w:themeColor="accent5"/>
            </w:tcBorders>
            <w:shd w:val="clear" w:color="auto" w:fill="auto"/>
            <w:vAlign w:val="center"/>
          </w:tcPr>
          <w:p w14:paraId="6C0C83B9" w14:textId="77777777" w:rsidR="000A3A50" w:rsidRPr="005734B8" w:rsidRDefault="000A3A50" w:rsidP="002B6980">
            <w:pPr>
              <w:pStyle w:val="ESTablebody"/>
              <w:jc w:val="center"/>
              <w:rPr>
                <w:rFonts w:ascii="Calibri" w:hAnsi="Calibri" w:cs="Calibri"/>
                <w:b/>
                <w:sz w:val="18"/>
                <w:lang w:val="en-AU"/>
              </w:rPr>
            </w:pPr>
            <w:r w:rsidRPr="005734B8">
              <w:rPr>
                <w:rFonts w:ascii="Calibri" w:hAnsi="Calibri" w:cs="Calibri"/>
                <w:b/>
                <w:sz w:val="18"/>
                <w:lang w:val="en-AU"/>
              </w:rPr>
              <w:t>3</w:t>
            </w:r>
          </w:p>
        </w:tc>
        <w:tc>
          <w:tcPr>
            <w:tcW w:w="1579" w:type="dxa"/>
            <w:tcBorders>
              <w:top w:val="single" w:sz="4" w:space="0" w:color="53565A" w:themeColor="accent5"/>
              <w:bottom w:val="single" w:sz="4" w:space="0" w:color="53565A" w:themeColor="accent5"/>
            </w:tcBorders>
            <w:vAlign w:val="center"/>
          </w:tcPr>
          <w:p w14:paraId="37262FAB" w14:textId="77777777" w:rsidR="000A3A50" w:rsidRPr="005734B8" w:rsidRDefault="000A3A50" w:rsidP="002B6980">
            <w:pPr>
              <w:pStyle w:val="ESTablebody"/>
              <w:jc w:val="center"/>
              <w:rPr>
                <w:rFonts w:ascii="Calibri" w:hAnsi="Calibri" w:cs="Calibri"/>
                <w:b/>
                <w:sz w:val="18"/>
              </w:rPr>
            </w:pPr>
            <w:r w:rsidRPr="005734B8">
              <w:rPr>
                <w:rFonts w:ascii="Calibri" w:hAnsi="Calibri" w:cs="Calibri"/>
                <w:b/>
                <w:sz w:val="18"/>
              </w:rPr>
              <w:t>24</w:t>
            </w:r>
          </w:p>
        </w:tc>
        <w:tc>
          <w:tcPr>
            <w:tcW w:w="1579" w:type="dxa"/>
            <w:tcBorders>
              <w:top w:val="single" w:sz="4" w:space="0" w:color="53565A" w:themeColor="accent5"/>
              <w:bottom w:val="single" w:sz="4" w:space="0" w:color="53565A" w:themeColor="accent5"/>
            </w:tcBorders>
          </w:tcPr>
          <w:p w14:paraId="4EFF767B" w14:textId="77777777" w:rsidR="000A3A50" w:rsidRPr="005734B8" w:rsidRDefault="000A3A50" w:rsidP="002B6980">
            <w:pPr>
              <w:pStyle w:val="ESTablebody"/>
              <w:jc w:val="center"/>
              <w:rPr>
                <w:rFonts w:ascii="Calibri" w:hAnsi="Calibri" w:cs="Calibri"/>
                <w:b/>
                <w:sz w:val="18"/>
                <w:lang w:val="en-AU"/>
              </w:rPr>
            </w:pPr>
            <w:r w:rsidRPr="005734B8">
              <w:rPr>
                <w:rFonts w:ascii="Calibri" w:hAnsi="Calibri" w:cs="Calibri"/>
                <w:b/>
                <w:sz w:val="18"/>
                <w:lang w:val="en-AU"/>
              </w:rPr>
              <w:t>24</w:t>
            </w:r>
          </w:p>
        </w:tc>
        <w:tc>
          <w:tcPr>
            <w:tcW w:w="1579" w:type="dxa"/>
            <w:tcBorders>
              <w:top w:val="single" w:sz="4" w:space="0" w:color="53565A" w:themeColor="accent5"/>
              <w:bottom w:val="single" w:sz="4" w:space="0" w:color="53565A" w:themeColor="accent5"/>
            </w:tcBorders>
          </w:tcPr>
          <w:p w14:paraId="397131D6" w14:textId="77777777" w:rsidR="000A3A50" w:rsidRPr="005734B8" w:rsidRDefault="000A3A50" w:rsidP="002B6980">
            <w:pPr>
              <w:pStyle w:val="ESTablebody"/>
              <w:jc w:val="center"/>
              <w:rPr>
                <w:rFonts w:ascii="Calibri" w:hAnsi="Calibri" w:cs="Calibri"/>
                <w:b/>
                <w:sz w:val="18"/>
                <w:lang w:val="en-AU"/>
              </w:rPr>
            </w:pPr>
            <w:r w:rsidRPr="005734B8">
              <w:rPr>
                <w:rFonts w:ascii="Calibri" w:hAnsi="Calibri" w:cs="Calibri"/>
                <w:b/>
                <w:sz w:val="18"/>
                <w:lang w:val="en-AU"/>
              </w:rPr>
              <w:t>10</w:t>
            </w:r>
          </w:p>
        </w:tc>
        <w:tc>
          <w:tcPr>
            <w:tcW w:w="1579" w:type="dxa"/>
            <w:tcBorders>
              <w:top w:val="single" w:sz="4" w:space="0" w:color="53565A" w:themeColor="accent5"/>
              <w:bottom w:val="single" w:sz="4" w:space="0" w:color="53565A" w:themeColor="accent5"/>
            </w:tcBorders>
            <w:vAlign w:val="center"/>
          </w:tcPr>
          <w:p w14:paraId="4691C0D3" w14:textId="77777777" w:rsidR="000A3A50" w:rsidRPr="005734B8" w:rsidRDefault="000A3A50" w:rsidP="002B6980">
            <w:pPr>
              <w:pStyle w:val="ESTablebody"/>
              <w:jc w:val="center"/>
              <w:rPr>
                <w:rFonts w:ascii="Calibri" w:hAnsi="Calibri" w:cs="Calibri"/>
                <w:b/>
                <w:sz w:val="18"/>
                <w:lang w:val="en-AU"/>
              </w:rPr>
            </w:pPr>
            <w:r w:rsidRPr="005734B8">
              <w:rPr>
                <w:rFonts w:ascii="Calibri" w:hAnsi="Calibri" w:cs="Calibri"/>
                <w:b/>
                <w:sz w:val="18"/>
                <w:lang w:val="en-AU"/>
              </w:rPr>
              <w:t>92</w:t>
            </w:r>
          </w:p>
        </w:tc>
        <w:tc>
          <w:tcPr>
            <w:tcW w:w="1579" w:type="dxa"/>
            <w:tcBorders>
              <w:top w:val="single" w:sz="4" w:space="0" w:color="53565A" w:themeColor="accent5"/>
              <w:bottom w:val="single" w:sz="4" w:space="0" w:color="53565A" w:themeColor="accent5"/>
            </w:tcBorders>
            <w:vAlign w:val="center"/>
          </w:tcPr>
          <w:p w14:paraId="609F2F93" w14:textId="77777777" w:rsidR="000A3A50" w:rsidRPr="005734B8" w:rsidRDefault="000A3A50" w:rsidP="002B6980">
            <w:pPr>
              <w:pStyle w:val="ESTablebody"/>
              <w:jc w:val="center"/>
              <w:rPr>
                <w:rFonts w:ascii="Calibri" w:hAnsi="Calibri" w:cs="Calibri"/>
                <w:b/>
                <w:sz w:val="18"/>
                <w:lang w:val="en-AU"/>
              </w:rPr>
            </w:pPr>
            <w:r w:rsidRPr="005734B8">
              <w:rPr>
                <w:rFonts w:ascii="Calibri" w:hAnsi="Calibri" w:cs="Calibri"/>
                <w:b/>
                <w:sz w:val="18"/>
                <w:lang w:val="en-AU"/>
              </w:rPr>
              <w:t>21</w:t>
            </w:r>
          </w:p>
        </w:tc>
        <w:tc>
          <w:tcPr>
            <w:tcW w:w="1580" w:type="dxa"/>
            <w:tcBorders>
              <w:top w:val="single" w:sz="4" w:space="0" w:color="53565A" w:themeColor="accent5"/>
              <w:bottom w:val="single" w:sz="4" w:space="0" w:color="53565A" w:themeColor="accent5"/>
            </w:tcBorders>
            <w:vAlign w:val="center"/>
          </w:tcPr>
          <w:p w14:paraId="55F0FAD6" w14:textId="77777777" w:rsidR="000A3A50" w:rsidRPr="005734B8" w:rsidRDefault="000A3A50" w:rsidP="002B6980">
            <w:pPr>
              <w:pStyle w:val="ESTablebody"/>
              <w:jc w:val="center"/>
              <w:rPr>
                <w:rFonts w:ascii="Calibri" w:hAnsi="Calibri" w:cs="Calibri"/>
                <w:b/>
                <w:sz w:val="18"/>
                <w:lang w:val="en-AU"/>
              </w:rPr>
            </w:pPr>
            <w:r w:rsidRPr="005734B8">
              <w:rPr>
                <w:rFonts w:ascii="Calibri" w:hAnsi="Calibri" w:cs="Calibri"/>
                <w:b/>
                <w:sz w:val="18"/>
                <w:lang w:val="en-AU"/>
              </w:rPr>
              <w:t>174</w:t>
            </w:r>
          </w:p>
        </w:tc>
      </w:tr>
    </w:tbl>
    <w:p w14:paraId="0B3E6ED9" w14:textId="77777777" w:rsidR="00445197" w:rsidRPr="005734B8" w:rsidRDefault="00445197" w:rsidP="000A3A50">
      <w:pPr>
        <w:pStyle w:val="ESTableintroheading"/>
        <w:rPr>
          <w:rFonts w:ascii="Calibri" w:hAnsi="Calibri" w:cs="Calibri"/>
        </w:rPr>
      </w:pPr>
    </w:p>
    <w:p w14:paraId="2F01D382" w14:textId="77777777" w:rsidR="00445197" w:rsidRPr="005734B8" w:rsidRDefault="00445197">
      <w:pPr>
        <w:rPr>
          <w:rFonts w:ascii="Calibri" w:eastAsiaTheme="minorEastAsia" w:hAnsi="Calibri" w:cs="Calibri"/>
          <w:b/>
          <w:color w:val="AF272F" w:themeColor="accent4"/>
          <w:sz w:val="20"/>
          <w:szCs w:val="18"/>
          <w:lang w:val="en-US"/>
        </w:rPr>
      </w:pPr>
      <w:r w:rsidRPr="005734B8">
        <w:rPr>
          <w:rFonts w:ascii="Calibri" w:hAnsi="Calibri" w:cs="Calibri"/>
        </w:rPr>
        <w:br w:type="page"/>
      </w:r>
    </w:p>
    <w:p w14:paraId="0CCC7DEF" w14:textId="77777777" w:rsidR="000A3A50" w:rsidRPr="005734B8" w:rsidRDefault="000A3A50" w:rsidP="000A3A50">
      <w:pPr>
        <w:pStyle w:val="ESTableintroheading"/>
        <w:rPr>
          <w:rFonts w:ascii="Calibri" w:hAnsi="Calibri" w:cs="Calibri"/>
        </w:rPr>
      </w:pPr>
      <w:r w:rsidRPr="005734B8">
        <w:rPr>
          <w:rFonts w:ascii="Calibri" w:hAnsi="Calibri" w:cs="Calibri"/>
        </w:rPr>
        <w:lastRenderedPageBreak/>
        <w:t>Outcome of matters received</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08"/>
        <w:gridCol w:w="1207"/>
        <w:gridCol w:w="1042"/>
        <w:gridCol w:w="1279"/>
        <w:gridCol w:w="1758"/>
        <w:gridCol w:w="1758"/>
        <w:gridCol w:w="1758"/>
        <w:gridCol w:w="1072"/>
        <w:gridCol w:w="1119"/>
        <w:gridCol w:w="1004"/>
        <w:gridCol w:w="745"/>
      </w:tblGrid>
      <w:tr w:rsidR="000A3A50" w:rsidRPr="005734B8" w14:paraId="7225500A" w14:textId="77777777" w:rsidTr="002B6980">
        <w:trPr>
          <w:cantSplit/>
          <w:trHeight w:val="228"/>
          <w:tblHeader/>
        </w:trPr>
        <w:tc>
          <w:tcPr>
            <w:tcW w:w="1208" w:type="dxa"/>
            <w:vMerge w:val="restart"/>
            <w:shd w:val="clear" w:color="auto" w:fill="AF272F" w:themeFill="accent4"/>
          </w:tcPr>
          <w:p w14:paraId="1C0802A8" w14:textId="77777777" w:rsidR="000A3A50" w:rsidRPr="005734B8" w:rsidRDefault="000A3A50" w:rsidP="002B6980">
            <w:pPr>
              <w:pStyle w:val="ESTableheadingwhite"/>
              <w:rPr>
                <w:rFonts w:ascii="Calibri" w:hAnsi="Calibri" w:cs="Calibri"/>
                <w:sz w:val="18"/>
              </w:rPr>
            </w:pPr>
          </w:p>
          <w:p w14:paraId="7A5AAFC9" w14:textId="77777777" w:rsidR="000A3A50" w:rsidRPr="005734B8" w:rsidRDefault="000A3A50" w:rsidP="002B6980">
            <w:pPr>
              <w:pStyle w:val="ESTableheadingwhite"/>
              <w:rPr>
                <w:rFonts w:ascii="Calibri" w:hAnsi="Calibri" w:cs="Calibri"/>
                <w:sz w:val="18"/>
              </w:rPr>
            </w:pPr>
            <w:r w:rsidRPr="005734B8">
              <w:rPr>
                <w:rFonts w:ascii="Calibri" w:hAnsi="Calibri" w:cs="Calibri"/>
                <w:sz w:val="18"/>
              </w:rPr>
              <w:t>Case type</w:t>
            </w:r>
          </w:p>
        </w:tc>
        <w:tc>
          <w:tcPr>
            <w:tcW w:w="12742" w:type="dxa"/>
            <w:gridSpan w:val="10"/>
            <w:tcBorders>
              <w:bottom w:val="single" w:sz="4" w:space="0" w:color="FFFFFF" w:themeColor="background1"/>
            </w:tcBorders>
            <w:shd w:val="clear" w:color="auto" w:fill="AF272F" w:themeFill="accent4"/>
          </w:tcPr>
          <w:p w14:paraId="04169A2D" w14:textId="77777777" w:rsidR="000A3A50" w:rsidRPr="005734B8" w:rsidRDefault="000A3A50" w:rsidP="002B6980">
            <w:pPr>
              <w:pStyle w:val="ESTableheadingwhite"/>
              <w:jc w:val="center"/>
              <w:rPr>
                <w:rFonts w:ascii="Calibri" w:hAnsi="Calibri" w:cs="Calibri"/>
                <w:sz w:val="18"/>
              </w:rPr>
            </w:pPr>
            <w:r w:rsidRPr="005734B8">
              <w:rPr>
                <w:rFonts w:ascii="Calibri" w:hAnsi="Calibri" w:cs="Calibri"/>
                <w:sz w:val="18"/>
              </w:rPr>
              <w:t>Outcome</w:t>
            </w:r>
          </w:p>
        </w:tc>
      </w:tr>
      <w:tr w:rsidR="000A3A50" w:rsidRPr="005734B8" w14:paraId="03893CDF" w14:textId="77777777" w:rsidTr="002B6980">
        <w:trPr>
          <w:cantSplit/>
          <w:trHeight w:val="228"/>
          <w:tblHeader/>
        </w:trPr>
        <w:tc>
          <w:tcPr>
            <w:tcW w:w="1208" w:type="dxa"/>
            <w:vMerge/>
            <w:tcBorders>
              <w:bottom w:val="single" w:sz="4" w:space="0" w:color="FFFFFF" w:themeColor="background1"/>
            </w:tcBorders>
            <w:shd w:val="clear" w:color="auto" w:fill="AF272F" w:themeFill="accent4"/>
          </w:tcPr>
          <w:p w14:paraId="1C7C8978" w14:textId="77777777" w:rsidR="000A3A50" w:rsidRPr="005734B8" w:rsidRDefault="000A3A50" w:rsidP="002B6980">
            <w:pPr>
              <w:pStyle w:val="ESTableheadingwhite"/>
              <w:rPr>
                <w:rFonts w:ascii="Calibri" w:hAnsi="Calibri" w:cs="Calibri"/>
                <w:sz w:val="18"/>
                <w:lang w:val="en-AU"/>
              </w:rPr>
            </w:pPr>
          </w:p>
        </w:tc>
        <w:tc>
          <w:tcPr>
            <w:tcW w:w="1207" w:type="dxa"/>
            <w:tcBorders>
              <w:bottom w:val="single" w:sz="4" w:space="0" w:color="FFFFFF" w:themeColor="background1"/>
            </w:tcBorders>
            <w:shd w:val="clear" w:color="auto" w:fill="AF272F" w:themeFill="accent4"/>
          </w:tcPr>
          <w:p w14:paraId="70B2818E" w14:textId="77777777" w:rsidR="000A3A50" w:rsidRPr="005734B8" w:rsidRDefault="000A3A50" w:rsidP="002B6980">
            <w:pPr>
              <w:pStyle w:val="ESTableheadingwhite"/>
              <w:jc w:val="center"/>
              <w:rPr>
                <w:rFonts w:ascii="Calibri" w:hAnsi="Calibri" w:cs="Calibri"/>
                <w:sz w:val="18"/>
                <w:lang w:val="en-AU"/>
              </w:rPr>
            </w:pPr>
            <w:r w:rsidRPr="005734B8">
              <w:rPr>
                <w:rFonts w:ascii="Calibri" w:hAnsi="Calibri" w:cs="Calibri"/>
                <w:sz w:val="18"/>
              </w:rPr>
              <w:t>Resolved</w:t>
            </w:r>
            <w:r w:rsidRPr="005734B8">
              <w:rPr>
                <w:rStyle w:val="FootnoteReference"/>
                <w:rFonts w:ascii="Calibri" w:hAnsi="Calibri" w:cs="Calibri"/>
                <w:sz w:val="18"/>
              </w:rPr>
              <w:footnoteReference w:id="105"/>
            </w:r>
          </w:p>
        </w:tc>
        <w:tc>
          <w:tcPr>
            <w:tcW w:w="1042" w:type="dxa"/>
            <w:tcBorders>
              <w:bottom w:val="single" w:sz="4" w:space="0" w:color="FFFFFF" w:themeColor="background1"/>
            </w:tcBorders>
            <w:shd w:val="clear" w:color="auto" w:fill="AF272F" w:themeFill="accent4"/>
          </w:tcPr>
          <w:p w14:paraId="0B2110F0" w14:textId="77777777" w:rsidR="000A3A50" w:rsidRPr="005734B8" w:rsidRDefault="000A3A50" w:rsidP="002B6980">
            <w:pPr>
              <w:pStyle w:val="ESTableheadingwhite"/>
              <w:jc w:val="center"/>
              <w:rPr>
                <w:rFonts w:ascii="Calibri" w:hAnsi="Calibri" w:cs="Calibri"/>
                <w:sz w:val="18"/>
                <w:lang w:val="en-AU"/>
              </w:rPr>
            </w:pPr>
            <w:r w:rsidRPr="005734B8">
              <w:rPr>
                <w:rFonts w:ascii="Calibri" w:hAnsi="Calibri" w:cs="Calibri"/>
                <w:sz w:val="18"/>
              </w:rPr>
              <w:t>Partially resolved</w:t>
            </w:r>
          </w:p>
        </w:tc>
        <w:tc>
          <w:tcPr>
            <w:tcW w:w="1279" w:type="dxa"/>
            <w:tcBorders>
              <w:bottom w:val="single" w:sz="4" w:space="0" w:color="FFFFFF" w:themeColor="background1"/>
            </w:tcBorders>
            <w:shd w:val="clear" w:color="auto" w:fill="AF272F" w:themeFill="accent4"/>
          </w:tcPr>
          <w:p w14:paraId="0E936D7B" w14:textId="77777777" w:rsidR="000A3A50" w:rsidRPr="005734B8" w:rsidRDefault="000A3A50" w:rsidP="002B6980">
            <w:pPr>
              <w:pStyle w:val="ESTableheadingwhite"/>
              <w:jc w:val="center"/>
              <w:rPr>
                <w:rFonts w:ascii="Calibri" w:hAnsi="Calibri" w:cs="Calibri"/>
                <w:sz w:val="18"/>
              </w:rPr>
            </w:pPr>
            <w:r w:rsidRPr="005734B8">
              <w:rPr>
                <w:rFonts w:ascii="Calibri" w:hAnsi="Calibri" w:cs="Calibri"/>
                <w:sz w:val="18"/>
              </w:rPr>
              <w:t>Unresolved</w:t>
            </w:r>
          </w:p>
        </w:tc>
        <w:tc>
          <w:tcPr>
            <w:tcW w:w="1758" w:type="dxa"/>
            <w:tcBorders>
              <w:bottom w:val="single" w:sz="4" w:space="0" w:color="FFFFFF" w:themeColor="background1"/>
            </w:tcBorders>
            <w:shd w:val="clear" w:color="auto" w:fill="AF272F" w:themeFill="accent4"/>
          </w:tcPr>
          <w:p w14:paraId="48DBB431" w14:textId="77777777" w:rsidR="000A3A50" w:rsidRPr="005734B8" w:rsidRDefault="000A3A50" w:rsidP="002B6980">
            <w:pPr>
              <w:pStyle w:val="ESTableheadingwhite"/>
              <w:jc w:val="center"/>
              <w:rPr>
                <w:rFonts w:ascii="Calibri" w:hAnsi="Calibri" w:cs="Calibri"/>
                <w:sz w:val="18"/>
              </w:rPr>
            </w:pPr>
            <w:r w:rsidRPr="005734B8">
              <w:rPr>
                <w:rFonts w:ascii="Calibri" w:hAnsi="Calibri" w:cs="Calibri"/>
                <w:sz w:val="18"/>
              </w:rPr>
              <w:t>Resolved and recommendation made</w:t>
            </w:r>
          </w:p>
        </w:tc>
        <w:tc>
          <w:tcPr>
            <w:tcW w:w="1758" w:type="dxa"/>
            <w:tcBorders>
              <w:bottom w:val="single" w:sz="4" w:space="0" w:color="FFFFFF" w:themeColor="background1"/>
            </w:tcBorders>
            <w:shd w:val="clear" w:color="auto" w:fill="AF272F" w:themeFill="accent4"/>
          </w:tcPr>
          <w:p w14:paraId="2F9C9198" w14:textId="77777777" w:rsidR="000A3A50" w:rsidRPr="005734B8" w:rsidRDefault="000A3A50" w:rsidP="002B6980">
            <w:pPr>
              <w:pStyle w:val="ESTableheadingwhite"/>
              <w:jc w:val="center"/>
              <w:rPr>
                <w:rFonts w:ascii="Calibri" w:hAnsi="Calibri" w:cs="Calibri"/>
                <w:sz w:val="18"/>
                <w:lang w:val="en-AU"/>
              </w:rPr>
            </w:pPr>
            <w:r w:rsidRPr="005734B8">
              <w:rPr>
                <w:rFonts w:ascii="Calibri" w:hAnsi="Calibri" w:cs="Calibri"/>
                <w:sz w:val="18"/>
              </w:rPr>
              <w:t>Partially resolved and recommendation made</w:t>
            </w:r>
          </w:p>
        </w:tc>
        <w:tc>
          <w:tcPr>
            <w:tcW w:w="1758" w:type="dxa"/>
            <w:tcBorders>
              <w:bottom w:val="single" w:sz="4" w:space="0" w:color="FFFFFF" w:themeColor="background1"/>
            </w:tcBorders>
            <w:shd w:val="clear" w:color="auto" w:fill="AF272F" w:themeFill="accent4"/>
          </w:tcPr>
          <w:p w14:paraId="248A4D3C" w14:textId="77777777" w:rsidR="000A3A50" w:rsidRPr="005734B8" w:rsidRDefault="000A3A50" w:rsidP="002B6980">
            <w:pPr>
              <w:pStyle w:val="ESTableheadingwhite"/>
              <w:jc w:val="center"/>
              <w:rPr>
                <w:rFonts w:ascii="Calibri" w:hAnsi="Calibri" w:cs="Calibri"/>
                <w:sz w:val="18"/>
              </w:rPr>
            </w:pPr>
            <w:r w:rsidRPr="005734B8">
              <w:rPr>
                <w:rFonts w:ascii="Calibri" w:hAnsi="Calibri" w:cs="Calibri"/>
                <w:sz w:val="18"/>
              </w:rPr>
              <w:t>Unresolved and recommendation made</w:t>
            </w:r>
          </w:p>
        </w:tc>
        <w:tc>
          <w:tcPr>
            <w:tcW w:w="1072" w:type="dxa"/>
            <w:tcBorders>
              <w:bottom w:val="single" w:sz="4" w:space="0" w:color="FFFFFF" w:themeColor="background1"/>
            </w:tcBorders>
            <w:shd w:val="clear" w:color="auto" w:fill="AF272F" w:themeFill="accent4"/>
          </w:tcPr>
          <w:p w14:paraId="68C1C88B" w14:textId="77777777" w:rsidR="000A3A50" w:rsidRPr="005734B8" w:rsidRDefault="000A3A50" w:rsidP="002B6980">
            <w:pPr>
              <w:pStyle w:val="ESTableheadingwhite"/>
              <w:jc w:val="center"/>
              <w:rPr>
                <w:rFonts w:ascii="Calibri" w:hAnsi="Calibri" w:cs="Calibri"/>
                <w:sz w:val="18"/>
                <w:lang w:val="en-AU"/>
              </w:rPr>
            </w:pPr>
            <w:r w:rsidRPr="005734B8">
              <w:rPr>
                <w:rFonts w:ascii="Calibri" w:hAnsi="Calibri" w:cs="Calibri"/>
                <w:sz w:val="18"/>
              </w:rPr>
              <w:t>In progress</w:t>
            </w:r>
          </w:p>
        </w:tc>
        <w:tc>
          <w:tcPr>
            <w:tcW w:w="1119" w:type="dxa"/>
            <w:tcBorders>
              <w:bottom w:val="single" w:sz="4" w:space="0" w:color="FFFFFF" w:themeColor="background1"/>
            </w:tcBorders>
            <w:shd w:val="clear" w:color="auto" w:fill="AF272F" w:themeFill="accent4"/>
          </w:tcPr>
          <w:p w14:paraId="6D375CDA" w14:textId="77777777" w:rsidR="000A3A50" w:rsidRPr="005734B8" w:rsidRDefault="000A3A50" w:rsidP="002B6980">
            <w:pPr>
              <w:pStyle w:val="ESTableheadingwhite"/>
              <w:jc w:val="center"/>
              <w:rPr>
                <w:rFonts w:ascii="Calibri" w:hAnsi="Calibri" w:cs="Calibri"/>
                <w:sz w:val="18"/>
              </w:rPr>
            </w:pPr>
            <w:r w:rsidRPr="005734B8">
              <w:rPr>
                <w:rFonts w:ascii="Calibri" w:hAnsi="Calibri" w:cs="Calibri"/>
                <w:sz w:val="18"/>
              </w:rPr>
              <w:t>Escalated to a complaint</w:t>
            </w:r>
          </w:p>
        </w:tc>
        <w:tc>
          <w:tcPr>
            <w:tcW w:w="1004" w:type="dxa"/>
            <w:tcBorders>
              <w:bottom w:val="single" w:sz="4" w:space="0" w:color="FFFFFF" w:themeColor="background1"/>
            </w:tcBorders>
            <w:shd w:val="clear" w:color="auto" w:fill="AF272F" w:themeFill="accent4"/>
          </w:tcPr>
          <w:p w14:paraId="7FF207A9" w14:textId="77777777" w:rsidR="000A3A50" w:rsidRPr="005734B8" w:rsidRDefault="000A3A50" w:rsidP="002B6980">
            <w:pPr>
              <w:pStyle w:val="ESTableheadingwhite"/>
              <w:jc w:val="center"/>
              <w:rPr>
                <w:rFonts w:ascii="Calibri" w:hAnsi="Calibri" w:cs="Calibri"/>
                <w:sz w:val="18"/>
              </w:rPr>
            </w:pPr>
            <w:r w:rsidRPr="005734B8">
              <w:rPr>
                <w:rFonts w:ascii="Calibri" w:hAnsi="Calibri" w:cs="Calibri"/>
                <w:sz w:val="18"/>
              </w:rPr>
              <w:t>Referred on</w:t>
            </w:r>
          </w:p>
        </w:tc>
        <w:tc>
          <w:tcPr>
            <w:tcW w:w="745" w:type="dxa"/>
            <w:tcBorders>
              <w:bottom w:val="single" w:sz="4" w:space="0" w:color="FFFFFF" w:themeColor="background1"/>
            </w:tcBorders>
            <w:shd w:val="clear" w:color="auto" w:fill="AF272F" w:themeFill="accent4"/>
          </w:tcPr>
          <w:p w14:paraId="031CD0F7" w14:textId="77777777" w:rsidR="000A3A50" w:rsidRPr="005734B8" w:rsidRDefault="000A3A50" w:rsidP="002B6980">
            <w:pPr>
              <w:pStyle w:val="ESTableheadingwhite"/>
              <w:jc w:val="center"/>
              <w:rPr>
                <w:rFonts w:ascii="Calibri" w:hAnsi="Calibri" w:cs="Calibri"/>
                <w:sz w:val="18"/>
                <w:lang w:val="en-AU"/>
              </w:rPr>
            </w:pPr>
            <w:r w:rsidRPr="005734B8">
              <w:rPr>
                <w:rFonts w:ascii="Calibri" w:hAnsi="Calibri" w:cs="Calibri"/>
                <w:sz w:val="18"/>
              </w:rPr>
              <w:t>Total</w:t>
            </w:r>
          </w:p>
        </w:tc>
      </w:tr>
      <w:tr w:rsidR="000A3A50" w:rsidRPr="005734B8" w14:paraId="7872A6DE" w14:textId="77777777" w:rsidTr="00D56F8F">
        <w:trPr>
          <w:cantSplit/>
          <w:trHeight w:val="452"/>
        </w:trPr>
        <w:tc>
          <w:tcPr>
            <w:tcW w:w="1208" w:type="dxa"/>
            <w:tcBorders>
              <w:top w:val="single" w:sz="4" w:space="0" w:color="53565A" w:themeColor="accent5"/>
              <w:bottom w:val="single" w:sz="4" w:space="0" w:color="53565A" w:themeColor="accent5"/>
            </w:tcBorders>
            <w:shd w:val="clear" w:color="auto" w:fill="F2F2F2" w:themeFill="background1" w:themeFillShade="F2"/>
          </w:tcPr>
          <w:p w14:paraId="42F0DFC6" w14:textId="77777777" w:rsidR="000A3A50" w:rsidRPr="005734B8" w:rsidRDefault="000A3A50" w:rsidP="002B6980">
            <w:pPr>
              <w:pStyle w:val="ESTablebody"/>
              <w:rPr>
                <w:rFonts w:ascii="Calibri" w:hAnsi="Calibri" w:cs="Calibri"/>
                <w:sz w:val="18"/>
              </w:rPr>
            </w:pPr>
            <w:r w:rsidRPr="005734B8">
              <w:rPr>
                <w:rFonts w:ascii="Calibri" w:hAnsi="Calibri" w:cs="Calibri"/>
                <w:sz w:val="18"/>
                <w:lang w:val="en-AU"/>
              </w:rPr>
              <w:t>Enquiry</w:t>
            </w:r>
          </w:p>
        </w:tc>
        <w:tc>
          <w:tcPr>
            <w:tcW w:w="1207" w:type="dxa"/>
            <w:tcBorders>
              <w:top w:val="single" w:sz="4" w:space="0" w:color="53565A" w:themeColor="accent5"/>
              <w:bottom w:val="single" w:sz="4" w:space="0" w:color="53565A" w:themeColor="accent5"/>
            </w:tcBorders>
            <w:shd w:val="clear" w:color="auto" w:fill="auto"/>
            <w:vAlign w:val="center"/>
          </w:tcPr>
          <w:p w14:paraId="2DC59892" w14:textId="77777777" w:rsidR="000A3A50" w:rsidRPr="005734B8" w:rsidRDefault="000A3A50" w:rsidP="002B6980">
            <w:pPr>
              <w:pStyle w:val="ESTablebody"/>
              <w:jc w:val="center"/>
              <w:rPr>
                <w:rFonts w:ascii="Calibri" w:hAnsi="Calibri" w:cs="Calibri"/>
                <w:sz w:val="18"/>
              </w:rPr>
            </w:pPr>
            <w:r w:rsidRPr="005734B8">
              <w:rPr>
                <w:rFonts w:ascii="Calibri" w:hAnsi="Calibri" w:cs="Calibri"/>
                <w:sz w:val="18"/>
              </w:rPr>
              <w:t>89</w:t>
            </w:r>
          </w:p>
        </w:tc>
        <w:tc>
          <w:tcPr>
            <w:tcW w:w="1042" w:type="dxa"/>
            <w:tcBorders>
              <w:top w:val="single" w:sz="4" w:space="0" w:color="53565A" w:themeColor="accent5"/>
              <w:bottom w:val="single" w:sz="4" w:space="0" w:color="53565A" w:themeColor="accent5"/>
            </w:tcBorders>
          </w:tcPr>
          <w:p w14:paraId="107AE7F1" w14:textId="37E05A75" w:rsidR="000A3A50" w:rsidRPr="005734B8" w:rsidRDefault="001075A3" w:rsidP="002B6980">
            <w:pPr>
              <w:pStyle w:val="ESTablebody"/>
              <w:jc w:val="center"/>
              <w:rPr>
                <w:rFonts w:ascii="Calibri" w:hAnsi="Calibri" w:cs="Calibri"/>
                <w:sz w:val="18"/>
              </w:rPr>
            </w:pPr>
            <w:r w:rsidRPr="005734B8">
              <w:rPr>
                <w:rFonts w:ascii="Calibri" w:hAnsi="Calibri" w:cs="Calibri"/>
                <w:sz w:val="18"/>
              </w:rPr>
              <w:t>–</w:t>
            </w:r>
          </w:p>
        </w:tc>
        <w:tc>
          <w:tcPr>
            <w:tcW w:w="1279" w:type="dxa"/>
            <w:tcBorders>
              <w:top w:val="single" w:sz="4" w:space="0" w:color="53565A" w:themeColor="accent5"/>
              <w:bottom w:val="single" w:sz="4" w:space="0" w:color="53565A" w:themeColor="accent5"/>
            </w:tcBorders>
          </w:tcPr>
          <w:p w14:paraId="5620C64A" w14:textId="7461E9EF"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c>
          <w:tcPr>
            <w:tcW w:w="1758" w:type="dxa"/>
            <w:tcBorders>
              <w:top w:val="single" w:sz="4" w:space="0" w:color="53565A" w:themeColor="accent5"/>
              <w:bottom w:val="single" w:sz="4" w:space="0" w:color="53565A" w:themeColor="accent5"/>
            </w:tcBorders>
          </w:tcPr>
          <w:p w14:paraId="4263F87F" w14:textId="3B7E9E1E"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c>
          <w:tcPr>
            <w:tcW w:w="1758" w:type="dxa"/>
            <w:tcBorders>
              <w:top w:val="single" w:sz="4" w:space="0" w:color="53565A" w:themeColor="accent5"/>
              <w:bottom w:val="single" w:sz="4" w:space="0" w:color="53565A" w:themeColor="accent5"/>
            </w:tcBorders>
          </w:tcPr>
          <w:p w14:paraId="10410465" w14:textId="008E731F"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c>
          <w:tcPr>
            <w:tcW w:w="1758" w:type="dxa"/>
            <w:tcBorders>
              <w:top w:val="single" w:sz="4" w:space="0" w:color="53565A" w:themeColor="accent5"/>
              <w:bottom w:val="single" w:sz="4" w:space="0" w:color="53565A" w:themeColor="accent5"/>
            </w:tcBorders>
          </w:tcPr>
          <w:p w14:paraId="29524B84" w14:textId="5D3DFBA1"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c>
          <w:tcPr>
            <w:tcW w:w="1072" w:type="dxa"/>
            <w:tcBorders>
              <w:top w:val="single" w:sz="4" w:space="0" w:color="53565A" w:themeColor="accent5"/>
              <w:bottom w:val="single" w:sz="4" w:space="0" w:color="53565A" w:themeColor="accent5"/>
            </w:tcBorders>
            <w:vAlign w:val="center"/>
          </w:tcPr>
          <w:p w14:paraId="5527E2F7"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2</w:t>
            </w:r>
          </w:p>
        </w:tc>
        <w:tc>
          <w:tcPr>
            <w:tcW w:w="1119" w:type="dxa"/>
            <w:tcBorders>
              <w:top w:val="single" w:sz="4" w:space="0" w:color="53565A" w:themeColor="accent5"/>
              <w:bottom w:val="single" w:sz="4" w:space="0" w:color="53565A" w:themeColor="accent5"/>
            </w:tcBorders>
          </w:tcPr>
          <w:p w14:paraId="763AF9AA" w14:textId="683BF1C6"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c>
          <w:tcPr>
            <w:tcW w:w="1004" w:type="dxa"/>
            <w:tcBorders>
              <w:top w:val="single" w:sz="4" w:space="0" w:color="53565A" w:themeColor="accent5"/>
              <w:bottom w:val="single" w:sz="4" w:space="0" w:color="53565A" w:themeColor="accent5"/>
            </w:tcBorders>
          </w:tcPr>
          <w:p w14:paraId="4F88EA17"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1</w:t>
            </w:r>
          </w:p>
        </w:tc>
        <w:tc>
          <w:tcPr>
            <w:tcW w:w="745" w:type="dxa"/>
            <w:tcBorders>
              <w:top w:val="single" w:sz="4" w:space="0" w:color="53565A" w:themeColor="accent5"/>
              <w:bottom w:val="single" w:sz="4" w:space="0" w:color="53565A" w:themeColor="accent5"/>
            </w:tcBorders>
            <w:vAlign w:val="center"/>
          </w:tcPr>
          <w:p w14:paraId="52894D98"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92</w:t>
            </w:r>
          </w:p>
        </w:tc>
      </w:tr>
      <w:tr w:rsidR="000A3A50" w:rsidRPr="005734B8" w14:paraId="1D03BC3D" w14:textId="77777777" w:rsidTr="00F837DB">
        <w:trPr>
          <w:cantSplit/>
          <w:trHeight w:val="449"/>
        </w:trPr>
        <w:tc>
          <w:tcPr>
            <w:tcW w:w="1208" w:type="dxa"/>
            <w:tcBorders>
              <w:top w:val="single" w:sz="4" w:space="0" w:color="53565A" w:themeColor="accent5"/>
              <w:bottom w:val="single" w:sz="4" w:space="0" w:color="53565A" w:themeColor="accent5"/>
            </w:tcBorders>
            <w:shd w:val="clear" w:color="auto" w:fill="F2F2F2" w:themeFill="background1" w:themeFillShade="F2"/>
          </w:tcPr>
          <w:p w14:paraId="61788D01" w14:textId="77777777" w:rsidR="000A3A50" w:rsidRPr="005734B8" w:rsidRDefault="000A3A50" w:rsidP="002B6980">
            <w:pPr>
              <w:pStyle w:val="ESTablebody"/>
              <w:rPr>
                <w:rFonts w:ascii="Calibri" w:hAnsi="Calibri" w:cs="Calibri"/>
                <w:sz w:val="18"/>
              </w:rPr>
            </w:pPr>
            <w:r w:rsidRPr="005734B8">
              <w:rPr>
                <w:rFonts w:ascii="Calibri" w:hAnsi="Calibri" w:cs="Calibri"/>
                <w:sz w:val="18"/>
                <w:lang w:val="en-AU"/>
              </w:rPr>
              <w:t>Refer and monitor</w:t>
            </w:r>
          </w:p>
        </w:tc>
        <w:tc>
          <w:tcPr>
            <w:tcW w:w="1207" w:type="dxa"/>
            <w:tcBorders>
              <w:top w:val="single" w:sz="4" w:space="0" w:color="53565A" w:themeColor="accent5"/>
              <w:bottom w:val="single" w:sz="4" w:space="0" w:color="53565A" w:themeColor="accent5"/>
            </w:tcBorders>
            <w:shd w:val="clear" w:color="auto" w:fill="auto"/>
            <w:vAlign w:val="center"/>
          </w:tcPr>
          <w:p w14:paraId="68C65107" w14:textId="77777777" w:rsidR="000A3A50" w:rsidRPr="005734B8" w:rsidRDefault="000A3A50" w:rsidP="002B6980">
            <w:pPr>
              <w:pStyle w:val="ESTablebody"/>
              <w:jc w:val="center"/>
              <w:rPr>
                <w:rFonts w:ascii="Calibri" w:hAnsi="Calibri" w:cs="Calibri"/>
                <w:sz w:val="18"/>
              </w:rPr>
            </w:pPr>
            <w:r w:rsidRPr="005734B8">
              <w:rPr>
                <w:rFonts w:ascii="Calibri" w:hAnsi="Calibri" w:cs="Calibri"/>
                <w:sz w:val="18"/>
              </w:rPr>
              <w:t>12</w:t>
            </w:r>
          </w:p>
        </w:tc>
        <w:tc>
          <w:tcPr>
            <w:tcW w:w="1042" w:type="dxa"/>
            <w:tcBorders>
              <w:top w:val="single" w:sz="4" w:space="0" w:color="53565A" w:themeColor="accent5"/>
              <w:bottom w:val="single" w:sz="4" w:space="0" w:color="53565A" w:themeColor="accent5"/>
            </w:tcBorders>
          </w:tcPr>
          <w:p w14:paraId="1B1F6870" w14:textId="20D7EAAB" w:rsidR="000A3A50" w:rsidRPr="005734B8" w:rsidRDefault="001075A3" w:rsidP="002B6980">
            <w:pPr>
              <w:pStyle w:val="ESTablebody"/>
              <w:jc w:val="center"/>
              <w:rPr>
                <w:rFonts w:ascii="Calibri" w:hAnsi="Calibri" w:cs="Calibri"/>
                <w:sz w:val="18"/>
              </w:rPr>
            </w:pPr>
            <w:r w:rsidRPr="005734B8">
              <w:rPr>
                <w:rFonts w:ascii="Calibri" w:hAnsi="Calibri" w:cs="Calibri"/>
                <w:sz w:val="18"/>
              </w:rPr>
              <w:t>–</w:t>
            </w:r>
          </w:p>
        </w:tc>
        <w:tc>
          <w:tcPr>
            <w:tcW w:w="1279" w:type="dxa"/>
            <w:tcBorders>
              <w:top w:val="single" w:sz="4" w:space="0" w:color="53565A" w:themeColor="accent5"/>
              <w:bottom w:val="single" w:sz="4" w:space="0" w:color="53565A" w:themeColor="accent5"/>
            </w:tcBorders>
          </w:tcPr>
          <w:p w14:paraId="1EF663EF" w14:textId="3AF704D3" w:rsidR="000A3A50" w:rsidRPr="005734B8" w:rsidRDefault="001075A3" w:rsidP="002B6980">
            <w:pPr>
              <w:pStyle w:val="ESTablebody"/>
              <w:jc w:val="center"/>
              <w:rPr>
                <w:rFonts w:ascii="Calibri" w:hAnsi="Calibri" w:cs="Calibri"/>
                <w:sz w:val="18"/>
              </w:rPr>
            </w:pPr>
            <w:r w:rsidRPr="005734B8">
              <w:rPr>
                <w:rFonts w:ascii="Calibri" w:hAnsi="Calibri" w:cs="Calibri"/>
                <w:sz w:val="18"/>
              </w:rPr>
              <w:t>–</w:t>
            </w:r>
          </w:p>
        </w:tc>
        <w:tc>
          <w:tcPr>
            <w:tcW w:w="1758" w:type="dxa"/>
            <w:tcBorders>
              <w:top w:val="single" w:sz="4" w:space="0" w:color="53565A" w:themeColor="accent5"/>
              <w:bottom w:val="single" w:sz="4" w:space="0" w:color="53565A" w:themeColor="accent5"/>
            </w:tcBorders>
          </w:tcPr>
          <w:p w14:paraId="6D649A18" w14:textId="1440453C"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c>
          <w:tcPr>
            <w:tcW w:w="1758" w:type="dxa"/>
            <w:tcBorders>
              <w:top w:val="single" w:sz="4" w:space="0" w:color="53565A" w:themeColor="accent5"/>
              <w:bottom w:val="single" w:sz="4" w:space="0" w:color="53565A" w:themeColor="accent5"/>
            </w:tcBorders>
          </w:tcPr>
          <w:p w14:paraId="4778757E" w14:textId="69B304EF"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c>
          <w:tcPr>
            <w:tcW w:w="1758" w:type="dxa"/>
            <w:tcBorders>
              <w:top w:val="single" w:sz="4" w:space="0" w:color="53565A" w:themeColor="accent5"/>
              <w:bottom w:val="single" w:sz="4" w:space="0" w:color="53565A" w:themeColor="accent5"/>
            </w:tcBorders>
          </w:tcPr>
          <w:p w14:paraId="73403677" w14:textId="3357F946"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c>
          <w:tcPr>
            <w:tcW w:w="1072" w:type="dxa"/>
            <w:tcBorders>
              <w:top w:val="single" w:sz="4" w:space="0" w:color="53565A" w:themeColor="accent5"/>
              <w:bottom w:val="single" w:sz="4" w:space="0" w:color="53565A" w:themeColor="accent5"/>
            </w:tcBorders>
            <w:vAlign w:val="center"/>
          </w:tcPr>
          <w:p w14:paraId="01766F51"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3</w:t>
            </w:r>
          </w:p>
        </w:tc>
        <w:tc>
          <w:tcPr>
            <w:tcW w:w="1119" w:type="dxa"/>
            <w:tcBorders>
              <w:top w:val="single" w:sz="4" w:space="0" w:color="53565A" w:themeColor="accent5"/>
              <w:bottom w:val="single" w:sz="4" w:space="0" w:color="53565A" w:themeColor="accent5"/>
            </w:tcBorders>
            <w:vAlign w:val="center"/>
          </w:tcPr>
          <w:p w14:paraId="3799221C"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1</w:t>
            </w:r>
          </w:p>
        </w:tc>
        <w:tc>
          <w:tcPr>
            <w:tcW w:w="1004" w:type="dxa"/>
            <w:tcBorders>
              <w:top w:val="single" w:sz="4" w:space="0" w:color="53565A" w:themeColor="accent5"/>
              <w:bottom w:val="single" w:sz="4" w:space="0" w:color="53565A" w:themeColor="accent5"/>
            </w:tcBorders>
          </w:tcPr>
          <w:p w14:paraId="08BE620B" w14:textId="6A69417A"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c>
          <w:tcPr>
            <w:tcW w:w="745" w:type="dxa"/>
            <w:tcBorders>
              <w:top w:val="single" w:sz="4" w:space="0" w:color="53565A" w:themeColor="accent5"/>
              <w:bottom w:val="single" w:sz="4" w:space="0" w:color="53565A" w:themeColor="accent5"/>
            </w:tcBorders>
            <w:vAlign w:val="center"/>
          </w:tcPr>
          <w:p w14:paraId="0AC40515"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16</w:t>
            </w:r>
          </w:p>
        </w:tc>
      </w:tr>
      <w:tr w:rsidR="000A3A50" w:rsidRPr="005734B8" w14:paraId="69AB8841" w14:textId="77777777" w:rsidTr="00EC57CD">
        <w:trPr>
          <w:cantSplit/>
          <w:trHeight w:val="449"/>
        </w:trPr>
        <w:tc>
          <w:tcPr>
            <w:tcW w:w="1208" w:type="dxa"/>
            <w:tcBorders>
              <w:top w:val="single" w:sz="4" w:space="0" w:color="53565A" w:themeColor="accent5"/>
              <w:bottom w:val="single" w:sz="4" w:space="0" w:color="53565A" w:themeColor="accent5"/>
            </w:tcBorders>
            <w:shd w:val="clear" w:color="auto" w:fill="F2F2F2" w:themeFill="background1" w:themeFillShade="F2"/>
          </w:tcPr>
          <w:p w14:paraId="3359402F" w14:textId="77777777" w:rsidR="000A3A50" w:rsidRPr="005734B8" w:rsidRDefault="000A3A50" w:rsidP="002B6980">
            <w:pPr>
              <w:pStyle w:val="ESTablebody"/>
              <w:rPr>
                <w:rFonts w:ascii="Calibri" w:hAnsi="Calibri" w:cs="Calibri"/>
                <w:sz w:val="18"/>
              </w:rPr>
            </w:pPr>
            <w:r w:rsidRPr="005734B8">
              <w:rPr>
                <w:rFonts w:ascii="Calibri" w:hAnsi="Calibri" w:cs="Calibri"/>
                <w:sz w:val="18"/>
                <w:lang w:val="en-AU"/>
              </w:rPr>
              <w:t>Complaint</w:t>
            </w:r>
          </w:p>
        </w:tc>
        <w:tc>
          <w:tcPr>
            <w:tcW w:w="1207" w:type="dxa"/>
            <w:tcBorders>
              <w:top w:val="single" w:sz="4" w:space="0" w:color="53565A" w:themeColor="accent5"/>
              <w:bottom w:val="single" w:sz="4" w:space="0" w:color="53565A" w:themeColor="accent5"/>
            </w:tcBorders>
            <w:shd w:val="clear" w:color="auto" w:fill="auto"/>
            <w:vAlign w:val="center"/>
          </w:tcPr>
          <w:p w14:paraId="0200249E" w14:textId="77777777" w:rsidR="000A3A50" w:rsidRPr="005734B8" w:rsidRDefault="000A3A50" w:rsidP="002B6980">
            <w:pPr>
              <w:pStyle w:val="ESTablebody"/>
              <w:jc w:val="center"/>
              <w:rPr>
                <w:rFonts w:ascii="Calibri" w:hAnsi="Calibri" w:cs="Calibri"/>
                <w:sz w:val="18"/>
              </w:rPr>
            </w:pPr>
            <w:r w:rsidRPr="005734B8">
              <w:rPr>
                <w:rFonts w:ascii="Calibri" w:hAnsi="Calibri" w:cs="Calibri"/>
                <w:sz w:val="18"/>
              </w:rPr>
              <w:t>11</w:t>
            </w:r>
          </w:p>
        </w:tc>
        <w:tc>
          <w:tcPr>
            <w:tcW w:w="1042" w:type="dxa"/>
            <w:tcBorders>
              <w:top w:val="single" w:sz="4" w:space="0" w:color="53565A" w:themeColor="accent5"/>
              <w:bottom w:val="single" w:sz="4" w:space="0" w:color="53565A" w:themeColor="accent5"/>
            </w:tcBorders>
          </w:tcPr>
          <w:p w14:paraId="5A897732" w14:textId="52680B64" w:rsidR="000A3A50" w:rsidRPr="005734B8" w:rsidRDefault="001075A3" w:rsidP="002B6980">
            <w:pPr>
              <w:pStyle w:val="ESTablebody"/>
              <w:jc w:val="center"/>
              <w:rPr>
                <w:rFonts w:ascii="Calibri" w:hAnsi="Calibri" w:cs="Calibri"/>
                <w:sz w:val="18"/>
              </w:rPr>
            </w:pPr>
            <w:r w:rsidRPr="005734B8">
              <w:rPr>
                <w:rFonts w:ascii="Calibri" w:hAnsi="Calibri" w:cs="Calibri"/>
                <w:sz w:val="18"/>
              </w:rPr>
              <w:t>–</w:t>
            </w:r>
          </w:p>
        </w:tc>
        <w:tc>
          <w:tcPr>
            <w:tcW w:w="1279" w:type="dxa"/>
            <w:tcBorders>
              <w:top w:val="single" w:sz="4" w:space="0" w:color="53565A" w:themeColor="accent5"/>
              <w:bottom w:val="single" w:sz="4" w:space="0" w:color="53565A" w:themeColor="accent5"/>
            </w:tcBorders>
          </w:tcPr>
          <w:p w14:paraId="66AEA30A"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1</w:t>
            </w:r>
          </w:p>
        </w:tc>
        <w:tc>
          <w:tcPr>
            <w:tcW w:w="1758" w:type="dxa"/>
            <w:tcBorders>
              <w:top w:val="single" w:sz="4" w:space="0" w:color="53565A" w:themeColor="accent5"/>
              <w:bottom w:val="single" w:sz="4" w:space="0" w:color="53565A" w:themeColor="accent5"/>
            </w:tcBorders>
          </w:tcPr>
          <w:p w14:paraId="54B19A5D" w14:textId="58C08C15"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c>
          <w:tcPr>
            <w:tcW w:w="1758" w:type="dxa"/>
            <w:tcBorders>
              <w:top w:val="single" w:sz="4" w:space="0" w:color="53565A" w:themeColor="accent5"/>
              <w:bottom w:val="single" w:sz="4" w:space="0" w:color="53565A" w:themeColor="accent5"/>
            </w:tcBorders>
          </w:tcPr>
          <w:p w14:paraId="3C7BB28F" w14:textId="1B18B358"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c>
          <w:tcPr>
            <w:tcW w:w="1758" w:type="dxa"/>
            <w:tcBorders>
              <w:top w:val="single" w:sz="4" w:space="0" w:color="53565A" w:themeColor="accent5"/>
              <w:bottom w:val="single" w:sz="4" w:space="0" w:color="53565A" w:themeColor="accent5"/>
            </w:tcBorders>
          </w:tcPr>
          <w:p w14:paraId="707DEA71" w14:textId="5E15C2CE"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c>
          <w:tcPr>
            <w:tcW w:w="1072" w:type="dxa"/>
            <w:tcBorders>
              <w:top w:val="single" w:sz="4" w:space="0" w:color="53565A" w:themeColor="accent5"/>
              <w:bottom w:val="single" w:sz="4" w:space="0" w:color="53565A" w:themeColor="accent5"/>
            </w:tcBorders>
          </w:tcPr>
          <w:p w14:paraId="2997F0BB" w14:textId="25C19BD9"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c>
          <w:tcPr>
            <w:tcW w:w="1119" w:type="dxa"/>
            <w:tcBorders>
              <w:top w:val="single" w:sz="4" w:space="0" w:color="53565A" w:themeColor="accent5"/>
              <w:bottom w:val="single" w:sz="4" w:space="0" w:color="53565A" w:themeColor="accent5"/>
            </w:tcBorders>
          </w:tcPr>
          <w:p w14:paraId="44FAFD31" w14:textId="6CEE14D9" w:rsidR="000A3A50" w:rsidRPr="005734B8" w:rsidRDefault="001075A3" w:rsidP="002B6980">
            <w:pPr>
              <w:pStyle w:val="ESTablebody"/>
              <w:jc w:val="center"/>
              <w:rPr>
                <w:rFonts w:ascii="Calibri" w:hAnsi="Calibri" w:cs="Calibri"/>
                <w:sz w:val="18"/>
                <w:lang w:val="en-AU"/>
              </w:rPr>
            </w:pPr>
            <w:r w:rsidRPr="005734B8">
              <w:rPr>
                <w:rFonts w:ascii="Calibri" w:hAnsi="Calibri" w:cs="Calibri"/>
                <w:sz w:val="18"/>
              </w:rPr>
              <w:t>–</w:t>
            </w:r>
          </w:p>
        </w:tc>
        <w:tc>
          <w:tcPr>
            <w:tcW w:w="1004" w:type="dxa"/>
            <w:tcBorders>
              <w:top w:val="single" w:sz="4" w:space="0" w:color="53565A" w:themeColor="accent5"/>
              <w:bottom w:val="single" w:sz="4" w:space="0" w:color="53565A" w:themeColor="accent5"/>
            </w:tcBorders>
          </w:tcPr>
          <w:p w14:paraId="6BD010AC"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2</w:t>
            </w:r>
          </w:p>
        </w:tc>
        <w:tc>
          <w:tcPr>
            <w:tcW w:w="745" w:type="dxa"/>
            <w:tcBorders>
              <w:top w:val="single" w:sz="4" w:space="0" w:color="53565A" w:themeColor="accent5"/>
              <w:bottom w:val="single" w:sz="4" w:space="0" w:color="53565A" w:themeColor="accent5"/>
            </w:tcBorders>
            <w:vAlign w:val="center"/>
          </w:tcPr>
          <w:p w14:paraId="281C8874" w14:textId="77777777" w:rsidR="000A3A50" w:rsidRPr="005734B8" w:rsidRDefault="000A3A50" w:rsidP="002B6980">
            <w:pPr>
              <w:pStyle w:val="ESTablebody"/>
              <w:jc w:val="center"/>
              <w:rPr>
                <w:rFonts w:ascii="Calibri" w:hAnsi="Calibri" w:cs="Calibri"/>
                <w:sz w:val="18"/>
                <w:lang w:val="en-AU"/>
              </w:rPr>
            </w:pPr>
            <w:r w:rsidRPr="005734B8">
              <w:rPr>
                <w:rFonts w:ascii="Calibri" w:hAnsi="Calibri" w:cs="Calibri"/>
                <w:sz w:val="18"/>
                <w:lang w:val="en-AU"/>
              </w:rPr>
              <w:t>14</w:t>
            </w:r>
          </w:p>
        </w:tc>
      </w:tr>
      <w:tr w:rsidR="000A3A50" w:rsidRPr="005734B8" w14:paraId="55DD7ED2" w14:textId="77777777" w:rsidTr="00FE70AD">
        <w:trPr>
          <w:cantSplit/>
          <w:trHeight w:val="449"/>
        </w:trPr>
        <w:tc>
          <w:tcPr>
            <w:tcW w:w="1208" w:type="dxa"/>
            <w:tcBorders>
              <w:top w:val="single" w:sz="4" w:space="0" w:color="53565A" w:themeColor="accent5"/>
              <w:bottom w:val="single" w:sz="4" w:space="0" w:color="53565A" w:themeColor="accent5"/>
            </w:tcBorders>
            <w:shd w:val="clear" w:color="auto" w:fill="F2F2F2" w:themeFill="background1" w:themeFillShade="F2"/>
            <w:vAlign w:val="center"/>
          </w:tcPr>
          <w:p w14:paraId="749715B4" w14:textId="77777777" w:rsidR="000A3A50" w:rsidRPr="005734B8" w:rsidRDefault="000A3A50" w:rsidP="002B6980">
            <w:pPr>
              <w:pStyle w:val="ESTablebody"/>
              <w:rPr>
                <w:rFonts w:ascii="Calibri" w:hAnsi="Calibri" w:cs="Calibri"/>
                <w:sz w:val="18"/>
                <w:lang w:val="en-AU"/>
              </w:rPr>
            </w:pPr>
            <w:r w:rsidRPr="005734B8">
              <w:rPr>
                <w:rFonts w:ascii="Calibri" w:hAnsi="Calibri" w:cs="Calibri"/>
                <w:b/>
                <w:sz w:val="18"/>
                <w:lang w:val="en-AU"/>
              </w:rPr>
              <w:t>Total</w:t>
            </w:r>
          </w:p>
        </w:tc>
        <w:tc>
          <w:tcPr>
            <w:tcW w:w="1207" w:type="dxa"/>
            <w:tcBorders>
              <w:top w:val="single" w:sz="4" w:space="0" w:color="53565A" w:themeColor="accent5"/>
              <w:bottom w:val="single" w:sz="4" w:space="0" w:color="53565A" w:themeColor="accent5"/>
            </w:tcBorders>
            <w:shd w:val="clear" w:color="auto" w:fill="auto"/>
            <w:vAlign w:val="center"/>
          </w:tcPr>
          <w:p w14:paraId="63289067" w14:textId="77777777" w:rsidR="000A3A50" w:rsidRPr="005734B8" w:rsidRDefault="000A3A50" w:rsidP="002B6980">
            <w:pPr>
              <w:pStyle w:val="ESTablebody"/>
              <w:jc w:val="center"/>
              <w:rPr>
                <w:rFonts w:ascii="Calibri" w:hAnsi="Calibri" w:cs="Calibri"/>
                <w:b/>
                <w:sz w:val="18"/>
                <w:lang w:val="en-AU"/>
              </w:rPr>
            </w:pPr>
            <w:r w:rsidRPr="005734B8">
              <w:rPr>
                <w:rFonts w:ascii="Calibri" w:hAnsi="Calibri" w:cs="Calibri"/>
                <w:b/>
                <w:sz w:val="18"/>
                <w:lang w:val="en-AU"/>
              </w:rPr>
              <w:t>112</w:t>
            </w:r>
          </w:p>
        </w:tc>
        <w:tc>
          <w:tcPr>
            <w:tcW w:w="1042" w:type="dxa"/>
            <w:tcBorders>
              <w:top w:val="single" w:sz="4" w:space="0" w:color="53565A" w:themeColor="accent5"/>
              <w:bottom w:val="single" w:sz="4" w:space="0" w:color="53565A" w:themeColor="accent5"/>
            </w:tcBorders>
            <w:vAlign w:val="center"/>
          </w:tcPr>
          <w:p w14:paraId="26389C8E" w14:textId="1A08202D" w:rsidR="000A3A50" w:rsidRPr="005734B8" w:rsidRDefault="001075A3" w:rsidP="002B6980">
            <w:pPr>
              <w:pStyle w:val="ESTablebody"/>
              <w:jc w:val="center"/>
              <w:rPr>
                <w:rFonts w:ascii="Calibri" w:hAnsi="Calibri" w:cs="Calibri"/>
                <w:b/>
                <w:sz w:val="18"/>
              </w:rPr>
            </w:pPr>
            <w:r w:rsidRPr="005734B8">
              <w:rPr>
                <w:rFonts w:ascii="Calibri" w:hAnsi="Calibri" w:cs="Calibri"/>
                <w:b/>
                <w:bCs/>
                <w:sz w:val="18"/>
              </w:rPr>
              <w:t>–</w:t>
            </w:r>
          </w:p>
        </w:tc>
        <w:tc>
          <w:tcPr>
            <w:tcW w:w="1279" w:type="dxa"/>
            <w:tcBorders>
              <w:top w:val="single" w:sz="4" w:space="0" w:color="53565A" w:themeColor="accent5"/>
              <w:bottom w:val="single" w:sz="4" w:space="0" w:color="53565A" w:themeColor="accent5"/>
            </w:tcBorders>
          </w:tcPr>
          <w:p w14:paraId="64DAC4F5" w14:textId="77777777" w:rsidR="000A3A50" w:rsidRPr="005734B8" w:rsidRDefault="000A3A50" w:rsidP="002B6980">
            <w:pPr>
              <w:pStyle w:val="ESTablebody"/>
              <w:jc w:val="center"/>
              <w:rPr>
                <w:rFonts w:ascii="Calibri" w:hAnsi="Calibri" w:cs="Calibri"/>
                <w:b/>
                <w:sz w:val="18"/>
                <w:lang w:val="en-AU"/>
              </w:rPr>
            </w:pPr>
            <w:r w:rsidRPr="005734B8">
              <w:rPr>
                <w:rFonts w:ascii="Calibri" w:hAnsi="Calibri" w:cs="Calibri"/>
                <w:b/>
                <w:sz w:val="18"/>
                <w:lang w:val="en-AU"/>
              </w:rPr>
              <w:t>1</w:t>
            </w:r>
          </w:p>
        </w:tc>
        <w:tc>
          <w:tcPr>
            <w:tcW w:w="1758" w:type="dxa"/>
            <w:tcBorders>
              <w:top w:val="single" w:sz="4" w:space="0" w:color="53565A" w:themeColor="accent5"/>
              <w:bottom w:val="single" w:sz="4" w:space="0" w:color="53565A" w:themeColor="accent5"/>
            </w:tcBorders>
          </w:tcPr>
          <w:p w14:paraId="37C2CEE2" w14:textId="170FD820" w:rsidR="000A3A50" w:rsidRPr="005734B8" w:rsidRDefault="001075A3" w:rsidP="002B6980">
            <w:pPr>
              <w:pStyle w:val="ESTablebody"/>
              <w:jc w:val="center"/>
              <w:rPr>
                <w:rFonts w:ascii="Calibri" w:hAnsi="Calibri" w:cs="Calibri"/>
                <w:b/>
                <w:sz w:val="18"/>
                <w:lang w:val="en-AU"/>
              </w:rPr>
            </w:pPr>
            <w:r w:rsidRPr="005734B8">
              <w:rPr>
                <w:rFonts w:ascii="Calibri" w:hAnsi="Calibri" w:cs="Calibri"/>
                <w:b/>
                <w:bCs/>
                <w:sz w:val="18"/>
              </w:rPr>
              <w:t>–</w:t>
            </w:r>
          </w:p>
        </w:tc>
        <w:tc>
          <w:tcPr>
            <w:tcW w:w="1758" w:type="dxa"/>
            <w:tcBorders>
              <w:top w:val="single" w:sz="4" w:space="0" w:color="53565A" w:themeColor="accent5"/>
              <w:bottom w:val="single" w:sz="4" w:space="0" w:color="53565A" w:themeColor="accent5"/>
            </w:tcBorders>
          </w:tcPr>
          <w:p w14:paraId="478792D0" w14:textId="0178D7BD" w:rsidR="000A3A50" w:rsidRPr="005734B8" w:rsidRDefault="001075A3" w:rsidP="002B6980">
            <w:pPr>
              <w:pStyle w:val="ESTablebody"/>
              <w:jc w:val="center"/>
              <w:rPr>
                <w:rFonts w:ascii="Calibri" w:hAnsi="Calibri" w:cs="Calibri"/>
                <w:b/>
                <w:sz w:val="18"/>
                <w:lang w:val="en-AU"/>
              </w:rPr>
            </w:pPr>
            <w:r w:rsidRPr="005734B8">
              <w:rPr>
                <w:rFonts w:ascii="Calibri" w:hAnsi="Calibri" w:cs="Calibri"/>
                <w:b/>
                <w:bCs/>
                <w:sz w:val="18"/>
              </w:rPr>
              <w:t>–</w:t>
            </w:r>
          </w:p>
        </w:tc>
        <w:tc>
          <w:tcPr>
            <w:tcW w:w="1758" w:type="dxa"/>
            <w:tcBorders>
              <w:top w:val="single" w:sz="4" w:space="0" w:color="53565A" w:themeColor="accent5"/>
              <w:bottom w:val="single" w:sz="4" w:space="0" w:color="53565A" w:themeColor="accent5"/>
            </w:tcBorders>
          </w:tcPr>
          <w:p w14:paraId="3717FFD1" w14:textId="57E64879" w:rsidR="000A3A50" w:rsidRPr="005734B8" w:rsidRDefault="001075A3" w:rsidP="002B6980">
            <w:pPr>
              <w:pStyle w:val="ESTablebody"/>
              <w:jc w:val="center"/>
              <w:rPr>
                <w:rFonts w:ascii="Calibri" w:hAnsi="Calibri" w:cs="Calibri"/>
                <w:b/>
                <w:sz w:val="18"/>
                <w:lang w:val="en-AU"/>
              </w:rPr>
            </w:pPr>
            <w:r w:rsidRPr="005734B8">
              <w:rPr>
                <w:rFonts w:ascii="Calibri" w:hAnsi="Calibri" w:cs="Calibri"/>
                <w:b/>
                <w:bCs/>
                <w:sz w:val="18"/>
              </w:rPr>
              <w:t>–</w:t>
            </w:r>
          </w:p>
        </w:tc>
        <w:tc>
          <w:tcPr>
            <w:tcW w:w="1072" w:type="dxa"/>
            <w:tcBorders>
              <w:top w:val="single" w:sz="4" w:space="0" w:color="53565A" w:themeColor="accent5"/>
              <w:bottom w:val="single" w:sz="4" w:space="0" w:color="53565A" w:themeColor="accent5"/>
            </w:tcBorders>
            <w:vAlign w:val="center"/>
          </w:tcPr>
          <w:p w14:paraId="2EBDCEFE" w14:textId="77777777" w:rsidR="000A3A50" w:rsidRPr="005734B8" w:rsidRDefault="000A3A50" w:rsidP="002B6980">
            <w:pPr>
              <w:pStyle w:val="ESTablebody"/>
              <w:jc w:val="center"/>
              <w:rPr>
                <w:rFonts w:ascii="Calibri" w:hAnsi="Calibri" w:cs="Calibri"/>
                <w:b/>
                <w:sz w:val="18"/>
                <w:lang w:val="en-AU"/>
              </w:rPr>
            </w:pPr>
            <w:r w:rsidRPr="005734B8">
              <w:rPr>
                <w:rFonts w:ascii="Calibri" w:hAnsi="Calibri" w:cs="Calibri"/>
                <w:b/>
                <w:sz w:val="18"/>
                <w:lang w:val="en-AU"/>
              </w:rPr>
              <w:t>5</w:t>
            </w:r>
          </w:p>
        </w:tc>
        <w:tc>
          <w:tcPr>
            <w:tcW w:w="1119" w:type="dxa"/>
            <w:tcBorders>
              <w:top w:val="single" w:sz="4" w:space="0" w:color="53565A" w:themeColor="accent5"/>
              <w:bottom w:val="single" w:sz="4" w:space="0" w:color="53565A" w:themeColor="accent5"/>
            </w:tcBorders>
          </w:tcPr>
          <w:p w14:paraId="42BAA67D" w14:textId="77777777" w:rsidR="000A3A50" w:rsidRPr="005734B8" w:rsidRDefault="000A3A50" w:rsidP="002B6980">
            <w:pPr>
              <w:pStyle w:val="ESTablebody"/>
              <w:jc w:val="center"/>
              <w:rPr>
                <w:rFonts w:ascii="Calibri" w:hAnsi="Calibri" w:cs="Calibri"/>
                <w:b/>
                <w:sz w:val="18"/>
                <w:lang w:val="en-AU"/>
              </w:rPr>
            </w:pPr>
            <w:r w:rsidRPr="005734B8">
              <w:rPr>
                <w:rFonts w:ascii="Calibri" w:hAnsi="Calibri" w:cs="Calibri"/>
                <w:b/>
                <w:sz w:val="18"/>
                <w:lang w:val="en-AU"/>
              </w:rPr>
              <w:t>1</w:t>
            </w:r>
          </w:p>
        </w:tc>
        <w:tc>
          <w:tcPr>
            <w:tcW w:w="1004" w:type="dxa"/>
            <w:tcBorders>
              <w:top w:val="single" w:sz="4" w:space="0" w:color="53565A" w:themeColor="accent5"/>
              <w:bottom w:val="single" w:sz="4" w:space="0" w:color="53565A" w:themeColor="accent5"/>
            </w:tcBorders>
          </w:tcPr>
          <w:p w14:paraId="0D91D671" w14:textId="77777777" w:rsidR="000A3A50" w:rsidRPr="005734B8" w:rsidRDefault="000A3A50" w:rsidP="002B6980">
            <w:pPr>
              <w:pStyle w:val="ESTablebody"/>
              <w:jc w:val="center"/>
              <w:rPr>
                <w:rFonts w:ascii="Calibri" w:hAnsi="Calibri" w:cs="Calibri"/>
                <w:b/>
                <w:sz w:val="18"/>
                <w:lang w:val="en-AU"/>
              </w:rPr>
            </w:pPr>
            <w:r w:rsidRPr="005734B8">
              <w:rPr>
                <w:rFonts w:ascii="Calibri" w:hAnsi="Calibri" w:cs="Calibri"/>
                <w:b/>
                <w:sz w:val="18"/>
                <w:lang w:val="en-AU"/>
              </w:rPr>
              <w:t>3</w:t>
            </w:r>
          </w:p>
        </w:tc>
        <w:tc>
          <w:tcPr>
            <w:tcW w:w="745" w:type="dxa"/>
            <w:tcBorders>
              <w:top w:val="single" w:sz="4" w:space="0" w:color="53565A" w:themeColor="accent5"/>
              <w:bottom w:val="single" w:sz="4" w:space="0" w:color="53565A" w:themeColor="accent5"/>
            </w:tcBorders>
            <w:vAlign w:val="center"/>
          </w:tcPr>
          <w:p w14:paraId="2EDC560A" w14:textId="77777777" w:rsidR="000A3A50" w:rsidRPr="005734B8" w:rsidRDefault="000A3A50" w:rsidP="002B6980">
            <w:pPr>
              <w:pStyle w:val="ESTablebody"/>
              <w:jc w:val="center"/>
              <w:rPr>
                <w:rFonts w:ascii="Calibri" w:hAnsi="Calibri" w:cs="Calibri"/>
                <w:b/>
                <w:sz w:val="18"/>
                <w:lang w:val="en-AU"/>
              </w:rPr>
            </w:pPr>
            <w:r w:rsidRPr="005734B8">
              <w:rPr>
                <w:rFonts w:ascii="Calibri" w:hAnsi="Calibri" w:cs="Calibri"/>
                <w:b/>
                <w:sz w:val="18"/>
                <w:lang w:val="en-AU"/>
              </w:rPr>
              <w:t>122</w:t>
            </w:r>
          </w:p>
        </w:tc>
      </w:tr>
    </w:tbl>
    <w:p w14:paraId="275CE8AE" w14:textId="77777777" w:rsidR="00165AC8" w:rsidRPr="005734B8" w:rsidRDefault="00165AC8" w:rsidP="00165AC8">
      <w:pPr>
        <w:pStyle w:val="ESTableintroheading"/>
        <w:rPr>
          <w:rFonts w:ascii="Calibri" w:hAnsi="Calibri" w:cs="Calibri"/>
          <w:highlight w:val="yellow"/>
        </w:rPr>
        <w:sectPr w:rsidR="00165AC8" w:rsidRPr="005734B8" w:rsidSect="009D352F">
          <w:pgSz w:w="16840" w:h="11900" w:orient="landscape"/>
          <w:pgMar w:top="1418" w:right="1440" w:bottom="1134" w:left="1440" w:header="708" w:footer="708" w:gutter="0"/>
          <w:cols w:space="708"/>
          <w:docGrid w:linePitch="360"/>
        </w:sectPr>
      </w:pPr>
    </w:p>
    <w:p w14:paraId="1CDE171C" w14:textId="77777777" w:rsidR="00C7560F" w:rsidRPr="005734B8" w:rsidRDefault="00C7560F" w:rsidP="00C7560F">
      <w:pPr>
        <w:pStyle w:val="ESTableintroheading"/>
        <w:rPr>
          <w:rFonts w:ascii="Calibri" w:hAnsi="Calibri" w:cs="Calibri"/>
        </w:rPr>
      </w:pPr>
      <w:r w:rsidRPr="005734B8">
        <w:rPr>
          <w:rFonts w:ascii="Calibri" w:hAnsi="Calibri" w:cs="Calibri"/>
        </w:rPr>
        <w:lastRenderedPageBreak/>
        <w:t>Enquiry and refer and monitor: Topics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39"/>
        <w:gridCol w:w="2451"/>
        <w:gridCol w:w="2731"/>
      </w:tblGrid>
      <w:tr w:rsidR="00C7560F" w:rsidRPr="005734B8" w14:paraId="3331FB02" w14:textId="77777777" w:rsidTr="002B6980">
        <w:trPr>
          <w:cantSplit/>
          <w:trHeight w:val="242"/>
          <w:tblHeader/>
        </w:trPr>
        <w:tc>
          <w:tcPr>
            <w:tcW w:w="2739" w:type="dxa"/>
            <w:tcBorders>
              <w:bottom w:val="single" w:sz="4" w:space="0" w:color="FFFFFF" w:themeColor="background1"/>
            </w:tcBorders>
            <w:shd w:val="clear" w:color="auto" w:fill="AF272F" w:themeFill="accent4"/>
          </w:tcPr>
          <w:p w14:paraId="0F294526" w14:textId="77777777" w:rsidR="00C7560F" w:rsidRPr="005734B8" w:rsidRDefault="00C7560F" w:rsidP="002B6980">
            <w:pPr>
              <w:pStyle w:val="ESTableheadingwhite"/>
              <w:rPr>
                <w:rFonts w:ascii="Calibri" w:hAnsi="Calibri" w:cs="Calibri"/>
                <w:sz w:val="18"/>
                <w:lang w:val="en-AU"/>
              </w:rPr>
            </w:pPr>
            <w:r w:rsidRPr="005734B8">
              <w:rPr>
                <w:rFonts w:ascii="Calibri" w:hAnsi="Calibri" w:cs="Calibri"/>
                <w:sz w:val="18"/>
                <w:lang w:val="en-AU"/>
              </w:rPr>
              <w:t>Topic</w:t>
            </w:r>
          </w:p>
        </w:tc>
        <w:tc>
          <w:tcPr>
            <w:tcW w:w="2451" w:type="dxa"/>
            <w:tcBorders>
              <w:bottom w:val="single" w:sz="4" w:space="0" w:color="FFFFFF" w:themeColor="background1"/>
            </w:tcBorders>
            <w:shd w:val="clear" w:color="auto" w:fill="AF272F" w:themeFill="accent4"/>
          </w:tcPr>
          <w:p w14:paraId="3D4E6A38" w14:textId="77777777" w:rsidR="00C7560F" w:rsidRPr="005734B8" w:rsidRDefault="00C7560F" w:rsidP="002B6980">
            <w:pPr>
              <w:pStyle w:val="ESTableheadingwhite"/>
              <w:rPr>
                <w:rFonts w:ascii="Calibri" w:hAnsi="Calibri" w:cs="Calibri"/>
                <w:sz w:val="18"/>
                <w:lang w:val="en-AU"/>
              </w:rPr>
            </w:pPr>
            <w:r w:rsidRPr="005734B8">
              <w:rPr>
                <w:rFonts w:ascii="Calibri" w:hAnsi="Calibri" w:cs="Calibri"/>
                <w:sz w:val="18"/>
                <w:lang w:val="en-AU"/>
              </w:rPr>
              <w:t>Total enquiry</w:t>
            </w:r>
          </w:p>
        </w:tc>
        <w:tc>
          <w:tcPr>
            <w:tcW w:w="2731" w:type="dxa"/>
            <w:tcBorders>
              <w:bottom w:val="single" w:sz="4" w:space="0" w:color="FFFFFF" w:themeColor="background1"/>
            </w:tcBorders>
            <w:shd w:val="clear" w:color="auto" w:fill="AF272F" w:themeFill="accent4"/>
          </w:tcPr>
          <w:p w14:paraId="044DAEA7" w14:textId="77777777" w:rsidR="00C7560F" w:rsidRPr="005734B8" w:rsidRDefault="00C7560F" w:rsidP="002B6980">
            <w:pPr>
              <w:pStyle w:val="ESTableheadingwhite"/>
              <w:rPr>
                <w:rFonts w:ascii="Calibri" w:hAnsi="Calibri" w:cs="Calibri"/>
                <w:sz w:val="18"/>
                <w:lang w:val="en-AU"/>
              </w:rPr>
            </w:pPr>
            <w:r w:rsidRPr="005734B8">
              <w:rPr>
                <w:rFonts w:ascii="Calibri" w:hAnsi="Calibri" w:cs="Calibri"/>
                <w:sz w:val="18"/>
                <w:lang w:val="en-AU"/>
              </w:rPr>
              <w:t>Total refer and monitor</w:t>
            </w:r>
          </w:p>
        </w:tc>
      </w:tr>
      <w:tr w:rsidR="00C7560F" w:rsidRPr="005734B8" w14:paraId="53F23C69" w14:textId="77777777" w:rsidTr="002B6980">
        <w:trPr>
          <w:cantSplit/>
          <w:trHeight w:val="480"/>
        </w:trPr>
        <w:tc>
          <w:tcPr>
            <w:tcW w:w="2739" w:type="dxa"/>
            <w:tcBorders>
              <w:top w:val="single" w:sz="4" w:space="0" w:color="53565A" w:themeColor="accent5"/>
              <w:bottom w:val="single" w:sz="4" w:space="0" w:color="53565A" w:themeColor="accent5"/>
            </w:tcBorders>
            <w:shd w:val="clear" w:color="auto" w:fill="auto"/>
          </w:tcPr>
          <w:p w14:paraId="1F775A5D" w14:textId="77777777" w:rsidR="00C7560F" w:rsidRPr="005734B8" w:rsidRDefault="00C7560F" w:rsidP="002B6980">
            <w:pPr>
              <w:pStyle w:val="ESTablebody"/>
              <w:rPr>
                <w:rFonts w:ascii="Calibri" w:hAnsi="Calibri" w:cs="Calibri"/>
                <w:sz w:val="18"/>
              </w:rPr>
            </w:pPr>
            <w:r w:rsidRPr="005734B8">
              <w:rPr>
                <w:rFonts w:ascii="Calibri" w:hAnsi="Calibri" w:cs="Calibri"/>
                <w:sz w:val="18"/>
                <w:lang w:val="en-AU"/>
              </w:rPr>
              <w:t>Bullying</w:t>
            </w:r>
          </w:p>
        </w:tc>
        <w:tc>
          <w:tcPr>
            <w:tcW w:w="2451" w:type="dxa"/>
            <w:tcBorders>
              <w:top w:val="single" w:sz="4" w:space="0" w:color="53565A" w:themeColor="accent5"/>
              <w:bottom w:val="single" w:sz="4" w:space="0" w:color="53565A" w:themeColor="accent5"/>
            </w:tcBorders>
            <w:vAlign w:val="center"/>
          </w:tcPr>
          <w:p w14:paraId="40D26512"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8</w:t>
            </w:r>
          </w:p>
        </w:tc>
        <w:tc>
          <w:tcPr>
            <w:tcW w:w="2731" w:type="dxa"/>
            <w:tcBorders>
              <w:top w:val="single" w:sz="4" w:space="0" w:color="53565A" w:themeColor="accent5"/>
              <w:bottom w:val="single" w:sz="4" w:space="0" w:color="53565A" w:themeColor="accent5"/>
            </w:tcBorders>
            <w:shd w:val="clear" w:color="auto" w:fill="auto"/>
            <w:vAlign w:val="center"/>
          </w:tcPr>
          <w:p w14:paraId="627C41B9"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3</w:t>
            </w:r>
          </w:p>
        </w:tc>
      </w:tr>
      <w:tr w:rsidR="00C7560F" w:rsidRPr="005734B8" w14:paraId="078D2C62" w14:textId="77777777" w:rsidTr="002B6980">
        <w:trPr>
          <w:cantSplit/>
          <w:trHeight w:val="477"/>
        </w:trPr>
        <w:tc>
          <w:tcPr>
            <w:tcW w:w="2739" w:type="dxa"/>
            <w:tcBorders>
              <w:top w:val="single" w:sz="4" w:space="0" w:color="53565A" w:themeColor="accent5"/>
              <w:bottom w:val="single" w:sz="4" w:space="0" w:color="53565A" w:themeColor="accent5"/>
            </w:tcBorders>
            <w:shd w:val="clear" w:color="auto" w:fill="auto"/>
          </w:tcPr>
          <w:p w14:paraId="0F0458B2" w14:textId="77777777" w:rsidR="00C7560F" w:rsidRPr="005734B8" w:rsidRDefault="00C7560F" w:rsidP="002B6980">
            <w:pPr>
              <w:pStyle w:val="ESTablebody"/>
              <w:rPr>
                <w:rFonts w:ascii="Calibri" w:hAnsi="Calibri" w:cs="Calibri"/>
                <w:sz w:val="18"/>
              </w:rPr>
            </w:pPr>
            <w:r w:rsidRPr="005734B8">
              <w:rPr>
                <w:rFonts w:ascii="Calibri" w:hAnsi="Calibri" w:cs="Calibri"/>
                <w:sz w:val="18"/>
                <w:lang w:val="en-AU"/>
              </w:rPr>
              <w:t>Complaint management</w:t>
            </w:r>
          </w:p>
        </w:tc>
        <w:tc>
          <w:tcPr>
            <w:tcW w:w="2451" w:type="dxa"/>
            <w:tcBorders>
              <w:top w:val="single" w:sz="4" w:space="0" w:color="53565A" w:themeColor="accent5"/>
              <w:bottom w:val="single" w:sz="4" w:space="0" w:color="53565A" w:themeColor="accent5"/>
            </w:tcBorders>
            <w:vAlign w:val="center"/>
          </w:tcPr>
          <w:p w14:paraId="34CB6242"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17</w:t>
            </w:r>
          </w:p>
        </w:tc>
        <w:tc>
          <w:tcPr>
            <w:tcW w:w="2731" w:type="dxa"/>
            <w:tcBorders>
              <w:top w:val="single" w:sz="4" w:space="0" w:color="53565A" w:themeColor="accent5"/>
              <w:bottom w:val="single" w:sz="4" w:space="0" w:color="53565A" w:themeColor="accent5"/>
            </w:tcBorders>
            <w:shd w:val="clear" w:color="auto" w:fill="auto"/>
            <w:vAlign w:val="center"/>
          </w:tcPr>
          <w:p w14:paraId="79853D4A"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5</w:t>
            </w:r>
          </w:p>
        </w:tc>
      </w:tr>
      <w:tr w:rsidR="00C7560F" w:rsidRPr="005734B8" w14:paraId="6DF1389D" w14:textId="77777777" w:rsidTr="002B6980">
        <w:trPr>
          <w:cantSplit/>
          <w:trHeight w:val="477"/>
        </w:trPr>
        <w:tc>
          <w:tcPr>
            <w:tcW w:w="2739" w:type="dxa"/>
            <w:tcBorders>
              <w:top w:val="single" w:sz="4" w:space="0" w:color="53565A" w:themeColor="accent5"/>
              <w:bottom w:val="single" w:sz="4" w:space="0" w:color="53565A" w:themeColor="accent5"/>
            </w:tcBorders>
            <w:shd w:val="clear" w:color="auto" w:fill="auto"/>
          </w:tcPr>
          <w:p w14:paraId="4DEC5FAD" w14:textId="77777777" w:rsidR="00C7560F" w:rsidRPr="005734B8" w:rsidRDefault="00C7560F" w:rsidP="002B6980">
            <w:pPr>
              <w:pStyle w:val="ESTablebody"/>
              <w:rPr>
                <w:rFonts w:ascii="Calibri" w:hAnsi="Calibri" w:cs="Calibri"/>
                <w:sz w:val="18"/>
                <w:lang w:val="en-AU"/>
              </w:rPr>
            </w:pPr>
            <w:r w:rsidRPr="005734B8">
              <w:rPr>
                <w:rFonts w:ascii="Calibri" w:hAnsi="Calibri" w:cs="Calibri"/>
                <w:sz w:val="18"/>
                <w:lang w:val="en-AU"/>
              </w:rPr>
              <w:t>COVID-19</w:t>
            </w:r>
          </w:p>
        </w:tc>
        <w:tc>
          <w:tcPr>
            <w:tcW w:w="2451" w:type="dxa"/>
            <w:tcBorders>
              <w:top w:val="single" w:sz="4" w:space="0" w:color="53565A" w:themeColor="accent5"/>
              <w:bottom w:val="single" w:sz="4" w:space="0" w:color="53565A" w:themeColor="accent5"/>
            </w:tcBorders>
            <w:vAlign w:val="center"/>
          </w:tcPr>
          <w:p w14:paraId="001F52E8"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1</w:t>
            </w:r>
          </w:p>
        </w:tc>
        <w:tc>
          <w:tcPr>
            <w:tcW w:w="2731" w:type="dxa"/>
            <w:tcBorders>
              <w:top w:val="single" w:sz="4" w:space="0" w:color="53565A" w:themeColor="accent5"/>
              <w:bottom w:val="single" w:sz="4" w:space="0" w:color="53565A" w:themeColor="accent5"/>
            </w:tcBorders>
            <w:shd w:val="clear" w:color="auto" w:fill="auto"/>
            <w:vAlign w:val="center"/>
          </w:tcPr>
          <w:p w14:paraId="4CBC46B4" w14:textId="5D227B7D" w:rsidR="00C7560F" w:rsidRPr="005734B8" w:rsidRDefault="001075A3" w:rsidP="002B6980">
            <w:pPr>
              <w:pStyle w:val="ESTablebody"/>
              <w:jc w:val="center"/>
              <w:rPr>
                <w:rFonts w:ascii="Calibri" w:hAnsi="Calibri" w:cs="Calibri"/>
                <w:sz w:val="18"/>
              </w:rPr>
            </w:pPr>
            <w:r w:rsidRPr="005734B8">
              <w:rPr>
                <w:rFonts w:ascii="Calibri" w:hAnsi="Calibri" w:cs="Calibri"/>
                <w:sz w:val="18"/>
              </w:rPr>
              <w:t>–</w:t>
            </w:r>
          </w:p>
        </w:tc>
      </w:tr>
      <w:tr w:rsidR="00C7560F" w:rsidRPr="005734B8" w14:paraId="2DAB1E41" w14:textId="77777777" w:rsidTr="009450AD">
        <w:trPr>
          <w:cantSplit/>
          <w:trHeight w:val="477"/>
        </w:trPr>
        <w:tc>
          <w:tcPr>
            <w:tcW w:w="2739" w:type="dxa"/>
            <w:tcBorders>
              <w:top w:val="single" w:sz="4" w:space="0" w:color="53565A" w:themeColor="accent5"/>
              <w:bottom w:val="single" w:sz="4" w:space="0" w:color="53565A" w:themeColor="accent5"/>
            </w:tcBorders>
            <w:shd w:val="clear" w:color="auto" w:fill="auto"/>
          </w:tcPr>
          <w:p w14:paraId="5A15C35D" w14:textId="13ED587A" w:rsidR="00C7560F" w:rsidRPr="005734B8" w:rsidRDefault="00C7560F" w:rsidP="002B6980">
            <w:pPr>
              <w:pStyle w:val="ESTablebody"/>
              <w:rPr>
                <w:rFonts w:ascii="Calibri" w:hAnsi="Calibri" w:cs="Calibri"/>
                <w:sz w:val="18"/>
                <w:lang w:val="en-AU"/>
              </w:rPr>
            </w:pPr>
            <w:r w:rsidRPr="005734B8">
              <w:rPr>
                <w:rFonts w:ascii="Calibri" w:hAnsi="Calibri" w:cs="Calibri"/>
                <w:sz w:val="18"/>
                <w:lang w:val="en-AU"/>
              </w:rPr>
              <w:t xml:space="preserve">Curriculum </w:t>
            </w:r>
            <w:r w:rsidR="001075A3" w:rsidRPr="005734B8">
              <w:rPr>
                <w:rFonts w:ascii="Calibri" w:hAnsi="Calibri" w:cs="Calibri"/>
                <w:sz w:val="18"/>
                <w:lang w:val="en-AU"/>
              </w:rPr>
              <w:t>provision/content</w:t>
            </w:r>
          </w:p>
        </w:tc>
        <w:tc>
          <w:tcPr>
            <w:tcW w:w="2451" w:type="dxa"/>
            <w:tcBorders>
              <w:top w:val="single" w:sz="4" w:space="0" w:color="53565A" w:themeColor="accent5"/>
              <w:bottom w:val="single" w:sz="4" w:space="0" w:color="53565A" w:themeColor="accent5"/>
            </w:tcBorders>
            <w:vAlign w:val="center"/>
          </w:tcPr>
          <w:p w14:paraId="0FF4A905"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1</w:t>
            </w:r>
          </w:p>
        </w:tc>
        <w:tc>
          <w:tcPr>
            <w:tcW w:w="2731" w:type="dxa"/>
            <w:tcBorders>
              <w:top w:val="single" w:sz="4" w:space="0" w:color="53565A" w:themeColor="accent5"/>
              <w:bottom w:val="single" w:sz="4" w:space="0" w:color="53565A" w:themeColor="accent5"/>
            </w:tcBorders>
            <w:shd w:val="clear" w:color="auto" w:fill="auto"/>
          </w:tcPr>
          <w:p w14:paraId="3804DD50" w14:textId="05232CDC" w:rsidR="00C7560F" w:rsidRPr="005734B8" w:rsidRDefault="001075A3" w:rsidP="002B6980">
            <w:pPr>
              <w:pStyle w:val="ESTablebody"/>
              <w:jc w:val="center"/>
              <w:rPr>
                <w:rFonts w:ascii="Calibri" w:hAnsi="Calibri" w:cs="Calibri"/>
                <w:sz w:val="18"/>
              </w:rPr>
            </w:pPr>
            <w:r w:rsidRPr="005734B8">
              <w:rPr>
                <w:rFonts w:ascii="Calibri" w:hAnsi="Calibri" w:cs="Calibri"/>
                <w:sz w:val="18"/>
              </w:rPr>
              <w:t>–</w:t>
            </w:r>
          </w:p>
        </w:tc>
      </w:tr>
      <w:tr w:rsidR="00C7560F" w:rsidRPr="005734B8" w14:paraId="496CC92B" w14:textId="77777777" w:rsidTr="009450AD">
        <w:trPr>
          <w:cantSplit/>
          <w:trHeight w:val="477"/>
        </w:trPr>
        <w:tc>
          <w:tcPr>
            <w:tcW w:w="2739" w:type="dxa"/>
            <w:tcBorders>
              <w:top w:val="single" w:sz="4" w:space="0" w:color="53565A" w:themeColor="accent5"/>
              <w:bottom w:val="single" w:sz="4" w:space="0" w:color="53565A" w:themeColor="accent5"/>
            </w:tcBorders>
            <w:shd w:val="clear" w:color="auto" w:fill="auto"/>
          </w:tcPr>
          <w:p w14:paraId="18B47570" w14:textId="77777777" w:rsidR="00C7560F" w:rsidRPr="005734B8" w:rsidRDefault="00C7560F" w:rsidP="002B6980">
            <w:pPr>
              <w:pStyle w:val="ESTablebody"/>
              <w:rPr>
                <w:rFonts w:ascii="Calibri" w:hAnsi="Calibri" w:cs="Calibri"/>
                <w:sz w:val="18"/>
              </w:rPr>
            </w:pPr>
            <w:r w:rsidRPr="005734B8">
              <w:rPr>
                <w:rFonts w:ascii="Calibri" w:hAnsi="Calibri" w:cs="Calibri"/>
                <w:sz w:val="18"/>
                <w:lang w:val="en-AU"/>
              </w:rPr>
              <w:t>Disability</w:t>
            </w:r>
          </w:p>
        </w:tc>
        <w:tc>
          <w:tcPr>
            <w:tcW w:w="2451" w:type="dxa"/>
            <w:tcBorders>
              <w:top w:val="single" w:sz="4" w:space="0" w:color="53565A" w:themeColor="accent5"/>
              <w:bottom w:val="single" w:sz="4" w:space="0" w:color="53565A" w:themeColor="accent5"/>
            </w:tcBorders>
            <w:vAlign w:val="center"/>
          </w:tcPr>
          <w:p w14:paraId="5E0A0AA6"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4</w:t>
            </w:r>
          </w:p>
        </w:tc>
        <w:tc>
          <w:tcPr>
            <w:tcW w:w="2731" w:type="dxa"/>
            <w:tcBorders>
              <w:top w:val="single" w:sz="4" w:space="0" w:color="53565A" w:themeColor="accent5"/>
              <w:bottom w:val="single" w:sz="4" w:space="0" w:color="53565A" w:themeColor="accent5"/>
            </w:tcBorders>
            <w:shd w:val="clear" w:color="auto" w:fill="auto"/>
          </w:tcPr>
          <w:p w14:paraId="42476EA7" w14:textId="177676FC" w:rsidR="00C7560F" w:rsidRPr="005734B8" w:rsidRDefault="001075A3" w:rsidP="002B6980">
            <w:pPr>
              <w:pStyle w:val="ESTablebody"/>
              <w:jc w:val="center"/>
              <w:rPr>
                <w:rFonts w:ascii="Calibri" w:hAnsi="Calibri" w:cs="Calibri"/>
                <w:sz w:val="18"/>
              </w:rPr>
            </w:pPr>
            <w:r w:rsidRPr="005734B8">
              <w:rPr>
                <w:rFonts w:ascii="Calibri" w:hAnsi="Calibri" w:cs="Calibri"/>
                <w:sz w:val="18"/>
              </w:rPr>
              <w:t>–</w:t>
            </w:r>
          </w:p>
        </w:tc>
      </w:tr>
      <w:tr w:rsidR="00C7560F" w:rsidRPr="005734B8" w14:paraId="01EADD06" w14:textId="77777777" w:rsidTr="009450AD">
        <w:trPr>
          <w:cantSplit/>
          <w:trHeight w:val="477"/>
        </w:trPr>
        <w:tc>
          <w:tcPr>
            <w:tcW w:w="2739" w:type="dxa"/>
            <w:tcBorders>
              <w:top w:val="single" w:sz="4" w:space="0" w:color="53565A" w:themeColor="accent5"/>
              <w:bottom w:val="single" w:sz="4" w:space="0" w:color="53565A" w:themeColor="accent5"/>
            </w:tcBorders>
            <w:shd w:val="clear" w:color="auto" w:fill="auto"/>
          </w:tcPr>
          <w:p w14:paraId="6D6E61EA" w14:textId="77777777" w:rsidR="00C7560F" w:rsidRPr="005734B8" w:rsidRDefault="00C7560F" w:rsidP="002B6980">
            <w:pPr>
              <w:pStyle w:val="ESTablebody"/>
              <w:rPr>
                <w:rFonts w:ascii="Calibri" w:hAnsi="Calibri" w:cs="Calibri"/>
                <w:sz w:val="18"/>
              </w:rPr>
            </w:pPr>
            <w:r w:rsidRPr="005734B8">
              <w:rPr>
                <w:rFonts w:ascii="Calibri" w:hAnsi="Calibri" w:cs="Calibri"/>
                <w:sz w:val="18"/>
                <w:lang w:val="en-AU"/>
              </w:rPr>
              <w:t>Discrimination against parent/carer</w:t>
            </w:r>
          </w:p>
        </w:tc>
        <w:tc>
          <w:tcPr>
            <w:tcW w:w="2451" w:type="dxa"/>
            <w:tcBorders>
              <w:top w:val="single" w:sz="4" w:space="0" w:color="53565A" w:themeColor="accent5"/>
              <w:bottom w:val="single" w:sz="4" w:space="0" w:color="53565A" w:themeColor="accent5"/>
            </w:tcBorders>
            <w:vAlign w:val="center"/>
          </w:tcPr>
          <w:p w14:paraId="3EAF5268" w14:textId="7F8F329A" w:rsidR="00C7560F" w:rsidRPr="005734B8" w:rsidRDefault="001075A3" w:rsidP="002B6980">
            <w:pPr>
              <w:pStyle w:val="ESTablebody"/>
              <w:jc w:val="center"/>
              <w:rPr>
                <w:rFonts w:ascii="Calibri" w:hAnsi="Calibri" w:cs="Calibri"/>
                <w:sz w:val="18"/>
              </w:rPr>
            </w:pPr>
            <w:r w:rsidRPr="005734B8">
              <w:rPr>
                <w:rFonts w:ascii="Calibri" w:hAnsi="Calibri" w:cs="Calibri"/>
                <w:sz w:val="18"/>
              </w:rPr>
              <w:t>–</w:t>
            </w:r>
          </w:p>
        </w:tc>
        <w:tc>
          <w:tcPr>
            <w:tcW w:w="2731" w:type="dxa"/>
            <w:tcBorders>
              <w:top w:val="single" w:sz="4" w:space="0" w:color="53565A" w:themeColor="accent5"/>
              <w:bottom w:val="single" w:sz="4" w:space="0" w:color="53565A" w:themeColor="accent5"/>
            </w:tcBorders>
            <w:shd w:val="clear" w:color="auto" w:fill="auto"/>
          </w:tcPr>
          <w:p w14:paraId="66F9381F" w14:textId="6971E7B5" w:rsidR="00C7560F" w:rsidRPr="005734B8" w:rsidRDefault="001075A3" w:rsidP="002B6980">
            <w:pPr>
              <w:pStyle w:val="ESTablebody"/>
              <w:jc w:val="center"/>
              <w:rPr>
                <w:rFonts w:ascii="Calibri" w:hAnsi="Calibri" w:cs="Calibri"/>
                <w:sz w:val="18"/>
              </w:rPr>
            </w:pPr>
            <w:r w:rsidRPr="005734B8">
              <w:rPr>
                <w:rFonts w:ascii="Calibri" w:hAnsi="Calibri" w:cs="Calibri"/>
                <w:sz w:val="18"/>
              </w:rPr>
              <w:t>–</w:t>
            </w:r>
          </w:p>
        </w:tc>
      </w:tr>
      <w:tr w:rsidR="00C7560F" w:rsidRPr="005734B8" w14:paraId="1CEE4F60" w14:textId="77777777" w:rsidTr="002B6980">
        <w:trPr>
          <w:cantSplit/>
          <w:trHeight w:val="477"/>
        </w:trPr>
        <w:tc>
          <w:tcPr>
            <w:tcW w:w="2739" w:type="dxa"/>
            <w:tcBorders>
              <w:top w:val="single" w:sz="4" w:space="0" w:color="53565A" w:themeColor="accent5"/>
              <w:bottom w:val="single" w:sz="4" w:space="0" w:color="53565A" w:themeColor="accent5"/>
            </w:tcBorders>
            <w:shd w:val="clear" w:color="auto" w:fill="auto"/>
          </w:tcPr>
          <w:p w14:paraId="2A2DE7E7" w14:textId="77777777" w:rsidR="00C7560F" w:rsidRPr="005734B8" w:rsidRDefault="00C7560F" w:rsidP="002B6980">
            <w:pPr>
              <w:pStyle w:val="ESTablebody"/>
              <w:rPr>
                <w:rFonts w:ascii="Calibri" w:hAnsi="Calibri" w:cs="Calibri"/>
                <w:sz w:val="18"/>
                <w:lang w:val="en-AU"/>
              </w:rPr>
            </w:pPr>
            <w:r w:rsidRPr="005734B8">
              <w:rPr>
                <w:rFonts w:ascii="Calibri" w:hAnsi="Calibri" w:cs="Calibri"/>
                <w:sz w:val="18"/>
                <w:lang w:val="en-AU"/>
              </w:rPr>
              <w:t>Enrolment/transition</w:t>
            </w:r>
          </w:p>
        </w:tc>
        <w:tc>
          <w:tcPr>
            <w:tcW w:w="2451" w:type="dxa"/>
            <w:tcBorders>
              <w:top w:val="single" w:sz="4" w:space="0" w:color="53565A" w:themeColor="accent5"/>
              <w:bottom w:val="single" w:sz="4" w:space="0" w:color="53565A" w:themeColor="accent5"/>
            </w:tcBorders>
            <w:vAlign w:val="center"/>
          </w:tcPr>
          <w:p w14:paraId="3E264FA7"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7</w:t>
            </w:r>
          </w:p>
        </w:tc>
        <w:tc>
          <w:tcPr>
            <w:tcW w:w="2731" w:type="dxa"/>
            <w:tcBorders>
              <w:top w:val="single" w:sz="4" w:space="0" w:color="53565A" w:themeColor="accent5"/>
              <w:bottom w:val="single" w:sz="4" w:space="0" w:color="53565A" w:themeColor="accent5"/>
            </w:tcBorders>
            <w:shd w:val="clear" w:color="auto" w:fill="auto"/>
            <w:vAlign w:val="center"/>
          </w:tcPr>
          <w:p w14:paraId="5ECA9621"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1</w:t>
            </w:r>
          </w:p>
        </w:tc>
      </w:tr>
      <w:tr w:rsidR="00C7560F" w:rsidRPr="005734B8" w14:paraId="0D9401F5" w14:textId="77777777" w:rsidTr="002B6980">
        <w:trPr>
          <w:cantSplit/>
          <w:trHeight w:val="477"/>
        </w:trPr>
        <w:tc>
          <w:tcPr>
            <w:tcW w:w="2739" w:type="dxa"/>
            <w:tcBorders>
              <w:top w:val="single" w:sz="4" w:space="0" w:color="53565A" w:themeColor="accent5"/>
              <w:bottom w:val="single" w:sz="4" w:space="0" w:color="53565A" w:themeColor="accent5"/>
            </w:tcBorders>
            <w:shd w:val="clear" w:color="auto" w:fill="auto"/>
          </w:tcPr>
          <w:p w14:paraId="7D67D21D" w14:textId="77777777" w:rsidR="00C7560F" w:rsidRPr="005734B8" w:rsidRDefault="00C7560F" w:rsidP="002B6980">
            <w:pPr>
              <w:pStyle w:val="ESTablebody"/>
              <w:rPr>
                <w:rFonts w:ascii="Calibri" w:hAnsi="Calibri" w:cs="Calibri"/>
                <w:sz w:val="18"/>
                <w:lang w:val="en-AU"/>
              </w:rPr>
            </w:pPr>
            <w:r w:rsidRPr="005734B8">
              <w:rPr>
                <w:rFonts w:ascii="Calibri" w:hAnsi="Calibri" w:cs="Calibri"/>
                <w:sz w:val="18"/>
                <w:lang w:val="en-AU"/>
              </w:rPr>
              <w:t>Family law/parenting matters</w:t>
            </w:r>
          </w:p>
        </w:tc>
        <w:tc>
          <w:tcPr>
            <w:tcW w:w="2451" w:type="dxa"/>
            <w:tcBorders>
              <w:top w:val="single" w:sz="4" w:space="0" w:color="53565A" w:themeColor="accent5"/>
              <w:bottom w:val="single" w:sz="4" w:space="0" w:color="53565A" w:themeColor="accent5"/>
            </w:tcBorders>
            <w:vAlign w:val="center"/>
          </w:tcPr>
          <w:p w14:paraId="12F4A43D"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2</w:t>
            </w:r>
          </w:p>
        </w:tc>
        <w:tc>
          <w:tcPr>
            <w:tcW w:w="2731" w:type="dxa"/>
            <w:tcBorders>
              <w:top w:val="single" w:sz="4" w:space="0" w:color="53565A" w:themeColor="accent5"/>
              <w:bottom w:val="single" w:sz="4" w:space="0" w:color="53565A" w:themeColor="accent5"/>
            </w:tcBorders>
            <w:shd w:val="clear" w:color="auto" w:fill="auto"/>
            <w:vAlign w:val="center"/>
          </w:tcPr>
          <w:p w14:paraId="4E4D7BD2"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1</w:t>
            </w:r>
          </w:p>
        </w:tc>
      </w:tr>
      <w:tr w:rsidR="00C7560F" w:rsidRPr="005734B8" w14:paraId="5826D9B3" w14:textId="77777777" w:rsidTr="00814C74">
        <w:trPr>
          <w:cantSplit/>
          <w:trHeight w:val="477"/>
        </w:trPr>
        <w:tc>
          <w:tcPr>
            <w:tcW w:w="2739" w:type="dxa"/>
            <w:tcBorders>
              <w:top w:val="single" w:sz="4" w:space="0" w:color="53565A" w:themeColor="accent5"/>
              <w:bottom w:val="single" w:sz="4" w:space="0" w:color="53565A" w:themeColor="accent5"/>
            </w:tcBorders>
            <w:shd w:val="clear" w:color="auto" w:fill="auto"/>
          </w:tcPr>
          <w:p w14:paraId="021BBF3E" w14:textId="77777777" w:rsidR="00C7560F" w:rsidRPr="005734B8" w:rsidRDefault="00C7560F" w:rsidP="002B6980">
            <w:pPr>
              <w:pStyle w:val="ESTablebody"/>
              <w:rPr>
                <w:rFonts w:ascii="Calibri" w:hAnsi="Calibri" w:cs="Calibri"/>
                <w:sz w:val="18"/>
              </w:rPr>
            </w:pPr>
            <w:r w:rsidRPr="005734B8">
              <w:rPr>
                <w:rFonts w:ascii="Calibri" w:hAnsi="Calibri" w:cs="Calibri"/>
                <w:sz w:val="18"/>
                <w:lang w:val="en-AU"/>
              </w:rPr>
              <w:t>General</w:t>
            </w:r>
          </w:p>
        </w:tc>
        <w:tc>
          <w:tcPr>
            <w:tcW w:w="2451" w:type="dxa"/>
            <w:tcBorders>
              <w:top w:val="single" w:sz="4" w:space="0" w:color="53565A" w:themeColor="accent5"/>
              <w:bottom w:val="single" w:sz="4" w:space="0" w:color="53565A" w:themeColor="accent5"/>
            </w:tcBorders>
            <w:vAlign w:val="center"/>
          </w:tcPr>
          <w:p w14:paraId="7D845994" w14:textId="5CB7E9BD" w:rsidR="00C7560F" w:rsidRPr="005734B8" w:rsidRDefault="001075A3" w:rsidP="002B6980">
            <w:pPr>
              <w:pStyle w:val="ESTablebody"/>
              <w:jc w:val="center"/>
              <w:rPr>
                <w:rFonts w:ascii="Calibri" w:hAnsi="Calibri" w:cs="Calibri"/>
                <w:sz w:val="18"/>
              </w:rPr>
            </w:pPr>
            <w:r w:rsidRPr="005734B8">
              <w:rPr>
                <w:rFonts w:ascii="Calibri" w:hAnsi="Calibri" w:cs="Calibri"/>
                <w:sz w:val="18"/>
              </w:rPr>
              <w:t>–</w:t>
            </w:r>
          </w:p>
        </w:tc>
        <w:tc>
          <w:tcPr>
            <w:tcW w:w="2731" w:type="dxa"/>
            <w:tcBorders>
              <w:top w:val="single" w:sz="4" w:space="0" w:color="53565A" w:themeColor="accent5"/>
              <w:bottom w:val="single" w:sz="4" w:space="0" w:color="53565A" w:themeColor="accent5"/>
            </w:tcBorders>
            <w:shd w:val="clear" w:color="auto" w:fill="auto"/>
          </w:tcPr>
          <w:p w14:paraId="596D7B7A" w14:textId="0531763A" w:rsidR="00C7560F" w:rsidRPr="005734B8" w:rsidRDefault="001075A3" w:rsidP="002B6980">
            <w:pPr>
              <w:pStyle w:val="ESTablebody"/>
              <w:jc w:val="center"/>
              <w:rPr>
                <w:rFonts w:ascii="Calibri" w:hAnsi="Calibri" w:cs="Calibri"/>
                <w:sz w:val="18"/>
              </w:rPr>
            </w:pPr>
            <w:r w:rsidRPr="005734B8">
              <w:rPr>
                <w:rFonts w:ascii="Calibri" w:hAnsi="Calibri" w:cs="Calibri"/>
                <w:sz w:val="18"/>
              </w:rPr>
              <w:t>–</w:t>
            </w:r>
          </w:p>
        </w:tc>
      </w:tr>
      <w:tr w:rsidR="00C7560F" w:rsidRPr="005734B8" w14:paraId="3B6C783D" w14:textId="77777777" w:rsidTr="00814C74">
        <w:trPr>
          <w:cantSplit/>
          <w:trHeight w:val="477"/>
        </w:trPr>
        <w:tc>
          <w:tcPr>
            <w:tcW w:w="2739" w:type="dxa"/>
            <w:tcBorders>
              <w:top w:val="single" w:sz="4" w:space="0" w:color="53565A" w:themeColor="accent5"/>
              <w:bottom w:val="single" w:sz="4" w:space="0" w:color="53565A" w:themeColor="accent5"/>
            </w:tcBorders>
            <w:shd w:val="clear" w:color="auto" w:fill="auto"/>
          </w:tcPr>
          <w:p w14:paraId="657A94D2" w14:textId="77777777" w:rsidR="00C7560F" w:rsidRPr="005734B8" w:rsidRDefault="00C7560F" w:rsidP="002B6980">
            <w:pPr>
              <w:pStyle w:val="ESTablebody"/>
              <w:rPr>
                <w:rFonts w:ascii="Calibri" w:hAnsi="Calibri" w:cs="Calibri"/>
                <w:sz w:val="18"/>
              </w:rPr>
            </w:pPr>
            <w:r w:rsidRPr="005734B8">
              <w:rPr>
                <w:rFonts w:ascii="Calibri" w:hAnsi="Calibri" w:cs="Calibri"/>
                <w:sz w:val="18"/>
                <w:lang w:val="en-AU"/>
              </w:rPr>
              <w:t>Grading and assessment</w:t>
            </w:r>
          </w:p>
        </w:tc>
        <w:tc>
          <w:tcPr>
            <w:tcW w:w="2451" w:type="dxa"/>
            <w:tcBorders>
              <w:top w:val="single" w:sz="4" w:space="0" w:color="53565A" w:themeColor="accent5"/>
              <w:bottom w:val="single" w:sz="4" w:space="0" w:color="53565A" w:themeColor="accent5"/>
            </w:tcBorders>
            <w:vAlign w:val="center"/>
          </w:tcPr>
          <w:p w14:paraId="2AAC329A"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2</w:t>
            </w:r>
          </w:p>
        </w:tc>
        <w:tc>
          <w:tcPr>
            <w:tcW w:w="2731" w:type="dxa"/>
            <w:tcBorders>
              <w:top w:val="single" w:sz="4" w:space="0" w:color="53565A" w:themeColor="accent5"/>
              <w:bottom w:val="single" w:sz="4" w:space="0" w:color="53565A" w:themeColor="accent5"/>
            </w:tcBorders>
            <w:shd w:val="clear" w:color="auto" w:fill="auto"/>
          </w:tcPr>
          <w:p w14:paraId="2B1E1085" w14:textId="3DE706BC" w:rsidR="00C7560F" w:rsidRPr="005734B8" w:rsidRDefault="001075A3" w:rsidP="002B6980">
            <w:pPr>
              <w:pStyle w:val="ESTablebody"/>
              <w:jc w:val="center"/>
              <w:rPr>
                <w:rFonts w:ascii="Calibri" w:hAnsi="Calibri" w:cs="Calibri"/>
                <w:sz w:val="18"/>
              </w:rPr>
            </w:pPr>
            <w:r w:rsidRPr="005734B8">
              <w:rPr>
                <w:rFonts w:ascii="Calibri" w:hAnsi="Calibri" w:cs="Calibri"/>
                <w:sz w:val="18"/>
              </w:rPr>
              <w:t>–</w:t>
            </w:r>
          </w:p>
        </w:tc>
      </w:tr>
      <w:tr w:rsidR="00C7560F" w:rsidRPr="005734B8" w14:paraId="268E3C50" w14:textId="77777777" w:rsidTr="00814C74">
        <w:trPr>
          <w:cantSplit/>
          <w:trHeight w:val="477"/>
        </w:trPr>
        <w:tc>
          <w:tcPr>
            <w:tcW w:w="2739" w:type="dxa"/>
            <w:tcBorders>
              <w:top w:val="single" w:sz="4" w:space="0" w:color="53565A" w:themeColor="accent5"/>
              <w:bottom w:val="single" w:sz="4" w:space="0" w:color="53565A" w:themeColor="accent5"/>
            </w:tcBorders>
            <w:shd w:val="clear" w:color="auto" w:fill="auto"/>
          </w:tcPr>
          <w:p w14:paraId="4B4D7F4C" w14:textId="77777777" w:rsidR="00C7560F" w:rsidRPr="005734B8" w:rsidRDefault="00C7560F" w:rsidP="002B6980">
            <w:pPr>
              <w:pStyle w:val="ESTablebody"/>
              <w:rPr>
                <w:rFonts w:ascii="Calibri" w:hAnsi="Calibri" w:cs="Calibri"/>
                <w:sz w:val="18"/>
              </w:rPr>
            </w:pPr>
            <w:r w:rsidRPr="005734B8">
              <w:rPr>
                <w:rFonts w:ascii="Calibri" w:hAnsi="Calibri" w:cs="Calibri"/>
                <w:sz w:val="18"/>
                <w:lang w:val="en-AU"/>
              </w:rPr>
              <w:t>In progress</w:t>
            </w:r>
            <w:r w:rsidRPr="005734B8">
              <w:rPr>
                <w:rStyle w:val="FootnoteReference"/>
                <w:rFonts w:ascii="Calibri" w:hAnsi="Calibri" w:cs="Calibri"/>
                <w:sz w:val="18"/>
                <w:lang w:val="en-AU"/>
              </w:rPr>
              <w:footnoteReference w:id="106"/>
            </w:r>
          </w:p>
        </w:tc>
        <w:tc>
          <w:tcPr>
            <w:tcW w:w="2451" w:type="dxa"/>
            <w:tcBorders>
              <w:top w:val="single" w:sz="4" w:space="0" w:color="53565A" w:themeColor="accent5"/>
              <w:bottom w:val="single" w:sz="4" w:space="0" w:color="53565A" w:themeColor="accent5"/>
            </w:tcBorders>
            <w:vAlign w:val="center"/>
          </w:tcPr>
          <w:p w14:paraId="771956DB" w14:textId="587611A5" w:rsidR="00C7560F" w:rsidRPr="005734B8" w:rsidRDefault="001075A3" w:rsidP="002B6980">
            <w:pPr>
              <w:pStyle w:val="ESTablebody"/>
              <w:jc w:val="center"/>
              <w:rPr>
                <w:rFonts w:ascii="Calibri" w:hAnsi="Calibri" w:cs="Calibri"/>
                <w:sz w:val="18"/>
              </w:rPr>
            </w:pPr>
            <w:r w:rsidRPr="005734B8">
              <w:rPr>
                <w:rFonts w:ascii="Calibri" w:hAnsi="Calibri" w:cs="Calibri"/>
                <w:sz w:val="18"/>
              </w:rPr>
              <w:t>–</w:t>
            </w:r>
          </w:p>
        </w:tc>
        <w:tc>
          <w:tcPr>
            <w:tcW w:w="2731" w:type="dxa"/>
            <w:tcBorders>
              <w:top w:val="single" w:sz="4" w:space="0" w:color="53565A" w:themeColor="accent5"/>
              <w:bottom w:val="single" w:sz="4" w:space="0" w:color="53565A" w:themeColor="accent5"/>
            </w:tcBorders>
            <w:shd w:val="clear" w:color="auto" w:fill="auto"/>
          </w:tcPr>
          <w:p w14:paraId="2225FE01" w14:textId="322AE5D9" w:rsidR="00C7560F" w:rsidRPr="005734B8" w:rsidRDefault="001075A3" w:rsidP="002B6980">
            <w:pPr>
              <w:pStyle w:val="ESTablebody"/>
              <w:jc w:val="center"/>
              <w:rPr>
                <w:rFonts w:ascii="Calibri" w:hAnsi="Calibri" w:cs="Calibri"/>
                <w:sz w:val="18"/>
              </w:rPr>
            </w:pPr>
            <w:r w:rsidRPr="005734B8">
              <w:rPr>
                <w:rFonts w:ascii="Calibri" w:hAnsi="Calibri" w:cs="Calibri"/>
                <w:sz w:val="18"/>
              </w:rPr>
              <w:t>–</w:t>
            </w:r>
          </w:p>
        </w:tc>
      </w:tr>
      <w:tr w:rsidR="00C7560F" w:rsidRPr="005734B8" w14:paraId="2E4B7E72" w14:textId="77777777" w:rsidTr="002B6980">
        <w:trPr>
          <w:cantSplit/>
          <w:trHeight w:val="477"/>
        </w:trPr>
        <w:tc>
          <w:tcPr>
            <w:tcW w:w="2739" w:type="dxa"/>
            <w:tcBorders>
              <w:top w:val="single" w:sz="4" w:space="0" w:color="53565A" w:themeColor="accent5"/>
              <w:bottom w:val="single" w:sz="4" w:space="0" w:color="53565A" w:themeColor="accent5"/>
            </w:tcBorders>
            <w:shd w:val="clear" w:color="auto" w:fill="auto"/>
          </w:tcPr>
          <w:p w14:paraId="39AC9BA2" w14:textId="77777777" w:rsidR="00C7560F" w:rsidRPr="005734B8" w:rsidRDefault="00C7560F" w:rsidP="002B6980">
            <w:pPr>
              <w:pStyle w:val="ESTablebody"/>
              <w:rPr>
                <w:rFonts w:ascii="Calibri" w:hAnsi="Calibri" w:cs="Calibri"/>
                <w:sz w:val="18"/>
              </w:rPr>
            </w:pPr>
            <w:r w:rsidRPr="005734B8">
              <w:rPr>
                <w:rFonts w:ascii="Calibri" w:hAnsi="Calibri" w:cs="Calibri"/>
                <w:sz w:val="18"/>
                <w:lang w:val="en-AU"/>
              </w:rPr>
              <w:t>No jurisdiction</w:t>
            </w:r>
            <w:r w:rsidRPr="005734B8">
              <w:rPr>
                <w:rStyle w:val="FootnoteReference"/>
                <w:rFonts w:ascii="Calibri" w:hAnsi="Calibri" w:cs="Calibri"/>
                <w:sz w:val="18"/>
                <w:lang w:val="en-AU"/>
              </w:rPr>
              <w:footnoteReference w:id="107"/>
            </w:r>
          </w:p>
        </w:tc>
        <w:tc>
          <w:tcPr>
            <w:tcW w:w="2451" w:type="dxa"/>
            <w:tcBorders>
              <w:top w:val="single" w:sz="4" w:space="0" w:color="53565A" w:themeColor="accent5"/>
              <w:bottom w:val="single" w:sz="4" w:space="0" w:color="53565A" w:themeColor="accent5"/>
            </w:tcBorders>
            <w:vAlign w:val="center"/>
          </w:tcPr>
          <w:p w14:paraId="2DDB7623"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18</w:t>
            </w:r>
          </w:p>
        </w:tc>
        <w:tc>
          <w:tcPr>
            <w:tcW w:w="2731" w:type="dxa"/>
            <w:tcBorders>
              <w:top w:val="single" w:sz="4" w:space="0" w:color="53565A" w:themeColor="accent5"/>
              <w:bottom w:val="single" w:sz="4" w:space="0" w:color="53565A" w:themeColor="accent5"/>
            </w:tcBorders>
            <w:shd w:val="clear" w:color="auto" w:fill="auto"/>
            <w:vAlign w:val="center"/>
          </w:tcPr>
          <w:p w14:paraId="574FDFD9"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1</w:t>
            </w:r>
          </w:p>
        </w:tc>
      </w:tr>
      <w:tr w:rsidR="00C7560F" w:rsidRPr="005734B8" w14:paraId="5CEE4DD0" w14:textId="77777777" w:rsidTr="00FD1A52">
        <w:trPr>
          <w:cantSplit/>
          <w:trHeight w:val="477"/>
        </w:trPr>
        <w:tc>
          <w:tcPr>
            <w:tcW w:w="2739" w:type="dxa"/>
            <w:tcBorders>
              <w:top w:val="single" w:sz="4" w:space="0" w:color="53565A" w:themeColor="accent5"/>
              <w:bottom w:val="single" w:sz="4" w:space="0" w:color="53565A" w:themeColor="accent5"/>
            </w:tcBorders>
            <w:shd w:val="clear" w:color="auto" w:fill="auto"/>
          </w:tcPr>
          <w:p w14:paraId="213EA37F" w14:textId="77777777" w:rsidR="00C7560F" w:rsidRPr="005734B8" w:rsidRDefault="00C7560F" w:rsidP="002B6980">
            <w:pPr>
              <w:pStyle w:val="ESTablebody"/>
              <w:rPr>
                <w:rFonts w:ascii="Calibri" w:hAnsi="Calibri" w:cs="Calibri"/>
                <w:sz w:val="18"/>
              </w:rPr>
            </w:pPr>
            <w:r w:rsidRPr="005734B8">
              <w:rPr>
                <w:rFonts w:ascii="Calibri" w:hAnsi="Calibri" w:cs="Calibri"/>
                <w:sz w:val="18"/>
                <w:lang w:val="en-AU"/>
              </w:rPr>
              <w:t>Not specified</w:t>
            </w:r>
          </w:p>
        </w:tc>
        <w:tc>
          <w:tcPr>
            <w:tcW w:w="2451" w:type="dxa"/>
            <w:tcBorders>
              <w:top w:val="single" w:sz="4" w:space="0" w:color="53565A" w:themeColor="accent5"/>
              <w:bottom w:val="single" w:sz="4" w:space="0" w:color="53565A" w:themeColor="accent5"/>
            </w:tcBorders>
            <w:vAlign w:val="center"/>
          </w:tcPr>
          <w:p w14:paraId="7B130EEF" w14:textId="0A054418" w:rsidR="00C7560F" w:rsidRPr="005734B8" w:rsidRDefault="001075A3" w:rsidP="002B6980">
            <w:pPr>
              <w:pStyle w:val="ESTablebody"/>
              <w:jc w:val="center"/>
              <w:rPr>
                <w:rFonts w:ascii="Calibri" w:hAnsi="Calibri" w:cs="Calibri"/>
                <w:sz w:val="18"/>
              </w:rPr>
            </w:pPr>
            <w:r w:rsidRPr="005734B8">
              <w:rPr>
                <w:rFonts w:ascii="Calibri" w:hAnsi="Calibri" w:cs="Calibri"/>
                <w:sz w:val="18"/>
              </w:rPr>
              <w:t>–</w:t>
            </w:r>
          </w:p>
        </w:tc>
        <w:tc>
          <w:tcPr>
            <w:tcW w:w="2731" w:type="dxa"/>
            <w:tcBorders>
              <w:top w:val="single" w:sz="4" w:space="0" w:color="53565A" w:themeColor="accent5"/>
              <w:bottom w:val="single" w:sz="4" w:space="0" w:color="53565A" w:themeColor="accent5"/>
            </w:tcBorders>
            <w:shd w:val="clear" w:color="auto" w:fill="auto"/>
          </w:tcPr>
          <w:p w14:paraId="2530D1D3" w14:textId="03628525" w:rsidR="00C7560F" w:rsidRPr="005734B8" w:rsidRDefault="001075A3" w:rsidP="002B6980">
            <w:pPr>
              <w:pStyle w:val="ESTablebody"/>
              <w:jc w:val="center"/>
              <w:rPr>
                <w:rFonts w:ascii="Calibri" w:hAnsi="Calibri" w:cs="Calibri"/>
                <w:sz w:val="18"/>
              </w:rPr>
            </w:pPr>
            <w:r w:rsidRPr="005734B8">
              <w:rPr>
                <w:rFonts w:ascii="Calibri" w:hAnsi="Calibri" w:cs="Calibri"/>
                <w:sz w:val="18"/>
              </w:rPr>
              <w:t>–</w:t>
            </w:r>
          </w:p>
        </w:tc>
      </w:tr>
      <w:tr w:rsidR="00C7560F" w:rsidRPr="005734B8" w14:paraId="7A0103F6" w14:textId="77777777" w:rsidTr="00FD1A52">
        <w:trPr>
          <w:cantSplit/>
          <w:trHeight w:val="477"/>
        </w:trPr>
        <w:tc>
          <w:tcPr>
            <w:tcW w:w="2739" w:type="dxa"/>
            <w:tcBorders>
              <w:top w:val="single" w:sz="4" w:space="0" w:color="53565A" w:themeColor="accent5"/>
              <w:bottom w:val="single" w:sz="4" w:space="0" w:color="53565A" w:themeColor="accent5"/>
            </w:tcBorders>
            <w:shd w:val="clear" w:color="auto" w:fill="auto"/>
          </w:tcPr>
          <w:p w14:paraId="3D2C0D50" w14:textId="77777777" w:rsidR="00C7560F" w:rsidRPr="005734B8" w:rsidRDefault="00C7560F" w:rsidP="002B6980">
            <w:pPr>
              <w:pStyle w:val="ESTablebody"/>
              <w:rPr>
                <w:rFonts w:ascii="Calibri" w:hAnsi="Calibri" w:cs="Calibri"/>
                <w:sz w:val="18"/>
                <w:lang w:val="en-AU"/>
              </w:rPr>
            </w:pPr>
            <w:r w:rsidRPr="005734B8">
              <w:rPr>
                <w:rFonts w:ascii="Calibri" w:hAnsi="Calibri" w:cs="Calibri"/>
                <w:sz w:val="18"/>
                <w:lang w:val="en-AU"/>
              </w:rPr>
              <w:t>Parent payments</w:t>
            </w:r>
          </w:p>
        </w:tc>
        <w:tc>
          <w:tcPr>
            <w:tcW w:w="2451" w:type="dxa"/>
            <w:tcBorders>
              <w:top w:val="single" w:sz="4" w:space="0" w:color="53565A" w:themeColor="accent5"/>
              <w:bottom w:val="single" w:sz="4" w:space="0" w:color="53565A" w:themeColor="accent5"/>
            </w:tcBorders>
            <w:vAlign w:val="center"/>
          </w:tcPr>
          <w:p w14:paraId="5E078D5A"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2</w:t>
            </w:r>
          </w:p>
        </w:tc>
        <w:tc>
          <w:tcPr>
            <w:tcW w:w="2731" w:type="dxa"/>
            <w:tcBorders>
              <w:top w:val="single" w:sz="4" w:space="0" w:color="53565A" w:themeColor="accent5"/>
              <w:bottom w:val="single" w:sz="4" w:space="0" w:color="53565A" w:themeColor="accent5"/>
            </w:tcBorders>
            <w:shd w:val="clear" w:color="auto" w:fill="auto"/>
          </w:tcPr>
          <w:p w14:paraId="62C6A6FC" w14:textId="43C9D07A" w:rsidR="00C7560F" w:rsidRPr="005734B8" w:rsidRDefault="001075A3" w:rsidP="002B6980">
            <w:pPr>
              <w:pStyle w:val="ESTablebody"/>
              <w:jc w:val="center"/>
              <w:rPr>
                <w:rFonts w:ascii="Calibri" w:hAnsi="Calibri" w:cs="Calibri"/>
                <w:sz w:val="18"/>
              </w:rPr>
            </w:pPr>
            <w:r w:rsidRPr="005734B8">
              <w:rPr>
                <w:rFonts w:ascii="Calibri" w:hAnsi="Calibri" w:cs="Calibri"/>
                <w:sz w:val="18"/>
              </w:rPr>
              <w:t>–</w:t>
            </w:r>
          </w:p>
        </w:tc>
      </w:tr>
      <w:tr w:rsidR="00C7560F" w:rsidRPr="005734B8" w14:paraId="5A4A1455" w14:textId="77777777" w:rsidTr="00FD1A52">
        <w:trPr>
          <w:cantSplit/>
          <w:trHeight w:val="477"/>
        </w:trPr>
        <w:tc>
          <w:tcPr>
            <w:tcW w:w="2739" w:type="dxa"/>
            <w:tcBorders>
              <w:top w:val="single" w:sz="4" w:space="0" w:color="53565A" w:themeColor="accent5"/>
              <w:bottom w:val="single" w:sz="4" w:space="0" w:color="53565A" w:themeColor="accent5"/>
            </w:tcBorders>
            <w:shd w:val="clear" w:color="auto" w:fill="auto"/>
          </w:tcPr>
          <w:p w14:paraId="1401DC39" w14:textId="77777777" w:rsidR="00C7560F" w:rsidRPr="005734B8" w:rsidRDefault="00C7560F" w:rsidP="002B6980">
            <w:pPr>
              <w:pStyle w:val="ESTablebody"/>
              <w:rPr>
                <w:rFonts w:ascii="Calibri" w:hAnsi="Calibri" w:cs="Calibri"/>
                <w:sz w:val="18"/>
              </w:rPr>
            </w:pPr>
            <w:r w:rsidRPr="005734B8">
              <w:rPr>
                <w:rFonts w:ascii="Calibri" w:hAnsi="Calibri" w:cs="Calibri"/>
                <w:sz w:val="18"/>
                <w:lang w:val="en-AU"/>
              </w:rPr>
              <w:t>School disciplinary penalty</w:t>
            </w:r>
          </w:p>
        </w:tc>
        <w:tc>
          <w:tcPr>
            <w:tcW w:w="2451" w:type="dxa"/>
            <w:tcBorders>
              <w:top w:val="single" w:sz="4" w:space="0" w:color="53565A" w:themeColor="accent5"/>
              <w:bottom w:val="single" w:sz="4" w:space="0" w:color="53565A" w:themeColor="accent5"/>
            </w:tcBorders>
            <w:vAlign w:val="center"/>
          </w:tcPr>
          <w:p w14:paraId="266A20E5"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5</w:t>
            </w:r>
          </w:p>
        </w:tc>
        <w:tc>
          <w:tcPr>
            <w:tcW w:w="2731" w:type="dxa"/>
            <w:tcBorders>
              <w:top w:val="single" w:sz="4" w:space="0" w:color="53565A" w:themeColor="accent5"/>
              <w:bottom w:val="single" w:sz="4" w:space="0" w:color="53565A" w:themeColor="accent5"/>
            </w:tcBorders>
            <w:shd w:val="clear" w:color="auto" w:fill="auto"/>
          </w:tcPr>
          <w:p w14:paraId="507CAEC8" w14:textId="7C392326" w:rsidR="00C7560F" w:rsidRPr="005734B8" w:rsidRDefault="001075A3" w:rsidP="002B6980">
            <w:pPr>
              <w:pStyle w:val="ESTablebody"/>
              <w:jc w:val="center"/>
              <w:rPr>
                <w:rFonts w:ascii="Calibri" w:hAnsi="Calibri" w:cs="Calibri"/>
                <w:sz w:val="18"/>
              </w:rPr>
            </w:pPr>
            <w:r w:rsidRPr="005734B8">
              <w:rPr>
                <w:rFonts w:ascii="Calibri" w:hAnsi="Calibri" w:cs="Calibri"/>
                <w:sz w:val="18"/>
              </w:rPr>
              <w:t>–</w:t>
            </w:r>
          </w:p>
        </w:tc>
      </w:tr>
      <w:tr w:rsidR="00C7560F" w:rsidRPr="005734B8" w14:paraId="6ED543AE" w14:textId="77777777" w:rsidTr="00FD1A52">
        <w:trPr>
          <w:cantSplit/>
          <w:trHeight w:val="477"/>
        </w:trPr>
        <w:tc>
          <w:tcPr>
            <w:tcW w:w="2739" w:type="dxa"/>
            <w:tcBorders>
              <w:top w:val="single" w:sz="4" w:space="0" w:color="53565A" w:themeColor="accent5"/>
              <w:bottom w:val="single" w:sz="4" w:space="0" w:color="53565A" w:themeColor="accent5"/>
            </w:tcBorders>
            <w:shd w:val="clear" w:color="auto" w:fill="auto"/>
          </w:tcPr>
          <w:p w14:paraId="66FAED5F" w14:textId="77777777" w:rsidR="00C7560F" w:rsidRPr="005734B8" w:rsidRDefault="00C7560F" w:rsidP="002B6980">
            <w:pPr>
              <w:pStyle w:val="ESTablebody"/>
              <w:rPr>
                <w:rFonts w:ascii="Calibri" w:hAnsi="Calibri" w:cs="Calibri"/>
                <w:sz w:val="18"/>
              </w:rPr>
            </w:pPr>
            <w:r w:rsidRPr="005734B8">
              <w:rPr>
                <w:rFonts w:ascii="Calibri" w:hAnsi="Calibri" w:cs="Calibri"/>
                <w:sz w:val="18"/>
                <w:lang w:val="en-AU"/>
              </w:rPr>
              <w:t>School procedure errors</w:t>
            </w:r>
          </w:p>
        </w:tc>
        <w:tc>
          <w:tcPr>
            <w:tcW w:w="2451" w:type="dxa"/>
            <w:tcBorders>
              <w:top w:val="single" w:sz="4" w:space="0" w:color="53565A" w:themeColor="accent5"/>
              <w:bottom w:val="single" w:sz="4" w:space="0" w:color="53565A" w:themeColor="accent5"/>
            </w:tcBorders>
            <w:vAlign w:val="center"/>
          </w:tcPr>
          <w:p w14:paraId="43715650"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3</w:t>
            </w:r>
          </w:p>
        </w:tc>
        <w:tc>
          <w:tcPr>
            <w:tcW w:w="2731" w:type="dxa"/>
            <w:tcBorders>
              <w:top w:val="single" w:sz="4" w:space="0" w:color="53565A" w:themeColor="accent5"/>
              <w:bottom w:val="single" w:sz="4" w:space="0" w:color="53565A" w:themeColor="accent5"/>
            </w:tcBorders>
            <w:shd w:val="clear" w:color="auto" w:fill="auto"/>
          </w:tcPr>
          <w:p w14:paraId="6E091E1D" w14:textId="0CC07A6D" w:rsidR="00C7560F" w:rsidRPr="005734B8" w:rsidRDefault="001075A3" w:rsidP="002B6980">
            <w:pPr>
              <w:pStyle w:val="ESTablebody"/>
              <w:jc w:val="center"/>
              <w:rPr>
                <w:rFonts w:ascii="Calibri" w:hAnsi="Calibri" w:cs="Calibri"/>
                <w:sz w:val="18"/>
              </w:rPr>
            </w:pPr>
            <w:r w:rsidRPr="005734B8">
              <w:rPr>
                <w:rFonts w:ascii="Calibri" w:hAnsi="Calibri" w:cs="Calibri"/>
                <w:sz w:val="18"/>
              </w:rPr>
              <w:t>–</w:t>
            </w:r>
          </w:p>
        </w:tc>
      </w:tr>
      <w:tr w:rsidR="00C7560F" w:rsidRPr="005734B8" w14:paraId="7DD4D271" w14:textId="77777777" w:rsidTr="002B6980">
        <w:trPr>
          <w:cantSplit/>
          <w:trHeight w:val="477"/>
        </w:trPr>
        <w:tc>
          <w:tcPr>
            <w:tcW w:w="2739" w:type="dxa"/>
            <w:tcBorders>
              <w:top w:val="single" w:sz="4" w:space="0" w:color="53565A" w:themeColor="accent5"/>
              <w:bottom w:val="single" w:sz="4" w:space="0" w:color="53565A" w:themeColor="accent5"/>
            </w:tcBorders>
            <w:shd w:val="clear" w:color="auto" w:fill="auto"/>
          </w:tcPr>
          <w:p w14:paraId="069261E0" w14:textId="77777777" w:rsidR="00C7560F" w:rsidRPr="005734B8" w:rsidRDefault="00C7560F" w:rsidP="002B6980">
            <w:pPr>
              <w:pStyle w:val="ESTablebody"/>
              <w:rPr>
                <w:rFonts w:ascii="Calibri" w:hAnsi="Calibri" w:cs="Calibri"/>
                <w:sz w:val="18"/>
              </w:rPr>
            </w:pPr>
            <w:r w:rsidRPr="005734B8">
              <w:rPr>
                <w:rFonts w:ascii="Calibri" w:hAnsi="Calibri" w:cs="Calibri"/>
                <w:sz w:val="18"/>
                <w:lang w:val="en-AU"/>
              </w:rPr>
              <w:t>Staff conduct</w:t>
            </w:r>
          </w:p>
        </w:tc>
        <w:tc>
          <w:tcPr>
            <w:tcW w:w="2451" w:type="dxa"/>
            <w:tcBorders>
              <w:top w:val="single" w:sz="4" w:space="0" w:color="53565A" w:themeColor="accent5"/>
              <w:bottom w:val="single" w:sz="4" w:space="0" w:color="53565A" w:themeColor="accent5"/>
            </w:tcBorders>
            <w:vAlign w:val="center"/>
          </w:tcPr>
          <w:p w14:paraId="38C18500"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11</w:t>
            </w:r>
          </w:p>
        </w:tc>
        <w:tc>
          <w:tcPr>
            <w:tcW w:w="2731" w:type="dxa"/>
            <w:tcBorders>
              <w:top w:val="single" w:sz="4" w:space="0" w:color="53565A" w:themeColor="accent5"/>
              <w:bottom w:val="single" w:sz="4" w:space="0" w:color="53565A" w:themeColor="accent5"/>
            </w:tcBorders>
            <w:shd w:val="clear" w:color="auto" w:fill="auto"/>
            <w:vAlign w:val="center"/>
          </w:tcPr>
          <w:p w14:paraId="7318146F"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1</w:t>
            </w:r>
          </w:p>
        </w:tc>
      </w:tr>
      <w:tr w:rsidR="00C7560F" w:rsidRPr="005734B8" w14:paraId="4176171E" w14:textId="77777777" w:rsidTr="002B6980">
        <w:trPr>
          <w:cantSplit/>
          <w:trHeight w:val="477"/>
        </w:trPr>
        <w:tc>
          <w:tcPr>
            <w:tcW w:w="2739" w:type="dxa"/>
            <w:tcBorders>
              <w:top w:val="single" w:sz="4" w:space="0" w:color="53565A" w:themeColor="accent5"/>
              <w:bottom w:val="single" w:sz="4" w:space="0" w:color="53565A" w:themeColor="accent5"/>
            </w:tcBorders>
            <w:shd w:val="clear" w:color="auto" w:fill="auto"/>
          </w:tcPr>
          <w:p w14:paraId="689A3D72" w14:textId="77777777" w:rsidR="00C7560F" w:rsidRPr="005734B8" w:rsidRDefault="00C7560F" w:rsidP="002B6980">
            <w:pPr>
              <w:pStyle w:val="ESTablebody"/>
              <w:rPr>
                <w:rFonts w:ascii="Calibri" w:hAnsi="Calibri" w:cs="Calibri"/>
                <w:sz w:val="18"/>
              </w:rPr>
            </w:pPr>
            <w:r w:rsidRPr="005734B8">
              <w:rPr>
                <w:rFonts w:ascii="Calibri" w:hAnsi="Calibri" w:cs="Calibri"/>
                <w:sz w:val="18"/>
                <w:lang w:val="en-AU"/>
              </w:rPr>
              <w:t>Student attendance/engagement</w:t>
            </w:r>
          </w:p>
        </w:tc>
        <w:tc>
          <w:tcPr>
            <w:tcW w:w="2451" w:type="dxa"/>
            <w:tcBorders>
              <w:top w:val="single" w:sz="4" w:space="0" w:color="53565A" w:themeColor="accent5"/>
              <w:bottom w:val="single" w:sz="4" w:space="0" w:color="53565A" w:themeColor="accent5"/>
            </w:tcBorders>
            <w:vAlign w:val="center"/>
          </w:tcPr>
          <w:p w14:paraId="00343D1F"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1</w:t>
            </w:r>
          </w:p>
        </w:tc>
        <w:tc>
          <w:tcPr>
            <w:tcW w:w="2731" w:type="dxa"/>
            <w:tcBorders>
              <w:top w:val="single" w:sz="4" w:space="0" w:color="53565A" w:themeColor="accent5"/>
              <w:bottom w:val="single" w:sz="4" w:space="0" w:color="53565A" w:themeColor="accent5"/>
            </w:tcBorders>
            <w:shd w:val="clear" w:color="auto" w:fill="auto"/>
            <w:vAlign w:val="center"/>
          </w:tcPr>
          <w:p w14:paraId="6F1987A7" w14:textId="41F949AB" w:rsidR="00C7560F" w:rsidRPr="005734B8" w:rsidRDefault="001075A3" w:rsidP="002B6980">
            <w:pPr>
              <w:pStyle w:val="ESTablebody"/>
              <w:jc w:val="center"/>
              <w:rPr>
                <w:rFonts w:ascii="Calibri" w:hAnsi="Calibri" w:cs="Calibri"/>
                <w:sz w:val="18"/>
              </w:rPr>
            </w:pPr>
            <w:r w:rsidRPr="005734B8">
              <w:rPr>
                <w:rFonts w:ascii="Calibri" w:hAnsi="Calibri" w:cs="Calibri"/>
                <w:sz w:val="18"/>
              </w:rPr>
              <w:t>–</w:t>
            </w:r>
          </w:p>
        </w:tc>
      </w:tr>
      <w:tr w:rsidR="00C7560F" w:rsidRPr="005734B8" w14:paraId="72CCF9B8" w14:textId="77777777" w:rsidTr="002B6980">
        <w:trPr>
          <w:cantSplit/>
          <w:trHeight w:val="477"/>
        </w:trPr>
        <w:tc>
          <w:tcPr>
            <w:tcW w:w="2739" w:type="dxa"/>
            <w:tcBorders>
              <w:top w:val="single" w:sz="4" w:space="0" w:color="53565A" w:themeColor="accent5"/>
              <w:bottom w:val="single" w:sz="4" w:space="0" w:color="53565A" w:themeColor="accent5"/>
            </w:tcBorders>
            <w:shd w:val="clear" w:color="auto" w:fill="auto"/>
          </w:tcPr>
          <w:p w14:paraId="6A61AF17" w14:textId="77777777" w:rsidR="00C7560F" w:rsidRPr="005734B8" w:rsidRDefault="00C7560F" w:rsidP="002B6980">
            <w:pPr>
              <w:pStyle w:val="ESTablebody"/>
              <w:rPr>
                <w:rFonts w:ascii="Calibri" w:hAnsi="Calibri" w:cs="Calibri"/>
                <w:sz w:val="18"/>
              </w:rPr>
            </w:pPr>
            <w:r w:rsidRPr="005734B8">
              <w:rPr>
                <w:rFonts w:ascii="Calibri" w:hAnsi="Calibri" w:cs="Calibri"/>
                <w:sz w:val="18"/>
                <w:lang w:val="en-AU"/>
              </w:rPr>
              <w:t>Student discipline</w:t>
            </w:r>
          </w:p>
        </w:tc>
        <w:tc>
          <w:tcPr>
            <w:tcW w:w="2451" w:type="dxa"/>
            <w:tcBorders>
              <w:top w:val="single" w:sz="4" w:space="0" w:color="53565A" w:themeColor="accent5"/>
              <w:bottom w:val="single" w:sz="4" w:space="0" w:color="53565A" w:themeColor="accent5"/>
            </w:tcBorders>
            <w:vAlign w:val="center"/>
          </w:tcPr>
          <w:p w14:paraId="4086F35A"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0</w:t>
            </w:r>
          </w:p>
        </w:tc>
        <w:tc>
          <w:tcPr>
            <w:tcW w:w="2731" w:type="dxa"/>
            <w:tcBorders>
              <w:top w:val="single" w:sz="4" w:space="0" w:color="53565A" w:themeColor="accent5"/>
              <w:bottom w:val="single" w:sz="4" w:space="0" w:color="53565A" w:themeColor="accent5"/>
            </w:tcBorders>
            <w:shd w:val="clear" w:color="auto" w:fill="auto"/>
            <w:vAlign w:val="center"/>
          </w:tcPr>
          <w:p w14:paraId="1432900D"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1</w:t>
            </w:r>
          </w:p>
        </w:tc>
      </w:tr>
      <w:tr w:rsidR="00C7560F" w:rsidRPr="005734B8" w14:paraId="1E65C792" w14:textId="77777777" w:rsidTr="002B6980">
        <w:trPr>
          <w:cantSplit/>
          <w:trHeight w:val="477"/>
        </w:trPr>
        <w:tc>
          <w:tcPr>
            <w:tcW w:w="2739" w:type="dxa"/>
            <w:tcBorders>
              <w:top w:val="single" w:sz="4" w:space="0" w:color="53565A" w:themeColor="accent5"/>
              <w:bottom w:val="single" w:sz="4" w:space="0" w:color="53565A" w:themeColor="accent5"/>
            </w:tcBorders>
            <w:shd w:val="clear" w:color="auto" w:fill="auto"/>
          </w:tcPr>
          <w:p w14:paraId="3C94EE1F" w14:textId="77777777" w:rsidR="00C7560F" w:rsidRPr="005734B8" w:rsidRDefault="00C7560F" w:rsidP="002B6980">
            <w:pPr>
              <w:pStyle w:val="ESTablebody"/>
              <w:rPr>
                <w:rFonts w:ascii="Calibri" w:hAnsi="Calibri" w:cs="Calibri"/>
                <w:sz w:val="18"/>
                <w:lang w:val="en-AU"/>
              </w:rPr>
            </w:pPr>
            <w:r w:rsidRPr="005734B8">
              <w:rPr>
                <w:rFonts w:ascii="Calibri" w:hAnsi="Calibri" w:cs="Calibri"/>
                <w:sz w:val="18"/>
                <w:lang w:val="en-AU"/>
              </w:rPr>
              <w:t>Student health and wellbeing</w:t>
            </w:r>
          </w:p>
        </w:tc>
        <w:tc>
          <w:tcPr>
            <w:tcW w:w="2451" w:type="dxa"/>
            <w:tcBorders>
              <w:top w:val="single" w:sz="4" w:space="0" w:color="53565A" w:themeColor="accent5"/>
              <w:bottom w:val="single" w:sz="4" w:space="0" w:color="53565A" w:themeColor="accent5"/>
            </w:tcBorders>
            <w:vAlign w:val="center"/>
          </w:tcPr>
          <w:p w14:paraId="387FF2DB"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6</w:t>
            </w:r>
          </w:p>
        </w:tc>
        <w:tc>
          <w:tcPr>
            <w:tcW w:w="2731" w:type="dxa"/>
            <w:tcBorders>
              <w:top w:val="single" w:sz="4" w:space="0" w:color="53565A" w:themeColor="accent5"/>
              <w:bottom w:val="single" w:sz="4" w:space="0" w:color="53565A" w:themeColor="accent5"/>
            </w:tcBorders>
            <w:shd w:val="clear" w:color="auto" w:fill="auto"/>
            <w:vAlign w:val="center"/>
          </w:tcPr>
          <w:p w14:paraId="1F947C00"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2</w:t>
            </w:r>
          </w:p>
        </w:tc>
      </w:tr>
      <w:tr w:rsidR="00C7560F" w:rsidRPr="005734B8" w14:paraId="498A9327" w14:textId="77777777" w:rsidTr="002B6980">
        <w:trPr>
          <w:cantSplit/>
          <w:trHeight w:val="477"/>
        </w:trPr>
        <w:tc>
          <w:tcPr>
            <w:tcW w:w="2739" w:type="dxa"/>
            <w:tcBorders>
              <w:top w:val="single" w:sz="4" w:space="0" w:color="53565A" w:themeColor="accent5"/>
              <w:bottom w:val="single" w:sz="4" w:space="0" w:color="53565A" w:themeColor="accent5"/>
            </w:tcBorders>
            <w:shd w:val="clear" w:color="auto" w:fill="auto"/>
          </w:tcPr>
          <w:p w14:paraId="41A5EF06" w14:textId="77777777" w:rsidR="00C7560F" w:rsidRPr="005734B8" w:rsidRDefault="00C7560F" w:rsidP="002B6980">
            <w:pPr>
              <w:pStyle w:val="ESTablebody"/>
              <w:rPr>
                <w:rFonts w:ascii="Calibri" w:hAnsi="Calibri" w:cs="Calibri"/>
                <w:sz w:val="18"/>
              </w:rPr>
            </w:pPr>
            <w:r w:rsidRPr="005734B8">
              <w:rPr>
                <w:rFonts w:ascii="Calibri" w:hAnsi="Calibri" w:cs="Calibri"/>
                <w:sz w:val="18"/>
                <w:lang w:val="en-AU"/>
              </w:rPr>
              <w:t>Student welfare</w:t>
            </w:r>
          </w:p>
        </w:tc>
        <w:tc>
          <w:tcPr>
            <w:tcW w:w="2451" w:type="dxa"/>
            <w:tcBorders>
              <w:top w:val="single" w:sz="4" w:space="0" w:color="53565A" w:themeColor="accent5"/>
              <w:bottom w:val="single" w:sz="4" w:space="0" w:color="53565A" w:themeColor="accent5"/>
            </w:tcBorders>
            <w:vAlign w:val="center"/>
          </w:tcPr>
          <w:p w14:paraId="15CFA1DB" w14:textId="5F58371E" w:rsidR="00C7560F" w:rsidRPr="005734B8" w:rsidRDefault="001075A3" w:rsidP="002B6980">
            <w:pPr>
              <w:pStyle w:val="ESTablebody"/>
              <w:jc w:val="center"/>
              <w:rPr>
                <w:rFonts w:ascii="Calibri" w:hAnsi="Calibri" w:cs="Calibri"/>
                <w:sz w:val="18"/>
              </w:rPr>
            </w:pPr>
            <w:r w:rsidRPr="005734B8">
              <w:rPr>
                <w:rFonts w:ascii="Calibri" w:hAnsi="Calibri" w:cs="Calibri"/>
                <w:sz w:val="18"/>
              </w:rPr>
              <w:t>–</w:t>
            </w:r>
          </w:p>
        </w:tc>
        <w:tc>
          <w:tcPr>
            <w:tcW w:w="2731" w:type="dxa"/>
            <w:tcBorders>
              <w:top w:val="single" w:sz="4" w:space="0" w:color="53565A" w:themeColor="accent5"/>
              <w:bottom w:val="single" w:sz="4" w:space="0" w:color="53565A" w:themeColor="accent5"/>
            </w:tcBorders>
            <w:shd w:val="clear" w:color="auto" w:fill="auto"/>
            <w:vAlign w:val="center"/>
          </w:tcPr>
          <w:p w14:paraId="59811EE1" w14:textId="7A0C3434" w:rsidR="00C7560F" w:rsidRPr="005734B8" w:rsidRDefault="001075A3" w:rsidP="002B6980">
            <w:pPr>
              <w:pStyle w:val="ESTablebody"/>
              <w:jc w:val="center"/>
              <w:rPr>
                <w:rFonts w:ascii="Calibri" w:hAnsi="Calibri" w:cs="Calibri"/>
                <w:sz w:val="18"/>
              </w:rPr>
            </w:pPr>
            <w:r w:rsidRPr="005734B8">
              <w:rPr>
                <w:rFonts w:ascii="Calibri" w:hAnsi="Calibri" w:cs="Calibri"/>
                <w:sz w:val="18"/>
              </w:rPr>
              <w:t>–</w:t>
            </w:r>
          </w:p>
        </w:tc>
      </w:tr>
      <w:tr w:rsidR="00C7560F" w:rsidRPr="005734B8" w14:paraId="04321252" w14:textId="77777777" w:rsidTr="002B6980">
        <w:trPr>
          <w:cantSplit/>
          <w:trHeight w:val="477"/>
        </w:trPr>
        <w:tc>
          <w:tcPr>
            <w:tcW w:w="2739" w:type="dxa"/>
            <w:tcBorders>
              <w:top w:val="single" w:sz="4" w:space="0" w:color="53565A" w:themeColor="accent5"/>
              <w:bottom w:val="single" w:sz="4" w:space="0" w:color="53565A" w:themeColor="accent5"/>
            </w:tcBorders>
            <w:shd w:val="clear" w:color="auto" w:fill="auto"/>
          </w:tcPr>
          <w:p w14:paraId="643C0AD8" w14:textId="18E9294A" w:rsidR="00C7560F" w:rsidRPr="005734B8" w:rsidRDefault="00C7560F" w:rsidP="002B6980">
            <w:pPr>
              <w:pStyle w:val="ESTablebody"/>
              <w:rPr>
                <w:rFonts w:ascii="Calibri" w:hAnsi="Calibri" w:cs="Calibri"/>
                <w:sz w:val="18"/>
              </w:rPr>
            </w:pPr>
            <w:r w:rsidRPr="005734B8">
              <w:rPr>
                <w:rFonts w:ascii="Calibri" w:hAnsi="Calibri" w:cs="Calibri"/>
                <w:sz w:val="18"/>
                <w:lang w:val="en-AU"/>
              </w:rPr>
              <w:t>Student support/</w:t>
            </w:r>
            <w:r w:rsidR="001075A3" w:rsidRPr="005734B8">
              <w:rPr>
                <w:rFonts w:ascii="Calibri" w:hAnsi="Calibri" w:cs="Calibri"/>
                <w:sz w:val="18"/>
                <w:lang w:val="en-AU"/>
              </w:rPr>
              <w:t>r</w:t>
            </w:r>
            <w:r w:rsidRPr="005734B8">
              <w:rPr>
                <w:rFonts w:ascii="Calibri" w:hAnsi="Calibri" w:cs="Calibri"/>
                <w:sz w:val="18"/>
                <w:lang w:val="en-AU"/>
              </w:rPr>
              <w:t>easonable adjustment</w:t>
            </w:r>
          </w:p>
        </w:tc>
        <w:tc>
          <w:tcPr>
            <w:tcW w:w="2451" w:type="dxa"/>
            <w:tcBorders>
              <w:top w:val="single" w:sz="4" w:space="0" w:color="53565A" w:themeColor="accent5"/>
              <w:bottom w:val="single" w:sz="4" w:space="0" w:color="53565A" w:themeColor="accent5"/>
            </w:tcBorders>
            <w:vAlign w:val="center"/>
          </w:tcPr>
          <w:p w14:paraId="6E78EBD7"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4</w:t>
            </w:r>
          </w:p>
        </w:tc>
        <w:tc>
          <w:tcPr>
            <w:tcW w:w="2731" w:type="dxa"/>
            <w:tcBorders>
              <w:top w:val="single" w:sz="4" w:space="0" w:color="53565A" w:themeColor="accent5"/>
              <w:bottom w:val="single" w:sz="4" w:space="0" w:color="53565A" w:themeColor="accent5"/>
            </w:tcBorders>
            <w:shd w:val="clear" w:color="auto" w:fill="auto"/>
            <w:vAlign w:val="center"/>
          </w:tcPr>
          <w:p w14:paraId="2FFC7C1C" w14:textId="77777777" w:rsidR="00C7560F" w:rsidRPr="005734B8" w:rsidRDefault="00C7560F" w:rsidP="002B6980">
            <w:pPr>
              <w:pStyle w:val="ESTablebody"/>
              <w:jc w:val="center"/>
              <w:rPr>
                <w:rFonts w:ascii="Calibri" w:hAnsi="Calibri" w:cs="Calibri"/>
                <w:sz w:val="18"/>
              </w:rPr>
            </w:pPr>
            <w:r w:rsidRPr="005734B8">
              <w:rPr>
                <w:rFonts w:ascii="Calibri" w:hAnsi="Calibri" w:cs="Calibri"/>
                <w:sz w:val="18"/>
              </w:rPr>
              <w:t>2</w:t>
            </w:r>
          </w:p>
        </w:tc>
      </w:tr>
      <w:tr w:rsidR="00C7560F" w:rsidRPr="005734B8" w14:paraId="07032E1B" w14:textId="77777777" w:rsidTr="002B6980">
        <w:trPr>
          <w:cantSplit/>
          <w:trHeight w:val="477"/>
        </w:trPr>
        <w:tc>
          <w:tcPr>
            <w:tcW w:w="2739" w:type="dxa"/>
            <w:tcBorders>
              <w:top w:val="single" w:sz="4" w:space="0" w:color="53565A" w:themeColor="accent5"/>
              <w:bottom w:val="single" w:sz="4" w:space="0" w:color="53565A" w:themeColor="accent5"/>
            </w:tcBorders>
            <w:shd w:val="clear" w:color="auto" w:fill="auto"/>
          </w:tcPr>
          <w:p w14:paraId="0FF58698" w14:textId="77777777" w:rsidR="00C7560F" w:rsidRPr="005734B8" w:rsidRDefault="00C7560F" w:rsidP="002B6980">
            <w:pPr>
              <w:pStyle w:val="ESTablebody"/>
              <w:rPr>
                <w:rFonts w:ascii="Calibri" w:hAnsi="Calibri" w:cs="Calibri"/>
                <w:sz w:val="18"/>
              </w:rPr>
            </w:pPr>
            <w:r w:rsidRPr="005734B8">
              <w:rPr>
                <w:rFonts w:ascii="Calibri" w:hAnsi="Calibri" w:cs="Calibri"/>
                <w:sz w:val="18"/>
                <w:lang w:val="en-AU"/>
              </w:rPr>
              <w:t>Transport</w:t>
            </w:r>
          </w:p>
        </w:tc>
        <w:tc>
          <w:tcPr>
            <w:tcW w:w="2451" w:type="dxa"/>
            <w:tcBorders>
              <w:top w:val="single" w:sz="4" w:space="0" w:color="53565A" w:themeColor="accent5"/>
              <w:bottom w:val="single" w:sz="4" w:space="0" w:color="53565A" w:themeColor="accent5"/>
            </w:tcBorders>
            <w:vAlign w:val="center"/>
          </w:tcPr>
          <w:p w14:paraId="59392E8A" w14:textId="5E22AA4B" w:rsidR="00C7560F" w:rsidRPr="005734B8" w:rsidRDefault="001075A3" w:rsidP="002B6980">
            <w:pPr>
              <w:pStyle w:val="ESTablebody"/>
              <w:jc w:val="center"/>
              <w:rPr>
                <w:rFonts w:ascii="Calibri" w:hAnsi="Calibri" w:cs="Calibri"/>
                <w:sz w:val="18"/>
              </w:rPr>
            </w:pPr>
            <w:r w:rsidRPr="005734B8">
              <w:rPr>
                <w:rFonts w:ascii="Calibri" w:hAnsi="Calibri" w:cs="Calibri"/>
                <w:sz w:val="18"/>
              </w:rPr>
              <w:t>–</w:t>
            </w:r>
          </w:p>
        </w:tc>
        <w:tc>
          <w:tcPr>
            <w:tcW w:w="2731" w:type="dxa"/>
            <w:tcBorders>
              <w:top w:val="single" w:sz="4" w:space="0" w:color="53565A" w:themeColor="accent5"/>
              <w:bottom w:val="single" w:sz="4" w:space="0" w:color="53565A" w:themeColor="accent5"/>
            </w:tcBorders>
            <w:shd w:val="clear" w:color="auto" w:fill="auto"/>
            <w:vAlign w:val="center"/>
          </w:tcPr>
          <w:p w14:paraId="01BB3C41" w14:textId="2903E58A" w:rsidR="00C7560F" w:rsidRPr="005734B8" w:rsidRDefault="001075A3" w:rsidP="002B6980">
            <w:pPr>
              <w:pStyle w:val="ESTablebody"/>
              <w:jc w:val="center"/>
              <w:rPr>
                <w:rFonts w:ascii="Calibri" w:hAnsi="Calibri" w:cs="Calibri"/>
                <w:sz w:val="18"/>
              </w:rPr>
            </w:pPr>
            <w:r w:rsidRPr="005734B8">
              <w:rPr>
                <w:rFonts w:ascii="Calibri" w:hAnsi="Calibri" w:cs="Calibri"/>
                <w:sz w:val="18"/>
              </w:rPr>
              <w:t>–</w:t>
            </w:r>
          </w:p>
        </w:tc>
      </w:tr>
      <w:tr w:rsidR="00C7560F" w:rsidRPr="005734B8" w14:paraId="00EDB8DC" w14:textId="77777777" w:rsidTr="002B6980">
        <w:trPr>
          <w:cantSplit/>
          <w:trHeight w:val="477"/>
        </w:trPr>
        <w:tc>
          <w:tcPr>
            <w:tcW w:w="2739" w:type="dxa"/>
            <w:tcBorders>
              <w:top w:val="single" w:sz="4" w:space="0" w:color="53565A" w:themeColor="accent5"/>
              <w:bottom w:val="single" w:sz="4" w:space="0" w:color="53565A" w:themeColor="accent5"/>
            </w:tcBorders>
            <w:shd w:val="clear" w:color="auto" w:fill="auto"/>
            <w:vAlign w:val="center"/>
          </w:tcPr>
          <w:p w14:paraId="200C86E6" w14:textId="77777777" w:rsidR="00C7560F" w:rsidRPr="005734B8" w:rsidRDefault="00C7560F" w:rsidP="002B6980">
            <w:pPr>
              <w:pStyle w:val="ESTablebody"/>
              <w:rPr>
                <w:rFonts w:ascii="Calibri" w:hAnsi="Calibri" w:cs="Calibri"/>
                <w:sz w:val="18"/>
              </w:rPr>
            </w:pPr>
            <w:r w:rsidRPr="005734B8">
              <w:rPr>
                <w:rFonts w:ascii="Calibri" w:hAnsi="Calibri" w:cs="Calibri"/>
                <w:b/>
                <w:sz w:val="18"/>
                <w:lang w:val="en-AU"/>
              </w:rPr>
              <w:t>Total</w:t>
            </w:r>
          </w:p>
        </w:tc>
        <w:tc>
          <w:tcPr>
            <w:tcW w:w="2451" w:type="dxa"/>
            <w:tcBorders>
              <w:top w:val="single" w:sz="4" w:space="0" w:color="53565A" w:themeColor="accent5"/>
              <w:bottom w:val="single" w:sz="4" w:space="0" w:color="53565A" w:themeColor="accent5"/>
            </w:tcBorders>
            <w:vAlign w:val="center"/>
          </w:tcPr>
          <w:p w14:paraId="1B9FDBCC" w14:textId="77777777" w:rsidR="00C7560F" w:rsidRPr="005734B8" w:rsidRDefault="00C7560F" w:rsidP="002B6980">
            <w:pPr>
              <w:pStyle w:val="ESTablebody"/>
              <w:jc w:val="center"/>
              <w:rPr>
                <w:rFonts w:ascii="Calibri" w:hAnsi="Calibri" w:cs="Calibri"/>
                <w:b/>
                <w:bCs/>
                <w:sz w:val="18"/>
              </w:rPr>
            </w:pPr>
            <w:r w:rsidRPr="005734B8">
              <w:rPr>
                <w:rFonts w:ascii="Calibri" w:hAnsi="Calibri" w:cs="Calibri"/>
                <w:b/>
                <w:bCs/>
                <w:sz w:val="18"/>
              </w:rPr>
              <w:t>92</w:t>
            </w:r>
          </w:p>
        </w:tc>
        <w:tc>
          <w:tcPr>
            <w:tcW w:w="2731" w:type="dxa"/>
            <w:tcBorders>
              <w:top w:val="single" w:sz="4" w:space="0" w:color="53565A" w:themeColor="accent5"/>
              <w:bottom w:val="single" w:sz="4" w:space="0" w:color="53565A" w:themeColor="accent5"/>
            </w:tcBorders>
            <w:shd w:val="clear" w:color="auto" w:fill="auto"/>
            <w:vAlign w:val="center"/>
          </w:tcPr>
          <w:p w14:paraId="5EBFD8D1" w14:textId="77777777" w:rsidR="00C7560F" w:rsidRPr="005734B8" w:rsidRDefault="00C7560F" w:rsidP="002B6980">
            <w:pPr>
              <w:pStyle w:val="ESTablebody"/>
              <w:jc w:val="center"/>
              <w:rPr>
                <w:rFonts w:ascii="Calibri" w:hAnsi="Calibri" w:cs="Calibri"/>
                <w:b/>
                <w:bCs/>
                <w:sz w:val="18"/>
              </w:rPr>
            </w:pPr>
            <w:r w:rsidRPr="005734B8">
              <w:rPr>
                <w:rFonts w:ascii="Calibri" w:hAnsi="Calibri" w:cs="Calibri"/>
                <w:b/>
                <w:bCs/>
                <w:sz w:val="18"/>
              </w:rPr>
              <w:t>17</w:t>
            </w:r>
          </w:p>
        </w:tc>
      </w:tr>
    </w:tbl>
    <w:p w14:paraId="37CC7956" w14:textId="77777777" w:rsidR="00C332C7" w:rsidRPr="005734B8" w:rsidRDefault="00C332C7" w:rsidP="00C332C7">
      <w:pPr>
        <w:pStyle w:val="ESTableintroheading"/>
        <w:rPr>
          <w:rFonts w:ascii="Calibri" w:hAnsi="Calibri" w:cs="Calibri"/>
        </w:rPr>
      </w:pPr>
      <w:r w:rsidRPr="005734B8">
        <w:rPr>
          <w:rFonts w:ascii="Calibri" w:hAnsi="Calibri" w:cs="Calibri"/>
        </w:rPr>
        <w:lastRenderedPageBreak/>
        <w:t>Complaints: primary issues</w:t>
      </w:r>
      <w:r w:rsidRPr="005734B8">
        <w:rPr>
          <w:rStyle w:val="FootnoteReference"/>
          <w:rFonts w:ascii="Calibri" w:hAnsi="Calibri" w:cs="Calibri"/>
        </w:rPr>
        <w:footnoteReference w:id="108"/>
      </w:r>
    </w:p>
    <w:tbl>
      <w:tblPr>
        <w:tblStyle w:val="TableGrid"/>
        <w:tblW w:w="4988"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13"/>
        <w:gridCol w:w="4091"/>
        <w:gridCol w:w="2398"/>
      </w:tblGrid>
      <w:tr w:rsidR="00C332C7" w:rsidRPr="005734B8" w14:paraId="0AEDE2DD" w14:textId="77777777" w:rsidTr="002B6980">
        <w:trPr>
          <w:cantSplit/>
          <w:trHeight w:val="244"/>
          <w:tblHeader/>
        </w:trPr>
        <w:tc>
          <w:tcPr>
            <w:tcW w:w="1413" w:type="dxa"/>
            <w:tcBorders>
              <w:bottom w:val="single" w:sz="4" w:space="0" w:color="FFFFFF" w:themeColor="background1"/>
            </w:tcBorders>
            <w:shd w:val="clear" w:color="auto" w:fill="AF272F" w:themeFill="accent4"/>
          </w:tcPr>
          <w:p w14:paraId="3A57ADF6" w14:textId="77777777" w:rsidR="00C332C7" w:rsidRPr="005734B8" w:rsidRDefault="00C332C7" w:rsidP="002B6980">
            <w:pPr>
              <w:pStyle w:val="ESTableheadingwhite"/>
              <w:rPr>
                <w:rFonts w:ascii="Calibri" w:hAnsi="Calibri" w:cs="Calibri"/>
                <w:sz w:val="18"/>
                <w:lang w:val="en-AU"/>
              </w:rPr>
            </w:pPr>
          </w:p>
        </w:tc>
        <w:tc>
          <w:tcPr>
            <w:tcW w:w="4091" w:type="dxa"/>
            <w:tcBorders>
              <w:bottom w:val="single" w:sz="4" w:space="0" w:color="FFFFFF" w:themeColor="background1"/>
            </w:tcBorders>
            <w:shd w:val="clear" w:color="auto" w:fill="AF272F" w:themeFill="accent4"/>
          </w:tcPr>
          <w:p w14:paraId="50B9886A" w14:textId="77777777" w:rsidR="00C332C7" w:rsidRPr="005734B8" w:rsidRDefault="00C332C7" w:rsidP="002B6980">
            <w:pPr>
              <w:pStyle w:val="ESTableheadingwhite"/>
              <w:jc w:val="center"/>
              <w:rPr>
                <w:rFonts w:ascii="Calibri" w:hAnsi="Calibri" w:cs="Calibri"/>
                <w:sz w:val="18"/>
                <w:lang w:val="en-AU"/>
              </w:rPr>
            </w:pPr>
            <w:r w:rsidRPr="005734B8">
              <w:rPr>
                <w:rFonts w:ascii="Calibri" w:hAnsi="Calibri" w:cs="Calibri"/>
                <w:sz w:val="18"/>
              </w:rPr>
              <w:t>Primary Issue</w:t>
            </w:r>
          </w:p>
        </w:tc>
        <w:tc>
          <w:tcPr>
            <w:tcW w:w="2398" w:type="dxa"/>
            <w:tcBorders>
              <w:bottom w:val="single" w:sz="4" w:space="0" w:color="FFFFFF" w:themeColor="background1"/>
            </w:tcBorders>
            <w:shd w:val="clear" w:color="auto" w:fill="AF272F" w:themeFill="accent4"/>
          </w:tcPr>
          <w:p w14:paraId="78B3205F" w14:textId="77777777" w:rsidR="00C332C7" w:rsidRPr="005734B8" w:rsidRDefault="00C332C7" w:rsidP="002B6980">
            <w:pPr>
              <w:pStyle w:val="ESTableheadingwhite"/>
              <w:jc w:val="center"/>
              <w:rPr>
                <w:rFonts w:ascii="Calibri" w:hAnsi="Calibri" w:cs="Calibri"/>
                <w:sz w:val="18"/>
                <w:lang w:val="en-AU"/>
              </w:rPr>
            </w:pPr>
            <w:r w:rsidRPr="005734B8">
              <w:rPr>
                <w:rFonts w:ascii="Calibri" w:hAnsi="Calibri" w:cs="Calibri"/>
                <w:sz w:val="18"/>
              </w:rPr>
              <w:t>Total</w:t>
            </w:r>
          </w:p>
        </w:tc>
      </w:tr>
      <w:tr w:rsidR="00C332C7" w:rsidRPr="005734B8" w14:paraId="7D846D8F" w14:textId="77777777" w:rsidTr="004D3FC4">
        <w:trPr>
          <w:cantSplit/>
          <w:trHeight w:val="486"/>
        </w:trPr>
        <w:tc>
          <w:tcPr>
            <w:tcW w:w="1413" w:type="dxa"/>
            <w:vMerge w:val="restart"/>
            <w:tcBorders>
              <w:top w:val="single" w:sz="4" w:space="0" w:color="53565A" w:themeColor="accent5"/>
            </w:tcBorders>
            <w:shd w:val="clear" w:color="auto" w:fill="F2F2F2" w:themeFill="background1" w:themeFillShade="F2"/>
          </w:tcPr>
          <w:p w14:paraId="6324DF9F" w14:textId="77777777" w:rsidR="00C332C7" w:rsidRPr="005734B8" w:rsidRDefault="00C332C7" w:rsidP="002B6980">
            <w:pPr>
              <w:pStyle w:val="ESTablebody"/>
              <w:rPr>
                <w:rFonts w:ascii="Calibri" w:hAnsi="Calibri" w:cs="Calibri"/>
                <w:sz w:val="18"/>
              </w:rPr>
            </w:pPr>
            <w:r w:rsidRPr="005734B8">
              <w:rPr>
                <w:rFonts w:ascii="Calibri" w:hAnsi="Calibri" w:cs="Calibri"/>
                <w:sz w:val="18"/>
              </w:rPr>
              <w:t>Analysis of complaints</w:t>
            </w:r>
          </w:p>
        </w:tc>
        <w:tc>
          <w:tcPr>
            <w:tcW w:w="4091" w:type="dxa"/>
            <w:tcBorders>
              <w:top w:val="single" w:sz="4" w:space="0" w:color="53565A" w:themeColor="accent5"/>
              <w:bottom w:val="single" w:sz="4" w:space="0" w:color="53565A" w:themeColor="accent5"/>
            </w:tcBorders>
            <w:shd w:val="clear" w:color="auto" w:fill="auto"/>
            <w:vAlign w:val="center"/>
          </w:tcPr>
          <w:p w14:paraId="18A3BE77" w14:textId="25D4ECB2" w:rsidR="00C332C7" w:rsidRPr="005734B8" w:rsidRDefault="001075A3" w:rsidP="002B6980">
            <w:pPr>
              <w:pStyle w:val="ESTablebody"/>
              <w:rPr>
                <w:rFonts w:ascii="Calibri" w:hAnsi="Calibri" w:cs="Calibri"/>
                <w:sz w:val="18"/>
              </w:rPr>
            </w:pPr>
            <w:r w:rsidRPr="005734B8">
              <w:rPr>
                <w:rFonts w:ascii="Calibri" w:eastAsia="Times New Roman" w:hAnsi="Calibri" w:cs="Calibri"/>
                <w:sz w:val="18"/>
                <w:lang w:eastAsia="en-AU"/>
              </w:rPr>
              <w:t>Complaint management process or policy gap in school or region</w:t>
            </w:r>
          </w:p>
        </w:tc>
        <w:tc>
          <w:tcPr>
            <w:tcW w:w="2398" w:type="dxa"/>
            <w:tcBorders>
              <w:top w:val="single" w:sz="4" w:space="0" w:color="53565A" w:themeColor="accent5"/>
              <w:bottom w:val="single" w:sz="4" w:space="0" w:color="53565A" w:themeColor="accent5"/>
            </w:tcBorders>
          </w:tcPr>
          <w:p w14:paraId="5CCE9DB1" w14:textId="304B55F4" w:rsidR="00C332C7" w:rsidRPr="005734B8" w:rsidRDefault="001075A3" w:rsidP="002B6980">
            <w:pPr>
              <w:pStyle w:val="ESTablebody"/>
              <w:jc w:val="center"/>
              <w:rPr>
                <w:rFonts w:ascii="Calibri" w:hAnsi="Calibri" w:cs="Calibri"/>
                <w:sz w:val="18"/>
              </w:rPr>
            </w:pPr>
            <w:r w:rsidRPr="005734B8">
              <w:rPr>
                <w:rFonts w:ascii="Calibri" w:hAnsi="Calibri" w:cs="Calibri"/>
                <w:sz w:val="18"/>
              </w:rPr>
              <w:t>–</w:t>
            </w:r>
          </w:p>
        </w:tc>
      </w:tr>
      <w:tr w:rsidR="00C332C7" w:rsidRPr="005734B8" w14:paraId="6B93ADBF" w14:textId="77777777" w:rsidTr="004D3FC4">
        <w:trPr>
          <w:cantSplit/>
          <w:trHeight w:val="483"/>
        </w:trPr>
        <w:tc>
          <w:tcPr>
            <w:tcW w:w="1413" w:type="dxa"/>
            <w:vMerge/>
            <w:shd w:val="clear" w:color="auto" w:fill="F2F2F2" w:themeFill="background1" w:themeFillShade="F2"/>
          </w:tcPr>
          <w:p w14:paraId="5C6BF41E" w14:textId="77777777" w:rsidR="00C332C7" w:rsidRPr="005734B8" w:rsidRDefault="00C332C7" w:rsidP="002B6980">
            <w:pPr>
              <w:pStyle w:val="ESTablebody"/>
              <w:rPr>
                <w:rFonts w:ascii="Calibri" w:hAnsi="Calibri" w:cs="Calibri"/>
                <w:sz w:val="18"/>
              </w:rPr>
            </w:pPr>
          </w:p>
        </w:tc>
        <w:tc>
          <w:tcPr>
            <w:tcW w:w="4091" w:type="dxa"/>
            <w:tcBorders>
              <w:top w:val="single" w:sz="4" w:space="0" w:color="53565A" w:themeColor="accent5"/>
              <w:bottom w:val="single" w:sz="4" w:space="0" w:color="53565A" w:themeColor="accent5"/>
            </w:tcBorders>
            <w:shd w:val="clear" w:color="auto" w:fill="auto"/>
            <w:vAlign w:val="center"/>
          </w:tcPr>
          <w:p w14:paraId="348115C4" w14:textId="05FE995D" w:rsidR="00C332C7" w:rsidRPr="005734B8" w:rsidRDefault="001075A3" w:rsidP="002B6980">
            <w:pPr>
              <w:pStyle w:val="ESTablebody"/>
              <w:rPr>
                <w:rFonts w:ascii="Calibri" w:hAnsi="Calibri" w:cs="Calibri"/>
                <w:sz w:val="18"/>
              </w:rPr>
            </w:pPr>
            <w:r w:rsidRPr="005734B8">
              <w:rPr>
                <w:rFonts w:ascii="Calibri" w:eastAsia="Times New Roman" w:hAnsi="Calibri" w:cs="Calibri"/>
                <w:sz w:val="18"/>
                <w:lang w:eastAsia="en-AU"/>
              </w:rPr>
              <w:t>Complaint management skill or capacity gap in region</w:t>
            </w:r>
          </w:p>
        </w:tc>
        <w:tc>
          <w:tcPr>
            <w:tcW w:w="2398" w:type="dxa"/>
            <w:tcBorders>
              <w:top w:val="single" w:sz="4" w:space="0" w:color="53565A" w:themeColor="accent5"/>
              <w:bottom w:val="single" w:sz="4" w:space="0" w:color="53565A" w:themeColor="accent5"/>
            </w:tcBorders>
          </w:tcPr>
          <w:p w14:paraId="572CC523" w14:textId="415191EC" w:rsidR="00C332C7" w:rsidRPr="005734B8" w:rsidRDefault="001075A3" w:rsidP="002B6980">
            <w:pPr>
              <w:pStyle w:val="ESTablebody"/>
              <w:jc w:val="center"/>
              <w:rPr>
                <w:rFonts w:ascii="Calibri" w:hAnsi="Calibri" w:cs="Calibri"/>
                <w:sz w:val="18"/>
              </w:rPr>
            </w:pPr>
            <w:r w:rsidRPr="005734B8">
              <w:rPr>
                <w:rFonts w:ascii="Calibri" w:hAnsi="Calibri" w:cs="Calibri"/>
                <w:sz w:val="18"/>
              </w:rPr>
              <w:t>–</w:t>
            </w:r>
          </w:p>
        </w:tc>
      </w:tr>
      <w:tr w:rsidR="00C332C7" w:rsidRPr="005734B8" w14:paraId="7595CE12" w14:textId="77777777" w:rsidTr="002B6980">
        <w:trPr>
          <w:cantSplit/>
          <w:trHeight w:val="483"/>
        </w:trPr>
        <w:tc>
          <w:tcPr>
            <w:tcW w:w="1413" w:type="dxa"/>
            <w:vMerge/>
            <w:shd w:val="clear" w:color="auto" w:fill="F2F2F2" w:themeFill="background1" w:themeFillShade="F2"/>
          </w:tcPr>
          <w:p w14:paraId="1B7D7705" w14:textId="77777777" w:rsidR="00C332C7" w:rsidRPr="005734B8" w:rsidRDefault="00C332C7" w:rsidP="002B6980">
            <w:pPr>
              <w:pStyle w:val="ESTablebody"/>
              <w:rPr>
                <w:rFonts w:ascii="Calibri" w:hAnsi="Calibri" w:cs="Calibri"/>
                <w:sz w:val="18"/>
              </w:rPr>
            </w:pPr>
          </w:p>
        </w:tc>
        <w:tc>
          <w:tcPr>
            <w:tcW w:w="4091" w:type="dxa"/>
            <w:tcBorders>
              <w:top w:val="single" w:sz="4" w:space="0" w:color="53565A" w:themeColor="accent5"/>
              <w:bottom w:val="single" w:sz="4" w:space="0" w:color="53565A" w:themeColor="accent5"/>
            </w:tcBorders>
            <w:shd w:val="clear" w:color="auto" w:fill="auto"/>
            <w:vAlign w:val="center"/>
          </w:tcPr>
          <w:p w14:paraId="374BAD65" w14:textId="69E133A3" w:rsidR="00C332C7" w:rsidRPr="005734B8" w:rsidRDefault="001075A3" w:rsidP="002B6980">
            <w:pPr>
              <w:pStyle w:val="ESTablebody"/>
              <w:rPr>
                <w:rFonts w:ascii="Calibri" w:hAnsi="Calibri" w:cs="Calibri"/>
                <w:sz w:val="18"/>
              </w:rPr>
            </w:pPr>
            <w:r w:rsidRPr="005734B8">
              <w:rPr>
                <w:rFonts w:ascii="Calibri" w:eastAsia="Times New Roman" w:hAnsi="Calibri" w:cs="Calibri"/>
                <w:sz w:val="18"/>
                <w:lang w:eastAsia="en-AU"/>
              </w:rPr>
              <w:t>Complaint management skill or capacity gap in s</w:t>
            </w:r>
            <w:r w:rsidR="00C332C7" w:rsidRPr="005734B8">
              <w:rPr>
                <w:rFonts w:ascii="Calibri" w:eastAsia="Times New Roman" w:hAnsi="Calibri" w:cs="Calibri"/>
                <w:sz w:val="18"/>
                <w:lang w:eastAsia="en-AU"/>
              </w:rPr>
              <w:t>chool</w:t>
            </w:r>
          </w:p>
        </w:tc>
        <w:tc>
          <w:tcPr>
            <w:tcW w:w="2398" w:type="dxa"/>
            <w:tcBorders>
              <w:top w:val="single" w:sz="4" w:space="0" w:color="53565A" w:themeColor="accent5"/>
              <w:bottom w:val="single" w:sz="4" w:space="0" w:color="53565A" w:themeColor="accent5"/>
            </w:tcBorders>
            <w:vAlign w:val="center"/>
          </w:tcPr>
          <w:p w14:paraId="6D47C678" w14:textId="77777777" w:rsidR="00C332C7" w:rsidRPr="005734B8" w:rsidRDefault="00C332C7" w:rsidP="002B6980">
            <w:pPr>
              <w:pStyle w:val="ESTablebody"/>
              <w:jc w:val="center"/>
              <w:rPr>
                <w:rFonts w:ascii="Calibri" w:hAnsi="Calibri" w:cs="Calibri"/>
                <w:sz w:val="18"/>
              </w:rPr>
            </w:pPr>
            <w:r w:rsidRPr="005734B8">
              <w:rPr>
                <w:rFonts w:ascii="Calibri" w:hAnsi="Calibri" w:cs="Calibri"/>
                <w:sz w:val="18"/>
              </w:rPr>
              <w:t>1</w:t>
            </w:r>
          </w:p>
        </w:tc>
      </w:tr>
      <w:tr w:rsidR="00C332C7" w:rsidRPr="005734B8" w14:paraId="0D64B5D0" w14:textId="77777777" w:rsidTr="00C20269">
        <w:trPr>
          <w:cantSplit/>
          <w:trHeight w:val="483"/>
        </w:trPr>
        <w:tc>
          <w:tcPr>
            <w:tcW w:w="1413" w:type="dxa"/>
            <w:vMerge/>
            <w:shd w:val="clear" w:color="auto" w:fill="F2F2F2" w:themeFill="background1" w:themeFillShade="F2"/>
          </w:tcPr>
          <w:p w14:paraId="0F0F78B6"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5F968E72" w14:textId="77777777" w:rsidR="00C332C7" w:rsidRPr="005734B8" w:rsidRDefault="00C332C7" w:rsidP="002B6980">
            <w:pPr>
              <w:pStyle w:val="ESTablebody"/>
              <w:rPr>
                <w:rFonts w:ascii="Calibri" w:hAnsi="Calibri" w:cs="Calibri"/>
                <w:sz w:val="18"/>
                <w:lang w:val="en-AU"/>
              </w:rPr>
            </w:pPr>
            <w:r w:rsidRPr="005734B8">
              <w:rPr>
                <w:rFonts w:ascii="Calibri" w:eastAsia="Times New Roman" w:hAnsi="Calibri" w:cs="Calibri"/>
                <w:sz w:val="18"/>
                <w:lang w:eastAsia="en-AU"/>
              </w:rPr>
              <w:t>Other</w:t>
            </w:r>
          </w:p>
        </w:tc>
        <w:tc>
          <w:tcPr>
            <w:tcW w:w="2398" w:type="dxa"/>
            <w:tcBorders>
              <w:top w:val="single" w:sz="4" w:space="0" w:color="53565A" w:themeColor="accent5"/>
              <w:bottom w:val="single" w:sz="4" w:space="0" w:color="53565A" w:themeColor="accent5"/>
            </w:tcBorders>
          </w:tcPr>
          <w:p w14:paraId="2DE38B53" w14:textId="73E030A7" w:rsidR="00C332C7" w:rsidRPr="005734B8" w:rsidRDefault="001075A3" w:rsidP="002B6980">
            <w:pPr>
              <w:pStyle w:val="ESTablebody"/>
              <w:jc w:val="center"/>
              <w:rPr>
                <w:rFonts w:ascii="Calibri" w:hAnsi="Calibri" w:cs="Calibri"/>
                <w:sz w:val="18"/>
              </w:rPr>
            </w:pPr>
            <w:r w:rsidRPr="005734B8">
              <w:rPr>
                <w:rFonts w:ascii="Calibri" w:hAnsi="Calibri" w:cs="Calibri"/>
                <w:sz w:val="18"/>
              </w:rPr>
              <w:t>–</w:t>
            </w:r>
          </w:p>
        </w:tc>
      </w:tr>
      <w:tr w:rsidR="00C332C7" w:rsidRPr="005734B8" w14:paraId="6A661978" w14:textId="77777777" w:rsidTr="00C20269">
        <w:trPr>
          <w:cantSplit/>
          <w:trHeight w:val="483"/>
        </w:trPr>
        <w:tc>
          <w:tcPr>
            <w:tcW w:w="1413" w:type="dxa"/>
            <w:vMerge/>
            <w:shd w:val="clear" w:color="auto" w:fill="F2F2F2" w:themeFill="background1" w:themeFillShade="F2"/>
          </w:tcPr>
          <w:p w14:paraId="6B9FAB0D"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6771FE4B" w14:textId="588B17E9" w:rsidR="00C332C7" w:rsidRPr="005734B8" w:rsidRDefault="001075A3" w:rsidP="002B6980">
            <w:pPr>
              <w:pStyle w:val="ESTablebody"/>
              <w:rPr>
                <w:rFonts w:ascii="Calibri" w:hAnsi="Calibri" w:cs="Calibri"/>
                <w:sz w:val="18"/>
                <w:lang w:val="en-AU"/>
              </w:rPr>
            </w:pPr>
            <w:r w:rsidRPr="005734B8">
              <w:rPr>
                <w:rFonts w:ascii="Calibri" w:eastAsia="Times New Roman" w:hAnsi="Calibri" w:cs="Calibri"/>
                <w:sz w:val="18"/>
                <w:lang w:eastAsia="en-AU"/>
              </w:rPr>
              <w:t>Parent presentation raises potential mental health concerns</w:t>
            </w:r>
          </w:p>
        </w:tc>
        <w:tc>
          <w:tcPr>
            <w:tcW w:w="2398" w:type="dxa"/>
            <w:tcBorders>
              <w:top w:val="single" w:sz="4" w:space="0" w:color="53565A" w:themeColor="accent5"/>
              <w:bottom w:val="single" w:sz="4" w:space="0" w:color="53565A" w:themeColor="accent5"/>
            </w:tcBorders>
          </w:tcPr>
          <w:p w14:paraId="1B3564BB" w14:textId="6CA2ABF5" w:rsidR="00C332C7" w:rsidRPr="005734B8" w:rsidRDefault="001075A3" w:rsidP="002B6980">
            <w:pPr>
              <w:pStyle w:val="ESTablebody"/>
              <w:jc w:val="center"/>
              <w:rPr>
                <w:rFonts w:ascii="Calibri" w:hAnsi="Calibri" w:cs="Calibri"/>
                <w:sz w:val="18"/>
              </w:rPr>
            </w:pPr>
            <w:r w:rsidRPr="005734B8">
              <w:rPr>
                <w:rFonts w:ascii="Calibri" w:hAnsi="Calibri" w:cs="Calibri"/>
                <w:sz w:val="18"/>
              </w:rPr>
              <w:t>–</w:t>
            </w:r>
          </w:p>
        </w:tc>
      </w:tr>
      <w:tr w:rsidR="00C332C7" w:rsidRPr="005734B8" w14:paraId="71D1F2D3" w14:textId="77777777" w:rsidTr="00C20269">
        <w:trPr>
          <w:cantSplit/>
          <w:trHeight w:val="483"/>
        </w:trPr>
        <w:tc>
          <w:tcPr>
            <w:tcW w:w="1413" w:type="dxa"/>
            <w:vMerge/>
            <w:shd w:val="clear" w:color="auto" w:fill="F2F2F2" w:themeFill="background1" w:themeFillShade="F2"/>
            <w:vAlign w:val="center"/>
          </w:tcPr>
          <w:p w14:paraId="69EC11FE"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207B31B7" w14:textId="1A1972A4" w:rsidR="00C332C7" w:rsidRPr="005734B8" w:rsidRDefault="001075A3" w:rsidP="002B6980">
            <w:pPr>
              <w:pStyle w:val="ESTablebody"/>
              <w:rPr>
                <w:rFonts w:ascii="Calibri" w:hAnsi="Calibri" w:cs="Calibri"/>
                <w:b/>
                <w:sz w:val="18"/>
                <w:lang w:val="en-AU"/>
              </w:rPr>
            </w:pPr>
            <w:r w:rsidRPr="005734B8">
              <w:rPr>
                <w:rFonts w:ascii="Calibri" w:eastAsia="Times New Roman" w:hAnsi="Calibri" w:cs="Calibri"/>
                <w:sz w:val="18"/>
                <w:lang w:eastAsia="en-AU"/>
              </w:rPr>
              <w:t>Procedural weakness or failure in handling complaint at regional level</w:t>
            </w:r>
          </w:p>
        </w:tc>
        <w:tc>
          <w:tcPr>
            <w:tcW w:w="2398" w:type="dxa"/>
            <w:tcBorders>
              <w:top w:val="single" w:sz="4" w:space="0" w:color="53565A" w:themeColor="accent5"/>
              <w:bottom w:val="single" w:sz="4" w:space="0" w:color="53565A" w:themeColor="accent5"/>
            </w:tcBorders>
          </w:tcPr>
          <w:p w14:paraId="312EF74C" w14:textId="56458100" w:rsidR="00C332C7" w:rsidRPr="005734B8" w:rsidRDefault="001075A3" w:rsidP="002B6980">
            <w:pPr>
              <w:pStyle w:val="ESTablebody"/>
              <w:jc w:val="center"/>
              <w:rPr>
                <w:rFonts w:ascii="Calibri" w:hAnsi="Calibri" w:cs="Calibri"/>
                <w:sz w:val="18"/>
              </w:rPr>
            </w:pPr>
            <w:r w:rsidRPr="005734B8">
              <w:rPr>
                <w:rFonts w:ascii="Calibri" w:hAnsi="Calibri" w:cs="Calibri"/>
                <w:sz w:val="18"/>
              </w:rPr>
              <w:t>–</w:t>
            </w:r>
          </w:p>
        </w:tc>
      </w:tr>
      <w:tr w:rsidR="00C332C7" w:rsidRPr="005734B8" w14:paraId="14BDBACE" w14:textId="77777777" w:rsidTr="002B6980">
        <w:trPr>
          <w:cantSplit/>
          <w:trHeight w:val="483"/>
        </w:trPr>
        <w:tc>
          <w:tcPr>
            <w:tcW w:w="1413" w:type="dxa"/>
            <w:vMerge/>
            <w:shd w:val="clear" w:color="auto" w:fill="F2F2F2" w:themeFill="background1" w:themeFillShade="F2"/>
            <w:vAlign w:val="center"/>
          </w:tcPr>
          <w:p w14:paraId="1E5D8F27"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06498072" w14:textId="6D2C1849" w:rsidR="00C332C7" w:rsidRPr="005734B8" w:rsidRDefault="00C332C7" w:rsidP="002B6980">
            <w:pPr>
              <w:pStyle w:val="ESTablebody"/>
              <w:rPr>
                <w:rFonts w:ascii="Calibri" w:hAnsi="Calibri" w:cs="Calibri"/>
                <w:b/>
                <w:sz w:val="18"/>
                <w:lang w:val="en-AU"/>
              </w:rPr>
            </w:pPr>
            <w:r w:rsidRPr="005734B8">
              <w:rPr>
                <w:rFonts w:ascii="Calibri" w:eastAsia="Times New Roman" w:hAnsi="Calibri" w:cs="Calibri"/>
                <w:sz w:val="18"/>
                <w:lang w:eastAsia="en-AU"/>
              </w:rPr>
              <w:t xml:space="preserve">Procedural </w:t>
            </w:r>
            <w:r w:rsidR="001075A3" w:rsidRPr="005734B8">
              <w:rPr>
                <w:rFonts w:ascii="Calibri" w:eastAsia="Times New Roman" w:hAnsi="Calibri" w:cs="Calibri"/>
                <w:sz w:val="18"/>
                <w:lang w:eastAsia="en-AU"/>
              </w:rPr>
              <w:t>w</w:t>
            </w:r>
            <w:r w:rsidRPr="005734B8">
              <w:rPr>
                <w:rFonts w:ascii="Calibri" w:eastAsia="Times New Roman" w:hAnsi="Calibri" w:cs="Calibri"/>
                <w:sz w:val="18"/>
                <w:lang w:eastAsia="en-AU"/>
              </w:rPr>
              <w:t xml:space="preserve">eakness or </w:t>
            </w:r>
            <w:r w:rsidR="001075A3" w:rsidRPr="005734B8">
              <w:rPr>
                <w:rFonts w:ascii="Calibri" w:eastAsia="Times New Roman" w:hAnsi="Calibri" w:cs="Calibri"/>
                <w:sz w:val="18"/>
                <w:lang w:eastAsia="en-AU"/>
              </w:rPr>
              <w:t>f</w:t>
            </w:r>
            <w:r w:rsidRPr="005734B8">
              <w:rPr>
                <w:rFonts w:ascii="Calibri" w:eastAsia="Times New Roman" w:hAnsi="Calibri" w:cs="Calibri"/>
                <w:sz w:val="18"/>
                <w:lang w:eastAsia="en-AU"/>
              </w:rPr>
              <w:t xml:space="preserve">ailure in </w:t>
            </w:r>
            <w:r w:rsidR="001075A3" w:rsidRPr="005734B8">
              <w:rPr>
                <w:rFonts w:ascii="Calibri" w:eastAsia="Times New Roman" w:hAnsi="Calibri" w:cs="Calibri"/>
                <w:sz w:val="18"/>
                <w:lang w:eastAsia="en-AU"/>
              </w:rPr>
              <w:t>h</w:t>
            </w:r>
            <w:r w:rsidRPr="005734B8">
              <w:rPr>
                <w:rFonts w:ascii="Calibri" w:eastAsia="Times New Roman" w:hAnsi="Calibri" w:cs="Calibri"/>
                <w:sz w:val="18"/>
                <w:lang w:eastAsia="en-AU"/>
              </w:rPr>
              <w:t xml:space="preserve">andling </w:t>
            </w:r>
            <w:r w:rsidR="001075A3" w:rsidRPr="005734B8">
              <w:rPr>
                <w:rFonts w:ascii="Calibri" w:eastAsia="Times New Roman" w:hAnsi="Calibri" w:cs="Calibri"/>
                <w:sz w:val="18"/>
                <w:lang w:eastAsia="en-AU"/>
              </w:rPr>
              <w:t>c</w:t>
            </w:r>
            <w:r w:rsidRPr="005734B8">
              <w:rPr>
                <w:rFonts w:ascii="Calibri" w:eastAsia="Times New Roman" w:hAnsi="Calibri" w:cs="Calibri"/>
                <w:sz w:val="18"/>
                <w:lang w:eastAsia="en-AU"/>
              </w:rPr>
              <w:t xml:space="preserve">omplaint at </w:t>
            </w:r>
            <w:r w:rsidR="001075A3" w:rsidRPr="005734B8">
              <w:rPr>
                <w:rFonts w:ascii="Calibri" w:eastAsia="Times New Roman" w:hAnsi="Calibri" w:cs="Calibri"/>
                <w:sz w:val="18"/>
                <w:lang w:eastAsia="en-AU"/>
              </w:rPr>
              <w:t>s</w:t>
            </w:r>
            <w:r w:rsidRPr="005734B8">
              <w:rPr>
                <w:rFonts w:ascii="Calibri" w:eastAsia="Times New Roman" w:hAnsi="Calibri" w:cs="Calibri"/>
                <w:sz w:val="18"/>
                <w:lang w:eastAsia="en-AU"/>
              </w:rPr>
              <w:t xml:space="preserve">chool </w:t>
            </w:r>
            <w:r w:rsidR="001075A3" w:rsidRPr="005734B8">
              <w:rPr>
                <w:rFonts w:ascii="Calibri" w:eastAsia="Times New Roman" w:hAnsi="Calibri" w:cs="Calibri"/>
                <w:sz w:val="18"/>
                <w:lang w:eastAsia="en-AU"/>
              </w:rPr>
              <w:t>l</w:t>
            </w:r>
            <w:r w:rsidRPr="005734B8">
              <w:rPr>
                <w:rFonts w:ascii="Calibri" w:eastAsia="Times New Roman" w:hAnsi="Calibri" w:cs="Calibri"/>
                <w:sz w:val="18"/>
                <w:lang w:eastAsia="en-AU"/>
              </w:rPr>
              <w:t>evel</w:t>
            </w:r>
          </w:p>
        </w:tc>
        <w:tc>
          <w:tcPr>
            <w:tcW w:w="2398" w:type="dxa"/>
            <w:tcBorders>
              <w:top w:val="single" w:sz="4" w:space="0" w:color="53565A" w:themeColor="accent5"/>
              <w:bottom w:val="single" w:sz="4" w:space="0" w:color="53565A" w:themeColor="accent5"/>
            </w:tcBorders>
            <w:vAlign w:val="center"/>
          </w:tcPr>
          <w:p w14:paraId="4CD14E82" w14:textId="77777777" w:rsidR="00C332C7" w:rsidRPr="005734B8" w:rsidRDefault="00C332C7" w:rsidP="002B6980">
            <w:pPr>
              <w:pStyle w:val="ESTablebody"/>
              <w:jc w:val="center"/>
              <w:rPr>
                <w:rFonts w:ascii="Calibri" w:hAnsi="Calibri" w:cs="Calibri"/>
                <w:sz w:val="18"/>
              </w:rPr>
            </w:pPr>
            <w:r w:rsidRPr="005734B8">
              <w:rPr>
                <w:rFonts w:ascii="Calibri" w:hAnsi="Calibri" w:cs="Calibri"/>
                <w:sz w:val="18"/>
              </w:rPr>
              <w:t>1</w:t>
            </w:r>
          </w:p>
        </w:tc>
      </w:tr>
      <w:tr w:rsidR="00C332C7" w:rsidRPr="005734B8" w14:paraId="51917A11" w14:textId="77777777" w:rsidTr="002B6980">
        <w:trPr>
          <w:cantSplit/>
          <w:trHeight w:val="483"/>
        </w:trPr>
        <w:tc>
          <w:tcPr>
            <w:tcW w:w="1413" w:type="dxa"/>
            <w:vMerge/>
            <w:shd w:val="clear" w:color="auto" w:fill="F2F2F2" w:themeFill="background1" w:themeFillShade="F2"/>
            <w:vAlign w:val="center"/>
          </w:tcPr>
          <w:p w14:paraId="4DB421B0"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127D4744" w14:textId="58E1893B" w:rsidR="00C332C7" w:rsidRPr="005734B8" w:rsidRDefault="00C332C7" w:rsidP="002B6980">
            <w:pPr>
              <w:pStyle w:val="ESTablebody"/>
              <w:rPr>
                <w:rFonts w:ascii="Calibri" w:hAnsi="Calibri" w:cs="Calibri"/>
                <w:b/>
                <w:sz w:val="18"/>
                <w:lang w:val="en-AU"/>
              </w:rPr>
            </w:pPr>
            <w:r w:rsidRPr="005734B8">
              <w:rPr>
                <w:rFonts w:ascii="Calibri" w:eastAsia="Times New Roman" w:hAnsi="Calibri" w:cs="Calibri"/>
                <w:sz w:val="18"/>
                <w:lang w:eastAsia="en-AU"/>
              </w:rPr>
              <w:t xml:space="preserve">Relationship and </w:t>
            </w:r>
            <w:r w:rsidR="001075A3" w:rsidRPr="005734B8">
              <w:rPr>
                <w:rFonts w:ascii="Calibri" w:eastAsia="Times New Roman" w:hAnsi="Calibri" w:cs="Calibri"/>
                <w:sz w:val="18"/>
                <w:lang w:eastAsia="en-AU"/>
              </w:rPr>
              <w:t>c</w:t>
            </w:r>
            <w:r w:rsidRPr="005734B8">
              <w:rPr>
                <w:rFonts w:ascii="Calibri" w:eastAsia="Times New Roman" w:hAnsi="Calibri" w:cs="Calibri"/>
                <w:sz w:val="18"/>
                <w:lang w:eastAsia="en-AU"/>
              </w:rPr>
              <w:t xml:space="preserve">ommunication </w:t>
            </w:r>
            <w:r w:rsidR="001075A3" w:rsidRPr="005734B8">
              <w:rPr>
                <w:rFonts w:ascii="Calibri" w:eastAsia="Times New Roman" w:hAnsi="Calibri" w:cs="Calibri"/>
                <w:sz w:val="18"/>
                <w:lang w:eastAsia="en-AU"/>
              </w:rPr>
              <w:t>b</w:t>
            </w:r>
            <w:r w:rsidRPr="005734B8">
              <w:rPr>
                <w:rFonts w:ascii="Calibri" w:eastAsia="Times New Roman" w:hAnsi="Calibri" w:cs="Calibri"/>
                <w:sz w:val="18"/>
                <w:lang w:eastAsia="en-AU"/>
              </w:rPr>
              <w:t xml:space="preserve">reakdown at </w:t>
            </w:r>
            <w:r w:rsidR="001075A3" w:rsidRPr="005734B8">
              <w:rPr>
                <w:rFonts w:ascii="Calibri" w:eastAsia="Times New Roman" w:hAnsi="Calibri" w:cs="Calibri"/>
                <w:sz w:val="18"/>
                <w:lang w:eastAsia="en-AU"/>
              </w:rPr>
              <w:t>r</w:t>
            </w:r>
            <w:r w:rsidRPr="005734B8">
              <w:rPr>
                <w:rFonts w:ascii="Calibri" w:eastAsia="Times New Roman" w:hAnsi="Calibri" w:cs="Calibri"/>
                <w:sz w:val="18"/>
                <w:lang w:eastAsia="en-AU"/>
              </w:rPr>
              <w:t xml:space="preserve">egional </w:t>
            </w:r>
            <w:r w:rsidR="001075A3" w:rsidRPr="005734B8">
              <w:rPr>
                <w:rFonts w:ascii="Calibri" w:eastAsia="Times New Roman" w:hAnsi="Calibri" w:cs="Calibri"/>
                <w:sz w:val="18"/>
                <w:lang w:eastAsia="en-AU"/>
              </w:rPr>
              <w:t>l</w:t>
            </w:r>
            <w:r w:rsidRPr="005734B8">
              <w:rPr>
                <w:rFonts w:ascii="Calibri" w:eastAsia="Times New Roman" w:hAnsi="Calibri" w:cs="Calibri"/>
                <w:sz w:val="18"/>
                <w:lang w:eastAsia="en-AU"/>
              </w:rPr>
              <w:t>evel</w:t>
            </w:r>
          </w:p>
        </w:tc>
        <w:tc>
          <w:tcPr>
            <w:tcW w:w="2398" w:type="dxa"/>
            <w:tcBorders>
              <w:top w:val="single" w:sz="4" w:space="0" w:color="53565A" w:themeColor="accent5"/>
              <w:bottom w:val="single" w:sz="4" w:space="0" w:color="53565A" w:themeColor="accent5"/>
            </w:tcBorders>
            <w:vAlign w:val="center"/>
          </w:tcPr>
          <w:p w14:paraId="6B23A583" w14:textId="0F065586" w:rsidR="00C332C7" w:rsidRPr="005734B8" w:rsidRDefault="001075A3" w:rsidP="002B6980">
            <w:pPr>
              <w:pStyle w:val="ESTablebody"/>
              <w:jc w:val="center"/>
              <w:rPr>
                <w:rFonts w:ascii="Calibri" w:hAnsi="Calibri" w:cs="Calibri"/>
                <w:sz w:val="18"/>
              </w:rPr>
            </w:pPr>
            <w:r w:rsidRPr="005734B8">
              <w:rPr>
                <w:rFonts w:ascii="Calibri" w:hAnsi="Calibri" w:cs="Calibri"/>
                <w:sz w:val="18"/>
              </w:rPr>
              <w:t>–</w:t>
            </w:r>
          </w:p>
        </w:tc>
      </w:tr>
      <w:tr w:rsidR="00C332C7" w:rsidRPr="005734B8" w14:paraId="091383DE" w14:textId="77777777" w:rsidTr="002B6980">
        <w:trPr>
          <w:cantSplit/>
          <w:trHeight w:val="483"/>
        </w:trPr>
        <w:tc>
          <w:tcPr>
            <w:tcW w:w="1413" w:type="dxa"/>
            <w:vMerge/>
            <w:shd w:val="clear" w:color="auto" w:fill="F2F2F2" w:themeFill="background1" w:themeFillShade="F2"/>
            <w:vAlign w:val="center"/>
          </w:tcPr>
          <w:p w14:paraId="5504B22B"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30340D37" w14:textId="5BC3F8BE" w:rsidR="00C332C7" w:rsidRPr="005734B8" w:rsidRDefault="00C332C7" w:rsidP="002B6980">
            <w:pPr>
              <w:pStyle w:val="ESTablebody"/>
              <w:rPr>
                <w:rFonts w:ascii="Calibri" w:hAnsi="Calibri" w:cs="Calibri"/>
                <w:b/>
                <w:sz w:val="18"/>
                <w:lang w:val="en-AU"/>
              </w:rPr>
            </w:pPr>
            <w:r w:rsidRPr="005734B8">
              <w:rPr>
                <w:rFonts w:ascii="Calibri" w:eastAsia="Times New Roman" w:hAnsi="Calibri" w:cs="Calibri"/>
                <w:sz w:val="18"/>
                <w:lang w:eastAsia="en-AU"/>
              </w:rPr>
              <w:t xml:space="preserve">Relationship and </w:t>
            </w:r>
            <w:r w:rsidR="001075A3" w:rsidRPr="005734B8">
              <w:rPr>
                <w:rFonts w:ascii="Calibri" w:eastAsia="Times New Roman" w:hAnsi="Calibri" w:cs="Calibri"/>
                <w:sz w:val="18"/>
                <w:lang w:eastAsia="en-AU"/>
              </w:rPr>
              <w:t>c</w:t>
            </w:r>
            <w:r w:rsidRPr="005734B8">
              <w:rPr>
                <w:rFonts w:ascii="Calibri" w:eastAsia="Times New Roman" w:hAnsi="Calibri" w:cs="Calibri"/>
                <w:sz w:val="18"/>
                <w:lang w:eastAsia="en-AU"/>
              </w:rPr>
              <w:t xml:space="preserve">ommunication </w:t>
            </w:r>
            <w:r w:rsidR="001075A3" w:rsidRPr="005734B8">
              <w:rPr>
                <w:rFonts w:ascii="Calibri" w:eastAsia="Times New Roman" w:hAnsi="Calibri" w:cs="Calibri"/>
                <w:sz w:val="18"/>
                <w:lang w:eastAsia="en-AU"/>
              </w:rPr>
              <w:t>b</w:t>
            </w:r>
            <w:r w:rsidRPr="005734B8">
              <w:rPr>
                <w:rFonts w:ascii="Calibri" w:eastAsia="Times New Roman" w:hAnsi="Calibri" w:cs="Calibri"/>
                <w:sz w:val="18"/>
                <w:lang w:eastAsia="en-AU"/>
              </w:rPr>
              <w:t xml:space="preserve">reakdown at </w:t>
            </w:r>
            <w:r w:rsidR="001075A3" w:rsidRPr="005734B8">
              <w:rPr>
                <w:rFonts w:ascii="Calibri" w:eastAsia="Times New Roman" w:hAnsi="Calibri" w:cs="Calibri"/>
                <w:sz w:val="18"/>
                <w:lang w:eastAsia="en-AU"/>
              </w:rPr>
              <w:t>s</w:t>
            </w:r>
            <w:r w:rsidRPr="005734B8">
              <w:rPr>
                <w:rFonts w:ascii="Calibri" w:eastAsia="Times New Roman" w:hAnsi="Calibri" w:cs="Calibri"/>
                <w:sz w:val="18"/>
                <w:lang w:eastAsia="en-AU"/>
              </w:rPr>
              <w:t>chool level</w:t>
            </w:r>
          </w:p>
        </w:tc>
        <w:tc>
          <w:tcPr>
            <w:tcW w:w="2398" w:type="dxa"/>
            <w:tcBorders>
              <w:top w:val="single" w:sz="4" w:space="0" w:color="53565A" w:themeColor="accent5"/>
              <w:bottom w:val="single" w:sz="4" w:space="0" w:color="53565A" w:themeColor="accent5"/>
            </w:tcBorders>
            <w:vAlign w:val="center"/>
          </w:tcPr>
          <w:p w14:paraId="57EBB88B" w14:textId="77777777" w:rsidR="00C332C7" w:rsidRPr="005734B8" w:rsidRDefault="00C332C7" w:rsidP="002B6980">
            <w:pPr>
              <w:pStyle w:val="ESTablebody"/>
              <w:jc w:val="center"/>
              <w:rPr>
                <w:rFonts w:ascii="Calibri" w:hAnsi="Calibri" w:cs="Calibri"/>
                <w:sz w:val="18"/>
              </w:rPr>
            </w:pPr>
            <w:r w:rsidRPr="005734B8">
              <w:rPr>
                <w:rFonts w:ascii="Calibri" w:hAnsi="Calibri" w:cs="Calibri"/>
                <w:sz w:val="18"/>
              </w:rPr>
              <w:t>4</w:t>
            </w:r>
          </w:p>
        </w:tc>
      </w:tr>
      <w:tr w:rsidR="00C332C7" w:rsidRPr="005734B8" w14:paraId="0F55D1BC" w14:textId="77777777" w:rsidTr="002B6980">
        <w:trPr>
          <w:cantSplit/>
          <w:trHeight w:val="483"/>
        </w:trPr>
        <w:tc>
          <w:tcPr>
            <w:tcW w:w="1413" w:type="dxa"/>
            <w:vMerge/>
            <w:shd w:val="clear" w:color="auto" w:fill="F2F2F2" w:themeFill="background1" w:themeFillShade="F2"/>
            <w:vAlign w:val="center"/>
          </w:tcPr>
          <w:p w14:paraId="4CB6872E"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116CDE02" w14:textId="6351B597" w:rsidR="00C332C7" w:rsidRPr="005734B8" w:rsidRDefault="00C332C7" w:rsidP="002B6980">
            <w:pPr>
              <w:pStyle w:val="ESTablebody"/>
              <w:rPr>
                <w:rFonts w:ascii="Calibri" w:hAnsi="Calibri" w:cs="Calibri"/>
                <w:b/>
                <w:sz w:val="18"/>
                <w:lang w:val="en-AU"/>
              </w:rPr>
            </w:pPr>
            <w:r w:rsidRPr="005734B8">
              <w:rPr>
                <w:rFonts w:ascii="Calibri" w:eastAsia="Times New Roman" w:hAnsi="Calibri" w:cs="Calibri"/>
                <w:sz w:val="18"/>
                <w:lang w:eastAsia="en-AU"/>
              </w:rPr>
              <w:t xml:space="preserve">Separated or </w:t>
            </w:r>
            <w:r w:rsidR="001075A3" w:rsidRPr="005734B8">
              <w:rPr>
                <w:rFonts w:ascii="Calibri" w:eastAsia="Times New Roman" w:hAnsi="Calibri" w:cs="Calibri"/>
                <w:sz w:val="18"/>
                <w:lang w:eastAsia="en-AU"/>
              </w:rPr>
              <w:t>d</w:t>
            </w:r>
            <w:r w:rsidRPr="005734B8">
              <w:rPr>
                <w:rFonts w:ascii="Calibri" w:eastAsia="Times New Roman" w:hAnsi="Calibri" w:cs="Calibri"/>
                <w:sz w:val="18"/>
                <w:lang w:eastAsia="en-AU"/>
              </w:rPr>
              <w:t xml:space="preserve">ivorced </w:t>
            </w:r>
            <w:r w:rsidR="001075A3" w:rsidRPr="005734B8">
              <w:rPr>
                <w:rFonts w:ascii="Calibri" w:eastAsia="Times New Roman" w:hAnsi="Calibri" w:cs="Calibri"/>
                <w:sz w:val="18"/>
                <w:lang w:eastAsia="en-AU"/>
              </w:rPr>
              <w:t>p</w:t>
            </w:r>
            <w:r w:rsidRPr="005734B8">
              <w:rPr>
                <w:rFonts w:ascii="Calibri" w:eastAsia="Times New Roman" w:hAnsi="Calibri" w:cs="Calibri"/>
                <w:sz w:val="18"/>
                <w:lang w:eastAsia="en-AU"/>
              </w:rPr>
              <w:t xml:space="preserve">arent </w:t>
            </w:r>
            <w:r w:rsidR="001075A3" w:rsidRPr="005734B8">
              <w:rPr>
                <w:rFonts w:ascii="Calibri" w:eastAsia="Times New Roman" w:hAnsi="Calibri" w:cs="Calibri"/>
                <w:sz w:val="18"/>
                <w:lang w:eastAsia="en-AU"/>
              </w:rPr>
              <w:t>r</w:t>
            </w:r>
            <w:r w:rsidRPr="005734B8">
              <w:rPr>
                <w:rFonts w:ascii="Calibri" w:eastAsia="Times New Roman" w:hAnsi="Calibri" w:cs="Calibri"/>
                <w:sz w:val="18"/>
                <w:lang w:eastAsia="en-AU"/>
              </w:rPr>
              <w:t xml:space="preserve">elationship </w:t>
            </w:r>
            <w:r w:rsidR="001075A3" w:rsidRPr="005734B8">
              <w:rPr>
                <w:rFonts w:ascii="Calibri" w:eastAsia="Times New Roman" w:hAnsi="Calibri" w:cs="Calibri"/>
                <w:sz w:val="18"/>
                <w:lang w:eastAsia="en-AU"/>
              </w:rPr>
              <w:t>i</w:t>
            </w:r>
            <w:r w:rsidRPr="005734B8">
              <w:rPr>
                <w:rFonts w:ascii="Calibri" w:eastAsia="Times New Roman" w:hAnsi="Calibri" w:cs="Calibri"/>
                <w:sz w:val="18"/>
                <w:lang w:eastAsia="en-AU"/>
              </w:rPr>
              <w:t xml:space="preserve">mpacts on </w:t>
            </w:r>
            <w:r w:rsidR="001075A3" w:rsidRPr="005734B8">
              <w:rPr>
                <w:rFonts w:ascii="Calibri" w:eastAsia="Times New Roman" w:hAnsi="Calibri" w:cs="Calibri"/>
                <w:sz w:val="18"/>
                <w:lang w:eastAsia="en-AU"/>
              </w:rPr>
              <w:t>c</w:t>
            </w:r>
            <w:r w:rsidRPr="005734B8">
              <w:rPr>
                <w:rFonts w:ascii="Calibri" w:eastAsia="Times New Roman" w:hAnsi="Calibri" w:cs="Calibri"/>
                <w:sz w:val="18"/>
                <w:lang w:eastAsia="en-AU"/>
              </w:rPr>
              <w:t>omplaint</w:t>
            </w:r>
          </w:p>
        </w:tc>
        <w:tc>
          <w:tcPr>
            <w:tcW w:w="2398" w:type="dxa"/>
            <w:tcBorders>
              <w:top w:val="single" w:sz="4" w:space="0" w:color="53565A" w:themeColor="accent5"/>
              <w:bottom w:val="single" w:sz="4" w:space="0" w:color="53565A" w:themeColor="accent5"/>
            </w:tcBorders>
            <w:vAlign w:val="center"/>
          </w:tcPr>
          <w:p w14:paraId="188DB497" w14:textId="55700E56" w:rsidR="00C332C7" w:rsidRPr="005734B8" w:rsidRDefault="001075A3" w:rsidP="002B6980">
            <w:pPr>
              <w:pStyle w:val="ESTablebody"/>
              <w:jc w:val="center"/>
              <w:rPr>
                <w:rFonts w:ascii="Calibri" w:hAnsi="Calibri" w:cs="Calibri"/>
                <w:sz w:val="18"/>
              </w:rPr>
            </w:pPr>
            <w:r w:rsidRPr="005734B8">
              <w:rPr>
                <w:rFonts w:ascii="Calibri" w:hAnsi="Calibri" w:cs="Calibri"/>
                <w:sz w:val="18"/>
              </w:rPr>
              <w:t>–</w:t>
            </w:r>
          </w:p>
        </w:tc>
      </w:tr>
      <w:tr w:rsidR="00C332C7" w:rsidRPr="005734B8" w14:paraId="1697312F" w14:textId="77777777" w:rsidTr="002B6980">
        <w:trPr>
          <w:cantSplit/>
          <w:trHeight w:val="483"/>
        </w:trPr>
        <w:tc>
          <w:tcPr>
            <w:tcW w:w="1413" w:type="dxa"/>
            <w:vMerge/>
            <w:shd w:val="clear" w:color="auto" w:fill="F2F2F2" w:themeFill="background1" w:themeFillShade="F2"/>
            <w:vAlign w:val="center"/>
          </w:tcPr>
          <w:p w14:paraId="6A5BDAB5"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60E2418C" w14:textId="606298C8" w:rsidR="00C332C7" w:rsidRPr="005734B8" w:rsidRDefault="00C332C7" w:rsidP="002B6980">
            <w:pPr>
              <w:pStyle w:val="ESTablebody"/>
              <w:rPr>
                <w:rFonts w:ascii="Calibri" w:hAnsi="Calibri" w:cs="Calibri"/>
                <w:b/>
                <w:sz w:val="18"/>
                <w:lang w:val="en-AU"/>
              </w:rPr>
            </w:pPr>
            <w:r w:rsidRPr="005734B8">
              <w:rPr>
                <w:rFonts w:ascii="Calibri" w:eastAsia="Times New Roman" w:hAnsi="Calibri" w:cs="Calibri"/>
                <w:sz w:val="18"/>
                <w:lang w:eastAsia="en-AU"/>
              </w:rPr>
              <w:t xml:space="preserve">Unreasonable </w:t>
            </w:r>
            <w:r w:rsidR="001075A3" w:rsidRPr="005734B8">
              <w:rPr>
                <w:rFonts w:ascii="Calibri" w:eastAsia="Times New Roman" w:hAnsi="Calibri" w:cs="Calibri"/>
                <w:sz w:val="18"/>
                <w:lang w:eastAsia="en-AU"/>
              </w:rPr>
              <w:t>p</w:t>
            </w:r>
            <w:r w:rsidRPr="005734B8">
              <w:rPr>
                <w:rFonts w:ascii="Calibri" w:eastAsia="Times New Roman" w:hAnsi="Calibri" w:cs="Calibri"/>
                <w:sz w:val="18"/>
                <w:lang w:eastAsia="en-AU"/>
              </w:rPr>
              <w:t xml:space="preserve">arent </w:t>
            </w:r>
            <w:r w:rsidR="001075A3" w:rsidRPr="005734B8">
              <w:rPr>
                <w:rFonts w:ascii="Calibri" w:eastAsia="Times New Roman" w:hAnsi="Calibri" w:cs="Calibri"/>
                <w:sz w:val="18"/>
                <w:lang w:eastAsia="en-AU"/>
              </w:rPr>
              <w:t>e</w:t>
            </w:r>
            <w:r w:rsidRPr="005734B8">
              <w:rPr>
                <w:rFonts w:ascii="Calibri" w:eastAsia="Times New Roman" w:hAnsi="Calibri" w:cs="Calibri"/>
                <w:sz w:val="18"/>
                <w:lang w:eastAsia="en-AU"/>
              </w:rPr>
              <w:t xml:space="preserve">xpectations or </w:t>
            </w:r>
            <w:r w:rsidR="001075A3" w:rsidRPr="005734B8">
              <w:rPr>
                <w:rFonts w:ascii="Calibri" w:eastAsia="Times New Roman" w:hAnsi="Calibri" w:cs="Calibri"/>
                <w:sz w:val="18"/>
                <w:lang w:eastAsia="en-AU"/>
              </w:rPr>
              <w:t>b</w:t>
            </w:r>
            <w:r w:rsidRPr="005734B8">
              <w:rPr>
                <w:rFonts w:ascii="Calibri" w:eastAsia="Times New Roman" w:hAnsi="Calibri" w:cs="Calibri"/>
                <w:sz w:val="18"/>
                <w:lang w:eastAsia="en-AU"/>
              </w:rPr>
              <w:t>ehaviour</w:t>
            </w:r>
          </w:p>
        </w:tc>
        <w:tc>
          <w:tcPr>
            <w:tcW w:w="2398" w:type="dxa"/>
            <w:tcBorders>
              <w:top w:val="single" w:sz="4" w:space="0" w:color="53565A" w:themeColor="accent5"/>
              <w:bottom w:val="single" w:sz="4" w:space="0" w:color="53565A" w:themeColor="accent5"/>
            </w:tcBorders>
            <w:vAlign w:val="center"/>
          </w:tcPr>
          <w:p w14:paraId="62F971FF" w14:textId="77777777" w:rsidR="00C332C7" w:rsidRPr="005734B8" w:rsidRDefault="00C332C7" w:rsidP="002B6980">
            <w:pPr>
              <w:pStyle w:val="ESTablebody"/>
              <w:jc w:val="center"/>
              <w:rPr>
                <w:rFonts w:ascii="Calibri" w:hAnsi="Calibri" w:cs="Calibri"/>
                <w:sz w:val="18"/>
              </w:rPr>
            </w:pPr>
            <w:r w:rsidRPr="005734B8">
              <w:rPr>
                <w:rFonts w:ascii="Calibri" w:hAnsi="Calibri" w:cs="Calibri"/>
                <w:sz w:val="18"/>
              </w:rPr>
              <w:t>1</w:t>
            </w:r>
          </w:p>
        </w:tc>
      </w:tr>
      <w:tr w:rsidR="00C332C7" w:rsidRPr="005734B8" w14:paraId="0A0CB759" w14:textId="77777777" w:rsidTr="002B6980">
        <w:trPr>
          <w:cantSplit/>
          <w:trHeight w:val="483"/>
        </w:trPr>
        <w:tc>
          <w:tcPr>
            <w:tcW w:w="1413" w:type="dxa"/>
            <w:vMerge/>
            <w:tcBorders>
              <w:bottom w:val="single" w:sz="4" w:space="0" w:color="53565A" w:themeColor="accent5"/>
            </w:tcBorders>
            <w:shd w:val="clear" w:color="auto" w:fill="F2F2F2" w:themeFill="background1" w:themeFillShade="F2"/>
            <w:vAlign w:val="center"/>
          </w:tcPr>
          <w:p w14:paraId="4146A0FB"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4D9A8CE8" w14:textId="77777777" w:rsidR="00C332C7" w:rsidRPr="005734B8" w:rsidRDefault="00C332C7" w:rsidP="002B6980">
            <w:pPr>
              <w:pStyle w:val="ESTablebody"/>
              <w:rPr>
                <w:rFonts w:ascii="Calibri" w:hAnsi="Calibri" w:cs="Calibri"/>
                <w:b/>
                <w:sz w:val="18"/>
                <w:lang w:val="en-AU"/>
              </w:rPr>
            </w:pPr>
            <w:r w:rsidRPr="005734B8">
              <w:rPr>
                <w:rFonts w:ascii="Calibri" w:hAnsi="Calibri" w:cs="Calibri"/>
                <w:b/>
                <w:sz w:val="18"/>
                <w:lang w:val="en-AU"/>
              </w:rPr>
              <w:t>Analysis of complaints total</w:t>
            </w:r>
          </w:p>
        </w:tc>
        <w:tc>
          <w:tcPr>
            <w:tcW w:w="2398" w:type="dxa"/>
            <w:tcBorders>
              <w:top w:val="single" w:sz="4" w:space="0" w:color="53565A" w:themeColor="accent5"/>
              <w:bottom w:val="single" w:sz="4" w:space="0" w:color="53565A" w:themeColor="accent5"/>
            </w:tcBorders>
            <w:vAlign w:val="center"/>
          </w:tcPr>
          <w:p w14:paraId="3D1C8450" w14:textId="77777777" w:rsidR="00C332C7" w:rsidRPr="005734B8" w:rsidRDefault="00C332C7" w:rsidP="002B6980">
            <w:pPr>
              <w:pStyle w:val="ESTablebody"/>
              <w:jc w:val="center"/>
              <w:rPr>
                <w:rFonts w:ascii="Calibri" w:hAnsi="Calibri" w:cs="Calibri"/>
                <w:b/>
                <w:sz w:val="18"/>
              </w:rPr>
            </w:pPr>
            <w:r w:rsidRPr="005734B8">
              <w:rPr>
                <w:rFonts w:ascii="Calibri" w:hAnsi="Calibri" w:cs="Calibri"/>
                <w:b/>
                <w:sz w:val="18"/>
              </w:rPr>
              <w:t>7</w:t>
            </w:r>
          </w:p>
        </w:tc>
      </w:tr>
      <w:tr w:rsidR="00C332C7" w:rsidRPr="005734B8" w14:paraId="30CD52FB" w14:textId="77777777" w:rsidTr="002B6980">
        <w:trPr>
          <w:cantSplit/>
          <w:trHeight w:val="483"/>
        </w:trPr>
        <w:tc>
          <w:tcPr>
            <w:tcW w:w="1413" w:type="dxa"/>
            <w:vMerge w:val="restart"/>
            <w:tcBorders>
              <w:top w:val="single" w:sz="4" w:space="0" w:color="53565A" w:themeColor="accent5"/>
            </w:tcBorders>
            <w:shd w:val="clear" w:color="auto" w:fill="F2F2F2" w:themeFill="background1" w:themeFillShade="F2"/>
            <w:vAlign w:val="center"/>
          </w:tcPr>
          <w:p w14:paraId="24E29359" w14:textId="77777777" w:rsidR="00C332C7" w:rsidRPr="005734B8" w:rsidRDefault="00C332C7" w:rsidP="002B6980">
            <w:pPr>
              <w:pStyle w:val="ESTablebody"/>
              <w:rPr>
                <w:rFonts w:ascii="Calibri" w:hAnsi="Calibri" w:cs="Calibri"/>
                <w:sz w:val="18"/>
                <w:lang w:val="en-AU"/>
              </w:rPr>
            </w:pPr>
            <w:r w:rsidRPr="005734B8">
              <w:rPr>
                <w:rFonts w:ascii="Calibri" w:hAnsi="Calibri" w:cs="Calibri"/>
                <w:sz w:val="18"/>
                <w:lang w:val="en-AU"/>
              </w:rPr>
              <w:t>Regional level</w:t>
            </w:r>
          </w:p>
        </w:tc>
        <w:tc>
          <w:tcPr>
            <w:tcW w:w="4091" w:type="dxa"/>
            <w:tcBorders>
              <w:top w:val="single" w:sz="4" w:space="0" w:color="53565A" w:themeColor="accent5"/>
              <w:bottom w:val="single" w:sz="4" w:space="0" w:color="53565A" w:themeColor="accent5"/>
            </w:tcBorders>
            <w:shd w:val="clear" w:color="auto" w:fill="auto"/>
            <w:vAlign w:val="bottom"/>
          </w:tcPr>
          <w:p w14:paraId="233B71C9" w14:textId="207336C2" w:rsidR="00C332C7" w:rsidRPr="005734B8" w:rsidRDefault="00C332C7" w:rsidP="002B6980">
            <w:pPr>
              <w:pStyle w:val="ESTablebody"/>
              <w:rPr>
                <w:rFonts w:ascii="Calibri" w:eastAsia="Times New Roman" w:hAnsi="Calibri" w:cs="Calibri"/>
                <w:sz w:val="18"/>
                <w:lang w:eastAsia="en-AU"/>
              </w:rPr>
            </w:pPr>
            <w:r w:rsidRPr="005734B8">
              <w:rPr>
                <w:rFonts w:ascii="Calibri" w:eastAsia="Times New Roman" w:hAnsi="Calibri" w:cs="Calibri"/>
                <w:sz w:val="18"/>
                <w:lang w:eastAsia="en-AU"/>
              </w:rPr>
              <w:t xml:space="preserve">Delay in </w:t>
            </w:r>
            <w:r w:rsidR="001075A3" w:rsidRPr="005734B8">
              <w:rPr>
                <w:rFonts w:ascii="Calibri" w:eastAsia="Times New Roman" w:hAnsi="Calibri" w:cs="Calibri"/>
                <w:sz w:val="18"/>
                <w:lang w:eastAsia="en-AU"/>
              </w:rPr>
              <w:t>h</w:t>
            </w:r>
            <w:r w:rsidRPr="005734B8">
              <w:rPr>
                <w:rFonts w:ascii="Calibri" w:eastAsia="Times New Roman" w:hAnsi="Calibri" w:cs="Calibri"/>
                <w:sz w:val="18"/>
                <w:lang w:eastAsia="en-AU"/>
              </w:rPr>
              <w:t xml:space="preserve">andling </w:t>
            </w:r>
            <w:r w:rsidR="001075A3" w:rsidRPr="005734B8">
              <w:rPr>
                <w:rFonts w:ascii="Calibri" w:eastAsia="Times New Roman" w:hAnsi="Calibri" w:cs="Calibri"/>
                <w:sz w:val="18"/>
                <w:lang w:eastAsia="en-AU"/>
              </w:rPr>
              <w:t>c</w:t>
            </w:r>
            <w:r w:rsidRPr="005734B8">
              <w:rPr>
                <w:rFonts w:ascii="Calibri" w:eastAsia="Times New Roman" w:hAnsi="Calibri" w:cs="Calibri"/>
                <w:sz w:val="18"/>
                <w:lang w:eastAsia="en-AU"/>
              </w:rPr>
              <w:t>omplaint</w:t>
            </w:r>
          </w:p>
        </w:tc>
        <w:tc>
          <w:tcPr>
            <w:tcW w:w="2398" w:type="dxa"/>
            <w:tcBorders>
              <w:top w:val="single" w:sz="4" w:space="0" w:color="53565A" w:themeColor="accent5"/>
              <w:bottom w:val="single" w:sz="4" w:space="0" w:color="53565A" w:themeColor="accent5"/>
            </w:tcBorders>
            <w:vAlign w:val="center"/>
          </w:tcPr>
          <w:p w14:paraId="3A88E531" w14:textId="77777777" w:rsidR="00C332C7" w:rsidRPr="005734B8" w:rsidRDefault="00C332C7" w:rsidP="002B6980">
            <w:pPr>
              <w:jc w:val="center"/>
              <w:rPr>
                <w:rFonts w:ascii="Calibri" w:eastAsia="Times New Roman" w:hAnsi="Calibri" w:cs="Calibri"/>
                <w:sz w:val="18"/>
                <w:szCs w:val="18"/>
                <w:lang w:eastAsia="en-AU"/>
              </w:rPr>
            </w:pPr>
            <w:r w:rsidRPr="005734B8">
              <w:rPr>
                <w:rFonts w:ascii="Calibri" w:eastAsia="Times New Roman" w:hAnsi="Calibri" w:cs="Calibri"/>
                <w:sz w:val="18"/>
                <w:szCs w:val="18"/>
                <w:lang w:eastAsia="en-AU"/>
              </w:rPr>
              <w:t>1</w:t>
            </w:r>
          </w:p>
        </w:tc>
      </w:tr>
      <w:tr w:rsidR="00C332C7" w:rsidRPr="005734B8" w14:paraId="37E1FE78" w14:textId="77777777" w:rsidTr="002B6980">
        <w:trPr>
          <w:cantSplit/>
          <w:trHeight w:val="483"/>
        </w:trPr>
        <w:tc>
          <w:tcPr>
            <w:tcW w:w="1413" w:type="dxa"/>
            <w:vMerge/>
            <w:shd w:val="clear" w:color="auto" w:fill="F2F2F2" w:themeFill="background1" w:themeFillShade="F2"/>
            <w:vAlign w:val="center"/>
          </w:tcPr>
          <w:p w14:paraId="4FF53A47"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53565A" w:themeColor="accent5"/>
            </w:tcBorders>
            <w:shd w:val="clear" w:color="auto" w:fill="auto"/>
            <w:vAlign w:val="bottom"/>
          </w:tcPr>
          <w:p w14:paraId="0DC9A07F" w14:textId="052EAC54" w:rsidR="00C332C7" w:rsidRPr="005734B8" w:rsidRDefault="00C332C7" w:rsidP="002B6980">
            <w:pPr>
              <w:pStyle w:val="ESTablebody"/>
              <w:rPr>
                <w:rFonts w:ascii="Calibri" w:eastAsia="Times New Roman" w:hAnsi="Calibri" w:cs="Calibri"/>
                <w:sz w:val="18"/>
                <w:lang w:eastAsia="en-AU"/>
              </w:rPr>
            </w:pPr>
            <w:r w:rsidRPr="005734B8">
              <w:rPr>
                <w:rFonts w:ascii="Calibri" w:eastAsia="Times New Roman" w:hAnsi="Calibri" w:cs="Calibri"/>
                <w:sz w:val="18"/>
                <w:lang w:eastAsia="en-AU"/>
              </w:rPr>
              <w:t xml:space="preserve">Failure to </w:t>
            </w:r>
            <w:r w:rsidR="001075A3" w:rsidRPr="005734B8">
              <w:rPr>
                <w:rFonts w:ascii="Calibri" w:eastAsia="Times New Roman" w:hAnsi="Calibri" w:cs="Calibri"/>
                <w:sz w:val="18"/>
                <w:lang w:eastAsia="en-AU"/>
              </w:rPr>
              <w:t>f</w:t>
            </w:r>
            <w:r w:rsidRPr="005734B8">
              <w:rPr>
                <w:rFonts w:ascii="Calibri" w:eastAsia="Times New Roman" w:hAnsi="Calibri" w:cs="Calibri"/>
                <w:sz w:val="18"/>
                <w:lang w:eastAsia="en-AU"/>
              </w:rPr>
              <w:t xml:space="preserve">ollow </w:t>
            </w:r>
            <w:r w:rsidR="001075A3" w:rsidRPr="005734B8">
              <w:rPr>
                <w:rFonts w:ascii="Calibri" w:eastAsia="Times New Roman" w:hAnsi="Calibri" w:cs="Calibri"/>
                <w:sz w:val="18"/>
                <w:lang w:eastAsia="en-AU"/>
              </w:rPr>
              <w:t>r</w:t>
            </w:r>
            <w:r w:rsidRPr="005734B8">
              <w:rPr>
                <w:rFonts w:ascii="Calibri" w:eastAsia="Times New Roman" w:hAnsi="Calibri" w:cs="Calibri"/>
                <w:sz w:val="18"/>
                <w:lang w:eastAsia="en-AU"/>
              </w:rPr>
              <w:t xml:space="preserve">egional </w:t>
            </w:r>
            <w:r w:rsidR="001075A3" w:rsidRPr="005734B8">
              <w:rPr>
                <w:rFonts w:ascii="Calibri" w:eastAsia="Times New Roman" w:hAnsi="Calibri" w:cs="Calibri"/>
                <w:sz w:val="18"/>
                <w:lang w:eastAsia="en-AU"/>
              </w:rPr>
              <w:t>p</w:t>
            </w:r>
            <w:r w:rsidRPr="005734B8">
              <w:rPr>
                <w:rFonts w:ascii="Calibri" w:eastAsia="Times New Roman" w:hAnsi="Calibri" w:cs="Calibri"/>
                <w:sz w:val="18"/>
                <w:lang w:eastAsia="en-AU"/>
              </w:rPr>
              <w:t xml:space="preserve">olicy or </w:t>
            </w:r>
            <w:r w:rsidR="001075A3" w:rsidRPr="005734B8">
              <w:rPr>
                <w:rFonts w:ascii="Calibri" w:eastAsia="Times New Roman" w:hAnsi="Calibri" w:cs="Calibri"/>
                <w:sz w:val="18"/>
                <w:lang w:eastAsia="en-AU"/>
              </w:rPr>
              <w:t>p</w:t>
            </w:r>
            <w:r w:rsidRPr="005734B8">
              <w:rPr>
                <w:rFonts w:ascii="Calibri" w:eastAsia="Times New Roman" w:hAnsi="Calibri" w:cs="Calibri"/>
                <w:sz w:val="18"/>
                <w:lang w:eastAsia="en-AU"/>
              </w:rPr>
              <w:t xml:space="preserve">rocedure (other than </w:t>
            </w:r>
            <w:r w:rsidR="001075A3" w:rsidRPr="005734B8">
              <w:rPr>
                <w:rFonts w:ascii="Calibri" w:eastAsia="Times New Roman" w:hAnsi="Calibri" w:cs="Calibri"/>
                <w:sz w:val="18"/>
                <w:lang w:eastAsia="en-AU"/>
              </w:rPr>
              <w:t>d</w:t>
            </w:r>
            <w:r w:rsidRPr="005734B8">
              <w:rPr>
                <w:rFonts w:ascii="Calibri" w:eastAsia="Times New Roman" w:hAnsi="Calibri" w:cs="Calibri"/>
                <w:sz w:val="18"/>
                <w:lang w:eastAsia="en-AU"/>
              </w:rPr>
              <w:t>isability)</w:t>
            </w:r>
          </w:p>
        </w:tc>
        <w:tc>
          <w:tcPr>
            <w:tcW w:w="2398" w:type="dxa"/>
            <w:tcBorders>
              <w:top w:val="single" w:sz="4" w:space="0" w:color="53565A" w:themeColor="accent5"/>
              <w:bottom w:val="single" w:sz="4" w:space="0" w:color="53565A" w:themeColor="accent5"/>
            </w:tcBorders>
            <w:vAlign w:val="center"/>
          </w:tcPr>
          <w:p w14:paraId="0B1ECE6E" w14:textId="3626238F" w:rsidR="00C332C7" w:rsidRPr="005734B8" w:rsidRDefault="001075A3" w:rsidP="002B6980">
            <w:pPr>
              <w:jc w:val="center"/>
              <w:rPr>
                <w:rFonts w:ascii="Calibri" w:eastAsia="Times New Roman" w:hAnsi="Calibri" w:cs="Calibri"/>
                <w:sz w:val="18"/>
                <w:szCs w:val="18"/>
                <w:lang w:eastAsia="en-AU"/>
              </w:rPr>
            </w:pPr>
            <w:r w:rsidRPr="005734B8">
              <w:rPr>
                <w:rFonts w:ascii="Calibri" w:hAnsi="Calibri" w:cs="Calibri"/>
                <w:sz w:val="18"/>
              </w:rPr>
              <w:t>–</w:t>
            </w:r>
          </w:p>
        </w:tc>
      </w:tr>
      <w:tr w:rsidR="00C332C7" w:rsidRPr="005734B8" w14:paraId="2D9C91D2" w14:textId="77777777" w:rsidTr="002B6980">
        <w:trPr>
          <w:cantSplit/>
          <w:trHeight w:val="483"/>
        </w:trPr>
        <w:tc>
          <w:tcPr>
            <w:tcW w:w="1413" w:type="dxa"/>
            <w:vMerge/>
            <w:shd w:val="clear" w:color="auto" w:fill="F2F2F2" w:themeFill="background1" w:themeFillShade="F2"/>
            <w:vAlign w:val="center"/>
          </w:tcPr>
          <w:p w14:paraId="73EC1762"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53565A" w:themeColor="accent5"/>
            </w:tcBorders>
            <w:shd w:val="clear" w:color="auto" w:fill="auto"/>
            <w:vAlign w:val="bottom"/>
          </w:tcPr>
          <w:p w14:paraId="434A09FB" w14:textId="31B8C4C3" w:rsidR="00C332C7" w:rsidRPr="005734B8" w:rsidRDefault="00C332C7" w:rsidP="002B6980">
            <w:pPr>
              <w:pStyle w:val="ESTablebody"/>
              <w:rPr>
                <w:rFonts w:ascii="Calibri" w:eastAsia="Times New Roman" w:hAnsi="Calibri" w:cs="Calibri"/>
                <w:sz w:val="18"/>
                <w:lang w:eastAsia="en-AU"/>
              </w:rPr>
            </w:pPr>
            <w:r w:rsidRPr="005734B8">
              <w:rPr>
                <w:rFonts w:ascii="Calibri" w:eastAsia="Times New Roman" w:hAnsi="Calibri" w:cs="Calibri"/>
                <w:sz w:val="18"/>
                <w:lang w:eastAsia="en-AU"/>
              </w:rPr>
              <w:t xml:space="preserve">Failure to </w:t>
            </w:r>
            <w:r w:rsidR="001075A3" w:rsidRPr="005734B8">
              <w:rPr>
                <w:rFonts w:ascii="Calibri" w:eastAsia="Times New Roman" w:hAnsi="Calibri" w:cs="Calibri"/>
                <w:sz w:val="18"/>
                <w:lang w:eastAsia="en-AU"/>
              </w:rPr>
              <w:t>r</w:t>
            </w:r>
            <w:r w:rsidRPr="005734B8">
              <w:rPr>
                <w:rFonts w:ascii="Calibri" w:eastAsia="Times New Roman" w:hAnsi="Calibri" w:cs="Calibri"/>
                <w:sz w:val="18"/>
                <w:lang w:eastAsia="en-AU"/>
              </w:rPr>
              <w:t xml:space="preserve">equire or </w:t>
            </w:r>
            <w:r w:rsidR="001075A3" w:rsidRPr="005734B8">
              <w:rPr>
                <w:rFonts w:ascii="Calibri" w:eastAsia="Times New Roman" w:hAnsi="Calibri" w:cs="Calibri"/>
                <w:sz w:val="18"/>
                <w:lang w:eastAsia="en-AU"/>
              </w:rPr>
              <w:t>s</w:t>
            </w:r>
            <w:r w:rsidRPr="005734B8">
              <w:rPr>
                <w:rFonts w:ascii="Calibri" w:eastAsia="Times New Roman" w:hAnsi="Calibri" w:cs="Calibri"/>
                <w:sz w:val="18"/>
                <w:lang w:eastAsia="en-AU"/>
              </w:rPr>
              <w:t xml:space="preserve">upport </w:t>
            </w:r>
            <w:r w:rsidR="001075A3" w:rsidRPr="005734B8">
              <w:rPr>
                <w:rFonts w:ascii="Calibri" w:eastAsia="Times New Roman" w:hAnsi="Calibri" w:cs="Calibri"/>
                <w:sz w:val="18"/>
                <w:lang w:eastAsia="en-AU"/>
              </w:rPr>
              <w:t>p</w:t>
            </w:r>
            <w:r w:rsidRPr="005734B8">
              <w:rPr>
                <w:rFonts w:ascii="Calibri" w:eastAsia="Times New Roman" w:hAnsi="Calibri" w:cs="Calibri"/>
                <w:sz w:val="18"/>
                <w:lang w:eastAsia="en-AU"/>
              </w:rPr>
              <w:t xml:space="preserve">roper </w:t>
            </w:r>
            <w:r w:rsidR="001075A3" w:rsidRPr="005734B8">
              <w:rPr>
                <w:rFonts w:ascii="Calibri" w:eastAsia="Times New Roman" w:hAnsi="Calibri" w:cs="Calibri"/>
                <w:sz w:val="18"/>
                <w:lang w:eastAsia="en-AU"/>
              </w:rPr>
              <w:t>a</w:t>
            </w:r>
            <w:r w:rsidRPr="005734B8">
              <w:rPr>
                <w:rFonts w:ascii="Calibri" w:eastAsia="Times New Roman" w:hAnsi="Calibri" w:cs="Calibri"/>
                <w:sz w:val="18"/>
                <w:lang w:eastAsia="en-AU"/>
              </w:rPr>
              <w:t xml:space="preserve">ccommodation of </w:t>
            </w:r>
            <w:r w:rsidR="001075A3" w:rsidRPr="005734B8">
              <w:rPr>
                <w:rFonts w:ascii="Calibri" w:eastAsia="Times New Roman" w:hAnsi="Calibri" w:cs="Calibri"/>
                <w:sz w:val="18"/>
                <w:lang w:eastAsia="en-AU"/>
              </w:rPr>
              <w:t>d</w:t>
            </w:r>
            <w:r w:rsidRPr="005734B8">
              <w:rPr>
                <w:rFonts w:ascii="Calibri" w:eastAsia="Times New Roman" w:hAnsi="Calibri" w:cs="Calibri"/>
                <w:sz w:val="18"/>
                <w:lang w:eastAsia="en-AU"/>
              </w:rPr>
              <w:t>isability</w:t>
            </w:r>
          </w:p>
        </w:tc>
        <w:tc>
          <w:tcPr>
            <w:tcW w:w="2398" w:type="dxa"/>
            <w:tcBorders>
              <w:top w:val="single" w:sz="4" w:space="0" w:color="53565A" w:themeColor="accent5"/>
              <w:bottom w:val="single" w:sz="4" w:space="0" w:color="53565A" w:themeColor="accent5"/>
            </w:tcBorders>
            <w:vAlign w:val="center"/>
          </w:tcPr>
          <w:p w14:paraId="0A6DB3EF" w14:textId="77777777" w:rsidR="00C332C7" w:rsidRPr="005734B8" w:rsidRDefault="00C332C7" w:rsidP="002B6980">
            <w:pPr>
              <w:jc w:val="center"/>
              <w:rPr>
                <w:rFonts w:ascii="Calibri" w:eastAsia="Times New Roman" w:hAnsi="Calibri" w:cs="Calibri"/>
                <w:sz w:val="18"/>
                <w:szCs w:val="18"/>
                <w:lang w:eastAsia="en-AU"/>
              </w:rPr>
            </w:pPr>
            <w:r w:rsidRPr="005734B8">
              <w:rPr>
                <w:rFonts w:ascii="Calibri" w:eastAsia="Times New Roman" w:hAnsi="Calibri" w:cs="Calibri"/>
                <w:sz w:val="18"/>
                <w:szCs w:val="18"/>
                <w:lang w:eastAsia="en-AU"/>
              </w:rPr>
              <w:t>2</w:t>
            </w:r>
          </w:p>
        </w:tc>
      </w:tr>
      <w:tr w:rsidR="00C332C7" w:rsidRPr="005734B8" w14:paraId="61F734A9" w14:textId="77777777" w:rsidTr="002B6980">
        <w:trPr>
          <w:cantSplit/>
          <w:trHeight w:val="483"/>
        </w:trPr>
        <w:tc>
          <w:tcPr>
            <w:tcW w:w="1413" w:type="dxa"/>
            <w:vMerge/>
            <w:shd w:val="clear" w:color="auto" w:fill="F2F2F2" w:themeFill="background1" w:themeFillShade="F2"/>
            <w:vAlign w:val="center"/>
          </w:tcPr>
          <w:p w14:paraId="6A92EF64"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53565A" w:themeColor="accent5"/>
            </w:tcBorders>
            <w:shd w:val="clear" w:color="auto" w:fill="auto"/>
            <w:vAlign w:val="bottom"/>
          </w:tcPr>
          <w:p w14:paraId="21F6C1D2" w14:textId="24FC4C16" w:rsidR="00C332C7" w:rsidRPr="005734B8" w:rsidRDefault="00C332C7" w:rsidP="002B6980">
            <w:pPr>
              <w:pStyle w:val="ESTablebody"/>
              <w:rPr>
                <w:rFonts w:ascii="Calibri" w:eastAsia="Times New Roman" w:hAnsi="Calibri" w:cs="Calibri"/>
                <w:sz w:val="18"/>
                <w:lang w:eastAsia="en-AU"/>
              </w:rPr>
            </w:pPr>
            <w:r w:rsidRPr="005734B8">
              <w:rPr>
                <w:rFonts w:ascii="Calibri" w:eastAsia="Times New Roman" w:hAnsi="Calibri" w:cs="Calibri"/>
                <w:sz w:val="18"/>
                <w:lang w:eastAsia="en-AU"/>
              </w:rPr>
              <w:t xml:space="preserve">Failure to </w:t>
            </w:r>
            <w:r w:rsidR="001075A3" w:rsidRPr="005734B8">
              <w:rPr>
                <w:rFonts w:ascii="Calibri" w:eastAsia="Times New Roman" w:hAnsi="Calibri" w:cs="Calibri"/>
                <w:sz w:val="18"/>
                <w:lang w:eastAsia="en-AU"/>
              </w:rPr>
              <w:t>r</w:t>
            </w:r>
            <w:r w:rsidRPr="005734B8">
              <w:rPr>
                <w:rFonts w:ascii="Calibri" w:eastAsia="Times New Roman" w:hAnsi="Calibri" w:cs="Calibri"/>
                <w:sz w:val="18"/>
                <w:lang w:eastAsia="en-AU"/>
              </w:rPr>
              <w:t xml:space="preserve">equire </w:t>
            </w:r>
            <w:r w:rsidR="001075A3" w:rsidRPr="005734B8">
              <w:rPr>
                <w:rFonts w:ascii="Calibri" w:eastAsia="Times New Roman" w:hAnsi="Calibri" w:cs="Calibri"/>
                <w:sz w:val="18"/>
                <w:lang w:eastAsia="en-AU"/>
              </w:rPr>
              <w:t>s</w:t>
            </w:r>
            <w:r w:rsidRPr="005734B8">
              <w:rPr>
                <w:rFonts w:ascii="Calibri" w:eastAsia="Times New Roman" w:hAnsi="Calibri" w:cs="Calibri"/>
                <w:sz w:val="18"/>
                <w:lang w:eastAsia="en-AU"/>
              </w:rPr>
              <w:t xml:space="preserve">chool to </w:t>
            </w:r>
            <w:r w:rsidR="001075A3" w:rsidRPr="005734B8">
              <w:rPr>
                <w:rFonts w:ascii="Calibri" w:eastAsia="Times New Roman" w:hAnsi="Calibri" w:cs="Calibri"/>
                <w:sz w:val="18"/>
                <w:lang w:eastAsia="en-AU"/>
              </w:rPr>
              <w:t>c</w:t>
            </w:r>
            <w:r w:rsidRPr="005734B8">
              <w:rPr>
                <w:rFonts w:ascii="Calibri" w:eastAsia="Times New Roman" w:hAnsi="Calibri" w:cs="Calibri"/>
                <w:sz w:val="18"/>
                <w:lang w:eastAsia="en-AU"/>
              </w:rPr>
              <w:t>hange/</w:t>
            </w:r>
            <w:r w:rsidR="001075A3" w:rsidRPr="005734B8">
              <w:rPr>
                <w:rFonts w:ascii="Calibri" w:eastAsia="Times New Roman" w:hAnsi="Calibri" w:cs="Calibri"/>
                <w:sz w:val="18"/>
                <w:lang w:eastAsia="en-AU"/>
              </w:rPr>
              <w:t>r</w:t>
            </w:r>
            <w:r w:rsidRPr="005734B8">
              <w:rPr>
                <w:rFonts w:ascii="Calibri" w:eastAsia="Times New Roman" w:hAnsi="Calibri" w:cs="Calibri"/>
                <w:sz w:val="18"/>
                <w:lang w:eastAsia="en-AU"/>
              </w:rPr>
              <w:t xml:space="preserve">espond to </w:t>
            </w:r>
            <w:r w:rsidR="001075A3" w:rsidRPr="005734B8">
              <w:rPr>
                <w:rFonts w:ascii="Calibri" w:eastAsia="Times New Roman" w:hAnsi="Calibri" w:cs="Calibri"/>
                <w:sz w:val="18"/>
                <w:lang w:eastAsia="en-AU"/>
              </w:rPr>
              <w:t>c</w:t>
            </w:r>
            <w:r w:rsidRPr="005734B8">
              <w:rPr>
                <w:rFonts w:ascii="Calibri" w:eastAsia="Times New Roman" w:hAnsi="Calibri" w:cs="Calibri"/>
                <w:sz w:val="18"/>
                <w:lang w:eastAsia="en-AU"/>
              </w:rPr>
              <w:t xml:space="preserve">omplaint </w:t>
            </w:r>
            <w:r w:rsidR="001075A3" w:rsidRPr="005734B8">
              <w:rPr>
                <w:rFonts w:ascii="Calibri" w:eastAsia="Times New Roman" w:hAnsi="Calibri" w:cs="Calibri"/>
                <w:sz w:val="18"/>
                <w:lang w:eastAsia="en-AU"/>
              </w:rPr>
              <w:t>i</w:t>
            </w:r>
            <w:r w:rsidRPr="005734B8">
              <w:rPr>
                <w:rFonts w:ascii="Calibri" w:eastAsia="Times New Roman" w:hAnsi="Calibri" w:cs="Calibri"/>
                <w:sz w:val="18"/>
                <w:lang w:eastAsia="en-AU"/>
              </w:rPr>
              <w:t>ssues</w:t>
            </w:r>
          </w:p>
        </w:tc>
        <w:tc>
          <w:tcPr>
            <w:tcW w:w="2398" w:type="dxa"/>
            <w:tcBorders>
              <w:top w:val="single" w:sz="4" w:space="0" w:color="53565A" w:themeColor="accent5"/>
              <w:bottom w:val="single" w:sz="4" w:space="0" w:color="53565A" w:themeColor="accent5"/>
            </w:tcBorders>
            <w:vAlign w:val="center"/>
          </w:tcPr>
          <w:p w14:paraId="12765DBF" w14:textId="77777777" w:rsidR="00C332C7" w:rsidRPr="005734B8" w:rsidRDefault="00C332C7" w:rsidP="002B6980">
            <w:pPr>
              <w:pStyle w:val="ESTablebody"/>
              <w:jc w:val="center"/>
              <w:rPr>
                <w:rFonts w:ascii="Calibri" w:eastAsia="Times New Roman" w:hAnsi="Calibri" w:cs="Calibri"/>
                <w:sz w:val="18"/>
                <w:lang w:val="en-GB" w:eastAsia="en-AU"/>
              </w:rPr>
            </w:pPr>
            <w:r w:rsidRPr="005734B8">
              <w:rPr>
                <w:rFonts w:ascii="Calibri" w:eastAsia="Times New Roman" w:hAnsi="Calibri" w:cs="Calibri"/>
                <w:sz w:val="18"/>
                <w:lang w:val="en-GB" w:eastAsia="en-AU"/>
              </w:rPr>
              <w:t>1</w:t>
            </w:r>
          </w:p>
        </w:tc>
      </w:tr>
      <w:tr w:rsidR="00C332C7" w:rsidRPr="005734B8" w14:paraId="3B5E7043" w14:textId="77777777" w:rsidTr="002B6980">
        <w:trPr>
          <w:cantSplit/>
          <w:trHeight w:val="483"/>
        </w:trPr>
        <w:tc>
          <w:tcPr>
            <w:tcW w:w="1413" w:type="dxa"/>
            <w:vMerge/>
            <w:shd w:val="clear" w:color="auto" w:fill="F2F2F2" w:themeFill="background1" w:themeFillShade="F2"/>
            <w:vAlign w:val="center"/>
          </w:tcPr>
          <w:p w14:paraId="63AC3426"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53565A" w:themeColor="accent5"/>
            </w:tcBorders>
            <w:shd w:val="clear" w:color="auto" w:fill="auto"/>
            <w:vAlign w:val="bottom"/>
          </w:tcPr>
          <w:p w14:paraId="60598034" w14:textId="5B4419DD" w:rsidR="00C332C7" w:rsidRPr="005734B8" w:rsidRDefault="00C332C7" w:rsidP="002B6980">
            <w:pPr>
              <w:pStyle w:val="ESTablebody"/>
              <w:rPr>
                <w:rFonts w:ascii="Calibri" w:eastAsia="Times New Roman" w:hAnsi="Calibri" w:cs="Calibri"/>
                <w:sz w:val="18"/>
                <w:lang w:eastAsia="en-AU"/>
              </w:rPr>
            </w:pPr>
            <w:r w:rsidRPr="005734B8">
              <w:rPr>
                <w:rFonts w:ascii="Calibri" w:eastAsia="Times New Roman" w:hAnsi="Calibri" w:cs="Calibri"/>
                <w:sz w:val="18"/>
                <w:lang w:eastAsia="en-AU"/>
              </w:rPr>
              <w:t xml:space="preserve">Failure to </w:t>
            </w:r>
            <w:r w:rsidR="00FE4A9A" w:rsidRPr="005734B8">
              <w:rPr>
                <w:rFonts w:ascii="Calibri" w:eastAsia="Times New Roman" w:hAnsi="Calibri" w:cs="Calibri"/>
                <w:sz w:val="18"/>
                <w:lang w:eastAsia="en-AU"/>
              </w:rPr>
              <w:t>r</w:t>
            </w:r>
            <w:r w:rsidRPr="005734B8">
              <w:rPr>
                <w:rFonts w:ascii="Calibri" w:eastAsia="Times New Roman" w:hAnsi="Calibri" w:cs="Calibri"/>
                <w:sz w:val="18"/>
                <w:lang w:eastAsia="en-AU"/>
              </w:rPr>
              <w:t xml:space="preserve">espond to </w:t>
            </w:r>
            <w:r w:rsidR="00FE4A9A" w:rsidRPr="005734B8">
              <w:rPr>
                <w:rFonts w:ascii="Calibri" w:eastAsia="Times New Roman" w:hAnsi="Calibri" w:cs="Calibri"/>
                <w:sz w:val="18"/>
                <w:lang w:eastAsia="en-AU"/>
              </w:rPr>
              <w:t>i</w:t>
            </w:r>
            <w:r w:rsidRPr="005734B8">
              <w:rPr>
                <w:rFonts w:ascii="Calibri" w:eastAsia="Times New Roman" w:hAnsi="Calibri" w:cs="Calibri"/>
                <w:sz w:val="18"/>
                <w:lang w:eastAsia="en-AU"/>
              </w:rPr>
              <w:t xml:space="preserve">ssues </w:t>
            </w:r>
            <w:r w:rsidR="00FE4A9A" w:rsidRPr="005734B8">
              <w:rPr>
                <w:rFonts w:ascii="Calibri" w:eastAsia="Times New Roman" w:hAnsi="Calibri" w:cs="Calibri"/>
                <w:sz w:val="18"/>
                <w:lang w:eastAsia="en-AU"/>
              </w:rPr>
              <w:t>r</w:t>
            </w:r>
            <w:r w:rsidRPr="005734B8">
              <w:rPr>
                <w:rFonts w:ascii="Calibri" w:eastAsia="Times New Roman" w:hAnsi="Calibri" w:cs="Calibri"/>
                <w:sz w:val="18"/>
                <w:lang w:eastAsia="en-AU"/>
              </w:rPr>
              <w:t>aised</w:t>
            </w:r>
          </w:p>
        </w:tc>
        <w:tc>
          <w:tcPr>
            <w:tcW w:w="2398" w:type="dxa"/>
            <w:tcBorders>
              <w:top w:val="single" w:sz="4" w:space="0" w:color="53565A" w:themeColor="accent5"/>
              <w:bottom w:val="single" w:sz="4" w:space="0" w:color="53565A" w:themeColor="accent5"/>
            </w:tcBorders>
            <w:vAlign w:val="center"/>
          </w:tcPr>
          <w:p w14:paraId="64982208" w14:textId="77777777" w:rsidR="00C332C7" w:rsidRPr="005734B8" w:rsidRDefault="00C332C7" w:rsidP="002B6980">
            <w:pPr>
              <w:jc w:val="center"/>
              <w:rPr>
                <w:rFonts w:ascii="Calibri" w:eastAsia="Times New Roman" w:hAnsi="Calibri" w:cs="Calibri"/>
                <w:sz w:val="18"/>
                <w:szCs w:val="18"/>
                <w:lang w:eastAsia="en-AU"/>
              </w:rPr>
            </w:pPr>
            <w:r w:rsidRPr="005734B8">
              <w:rPr>
                <w:rFonts w:ascii="Calibri" w:eastAsia="Times New Roman" w:hAnsi="Calibri" w:cs="Calibri"/>
                <w:sz w:val="18"/>
                <w:szCs w:val="18"/>
                <w:lang w:eastAsia="en-AU"/>
              </w:rPr>
              <w:t>1</w:t>
            </w:r>
          </w:p>
        </w:tc>
      </w:tr>
      <w:tr w:rsidR="00C332C7" w:rsidRPr="005734B8" w14:paraId="7CE7E17E" w14:textId="77777777" w:rsidTr="002B6980">
        <w:trPr>
          <w:cantSplit/>
          <w:trHeight w:val="483"/>
        </w:trPr>
        <w:tc>
          <w:tcPr>
            <w:tcW w:w="1413" w:type="dxa"/>
            <w:vMerge/>
            <w:shd w:val="clear" w:color="auto" w:fill="F2F2F2" w:themeFill="background1" w:themeFillShade="F2"/>
            <w:vAlign w:val="center"/>
          </w:tcPr>
          <w:p w14:paraId="31058EA3"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53565A" w:themeColor="accent5"/>
            </w:tcBorders>
            <w:shd w:val="clear" w:color="auto" w:fill="auto"/>
            <w:vAlign w:val="bottom"/>
          </w:tcPr>
          <w:p w14:paraId="3D3DC3F4" w14:textId="77777777" w:rsidR="00C332C7" w:rsidRPr="005734B8" w:rsidRDefault="00C332C7" w:rsidP="002B6980">
            <w:pPr>
              <w:pStyle w:val="ESTablebody"/>
              <w:rPr>
                <w:rFonts w:ascii="Calibri" w:eastAsia="Times New Roman" w:hAnsi="Calibri" w:cs="Calibri"/>
                <w:sz w:val="18"/>
                <w:lang w:eastAsia="en-AU"/>
              </w:rPr>
            </w:pPr>
            <w:r w:rsidRPr="005734B8">
              <w:rPr>
                <w:rFonts w:ascii="Calibri" w:eastAsia="Times New Roman" w:hAnsi="Calibri" w:cs="Calibri"/>
                <w:sz w:val="18"/>
                <w:lang w:eastAsia="en-AU"/>
              </w:rPr>
              <w:t>Other</w:t>
            </w:r>
          </w:p>
        </w:tc>
        <w:tc>
          <w:tcPr>
            <w:tcW w:w="2398" w:type="dxa"/>
            <w:tcBorders>
              <w:top w:val="single" w:sz="4" w:space="0" w:color="53565A" w:themeColor="accent5"/>
              <w:bottom w:val="single" w:sz="4" w:space="0" w:color="53565A" w:themeColor="accent5"/>
            </w:tcBorders>
            <w:vAlign w:val="center"/>
          </w:tcPr>
          <w:p w14:paraId="05933F16" w14:textId="77777777" w:rsidR="00C332C7" w:rsidRPr="005734B8" w:rsidRDefault="00C332C7" w:rsidP="002B6980">
            <w:pPr>
              <w:jc w:val="center"/>
              <w:rPr>
                <w:rFonts w:ascii="Calibri" w:eastAsia="Times New Roman" w:hAnsi="Calibri" w:cs="Calibri"/>
                <w:sz w:val="18"/>
                <w:szCs w:val="18"/>
                <w:lang w:eastAsia="en-AU"/>
              </w:rPr>
            </w:pPr>
            <w:r w:rsidRPr="005734B8">
              <w:rPr>
                <w:rFonts w:ascii="Calibri" w:eastAsia="Times New Roman" w:hAnsi="Calibri" w:cs="Calibri"/>
                <w:sz w:val="18"/>
                <w:szCs w:val="18"/>
                <w:lang w:eastAsia="en-AU"/>
              </w:rPr>
              <w:t>1</w:t>
            </w:r>
          </w:p>
        </w:tc>
      </w:tr>
      <w:tr w:rsidR="00C332C7" w:rsidRPr="005734B8" w14:paraId="48DDF4C3" w14:textId="77777777" w:rsidTr="002B6980">
        <w:trPr>
          <w:cantSplit/>
          <w:trHeight w:val="483"/>
        </w:trPr>
        <w:tc>
          <w:tcPr>
            <w:tcW w:w="1413" w:type="dxa"/>
            <w:vMerge/>
            <w:shd w:val="clear" w:color="auto" w:fill="F2F2F2" w:themeFill="background1" w:themeFillShade="F2"/>
            <w:vAlign w:val="center"/>
          </w:tcPr>
          <w:p w14:paraId="66C288F2"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53565A" w:themeColor="accent5"/>
            </w:tcBorders>
            <w:shd w:val="clear" w:color="auto" w:fill="auto"/>
            <w:vAlign w:val="bottom"/>
          </w:tcPr>
          <w:p w14:paraId="500C9497" w14:textId="74F005F6" w:rsidR="00C332C7" w:rsidRPr="005734B8" w:rsidRDefault="00C332C7" w:rsidP="002B6980">
            <w:pPr>
              <w:pStyle w:val="ESTablebody"/>
              <w:rPr>
                <w:rFonts w:ascii="Calibri" w:eastAsia="Times New Roman" w:hAnsi="Calibri" w:cs="Calibri"/>
                <w:sz w:val="18"/>
                <w:lang w:eastAsia="en-AU"/>
              </w:rPr>
            </w:pPr>
            <w:r w:rsidRPr="005734B8">
              <w:rPr>
                <w:rFonts w:ascii="Calibri" w:eastAsia="Times New Roman" w:hAnsi="Calibri" w:cs="Calibri"/>
                <w:sz w:val="18"/>
                <w:lang w:eastAsia="en-AU"/>
              </w:rPr>
              <w:t xml:space="preserve">Request from </w:t>
            </w:r>
            <w:r w:rsidR="00FE4A9A" w:rsidRPr="005734B8">
              <w:rPr>
                <w:rFonts w:ascii="Calibri" w:eastAsia="Times New Roman" w:hAnsi="Calibri" w:cs="Calibri"/>
                <w:sz w:val="18"/>
                <w:lang w:eastAsia="en-AU"/>
              </w:rPr>
              <w:t xml:space="preserve">the </w:t>
            </w:r>
            <w:r w:rsidRPr="005734B8">
              <w:rPr>
                <w:rFonts w:ascii="Calibri" w:eastAsia="Times New Roman" w:hAnsi="Calibri" w:cs="Calibri"/>
                <w:sz w:val="18"/>
                <w:lang w:eastAsia="en-AU"/>
              </w:rPr>
              <w:t xml:space="preserve">Department for </w:t>
            </w:r>
            <w:r w:rsidR="00FE4A9A" w:rsidRPr="005734B8">
              <w:rPr>
                <w:rFonts w:ascii="Calibri" w:eastAsia="Times New Roman" w:hAnsi="Calibri" w:cs="Calibri"/>
                <w:sz w:val="18"/>
                <w:lang w:eastAsia="en-AU"/>
              </w:rPr>
              <w:t>c</w:t>
            </w:r>
            <w:r w:rsidRPr="005734B8">
              <w:rPr>
                <w:rFonts w:ascii="Calibri" w:eastAsia="Times New Roman" w:hAnsi="Calibri" w:cs="Calibri"/>
                <w:sz w:val="18"/>
                <w:lang w:eastAsia="en-AU"/>
              </w:rPr>
              <w:t xml:space="preserve">apacity </w:t>
            </w:r>
            <w:r w:rsidR="00FE4A9A" w:rsidRPr="005734B8">
              <w:rPr>
                <w:rFonts w:ascii="Calibri" w:eastAsia="Times New Roman" w:hAnsi="Calibri" w:cs="Calibri"/>
                <w:sz w:val="18"/>
                <w:lang w:eastAsia="en-AU"/>
              </w:rPr>
              <w:t>c</w:t>
            </w:r>
            <w:r w:rsidRPr="005734B8">
              <w:rPr>
                <w:rFonts w:ascii="Calibri" w:eastAsia="Times New Roman" w:hAnsi="Calibri" w:cs="Calibri"/>
                <w:sz w:val="18"/>
                <w:lang w:eastAsia="en-AU"/>
              </w:rPr>
              <w:t>oaching</w:t>
            </w:r>
          </w:p>
        </w:tc>
        <w:tc>
          <w:tcPr>
            <w:tcW w:w="2398" w:type="dxa"/>
            <w:tcBorders>
              <w:top w:val="single" w:sz="4" w:space="0" w:color="53565A" w:themeColor="accent5"/>
              <w:bottom w:val="single" w:sz="4" w:space="0" w:color="53565A" w:themeColor="accent5"/>
            </w:tcBorders>
            <w:vAlign w:val="center"/>
          </w:tcPr>
          <w:p w14:paraId="0DAD352F" w14:textId="0A54F570" w:rsidR="00C332C7" w:rsidRPr="005734B8" w:rsidRDefault="001075A3" w:rsidP="002B6980">
            <w:pPr>
              <w:jc w:val="center"/>
              <w:rPr>
                <w:rFonts w:ascii="Calibri" w:eastAsia="Times New Roman" w:hAnsi="Calibri" w:cs="Calibri"/>
                <w:sz w:val="18"/>
                <w:szCs w:val="18"/>
                <w:lang w:eastAsia="en-AU"/>
              </w:rPr>
            </w:pPr>
            <w:r w:rsidRPr="005734B8">
              <w:rPr>
                <w:rFonts w:ascii="Calibri" w:hAnsi="Calibri" w:cs="Calibri"/>
                <w:sz w:val="18"/>
              </w:rPr>
              <w:t>–</w:t>
            </w:r>
          </w:p>
        </w:tc>
      </w:tr>
      <w:tr w:rsidR="00C332C7" w:rsidRPr="005734B8" w14:paraId="250A86AD" w14:textId="77777777" w:rsidTr="002B6980">
        <w:trPr>
          <w:cantSplit/>
          <w:trHeight w:val="483"/>
        </w:trPr>
        <w:tc>
          <w:tcPr>
            <w:tcW w:w="1413" w:type="dxa"/>
            <w:vMerge/>
            <w:tcBorders>
              <w:bottom w:val="single" w:sz="4" w:space="0" w:color="53565A" w:themeColor="accent5"/>
            </w:tcBorders>
            <w:shd w:val="clear" w:color="auto" w:fill="F2F2F2" w:themeFill="background1" w:themeFillShade="F2"/>
            <w:vAlign w:val="center"/>
          </w:tcPr>
          <w:p w14:paraId="0603A885"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53565A" w:themeColor="accent5"/>
            </w:tcBorders>
            <w:shd w:val="clear" w:color="auto" w:fill="auto"/>
            <w:vAlign w:val="bottom"/>
          </w:tcPr>
          <w:p w14:paraId="5564BB53" w14:textId="77777777" w:rsidR="00C332C7" w:rsidRPr="005734B8" w:rsidRDefault="00C332C7" w:rsidP="002B6980">
            <w:pPr>
              <w:pStyle w:val="ESTablebody"/>
              <w:rPr>
                <w:rFonts w:ascii="Calibri" w:eastAsia="Times New Roman" w:hAnsi="Calibri" w:cs="Calibri"/>
                <w:b/>
                <w:bCs/>
                <w:sz w:val="18"/>
                <w:lang w:eastAsia="en-AU"/>
              </w:rPr>
            </w:pPr>
            <w:r w:rsidRPr="005734B8">
              <w:rPr>
                <w:rFonts w:ascii="Calibri" w:eastAsia="Times New Roman" w:hAnsi="Calibri" w:cs="Calibri"/>
                <w:b/>
                <w:bCs/>
                <w:sz w:val="18"/>
                <w:lang w:eastAsia="en-AU"/>
              </w:rPr>
              <w:t>Regional level total</w:t>
            </w:r>
          </w:p>
        </w:tc>
        <w:tc>
          <w:tcPr>
            <w:tcW w:w="2398" w:type="dxa"/>
            <w:tcBorders>
              <w:top w:val="single" w:sz="4" w:space="0" w:color="53565A" w:themeColor="accent5"/>
              <w:bottom w:val="single" w:sz="4" w:space="0" w:color="53565A" w:themeColor="accent5"/>
            </w:tcBorders>
            <w:vAlign w:val="center"/>
          </w:tcPr>
          <w:p w14:paraId="14734429" w14:textId="77777777" w:rsidR="00C332C7" w:rsidRPr="005734B8" w:rsidRDefault="00C332C7" w:rsidP="002B6980">
            <w:pPr>
              <w:jc w:val="center"/>
              <w:rPr>
                <w:rFonts w:ascii="Calibri" w:eastAsia="Times New Roman" w:hAnsi="Calibri" w:cs="Calibri"/>
                <w:b/>
                <w:bCs/>
                <w:sz w:val="18"/>
                <w:szCs w:val="18"/>
                <w:lang w:eastAsia="en-AU"/>
              </w:rPr>
            </w:pPr>
            <w:r w:rsidRPr="005734B8">
              <w:rPr>
                <w:rFonts w:ascii="Calibri" w:eastAsia="Times New Roman" w:hAnsi="Calibri" w:cs="Calibri"/>
                <w:b/>
                <w:bCs/>
                <w:sz w:val="18"/>
                <w:szCs w:val="18"/>
                <w:lang w:eastAsia="en-AU"/>
              </w:rPr>
              <w:t>6</w:t>
            </w:r>
          </w:p>
        </w:tc>
      </w:tr>
      <w:tr w:rsidR="00C332C7" w:rsidRPr="005734B8" w14:paraId="480B3136" w14:textId="77777777" w:rsidTr="002B6980">
        <w:trPr>
          <w:cantSplit/>
          <w:trHeight w:val="483"/>
        </w:trPr>
        <w:tc>
          <w:tcPr>
            <w:tcW w:w="1413" w:type="dxa"/>
            <w:vMerge w:val="restart"/>
            <w:tcBorders>
              <w:top w:val="single" w:sz="4" w:space="0" w:color="53565A" w:themeColor="accent5"/>
            </w:tcBorders>
            <w:shd w:val="clear" w:color="auto" w:fill="F2F2F2" w:themeFill="background1" w:themeFillShade="F2"/>
            <w:vAlign w:val="center"/>
          </w:tcPr>
          <w:p w14:paraId="1FDD7404" w14:textId="77777777" w:rsidR="00C332C7" w:rsidRPr="005734B8" w:rsidRDefault="00C332C7" w:rsidP="002B6980">
            <w:pPr>
              <w:pStyle w:val="ESTablebody"/>
              <w:rPr>
                <w:rFonts w:ascii="Calibri" w:hAnsi="Calibri" w:cs="Calibri"/>
                <w:sz w:val="18"/>
                <w:lang w:val="en-AU"/>
              </w:rPr>
            </w:pPr>
            <w:r w:rsidRPr="005734B8">
              <w:rPr>
                <w:rFonts w:ascii="Calibri" w:hAnsi="Calibri" w:cs="Calibri"/>
                <w:sz w:val="18"/>
                <w:lang w:val="en-AU"/>
              </w:rPr>
              <w:t>School level</w:t>
            </w:r>
          </w:p>
        </w:tc>
        <w:tc>
          <w:tcPr>
            <w:tcW w:w="4091" w:type="dxa"/>
            <w:tcBorders>
              <w:top w:val="single" w:sz="4" w:space="0" w:color="53565A" w:themeColor="accent5"/>
              <w:bottom w:val="single" w:sz="4" w:space="0" w:color="53565A" w:themeColor="accent5"/>
            </w:tcBorders>
            <w:shd w:val="clear" w:color="auto" w:fill="auto"/>
            <w:vAlign w:val="center"/>
          </w:tcPr>
          <w:p w14:paraId="0DB876C7" w14:textId="5C72FC4E" w:rsidR="00C332C7" w:rsidRPr="005734B8" w:rsidRDefault="00C332C7" w:rsidP="002B6980">
            <w:pPr>
              <w:pStyle w:val="ESTablebody"/>
              <w:rPr>
                <w:rFonts w:ascii="Calibri" w:eastAsia="Times New Roman" w:hAnsi="Calibri" w:cs="Calibri"/>
                <w:sz w:val="18"/>
                <w:lang w:eastAsia="en-AU"/>
              </w:rPr>
            </w:pPr>
            <w:r w:rsidRPr="005734B8">
              <w:rPr>
                <w:rFonts w:ascii="Calibri" w:eastAsia="Times New Roman" w:hAnsi="Calibri" w:cs="Calibri"/>
                <w:sz w:val="18"/>
                <w:lang w:eastAsia="en-AU"/>
              </w:rPr>
              <w:t xml:space="preserve">Failure to </w:t>
            </w:r>
            <w:r w:rsidR="00FE4A9A" w:rsidRPr="005734B8">
              <w:rPr>
                <w:rFonts w:ascii="Calibri" w:eastAsia="Times New Roman" w:hAnsi="Calibri" w:cs="Calibri"/>
                <w:sz w:val="18"/>
                <w:lang w:eastAsia="en-AU"/>
              </w:rPr>
              <w:t>a</w:t>
            </w:r>
            <w:r w:rsidRPr="005734B8">
              <w:rPr>
                <w:rFonts w:ascii="Calibri" w:eastAsia="Times New Roman" w:hAnsi="Calibri" w:cs="Calibri"/>
                <w:sz w:val="18"/>
                <w:lang w:eastAsia="en-AU"/>
              </w:rPr>
              <w:t xml:space="preserve">ddress </w:t>
            </w:r>
            <w:r w:rsidR="00FE4A9A" w:rsidRPr="005734B8">
              <w:rPr>
                <w:rFonts w:ascii="Calibri" w:eastAsia="Times New Roman" w:hAnsi="Calibri" w:cs="Calibri"/>
                <w:sz w:val="18"/>
                <w:lang w:eastAsia="en-AU"/>
              </w:rPr>
              <w:t>a</w:t>
            </w:r>
            <w:r w:rsidRPr="005734B8">
              <w:rPr>
                <w:rFonts w:ascii="Calibri" w:eastAsia="Times New Roman" w:hAnsi="Calibri" w:cs="Calibri"/>
                <w:sz w:val="18"/>
                <w:lang w:eastAsia="en-AU"/>
              </w:rPr>
              <w:t>nti-</w:t>
            </w:r>
            <w:r w:rsidR="00FE4A9A" w:rsidRPr="005734B8">
              <w:rPr>
                <w:rFonts w:ascii="Calibri" w:eastAsia="Times New Roman" w:hAnsi="Calibri" w:cs="Calibri"/>
                <w:sz w:val="18"/>
                <w:lang w:eastAsia="en-AU"/>
              </w:rPr>
              <w:t>s</w:t>
            </w:r>
            <w:r w:rsidRPr="005734B8">
              <w:rPr>
                <w:rFonts w:ascii="Calibri" w:eastAsia="Times New Roman" w:hAnsi="Calibri" w:cs="Calibri"/>
                <w:sz w:val="18"/>
                <w:lang w:eastAsia="en-AU"/>
              </w:rPr>
              <w:t xml:space="preserve">ocial </w:t>
            </w:r>
            <w:r w:rsidR="00FE4A9A" w:rsidRPr="005734B8">
              <w:rPr>
                <w:rFonts w:ascii="Calibri" w:eastAsia="Times New Roman" w:hAnsi="Calibri" w:cs="Calibri"/>
                <w:sz w:val="18"/>
                <w:lang w:eastAsia="en-AU"/>
              </w:rPr>
              <w:t>b</w:t>
            </w:r>
            <w:r w:rsidRPr="005734B8">
              <w:rPr>
                <w:rFonts w:ascii="Calibri" w:eastAsia="Times New Roman" w:hAnsi="Calibri" w:cs="Calibri"/>
                <w:sz w:val="18"/>
                <w:lang w:eastAsia="en-AU"/>
              </w:rPr>
              <w:t>ehaviour of other students</w:t>
            </w:r>
          </w:p>
        </w:tc>
        <w:tc>
          <w:tcPr>
            <w:tcW w:w="2398" w:type="dxa"/>
            <w:tcBorders>
              <w:top w:val="single" w:sz="4" w:space="0" w:color="53565A" w:themeColor="accent5"/>
              <w:bottom w:val="single" w:sz="4" w:space="0" w:color="53565A" w:themeColor="accent5"/>
            </w:tcBorders>
            <w:vAlign w:val="center"/>
          </w:tcPr>
          <w:p w14:paraId="78B1620B" w14:textId="77777777" w:rsidR="00C332C7" w:rsidRPr="005734B8" w:rsidRDefault="00C332C7" w:rsidP="002B6980">
            <w:pPr>
              <w:jc w:val="center"/>
              <w:rPr>
                <w:rFonts w:ascii="Calibri" w:eastAsia="Times New Roman" w:hAnsi="Calibri" w:cs="Calibri"/>
                <w:sz w:val="18"/>
                <w:szCs w:val="18"/>
                <w:lang w:eastAsia="en-AU"/>
              </w:rPr>
            </w:pPr>
            <w:r w:rsidRPr="005734B8">
              <w:rPr>
                <w:rFonts w:ascii="Calibri" w:eastAsia="Times New Roman" w:hAnsi="Calibri" w:cs="Calibri"/>
                <w:sz w:val="18"/>
                <w:szCs w:val="18"/>
                <w:lang w:eastAsia="en-AU"/>
              </w:rPr>
              <w:t>1</w:t>
            </w:r>
          </w:p>
        </w:tc>
      </w:tr>
      <w:tr w:rsidR="00C332C7" w:rsidRPr="005734B8" w14:paraId="35E20B8E" w14:textId="77777777" w:rsidTr="002B6980">
        <w:trPr>
          <w:cantSplit/>
          <w:trHeight w:val="483"/>
        </w:trPr>
        <w:tc>
          <w:tcPr>
            <w:tcW w:w="1413" w:type="dxa"/>
            <w:vMerge/>
            <w:shd w:val="clear" w:color="auto" w:fill="F2F2F2" w:themeFill="background1" w:themeFillShade="F2"/>
            <w:vAlign w:val="center"/>
          </w:tcPr>
          <w:p w14:paraId="706BD023"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731CC1A7" w14:textId="053FFE3E" w:rsidR="00C332C7" w:rsidRPr="005734B8" w:rsidRDefault="00C332C7" w:rsidP="002B6980">
            <w:pPr>
              <w:pStyle w:val="ESTablebody"/>
              <w:rPr>
                <w:rFonts w:ascii="Calibri" w:eastAsia="Times New Roman" w:hAnsi="Calibri" w:cs="Calibri"/>
                <w:sz w:val="18"/>
                <w:lang w:eastAsia="en-AU"/>
              </w:rPr>
            </w:pPr>
            <w:r w:rsidRPr="005734B8">
              <w:rPr>
                <w:rFonts w:ascii="Calibri" w:eastAsia="Times New Roman" w:hAnsi="Calibri" w:cs="Calibri"/>
                <w:sz w:val="18"/>
                <w:lang w:eastAsia="en-AU"/>
              </w:rPr>
              <w:t xml:space="preserve">Failure to </w:t>
            </w:r>
            <w:r w:rsidR="00FE4A9A" w:rsidRPr="005734B8">
              <w:rPr>
                <w:rFonts w:ascii="Calibri" w:eastAsia="Times New Roman" w:hAnsi="Calibri" w:cs="Calibri"/>
                <w:sz w:val="18"/>
                <w:lang w:eastAsia="en-AU"/>
              </w:rPr>
              <w:t>e</w:t>
            </w:r>
            <w:r w:rsidRPr="005734B8">
              <w:rPr>
                <w:rFonts w:ascii="Calibri" w:eastAsia="Times New Roman" w:hAnsi="Calibri" w:cs="Calibri"/>
                <w:sz w:val="18"/>
                <w:lang w:eastAsia="en-AU"/>
              </w:rPr>
              <w:t xml:space="preserve">ducate to </w:t>
            </w:r>
            <w:r w:rsidR="00FE4A9A" w:rsidRPr="005734B8">
              <w:rPr>
                <w:rFonts w:ascii="Calibri" w:eastAsia="Times New Roman" w:hAnsi="Calibri" w:cs="Calibri"/>
                <w:sz w:val="18"/>
                <w:lang w:eastAsia="en-AU"/>
              </w:rPr>
              <w:t>s</w:t>
            </w:r>
            <w:r w:rsidRPr="005734B8">
              <w:rPr>
                <w:rFonts w:ascii="Calibri" w:eastAsia="Times New Roman" w:hAnsi="Calibri" w:cs="Calibri"/>
                <w:sz w:val="18"/>
                <w:lang w:eastAsia="en-AU"/>
              </w:rPr>
              <w:t>tandard</w:t>
            </w:r>
          </w:p>
        </w:tc>
        <w:tc>
          <w:tcPr>
            <w:tcW w:w="2398" w:type="dxa"/>
            <w:tcBorders>
              <w:top w:val="single" w:sz="4" w:space="0" w:color="53565A" w:themeColor="accent5"/>
              <w:bottom w:val="single" w:sz="4" w:space="0" w:color="53565A" w:themeColor="accent5"/>
            </w:tcBorders>
            <w:vAlign w:val="center"/>
          </w:tcPr>
          <w:p w14:paraId="313E1616" w14:textId="7605C315" w:rsidR="00C332C7" w:rsidRPr="005734B8" w:rsidRDefault="001075A3" w:rsidP="002B6980">
            <w:pPr>
              <w:jc w:val="center"/>
              <w:rPr>
                <w:rFonts w:ascii="Calibri" w:eastAsia="Times New Roman" w:hAnsi="Calibri" w:cs="Calibri"/>
                <w:sz w:val="18"/>
                <w:szCs w:val="18"/>
                <w:lang w:eastAsia="en-AU"/>
              </w:rPr>
            </w:pPr>
            <w:r w:rsidRPr="005734B8">
              <w:rPr>
                <w:rFonts w:ascii="Calibri" w:hAnsi="Calibri" w:cs="Calibri"/>
                <w:sz w:val="18"/>
              </w:rPr>
              <w:t>–</w:t>
            </w:r>
          </w:p>
        </w:tc>
      </w:tr>
      <w:tr w:rsidR="00C332C7" w:rsidRPr="005734B8" w14:paraId="13EDAF0A" w14:textId="77777777" w:rsidTr="002B6980">
        <w:trPr>
          <w:cantSplit/>
          <w:trHeight w:val="483"/>
        </w:trPr>
        <w:tc>
          <w:tcPr>
            <w:tcW w:w="1413" w:type="dxa"/>
            <w:vMerge/>
            <w:shd w:val="clear" w:color="auto" w:fill="F2F2F2" w:themeFill="background1" w:themeFillShade="F2"/>
            <w:vAlign w:val="center"/>
          </w:tcPr>
          <w:p w14:paraId="3BE21DF4"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6CA3EB89" w14:textId="3C40A169" w:rsidR="00C332C7" w:rsidRPr="005734B8" w:rsidRDefault="00C332C7" w:rsidP="002B6980">
            <w:pPr>
              <w:pStyle w:val="ESTablebody"/>
              <w:rPr>
                <w:rFonts w:ascii="Calibri" w:eastAsia="Times New Roman" w:hAnsi="Calibri" w:cs="Calibri"/>
                <w:sz w:val="18"/>
                <w:lang w:eastAsia="en-AU"/>
              </w:rPr>
            </w:pPr>
            <w:r w:rsidRPr="005734B8">
              <w:rPr>
                <w:rFonts w:ascii="Calibri" w:eastAsia="Times New Roman" w:hAnsi="Calibri" w:cs="Calibri"/>
                <w:sz w:val="18"/>
                <w:lang w:eastAsia="en-AU"/>
              </w:rPr>
              <w:t xml:space="preserve">Failure to </w:t>
            </w:r>
            <w:r w:rsidR="00FE4A9A" w:rsidRPr="005734B8">
              <w:rPr>
                <w:rFonts w:ascii="Calibri" w:eastAsia="Times New Roman" w:hAnsi="Calibri" w:cs="Calibri"/>
                <w:sz w:val="18"/>
                <w:lang w:eastAsia="en-AU"/>
              </w:rPr>
              <w:t>e</w:t>
            </w:r>
            <w:r w:rsidRPr="005734B8">
              <w:rPr>
                <w:rFonts w:ascii="Calibri" w:eastAsia="Times New Roman" w:hAnsi="Calibri" w:cs="Calibri"/>
                <w:sz w:val="18"/>
                <w:lang w:eastAsia="en-AU"/>
              </w:rPr>
              <w:t xml:space="preserve">nsure </w:t>
            </w:r>
            <w:r w:rsidR="00FE4A9A" w:rsidRPr="005734B8">
              <w:rPr>
                <w:rFonts w:ascii="Calibri" w:eastAsia="Times New Roman" w:hAnsi="Calibri" w:cs="Calibri"/>
                <w:sz w:val="18"/>
                <w:lang w:eastAsia="en-AU"/>
              </w:rPr>
              <w:t>s</w:t>
            </w:r>
            <w:r w:rsidRPr="005734B8">
              <w:rPr>
                <w:rFonts w:ascii="Calibri" w:eastAsia="Times New Roman" w:hAnsi="Calibri" w:cs="Calibri"/>
                <w:sz w:val="18"/>
                <w:lang w:eastAsia="en-AU"/>
              </w:rPr>
              <w:t>afety/</w:t>
            </w:r>
            <w:r w:rsidR="00FE4A9A" w:rsidRPr="005734B8">
              <w:rPr>
                <w:rFonts w:ascii="Calibri" w:eastAsia="Times New Roman" w:hAnsi="Calibri" w:cs="Calibri"/>
                <w:sz w:val="18"/>
                <w:lang w:eastAsia="en-AU"/>
              </w:rPr>
              <w:t>w</w:t>
            </w:r>
            <w:r w:rsidRPr="005734B8">
              <w:rPr>
                <w:rFonts w:ascii="Calibri" w:eastAsia="Times New Roman" w:hAnsi="Calibri" w:cs="Calibri"/>
                <w:sz w:val="18"/>
                <w:lang w:eastAsia="en-AU"/>
              </w:rPr>
              <w:t xml:space="preserve">ellbeing of </w:t>
            </w:r>
            <w:r w:rsidR="00FE4A9A" w:rsidRPr="005734B8">
              <w:rPr>
                <w:rFonts w:ascii="Calibri" w:eastAsia="Times New Roman" w:hAnsi="Calibri" w:cs="Calibri"/>
                <w:sz w:val="18"/>
                <w:lang w:eastAsia="en-AU"/>
              </w:rPr>
              <w:t>s</w:t>
            </w:r>
            <w:r w:rsidRPr="005734B8">
              <w:rPr>
                <w:rFonts w:ascii="Calibri" w:eastAsia="Times New Roman" w:hAnsi="Calibri" w:cs="Calibri"/>
                <w:sz w:val="18"/>
                <w:lang w:eastAsia="en-AU"/>
              </w:rPr>
              <w:t>tudent</w:t>
            </w:r>
          </w:p>
        </w:tc>
        <w:tc>
          <w:tcPr>
            <w:tcW w:w="2398" w:type="dxa"/>
            <w:tcBorders>
              <w:top w:val="single" w:sz="4" w:space="0" w:color="53565A" w:themeColor="accent5"/>
              <w:bottom w:val="single" w:sz="4" w:space="0" w:color="53565A" w:themeColor="accent5"/>
            </w:tcBorders>
            <w:vAlign w:val="center"/>
          </w:tcPr>
          <w:p w14:paraId="678FD510" w14:textId="3BDD61F5" w:rsidR="00C332C7" w:rsidRPr="005734B8" w:rsidRDefault="001075A3" w:rsidP="002B6980">
            <w:pPr>
              <w:jc w:val="center"/>
              <w:rPr>
                <w:rFonts w:ascii="Calibri" w:eastAsia="Times New Roman" w:hAnsi="Calibri" w:cs="Calibri"/>
                <w:sz w:val="18"/>
                <w:szCs w:val="18"/>
                <w:lang w:eastAsia="en-AU"/>
              </w:rPr>
            </w:pPr>
            <w:r w:rsidRPr="005734B8">
              <w:rPr>
                <w:rFonts w:ascii="Calibri" w:hAnsi="Calibri" w:cs="Calibri"/>
                <w:sz w:val="18"/>
              </w:rPr>
              <w:t>–</w:t>
            </w:r>
          </w:p>
        </w:tc>
      </w:tr>
      <w:tr w:rsidR="00C332C7" w:rsidRPr="005734B8" w14:paraId="09F92EE3" w14:textId="77777777" w:rsidTr="002B6980">
        <w:trPr>
          <w:cantSplit/>
          <w:trHeight w:val="483"/>
        </w:trPr>
        <w:tc>
          <w:tcPr>
            <w:tcW w:w="1413" w:type="dxa"/>
            <w:vMerge/>
            <w:shd w:val="clear" w:color="auto" w:fill="F2F2F2" w:themeFill="background1" w:themeFillShade="F2"/>
            <w:vAlign w:val="center"/>
          </w:tcPr>
          <w:p w14:paraId="2060DF83"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3F6B6601" w14:textId="78263B46" w:rsidR="00C332C7" w:rsidRPr="005734B8" w:rsidRDefault="00C332C7" w:rsidP="002B6980">
            <w:pPr>
              <w:pStyle w:val="ESTablebody"/>
              <w:rPr>
                <w:rFonts w:ascii="Calibri" w:eastAsia="Times New Roman" w:hAnsi="Calibri" w:cs="Calibri"/>
                <w:sz w:val="18"/>
                <w:lang w:eastAsia="en-AU"/>
              </w:rPr>
            </w:pPr>
            <w:r w:rsidRPr="005734B8">
              <w:rPr>
                <w:rFonts w:ascii="Calibri" w:eastAsia="Times New Roman" w:hAnsi="Calibri" w:cs="Calibri"/>
                <w:sz w:val="18"/>
                <w:lang w:eastAsia="en-AU"/>
              </w:rPr>
              <w:t xml:space="preserve">Failure to </w:t>
            </w:r>
            <w:r w:rsidR="00FE4A9A" w:rsidRPr="005734B8">
              <w:rPr>
                <w:rFonts w:ascii="Calibri" w:eastAsia="Times New Roman" w:hAnsi="Calibri" w:cs="Calibri"/>
                <w:sz w:val="18"/>
                <w:lang w:eastAsia="en-AU"/>
              </w:rPr>
              <w:t>f</w:t>
            </w:r>
            <w:r w:rsidRPr="005734B8">
              <w:rPr>
                <w:rFonts w:ascii="Calibri" w:eastAsia="Times New Roman" w:hAnsi="Calibri" w:cs="Calibri"/>
                <w:sz w:val="18"/>
                <w:lang w:eastAsia="en-AU"/>
              </w:rPr>
              <w:t xml:space="preserve">ollow </w:t>
            </w:r>
            <w:r w:rsidR="00FE4A9A" w:rsidRPr="005734B8">
              <w:rPr>
                <w:rFonts w:ascii="Calibri" w:eastAsia="Times New Roman" w:hAnsi="Calibri" w:cs="Calibri"/>
                <w:sz w:val="18"/>
                <w:lang w:eastAsia="en-AU"/>
              </w:rPr>
              <w:t>p</w:t>
            </w:r>
            <w:r w:rsidRPr="005734B8">
              <w:rPr>
                <w:rFonts w:ascii="Calibri" w:eastAsia="Times New Roman" w:hAnsi="Calibri" w:cs="Calibri"/>
                <w:sz w:val="18"/>
                <w:lang w:eastAsia="en-AU"/>
              </w:rPr>
              <w:t xml:space="preserve">olicy or </w:t>
            </w:r>
            <w:r w:rsidR="00FE4A9A" w:rsidRPr="005734B8">
              <w:rPr>
                <w:rFonts w:ascii="Calibri" w:eastAsia="Times New Roman" w:hAnsi="Calibri" w:cs="Calibri"/>
                <w:sz w:val="18"/>
                <w:lang w:eastAsia="en-AU"/>
              </w:rPr>
              <w:t>p</w:t>
            </w:r>
            <w:r w:rsidRPr="005734B8">
              <w:rPr>
                <w:rFonts w:ascii="Calibri" w:eastAsia="Times New Roman" w:hAnsi="Calibri" w:cs="Calibri"/>
                <w:sz w:val="18"/>
                <w:lang w:eastAsia="en-AU"/>
              </w:rPr>
              <w:t xml:space="preserve">rocedure (other than </w:t>
            </w:r>
            <w:r w:rsidR="00FE4A9A" w:rsidRPr="005734B8">
              <w:rPr>
                <w:rFonts w:ascii="Calibri" w:eastAsia="Times New Roman" w:hAnsi="Calibri" w:cs="Calibri"/>
                <w:sz w:val="18"/>
                <w:lang w:eastAsia="en-AU"/>
              </w:rPr>
              <w:t>d</w:t>
            </w:r>
            <w:r w:rsidRPr="005734B8">
              <w:rPr>
                <w:rFonts w:ascii="Calibri" w:eastAsia="Times New Roman" w:hAnsi="Calibri" w:cs="Calibri"/>
                <w:sz w:val="18"/>
                <w:lang w:eastAsia="en-AU"/>
              </w:rPr>
              <w:t>isability)</w:t>
            </w:r>
          </w:p>
        </w:tc>
        <w:tc>
          <w:tcPr>
            <w:tcW w:w="2398" w:type="dxa"/>
            <w:tcBorders>
              <w:top w:val="single" w:sz="4" w:space="0" w:color="53565A" w:themeColor="accent5"/>
              <w:bottom w:val="single" w:sz="4" w:space="0" w:color="53565A" w:themeColor="accent5"/>
            </w:tcBorders>
            <w:vAlign w:val="center"/>
          </w:tcPr>
          <w:p w14:paraId="1634FDCC" w14:textId="77777777" w:rsidR="00C332C7" w:rsidRPr="005734B8" w:rsidRDefault="00C332C7" w:rsidP="002B6980">
            <w:pPr>
              <w:jc w:val="center"/>
              <w:rPr>
                <w:rFonts w:ascii="Calibri" w:eastAsia="Times New Roman" w:hAnsi="Calibri" w:cs="Calibri"/>
                <w:sz w:val="18"/>
                <w:szCs w:val="18"/>
                <w:lang w:eastAsia="en-AU"/>
              </w:rPr>
            </w:pPr>
            <w:r w:rsidRPr="005734B8">
              <w:rPr>
                <w:rFonts w:ascii="Calibri" w:eastAsia="Times New Roman" w:hAnsi="Calibri" w:cs="Calibri"/>
                <w:sz w:val="18"/>
                <w:szCs w:val="18"/>
                <w:lang w:eastAsia="en-AU"/>
              </w:rPr>
              <w:t>1</w:t>
            </w:r>
          </w:p>
        </w:tc>
      </w:tr>
      <w:tr w:rsidR="00C332C7" w:rsidRPr="005734B8" w14:paraId="4EC50EA2" w14:textId="77777777" w:rsidTr="002B6980">
        <w:trPr>
          <w:cantSplit/>
          <w:trHeight w:val="483"/>
        </w:trPr>
        <w:tc>
          <w:tcPr>
            <w:tcW w:w="1413" w:type="dxa"/>
            <w:vMerge/>
            <w:shd w:val="clear" w:color="auto" w:fill="F2F2F2" w:themeFill="background1" w:themeFillShade="F2"/>
            <w:vAlign w:val="center"/>
          </w:tcPr>
          <w:p w14:paraId="378881A6"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0AE28637" w14:textId="51189E1B" w:rsidR="00C332C7" w:rsidRPr="005734B8" w:rsidRDefault="00C332C7" w:rsidP="002B6980">
            <w:pPr>
              <w:pStyle w:val="ESTablebody"/>
              <w:rPr>
                <w:rFonts w:ascii="Calibri" w:eastAsia="Times New Roman" w:hAnsi="Calibri" w:cs="Calibri"/>
                <w:sz w:val="18"/>
                <w:lang w:eastAsia="en-AU"/>
              </w:rPr>
            </w:pPr>
            <w:r w:rsidRPr="005734B8">
              <w:rPr>
                <w:rFonts w:ascii="Calibri" w:eastAsia="Times New Roman" w:hAnsi="Calibri" w:cs="Calibri"/>
                <w:sz w:val="18"/>
                <w:lang w:eastAsia="en-AU"/>
              </w:rPr>
              <w:t xml:space="preserve">Failure to </w:t>
            </w:r>
            <w:r w:rsidR="00FE4A9A" w:rsidRPr="005734B8">
              <w:rPr>
                <w:rFonts w:ascii="Calibri" w:eastAsia="Times New Roman" w:hAnsi="Calibri" w:cs="Calibri"/>
                <w:sz w:val="18"/>
                <w:lang w:eastAsia="en-AU"/>
              </w:rPr>
              <w:t>p</w:t>
            </w:r>
            <w:r w:rsidRPr="005734B8">
              <w:rPr>
                <w:rFonts w:ascii="Calibri" w:eastAsia="Times New Roman" w:hAnsi="Calibri" w:cs="Calibri"/>
                <w:sz w:val="18"/>
                <w:lang w:eastAsia="en-AU"/>
              </w:rPr>
              <w:t xml:space="preserve">roperly </w:t>
            </w:r>
            <w:r w:rsidR="00FE4A9A" w:rsidRPr="005734B8">
              <w:rPr>
                <w:rFonts w:ascii="Calibri" w:eastAsia="Times New Roman" w:hAnsi="Calibri" w:cs="Calibri"/>
                <w:sz w:val="18"/>
                <w:lang w:eastAsia="en-AU"/>
              </w:rPr>
              <w:t>a</w:t>
            </w:r>
            <w:r w:rsidRPr="005734B8">
              <w:rPr>
                <w:rFonts w:ascii="Calibri" w:eastAsia="Times New Roman" w:hAnsi="Calibri" w:cs="Calibri"/>
                <w:sz w:val="18"/>
                <w:lang w:eastAsia="en-AU"/>
              </w:rPr>
              <w:t xml:space="preserve">ccommodate </w:t>
            </w:r>
            <w:r w:rsidR="00FE4A9A" w:rsidRPr="005734B8">
              <w:rPr>
                <w:rFonts w:ascii="Calibri" w:eastAsia="Times New Roman" w:hAnsi="Calibri" w:cs="Calibri"/>
                <w:sz w:val="18"/>
                <w:lang w:eastAsia="en-AU"/>
              </w:rPr>
              <w:t>d</w:t>
            </w:r>
            <w:r w:rsidRPr="005734B8">
              <w:rPr>
                <w:rFonts w:ascii="Calibri" w:eastAsia="Times New Roman" w:hAnsi="Calibri" w:cs="Calibri"/>
                <w:sz w:val="18"/>
                <w:lang w:eastAsia="en-AU"/>
              </w:rPr>
              <w:t>isability</w:t>
            </w:r>
          </w:p>
        </w:tc>
        <w:tc>
          <w:tcPr>
            <w:tcW w:w="2398" w:type="dxa"/>
            <w:tcBorders>
              <w:top w:val="single" w:sz="4" w:space="0" w:color="53565A" w:themeColor="accent5"/>
              <w:bottom w:val="single" w:sz="4" w:space="0" w:color="53565A" w:themeColor="accent5"/>
            </w:tcBorders>
            <w:vAlign w:val="center"/>
          </w:tcPr>
          <w:p w14:paraId="2F439558" w14:textId="77777777" w:rsidR="00C332C7" w:rsidRPr="005734B8" w:rsidRDefault="00C332C7" w:rsidP="002B6980">
            <w:pPr>
              <w:jc w:val="center"/>
              <w:rPr>
                <w:rFonts w:ascii="Calibri" w:eastAsia="Times New Roman" w:hAnsi="Calibri" w:cs="Calibri"/>
                <w:sz w:val="18"/>
                <w:szCs w:val="18"/>
                <w:lang w:eastAsia="en-AU"/>
              </w:rPr>
            </w:pPr>
            <w:r w:rsidRPr="005734B8">
              <w:rPr>
                <w:rFonts w:ascii="Calibri" w:eastAsia="Times New Roman" w:hAnsi="Calibri" w:cs="Calibri"/>
                <w:sz w:val="18"/>
                <w:szCs w:val="18"/>
                <w:lang w:eastAsia="en-AU"/>
              </w:rPr>
              <w:t>5</w:t>
            </w:r>
          </w:p>
        </w:tc>
      </w:tr>
      <w:tr w:rsidR="00C332C7" w:rsidRPr="005734B8" w14:paraId="30AC17D3" w14:textId="77777777" w:rsidTr="002B6980">
        <w:trPr>
          <w:cantSplit/>
          <w:trHeight w:val="483"/>
        </w:trPr>
        <w:tc>
          <w:tcPr>
            <w:tcW w:w="1413" w:type="dxa"/>
            <w:vMerge/>
            <w:shd w:val="clear" w:color="auto" w:fill="F2F2F2" w:themeFill="background1" w:themeFillShade="F2"/>
            <w:vAlign w:val="center"/>
          </w:tcPr>
          <w:p w14:paraId="78CF497F"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43437583" w14:textId="44EB949D" w:rsidR="00C332C7" w:rsidRPr="005734B8" w:rsidRDefault="00C332C7" w:rsidP="002B6980">
            <w:pPr>
              <w:pStyle w:val="ESTablebody"/>
              <w:rPr>
                <w:rFonts w:ascii="Calibri" w:eastAsia="Times New Roman" w:hAnsi="Calibri" w:cs="Calibri"/>
                <w:sz w:val="18"/>
                <w:lang w:eastAsia="en-AU"/>
              </w:rPr>
            </w:pPr>
            <w:r w:rsidRPr="005734B8">
              <w:rPr>
                <w:rFonts w:ascii="Calibri" w:eastAsia="Times New Roman" w:hAnsi="Calibri" w:cs="Calibri"/>
                <w:sz w:val="18"/>
                <w:lang w:eastAsia="en-AU"/>
              </w:rPr>
              <w:t xml:space="preserve">Inappropriate </w:t>
            </w:r>
            <w:r w:rsidR="00FE4A9A" w:rsidRPr="005734B8">
              <w:rPr>
                <w:rFonts w:ascii="Calibri" w:eastAsia="Times New Roman" w:hAnsi="Calibri" w:cs="Calibri"/>
                <w:sz w:val="18"/>
                <w:lang w:eastAsia="en-AU"/>
              </w:rPr>
              <w:t>t</w:t>
            </w:r>
            <w:r w:rsidRPr="005734B8">
              <w:rPr>
                <w:rFonts w:ascii="Calibri" w:eastAsia="Times New Roman" w:hAnsi="Calibri" w:cs="Calibri"/>
                <w:sz w:val="18"/>
                <w:lang w:eastAsia="en-AU"/>
              </w:rPr>
              <w:t>eacher/</w:t>
            </w:r>
            <w:r w:rsidR="00FE4A9A" w:rsidRPr="005734B8">
              <w:rPr>
                <w:rFonts w:ascii="Calibri" w:eastAsia="Times New Roman" w:hAnsi="Calibri" w:cs="Calibri"/>
                <w:sz w:val="18"/>
                <w:lang w:eastAsia="en-AU"/>
              </w:rPr>
              <w:t>s</w:t>
            </w:r>
            <w:r w:rsidRPr="005734B8">
              <w:rPr>
                <w:rFonts w:ascii="Calibri" w:eastAsia="Times New Roman" w:hAnsi="Calibri" w:cs="Calibri"/>
                <w:sz w:val="18"/>
                <w:lang w:eastAsia="en-AU"/>
              </w:rPr>
              <w:t xml:space="preserve">taff </w:t>
            </w:r>
            <w:r w:rsidR="00FE4A9A" w:rsidRPr="005734B8">
              <w:rPr>
                <w:rFonts w:ascii="Calibri" w:eastAsia="Times New Roman" w:hAnsi="Calibri" w:cs="Calibri"/>
                <w:sz w:val="18"/>
                <w:lang w:eastAsia="en-AU"/>
              </w:rPr>
              <w:t>b</w:t>
            </w:r>
            <w:r w:rsidRPr="005734B8">
              <w:rPr>
                <w:rFonts w:ascii="Calibri" w:eastAsia="Times New Roman" w:hAnsi="Calibri" w:cs="Calibri"/>
                <w:sz w:val="18"/>
                <w:lang w:eastAsia="en-AU"/>
              </w:rPr>
              <w:t>ehaviour</w:t>
            </w:r>
          </w:p>
        </w:tc>
        <w:tc>
          <w:tcPr>
            <w:tcW w:w="2398" w:type="dxa"/>
            <w:tcBorders>
              <w:top w:val="single" w:sz="4" w:space="0" w:color="53565A" w:themeColor="accent5"/>
              <w:bottom w:val="single" w:sz="4" w:space="0" w:color="53565A" w:themeColor="accent5"/>
            </w:tcBorders>
            <w:vAlign w:val="center"/>
          </w:tcPr>
          <w:p w14:paraId="0DFFFD7B" w14:textId="77777777" w:rsidR="00C332C7" w:rsidRPr="005734B8" w:rsidRDefault="00C332C7" w:rsidP="002B6980">
            <w:pPr>
              <w:jc w:val="center"/>
              <w:rPr>
                <w:rFonts w:ascii="Calibri" w:eastAsia="Times New Roman" w:hAnsi="Calibri" w:cs="Calibri"/>
                <w:sz w:val="18"/>
                <w:szCs w:val="18"/>
                <w:lang w:eastAsia="en-AU"/>
              </w:rPr>
            </w:pPr>
            <w:r w:rsidRPr="005734B8">
              <w:rPr>
                <w:rFonts w:ascii="Calibri" w:eastAsia="Times New Roman" w:hAnsi="Calibri" w:cs="Calibri"/>
                <w:sz w:val="18"/>
                <w:szCs w:val="18"/>
                <w:lang w:eastAsia="en-AU"/>
              </w:rPr>
              <w:t>3</w:t>
            </w:r>
          </w:p>
        </w:tc>
      </w:tr>
      <w:tr w:rsidR="00C332C7" w:rsidRPr="005734B8" w14:paraId="4715179B" w14:textId="77777777" w:rsidTr="002B6980">
        <w:trPr>
          <w:cantSplit/>
          <w:trHeight w:val="483"/>
        </w:trPr>
        <w:tc>
          <w:tcPr>
            <w:tcW w:w="1413" w:type="dxa"/>
            <w:vMerge/>
            <w:shd w:val="clear" w:color="auto" w:fill="F2F2F2" w:themeFill="background1" w:themeFillShade="F2"/>
            <w:vAlign w:val="center"/>
          </w:tcPr>
          <w:p w14:paraId="551ABFB6"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7E397C95" w14:textId="2F919BB2" w:rsidR="00C332C7" w:rsidRPr="005734B8" w:rsidRDefault="00C332C7" w:rsidP="002B6980">
            <w:pPr>
              <w:pStyle w:val="ESTablebody"/>
              <w:rPr>
                <w:rFonts w:ascii="Calibri" w:eastAsia="Times New Roman" w:hAnsi="Calibri" w:cs="Calibri"/>
                <w:sz w:val="18"/>
                <w:lang w:eastAsia="en-AU"/>
              </w:rPr>
            </w:pPr>
            <w:r w:rsidRPr="005734B8">
              <w:rPr>
                <w:rFonts w:ascii="Calibri" w:eastAsia="Times New Roman" w:hAnsi="Calibri" w:cs="Calibri"/>
                <w:sz w:val="18"/>
                <w:lang w:eastAsia="en-AU"/>
              </w:rPr>
              <w:t xml:space="preserve">Loss of </w:t>
            </w:r>
            <w:r w:rsidR="00FE4A9A" w:rsidRPr="005734B8">
              <w:rPr>
                <w:rFonts w:ascii="Calibri" w:eastAsia="Times New Roman" w:hAnsi="Calibri" w:cs="Calibri"/>
                <w:sz w:val="18"/>
                <w:lang w:eastAsia="en-AU"/>
              </w:rPr>
              <w:t>c</w:t>
            </w:r>
            <w:r w:rsidRPr="005734B8">
              <w:rPr>
                <w:rFonts w:ascii="Calibri" w:eastAsia="Times New Roman" w:hAnsi="Calibri" w:cs="Calibri"/>
                <w:sz w:val="18"/>
                <w:lang w:eastAsia="en-AU"/>
              </w:rPr>
              <w:t xml:space="preserve">onfidence in </w:t>
            </w:r>
            <w:r w:rsidR="00FE4A9A" w:rsidRPr="005734B8">
              <w:rPr>
                <w:rFonts w:ascii="Calibri" w:eastAsia="Times New Roman" w:hAnsi="Calibri" w:cs="Calibri"/>
                <w:sz w:val="18"/>
                <w:lang w:eastAsia="en-AU"/>
              </w:rPr>
              <w:t>s</w:t>
            </w:r>
            <w:r w:rsidRPr="005734B8">
              <w:rPr>
                <w:rFonts w:ascii="Calibri" w:eastAsia="Times New Roman" w:hAnsi="Calibri" w:cs="Calibri"/>
                <w:sz w:val="18"/>
                <w:lang w:eastAsia="en-AU"/>
              </w:rPr>
              <w:t xml:space="preserve">chool </w:t>
            </w:r>
            <w:r w:rsidR="00FE4A9A" w:rsidRPr="005734B8">
              <w:rPr>
                <w:rFonts w:ascii="Calibri" w:eastAsia="Times New Roman" w:hAnsi="Calibri" w:cs="Calibri"/>
                <w:sz w:val="18"/>
                <w:lang w:eastAsia="en-AU"/>
              </w:rPr>
              <w:t>l</w:t>
            </w:r>
            <w:r w:rsidRPr="005734B8">
              <w:rPr>
                <w:rFonts w:ascii="Calibri" w:eastAsia="Times New Roman" w:hAnsi="Calibri" w:cs="Calibri"/>
                <w:sz w:val="18"/>
                <w:lang w:eastAsia="en-AU"/>
              </w:rPr>
              <w:t>eadership</w:t>
            </w:r>
          </w:p>
        </w:tc>
        <w:tc>
          <w:tcPr>
            <w:tcW w:w="2398" w:type="dxa"/>
            <w:tcBorders>
              <w:top w:val="single" w:sz="4" w:space="0" w:color="53565A" w:themeColor="accent5"/>
              <w:bottom w:val="single" w:sz="4" w:space="0" w:color="53565A" w:themeColor="accent5"/>
            </w:tcBorders>
            <w:vAlign w:val="center"/>
          </w:tcPr>
          <w:p w14:paraId="7E6D6DAA" w14:textId="77777777" w:rsidR="00C332C7" w:rsidRPr="005734B8" w:rsidRDefault="00C332C7" w:rsidP="002B6980">
            <w:pPr>
              <w:jc w:val="center"/>
              <w:rPr>
                <w:rFonts w:ascii="Calibri" w:eastAsia="Times New Roman" w:hAnsi="Calibri" w:cs="Calibri"/>
                <w:sz w:val="18"/>
                <w:szCs w:val="18"/>
                <w:lang w:eastAsia="en-AU"/>
              </w:rPr>
            </w:pPr>
            <w:r w:rsidRPr="005734B8">
              <w:rPr>
                <w:rFonts w:ascii="Calibri" w:eastAsia="Times New Roman" w:hAnsi="Calibri" w:cs="Calibri"/>
                <w:sz w:val="18"/>
                <w:szCs w:val="18"/>
                <w:lang w:eastAsia="en-AU"/>
              </w:rPr>
              <w:t>3</w:t>
            </w:r>
          </w:p>
        </w:tc>
      </w:tr>
      <w:tr w:rsidR="00C332C7" w:rsidRPr="005734B8" w14:paraId="2B2A3C9E" w14:textId="77777777" w:rsidTr="00E97C84">
        <w:trPr>
          <w:cantSplit/>
          <w:trHeight w:val="483"/>
        </w:trPr>
        <w:tc>
          <w:tcPr>
            <w:tcW w:w="1413" w:type="dxa"/>
            <w:vMerge/>
            <w:shd w:val="clear" w:color="auto" w:fill="F2F2F2" w:themeFill="background1" w:themeFillShade="F2"/>
            <w:vAlign w:val="center"/>
          </w:tcPr>
          <w:p w14:paraId="0F377119"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5CFA931D" w14:textId="77777777" w:rsidR="00C332C7" w:rsidRPr="005734B8" w:rsidRDefault="00C332C7" w:rsidP="002B6980">
            <w:pPr>
              <w:pStyle w:val="ESTablebody"/>
              <w:rPr>
                <w:rFonts w:ascii="Calibri" w:eastAsia="Times New Roman" w:hAnsi="Calibri" w:cs="Calibri"/>
                <w:sz w:val="18"/>
                <w:lang w:eastAsia="en-AU"/>
              </w:rPr>
            </w:pPr>
            <w:r w:rsidRPr="005734B8">
              <w:rPr>
                <w:rFonts w:ascii="Calibri" w:eastAsia="Times New Roman" w:hAnsi="Calibri" w:cs="Calibri"/>
                <w:sz w:val="18"/>
                <w:lang w:eastAsia="en-AU"/>
              </w:rPr>
              <w:t>Other</w:t>
            </w:r>
          </w:p>
        </w:tc>
        <w:tc>
          <w:tcPr>
            <w:tcW w:w="2398" w:type="dxa"/>
            <w:tcBorders>
              <w:top w:val="single" w:sz="4" w:space="0" w:color="53565A" w:themeColor="accent5"/>
              <w:bottom w:val="single" w:sz="4" w:space="0" w:color="53565A" w:themeColor="accent5"/>
            </w:tcBorders>
          </w:tcPr>
          <w:p w14:paraId="13EAA0DF" w14:textId="2083C636" w:rsidR="00C332C7" w:rsidRPr="005734B8" w:rsidRDefault="001075A3" w:rsidP="002B6980">
            <w:pPr>
              <w:jc w:val="center"/>
              <w:rPr>
                <w:rFonts w:ascii="Calibri" w:eastAsia="Times New Roman" w:hAnsi="Calibri" w:cs="Calibri"/>
                <w:sz w:val="18"/>
                <w:szCs w:val="18"/>
                <w:lang w:eastAsia="en-AU"/>
              </w:rPr>
            </w:pPr>
            <w:r w:rsidRPr="005734B8">
              <w:rPr>
                <w:rFonts w:ascii="Calibri" w:hAnsi="Calibri" w:cs="Calibri"/>
                <w:sz w:val="18"/>
              </w:rPr>
              <w:t>–</w:t>
            </w:r>
          </w:p>
        </w:tc>
      </w:tr>
      <w:tr w:rsidR="00C332C7" w:rsidRPr="005734B8" w14:paraId="43A2EEAB" w14:textId="77777777" w:rsidTr="00E97C84">
        <w:trPr>
          <w:cantSplit/>
          <w:trHeight w:val="483"/>
        </w:trPr>
        <w:tc>
          <w:tcPr>
            <w:tcW w:w="1413" w:type="dxa"/>
            <w:vMerge/>
            <w:shd w:val="clear" w:color="auto" w:fill="F2F2F2" w:themeFill="background1" w:themeFillShade="F2"/>
            <w:vAlign w:val="center"/>
          </w:tcPr>
          <w:p w14:paraId="0E643652"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35848EC1" w14:textId="77777777" w:rsidR="00C332C7" w:rsidRPr="005734B8" w:rsidRDefault="00C332C7" w:rsidP="002B6980">
            <w:pPr>
              <w:rPr>
                <w:rFonts w:ascii="Calibri" w:eastAsia="Times New Roman" w:hAnsi="Calibri" w:cs="Calibri"/>
                <w:sz w:val="18"/>
                <w:szCs w:val="18"/>
                <w:lang w:eastAsia="en-AU"/>
              </w:rPr>
            </w:pPr>
          </w:p>
          <w:p w14:paraId="396546F9" w14:textId="2FC63A23" w:rsidR="00C332C7" w:rsidRPr="005734B8" w:rsidRDefault="00C332C7" w:rsidP="002B6980">
            <w:pPr>
              <w:rPr>
                <w:rFonts w:ascii="Calibri" w:eastAsia="Times New Roman" w:hAnsi="Calibri" w:cs="Calibri"/>
                <w:sz w:val="18"/>
                <w:szCs w:val="18"/>
                <w:lang w:eastAsia="en-AU"/>
              </w:rPr>
            </w:pPr>
            <w:r w:rsidRPr="005734B8">
              <w:rPr>
                <w:rFonts w:ascii="Calibri" w:eastAsia="Times New Roman" w:hAnsi="Calibri" w:cs="Calibri"/>
                <w:sz w:val="18"/>
                <w:szCs w:val="18"/>
                <w:lang w:eastAsia="en-AU"/>
              </w:rPr>
              <w:t xml:space="preserve">Request from </w:t>
            </w:r>
            <w:r w:rsidR="00FE4A9A" w:rsidRPr="005734B8">
              <w:rPr>
                <w:rFonts w:ascii="Calibri" w:eastAsia="Times New Roman" w:hAnsi="Calibri" w:cs="Calibri"/>
                <w:sz w:val="18"/>
                <w:szCs w:val="18"/>
                <w:lang w:eastAsia="en-AU"/>
              </w:rPr>
              <w:t xml:space="preserve">the </w:t>
            </w:r>
            <w:r w:rsidRPr="005734B8">
              <w:rPr>
                <w:rFonts w:ascii="Calibri" w:eastAsia="Times New Roman" w:hAnsi="Calibri" w:cs="Calibri"/>
                <w:sz w:val="18"/>
                <w:szCs w:val="18"/>
                <w:lang w:eastAsia="en-AU"/>
              </w:rPr>
              <w:t xml:space="preserve">Department for </w:t>
            </w:r>
            <w:r w:rsidR="00FE4A9A" w:rsidRPr="005734B8">
              <w:rPr>
                <w:rFonts w:ascii="Calibri" w:eastAsia="Times New Roman" w:hAnsi="Calibri" w:cs="Calibri"/>
                <w:sz w:val="18"/>
                <w:szCs w:val="18"/>
                <w:lang w:eastAsia="en-AU"/>
              </w:rPr>
              <w:t>c</w:t>
            </w:r>
            <w:r w:rsidR="001075A3" w:rsidRPr="005734B8">
              <w:rPr>
                <w:rFonts w:ascii="Calibri" w:eastAsia="Times New Roman" w:hAnsi="Calibri" w:cs="Calibri"/>
                <w:sz w:val="18"/>
                <w:szCs w:val="18"/>
                <w:lang w:eastAsia="en-AU"/>
              </w:rPr>
              <w:t xml:space="preserve">apacity </w:t>
            </w:r>
            <w:r w:rsidR="00FE4A9A" w:rsidRPr="005734B8">
              <w:rPr>
                <w:rFonts w:ascii="Calibri" w:eastAsia="Times New Roman" w:hAnsi="Calibri" w:cs="Calibri"/>
                <w:sz w:val="18"/>
                <w:szCs w:val="18"/>
                <w:lang w:eastAsia="en-AU"/>
              </w:rPr>
              <w:t>c</w:t>
            </w:r>
            <w:r w:rsidR="001075A3" w:rsidRPr="005734B8">
              <w:rPr>
                <w:rFonts w:ascii="Calibri" w:eastAsia="Times New Roman" w:hAnsi="Calibri" w:cs="Calibri"/>
                <w:sz w:val="18"/>
                <w:szCs w:val="18"/>
                <w:lang w:eastAsia="en-AU"/>
              </w:rPr>
              <w:t>oaching</w:t>
            </w:r>
          </w:p>
          <w:p w14:paraId="7D609585" w14:textId="77777777" w:rsidR="00C332C7" w:rsidRPr="005734B8" w:rsidRDefault="00C332C7" w:rsidP="002B6980">
            <w:pPr>
              <w:pStyle w:val="ESTablebody"/>
              <w:rPr>
                <w:rFonts w:ascii="Calibri" w:eastAsia="Times New Roman" w:hAnsi="Calibri" w:cs="Calibri"/>
                <w:sz w:val="18"/>
                <w:lang w:eastAsia="en-AU"/>
              </w:rPr>
            </w:pPr>
          </w:p>
        </w:tc>
        <w:tc>
          <w:tcPr>
            <w:tcW w:w="2398" w:type="dxa"/>
            <w:tcBorders>
              <w:top w:val="single" w:sz="4" w:space="0" w:color="53565A" w:themeColor="accent5"/>
              <w:bottom w:val="single" w:sz="4" w:space="0" w:color="53565A" w:themeColor="accent5"/>
            </w:tcBorders>
          </w:tcPr>
          <w:p w14:paraId="7D551210" w14:textId="16B18DDD" w:rsidR="00C332C7" w:rsidRPr="005734B8" w:rsidRDefault="001075A3" w:rsidP="002B6980">
            <w:pPr>
              <w:jc w:val="center"/>
              <w:rPr>
                <w:rFonts w:ascii="Calibri" w:eastAsia="Times New Roman" w:hAnsi="Calibri" w:cs="Calibri"/>
                <w:sz w:val="18"/>
                <w:szCs w:val="18"/>
                <w:lang w:eastAsia="en-AU"/>
              </w:rPr>
            </w:pPr>
            <w:r w:rsidRPr="005734B8">
              <w:rPr>
                <w:rFonts w:ascii="Calibri" w:hAnsi="Calibri" w:cs="Calibri"/>
                <w:sz w:val="18"/>
              </w:rPr>
              <w:t>–</w:t>
            </w:r>
          </w:p>
        </w:tc>
      </w:tr>
      <w:tr w:rsidR="00C332C7" w:rsidRPr="005734B8" w14:paraId="55690986" w14:textId="77777777" w:rsidTr="002B6980">
        <w:trPr>
          <w:cantSplit/>
          <w:trHeight w:val="483"/>
        </w:trPr>
        <w:tc>
          <w:tcPr>
            <w:tcW w:w="1413" w:type="dxa"/>
            <w:vMerge/>
            <w:tcBorders>
              <w:bottom w:val="single" w:sz="4" w:space="0" w:color="auto"/>
            </w:tcBorders>
            <w:shd w:val="clear" w:color="auto" w:fill="F2F2F2" w:themeFill="background1" w:themeFillShade="F2"/>
            <w:vAlign w:val="center"/>
          </w:tcPr>
          <w:p w14:paraId="5CAADD87"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53565A" w:themeColor="accent5"/>
              <w:bottom w:val="single" w:sz="4" w:space="0" w:color="auto"/>
            </w:tcBorders>
            <w:shd w:val="clear" w:color="auto" w:fill="auto"/>
            <w:vAlign w:val="center"/>
          </w:tcPr>
          <w:p w14:paraId="220161DB" w14:textId="77777777" w:rsidR="00C332C7" w:rsidRPr="005734B8" w:rsidRDefault="00C332C7" w:rsidP="002B6980">
            <w:pPr>
              <w:pStyle w:val="ESTablebody"/>
              <w:rPr>
                <w:rFonts w:ascii="Calibri" w:eastAsia="Times New Roman" w:hAnsi="Calibri" w:cs="Calibri"/>
                <w:b/>
                <w:bCs/>
                <w:sz w:val="18"/>
                <w:lang w:eastAsia="en-AU"/>
              </w:rPr>
            </w:pPr>
            <w:r w:rsidRPr="005734B8">
              <w:rPr>
                <w:rFonts w:ascii="Calibri" w:eastAsia="Times New Roman" w:hAnsi="Calibri" w:cs="Calibri"/>
                <w:b/>
                <w:bCs/>
                <w:sz w:val="18"/>
                <w:lang w:eastAsia="en-AU"/>
              </w:rPr>
              <w:t>School level total</w:t>
            </w:r>
          </w:p>
        </w:tc>
        <w:tc>
          <w:tcPr>
            <w:tcW w:w="2398" w:type="dxa"/>
            <w:tcBorders>
              <w:top w:val="single" w:sz="4" w:space="0" w:color="53565A" w:themeColor="accent5"/>
              <w:bottom w:val="single" w:sz="4" w:space="0" w:color="53565A" w:themeColor="accent5"/>
            </w:tcBorders>
            <w:vAlign w:val="center"/>
          </w:tcPr>
          <w:p w14:paraId="2A13D1EC" w14:textId="77777777" w:rsidR="00C332C7" w:rsidRPr="005734B8" w:rsidRDefault="00C332C7" w:rsidP="002B6980">
            <w:pPr>
              <w:jc w:val="center"/>
              <w:rPr>
                <w:rFonts w:ascii="Calibri" w:eastAsia="Times New Roman" w:hAnsi="Calibri" w:cs="Calibri"/>
                <w:b/>
                <w:bCs/>
                <w:sz w:val="18"/>
                <w:szCs w:val="18"/>
                <w:lang w:eastAsia="en-AU"/>
              </w:rPr>
            </w:pPr>
            <w:r w:rsidRPr="005734B8">
              <w:rPr>
                <w:rFonts w:ascii="Calibri" w:eastAsia="Times New Roman" w:hAnsi="Calibri" w:cs="Calibri"/>
                <w:b/>
                <w:bCs/>
                <w:sz w:val="18"/>
                <w:szCs w:val="18"/>
                <w:lang w:eastAsia="en-AU"/>
              </w:rPr>
              <w:t>13</w:t>
            </w:r>
          </w:p>
        </w:tc>
      </w:tr>
      <w:tr w:rsidR="00C332C7" w:rsidRPr="005734B8" w14:paraId="73F29B80" w14:textId="77777777" w:rsidTr="002B6980">
        <w:trPr>
          <w:cantSplit/>
          <w:trHeight w:val="483"/>
        </w:trPr>
        <w:tc>
          <w:tcPr>
            <w:tcW w:w="1413" w:type="dxa"/>
            <w:vMerge w:val="restart"/>
            <w:tcBorders>
              <w:top w:val="single" w:sz="4" w:space="0" w:color="auto"/>
            </w:tcBorders>
            <w:shd w:val="clear" w:color="auto" w:fill="F2F2F2" w:themeFill="background1" w:themeFillShade="F2"/>
            <w:vAlign w:val="center"/>
          </w:tcPr>
          <w:p w14:paraId="399F3BC3" w14:textId="77777777" w:rsidR="00C332C7" w:rsidRPr="005734B8" w:rsidRDefault="00C332C7" w:rsidP="002B6980">
            <w:pPr>
              <w:pStyle w:val="ESTablebody"/>
              <w:rPr>
                <w:rFonts w:ascii="Calibri" w:hAnsi="Calibri" w:cs="Calibri"/>
                <w:sz w:val="18"/>
                <w:lang w:val="en-AU"/>
              </w:rPr>
            </w:pPr>
            <w:r w:rsidRPr="005734B8">
              <w:rPr>
                <w:rFonts w:ascii="Calibri" w:hAnsi="Calibri" w:cs="Calibri"/>
                <w:sz w:val="18"/>
                <w:lang w:val="en-AU"/>
              </w:rPr>
              <w:t>Not Specified</w:t>
            </w:r>
          </w:p>
        </w:tc>
        <w:tc>
          <w:tcPr>
            <w:tcW w:w="4091" w:type="dxa"/>
            <w:tcBorders>
              <w:top w:val="single" w:sz="4" w:space="0" w:color="auto"/>
              <w:bottom w:val="single" w:sz="4" w:space="0" w:color="auto"/>
            </w:tcBorders>
            <w:shd w:val="clear" w:color="auto" w:fill="auto"/>
            <w:vAlign w:val="center"/>
          </w:tcPr>
          <w:p w14:paraId="2CC478C4" w14:textId="3E816060" w:rsidR="00C332C7" w:rsidRPr="005734B8" w:rsidRDefault="00C332C7" w:rsidP="002B6980">
            <w:pPr>
              <w:pStyle w:val="ESTablebody"/>
              <w:rPr>
                <w:rFonts w:ascii="Calibri" w:eastAsia="Times New Roman" w:hAnsi="Calibri" w:cs="Calibri"/>
                <w:sz w:val="18"/>
                <w:lang w:eastAsia="en-AU"/>
              </w:rPr>
            </w:pPr>
            <w:r w:rsidRPr="005734B8">
              <w:rPr>
                <w:rFonts w:ascii="Calibri" w:eastAsia="Times New Roman" w:hAnsi="Calibri" w:cs="Calibri"/>
                <w:sz w:val="18"/>
                <w:lang w:eastAsia="en-AU"/>
              </w:rPr>
              <w:t xml:space="preserve">Not </w:t>
            </w:r>
            <w:r w:rsidR="00FE4A9A" w:rsidRPr="005734B8">
              <w:rPr>
                <w:rFonts w:ascii="Calibri" w:eastAsia="Times New Roman" w:hAnsi="Calibri" w:cs="Calibri"/>
                <w:sz w:val="18"/>
                <w:lang w:eastAsia="en-AU"/>
              </w:rPr>
              <w:t>s</w:t>
            </w:r>
            <w:r w:rsidRPr="005734B8">
              <w:rPr>
                <w:rFonts w:ascii="Calibri" w:eastAsia="Times New Roman" w:hAnsi="Calibri" w:cs="Calibri"/>
                <w:sz w:val="18"/>
                <w:lang w:eastAsia="en-AU"/>
              </w:rPr>
              <w:t>pecified</w:t>
            </w:r>
          </w:p>
        </w:tc>
        <w:tc>
          <w:tcPr>
            <w:tcW w:w="2398" w:type="dxa"/>
            <w:tcBorders>
              <w:top w:val="single" w:sz="4" w:space="0" w:color="53565A" w:themeColor="accent5"/>
              <w:bottom w:val="single" w:sz="4" w:space="0" w:color="53565A" w:themeColor="accent5"/>
            </w:tcBorders>
            <w:vAlign w:val="center"/>
          </w:tcPr>
          <w:p w14:paraId="0859B147" w14:textId="77777777" w:rsidR="00C332C7" w:rsidRPr="005734B8" w:rsidRDefault="00C332C7" w:rsidP="002B6980">
            <w:pPr>
              <w:jc w:val="center"/>
              <w:rPr>
                <w:rFonts w:ascii="Calibri" w:eastAsia="Times New Roman" w:hAnsi="Calibri" w:cs="Calibri"/>
                <w:sz w:val="18"/>
                <w:szCs w:val="18"/>
                <w:lang w:eastAsia="en-AU"/>
              </w:rPr>
            </w:pPr>
            <w:r w:rsidRPr="005734B8">
              <w:rPr>
                <w:rFonts w:ascii="Calibri" w:eastAsia="Times New Roman" w:hAnsi="Calibri" w:cs="Calibri"/>
                <w:sz w:val="18"/>
                <w:szCs w:val="18"/>
                <w:lang w:eastAsia="en-AU"/>
              </w:rPr>
              <w:t>3</w:t>
            </w:r>
          </w:p>
        </w:tc>
      </w:tr>
      <w:tr w:rsidR="00C332C7" w:rsidRPr="005734B8" w14:paraId="736829BF" w14:textId="77777777" w:rsidTr="002B6980">
        <w:trPr>
          <w:cantSplit/>
          <w:trHeight w:val="483"/>
        </w:trPr>
        <w:tc>
          <w:tcPr>
            <w:tcW w:w="1413" w:type="dxa"/>
            <w:vMerge/>
            <w:tcBorders>
              <w:bottom w:val="single" w:sz="4" w:space="0" w:color="auto"/>
            </w:tcBorders>
            <w:shd w:val="clear" w:color="auto" w:fill="F2F2F2" w:themeFill="background1" w:themeFillShade="F2"/>
            <w:vAlign w:val="center"/>
          </w:tcPr>
          <w:p w14:paraId="3D446BDF" w14:textId="77777777" w:rsidR="00C332C7" w:rsidRPr="005734B8" w:rsidRDefault="00C332C7" w:rsidP="002B6980">
            <w:pPr>
              <w:pStyle w:val="ESTablebody"/>
              <w:rPr>
                <w:rFonts w:ascii="Calibri" w:hAnsi="Calibri" w:cs="Calibri"/>
                <w:sz w:val="18"/>
                <w:lang w:val="en-AU"/>
              </w:rPr>
            </w:pPr>
          </w:p>
        </w:tc>
        <w:tc>
          <w:tcPr>
            <w:tcW w:w="4091" w:type="dxa"/>
            <w:tcBorders>
              <w:top w:val="single" w:sz="4" w:space="0" w:color="auto"/>
              <w:bottom w:val="single" w:sz="4" w:space="0" w:color="auto"/>
            </w:tcBorders>
            <w:shd w:val="clear" w:color="auto" w:fill="auto"/>
            <w:vAlign w:val="center"/>
          </w:tcPr>
          <w:p w14:paraId="04EB12EC" w14:textId="355E162E" w:rsidR="00C332C7" w:rsidRPr="005734B8" w:rsidRDefault="00C332C7" w:rsidP="002B6980">
            <w:pPr>
              <w:pStyle w:val="ESTablebody"/>
              <w:rPr>
                <w:rFonts w:ascii="Calibri" w:eastAsia="Times New Roman" w:hAnsi="Calibri" w:cs="Calibri"/>
                <w:b/>
                <w:bCs/>
                <w:sz w:val="18"/>
                <w:lang w:eastAsia="en-AU"/>
              </w:rPr>
            </w:pPr>
            <w:r w:rsidRPr="005734B8">
              <w:rPr>
                <w:rFonts w:ascii="Calibri" w:eastAsia="Times New Roman" w:hAnsi="Calibri" w:cs="Calibri"/>
                <w:b/>
                <w:bCs/>
                <w:sz w:val="18"/>
                <w:lang w:eastAsia="en-AU"/>
              </w:rPr>
              <w:t xml:space="preserve">Not </w:t>
            </w:r>
            <w:r w:rsidR="00FE4A9A" w:rsidRPr="005734B8">
              <w:rPr>
                <w:rFonts w:ascii="Calibri" w:eastAsia="Times New Roman" w:hAnsi="Calibri" w:cs="Calibri"/>
                <w:b/>
                <w:bCs/>
                <w:sz w:val="18"/>
                <w:lang w:eastAsia="en-AU"/>
              </w:rPr>
              <w:t>s</w:t>
            </w:r>
            <w:r w:rsidRPr="005734B8">
              <w:rPr>
                <w:rFonts w:ascii="Calibri" w:eastAsia="Times New Roman" w:hAnsi="Calibri" w:cs="Calibri"/>
                <w:b/>
                <w:bCs/>
                <w:sz w:val="18"/>
                <w:lang w:eastAsia="en-AU"/>
              </w:rPr>
              <w:t>pecified total</w:t>
            </w:r>
          </w:p>
        </w:tc>
        <w:tc>
          <w:tcPr>
            <w:tcW w:w="2398" w:type="dxa"/>
            <w:tcBorders>
              <w:top w:val="single" w:sz="4" w:space="0" w:color="53565A" w:themeColor="accent5"/>
              <w:bottom w:val="single" w:sz="4" w:space="0" w:color="auto"/>
            </w:tcBorders>
            <w:vAlign w:val="center"/>
          </w:tcPr>
          <w:p w14:paraId="49419118" w14:textId="77777777" w:rsidR="00C332C7" w:rsidRPr="005734B8" w:rsidRDefault="00C332C7" w:rsidP="002B6980">
            <w:pPr>
              <w:jc w:val="center"/>
              <w:rPr>
                <w:rFonts w:ascii="Calibri" w:eastAsia="Times New Roman" w:hAnsi="Calibri" w:cs="Calibri"/>
                <w:b/>
                <w:bCs/>
                <w:sz w:val="18"/>
                <w:szCs w:val="18"/>
                <w:lang w:eastAsia="en-AU"/>
              </w:rPr>
            </w:pPr>
            <w:r w:rsidRPr="005734B8">
              <w:rPr>
                <w:rFonts w:ascii="Calibri" w:eastAsia="Times New Roman" w:hAnsi="Calibri" w:cs="Calibri"/>
                <w:b/>
                <w:bCs/>
                <w:sz w:val="18"/>
                <w:szCs w:val="18"/>
                <w:lang w:eastAsia="en-AU"/>
              </w:rPr>
              <w:t>3</w:t>
            </w:r>
          </w:p>
        </w:tc>
      </w:tr>
    </w:tbl>
    <w:p w14:paraId="11478A09" w14:textId="248108A1" w:rsidR="00B43278" w:rsidRPr="005734B8" w:rsidRDefault="00B43278">
      <w:pPr>
        <w:rPr>
          <w:rFonts w:ascii="Calibri" w:hAnsi="Calibri" w:cs="Calibri"/>
          <w:highlight w:val="yellow"/>
        </w:rPr>
      </w:pPr>
      <w:r w:rsidRPr="005734B8">
        <w:rPr>
          <w:rFonts w:ascii="Calibri" w:hAnsi="Calibri" w:cs="Calibri"/>
          <w:highlight w:val="yellow"/>
        </w:rPr>
        <w:br w:type="page"/>
      </w:r>
    </w:p>
    <w:p w14:paraId="672A4160" w14:textId="1DB3CBE1" w:rsidR="00B43278" w:rsidRPr="005734B8" w:rsidRDefault="00332999" w:rsidP="00244DF4">
      <w:pPr>
        <w:pStyle w:val="ESAppendix1"/>
        <w:ind w:left="2835" w:hanging="2835"/>
        <w:rPr>
          <w:rFonts w:cs="Calibri"/>
        </w:rPr>
      </w:pPr>
      <w:bookmarkStart w:id="2232" w:name="_Toc11336523"/>
      <w:bookmarkStart w:id="2233" w:name="_Toc14965744"/>
      <w:bookmarkStart w:id="2234" w:name="_Toc15985100"/>
      <w:bookmarkStart w:id="2235" w:name="_Toc15985181"/>
      <w:bookmarkStart w:id="2236" w:name="_Toc19272317"/>
      <w:bookmarkStart w:id="2237" w:name="_Toc19272683"/>
      <w:bookmarkStart w:id="2238" w:name="_Toc19274018"/>
      <w:bookmarkStart w:id="2239" w:name="_Toc48402871"/>
      <w:bookmarkStart w:id="2240" w:name="_Toc48403108"/>
      <w:bookmarkStart w:id="2241" w:name="_Toc51332851"/>
      <w:bookmarkStart w:id="2242" w:name="_Toc80272114"/>
      <w:bookmarkStart w:id="2243" w:name="_Toc80361030"/>
      <w:bookmarkStart w:id="2244" w:name="_Toc81315417"/>
      <w:r w:rsidRPr="005734B8">
        <w:rPr>
          <w:rFonts w:cs="Calibri"/>
        </w:rPr>
        <w:lastRenderedPageBreak/>
        <w:t>Acronyms and abbreviations</w:t>
      </w:r>
      <w:bookmarkEnd w:id="2232"/>
      <w:bookmarkEnd w:id="2233"/>
      <w:bookmarkEnd w:id="2234"/>
      <w:bookmarkEnd w:id="2235"/>
      <w:bookmarkEnd w:id="2236"/>
      <w:bookmarkEnd w:id="2237"/>
      <w:bookmarkEnd w:id="2238"/>
      <w:bookmarkEnd w:id="2239"/>
      <w:bookmarkEnd w:id="2240"/>
      <w:bookmarkEnd w:id="2241"/>
      <w:bookmarkEnd w:id="2242"/>
      <w:bookmarkEnd w:id="2243"/>
      <w:bookmarkEnd w:id="2244"/>
    </w:p>
    <w:p w14:paraId="32A8B5ED" w14:textId="7585BBB9" w:rsidR="00B43278" w:rsidRPr="005734B8" w:rsidRDefault="00B43278" w:rsidP="00B43278">
      <w:pPr>
        <w:pStyle w:val="H5"/>
        <w:rPr>
          <w:rFonts w:ascii="Calibri" w:hAnsi="Calibri" w:cs="Calibri"/>
        </w:rPr>
      </w:pPr>
    </w:p>
    <w:tbl>
      <w:tblPr>
        <w:tblStyle w:val="TableGrid"/>
        <w:tblW w:w="442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0"/>
        <w:gridCol w:w="5732"/>
      </w:tblGrid>
      <w:tr w:rsidR="00332999" w:rsidRPr="005734B8" w14:paraId="48C2F847" w14:textId="77777777" w:rsidTr="003A1CE2">
        <w:trPr>
          <w:cantSplit/>
          <w:trHeight w:val="27"/>
          <w:tblHeader/>
        </w:trPr>
        <w:tc>
          <w:tcPr>
            <w:tcW w:w="1270" w:type="dxa"/>
            <w:tcBorders>
              <w:bottom w:val="single" w:sz="4" w:space="0" w:color="FFFFFF" w:themeColor="background1"/>
            </w:tcBorders>
            <w:shd w:val="clear" w:color="auto" w:fill="AF272F"/>
          </w:tcPr>
          <w:p w14:paraId="0D5813DA" w14:textId="47FCDBDA" w:rsidR="00332999" w:rsidRPr="005734B8" w:rsidRDefault="00332999" w:rsidP="003A1CE2">
            <w:pPr>
              <w:pStyle w:val="ESTableheadingwhite"/>
              <w:spacing w:beforeLines="20" w:before="48" w:afterLines="20" w:after="48"/>
              <w:rPr>
                <w:rFonts w:ascii="Calibri" w:hAnsi="Calibri" w:cs="Calibri"/>
                <w:sz w:val="18"/>
              </w:rPr>
            </w:pPr>
            <w:r w:rsidRPr="005734B8">
              <w:rPr>
                <w:rFonts w:ascii="Calibri" w:hAnsi="Calibri" w:cs="Calibri"/>
                <w:sz w:val="18"/>
              </w:rPr>
              <w:t>Acronym</w:t>
            </w:r>
          </w:p>
        </w:tc>
        <w:tc>
          <w:tcPr>
            <w:tcW w:w="5732" w:type="dxa"/>
            <w:tcBorders>
              <w:bottom w:val="single" w:sz="4" w:space="0" w:color="FFFFFF" w:themeColor="background1"/>
            </w:tcBorders>
            <w:shd w:val="clear" w:color="auto" w:fill="AF272F" w:themeFill="accent4"/>
          </w:tcPr>
          <w:p w14:paraId="06FE4201" w14:textId="2CF2241C" w:rsidR="00332999" w:rsidRPr="005734B8" w:rsidRDefault="00332999" w:rsidP="003A1CE2">
            <w:pPr>
              <w:pStyle w:val="ESTableheadingwhite"/>
              <w:spacing w:beforeLines="20" w:before="48" w:afterLines="20" w:after="48"/>
              <w:rPr>
                <w:rFonts w:ascii="Calibri" w:hAnsi="Calibri" w:cs="Calibri"/>
                <w:sz w:val="18"/>
              </w:rPr>
            </w:pPr>
            <w:r w:rsidRPr="005734B8">
              <w:rPr>
                <w:rFonts w:ascii="Calibri" w:hAnsi="Calibri" w:cs="Calibri"/>
                <w:sz w:val="18"/>
              </w:rPr>
              <w:t>Full title</w:t>
            </w:r>
          </w:p>
        </w:tc>
      </w:tr>
      <w:tr w:rsidR="00332999" w:rsidRPr="005734B8" w14:paraId="79289EE4" w14:textId="77777777" w:rsidTr="003A1CE2">
        <w:trPr>
          <w:cantSplit/>
          <w:trHeight w:val="277"/>
        </w:trPr>
        <w:tc>
          <w:tcPr>
            <w:tcW w:w="1270" w:type="dxa"/>
            <w:tcBorders>
              <w:top w:val="single" w:sz="4" w:space="0" w:color="auto"/>
              <w:bottom w:val="single" w:sz="4" w:space="0" w:color="auto"/>
            </w:tcBorders>
            <w:shd w:val="clear" w:color="auto" w:fill="auto"/>
          </w:tcPr>
          <w:p w14:paraId="44D8B311" w14:textId="4FDDD52B" w:rsidR="00332999" w:rsidRPr="005734B8" w:rsidRDefault="00332999" w:rsidP="003A1CE2">
            <w:pPr>
              <w:pStyle w:val="ESTablebody"/>
              <w:spacing w:beforeLines="20" w:before="48" w:afterLines="20" w:after="48"/>
              <w:rPr>
                <w:rFonts w:ascii="Calibri" w:hAnsi="Calibri" w:cs="Calibri"/>
                <w:sz w:val="18"/>
              </w:rPr>
            </w:pPr>
            <w:r w:rsidRPr="005734B8">
              <w:rPr>
                <w:rFonts w:ascii="Calibri" w:hAnsi="Calibri" w:cs="Calibri"/>
                <w:sz w:val="18"/>
                <w:lang w:val="en-AU"/>
              </w:rPr>
              <w:t>AAS</w:t>
            </w:r>
          </w:p>
        </w:tc>
        <w:tc>
          <w:tcPr>
            <w:tcW w:w="5732" w:type="dxa"/>
            <w:tcBorders>
              <w:top w:val="single" w:sz="4" w:space="0" w:color="auto"/>
              <w:bottom w:val="single" w:sz="4" w:space="0" w:color="auto"/>
            </w:tcBorders>
          </w:tcPr>
          <w:p w14:paraId="485A59E8" w14:textId="42EC9ECD" w:rsidR="00332999"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Australian Accounting Standards</w:t>
            </w:r>
          </w:p>
        </w:tc>
      </w:tr>
      <w:tr w:rsidR="00444622" w:rsidRPr="005734B8" w14:paraId="18B85FA2" w14:textId="77777777" w:rsidTr="003A1CE2">
        <w:trPr>
          <w:cantSplit/>
          <w:trHeight w:val="277"/>
        </w:trPr>
        <w:tc>
          <w:tcPr>
            <w:tcW w:w="1270" w:type="dxa"/>
            <w:tcBorders>
              <w:top w:val="single" w:sz="4" w:space="0" w:color="auto"/>
              <w:bottom w:val="single" w:sz="4" w:space="0" w:color="auto"/>
            </w:tcBorders>
            <w:shd w:val="clear" w:color="auto" w:fill="auto"/>
          </w:tcPr>
          <w:p w14:paraId="64CA4EE1" w14:textId="228F6755"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AASB</w:t>
            </w:r>
          </w:p>
        </w:tc>
        <w:tc>
          <w:tcPr>
            <w:tcW w:w="5732" w:type="dxa"/>
            <w:tcBorders>
              <w:top w:val="single" w:sz="4" w:space="0" w:color="auto"/>
              <w:bottom w:val="single" w:sz="4" w:space="0" w:color="auto"/>
            </w:tcBorders>
          </w:tcPr>
          <w:p w14:paraId="40410061" w14:textId="61B2C729"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Australian Accounting Standards Board</w:t>
            </w:r>
          </w:p>
        </w:tc>
      </w:tr>
      <w:tr w:rsidR="00444622" w:rsidRPr="005734B8" w14:paraId="5CE9F024" w14:textId="77777777" w:rsidTr="003A1CE2">
        <w:trPr>
          <w:cantSplit/>
          <w:trHeight w:val="277"/>
        </w:trPr>
        <w:tc>
          <w:tcPr>
            <w:tcW w:w="1270" w:type="dxa"/>
            <w:tcBorders>
              <w:top w:val="single" w:sz="4" w:space="0" w:color="auto"/>
              <w:bottom w:val="single" w:sz="4" w:space="0" w:color="auto"/>
            </w:tcBorders>
            <w:shd w:val="clear" w:color="auto" w:fill="auto"/>
          </w:tcPr>
          <w:p w14:paraId="266498FA" w14:textId="0532BB88" w:rsidR="00444622" w:rsidRPr="005734B8" w:rsidRDefault="00444622" w:rsidP="003A1CE2">
            <w:pPr>
              <w:pStyle w:val="ESTablebody"/>
              <w:spacing w:beforeLines="20" w:before="48" w:afterLines="20" w:after="48"/>
              <w:rPr>
                <w:rFonts w:ascii="Calibri" w:hAnsi="Calibri" w:cs="Calibri"/>
                <w:sz w:val="18"/>
              </w:rPr>
            </w:pPr>
            <w:r w:rsidRPr="005734B8">
              <w:rPr>
                <w:rFonts w:ascii="Calibri" w:hAnsi="Calibri" w:cs="Calibri"/>
                <w:sz w:val="18"/>
                <w:lang w:val="en-AU"/>
              </w:rPr>
              <w:t>ABS</w:t>
            </w:r>
          </w:p>
        </w:tc>
        <w:tc>
          <w:tcPr>
            <w:tcW w:w="5732" w:type="dxa"/>
            <w:tcBorders>
              <w:top w:val="single" w:sz="4" w:space="0" w:color="auto"/>
              <w:bottom w:val="single" w:sz="4" w:space="0" w:color="auto"/>
            </w:tcBorders>
          </w:tcPr>
          <w:p w14:paraId="7C4D63F1" w14:textId="06511532"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Australian Bureau of Statistics</w:t>
            </w:r>
          </w:p>
        </w:tc>
      </w:tr>
      <w:tr w:rsidR="00E27BE4" w:rsidRPr="005734B8" w14:paraId="55CEAC1A" w14:textId="77777777" w:rsidTr="003A1CE2">
        <w:trPr>
          <w:cantSplit/>
          <w:trHeight w:val="277"/>
        </w:trPr>
        <w:tc>
          <w:tcPr>
            <w:tcW w:w="1270" w:type="dxa"/>
            <w:tcBorders>
              <w:top w:val="single" w:sz="4" w:space="0" w:color="auto"/>
              <w:bottom w:val="single" w:sz="4" w:space="0" w:color="auto"/>
            </w:tcBorders>
            <w:shd w:val="clear" w:color="auto" w:fill="auto"/>
          </w:tcPr>
          <w:p w14:paraId="36C945DB" w14:textId="0812E8E5" w:rsidR="00E27BE4" w:rsidRPr="005734B8" w:rsidRDefault="00E27BE4"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ACFE</w:t>
            </w:r>
          </w:p>
        </w:tc>
        <w:tc>
          <w:tcPr>
            <w:tcW w:w="5732" w:type="dxa"/>
            <w:tcBorders>
              <w:top w:val="single" w:sz="4" w:space="0" w:color="auto"/>
              <w:bottom w:val="single" w:sz="4" w:space="0" w:color="auto"/>
            </w:tcBorders>
          </w:tcPr>
          <w:p w14:paraId="6289A6BE" w14:textId="6348A4A0" w:rsidR="00E27BE4" w:rsidRPr="005734B8" w:rsidRDefault="00E27BE4"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Adult Community and Further Education</w:t>
            </w:r>
            <w:r w:rsidR="00374C35" w:rsidRPr="005734B8">
              <w:rPr>
                <w:rFonts w:ascii="Calibri" w:hAnsi="Calibri" w:cs="Calibri"/>
                <w:sz w:val="18"/>
                <w:lang w:val="en-AU"/>
              </w:rPr>
              <w:t xml:space="preserve"> Board</w:t>
            </w:r>
          </w:p>
        </w:tc>
      </w:tr>
      <w:tr w:rsidR="00444622" w:rsidRPr="005734B8" w14:paraId="6483E510" w14:textId="77777777" w:rsidTr="003A1CE2">
        <w:trPr>
          <w:cantSplit/>
          <w:trHeight w:val="277"/>
        </w:trPr>
        <w:tc>
          <w:tcPr>
            <w:tcW w:w="1270" w:type="dxa"/>
            <w:tcBorders>
              <w:top w:val="single" w:sz="4" w:space="0" w:color="auto"/>
              <w:bottom w:val="single" w:sz="4" w:space="0" w:color="auto"/>
            </w:tcBorders>
            <w:shd w:val="clear" w:color="auto" w:fill="auto"/>
          </w:tcPr>
          <w:p w14:paraId="15AE6B8C" w14:textId="6FA6C8E6" w:rsidR="00444622" w:rsidRPr="005734B8" w:rsidRDefault="00444622" w:rsidP="003A1CE2">
            <w:pPr>
              <w:pStyle w:val="ESTablebody"/>
              <w:spacing w:beforeLines="20" w:before="48" w:afterLines="20" w:after="48"/>
              <w:rPr>
                <w:rFonts w:ascii="Calibri" w:hAnsi="Calibri" w:cs="Calibri"/>
                <w:sz w:val="18"/>
              </w:rPr>
            </w:pPr>
            <w:r w:rsidRPr="005734B8">
              <w:rPr>
                <w:rFonts w:ascii="Calibri" w:hAnsi="Calibri" w:cs="Calibri"/>
                <w:sz w:val="18"/>
                <w:lang w:val="en-AU"/>
              </w:rPr>
              <w:t>AEDC</w:t>
            </w:r>
          </w:p>
        </w:tc>
        <w:tc>
          <w:tcPr>
            <w:tcW w:w="5732" w:type="dxa"/>
            <w:tcBorders>
              <w:top w:val="single" w:sz="4" w:space="0" w:color="auto"/>
              <w:bottom w:val="single" w:sz="4" w:space="0" w:color="auto"/>
            </w:tcBorders>
          </w:tcPr>
          <w:p w14:paraId="5F60A4DC" w14:textId="6C76000F"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Australian Early Development Census</w:t>
            </w:r>
          </w:p>
        </w:tc>
      </w:tr>
      <w:tr w:rsidR="00CB4B75" w:rsidRPr="005734B8" w14:paraId="5B7E6BBC" w14:textId="77777777" w:rsidTr="003A1CE2">
        <w:trPr>
          <w:cantSplit/>
          <w:trHeight w:val="277"/>
        </w:trPr>
        <w:tc>
          <w:tcPr>
            <w:tcW w:w="1270" w:type="dxa"/>
            <w:tcBorders>
              <w:top w:val="single" w:sz="4" w:space="0" w:color="auto"/>
              <w:bottom w:val="single" w:sz="4" w:space="0" w:color="auto"/>
            </w:tcBorders>
            <w:shd w:val="clear" w:color="auto" w:fill="auto"/>
          </w:tcPr>
          <w:p w14:paraId="6222E77E" w14:textId="5D0C73D3" w:rsidR="00CB4B75" w:rsidRPr="005734B8" w:rsidRDefault="00CB4B75"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AICD</w:t>
            </w:r>
          </w:p>
        </w:tc>
        <w:tc>
          <w:tcPr>
            <w:tcW w:w="5732" w:type="dxa"/>
            <w:tcBorders>
              <w:top w:val="single" w:sz="4" w:space="0" w:color="auto"/>
              <w:bottom w:val="single" w:sz="4" w:space="0" w:color="auto"/>
            </w:tcBorders>
          </w:tcPr>
          <w:p w14:paraId="7017C8C7" w14:textId="158776EA" w:rsidR="00CB4B75" w:rsidRPr="005734B8" w:rsidRDefault="00CB4B75"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Australian Institute of Company Directors</w:t>
            </w:r>
          </w:p>
        </w:tc>
      </w:tr>
      <w:tr w:rsidR="00444622" w:rsidRPr="005734B8" w14:paraId="5C386624" w14:textId="77777777" w:rsidTr="003A1CE2">
        <w:trPr>
          <w:cantSplit/>
          <w:trHeight w:val="277"/>
        </w:trPr>
        <w:tc>
          <w:tcPr>
            <w:tcW w:w="1270" w:type="dxa"/>
            <w:tcBorders>
              <w:top w:val="single" w:sz="4" w:space="0" w:color="auto"/>
              <w:bottom w:val="single" w:sz="4" w:space="0" w:color="auto"/>
            </w:tcBorders>
            <w:shd w:val="clear" w:color="auto" w:fill="auto"/>
          </w:tcPr>
          <w:p w14:paraId="32F78DF3" w14:textId="05ED3DDB" w:rsidR="00444622" w:rsidRPr="005734B8" w:rsidRDefault="00444622" w:rsidP="003A1CE2">
            <w:pPr>
              <w:pStyle w:val="ESTablebody"/>
              <w:spacing w:beforeLines="20" w:before="48" w:afterLines="20" w:after="48"/>
              <w:rPr>
                <w:rFonts w:ascii="Calibri" w:hAnsi="Calibri" w:cs="Calibri"/>
                <w:sz w:val="18"/>
              </w:rPr>
            </w:pPr>
            <w:r w:rsidRPr="005734B8">
              <w:rPr>
                <w:rFonts w:ascii="Calibri" w:hAnsi="Calibri" w:cs="Calibri"/>
                <w:sz w:val="18"/>
                <w:lang w:val="en-AU"/>
              </w:rPr>
              <w:t>AMES</w:t>
            </w:r>
          </w:p>
        </w:tc>
        <w:tc>
          <w:tcPr>
            <w:tcW w:w="5732" w:type="dxa"/>
            <w:tcBorders>
              <w:top w:val="single" w:sz="4" w:space="0" w:color="auto"/>
              <w:bottom w:val="single" w:sz="4" w:space="0" w:color="auto"/>
            </w:tcBorders>
          </w:tcPr>
          <w:p w14:paraId="5E0D75C6" w14:textId="796ABE84"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Adult Multicultural Education Services</w:t>
            </w:r>
          </w:p>
        </w:tc>
      </w:tr>
      <w:tr w:rsidR="00CB4B75" w:rsidRPr="005734B8" w14:paraId="56BAC233" w14:textId="77777777" w:rsidTr="003A1CE2">
        <w:trPr>
          <w:cantSplit/>
          <w:trHeight w:val="277"/>
        </w:trPr>
        <w:tc>
          <w:tcPr>
            <w:tcW w:w="1270" w:type="dxa"/>
            <w:tcBorders>
              <w:top w:val="single" w:sz="4" w:space="0" w:color="auto"/>
              <w:bottom w:val="single" w:sz="4" w:space="0" w:color="auto"/>
            </w:tcBorders>
            <w:shd w:val="clear" w:color="auto" w:fill="auto"/>
          </w:tcPr>
          <w:p w14:paraId="19B96E69" w14:textId="5FA7AB4E" w:rsidR="00CB4B75" w:rsidRPr="005734B8" w:rsidRDefault="00CB4B75"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ANZSOG</w:t>
            </w:r>
          </w:p>
        </w:tc>
        <w:tc>
          <w:tcPr>
            <w:tcW w:w="5732" w:type="dxa"/>
            <w:tcBorders>
              <w:top w:val="single" w:sz="4" w:space="0" w:color="auto"/>
              <w:bottom w:val="single" w:sz="4" w:space="0" w:color="auto"/>
            </w:tcBorders>
          </w:tcPr>
          <w:p w14:paraId="79CD5ECC" w14:textId="7AF578E3" w:rsidR="00CB4B75" w:rsidRPr="005734B8" w:rsidRDefault="00CB4B75"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Australian and New Zealand School of Governance</w:t>
            </w:r>
          </w:p>
        </w:tc>
      </w:tr>
      <w:tr w:rsidR="00444622" w:rsidRPr="005734B8" w14:paraId="1B73F0E9" w14:textId="77777777" w:rsidTr="003A1CE2">
        <w:trPr>
          <w:cantSplit/>
          <w:trHeight w:val="277"/>
        </w:trPr>
        <w:tc>
          <w:tcPr>
            <w:tcW w:w="1270" w:type="dxa"/>
            <w:tcBorders>
              <w:top w:val="single" w:sz="4" w:space="0" w:color="auto"/>
              <w:bottom w:val="single" w:sz="4" w:space="0" w:color="auto"/>
            </w:tcBorders>
            <w:shd w:val="clear" w:color="auto" w:fill="auto"/>
          </w:tcPr>
          <w:p w14:paraId="7AB36950" w14:textId="0F1BC47E" w:rsidR="00444622" w:rsidRPr="005734B8" w:rsidRDefault="00444622" w:rsidP="003A1CE2">
            <w:pPr>
              <w:pStyle w:val="ESTablebody"/>
              <w:spacing w:beforeLines="20" w:before="48" w:afterLines="20" w:after="48"/>
              <w:rPr>
                <w:rFonts w:ascii="Calibri" w:hAnsi="Calibri" w:cs="Calibri"/>
                <w:sz w:val="18"/>
              </w:rPr>
            </w:pPr>
            <w:r w:rsidRPr="005734B8">
              <w:rPr>
                <w:rFonts w:ascii="Calibri" w:hAnsi="Calibri" w:cs="Calibri"/>
                <w:sz w:val="18"/>
                <w:lang w:val="en-AU"/>
              </w:rPr>
              <w:t>ARC</w:t>
            </w:r>
          </w:p>
        </w:tc>
        <w:tc>
          <w:tcPr>
            <w:tcW w:w="5732" w:type="dxa"/>
            <w:tcBorders>
              <w:top w:val="single" w:sz="4" w:space="0" w:color="auto"/>
              <w:bottom w:val="single" w:sz="4" w:space="0" w:color="auto"/>
            </w:tcBorders>
          </w:tcPr>
          <w:p w14:paraId="4FDC1407" w14:textId="374DD709"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Audit and Risk Committee</w:t>
            </w:r>
          </w:p>
        </w:tc>
      </w:tr>
      <w:tr w:rsidR="00E452C6" w:rsidRPr="005734B8" w14:paraId="1B80F131" w14:textId="77777777" w:rsidTr="003A1CE2">
        <w:trPr>
          <w:cantSplit/>
          <w:trHeight w:val="277"/>
        </w:trPr>
        <w:tc>
          <w:tcPr>
            <w:tcW w:w="1270" w:type="dxa"/>
            <w:tcBorders>
              <w:top w:val="single" w:sz="4" w:space="0" w:color="auto"/>
              <w:bottom w:val="single" w:sz="4" w:space="0" w:color="auto"/>
            </w:tcBorders>
            <w:shd w:val="clear" w:color="auto" w:fill="auto"/>
          </w:tcPr>
          <w:p w14:paraId="173F8DC4" w14:textId="6843B785" w:rsidR="00E452C6" w:rsidRPr="005734B8" w:rsidRDefault="00E452C6"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ATO</w:t>
            </w:r>
          </w:p>
        </w:tc>
        <w:tc>
          <w:tcPr>
            <w:tcW w:w="5732" w:type="dxa"/>
            <w:tcBorders>
              <w:top w:val="single" w:sz="4" w:space="0" w:color="auto"/>
              <w:bottom w:val="single" w:sz="4" w:space="0" w:color="auto"/>
            </w:tcBorders>
          </w:tcPr>
          <w:p w14:paraId="7C2E690C" w14:textId="70AD761E" w:rsidR="00E452C6" w:rsidRPr="005734B8" w:rsidRDefault="00E452C6"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Australian Tax Office</w:t>
            </w:r>
          </w:p>
        </w:tc>
      </w:tr>
      <w:tr w:rsidR="00444622" w:rsidRPr="005734B8" w14:paraId="2C12B247" w14:textId="77777777" w:rsidTr="003A1CE2">
        <w:trPr>
          <w:cantSplit/>
          <w:trHeight w:val="277"/>
        </w:trPr>
        <w:tc>
          <w:tcPr>
            <w:tcW w:w="1270" w:type="dxa"/>
            <w:tcBorders>
              <w:top w:val="single" w:sz="4" w:space="0" w:color="auto"/>
              <w:bottom w:val="single" w:sz="4" w:space="0" w:color="auto"/>
            </w:tcBorders>
            <w:shd w:val="clear" w:color="auto" w:fill="auto"/>
          </w:tcPr>
          <w:p w14:paraId="3E988310" w14:textId="6E85CF28" w:rsidR="00444622" w:rsidRPr="005734B8" w:rsidRDefault="00444622" w:rsidP="003A1CE2">
            <w:pPr>
              <w:pStyle w:val="ESTablebody"/>
              <w:spacing w:beforeLines="20" w:before="48" w:afterLines="20" w:after="48"/>
              <w:rPr>
                <w:rFonts w:ascii="Calibri" w:hAnsi="Calibri" w:cs="Calibri"/>
                <w:sz w:val="18"/>
              </w:rPr>
            </w:pPr>
            <w:r w:rsidRPr="005734B8">
              <w:rPr>
                <w:rFonts w:ascii="Calibri" w:hAnsi="Calibri" w:cs="Calibri"/>
                <w:sz w:val="18"/>
                <w:lang w:val="en-AU"/>
              </w:rPr>
              <w:t>BP3</w:t>
            </w:r>
          </w:p>
        </w:tc>
        <w:tc>
          <w:tcPr>
            <w:tcW w:w="5732" w:type="dxa"/>
            <w:tcBorders>
              <w:top w:val="single" w:sz="4" w:space="0" w:color="auto"/>
              <w:bottom w:val="single" w:sz="4" w:space="0" w:color="auto"/>
            </w:tcBorders>
          </w:tcPr>
          <w:p w14:paraId="7BE8C677" w14:textId="1E6927D8"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Budget Paper No. 3</w:t>
            </w:r>
          </w:p>
        </w:tc>
      </w:tr>
      <w:tr w:rsidR="00444622" w:rsidRPr="005734B8" w14:paraId="0CFFDA1F" w14:textId="77777777" w:rsidTr="003A1CE2">
        <w:trPr>
          <w:cantSplit/>
          <w:trHeight w:val="277"/>
        </w:trPr>
        <w:tc>
          <w:tcPr>
            <w:tcW w:w="1270" w:type="dxa"/>
            <w:tcBorders>
              <w:top w:val="single" w:sz="4" w:space="0" w:color="auto"/>
              <w:bottom w:val="single" w:sz="4" w:space="0" w:color="auto"/>
            </w:tcBorders>
            <w:shd w:val="clear" w:color="auto" w:fill="auto"/>
          </w:tcPr>
          <w:p w14:paraId="644E08C2" w14:textId="432A5C1D" w:rsidR="00444622" w:rsidRPr="005734B8" w:rsidRDefault="00444622" w:rsidP="003A1CE2">
            <w:pPr>
              <w:pStyle w:val="ESTablebody"/>
              <w:spacing w:beforeLines="20" w:before="48" w:afterLines="20" w:after="48"/>
              <w:rPr>
                <w:rFonts w:ascii="Calibri" w:hAnsi="Calibri" w:cs="Calibri"/>
                <w:sz w:val="18"/>
              </w:rPr>
            </w:pPr>
            <w:r w:rsidRPr="005734B8">
              <w:rPr>
                <w:rFonts w:ascii="Calibri" w:hAnsi="Calibri" w:cs="Calibri"/>
                <w:sz w:val="18"/>
                <w:lang w:val="en-AU"/>
              </w:rPr>
              <w:t>BFMC</w:t>
            </w:r>
          </w:p>
        </w:tc>
        <w:tc>
          <w:tcPr>
            <w:tcW w:w="5732" w:type="dxa"/>
            <w:tcBorders>
              <w:top w:val="single" w:sz="4" w:space="0" w:color="auto"/>
              <w:bottom w:val="single" w:sz="4" w:space="0" w:color="auto"/>
            </w:tcBorders>
          </w:tcPr>
          <w:p w14:paraId="20B2F8CF" w14:textId="4B1CABC9"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Budget and Financial Management Committee</w:t>
            </w:r>
          </w:p>
        </w:tc>
      </w:tr>
      <w:tr w:rsidR="00646B70" w:rsidRPr="005734B8" w14:paraId="1926EA5C" w14:textId="77777777" w:rsidTr="003A1CE2">
        <w:trPr>
          <w:cantSplit/>
          <w:trHeight w:val="277"/>
        </w:trPr>
        <w:tc>
          <w:tcPr>
            <w:tcW w:w="1270" w:type="dxa"/>
            <w:tcBorders>
              <w:top w:val="single" w:sz="4" w:space="0" w:color="auto"/>
              <w:bottom w:val="single" w:sz="4" w:space="0" w:color="auto"/>
            </w:tcBorders>
            <w:shd w:val="clear" w:color="auto" w:fill="auto"/>
          </w:tcPr>
          <w:p w14:paraId="001999FC" w14:textId="39834346" w:rsidR="00646B70" w:rsidRPr="005734B8" w:rsidRDefault="00646B70"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CAC</w:t>
            </w:r>
          </w:p>
        </w:tc>
        <w:tc>
          <w:tcPr>
            <w:tcW w:w="5732" w:type="dxa"/>
            <w:tcBorders>
              <w:top w:val="single" w:sz="4" w:space="0" w:color="auto"/>
              <w:bottom w:val="single" w:sz="4" w:space="0" w:color="auto"/>
            </w:tcBorders>
          </w:tcPr>
          <w:p w14:paraId="7134FEFB" w14:textId="182F19B6" w:rsidR="00646B70" w:rsidRPr="005734B8" w:rsidRDefault="00646B70"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Capital Asset Charge</w:t>
            </w:r>
          </w:p>
        </w:tc>
      </w:tr>
      <w:tr w:rsidR="00444622" w:rsidRPr="005734B8" w14:paraId="2C59F087" w14:textId="77777777" w:rsidTr="003A1CE2">
        <w:trPr>
          <w:cantSplit/>
          <w:trHeight w:val="277"/>
        </w:trPr>
        <w:tc>
          <w:tcPr>
            <w:tcW w:w="1270" w:type="dxa"/>
            <w:tcBorders>
              <w:top w:val="single" w:sz="4" w:space="0" w:color="auto"/>
              <w:bottom w:val="single" w:sz="4" w:space="0" w:color="auto"/>
            </w:tcBorders>
            <w:shd w:val="clear" w:color="auto" w:fill="auto"/>
          </w:tcPr>
          <w:p w14:paraId="4E5F7E39" w14:textId="25F72366" w:rsidR="00444622" w:rsidRPr="005734B8" w:rsidRDefault="00444622" w:rsidP="003A1CE2">
            <w:pPr>
              <w:pStyle w:val="ESTablebody"/>
              <w:spacing w:beforeLines="20" w:before="48" w:afterLines="20" w:after="48"/>
              <w:rPr>
                <w:rFonts w:ascii="Calibri" w:hAnsi="Calibri" w:cs="Calibri"/>
                <w:sz w:val="18"/>
              </w:rPr>
            </w:pPr>
            <w:r w:rsidRPr="005734B8">
              <w:rPr>
                <w:rFonts w:ascii="Calibri" w:hAnsi="Calibri" w:cs="Calibri"/>
                <w:sz w:val="18"/>
                <w:lang w:val="en-AU"/>
              </w:rPr>
              <w:t>CEO</w:t>
            </w:r>
          </w:p>
        </w:tc>
        <w:tc>
          <w:tcPr>
            <w:tcW w:w="5732" w:type="dxa"/>
            <w:tcBorders>
              <w:top w:val="single" w:sz="4" w:space="0" w:color="auto"/>
              <w:bottom w:val="single" w:sz="4" w:space="0" w:color="auto"/>
            </w:tcBorders>
          </w:tcPr>
          <w:p w14:paraId="407A3BEE" w14:textId="1515D0AE"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Chief Executive Officer</w:t>
            </w:r>
          </w:p>
        </w:tc>
      </w:tr>
      <w:tr w:rsidR="00E27BE4" w:rsidRPr="005734B8" w14:paraId="05C5A6BA" w14:textId="77777777" w:rsidTr="003A1CE2">
        <w:trPr>
          <w:cantSplit/>
          <w:trHeight w:val="277"/>
        </w:trPr>
        <w:tc>
          <w:tcPr>
            <w:tcW w:w="1270" w:type="dxa"/>
            <w:tcBorders>
              <w:top w:val="single" w:sz="4" w:space="0" w:color="auto"/>
              <w:bottom w:val="single" w:sz="4" w:space="0" w:color="auto"/>
            </w:tcBorders>
            <w:shd w:val="clear" w:color="auto" w:fill="auto"/>
          </w:tcPr>
          <w:p w14:paraId="433655D9" w14:textId="062C0843" w:rsidR="00E27BE4" w:rsidRPr="005734B8" w:rsidRDefault="00E27BE4"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CFO</w:t>
            </w:r>
          </w:p>
        </w:tc>
        <w:tc>
          <w:tcPr>
            <w:tcW w:w="5732" w:type="dxa"/>
            <w:tcBorders>
              <w:top w:val="single" w:sz="4" w:space="0" w:color="auto"/>
              <w:bottom w:val="single" w:sz="4" w:space="0" w:color="auto"/>
            </w:tcBorders>
          </w:tcPr>
          <w:p w14:paraId="16884B83" w14:textId="3B02C612" w:rsidR="00E27BE4" w:rsidRPr="005734B8" w:rsidRDefault="00E27BE4"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Chief Finance Officer</w:t>
            </w:r>
          </w:p>
        </w:tc>
      </w:tr>
      <w:tr w:rsidR="00116718" w:rsidRPr="005734B8" w14:paraId="30EBFABE" w14:textId="77777777" w:rsidTr="003A1CE2">
        <w:trPr>
          <w:cantSplit/>
          <w:trHeight w:val="277"/>
        </w:trPr>
        <w:tc>
          <w:tcPr>
            <w:tcW w:w="1270" w:type="dxa"/>
            <w:tcBorders>
              <w:top w:val="single" w:sz="4" w:space="0" w:color="auto"/>
              <w:bottom w:val="single" w:sz="4" w:space="0" w:color="auto"/>
            </w:tcBorders>
            <w:shd w:val="clear" w:color="auto" w:fill="auto"/>
          </w:tcPr>
          <w:p w14:paraId="3D678F16" w14:textId="29DB7E40" w:rsidR="00116718" w:rsidRPr="005734B8" w:rsidRDefault="00116718" w:rsidP="00116718">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COVID-19</w:t>
            </w:r>
          </w:p>
        </w:tc>
        <w:tc>
          <w:tcPr>
            <w:tcW w:w="5732" w:type="dxa"/>
            <w:tcBorders>
              <w:top w:val="single" w:sz="4" w:space="0" w:color="auto"/>
              <w:bottom w:val="single" w:sz="4" w:space="0" w:color="auto"/>
            </w:tcBorders>
          </w:tcPr>
          <w:p w14:paraId="48E91589" w14:textId="59F475E8" w:rsidR="00116718" w:rsidRPr="005734B8" w:rsidRDefault="00E1026C" w:rsidP="00116718">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SARS-CoV-2</w:t>
            </w:r>
            <w:r w:rsidR="00383229" w:rsidRPr="005734B8">
              <w:rPr>
                <w:rFonts w:ascii="Calibri" w:hAnsi="Calibri" w:cs="Calibri"/>
                <w:sz w:val="18"/>
                <w:lang w:val="en-AU"/>
              </w:rPr>
              <w:t xml:space="preserve"> (</w:t>
            </w:r>
            <w:r w:rsidRPr="005734B8">
              <w:rPr>
                <w:rFonts w:ascii="Calibri" w:hAnsi="Calibri" w:cs="Calibri"/>
                <w:sz w:val="18"/>
                <w:lang w:val="en-AU"/>
              </w:rPr>
              <w:t>Coronavirus</w:t>
            </w:r>
            <w:r w:rsidR="00383229" w:rsidRPr="005734B8">
              <w:rPr>
                <w:rFonts w:ascii="Calibri" w:hAnsi="Calibri" w:cs="Calibri"/>
                <w:sz w:val="18"/>
                <w:lang w:val="en-AU"/>
              </w:rPr>
              <w:t>)</w:t>
            </w:r>
          </w:p>
        </w:tc>
      </w:tr>
      <w:tr w:rsidR="00E452C6" w:rsidRPr="005734B8" w14:paraId="2857C5CC" w14:textId="77777777" w:rsidTr="003A1CE2">
        <w:trPr>
          <w:cantSplit/>
          <w:trHeight w:val="277"/>
        </w:trPr>
        <w:tc>
          <w:tcPr>
            <w:tcW w:w="1270" w:type="dxa"/>
            <w:tcBorders>
              <w:top w:val="single" w:sz="4" w:space="0" w:color="auto"/>
              <w:bottom w:val="single" w:sz="4" w:space="0" w:color="auto"/>
            </w:tcBorders>
            <w:shd w:val="clear" w:color="auto" w:fill="auto"/>
          </w:tcPr>
          <w:p w14:paraId="7105D673" w14:textId="6F27C314" w:rsidR="00E452C6" w:rsidRPr="005734B8" w:rsidRDefault="00E452C6" w:rsidP="00116718">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CPC</w:t>
            </w:r>
          </w:p>
        </w:tc>
        <w:tc>
          <w:tcPr>
            <w:tcW w:w="5732" w:type="dxa"/>
            <w:tcBorders>
              <w:top w:val="single" w:sz="4" w:space="0" w:color="auto"/>
              <w:bottom w:val="single" w:sz="4" w:space="0" w:color="auto"/>
            </w:tcBorders>
          </w:tcPr>
          <w:p w14:paraId="0800F8DC" w14:textId="0A7EAFC6" w:rsidR="00E452C6" w:rsidRPr="005734B8" w:rsidRDefault="00E452C6" w:rsidP="00116718">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Culture and People Committee</w:t>
            </w:r>
          </w:p>
        </w:tc>
      </w:tr>
      <w:tr w:rsidR="00444622" w:rsidRPr="005734B8" w14:paraId="1A594ED4" w14:textId="77777777" w:rsidTr="003A1CE2">
        <w:trPr>
          <w:cantSplit/>
          <w:trHeight w:val="277"/>
        </w:trPr>
        <w:tc>
          <w:tcPr>
            <w:tcW w:w="1270" w:type="dxa"/>
            <w:tcBorders>
              <w:top w:val="single" w:sz="4" w:space="0" w:color="auto"/>
              <w:bottom w:val="single" w:sz="4" w:space="0" w:color="auto"/>
            </w:tcBorders>
            <w:shd w:val="clear" w:color="auto" w:fill="auto"/>
          </w:tcPr>
          <w:p w14:paraId="70E3D637" w14:textId="65D7F0AA" w:rsidR="00444622" w:rsidRPr="005734B8" w:rsidRDefault="00444622" w:rsidP="003A1CE2">
            <w:pPr>
              <w:pStyle w:val="ESTablebody"/>
              <w:spacing w:beforeLines="20" w:before="48" w:afterLines="20" w:after="48"/>
              <w:rPr>
                <w:rFonts w:ascii="Calibri" w:hAnsi="Calibri" w:cs="Calibri"/>
                <w:sz w:val="18"/>
              </w:rPr>
            </w:pPr>
            <w:r w:rsidRPr="005734B8">
              <w:rPr>
                <w:rFonts w:ascii="Calibri" w:hAnsi="Calibri" w:cs="Calibri"/>
                <w:sz w:val="18"/>
                <w:lang w:val="en-AU"/>
              </w:rPr>
              <w:t>CSO</w:t>
            </w:r>
          </w:p>
        </w:tc>
        <w:tc>
          <w:tcPr>
            <w:tcW w:w="5732" w:type="dxa"/>
            <w:tcBorders>
              <w:top w:val="single" w:sz="4" w:space="0" w:color="auto"/>
              <w:bottom w:val="single" w:sz="4" w:space="0" w:color="auto"/>
            </w:tcBorders>
          </w:tcPr>
          <w:p w14:paraId="6F9DF8A9" w14:textId="28388AD4"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Community Service Obligation</w:t>
            </w:r>
          </w:p>
        </w:tc>
      </w:tr>
      <w:tr w:rsidR="00444622" w:rsidRPr="005734B8" w14:paraId="0CE4F9C5" w14:textId="77777777" w:rsidTr="003A1CE2">
        <w:trPr>
          <w:cantSplit/>
          <w:trHeight w:val="277"/>
        </w:trPr>
        <w:tc>
          <w:tcPr>
            <w:tcW w:w="1270" w:type="dxa"/>
            <w:tcBorders>
              <w:top w:val="single" w:sz="4" w:space="0" w:color="auto"/>
              <w:bottom w:val="single" w:sz="4" w:space="0" w:color="auto"/>
            </w:tcBorders>
            <w:shd w:val="clear" w:color="auto" w:fill="auto"/>
          </w:tcPr>
          <w:p w14:paraId="6F31CFFD" w14:textId="1C32B9BD" w:rsidR="00444622" w:rsidRPr="005734B8" w:rsidRDefault="00444622" w:rsidP="003A1CE2">
            <w:pPr>
              <w:pStyle w:val="ESTablebody"/>
              <w:spacing w:beforeLines="20" w:before="48" w:afterLines="20" w:after="48"/>
              <w:rPr>
                <w:rFonts w:ascii="Calibri" w:hAnsi="Calibri" w:cs="Calibri"/>
                <w:sz w:val="18"/>
              </w:rPr>
            </w:pPr>
            <w:r w:rsidRPr="005734B8">
              <w:rPr>
                <w:rFonts w:ascii="Calibri" w:hAnsi="Calibri" w:cs="Calibri"/>
                <w:sz w:val="18"/>
                <w:lang w:val="en-AU"/>
              </w:rPr>
              <w:t>Department</w:t>
            </w:r>
          </w:p>
        </w:tc>
        <w:tc>
          <w:tcPr>
            <w:tcW w:w="5732" w:type="dxa"/>
            <w:tcBorders>
              <w:top w:val="single" w:sz="4" w:space="0" w:color="auto"/>
              <w:bottom w:val="single" w:sz="4" w:space="0" w:color="auto"/>
            </w:tcBorders>
          </w:tcPr>
          <w:p w14:paraId="650506DB" w14:textId="610C4F84"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Department of Education and Training</w:t>
            </w:r>
          </w:p>
        </w:tc>
      </w:tr>
      <w:tr w:rsidR="00B15F9A" w:rsidRPr="005734B8" w14:paraId="1ECDC896" w14:textId="77777777" w:rsidTr="003A1CE2">
        <w:trPr>
          <w:cantSplit/>
          <w:trHeight w:val="277"/>
        </w:trPr>
        <w:tc>
          <w:tcPr>
            <w:tcW w:w="1270" w:type="dxa"/>
            <w:tcBorders>
              <w:top w:val="single" w:sz="4" w:space="0" w:color="auto"/>
              <w:bottom w:val="single" w:sz="4" w:space="0" w:color="auto"/>
            </w:tcBorders>
            <w:shd w:val="clear" w:color="auto" w:fill="auto"/>
          </w:tcPr>
          <w:p w14:paraId="17B9A038" w14:textId="480E890A" w:rsidR="00B15F9A" w:rsidRPr="005734B8" w:rsidRDefault="00B15F9A"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DHHS</w:t>
            </w:r>
          </w:p>
        </w:tc>
        <w:tc>
          <w:tcPr>
            <w:tcW w:w="5732" w:type="dxa"/>
            <w:tcBorders>
              <w:top w:val="single" w:sz="4" w:space="0" w:color="auto"/>
              <w:bottom w:val="single" w:sz="4" w:space="0" w:color="auto"/>
            </w:tcBorders>
          </w:tcPr>
          <w:p w14:paraId="474435B9" w14:textId="09A2ADC0" w:rsidR="00B15F9A" w:rsidRPr="005734B8" w:rsidRDefault="00B15F9A"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Department of Health and Human Services</w:t>
            </w:r>
          </w:p>
        </w:tc>
      </w:tr>
      <w:tr w:rsidR="00444622" w:rsidRPr="005734B8" w14:paraId="6856822F" w14:textId="77777777" w:rsidTr="003A1CE2">
        <w:trPr>
          <w:cantSplit/>
          <w:trHeight w:val="277"/>
        </w:trPr>
        <w:tc>
          <w:tcPr>
            <w:tcW w:w="1270" w:type="dxa"/>
            <w:tcBorders>
              <w:top w:val="single" w:sz="4" w:space="0" w:color="auto"/>
              <w:bottom w:val="single" w:sz="4" w:space="0" w:color="auto"/>
            </w:tcBorders>
            <w:shd w:val="clear" w:color="auto" w:fill="auto"/>
          </w:tcPr>
          <w:p w14:paraId="474EB7DC" w14:textId="30535C36" w:rsidR="00444622" w:rsidRPr="005734B8" w:rsidRDefault="00444622" w:rsidP="003A1CE2">
            <w:pPr>
              <w:pStyle w:val="ESTablebody"/>
              <w:spacing w:beforeLines="20" w:before="48" w:afterLines="20" w:after="48"/>
              <w:rPr>
                <w:rFonts w:ascii="Calibri" w:hAnsi="Calibri" w:cs="Calibri"/>
                <w:sz w:val="18"/>
              </w:rPr>
            </w:pPr>
            <w:r w:rsidRPr="005734B8">
              <w:rPr>
                <w:rFonts w:ascii="Calibri" w:hAnsi="Calibri" w:cs="Calibri"/>
                <w:sz w:val="18"/>
                <w:lang w:val="en-AU"/>
              </w:rPr>
              <w:t>DPC</w:t>
            </w:r>
          </w:p>
        </w:tc>
        <w:tc>
          <w:tcPr>
            <w:tcW w:w="5732" w:type="dxa"/>
            <w:tcBorders>
              <w:top w:val="single" w:sz="4" w:space="0" w:color="auto"/>
              <w:bottom w:val="single" w:sz="4" w:space="0" w:color="auto"/>
            </w:tcBorders>
          </w:tcPr>
          <w:p w14:paraId="31F03CBA" w14:textId="0905549E"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Department of Premier and Cabinet</w:t>
            </w:r>
          </w:p>
        </w:tc>
      </w:tr>
      <w:tr w:rsidR="006E0A5C" w:rsidRPr="005734B8" w14:paraId="1B1A8F54" w14:textId="77777777" w:rsidTr="003A1CE2">
        <w:trPr>
          <w:cantSplit/>
          <w:trHeight w:val="277"/>
        </w:trPr>
        <w:tc>
          <w:tcPr>
            <w:tcW w:w="1270" w:type="dxa"/>
            <w:tcBorders>
              <w:top w:val="single" w:sz="4" w:space="0" w:color="auto"/>
              <w:bottom w:val="single" w:sz="4" w:space="0" w:color="auto"/>
            </w:tcBorders>
            <w:shd w:val="clear" w:color="auto" w:fill="auto"/>
          </w:tcPr>
          <w:p w14:paraId="6CA2BBBF" w14:textId="77FE27B0" w:rsidR="006E0A5C" w:rsidRPr="005734B8" w:rsidRDefault="006E0A5C"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DRC</w:t>
            </w:r>
          </w:p>
        </w:tc>
        <w:tc>
          <w:tcPr>
            <w:tcW w:w="5732" w:type="dxa"/>
            <w:tcBorders>
              <w:top w:val="single" w:sz="4" w:space="0" w:color="auto"/>
              <w:bottom w:val="single" w:sz="4" w:space="0" w:color="auto"/>
            </w:tcBorders>
          </w:tcPr>
          <w:p w14:paraId="3A098AB2" w14:textId="0C587E6E" w:rsidR="006E0A5C" w:rsidRPr="005734B8" w:rsidRDefault="006E0A5C"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Depreciated Replacement Cost</w:t>
            </w:r>
          </w:p>
        </w:tc>
      </w:tr>
      <w:tr w:rsidR="00FA1933" w:rsidRPr="005734B8" w14:paraId="2BF581CE" w14:textId="77777777" w:rsidTr="003A1CE2">
        <w:trPr>
          <w:cantSplit/>
          <w:trHeight w:val="277"/>
        </w:trPr>
        <w:tc>
          <w:tcPr>
            <w:tcW w:w="1270" w:type="dxa"/>
            <w:tcBorders>
              <w:top w:val="single" w:sz="4" w:space="0" w:color="auto"/>
              <w:bottom w:val="single" w:sz="4" w:space="0" w:color="auto"/>
            </w:tcBorders>
            <w:shd w:val="clear" w:color="auto" w:fill="auto"/>
          </w:tcPr>
          <w:p w14:paraId="43B57512" w14:textId="651E2BBA" w:rsidR="00FA1933" w:rsidRPr="005734B8" w:rsidRDefault="00FA1933"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DTF</w:t>
            </w:r>
          </w:p>
        </w:tc>
        <w:tc>
          <w:tcPr>
            <w:tcW w:w="5732" w:type="dxa"/>
            <w:tcBorders>
              <w:top w:val="single" w:sz="4" w:space="0" w:color="auto"/>
              <w:bottom w:val="single" w:sz="4" w:space="0" w:color="auto"/>
            </w:tcBorders>
          </w:tcPr>
          <w:p w14:paraId="235917DF" w14:textId="34CE00EB" w:rsidR="00FA1933" w:rsidRPr="005734B8" w:rsidRDefault="00FA1933"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Department of Treasury and Finance</w:t>
            </w:r>
          </w:p>
        </w:tc>
      </w:tr>
      <w:tr w:rsidR="00444622" w:rsidRPr="005734B8" w14:paraId="4BD165EE" w14:textId="77777777" w:rsidTr="003A1CE2">
        <w:trPr>
          <w:cantSplit/>
          <w:trHeight w:val="277"/>
        </w:trPr>
        <w:tc>
          <w:tcPr>
            <w:tcW w:w="1270" w:type="dxa"/>
            <w:tcBorders>
              <w:top w:val="single" w:sz="4" w:space="0" w:color="auto"/>
              <w:bottom w:val="single" w:sz="4" w:space="0" w:color="auto"/>
            </w:tcBorders>
            <w:shd w:val="clear" w:color="auto" w:fill="auto"/>
          </w:tcPr>
          <w:p w14:paraId="59CD4460" w14:textId="1C712FB3" w:rsidR="00444622" w:rsidRPr="005734B8" w:rsidRDefault="00444622" w:rsidP="003A1CE2">
            <w:pPr>
              <w:pStyle w:val="ESTablebody"/>
              <w:spacing w:beforeLines="20" w:before="48" w:afterLines="20" w:after="48"/>
              <w:rPr>
                <w:rFonts w:ascii="Calibri" w:hAnsi="Calibri" w:cs="Calibri"/>
                <w:sz w:val="18"/>
              </w:rPr>
            </w:pPr>
            <w:r w:rsidRPr="005734B8">
              <w:rPr>
                <w:rFonts w:ascii="Calibri" w:hAnsi="Calibri" w:cs="Calibri"/>
                <w:sz w:val="18"/>
                <w:lang w:val="en-AU"/>
              </w:rPr>
              <w:t>ECE</w:t>
            </w:r>
          </w:p>
        </w:tc>
        <w:tc>
          <w:tcPr>
            <w:tcW w:w="5732" w:type="dxa"/>
            <w:tcBorders>
              <w:top w:val="single" w:sz="4" w:space="0" w:color="auto"/>
              <w:bottom w:val="single" w:sz="4" w:space="0" w:color="auto"/>
            </w:tcBorders>
          </w:tcPr>
          <w:p w14:paraId="32C50805" w14:textId="18E0E421"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 xml:space="preserve">Early Childhood Education </w:t>
            </w:r>
            <w:r w:rsidR="00D64F2A" w:rsidRPr="005734B8">
              <w:rPr>
                <w:rFonts w:ascii="Calibri" w:hAnsi="Calibri" w:cs="Calibri"/>
                <w:sz w:val="18"/>
                <w:lang w:val="en-AU"/>
              </w:rPr>
              <w:t>group</w:t>
            </w:r>
          </w:p>
        </w:tc>
      </w:tr>
      <w:tr w:rsidR="00444622" w:rsidRPr="005734B8" w14:paraId="77BC18DB" w14:textId="77777777" w:rsidTr="003A1CE2">
        <w:trPr>
          <w:cantSplit/>
          <w:trHeight w:val="277"/>
        </w:trPr>
        <w:tc>
          <w:tcPr>
            <w:tcW w:w="1270" w:type="dxa"/>
            <w:tcBorders>
              <w:top w:val="single" w:sz="4" w:space="0" w:color="auto"/>
              <w:bottom w:val="single" w:sz="4" w:space="0" w:color="auto"/>
            </w:tcBorders>
            <w:shd w:val="clear" w:color="auto" w:fill="auto"/>
          </w:tcPr>
          <w:p w14:paraId="3B404B8E" w14:textId="0E45CAE1" w:rsidR="00444622" w:rsidRPr="005734B8" w:rsidRDefault="00AB1C69" w:rsidP="003A1CE2">
            <w:pPr>
              <w:pStyle w:val="ESTablebody"/>
              <w:spacing w:beforeLines="20" w:before="48" w:afterLines="20" w:after="48"/>
              <w:rPr>
                <w:rFonts w:ascii="Calibri" w:hAnsi="Calibri" w:cs="Calibri"/>
                <w:sz w:val="18"/>
              </w:rPr>
            </w:pPr>
            <w:r w:rsidRPr="005734B8">
              <w:rPr>
                <w:rFonts w:ascii="Calibri" w:hAnsi="Calibri" w:cs="Calibri"/>
                <w:sz w:val="18"/>
                <w:lang w:val="en-AU"/>
              </w:rPr>
              <w:t>ECEC</w:t>
            </w:r>
          </w:p>
        </w:tc>
        <w:tc>
          <w:tcPr>
            <w:tcW w:w="5732" w:type="dxa"/>
            <w:tcBorders>
              <w:top w:val="single" w:sz="4" w:space="0" w:color="auto"/>
              <w:bottom w:val="single" w:sz="4" w:space="0" w:color="auto"/>
            </w:tcBorders>
          </w:tcPr>
          <w:p w14:paraId="2C9F563C" w14:textId="6EB3801C"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 xml:space="preserve">Early Childhood </w:t>
            </w:r>
            <w:r w:rsidR="00AB1C69" w:rsidRPr="005734B8">
              <w:rPr>
                <w:rFonts w:ascii="Calibri" w:hAnsi="Calibri" w:cs="Calibri"/>
                <w:sz w:val="18"/>
                <w:lang w:val="en-AU"/>
              </w:rPr>
              <w:t>Education and Care</w:t>
            </w:r>
          </w:p>
        </w:tc>
      </w:tr>
      <w:tr w:rsidR="00E27BE4" w:rsidRPr="005734B8" w14:paraId="4D493CCE" w14:textId="77777777" w:rsidTr="003A1CE2">
        <w:trPr>
          <w:cantSplit/>
          <w:trHeight w:val="277"/>
        </w:trPr>
        <w:tc>
          <w:tcPr>
            <w:tcW w:w="1270" w:type="dxa"/>
            <w:tcBorders>
              <w:top w:val="single" w:sz="4" w:space="0" w:color="auto"/>
              <w:bottom w:val="single" w:sz="4" w:space="0" w:color="auto"/>
            </w:tcBorders>
            <w:shd w:val="clear" w:color="auto" w:fill="auto"/>
          </w:tcPr>
          <w:p w14:paraId="31829D2E" w14:textId="5C17B435" w:rsidR="00E27BE4" w:rsidRPr="005734B8" w:rsidRDefault="00E27BE4"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EPR</w:t>
            </w:r>
          </w:p>
        </w:tc>
        <w:tc>
          <w:tcPr>
            <w:tcW w:w="5732" w:type="dxa"/>
            <w:tcBorders>
              <w:top w:val="single" w:sz="4" w:space="0" w:color="auto"/>
              <w:bottom w:val="single" w:sz="4" w:space="0" w:color="auto"/>
            </w:tcBorders>
          </w:tcPr>
          <w:p w14:paraId="7AD4B5A4" w14:textId="5AC03A97" w:rsidR="00E27BE4" w:rsidRPr="005734B8" w:rsidRDefault="00E27BE4"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Employer Performance Rating</w:t>
            </w:r>
          </w:p>
        </w:tc>
      </w:tr>
      <w:tr w:rsidR="00444622" w:rsidRPr="005734B8" w14:paraId="0391B32E" w14:textId="77777777" w:rsidTr="003A1CE2">
        <w:trPr>
          <w:cantSplit/>
          <w:trHeight w:val="277"/>
        </w:trPr>
        <w:tc>
          <w:tcPr>
            <w:tcW w:w="1270" w:type="dxa"/>
            <w:tcBorders>
              <w:top w:val="single" w:sz="4" w:space="0" w:color="auto"/>
              <w:bottom w:val="single" w:sz="4" w:space="0" w:color="auto"/>
            </w:tcBorders>
            <w:shd w:val="clear" w:color="auto" w:fill="auto"/>
          </w:tcPr>
          <w:p w14:paraId="66C12487" w14:textId="1D7E3E14" w:rsidR="00444622" w:rsidRPr="005734B8" w:rsidRDefault="00444622" w:rsidP="003A1CE2">
            <w:pPr>
              <w:pStyle w:val="ESTablebody"/>
              <w:spacing w:beforeLines="20" w:before="48" w:afterLines="20" w:after="48"/>
              <w:rPr>
                <w:rFonts w:ascii="Calibri" w:hAnsi="Calibri" w:cs="Calibri"/>
                <w:sz w:val="18"/>
              </w:rPr>
            </w:pPr>
            <w:r w:rsidRPr="005734B8">
              <w:rPr>
                <w:rFonts w:ascii="Calibri" w:hAnsi="Calibri" w:cs="Calibri"/>
                <w:sz w:val="18"/>
                <w:lang w:val="en-AU"/>
              </w:rPr>
              <w:t>FOI</w:t>
            </w:r>
          </w:p>
        </w:tc>
        <w:tc>
          <w:tcPr>
            <w:tcW w:w="5732" w:type="dxa"/>
            <w:tcBorders>
              <w:top w:val="single" w:sz="4" w:space="0" w:color="auto"/>
              <w:bottom w:val="single" w:sz="4" w:space="0" w:color="auto"/>
            </w:tcBorders>
          </w:tcPr>
          <w:p w14:paraId="1AA33E17" w14:textId="0CCBD56F"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Freedom of Information</w:t>
            </w:r>
          </w:p>
        </w:tc>
      </w:tr>
      <w:tr w:rsidR="00B42841" w:rsidRPr="005734B8" w14:paraId="2612486A" w14:textId="77777777" w:rsidTr="003A1CE2">
        <w:trPr>
          <w:cantSplit/>
          <w:trHeight w:val="277"/>
        </w:trPr>
        <w:tc>
          <w:tcPr>
            <w:tcW w:w="1270" w:type="dxa"/>
            <w:tcBorders>
              <w:top w:val="single" w:sz="4" w:space="0" w:color="auto"/>
              <w:bottom w:val="single" w:sz="4" w:space="0" w:color="auto"/>
            </w:tcBorders>
            <w:shd w:val="clear" w:color="auto" w:fill="auto"/>
          </w:tcPr>
          <w:p w14:paraId="74C0B5EC" w14:textId="62A044C9" w:rsidR="00B42841" w:rsidRPr="005734B8" w:rsidRDefault="00B42841"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FOI Act</w:t>
            </w:r>
          </w:p>
        </w:tc>
        <w:tc>
          <w:tcPr>
            <w:tcW w:w="5732" w:type="dxa"/>
            <w:tcBorders>
              <w:top w:val="single" w:sz="4" w:space="0" w:color="auto"/>
              <w:bottom w:val="single" w:sz="4" w:space="0" w:color="auto"/>
            </w:tcBorders>
          </w:tcPr>
          <w:p w14:paraId="201022C3" w14:textId="575D139C" w:rsidR="00B42841" w:rsidRPr="005734B8" w:rsidRDefault="008D757C" w:rsidP="003A1CE2">
            <w:pPr>
              <w:pStyle w:val="ESTablebody"/>
              <w:spacing w:beforeLines="20" w:before="48" w:afterLines="20" w:after="48"/>
              <w:rPr>
                <w:rFonts w:ascii="Calibri" w:hAnsi="Calibri" w:cs="Calibri"/>
                <w:i/>
                <w:sz w:val="18"/>
                <w:lang w:val="en-AU"/>
              </w:rPr>
            </w:pPr>
            <w:r w:rsidRPr="005734B8">
              <w:rPr>
                <w:rFonts w:ascii="Calibri" w:hAnsi="Calibri" w:cs="Calibri"/>
                <w:i/>
                <w:sz w:val="18"/>
                <w:lang w:val="en-AU"/>
              </w:rPr>
              <w:t>Freedom of Information Act 1982</w:t>
            </w:r>
          </w:p>
        </w:tc>
      </w:tr>
      <w:tr w:rsidR="00444622" w:rsidRPr="005734B8" w14:paraId="1609B2A2" w14:textId="77777777" w:rsidTr="003A1CE2">
        <w:trPr>
          <w:cantSplit/>
          <w:trHeight w:val="277"/>
        </w:trPr>
        <w:tc>
          <w:tcPr>
            <w:tcW w:w="1270" w:type="dxa"/>
            <w:tcBorders>
              <w:top w:val="single" w:sz="4" w:space="0" w:color="auto"/>
              <w:bottom w:val="single" w:sz="4" w:space="0" w:color="auto"/>
            </w:tcBorders>
            <w:shd w:val="clear" w:color="auto" w:fill="auto"/>
          </w:tcPr>
          <w:p w14:paraId="07938F61" w14:textId="66B6EE72" w:rsidR="00444622" w:rsidRPr="005734B8" w:rsidRDefault="00444622" w:rsidP="003A1CE2">
            <w:pPr>
              <w:pStyle w:val="ESTablebody"/>
              <w:spacing w:beforeLines="20" w:before="48" w:afterLines="20" w:after="48"/>
              <w:rPr>
                <w:rFonts w:ascii="Calibri" w:hAnsi="Calibri" w:cs="Calibri"/>
                <w:sz w:val="18"/>
              </w:rPr>
            </w:pPr>
            <w:r w:rsidRPr="005734B8">
              <w:rPr>
                <w:rFonts w:ascii="Calibri" w:hAnsi="Calibri" w:cs="Calibri"/>
                <w:sz w:val="18"/>
                <w:lang w:val="en-AU"/>
              </w:rPr>
              <w:t>FM Act</w:t>
            </w:r>
          </w:p>
        </w:tc>
        <w:tc>
          <w:tcPr>
            <w:tcW w:w="5732" w:type="dxa"/>
            <w:tcBorders>
              <w:top w:val="single" w:sz="4" w:space="0" w:color="auto"/>
              <w:bottom w:val="single" w:sz="4" w:space="0" w:color="auto"/>
            </w:tcBorders>
          </w:tcPr>
          <w:p w14:paraId="42F04166" w14:textId="12E67BE2"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i/>
                <w:sz w:val="18"/>
                <w:lang w:val="en-AU"/>
              </w:rPr>
              <w:t>Financial Management Act 1994</w:t>
            </w:r>
          </w:p>
        </w:tc>
      </w:tr>
      <w:tr w:rsidR="00B724B7" w:rsidRPr="005734B8" w14:paraId="71093058" w14:textId="77777777" w:rsidTr="003A1CE2">
        <w:trPr>
          <w:cantSplit/>
          <w:trHeight w:val="277"/>
        </w:trPr>
        <w:tc>
          <w:tcPr>
            <w:tcW w:w="1270" w:type="dxa"/>
            <w:tcBorders>
              <w:top w:val="single" w:sz="4" w:space="0" w:color="auto"/>
              <w:bottom w:val="single" w:sz="4" w:space="0" w:color="auto"/>
            </w:tcBorders>
            <w:shd w:val="clear" w:color="auto" w:fill="auto"/>
          </w:tcPr>
          <w:p w14:paraId="77A6DED6" w14:textId="65D1ACBD" w:rsidR="00B724B7" w:rsidRPr="005734B8" w:rsidRDefault="00B724B7"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FPIS</w:t>
            </w:r>
          </w:p>
        </w:tc>
        <w:tc>
          <w:tcPr>
            <w:tcW w:w="5732" w:type="dxa"/>
            <w:tcBorders>
              <w:top w:val="single" w:sz="4" w:space="0" w:color="auto"/>
              <w:bottom w:val="single" w:sz="4" w:space="0" w:color="auto"/>
            </w:tcBorders>
          </w:tcPr>
          <w:p w14:paraId="57BFB82B" w14:textId="3C4F4E2B" w:rsidR="00B724B7" w:rsidRPr="005734B8" w:rsidRDefault="00B724B7" w:rsidP="003A1CE2">
            <w:pPr>
              <w:pStyle w:val="ESTablebody"/>
              <w:spacing w:beforeLines="20" w:before="48" w:afterLines="20" w:after="48"/>
              <w:rPr>
                <w:rFonts w:ascii="Calibri" w:hAnsi="Calibri" w:cs="Calibri"/>
                <w:i/>
                <w:sz w:val="18"/>
                <w:lang w:val="en-AU"/>
              </w:rPr>
            </w:pPr>
            <w:r w:rsidRPr="005734B8">
              <w:rPr>
                <w:rFonts w:ascii="Calibri" w:hAnsi="Calibri" w:cs="Calibri"/>
                <w:sz w:val="18"/>
                <w:lang w:val="en-AU"/>
              </w:rPr>
              <w:t>Financial Policy and Information Services</w:t>
            </w:r>
            <w:r w:rsidR="005343A9" w:rsidRPr="005734B8">
              <w:rPr>
                <w:rFonts w:ascii="Calibri" w:hAnsi="Calibri" w:cs="Calibri"/>
                <w:sz w:val="18"/>
                <w:lang w:val="en-AU"/>
              </w:rPr>
              <w:t xml:space="preserve"> group</w:t>
            </w:r>
          </w:p>
        </w:tc>
      </w:tr>
      <w:tr w:rsidR="00444622" w:rsidRPr="005734B8" w14:paraId="00446F30" w14:textId="77777777" w:rsidTr="003A1CE2">
        <w:trPr>
          <w:cantSplit/>
          <w:trHeight w:val="277"/>
        </w:trPr>
        <w:tc>
          <w:tcPr>
            <w:tcW w:w="1270" w:type="dxa"/>
            <w:tcBorders>
              <w:top w:val="single" w:sz="4" w:space="0" w:color="auto"/>
              <w:bottom w:val="single" w:sz="4" w:space="0" w:color="auto"/>
            </w:tcBorders>
            <w:shd w:val="clear" w:color="auto" w:fill="auto"/>
          </w:tcPr>
          <w:p w14:paraId="0D16BCC2" w14:textId="2F2B593B" w:rsidR="00444622" w:rsidRPr="005734B8" w:rsidRDefault="00444622" w:rsidP="003A1CE2">
            <w:pPr>
              <w:pStyle w:val="ESTablebody"/>
              <w:spacing w:beforeLines="20" w:before="48" w:afterLines="20" w:after="48"/>
              <w:rPr>
                <w:rFonts w:ascii="Calibri" w:hAnsi="Calibri" w:cs="Calibri"/>
                <w:sz w:val="18"/>
              </w:rPr>
            </w:pPr>
            <w:r w:rsidRPr="005734B8">
              <w:rPr>
                <w:rFonts w:ascii="Calibri" w:hAnsi="Calibri" w:cs="Calibri"/>
                <w:sz w:val="18"/>
                <w:lang w:val="en-AU"/>
              </w:rPr>
              <w:t>FRD</w:t>
            </w:r>
          </w:p>
        </w:tc>
        <w:tc>
          <w:tcPr>
            <w:tcW w:w="5732" w:type="dxa"/>
            <w:tcBorders>
              <w:top w:val="single" w:sz="4" w:space="0" w:color="auto"/>
              <w:bottom w:val="single" w:sz="4" w:space="0" w:color="auto"/>
            </w:tcBorders>
          </w:tcPr>
          <w:p w14:paraId="3C541207" w14:textId="2D0AF4E4"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Financial Reporting Direction</w:t>
            </w:r>
          </w:p>
        </w:tc>
      </w:tr>
      <w:tr w:rsidR="00444622" w:rsidRPr="005734B8" w14:paraId="73B698DD" w14:textId="77777777" w:rsidTr="003A1CE2">
        <w:trPr>
          <w:cantSplit/>
          <w:trHeight w:val="277"/>
        </w:trPr>
        <w:tc>
          <w:tcPr>
            <w:tcW w:w="1270" w:type="dxa"/>
            <w:tcBorders>
              <w:top w:val="single" w:sz="4" w:space="0" w:color="auto"/>
              <w:bottom w:val="single" w:sz="4" w:space="0" w:color="auto"/>
            </w:tcBorders>
            <w:shd w:val="clear" w:color="auto" w:fill="auto"/>
          </w:tcPr>
          <w:p w14:paraId="316B3A27" w14:textId="18619B1C" w:rsidR="00444622" w:rsidRPr="005734B8" w:rsidRDefault="00444622" w:rsidP="003A1CE2">
            <w:pPr>
              <w:pStyle w:val="ESTablebody"/>
              <w:spacing w:beforeLines="20" w:before="48" w:afterLines="20" w:after="48"/>
              <w:rPr>
                <w:rFonts w:ascii="Calibri" w:hAnsi="Calibri" w:cs="Calibri"/>
                <w:sz w:val="18"/>
              </w:rPr>
            </w:pPr>
            <w:r w:rsidRPr="005734B8">
              <w:rPr>
                <w:rFonts w:ascii="Calibri" w:hAnsi="Calibri" w:cs="Calibri"/>
                <w:sz w:val="18"/>
                <w:lang w:val="en-AU"/>
              </w:rPr>
              <w:t>FTE</w:t>
            </w:r>
          </w:p>
        </w:tc>
        <w:tc>
          <w:tcPr>
            <w:tcW w:w="5732" w:type="dxa"/>
            <w:tcBorders>
              <w:top w:val="single" w:sz="4" w:space="0" w:color="auto"/>
              <w:bottom w:val="single" w:sz="4" w:space="0" w:color="auto"/>
            </w:tcBorders>
          </w:tcPr>
          <w:p w14:paraId="79A2C042" w14:textId="73883133"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Full-time Equivalent</w:t>
            </w:r>
          </w:p>
        </w:tc>
      </w:tr>
      <w:tr w:rsidR="002F378E" w:rsidRPr="005734B8" w14:paraId="56EAD0B1" w14:textId="77777777" w:rsidTr="003A1CE2">
        <w:trPr>
          <w:cantSplit/>
          <w:trHeight w:val="277"/>
        </w:trPr>
        <w:tc>
          <w:tcPr>
            <w:tcW w:w="1270" w:type="dxa"/>
            <w:tcBorders>
              <w:top w:val="single" w:sz="4" w:space="0" w:color="auto"/>
              <w:bottom w:val="single" w:sz="4" w:space="0" w:color="auto"/>
            </w:tcBorders>
            <w:shd w:val="clear" w:color="auto" w:fill="auto"/>
          </w:tcPr>
          <w:p w14:paraId="7336B95D" w14:textId="16357234" w:rsidR="002F378E" w:rsidRPr="005734B8" w:rsidRDefault="002F378E"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GSRC</w:t>
            </w:r>
          </w:p>
        </w:tc>
        <w:tc>
          <w:tcPr>
            <w:tcW w:w="5732" w:type="dxa"/>
            <w:tcBorders>
              <w:top w:val="single" w:sz="4" w:space="0" w:color="auto"/>
              <w:bottom w:val="single" w:sz="4" w:space="0" w:color="auto"/>
            </w:tcBorders>
          </w:tcPr>
          <w:p w14:paraId="15722464" w14:textId="773895DB" w:rsidR="002F378E" w:rsidRPr="005734B8" w:rsidRDefault="002F378E"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Government Schools Reform Committee</w:t>
            </w:r>
          </w:p>
        </w:tc>
      </w:tr>
      <w:tr w:rsidR="00444622" w:rsidRPr="005734B8" w14:paraId="50EBF1C0" w14:textId="77777777" w:rsidTr="003A1CE2">
        <w:trPr>
          <w:cantSplit/>
          <w:trHeight w:val="277"/>
        </w:trPr>
        <w:tc>
          <w:tcPr>
            <w:tcW w:w="1270" w:type="dxa"/>
            <w:tcBorders>
              <w:top w:val="single" w:sz="4" w:space="0" w:color="auto"/>
              <w:bottom w:val="single" w:sz="4" w:space="0" w:color="auto"/>
            </w:tcBorders>
            <w:shd w:val="clear" w:color="auto" w:fill="auto"/>
          </w:tcPr>
          <w:p w14:paraId="3F133DE9" w14:textId="4AD45BED" w:rsidR="00444622" w:rsidRPr="005734B8" w:rsidRDefault="00444622" w:rsidP="003A1CE2">
            <w:pPr>
              <w:pStyle w:val="ESTablebody"/>
              <w:spacing w:beforeLines="20" w:before="48" w:afterLines="20" w:after="48"/>
              <w:rPr>
                <w:rFonts w:ascii="Calibri" w:hAnsi="Calibri" w:cs="Calibri"/>
                <w:sz w:val="18"/>
              </w:rPr>
            </w:pPr>
            <w:r w:rsidRPr="005734B8">
              <w:rPr>
                <w:rFonts w:ascii="Calibri" w:hAnsi="Calibri" w:cs="Calibri"/>
                <w:sz w:val="18"/>
                <w:lang w:val="en-AU"/>
              </w:rPr>
              <w:t>GST</w:t>
            </w:r>
          </w:p>
        </w:tc>
        <w:tc>
          <w:tcPr>
            <w:tcW w:w="5732" w:type="dxa"/>
            <w:tcBorders>
              <w:top w:val="single" w:sz="4" w:space="0" w:color="auto"/>
              <w:bottom w:val="single" w:sz="4" w:space="0" w:color="auto"/>
            </w:tcBorders>
          </w:tcPr>
          <w:p w14:paraId="603AF593" w14:textId="4FD76A3D"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Goods and Services Tax</w:t>
            </w:r>
          </w:p>
        </w:tc>
      </w:tr>
      <w:tr w:rsidR="00444622" w:rsidRPr="005734B8" w14:paraId="3F57F0C9" w14:textId="77777777" w:rsidTr="003A1CE2">
        <w:trPr>
          <w:cantSplit/>
          <w:trHeight w:val="277"/>
        </w:trPr>
        <w:tc>
          <w:tcPr>
            <w:tcW w:w="1270" w:type="dxa"/>
            <w:tcBorders>
              <w:top w:val="single" w:sz="4" w:space="0" w:color="auto"/>
              <w:bottom w:val="single" w:sz="4" w:space="0" w:color="auto"/>
            </w:tcBorders>
            <w:shd w:val="clear" w:color="auto" w:fill="auto"/>
          </w:tcPr>
          <w:p w14:paraId="06A63B6E" w14:textId="7C138E8D" w:rsidR="00444622" w:rsidRPr="005734B8" w:rsidRDefault="00444622" w:rsidP="003A1CE2">
            <w:pPr>
              <w:pStyle w:val="ESTablebody"/>
              <w:spacing w:beforeLines="20" w:before="48" w:afterLines="20" w:after="48"/>
              <w:rPr>
                <w:rFonts w:ascii="Calibri" w:hAnsi="Calibri" w:cs="Calibri"/>
                <w:sz w:val="18"/>
              </w:rPr>
            </w:pPr>
            <w:r w:rsidRPr="005734B8">
              <w:rPr>
                <w:rFonts w:ascii="Calibri" w:hAnsi="Calibri" w:cs="Calibri"/>
                <w:sz w:val="18"/>
                <w:lang w:val="en-AU"/>
              </w:rPr>
              <w:t>HES</w:t>
            </w:r>
          </w:p>
        </w:tc>
        <w:tc>
          <w:tcPr>
            <w:tcW w:w="5732" w:type="dxa"/>
            <w:tcBorders>
              <w:top w:val="single" w:sz="4" w:space="0" w:color="auto"/>
              <w:bottom w:val="single" w:sz="4" w:space="0" w:color="auto"/>
            </w:tcBorders>
          </w:tcPr>
          <w:p w14:paraId="324294EC" w14:textId="25C73BA3"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Higher Education and Skills</w:t>
            </w:r>
            <w:r w:rsidR="005343A9" w:rsidRPr="005734B8">
              <w:rPr>
                <w:rFonts w:ascii="Calibri" w:hAnsi="Calibri" w:cs="Calibri"/>
                <w:sz w:val="18"/>
                <w:lang w:val="en-AU"/>
              </w:rPr>
              <w:t xml:space="preserve"> group</w:t>
            </w:r>
          </w:p>
        </w:tc>
      </w:tr>
      <w:tr w:rsidR="00444622" w:rsidRPr="005734B8" w14:paraId="7384F35B" w14:textId="77777777" w:rsidTr="003A1CE2">
        <w:trPr>
          <w:cantSplit/>
          <w:trHeight w:val="277"/>
        </w:trPr>
        <w:tc>
          <w:tcPr>
            <w:tcW w:w="1270" w:type="dxa"/>
            <w:tcBorders>
              <w:top w:val="single" w:sz="4" w:space="0" w:color="auto"/>
              <w:bottom w:val="single" w:sz="4" w:space="0" w:color="auto"/>
            </w:tcBorders>
            <w:shd w:val="clear" w:color="auto" w:fill="auto"/>
          </w:tcPr>
          <w:p w14:paraId="06C7B194" w14:textId="488AA68F" w:rsidR="00444622" w:rsidRPr="005734B8" w:rsidRDefault="00444622" w:rsidP="003A1CE2">
            <w:pPr>
              <w:pStyle w:val="ESTablebody"/>
              <w:spacing w:beforeLines="20" w:before="48" w:afterLines="20" w:after="48"/>
              <w:rPr>
                <w:rFonts w:ascii="Calibri" w:hAnsi="Calibri" w:cs="Calibri"/>
                <w:sz w:val="18"/>
              </w:rPr>
            </w:pPr>
            <w:r w:rsidRPr="005734B8">
              <w:rPr>
                <w:rFonts w:ascii="Calibri" w:hAnsi="Calibri" w:cs="Calibri"/>
                <w:sz w:val="18"/>
                <w:lang w:val="en-AU"/>
              </w:rPr>
              <w:t>ICT</w:t>
            </w:r>
          </w:p>
        </w:tc>
        <w:tc>
          <w:tcPr>
            <w:tcW w:w="5732" w:type="dxa"/>
            <w:tcBorders>
              <w:top w:val="single" w:sz="4" w:space="0" w:color="auto"/>
              <w:bottom w:val="single" w:sz="4" w:space="0" w:color="auto"/>
            </w:tcBorders>
          </w:tcPr>
          <w:p w14:paraId="35F42D91" w14:textId="0A24A620"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Information and Communication Technology</w:t>
            </w:r>
          </w:p>
        </w:tc>
      </w:tr>
      <w:tr w:rsidR="00444622" w:rsidRPr="005734B8" w14:paraId="0AB00630" w14:textId="77777777" w:rsidTr="003A1CE2">
        <w:trPr>
          <w:cantSplit/>
          <w:trHeight w:val="277"/>
        </w:trPr>
        <w:tc>
          <w:tcPr>
            <w:tcW w:w="1270" w:type="dxa"/>
            <w:tcBorders>
              <w:top w:val="single" w:sz="4" w:space="0" w:color="auto"/>
              <w:bottom w:val="single" w:sz="4" w:space="0" w:color="auto"/>
            </w:tcBorders>
            <w:shd w:val="clear" w:color="auto" w:fill="auto"/>
          </w:tcPr>
          <w:p w14:paraId="42EBF23F" w14:textId="5A6444BF" w:rsidR="00444622" w:rsidRPr="005734B8" w:rsidRDefault="00444622" w:rsidP="003A1CE2">
            <w:pPr>
              <w:pStyle w:val="ESTablebody"/>
              <w:spacing w:beforeLines="20" w:before="48" w:afterLines="20" w:after="48"/>
              <w:rPr>
                <w:rFonts w:ascii="Calibri" w:hAnsi="Calibri" w:cs="Calibri"/>
                <w:sz w:val="18"/>
              </w:rPr>
            </w:pPr>
            <w:r w:rsidRPr="005734B8">
              <w:rPr>
                <w:rFonts w:ascii="Calibri" w:hAnsi="Calibri" w:cs="Calibri"/>
                <w:sz w:val="18"/>
                <w:lang w:val="en-AU"/>
              </w:rPr>
              <w:lastRenderedPageBreak/>
              <w:t>IMTC</w:t>
            </w:r>
          </w:p>
        </w:tc>
        <w:tc>
          <w:tcPr>
            <w:tcW w:w="5732" w:type="dxa"/>
            <w:tcBorders>
              <w:top w:val="single" w:sz="4" w:space="0" w:color="auto"/>
              <w:bottom w:val="single" w:sz="4" w:space="0" w:color="auto"/>
            </w:tcBorders>
          </w:tcPr>
          <w:p w14:paraId="70B92AE8" w14:textId="53AE4534"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Information Management and Technology Committee</w:t>
            </w:r>
          </w:p>
        </w:tc>
      </w:tr>
      <w:tr w:rsidR="006C61FE" w:rsidRPr="005734B8" w14:paraId="431D87B8" w14:textId="77777777" w:rsidTr="003A1CE2">
        <w:trPr>
          <w:cantSplit/>
          <w:trHeight w:val="277"/>
        </w:trPr>
        <w:tc>
          <w:tcPr>
            <w:tcW w:w="1270" w:type="dxa"/>
            <w:tcBorders>
              <w:top w:val="single" w:sz="4" w:space="0" w:color="auto"/>
              <w:bottom w:val="single" w:sz="4" w:space="0" w:color="auto"/>
            </w:tcBorders>
            <w:shd w:val="clear" w:color="auto" w:fill="auto"/>
          </w:tcPr>
          <w:p w14:paraId="5F1E9F43" w14:textId="4FF394AF" w:rsidR="006C61FE" w:rsidRPr="005734B8" w:rsidRDefault="006C61FE"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IC</w:t>
            </w:r>
          </w:p>
        </w:tc>
        <w:tc>
          <w:tcPr>
            <w:tcW w:w="5732" w:type="dxa"/>
            <w:tcBorders>
              <w:top w:val="single" w:sz="4" w:space="0" w:color="auto"/>
              <w:bottom w:val="single" w:sz="4" w:space="0" w:color="auto"/>
            </w:tcBorders>
          </w:tcPr>
          <w:p w14:paraId="34D0A382" w14:textId="6538DFA6" w:rsidR="006C61FE" w:rsidRPr="005734B8" w:rsidRDefault="006C61FE"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Integrity Committee</w:t>
            </w:r>
          </w:p>
        </w:tc>
      </w:tr>
      <w:tr w:rsidR="00E452C6" w:rsidRPr="005734B8" w14:paraId="6B2671CD" w14:textId="77777777" w:rsidTr="003A1CE2">
        <w:trPr>
          <w:cantSplit/>
          <w:trHeight w:val="277"/>
        </w:trPr>
        <w:tc>
          <w:tcPr>
            <w:tcW w:w="1270" w:type="dxa"/>
            <w:tcBorders>
              <w:top w:val="single" w:sz="4" w:space="0" w:color="auto"/>
              <w:bottom w:val="single" w:sz="4" w:space="0" w:color="auto"/>
            </w:tcBorders>
            <w:shd w:val="clear" w:color="auto" w:fill="auto"/>
          </w:tcPr>
          <w:p w14:paraId="53C26199" w14:textId="1899EBF1" w:rsidR="00E452C6" w:rsidRPr="005734B8" w:rsidRDefault="00E452C6"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IPDC</w:t>
            </w:r>
          </w:p>
        </w:tc>
        <w:tc>
          <w:tcPr>
            <w:tcW w:w="5732" w:type="dxa"/>
            <w:tcBorders>
              <w:top w:val="single" w:sz="4" w:space="0" w:color="auto"/>
              <w:bottom w:val="single" w:sz="4" w:space="0" w:color="auto"/>
            </w:tcBorders>
          </w:tcPr>
          <w:p w14:paraId="63270638" w14:textId="6783FA5A" w:rsidR="00E452C6" w:rsidRPr="005734B8" w:rsidRDefault="00E452C6"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Infrastructure Planning and Delivery Committee</w:t>
            </w:r>
          </w:p>
        </w:tc>
      </w:tr>
      <w:tr w:rsidR="00FE4A9A" w:rsidRPr="005734B8" w14:paraId="3C607FD9" w14:textId="77777777" w:rsidTr="003A1CE2">
        <w:trPr>
          <w:cantSplit/>
          <w:trHeight w:val="277"/>
        </w:trPr>
        <w:tc>
          <w:tcPr>
            <w:tcW w:w="1270" w:type="dxa"/>
            <w:tcBorders>
              <w:top w:val="single" w:sz="4" w:space="0" w:color="auto"/>
              <w:bottom w:val="single" w:sz="4" w:space="0" w:color="auto"/>
            </w:tcBorders>
            <w:shd w:val="clear" w:color="auto" w:fill="auto"/>
          </w:tcPr>
          <w:p w14:paraId="7D0A7FFE" w14:textId="1CBD6651" w:rsidR="00FE4A9A" w:rsidRPr="005734B8" w:rsidRDefault="00FE4A9A"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LGBTIQ+</w:t>
            </w:r>
          </w:p>
        </w:tc>
        <w:tc>
          <w:tcPr>
            <w:tcW w:w="5732" w:type="dxa"/>
            <w:tcBorders>
              <w:top w:val="single" w:sz="4" w:space="0" w:color="auto"/>
              <w:bottom w:val="single" w:sz="4" w:space="0" w:color="auto"/>
            </w:tcBorders>
          </w:tcPr>
          <w:p w14:paraId="16DD21A5" w14:textId="5AD20103" w:rsidR="00FE4A9A" w:rsidRPr="005734B8" w:rsidRDefault="00FE4A9A"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Lesbian, gay, bisexual, trans, intersex, queer</w:t>
            </w:r>
          </w:p>
        </w:tc>
      </w:tr>
      <w:tr w:rsidR="00E452C6" w:rsidRPr="005734B8" w14:paraId="20D3308B" w14:textId="77777777" w:rsidTr="003A1CE2">
        <w:trPr>
          <w:cantSplit/>
          <w:trHeight w:val="277"/>
        </w:trPr>
        <w:tc>
          <w:tcPr>
            <w:tcW w:w="1270" w:type="dxa"/>
            <w:tcBorders>
              <w:top w:val="single" w:sz="4" w:space="0" w:color="auto"/>
              <w:bottom w:val="single" w:sz="4" w:space="0" w:color="auto"/>
            </w:tcBorders>
            <w:shd w:val="clear" w:color="auto" w:fill="auto"/>
          </w:tcPr>
          <w:p w14:paraId="2A9B4442" w14:textId="7DC72A8A" w:rsidR="00E452C6" w:rsidRPr="005734B8" w:rsidRDefault="00E452C6"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MPSG</w:t>
            </w:r>
          </w:p>
        </w:tc>
        <w:tc>
          <w:tcPr>
            <w:tcW w:w="5732" w:type="dxa"/>
            <w:tcBorders>
              <w:top w:val="single" w:sz="4" w:space="0" w:color="auto"/>
              <w:bottom w:val="single" w:sz="4" w:space="0" w:color="auto"/>
            </w:tcBorders>
          </w:tcPr>
          <w:p w14:paraId="21965F4F" w14:textId="094B18FD" w:rsidR="00E452C6" w:rsidRPr="005734B8" w:rsidRDefault="00E452C6"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Major Project Skills</w:t>
            </w:r>
            <w:r w:rsidR="000370F8" w:rsidRPr="005734B8">
              <w:rPr>
                <w:rStyle w:val="Heading1Char"/>
                <w:rFonts w:ascii="Calibri" w:hAnsi="Calibri" w:cs="Calibri"/>
                <w:b w:val="0"/>
                <w:i/>
                <w:color w:val="5F6368"/>
                <w:sz w:val="21"/>
                <w:szCs w:val="21"/>
                <w:shd w:val="clear" w:color="auto" w:fill="FFFFFF"/>
              </w:rPr>
              <w:t xml:space="preserve"> </w:t>
            </w:r>
            <w:r w:rsidR="000370F8" w:rsidRPr="005734B8">
              <w:rPr>
                <w:rFonts w:ascii="Calibri" w:hAnsi="Calibri" w:cs="Calibri"/>
                <w:sz w:val="18"/>
                <w:lang w:val="en-AU"/>
              </w:rPr>
              <w:t>Guarantee</w:t>
            </w:r>
          </w:p>
        </w:tc>
      </w:tr>
      <w:tr w:rsidR="00FE4A9A" w:rsidRPr="005734B8" w14:paraId="43B4F7DF" w14:textId="77777777" w:rsidTr="003A1CE2">
        <w:trPr>
          <w:cantSplit/>
          <w:trHeight w:val="277"/>
        </w:trPr>
        <w:tc>
          <w:tcPr>
            <w:tcW w:w="1270" w:type="dxa"/>
            <w:tcBorders>
              <w:top w:val="single" w:sz="4" w:space="0" w:color="auto"/>
              <w:bottom w:val="single" w:sz="4" w:space="0" w:color="auto"/>
            </w:tcBorders>
            <w:shd w:val="clear" w:color="auto" w:fill="auto"/>
          </w:tcPr>
          <w:p w14:paraId="675EED95" w14:textId="1190E2C2" w:rsidR="00FE4A9A" w:rsidRPr="005734B8" w:rsidRDefault="00FE4A9A"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NABERS</w:t>
            </w:r>
          </w:p>
        </w:tc>
        <w:tc>
          <w:tcPr>
            <w:tcW w:w="5732" w:type="dxa"/>
            <w:tcBorders>
              <w:top w:val="single" w:sz="4" w:space="0" w:color="auto"/>
              <w:bottom w:val="single" w:sz="4" w:space="0" w:color="auto"/>
            </w:tcBorders>
          </w:tcPr>
          <w:p w14:paraId="3FCD57FA" w14:textId="7850A507" w:rsidR="00FE4A9A" w:rsidRPr="005734B8" w:rsidRDefault="00FE4A9A"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National Australian Built Environment Rating System</w:t>
            </w:r>
          </w:p>
        </w:tc>
      </w:tr>
      <w:tr w:rsidR="00444622" w:rsidRPr="005734B8" w14:paraId="0EEE7754" w14:textId="77777777" w:rsidTr="003A1CE2">
        <w:trPr>
          <w:cantSplit/>
          <w:trHeight w:val="277"/>
        </w:trPr>
        <w:tc>
          <w:tcPr>
            <w:tcW w:w="1270" w:type="dxa"/>
            <w:tcBorders>
              <w:top w:val="single" w:sz="4" w:space="0" w:color="auto"/>
              <w:bottom w:val="single" w:sz="4" w:space="0" w:color="auto"/>
            </w:tcBorders>
            <w:shd w:val="clear" w:color="auto" w:fill="auto"/>
          </w:tcPr>
          <w:p w14:paraId="59AC1025" w14:textId="31C70790" w:rsidR="00444622" w:rsidRPr="005734B8" w:rsidRDefault="00444622" w:rsidP="003A1CE2">
            <w:pPr>
              <w:pStyle w:val="ESTablebody"/>
              <w:spacing w:beforeLines="20" w:before="48" w:afterLines="20" w:after="48"/>
              <w:rPr>
                <w:rFonts w:ascii="Calibri" w:hAnsi="Calibri" w:cs="Calibri"/>
                <w:sz w:val="18"/>
              </w:rPr>
            </w:pPr>
            <w:r w:rsidRPr="005734B8">
              <w:rPr>
                <w:rFonts w:ascii="Calibri" w:hAnsi="Calibri" w:cs="Calibri"/>
                <w:sz w:val="18"/>
                <w:lang w:val="en-AU"/>
              </w:rPr>
              <w:t>NAPLAN</w:t>
            </w:r>
          </w:p>
        </w:tc>
        <w:tc>
          <w:tcPr>
            <w:tcW w:w="5732" w:type="dxa"/>
            <w:tcBorders>
              <w:top w:val="single" w:sz="4" w:space="0" w:color="auto"/>
              <w:bottom w:val="single" w:sz="4" w:space="0" w:color="auto"/>
            </w:tcBorders>
          </w:tcPr>
          <w:p w14:paraId="38F44B03" w14:textId="1DF10802"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National Assessment Program</w:t>
            </w:r>
            <w:r w:rsidR="004016DD" w:rsidRPr="005734B8">
              <w:rPr>
                <w:rFonts w:ascii="Calibri" w:hAnsi="Calibri" w:cs="Calibri"/>
                <w:sz w:val="18"/>
                <w:lang w:val="en-AU"/>
              </w:rPr>
              <w:t xml:space="preserve"> of </w:t>
            </w:r>
            <w:r w:rsidRPr="005734B8">
              <w:rPr>
                <w:rFonts w:ascii="Calibri" w:hAnsi="Calibri" w:cs="Calibri"/>
                <w:sz w:val="18"/>
                <w:lang w:val="en-AU"/>
              </w:rPr>
              <w:t>Literacy and Numeracy</w:t>
            </w:r>
          </w:p>
        </w:tc>
      </w:tr>
      <w:tr w:rsidR="00444622" w:rsidRPr="005734B8" w14:paraId="6298BBA8" w14:textId="77777777" w:rsidTr="003A1CE2">
        <w:trPr>
          <w:cantSplit/>
          <w:trHeight w:val="277"/>
        </w:trPr>
        <w:tc>
          <w:tcPr>
            <w:tcW w:w="1270" w:type="dxa"/>
            <w:tcBorders>
              <w:top w:val="single" w:sz="4" w:space="0" w:color="auto"/>
              <w:bottom w:val="single" w:sz="4" w:space="0" w:color="auto"/>
            </w:tcBorders>
            <w:shd w:val="clear" w:color="auto" w:fill="auto"/>
          </w:tcPr>
          <w:p w14:paraId="44A90427" w14:textId="74E08735"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NQSA</w:t>
            </w:r>
          </w:p>
        </w:tc>
        <w:tc>
          <w:tcPr>
            <w:tcW w:w="5732" w:type="dxa"/>
            <w:tcBorders>
              <w:top w:val="single" w:sz="4" w:space="0" w:color="auto"/>
              <w:bottom w:val="single" w:sz="4" w:space="0" w:color="auto"/>
            </w:tcBorders>
          </w:tcPr>
          <w:p w14:paraId="23111D2B" w14:textId="4BC3054A"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National Quality Standard Area</w:t>
            </w:r>
          </w:p>
        </w:tc>
      </w:tr>
      <w:tr w:rsidR="00F12C53" w:rsidRPr="005734B8" w14:paraId="7783FE19" w14:textId="77777777" w:rsidTr="003A1CE2">
        <w:trPr>
          <w:cantSplit/>
          <w:trHeight w:val="277"/>
        </w:trPr>
        <w:tc>
          <w:tcPr>
            <w:tcW w:w="1270" w:type="dxa"/>
            <w:tcBorders>
              <w:top w:val="single" w:sz="4" w:space="0" w:color="auto"/>
              <w:bottom w:val="single" w:sz="4" w:space="0" w:color="auto"/>
            </w:tcBorders>
            <w:shd w:val="clear" w:color="auto" w:fill="auto"/>
          </w:tcPr>
          <w:p w14:paraId="6C956657" w14:textId="6F31BF66" w:rsidR="00F12C53" w:rsidRPr="005734B8" w:rsidRDefault="00F12C53"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OHS</w:t>
            </w:r>
          </w:p>
        </w:tc>
        <w:tc>
          <w:tcPr>
            <w:tcW w:w="5732" w:type="dxa"/>
            <w:tcBorders>
              <w:top w:val="single" w:sz="4" w:space="0" w:color="auto"/>
              <w:bottom w:val="single" w:sz="4" w:space="0" w:color="auto"/>
            </w:tcBorders>
          </w:tcPr>
          <w:p w14:paraId="3A8410C4" w14:textId="5AE78A5A" w:rsidR="00F12C53" w:rsidRPr="005734B8" w:rsidRDefault="00F12C53"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Occupational Health and Safety</w:t>
            </w:r>
          </w:p>
        </w:tc>
      </w:tr>
      <w:tr w:rsidR="00444622" w:rsidRPr="005734B8" w14:paraId="7344C0EE" w14:textId="77777777" w:rsidTr="003A1CE2">
        <w:trPr>
          <w:cantSplit/>
          <w:trHeight w:val="277"/>
        </w:trPr>
        <w:tc>
          <w:tcPr>
            <w:tcW w:w="1270" w:type="dxa"/>
            <w:tcBorders>
              <w:top w:val="single" w:sz="4" w:space="0" w:color="auto"/>
              <w:bottom w:val="single" w:sz="4" w:space="0" w:color="auto"/>
            </w:tcBorders>
            <w:shd w:val="clear" w:color="auto" w:fill="auto"/>
          </w:tcPr>
          <w:p w14:paraId="2DC56F8A" w14:textId="6B5E6ED5"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OHSMS</w:t>
            </w:r>
          </w:p>
        </w:tc>
        <w:tc>
          <w:tcPr>
            <w:tcW w:w="5732" w:type="dxa"/>
            <w:tcBorders>
              <w:top w:val="single" w:sz="4" w:space="0" w:color="auto"/>
              <w:bottom w:val="single" w:sz="4" w:space="0" w:color="auto"/>
            </w:tcBorders>
          </w:tcPr>
          <w:p w14:paraId="0A54D38F" w14:textId="20CECC3B"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Occupational Health and Safety Management System</w:t>
            </w:r>
          </w:p>
        </w:tc>
      </w:tr>
      <w:tr w:rsidR="00444622" w:rsidRPr="005734B8" w14:paraId="5727B931" w14:textId="77777777" w:rsidTr="003A1CE2">
        <w:trPr>
          <w:cantSplit/>
          <w:trHeight w:val="277"/>
        </w:trPr>
        <w:tc>
          <w:tcPr>
            <w:tcW w:w="1270" w:type="dxa"/>
            <w:tcBorders>
              <w:top w:val="single" w:sz="4" w:space="0" w:color="auto"/>
              <w:bottom w:val="single" w:sz="4" w:space="0" w:color="auto"/>
            </w:tcBorders>
            <w:shd w:val="clear" w:color="auto" w:fill="auto"/>
          </w:tcPr>
          <w:p w14:paraId="2FAA5C34" w14:textId="63BA64FF" w:rsidR="00444622" w:rsidRPr="005734B8" w:rsidRDefault="00824D71"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PES</w:t>
            </w:r>
          </w:p>
        </w:tc>
        <w:tc>
          <w:tcPr>
            <w:tcW w:w="5732" w:type="dxa"/>
            <w:tcBorders>
              <w:top w:val="single" w:sz="4" w:space="0" w:color="auto"/>
              <w:bottom w:val="single" w:sz="4" w:space="0" w:color="auto"/>
            </w:tcBorders>
          </w:tcPr>
          <w:p w14:paraId="35A0068A" w14:textId="26963E02"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 xml:space="preserve">People and Executive Services </w:t>
            </w:r>
            <w:r w:rsidR="005343A9" w:rsidRPr="005734B8">
              <w:rPr>
                <w:rFonts w:ascii="Calibri" w:hAnsi="Calibri" w:cs="Calibri"/>
                <w:sz w:val="18"/>
                <w:lang w:val="en-AU"/>
              </w:rPr>
              <w:t>group</w:t>
            </w:r>
          </w:p>
        </w:tc>
      </w:tr>
      <w:tr w:rsidR="004E497E" w:rsidRPr="005734B8" w14:paraId="128586CC" w14:textId="77777777" w:rsidTr="003A1CE2">
        <w:trPr>
          <w:cantSplit/>
          <w:trHeight w:val="277"/>
        </w:trPr>
        <w:tc>
          <w:tcPr>
            <w:tcW w:w="1270" w:type="dxa"/>
            <w:tcBorders>
              <w:top w:val="single" w:sz="4" w:space="0" w:color="auto"/>
              <w:bottom w:val="single" w:sz="4" w:space="0" w:color="auto"/>
            </w:tcBorders>
            <w:shd w:val="clear" w:color="auto" w:fill="auto"/>
          </w:tcPr>
          <w:p w14:paraId="409357EE" w14:textId="4911EEF2" w:rsidR="004E497E" w:rsidRPr="005734B8" w:rsidRDefault="004E497E"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PID Act</w:t>
            </w:r>
          </w:p>
        </w:tc>
        <w:tc>
          <w:tcPr>
            <w:tcW w:w="5732" w:type="dxa"/>
            <w:tcBorders>
              <w:top w:val="single" w:sz="4" w:space="0" w:color="auto"/>
              <w:bottom w:val="single" w:sz="4" w:space="0" w:color="auto"/>
            </w:tcBorders>
          </w:tcPr>
          <w:p w14:paraId="6FA11A94" w14:textId="0931B1B7" w:rsidR="004E497E" w:rsidRPr="005734B8" w:rsidRDefault="004E497E" w:rsidP="003A1CE2">
            <w:pPr>
              <w:pStyle w:val="ESTablebody"/>
              <w:spacing w:beforeLines="20" w:before="48" w:afterLines="20" w:after="48"/>
              <w:rPr>
                <w:rFonts w:ascii="Calibri" w:hAnsi="Calibri" w:cs="Calibri"/>
                <w:i/>
                <w:iCs/>
                <w:sz w:val="18"/>
                <w:lang w:val="en-AU"/>
              </w:rPr>
            </w:pPr>
            <w:r w:rsidRPr="005734B8">
              <w:rPr>
                <w:rFonts w:ascii="Calibri" w:hAnsi="Calibri" w:cs="Calibri"/>
                <w:i/>
                <w:iCs/>
                <w:sz w:val="18"/>
                <w:lang w:val="en-AU"/>
              </w:rPr>
              <w:t>Public Interest Disclosures Act</w:t>
            </w:r>
            <w:r w:rsidR="00BF7BA9" w:rsidRPr="005734B8">
              <w:rPr>
                <w:rFonts w:ascii="Calibri" w:hAnsi="Calibri" w:cs="Calibri"/>
                <w:i/>
                <w:iCs/>
                <w:sz w:val="18"/>
                <w:lang w:val="en-AU"/>
              </w:rPr>
              <w:t xml:space="preserve"> 2012</w:t>
            </w:r>
          </w:p>
        </w:tc>
      </w:tr>
      <w:tr w:rsidR="000732FD" w:rsidRPr="005734B8" w14:paraId="458A5E54" w14:textId="77777777" w:rsidTr="003A1CE2">
        <w:trPr>
          <w:cantSplit/>
          <w:trHeight w:val="277"/>
        </w:trPr>
        <w:tc>
          <w:tcPr>
            <w:tcW w:w="1270" w:type="dxa"/>
            <w:tcBorders>
              <w:top w:val="single" w:sz="4" w:space="0" w:color="auto"/>
              <w:bottom w:val="single" w:sz="4" w:space="0" w:color="auto"/>
            </w:tcBorders>
            <w:shd w:val="clear" w:color="auto" w:fill="auto"/>
          </w:tcPr>
          <w:p w14:paraId="306BA6CD" w14:textId="7530A4E0" w:rsidR="000732FD" w:rsidRPr="005734B8" w:rsidRDefault="000732FD"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PIRLS</w:t>
            </w:r>
          </w:p>
        </w:tc>
        <w:tc>
          <w:tcPr>
            <w:tcW w:w="5732" w:type="dxa"/>
            <w:tcBorders>
              <w:top w:val="single" w:sz="4" w:space="0" w:color="auto"/>
              <w:bottom w:val="single" w:sz="4" w:space="0" w:color="auto"/>
            </w:tcBorders>
          </w:tcPr>
          <w:p w14:paraId="2CEAC4BD" w14:textId="4A241E15" w:rsidR="000732FD" w:rsidRPr="005734B8" w:rsidRDefault="000732FD"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Progress in International Reading Literacy Study</w:t>
            </w:r>
          </w:p>
        </w:tc>
      </w:tr>
      <w:tr w:rsidR="00444622" w:rsidRPr="005734B8" w14:paraId="462ACA2F" w14:textId="77777777" w:rsidTr="003A1CE2">
        <w:trPr>
          <w:cantSplit/>
          <w:trHeight w:val="277"/>
        </w:trPr>
        <w:tc>
          <w:tcPr>
            <w:tcW w:w="1270" w:type="dxa"/>
            <w:tcBorders>
              <w:top w:val="single" w:sz="4" w:space="0" w:color="auto"/>
              <w:bottom w:val="single" w:sz="4" w:space="0" w:color="auto"/>
            </w:tcBorders>
            <w:shd w:val="clear" w:color="auto" w:fill="auto"/>
          </w:tcPr>
          <w:p w14:paraId="29F87D92" w14:textId="34DA9581"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PISA</w:t>
            </w:r>
          </w:p>
        </w:tc>
        <w:tc>
          <w:tcPr>
            <w:tcW w:w="5732" w:type="dxa"/>
            <w:tcBorders>
              <w:top w:val="single" w:sz="4" w:space="0" w:color="auto"/>
              <w:bottom w:val="single" w:sz="4" w:space="0" w:color="auto"/>
            </w:tcBorders>
          </w:tcPr>
          <w:p w14:paraId="3CF60BAD" w14:textId="40A64896"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Programme for International Student Assessment</w:t>
            </w:r>
          </w:p>
        </w:tc>
      </w:tr>
      <w:tr w:rsidR="00444622" w:rsidRPr="005734B8" w14:paraId="1738AFE8" w14:textId="77777777" w:rsidTr="003A1CE2">
        <w:trPr>
          <w:cantSplit/>
          <w:trHeight w:val="277"/>
        </w:trPr>
        <w:tc>
          <w:tcPr>
            <w:tcW w:w="1270" w:type="dxa"/>
            <w:tcBorders>
              <w:top w:val="single" w:sz="4" w:space="0" w:color="auto"/>
              <w:bottom w:val="single" w:sz="4" w:space="0" w:color="auto"/>
            </w:tcBorders>
            <w:shd w:val="clear" w:color="auto" w:fill="auto"/>
          </w:tcPr>
          <w:p w14:paraId="3A7EDD65" w14:textId="6FBBA6DA"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PPC</w:t>
            </w:r>
          </w:p>
        </w:tc>
        <w:tc>
          <w:tcPr>
            <w:tcW w:w="5732" w:type="dxa"/>
            <w:tcBorders>
              <w:top w:val="single" w:sz="4" w:space="0" w:color="auto"/>
              <w:bottom w:val="single" w:sz="4" w:space="0" w:color="auto"/>
            </w:tcBorders>
          </w:tcPr>
          <w:p w14:paraId="30005138" w14:textId="0CFCE0AD"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Procurement and Probity Committee</w:t>
            </w:r>
          </w:p>
        </w:tc>
      </w:tr>
      <w:tr w:rsidR="00FA1933" w:rsidRPr="005734B8" w14:paraId="207871EB" w14:textId="77777777" w:rsidTr="003A1CE2">
        <w:trPr>
          <w:cantSplit/>
          <w:trHeight w:val="277"/>
        </w:trPr>
        <w:tc>
          <w:tcPr>
            <w:tcW w:w="1270" w:type="dxa"/>
            <w:tcBorders>
              <w:top w:val="single" w:sz="4" w:space="0" w:color="auto"/>
              <w:bottom w:val="single" w:sz="4" w:space="0" w:color="auto"/>
            </w:tcBorders>
            <w:shd w:val="clear" w:color="auto" w:fill="auto"/>
          </w:tcPr>
          <w:p w14:paraId="7A126A4E" w14:textId="04AD3C36" w:rsidR="00FA1933" w:rsidRPr="005734B8" w:rsidRDefault="00FA1933"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PPP</w:t>
            </w:r>
          </w:p>
        </w:tc>
        <w:tc>
          <w:tcPr>
            <w:tcW w:w="5732" w:type="dxa"/>
            <w:tcBorders>
              <w:top w:val="single" w:sz="4" w:space="0" w:color="auto"/>
              <w:bottom w:val="single" w:sz="4" w:space="0" w:color="auto"/>
            </w:tcBorders>
          </w:tcPr>
          <w:p w14:paraId="2F851B63" w14:textId="51000FA2" w:rsidR="00FA1933" w:rsidRPr="005734B8" w:rsidRDefault="00FA1933"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Public Private Partnership</w:t>
            </w:r>
          </w:p>
        </w:tc>
      </w:tr>
      <w:tr w:rsidR="00447A32" w:rsidRPr="005734B8" w14:paraId="5356F91B" w14:textId="77777777" w:rsidTr="003A1CE2">
        <w:trPr>
          <w:cantSplit/>
          <w:trHeight w:val="277"/>
        </w:trPr>
        <w:tc>
          <w:tcPr>
            <w:tcW w:w="1270" w:type="dxa"/>
            <w:tcBorders>
              <w:top w:val="single" w:sz="4" w:space="0" w:color="auto"/>
              <w:bottom w:val="single" w:sz="4" w:space="0" w:color="auto"/>
            </w:tcBorders>
            <w:shd w:val="clear" w:color="auto" w:fill="auto"/>
          </w:tcPr>
          <w:p w14:paraId="02224EC0" w14:textId="0E435552" w:rsidR="00447A32" w:rsidRPr="005734B8" w:rsidRDefault="00447A3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PSP</w:t>
            </w:r>
          </w:p>
        </w:tc>
        <w:tc>
          <w:tcPr>
            <w:tcW w:w="5732" w:type="dxa"/>
            <w:tcBorders>
              <w:top w:val="single" w:sz="4" w:space="0" w:color="auto"/>
              <w:bottom w:val="single" w:sz="4" w:space="0" w:color="auto"/>
            </w:tcBorders>
          </w:tcPr>
          <w:p w14:paraId="7933CD46" w14:textId="7EC53A98" w:rsidR="00447A32" w:rsidRPr="005734B8" w:rsidRDefault="00447A3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Policy, Strategy and Performance group</w:t>
            </w:r>
          </w:p>
        </w:tc>
      </w:tr>
      <w:tr w:rsidR="00444622" w:rsidRPr="005734B8" w14:paraId="3786A2D4" w14:textId="77777777" w:rsidTr="003A1CE2">
        <w:trPr>
          <w:cantSplit/>
          <w:trHeight w:val="277"/>
        </w:trPr>
        <w:tc>
          <w:tcPr>
            <w:tcW w:w="1270" w:type="dxa"/>
            <w:tcBorders>
              <w:top w:val="single" w:sz="4" w:space="0" w:color="auto"/>
              <w:bottom w:val="single" w:sz="4" w:space="0" w:color="auto"/>
            </w:tcBorders>
            <w:shd w:val="clear" w:color="auto" w:fill="auto"/>
          </w:tcPr>
          <w:p w14:paraId="0FEA0581" w14:textId="3D89D42D"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RTO</w:t>
            </w:r>
          </w:p>
        </w:tc>
        <w:tc>
          <w:tcPr>
            <w:tcW w:w="5732" w:type="dxa"/>
            <w:tcBorders>
              <w:top w:val="single" w:sz="4" w:space="0" w:color="auto"/>
              <w:bottom w:val="single" w:sz="4" w:space="0" w:color="auto"/>
            </w:tcBorders>
          </w:tcPr>
          <w:p w14:paraId="1FE1E122" w14:textId="6B9D8B1A"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Registered Training Organisation</w:t>
            </w:r>
          </w:p>
        </w:tc>
      </w:tr>
      <w:tr w:rsidR="00E27BE4" w:rsidRPr="005734B8" w14:paraId="3BAF41BD" w14:textId="77777777" w:rsidTr="003A1CE2">
        <w:trPr>
          <w:cantSplit/>
          <w:trHeight w:val="277"/>
        </w:trPr>
        <w:tc>
          <w:tcPr>
            <w:tcW w:w="1270" w:type="dxa"/>
            <w:tcBorders>
              <w:top w:val="single" w:sz="4" w:space="0" w:color="auto"/>
              <w:bottom w:val="single" w:sz="4" w:space="0" w:color="auto"/>
            </w:tcBorders>
            <w:shd w:val="clear" w:color="auto" w:fill="auto"/>
          </w:tcPr>
          <w:p w14:paraId="021C800A" w14:textId="4925E329" w:rsidR="00E27BE4" w:rsidRPr="005734B8" w:rsidRDefault="00E27BE4"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RTW</w:t>
            </w:r>
          </w:p>
        </w:tc>
        <w:tc>
          <w:tcPr>
            <w:tcW w:w="5732" w:type="dxa"/>
            <w:tcBorders>
              <w:top w:val="single" w:sz="4" w:space="0" w:color="auto"/>
              <w:bottom w:val="single" w:sz="4" w:space="0" w:color="auto"/>
            </w:tcBorders>
          </w:tcPr>
          <w:p w14:paraId="1A68A5D9" w14:textId="2F983B4D" w:rsidR="00E27BE4" w:rsidRPr="005734B8" w:rsidRDefault="00E27BE4"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 xml:space="preserve">Return </w:t>
            </w:r>
            <w:r w:rsidR="00E452C6" w:rsidRPr="005734B8">
              <w:rPr>
                <w:rFonts w:ascii="Calibri" w:hAnsi="Calibri" w:cs="Calibri"/>
                <w:sz w:val="18"/>
                <w:lang w:val="en-AU"/>
              </w:rPr>
              <w:t>t</w:t>
            </w:r>
            <w:r w:rsidRPr="005734B8">
              <w:rPr>
                <w:rFonts w:ascii="Calibri" w:hAnsi="Calibri" w:cs="Calibri"/>
                <w:sz w:val="18"/>
                <w:lang w:val="en-AU"/>
              </w:rPr>
              <w:t>o Work</w:t>
            </w:r>
          </w:p>
        </w:tc>
      </w:tr>
      <w:tr w:rsidR="005343A9" w:rsidRPr="005734B8" w14:paraId="0F3E6858" w14:textId="77777777" w:rsidTr="003A1CE2">
        <w:trPr>
          <w:cantSplit/>
          <w:trHeight w:val="277"/>
        </w:trPr>
        <w:tc>
          <w:tcPr>
            <w:tcW w:w="1270" w:type="dxa"/>
            <w:tcBorders>
              <w:top w:val="single" w:sz="4" w:space="0" w:color="auto"/>
              <w:bottom w:val="single" w:sz="4" w:space="0" w:color="auto"/>
            </w:tcBorders>
            <w:shd w:val="clear" w:color="auto" w:fill="auto"/>
          </w:tcPr>
          <w:p w14:paraId="4A0BEB6D" w14:textId="564D0EA9" w:rsidR="005343A9" w:rsidRPr="005734B8" w:rsidRDefault="005343A9"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SEPS</w:t>
            </w:r>
          </w:p>
        </w:tc>
        <w:tc>
          <w:tcPr>
            <w:tcW w:w="5732" w:type="dxa"/>
            <w:tcBorders>
              <w:top w:val="single" w:sz="4" w:space="0" w:color="auto"/>
              <w:bottom w:val="single" w:sz="4" w:space="0" w:color="auto"/>
            </w:tcBorders>
          </w:tcPr>
          <w:p w14:paraId="46539315" w14:textId="646796FF" w:rsidR="005343A9" w:rsidRPr="005734B8" w:rsidRDefault="005343A9"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School Education Programs and Support group</w:t>
            </w:r>
          </w:p>
        </w:tc>
      </w:tr>
      <w:tr w:rsidR="00E452C6" w:rsidRPr="005734B8" w14:paraId="244052BB" w14:textId="77777777" w:rsidTr="003A1CE2">
        <w:trPr>
          <w:cantSplit/>
          <w:trHeight w:val="277"/>
        </w:trPr>
        <w:tc>
          <w:tcPr>
            <w:tcW w:w="1270" w:type="dxa"/>
            <w:tcBorders>
              <w:top w:val="single" w:sz="4" w:space="0" w:color="auto"/>
              <w:bottom w:val="single" w:sz="4" w:space="0" w:color="auto"/>
            </w:tcBorders>
            <w:shd w:val="clear" w:color="auto" w:fill="auto"/>
          </w:tcPr>
          <w:p w14:paraId="44F89A36" w14:textId="5267FBCA" w:rsidR="00E452C6" w:rsidRPr="005734B8" w:rsidRDefault="00E452C6"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SRS</w:t>
            </w:r>
          </w:p>
        </w:tc>
        <w:tc>
          <w:tcPr>
            <w:tcW w:w="5732" w:type="dxa"/>
            <w:tcBorders>
              <w:top w:val="single" w:sz="4" w:space="0" w:color="auto"/>
              <w:bottom w:val="single" w:sz="4" w:space="0" w:color="auto"/>
            </w:tcBorders>
          </w:tcPr>
          <w:p w14:paraId="1040E28F" w14:textId="600A9A02" w:rsidR="00E452C6" w:rsidRPr="005734B8" w:rsidRDefault="00E452C6"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Schools and Regional Services group</w:t>
            </w:r>
          </w:p>
        </w:tc>
      </w:tr>
      <w:tr w:rsidR="00FE4A9A" w:rsidRPr="005734B8" w14:paraId="70758EA0" w14:textId="77777777" w:rsidTr="003A1CE2">
        <w:trPr>
          <w:cantSplit/>
          <w:trHeight w:val="277"/>
        </w:trPr>
        <w:tc>
          <w:tcPr>
            <w:tcW w:w="1270" w:type="dxa"/>
            <w:tcBorders>
              <w:top w:val="single" w:sz="4" w:space="0" w:color="auto"/>
              <w:bottom w:val="single" w:sz="4" w:space="0" w:color="auto"/>
            </w:tcBorders>
            <w:shd w:val="clear" w:color="auto" w:fill="auto"/>
          </w:tcPr>
          <w:p w14:paraId="3CB5F1EC" w14:textId="0AC92C1D" w:rsidR="00FE4A9A" w:rsidRPr="005734B8" w:rsidRDefault="00FE4A9A"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STEM</w:t>
            </w:r>
          </w:p>
        </w:tc>
        <w:tc>
          <w:tcPr>
            <w:tcW w:w="5732" w:type="dxa"/>
            <w:tcBorders>
              <w:top w:val="single" w:sz="4" w:space="0" w:color="auto"/>
              <w:bottom w:val="single" w:sz="4" w:space="0" w:color="auto"/>
            </w:tcBorders>
          </w:tcPr>
          <w:p w14:paraId="2B0EC3AD" w14:textId="55C5E3B8" w:rsidR="00FE4A9A" w:rsidRPr="005734B8" w:rsidRDefault="00FE4A9A"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Science, technology engineering and mathematics</w:t>
            </w:r>
          </w:p>
        </w:tc>
      </w:tr>
      <w:tr w:rsidR="00444622" w:rsidRPr="005734B8" w14:paraId="30AD8496" w14:textId="77777777" w:rsidTr="003A1CE2">
        <w:trPr>
          <w:cantSplit/>
          <w:trHeight w:val="277"/>
        </w:trPr>
        <w:tc>
          <w:tcPr>
            <w:tcW w:w="1270" w:type="dxa"/>
            <w:tcBorders>
              <w:top w:val="single" w:sz="4" w:space="0" w:color="auto"/>
              <w:bottom w:val="single" w:sz="4" w:space="0" w:color="auto"/>
            </w:tcBorders>
            <w:shd w:val="clear" w:color="auto" w:fill="auto"/>
          </w:tcPr>
          <w:p w14:paraId="76BB3CE4" w14:textId="1DE51A0D"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TAFE</w:t>
            </w:r>
          </w:p>
        </w:tc>
        <w:tc>
          <w:tcPr>
            <w:tcW w:w="5732" w:type="dxa"/>
            <w:tcBorders>
              <w:top w:val="single" w:sz="4" w:space="0" w:color="auto"/>
              <w:bottom w:val="single" w:sz="4" w:space="0" w:color="auto"/>
            </w:tcBorders>
          </w:tcPr>
          <w:p w14:paraId="081BE1AE" w14:textId="792525AF"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Technical and Further Education</w:t>
            </w:r>
          </w:p>
        </w:tc>
      </w:tr>
      <w:tr w:rsidR="001A3C2A" w:rsidRPr="005734B8" w14:paraId="3FC2C4A9" w14:textId="77777777" w:rsidTr="003A1CE2">
        <w:trPr>
          <w:cantSplit/>
          <w:trHeight w:val="277"/>
        </w:trPr>
        <w:tc>
          <w:tcPr>
            <w:tcW w:w="1270" w:type="dxa"/>
            <w:tcBorders>
              <w:top w:val="single" w:sz="4" w:space="0" w:color="auto"/>
              <w:bottom w:val="single" w:sz="4" w:space="0" w:color="auto"/>
            </w:tcBorders>
            <w:shd w:val="clear" w:color="auto" w:fill="auto"/>
          </w:tcPr>
          <w:p w14:paraId="6652F9E0" w14:textId="1BCF3B48" w:rsidR="001A3C2A" w:rsidRPr="005734B8" w:rsidRDefault="001A3C2A"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TEI</w:t>
            </w:r>
          </w:p>
        </w:tc>
        <w:tc>
          <w:tcPr>
            <w:tcW w:w="5732" w:type="dxa"/>
            <w:tcBorders>
              <w:top w:val="single" w:sz="4" w:space="0" w:color="auto"/>
              <w:bottom w:val="single" w:sz="4" w:space="0" w:color="auto"/>
            </w:tcBorders>
          </w:tcPr>
          <w:p w14:paraId="1848E696" w14:textId="2530501D" w:rsidR="001A3C2A" w:rsidRPr="005734B8" w:rsidRDefault="001A3C2A"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Total Estimated Investment</w:t>
            </w:r>
          </w:p>
        </w:tc>
      </w:tr>
      <w:tr w:rsidR="00444622" w:rsidRPr="005734B8" w14:paraId="4A161078" w14:textId="77777777" w:rsidTr="003A1CE2">
        <w:trPr>
          <w:cantSplit/>
          <w:trHeight w:val="277"/>
        </w:trPr>
        <w:tc>
          <w:tcPr>
            <w:tcW w:w="1270" w:type="dxa"/>
            <w:tcBorders>
              <w:top w:val="single" w:sz="4" w:space="0" w:color="auto"/>
              <w:bottom w:val="single" w:sz="4" w:space="0" w:color="auto"/>
            </w:tcBorders>
            <w:shd w:val="clear" w:color="auto" w:fill="auto"/>
          </w:tcPr>
          <w:p w14:paraId="0BC44710" w14:textId="212396EC"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TIMSS</w:t>
            </w:r>
          </w:p>
        </w:tc>
        <w:tc>
          <w:tcPr>
            <w:tcW w:w="5732" w:type="dxa"/>
            <w:tcBorders>
              <w:top w:val="single" w:sz="4" w:space="0" w:color="auto"/>
              <w:bottom w:val="single" w:sz="4" w:space="0" w:color="auto"/>
            </w:tcBorders>
          </w:tcPr>
          <w:p w14:paraId="03E6D8C1" w14:textId="6D61A862"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Trends in International Mathematics and Science Study</w:t>
            </w:r>
          </w:p>
        </w:tc>
      </w:tr>
      <w:tr w:rsidR="00D81995" w:rsidRPr="005734B8" w14:paraId="2B345B47" w14:textId="77777777" w:rsidTr="003A1CE2">
        <w:trPr>
          <w:cantSplit/>
          <w:trHeight w:val="277"/>
        </w:trPr>
        <w:tc>
          <w:tcPr>
            <w:tcW w:w="1270" w:type="dxa"/>
            <w:tcBorders>
              <w:top w:val="single" w:sz="4" w:space="0" w:color="auto"/>
              <w:bottom w:val="single" w:sz="4" w:space="0" w:color="auto"/>
            </w:tcBorders>
            <w:shd w:val="clear" w:color="auto" w:fill="auto"/>
          </w:tcPr>
          <w:p w14:paraId="0DB0D627" w14:textId="70BD22D7" w:rsidR="00D81995" w:rsidRPr="005734B8" w:rsidRDefault="00D81995"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VCE</w:t>
            </w:r>
          </w:p>
        </w:tc>
        <w:tc>
          <w:tcPr>
            <w:tcW w:w="5732" w:type="dxa"/>
            <w:tcBorders>
              <w:top w:val="single" w:sz="4" w:space="0" w:color="auto"/>
              <w:bottom w:val="single" w:sz="4" w:space="0" w:color="auto"/>
            </w:tcBorders>
          </w:tcPr>
          <w:p w14:paraId="54145602" w14:textId="634A4547" w:rsidR="00D81995" w:rsidRPr="005734B8" w:rsidRDefault="00D81995"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Victorian Certificate of Education</w:t>
            </w:r>
          </w:p>
        </w:tc>
      </w:tr>
      <w:tr w:rsidR="00444622" w:rsidRPr="005734B8" w14:paraId="322C2136" w14:textId="77777777" w:rsidTr="003A1CE2">
        <w:trPr>
          <w:cantSplit/>
          <w:trHeight w:val="277"/>
        </w:trPr>
        <w:tc>
          <w:tcPr>
            <w:tcW w:w="1270" w:type="dxa"/>
            <w:tcBorders>
              <w:top w:val="single" w:sz="4" w:space="0" w:color="auto"/>
              <w:bottom w:val="single" w:sz="4" w:space="0" w:color="auto"/>
            </w:tcBorders>
            <w:shd w:val="clear" w:color="auto" w:fill="auto"/>
          </w:tcPr>
          <w:p w14:paraId="708B65FE" w14:textId="16A83B87"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VCAA</w:t>
            </w:r>
          </w:p>
        </w:tc>
        <w:tc>
          <w:tcPr>
            <w:tcW w:w="5732" w:type="dxa"/>
            <w:tcBorders>
              <w:top w:val="single" w:sz="4" w:space="0" w:color="auto"/>
              <w:bottom w:val="single" w:sz="4" w:space="0" w:color="auto"/>
            </w:tcBorders>
          </w:tcPr>
          <w:p w14:paraId="2ED4BB8F" w14:textId="4F00738C"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Victorian Curriculum and Assessment Authority</w:t>
            </w:r>
          </w:p>
        </w:tc>
      </w:tr>
      <w:tr w:rsidR="00D81995" w:rsidRPr="005734B8" w14:paraId="7C1ABA9C" w14:textId="77777777" w:rsidTr="003A1CE2">
        <w:trPr>
          <w:cantSplit/>
          <w:trHeight w:val="277"/>
        </w:trPr>
        <w:tc>
          <w:tcPr>
            <w:tcW w:w="1270" w:type="dxa"/>
            <w:tcBorders>
              <w:top w:val="single" w:sz="4" w:space="0" w:color="auto"/>
              <w:bottom w:val="single" w:sz="4" w:space="0" w:color="auto"/>
            </w:tcBorders>
            <w:shd w:val="clear" w:color="auto" w:fill="auto"/>
          </w:tcPr>
          <w:p w14:paraId="475D2442" w14:textId="53E16EB7" w:rsidR="00D81995" w:rsidRPr="005734B8" w:rsidRDefault="00D81995"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VCAL</w:t>
            </w:r>
          </w:p>
        </w:tc>
        <w:tc>
          <w:tcPr>
            <w:tcW w:w="5732" w:type="dxa"/>
            <w:tcBorders>
              <w:top w:val="single" w:sz="4" w:space="0" w:color="auto"/>
              <w:bottom w:val="single" w:sz="4" w:space="0" w:color="auto"/>
            </w:tcBorders>
          </w:tcPr>
          <w:p w14:paraId="5B44DE8D" w14:textId="535EB8E7" w:rsidR="00D81995" w:rsidRPr="005734B8" w:rsidRDefault="00D81995"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Victorian Certificate of Applied Learning</w:t>
            </w:r>
          </w:p>
        </w:tc>
      </w:tr>
      <w:tr w:rsidR="00444622" w:rsidRPr="005734B8" w14:paraId="7642557C" w14:textId="77777777" w:rsidTr="003A1CE2">
        <w:trPr>
          <w:cantSplit/>
          <w:trHeight w:val="277"/>
        </w:trPr>
        <w:tc>
          <w:tcPr>
            <w:tcW w:w="1270" w:type="dxa"/>
            <w:tcBorders>
              <w:top w:val="single" w:sz="4" w:space="0" w:color="auto"/>
              <w:bottom w:val="single" w:sz="4" w:space="0" w:color="auto"/>
            </w:tcBorders>
            <w:shd w:val="clear" w:color="auto" w:fill="auto"/>
          </w:tcPr>
          <w:p w14:paraId="19C60558" w14:textId="448212D0"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VET</w:t>
            </w:r>
          </w:p>
        </w:tc>
        <w:tc>
          <w:tcPr>
            <w:tcW w:w="5732" w:type="dxa"/>
            <w:tcBorders>
              <w:top w:val="single" w:sz="4" w:space="0" w:color="auto"/>
              <w:bottom w:val="single" w:sz="4" w:space="0" w:color="auto"/>
            </w:tcBorders>
          </w:tcPr>
          <w:p w14:paraId="5CC7C0F5" w14:textId="4D1881C4"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Vocational Education and Training</w:t>
            </w:r>
          </w:p>
        </w:tc>
      </w:tr>
      <w:tr w:rsidR="00E452C6" w:rsidRPr="005734B8" w14:paraId="11D0DDB3" w14:textId="77777777" w:rsidTr="003A1CE2">
        <w:trPr>
          <w:cantSplit/>
          <w:trHeight w:val="277"/>
        </w:trPr>
        <w:tc>
          <w:tcPr>
            <w:tcW w:w="1270" w:type="dxa"/>
            <w:tcBorders>
              <w:top w:val="single" w:sz="4" w:space="0" w:color="auto"/>
              <w:bottom w:val="single" w:sz="4" w:space="0" w:color="auto"/>
            </w:tcBorders>
            <w:shd w:val="clear" w:color="auto" w:fill="auto"/>
          </w:tcPr>
          <w:p w14:paraId="195EB648" w14:textId="32F5DEDF" w:rsidR="00E452C6" w:rsidRPr="005734B8" w:rsidRDefault="00E452C6"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VIPP</w:t>
            </w:r>
          </w:p>
        </w:tc>
        <w:tc>
          <w:tcPr>
            <w:tcW w:w="5732" w:type="dxa"/>
            <w:tcBorders>
              <w:top w:val="single" w:sz="4" w:space="0" w:color="auto"/>
              <w:bottom w:val="single" w:sz="4" w:space="0" w:color="auto"/>
            </w:tcBorders>
          </w:tcPr>
          <w:p w14:paraId="6183A153" w14:textId="57D565FF" w:rsidR="00E452C6" w:rsidRPr="005734B8" w:rsidRDefault="00E452C6"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Victorian Industry Participation Policy</w:t>
            </w:r>
          </w:p>
        </w:tc>
      </w:tr>
      <w:tr w:rsidR="001A3C2A" w:rsidRPr="005734B8" w14:paraId="4FE30695" w14:textId="77777777" w:rsidTr="003A1CE2">
        <w:trPr>
          <w:cantSplit/>
          <w:trHeight w:val="277"/>
        </w:trPr>
        <w:tc>
          <w:tcPr>
            <w:tcW w:w="1270" w:type="dxa"/>
            <w:tcBorders>
              <w:top w:val="single" w:sz="4" w:space="0" w:color="auto"/>
              <w:bottom w:val="single" w:sz="4" w:space="0" w:color="auto"/>
            </w:tcBorders>
            <w:shd w:val="clear" w:color="auto" w:fill="auto"/>
          </w:tcPr>
          <w:p w14:paraId="19EBD2D8" w14:textId="47F162FB" w:rsidR="001A3C2A" w:rsidRPr="005734B8" w:rsidRDefault="001A3C2A"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VIT</w:t>
            </w:r>
          </w:p>
        </w:tc>
        <w:tc>
          <w:tcPr>
            <w:tcW w:w="5732" w:type="dxa"/>
            <w:tcBorders>
              <w:top w:val="single" w:sz="4" w:space="0" w:color="auto"/>
              <w:bottom w:val="single" w:sz="4" w:space="0" w:color="auto"/>
            </w:tcBorders>
          </w:tcPr>
          <w:p w14:paraId="07046D55" w14:textId="46A65F10" w:rsidR="001A3C2A" w:rsidRPr="005734B8" w:rsidRDefault="001A3C2A"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Victorian Institute of Teaching</w:t>
            </w:r>
          </w:p>
        </w:tc>
      </w:tr>
      <w:tr w:rsidR="00444622" w:rsidRPr="005734B8" w14:paraId="113A047D" w14:textId="77777777" w:rsidTr="003A1CE2">
        <w:trPr>
          <w:cantSplit/>
          <w:trHeight w:val="277"/>
        </w:trPr>
        <w:tc>
          <w:tcPr>
            <w:tcW w:w="1270" w:type="dxa"/>
            <w:tcBorders>
              <w:top w:val="single" w:sz="4" w:space="0" w:color="auto"/>
              <w:bottom w:val="single" w:sz="4" w:space="0" w:color="auto"/>
            </w:tcBorders>
            <w:shd w:val="clear" w:color="auto" w:fill="auto"/>
          </w:tcPr>
          <w:p w14:paraId="742E3CF9" w14:textId="3F987AE3"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VPS</w:t>
            </w:r>
          </w:p>
        </w:tc>
        <w:tc>
          <w:tcPr>
            <w:tcW w:w="5732" w:type="dxa"/>
            <w:tcBorders>
              <w:top w:val="single" w:sz="4" w:space="0" w:color="auto"/>
              <w:bottom w:val="single" w:sz="4" w:space="0" w:color="auto"/>
            </w:tcBorders>
          </w:tcPr>
          <w:p w14:paraId="2CE6117F" w14:textId="57AF2836"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Victorian Public Service</w:t>
            </w:r>
          </w:p>
        </w:tc>
      </w:tr>
      <w:tr w:rsidR="00444622" w:rsidRPr="005734B8" w14:paraId="4A54FA2C" w14:textId="77777777" w:rsidTr="003A1CE2">
        <w:trPr>
          <w:cantSplit/>
          <w:trHeight w:val="277"/>
        </w:trPr>
        <w:tc>
          <w:tcPr>
            <w:tcW w:w="1270" w:type="dxa"/>
            <w:tcBorders>
              <w:top w:val="single" w:sz="4" w:space="0" w:color="auto"/>
              <w:bottom w:val="single" w:sz="4" w:space="0" w:color="auto"/>
            </w:tcBorders>
            <w:shd w:val="clear" w:color="auto" w:fill="auto"/>
          </w:tcPr>
          <w:p w14:paraId="79CAF098" w14:textId="75A67FF9"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VRQA</w:t>
            </w:r>
          </w:p>
        </w:tc>
        <w:tc>
          <w:tcPr>
            <w:tcW w:w="5732" w:type="dxa"/>
            <w:tcBorders>
              <w:top w:val="single" w:sz="4" w:space="0" w:color="auto"/>
              <w:bottom w:val="single" w:sz="4" w:space="0" w:color="auto"/>
            </w:tcBorders>
          </w:tcPr>
          <w:p w14:paraId="797CF878" w14:textId="0F8863ED"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Victorian Registration and Qualifications Authority</w:t>
            </w:r>
          </w:p>
        </w:tc>
      </w:tr>
      <w:tr w:rsidR="00444622" w:rsidRPr="005734B8" w14:paraId="28C54321" w14:textId="77777777" w:rsidTr="003A1CE2">
        <w:trPr>
          <w:cantSplit/>
          <w:trHeight w:val="277"/>
        </w:trPr>
        <w:tc>
          <w:tcPr>
            <w:tcW w:w="1270" w:type="dxa"/>
            <w:tcBorders>
              <w:top w:val="single" w:sz="4" w:space="0" w:color="auto"/>
              <w:bottom w:val="single" w:sz="4" w:space="0" w:color="auto"/>
            </w:tcBorders>
            <w:shd w:val="clear" w:color="auto" w:fill="auto"/>
          </w:tcPr>
          <w:p w14:paraId="390E3716" w14:textId="7E6E474C"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VSBA</w:t>
            </w:r>
          </w:p>
        </w:tc>
        <w:tc>
          <w:tcPr>
            <w:tcW w:w="5732" w:type="dxa"/>
            <w:tcBorders>
              <w:top w:val="single" w:sz="4" w:space="0" w:color="auto"/>
              <w:bottom w:val="single" w:sz="4" w:space="0" w:color="auto"/>
            </w:tcBorders>
          </w:tcPr>
          <w:p w14:paraId="71641D4F" w14:textId="67B22465" w:rsidR="00444622" w:rsidRPr="005734B8" w:rsidRDefault="00444622" w:rsidP="003A1CE2">
            <w:pPr>
              <w:pStyle w:val="ESTablebody"/>
              <w:spacing w:beforeLines="20" w:before="48" w:afterLines="20" w:after="48"/>
              <w:rPr>
                <w:rFonts w:ascii="Calibri" w:hAnsi="Calibri" w:cs="Calibri"/>
                <w:sz w:val="18"/>
                <w:lang w:val="en-AU"/>
              </w:rPr>
            </w:pPr>
            <w:r w:rsidRPr="005734B8">
              <w:rPr>
                <w:rFonts w:ascii="Calibri" w:hAnsi="Calibri" w:cs="Calibri"/>
                <w:sz w:val="18"/>
                <w:lang w:val="en-AU"/>
              </w:rPr>
              <w:t>Victorian School Building Authority</w:t>
            </w:r>
          </w:p>
        </w:tc>
      </w:tr>
    </w:tbl>
    <w:p w14:paraId="44624C19" w14:textId="15A14A49" w:rsidR="009F5C80" w:rsidRPr="005734B8" w:rsidRDefault="009F5C80" w:rsidP="00B955AE">
      <w:pPr>
        <w:pStyle w:val="ESAppendix1"/>
        <w:rPr>
          <w:rFonts w:cs="Calibri"/>
        </w:rPr>
      </w:pPr>
      <w:bookmarkStart w:id="2245" w:name="_Toc11336524"/>
      <w:bookmarkStart w:id="2246" w:name="_Toc14965745"/>
      <w:bookmarkStart w:id="2247" w:name="_Toc15985101"/>
      <w:bookmarkStart w:id="2248" w:name="_Toc15985182"/>
      <w:bookmarkStart w:id="2249" w:name="_Toc19272318"/>
      <w:bookmarkStart w:id="2250" w:name="_Toc19272684"/>
      <w:bookmarkStart w:id="2251" w:name="_Toc19274019"/>
      <w:bookmarkStart w:id="2252" w:name="_Toc48402872"/>
      <w:bookmarkStart w:id="2253" w:name="_Toc48403109"/>
      <w:bookmarkStart w:id="2254" w:name="_Toc51332852"/>
      <w:bookmarkStart w:id="2255" w:name="_Toc80272115"/>
      <w:bookmarkStart w:id="2256" w:name="_Toc80361031"/>
      <w:bookmarkStart w:id="2257" w:name="_Toc81315418"/>
      <w:r w:rsidRPr="005734B8">
        <w:rPr>
          <w:rFonts w:cs="Calibri"/>
        </w:rPr>
        <w:lastRenderedPageBreak/>
        <w:t>Grants and transfer payments (other than contributions by owners)</w:t>
      </w:r>
      <w:bookmarkEnd w:id="2245"/>
      <w:bookmarkEnd w:id="2246"/>
      <w:bookmarkEnd w:id="2247"/>
      <w:bookmarkEnd w:id="2248"/>
      <w:bookmarkEnd w:id="2249"/>
      <w:bookmarkEnd w:id="2250"/>
      <w:bookmarkEnd w:id="2251"/>
      <w:bookmarkEnd w:id="2252"/>
      <w:bookmarkEnd w:id="2253"/>
      <w:bookmarkEnd w:id="2254"/>
      <w:bookmarkEnd w:id="2255"/>
      <w:bookmarkEnd w:id="2256"/>
      <w:bookmarkEnd w:id="2257"/>
    </w:p>
    <w:p w14:paraId="217BD225" w14:textId="77777777" w:rsidR="000E6F40" w:rsidRPr="005734B8" w:rsidRDefault="000E6F40" w:rsidP="000E6F40">
      <w:pPr>
        <w:rPr>
          <w:rFonts w:ascii="Calibri" w:hAnsi="Calibri" w:cs="Calibri"/>
        </w:rPr>
      </w:pPr>
      <w:r w:rsidRPr="005734B8">
        <w:rPr>
          <w:rFonts w:ascii="Calibri" w:hAnsi="Calibri" w:cs="Calibri"/>
        </w:rPr>
        <w:t xml:space="preserve">Grants provide significant benefits to the Victorian community. Department grants support and improve the delivery of education and training services. </w:t>
      </w:r>
    </w:p>
    <w:p w14:paraId="26399AFA" w14:textId="77777777" w:rsidR="000E6F40" w:rsidRPr="005734B8" w:rsidRDefault="000E6F40" w:rsidP="000E6F40">
      <w:pPr>
        <w:rPr>
          <w:rFonts w:ascii="Calibri" w:hAnsi="Calibri" w:cs="Calibri"/>
        </w:rPr>
      </w:pPr>
    </w:p>
    <w:p w14:paraId="0AFB31E1" w14:textId="1CA0F053" w:rsidR="000E6F40" w:rsidRPr="005734B8" w:rsidRDefault="000E6F40" w:rsidP="000E6F40">
      <w:pPr>
        <w:rPr>
          <w:rFonts w:ascii="Calibri" w:hAnsi="Calibri" w:cs="Calibri"/>
        </w:rPr>
      </w:pPr>
      <w:r w:rsidRPr="005734B8">
        <w:rPr>
          <w:rFonts w:ascii="Calibri" w:hAnsi="Calibri" w:cs="Calibri"/>
        </w:rPr>
        <w:t xml:space="preserve">The Department has a rigorous grants policy in place to ensure </w:t>
      </w:r>
      <w:r w:rsidR="00FE4A9A" w:rsidRPr="005734B8">
        <w:rPr>
          <w:rFonts w:ascii="Calibri" w:hAnsi="Calibri" w:cs="Calibri"/>
        </w:rPr>
        <w:t xml:space="preserve">that </w:t>
      </w:r>
      <w:r w:rsidRPr="005734B8">
        <w:rPr>
          <w:rFonts w:ascii="Calibri" w:hAnsi="Calibri" w:cs="Calibri"/>
        </w:rPr>
        <w:t xml:space="preserve">all staff, including contractors and consultants who are responsible for administering grants, act in accordance with legislative obligations, and that all payments represent value for money and contribute to achieving the Department’s objectives. </w:t>
      </w:r>
    </w:p>
    <w:p w14:paraId="61B53C09" w14:textId="77777777" w:rsidR="000E6F40" w:rsidRPr="005734B8" w:rsidRDefault="000E6F40" w:rsidP="000E6F40">
      <w:pPr>
        <w:rPr>
          <w:rFonts w:ascii="Calibri" w:hAnsi="Calibri" w:cs="Calibri"/>
        </w:rPr>
      </w:pPr>
    </w:p>
    <w:p w14:paraId="59DB1CCB" w14:textId="4B0E7D19" w:rsidR="00156880" w:rsidRPr="005734B8" w:rsidRDefault="000E6F40" w:rsidP="000E6F40">
      <w:pPr>
        <w:rPr>
          <w:rFonts w:ascii="Calibri" w:hAnsi="Calibri" w:cs="Calibri"/>
          <w:highlight w:val="yellow"/>
        </w:rPr>
      </w:pPr>
      <w:r w:rsidRPr="005734B8">
        <w:rPr>
          <w:rFonts w:ascii="Calibri" w:hAnsi="Calibri" w:cs="Calibri"/>
        </w:rPr>
        <w:t>Applying the definition of grants used in the Victorian Auditor-General’s report Grants to Non-Government Organisations: Improving Accountability, the table</w:t>
      </w:r>
      <w:r w:rsidR="00FE4A9A" w:rsidRPr="005734B8">
        <w:rPr>
          <w:rFonts w:ascii="Calibri" w:hAnsi="Calibri" w:cs="Calibri"/>
        </w:rPr>
        <w:t xml:space="preserve"> </w:t>
      </w:r>
      <w:r w:rsidRPr="005734B8">
        <w:rPr>
          <w:rFonts w:ascii="Calibri" w:hAnsi="Calibri" w:cs="Calibri"/>
        </w:rPr>
        <w:t xml:space="preserve">below lists the Department’s 2020–21 grant </w:t>
      </w:r>
      <w:r w:rsidR="004C3CFB" w:rsidRPr="005734B8">
        <w:rPr>
          <w:rFonts w:ascii="Calibri" w:hAnsi="Calibri" w:cs="Calibri"/>
        </w:rPr>
        <w:t>payments</w:t>
      </w:r>
      <w:r w:rsidRPr="005734B8">
        <w:rPr>
          <w:rFonts w:ascii="Calibri" w:hAnsi="Calibri" w:cs="Calibri"/>
        </w:rPr>
        <w:t>. This table excludes grants to other organisations, which are included in the broader definition applied in the Financial Statements and Notes to the Financial Statements to meet applicable AAS (see Note 3.1.2).</w:t>
      </w:r>
    </w:p>
    <w:p w14:paraId="695824D3" w14:textId="0860C00D" w:rsidR="002C3A66" w:rsidRPr="005734B8" w:rsidRDefault="005679CB" w:rsidP="002C3A66">
      <w:pPr>
        <w:keepNext/>
        <w:spacing w:before="120" w:after="120"/>
        <w:rPr>
          <w:rFonts w:ascii="Calibri" w:eastAsia="Times New Roman" w:hAnsi="Calibri" w:cs="Calibri"/>
          <w:b/>
          <w:color w:val="AF272F"/>
          <w:lang w:val="en-US"/>
        </w:rPr>
      </w:pPr>
      <w:r w:rsidRPr="005734B8">
        <w:rPr>
          <w:rFonts w:ascii="Calibri" w:eastAsia="Times New Roman" w:hAnsi="Calibri" w:cs="Calibri"/>
          <w:b/>
          <w:color w:val="AF272F"/>
          <w:lang w:val="en-US"/>
        </w:rPr>
        <w:t>Department grant and transfer payments by activity</w:t>
      </w:r>
    </w:p>
    <w:tbl>
      <w:tblPr>
        <w:tblStyle w:val="TableGrid1"/>
        <w:tblW w:w="5009" w:type="pct"/>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234"/>
        <w:gridCol w:w="1701"/>
      </w:tblGrid>
      <w:tr w:rsidR="005B0E04" w:rsidRPr="005734B8" w14:paraId="7E070EDF" w14:textId="77777777" w:rsidTr="000F48B1">
        <w:trPr>
          <w:cantSplit/>
          <w:trHeight w:val="242"/>
        </w:trPr>
        <w:tc>
          <w:tcPr>
            <w:tcW w:w="6234" w:type="dxa"/>
            <w:tcBorders>
              <w:bottom w:val="single" w:sz="4" w:space="0" w:color="FFFFFF"/>
            </w:tcBorders>
            <w:shd w:val="clear" w:color="auto" w:fill="AF272F"/>
          </w:tcPr>
          <w:p w14:paraId="6328DC58" w14:textId="77777777" w:rsidR="00E249A4" w:rsidRPr="005734B8" w:rsidRDefault="00E249A4" w:rsidP="000F48B1">
            <w:pPr>
              <w:spacing w:before="80" w:after="80"/>
              <w:rPr>
                <w:rFonts w:ascii="Calibri" w:eastAsia="Times New Roman" w:hAnsi="Calibri" w:cs="Calibri"/>
                <w:b/>
                <w:color w:val="FFFFFF"/>
                <w:sz w:val="20"/>
                <w:szCs w:val="20"/>
                <w:lang w:val="en-US"/>
              </w:rPr>
            </w:pPr>
            <w:bookmarkStart w:id="2258" w:name="_Hlk79067133"/>
            <w:r w:rsidRPr="005734B8">
              <w:rPr>
                <w:rFonts w:ascii="Calibri" w:eastAsia="Times New Roman" w:hAnsi="Calibri" w:cs="Calibri"/>
                <w:b/>
                <w:color w:val="FFFFFF"/>
                <w:sz w:val="20"/>
                <w:szCs w:val="20"/>
                <w:lang w:val="en-US"/>
              </w:rPr>
              <w:t>Grant activity</w:t>
            </w:r>
          </w:p>
        </w:tc>
        <w:tc>
          <w:tcPr>
            <w:tcW w:w="1701" w:type="dxa"/>
            <w:tcBorders>
              <w:bottom w:val="single" w:sz="4" w:space="0" w:color="FFFFFF"/>
            </w:tcBorders>
            <w:shd w:val="clear" w:color="auto" w:fill="AF272F"/>
          </w:tcPr>
          <w:p w14:paraId="319A0D90" w14:textId="77777777" w:rsidR="00E249A4" w:rsidRPr="005734B8" w:rsidRDefault="00E249A4" w:rsidP="000F48B1">
            <w:pPr>
              <w:spacing w:before="80" w:after="80"/>
              <w:jc w:val="right"/>
              <w:rPr>
                <w:rFonts w:ascii="Calibri" w:eastAsia="Times New Roman" w:hAnsi="Calibri" w:cs="Calibri"/>
                <w:b/>
                <w:color w:val="FFFFFF"/>
                <w:sz w:val="20"/>
                <w:szCs w:val="20"/>
                <w:lang w:val="en-US"/>
              </w:rPr>
            </w:pPr>
            <w:r w:rsidRPr="005734B8">
              <w:rPr>
                <w:rFonts w:ascii="Calibri" w:eastAsia="Times New Roman" w:hAnsi="Calibri" w:cs="Calibri"/>
                <w:b/>
                <w:color w:val="FFFFFF"/>
                <w:sz w:val="20"/>
                <w:szCs w:val="20"/>
                <w:lang w:val="en-US"/>
              </w:rPr>
              <w:t>Payment ($)</w:t>
            </w:r>
          </w:p>
        </w:tc>
      </w:tr>
      <w:tr w:rsidR="00F603FA" w:rsidRPr="005734B8" w14:paraId="4F7CB57B" w14:textId="77777777" w:rsidTr="000F48B1">
        <w:trPr>
          <w:cantSplit/>
        </w:trPr>
        <w:tc>
          <w:tcPr>
            <w:tcW w:w="6234" w:type="dxa"/>
            <w:tcBorders>
              <w:top w:val="single" w:sz="4" w:space="0" w:color="53565A"/>
              <w:bottom w:val="single" w:sz="4" w:space="0" w:color="53565A"/>
            </w:tcBorders>
            <w:shd w:val="clear" w:color="auto" w:fill="auto"/>
          </w:tcPr>
          <w:p w14:paraId="6FD27EBD"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sz w:val="20"/>
                <w:szCs w:val="18"/>
                <w:lang w:val="en-US"/>
              </w:rPr>
              <w:t>2021 Teacher Professional Learning and Student Activity</w:t>
            </w:r>
          </w:p>
        </w:tc>
        <w:tc>
          <w:tcPr>
            <w:tcW w:w="1701" w:type="dxa"/>
            <w:tcBorders>
              <w:top w:val="single" w:sz="4" w:space="0" w:color="53565A"/>
              <w:bottom w:val="single" w:sz="4" w:space="0" w:color="53565A"/>
            </w:tcBorders>
            <w:shd w:val="clear" w:color="auto" w:fill="auto"/>
          </w:tcPr>
          <w:p w14:paraId="79551111"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54,461</w:t>
            </w:r>
          </w:p>
        </w:tc>
      </w:tr>
      <w:tr w:rsidR="00F603FA" w:rsidRPr="005734B8" w14:paraId="6E29C1FD" w14:textId="77777777" w:rsidTr="000F48B1">
        <w:trPr>
          <w:cantSplit/>
        </w:trPr>
        <w:tc>
          <w:tcPr>
            <w:tcW w:w="6234" w:type="dxa"/>
            <w:tcBorders>
              <w:top w:val="single" w:sz="4" w:space="0" w:color="53565A"/>
              <w:bottom w:val="single" w:sz="4" w:space="0" w:color="53565A"/>
            </w:tcBorders>
            <w:shd w:val="clear" w:color="auto" w:fill="auto"/>
          </w:tcPr>
          <w:p w14:paraId="7E4B16B5"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Apprenticeship Innovation Fund Women in Trades</w:t>
            </w:r>
          </w:p>
        </w:tc>
        <w:tc>
          <w:tcPr>
            <w:tcW w:w="1701" w:type="dxa"/>
            <w:tcBorders>
              <w:top w:val="single" w:sz="4" w:space="0" w:color="53565A"/>
              <w:bottom w:val="single" w:sz="4" w:space="0" w:color="53565A"/>
            </w:tcBorders>
            <w:shd w:val="clear" w:color="auto" w:fill="auto"/>
          </w:tcPr>
          <w:p w14:paraId="21B31498"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1,663,113</w:t>
            </w:r>
          </w:p>
        </w:tc>
      </w:tr>
      <w:tr w:rsidR="00F603FA" w:rsidRPr="005734B8" w14:paraId="2FD28DBE" w14:textId="77777777" w:rsidTr="000F48B1">
        <w:trPr>
          <w:cantSplit/>
        </w:trPr>
        <w:tc>
          <w:tcPr>
            <w:tcW w:w="6234" w:type="dxa"/>
            <w:tcBorders>
              <w:top w:val="single" w:sz="4" w:space="0" w:color="53565A"/>
              <w:bottom w:val="single" w:sz="4" w:space="0" w:color="53565A"/>
            </w:tcBorders>
            <w:shd w:val="clear" w:color="auto" w:fill="auto"/>
          </w:tcPr>
          <w:p w14:paraId="5303FEA5"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Apprenticeships Group Training Organisations</w:t>
            </w:r>
          </w:p>
        </w:tc>
        <w:tc>
          <w:tcPr>
            <w:tcW w:w="1701" w:type="dxa"/>
            <w:tcBorders>
              <w:top w:val="single" w:sz="4" w:space="0" w:color="53565A"/>
              <w:bottom w:val="single" w:sz="4" w:space="0" w:color="53565A"/>
            </w:tcBorders>
            <w:shd w:val="clear" w:color="auto" w:fill="auto"/>
          </w:tcPr>
          <w:p w14:paraId="5B4CE3F8"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3,197,943</w:t>
            </w:r>
          </w:p>
        </w:tc>
      </w:tr>
      <w:tr w:rsidR="00F603FA" w:rsidRPr="005734B8" w14:paraId="7823FD29" w14:textId="77777777" w:rsidTr="000F48B1">
        <w:trPr>
          <w:cantSplit/>
        </w:trPr>
        <w:tc>
          <w:tcPr>
            <w:tcW w:w="6234" w:type="dxa"/>
            <w:tcBorders>
              <w:top w:val="single" w:sz="4" w:space="0" w:color="53565A"/>
              <w:bottom w:val="single" w:sz="4" w:space="0" w:color="53565A"/>
            </w:tcBorders>
            <w:shd w:val="clear" w:color="auto" w:fill="auto"/>
          </w:tcPr>
          <w:p w14:paraId="3B947409"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Apprenticeships National Skills Week</w:t>
            </w:r>
          </w:p>
        </w:tc>
        <w:tc>
          <w:tcPr>
            <w:tcW w:w="1701" w:type="dxa"/>
            <w:tcBorders>
              <w:top w:val="single" w:sz="4" w:space="0" w:color="53565A"/>
              <w:bottom w:val="single" w:sz="4" w:space="0" w:color="53565A"/>
            </w:tcBorders>
            <w:shd w:val="clear" w:color="auto" w:fill="auto"/>
          </w:tcPr>
          <w:p w14:paraId="49345815"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5,000</w:t>
            </w:r>
          </w:p>
        </w:tc>
      </w:tr>
      <w:tr w:rsidR="00F603FA" w:rsidRPr="005734B8" w14:paraId="5ACC6018" w14:textId="77777777" w:rsidTr="000F48B1">
        <w:trPr>
          <w:cantSplit/>
        </w:trPr>
        <w:tc>
          <w:tcPr>
            <w:tcW w:w="6234" w:type="dxa"/>
            <w:tcBorders>
              <w:top w:val="single" w:sz="4" w:space="0" w:color="53565A"/>
              <w:bottom w:val="single" w:sz="4" w:space="0" w:color="53565A"/>
            </w:tcBorders>
            <w:shd w:val="clear" w:color="auto" w:fill="auto"/>
          </w:tcPr>
          <w:p w14:paraId="17B3FE71"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Apprenticeships Support Officer Program</w:t>
            </w:r>
          </w:p>
        </w:tc>
        <w:tc>
          <w:tcPr>
            <w:tcW w:w="1701" w:type="dxa"/>
            <w:tcBorders>
              <w:top w:val="single" w:sz="4" w:space="0" w:color="53565A"/>
              <w:bottom w:val="single" w:sz="4" w:space="0" w:color="53565A"/>
            </w:tcBorders>
            <w:shd w:val="clear" w:color="auto" w:fill="auto"/>
          </w:tcPr>
          <w:p w14:paraId="6F34E1EE"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4,045,626</w:t>
            </w:r>
          </w:p>
        </w:tc>
      </w:tr>
      <w:tr w:rsidR="00F603FA" w:rsidRPr="005734B8" w14:paraId="45B7415F" w14:textId="77777777" w:rsidTr="000F48B1">
        <w:trPr>
          <w:cantSplit/>
        </w:trPr>
        <w:tc>
          <w:tcPr>
            <w:tcW w:w="6234" w:type="dxa"/>
            <w:tcBorders>
              <w:top w:val="single" w:sz="4" w:space="0" w:color="53565A"/>
              <w:bottom w:val="single" w:sz="4" w:space="0" w:color="53565A"/>
            </w:tcBorders>
            <w:shd w:val="clear" w:color="auto" w:fill="auto"/>
          </w:tcPr>
          <w:p w14:paraId="6D8F63A4"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Apprenticeships World Skills</w:t>
            </w:r>
          </w:p>
        </w:tc>
        <w:tc>
          <w:tcPr>
            <w:tcW w:w="1701" w:type="dxa"/>
            <w:tcBorders>
              <w:top w:val="single" w:sz="4" w:space="0" w:color="53565A"/>
              <w:bottom w:val="single" w:sz="4" w:space="0" w:color="53565A"/>
            </w:tcBorders>
            <w:shd w:val="clear" w:color="auto" w:fill="auto"/>
          </w:tcPr>
          <w:p w14:paraId="30EE6C23"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202,267</w:t>
            </w:r>
          </w:p>
        </w:tc>
      </w:tr>
      <w:tr w:rsidR="00F603FA" w:rsidRPr="005734B8" w14:paraId="798A9E76" w14:textId="77777777" w:rsidTr="000F48B1">
        <w:trPr>
          <w:cantSplit/>
        </w:trPr>
        <w:tc>
          <w:tcPr>
            <w:tcW w:w="6234" w:type="dxa"/>
            <w:tcBorders>
              <w:top w:val="single" w:sz="4" w:space="0" w:color="53565A"/>
              <w:bottom w:val="single" w:sz="4" w:space="0" w:color="53565A"/>
            </w:tcBorders>
            <w:shd w:val="clear" w:color="auto" w:fill="auto"/>
          </w:tcPr>
          <w:p w14:paraId="2253BE5E"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Asylum Seeker VET Supports Program</w:t>
            </w:r>
          </w:p>
        </w:tc>
        <w:tc>
          <w:tcPr>
            <w:tcW w:w="1701" w:type="dxa"/>
            <w:tcBorders>
              <w:top w:val="single" w:sz="4" w:space="0" w:color="53565A"/>
              <w:bottom w:val="single" w:sz="4" w:space="0" w:color="53565A"/>
            </w:tcBorders>
            <w:shd w:val="clear" w:color="auto" w:fill="auto"/>
          </w:tcPr>
          <w:p w14:paraId="01BAE25C"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100,000</w:t>
            </w:r>
          </w:p>
        </w:tc>
      </w:tr>
      <w:tr w:rsidR="00F603FA" w:rsidRPr="005734B8" w14:paraId="73E5FADE" w14:textId="77777777" w:rsidTr="000F48B1">
        <w:trPr>
          <w:cantSplit/>
        </w:trPr>
        <w:tc>
          <w:tcPr>
            <w:tcW w:w="6234" w:type="dxa"/>
            <w:tcBorders>
              <w:top w:val="single" w:sz="4" w:space="0" w:color="53565A"/>
              <w:bottom w:val="single" w:sz="4" w:space="0" w:color="53565A"/>
            </w:tcBorders>
            <w:shd w:val="clear" w:color="auto" w:fill="auto"/>
          </w:tcPr>
          <w:p w14:paraId="55EE1A2A"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Australian National Academy of Music workforce development activities</w:t>
            </w:r>
          </w:p>
        </w:tc>
        <w:tc>
          <w:tcPr>
            <w:tcW w:w="1701" w:type="dxa"/>
            <w:tcBorders>
              <w:top w:val="single" w:sz="4" w:space="0" w:color="53565A"/>
              <w:bottom w:val="single" w:sz="4" w:space="0" w:color="53565A"/>
            </w:tcBorders>
            <w:shd w:val="clear" w:color="auto" w:fill="auto"/>
          </w:tcPr>
          <w:p w14:paraId="2A6EB36C"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193,168</w:t>
            </w:r>
          </w:p>
        </w:tc>
      </w:tr>
      <w:tr w:rsidR="00F603FA" w:rsidRPr="005734B8" w14:paraId="54899A75" w14:textId="77777777" w:rsidTr="000F48B1">
        <w:trPr>
          <w:cantSplit/>
        </w:trPr>
        <w:tc>
          <w:tcPr>
            <w:tcW w:w="6234" w:type="dxa"/>
            <w:tcBorders>
              <w:top w:val="single" w:sz="4" w:space="0" w:color="53565A"/>
              <w:bottom w:val="single" w:sz="4" w:space="0" w:color="53565A"/>
            </w:tcBorders>
            <w:shd w:val="clear" w:color="auto" w:fill="auto"/>
          </w:tcPr>
          <w:p w14:paraId="58D5FF2C" w14:textId="77777777" w:rsidR="00E249A4" w:rsidRPr="005734B8" w:rsidRDefault="00E249A4" w:rsidP="000F48B1">
            <w:pPr>
              <w:spacing w:before="120" w:after="120"/>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Be Fit. Be Well program</w:t>
            </w:r>
          </w:p>
        </w:tc>
        <w:tc>
          <w:tcPr>
            <w:tcW w:w="1701" w:type="dxa"/>
            <w:tcBorders>
              <w:top w:val="single" w:sz="4" w:space="0" w:color="53565A"/>
              <w:bottom w:val="single" w:sz="4" w:space="0" w:color="53565A"/>
            </w:tcBorders>
            <w:shd w:val="clear" w:color="auto" w:fill="auto"/>
          </w:tcPr>
          <w:p w14:paraId="24AB23D0" w14:textId="77777777" w:rsidR="00E249A4" w:rsidRPr="005734B8" w:rsidRDefault="00E249A4" w:rsidP="000F48B1">
            <w:pPr>
              <w:spacing w:before="120" w:after="120"/>
              <w:jc w:val="right"/>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78,000</w:t>
            </w:r>
          </w:p>
        </w:tc>
      </w:tr>
      <w:tr w:rsidR="00F603FA" w:rsidRPr="005734B8" w14:paraId="5EE975C2" w14:textId="77777777" w:rsidTr="000F48B1">
        <w:trPr>
          <w:cantSplit/>
        </w:trPr>
        <w:tc>
          <w:tcPr>
            <w:tcW w:w="6234" w:type="dxa"/>
            <w:tcBorders>
              <w:top w:val="single" w:sz="4" w:space="0" w:color="53565A"/>
              <w:bottom w:val="single" w:sz="4" w:space="0" w:color="53565A"/>
            </w:tcBorders>
            <w:shd w:val="clear" w:color="auto" w:fill="auto"/>
          </w:tcPr>
          <w:p w14:paraId="3DF767AD" w14:textId="4C2E2F5D"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eastAsia="en-AU"/>
              </w:rPr>
              <w:t xml:space="preserve">Be Wise </w:t>
            </w:r>
            <w:r w:rsidR="00FE4A9A" w:rsidRPr="005734B8">
              <w:rPr>
                <w:rFonts w:ascii="Calibri" w:eastAsia="Times New Roman" w:hAnsi="Calibri" w:cs="Calibri"/>
                <w:color w:val="000000"/>
                <w:sz w:val="20"/>
                <w:szCs w:val="20"/>
                <w:lang w:eastAsia="en-AU"/>
              </w:rPr>
              <w:t>p</w:t>
            </w:r>
            <w:r w:rsidRPr="005734B8">
              <w:rPr>
                <w:rFonts w:ascii="Calibri" w:eastAsia="Times New Roman" w:hAnsi="Calibri" w:cs="Calibri"/>
                <w:color w:val="000000"/>
                <w:sz w:val="20"/>
                <w:szCs w:val="20"/>
                <w:lang w:eastAsia="en-AU"/>
              </w:rPr>
              <w:t>resentations</w:t>
            </w:r>
          </w:p>
        </w:tc>
        <w:tc>
          <w:tcPr>
            <w:tcW w:w="1701" w:type="dxa"/>
            <w:tcBorders>
              <w:top w:val="single" w:sz="4" w:space="0" w:color="53565A"/>
              <w:bottom w:val="single" w:sz="4" w:space="0" w:color="53565A"/>
            </w:tcBorders>
            <w:shd w:val="clear" w:color="auto" w:fill="auto"/>
          </w:tcPr>
          <w:p w14:paraId="57512446"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rPr>
              <w:t>112,500</w:t>
            </w:r>
          </w:p>
        </w:tc>
      </w:tr>
      <w:tr w:rsidR="00F603FA" w:rsidRPr="005734B8" w14:paraId="00251857" w14:textId="77777777" w:rsidTr="000F48B1">
        <w:trPr>
          <w:cantSplit/>
        </w:trPr>
        <w:tc>
          <w:tcPr>
            <w:tcW w:w="6234" w:type="dxa"/>
            <w:tcBorders>
              <w:top w:val="single" w:sz="4" w:space="0" w:color="53565A"/>
              <w:bottom w:val="single" w:sz="4" w:space="0" w:color="53565A"/>
            </w:tcBorders>
            <w:shd w:val="clear" w:color="auto" w:fill="auto"/>
          </w:tcPr>
          <w:p w14:paraId="3D5775A2" w14:textId="68413112"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 xml:space="preserve">Blended </w:t>
            </w:r>
            <w:r w:rsidR="00FE4A9A" w:rsidRPr="005734B8">
              <w:rPr>
                <w:rFonts w:ascii="Calibri" w:eastAsia="Times New Roman" w:hAnsi="Calibri" w:cs="Calibri"/>
                <w:color w:val="000000"/>
                <w:sz w:val="20"/>
                <w:szCs w:val="20"/>
                <w:lang w:val="en-US" w:eastAsia="en-AU"/>
              </w:rPr>
              <w:t>A</w:t>
            </w:r>
            <w:r w:rsidRPr="005734B8">
              <w:rPr>
                <w:rFonts w:ascii="Calibri" w:eastAsia="Times New Roman" w:hAnsi="Calibri" w:cs="Calibri"/>
                <w:color w:val="000000"/>
                <w:sz w:val="20"/>
                <w:szCs w:val="20"/>
                <w:lang w:val="en-US" w:eastAsia="en-AU"/>
              </w:rPr>
              <w:t>rts rural/regional outreach program</w:t>
            </w:r>
          </w:p>
        </w:tc>
        <w:tc>
          <w:tcPr>
            <w:tcW w:w="1701" w:type="dxa"/>
            <w:tcBorders>
              <w:top w:val="single" w:sz="4" w:space="0" w:color="53565A"/>
              <w:bottom w:val="single" w:sz="4" w:space="0" w:color="53565A"/>
            </w:tcBorders>
            <w:shd w:val="clear" w:color="auto" w:fill="auto"/>
          </w:tcPr>
          <w:p w14:paraId="5F489FBE"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119,100</w:t>
            </w:r>
          </w:p>
        </w:tc>
      </w:tr>
      <w:tr w:rsidR="00F603FA" w:rsidRPr="005734B8" w14:paraId="1DF8B5FF" w14:textId="77777777" w:rsidTr="000F48B1">
        <w:trPr>
          <w:cantSplit/>
        </w:trPr>
        <w:tc>
          <w:tcPr>
            <w:tcW w:w="6234" w:type="dxa"/>
            <w:tcBorders>
              <w:top w:val="single" w:sz="4" w:space="0" w:color="53565A"/>
              <w:bottom w:val="single" w:sz="4" w:space="0" w:color="53565A"/>
            </w:tcBorders>
            <w:shd w:val="clear" w:color="auto" w:fill="auto"/>
          </w:tcPr>
          <w:p w14:paraId="2A236CB1" w14:textId="4C35D545"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 xml:space="preserve">Blended Science </w:t>
            </w:r>
            <w:r w:rsidR="00FE4A9A" w:rsidRPr="005734B8">
              <w:rPr>
                <w:rFonts w:ascii="Calibri" w:eastAsia="Times New Roman" w:hAnsi="Calibri" w:cs="Calibri"/>
                <w:color w:val="000000"/>
                <w:sz w:val="20"/>
                <w:szCs w:val="20"/>
                <w:lang w:val="en-US" w:eastAsia="en-AU"/>
              </w:rPr>
              <w:t>p</w:t>
            </w:r>
            <w:r w:rsidRPr="005734B8">
              <w:rPr>
                <w:rFonts w:ascii="Calibri" w:eastAsia="Times New Roman" w:hAnsi="Calibri" w:cs="Calibri"/>
                <w:color w:val="000000"/>
                <w:sz w:val="20"/>
                <w:szCs w:val="20"/>
                <w:lang w:val="en-US" w:eastAsia="en-AU"/>
              </w:rPr>
              <w:t>rogram</w:t>
            </w:r>
          </w:p>
        </w:tc>
        <w:tc>
          <w:tcPr>
            <w:tcW w:w="1701" w:type="dxa"/>
            <w:tcBorders>
              <w:top w:val="single" w:sz="4" w:space="0" w:color="53565A"/>
              <w:bottom w:val="single" w:sz="4" w:space="0" w:color="53565A"/>
            </w:tcBorders>
            <w:shd w:val="clear" w:color="auto" w:fill="auto"/>
          </w:tcPr>
          <w:p w14:paraId="2C0D86CA"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96,358</w:t>
            </w:r>
          </w:p>
        </w:tc>
      </w:tr>
      <w:tr w:rsidR="00F603FA" w:rsidRPr="005734B8" w14:paraId="1FEFA6DC" w14:textId="77777777" w:rsidTr="000F48B1">
        <w:trPr>
          <w:cantSplit/>
        </w:trPr>
        <w:tc>
          <w:tcPr>
            <w:tcW w:w="6234" w:type="dxa"/>
            <w:tcBorders>
              <w:top w:val="single" w:sz="4" w:space="0" w:color="53565A"/>
              <w:bottom w:val="single" w:sz="4" w:space="0" w:color="53565A"/>
            </w:tcBorders>
            <w:shd w:val="clear" w:color="auto" w:fill="auto"/>
          </w:tcPr>
          <w:p w14:paraId="696ABD78" w14:textId="77777777" w:rsidR="00E249A4" w:rsidRPr="005734B8" w:rsidDel="00D23BCD" w:rsidRDefault="00E249A4" w:rsidP="000F48B1">
            <w:pPr>
              <w:spacing w:before="120" w:after="120"/>
              <w:rPr>
                <w:rFonts w:ascii="Calibri" w:eastAsia="Times New Roman" w:hAnsi="Calibri" w:cs="Calibri"/>
                <w:sz w:val="20"/>
                <w:szCs w:val="18"/>
                <w:highlight w:val="green"/>
                <w:lang w:val="en-US"/>
              </w:rPr>
            </w:pPr>
            <w:r w:rsidRPr="005734B8">
              <w:rPr>
                <w:rFonts w:ascii="Calibri" w:eastAsia="Times New Roman" w:hAnsi="Calibri" w:cs="Calibri"/>
                <w:sz w:val="20"/>
                <w:szCs w:val="18"/>
                <w:lang w:val="en-US"/>
              </w:rPr>
              <w:t>Building Better TAFEs</w:t>
            </w:r>
          </w:p>
        </w:tc>
        <w:tc>
          <w:tcPr>
            <w:tcW w:w="1701" w:type="dxa"/>
            <w:tcBorders>
              <w:top w:val="single" w:sz="4" w:space="0" w:color="53565A"/>
              <w:bottom w:val="single" w:sz="4" w:space="0" w:color="53565A"/>
            </w:tcBorders>
            <w:shd w:val="clear" w:color="auto" w:fill="auto"/>
          </w:tcPr>
          <w:p w14:paraId="3EF38986" w14:textId="415A337B" w:rsidR="00E249A4" w:rsidRPr="005734B8" w:rsidRDefault="004E4E40" w:rsidP="000F48B1">
            <w:pPr>
              <w:spacing w:before="120" w:after="120"/>
              <w:jc w:val="right"/>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64,265,914</w:t>
            </w:r>
          </w:p>
        </w:tc>
      </w:tr>
      <w:tr w:rsidR="00F603FA" w:rsidRPr="005734B8" w14:paraId="3F59B2EE" w14:textId="77777777" w:rsidTr="000F48B1">
        <w:trPr>
          <w:cantSplit/>
        </w:trPr>
        <w:tc>
          <w:tcPr>
            <w:tcW w:w="6234" w:type="dxa"/>
            <w:tcBorders>
              <w:top w:val="single" w:sz="4" w:space="0" w:color="53565A"/>
              <w:bottom w:val="single" w:sz="4" w:space="0" w:color="53565A"/>
            </w:tcBorders>
            <w:shd w:val="clear" w:color="auto" w:fill="auto"/>
          </w:tcPr>
          <w:p w14:paraId="47E0FCD8" w14:textId="62724C43" w:rsidR="00E249A4" w:rsidRPr="005734B8" w:rsidRDefault="00E249A4" w:rsidP="000F48B1">
            <w:pPr>
              <w:spacing w:before="120" w:after="120"/>
              <w:rPr>
                <w:rFonts w:ascii="Calibri" w:eastAsia="Times New Roman" w:hAnsi="Calibri" w:cs="Calibri"/>
                <w:color w:val="000000"/>
                <w:sz w:val="20"/>
                <w:szCs w:val="20"/>
                <w:lang w:val="en-US" w:eastAsia="en-AU"/>
              </w:rPr>
            </w:pPr>
            <w:r w:rsidRPr="005734B8">
              <w:rPr>
                <w:rFonts w:ascii="Calibri" w:eastAsia="Times New Roman" w:hAnsi="Calibri" w:cs="Calibri"/>
                <w:sz w:val="20"/>
                <w:szCs w:val="20"/>
                <w:lang w:val="en-US"/>
              </w:rPr>
              <w:t xml:space="preserve">Building Blocks (including </w:t>
            </w:r>
            <w:r w:rsidR="00FE4A9A" w:rsidRPr="005734B8">
              <w:rPr>
                <w:rFonts w:ascii="Calibri" w:eastAsia="Times New Roman" w:hAnsi="Calibri" w:cs="Calibri"/>
                <w:sz w:val="20"/>
                <w:szCs w:val="20"/>
                <w:lang w:val="en-US"/>
              </w:rPr>
              <w:t>c</w:t>
            </w:r>
            <w:r w:rsidRPr="005734B8">
              <w:rPr>
                <w:rFonts w:ascii="Calibri" w:eastAsia="Times New Roman" w:hAnsi="Calibri" w:cs="Calibri"/>
                <w:sz w:val="20"/>
                <w:szCs w:val="20"/>
                <w:lang w:val="en-US"/>
              </w:rPr>
              <w:t>hildren’s facilities capital program)</w:t>
            </w:r>
          </w:p>
        </w:tc>
        <w:tc>
          <w:tcPr>
            <w:tcW w:w="1701" w:type="dxa"/>
            <w:tcBorders>
              <w:top w:val="single" w:sz="4" w:space="0" w:color="53565A"/>
              <w:bottom w:val="single" w:sz="4" w:space="0" w:color="53565A"/>
            </w:tcBorders>
            <w:shd w:val="clear" w:color="auto" w:fill="auto"/>
          </w:tcPr>
          <w:p w14:paraId="1D50C9C8" w14:textId="77777777" w:rsidR="00E249A4" w:rsidRPr="005734B8" w:rsidRDefault="00E249A4" w:rsidP="000F48B1">
            <w:pPr>
              <w:spacing w:before="120" w:after="120"/>
              <w:jc w:val="right"/>
              <w:rPr>
                <w:rFonts w:ascii="Calibri" w:eastAsia="Times New Roman" w:hAnsi="Calibri" w:cs="Calibri"/>
                <w:sz w:val="20"/>
                <w:szCs w:val="20"/>
                <w:lang w:val="en-US"/>
              </w:rPr>
            </w:pPr>
            <w:r w:rsidRPr="005734B8">
              <w:rPr>
                <w:rFonts w:ascii="Calibri" w:eastAsia="Times New Roman" w:hAnsi="Calibri" w:cs="Calibri"/>
                <w:sz w:val="20"/>
                <w:szCs w:val="20"/>
                <w:lang w:val="en-US"/>
              </w:rPr>
              <w:t>45,020,000</w:t>
            </w:r>
          </w:p>
        </w:tc>
      </w:tr>
      <w:tr w:rsidR="00F603FA" w:rsidRPr="005734B8" w14:paraId="0B7DC636" w14:textId="77777777" w:rsidTr="000F48B1">
        <w:trPr>
          <w:cantSplit/>
        </w:trPr>
        <w:tc>
          <w:tcPr>
            <w:tcW w:w="6234" w:type="dxa"/>
            <w:tcBorders>
              <w:top w:val="single" w:sz="4" w:space="0" w:color="53565A"/>
              <w:bottom w:val="single" w:sz="4" w:space="0" w:color="53565A"/>
            </w:tcBorders>
            <w:shd w:val="clear" w:color="auto" w:fill="auto"/>
          </w:tcPr>
          <w:p w14:paraId="6F3233EB"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Building Leadership Capacity in Government Schools</w:t>
            </w:r>
          </w:p>
        </w:tc>
        <w:tc>
          <w:tcPr>
            <w:tcW w:w="1701" w:type="dxa"/>
            <w:tcBorders>
              <w:top w:val="single" w:sz="4" w:space="0" w:color="53565A"/>
              <w:bottom w:val="single" w:sz="4" w:space="0" w:color="53565A"/>
            </w:tcBorders>
            <w:shd w:val="clear" w:color="auto" w:fill="auto"/>
          </w:tcPr>
          <w:p w14:paraId="73FEA7F1"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210,240</w:t>
            </w:r>
          </w:p>
        </w:tc>
      </w:tr>
      <w:tr w:rsidR="00F603FA" w:rsidRPr="005734B8" w14:paraId="55AFB25E" w14:textId="77777777" w:rsidTr="000F48B1">
        <w:trPr>
          <w:cantSplit/>
        </w:trPr>
        <w:tc>
          <w:tcPr>
            <w:tcW w:w="6234" w:type="dxa"/>
            <w:tcBorders>
              <w:top w:val="single" w:sz="4" w:space="0" w:color="53565A"/>
              <w:bottom w:val="single" w:sz="4" w:space="0" w:color="53565A"/>
            </w:tcBorders>
            <w:shd w:val="clear" w:color="auto" w:fill="auto"/>
          </w:tcPr>
          <w:p w14:paraId="7329AA41" w14:textId="77777777" w:rsidR="00E249A4" w:rsidRPr="005734B8" w:rsidRDefault="00E249A4" w:rsidP="000F48B1">
            <w:pPr>
              <w:spacing w:before="120" w:after="120"/>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Bushfire relief</w:t>
            </w:r>
          </w:p>
        </w:tc>
        <w:tc>
          <w:tcPr>
            <w:tcW w:w="1701" w:type="dxa"/>
            <w:tcBorders>
              <w:top w:val="single" w:sz="4" w:space="0" w:color="53565A"/>
              <w:bottom w:val="single" w:sz="4" w:space="0" w:color="53565A"/>
            </w:tcBorders>
            <w:shd w:val="clear" w:color="auto" w:fill="auto"/>
          </w:tcPr>
          <w:p w14:paraId="20757900" w14:textId="77777777" w:rsidR="00E249A4" w:rsidRPr="005734B8" w:rsidRDefault="00E249A4" w:rsidP="000F48B1">
            <w:pPr>
              <w:spacing w:before="120" w:after="120"/>
              <w:jc w:val="right"/>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16,500</w:t>
            </w:r>
          </w:p>
        </w:tc>
      </w:tr>
      <w:tr w:rsidR="00F603FA" w:rsidRPr="005734B8" w14:paraId="062230C1" w14:textId="77777777" w:rsidTr="000F48B1">
        <w:trPr>
          <w:cantSplit/>
        </w:trPr>
        <w:tc>
          <w:tcPr>
            <w:tcW w:w="6234" w:type="dxa"/>
            <w:tcBorders>
              <w:top w:val="single" w:sz="4" w:space="0" w:color="53565A"/>
              <w:bottom w:val="single" w:sz="4" w:space="0" w:color="53565A"/>
            </w:tcBorders>
            <w:shd w:val="clear" w:color="auto" w:fill="auto"/>
          </w:tcPr>
          <w:p w14:paraId="505A90EC"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lastRenderedPageBreak/>
              <w:t>Challenging Stereotypes in STEM</w:t>
            </w:r>
          </w:p>
        </w:tc>
        <w:tc>
          <w:tcPr>
            <w:tcW w:w="1701" w:type="dxa"/>
            <w:tcBorders>
              <w:top w:val="single" w:sz="4" w:space="0" w:color="53565A"/>
              <w:bottom w:val="single" w:sz="4" w:space="0" w:color="53565A"/>
            </w:tcBorders>
            <w:shd w:val="clear" w:color="auto" w:fill="auto"/>
          </w:tcPr>
          <w:p w14:paraId="3D76803B"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17,334</w:t>
            </w:r>
          </w:p>
        </w:tc>
      </w:tr>
      <w:tr w:rsidR="00F603FA" w:rsidRPr="005734B8" w14:paraId="78F2B08B" w14:textId="77777777" w:rsidTr="000F48B1">
        <w:trPr>
          <w:cantSplit/>
        </w:trPr>
        <w:tc>
          <w:tcPr>
            <w:tcW w:w="6234" w:type="dxa"/>
            <w:tcBorders>
              <w:top w:val="single" w:sz="4" w:space="0" w:color="53565A"/>
              <w:bottom w:val="single" w:sz="4" w:space="0" w:color="53565A"/>
            </w:tcBorders>
            <w:shd w:val="clear" w:color="auto" w:fill="auto"/>
          </w:tcPr>
          <w:p w14:paraId="68B4FD01" w14:textId="77777777" w:rsidR="00E249A4" w:rsidRPr="005734B8" w:rsidRDefault="00E249A4" w:rsidP="000F48B1">
            <w:pPr>
              <w:spacing w:before="120" w:after="120"/>
              <w:rPr>
                <w:rFonts w:ascii="Calibri" w:eastAsia="Times New Roman" w:hAnsi="Calibri" w:cs="Calibri"/>
                <w:sz w:val="20"/>
                <w:szCs w:val="18"/>
                <w:lang w:val="en-US"/>
              </w:rPr>
            </w:pPr>
            <w:r w:rsidRPr="005734B8">
              <w:rPr>
                <w:rFonts w:ascii="Calibri" w:eastAsia="Times New Roman" w:hAnsi="Calibri" w:cs="Calibri"/>
                <w:sz w:val="20"/>
                <w:szCs w:val="18"/>
                <w:lang w:val="en-US"/>
              </w:rPr>
              <w:t>Children’s Week 2020</w:t>
            </w:r>
          </w:p>
        </w:tc>
        <w:tc>
          <w:tcPr>
            <w:tcW w:w="1701" w:type="dxa"/>
            <w:tcBorders>
              <w:top w:val="single" w:sz="4" w:space="0" w:color="53565A"/>
              <w:bottom w:val="single" w:sz="4" w:space="0" w:color="53565A"/>
            </w:tcBorders>
            <w:shd w:val="clear" w:color="auto" w:fill="auto"/>
          </w:tcPr>
          <w:p w14:paraId="025B059B" w14:textId="77777777" w:rsidR="00E249A4" w:rsidRPr="005734B8" w:rsidRDefault="00E249A4" w:rsidP="000F48B1">
            <w:pPr>
              <w:spacing w:before="120" w:after="120"/>
              <w:jc w:val="right"/>
              <w:rPr>
                <w:rFonts w:ascii="Calibri" w:eastAsia="Times New Roman" w:hAnsi="Calibri" w:cs="Calibri"/>
                <w:sz w:val="20"/>
                <w:szCs w:val="18"/>
                <w:lang w:val="en-US"/>
              </w:rPr>
            </w:pPr>
            <w:r w:rsidRPr="005734B8">
              <w:rPr>
                <w:rFonts w:ascii="Calibri" w:eastAsia="Times New Roman" w:hAnsi="Calibri" w:cs="Calibri"/>
                <w:sz w:val="20"/>
                <w:szCs w:val="18"/>
                <w:lang w:val="en-US"/>
              </w:rPr>
              <w:t>71,112</w:t>
            </w:r>
          </w:p>
        </w:tc>
      </w:tr>
      <w:tr w:rsidR="00F603FA" w:rsidRPr="005734B8" w14:paraId="1474CF2C" w14:textId="77777777" w:rsidTr="000F48B1">
        <w:trPr>
          <w:cantSplit/>
        </w:trPr>
        <w:tc>
          <w:tcPr>
            <w:tcW w:w="6234" w:type="dxa"/>
            <w:tcBorders>
              <w:top w:val="single" w:sz="4" w:space="0" w:color="53565A"/>
              <w:bottom w:val="single" w:sz="4" w:space="0" w:color="53565A"/>
            </w:tcBorders>
            <w:shd w:val="clear" w:color="auto" w:fill="auto"/>
          </w:tcPr>
          <w:p w14:paraId="116BCF45"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Cladding Safety Victoria</w:t>
            </w:r>
          </w:p>
        </w:tc>
        <w:tc>
          <w:tcPr>
            <w:tcW w:w="1701" w:type="dxa"/>
            <w:tcBorders>
              <w:top w:val="single" w:sz="4" w:space="0" w:color="53565A"/>
              <w:bottom w:val="single" w:sz="4" w:space="0" w:color="53565A"/>
            </w:tcBorders>
            <w:shd w:val="clear" w:color="auto" w:fill="auto"/>
          </w:tcPr>
          <w:p w14:paraId="6FFB3D8A"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1,465,818</w:t>
            </w:r>
          </w:p>
        </w:tc>
      </w:tr>
      <w:tr w:rsidR="00F603FA" w:rsidRPr="005734B8" w14:paraId="7DA14DF5" w14:textId="77777777" w:rsidTr="000F48B1">
        <w:trPr>
          <w:cantSplit/>
        </w:trPr>
        <w:tc>
          <w:tcPr>
            <w:tcW w:w="6234" w:type="dxa"/>
            <w:tcBorders>
              <w:top w:val="single" w:sz="4" w:space="0" w:color="53565A"/>
              <w:bottom w:val="single" w:sz="4" w:space="0" w:color="53565A"/>
            </w:tcBorders>
            <w:shd w:val="clear" w:color="auto" w:fill="auto"/>
          </w:tcPr>
          <w:p w14:paraId="603C7E29"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Clontarf Football Academy</w:t>
            </w:r>
          </w:p>
        </w:tc>
        <w:tc>
          <w:tcPr>
            <w:tcW w:w="1701" w:type="dxa"/>
            <w:tcBorders>
              <w:top w:val="single" w:sz="4" w:space="0" w:color="53565A"/>
              <w:bottom w:val="single" w:sz="4" w:space="0" w:color="53565A"/>
            </w:tcBorders>
            <w:shd w:val="clear" w:color="auto" w:fill="auto"/>
          </w:tcPr>
          <w:p w14:paraId="0BC0C70F"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550,000</w:t>
            </w:r>
          </w:p>
        </w:tc>
      </w:tr>
      <w:tr w:rsidR="00F603FA" w:rsidRPr="005734B8" w14:paraId="2AD6A49F" w14:textId="77777777" w:rsidTr="000F48B1">
        <w:trPr>
          <w:cantSplit/>
        </w:trPr>
        <w:tc>
          <w:tcPr>
            <w:tcW w:w="6234" w:type="dxa"/>
            <w:tcBorders>
              <w:top w:val="single" w:sz="4" w:space="0" w:color="53565A"/>
              <w:bottom w:val="single" w:sz="4" w:space="0" w:color="53565A"/>
            </w:tcBorders>
            <w:shd w:val="clear" w:color="auto" w:fill="auto"/>
          </w:tcPr>
          <w:p w14:paraId="3038A318"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Community language schools funding</w:t>
            </w:r>
          </w:p>
        </w:tc>
        <w:tc>
          <w:tcPr>
            <w:tcW w:w="1701" w:type="dxa"/>
            <w:tcBorders>
              <w:top w:val="single" w:sz="4" w:space="0" w:color="53565A"/>
              <w:bottom w:val="single" w:sz="4" w:space="0" w:color="53565A"/>
            </w:tcBorders>
            <w:shd w:val="clear" w:color="auto" w:fill="auto"/>
          </w:tcPr>
          <w:p w14:paraId="07D5A990"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10,591,821</w:t>
            </w:r>
          </w:p>
        </w:tc>
      </w:tr>
      <w:tr w:rsidR="00F603FA" w:rsidRPr="005734B8" w14:paraId="5E5C4571" w14:textId="77777777" w:rsidTr="000F48B1">
        <w:trPr>
          <w:cantSplit/>
        </w:trPr>
        <w:tc>
          <w:tcPr>
            <w:tcW w:w="6234" w:type="dxa"/>
            <w:tcBorders>
              <w:top w:val="single" w:sz="4" w:space="0" w:color="53565A"/>
              <w:bottom w:val="single" w:sz="4" w:space="0" w:color="53565A"/>
            </w:tcBorders>
            <w:shd w:val="clear" w:color="auto" w:fill="auto"/>
          </w:tcPr>
          <w:p w14:paraId="07764128"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Community language schools preschool funding 2020</w:t>
            </w:r>
          </w:p>
        </w:tc>
        <w:tc>
          <w:tcPr>
            <w:tcW w:w="1701" w:type="dxa"/>
            <w:tcBorders>
              <w:top w:val="single" w:sz="4" w:space="0" w:color="53565A"/>
              <w:bottom w:val="single" w:sz="4" w:space="0" w:color="53565A"/>
            </w:tcBorders>
            <w:shd w:val="clear" w:color="auto" w:fill="auto"/>
          </w:tcPr>
          <w:p w14:paraId="5EAE4364"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51,122</w:t>
            </w:r>
          </w:p>
        </w:tc>
      </w:tr>
      <w:tr w:rsidR="00F603FA" w:rsidRPr="005734B8" w14:paraId="1C4A3724" w14:textId="77777777" w:rsidTr="000F48B1">
        <w:trPr>
          <w:cantSplit/>
        </w:trPr>
        <w:tc>
          <w:tcPr>
            <w:tcW w:w="6234" w:type="dxa"/>
            <w:tcBorders>
              <w:top w:val="single" w:sz="4" w:space="0" w:color="53565A"/>
              <w:bottom w:val="single" w:sz="4" w:space="0" w:color="53565A"/>
            </w:tcBorders>
            <w:shd w:val="clear" w:color="auto" w:fill="auto"/>
          </w:tcPr>
          <w:p w14:paraId="14E0F265"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Community Sector Engagement</w:t>
            </w:r>
          </w:p>
        </w:tc>
        <w:tc>
          <w:tcPr>
            <w:tcW w:w="1701" w:type="dxa"/>
            <w:tcBorders>
              <w:top w:val="single" w:sz="4" w:space="0" w:color="53565A"/>
              <w:bottom w:val="single" w:sz="4" w:space="0" w:color="53565A"/>
            </w:tcBorders>
            <w:shd w:val="clear" w:color="auto" w:fill="auto"/>
          </w:tcPr>
          <w:p w14:paraId="14BFC737"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774,098</w:t>
            </w:r>
          </w:p>
        </w:tc>
      </w:tr>
      <w:tr w:rsidR="00F603FA" w:rsidRPr="005734B8" w14:paraId="4920937D" w14:textId="77777777" w:rsidTr="000F48B1">
        <w:trPr>
          <w:cantSplit/>
        </w:trPr>
        <w:tc>
          <w:tcPr>
            <w:tcW w:w="6234" w:type="dxa"/>
            <w:tcBorders>
              <w:top w:val="single" w:sz="4" w:space="0" w:color="53565A"/>
              <w:bottom w:val="single" w:sz="4" w:space="0" w:color="53565A"/>
            </w:tcBorders>
            <w:shd w:val="clear" w:color="auto" w:fill="auto"/>
          </w:tcPr>
          <w:p w14:paraId="66320F5B"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 xml:space="preserve">Courage to Care </w:t>
            </w:r>
          </w:p>
        </w:tc>
        <w:tc>
          <w:tcPr>
            <w:tcW w:w="1701" w:type="dxa"/>
            <w:tcBorders>
              <w:top w:val="single" w:sz="4" w:space="0" w:color="53565A"/>
              <w:bottom w:val="single" w:sz="4" w:space="0" w:color="53565A"/>
            </w:tcBorders>
            <w:shd w:val="clear" w:color="auto" w:fill="auto"/>
          </w:tcPr>
          <w:p w14:paraId="29840780"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125,000</w:t>
            </w:r>
          </w:p>
        </w:tc>
      </w:tr>
      <w:tr w:rsidR="00F603FA" w:rsidRPr="005734B8" w14:paraId="4239B4B5" w14:textId="77777777" w:rsidTr="000F48B1">
        <w:trPr>
          <w:cantSplit/>
        </w:trPr>
        <w:tc>
          <w:tcPr>
            <w:tcW w:w="6234" w:type="dxa"/>
            <w:tcBorders>
              <w:top w:val="single" w:sz="4" w:space="0" w:color="53565A"/>
              <w:bottom w:val="single" w:sz="4" w:space="0" w:color="53565A"/>
            </w:tcBorders>
            <w:shd w:val="clear" w:color="auto" w:fill="auto"/>
          </w:tcPr>
          <w:p w14:paraId="01C70206"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Cultural Safety Training for Diverse Workplaces and Career Mentors for Multicultural Learners</w:t>
            </w:r>
          </w:p>
        </w:tc>
        <w:tc>
          <w:tcPr>
            <w:tcW w:w="1701" w:type="dxa"/>
            <w:tcBorders>
              <w:top w:val="single" w:sz="4" w:space="0" w:color="53565A"/>
              <w:bottom w:val="single" w:sz="4" w:space="0" w:color="53565A"/>
            </w:tcBorders>
            <w:shd w:val="clear" w:color="auto" w:fill="auto"/>
          </w:tcPr>
          <w:p w14:paraId="4AA54AF7"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195,000</w:t>
            </w:r>
          </w:p>
        </w:tc>
      </w:tr>
      <w:tr w:rsidR="00F603FA" w:rsidRPr="005734B8" w14:paraId="5C85987C" w14:textId="77777777" w:rsidTr="000F48B1">
        <w:trPr>
          <w:cantSplit/>
        </w:trPr>
        <w:tc>
          <w:tcPr>
            <w:tcW w:w="6234" w:type="dxa"/>
            <w:tcBorders>
              <w:top w:val="single" w:sz="4" w:space="0" w:color="53565A"/>
              <w:bottom w:val="single" w:sz="4" w:space="0" w:color="53565A"/>
            </w:tcBorders>
            <w:shd w:val="clear" w:color="auto" w:fill="auto"/>
          </w:tcPr>
          <w:p w14:paraId="3AD65F77" w14:textId="19FD9786"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 xml:space="preserve">Curriculum </w:t>
            </w:r>
            <w:r w:rsidR="00FE4A9A" w:rsidRPr="005734B8">
              <w:rPr>
                <w:rFonts w:ascii="Calibri" w:eastAsia="Times New Roman" w:hAnsi="Calibri" w:cs="Calibri"/>
                <w:sz w:val="20"/>
                <w:szCs w:val="18"/>
                <w:lang w:val="en-US"/>
              </w:rPr>
              <w:t>m</w:t>
            </w:r>
            <w:r w:rsidRPr="005734B8">
              <w:rPr>
                <w:rFonts w:ascii="Calibri" w:eastAsia="Times New Roman" w:hAnsi="Calibri" w:cs="Calibri"/>
                <w:sz w:val="20"/>
                <w:szCs w:val="18"/>
                <w:lang w:val="en-US"/>
              </w:rPr>
              <w:t xml:space="preserve">aintenance </w:t>
            </w:r>
            <w:r w:rsidR="00FE4A9A" w:rsidRPr="005734B8">
              <w:rPr>
                <w:rFonts w:ascii="Calibri" w:eastAsia="Times New Roman" w:hAnsi="Calibri" w:cs="Calibri"/>
                <w:sz w:val="20"/>
                <w:szCs w:val="18"/>
                <w:lang w:val="en-US"/>
              </w:rPr>
              <w:t>m</w:t>
            </w:r>
            <w:r w:rsidRPr="005734B8">
              <w:rPr>
                <w:rFonts w:ascii="Calibri" w:eastAsia="Times New Roman" w:hAnsi="Calibri" w:cs="Calibri"/>
                <w:sz w:val="20"/>
                <w:szCs w:val="18"/>
                <w:lang w:val="en-US"/>
              </w:rPr>
              <w:t>anagers</w:t>
            </w:r>
          </w:p>
        </w:tc>
        <w:tc>
          <w:tcPr>
            <w:tcW w:w="1701" w:type="dxa"/>
            <w:tcBorders>
              <w:top w:val="single" w:sz="4" w:space="0" w:color="53565A"/>
              <w:bottom w:val="single" w:sz="4" w:space="0" w:color="53565A"/>
            </w:tcBorders>
            <w:shd w:val="clear" w:color="auto" w:fill="auto"/>
          </w:tcPr>
          <w:p w14:paraId="4D193EA8"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35,000</w:t>
            </w:r>
          </w:p>
        </w:tc>
      </w:tr>
      <w:tr w:rsidR="00F603FA" w:rsidRPr="005734B8" w14:paraId="09D8C363" w14:textId="77777777" w:rsidTr="000F48B1">
        <w:trPr>
          <w:cantSplit/>
        </w:trPr>
        <w:tc>
          <w:tcPr>
            <w:tcW w:w="6234" w:type="dxa"/>
            <w:tcBorders>
              <w:top w:val="single" w:sz="4" w:space="0" w:color="53565A"/>
              <w:bottom w:val="single" w:sz="4" w:space="0" w:color="53565A"/>
            </w:tcBorders>
            <w:shd w:val="clear" w:color="auto" w:fill="auto"/>
          </w:tcPr>
          <w:p w14:paraId="0C37A4A4"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deafConnectEd</w:t>
            </w:r>
          </w:p>
        </w:tc>
        <w:tc>
          <w:tcPr>
            <w:tcW w:w="1701" w:type="dxa"/>
            <w:tcBorders>
              <w:top w:val="single" w:sz="4" w:space="0" w:color="53565A"/>
              <w:bottom w:val="single" w:sz="4" w:space="0" w:color="53565A"/>
            </w:tcBorders>
            <w:shd w:val="clear" w:color="auto" w:fill="auto"/>
          </w:tcPr>
          <w:p w14:paraId="4DB3E804"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433,400</w:t>
            </w:r>
          </w:p>
        </w:tc>
      </w:tr>
      <w:tr w:rsidR="00F603FA" w:rsidRPr="005734B8" w14:paraId="20BE51F7" w14:textId="77777777" w:rsidTr="000F48B1">
        <w:trPr>
          <w:cantSplit/>
        </w:trPr>
        <w:tc>
          <w:tcPr>
            <w:tcW w:w="6234" w:type="dxa"/>
            <w:tcBorders>
              <w:top w:val="single" w:sz="4" w:space="0" w:color="53565A"/>
              <w:bottom w:val="single" w:sz="4" w:space="0" w:color="53565A"/>
            </w:tcBorders>
            <w:shd w:val="clear" w:color="auto" w:fill="auto"/>
          </w:tcPr>
          <w:p w14:paraId="5BCC6FF3" w14:textId="714AEACE"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 xml:space="preserve">Develop and expand a </w:t>
            </w:r>
            <w:r w:rsidR="002800F3" w:rsidRPr="005734B8">
              <w:rPr>
                <w:rFonts w:ascii="Calibri" w:eastAsia="Times New Roman" w:hAnsi="Calibri" w:cs="Calibri"/>
                <w:color w:val="000000"/>
                <w:sz w:val="20"/>
                <w:szCs w:val="20"/>
                <w:lang w:val="en-US" w:eastAsia="en-AU"/>
              </w:rPr>
              <w:t>s</w:t>
            </w:r>
            <w:r w:rsidRPr="005734B8">
              <w:rPr>
                <w:rFonts w:ascii="Calibri" w:eastAsia="Times New Roman" w:hAnsi="Calibri" w:cs="Calibri"/>
                <w:color w:val="000000"/>
                <w:sz w:val="20"/>
                <w:szCs w:val="20"/>
                <w:lang w:val="en-US" w:eastAsia="en-AU"/>
              </w:rPr>
              <w:t xml:space="preserve">tate </w:t>
            </w:r>
            <w:r w:rsidR="002800F3" w:rsidRPr="005734B8">
              <w:rPr>
                <w:rFonts w:ascii="Calibri" w:eastAsia="Times New Roman" w:hAnsi="Calibri" w:cs="Calibri"/>
                <w:color w:val="000000"/>
                <w:sz w:val="20"/>
                <w:szCs w:val="20"/>
                <w:lang w:val="en-US" w:eastAsia="en-AU"/>
              </w:rPr>
              <w:t>s</w:t>
            </w:r>
            <w:r w:rsidRPr="005734B8">
              <w:rPr>
                <w:rFonts w:ascii="Calibri" w:eastAsia="Times New Roman" w:hAnsi="Calibri" w:cs="Calibri"/>
                <w:color w:val="000000"/>
                <w:sz w:val="20"/>
                <w:szCs w:val="20"/>
                <w:lang w:val="en-US" w:eastAsia="en-AU"/>
              </w:rPr>
              <w:t xml:space="preserve">chool </w:t>
            </w:r>
            <w:r w:rsidR="002800F3" w:rsidRPr="005734B8">
              <w:rPr>
                <w:rFonts w:ascii="Calibri" w:eastAsia="Times New Roman" w:hAnsi="Calibri" w:cs="Calibri"/>
                <w:color w:val="000000"/>
                <w:sz w:val="20"/>
                <w:szCs w:val="20"/>
                <w:lang w:val="en-US" w:eastAsia="en-AU"/>
              </w:rPr>
              <w:t>a</w:t>
            </w:r>
            <w:r w:rsidRPr="005734B8">
              <w:rPr>
                <w:rFonts w:ascii="Calibri" w:eastAsia="Times New Roman" w:hAnsi="Calibri" w:cs="Calibri"/>
                <w:color w:val="000000"/>
                <w:sz w:val="20"/>
                <w:szCs w:val="20"/>
                <w:lang w:val="en-US" w:eastAsia="en-AU"/>
              </w:rPr>
              <w:t xml:space="preserve">lumni </w:t>
            </w:r>
            <w:r w:rsidR="002800F3" w:rsidRPr="005734B8">
              <w:rPr>
                <w:rFonts w:ascii="Calibri" w:eastAsia="Times New Roman" w:hAnsi="Calibri" w:cs="Calibri"/>
                <w:color w:val="000000"/>
                <w:sz w:val="20"/>
                <w:szCs w:val="20"/>
                <w:lang w:val="en-US" w:eastAsia="en-AU"/>
              </w:rPr>
              <w:t>n</w:t>
            </w:r>
            <w:r w:rsidRPr="005734B8">
              <w:rPr>
                <w:rFonts w:ascii="Calibri" w:eastAsia="Times New Roman" w:hAnsi="Calibri" w:cs="Calibri"/>
                <w:color w:val="000000"/>
                <w:sz w:val="20"/>
                <w:szCs w:val="20"/>
                <w:lang w:val="en-US" w:eastAsia="en-AU"/>
              </w:rPr>
              <w:t>etwork</w:t>
            </w:r>
          </w:p>
        </w:tc>
        <w:tc>
          <w:tcPr>
            <w:tcW w:w="1701" w:type="dxa"/>
            <w:tcBorders>
              <w:top w:val="single" w:sz="4" w:space="0" w:color="53565A"/>
              <w:bottom w:val="single" w:sz="4" w:space="0" w:color="53565A"/>
            </w:tcBorders>
            <w:shd w:val="clear" w:color="auto" w:fill="auto"/>
          </w:tcPr>
          <w:p w14:paraId="4CEFA5F4"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123,750</w:t>
            </w:r>
          </w:p>
        </w:tc>
      </w:tr>
      <w:tr w:rsidR="00F603FA" w:rsidRPr="005734B8" w14:paraId="38E25340" w14:textId="77777777" w:rsidTr="000F48B1">
        <w:trPr>
          <w:cantSplit/>
        </w:trPr>
        <w:tc>
          <w:tcPr>
            <w:tcW w:w="6234" w:type="dxa"/>
            <w:tcBorders>
              <w:top w:val="single" w:sz="4" w:space="0" w:color="53565A"/>
              <w:bottom w:val="single" w:sz="4" w:space="0" w:color="53565A"/>
            </w:tcBorders>
            <w:shd w:val="clear" w:color="auto" w:fill="auto"/>
          </w:tcPr>
          <w:p w14:paraId="405B3FC8" w14:textId="5661264E"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 xml:space="preserve">Digital </w:t>
            </w:r>
            <w:r w:rsidR="002800F3" w:rsidRPr="005734B8">
              <w:rPr>
                <w:rFonts w:ascii="Calibri" w:eastAsia="Times New Roman" w:hAnsi="Calibri" w:cs="Calibri"/>
                <w:sz w:val="20"/>
                <w:szCs w:val="18"/>
                <w:lang w:val="en-US"/>
              </w:rPr>
              <w:t>l</w:t>
            </w:r>
            <w:r w:rsidRPr="005734B8">
              <w:rPr>
                <w:rFonts w:ascii="Calibri" w:eastAsia="Times New Roman" w:hAnsi="Calibri" w:cs="Calibri"/>
                <w:sz w:val="20"/>
                <w:szCs w:val="18"/>
                <w:lang w:val="en-US"/>
              </w:rPr>
              <w:t>earning</w:t>
            </w:r>
          </w:p>
        </w:tc>
        <w:tc>
          <w:tcPr>
            <w:tcW w:w="1701" w:type="dxa"/>
            <w:tcBorders>
              <w:top w:val="single" w:sz="4" w:space="0" w:color="53565A"/>
              <w:bottom w:val="single" w:sz="4" w:space="0" w:color="53565A"/>
            </w:tcBorders>
            <w:shd w:val="clear" w:color="auto" w:fill="auto"/>
          </w:tcPr>
          <w:p w14:paraId="07AAA756"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1,420,750</w:t>
            </w:r>
          </w:p>
        </w:tc>
      </w:tr>
      <w:tr w:rsidR="00F603FA" w:rsidRPr="005734B8" w14:paraId="045993A5" w14:textId="77777777" w:rsidTr="000F48B1">
        <w:trPr>
          <w:cantSplit/>
        </w:trPr>
        <w:tc>
          <w:tcPr>
            <w:tcW w:w="6234" w:type="dxa"/>
            <w:tcBorders>
              <w:top w:val="single" w:sz="4" w:space="0" w:color="53565A"/>
              <w:bottom w:val="single" w:sz="4" w:space="0" w:color="53565A"/>
            </w:tcBorders>
            <w:shd w:val="clear" w:color="auto" w:fill="auto"/>
          </w:tcPr>
          <w:p w14:paraId="5DA0A340"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rPr>
              <w:t xml:space="preserve">Disability Friendly Schools </w:t>
            </w:r>
          </w:p>
        </w:tc>
        <w:tc>
          <w:tcPr>
            <w:tcW w:w="1701" w:type="dxa"/>
            <w:tcBorders>
              <w:top w:val="single" w:sz="4" w:space="0" w:color="53565A"/>
              <w:bottom w:val="single" w:sz="4" w:space="0" w:color="53565A"/>
            </w:tcBorders>
            <w:shd w:val="clear" w:color="auto" w:fill="auto"/>
          </w:tcPr>
          <w:p w14:paraId="76A3C8C1"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20"/>
                <w:lang w:val="en-US"/>
              </w:rPr>
              <w:t>1,650,000</w:t>
            </w:r>
          </w:p>
        </w:tc>
      </w:tr>
      <w:tr w:rsidR="00F603FA" w:rsidRPr="005734B8" w14:paraId="316D6B4A" w14:textId="77777777" w:rsidTr="000F48B1">
        <w:trPr>
          <w:cantSplit/>
        </w:trPr>
        <w:tc>
          <w:tcPr>
            <w:tcW w:w="6234" w:type="dxa"/>
            <w:tcBorders>
              <w:top w:val="single" w:sz="4" w:space="0" w:color="53565A"/>
              <w:bottom w:val="single" w:sz="4" w:space="0" w:color="53565A"/>
            </w:tcBorders>
            <w:shd w:val="clear" w:color="auto" w:fill="auto"/>
          </w:tcPr>
          <w:p w14:paraId="7B81DA68" w14:textId="002A015B"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 xml:space="preserve">Disability </w:t>
            </w:r>
            <w:r w:rsidR="002800F3" w:rsidRPr="005734B8">
              <w:rPr>
                <w:rFonts w:ascii="Calibri" w:eastAsia="Times New Roman" w:hAnsi="Calibri" w:cs="Calibri"/>
                <w:color w:val="000000"/>
                <w:sz w:val="20"/>
                <w:szCs w:val="20"/>
                <w:lang w:val="en-US" w:eastAsia="en-AU"/>
              </w:rPr>
              <w:t>p</w:t>
            </w:r>
            <w:r w:rsidRPr="005734B8">
              <w:rPr>
                <w:rFonts w:ascii="Calibri" w:eastAsia="Times New Roman" w:hAnsi="Calibri" w:cs="Calibri"/>
                <w:color w:val="000000"/>
                <w:sz w:val="20"/>
                <w:szCs w:val="20"/>
                <w:lang w:val="en-US" w:eastAsia="en-AU"/>
              </w:rPr>
              <w:t xml:space="preserve">rograms </w:t>
            </w:r>
          </w:p>
        </w:tc>
        <w:tc>
          <w:tcPr>
            <w:tcW w:w="1701" w:type="dxa"/>
            <w:tcBorders>
              <w:top w:val="single" w:sz="4" w:space="0" w:color="53565A"/>
              <w:bottom w:val="single" w:sz="4" w:space="0" w:color="53565A"/>
            </w:tcBorders>
            <w:shd w:val="clear" w:color="auto" w:fill="auto"/>
          </w:tcPr>
          <w:p w14:paraId="3FA4D432"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1,069,218</w:t>
            </w:r>
          </w:p>
        </w:tc>
      </w:tr>
      <w:tr w:rsidR="00F603FA" w:rsidRPr="005734B8" w14:paraId="3ED3B8FC" w14:textId="77777777" w:rsidTr="000F48B1">
        <w:trPr>
          <w:cantSplit/>
        </w:trPr>
        <w:tc>
          <w:tcPr>
            <w:tcW w:w="6234" w:type="dxa"/>
            <w:tcBorders>
              <w:top w:val="single" w:sz="4" w:space="0" w:color="53565A"/>
              <w:bottom w:val="single" w:sz="4" w:space="0" w:color="53565A"/>
            </w:tcBorders>
            <w:shd w:val="clear" w:color="auto" w:fill="auto"/>
          </w:tcPr>
          <w:p w14:paraId="4DB9C9A7" w14:textId="77777777" w:rsidR="00E249A4" w:rsidRPr="005734B8" w:rsidRDefault="00E249A4" w:rsidP="000F48B1">
            <w:pPr>
              <w:spacing w:before="120" w:after="120"/>
              <w:rPr>
                <w:rFonts w:ascii="Calibri" w:eastAsia="Times New Roman" w:hAnsi="Calibri" w:cs="Calibri"/>
                <w:color w:val="000000"/>
                <w:sz w:val="16"/>
                <w:szCs w:val="16"/>
                <w:highlight w:val="yellow"/>
                <w:lang w:val="en-US" w:eastAsia="en-AU"/>
              </w:rPr>
            </w:pPr>
            <w:r w:rsidRPr="005734B8">
              <w:rPr>
                <w:rFonts w:ascii="Calibri" w:eastAsia="Times New Roman" w:hAnsi="Calibri" w:cs="Calibri"/>
                <w:color w:val="000000"/>
                <w:sz w:val="20"/>
                <w:szCs w:val="20"/>
                <w:lang w:eastAsia="en-AU"/>
              </w:rPr>
              <w:t>Doctors in Secondary Schools</w:t>
            </w:r>
          </w:p>
        </w:tc>
        <w:tc>
          <w:tcPr>
            <w:tcW w:w="1701" w:type="dxa"/>
            <w:tcBorders>
              <w:top w:val="single" w:sz="4" w:space="0" w:color="53565A"/>
              <w:bottom w:val="single" w:sz="4" w:space="0" w:color="53565A"/>
            </w:tcBorders>
            <w:shd w:val="clear" w:color="auto" w:fill="auto"/>
          </w:tcPr>
          <w:p w14:paraId="6B79E85A" w14:textId="77777777" w:rsidR="00E249A4" w:rsidRPr="005734B8" w:rsidRDefault="00E249A4" w:rsidP="000F48B1">
            <w:pPr>
              <w:spacing w:before="120" w:after="120"/>
              <w:jc w:val="right"/>
              <w:rPr>
                <w:rFonts w:ascii="Calibri" w:eastAsia="Times New Roman" w:hAnsi="Calibri" w:cs="Calibri"/>
                <w:sz w:val="16"/>
                <w:szCs w:val="16"/>
                <w:highlight w:val="yellow"/>
                <w:lang w:val="en-US"/>
              </w:rPr>
            </w:pPr>
            <w:r w:rsidRPr="005734B8">
              <w:rPr>
                <w:rFonts w:ascii="Calibri" w:eastAsia="Times New Roman" w:hAnsi="Calibri" w:cs="Calibri"/>
                <w:sz w:val="20"/>
                <w:szCs w:val="18"/>
              </w:rPr>
              <w:t>4,012,942</w:t>
            </w:r>
          </w:p>
        </w:tc>
      </w:tr>
      <w:tr w:rsidR="00F603FA" w:rsidRPr="005734B8" w14:paraId="074FF3DB" w14:textId="77777777" w:rsidTr="000F48B1">
        <w:trPr>
          <w:cantSplit/>
        </w:trPr>
        <w:tc>
          <w:tcPr>
            <w:tcW w:w="6234" w:type="dxa"/>
            <w:tcBorders>
              <w:top w:val="single" w:sz="4" w:space="0" w:color="53565A"/>
              <w:bottom w:val="single" w:sz="4" w:space="0" w:color="53565A"/>
            </w:tcBorders>
            <w:shd w:val="clear" w:color="auto" w:fill="auto"/>
          </w:tcPr>
          <w:p w14:paraId="5B6C71CA"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Education First Youth Foyers</w:t>
            </w:r>
          </w:p>
        </w:tc>
        <w:tc>
          <w:tcPr>
            <w:tcW w:w="1701" w:type="dxa"/>
            <w:tcBorders>
              <w:top w:val="single" w:sz="4" w:space="0" w:color="53565A"/>
              <w:bottom w:val="single" w:sz="4" w:space="0" w:color="53565A"/>
            </w:tcBorders>
            <w:shd w:val="clear" w:color="auto" w:fill="auto"/>
          </w:tcPr>
          <w:p w14:paraId="6A562ED8"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72,000</w:t>
            </w:r>
          </w:p>
        </w:tc>
      </w:tr>
      <w:tr w:rsidR="00F603FA" w:rsidRPr="005734B8" w14:paraId="0016CA27" w14:textId="77777777" w:rsidTr="000F48B1">
        <w:trPr>
          <w:cantSplit/>
        </w:trPr>
        <w:tc>
          <w:tcPr>
            <w:tcW w:w="6234" w:type="dxa"/>
            <w:tcBorders>
              <w:top w:val="single" w:sz="4" w:space="0" w:color="53565A"/>
              <w:bottom w:val="single" w:sz="4" w:space="0" w:color="53565A"/>
            </w:tcBorders>
            <w:shd w:val="clear" w:color="auto" w:fill="auto"/>
          </w:tcPr>
          <w:p w14:paraId="214AD4CE"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eastAsia="en-AU"/>
              </w:rPr>
              <w:t>Enhancing Mental Health Support in Secondary Schools</w:t>
            </w:r>
          </w:p>
        </w:tc>
        <w:tc>
          <w:tcPr>
            <w:tcW w:w="1701" w:type="dxa"/>
            <w:tcBorders>
              <w:top w:val="single" w:sz="4" w:space="0" w:color="53565A"/>
              <w:bottom w:val="single" w:sz="4" w:space="0" w:color="53565A"/>
            </w:tcBorders>
            <w:shd w:val="clear" w:color="auto" w:fill="auto"/>
          </w:tcPr>
          <w:p w14:paraId="4ED297CF"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rPr>
              <w:t>2,370,721</w:t>
            </w:r>
          </w:p>
        </w:tc>
      </w:tr>
      <w:tr w:rsidR="00F603FA" w:rsidRPr="005734B8" w14:paraId="2B4C170C" w14:textId="77777777" w:rsidTr="000F48B1">
        <w:trPr>
          <w:cantSplit/>
        </w:trPr>
        <w:tc>
          <w:tcPr>
            <w:tcW w:w="6234" w:type="dxa"/>
            <w:tcBorders>
              <w:top w:val="single" w:sz="4" w:space="0" w:color="53565A"/>
              <w:bottom w:val="single" w:sz="4" w:space="0" w:color="53565A"/>
            </w:tcBorders>
            <w:shd w:val="clear" w:color="auto" w:fill="auto"/>
          </w:tcPr>
          <w:p w14:paraId="0555E781"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rPr>
              <w:t xml:space="preserve">eSmart schools </w:t>
            </w:r>
          </w:p>
        </w:tc>
        <w:tc>
          <w:tcPr>
            <w:tcW w:w="1701" w:type="dxa"/>
            <w:tcBorders>
              <w:top w:val="single" w:sz="4" w:space="0" w:color="53565A"/>
              <w:bottom w:val="single" w:sz="4" w:space="0" w:color="53565A"/>
            </w:tcBorders>
            <w:shd w:val="clear" w:color="auto" w:fill="auto"/>
          </w:tcPr>
          <w:p w14:paraId="4B9EEF38"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20"/>
                <w:lang w:val="en-US"/>
              </w:rPr>
              <w:t>1,127,500</w:t>
            </w:r>
          </w:p>
        </w:tc>
      </w:tr>
      <w:tr w:rsidR="00F603FA" w:rsidRPr="005734B8" w14:paraId="005532EB" w14:textId="77777777" w:rsidTr="000F48B1">
        <w:trPr>
          <w:cantSplit/>
        </w:trPr>
        <w:tc>
          <w:tcPr>
            <w:tcW w:w="6234" w:type="dxa"/>
            <w:tcBorders>
              <w:top w:val="single" w:sz="4" w:space="0" w:color="53565A"/>
              <w:bottom w:val="single" w:sz="4" w:space="0" w:color="53565A"/>
            </w:tcBorders>
            <w:shd w:val="clear" w:color="auto" w:fill="auto"/>
          </w:tcPr>
          <w:p w14:paraId="211CF79C" w14:textId="752AFAB3"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eastAsia="en-AU"/>
              </w:rPr>
              <w:t xml:space="preserve">Evaluating the </w:t>
            </w:r>
            <w:r w:rsidR="002800F3" w:rsidRPr="005734B8">
              <w:rPr>
                <w:rFonts w:ascii="Calibri" w:eastAsia="Times New Roman" w:hAnsi="Calibri" w:cs="Calibri"/>
                <w:color w:val="000000"/>
                <w:sz w:val="20"/>
                <w:szCs w:val="20"/>
                <w:lang w:eastAsia="en-AU"/>
              </w:rPr>
              <w:t>S</w:t>
            </w:r>
            <w:r w:rsidRPr="005734B8">
              <w:rPr>
                <w:rFonts w:ascii="Calibri" w:eastAsia="Times New Roman" w:hAnsi="Calibri" w:cs="Calibri"/>
                <w:color w:val="000000"/>
                <w:sz w:val="20"/>
                <w:szCs w:val="20"/>
                <w:lang w:eastAsia="en-AU"/>
              </w:rPr>
              <w:t xml:space="preserve">tudents </w:t>
            </w:r>
            <w:r w:rsidR="002800F3" w:rsidRPr="005734B8">
              <w:rPr>
                <w:rFonts w:ascii="Calibri" w:eastAsia="Times New Roman" w:hAnsi="Calibri" w:cs="Calibri"/>
                <w:color w:val="000000"/>
                <w:sz w:val="20"/>
                <w:szCs w:val="20"/>
                <w:lang w:eastAsia="en-AU"/>
              </w:rPr>
              <w:t>A</w:t>
            </w:r>
            <w:r w:rsidRPr="005734B8">
              <w:rPr>
                <w:rFonts w:ascii="Calibri" w:eastAsia="Times New Roman" w:hAnsi="Calibri" w:cs="Calibri"/>
                <w:color w:val="000000"/>
                <w:sz w:val="20"/>
                <w:szCs w:val="20"/>
                <w:lang w:eastAsia="en-AU"/>
              </w:rPr>
              <w:t xml:space="preserve">ffected by Family Violence to </w:t>
            </w:r>
            <w:r w:rsidR="002800F3" w:rsidRPr="005734B8">
              <w:rPr>
                <w:rFonts w:ascii="Calibri" w:eastAsia="Times New Roman" w:hAnsi="Calibri" w:cs="Calibri"/>
                <w:color w:val="000000"/>
                <w:sz w:val="20"/>
                <w:szCs w:val="20"/>
                <w:lang w:eastAsia="en-AU"/>
              </w:rPr>
              <w:t>R</w:t>
            </w:r>
            <w:r w:rsidRPr="005734B8">
              <w:rPr>
                <w:rFonts w:ascii="Calibri" w:eastAsia="Times New Roman" w:hAnsi="Calibri" w:cs="Calibri"/>
                <w:color w:val="000000"/>
                <w:sz w:val="20"/>
                <w:szCs w:val="20"/>
                <w:lang w:eastAsia="en-AU"/>
              </w:rPr>
              <w:t xml:space="preserve">eengage with </w:t>
            </w:r>
            <w:r w:rsidR="002800F3" w:rsidRPr="005734B8">
              <w:rPr>
                <w:rFonts w:ascii="Calibri" w:eastAsia="Times New Roman" w:hAnsi="Calibri" w:cs="Calibri"/>
                <w:color w:val="000000"/>
                <w:sz w:val="20"/>
                <w:szCs w:val="20"/>
                <w:lang w:eastAsia="en-AU"/>
              </w:rPr>
              <w:t>S</w:t>
            </w:r>
            <w:r w:rsidRPr="005734B8">
              <w:rPr>
                <w:rFonts w:ascii="Calibri" w:eastAsia="Times New Roman" w:hAnsi="Calibri" w:cs="Calibri"/>
                <w:color w:val="000000"/>
                <w:sz w:val="20"/>
                <w:szCs w:val="20"/>
                <w:lang w:eastAsia="en-AU"/>
              </w:rPr>
              <w:t>chool program</w:t>
            </w:r>
          </w:p>
        </w:tc>
        <w:tc>
          <w:tcPr>
            <w:tcW w:w="1701" w:type="dxa"/>
            <w:tcBorders>
              <w:top w:val="single" w:sz="4" w:space="0" w:color="53565A"/>
              <w:bottom w:val="single" w:sz="4" w:space="0" w:color="53565A"/>
            </w:tcBorders>
            <w:shd w:val="clear" w:color="auto" w:fill="auto"/>
          </w:tcPr>
          <w:p w14:paraId="6F53E3C0"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8,254</w:t>
            </w:r>
          </w:p>
        </w:tc>
      </w:tr>
      <w:tr w:rsidR="00F603FA" w:rsidRPr="005734B8" w14:paraId="50E68979" w14:textId="77777777" w:rsidTr="000F48B1">
        <w:trPr>
          <w:cantSplit/>
        </w:trPr>
        <w:tc>
          <w:tcPr>
            <w:tcW w:w="6234" w:type="dxa"/>
            <w:tcBorders>
              <w:top w:val="single" w:sz="4" w:space="0" w:color="53565A"/>
              <w:bottom w:val="single" w:sz="4" w:space="0" w:color="53565A"/>
            </w:tcBorders>
            <w:shd w:val="clear" w:color="auto" w:fill="auto"/>
          </w:tcPr>
          <w:p w14:paraId="5F8EFFB7" w14:textId="25F7B91B"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 xml:space="preserve">Family </w:t>
            </w:r>
            <w:r w:rsidR="002800F3" w:rsidRPr="005734B8">
              <w:rPr>
                <w:rFonts w:ascii="Calibri" w:eastAsia="Times New Roman" w:hAnsi="Calibri" w:cs="Calibri"/>
                <w:sz w:val="20"/>
                <w:szCs w:val="18"/>
                <w:lang w:val="en-US"/>
              </w:rPr>
              <w:t>v</w:t>
            </w:r>
            <w:r w:rsidRPr="005734B8">
              <w:rPr>
                <w:rFonts w:ascii="Calibri" w:eastAsia="Times New Roman" w:hAnsi="Calibri" w:cs="Calibri"/>
                <w:sz w:val="20"/>
                <w:szCs w:val="18"/>
                <w:lang w:val="en-US"/>
              </w:rPr>
              <w:t>iolence</w:t>
            </w:r>
            <w:r w:rsidR="002800F3" w:rsidRPr="005734B8">
              <w:rPr>
                <w:rFonts w:ascii="Calibri" w:eastAsia="Times New Roman" w:hAnsi="Calibri" w:cs="Calibri"/>
                <w:sz w:val="20"/>
                <w:szCs w:val="18"/>
                <w:lang w:val="en-US"/>
              </w:rPr>
              <w:t xml:space="preserve"> program</w:t>
            </w:r>
          </w:p>
        </w:tc>
        <w:tc>
          <w:tcPr>
            <w:tcW w:w="1701" w:type="dxa"/>
            <w:tcBorders>
              <w:top w:val="single" w:sz="4" w:space="0" w:color="53565A"/>
              <w:bottom w:val="single" w:sz="4" w:space="0" w:color="53565A"/>
            </w:tcBorders>
            <w:shd w:val="clear" w:color="auto" w:fill="auto"/>
          </w:tcPr>
          <w:p w14:paraId="0BF4FEFB"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1,690,120</w:t>
            </w:r>
          </w:p>
        </w:tc>
      </w:tr>
      <w:tr w:rsidR="00F603FA" w:rsidRPr="005734B8" w14:paraId="65361136" w14:textId="77777777" w:rsidTr="000F48B1">
        <w:trPr>
          <w:cantSplit/>
        </w:trPr>
        <w:tc>
          <w:tcPr>
            <w:tcW w:w="6234" w:type="dxa"/>
            <w:tcBorders>
              <w:top w:val="single" w:sz="4" w:space="0" w:color="53565A"/>
              <w:bottom w:val="single" w:sz="4" w:space="0" w:color="53565A"/>
            </w:tcBorders>
            <w:shd w:val="clear" w:color="auto" w:fill="auto"/>
          </w:tcPr>
          <w:p w14:paraId="3734B9D4"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eastAsia="en-AU"/>
              </w:rPr>
              <w:t>Feeling It</w:t>
            </w:r>
          </w:p>
        </w:tc>
        <w:tc>
          <w:tcPr>
            <w:tcW w:w="1701" w:type="dxa"/>
            <w:tcBorders>
              <w:top w:val="single" w:sz="4" w:space="0" w:color="53565A"/>
              <w:bottom w:val="single" w:sz="4" w:space="0" w:color="53565A"/>
            </w:tcBorders>
            <w:shd w:val="clear" w:color="auto" w:fill="auto"/>
          </w:tcPr>
          <w:p w14:paraId="7CC9CFCE"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rPr>
              <w:t>200,125</w:t>
            </w:r>
          </w:p>
        </w:tc>
      </w:tr>
      <w:tr w:rsidR="00F603FA" w:rsidRPr="005734B8" w14:paraId="4049F391" w14:textId="77777777" w:rsidTr="000F48B1">
        <w:trPr>
          <w:cantSplit/>
        </w:trPr>
        <w:tc>
          <w:tcPr>
            <w:tcW w:w="6234" w:type="dxa"/>
            <w:tcBorders>
              <w:top w:val="single" w:sz="4" w:space="0" w:color="53565A"/>
              <w:bottom w:val="single" w:sz="4" w:space="0" w:color="53565A"/>
            </w:tcBorders>
            <w:shd w:val="clear" w:color="auto" w:fill="auto"/>
          </w:tcPr>
          <w:p w14:paraId="663F3CBA"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Free TAFE practical placements 2021</w:t>
            </w:r>
          </w:p>
        </w:tc>
        <w:tc>
          <w:tcPr>
            <w:tcW w:w="1701" w:type="dxa"/>
            <w:tcBorders>
              <w:top w:val="single" w:sz="4" w:space="0" w:color="53565A"/>
              <w:bottom w:val="single" w:sz="4" w:space="0" w:color="53565A"/>
            </w:tcBorders>
            <w:shd w:val="clear" w:color="auto" w:fill="auto"/>
          </w:tcPr>
          <w:p w14:paraId="23098BEE"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4,228,999</w:t>
            </w:r>
          </w:p>
        </w:tc>
      </w:tr>
      <w:tr w:rsidR="00F603FA" w:rsidRPr="005734B8" w14:paraId="0A10A99A" w14:textId="77777777" w:rsidTr="000F48B1">
        <w:trPr>
          <w:cantSplit/>
        </w:trPr>
        <w:tc>
          <w:tcPr>
            <w:tcW w:w="6234" w:type="dxa"/>
            <w:tcBorders>
              <w:top w:val="single" w:sz="4" w:space="0" w:color="53565A"/>
              <w:bottom w:val="single" w:sz="4" w:space="0" w:color="53565A"/>
            </w:tcBorders>
            <w:shd w:val="clear" w:color="auto" w:fill="auto"/>
          </w:tcPr>
          <w:p w14:paraId="7011CDCD" w14:textId="2A429C2A"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 xml:space="preserve">Free TAFE </w:t>
            </w:r>
            <w:r w:rsidR="002800F3" w:rsidRPr="005734B8">
              <w:rPr>
                <w:rFonts w:ascii="Calibri" w:eastAsia="Times New Roman" w:hAnsi="Calibri" w:cs="Calibri"/>
                <w:sz w:val="20"/>
                <w:szCs w:val="18"/>
                <w:lang w:val="en-US"/>
              </w:rPr>
              <w:t>s</w:t>
            </w:r>
            <w:r w:rsidRPr="005734B8">
              <w:rPr>
                <w:rFonts w:ascii="Calibri" w:eastAsia="Times New Roman" w:hAnsi="Calibri" w:cs="Calibri"/>
                <w:sz w:val="20"/>
                <w:szCs w:val="18"/>
                <w:lang w:val="en-US"/>
              </w:rPr>
              <w:t>kills for economic recovery funding</w:t>
            </w:r>
          </w:p>
        </w:tc>
        <w:tc>
          <w:tcPr>
            <w:tcW w:w="1701" w:type="dxa"/>
            <w:tcBorders>
              <w:top w:val="single" w:sz="4" w:space="0" w:color="53565A"/>
              <w:bottom w:val="single" w:sz="4" w:space="0" w:color="53565A"/>
            </w:tcBorders>
            <w:shd w:val="clear" w:color="auto" w:fill="auto"/>
          </w:tcPr>
          <w:p w14:paraId="7611204A"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1,300,000</w:t>
            </w:r>
          </w:p>
        </w:tc>
      </w:tr>
      <w:tr w:rsidR="00F603FA" w:rsidRPr="005734B8" w14:paraId="234A046D" w14:textId="77777777" w:rsidTr="000F48B1">
        <w:trPr>
          <w:cantSplit/>
        </w:trPr>
        <w:tc>
          <w:tcPr>
            <w:tcW w:w="6234" w:type="dxa"/>
            <w:tcBorders>
              <w:top w:val="single" w:sz="4" w:space="0" w:color="53565A"/>
              <w:bottom w:val="single" w:sz="4" w:space="0" w:color="53565A"/>
            </w:tcBorders>
            <w:shd w:val="clear" w:color="auto" w:fill="auto"/>
          </w:tcPr>
          <w:p w14:paraId="3C473005"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Funding for new and refurbishing existing facilities (Geelong)</w:t>
            </w:r>
          </w:p>
        </w:tc>
        <w:tc>
          <w:tcPr>
            <w:tcW w:w="1701" w:type="dxa"/>
            <w:tcBorders>
              <w:top w:val="single" w:sz="4" w:space="0" w:color="53565A"/>
              <w:bottom w:val="single" w:sz="4" w:space="0" w:color="53565A"/>
            </w:tcBorders>
            <w:shd w:val="clear" w:color="auto" w:fill="auto"/>
          </w:tcPr>
          <w:p w14:paraId="1209F6B4"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12,141,000</w:t>
            </w:r>
          </w:p>
        </w:tc>
      </w:tr>
      <w:tr w:rsidR="00F603FA" w:rsidRPr="005734B8" w14:paraId="2073F080" w14:textId="77777777" w:rsidTr="000F48B1">
        <w:trPr>
          <w:cantSplit/>
        </w:trPr>
        <w:tc>
          <w:tcPr>
            <w:tcW w:w="6234" w:type="dxa"/>
            <w:tcBorders>
              <w:top w:val="single" w:sz="4" w:space="0" w:color="53565A"/>
              <w:bottom w:val="single" w:sz="4" w:space="0" w:color="53565A"/>
            </w:tcBorders>
            <w:shd w:val="clear" w:color="auto" w:fill="auto"/>
          </w:tcPr>
          <w:p w14:paraId="69988371"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Future Innovators</w:t>
            </w:r>
          </w:p>
        </w:tc>
        <w:tc>
          <w:tcPr>
            <w:tcW w:w="1701" w:type="dxa"/>
            <w:tcBorders>
              <w:top w:val="single" w:sz="4" w:space="0" w:color="53565A"/>
              <w:bottom w:val="single" w:sz="4" w:space="0" w:color="53565A"/>
            </w:tcBorders>
            <w:shd w:val="clear" w:color="auto" w:fill="auto"/>
          </w:tcPr>
          <w:p w14:paraId="1AF76896"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132,000</w:t>
            </w:r>
          </w:p>
        </w:tc>
      </w:tr>
      <w:tr w:rsidR="00F603FA" w:rsidRPr="005734B8" w14:paraId="7B3FEAA3" w14:textId="77777777" w:rsidTr="000F48B1">
        <w:trPr>
          <w:cantSplit/>
        </w:trPr>
        <w:tc>
          <w:tcPr>
            <w:tcW w:w="6234" w:type="dxa"/>
            <w:tcBorders>
              <w:top w:val="single" w:sz="4" w:space="0" w:color="53565A"/>
              <w:bottom w:val="single" w:sz="4" w:space="0" w:color="53565A"/>
            </w:tcBorders>
            <w:shd w:val="clear" w:color="auto" w:fill="auto"/>
          </w:tcPr>
          <w:p w14:paraId="1ADE2635" w14:textId="77777777" w:rsidR="00E249A4" w:rsidRPr="005734B8" w:rsidRDefault="00E249A4" w:rsidP="000F48B1">
            <w:pPr>
              <w:spacing w:before="120" w:after="120"/>
              <w:rPr>
                <w:rFonts w:ascii="Calibri" w:eastAsia="Times New Roman" w:hAnsi="Calibri" w:cs="Calibri"/>
                <w:sz w:val="16"/>
                <w:szCs w:val="16"/>
                <w:highlight w:val="green"/>
                <w:lang w:val="en-US"/>
              </w:rPr>
            </w:pPr>
            <w:r w:rsidRPr="005734B8">
              <w:rPr>
                <w:rFonts w:ascii="Calibri" w:eastAsia="Times New Roman" w:hAnsi="Calibri" w:cs="Calibri"/>
                <w:sz w:val="20"/>
                <w:szCs w:val="18"/>
                <w:lang w:val="en-US"/>
              </w:rPr>
              <w:t>GOTAFE Mobile Skills and Jobs Centre</w:t>
            </w:r>
          </w:p>
        </w:tc>
        <w:tc>
          <w:tcPr>
            <w:tcW w:w="1701" w:type="dxa"/>
            <w:tcBorders>
              <w:top w:val="single" w:sz="4" w:space="0" w:color="53565A"/>
              <w:bottom w:val="single" w:sz="4" w:space="0" w:color="53565A"/>
            </w:tcBorders>
            <w:shd w:val="clear" w:color="auto" w:fill="auto"/>
          </w:tcPr>
          <w:p w14:paraId="576C9293"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667,051</w:t>
            </w:r>
          </w:p>
        </w:tc>
      </w:tr>
      <w:tr w:rsidR="00F603FA" w:rsidRPr="005734B8" w14:paraId="5FF281EE" w14:textId="77777777" w:rsidTr="000F48B1">
        <w:trPr>
          <w:cantSplit/>
        </w:trPr>
        <w:tc>
          <w:tcPr>
            <w:tcW w:w="6234" w:type="dxa"/>
            <w:tcBorders>
              <w:top w:val="single" w:sz="4" w:space="0" w:color="53565A"/>
              <w:bottom w:val="single" w:sz="4" w:space="0" w:color="53565A"/>
            </w:tcBorders>
            <w:shd w:val="clear" w:color="auto" w:fill="auto"/>
          </w:tcPr>
          <w:p w14:paraId="5E197C3A" w14:textId="5086B914"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sz w:val="20"/>
                <w:szCs w:val="18"/>
                <w:lang w:val="en-US"/>
              </w:rPr>
              <w:lastRenderedPageBreak/>
              <w:t xml:space="preserve">Grants to </w:t>
            </w:r>
            <w:r w:rsidR="002800F3" w:rsidRPr="005734B8">
              <w:rPr>
                <w:rFonts w:ascii="Calibri" w:eastAsia="Times New Roman" w:hAnsi="Calibri" w:cs="Calibri"/>
                <w:sz w:val="20"/>
                <w:szCs w:val="18"/>
                <w:lang w:val="en-US"/>
              </w:rPr>
              <w:t>l</w:t>
            </w:r>
            <w:r w:rsidRPr="005734B8">
              <w:rPr>
                <w:rFonts w:ascii="Calibri" w:eastAsia="Times New Roman" w:hAnsi="Calibri" w:cs="Calibri"/>
                <w:sz w:val="20"/>
                <w:szCs w:val="18"/>
                <w:lang w:val="en-US"/>
              </w:rPr>
              <w:t>anguage-</w:t>
            </w:r>
            <w:r w:rsidR="002800F3" w:rsidRPr="005734B8">
              <w:rPr>
                <w:rFonts w:ascii="Calibri" w:eastAsia="Times New Roman" w:hAnsi="Calibri" w:cs="Calibri"/>
                <w:sz w:val="20"/>
                <w:szCs w:val="18"/>
                <w:lang w:val="en-US"/>
              </w:rPr>
              <w:t>s</w:t>
            </w:r>
            <w:r w:rsidRPr="005734B8">
              <w:rPr>
                <w:rFonts w:ascii="Calibri" w:eastAsia="Times New Roman" w:hAnsi="Calibri" w:cs="Calibri"/>
                <w:sz w:val="20"/>
                <w:szCs w:val="18"/>
                <w:lang w:val="en-US"/>
              </w:rPr>
              <w:t xml:space="preserve">pecific </w:t>
            </w:r>
            <w:r w:rsidR="002800F3" w:rsidRPr="005734B8">
              <w:rPr>
                <w:rFonts w:ascii="Calibri" w:eastAsia="Times New Roman" w:hAnsi="Calibri" w:cs="Calibri"/>
                <w:sz w:val="20"/>
                <w:szCs w:val="18"/>
                <w:lang w:val="en-US"/>
              </w:rPr>
              <w:t>t</w:t>
            </w:r>
            <w:r w:rsidRPr="005734B8">
              <w:rPr>
                <w:rFonts w:ascii="Calibri" w:eastAsia="Times New Roman" w:hAnsi="Calibri" w:cs="Calibri"/>
                <w:sz w:val="20"/>
                <w:szCs w:val="18"/>
                <w:lang w:val="en-US"/>
              </w:rPr>
              <w:t xml:space="preserve">eacher </w:t>
            </w:r>
            <w:r w:rsidR="002800F3" w:rsidRPr="005734B8">
              <w:rPr>
                <w:rFonts w:ascii="Calibri" w:eastAsia="Times New Roman" w:hAnsi="Calibri" w:cs="Calibri"/>
                <w:sz w:val="20"/>
                <w:szCs w:val="18"/>
                <w:lang w:val="en-US"/>
              </w:rPr>
              <w:t>a</w:t>
            </w:r>
            <w:r w:rsidRPr="005734B8">
              <w:rPr>
                <w:rFonts w:ascii="Calibri" w:eastAsia="Times New Roman" w:hAnsi="Calibri" w:cs="Calibri"/>
                <w:sz w:val="20"/>
                <w:szCs w:val="18"/>
                <w:lang w:val="en-US"/>
              </w:rPr>
              <w:t>ssociations</w:t>
            </w:r>
          </w:p>
        </w:tc>
        <w:tc>
          <w:tcPr>
            <w:tcW w:w="1701" w:type="dxa"/>
            <w:tcBorders>
              <w:top w:val="single" w:sz="4" w:space="0" w:color="53565A"/>
              <w:bottom w:val="single" w:sz="4" w:space="0" w:color="53565A"/>
            </w:tcBorders>
            <w:shd w:val="clear" w:color="auto" w:fill="auto"/>
          </w:tcPr>
          <w:p w14:paraId="12BFB795"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251,065</w:t>
            </w:r>
          </w:p>
        </w:tc>
      </w:tr>
      <w:tr w:rsidR="00F603FA" w:rsidRPr="005734B8" w14:paraId="78050ECD" w14:textId="77777777" w:rsidTr="000F48B1">
        <w:trPr>
          <w:cantSplit/>
        </w:trPr>
        <w:tc>
          <w:tcPr>
            <w:tcW w:w="6234" w:type="dxa"/>
            <w:tcBorders>
              <w:top w:val="single" w:sz="4" w:space="0" w:color="53565A"/>
              <w:bottom w:val="single" w:sz="4" w:space="0" w:color="53565A"/>
            </w:tcBorders>
            <w:shd w:val="clear" w:color="auto" w:fill="auto"/>
          </w:tcPr>
          <w:p w14:paraId="756F6724"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Greek student film festival</w:t>
            </w:r>
          </w:p>
        </w:tc>
        <w:tc>
          <w:tcPr>
            <w:tcW w:w="1701" w:type="dxa"/>
            <w:tcBorders>
              <w:top w:val="single" w:sz="4" w:space="0" w:color="53565A"/>
              <w:bottom w:val="single" w:sz="4" w:space="0" w:color="53565A"/>
            </w:tcBorders>
            <w:shd w:val="clear" w:color="auto" w:fill="auto"/>
          </w:tcPr>
          <w:p w14:paraId="4DD4CE8E"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10,000</w:t>
            </w:r>
          </w:p>
        </w:tc>
      </w:tr>
      <w:tr w:rsidR="00F603FA" w:rsidRPr="005734B8" w14:paraId="1F71B7D0" w14:textId="77777777" w:rsidTr="000F48B1">
        <w:trPr>
          <w:cantSplit/>
        </w:trPr>
        <w:tc>
          <w:tcPr>
            <w:tcW w:w="6234" w:type="dxa"/>
            <w:tcBorders>
              <w:top w:val="single" w:sz="4" w:space="0" w:color="53565A"/>
              <w:bottom w:val="single" w:sz="4" w:space="0" w:color="53565A"/>
            </w:tcBorders>
            <w:shd w:val="clear" w:color="auto" w:fill="auto"/>
          </w:tcPr>
          <w:p w14:paraId="7515B9EB"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Growing Victoria</w:t>
            </w:r>
          </w:p>
        </w:tc>
        <w:tc>
          <w:tcPr>
            <w:tcW w:w="1701" w:type="dxa"/>
            <w:tcBorders>
              <w:top w:val="single" w:sz="4" w:space="0" w:color="53565A"/>
              <w:bottom w:val="single" w:sz="4" w:space="0" w:color="53565A"/>
            </w:tcBorders>
            <w:shd w:val="clear" w:color="auto" w:fill="auto"/>
          </w:tcPr>
          <w:p w14:paraId="5D8A587E"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3,650,000</w:t>
            </w:r>
          </w:p>
        </w:tc>
      </w:tr>
      <w:tr w:rsidR="00F603FA" w:rsidRPr="005734B8" w14:paraId="66D0F105" w14:textId="77777777" w:rsidTr="000F48B1">
        <w:trPr>
          <w:cantSplit/>
        </w:trPr>
        <w:tc>
          <w:tcPr>
            <w:tcW w:w="6234" w:type="dxa"/>
            <w:tcBorders>
              <w:top w:val="single" w:sz="4" w:space="0" w:color="53565A"/>
              <w:bottom w:val="single" w:sz="4" w:space="0" w:color="53565A"/>
            </w:tcBorders>
            <w:shd w:val="clear" w:color="auto" w:fill="auto"/>
          </w:tcPr>
          <w:p w14:paraId="68A55876" w14:textId="77777777" w:rsidR="00E249A4" w:rsidRPr="005734B8" w:rsidRDefault="00E249A4" w:rsidP="000F48B1">
            <w:pPr>
              <w:spacing w:before="120" w:after="120"/>
              <w:rPr>
                <w:rFonts w:ascii="Calibri" w:eastAsia="Times New Roman" w:hAnsi="Calibri" w:cs="Calibri"/>
                <w:sz w:val="16"/>
                <w:szCs w:val="16"/>
                <w:highlight w:val="green"/>
                <w:lang w:val="en-US"/>
              </w:rPr>
            </w:pPr>
            <w:r w:rsidRPr="005734B8">
              <w:rPr>
                <w:rFonts w:ascii="Calibri" w:eastAsia="Times New Roman" w:hAnsi="Calibri" w:cs="Calibri"/>
                <w:sz w:val="20"/>
                <w:szCs w:val="18"/>
                <w:lang w:val="en-US"/>
              </w:rPr>
              <w:t>Higher Apprenticeship Pilots</w:t>
            </w:r>
          </w:p>
        </w:tc>
        <w:tc>
          <w:tcPr>
            <w:tcW w:w="1701" w:type="dxa"/>
            <w:tcBorders>
              <w:top w:val="single" w:sz="4" w:space="0" w:color="53565A"/>
              <w:bottom w:val="single" w:sz="4" w:space="0" w:color="53565A"/>
            </w:tcBorders>
            <w:shd w:val="clear" w:color="auto" w:fill="auto"/>
          </w:tcPr>
          <w:p w14:paraId="2A3FA606"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258,519</w:t>
            </w:r>
          </w:p>
        </w:tc>
      </w:tr>
      <w:tr w:rsidR="00F603FA" w:rsidRPr="005734B8" w14:paraId="78F82B60" w14:textId="77777777" w:rsidTr="000F48B1">
        <w:trPr>
          <w:cantSplit/>
        </w:trPr>
        <w:tc>
          <w:tcPr>
            <w:tcW w:w="6234" w:type="dxa"/>
            <w:tcBorders>
              <w:top w:val="single" w:sz="4" w:space="0" w:color="53565A"/>
              <w:bottom w:val="single" w:sz="4" w:space="0" w:color="53565A"/>
            </w:tcBorders>
            <w:shd w:val="clear" w:color="auto" w:fill="auto"/>
          </w:tcPr>
          <w:p w14:paraId="78BB3989"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Higher Apprenticeships and Traineeships (Social Services)</w:t>
            </w:r>
          </w:p>
        </w:tc>
        <w:tc>
          <w:tcPr>
            <w:tcW w:w="1701" w:type="dxa"/>
            <w:tcBorders>
              <w:top w:val="single" w:sz="4" w:space="0" w:color="53565A"/>
              <w:bottom w:val="single" w:sz="4" w:space="0" w:color="53565A"/>
            </w:tcBorders>
            <w:shd w:val="clear" w:color="auto" w:fill="auto"/>
          </w:tcPr>
          <w:p w14:paraId="419B2C1D"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600,000</w:t>
            </w:r>
          </w:p>
        </w:tc>
      </w:tr>
      <w:tr w:rsidR="00F603FA" w:rsidRPr="005734B8" w14:paraId="4C7A5B1B" w14:textId="77777777" w:rsidTr="000F48B1">
        <w:trPr>
          <w:cantSplit/>
        </w:trPr>
        <w:tc>
          <w:tcPr>
            <w:tcW w:w="6234" w:type="dxa"/>
            <w:tcBorders>
              <w:top w:val="single" w:sz="4" w:space="0" w:color="53565A"/>
              <w:bottom w:val="single" w:sz="4" w:space="0" w:color="53565A"/>
            </w:tcBorders>
            <w:shd w:val="clear" w:color="auto" w:fill="auto"/>
          </w:tcPr>
          <w:p w14:paraId="63A4EFB8" w14:textId="77777777" w:rsidR="00E249A4" w:rsidRPr="005734B8" w:rsidRDefault="00E249A4" w:rsidP="000F48B1">
            <w:pPr>
              <w:spacing w:before="120" w:after="120"/>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Ignite: Teach the Teacher</w:t>
            </w:r>
          </w:p>
        </w:tc>
        <w:tc>
          <w:tcPr>
            <w:tcW w:w="1701" w:type="dxa"/>
            <w:tcBorders>
              <w:top w:val="single" w:sz="4" w:space="0" w:color="53565A"/>
              <w:bottom w:val="single" w:sz="4" w:space="0" w:color="53565A"/>
            </w:tcBorders>
            <w:shd w:val="clear" w:color="auto" w:fill="auto"/>
          </w:tcPr>
          <w:p w14:paraId="498D4AC6" w14:textId="77777777" w:rsidR="00E249A4" w:rsidRPr="005734B8" w:rsidRDefault="00E249A4" w:rsidP="000F48B1">
            <w:pPr>
              <w:spacing w:before="120" w:after="120"/>
              <w:jc w:val="right"/>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108,000</w:t>
            </w:r>
          </w:p>
        </w:tc>
      </w:tr>
      <w:tr w:rsidR="00F603FA" w:rsidRPr="005734B8" w14:paraId="0BA1382F" w14:textId="77777777" w:rsidTr="000F48B1">
        <w:trPr>
          <w:cantSplit/>
        </w:trPr>
        <w:tc>
          <w:tcPr>
            <w:tcW w:w="6234" w:type="dxa"/>
            <w:tcBorders>
              <w:top w:val="single" w:sz="4" w:space="0" w:color="53565A"/>
              <w:bottom w:val="single" w:sz="4" w:space="0" w:color="53565A"/>
            </w:tcBorders>
            <w:shd w:val="clear" w:color="auto" w:fill="auto"/>
          </w:tcPr>
          <w:p w14:paraId="0D05F819"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Improving Outcomes for Rural and Regional Students and Schools</w:t>
            </w:r>
          </w:p>
        </w:tc>
        <w:tc>
          <w:tcPr>
            <w:tcW w:w="1701" w:type="dxa"/>
            <w:tcBorders>
              <w:top w:val="single" w:sz="4" w:space="0" w:color="53565A"/>
              <w:bottom w:val="single" w:sz="4" w:space="0" w:color="53565A"/>
            </w:tcBorders>
            <w:shd w:val="clear" w:color="auto" w:fill="auto"/>
          </w:tcPr>
          <w:p w14:paraId="390B9007"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796,620</w:t>
            </w:r>
          </w:p>
        </w:tc>
      </w:tr>
      <w:tr w:rsidR="00F603FA" w:rsidRPr="005734B8" w14:paraId="3CBD6062" w14:textId="77777777" w:rsidTr="000F48B1">
        <w:trPr>
          <w:cantSplit/>
        </w:trPr>
        <w:tc>
          <w:tcPr>
            <w:tcW w:w="6234" w:type="dxa"/>
            <w:tcBorders>
              <w:top w:val="single" w:sz="4" w:space="0" w:color="53565A"/>
              <w:bottom w:val="single" w:sz="4" w:space="0" w:color="53565A"/>
            </w:tcBorders>
            <w:shd w:val="clear" w:color="auto" w:fill="auto"/>
          </w:tcPr>
          <w:p w14:paraId="42F51C2B"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Improving Outcomes for Specialist School Students and Families</w:t>
            </w:r>
          </w:p>
        </w:tc>
        <w:tc>
          <w:tcPr>
            <w:tcW w:w="1701" w:type="dxa"/>
            <w:tcBorders>
              <w:top w:val="single" w:sz="4" w:space="0" w:color="53565A"/>
              <w:bottom w:val="single" w:sz="4" w:space="0" w:color="53565A"/>
            </w:tcBorders>
            <w:shd w:val="clear" w:color="auto" w:fill="auto"/>
          </w:tcPr>
          <w:p w14:paraId="50468732"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156,200</w:t>
            </w:r>
          </w:p>
        </w:tc>
      </w:tr>
      <w:tr w:rsidR="00F603FA" w:rsidRPr="005734B8" w14:paraId="2D9CFB86" w14:textId="77777777" w:rsidTr="000F48B1">
        <w:trPr>
          <w:cantSplit/>
        </w:trPr>
        <w:tc>
          <w:tcPr>
            <w:tcW w:w="6234" w:type="dxa"/>
            <w:tcBorders>
              <w:top w:val="single" w:sz="4" w:space="0" w:color="53565A"/>
              <w:bottom w:val="single" w:sz="4" w:space="0" w:color="53565A"/>
            </w:tcBorders>
            <w:shd w:val="clear" w:color="auto" w:fill="auto"/>
          </w:tcPr>
          <w:p w14:paraId="48275390"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In2Science eMentoring</w:t>
            </w:r>
          </w:p>
        </w:tc>
        <w:tc>
          <w:tcPr>
            <w:tcW w:w="1701" w:type="dxa"/>
            <w:tcBorders>
              <w:top w:val="single" w:sz="4" w:space="0" w:color="53565A"/>
              <w:bottom w:val="single" w:sz="4" w:space="0" w:color="53565A"/>
            </w:tcBorders>
            <w:shd w:val="clear" w:color="auto" w:fill="auto"/>
          </w:tcPr>
          <w:p w14:paraId="27BD8B7D"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88,000</w:t>
            </w:r>
          </w:p>
        </w:tc>
      </w:tr>
      <w:tr w:rsidR="00F603FA" w:rsidRPr="005734B8" w14:paraId="62713E03" w14:textId="77777777" w:rsidTr="000F48B1">
        <w:trPr>
          <w:cantSplit/>
        </w:trPr>
        <w:tc>
          <w:tcPr>
            <w:tcW w:w="6234" w:type="dxa"/>
            <w:tcBorders>
              <w:top w:val="single" w:sz="4" w:space="0" w:color="53565A"/>
              <w:bottom w:val="single" w:sz="4" w:space="0" w:color="53565A"/>
            </w:tcBorders>
            <w:shd w:val="clear" w:color="auto" w:fill="auto"/>
          </w:tcPr>
          <w:p w14:paraId="7A6A1799"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Industry Engagement Framework Program</w:t>
            </w:r>
          </w:p>
        </w:tc>
        <w:tc>
          <w:tcPr>
            <w:tcW w:w="1701" w:type="dxa"/>
            <w:tcBorders>
              <w:top w:val="single" w:sz="4" w:space="0" w:color="53565A"/>
              <w:bottom w:val="single" w:sz="4" w:space="0" w:color="53565A"/>
            </w:tcBorders>
            <w:shd w:val="clear" w:color="auto" w:fill="auto"/>
          </w:tcPr>
          <w:p w14:paraId="53183334"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380,000</w:t>
            </w:r>
          </w:p>
        </w:tc>
      </w:tr>
      <w:tr w:rsidR="00F603FA" w:rsidRPr="005734B8" w14:paraId="206A9FBB" w14:textId="77777777" w:rsidTr="000F48B1">
        <w:trPr>
          <w:cantSplit/>
        </w:trPr>
        <w:tc>
          <w:tcPr>
            <w:tcW w:w="6234" w:type="dxa"/>
            <w:tcBorders>
              <w:top w:val="single" w:sz="4" w:space="0" w:color="53565A"/>
              <w:bottom w:val="single" w:sz="4" w:space="0" w:color="53565A"/>
            </w:tcBorders>
            <w:shd w:val="clear" w:color="auto" w:fill="auto"/>
          </w:tcPr>
          <w:p w14:paraId="2D64D70D" w14:textId="77777777" w:rsidR="00E249A4" w:rsidRPr="005734B8" w:rsidRDefault="00E249A4" w:rsidP="000F48B1">
            <w:pPr>
              <w:spacing w:before="120" w:after="120"/>
              <w:rPr>
                <w:rFonts w:ascii="Calibri" w:eastAsia="Times New Roman" w:hAnsi="Calibri" w:cs="Calibri"/>
                <w:color w:val="000000"/>
                <w:sz w:val="20"/>
                <w:szCs w:val="20"/>
                <w:lang w:val="en-US" w:eastAsia="en-AU"/>
              </w:rPr>
            </w:pPr>
            <w:r w:rsidRPr="005734B8">
              <w:rPr>
                <w:rFonts w:ascii="Calibri" w:eastAsia="Times New Roman" w:hAnsi="Calibri" w:cs="Calibri"/>
                <w:color w:val="000000"/>
                <w:sz w:val="20"/>
                <w:szCs w:val="20"/>
                <w:lang w:val="en-US"/>
              </w:rPr>
              <w:t xml:space="preserve">Industry Placement Program </w:t>
            </w:r>
          </w:p>
        </w:tc>
        <w:tc>
          <w:tcPr>
            <w:tcW w:w="1701" w:type="dxa"/>
            <w:tcBorders>
              <w:top w:val="single" w:sz="4" w:space="0" w:color="53565A"/>
              <w:bottom w:val="single" w:sz="4" w:space="0" w:color="53565A"/>
            </w:tcBorders>
            <w:shd w:val="clear" w:color="auto" w:fill="auto"/>
          </w:tcPr>
          <w:p w14:paraId="109ADF06" w14:textId="77777777" w:rsidR="00E249A4" w:rsidRPr="005734B8" w:rsidRDefault="00E249A4" w:rsidP="000F48B1">
            <w:pPr>
              <w:spacing w:before="120" w:after="120"/>
              <w:jc w:val="right"/>
              <w:rPr>
                <w:rFonts w:ascii="Calibri" w:eastAsia="Times New Roman" w:hAnsi="Calibri" w:cs="Calibri"/>
                <w:sz w:val="20"/>
                <w:szCs w:val="20"/>
                <w:lang w:val="en-US"/>
              </w:rPr>
            </w:pPr>
            <w:r w:rsidRPr="005734B8">
              <w:rPr>
                <w:rFonts w:ascii="Calibri" w:eastAsia="Times New Roman" w:hAnsi="Calibri" w:cs="Calibri"/>
                <w:color w:val="000000"/>
                <w:sz w:val="20"/>
                <w:szCs w:val="20"/>
                <w:lang w:val="en-US"/>
              </w:rPr>
              <w:t>1,664,410</w:t>
            </w:r>
          </w:p>
        </w:tc>
      </w:tr>
      <w:tr w:rsidR="00F603FA" w:rsidRPr="005734B8" w14:paraId="48566332" w14:textId="77777777" w:rsidTr="000F48B1">
        <w:trPr>
          <w:cantSplit/>
        </w:trPr>
        <w:tc>
          <w:tcPr>
            <w:tcW w:w="6234" w:type="dxa"/>
            <w:tcBorders>
              <w:top w:val="single" w:sz="4" w:space="0" w:color="53565A"/>
              <w:bottom w:val="single" w:sz="4" w:space="0" w:color="53565A"/>
            </w:tcBorders>
            <w:shd w:val="clear" w:color="auto" w:fill="auto"/>
          </w:tcPr>
          <w:p w14:paraId="357E8567" w14:textId="77777777" w:rsidR="00E249A4" w:rsidRPr="005734B8" w:rsidRDefault="00E249A4" w:rsidP="000F48B1">
            <w:pPr>
              <w:spacing w:before="120" w:after="120"/>
              <w:rPr>
                <w:rFonts w:ascii="Calibri" w:eastAsia="Times New Roman" w:hAnsi="Calibri" w:cs="Calibri"/>
                <w:sz w:val="20"/>
                <w:szCs w:val="18"/>
                <w:lang w:val="en-US"/>
              </w:rPr>
            </w:pPr>
            <w:r w:rsidRPr="005734B8">
              <w:rPr>
                <w:rFonts w:ascii="Calibri" w:eastAsia="Times New Roman" w:hAnsi="Calibri" w:cs="Calibri"/>
                <w:sz w:val="20"/>
                <w:szCs w:val="18"/>
                <w:lang w:val="en-US"/>
              </w:rPr>
              <w:t>Innovative Initial Teacher Education</w:t>
            </w:r>
          </w:p>
        </w:tc>
        <w:tc>
          <w:tcPr>
            <w:tcW w:w="1701" w:type="dxa"/>
            <w:tcBorders>
              <w:top w:val="single" w:sz="4" w:space="0" w:color="53565A"/>
              <w:bottom w:val="single" w:sz="4" w:space="0" w:color="53565A"/>
            </w:tcBorders>
            <w:shd w:val="clear" w:color="auto" w:fill="auto"/>
          </w:tcPr>
          <w:p w14:paraId="51D08A4C" w14:textId="77777777" w:rsidR="00E249A4" w:rsidRPr="005734B8" w:rsidRDefault="00E249A4" w:rsidP="000F48B1">
            <w:pPr>
              <w:spacing w:before="120" w:after="120"/>
              <w:jc w:val="right"/>
              <w:rPr>
                <w:rFonts w:ascii="Calibri" w:eastAsia="Times New Roman" w:hAnsi="Calibri" w:cs="Calibri"/>
                <w:sz w:val="20"/>
                <w:szCs w:val="18"/>
                <w:lang w:val="en-US"/>
              </w:rPr>
            </w:pPr>
            <w:r w:rsidRPr="005734B8">
              <w:rPr>
                <w:rFonts w:ascii="Calibri" w:eastAsia="Times New Roman" w:hAnsi="Calibri" w:cs="Calibri"/>
                <w:sz w:val="20"/>
                <w:szCs w:val="18"/>
                <w:lang w:val="en-US"/>
              </w:rPr>
              <w:t>910,800</w:t>
            </w:r>
          </w:p>
        </w:tc>
      </w:tr>
      <w:tr w:rsidR="00F603FA" w:rsidRPr="005734B8" w14:paraId="6F1F9AFB" w14:textId="77777777" w:rsidTr="000F48B1">
        <w:trPr>
          <w:cantSplit/>
        </w:trPr>
        <w:tc>
          <w:tcPr>
            <w:tcW w:w="6234" w:type="dxa"/>
            <w:tcBorders>
              <w:top w:val="single" w:sz="4" w:space="0" w:color="53565A"/>
              <w:bottom w:val="single" w:sz="4" w:space="0" w:color="53565A"/>
            </w:tcBorders>
            <w:shd w:val="clear" w:color="auto" w:fill="auto"/>
          </w:tcPr>
          <w:p w14:paraId="352849FC" w14:textId="77777777" w:rsidR="00E249A4" w:rsidRPr="005734B8" w:rsidRDefault="00E249A4" w:rsidP="000F48B1">
            <w:pPr>
              <w:spacing w:before="120" w:after="120"/>
              <w:rPr>
                <w:rFonts w:ascii="Calibri" w:eastAsia="Times New Roman" w:hAnsi="Calibri" w:cs="Calibri"/>
                <w:sz w:val="16"/>
                <w:szCs w:val="16"/>
                <w:lang w:val="en-US"/>
              </w:rPr>
            </w:pPr>
            <w:r w:rsidRPr="005734B8" w:rsidDel="00BF68F5">
              <w:rPr>
                <w:rFonts w:ascii="Calibri" w:eastAsia="Times New Roman" w:hAnsi="Calibri" w:cs="Calibri"/>
                <w:sz w:val="20"/>
                <w:szCs w:val="18"/>
                <w:lang w:val="en-US"/>
              </w:rPr>
              <w:t>International Specialised Skills Institute</w:t>
            </w:r>
            <w:r w:rsidRPr="005734B8">
              <w:rPr>
                <w:rFonts w:ascii="Calibri" w:eastAsia="Times New Roman" w:hAnsi="Calibri" w:cs="Calibri"/>
                <w:sz w:val="20"/>
                <w:szCs w:val="18"/>
                <w:lang w:val="en-US"/>
              </w:rPr>
              <w:t xml:space="preserve"> Program</w:t>
            </w:r>
          </w:p>
        </w:tc>
        <w:tc>
          <w:tcPr>
            <w:tcW w:w="1701" w:type="dxa"/>
            <w:tcBorders>
              <w:top w:val="single" w:sz="4" w:space="0" w:color="53565A"/>
              <w:bottom w:val="single" w:sz="4" w:space="0" w:color="53565A"/>
            </w:tcBorders>
            <w:shd w:val="clear" w:color="auto" w:fill="auto"/>
          </w:tcPr>
          <w:p w14:paraId="65AB13B3"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2,420,000</w:t>
            </w:r>
          </w:p>
        </w:tc>
      </w:tr>
      <w:tr w:rsidR="00F603FA" w:rsidRPr="005734B8" w14:paraId="2E9F3212" w14:textId="77777777" w:rsidTr="000F48B1">
        <w:trPr>
          <w:cantSplit/>
        </w:trPr>
        <w:tc>
          <w:tcPr>
            <w:tcW w:w="6234" w:type="dxa"/>
            <w:tcBorders>
              <w:top w:val="single" w:sz="4" w:space="0" w:color="53565A"/>
              <w:bottom w:val="single" w:sz="4" w:space="0" w:color="53565A"/>
            </w:tcBorders>
            <w:shd w:val="clear" w:color="auto" w:fill="auto"/>
          </w:tcPr>
          <w:p w14:paraId="2A899109"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Jewish Student Advisory Group</w:t>
            </w:r>
          </w:p>
        </w:tc>
        <w:tc>
          <w:tcPr>
            <w:tcW w:w="1701" w:type="dxa"/>
            <w:tcBorders>
              <w:top w:val="single" w:sz="4" w:space="0" w:color="53565A"/>
              <w:bottom w:val="single" w:sz="4" w:space="0" w:color="53565A"/>
            </w:tcBorders>
            <w:shd w:val="clear" w:color="auto" w:fill="auto"/>
          </w:tcPr>
          <w:p w14:paraId="7A8DD7DD"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18,250</w:t>
            </w:r>
          </w:p>
        </w:tc>
      </w:tr>
      <w:tr w:rsidR="00F603FA" w:rsidRPr="005734B8" w14:paraId="1BB6FEF8" w14:textId="77777777" w:rsidTr="000F48B1">
        <w:trPr>
          <w:cantSplit/>
        </w:trPr>
        <w:tc>
          <w:tcPr>
            <w:tcW w:w="6234" w:type="dxa"/>
            <w:tcBorders>
              <w:top w:val="single" w:sz="4" w:space="0" w:color="53565A"/>
              <w:bottom w:val="single" w:sz="4" w:space="0" w:color="53565A"/>
            </w:tcBorders>
            <w:shd w:val="clear" w:color="auto" w:fill="auto"/>
          </w:tcPr>
          <w:p w14:paraId="2C50AEE3"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JobTrainer Auxiliary Support 2021</w:t>
            </w:r>
          </w:p>
        </w:tc>
        <w:tc>
          <w:tcPr>
            <w:tcW w:w="1701" w:type="dxa"/>
            <w:tcBorders>
              <w:top w:val="single" w:sz="4" w:space="0" w:color="53565A"/>
              <w:bottom w:val="single" w:sz="4" w:space="0" w:color="53565A"/>
            </w:tcBorders>
            <w:shd w:val="clear" w:color="auto" w:fill="auto"/>
          </w:tcPr>
          <w:p w14:paraId="2E5205D8"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8,750,000</w:t>
            </w:r>
          </w:p>
        </w:tc>
      </w:tr>
      <w:tr w:rsidR="00F603FA" w:rsidRPr="005734B8" w14:paraId="78FFE628" w14:textId="77777777" w:rsidTr="000F48B1">
        <w:trPr>
          <w:cantSplit/>
        </w:trPr>
        <w:tc>
          <w:tcPr>
            <w:tcW w:w="6234" w:type="dxa"/>
            <w:tcBorders>
              <w:top w:val="single" w:sz="4" w:space="0" w:color="53565A"/>
              <w:bottom w:val="single" w:sz="4" w:space="0" w:color="53565A"/>
            </w:tcBorders>
            <w:shd w:val="clear" w:color="auto" w:fill="auto"/>
          </w:tcPr>
          <w:p w14:paraId="56603F38"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Knox Innovation Opportunity and Sustainability Centre</w:t>
            </w:r>
          </w:p>
        </w:tc>
        <w:tc>
          <w:tcPr>
            <w:tcW w:w="1701" w:type="dxa"/>
            <w:tcBorders>
              <w:top w:val="single" w:sz="4" w:space="0" w:color="53565A"/>
              <w:bottom w:val="single" w:sz="4" w:space="0" w:color="53565A"/>
            </w:tcBorders>
            <w:shd w:val="clear" w:color="auto" w:fill="auto"/>
          </w:tcPr>
          <w:p w14:paraId="456619FD"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938,250</w:t>
            </w:r>
          </w:p>
        </w:tc>
      </w:tr>
      <w:tr w:rsidR="00F603FA" w:rsidRPr="005734B8" w14:paraId="09216B85" w14:textId="77777777" w:rsidTr="000F48B1">
        <w:trPr>
          <w:cantSplit/>
        </w:trPr>
        <w:tc>
          <w:tcPr>
            <w:tcW w:w="6234" w:type="dxa"/>
            <w:tcBorders>
              <w:top w:val="single" w:sz="4" w:space="0" w:color="53565A"/>
              <w:bottom w:val="single" w:sz="4" w:space="0" w:color="53565A"/>
            </w:tcBorders>
            <w:shd w:val="clear" w:color="auto" w:fill="auto"/>
          </w:tcPr>
          <w:p w14:paraId="0C2D9847"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 xml:space="preserve">Language-specific Model United Nations Conferences </w:t>
            </w:r>
          </w:p>
        </w:tc>
        <w:tc>
          <w:tcPr>
            <w:tcW w:w="1701" w:type="dxa"/>
            <w:tcBorders>
              <w:top w:val="single" w:sz="4" w:space="0" w:color="53565A"/>
              <w:bottom w:val="single" w:sz="4" w:space="0" w:color="53565A"/>
            </w:tcBorders>
            <w:shd w:val="clear" w:color="auto" w:fill="auto"/>
          </w:tcPr>
          <w:p w14:paraId="4C378621"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18,140</w:t>
            </w:r>
          </w:p>
        </w:tc>
      </w:tr>
      <w:tr w:rsidR="00F603FA" w:rsidRPr="005734B8" w14:paraId="18033A57" w14:textId="77777777" w:rsidTr="000F48B1">
        <w:trPr>
          <w:cantSplit/>
        </w:trPr>
        <w:tc>
          <w:tcPr>
            <w:tcW w:w="6234" w:type="dxa"/>
            <w:tcBorders>
              <w:top w:val="single" w:sz="4" w:space="0" w:color="53565A"/>
              <w:bottom w:val="single" w:sz="4" w:space="0" w:color="53565A"/>
            </w:tcBorders>
            <w:shd w:val="clear" w:color="auto" w:fill="auto"/>
          </w:tcPr>
          <w:p w14:paraId="1F2C6160"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Leadership Development for Primary School Principals and School Leaders</w:t>
            </w:r>
          </w:p>
        </w:tc>
        <w:tc>
          <w:tcPr>
            <w:tcW w:w="1701" w:type="dxa"/>
            <w:tcBorders>
              <w:top w:val="single" w:sz="4" w:space="0" w:color="53565A"/>
              <w:bottom w:val="single" w:sz="4" w:space="0" w:color="53565A"/>
            </w:tcBorders>
            <w:shd w:val="clear" w:color="auto" w:fill="auto"/>
          </w:tcPr>
          <w:p w14:paraId="04A06304" w14:textId="5DCBA42E"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303,443</w:t>
            </w:r>
          </w:p>
        </w:tc>
      </w:tr>
      <w:tr w:rsidR="00F603FA" w:rsidRPr="005734B8" w14:paraId="5A51654B" w14:textId="77777777" w:rsidTr="000F48B1">
        <w:trPr>
          <w:cantSplit/>
        </w:trPr>
        <w:tc>
          <w:tcPr>
            <w:tcW w:w="6234" w:type="dxa"/>
            <w:tcBorders>
              <w:top w:val="single" w:sz="4" w:space="0" w:color="53565A"/>
              <w:bottom w:val="single" w:sz="4" w:space="0" w:color="53565A"/>
            </w:tcBorders>
            <w:shd w:val="clear" w:color="auto" w:fill="auto"/>
          </w:tcPr>
          <w:p w14:paraId="4EE1E3B0"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Learn and Earn Pilots</w:t>
            </w:r>
          </w:p>
        </w:tc>
        <w:tc>
          <w:tcPr>
            <w:tcW w:w="1701" w:type="dxa"/>
            <w:tcBorders>
              <w:top w:val="single" w:sz="4" w:space="0" w:color="53565A"/>
              <w:bottom w:val="single" w:sz="4" w:space="0" w:color="53565A"/>
            </w:tcBorders>
            <w:shd w:val="clear" w:color="auto" w:fill="auto"/>
          </w:tcPr>
          <w:p w14:paraId="4AE8A6BC"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138,750</w:t>
            </w:r>
          </w:p>
        </w:tc>
      </w:tr>
      <w:tr w:rsidR="00F603FA" w:rsidRPr="005734B8" w14:paraId="139BF6DF" w14:textId="77777777" w:rsidTr="000F48B1">
        <w:trPr>
          <w:cantSplit/>
        </w:trPr>
        <w:tc>
          <w:tcPr>
            <w:tcW w:w="6234" w:type="dxa"/>
            <w:tcBorders>
              <w:top w:val="single" w:sz="4" w:space="0" w:color="53565A"/>
              <w:bottom w:val="single" w:sz="4" w:space="0" w:color="53565A"/>
            </w:tcBorders>
            <w:shd w:val="clear" w:color="auto" w:fill="auto"/>
          </w:tcPr>
          <w:p w14:paraId="7FA7D6C4"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eastAsia="en-AU"/>
              </w:rPr>
              <w:t>Life Education Victoria</w:t>
            </w:r>
          </w:p>
        </w:tc>
        <w:tc>
          <w:tcPr>
            <w:tcW w:w="1701" w:type="dxa"/>
            <w:tcBorders>
              <w:top w:val="single" w:sz="4" w:space="0" w:color="53565A"/>
              <w:bottom w:val="single" w:sz="4" w:space="0" w:color="53565A"/>
            </w:tcBorders>
            <w:shd w:val="clear" w:color="auto" w:fill="auto"/>
          </w:tcPr>
          <w:p w14:paraId="64E72C50"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eastAsia="en-AU"/>
              </w:rPr>
              <w:t>375,000</w:t>
            </w:r>
          </w:p>
        </w:tc>
      </w:tr>
      <w:tr w:rsidR="00F603FA" w:rsidRPr="005734B8" w14:paraId="4C783370" w14:textId="77777777" w:rsidTr="000F48B1">
        <w:trPr>
          <w:cantSplit/>
        </w:trPr>
        <w:tc>
          <w:tcPr>
            <w:tcW w:w="6234" w:type="dxa"/>
            <w:tcBorders>
              <w:top w:val="single" w:sz="4" w:space="0" w:color="53565A"/>
              <w:bottom w:val="single" w:sz="4" w:space="0" w:color="53565A"/>
            </w:tcBorders>
            <w:shd w:val="clear" w:color="auto" w:fill="auto"/>
          </w:tcPr>
          <w:p w14:paraId="615A7B83" w14:textId="77777777" w:rsidR="00E249A4" w:rsidRPr="005734B8" w:rsidRDefault="00E249A4" w:rsidP="000F48B1">
            <w:pPr>
              <w:spacing w:before="120" w:after="120"/>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Lighthouse Project</w:t>
            </w:r>
          </w:p>
        </w:tc>
        <w:tc>
          <w:tcPr>
            <w:tcW w:w="1701" w:type="dxa"/>
            <w:tcBorders>
              <w:top w:val="single" w:sz="4" w:space="0" w:color="53565A"/>
              <w:bottom w:val="single" w:sz="4" w:space="0" w:color="53565A"/>
            </w:tcBorders>
            <w:shd w:val="clear" w:color="auto" w:fill="auto"/>
          </w:tcPr>
          <w:p w14:paraId="67413AC3" w14:textId="77777777" w:rsidR="00E249A4" w:rsidRPr="005734B8" w:rsidRDefault="00E249A4" w:rsidP="000F48B1">
            <w:pPr>
              <w:spacing w:before="120" w:after="120"/>
              <w:jc w:val="right"/>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450,000</w:t>
            </w:r>
          </w:p>
        </w:tc>
      </w:tr>
      <w:tr w:rsidR="00F603FA" w:rsidRPr="005734B8" w14:paraId="1E519AF2" w14:textId="77777777" w:rsidTr="000F48B1">
        <w:trPr>
          <w:cantSplit/>
          <w:trHeight w:val="443"/>
        </w:trPr>
        <w:tc>
          <w:tcPr>
            <w:tcW w:w="6234" w:type="dxa"/>
            <w:tcBorders>
              <w:top w:val="single" w:sz="4" w:space="0" w:color="53565A"/>
              <w:bottom w:val="single" w:sz="4" w:space="0" w:color="53565A"/>
            </w:tcBorders>
            <w:shd w:val="clear" w:color="auto" w:fill="auto"/>
          </w:tcPr>
          <w:p w14:paraId="3A5A3F68" w14:textId="77777777" w:rsidR="00E249A4" w:rsidRPr="005734B8" w:rsidRDefault="00E249A4" w:rsidP="000F48B1">
            <w:pPr>
              <w:spacing w:before="120" w:after="120"/>
              <w:rPr>
                <w:rFonts w:ascii="Calibri" w:eastAsia="Times New Roman" w:hAnsi="Calibri" w:cs="Calibri"/>
                <w:color w:val="000000"/>
                <w:sz w:val="20"/>
                <w:szCs w:val="20"/>
                <w:lang w:val="en-US" w:eastAsia="en-AU"/>
              </w:rPr>
            </w:pPr>
            <w:r w:rsidRPr="005734B8">
              <w:rPr>
                <w:rFonts w:ascii="Calibri" w:eastAsia="Times New Roman" w:hAnsi="Calibri" w:cs="Calibri"/>
                <w:color w:val="000000"/>
                <w:sz w:val="20"/>
                <w:szCs w:val="20"/>
                <w:lang w:val="en-US" w:eastAsia="en-AU"/>
              </w:rPr>
              <w:t>LOOKOUT</w:t>
            </w:r>
          </w:p>
        </w:tc>
        <w:tc>
          <w:tcPr>
            <w:tcW w:w="1701" w:type="dxa"/>
            <w:tcBorders>
              <w:top w:val="single" w:sz="4" w:space="0" w:color="53565A"/>
              <w:bottom w:val="single" w:sz="4" w:space="0" w:color="53565A"/>
            </w:tcBorders>
            <w:shd w:val="clear" w:color="auto" w:fill="auto"/>
          </w:tcPr>
          <w:p w14:paraId="333F4BF4"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440,391</w:t>
            </w:r>
          </w:p>
        </w:tc>
      </w:tr>
      <w:tr w:rsidR="00F603FA" w:rsidRPr="005734B8" w14:paraId="2EB9DBAB" w14:textId="77777777" w:rsidTr="000F48B1">
        <w:trPr>
          <w:cantSplit/>
        </w:trPr>
        <w:tc>
          <w:tcPr>
            <w:tcW w:w="6234" w:type="dxa"/>
            <w:tcBorders>
              <w:top w:val="single" w:sz="4" w:space="0" w:color="53565A"/>
              <w:bottom w:val="single" w:sz="4" w:space="0" w:color="53565A"/>
            </w:tcBorders>
            <w:shd w:val="clear" w:color="auto" w:fill="auto"/>
          </w:tcPr>
          <w:p w14:paraId="3BB1FE72"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Managing and Maintaining the Delivery of Certificate I in Developing Independence</w:t>
            </w:r>
          </w:p>
        </w:tc>
        <w:tc>
          <w:tcPr>
            <w:tcW w:w="1701" w:type="dxa"/>
            <w:tcBorders>
              <w:top w:val="single" w:sz="4" w:space="0" w:color="53565A"/>
              <w:bottom w:val="single" w:sz="4" w:space="0" w:color="53565A"/>
            </w:tcBorders>
            <w:shd w:val="clear" w:color="auto" w:fill="auto"/>
          </w:tcPr>
          <w:p w14:paraId="367B2EA9"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30,000</w:t>
            </w:r>
          </w:p>
        </w:tc>
      </w:tr>
      <w:tr w:rsidR="00F603FA" w:rsidRPr="005734B8" w14:paraId="46ADE74B" w14:textId="77777777" w:rsidTr="000F48B1">
        <w:trPr>
          <w:cantSplit/>
        </w:trPr>
        <w:tc>
          <w:tcPr>
            <w:tcW w:w="6234" w:type="dxa"/>
            <w:tcBorders>
              <w:top w:val="single" w:sz="4" w:space="0" w:color="53565A"/>
              <w:bottom w:val="single" w:sz="4" w:space="0" w:color="53565A"/>
            </w:tcBorders>
            <w:shd w:val="clear" w:color="auto" w:fill="auto"/>
          </w:tcPr>
          <w:p w14:paraId="2B2CF388"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Mathematics Teaching Toolkit/Arc Platform</w:t>
            </w:r>
          </w:p>
        </w:tc>
        <w:tc>
          <w:tcPr>
            <w:tcW w:w="1701" w:type="dxa"/>
            <w:tcBorders>
              <w:top w:val="single" w:sz="4" w:space="0" w:color="53565A"/>
              <w:bottom w:val="single" w:sz="4" w:space="0" w:color="53565A"/>
            </w:tcBorders>
            <w:shd w:val="clear" w:color="auto" w:fill="auto"/>
          </w:tcPr>
          <w:p w14:paraId="76877C06"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331,997</w:t>
            </w:r>
          </w:p>
        </w:tc>
      </w:tr>
      <w:tr w:rsidR="00F603FA" w:rsidRPr="005734B8" w14:paraId="01DD9366" w14:textId="77777777" w:rsidTr="000F48B1">
        <w:trPr>
          <w:cantSplit/>
        </w:trPr>
        <w:tc>
          <w:tcPr>
            <w:tcW w:w="6234" w:type="dxa"/>
            <w:tcBorders>
              <w:top w:val="single" w:sz="4" w:space="0" w:color="53565A"/>
              <w:bottom w:val="single" w:sz="4" w:space="0" w:color="53565A"/>
            </w:tcBorders>
            <w:shd w:val="clear" w:color="auto" w:fill="auto"/>
          </w:tcPr>
          <w:p w14:paraId="188EFE7E"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eastAsia="en-AU"/>
              </w:rPr>
              <w:t>Mental Health Toolkit</w:t>
            </w:r>
          </w:p>
        </w:tc>
        <w:tc>
          <w:tcPr>
            <w:tcW w:w="1701" w:type="dxa"/>
            <w:tcBorders>
              <w:top w:val="single" w:sz="4" w:space="0" w:color="53565A"/>
              <w:bottom w:val="single" w:sz="4" w:space="0" w:color="53565A"/>
            </w:tcBorders>
            <w:shd w:val="clear" w:color="auto" w:fill="auto"/>
          </w:tcPr>
          <w:p w14:paraId="40C5DDDF"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rPr>
              <w:t>34,628</w:t>
            </w:r>
          </w:p>
        </w:tc>
      </w:tr>
      <w:tr w:rsidR="00F603FA" w:rsidRPr="005734B8" w14:paraId="0D1096DE" w14:textId="77777777" w:rsidTr="000F48B1">
        <w:trPr>
          <w:cantSplit/>
        </w:trPr>
        <w:tc>
          <w:tcPr>
            <w:tcW w:w="6234" w:type="dxa"/>
            <w:tcBorders>
              <w:top w:val="single" w:sz="4" w:space="0" w:color="53565A"/>
              <w:bottom w:val="single" w:sz="4" w:space="0" w:color="53565A"/>
            </w:tcBorders>
            <w:shd w:val="clear" w:color="auto" w:fill="auto"/>
          </w:tcPr>
          <w:p w14:paraId="2C6C6C4C"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sz w:val="20"/>
                <w:szCs w:val="18"/>
                <w:lang w:val="en-US"/>
              </w:rPr>
              <w:t>Modern Language Teachers' Association of Victoria</w:t>
            </w:r>
          </w:p>
        </w:tc>
        <w:tc>
          <w:tcPr>
            <w:tcW w:w="1701" w:type="dxa"/>
            <w:tcBorders>
              <w:top w:val="single" w:sz="4" w:space="0" w:color="53565A"/>
              <w:bottom w:val="single" w:sz="4" w:space="0" w:color="53565A"/>
            </w:tcBorders>
            <w:shd w:val="clear" w:color="auto" w:fill="auto"/>
          </w:tcPr>
          <w:p w14:paraId="56837AF3"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109,956</w:t>
            </w:r>
          </w:p>
        </w:tc>
      </w:tr>
      <w:tr w:rsidR="00F603FA" w:rsidRPr="005734B8" w14:paraId="507CBC37" w14:textId="77777777" w:rsidTr="000F48B1">
        <w:trPr>
          <w:cantSplit/>
        </w:trPr>
        <w:tc>
          <w:tcPr>
            <w:tcW w:w="6234" w:type="dxa"/>
            <w:tcBorders>
              <w:top w:val="single" w:sz="4" w:space="0" w:color="53565A"/>
              <w:bottom w:val="single" w:sz="4" w:space="0" w:color="53565A"/>
            </w:tcBorders>
            <w:shd w:val="clear" w:color="auto" w:fill="auto"/>
          </w:tcPr>
          <w:p w14:paraId="50788D47"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Multicultural Education Aides Professional Learning</w:t>
            </w:r>
          </w:p>
        </w:tc>
        <w:tc>
          <w:tcPr>
            <w:tcW w:w="1701" w:type="dxa"/>
            <w:tcBorders>
              <w:top w:val="single" w:sz="4" w:space="0" w:color="53565A"/>
              <w:bottom w:val="single" w:sz="4" w:space="0" w:color="53565A"/>
            </w:tcBorders>
            <w:shd w:val="clear" w:color="auto" w:fill="auto"/>
          </w:tcPr>
          <w:p w14:paraId="3BD0B356"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100,000</w:t>
            </w:r>
          </w:p>
        </w:tc>
      </w:tr>
      <w:tr w:rsidR="00F603FA" w:rsidRPr="005734B8" w14:paraId="20CF92B9" w14:textId="77777777" w:rsidTr="000F48B1">
        <w:trPr>
          <w:cantSplit/>
        </w:trPr>
        <w:tc>
          <w:tcPr>
            <w:tcW w:w="6234" w:type="dxa"/>
            <w:tcBorders>
              <w:top w:val="single" w:sz="4" w:space="0" w:color="53565A"/>
              <w:bottom w:val="single" w:sz="4" w:space="0" w:color="53565A"/>
            </w:tcBorders>
            <w:shd w:val="clear" w:color="auto" w:fill="auto"/>
          </w:tcPr>
          <w:p w14:paraId="5C4D58E1"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lastRenderedPageBreak/>
              <w:t>Multicultural Learning Partnership</w:t>
            </w:r>
          </w:p>
        </w:tc>
        <w:tc>
          <w:tcPr>
            <w:tcW w:w="1701" w:type="dxa"/>
            <w:tcBorders>
              <w:top w:val="single" w:sz="4" w:space="0" w:color="53565A"/>
              <w:bottom w:val="single" w:sz="4" w:space="0" w:color="53565A"/>
            </w:tcBorders>
            <w:shd w:val="clear" w:color="auto" w:fill="auto"/>
          </w:tcPr>
          <w:p w14:paraId="1E5793D8"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70,000</w:t>
            </w:r>
          </w:p>
        </w:tc>
      </w:tr>
      <w:tr w:rsidR="00F603FA" w:rsidRPr="005734B8" w14:paraId="06B96E15" w14:textId="77777777" w:rsidTr="000F48B1">
        <w:trPr>
          <w:cantSplit/>
        </w:trPr>
        <w:tc>
          <w:tcPr>
            <w:tcW w:w="6234" w:type="dxa"/>
            <w:tcBorders>
              <w:top w:val="single" w:sz="4" w:space="0" w:color="53565A"/>
              <w:bottom w:val="single" w:sz="4" w:space="0" w:color="53565A"/>
            </w:tcBorders>
            <w:shd w:val="clear" w:color="auto" w:fill="auto"/>
          </w:tcPr>
          <w:p w14:paraId="563C8119"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National Disability Insurance Scheme</w:t>
            </w:r>
          </w:p>
        </w:tc>
        <w:tc>
          <w:tcPr>
            <w:tcW w:w="1701" w:type="dxa"/>
            <w:tcBorders>
              <w:top w:val="single" w:sz="4" w:space="0" w:color="53565A"/>
              <w:bottom w:val="single" w:sz="4" w:space="0" w:color="53565A"/>
            </w:tcBorders>
            <w:shd w:val="clear" w:color="auto" w:fill="auto"/>
          </w:tcPr>
          <w:p w14:paraId="6A317744"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55,754</w:t>
            </w:r>
          </w:p>
        </w:tc>
      </w:tr>
      <w:tr w:rsidR="00F603FA" w:rsidRPr="005734B8" w14:paraId="03F6AD04" w14:textId="77777777" w:rsidTr="000F48B1">
        <w:trPr>
          <w:cantSplit/>
        </w:trPr>
        <w:tc>
          <w:tcPr>
            <w:tcW w:w="6234" w:type="dxa"/>
            <w:tcBorders>
              <w:top w:val="single" w:sz="4" w:space="0" w:color="53565A"/>
              <w:bottom w:val="single" w:sz="4" w:space="0" w:color="53565A"/>
            </w:tcBorders>
            <w:shd w:val="clear" w:color="auto" w:fill="auto"/>
          </w:tcPr>
          <w:p w14:paraId="12C0D135" w14:textId="77777777" w:rsidR="00E249A4" w:rsidRPr="005734B8" w:rsidRDefault="00E249A4" w:rsidP="000F48B1">
            <w:pPr>
              <w:spacing w:before="120" w:after="120"/>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 xml:space="preserve">National Exceptional Teaching for Disadvantaged Schools </w:t>
            </w:r>
          </w:p>
        </w:tc>
        <w:tc>
          <w:tcPr>
            <w:tcW w:w="1701" w:type="dxa"/>
            <w:tcBorders>
              <w:top w:val="single" w:sz="4" w:space="0" w:color="53565A"/>
              <w:bottom w:val="single" w:sz="4" w:space="0" w:color="53565A"/>
            </w:tcBorders>
            <w:shd w:val="clear" w:color="auto" w:fill="auto"/>
          </w:tcPr>
          <w:p w14:paraId="0A268CDD" w14:textId="77777777" w:rsidR="00E249A4" w:rsidRPr="005734B8" w:rsidRDefault="00E249A4" w:rsidP="000F48B1">
            <w:pPr>
              <w:spacing w:before="120" w:after="120"/>
              <w:jc w:val="right"/>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83,430</w:t>
            </w:r>
          </w:p>
        </w:tc>
      </w:tr>
      <w:tr w:rsidR="00F603FA" w:rsidRPr="005734B8" w14:paraId="5C7CD661" w14:textId="77777777" w:rsidTr="000F48B1">
        <w:trPr>
          <w:cantSplit/>
        </w:trPr>
        <w:tc>
          <w:tcPr>
            <w:tcW w:w="6234" w:type="dxa"/>
            <w:tcBorders>
              <w:top w:val="single" w:sz="4" w:space="0" w:color="53565A"/>
              <w:bottom w:val="single" w:sz="4" w:space="0" w:color="53565A"/>
            </w:tcBorders>
            <w:shd w:val="clear" w:color="auto" w:fill="auto"/>
          </w:tcPr>
          <w:p w14:paraId="295824CF" w14:textId="77777777" w:rsidR="00E249A4" w:rsidRPr="005734B8" w:rsidRDefault="00E249A4" w:rsidP="000F48B1">
            <w:pPr>
              <w:spacing w:before="120" w:after="120"/>
              <w:rPr>
                <w:rFonts w:ascii="Calibri" w:eastAsia="Times New Roman" w:hAnsi="Calibri" w:cs="Calibri"/>
                <w:color w:val="000000"/>
                <w:sz w:val="20"/>
                <w:szCs w:val="20"/>
                <w:lang w:val="en-US" w:eastAsia="en-AU"/>
              </w:rPr>
            </w:pPr>
            <w:r w:rsidRPr="005734B8">
              <w:rPr>
                <w:rFonts w:ascii="Calibri" w:eastAsia="Times New Roman" w:hAnsi="Calibri" w:cs="Calibri"/>
                <w:color w:val="000000"/>
                <w:sz w:val="20"/>
                <w:szCs w:val="20"/>
                <w:lang w:val="en-US" w:eastAsia="en-AU"/>
              </w:rPr>
              <w:t>Navigator program</w:t>
            </w:r>
          </w:p>
        </w:tc>
        <w:tc>
          <w:tcPr>
            <w:tcW w:w="1701" w:type="dxa"/>
            <w:tcBorders>
              <w:top w:val="single" w:sz="4" w:space="0" w:color="53565A"/>
              <w:bottom w:val="single" w:sz="4" w:space="0" w:color="53565A"/>
            </w:tcBorders>
            <w:shd w:val="clear" w:color="auto" w:fill="auto"/>
          </w:tcPr>
          <w:p w14:paraId="3588CF13"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13,728,118</w:t>
            </w:r>
          </w:p>
        </w:tc>
      </w:tr>
      <w:tr w:rsidR="00F603FA" w:rsidRPr="005734B8" w14:paraId="5797EEBE" w14:textId="77777777" w:rsidTr="000F48B1">
        <w:trPr>
          <w:cantSplit/>
        </w:trPr>
        <w:tc>
          <w:tcPr>
            <w:tcW w:w="6234" w:type="dxa"/>
            <w:tcBorders>
              <w:top w:val="single" w:sz="4" w:space="0" w:color="53565A"/>
              <w:bottom w:val="single" w:sz="4" w:space="0" w:color="53565A"/>
            </w:tcBorders>
            <w:shd w:val="clear" w:color="auto" w:fill="auto"/>
          </w:tcPr>
          <w:p w14:paraId="3C393635"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New Footscray Hospital Demonstration Product</w:t>
            </w:r>
          </w:p>
        </w:tc>
        <w:tc>
          <w:tcPr>
            <w:tcW w:w="1701" w:type="dxa"/>
            <w:tcBorders>
              <w:top w:val="single" w:sz="4" w:space="0" w:color="53565A"/>
              <w:bottom w:val="single" w:sz="4" w:space="0" w:color="53565A"/>
            </w:tcBorders>
            <w:shd w:val="clear" w:color="auto" w:fill="auto"/>
          </w:tcPr>
          <w:p w14:paraId="79E16977"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659,000</w:t>
            </w:r>
          </w:p>
        </w:tc>
      </w:tr>
      <w:tr w:rsidR="00F603FA" w:rsidRPr="005734B8" w14:paraId="510E622D" w14:textId="77777777" w:rsidTr="000F48B1">
        <w:trPr>
          <w:cantSplit/>
        </w:trPr>
        <w:tc>
          <w:tcPr>
            <w:tcW w:w="6234" w:type="dxa"/>
            <w:tcBorders>
              <w:top w:val="single" w:sz="4" w:space="0" w:color="53565A"/>
              <w:bottom w:val="single" w:sz="4" w:space="0" w:color="53565A"/>
            </w:tcBorders>
            <w:shd w:val="clear" w:color="auto" w:fill="auto"/>
          </w:tcPr>
          <w:p w14:paraId="7AAEDA3E" w14:textId="77777777" w:rsidR="00E249A4" w:rsidRPr="005734B8" w:rsidRDefault="00E249A4" w:rsidP="000F48B1">
            <w:pPr>
              <w:spacing w:before="120" w:after="120"/>
              <w:rPr>
                <w:rFonts w:ascii="Calibri" w:eastAsia="Times New Roman" w:hAnsi="Calibri" w:cs="Calibri"/>
                <w:color w:val="000000"/>
                <w:sz w:val="20"/>
                <w:szCs w:val="20"/>
                <w:lang w:val="en-US" w:eastAsia="en-AU"/>
              </w:rPr>
            </w:pPr>
            <w:r w:rsidRPr="005734B8">
              <w:rPr>
                <w:rFonts w:ascii="Calibri" w:eastAsia="Times New Roman" w:hAnsi="Calibri" w:cs="Calibri"/>
                <w:color w:val="000000"/>
                <w:sz w:val="20"/>
                <w:szCs w:val="20"/>
                <w:lang w:val="en-US"/>
              </w:rPr>
              <w:t>On Track Connect 2021 and School-Employer Engagement</w:t>
            </w:r>
          </w:p>
        </w:tc>
        <w:tc>
          <w:tcPr>
            <w:tcW w:w="1701" w:type="dxa"/>
            <w:tcBorders>
              <w:top w:val="single" w:sz="4" w:space="0" w:color="53565A"/>
              <w:bottom w:val="single" w:sz="4" w:space="0" w:color="53565A"/>
            </w:tcBorders>
            <w:shd w:val="clear" w:color="auto" w:fill="auto"/>
          </w:tcPr>
          <w:p w14:paraId="20F779F5" w14:textId="77777777" w:rsidR="00E249A4" w:rsidRPr="005734B8" w:rsidRDefault="00E249A4" w:rsidP="000F48B1">
            <w:pPr>
              <w:spacing w:before="120" w:after="120"/>
              <w:jc w:val="right"/>
              <w:rPr>
                <w:rFonts w:ascii="Calibri" w:eastAsia="Times New Roman" w:hAnsi="Calibri" w:cs="Calibri"/>
                <w:sz w:val="20"/>
                <w:szCs w:val="20"/>
                <w:lang w:val="en-US"/>
              </w:rPr>
            </w:pPr>
            <w:r w:rsidRPr="005734B8">
              <w:rPr>
                <w:rFonts w:ascii="Calibri" w:eastAsia="Times New Roman" w:hAnsi="Calibri" w:cs="Calibri"/>
                <w:color w:val="000000"/>
                <w:sz w:val="20"/>
                <w:szCs w:val="20"/>
                <w:lang w:val="en-US"/>
              </w:rPr>
              <w:t>15,745,656</w:t>
            </w:r>
          </w:p>
        </w:tc>
      </w:tr>
      <w:tr w:rsidR="00F603FA" w:rsidRPr="005734B8" w14:paraId="1329784E" w14:textId="77777777" w:rsidTr="000F48B1">
        <w:trPr>
          <w:cantSplit/>
        </w:trPr>
        <w:tc>
          <w:tcPr>
            <w:tcW w:w="6234" w:type="dxa"/>
            <w:tcBorders>
              <w:top w:val="single" w:sz="4" w:space="0" w:color="53565A"/>
              <w:bottom w:val="single" w:sz="4" w:space="0" w:color="53565A"/>
            </w:tcBorders>
            <w:shd w:val="clear" w:color="auto" w:fill="auto"/>
          </w:tcPr>
          <w:p w14:paraId="2FD93EB3"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Parent Engagement in School Education</w:t>
            </w:r>
          </w:p>
        </w:tc>
        <w:tc>
          <w:tcPr>
            <w:tcW w:w="1701" w:type="dxa"/>
            <w:tcBorders>
              <w:top w:val="single" w:sz="4" w:space="0" w:color="53565A"/>
              <w:bottom w:val="single" w:sz="4" w:space="0" w:color="53565A"/>
            </w:tcBorders>
            <w:shd w:val="clear" w:color="auto" w:fill="auto"/>
          </w:tcPr>
          <w:p w14:paraId="3C473783"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482,831</w:t>
            </w:r>
          </w:p>
        </w:tc>
      </w:tr>
      <w:tr w:rsidR="00F603FA" w:rsidRPr="005734B8" w14:paraId="31A050D2" w14:textId="77777777" w:rsidTr="000F48B1">
        <w:trPr>
          <w:cantSplit/>
        </w:trPr>
        <w:tc>
          <w:tcPr>
            <w:tcW w:w="6234" w:type="dxa"/>
            <w:tcBorders>
              <w:top w:val="single" w:sz="4" w:space="0" w:color="53565A"/>
              <w:bottom w:val="single" w:sz="4" w:space="0" w:color="53565A"/>
            </w:tcBorders>
            <w:shd w:val="clear" w:color="auto" w:fill="auto"/>
          </w:tcPr>
          <w:p w14:paraId="38F90866"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Parent Engagement in School Education (Independent)</w:t>
            </w:r>
          </w:p>
        </w:tc>
        <w:tc>
          <w:tcPr>
            <w:tcW w:w="1701" w:type="dxa"/>
            <w:tcBorders>
              <w:top w:val="single" w:sz="4" w:space="0" w:color="53565A"/>
              <w:bottom w:val="single" w:sz="4" w:space="0" w:color="53565A"/>
            </w:tcBorders>
            <w:shd w:val="clear" w:color="auto" w:fill="auto"/>
          </w:tcPr>
          <w:p w14:paraId="44C41682"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151,329</w:t>
            </w:r>
          </w:p>
        </w:tc>
      </w:tr>
      <w:tr w:rsidR="00F603FA" w:rsidRPr="005734B8" w14:paraId="6F45BCEC" w14:textId="77777777" w:rsidTr="000F48B1">
        <w:trPr>
          <w:cantSplit/>
        </w:trPr>
        <w:tc>
          <w:tcPr>
            <w:tcW w:w="6234" w:type="dxa"/>
            <w:tcBorders>
              <w:top w:val="single" w:sz="4" w:space="0" w:color="53565A"/>
              <w:bottom w:val="single" w:sz="4" w:space="0" w:color="53565A"/>
            </w:tcBorders>
            <w:shd w:val="clear" w:color="auto" w:fill="auto"/>
          </w:tcPr>
          <w:p w14:paraId="6E4948BA"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eastAsia="en-AU"/>
              </w:rPr>
              <w:t>Partners in prevention</w:t>
            </w:r>
          </w:p>
        </w:tc>
        <w:tc>
          <w:tcPr>
            <w:tcW w:w="1701" w:type="dxa"/>
            <w:tcBorders>
              <w:top w:val="single" w:sz="4" w:space="0" w:color="53565A"/>
              <w:bottom w:val="single" w:sz="4" w:space="0" w:color="53565A"/>
            </w:tcBorders>
            <w:shd w:val="clear" w:color="auto" w:fill="auto"/>
          </w:tcPr>
          <w:p w14:paraId="0C77E981"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rPr>
              <w:t>300,000</w:t>
            </w:r>
          </w:p>
        </w:tc>
      </w:tr>
      <w:tr w:rsidR="00F603FA" w:rsidRPr="005734B8" w14:paraId="12B18038" w14:textId="77777777" w:rsidTr="000F48B1">
        <w:trPr>
          <w:cantSplit/>
        </w:trPr>
        <w:tc>
          <w:tcPr>
            <w:tcW w:w="6234" w:type="dxa"/>
            <w:tcBorders>
              <w:top w:val="single" w:sz="4" w:space="0" w:color="53565A"/>
              <w:bottom w:val="single" w:sz="4" w:space="0" w:color="53565A"/>
            </w:tcBorders>
            <w:shd w:val="clear" w:color="auto" w:fill="auto"/>
          </w:tcPr>
          <w:p w14:paraId="616D9960" w14:textId="77777777" w:rsidR="00E249A4" w:rsidRPr="005734B8" w:rsidRDefault="00E249A4" w:rsidP="000F48B1">
            <w:pPr>
              <w:spacing w:before="120" w:after="120"/>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Positive Education Project</w:t>
            </w:r>
          </w:p>
        </w:tc>
        <w:tc>
          <w:tcPr>
            <w:tcW w:w="1701" w:type="dxa"/>
            <w:tcBorders>
              <w:top w:val="single" w:sz="4" w:space="0" w:color="53565A"/>
              <w:bottom w:val="single" w:sz="4" w:space="0" w:color="53565A"/>
            </w:tcBorders>
            <w:shd w:val="clear" w:color="auto" w:fill="auto"/>
          </w:tcPr>
          <w:p w14:paraId="44A1EA97" w14:textId="77777777" w:rsidR="00E249A4" w:rsidRPr="005734B8" w:rsidRDefault="00E249A4" w:rsidP="000F48B1">
            <w:pPr>
              <w:spacing w:before="120" w:after="120"/>
              <w:jc w:val="right"/>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30,000</w:t>
            </w:r>
          </w:p>
        </w:tc>
      </w:tr>
      <w:tr w:rsidR="00F603FA" w:rsidRPr="005734B8" w14:paraId="16C8749C" w14:textId="77777777" w:rsidTr="000F48B1">
        <w:trPr>
          <w:cantSplit/>
        </w:trPr>
        <w:tc>
          <w:tcPr>
            <w:tcW w:w="6234" w:type="dxa"/>
            <w:tcBorders>
              <w:top w:val="single" w:sz="4" w:space="0" w:color="53565A"/>
              <w:bottom w:val="single" w:sz="4" w:space="0" w:color="53565A"/>
            </w:tcBorders>
            <w:shd w:val="clear" w:color="auto" w:fill="auto"/>
          </w:tcPr>
          <w:p w14:paraId="3E90A442" w14:textId="77777777" w:rsidR="00E249A4" w:rsidRPr="005734B8" w:rsidRDefault="00E249A4" w:rsidP="000F48B1">
            <w:pPr>
              <w:spacing w:before="120" w:after="120"/>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Practice Advice Line for Mental Health Practitioners in secondary schools</w:t>
            </w:r>
          </w:p>
        </w:tc>
        <w:tc>
          <w:tcPr>
            <w:tcW w:w="1701" w:type="dxa"/>
            <w:tcBorders>
              <w:top w:val="single" w:sz="4" w:space="0" w:color="53565A"/>
              <w:bottom w:val="single" w:sz="4" w:space="0" w:color="53565A"/>
            </w:tcBorders>
            <w:shd w:val="clear" w:color="auto" w:fill="auto"/>
          </w:tcPr>
          <w:p w14:paraId="4DFA4F7E" w14:textId="77777777" w:rsidR="00E249A4" w:rsidRPr="005734B8" w:rsidRDefault="00E249A4" w:rsidP="000F48B1">
            <w:pPr>
              <w:spacing w:before="120" w:after="120"/>
              <w:jc w:val="right"/>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70,866</w:t>
            </w:r>
          </w:p>
        </w:tc>
      </w:tr>
      <w:tr w:rsidR="00F603FA" w:rsidRPr="005734B8" w14:paraId="6DC21CE3" w14:textId="77777777" w:rsidTr="000F48B1">
        <w:trPr>
          <w:cantSplit/>
        </w:trPr>
        <w:tc>
          <w:tcPr>
            <w:tcW w:w="6234" w:type="dxa"/>
            <w:tcBorders>
              <w:top w:val="single" w:sz="4" w:space="0" w:color="53565A"/>
              <w:bottom w:val="single" w:sz="4" w:space="0" w:color="53565A"/>
            </w:tcBorders>
            <w:shd w:val="clear" w:color="auto" w:fill="auto"/>
          </w:tcPr>
          <w:p w14:paraId="232E445D" w14:textId="2D927EEB"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Professional Development for Training Providers</w:t>
            </w:r>
            <w:r w:rsidR="002800F3" w:rsidRPr="005734B8">
              <w:rPr>
                <w:rFonts w:ascii="Calibri" w:eastAsia="Times New Roman" w:hAnsi="Calibri" w:cs="Calibri"/>
                <w:sz w:val="20"/>
                <w:szCs w:val="18"/>
                <w:lang w:val="en-US"/>
              </w:rPr>
              <w:t>—</w:t>
            </w:r>
            <w:r w:rsidRPr="005734B8">
              <w:rPr>
                <w:rFonts w:ascii="Calibri" w:eastAsia="Times New Roman" w:hAnsi="Calibri" w:cs="Calibri"/>
                <w:sz w:val="20"/>
                <w:szCs w:val="18"/>
                <w:lang w:val="en-US"/>
              </w:rPr>
              <w:t>VDC</w:t>
            </w:r>
          </w:p>
        </w:tc>
        <w:tc>
          <w:tcPr>
            <w:tcW w:w="1701" w:type="dxa"/>
            <w:tcBorders>
              <w:top w:val="single" w:sz="4" w:space="0" w:color="53565A"/>
              <w:bottom w:val="single" w:sz="4" w:space="0" w:color="53565A"/>
            </w:tcBorders>
            <w:shd w:val="clear" w:color="auto" w:fill="auto"/>
          </w:tcPr>
          <w:p w14:paraId="41016666"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1,850,500</w:t>
            </w:r>
          </w:p>
        </w:tc>
      </w:tr>
      <w:tr w:rsidR="00F603FA" w:rsidRPr="005734B8" w14:paraId="495551CE" w14:textId="77777777" w:rsidTr="000F48B1">
        <w:trPr>
          <w:cantSplit/>
        </w:trPr>
        <w:tc>
          <w:tcPr>
            <w:tcW w:w="6234" w:type="dxa"/>
            <w:tcBorders>
              <w:top w:val="single" w:sz="4" w:space="0" w:color="53565A"/>
              <w:bottom w:val="single" w:sz="4" w:space="0" w:color="53565A"/>
            </w:tcBorders>
            <w:shd w:val="clear" w:color="auto" w:fill="auto"/>
          </w:tcPr>
          <w:p w14:paraId="4ADB1565" w14:textId="78606046"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 xml:space="preserve">Professional Development </w:t>
            </w:r>
            <w:r w:rsidR="002800F3" w:rsidRPr="005734B8">
              <w:rPr>
                <w:rFonts w:ascii="Calibri" w:eastAsia="Times New Roman" w:hAnsi="Calibri" w:cs="Calibri"/>
                <w:sz w:val="20"/>
                <w:szCs w:val="18"/>
                <w:lang w:val="en-US"/>
              </w:rPr>
              <w:t>p</w:t>
            </w:r>
            <w:r w:rsidRPr="005734B8">
              <w:rPr>
                <w:rFonts w:ascii="Calibri" w:eastAsia="Times New Roman" w:hAnsi="Calibri" w:cs="Calibri"/>
                <w:sz w:val="20"/>
                <w:szCs w:val="18"/>
                <w:lang w:val="en-US"/>
              </w:rPr>
              <w:t>rogram</w:t>
            </w:r>
          </w:p>
        </w:tc>
        <w:tc>
          <w:tcPr>
            <w:tcW w:w="1701" w:type="dxa"/>
            <w:tcBorders>
              <w:top w:val="single" w:sz="4" w:space="0" w:color="53565A"/>
              <w:bottom w:val="single" w:sz="4" w:space="0" w:color="53565A"/>
            </w:tcBorders>
            <w:shd w:val="clear" w:color="auto" w:fill="auto"/>
          </w:tcPr>
          <w:p w14:paraId="51D090F1"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40,000</w:t>
            </w:r>
          </w:p>
        </w:tc>
      </w:tr>
      <w:tr w:rsidR="00F603FA" w:rsidRPr="005734B8" w14:paraId="36794CBD" w14:textId="77777777" w:rsidTr="000F48B1">
        <w:trPr>
          <w:cantSplit/>
        </w:trPr>
        <w:tc>
          <w:tcPr>
            <w:tcW w:w="6234" w:type="dxa"/>
            <w:tcBorders>
              <w:top w:val="single" w:sz="4" w:space="0" w:color="53565A"/>
              <w:bottom w:val="single" w:sz="4" w:space="0" w:color="53565A"/>
            </w:tcBorders>
            <w:shd w:val="clear" w:color="auto" w:fill="auto"/>
          </w:tcPr>
          <w:p w14:paraId="69302705"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eastAsia="en-AU"/>
              </w:rPr>
              <w:t>Professional Family Violence Specialists Support Initiative</w:t>
            </w:r>
          </w:p>
        </w:tc>
        <w:tc>
          <w:tcPr>
            <w:tcW w:w="1701" w:type="dxa"/>
            <w:tcBorders>
              <w:top w:val="single" w:sz="4" w:space="0" w:color="53565A"/>
              <w:bottom w:val="single" w:sz="4" w:space="0" w:color="53565A"/>
            </w:tcBorders>
            <w:shd w:val="clear" w:color="auto" w:fill="auto"/>
          </w:tcPr>
          <w:p w14:paraId="7755ED30"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rPr>
              <w:t>8,400</w:t>
            </w:r>
          </w:p>
        </w:tc>
      </w:tr>
      <w:tr w:rsidR="00F603FA" w:rsidRPr="005734B8" w14:paraId="28A70060" w14:textId="77777777" w:rsidTr="000F48B1">
        <w:trPr>
          <w:cantSplit/>
        </w:trPr>
        <w:tc>
          <w:tcPr>
            <w:tcW w:w="6234" w:type="dxa"/>
            <w:tcBorders>
              <w:top w:val="single" w:sz="4" w:space="0" w:color="53565A"/>
              <w:bottom w:val="single" w:sz="4" w:space="0" w:color="53565A"/>
            </w:tcBorders>
            <w:shd w:val="clear" w:color="auto" w:fill="auto"/>
          </w:tcPr>
          <w:p w14:paraId="6681C3B4" w14:textId="77777777" w:rsidR="00E249A4" w:rsidRPr="005734B8" w:rsidRDefault="00E249A4" w:rsidP="000F48B1">
            <w:pPr>
              <w:spacing w:before="120" w:after="120"/>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Professional Learning for Casual Relief Teachers</w:t>
            </w:r>
          </w:p>
        </w:tc>
        <w:tc>
          <w:tcPr>
            <w:tcW w:w="1701" w:type="dxa"/>
            <w:tcBorders>
              <w:top w:val="single" w:sz="4" w:space="0" w:color="53565A"/>
              <w:bottom w:val="single" w:sz="4" w:space="0" w:color="53565A"/>
            </w:tcBorders>
            <w:shd w:val="clear" w:color="auto" w:fill="auto"/>
          </w:tcPr>
          <w:p w14:paraId="1B3DB074" w14:textId="77777777" w:rsidR="00E249A4" w:rsidRPr="005734B8" w:rsidRDefault="00E249A4" w:rsidP="000F48B1">
            <w:pPr>
              <w:spacing w:before="120" w:after="120"/>
              <w:jc w:val="right"/>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240,000</w:t>
            </w:r>
          </w:p>
        </w:tc>
      </w:tr>
      <w:tr w:rsidR="00F603FA" w:rsidRPr="005734B8" w14:paraId="402FD97E" w14:textId="77777777" w:rsidTr="000F48B1">
        <w:trPr>
          <w:cantSplit/>
        </w:trPr>
        <w:tc>
          <w:tcPr>
            <w:tcW w:w="6234" w:type="dxa"/>
            <w:tcBorders>
              <w:top w:val="single" w:sz="4" w:space="0" w:color="53565A"/>
              <w:bottom w:val="single" w:sz="4" w:space="0" w:color="53565A"/>
            </w:tcBorders>
            <w:shd w:val="clear" w:color="auto" w:fill="auto"/>
          </w:tcPr>
          <w:p w14:paraId="29C61920" w14:textId="77777777" w:rsidR="00E249A4" w:rsidRPr="005734B8" w:rsidRDefault="00E249A4" w:rsidP="000F48B1">
            <w:pPr>
              <w:spacing w:before="120" w:after="120"/>
              <w:rPr>
                <w:rFonts w:ascii="Calibri" w:eastAsia="Times New Roman" w:hAnsi="Calibri" w:cs="Calibri"/>
                <w:color w:val="000000"/>
                <w:sz w:val="20"/>
                <w:szCs w:val="20"/>
                <w:lang w:val="en-US" w:eastAsia="en-AU"/>
              </w:rPr>
            </w:pPr>
            <w:r w:rsidRPr="005734B8">
              <w:rPr>
                <w:rFonts w:ascii="Calibri" w:eastAsia="Times New Roman" w:hAnsi="Calibri" w:cs="Calibri"/>
                <w:color w:val="000000"/>
                <w:sz w:val="20"/>
                <w:szCs w:val="20"/>
                <w:lang w:val="en-US"/>
              </w:rPr>
              <w:t>Professional Learning Program for VET Trainers</w:t>
            </w:r>
          </w:p>
        </w:tc>
        <w:tc>
          <w:tcPr>
            <w:tcW w:w="1701" w:type="dxa"/>
            <w:tcBorders>
              <w:top w:val="single" w:sz="4" w:space="0" w:color="53565A"/>
              <w:bottom w:val="single" w:sz="4" w:space="0" w:color="53565A"/>
            </w:tcBorders>
            <w:shd w:val="clear" w:color="auto" w:fill="auto"/>
          </w:tcPr>
          <w:p w14:paraId="2FBEA795" w14:textId="77777777" w:rsidR="00E249A4" w:rsidRPr="005734B8" w:rsidRDefault="00E249A4" w:rsidP="000F48B1">
            <w:pPr>
              <w:spacing w:before="120" w:after="120"/>
              <w:jc w:val="right"/>
              <w:rPr>
                <w:rFonts w:ascii="Calibri" w:eastAsia="Times New Roman" w:hAnsi="Calibri" w:cs="Calibri"/>
                <w:sz w:val="20"/>
                <w:szCs w:val="20"/>
                <w:lang w:val="en-US"/>
              </w:rPr>
            </w:pPr>
            <w:r w:rsidRPr="005734B8">
              <w:rPr>
                <w:rFonts w:ascii="Calibri" w:eastAsia="Times New Roman" w:hAnsi="Calibri" w:cs="Calibri"/>
                <w:color w:val="000000"/>
                <w:sz w:val="20"/>
                <w:szCs w:val="20"/>
                <w:lang w:val="en-US"/>
              </w:rPr>
              <w:t>1,538,768</w:t>
            </w:r>
          </w:p>
        </w:tc>
      </w:tr>
      <w:tr w:rsidR="00F603FA" w:rsidRPr="005734B8" w14:paraId="041C69DE" w14:textId="77777777" w:rsidTr="000F48B1">
        <w:trPr>
          <w:cantSplit/>
        </w:trPr>
        <w:tc>
          <w:tcPr>
            <w:tcW w:w="6234" w:type="dxa"/>
            <w:tcBorders>
              <w:top w:val="single" w:sz="4" w:space="0" w:color="53565A"/>
              <w:bottom w:val="single" w:sz="4" w:space="0" w:color="53565A"/>
            </w:tcBorders>
            <w:shd w:val="clear" w:color="auto" w:fill="auto"/>
          </w:tcPr>
          <w:p w14:paraId="06B792DD"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sz w:val="20"/>
                <w:szCs w:val="20"/>
                <w:lang w:val="en-US"/>
              </w:rPr>
              <w:t>Project REAL and Northern Centre for Excellence in School Engagement</w:t>
            </w:r>
          </w:p>
        </w:tc>
        <w:tc>
          <w:tcPr>
            <w:tcW w:w="1701" w:type="dxa"/>
            <w:tcBorders>
              <w:top w:val="single" w:sz="4" w:space="0" w:color="53565A"/>
              <w:bottom w:val="single" w:sz="4" w:space="0" w:color="53565A"/>
            </w:tcBorders>
            <w:shd w:val="clear" w:color="auto" w:fill="auto"/>
          </w:tcPr>
          <w:p w14:paraId="4B89E4D4"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20"/>
                <w:lang w:val="en-US"/>
              </w:rPr>
              <w:t>400,000</w:t>
            </w:r>
          </w:p>
        </w:tc>
      </w:tr>
      <w:tr w:rsidR="00F603FA" w:rsidRPr="005734B8" w14:paraId="0731F98D" w14:textId="77777777" w:rsidTr="000F48B1">
        <w:trPr>
          <w:cantSplit/>
        </w:trPr>
        <w:tc>
          <w:tcPr>
            <w:tcW w:w="6234" w:type="dxa"/>
            <w:tcBorders>
              <w:top w:val="single" w:sz="4" w:space="0" w:color="53565A"/>
              <w:bottom w:val="single" w:sz="4" w:space="0" w:color="53565A"/>
            </w:tcBorders>
            <w:shd w:val="clear" w:color="auto" w:fill="auto"/>
          </w:tcPr>
          <w:p w14:paraId="51161CC0" w14:textId="77777777" w:rsidR="00E249A4" w:rsidRPr="005734B8" w:rsidRDefault="00E249A4" w:rsidP="000F48B1">
            <w:pPr>
              <w:spacing w:before="120" w:after="120"/>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Public Water Safety Initiative</w:t>
            </w:r>
          </w:p>
        </w:tc>
        <w:tc>
          <w:tcPr>
            <w:tcW w:w="1701" w:type="dxa"/>
            <w:tcBorders>
              <w:top w:val="single" w:sz="4" w:space="0" w:color="53565A"/>
              <w:bottom w:val="single" w:sz="4" w:space="0" w:color="53565A"/>
            </w:tcBorders>
            <w:shd w:val="clear" w:color="auto" w:fill="auto"/>
          </w:tcPr>
          <w:p w14:paraId="5859C6F1" w14:textId="77777777" w:rsidR="00E249A4" w:rsidRPr="005734B8" w:rsidRDefault="00E249A4" w:rsidP="000F48B1">
            <w:pPr>
              <w:spacing w:before="120" w:after="120"/>
              <w:jc w:val="right"/>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824,500</w:t>
            </w:r>
          </w:p>
        </w:tc>
      </w:tr>
      <w:tr w:rsidR="00F603FA" w:rsidRPr="005734B8" w14:paraId="2DF91D19" w14:textId="77777777" w:rsidTr="000F48B1">
        <w:trPr>
          <w:cantSplit/>
        </w:trPr>
        <w:tc>
          <w:tcPr>
            <w:tcW w:w="6234" w:type="dxa"/>
            <w:tcBorders>
              <w:top w:val="single" w:sz="4" w:space="0" w:color="53565A"/>
              <w:bottom w:val="single" w:sz="4" w:space="0" w:color="53565A"/>
            </w:tcBorders>
            <w:shd w:val="clear" w:color="auto" w:fill="auto"/>
          </w:tcPr>
          <w:p w14:paraId="233F3C37"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Quality Apprenticeships to Drive Job Opportunities</w:t>
            </w:r>
          </w:p>
        </w:tc>
        <w:tc>
          <w:tcPr>
            <w:tcW w:w="1701" w:type="dxa"/>
            <w:tcBorders>
              <w:top w:val="single" w:sz="4" w:space="0" w:color="53565A"/>
              <w:bottom w:val="single" w:sz="4" w:space="0" w:color="53565A"/>
            </w:tcBorders>
            <w:shd w:val="clear" w:color="auto" w:fill="auto"/>
          </w:tcPr>
          <w:p w14:paraId="4BF5C0FA"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4,013,375</w:t>
            </w:r>
          </w:p>
        </w:tc>
      </w:tr>
      <w:tr w:rsidR="00F603FA" w:rsidRPr="005734B8" w14:paraId="1BD59890" w14:textId="77777777" w:rsidTr="000F48B1">
        <w:trPr>
          <w:cantSplit/>
        </w:trPr>
        <w:tc>
          <w:tcPr>
            <w:tcW w:w="6234" w:type="dxa"/>
            <w:tcBorders>
              <w:top w:val="single" w:sz="4" w:space="0" w:color="53565A"/>
              <w:bottom w:val="single" w:sz="4" w:space="0" w:color="53565A"/>
            </w:tcBorders>
            <w:shd w:val="clear" w:color="auto" w:fill="auto"/>
          </w:tcPr>
          <w:p w14:paraId="48DE1F99"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Quality Learning and Assessment Materials</w:t>
            </w:r>
          </w:p>
        </w:tc>
        <w:tc>
          <w:tcPr>
            <w:tcW w:w="1701" w:type="dxa"/>
            <w:tcBorders>
              <w:top w:val="single" w:sz="4" w:space="0" w:color="53565A"/>
              <w:bottom w:val="single" w:sz="4" w:space="0" w:color="53565A"/>
            </w:tcBorders>
            <w:shd w:val="clear" w:color="auto" w:fill="auto"/>
          </w:tcPr>
          <w:p w14:paraId="0C6F106B"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1,695,000</w:t>
            </w:r>
          </w:p>
        </w:tc>
      </w:tr>
      <w:tr w:rsidR="00F603FA" w:rsidRPr="005734B8" w14:paraId="29F09264" w14:textId="77777777" w:rsidTr="000F48B1">
        <w:trPr>
          <w:cantSplit/>
        </w:trPr>
        <w:tc>
          <w:tcPr>
            <w:tcW w:w="6234" w:type="dxa"/>
            <w:tcBorders>
              <w:top w:val="single" w:sz="4" w:space="0" w:color="53565A"/>
              <w:bottom w:val="single" w:sz="4" w:space="0" w:color="53565A"/>
            </w:tcBorders>
            <w:shd w:val="clear" w:color="auto" w:fill="auto"/>
          </w:tcPr>
          <w:p w14:paraId="6C4A8EEC"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Raising Expectations program</w:t>
            </w:r>
          </w:p>
        </w:tc>
        <w:tc>
          <w:tcPr>
            <w:tcW w:w="1701" w:type="dxa"/>
            <w:tcBorders>
              <w:top w:val="single" w:sz="4" w:space="0" w:color="53565A"/>
              <w:bottom w:val="single" w:sz="4" w:space="0" w:color="53565A"/>
            </w:tcBorders>
            <w:shd w:val="clear" w:color="auto" w:fill="auto"/>
          </w:tcPr>
          <w:p w14:paraId="0359DFEF"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300,000</w:t>
            </w:r>
          </w:p>
        </w:tc>
      </w:tr>
      <w:tr w:rsidR="00F603FA" w:rsidRPr="005734B8" w14:paraId="1A29661E" w14:textId="77777777" w:rsidTr="000F48B1">
        <w:trPr>
          <w:cantSplit/>
        </w:trPr>
        <w:tc>
          <w:tcPr>
            <w:tcW w:w="6234" w:type="dxa"/>
            <w:tcBorders>
              <w:top w:val="single" w:sz="4" w:space="0" w:color="53565A"/>
              <w:bottom w:val="single" w:sz="4" w:space="0" w:color="53565A"/>
            </w:tcBorders>
            <w:shd w:val="clear" w:color="auto" w:fill="auto"/>
          </w:tcPr>
          <w:p w14:paraId="0D2CD382"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Raising Rural and Regional Student Aspirations</w:t>
            </w:r>
          </w:p>
        </w:tc>
        <w:tc>
          <w:tcPr>
            <w:tcW w:w="1701" w:type="dxa"/>
            <w:tcBorders>
              <w:top w:val="single" w:sz="4" w:space="0" w:color="53565A"/>
              <w:bottom w:val="single" w:sz="4" w:space="0" w:color="53565A"/>
            </w:tcBorders>
            <w:shd w:val="clear" w:color="auto" w:fill="auto"/>
          </w:tcPr>
          <w:p w14:paraId="0BBAD927"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525,000</w:t>
            </w:r>
          </w:p>
        </w:tc>
      </w:tr>
      <w:tr w:rsidR="00F603FA" w:rsidRPr="005734B8" w14:paraId="013EE5A1" w14:textId="77777777" w:rsidTr="000F48B1">
        <w:trPr>
          <w:cantSplit/>
        </w:trPr>
        <w:tc>
          <w:tcPr>
            <w:tcW w:w="6234" w:type="dxa"/>
            <w:tcBorders>
              <w:top w:val="single" w:sz="4" w:space="0" w:color="53565A"/>
              <w:bottom w:val="single" w:sz="4" w:space="0" w:color="53565A"/>
            </w:tcBorders>
            <w:shd w:val="clear" w:color="auto" w:fill="auto"/>
          </w:tcPr>
          <w:p w14:paraId="413F422C" w14:textId="0D27DACC"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 xml:space="preserve">Reconnect </w:t>
            </w:r>
            <w:r w:rsidR="002800F3" w:rsidRPr="005734B8">
              <w:rPr>
                <w:rFonts w:ascii="Calibri" w:eastAsia="Times New Roman" w:hAnsi="Calibri" w:cs="Calibri"/>
                <w:sz w:val="20"/>
                <w:szCs w:val="18"/>
                <w:lang w:val="en-US"/>
              </w:rPr>
              <w:t>p</w:t>
            </w:r>
            <w:r w:rsidRPr="005734B8">
              <w:rPr>
                <w:rFonts w:ascii="Calibri" w:eastAsia="Times New Roman" w:hAnsi="Calibri" w:cs="Calibri"/>
                <w:sz w:val="20"/>
                <w:szCs w:val="18"/>
                <w:lang w:val="en-US"/>
              </w:rPr>
              <w:t>rogram</w:t>
            </w:r>
          </w:p>
        </w:tc>
        <w:tc>
          <w:tcPr>
            <w:tcW w:w="1701" w:type="dxa"/>
            <w:tcBorders>
              <w:top w:val="single" w:sz="4" w:space="0" w:color="53565A"/>
              <w:bottom w:val="single" w:sz="4" w:space="0" w:color="53565A"/>
            </w:tcBorders>
            <w:shd w:val="clear" w:color="auto" w:fill="auto"/>
          </w:tcPr>
          <w:p w14:paraId="32DA7172"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13,026,238</w:t>
            </w:r>
          </w:p>
        </w:tc>
      </w:tr>
      <w:tr w:rsidR="00F603FA" w:rsidRPr="005734B8" w14:paraId="23075F1A" w14:textId="77777777" w:rsidTr="000F48B1">
        <w:trPr>
          <w:cantSplit/>
        </w:trPr>
        <w:tc>
          <w:tcPr>
            <w:tcW w:w="6234" w:type="dxa"/>
            <w:tcBorders>
              <w:top w:val="single" w:sz="4" w:space="0" w:color="53565A"/>
              <w:bottom w:val="single" w:sz="4" w:space="0" w:color="53565A"/>
            </w:tcBorders>
            <w:shd w:val="clear" w:color="auto" w:fill="auto"/>
          </w:tcPr>
          <w:p w14:paraId="64FC0257" w14:textId="4A7E1C60"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sz w:val="20"/>
                <w:szCs w:val="18"/>
                <w:lang w:val="en-US"/>
              </w:rPr>
              <w:t xml:space="preserve">Refugee Education Support </w:t>
            </w:r>
            <w:r w:rsidR="002800F3" w:rsidRPr="005734B8">
              <w:rPr>
                <w:rFonts w:ascii="Calibri" w:eastAsia="Times New Roman" w:hAnsi="Calibri" w:cs="Calibri"/>
                <w:sz w:val="20"/>
                <w:szCs w:val="18"/>
                <w:lang w:val="en-US"/>
              </w:rPr>
              <w:t>p</w:t>
            </w:r>
            <w:r w:rsidRPr="005734B8">
              <w:rPr>
                <w:rFonts w:ascii="Calibri" w:eastAsia="Times New Roman" w:hAnsi="Calibri" w:cs="Calibri"/>
                <w:sz w:val="20"/>
                <w:szCs w:val="18"/>
                <w:lang w:val="en-US"/>
              </w:rPr>
              <w:t xml:space="preserve">rogram </w:t>
            </w:r>
          </w:p>
        </w:tc>
        <w:tc>
          <w:tcPr>
            <w:tcW w:w="1701" w:type="dxa"/>
            <w:tcBorders>
              <w:top w:val="single" w:sz="4" w:space="0" w:color="53565A"/>
              <w:bottom w:val="single" w:sz="4" w:space="0" w:color="53565A"/>
            </w:tcBorders>
            <w:shd w:val="clear" w:color="auto" w:fill="auto"/>
          </w:tcPr>
          <w:p w14:paraId="32F2ADEE"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2,677,510</w:t>
            </w:r>
          </w:p>
        </w:tc>
      </w:tr>
      <w:tr w:rsidR="00F603FA" w:rsidRPr="005734B8" w14:paraId="17D4BB0C" w14:textId="77777777" w:rsidTr="000F48B1">
        <w:trPr>
          <w:cantSplit/>
        </w:trPr>
        <w:tc>
          <w:tcPr>
            <w:tcW w:w="6234" w:type="dxa"/>
            <w:tcBorders>
              <w:top w:val="single" w:sz="4" w:space="0" w:color="53565A"/>
              <w:bottom w:val="single" w:sz="4" w:space="0" w:color="53565A"/>
            </w:tcBorders>
            <w:shd w:val="clear" w:color="auto" w:fill="auto"/>
          </w:tcPr>
          <w:p w14:paraId="6CD8218A"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eastAsia="en-AU"/>
              </w:rPr>
              <w:t>Respectful Relationships funding to non-government schools</w:t>
            </w:r>
          </w:p>
        </w:tc>
        <w:tc>
          <w:tcPr>
            <w:tcW w:w="1701" w:type="dxa"/>
            <w:tcBorders>
              <w:top w:val="single" w:sz="4" w:space="0" w:color="53565A"/>
              <w:bottom w:val="single" w:sz="4" w:space="0" w:color="53565A"/>
            </w:tcBorders>
            <w:shd w:val="clear" w:color="auto" w:fill="auto"/>
          </w:tcPr>
          <w:p w14:paraId="3A8B94B5"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rPr>
              <w:t>376,000</w:t>
            </w:r>
          </w:p>
        </w:tc>
      </w:tr>
      <w:tr w:rsidR="00F603FA" w:rsidRPr="005734B8" w14:paraId="759908AC" w14:textId="77777777" w:rsidTr="000F48B1">
        <w:trPr>
          <w:cantSplit/>
        </w:trPr>
        <w:tc>
          <w:tcPr>
            <w:tcW w:w="6234" w:type="dxa"/>
            <w:tcBorders>
              <w:top w:val="single" w:sz="4" w:space="0" w:color="53565A"/>
              <w:bottom w:val="single" w:sz="4" w:space="0" w:color="53565A"/>
            </w:tcBorders>
            <w:shd w:val="clear" w:color="auto" w:fill="auto"/>
          </w:tcPr>
          <w:p w14:paraId="57188649" w14:textId="77777777" w:rsidR="00E249A4" w:rsidRPr="005734B8" w:rsidRDefault="00E249A4" w:rsidP="000F48B1">
            <w:pPr>
              <w:spacing w:before="120" w:after="120"/>
              <w:rPr>
                <w:rFonts w:ascii="Calibri" w:eastAsia="Times New Roman" w:hAnsi="Calibri" w:cs="Calibri"/>
                <w:color w:val="000000"/>
                <w:sz w:val="20"/>
                <w:szCs w:val="20"/>
                <w:lang w:val="en-US" w:eastAsia="en-AU"/>
              </w:rPr>
            </w:pPr>
            <w:r w:rsidRPr="005734B8">
              <w:rPr>
                <w:rFonts w:ascii="Calibri" w:eastAsia="Times New Roman" w:hAnsi="Calibri" w:cs="Calibri"/>
                <w:color w:val="000000"/>
                <w:sz w:val="20"/>
                <w:szCs w:val="20"/>
                <w:lang w:val="en-US"/>
              </w:rPr>
              <w:t>Retraining Industry Professionals to become VET Teachers</w:t>
            </w:r>
          </w:p>
        </w:tc>
        <w:tc>
          <w:tcPr>
            <w:tcW w:w="1701" w:type="dxa"/>
            <w:tcBorders>
              <w:top w:val="single" w:sz="4" w:space="0" w:color="53565A"/>
              <w:bottom w:val="single" w:sz="4" w:space="0" w:color="53565A"/>
            </w:tcBorders>
            <w:shd w:val="clear" w:color="auto" w:fill="auto"/>
          </w:tcPr>
          <w:p w14:paraId="62E490EF" w14:textId="77777777" w:rsidR="00E249A4" w:rsidRPr="005734B8" w:rsidRDefault="00E249A4" w:rsidP="000F48B1">
            <w:pPr>
              <w:spacing w:before="120" w:after="120"/>
              <w:jc w:val="right"/>
              <w:rPr>
                <w:rFonts w:ascii="Calibri" w:eastAsia="Times New Roman" w:hAnsi="Calibri" w:cs="Calibri"/>
                <w:sz w:val="20"/>
                <w:szCs w:val="20"/>
                <w:lang w:val="en-US"/>
              </w:rPr>
            </w:pPr>
            <w:r w:rsidRPr="005734B8">
              <w:rPr>
                <w:rFonts w:ascii="Calibri" w:eastAsia="Times New Roman" w:hAnsi="Calibri" w:cs="Calibri"/>
                <w:color w:val="000000"/>
                <w:sz w:val="20"/>
                <w:szCs w:val="20"/>
                <w:lang w:val="en-US"/>
              </w:rPr>
              <w:t>1,008,986</w:t>
            </w:r>
          </w:p>
        </w:tc>
      </w:tr>
      <w:tr w:rsidR="00F603FA" w:rsidRPr="005734B8" w14:paraId="20DE66B6" w14:textId="77777777" w:rsidTr="000F48B1">
        <w:trPr>
          <w:cantSplit/>
        </w:trPr>
        <w:tc>
          <w:tcPr>
            <w:tcW w:w="6234" w:type="dxa"/>
            <w:tcBorders>
              <w:top w:val="single" w:sz="4" w:space="0" w:color="53565A"/>
              <w:bottom w:val="single" w:sz="4" w:space="0" w:color="53565A"/>
            </w:tcBorders>
            <w:shd w:val="clear" w:color="auto" w:fill="auto"/>
          </w:tcPr>
          <w:p w14:paraId="0AEEA540"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Retrenched Apprentices Register and Support Services</w:t>
            </w:r>
          </w:p>
        </w:tc>
        <w:tc>
          <w:tcPr>
            <w:tcW w:w="1701" w:type="dxa"/>
            <w:tcBorders>
              <w:top w:val="single" w:sz="4" w:space="0" w:color="53565A"/>
              <w:bottom w:val="single" w:sz="4" w:space="0" w:color="53565A"/>
            </w:tcBorders>
            <w:shd w:val="clear" w:color="auto" w:fill="auto"/>
          </w:tcPr>
          <w:p w14:paraId="004637FC"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989,565</w:t>
            </w:r>
          </w:p>
        </w:tc>
      </w:tr>
      <w:tr w:rsidR="00F603FA" w:rsidRPr="005734B8" w14:paraId="16B0BE46" w14:textId="77777777" w:rsidTr="000F48B1">
        <w:trPr>
          <w:cantSplit/>
        </w:trPr>
        <w:tc>
          <w:tcPr>
            <w:tcW w:w="6234" w:type="dxa"/>
            <w:tcBorders>
              <w:top w:val="single" w:sz="4" w:space="0" w:color="53565A"/>
              <w:bottom w:val="single" w:sz="4" w:space="0" w:color="53565A"/>
            </w:tcBorders>
            <w:shd w:val="clear" w:color="auto" w:fill="auto"/>
          </w:tcPr>
          <w:p w14:paraId="0F171562"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Return to Work eLearning Platform</w:t>
            </w:r>
          </w:p>
        </w:tc>
        <w:tc>
          <w:tcPr>
            <w:tcW w:w="1701" w:type="dxa"/>
            <w:tcBorders>
              <w:top w:val="single" w:sz="4" w:space="0" w:color="53565A"/>
              <w:bottom w:val="single" w:sz="4" w:space="0" w:color="53565A"/>
            </w:tcBorders>
            <w:shd w:val="clear" w:color="auto" w:fill="auto"/>
          </w:tcPr>
          <w:p w14:paraId="039C1A7C"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1,936,484</w:t>
            </w:r>
          </w:p>
        </w:tc>
      </w:tr>
      <w:tr w:rsidR="00F603FA" w:rsidRPr="005734B8" w14:paraId="02B33A5C" w14:textId="77777777" w:rsidTr="000F48B1">
        <w:trPr>
          <w:cantSplit/>
        </w:trPr>
        <w:tc>
          <w:tcPr>
            <w:tcW w:w="6234" w:type="dxa"/>
            <w:tcBorders>
              <w:top w:val="single" w:sz="4" w:space="0" w:color="53565A"/>
              <w:bottom w:val="single" w:sz="4" w:space="0" w:color="53565A"/>
            </w:tcBorders>
            <w:shd w:val="clear" w:color="auto" w:fill="auto"/>
          </w:tcPr>
          <w:p w14:paraId="158031E3"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lastRenderedPageBreak/>
              <w:t>Revitalising TAFE Campuses Port of Sale</w:t>
            </w:r>
          </w:p>
        </w:tc>
        <w:tc>
          <w:tcPr>
            <w:tcW w:w="1701" w:type="dxa"/>
            <w:tcBorders>
              <w:top w:val="single" w:sz="4" w:space="0" w:color="53565A"/>
              <w:bottom w:val="single" w:sz="4" w:space="0" w:color="53565A"/>
            </w:tcBorders>
            <w:shd w:val="clear" w:color="auto" w:fill="auto"/>
          </w:tcPr>
          <w:p w14:paraId="72069C9D"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1,489,000</w:t>
            </w:r>
          </w:p>
        </w:tc>
      </w:tr>
      <w:tr w:rsidR="00F603FA" w:rsidRPr="005734B8" w14:paraId="10DA91D8" w14:textId="77777777" w:rsidTr="000F48B1">
        <w:trPr>
          <w:cantSplit/>
        </w:trPr>
        <w:tc>
          <w:tcPr>
            <w:tcW w:w="6234" w:type="dxa"/>
            <w:tcBorders>
              <w:top w:val="single" w:sz="4" w:space="0" w:color="53565A"/>
              <w:bottom w:val="single" w:sz="4" w:space="0" w:color="53565A"/>
            </w:tcBorders>
            <w:shd w:val="clear" w:color="auto" w:fill="auto"/>
          </w:tcPr>
          <w:p w14:paraId="30D290B2" w14:textId="37FAF64B" w:rsidR="00E249A4" w:rsidRPr="005734B8" w:rsidRDefault="00E249A4" w:rsidP="000F48B1">
            <w:pPr>
              <w:spacing w:before="120" w:after="120"/>
              <w:rPr>
                <w:rFonts w:ascii="Calibri" w:eastAsia="Times New Roman" w:hAnsi="Calibri" w:cs="Calibri"/>
                <w:color w:val="000000"/>
                <w:sz w:val="16"/>
                <w:szCs w:val="16"/>
                <w:highlight w:val="yellow"/>
                <w:lang w:val="en-US" w:eastAsia="en-AU"/>
              </w:rPr>
            </w:pPr>
            <w:r w:rsidRPr="005734B8">
              <w:rPr>
                <w:rFonts w:ascii="Calibri" w:eastAsia="Times New Roman" w:hAnsi="Calibri" w:cs="Calibri"/>
                <w:color w:val="000000"/>
                <w:sz w:val="20"/>
                <w:szCs w:val="20"/>
                <w:lang w:eastAsia="en-AU"/>
              </w:rPr>
              <w:t xml:space="preserve">School Breakfast Clubs </w:t>
            </w:r>
            <w:r w:rsidR="002800F3" w:rsidRPr="005734B8">
              <w:rPr>
                <w:rFonts w:ascii="Calibri" w:eastAsia="Times New Roman" w:hAnsi="Calibri" w:cs="Calibri"/>
                <w:color w:val="000000"/>
                <w:sz w:val="20"/>
                <w:szCs w:val="20"/>
                <w:lang w:eastAsia="en-AU"/>
              </w:rPr>
              <w:t>p</w:t>
            </w:r>
            <w:r w:rsidRPr="005734B8">
              <w:rPr>
                <w:rFonts w:ascii="Calibri" w:eastAsia="Times New Roman" w:hAnsi="Calibri" w:cs="Calibri"/>
                <w:color w:val="000000"/>
                <w:sz w:val="20"/>
                <w:szCs w:val="20"/>
                <w:lang w:eastAsia="en-AU"/>
              </w:rPr>
              <w:t>rogram</w:t>
            </w:r>
          </w:p>
        </w:tc>
        <w:tc>
          <w:tcPr>
            <w:tcW w:w="1701" w:type="dxa"/>
            <w:tcBorders>
              <w:top w:val="single" w:sz="4" w:space="0" w:color="53565A"/>
              <w:bottom w:val="single" w:sz="4" w:space="0" w:color="53565A"/>
            </w:tcBorders>
            <w:shd w:val="clear" w:color="auto" w:fill="auto"/>
          </w:tcPr>
          <w:p w14:paraId="1905DC21" w14:textId="77777777" w:rsidR="00E249A4" w:rsidRPr="005734B8" w:rsidRDefault="00E249A4" w:rsidP="000F48B1">
            <w:pPr>
              <w:spacing w:before="120" w:after="120"/>
              <w:jc w:val="right"/>
              <w:rPr>
                <w:rFonts w:ascii="Calibri" w:eastAsia="Times New Roman" w:hAnsi="Calibri" w:cs="Calibri"/>
                <w:sz w:val="16"/>
                <w:szCs w:val="16"/>
                <w:highlight w:val="yellow"/>
                <w:lang w:val="en-US"/>
              </w:rPr>
            </w:pPr>
            <w:r w:rsidRPr="005734B8">
              <w:rPr>
                <w:rFonts w:ascii="Calibri" w:eastAsia="Times New Roman" w:hAnsi="Calibri" w:cs="Calibri"/>
                <w:sz w:val="20"/>
                <w:szCs w:val="18"/>
              </w:rPr>
              <w:t>18,840,822</w:t>
            </w:r>
          </w:p>
        </w:tc>
      </w:tr>
      <w:tr w:rsidR="00F603FA" w:rsidRPr="005734B8" w14:paraId="75A99BEF" w14:textId="77777777" w:rsidTr="000F48B1">
        <w:trPr>
          <w:cantSplit/>
        </w:trPr>
        <w:tc>
          <w:tcPr>
            <w:tcW w:w="6234" w:type="dxa"/>
            <w:tcBorders>
              <w:top w:val="single" w:sz="4" w:space="0" w:color="53565A"/>
              <w:bottom w:val="single" w:sz="4" w:space="0" w:color="53565A"/>
            </w:tcBorders>
            <w:shd w:val="clear" w:color="auto" w:fill="auto"/>
          </w:tcPr>
          <w:p w14:paraId="2C19B342" w14:textId="4831E936"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sz w:val="20"/>
                <w:szCs w:val="20"/>
                <w:lang w:val="en-AU"/>
              </w:rPr>
              <w:t xml:space="preserve">School Health Support and School </w:t>
            </w:r>
            <w:r w:rsidR="002800F3" w:rsidRPr="005734B8">
              <w:rPr>
                <w:rFonts w:ascii="Calibri" w:eastAsia="Times New Roman" w:hAnsi="Calibri" w:cs="Calibri"/>
                <w:sz w:val="20"/>
                <w:szCs w:val="20"/>
                <w:lang w:val="en-AU"/>
              </w:rPr>
              <w:t>C</w:t>
            </w:r>
            <w:r w:rsidRPr="005734B8">
              <w:rPr>
                <w:rFonts w:ascii="Calibri" w:eastAsia="Times New Roman" w:hAnsi="Calibri" w:cs="Calibri"/>
                <w:sz w:val="20"/>
                <w:szCs w:val="20"/>
                <w:lang w:val="en-AU"/>
              </w:rPr>
              <w:t>are program</w:t>
            </w:r>
          </w:p>
        </w:tc>
        <w:tc>
          <w:tcPr>
            <w:tcW w:w="1701" w:type="dxa"/>
            <w:tcBorders>
              <w:top w:val="single" w:sz="4" w:space="0" w:color="53565A"/>
              <w:bottom w:val="single" w:sz="4" w:space="0" w:color="53565A"/>
            </w:tcBorders>
            <w:shd w:val="clear" w:color="auto" w:fill="auto"/>
          </w:tcPr>
          <w:p w14:paraId="70FEAFC2"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20"/>
                <w:lang w:val="en-US"/>
              </w:rPr>
              <w:t>648,702</w:t>
            </w:r>
          </w:p>
        </w:tc>
      </w:tr>
      <w:tr w:rsidR="00F603FA" w:rsidRPr="005734B8" w14:paraId="23DFF767" w14:textId="77777777" w:rsidTr="000F48B1">
        <w:trPr>
          <w:cantSplit/>
        </w:trPr>
        <w:tc>
          <w:tcPr>
            <w:tcW w:w="6234" w:type="dxa"/>
            <w:tcBorders>
              <w:top w:val="single" w:sz="4" w:space="0" w:color="53565A"/>
              <w:bottom w:val="single" w:sz="4" w:space="0" w:color="53565A"/>
            </w:tcBorders>
            <w:shd w:val="clear" w:color="auto" w:fill="auto"/>
          </w:tcPr>
          <w:p w14:paraId="06D026C6" w14:textId="77777777" w:rsidR="00E249A4" w:rsidRPr="005734B8" w:rsidRDefault="00E249A4" w:rsidP="000F48B1">
            <w:pPr>
              <w:spacing w:before="120" w:after="120"/>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School Holiday Providers</w:t>
            </w:r>
          </w:p>
        </w:tc>
        <w:tc>
          <w:tcPr>
            <w:tcW w:w="1701" w:type="dxa"/>
            <w:tcBorders>
              <w:top w:val="single" w:sz="4" w:space="0" w:color="53565A"/>
              <w:bottom w:val="single" w:sz="4" w:space="0" w:color="53565A"/>
            </w:tcBorders>
            <w:shd w:val="clear" w:color="auto" w:fill="auto"/>
          </w:tcPr>
          <w:p w14:paraId="7A6C32A6" w14:textId="77777777" w:rsidR="00E249A4" w:rsidRPr="005734B8" w:rsidRDefault="00E249A4" w:rsidP="000F48B1">
            <w:pPr>
              <w:spacing w:before="120" w:after="120"/>
              <w:jc w:val="right"/>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900,000</w:t>
            </w:r>
          </w:p>
        </w:tc>
      </w:tr>
      <w:tr w:rsidR="00F603FA" w:rsidRPr="005734B8" w14:paraId="09E51C70" w14:textId="77777777" w:rsidTr="000F48B1">
        <w:trPr>
          <w:cantSplit/>
        </w:trPr>
        <w:tc>
          <w:tcPr>
            <w:tcW w:w="6234" w:type="dxa"/>
            <w:tcBorders>
              <w:top w:val="single" w:sz="4" w:space="0" w:color="53565A"/>
              <w:bottom w:val="single" w:sz="4" w:space="0" w:color="53565A"/>
            </w:tcBorders>
            <w:shd w:val="clear" w:color="auto" w:fill="auto"/>
          </w:tcPr>
          <w:p w14:paraId="6222EFE0"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sz w:val="20"/>
                <w:szCs w:val="20"/>
                <w:lang w:val="en-US"/>
              </w:rPr>
              <w:t>School-Focused Youth Services</w:t>
            </w:r>
          </w:p>
        </w:tc>
        <w:tc>
          <w:tcPr>
            <w:tcW w:w="1701" w:type="dxa"/>
            <w:tcBorders>
              <w:top w:val="single" w:sz="4" w:space="0" w:color="53565A"/>
              <w:bottom w:val="single" w:sz="4" w:space="0" w:color="53565A"/>
            </w:tcBorders>
            <w:shd w:val="clear" w:color="auto" w:fill="auto"/>
          </w:tcPr>
          <w:p w14:paraId="71594CD3"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20"/>
                <w:lang w:val="en-US"/>
              </w:rPr>
              <w:t>10,049,774</w:t>
            </w:r>
          </w:p>
        </w:tc>
      </w:tr>
      <w:tr w:rsidR="00F603FA" w:rsidRPr="005734B8" w14:paraId="1762B173" w14:textId="77777777" w:rsidTr="000F48B1">
        <w:trPr>
          <w:cantSplit/>
        </w:trPr>
        <w:tc>
          <w:tcPr>
            <w:tcW w:w="6234" w:type="dxa"/>
            <w:tcBorders>
              <w:top w:val="single" w:sz="4" w:space="0" w:color="53565A"/>
              <w:bottom w:val="single" w:sz="4" w:space="0" w:color="53565A"/>
            </w:tcBorders>
            <w:shd w:val="clear" w:color="auto" w:fill="auto"/>
          </w:tcPr>
          <w:p w14:paraId="3580A9D0"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sz w:val="20"/>
                <w:szCs w:val="18"/>
                <w:lang w:val="en-US"/>
              </w:rPr>
              <w:t xml:space="preserve">Schools Standing Up to Racism </w:t>
            </w:r>
          </w:p>
        </w:tc>
        <w:tc>
          <w:tcPr>
            <w:tcW w:w="1701" w:type="dxa"/>
            <w:tcBorders>
              <w:top w:val="single" w:sz="4" w:space="0" w:color="53565A"/>
              <w:bottom w:val="single" w:sz="4" w:space="0" w:color="53565A"/>
            </w:tcBorders>
            <w:shd w:val="clear" w:color="auto" w:fill="auto"/>
          </w:tcPr>
          <w:p w14:paraId="23FF6216"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50,000</w:t>
            </w:r>
          </w:p>
        </w:tc>
      </w:tr>
      <w:tr w:rsidR="00F603FA" w:rsidRPr="005734B8" w14:paraId="104C3BD5" w14:textId="77777777" w:rsidTr="000F48B1">
        <w:trPr>
          <w:cantSplit/>
        </w:trPr>
        <w:tc>
          <w:tcPr>
            <w:tcW w:w="6234" w:type="dxa"/>
            <w:tcBorders>
              <w:top w:val="single" w:sz="4" w:space="0" w:color="53565A"/>
              <w:bottom w:val="single" w:sz="4" w:space="0" w:color="53565A"/>
            </w:tcBorders>
            <w:shd w:val="clear" w:color="auto" w:fill="auto"/>
          </w:tcPr>
          <w:p w14:paraId="403E38E2" w14:textId="77777777" w:rsidR="00E249A4" w:rsidRPr="005734B8" w:rsidRDefault="00E249A4" w:rsidP="000F48B1">
            <w:pPr>
              <w:spacing w:before="120" w:after="120"/>
              <w:rPr>
                <w:rFonts w:ascii="Calibri" w:eastAsia="Times New Roman" w:hAnsi="Calibri" w:cs="Calibri"/>
                <w:color w:val="000000"/>
                <w:sz w:val="20"/>
                <w:szCs w:val="20"/>
                <w:lang w:val="en-US" w:eastAsia="en-AU"/>
              </w:rPr>
            </w:pPr>
            <w:r w:rsidRPr="005734B8">
              <w:rPr>
                <w:rFonts w:ascii="Calibri" w:eastAsia="Times New Roman" w:hAnsi="Calibri" w:cs="Calibri"/>
                <w:color w:val="000000"/>
                <w:sz w:val="20"/>
                <w:szCs w:val="20"/>
                <w:lang w:val="en-US"/>
              </w:rPr>
              <w:t>Skilling the Bay in 2021 and 2022</w:t>
            </w:r>
          </w:p>
        </w:tc>
        <w:tc>
          <w:tcPr>
            <w:tcW w:w="1701" w:type="dxa"/>
            <w:tcBorders>
              <w:top w:val="single" w:sz="4" w:space="0" w:color="53565A"/>
              <w:bottom w:val="single" w:sz="4" w:space="0" w:color="53565A"/>
            </w:tcBorders>
            <w:shd w:val="clear" w:color="auto" w:fill="auto"/>
          </w:tcPr>
          <w:p w14:paraId="2E19011B" w14:textId="77777777" w:rsidR="00E249A4" w:rsidRPr="005734B8" w:rsidRDefault="00E249A4" w:rsidP="000F48B1">
            <w:pPr>
              <w:spacing w:before="120" w:after="120"/>
              <w:jc w:val="right"/>
              <w:rPr>
                <w:rFonts w:ascii="Calibri" w:eastAsia="Times New Roman" w:hAnsi="Calibri" w:cs="Calibri"/>
                <w:sz w:val="20"/>
                <w:szCs w:val="20"/>
                <w:lang w:val="en-US"/>
              </w:rPr>
            </w:pPr>
            <w:r w:rsidRPr="005734B8">
              <w:rPr>
                <w:rFonts w:ascii="Calibri" w:eastAsia="Times New Roman" w:hAnsi="Calibri" w:cs="Calibri"/>
                <w:color w:val="000000"/>
                <w:sz w:val="20"/>
                <w:szCs w:val="20"/>
                <w:lang w:val="en-US"/>
              </w:rPr>
              <w:t>1,590,000</w:t>
            </w:r>
          </w:p>
        </w:tc>
      </w:tr>
      <w:tr w:rsidR="00F603FA" w:rsidRPr="005734B8" w14:paraId="466DB664" w14:textId="77777777" w:rsidTr="000F48B1">
        <w:trPr>
          <w:cantSplit/>
        </w:trPr>
        <w:tc>
          <w:tcPr>
            <w:tcW w:w="6234" w:type="dxa"/>
            <w:tcBorders>
              <w:top w:val="single" w:sz="4" w:space="0" w:color="53565A"/>
              <w:bottom w:val="single" w:sz="4" w:space="0" w:color="53565A"/>
            </w:tcBorders>
            <w:shd w:val="clear" w:color="auto" w:fill="auto"/>
          </w:tcPr>
          <w:p w14:paraId="57A017BE" w14:textId="77777777" w:rsidR="00E249A4" w:rsidRPr="005734B8" w:rsidRDefault="00E249A4" w:rsidP="000F48B1">
            <w:pPr>
              <w:spacing w:before="120" w:after="120"/>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Social Cohesion Through Education</w:t>
            </w:r>
          </w:p>
        </w:tc>
        <w:tc>
          <w:tcPr>
            <w:tcW w:w="1701" w:type="dxa"/>
            <w:tcBorders>
              <w:top w:val="single" w:sz="4" w:space="0" w:color="53565A"/>
              <w:bottom w:val="single" w:sz="4" w:space="0" w:color="53565A"/>
            </w:tcBorders>
            <w:shd w:val="clear" w:color="auto" w:fill="auto"/>
          </w:tcPr>
          <w:p w14:paraId="33BBCB29"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20"/>
                <w:lang w:val="en-US"/>
              </w:rPr>
              <w:t>580,000</w:t>
            </w:r>
          </w:p>
        </w:tc>
      </w:tr>
      <w:tr w:rsidR="00F603FA" w:rsidRPr="005734B8" w14:paraId="614A1C79" w14:textId="77777777" w:rsidTr="000F48B1">
        <w:trPr>
          <w:cantSplit/>
        </w:trPr>
        <w:tc>
          <w:tcPr>
            <w:tcW w:w="6234" w:type="dxa"/>
            <w:tcBorders>
              <w:top w:val="single" w:sz="4" w:space="0" w:color="53565A"/>
              <w:bottom w:val="single" w:sz="4" w:space="0" w:color="53565A"/>
            </w:tcBorders>
            <w:shd w:val="clear" w:color="auto" w:fill="auto"/>
          </w:tcPr>
          <w:p w14:paraId="79FAF3A4"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Stars Koorie Girls Academy</w:t>
            </w:r>
          </w:p>
        </w:tc>
        <w:tc>
          <w:tcPr>
            <w:tcW w:w="1701" w:type="dxa"/>
            <w:tcBorders>
              <w:top w:val="single" w:sz="4" w:space="0" w:color="53565A"/>
              <w:bottom w:val="single" w:sz="4" w:space="0" w:color="53565A"/>
            </w:tcBorders>
            <w:shd w:val="clear" w:color="auto" w:fill="auto"/>
          </w:tcPr>
          <w:p w14:paraId="2B61C833"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160,000</w:t>
            </w:r>
          </w:p>
        </w:tc>
      </w:tr>
      <w:tr w:rsidR="00F603FA" w:rsidRPr="005734B8" w14:paraId="7EBA10BE" w14:textId="77777777" w:rsidTr="000F48B1">
        <w:trPr>
          <w:cantSplit/>
        </w:trPr>
        <w:tc>
          <w:tcPr>
            <w:tcW w:w="6234" w:type="dxa"/>
            <w:tcBorders>
              <w:top w:val="single" w:sz="4" w:space="0" w:color="53565A"/>
              <w:bottom w:val="single" w:sz="4" w:space="0" w:color="53565A"/>
            </w:tcBorders>
            <w:shd w:val="clear" w:color="auto" w:fill="auto"/>
          </w:tcPr>
          <w:p w14:paraId="733346E3" w14:textId="77777777" w:rsidR="00E249A4" w:rsidRPr="005734B8" w:rsidRDefault="00E249A4" w:rsidP="000F48B1">
            <w:pPr>
              <w:spacing w:before="120" w:after="120"/>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State Schools’ Relief</w:t>
            </w:r>
          </w:p>
        </w:tc>
        <w:tc>
          <w:tcPr>
            <w:tcW w:w="1701" w:type="dxa"/>
            <w:tcBorders>
              <w:top w:val="single" w:sz="4" w:space="0" w:color="53565A"/>
              <w:bottom w:val="single" w:sz="4" w:space="0" w:color="53565A"/>
            </w:tcBorders>
            <w:shd w:val="clear" w:color="auto" w:fill="auto"/>
          </w:tcPr>
          <w:p w14:paraId="1133791D" w14:textId="77777777" w:rsidR="00E249A4" w:rsidRPr="005734B8" w:rsidRDefault="00E249A4" w:rsidP="000F48B1">
            <w:pPr>
              <w:spacing w:before="120" w:after="120"/>
              <w:jc w:val="right"/>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8,054,257</w:t>
            </w:r>
          </w:p>
        </w:tc>
      </w:tr>
      <w:tr w:rsidR="00F603FA" w:rsidRPr="005734B8" w14:paraId="4EAC633D" w14:textId="77777777" w:rsidTr="000F48B1">
        <w:trPr>
          <w:cantSplit/>
        </w:trPr>
        <w:tc>
          <w:tcPr>
            <w:tcW w:w="6234" w:type="dxa"/>
            <w:tcBorders>
              <w:top w:val="single" w:sz="4" w:space="0" w:color="53565A"/>
              <w:bottom w:val="single" w:sz="4" w:space="0" w:color="53565A"/>
            </w:tcBorders>
            <w:shd w:val="clear" w:color="auto" w:fill="auto"/>
          </w:tcPr>
          <w:p w14:paraId="4321469A"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STEM Centre of Excellence</w:t>
            </w:r>
          </w:p>
        </w:tc>
        <w:tc>
          <w:tcPr>
            <w:tcW w:w="1701" w:type="dxa"/>
            <w:tcBorders>
              <w:top w:val="single" w:sz="4" w:space="0" w:color="53565A"/>
              <w:bottom w:val="single" w:sz="4" w:space="0" w:color="53565A"/>
            </w:tcBorders>
            <w:shd w:val="clear" w:color="auto" w:fill="auto"/>
          </w:tcPr>
          <w:p w14:paraId="6E9E6C44"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300,000</w:t>
            </w:r>
          </w:p>
        </w:tc>
      </w:tr>
      <w:tr w:rsidR="00F603FA" w:rsidRPr="005734B8" w14:paraId="6AF105C1" w14:textId="77777777" w:rsidTr="000F48B1">
        <w:trPr>
          <w:cantSplit/>
        </w:trPr>
        <w:tc>
          <w:tcPr>
            <w:tcW w:w="6234" w:type="dxa"/>
            <w:tcBorders>
              <w:top w:val="single" w:sz="4" w:space="0" w:color="53565A"/>
              <w:bottom w:val="single" w:sz="4" w:space="0" w:color="53565A"/>
            </w:tcBorders>
            <w:shd w:val="clear" w:color="auto" w:fill="auto"/>
          </w:tcPr>
          <w:p w14:paraId="466802C9" w14:textId="77777777" w:rsidR="00E249A4" w:rsidRPr="005734B8" w:rsidRDefault="00E249A4" w:rsidP="000F48B1">
            <w:pPr>
              <w:spacing w:before="120" w:after="120"/>
              <w:rPr>
                <w:rFonts w:ascii="Calibri" w:eastAsia="Times New Roman" w:hAnsi="Calibri" w:cs="Calibri"/>
                <w:color w:val="000000"/>
                <w:sz w:val="16"/>
                <w:szCs w:val="16"/>
                <w:highlight w:val="yellow"/>
                <w:lang w:val="en-US" w:eastAsia="en-AU"/>
              </w:rPr>
            </w:pPr>
            <w:r w:rsidRPr="005734B8">
              <w:rPr>
                <w:rFonts w:ascii="Calibri" w:eastAsia="Times New Roman" w:hAnsi="Calibri" w:cs="Calibri"/>
                <w:color w:val="000000"/>
                <w:sz w:val="20"/>
                <w:szCs w:val="20"/>
                <w:lang w:val="en-US" w:eastAsia="en-AU"/>
              </w:rPr>
              <w:t>Strengthening Student Representation</w:t>
            </w:r>
          </w:p>
        </w:tc>
        <w:tc>
          <w:tcPr>
            <w:tcW w:w="1701" w:type="dxa"/>
            <w:tcBorders>
              <w:top w:val="single" w:sz="4" w:space="0" w:color="53565A"/>
              <w:bottom w:val="single" w:sz="4" w:space="0" w:color="53565A"/>
            </w:tcBorders>
            <w:shd w:val="clear" w:color="auto" w:fill="auto"/>
          </w:tcPr>
          <w:p w14:paraId="1F3FBAE1" w14:textId="77777777" w:rsidR="00E249A4" w:rsidRPr="005734B8" w:rsidRDefault="00E249A4" w:rsidP="000F48B1">
            <w:pPr>
              <w:spacing w:before="120" w:after="120"/>
              <w:jc w:val="right"/>
              <w:rPr>
                <w:rFonts w:ascii="Calibri" w:eastAsia="Times New Roman" w:hAnsi="Calibri" w:cs="Calibri"/>
                <w:sz w:val="16"/>
                <w:szCs w:val="16"/>
                <w:highlight w:val="yellow"/>
                <w:lang w:val="en-US"/>
              </w:rPr>
            </w:pPr>
            <w:r w:rsidRPr="005734B8">
              <w:rPr>
                <w:rFonts w:ascii="Calibri" w:eastAsia="Times New Roman" w:hAnsi="Calibri" w:cs="Calibri"/>
                <w:sz w:val="20"/>
                <w:szCs w:val="18"/>
                <w:lang w:val="en-US"/>
              </w:rPr>
              <w:t>49,533</w:t>
            </w:r>
          </w:p>
        </w:tc>
      </w:tr>
      <w:tr w:rsidR="00F603FA" w:rsidRPr="005734B8" w14:paraId="7305DCC9" w14:textId="77777777" w:rsidTr="000F48B1">
        <w:trPr>
          <w:cantSplit/>
        </w:trPr>
        <w:tc>
          <w:tcPr>
            <w:tcW w:w="6234" w:type="dxa"/>
            <w:tcBorders>
              <w:top w:val="single" w:sz="4" w:space="0" w:color="53565A"/>
              <w:bottom w:val="single" w:sz="4" w:space="0" w:color="53565A"/>
            </w:tcBorders>
            <w:shd w:val="clear" w:color="auto" w:fill="auto"/>
          </w:tcPr>
          <w:p w14:paraId="3B76A9E9"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Stronger TAFE</w:t>
            </w:r>
          </w:p>
        </w:tc>
        <w:tc>
          <w:tcPr>
            <w:tcW w:w="1701" w:type="dxa"/>
            <w:tcBorders>
              <w:top w:val="single" w:sz="4" w:space="0" w:color="53565A"/>
              <w:bottom w:val="single" w:sz="4" w:space="0" w:color="53565A"/>
            </w:tcBorders>
            <w:shd w:val="clear" w:color="auto" w:fill="auto"/>
          </w:tcPr>
          <w:p w14:paraId="52611F98"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104,600,000</w:t>
            </w:r>
          </w:p>
        </w:tc>
      </w:tr>
      <w:tr w:rsidR="00F603FA" w:rsidRPr="005734B8" w14:paraId="1BEBE419" w14:textId="77777777" w:rsidTr="000F48B1">
        <w:trPr>
          <w:cantSplit/>
        </w:trPr>
        <w:tc>
          <w:tcPr>
            <w:tcW w:w="6234" w:type="dxa"/>
            <w:tcBorders>
              <w:top w:val="single" w:sz="4" w:space="0" w:color="53565A"/>
              <w:bottom w:val="single" w:sz="4" w:space="0" w:color="53565A"/>
            </w:tcBorders>
            <w:shd w:val="clear" w:color="auto" w:fill="auto"/>
          </w:tcPr>
          <w:p w14:paraId="42F411AA" w14:textId="189A090B"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Support for Goethe-</w:t>
            </w:r>
            <w:r w:rsidR="004C522F" w:rsidRPr="005734B8">
              <w:rPr>
                <w:rFonts w:ascii="Calibri" w:eastAsia="Times New Roman" w:hAnsi="Calibri" w:cs="Calibri"/>
                <w:color w:val="000000"/>
                <w:sz w:val="20"/>
                <w:szCs w:val="20"/>
                <w:lang w:val="en-US" w:eastAsia="en-AU"/>
              </w:rPr>
              <w:t>Institut</w:t>
            </w:r>
            <w:r w:rsidRPr="005734B8">
              <w:rPr>
                <w:rFonts w:ascii="Calibri" w:eastAsia="Times New Roman" w:hAnsi="Calibri" w:cs="Calibri"/>
                <w:color w:val="000000"/>
                <w:sz w:val="20"/>
                <w:szCs w:val="20"/>
                <w:lang w:val="en-US" w:eastAsia="en-AU"/>
              </w:rPr>
              <w:t xml:space="preserve"> Programs for Teachers and Students of German 2020</w:t>
            </w:r>
          </w:p>
        </w:tc>
        <w:tc>
          <w:tcPr>
            <w:tcW w:w="1701" w:type="dxa"/>
            <w:tcBorders>
              <w:top w:val="single" w:sz="4" w:space="0" w:color="53565A"/>
              <w:bottom w:val="single" w:sz="4" w:space="0" w:color="53565A"/>
            </w:tcBorders>
            <w:shd w:val="clear" w:color="auto" w:fill="auto"/>
          </w:tcPr>
          <w:p w14:paraId="28569055"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24,970</w:t>
            </w:r>
          </w:p>
        </w:tc>
      </w:tr>
      <w:tr w:rsidR="00F603FA" w:rsidRPr="005734B8" w14:paraId="0441861A" w14:textId="77777777" w:rsidTr="000F48B1">
        <w:trPr>
          <w:cantSplit/>
        </w:trPr>
        <w:tc>
          <w:tcPr>
            <w:tcW w:w="6234" w:type="dxa"/>
            <w:tcBorders>
              <w:top w:val="single" w:sz="4" w:space="0" w:color="53565A"/>
              <w:bottom w:val="single" w:sz="4" w:space="0" w:color="53565A"/>
            </w:tcBorders>
            <w:shd w:val="clear" w:color="auto" w:fill="auto"/>
          </w:tcPr>
          <w:p w14:paraId="439A570B" w14:textId="6E9AA251"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sz w:val="20"/>
                <w:szCs w:val="18"/>
                <w:lang w:val="en-US"/>
              </w:rPr>
              <w:t xml:space="preserve">Support for Italian </w:t>
            </w:r>
            <w:r w:rsidR="002800F3" w:rsidRPr="005734B8">
              <w:rPr>
                <w:rFonts w:ascii="Calibri" w:eastAsia="Times New Roman" w:hAnsi="Calibri" w:cs="Calibri"/>
                <w:sz w:val="20"/>
                <w:szCs w:val="18"/>
                <w:lang w:val="en-US"/>
              </w:rPr>
              <w:t>t</w:t>
            </w:r>
            <w:r w:rsidRPr="005734B8">
              <w:rPr>
                <w:rFonts w:ascii="Calibri" w:eastAsia="Times New Roman" w:hAnsi="Calibri" w:cs="Calibri"/>
                <w:sz w:val="20"/>
                <w:szCs w:val="18"/>
                <w:lang w:val="en-US"/>
              </w:rPr>
              <w:t>eaching in Victorian government schools: 2020–21</w:t>
            </w:r>
          </w:p>
        </w:tc>
        <w:tc>
          <w:tcPr>
            <w:tcW w:w="1701" w:type="dxa"/>
            <w:tcBorders>
              <w:top w:val="single" w:sz="4" w:space="0" w:color="53565A"/>
              <w:bottom w:val="single" w:sz="4" w:space="0" w:color="53565A"/>
            </w:tcBorders>
            <w:shd w:val="clear" w:color="auto" w:fill="auto"/>
          </w:tcPr>
          <w:p w14:paraId="130A112C"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550,000</w:t>
            </w:r>
          </w:p>
        </w:tc>
      </w:tr>
      <w:tr w:rsidR="00F603FA" w:rsidRPr="005734B8" w14:paraId="3B13CACF" w14:textId="77777777" w:rsidTr="000F48B1">
        <w:trPr>
          <w:cantSplit/>
        </w:trPr>
        <w:tc>
          <w:tcPr>
            <w:tcW w:w="6234" w:type="dxa"/>
            <w:tcBorders>
              <w:top w:val="single" w:sz="4" w:space="0" w:color="53565A"/>
              <w:bottom w:val="single" w:sz="4" w:space="0" w:color="53565A"/>
            </w:tcBorders>
            <w:shd w:val="clear" w:color="auto" w:fill="auto"/>
          </w:tcPr>
          <w:p w14:paraId="60C24100"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TAFE Asset Maintenance Building Works Package</w:t>
            </w:r>
          </w:p>
        </w:tc>
        <w:tc>
          <w:tcPr>
            <w:tcW w:w="1701" w:type="dxa"/>
            <w:tcBorders>
              <w:top w:val="single" w:sz="4" w:space="0" w:color="53565A"/>
              <w:bottom w:val="single" w:sz="4" w:space="0" w:color="53565A"/>
            </w:tcBorders>
            <w:shd w:val="clear" w:color="auto" w:fill="auto"/>
          </w:tcPr>
          <w:p w14:paraId="174487A0"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49,196,281</w:t>
            </w:r>
          </w:p>
        </w:tc>
      </w:tr>
      <w:tr w:rsidR="00F603FA" w:rsidRPr="005734B8" w14:paraId="662647E1" w14:textId="77777777" w:rsidTr="000F48B1">
        <w:trPr>
          <w:cantSplit/>
        </w:trPr>
        <w:tc>
          <w:tcPr>
            <w:tcW w:w="6234" w:type="dxa"/>
            <w:tcBorders>
              <w:top w:val="single" w:sz="4" w:space="0" w:color="53565A"/>
              <w:bottom w:val="single" w:sz="4" w:space="0" w:color="53565A"/>
            </w:tcBorders>
            <w:shd w:val="clear" w:color="auto" w:fill="auto"/>
          </w:tcPr>
          <w:p w14:paraId="01583E32"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TAFE Boost Funding 2021</w:t>
            </w:r>
          </w:p>
        </w:tc>
        <w:tc>
          <w:tcPr>
            <w:tcW w:w="1701" w:type="dxa"/>
            <w:tcBorders>
              <w:top w:val="single" w:sz="4" w:space="0" w:color="53565A"/>
              <w:bottom w:val="single" w:sz="4" w:space="0" w:color="53565A"/>
            </w:tcBorders>
            <w:shd w:val="clear" w:color="auto" w:fill="auto"/>
          </w:tcPr>
          <w:p w14:paraId="3156B338"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38,400,000</w:t>
            </w:r>
          </w:p>
        </w:tc>
      </w:tr>
      <w:tr w:rsidR="00F603FA" w:rsidRPr="005734B8" w14:paraId="0AA8A31A" w14:textId="77777777" w:rsidTr="000F48B1">
        <w:trPr>
          <w:cantSplit/>
        </w:trPr>
        <w:tc>
          <w:tcPr>
            <w:tcW w:w="6234" w:type="dxa"/>
            <w:tcBorders>
              <w:top w:val="single" w:sz="4" w:space="0" w:color="53565A"/>
              <w:bottom w:val="single" w:sz="4" w:space="0" w:color="53565A"/>
            </w:tcBorders>
            <w:shd w:val="clear" w:color="auto" w:fill="auto"/>
          </w:tcPr>
          <w:p w14:paraId="65A07497"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TAFE Common Placement Platform</w:t>
            </w:r>
          </w:p>
        </w:tc>
        <w:tc>
          <w:tcPr>
            <w:tcW w:w="1701" w:type="dxa"/>
            <w:tcBorders>
              <w:top w:val="single" w:sz="4" w:space="0" w:color="53565A"/>
              <w:bottom w:val="single" w:sz="4" w:space="0" w:color="53565A"/>
            </w:tcBorders>
            <w:shd w:val="clear" w:color="auto" w:fill="auto"/>
          </w:tcPr>
          <w:p w14:paraId="57A5B1F3"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4,243,030</w:t>
            </w:r>
          </w:p>
        </w:tc>
      </w:tr>
      <w:tr w:rsidR="00F603FA" w:rsidRPr="005734B8" w14:paraId="581CB1DA" w14:textId="77777777" w:rsidTr="000F48B1">
        <w:trPr>
          <w:cantSplit/>
        </w:trPr>
        <w:tc>
          <w:tcPr>
            <w:tcW w:w="6234" w:type="dxa"/>
            <w:tcBorders>
              <w:top w:val="single" w:sz="4" w:space="0" w:color="53565A"/>
              <w:bottom w:val="single" w:sz="4" w:space="0" w:color="53565A"/>
            </w:tcBorders>
            <w:shd w:val="clear" w:color="auto" w:fill="auto"/>
          </w:tcPr>
          <w:p w14:paraId="0285DE89"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TAFE Community Service Funding 2021</w:t>
            </w:r>
          </w:p>
        </w:tc>
        <w:tc>
          <w:tcPr>
            <w:tcW w:w="1701" w:type="dxa"/>
            <w:tcBorders>
              <w:top w:val="single" w:sz="4" w:space="0" w:color="53565A"/>
              <w:bottom w:val="single" w:sz="4" w:space="0" w:color="53565A"/>
            </w:tcBorders>
            <w:shd w:val="clear" w:color="auto" w:fill="auto"/>
          </w:tcPr>
          <w:p w14:paraId="64B6E930"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48,800,000</w:t>
            </w:r>
          </w:p>
        </w:tc>
      </w:tr>
      <w:tr w:rsidR="00F603FA" w:rsidRPr="005734B8" w14:paraId="1AACB5AE" w14:textId="77777777" w:rsidTr="000F48B1">
        <w:trPr>
          <w:cantSplit/>
        </w:trPr>
        <w:tc>
          <w:tcPr>
            <w:tcW w:w="6234" w:type="dxa"/>
            <w:tcBorders>
              <w:top w:val="single" w:sz="4" w:space="0" w:color="53565A"/>
              <w:bottom w:val="single" w:sz="4" w:space="0" w:color="53565A"/>
            </w:tcBorders>
            <w:shd w:val="clear" w:color="auto" w:fill="auto"/>
          </w:tcPr>
          <w:p w14:paraId="5FDFD9C0" w14:textId="72D62A4A"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 xml:space="preserve">TAFE </w:t>
            </w:r>
            <w:r w:rsidR="002800F3" w:rsidRPr="005734B8">
              <w:rPr>
                <w:rFonts w:ascii="Calibri" w:eastAsia="Times New Roman" w:hAnsi="Calibri" w:cs="Calibri"/>
                <w:sz w:val="20"/>
                <w:szCs w:val="18"/>
                <w:lang w:val="en-US"/>
              </w:rPr>
              <w:t>d</w:t>
            </w:r>
            <w:r w:rsidRPr="005734B8">
              <w:rPr>
                <w:rFonts w:ascii="Calibri" w:eastAsia="Times New Roman" w:hAnsi="Calibri" w:cs="Calibri"/>
                <w:sz w:val="20"/>
                <w:szCs w:val="18"/>
                <w:lang w:val="en-US"/>
              </w:rPr>
              <w:t xml:space="preserve">igital </w:t>
            </w:r>
            <w:r w:rsidR="002800F3" w:rsidRPr="005734B8">
              <w:rPr>
                <w:rFonts w:ascii="Calibri" w:eastAsia="Times New Roman" w:hAnsi="Calibri" w:cs="Calibri"/>
                <w:sz w:val="20"/>
                <w:szCs w:val="18"/>
                <w:lang w:val="en-US"/>
              </w:rPr>
              <w:t>l</w:t>
            </w:r>
            <w:r w:rsidRPr="005734B8">
              <w:rPr>
                <w:rFonts w:ascii="Calibri" w:eastAsia="Times New Roman" w:hAnsi="Calibri" w:cs="Calibri"/>
                <w:sz w:val="20"/>
                <w:szCs w:val="18"/>
                <w:lang w:val="en-US"/>
              </w:rPr>
              <w:t>earning materials development</w:t>
            </w:r>
          </w:p>
        </w:tc>
        <w:tc>
          <w:tcPr>
            <w:tcW w:w="1701" w:type="dxa"/>
            <w:tcBorders>
              <w:top w:val="single" w:sz="4" w:space="0" w:color="53565A"/>
              <w:bottom w:val="single" w:sz="4" w:space="0" w:color="53565A"/>
            </w:tcBorders>
            <w:shd w:val="clear" w:color="auto" w:fill="auto"/>
          </w:tcPr>
          <w:p w14:paraId="29B1879F"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1,425,000</w:t>
            </w:r>
          </w:p>
        </w:tc>
      </w:tr>
      <w:tr w:rsidR="00F603FA" w:rsidRPr="005734B8" w14:paraId="2A12EEDA" w14:textId="77777777" w:rsidTr="000F48B1">
        <w:trPr>
          <w:cantSplit/>
        </w:trPr>
        <w:tc>
          <w:tcPr>
            <w:tcW w:w="6234" w:type="dxa"/>
            <w:tcBorders>
              <w:top w:val="single" w:sz="4" w:space="0" w:color="53565A"/>
              <w:bottom w:val="single" w:sz="4" w:space="0" w:color="53565A"/>
            </w:tcBorders>
            <w:shd w:val="clear" w:color="auto" w:fill="auto"/>
          </w:tcPr>
          <w:p w14:paraId="6EC2A2A9"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TAFE Teaching Scholarship Program</w:t>
            </w:r>
          </w:p>
        </w:tc>
        <w:tc>
          <w:tcPr>
            <w:tcW w:w="1701" w:type="dxa"/>
            <w:tcBorders>
              <w:top w:val="single" w:sz="4" w:space="0" w:color="53565A"/>
              <w:bottom w:val="single" w:sz="4" w:space="0" w:color="53565A"/>
            </w:tcBorders>
            <w:shd w:val="clear" w:color="auto" w:fill="auto"/>
          </w:tcPr>
          <w:p w14:paraId="3BE70E0D"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2,370,000</w:t>
            </w:r>
          </w:p>
        </w:tc>
      </w:tr>
      <w:tr w:rsidR="00F603FA" w:rsidRPr="005734B8" w14:paraId="031F89AC" w14:textId="77777777" w:rsidTr="000F48B1">
        <w:trPr>
          <w:cantSplit/>
        </w:trPr>
        <w:tc>
          <w:tcPr>
            <w:tcW w:w="6234" w:type="dxa"/>
            <w:tcBorders>
              <w:top w:val="single" w:sz="4" w:space="0" w:color="53565A"/>
              <w:bottom w:val="single" w:sz="4" w:space="0" w:color="53565A"/>
            </w:tcBorders>
            <w:shd w:val="clear" w:color="auto" w:fill="auto"/>
          </w:tcPr>
          <w:p w14:paraId="3361EAC7" w14:textId="77777777" w:rsidR="00E249A4" w:rsidRPr="005734B8" w:rsidRDefault="00E249A4" w:rsidP="000F48B1">
            <w:pPr>
              <w:spacing w:before="120" w:after="120"/>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Teaching Academies of Professional Practice (ETE)</w:t>
            </w:r>
          </w:p>
        </w:tc>
        <w:tc>
          <w:tcPr>
            <w:tcW w:w="1701" w:type="dxa"/>
            <w:tcBorders>
              <w:top w:val="single" w:sz="4" w:space="0" w:color="53565A"/>
              <w:bottom w:val="single" w:sz="4" w:space="0" w:color="53565A"/>
            </w:tcBorders>
            <w:shd w:val="clear" w:color="auto" w:fill="auto"/>
          </w:tcPr>
          <w:p w14:paraId="4E789601" w14:textId="77777777" w:rsidR="00E249A4" w:rsidRPr="005734B8" w:rsidRDefault="00E249A4" w:rsidP="000F48B1">
            <w:pPr>
              <w:spacing w:before="120" w:after="120"/>
              <w:jc w:val="right"/>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350,000</w:t>
            </w:r>
          </w:p>
        </w:tc>
      </w:tr>
      <w:tr w:rsidR="00F603FA" w:rsidRPr="005734B8" w14:paraId="6DDB58B7" w14:textId="77777777" w:rsidTr="000F48B1">
        <w:trPr>
          <w:cantSplit/>
        </w:trPr>
        <w:tc>
          <w:tcPr>
            <w:tcW w:w="6234" w:type="dxa"/>
            <w:tcBorders>
              <w:top w:val="single" w:sz="4" w:space="0" w:color="53565A"/>
              <w:bottom w:val="single" w:sz="4" w:space="0" w:color="53565A"/>
            </w:tcBorders>
            <w:shd w:val="clear" w:color="auto" w:fill="auto"/>
          </w:tcPr>
          <w:p w14:paraId="6BF12EC6" w14:textId="77777777" w:rsidR="00E249A4" w:rsidRPr="005734B8" w:rsidRDefault="00E249A4" w:rsidP="000F48B1">
            <w:pPr>
              <w:spacing w:before="120" w:after="120"/>
              <w:rPr>
                <w:rFonts w:ascii="Calibri" w:eastAsia="Times New Roman" w:hAnsi="Calibri" w:cs="Calibri"/>
                <w:color w:val="000000"/>
                <w:sz w:val="20"/>
                <w:szCs w:val="20"/>
                <w:lang w:val="en-US" w:eastAsia="en-AU"/>
              </w:rPr>
            </w:pPr>
            <w:r w:rsidRPr="005734B8">
              <w:rPr>
                <w:rFonts w:ascii="Calibri" w:eastAsia="Times New Roman" w:hAnsi="Calibri" w:cs="Calibri"/>
                <w:color w:val="000000"/>
                <w:sz w:val="20"/>
                <w:szCs w:val="20"/>
                <w:lang w:val="en-US"/>
              </w:rPr>
              <w:t>Tech Futures Course Development</w:t>
            </w:r>
          </w:p>
        </w:tc>
        <w:tc>
          <w:tcPr>
            <w:tcW w:w="1701" w:type="dxa"/>
            <w:tcBorders>
              <w:top w:val="single" w:sz="4" w:space="0" w:color="53565A"/>
              <w:bottom w:val="single" w:sz="4" w:space="0" w:color="53565A"/>
            </w:tcBorders>
            <w:shd w:val="clear" w:color="auto" w:fill="auto"/>
          </w:tcPr>
          <w:p w14:paraId="1E9C50FA" w14:textId="77777777" w:rsidR="00E249A4" w:rsidRPr="005734B8" w:rsidRDefault="00E249A4" w:rsidP="000F48B1">
            <w:pPr>
              <w:spacing w:before="120" w:after="120"/>
              <w:jc w:val="right"/>
              <w:rPr>
                <w:rFonts w:ascii="Calibri" w:eastAsia="Times New Roman" w:hAnsi="Calibri" w:cs="Calibri"/>
                <w:sz w:val="20"/>
                <w:szCs w:val="20"/>
                <w:lang w:val="en-US"/>
              </w:rPr>
            </w:pPr>
            <w:r w:rsidRPr="005734B8">
              <w:rPr>
                <w:rFonts w:ascii="Calibri" w:eastAsia="Times New Roman" w:hAnsi="Calibri" w:cs="Calibri"/>
                <w:color w:val="000000"/>
                <w:sz w:val="20"/>
                <w:szCs w:val="20"/>
                <w:lang w:val="en-US"/>
              </w:rPr>
              <w:t>3,376,035</w:t>
            </w:r>
          </w:p>
        </w:tc>
      </w:tr>
      <w:tr w:rsidR="00F603FA" w:rsidRPr="005734B8" w14:paraId="18ABF169" w14:textId="77777777" w:rsidTr="000F48B1">
        <w:trPr>
          <w:cantSplit/>
        </w:trPr>
        <w:tc>
          <w:tcPr>
            <w:tcW w:w="6234" w:type="dxa"/>
            <w:tcBorders>
              <w:top w:val="single" w:sz="4" w:space="0" w:color="53565A"/>
              <w:bottom w:val="single" w:sz="4" w:space="0" w:color="53565A"/>
            </w:tcBorders>
            <w:shd w:val="clear" w:color="auto" w:fill="auto"/>
          </w:tcPr>
          <w:p w14:paraId="12E752C7" w14:textId="77777777" w:rsidR="00E249A4" w:rsidRPr="005734B8" w:rsidRDefault="00E249A4" w:rsidP="000F48B1">
            <w:pPr>
              <w:spacing w:before="120" w:after="120"/>
              <w:rPr>
                <w:rFonts w:ascii="Calibri" w:eastAsia="Times New Roman" w:hAnsi="Calibri" w:cs="Calibri"/>
                <w:color w:val="000000"/>
                <w:sz w:val="20"/>
                <w:szCs w:val="20"/>
                <w:lang w:val="en-US" w:eastAsia="en-AU"/>
              </w:rPr>
            </w:pPr>
            <w:r w:rsidRPr="005734B8">
              <w:rPr>
                <w:rFonts w:ascii="Calibri" w:eastAsia="Times New Roman" w:hAnsi="Calibri" w:cs="Calibri"/>
                <w:color w:val="000000"/>
                <w:sz w:val="20"/>
                <w:szCs w:val="20"/>
                <w:lang w:val="en-US"/>
              </w:rPr>
              <w:t>Tech Futures Course Packaging</w:t>
            </w:r>
          </w:p>
        </w:tc>
        <w:tc>
          <w:tcPr>
            <w:tcW w:w="1701" w:type="dxa"/>
            <w:tcBorders>
              <w:top w:val="single" w:sz="4" w:space="0" w:color="53565A"/>
              <w:bottom w:val="single" w:sz="4" w:space="0" w:color="53565A"/>
            </w:tcBorders>
            <w:shd w:val="clear" w:color="auto" w:fill="auto"/>
          </w:tcPr>
          <w:p w14:paraId="4F5F5E28" w14:textId="77777777" w:rsidR="00E249A4" w:rsidRPr="005734B8" w:rsidRDefault="00E249A4" w:rsidP="000F48B1">
            <w:pPr>
              <w:spacing w:before="120" w:after="120"/>
              <w:jc w:val="right"/>
              <w:rPr>
                <w:rFonts w:ascii="Calibri" w:eastAsia="Times New Roman" w:hAnsi="Calibri" w:cs="Calibri"/>
                <w:sz w:val="20"/>
                <w:szCs w:val="20"/>
                <w:lang w:val="en-US"/>
              </w:rPr>
            </w:pPr>
            <w:r w:rsidRPr="005734B8">
              <w:rPr>
                <w:rFonts w:ascii="Calibri" w:eastAsia="Times New Roman" w:hAnsi="Calibri" w:cs="Calibri"/>
                <w:color w:val="000000"/>
                <w:sz w:val="20"/>
                <w:szCs w:val="20"/>
                <w:lang w:val="en-US"/>
              </w:rPr>
              <w:t>1,200,000</w:t>
            </w:r>
          </w:p>
        </w:tc>
      </w:tr>
      <w:tr w:rsidR="00F603FA" w:rsidRPr="005734B8" w14:paraId="11FE3861" w14:textId="77777777" w:rsidTr="000F48B1">
        <w:trPr>
          <w:cantSplit/>
        </w:trPr>
        <w:tc>
          <w:tcPr>
            <w:tcW w:w="6234" w:type="dxa"/>
            <w:tcBorders>
              <w:top w:val="single" w:sz="4" w:space="0" w:color="53565A"/>
              <w:bottom w:val="single" w:sz="4" w:space="0" w:color="53565A"/>
            </w:tcBorders>
            <w:shd w:val="clear" w:color="auto" w:fill="auto"/>
          </w:tcPr>
          <w:p w14:paraId="17590A8F" w14:textId="6D131D5E" w:rsidR="00E249A4" w:rsidRPr="005734B8" w:rsidRDefault="00E249A4" w:rsidP="000F48B1">
            <w:pPr>
              <w:spacing w:before="120" w:after="120"/>
              <w:rPr>
                <w:rFonts w:ascii="Calibri" w:eastAsia="Times New Roman" w:hAnsi="Calibri" w:cs="Calibri"/>
                <w:color w:val="000000"/>
                <w:sz w:val="20"/>
                <w:szCs w:val="20"/>
                <w:lang w:val="en-US" w:eastAsia="en-AU"/>
              </w:rPr>
            </w:pPr>
            <w:r w:rsidRPr="005734B8">
              <w:rPr>
                <w:rFonts w:ascii="Calibri" w:eastAsia="Times New Roman" w:hAnsi="Calibri" w:cs="Calibri"/>
                <w:color w:val="000000"/>
                <w:sz w:val="20"/>
                <w:szCs w:val="20"/>
                <w:lang w:val="en-US" w:eastAsia="en-AU"/>
              </w:rPr>
              <w:t xml:space="preserve">Tech </w:t>
            </w:r>
            <w:r w:rsidR="00752A5B">
              <w:rPr>
                <w:rFonts w:ascii="Calibri" w:eastAsia="Times New Roman" w:hAnsi="Calibri" w:cs="Calibri"/>
                <w:color w:val="000000"/>
                <w:sz w:val="20"/>
                <w:szCs w:val="20"/>
                <w:lang w:val="en-US" w:eastAsia="en-AU"/>
              </w:rPr>
              <w:t>S</w:t>
            </w:r>
            <w:r w:rsidRPr="005734B8">
              <w:rPr>
                <w:rFonts w:ascii="Calibri" w:eastAsia="Times New Roman" w:hAnsi="Calibri" w:cs="Calibri"/>
                <w:color w:val="000000"/>
                <w:sz w:val="20"/>
                <w:szCs w:val="20"/>
                <w:lang w:val="en-US" w:eastAsia="en-AU"/>
              </w:rPr>
              <w:t>chool: COVID-19</w:t>
            </w:r>
          </w:p>
        </w:tc>
        <w:tc>
          <w:tcPr>
            <w:tcW w:w="1701" w:type="dxa"/>
            <w:tcBorders>
              <w:top w:val="single" w:sz="4" w:space="0" w:color="53565A"/>
              <w:bottom w:val="single" w:sz="4" w:space="0" w:color="53565A"/>
            </w:tcBorders>
            <w:shd w:val="clear" w:color="auto" w:fill="auto"/>
          </w:tcPr>
          <w:p w14:paraId="4DF6D961"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274,769</w:t>
            </w:r>
          </w:p>
        </w:tc>
      </w:tr>
      <w:tr w:rsidR="00F603FA" w:rsidRPr="005734B8" w14:paraId="01A134CE" w14:textId="77777777" w:rsidTr="000F48B1">
        <w:trPr>
          <w:cantSplit/>
        </w:trPr>
        <w:tc>
          <w:tcPr>
            <w:tcW w:w="6234" w:type="dxa"/>
            <w:tcBorders>
              <w:top w:val="single" w:sz="4" w:space="0" w:color="53565A"/>
              <w:bottom w:val="single" w:sz="4" w:space="0" w:color="53565A"/>
            </w:tcBorders>
            <w:shd w:val="clear" w:color="auto" w:fill="auto"/>
          </w:tcPr>
          <w:p w14:paraId="60C5A86B" w14:textId="58926034"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 xml:space="preserve">Tech </w:t>
            </w:r>
            <w:r w:rsidR="00752A5B">
              <w:rPr>
                <w:rFonts w:ascii="Calibri" w:eastAsia="Times New Roman" w:hAnsi="Calibri" w:cs="Calibri"/>
                <w:color w:val="000000"/>
                <w:sz w:val="20"/>
                <w:szCs w:val="20"/>
                <w:lang w:val="en-US" w:eastAsia="en-AU"/>
              </w:rPr>
              <w:t>S</w:t>
            </w:r>
            <w:r w:rsidRPr="005734B8">
              <w:rPr>
                <w:rFonts w:ascii="Calibri" w:eastAsia="Times New Roman" w:hAnsi="Calibri" w:cs="Calibri"/>
                <w:color w:val="000000"/>
                <w:sz w:val="20"/>
                <w:szCs w:val="20"/>
                <w:lang w:val="en-US" w:eastAsia="en-AU"/>
              </w:rPr>
              <w:t>chool: Equipment renewal fund</w:t>
            </w:r>
          </w:p>
        </w:tc>
        <w:tc>
          <w:tcPr>
            <w:tcW w:w="1701" w:type="dxa"/>
            <w:tcBorders>
              <w:top w:val="single" w:sz="4" w:space="0" w:color="53565A"/>
              <w:bottom w:val="single" w:sz="4" w:space="0" w:color="53565A"/>
            </w:tcBorders>
            <w:shd w:val="clear" w:color="auto" w:fill="auto"/>
          </w:tcPr>
          <w:p w14:paraId="19DB0024"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3,044,854</w:t>
            </w:r>
          </w:p>
        </w:tc>
      </w:tr>
      <w:tr w:rsidR="00F603FA" w:rsidRPr="005734B8" w14:paraId="79EDCE51" w14:textId="77777777" w:rsidTr="000F48B1">
        <w:trPr>
          <w:cantSplit/>
        </w:trPr>
        <w:tc>
          <w:tcPr>
            <w:tcW w:w="6234" w:type="dxa"/>
            <w:tcBorders>
              <w:top w:val="single" w:sz="4" w:space="0" w:color="53565A"/>
              <w:bottom w:val="single" w:sz="4" w:space="0" w:color="53565A"/>
            </w:tcBorders>
            <w:shd w:val="clear" w:color="auto" w:fill="auto"/>
          </w:tcPr>
          <w:p w14:paraId="20738081" w14:textId="3E8E62F1"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 xml:space="preserve">Tech </w:t>
            </w:r>
            <w:r w:rsidR="00752A5B">
              <w:rPr>
                <w:rFonts w:ascii="Calibri" w:eastAsia="Times New Roman" w:hAnsi="Calibri" w:cs="Calibri"/>
                <w:color w:val="000000"/>
                <w:sz w:val="20"/>
                <w:szCs w:val="20"/>
                <w:lang w:val="en-US" w:eastAsia="en-AU"/>
              </w:rPr>
              <w:t>S</w:t>
            </w:r>
            <w:r w:rsidRPr="005734B8">
              <w:rPr>
                <w:rFonts w:ascii="Calibri" w:eastAsia="Times New Roman" w:hAnsi="Calibri" w:cs="Calibri"/>
                <w:color w:val="000000"/>
                <w:sz w:val="20"/>
                <w:szCs w:val="20"/>
                <w:lang w:val="en-US" w:eastAsia="en-AU"/>
              </w:rPr>
              <w:t>chool: Innovation grant</w:t>
            </w:r>
          </w:p>
        </w:tc>
        <w:tc>
          <w:tcPr>
            <w:tcW w:w="1701" w:type="dxa"/>
            <w:tcBorders>
              <w:top w:val="single" w:sz="4" w:space="0" w:color="53565A"/>
              <w:bottom w:val="single" w:sz="4" w:space="0" w:color="53565A"/>
            </w:tcBorders>
            <w:shd w:val="clear" w:color="auto" w:fill="auto"/>
          </w:tcPr>
          <w:p w14:paraId="0A159B27"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5,000</w:t>
            </w:r>
          </w:p>
        </w:tc>
      </w:tr>
      <w:tr w:rsidR="00F603FA" w:rsidRPr="005734B8" w14:paraId="1E1A4F68" w14:textId="77777777" w:rsidTr="000F48B1">
        <w:trPr>
          <w:cantSplit/>
        </w:trPr>
        <w:tc>
          <w:tcPr>
            <w:tcW w:w="6234" w:type="dxa"/>
            <w:tcBorders>
              <w:top w:val="single" w:sz="4" w:space="0" w:color="53565A"/>
              <w:bottom w:val="single" w:sz="4" w:space="0" w:color="53565A"/>
            </w:tcBorders>
            <w:shd w:val="clear" w:color="auto" w:fill="auto"/>
          </w:tcPr>
          <w:p w14:paraId="3310E2E3" w14:textId="1980FFD8" w:rsidR="00E249A4" w:rsidRPr="005734B8" w:rsidRDefault="00E249A4" w:rsidP="000F48B1">
            <w:pPr>
              <w:spacing w:before="120" w:after="120"/>
              <w:rPr>
                <w:rFonts w:ascii="Calibri" w:eastAsia="Times New Roman" w:hAnsi="Calibri" w:cs="Calibri"/>
                <w:color w:val="000000"/>
                <w:sz w:val="20"/>
                <w:szCs w:val="20"/>
                <w:lang w:val="en-US" w:eastAsia="en-AU"/>
              </w:rPr>
            </w:pPr>
            <w:r w:rsidRPr="005734B8">
              <w:rPr>
                <w:rFonts w:ascii="Calibri" w:eastAsia="Times New Roman" w:hAnsi="Calibri" w:cs="Calibri"/>
                <w:color w:val="000000"/>
                <w:sz w:val="20"/>
                <w:szCs w:val="20"/>
                <w:lang w:val="en-US" w:eastAsia="en-AU"/>
              </w:rPr>
              <w:lastRenderedPageBreak/>
              <w:t xml:space="preserve">Tech </w:t>
            </w:r>
            <w:r w:rsidR="00752A5B">
              <w:rPr>
                <w:rFonts w:ascii="Calibri" w:eastAsia="Times New Roman" w:hAnsi="Calibri" w:cs="Calibri"/>
                <w:color w:val="000000"/>
                <w:sz w:val="20"/>
                <w:szCs w:val="20"/>
                <w:lang w:val="en-US" w:eastAsia="en-AU"/>
              </w:rPr>
              <w:t>S</w:t>
            </w:r>
            <w:r w:rsidRPr="005734B8">
              <w:rPr>
                <w:rFonts w:ascii="Calibri" w:eastAsia="Times New Roman" w:hAnsi="Calibri" w:cs="Calibri"/>
                <w:color w:val="000000"/>
                <w:sz w:val="20"/>
                <w:szCs w:val="20"/>
                <w:lang w:val="en-US" w:eastAsia="en-AU"/>
              </w:rPr>
              <w:t>chool: Rural and regional STEM camps</w:t>
            </w:r>
          </w:p>
        </w:tc>
        <w:tc>
          <w:tcPr>
            <w:tcW w:w="1701" w:type="dxa"/>
            <w:tcBorders>
              <w:top w:val="single" w:sz="4" w:space="0" w:color="53565A"/>
              <w:bottom w:val="single" w:sz="4" w:space="0" w:color="53565A"/>
            </w:tcBorders>
            <w:shd w:val="clear" w:color="auto" w:fill="auto"/>
          </w:tcPr>
          <w:p w14:paraId="29DCFE73"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89,496</w:t>
            </w:r>
          </w:p>
        </w:tc>
      </w:tr>
      <w:tr w:rsidR="00F603FA" w:rsidRPr="005734B8" w14:paraId="55E764C9" w14:textId="77777777" w:rsidTr="000F48B1">
        <w:trPr>
          <w:cantSplit/>
        </w:trPr>
        <w:tc>
          <w:tcPr>
            <w:tcW w:w="6234" w:type="dxa"/>
            <w:tcBorders>
              <w:top w:val="single" w:sz="4" w:space="0" w:color="53565A"/>
              <w:bottom w:val="single" w:sz="4" w:space="0" w:color="53565A"/>
            </w:tcBorders>
            <w:shd w:val="clear" w:color="auto" w:fill="auto"/>
          </w:tcPr>
          <w:p w14:paraId="72650326"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sz w:val="20"/>
                <w:szCs w:val="20"/>
                <w:lang w:val="en-US"/>
              </w:rPr>
              <w:t>The Geelong Project</w:t>
            </w:r>
          </w:p>
        </w:tc>
        <w:tc>
          <w:tcPr>
            <w:tcW w:w="1701" w:type="dxa"/>
            <w:tcBorders>
              <w:top w:val="single" w:sz="4" w:space="0" w:color="53565A"/>
              <w:bottom w:val="single" w:sz="4" w:space="0" w:color="53565A"/>
            </w:tcBorders>
            <w:shd w:val="clear" w:color="auto" w:fill="auto"/>
          </w:tcPr>
          <w:p w14:paraId="2836B5C1"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20"/>
                <w:lang w:val="en-US"/>
              </w:rPr>
              <w:t>602,000</w:t>
            </w:r>
          </w:p>
        </w:tc>
      </w:tr>
      <w:tr w:rsidR="00F603FA" w:rsidRPr="005734B8" w14:paraId="304EA1E8" w14:textId="77777777" w:rsidTr="000F48B1">
        <w:trPr>
          <w:cantSplit/>
        </w:trPr>
        <w:tc>
          <w:tcPr>
            <w:tcW w:w="6234" w:type="dxa"/>
            <w:tcBorders>
              <w:top w:val="single" w:sz="4" w:space="0" w:color="53565A"/>
              <w:bottom w:val="single" w:sz="4" w:space="0" w:color="53565A"/>
            </w:tcBorders>
            <w:shd w:val="clear" w:color="auto" w:fill="auto"/>
          </w:tcPr>
          <w:p w14:paraId="29124B49" w14:textId="77777777" w:rsidR="00E249A4" w:rsidRPr="005734B8" w:rsidRDefault="00E249A4" w:rsidP="000F48B1">
            <w:pPr>
              <w:spacing w:before="120" w:after="120"/>
              <w:rPr>
                <w:rFonts w:ascii="Calibri" w:eastAsia="Times New Roman" w:hAnsi="Calibri" w:cs="Calibri"/>
                <w:sz w:val="16"/>
                <w:szCs w:val="16"/>
                <w:highlight w:val="green"/>
                <w:lang w:val="en-US"/>
              </w:rPr>
            </w:pPr>
            <w:r w:rsidRPr="005734B8">
              <w:rPr>
                <w:rFonts w:ascii="Calibri" w:eastAsia="Times New Roman" w:hAnsi="Calibri" w:cs="Calibri"/>
                <w:sz w:val="20"/>
                <w:szCs w:val="18"/>
                <w:lang w:val="en-US"/>
              </w:rPr>
              <w:t>Training Package Programs</w:t>
            </w:r>
          </w:p>
        </w:tc>
        <w:tc>
          <w:tcPr>
            <w:tcW w:w="1701" w:type="dxa"/>
            <w:tcBorders>
              <w:top w:val="single" w:sz="4" w:space="0" w:color="53565A"/>
              <w:bottom w:val="single" w:sz="4" w:space="0" w:color="53565A"/>
            </w:tcBorders>
            <w:shd w:val="clear" w:color="auto" w:fill="auto"/>
          </w:tcPr>
          <w:p w14:paraId="3DDF084F"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125,500</w:t>
            </w:r>
          </w:p>
        </w:tc>
      </w:tr>
      <w:tr w:rsidR="00F603FA" w:rsidRPr="005734B8" w14:paraId="7CE32FA3" w14:textId="77777777" w:rsidTr="000F48B1">
        <w:trPr>
          <w:cantSplit/>
        </w:trPr>
        <w:tc>
          <w:tcPr>
            <w:tcW w:w="6234" w:type="dxa"/>
            <w:tcBorders>
              <w:top w:val="single" w:sz="4" w:space="0" w:color="53565A"/>
              <w:bottom w:val="single" w:sz="4" w:space="0" w:color="53565A"/>
            </w:tcBorders>
            <w:shd w:val="clear" w:color="auto" w:fill="auto"/>
          </w:tcPr>
          <w:p w14:paraId="53A607A3"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eastAsia="en-AU"/>
              </w:rPr>
              <w:t>TransformUs</w:t>
            </w:r>
          </w:p>
        </w:tc>
        <w:tc>
          <w:tcPr>
            <w:tcW w:w="1701" w:type="dxa"/>
            <w:tcBorders>
              <w:top w:val="single" w:sz="4" w:space="0" w:color="53565A"/>
              <w:bottom w:val="single" w:sz="4" w:space="0" w:color="53565A"/>
            </w:tcBorders>
            <w:shd w:val="clear" w:color="auto" w:fill="auto"/>
          </w:tcPr>
          <w:p w14:paraId="237FE78F"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rPr>
              <w:t>100,000</w:t>
            </w:r>
          </w:p>
        </w:tc>
      </w:tr>
      <w:tr w:rsidR="00F603FA" w:rsidRPr="005734B8" w14:paraId="1043E108" w14:textId="77777777" w:rsidTr="000F48B1">
        <w:trPr>
          <w:cantSplit/>
        </w:trPr>
        <w:tc>
          <w:tcPr>
            <w:tcW w:w="6234" w:type="dxa"/>
            <w:tcBorders>
              <w:top w:val="single" w:sz="4" w:space="0" w:color="53565A"/>
              <w:bottom w:val="single" w:sz="4" w:space="0" w:color="53565A"/>
            </w:tcBorders>
            <w:shd w:val="clear" w:color="auto" w:fill="auto"/>
          </w:tcPr>
          <w:p w14:paraId="32A7867D" w14:textId="77777777" w:rsidR="00E249A4" w:rsidRPr="005734B8" w:rsidRDefault="00E249A4" w:rsidP="000F48B1">
            <w:pPr>
              <w:spacing w:before="120" w:after="120"/>
              <w:rPr>
                <w:rFonts w:ascii="Calibri" w:eastAsia="Times New Roman" w:hAnsi="Calibri" w:cs="Calibri"/>
                <w:color w:val="000000"/>
                <w:sz w:val="20"/>
                <w:szCs w:val="20"/>
                <w:lang w:val="en-US" w:eastAsia="en-AU"/>
              </w:rPr>
            </w:pPr>
            <w:r w:rsidRPr="005734B8">
              <w:rPr>
                <w:rFonts w:ascii="Calibri" w:eastAsia="Times New Roman" w:hAnsi="Calibri" w:cs="Calibri"/>
                <w:color w:val="000000"/>
                <w:sz w:val="20"/>
                <w:szCs w:val="20"/>
                <w:lang w:val="en-US"/>
              </w:rPr>
              <w:t xml:space="preserve">VCAL Teachers Scholarship Program: Graduate Certificate of Applied Learning and Teaching </w:t>
            </w:r>
          </w:p>
        </w:tc>
        <w:tc>
          <w:tcPr>
            <w:tcW w:w="1701" w:type="dxa"/>
            <w:tcBorders>
              <w:top w:val="single" w:sz="4" w:space="0" w:color="53565A"/>
              <w:bottom w:val="single" w:sz="4" w:space="0" w:color="53565A"/>
            </w:tcBorders>
            <w:shd w:val="clear" w:color="auto" w:fill="auto"/>
          </w:tcPr>
          <w:p w14:paraId="5FDF3011" w14:textId="77777777" w:rsidR="00E249A4" w:rsidRPr="005734B8" w:rsidRDefault="00E249A4" w:rsidP="000F48B1">
            <w:pPr>
              <w:spacing w:before="120" w:after="120"/>
              <w:jc w:val="right"/>
              <w:rPr>
                <w:rFonts w:ascii="Calibri" w:eastAsia="Times New Roman" w:hAnsi="Calibri" w:cs="Calibri"/>
                <w:sz w:val="20"/>
                <w:szCs w:val="20"/>
                <w:lang w:val="en-US"/>
              </w:rPr>
            </w:pPr>
            <w:r w:rsidRPr="005734B8">
              <w:rPr>
                <w:rFonts w:ascii="Calibri" w:eastAsia="Times New Roman" w:hAnsi="Calibri" w:cs="Calibri"/>
                <w:color w:val="000000"/>
                <w:sz w:val="20"/>
                <w:szCs w:val="20"/>
                <w:lang w:val="en-US"/>
              </w:rPr>
              <w:t>1,646,346</w:t>
            </w:r>
          </w:p>
        </w:tc>
      </w:tr>
      <w:tr w:rsidR="00F603FA" w:rsidRPr="005734B8" w14:paraId="20D1977D" w14:textId="77777777" w:rsidTr="000F48B1">
        <w:trPr>
          <w:cantSplit/>
        </w:trPr>
        <w:tc>
          <w:tcPr>
            <w:tcW w:w="6234" w:type="dxa"/>
            <w:tcBorders>
              <w:top w:val="single" w:sz="4" w:space="0" w:color="53565A"/>
              <w:bottom w:val="single" w:sz="4" w:space="0" w:color="53565A"/>
            </w:tcBorders>
            <w:shd w:val="clear" w:color="auto" w:fill="auto"/>
          </w:tcPr>
          <w:p w14:paraId="171CB61E"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VET Catch Up</w:t>
            </w:r>
          </w:p>
        </w:tc>
        <w:tc>
          <w:tcPr>
            <w:tcW w:w="1701" w:type="dxa"/>
            <w:tcBorders>
              <w:top w:val="single" w:sz="4" w:space="0" w:color="53565A"/>
              <w:bottom w:val="single" w:sz="4" w:space="0" w:color="53565A"/>
            </w:tcBorders>
            <w:shd w:val="clear" w:color="auto" w:fill="auto"/>
          </w:tcPr>
          <w:p w14:paraId="438357F1"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286,188</w:t>
            </w:r>
          </w:p>
        </w:tc>
      </w:tr>
      <w:tr w:rsidR="00F603FA" w:rsidRPr="005734B8" w14:paraId="6D548557" w14:textId="77777777" w:rsidTr="000F48B1">
        <w:trPr>
          <w:cantSplit/>
        </w:trPr>
        <w:tc>
          <w:tcPr>
            <w:tcW w:w="6234" w:type="dxa"/>
            <w:tcBorders>
              <w:top w:val="single" w:sz="4" w:space="0" w:color="53565A"/>
              <w:bottom w:val="single" w:sz="4" w:space="0" w:color="53565A"/>
            </w:tcBorders>
            <w:shd w:val="clear" w:color="auto" w:fill="auto"/>
          </w:tcPr>
          <w:p w14:paraId="23AD4F35"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VicTESOL Professional Learning</w:t>
            </w:r>
          </w:p>
        </w:tc>
        <w:tc>
          <w:tcPr>
            <w:tcW w:w="1701" w:type="dxa"/>
            <w:tcBorders>
              <w:top w:val="single" w:sz="4" w:space="0" w:color="53565A"/>
              <w:bottom w:val="single" w:sz="4" w:space="0" w:color="53565A"/>
            </w:tcBorders>
            <w:shd w:val="clear" w:color="auto" w:fill="auto"/>
          </w:tcPr>
          <w:p w14:paraId="4AC471F4"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25,000</w:t>
            </w:r>
          </w:p>
        </w:tc>
      </w:tr>
      <w:tr w:rsidR="00F603FA" w:rsidRPr="005734B8" w14:paraId="09AD5734" w14:textId="77777777" w:rsidTr="000F48B1">
        <w:trPr>
          <w:cantSplit/>
        </w:trPr>
        <w:tc>
          <w:tcPr>
            <w:tcW w:w="6234" w:type="dxa"/>
            <w:tcBorders>
              <w:top w:val="single" w:sz="4" w:space="0" w:color="53565A"/>
              <w:bottom w:val="single" w:sz="4" w:space="0" w:color="53565A"/>
            </w:tcBorders>
            <w:shd w:val="clear" w:color="auto" w:fill="auto"/>
          </w:tcPr>
          <w:p w14:paraId="4BBE6445" w14:textId="77777777" w:rsidR="00E249A4" w:rsidRPr="005734B8" w:rsidRDefault="00E249A4" w:rsidP="000F48B1">
            <w:pPr>
              <w:spacing w:before="120" w:after="120"/>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Victorian African Communities Action Plan</w:t>
            </w:r>
          </w:p>
        </w:tc>
        <w:tc>
          <w:tcPr>
            <w:tcW w:w="1701" w:type="dxa"/>
            <w:tcBorders>
              <w:top w:val="single" w:sz="4" w:space="0" w:color="53565A"/>
              <w:bottom w:val="single" w:sz="4" w:space="0" w:color="53565A"/>
            </w:tcBorders>
            <w:shd w:val="clear" w:color="auto" w:fill="auto"/>
          </w:tcPr>
          <w:p w14:paraId="62198FC5" w14:textId="77777777" w:rsidR="00E249A4" w:rsidRPr="005734B8" w:rsidRDefault="00E249A4" w:rsidP="000F48B1">
            <w:pPr>
              <w:spacing w:before="120" w:after="120"/>
              <w:jc w:val="right"/>
              <w:rPr>
                <w:rFonts w:ascii="Calibri" w:eastAsia="Times New Roman" w:hAnsi="Calibri" w:cs="Calibri"/>
                <w:color w:val="000000"/>
                <w:sz w:val="20"/>
                <w:szCs w:val="20"/>
                <w:lang w:val="en-US"/>
              </w:rPr>
            </w:pPr>
            <w:r w:rsidRPr="005734B8">
              <w:rPr>
                <w:rFonts w:ascii="Calibri" w:eastAsia="Times New Roman" w:hAnsi="Calibri" w:cs="Calibri"/>
                <w:color w:val="000000"/>
                <w:sz w:val="20"/>
                <w:szCs w:val="20"/>
                <w:lang w:val="en-US"/>
              </w:rPr>
              <w:t>2,840,282</w:t>
            </w:r>
          </w:p>
        </w:tc>
      </w:tr>
      <w:tr w:rsidR="00F603FA" w:rsidRPr="005734B8" w14:paraId="0DBD249D" w14:textId="77777777" w:rsidTr="000F48B1">
        <w:trPr>
          <w:cantSplit/>
        </w:trPr>
        <w:tc>
          <w:tcPr>
            <w:tcW w:w="6234" w:type="dxa"/>
            <w:tcBorders>
              <w:top w:val="single" w:sz="4" w:space="0" w:color="53565A"/>
              <w:bottom w:val="single" w:sz="4" w:space="0" w:color="53565A"/>
            </w:tcBorders>
            <w:shd w:val="clear" w:color="auto" w:fill="auto"/>
          </w:tcPr>
          <w:p w14:paraId="59F7292D" w14:textId="77777777" w:rsidR="00E249A4" w:rsidRPr="005734B8" w:rsidRDefault="00E249A4" w:rsidP="000F48B1">
            <w:pPr>
              <w:spacing w:before="120" w:after="120"/>
              <w:rPr>
                <w:rFonts w:ascii="Calibri" w:eastAsia="Times New Roman" w:hAnsi="Calibri" w:cs="Calibri"/>
                <w:sz w:val="20"/>
                <w:szCs w:val="18"/>
                <w:lang w:val="en-US"/>
              </w:rPr>
            </w:pPr>
            <w:r w:rsidRPr="005734B8">
              <w:rPr>
                <w:rFonts w:ascii="Calibri" w:eastAsia="Times New Roman" w:hAnsi="Calibri" w:cs="Calibri"/>
                <w:sz w:val="20"/>
                <w:szCs w:val="18"/>
                <w:lang w:val="en-US"/>
              </w:rPr>
              <w:t xml:space="preserve">Victorian Early Years Awards </w:t>
            </w:r>
          </w:p>
        </w:tc>
        <w:tc>
          <w:tcPr>
            <w:tcW w:w="1701" w:type="dxa"/>
            <w:tcBorders>
              <w:top w:val="single" w:sz="4" w:space="0" w:color="53565A"/>
              <w:bottom w:val="single" w:sz="4" w:space="0" w:color="53565A"/>
            </w:tcBorders>
            <w:shd w:val="clear" w:color="auto" w:fill="auto"/>
          </w:tcPr>
          <w:p w14:paraId="79F38188" w14:textId="77777777" w:rsidR="00E249A4" w:rsidRPr="005734B8" w:rsidRDefault="00E249A4" w:rsidP="000F48B1">
            <w:pPr>
              <w:spacing w:before="120" w:after="120"/>
              <w:jc w:val="right"/>
              <w:rPr>
                <w:rFonts w:ascii="Calibri" w:eastAsia="Times New Roman" w:hAnsi="Calibri" w:cs="Calibri"/>
                <w:sz w:val="20"/>
                <w:szCs w:val="18"/>
                <w:lang w:val="en-US"/>
              </w:rPr>
            </w:pPr>
            <w:r w:rsidRPr="005734B8">
              <w:rPr>
                <w:rFonts w:ascii="Calibri" w:eastAsia="Times New Roman" w:hAnsi="Calibri" w:cs="Calibri"/>
                <w:sz w:val="20"/>
                <w:szCs w:val="18"/>
                <w:lang w:val="en-US"/>
              </w:rPr>
              <w:t>115,000</w:t>
            </w:r>
          </w:p>
        </w:tc>
      </w:tr>
      <w:tr w:rsidR="00F603FA" w:rsidRPr="005734B8" w14:paraId="65EC9E49" w14:textId="77777777" w:rsidTr="000F48B1">
        <w:trPr>
          <w:cantSplit/>
        </w:trPr>
        <w:tc>
          <w:tcPr>
            <w:tcW w:w="6234" w:type="dxa"/>
            <w:tcBorders>
              <w:top w:val="single" w:sz="4" w:space="0" w:color="53565A"/>
              <w:bottom w:val="single" w:sz="4" w:space="0" w:color="53565A"/>
            </w:tcBorders>
            <w:shd w:val="clear" w:color="auto" w:fill="auto"/>
          </w:tcPr>
          <w:p w14:paraId="2C324539"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Victorian Higher Education State Investment Fund</w:t>
            </w:r>
          </w:p>
        </w:tc>
        <w:tc>
          <w:tcPr>
            <w:tcW w:w="1701" w:type="dxa"/>
            <w:tcBorders>
              <w:top w:val="single" w:sz="4" w:space="0" w:color="53565A"/>
              <w:bottom w:val="single" w:sz="4" w:space="0" w:color="53565A"/>
            </w:tcBorders>
            <w:shd w:val="clear" w:color="auto" w:fill="auto"/>
          </w:tcPr>
          <w:p w14:paraId="1F96594D"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152,394,999</w:t>
            </w:r>
          </w:p>
        </w:tc>
      </w:tr>
      <w:tr w:rsidR="00F603FA" w:rsidRPr="005734B8" w14:paraId="48186FE2" w14:textId="77777777" w:rsidTr="000F48B1">
        <w:trPr>
          <w:cantSplit/>
        </w:trPr>
        <w:tc>
          <w:tcPr>
            <w:tcW w:w="6234" w:type="dxa"/>
            <w:tcBorders>
              <w:top w:val="single" w:sz="4" w:space="0" w:color="53565A"/>
              <w:bottom w:val="single" w:sz="4" w:space="0" w:color="53565A"/>
            </w:tcBorders>
            <w:shd w:val="clear" w:color="auto" w:fill="auto"/>
          </w:tcPr>
          <w:p w14:paraId="41814304" w14:textId="3772C62F" w:rsidR="00E249A4" w:rsidRPr="005734B8" w:rsidRDefault="00E249A4" w:rsidP="000F48B1">
            <w:pPr>
              <w:spacing w:before="120" w:after="120"/>
              <w:rPr>
                <w:rFonts w:ascii="Calibri" w:eastAsia="Times New Roman" w:hAnsi="Calibri" w:cs="Calibri"/>
                <w:sz w:val="20"/>
                <w:szCs w:val="18"/>
                <w:lang w:val="en-US"/>
              </w:rPr>
            </w:pPr>
            <w:r w:rsidRPr="005734B8">
              <w:rPr>
                <w:rFonts w:ascii="Calibri" w:eastAsia="Times New Roman" w:hAnsi="Calibri" w:cs="Calibri"/>
                <w:sz w:val="20"/>
                <w:szCs w:val="18"/>
                <w:lang w:val="en-US"/>
              </w:rPr>
              <w:t>Victorian Maths Challenge Phase 2</w:t>
            </w:r>
            <w:r w:rsidR="002800F3" w:rsidRPr="005734B8">
              <w:rPr>
                <w:rFonts w:ascii="Calibri" w:eastAsia="Times New Roman" w:hAnsi="Calibri" w:cs="Calibri"/>
                <w:sz w:val="20"/>
                <w:szCs w:val="18"/>
                <w:lang w:val="en-US"/>
              </w:rPr>
              <w:t>—</w:t>
            </w:r>
            <w:r w:rsidRPr="005734B8">
              <w:rPr>
                <w:rFonts w:ascii="Calibri" w:eastAsia="Times New Roman" w:hAnsi="Calibri" w:cs="Calibri"/>
                <w:sz w:val="20"/>
                <w:szCs w:val="18"/>
                <w:lang w:val="en-US"/>
              </w:rPr>
              <w:t xml:space="preserve">Infinite Voyage </w:t>
            </w:r>
            <w:r w:rsidR="002800F3" w:rsidRPr="005734B8">
              <w:rPr>
                <w:rFonts w:ascii="Calibri" w:eastAsia="Times New Roman" w:hAnsi="Calibri" w:cs="Calibri"/>
                <w:sz w:val="20"/>
                <w:szCs w:val="18"/>
                <w:lang w:val="en-US"/>
              </w:rPr>
              <w:t>a</w:t>
            </w:r>
            <w:r w:rsidRPr="005734B8">
              <w:rPr>
                <w:rFonts w:ascii="Calibri" w:eastAsia="Times New Roman" w:hAnsi="Calibri" w:cs="Calibri"/>
                <w:sz w:val="20"/>
                <w:szCs w:val="18"/>
                <w:lang w:val="en-US"/>
              </w:rPr>
              <w:t>pp</w:t>
            </w:r>
          </w:p>
        </w:tc>
        <w:tc>
          <w:tcPr>
            <w:tcW w:w="1701" w:type="dxa"/>
            <w:tcBorders>
              <w:top w:val="single" w:sz="4" w:space="0" w:color="53565A"/>
              <w:bottom w:val="single" w:sz="4" w:space="0" w:color="53565A"/>
            </w:tcBorders>
            <w:shd w:val="clear" w:color="auto" w:fill="auto"/>
          </w:tcPr>
          <w:p w14:paraId="16F4CAE5" w14:textId="77777777" w:rsidR="00E249A4" w:rsidRPr="005734B8" w:rsidRDefault="00E249A4" w:rsidP="000F48B1">
            <w:pPr>
              <w:spacing w:before="120" w:after="120"/>
              <w:jc w:val="right"/>
              <w:rPr>
                <w:rFonts w:ascii="Calibri" w:eastAsia="Times New Roman" w:hAnsi="Calibri" w:cs="Calibri"/>
                <w:sz w:val="20"/>
                <w:szCs w:val="18"/>
                <w:lang w:val="en-US"/>
              </w:rPr>
            </w:pPr>
            <w:r w:rsidRPr="005734B8">
              <w:rPr>
                <w:rFonts w:ascii="Calibri" w:eastAsia="Times New Roman" w:hAnsi="Calibri" w:cs="Calibri"/>
                <w:sz w:val="20"/>
                <w:szCs w:val="18"/>
                <w:lang w:val="en-US"/>
              </w:rPr>
              <w:t>114,400</w:t>
            </w:r>
          </w:p>
        </w:tc>
      </w:tr>
      <w:tr w:rsidR="00F603FA" w:rsidRPr="005734B8" w14:paraId="07785DE2" w14:textId="77777777" w:rsidTr="000F48B1">
        <w:trPr>
          <w:cantSplit/>
        </w:trPr>
        <w:tc>
          <w:tcPr>
            <w:tcW w:w="6234" w:type="dxa"/>
            <w:tcBorders>
              <w:top w:val="single" w:sz="4" w:space="0" w:color="53565A"/>
              <w:bottom w:val="single" w:sz="4" w:space="0" w:color="53565A"/>
            </w:tcBorders>
            <w:shd w:val="clear" w:color="auto" w:fill="auto"/>
          </w:tcPr>
          <w:p w14:paraId="6C890FE2" w14:textId="61DB4BB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 xml:space="preserve">Victorian Students Parliamentary </w:t>
            </w:r>
            <w:r w:rsidR="002800F3" w:rsidRPr="005734B8">
              <w:rPr>
                <w:rFonts w:ascii="Calibri" w:eastAsia="Times New Roman" w:hAnsi="Calibri" w:cs="Calibri"/>
                <w:color w:val="000000"/>
                <w:sz w:val="20"/>
                <w:szCs w:val="20"/>
                <w:lang w:val="en-US" w:eastAsia="en-AU"/>
              </w:rPr>
              <w:t>p</w:t>
            </w:r>
            <w:r w:rsidRPr="005734B8">
              <w:rPr>
                <w:rFonts w:ascii="Calibri" w:eastAsia="Times New Roman" w:hAnsi="Calibri" w:cs="Calibri"/>
                <w:color w:val="000000"/>
                <w:sz w:val="20"/>
                <w:szCs w:val="20"/>
                <w:lang w:val="en-US" w:eastAsia="en-AU"/>
              </w:rPr>
              <w:t xml:space="preserve">rogram </w:t>
            </w:r>
          </w:p>
        </w:tc>
        <w:tc>
          <w:tcPr>
            <w:tcW w:w="1701" w:type="dxa"/>
            <w:tcBorders>
              <w:top w:val="single" w:sz="4" w:space="0" w:color="53565A"/>
              <w:bottom w:val="single" w:sz="4" w:space="0" w:color="53565A"/>
            </w:tcBorders>
            <w:shd w:val="clear" w:color="auto" w:fill="auto"/>
          </w:tcPr>
          <w:p w14:paraId="613348AF"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69,290</w:t>
            </w:r>
          </w:p>
        </w:tc>
      </w:tr>
      <w:tr w:rsidR="00F603FA" w:rsidRPr="005734B8" w14:paraId="476F51F1" w14:textId="77777777" w:rsidTr="000F48B1">
        <w:trPr>
          <w:cantSplit/>
        </w:trPr>
        <w:tc>
          <w:tcPr>
            <w:tcW w:w="6234" w:type="dxa"/>
            <w:tcBorders>
              <w:top w:val="single" w:sz="4" w:space="0" w:color="53565A"/>
              <w:bottom w:val="single" w:sz="4" w:space="0" w:color="53565A"/>
            </w:tcBorders>
            <w:shd w:val="clear" w:color="auto" w:fill="auto"/>
          </w:tcPr>
          <w:p w14:paraId="2FB667B1" w14:textId="2817F982"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 xml:space="preserve">Virtual Science </w:t>
            </w:r>
            <w:r w:rsidR="002800F3" w:rsidRPr="005734B8">
              <w:rPr>
                <w:rFonts w:ascii="Calibri" w:eastAsia="Times New Roman" w:hAnsi="Calibri" w:cs="Calibri"/>
                <w:color w:val="000000"/>
                <w:sz w:val="20"/>
                <w:szCs w:val="20"/>
                <w:lang w:val="en-US" w:eastAsia="en-AU"/>
              </w:rPr>
              <w:t>p</w:t>
            </w:r>
            <w:r w:rsidRPr="005734B8">
              <w:rPr>
                <w:rFonts w:ascii="Calibri" w:eastAsia="Times New Roman" w:hAnsi="Calibri" w:cs="Calibri"/>
                <w:color w:val="000000"/>
                <w:sz w:val="20"/>
                <w:szCs w:val="20"/>
                <w:lang w:val="en-US" w:eastAsia="en-AU"/>
              </w:rPr>
              <w:t>rogram</w:t>
            </w:r>
          </w:p>
        </w:tc>
        <w:tc>
          <w:tcPr>
            <w:tcW w:w="1701" w:type="dxa"/>
            <w:tcBorders>
              <w:top w:val="single" w:sz="4" w:space="0" w:color="53565A"/>
              <w:bottom w:val="single" w:sz="4" w:space="0" w:color="53565A"/>
            </w:tcBorders>
            <w:shd w:val="clear" w:color="auto" w:fill="auto"/>
          </w:tcPr>
          <w:p w14:paraId="03B4BACF"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118,600</w:t>
            </w:r>
          </w:p>
        </w:tc>
      </w:tr>
      <w:tr w:rsidR="00F603FA" w:rsidRPr="005734B8" w14:paraId="16323CA6" w14:textId="77777777" w:rsidTr="000F48B1">
        <w:trPr>
          <w:cantSplit/>
        </w:trPr>
        <w:tc>
          <w:tcPr>
            <w:tcW w:w="6234" w:type="dxa"/>
            <w:tcBorders>
              <w:top w:val="single" w:sz="4" w:space="0" w:color="53565A"/>
              <w:bottom w:val="single" w:sz="4" w:space="0" w:color="53565A"/>
            </w:tcBorders>
            <w:shd w:val="clear" w:color="auto" w:fill="auto"/>
          </w:tcPr>
          <w:p w14:paraId="14A773FA"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Walk the Talk</w:t>
            </w:r>
          </w:p>
        </w:tc>
        <w:tc>
          <w:tcPr>
            <w:tcW w:w="1701" w:type="dxa"/>
            <w:tcBorders>
              <w:top w:val="single" w:sz="4" w:space="0" w:color="53565A"/>
              <w:bottom w:val="single" w:sz="4" w:space="0" w:color="53565A"/>
            </w:tcBorders>
            <w:shd w:val="clear" w:color="auto" w:fill="auto"/>
          </w:tcPr>
          <w:p w14:paraId="77190719"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100,000</w:t>
            </w:r>
          </w:p>
        </w:tc>
      </w:tr>
      <w:tr w:rsidR="00F603FA" w:rsidRPr="005734B8" w14:paraId="4B621C03" w14:textId="77777777" w:rsidTr="000F48B1">
        <w:trPr>
          <w:cantSplit/>
        </w:trPr>
        <w:tc>
          <w:tcPr>
            <w:tcW w:w="6234" w:type="dxa"/>
            <w:tcBorders>
              <w:top w:val="single" w:sz="4" w:space="0" w:color="53565A"/>
              <w:bottom w:val="single" w:sz="4" w:space="0" w:color="53565A"/>
            </w:tcBorders>
            <w:shd w:val="clear" w:color="auto" w:fill="auto"/>
          </w:tcPr>
          <w:p w14:paraId="204D7BCE"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rPr>
              <w:t>We Thrive</w:t>
            </w:r>
          </w:p>
        </w:tc>
        <w:tc>
          <w:tcPr>
            <w:tcW w:w="1701" w:type="dxa"/>
            <w:tcBorders>
              <w:top w:val="single" w:sz="4" w:space="0" w:color="53565A"/>
              <w:bottom w:val="single" w:sz="4" w:space="0" w:color="53565A"/>
            </w:tcBorders>
            <w:shd w:val="clear" w:color="auto" w:fill="auto"/>
          </w:tcPr>
          <w:p w14:paraId="57935CF6"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20"/>
                <w:lang w:val="en-US"/>
              </w:rPr>
              <w:t>22,000</w:t>
            </w:r>
          </w:p>
        </w:tc>
      </w:tr>
      <w:tr w:rsidR="00F603FA" w:rsidRPr="005734B8" w14:paraId="3EAA402C" w14:textId="77777777" w:rsidTr="000F48B1">
        <w:trPr>
          <w:cantSplit/>
        </w:trPr>
        <w:tc>
          <w:tcPr>
            <w:tcW w:w="6234" w:type="dxa"/>
            <w:tcBorders>
              <w:top w:val="single" w:sz="4" w:space="0" w:color="53565A"/>
              <w:bottom w:val="single" w:sz="4" w:space="0" w:color="53565A"/>
            </w:tcBorders>
            <w:shd w:val="clear" w:color="auto" w:fill="auto"/>
          </w:tcPr>
          <w:p w14:paraId="0DD98658"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Work Placement Brokerage</w:t>
            </w:r>
          </w:p>
        </w:tc>
        <w:tc>
          <w:tcPr>
            <w:tcW w:w="1701" w:type="dxa"/>
            <w:tcBorders>
              <w:top w:val="single" w:sz="4" w:space="0" w:color="53565A"/>
              <w:bottom w:val="single" w:sz="4" w:space="0" w:color="53565A"/>
            </w:tcBorders>
            <w:shd w:val="clear" w:color="auto" w:fill="auto"/>
          </w:tcPr>
          <w:p w14:paraId="6D039CFB"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color w:val="000000"/>
                <w:sz w:val="20"/>
                <w:szCs w:val="20"/>
                <w:lang w:val="en-US"/>
              </w:rPr>
              <w:t>1,080,000</w:t>
            </w:r>
          </w:p>
        </w:tc>
      </w:tr>
      <w:tr w:rsidR="00F603FA" w:rsidRPr="005734B8" w14:paraId="23C47998" w14:textId="77777777" w:rsidTr="000F48B1">
        <w:trPr>
          <w:cantSplit/>
        </w:trPr>
        <w:tc>
          <w:tcPr>
            <w:tcW w:w="6234" w:type="dxa"/>
            <w:tcBorders>
              <w:top w:val="single" w:sz="4" w:space="0" w:color="53565A"/>
              <w:bottom w:val="single" w:sz="4" w:space="0" w:color="53565A"/>
            </w:tcBorders>
            <w:shd w:val="clear" w:color="auto" w:fill="auto"/>
          </w:tcPr>
          <w:p w14:paraId="246C9C8C"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Working for Victoria e-Learning delivery</w:t>
            </w:r>
          </w:p>
        </w:tc>
        <w:tc>
          <w:tcPr>
            <w:tcW w:w="1701" w:type="dxa"/>
            <w:tcBorders>
              <w:top w:val="single" w:sz="4" w:space="0" w:color="53565A"/>
              <w:bottom w:val="single" w:sz="4" w:space="0" w:color="53565A"/>
            </w:tcBorders>
            <w:shd w:val="clear" w:color="auto" w:fill="auto"/>
          </w:tcPr>
          <w:p w14:paraId="75BE620D"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4,717,906</w:t>
            </w:r>
          </w:p>
        </w:tc>
      </w:tr>
      <w:tr w:rsidR="00F603FA" w:rsidRPr="005734B8" w14:paraId="75D1B9CE" w14:textId="77777777" w:rsidTr="000F48B1">
        <w:trPr>
          <w:cantSplit/>
        </w:trPr>
        <w:tc>
          <w:tcPr>
            <w:tcW w:w="6234" w:type="dxa"/>
            <w:tcBorders>
              <w:top w:val="single" w:sz="4" w:space="0" w:color="53565A"/>
              <w:bottom w:val="single" w:sz="4" w:space="0" w:color="53565A"/>
            </w:tcBorders>
            <w:shd w:val="clear" w:color="auto" w:fill="auto"/>
          </w:tcPr>
          <w:p w14:paraId="43799336" w14:textId="77777777" w:rsidR="00E249A4" w:rsidRPr="005734B8" w:rsidRDefault="00E249A4" w:rsidP="000F48B1">
            <w:pPr>
              <w:spacing w:before="120" w:after="120"/>
              <w:rPr>
                <w:rFonts w:ascii="Calibri" w:eastAsia="Times New Roman" w:hAnsi="Calibri" w:cs="Calibri"/>
                <w:color w:val="000000"/>
                <w:sz w:val="16"/>
                <w:szCs w:val="16"/>
                <w:lang w:val="en-US" w:eastAsia="en-AU"/>
              </w:rPr>
            </w:pPr>
            <w:r w:rsidRPr="005734B8">
              <w:rPr>
                <w:rFonts w:ascii="Calibri" w:eastAsia="Times New Roman" w:hAnsi="Calibri" w:cs="Calibri"/>
                <w:color w:val="000000"/>
                <w:sz w:val="20"/>
                <w:szCs w:val="20"/>
                <w:lang w:val="en-US" w:eastAsia="en-AU"/>
              </w:rPr>
              <w:t>Wurreker, early childhood and schools</w:t>
            </w:r>
          </w:p>
        </w:tc>
        <w:tc>
          <w:tcPr>
            <w:tcW w:w="1701" w:type="dxa"/>
            <w:tcBorders>
              <w:top w:val="single" w:sz="4" w:space="0" w:color="53565A"/>
              <w:bottom w:val="single" w:sz="4" w:space="0" w:color="53565A"/>
            </w:tcBorders>
            <w:shd w:val="clear" w:color="auto" w:fill="auto"/>
          </w:tcPr>
          <w:p w14:paraId="2A115409"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3,836,354</w:t>
            </w:r>
          </w:p>
        </w:tc>
      </w:tr>
      <w:tr w:rsidR="00F603FA" w:rsidRPr="005734B8" w14:paraId="2D28B630" w14:textId="77777777" w:rsidTr="000F48B1">
        <w:trPr>
          <w:cantSplit/>
        </w:trPr>
        <w:tc>
          <w:tcPr>
            <w:tcW w:w="6234" w:type="dxa"/>
            <w:tcBorders>
              <w:top w:val="single" w:sz="4" w:space="0" w:color="53565A"/>
              <w:bottom w:val="single" w:sz="4" w:space="0" w:color="53565A"/>
            </w:tcBorders>
            <w:shd w:val="clear" w:color="auto" w:fill="auto"/>
          </w:tcPr>
          <w:p w14:paraId="09D1FA31"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Youth Employment Program</w:t>
            </w:r>
          </w:p>
        </w:tc>
        <w:tc>
          <w:tcPr>
            <w:tcW w:w="1701" w:type="dxa"/>
            <w:tcBorders>
              <w:top w:val="single" w:sz="4" w:space="0" w:color="53565A"/>
              <w:bottom w:val="single" w:sz="4" w:space="0" w:color="53565A"/>
            </w:tcBorders>
            <w:shd w:val="clear" w:color="auto" w:fill="auto"/>
          </w:tcPr>
          <w:p w14:paraId="5777E212"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250,000</w:t>
            </w:r>
          </w:p>
        </w:tc>
      </w:tr>
      <w:tr w:rsidR="00F603FA" w:rsidRPr="005734B8" w14:paraId="5FCD5E47" w14:textId="77777777" w:rsidTr="000F48B1">
        <w:trPr>
          <w:cantSplit/>
        </w:trPr>
        <w:tc>
          <w:tcPr>
            <w:tcW w:w="6234" w:type="dxa"/>
            <w:tcBorders>
              <w:top w:val="single" w:sz="4" w:space="0" w:color="53565A"/>
              <w:bottom w:val="single" w:sz="4" w:space="0" w:color="53565A"/>
            </w:tcBorders>
            <w:shd w:val="clear" w:color="auto" w:fill="auto"/>
          </w:tcPr>
          <w:p w14:paraId="0DE22DA0" w14:textId="77777777" w:rsidR="00E249A4" w:rsidRPr="005734B8" w:rsidRDefault="00E249A4" w:rsidP="000F48B1">
            <w:pPr>
              <w:spacing w:before="120" w:after="120"/>
              <w:rPr>
                <w:rFonts w:ascii="Calibri" w:eastAsia="Times New Roman" w:hAnsi="Calibri" w:cs="Calibri"/>
                <w:sz w:val="16"/>
                <w:szCs w:val="16"/>
                <w:lang w:val="en-US"/>
              </w:rPr>
            </w:pPr>
            <w:r w:rsidRPr="005734B8">
              <w:rPr>
                <w:rFonts w:ascii="Calibri" w:eastAsia="Times New Roman" w:hAnsi="Calibri" w:cs="Calibri"/>
                <w:sz w:val="20"/>
                <w:szCs w:val="18"/>
                <w:lang w:val="en-US"/>
              </w:rPr>
              <w:t>Youth Learning Pathways</w:t>
            </w:r>
          </w:p>
        </w:tc>
        <w:tc>
          <w:tcPr>
            <w:tcW w:w="1701" w:type="dxa"/>
            <w:tcBorders>
              <w:top w:val="single" w:sz="4" w:space="0" w:color="53565A"/>
              <w:bottom w:val="single" w:sz="4" w:space="0" w:color="53565A"/>
            </w:tcBorders>
            <w:shd w:val="clear" w:color="auto" w:fill="auto"/>
          </w:tcPr>
          <w:p w14:paraId="38FD12F7" w14:textId="77777777" w:rsidR="00E249A4" w:rsidRPr="005734B8" w:rsidRDefault="00E249A4" w:rsidP="000F48B1">
            <w:pPr>
              <w:spacing w:before="120" w:after="120"/>
              <w:jc w:val="right"/>
              <w:rPr>
                <w:rFonts w:ascii="Calibri" w:eastAsia="Times New Roman" w:hAnsi="Calibri" w:cs="Calibri"/>
                <w:sz w:val="16"/>
                <w:szCs w:val="16"/>
                <w:lang w:val="en-US"/>
              </w:rPr>
            </w:pPr>
            <w:r w:rsidRPr="005734B8">
              <w:rPr>
                <w:rFonts w:ascii="Calibri" w:eastAsia="Times New Roman" w:hAnsi="Calibri" w:cs="Calibri"/>
                <w:sz w:val="20"/>
                <w:szCs w:val="18"/>
                <w:lang w:val="en-US"/>
              </w:rPr>
              <w:t>200,000</w:t>
            </w:r>
          </w:p>
        </w:tc>
      </w:tr>
      <w:bookmarkEnd w:id="2258"/>
    </w:tbl>
    <w:p w14:paraId="6A4E484A" w14:textId="77777777" w:rsidR="002C3A66" w:rsidRPr="005734B8" w:rsidRDefault="002C3A66" w:rsidP="005679CB">
      <w:pPr>
        <w:keepNext/>
        <w:spacing w:before="120" w:after="120"/>
        <w:rPr>
          <w:rFonts w:ascii="Calibri" w:hAnsi="Calibri" w:cs="Calibri"/>
          <w:szCs w:val="22"/>
        </w:rPr>
      </w:pPr>
    </w:p>
    <w:sectPr w:rsidR="002C3A66" w:rsidRPr="005734B8" w:rsidSect="003B3A5C">
      <w:pgSz w:w="11900" w:h="16840"/>
      <w:pgMar w:top="1440" w:right="1134" w:bottom="1440" w:left="283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EF892" w14:textId="77777777" w:rsidR="00CE3E19" w:rsidRDefault="00CE3E19" w:rsidP="004625D4">
      <w:r>
        <w:separator/>
      </w:r>
    </w:p>
  </w:endnote>
  <w:endnote w:type="continuationSeparator" w:id="0">
    <w:p w14:paraId="29F787A9" w14:textId="77777777" w:rsidR="00CE3E19" w:rsidRDefault="00CE3E19" w:rsidP="004625D4">
      <w:r>
        <w:continuationSeparator/>
      </w:r>
    </w:p>
  </w:endnote>
  <w:endnote w:type="continuationNotice" w:id="1">
    <w:p w14:paraId="0A1F9015" w14:textId="77777777" w:rsidR="00CE3E19" w:rsidRDefault="00CE3E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F303" w14:textId="00BF2AAB" w:rsidR="00CE3E19" w:rsidRDefault="00CE3E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7894569"/>
      <w:docPartObj>
        <w:docPartGallery w:val="Page Numbers (Bottom of Page)"/>
        <w:docPartUnique/>
      </w:docPartObj>
    </w:sdtPr>
    <w:sdtEndPr>
      <w:rPr>
        <w:noProof/>
      </w:rPr>
    </w:sdtEndPr>
    <w:sdtContent>
      <w:p w14:paraId="35B9E31D" w14:textId="77777777" w:rsidR="00CE3E19" w:rsidDel="00A61B60" w:rsidRDefault="00CE3E19" w:rsidP="001D7518">
        <w:pPr>
          <w:pStyle w:val="Footer"/>
          <w:rPr>
            <w:rFonts w:cs="Arial"/>
            <w:szCs w:val="18"/>
          </w:rPr>
        </w:pPr>
      </w:p>
      <w:p w14:paraId="374AA973" w14:textId="77777777" w:rsidR="00CE3E19" w:rsidRPr="00615AA2" w:rsidRDefault="00CE3E19" w:rsidP="001D7518">
        <w:pPr>
          <w:pStyle w:val="Footer"/>
          <w:jc w:val="right"/>
          <w:rPr>
            <w:sz w:val="15"/>
            <w:szCs w:val="15"/>
          </w:rPr>
        </w:pPr>
        <w:r w:rsidRPr="00615AA2">
          <w:rPr>
            <w:sz w:val="15"/>
            <w:szCs w:val="15"/>
          </w:rPr>
          <w:t xml:space="preserve">Page | </w:t>
        </w:r>
        <w:sdt>
          <w:sdtPr>
            <w:rPr>
              <w:sz w:val="15"/>
              <w:szCs w:val="15"/>
            </w:rPr>
            <w:id w:val="-1205480204"/>
            <w:docPartObj>
              <w:docPartGallery w:val="Page Numbers (Bottom of Page)"/>
              <w:docPartUnique/>
            </w:docPartObj>
          </w:sdtPr>
          <w:sdtEndPr>
            <w:rPr>
              <w:noProof/>
            </w:rPr>
          </w:sdtEndPr>
          <w:sdtContent>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7</w:t>
            </w:r>
            <w:r>
              <w:rPr>
                <w:sz w:val="15"/>
                <w:szCs w:val="15"/>
              </w:rPr>
              <w:fldChar w:fldCharType="end"/>
            </w:r>
          </w:sdtContent>
        </w:sdt>
      </w:p>
      <w:p w14:paraId="4653796B" w14:textId="76B3CC56" w:rsidR="00CE3E19" w:rsidRPr="00F84AB3" w:rsidRDefault="006C463E" w:rsidP="001D7518">
        <w:pPr>
          <w:pStyle w:val="Footer"/>
        </w:pP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BC895" w14:textId="77777777" w:rsidR="00CE3E19" w:rsidRPr="00615AA2" w:rsidRDefault="00CE3E19" w:rsidP="000F48B1">
    <w:pPr>
      <w:pStyle w:val="Footer"/>
      <w:jc w:val="right"/>
      <w:rPr>
        <w:sz w:val="15"/>
        <w:szCs w:val="15"/>
      </w:rPr>
    </w:pPr>
    <w:r w:rsidRPr="00615AA2">
      <w:rPr>
        <w:sz w:val="15"/>
        <w:szCs w:val="15"/>
      </w:rPr>
      <w:t xml:space="preserve">Page | </w:t>
    </w:r>
    <w:sdt>
      <w:sdtPr>
        <w:rPr>
          <w:sz w:val="15"/>
          <w:szCs w:val="15"/>
        </w:rPr>
        <w:id w:val="2140687382"/>
        <w:docPartObj>
          <w:docPartGallery w:val="Page Numbers (Bottom of Page)"/>
          <w:docPartUnique/>
        </w:docPartObj>
      </w:sdtPr>
      <w:sdtEndPr>
        <w:rPr>
          <w:noProof/>
        </w:rPr>
      </w:sdtEndPr>
      <w:sdtContent>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86</w:t>
        </w:r>
        <w:r>
          <w:rPr>
            <w:sz w:val="15"/>
            <w:szCs w:val="15"/>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DDC9C" w14:textId="77777777" w:rsidR="00CE3E19" w:rsidRPr="00615AA2" w:rsidRDefault="00CE3E19" w:rsidP="002E4354">
    <w:pPr>
      <w:pStyle w:val="Footer"/>
      <w:jc w:val="right"/>
      <w:rPr>
        <w:sz w:val="15"/>
        <w:szCs w:val="15"/>
      </w:rPr>
    </w:pPr>
    <w:r w:rsidRPr="00615AA2">
      <w:rPr>
        <w:sz w:val="15"/>
        <w:szCs w:val="15"/>
      </w:rPr>
      <w:t xml:space="preserve">Page | </w:t>
    </w:r>
    <w:sdt>
      <w:sdtPr>
        <w:rPr>
          <w:sz w:val="15"/>
          <w:szCs w:val="15"/>
        </w:rPr>
        <w:id w:val="-68196438"/>
        <w:docPartObj>
          <w:docPartGallery w:val="Page Numbers (Bottom of Page)"/>
          <w:docPartUnique/>
        </w:docPartObj>
      </w:sdtPr>
      <w:sdtEndPr>
        <w:rPr>
          <w:noProof/>
        </w:rPr>
      </w:sdtEndPr>
      <w:sdtContent>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86</w:t>
        </w:r>
        <w:r>
          <w:rPr>
            <w:sz w:val="15"/>
            <w:szCs w:val="15"/>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14AF4" w14:textId="771AAFF4" w:rsidR="00CE3E19" w:rsidRPr="003E29B5" w:rsidRDefault="006C463E" w:rsidP="00190F9B">
    <w:pPr>
      <w:jc w:val="right"/>
    </w:pPr>
    <w:sdt>
      <w:sdtPr>
        <w:id w:val="-800836543"/>
        <w:docPartObj>
          <w:docPartGallery w:val="Page Numbers (Bottom of Page)"/>
          <w:docPartUnique/>
        </w:docPartObj>
      </w:sdtPr>
      <w:sdtEndPr/>
      <w:sdtContent>
        <w:r w:rsidR="00CE3E19" w:rsidRPr="00190F9B">
          <w:rPr>
            <w:color w:val="000000" w:themeColor="text2"/>
            <w:sz w:val="15"/>
            <w:szCs w:val="15"/>
            <w:lang w:eastAsia="en-GB"/>
          </w:rPr>
          <w:t xml:space="preserve">Page | </w:t>
        </w:r>
        <w:r w:rsidR="00CE3E19" w:rsidRPr="00190F9B">
          <w:rPr>
            <w:color w:val="000000" w:themeColor="text2"/>
            <w:sz w:val="15"/>
            <w:szCs w:val="15"/>
            <w:lang w:eastAsia="en-GB"/>
          </w:rPr>
          <w:fldChar w:fldCharType="begin"/>
        </w:r>
        <w:r w:rsidR="00CE3E19" w:rsidRPr="00190F9B">
          <w:rPr>
            <w:color w:val="000000" w:themeColor="text2"/>
            <w:sz w:val="15"/>
            <w:szCs w:val="15"/>
            <w:lang w:eastAsia="en-GB"/>
          </w:rPr>
          <w:instrText xml:space="preserve"> PAGE   \* MERGEFORMAT </w:instrText>
        </w:r>
        <w:r w:rsidR="00CE3E19" w:rsidRPr="00190F9B">
          <w:rPr>
            <w:color w:val="000000" w:themeColor="text2"/>
            <w:sz w:val="15"/>
            <w:szCs w:val="15"/>
            <w:lang w:eastAsia="en-GB"/>
          </w:rPr>
          <w:fldChar w:fldCharType="separate"/>
        </w:r>
        <w:r w:rsidR="00CE3E19">
          <w:rPr>
            <w:color w:val="000000" w:themeColor="text2"/>
            <w:sz w:val="15"/>
            <w:szCs w:val="15"/>
            <w:lang w:eastAsia="en-GB"/>
          </w:rPr>
          <w:t>iv</w:t>
        </w:r>
        <w:r w:rsidR="00CE3E19" w:rsidRPr="00190F9B">
          <w:rPr>
            <w:color w:val="000000" w:themeColor="text2"/>
            <w:sz w:val="15"/>
            <w:szCs w:val="15"/>
            <w:lang w:eastAsia="en-GB"/>
          </w:rPr>
          <w:fldChar w:fldCharType="end"/>
        </w:r>
      </w:sdtContent>
    </w:sdt>
    <w:r w:rsidR="00CE3E19" w:rsidRPr="003E29B5">
      <w:tab/>
    </w:r>
  </w:p>
  <w:p w14:paraId="3CC568CE" w14:textId="441DA88A" w:rsidR="00CE3E19" w:rsidRDefault="00CE3E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55F0" w14:textId="791B8B31" w:rsidR="00CE3E19" w:rsidRPr="00B8261F" w:rsidRDefault="006C463E" w:rsidP="00FC51F2">
    <w:pPr>
      <w:pStyle w:val="ESFooter"/>
    </w:pPr>
    <w:sdt>
      <w:sdtPr>
        <w:id w:val="898406281"/>
        <w:docPartObj>
          <w:docPartGallery w:val="Page Numbers (Bottom of Page)"/>
          <w:docPartUnique/>
        </w:docPartObj>
      </w:sdtPr>
      <w:sdtEndPr/>
      <w:sdtContent>
        <w:r w:rsidR="00CE3E19" w:rsidRPr="00B8261F">
          <w:t xml:space="preserve">Page </w:t>
        </w:r>
        <w:r w:rsidR="00CE3E19">
          <w:t xml:space="preserve">| </w:t>
        </w:r>
        <w:r w:rsidR="00CE3E19" w:rsidRPr="00B8261F">
          <w:fldChar w:fldCharType="begin"/>
        </w:r>
        <w:r w:rsidR="00CE3E19" w:rsidRPr="00B8261F">
          <w:instrText xml:space="preserve"> TITLE  \* MERGEFORMAT </w:instrText>
        </w:r>
        <w:r w:rsidR="00CE3E19" w:rsidRPr="00B8261F">
          <w:fldChar w:fldCharType="end"/>
        </w:r>
        <w:r w:rsidR="00CE3E19" w:rsidRPr="00B8261F">
          <w:fldChar w:fldCharType="begin"/>
        </w:r>
        <w:r w:rsidR="00CE3E19" w:rsidRPr="00B8261F">
          <w:instrText xml:space="preserve"> PAGE   \* MERGEFORMAT </w:instrText>
        </w:r>
        <w:r w:rsidR="00CE3E19" w:rsidRPr="00B8261F">
          <w:fldChar w:fldCharType="separate"/>
        </w:r>
        <w:r w:rsidR="00CE3E19">
          <w:t>59</w:t>
        </w:r>
        <w:r w:rsidR="00CE3E19" w:rsidRPr="00B8261F">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C576" w14:textId="798AF1E3" w:rsidR="00CE3E19" w:rsidRPr="00B8261F" w:rsidRDefault="00CE3E19" w:rsidP="00FC51F2">
    <w:pPr>
      <w:pStyle w:val="ESFooter"/>
    </w:pPr>
    <w:r w:rsidRPr="00B8261F">
      <w:t xml:space="preserve">Page </w:t>
    </w:r>
    <w:r>
      <w:t xml:space="preserve">| </w:t>
    </w:r>
    <w:r w:rsidRPr="00B8261F">
      <w:fldChar w:fldCharType="begin"/>
    </w:r>
    <w:r w:rsidRPr="00B8261F">
      <w:instrText xml:space="preserve"> TITLE  \* MERGEFORMAT </w:instrText>
    </w:r>
    <w:r w:rsidRPr="00B8261F">
      <w:fldChar w:fldCharType="end"/>
    </w:r>
    <w:r w:rsidRPr="00B8261F">
      <w:fldChar w:fldCharType="begin"/>
    </w:r>
    <w:r w:rsidRPr="00B8261F">
      <w:instrText xml:space="preserve"> PAGE   \* MERGEFORMAT </w:instrText>
    </w:r>
    <w:r w:rsidRPr="00B8261F">
      <w:fldChar w:fldCharType="separate"/>
    </w:r>
    <w:r>
      <w:t>95</w:t>
    </w:r>
    <w:r w:rsidRPr="00B8261F">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B78BF" w14:textId="77777777" w:rsidR="00CE3E19" w:rsidRPr="00615AA2" w:rsidRDefault="00CE3E19">
    <w:pPr>
      <w:pStyle w:val="Footer"/>
      <w:jc w:val="right"/>
      <w:rPr>
        <w:sz w:val="15"/>
        <w:szCs w:val="15"/>
      </w:rPr>
    </w:pPr>
    <w:r w:rsidRPr="00615AA2">
      <w:rPr>
        <w:sz w:val="15"/>
        <w:szCs w:val="15"/>
      </w:rPr>
      <w:t xml:space="preserve">Page | </w:t>
    </w:r>
    <w:sdt>
      <w:sdtPr>
        <w:rPr>
          <w:sz w:val="15"/>
          <w:szCs w:val="15"/>
        </w:rPr>
        <w:id w:val="-1269150853"/>
        <w:docPartObj>
          <w:docPartGallery w:val="Page Numbers (Bottom of Page)"/>
          <w:docPartUnique/>
        </w:docPartObj>
      </w:sdtPr>
      <w:sdtEndPr>
        <w:rPr>
          <w:noProof/>
        </w:rPr>
      </w:sdtEndPr>
      <w:sdtContent>
        <w:r w:rsidRPr="00615AA2">
          <w:rPr>
            <w:sz w:val="15"/>
            <w:szCs w:val="15"/>
          </w:rPr>
          <w:fldChar w:fldCharType="begin"/>
        </w:r>
        <w:r w:rsidRPr="00615AA2">
          <w:rPr>
            <w:sz w:val="15"/>
            <w:szCs w:val="15"/>
          </w:rPr>
          <w:instrText xml:space="preserve"> PAGE   \* MERGEFORMAT </w:instrText>
        </w:r>
        <w:r w:rsidRPr="00615AA2">
          <w:rPr>
            <w:sz w:val="15"/>
            <w:szCs w:val="15"/>
          </w:rPr>
          <w:fldChar w:fldCharType="separate"/>
        </w:r>
        <w:r>
          <w:rPr>
            <w:noProof/>
            <w:sz w:val="15"/>
            <w:szCs w:val="15"/>
          </w:rPr>
          <w:t>2</w:t>
        </w:r>
        <w:r w:rsidRPr="00615AA2">
          <w:rPr>
            <w:noProof/>
            <w:sz w:val="15"/>
            <w:szCs w:val="15"/>
          </w:rPr>
          <w:fldChar w:fldCharType="end"/>
        </w:r>
      </w:sdtContent>
    </w:sdt>
  </w:p>
  <w:p w14:paraId="79F40216" w14:textId="77777777" w:rsidR="00CE3E19" w:rsidRDefault="00CE3E19">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F36E3" w14:textId="77777777" w:rsidR="00CE3E19" w:rsidRDefault="00CE3E1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1022B" w14:textId="77777777" w:rsidR="00CE3E19" w:rsidRPr="00615AA2" w:rsidRDefault="00CE3E19">
    <w:pPr>
      <w:pStyle w:val="Footer"/>
      <w:jc w:val="right"/>
      <w:rPr>
        <w:sz w:val="15"/>
        <w:szCs w:val="15"/>
      </w:rPr>
    </w:pPr>
    <w:r w:rsidRPr="00615AA2">
      <w:rPr>
        <w:sz w:val="15"/>
        <w:szCs w:val="15"/>
      </w:rPr>
      <w:t xml:space="preserve">Page | </w:t>
    </w:r>
    <w:sdt>
      <w:sdtPr>
        <w:rPr>
          <w:sz w:val="15"/>
          <w:szCs w:val="15"/>
        </w:rPr>
        <w:id w:val="-87242165"/>
        <w:docPartObj>
          <w:docPartGallery w:val="Page Numbers (Bottom of Page)"/>
          <w:docPartUnique/>
        </w:docPartObj>
      </w:sdtPr>
      <w:sdtEndPr>
        <w:rPr>
          <w:noProof/>
        </w:rPr>
      </w:sdtEndPr>
      <w:sdtContent>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3</w:t>
        </w:r>
        <w:r>
          <w:rPr>
            <w:sz w:val="15"/>
            <w:szCs w:val="15"/>
          </w:rPr>
          <w:fldChar w:fldCharType="end"/>
        </w:r>
      </w:sdtContent>
    </w:sdt>
  </w:p>
  <w:p w14:paraId="520CF520" w14:textId="77777777" w:rsidR="00CE3E19" w:rsidRDefault="00CE3E1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0D798" w14:textId="77777777" w:rsidR="00CE3E19" w:rsidRDefault="00CE3E1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F97E" w14:textId="77777777" w:rsidR="00CE3E19" w:rsidRPr="00615AA2" w:rsidRDefault="00CE3E19" w:rsidP="000F48B1">
    <w:pPr>
      <w:pStyle w:val="Footer"/>
      <w:jc w:val="right"/>
      <w:rPr>
        <w:sz w:val="15"/>
        <w:szCs w:val="15"/>
      </w:rPr>
    </w:pPr>
    <w:r w:rsidRPr="00615AA2">
      <w:rPr>
        <w:sz w:val="15"/>
        <w:szCs w:val="15"/>
      </w:rPr>
      <w:t xml:space="preserve">Page | </w:t>
    </w:r>
    <w:sdt>
      <w:sdtPr>
        <w:rPr>
          <w:sz w:val="15"/>
          <w:szCs w:val="15"/>
        </w:rPr>
        <w:id w:val="1189407101"/>
        <w:docPartObj>
          <w:docPartGallery w:val="Page Numbers (Bottom of Page)"/>
          <w:docPartUnique/>
        </w:docPartObj>
      </w:sdtPr>
      <w:sdtEndPr>
        <w:rPr>
          <w:noProof/>
        </w:rPr>
      </w:sdtEndPr>
      <w:sdtContent>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6</w:t>
        </w:r>
        <w:r>
          <w:rPr>
            <w:sz w:val="15"/>
            <w:szCs w:val="15"/>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89796" w14:textId="77777777" w:rsidR="00CE3E19" w:rsidRDefault="00CE3E19" w:rsidP="004625D4">
      <w:r>
        <w:separator/>
      </w:r>
    </w:p>
  </w:footnote>
  <w:footnote w:type="continuationSeparator" w:id="0">
    <w:p w14:paraId="65672423" w14:textId="77777777" w:rsidR="00CE3E19" w:rsidRDefault="00CE3E19" w:rsidP="004625D4">
      <w:r>
        <w:continuationSeparator/>
      </w:r>
    </w:p>
  </w:footnote>
  <w:footnote w:type="continuationNotice" w:id="1">
    <w:p w14:paraId="409D4C35" w14:textId="77777777" w:rsidR="00CE3E19" w:rsidRDefault="00CE3E19"/>
  </w:footnote>
  <w:footnote w:id="2">
    <w:p w14:paraId="208F4EA0" w14:textId="77777777" w:rsidR="00CE3E19" w:rsidRPr="00F50F48" w:rsidRDefault="00CE3E19" w:rsidP="00166233">
      <w:pPr>
        <w:pStyle w:val="FootnoteText"/>
        <w:rPr>
          <w:rFonts w:ascii="Calibri" w:hAnsi="Calibri" w:cs="Calibri"/>
          <w:sz w:val="16"/>
          <w:szCs w:val="16"/>
        </w:rPr>
      </w:pPr>
      <w:r w:rsidRPr="00044F4A">
        <w:rPr>
          <w:rStyle w:val="FootnoteReference"/>
          <w:rFonts w:ascii="Calibri" w:hAnsi="Calibri" w:cs="Calibri"/>
          <w:sz w:val="16"/>
          <w:szCs w:val="16"/>
        </w:rPr>
        <w:footnoteRef/>
      </w:r>
      <w:r w:rsidRPr="00044F4A">
        <w:rPr>
          <w:rFonts w:ascii="Calibri" w:hAnsi="Calibri" w:cs="Calibri"/>
          <w:sz w:val="16"/>
          <w:szCs w:val="16"/>
        </w:rPr>
        <w:t xml:space="preserve"> </w:t>
      </w:r>
      <w:r w:rsidRPr="00F50F48">
        <w:rPr>
          <w:rFonts w:ascii="Calibri" w:hAnsi="Calibri" w:cs="Calibri"/>
          <w:sz w:val="16"/>
          <w:szCs w:val="16"/>
        </w:rPr>
        <w:t>In 2020 Victorian government departments completed internal planning in lieu of publishing strategic plans. This was due to the postponement of the State Budget for 2020–21 to adjust and respond to the impacts of the COVID-19 pandemic.</w:t>
      </w:r>
    </w:p>
  </w:footnote>
  <w:footnote w:id="3">
    <w:p w14:paraId="37FDBBBB" w14:textId="77777777" w:rsidR="00CE3E19" w:rsidRPr="00044F4A" w:rsidRDefault="00CE3E19" w:rsidP="00C65901">
      <w:pPr>
        <w:pStyle w:val="FootnoteText"/>
        <w:rPr>
          <w:rFonts w:ascii="Calibri" w:hAnsi="Calibri" w:cs="Calibri"/>
          <w:sz w:val="16"/>
          <w:szCs w:val="16"/>
          <w:lang w:val="en-AU"/>
        </w:rPr>
      </w:pPr>
      <w:r w:rsidRPr="00044F4A">
        <w:rPr>
          <w:rStyle w:val="FootnoteReference"/>
          <w:rFonts w:ascii="Calibri" w:hAnsi="Calibri" w:cs="Calibri"/>
          <w:sz w:val="16"/>
          <w:szCs w:val="16"/>
        </w:rPr>
        <w:footnoteRef/>
      </w:r>
      <w:r w:rsidRPr="00044F4A">
        <w:rPr>
          <w:rFonts w:ascii="Calibri" w:hAnsi="Calibri" w:cs="Calibri"/>
          <w:sz w:val="16"/>
          <w:szCs w:val="16"/>
        </w:rPr>
        <w:t xml:space="preserve"> These indicators refer to government and non</w:t>
      </w:r>
      <w:r w:rsidRPr="00044F4A">
        <w:rPr>
          <w:rFonts w:ascii="Calibri" w:hAnsi="Calibri" w:cs="Calibri"/>
          <w:sz w:val="16"/>
          <w:szCs w:val="16"/>
        </w:rPr>
        <w:noBreakHyphen/>
        <w:t>government schools.</w:t>
      </w:r>
    </w:p>
  </w:footnote>
  <w:footnote w:id="4">
    <w:p w14:paraId="1C17BDB1" w14:textId="77777777" w:rsidR="00CE3E19" w:rsidRPr="00044F4A" w:rsidRDefault="00CE3E19" w:rsidP="00C65901">
      <w:pPr>
        <w:pStyle w:val="FootnoteText"/>
        <w:rPr>
          <w:rFonts w:ascii="Calibri" w:hAnsi="Calibri" w:cs="Calibri"/>
          <w:sz w:val="16"/>
          <w:szCs w:val="16"/>
          <w:lang w:val="en-AU"/>
        </w:rPr>
      </w:pPr>
      <w:r w:rsidRPr="00044F4A">
        <w:rPr>
          <w:rStyle w:val="FootnoteReference"/>
          <w:rFonts w:ascii="Calibri" w:hAnsi="Calibri" w:cs="Calibri"/>
          <w:sz w:val="16"/>
          <w:szCs w:val="16"/>
        </w:rPr>
        <w:footnoteRef/>
      </w:r>
      <w:r w:rsidRPr="00044F4A">
        <w:rPr>
          <w:rFonts w:ascii="Calibri" w:hAnsi="Calibri" w:cs="Calibri"/>
          <w:sz w:val="16"/>
          <w:szCs w:val="16"/>
        </w:rPr>
        <w:t xml:space="preserve"> This indicator refers to government schools for the national assessments and both government and non</w:t>
      </w:r>
      <w:r w:rsidRPr="00044F4A">
        <w:rPr>
          <w:rFonts w:ascii="Calibri" w:hAnsi="Calibri" w:cs="Calibri"/>
          <w:sz w:val="16"/>
          <w:szCs w:val="16"/>
        </w:rPr>
        <w:noBreakHyphen/>
        <w:t>government schools for the international assessments.</w:t>
      </w:r>
    </w:p>
  </w:footnote>
  <w:footnote w:id="5">
    <w:p w14:paraId="55D4F116" w14:textId="77777777" w:rsidR="00CE3E19" w:rsidRPr="00036DC8" w:rsidRDefault="00CE3E19" w:rsidP="00C65901">
      <w:pPr>
        <w:pStyle w:val="FootnoteText"/>
        <w:rPr>
          <w:lang w:val="en-AU"/>
        </w:rPr>
      </w:pPr>
      <w:r w:rsidRPr="00044F4A">
        <w:rPr>
          <w:rStyle w:val="FootnoteReference"/>
          <w:rFonts w:ascii="Calibri" w:hAnsi="Calibri" w:cs="Calibri"/>
          <w:sz w:val="16"/>
          <w:szCs w:val="16"/>
        </w:rPr>
        <w:footnoteRef/>
      </w:r>
      <w:r w:rsidRPr="00044F4A">
        <w:rPr>
          <w:rFonts w:ascii="Calibri" w:hAnsi="Calibri" w:cs="Calibri"/>
          <w:sz w:val="16"/>
          <w:szCs w:val="16"/>
        </w:rPr>
        <w:t xml:space="preserve"> These indicators refer to government schools.</w:t>
      </w:r>
    </w:p>
  </w:footnote>
  <w:footnote w:id="6">
    <w:p w14:paraId="2A7DD6C1" w14:textId="77777777" w:rsidR="00CE3E19" w:rsidRPr="00044F4A" w:rsidRDefault="00CE3E19" w:rsidP="003C4131">
      <w:pPr>
        <w:pStyle w:val="FootnoteText"/>
        <w:spacing w:after="0"/>
        <w:rPr>
          <w:rFonts w:ascii="Calibri" w:hAnsi="Calibri" w:cs="Calibri"/>
          <w:color w:val="FF0000"/>
          <w:sz w:val="16"/>
          <w:szCs w:val="16"/>
          <w:lang w:val="en-AU"/>
        </w:rPr>
      </w:pPr>
      <w:r w:rsidRPr="00044F4A">
        <w:rPr>
          <w:rStyle w:val="FootnoteReference"/>
          <w:rFonts w:ascii="Calibri" w:hAnsi="Calibri" w:cs="Calibri"/>
          <w:sz w:val="16"/>
          <w:szCs w:val="16"/>
        </w:rPr>
        <w:footnoteRef/>
      </w:r>
      <w:r w:rsidRPr="00044F4A">
        <w:rPr>
          <w:rFonts w:ascii="Calibri" w:hAnsi="Calibri" w:cs="Calibri"/>
          <w:sz w:val="16"/>
          <w:szCs w:val="16"/>
        </w:rPr>
        <w:t xml:space="preserve"> The AEDC is held every three years, with the 2018 AEDC data collection being the fourth collection. The 2021 collection will be reported in the 2021–22 DET Annual Report.</w:t>
      </w:r>
    </w:p>
  </w:footnote>
  <w:footnote w:id="7">
    <w:p w14:paraId="38A48381" w14:textId="77777777" w:rsidR="00CE3E19" w:rsidRPr="00044F4A" w:rsidRDefault="00CE3E19" w:rsidP="003C4131">
      <w:pPr>
        <w:pStyle w:val="FootnoteText"/>
        <w:spacing w:after="0"/>
        <w:rPr>
          <w:rFonts w:ascii="Calibri" w:hAnsi="Calibri" w:cs="Calibri"/>
          <w:sz w:val="16"/>
          <w:szCs w:val="16"/>
        </w:rPr>
      </w:pPr>
      <w:r w:rsidRPr="00044F4A">
        <w:rPr>
          <w:rFonts w:ascii="Calibri" w:hAnsi="Calibri" w:cs="Calibri"/>
          <w:sz w:val="16"/>
          <w:szCs w:val="16"/>
          <w:vertAlign w:val="superscript"/>
        </w:rPr>
        <w:footnoteRef/>
      </w:r>
      <w:r w:rsidRPr="00044F4A">
        <w:rPr>
          <w:rFonts w:ascii="Calibri" w:hAnsi="Calibri" w:cs="Calibri"/>
          <w:sz w:val="16"/>
          <w:szCs w:val="16"/>
          <w:vertAlign w:val="superscript"/>
        </w:rPr>
        <w:t xml:space="preserve"> </w:t>
      </w:r>
      <w:r w:rsidRPr="00044F4A">
        <w:rPr>
          <w:rFonts w:ascii="Calibri" w:hAnsi="Calibri" w:cs="Calibri"/>
          <w:sz w:val="16"/>
          <w:szCs w:val="16"/>
        </w:rPr>
        <w:t>Victorian government and non-government schools.</w:t>
      </w:r>
    </w:p>
  </w:footnote>
  <w:footnote w:id="8">
    <w:p w14:paraId="1A55BA17" w14:textId="1E45534E" w:rsidR="00CE3E19" w:rsidRPr="00044F4A" w:rsidRDefault="00CE3E19" w:rsidP="003C4131">
      <w:pPr>
        <w:pStyle w:val="FootnoteText"/>
        <w:rPr>
          <w:rFonts w:ascii="Calibri" w:hAnsi="Calibri" w:cs="Calibri"/>
          <w:sz w:val="16"/>
          <w:szCs w:val="16"/>
          <w:lang w:val="en-AU"/>
        </w:rPr>
      </w:pPr>
      <w:r w:rsidRPr="00044F4A">
        <w:rPr>
          <w:rStyle w:val="FootnoteReference"/>
          <w:rFonts w:ascii="Calibri" w:hAnsi="Calibri" w:cs="Calibri"/>
          <w:sz w:val="16"/>
          <w:szCs w:val="16"/>
        </w:rPr>
        <w:footnoteRef/>
      </w:r>
      <w:r w:rsidRPr="00044F4A">
        <w:rPr>
          <w:rFonts w:ascii="Calibri" w:hAnsi="Calibri" w:cs="Calibri"/>
          <w:sz w:val="16"/>
          <w:szCs w:val="16"/>
        </w:rPr>
        <w:t xml:space="preserve"> The 2020 NAPLAN assessment was cancelled in March 2020</w:t>
      </w:r>
      <w:r w:rsidR="00044F4A" w:rsidRPr="00044F4A">
        <w:rPr>
          <w:rFonts w:ascii="Calibri" w:hAnsi="Calibri" w:cs="Calibri"/>
          <w:sz w:val="16"/>
          <w:szCs w:val="16"/>
        </w:rPr>
        <w:t>—</w:t>
      </w:r>
      <w:r w:rsidRPr="00044F4A">
        <w:rPr>
          <w:rFonts w:ascii="Calibri" w:hAnsi="Calibri" w:cs="Calibri"/>
          <w:sz w:val="16"/>
          <w:szCs w:val="16"/>
        </w:rPr>
        <w:t>therefore results cannot be reported.</w:t>
      </w:r>
    </w:p>
  </w:footnote>
  <w:footnote w:id="9">
    <w:p w14:paraId="65D0D01B" w14:textId="77777777" w:rsidR="00CE3E19" w:rsidRPr="001744B9" w:rsidRDefault="00CE3E19" w:rsidP="003C4131">
      <w:pPr>
        <w:pStyle w:val="FootnoteText"/>
        <w:spacing w:after="0"/>
        <w:rPr>
          <w:rStyle w:val="FootnoteReference"/>
          <w:rFonts w:eastAsiaTheme="minorHAnsi" w:cstheme="minorBidi"/>
          <w:color w:val="000000" w:themeColor="text2"/>
          <w:sz w:val="22"/>
          <w:szCs w:val="24"/>
          <w:vertAlign w:val="baseline"/>
          <w:lang w:val="en-GB"/>
        </w:rPr>
      </w:pPr>
      <w:r w:rsidRPr="00044F4A">
        <w:rPr>
          <w:rStyle w:val="FootnoteReference"/>
          <w:rFonts w:ascii="Calibri" w:hAnsi="Calibri" w:cs="Calibri"/>
          <w:color w:val="000000" w:themeColor="text2"/>
          <w:sz w:val="16"/>
          <w:szCs w:val="16"/>
        </w:rPr>
        <w:footnoteRef/>
      </w:r>
      <w:bookmarkStart w:id="134" w:name="_Hlk75954779"/>
      <w:r w:rsidRPr="00044F4A">
        <w:rPr>
          <w:rStyle w:val="FootnoteReference"/>
          <w:rFonts w:ascii="Calibri" w:hAnsi="Calibri" w:cs="Calibri"/>
          <w:color w:val="000000" w:themeColor="text2"/>
          <w:sz w:val="16"/>
          <w:szCs w:val="16"/>
        </w:rPr>
        <w:t xml:space="preserve"> </w:t>
      </w:r>
      <w:r w:rsidRPr="00044F4A">
        <w:rPr>
          <w:rFonts w:ascii="Calibri" w:hAnsi="Calibri" w:cs="Calibri"/>
          <w:color w:val="000000" w:themeColor="text2"/>
          <w:sz w:val="16"/>
          <w:szCs w:val="16"/>
        </w:rPr>
        <w:t xml:space="preserve">Source: </w:t>
      </w:r>
      <w:r w:rsidRPr="00044F4A">
        <w:rPr>
          <w:rStyle w:val="FootnoteReference"/>
          <w:rFonts w:ascii="Calibri" w:hAnsi="Calibri" w:cs="Calibri"/>
          <w:i/>
          <w:color w:val="000000" w:themeColor="text2"/>
          <w:sz w:val="16"/>
          <w:szCs w:val="16"/>
          <w:vertAlign w:val="baseline"/>
        </w:rPr>
        <w:t>PIRLS</w:t>
      </w:r>
      <w:r w:rsidRPr="00044F4A">
        <w:rPr>
          <w:rFonts w:ascii="Calibri" w:hAnsi="Calibri" w:cs="Calibri"/>
          <w:color w:val="000000" w:themeColor="text2"/>
          <w:sz w:val="16"/>
          <w:szCs w:val="16"/>
        </w:rPr>
        <w:t>, 2016</w:t>
      </w:r>
      <w:r w:rsidRPr="00044F4A">
        <w:rPr>
          <w:rStyle w:val="FootnoteReference"/>
          <w:rFonts w:ascii="Calibri" w:hAnsi="Calibri" w:cs="Calibri"/>
          <w:color w:val="000000" w:themeColor="text2"/>
          <w:sz w:val="16"/>
          <w:szCs w:val="16"/>
          <w:vertAlign w:val="baseline"/>
        </w:rPr>
        <w:t>. Data collected every five years.</w:t>
      </w:r>
      <w:r w:rsidRPr="00044F4A">
        <w:rPr>
          <w:rFonts w:ascii="Calibri" w:hAnsi="Calibri" w:cs="Calibri"/>
          <w:color w:val="000000" w:themeColor="text2"/>
          <w:sz w:val="16"/>
          <w:szCs w:val="16"/>
        </w:rPr>
        <w:t xml:space="preserve"> The next assessment has been postponed to late 2021 (due to the impact of the COVID-19 pandemic on member countries) and will be reported in either the Department’s 2022–23 or 2023–24 Annual Report, contingent on international publication timelines.</w:t>
      </w:r>
      <w:bookmarkEnd w:id="134"/>
      <w:r w:rsidRPr="0090790B">
        <w:rPr>
          <w:color w:val="000000" w:themeColor="text2"/>
        </w:rPr>
        <w:t xml:space="preserve"> </w:t>
      </w:r>
    </w:p>
  </w:footnote>
  <w:footnote w:id="10">
    <w:p w14:paraId="16CC8E27" w14:textId="5033306E" w:rsidR="00CE3E19" w:rsidRPr="00044F4A" w:rsidRDefault="00CE3E19" w:rsidP="003C4131">
      <w:pPr>
        <w:pStyle w:val="FootnoteText"/>
        <w:rPr>
          <w:rFonts w:ascii="Calibri" w:hAnsi="Calibri" w:cs="Calibri"/>
          <w:color w:val="000000" w:themeColor="text2"/>
          <w:sz w:val="16"/>
          <w:szCs w:val="16"/>
        </w:rPr>
      </w:pPr>
      <w:bookmarkStart w:id="136" w:name="_Hlk46217236"/>
      <w:r w:rsidRPr="00044F4A">
        <w:rPr>
          <w:rStyle w:val="FootnoteReference"/>
          <w:rFonts w:ascii="Calibri" w:hAnsi="Calibri" w:cs="Calibri"/>
          <w:color w:val="000000" w:themeColor="text2"/>
          <w:sz w:val="16"/>
          <w:szCs w:val="16"/>
        </w:rPr>
        <w:footnoteRef/>
      </w:r>
      <w:r w:rsidRPr="00044F4A">
        <w:rPr>
          <w:rFonts w:ascii="Calibri" w:hAnsi="Calibri" w:cs="Calibri"/>
          <w:color w:val="000000" w:themeColor="text2"/>
          <w:sz w:val="16"/>
          <w:szCs w:val="16"/>
        </w:rPr>
        <w:t xml:space="preserve"> </w:t>
      </w:r>
      <w:bookmarkEnd w:id="136"/>
      <w:r w:rsidR="00A0786B" w:rsidRPr="00044F4A">
        <w:rPr>
          <w:rFonts w:ascii="Calibri" w:hAnsi="Calibri" w:cs="Calibri"/>
          <w:color w:val="000000" w:themeColor="text2"/>
          <w:sz w:val="16"/>
          <w:szCs w:val="16"/>
          <w:lang w:val="en-AU"/>
        </w:rPr>
        <w:t xml:space="preserve">Source: S. Thomson, N. Wernert, S. Rodrigues, &amp; E. O’Grady, 2020, </w:t>
      </w:r>
      <w:r w:rsidR="00A0786B" w:rsidRPr="00044F4A">
        <w:rPr>
          <w:rFonts w:ascii="Calibri" w:hAnsi="Calibri" w:cs="Calibri"/>
          <w:i/>
          <w:color w:val="000000" w:themeColor="text2"/>
          <w:sz w:val="16"/>
          <w:szCs w:val="16"/>
          <w:lang w:val="en-AU"/>
        </w:rPr>
        <w:t>TIMSS 2019 Australia. Volume I: Student performance</w:t>
      </w:r>
      <w:r w:rsidR="00A0786B" w:rsidRPr="00044F4A">
        <w:rPr>
          <w:rFonts w:ascii="Calibri" w:hAnsi="Calibri" w:cs="Calibri"/>
          <w:color w:val="000000" w:themeColor="text2"/>
          <w:sz w:val="16"/>
          <w:szCs w:val="16"/>
          <w:lang w:val="en-AU"/>
        </w:rPr>
        <w:t>, Australian Council for Educational Research. TIMSS data is collected every four years. The intermediate international benchmark is considered the Australian National Proficient Standard. The next assessment is scheduled to be undertaken in 2023. Results will be published in the Department’s 2024–25 Annual Report, contingent on international publication deadlines.</w:t>
      </w:r>
    </w:p>
  </w:footnote>
  <w:footnote w:id="11">
    <w:p w14:paraId="407628B0" w14:textId="583D1626" w:rsidR="00CE3E19" w:rsidRPr="00044F4A" w:rsidRDefault="00CE3E19" w:rsidP="003C4131">
      <w:pPr>
        <w:pStyle w:val="FootnoteText"/>
        <w:rPr>
          <w:rFonts w:ascii="Calibri" w:hAnsi="Calibri" w:cs="Calibri"/>
          <w:sz w:val="16"/>
          <w:szCs w:val="16"/>
        </w:rPr>
      </w:pPr>
      <w:r w:rsidRPr="00044F4A">
        <w:rPr>
          <w:rStyle w:val="FootnoteReference"/>
          <w:rFonts w:ascii="Calibri" w:hAnsi="Calibri" w:cs="Calibri"/>
          <w:sz w:val="16"/>
          <w:szCs w:val="16"/>
        </w:rPr>
        <w:footnoteRef/>
      </w:r>
      <w:r w:rsidRPr="00044F4A">
        <w:rPr>
          <w:rFonts w:ascii="Calibri" w:hAnsi="Calibri" w:cs="Calibri"/>
          <w:sz w:val="16"/>
          <w:szCs w:val="16"/>
        </w:rPr>
        <w:t xml:space="preserve"> </w:t>
      </w:r>
      <w:bookmarkStart w:id="138" w:name="_Hlk75954729"/>
      <w:r w:rsidR="004F2ACE" w:rsidRPr="00044F4A">
        <w:rPr>
          <w:rFonts w:ascii="Calibri" w:hAnsi="Calibri" w:cs="Calibri"/>
          <w:sz w:val="16"/>
          <w:szCs w:val="16"/>
        </w:rPr>
        <w:t xml:space="preserve">PISA data is collected every three years. In Australia, the national agreed baseline, in the Measurement Framework for Schooling in Australia (May 2015), is at or above the National Proficient Standard (Level 3). </w:t>
      </w:r>
      <w:bookmarkEnd w:id="138"/>
      <w:r w:rsidR="004F2ACE" w:rsidRPr="00044F4A">
        <w:rPr>
          <w:rFonts w:ascii="Calibri" w:hAnsi="Calibri" w:cs="Calibri"/>
          <w:sz w:val="16"/>
          <w:szCs w:val="16"/>
        </w:rPr>
        <w:t>The next PISA assessment has been postponed to 2022 (due to the impact of the COVID-19 pandemic on member countries) and will be reported in either the Department’s 2022–23 or 2023–24 Annual Report, contingent on international publication timelines.</w:t>
      </w:r>
    </w:p>
  </w:footnote>
  <w:footnote w:id="12">
    <w:p w14:paraId="1003BC76" w14:textId="77777777" w:rsidR="00CE3E19" w:rsidRPr="00044F4A" w:rsidRDefault="00CE3E19" w:rsidP="003C4131">
      <w:pPr>
        <w:pStyle w:val="FootnoteText"/>
        <w:rPr>
          <w:rFonts w:ascii="Calibri" w:hAnsi="Calibri" w:cs="Calibri"/>
          <w:color w:val="FF0000"/>
          <w:sz w:val="16"/>
          <w:szCs w:val="16"/>
        </w:rPr>
      </w:pPr>
      <w:r w:rsidRPr="00044F4A">
        <w:rPr>
          <w:rStyle w:val="FootnoteReference"/>
          <w:rFonts w:ascii="Calibri" w:hAnsi="Calibri" w:cs="Calibri"/>
          <w:sz w:val="16"/>
          <w:szCs w:val="16"/>
        </w:rPr>
        <w:footnoteRef/>
      </w:r>
      <w:r w:rsidRPr="00044F4A">
        <w:rPr>
          <w:rStyle w:val="FootnoteReference"/>
          <w:rFonts w:ascii="Calibri" w:hAnsi="Calibri" w:cs="Calibri"/>
          <w:sz w:val="16"/>
          <w:szCs w:val="16"/>
        </w:rPr>
        <w:t xml:space="preserve"> </w:t>
      </w:r>
      <w:r w:rsidRPr="00044F4A">
        <w:rPr>
          <w:rStyle w:val="FootnoteReference"/>
          <w:rFonts w:ascii="Calibri" w:hAnsi="Calibri" w:cs="Calibri"/>
          <w:sz w:val="16"/>
          <w:szCs w:val="16"/>
          <w:vertAlign w:val="baseline"/>
        </w:rPr>
        <w:t>Top performing PISA jurisdictions are defined as the top 25 per</w:t>
      </w:r>
      <w:r w:rsidRPr="00044F4A">
        <w:rPr>
          <w:rFonts w:ascii="Calibri" w:hAnsi="Calibri" w:cs="Calibri"/>
          <w:sz w:val="16"/>
          <w:szCs w:val="16"/>
        </w:rPr>
        <w:t xml:space="preserve"> </w:t>
      </w:r>
      <w:r w:rsidRPr="00044F4A">
        <w:rPr>
          <w:rStyle w:val="FootnoteReference"/>
          <w:rFonts w:ascii="Calibri" w:hAnsi="Calibri" w:cs="Calibri"/>
          <w:sz w:val="16"/>
          <w:szCs w:val="16"/>
          <w:vertAlign w:val="baseline"/>
        </w:rPr>
        <w:t>cent of jurisdictions (both countries and economic areas)</w:t>
      </w:r>
      <w:r w:rsidRPr="00044F4A">
        <w:rPr>
          <w:rFonts w:ascii="Calibri" w:hAnsi="Calibri" w:cs="Calibri"/>
          <w:sz w:val="16"/>
          <w:szCs w:val="16"/>
        </w:rPr>
        <w:t xml:space="preserve"> </w:t>
      </w:r>
      <w:r w:rsidRPr="00044F4A">
        <w:rPr>
          <w:rStyle w:val="FootnoteReference"/>
          <w:rFonts w:ascii="Calibri" w:hAnsi="Calibri" w:cs="Calibri"/>
          <w:sz w:val="16"/>
          <w:szCs w:val="16"/>
          <w:vertAlign w:val="baseline"/>
        </w:rPr>
        <w:t>undertaking the PISA test in that cycle</w:t>
      </w:r>
      <w:r w:rsidRPr="00044F4A">
        <w:rPr>
          <w:rFonts w:ascii="Calibri" w:hAnsi="Calibri" w:cs="Calibri"/>
          <w:sz w:val="16"/>
          <w:szCs w:val="16"/>
        </w:rPr>
        <w:t xml:space="preserve"> based on their</w:t>
      </w:r>
      <w:r w:rsidRPr="00044F4A">
        <w:rPr>
          <w:rStyle w:val="FootnoteReference"/>
          <w:rFonts w:ascii="Calibri" w:hAnsi="Calibri" w:cs="Calibri"/>
          <w:sz w:val="16"/>
          <w:szCs w:val="16"/>
          <w:vertAlign w:val="baseline"/>
        </w:rPr>
        <w:t xml:space="preserve"> mean score. Country/economic area rankings may shift over time</w:t>
      </w:r>
      <w:r w:rsidRPr="00044F4A">
        <w:rPr>
          <w:rFonts w:ascii="Calibri" w:hAnsi="Calibri" w:cs="Calibri"/>
          <w:sz w:val="16"/>
          <w:szCs w:val="16"/>
        </w:rPr>
        <w:t>.</w:t>
      </w:r>
    </w:p>
  </w:footnote>
  <w:footnote w:id="13">
    <w:p w14:paraId="7A61AA25" w14:textId="04AB605A" w:rsidR="00CE3E19" w:rsidRPr="00F50F48" w:rsidRDefault="00CE3E19" w:rsidP="003C4131">
      <w:pPr>
        <w:pStyle w:val="FootnoteText"/>
        <w:rPr>
          <w:rFonts w:ascii="Calibri" w:hAnsi="Calibri" w:cs="Calibri"/>
        </w:rPr>
      </w:pPr>
      <w:r w:rsidRPr="00044F4A">
        <w:rPr>
          <w:rFonts w:ascii="Calibri" w:hAnsi="Calibri" w:cs="Calibri"/>
          <w:sz w:val="16"/>
          <w:szCs w:val="16"/>
          <w:vertAlign w:val="superscript"/>
        </w:rPr>
        <w:footnoteRef/>
      </w:r>
      <w:r w:rsidRPr="00044F4A">
        <w:rPr>
          <w:rFonts w:ascii="Calibri" w:hAnsi="Calibri" w:cs="Calibri"/>
          <w:sz w:val="16"/>
          <w:szCs w:val="16"/>
          <w:vertAlign w:val="superscript"/>
        </w:rPr>
        <w:t xml:space="preserve"> </w:t>
      </w:r>
      <w:r w:rsidRPr="00044F4A">
        <w:rPr>
          <w:rFonts w:ascii="Calibri" w:hAnsi="Calibri" w:cs="Calibri"/>
          <w:sz w:val="16"/>
          <w:szCs w:val="16"/>
        </w:rPr>
        <w:t xml:space="preserve">Source: Australian Bureau of Statistics (ABS) Survey of Education and Work (cat.no. 6227.0). These are survey estimates and subject to statistical error. Outcomes reported for 2014–17 are consistent with previous Annual Reports but differ slightly from those reported in the May 2018 ABS publication, as ABS revises this time series for various reasons, as described at </w:t>
      </w:r>
      <w:hyperlink r:id="rId1" w:history="1">
        <w:r w:rsidRPr="00044F4A">
          <w:rPr>
            <w:rStyle w:val="Hyperlink"/>
            <w:rFonts w:ascii="Calibri" w:hAnsi="Calibri" w:cs="Calibri"/>
            <w:color w:val="0070C0"/>
            <w:sz w:val="16"/>
            <w:szCs w:val="16"/>
          </w:rPr>
          <w:t>https://www.abs.gov.au/AUSSTATS/abs@.nsf/Lookup/6227.0Explanatory%20Notes1May%202018?OpenDocument</w:t>
        </w:r>
      </w:hyperlink>
      <w:r w:rsidRPr="00044F4A">
        <w:rPr>
          <w:rFonts w:ascii="Calibri" w:hAnsi="Calibri" w:cs="Calibri"/>
          <w:sz w:val="16"/>
          <w:szCs w:val="16"/>
        </w:rPr>
        <w:t>.</w:t>
      </w:r>
    </w:p>
  </w:footnote>
  <w:footnote w:id="14">
    <w:p w14:paraId="0FC93EE3" w14:textId="0689AC45" w:rsidR="00CE3E19" w:rsidRPr="00044F4A" w:rsidRDefault="00CE3E19" w:rsidP="003C4131">
      <w:pPr>
        <w:pStyle w:val="FootnoteText"/>
        <w:spacing w:after="0"/>
        <w:rPr>
          <w:rFonts w:ascii="Calibri" w:hAnsi="Calibri" w:cs="Calibri"/>
          <w:color w:val="FF0000"/>
          <w:sz w:val="16"/>
          <w:szCs w:val="16"/>
        </w:rPr>
      </w:pPr>
      <w:r w:rsidRPr="00044F4A">
        <w:rPr>
          <w:rFonts w:ascii="Calibri" w:hAnsi="Calibri" w:cs="Calibri"/>
          <w:sz w:val="16"/>
          <w:szCs w:val="16"/>
          <w:vertAlign w:val="superscript"/>
        </w:rPr>
        <w:footnoteRef/>
      </w:r>
      <w:r w:rsidRPr="00044F4A">
        <w:rPr>
          <w:rFonts w:ascii="Calibri" w:hAnsi="Calibri" w:cs="Calibri"/>
          <w:sz w:val="16"/>
          <w:szCs w:val="16"/>
        </w:rPr>
        <w:t xml:space="preserve"> </w:t>
      </w:r>
      <w:bookmarkStart w:id="139" w:name="_Hlk74064976"/>
      <w:r w:rsidRPr="00044F4A">
        <w:rPr>
          <w:rFonts w:ascii="Calibri" w:hAnsi="Calibri" w:cs="Calibri"/>
          <w:sz w:val="16"/>
          <w:szCs w:val="16"/>
        </w:rPr>
        <w:t xml:space="preserve">Source: Internal departmental administrative data from the Skills Victoria Training System database. Data are not available for this measure prior to 2015. In addition, this measure should be interpreted with care because completion reported in any particular year relates to training </w:t>
      </w:r>
      <w:r w:rsidR="00067232" w:rsidRPr="00044F4A">
        <w:rPr>
          <w:rFonts w:ascii="Calibri" w:hAnsi="Calibri" w:cs="Calibri"/>
          <w:sz w:val="16"/>
          <w:szCs w:val="16"/>
        </w:rPr>
        <w:t>that</w:t>
      </w:r>
      <w:r w:rsidRPr="00044F4A">
        <w:rPr>
          <w:rFonts w:ascii="Calibri" w:hAnsi="Calibri" w:cs="Calibri"/>
          <w:sz w:val="16"/>
          <w:szCs w:val="16"/>
        </w:rPr>
        <w:t xml:space="preserve"> may have commenced either in that year or in previous years.</w:t>
      </w:r>
      <w:bookmarkEnd w:id="139"/>
    </w:p>
  </w:footnote>
  <w:footnote w:id="15">
    <w:p w14:paraId="367E3E3E" w14:textId="73598C9A" w:rsidR="00CE3E19" w:rsidRPr="00F50F48" w:rsidRDefault="00CE3E19" w:rsidP="003C4131">
      <w:pPr>
        <w:pStyle w:val="FootnoteText"/>
        <w:spacing w:after="0"/>
        <w:rPr>
          <w:rFonts w:ascii="Calibri" w:hAnsi="Calibri" w:cs="Calibri"/>
        </w:rPr>
      </w:pPr>
      <w:r w:rsidRPr="00044F4A">
        <w:rPr>
          <w:rStyle w:val="FootnoteReference"/>
          <w:rFonts w:ascii="Calibri" w:hAnsi="Calibri" w:cs="Calibri"/>
          <w:sz w:val="16"/>
          <w:szCs w:val="16"/>
        </w:rPr>
        <w:footnoteRef/>
      </w:r>
      <w:r w:rsidRPr="00044F4A">
        <w:rPr>
          <w:rFonts w:ascii="Calibri" w:hAnsi="Calibri" w:cs="Calibri"/>
          <w:sz w:val="16"/>
          <w:szCs w:val="16"/>
        </w:rPr>
        <w:t xml:space="preserve"> Source: Victorian Student Satisfaction Survey (multiple years). The survey is of students who completed or left training in the previous year. </w:t>
      </w:r>
      <w:r w:rsidR="00FA2FC9" w:rsidRPr="00FA2FC9">
        <w:rPr>
          <w:rFonts w:ascii="Calibri" w:hAnsi="Calibri" w:cs="Calibri"/>
          <w:sz w:val="16"/>
          <w:szCs w:val="16"/>
        </w:rPr>
        <w:t xml:space="preserve">Therefore, the 2019 result (latest available) in this table is of student training experiences in 2019, based on the 2020 Satisfaction Survey, which was reported as 2020–21 result in the 2021–22 State Budget Papers. The 2021 survey results of 2020 student experiences are not yet publicly available. </w:t>
      </w:r>
      <w:r w:rsidRPr="00044F4A">
        <w:rPr>
          <w:rFonts w:ascii="Calibri" w:hAnsi="Calibri" w:cs="Calibri"/>
          <w:sz w:val="16"/>
          <w:szCs w:val="16"/>
        </w:rPr>
        <w:t>All the above figures are as published in the Budget Papers. Due to two changes in the survey methodology, the results for this measure cannot be compared over time. In the 2018 Survey (of 2017 experiences), respondents were given an extra response option in one of the relevant questions. In the 2020 Survey (of 2019 experiences), a further change was made to the job-related benefits question to reduce complexity and confusion.</w:t>
      </w:r>
    </w:p>
  </w:footnote>
  <w:footnote w:id="16">
    <w:p w14:paraId="03004883" w14:textId="77777777" w:rsidR="00CE3E19" w:rsidRPr="00044F4A" w:rsidRDefault="00CE3E19" w:rsidP="003C4131">
      <w:pPr>
        <w:pStyle w:val="FootnoteText"/>
        <w:rPr>
          <w:rFonts w:ascii="Calibri" w:hAnsi="Calibri" w:cs="Calibri"/>
          <w:sz w:val="16"/>
          <w:szCs w:val="16"/>
        </w:rPr>
      </w:pPr>
      <w:r w:rsidRPr="00044F4A">
        <w:rPr>
          <w:rFonts w:ascii="Calibri" w:hAnsi="Calibri" w:cs="Calibri"/>
          <w:color w:val="000000" w:themeColor="text2"/>
          <w:sz w:val="16"/>
          <w:szCs w:val="16"/>
          <w:vertAlign w:val="superscript"/>
        </w:rPr>
        <w:footnoteRef/>
      </w:r>
      <w:r w:rsidRPr="00044F4A">
        <w:rPr>
          <w:rFonts w:ascii="Calibri" w:hAnsi="Calibri" w:cs="Calibri"/>
          <w:color w:val="000000" w:themeColor="text2"/>
          <w:sz w:val="16"/>
          <w:szCs w:val="16"/>
          <w:vertAlign w:val="superscript"/>
        </w:rPr>
        <w:t xml:space="preserve"> </w:t>
      </w:r>
      <w:r w:rsidRPr="00044F4A">
        <w:rPr>
          <w:rFonts w:ascii="Calibri" w:hAnsi="Calibri" w:cs="Calibri"/>
          <w:color w:val="000000" w:themeColor="text2"/>
          <w:sz w:val="16"/>
          <w:szCs w:val="16"/>
        </w:rPr>
        <w:t>In 2014, the methodology changed slightly due to an improvement in available data and methods of analysis. The method of identifying and excluding second year enrolments was improved and the participation rate is now based on a child count rather than an enrolment count. In 2016, an improved methodology was developed for estimating the kindergarten participation rate to more accurately reflect the actual age distribution of children enrolled in kindergarten and for alignment with school/kindergarten entry age.</w:t>
      </w:r>
    </w:p>
  </w:footnote>
  <w:footnote w:id="17">
    <w:p w14:paraId="3CEA6D2E" w14:textId="0ABA9321" w:rsidR="00CE3E19" w:rsidRDefault="00CE3E19" w:rsidP="003C4131">
      <w:pPr>
        <w:pStyle w:val="FootnoteText"/>
      </w:pPr>
      <w:r w:rsidRPr="00044F4A">
        <w:rPr>
          <w:rStyle w:val="FootnoteReference"/>
          <w:rFonts w:ascii="Calibri" w:hAnsi="Calibri" w:cs="Calibri"/>
          <w:sz w:val="16"/>
          <w:szCs w:val="16"/>
        </w:rPr>
        <w:footnoteRef/>
      </w:r>
      <w:r w:rsidRPr="00044F4A">
        <w:rPr>
          <w:rFonts w:ascii="Calibri" w:hAnsi="Calibri" w:cs="Calibri"/>
          <w:sz w:val="16"/>
          <w:szCs w:val="16"/>
        </w:rPr>
        <w:t xml:space="preserve"> The 2019 result has been updated from 96.6 to 97.4</w:t>
      </w:r>
      <w:r w:rsidR="00455FCD" w:rsidRPr="00044F4A">
        <w:rPr>
          <w:rFonts w:ascii="Calibri" w:hAnsi="Calibri" w:cs="Calibri"/>
          <w:sz w:val="16"/>
          <w:szCs w:val="16"/>
        </w:rPr>
        <w:t xml:space="preserve"> per cent</w:t>
      </w:r>
      <w:r w:rsidRPr="00044F4A">
        <w:rPr>
          <w:rFonts w:ascii="Calibri" w:hAnsi="Calibri" w:cs="Calibri"/>
          <w:sz w:val="16"/>
          <w:szCs w:val="16"/>
        </w:rPr>
        <w:t>.</w:t>
      </w:r>
    </w:p>
  </w:footnote>
  <w:footnote w:id="18">
    <w:p w14:paraId="086B6245" w14:textId="77777777" w:rsidR="00CE3E19" w:rsidRPr="00044F4A" w:rsidRDefault="00CE3E19" w:rsidP="003C4131">
      <w:pPr>
        <w:pStyle w:val="FootnoteText"/>
        <w:rPr>
          <w:rFonts w:ascii="Calibri" w:hAnsi="Calibri" w:cs="Calibri"/>
          <w:color w:val="FF0000"/>
          <w:sz w:val="16"/>
          <w:szCs w:val="16"/>
        </w:rPr>
      </w:pPr>
      <w:r w:rsidRPr="00044F4A">
        <w:rPr>
          <w:rFonts w:ascii="Calibri" w:hAnsi="Calibri" w:cs="Calibri"/>
          <w:sz w:val="16"/>
          <w:szCs w:val="16"/>
          <w:vertAlign w:val="superscript"/>
        </w:rPr>
        <w:footnoteRef/>
      </w:r>
      <w:r w:rsidRPr="00044F4A">
        <w:rPr>
          <w:rFonts w:ascii="Calibri" w:hAnsi="Calibri" w:cs="Calibri"/>
          <w:sz w:val="16"/>
          <w:szCs w:val="16"/>
          <w:vertAlign w:val="superscript"/>
        </w:rPr>
        <w:t xml:space="preserve"> </w:t>
      </w:r>
      <w:r w:rsidRPr="00044F4A">
        <w:rPr>
          <w:rFonts w:ascii="Calibri" w:hAnsi="Calibri" w:cs="Calibri"/>
          <w:sz w:val="16"/>
          <w:szCs w:val="16"/>
        </w:rPr>
        <w:t>Victorian government schools. Absence data extracted on 18 June 2021. Reported absences may change slightly if extracted at a later date.</w:t>
      </w:r>
    </w:p>
  </w:footnote>
  <w:footnote w:id="19">
    <w:p w14:paraId="1AA5B268" w14:textId="54F17206" w:rsidR="00CE3E19" w:rsidRPr="00044F4A" w:rsidRDefault="00CE3E19" w:rsidP="003C4131">
      <w:pPr>
        <w:pStyle w:val="FootnoteText"/>
        <w:rPr>
          <w:rFonts w:ascii="Calibri" w:hAnsi="Calibri" w:cs="Calibri"/>
          <w:sz w:val="16"/>
          <w:szCs w:val="16"/>
          <w:lang w:val="en-AU"/>
        </w:rPr>
      </w:pPr>
      <w:r w:rsidRPr="00044F4A">
        <w:rPr>
          <w:rStyle w:val="FootnoteReference"/>
          <w:rFonts w:ascii="Calibri" w:hAnsi="Calibri" w:cs="Calibri"/>
          <w:sz w:val="16"/>
          <w:szCs w:val="16"/>
        </w:rPr>
        <w:footnoteRef/>
      </w:r>
      <w:r w:rsidRPr="00044F4A">
        <w:rPr>
          <w:rFonts w:ascii="Calibri" w:hAnsi="Calibri" w:cs="Calibri"/>
          <w:sz w:val="16"/>
          <w:szCs w:val="16"/>
        </w:rPr>
        <w:t xml:space="preserve"> </w:t>
      </w:r>
      <w:r w:rsidRPr="00044F4A">
        <w:rPr>
          <w:rFonts w:ascii="Calibri" w:hAnsi="Calibri" w:cs="Calibri"/>
          <w:sz w:val="16"/>
          <w:szCs w:val="16"/>
          <w:lang w:val="en-AU"/>
        </w:rPr>
        <w:t xml:space="preserve">Following a change to the 2017 survey instrument, this measure has been revised to align with the new reporting methodology used in other public reporting such as government </w:t>
      </w:r>
      <w:r w:rsidR="00EE29DE" w:rsidRPr="00044F4A">
        <w:rPr>
          <w:rFonts w:ascii="Calibri" w:hAnsi="Calibri" w:cs="Calibri"/>
          <w:sz w:val="16"/>
          <w:szCs w:val="16"/>
          <w:lang w:val="en-AU"/>
        </w:rPr>
        <w:t>s</w:t>
      </w:r>
      <w:r w:rsidRPr="00044F4A">
        <w:rPr>
          <w:rFonts w:ascii="Calibri" w:hAnsi="Calibri" w:cs="Calibri"/>
          <w:sz w:val="16"/>
          <w:szCs w:val="16"/>
          <w:lang w:val="en-AU"/>
        </w:rPr>
        <w:t xml:space="preserve">chool Annual Reports. Four years of time series using the new methodology have been provided to aid comparison. </w:t>
      </w:r>
    </w:p>
  </w:footnote>
  <w:footnote w:id="20">
    <w:p w14:paraId="61BA023E" w14:textId="4DB040B9" w:rsidR="00CE3E19" w:rsidRPr="00044F4A" w:rsidRDefault="00CE3E19" w:rsidP="003C4131">
      <w:pPr>
        <w:pStyle w:val="FootnoteText"/>
        <w:rPr>
          <w:rFonts w:ascii="Calibri" w:hAnsi="Calibri" w:cs="Calibri"/>
          <w:sz w:val="16"/>
          <w:szCs w:val="16"/>
          <w:lang w:val="en-AU"/>
        </w:rPr>
      </w:pPr>
      <w:r w:rsidRPr="00044F4A">
        <w:rPr>
          <w:rStyle w:val="FootnoteReference"/>
          <w:rFonts w:ascii="Calibri" w:hAnsi="Calibri" w:cs="Calibri"/>
          <w:sz w:val="16"/>
          <w:szCs w:val="16"/>
        </w:rPr>
        <w:footnoteRef/>
      </w:r>
      <w:r w:rsidRPr="00044F4A">
        <w:rPr>
          <w:rFonts w:ascii="Calibri" w:hAnsi="Calibri" w:cs="Calibri"/>
          <w:sz w:val="16"/>
          <w:szCs w:val="16"/>
        </w:rPr>
        <w:t xml:space="preserve"> </w:t>
      </w:r>
      <w:r w:rsidRPr="00044F4A">
        <w:rPr>
          <w:rFonts w:ascii="Calibri" w:hAnsi="Calibri" w:cs="Calibri"/>
          <w:sz w:val="16"/>
          <w:szCs w:val="16"/>
          <w:lang w:val="en-AU"/>
        </w:rPr>
        <w:t>From 2017, the Attitude to School Survey was extended to Year 4 students. This measure has been updated to include Year</w:t>
      </w:r>
      <w:r w:rsidR="00EE29DE" w:rsidRPr="00044F4A">
        <w:rPr>
          <w:rFonts w:ascii="Calibri" w:hAnsi="Calibri" w:cs="Calibri"/>
          <w:sz w:val="16"/>
          <w:szCs w:val="16"/>
          <w:lang w:val="en-AU"/>
        </w:rPr>
        <w:t>s</w:t>
      </w:r>
      <w:r w:rsidRPr="00044F4A">
        <w:rPr>
          <w:rFonts w:ascii="Calibri" w:hAnsi="Calibri" w:cs="Calibri"/>
          <w:sz w:val="16"/>
          <w:szCs w:val="16"/>
          <w:lang w:val="en-AU"/>
        </w:rPr>
        <w:t xml:space="preserve"> 4 to 6 instead of Year 5 to 6 as reported prior to 2017. </w:t>
      </w:r>
    </w:p>
  </w:footnote>
  <w:footnote w:id="21">
    <w:p w14:paraId="37F4E2C9" w14:textId="77777777" w:rsidR="00CE3E19" w:rsidRPr="006016B9" w:rsidRDefault="00CE3E19" w:rsidP="003C4131">
      <w:pPr>
        <w:pStyle w:val="FootnoteText"/>
      </w:pPr>
      <w:r w:rsidRPr="00044F4A">
        <w:rPr>
          <w:rFonts w:ascii="Calibri" w:hAnsi="Calibri" w:cs="Calibri"/>
          <w:sz w:val="16"/>
          <w:szCs w:val="16"/>
          <w:vertAlign w:val="superscript"/>
        </w:rPr>
        <w:footnoteRef/>
      </w:r>
      <w:r w:rsidRPr="00044F4A">
        <w:rPr>
          <w:rFonts w:ascii="Calibri" w:hAnsi="Calibri" w:cs="Calibri"/>
          <w:sz w:val="16"/>
          <w:szCs w:val="16"/>
          <w:vertAlign w:val="superscript"/>
        </w:rPr>
        <w:t xml:space="preserve"> </w:t>
      </w:r>
      <w:r w:rsidRPr="00044F4A">
        <w:rPr>
          <w:rFonts w:ascii="Calibri" w:hAnsi="Calibri" w:cs="Calibri"/>
          <w:sz w:val="16"/>
          <w:szCs w:val="16"/>
        </w:rPr>
        <w:t>Source: Internal departmental administrative data from the SVTS database. Measure is not directly related to engagement and will be discontinued next year.</w:t>
      </w:r>
    </w:p>
  </w:footnote>
  <w:footnote w:id="22">
    <w:p w14:paraId="680F8AA4" w14:textId="4D58E9FC" w:rsidR="00CE3E19" w:rsidRPr="00292076" w:rsidRDefault="00CE3E19" w:rsidP="003C4131">
      <w:pPr>
        <w:pStyle w:val="FootnoteText"/>
        <w:rPr>
          <w:rFonts w:ascii="Calibri" w:hAnsi="Calibri" w:cs="Calibri"/>
          <w:sz w:val="16"/>
          <w:szCs w:val="16"/>
        </w:rPr>
      </w:pPr>
      <w:r w:rsidRPr="00292076">
        <w:rPr>
          <w:rStyle w:val="FootnoteReference"/>
          <w:rFonts w:ascii="Calibri" w:hAnsi="Calibri" w:cs="Calibri"/>
          <w:sz w:val="16"/>
          <w:szCs w:val="16"/>
        </w:rPr>
        <w:footnoteRef/>
      </w:r>
      <w:r w:rsidRPr="00292076">
        <w:rPr>
          <w:rFonts w:ascii="Calibri" w:hAnsi="Calibri" w:cs="Calibri"/>
          <w:sz w:val="16"/>
          <w:szCs w:val="16"/>
        </w:rPr>
        <w:t xml:space="preserve"> </w:t>
      </w:r>
      <w:r w:rsidR="00505B53" w:rsidRPr="00505B53">
        <w:rPr>
          <w:rFonts w:ascii="Calibri" w:hAnsi="Calibri" w:cs="Calibri"/>
          <w:sz w:val="16"/>
          <w:szCs w:val="16"/>
        </w:rPr>
        <w:t>NCVER National Student Outcomes Survey data for training in 2020 were not publicly available at the time of publication.</w:t>
      </w:r>
    </w:p>
  </w:footnote>
  <w:footnote w:id="23">
    <w:p w14:paraId="38A8801E" w14:textId="0611940B" w:rsidR="00CE3E19" w:rsidRPr="00292076" w:rsidRDefault="00CE3E19" w:rsidP="00B02BF1">
      <w:pPr>
        <w:pStyle w:val="FootnoteText"/>
        <w:rPr>
          <w:rFonts w:ascii="Calibri" w:hAnsi="Calibri" w:cs="Calibri"/>
          <w:sz w:val="16"/>
          <w:szCs w:val="16"/>
        </w:rPr>
      </w:pPr>
      <w:r w:rsidRPr="00292076">
        <w:rPr>
          <w:rStyle w:val="FootnoteReference"/>
          <w:rFonts w:ascii="Calibri" w:hAnsi="Calibri" w:cs="Calibri"/>
          <w:sz w:val="16"/>
          <w:szCs w:val="16"/>
        </w:rPr>
        <w:footnoteRef/>
      </w:r>
      <w:r w:rsidRPr="00292076">
        <w:rPr>
          <w:rFonts w:ascii="Calibri" w:hAnsi="Calibri" w:cs="Calibri"/>
          <w:sz w:val="16"/>
          <w:szCs w:val="16"/>
        </w:rPr>
        <w:t xml:space="preserve"> In 2020, the number of health assessments conducted by school nurses was lower due to the impact of the COVID-19 pandemic restrictions on face-to-face service delivery. As a result, there may be a small variation in results compared to prior years.</w:t>
      </w:r>
    </w:p>
  </w:footnote>
  <w:footnote w:id="24">
    <w:p w14:paraId="3347D3A5" w14:textId="6B691E85" w:rsidR="00CE3E19" w:rsidRPr="00292076" w:rsidRDefault="00CE3E19" w:rsidP="00B02BF1">
      <w:pPr>
        <w:pStyle w:val="FootnoteText"/>
        <w:rPr>
          <w:rFonts w:ascii="Calibri" w:hAnsi="Calibri" w:cs="Calibri"/>
          <w:sz w:val="16"/>
          <w:szCs w:val="16"/>
        </w:rPr>
      </w:pPr>
      <w:r w:rsidRPr="00292076">
        <w:rPr>
          <w:rStyle w:val="FootnoteReference"/>
          <w:rFonts w:ascii="Calibri" w:hAnsi="Calibri" w:cs="Calibri"/>
          <w:sz w:val="16"/>
          <w:szCs w:val="16"/>
        </w:rPr>
        <w:footnoteRef/>
      </w:r>
      <w:r w:rsidRPr="00292076">
        <w:rPr>
          <w:rFonts w:ascii="Calibri" w:hAnsi="Calibri" w:cs="Calibri"/>
          <w:sz w:val="16"/>
          <w:szCs w:val="16"/>
        </w:rPr>
        <w:t xml:space="preserve"> This result published in the 2019–20 Annual Report was </w:t>
      </w:r>
      <w:r w:rsidRPr="00292076" w:rsidDel="008405D2">
        <w:rPr>
          <w:rFonts w:ascii="Calibri" w:hAnsi="Calibri" w:cs="Calibri"/>
          <w:sz w:val="16"/>
          <w:szCs w:val="16"/>
        </w:rPr>
        <w:t>incorrect</w:t>
      </w:r>
      <w:r w:rsidRPr="00292076">
        <w:rPr>
          <w:rFonts w:ascii="Calibri" w:hAnsi="Calibri" w:cs="Calibri"/>
          <w:sz w:val="16"/>
          <w:szCs w:val="16"/>
        </w:rPr>
        <w:t xml:space="preserve"> due to an error. This has now been corrected. </w:t>
      </w:r>
    </w:p>
  </w:footnote>
  <w:footnote w:id="25">
    <w:p w14:paraId="658F2520" w14:textId="77777777" w:rsidR="00CE3E19" w:rsidRPr="00292076" w:rsidRDefault="00CE3E19" w:rsidP="00B02BF1">
      <w:pPr>
        <w:pStyle w:val="FootnoteText"/>
        <w:rPr>
          <w:rFonts w:ascii="Calibri" w:hAnsi="Calibri" w:cs="Calibri"/>
          <w:sz w:val="16"/>
          <w:szCs w:val="16"/>
        </w:rPr>
      </w:pPr>
      <w:r w:rsidRPr="00292076">
        <w:rPr>
          <w:rFonts w:ascii="Calibri" w:hAnsi="Calibri" w:cs="Calibri"/>
          <w:sz w:val="16"/>
          <w:szCs w:val="16"/>
          <w:vertAlign w:val="superscript"/>
        </w:rPr>
        <w:footnoteRef/>
      </w:r>
      <w:r w:rsidRPr="00292076">
        <w:rPr>
          <w:rFonts w:ascii="Calibri" w:hAnsi="Calibri" w:cs="Calibri"/>
          <w:sz w:val="16"/>
          <w:szCs w:val="16"/>
          <w:vertAlign w:val="superscript"/>
        </w:rPr>
        <w:t xml:space="preserve"> </w:t>
      </w:r>
      <w:r w:rsidRPr="00292076">
        <w:rPr>
          <w:rStyle w:val="FootnoteTextChar"/>
          <w:rFonts w:ascii="Calibri" w:hAnsi="Calibri" w:cs="Calibri"/>
          <w:sz w:val="16"/>
          <w:szCs w:val="16"/>
        </w:rPr>
        <w:t xml:space="preserve">These school education measures relate to Victorian government schools </w:t>
      </w:r>
    </w:p>
  </w:footnote>
  <w:footnote w:id="26">
    <w:p w14:paraId="3F9021B4" w14:textId="191FFD5C" w:rsidR="00CE3E19" w:rsidRPr="005A3EAC" w:rsidRDefault="00CE3E19" w:rsidP="00B02BF1">
      <w:pPr>
        <w:pStyle w:val="FootnoteText"/>
        <w:rPr>
          <w:lang w:val="en-AU"/>
        </w:rPr>
      </w:pPr>
      <w:r w:rsidRPr="00292076">
        <w:rPr>
          <w:rStyle w:val="FootnoteReference"/>
          <w:rFonts w:ascii="Calibri" w:hAnsi="Calibri" w:cs="Calibri"/>
          <w:sz w:val="16"/>
          <w:szCs w:val="16"/>
        </w:rPr>
        <w:footnoteRef/>
      </w:r>
      <w:r w:rsidRPr="00292076">
        <w:rPr>
          <w:rFonts w:ascii="Calibri" w:hAnsi="Calibri" w:cs="Calibri"/>
          <w:sz w:val="16"/>
          <w:szCs w:val="16"/>
        </w:rPr>
        <w:t xml:space="preserve"> </w:t>
      </w:r>
      <w:r w:rsidRPr="00292076">
        <w:rPr>
          <w:rFonts w:ascii="Calibri" w:hAnsi="Calibri" w:cs="Calibri"/>
          <w:sz w:val="16"/>
          <w:szCs w:val="16"/>
          <w:lang w:val="en-AU"/>
        </w:rPr>
        <w:t>From 2017, the Attitude to School Survey introduced a new question related to bullying. This measure has been updated to include the new question and reporting methodology. Four years’ time series data is provided to aid comparison.</w:t>
      </w:r>
      <w:r w:rsidRPr="005A3EAC">
        <w:rPr>
          <w:lang w:val="en-AU"/>
        </w:rPr>
        <w:t xml:space="preserve"> </w:t>
      </w:r>
    </w:p>
  </w:footnote>
  <w:footnote w:id="27">
    <w:p w14:paraId="1769D182" w14:textId="3BC7D0B8" w:rsidR="00CE3E19" w:rsidRPr="00292076" w:rsidRDefault="00CE3E19" w:rsidP="00B02BF1">
      <w:pPr>
        <w:pStyle w:val="FootnoteText"/>
        <w:rPr>
          <w:rFonts w:ascii="Calibri" w:hAnsi="Calibri" w:cs="Calibri"/>
          <w:sz w:val="16"/>
          <w:szCs w:val="16"/>
          <w:lang w:val="en-AU"/>
        </w:rPr>
      </w:pPr>
      <w:r w:rsidRPr="00292076">
        <w:rPr>
          <w:rStyle w:val="FootnoteReference"/>
          <w:rFonts w:ascii="Calibri" w:hAnsi="Calibri" w:cs="Calibri"/>
          <w:sz w:val="16"/>
          <w:szCs w:val="16"/>
        </w:rPr>
        <w:footnoteRef/>
      </w:r>
      <w:r w:rsidRPr="00292076">
        <w:rPr>
          <w:rFonts w:ascii="Calibri" w:hAnsi="Calibri" w:cs="Calibri"/>
          <w:sz w:val="16"/>
          <w:szCs w:val="16"/>
        </w:rPr>
        <w:t xml:space="preserve"> As with other measures drawn from the Attitude to School Survey, </w:t>
      </w:r>
      <w:r w:rsidRPr="00292076">
        <w:rPr>
          <w:rFonts w:ascii="Calibri" w:hAnsi="Calibri" w:cs="Calibri"/>
          <w:sz w:val="16"/>
          <w:szCs w:val="16"/>
          <w:lang w:val="en-AU"/>
        </w:rPr>
        <w:t>this measure has been revised</w:t>
      </w:r>
      <w:r w:rsidR="000A31D0" w:rsidRPr="00292076">
        <w:rPr>
          <w:rFonts w:ascii="Calibri" w:hAnsi="Calibri" w:cs="Calibri"/>
          <w:sz w:val="16"/>
          <w:szCs w:val="16"/>
          <w:lang w:val="en-AU"/>
        </w:rPr>
        <w:t>,</w:t>
      </w:r>
      <w:r w:rsidRPr="00292076">
        <w:rPr>
          <w:rFonts w:ascii="Calibri" w:hAnsi="Calibri" w:cs="Calibri"/>
          <w:sz w:val="16"/>
          <w:szCs w:val="16"/>
          <w:lang w:val="en-AU"/>
        </w:rPr>
        <w:t xml:space="preserve"> reflecting reporting in government </w:t>
      </w:r>
      <w:r w:rsidR="000A31D0" w:rsidRPr="00292076">
        <w:rPr>
          <w:rFonts w:ascii="Calibri" w:hAnsi="Calibri" w:cs="Calibri"/>
          <w:sz w:val="16"/>
          <w:szCs w:val="16"/>
          <w:lang w:val="en-AU"/>
        </w:rPr>
        <w:t>s</w:t>
      </w:r>
      <w:r w:rsidRPr="00292076">
        <w:rPr>
          <w:rFonts w:ascii="Calibri" w:hAnsi="Calibri" w:cs="Calibri"/>
          <w:sz w:val="16"/>
          <w:szCs w:val="16"/>
          <w:lang w:val="en-AU"/>
        </w:rPr>
        <w:t xml:space="preserve">chool </w:t>
      </w:r>
      <w:r w:rsidR="000A31D0" w:rsidRPr="00292076">
        <w:rPr>
          <w:rFonts w:ascii="Calibri" w:hAnsi="Calibri" w:cs="Calibri"/>
          <w:sz w:val="16"/>
          <w:szCs w:val="16"/>
          <w:lang w:val="en-AU"/>
        </w:rPr>
        <w:t>a</w:t>
      </w:r>
      <w:r w:rsidRPr="00292076">
        <w:rPr>
          <w:rFonts w:ascii="Calibri" w:hAnsi="Calibri" w:cs="Calibri"/>
          <w:sz w:val="16"/>
          <w:szCs w:val="16"/>
          <w:lang w:val="en-AU"/>
        </w:rPr>
        <w:t xml:space="preserve">nnual </w:t>
      </w:r>
      <w:r w:rsidR="000A31D0" w:rsidRPr="00292076">
        <w:rPr>
          <w:rFonts w:ascii="Calibri" w:hAnsi="Calibri" w:cs="Calibri"/>
          <w:sz w:val="16"/>
          <w:szCs w:val="16"/>
          <w:lang w:val="en-AU"/>
        </w:rPr>
        <w:t>r</w:t>
      </w:r>
      <w:r w:rsidRPr="00292076">
        <w:rPr>
          <w:rFonts w:ascii="Calibri" w:hAnsi="Calibri" w:cs="Calibri"/>
          <w:sz w:val="16"/>
          <w:szCs w:val="16"/>
          <w:lang w:val="en-AU"/>
        </w:rPr>
        <w:t>eports. Four years’ time series data is provided to aid comparison.</w:t>
      </w:r>
    </w:p>
  </w:footnote>
  <w:footnote w:id="28">
    <w:p w14:paraId="519716E8" w14:textId="77777777" w:rsidR="00CE3E19" w:rsidRPr="00292076" w:rsidRDefault="00CE3E19" w:rsidP="00B02BF1">
      <w:pPr>
        <w:rPr>
          <w:rFonts w:ascii="Calibri" w:hAnsi="Calibri" w:cs="Calibri"/>
          <w:sz w:val="16"/>
          <w:szCs w:val="16"/>
        </w:rPr>
      </w:pPr>
      <w:r w:rsidRPr="00292076">
        <w:rPr>
          <w:rFonts w:ascii="Calibri" w:hAnsi="Calibri" w:cs="Calibri"/>
          <w:sz w:val="16"/>
          <w:szCs w:val="16"/>
          <w:vertAlign w:val="superscript"/>
        </w:rPr>
        <w:footnoteRef/>
      </w:r>
      <w:r w:rsidRPr="00292076">
        <w:rPr>
          <w:rFonts w:ascii="Calibri" w:hAnsi="Calibri" w:cs="Calibri"/>
          <w:sz w:val="16"/>
          <w:szCs w:val="16"/>
          <w:vertAlign w:val="superscript"/>
        </w:rPr>
        <w:t xml:space="preserve"> </w:t>
      </w:r>
      <w:r w:rsidRPr="00292076">
        <w:rPr>
          <w:rFonts w:ascii="Calibri" w:hAnsi="Calibri" w:cs="Calibri"/>
          <w:sz w:val="16"/>
          <w:szCs w:val="16"/>
        </w:rPr>
        <w:t>Source: National Centre for Vocational Education Research (NCVER)</w:t>
      </w:r>
      <w:r w:rsidRPr="00292076">
        <w:rPr>
          <w:rFonts w:ascii="Calibri" w:hAnsi="Calibri" w:cs="Calibri"/>
          <w:i/>
          <w:sz w:val="16"/>
          <w:szCs w:val="16"/>
        </w:rPr>
        <w:t xml:space="preserve"> National Student Outcomes Survey</w:t>
      </w:r>
      <w:r w:rsidRPr="00292076">
        <w:rPr>
          <w:rFonts w:ascii="Calibri" w:hAnsi="Calibri" w:cs="Calibri"/>
          <w:sz w:val="16"/>
          <w:szCs w:val="16"/>
        </w:rPr>
        <w:t>. Table 5A.14.</w:t>
      </w:r>
    </w:p>
  </w:footnote>
  <w:footnote w:id="29">
    <w:p w14:paraId="3A37F104" w14:textId="77777777" w:rsidR="00CE3E19" w:rsidRPr="005A3EAC" w:rsidRDefault="00CE3E19" w:rsidP="00697DA6">
      <w:pPr>
        <w:pStyle w:val="FootnoteText"/>
      </w:pPr>
      <w:r w:rsidRPr="00292076">
        <w:rPr>
          <w:rStyle w:val="FootnoteReference"/>
          <w:rFonts w:ascii="Calibri" w:hAnsi="Calibri" w:cs="Calibri"/>
          <w:sz w:val="16"/>
          <w:szCs w:val="16"/>
        </w:rPr>
        <w:footnoteRef/>
      </w:r>
      <w:r w:rsidRPr="00292076">
        <w:rPr>
          <w:rFonts w:ascii="Calibri" w:hAnsi="Calibri" w:cs="Calibri"/>
          <w:sz w:val="16"/>
          <w:szCs w:val="16"/>
        </w:rPr>
        <w:t xml:space="preserve"> Calculations drawn from the </w:t>
      </w:r>
      <w:r w:rsidRPr="00292076">
        <w:rPr>
          <w:rFonts w:ascii="Calibri" w:hAnsi="Calibri" w:cs="Calibri"/>
          <w:i/>
          <w:sz w:val="16"/>
          <w:szCs w:val="16"/>
        </w:rPr>
        <w:t>2021 RoGS</w:t>
      </w:r>
      <w:r w:rsidRPr="00292076">
        <w:rPr>
          <w:rFonts w:ascii="Calibri" w:hAnsi="Calibri" w:cs="Calibri"/>
          <w:sz w:val="16"/>
          <w:szCs w:val="16"/>
        </w:rPr>
        <w:t>, table 4A.14</w:t>
      </w:r>
    </w:p>
  </w:footnote>
  <w:footnote w:id="30">
    <w:p w14:paraId="0477B9CC" w14:textId="77777777" w:rsidR="00CE3E19" w:rsidRPr="008D5A76" w:rsidRDefault="00CE3E19" w:rsidP="006062A5">
      <w:pPr>
        <w:pStyle w:val="FootnoteText"/>
        <w:rPr>
          <w:rFonts w:ascii="Calibri" w:hAnsi="Calibri" w:cs="Calibri"/>
          <w:color w:val="000000" w:themeColor="text2"/>
          <w:sz w:val="16"/>
          <w:szCs w:val="16"/>
          <w:lang w:val="en-AU"/>
        </w:rPr>
      </w:pPr>
      <w:r w:rsidRPr="008D5A76">
        <w:rPr>
          <w:rStyle w:val="FootnoteReference"/>
          <w:rFonts w:ascii="Calibri" w:hAnsi="Calibri" w:cs="Calibri"/>
          <w:color w:val="000000" w:themeColor="text2"/>
          <w:sz w:val="16"/>
          <w:szCs w:val="16"/>
        </w:rPr>
        <w:footnoteRef/>
      </w:r>
      <w:r w:rsidRPr="008D5A76">
        <w:rPr>
          <w:rFonts w:ascii="Calibri" w:hAnsi="Calibri" w:cs="Calibri"/>
          <w:color w:val="000000" w:themeColor="text2"/>
          <w:sz w:val="16"/>
          <w:szCs w:val="16"/>
        </w:rPr>
        <w:t xml:space="preserve"> Government expenditure refers to Australian and Victorian government expenditure. Time series financial data are adjusted to 2018–19 dollars as reported in Table 4A.15. 2016 data relates to 2016–17, 2017 to 2017–18 and 2018 to 2018–19.</w:t>
      </w:r>
    </w:p>
  </w:footnote>
  <w:footnote w:id="31">
    <w:p w14:paraId="001F7725" w14:textId="725AF454" w:rsidR="00CE3E19" w:rsidRPr="008D5A76" w:rsidRDefault="00CE3E19" w:rsidP="006062A5">
      <w:pPr>
        <w:pStyle w:val="FootnoteText"/>
        <w:rPr>
          <w:rFonts w:ascii="Calibri" w:hAnsi="Calibri" w:cs="Calibri"/>
          <w:sz w:val="16"/>
          <w:szCs w:val="16"/>
        </w:rPr>
      </w:pPr>
      <w:r w:rsidRPr="008D5A76">
        <w:rPr>
          <w:rStyle w:val="FootnoteReference"/>
          <w:rFonts w:ascii="Calibri" w:hAnsi="Calibri" w:cs="Calibri"/>
          <w:color w:val="000000" w:themeColor="text2"/>
          <w:sz w:val="16"/>
          <w:szCs w:val="16"/>
        </w:rPr>
        <w:footnoteRef/>
      </w:r>
      <w:r w:rsidRPr="008D5A76">
        <w:rPr>
          <w:rFonts w:ascii="Calibri" w:hAnsi="Calibri" w:cs="Calibri"/>
          <w:color w:val="000000" w:themeColor="text2"/>
          <w:sz w:val="16"/>
          <w:szCs w:val="16"/>
        </w:rPr>
        <w:t xml:space="preserve"> The Productivity Commission’s </w:t>
      </w:r>
      <w:r w:rsidRPr="008D5A76">
        <w:rPr>
          <w:rFonts w:ascii="Calibri" w:hAnsi="Calibri" w:cs="Calibri"/>
          <w:i/>
          <w:color w:val="000000" w:themeColor="text2"/>
          <w:sz w:val="16"/>
          <w:szCs w:val="16"/>
        </w:rPr>
        <w:t>Report on Government Services</w:t>
      </w:r>
      <w:r w:rsidRPr="008D5A76">
        <w:rPr>
          <w:rFonts w:ascii="Calibri" w:hAnsi="Calibri" w:cs="Calibri"/>
          <w:color w:val="000000" w:themeColor="text2"/>
          <w:sz w:val="16"/>
          <w:szCs w:val="16"/>
        </w:rPr>
        <w:t xml:space="preserve"> is published </w:t>
      </w:r>
      <w:r w:rsidR="003A6F86" w:rsidRPr="008D5A76">
        <w:rPr>
          <w:rFonts w:ascii="Calibri" w:hAnsi="Calibri" w:cs="Calibri"/>
          <w:color w:val="000000" w:themeColor="text2"/>
          <w:sz w:val="16"/>
          <w:szCs w:val="16"/>
        </w:rPr>
        <w:t xml:space="preserve">in </w:t>
      </w:r>
      <w:r w:rsidRPr="008D5A76">
        <w:rPr>
          <w:rFonts w:ascii="Calibri" w:hAnsi="Calibri" w:cs="Calibri"/>
          <w:color w:val="000000" w:themeColor="text2"/>
          <w:sz w:val="16"/>
          <w:szCs w:val="16"/>
        </w:rPr>
        <w:t>early February each year. There is a time lag in reporting of financial data, with 2019–20 results to be released in 2022 and 2020–21 results in 2023.</w:t>
      </w:r>
    </w:p>
  </w:footnote>
  <w:footnote w:id="32">
    <w:p w14:paraId="522A641D" w14:textId="77777777" w:rsidR="00CE3E19" w:rsidRDefault="00CE3E19" w:rsidP="006062A5">
      <w:pPr>
        <w:pStyle w:val="FootnoteText"/>
      </w:pPr>
      <w:r w:rsidRPr="008D5A76">
        <w:rPr>
          <w:rStyle w:val="FootnoteReference"/>
          <w:rFonts w:ascii="Calibri" w:hAnsi="Calibri" w:cs="Calibri"/>
          <w:sz w:val="16"/>
          <w:szCs w:val="16"/>
        </w:rPr>
        <w:footnoteRef/>
      </w:r>
      <w:r w:rsidRPr="008D5A76">
        <w:rPr>
          <w:rFonts w:ascii="Calibri" w:hAnsi="Calibri" w:cs="Calibri"/>
          <w:sz w:val="16"/>
          <w:szCs w:val="16"/>
        </w:rPr>
        <w:t xml:space="preserve"> </w:t>
      </w:r>
      <w:r w:rsidRPr="008D5A76">
        <w:rPr>
          <w:rFonts w:ascii="Calibri" w:hAnsi="Calibri" w:cs="Calibri"/>
          <w:color w:val="000000" w:themeColor="text2"/>
          <w:sz w:val="16"/>
          <w:szCs w:val="16"/>
        </w:rPr>
        <w:t xml:space="preserve">The Productivity Commission’s </w:t>
      </w:r>
      <w:r w:rsidRPr="008D5A76">
        <w:rPr>
          <w:rFonts w:ascii="Calibri" w:hAnsi="Calibri" w:cs="Calibri"/>
          <w:i/>
          <w:color w:val="000000" w:themeColor="text2"/>
          <w:sz w:val="16"/>
          <w:szCs w:val="16"/>
        </w:rPr>
        <w:t>Report on Government Services</w:t>
      </w:r>
      <w:r w:rsidRPr="008D5A76">
        <w:rPr>
          <w:rFonts w:ascii="Calibri" w:hAnsi="Calibri" w:cs="Calibri"/>
          <w:sz w:val="16"/>
          <w:szCs w:val="16"/>
        </w:rPr>
        <w:t xml:space="preserve"> is published in early February each year. There is a time lag in reporting of financial data, with the 2020 results expected to be released in February 2022.</w:t>
      </w:r>
    </w:p>
  </w:footnote>
  <w:footnote w:id="33">
    <w:p w14:paraId="2D1C853A" w14:textId="0095A30C" w:rsidR="00CE3E19" w:rsidRDefault="00CE3E19">
      <w:pPr>
        <w:pStyle w:val="FootnoteText"/>
      </w:pPr>
      <w:r>
        <w:rPr>
          <w:rStyle w:val="FootnoteReference"/>
        </w:rPr>
        <w:footnoteRef/>
      </w:r>
      <w:r>
        <w:t xml:space="preserve"> Output appropriation is the main source of recurring funding from State Government.</w:t>
      </w:r>
    </w:p>
  </w:footnote>
  <w:footnote w:id="34">
    <w:p w14:paraId="64074FAC" w14:textId="77777777" w:rsidR="00CE3E19" w:rsidRPr="00F50F48" w:rsidRDefault="00CE3E19" w:rsidP="00F900AD">
      <w:pPr>
        <w:pStyle w:val="FootnoteText"/>
        <w:rPr>
          <w:rFonts w:ascii="Calibri" w:hAnsi="Calibri" w:cs="Calibri"/>
          <w:lang w:val="en-AU"/>
        </w:rPr>
      </w:pPr>
      <w:r w:rsidRPr="00F50F48">
        <w:rPr>
          <w:rStyle w:val="FootnoteReference"/>
          <w:rFonts w:ascii="Calibri" w:hAnsi="Calibri" w:cs="Calibri"/>
        </w:rPr>
        <w:footnoteRef/>
      </w:r>
      <w:r w:rsidRPr="00F50F48">
        <w:rPr>
          <w:rFonts w:ascii="Calibri" w:hAnsi="Calibri" w:cs="Calibri"/>
        </w:rPr>
        <w:t xml:space="preserve"> </w:t>
      </w:r>
      <w:r w:rsidRPr="00F50F48">
        <w:rPr>
          <w:rFonts w:ascii="Calibri" w:hAnsi="Calibri" w:cs="Calibri"/>
          <w:szCs w:val="15"/>
        </w:rPr>
        <w:t>The Department is unable to report on this indicator because RTW plans are developed locally and their data is not collected centrally. The Department will determine the processes required to report on this measure as part of the EWOP reforms.</w:t>
      </w:r>
    </w:p>
  </w:footnote>
  <w:footnote w:id="35">
    <w:p w14:paraId="078871F9" w14:textId="6C247854" w:rsidR="00CE3E19" w:rsidRPr="00B25C85" w:rsidRDefault="00CE3E19" w:rsidP="00F900AD">
      <w:pPr>
        <w:pStyle w:val="FootnoteText"/>
        <w:rPr>
          <w:rFonts w:ascii="Calibri" w:hAnsi="Calibri" w:cs="Calibri"/>
          <w:sz w:val="16"/>
          <w:szCs w:val="16"/>
          <w:lang w:val="en-AU"/>
        </w:rPr>
      </w:pPr>
      <w:r w:rsidRPr="00B25C85">
        <w:rPr>
          <w:rStyle w:val="FootnoteReference"/>
          <w:rFonts w:ascii="Calibri" w:hAnsi="Calibri" w:cs="Calibri"/>
          <w:sz w:val="16"/>
          <w:szCs w:val="16"/>
        </w:rPr>
        <w:footnoteRef/>
      </w:r>
      <w:r w:rsidRPr="00B25C85">
        <w:rPr>
          <w:rFonts w:ascii="Calibri" w:hAnsi="Calibri" w:cs="Calibri"/>
          <w:sz w:val="16"/>
          <w:szCs w:val="16"/>
        </w:rPr>
        <w:t xml:space="preserve"> School principals engage with OHS auditors </w:t>
      </w:r>
      <w:r w:rsidR="00B25C85">
        <w:rPr>
          <w:rFonts w:ascii="Calibri" w:hAnsi="Calibri" w:cs="Calibri"/>
          <w:sz w:val="16"/>
          <w:szCs w:val="16"/>
        </w:rPr>
        <w:t>to</w:t>
      </w:r>
      <w:r w:rsidRPr="00B25C85">
        <w:rPr>
          <w:rFonts w:ascii="Calibri" w:hAnsi="Calibri" w:cs="Calibri"/>
          <w:sz w:val="16"/>
          <w:szCs w:val="16"/>
        </w:rPr>
        <w:t xml:space="preserve"> lead corrective action. Currently, data is not collected centrally for the Department to report on this measure. The Department will consider how this measure will be reported.</w:t>
      </w:r>
    </w:p>
  </w:footnote>
  <w:footnote w:id="36">
    <w:p w14:paraId="188913EF" w14:textId="4E29201B" w:rsidR="00CE3E19" w:rsidRPr="00B25C85" w:rsidRDefault="00CE3E19" w:rsidP="00F900AD">
      <w:pPr>
        <w:pStyle w:val="FootnoteText"/>
        <w:rPr>
          <w:rFonts w:ascii="Calibri" w:hAnsi="Calibri" w:cs="Calibri"/>
          <w:sz w:val="16"/>
          <w:szCs w:val="16"/>
          <w:lang w:val="en-AU"/>
        </w:rPr>
      </w:pPr>
      <w:r w:rsidRPr="00B25C85">
        <w:rPr>
          <w:rStyle w:val="FootnoteReference"/>
          <w:rFonts w:ascii="Calibri" w:hAnsi="Calibri" w:cs="Calibri"/>
          <w:sz w:val="16"/>
          <w:szCs w:val="16"/>
        </w:rPr>
        <w:footnoteRef/>
      </w:r>
      <w:r w:rsidRPr="00B25C85">
        <w:rPr>
          <w:rFonts w:ascii="Calibri" w:hAnsi="Calibri" w:cs="Calibri"/>
          <w:sz w:val="16"/>
          <w:szCs w:val="16"/>
        </w:rPr>
        <w:t xml:space="preserve"> Senior management review</w:t>
      </w:r>
      <w:r w:rsidR="00B25C85">
        <w:rPr>
          <w:rFonts w:ascii="Calibri" w:hAnsi="Calibri" w:cs="Calibri"/>
          <w:sz w:val="16"/>
          <w:szCs w:val="16"/>
        </w:rPr>
        <w:t>s</w:t>
      </w:r>
      <w:r w:rsidRPr="00B25C85">
        <w:rPr>
          <w:rFonts w:ascii="Calibri" w:hAnsi="Calibri" w:cs="Calibri"/>
          <w:sz w:val="16"/>
          <w:szCs w:val="16"/>
        </w:rPr>
        <w:t xml:space="preserve"> the OHSMS, its performance and relevant development actions.</w:t>
      </w:r>
    </w:p>
  </w:footnote>
  <w:footnote w:id="37">
    <w:p w14:paraId="5DCE6D52" w14:textId="77777777" w:rsidR="00CE3E19" w:rsidRPr="00CF48E8" w:rsidRDefault="00CE3E19" w:rsidP="00F900AD">
      <w:pPr>
        <w:pStyle w:val="FootnoteText"/>
        <w:rPr>
          <w:lang w:val="en-AU"/>
        </w:rPr>
      </w:pPr>
      <w:r w:rsidRPr="00B25C85">
        <w:rPr>
          <w:rStyle w:val="FootnoteReference"/>
          <w:rFonts w:ascii="Calibri" w:hAnsi="Calibri" w:cs="Calibri"/>
          <w:sz w:val="16"/>
          <w:szCs w:val="16"/>
        </w:rPr>
        <w:footnoteRef/>
      </w:r>
      <w:r w:rsidRPr="00B25C85">
        <w:rPr>
          <w:rFonts w:ascii="Calibri" w:hAnsi="Calibri" w:cs="Calibri"/>
          <w:sz w:val="16"/>
          <w:szCs w:val="16"/>
        </w:rPr>
        <w:t xml:space="preserve"> Senior executives, executives, principals and management OHS nominees attend periodic OHS committees. Currently, the data needed to determine the percentage of participation is not centrally captured. The Department will consider how this indicator will be reported.</w:t>
      </w:r>
    </w:p>
  </w:footnote>
  <w:footnote w:id="38">
    <w:p w14:paraId="5344D727" w14:textId="77777777" w:rsidR="00CE3E19" w:rsidRPr="00F50F48" w:rsidRDefault="00CE3E19" w:rsidP="00F900AD">
      <w:pPr>
        <w:pStyle w:val="FootnoteText"/>
        <w:rPr>
          <w:rFonts w:ascii="Calibri" w:hAnsi="Calibri" w:cs="Calibri"/>
          <w:lang w:val="en-AU"/>
        </w:rPr>
      </w:pPr>
      <w:r w:rsidRPr="00F50F48">
        <w:rPr>
          <w:rStyle w:val="FootnoteReference"/>
          <w:rFonts w:ascii="Calibri" w:hAnsi="Calibri" w:cs="Calibri"/>
        </w:rPr>
        <w:footnoteRef/>
      </w:r>
      <w:r w:rsidRPr="00F50F48">
        <w:rPr>
          <w:rFonts w:ascii="Calibri" w:hAnsi="Calibri" w:cs="Calibri"/>
        </w:rPr>
        <w:t xml:space="preserve"> Improvement notices for the purposes of this report includes prohibition notices, non-disturbances notices, and other notices issued by WorkSafe Victoria.</w:t>
      </w:r>
    </w:p>
  </w:footnote>
  <w:footnote w:id="39">
    <w:p w14:paraId="12FED062" w14:textId="77777777" w:rsidR="00CE3E19" w:rsidRPr="00F50F48" w:rsidRDefault="00CE3E19" w:rsidP="00F900AD">
      <w:pPr>
        <w:pStyle w:val="FootnoteText"/>
        <w:rPr>
          <w:rFonts w:ascii="Calibri" w:hAnsi="Calibri" w:cs="Calibri"/>
          <w:lang w:val="en-AU"/>
        </w:rPr>
      </w:pPr>
      <w:r w:rsidRPr="00F50F48">
        <w:rPr>
          <w:rStyle w:val="FootnoteReference"/>
          <w:rFonts w:ascii="Calibri" w:hAnsi="Calibri" w:cs="Calibri"/>
        </w:rPr>
        <w:footnoteRef/>
      </w:r>
      <w:r w:rsidRPr="00F50F48">
        <w:rPr>
          <w:rFonts w:ascii="Calibri" w:hAnsi="Calibri" w:cs="Calibri"/>
        </w:rPr>
        <w:t xml:space="preserve"> The Department is unable to report on this indicator in 2021 because data relating to provisional improvement notices are not collected centrally. The Department will determine the processes needed to report on this indicator as part of its EWOP reforms.</w:t>
      </w:r>
    </w:p>
  </w:footnote>
  <w:footnote w:id="40">
    <w:p w14:paraId="548CF194" w14:textId="77777777" w:rsidR="00CE3E19" w:rsidRPr="00B861F4" w:rsidRDefault="00CE3E19" w:rsidP="00F900AD">
      <w:pPr>
        <w:pStyle w:val="FootnoteText"/>
        <w:rPr>
          <w:lang w:val="en-AU"/>
        </w:rPr>
      </w:pPr>
      <w:r w:rsidRPr="00F50F48">
        <w:rPr>
          <w:rStyle w:val="FootnoteReference"/>
          <w:rFonts w:ascii="Calibri" w:hAnsi="Calibri" w:cs="Calibri"/>
        </w:rPr>
        <w:footnoteRef/>
      </w:r>
      <w:r w:rsidRPr="00F50F48">
        <w:rPr>
          <w:rFonts w:ascii="Calibri" w:hAnsi="Calibri" w:cs="Calibri"/>
        </w:rPr>
        <w:t xml:space="preserve"> Currently, the Department does not maintain contractor training records centrally to be able to report on this measure. The Department will consider how this indicator will be reported.</w:t>
      </w:r>
    </w:p>
  </w:footnote>
  <w:footnote w:id="41">
    <w:p w14:paraId="3E1C9A86" w14:textId="0695775E" w:rsidR="00CE3E19" w:rsidRPr="002B5648" w:rsidRDefault="00CE3E19" w:rsidP="00F900AD">
      <w:pPr>
        <w:pStyle w:val="FootnoteText"/>
        <w:rPr>
          <w:rFonts w:ascii="Calibri" w:hAnsi="Calibri" w:cs="Calibri"/>
          <w:sz w:val="16"/>
          <w:szCs w:val="16"/>
        </w:rPr>
      </w:pPr>
      <w:r w:rsidRPr="002B5648">
        <w:rPr>
          <w:rStyle w:val="FootnoteReference"/>
          <w:rFonts w:ascii="Calibri" w:hAnsi="Calibri" w:cs="Calibri"/>
          <w:sz w:val="16"/>
          <w:szCs w:val="16"/>
        </w:rPr>
        <w:footnoteRef/>
      </w:r>
      <w:r w:rsidRPr="002B5648">
        <w:rPr>
          <w:rFonts w:ascii="Calibri" w:hAnsi="Calibri" w:cs="Calibri"/>
          <w:sz w:val="16"/>
          <w:szCs w:val="16"/>
        </w:rPr>
        <w:t xml:space="preserve"> The 2020 People Matter Survey was scheduled to run during May and June. In March, with the Victorian Public Sector’s move to remote working as a result of the COVID-19 pandemic, the Victorian Public Sector Commission postponed a decision to run the 2020 survey until later in the calendar year.</w:t>
      </w:r>
    </w:p>
  </w:footnote>
  <w:footnote w:id="42">
    <w:p w14:paraId="6A60E5C3" w14:textId="77777777" w:rsidR="00CE3E19" w:rsidRPr="002B5648" w:rsidRDefault="00CE3E19" w:rsidP="00F900AD">
      <w:pPr>
        <w:pStyle w:val="FootnoteText"/>
        <w:rPr>
          <w:rFonts w:ascii="Calibri" w:hAnsi="Calibri" w:cs="Calibri"/>
          <w:sz w:val="16"/>
          <w:szCs w:val="16"/>
        </w:rPr>
      </w:pPr>
      <w:r w:rsidRPr="002B5648">
        <w:rPr>
          <w:rStyle w:val="FootnoteReference"/>
          <w:rFonts w:ascii="Calibri" w:hAnsi="Calibri" w:cs="Calibri"/>
          <w:sz w:val="16"/>
          <w:szCs w:val="16"/>
        </w:rPr>
        <w:footnoteRef/>
      </w:r>
      <w:r w:rsidRPr="002B5648">
        <w:rPr>
          <w:rStyle w:val="FootnoteReference"/>
          <w:rFonts w:ascii="Calibri" w:hAnsi="Calibri" w:cs="Calibri"/>
          <w:sz w:val="16"/>
          <w:szCs w:val="16"/>
        </w:rPr>
        <w:t xml:space="preserve"> </w:t>
      </w:r>
      <w:r w:rsidRPr="002B5648">
        <w:rPr>
          <w:rFonts w:ascii="Calibri" w:hAnsi="Calibri" w:cs="Calibri"/>
          <w:sz w:val="16"/>
          <w:szCs w:val="16"/>
        </w:rPr>
        <w:t>The Department commenced a tiered-model pilot providing advice and support from OHS experts to support schools to identify and proactively manage psychosocial hazards in the workplace, which will assist with future mental health audits in the workplace.</w:t>
      </w:r>
    </w:p>
  </w:footnote>
  <w:footnote w:id="43">
    <w:p w14:paraId="225B56F0" w14:textId="77777777" w:rsidR="00CE3E19" w:rsidRPr="002D291D" w:rsidRDefault="00CE3E19" w:rsidP="00F900AD">
      <w:pPr>
        <w:pStyle w:val="FootnoteText"/>
        <w:rPr>
          <w:lang w:val="en-AU"/>
        </w:rPr>
      </w:pPr>
      <w:r w:rsidRPr="002B5648">
        <w:rPr>
          <w:rStyle w:val="FootnoteReference"/>
          <w:rFonts w:ascii="Calibri" w:hAnsi="Calibri" w:cs="Calibri"/>
          <w:sz w:val="16"/>
          <w:szCs w:val="16"/>
        </w:rPr>
        <w:footnoteRef/>
      </w:r>
      <w:r w:rsidRPr="002B5648">
        <w:rPr>
          <w:rFonts w:ascii="Calibri" w:hAnsi="Calibri" w:cs="Calibri"/>
          <w:sz w:val="16"/>
          <w:szCs w:val="16"/>
        </w:rPr>
        <w:t xml:space="preserve"> Mental health and wellbeing activities have been organised centrally such as the promotion of ‘R U OK? Day’.</w:t>
      </w:r>
    </w:p>
  </w:footnote>
  <w:footnote w:id="44">
    <w:p w14:paraId="1237C63F" w14:textId="0578B9C8" w:rsidR="00CE3E19" w:rsidRPr="002B5648" w:rsidRDefault="00CE3E19" w:rsidP="00F900AD">
      <w:pPr>
        <w:pStyle w:val="FootnoteText"/>
        <w:rPr>
          <w:rFonts w:ascii="Calibri" w:hAnsi="Calibri" w:cs="Calibri"/>
          <w:sz w:val="16"/>
          <w:szCs w:val="16"/>
          <w:lang w:val="en-AU"/>
        </w:rPr>
      </w:pPr>
      <w:r w:rsidRPr="002B5648">
        <w:rPr>
          <w:rStyle w:val="FootnoteReference"/>
          <w:rFonts w:ascii="Calibri" w:hAnsi="Calibri" w:cs="Calibri"/>
          <w:sz w:val="16"/>
          <w:szCs w:val="16"/>
        </w:rPr>
        <w:footnoteRef/>
      </w:r>
      <w:r w:rsidRPr="002B5648">
        <w:rPr>
          <w:rFonts w:ascii="Calibri" w:hAnsi="Calibri" w:cs="Calibri"/>
          <w:sz w:val="16"/>
          <w:szCs w:val="16"/>
        </w:rPr>
        <w:t xml:space="preserve"> This table includes employees of the VCAA and the VRQA</w:t>
      </w:r>
      <w:r w:rsidR="002B5648">
        <w:rPr>
          <w:rFonts w:ascii="Calibri" w:hAnsi="Calibri" w:cs="Calibri"/>
          <w:sz w:val="16"/>
          <w:szCs w:val="16"/>
        </w:rPr>
        <w:t>,</w:t>
      </w:r>
      <w:r w:rsidRPr="002B5648">
        <w:rPr>
          <w:rFonts w:ascii="Calibri" w:hAnsi="Calibri" w:cs="Calibri"/>
          <w:sz w:val="16"/>
          <w:szCs w:val="16"/>
        </w:rPr>
        <w:t xml:space="preserve"> who are also reported in those authorities’ annual reports.</w:t>
      </w:r>
    </w:p>
  </w:footnote>
  <w:footnote w:id="45">
    <w:p w14:paraId="36540378" w14:textId="037BCF3A" w:rsidR="00CE3E19" w:rsidRPr="002B5648" w:rsidRDefault="00CE3E19" w:rsidP="00F900AD">
      <w:pPr>
        <w:pStyle w:val="FootnoteText"/>
        <w:rPr>
          <w:rFonts w:ascii="Calibri" w:hAnsi="Calibri" w:cs="Calibri"/>
          <w:sz w:val="16"/>
          <w:szCs w:val="16"/>
          <w:lang w:val="en-AU"/>
        </w:rPr>
      </w:pPr>
      <w:r w:rsidRPr="002B5648">
        <w:rPr>
          <w:rStyle w:val="FootnoteReference"/>
          <w:rFonts w:ascii="Calibri" w:hAnsi="Calibri" w:cs="Calibri"/>
          <w:sz w:val="16"/>
          <w:szCs w:val="16"/>
        </w:rPr>
        <w:footnoteRef/>
      </w:r>
      <w:r w:rsidRPr="002B5648">
        <w:rPr>
          <w:rFonts w:ascii="Calibri" w:hAnsi="Calibri" w:cs="Calibri"/>
          <w:sz w:val="16"/>
          <w:szCs w:val="16"/>
        </w:rPr>
        <w:t xml:space="preserve"> ‘</w:t>
      </w:r>
      <w:r w:rsidRPr="002B5648">
        <w:rPr>
          <w:rFonts w:ascii="Calibri" w:hAnsi="Calibri" w:cs="Calibri"/>
          <w:sz w:val="16"/>
          <w:szCs w:val="16"/>
          <w:lang w:val="en-AU"/>
        </w:rPr>
        <w:t>Head</w:t>
      </w:r>
      <w:r w:rsidR="002B5648">
        <w:rPr>
          <w:rFonts w:ascii="Calibri" w:hAnsi="Calibri" w:cs="Calibri"/>
          <w:sz w:val="16"/>
          <w:szCs w:val="16"/>
          <w:lang w:val="en-AU"/>
        </w:rPr>
        <w:t xml:space="preserve"> </w:t>
      </w:r>
      <w:r w:rsidRPr="002B5648">
        <w:rPr>
          <w:rFonts w:ascii="Calibri" w:hAnsi="Calibri" w:cs="Calibri"/>
          <w:sz w:val="16"/>
          <w:szCs w:val="16"/>
          <w:lang w:val="en-AU"/>
        </w:rPr>
        <w:t>count’ refers to the number of people employed where each person counts as an employee regardless of the number of hours engaged to work.</w:t>
      </w:r>
    </w:p>
  </w:footnote>
  <w:footnote w:id="46">
    <w:p w14:paraId="13E1C757" w14:textId="3FC9A5EF" w:rsidR="00CE3E19" w:rsidRPr="002B5648" w:rsidRDefault="00CE3E19" w:rsidP="00F900AD">
      <w:pPr>
        <w:pStyle w:val="FootnoteText"/>
        <w:rPr>
          <w:rFonts w:ascii="Calibri" w:hAnsi="Calibri" w:cs="Calibri"/>
          <w:sz w:val="16"/>
          <w:szCs w:val="16"/>
          <w:lang w:val="en-AU"/>
        </w:rPr>
      </w:pPr>
      <w:r w:rsidRPr="002B5648">
        <w:rPr>
          <w:rStyle w:val="FootnoteReference"/>
          <w:rFonts w:ascii="Calibri" w:hAnsi="Calibri" w:cs="Calibri"/>
          <w:sz w:val="16"/>
          <w:szCs w:val="16"/>
        </w:rPr>
        <w:footnoteRef/>
      </w:r>
      <w:r w:rsidRPr="002B5648">
        <w:rPr>
          <w:rFonts w:ascii="Calibri" w:hAnsi="Calibri" w:cs="Calibri"/>
          <w:sz w:val="16"/>
          <w:szCs w:val="16"/>
          <w:lang w:val="en-AU"/>
        </w:rPr>
        <w:t xml:space="preserve"> </w:t>
      </w:r>
      <w:r w:rsidRPr="002B5648">
        <w:rPr>
          <w:rFonts w:ascii="Calibri" w:hAnsi="Calibri" w:cs="Calibri"/>
          <w:sz w:val="16"/>
          <w:szCs w:val="16"/>
        </w:rPr>
        <w:t>‘</w:t>
      </w:r>
      <w:r w:rsidRPr="002B5648">
        <w:rPr>
          <w:rFonts w:ascii="Calibri" w:hAnsi="Calibri" w:cs="Calibri"/>
          <w:sz w:val="16"/>
          <w:szCs w:val="16"/>
          <w:lang w:val="en-AU"/>
        </w:rPr>
        <w:t>Casual’ means a person who is subject to clause 25 (Casual employees—Loading) of the VPS Agreement 2020, or similar clauses in other relevant agreements. It includes a person employed on a seasonal basis where such provision is made under an applicable industrial agreement.</w:t>
      </w:r>
    </w:p>
  </w:footnote>
  <w:footnote w:id="47">
    <w:p w14:paraId="745B6D26" w14:textId="43A4B143" w:rsidR="00CE3E19" w:rsidRPr="002B5648" w:rsidRDefault="00CE3E19" w:rsidP="00F900AD">
      <w:pPr>
        <w:pStyle w:val="FootnoteText"/>
        <w:rPr>
          <w:rFonts w:ascii="Calibri" w:hAnsi="Calibri" w:cs="Calibri"/>
          <w:sz w:val="16"/>
          <w:szCs w:val="16"/>
          <w:lang w:val="en-AU"/>
        </w:rPr>
      </w:pPr>
      <w:r w:rsidRPr="002B5648">
        <w:rPr>
          <w:rStyle w:val="FootnoteReference"/>
          <w:rFonts w:ascii="Calibri" w:hAnsi="Calibri" w:cs="Calibri"/>
          <w:sz w:val="16"/>
          <w:szCs w:val="16"/>
        </w:rPr>
        <w:footnoteRef/>
      </w:r>
      <w:r w:rsidRPr="002B5648">
        <w:rPr>
          <w:rFonts w:ascii="Calibri" w:hAnsi="Calibri" w:cs="Calibri"/>
          <w:sz w:val="16"/>
          <w:szCs w:val="16"/>
        </w:rPr>
        <w:t xml:space="preserve"> </w:t>
      </w:r>
      <w:r w:rsidRPr="002B5648">
        <w:rPr>
          <w:rFonts w:ascii="Calibri" w:hAnsi="Calibri" w:cs="Calibri"/>
          <w:sz w:val="16"/>
          <w:szCs w:val="16"/>
          <w:lang w:val="en-AU"/>
        </w:rPr>
        <w:t>Age of staff is calculated as at 30 June each year.</w:t>
      </w:r>
    </w:p>
  </w:footnote>
  <w:footnote w:id="48">
    <w:p w14:paraId="72773C9E" w14:textId="1D7D3665" w:rsidR="00CE3E19" w:rsidRPr="002B5648" w:rsidRDefault="00CE3E19" w:rsidP="00F900AD">
      <w:pPr>
        <w:pStyle w:val="FootnoteText"/>
        <w:rPr>
          <w:sz w:val="16"/>
          <w:szCs w:val="16"/>
          <w:lang w:val="en-AU"/>
        </w:rPr>
      </w:pPr>
      <w:r w:rsidRPr="002B5648">
        <w:rPr>
          <w:rStyle w:val="FootnoteReference"/>
          <w:rFonts w:ascii="Calibri" w:hAnsi="Calibri" w:cs="Calibri"/>
          <w:sz w:val="16"/>
          <w:szCs w:val="16"/>
        </w:rPr>
        <w:footnoteRef/>
      </w:r>
      <w:r w:rsidRPr="002B5648">
        <w:rPr>
          <w:rFonts w:ascii="Calibri" w:hAnsi="Calibri" w:cs="Calibri"/>
          <w:sz w:val="16"/>
          <w:szCs w:val="16"/>
        </w:rPr>
        <w:t xml:space="preserve"> </w:t>
      </w:r>
      <w:r w:rsidRPr="002B5648">
        <w:rPr>
          <w:rFonts w:ascii="Calibri" w:hAnsi="Calibri" w:cs="Calibri"/>
          <w:sz w:val="16"/>
          <w:szCs w:val="16"/>
          <w:lang w:val="en-AU"/>
        </w:rPr>
        <w:t>The category VPSG2 includes graduate recruits.</w:t>
      </w:r>
    </w:p>
  </w:footnote>
  <w:footnote w:id="49">
    <w:p w14:paraId="0E0B6C6C" w14:textId="77777777" w:rsidR="00CE3E19" w:rsidRPr="00F50F48" w:rsidRDefault="00CE3E19" w:rsidP="004660D6">
      <w:pPr>
        <w:pStyle w:val="FootnoteText"/>
        <w:rPr>
          <w:rFonts w:ascii="Calibri" w:hAnsi="Calibri" w:cs="Calibri"/>
          <w:lang w:val="en-AU"/>
        </w:rPr>
      </w:pPr>
      <w:r w:rsidRPr="00F50F48">
        <w:rPr>
          <w:rStyle w:val="FootnoteReference"/>
          <w:rFonts w:ascii="Calibri" w:hAnsi="Calibri" w:cs="Calibri"/>
        </w:rPr>
        <w:footnoteRef/>
      </w:r>
      <w:r w:rsidRPr="00F50F48">
        <w:rPr>
          <w:rFonts w:ascii="Calibri" w:hAnsi="Calibri" w:cs="Calibri"/>
        </w:rPr>
        <w:t xml:space="preserve"> </w:t>
      </w:r>
      <w:r w:rsidRPr="00F50F48">
        <w:rPr>
          <w:rFonts w:ascii="Calibri" w:hAnsi="Calibri" w:cs="Calibri"/>
          <w:lang w:val="en-AU"/>
        </w:rPr>
        <w:t>Executive officers include SES1–3 and the Secretary.</w:t>
      </w:r>
    </w:p>
  </w:footnote>
  <w:footnote w:id="50">
    <w:p w14:paraId="157D469B" w14:textId="77777777" w:rsidR="00CE3E19" w:rsidRPr="00F50F48" w:rsidRDefault="00CE3E19" w:rsidP="004660D6">
      <w:pPr>
        <w:pStyle w:val="FootnoteText"/>
        <w:rPr>
          <w:rFonts w:ascii="Calibri" w:hAnsi="Calibri" w:cs="Calibri"/>
          <w:lang w:val="en-AU"/>
        </w:rPr>
      </w:pPr>
      <w:r w:rsidRPr="00F50F48">
        <w:rPr>
          <w:rStyle w:val="FootnoteReference"/>
          <w:rFonts w:ascii="Calibri" w:hAnsi="Calibri" w:cs="Calibri"/>
        </w:rPr>
        <w:footnoteRef/>
      </w:r>
      <w:r w:rsidRPr="00F50F48">
        <w:rPr>
          <w:rFonts w:ascii="Calibri" w:hAnsi="Calibri" w:cs="Calibri"/>
        </w:rPr>
        <w:t xml:space="preserve"> </w:t>
      </w:r>
      <w:r w:rsidRPr="00F50F48">
        <w:rPr>
          <w:rStyle w:val="FootnoteReference"/>
          <w:rFonts w:ascii="Calibri" w:hAnsi="Calibri" w:cs="Calibri"/>
          <w:vertAlign w:val="baseline"/>
          <w:lang w:val="en-AU"/>
        </w:rPr>
        <w:t>Principal class includes principals, assistant principals and liaison principals.</w:t>
      </w:r>
    </w:p>
  </w:footnote>
  <w:footnote w:id="51">
    <w:p w14:paraId="020A53FF" w14:textId="77777777" w:rsidR="00CE3E19" w:rsidRPr="006E125B" w:rsidRDefault="00CE3E19" w:rsidP="004660D6">
      <w:pPr>
        <w:pStyle w:val="FootnoteText"/>
        <w:rPr>
          <w:lang w:val="en-AU"/>
        </w:rPr>
      </w:pPr>
      <w:r w:rsidRPr="00F50F48">
        <w:rPr>
          <w:rStyle w:val="FootnoteReference"/>
          <w:rFonts w:ascii="Calibri" w:hAnsi="Calibri" w:cs="Calibri"/>
        </w:rPr>
        <w:footnoteRef/>
      </w:r>
      <w:r w:rsidRPr="00F50F48">
        <w:rPr>
          <w:rFonts w:ascii="Calibri" w:hAnsi="Calibri" w:cs="Calibri"/>
          <w:vertAlign w:val="superscript"/>
        </w:rPr>
        <w:t xml:space="preserve"> </w:t>
      </w:r>
      <w:r w:rsidRPr="00F50F48">
        <w:rPr>
          <w:rStyle w:val="FootnoteReference"/>
          <w:rFonts w:ascii="Calibri" w:hAnsi="Calibri" w:cs="Calibri"/>
          <w:vertAlign w:val="baseline"/>
          <w:lang w:val="en-AU"/>
        </w:rPr>
        <w:t>Teacher class includes classroom teachers and paraprofessionals.</w:t>
      </w:r>
    </w:p>
  </w:footnote>
  <w:footnote w:id="52">
    <w:p w14:paraId="25B2933F" w14:textId="05223EB7" w:rsidR="00CE3E19" w:rsidRPr="00F50F48" w:rsidRDefault="00CE3E19" w:rsidP="004660D6">
      <w:pPr>
        <w:pStyle w:val="FootnoteText"/>
        <w:rPr>
          <w:rFonts w:ascii="Calibri" w:hAnsi="Calibri" w:cs="Calibri"/>
          <w:lang w:val="en-AU"/>
        </w:rPr>
      </w:pPr>
      <w:r w:rsidRPr="00F50F48">
        <w:rPr>
          <w:rStyle w:val="FootnoteReference"/>
          <w:rFonts w:ascii="Calibri" w:hAnsi="Calibri" w:cs="Calibri"/>
        </w:rPr>
        <w:footnoteRef/>
      </w:r>
      <w:r w:rsidRPr="00F50F48">
        <w:rPr>
          <w:rFonts w:ascii="Calibri" w:hAnsi="Calibri" w:cs="Calibri"/>
        </w:rPr>
        <w:t xml:space="preserve"> This band includes three SES on a part-time basis at 0.8 FTE and one SES on a part-time basis at 0.6 FTE</w:t>
      </w:r>
      <w:r w:rsidR="002B5648">
        <w:rPr>
          <w:rFonts w:ascii="Calibri" w:hAnsi="Calibri" w:cs="Calibri"/>
        </w:rPr>
        <w:t>.</w:t>
      </w:r>
    </w:p>
  </w:footnote>
  <w:footnote w:id="53">
    <w:p w14:paraId="4EC7A177" w14:textId="0DCCB5B2" w:rsidR="00CE3E19" w:rsidRPr="00F50F48" w:rsidRDefault="00CE3E19" w:rsidP="004660D6">
      <w:pPr>
        <w:pStyle w:val="FootnoteText"/>
        <w:rPr>
          <w:rFonts w:ascii="Calibri" w:hAnsi="Calibri" w:cs="Calibri"/>
          <w:lang w:val="en-AU"/>
        </w:rPr>
      </w:pPr>
      <w:r w:rsidRPr="00F50F48">
        <w:rPr>
          <w:rStyle w:val="FootnoteReference"/>
          <w:rFonts w:ascii="Calibri" w:hAnsi="Calibri" w:cs="Calibri"/>
        </w:rPr>
        <w:footnoteRef/>
      </w:r>
      <w:r w:rsidRPr="00F50F48">
        <w:rPr>
          <w:rFonts w:ascii="Calibri" w:hAnsi="Calibri" w:cs="Calibri"/>
        </w:rPr>
        <w:t xml:space="preserve"> This band includes one STS on a part-time basis at 0.8 FTE and one STS on a part-time basis at 0.7 FTE</w:t>
      </w:r>
      <w:r w:rsidR="002B5648">
        <w:rPr>
          <w:rFonts w:ascii="Calibri" w:hAnsi="Calibri" w:cs="Calibri"/>
        </w:rPr>
        <w:t>.</w:t>
      </w:r>
    </w:p>
  </w:footnote>
  <w:footnote w:id="54">
    <w:p w14:paraId="5B8A3A4E" w14:textId="01631E85" w:rsidR="00CE3E19" w:rsidRPr="00F50F48" w:rsidRDefault="00CE3E19" w:rsidP="004660D6">
      <w:pPr>
        <w:pStyle w:val="FootnoteText"/>
        <w:rPr>
          <w:rFonts w:ascii="Calibri" w:hAnsi="Calibri" w:cs="Calibri"/>
          <w:lang w:val="en-AU"/>
        </w:rPr>
      </w:pPr>
      <w:r w:rsidRPr="00F50F48">
        <w:rPr>
          <w:rStyle w:val="FootnoteReference"/>
          <w:rFonts w:ascii="Calibri" w:hAnsi="Calibri" w:cs="Calibri"/>
        </w:rPr>
        <w:footnoteRef/>
      </w:r>
      <w:r w:rsidRPr="00F50F48">
        <w:rPr>
          <w:rFonts w:ascii="Calibri" w:hAnsi="Calibri" w:cs="Calibri"/>
        </w:rPr>
        <w:t xml:space="preserve"> This band includes one SES on a part-time basis at 0.9 FTE rate</w:t>
      </w:r>
      <w:r w:rsidR="002B5648">
        <w:rPr>
          <w:rFonts w:ascii="Calibri" w:hAnsi="Calibri" w:cs="Calibri"/>
        </w:rPr>
        <w:t>.</w:t>
      </w:r>
    </w:p>
  </w:footnote>
  <w:footnote w:id="55">
    <w:p w14:paraId="60EBA7A3" w14:textId="52969847" w:rsidR="00CE3E19" w:rsidRPr="00F50F48" w:rsidRDefault="00CE3E19" w:rsidP="004660D6">
      <w:pPr>
        <w:pStyle w:val="FootnoteText"/>
        <w:rPr>
          <w:rFonts w:ascii="Calibri" w:hAnsi="Calibri" w:cs="Calibri"/>
          <w:lang w:val="en-AU"/>
        </w:rPr>
      </w:pPr>
      <w:r w:rsidRPr="00F50F48">
        <w:rPr>
          <w:rStyle w:val="FootnoteReference"/>
          <w:rFonts w:ascii="Calibri" w:hAnsi="Calibri" w:cs="Calibri"/>
        </w:rPr>
        <w:footnoteRef/>
      </w:r>
      <w:r w:rsidRPr="00F50F48">
        <w:rPr>
          <w:rFonts w:ascii="Calibri" w:hAnsi="Calibri" w:cs="Calibri"/>
        </w:rPr>
        <w:t xml:space="preserve"> This band includes one STS on a part-time basis at 0.9 FTE rate</w:t>
      </w:r>
      <w:r w:rsidR="002B5648">
        <w:rPr>
          <w:rFonts w:ascii="Calibri" w:hAnsi="Calibri" w:cs="Calibri"/>
        </w:rPr>
        <w:t>.</w:t>
      </w:r>
    </w:p>
  </w:footnote>
  <w:footnote w:id="56">
    <w:p w14:paraId="4B8B083B" w14:textId="765CABF7" w:rsidR="00CE3E19" w:rsidRPr="00F50F48" w:rsidRDefault="00CE3E19" w:rsidP="004660D6">
      <w:pPr>
        <w:pStyle w:val="FootnoteText"/>
        <w:rPr>
          <w:rFonts w:ascii="Calibri" w:hAnsi="Calibri" w:cs="Calibri"/>
          <w:lang w:val="en-AU"/>
        </w:rPr>
      </w:pPr>
      <w:r w:rsidRPr="00F50F48">
        <w:rPr>
          <w:rStyle w:val="FootnoteReference"/>
          <w:rFonts w:ascii="Calibri" w:hAnsi="Calibri" w:cs="Calibri"/>
        </w:rPr>
        <w:footnoteRef/>
      </w:r>
      <w:r w:rsidRPr="00F50F48">
        <w:rPr>
          <w:rFonts w:ascii="Calibri" w:hAnsi="Calibri" w:cs="Calibri"/>
        </w:rPr>
        <w:t xml:space="preserve"> This band includes one SES at a 50/52 employment mode and two SES on a part-time basis at 0.9 FTE rate</w:t>
      </w:r>
      <w:r w:rsidR="002B5648">
        <w:rPr>
          <w:rFonts w:ascii="Calibri" w:hAnsi="Calibri" w:cs="Calibri"/>
        </w:rPr>
        <w:t>.</w:t>
      </w:r>
    </w:p>
  </w:footnote>
  <w:footnote w:id="57">
    <w:p w14:paraId="2FC7AE7B" w14:textId="5C3E15AB" w:rsidR="00CE3E19" w:rsidRPr="00F50F48" w:rsidRDefault="00CE3E19" w:rsidP="004660D6">
      <w:pPr>
        <w:pStyle w:val="FootnoteText"/>
        <w:rPr>
          <w:rFonts w:ascii="Calibri" w:hAnsi="Calibri" w:cs="Calibri"/>
          <w:lang w:val="en-AU"/>
        </w:rPr>
      </w:pPr>
      <w:r w:rsidRPr="00F50F48">
        <w:rPr>
          <w:rStyle w:val="FootnoteReference"/>
          <w:rFonts w:ascii="Calibri" w:hAnsi="Calibri" w:cs="Calibri"/>
        </w:rPr>
        <w:footnoteRef/>
      </w:r>
      <w:r w:rsidRPr="00F50F48">
        <w:rPr>
          <w:rFonts w:ascii="Calibri" w:hAnsi="Calibri" w:cs="Calibri"/>
        </w:rPr>
        <w:t xml:space="preserve"> This band includes one STS at a 51/52 employment mode</w:t>
      </w:r>
      <w:r w:rsidR="002B5648">
        <w:rPr>
          <w:rFonts w:ascii="Calibri" w:hAnsi="Calibri" w:cs="Calibri"/>
        </w:rPr>
        <w:t>.</w:t>
      </w:r>
    </w:p>
  </w:footnote>
  <w:footnote w:id="58">
    <w:p w14:paraId="1A7D5F81" w14:textId="54D23389" w:rsidR="00CE3E19" w:rsidRPr="00F50F48" w:rsidRDefault="00CE3E19" w:rsidP="004660D6">
      <w:pPr>
        <w:pStyle w:val="FootnoteText"/>
        <w:rPr>
          <w:rFonts w:ascii="Calibri" w:hAnsi="Calibri" w:cs="Calibri"/>
          <w:lang w:val="en-AU"/>
        </w:rPr>
      </w:pPr>
      <w:r w:rsidRPr="00F50F48">
        <w:rPr>
          <w:rStyle w:val="FootnoteReference"/>
          <w:rFonts w:ascii="Calibri" w:hAnsi="Calibri" w:cs="Calibri"/>
        </w:rPr>
        <w:footnoteRef/>
      </w:r>
      <w:r w:rsidRPr="00F50F48">
        <w:rPr>
          <w:rFonts w:ascii="Calibri" w:hAnsi="Calibri" w:cs="Calibri"/>
        </w:rPr>
        <w:t xml:space="preserve"> This band includes one SES on a part-time basis at 0.9 FTE rate</w:t>
      </w:r>
      <w:r w:rsidR="002B5648">
        <w:rPr>
          <w:rFonts w:ascii="Calibri" w:hAnsi="Calibri" w:cs="Calibri"/>
        </w:rPr>
        <w:t>.</w:t>
      </w:r>
    </w:p>
  </w:footnote>
  <w:footnote w:id="59">
    <w:p w14:paraId="56C5A1E4" w14:textId="1F0FF69F" w:rsidR="00CE3E19" w:rsidRPr="00F50F48" w:rsidRDefault="00CE3E19" w:rsidP="004660D6">
      <w:pPr>
        <w:pStyle w:val="FootnoteText"/>
        <w:rPr>
          <w:rFonts w:ascii="Calibri" w:hAnsi="Calibri" w:cs="Calibri"/>
          <w:lang w:val="en-AU"/>
        </w:rPr>
      </w:pPr>
      <w:r w:rsidRPr="00F50F48">
        <w:rPr>
          <w:rStyle w:val="FootnoteReference"/>
          <w:rFonts w:ascii="Calibri" w:hAnsi="Calibri" w:cs="Calibri"/>
        </w:rPr>
        <w:footnoteRef/>
      </w:r>
      <w:r w:rsidRPr="00F50F48">
        <w:rPr>
          <w:rFonts w:ascii="Calibri" w:hAnsi="Calibri" w:cs="Calibri"/>
        </w:rPr>
        <w:t xml:space="preserve"> This band includes one SES at a 50/52 employment mode</w:t>
      </w:r>
      <w:r w:rsidR="002B5648">
        <w:rPr>
          <w:rFonts w:ascii="Calibri" w:hAnsi="Calibri" w:cs="Calibri"/>
        </w:rPr>
        <w:t>.</w:t>
      </w:r>
    </w:p>
  </w:footnote>
  <w:footnote w:id="60">
    <w:p w14:paraId="76E09359" w14:textId="42750229" w:rsidR="00CE3E19" w:rsidRPr="00F50F48" w:rsidRDefault="00CE3E19" w:rsidP="004660D6">
      <w:pPr>
        <w:pStyle w:val="FootnoteText"/>
        <w:rPr>
          <w:rFonts w:ascii="Calibri" w:hAnsi="Calibri" w:cs="Calibri"/>
          <w:lang w:val="en-AU"/>
        </w:rPr>
      </w:pPr>
      <w:r w:rsidRPr="00F50F48">
        <w:rPr>
          <w:rStyle w:val="FootnoteReference"/>
          <w:rFonts w:ascii="Calibri" w:hAnsi="Calibri" w:cs="Calibri"/>
        </w:rPr>
        <w:footnoteRef/>
      </w:r>
      <w:r w:rsidRPr="00F50F48">
        <w:rPr>
          <w:rFonts w:ascii="Calibri" w:hAnsi="Calibri" w:cs="Calibri"/>
        </w:rPr>
        <w:t xml:space="preserve"> This band includes one SES at a 50/52 employment mode</w:t>
      </w:r>
      <w:r w:rsidR="002B5648">
        <w:rPr>
          <w:rFonts w:ascii="Calibri" w:hAnsi="Calibri" w:cs="Calibri"/>
        </w:rPr>
        <w:t>.</w:t>
      </w:r>
    </w:p>
  </w:footnote>
  <w:footnote w:id="61">
    <w:p w14:paraId="2081B046" w14:textId="1DE0B4EA" w:rsidR="00CE3E19" w:rsidRPr="00452F5E" w:rsidRDefault="00CE3E19" w:rsidP="004660D6">
      <w:pPr>
        <w:pStyle w:val="FootnoteText"/>
        <w:rPr>
          <w:lang w:val="en-AU"/>
        </w:rPr>
      </w:pPr>
      <w:r w:rsidRPr="00F50F48">
        <w:rPr>
          <w:rStyle w:val="FootnoteReference"/>
          <w:rFonts w:ascii="Calibri" w:hAnsi="Calibri" w:cs="Calibri"/>
        </w:rPr>
        <w:footnoteRef/>
      </w:r>
      <w:r w:rsidRPr="00F50F48">
        <w:rPr>
          <w:rFonts w:ascii="Calibri" w:hAnsi="Calibri" w:cs="Calibri"/>
        </w:rPr>
        <w:t xml:space="preserve"> This band includes one SES at a 50/52 employment mode</w:t>
      </w:r>
      <w:r w:rsidR="002B5648">
        <w:rPr>
          <w:rFonts w:ascii="Calibri" w:hAnsi="Calibri" w:cs="Calibri"/>
        </w:rPr>
        <w:t>.</w:t>
      </w:r>
    </w:p>
  </w:footnote>
  <w:footnote w:id="62">
    <w:p w14:paraId="5B08236C" w14:textId="4860E2AA" w:rsidR="00CE3E19" w:rsidRPr="00F50F48" w:rsidRDefault="00CE3E19" w:rsidP="004660D6">
      <w:pPr>
        <w:pStyle w:val="FootnoteText"/>
        <w:rPr>
          <w:rFonts w:ascii="Calibri" w:hAnsi="Calibri" w:cs="Calibri"/>
          <w:lang w:val="en-AU"/>
        </w:rPr>
      </w:pPr>
      <w:r w:rsidRPr="00F50F48">
        <w:rPr>
          <w:rStyle w:val="FootnoteReference"/>
          <w:rFonts w:ascii="Calibri" w:hAnsi="Calibri" w:cs="Calibri"/>
        </w:rPr>
        <w:footnoteRef/>
      </w:r>
      <w:r w:rsidRPr="00F50F48">
        <w:rPr>
          <w:rFonts w:ascii="Calibri" w:hAnsi="Calibri" w:cs="Calibri"/>
        </w:rPr>
        <w:t xml:space="preserve"> </w:t>
      </w:r>
      <w:r w:rsidRPr="00F50F48">
        <w:rPr>
          <w:rFonts w:ascii="Calibri" w:hAnsi="Calibri" w:cs="Calibri"/>
          <w:lang w:val="en-AU"/>
        </w:rPr>
        <w:t>The self-described category is nil for this entry.</w:t>
      </w:r>
    </w:p>
  </w:footnote>
  <w:footnote w:id="63">
    <w:p w14:paraId="04D59CFF" w14:textId="77777777" w:rsidR="00CE3E19" w:rsidRPr="00F3381C" w:rsidRDefault="00CE3E19" w:rsidP="007B6C6A">
      <w:pPr>
        <w:pStyle w:val="FootnoteText"/>
        <w:rPr>
          <w:rFonts w:ascii="Calibri" w:hAnsi="Calibri" w:cs="Calibri"/>
          <w:lang w:val="en-AU"/>
        </w:rPr>
      </w:pPr>
      <w:r w:rsidRPr="00F3381C">
        <w:rPr>
          <w:rStyle w:val="FootnoteReference"/>
          <w:rFonts w:ascii="Calibri" w:hAnsi="Calibri" w:cs="Calibri"/>
        </w:rPr>
        <w:footnoteRef/>
      </w:r>
      <w:r w:rsidRPr="00F3381C">
        <w:rPr>
          <w:rFonts w:ascii="Calibri" w:hAnsi="Calibri" w:cs="Calibri"/>
        </w:rPr>
        <w:t xml:space="preserve"> This item reflects </w:t>
      </w:r>
      <w:r w:rsidRPr="00F3381C">
        <w:rPr>
          <w:rFonts w:ascii="Calibri" w:hAnsi="Calibri" w:cs="Calibri"/>
          <w:lang w:val="en-AU"/>
        </w:rPr>
        <w:t>all executive officers who have separated from the Department, including those who transferred to another government department.</w:t>
      </w:r>
    </w:p>
  </w:footnote>
  <w:footnote w:id="64">
    <w:p w14:paraId="11F494B1" w14:textId="77777777" w:rsidR="00CE3E19" w:rsidRDefault="00CE3E19" w:rsidP="007B6C6A">
      <w:pPr>
        <w:pStyle w:val="FootnoteText"/>
      </w:pPr>
      <w:r w:rsidRPr="00F3381C">
        <w:rPr>
          <w:rStyle w:val="FootnoteReference"/>
          <w:rFonts w:ascii="Calibri" w:hAnsi="Calibri" w:cs="Calibri"/>
        </w:rPr>
        <w:footnoteRef/>
      </w:r>
      <w:r w:rsidRPr="00F3381C">
        <w:rPr>
          <w:rFonts w:ascii="Calibri" w:hAnsi="Calibri" w:cs="Calibri"/>
        </w:rPr>
        <w:t xml:space="preserve"> This item reflects new advice from DTF that departments should include CFOs which was not a requirement in the 2019–20 annual report.</w:t>
      </w:r>
    </w:p>
  </w:footnote>
  <w:footnote w:id="65">
    <w:p w14:paraId="4E967940" w14:textId="09BB523E" w:rsidR="00CE3E19" w:rsidRPr="004D5654" w:rsidRDefault="00CE3E19">
      <w:pPr>
        <w:pStyle w:val="FootnoteText"/>
        <w:rPr>
          <w:rFonts w:ascii="Calibri" w:hAnsi="Calibri" w:cs="Calibri"/>
          <w:sz w:val="16"/>
          <w:szCs w:val="16"/>
          <w:lang w:val="en-AU"/>
        </w:rPr>
      </w:pPr>
      <w:r w:rsidRPr="004D5654">
        <w:rPr>
          <w:rStyle w:val="FootnoteReference"/>
          <w:rFonts w:ascii="Calibri" w:hAnsi="Calibri" w:cs="Calibri"/>
          <w:sz w:val="16"/>
          <w:szCs w:val="16"/>
        </w:rPr>
        <w:footnoteRef/>
      </w:r>
      <w:r w:rsidRPr="004D5654">
        <w:rPr>
          <w:rFonts w:ascii="Calibri" w:hAnsi="Calibri" w:cs="Calibri"/>
          <w:sz w:val="16"/>
          <w:szCs w:val="16"/>
        </w:rPr>
        <w:t xml:space="preserve"> </w:t>
      </w:r>
      <w:r w:rsidR="00214ACE" w:rsidRPr="004D5654">
        <w:rPr>
          <w:rFonts w:ascii="Calibri" w:hAnsi="Calibri" w:cs="Calibri"/>
          <w:sz w:val="16"/>
          <w:szCs w:val="16"/>
        </w:rPr>
        <w:t xml:space="preserve">For the purposes of this table, </w:t>
      </w:r>
      <w:r w:rsidR="00751945" w:rsidRPr="004D5654">
        <w:rPr>
          <w:rFonts w:ascii="Calibri" w:hAnsi="Calibri" w:cs="Calibri"/>
          <w:sz w:val="16"/>
          <w:szCs w:val="16"/>
        </w:rPr>
        <w:t>e</w:t>
      </w:r>
      <w:r w:rsidR="00214ACE" w:rsidRPr="004D5654">
        <w:rPr>
          <w:rFonts w:ascii="Calibri" w:hAnsi="Calibri" w:cs="Calibri"/>
          <w:sz w:val="16"/>
          <w:szCs w:val="16"/>
        </w:rPr>
        <w:t xml:space="preserve">xecutive </w:t>
      </w:r>
      <w:r w:rsidR="00751945" w:rsidRPr="004D5654">
        <w:rPr>
          <w:rFonts w:ascii="Calibri" w:hAnsi="Calibri" w:cs="Calibri"/>
          <w:sz w:val="16"/>
          <w:szCs w:val="16"/>
        </w:rPr>
        <w:t>o</w:t>
      </w:r>
      <w:r w:rsidR="00214ACE" w:rsidRPr="004D5654">
        <w:rPr>
          <w:rFonts w:ascii="Calibri" w:hAnsi="Calibri" w:cs="Calibri"/>
          <w:sz w:val="16"/>
          <w:szCs w:val="16"/>
        </w:rPr>
        <w:t xml:space="preserve">fficers are defined as employees who have significant management responsibility and receive a </w:t>
      </w:r>
      <w:r w:rsidR="00751945" w:rsidRPr="004D5654">
        <w:rPr>
          <w:rFonts w:ascii="Calibri" w:hAnsi="Calibri" w:cs="Calibri"/>
          <w:sz w:val="16"/>
          <w:szCs w:val="16"/>
        </w:rPr>
        <w:t>total remuneration package</w:t>
      </w:r>
      <w:r w:rsidR="00214ACE" w:rsidRPr="004D5654">
        <w:rPr>
          <w:rFonts w:ascii="Calibri" w:hAnsi="Calibri" w:cs="Calibri"/>
          <w:sz w:val="16"/>
          <w:szCs w:val="16"/>
        </w:rPr>
        <w:t xml:space="preserve"> of $192,799 or more</w:t>
      </w:r>
      <w:r w:rsidRPr="004D5654">
        <w:rPr>
          <w:rFonts w:ascii="Calibri" w:hAnsi="Calibri" w:cs="Calibri"/>
          <w:sz w:val="16"/>
          <w:szCs w:val="16"/>
        </w:rPr>
        <w:t>. It excludes employees on leave without pay or absent on secondment, external contracts, consultants and temporary staff employed by employment agencies.</w:t>
      </w:r>
    </w:p>
  </w:footnote>
  <w:footnote w:id="66">
    <w:p w14:paraId="1BF7F847" w14:textId="6144768F" w:rsidR="00CE3E19" w:rsidRPr="00EE40D7" w:rsidRDefault="00CE3E19" w:rsidP="00F52DF9">
      <w:pPr>
        <w:pStyle w:val="FootnoteText"/>
        <w:rPr>
          <w:rFonts w:ascii="Calibri" w:hAnsi="Calibri" w:cs="Calibri"/>
        </w:rPr>
      </w:pPr>
      <w:r w:rsidRPr="00EE40D7">
        <w:rPr>
          <w:rStyle w:val="FootnoteReference"/>
          <w:rFonts w:ascii="Calibri" w:hAnsi="Calibri" w:cs="Calibri"/>
        </w:rPr>
        <w:footnoteRef/>
      </w:r>
      <w:r w:rsidRPr="00EE40D7">
        <w:rPr>
          <w:rFonts w:ascii="Calibri" w:hAnsi="Calibri" w:cs="Calibri"/>
        </w:rPr>
        <w:t xml:space="preserve"> </w:t>
      </w:r>
      <w:r w:rsidR="00945D82">
        <w:rPr>
          <w:rFonts w:ascii="Calibri" w:hAnsi="Calibri" w:cs="Calibri"/>
        </w:rPr>
        <w:t>C: College</w:t>
      </w:r>
      <w:r w:rsidR="00104F40">
        <w:rPr>
          <w:rFonts w:ascii="Calibri" w:hAnsi="Calibri" w:cs="Calibri"/>
        </w:rPr>
        <w:t xml:space="preserve">, </w:t>
      </w:r>
      <w:r w:rsidR="00945D82" w:rsidRPr="00EE40D7">
        <w:rPr>
          <w:rFonts w:ascii="Calibri" w:hAnsi="Calibri" w:cs="Calibri"/>
        </w:rPr>
        <w:t>CS: Consolidated School</w:t>
      </w:r>
      <w:r w:rsidR="00945D82">
        <w:rPr>
          <w:rFonts w:ascii="Calibri" w:hAnsi="Calibri" w:cs="Calibri"/>
        </w:rPr>
        <w:t>,</w:t>
      </w:r>
      <w:r w:rsidR="00945D82" w:rsidRPr="00EE40D7">
        <w:rPr>
          <w:rFonts w:ascii="Calibri" w:hAnsi="Calibri" w:cs="Calibri"/>
        </w:rPr>
        <w:t xml:space="preserve"> HS: High School</w:t>
      </w:r>
      <w:r w:rsidR="00945D82">
        <w:rPr>
          <w:rFonts w:ascii="Calibri" w:hAnsi="Calibri" w:cs="Calibri"/>
        </w:rPr>
        <w:t>,</w:t>
      </w:r>
      <w:r w:rsidR="00945D82" w:rsidRPr="00EE40D7">
        <w:rPr>
          <w:rFonts w:ascii="Calibri" w:hAnsi="Calibri" w:cs="Calibri"/>
        </w:rPr>
        <w:t xml:space="preserve"> </w:t>
      </w:r>
      <w:r w:rsidRPr="00EE40D7">
        <w:rPr>
          <w:rFonts w:ascii="Calibri" w:hAnsi="Calibri" w:cs="Calibri"/>
        </w:rPr>
        <w:t xml:space="preserve">PS: Primary School, </w:t>
      </w:r>
      <w:r w:rsidR="00104F40">
        <w:rPr>
          <w:rFonts w:ascii="Calibri" w:hAnsi="Calibri" w:cs="Calibri"/>
        </w:rPr>
        <w:t>S:</w:t>
      </w:r>
      <w:r w:rsidRPr="00EE40D7">
        <w:rPr>
          <w:rFonts w:ascii="Calibri" w:hAnsi="Calibri" w:cs="Calibri"/>
        </w:rPr>
        <w:t xml:space="preserve"> School, SC: Secondary College, SS: Specialist School</w:t>
      </w:r>
    </w:p>
  </w:footnote>
  <w:footnote w:id="67">
    <w:p w14:paraId="1B62065D" w14:textId="70BCCA62" w:rsidR="00CE3E19" w:rsidRPr="00EE40D7" w:rsidRDefault="00CE3E19" w:rsidP="00F30FCD">
      <w:pPr>
        <w:pStyle w:val="FootnoteText"/>
        <w:rPr>
          <w:rFonts w:ascii="Calibri" w:hAnsi="Calibri" w:cs="Calibri"/>
          <w:lang w:val="en-AU"/>
        </w:rPr>
      </w:pPr>
      <w:r w:rsidRPr="00EE40D7">
        <w:rPr>
          <w:rStyle w:val="FootnoteReference"/>
          <w:rFonts w:ascii="Calibri" w:hAnsi="Calibri" w:cs="Calibri"/>
        </w:rPr>
        <w:footnoteRef/>
      </w:r>
      <w:r w:rsidRPr="00EE40D7">
        <w:rPr>
          <w:rFonts w:ascii="Calibri" w:hAnsi="Calibri" w:cs="Calibri"/>
        </w:rPr>
        <w:t xml:space="preserve"> ESP is an online reporting tool from </w:t>
      </w:r>
      <w:r w:rsidRPr="008B538A">
        <w:rPr>
          <w:rFonts w:ascii="Calibri" w:hAnsi="Calibri" w:cs="Calibri"/>
        </w:rPr>
        <w:t>Jones Lang LaSalle</w:t>
      </w:r>
      <w:r w:rsidRPr="00EE40D7">
        <w:rPr>
          <w:rFonts w:ascii="Calibri" w:hAnsi="Calibri" w:cs="Calibri"/>
        </w:rPr>
        <w:t xml:space="preserve"> via the SSP. The Department is working with </w:t>
      </w:r>
      <w:r w:rsidRPr="008B538A">
        <w:rPr>
          <w:rFonts w:ascii="Calibri" w:hAnsi="Calibri" w:cs="Calibri"/>
        </w:rPr>
        <w:t>Jones Lang LaSalle</w:t>
      </w:r>
      <w:r w:rsidRPr="00EE40D7">
        <w:rPr>
          <w:rFonts w:ascii="Calibri" w:hAnsi="Calibri" w:cs="Calibri"/>
        </w:rPr>
        <w:t xml:space="preserve"> </w:t>
      </w:r>
      <w:r>
        <w:rPr>
          <w:rFonts w:ascii="Calibri" w:hAnsi="Calibri" w:cs="Calibri"/>
        </w:rPr>
        <w:t xml:space="preserve">and the </w:t>
      </w:r>
      <w:r w:rsidRPr="00EE40D7">
        <w:rPr>
          <w:rFonts w:ascii="Calibri" w:hAnsi="Calibri" w:cs="Calibri"/>
        </w:rPr>
        <w:t>SSP to bring all office accommodation details into the ESP online reporting system for improvement.</w:t>
      </w:r>
    </w:p>
  </w:footnote>
  <w:footnote w:id="68">
    <w:p w14:paraId="185064F5" w14:textId="4E3AFAA7" w:rsidR="00CE3E19" w:rsidRPr="00F24CAA" w:rsidRDefault="00CE3E19" w:rsidP="000C2324">
      <w:pPr>
        <w:pStyle w:val="FootnoteText"/>
        <w:rPr>
          <w:rFonts w:ascii="Calibri" w:hAnsi="Calibri" w:cs="Calibri"/>
          <w:sz w:val="16"/>
          <w:szCs w:val="16"/>
          <w:lang w:val="en-AU"/>
        </w:rPr>
      </w:pPr>
      <w:r w:rsidRPr="00F24CAA">
        <w:rPr>
          <w:rStyle w:val="FootnoteReference"/>
          <w:rFonts w:ascii="Calibri" w:hAnsi="Calibri" w:cs="Calibri"/>
          <w:sz w:val="16"/>
          <w:szCs w:val="16"/>
        </w:rPr>
        <w:footnoteRef/>
      </w:r>
      <w:r w:rsidRPr="00F24CAA">
        <w:rPr>
          <w:rFonts w:ascii="Calibri" w:hAnsi="Calibri" w:cs="Calibri"/>
          <w:sz w:val="16"/>
          <w:szCs w:val="16"/>
        </w:rPr>
        <w:t xml:space="preserve"> Information on staff travel is not available this year</w:t>
      </w:r>
      <w:r w:rsidR="00872BDA" w:rsidRPr="00F24CAA">
        <w:rPr>
          <w:rFonts w:ascii="Calibri" w:hAnsi="Calibri" w:cs="Calibri"/>
          <w:sz w:val="16"/>
          <w:szCs w:val="16"/>
        </w:rPr>
        <w:t>,</w:t>
      </w:r>
      <w:r w:rsidRPr="00F24CAA">
        <w:rPr>
          <w:rFonts w:ascii="Calibri" w:hAnsi="Calibri" w:cs="Calibri"/>
          <w:sz w:val="16"/>
          <w:szCs w:val="16"/>
        </w:rPr>
        <w:t xml:space="preserve"> </w:t>
      </w:r>
      <w:r w:rsidR="00872BDA" w:rsidRPr="00F24CAA">
        <w:rPr>
          <w:rFonts w:ascii="Calibri" w:hAnsi="Calibri" w:cs="Calibri"/>
          <w:sz w:val="16"/>
          <w:szCs w:val="16"/>
        </w:rPr>
        <w:t>because</w:t>
      </w:r>
      <w:r w:rsidRPr="00F24CAA">
        <w:rPr>
          <w:rFonts w:ascii="Calibri" w:hAnsi="Calibri" w:cs="Calibri"/>
          <w:sz w:val="16"/>
          <w:szCs w:val="16"/>
        </w:rPr>
        <w:t xml:space="preserve"> the Department’s travel survey was not completed in March due to the COVID-19 pandemic. As the majority of staff were working from home the data collected would not be representative of normal staff travel.</w:t>
      </w:r>
    </w:p>
  </w:footnote>
  <w:footnote w:id="69">
    <w:p w14:paraId="47B60C9A" w14:textId="77777777" w:rsidR="00CE3E19" w:rsidRPr="00F24CAA" w:rsidRDefault="00CE3E19" w:rsidP="005C4068">
      <w:pPr>
        <w:pStyle w:val="FootnoteText"/>
        <w:rPr>
          <w:rFonts w:ascii="Calibri" w:hAnsi="Calibri" w:cs="Calibri"/>
          <w:sz w:val="16"/>
          <w:szCs w:val="16"/>
          <w:lang w:val="en-AU"/>
        </w:rPr>
      </w:pPr>
      <w:r w:rsidRPr="00F24CAA">
        <w:rPr>
          <w:rStyle w:val="FootnoteReference"/>
          <w:rFonts w:ascii="Calibri" w:hAnsi="Calibri" w:cs="Calibri"/>
          <w:sz w:val="16"/>
          <w:szCs w:val="16"/>
        </w:rPr>
        <w:footnoteRef/>
      </w:r>
      <w:r w:rsidRPr="00F24CAA">
        <w:rPr>
          <w:rFonts w:ascii="Calibri" w:hAnsi="Calibri" w:cs="Calibri"/>
          <w:sz w:val="16"/>
          <w:szCs w:val="16"/>
        </w:rPr>
        <w:t xml:space="preserve"> </w:t>
      </w:r>
      <w:r w:rsidRPr="00F24CAA">
        <w:rPr>
          <w:rFonts w:ascii="Calibri" w:hAnsi="Calibri" w:cs="Calibri"/>
          <w:sz w:val="16"/>
          <w:szCs w:val="16"/>
          <w:lang w:val="en-AU"/>
        </w:rPr>
        <w:t>Emissions for 2018–19 are based on waste from the five-day audit of the Treasury Precinct. This data is not comparable to that of previous years.</w:t>
      </w:r>
    </w:p>
  </w:footnote>
  <w:footnote w:id="70">
    <w:p w14:paraId="2E0E381A" w14:textId="77777777" w:rsidR="00CE3E19" w:rsidRPr="00F24CAA" w:rsidRDefault="00CE3E19" w:rsidP="005C4068">
      <w:pPr>
        <w:pStyle w:val="FootnoteText"/>
        <w:rPr>
          <w:rFonts w:ascii="Calibri" w:hAnsi="Calibri" w:cs="Calibri"/>
          <w:sz w:val="16"/>
          <w:szCs w:val="16"/>
          <w:lang w:val="en-AU"/>
        </w:rPr>
      </w:pPr>
      <w:r w:rsidRPr="00F24CAA">
        <w:rPr>
          <w:rStyle w:val="FootnoteReference"/>
          <w:rFonts w:ascii="Calibri" w:hAnsi="Calibri" w:cs="Calibri"/>
          <w:sz w:val="16"/>
          <w:szCs w:val="16"/>
        </w:rPr>
        <w:footnoteRef/>
      </w:r>
      <w:r w:rsidRPr="00F24CAA">
        <w:rPr>
          <w:rFonts w:ascii="Calibri" w:hAnsi="Calibri" w:cs="Calibri"/>
          <w:sz w:val="16"/>
          <w:szCs w:val="16"/>
        </w:rPr>
        <w:t xml:space="preserve"> Water supply is calculated using the Environmental Protection Authority Victoria’s methodology, and emissions factor for water consumption as derived from data available from water authorities.</w:t>
      </w:r>
    </w:p>
  </w:footnote>
  <w:footnote w:id="71">
    <w:p w14:paraId="728B1436" w14:textId="402E7684" w:rsidR="00CE3E19" w:rsidRPr="00E851E3" w:rsidRDefault="00CE3E19" w:rsidP="005C4068">
      <w:pPr>
        <w:pStyle w:val="FootnoteText"/>
        <w:rPr>
          <w:color w:val="FF0000"/>
          <w:lang w:val="en-AU"/>
        </w:rPr>
      </w:pPr>
      <w:r w:rsidRPr="00F24CAA">
        <w:rPr>
          <w:rStyle w:val="FootnoteReference"/>
          <w:rFonts w:ascii="Calibri" w:hAnsi="Calibri" w:cs="Calibri"/>
          <w:sz w:val="16"/>
          <w:szCs w:val="16"/>
        </w:rPr>
        <w:footnoteRef/>
      </w:r>
      <w:r w:rsidRPr="00F24CAA">
        <w:rPr>
          <w:rFonts w:ascii="Calibri" w:hAnsi="Calibri" w:cs="Calibri"/>
          <w:sz w:val="16"/>
          <w:szCs w:val="16"/>
        </w:rPr>
        <w:t xml:space="preserve"> Calculated total emissions for 2018–19 have been corrected to remove the offset of 538 t</w:t>
      </w:r>
      <w:r w:rsidR="007523DE" w:rsidRPr="00F24CAA">
        <w:rPr>
          <w:rFonts w:ascii="Calibri" w:hAnsi="Calibri" w:cs="Calibri"/>
          <w:sz w:val="16"/>
          <w:szCs w:val="16"/>
        </w:rPr>
        <w:t xml:space="preserve">onnes of </w:t>
      </w:r>
      <w:r w:rsidRPr="00F24CAA">
        <w:rPr>
          <w:rFonts w:ascii="Calibri" w:hAnsi="Calibri" w:cs="Calibri"/>
          <w:sz w:val="16"/>
          <w:szCs w:val="16"/>
        </w:rPr>
        <w:t>CO2-e that was incorrectly added rather than subtracted.</w:t>
      </w:r>
    </w:p>
  </w:footnote>
  <w:footnote w:id="72">
    <w:p w14:paraId="016ACB71" w14:textId="77777777" w:rsidR="00CE3E19" w:rsidRPr="00AB3C74" w:rsidRDefault="00CE3E19" w:rsidP="0047687A">
      <w:pPr>
        <w:pStyle w:val="FootnoteText"/>
        <w:rPr>
          <w:rFonts w:ascii="Calibri" w:hAnsi="Calibri" w:cs="Calibri"/>
          <w:sz w:val="16"/>
          <w:szCs w:val="16"/>
        </w:rPr>
      </w:pPr>
      <w:r w:rsidRPr="00AB3C74">
        <w:rPr>
          <w:rStyle w:val="FootnoteReference"/>
          <w:rFonts w:ascii="Calibri" w:hAnsi="Calibri" w:cs="Calibri"/>
          <w:sz w:val="16"/>
          <w:szCs w:val="16"/>
        </w:rPr>
        <w:footnoteRef/>
      </w:r>
      <w:r w:rsidRPr="00AB3C74">
        <w:rPr>
          <w:rFonts w:ascii="Calibri" w:hAnsi="Calibri" w:cs="Calibri"/>
          <w:sz w:val="16"/>
          <w:szCs w:val="16"/>
        </w:rPr>
        <w:t xml:space="preserve"> </w:t>
      </w:r>
      <w:r w:rsidRPr="00AB3C74">
        <w:rPr>
          <w:rStyle w:val="FoonoteChar"/>
          <w:rFonts w:ascii="Calibri" w:hAnsi="Calibri" w:cs="Calibri"/>
          <w:sz w:val="16"/>
          <w:szCs w:val="16"/>
          <w:lang w:val="en-AU"/>
        </w:rPr>
        <w:t>The $12.4 million appropriation transfer from provision for outputs to additions to net assets primarily comprises of $14.1 million for an underspend in depreciation leading to less depreciation equivalent funding available to fund the Department's capital program which must be replaced by additional additions to net assets funding.</w:t>
      </w:r>
    </w:p>
  </w:footnote>
  <w:footnote w:id="73">
    <w:p w14:paraId="790B645F" w14:textId="4DC9DC5E" w:rsidR="00CE3E19" w:rsidRPr="00AB3C74" w:rsidRDefault="00CE3E19" w:rsidP="0047687A">
      <w:pPr>
        <w:pStyle w:val="FootnoteText"/>
        <w:rPr>
          <w:rStyle w:val="FoonoteChar"/>
          <w:rFonts w:ascii="Calibri" w:hAnsi="Calibri" w:cs="Calibri"/>
          <w:sz w:val="16"/>
          <w:szCs w:val="16"/>
          <w:lang w:val="en-AU"/>
        </w:rPr>
      </w:pPr>
      <w:r w:rsidRPr="00AB3C74">
        <w:rPr>
          <w:rStyle w:val="FootnoteReference"/>
          <w:rFonts w:ascii="Calibri" w:hAnsi="Calibri" w:cs="Calibri"/>
          <w:sz w:val="16"/>
          <w:szCs w:val="16"/>
        </w:rPr>
        <w:footnoteRef/>
      </w:r>
      <w:bookmarkStart w:id="1260" w:name="_Hlk48853199"/>
      <w:r w:rsidRPr="00AB3C74">
        <w:rPr>
          <w:rStyle w:val="FootnoteReference"/>
          <w:rFonts w:ascii="Calibri" w:hAnsi="Calibri" w:cs="Calibri"/>
          <w:sz w:val="16"/>
          <w:szCs w:val="16"/>
        </w:rPr>
        <w:t xml:space="preserve"> </w:t>
      </w:r>
      <w:r w:rsidRPr="00AB3C74">
        <w:rPr>
          <w:rStyle w:val="FoonoteChar"/>
          <w:rFonts w:ascii="Calibri" w:hAnsi="Calibri" w:cs="Calibri"/>
          <w:sz w:val="16"/>
          <w:szCs w:val="16"/>
          <w:lang w:val="en-AU"/>
        </w:rPr>
        <w:t>The provision for outputs variance of $122.5 million is largely driven by carryover requested into 2021</w:t>
      </w:r>
      <w:r w:rsidR="00AA5CD7">
        <w:rPr>
          <w:rStyle w:val="FoonoteChar"/>
          <w:rFonts w:ascii="Calibri" w:hAnsi="Calibri" w:cs="Calibri"/>
          <w:sz w:val="16"/>
          <w:szCs w:val="16"/>
          <w:lang w:val="en-AU"/>
        </w:rPr>
        <w:t>–</w:t>
      </w:r>
      <w:r w:rsidRPr="00AB3C74">
        <w:rPr>
          <w:rStyle w:val="FoonoteChar"/>
          <w:rFonts w:ascii="Calibri" w:hAnsi="Calibri" w:cs="Calibri"/>
          <w:sz w:val="16"/>
          <w:szCs w:val="16"/>
          <w:lang w:val="en-AU"/>
        </w:rPr>
        <w:t xml:space="preserve">22 across State ($79.3 million) initiatives and Commonwealth ($8.7 million) initiatives. These include State initiatives such as $21.7 million for </w:t>
      </w:r>
      <w:r w:rsidRPr="00AA5CD7">
        <w:rPr>
          <w:rStyle w:val="FoonoteChar"/>
          <w:rFonts w:ascii="Calibri" w:hAnsi="Calibri" w:cs="Calibri"/>
          <w:sz w:val="16"/>
          <w:szCs w:val="16"/>
          <w:lang w:val="en-AU"/>
        </w:rPr>
        <w:t>Victorian Higher Education State Investment Fund</w:t>
      </w:r>
      <w:r w:rsidRPr="00AB3C74">
        <w:rPr>
          <w:rStyle w:val="FoonoteChar"/>
          <w:rFonts w:ascii="Calibri" w:hAnsi="Calibri" w:cs="Calibri"/>
          <w:sz w:val="16"/>
          <w:szCs w:val="16"/>
          <w:lang w:val="en-AU"/>
        </w:rPr>
        <w:t xml:space="preserve">, $5.2 million for </w:t>
      </w:r>
      <w:r w:rsidRPr="00AA5CD7">
        <w:rPr>
          <w:rStyle w:val="FoonoteChar"/>
          <w:rFonts w:ascii="Calibri" w:hAnsi="Calibri" w:cs="Calibri"/>
          <w:sz w:val="16"/>
          <w:szCs w:val="16"/>
          <w:lang w:val="en-AU"/>
        </w:rPr>
        <w:t>Apprenticeships Growth Strategy</w:t>
      </w:r>
      <w:r w:rsidRPr="00AB3C74">
        <w:rPr>
          <w:rStyle w:val="FoonoteChar"/>
          <w:rFonts w:ascii="Calibri" w:hAnsi="Calibri" w:cs="Calibri"/>
          <w:sz w:val="16"/>
          <w:szCs w:val="16"/>
          <w:lang w:val="en-AU"/>
        </w:rPr>
        <w:t xml:space="preserve">, $5.0 million for </w:t>
      </w:r>
      <w:r w:rsidRPr="00AA5CD7">
        <w:rPr>
          <w:rStyle w:val="FoonoteChar"/>
          <w:rFonts w:ascii="Calibri" w:hAnsi="Calibri" w:cs="Calibri"/>
          <w:sz w:val="16"/>
          <w:szCs w:val="16"/>
          <w:lang w:val="en-AU"/>
        </w:rPr>
        <w:t>TAFE Facilities Modernisation Program</w:t>
      </w:r>
      <w:r w:rsidRPr="00AB3C74">
        <w:rPr>
          <w:rStyle w:val="FoonoteChar"/>
          <w:rFonts w:ascii="Calibri" w:hAnsi="Calibri" w:cs="Calibri"/>
          <w:sz w:val="16"/>
          <w:szCs w:val="16"/>
          <w:lang w:val="en-AU"/>
        </w:rPr>
        <w:t xml:space="preserve"> and $4.8 million for </w:t>
      </w:r>
      <w:r w:rsidRPr="00AA5CD7">
        <w:rPr>
          <w:rStyle w:val="FoonoteChar"/>
          <w:rFonts w:ascii="Calibri" w:hAnsi="Calibri" w:cs="Calibri"/>
          <w:sz w:val="16"/>
          <w:szCs w:val="16"/>
          <w:lang w:val="en-AU"/>
        </w:rPr>
        <w:t>TAFE Asset Maintenance Program</w:t>
      </w:r>
      <w:r w:rsidRPr="00AB3C74">
        <w:rPr>
          <w:rStyle w:val="FoonoteChar"/>
          <w:rFonts w:ascii="Calibri" w:hAnsi="Calibri" w:cs="Calibri"/>
          <w:sz w:val="16"/>
          <w:szCs w:val="16"/>
          <w:lang w:val="en-AU"/>
        </w:rPr>
        <w:t>.</w:t>
      </w:r>
    </w:p>
    <w:bookmarkEnd w:id="1260"/>
    <w:p w14:paraId="451684CD" w14:textId="57913669" w:rsidR="00CE3E19" w:rsidRPr="00A500C6" w:rsidRDefault="00CE3E19" w:rsidP="0047687A">
      <w:pPr>
        <w:pStyle w:val="FootnoteText"/>
      </w:pPr>
      <w:r w:rsidRPr="00AB3C74">
        <w:rPr>
          <w:rStyle w:val="FoonoteChar"/>
          <w:rFonts w:ascii="Calibri" w:hAnsi="Calibri" w:cs="Calibri"/>
          <w:sz w:val="16"/>
          <w:szCs w:val="16"/>
          <w:lang w:val="en-AU"/>
        </w:rPr>
        <w:t xml:space="preserve">The additions to net assets variance of $414.0 million is largely driven by $343.3 million of funding that has been re-phased to future years. This includes initiatives such as $120.4 million for </w:t>
      </w:r>
      <w:r w:rsidRPr="00AA5CD7">
        <w:rPr>
          <w:rStyle w:val="FoonoteChar"/>
          <w:rFonts w:ascii="Calibri" w:hAnsi="Calibri" w:cs="Calibri"/>
          <w:sz w:val="16"/>
          <w:szCs w:val="16"/>
          <w:lang w:val="en-AU"/>
        </w:rPr>
        <w:t>Upgrades and Modernisation</w:t>
      </w:r>
      <w:r w:rsidRPr="00AB3C74">
        <w:rPr>
          <w:rStyle w:val="FoonoteChar"/>
          <w:rFonts w:ascii="Calibri" w:hAnsi="Calibri" w:cs="Calibri"/>
          <w:sz w:val="16"/>
          <w:szCs w:val="16"/>
          <w:lang w:val="en-AU"/>
        </w:rPr>
        <w:t xml:space="preserve">, $102.4 million for </w:t>
      </w:r>
      <w:r w:rsidRPr="00AA5CD7">
        <w:rPr>
          <w:rStyle w:val="FoonoteChar"/>
          <w:rFonts w:ascii="Calibri" w:hAnsi="Calibri" w:cs="Calibri"/>
          <w:sz w:val="16"/>
          <w:szCs w:val="16"/>
          <w:lang w:val="en-AU"/>
        </w:rPr>
        <w:t>New Schools Construction and Education Plans</w:t>
      </w:r>
      <w:r w:rsidRPr="00AB3C74">
        <w:rPr>
          <w:rStyle w:val="FoonoteChar"/>
          <w:rFonts w:ascii="Calibri" w:hAnsi="Calibri" w:cs="Calibri"/>
          <w:sz w:val="16"/>
          <w:szCs w:val="16"/>
          <w:lang w:val="en-AU"/>
        </w:rPr>
        <w:t xml:space="preserve">, $71.6 million for </w:t>
      </w:r>
      <w:r w:rsidRPr="00AA5CD7">
        <w:rPr>
          <w:rStyle w:val="FoonoteChar"/>
          <w:rFonts w:ascii="Calibri" w:hAnsi="Calibri" w:cs="Calibri"/>
          <w:sz w:val="16"/>
          <w:szCs w:val="16"/>
          <w:lang w:val="en-AU"/>
        </w:rPr>
        <w:t>Land Acquisition</w:t>
      </w:r>
      <w:r w:rsidRPr="00AB3C74">
        <w:rPr>
          <w:rStyle w:val="FoonoteChar"/>
          <w:rFonts w:ascii="Calibri" w:hAnsi="Calibri" w:cs="Calibri"/>
          <w:sz w:val="16"/>
          <w:szCs w:val="16"/>
          <w:lang w:val="en-AU"/>
        </w:rPr>
        <w:t xml:space="preserve"> and $25.8 million for </w:t>
      </w:r>
      <w:r w:rsidRPr="00AA5CD7">
        <w:rPr>
          <w:rStyle w:val="FoonoteChar"/>
          <w:rFonts w:ascii="Calibri" w:hAnsi="Calibri" w:cs="Calibri"/>
          <w:sz w:val="16"/>
          <w:szCs w:val="16"/>
          <w:lang w:val="en-AU"/>
        </w:rPr>
        <w:t>Ready for school</w:t>
      </w:r>
      <w:r w:rsidR="00AA5CD7">
        <w:rPr>
          <w:rStyle w:val="DETFootnoteTextforobjectivestablesOHStableChar"/>
          <w:rFonts w:ascii="Arial" w:eastAsiaTheme="minorEastAsia" w:hAnsi="Arial"/>
        </w:rPr>
        <w:t>–K</w:t>
      </w:r>
      <w:r w:rsidRPr="00AA5CD7">
        <w:rPr>
          <w:rStyle w:val="FoonoteChar"/>
          <w:rFonts w:ascii="Calibri" w:hAnsi="Calibri" w:cs="Calibri"/>
          <w:sz w:val="16"/>
          <w:szCs w:val="16"/>
          <w:lang w:val="en-AU"/>
        </w:rPr>
        <w:t>inder for every three-year-old</w:t>
      </w:r>
      <w:r w:rsidRPr="00AB3C74">
        <w:rPr>
          <w:rStyle w:val="FoonoteChar"/>
          <w:rFonts w:ascii="Calibri" w:hAnsi="Calibri" w:cs="Calibri"/>
          <w:sz w:val="16"/>
          <w:szCs w:val="16"/>
          <w:lang w:val="en-AU"/>
        </w:rPr>
        <w:t>. This is also driven by $24.9 million of carryover requested into 2021–22, including $21.3 million of Schools Capital Program funding.</w:t>
      </w:r>
    </w:p>
  </w:footnote>
  <w:footnote w:id="74">
    <w:p w14:paraId="0BF18E42" w14:textId="56692E5B" w:rsidR="00CE3E19" w:rsidRPr="006E7103" w:rsidRDefault="00CE3E19" w:rsidP="00EA3BAF">
      <w:pPr>
        <w:pStyle w:val="DETFootnoteTextforobjectivestablesOHStable"/>
        <w:tabs>
          <w:tab w:val="clear" w:pos="142"/>
          <w:tab w:val="left" w:pos="0"/>
        </w:tabs>
        <w:spacing w:line="240" w:lineRule="auto"/>
        <w:ind w:left="0" w:firstLine="0"/>
        <w:rPr>
          <w:rFonts w:ascii="Calibri" w:hAnsi="Calibri" w:cs="Calibri"/>
          <w:sz w:val="16"/>
        </w:rPr>
      </w:pPr>
      <w:r w:rsidRPr="006E7103">
        <w:rPr>
          <w:rStyle w:val="FootnoteReference"/>
          <w:rFonts w:ascii="Calibri" w:eastAsiaTheme="majorEastAsia" w:hAnsi="Calibri" w:cs="Calibri"/>
          <w:color w:val="auto"/>
          <w:sz w:val="16"/>
        </w:rPr>
        <w:footnoteRef/>
      </w:r>
      <w:r w:rsidRPr="006E7103">
        <w:rPr>
          <w:rStyle w:val="DETFootnoteTextforobjectivestablesOHStableChar"/>
          <w:rFonts w:ascii="Calibri" w:hAnsi="Calibri" w:cs="Calibri"/>
          <w:sz w:val="16"/>
        </w:rPr>
        <w:t xml:space="preserve"> </w:t>
      </w:r>
      <w:r w:rsidRPr="006E7103">
        <w:rPr>
          <w:rStyle w:val="DETFootnoteTextforobjectivestablesOHStableChar"/>
          <w:rFonts w:ascii="Calibri" w:eastAsiaTheme="minorEastAsia" w:hAnsi="Calibri" w:cs="Calibri"/>
          <w:sz w:val="16"/>
        </w:rPr>
        <w:t>The $21.5 million appropriation transfer from provision for outputs to additions to net assets primarily includes $20.3 million for an underspend in depreciation leading to less depreciation equivalent funding available to fund the Departmen</w:t>
      </w:r>
      <w:r w:rsidR="00AB3C74">
        <w:rPr>
          <w:rStyle w:val="DETFootnoteTextforobjectivestablesOHStableChar"/>
          <w:rFonts w:ascii="Calibri" w:eastAsiaTheme="minorEastAsia" w:hAnsi="Calibri" w:cs="Calibri"/>
          <w:sz w:val="16"/>
        </w:rPr>
        <w:t>t’</w:t>
      </w:r>
      <w:r w:rsidRPr="006E7103">
        <w:rPr>
          <w:rStyle w:val="DETFootnoteTextforobjectivestablesOHStableChar"/>
          <w:rFonts w:ascii="Calibri" w:eastAsiaTheme="minorEastAsia" w:hAnsi="Calibri" w:cs="Calibri"/>
          <w:sz w:val="16"/>
        </w:rPr>
        <w:t>s capital program</w:t>
      </w:r>
      <w:r w:rsidR="00AB3C74">
        <w:rPr>
          <w:rStyle w:val="DETFootnoteTextforobjectivestablesOHStableChar"/>
          <w:rFonts w:ascii="Calibri" w:eastAsiaTheme="minorEastAsia" w:hAnsi="Calibri" w:cs="Calibri"/>
          <w:sz w:val="16"/>
        </w:rPr>
        <w:t>,</w:t>
      </w:r>
      <w:r w:rsidRPr="006E7103">
        <w:rPr>
          <w:rStyle w:val="DETFootnoteTextforobjectivestablesOHStableChar"/>
          <w:rFonts w:ascii="Calibri" w:eastAsiaTheme="minorEastAsia" w:hAnsi="Calibri" w:cs="Calibri"/>
          <w:sz w:val="16"/>
        </w:rPr>
        <w:t xml:space="preserve"> which must be replaced by additional additions to net assets funding.</w:t>
      </w:r>
    </w:p>
  </w:footnote>
  <w:footnote w:id="75">
    <w:p w14:paraId="4CEB2F06" w14:textId="467DEC23" w:rsidR="00CE3E19" w:rsidRPr="006E7103" w:rsidRDefault="00CE3E19" w:rsidP="0047687A">
      <w:pPr>
        <w:pStyle w:val="Foonote"/>
        <w:rPr>
          <w:rStyle w:val="DETFootnoteTextforobjectivestablesOHStableChar"/>
          <w:rFonts w:ascii="Calibri" w:eastAsiaTheme="minorEastAsia" w:hAnsi="Calibri" w:cs="Calibri"/>
          <w:sz w:val="16"/>
        </w:rPr>
      </w:pPr>
      <w:r w:rsidRPr="006E7103">
        <w:rPr>
          <w:rStyle w:val="FootnoteReference"/>
          <w:rFonts w:ascii="Calibri" w:eastAsia="Times New Roman" w:hAnsi="Calibri" w:cs="Calibri"/>
          <w:sz w:val="16"/>
          <w:szCs w:val="16"/>
          <w:lang w:val="en-AU"/>
        </w:rPr>
        <w:footnoteRef/>
      </w:r>
      <w:r w:rsidRPr="006E7103">
        <w:rPr>
          <w:rStyle w:val="FootnoteReference"/>
          <w:rFonts w:ascii="Calibri" w:eastAsia="Times New Roman" w:hAnsi="Calibri" w:cs="Calibri"/>
          <w:sz w:val="16"/>
          <w:szCs w:val="16"/>
          <w:lang w:val="en-AU"/>
        </w:rPr>
        <w:t xml:space="preserve"> </w:t>
      </w:r>
      <w:r w:rsidRPr="006E7103">
        <w:rPr>
          <w:rStyle w:val="DETFootnoteTextforobjectivestablesOHStableChar"/>
          <w:rFonts w:ascii="Calibri" w:eastAsiaTheme="minorEastAsia" w:hAnsi="Calibri" w:cs="Calibri"/>
          <w:sz w:val="16"/>
        </w:rPr>
        <w:t>The provision for outputs variance of $74.2 million is largely driven by carryover approved into 2020</w:t>
      </w:r>
      <w:r w:rsidR="00AB3C74">
        <w:rPr>
          <w:rStyle w:val="DETFootnoteTextforobjectivestablesOHStableChar"/>
          <w:rFonts w:ascii="Calibri" w:eastAsiaTheme="minorEastAsia" w:hAnsi="Calibri" w:cs="Calibri"/>
          <w:sz w:val="16"/>
        </w:rPr>
        <w:t>–</w:t>
      </w:r>
      <w:r w:rsidRPr="006E7103">
        <w:rPr>
          <w:rStyle w:val="DETFootnoteTextforobjectivestablesOHStableChar"/>
          <w:rFonts w:ascii="Calibri" w:eastAsiaTheme="minorEastAsia" w:hAnsi="Calibri" w:cs="Calibri"/>
          <w:sz w:val="16"/>
        </w:rPr>
        <w:t xml:space="preserve">21 across State ($57.1 million) initiatives and Commonwealth ($0.4 million) initiatives. These include State initiatives such as $10.0 million for </w:t>
      </w:r>
      <w:r w:rsidRPr="006E7103">
        <w:rPr>
          <w:rStyle w:val="DETFootnoteTextforobjectivestablesOHStableChar"/>
          <w:rFonts w:ascii="Calibri" w:eastAsiaTheme="minorEastAsia" w:hAnsi="Calibri" w:cs="Calibri"/>
          <w:i/>
          <w:iCs/>
          <w:sz w:val="16"/>
        </w:rPr>
        <w:t>TAFE Facilities Modernisation Program</w:t>
      </w:r>
      <w:r w:rsidRPr="006E7103">
        <w:rPr>
          <w:rStyle w:val="DETFootnoteTextforobjectivestablesOHStableChar"/>
          <w:rFonts w:ascii="Calibri" w:eastAsiaTheme="minorEastAsia" w:hAnsi="Calibri" w:cs="Calibri"/>
          <w:sz w:val="16"/>
        </w:rPr>
        <w:t xml:space="preserve">, $8.6 million for </w:t>
      </w:r>
      <w:r w:rsidRPr="006E7103">
        <w:rPr>
          <w:rStyle w:val="DETFootnoteTextforobjectivestablesOHStableChar"/>
          <w:rFonts w:ascii="Calibri" w:eastAsiaTheme="minorEastAsia" w:hAnsi="Calibri" w:cs="Calibri"/>
          <w:i/>
          <w:iCs/>
          <w:sz w:val="16"/>
        </w:rPr>
        <w:t>Planned Maintenance Program</w:t>
      </w:r>
      <w:r w:rsidRPr="006E7103">
        <w:rPr>
          <w:rStyle w:val="DETFootnoteTextforobjectivestablesOHStableChar"/>
          <w:rFonts w:ascii="Calibri" w:eastAsiaTheme="minorEastAsia" w:hAnsi="Calibri" w:cs="Calibri"/>
          <w:sz w:val="16"/>
        </w:rPr>
        <w:t xml:space="preserve">, $4.6 million for </w:t>
      </w:r>
      <w:r w:rsidRPr="006E7103">
        <w:rPr>
          <w:rStyle w:val="DETFootnoteTextforobjectivestablesOHStableChar"/>
          <w:rFonts w:ascii="Calibri" w:eastAsiaTheme="minorEastAsia" w:hAnsi="Calibri" w:cs="Calibri"/>
          <w:i/>
          <w:iCs/>
          <w:sz w:val="16"/>
        </w:rPr>
        <w:t>Quality Apprenticeships</w:t>
      </w:r>
      <w:r w:rsidRPr="006E7103">
        <w:rPr>
          <w:rStyle w:val="DETFootnoteTextforobjectivestablesOHStableChar"/>
          <w:rFonts w:ascii="Calibri" w:eastAsiaTheme="minorEastAsia" w:hAnsi="Calibri" w:cs="Calibri"/>
          <w:sz w:val="16"/>
        </w:rPr>
        <w:t xml:space="preserve"> and $3.7 million for </w:t>
      </w:r>
      <w:r w:rsidRPr="00AB3C74">
        <w:rPr>
          <w:rStyle w:val="DETFootnoteTextforobjectivestablesOHStableChar"/>
          <w:rFonts w:ascii="Calibri" w:eastAsiaTheme="minorEastAsia" w:hAnsi="Calibri" w:cs="Calibri"/>
          <w:sz w:val="16"/>
        </w:rPr>
        <w:t>Digital Education</w:t>
      </w:r>
      <w:r w:rsidR="00AB3C74" w:rsidRPr="00AB3C74">
        <w:t>—</w:t>
      </w:r>
      <w:r w:rsidRPr="00AB3C74">
        <w:rPr>
          <w:rStyle w:val="DETFootnoteTextforobjectivestablesOHStableChar"/>
          <w:rFonts w:ascii="Calibri" w:eastAsiaTheme="minorEastAsia" w:hAnsi="Calibri" w:cs="Calibri"/>
          <w:sz w:val="16"/>
        </w:rPr>
        <w:t>Critical IT Supporting Every Student</w:t>
      </w:r>
      <w:r w:rsidRPr="006E7103">
        <w:rPr>
          <w:rStyle w:val="DETFootnoteTextforobjectivestablesOHStableChar"/>
          <w:rFonts w:ascii="Calibri" w:eastAsiaTheme="minorEastAsia" w:hAnsi="Calibri" w:cs="Calibri"/>
          <w:sz w:val="16"/>
        </w:rPr>
        <w:t>.</w:t>
      </w:r>
    </w:p>
    <w:p w14:paraId="7577EA18" w14:textId="59492B79" w:rsidR="00CE3E19" w:rsidRPr="00DA2351" w:rsidRDefault="00CE3E19" w:rsidP="0047687A">
      <w:pPr>
        <w:pStyle w:val="Foonote"/>
      </w:pPr>
      <w:r w:rsidRPr="006E7103">
        <w:rPr>
          <w:rStyle w:val="DETFootnoteTextforobjectivestablesOHStableChar"/>
          <w:rFonts w:ascii="Calibri" w:eastAsiaTheme="minorEastAsia" w:hAnsi="Calibri" w:cs="Calibri"/>
          <w:sz w:val="16"/>
        </w:rPr>
        <w:t xml:space="preserve">The additions to net assets variance of $492.4 million includes a funding swap of $211.0 million from additions to net assets and section 33 special appropriation to access prior years depreciation equivalent balance held in the State Administration Unit to fund the </w:t>
      </w:r>
      <w:r w:rsidR="00AA5CD7">
        <w:rPr>
          <w:rStyle w:val="DETFootnoteTextforobjectivestablesOHStableChar"/>
          <w:rFonts w:ascii="Calibri" w:eastAsiaTheme="minorEastAsia" w:hAnsi="Calibri" w:cs="Calibri"/>
          <w:sz w:val="16"/>
        </w:rPr>
        <w:t>D</w:t>
      </w:r>
      <w:r w:rsidRPr="006E7103">
        <w:rPr>
          <w:rStyle w:val="DETFootnoteTextforobjectivestablesOHStableChar"/>
          <w:rFonts w:ascii="Calibri" w:eastAsiaTheme="minorEastAsia" w:hAnsi="Calibri" w:cs="Calibri"/>
          <w:sz w:val="16"/>
        </w:rPr>
        <w:t>epartment's capital program to comply with section 3.5.2 'Order of funding for approved asset investments', $157.5 million of carryover approved into 2020</w:t>
      </w:r>
      <w:r w:rsidR="00AB3C74">
        <w:rPr>
          <w:rStyle w:val="DETFootnoteTextforobjectivestablesOHStableChar"/>
          <w:rFonts w:ascii="Calibri" w:eastAsiaTheme="minorEastAsia" w:hAnsi="Calibri" w:cs="Calibri"/>
          <w:sz w:val="16"/>
        </w:rPr>
        <w:t>–</w:t>
      </w:r>
      <w:r w:rsidRPr="006E7103">
        <w:rPr>
          <w:rStyle w:val="DETFootnoteTextforobjectivestablesOHStableChar"/>
          <w:rFonts w:ascii="Calibri" w:eastAsiaTheme="minorEastAsia" w:hAnsi="Calibri" w:cs="Calibri"/>
          <w:sz w:val="16"/>
        </w:rPr>
        <w:t>21, including the 2019</w:t>
      </w:r>
      <w:r w:rsidR="00AB3C74">
        <w:rPr>
          <w:rStyle w:val="DETFootnoteTextforobjectivestablesOHStableChar"/>
          <w:rFonts w:ascii="Calibri" w:eastAsiaTheme="minorEastAsia" w:hAnsi="Calibri" w:cs="Calibri"/>
          <w:sz w:val="16"/>
        </w:rPr>
        <w:t>–</w:t>
      </w:r>
      <w:r w:rsidRPr="006E7103">
        <w:rPr>
          <w:rStyle w:val="DETFootnoteTextforobjectivestablesOHStableChar"/>
          <w:rFonts w:ascii="Calibri" w:eastAsiaTheme="minorEastAsia" w:hAnsi="Calibri" w:cs="Calibri"/>
          <w:sz w:val="16"/>
        </w:rPr>
        <w:t>20 ($58.0 million) and prior year ($99.5 million) School Capital Programs. In addition</w:t>
      </w:r>
      <w:r w:rsidR="00AB3C74">
        <w:rPr>
          <w:rStyle w:val="DETFootnoteTextforobjectivestablesOHStableChar"/>
          <w:rFonts w:ascii="Calibri" w:eastAsiaTheme="minorEastAsia" w:hAnsi="Calibri" w:cs="Calibri"/>
          <w:sz w:val="16"/>
        </w:rPr>
        <w:t>,</w:t>
      </w:r>
      <w:r w:rsidRPr="006E7103">
        <w:rPr>
          <w:rStyle w:val="DETFootnoteTextforobjectivestablesOHStableChar"/>
          <w:rFonts w:ascii="Calibri" w:eastAsiaTheme="minorEastAsia" w:hAnsi="Calibri" w:cs="Calibri"/>
          <w:sz w:val="16"/>
        </w:rPr>
        <w:t xml:space="preserve"> $193.2 million was re-phased into future years to reflect revised implementation timelines. Programs re-phased to future years ($193.2 million) include </w:t>
      </w:r>
      <w:r w:rsidRPr="006E7103">
        <w:rPr>
          <w:rStyle w:val="DETFootnoteTextforobjectivestablesOHStableChar"/>
          <w:rFonts w:ascii="Calibri" w:eastAsiaTheme="minorEastAsia" w:hAnsi="Calibri" w:cs="Calibri"/>
          <w:i/>
          <w:iCs/>
          <w:sz w:val="16"/>
        </w:rPr>
        <w:t>New Schools Construction</w:t>
      </w:r>
      <w:r w:rsidRPr="006E7103">
        <w:rPr>
          <w:rStyle w:val="DETFootnoteTextforobjectivestablesOHStableChar"/>
          <w:rFonts w:ascii="Calibri" w:eastAsiaTheme="minorEastAsia" w:hAnsi="Calibri" w:cs="Calibri"/>
          <w:sz w:val="16"/>
        </w:rPr>
        <w:t xml:space="preserve"> ($71.0 million), </w:t>
      </w:r>
      <w:r w:rsidRPr="006E7103">
        <w:rPr>
          <w:rStyle w:val="DETFootnoteTextforobjectivestablesOHStableChar"/>
          <w:rFonts w:ascii="Calibri" w:eastAsiaTheme="minorEastAsia" w:hAnsi="Calibri" w:cs="Calibri"/>
          <w:i/>
          <w:iCs/>
          <w:sz w:val="16"/>
        </w:rPr>
        <w:t>Land Acquisition</w:t>
      </w:r>
      <w:r w:rsidRPr="006E7103">
        <w:rPr>
          <w:rStyle w:val="DETFootnoteTextforobjectivestablesOHStableChar"/>
          <w:rFonts w:ascii="Calibri" w:eastAsiaTheme="minorEastAsia" w:hAnsi="Calibri" w:cs="Calibri"/>
          <w:sz w:val="16"/>
        </w:rPr>
        <w:t xml:space="preserve"> ($49.2 million) and </w:t>
      </w:r>
      <w:r w:rsidRPr="006E7103">
        <w:rPr>
          <w:rStyle w:val="DETFootnoteTextforobjectivestablesOHStableChar"/>
          <w:rFonts w:ascii="Calibri" w:eastAsiaTheme="minorEastAsia" w:hAnsi="Calibri" w:cs="Calibri"/>
          <w:i/>
          <w:iCs/>
          <w:sz w:val="16"/>
        </w:rPr>
        <w:t>Ready for School</w:t>
      </w:r>
      <w:r w:rsidR="00AA5CD7" w:rsidRPr="00AB3C74">
        <w:t>—</w:t>
      </w:r>
      <w:r w:rsidRPr="006E7103">
        <w:rPr>
          <w:rStyle w:val="DETFootnoteTextforobjectivestablesOHStableChar"/>
          <w:rFonts w:ascii="Calibri" w:eastAsiaTheme="minorEastAsia" w:hAnsi="Calibri" w:cs="Calibri"/>
          <w:i/>
          <w:iCs/>
          <w:sz w:val="16"/>
        </w:rPr>
        <w:t>Kinder for Every Three-year Old</w:t>
      </w:r>
      <w:r w:rsidRPr="006E7103">
        <w:rPr>
          <w:rStyle w:val="DETFootnoteTextforobjectivestablesOHStableChar"/>
          <w:rFonts w:ascii="Calibri" w:eastAsiaTheme="minorEastAsia" w:hAnsi="Calibri" w:cs="Calibri"/>
          <w:sz w:val="16"/>
        </w:rPr>
        <w:t xml:space="preserve"> ($39.4 million). These underspends are offset by additional funding</w:t>
      </w:r>
      <w:r w:rsidR="00AB3C74">
        <w:rPr>
          <w:rStyle w:val="DETFootnoteTextforobjectivestablesOHStableChar"/>
          <w:rFonts w:ascii="Calibri" w:eastAsiaTheme="minorEastAsia" w:hAnsi="Calibri" w:cs="Calibri"/>
          <w:sz w:val="16"/>
        </w:rPr>
        <w:t>,</w:t>
      </w:r>
      <w:r w:rsidRPr="006E7103">
        <w:rPr>
          <w:rStyle w:val="DETFootnoteTextforobjectivestablesOHStableChar"/>
          <w:rFonts w:ascii="Calibri" w:eastAsiaTheme="minorEastAsia" w:hAnsi="Calibri" w:cs="Calibri"/>
          <w:sz w:val="16"/>
        </w:rPr>
        <w:t xml:space="preserve"> including </w:t>
      </w:r>
      <w:r w:rsidRPr="006E7103">
        <w:rPr>
          <w:rStyle w:val="DETFootnoteTextforobjectivestablesOHStableChar"/>
          <w:rFonts w:ascii="Calibri" w:eastAsiaTheme="minorEastAsia" w:hAnsi="Calibri" w:cs="Calibri"/>
          <w:i/>
          <w:iCs/>
          <w:sz w:val="16"/>
        </w:rPr>
        <w:t>2018</w:t>
      </w:r>
      <w:r w:rsidR="00AB3C74">
        <w:rPr>
          <w:rStyle w:val="DETFootnoteTextforobjectivestablesOHStableChar"/>
          <w:rFonts w:ascii="Calibri" w:eastAsiaTheme="minorEastAsia" w:hAnsi="Calibri" w:cs="Calibri"/>
          <w:i/>
          <w:iCs/>
          <w:sz w:val="16"/>
        </w:rPr>
        <w:t>–</w:t>
      </w:r>
      <w:r w:rsidRPr="006E7103">
        <w:rPr>
          <w:rStyle w:val="DETFootnoteTextforobjectivestablesOHStableChar"/>
          <w:rFonts w:ascii="Calibri" w:eastAsiaTheme="minorEastAsia" w:hAnsi="Calibri" w:cs="Calibri"/>
          <w:i/>
          <w:iCs/>
          <w:sz w:val="16"/>
        </w:rPr>
        <w:t>19 State Capital Program Realignment</w:t>
      </w:r>
      <w:r w:rsidRPr="006E7103">
        <w:rPr>
          <w:rStyle w:val="DETFootnoteTextforobjectivestablesOHStableChar"/>
          <w:rFonts w:ascii="Calibri" w:eastAsiaTheme="minorEastAsia" w:hAnsi="Calibri" w:cs="Calibri"/>
          <w:sz w:val="16"/>
        </w:rPr>
        <w:t xml:space="preserve"> ($42.7 million), </w:t>
      </w:r>
      <w:r w:rsidRPr="006E7103">
        <w:rPr>
          <w:rStyle w:val="DETFootnoteTextforobjectivestablesOHStableChar"/>
          <w:rFonts w:ascii="Calibri" w:eastAsiaTheme="minorEastAsia" w:hAnsi="Calibri" w:cs="Calibri"/>
          <w:i/>
          <w:iCs/>
          <w:sz w:val="16"/>
        </w:rPr>
        <w:t>Essential Maintenance and Compliance</w:t>
      </w:r>
      <w:r w:rsidRPr="006E7103">
        <w:rPr>
          <w:rStyle w:val="DETFootnoteTextforobjectivestablesOHStableChar"/>
          <w:rFonts w:ascii="Calibri" w:eastAsiaTheme="minorEastAsia" w:hAnsi="Calibri" w:cs="Calibri"/>
          <w:sz w:val="16"/>
        </w:rPr>
        <w:t xml:space="preserve"> ($18.2 million) and </w:t>
      </w:r>
      <w:r w:rsidRPr="006E7103">
        <w:rPr>
          <w:rStyle w:val="DETFootnoteTextforobjectivestablesOHStableChar"/>
          <w:rFonts w:ascii="Calibri" w:eastAsiaTheme="minorEastAsia" w:hAnsi="Calibri" w:cs="Calibri"/>
          <w:i/>
          <w:iCs/>
          <w:sz w:val="16"/>
        </w:rPr>
        <w:t>Fitzroy Gasworks</w:t>
      </w:r>
      <w:r w:rsidRPr="006E7103">
        <w:rPr>
          <w:rStyle w:val="DETFootnoteTextforobjectivestablesOHStableChar"/>
          <w:rFonts w:ascii="Calibri" w:eastAsiaTheme="minorEastAsia" w:hAnsi="Calibri" w:cs="Calibri"/>
          <w:sz w:val="16"/>
        </w:rPr>
        <w:t xml:space="preserve"> ($13.1 million).</w:t>
      </w:r>
    </w:p>
  </w:footnote>
  <w:footnote w:id="76">
    <w:p w14:paraId="145C90A9" w14:textId="533E63DF" w:rsidR="00CE3E19" w:rsidRPr="00572811" w:rsidRDefault="00CE3E19" w:rsidP="0047687A">
      <w:pPr>
        <w:pStyle w:val="FootnoteText"/>
        <w:rPr>
          <w:rFonts w:ascii="Calibri" w:hAnsi="Calibri" w:cs="Calibri"/>
          <w:sz w:val="16"/>
          <w:szCs w:val="16"/>
        </w:rPr>
      </w:pPr>
      <w:r w:rsidRPr="00572811">
        <w:rPr>
          <w:rStyle w:val="FootnoteReference"/>
          <w:rFonts w:ascii="Calibri" w:hAnsi="Calibri" w:cs="Calibri"/>
          <w:sz w:val="16"/>
          <w:szCs w:val="16"/>
        </w:rPr>
        <w:footnoteRef/>
      </w:r>
      <w:r w:rsidRPr="00572811">
        <w:rPr>
          <w:rFonts w:ascii="Calibri" w:hAnsi="Calibri" w:cs="Calibri"/>
          <w:sz w:val="16"/>
          <w:szCs w:val="16"/>
        </w:rPr>
        <w:t xml:space="preserve"> The $8.0 million increase in 2020–21 </w:t>
      </w:r>
      <w:r w:rsidR="0075283F">
        <w:rPr>
          <w:rFonts w:ascii="Calibri" w:hAnsi="Calibri" w:cs="Calibri"/>
          <w:sz w:val="16"/>
          <w:szCs w:val="16"/>
        </w:rPr>
        <w:t>income</w:t>
      </w:r>
      <w:r w:rsidRPr="00572811">
        <w:rPr>
          <w:rFonts w:ascii="Calibri" w:hAnsi="Calibri" w:cs="Calibri"/>
          <w:sz w:val="16"/>
          <w:szCs w:val="16"/>
        </w:rPr>
        <w:t xml:space="preserve"> from municipal councils compared to 2019</w:t>
      </w:r>
      <w:r w:rsidR="00AB3C74">
        <w:rPr>
          <w:rFonts w:ascii="Calibri" w:hAnsi="Calibri" w:cs="Calibri"/>
          <w:sz w:val="16"/>
          <w:szCs w:val="16"/>
        </w:rPr>
        <w:t>–</w:t>
      </w:r>
      <w:r w:rsidRPr="00572811">
        <w:rPr>
          <w:rFonts w:ascii="Calibri" w:hAnsi="Calibri" w:cs="Calibri"/>
          <w:sz w:val="16"/>
          <w:szCs w:val="16"/>
        </w:rPr>
        <w:t>20 relates to increases in capital contributions from local councils as a co-contribution to the Victorian School Building Authority</w:t>
      </w:r>
      <w:r w:rsidR="00AB3C74">
        <w:rPr>
          <w:rFonts w:ascii="Calibri" w:hAnsi="Calibri" w:cs="Calibri"/>
          <w:sz w:val="16"/>
          <w:szCs w:val="16"/>
        </w:rPr>
        <w:t>’</w:t>
      </w:r>
      <w:r w:rsidRPr="00572811">
        <w:rPr>
          <w:rFonts w:ascii="Calibri" w:hAnsi="Calibri" w:cs="Calibri"/>
          <w:sz w:val="16"/>
          <w:szCs w:val="16"/>
        </w:rPr>
        <w:t>s school capital program.</w:t>
      </w:r>
    </w:p>
  </w:footnote>
  <w:footnote w:id="77">
    <w:p w14:paraId="3E265346" w14:textId="79186142" w:rsidR="00CE3E19" w:rsidRDefault="00CE3E19" w:rsidP="0047687A">
      <w:pPr>
        <w:pStyle w:val="FootnoteText"/>
      </w:pPr>
      <w:r w:rsidRPr="00572811">
        <w:rPr>
          <w:rStyle w:val="FootnoteReference"/>
          <w:rFonts w:ascii="Calibri" w:hAnsi="Calibri" w:cs="Calibri"/>
          <w:sz w:val="16"/>
          <w:szCs w:val="16"/>
        </w:rPr>
        <w:footnoteRef/>
      </w:r>
      <w:r w:rsidRPr="00572811">
        <w:rPr>
          <w:rFonts w:ascii="Calibri" w:hAnsi="Calibri" w:cs="Calibri"/>
          <w:sz w:val="16"/>
          <w:szCs w:val="16"/>
        </w:rPr>
        <w:t xml:space="preserve"> The Local Schools Community Fund lapsed in 2019–20.</w:t>
      </w:r>
    </w:p>
  </w:footnote>
  <w:footnote w:id="78">
    <w:p w14:paraId="5F5580E4" w14:textId="20A4B966" w:rsidR="00CE3E19" w:rsidRPr="00572811" w:rsidRDefault="00CE3E19" w:rsidP="0047687A">
      <w:pPr>
        <w:pStyle w:val="FootnoteText"/>
        <w:rPr>
          <w:rFonts w:ascii="Calibri" w:hAnsi="Calibri" w:cs="Calibri"/>
          <w:sz w:val="16"/>
          <w:szCs w:val="16"/>
        </w:rPr>
      </w:pPr>
      <w:r w:rsidRPr="00572811">
        <w:rPr>
          <w:rStyle w:val="FootnoteReference"/>
          <w:rFonts w:ascii="Calibri" w:hAnsi="Calibri" w:cs="Calibri"/>
          <w:sz w:val="16"/>
          <w:szCs w:val="16"/>
        </w:rPr>
        <w:footnoteRef/>
      </w:r>
      <w:r w:rsidRPr="00572811">
        <w:rPr>
          <w:rFonts w:ascii="Calibri" w:hAnsi="Calibri" w:cs="Calibri"/>
          <w:sz w:val="16"/>
          <w:szCs w:val="16"/>
        </w:rPr>
        <w:t xml:space="preserve"> Reflected as </w:t>
      </w:r>
      <w:r w:rsidR="00AB3C74">
        <w:rPr>
          <w:rFonts w:ascii="Calibri" w:hAnsi="Calibri" w:cs="Calibri"/>
          <w:sz w:val="16"/>
          <w:szCs w:val="16"/>
        </w:rPr>
        <w:t>‘</w:t>
      </w:r>
      <w:r w:rsidRPr="00572811">
        <w:rPr>
          <w:rFonts w:ascii="Calibri" w:hAnsi="Calibri" w:cs="Calibri"/>
          <w:sz w:val="16"/>
          <w:szCs w:val="16"/>
        </w:rPr>
        <w:t>Special Appropriations</w:t>
      </w:r>
      <w:r w:rsidR="00AB3C74">
        <w:rPr>
          <w:rFonts w:ascii="Calibri" w:hAnsi="Calibri" w:cs="Calibri"/>
          <w:sz w:val="16"/>
          <w:szCs w:val="16"/>
        </w:rPr>
        <w:t>’</w:t>
      </w:r>
      <w:r w:rsidRPr="00572811">
        <w:rPr>
          <w:rFonts w:ascii="Calibri" w:hAnsi="Calibri" w:cs="Calibri"/>
          <w:sz w:val="16"/>
          <w:szCs w:val="16"/>
        </w:rPr>
        <w:t xml:space="preserve"> in the Comprehensive Operating Statement.</w:t>
      </w:r>
    </w:p>
  </w:footnote>
  <w:footnote w:id="79">
    <w:p w14:paraId="6E3E8A36" w14:textId="6B9A9CF3" w:rsidR="00CE3E19" w:rsidRPr="00572811" w:rsidRDefault="00CE3E19" w:rsidP="0047687A">
      <w:pPr>
        <w:pStyle w:val="FootnoteText"/>
        <w:rPr>
          <w:rFonts w:ascii="Calibri" w:hAnsi="Calibri" w:cs="Calibri"/>
          <w:sz w:val="16"/>
          <w:szCs w:val="16"/>
        </w:rPr>
      </w:pPr>
      <w:r w:rsidRPr="00572811">
        <w:rPr>
          <w:rStyle w:val="FootnoteReference"/>
          <w:rFonts w:ascii="Calibri" w:hAnsi="Calibri" w:cs="Calibri"/>
          <w:sz w:val="16"/>
          <w:szCs w:val="16"/>
        </w:rPr>
        <w:footnoteRef/>
      </w:r>
      <w:r w:rsidRPr="00572811">
        <w:rPr>
          <w:rFonts w:ascii="Calibri" w:hAnsi="Calibri" w:cs="Calibri"/>
          <w:sz w:val="16"/>
          <w:szCs w:val="16"/>
        </w:rPr>
        <w:t xml:space="preserve"> Fully spent in 2019–20. There was no Section 33 in 2020–21.</w:t>
      </w:r>
    </w:p>
  </w:footnote>
  <w:footnote w:id="80">
    <w:p w14:paraId="1251B6B7" w14:textId="77777777" w:rsidR="00CE3E19" w:rsidRPr="000D12D4" w:rsidRDefault="00CE3E19" w:rsidP="00F06229">
      <w:pPr>
        <w:pStyle w:val="FootnoteText"/>
      </w:pPr>
      <w:r w:rsidRPr="00572811">
        <w:rPr>
          <w:rStyle w:val="FootnoteReference"/>
          <w:rFonts w:ascii="Calibri" w:hAnsi="Calibri" w:cs="Calibri"/>
          <w:sz w:val="16"/>
          <w:szCs w:val="16"/>
        </w:rPr>
        <w:footnoteRef/>
      </w:r>
      <w:r w:rsidRPr="00572811">
        <w:rPr>
          <w:rFonts w:ascii="Calibri" w:hAnsi="Calibri" w:cs="Calibri"/>
          <w:sz w:val="16"/>
          <w:szCs w:val="16"/>
        </w:rPr>
        <w:t xml:space="preserve"> Total utilised for capital purposes from accumulated depreciation equivalent under Section 33 of the FM Act.</w:t>
      </w:r>
    </w:p>
  </w:footnote>
  <w:footnote w:id="81">
    <w:p w14:paraId="0AC0F110" w14:textId="77777777" w:rsidR="00CE3E19" w:rsidRPr="00572811" w:rsidRDefault="00CE3E19" w:rsidP="00F06229">
      <w:pPr>
        <w:pStyle w:val="FootnoteText"/>
        <w:rPr>
          <w:rFonts w:ascii="Calibri" w:hAnsi="Calibri" w:cs="Calibri"/>
          <w:sz w:val="16"/>
          <w:szCs w:val="16"/>
        </w:rPr>
      </w:pPr>
      <w:r w:rsidRPr="00572811">
        <w:rPr>
          <w:rStyle w:val="FootnoteReference"/>
          <w:rFonts w:ascii="Calibri" w:hAnsi="Calibri" w:cs="Calibri"/>
          <w:sz w:val="16"/>
          <w:szCs w:val="16"/>
        </w:rPr>
        <w:footnoteRef/>
      </w:r>
      <w:r w:rsidRPr="00572811">
        <w:rPr>
          <w:rFonts w:ascii="Calibri" w:hAnsi="Calibri" w:cs="Calibri"/>
          <w:sz w:val="16"/>
          <w:szCs w:val="16"/>
        </w:rPr>
        <w:t xml:space="preserve"> Provisions for employee benefits consist of amounts for annual leave, long service leave and other employee benefits accrued by employees, not including on-costs.</w:t>
      </w:r>
    </w:p>
  </w:footnote>
  <w:footnote w:id="82">
    <w:p w14:paraId="63DB32DD" w14:textId="77777777" w:rsidR="00CE3E19" w:rsidRPr="000D12D4" w:rsidRDefault="00CE3E19" w:rsidP="00F06229">
      <w:pPr>
        <w:pStyle w:val="FootnoteText"/>
      </w:pPr>
      <w:r w:rsidRPr="00572811">
        <w:rPr>
          <w:rStyle w:val="FootnoteReference"/>
          <w:rFonts w:ascii="Calibri" w:hAnsi="Calibri" w:cs="Calibri"/>
          <w:sz w:val="16"/>
          <w:szCs w:val="16"/>
        </w:rPr>
        <w:footnoteRef/>
      </w:r>
      <w:r w:rsidRPr="00572811">
        <w:rPr>
          <w:rFonts w:ascii="Calibri" w:hAnsi="Calibri" w:cs="Calibri"/>
          <w:sz w:val="16"/>
          <w:szCs w:val="16"/>
        </w:rPr>
        <w:t xml:space="preserve"> Make good and refunds/reimbursement provisions do not form part of employee benefits, but do form part of total current provisions.</w:t>
      </w:r>
    </w:p>
  </w:footnote>
  <w:footnote w:id="83">
    <w:p w14:paraId="6B3B44D0" w14:textId="77777777" w:rsidR="00CE3E19" w:rsidRPr="00572811" w:rsidRDefault="00CE3E19" w:rsidP="00F06229">
      <w:pPr>
        <w:pStyle w:val="FootnoteText"/>
        <w:rPr>
          <w:rFonts w:ascii="Calibri" w:hAnsi="Calibri" w:cs="Calibri"/>
          <w:sz w:val="16"/>
          <w:szCs w:val="16"/>
        </w:rPr>
      </w:pPr>
      <w:r w:rsidRPr="00572811">
        <w:rPr>
          <w:rStyle w:val="FootnoteReference"/>
          <w:rFonts w:ascii="Calibri" w:hAnsi="Calibri" w:cs="Calibri"/>
          <w:sz w:val="16"/>
          <w:szCs w:val="16"/>
        </w:rPr>
        <w:footnoteRef/>
      </w:r>
      <w:r w:rsidRPr="00572811">
        <w:rPr>
          <w:rFonts w:ascii="Calibri" w:hAnsi="Calibri" w:cs="Calibri"/>
          <w:sz w:val="16"/>
          <w:szCs w:val="16"/>
        </w:rPr>
        <w:t xml:space="preserve"> Reflects an ex-gratia payment made in connection with licensing arrangements from the former Shepparton High School site in 2021. In 2020, this reflects a payment made following the termination of a cleaning contract as part of the school cleaning reform program.</w:t>
      </w:r>
    </w:p>
  </w:footnote>
  <w:footnote w:id="84">
    <w:p w14:paraId="7C258674" w14:textId="25738FE6" w:rsidR="00CE3E19" w:rsidRPr="00572811" w:rsidRDefault="00CE3E19" w:rsidP="00F06229">
      <w:pPr>
        <w:pStyle w:val="FootnoteText"/>
        <w:rPr>
          <w:rFonts w:ascii="Calibri" w:hAnsi="Calibri" w:cs="Calibri"/>
          <w:sz w:val="16"/>
          <w:szCs w:val="16"/>
        </w:rPr>
      </w:pPr>
      <w:r w:rsidRPr="00572811">
        <w:rPr>
          <w:rStyle w:val="FootnoteReference"/>
          <w:rFonts w:ascii="Calibri" w:hAnsi="Calibri" w:cs="Calibri"/>
          <w:sz w:val="16"/>
          <w:szCs w:val="16"/>
        </w:rPr>
        <w:footnoteRef/>
      </w:r>
      <w:r w:rsidRPr="00572811">
        <w:rPr>
          <w:rFonts w:ascii="Calibri" w:hAnsi="Calibri" w:cs="Calibri"/>
          <w:sz w:val="16"/>
          <w:szCs w:val="16"/>
        </w:rPr>
        <w:t xml:space="preserve"> Grant recognised when funds are passed </w:t>
      </w:r>
      <w:r w:rsidR="00852EB8">
        <w:rPr>
          <w:rFonts w:ascii="Calibri" w:hAnsi="Calibri" w:cs="Calibri"/>
          <w:sz w:val="16"/>
          <w:szCs w:val="16"/>
        </w:rPr>
        <w:t>on</w:t>
      </w:r>
      <w:r w:rsidRPr="00572811">
        <w:rPr>
          <w:rFonts w:ascii="Calibri" w:hAnsi="Calibri" w:cs="Calibri"/>
          <w:sz w:val="16"/>
          <w:szCs w:val="16"/>
        </w:rPr>
        <w:t xml:space="preserve"> to non-government schools</w:t>
      </w:r>
      <w:r w:rsidR="00852EB8">
        <w:rPr>
          <w:rFonts w:ascii="Calibri" w:hAnsi="Calibri" w:cs="Calibri"/>
          <w:sz w:val="16"/>
          <w:szCs w:val="16"/>
        </w:rPr>
        <w:t>,</w:t>
      </w:r>
      <w:r w:rsidRPr="00572811">
        <w:rPr>
          <w:rFonts w:ascii="Calibri" w:hAnsi="Calibri" w:cs="Calibri"/>
          <w:sz w:val="16"/>
          <w:szCs w:val="16"/>
        </w:rPr>
        <w:t xml:space="preserve"> consistent with AASB1058 </w:t>
      </w:r>
      <w:r w:rsidRPr="00572811">
        <w:rPr>
          <w:rFonts w:ascii="Calibri" w:hAnsi="Calibri" w:cs="Calibri"/>
          <w:i/>
          <w:iCs/>
          <w:sz w:val="16"/>
          <w:szCs w:val="16"/>
        </w:rPr>
        <w:t>Income for Not</w:t>
      </w:r>
      <w:r w:rsidR="00852EB8">
        <w:rPr>
          <w:rFonts w:ascii="Calibri" w:hAnsi="Calibri" w:cs="Calibri"/>
          <w:i/>
          <w:iCs/>
          <w:sz w:val="16"/>
          <w:szCs w:val="16"/>
        </w:rPr>
        <w:noBreakHyphen/>
      </w:r>
      <w:r w:rsidRPr="00572811">
        <w:rPr>
          <w:rFonts w:ascii="Calibri" w:hAnsi="Calibri" w:cs="Calibri"/>
          <w:i/>
          <w:iCs/>
          <w:sz w:val="16"/>
          <w:szCs w:val="16"/>
        </w:rPr>
        <w:t>for</w:t>
      </w:r>
      <w:r w:rsidR="00852EB8">
        <w:rPr>
          <w:rFonts w:ascii="Calibri" w:hAnsi="Calibri" w:cs="Calibri"/>
          <w:i/>
          <w:iCs/>
          <w:sz w:val="16"/>
          <w:szCs w:val="16"/>
        </w:rPr>
        <w:noBreakHyphen/>
      </w:r>
      <w:r w:rsidRPr="00572811">
        <w:rPr>
          <w:rFonts w:ascii="Calibri" w:hAnsi="Calibri" w:cs="Calibri"/>
          <w:i/>
          <w:iCs/>
          <w:sz w:val="16"/>
          <w:szCs w:val="16"/>
        </w:rPr>
        <w:t>Profit Entities</w:t>
      </w:r>
    </w:p>
  </w:footnote>
  <w:footnote w:id="85">
    <w:p w14:paraId="1E34F0CE" w14:textId="4EAD6872" w:rsidR="002D466D" w:rsidRDefault="002D466D">
      <w:pPr>
        <w:pStyle w:val="FootnoteText"/>
      </w:pPr>
      <w:r>
        <w:rPr>
          <w:rStyle w:val="FootnoteReference"/>
        </w:rPr>
        <w:footnoteRef/>
      </w:r>
      <w:r>
        <w:t xml:space="preserve"> </w:t>
      </w:r>
      <w:r w:rsidRPr="005216A0">
        <w:rPr>
          <w:rFonts w:ascii="Calibri" w:hAnsi="Calibri" w:cs="Calibri"/>
          <w:sz w:val="16"/>
          <w:szCs w:val="16"/>
        </w:rPr>
        <w:t xml:space="preserve">The large upward revaluation resulted from the annual fair value assessment for land using indices published by </w:t>
      </w:r>
      <w:r w:rsidR="00235194">
        <w:rPr>
          <w:rFonts w:ascii="Calibri" w:hAnsi="Calibri" w:cs="Calibri"/>
          <w:sz w:val="16"/>
          <w:szCs w:val="16"/>
        </w:rPr>
        <w:t>VGV</w:t>
      </w:r>
      <w:r w:rsidRPr="005216A0">
        <w:rPr>
          <w:rFonts w:ascii="Calibri" w:hAnsi="Calibri" w:cs="Calibri"/>
          <w:sz w:val="16"/>
          <w:szCs w:val="16"/>
        </w:rPr>
        <w:t xml:space="preserve"> as per the requirements of FRD 103I Non-Financial Physical Assets.</w:t>
      </w:r>
    </w:p>
  </w:footnote>
  <w:footnote w:id="86">
    <w:p w14:paraId="406B4E59" w14:textId="5CE8CDFE" w:rsidR="00CE3E19" w:rsidRPr="00572811" w:rsidRDefault="00CE3E19" w:rsidP="00F1540A">
      <w:pPr>
        <w:pStyle w:val="FootnoteText"/>
        <w:rPr>
          <w:rFonts w:ascii="Calibri" w:hAnsi="Calibri" w:cs="Calibri"/>
          <w:sz w:val="16"/>
          <w:szCs w:val="16"/>
        </w:rPr>
      </w:pPr>
      <w:r w:rsidRPr="00572811">
        <w:rPr>
          <w:rStyle w:val="FootnoteReference"/>
          <w:rFonts w:ascii="Calibri" w:hAnsi="Calibri" w:cs="Calibri"/>
          <w:sz w:val="16"/>
          <w:szCs w:val="16"/>
        </w:rPr>
        <w:footnoteRef/>
      </w:r>
      <w:r w:rsidRPr="00572811">
        <w:rPr>
          <w:rFonts w:ascii="Calibri" w:hAnsi="Calibri" w:cs="Calibri"/>
          <w:sz w:val="16"/>
          <w:szCs w:val="16"/>
        </w:rPr>
        <w:t xml:space="preserve"> </w:t>
      </w:r>
      <w:bookmarkStart w:id="1447" w:name="_Hlk48906051"/>
      <w:r w:rsidRPr="00572811">
        <w:rPr>
          <w:rFonts w:ascii="Calibri" w:hAnsi="Calibri" w:cs="Calibri"/>
          <w:sz w:val="16"/>
          <w:szCs w:val="16"/>
        </w:rPr>
        <w:t xml:space="preserve">Includes transfers. In October 2019, the Department transferred the right-of-use asset to the </w:t>
      </w:r>
      <w:r w:rsidR="00F953A0">
        <w:rPr>
          <w:rFonts w:ascii="Calibri" w:hAnsi="Calibri" w:cs="Calibri"/>
          <w:sz w:val="16"/>
          <w:szCs w:val="16"/>
        </w:rPr>
        <w:t>DTF</w:t>
      </w:r>
      <w:r w:rsidRPr="00572811">
        <w:rPr>
          <w:rFonts w:ascii="Calibri" w:hAnsi="Calibri" w:cs="Calibri"/>
          <w:sz w:val="16"/>
          <w:szCs w:val="16"/>
        </w:rPr>
        <w:t xml:space="preserve"> Shared Service Provider. Details of the transfer are included in Note 7.2 Leases</w:t>
      </w:r>
      <w:bookmarkEnd w:id="1447"/>
      <w:r w:rsidRPr="00572811">
        <w:rPr>
          <w:rFonts w:ascii="Calibri" w:hAnsi="Calibri" w:cs="Calibri"/>
          <w:sz w:val="16"/>
          <w:szCs w:val="16"/>
        </w:rPr>
        <w:t>.</w:t>
      </w:r>
    </w:p>
  </w:footnote>
  <w:footnote w:id="87">
    <w:p w14:paraId="4EA89391" w14:textId="77777777" w:rsidR="00CE3E19" w:rsidRPr="009018B1" w:rsidRDefault="00CE3E19" w:rsidP="00BD002D">
      <w:pPr>
        <w:pStyle w:val="FootnoteText"/>
        <w:rPr>
          <w:rFonts w:ascii="Calibri" w:hAnsi="Calibri" w:cs="Calibri"/>
          <w:sz w:val="16"/>
          <w:szCs w:val="16"/>
        </w:rPr>
      </w:pPr>
      <w:r w:rsidRPr="009018B1">
        <w:rPr>
          <w:rStyle w:val="FootnoteReference"/>
          <w:rFonts w:ascii="Calibri" w:hAnsi="Calibri" w:cs="Calibri"/>
          <w:sz w:val="16"/>
          <w:szCs w:val="16"/>
        </w:rPr>
        <w:footnoteRef/>
      </w:r>
      <w:r w:rsidRPr="009018B1">
        <w:rPr>
          <w:rFonts w:ascii="Calibri" w:hAnsi="Calibri" w:cs="Calibri"/>
          <w:sz w:val="16"/>
          <w:szCs w:val="16"/>
        </w:rPr>
        <w:t xml:space="preserve"> The average credit period on sales of goods and services is 30 days. No interest is charged on other receivables for the first 30 days from the date of the invoice. An allowance has been made for estimated irrecoverable amounts from the sale of goods debtors when there is objective evidence that an individual receivable is impaired. The increase/decrease was recognised in the operating result for the current financial year.</w:t>
      </w:r>
    </w:p>
  </w:footnote>
  <w:footnote w:id="88">
    <w:p w14:paraId="343208B4" w14:textId="77777777" w:rsidR="00CE3E19" w:rsidRPr="00A84A9D" w:rsidRDefault="00CE3E19" w:rsidP="00BD002D">
      <w:pPr>
        <w:pStyle w:val="FootnoteText"/>
      </w:pPr>
      <w:r w:rsidRPr="009018B1">
        <w:rPr>
          <w:rStyle w:val="FootnoteReference"/>
          <w:rFonts w:ascii="Calibri" w:hAnsi="Calibri" w:cs="Calibri"/>
          <w:sz w:val="16"/>
          <w:szCs w:val="16"/>
        </w:rPr>
        <w:footnoteRef/>
      </w:r>
      <w:r w:rsidRPr="009018B1">
        <w:rPr>
          <w:rFonts w:ascii="Calibri" w:hAnsi="Calibri" w:cs="Calibri"/>
          <w:sz w:val="16"/>
          <w:szCs w:val="16"/>
        </w:rPr>
        <w:t xml:space="preserve"> The balance disclosed represents debtors for the Department only and excludes schools. The Department cannot confirm the existence and collectability of school debtors and unearned income as there is inadequate supporting documentation. The Department has not recognised on the balance sheet any amounts that may be collectable, or services that the Department is obliged to provide.</w:t>
      </w:r>
    </w:p>
  </w:footnote>
  <w:footnote w:id="89">
    <w:p w14:paraId="51288CD3" w14:textId="2DB59249" w:rsidR="00CE3E19" w:rsidRPr="005A1FAF" w:rsidRDefault="00CE3E19" w:rsidP="00F1540A">
      <w:pPr>
        <w:pStyle w:val="FootnoteText"/>
        <w:rPr>
          <w:rFonts w:ascii="Calibri" w:hAnsi="Calibri" w:cs="Calibri"/>
          <w:sz w:val="16"/>
          <w:szCs w:val="16"/>
        </w:rPr>
      </w:pPr>
      <w:r w:rsidRPr="005A1FAF">
        <w:rPr>
          <w:rStyle w:val="FootnoteReference"/>
          <w:rFonts w:ascii="Calibri" w:hAnsi="Calibri" w:cs="Calibri"/>
          <w:sz w:val="16"/>
          <w:szCs w:val="16"/>
        </w:rPr>
        <w:footnoteRef/>
      </w:r>
      <w:r w:rsidRPr="005A1FAF">
        <w:rPr>
          <w:rFonts w:ascii="Calibri" w:hAnsi="Calibri" w:cs="Calibri"/>
          <w:sz w:val="16"/>
          <w:szCs w:val="16"/>
        </w:rPr>
        <w:t xml:space="preserve"> Grant consideration is net of funds returned to the </w:t>
      </w:r>
      <w:r w:rsidR="00230F96">
        <w:rPr>
          <w:rFonts w:ascii="Calibri" w:hAnsi="Calibri" w:cs="Calibri"/>
          <w:sz w:val="16"/>
          <w:szCs w:val="16"/>
        </w:rPr>
        <w:t>g</w:t>
      </w:r>
      <w:r w:rsidRPr="005A1FAF">
        <w:rPr>
          <w:rFonts w:ascii="Calibri" w:hAnsi="Calibri" w:cs="Calibri"/>
          <w:sz w:val="16"/>
          <w:szCs w:val="16"/>
        </w:rPr>
        <w:t>rantor when consideration received exceeds completed project costs.</w:t>
      </w:r>
    </w:p>
  </w:footnote>
  <w:footnote w:id="90">
    <w:p w14:paraId="713B6334" w14:textId="5A69066E" w:rsidR="00CE3E19" w:rsidRPr="005A1FAF" w:rsidRDefault="00CE3E19" w:rsidP="00F1540A">
      <w:pPr>
        <w:pStyle w:val="FootnoteText"/>
        <w:rPr>
          <w:rFonts w:ascii="Calibri" w:hAnsi="Calibri" w:cs="Calibri"/>
          <w:sz w:val="16"/>
          <w:szCs w:val="16"/>
        </w:rPr>
      </w:pPr>
      <w:r w:rsidRPr="005A1FAF">
        <w:rPr>
          <w:rStyle w:val="FootnoteReference"/>
          <w:rFonts w:ascii="Calibri" w:hAnsi="Calibri" w:cs="Calibri"/>
          <w:sz w:val="16"/>
          <w:szCs w:val="16"/>
        </w:rPr>
        <w:footnoteRef/>
      </w:r>
      <w:r w:rsidRPr="005A1FAF">
        <w:rPr>
          <w:rFonts w:ascii="Calibri" w:hAnsi="Calibri" w:cs="Calibri"/>
          <w:sz w:val="16"/>
          <w:szCs w:val="16"/>
        </w:rPr>
        <w:t xml:space="preserve"> Secured by the assets leased. Lease liabilities are effectively secured</w:t>
      </w:r>
      <w:r w:rsidR="00230F96">
        <w:rPr>
          <w:rFonts w:ascii="Calibri" w:hAnsi="Calibri" w:cs="Calibri"/>
          <w:sz w:val="16"/>
          <w:szCs w:val="16"/>
        </w:rPr>
        <w:t>,</w:t>
      </w:r>
      <w:r w:rsidRPr="005A1FAF">
        <w:rPr>
          <w:rFonts w:ascii="Calibri" w:hAnsi="Calibri" w:cs="Calibri"/>
          <w:sz w:val="16"/>
          <w:szCs w:val="16"/>
        </w:rPr>
        <w:t xml:space="preserve"> as the rights to the leased assets revert to the lessor in the event of default.</w:t>
      </w:r>
    </w:p>
  </w:footnote>
  <w:footnote w:id="91">
    <w:p w14:paraId="0E59C11F" w14:textId="77777777" w:rsidR="00CE3E19" w:rsidRPr="005A1FAF" w:rsidRDefault="00CE3E19" w:rsidP="00F1540A">
      <w:pPr>
        <w:pStyle w:val="FootnoteText"/>
        <w:rPr>
          <w:rFonts w:ascii="Calibri" w:hAnsi="Calibri" w:cs="Calibri"/>
          <w:sz w:val="16"/>
          <w:szCs w:val="16"/>
        </w:rPr>
      </w:pPr>
      <w:r w:rsidRPr="005A1FAF">
        <w:rPr>
          <w:rStyle w:val="FootnoteReference"/>
          <w:rFonts w:ascii="Calibri" w:hAnsi="Calibri" w:cs="Calibri"/>
          <w:sz w:val="16"/>
          <w:szCs w:val="16"/>
        </w:rPr>
        <w:footnoteRef/>
      </w:r>
      <w:r w:rsidRPr="005A1FAF">
        <w:rPr>
          <w:rFonts w:ascii="Calibri" w:hAnsi="Calibri" w:cs="Calibri"/>
          <w:sz w:val="16"/>
          <w:szCs w:val="16"/>
        </w:rPr>
        <w:t xml:space="preserve"> These are unsecured loans which bear no interest. The terms of the loans are generally agreed by the Treasurer at the time the advance was provided.</w:t>
      </w:r>
    </w:p>
  </w:footnote>
  <w:footnote w:id="92">
    <w:p w14:paraId="24528639" w14:textId="77777777" w:rsidR="00CE3E19" w:rsidRPr="00E06CB3" w:rsidRDefault="00CE3E19" w:rsidP="00F1540A">
      <w:pPr>
        <w:pStyle w:val="FootnoteText"/>
      </w:pPr>
      <w:r w:rsidRPr="005A1FAF">
        <w:rPr>
          <w:rStyle w:val="FootnoteReference"/>
          <w:rFonts w:ascii="Calibri" w:hAnsi="Calibri" w:cs="Calibri"/>
          <w:sz w:val="16"/>
          <w:szCs w:val="16"/>
        </w:rPr>
        <w:footnoteRef/>
      </w:r>
      <w:r w:rsidRPr="005A1FAF">
        <w:rPr>
          <w:rFonts w:ascii="Calibri" w:hAnsi="Calibri" w:cs="Calibri"/>
          <w:sz w:val="16"/>
          <w:szCs w:val="16"/>
        </w:rPr>
        <w:t xml:space="preserve"> Other borrowings are made up of co-operative loans in schools.</w:t>
      </w:r>
    </w:p>
  </w:footnote>
  <w:footnote w:id="93">
    <w:p w14:paraId="0CF408E2" w14:textId="0ED73FEC" w:rsidR="00CE3E19" w:rsidRPr="001B06C9" w:rsidRDefault="00CE3E19" w:rsidP="00F1540A">
      <w:pPr>
        <w:pStyle w:val="FootnoteText"/>
        <w:rPr>
          <w:rFonts w:ascii="Calibri" w:hAnsi="Calibri" w:cs="Calibri"/>
          <w:sz w:val="16"/>
          <w:szCs w:val="16"/>
        </w:rPr>
      </w:pPr>
      <w:r w:rsidRPr="001B06C9">
        <w:rPr>
          <w:rStyle w:val="FootnoteReference"/>
          <w:rFonts w:ascii="Calibri" w:hAnsi="Calibri" w:cs="Calibri"/>
          <w:sz w:val="16"/>
          <w:szCs w:val="16"/>
        </w:rPr>
        <w:footnoteRef/>
      </w:r>
      <w:r w:rsidRPr="001B06C9">
        <w:rPr>
          <w:rFonts w:ascii="Calibri" w:hAnsi="Calibri" w:cs="Calibri"/>
          <w:sz w:val="16"/>
          <w:szCs w:val="16"/>
        </w:rPr>
        <w:t xml:space="preserve"> </w:t>
      </w:r>
      <w:bookmarkStart w:id="1613" w:name="_Hlk48907949"/>
      <w:r w:rsidRPr="001B06C9">
        <w:rPr>
          <w:rFonts w:ascii="Calibri" w:hAnsi="Calibri" w:cs="Calibri"/>
          <w:sz w:val="16"/>
          <w:szCs w:val="16"/>
        </w:rPr>
        <w:t>Secured by the assets leased. Lease liabilities are effectively secured as the rights to the leased assets revert to the lessor in the event of default</w:t>
      </w:r>
      <w:bookmarkEnd w:id="1613"/>
      <w:r w:rsidRPr="001B06C9">
        <w:rPr>
          <w:rFonts w:ascii="Calibri" w:hAnsi="Calibri" w:cs="Calibri"/>
          <w:sz w:val="16"/>
          <w:szCs w:val="16"/>
        </w:rPr>
        <w:t>.</w:t>
      </w:r>
    </w:p>
  </w:footnote>
  <w:footnote w:id="94">
    <w:p w14:paraId="7E26339B" w14:textId="77777777" w:rsidR="00CE3E19" w:rsidRPr="005A1FAF" w:rsidRDefault="00CE3E19" w:rsidP="005A1FAF">
      <w:pPr>
        <w:pStyle w:val="FootnoteText"/>
        <w:spacing w:after="0"/>
        <w:rPr>
          <w:rFonts w:ascii="Calibri" w:hAnsi="Calibri" w:cs="Calibri"/>
          <w:sz w:val="16"/>
          <w:szCs w:val="16"/>
        </w:rPr>
      </w:pPr>
      <w:r w:rsidRPr="005A1FAF">
        <w:rPr>
          <w:rStyle w:val="FootnoteReference"/>
          <w:rFonts w:ascii="Calibri" w:hAnsi="Calibri" w:cs="Calibri"/>
          <w:sz w:val="16"/>
          <w:szCs w:val="16"/>
        </w:rPr>
        <w:footnoteRef/>
      </w:r>
      <w:r w:rsidRPr="005A1FAF">
        <w:rPr>
          <w:rFonts w:ascii="Calibri" w:hAnsi="Calibri" w:cs="Calibri"/>
          <w:sz w:val="16"/>
          <w:szCs w:val="16"/>
        </w:rPr>
        <w:t xml:space="preserve"> The 2020 year comparison has been re-stated to include the Chief Finance Officer position to provide a meaningful comparative.</w:t>
      </w:r>
    </w:p>
  </w:footnote>
  <w:footnote w:id="95">
    <w:p w14:paraId="1A96ABEF" w14:textId="1F035F99" w:rsidR="00CE3E19" w:rsidRPr="005A1FAF" w:rsidRDefault="00CE3E19" w:rsidP="005A1FAF">
      <w:pPr>
        <w:pStyle w:val="FootnoteText"/>
        <w:spacing w:after="0"/>
        <w:rPr>
          <w:rFonts w:ascii="Calibri" w:hAnsi="Calibri" w:cs="Calibri"/>
          <w:sz w:val="16"/>
          <w:szCs w:val="16"/>
        </w:rPr>
      </w:pPr>
      <w:r w:rsidRPr="005A1FAF">
        <w:rPr>
          <w:rStyle w:val="FootnoteReference"/>
          <w:rFonts w:ascii="Calibri" w:hAnsi="Calibri" w:cs="Calibri"/>
          <w:sz w:val="16"/>
          <w:szCs w:val="16"/>
        </w:rPr>
        <w:footnoteRef/>
      </w:r>
      <w:r w:rsidRPr="005A1FAF">
        <w:rPr>
          <w:rFonts w:ascii="Calibri" w:hAnsi="Calibri" w:cs="Calibri"/>
          <w:sz w:val="16"/>
          <w:szCs w:val="16"/>
        </w:rPr>
        <w:t xml:space="preserve"> Total remuneration includes executives </w:t>
      </w:r>
      <w:r w:rsidR="00182976">
        <w:rPr>
          <w:rFonts w:ascii="Calibri" w:hAnsi="Calibri" w:cs="Calibri"/>
          <w:sz w:val="16"/>
          <w:szCs w:val="16"/>
        </w:rPr>
        <w:t>who</w:t>
      </w:r>
      <w:r w:rsidRPr="005A1FAF">
        <w:rPr>
          <w:rFonts w:ascii="Calibri" w:hAnsi="Calibri" w:cs="Calibri"/>
          <w:sz w:val="16"/>
          <w:szCs w:val="16"/>
        </w:rPr>
        <w:t xml:space="preserve"> have been seconded during the year. The Department is reimbursed under these arrangements. </w:t>
      </w:r>
    </w:p>
  </w:footnote>
  <w:footnote w:id="96">
    <w:p w14:paraId="214EB596" w14:textId="77777777" w:rsidR="00CE3E19" w:rsidRPr="005A1FAF" w:rsidRDefault="00CE3E19" w:rsidP="005A1FAF">
      <w:pPr>
        <w:pStyle w:val="FootnoteText"/>
        <w:spacing w:after="0"/>
        <w:rPr>
          <w:rFonts w:ascii="Calibri" w:hAnsi="Calibri" w:cs="Calibri"/>
          <w:sz w:val="16"/>
          <w:szCs w:val="16"/>
        </w:rPr>
      </w:pPr>
      <w:r w:rsidRPr="005A1FAF">
        <w:rPr>
          <w:rStyle w:val="FootnoteReference"/>
          <w:rFonts w:ascii="Calibri" w:hAnsi="Calibri" w:cs="Calibri"/>
          <w:sz w:val="16"/>
          <w:szCs w:val="16"/>
        </w:rPr>
        <w:footnoteRef/>
      </w:r>
      <w:r w:rsidRPr="005A1FAF">
        <w:rPr>
          <w:rFonts w:ascii="Calibri" w:hAnsi="Calibri" w:cs="Calibri"/>
          <w:sz w:val="16"/>
          <w:szCs w:val="16"/>
        </w:rPr>
        <w:t xml:space="preserve"> The increase from prior year reflects higher turnover of executives in 2020–21, implementation of State Budget initiatives and the pandemic response.</w:t>
      </w:r>
    </w:p>
  </w:footnote>
  <w:footnote w:id="97">
    <w:p w14:paraId="6398F316" w14:textId="77777777" w:rsidR="00CE3E19" w:rsidRPr="00E06CB3" w:rsidRDefault="00CE3E19" w:rsidP="005A1FAF">
      <w:pPr>
        <w:pStyle w:val="FootnoteText"/>
        <w:spacing w:after="0"/>
      </w:pPr>
      <w:r w:rsidRPr="005A1FAF">
        <w:rPr>
          <w:rStyle w:val="FootnoteReference"/>
          <w:rFonts w:ascii="Calibri" w:hAnsi="Calibri" w:cs="Calibri"/>
          <w:sz w:val="16"/>
          <w:szCs w:val="16"/>
        </w:rPr>
        <w:footnoteRef/>
      </w:r>
      <w:r w:rsidRPr="005A1FAF">
        <w:rPr>
          <w:rFonts w:ascii="Calibri" w:hAnsi="Calibri" w:cs="Calibri"/>
          <w:sz w:val="16"/>
          <w:szCs w:val="16"/>
        </w:rPr>
        <w:t xml:space="preserve"> Annualised employee equivalent is based on the time fraction over the reporting period. The increase from prior year reflects the implementation of State Budget initiatives and the pandemic response.</w:t>
      </w:r>
    </w:p>
  </w:footnote>
  <w:footnote w:id="98">
    <w:p w14:paraId="7DB28AA6" w14:textId="77777777" w:rsidR="00CE3E19" w:rsidRPr="00286FB2" w:rsidRDefault="00CE3E19" w:rsidP="00F1540A">
      <w:pPr>
        <w:pStyle w:val="FootnoteText"/>
      </w:pPr>
      <w:r>
        <w:rPr>
          <w:rStyle w:val="FootnoteReference"/>
        </w:rPr>
        <w:footnoteRef/>
      </w:r>
      <w:r>
        <w:t xml:space="preserve"> </w:t>
      </w:r>
      <w:r w:rsidRPr="00286FB2">
        <w:t>The drop in total remuneration is due to the application of pro-rata calculation methodology.</w:t>
      </w:r>
    </w:p>
  </w:footnote>
  <w:footnote w:id="99">
    <w:p w14:paraId="457E0594" w14:textId="77777777" w:rsidR="00CE3E19" w:rsidRPr="00FA2B6F" w:rsidRDefault="00CE3E19" w:rsidP="00F1540A">
      <w:pPr>
        <w:pStyle w:val="FootnoteText"/>
      </w:pPr>
      <w:r>
        <w:rPr>
          <w:rStyle w:val="FootnoteReference"/>
        </w:rPr>
        <w:footnoteRef/>
      </w:r>
      <w:r>
        <w:t xml:space="preserve"> Note that KMPs are also reported in the disclosure of remuneration of executive officers (Note 9.3). The 2020 year comparison has been re-stated to include the Chief Finance Officer position.</w:t>
      </w:r>
    </w:p>
  </w:footnote>
  <w:footnote w:id="100">
    <w:p w14:paraId="7ACDD3FB" w14:textId="2A293125" w:rsidR="00CE3E19" w:rsidRPr="004A5A8A" w:rsidRDefault="00CE3E19" w:rsidP="005B3907">
      <w:pPr>
        <w:pStyle w:val="FootnoteText"/>
        <w:rPr>
          <w:lang w:val="en-AU"/>
        </w:rPr>
      </w:pPr>
      <w:r w:rsidRPr="004A5A8A">
        <w:rPr>
          <w:rStyle w:val="FootnoteReference"/>
        </w:rPr>
        <w:footnoteRef/>
      </w:r>
      <w:r w:rsidRPr="004A5A8A">
        <w:t xml:space="preserve"> Most personal grievance were about complaints not being managed in accordance with departmental policy and the translation from fixed term to ongoing employment process not being managed in accordance with departmental policy.</w:t>
      </w:r>
    </w:p>
  </w:footnote>
  <w:footnote w:id="101">
    <w:p w14:paraId="454A2D3C" w14:textId="77777777" w:rsidR="00CE3E19" w:rsidRPr="004A5A8A" w:rsidRDefault="00CE3E19" w:rsidP="005B3907">
      <w:pPr>
        <w:pStyle w:val="FootnoteText"/>
        <w:rPr>
          <w:lang w:val="en-AU"/>
        </w:rPr>
      </w:pPr>
      <w:r w:rsidRPr="004A5A8A">
        <w:rPr>
          <w:rStyle w:val="FootnoteReference"/>
        </w:rPr>
        <w:footnoteRef/>
      </w:r>
      <w:r w:rsidRPr="004A5A8A">
        <w:t xml:space="preserve"> Most </w:t>
      </w:r>
      <w:r>
        <w:t xml:space="preserve">personal grievances </w:t>
      </w:r>
      <w:r w:rsidRPr="004A5A8A">
        <w:t>were about leave not being managed in accordance with departmental policy.</w:t>
      </w:r>
    </w:p>
  </w:footnote>
  <w:footnote w:id="102">
    <w:p w14:paraId="6AF45CB4" w14:textId="70A34ED9" w:rsidR="00CE3E19" w:rsidRPr="00D06042" w:rsidRDefault="00CE3E19" w:rsidP="00985C8D">
      <w:pPr>
        <w:pStyle w:val="FootnoteText"/>
        <w:rPr>
          <w:lang w:val="en-AU"/>
        </w:rPr>
      </w:pPr>
      <w:r>
        <w:rPr>
          <w:rStyle w:val="FootnoteReference"/>
        </w:rPr>
        <w:footnoteRef/>
      </w:r>
      <w:r>
        <w:t xml:space="preserve"> R</w:t>
      </w:r>
      <w:r>
        <w:rPr>
          <w:lang w:val="en-AU"/>
        </w:rPr>
        <w:t>egion is where the participant was located. In previous years Region was where the training took place. With</w:t>
      </w:r>
      <w:r>
        <w:t xml:space="preserve"> training now conducted online, employees can enrol in any session regardless geographical location.</w:t>
      </w:r>
    </w:p>
  </w:footnote>
  <w:footnote w:id="103">
    <w:p w14:paraId="2D57192E" w14:textId="30319104" w:rsidR="00CE3E19" w:rsidRPr="001075A3" w:rsidRDefault="00CE3E19" w:rsidP="000A3A50">
      <w:pPr>
        <w:pStyle w:val="FootnoteText"/>
        <w:rPr>
          <w:rFonts w:ascii="Calibri" w:hAnsi="Calibri" w:cs="Calibri"/>
          <w:sz w:val="16"/>
          <w:szCs w:val="16"/>
          <w:lang w:val="en-AU"/>
        </w:rPr>
      </w:pPr>
      <w:r w:rsidRPr="001075A3">
        <w:rPr>
          <w:rStyle w:val="FootnoteReference"/>
          <w:rFonts w:ascii="Calibri" w:hAnsi="Calibri" w:cs="Calibri"/>
          <w:sz w:val="16"/>
          <w:szCs w:val="16"/>
        </w:rPr>
        <w:footnoteRef/>
      </w:r>
      <w:r w:rsidRPr="001075A3">
        <w:rPr>
          <w:rFonts w:ascii="Calibri" w:hAnsi="Calibri" w:cs="Calibri"/>
          <w:sz w:val="16"/>
          <w:szCs w:val="16"/>
        </w:rPr>
        <w:t xml:space="preserve"> Refer and monitor cases: on occasion these escalate to being managed and finalised as a complaint enquiry. ‘Third party’ may be friends or relatives making initial contact, or an enquiry from an external </w:t>
      </w:r>
      <w:r w:rsidRPr="001075A3">
        <w:rPr>
          <w:rFonts w:ascii="Calibri" w:hAnsi="Calibri" w:cs="Calibri"/>
          <w:sz w:val="16"/>
          <w:szCs w:val="16"/>
          <w:lang w:val="en-AU"/>
        </w:rPr>
        <w:t>organisation</w:t>
      </w:r>
      <w:r w:rsidRPr="001075A3">
        <w:rPr>
          <w:rFonts w:ascii="Calibri" w:hAnsi="Calibri" w:cs="Calibri"/>
          <w:sz w:val="16"/>
          <w:szCs w:val="16"/>
        </w:rPr>
        <w:t>, including support and advocacy services.</w:t>
      </w:r>
    </w:p>
  </w:footnote>
  <w:footnote w:id="104">
    <w:p w14:paraId="016DB9DB" w14:textId="1F1717B3" w:rsidR="00CE3E19" w:rsidRPr="007D5EF7" w:rsidRDefault="00CE3E19" w:rsidP="000A3A50">
      <w:pPr>
        <w:pStyle w:val="FootnoteText"/>
        <w:rPr>
          <w:lang w:val="en-AU"/>
        </w:rPr>
      </w:pPr>
      <w:r w:rsidRPr="001075A3">
        <w:rPr>
          <w:rStyle w:val="FootnoteReference"/>
          <w:rFonts w:ascii="Calibri" w:hAnsi="Calibri" w:cs="Calibri"/>
          <w:sz w:val="16"/>
          <w:szCs w:val="16"/>
        </w:rPr>
        <w:footnoteRef/>
      </w:r>
      <w:r w:rsidRPr="001075A3">
        <w:rPr>
          <w:rFonts w:ascii="Calibri" w:hAnsi="Calibri" w:cs="Calibri"/>
          <w:sz w:val="16"/>
          <w:szCs w:val="16"/>
        </w:rPr>
        <w:t xml:space="preserve"> Presentations, training and skill building programs to build the ability of Department staff to avoid or reduce the </w:t>
      </w:r>
      <w:r w:rsidR="001075A3" w:rsidRPr="001075A3">
        <w:rPr>
          <w:rFonts w:ascii="Calibri" w:hAnsi="Calibri" w:cs="Calibri"/>
          <w:sz w:val="16"/>
          <w:szCs w:val="16"/>
        </w:rPr>
        <w:t>inciden</w:t>
      </w:r>
      <w:r w:rsidR="001075A3">
        <w:rPr>
          <w:rFonts w:ascii="Calibri" w:hAnsi="Calibri" w:cs="Calibri"/>
          <w:sz w:val="16"/>
          <w:szCs w:val="16"/>
        </w:rPr>
        <w:t>ce</w:t>
      </w:r>
      <w:r w:rsidR="001075A3" w:rsidRPr="001075A3">
        <w:rPr>
          <w:rFonts w:ascii="Calibri" w:hAnsi="Calibri" w:cs="Calibri"/>
          <w:sz w:val="16"/>
          <w:szCs w:val="16"/>
        </w:rPr>
        <w:t>s</w:t>
      </w:r>
      <w:r w:rsidRPr="001075A3">
        <w:rPr>
          <w:rFonts w:ascii="Calibri" w:hAnsi="Calibri" w:cs="Calibri"/>
          <w:sz w:val="16"/>
          <w:szCs w:val="16"/>
        </w:rPr>
        <w:t xml:space="preserve"> of unnecessary conflict, resolve conflict, manage ongoing challenging behavior, maintain staff resilience and ability in the face of conflict, and related topics, either at the request of the Department or at the initiative of the Office.</w:t>
      </w:r>
    </w:p>
  </w:footnote>
  <w:footnote w:id="105">
    <w:p w14:paraId="697FA640" w14:textId="77777777" w:rsidR="00CE3E19" w:rsidRPr="00C57BF0" w:rsidRDefault="00CE3E19" w:rsidP="000A3A50">
      <w:pPr>
        <w:pStyle w:val="FootnoteText"/>
        <w:rPr>
          <w:lang w:val="en-AU"/>
        </w:rPr>
      </w:pPr>
      <w:r w:rsidRPr="007D5EF7">
        <w:rPr>
          <w:rStyle w:val="FootnoteReference"/>
        </w:rPr>
        <w:footnoteRef/>
      </w:r>
      <w:r w:rsidRPr="007D5EF7">
        <w:t xml:space="preserve"> </w:t>
      </w:r>
      <w:r w:rsidRPr="007D5EF7">
        <w:rPr>
          <w:lang w:val="en-AU"/>
        </w:rPr>
        <w:t>Resolution of all enquires is achieved through the provision of information, redirection to school/region/Department, or escalation into a complaint managed by the Office (in a limited number of cases).</w:t>
      </w:r>
    </w:p>
  </w:footnote>
  <w:footnote w:id="106">
    <w:p w14:paraId="3AD99382" w14:textId="77777777" w:rsidR="00CE3E19" w:rsidRPr="007D5EF7" w:rsidRDefault="00CE3E19" w:rsidP="00C7560F">
      <w:pPr>
        <w:pStyle w:val="FootnoteText"/>
        <w:rPr>
          <w:lang w:val="en-AU"/>
        </w:rPr>
      </w:pPr>
      <w:r w:rsidRPr="007D5EF7">
        <w:rPr>
          <w:rStyle w:val="FootnoteReference"/>
        </w:rPr>
        <w:footnoteRef/>
      </w:r>
      <w:r w:rsidRPr="007D5EF7">
        <w:t xml:space="preserve"> ‘In progress’ refers to current cases the Office has not finalised.</w:t>
      </w:r>
    </w:p>
  </w:footnote>
  <w:footnote w:id="107">
    <w:p w14:paraId="47FCB5EC" w14:textId="77777777" w:rsidR="00CE3E19" w:rsidRPr="007D5EF7" w:rsidRDefault="00CE3E19" w:rsidP="00C7560F">
      <w:pPr>
        <w:pStyle w:val="FootnoteText"/>
        <w:rPr>
          <w:lang w:val="en-AU"/>
        </w:rPr>
      </w:pPr>
      <w:r w:rsidRPr="007D5EF7">
        <w:rPr>
          <w:rStyle w:val="FootnoteReference"/>
        </w:rPr>
        <w:footnoteRef/>
      </w:r>
      <w:r w:rsidRPr="007D5EF7">
        <w:t xml:space="preserve"> ‘No jurisdiction’ refers to enquiries that relate to independent schools, Catholic schools and matters out of the Office’s scope. They may include cases that have not been through previous tiers of the Department’s complaints process.</w:t>
      </w:r>
    </w:p>
  </w:footnote>
  <w:footnote w:id="108">
    <w:p w14:paraId="7E167107" w14:textId="79FD0990" w:rsidR="00CE3E19" w:rsidRPr="008D4911" w:rsidRDefault="00CE3E19" w:rsidP="00C332C7">
      <w:pPr>
        <w:pStyle w:val="FootnoteText"/>
        <w:rPr>
          <w:lang w:val="en-AU"/>
        </w:rPr>
      </w:pPr>
      <w:r w:rsidRPr="009E78C8">
        <w:rPr>
          <w:rStyle w:val="FootnoteReference"/>
        </w:rPr>
        <w:footnoteRef/>
      </w:r>
      <w:r w:rsidRPr="009E78C8">
        <w:t xml:space="preserve"> </w:t>
      </w:r>
      <w:r>
        <w:rPr>
          <w:szCs w:val="15"/>
        </w:rPr>
        <w:t>T</w:t>
      </w:r>
      <w:r w:rsidRPr="009E78C8">
        <w:rPr>
          <w:szCs w:val="15"/>
        </w:rPr>
        <w:t>he Office define</w:t>
      </w:r>
      <w:r>
        <w:rPr>
          <w:szCs w:val="15"/>
        </w:rPr>
        <w:t>s</w:t>
      </w:r>
      <w:r w:rsidRPr="009E78C8">
        <w:rPr>
          <w:szCs w:val="15"/>
        </w:rPr>
        <w:t xml:space="preserve"> its issues categories </w:t>
      </w:r>
      <w:r>
        <w:rPr>
          <w:szCs w:val="15"/>
        </w:rPr>
        <w:t>in</w:t>
      </w:r>
      <w:r w:rsidRPr="009E78C8">
        <w:rPr>
          <w:szCs w:val="15"/>
        </w:rPr>
        <w:t xml:space="preserve"> three levels. Levels one and two reflect the complainant’s definition of the complaint at the school and regional levels respectively, while level three reflects the Office’s assessment of the cause of the complaint when it is resolved. As individual matters may have multiple issues at each level of presentation or analysis, issue totals significantly exceed complaint totals</w:t>
      </w:r>
      <w:r w:rsidRPr="009E78C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74371" w14:textId="58DE5579" w:rsidR="00CE3E19" w:rsidRDefault="00CE3E19">
    <w:pPr>
      <w:pStyle w:val="Header"/>
    </w:pPr>
    <w:r>
      <w:rPr>
        <w:noProof/>
        <w:lang w:eastAsia="en-AU"/>
      </w:rPr>
      <w:drawing>
        <wp:anchor distT="0" distB="0" distL="114300" distR="114300" simplePos="0" relativeHeight="251658240" behindDoc="1" locked="0" layoutInCell="1" allowOverlap="1" wp14:anchorId="6481ED34" wp14:editId="62775C89">
          <wp:simplePos x="0" y="0"/>
          <wp:positionH relativeFrom="page">
            <wp:align>left</wp:align>
          </wp:positionH>
          <wp:positionV relativeFrom="page">
            <wp:align>top</wp:align>
          </wp:positionV>
          <wp:extent cx="7558724" cy="10687628"/>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58724" cy="10687628"/>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8C7B" w14:textId="77777777" w:rsidR="00CE3E19" w:rsidRPr="0013527B" w:rsidRDefault="00CE3E19" w:rsidP="000F48B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19345" w14:textId="77777777" w:rsidR="00CE3E19" w:rsidRPr="0013527B" w:rsidRDefault="00CE3E19" w:rsidP="002E43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2C562" w14:textId="33DD35D4" w:rsidR="00CE3E19" w:rsidRDefault="00CE3E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67E3F" w14:textId="77777777" w:rsidR="00CE3E19" w:rsidRDefault="00CE3E19">
    <w:pPr>
      <w:jc w:val="right"/>
    </w:pPr>
  </w:p>
  <w:p w14:paraId="3D5617B2" w14:textId="77777777" w:rsidR="00CE3E19" w:rsidRDefault="00CE3E1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45780" w14:textId="77777777" w:rsidR="00CE3E19" w:rsidRDefault="00CE3E1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AC483" w14:textId="77777777" w:rsidR="00CE3E19" w:rsidRDefault="00CE3E19">
    <w:pPr>
      <w:jc w:val="right"/>
    </w:pPr>
  </w:p>
  <w:p w14:paraId="4FB1B499" w14:textId="77777777" w:rsidR="00CE3E19" w:rsidRDefault="00CE3E19" w:rsidP="002E4354">
    <w:pPr>
      <w:rPr>
        <w:rFonts w:cs="Arial"/>
        <w:b/>
        <w:sz w:val="24"/>
      </w:rPr>
    </w:pPr>
  </w:p>
  <w:p w14:paraId="6F6A37B5" w14:textId="77777777" w:rsidR="00CE3E19" w:rsidRDefault="00CE3E1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9C85B" w14:textId="77777777" w:rsidR="00CE3E19" w:rsidRDefault="00CE3E1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07AF" w14:textId="77777777" w:rsidR="00CE3E19" w:rsidRPr="008360F7" w:rsidRDefault="00CE3E19" w:rsidP="000F48B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73514" w14:textId="77777777" w:rsidR="00CE3E19" w:rsidRPr="008360F7" w:rsidRDefault="00CE3E19" w:rsidP="000F48B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232E2" w14:textId="77777777" w:rsidR="00CE3E19" w:rsidRPr="008360F7" w:rsidRDefault="00CE3E19" w:rsidP="001D75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99C"/>
    <w:multiLevelType w:val="hybridMultilevel"/>
    <w:tmpl w:val="916676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AF4F85"/>
    <w:multiLevelType w:val="multilevel"/>
    <w:tmpl w:val="CBF63D70"/>
    <w:styleLink w:val="CurrentList2"/>
    <w:lvl w:ilvl="0">
      <w:start w:val="1"/>
      <w:numFmt w:val="decimal"/>
      <w:lvlText w:val="Note %1: "/>
      <w:lvlJc w:val="left"/>
      <w:pPr>
        <w:tabs>
          <w:tab w:val="num" w:pos="851"/>
        </w:tabs>
        <w:ind w:left="1134" w:hanging="1134"/>
      </w:pPr>
      <w:rPr>
        <w:rFonts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Note %1%2: "/>
      <w:lvlJc w:val="left"/>
      <w:pPr>
        <w:tabs>
          <w:tab w:val="num" w:pos="851"/>
        </w:tabs>
        <w:ind w:left="1532" w:hanging="1532"/>
      </w:pPr>
      <w:rPr>
        <w:rFonts w:ascii="Times New Roman" w:hAnsi="Times New Roman" w:cs="Times New Roman" w:hint="default"/>
        <w:b/>
        <w:i w:val="0"/>
        <w:color w:val="auto"/>
        <w:sz w:val="20"/>
        <w:szCs w:val="20"/>
        <w:u w:val="singl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 w15:restartNumberingAfterBreak="0">
    <w:nsid w:val="0397749E"/>
    <w:multiLevelType w:val="hybridMultilevel"/>
    <w:tmpl w:val="27B0F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667B75"/>
    <w:multiLevelType w:val="hybridMultilevel"/>
    <w:tmpl w:val="843451B4"/>
    <w:lvl w:ilvl="0" w:tplc="BF246398">
      <w:start w:val="1"/>
      <w:numFmt w:val="lowerLetter"/>
      <w:lvlText w:val="%1."/>
      <w:lvlJc w:val="left"/>
      <w:pPr>
        <w:ind w:left="360" w:hanging="360"/>
      </w:pPr>
      <w:rPr>
        <w:b w:val="0"/>
        <w:bCs/>
        <w:color w:val="auto"/>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4D21372"/>
    <w:multiLevelType w:val="multilevel"/>
    <w:tmpl w:val="A95498EE"/>
    <w:lvl w:ilvl="0">
      <w:start w:val="1"/>
      <w:numFmt w:val="decimal"/>
      <w:pStyle w:val="HeadingLevel1"/>
      <w:suff w:val="space"/>
      <w:lvlText w:val="%1."/>
      <w:lvlJc w:val="left"/>
      <w:pPr>
        <w:ind w:left="57" w:hanging="57"/>
      </w:pPr>
      <w:rPr>
        <w:rFonts w:hint="default"/>
      </w:rPr>
    </w:lvl>
    <w:lvl w:ilvl="1">
      <w:start w:val="1"/>
      <w:numFmt w:val="decimal"/>
      <w:suff w:val="space"/>
      <w:lvlText w:val="%1.%2"/>
      <w:lvlJc w:val="left"/>
      <w:pPr>
        <w:ind w:left="57" w:hanging="57"/>
      </w:pPr>
      <w:rPr>
        <w:rFonts w:hint="default"/>
      </w:rPr>
    </w:lvl>
    <w:lvl w:ilvl="2">
      <w:start w:val="1"/>
      <w:numFmt w:val="decimal"/>
      <w:suff w:val="space"/>
      <w:lvlText w:val="%1.%2.%3"/>
      <w:lvlJc w:val="left"/>
      <w:pPr>
        <w:ind w:left="57" w:hanging="57"/>
      </w:pPr>
      <w:rPr>
        <w:rFonts w:hint="default"/>
      </w:rPr>
    </w:lvl>
    <w:lvl w:ilvl="3">
      <w:start w:val="1"/>
      <w:numFmt w:val="decimal"/>
      <w:lvlText w:val="(%4)"/>
      <w:lvlJc w:val="left"/>
      <w:pPr>
        <w:ind w:left="57" w:hanging="57"/>
      </w:pPr>
      <w:rPr>
        <w:rFonts w:hint="default"/>
      </w:rPr>
    </w:lvl>
    <w:lvl w:ilvl="4">
      <w:start w:val="1"/>
      <w:numFmt w:val="lowerLetter"/>
      <w:lvlText w:val="(%5)"/>
      <w:lvlJc w:val="left"/>
      <w:pPr>
        <w:ind w:left="57" w:hanging="57"/>
      </w:pPr>
      <w:rPr>
        <w:rFonts w:hint="default"/>
      </w:rPr>
    </w:lvl>
    <w:lvl w:ilvl="5">
      <w:start w:val="1"/>
      <w:numFmt w:val="lowerRoman"/>
      <w:lvlText w:val="(%6)"/>
      <w:lvlJc w:val="left"/>
      <w:pPr>
        <w:ind w:left="57" w:hanging="57"/>
      </w:pPr>
      <w:rPr>
        <w:rFonts w:hint="default"/>
      </w:rPr>
    </w:lvl>
    <w:lvl w:ilvl="6">
      <w:start w:val="1"/>
      <w:numFmt w:val="decimal"/>
      <w:lvlText w:val="%7."/>
      <w:lvlJc w:val="left"/>
      <w:pPr>
        <w:ind w:left="57" w:hanging="57"/>
      </w:pPr>
      <w:rPr>
        <w:rFonts w:hint="default"/>
      </w:rPr>
    </w:lvl>
    <w:lvl w:ilvl="7">
      <w:start w:val="1"/>
      <w:numFmt w:val="lowerLetter"/>
      <w:lvlText w:val="%8."/>
      <w:lvlJc w:val="left"/>
      <w:pPr>
        <w:ind w:left="57" w:hanging="57"/>
      </w:pPr>
      <w:rPr>
        <w:rFonts w:hint="default"/>
      </w:rPr>
    </w:lvl>
    <w:lvl w:ilvl="8">
      <w:start w:val="1"/>
      <w:numFmt w:val="lowerRoman"/>
      <w:lvlText w:val="%9."/>
      <w:lvlJc w:val="left"/>
      <w:pPr>
        <w:ind w:left="57" w:hanging="57"/>
      </w:pPr>
      <w:rPr>
        <w:rFonts w:hint="default"/>
      </w:rPr>
    </w:lvl>
  </w:abstractNum>
  <w:abstractNum w:abstractNumId="5" w15:restartNumberingAfterBreak="0">
    <w:nsid w:val="05C804C6"/>
    <w:multiLevelType w:val="multilevel"/>
    <w:tmpl w:val="F104AB12"/>
    <w:styleLink w:val="GuidanceAlphaListStyle"/>
    <w:lvl w:ilvl="0">
      <w:start w:val="1"/>
      <w:numFmt w:val="decimal"/>
      <w:lvlText w:val="%1."/>
      <w:lvlJc w:val="left"/>
      <w:pPr>
        <w:ind w:left="397" w:hanging="397"/>
      </w:pPr>
      <w:rPr>
        <w:rFonts w:hint="default"/>
      </w:rPr>
    </w:lvl>
    <w:lvl w:ilvl="1">
      <w:start w:val="1"/>
      <w:numFmt w:val="decimal"/>
      <w:lvlText w:val="%1.%2"/>
      <w:lvlJc w:val="left"/>
      <w:pPr>
        <w:ind w:left="3318" w:hanging="624"/>
      </w:pPr>
      <w:rPr>
        <w:rFonts w:hint="default"/>
      </w:rPr>
    </w:lvl>
    <w:lvl w:ilvl="2">
      <w:start w:val="1"/>
      <w:numFmt w:val="decimal"/>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5F96382"/>
    <w:multiLevelType w:val="hybridMultilevel"/>
    <w:tmpl w:val="44D40AC0"/>
    <w:lvl w:ilvl="0" w:tplc="27C4060C">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6A93146"/>
    <w:multiLevelType w:val="hybridMultilevel"/>
    <w:tmpl w:val="2A1E4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A371B35"/>
    <w:multiLevelType w:val="hybridMultilevel"/>
    <w:tmpl w:val="F7F05A60"/>
    <w:lvl w:ilvl="0" w:tplc="2D209B54">
      <w:start w:val="1"/>
      <w:numFmt w:val="bullet"/>
      <w:pStyle w:val="BodyTextIndent"/>
      <w:lvlText w:val=""/>
      <w:lvlJc w:val="left"/>
      <w:pPr>
        <w:ind w:left="1077" w:hanging="360"/>
      </w:pPr>
      <w:rPr>
        <w:rFonts w:ascii="Symbol" w:hAnsi="Symbol" w:hint="default"/>
        <w:color w:val="44697D"/>
      </w:rPr>
    </w:lvl>
    <w:lvl w:ilvl="1" w:tplc="6102234C">
      <w:start w:val="1"/>
      <w:numFmt w:val="decimal"/>
      <w:lvlText w:val="%2."/>
      <w:lvlJc w:val="left"/>
      <w:pPr>
        <w:tabs>
          <w:tab w:val="num" w:pos="720"/>
        </w:tabs>
        <w:ind w:left="720" w:hanging="360"/>
      </w:pPr>
      <w:rPr>
        <w:rFonts w:hint="default"/>
        <w:color w:val="auto"/>
        <w:szCs w:val="20"/>
      </w:rPr>
    </w:lvl>
    <w:lvl w:ilvl="2" w:tplc="60CE4B80" w:tentative="1">
      <w:start w:val="1"/>
      <w:numFmt w:val="bullet"/>
      <w:lvlText w:val=""/>
      <w:lvlJc w:val="left"/>
      <w:pPr>
        <w:ind w:left="2520" w:hanging="360"/>
      </w:pPr>
      <w:rPr>
        <w:rFonts w:ascii="Wingdings" w:hAnsi="Wingdings" w:hint="default"/>
      </w:rPr>
    </w:lvl>
    <w:lvl w:ilvl="3" w:tplc="EF8EE09A" w:tentative="1">
      <w:start w:val="1"/>
      <w:numFmt w:val="bullet"/>
      <w:lvlText w:val=""/>
      <w:lvlJc w:val="left"/>
      <w:pPr>
        <w:ind w:left="3240" w:hanging="360"/>
      </w:pPr>
      <w:rPr>
        <w:rFonts w:ascii="Symbol" w:hAnsi="Symbol" w:hint="default"/>
      </w:rPr>
    </w:lvl>
    <w:lvl w:ilvl="4" w:tplc="39CEF59E" w:tentative="1">
      <w:start w:val="1"/>
      <w:numFmt w:val="bullet"/>
      <w:lvlText w:val="o"/>
      <w:lvlJc w:val="left"/>
      <w:pPr>
        <w:ind w:left="3960" w:hanging="360"/>
      </w:pPr>
      <w:rPr>
        <w:rFonts w:ascii="Courier New" w:hAnsi="Courier New" w:hint="default"/>
      </w:rPr>
    </w:lvl>
    <w:lvl w:ilvl="5" w:tplc="71B49472" w:tentative="1">
      <w:start w:val="1"/>
      <w:numFmt w:val="bullet"/>
      <w:lvlText w:val=""/>
      <w:lvlJc w:val="left"/>
      <w:pPr>
        <w:ind w:left="4680" w:hanging="360"/>
      </w:pPr>
      <w:rPr>
        <w:rFonts w:ascii="Wingdings" w:hAnsi="Wingdings" w:hint="default"/>
      </w:rPr>
    </w:lvl>
    <w:lvl w:ilvl="6" w:tplc="789C54A0" w:tentative="1">
      <w:start w:val="1"/>
      <w:numFmt w:val="bullet"/>
      <w:lvlText w:val=""/>
      <w:lvlJc w:val="left"/>
      <w:pPr>
        <w:ind w:left="5400" w:hanging="360"/>
      </w:pPr>
      <w:rPr>
        <w:rFonts w:ascii="Symbol" w:hAnsi="Symbol" w:hint="default"/>
      </w:rPr>
    </w:lvl>
    <w:lvl w:ilvl="7" w:tplc="F1640F2E" w:tentative="1">
      <w:start w:val="1"/>
      <w:numFmt w:val="bullet"/>
      <w:lvlText w:val="o"/>
      <w:lvlJc w:val="left"/>
      <w:pPr>
        <w:ind w:left="6120" w:hanging="360"/>
      </w:pPr>
      <w:rPr>
        <w:rFonts w:ascii="Courier New" w:hAnsi="Courier New" w:hint="default"/>
      </w:rPr>
    </w:lvl>
    <w:lvl w:ilvl="8" w:tplc="D10C46F2" w:tentative="1">
      <w:start w:val="1"/>
      <w:numFmt w:val="bullet"/>
      <w:lvlText w:val=""/>
      <w:lvlJc w:val="left"/>
      <w:pPr>
        <w:ind w:left="6840" w:hanging="360"/>
      </w:pPr>
      <w:rPr>
        <w:rFonts w:ascii="Wingdings" w:hAnsi="Wingdings" w:hint="default"/>
      </w:rPr>
    </w:lvl>
  </w:abstractNum>
  <w:abstractNum w:abstractNumId="9" w15:restartNumberingAfterBreak="0">
    <w:nsid w:val="0A3C4A32"/>
    <w:multiLevelType w:val="hybridMultilevel"/>
    <w:tmpl w:val="578C0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8B2608"/>
    <w:multiLevelType w:val="hybridMultilevel"/>
    <w:tmpl w:val="6D085EFC"/>
    <w:lvl w:ilvl="0" w:tplc="F56267EE">
      <w:start w:val="1"/>
      <w:numFmt w:val="bullet"/>
      <w:pStyle w:val="Notestextindentbullets"/>
      <w:lvlText w:val=""/>
      <w:lvlJc w:val="left"/>
      <w:pPr>
        <w:ind w:left="1440" w:hanging="360"/>
      </w:pPr>
      <w:rPr>
        <w:rFonts w:ascii="Symbol" w:hAnsi="Symbol" w:hint="default"/>
      </w:rPr>
    </w:lvl>
    <w:lvl w:ilvl="1" w:tplc="AB14B39E"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B7545E2"/>
    <w:multiLevelType w:val="multilevel"/>
    <w:tmpl w:val="3F087A7C"/>
    <w:styleLink w:val="BulletListStyle"/>
    <w:lvl w:ilvl="0">
      <w:start w:val="1"/>
      <w:numFmt w:val="bullet"/>
      <w:lvlText w:val=""/>
      <w:lvlJc w:val="left"/>
      <w:pPr>
        <w:ind w:left="397" w:hanging="397"/>
      </w:pPr>
      <w:rPr>
        <w:rFonts w:ascii="Symbol" w:hAnsi="Symbol" w:hint="default"/>
      </w:rPr>
    </w:lvl>
    <w:lvl w:ilvl="1">
      <w:start w:val="1"/>
      <w:numFmt w:val="none"/>
      <w:lvlText w:val="–"/>
      <w:lvlJc w:val="left"/>
      <w:pPr>
        <w:ind w:left="794" w:hanging="397"/>
      </w:pPr>
      <w:rPr>
        <w:rFonts w:hint="default"/>
      </w:rPr>
    </w:lvl>
    <w:lvl w:ilvl="2">
      <w:start w:val="1"/>
      <w:numFmt w:val="bullet"/>
      <w:lvlText w:val=""/>
      <w:lvlJc w:val="left"/>
      <w:pPr>
        <w:ind w:left="1191" w:hanging="397"/>
      </w:pPr>
      <w:rPr>
        <w:rFonts w:ascii="Wingdings" w:hAnsi="Wingdings" w:hint="default"/>
      </w:rPr>
    </w:lvl>
    <w:lvl w:ilvl="3">
      <w:start w:val="1"/>
      <w:numFmt w:val="none"/>
      <w:lvlText w:val="–"/>
      <w:lvlJc w:val="left"/>
      <w:pPr>
        <w:ind w:left="1588" w:hanging="397"/>
      </w:pPr>
      <w:rPr>
        <w:rFonts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tabs>
          <w:tab w:val="num" w:pos="2666"/>
        </w:tabs>
        <w:ind w:left="2779" w:hanging="397"/>
      </w:pPr>
      <w:rPr>
        <w:rFonts w:ascii="Symbol" w:hAnsi="Symbol" w:hint="default"/>
      </w:rPr>
    </w:lvl>
    <w:lvl w:ilvl="7">
      <w:start w:val="1"/>
      <w:numFmt w:val="bullet"/>
      <w:lvlText w:val="o"/>
      <w:lvlJc w:val="left"/>
      <w:pPr>
        <w:tabs>
          <w:tab w:val="num" w:pos="3063"/>
        </w:tabs>
        <w:ind w:left="3176" w:hanging="397"/>
      </w:pPr>
      <w:rPr>
        <w:rFonts w:ascii="Courier New" w:hAnsi="Courier New" w:cs="Courier New" w:hint="default"/>
      </w:rPr>
    </w:lvl>
    <w:lvl w:ilvl="8">
      <w:start w:val="1"/>
      <w:numFmt w:val="bullet"/>
      <w:lvlText w:val=""/>
      <w:lvlJc w:val="left"/>
      <w:pPr>
        <w:tabs>
          <w:tab w:val="num" w:pos="3460"/>
        </w:tabs>
        <w:ind w:left="3573" w:hanging="397"/>
      </w:pPr>
      <w:rPr>
        <w:rFonts w:ascii="Wingdings" w:hAnsi="Wingdings" w:hint="default"/>
      </w:rPr>
    </w:lvl>
  </w:abstractNum>
  <w:abstractNum w:abstractNumId="12" w15:restartNumberingAfterBreak="0">
    <w:nsid w:val="0B8D4378"/>
    <w:multiLevelType w:val="hybridMultilevel"/>
    <w:tmpl w:val="41A6CA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C4732DB"/>
    <w:multiLevelType w:val="hybridMultilevel"/>
    <w:tmpl w:val="9A0A1EFC"/>
    <w:lvl w:ilvl="0" w:tplc="F56267EE">
      <w:start w:val="1"/>
      <w:numFmt w:val="lowerLetter"/>
      <w:pStyle w:val="NotesIndentLetter"/>
      <w:lvlText w:val="%1)"/>
      <w:lvlJc w:val="left"/>
      <w:pPr>
        <w:ind w:left="360" w:hanging="360"/>
      </w:pPr>
    </w:lvl>
    <w:lvl w:ilvl="1" w:tplc="AB14B39E"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4" w15:restartNumberingAfterBreak="0">
    <w:nsid w:val="0CA002FB"/>
    <w:multiLevelType w:val="hybridMultilevel"/>
    <w:tmpl w:val="4F4A618E"/>
    <w:lvl w:ilvl="0" w:tplc="76981B8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D1C19AE"/>
    <w:multiLevelType w:val="hybridMultilevel"/>
    <w:tmpl w:val="47DC47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D6A4162"/>
    <w:multiLevelType w:val="singleLevel"/>
    <w:tmpl w:val="0122BF8C"/>
    <w:styleLink w:val="ListBulletAlphaStyle"/>
    <w:lvl w:ilvl="0">
      <w:start w:val="1"/>
      <w:numFmt w:val="bullet"/>
      <w:lvlText w:val=""/>
      <w:lvlJc w:val="left"/>
      <w:pPr>
        <w:tabs>
          <w:tab w:val="num" w:pos="340"/>
        </w:tabs>
        <w:ind w:left="340" w:hanging="340"/>
      </w:pPr>
      <w:rPr>
        <w:rFonts w:ascii="Symbol" w:hAnsi="Symbol" w:hint="default"/>
        <w:color w:val="auto"/>
        <w:sz w:val="22"/>
      </w:rPr>
    </w:lvl>
  </w:abstractNum>
  <w:abstractNum w:abstractNumId="17" w15:restartNumberingAfterBreak="0">
    <w:nsid w:val="0D907F8E"/>
    <w:multiLevelType w:val="hybridMultilevel"/>
    <w:tmpl w:val="DF626596"/>
    <w:lvl w:ilvl="0" w:tplc="4C9EA28C">
      <w:start w:val="1"/>
      <w:numFmt w:val="bullet"/>
      <w:lvlText w:val=""/>
      <w:lvlJc w:val="left"/>
      <w:pPr>
        <w:ind w:left="360" w:hanging="360"/>
      </w:pPr>
      <w:rPr>
        <w:rFonts w:ascii="Symbol" w:hAnsi="Symbol" w:hint="default"/>
      </w:rPr>
    </w:lvl>
    <w:lvl w:ilvl="1" w:tplc="65E47200">
      <w:start w:val="1"/>
      <w:numFmt w:val="lowerLetter"/>
      <w:lvlText w:val="(%2)"/>
      <w:lvlJc w:val="left"/>
      <w:pPr>
        <w:ind w:left="1080" w:hanging="360"/>
      </w:pPr>
      <w:rPr>
        <w:rFonts w:hint="default"/>
      </w:rPr>
    </w:lvl>
    <w:lvl w:ilvl="2" w:tplc="D71E2162">
      <w:start w:val="1"/>
      <w:numFmt w:val="lowerRoman"/>
      <w:lvlText w:val="%3."/>
      <w:lvlJc w:val="right"/>
      <w:pPr>
        <w:ind w:left="1800" w:hanging="180"/>
      </w:pPr>
    </w:lvl>
    <w:lvl w:ilvl="3" w:tplc="F1E46700">
      <w:start w:val="1"/>
      <w:numFmt w:val="decimal"/>
      <w:lvlText w:val="%4."/>
      <w:lvlJc w:val="left"/>
      <w:pPr>
        <w:ind w:left="2520" w:hanging="360"/>
      </w:pPr>
    </w:lvl>
    <w:lvl w:ilvl="4" w:tplc="F1FCE05C">
      <w:start w:val="1"/>
      <w:numFmt w:val="lowerLetter"/>
      <w:lvlText w:val="%5."/>
      <w:lvlJc w:val="left"/>
      <w:pPr>
        <w:ind w:left="3240" w:hanging="360"/>
      </w:pPr>
    </w:lvl>
    <w:lvl w:ilvl="5" w:tplc="C840D76A" w:tentative="1">
      <w:start w:val="1"/>
      <w:numFmt w:val="lowerRoman"/>
      <w:lvlText w:val="%6."/>
      <w:lvlJc w:val="right"/>
      <w:pPr>
        <w:ind w:left="3960" w:hanging="180"/>
      </w:pPr>
    </w:lvl>
    <w:lvl w:ilvl="6" w:tplc="7BB68EC4" w:tentative="1">
      <w:start w:val="1"/>
      <w:numFmt w:val="decimal"/>
      <w:lvlText w:val="%7."/>
      <w:lvlJc w:val="left"/>
      <w:pPr>
        <w:ind w:left="4680" w:hanging="360"/>
      </w:pPr>
    </w:lvl>
    <w:lvl w:ilvl="7" w:tplc="67C6A2F6" w:tentative="1">
      <w:start w:val="1"/>
      <w:numFmt w:val="lowerLetter"/>
      <w:lvlText w:val="%8."/>
      <w:lvlJc w:val="left"/>
      <w:pPr>
        <w:ind w:left="5400" w:hanging="360"/>
      </w:pPr>
    </w:lvl>
    <w:lvl w:ilvl="8" w:tplc="684A584C" w:tentative="1">
      <w:start w:val="1"/>
      <w:numFmt w:val="lowerRoman"/>
      <w:lvlText w:val="%9."/>
      <w:lvlJc w:val="right"/>
      <w:pPr>
        <w:ind w:left="6120" w:hanging="180"/>
      </w:pPr>
    </w:lvl>
  </w:abstractNum>
  <w:abstractNum w:abstractNumId="18" w15:restartNumberingAfterBreak="0">
    <w:nsid w:val="11E64BA0"/>
    <w:multiLevelType w:val="hybridMultilevel"/>
    <w:tmpl w:val="05AAB0E4"/>
    <w:lvl w:ilvl="0" w:tplc="D7707288">
      <w:start w:val="1"/>
      <w:numFmt w:val="lowerLetter"/>
      <w:lvlText w:val="%1."/>
      <w:lvlJc w:val="left"/>
      <w:pPr>
        <w:ind w:left="360" w:hanging="360"/>
      </w:pPr>
    </w:lvl>
    <w:lvl w:ilvl="1" w:tplc="604CD1EE" w:tentative="1">
      <w:start w:val="1"/>
      <w:numFmt w:val="lowerLetter"/>
      <w:lvlText w:val="%2."/>
      <w:lvlJc w:val="left"/>
      <w:pPr>
        <w:ind w:left="1080" w:hanging="360"/>
      </w:pPr>
    </w:lvl>
    <w:lvl w:ilvl="2" w:tplc="10DADA56" w:tentative="1">
      <w:start w:val="1"/>
      <w:numFmt w:val="lowerRoman"/>
      <w:lvlText w:val="%3."/>
      <w:lvlJc w:val="right"/>
      <w:pPr>
        <w:ind w:left="1800" w:hanging="180"/>
      </w:pPr>
    </w:lvl>
    <w:lvl w:ilvl="3" w:tplc="A6C8CB94" w:tentative="1">
      <w:start w:val="1"/>
      <w:numFmt w:val="decimal"/>
      <w:lvlText w:val="%4."/>
      <w:lvlJc w:val="left"/>
      <w:pPr>
        <w:ind w:left="2520" w:hanging="360"/>
      </w:pPr>
    </w:lvl>
    <w:lvl w:ilvl="4" w:tplc="72B632EE" w:tentative="1">
      <w:start w:val="1"/>
      <w:numFmt w:val="lowerLetter"/>
      <w:lvlText w:val="%5."/>
      <w:lvlJc w:val="left"/>
      <w:pPr>
        <w:ind w:left="3240" w:hanging="360"/>
      </w:pPr>
    </w:lvl>
    <w:lvl w:ilvl="5" w:tplc="37D4200C" w:tentative="1">
      <w:start w:val="1"/>
      <w:numFmt w:val="lowerRoman"/>
      <w:lvlText w:val="%6."/>
      <w:lvlJc w:val="right"/>
      <w:pPr>
        <w:ind w:left="3960" w:hanging="180"/>
      </w:pPr>
    </w:lvl>
    <w:lvl w:ilvl="6" w:tplc="BF709EB4" w:tentative="1">
      <w:start w:val="1"/>
      <w:numFmt w:val="decimal"/>
      <w:lvlText w:val="%7."/>
      <w:lvlJc w:val="left"/>
      <w:pPr>
        <w:ind w:left="4680" w:hanging="360"/>
      </w:pPr>
    </w:lvl>
    <w:lvl w:ilvl="7" w:tplc="00F64240" w:tentative="1">
      <w:start w:val="1"/>
      <w:numFmt w:val="lowerLetter"/>
      <w:lvlText w:val="%8."/>
      <w:lvlJc w:val="left"/>
      <w:pPr>
        <w:ind w:left="5400" w:hanging="360"/>
      </w:pPr>
    </w:lvl>
    <w:lvl w:ilvl="8" w:tplc="E5906898" w:tentative="1">
      <w:start w:val="1"/>
      <w:numFmt w:val="lowerRoman"/>
      <w:lvlText w:val="%9."/>
      <w:lvlJc w:val="right"/>
      <w:pPr>
        <w:ind w:left="6120" w:hanging="180"/>
      </w:pPr>
    </w:lvl>
  </w:abstractNum>
  <w:abstractNum w:abstractNumId="19" w15:restartNumberingAfterBreak="0">
    <w:nsid w:val="15AA4515"/>
    <w:multiLevelType w:val="hybridMultilevel"/>
    <w:tmpl w:val="FBF22D9A"/>
    <w:lvl w:ilvl="0" w:tplc="0C090019">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20" w15:restartNumberingAfterBreak="0">
    <w:nsid w:val="16156222"/>
    <w:multiLevelType w:val="hybridMultilevel"/>
    <w:tmpl w:val="E3B6505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1" w15:restartNumberingAfterBreak="0">
    <w:nsid w:val="1677788A"/>
    <w:multiLevelType w:val="hybridMultilevel"/>
    <w:tmpl w:val="784A3CD2"/>
    <w:lvl w:ilvl="0" w:tplc="0C090001">
      <w:start w:val="1"/>
      <w:numFmt w:val="bullet"/>
      <w:pStyle w:val="notestextbulle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7D447B5"/>
    <w:multiLevelType w:val="hybridMultilevel"/>
    <w:tmpl w:val="4D8418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7F009C3"/>
    <w:multiLevelType w:val="hybridMultilevel"/>
    <w:tmpl w:val="558099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A3F21F9"/>
    <w:multiLevelType w:val="multilevel"/>
    <w:tmpl w:val="1620096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AD7735D"/>
    <w:multiLevelType w:val="hybridMultilevel"/>
    <w:tmpl w:val="F70623F0"/>
    <w:lvl w:ilvl="0" w:tplc="7DCA2EEC">
      <w:start w:val="1"/>
      <w:numFmt w:val="bullet"/>
      <w:pStyle w:val="Imprintbullet"/>
      <w:lvlText w:val=""/>
      <w:lvlJc w:val="left"/>
      <w:pPr>
        <w:ind w:left="890" w:hanging="360"/>
      </w:pPr>
      <w:rPr>
        <w:rFonts w:ascii="Symbol" w:hAnsi="Symbol" w:hint="default"/>
      </w:rPr>
    </w:lvl>
    <w:lvl w:ilvl="1" w:tplc="976ED6A0" w:tentative="1">
      <w:start w:val="1"/>
      <w:numFmt w:val="bullet"/>
      <w:lvlText w:val="o"/>
      <w:lvlJc w:val="left"/>
      <w:pPr>
        <w:ind w:left="1610" w:hanging="360"/>
      </w:pPr>
      <w:rPr>
        <w:rFonts w:ascii="Courier New" w:hAnsi="Courier New" w:cs="Courier New" w:hint="default"/>
      </w:rPr>
    </w:lvl>
    <w:lvl w:ilvl="2" w:tplc="312A6250" w:tentative="1">
      <w:start w:val="1"/>
      <w:numFmt w:val="bullet"/>
      <w:lvlText w:val=""/>
      <w:lvlJc w:val="left"/>
      <w:pPr>
        <w:ind w:left="2330" w:hanging="360"/>
      </w:pPr>
      <w:rPr>
        <w:rFonts w:ascii="Wingdings" w:hAnsi="Wingdings" w:hint="default"/>
      </w:rPr>
    </w:lvl>
    <w:lvl w:ilvl="3" w:tplc="20826808" w:tentative="1">
      <w:start w:val="1"/>
      <w:numFmt w:val="bullet"/>
      <w:lvlText w:val=""/>
      <w:lvlJc w:val="left"/>
      <w:pPr>
        <w:ind w:left="3050" w:hanging="360"/>
      </w:pPr>
      <w:rPr>
        <w:rFonts w:ascii="Symbol" w:hAnsi="Symbol" w:hint="default"/>
      </w:rPr>
    </w:lvl>
    <w:lvl w:ilvl="4" w:tplc="5BE6DBC4" w:tentative="1">
      <w:start w:val="1"/>
      <w:numFmt w:val="bullet"/>
      <w:lvlText w:val="o"/>
      <w:lvlJc w:val="left"/>
      <w:pPr>
        <w:ind w:left="3770" w:hanging="360"/>
      </w:pPr>
      <w:rPr>
        <w:rFonts w:ascii="Courier New" w:hAnsi="Courier New" w:cs="Courier New" w:hint="default"/>
      </w:rPr>
    </w:lvl>
    <w:lvl w:ilvl="5" w:tplc="89DAD952" w:tentative="1">
      <w:start w:val="1"/>
      <w:numFmt w:val="bullet"/>
      <w:lvlText w:val=""/>
      <w:lvlJc w:val="left"/>
      <w:pPr>
        <w:ind w:left="4490" w:hanging="360"/>
      </w:pPr>
      <w:rPr>
        <w:rFonts w:ascii="Wingdings" w:hAnsi="Wingdings" w:hint="default"/>
      </w:rPr>
    </w:lvl>
    <w:lvl w:ilvl="6" w:tplc="965230F2" w:tentative="1">
      <w:start w:val="1"/>
      <w:numFmt w:val="bullet"/>
      <w:lvlText w:val=""/>
      <w:lvlJc w:val="left"/>
      <w:pPr>
        <w:ind w:left="5210" w:hanging="360"/>
      </w:pPr>
      <w:rPr>
        <w:rFonts w:ascii="Symbol" w:hAnsi="Symbol" w:hint="default"/>
      </w:rPr>
    </w:lvl>
    <w:lvl w:ilvl="7" w:tplc="2D764E8E" w:tentative="1">
      <w:start w:val="1"/>
      <w:numFmt w:val="bullet"/>
      <w:lvlText w:val="o"/>
      <w:lvlJc w:val="left"/>
      <w:pPr>
        <w:ind w:left="5930" w:hanging="360"/>
      </w:pPr>
      <w:rPr>
        <w:rFonts w:ascii="Courier New" w:hAnsi="Courier New" w:cs="Courier New" w:hint="default"/>
      </w:rPr>
    </w:lvl>
    <w:lvl w:ilvl="8" w:tplc="14AE95F6" w:tentative="1">
      <w:start w:val="1"/>
      <w:numFmt w:val="bullet"/>
      <w:lvlText w:val=""/>
      <w:lvlJc w:val="left"/>
      <w:pPr>
        <w:ind w:left="6650" w:hanging="360"/>
      </w:pPr>
      <w:rPr>
        <w:rFonts w:ascii="Wingdings" w:hAnsi="Wingdings" w:hint="default"/>
      </w:rPr>
    </w:lvl>
  </w:abstractNum>
  <w:abstractNum w:abstractNumId="26" w15:restartNumberingAfterBreak="0">
    <w:nsid w:val="1B107AB5"/>
    <w:multiLevelType w:val="hybridMultilevel"/>
    <w:tmpl w:val="6A84C9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BB06538"/>
    <w:multiLevelType w:val="hybridMultilevel"/>
    <w:tmpl w:val="BFBC2904"/>
    <w:lvl w:ilvl="0" w:tplc="0E30C6C2">
      <w:start w:val="1"/>
      <w:numFmt w:val="bullet"/>
      <w:pStyle w:val="VFTextbullets"/>
      <w:lvlText w:val=""/>
      <w:lvlJc w:val="left"/>
      <w:pPr>
        <w:tabs>
          <w:tab w:val="num" w:pos="340"/>
        </w:tabs>
        <w:ind w:left="340" w:hanging="340"/>
      </w:pPr>
      <w:rPr>
        <w:rFonts w:ascii="Symbol" w:hAnsi="Symbol" w:hint="default"/>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5"/>
      <w:numFmt w:val="bullet"/>
      <w:lvlText w:val="•"/>
      <w:lvlJc w:val="left"/>
      <w:pPr>
        <w:ind w:left="2370" w:hanging="57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CD95887"/>
    <w:multiLevelType w:val="multilevel"/>
    <w:tmpl w:val="FAD081C4"/>
    <w:styleLink w:val="Style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1ECD47E7"/>
    <w:multiLevelType w:val="hybridMultilevel"/>
    <w:tmpl w:val="AE2A3508"/>
    <w:lvl w:ilvl="0" w:tplc="669CCA04">
      <w:start w:val="1"/>
      <w:numFmt w:val="bullet"/>
      <w:lvlText w:val=""/>
      <w:lvlJc w:val="left"/>
      <w:pPr>
        <w:ind w:left="360" w:hanging="360"/>
      </w:pPr>
      <w:rPr>
        <w:rFonts w:ascii="Symbol" w:hAnsi="Symbol" w:hint="default"/>
      </w:rPr>
    </w:lvl>
    <w:lvl w:ilvl="1" w:tplc="B768A93C" w:tentative="1">
      <w:start w:val="1"/>
      <w:numFmt w:val="bullet"/>
      <w:lvlText w:val="o"/>
      <w:lvlJc w:val="left"/>
      <w:pPr>
        <w:ind w:left="730" w:hanging="360"/>
      </w:pPr>
      <w:rPr>
        <w:rFonts w:ascii="Courier New" w:hAnsi="Courier New" w:cs="Courier New" w:hint="default"/>
      </w:rPr>
    </w:lvl>
    <w:lvl w:ilvl="2" w:tplc="E9423228" w:tentative="1">
      <w:start w:val="1"/>
      <w:numFmt w:val="bullet"/>
      <w:lvlText w:val=""/>
      <w:lvlJc w:val="left"/>
      <w:pPr>
        <w:ind w:left="1450" w:hanging="360"/>
      </w:pPr>
      <w:rPr>
        <w:rFonts w:ascii="Wingdings" w:hAnsi="Wingdings" w:hint="default"/>
      </w:rPr>
    </w:lvl>
    <w:lvl w:ilvl="3" w:tplc="7682E8B2" w:tentative="1">
      <w:start w:val="1"/>
      <w:numFmt w:val="bullet"/>
      <w:lvlText w:val=""/>
      <w:lvlJc w:val="left"/>
      <w:pPr>
        <w:ind w:left="2170" w:hanging="360"/>
      </w:pPr>
      <w:rPr>
        <w:rFonts w:ascii="Symbol" w:hAnsi="Symbol" w:hint="default"/>
      </w:rPr>
    </w:lvl>
    <w:lvl w:ilvl="4" w:tplc="9AD217D0" w:tentative="1">
      <w:start w:val="1"/>
      <w:numFmt w:val="bullet"/>
      <w:lvlText w:val="o"/>
      <w:lvlJc w:val="left"/>
      <w:pPr>
        <w:ind w:left="2890" w:hanging="360"/>
      </w:pPr>
      <w:rPr>
        <w:rFonts w:ascii="Courier New" w:hAnsi="Courier New" w:cs="Courier New" w:hint="default"/>
      </w:rPr>
    </w:lvl>
    <w:lvl w:ilvl="5" w:tplc="CDFCDEB8" w:tentative="1">
      <w:start w:val="1"/>
      <w:numFmt w:val="bullet"/>
      <w:lvlText w:val=""/>
      <w:lvlJc w:val="left"/>
      <w:pPr>
        <w:ind w:left="3610" w:hanging="360"/>
      </w:pPr>
      <w:rPr>
        <w:rFonts w:ascii="Wingdings" w:hAnsi="Wingdings" w:hint="default"/>
      </w:rPr>
    </w:lvl>
    <w:lvl w:ilvl="6" w:tplc="BD948B80" w:tentative="1">
      <w:start w:val="1"/>
      <w:numFmt w:val="bullet"/>
      <w:lvlText w:val=""/>
      <w:lvlJc w:val="left"/>
      <w:pPr>
        <w:ind w:left="4330" w:hanging="360"/>
      </w:pPr>
      <w:rPr>
        <w:rFonts w:ascii="Symbol" w:hAnsi="Symbol" w:hint="default"/>
      </w:rPr>
    </w:lvl>
    <w:lvl w:ilvl="7" w:tplc="1CE60CBC" w:tentative="1">
      <w:start w:val="1"/>
      <w:numFmt w:val="bullet"/>
      <w:lvlText w:val="o"/>
      <w:lvlJc w:val="left"/>
      <w:pPr>
        <w:ind w:left="5050" w:hanging="360"/>
      </w:pPr>
      <w:rPr>
        <w:rFonts w:ascii="Courier New" w:hAnsi="Courier New" w:cs="Courier New" w:hint="default"/>
      </w:rPr>
    </w:lvl>
    <w:lvl w:ilvl="8" w:tplc="EF6CBAF2" w:tentative="1">
      <w:start w:val="1"/>
      <w:numFmt w:val="bullet"/>
      <w:lvlText w:val=""/>
      <w:lvlJc w:val="left"/>
      <w:pPr>
        <w:ind w:left="5770" w:hanging="360"/>
      </w:pPr>
      <w:rPr>
        <w:rFonts w:ascii="Wingdings" w:hAnsi="Wingdings" w:hint="default"/>
      </w:rPr>
    </w:lvl>
  </w:abstractNum>
  <w:abstractNum w:abstractNumId="30" w15:restartNumberingAfterBreak="0">
    <w:nsid w:val="20936DB4"/>
    <w:multiLevelType w:val="hybridMultilevel"/>
    <w:tmpl w:val="AA46CA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0B20E02"/>
    <w:multiLevelType w:val="hybridMultilevel"/>
    <w:tmpl w:val="129AFD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1614829"/>
    <w:multiLevelType w:val="singleLevel"/>
    <w:tmpl w:val="AEBAC8A6"/>
    <w:lvl w:ilvl="0">
      <w:start w:val="1"/>
      <w:numFmt w:val="bullet"/>
      <w:lvlText w:val=""/>
      <w:lvlJc w:val="left"/>
      <w:pPr>
        <w:tabs>
          <w:tab w:val="num" w:pos="340"/>
        </w:tabs>
        <w:ind w:left="340" w:hanging="340"/>
      </w:pPr>
      <w:rPr>
        <w:rFonts w:ascii="Symbol" w:hAnsi="Symbol" w:hint="default"/>
        <w:color w:val="auto"/>
        <w:sz w:val="22"/>
      </w:rPr>
    </w:lvl>
  </w:abstractNum>
  <w:abstractNum w:abstractNumId="33" w15:restartNumberingAfterBreak="0">
    <w:nsid w:val="21614896"/>
    <w:multiLevelType w:val="hybridMultilevel"/>
    <w:tmpl w:val="81AADF3E"/>
    <w:lvl w:ilvl="0" w:tplc="CA688FAA">
      <w:start w:val="1"/>
      <w:numFmt w:val="bullet"/>
      <w:pStyle w:val="ESbullet2"/>
      <w:lvlText w:val="o"/>
      <w:lvlJc w:val="left"/>
      <w:pPr>
        <w:ind w:left="644" w:hanging="360"/>
      </w:pPr>
      <w:rPr>
        <w:rFonts w:ascii="Courier New" w:hAnsi="Courier New" w:cs="Courier New" w:hint="default"/>
      </w:rPr>
    </w:lvl>
    <w:lvl w:ilvl="1" w:tplc="E614302C" w:tentative="1">
      <w:start w:val="1"/>
      <w:numFmt w:val="bullet"/>
      <w:lvlText w:val="o"/>
      <w:lvlJc w:val="left"/>
      <w:pPr>
        <w:ind w:left="1440" w:hanging="360"/>
      </w:pPr>
      <w:rPr>
        <w:rFonts w:ascii="Courier New" w:hAnsi="Courier New" w:cs="Courier New" w:hint="default"/>
      </w:rPr>
    </w:lvl>
    <w:lvl w:ilvl="2" w:tplc="73E6C85A" w:tentative="1">
      <w:start w:val="1"/>
      <w:numFmt w:val="bullet"/>
      <w:lvlText w:val=""/>
      <w:lvlJc w:val="left"/>
      <w:pPr>
        <w:ind w:left="2160" w:hanging="360"/>
      </w:pPr>
      <w:rPr>
        <w:rFonts w:ascii="Wingdings" w:hAnsi="Wingdings" w:hint="default"/>
      </w:rPr>
    </w:lvl>
    <w:lvl w:ilvl="3" w:tplc="D390DF5E" w:tentative="1">
      <w:start w:val="1"/>
      <w:numFmt w:val="bullet"/>
      <w:lvlText w:val=""/>
      <w:lvlJc w:val="left"/>
      <w:pPr>
        <w:ind w:left="2880" w:hanging="360"/>
      </w:pPr>
      <w:rPr>
        <w:rFonts w:ascii="Symbol" w:hAnsi="Symbol" w:hint="default"/>
      </w:rPr>
    </w:lvl>
    <w:lvl w:ilvl="4" w:tplc="986AAB6C" w:tentative="1">
      <w:start w:val="1"/>
      <w:numFmt w:val="bullet"/>
      <w:lvlText w:val="o"/>
      <w:lvlJc w:val="left"/>
      <w:pPr>
        <w:ind w:left="3600" w:hanging="360"/>
      </w:pPr>
      <w:rPr>
        <w:rFonts w:ascii="Courier New" w:hAnsi="Courier New" w:cs="Courier New" w:hint="default"/>
      </w:rPr>
    </w:lvl>
    <w:lvl w:ilvl="5" w:tplc="00EEFAAC" w:tentative="1">
      <w:start w:val="1"/>
      <w:numFmt w:val="bullet"/>
      <w:lvlText w:val=""/>
      <w:lvlJc w:val="left"/>
      <w:pPr>
        <w:ind w:left="4320" w:hanging="360"/>
      </w:pPr>
      <w:rPr>
        <w:rFonts w:ascii="Wingdings" w:hAnsi="Wingdings" w:hint="default"/>
      </w:rPr>
    </w:lvl>
    <w:lvl w:ilvl="6" w:tplc="6642822E" w:tentative="1">
      <w:start w:val="1"/>
      <w:numFmt w:val="bullet"/>
      <w:lvlText w:val=""/>
      <w:lvlJc w:val="left"/>
      <w:pPr>
        <w:ind w:left="5040" w:hanging="360"/>
      </w:pPr>
      <w:rPr>
        <w:rFonts w:ascii="Symbol" w:hAnsi="Symbol" w:hint="default"/>
      </w:rPr>
    </w:lvl>
    <w:lvl w:ilvl="7" w:tplc="A40E1710" w:tentative="1">
      <w:start w:val="1"/>
      <w:numFmt w:val="bullet"/>
      <w:lvlText w:val="o"/>
      <w:lvlJc w:val="left"/>
      <w:pPr>
        <w:ind w:left="5760" w:hanging="360"/>
      </w:pPr>
      <w:rPr>
        <w:rFonts w:ascii="Courier New" w:hAnsi="Courier New" w:cs="Courier New" w:hint="default"/>
      </w:rPr>
    </w:lvl>
    <w:lvl w:ilvl="8" w:tplc="477E17E8" w:tentative="1">
      <w:start w:val="1"/>
      <w:numFmt w:val="bullet"/>
      <w:lvlText w:val=""/>
      <w:lvlJc w:val="left"/>
      <w:pPr>
        <w:ind w:left="6480" w:hanging="360"/>
      </w:pPr>
      <w:rPr>
        <w:rFonts w:ascii="Wingdings" w:hAnsi="Wingdings" w:hint="default"/>
      </w:rPr>
    </w:lvl>
  </w:abstractNum>
  <w:abstractNum w:abstractNumId="34" w15:restartNumberingAfterBreak="0">
    <w:nsid w:val="22137538"/>
    <w:multiLevelType w:val="hybridMultilevel"/>
    <w:tmpl w:val="900EFA18"/>
    <w:lvl w:ilvl="0" w:tplc="B05E8D7C">
      <w:start w:val="1"/>
      <w:numFmt w:val="decimal"/>
      <w:pStyle w:val="ESAppendix1"/>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3453E12"/>
    <w:multiLevelType w:val="multilevel"/>
    <w:tmpl w:val="EFFC2B7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245F79E4"/>
    <w:multiLevelType w:val="hybridMultilevel"/>
    <w:tmpl w:val="DE92046C"/>
    <w:lvl w:ilvl="0" w:tplc="07D498F0">
      <w:start w:val="1"/>
      <w:numFmt w:val="bullet"/>
      <w:lvlText w:val=""/>
      <w:lvlJc w:val="left"/>
      <w:pPr>
        <w:ind w:left="360" w:hanging="360"/>
      </w:pPr>
      <w:rPr>
        <w:rFonts w:ascii="Symbol" w:hAnsi="Symbol" w:hint="default"/>
      </w:rPr>
    </w:lvl>
    <w:lvl w:ilvl="1" w:tplc="9EB643E8" w:tentative="1">
      <w:start w:val="1"/>
      <w:numFmt w:val="bullet"/>
      <w:lvlText w:val="o"/>
      <w:lvlJc w:val="left"/>
      <w:pPr>
        <w:ind w:left="1080" w:hanging="360"/>
      </w:pPr>
      <w:rPr>
        <w:rFonts w:ascii="Courier New" w:hAnsi="Courier New" w:cs="Courier New" w:hint="default"/>
      </w:rPr>
    </w:lvl>
    <w:lvl w:ilvl="2" w:tplc="6C36C63C" w:tentative="1">
      <w:start w:val="1"/>
      <w:numFmt w:val="bullet"/>
      <w:lvlText w:val=""/>
      <w:lvlJc w:val="left"/>
      <w:pPr>
        <w:ind w:left="1800" w:hanging="360"/>
      </w:pPr>
      <w:rPr>
        <w:rFonts w:ascii="Wingdings" w:hAnsi="Wingdings" w:hint="default"/>
      </w:rPr>
    </w:lvl>
    <w:lvl w:ilvl="3" w:tplc="698461BC" w:tentative="1">
      <w:start w:val="1"/>
      <w:numFmt w:val="bullet"/>
      <w:lvlText w:val=""/>
      <w:lvlJc w:val="left"/>
      <w:pPr>
        <w:ind w:left="2520" w:hanging="360"/>
      </w:pPr>
      <w:rPr>
        <w:rFonts w:ascii="Symbol" w:hAnsi="Symbol" w:hint="default"/>
      </w:rPr>
    </w:lvl>
    <w:lvl w:ilvl="4" w:tplc="C60A006C" w:tentative="1">
      <w:start w:val="1"/>
      <w:numFmt w:val="bullet"/>
      <w:lvlText w:val="o"/>
      <w:lvlJc w:val="left"/>
      <w:pPr>
        <w:ind w:left="3240" w:hanging="360"/>
      </w:pPr>
      <w:rPr>
        <w:rFonts w:ascii="Courier New" w:hAnsi="Courier New" w:cs="Courier New" w:hint="default"/>
      </w:rPr>
    </w:lvl>
    <w:lvl w:ilvl="5" w:tplc="65B68EB8" w:tentative="1">
      <w:start w:val="1"/>
      <w:numFmt w:val="bullet"/>
      <w:lvlText w:val=""/>
      <w:lvlJc w:val="left"/>
      <w:pPr>
        <w:ind w:left="3960" w:hanging="360"/>
      </w:pPr>
      <w:rPr>
        <w:rFonts w:ascii="Wingdings" w:hAnsi="Wingdings" w:hint="default"/>
      </w:rPr>
    </w:lvl>
    <w:lvl w:ilvl="6" w:tplc="8ACE7AE4" w:tentative="1">
      <w:start w:val="1"/>
      <w:numFmt w:val="bullet"/>
      <w:lvlText w:val=""/>
      <w:lvlJc w:val="left"/>
      <w:pPr>
        <w:ind w:left="4680" w:hanging="360"/>
      </w:pPr>
      <w:rPr>
        <w:rFonts w:ascii="Symbol" w:hAnsi="Symbol" w:hint="default"/>
      </w:rPr>
    </w:lvl>
    <w:lvl w:ilvl="7" w:tplc="070CAB3E" w:tentative="1">
      <w:start w:val="1"/>
      <w:numFmt w:val="bullet"/>
      <w:lvlText w:val="o"/>
      <w:lvlJc w:val="left"/>
      <w:pPr>
        <w:ind w:left="5400" w:hanging="360"/>
      </w:pPr>
      <w:rPr>
        <w:rFonts w:ascii="Courier New" w:hAnsi="Courier New" w:cs="Courier New" w:hint="default"/>
      </w:rPr>
    </w:lvl>
    <w:lvl w:ilvl="8" w:tplc="1E4EEAA8" w:tentative="1">
      <w:start w:val="1"/>
      <w:numFmt w:val="bullet"/>
      <w:lvlText w:val=""/>
      <w:lvlJc w:val="left"/>
      <w:pPr>
        <w:ind w:left="6120" w:hanging="360"/>
      </w:pPr>
      <w:rPr>
        <w:rFonts w:ascii="Wingdings" w:hAnsi="Wingdings" w:hint="default"/>
      </w:rPr>
    </w:lvl>
  </w:abstractNum>
  <w:abstractNum w:abstractNumId="37" w15:restartNumberingAfterBreak="0">
    <w:nsid w:val="247C6140"/>
    <w:multiLevelType w:val="hybridMultilevel"/>
    <w:tmpl w:val="CD6415A0"/>
    <w:lvl w:ilvl="0" w:tplc="0C090001">
      <w:start w:val="1"/>
      <w:numFmt w:val="bullet"/>
      <w:lvlText w:val=""/>
      <w:lvlJc w:val="left"/>
      <w:pPr>
        <w:ind w:left="360" w:hanging="360"/>
      </w:pPr>
      <w:rPr>
        <w:rFonts w:ascii="Symbol" w:hAnsi="Symbol" w:hint="default"/>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8" w15:restartNumberingAfterBreak="0">
    <w:nsid w:val="263B67F5"/>
    <w:multiLevelType w:val="hybridMultilevel"/>
    <w:tmpl w:val="CA1E774C"/>
    <w:lvl w:ilvl="0" w:tplc="93BE83A8">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39" w15:restartNumberingAfterBreak="0">
    <w:nsid w:val="26B9383F"/>
    <w:multiLevelType w:val="hybridMultilevel"/>
    <w:tmpl w:val="1A56D874"/>
    <w:lvl w:ilvl="0" w:tplc="0C090001">
      <w:start w:val="1"/>
      <w:numFmt w:val="bullet"/>
      <w:pStyle w:val="ESTablebullet1"/>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1320D1A"/>
    <w:multiLevelType w:val="hybridMultilevel"/>
    <w:tmpl w:val="7B98D384"/>
    <w:lvl w:ilvl="0" w:tplc="0C090019">
      <w:start w:val="1"/>
      <w:numFmt w:val="bullet"/>
      <w:lvlText w:val=""/>
      <w:lvlJc w:val="left"/>
      <w:pPr>
        <w:ind w:left="360" w:hanging="360"/>
      </w:pPr>
      <w:rPr>
        <w:rFonts w:ascii="Symbol" w:hAnsi="Symbol" w:hint="default"/>
      </w:rPr>
    </w:lvl>
    <w:lvl w:ilvl="1" w:tplc="0C090001"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41" w15:restartNumberingAfterBreak="0">
    <w:nsid w:val="329D7F1D"/>
    <w:multiLevelType w:val="hybridMultilevel"/>
    <w:tmpl w:val="A6F47A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3B27FC7"/>
    <w:multiLevelType w:val="hybridMultilevel"/>
    <w:tmpl w:val="A32EC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56F31EB"/>
    <w:multiLevelType w:val="hybridMultilevel"/>
    <w:tmpl w:val="85CE96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5E42108"/>
    <w:multiLevelType w:val="hybridMultilevel"/>
    <w:tmpl w:val="F4305E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30" w:hanging="360"/>
      </w:pPr>
      <w:rPr>
        <w:rFonts w:ascii="Courier New" w:hAnsi="Courier New" w:cs="Courier New" w:hint="default"/>
      </w:rPr>
    </w:lvl>
    <w:lvl w:ilvl="2" w:tplc="0C090005" w:tentative="1">
      <w:start w:val="1"/>
      <w:numFmt w:val="bullet"/>
      <w:lvlText w:val=""/>
      <w:lvlJc w:val="left"/>
      <w:pPr>
        <w:ind w:left="1450" w:hanging="360"/>
      </w:pPr>
      <w:rPr>
        <w:rFonts w:ascii="Wingdings" w:hAnsi="Wingdings" w:hint="default"/>
      </w:rPr>
    </w:lvl>
    <w:lvl w:ilvl="3" w:tplc="0C090001" w:tentative="1">
      <w:start w:val="1"/>
      <w:numFmt w:val="bullet"/>
      <w:lvlText w:val=""/>
      <w:lvlJc w:val="left"/>
      <w:pPr>
        <w:ind w:left="2170" w:hanging="360"/>
      </w:pPr>
      <w:rPr>
        <w:rFonts w:ascii="Symbol" w:hAnsi="Symbol" w:hint="default"/>
      </w:rPr>
    </w:lvl>
    <w:lvl w:ilvl="4" w:tplc="0C090003" w:tentative="1">
      <w:start w:val="1"/>
      <w:numFmt w:val="bullet"/>
      <w:lvlText w:val="o"/>
      <w:lvlJc w:val="left"/>
      <w:pPr>
        <w:ind w:left="2890" w:hanging="360"/>
      </w:pPr>
      <w:rPr>
        <w:rFonts w:ascii="Courier New" w:hAnsi="Courier New" w:cs="Courier New" w:hint="default"/>
      </w:rPr>
    </w:lvl>
    <w:lvl w:ilvl="5" w:tplc="0C090005" w:tentative="1">
      <w:start w:val="1"/>
      <w:numFmt w:val="bullet"/>
      <w:lvlText w:val=""/>
      <w:lvlJc w:val="left"/>
      <w:pPr>
        <w:ind w:left="3610" w:hanging="360"/>
      </w:pPr>
      <w:rPr>
        <w:rFonts w:ascii="Wingdings" w:hAnsi="Wingdings" w:hint="default"/>
      </w:rPr>
    </w:lvl>
    <w:lvl w:ilvl="6" w:tplc="0C090001" w:tentative="1">
      <w:start w:val="1"/>
      <w:numFmt w:val="bullet"/>
      <w:lvlText w:val=""/>
      <w:lvlJc w:val="left"/>
      <w:pPr>
        <w:ind w:left="4330" w:hanging="360"/>
      </w:pPr>
      <w:rPr>
        <w:rFonts w:ascii="Symbol" w:hAnsi="Symbol" w:hint="default"/>
      </w:rPr>
    </w:lvl>
    <w:lvl w:ilvl="7" w:tplc="0C090003" w:tentative="1">
      <w:start w:val="1"/>
      <w:numFmt w:val="bullet"/>
      <w:lvlText w:val="o"/>
      <w:lvlJc w:val="left"/>
      <w:pPr>
        <w:ind w:left="5050" w:hanging="360"/>
      </w:pPr>
      <w:rPr>
        <w:rFonts w:ascii="Courier New" w:hAnsi="Courier New" w:cs="Courier New" w:hint="default"/>
      </w:rPr>
    </w:lvl>
    <w:lvl w:ilvl="8" w:tplc="0C090005" w:tentative="1">
      <w:start w:val="1"/>
      <w:numFmt w:val="bullet"/>
      <w:lvlText w:val=""/>
      <w:lvlJc w:val="left"/>
      <w:pPr>
        <w:ind w:left="5770" w:hanging="360"/>
      </w:pPr>
      <w:rPr>
        <w:rFonts w:ascii="Wingdings" w:hAnsi="Wingdings" w:hint="default"/>
      </w:rPr>
    </w:lvl>
  </w:abstractNum>
  <w:abstractNum w:abstractNumId="45" w15:restartNumberingAfterBreak="0">
    <w:nsid w:val="391819EB"/>
    <w:multiLevelType w:val="hybridMultilevel"/>
    <w:tmpl w:val="0EA415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9832694"/>
    <w:multiLevelType w:val="hybridMultilevel"/>
    <w:tmpl w:val="19E02042"/>
    <w:lvl w:ilvl="0" w:tplc="7D06D3C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9867F32"/>
    <w:multiLevelType w:val="hybridMultilevel"/>
    <w:tmpl w:val="F78EA2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A7F6031"/>
    <w:multiLevelType w:val="hybridMultilevel"/>
    <w:tmpl w:val="2A4CF0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CFB1784"/>
    <w:multiLevelType w:val="hybridMultilevel"/>
    <w:tmpl w:val="2D882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D8A10D1"/>
    <w:multiLevelType w:val="hybridMultilevel"/>
    <w:tmpl w:val="B45A57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3DD004E2"/>
    <w:multiLevelType w:val="multilevel"/>
    <w:tmpl w:val="0C090023"/>
    <w:styleLink w:val="ArticleSection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2" w15:restartNumberingAfterBreak="0">
    <w:nsid w:val="40856CE3"/>
    <w:multiLevelType w:val="hybridMultilevel"/>
    <w:tmpl w:val="0520031C"/>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53" w15:restartNumberingAfterBreak="0">
    <w:nsid w:val="423E7557"/>
    <w:multiLevelType w:val="hybridMultilevel"/>
    <w:tmpl w:val="C33C6E2E"/>
    <w:lvl w:ilvl="0" w:tplc="BFDAC178">
      <w:start w:val="1"/>
      <w:numFmt w:val="bullet"/>
      <w:lvlText w:val=""/>
      <w:lvlJc w:val="left"/>
      <w:pPr>
        <w:ind w:left="360" w:hanging="360"/>
      </w:pPr>
      <w:rPr>
        <w:rFonts w:ascii="Symbol" w:hAnsi="Symbol" w:hint="default"/>
      </w:rPr>
    </w:lvl>
    <w:lvl w:ilvl="1" w:tplc="9A0C6920" w:tentative="1">
      <w:start w:val="1"/>
      <w:numFmt w:val="bullet"/>
      <w:lvlText w:val="o"/>
      <w:lvlJc w:val="left"/>
      <w:pPr>
        <w:ind w:left="1080" w:hanging="360"/>
      </w:pPr>
      <w:rPr>
        <w:rFonts w:ascii="Courier New" w:hAnsi="Courier New" w:cs="Courier New" w:hint="default"/>
      </w:rPr>
    </w:lvl>
    <w:lvl w:ilvl="2" w:tplc="6AE432D2" w:tentative="1">
      <w:start w:val="1"/>
      <w:numFmt w:val="bullet"/>
      <w:lvlText w:val=""/>
      <w:lvlJc w:val="left"/>
      <w:pPr>
        <w:ind w:left="1800" w:hanging="360"/>
      </w:pPr>
      <w:rPr>
        <w:rFonts w:ascii="Wingdings" w:hAnsi="Wingdings" w:hint="default"/>
      </w:rPr>
    </w:lvl>
    <w:lvl w:ilvl="3" w:tplc="F5A6AB32" w:tentative="1">
      <w:start w:val="1"/>
      <w:numFmt w:val="bullet"/>
      <w:lvlText w:val=""/>
      <w:lvlJc w:val="left"/>
      <w:pPr>
        <w:ind w:left="2520" w:hanging="360"/>
      </w:pPr>
      <w:rPr>
        <w:rFonts w:ascii="Symbol" w:hAnsi="Symbol" w:hint="default"/>
      </w:rPr>
    </w:lvl>
    <w:lvl w:ilvl="4" w:tplc="24A42120" w:tentative="1">
      <w:start w:val="1"/>
      <w:numFmt w:val="bullet"/>
      <w:lvlText w:val="o"/>
      <w:lvlJc w:val="left"/>
      <w:pPr>
        <w:ind w:left="3240" w:hanging="360"/>
      </w:pPr>
      <w:rPr>
        <w:rFonts w:ascii="Courier New" w:hAnsi="Courier New" w:cs="Courier New" w:hint="default"/>
      </w:rPr>
    </w:lvl>
    <w:lvl w:ilvl="5" w:tplc="1BC22FEA" w:tentative="1">
      <w:start w:val="1"/>
      <w:numFmt w:val="bullet"/>
      <w:lvlText w:val=""/>
      <w:lvlJc w:val="left"/>
      <w:pPr>
        <w:ind w:left="3960" w:hanging="360"/>
      </w:pPr>
      <w:rPr>
        <w:rFonts w:ascii="Wingdings" w:hAnsi="Wingdings" w:hint="default"/>
      </w:rPr>
    </w:lvl>
    <w:lvl w:ilvl="6" w:tplc="6E927108" w:tentative="1">
      <w:start w:val="1"/>
      <w:numFmt w:val="bullet"/>
      <w:lvlText w:val=""/>
      <w:lvlJc w:val="left"/>
      <w:pPr>
        <w:ind w:left="4680" w:hanging="360"/>
      </w:pPr>
      <w:rPr>
        <w:rFonts w:ascii="Symbol" w:hAnsi="Symbol" w:hint="default"/>
      </w:rPr>
    </w:lvl>
    <w:lvl w:ilvl="7" w:tplc="AE50C102" w:tentative="1">
      <w:start w:val="1"/>
      <w:numFmt w:val="bullet"/>
      <w:lvlText w:val="o"/>
      <w:lvlJc w:val="left"/>
      <w:pPr>
        <w:ind w:left="5400" w:hanging="360"/>
      </w:pPr>
      <w:rPr>
        <w:rFonts w:ascii="Courier New" w:hAnsi="Courier New" w:cs="Courier New" w:hint="default"/>
      </w:rPr>
    </w:lvl>
    <w:lvl w:ilvl="8" w:tplc="E3FCC60C" w:tentative="1">
      <w:start w:val="1"/>
      <w:numFmt w:val="bullet"/>
      <w:lvlText w:val=""/>
      <w:lvlJc w:val="left"/>
      <w:pPr>
        <w:ind w:left="6120" w:hanging="360"/>
      </w:pPr>
      <w:rPr>
        <w:rFonts w:ascii="Wingdings" w:hAnsi="Wingdings" w:hint="default"/>
      </w:rPr>
    </w:lvl>
  </w:abstractNum>
  <w:abstractNum w:abstractNumId="54" w15:restartNumberingAfterBreak="0">
    <w:nsid w:val="430B4137"/>
    <w:multiLevelType w:val="hybridMultilevel"/>
    <w:tmpl w:val="56A6A6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468178D7"/>
    <w:multiLevelType w:val="hybridMultilevel"/>
    <w:tmpl w:val="4C1A08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46F27FCF"/>
    <w:multiLevelType w:val="hybridMultilevel"/>
    <w:tmpl w:val="D89A45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738652D"/>
    <w:multiLevelType w:val="hybridMultilevel"/>
    <w:tmpl w:val="DCD097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87504A2"/>
    <w:multiLevelType w:val="hybridMultilevel"/>
    <w:tmpl w:val="4190BFD8"/>
    <w:styleLink w:val="Bullet"/>
    <w:lvl w:ilvl="0" w:tplc="CEE0E36C">
      <w:start w:val="1"/>
      <w:numFmt w:val="bullet"/>
      <w:lvlText w:val=""/>
      <w:lvlJc w:val="left"/>
      <w:pPr>
        <w:ind w:left="360" w:hanging="360"/>
      </w:pPr>
      <w:rPr>
        <w:rFonts w:ascii="Symbol" w:hAnsi="Symbol" w:hint="default"/>
      </w:rPr>
    </w:lvl>
    <w:lvl w:ilvl="1" w:tplc="6B04ED3C" w:tentative="1">
      <w:start w:val="1"/>
      <w:numFmt w:val="bullet"/>
      <w:lvlText w:val="o"/>
      <w:lvlJc w:val="left"/>
      <w:pPr>
        <w:ind w:left="1080" w:hanging="360"/>
      </w:pPr>
      <w:rPr>
        <w:rFonts w:ascii="Courier New" w:hAnsi="Courier New" w:cs="Courier New" w:hint="default"/>
      </w:rPr>
    </w:lvl>
    <w:lvl w:ilvl="2" w:tplc="AAE6AFEC" w:tentative="1">
      <w:start w:val="1"/>
      <w:numFmt w:val="bullet"/>
      <w:lvlText w:val=""/>
      <w:lvlJc w:val="left"/>
      <w:pPr>
        <w:ind w:left="1800" w:hanging="360"/>
      </w:pPr>
      <w:rPr>
        <w:rFonts w:ascii="Wingdings" w:hAnsi="Wingdings" w:hint="default"/>
      </w:rPr>
    </w:lvl>
    <w:lvl w:ilvl="3" w:tplc="A2E250C4" w:tentative="1">
      <w:start w:val="1"/>
      <w:numFmt w:val="bullet"/>
      <w:lvlText w:val=""/>
      <w:lvlJc w:val="left"/>
      <w:pPr>
        <w:ind w:left="2520" w:hanging="360"/>
      </w:pPr>
      <w:rPr>
        <w:rFonts w:ascii="Symbol" w:hAnsi="Symbol" w:hint="default"/>
      </w:rPr>
    </w:lvl>
    <w:lvl w:ilvl="4" w:tplc="FED27634" w:tentative="1">
      <w:start w:val="1"/>
      <w:numFmt w:val="bullet"/>
      <w:lvlText w:val="o"/>
      <w:lvlJc w:val="left"/>
      <w:pPr>
        <w:ind w:left="3240" w:hanging="360"/>
      </w:pPr>
      <w:rPr>
        <w:rFonts w:ascii="Courier New" w:hAnsi="Courier New" w:cs="Courier New" w:hint="default"/>
      </w:rPr>
    </w:lvl>
    <w:lvl w:ilvl="5" w:tplc="34668DA2" w:tentative="1">
      <w:start w:val="1"/>
      <w:numFmt w:val="bullet"/>
      <w:lvlText w:val=""/>
      <w:lvlJc w:val="left"/>
      <w:pPr>
        <w:ind w:left="3960" w:hanging="360"/>
      </w:pPr>
      <w:rPr>
        <w:rFonts w:ascii="Wingdings" w:hAnsi="Wingdings" w:hint="default"/>
      </w:rPr>
    </w:lvl>
    <w:lvl w:ilvl="6" w:tplc="E22C5BA8" w:tentative="1">
      <w:start w:val="1"/>
      <w:numFmt w:val="bullet"/>
      <w:lvlText w:val=""/>
      <w:lvlJc w:val="left"/>
      <w:pPr>
        <w:ind w:left="4680" w:hanging="360"/>
      </w:pPr>
      <w:rPr>
        <w:rFonts w:ascii="Symbol" w:hAnsi="Symbol" w:hint="default"/>
      </w:rPr>
    </w:lvl>
    <w:lvl w:ilvl="7" w:tplc="C8C81B06" w:tentative="1">
      <w:start w:val="1"/>
      <w:numFmt w:val="bullet"/>
      <w:lvlText w:val="o"/>
      <w:lvlJc w:val="left"/>
      <w:pPr>
        <w:ind w:left="5400" w:hanging="360"/>
      </w:pPr>
      <w:rPr>
        <w:rFonts w:ascii="Courier New" w:hAnsi="Courier New" w:cs="Courier New" w:hint="default"/>
      </w:rPr>
    </w:lvl>
    <w:lvl w:ilvl="8" w:tplc="3CD6462E" w:tentative="1">
      <w:start w:val="1"/>
      <w:numFmt w:val="bullet"/>
      <w:lvlText w:val=""/>
      <w:lvlJc w:val="left"/>
      <w:pPr>
        <w:ind w:left="6120" w:hanging="360"/>
      </w:pPr>
      <w:rPr>
        <w:rFonts w:ascii="Wingdings" w:hAnsi="Wingdings" w:hint="default"/>
      </w:rPr>
    </w:lvl>
  </w:abstractNum>
  <w:abstractNum w:abstractNumId="59" w15:restartNumberingAfterBreak="0">
    <w:nsid w:val="4983622D"/>
    <w:multiLevelType w:val="hybridMultilevel"/>
    <w:tmpl w:val="3DD20E42"/>
    <w:lvl w:ilvl="0" w:tplc="9F064F42">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60" w15:restartNumberingAfterBreak="0">
    <w:nsid w:val="4B6367C4"/>
    <w:multiLevelType w:val="singleLevel"/>
    <w:tmpl w:val="CE424732"/>
    <w:styleLink w:val="NumberedHeadings"/>
    <w:lvl w:ilvl="0">
      <w:start w:val="1"/>
      <w:numFmt w:val="bullet"/>
      <w:lvlText w:val=""/>
      <w:lvlJc w:val="left"/>
      <w:pPr>
        <w:tabs>
          <w:tab w:val="num" w:pos="340"/>
        </w:tabs>
        <w:ind w:left="340" w:hanging="340"/>
      </w:pPr>
      <w:rPr>
        <w:rFonts w:ascii="Symbol" w:hAnsi="Symbol" w:hint="default"/>
        <w:color w:val="auto"/>
        <w:sz w:val="22"/>
      </w:rPr>
    </w:lvl>
  </w:abstractNum>
  <w:abstractNum w:abstractNumId="61" w15:restartNumberingAfterBreak="0">
    <w:nsid w:val="4CC02D17"/>
    <w:multiLevelType w:val="hybridMultilevel"/>
    <w:tmpl w:val="876A8A7C"/>
    <w:lvl w:ilvl="0" w:tplc="DE6ED084">
      <w:start w:val="1"/>
      <w:numFmt w:val="decimal"/>
      <w:pStyle w:val="Heading2notes"/>
      <w:lvlText w:val="Note %1"/>
      <w:lvlJc w:val="left"/>
      <w:pPr>
        <w:ind w:left="360" w:hanging="360"/>
      </w:pPr>
      <w:rPr>
        <w:rFonts w:hint="default"/>
      </w:rPr>
    </w:lvl>
    <w:lvl w:ilvl="1" w:tplc="1610B932">
      <w:start w:val="1"/>
      <w:numFmt w:val="lowerLetter"/>
      <w:lvlText w:val="%2."/>
      <w:lvlJc w:val="left"/>
      <w:pPr>
        <w:ind w:left="1080" w:hanging="360"/>
      </w:pPr>
    </w:lvl>
    <w:lvl w:ilvl="2" w:tplc="27264968" w:tentative="1">
      <w:start w:val="1"/>
      <w:numFmt w:val="lowerRoman"/>
      <w:lvlText w:val="%3."/>
      <w:lvlJc w:val="right"/>
      <w:pPr>
        <w:ind w:left="1800" w:hanging="180"/>
      </w:pPr>
    </w:lvl>
    <w:lvl w:ilvl="3" w:tplc="B2EA3D00" w:tentative="1">
      <w:start w:val="1"/>
      <w:numFmt w:val="decimal"/>
      <w:lvlText w:val="%4."/>
      <w:lvlJc w:val="left"/>
      <w:pPr>
        <w:ind w:left="2520" w:hanging="360"/>
      </w:pPr>
    </w:lvl>
    <w:lvl w:ilvl="4" w:tplc="7B3625EA" w:tentative="1">
      <w:start w:val="1"/>
      <w:numFmt w:val="lowerLetter"/>
      <w:lvlText w:val="%5."/>
      <w:lvlJc w:val="left"/>
      <w:pPr>
        <w:ind w:left="3240" w:hanging="360"/>
      </w:pPr>
    </w:lvl>
    <w:lvl w:ilvl="5" w:tplc="E2AEB838" w:tentative="1">
      <w:start w:val="1"/>
      <w:numFmt w:val="lowerRoman"/>
      <w:lvlText w:val="%6."/>
      <w:lvlJc w:val="right"/>
      <w:pPr>
        <w:ind w:left="3960" w:hanging="180"/>
      </w:pPr>
    </w:lvl>
    <w:lvl w:ilvl="6" w:tplc="E5D8275E" w:tentative="1">
      <w:start w:val="1"/>
      <w:numFmt w:val="decimal"/>
      <w:lvlText w:val="%7."/>
      <w:lvlJc w:val="left"/>
      <w:pPr>
        <w:ind w:left="4680" w:hanging="360"/>
      </w:pPr>
    </w:lvl>
    <w:lvl w:ilvl="7" w:tplc="895ADD32" w:tentative="1">
      <w:start w:val="1"/>
      <w:numFmt w:val="lowerLetter"/>
      <w:lvlText w:val="%8."/>
      <w:lvlJc w:val="left"/>
      <w:pPr>
        <w:ind w:left="5400" w:hanging="360"/>
      </w:pPr>
    </w:lvl>
    <w:lvl w:ilvl="8" w:tplc="5960123A" w:tentative="1">
      <w:start w:val="1"/>
      <w:numFmt w:val="lowerRoman"/>
      <w:lvlText w:val="%9."/>
      <w:lvlJc w:val="right"/>
      <w:pPr>
        <w:ind w:left="6120" w:hanging="180"/>
      </w:pPr>
    </w:lvl>
  </w:abstractNum>
  <w:abstractNum w:abstractNumId="62" w15:restartNumberingAfterBreak="0">
    <w:nsid w:val="4D2260C2"/>
    <w:multiLevelType w:val="hybridMultilevel"/>
    <w:tmpl w:val="87E6EF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4FE0100F"/>
    <w:multiLevelType w:val="hybridMultilevel"/>
    <w:tmpl w:val="925A107E"/>
    <w:lvl w:ilvl="0" w:tplc="D5C8F296">
      <w:start w:val="1"/>
      <w:numFmt w:val="bullet"/>
      <w:lvlText w:val=""/>
      <w:lvlJc w:val="left"/>
      <w:pPr>
        <w:ind w:left="360" w:hanging="360"/>
      </w:pPr>
      <w:rPr>
        <w:rFonts w:ascii="Symbol" w:hAnsi="Symbol" w:hint="default"/>
      </w:rPr>
    </w:lvl>
    <w:lvl w:ilvl="1" w:tplc="0C090019" w:tentative="1">
      <w:start w:val="1"/>
      <w:numFmt w:val="bullet"/>
      <w:lvlText w:val="o"/>
      <w:lvlJc w:val="left"/>
      <w:pPr>
        <w:ind w:left="730" w:hanging="360"/>
      </w:pPr>
      <w:rPr>
        <w:rFonts w:ascii="Courier New" w:hAnsi="Courier New" w:cs="Courier New" w:hint="default"/>
      </w:rPr>
    </w:lvl>
    <w:lvl w:ilvl="2" w:tplc="0C09001B" w:tentative="1">
      <w:start w:val="1"/>
      <w:numFmt w:val="bullet"/>
      <w:lvlText w:val=""/>
      <w:lvlJc w:val="left"/>
      <w:pPr>
        <w:ind w:left="1450" w:hanging="360"/>
      </w:pPr>
      <w:rPr>
        <w:rFonts w:ascii="Wingdings" w:hAnsi="Wingdings" w:hint="default"/>
      </w:rPr>
    </w:lvl>
    <w:lvl w:ilvl="3" w:tplc="0C09000F" w:tentative="1">
      <w:start w:val="1"/>
      <w:numFmt w:val="bullet"/>
      <w:lvlText w:val=""/>
      <w:lvlJc w:val="left"/>
      <w:pPr>
        <w:ind w:left="2170" w:hanging="360"/>
      </w:pPr>
      <w:rPr>
        <w:rFonts w:ascii="Symbol" w:hAnsi="Symbol" w:hint="default"/>
      </w:rPr>
    </w:lvl>
    <w:lvl w:ilvl="4" w:tplc="0C090019" w:tentative="1">
      <w:start w:val="1"/>
      <w:numFmt w:val="bullet"/>
      <w:lvlText w:val="o"/>
      <w:lvlJc w:val="left"/>
      <w:pPr>
        <w:ind w:left="2890" w:hanging="360"/>
      </w:pPr>
      <w:rPr>
        <w:rFonts w:ascii="Courier New" w:hAnsi="Courier New" w:cs="Courier New" w:hint="default"/>
      </w:rPr>
    </w:lvl>
    <w:lvl w:ilvl="5" w:tplc="0C09001B" w:tentative="1">
      <w:start w:val="1"/>
      <w:numFmt w:val="bullet"/>
      <w:lvlText w:val=""/>
      <w:lvlJc w:val="left"/>
      <w:pPr>
        <w:ind w:left="3610" w:hanging="360"/>
      </w:pPr>
      <w:rPr>
        <w:rFonts w:ascii="Wingdings" w:hAnsi="Wingdings" w:hint="default"/>
      </w:rPr>
    </w:lvl>
    <w:lvl w:ilvl="6" w:tplc="0C09000F" w:tentative="1">
      <w:start w:val="1"/>
      <w:numFmt w:val="bullet"/>
      <w:lvlText w:val=""/>
      <w:lvlJc w:val="left"/>
      <w:pPr>
        <w:ind w:left="4330" w:hanging="360"/>
      </w:pPr>
      <w:rPr>
        <w:rFonts w:ascii="Symbol" w:hAnsi="Symbol" w:hint="default"/>
      </w:rPr>
    </w:lvl>
    <w:lvl w:ilvl="7" w:tplc="0C090019" w:tentative="1">
      <w:start w:val="1"/>
      <w:numFmt w:val="bullet"/>
      <w:lvlText w:val="o"/>
      <w:lvlJc w:val="left"/>
      <w:pPr>
        <w:ind w:left="5050" w:hanging="360"/>
      </w:pPr>
      <w:rPr>
        <w:rFonts w:ascii="Courier New" w:hAnsi="Courier New" w:cs="Courier New" w:hint="default"/>
      </w:rPr>
    </w:lvl>
    <w:lvl w:ilvl="8" w:tplc="0C09001B" w:tentative="1">
      <w:start w:val="1"/>
      <w:numFmt w:val="bullet"/>
      <w:lvlText w:val=""/>
      <w:lvlJc w:val="left"/>
      <w:pPr>
        <w:ind w:left="5770" w:hanging="360"/>
      </w:pPr>
      <w:rPr>
        <w:rFonts w:ascii="Wingdings" w:hAnsi="Wingdings" w:hint="default"/>
      </w:rPr>
    </w:lvl>
  </w:abstractNum>
  <w:abstractNum w:abstractNumId="64" w15:restartNumberingAfterBreak="0">
    <w:nsid w:val="50005BC4"/>
    <w:multiLevelType w:val="hybridMultilevel"/>
    <w:tmpl w:val="7E04F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03E1D7E"/>
    <w:multiLevelType w:val="hybridMultilevel"/>
    <w:tmpl w:val="2C0626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51AD32A4"/>
    <w:multiLevelType w:val="hybridMultilevel"/>
    <w:tmpl w:val="F496BF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542D7713"/>
    <w:multiLevelType w:val="hybridMultilevel"/>
    <w:tmpl w:val="B81822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07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5304A42"/>
    <w:multiLevelType w:val="hybridMultilevel"/>
    <w:tmpl w:val="309C4900"/>
    <w:lvl w:ilvl="0" w:tplc="0C090001">
      <w:start w:val="1"/>
      <w:numFmt w:val="decimal"/>
      <w:pStyle w:val="Note"/>
      <w:lvlText w:val="Note %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69" w15:restartNumberingAfterBreak="0">
    <w:nsid w:val="585F6A5F"/>
    <w:multiLevelType w:val="hybridMultilevel"/>
    <w:tmpl w:val="619E8734"/>
    <w:styleLink w:val="CurrentList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59241332"/>
    <w:multiLevelType w:val="hybridMultilevel"/>
    <w:tmpl w:val="215E5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9345977"/>
    <w:multiLevelType w:val="hybridMultilevel"/>
    <w:tmpl w:val="871A51F8"/>
    <w:lvl w:ilvl="0" w:tplc="97225BC4">
      <w:start w:val="1"/>
      <w:numFmt w:val="bullet"/>
      <w:lvlText w:val=""/>
      <w:lvlJc w:val="left"/>
      <w:pPr>
        <w:ind w:left="360" w:hanging="360"/>
      </w:pPr>
      <w:rPr>
        <w:rFonts w:ascii="Symbol" w:hAnsi="Symbol" w:hint="default"/>
      </w:rPr>
    </w:lvl>
    <w:lvl w:ilvl="1" w:tplc="E1680B90" w:tentative="1">
      <w:start w:val="1"/>
      <w:numFmt w:val="bullet"/>
      <w:lvlText w:val="o"/>
      <w:lvlJc w:val="left"/>
      <w:pPr>
        <w:ind w:left="1080" w:hanging="360"/>
      </w:pPr>
      <w:rPr>
        <w:rFonts w:ascii="Courier New" w:hAnsi="Courier New" w:cs="Courier New" w:hint="default"/>
      </w:rPr>
    </w:lvl>
    <w:lvl w:ilvl="2" w:tplc="FC54C1AA" w:tentative="1">
      <w:start w:val="1"/>
      <w:numFmt w:val="bullet"/>
      <w:lvlText w:val=""/>
      <w:lvlJc w:val="left"/>
      <w:pPr>
        <w:ind w:left="1800" w:hanging="360"/>
      </w:pPr>
      <w:rPr>
        <w:rFonts w:ascii="Wingdings" w:hAnsi="Wingdings" w:hint="default"/>
      </w:rPr>
    </w:lvl>
    <w:lvl w:ilvl="3" w:tplc="3B324B6A" w:tentative="1">
      <w:start w:val="1"/>
      <w:numFmt w:val="bullet"/>
      <w:lvlText w:val=""/>
      <w:lvlJc w:val="left"/>
      <w:pPr>
        <w:ind w:left="2520" w:hanging="360"/>
      </w:pPr>
      <w:rPr>
        <w:rFonts w:ascii="Symbol" w:hAnsi="Symbol" w:hint="default"/>
      </w:rPr>
    </w:lvl>
    <w:lvl w:ilvl="4" w:tplc="7C449AF2" w:tentative="1">
      <w:start w:val="1"/>
      <w:numFmt w:val="bullet"/>
      <w:lvlText w:val="o"/>
      <w:lvlJc w:val="left"/>
      <w:pPr>
        <w:ind w:left="3240" w:hanging="360"/>
      </w:pPr>
      <w:rPr>
        <w:rFonts w:ascii="Courier New" w:hAnsi="Courier New" w:cs="Courier New" w:hint="default"/>
      </w:rPr>
    </w:lvl>
    <w:lvl w:ilvl="5" w:tplc="BF9E8EDC" w:tentative="1">
      <w:start w:val="1"/>
      <w:numFmt w:val="bullet"/>
      <w:lvlText w:val=""/>
      <w:lvlJc w:val="left"/>
      <w:pPr>
        <w:ind w:left="3960" w:hanging="360"/>
      </w:pPr>
      <w:rPr>
        <w:rFonts w:ascii="Wingdings" w:hAnsi="Wingdings" w:hint="default"/>
      </w:rPr>
    </w:lvl>
    <w:lvl w:ilvl="6" w:tplc="F2C05A4E" w:tentative="1">
      <w:start w:val="1"/>
      <w:numFmt w:val="bullet"/>
      <w:lvlText w:val=""/>
      <w:lvlJc w:val="left"/>
      <w:pPr>
        <w:ind w:left="4680" w:hanging="360"/>
      </w:pPr>
      <w:rPr>
        <w:rFonts w:ascii="Symbol" w:hAnsi="Symbol" w:hint="default"/>
      </w:rPr>
    </w:lvl>
    <w:lvl w:ilvl="7" w:tplc="EA2633D2" w:tentative="1">
      <w:start w:val="1"/>
      <w:numFmt w:val="bullet"/>
      <w:lvlText w:val="o"/>
      <w:lvlJc w:val="left"/>
      <w:pPr>
        <w:ind w:left="5400" w:hanging="360"/>
      </w:pPr>
      <w:rPr>
        <w:rFonts w:ascii="Courier New" w:hAnsi="Courier New" w:cs="Courier New" w:hint="default"/>
      </w:rPr>
    </w:lvl>
    <w:lvl w:ilvl="8" w:tplc="7014474A" w:tentative="1">
      <w:start w:val="1"/>
      <w:numFmt w:val="bullet"/>
      <w:lvlText w:val=""/>
      <w:lvlJc w:val="left"/>
      <w:pPr>
        <w:ind w:left="6120" w:hanging="360"/>
      </w:pPr>
      <w:rPr>
        <w:rFonts w:ascii="Wingdings" w:hAnsi="Wingdings" w:hint="default"/>
      </w:rPr>
    </w:lvl>
  </w:abstractNum>
  <w:abstractNum w:abstractNumId="72" w15:restartNumberingAfterBreak="0">
    <w:nsid w:val="59916354"/>
    <w:multiLevelType w:val="hybridMultilevel"/>
    <w:tmpl w:val="BB2887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5CAC0CC9"/>
    <w:multiLevelType w:val="hybridMultilevel"/>
    <w:tmpl w:val="E398D336"/>
    <w:lvl w:ilvl="0" w:tplc="0C090001">
      <w:start w:val="1"/>
      <w:numFmt w:val="bullet"/>
      <w:lvlText w:val=""/>
      <w:lvlJc w:val="left"/>
      <w:pPr>
        <w:ind w:left="720" w:hanging="360"/>
      </w:pPr>
      <w:rPr>
        <w:rFonts w:ascii="Symbol" w:hAnsi="Symbol" w:hint="default"/>
      </w:rPr>
    </w:lvl>
    <w:lvl w:ilvl="1" w:tplc="65443F76">
      <w:start w:val="4"/>
      <w:numFmt w:val="decimal"/>
      <w:lvlText w:val="%2"/>
      <w:lvlJc w:val="left"/>
      <w:pPr>
        <w:ind w:left="4275" w:hanging="3195"/>
      </w:pPr>
      <w:rPr>
        <w:rFonts w:eastAsiaTheme="majorEastAsia" w:hint="default"/>
        <w:color w:val="AF272F" w:themeColor="accent4"/>
        <w:sz w:val="44"/>
      </w:r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74" w15:restartNumberingAfterBreak="0">
    <w:nsid w:val="5EC3395A"/>
    <w:multiLevelType w:val="hybridMultilevel"/>
    <w:tmpl w:val="57BAE482"/>
    <w:lvl w:ilvl="0" w:tplc="0C090001">
      <w:start w:val="1"/>
      <w:numFmt w:val="bullet"/>
      <w:lvlText w:val=""/>
      <w:lvlJc w:val="left"/>
      <w:pPr>
        <w:ind w:left="360" w:hanging="360"/>
      </w:pPr>
      <w:rPr>
        <w:rFonts w:ascii="Symbol" w:hAnsi="Symbol" w:hint="default"/>
      </w:rPr>
    </w:lvl>
    <w:lvl w:ilvl="1" w:tplc="0C090003">
      <w:numFmt w:val="bullet"/>
      <w:lvlText w:val="-"/>
      <w:lvlJc w:val="left"/>
      <w:pPr>
        <w:ind w:left="1581" w:hanging="1211"/>
      </w:pPr>
      <w:rPr>
        <w:rFonts w:ascii="Arial" w:eastAsiaTheme="minorHAnsi" w:hAnsi="Arial" w:cs="Arial" w:hint="default"/>
      </w:rPr>
    </w:lvl>
    <w:lvl w:ilvl="2" w:tplc="0C090005" w:tentative="1">
      <w:start w:val="1"/>
      <w:numFmt w:val="bullet"/>
      <w:lvlText w:val=""/>
      <w:lvlJc w:val="left"/>
      <w:pPr>
        <w:ind w:left="1450" w:hanging="360"/>
      </w:pPr>
      <w:rPr>
        <w:rFonts w:ascii="Wingdings" w:hAnsi="Wingdings" w:hint="default"/>
      </w:rPr>
    </w:lvl>
    <w:lvl w:ilvl="3" w:tplc="0C090001" w:tentative="1">
      <w:start w:val="1"/>
      <w:numFmt w:val="bullet"/>
      <w:lvlText w:val=""/>
      <w:lvlJc w:val="left"/>
      <w:pPr>
        <w:ind w:left="2170" w:hanging="360"/>
      </w:pPr>
      <w:rPr>
        <w:rFonts w:ascii="Symbol" w:hAnsi="Symbol" w:hint="default"/>
      </w:rPr>
    </w:lvl>
    <w:lvl w:ilvl="4" w:tplc="0C090003" w:tentative="1">
      <w:start w:val="1"/>
      <w:numFmt w:val="bullet"/>
      <w:lvlText w:val="o"/>
      <w:lvlJc w:val="left"/>
      <w:pPr>
        <w:ind w:left="2890" w:hanging="360"/>
      </w:pPr>
      <w:rPr>
        <w:rFonts w:ascii="Courier New" w:hAnsi="Courier New" w:cs="Courier New" w:hint="default"/>
      </w:rPr>
    </w:lvl>
    <w:lvl w:ilvl="5" w:tplc="0C090005" w:tentative="1">
      <w:start w:val="1"/>
      <w:numFmt w:val="bullet"/>
      <w:lvlText w:val=""/>
      <w:lvlJc w:val="left"/>
      <w:pPr>
        <w:ind w:left="3610" w:hanging="360"/>
      </w:pPr>
      <w:rPr>
        <w:rFonts w:ascii="Wingdings" w:hAnsi="Wingdings" w:hint="default"/>
      </w:rPr>
    </w:lvl>
    <w:lvl w:ilvl="6" w:tplc="0C090001" w:tentative="1">
      <w:start w:val="1"/>
      <w:numFmt w:val="bullet"/>
      <w:lvlText w:val=""/>
      <w:lvlJc w:val="left"/>
      <w:pPr>
        <w:ind w:left="4330" w:hanging="360"/>
      </w:pPr>
      <w:rPr>
        <w:rFonts w:ascii="Symbol" w:hAnsi="Symbol" w:hint="default"/>
      </w:rPr>
    </w:lvl>
    <w:lvl w:ilvl="7" w:tplc="0C090003" w:tentative="1">
      <w:start w:val="1"/>
      <w:numFmt w:val="bullet"/>
      <w:lvlText w:val="o"/>
      <w:lvlJc w:val="left"/>
      <w:pPr>
        <w:ind w:left="5050" w:hanging="360"/>
      </w:pPr>
      <w:rPr>
        <w:rFonts w:ascii="Courier New" w:hAnsi="Courier New" w:cs="Courier New" w:hint="default"/>
      </w:rPr>
    </w:lvl>
    <w:lvl w:ilvl="8" w:tplc="0C090005" w:tentative="1">
      <w:start w:val="1"/>
      <w:numFmt w:val="bullet"/>
      <w:lvlText w:val=""/>
      <w:lvlJc w:val="left"/>
      <w:pPr>
        <w:ind w:left="5770" w:hanging="360"/>
      </w:pPr>
      <w:rPr>
        <w:rFonts w:ascii="Wingdings" w:hAnsi="Wingdings" w:hint="default"/>
      </w:rPr>
    </w:lvl>
  </w:abstractNum>
  <w:abstractNum w:abstractNumId="75" w15:restartNumberingAfterBreak="0">
    <w:nsid w:val="636E51E7"/>
    <w:multiLevelType w:val="hybridMultilevel"/>
    <w:tmpl w:val="19E005EA"/>
    <w:lvl w:ilvl="0" w:tplc="0C090001">
      <w:start w:val="1"/>
      <w:numFmt w:val="decimal"/>
      <w:pStyle w:val="ReferenceTextNumbered"/>
      <w:lvlText w:val="%1."/>
      <w:lvlJc w:val="left"/>
      <w:pPr>
        <w:ind w:left="720" w:hanging="360"/>
      </w:pPr>
      <w:rPr>
        <w:b w:val="0"/>
      </w:rPr>
    </w:lvl>
    <w:lvl w:ilvl="1" w:tplc="D4E4CC0A"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76" w15:restartNumberingAfterBreak="0">
    <w:nsid w:val="63C11DA8"/>
    <w:multiLevelType w:val="hybridMultilevel"/>
    <w:tmpl w:val="CA5A999E"/>
    <w:lvl w:ilvl="0" w:tplc="0C090001">
      <w:start w:val="1"/>
      <w:numFmt w:val="lowerRoman"/>
      <w:lvlText w:val="%1."/>
      <w:lvlJc w:val="left"/>
      <w:pPr>
        <w:ind w:left="720" w:hanging="720"/>
      </w:pPr>
      <w:rPr>
        <w:rFonts w:hint="default"/>
      </w:rPr>
    </w:lvl>
    <w:lvl w:ilvl="1" w:tplc="D4E4CC0A"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77" w15:restartNumberingAfterBreak="0">
    <w:nsid w:val="64B36AF8"/>
    <w:multiLevelType w:val="hybridMultilevel"/>
    <w:tmpl w:val="AE7A32C2"/>
    <w:lvl w:ilvl="0" w:tplc="369C6E1E">
      <w:start w:val="1"/>
      <w:numFmt w:val="bullet"/>
      <w:pStyle w:val="Bullet1"/>
      <w:lvlText w:val=""/>
      <w:lvlJc w:val="left"/>
      <w:pPr>
        <w:ind w:left="720" w:hanging="360"/>
      </w:pPr>
      <w:rPr>
        <w:rFonts w:ascii="Symbol" w:hAnsi="Symbol" w:hint="default"/>
        <w:color w:val="auto"/>
      </w:rPr>
    </w:lvl>
    <w:lvl w:ilvl="1" w:tplc="684A688C">
      <w:start w:val="1"/>
      <w:numFmt w:val="bullet"/>
      <w:lvlText w:val="o"/>
      <w:lvlJc w:val="left"/>
      <w:pPr>
        <w:ind w:left="1440" w:hanging="360"/>
      </w:pPr>
      <w:rPr>
        <w:rFonts w:ascii="Courier New" w:hAnsi="Courier New" w:cs="Courier New" w:hint="default"/>
      </w:rPr>
    </w:lvl>
    <w:lvl w:ilvl="2" w:tplc="42447B1C" w:tentative="1">
      <w:start w:val="1"/>
      <w:numFmt w:val="bullet"/>
      <w:lvlText w:val=""/>
      <w:lvlJc w:val="left"/>
      <w:pPr>
        <w:ind w:left="2160" w:hanging="360"/>
      </w:pPr>
      <w:rPr>
        <w:rFonts w:ascii="Wingdings" w:hAnsi="Wingdings" w:hint="default"/>
      </w:rPr>
    </w:lvl>
    <w:lvl w:ilvl="3" w:tplc="5158335E" w:tentative="1">
      <w:start w:val="1"/>
      <w:numFmt w:val="bullet"/>
      <w:lvlText w:val=""/>
      <w:lvlJc w:val="left"/>
      <w:pPr>
        <w:ind w:left="2880" w:hanging="360"/>
      </w:pPr>
      <w:rPr>
        <w:rFonts w:ascii="Symbol" w:hAnsi="Symbol" w:hint="default"/>
      </w:rPr>
    </w:lvl>
    <w:lvl w:ilvl="4" w:tplc="03144FB6" w:tentative="1">
      <w:start w:val="1"/>
      <w:numFmt w:val="bullet"/>
      <w:lvlText w:val="o"/>
      <w:lvlJc w:val="left"/>
      <w:pPr>
        <w:ind w:left="3600" w:hanging="360"/>
      </w:pPr>
      <w:rPr>
        <w:rFonts w:ascii="Courier New" w:hAnsi="Courier New" w:cs="Courier New" w:hint="default"/>
      </w:rPr>
    </w:lvl>
    <w:lvl w:ilvl="5" w:tplc="8EACC1BA" w:tentative="1">
      <w:start w:val="1"/>
      <w:numFmt w:val="bullet"/>
      <w:lvlText w:val=""/>
      <w:lvlJc w:val="left"/>
      <w:pPr>
        <w:ind w:left="4320" w:hanging="360"/>
      </w:pPr>
      <w:rPr>
        <w:rFonts w:ascii="Wingdings" w:hAnsi="Wingdings" w:hint="default"/>
      </w:rPr>
    </w:lvl>
    <w:lvl w:ilvl="6" w:tplc="9D08E536" w:tentative="1">
      <w:start w:val="1"/>
      <w:numFmt w:val="bullet"/>
      <w:lvlText w:val=""/>
      <w:lvlJc w:val="left"/>
      <w:pPr>
        <w:ind w:left="5040" w:hanging="360"/>
      </w:pPr>
      <w:rPr>
        <w:rFonts w:ascii="Symbol" w:hAnsi="Symbol" w:hint="default"/>
      </w:rPr>
    </w:lvl>
    <w:lvl w:ilvl="7" w:tplc="00D42DAC" w:tentative="1">
      <w:start w:val="1"/>
      <w:numFmt w:val="bullet"/>
      <w:lvlText w:val="o"/>
      <w:lvlJc w:val="left"/>
      <w:pPr>
        <w:ind w:left="5760" w:hanging="360"/>
      </w:pPr>
      <w:rPr>
        <w:rFonts w:ascii="Courier New" w:hAnsi="Courier New" w:cs="Courier New" w:hint="default"/>
      </w:rPr>
    </w:lvl>
    <w:lvl w:ilvl="8" w:tplc="98B85C00" w:tentative="1">
      <w:start w:val="1"/>
      <w:numFmt w:val="bullet"/>
      <w:lvlText w:val=""/>
      <w:lvlJc w:val="left"/>
      <w:pPr>
        <w:ind w:left="6480" w:hanging="360"/>
      </w:pPr>
      <w:rPr>
        <w:rFonts w:ascii="Wingdings" w:hAnsi="Wingdings" w:hint="default"/>
      </w:rPr>
    </w:lvl>
  </w:abstractNum>
  <w:abstractNum w:abstractNumId="78" w15:restartNumberingAfterBreak="0">
    <w:nsid w:val="666E5E41"/>
    <w:multiLevelType w:val="hybridMultilevel"/>
    <w:tmpl w:val="CC0A23DA"/>
    <w:lvl w:ilvl="0" w:tplc="F8D00B9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B5B59A4"/>
    <w:multiLevelType w:val="hybridMultilevel"/>
    <w:tmpl w:val="4190BFD8"/>
    <w:lvl w:ilvl="0" w:tplc="CEE0E36C">
      <w:start w:val="1"/>
      <w:numFmt w:val="bullet"/>
      <w:lvlText w:val=""/>
      <w:lvlJc w:val="left"/>
      <w:pPr>
        <w:ind w:left="360" w:hanging="360"/>
      </w:pPr>
      <w:rPr>
        <w:rFonts w:ascii="Symbol" w:hAnsi="Symbol" w:hint="default"/>
      </w:rPr>
    </w:lvl>
    <w:lvl w:ilvl="1" w:tplc="6B04ED3C" w:tentative="1">
      <w:start w:val="1"/>
      <w:numFmt w:val="bullet"/>
      <w:lvlText w:val="o"/>
      <w:lvlJc w:val="left"/>
      <w:pPr>
        <w:ind w:left="1080" w:hanging="360"/>
      </w:pPr>
      <w:rPr>
        <w:rFonts w:ascii="Courier New" w:hAnsi="Courier New" w:cs="Courier New" w:hint="default"/>
      </w:rPr>
    </w:lvl>
    <w:lvl w:ilvl="2" w:tplc="AAE6AFEC" w:tentative="1">
      <w:start w:val="1"/>
      <w:numFmt w:val="bullet"/>
      <w:lvlText w:val=""/>
      <w:lvlJc w:val="left"/>
      <w:pPr>
        <w:ind w:left="1800" w:hanging="360"/>
      </w:pPr>
      <w:rPr>
        <w:rFonts w:ascii="Wingdings" w:hAnsi="Wingdings" w:hint="default"/>
      </w:rPr>
    </w:lvl>
    <w:lvl w:ilvl="3" w:tplc="A2E250C4" w:tentative="1">
      <w:start w:val="1"/>
      <w:numFmt w:val="bullet"/>
      <w:lvlText w:val=""/>
      <w:lvlJc w:val="left"/>
      <w:pPr>
        <w:ind w:left="2520" w:hanging="360"/>
      </w:pPr>
      <w:rPr>
        <w:rFonts w:ascii="Symbol" w:hAnsi="Symbol" w:hint="default"/>
      </w:rPr>
    </w:lvl>
    <w:lvl w:ilvl="4" w:tplc="FED27634" w:tentative="1">
      <w:start w:val="1"/>
      <w:numFmt w:val="bullet"/>
      <w:lvlText w:val="o"/>
      <w:lvlJc w:val="left"/>
      <w:pPr>
        <w:ind w:left="3240" w:hanging="360"/>
      </w:pPr>
      <w:rPr>
        <w:rFonts w:ascii="Courier New" w:hAnsi="Courier New" w:cs="Courier New" w:hint="default"/>
      </w:rPr>
    </w:lvl>
    <w:lvl w:ilvl="5" w:tplc="34668DA2" w:tentative="1">
      <w:start w:val="1"/>
      <w:numFmt w:val="bullet"/>
      <w:lvlText w:val=""/>
      <w:lvlJc w:val="left"/>
      <w:pPr>
        <w:ind w:left="3960" w:hanging="360"/>
      </w:pPr>
      <w:rPr>
        <w:rFonts w:ascii="Wingdings" w:hAnsi="Wingdings" w:hint="default"/>
      </w:rPr>
    </w:lvl>
    <w:lvl w:ilvl="6" w:tplc="E22C5BA8" w:tentative="1">
      <w:start w:val="1"/>
      <w:numFmt w:val="bullet"/>
      <w:lvlText w:val=""/>
      <w:lvlJc w:val="left"/>
      <w:pPr>
        <w:ind w:left="4680" w:hanging="360"/>
      </w:pPr>
      <w:rPr>
        <w:rFonts w:ascii="Symbol" w:hAnsi="Symbol" w:hint="default"/>
      </w:rPr>
    </w:lvl>
    <w:lvl w:ilvl="7" w:tplc="C8C81B06" w:tentative="1">
      <w:start w:val="1"/>
      <w:numFmt w:val="bullet"/>
      <w:lvlText w:val="o"/>
      <w:lvlJc w:val="left"/>
      <w:pPr>
        <w:ind w:left="5400" w:hanging="360"/>
      </w:pPr>
      <w:rPr>
        <w:rFonts w:ascii="Courier New" w:hAnsi="Courier New" w:cs="Courier New" w:hint="default"/>
      </w:rPr>
    </w:lvl>
    <w:lvl w:ilvl="8" w:tplc="3CD6462E" w:tentative="1">
      <w:start w:val="1"/>
      <w:numFmt w:val="bullet"/>
      <w:lvlText w:val=""/>
      <w:lvlJc w:val="left"/>
      <w:pPr>
        <w:ind w:left="6120" w:hanging="360"/>
      </w:pPr>
      <w:rPr>
        <w:rFonts w:ascii="Wingdings" w:hAnsi="Wingdings" w:hint="default"/>
      </w:rPr>
    </w:lvl>
  </w:abstractNum>
  <w:abstractNum w:abstractNumId="80" w15:restartNumberingAfterBreak="0">
    <w:nsid w:val="6B7F2A36"/>
    <w:multiLevelType w:val="hybridMultilevel"/>
    <w:tmpl w:val="4CBC47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6E050574"/>
    <w:multiLevelType w:val="hybridMultilevel"/>
    <w:tmpl w:val="B45A7E60"/>
    <w:lvl w:ilvl="0" w:tplc="0C090001">
      <w:start w:val="1"/>
      <w:numFmt w:val="lowerLetter"/>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82" w15:restartNumberingAfterBreak="0">
    <w:nsid w:val="6FF25A64"/>
    <w:multiLevelType w:val="hybridMultilevel"/>
    <w:tmpl w:val="051EC676"/>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3" w15:restartNumberingAfterBreak="0">
    <w:nsid w:val="73C103F0"/>
    <w:multiLevelType w:val="hybridMultilevel"/>
    <w:tmpl w:val="76B8068E"/>
    <w:lvl w:ilvl="0" w:tplc="42E80C50">
      <w:start w:val="1"/>
      <w:numFmt w:val="bullet"/>
      <w:lvlText w:val=""/>
      <w:lvlJc w:val="left"/>
      <w:pPr>
        <w:ind w:left="360" w:hanging="360"/>
      </w:pPr>
      <w:rPr>
        <w:rFonts w:ascii="Symbol" w:hAnsi="Symbol" w:hint="default"/>
      </w:rPr>
    </w:lvl>
    <w:lvl w:ilvl="1" w:tplc="B7641F4A" w:tentative="1">
      <w:start w:val="1"/>
      <w:numFmt w:val="bullet"/>
      <w:lvlText w:val="o"/>
      <w:lvlJc w:val="left"/>
      <w:pPr>
        <w:ind w:left="1080" w:hanging="360"/>
      </w:pPr>
      <w:rPr>
        <w:rFonts w:ascii="Courier New" w:hAnsi="Courier New" w:cs="Courier New" w:hint="default"/>
      </w:rPr>
    </w:lvl>
    <w:lvl w:ilvl="2" w:tplc="DEBC7686" w:tentative="1">
      <w:start w:val="1"/>
      <w:numFmt w:val="bullet"/>
      <w:lvlText w:val=""/>
      <w:lvlJc w:val="left"/>
      <w:pPr>
        <w:ind w:left="1800" w:hanging="360"/>
      </w:pPr>
      <w:rPr>
        <w:rFonts w:ascii="Wingdings" w:hAnsi="Wingdings" w:hint="default"/>
      </w:rPr>
    </w:lvl>
    <w:lvl w:ilvl="3" w:tplc="73C8592C" w:tentative="1">
      <w:start w:val="1"/>
      <w:numFmt w:val="bullet"/>
      <w:lvlText w:val=""/>
      <w:lvlJc w:val="left"/>
      <w:pPr>
        <w:ind w:left="2520" w:hanging="360"/>
      </w:pPr>
      <w:rPr>
        <w:rFonts w:ascii="Symbol" w:hAnsi="Symbol" w:hint="default"/>
      </w:rPr>
    </w:lvl>
    <w:lvl w:ilvl="4" w:tplc="887459C6" w:tentative="1">
      <w:start w:val="1"/>
      <w:numFmt w:val="bullet"/>
      <w:lvlText w:val="o"/>
      <w:lvlJc w:val="left"/>
      <w:pPr>
        <w:ind w:left="3240" w:hanging="360"/>
      </w:pPr>
      <w:rPr>
        <w:rFonts w:ascii="Courier New" w:hAnsi="Courier New" w:cs="Courier New" w:hint="default"/>
      </w:rPr>
    </w:lvl>
    <w:lvl w:ilvl="5" w:tplc="8850D4EE" w:tentative="1">
      <w:start w:val="1"/>
      <w:numFmt w:val="bullet"/>
      <w:lvlText w:val=""/>
      <w:lvlJc w:val="left"/>
      <w:pPr>
        <w:ind w:left="3960" w:hanging="360"/>
      </w:pPr>
      <w:rPr>
        <w:rFonts w:ascii="Wingdings" w:hAnsi="Wingdings" w:hint="default"/>
      </w:rPr>
    </w:lvl>
    <w:lvl w:ilvl="6" w:tplc="35BCC244" w:tentative="1">
      <w:start w:val="1"/>
      <w:numFmt w:val="bullet"/>
      <w:lvlText w:val=""/>
      <w:lvlJc w:val="left"/>
      <w:pPr>
        <w:ind w:left="4680" w:hanging="360"/>
      </w:pPr>
      <w:rPr>
        <w:rFonts w:ascii="Symbol" w:hAnsi="Symbol" w:hint="default"/>
      </w:rPr>
    </w:lvl>
    <w:lvl w:ilvl="7" w:tplc="59CA125C" w:tentative="1">
      <w:start w:val="1"/>
      <w:numFmt w:val="bullet"/>
      <w:lvlText w:val="o"/>
      <w:lvlJc w:val="left"/>
      <w:pPr>
        <w:ind w:left="5400" w:hanging="360"/>
      </w:pPr>
      <w:rPr>
        <w:rFonts w:ascii="Courier New" w:hAnsi="Courier New" w:cs="Courier New" w:hint="default"/>
      </w:rPr>
    </w:lvl>
    <w:lvl w:ilvl="8" w:tplc="CC103660" w:tentative="1">
      <w:start w:val="1"/>
      <w:numFmt w:val="bullet"/>
      <w:lvlText w:val=""/>
      <w:lvlJc w:val="left"/>
      <w:pPr>
        <w:ind w:left="6120" w:hanging="360"/>
      </w:pPr>
      <w:rPr>
        <w:rFonts w:ascii="Wingdings" w:hAnsi="Wingdings" w:hint="default"/>
      </w:rPr>
    </w:lvl>
  </w:abstractNum>
  <w:abstractNum w:abstractNumId="84" w15:restartNumberingAfterBreak="0">
    <w:nsid w:val="73C764E7"/>
    <w:multiLevelType w:val="singleLevel"/>
    <w:tmpl w:val="051C5B38"/>
    <w:lvl w:ilvl="0">
      <w:start w:val="1"/>
      <w:numFmt w:val="bullet"/>
      <w:lvlText w:val=""/>
      <w:lvlJc w:val="left"/>
      <w:pPr>
        <w:tabs>
          <w:tab w:val="num" w:pos="340"/>
        </w:tabs>
        <w:ind w:left="340" w:hanging="340"/>
      </w:pPr>
      <w:rPr>
        <w:rFonts w:ascii="Symbol" w:hAnsi="Symbol" w:hint="default"/>
        <w:color w:val="auto"/>
        <w:sz w:val="22"/>
      </w:rPr>
    </w:lvl>
  </w:abstractNum>
  <w:abstractNum w:abstractNumId="85" w15:restartNumberingAfterBreak="0">
    <w:nsid w:val="766F4C0B"/>
    <w:multiLevelType w:val="hybridMultilevel"/>
    <w:tmpl w:val="F70E5BF8"/>
    <w:lvl w:ilvl="0" w:tplc="CC7C3E24">
      <w:start w:val="1"/>
      <w:numFmt w:val="bullet"/>
      <w:lvlText w:val=""/>
      <w:lvlJc w:val="left"/>
      <w:pPr>
        <w:ind w:left="360" w:hanging="360"/>
      </w:pPr>
      <w:rPr>
        <w:rFonts w:ascii="Symbol" w:hAnsi="Symbol" w:hint="default"/>
      </w:rPr>
    </w:lvl>
    <w:lvl w:ilvl="1" w:tplc="3F4837DC">
      <w:start w:val="1"/>
      <w:numFmt w:val="bullet"/>
      <w:lvlText w:val="o"/>
      <w:lvlJc w:val="left"/>
      <w:pPr>
        <w:ind w:left="1080" w:hanging="360"/>
      </w:pPr>
      <w:rPr>
        <w:rFonts w:ascii="Courier New" w:hAnsi="Courier New" w:cs="Courier New" w:hint="default"/>
      </w:rPr>
    </w:lvl>
    <w:lvl w:ilvl="2" w:tplc="5EB47A14" w:tentative="1">
      <w:start w:val="1"/>
      <w:numFmt w:val="bullet"/>
      <w:lvlText w:val=""/>
      <w:lvlJc w:val="left"/>
      <w:pPr>
        <w:ind w:left="1800" w:hanging="360"/>
      </w:pPr>
      <w:rPr>
        <w:rFonts w:ascii="Wingdings" w:hAnsi="Wingdings" w:hint="default"/>
      </w:rPr>
    </w:lvl>
    <w:lvl w:ilvl="3" w:tplc="F89656E2" w:tentative="1">
      <w:start w:val="1"/>
      <w:numFmt w:val="bullet"/>
      <w:lvlText w:val=""/>
      <w:lvlJc w:val="left"/>
      <w:pPr>
        <w:ind w:left="2520" w:hanging="360"/>
      </w:pPr>
      <w:rPr>
        <w:rFonts w:ascii="Symbol" w:hAnsi="Symbol" w:hint="default"/>
      </w:rPr>
    </w:lvl>
    <w:lvl w:ilvl="4" w:tplc="A1D25CCE" w:tentative="1">
      <w:start w:val="1"/>
      <w:numFmt w:val="bullet"/>
      <w:lvlText w:val="o"/>
      <w:lvlJc w:val="left"/>
      <w:pPr>
        <w:ind w:left="3240" w:hanging="360"/>
      </w:pPr>
      <w:rPr>
        <w:rFonts w:ascii="Courier New" w:hAnsi="Courier New" w:cs="Courier New" w:hint="default"/>
      </w:rPr>
    </w:lvl>
    <w:lvl w:ilvl="5" w:tplc="9E50F1E4" w:tentative="1">
      <w:start w:val="1"/>
      <w:numFmt w:val="bullet"/>
      <w:lvlText w:val=""/>
      <w:lvlJc w:val="left"/>
      <w:pPr>
        <w:ind w:left="3960" w:hanging="360"/>
      </w:pPr>
      <w:rPr>
        <w:rFonts w:ascii="Wingdings" w:hAnsi="Wingdings" w:hint="default"/>
      </w:rPr>
    </w:lvl>
    <w:lvl w:ilvl="6" w:tplc="4432885C" w:tentative="1">
      <w:start w:val="1"/>
      <w:numFmt w:val="bullet"/>
      <w:lvlText w:val=""/>
      <w:lvlJc w:val="left"/>
      <w:pPr>
        <w:ind w:left="4680" w:hanging="360"/>
      </w:pPr>
      <w:rPr>
        <w:rFonts w:ascii="Symbol" w:hAnsi="Symbol" w:hint="default"/>
      </w:rPr>
    </w:lvl>
    <w:lvl w:ilvl="7" w:tplc="D6D2CA02" w:tentative="1">
      <w:start w:val="1"/>
      <w:numFmt w:val="bullet"/>
      <w:lvlText w:val="o"/>
      <w:lvlJc w:val="left"/>
      <w:pPr>
        <w:ind w:left="5400" w:hanging="360"/>
      </w:pPr>
      <w:rPr>
        <w:rFonts w:ascii="Courier New" w:hAnsi="Courier New" w:cs="Courier New" w:hint="default"/>
      </w:rPr>
    </w:lvl>
    <w:lvl w:ilvl="8" w:tplc="396AE91A" w:tentative="1">
      <w:start w:val="1"/>
      <w:numFmt w:val="bullet"/>
      <w:lvlText w:val=""/>
      <w:lvlJc w:val="left"/>
      <w:pPr>
        <w:ind w:left="6120" w:hanging="360"/>
      </w:pPr>
      <w:rPr>
        <w:rFonts w:ascii="Wingdings" w:hAnsi="Wingdings" w:hint="default"/>
      </w:rPr>
    </w:lvl>
  </w:abstractNum>
  <w:abstractNum w:abstractNumId="86" w15:restartNumberingAfterBreak="0">
    <w:nsid w:val="7779225C"/>
    <w:multiLevelType w:val="multilevel"/>
    <w:tmpl w:val="55A278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rPr>
    </w:lvl>
    <w:lvl w:ilvl="2">
      <w:start w:val="1"/>
      <w:numFmt w:val="decimal"/>
      <w:lvlText w:val="%1.%2.%3"/>
      <w:lvlJc w:val="left"/>
      <w:pPr>
        <w:ind w:left="227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15:restartNumberingAfterBreak="0">
    <w:nsid w:val="792300C4"/>
    <w:multiLevelType w:val="hybridMultilevel"/>
    <w:tmpl w:val="16A4094A"/>
    <w:lvl w:ilvl="0" w:tplc="8FF2D60C">
      <w:start w:val="1"/>
      <w:numFmt w:val="bullet"/>
      <w:lvlText w:val=""/>
      <w:lvlJc w:val="left"/>
      <w:pPr>
        <w:ind w:left="360" w:hanging="360"/>
      </w:pPr>
      <w:rPr>
        <w:rFonts w:ascii="Symbol" w:hAnsi="Symbol" w:hint="default"/>
      </w:rPr>
    </w:lvl>
    <w:lvl w:ilvl="1" w:tplc="3F54E772" w:tentative="1">
      <w:start w:val="1"/>
      <w:numFmt w:val="bullet"/>
      <w:lvlText w:val="o"/>
      <w:lvlJc w:val="left"/>
      <w:pPr>
        <w:ind w:left="1080" w:hanging="360"/>
      </w:pPr>
      <w:rPr>
        <w:rFonts w:ascii="Courier New" w:hAnsi="Courier New" w:cs="Courier New" w:hint="default"/>
      </w:rPr>
    </w:lvl>
    <w:lvl w:ilvl="2" w:tplc="C02285B4" w:tentative="1">
      <w:start w:val="1"/>
      <w:numFmt w:val="bullet"/>
      <w:lvlText w:val=""/>
      <w:lvlJc w:val="left"/>
      <w:pPr>
        <w:ind w:left="1800" w:hanging="360"/>
      </w:pPr>
      <w:rPr>
        <w:rFonts w:ascii="Wingdings" w:hAnsi="Wingdings" w:hint="default"/>
      </w:rPr>
    </w:lvl>
    <w:lvl w:ilvl="3" w:tplc="D89451EA" w:tentative="1">
      <w:start w:val="1"/>
      <w:numFmt w:val="bullet"/>
      <w:lvlText w:val=""/>
      <w:lvlJc w:val="left"/>
      <w:pPr>
        <w:ind w:left="2520" w:hanging="360"/>
      </w:pPr>
      <w:rPr>
        <w:rFonts w:ascii="Symbol" w:hAnsi="Symbol" w:hint="default"/>
      </w:rPr>
    </w:lvl>
    <w:lvl w:ilvl="4" w:tplc="D952B3C4" w:tentative="1">
      <w:start w:val="1"/>
      <w:numFmt w:val="bullet"/>
      <w:lvlText w:val="o"/>
      <w:lvlJc w:val="left"/>
      <w:pPr>
        <w:ind w:left="3240" w:hanging="360"/>
      </w:pPr>
      <w:rPr>
        <w:rFonts w:ascii="Courier New" w:hAnsi="Courier New" w:cs="Courier New" w:hint="default"/>
      </w:rPr>
    </w:lvl>
    <w:lvl w:ilvl="5" w:tplc="01068B4E" w:tentative="1">
      <w:start w:val="1"/>
      <w:numFmt w:val="bullet"/>
      <w:lvlText w:val=""/>
      <w:lvlJc w:val="left"/>
      <w:pPr>
        <w:ind w:left="3960" w:hanging="360"/>
      </w:pPr>
      <w:rPr>
        <w:rFonts w:ascii="Wingdings" w:hAnsi="Wingdings" w:hint="default"/>
      </w:rPr>
    </w:lvl>
    <w:lvl w:ilvl="6" w:tplc="BFA22036" w:tentative="1">
      <w:start w:val="1"/>
      <w:numFmt w:val="bullet"/>
      <w:lvlText w:val=""/>
      <w:lvlJc w:val="left"/>
      <w:pPr>
        <w:ind w:left="4680" w:hanging="360"/>
      </w:pPr>
      <w:rPr>
        <w:rFonts w:ascii="Symbol" w:hAnsi="Symbol" w:hint="default"/>
      </w:rPr>
    </w:lvl>
    <w:lvl w:ilvl="7" w:tplc="2EA2604C" w:tentative="1">
      <w:start w:val="1"/>
      <w:numFmt w:val="bullet"/>
      <w:lvlText w:val="o"/>
      <w:lvlJc w:val="left"/>
      <w:pPr>
        <w:ind w:left="5400" w:hanging="360"/>
      </w:pPr>
      <w:rPr>
        <w:rFonts w:ascii="Courier New" w:hAnsi="Courier New" w:cs="Courier New" w:hint="default"/>
      </w:rPr>
    </w:lvl>
    <w:lvl w:ilvl="8" w:tplc="AD506DFC" w:tentative="1">
      <w:start w:val="1"/>
      <w:numFmt w:val="bullet"/>
      <w:lvlText w:val=""/>
      <w:lvlJc w:val="left"/>
      <w:pPr>
        <w:ind w:left="6120" w:hanging="360"/>
      </w:pPr>
      <w:rPr>
        <w:rFonts w:ascii="Wingdings" w:hAnsi="Wingdings" w:hint="default"/>
      </w:rPr>
    </w:lvl>
  </w:abstractNum>
  <w:abstractNum w:abstractNumId="88" w15:restartNumberingAfterBreak="0">
    <w:nsid w:val="7C2A3311"/>
    <w:multiLevelType w:val="hybridMultilevel"/>
    <w:tmpl w:val="AF7A4CD0"/>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3"/>
  </w:num>
  <w:num w:numId="2">
    <w:abstractNumId w:val="67"/>
  </w:num>
  <w:num w:numId="3">
    <w:abstractNumId w:val="25"/>
  </w:num>
  <w:num w:numId="4">
    <w:abstractNumId w:val="39"/>
  </w:num>
  <w:num w:numId="5">
    <w:abstractNumId w:val="73"/>
  </w:num>
  <w:num w:numId="6">
    <w:abstractNumId w:val="51"/>
  </w:num>
  <w:num w:numId="7">
    <w:abstractNumId w:val="57"/>
  </w:num>
  <w:num w:numId="8">
    <w:abstractNumId w:val="38"/>
  </w:num>
  <w:num w:numId="9">
    <w:abstractNumId w:val="24"/>
  </w:num>
  <w:num w:numId="10">
    <w:abstractNumId w:val="86"/>
  </w:num>
  <w:num w:numId="11">
    <w:abstractNumId w:val="61"/>
  </w:num>
  <w:num w:numId="12">
    <w:abstractNumId w:val="37"/>
  </w:num>
  <w:num w:numId="13">
    <w:abstractNumId w:val="6"/>
  </w:num>
  <w:num w:numId="14">
    <w:abstractNumId w:val="59"/>
  </w:num>
  <w:num w:numId="15">
    <w:abstractNumId w:val="8"/>
  </w:num>
  <w:num w:numId="16">
    <w:abstractNumId w:val="14"/>
  </w:num>
  <w:num w:numId="17">
    <w:abstractNumId w:val="72"/>
  </w:num>
  <w:num w:numId="18">
    <w:abstractNumId w:val="53"/>
  </w:num>
  <w:num w:numId="19">
    <w:abstractNumId w:val="55"/>
  </w:num>
  <w:num w:numId="20">
    <w:abstractNumId w:val="85"/>
  </w:num>
  <w:num w:numId="21">
    <w:abstractNumId w:val="80"/>
  </w:num>
  <w:num w:numId="22">
    <w:abstractNumId w:val="66"/>
  </w:num>
  <w:num w:numId="23">
    <w:abstractNumId w:val="83"/>
  </w:num>
  <w:num w:numId="24">
    <w:abstractNumId w:val="30"/>
  </w:num>
  <w:num w:numId="25">
    <w:abstractNumId w:val="54"/>
  </w:num>
  <w:num w:numId="26">
    <w:abstractNumId w:val="40"/>
  </w:num>
  <w:num w:numId="27">
    <w:abstractNumId w:val="19"/>
  </w:num>
  <w:num w:numId="28">
    <w:abstractNumId w:val="23"/>
  </w:num>
  <w:num w:numId="29">
    <w:abstractNumId w:val="29"/>
  </w:num>
  <w:num w:numId="30">
    <w:abstractNumId w:val="31"/>
  </w:num>
  <w:num w:numId="31">
    <w:abstractNumId w:val="48"/>
  </w:num>
  <w:num w:numId="32">
    <w:abstractNumId w:val="2"/>
  </w:num>
  <w:num w:numId="33">
    <w:abstractNumId w:val="47"/>
  </w:num>
  <w:num w:numId="34">
    <w:abstractNumId w:val="87"/>
  </w:num>
  <w:num w:numId="35">
    <w:abstractNumId w:val="77"/>
  </w:num>
  <w:num w:numId="36">
    <w:abstractNumId w:val="22"/>
  </w:num>
  <w:num w:numId="37">
    <w:abstractNumId w:val="43"/>
  </w:num>
  <w:num w:numId="38">
    <w:abstractNumId w:val="36"/>
  </w:num>
  <w:num w:numId="39">
    <w:abstractNumId w:val="56"/>
  </w:num>
  <w:num w:numId="40">
    <w:abstractNumId w:val="41"/>
  </w:num>
  <w:num w:numId="41">
    <w:abstractNumId w:val="45"/>
  </w:num>
  <w:num w:numId="42">
    <w:abstractNumId w:val="71"/>
  </w:num>
  <w:num w:numId="43">
    <w:abstractNumId w:val="44"/>
  </w:num>
  <w:num w:numId="44">
    <w:abstractNumId w:val="50"/>
  </w:num>
  <w:num w:numId="45">
    <w:abstractNumId w:val="63"/>
  </w:num>
  <w:num w:numId="46">
    <w:abstractNumId w:val="74"/>
  </w:num>
  <w:num w:numId="47">
    <w:abstractNumId w:val="79"/>
  </w:num>
  <w:num w:numId="48">
    <w:abstractNumId w:val="58"/>
  </w:num>
  <w:num w:numId="49">
    <w:abstractNumId w:val="78"/>
  </w:num>
  <w:num w:numId="50">
    <w:abstractNumId w:val="64"/>
  </w:num>
  <w:num w:numId="51">
    <w:abstractNumId w:val="69"/>
  </w:num>
  <w:num w:numId="52">
    <w:abstractNumId w:val="28"/>
  </w:num>
  <w:num w:numId="53">
    <w:abstractNumId w:val="1"/>
  </w:num>
  <w:num w:numId="54">
    <w:abstractNumId w:val="21"/>
  </w:num>
  <w:num w:numId="55">
    <w:abstractNumId w:val="75"/>
  </w:num>
  <w:num w:numId="56">
    <w:abstractNumId w:val="10"/>
  </w:num>
  <w:num w:numId="57">
    <w:abstractNumId w:val="13"/>
  </w:num>
  <w:num w:numId="58">
    <w:abstractNumId w:val="4"/>
    <w:lvlOverride w:ilvl="0">
      <w:lvl w:ilvl="0">
        <w:start w:val="1"/>
        <w:numFmt w:val="decimal"/>
        <w:pStyle w:val="HeadingLevel1"/>
        <w:suff w:val="space"/>
        <w:lvlText w:val="%1."/>
        <w:lvlJc w:val="left"/>
        <w:pPr>
          <w:ind w:left="9696" w:hanging="3033"/>
        </w:pPr>
        <w:rPr>
          <w:rFonts w:hint="default"/>
        </w:rPr>
      </w:lvl>
    </w:lvlOverride>
    <w:lvlOverride w:ilvl="1">
      <w:lvl w:ilvl="1">
        <w:start w:val="1"/>
        <w:numFmt w:val="decimal"/>
        <w:suff w:val="space"/>
        <w:lvlText w:val="%1.%2      "/>
        <w:lvlJc w:val="left"/>
        <w:pPr>
          <w:ind w:left="6720" w:hanging="57"/>
        </w:pPr>
        <w:rPr>
          <w:rFonts w:hint="default"/>
        </w:rPr>
      </w:lvl>
    </w:lvlOverride>
    <w:lvlOverride w:ilvl="2">
      <w:lvl w:ilvl="2">
        <w:start w:val="1"/>
        <w:numFmt w:val="decimal"/>
        <w:suff w:val="space"/>
        <w:lvlText w:val="%1.%2.%3     "/>
        <w:lvlJc w:val="left"/>
        <w:pPr>
          <w:ind w:left="6720" w:hanging="57"/>
        </w:pPr>
        <w:rPr>
          <w:rFonts w:hint="default"/>
        </w:rPr>
      </w:lvl>
    </w:lvlOverride>
    <w:lvlOverride w:ilvl="3">
      <w:lvl w:ilvl="3">
        <w:start w:val="1"/>
        <w:numFmt w:val="decimal"/>
        <w:lvlText w:val="(%4)"/>
        <w:lvlJc w:val="left"/>
        <w:pPr>
          <w:ind w:left="6720" w:hanging="57"/>
        </w:pPr>
        <w:rPr>
          <w:rFonts w:hint="default"/>
        </w:rPr>
      </w:lvl>
    </w:lvlOverride>
    <w:lvlOverride w:ilvl="4">
      <w:lvl w:ilvl="4">
        <w:start w:val="1"/>
        <w:numFmt w:val="lowerLetter"/>
        <w:lvlText w:val="(%5)"/>
        <w:lvlJc w:val="left"/>
        <w:pPr>
          <w:ind w:left="6720" w:hanging="57"/>
        </w:pPr>
        <w:rPr>
          <w:rFonts w:hint="default"/>
        </w:rPr>
      </w:lvl>
    </w:lvlOverride>
    <w:lvlOverride w:ilvl="5">
      <w:lvl w:ilvl="5">
        <w:start w:val="1"/>
        <w:numFmt w:val="lowerRoman"/>
        <w:lvlText w:val="(%6)"/>
        <w:lvlJc w:val="left"/>
        <w:pPr>
          <w:ind w:left="6720" w:hanging="57"/>
        </w:pPr>
        <w:rPr>
          <w:rFonts w:hint="default"/>
        </w:rPr>
      </w:lvl>
    </w:lvlOverride>
    <w:lvlOverride w:ilvl="6">
      <w:lvl w:ilvl="6">
        <w:start w:val="1"/>
        <w:numFmt w:val="decimal"/>
        <w:lvlText w:val="%7."/>
        <w:lvlJc w:val="left"/>
        <w:pPr>
          <w:ind w:left="6720" w:hanging="57"/>
        </w:pPr>
        <w:rPr>
          <w:rFonts w:hint="default"/>
        </w:rPr>
      </w:lvl>
    </w:lvlOverride>
    <w:lvlOverride w:ilvl="7">
      <w:lvl w:ilvl="7">
        <w:start w:val="1"/>
        <w:numFmt w:val="lowerLetter"/>
        <w:lvlText w:val="%8."/>
        <w:lvlJc w:val="left"/>
        <w:pPr>
          <w:ind w:left="6720" w:hanging="57"/>
        </w:pPr>
        <w:rPr>
          <w:rFonts w:hint="default"/>
        </w:rPr>
      </w:lvl>
    </w:lvlOverride>
    <w:lvlOverride w:ilvl="8">
      <w:lvl w:ilvl="8">
        <w:start w:val="1"/>
        <w:numFmt w:val="lowerRoman"/>
        <w:lvlText w:val="%9."/>
        <w:lvlJc w:val="left"/>
        <w:pPr>
          <w:ind w:left="6720" w:hanging="57"/>
        </w:pPr>
        <w:rPr>
          <w:rFonts w:hint="default"/>
        </w:rPr>
      </w:lvl>
    </w:lvlOverride>
  </w:num>
  <w:num w:numId="59">
    <w:abstractNumId w:val="35"/>
  </w:num>
  <w:num w:numId="60">
    <w:abstractNumId w:val="27"/>
  </w:num>
  <w:num w:numId="61">
    <w:abstractNumId w:val="32"/>
  </w:num>
  <w:num w:numId="62">
    <w:abstractNumId w:val="84"/>
  </w:num>
  <w:num w:numId="63">
    <w:abstractNumId w:val="60"/>
  </w:num>
  <w:num w:numId="64">
    <w:abstractNumId w:val="16"/>
  </w:num>
  <w:num w:numId="65">
    <w:abstractNumId w:val="5"/>
  </w:num>
  <w:num w:numId="66">
    <w:abstractNumId w:val="17"/>
  </w:num>
  <w:num w:numId="67">
    <w:abstractNumId w:val="76"/>
  </w:num>
  <w:num w:numId="68">
    <w:abstractNumId w:val="81"/>
  </w:num>
  <w:num w:numId="69">
    <w:abstractNumId w:val="82"/>
  </w:num>
  <w:num w:numId="70">
    <w:abstractNumId w:val="18"/>
  </w:num>
  <w:num w:numId="71">
    <w:abstractNumId w:val="46"/>
  </w:num>
  <w:num w:numId="72">
    <w:abstractNumId w:val="20"/>
  </w:num>
  <w:num w:numId="73">
    <w:abstractNumId w:val="26"/>
  </w:num>
  <w:num w:numId="74">
    <w:abstractNumId w:val="65"/>
  </w:num>
  <w:num w:numId="75">
    <w:abstractNumId w:val="0"/>
  </w:num>
  <w:num w:numId="76">
    <w:abstractNumId w:val="15"/>
  </w:num>
  <w:num w:numId="77">
    <w:abstractNumId w:val="62"/>
  </w:num>
  <w:num w:numId="78">
    <w:abstractNumId w:val="7"/>
  </w:num>
  <w:num w:numId="79">
    <w:abstractNumId w:val="12"/>
  </w:num>
  <w:num w:numId="80">
    <w:abstractNumId w:val="11"/>
  </w:num>
  <w:num w:numId="81">
    <w:abstractNumId w:val="52"/>
  </w:num>
  <w:num w:numId="82">
    <w:abstractNumId w:val="3"/>
  </w:num>
  <w:num w:numId="83">
    <w:abstractNumId w:val="88"/>
  </w:num>
  <w:num w:numId="84">
    <w:abstractNumId w:val="34"/>
  </w:num>
  <w:num w:numId="85">
    <w:abstractNumId w:val="68"/>
  </w:num>
  <w:num w:numId="86">
    <w:abstractNumId w:val="42"/>
  </w:num>
  <w:num w:numId="87">
    <w:abstractNumId w:val="9"/>
  </w:num>
  <w:num w:numId="88">
    <w:abstractNumId w:val="70"/>
  </w:num>
  <w:num w:numId="89">
    <w:abstractNumId w:val="4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27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FE4"/>
    <w:rsid w:val="000006AB"/>
    <w:rsid w:val="00000C1C"/>
    <w:rsid w:val="00001213"/>
    <w:rsid w:val="0000147D"/>
    <w:rsid w:val="00001958"/>
    <w:rsid w:val="00001D2C"/>
    <w:rsid w:val="000024EA"/>
    <w:rsid w:val="00002687"/>
    <w:rsid w:val="00002B57"/>
    <w:rsid w:val="000032EA"/>
    <w:rsid w:val="000032ED"/>
    <w:rsid w:val="000035D2"/>
    <w:rsid w:val="0000367D"/>
    <w:rsid w:val="00003CB2"/>
    <w:rsid w:val="000042FF"/>
    <w:rsid w:val="00004414"/>
    <w:rsid w:val="0000452C"/>
    <w:rsid w:val="00004762"/>
    <w:rsid w:val="00005A86"/>
    <w:rsid w:val="00005B94"/>
    <w:rsid w:val="00005D3C"/>
    <w:rsid w:val="000064DC"/>
    <w:rsid w:val="00006A5F"/>
    <w:rsid w:val="00006AA1"/>
    <w:rsid w:val="00007078"/>
    <w:rsid w:val="00007115"/>
    <w:rsid w:val="0000745C"/>
    <w:rsid w:val="00007697"/>
    <w:rsid w:val="0000774C"/>
    <w:rsid w:val="00007B5A"/>
    <w:rsid w:val="0001030C"/>
    <w:rsid w:val="0001047D"/>
    <w:rsid w:val="00010544"/>
    <w:rsid w:val="000105FE"/>
    <w:rsid w:val="000108C9"/>
    <w:rsid w:val="00010DAB"/>
    <w:rsid w:val="00010E3E"/>
    <w:rsid w:val="00010EE1"/>
    <w:rsid w:val="0001105E"/>
    <w:rsid w:val="0001109E"/>
    <w:rsid w:val="00011194"/>
    <w:rsid w:val="00011688"/>
    <w:rsid w:val="00011840"/>
    <w:rsid w:val="00011EFC"/>
    <w:rsid w:val="00012B5B"/>
    <w:rsid w:val="00012CF4"/>
    <w:rsid w:val="00012F2B"/>
    <w:rsid w:val="00012FA0"/>
    <w:rsid w:val="00013593"/>
    <w:rsid w:val="00013745"/>
    <w:rsid w:val="000149CD"/>
    <w:rsid w:val="00015025"/>
    <w:rsid w:val="0001533D"/>
    <w:rsid w:val="00015619"/>
    <w:rsid w:val="00015A7D"/>
    <w:rsid w:val="00015CD7"/>
    <w:rsid w:val="00016182"/>
    <w:rsid w:val="000163F1"/>
    <w:rsid w:val="00016555"/>
    <w:rsid w:val="000165B7"/>
    <w:rsid w:val="0001669E"/>
    <w:rsid w:val="000167F2"/>
    <w:rsid w:val="00016BAF"/>
    <w:rsid w:val="0001776F"/>
    <w:rsid w:val="00017899"/>
    <w:rsid w:val="00020106"/>
    <w:rsid w:val="00020609"/>
    <w:rsid w:val="00020803"/>
    <w:rsid w:val="000214CC"/>
    <w:rsid w:val="00021AEB"/>
    <w:rsid w:val="000224D0"/>
    <w:rsid w:val="00022614"/>
    <w:rsid w:val="000227FF"/>
    <w:rsid w:val="00022AB0"/>
    <w:rsid w:val="00022E3F"/>
    <w:rsid w:val="000231EE"/>
    <w:rsid w:val="000232E7"/>
    <w:rsid w:val="000235A7"/>
    <w:rsid w:val="00023B52"/>
    <w:rsid w:val="00023BB2"/>
    <w:rsid w:val="00024338"/>
    <w:rsid w:val="000251A9"/>
    <w:rsid w:val="00025588"/>
    <w:rsid w:val="000255DA"/>
    <w:rsid w:val="00025AF4"/>
    <w:rsid w:val="000262E8"/>
    <w:rsid w:val="00026480"/>
    <w:rsid w:val="0002664A"/>
    <w:rsid w:val="00026F27"/>
    <w:rsid w:val="00027152"/>
    <w:rsid w:val="00027226"/>
    <w:rsid w:val="000273A1"/>
    <w:rsid w:val="00027740"/>
    <w:rsid w:val="0002789C"/>
    <w:rsid w:val="00027A36"/>
    <w:rsid w:val="00030DD3"/>
    <w:rsid w:val="00031150"/>
    <w:rsid w:val="00031932"/>
    <w:rsid w:val="00031E43"/>
    <w:rsid w:val="00031EB5"/>
    <w:rsid w:val="000320AA"/>
    <w:rsid w:val="00032908"/>
    <w:rsid w:val="000329B4"/>
    <w:rsid w:val="000337F7"/>
    <w:rsid w:val="00033991"/>
    <w:rsid w:val="00033F8E"/>
    <w:rsid w:val="000347F7"/>
    <w:rsid w:val="00034C3A"/>
    <w:rsid w:val="00034CCC"/>
    <w:rsid w:val="00034E9D"/>
    <w:rsid w:val="00035AAC"/>
    <w:rsid w:val="00035ABD"/>
    <w:rsid w:val="000362C8"/>
    <w:rsid w:val="000366E1"/>
    <w:rsid w:val="00036727"/>
    <w:rsid w:val="00036CCB"/>
    <w:rsid w:val="00036DC8"/>
    <w:rsid w:val="00036F10"/>
    <w:rsid w:val="000370F8"/>
    <w:rsid w:val="00037818"/>
    <w:rsid w:val="00037A57"/>
    <w:rsid w:val="0004009A"/>
    <w:rsid w:val="000403C8"/>
    <w:rsid w:val="00040C1F"/>
    <w:rsid w:val="0004114C"/>
    <w:rsid w:val="00041493"/>
    <w:rsid w:val="00041B63"/>
    <w:rsid w:val="00042F5D"/>
    <w:rsid w:val="00043830"/>
    <w:rsid w:val="00043BD2"/>
    <w:rsid w:val="00043EEB"/>
    <w:rsid w:val="00043F84"/>
    <w:rsid w:val="000440BB"/>
    <w:rsid w:val="0004419F"/>
    <w:rsid w:val="00044778"/>
    <w:rsid w:val="00044A98"/>
    <w:rsid w:val="00044CED"/>
    <w:rsid w:val="00044DE2"/>
    <w:rsid w:val="00044F4A"/>
    <w:rsid w:val="00045240"/>
    <w:rsid w:val="000456A9"/>
    <w:rsid w:val="000459AF"/>
    <w:rsid w:val="00045B2D"/>
    <w:rsid w:val="00045FFA"/>
    <w:rsid w:val="00046121"/>
    <w:rsid w:val="00046308"/>
    <w:rsid w:val="000467D4"/>
    <w:rsid w:val="00046DFF"/>
    <w:rsid w:val="00047005"/>
    <w:rsid w:val="00047461"/>
    <w:rsid w:val="000475DA"/>
    <w:rsid w:val="00047764"/>
    <w:rsid w:val="00047BA7"/>
    <w:rsid w:val="00047DBE"/>
    <w:rsid w:val="00047FCC"/>
    <w:rsid w:val="00050509"/>
    <w:rsid w:val="0005077F"/>
    <w:rsid w:val="00050ABC"/>
    <w:rsid w:val="00050F58"/>
    <w:rsid w:val="000511F3"/>
    <w:rsid w:val="0005132D"/>
    <w:rsid w:val="00051DC1"/>
    <w:rsid w:val="00052288"/>
    <w:rsid w:val="00052D76"/>
    <w:rsid w:val="00053E4A"/>
    <w:rsid w:val="00054166"/>
    <w:rsid w:val="0005520B"/>
    <w:rsid w:val="00055C07"/>
    <w:rsid w:val="00055FF7"/>
    <w:rsid w:val="00056D97"/>
    <w:rsid w:val="00057CD6"/>
    <w:rsid w:val="00057E4E"/>
    <w:rsid w:val="00060169"/>
    <w:rsid w:val="000606C7"/>
    <w:rsid w:val="00060999"/>
    <w:rsid w:val="00060A26"/>
    <w:rsid w:val="00061870"/>
    <w:rsid w:val="00061BEB"/>
    <w:rsid w:val="00061EC9"/>
    <w:rsid w:val="00062A7B"/>
    <w:rsid w:val="00062C68"/>
    <w:rsid w:val="000631F1"/>
    <w:rsid w:val="00063B1C"/>
    <w:rsid w:val="00064A82"/>
    <w:rsid w:val="0006513D"/>
    <w:rsid w:val="00065226"/>
    <w:rsid w:val="0006554B"/>
    <w:rsid w:val="000657F0"/>
    <w:rsid w:val="000659C7"/>
    <w:rsid w:val="00065BC7"/>
    <w:rsid w:val="0006603A"/>
    <w:rsid w:val="00066133"/>
    <w:rsid w:val="00066194"/>
    <w:rsid w:val="00066294"/>
    <w:rsid w:val="00066667"/>
    <w:rsid w:val="00066775"/>
    <w:rsid w:val="0006697A"/>
    <w:rsid w:val="00066CBF"/>
    <w:rsid w:val="00066D67"/>
    <w:rsid w:val="00067232"/>
    <w:rsid w:val="000672F9"/>
    <w:rsid w:val="00067863"/>
    <w:rsid w:val="00067AC5"/>
    <w:rsid w:val="00070407"/>
    <w:rsid w:val="00070598"/>
    <w:rsid w:val="000708EA"/>
    <w:rsid w:val="00071DFC"/>
    <w:rsid w:val="00071FC8"/>
    <w:rsid w:val="000724DC"/>
    <w:rsid w:val="000729C8"/>
    <w:rsid w:val="00072CE0"/>
    <w:rsid w:val="0007300A"/>
    <w:rsid w:val="000732FD"/>
    <w:rsid w:val="000734EE"/>
    <w:rsid w:val="00073AD3"/>
    <w:rsid w:val="0007490A"/>
    <w:rsid w:val="0007540D"/>
    <w:rsid w:val="00075435"/>
    <w:rsid w:val="00075624"/>
    <w:rsid w:val="00075794"/>
    <w:rsid w:val="000758FE"/>
    <w:rsid w:val="00075945"/>
    <w:rsid w:val="00075956"/>
    <w:rsid w:val="00075D6E"/>
    <w:rsid w:val="00076798"/>
    <w:rsid w:val="00076935"/>
    <w:rsid w:val="0007734D"/>
    <w:rsid w:val="0007738B"/>
    <w:rsid w:val="0007770A"/>
    <w:rsid w:val="00077A81"/>
    <w:rsid w:val="00077C80"/>
    <w:rsid w:val="00077F18"/>
    <w:rsid w:val="000801BF"/>
    <w:rsid w:val="000811BD"/>
    <w:rsid w:val="00081378"/>
    <w:rsid w:val="000817D0"/>
    <w:rsid w:val="0008194B"/>
    <w:rsid w:val="00081FB3"/>
    <w:rsid w:val="000820A2"/>
    <w:rsid w:val="000822CE"/>
    <w:rsid w:val="000822F6"/>
    <w:rsid w:val="00082824"/>
    <w:rsid w:val="00082AFC"/>
    <w:rsid w:val="00082B2B"/>
    <w:rsid w:val="00083A9E"/>
    <w:rsid w:val="0008400F"/>
    <w:rsid w:val="00084122"/>
    <w:rsid w:val="00084331"/>
    <w:rsid w:val="00084A3A"/>
    <w:rsid w:val="00085389"/>
    <w:rsid w:val="000858C3"/>
    <w:rsid w:val="0008601E"/>
    <w:rsid w:val="00086554"/>
    <w:rsid w:val="0008659D"/>
    <w:rsid w:val="00086AA6"/>
    <w:rsid w:val="0008753D"/>
    <w:rsid w:val="00087A81"/>
    <w:rsid w:val="00087BB3"/>
    <w:rsid w:val="00087FD3"/>
    <w:rsid w:val="00090258"/>
    <w:rsid w:val="00090919"/>
    <w:rsid w:val="00090CEB"/>
    <w:rsid w:val="0009154D"/>
    <w:rsid w:val="000915B6"/>
    <w:rsid w:val="0009199F"/>
    <w:rsid w:val="000919C8"/>
    <w:rsid w:val="00091C45"/>
    <w:rsid w:val="0009224F"/>
    <w:rsid w:val="000925BF"/>
    <w:rsid w:val="00092C81"/>
    <w:rsid w:val="0009435A"/>
    <w:rsid w:val="000949E2"/>
    <w:rsid w:val="00094CB2"/>
    <w:rsid w:val="00094DDA"/>
    <w:rsid w:val="00095026"/>
    <w:rsid w:val="0009534F"/>
    <w:rsid w:val="00095A32"/>
    <w:rsid w:val="00095B13"/>
    <w:rsid w:val="00095DCD"/>
    <w:rsid w:val="00096E63"/>
    <w:rsid w:val="0009735F"/>
    <w:rsid w:val="000A0F2C"/>
    <w:rsid w:val="000A1DB6"/>
    <w:rsid w:val="000A1DD1"/>
    <w:rsid w:val="000A21CE"/>
    <w:rsid w:val="000A298C"/>
    <w:rsid w:val="000A29E6"/>
    <w:rsid w:val="000A31D0"/>
    <w:rsid w:val="000A3520"/>
    <w:rsid w:val="000A3994"/>
    <w:rsid w:val="000A3A50"/>
    <w:rsid w:val="000A42C5"/>
    <w:rsid w:val="000A46C4"/>
    <w:rsid w:val="000A47D4"/>
    <w:rsid w:val="000A4D2C"/>
    <w:rsid w:val="000A4D87"/>
    <w:rsid w:val="000A4DD8"/>
    <w:rsid w:val="000A4F79"/>
    <w:rsid w:val="000A6704"/>
    <w:rsid w:val="000A6B32"/>
    <w:rsid w:val="000A6CE7"/>
    <w:rsid w:val="000A6E14"/>
    <w:rsid w:val="000A7405"/>
    <w:rsid w:val="000A75F7"/>
    <w:rsid w:val="000A7B02"/>
    <w:rsid w:val="000A7EAD"/>
    <w:rsid w:val="000A7F83"/>
    <w:rsid w:val="000B0401"/>
    <w:rsid w:val="000B1E50"/>
    <w:rsid w:val="000B251B"/>
    <w:rsid w:val="000B3C7F"/>
    <w:rsid w:val="000B3DE9"/>
    <w:rsid w:val="000B4560"/>
    <w:rsid w:val="000B4CA8"/>
    <w:rsid w:val="000B4D43"/>
    <w:rsid w:val="000B4D91"/>
    <w:rsid w:val="000B6FEB"/>
    <w:rsid w:val="000B7122"/>
    <w:rsid w:val="000B779D"/>
    <w:rsid w:val="000B79F4"/>
    <w:rsid w:val="000B7A6A"/>
    <w:rsid w:val="000B7D46"/>
    <w:rsid w:val="000C00C3"/>
    <w:rsid w:val="000C0412"/>
    <w:rsid w:val="000C0605"/>
    <w:rsid w:val="000C0713"/>
    <w:rsid w:val="000C07BC"/>
    <w:rsid w:val="000C0847"/>
    <w:rsid w:val="000C0DCE"/>
    <w:rsid w:val="000C13D7"/>
    <w:rsid w:val="000C187C"/>
    <w:rsid w:val="000C192E"/>
    <w:rsid w:val="000C1B3C"/>
    <w:rsid w:val="000C1BBD"/>
    <w:rsid w:val="000C2022"/>
    <w:rsid w:val="000C2324"/>
    <w:rsid w:val="000C2B20"/>
    <w:rsid w:val="000C30F7"/>
    <w:rsid w:val="000C3401"/>
    <w:rsid w:val="000C359F"/>
    <w:rsid w:val="000C557B"/>
    <w:rsid w:val="000C55D1"/>
    <w:rsid w:val="000C5AE7"/>
    <w:rsid w:val="000C5BD0"/>
    <w:rsid w:val="000C5C54"/>
    <w:rsid w:val="000C5D48"/>
    <w:rsid w:val="000C6008"/>
    <w:rsid w:val="000C659E"/>
    <w:rsid w:val="000C69A0"/>
    <w:rsid w:val="000C6CDF"/>
    <w:rsid w:val="000C76E3"/>
    <w:rsid w:val="000C7EBC"/>
    <w:rsid w:val="000D03FA"/>
    <w:rsid w:val="000D09FC"/>
    <w:rsid w:val="000D1749"/>
    <w:rsid w:val="000D2737"/>
    <w:rsid w:val="000D290D"/>
    <w:rsid w:val="000D2948"/>
    <w:rsid w:val="000D2E29"/>
    <w:rsid w:val="000D2FD9"/>
    <w:rsid w:val="000D2FF0"/>
    <w:rsid w:val="000D3051"/>
    <w:rsid w:val="000D30D8"/>
    <w:rsid w:val="000D325F"/>
    <w:rsid w:val="000D41FD"/>
    <w:rsid w:val="000D4904"/>
    <w:rsid w:val="000D4922"/>
    <w:rsid w:val="000D4FC7"/>
    <w:rsid w:val="000D5A15"/>
    <w:rsid w:val="000D611A"/>
    <w:rsid w:val="000D6169"/>
    <w:rsid w:val="000D6524"/>
    <w:rsid w:val="000D67F7"/>
    <w:rsid w:val="000D684C"/>
    <w:rsid w:val="000D6BDC"/>
    <w:rsid w:val="000D6D95"/>
    <w:rsid w:val="000D6DFB"/>
    <w:rsid w:val="000D6EED"/>
    <w:rsid w:val="000D7367"/>
    <w:rsid w:val="000E05DB"/>
    <w:rsid w:val="000E069D"/>
    <w:rsid w:val="000E1129"/>
    <w:rsid w:val="000E154F"/>
    <w:rsid w:val="000E1A45"/>
    <w:rsid w:val="000E1BA5"/>
    <w:rsid w:val="000E2458"/>
    <w:rsid w:val="000E25B6"/>
    <w:rsid w:val="000E29FE"/>
    <w:rsid w:val="000E2FF7"/>
    <w:rsid w:val="000E35FC"/>
    <w:rsid w:val="000E3CA1"/>
    <w:rsid w:val="000E4AB2"/>
    <w:rsid w:val="000E4C2D"/>
    <w:rsid w:val="000E4D61"/>
    <w:rsid w:val="000E4F13"/>
    <w:rsid w:val="000E4F57"/>
    <w:rsid w:val="000E5B02"/>
    <w:rsid w:val="000E5B11"/>
    <w:rsid w:val="000E62D6"/>
    <w:rsid w:val="000E6421"/>
    <w:rsid w:val="000E65C1"/>
    <w:rsid w:val="000E6647"/>
    <w:rsid w:val="000E664C"/>
    <w:rsid w:val="000E6B0F"/>
    <w:rsid w:val="000E6B4D"/>
    <w:rsid w:val="000E6DF4"/>
    <w:rsid w:val="000E6E95"/>
    <w:rsid w:val="000E6F40"/>
    <w:rsid w:val="000E7375"/>
    <w:rsid w:val="000E74AE"/>
    <w:rsid w:val="000E7893"/>
    <w:rsid w:val="000E7E1B"/>
    <w:rsid w:val="000E7E4D"/>
    <w:rsid w:val="000F13A5"/>
    <w:rsid w:val="000F13F4"/>
    <w:rsid w:val="000F159E"/>
    <w:rsid w:val="000F1644"/>
    <w:rsid w:val="000F1A02"/>
    <w:rsid w:val="000F1C4F"/>
    <w:rsid w:val="000F2A04"/>
    <w:rsid w:val="000F2A26"/>
    <w:rsid w:val="000F2A77"/>
    <w:rsid w:val="000F2C34"/>
    <w:rsid w:val="000F2D0E"/>
    <w:rsid w:val="000F3A8A"/>
    <w:rsid w:val="000F3C5F"/>
    <w:rsid w:val="000F3EFC"/>
    <w:rsid w:val="000F4694"/>
    <w:rsid w:val="000F48B1"/>
    <w:rsid w:val="000F4B3D"/>
    <w:rsid w:val="000F4DC9"/>
    <w:rsid w:val="000F58D2"/>
    <w:rsid w:val="000F5E36"/>
    <w:rsid w:val="000F612F"/>
    <w:rsid w:val="000F625D"/>
    <w:rsid w:val="000F6317"/>
    <w:rsid w:val="000F646B"/>
    <w:rsid w:val="000F6516"/>
    <w:rsid w:val="000F6560"/>
    <w:rsid w:val="000F6955"/>
    <w:rsid w:val="000F6DC4"/>
    <w:rsid w:val="000F777B"/>
    <w:rsid w:val="000F793D"/>
    <w:rsid w:val="000F7977"/>
    <w:rsid w:val="00100691"/>
    <w:rsid w:val="00100D4A"/>
    <w:rsid w:val="00100E4F"/>
    <w:rsid w:val="00101B45"/>
    <w:rsid w:val="00101D6A"/>
    <w:rsid w:val="001024F4"/>
    <w:rsid w:val="00102760"/>
    <w:rsid w:val="0010281F"/>
    <w:rsid w:val="001029B3"/>
    <w:rsid w:val="001030A4"/>
    <w:rsid w:val="00103218"/>
    <w:rsid w:val="001035BE"/>
    <w:rsid w:val="0010376C"/>
    <w:rsid w:val="001037DC"/>
    <w:rsid w:val="001041CA"/>
    <w:rsid w:val="00104F40"/>
    <w:rsid w:val="001053C5"/>
    <w:rsid w:val="00105DA5"/>
    <w:rsid w:val="001061B7"/>
    <w:rsid w:val="00106238"/>
    <w:rsid w:val="00106817"/>
    <w:rsid w:val="00106DD0"/>
    <w:rsid w:val="00107455"/>
    <w:rsid w:val="001075A3"/>
    <w:rsid w:val="00110164"/>
    <w:rsid w:val="00110E78"/>
    <w:rsid w:val="00111314"/>
    <w:rsid w:val="00111E9B"/>
    <w:rsid w:val="0011271E"/>
    <w:rsid w:val="00112876"/>
    <w:rsid w:val="00112A4B"/>
    <w:rsid w:val="00113027"/>
    <w:rsid w:val="00113071"/>
    <w:rsid w:val="00113133"/>
    <w:rsid w:val="001131E3"/>
    <w:rsid w:val="0011331B"/>
    <w:rsid w:val="00113848"/>
    <w:rsid w:val="001139C8"/>
    <w:rsid w:val="00113C6A"/>
    <w:rsid w:val="00113E18"/>
    <w:rsid w:val="00113E55"/>
    <w:rsid w:val="00113FE4"/>
    <w:rsid w:val="00115624"/>
    <w:rsid w:val="0011584D"/>
    <w:rsid w:val="001159CE"/>
    <w:rsid w:val="00115F8F"/>
    <w:rsid w:val="0011660A"/>
    <w:rsid w:val="0011663F"/>
    <w:rsid w:val="00116718"/>
    <w:rsid w:val="001167D1"/>
    <w:rsid w:val="001168AC"/>
    <w:rsid w:val="00116B8E"/>
    <w:rsid w:val="001201D8"/>
    <w:rsid w:val="0012020B"/>
    <w:rsid w:val="00120366"/>
    <w:rsid w:val="00120D14"/>
    <w:rsid w:val="00120F02"/>
    <w:rsid w:val="00121437"/>
    <w:rsid w:val="0012189B"/>
    <w:rsid w:val="00122A9D"/>
    <w:rsid w:val="00122CDC"/>
    <w:rsid w:val="00122E11"/>
    <w:rsid w:val="001239E1"/>
    <w:rsid w:val="00123D58"/>
    <w:rsid w:val="001243A8"/>
    <w:rsid w:val="00124609"/>
    <w:rsid w:val="00124959"/>
    <w:rsid w:val="00124A05"/>
    <w:rsid w:val="00124E71"/>
    <w:rsid w:val="00124ED0"/>
    <w:rsid w:val="00125E9B"/>
    <w:rsid w:val="00126153"/>
    <w:rsid w:val="0012681C"/>
    <w:rsid w:val="00126946"/>
    <w:rsid w:val="00126CF7"/>
    <w:rsid w:val="00126DB6"/>
    <w:rsid w:val="001271C0"/>
    <w:rsid w:val="001272CB"/>
    <w:rsid w:val="00127681"/>
    <w:rsid w:val="00127D5E"/>
    <w:rsid w:val="00130191"/>
    <w:rsid w:val="0013050B"/>
    <w:rsid w:val="00130CE7"/>
    <w:rsid w:val="00130DEA"/>
    <w:rsid w:val="00130E12"/>
    <w:rsid w:val="00131BA0"/>
    <w:rsid w:val="0013277D"/>
    <w:rsid w:val="001327C7"/>
    <w:rsid w:val="00132A3F"/>
    <w:rsid w:val="00132D2E"/>
    <w:rsid w:val="00132D36"/>
    <w:rsid w:val="0013303A"/>
    <w:rsid w:val="001333C3"/>
    <w:rsid w:val="001336CB"/>
    <w:rsid w:val="0013387B"/>
    <w:rsid w:val="00133A01"/>
    <w:rsid w:val="00133CF4"/>
    <w:rsid w:val="00134C12"/>
    <w:rsid w:val="00134FA7"/>
    <w:rsid w:val="0013524F"/>
    <w:rsid w:val="00135474"/>
    <w:rsid w:val="001357C4"/>
    <w:rsid w:val="0013580A"/>
    <w:rsid w:val="00135A55"/>
    <w:rsid w:val="00135AC6"/>
    <w:rsid w:val="00135CC6"/>
    <w:rsid w:val="0013654B"/>
    <w:rsid w:val="00136693"/>
    <w:rsid w:val="00137651"/>
    <w:rsid w:val="001377A3"/>
    <w:rsid w:val="00140250"/>
    <w:rsid w:val="001408AF"/>
    <w:rsid w:val="00141228"/>
    <w:rsid w:val="001418B1"/>
    <w:rsid w:val="00141F88"/>
    <w:rsid w:val="0014268A"/>
    <w:rsid w:val="001432A1"/>
    <w:rsid w:val="00143BF8"/>
    <w:rsid w:val="00143EB0"/>
    <w:rsid w:val="00144160"/>
    <w:rsid w:val="0014492B"/>
    <w:rsid w:val="001449BA"/>
    <w:rsid w:val="00145571"/>
    <w:rsid w:val="00145908"/>
    <w:rsid w:val="00146136"/>
    <w:rsid w:val="001462C4"/>
    <w:rsid w:val="00146663"/>
    <w:rsid w:val="0014687E"/>
    <w:rsid w:val="0014742A"/>
    <w:rsid w:val="00147531"/>
    <w:rsid w:val="0014763A"/>
    <w:rsid w:val="00150791"/>
    <w:rsid w:val="001509E3"/>
    <w:rsid w:val="0015138D"/>
    <w:rsid w:val="00151986"/>
    <w:rsid w:val="00152117"/>
    <w:rsid w:val="00152344"/>
    <w:rsid w:val="001524B5"/>
    <w:rsid w:val="00152F5A"/>
    <w:rsid w:val="001538D1"/>
    <w:rsid w:val="0015411B"/>
    <w:rsid w:val="00154B64"/>
    <w:rsid w:val="00155192"/>
    <w:rsid w:val="00155202"/>
    <w:rsid w:val="00155282"/>
    <w:rsid w:val="001559BC"/>
    <w:rsid w:val="00155B18"/>
    <w:rsid w:val="0015616B"/>
    <w:rsid w:val="00156880"/>
    <w:rsid w:val="00156DB1"/>
    <w:rsid w:val="00156DC8"/>
    <w:rsid w:val="00156F92"/>
    <w:rsid w:val="0015702A"/>
    <w:rsid w:val="00157213"/>
    <w:rsid w:val="00160096"/>
    <w:rsid w:val="00160568"/>
    <w:rsid w:val="00160B76"/>
    <w:rsid w:val="00160BF3"/>
    <w:rsid w:val="00160C13"/>
    <w:rsid w:val="00160F8B"/>
    <w:rsid w:val="0016118C"/>
    <w:rsid w:val="0016136E"/>
    <w:rsid w:val="00161E81"/>
    <w:rsid w:val="00162041"/>
    <w:rsid w:val="001624F6"/>
    <w:rsid w:val="0016279D"/>
    <w:rsid w:val="00162801"/>
    <w:rsid w:val="001628F0"/>
    <w:rsid w:val="00162CCC"/>
    <w:rsid w:val="00162F30"/>
    <w:rsid w:val="0016333F"/>
    <w:rsid w:val="00164D34"/>
    <w:rsid w:val="00165A42"/>
    <w:rsid w:val="00165AC8"/>
    <w:rsid w:val="00165C7F"/>
    <w:rsid w:val="00166233"/>
    <w:rsid w:val="00166600"/>
    <w:rsid w:val="0016683E"/>
    <w:rsid w:val="0016735C"/>
    <w:rsid w:val="0016737B"/>
    <w:rsid w:val="001676E3"/>
    <w:rsid w:val="00167939"/>
    <w:rsid w:val="0016796D"/>
    <w:rsid w:val="00167CE2"/>
    <w:rsid w:val="00167E7D"/>
    <w:rsid w:val="00167EAA"/>
    <w:rsid w:val="00170069"/>
    <w:rsid w:val="00170449"/>
    <w:rsid w:val="001708F4"/>
    <w:rsid w:val="001709F4"/>
    <w:rsid w:val="00170B17"/>
    <w:rsid w:val="0017103F"/>
    <w:rsid w:val="001712B9"/>
    <w:rsid w:val="001719B7"/>
    <w:rsid w:val="00172020"/>
    <w:rsid w:val="0017225F"/>
    <w:rsid w:val="00172C39"/>
    <w:rsid w:val="00172D1F"/>
    <w:rsid w:val="00172DD1"/>
    <w:rsid w:val="001735DA"/>
    <w:rsid w:val="001736D3"/>
    <w:rsid w:val="0017432A"/>
    <w:rsid w:val="00174455"/>
    <w:rsid w:val="001744F2"/>
    <w:rsid w:val="001747CF"/>
    <w:rsid w:val="00174B63"/>
    <w:rsid w:val="00174FFC"/>
    <w:rsid w:val="0017535F"/>
    <w:rsid w:val="00175CCF"/>
    <w:rsid w:val="00175E73"/>
    <w:rsid w:val="00176E01"/>
    <w:rsid w:val="001800BC"/>
    <w:rsid w:val="00180221"/>
    <w:rsid w:val="0018034F"/>
    <w:rsid w:val="0018059F"/>
    <w:rsid w:val="001806E8"/>
    <w:rsid w:val="00180C5A"/>
    <w:rsid w:val="00180C7D"/>
    <w:rsid w:val="00180CDC"/>
    <w:rsid w:val="001814AE"/>
    <w:rsid w:val="00181B45"/>
    <w:rsid w:val="00182261"/>
    <w:rsid w:val="00182976"/>
    <w:rsid w:val="00182B47"/>
    <w:rsid w:val="0018337B"/>
    <w:rsid w:val="001836B2"/>
    <w:rsid w:val="00183D8F"/>
    <w:rsid w:val="00183F5C"/>
    <w:rsid w:val="00184218"/>
    <w:rsid w:val="00184639"/>
    <w:rsid w:val="00184801"/>
    <w:rsid w:val="00184953"/>
    <w:rsid w:val="001849C9"/>
    <w:rsid w:val="00184E1B"/>
    <w:rsid w:val="0018536A"/>
    <w:rsid w:val="001858A8"/>
    <w:rsid w:val="00186BC5"/>
    <w:rsid w:val="00186D05"/>
    <w:rsid w:val="00190190"/>
    <w:rsid w:val="00190258"/>
    <w:rsid w:val="001902EC"/>
    <w:rsid w:val="0019034F"/>
    <w:rsid w:val="00190F9B"/>
    <w:rsid w:val="0019137C"/>
    <w:rsid w:val="00191595"/>
    <w:rsid w:val="001921D9"/>
    <w:rsid w:val="001921EB"/>
    <w:rsid w:val="001923F5"/>
    <w:rsid w:val="0019296A"/>
    <w:rsid w:val="001931B6"/>
    <w:rsid w:val="00193334"/>
    <w:rsid w:val="001934B1"/>
    <w:rsid w:val="00193603"/>
    <w:rsid w:val="00193D70"/>
    <w:rsid w:val="00194112"/>
    <w:rsid w:val="00194254"/>
    <w:rsid w:val="001944A4"/>
    <w:rsid w:val="00195120"/>
    <w:rsid w:val="00195907"/>
    <w:rsid w:val="00195C5F"/>
    <w:rsid w:val="0019603F"/>
    <w:rsid w:val="0019654F"/>
    <w:rsid w:val="00196598"/>
    <w:rsid w:val="001966C1"/>
    <w:rsid w:val="00196A28"/>
    <w:rsid w:val="00196CC8"/>
    <w:rsid w:val="00197533"/>
    <w:rsid w:val="00197C9E"/>
    <w:rsid w:val="00197E9A"/>
    <w:rsid w:val="001A0474"/>
    <w:rsid w:val="001A14AE"/>
    <w:rsid w:val="001A181C"/>
    <w:rsid w:val="001A1BD7"/>
    <w:rsid w:val="001A1BFA"/>
    <w:rsid w:val="001A1CC1"/>
    <w:rsid w:val="001A1F80"/>
    <w:rsid w:val="001A24B7"/>
    <w:rsid w:val="001A25B2"/>
    <w:rsid w:val="001A3641"/>
    <w:rsid w:val="001A39B9"/>
    <w:rsid w:val="001A3B80"/>
    <w:rsid w:val="001A3C2A"/>
    <w:rsid w:val="001A47C8"/>
    <w:rsid w:val="001A5C5E"/>
    <w:rsid w:val="001A63EF"/>
    <w:rsid w:val="001A647E"/>
    <w:rsid w:val="001A6ED7"/>
    <w:rsid w:val="001A7418"/>
    <w:rsid w:val="001A74DC"/>
    <w:rsid w:val="001A78D9"/>
    <w:rsid w:val="001A79EF"/>
    <w:rsid w:val="001A7C14"/>
    <w:rsid w:val="001B0314"/>
    <w:rsid w:val="001B0340"/>
    <w:rsid w:val="001B06C9"/>
    <w:rsid w:val="001B0713"/>
    <w:rsid w:val="001B0CFC"/>
    <w:rsid w:val="001B1072"/>
    <w:rsid w:val="001B173C"/>
    <w:rsid w:val="001B1AB2"/>
    <w:rsid w:val="001B1B22"/>
    <w:rsid w:val="001B1EE4"/>
    <w:rsid w:val="001B2217"/>
    <w:rsid w:val="001B25BA"/>
    <w:rsid w:val="001B279B"/>
    <w:rsid w:val="001B293B"/>
    <w:rsid w:val="001B2DD5"/>
    <w:rsid w:val="001B340C"/>
    <w:rsid w:val="001B4261"/>
    <w:rsid w:val="001B4939"/>
    <w:rsid w:val="001B4C9E"/>
    <w:rsid w:val="001B4EFC"/>
    <w:rsid w:val="001B511E"/>
    <w:rsid w:val="001B5689"/>
    <w:rsid w:val="001B5CFD"/>
    <w:rsid w:val="001B5DC3"/>
    <w:rsid w:val="001B5E24"/>
    <w:rsid w:val="001B5EAC"/>
    <w:rsid w:val="001B6992"/>
    <w:rsid w:val="001B75DC"/>
    <w:rsid w:val="001B791F"/>
    <w:rsid w:val="001B7BFD"/>
    <w:rsid w:val="001C000B"/>
    <w:rsid w:val="001C03BC"/>
    <w:rsid w:val="001C08BC"/>
    <w:rsid w:val="001C0AD7"/>
    <w:rsid w:val="001C0E0C"/>
    <w:rsid w:val="001C12E9"/>
    <w:rsid w:val="001C153C"/>
    <w:rsid w:val="001C212F"/>
    <w:rsid w:val="001C2306"/>
    <w:rsid w:val="001C2952"/>
    <w:rsid w:val="001C2CBE"/>
    <w:rsid w:val="001C35B8"/>
    <w:rsid w:val="001C36A0"/>
    <w:rsid w:val="001C3933"/>
    <w:rsid w:val="001C39FB"/>
    <w:rsid w:val="001C3E7D"/>
    <w:rsid w:val="001C407C"/>
    <w:rsid w:val="001C41BE"/>
    <w:rsid w:val="001C423B"/>
    <w:rsid w:val="001C4403"/>
    <w:rsid w:val="001C4921"/>
    <w:rsid w:val="001C4C4C"/>
    <w:rsid w:val="001C4DA5"/>
    <w:rsid w:val="001C4DFE"/>
    <w:rsid w:val="001C4EF9"/>
    <w:rsid w:val="001C5315"/>
    <w:rsid w:val="001C575C"/>
    <w:rsid w:val="001C585E"/>
    <w:rsid w:val="001C608F"/>
    <w:rsid w:val="001C6653"/>
    <w:rsid w:val="001C6F94"/>
    <w:rsid w:val="001C76C4"/>
    <w:rsid w:val="001C7CA7"/>
    <w:rsid w:val="001C7ED3"/>
    <w:rsid w:val="001D020D"/>
    <w:rsid w:val="001D099E"/>
    <w:rsid w:val="001D0BE4"/>
    <w:rsid w:val="001D0D70"/>
    <w:rsid w:val="001D0DE4"/>
    <w:rsid w:val="001D120B"/>
    <w:rsid w:val="001D1D2A"/>
    <w:rsid w:val="001D32D3"/>
    <w:rsid w:val="001D33B6"/>
    <w:rsid w:val="001D3508"/>
    <w:rsid w:val="001D3A00"/>
    <w:rsid w:val="001D3EE3"/>
    <w:rsid w:val="001D40C0"/>
    <w:rsid w:val="001D4799"/>
    <w:rsid w:val="001D4C10"/>
    <w:rsid w:val="001D4E64"/>
    <w:rsid w:val="001D5A0D"/>
    <w:rsid w:val="001D5DC2"/>
    <w:rsid w:val="001D6411"/>
    <w:rsid w:val="001D68F0"/>
    <w:rsid w:val="001D6A15"/>
    <w:rsid w:val="001D6C18"/>
    <w:rsid w:val="001D6D31"/>
    <w:rsid w:val="001D6DBD"/>
    <w:rsid w:val="001D6E3A"/>
    <w:rsid w:val="001D729F"/>
    <w:rsid w:val="001D7432"/>
    <w:rsid w:val="001D7518"/>
    <w:rsid w:val="001D7DAB"/>
    <w:rsid w:val="001E05F8"/>
    <w:rsid w:val="001E08CD"/>
    <w:rsid w:val="001E13A2"/>
    <w:rsid w:val="001E13FE"/>
    <w:rsid w:val="001E1D44"/>
    <w:rsid w:val="001E211B"/>
    <w:rsid w:val="001E284D"/>
    <w:rsid w:val="001E2DDD"/>
    <w:rsid w:val="001E3028"/>
    <w:rsid w:val="001E3195"/>
    <w:rsid w:val="001E3BD3"/>
    <w:rsid w:val="001E3CA0"/>
    <w:rsid w:val="001E4B56"/>
    <w:rsid w:val="001E4CA0"/>
    <w:rsid w:val="001E5031"/>
    <w:rsid w:val="001E587C"/>
    <w:rsid w:val="001E5903"/>
    <w:rsid w:val="001E5939"/>
    <w:rsid w:val="001E59EA"/>
    <w:rsid w:val="001E5A3D"/>
    <w:rsid w:val="001E5B31"/>
    <w:rsid w:val="001E6B54"/>
    <w:rsid w:val="001E6C97"/>
    <w:rsid w:val="001E6DE2"/>
    <w:rsid w:val="001E700D"/>
    <w:rsid w:val="001E7205"/>
    <w:rsid w:val="001E73E4"/>
    <w:rsid w:val="001E7686"/>
    <w:rsid w:val="001E7B69"/>
    <w:rsid w:val="001F0CD0"/>
    <w:rsid w:val="001F14A8"/>
    <w:rsid w:val="001F18AA"/>
    <w:rsid w:val="001F208B"/>
    <w:rsid w:val="001F2600"/>
    <w:rsid w:val="001F277A"/>
    <w:rsid w:val="001F2CE6"/>
    <w:rsid w:val="001F3014"/>
    <w:rsid w:val="001F307F"/>
    <w:rsid w:val="001F338B"/>
    <w:rsid w:val="001F3496"/>
    <w:rsid w:val="001F3638"/>
    <w:rsid w:val="001F3695"/>
    <w:rsid w:val="001F3D6C"/>
    <w:rsid w:val="001F44F5"/>
    <w:rsid w:val="001F4993"/>
    <w:rsid w:val="001F4B07"/>
    <w:rsid w:val="001F5164"/>
    <w:rsid w:val="001F53E6"/>
    <w:rsid w:val="001F5912"/>
    <w:rsid w:val="001F5F0D"/>
    <w:rsid w:val="001F6317"/>
    <w:rsid w:val="001F670F"/>
    <w:rsid w:val="001F6D71"/>
    <w:rsid w:val="001F6DB2"/>
    <w:rsid w:val="001F6F88"/>
    <w:rsid w:val="001F730F"/>
    <w:rsid w:val="001F75D4"/>
    <w:rsid w:val="001F799E"/>
    <w:rsid w:val="001F79B1"/>
    <w:rsid w:val="001F79C8"/>
    <w:rsid w:val="001F7A1D"/>
    <w:rsid w:val="001F7D8D"/>
    <w:rsid w:val="00200195"/>
    <w:rsid w:val="002008C1"/>
    <w:rsid w:val="002008D1"/>
    <w:rsid w:val="00200979"/>
    <w:rsid w:val="002012B1"/>
    <w:rsid w:val="002013BD"/>
    <w:rsid w:val="002015A6"/>
    <w:rsid w:val="00201769"/>
    <w:rsid w:val="002017FE"/>
    <w:rsid w:val="00202090"/>
    <w:rsid w:val="00202220"/>
    <w:rsid w:val="00202604"/>
    <w:rsid w:val="0020275B"/>
    <w:rsid w:val="00202C0A"/>
    <w:rsid w:val="002030DA"/>
    <w:rsid w:val="00203302"/>
    <w:rsid w:val="00203A63"/>
    <w:rsid w:val="00203ADD"/>
    <w:rsid w:val="00204196"/>
    <w:rsid w:val="00204346"/>
    <w:rsid w:val="00204766"/>
    <w:rsid w:val="002049A5"/>
    <w:rsid w:val="00204D40"/>
    <w:rsid w:val="00205234"/>
    <w:rsid w:val="00205E67"/>
    <w:rsid w:val="0020653E"/>
    <w:rsid w:val="0020659A"/>
    <w:rsid w:val="00206D7B"/>
    <w:rsid w:val="00206DFD"/>
    <w:rsid w:val="00207B5F"/>
    <w:rsid w:val="00207DF6"/>
    <w:rsid w:val="00207E12"/>
    <w:rsid w:val="002101AD"/>
    <w:rsid w:val="002108B5"/>
    <w:rsid w:val="00211639"/>
    <w:rsid w:val="00211C84"/>
    <w:rsid w:val="00212311"/>
    <w:rsid w:val="00212B0D"/>
    <w:rsid w:val="00212EDF"/>
    <w:rsid w:val="00213032"/>
    <w:rsid w:val="002136A8"/>
    <w:rsid w:val="0021375A"/>
    <w:rsid w:val="0021470F"/>
    <w:rsid w:val="0021479F"/>
    <w:rsid w:val="00214ACE"/>
    <w:rsid w:val="00214B6F"/>
    <w:rsid w:val="00214D00"/>
    <w:rsid w:val="0021541E"/>
    <w:rsid w:val="00215635"/>
    <w:rsid w:val="00215D8D"/>
    <w:rsid w:val="002163BE"/>
    <w:rsid w:val="0021688E"/>
    <w:rsid w:val="00217882"/>
    <w:rsid w:val="002178A5"/>
    <w:rsid w:val="00217A10"/>
    <w:rsid w:val="00217F8B"/>
    <w:rsid w:val="002207B1"/>
    <w:rsid w:val="00220851"/>
    <w:rsid w:val="00220A57"/>
    <w:rsid w:val="0022114D"/>
    <w:rsid w:val="00221702"/>
    <w:rsid w:val="00221F77"/>
    <w:rsid w:val="00222888"/>
    <w:rsid w:val="00222B99"/>
    <w:rsid w:val="00223AB0"/>
    <w:rsid w:val="00223BCF"/>
    <w:rsid w:val="0022444C"/>
    <w:rsid w:val="0022473B"/>
    <w:rsid w:val="00225826"/>
    <w:rsid w:val="00226063"/>
    <w:rsid w:val="002260D5"/>
    <w:rsid w:val="002262C5"/>
    <w:rsid w:val="002266F9"/>
    <w:rsid w:val="00226EDE"/>
    <w:rsid w:val="00227804"/>
    <w:rsid w:val="00227BE7"/>
    <w:rsid w:val="00230142"/>
    <w:rsid w:val="00230439"/>
    <w:rsid w:val="002305BD"/>
    <w:rsid w:val="00230E17"/>
    <w:rsid w:val="00230F96"/>
    <w:rsid w:val="00231902"/>
    <w:rsid w:val="0023205E"/>
    <w:rsid w:val="00232228"/>
    <w:rsid w:val="0023233E"/>
    <w:rsid w:val="00232B44"/>
    <w:rsid w:val="002334D8"/>
    <w:rsid w:val="00233880"/>
    <w:rsid w:val="00235194"/>
    <w:rsid w:val="002352CF"/>
    <w:rsid w:val="002362F6"/>
    <w:rsid w:val="00236307"/>
    <w:rsid w:val="00236539"/>
    <w:rsid w:val="00236564"/>
    <w:rsid w:val="00236739"/>
    <w:rsid w:val="00236B83"/>
    <w:rsid w:val="00236C51"/>
    <w:rsid w:val="00236DA0"/>
    <w:rsid w:val="00236DA3"/>
    <w:rsid w:val="00236FB7"/>
    <w:rsid w:val="00237531"/>
    <w:rsid w:val="002379EE"/>
    <w:rsid w:val="00237C33"/>
    <w:rsid w:val="00240206"/>
    <w:rsid w:val="00240414"/>
    <w:rsid w:val="00240E38"/>
    <w:rsid w:val="00240EA2"/>
    <w:rsid w:val="00241087"/>
    <w:rsid w:val="00241116"/>
    <w:rsid w:val="00241182"/>
    <w:rsid w:val="00241239"/>
    <w:rsid w:val="002413CC"/>
    <w:rsid w:val="00241B04"/>
    <w:rsid w:val="0024224D"/>
    <w:rsid w:val="002423E4"/>
    <w:rsid w:val="00242C48"/>
    <w:rsid w:val="00242D2B"/>
    <w:rsid w:val="00242FF7"/>
    <w:rsid w:val="0024396F"/>
    <w:rsid w:val="00244951"/>
    <w:rsid w:val="002449D1"/>
    <w:rsid w:val="00244DF4"/>
    <w:rsid w:val="00244EDE"/>
    <w:rsid w:val="00244FF7"/>
    <w:rsid w:val="002452FF"/>
    <w:rsid w:val="00245E45"/>
    <w:rsid w:val="00245FEB"/>
    <w:rsid w:val="00246078"/>
    <w:rsid w:val="0024659C"/>
    <w:rsid w:val="00246896"/>
    <w:rsid w:val="00246B77"/>
    <w:rsid w:val="00246C6B"/>
    <w:rsid w:val="0024789C"/>
    <w:rsid w:val="00247B10"/>
    <w:rsid w:val="00247C4C"/>
    <w:rsid w:val="00247E7F"/>
    <w:rsid w:val="00250010"/>
    <w:rsid w:val="002506E7"/>
    <w:rsid w:val="002509C1"/>
    <w:rsid w:val="00250B63"/>
    <w:rsid w:val="00251C78"/>
    <w:rsid w:val="002520A1"/>
    <w:rsid w:val="002524F6"/>
    <w:rsid w:val="0025280C"/>
    <w:rsid w:val="002529D6"/>
    <w:rsid w:val="00253113"/>
    <w:rsid w:val="0025330F"/>
    <w:rsid w:val="00254234"/>
    <w:rsid w:val="00254FC4"/>
    <w:rsid w:val="00255305"/>
    <w:rsid w:val="00255356"/>
    <w:rsid w:val="0025575E"/>
    <w:rsid w:val="00255B1B"/>
    <w:rsid w:val="0025603A"/>
    <w:rsid w:val="0025626B"/>
    <w:rsid w:val="00256D37"/>
    <w:rsid w:val="00256D6A"/>
    <w:rsid w:val="002572CD"/>
    <w:rsid w:val="00257506"/>
    <w:rsid w:val="00257564"/>
    <w:rsid w:val="002579A7"/>
    <w:rsid w:val="00257B3E"/>
    <w:rsid w:val="00257D85"/>
    <w:rsid w:val="002601BE"/>
    <w:rsid w:val="0026073F"/>
    <w:rsid w:val="00260A36"/>
    <w:rsid w:val="00260D37"/>
    <w:rsid w:val="0026103F"/>
    <w:rsid w:val="002611F0"/>
    <w:rsid w:val="00261279"/>
    <w:rsid w:val="00261A18"/>
    <w:rsid w:val="00261D15"/>
    <w:rsid w:val="00262726"/>
    <w:rsid w:val="00262E6D"/>
    <w:rsid w:val="002631E3"/>
    <w:rsid w:val="002631EC"/>
    <w:rsid w:val="00263B30"/>
    <w:rsid w:val="00263D11"/>
    <w:rsid w:val="0026404B"/>
    <w:rsid w:val="00265190"/>
    <w:rsid w:val="002653E2"/>
    <w:rsid w:val="00265AC6"/>
    <w:rsid w:val="00266162"/>
    <w:rsid w:val="002667AD"/>
    <w:rsid w:val="00266CBB"/>
    <w:rsid w:val="00267040"/>
    <w:rsid w:val="00267136"/>
    <w:rsid w:val="0027007E"/>
    <w:rsid w:val="002701C5"/>
    <w:rsid w:val="002704CC"/>
    <w:rsid w:val="00270B6A"/>
    <w:rsid w:val="00271357"/>
    <w:rsid w:val="00271487"/>
    <w:rsid w:val="00271CBC"/>
    <w:rsid w:val="002722AC"/>
    <w:rsid w:val="002724AC"/>
    <w:rsid w:val="002728BE"/>
    <w:rsid w:val="0027295A"/>
    <w:rsid w:val="00273183"/>
    <w:rsid w:val="00273253"/>
    <w:rsid w:val="00273587"/>
    <w:rsid w:val="00273ECC"/>
    <w:rsid w:val="0027426A"/>
    <w:rsid w:val="002749D7"/>
    <w:rsid w:val="00274C08"/>
    <w:rsid w:val="00274CC8"/>
    <w:rsid w:val="00274CD9"/>
    <w:rsid w:val="00274D34"/>
    <w:rsid w:val="00275869"/>
    <w:rsid w:val="00275C57"/>
    <w:rsid w:val="00275E16"/>
    <w:rsid w:val="00276304"/>
    <w:rsid w:val="002767E6"/>
    <w:rsid w:val="00277BE0"/>
    <w:rsid w:val="00277CDF"/>
    <w:rsid w:val="002800F3"/>
    <w:rsid w:val="00280132"/>
    <w:rsid w:val="00280241"/>
    <w:rsid w:val="002802F5"/>
    <w:rsid w:val="0028060C"/>
    <w:rsid w:val="002818E4"/>
    <w:rsid w:val="00281D6A"/>
    <w:rsid w:val="00281E46"/>
    <w:rsid w:val="002820ED"/>
    <w:rsid w:val="0028248E"/>
    <w:rsid w:val="00282C82"/>
    <w:rsid w:val="00283345"/>
    <w:rsid w:val="002842C4"/>
    <w:rsid w:val="0028533B"/>
    <w:rsid w:val="0028656E"/>
    <w:rsid w:val="00286836"/>
    <w:rsid w:val="00286B39"/>
    <w:rsid w:val="00287119"/>
    <w:rsid w:val="00287866"/>
    <w:rsid w:val="00287F62"/>
    <w:rsid w:val="0029134B"/>
    <w:rsid w:val="00291CFF"/>
    <w:rsid w:val="00291F90"/>
    <w:rsid w:val="00292076"/>
    <w:rsid w:val="00292EC8"/>
    <w:rsid w:val="002939D3"/>
    <w:rsid w:val="002941CC"/>
    <w:rsid w:val="0029444A"/>
    <w:rsid w:val="002944B0"/>
    <w:rsid w:val="00294548"/>
    <w:rsid w:val="00294674"/>
    <w:rsid w:val="00294956"/>
    <w:rsid w:val="00294DD1"/>
    <w:rsid w:val="00295BD3"/>
    <w:rsid w:val="002962A9"/>
    <w:rsid w:val="002965FB"/>
    <w:rsid w:val="00296BBE"/>
    <w:rsid w:val="00296C6F"/>
    <w:rsid w:val="00297529"/>
    <w:rsid w:val="0029755C"/>
    <w:rsid w:val="00297BA2"/>
    <w:rsid w:val="002A08E1"/>
    <w:rsid w:val="002A0BD8"/>
    <w:rsid w:val="002A0F33"/>
    <w:rsid w:val="002A1857"/>
    <w:rsid w:val="002A1925"/>
    <w:rsid w:val="002A33D9"/>
    <w:rsid w:val="002A3A9D"/>
    <w:rsid w:val="002A4418"/>
    <w:rsid w:val="002A4510"/>
    <w:rsid w:val="002A49DB"/>
    <w:rsid w:val="002A514B"/>
    <w:rsid w:val="002A5C01"/>
    <w:rsid w:val="002A63A1"/>
    <w:rsid w:val="002A6470"/>
    <w:rsid w:val="002A6674"/>
    <w:rsid w:val="002A6E51"/>
    <w:rsid w:val="002A700D"/>
    <w:rsid w:val="002A7A5F"/>
    <w:rsid w:val="002A7D03"/>
    <w:rsid w:val="002B0084"/>
    <w:rsid w:val="002B018E"/>
    <w:rsid w:val="002B0AB1"/>
    <w:rsid w:val="002B0C91"/>
    <w:rsid w:val="002B1226"/>
    <w:rsid w:val="002B13F6"/>
    <w:rsid w:val="002B142F"/>
    <w:rsid w:val="002B1998"/>
    <w:rsid w:val="002B1CD7"/>
    <w:rsid w:val="002B2290"/>
    <w:rsid w:val="002B2502"/>
    <w:rsid w:val="002B2575"/>
    <w:rsid w:val="002B2732"/>
    <w:rsid w:val="002B274C"/>
    <w:rsid w:val="002B3582"/>
    <w:rsid w:val="002B3836"/>
    <w:rsid w:val="002B3946"/>
    <w:rsid w:val="002B3B54"/>
    <w:rsid w:val="002B4066"/>
    <w:rsid w:val="002B4693"/>
    <w:rsid w:val="002B46CA"/>
    <w:rsid w:val="002B47F8"/>
    <w:rsid w:val="002B5323"/>
    <w:rsid w:val="002B5648"/>
    <w:rsid w:val="002B59A1"/>
    <w:rsid w:val="002B5B6B"/>
    <w:rsid w:val="002B5C68"/>
    <w:rsid w:val="002B5C7F"/>
    <w:rsid w:val="002B5EDA"/>
    <w:rsid w:val="002B66F8"/>
    <w:rsid w:val="002B6743"/>
    <w:rsid w:val="002B6980"/>
    <w:rsid w:val="002B6B31"/>
    <w:rsid w:val="002B70AB"/>
    <w:rsid w:val="002B71BD"/>
    <w:rsid w:val="002B7BB2"/>
    <w:rsid w:val="002C06F8"/>
    <w:rsid w:val="002C0910"/>
    <w:rsid w:val="002C0E60"/>
    <w:rsid w:val="002C0E8B"/>
    <w:rsid w:val="002C175A"/>
    <w:rsid w:val="002C1821"/>
    <w:rsid w:val="002C1A98"/>
    <w:rsid w:val="002C1D26"/>
    <w:rsid w:val="002C1D75"/>
    <w:rsid w:val="002C1E8F"/>
    <w:rsid w:val="002C20F5"/>
    <w:rsid w:val="002C2931"/>
    <w:rsid w:val="002C2C80"/>
    <w:rsid w:val="002C3314"/>
    <w:rsid w:val="002C3535"/>
    <w:rsid w:val="002C3A66"/>
    <w:rsid w:val="002C3AD8"/>
    <w:rsid w:val="002C3B31"/>
    <w:rsid w:val="002C3E2C"/>
    <w:rsid w:val="002C4465"/>
    <w:rsid w:val="002C44E2"/>
    <w:rsid w:val="002C45D1"/>
    <w:rsid w:val="002C51B0"/>
    <w:rsid w:val="002C5520"/>
    <w:rsid w:val="002C5679"/>
    <w:rsid w:val="002C5E63"/>
    <w:rsid w:val="002C68F5"/>
    <w:rsid w:val="002C6938"/>
    <w:rsid w:val="002C6BDA"/>
    <w:rsid w:val="002C709F"/>
    <w:rsid w:val="002C71BA"/>
    <w:rsid w:val="002C736A"/>
    <w:rsid w:val="002C7C8C"/>
    <w:rsid w:val="002D0070"/>
    <w:rsid w:val="002D06FE"/>
    <w:rsid w:val="002D0E96"/>
    <w:rsid w:val="002D1086"/>
    <w:rsid w:val="002D1613"/>
    <w:rsid w:val="002D1955"/>
    <w:rsid w:val="002D220C"/>
    <w:rsid w:val="002D2420"/>
    <w:rsid w:val="002D291D"/>
    <w:rsid w:val="002D2D71"/>
    <w:rsid w:val="002D2F7E"/>
    <w:rsid w:val="002D32E0"/>
    <w:rsid w:val="002D344A"/>
    <w:rsid w:val="002D345C"/>
    <w:rsid w:val="002D34AA"/>
    <w:rsid w:val="002D3A43"/>
    <w:rsid w:val="002D3AB8"/>
    <w:rsid w:val="002D448B"/>
    <w:rsid w:val="002D466D"/>
    <w:rsid w:val="002D47C7"/>
    <w:rsid w:val="002D53CA"/>
    <w:rsid w:val="002D54D7"/>
    <w:rsid w:val="002D5C0C"/>
    <w:rsid w:val="002D69E2"/>
    <w:rsid w:val="002D69E5"/>
    <w:rsid w:val="002D6ECA"/>
    <w:rsid w:val="002D752F"/>
    <w:rsid w:val="002D7546"/>
    <w:rsid w:val="002D77E8"/>
    <w:rsid w:val="002E045D"/>
    <w:rsid w:val="002E0539"/>
    <w:rsid w:val="002E0D40"/>
    <w:rsid w:val="002E23EF"/>
    <w:rsid w:val="002E2500"/>
    <w:rsid w:val="002E26F7"/>
    <w:rsid w:val="002E2B7C"/>
    <w:rsid w:val="002E34C0"/>
    <w:rsid w:val="002E3746"/>
    <w:rsid w:val="002E39D3"/>
    <w:rsid w:val="002E3CDD"/>
    <w:rsid w:val="002E4354"/>
    <w:rsid w:val="002E49AA"/>
    <w:rsid w:val="002E4AB4"/>
    <w:rsid w:val="002E4C8E"/>
    <w:rsid w:val="002E52C4"/>
    <w:rsid w:val="002E567A"/>
    <w:rsid w:val="002E5ACA"/>
    <w:rsid w:val="002E5B32"/>
    <w:rsid w:val="002E64F9"/>
    <w:rsid w:val="002E78D1"/>
    <w:rsid w:val="002E79C0"/>
    <w:rsid w:val="002E7AB6"/>
    <w:rsid w:val="002F03C0"/>
    <w:rsid w:val="002F0640"/>
    <w:rsid w:val="002F09B7"/>
    <w:rsid w:val="002F0D6A"/>
    <w:rsid w:val="002F0E43"/>
    <w:rsid w:val="002F1086"/>
    <w:rsid w:val="002F1786"/>
    <w:rsid w:val="002F1B10"/>
    <w:rsid w:val="002F1D4B"/>
    <w:rsid w:val="002F2059"/>
    <w:rsid w:val="002F224D"/>
    <w:rsid w:val="002F2558"/>
    <w:rsid w:val="002F2ACC"/>
    <w:rsid w:val="002F2CE5"/>
    <w:rsid w:val="002F3569"/>
    <w:rsid w:val="002F378E"/>
    <w:rsid w:val="002F3A9F"/>
    <w:rsid w:val="002F3B27"/>
    <w:rsid w:val="002F3C33"/>
    <w:rsid w:val="002F3EBB"/>
    <w:rsid w:val="002F41C5"/>
    <w:rsid w:val="002F4E2D"/>
    <w:rsid w:val="002F509B"/>
    <w:rsid w:val="002F5360"/>
    <w:rsid w:val="002F593B"/>
    <w:rsid w:val="002F6D8F"/>
    <w:rsid w:val="002F7050"/>
    <w:rsid w:val="002F731F"/>
    <w:rsid w:val="002F73D0"/>
    <w:rsid w:val="00300653"/>
    <w:rsid w:val="00301149"/>
    <w:rsid w:val="0030152D"/>
    <w:rsid w:val="0030361C"/>
    <w:rsid w:val="00304203"/>
    <w:rsid w:val="00304B51"/>
    <w:rsid w:val="00305722"/>
    <w:rsid w:val="00305AA7"/>
    <w:rsid w:val="00305C0D"/>
    <w:rsid w:val="00305C49"/>
    <w:rsid w:val="00305CCE"/>
    <w:rsid w:val="0030641F"/>
    <w:rsid w:val="003065B8"/>
    <w:rsid w:val="00306ABA"/>
    <w:rsid w:val="00307352"/>
    <w:rsid w:val="00310415"/>
    <w:rsid w:val="003104F4"/>
    <w:rsid w:val="00312387"/>
    <w:rsid w:val="00312504"/>
    <w:rsid w:val="0031288C"/>
    <w:rsid w:val="00313106"/>
    <w:rsid w:val="00313660"/>
    <w:rsid w:val="00313D4E"/>
    <w:rsid w:val="00314D5E"/>
    <w:rsid w:val="00314E3E"/>
    <w:rsid w:val="0031524E"/>
    <w:rsid w:val="0031532E"/>
    <w:rsid w:val="003159BD"/>
    <w:rsid w:val="003159F3"/>
    <w:rsid w:val="00315ADA"/>
    <w:rsid w:val="0031602E"/>
    <w:rsid w:val="00316381"/>
    <w:rsid w:val="00317B6C"/>
    <w:rsid w:val="00317BBB"/>
    <w:rsid w:val="00317BCE"/>
    <w:rsid w:val="00317E27"/>
    <w:rsid w:val="003201CC"/>
    <w:rsid w:val="00320205"/>
    <w:rsid w:val="00320E28"/>
    <w:rsid w:val="00320F5B"/>
    <w:rsid w:val="0032176E"/>
    <w:rsid w:val="00321D27"/>
    <w:rsid w:val="00321D4C"/>
    <w:rsid w:val="0032259F"/>
    <w:rsid w:val="00322634"/>
    <w:rsid w:val="00322890"/>
    <w:rsid w:val="0032337C"/>
    <w:rsid w:val="003233FE"/>
    <w:rsid w:val="0032346F"/>
    <w:rsid w:val="0032374E"/>
    <w:rsid w:val="00323940"/>
    <w:rsid w:val="00324069"/>
    <w:rsid w:val="003240C1"/>
    <w:rsid w:val="003243DC"/>
    <w:rsid w:val="003245C3"/>
    <w:rsid w:val="003252A0"/>
    <w:rsid w:val="00325515"/>
    <w:rsid w:val="00325DC1"/>
    <w:rsid w:val="00326321"/>
    <w:rsid w:val="003263A3"/>
    <w:rsid w:val="00326AE6"/>
    <w:rsid w:val="00326D71"/>
    <w:rsid w:val="00326EEE"/>
    <w:rsid w:val="003305A4"/>
    <w:rsid w:val="003308AD"/>
    <w:rsid w:val="00330A5C"/>
    <w:rsid w:val="00330A69"/>
    <w:rsid w:val="00330DD7"/>
    <w:rsid w:val="00330F59"/>
    <w:rsid w:val="0033160C"/>
    <w:rsid w:val="003318F8"/>
    <w:rsid w:val="0033202B"/>
    <w:rsid w:val="00332999"/>
    <w:rsid w:val="003329CC"/>
    <w:rsid w:val="00332A91"/>
    <w:rsid w:val="00332DF1"/>
    <w:rsid w:val="00333428"/>
    <w:rsid w:val="00334156"/>
    <w:rsid w:val="003341A8"/>
    <w:rsid w:val="003341D6"/>
    <w:rsid w:val="00334699"/>
    <w:rsid w:val="003349DB"/>
    <w:rsid w:val="00334BFD"/>
    <w:rsid w:val="00334D60"/>
    <w:rsid w:val="003350DE"/>
    <w:rsid w:val="0033558F"/>
    <w:rsid w:val="003361A6"/>
    <w:rsid w:val="00336947"/>
    <w:rsid w:val="00337123"/>
    <w:rsid w:val="0033749E"/>
    <w:rsid w:val="00337B35"/>
    <w:rsid w:val="00337BF3"/>
    <w:rsid w:val="00337C16"/>
    <w:rsid w:val="00337E66"/>
    <w:rsid w:val="003404ED"/>
    <w:rsid w:val="00340694"/>
    <w:rsid w:val="00340A56"/>
    <w:rsid w:val="00341871"/>
    <w:rsid w:val="00342263"/>
    <w:rsid w:val="00342373"/>
    <w:rsid w:val="00343A5F"/>
    <w:rsid w:val="00344588"/>
    <w:rsid w:val="003447C5"/>
    <w:rsid w:val="00344945"/>
    <w:rsid w:val="00344BC9"/>
    <w:rsid w:val="00344C22"/>
    <w:rsid w:val="00344C99"/>
    <w:rsid w:val="00344CF8"/>
    <w:rsid w:val="00345F77"/>
    <w:rsid w:val="00346683"/>
    <w:rsid w:val="00346782"/>
    <w:rsid w:val="0034698B"/>
    <w:rsid w:val="00346D96"/>
    <w:rsid w:val="003471BC"/>
    <w:rsid w:val="00347BD9"/>
    <w:rsid w:val="00347BED"/>
    <w:rsid w:val="00347FD2"/>
    <w:rsid w:val="003504AB"/>
    <w:rsid w:val="00350BAD"/>
    <w:rsid w:val="0035175F"/>
    <w:rsid w:val="00351C95"/>
    <w:rsid w:val="00351DE6"/>
    <w:rsid w:val="003526D2"/>
    <w:rsid w:val="003527EE"/>
    <w:rsid w:val="00352AAA"/>
    <w:rsid w:val="00353C02"/>
    <w:rsid w:val="00353CFE"/>
    <w:rsid w:val="00354735"/>
    <w:rsid w:val="00354962"/>
    <w:rsid w:val="00354BEC"/>
    <w:rsid w:val="00355A96"/>
    <w:rsid w:val="00355D4F"/>
    <w:rsid w:val="00356444"/>
    <w:rsid w:val="0035666D"/>
    <w:rsid w:val="0035694F"/>
    <w:rsid w:val="00356A85"/>
    <w:rsid w:val="00356CA5"/>
    <w:rsid w:val="00356F69"/>
    <w:rsid w:val="00357491"/>
    <w:rsid w:val="003577BB"/>
    <w:rsid w:val="00357B6E"/>
    <w:rsid w:val="003603AB"/>
    <w:rsid w:val="00360493"/>
    <w:rsid w:val="0036058C"/>
    <w:rsid w:val="00360DD5"/>
    <w:rsid w:val="00360F69"/>
    <w:rsid w:val="003611B0"/>
    <w:rsid w:val="0036154D"/>
    <w:rsid w:val="00361DF3"/>
    <w:rsid w:val="00361ED0"/>
    <w:rsid w:val="00362700"/>
    <w:rsid w:val="003629E1"/>
    <w:rsid w:val="003629F4"/>
    <w:rsid w:val="00362CFB"/>
    <w:rsid w:val="003632DC"/>
    <w:rsid w:val="0036332C"/>
    <w:rsid w:val="00363635"/>
    <w:rsid w:val="00363A21"/>
    <w:rsid w:val="00363AAE"/>
    <w:rsid w:val="003643D3"/>
    <w:rsid w:val="00364528"/>
    <w:rsid w:val="0036492C"/>
    <w:rsid w:val="00364B1F"/>
    <w:rsid w:val="00364B4B"/>
    <w:rsid w:val="0036537F"/>
    <w:rsid w:val="00365B79"/>
    <w:rsid w:val="003668AB"/>
    <w:rsid w:val="00366AA2"/>
    <w:rsid w:val="00366C94"/>
    <w:rsid w:val="00367BC4"/>
    <w:rsid w:val="00370707"/>
    <w:rsid w:val="00370942"/>
    <w:rsid w:val="00371151"/>
    <w:rsid w:val="003713A9"/>
    <w:rsid w:val="00371848"/>
    <w:rsid w:val="00371C0C"/>
    <w:rsid w:val="0037235A"/>
    <w:rsid w:val="003726EA"/>
    <w:rsid w:val="00373389"/>
    <w:rsid w:val="0037359D"/>
    <w:rsid w:val="003736EA"/>
    <w:rsid w:val="00373AD0"/>
    <w:rsid w:val="00373B78"/>
    <w:rsid w:val="00374291"/>
    <w:rsid w:val="00374516"/>
    <w:rsid w:val="00374775"/>
    <w:rsid w:val="003748F1"/>
    <w:rsid w:val="00374A8E"/>
    <w:rsid w:val="00374AFB"/>
    <w:rsid w:val="00374BE1"/>
    <w:rsid w:val="00374C35"/>
    <w:rsid w:val="00375105"/>
    <w:rsid w:val="00375437"/>
    <w:rsid w:val="0037572B"/>
    <w:rsid w:val="00376663"/>
    <w:rsid w:val="003776E7"/>
    <w:rsid w:val="00377B9B"/>
    <w:rsid w:val="00377FEC"/>
    <w:rsid w:val="0038006E"/>
    <w:rsid w:val="00380118"/>
    <w:rsid w:val="00380DEA"/>
    <w:rsid w:val="00380FF1"/>
    <w:rsid w:val="00381120"/>
    <w:rsid w:val="00381D51"/>
    <w:rsid w:val="003822E3"/>
    <w:rsid w:val="00382813"/>
    <w:rsid w:val="00382B7C"/>
    <w:rsid w:val="00383229"/>
    <w:rsid w:val="0038436B"/>
    <w:rsid w:val="0038491E"/>
    <w:rsid w:val="00384983"/>
    <w:rsid w:val="00384DB9"/>
    <w:rsid w:val="00385474"/>
    <w:rsid w:val="00385486"/>
    <w:rsid w:val="00385FEF"/>
    <w:rsid w:val="00386952"/>
    <w:rsid w:val="00386B9B"/>
    <w:rsid w:val="00386D7D"/>
    <w:rsid w:val="003873DA"/>
    <w:rsid w:val="0038770F"/>
    <w:rsid w:val="003878FA"/>
    <w:rsid w:val="0039021C"/>
    <w:rsid w:val="00390894"/>
    <w:rsid w:val="00390D6F"/>
    <w:rsid w:val="00390E57"/>
    <w:rsid w:val="0039118C"/>
    <w:rsid w:val="003913B7"/>
    <w:rsid w:val="00391508"/>
    <w:rsid w:val="00391C06"/>
    <w:rsid w:val="0039219E"/>
    <w:rsid w:val="0039239D"/>
    <w:rsid w:val="00392BEB"/>
    <w:rsid w:val="00392D91"/>
    <w:rsid w:val="00392DE9"/>
    <w:rsid w:val="00393344"/>
    <w:rsid w:val="00393350"/>
    <w:rsid w:val="003933BA"/>
    <w:rsid w:val="00393C73"/>
    <w:rsid w:val="003943D7"/>
    <w:rsid w:val="003945F3"/>
    <w:rsid w:val="0039465A"/>
    <w:rsid w:val="00394BF5"/>
    <w:rsid w:val="0039502C"/>
    <w:rsid w:val="003950AD"/>
    <w:rsid w:val="00396594"/>
    <w:rsid w:val="00396663"/>
    <w:rsid w:val="003969F3"/>
    <w:rsid w:val="00396DFC"/>
    <w:rsid w:val="00396F0D"/>
    <w:rsid w:val="003973E6"/>
    <w:rsid w:val="0039793A"/>
    <w:rsid w:val="00397E34"/>
    <w:rsid w:val="003A0553"/>
    <w:rsid w:val="003A0971"/>
    <w:rsid w:val="003A0ACD"/>
    <w:rsid w:val="003A0D64"/>
    <w:rsid w:val="003A10FE"/>
    <w:rsid w:val="003A1C6B"/>
    <w:rsid w:val="003A1CE2"/>
    <w:rsid w:val="003A227A"/>
    <w:rsid w:val="003A252F"/>
    <w:rsid w:val="003A2BE2"/>
    <w:rsid w:val="003A2F6C"/>
    <w:rsid w:val="003A3128"/>
    <w:rsid w:val="003A3EC7"/>
    <w:rsid w:val="003A417B"/>
    <w:rsid w:val="003A4254"/>
    <w:rsid w:val="003A43EE"/>
    <w:rsid w:val="003A48B8"/>
    <w:rsid w:val="003A4C1B"/>
    <w:rsid w:val="003A4CF0"/>
    <w:rsid w:val="003A4D7E"/>
    <w:rsid w:val="003A4E2B"/>
    <w:rsid w:val="003A4E70"/>
    <w:rsid w:val="003A5096"/>
    <w:rsid w:val="003A570D"/>
    <w:rsid w:val="003A5AF8"/>
    <w:rsid w:val="003A5E2C"/>
    <w:rsid w:val="003A64EE"/>
    <w:rsid w:val="003A6F60"/>
    <w:rsid w:val="003A6F86"/>
    <w:rsid w:val="003A7451"/>
    <w:rsid w:val="003A7531"/>
    <w:rsid w:val="003A771A"/>
    <w:rsid w:val="003A7E6E"/>
    <w:rsid w:val="003B0503"/>
    <w:rsid w:val="003B0ACE"/>
    <w:rsid w:val="003B0B79"/>
    <w:rsid w:val="003B0C9C"/>
    <w:rsid w:val="003B0D4C"/>
    <w:rsid w:val="003B1204"/>
    <w:rsid w:val="003B153A"/>
    <w:rsid w:val="003B1599"/>
    <w:rsid w:val="003B1D01"/>
    <w:rsid w:val="003B2349"/>
    <w:rsid w:val="003B2386"/>
    <w:rsid w:val="003B273F"/>
    <w:rsid w:val="003B33F4"/>
    <w:rsid w:val="003B39C8"/>
    <w:rsid w:val="003B3A5C"/>
    <w:rsid w:val="003B3BEF"/>
    <w:rsid w:val="003B4676"/>
    <w:rsid w:val="003B564F"/>
    <w:rsid w:val="003B57D3"/>
    <w:rsid w:val="003B5D30"/>
    <w:rsid w:val="003B6419"/>
    <w:rsid w:val="003B64E6"/>
    <w:rsid w:val="003B68C4"/>
    <w:rsid w:val="003B7A67"/>
    <w:rsid w:val="003C0264"/>
    <w:rsid w:val="003C0298"/>
    <w:rsid w:val="003C0622"/>
    <w:rsid w:val="003C0776"/>
    <w:rsid w:val="003C0C1F"/>
    <w:rsid w:val="003C13A9"/>
    <w:rsid w:val="003C13FF"/>
    <w:rsid w:val="003C1583"/>
    <w:rsid w:val="003C20EC"/>
    <w:rsid w:val="003C2A4F"/>
    <w:rsid w:val="003C2C04"/>
    <w:rsid w:val="003C301E"/>
    <w:rsid w:val="003C3061"/>
    <w:rsid w:val="003C33AB"/>
    <w:rsid w:val="003C387A"/>
    <w:rsid w:val="003C4128"/>
    <w:rsid w:val="003C4131"/>
    <w:rsid w:val="003C4DCE"/>
    <w:rsid w:val="003C55E7"/>
    <w:rsid w:val="003C562A"/>
    <w:rsid w:val="003C5707"/>
    <w:rsid w:val="003C5A8C"/>
    <w:rsid w:val="003C6344"/>
    <w:rsid w:val="003C69EC"/>
    <w:rsid w:val="003C6E6A"/>
    <w:rsid w:val="003C7429"/>
    <w:rsid w:val="003D00CB"/>
    <w:rsid w:val="003D02C7"/>
    <w:rsid w:val="003D0800"/>
    <w:rsid w:val="003D0A48"/>
    <w:rsid w:val="003D0EF0"/>
    <w:rsid w:val="003D17EE"/>
    <w:rsid w:val="003D1F09"/>
    <w:rsid w:val="003D281D"/>
    <w:rsid w:val="003D323F"/>
    <w:rsid w:val="003D402B"/>
    <w:rsid w:val="003D422A"/>
    <w:rsid w:val="003D4F0B"/>
    <w:rsid w:val="003D4F5B"/>
    <w:rsid w:val="003D5CFD"/>
    <w:rsid w:val="003D5E8C"/>
    <w:rsid w:val="003D5FDB"/>
    <w:rsid w:val="003D6388"/>
    <w:rsid w:val="003D6A84"/>
    <w:rsid w:val="003D6C40"/>
    <w:rsid w:val="003D6D96"/>
    <w:rsid w:val="003D6DDB"/>
    <w:rsid w:val="003D72A5"/>
    <w:rsid w:val="003D7518"/>
    <w:rsid w:val="003D76D5"/>
    <w:rsid w:val="003D7B57"/>
    <w:rsid w:val="003E0361"/>
    <w:rsid w:val="003E0CCE"/>
    <w:rsid w:val="003E0EC3"/>
    <w:rsid w:val="003E0EF8"/>
    <w:rsid w:val="003E0F8B"/>
    <w:rsid w:val="003E1777"/>
    <w:rsid w:val="003E1A3A"/>
    <w:rsid w:val="003E1B4A"/>
    <w:rsid w:val="003E1EA7"/>
    <w:rsid w:val="003E3645"/>
    <w:rsid w:val="003E39DC"/>
    <w:rsid w:val="003E47B7"/>
    <w:rsid w:val="003E4B3A"/>
    <w:rsid w:val="003E5107"/>
    <w:rsid w:val="003E527D"/>
    <w:rsid w:val="003E52AC"/>
    <w:rsid w:val="003E5E16"/>
    <w:rsid w:val="003E5FAF"/>
    <w:rsid w:val="003E6630"/>
    <w:rsid w:val="003E66AD"/>
    <w:rsid w:val="003E6703"/>
    <w:rsid w:val="003E6A9C"/>
    <w:rsid w:val="003E6F71"/>
    <w:rsid w:val="003E7193"/>
    <w:rsid w:val="003E74E5"/>
    <w:rsid w:val="003E762B"/>
    <w:rsid w:val="003F000A"/>
    <w:rsid w:val="003F06C4"/>
    <w:rsid w:val="003F0894"/>
    <w:rsid w:val="003F14AD"/>
    <w:rsid w:val="003F1563"/>
    <w:rsid w:val="003F1587"/>
    <w:rsid w:val="003F1720"/>
    <w:rsid w:val="003F1983"/>
    <w:rsid w:val="003F1B5B"/>
    <w:rsid w:val="003F1C60"/>
    <w:rsid w:val="003F21A6"/>
    <w:rsid w:val="003F2B18"/>
    <w:rsid w:val="003F2DB8"/>
    <w:rsid w:val="003F36F6"/>
    <w:rsid w:val="003F3CFA"/>
    <w:rsid w:val="003F3E4D"/>
    <w:rsid w:val="003F42C9"/>
    <w:rsid w:val="003F4A88"/>
    <w:rsid w:val="003F4CE2"/>
    <w:rsid w:val="003F55D5"/>
    <w:rsid w:val="003F56D0"/>
    <w:rsid w:val="003F581B"/>
    <w:rsid w:val="003F5987"/>
    <w:rsid w:val="003F61CA"/>
    <w:rsid w:val="003F715B"/>
    <w:rsid w:val="003F7903"/>
    <w:rsid w:val="003F7CF7"/>
    <w:rsid w:val="0040024F"/>
    <w:rsid w:val="004007FE"/>
    <w:rsid w:val="00400CEE"/>
    <w:rsid w:val="00400EDA"/>
    <w:rsid w:val="00401197"/>
    <w:rsid w:val="004016DD"/>
    <w:rsid w:val="004016F7"/>
    <w:rsid w:val="00401A0D"/>
    <w:rsid w:val="00401BD4"/>
    <w:rsid w:val="00401F7E"/>
    <w:rsid w:val="004021C8"/>
    <w:rsid w:val="00402A39"/>
    <w:rsid w:val="00402A92"/>
    <w:rsid w:val="00402B6F"/>
    <w:rsid w:val="00402D33"/>
    <w:rsid w:val="004042DE"/>
    <w:rsid w:val="00404454"/>
    <w:rsid w:val="0040497B"/>
    <w:rsid w:val="00404C23"/>
    <w:rsid w:val="00405359"/>
    <w:rsid w:val="004054AB"/>
    <w:rsid w:val="004057EB"/>
    <w:rsid w:val="00405C7B"/>
    <w:rsid w:val="0040613C"/>
    <w:rsid w:val="004061BE"/>
    <w:rsid w:val="0040667E"/>
    <w:rsid w:val="00406AD4"/>
    <w:rsid w:val="00407097"/>
    <w:rsid w:val="0040764B"/>
    <w:rsid w:val="00410BFA"/>
    <w:rsid w:val="00411FF7"/>
    <w:rsid w:val="004120C8"/>
    <w:rsid w:val="004127FB"/>
    <w:rsid w:val="00412A80"/>
    <w:rsid w:val="00412BEF"/>
    <w:rsid w:val="00412C32"/>
    <w:rsid w:val="00412C46"/>
    <w:rsid w:val="004141FE"/>
    <w:rsid w:val="004148FF"/>
    <w:rsid w:val="00414A18"/>
    <w:rsid w:val="00414C53"/>
    <w:rsid w:val="0041558E"/>
    <w:rsid w:val="0041583E"/>
    <w:rsid w:val="004158C6"/>
    <w:rsid w:val="00415ABA"/>
    <w:rsid w:val="00415CFF"/>
    <w:rsid w:val="00415DBC"/>
    <w:rsid w:val="00415F6E"/>
    <w:rsid w:val="00416B16"/>
    <w:rsid w:val="004172EC"/>
    <w:rsid w:val="00417657"/>
    <w:rsid w:val="004203F8"/>
    <w:rsid w:val="004204D6"/>
    <w:rsid w:val="004206E5"/>
    <w:rsid w:val="00420F96"/>
    <w:rsid w:val="004212A2"/>
    <w:rsid w:val="004214AC"/>
    <w:rsid w:val="0042150C"/>
    <w:rsid w:val="00421699"/>
    <w:rsid w:val="00421C27"/>
    <w:rsid w:val="004220BF"/>
    <w:rsid w:val="0042230D"/>
    <w:rsid w:val="0042233C"/>
    <w:rsid w:val="00422BEF"/>
    <w:rsid w:val="00422C09"/>
    <w:rsid w:val="00422C9A"/>
    <w:rsid w:val="00423139"/>
    <w:rsid w:val="00423537"/>
    <w:rsid w:val="00423BB7"/>
    <w:rsid w:val="00423D5E"/>
    <w:rsid w:val="00423D62"/>
    <w:rsid w:val="00423EED"/>
    <w:rsid w:val="0042442E"/>
    <w:rsid w:val="00424632"/>
    <w:rsid w:val="00424CFC"/>
    <w:rsid w:val="00425184"/>
    <w:rsid w:val="004255BA"/>
    <w:rsid w:val="00425940"/>
    <w:rsid w:val="004259D9"/>
    <w:rsid w:val="00425C9B"/>
    <w:rsid w:val="00425D3A"/>
    <w:rsid w:val="00425D4E"/>
    <w:rsid w:val="00425D91"/>
    <w:rsid w:val="00425E96"/>
    <w:rsid w:val="00426026"/>
    <w:rsid w:val="0042602D"/>
    <w:rsid w:val="004261AA"/>
    <w:rsid w:val="00426455"/>
    <w:rsid w:val="00426570"/>
    <w:rsid w:val="00426E02"/>
    <w:rsid w:val="00427208"/>
    <w:rsid w:val="0043007C"/>
    <w:rsid w:val="00430614"/>
    <w:rsid w:val="0043070A"/>
    <w:rsid w:val="0043082F"/>
    <w:rsid w:val="00430E15"/>
    <w:rsid w:val="00431CD4"/>
    <w:rsid w:val="0043240F"/>
    <w:rsid w:val="0043281C"/>
    <w:rsid w:val="0043283F"/>
    <w:rsid w:val="00432C7C"/>
    <w:rsid w:val="004330F3"/>
    <w:rsid w:val="00433905"/>
    <w:rsid w:val="00433F8D"/>
    <w:rsid w:val="00433FE9"/>
    <w:rsid w:val="00434308"/>
    <w:rsid w:val="0043488E"/>
    <w:rsid w:val="0043574D"/>
    <w:rsid w:val="00435889"/>
    <w:rsid w:val="00435AB4"/>
    <w:rsid w:val="00435CB3"/>
    <w:rsid w:val="004361E0"/>
    <w:rsid w:val="0043710E"/>
    <w:rsid w:val="0043712A"/>
    <w:rsid w:val="00437339"/>
    <w:rsid w:val="00437C04"/>
    <w:rsid w:val="004402B0"/>
    <w:rsid w:val="0044077F"/>
    <w:rsid w:val="00440C1F"/>
    <w:rsid w:val="00441036"/>
    <w:rsid w:val="00441193"/>
    <w:rsid w:val="004419EA"/>
    <w:rsid w:val="00441CDD"/>
    <w:rsid w:val="00441F04"/>
    <w:rsid w:val="00442158"/>
    <w:rsid w:val="00442579"/>
    <w:rsid w:val="00443653"/>
    <w:rsid w:val="00443AD4"/>
    <w:rsid w:val="00443C5D"/>
    <w:rsid w:val="00443CFD"/>
    <w:rsid w:val="00443FF5"/>
    <w:rsid w:val="0044414A"/>
    <w:rsid w:val="00444546"/>
    <w:rsid w:val="00444622"/>
    <w:rsid w:val="00444963"/>
    <w:rsid w:val="00444B53"/>
    <w:rsid w:val="00445197"/>
    <w:rsid w:val="0044533E"/>
    <w:rsid w:val="00445443"/>
    <w:rsid w:val="0044573B"/>
    <w:rsid w:val="004458C5"/>
    <w:rsid w:val="0044662E"/>
    <w:rsid w:val="0044675F"/>
    <w:rsid w:val="00446F22"/>
    <w:rsid w:val="00447504"/>
    <w:rsid w:val="004479C4"/>
    <w:rsid w:val="00447A32"/>
    <w:rsid w:val="00447D0A"/>
    <w:rsid w:val="00447D2D"/>
    <w:rsid w:val="00450037"/>
    <w:rsid w:val="00450096"/>
    <w:rsid w:val="004501F1"/>
    <w:rsid w:val="004504B3"/>
    <w:rsid w:val="00450731"/>
    <w:rsid w:val="00450AB9"/>
    <w:rsid w:val="00450E7B"/>
    <w:rsid w:val="004514C5"/>
    <w:rsid w:val="00451C0B"/>
    <w:rsid w:val="00451F71"/>
    <w:rsid w:val="0045221A"/>
    <w:rsid w:val="004522E5"/>
    <w:rsid w:val="00452659"/>
    <w:rsid w:val="00452782"/>
    <w:rsid w:val="00453247"/>
    <w:rsid w:val="004532B9"/>
    <w:rsid w:val="0045344C"/>
    <w:rsid w:val="00453629"/>
    <w:rsid w:val="00453E02"/>
    <w:rsid w:val="0045415B"/>
    <w:rsid w:val="00454237"/>
    <w:rsid w:val="00454A50"/>
    <w:rsid w:val="00455FCD"/>
    <w:rsid w:val="004560B6"/>
    <w:rsid w:val="004560F1"/>
    <w:rsid w:val="004564F8"/>
    <w:rsid w:val="004568F2"/>
    <w:rsid w:val="00456B2D"/>
    <w:rsid w:val="0045759D"/>
    <w:rsid w:val="00457DA3"/>
    <w:rsid w:val="00457DB5"/>
    <w:rsid w:val="00457F5C"/>
    <w:rsid w:val="00460E9A"/>
    <w:rsid w:val="00460F06"/>
    <w:rsid w:val="00461310"/>
    <w:rsid w:val="004613C4"/>
    <w:rsid w:val="00461A22"/>
    <w:rsid w:val="00462471"/>
    <w:rsid w:val="004625D4"/>
    <w:rsid w:val="00462789"/>
    <w:rsid w:val="00463137"/>
    <w:rsid w:val="004631AB"/>
    <w:rsid w:val="0046348C"/>
    <w:rsid w:val="00463C5E"/>
    <w:rsid w:val="00463DC2"/>
    <w:rsid w:val="00463E59"/>
    <w:rsid w:val="004648F1"/>
    <w:rsid w:val="00464A18"/>
    <w:rsid w:val="004651F7"/>
    <w:rsid w:val="00465862"/>
    <w:rsid w:val="004660D6"/>
    <w:rsid w:val="004662B0"/>
    <w:rsid w:val="0046666C"/>
    <w:rsid w:val="004669C8"/>
    <w:rsid w:val="00466BD0"/>
    <w:rsid w:val="00467712"/>
    <w:rsid w:val="004679F6"/>
    <w:rsid w:val="00467DB1"/>
    <w:rsid w:val="00467E45"/>
    <w:rsid w:val="00467F52"/>
    <w:rsid w:val="0047000C"/>
    <w:rsid w:val="004707B3"/>
    <w:rsid w:val="00470889"/>
    <w:rsid w:val="004708B0"/>
    <w:rsid w:val="00470B23"/>
    <w:rsid w:val="00471730"/>
    <w:rsid w:val="00472120"/>
    <w:rsid w:val="004721EE"/>
    <w:rsid w:val="004729FD"/>
    <w:rsid w:val="00472BA0"/>
    <w:rsid w:val="00473418"/>
    <w:rsid w:val="00473444"/>
    <w:rsid w:val="004739D1"/>
    <w:rsid w:val="00474897"/>
    <w:rsid w:val="00474E5B"/>
    <w:rsid w:val="00475B7C"/>
    <w:rsid w:val="00476441"/>
    <w:rsid w:val="00476781"/>
    <w:rsid w:val="0047687A"/>
    <w:rsid w:val="00476EB8"/>
    <w:rsid w:val="00477013"/>
    <w:rsid w:val="004770C2"/>
    <w:rsid w:val="004777D3"/>
    <w:rsid w:val="00480269"/>
    <w:rsid w:val="00480562"/>
    <w:rsid w:val="00480610"/>
    <w:rsid w:val="00480B35"/>
    <w:rsid w:val="0048108C"/>
    <w:rsid w:val="004810FB"/>
    <w:rsid w:val="0048175F"/>
    <w:rsid w:val="00481E6E"/>
    <w:rsid w:val="00481EB2"/>
    <w:rsid w:val="00482330"/>
    <w:rsid w:val="00482C1F"/>
    <w:rsid w:val="00482DFC"/>
    <w:rsid w:val="00482EC0"/>
    <w:rsid w:val="00483443"/>
    <w:rsid w:val="0048365D"/>
    <w:rsid w:val="004836BB"/>
    <w:rsid w:val="004839A7"/>
    <w:rsid w:val="00483B05"/>
    <w:rsid w:val="00483E12"/>
    <w:rsid w:val="00484081"/>
    <w:rsid w:val="00484165"/>
    <w:rsid w:val="004842F4"/>
    <w:rsid w:val="00484522"/>
    <w:rsid w:val="0048459F"/>
    <w:rsid w:val="00484B48"/>
    <w:rsid w:val="0048531E"/>
    <w:rsid w:val="004857C1"/>
    <w:rsid w:val="004859F2"/>
    <w:rsid w:val="00485B4A"/>
    <w:rsid w:val="00485E3C"/>
    <w:rsid w:val="004861BA"/>
    <w:rsid w:val="00486248"/>
    <w:rsid w:val="004864D3"/>
    <w:rsid w:val="00486A41"/>
    <w:rsid w:val="00486AD5"/>
    <w:rsid w:val="00486FF8"/>
    <w:rsid w:val="00487326"/>
    <w:rsid w:val="00487D6D"/>
    <w:rsid w:val="00490193"/>
    <w:rsid w:val="0049071F"/>
    <w:rsid w:val="00490DA3"/>
    <w:rsid w:val="0049147E"/>
    <w:rsid w:val="00491BF0"/>
    <w:rsid w:val="004924E5"/>
    <w:rsid w:val="0049276B"/>
    <w:rsid w:val="00492854"/>
    <w:rsid w:val="00492C80"/>
    <w:rsid w:val="00493BBA"/>
    <w:rsid w:val="00493DEB"/>
    <w:rsid w:val="00494153"/>
    <w:rsid w:val="00494952"/>
    <w:rsid w:val="004959E2"/>
    <w:rsid w:val="00496997"/>
    <w:rsid w:val="00496C8E"/>
    <w:rsid w:val="0049770E"/>
    <w:rsid w:val="00497AC5"/>
    <w:rsid w:val="004A0BAC"/>
    <w:rsid w:val="004A0BDE"/>
    <w:rsid w:val="004A0D3E"/>
    <w:rsid w:val="004A159B"/>
    <w:rsid w:val="004A25FD"/>
    <w:rsid w:val="004A2603"/>
    <w:rsid w:val="004A26FB"/>
    <w:rsid w:val="004A27E5"/>
    <w:rsid w:val="004A29C2"/>
    <w:rsid w:val="004A3824"/>
    <w:rsid w:val="004A40E2"/>
    <w:rsid w:val="004A4352"/>
    <w:rsid w:val="004A4E72"/>
    <w:rsid w:val="004A4FEC"/>
    <w:rsid w:val="004A558A"/>
    <w:rsid w:val="004A58CB"/>
    <w:rsid w:val="004A5D77"/>
    <w:rsid w:val="004A5DA0"/>
    <w:rsid w:val="004A628C"/>
    <w:rsid w:val="004A6C3D"/>
    <w:rsid w:val="004A74BF"/>
    <w:rsid w:val="004A76A5"/>
    <w:rsid w:val="004A76C6"/>
    <w:rsid w:val="004A76CC"/>
    <w:rsid w:val="004A778D"/>
    <w:rsid w:val="004A7C18"/>
    <w:rsid w:val="004B023B"/>
    <w:rsid w:val="004B0B8D"/>
    <w:rsid w:val="004B0CD7"/>
    <w:rsid w:val="004B1CFB"/>
    <w:rsid w:val="004B2237"/>
    <w:rsid w:val="004B25C6"/>
    <w:rsid w:val="004B2D89"/>
    <w:rsid w:val="004B2F32"/>
    <w:rsid w:val="004B30C3"/>
    <w:rsid w:val="004B311A"/>
    <w:rsid w:val="004B3205"/>
    <w:rsid w:val="004B3335"/>
    <w:rsid w:val="004B348A"/>
    <w:rsid w:val="004B3724"/>
    <w:rsid w:val="004B3C8E"/>
    <w:rsid w:val="004B4092"/>
    <w:rsid w:val="004B40FD"/>
    <w:rsid w:val="004B43EC"/>
    <w:rsid w:val="004B4ACE"/>
    <w:rsid w:val="004B54F0"/>
    <w:rsid w:val="004B5B18"/>
    <w:rsid w:val="004B6157"/>
    <w:rsid w:val="004B6803"/>
    <w:rsid w:val="004B6BE7"/>
    <w:rsid w:val="004B6C0A"/>
    <w:rsid w:val="004B78BB"/>
    <w:rsid w:val="004B7B5C"/>
    <w:rsid w:val="004B7FE4"/>
    <w:rsid w:val="004C01C8"/>
    <w:rsid w:val="004C04EE"/>
    <w:rsid w:val="004C068B"/>
    <w:rsid w:val="004C0D99"/>
    <w:rsid w:val="004C0E50"/>
    <w:rsid w:val="004C0FB6"/>
    <w:rsid w:val="004C1272"/>
    <w:rsid w:val="004C1876"/>
    <w:rsid w:val="004C1A4F"/>
    <w:rsid w:val="004C1E25"/>
    <w:rsid w:val="004C2006"/>
    <w:rsid w:val="004C246E"/>
    <w:rsid w:val="004C287E"/>
    <w:rsid w:val="004C29A2"/>
    <w:rsid w:val="004C2DD4"/>
    <w:rsid w:val="004C2F72"/>
    <w:rsid w:val="004C2FE9"/>
    <w:rsid w:val="004C3CFB"/>
    <w:rsid w:val="004C4040"/>
    <w:rsid w:val="004C41BC"/>
    <w:rsid w:val="004C4506"/>
    <w:rsid w:val="004C5223"/>
    <w:rsid w:val="004C522F"/>
    <w:rsid w:val="004C5920"/>
    <w:rsid w:val="004C5DF6"/>
    <w:rsid w:val="004C6006"/>
    <w:rsid w:val="004C679C"/>
    <w:rsid w:val="004C69FB"/>
    <w:rsid w:val="004C76C3"/>
    <w:rsid w:val="004C78AA"/>
    <w:rsid w:val="004C7C9F"/>
    <w:rsid w:val="004C7F4D"/>
    <w:rsid w:val="004D0162"/>
    <w:rsid w:val="004D01B3"/>
    <w:rsid w:val="004D056F"/>
    <w:rsid w:val="004D0949"/>
    <w:rsid w:val="004D1420"/>
    <w:rsid w:val="004D1788"/>
    <w:rsid w:val="004D17F4"/>
    <w:rsid w:val="004D189D"/>
    <w:rsid w:val="004D22B4"/>
    <w:rsid w:val="004D2891"/>
    <w:rsid w:val="004D3311"/>
    <w:rsid w:val="004D33BF"/>
    <w:rsid w:val="004D3785"/>
    <w:rsid w:val="004D3A90"/>
    <w:rsid w:val="004D3E8B"/>
    <w:rsid w:val="004D4376"/>
    <w:rsid w:val="004D47DC"/>
    <w:rsid w:val="004D5155"/>
    <w:rsid w:val="004D54E8"/>
    <w:rsid w:val="004D5654"/>
    <w:rsid w:val="004D59D9"/>
    <w:rsid w:val="004D686B"/>
    <w:rsid w:val="004D6CE7"/>
    <w:rsid w:val="004D706C"/>
    <w:rsid w:val="004D7402"/>
    <w:rsid w:val="004D7593"/>
    <w:rsid w:val="004D7724"/>
    <w:rsid w:val="004D7991"/>
    <w:rsid w:val="004D7A7A"/>
    <w:rsid w:val="004D7EAC"/>
    <w:rsid w:val="004E00DD"/>
    <w:rsid w:val="004E0225"/>
    <w:rsid w:val="004E071B"/>
    <w:rsid w:val="004E0C96"/>
    <w:rsid w:val="004E100E"/>
    <w:rsid w:val="004E17F5"/>
    <w:rsid w:val="004E2472"/>
    <w:rsid w:val="004E24D9"/>
    <w:rsid w:val="004E24F1"/>
    <w:rsid w:val="004E307D"/>
    <w:rsid w:val="004E360E"/>
    <w:rsid w:val="004E3820"/>
    <w:rsid w:val="004E38CC"/>
    <w:rsid w:val="004E3BAC"/>
    <w:rsid w:val="004E431B"/>
    <w:rsid w:val="004E4719"/>
    <w:rsid w:val="004E497C"/>
    <w:rsid w:val="004E497E"/>
    <w:rsid w:val="004E49C8"/>
    <w:rsid w:val="004E4BA0"/>
    <w:rsid w:val="004E4E40"/>
    <w:rsid w:val="004E5016"/>
    <w:rsid w:val="004E53B4"/>
    <w:rsid w:val="004E54C4"/>
    <w:rsid w:val="004E54CD"/>
    <w:rsid w:val="004E5B6D"/>
    <w:rsid w:val="004E605C"/>
    <w:rsid w:val="004E7697"/>
    <w:rsid w:val="004E78DF"/>
    <w:rsid w:val="004F04BA"/>
    <w:rsid w:val="004F0AA1"/>
    <w:rsid w:val="004F0BE6"/>
    <w:rsid w:val="004F0F4B"/>
    <w:rsid w:val="004F190A"/>
    <w:rsid w:val="004F1B99"/>
    <w:rsid w:val="004F1D54"/>
    <w:rsid w:val="004F23CE"/>
    <w:rsid w:val="004F2ACE"/>
    <w:rsid w:val="004F2C5E"/>
    <w:rsid w:val="004F2F2F"/>
    <w:rsid w:val="004F3B13"/>
    <w:rsid w:val="004F42A1"/>
    <w:rsid w:val="004F4330"/>
    <w:rsid w:val="004F4781"/>
    <w:rsid w:val="004F4E9B"/>
    <w:rsid w:val="004F5425"/>
    <w:rsid w:val="004F545F"/>
    <w:rsid w:val="004F5618"/>
    <w:rsid w:val="004F5754"/>
    <w:rsid w:val="004F5B76"/>
    <w:rsid w:val="004F6096"/>
    <w:rsid w:val="004F6218"/>
    <w:rsid w:val="004F6662"/>
    <w:rsid w:val="004F69B5"/>
    <w:rsid w:val="004F6B82"/>
    <w:rsid w:val="004F72C1"/>
    <w:rsid w:val="004F74BB"/>
    <w:rsid w:val="004F7C4C"/>
    <w:rsid w:val="00500264"/>
    <w:rsid w:val="005006B8"/>
    <w:rsid w:val="00500923"/>
    <w:rsid w:val="00500D6B"/>
    <w:rsid w:val="00500D92"/>
    <w:rsid w:val="00500E8A"/>
    <w:rsid w:val="00500F5B"/>
    <w:rsid w:val="0050159D"/>
    <w:rsid w:val="00501923"/>
    <w:rsid w:val="00501D35"/>
    <w:rsid w:val="00501D68"/>
    <w:rsid w:val="0050205E"/>
    <w:rsid w:val="00502FFA"/>
    <w:rsid w:val="00503224"/>
    <w:rsid w:val="005033B6"/>
    <w:rsid w:val="00503412"/>
    <w:rsid w:val="00503A9A"/>
    <w:rsid w:val="00505243"/>
    <w:rsid w:val="00505350"/>
    <w:rsid w:val="00505480"/>
    <w:rsid w:val="00505526"/>
    <w:rsid w:val="00505B53"/>
    <w:rsid w:val="00505B6A"/>
    <w:rsid w:val="0050678A"/>
    <w:rsid w:val="005069F0"/>
    <w:rsid w:val="00506EA1"/>
    <w:rsid w:val="00507F4D"/>
    <w:rsid w:val="00510A0A"/>
    <w:rsid w:val="00510F47"/>
    <w:rsid w:val="00510FB9"/>
    <w:rsid w:val="0051112A"/>
    <w:rsid w:val="00511346"/>
    <w:rsid w:val="0051195C"/>
    <w:rsid w:val="00511A3B"/>
    <w:rsid w:val="00511A69"/>
    <w:rsid w:val="00511BAD"/>
    <w:rsid w:val="0051212F"/>
    <w:rsid w:val="00512226"/>
    <w:rsid w:val="005122D4"/>
    <w:rsid w:val="0051251E"/>
    <w:rsid w:val="00512D27"/>
    <w:rsid w:val="00512EAF"/>
    <w:rsid w:val="005131C5"/>
    <w:rsid w:val="0051333C"/>
    <w:rsid w:val="00513480"/>
    <w:rsid w:val="0051394F"/>
    <w:rsid w:val="00513A00"/>
    <w:rsid w:val="00513A48"/>
    <w:rsid w:val="00513D08"/>
    <w:rsid w:val="005147C1"/>
    <w:rsid w:val="005149AE"/>
    <w:rsid w:val="00514C04"/>
    <w:rsid w:val="00514C25"/>
    <w:rsid w:val="00514DA3"/>
    <w:rsid w:val="0051595D"/>
    <w:rsid w:val="00515B07"/>
    <w:rsid w:val="00515F49"/>
    <w:rsid w:val="0051612A"/>
    <w:rsid w:val="005162F7"/>
    <w:rsid w:val="005163A3"/>
    <w:rsid w:val="00516D56"/>
    <w:rsid w:val="00516E57"/>
    <w:rsid w:val="00517C56"/>
    <w:rsid w:val="005200A5"/>
    <w:rsid w:val="005203E5"/>
    <w:rsid w:val="005205C7"/>
    <w:rsid w:val="00520BC1"/>
    <w:rsid w:val="00521237"/>
    <w:rsid w:val="005216A0"/>
    <w:rsid w:val="00522179"/>
    <w:rsid w:val="0052344F"/>
    <w:rsid w:val="00523D1B"/>
    <w:rsid w:val="005249E9"/>
    <w:rsid w:val="0052500A"/>
    <w:rsid w:val="0052508F"/>
    <w:rsid w:val="00525254"/>
    <w:rsid w:val="00526597"/>
    <w:rsid w:val="005270B2"/>
    <w:rsid w:val="005300AD"/>
    <w:rsid w:val="00530B42"/>
    <w:rsid w:val="00530DA8"/>
    <w:rsid w:val="00531B19"/>
    <w:rsid w:val="00531C17"/>
    <w:rsid w:val="00531C6C"/>
    <w:rsid w:val="005328D6"/>
    <w:rsid w:val="00532AAA"/>
    <w:rsid w:val="00532B1D"/>
    <w:rsid w:val="00532C32"/>
    <w:rsid w:val="00532F27"/>
    <w:rsid w:val="005334AA"/>
    <w:rsid w:val="005336AF"/>
    <w:rsid w:val="00533B95"/>
    <w:rsid w:val="00533FD6"/>
    <w:rsid w:val="005340C2"/>
    <w:rsid w:val="005343A9"/>
    <w:rsid w:val="00534A97"/>
    <w:rsid w:val="00535411"/>
    <w:rsid w:val="0053546D"/>
    <w:rsid w:val="005354F6"/>
    <w:rsid w:val="005359D2"/>
    <w:rsid w:val="005360CC"/>
    <w:rsid w:val="0053611E"/>
    <w:rsid w:val="00536871"/>
    <w:rsid w:val="00536C8B"/>
    <w:rsid w:val="00536CB1"/>
    <w:rsid w:val="00536EB9"/>
    <w:rsid w:val="00536F26"/>
    <w:rsid w:val="00536FDD"/>
    <w:rsid w:val="005374F4"/>
    <w:rsid w:val="005374FA"/>
    <w:rsid w:val="005377E2"/>
    <w:rsid w:val="0054001C"/>
    <w:rsid w:val="00540D60"/>
    <w:rsid w:val="00541554"/>
    <w:rsid w:val="00541686"/>
    <w:rsid w:val="00541859"/>
    <w:rsid w:val="00541E8D"/>
    <w:rsid w:val="00542127"/>
    <w:rsid w:val="005426E8"/>
    <w:rsid w:val="00542D9F"/>
    <w:rsid w:val="0054342E"/>
    <w:rsid w:val="005437B7"/>
    <w:rsid w:val="00543A0A"/>
    <w:rsid w:val="00543A92"/>
    <w:rsid w:val="0054407D"/>
    <w:rsid w:val="005440B4"/>
    <w:rsid w:val="005440E8"/>
    <w:rsid w:val="0054423D"/>
    <w:rsid w:val="0054441F"/>
    <w:rsid w:val="0054479F"/>
    <w:rsid w:val="0054488D"/>
    <w:rsid w:val="0054497B"/>
    <w:rsid w:val="00544C3B"/>
    <w:rsid w:val="00545396"/>
    <w:rsid w:val="0054597F"/>
    <w:rsid w:val="00545DAC"/>
    <w:rsid w:val="005465BA"/>
    <w:rsid w:val="00546E16"/>
    <w:rsid w:val="00547B9D"/>
    <w:rsid w:val="0055061A"/>
    <w:rsid w:val="00550B61"/>
    <w:rsid w:val="00550EEE"/>
    <w:rsid w:val="0055103A"/>
    <w:rsid w:val="0055209D"/>
    <w:rsid w:val="005523A7"/>
    <w:rsid w:val="005526FD"/>
    <w:rsid w:val="00552A0B"/>
    <w:rsid w:val="00552D2F"/>
    <w:rsid w:val="00552F4D"/>
    <w:rsid w:val="005531F7"/>
    <w:rsid w:val="00553259"/>
    <w:rsid w:val="005532B4"/>
    <w:rsid w:val="005538CD"/>
    <w:rsid w:val="00554013"/>
    <w:rsid w:val="00554181"/>
    <w:rsid w:val="00554368"/>
    <w:rsid w:val="0055440C"/>
    <w:rsid w:val="00554501"/>
    <w:rsid w:val="005548E3"/>
    <w:rsid w:val="00554CF3"/>
    <w:rsid w:val="005550A0"/>
    <w:rsid w:val="005553F9"/>
    <w:rsid w:val="005559B3"/>
    <w:rsid w:val="00556071"/>
    <w:rsid w:val="00556561"/>
    <w:rsid w:val="005576E8"/>
    <w:rsid w:val="00560C65"/>
    <w:rsid w:val="00560DAF"/>
    <w:rsid w:val="0056113D"/>
    <w:rsid w:val="005613D0"/>
    <w:rsid w:val="0056142D"/>
    <w:rsid w:val="00561E26"/>
    <w:rsid w:val="00562F04"/>
    <w:rsid w:val="00563742"/>
    <w:rsid w:val="00563938"/>
    <w:rsid w:val="00563F10"/>
    <w:rsid w:val="005641D2"/>
    <w:rsid w:val="00564384"/>
    <w:rsid w:val="00564A10"/>
    <w:rsid w:val="00564CE8"/>
    <w:rsid w:val="00564DF3"/>
    <w:rsid w:val="00565185"/>
    <w:rsid w:val="00565C5A"/>
    <w:rsid w:val="00565CA8"/>
    <w:rsid w:val="0056608D"/>
    <w:rsid w:val="005662E8"/>
    <w:rsid w:val="00566A76"/>
    <w:rsid w:val="00566B0F"/>
    <w:rsid w:val="005672A4"/>
    <w:rsid w:val="005672BC"/>
    <w:rsid w:val="00567653"/>
    <w:rsid w:val="005679CB"/>
    <w:rsid w:val="005701D8"/>
    <w:rsid w:val="0057031E"/>
    <w:rsid w:val="005703AD"/>
    <w:rsid w:val="00570562"/>
    <w:rsid w:val="00572811"/>
    <w:rsid w:val="00572894"/>
    <w:rsid w:val="0057330E"/>
    <w:rsid w:val="0057342C"/>
    <w:rsid w:val="005734B8"/>
    <w:rsid w:val="0057381B"/>
    <w:rsid w:val="00574004"/>
    <w:rsid w:val="0057431C"/>
    <w:rsid w:val="00575997"/>
    <w:rsid w:val="005764A0"/>
    <w:rsid w:val="005766A9"/>
    <w:rsid w:val="00576FC4"/>
    <w:rsid w:val="00576FF8"/>
    <w:rsid w:val="005770F4"/>
    <w:rsid w:val="00577D23"/>
    <w:rsid w:val="00577D31"/>
    <w:rsid w:val="0058043F"/>
    <w:rsid w:val="00580A08"/>
    <w:rsid w:val="00580D7A"/>
    <w:rsid w:val="00580E49"/>
    <w:rsid w:val="00581568"/>
    <w:rsid w:val="00581586"/>
    <w:rsid w:val="0058198B"/>
    <w:rsid w:val="00581ABD"/>
    <w:rsid w:val="00581CB3"/>
    <w:rsid w:val="00581E70"/>
    <w:rsid w:val="005821A5"/>
    <w:rsid w:val="0058251D"/>
    <w:rsid w:val="0058286C"/>
    <w:rsid w:val="005832D4"/>
    <w:rsid w:val="005834FE"/>
    <w:rsid w:val="00583751"/>
    <w:rsid w:val="00583AA3"/>
    <w:rsid w:val="00584537"/>
    <w:rsid w:val="00584D5A"/>
    <w:rsid w:val="00584DA9"/>
    <w:rsid w:val="0058529C"/>
    <w:rsid w:val="0058681F"/>
    <w:rsid w:val="00587379"/>
    <w:rsid w:val="005875CA"/>
    <w:rsid w:val="00587C32"/>
    <w:rsid w:val="00587E07"/>
    <w:rsid w:val="005904A1"/>
    <w:rsid w:val="00590775"/>
    <w:rsid w:val="00590A29"/>
    <w:rsid w:val="00590CBA"/>
    <w:rsid w:val="00590E11"/>
    <w:rsid w:val="00591BC9"/>
    <w:rsid w:val="00591E6D"/>
    <w:rsid w:val="00591EEA"/>
    <w:rsid w:val="00592B49"/>
    <w:rsid w:val="0059349C"/>
    <w:rsid w:val="005934A1"/>
    <w:rsid w:val="00593FCB"/>
    <w:rsid w:val="00594337"/>
    <w:rsid w:val="00594886"/>
    <w:rsid w:val="005954F8"/>
    <w:rsid w:val="005958BD"/>
    <w:rsid w:val="00595956"/>
    <w:rsid w:val="005962CE"/>
    <w:rsid w:val="00596640"/>
    <w:rsid w:val="00596B27"/>
    <w:rsid w:val="00596C74"/>
    <w:rsid w:val="00597233"/>
    <w:rsid w:val="005974EF"/>
    <w:rsid w:val="005A0025"/>
    <w:rsid w:val="005A032B"/>
    <w:rsid w:val="005A0F12"/>
    <w:rsid w:val="005A1021"/>
    <w:rsid w:val="005A1918"/>
    <w:rsid w:val="005A1994"/>
    <w:rsid w:val="005A1FAF"/>
    <w:rsid w:val="005A26FA"/>
    <w:rsid w:val="005A2C78"/>
    <w:rsid w:val="005A3A6B"/>
    <w:rsid w:val="005A411D"/>
    <w:rsid w:val="005A421A"/>
    <w:rsid w:val="005A45F7"/>
    <w:rsid w:val="005A52AC"/>
    <w:rsid w:val="005A54C0"/>
    <w:rsid w:val="005A5A15"/>
    <w:rsid w:val="005A5A5E"/>
    <w:rsid w:val="005A5BBA"/>
    <w:rsid w:val="005A5FB4"/>
    <w:rsid w:val="005A683F"/>
    <w:rsid w:val="005A6AE7"/>
    <w:rsid w:val="005A731F"/>
    <w:rsid w:val="005A7552"/>
    <w:rsid w:val="005B0479"/>
    <w:rsid w:val="005B0C78"/>
    <w:rsid w:val="005B0E04"/>
    <w:rsid w:val="005B0F44"/>
    <w:rsid w:val="005B1003"/>
    <w:rsid w:val="005B12B0"/>
    <w:rsid w:val="005B1626"/>
    <w:rsid w:val="005B194C"/>
    <w:rsid w:val="005B1DE5"/>
    <w:rsid w:val="005B23C8"/>
    <w:rsid w:val="005B2766"/>
    <w:rsid w:val="005B2861"/>
    <w:rsid w:val="005B2878"/>
    <w:rsid w:val="005B2938"/>
    <w:rsid w:val="005B2F83"/>
    <w:rsid w:val="005B32B4"/>
    <w:rsid w:val="005B34E4"/>
    <w:rsid w:val="005B3907"/>
    <w:rsid w:val="005B3AFB"/>
    <w:rsid w:val="005B4CAD"/>
    <w:rsid w:val="005B527C"/>
    <w:rsid w:val="005B538B"/>
    <w:rsid w:val="005B5514"/>
    <w:rsid w:val="005B5978"/>
    <w:rsid w:val="005B624E"/>
    <w:rsid w:val="005B6BF3"/>
    <w:rsid w:val="005B6CD4"/>
    <w:rsid w:val="005B7262"/>
    <w:rsid w:val="005B7485"/>
    <w:rsid w:val="005B7759"/>
    <w:rsid w:val="005B7907"/>
    <w:rsid w:val="005B7BA4"/>
    <w:rsid w:val="005C0230"/>
    <w:rsid w:val="005C089C"/>
    <w:rsid w:val="005C0D38"/>
    <w:rsid w:val="005C14A3"/>
    <w:rsid w:val="005C1547"/>
    <w:rsid w:val="005C1588"/>
    <w:rsid w:val="005C1F22"/>
    <w:rsid w:val="005C2425"/>
    <w:rsid w:val="005C2F76"/>
    <w:rsid w:val="005C2FAF"/>
    <w:rsid w:val="005C38F3"/>
    <w:rsid w:val="005C3A05"/>
    <w:rsid w:val="005C3D1C"/>
    <w:rsid w:val="005C3E5C"/>
    <w:rsid w:val="005C3FF9"/>
    <w:rsid w:val="005C4011"/>
    <w:rsid w:val="005C4068"/>
    <w:rsid w:val="005C40D4"/>
    <w:rsid w:val="005C4A94"/>
    <w:rsid w:val="005C4EC7"/>
    <w:rsid w:val="005C5A8E"/>
    <w:rsid w:val="005C5D59"/>
    <w:rsid w:val="005C6186"/>
    <w:rsid w:val="005C6230"/>
    <w:rsid w:val="005C6D54"/>
    <w:rsid w:val="005C7C81"/>
    <w:rsid w:val="005C7CAE"/>
    <w:rsid w:val="005D0718"/>
    <w:rsid w:val="005D0A63"/>
    <w:rsid w:val="005D0C7D"/>
    <w:rsid w:val="005D110C"/>
    <w:rsid w:val="005D14F6"/>
    <w:rsid w:val="005D1833"/>
    <w:rsid w:val="005D1F39"/>
    <w:rsid w:val="005D2321"/>
    <w:rsid w:val="005D232D"/>
    <w:rsid w:val="005D2831"/>
    <w:rsid w:val="005D28EC"/>
    <w:rsid w:val="005D37AF"/>
    <w:rsid w:val="005D3E1B"/>
    <w:rsid w:val="005D3EE0"/>
    <w:rsid w:val="005D4D2D"/>
    <w:rsid w:val="005D50FA"/>
    <w:rsid w:val="005D54B5"/>
    <w:rsid w:val="005D5616"/>
    <w:rsid w:val="005D5657"/>
    <w:rsid w:val="005D5707"/>
    <w:rsid w:val="005D5708"/>
    <w:rsid w:val="005D5934"/>
    <w:rsid w:val="005D5B78"/>
    <w:rsid w:val="005D61BF"/>
    <w:rsid w:val="005D642D"/>
    <w:rsid w:val="005D66F2"/>
    <w:rsid w:val="005D68AB"/>
    <w:rsid w:val="005D6BA6"/>
    <w:rsid w:val="005D6D3D"/>
    <w:rsid w:val="005D6E52"/>
    <w:rsid w:val="005D79AA"/>
    <w:rsid w:val="005E03CB"/>
    <w:rsid w:val="005E0400"/>
    <w:rsid w:val="005E0F62"/>
    <w:rsid w:val="005E0FB8"/>
    <w:rsid w:val="005E149D"/>
    <w:rsid w:val="005E2117"/>
    <w:rsid w:val="005E2BD1"/>
    <w:rsid w:val="005E2E39"/>
    <w:rsid w:val="005E2F09"/>
    <w:rsid w:val="005E3DDC"/>
    <w:rsid w:val="005E4019"/>
    <w:rsid w:val="005E4275"/>
    <w:rsid w:val="005E4446"/>
    <w:rsid w:val="005E45B3"/>
    <w:rsid w:val="005E4AD6"/>
    <w:rsid w:val="005E51D4"/>
    <w:rsid w:val="005E55BB"/>
    <w:rsid w:val="005E5773"/>
    <w:rsid w:val="005E5C1D"/>
    <w:rsid w:val="005E6010"/>
    <w:rsid w:val="005E695A"/>
    <w:rsid w:val="005E6BA2"/>
    <w:rsid w:val="005E7F31"/>
    <w:rsid w:val="005E7F58"/>
    <w:rsid w:val="005F011A"/>
    <w:rsid w:val="005F03D4"/>
    <w:rsid w:val="005F08B0"/>
    <w:rsid w:val="005F0DA0"/>
    <w:rsid w:val="005F0E5C"/>
    <w:rsid w:val="005F105A"/>
    <w:rsid w:val="005F1710"/>
    <w:rsid w:val="005F2230"/>
    <w:rsid w:val="005F2256"/>
    <w:rsid w:val="005F257B"/>
    <w:rsid w:val="005F2ED9"/>
    <w:rsid w:val="005F31A8"/>
    <w:rsid w:val="005F3240"/>
    <w:rsid w:val="005F3792"/>
    <w:rsid w:val="005F3B45"/>
    <w:rsid w:val="005F4404"/>
    <w:rsid w:val="005F46C4"/>
    <w:rsid w:val="005F4E30"/>
    <w:rsid w:val="005F518A"/>
    <w:rsid w:val="005F5B59"/>
    <w:rsid w:val="005F66D6"/>
    <w:rsid w:val="005F71E9"/>
    <w:rsid w:val="005F7627"/>
    <w:rsid w:val="005F7BB5"/>
    <w:rsid w:val="005F7EC8"/>
    <w:rsid w:val="0060029F"/>
    <w:rsid w:val="00600409"/>
    <w:rsid w:val="0060092A"/>
    <w:rsid w:val="00600EB9"/>
    <w:rsid w:val="00600EEE"/>
    <w:rsid w:val="00600FD6"/>
    <w:rsid w:val="00601D78"/>
    <w:rsid w:val="00601D92"/>
    <w:rsid w:val="00602DAC"/>
    <w:rsid w:val="006039F1"/>
    <w:rsid w:val="00603BAE"/>
    <w:rsid w:val="006043D4"/>
    <w:rsid w:val="006046AE"/>
    <w:rsid w:val="00604769"/>
    <w:rsid w:val="00604B54"/>
    <w:rsid w:val="00604C9F"/>
    <w:rsid w:val="00604DA9"/>
    <w:rsid w:val="00604DB4"/>
    <w:rsid w:val="00605A16"/>
    <w:rsid w:val="006062A5"/>
    <w:rsid w:val="006067A9"/>
    <w:rsid w:val="00606DA8"/>
    <w:rsid w:val="00607630"/>
    <w:rsid w:val="00607974"/>
    <w:rsid w:val="006112FE"/>
    <w:rsid w:val="006118C3"/>
    <w:rsid w:val="00612056"/>
    <w:rsid w:val="00612829"/>
    <w:rsid w:val="00612D85"/>
    <w:rsid w:val="00613064"/>
    <w:rsid w:val="00613265"/>
    <w:rsid w:val="00613282"/>
    <w:rsid w:val="00613301"/>
    <w:rsid w:val="00614024"/>
    <w:rsid w:val="00614027"/>
    <w:rsid w:val="00614583"/>
    <w:rsid w:val="00614706"/>
    <w:rsid w:val="00614707"/>
    <w:rsid w:val="0061473E"/>
    <w:rsid w:val="006149DE"/>
    <w:rsid w:val="006156D7"/>
    <w:rsid w:val="006159B3"/>
    <w:rsid w:val="00615BA6"/>
    <w:rsid w:val="00615F7C"/>
    <w:rsid w:val="00616488"/>
    <w:rsid w:val="006168F5"/>
    <w:rsid w:val="00616A93"/>
    <w:rsid w:val="00617575"/>
    <w:rsid w:val="00617990"/>
    <w:rsid w:val="00620765"/>
    <w:rsid w:val="00620A51"/>
    <w:rsid w:val="00621571"/>
    <w:rsid w:val="00621668"/>
    <w:rsid w:val="006216E9"/>
    <w:rsid w:val="00621D69"/>
    <w:rsid w:val="00621EB9"/>
    <w:rsid w:val="00622051"/>
    <w:rsid w:val="006221D5"/>
    <w:rsid w:val="0062269A"/>
    <w:rsid w:val="006226D7"/>
    <w:rsid w:val="006229DA"/>
    <w:rsid w:val="0062332C"/>
    <w:rsid w:val="00623367"/>
    <w:rsid w:val="00623377"/>
    <w:rsid w:val="0062387B"/>
    <w:rsid w:val="00623C01"/>
    <w:rsid w:val="00624A59"/>
    <w:rsid w:val="006250A9"/>
    <w:rsid w:val="00625E1C"/>
    <w:rsid w:val="00626163"/>
    <w:rsid w:val="00626598"/>
    <w:rsid w:val="006266BB"/>
    <w:rsid w:val="006267C1"/>
    <w:rsid w:val="0062682D"/>
    <w:rsid w:val="006279F5"/>
    <w:rsid w:val="006302F3"/>
    <w:rsid w:val="00630D7B"/>
    <w:rsid w:val="00631968"/>
    <w:rsid w:val="0063207A"/>
    <w:rsid w:val="006321C7"/>
    <w:rsid w:val="00632572"/>
    <w:rsid w:val="00633215"/>
    <w:rsid w:val="006337F2"/>
    <w:rsid w:val="0063392C"/>
    <w:rsid w:val="00633B28"/>
    <w:rsid w:val="00634529"/>
    <w:rsid w:val="0063456F"/>
    <w:rsid w:val="0063473C"/>
    <w:rsid w:val="0063503A"/>
    <w:rsid w:val="006355D0"/>
    <w:rsid w:val="00635B8D"/>
    <w:rsid w:val="00635C4A"/>
    <w:rsid w:val="00635D0C"/>
    <w:rsid w:val="00635E11"/>
    <w:rsid w:val="00635ED4"/>
    <w:rsid w:val="006362F4"/>
    <w:rsid w:val="006364BA"/>
    <w:rsid w:val="006365F5"/>
    <w:rsid w:val="00636744"/>
    <w:rsid w:val="00636847"/>
    <w:rsid w:val="00636A68"/>
    <w:rsid w:val="00636C37"/>
    <w:rsid w:val="006404A1"/>
    <w:rsid w:val="00640A0E"/>
    <w:rsid w:val="00640F01"/>
    <w:rsid w:val="006411A9"/>
    <w:rsid w:val="00641631"/>
    <w:rsid w:val="00641AD3"/>
    <w:rsid w:val="00641CB5"/>
    <w:rsid w:val="0064268C"/>
    <w:rsid w:val="00642713"/>
    <w:rsid w:val="00642F3A"/>
    <w:rsid w:val="00643CDF"/>
    <w:rsid w:val="00643E14"/>
    <w:rsid w:val="00644A96"/>
    <w:rsid w:val="00644BC4"/>
    <w:rsid w:val="006450CB"/>
    <w:rsid w:val="00645334"/>
    <w:rsid w:val="006455AA"/>
    <w:rsid w:val="006460DD"/>
    <w:rsid w:val="006464B9"/>
    <w:rsid w:val="00646869"/>
    <w:rsid w:val="006468C2"/>
    <w:rsid w:val="00646B70"/>
    <w:rsid w:val="00646BEE"/>
    <w:rsid w:val="00646C40"/>
    <w:rsid w:val="00646E82"/>
    <w:rsid w:val="0064724B"/>
    <w:rsid w:val="006476A3"/>
    <w:rsid w:val="00650628"/>
    <w:rsid w:val="006506C0"/>
    <w:rsid w:val="00651826"/>
    <w:rsid w:val="00651E6E"/>
    <w:rsid w:val="00652245"/>
    <w:rsid w:val="00652784"/>
    <w:rsid w:val="00652BCF"/>
    <w:rsid w:val="00652C1D"/>
    <w:rsid w:val="00653206"/>
    <w:rsid w:val="00653CE4"/>
    <w:rsid w:val="00654059"/>
    <w:rsid w:val="006543AA"/>
    <w:rsid w:val="0065457F"/>
    <w:rsid w:val="006547B2"/>
    <w:rsid w:val="00654D5D"/>
    <w:rsid w:val="00655258"/>
    <w:rsid w:val="006552F5"/>
    <w:rsid w:val="0065614C"/>
    <w:rsid w:val="00656610"/>
    <w:rsid w:val="00657178"/>
    <w:rsid w:val="00657DE8"/>
    <w:rsid w:val="00660008"/>
    <w:rsid w:val="00660188"/>
    <w:rsid w:val="00660803"/>
    <w:rsid w:val="00660876"/>
    <w:rsid w:val="00660AF9"/>
    <w:rsid w:val="00660DDA"/>
    <w:rsid w:val="00661335"/>
    <w:rsid w:val="00661844"/>
    <w:rsid w:val="00661BFB"/>
    <w:rsid w:val="006623D6"/>
    <w:rsid w:val="006627C6"/>
    <w:rsid w:val="00662F41"/>
    <w:rsid w:val="00663673"/>
    <w:rsid w:val="006637C0"/>
    <w:rsid w:val="00663DE8"/>
    <w:rsid w:val="00664365"/>
    <w:rsid w:val="006645F9"/>
    <w:rsid w:val="00664646"/>
    <w:rsid w:val="00664D27"/>
    <w:rsid w:val="006651AD"/>
    <w:rsid w:val="00665D58"/>
    <w:rsid w:val="00666206"/>
    <w:rsid w:val="006662D5"/>
    <w:rsid w:val="006664C4"/>
    <w:rsid w:val="0066657D"/>
    <w:rsid w:val="00666B39"/>
    <w:rsid w:val="0066784C"/>
    <w:rsid w:val="0066785A"/>
    <w:rsid w:val="0066794C"/>
    <w:rsid w:val="00667993"/>
    <w:rsid w:val="0067034B"/>
    <w:rsid w:val="006706C3"/>
    <w:rsid w:val="00670746"/>
    <w:rsid w:val="00670895"/>
    <w:rsid w:val="0067104F"/>
    <w:rsid w:val="0067198C"/>
    <w:rsid w:val="00671ADB"/>
    <w:rsid w:val="00671B5E"/>
    <w:rsid w:val="00671C22"/>
    <w:rsid w:val="0067203F"/>
    <w:rsid w:val="006728FC"/>
    <w:rsid w:val="00673CAA"/>
    <w:rsid w:val="00673F2C"/>
    <w:rsid w:val="006740F7"/>
    <w:rsid w:val="00674AA4"/>
    <w:rsid w:val="00674BE1"/>
    <w:rsid w:val="00674D73"/>
    <w:rsid w:val="00675266"/>
    <w:rsid w:val="00675AA4"/>
    <w:rsid w:val="00675C7A"/>
    <w:rsid w:val="0067663C"/>
    <w:rsid w:val="00676C52"/>
    <w:rsid w:val="00676CDA"/>
    <w:rsid w:val="0067707E"/>
    <w:rsid w:val="0067784D"/>
    <w:rsid w:val="00680D8F"/>
    <w:rsid w:val="0068128D"/>
    <w:rsid w:val="00681B78"/>
    <w:rsid w:val="00681CF4"/>
    <w:rsid w:val="00681E91"/>
    <w:rsid w:val="00682447"/>
    <w:rsid w:val="00682880"/>
    <w:rsid w:val="006828D8"/>
    <w:rsid w:val="00683193"/>
    <w:rsid w:val="00683A28"/>
    <w:rsid w:val="00683E4A"/>
    <w:rsid w:val="0068410C"/>
    <w:rsid w:val="00684D18"/>
    <w:rsid w:val="0068538A"/>
    <w:rsid w:val="0068538E"/>
    <w:rsid w:val="00685528"/>
    <w:rsid w:val="0068603A"/>
    <w:rsid w:val="0068607D"/>
    <w:rsid w:val="006866BD"/>
    <w:rsid w:val="00686CE7"/>
    <w:rsid w:val="00686F27"/>
    <w:rsid w:val="00687163"/>
    <w:rsid w:val="006879F2"/>
    <w:rsid w:val="00687F66"/>
    <w:rsid w:val="00690237"/>
    <w:rsid w:val="00690948"/>
    <w:rsid w:val="00690EC2"/>
    <w:rsid w:val="00691ECA"/>
    <w:rsid w:val="00691F9E"/>
    <w:rsid w:val="006926B8"/>
    <w:rsid w:val="00692B3B"/>
    <w:rsid w:val="00692C8C"/>
    <w:rsid w:val="00692FCB"/>
    <w:rsid w:val="006934F1"/>
    <w:rsid w:val="00693791"/>
    <w:rsid w:val="00693BA4"/>
    <w:rsid w:val="00693BEE"/>
    <w:rsid w:val="00693D73"/>
    <w:rsid w:val="006954D1"/>
    <w:rsid w:val="00695781"/>
    <w:rsid w:val="006964DD"/>
    <w:rsid w:val="00696586"/>
    <w:rsid w:val="0069666B"/>
    <w:rsid w:val="00696861"/>
    <w:rsid w:val="00696AB8"/>
    <w:rsid w:val="00696B34"/>
    <w:rsid w:val="00696D24"/>
    <w:rsid w:val="00697096"/>
    <w:rsid w:val="00697588"/>
    <w:rsid w:val="00697DA6"/>
    <w:rsid w:val="00697DAF"/>
    <w:rsid w:val="006A0315"/>
    <w:rsid w:val="006A051E"/>
    <w:rsid w:val="006A0E1D"/>
    <w:rsid w:val="006A11A0"/>
    <w:rsid w:val="006A1630"/>
    <w:rsid w:val="006A1E7C"/>
    <w:rsid w:val="006A2D51"/>
    <w:rsid w:val="006A2E1E"/>
    <w:rsid w:val="006A38E9"/>
    <w:rsid w:val="006A3BD0"/>
    <w:rsid w:val="006A3C53"/>
    <w:rsid w:val="006A3DC1"/>
    <w:rsid w:val="006A3E7F"/>
    <w:rsid w:val="006A4787"/>
    <w:rsid w:val="006A50C4"/>
    <w:rsid w:val="006A556B"/>
    <w:rsid w:val="006A60AF"/>
    <w:rsid w:val="006A727F"/>
    <w:rsid w:val="006A74AE"/>
    <w:rsid w:val="006A7AE8"/>
    <w:rsid w:val="006A7BD1"/>
    <w:rsid w:val="006B09C6"/>
    <w:rsid w:val="006B1373"/>
    <w:rsid w:val="006B14D1"/>
    <w:rsid w:val="006B1DF4"/>
    <w:rsid w:val="006B1E9A"/>
    <w:rsid w:val="006B2027"/>
    <w:rsid w:val="006B236C"/>
    <w:rsid w:val="006B23C6"/>
    <w:rsid w:val="006B256D"/>
    <w:rsid w:val="006B277A"/>
    <w:rsid w:val="006B2EB7"/>
    <w:rsid w:val="006B3E92"/>
    <w:rsid w:val="006B3F34"/>
    <w:rsid w:val="006B4964"/>
    <w:rsid w:val="006B4C6A"/>
    <w:rsid w:val="006B4DB6"/>
    <w:rsid w:val="006B4E1A"/>
    <w:rsid w:val="006B577B"/>
    <w:rsid w:val="006B5EB5"/>
    <w:rsid w:val="006B61AA"/>
    <w:rsid w:val="006B66A8"/>
    <w:rsid w:val="006B676A"/>
    <w:rsid w:val="006B6F56"/>
    <w:rsid w:val="006B6FCC"/>
    <w:rsid w:val="006B7D5B"/>
    <w:rsid w:val="006C01FA"/>
    <w:rsid w:val="006C03C3"/>
    <w:rsid w:val="006C05AF"/>
    <w:rsid w:val="006C0888"/>
    <w:rsid w:val="006C0B03"/>
    <w:rsid w:val="006C14DE"/>
    <w:rsid w:val="006C167C"/>
    <w:rsid w:val="006C17B7"/>
    <w:rsid w:val="006C17D8"/>
    <w:rsid w:val="006C1A69"/>
    <w:rsid w:val="006C1B8F"/>
    <w:rsid w:val="006C3142"/>
    <w:rsid w:val="006C3CCE"/>
    <w:rsid w:val="006C3FEA"/>
    <w:rsid w:val="006C463E"/>
    <w:rsid w:val="006C4BC1"/>
    <w:rsid w:val="006C4E95"/>
    <w:rsid w:val="006C51D3"/>
    <w:rsid w:val="006C5590"/>
    <w:rsid w:val="006C5845"/>
    <w:rsid w:val="006C5A25"/>
    <w:rsid w:val="006C5C0E"/>
    <w:rsid w:val="006C5E3B"/>
    <w:rsid w:val="006C61FE"/>
    <w:rsid w:val="006C6254"/>
    <w:rsid w:val="006C66E6"/>
    <w:rsid w:val="006C6AEB"/>
    <w:rsid w:val="006C6D1A"/>
    <w:rsid w:val="006C7468"/>
    <w:rsid w:val="006C770B"/>
    <w:rsid w:val="006C77D9"/>
    <w:rsid w:val="006C79AB"/>
    <w:rsid w:val="006C79F3"/>
    <w:rsid w:val="006C7A4D"/>
    <w:rsid w:val="006D01F6"/>
    <w:rsid w:val="006D1AF5"/>
    <w:rsid w:val="006D1F41"/>
    <w:rsid w:val="006D1FD7"/>
    <w:rsid w:val="006D238E"/>
    <w:rsid w:val="006D27B1"/>
    <w:rsid w:val="006D29DF"/>
    <w:rsid w:val="006D2BD8"/>
    <w:rsid w:val="006D2D72"/>
    <w:rsid w:val="006D388C"/>
    <w:rsid w:val="006D3E6F"/>
    <w:rsid w:val="006D42A2"/>
    <w:rsid w:val="006D443B"/>
    <w:rsid w:val="006D4449"/>
    <w:rsid w:val="006D4E4D"/>
    <w:rsid w:val="006D53C6"/>
    <w:rsid w:val="006D54DF"/>
    <w:rsid w:val="006D70C8"/>
    <w:rsid w:val="006D7512"/>
    <w:rsid w:val="006D796C"/>
    <w:rsid w:val="006D7CD8"/>
    <w:rsid w:val="006E01C6"/>
    <w:rsid w:val="006E0A5C"/>
    <w:rsid w:val="006E0BD2"/>
    <w:rsid w:val="006E1162"/>
    <w:rsid w:val="006E1B27"/>
    <w:rsid w:val="006E1E34"/>
    <w:rsid w:val="006E244E"/>
    <w:rsid w:val="006E265F"/>
    <w:rsid w:val="006E2F59"/>
    <w:rsid w:val="006E30C3"/>
    <w:rsid w:val="006E32F3"/>
    <w:rsid w:val="006E33DA"/>
    <w:rsid w:val="006E343C"/>
    <w:rsid w:val="006E37A4"/>
    <w:rsid w:val="006E3A22"/>
    <w:rsid w:val="006E431F"/>
    <w:rsid w:val="006E45D6"/>
    <w:rsid w:val="006E4AE7"/>
    <w:rsid w:val="006E53C4"/>
    <w:rsid w:val="006E587F"/>
    <w:rsid w:val="006E5F1B"/>
    <w:rsid w:val="006E5F55"/>
    <w:rsid w:val="006E6A54"/>
    <w:rsid w:val="006E6A80"/>
    <w:rsid w:val="006E7103"/>
    <w:rsid w:val="006E7992"/>
    <w:rsid w:val="006E7C9D"/>
    <w:rsid w:val="006F10E0"/>
    <w:rsid w:val="006F139A"/>
    <w:rsid w:val="006F14ED"/>
    <w:rsid w:val="006F16D8"/>
    <w:rsid w:val="006F19A6"/>
    <w:rsid w:val="006F19C1"/>
    <w:rsid w:val="006F1F27"/>
    <w:rsid w:val="006F2446"/>
    <w:rsid w:val="006F2A3B"/>
    <w:rsid w:val="006F2D6A"/>
    <w:rsid w:val="006F2EC1"/>
    <w:rsid w:val="006F39B6"/>
    <w:rsid w:val="006F3A43"/>
    <w:rsid w:val="006F46DB"/>
    <w:rsid w:val="006F5437"/>
    <w:rsid w:val="006F5E23"/>
    <w:rsid w:val="006F5F35"/>
    <w:rsid w:val="006F610A"/>
    <w:rsid w:val="006F628E"/>
    <w:rsid w:val="006F681D"/>
    <w:rsid w:val="006F693F"/>
    <w:rsid w:val="006F7706"/>
    <w:rsid w:val="006F7BFB"/>
    <w:rsid w:val="007005AA"/>
    <w:rsid w:val="00700B41"/>
    <w:rsid w:val="00700C9C"/>
    <w:rsid w:val="00700CCF"/>
    <w:rsid w:val="00700EBF"/>
    <w:rsid w:val="0070130F"/>
    <w:rsid w:val="00701FF8"/>
    <w:rsid w:val="00702142"/>
    <w:rsid w:val="007023BB"/>
    <w:rsid w:val="00702637"/>
    <w:rsid w:val="007029C7"/>
    <w:rsid w:val="00703387"/>
    <w:rsid w:val="007037C3"/>
    <w:rsid w:val="00703BDC"/>
    <w:rsid w:val="007040C0"/>
    <w:rsid w:val="00704261"/>
    <w:rsid w:val="0070439B"/>
    <w:rsid w:val="007045DA"/>
    <w:rsid w:val="00704C86"/>
    <w:rsid w:val="00705698"/>
    <w:rsid w:val="0070582A"/>
    <w:rsid w:val="007070C5"/>
    <w:rsid w:val="007071C7"/>
    <w:rsid w:val="007102E3"/>
    <w:rsid w:val="00710BD8"/>
    <w:rsid w:val="00711AE7"/>
    <w:rsid w:val="00711B47"/>
    <w:rsid w:val="00711EB4"/>
    <w:rsid w:val="00712799"/>
    <w:rsid w:val="007127CD"/>
    <w:rsid w:val="00713179"/>
    <w:rsid w:val="007131DF"/>
    <w:rsid w:val="007131FB"/>
    <w:rsid w:val="00714829"/>
    <w:rsid w:val="00714F7F"/>
    <w:rsid w:val="0071585C"/>
    <w:rsid w:val="00715BE9"/>
    <w:rsid w:val="00716081"/>
    <w:rsid w:val="0071620B"/>
    <w:rsid w:val="00716351"/>
    <w:rsid w:val="00716489"/>
    <w:rsid w:val="00716A5C"/>
    <w:rsid w:val="00716B3C"/>
    <w:rsid w:val="00717001"/>
    <w:rsid w:val="00717023"/>
    <w:rsid w:val="007172AB"/>
    <w:rsid w:val="0071732A"/>
    <w:rsid w:val="00717490"/>
    <w:rsid w:val="0071789D"/>
    <w:rsid w:val="00717F57"/>
    <w:rsid w:val="007207D3"/>
    <w:rsid w:val="00720A9B"/>
    <w:rsid w:val="00720DB2"/>
    <w:rsid w:val="00721672"/>
    <w:rsid w:val="00721D03"/>
    <w:rsid w:val="00721D8C"/>
    <w:rsid w:val="007225B3"/>
    <w:rsid w:val="007228DD"/>
    <w:rsid w:val="00722F71"/>
    <w:rsid w:val="007230E7"/>
    <w:rsid w:val="007231EC"/>
    <w:rsid w:val="0072337D"/>
    <w:rsid w:val="00723803"/>
    <w:rsid w:val="00723A61"/>
    <w:rsid w:val="00723DCB"/>
    <w:rsid w:val="00724094"/>
    <w:rsid w:val="00724102"/>
    <w:rsid w:val="0072426E"/>
    <w:rsid w:val="00724335"/>
    <w:rsid w:val="00724727"/>
    <w:rsid w:val="00724D7A"/>
    <w:rsid w:val="00724F64"/>
    <w:rsid w:val="007253EC"/>
    <w:rsid w:val="007258A5"/>
    <w:rsid w:val="00725DC3"/>
    <w:rsid w:val="00725F23"/>
    <w:rsid w:val="00726175"/>
    <w:rsid w:val="00726612"/>
    <w:rsid w:val="00726D74"/>
    <w:rsid w:val="007270BC"/>
    <w:rsid w:val="00727333"/>
    <w:rsid w:val="007274E6"/>
    <w:rsid w:val="00727794"/>
    <w:rsid w:val="00727A08"/>
    <w:rsid w:val="00727B0F"/>
    <w:rsid w:val="00727BBC"/>
    <w:rsid w:val="007303BA"/>
    <w:rsid w:val="00730B61"/>
    <w:rsid w:val="00730CDE"/>
    <w:rsid w:val="00732085"/>
    <w:rsid w:val="00732813"/>
    <w:rsid w:val="007328DC"/>
    <w:rsid w:val="00732B92"/>
    <w:rsid w:val="00732FE4"/>
    <w:rsid w:val="0073310D"/>
    <w:rsid w:val="00733113"/>
    <w:rsid w:val="00733B07"/>
    <w:rsid w:val="00733D2A"/>
    <w:rsid w:val="00734212"/>
    <w:rsid w:val="007347A2"/>
    <w:rsid w:val="0073498C"/>
    <w:rsid w:val="00734B1A"/>
    <w:rsid w:val="00734F5A"/>
    <w:rsid w:val="007354C3"/>
    <w:rsid w:val="00736226"/>
    <w:rsid w:val="00736408"/>
    <w:rsid w:val="007365FF"/>
    <w:rsid w:val="00736722"/>
    <w:rsid w:val="007368A6"/>
    <w:rsid w:val="00736B12"/>
    <w:rsid w:val="00736B99"/>
    <w:rsid w:val="00737061"/>
    <w:rsid w:val="00737A2B"/>
    <w:rsid w:val="00740009"/>
    <w:rsid w:val="00740403"/>
    <w:rsid w:val="00740B1E"/>
    <w:rsid w:val="00740C51"/>
    <w:rsid w:val="007415F7"/>
    <w:rsid w:val="007416C7"/>
    <w:rsid w:val="00741EE6"/>
    <w:rsid w:val="0074255D"/>
    <w:rsid w:val="007426C8"/>
    <w:rsid w:val="007429B1"/>
    <w:rsid w:val="00742AD5"/>
    <w:rsid w:val="0074350D"/>
    <w:rsid w:val="0074382D"/>
    <w:rsid w:val="00743FBB"/>
    <w:rsid w:val="0074407D"/>
    <w:rsid w:val="00744316"/>
    <w:rsid w:val="0074440E"/>
    <w:rsid w:val="00744606"/>
    <w:rsid w:val="007448B5"/>
    <w:rsid w:val="007449B5"/>
    <w:rsid w:val="00744FD3"/>
    <w:rsid w:val="00745218"/>
    <w:rsid w:val="007452DC"/>
    <w:rsid w:val="00745380"/>
    <w:rsid w:val="00745A6C"/>
    <w:rsid w:val="00745D65"/>
    <w:rsid w:val="00745DD0"/>
    <w:rsid w:val="00745E08"/>
    <w:rsid w:val="00745FA9"/>
    <w:rsid w:val="00746615"/>
    <w:rsid w:val="00746779"/>
    <w:rsid w:val="00746D1A"/>
    <w:rsid w:val="00747101"/>
    <w:rsid w:val="0074723E"/>
    <w:rsid w:val="007473B2"/>
    <w:rsid w:val="00750306"/>
    <w:rsid w:val="00750BCD"/>
    <w:rsid w:val="00751779"/>
    <w:rsid w:val="0075183B"/>
    <w:rsid w:val="00751884"/>
    <w:rsid w:val="00751945"/>
    <w:rsid w:val="007519B2"/>
    <w:rsid w:val="00751D4A"/>
    <w:rsid w:val="00752219"/>
    <w:rsid w:val="007523DE"/>
    <w:rsid w:val="0075283F"/>
    <w:rsid w:val="00752A5B"/>
    <w:rsid w:val="00752D66"/>
    <w:rsid w:val="00752E61"/>
    <w:rsid w:val="0075318A"/>
    <w:rsid w:val="00753256"/>
    <w:rsid w:val="0075383F"/>
    <w:rsid w:val="007538C7"/>
    <w:rsid w:val="007542A1"/>
    <w:rsid w:val="00754521"/>
    <w:rsid w:val="0075475E"/>
    <w:rsid w:val="00754A4A"/>
    <w:rsid w:val="0075568F"/>
    <w:rsid w:val="00755AF8"/>
    <w:rsid w:val="0075682E"/>
    <w:rsid w:val="00756DE6"/>
    <w:rsid w:val="00757717"/>
    <w:rsid w:val="0075774B"/>
    <w:rsid w:val="00757D03"/>
    <w:rsid w:val="00757D24"/>
    <w:rsid w:val="007604F6"/>
    <w:rsid w:val="00760CFE"/>
    <w:rsid w:val="00761489"/>
    <w:rsid w:val="007618E9"/>
    <w:rsid w:val="00761C9B"/>
    <w:rsid w:val="00762E37"/>
    <w:rsid w:val="007634B6"/>
    <w:rsid w:val="007636F0"/>
    <w:rsid w:val="00763A4B"/>
    <w:rsid w:val="00763B95"/>
    <w:rsid w:val="0076440B"/>
    <w:rsid w:val="00764884"/>
    <w:rsid w:val="00764BF4"/>
    <w:rsid w:val="0076520A"/>
    <w:rsid w:val="0076596F"/>
    <w:rsid w:val="007661A2"/>
    <w:rsid w:val="00766325"/>
    <w:rsid w:val="0076656A"/>
    <w:rsid w:val="007668A1"/>
    <w:rsid w:val="00766A35"/>
    <w:rsid w:val="00766CD6"/>
    <w:rsid w:val="00767291"/>
    <w:rsid w:val="00767703"/>
    <w:rsid w:val="00767C04"/>
    <w:rsid w:val="00767D93"/>
    <w:rsid w:val="00767DF2"/>
    <w:rsid w:val="00767EB3"/>
    <w:rsid w:val="007705D7"/>
    <w:rsid w:val="007706FE"/>
    <w:rsid w:val="00770751"/>
    <w:rsid w:val="00770D15"/>
    <w:rsid w:val="00770E5F"/>
    <w:rsid w:val="007710C9"/>
    <w:rsid w:val="0077149B"/>
    <w:rsid w:val="00771D0A"/>
    <w:rsid w:val="00771E9A"/>
    <w:rsid w:val="00772272"/>
    <w:rsid w:val="007727BB"/>
    <w:rsid w:val="00772923"/>
    <w:rsid w:val="00772E57"/>
    <w:rsid w:val="00773769"/>
    <w:rsid w:val="00773791"/>
    <w:rsid w:val="00773795"/>
    <w:rsid w:val="00774952"/>
    <w:rsid w:val="00774DE3"/>
    <w:rsid w:val="007751F1"/>
    <w:rsid w:val="007752CE"/>
    <w:rsid w:val="007759C1"/>
    <w:rsid w:val="0077656D"/>
    <w:rsid w:val="00776A9F"/>
    <w:rsid w:val="00777699"/>
    <w:rsid w:val="00777731"/>
    <w:rsid w:val="00777F88"/>
    <w:rsid w:val="00780E5B"/>
    <w:rsid w:val="00781E38"/>
    <w:rsid w:val="00782740"/>
    <w:rsid w:val="00782AD4"/>
    <w:rsid w:val="007835EB"/>
    <w:rsid w:val="00783AE0"/>
    <w:rsid w:val="00783D89"/>
    <w:rsid w:val="007849C1"/>
    <w:rsid w:val="00784EC1"/>
    <w:rsid w:val="00785094"/>
    <w:rsid w:val="0078519C"/>
    <w:rsid w:val="0078526F"/>
    <w:rsid w:val="00785347"/>
    <w:rsid w:val="0078612F"/>
    <w:rsid w:val="00786E37"/>
    <w:rsid w:val="00787226"/>
    <w:rsid w:val="007872F1"/>
    <w:rsid w:val="00787420"/>
    <w:rsid w:val="007879B4"/>
    <w:rsid w:val="00787E79"/>
    <w:rsid w:val="00790356"/>
    <w:rsid w:val="007904B2"/>
    <w:rsid w:val="0079058C"/>
    <w:rsid w:val="00791115"/>
    <w:rsid w:val="00791245"/>
    <w:rsid w:val="00791424"/>
    <w:rsid w:val="00792973"/>
    <w:rsid w:val="007929B4"/>
    <w:rsid w:val="00792AEC"/>
    <w:rsid w:val="00792F38"/>
    <w:rsid w:val="007933CC"/>
    <w:rsid w:val="00793897"/>
    <w:rsid w:val="00793F43"/>
    <w:rsid w:val="007940DF"/>
    <w:rsid w:val="0079427D"/>
    <w:rsid w:val="0079436D"/>
    <w:rsid w:val="007944F5"/>
    <w:rsid w:val="00794E52"/>
    <w:rsid w:val="00795092"/>
    <w:rsid w:val="007950F4"/>
    <w:rsid w:val="00795270"/>
    <w:rsid w:val="007952FF"/>
    <w:rsid w:val="00795DD8"/>
    <w:rsid w:val="00796727"/>
    <w:rsid w:val="007967ED"/>
    <w:rsid w:val="00796B8C"/>
    <w:rsid w:val="00796C31"/>
    <w:rsid w:val="00796CB2"/>
    <w:rsid w:val="00797047"/>
    <w:rsid w:val="0079797B"/>
    <w:rsid w:val="00797A11"/>
    <w:rsid w:val="00797E58"/>
    <w:rsid w:val="007A0216"/>
    <w:rsid w:val="007A0714"/>
    <w:rsid w:val="007A0EEE"/>
    <w:rsid w:val="007A152A"/>
    <w:rsid w:val="007A16D0"/>
    <w:rsid w:val="007A223A"/>
    <w:rsid w:val="007A2262"/>
    <w:rsid w:val="007A2632"/>
    <w:rsid w:val="007A29FD"/>
    <w:rsid w:val="007A2C03"/>
    <w:rsid w:val="007A3B12"/>
    <w:rsid w:val="007A3E4D"/>
    <w:rsid w:val="007A3F34"/>
    <w:rsid w:val="007A41D4"/>
    <w:rsid w:val="007A4A40"/>
    <w:rsid w:val="007A4D9B"/>
    <w:rsid w:val="007A54A0"/>
    <w:rsid w:val="007A54CB"/>
    <w:rsid w:val="007A5536"/>
    <w:rsid w:val="007A5C11"/>
    <w:rsid w:val="007A5C1D"/>
    <w:rsid w:val="007A5E1E"/>
    <w:rsid w:val="007A5E91"/>
    <w:rsid w:val="007A6E77"/>
    <w:rsid w:val="007A6FF9"/>
    <w:rsid w:val="007A7319"/>
    <w:rsid w:val="007A7547"/>
    <w:rsid w:val="007A7BD3"/>
    <w:rsid w:val="007A7E0C"/>
    <w:rsid w:val="007B0079"/>
    <w:rsid w:val="007B0321"/>
    <w:rsid w:val="007B0505"/>
    <w:rsid w:val="007B08A4"/>
    <w:rsid w:val="007B1DC4"/>
    <w:rsid w:val="007B25D6"/>
    <w:rsid w:val="007B26F8"/>
    <w:rsid w:val="007B29CD"/>
    <w:rsid w:val="007B2FE5"/>
    <w:rsid w:val="007B33CC"/>
    <w:rsid w:val="007B36BB"/>
    <w:rsid w:val="007B36C2"/>
    <w:rsid w:val="007B385D"/>
    <w:rsid w:val="007B48DF"/>
    <w:rsid w:val="007B4B89"/>
    <w:rsid w:val="007B4CF2"/>
    <w:rsid w:val="007B5107"/>
    <w:rsid w:val="007B54AA"/>
    <w:rsid w:val="007B57DA"/>
    <w:rsid w:val="007B5AAA"/>
    <w:rsid w:val="007B5C96"/>
    <w:rsid w:val="007B6C6A"/>
    <w:rsid w:val="007B6D4F"/>
    <w:rsid w:val="007B714D"/>
    <w:rsid w:val="007B7218"/>
    <w:rsid w:val="007B789C"/>
    <w:rsid w:val="007B797F"/>
    <w:rsid w:val="007B79B2"/>
    <w:rsid w:val="007B7ADB"/>
    <w:rsid w:val="007C0858"/>
    <w:rsid w:val="007C0C69"/>
    <w:rsid w:val="007C0E55"/>
    <w:rsid w:val="007C15FD"/>
    <w:rsid w:val="007C1850"/>
    <w:rsid w:val="007C1894"/>
    <w:rsid w:val="007C1A80"/>
    <w:rsid w:val="007C26B6"/>
    <w:rsid w:val="007C2E2E"/>
    <w:rsid w:val="007C31F8"/>
    <w:rsid w:val="007C368F"/>
    <w:rsid w:val="007C3AB8"/>
    <w:rsid w:val="007C3C01"/>
    <w:rsid w:val="007C4432"/>
    <w:rsid w:val="007C4A96"/>
    <w:rsid w:val="007C53F8"/>
    <w:rsid w:val="007C6B23"/>
    <w:rsid w:val="007C6C53"/>
    <w:rsid w:val="007C70F2"/>
    <w:rsid w:val="007C787C"/>
    <w:rsid w:val="007D03F9"/>
    <w:rsid w:val="007D0702"/>
    <w:rsid w:val="007D091A"/>
    <w:rsid w:val="007D0A7F"/>
    <w:rsid w:val="007D14E8"/>
    <w:rsid w:val="007D22B9"/>
    <w:rsid w:val="007D24FD"/>
    <w:rsid w:val="007D3200"/>
    <w:rsid w:val="007D3514"/>
    <w:rsid w:val="007D3E38"/>
    <w:rsid w:val="007D405B"/>
    <w:rsid w:val="007D4A2D"/>
    <w:rsid w:val="007D4FEA"/>
    <w:rsid w:val="007D5149"/>
    <w:rsid w:val="007D530A"/>
    <w:rsid w:val="007D5707"/>
    <w:rsid w:val="007D59E7"/>
    <w:rsid w:val="007D5A8C"/>
    <w:rsid w:val="007D5C88"/>
    <w:rsid w:val="007D5FDB"/>
    <w:rsid w:val="007D6364"/>
    <w:rsid w:val="007D65E8"/>
    <w:rsid w:val="007D6D55"/>
    <w:rsid w:val="007D6DA4"/>
    <w:rsid w:val="007D6F5A"/>
    <w:rsid w:val="007D71B3"/>
    <w:rsid w:val="007D7687"/>
    <w:rsid w:val="007D7FDC"/>
    <w:rsid w:val="007E041A"/>
    <w:rsid w:val="007E0437"/>
    <w:rsid w:val="007E0483"/>
    <w:rsid w:val="007E0892"/>
    <w:rsid w:val="007E0DC7"/>
    <w:rsid w:val="007E11DF"/>
    <w:rsid w:val="007E1865"/>
    <w:rsid w:val="007E1B5B"/>
    <w:rsid w:val="007E1EDE"/>
    <w:rsid w:val="007E2544"/>
    <w:rsid w:val="007E27E6"/>
    <w:rsid w:val="007E2825"/>
    <w:rsid w:val="007E2B9F"/>
    <w:rsid w:val="007E2E3E"/>
    <w:rsid w:val="007E2F8D"/>
    <w:rsid w:val="007E3606"/>
    <w:rsid w:val="007E3ACA"/>
    <w:rsid w:val="007E3B34"/>
    <w:rsid w:val="007E410F"/>
    <w:rsid w:val="007E4D71"/>
    <w:rsid w:val="007E4E23"/>
    <w:rsid w:val="007E562E"/>
    <w:rsid w:val="007E5854"/>
    <w:rsid w:val="007E5A21"/>
    <w:rsid w:val="007E5B30"/>
    <w:rsid w:val="007E5BE0"/>
    <w:rsid w:val="007E5C7B"/>
    <w:rsid w:val="007E5D68"/>
    <w:rsid w:val="007E5E10"/>
    <w:rsid w:val="007E6337"/>
    <w:rsid w:val="007E63BD"/>
    <w:rsid w:val="007E6458"/>
    <w:rsid w:val="007E6CB4"/>
    <w:rsid w:val="007E6D2A"/>
    <w:rsid w:val="007E6D59"/>
    <w:rsid w:val="007E7008"/>
    <w:rsid w:val="007E73B1"/>
    <w:rsid w:val="007E7F23"/>
    <w:rsid w:val="007F020B"/>
    <w:rsid w:val="007F02AF"/>
    <w:rsid w:val="007F055D"/>
    <w:rsid w:val="007F064D"/>
    <w:rsid w:val="007F066F"/>
    <w:rsid w:val="007F06A8"/>
    <w:rsid w:val="007F1D3B"/>
    <w:rsid w:val="007F25F6"/>
    <w:rsid w:val="007F28B7"/>
    <w:rsid w:val="007F2B3F"/>
    <w:rsid w:val="007F2BD9"/>
    <w:rsid w:val="007F305E"/>
    <w:rsid w:val="007F3686"/>
    <w:rsid w:val="007F3D5E"/>
    <w:rsid w:val="007F3FA6"/>
    <w:rsid w:val="007F4019"/>
    <w:rsid w:val="007F4509"/>
    <w:rsid w:val="007F49F4"/>
    <w:rsid w:val="007F4DBD"/>
    <w:rsid w:val="007F52B7"/>
    <w:rsid w:val="007F588C"/>
    <w:rsid w:val="007F5BC0"/>
    <w:rsid w:val="007F6565"/>
    <w:rsid w:val="007F6785"/>
    <w:rsid w:val="007F69EF"/>
    <w:rsid w:val="007F6E9A"/>
    <w:rsid w:val="007F70D5"/>
    <w:rsid w:val="007F7502"/>
    <w:rsid w:val="007F7797"/>
    <w:rsid w:val="007F7B2B"/>
    <w:rsid w:val="007F7E3E"/>
    <w:rsid w:val="0080023C"/>
    <w:rsid w:val="0080071E"/>
    <w:rsid w:val="008009BA"/>
    <w:rsid w:val="00801B80"/>
    <w:rsid w:val="00802686"/>
    <w:rsid w:val="0080351B"/>
    <w:rsid w:val="0080397D"/>
    <w:rsid w:val="0080400F"/>
    <w:rsid w:val="00804B12"/>
    <w:rsid w:val="00804D9E"/>
    <w:rsid w:val="008050F3"/>
    <w:rsid w:val="00805693"/>
    <w:rsid w:val="0080592D"/>
    <w:rsid w:val="00805A77"/>
    <w:rsid w:val="00805D01"/>
    <w:rsid w:val="00805DA1"/>
    <w:rsid w:val="00806149"/>
    <w:rsid w:val="00806499"/>
    <w:rsid w:val="00807210"/>
    <w:rsid w:val="00807867"/>
    <w:rsid w:val="008079E8"/>
    <w:rsid w:val="00807E11"/>
    <w:rsid w:val="0081055A"/>
    <w:rsid w:val="008106D1"/>
    <w:rsid w:val="00810CE5"/>
    <w:rsid w:val="0081149C"/>
    <w:rsid w:val="00811854"/>
    <w:rsid w:val="0081241E"/>
    <w:rsid w:val="00812598"/>
    <w:rsid w:val="00812A9A"/>
    <w:rsid w:val="008133A6"/>
    <w:rsid w:val="00813818"/>
    <w:rsid w:val="00813FB5"/>
    <w:rsid w:val="008142B3"/>
    <w:rsid w:val="00814C25"/>
    <w:rsid w:val="008162B2"/>
    <w:rsid w:val="008165E5"/>
    <w:rsid w:val="008168A2"/>
    <w:rsid w:val="00817755"/>
    <w:rsid w:val="008200D4"/>
    <w:rsid w:val="008205EC"/>
    <w:rsid w:val="00821B26"/>
    <w:rsid w:val="00822A76"/>
    <w:rsid w:val="00822DF8"/>
    <w:rsid w:val="00822EC0"/>
    <w:rsid w:val="00823A85"/>
    <w:rsid w:val="00824668"/>
    <w:rsid w:val="00824B39"/>
    <w:rsid w:val="00824D71"/>
    <w:rsid w:val="0082521C"/>
    <w:rsid w:val="0082561B"/>
    <w:rsid w:val="00825763"/>
    <w:rsid w:val="00825E23"/>
    <w:rsid w:val="00826FFF"/>
    <w:rsid w:val="008275EE"/>
    <w:rsid w:val="00827E94"/>
    <w:rsid w:val="008300AF"/>
    <w:rsid w:val="0083055A"/>
    <w:rsid w:val="008307ED"/>
    <w:rsid w:val="0083098F"/>
    <w:rsid w:val="00830ED8"/>
    <w:rsid w:val="008313AE"/>
    <w:rsid w:val="008314E7"/>
    <w:rsid w:val="008317A3"/>
    <w:rsid w:val="00831DB0"/>
    <w:rsid w:val="008322AF"/>
    <w:rsid w:val="0083242D"/>
    <w:rsid w:val="00833A76"/>
    <w:rsid w:val="008340E5"/>
    <w:rsid w:val="00834548"/>
    <w:rsid w:val="00834726"/>
    <w:rsid w:val="00834D0E"/>
    <w:rsid w:val="008350BA"/>
    <w:rsid w:val="008350D8"/>
    <w:rsid w:val="0083528A"/>
    <w:rsid w:val="008353B8"/>
    <w:rsid w:val="008355AC"/>
    <w:rsid w:val="00835A26"/>
    <w:rsid w:val="00835C40"/>
    <w:rsid w:val="00835F30"/>
    <w:rsid w:val="0083617B"/>
    <w:rsid w:val="0083634A"/>
    <w:rsid w:val="00836462"/>
    <w:rsid w:val="00836611"/>
    <w:rsid w:val="00836B64"/>
    <w:rsid w:val="00836C1F"/>
    <w:rsid w:val="008370FB"/>
    <w:rsid w:val="00837398"/>
    <w:rsid w:val="0084011A"/>
    <w:rsid w:val="008401E5"/>
    <w:rsid w:val="008405D2"/>
    <w:rsid w:val="00841C20"/>
    <w:rsid w:val="00841D2C"/>
    <w:rsid w:val="00841ED6"/>
    <w:rsid w:val="00841F66"/>
    <w:rsid w:val="008420B5"/>
    <w:rsid w:val="0084219F"/>
    <w:rsid w:val="008425E0"/>
    <w:rsid w:val="00842943"/>
    <w:rsid w:val="00842C6C"/>
    <w:rsid w:val="00843377"/>
    <w:rsid w:val="00843378"/>
    <w:rsid w:val="00844419"/>
    <w:rsid w:val="0084488E"/>
    <w:rsid w:val="00844DC7"/>
    <w:rsid w:val="00845089"/>
    <w:rsid w:val="008454B6"/>
    <w:rsid w:val="008455B3"/>
    <w:rsid w:val="00845AED"/>
    <w:rsid w:val="00845E36"/>
    <w:rsid w:val="00846A12"/>
    <w:rsid w:val="00846D65"/>
    <w:rsid w:val="00846E75"/>
    <w:rsid w:val="00847101"/>
    <w:rsid w:val="00847F06"/>
    <w:rsid w:val="00850406"/>
    <w:rsid w:val="00850865"/>
    <w:rsid w:val="00850C18"/>
    <w:rsid w:val="0085135D"/>
    <w:rsid w:val="0085153E"/>
    <w:rsid w:val="0085272D"/>
    <w:rsid w:val="00852EB8"/>
    <w:rsid w:val="008538A0"/>
    <w:rsid w:val="00853E66"/>
    <w:rsid w:val="00854187"/>
    <w:rsid w:val="0085465D"/>
    <w:rsid w:val="00854986"/>
    <w:rsid w:val="00854AA0"/>
    <w:rsid w:val="00854E0C"/>
    <w:rsid w:val="00855037"/>
    <w:rsid w:val="00855645"/>
    <w:rsid w:val="008556A3"/>
    <w:rsid w:val="0085590F"/>
    <w:rsid w:val="00856611"/>
    <w:rsid w:val="00856C80"/>
    <w:rsid w:val="00856CEC"/>
    <w:rsid w:val="008572DC"/>
    <w:rsid w:val="0085782C"/>
    <w:rsid w:val="00857BEB"/>
    <w:rsid w:val="008601F0"/>
    <w:rsid w:val="008602B7"/>
    <w:rsid w:val="008604F6"/>
    <w:rsid w:val="00860A32"/>
    <w:rsid w:val="00861B47"/>
    <w:rsid w:val="00861E17"/>
    <w:rsid w:val="00861E19"/>
    <w:rsid w:val="008628A9"/>
    <w:rsid w:val="008630C1"/>
    <w:rsid w:val="0086333E"/>
    <w:rsid w:val="00863534"/>
    <w:rsid w:val="008636F3"/>
    <w:rsid w:val="00863D9A"/>
    <w:rsid w:val="00864366"/>
    <w:rsid w:val="00864946"/>
    <w:rsid w:val="0086495A"/>
    <w:rsid w:val="008649DB"/>
    <w:rsid w:val="00864F2A"/>
    <w:rsid w:val="008658AA"/>
    <w:rsid w:val="008659AF"/>
    <w:rsid w:val="00866A08"/>
    <w:rsid w:val="0086746D"/>
    <w:rsid w:val="00870731"/>
    <w:rsid w:val="008721BD"/>
    <w:rsid w:val="00872874"/>
    <w:rsid w:val="00872B9A"/>
    <w:rsid w:val="00872BDA"/>
    <w:rsid w:val="008742FF"/>
    <w:rsid w:val="00874427"/>
    <w:rsid w:val="00876217"/>
    <w:rsid w:val="00876485"/>
    <w:rsid w:val="00876818"/>
    <w:rsid w:val="00876A07"/>
    <w:rsid w:val="00876E70"/>
    <w:rsid w:val="008770CF"/>
    <w:rsid w:val="00877475"/>
    <w:rsid w:val="00877E71"/>
    <w:rsid w:val="00877EE4"/>
    <w:rsid w:val="00880AF0"/>
    <w:rsid w:val="0088106A"/>
    <w:rsid w:val="00881262"/>
    <w:rsid w:val="00881586"/>
    <w:rsid w:val="00881D46"/>
    <w:rsid w:val="0088287E"/>
    <w:rsid w:val="0088295D"/>
    <w:rsid w:val="00882A47"/>
    <w:rsid w:val="00882C45"/>
    <w:rsid w:val="00882CD8"/>
    <w:rsid w:val="00883290"/>
    <w:rsid w:val="008833E9"/>
    <w:rsid w:val="008836D7"/>
    <w:rsid w:val="0088390A"/>
    <w:rsid w:val="00883AD2"/>
    <w:rsid w:val="00883AD6"/>
    <w:rsid w:val="00883FEC"/>
    <w:rsid w:val="008843CA"/>
    <w:rsid w:val="008846A5"/>
    <w:rsid w:val="008854D0"/>
    <w:rsid w:val="00885709"/>
    <w:rsid w:val="00885BFC"/>
    <w:rsid w:val="00885FDA"/>
    <w:rsid w:val="00886287"/>
    <w:rsid w:val="00886367"/>
    <w:rsid w:val="008864A5"/>
    <w:rsid w:val="008866A1"/>
    <w:rsid w:val="00886C8C"/>
    <w:rsid w:val="008872A0"/>
    <w:rsid w:val="008876E3"/>
    <w:rsid w:val="00887A5D"/>
    <w:rsid w:val="00887AFB"/>
    <w:rsid w:val="00887DB8"/>
    <w:rsid w:val="008900C7"/>
    <w:rsid w:val="0089026F"/>
    <w:rsid w:val="0089046D"/>
    <w:rsid w:val="00890A80"/>
    <w:rsid w:val="00890A8F"/>
    <w:rsid w:val="00890EA3"/>
    <w:rsid w:val="00890F41"/>
    <w:rsid w:val="0089102C"/>
    <w:rsid w:val="00891033"/>
    <w:rsid w:val="008910F3"/>
    <w:rsid w:val="00891C1F"/>
    <w:rsid w:val="00891CEF"/>
    <w:rsid w:val="00891E38"/>
    <w:rsid w:val="00891F2A"/>
    <w:rsid w:val="0089200B"/>
    <w:rsid w:val="008925EB"/>
    <w:rsid w:val="00893275"/>
    <w:rsid w:val="008932DC"/>
    <w:rsid w:val="00893342"/>
    <w:rsid w:val="00893979"/>
    <w:rsid w:val="00893B5B"/>
    <w:rsid w:val="008945DE"/>
    <w:rsid w:val="00894C24"/>
    <w:rsid w:val="00894C73"/>
    <w:rsid w:val="00894F75"/>
    <w:rsid w:val="008952D3"/>
    <w:rsid w:val="00895793"/>
    <w:rsid w:val="00895AE4"/>
    <w:rsid w:val="00895BF9"/>
    <w:rsid w:val="0089638A"/>
    <w:rsid w:val="00896810"/>
    <w:rsid w:val="00896849"/>
    <w:rsid w:val="00896BCB"/>
    <w:rsid w:val="00896C51"/>
    <w:rsid w:val="00896FA9"/>
    <w:rsid w:val="00897409"/>
    <w:rsid w:val="0089745A"/>
    <w:rsid w:val="00897644"/>
    <w:rsid w:val="00897E30"/>
    <w:rsid w:val="008A003B"/>
    <w:rsid w:val="008A0090"/>
    <w:rsid w:val="008A0147"/>
    <w:rsid w:val="008A05E9"/>
    <w:rsid w:val="008A0765"/>
    <w:rsid w:val="008A08F8"/>
    <w:rsid w:val="008A0E76"/>
    <w:rsid w:val="008A1C4D"/>
    <w:rsid w:val="008A1E1B"/>
    <w:rsid w:val="008A288F"/>
    <w:rsid w:val="008A2A46"/>
    <w:rsid w:val="008A3378"/>
    <w:rsid w:val="008A3484"/>
    <w:rsid w:val="008A3FDA"/>
    <w:rsid w:val="008A4371"/>
    <w:rsid w:val="008A4372"/>
    <w:rsid w:val="008A4C01"/>
    <w:rsid w:val="008A4E33"/>
    <w:rsid w:val="008A626D"/>
    <w:rsid w:val="008A62AC"/>
    <w:rsid w:val="008A6309"/>
    <w:rsid w:val="008A6515"/>
    <w:rsid w:val="008A65C0"/>
    <w:rsid w:val="008A6842"/>
    <w:rsid w:val="008A6A7B"/>
    <w:rsid w:val="008A6D21"/>
    <w:rsid w:val="008B015E"/>
    <w:rsid w:val="008B01E5"/>
    <w:rsid w:val="008B1A03"/>
    <w:rsid w:val="008B2FB6"/>
    <w:rsid w:val="008B32AD"/>
    <w:rsid w:val="008B3325"/>
    <w:rsid w:val="008B35CE"/>
    <w:rsid w:val="008B3920"/>
    <w:rsid w:val="008B406E"/>
    <w:rsid w:val="008B4075"/>
    <w:rsid w:val="008B4447"/>
    <w:rsid w:val="008B538A"/>
    <w:rsid w:val="008B60A7"/>
    <w:rsid w:val="008B62BE"/>
    <w:rsid w:val="008B63F6"/>
    <w:rsid w:val="008B6857"/>
    <w:rsid w:val="008B6BF1"/>
    <w:rsid w:val="008B6D08"/>
    <w:rsid w:val="008B72AD"/>
    <w:rsid w:val="008B744F"/>
    <w:rsid w:val="008B77A3"/>
    <w:rsid w:val="008B7BED"/>
    <w:rsid w:val="008B7D7F"/>
    <w:rsid w:val="008B7F3C"/>
    <w:rsid w:val="008C0028"/>
    <w:rsid w:val="008C0298"/>
    <w:rsid w:val="008C12A2"/>
    <w:rsid w:val="008C17C2"/>
    <w:rsid w:val="008C1D09"/>
    <w:rsid w:val="008C22B2"/>
    <w:rsid w:val="008C266D"/>
    <w:rsid w:val="008C27C4"/>
    <w:rsid w:val="008C2870"/>
    <w:rsid w:val="008C2BC6"/>
    <w:rsid w:val="008C3095"/>
    <w:rsid w:val="008C3347"/>
    <w:rsid w:val="008C3E5C"/>
    <w:rsid w:val="008C3E72"/>
    <w:rsid w:val="008C4630"/>
    <w:rsid w:val="008C4975"/>
    <w:rsid w:val="008C4A19"/>
    <w:rsid w:val="008C4BB2"/>
    <w:rsid w:val="008C4F1A"/>
    <w:rsid w:val="008C515E"/>
    <w:rsid w:val="008C5BEA"/>
    <w:rsid w:val="008C6BC3"/>
    <w:rsid w:val="008C6E7C"/>
    <w:rsid w:val="008C6E8F"/>
    <w:rsid w:val="008C73C3"/>
    <w:rsid w:val="008C7936"/>
    <w:rsid w:val="008C7A11"/>
    <w:rsid w:val="008C7A71"/>
    <w:rsid w:val="008C7F48"/>
    <w:rsid w:val="008D02E3"/>
    <w:rsid w:val="008D0815"/>
    <w:rsid w:val="008D093A"/>
    <w:rsid w:val="008D0BCE"/>
    <w:rsid w:val="008D0DF2"/>
    <w:rsid w:val="008D0E3F"/>
    <w:rsid w:val="008D1153"/>
    <w:rsid w:val="008D146D"/>
    <w:rsid w:val="008D15DC"/>
    <w:rsid w:val="008D1C81"/>
    <w:rsid w:val="008D1FEE"/>
    <w:rsid w:val="008D2199"/>
    <w:rsid w:val="008D2AAC"/>
    <w:rsid w:val="008D2BE9"/>
    <w:rsid w:val="008D2D0E"/>
    <w:rsid w:val="008D3005"/>
    <w:rsid w:val="008D30CF"/>
    <w:rsid w:val="008D360F"/>
    <w:rsid w:val="008D3705"/>
    <w:rsid w:val="008D41B4"/>
    <w:rsid w:val="008D4206"/>
    <w:rsid w:val="008D448C"/>
    <w:rsid w:val="008D4911"/>
    <w:rsid w:val="008D4A3A"/>
    <w:rsid w:val="008D4B4A"/>
    <w:rsid w:val="008D52D5"/>
    <w:rsid w:val="008D5420"/>
    <w:rsid w:val="008D562C"/>
    <w:rsid w:val="008D5805"/>
    <w:rsid w:val="008D5A76"/>
    <w:rsid w:val="008D5C27"/>
    <w:rsid w:val="008D6AA3"/>
    <w:rsid w:val="008D6D8D"/>
    <w:rsid w:val="008D6E55"/>
    <w:rsid w:val="008D713B"/>
    <w:rsid w:val="008D736D"/>
    <w:rsid w:val="008D757C"/>
    <w:rsid w:val="008E0826"/>
    <w:rsid w:val="008E08F9"/>
    <w:rsid w:val="008E09C0"/>
    <w:rsid w:val="008E0ECC"/>
    <w:rsid w:val="008E1014"/>
    <w:rsid w:val="008E13FB"/>
    <w:rsid w:val="008E16E4"/>
    <w:rsid w:val="008E177D"/>
    <w:rsid w:val="008E1B8D"/>
    <w:rsid w:val="008E221C"/>
    <w:rsid w:val="008E2337"/>
    <w:rsid w:val="008E262E"/>
    <w:rsid w:val="008E294C"/>
    <w:rsid w:val="008E2C07"/>
    <w:rsid w:val="008E2DFA"/>
    <w:rsid w:val="008E3C51"/>
    <w:rsid w:val="008E3F30"/>
    <w:rsid w:val="008E44C4"/>
    <w:rsid w:val="008E483F"/>
    <w:rsid w:val="008E4C7A"/>
    <w:rsid w:val="008E55EB"/>
    <w:rsid w:val="008E5636"/>
    <w:rsid w:val="008E6105"/>
    <w:rsid w:val="008E6CC3"/>
    <w:rsid w:val="008E6EF6"/>
    <w:rsid w:val="008E73BB"/>
    <w:rsid w:val="008E7934"/>
    <w:rsid w:val="008F01A5"/>
    <w:rsid w:val="008F04B4"/>
    <w:rsid w:val="008F0F9C"/>
    <w:rsid w:val="008F10E2"/>
    <w:rsid w:val="008F12F0"/>
    <w:rsid w:val="008F135C"/>
    <w:rsid w:val="008F1780"/>
    <w:rsid w:val="008F1DC0"/>
    <w:rsid w:val="008F207C"/>
    <w:rsid w:val="008F2185"/>
    <w:rsid w:val="008F248F"/>
    <w:rsid w:val="008F3864"/>
    <w:rsid w:val="008F3F58"/>
    <w:rsid w:val="008F4A45"/>
    <w:rsid w:val="008F5336"/>
    <w:rsid w:val="008F5928"/>
    <w:rsid w:val="008F5C48"/>
    <w:rsid w:val="008F62A6"/>
    <w:rsid w:val="008F6419"/>
    <w:rsid w:val="008F66A2"/>
    <w:rsid w:val="008F69CC"/>
    <w:rsid w:val="008F6D50"/>
    <w:rsid w:val="008F728A"/>
    <w:rsid w:val="008F7725"/>
    <w:rsid w:val="008F77D3"/>
    <w:rsid w:val="009009D5"/>
    <w:rsid w:val="00901761"/>
    <w:rsid w:val="009018B1"/>
    <w:rsid w:val="00901906"/>
    <w:rsid w:val="009022ED"/>
    <w:rsid w:val="0090283B"/>
    <w:rsid w:val="0090299E"/>
    <w:rsid w:val="00903028"/>
    <w:rsid w:val="00903342"/>
    <w:rsid w:val="009033F1"/>
    <w:rsid w:val="0090352C"/>
    <w:rsid w:val="00903A58"/>
    <w:rsid w:val="00903F81"/>
    <w:rsid w:val="00904096"/>
    <w:rsid w:val="00904261"/>
    <w:rsid w:val="0090498B"/>
    <w:rsid w:val="0090595C"/>
    <w:rsid w:val="00905AE0"/>
    <w:rsid w:val="00906134"/>
    <w:rsid w:val="009065E2"/>
    <w:rsid w:val="0090712D"/>
    <w:rsid w:val="009100C5"/>
    <w:rsid w:val="00910FF3"/>
    <w:rsid w:val="009113EF"/>
    <w:rsid w:val="00911525"/>
    <w:rsid w:val="00911778"/>
    <w:rsid w:val="00911C17"/>
    <w:rsid w:val="00911C66"/>
    <w:rsid w:val="009122A2"/>
    <w:rsid w:val="009123F0"/>
    <w:rsid w:val="0091255B"/>
    <w:rsid w:val="00912670"/>
    <w:rsid w:val="009126F4"/>
    <w:rsid w:val="00912977"/>
    <w:rsid w:val="00912A8B"/>
    <w:rsid w:val="00912C27"/>
    <w:rsid w:val="009131FC"/>
    <w:rsid w:val="0091432C"/>
    <w:rsid w:val="0091438A"/>
    <w:rsid w:val="00914411"/>
    <w:rsid w:val="0091448B"/>
    <w:rsid w:val="0091486F"/>
    <w:rsid w:val="009148A2"/>
    <w:rsid w:val="009148BB"/>
    <w:rsid w:val="0091495E"/>
    <w:rsid w:val="00914B0C"/>
    <w:rsid w:val="00915024"/>
    <w:rsid w:val="009151E8"/>
    <w:rsid w:val="009151F3"/>
    <w:rsid w:val="0091592C"/>
    <w:rsid w:val="009166CC"/>
    <w:rsid w:val="00916823"/>
    <w:rsid w:val="0091688F"/>
    <w:rsid w:val="009169B9"/>
    <w:rsid w:val="00916BC7"/>
    <w:rsid w:val="009172F9"/>
    <w:rsid w:val="00917BFA"/>
    <w:rsid w:val="00917CC6"/>
    <w:rsid w:val="00917D9D"/>
    <w:rsid w:val="009206F4"/>
    <w:rsid w:val="009210FD"/>
    <w:rsid w:val="0092172E"/>
    <w:rsid w:val="00921DC3"/>
    <w:rsid w:val="00922224"/>
    <w:rsid w:val="00922899"/>
    <w:rsid w:val="0092292C"/>
    <w:rsid w:val="0092297B"/>
    <w:rsid w:val="009230FA"/>
    <w:rsid w:val="00923124"/>
    <w:rsid w:val="00923461"/>
    <w:rsid w:val="009237F3"/>
    <w:rsid w:val="00923B3B"/>
    <w:rsid w:val="00924634"/>
    <w:rsid w:val="0092502C"/>
    <w:rsid w:val="009250A3"/>
    <w:rsid w:val="00925174"/>
    <w:rsid w:val="00926572"/>
    <w:rsid w:val="0092741B"/>
    <w:rsid w:val="0092762C"/>
    <w:rsid w:val="00927AF0"/>
    <w:rsid w:val="009302F9"/>
    <w:rsid w:val="00930DCF"/>
    <w:rsid w:val="00930FC5"/>
    <w:rsid w:val="00931352"/>
    <w:rsid w:val="00931569"/>
    <w:rsid w:val="00933841"/>
    <w:rsid w:val="00933D90"/>
    <w:rsid w:val="00934107"/>
    <w:rsid w:val="009343AC"/>
    <w:rsid w:val="00934546"/>
    <w:rsid w:val="009345EA"/>
    <w:rsid w:val="00934CB3"/>
    <w:rsid w:val="00934D12"/>
    <w:rsid w:val="00934DBC"/>
    <w:rsid w:val="0093531B"/>
    <w:rsid w:val="00935433"/>
    <w:rsid w:val="00935CFA"/>
    <w:rsid w:val="00935DAE"/>
    <w:rsid w:val="0093664F"/>
    <w:rsid w:val="009373A0"/>
    <w:rsid w:val="009375FE"/>
    <w:rsid w:val="00937682"/>
    <w:rsid w:val="0094052C"/>
    <w:rsid w:val="009408CB"/>
    <w:rsid w:val="00940A10"/>
    <w:rsid w:val="00941045"/>
    <w:rsid w:val="009411A1"/>
    <w:rsid w:val="009416BA"/>
    <w:rsid w:val="00941BC9"/>
    <w:rsid w:val="0094217A"/>
    <w:rsid w:val="0094260E"/>
    <w:rsid w:val="0094296E"/>
    <w:rsid w:val="009432AA"/>
    <w:rsid w:val="0094342A"/>
    <w:rsid w:val="0094456D"/>
    <w:rsid w:val="009448F0"/>
    <w:rsid w:val="009449E5"/>
    <w:rsid w:val="00944BDC"/>
    <w:rsid w:val="0094538E"/>
    <w:rsid w:val="009455BA"/>
    <w:rsid w:val="009459B3"/>
    <w:rsid w:val="00945B17"/>
    <w:rsid w:val="00945D82"/>
    <w:rsid w:val="00945DEB"/>
    <w:rsid w:val="00945F09"/>
    <w:rsid w:val="00946CF7"/>
    <w:rsid w:val="00946FD9"/>
    <w:rsid w:val="00947446"/>
    <w:rsid w:val="0094766E"/>
    <w:rsid w:val="00947D44"/>
    <w:rsid w:val="009503DA"/>
    <w:rsid w:val="009504D6"/>
    <w:rsid w:val="009509A3"/>
    <w:rsid w:val="00951521"/>
    <w:rsid w:val="0095156C"/>
    <w:rsid w:val="00951939"/>
    <w:rsid w:val="00951AC3"/>
    <w:rsid w:val="00951F6E"/>
    <w:rsid w:val="00952057"/>
    <w:rsid w:val="009536EF"/>
    <w:rsid w:val="00953C40"/>
    <w:rsid w:val="00953E7E"/>
    <w:rsid w:val="00953FE9"/>
    <w:rsid w:val="00954049"/>
    <w:rsid w:val="0095471F"/>
    <w:rsid w:val="00954DF7"/>
    <w:rsid w:val="00954E78"/>
    <w:rsid w:val="009561C2"/>
    <w:rsid w:val="0095647C"/>
    <w:rsid w:val="009574B9"/>
    <w:rsid w:val="009609E7"/>
    <w:rsid w:val="00960ADA"/>
    <w:rsid w:val="00960BF2"/>
    <w:rsid w:val="00960C0B"/>
    <w:rsid w:val="00960EA1"/>
    <w:rsid w:val="00960F9A"/>
    <w:rsid w:val="009610AC"/>
    <w:rsid w:val="009615A6"/>
    <w:rsid w:val="009616A7"/>
    <w:rsid w:val="0096184D"/>
    <w:rsid w:val="00961A6B"/>
    <w:rsid w:val="00961ACB"/>
    <w:rsid w:val="009624B8"/>
    <w:rsid w:val="00962537"/>
    <w:rsid w:val="009626B9"/>
    <w:rsid w:val="009627A1"/>
    <w:rsid w:val="0096473A"/>
    <w:rsid w:val="00964755"/>
    <w:rsid w:val="00964B1E"/>
    <w:rsid w:val="00964BF4"/>
    <w:rsid w:val="0096503F"/>
    <w:rsid w:val="009650F1"/>
    <w:rsid w:val="00965282"/>
    <w:rsid w:val="0096569D"/>
    <w:rsid w:val="00965810"/>
    <w:rsid w:val="00965B56"/>
    <w:rsid w:val="009663B6"/>
    <w:rsid w:val="009663F7"/>
    <w:rsid w:val="00966543"/>
    <w:rsid w:val="00966B7E"/>
    <w:rsid w:val="00966CE1"/>
    <w:rsid w:val="00967136"/>
    <w:rsid w:val="0096747F"/>
    <w:rsid w:val="00967518"/>
    <w:rsid w:val="00967D2E"/>
    <w:rsid w:val="00970249"/>
    <w:rsid w:val="0097026E"/>
    <w:rsid w:val="0097044E"/>
    <w:rsid w:val="0097050C"/>
    <w:rsid w:val="00970D02"/>
    <w:rsid w:val="009715B8"/>
    <w:rsid w:val="00971756"/>
    <w:rsid w:val="00971E4A"/>
    <w:rsid w:val="0097219E"/>
    <w:rsid w:val="00972745"/>
    <w:rsid w:val="00972A48"/>
    <w:rsid w:val="00972FFA"/>
    <w:rsid w:val="0097335F"/>
    <w:rsid w:val="009734A9"/>
    <w:rsid w:val="009735A2"/>
    <w:rsid w:val="00973A10"/>
    <w:rsid w:val="00973BAA"/>
    <w:rsid w:val="0097448B"/>
    <w:rsid w:val="00974E76"/>
    <w:rsid w:val="009751AB"/>
    <w:rsid w:val="009754E1"/>
    <w:rsid w:val="00975DB3"/>
    <w:rsid w:val="00976D69"/>
    <w:rsid w:val="00977912"/>
    <w:rsid w:val="00981C9A"/>
    <w:rsid w:val="00982255"/>
    <w:rsid w:val="0098256D"/>
    <w:rsid w:val="009827AA"/>
    <w:rsid w:val="009831F3"/>
    <w:rsid w:val="00983489"/>
    <w:rsid w:val="0098352D"/>
    <w:rsid w:val="00983724"/>
    <w:rsid w:val="009838EB"/>
    <w:rsid w:val="00983ADD"/>
    <w:rsid w:val="00984758"/>
    <w:rsid w:val="009847D0"/>
    <w:rsid w:val="00985C8D"/>
    <w:rsid w:val="00985FD4"/>
    <w:rsid w:val="00987790"/>
    <w:rsid w:val="00987F7F"/>
    <w:rsid w:val="00990035"/>
    <w:rsid w:val="009903D3"/>
    <w:rsid w:val="00991B34"/>
    <w:rsid w:val="009925CD"/>
    <w:rsid w:val="00993029"/>
    <w:rsid w:val="00993427"/>
    <w:rsid w:val="00993FE4"/>
    <w:rsid w:val="00994264"/>
    <w:rsid w:val="009948BF"/>
    <w:rsid w:val="00994CF7"/>
    <w:rsid w:val="00994D8F"/>
    <w:rsid w:val="009959EC"/>
    <w:rsid w:val="009959F8"/>
    <w:rsid w:val="00995AE5"/>
    <w:rsid w:val="0099679C"/>
    <w:rsid w:val="00996BF8"/>
    <w:rsid w:val="00996D21"/>
    <w:rsid w:val="00996EEE"/>
    <w:rsid w:val="0099741F"/>
    <w:rsid w:val="009975F5"/>
    <w:rsid w:val="009977C5"/>
    <w:rsid w:val="009978D1"/>
    <w:rsid w:val="00997DAA"/>
    <w:rsid w:val="009A01AE"/>
    <w:rsid w:val="009A044D"/>
    <w:rsid w:val="009A0662"/>
    <w:rsid w:val="009A078C"/>
    <w:rsid w:val="009A0B5A"/>
    <w:rsid w:val="009A10E5"/>
    <w:rsid w:val="009A10F9"/>
    <w:rsid w:val="009A13BE"/>
    <w:rsid w:val="009A142F"/>
    <w:rsid w:val="009A1740"/>
    <w:rsid w:val="009A1C3B"/>
    <w:rsid w:val="009A2285"/>
    <w:rsid w:val="009A2328"/>
    <w:rsid w:val="009A23DC"/>
    <w:rsid w:val="009A2450"/>
    <w:rsid w:val="009A2854"/>
    <w:rsid w:val="009A2994"/>
    <w:rsid w:val="009A316F"/>
    <w:rsid w:val="009A3204"/>
    <w:rsid w:val="009A357E"/>
    <w:rsid w:val="009A3EF9"/>
    <w:rsid w:val="009A46FC"/>
    <w:rsid w:val="009A4DC3"/>
    <w:rsid w:val="009A4E61"/>
    <w:rsid w:val="009A5009"/>
    <w:rsid w:val="009A5146"/>
    <w:rsid w:val="009A5A11"/>
    <w:rsid w:val="009A6149"/>
    <w:rsid w:val="009A6AE2"/>
    <w:rsid w:val="009A7F58"/>
    <w:rsid w:val="009B034C"/>
    <w:rsid w:val="009B03D5"/>
    <w:rsid w:val="009B0500"/>
    <w:rsid w:val="009B0B91"/>
    <w:rsid w:val="009B0D27"/>
    <w:rsid w:val="009B1098"/>
    <w:rsid w:val="009B11C3"/>
    <w:rsid w:val="009B138F"/>
    <w:rsid w:val="009B1502"/>
    <w:rsid w:val="009B195F"/>
    <w:rsid w:val="009B2025"/>
    <w:rsid w:val="009B2148"/>
    <w:rsid w:val="009B22A6"/>
    <w:rsid w:val="009B2342"/>
    <w:rsid w:val="009B246F"/>
    <w:rsid w:val="009B2C6F"/>
    <w:rsid w:val="009B308E"/>
    <w:rsid w:val="009B3C80"/>
    <w:rsid w:val="009B4123"/>
    <w:rsid w:val="009B4295"/>
    <w:rsid w:val="009B4856"/>
    <w:rsid w:val="009B4F86"/>
    <w:rsid w:val="009B4FE2"/>
    <w:rsid w:val="009B5223"/>
    <w:rsid w:val="009B532B"/>
    <w:rsid w:val="009B5626"/>
    <w:rsid w:val="009B7927"/>
    <w:rsid w:val="009B794D"/>
    <w:rsid w:val="009B7C54"/>
    <w:rsid w:val="009B7DC2"/>
    <w:rsid w:val="009C0287"/>
    <w:rsid w:val="009C0660"/>
    <w:rsid w:val="009C0A88"/>
    <w:rsid w:val="009C17DC"/>
    <w:rsid w:val="009C1FFE"/>
    <w:rsid w:val="009C29C8"/>
    <w:rsid w:val="009C3141"/>
    <w:rsid w:val="009C325A"/>
    <w:rsid w:val="009C32B3"/>
    <w:rsid w:val="009C3507"/>
    <w:rsid w:val="009C3894"/>
    <w:rsid w:val="009C3FFE"/>
    <w:rsid w:val="009C4027"/>
    <w:rsid w:val="009C57F0"/>
    <w:rsid w:val="009C5D35"/>
    <w:rsid w:val="009C5E4F"/>
    <w:rsid w:val="009C64D4"/>
    <w:rsid w:val="009C6930"/>
    <w:rsid w:val="009C6E2B"/>
    <w:rsid w:val="009C737F"/>
    <w:rsid w:val="009C7410"/>
    <w:rsid w:val="009C7A18"/>
    <w:rsid w:val="009C7B17"/>
    <w:rsid w:val="009D01E4"/>
    <w:rsid w:val="009D050E"/>
    <w:rsid w:val="009D112F"/>
    <w:rsid w:val="009D11DE"/>
    <w:rsid w:val="009D124F"/>
    <w:rsid w:val="009D1524"/>
    <w:rsid w:val="009D16D2"/>
    <w:rsid w:val="009D18CD"/>
    <w:rsid w:val="009D18EF"/>
    <w:rsid w:val="009D24B9"/>
    <w:rsid w:val="009D2942"/>
    <w:rsid w:val="009D352F"/>
    <w:rsid w:val="009D3788"/>
    <w:rsid w:val="009D381E"/>
    <w:rsid w:val="009D38DF"/>
    <w:rsid w:val="009D3A67"/>
    <w:rsid w:val="009D3E16"/>
    <w:rsid w:val="009D4FD6"/>
    <w:rsid w:val="009D5226"/>
    <w:rsid w:val="009D5893"/>
    <w:rsid w:val="009D62C2"/>
    <w:rsid w:val="009D66C5"/>
    <w:rsid w:val="009D6A6A"/>
    <w:rsid w:val="009D6D47"/>
    <w:rsid w:val="009D6E0C"/>
    <w:rsid w:val="009D720B"/>
    <w:rsid w:val="009D7BDD"/>
    <w:rsid w:val="009D7DB2"/>
    <w:rsid w:val="009E092E"/>
    <w:rsid w:val="009E0CF5"/>
    <w:rsid w:val="009E15A8"/>
    <w:rsid w:val="009E19D2"/>
    <w:rsid w:val="009E1F8E"/>
    <w:rsid w:val="009E2183"/>
    <w:rsid w:val="009E2906"/>
    <w:rsid w:val="009E305D"/>
    <w:rsid w:val="009E37C6"/>
    <w:rsid w:val="009E37E0"/>
    <w:rsid w:val="009E47DB"/>
    <w:rsid w:val="009E4BC6"/>
    <w:rsid w:val="009E555F"/>
    <w:rsid w:val="009E5D30"/>
    <w:rsid w:val="009E67A5"/>
    <w:rsid w:val="009E7060"/>
    <w:rsid w:val="009E7711"/>
    <w:rsid w:val="009E772B"/>
    <w:rsid w:val="009E77B2"/>
    <w:rsid w:val="009E7E79"/>
    <w:rsid w:val="009E7EB6"/>
    <w:rsid w:val="009F01D3"/>
    <w:rsid w:val="009F0780"/>
    <w:rsid w:val="009F07CD"/>
    <w:rsid w:val="009F089F"/>
    <w:rsid w:val="009F0CC6"/>
    <w:rsid w:val="009F0DC4"/>
    <w:rsid w:val="009F10CD"/>
    <w:rsid w:val="009F1107"/>
    <w:rsid w:val="009F23BD"/>
    <w:rsid w:val="009F255E"/>
    <w:rsid w:val="009F25A3"/>
    <w:rsid w:val="009F2AFA"/>
    <w:rsid w:val="009F34A1"/>
    <w:rsid w:val="009F352F"/>
    <w:rsid w:val="009F3C2D"/>
    <w:rsid w:val="009F3C33"/>
    <w:rsid w:val="009F40C7"/>
    <w:rsid w:val="009F459C"/>
    <w:rsid w:val="009F47EB"/>
    <w:rsid w:val="009F4DD0"/>
    <w:rsid w:val="009F4DE2"/>
    <w:rsid w:val="009F54B2"/>
    <w:rsid w:val="009F576C"/>
    <w:rsid w:val="009F5944"/>
    <w:rsid w:val="009F5A87"/>
    <w:rsid w:val="009F5C80"/>
    <w:rsid w:val="009F5E07"/>
    <w:rsid w:val="009F63BC"/>
    <w:rsid w:val="009F7E87"/>
    <w:rsid w:val="00A004A0"/>
    <w:rsid w:val="00A015C3"/>
    <w:rsid w:val="00A01813"/>
    <w:rsid w:val="00A018DA"/>
    <w:rsid w:val="00A01EB8"/>
    <w:rsid w:val="00A01FB7"/>
    <w:rsid w:val="00A02011"/>
    <w:rsid w:val="00A02768"/>
    <w:rsid w:val="00A028BC"/>
    <w:rsid w:val="00A02A5F"/>
    <w:rsid w:val="00A03120"/>
    <w:rsid w:val="00A03348"/>
    <w:rsid w:val="00A0347A"/>
    <w:rsid w:val="00A03661"/>
    <w:rsid w:val="00A0389E"/>
    <w:rsid w:val="00A03DE9"/>
    <w:rsid w:val="00A050C9"/>
    <w:rsid w:val="00A055CF"/>
    <w:rsid w:val="00A0570F"/>
    <w:rsid w:val="00A057B9"/>
    <w:rsid w:val="00A05A05"/>
    <w:rsid w:val="00A05A7D"/>
    <w:rsid w:val="00A05B55"/>
    <w:rsid w:val="00A0642C"/>
    <w:rsid w:val="00A065E4"/>
    <w:rsid w:val="00A0673D"/>
    <w:rsid w:val="00A06839"/>
    <w:rsid w:val="00A06A63"/>
    <w:rsid w:val="00A06B21"/>
    <w:rsid w:val="00A07553"/>
    <w:rsid w:val="00A0786B"/>
    <w:rsid w:val="00A07F82"/>
    <w:rsid w:val="00A10555"/>
    <w:rsid w:val="00A1055B"/>
    <w:rsid w:val="00A1057C"/>
    <w:rsid w:val="00A105E8"/>
    <w:rsid w:val="00A10749"/>
    <w:rsid w:val="00A1076E"/>
    <w:rsid w:val="00A10CFF"/>
    <w:rsid w:val="00A10D60"/>
    <w:rsid w:val="00A10E9F"/>
    <w:rsid w:val="00A1101A"/>
    <w:rsid w:val="00A11572"/>
    <w:rsid w:val="00A1222D"/>
    <w:rsid w:val="00A12888"/>
    <w:rsid w:val="00A13B28"/>
    <w:rsid w:val="00A148B2"/>
    <w:rsid w:val="00A14984"/>
    <w:rsid w:val="00A14A69"/>
    <w:rsid w:val="00A14FDD"/>
    <w:rsid w:val="00A16CC7"/>
    <w:rsid w:val="00A16DC6"/>
    <w:rsid w:val="00A17172"/>
    <w:rsid w:val="00A171B5"/>
    <w:rsid w:val="00A171FB"/>
    <w:rsid w:val="00A17438"/>
    <w:rsid w:val="00A17441"/>
    <w:rsid w:val="00A1775F"/>
    <w:rsid w:val="00A20C17"/>
    <w:rsid w:val="00A21048"/>
    <w:rsid w:val="00A210A0"/>
    <w:rsid w:val="00A21984"/>
    <w:rsid w:val="00A21A34"/>
    <w:rsid w:val="00A228AA"/>
    <w:rsid w:val="00A228F2"/>
    <w:rsid w:val="00A22A4C"/>
    <w:rsid w:val="00A22B2B"/>
    <w:rsid w:val="00A2331B"/>
    <w:rsid w:val="00A2344C"/>
    <w:rsid w:val="00A239AD"/>
    <w:rsid w:val="00A23F1B"/>
    <w:rsid w:val="00A24305"/>
    <w:rsid w:val="00A24339"/>
    <w:rsid w:val="00A2478B"/>
    <w:rsid w:val="00A24A9E"/>
    <w:rsid w:val="00A24BB3"/>
    <w:rsid w:val="00A2500A"/>
    <w:rsid w:val="00A25035"/>
    <w:rsid w:val="00A25393"/>
    <w:rsid w:val="00A265FA"/>
    <w:rsid w:val="00A27781"/>
    <w:rsid w:val="00A27CF1"/>
    <w:rsid w:val="00A27EAE"/>
    <w:rsid w:val="00A30C6C"/>
    <w:rsid w:val="00A30F2A"/>
    <w:rsid w:val="00A311A2"/>
    <w:rsid w:val="00A31D9D"/>
    <w:rsid w:val="00A32266"/>
    <w:rsid w:val="00A326DB"/>
    <w:rsid w:val="00A32CC2"/>
    <w:rsid w:val="00A33389"/>
    <w:rsid w:val="00A343CC"/>
    <w:rsid w:val="00A34FD1"/>
    <w:rsid w:val="00A35089"/>
    <w:rsid w:val="00A35504"/>
    <w:rsid w:val="00A35A66"/>
    <w:rsid w:val="00A36652"/>
    <w:rsid w:val="00A36EEB"/>
    <w:rsid w:val="00A37044"/>
    <w:rsid w:val="00A37798"/>
    <w:rsid w:val="00A37BEA"/>
    <w:rsid w:val="00A37E68"/>
    <w:rsid w:val="00A37E75"/>
    <w:rsid w:val="00A4088D"/>
    <w:rsid w:val="00A409CD"/>
    <w:rsid w:val="00A4109C"/>
    <w:rsid w:val="00A411A4"/>
    <w:rsid w:val="00A418CA"/>
    <w:rsid w:val="00A41983"/>
    <w:rsid w:val="00A419B2"/>
    <w:rsid w:val="00A41AE2"/>
    <w:rsid w:val="00A41E3D"/>
    <w:rsid w:val="00A422C5"/>
    <w:rsid w:val="00A42C89"/>
    <w:rsid w:val="00A42E9F"/>
    <w:rsid w:val="00A42F10"/>
    <w:rsid w:val="00A42F76"/>
    <w:rsid w:val="00A439DD"/>
    <w:rsid w:val="00A44C35"/>
    <w:rsid w:val="00A44C56"/>
    <w:rsid w:val="00A45232"/>
    <w:rsid w:val="00A45529"/>
    <w:rsid w:val="00A46388"/>
    <w:rsid w:val="00A467E3"/>
    <w:rsid w:val="00A46AB0"/>
    <w:rsid w:val="00A46E1E"/>
    <w:rsid w:val="00A46ED1"/>
    <w:rsid w:val="00A474B1"/>
    <w:rsid w:val="00A4759C"/>
    <w:rsid w:val="00A50786"/>
    <w:rsid w:val="00A509A2"/>
    <w:rsid w:val="00A50D66"/>
    <w:rsid w:val="00A511B0"/>
    <w:rsid w:val="00A511F8"/>
    <w:rsid w:val="00A512B6"/>
    <w:rsid w:val="00A5131E"/>
    <w:rsid w:val="00A513C1"/>
    <w:rsid w:val="00A51AAF"/>
    <w:rsid w:val="00A52065"/>
    <w:rsid w:val="00A5275B"/>
    <w:rsid w:val="00A527F3"/>
    <w:rsid w:val="00A529DE"/>
    <w:rsid w:val="00A52A8B"/>
    <w:rsid w:val="00A52BFC"/>
    <w:rsid w:val="00A5305E"/>
    <w:rsid w:val="00A53940"/>
    <w:rsid w:val="00A54E90"/>
    <w:rsid w:val="00A551A4"/>
    <w:rsid w:val="00A557C7"/>
    <w:rsid w:val="00A558C5"/>
    <w:rsid w:val="00A56FBB"/>
    <w:rsid w:val="00A57061"/>
    <w:rsid w:val="00A57DB9"/>
    <w:rsid w:val="00A57F76"/>
    <w:rsid w:val="00A605C4"/>
    <w:rsid w:val="00A60705"/>
    <w:rsid w:val="00A60B2E"/>
    <w:rsid w:val="00A614FC"/>
    <w:rsid w:val="00A6183B"/>
    <w:rsid w:val="00A61CD2"/>
    <w:rsid w:val="00A61F08"/>
    <w:rsid w:val="00A62433"/>
    <w:rsid w:val="00A62EDE"/>
    <w:rsid w:val="00A638A6"/>
    <w:rsid w:val="00A63DFA"/>
    <w:rsid w:val="00A645CE"/>
    <w:rsid w:val="00A6470F"/>
    <w:rsid w:val="00A64756"/>
    <w:rsid w:val="00A64ABA"/>
    <w:rsid w:val="00A65047"/>
    <w:rsid w:val="00A650C9"/>
    <w:rsid w:val="00A654AB"/>
    <w:rsid w:val="00A65D94"/>
    <w:rsid w:val="00A66C62"/>
    <w:rsid w:val="00A66C7E"/>
    <w:rsid w:val="00A66CEF"/>
    <w:rsid w:val="00A66EBD"/>
    <w:rsid w:val="00A66EF9"/>
    <w:rsid w:val="00A67163"/>
    <w:rsid w:val="00A67356"/>
    <w:rsid w:val="00A67373"/>
    <w:rsid w:val="00A67376"/>
    <w:rsid w:val="00A673EB"/>
    <w:rsid w:val="00A6750E"/>
    <w:rsid w:val="00A675B0"/>
    <w:rsid w:val="00A67997"/>
    <w:rsid w:val="00A67CCA"/>
    <w:rsid w:val="00A67D2D"/>
    <w:rsid w:val="00A71120"/>
    <w:rsid w:val="00A71423"/>
    <w:rsid w:val="00A71D28"/>
    <w:rsid w:val="00A72023"/>
    <w:rsid w:val="00A72205"/>
    <w:rsid w:val="00A72424"/>
    <w:rsid w:val="00A724D2"/>
    <w:rsid w:val="00A72849"/>
    <w:rsid w:val="00A72A7C"/>
    <w:rsid w:val="00A72AB2"/>
    <w:rsid w:val="00A72AD2"/>
    <w:rsid w:val="00A7332E"/>
    <w:rsid w:val="00A73C53"/>
    <w:rsid w:val="00A73DFF"/>
    <w:rsid w:val="00A74637"/>
    <w:rsid w:val="00A74873"/>
    <w:rsid w:val="00A74DCA"/>
    <w:rsid w:val="00A74EB9"/>
    <w:rsid w:val="00A752EB"/>
    <w:rsid w:val="00A753CD"/>
    <w:rsid w:val="00A7636D"/>
    <w:rsid w:val="00A768A9"/>
    <w:rsid w:val="00A76C94"/>
    <w:rsid w:val="00A76D00"/>
    <w:rsid w:val="00A77421"/>
    <w:rsid w:val="00A77AAD"/>
    <w:rsid w:val="00A77E34"/>
    <w:rsid w:val="00A8055A"/>
    <w:rsid w:val="00A809CA"/>
    <w:rsid w:val="00A8160B"/>
    <w:rsid w:val="00A81CDB"/>
    <w:rsid w:val="00A82654"/>
    <w:rsid w:val="00A8272B"/>
    <w:rsid w:val="00A82F6E"/>
    <w:rsid w:val="00A83049"/>
    <w:rsid w:val="00A831E0"/>
    <w:rsid w:val="00A83279"/>
    <w:rsid w:val="00A839D2"/>
    <w:rsid w:val="00A84434"/>
    <w:rsid w:val="00A846E9"/>
    <w:rsid w:val="00A847A6"/>
    <w:rsid w:val="00A84B06"/>
    <w:rsid w:val="00A84F87"/>
    <w:rsid w:val="00A8596E"/>
    <w:rsid w:val="00A85A5F"/>
    <w:rsid w:val="00A85DC0"/>
    <w:rsid w:val="00A861B1"/>
    <w:rsid w:val="00A86479"/>
    <w:rsid w:val="00A86932"/>
    <w:rsid w:val="00A86A90"/>
    <w:rsid w:val="00A86C58"/>
    <w:rsid w:val="00A86D7D"/>
    <w:rsid w:val="00A86EBF"/>
    <w:rsid w:val="00A8733D"/>
    <w:rsid w:val="00A879C5"/>
    <w:rsid w:val="00A87B23"/>
    <w:rsid w:val="00A87BC5"/>
    <w:rsid w:val="00A87D39"/>
    <w:rsid w:val="00A904F0"/>
    <w:rsid w:val="00A9119B"/>
    <w:rsid w:val="00A9191A"/>
    <w:rsid w:val="00A91EF6"/>
    <w:rsid w:val="00A9204A"/>
    <w:rsid w:val="00A92CBD"/>
    <w:rsid w:val="00A935D7"/>
    <w:rsid w:val="00A93A47"/>
    <w:rsid w:val="00A93D92"/>
    <w:rsid w:val="00A941D0"/>
    <w:rsid w:val="00A944E2"/>
    <w:rsid w:val="00A946DC"/>
    <w:rsid w:val="00A947CF"/>
    <w:rsid w:val="00A94E39"/>
    <w:rsid w:val="00A955D5"/>
    <w:rsid w:val="00A959D6"/>
    <w:rsid w:val="00A95FA3"/>
    <w:rsid w:val="00A960AC"/>
    <w:rsid w:val="00A96343"/>
    <w:rsid w:val="00A967D9"/>
    <w:rsid w:val="00A96E5C"/>
    <w:rsid w:val="00A96F3D"/>
    <w:rsid w:val="00A97299"/>
    <w:rsid w:val="00A9761A"/>
    <w:rsid w:val="00A977E8"/>
    <w:rsid w:val="00A978F9"/>
    <w:rsid w:val="00AA0E32"/>
    <w:rsid w:val="00AA1078"/>
    <w:rsid w:val="00AA14C8"/>
    <w:rsid w:val="00AA1574"/>
    <w:rsid w:val="00AA2092"/>
    <w:rsid w:val="00AA2F47"/>
    <w:rsid w:val="00AA3459"/>
    <w:rsid w:val="00AA459D"/>
    <w:rsid w:val="00AA4660"/>
    <w:rsid w:val="00AA512F"/>
    <w:rsid w:val="00AA5C4F"/>
    <w:rsid w:val="00AA5CD7"/>
    <w:rsid w:val="00AA5D63"/>
    <w:rsid w:val="00AA6736"/>
    <w:rsid w:val="00AA779F"/>
    <w:rsid w:val="00AB0686"/>
    <w:rsid w:val="00AB1C69"/>
    <w:rsid w:val="00AB1CB6"/>
    <w:rsid w:val="00AB1D14"/>
    <w:rsid w:val="00AB1DC5"/>
    <w:rsid w:val="00AB1DC6"/>
    <w:rsid w:val="00AB1EDE"/>
    <w:rsid w:val="00AB2294"/>
    <w:rsid w:val="00AB22EC"/>
    <w:rsid w:val="00AB23AD"/>
    <w:rsid w:val="00AB3C74"/>
    <w:rsid w:val="00AB3D7A"/>
    <w:rsid w:val="00AB3F89"/>
    <w:rsid w:val="00AB45DF"/>
    <w:rsid w:val="00AB4680"/>
    <w:rsid w:val="00AB4D03"/>
    <w:rsid w:val="00AB4FA9"/>
    <w:rsid w:val="00AB5161"/>
    <w:rsid w:val="00AB5330"/>
    <w:rsid w:val="00AB58FF"/>
    <w:rsid w:val="00AB6BEA"/>
    <w:rsid w:val="00AB6D99"/>
    <w:rsid w:val="00AB6E22"/>
    <w:rsid w:val="00AB6ECC"/>
    <w:rsid w:val="00AB731B"/>
    <w:rsid w:val="00AB750F"/>
    <w:rsid w:val="00AB7542"/>
    <w:rsid w:val="00AC01C1"/>
    <w:rsid w:val="00AC09A1"/>
    <w:rsid w:val="00AC0A2D"/>
    <w:rsid w:val="00AC0B87"/>
    <w:rsid w:val="00AC14AE"/>
    <w:rsid w:val="00AC18B0"/>
    <w:rsid w:val="00AC24D0"/>
    <w:rsid w:val="00AC2E9F"/>
    <w:rsid w:val="00AC2EF6"/>
    <w:rsid w:val="00AC3204"/>
    <w:rsid w:val="00AC3380"/>
    <w:rsid w:val="00AC3B12"/>
    <w:rsid w:val="00AC3CB8"/>
    <w:rsid w:val="00AC44DC"/>
    <w:rsid w:val="00AC487E"/>
    <w:rsid w:val="00AC48C9"/>
    <w:rsid w:val="00AC4CFD"/>
    <w:rsid w:val="00AC501A"/>
    <w:rsid w:val="00AC538D"/>
    <w:rsid w:val="00AC5535"/>
    <w:rsid w:val="00AC5B64"/>
    <w:rsid w:val="00AC719A"/>
    <w:rsid w:val="00AC7597"/>
    <w:rsid w:val="00AC7CC0"/>
    <w:rsid w:val="00AD0960"/>
    <w:rsid w:val="00AD0AA2"/>
    <w:rsid w:val="00AD0C92"/>
    <w:rsid w:val="00AD0EA9"/>
    <w:rsid w:val="00AD1037"/>
    <w:rsid w:val="00AD16D3"/>
    <w:rsid w:val="00AD1931"/>
    <w:rsid w:val="00AD19E3"/>
    <w:rsid w:val="00AD1B11"/>
    <w:rsid w:val="00AD1D14"/>
    <w:rsid w:val="00AD1D99"/>
    <w:rsid w:val="00AD1DC9"/>
    <w:rsid w:val="00AD1DFA"/>
    <w:rsid w:val="00AD20F5"/>
    <w:rsid w:val="00AD2333"/>
    <w:rsid w:val="00AD284B"/>
    <w:rsid w:val="00AD2A8B"/>
    <w:rsid w:val="00AD2C56"/>
    <w:rsid w:val="00AD2F5F"/>
    <w:rsid w:val="00AD32D5"/>
    <w:rsid w:val="00AD46FE"/>
    <w:rsid w:val="00AD4EA3"/>
    <w:rsid w:val="00AD5127"/>
    <w:rsid w:val="00AD594F"/>
    <w:rsid w:val="00AD6240"/>
    <w:rsid w:val="00AD7FAA"/>
    <w:rsid w:val="00AE0187"/>
    <w:rsid w:val="00AE06A6"/>
    <w:rsid w:val="00AE0986"/>
    <w:rsid w:val="00AE20C4"/>
    <w:rsid w:val="00AE26A0"/>
    <w:rsid w:val="00AE26CB"/>
    <w:rsid w:val="00AE2984"/>
    <w:rsid w:val="00AE2DC7"/>
    <w:rsid w:val="00AE2EFD"/>
    <w:rsid w:val="00AE3518"/>
    <w:rsid w:val="00AE4D19"/>
    <w:rsid w:val="00AE5622"/>
    <w:rsid w:val="00AE5940"/>
    <w:rsid w:val="00AE5A43"/>
    <w:rsid w:val="00AE5F0E"/>
    <w:rsid w:val="00AE5F7D"/>
    <w:rsid w:val="00AE605D"/>
    <w:rsid w:val="00AE66CA"/>
    <w:rsid w:val="00AE6E15"/>
    <w:rsid w:val="00AE7B9A"/>
    <w:rsid w:val="00AF068F"/>
    <w:rsid w:val="00AF071B"/>
    <w:rsid w:val="00AF09E9"/>
    <w:rsid w:val="00AF0E92"/>
    <w:rsid w:val="00AF0FBB"/>
    <w:rsid w:val="00AF1FF4"/>
    <w:rsid w:val="00AF2373"/>
    <w:rsid w:val="00AF2676"/>
    <w:rsid w:val="00AF2804"/>
    <w:rsid w:val="00AF2A7E"/>
    <w:rsid w:val="00AF2AA5"/>
    <w:rsid w:val="00AF2F20"/>
    <w:rsid w:val="00AF2F8B"/>
    <w:rsid w:val="00AF33B1"/>
    <w:rsid w:val="00AF3D90"/>
    <w:rsid w:val="00AF3F4F"/>
    <w:rsid w:val="00AF41BB"/>
    <w:rsid w:val="00AF41E6"/>
    <w:rsid w:val="00AF44D3"/>
    <w:rsid w:val="00AF481D"/>
    <w:rsid w:val="00AF4CF5"/>
    <w:rsid w:val="00AF4D90"/>
    <w:rsid w:val="00AF4F52"/>
    <w:rsid w:val="00AF5403"/>
    <w:rsid w:val="00AF551C"/>
    <w:rsid w:val="00AF55E7"/>
    <w:rsid w:val="00AF59DC"/>
    <w:rsid w:val="00AF5DF9"/>
    <w:rsid w:val="00AF5E73"/>
    <w:rsid w:val="00AF5FA1"/>
    <w:rsid w:val="00AF6286"/>
    <w:rsid w:val="00AF6312"/>
    <w:rsid w:val="00AF652A"/>
    <w:rsid w:val="00AF6B67"/>
    <w:rsid w:val="00AF6C5D"/>
    <w:rsid w:val="00AF6C8D"/>
    <w:rsid w:val="00AF743D"/>
    <w:rsid w:val="00AF7689"/>
    <w:rsid w:val="00AF7E97"/>
    <w:rsid w:val="00AF7FEA"/>
    <w:rsid w:val="00B00320"/>
    <w:rsid w:val="00B00458"/>
    <w:rsid w:val="00B00599"/>
    <w:rsid w:val="00B00886"/>
    <w:rsid w:val="00B00E85"/>
    <w:rsid w:val="00B00F8A"/>
    <w:rsid w:val="00B0110B"/>
    <w:rsid w:val="00B0141D"/>
    <w:rsid w:val="00B0144A"/>
    <w:rsid w:val="00B01BDA"/>
    <w:rsid w:val="00B01CBB"/>
    <w:rsid w:val="00B02065"/>
    <w:rsid w:val="00B024D2"/>
    <w:rsid w:val="00B02602"/>
    <w:rsid w:val="00B027F7"/>
    <w:rsid w:val="00B0295F"/>
    <w:rsid w:val="00B02B1D"/>
    <w:rsid w:val="00B02BF1"/>
    <w:rsid w:val="00B02D17"/>
    <w:rsid w:val="00B03957"/>
    <w:rsid w:val="00B04A89"/>
    <w:rsid w:val="00B04BDF"/>
    <w:rsid w:val="00B05012"/>
    <w:rsid w:val="00B057E2"/>
    <w:rsid w:val="00B05A24"/>
    <w:rsid w:val="00B05AA9"/>
    <w:rsid w:val="00B05D81"/>
    <w:rsid w:val="00B05FE1"/>
    <w:rsid w:val="00B06317"/>
    <w:rsid w:val="00B063BE"/>
    <w:rsid w:val="00B068B8"/>
    <w:rsid w:val="00B06A86"/>
    <w:rsid w:val="00B06AF3"/>
    <w:rsid w:val="00B06F6C"/>
    <w:rsid w:val="00B07091"/>
    <w:rsid w:val="00B07AC0"/>
    <w:rsid w:val="00B10324"/>
    <w:rsid w:val="00B10A31"/>
    <w:rsid w:val="00B10AF1"/>
    <w:rsid w:val="00B10AFF"/>
    <w:rsid w:val="00B10E86"/>
    <w:rsid w:val="00B1194D"/>
    <w:rsid w:val="00B11988"/>
    <w:rsid w:val="00B11C9C"/>
    <w:rsid w:val="00B12486"/>
    <w:rsid w:val="00B1283D"/>
    <w:rsid w:val="00B1379D"/>
    <w:rsid w:val="00B13958"/>
    <w:rsid w:val="00B13A1E"/>
    <w:rsid w:val="00B14B13"/>
    <w:rsid w:val="00B15CF1"/>
    <w:rsid w:val="00B15F9A"/>
    <w:rsid w:val="00B16380"/>
    <w:rsid w:val="00B164CD"/>
    <w:rsid w:val="00B16A5E"/>
    <w:rsid w:val="00B16AE2"/>
    <w:rsid w:val="00B16DDD"/>
    <w:rsid w:val="00B1702F"/>
    <w:rsid w:val="00B1731D"/>
    <w:rsid w:val="00B17A21"/>
    <w:rsid w:val="00B17F7D"/>
    <w:rsid w:val="00B20033"/>
    <w:rsid w:val="00B2030E"/>
    <w:rsid w:val="00B209D4"/>
    <w:rsid w:val="00B20E75"/>
    <w:rsid w:val="00B20F3F"/>
    <w:rsid w:val="00B21488"/>
    <w:rsid w:val="00B21B51"/>
    <w:rsid w:val="00B21DE6"/>
    <w:rsid w:val="00B21DF1"/>
    <w:rsid w:val="00B22441"/>
    <w:rsid w:val="00B2268C"/>
    <w:rsid w:val="00B22B09"/>
    <w:rsid w:val="00B22BAD"/>
    <w:rsid w:val="00B22FB1"/>
    <w:rsid w:val="00B23004"/>
    <w:rsid w:val="00B233F0"/>
    <w:rsid w:val="00B2394B"/>
    <w:rsid w:val="00B23EED"/>
    <w:rsid w:val="00B24354"/>
    <w:rsid w:val="00B2496B"/>
    <w:rsid w:val="00B24C0D"/>
    <w:rsid w:val="00B25576"/>
    <w:rsid w:val="00B25612"/>
    <w:rsid w:val="00B25AEB"/>
    <w:rsid w:val="00B25C85"/>
    <w:rsid w:val="00B269BE"/>
    <w:rsid w:val="00B26A77"/>
    <w:rsid w:val="00B26AD8"/>
    <w:rsid w:val="00B26C9F"/>
    <w:rsid w:val="00B26CCC"/>
    <w:rsid w:val="00B26E8A"/>
    <w:rsid w:val="00B300FB"/>
    <w:rsid w:val="00B301DF"/>
    <w:rsid w:val="00B30B12"/>
    <w:rsid w:val="00B31536"/>
    <w:rsid w:val="00B31B21"/>
    <w:rsid w:val="00B31B3D"/>
    <w:rsid w:val="00B31BA0"/>
    <w:rsid w:val="00B32089"/>
    <w:rsid w:val="00B32AB5"/>
    <w:rsid w:val="00B32FB6"/>
    <w:rsid w:val="00B33079"/>
    <w:rsid w:val="00B3324E"/>
    <w:rsid w:val="00B337CD"/>
    <w:rsid w:val="00B33896"/>
    <w:rsid w:val="00B33C85"/>
    <w:rsid w:val="00B346F3"/>
    <w:rsid w:val="00B34DB9"/>
    <w:rsid w:val="00B35121"/>
    <w:rsid w:val="00B351A2"/>
    <w:rsid w:val="00B35FD2"/>
    <w:rsid w:val="00B36114"/>
    <w:rsid w:val="00B36188"/>
    <w:rsid w:val="00B36368"/>
    <w:rsid w:val="00B365A8"/>
    <w:rsid w:val="00B36618"/>
    <w:rsid w:val="00B369F4"/>
    <w:rsid w:val="00B371C2"/>
    <w:rsid w:val="00B37703"/>
    <w:rsid w:val="00B37985"/>
    <w:rsid w:val="00B379F0"/>
    <w:rsid w:val="00B37A77"/>
    <w:rsid w:val="00B409C9"/>
    <w:rsid w:val="00B40B59"/>
    <w:rsid w:val="00B40FB0"/>
    <w:rsid w:val="00B415E2"/>
    <w:rsid w:val="00B41A40"/>
    <w:rsid w:val="00B42841"/>
    <w:rsid w:val="00B429A0"/>
    <w:rsid w:val="00B42E50"/>
    <w:rsid w:val="00B43278"/>
    <w:rsid w:val="00B43763"/>
    <w:rsid w:val="00B439AA"/>
    <w:rsid w:val="00B43C9B"/>
    <w:rsid w:val="00B44CEC"/>
    <w:rsid w:val="00B450BB"/>
    <w:rsid w:val="00B45FFB"/>
    <w:rsid w:val="00B4683A"/>
    <w:rsid w:val="00B46CB7"/>
    <w:rsid w:val="00B47010"/>
    <w:rsid w:val="00B47823"/>
    <w:rsid w:val="00B50163"/>
    <w:rsid w:val="00B5073A"/>
    <w:rsid w:val="00B509E8"/>
    <w:rsid w:val="00B50CCE"/>
    <w:rsid w:val="00B50CD6"/>
    <w:rsid w:val="00B50DB6"/>
    <w:rsid w:val="00B51B89"/>
    <w:rsid w:val="00B51EBF"/>
    <w:rsid w:val="00B526B8"/>
    <w:rsid w:val="00B528C9"/>
    <w:rsid w:val="00B5294F"/>
    <w:rsid w:val="00B52E3B"/>
    <w:rsid w:val="00B532C0"/>
    <w:rsid w:val="00B5353F"/>
    <w:rsid w:val="00B53CD0"/>
    <w:rsid w:val="00B53D0E"/>
    <w:rsid w:val="00B53E70"/>
    <w:rsid w:val="00B53F3E"/>
    <w:rsid w:val="00B542DE"/>
    <w:rsid w:val="00B550FB"/>
    <w:rsid w:val="00B556B7"/>
    <w:rsid w:val="00B559E3"/>
    <w:rsid w:val="00B55B19"/>
    <w:rsid w:val="00B55EEB"/>
    <w:rsid w:val="00B56A5E"/>
    <w:rsid w:val="00B56AA5"/>
    <w:rsid w:val="00B56AD3"/>
    <w:rsid w:val="00B56D07"/>
    <w:rsid w:val="00B571ED"/>
    <w:rsid w:val="00B57A04"/>
    <w:rsid w:val="00B57E87"/>
    <w:rsid w:val="00B57FD3"/>
    <w:rsid w:val="00B60A07"/>
    <w:rsid w:val="00B610AE"/>
    <w:rsid w:val="00B618CE"/>
    <w:rsid w:val="00B618DE"/>
    <w:rsid w:val="00B61B68"/>
    <w:rsid w:val="00B61DCA"/>
    <w:rsid w:val="00B62405"/>
    <w:rsid w:val="00B62797"/>
    <w:rsid w:val="00B62D0D"/>
    <w:rsid w:val="00B636A1"/>
    <w:rsid w:val="00B64169"/>
    <w:rsid w:val="00B64B81"/>
    <w:rsid w:val="00B65449"/>
    <w:rsid w:val="00B6545C"/>
    <w:rsid w:val="00B656F1"/>
    <w:rsid w:val="00B6668D"/>
    <w:rsid w:val="00B66898"/>
    <w:rsid w:val="00B66B3E"/>
    <w:rsid w:val="00B66C3E"/>
    <w:rsid w:val="00B67160"/>
    <w:rsid w:val="00B67277"/>
    <w:rsid w:val="00B672EA"/>
    <w:rsid w:val="00B700E3"/>
    <w:rsid w:val="00B7063F"/>
    <w:rsid w:val="00B70706"/>
    <w:rsid w:val="00B70A6D"/>
    <w:rsid w:val="00B70B53"/>
    <w:rsid w:val="00B70D21"/>
    <w:rsid w:val="00B70E59"/>
    <w:rsid w:val="00B71B2B"/>
    <w:rsid w:val="00B721EB"/>
    <w:rsid w:val="00B721F5"/>
    <w:rsid w:val="00B724B7"/>
    <w:rsid w:val="00B72FBC"/>
    <w:rsid w:val="00B73AED"/>
    <w:rsid w:val="00B74054"/>
    <w:rsid w:val="00B744F4"/>
    <w:rsid w:val="00B748F9"/>
    <w:rsid w:val="00B74BB0"/>
    <w:rsid w:val="00B7500A"/>
    <w:rsid w:val="00B7565B"/>
    <w:rsid w:val="00B75C88"/>
    <w:rsid w:val="00B762BB"/>
    <w:rsid w:val="00B767C1"/>
    <w:rsid w:val="00B7685C"/>
    <w:rsid w:val="00B76F20"/>
    <w:rsid w:val="00B770BF"/>
    <w:rsid w:val="00B77EFD"/>
    <w:rsid w:val="00B8007B"/>
    <w:rsid w:val="00B802F8"/>
    <w:rsid w:val="00B809EF"/>
    <w:rsid w:val="00B81557"/>
    <w:rsid w:val="00B81623"/>
    <w:rsid w:val="00B81985"/>
    <w:rsid w:val="00B81B65"/>
    <w:rsid w:val="00B81CDF"/>
    <w:rsid w:val="00B81FBF"/>
    <w:rsid w:val="00B82122"/>
    <w:rsid w:val="00B82148"/>
    <w:rsid w:val="00B8261F"/>
    <w:rsid w:val="00B8269F"/>
    <w:rsid w:val="00B82718"/>
    <w:rsid w:val="00B82C1E"/>
    <w:rsid w:val="00B83587"/>
    <w:rsid w:val="00B83B9F"/>
    <w:rsid w:val="00B83DDE"/>
    <w:rsid w:val="00B8403E"/>
    <w:rsid w:val="00B843E4"/>
    <w:rsid w:val="00B8454B"/>
    <w:rsid w:val="00B8487B"/>
    <w:rsid w:val="00B84B2C"/>
    <w:rsid w:val="00B84B35"/>
    <w:rsid w:val="00B84B8C"/>
    <w:rsid w:val="00B84C81"/>
    <w:rsid w:val="00B84CD8"/>
    <w:rsid w:val="00B84DB3"/>
    <w:rsid w:val="00B8507B"/>
    <w:rsid w:val="00B8602E"/>
    <w:rsid w:val="00B861F4"/>
    <w:rsid w:val="00B86386"/>
    <w:rsid w:val="00B878DA"/>
    <w:rsid w:val="00B903F2"/>
    <w:rsid w:val="00B9072A"/>
    <w:rsid w:val="00B9293C"/>
    <w:rsid w:val="00B9338A"/>
    <w:rsid w:val="00B938DC"/>
    <w:rsid w:val="00B939CF"/>
    <w:rsid w:val="00B93EFD"/>
    <w:rsid w:val="00B948C2"/>
    <w:rsid w:val="00B94D54"/>
    <w:rsid w:val="00B955AE"/>
    <w:rsid w:val="00B956E5"/>
    <w:rsid w:val="00B95938"/>
    <w:rsid w:val="00B959FE"/>
    <w:rsid w:val="00B95ABB"/>
    <w:rsid w:val="00B95DB0"/>
    <w:rsid w:val="00B964A7"/>
    <w:rsid w:val="00B96699"/>
    <w:rsid w:val="00B96DD3"/>
    <w:rsid w:val="00B97F79"/>
    <w:rsid w:val="00BA00EE"/>
    <w:rsid w:val="00BA02C0"/>
    <w:rsid w:val="00BA085E"/>
    <w:rsid w:val="00BA1689"/>
    <w:rsid w:val="00BA1BAE"/>
    <w:rsid w:val="00BA1C33"/>
    <w:rsid w:val="00BA2716"/>
    <w:rsid w:val="00BA2907"/>
    <w:rsid w:val="00BA2BFD"/>
    <w:rsid w:val="00BA2DDA"/>
    <w:rsid w:val="00BA30BF"/>
    <w:rsid w:val="00BA4341"/>
    <w:rsid w:val="00BA48FC"/>
    <w:rsid w:val="00BA494F"/>
    <w:rsid w:val="00BA4EC5"/>
    <w:rsid w:val="00BA4F15"/>
    <w:rsid w:val="00BA4FBA"/>
    <w:rsid w:val="00BA53B3"/>
    <w:rsid w:val="00BA5EF1"/>
    <w:rsid w:val="00BA66AF"/>
    <w:rsid w:val="00BA6AE7"/>
    <w:rsid w:val="00BA6DF5"/>
    <w:rsid w:val="00BA71B9"/>
    <w:rsid w:val="00BA73F5"/>
    <w:rsid w:val="00BA7632"/>
    <w:rsid w:val="00BA7658"/>
    <w:rsid w:val="00BA7A62"/>
    <w:rsid w:val="00BA7CA8"/>
    <w:rsid w:val="00BB0212"/>
    <w:rsid w:val="00BB04AE"/>
    <w:rsid w:val="00BB1652"/>
    <w:rsid w:val="00BB19FD"/>
    <w:rsid w:val="00BB2106"/>
    <w:rsid w:val="00BB24F1"/>
    <w:rsid w:val="00BB2773"/>
    <w:rsid w:val="00BB2AE7"/>
    <w:rsid w:val="00BB3B17"/>
    <w:rsid w:val="00BB3D8F"/>
    <w:rsid w:val="00BB3EED"/>
    <w:rsid w:val="00BB485A"/>
    <w:rsid w:val="00BB4984"/>
    <w:rsid w:val="00BB49CB"/>
    <w:rsid w:val="00BB4CF8"/>
    <w:rsid w:val="00BB5151"/>
    <w:rsid w:val="00BB5701"/>
    <w:rsid w:val="00BB5726"/>
    <w:rsid w:val="00BB592E"/>
    <w:rsid w:val="00BB5E2A"/>
    <w:rsid w:val="00BB6379"/>
    <w:rsid w:val="00BB6614"/>
    <w:rsid w:val="00BB687F"/>
    <w:rsid w:val="00BB70DB"/>
    <w:rsid w:val="00BB7250"/>
    <w:rsid w:val="00BB735F"/>
    <w:rsid w:val="00BB7440"/>
    <w:rsid w:val="00BB7775"/>
    <w:rsid w:val="00BC011B"/>
    <w:rsid w:val="00BC041E"/>
    <w:rsid w:val="00BC0AF8"/>
    <w:rsid w:val="00BC0B53"/>
    <w:rsid w:val="00BC0E8A"/>
    <w:rsid w:val="00BC132C"/>
    <w:rsid w:val="00BC1778"/>
    <w:rsid w:val="00BC1FE9"/>
    <w:rsid w:val="00BC264E"/>
    <w:rsid w:val="00BC31E8"/>
    <w:rsid w:val="00BC354A"/>
    <w:rsid w:val="00BC53A5"/>
    <w:rsid w:val="00BC63D2"/>
    <w:rsid w:val="00BC67EA"/>
    <w:rsid w:val="00BC6ADD"/>
    <w:rsid w:val="00BC6BAD"/>
    <w:rsid w:val="00BC79CD"/>
    <w:rsid w:val="00BD002D"/>
    <w:rsid w:val="00BD067B"/>
    <w:rsid w:val="00BD0C62"/>
    <w:rsid w:val="00BD0D79"/>
    <w:rsid w:val="00BD1B54"/>
    <w:rsid w:val="00BD2B84"/>
    <w:rsid w:val="00BD3B1D"/>
    <w:rsid w:val="00BD3D4B"/>
    <w:rsid w:val="00BD4298"/>
    <w:rsid w:val="00BD4B4E"/>
    <w:rsid w:val="00BD4EC7"/>
    <w:rsid w:val="00BD541B"/>
    <w:rsid w:val="00BD54CD"/>
    <w:rsid w:val="00BD5740"/>
    <w:rsid w:val="00BD616F"/>
    <w:rsid w:val="00BD61B7"/>
    <w:rsid w:val="00BD625B"/>
    <w:rsid w:val="00BD65CD"/>
    <w:rsid w:val="00BD697E"/>
    <w:rsid w:val="00BD6E5F"/>
    <w:rsid w:val="00BD7600"/>
    <w:rsid w:val="00BD78D2"/>
    <w:rsid w:val="00BD7A8E"/>
    <w:rsid w:val="00BD7F6F"/>
    <w:rsid w:val="00BE0EED"/>
    <w:rsid w:val="00BE1AF6"/>
    <w:rsid w:val="00BE1F5C"/>
    <w:rsid w:val="00BE220E"/>
    <w:rsid w:val="00BE2E47"/>
    <w:rsid w:val="00BE3314"/>
    <w:rsid w:val="00BE38A0"/>
    <w:rsid w:val="00BE3BB4"/>
    <w:rsid w:val="00BE4057"/>
    <w:rsid w:val="00BE4C1F"/>
    <w:rsid w:val="00BE5E25"/>
    <w:rsid w:val="00BE61BF"/>
    <w:rsid w:val="00BE659B"/>
    <w:rsid w:val="00BE670F"/>
    <w:rsid w:val="00BE69FE"/>
    <w:rsid w:val="00BE71B5"/>
    <w:rsid w:val="00BE71D8"/>
    <w:rsid w:val="00BE77E2"/>
    <w:rsid w:val="00BE7938"/>
    <w:rsid w:val="00BE7A6C"/>
    <w:rsid w:val="00BF0B6C"/>
    <w:rsid w:val="00BF0D3E"/>
    <w:rsid w:val="00BF163F"/>
    <w:rsid w:val="00BF22A5"/>
    <w:rsid w:val="00BF2A21"/>
    <w:rsid w:val="00BF2EE5"/>
    <w:rsid w:val="00BF347F"/>
    <w:rsid w:val="00BF35D8"/>
    <w:rsid w:val="00BF3FB2"/>
    <w:rsid w:val="00BF3FED"/>
    <w:rsid w:val="00BF41E1"/>
    <w:rsid w:val="00BF4842"/>
    <w:rsid w:val="00BF4AA7"/>
    <w:rsid w:val="00BF4CD3"/>
    <w:rsid w:val="00BF555E"/>
    <w:rsid w:val="00BF576C"/>
    <w:rsid w:val="00BF57CC"/>
    <w:rsid w:val="00BF58AD"/>
    <w:rsid w:val="00BF590D"/>
    <w:rsid w:val="00BF596A"/>
    <w:rsid w:val="00BF5D73"/>
    <w:rsid w:val="00BF692F"/>
    <w:rsid w:val="00BF6A6B"/>
    <w:rsid w:val="00BF6BF9"/>
    <w:rsid w:val="00BF73C5"/>
    <w:rsid w:val="00BF7706"/>
    <w:rsid w:val="00BF7BA9"/>
    <w:rsid w:val="00BF7CA1"/>
    <w:rsid w:val="00BF7FAF"/>
    <w:rsid w:val="00C000EC"/>
    <w:rsid w:val="00C01102"/>
    <w:rsid w:val="00C012C2"/>
    <w:rsid w:val="00C01323"/>
    <w:rsid w:val="00C01687"/>
    <w:rsid w:val="00C01DD2"/>
    <w:rsid w:val="00C0263F"/>
    <w:rsid w:val="00C0266F"/>
    <w:rsid w:val="00C02B4E"/>
    <w:rsid w:val="00C02B69"/>
    <w:rsid w:val="00C02EC4"/>
    <w:rsid w:val="00C03127"/>
    <w:rsid w:val="00C03374"/>
    <w:rsid w:val="00C033D0"/>
    <w:rsid w:val="00C037F4"/>
    <w:rsid w:val="00C03B9C"/>
    <w:rsid w:val="00C04092"/>
    <w:rsid w:val="00C040E4"/>
    <w:rsid w:val="00C04724"/>
    <w:rsid w:val="00C04DF8"/>
    <w:rsid w:val="00C05268"/>
    <w:rsid w:val="00C053EB"/>
    <w:rsid w:val="00C055B8"/>
    <w:rsid w:val="00C057CD"/>
    <w:rsid w:val="00C05B47"/>
    <w:rsid w:val="00C0617B"/>
    <w:rsid w:val="00C068C8"/>
    <w:rsid w:val="00C06A77"/>
    <w:rsid w:val="00C06B52"/>
    <w:rsid w:val="00C06E9F"/>
    <w:rsid w:val="00C07177"/>
    <w:rsid w:val="00C07284"/>
    <w:rsid w:val="00C07966"/>
    <w:rsid w:val="00C07D1F"/>
    <w:rsid w:val="00C07E81"/>
    <w:rsid w:val="00C103E4"/>
    <w:rsid w:val="00C10CF0"/>
    <w:rsid w:val="00C1124A"/>
    <w:rsid w:val="00C11479"/>
    <w:rsid w:val="00C11818"/>
    <w:rsid w:val="00C11E0B"/>
    <w:rsid w:val="00C120F1"/>
    <w:rsid w:val="00C12C25"/>
    <w:rsid w:val="00C13853"/>
    <w:rsid w:val="00C13BE6"/>
    <w:rsid w:val="00C13DA5"/>
    <w:rsid w:val="00C14203"/>
    <w:rsid w:val="00C1428B"/>
    <w:rsid w:val="00C14347"/>
    <w:rsid w:val="00C14552"/>
    <w:rsid w:val="00C14762"/>
    <w:rsid w:val="00C14A0A"/>
    <w:rsid w:val="00C14C51"/>
    <w:rsid w:val="00C150B7"/>
    <w:rsid w:val="00C1554A"/>
    <w:rsid w:val="00C15951"/>
    <w:rsid w:val="00C16148"/>
    <w:rsid w:val="00C162FD"/>
    <w:rsid w:val="00C1633C"/>
    <w:rsid w:val="00C16495"/>
    <w:rsid w:val="00C167AB"/>
    <w:rsid w:val="00C16B74"/>
    <w:rsid w:val="00C16D06"/>
    <w:rsid w:val="00C170AA"/>
    <w:rsid w:val="00C1727C"/>
    <w:rsid w:val="00C176B6"/>
    <w:rsid w:val="00C1776A"/>
    <w:rsid w:val="00C20567"/>
    <w:rsid w:val="00C2073C"/>
    <w:rsid w:val="00C20A5F"/>
    <w:rsid w:val="00C211C3"/>
    <w:rsid w:val="00C21329"/>
    <w:rsid w:val="00C2210A"/>
    <w:rsid w:val="00C23A3D"/>
    <w:rsid w:val="00C23F94"/>
    <w:rsid w:val="00C24201"/>
    <w:rsid w:val="00C242BA"/>
    <w:rsid w:val="00C24AF9"/>
    <w:rsid w:val="00C24BE9"/>
    <w:rsid w:val="00C2522A"/>
    <w:rsid w:val="00C267CF"/>
    <w:rsid w:val="00C26EDD"/>
    <w:rsid w:val="00C2709C"/>
    <w:rsid w:val="00C2711F"/>
    <w:rsid w:val="00C272B1"/>
    <w:rsid w:val="00C27D0E"/>
    <w:rsid w:val="00C30128"/>
    <w:rsid w:val="00C305D8"/>
    <w:rsid w:val="00C30B1E"/>
    <w:rsid w:val="00C30B6F"/>
    <w:rsid w:val="00C30FB5"/>
    <w:rsid w:val="00C31317"/>
    <w:rsid w:val="00C3157F"/>
    <w:rsid w:val="00C322E5"/>
    <w:rsid w:val="00C32488"/>
    <w:rsid w:val="00C32D2B"/>
    <w:rsid w:val="00C332C7"/>
    <w:rsid w:val="00C3386F"/>
    <w:rsid w:val="00C33F53"/>
    <w:rsid w:val="00C34058"/>
    <w:rsid w:val="00C34438"/>
    <w:rsid w:val="00C344DB"/>
    <w:rsid w:val="00C34699"/>
    <w:rsid w:val="00C34AFD"/>
    <w:rsid w:val="00C35865"/>
    <w:rsid w:val="00C35EAB"/>
    <w:rsid w:val="00C36AEB"/>
    <w:rsid w:val="00C36C3E"/>
    <w:rsid w:val="00C3769D"/>
    <w:rsid w:val="00C379E3"/>
    <w:rsid w:val="00C404E1"/>
    <w:rsid w:val="00C41095"/>
    <w:rsid w:val="00C416F0"/>
    <w:rsid w:val="00C418B6"/>
    <w:rsid w:val="00C42334"/>
    <w:rsid w:val="00C42494"/>
    <w:rsid w:val="00C42F5F"/>
    <w:rsid w:val="00C432A3"/>
    <w:rsid w:val="00C437D9"/>
    <w:rsid w:val="00C43D39"/>
    <w:rsid w:val="00C43D3A"/>
    <w:rsid w:val="00C43E8F"/>
    <w:rsid w:val="00C4432E"/>
    <w:rsid w:val="00C45072"/>
    <w:rsid w:val="00C4578A"/>
    <w:rsid w:val="00C45DB2"/>
    <w:rsid w:val="00C469C2"/>
    <w:rsid w:val="00C47347"/>
    <w:rsid w:val="00C47944"/>
    <w:rsid w:val="00C4794C"/>
    <w:rsid w:val="00C47AF5"/>
    <w:rsid w:val="00C47BCD"/>
    <w:rsid w:val="00C47C3A"/>
    <w:rsid w:val="00C47D32"/>
    <w:rsid w:val="00C47E69"/>
    <w:rsid w:val="00C507CC"/>
    <w:rsid w:val="00C507E2"/>
    <w:rsid w:val="00C5089F"/>
    <w:rsid w:val="00C514A2"/>
    <w:rsid w:val="00C52045"/>
    <w:rsid w:val="00C520AF"/>
    <w:rsid w:val="00C52F27"/>
    <w:rsid w:val="00C530A5"/>
    <w:rsid w:val="00C53A1B"/>
    <w:rsid w:val="00C54371"/>
    <w:rsid w:val="00C544A1"/>
    <w:rsid w:val="00C54764"/>
    <w:rsid w:val="00C55520"/>
    <w:rsid w:val="00C555C9"/>
    <w:rsid w:val="00C56458"/>
    <w:rsid w:val="00C56536"/>
    <w:rsid w:val="00C56700"/>
    <w:rsid w:val="00C56AEF"/>
    <w:rsid w:val="00C56F22"/>
    <w:rsid w:val="00C5745E"/>
    <w:rsid w:val="00C5789E"/>
    <w:rsid w:val="00C57BF0"/>
    <w:rsid w:val="00C600E3"/>
    <w:rsid w:val="00C6015C"/>
    <w:rsid w:val="00C6057E"/>
    <w:rsid w:val="00C60D87"/>
    <w:rsid w:val="00C6103B"/>
    <w:rsid w:val="00C61544"/>
    <w:rsid w:val="00C6196D"/>
    <w:rsid w:val="00C61B2E"/>
    <w:rsid w:val="00C61E15"/>
    <w:rsid w:val="00C62118"/>
    <w:rsid w:val="00C62130"/>
    <w:rsid w:val="00C6214E"/>
    <w:rsid w:val="00C62820"/>
    <w:rsid w:val="00C62881"/>
    <w:rsid w:val="00C62F7E"/>
    <w:rsid w:val="00C632B6"/>
    <w:rsid w:val="00C637BA"/>
    <w:rsid w:val="00C63B68"/>
    <w:rsid w:val="00C63CE9"/>
    <w:rsid w:val="00C63F40"/>
    <w:rsid w:val="00C63F9D"/>
    <w:rsid w:val="00C64540"/>
    <w:rsid w:val="00C649E0"/>
    <w:rsid w:val="00C64C6D"/>
    <w:rsid w:val="00C64EAA"/>
    <w:rsid w:val="00C65098"/>
    <w:rsid w:val="00C6513A"/>
    <w:rsid w:val="00C6551F"/>
    <w:rsid w:val="00C65901"/>
    <w:rsid w:val="00C65BC4"/>
    <w:rsid w:val="00C65C9A"/>
    <w:rsid w:val="00C668C1"/>
    <w:rsid w:val="00C66B08"/>
    <w:rsid w:val="00C66C84"/>
    <w:rsid w:val="00C676BB"/>
    <w:rsid w:val="00C70529"/>
    <w:rsid w:val="00C70DB5"/>
    <w:rsid w:val="00C7142C"/>
    <w:rsid w:val="00C71592"/>
    <w:rsid w:val="00C715C5"/>
    <w:rsid w:val="00C716F8"/>
    <w:rsid w:val="00C7171C"/>
    <w:rsid w:val="00C71B13"/>
    <w:rsid w:val="00C71F67"/>
    <w:rsid w:val="00C725F2"/>
    <w:rsid w:val="00C72AD9"/>
    <w:rsid w:val="00C72E77"/>
    <w:rsid w:val="00C7321A"/>
    <w:rsid w:val="00C73562"/>
    <w:rsid w:val="00C738EB"/>
    <w:rsid w:val="00C73987"/>
    <w:rsid w:val="00C73A16"/>
    <w:rsid w:val="00C73A7E"/>
    <w:rsid w:val="00C7406F"/>
    <w:rsid w:val="00C742B0"/>
    <w:rsid w:val="00C7560F"/>
    <w:rsid w:val="00C75611"/>
    <w:rsid w:val="00C7595D"/>
    <w:rsid w:val="00C75ECF"/>
    <w:rsid w:val="00C76424"/>
    <w:rsid w:val="00C765A6"/>
    <w:rsid w:val="00C76744"/>
    <w:rsid w:val="00C76A78"/>
    <w:rsid w:val="00C76C60"/>
    <w:rsid w:val="00C77211"/>
    <w:rsid w:val="00C7737D"/>
    <w:rsid w:val="00C77418"/>
    <w:rsid w:val="00C77C98"/>
    <w:rsid w:val="00C8003A"/>
    <w:rsid w:val="00C8049C"/>
    <w:rsid w:val="00C80DA0"/>
    <w:rsid w:val="00C816B1"/>
    <w:rsid w:val="00C81AA4"/>
    <w:rsid w:val="00C82375"/>
    <w:rsid w:val="00C8306C"/>
    <w:rsid w:val="00C83F14"/>
    <w:rsid w:val="00C8403D"/>
    <w:rsid w:val="00C84219"/>
    <w:rsid w:val="00C846EE"/>
    <w:rsid w:val="00C84CD6"/>
    <w:rsid w:val="00C85455"/>
    <w:rsid w:val="00C85541"/>
    <w:rsid w:val="00C857B8"/>
    <w:rsid w:val="00C858DF"/>
    <w:rsid w:val="00C85E90"/>
    <w:rsid w:val="00C86ADA"/>
    <w:rsid w:val="00C86ADB"/>
    <w:rsid w:val="00C8784C"/>
    <w:rsid w:val="00C87A7A"/>
    <w:rsid w:val="00C87BB6"/>
    <w:rsid w:val="00C87CAE"/>
    <w:rsid w:val="00C903DE"/>
    <w:rsid w:val="00C9065F"/>
    <w:rsid w:val="00C90E88"/>
    <w:rsid w:val="00C90FBA"/>
    <w:rsid w:val="00C91681"/>
    <w:rsid w:val="00C9169D"/>
    <w:rsid w:val="00C9172F"/>
    <w:rsid w:val="00C91A28"/>
    <w:rsid w:val="00C921DC"/>
    <w:rsid w:val="00C92318"/>
    <w:rsid w:val="00C92785"/>
    <w:rsid w:val="00C92B0B"/>
    <w:rsid w:val="00C9361D"/>
    <w:rsid w:val="00C93ADD"/>
    <w:rsid w:val="00C940E4"/>
    <w:rsid w:val="00C943A5"/>
    <w:rsid w:val="00C943CD"/>
    <w:rsid w:val="00C9459F"/>
    <w:rsid w:val="00C94DC0"/>
    <w:rsid w:val="00C95445"/>
    <w:rsid w:val="00C9574F"/>
    <w:rsid w:val="00C95E77"/>
    <w:rsid w:val="00C95FB2"/>
    <w:rsid w:val="00C964AA"/>
    <w:rsid w:val="00C965B1"/>
    <w:rsid w:val="00C97028"/>
    <w:rsid w:val="00C971CF"/>
    <w:rsid w:val="00C97881"/>
    <w:rsid w:val="00CA0A28"/>
    <w:rsid w:val="00CA0E86"/>
    <w:rsid w:val="00CA12EA"/>
    <w:rsid w:val="00CA13A4"/>
    <w:rsid w:val="00CA146C"/>
    <w:rsid w:val="00CA19A8"/>
    <w:rsid w:val="00CA1B0A"/>
    <w:rsid w:val="00CA1E32"/>
    <w:rsid w:val="00CA1FF8"/>
    <w:rsid w:val="00CA2524"/>
    <w:rsid w:val="00CA30BC"/>
    <w:rsid w:val="00CA3168"/>
    <w:rsid w:val="00CA3734"/>
    <w:rsid w:val="00CA3BE2"/>
    <w:rsid w:val="00CA3E35"/>
    <w:rsid w:val="00CA408F"/>
    <w:rsid w:val="00CA44A5"/>
    <w:rsid w:val="00CA46EB"/>
    <w:rsid w:val="00CA4718"/>
    <w:rsid w:val="00CA4DA4"/>
    <w:rsid w:val="00CA4FB6"/>
    <w:rsid w:val="00CA5275"/>
    <w:rsid w:val="00CA557D"/>
    <w:rsid w:val="00CA5765"/>
    <w:rsid w:val="00CA5B71"/>
    <w:rsid w:val="00CA60BD"/>
    <w:rsid w:val="00CA6280"/>
    <w:rsid w:val="00CA62F8"/>
    <w:rsid w:val="00CA63D3"/>
    <w:rsid w:val="00CA6ED1"/>
    <w:rsid w:val="00CA77C5"/>
    <w:rsid w:val="00CA7811"/>
    <w:rsid w:val="00CA7D6D"/>
    <w:rsid w:val="00CA7F5F"/>
    <w:rsid w:val="00CB0333"/>
    <w:rsid w:val="00CB05D4"/>
    <w:rsid w:val="00CB0A8A"/>
    <w:rsid w:val="00CB0B2D"/>
    <w:rsid w:val="00CB0BD1"/>
    <w:rsid w:val="00CB0DC7"/>
    <w:rsid w:val="00CB1216"/>
    <w:rsid w:val="00CB1231"/>
    <w:rsid w:val="00CB2269"/>
    <w:rsid w:val="00CB2370"/>
    <w:rsid w:val="00CB2A31"/>
    <w:rsid w:val="00CB2D64"/>
    <w:rsid w:val="00CB2D6A"/>
    <w:rsid w:val="00CB383D"/>
    <w:rsid w:val="00CB3A6C"/>
    <w:rsid w:val="00CB3E16"/>
    <w:rsid w:val="00CB463A"/>
    <w:rsid w:val="00CB4B75"/>
    <w:rsid w:val="00CB4F10"/>
    <w:rsid w:val="00CB5EC8"/>
    <w:rsid w:val="00CB613A"/>
    <w:rsid w:val="00CB615A"/>
    <w:rsid w:val="00CB6531"/>
    <w:rsid w:val="00CB67B0"/>
    <w:rsid w:val="00CB6A2A"/>
    <w:rsid w:val="00CB6FE2"/>
    <w:rsid w:val="00CC06F5"/>
    <w:rsid w:val="00CC0B2D"/>
    <w:rsid w:val="00CC0D9D"/>
    <w:rsid w:val="00CC1614"/>
    <w:rsid w:val="00CC18BB"/>
    <w:rsid w:val="00CC2013"/>
    <w:rsid w:val="00CC2568"/>
    <w:rsid w:val="00CC2D9A"/>
    <w:rsid w:val="00CC2DAB"/>
    <w:rsid w:val="00CC3204"/>
    <w:rsid w:val="00CC363C"/>
    <w:rsid w:val="00CC3D73"/>
    <w:rsid w:val="00CC42DC"/>
    <w:rsid w:val="00CC441E"/>
    <w:rsid w:val="00CC461B"/>
    <w:rsid w:val="00CC4E30"/>
    <w:rsid w:val="00CC4F94"/>
    <w:rsid w:val="00CC5E8A"/>
    <w:rsid w:val="00CC6277"/>
    <w:rsid w:val="00CC62B1"/>
    <w:rsid w:val="00CC62D8"/>
    <w:rsid w:val="00CC667C"/>
    <w:rsid w:val="00CC6A9C"/>
    <w:rsid w:val="00CC6D5E"/>
    <w:rsid w:val="00CC6EBB"/>
    <w:rsid w:val="00CC72D0"/>
    <w:rsid w:val="00CC752D"/>
    <w:rsid w:val="00CC7956"/>
    <w:rsid w:val="00CC7BAA"/>
    <w:rsid w:val="00CC7CC3"/>
    <w:rsid w:val="00CD0640"/>
    <w:rsid w:val="00CD06C1"/>
    <w:rsid w:val="00CD0858"/>
    <w:rsid w:val="00CD08FC"/>
    <w:rsid w:val="00CD0A19"/>
    <w:rsid w:val="00CD0BED"/>
    <w:rsid w:val="00CD0D51"/>
    <w:rsid w:val="00CD128D"/>
    <w:rsid w:val="00CD137B"/>
    <w:rsid w:val="00CD1474"/>
    <w:rsid w:val="00CD155B"/>
    <w:rsid w:val="00CD2166"/>
    <w:rsid w:val="00CD245D"/>
    <w:rsid w:val="00CD2467"/>
    <w:rsid w:val="00CD24A1"/>
    <w:rsid w:val="00CD2B3E"/>
    <w:rsid w:val="00CD2B89"/>
    <w:rsid w:val="00CD3450"/>
    <w:rsid w:val="00CD3D64"/>
    <w:rsid w:val="00CD424F"/>
    <w:rsid w:val="00CD44F4"/>
    <w:rsid w:val="00CD49A7"/>
    <w:rsid w:val="00CD53F2"/>
    <w:rsid w:val="00CD55E5"/>
    <w:rsid w:val="00CD5877"/>
    <w:rsid w:val="00CD5BDD"/>
    <w:rsid w:val="00CD6303"/>
    <w:rsid w:val="00CD662D"/>
    <w:rsid w:val="00CD69F3"/>
    <w:rsid w:val="00CD6A4B"/>
    <w:rsid w:val="00CD767D"/>
    <w:rsid w:val="00CD7691"/>
    <w:rsid w:val="00CD7899"/>
    <w:rsid w:val="00CD78F3"/>
    <w:rsid w:val="00CD7B51"/>
    <w:rsid w:val="00CD7DA5"/>
    <w:rsid w:val="00CE0710"/>
    <w:rsid w:val="00CE0BE6"/>
    <w:rsid w:val="00CE12CA"/>
    <w:rsid w:val="00CE14D8"/>
    <w:rsid w:val="00CE1A4A"/>
    <w:rsid w:val="00CE27E5"/>
    <w:rsid w:val="00CE33AA"/>
    <w:rsid w:val="00CE3412"/>
    <w:rsid w:val="00CE3712"/>
    <w:rsid w:val="00CE3860"/>
    <w:rsid w:val="00CE3CD4"/>
    <w:rsid w:val="00CE3E19"/>
    <w:rsid w:val="00CE4056"/>
    <w:rsid w:val="00CE4D02"/>
    <w:rsid w:val="00CE4FBD"/>
    <w:rsid w:val="00CE5064"/>
    <w:rsid w:val="00CE556D"/>
    <w:rsid w:val="00CE5EE9"/>
    <w:rsid w:val="00CE5EF1"/>
    <w:rsid w:val="00CE758D"/>
    <w:rsid w:val="00CE7997"/>
    <w:rsid w:val="00CE7CCD"/>
    <w:rsid w:val="00CF0158"/>
    <w:rsid w:val="00CF0296"/>
    <w:rsid w:val="00CF0456"/>
    <w:rsid w:val="00CF1D5B"/>
    <w:rsid w:val="00CF20E4"/>
    <w:rsid w:val="00CF2146"/>
    <w:rsid w:val="00CF247B"/>
    <w:rsid w:val="00CF29A7"/>
    <w:rsid w:val="00CF29A8"/>
    <w:rsid w:val="00CF2C8D"/>
    <w:rsid w:val="00CF2CD5"/>
    <w:rsid w:val="00CF2FE1"/>
    <w:rsid w:val="00CF3AAA"/>
    <w:rsid w:val="00CF3C43"/>
    <w:rsid w:val="00CF3C83"/>
    <w:rsid w:val="00CF3CD3"/>
    <w:rsid w:val="00CF4149"/>
    <w:rsid w:val="00CF42FB"/>
    <w:rsid w:val="00CF43E1"/>
    <w:rsid w:val="00CF4660"/>
    <w:rsid w:val="00CF4847"/>
    <w:rsid w:val="00CF48E8"/>
    <w:rsid w:val="00CF5023"/>
    <w:rsid w:val="00CF51F0"/>
    <w:rsid w:val="00CF53EB"/>
    <w:rsid w:val="00CF5742"/>
    <w:rsid w:val="00CF5C3B"/>
    <w:rsid w:val="00CF6594"/>
    <w:rsid w:val="00CF6D4B"/>
    <w:rsid w:val="00CF73DC"/>
    <w:rsid w:val="00CF752B"/>
    <w:rsid w:val="00CF7710"/>
    <w:rsid w:val="00CF7776"/>
    <w:rsid w:val="00CF7B3C"/>
    <w:rsid w:val="00D007EE"/>
    <w:rsid w:val="00D009FE"/>
    <w:rsid w:val="00D00EE0"/>
    <w:rsid w:val="00D0105F"/>
    <w:rsid w:val="00D0282B"/>
    <w:rsid w:val="00D03214"/>
    <w:rsid w:val="00D035D6"/>
    <w:rsid w:val="00D03BBA"/>
    <w:rsid w:val="00D03D28"/>
    <w:rsid w:val="00D04089"/>
    <w:rsid w:val="00D0549F"/>
    <w:rsid w:val="00D058E7"/>
    <w:rsid w:val="00D05FE3"/>
    <w:rsid w:val="00D0643E"/>
    <w:rsid w:val="00D06565"/>
    <w:rsid w:val="00D065C7"/>
    <w:rsid w:val="00D066B0"/>
    <w:rsid w:val="00D06AE6"/>
    <w:rsid w:val="00D06B7B"/>
    <w:rsid w:val="00D06E19"/>
    <w:rsid w:val="00D06E97"/>
    <w:rsid w:val="00D078B4"/>
    <w:rsid w:val="00D07BAE"/>
    <w:rsid w:val="00D1048D"/>
    <w:rsid w:val="00D1082B"/>
    <w:rsid w:val="00D10C11"/>
    <w:rsid w:val="00D10C3B"/>
    <w:rsid w:val="00D10EFB"/>
    <w:rsid w:val="00D111F0"/>
    <w:rsid w:val="00D1134E"/>
    <w:rsid w:val="00D11562"/>
    <w:rsid w:val="00D11D63"/>
    <w:rsid w:val="00D120AE"/>
    <w:rsid w:val="00D1284A"/>
    <w:rsid w:val="00D12DF4"/>
    <w:rsid w:val="00D1360C"/>
    <w:rsid w:val="00D13712"/>
    <w:rsid w:val="00D13CAE"/>
    <w:rsid w:val="00D13FC5"/>
    <w:rsid w:val="00D14DC4"/>
    <w:rsid w:val="00D15544"/>
    <w:rsid w:val="00D15556"/>
    <w:rsid w:val="00D15677"/>
    <w:rsid w:val="00D160A6"/>
    <w:rsid w:val="00D16115"/>
    <w:rsid w:val="00D16135"/>
    <w:rsid w:val="00D1694B"/>
    <w:rsid w:val="00D17046"/>
    <w:rsid w:val="00D17797"/>
    <w:rsid w:val="00D17E0A"/>
    <w:rsid w:val="00D20164"/>
    <w:rsid w:val="00D201E5"/>
    <w:rsid w:val="00D206B5"/>
    <w:rsid w:val="00D2073B"/>
    <w:rsid w:val="00D21698"/>
    <w:rsid w:val="00D2178F"/>
    <w:rsid w:val="00D21B40"/>
    <w:rsid w:val="00D21F0F"/>
    <w:rsid w:val="00D21F99"/>
    <w:rsid w:val="00D220DF"/>
    <w:rsid w:val="00D221AE"/>
    <w:rsid w:val="00D22EBD"/>
    <w:rsid w:val="00D230E1"/>
    <w:rsid w:val="00D231F8"/>
    <w:rsid w:val="00D2339F"/>
    <w:rsid w:val="00D238B7"/>
    <w:rsid w:val="00D23CDB"/>
    <w:rsid w:val="00D24771"/>
    <w:rsid w:val="00D24CB5"/>
    <w:rsid w:val="00D254C9"/>
    <w:rsid w:val="00D255A2"/>
    <w:rsid w:val="00D25C9C"/>
    <w:rsid w:val="00D25FAB"/>
    <w:rsid w:val="00D261D9"/>
    <w:rsid w:val="00D2625C"/>
    <w:rsid w:val="00D263C2"/>
    <w:rsid w:val="00D26907"/>
    <w:rsid w:val="00D26FA4"/>
    <w:rsid w:val="00D27675"/>
    <w:rsid w:val="00D279EB"/>
    <w:rsid w:val="00D3017C"/>
    <w:rsid w:val="00D306D0"/>
    <w:rsid w:val="00D30C7E"/>
    <w:rsid w:val="00D3184C"/>
    <w:rsid w:val="00D31F19"/>
    <w:rsid w:val="00D3204B"/>
    <w:rsid w:val="00D33116"/>
    <w:rsid w:val="00D33139"/>
    <w:rsid w:val="00D335D9"/>
    <w:rsid w:val="00D33BC3"/>
    <w:rsid w:val="00D3420D"/>
    <w:rsid w:val="00D3462F"/>
    <w:rsid w:val="00D34ADC"/>
    <w:rsid w:val="00D34E2F"/>
    <w:rsid w:val="00D353F3"/>
    <w:rsid w:val="00D358B6"/>
    <w:rsid w:val="00D35A5F"/>
    <w:rsid w:val="00D367BB"/>
    <w:rsid w:val="00D36BEB"/>
    <w:rsid w:val="00D36FE1"/>
    <w:rsid w:val="00D371FC"/>
    <w:rsid w:val="00D376A9"/>
    <w:rsid w:val="00D37D29"/>
    <w:rsid w:val="00D40014"/>
    <w:rsid w:val="00D40321"/>
    <w:rsid w:val="00D40B2B"/>
    <w:rsid w:val="00D40CF8"/>
    <w:rsid w:val="00D41029"/>
    <w:rsid w:val="00D41440"/>
    <w:rsid w:val="00D414C8"/>
    <w:rsid w:val="00D41806"/>
    <w:rsid w:val="00D42E71"/>
    <w:rsid w:val="00D43173"/>
    <w:rsid w:val="00D4341D"/>
    <w:rsid w:val="00D43EA2"/>
    <w:rsid w:val="00D43EE7"/>
    <w:rsid w:val="00D449E2"/>
    <w:rsid w:val="00D44BE2"/>
    <w:rsid w:val="00D45589"/>
    <w:rsid w:val="00D459AB"/>
    <w:rsid w:val="00D45EE5"/>
    <w:rsid w:val="00D45F9E"/>
    <w:rsid w:val="00D4619A"/>
    <w:rsid w:val="00D463CB"/>
    <w:rsid w:val="00D47BD0"/>
    <w:rsid w:val="00D47BEA"/>
    <w:rsid w:val="00D47C54"/>
    <w:rsid w:val="00D50692"/>
    <w:rsid w:val="00D50A0A"/>
    <w:rsid w:val="00D50FF4"/>
    <w:rsid w:val="00D51047"/>
    <w:rsid w:val="00D51341"/>
    <w:rsid w:val="00D51365"/>
    <w:rsid w:val="00D513F0"/>
    <w:rsid w:val="00D51AA9"/>
    <w:rsid w:val="00D52747"/>
    <w:rsid w:val="00D528E9"/>
    <w:rsid w:val="00D52A7E"/>
    <w:rsid w:val="00D52D59"/>
    <w:rsid w:val="00D52FBF"/>
    <w:rsid w:val="00D530D5"/>
    <w:rsid w:val="00D53B06"/>
    <w:rsid w:val="00D53D38"/>
    <w:rsid w:val="00D53D47"/>
    <w:rsid w:val="00D53FEA"/>
    <w:rsid w:val="00D54355"/>
    <w:rsid w:val="00D54B92"/>
    <w:rsid w:val="00D54FFF"/>
    <w:rsid w:val="00D551A6"/>
    <w:rsid w:val="00D55DB2"/>
    <w:rsid w:val="00D55EED"/>
    <w:rsid w:val="00D56886"/>
    <w:rsid w:val="00D5689F"/>
    <w:rsid w:val="00D56A63"/>
    <w:rsid w:val="00D571D2"/>
    <w:rsid w:val="00D577EF"/>
    <w:rsid w:val="00D57CA3"/>
    <w:rsid w:val="00D6069F"/>
    <w:rsid w:val="00D607D9"/>
    <w:rsid w:val="00D60F33"/>
    <w:rsid w:val="00D61F83"/>
    <w:rsid w:val="00D61FE7"/>
    <w:rsid w:val="00D62761"/>
    <w:rsid w:val="00D628D8"/>
    <w:rsid w:val="00D62FF5"/>
    <w:rsid w:val="00D630BA"/>
    <w:rsid w:val="00D6314A"/>
    <w:rsid w:val="00D63FD5"/>
    <w:rsid w:val="00D64168"/>
    <w:rsid w:val="00D6446A"/>
    <w:rsid w:val="00D64587"/>
    <w:rsid w:val="00D646D6"/>
    <w:rsid w:val="00D64F2A"/>
    <w:rsid w:val="00D6526D"/>
    <w:rsid w:val="00D6576D"/>
    <w:rsid w:val="00D6642F"/>
    <w:rsid w:val="00D664BE"/>
    <w:rsid w:val="00D66579"/>
    <w:rsid w:val="00D66C15"/>
    <w:rsid w:val="00D6731E"/>
    <w:rsid w:val="00D70069"/>
    <w:rsid w:val="00D70277"/>
    <w:rsid w:val="00D705B9"/>
    <w:rsid w:val="00D70E73"/>
    <w:rsid w:val="00D71064"/>
    <w:rsid w:val="00D71A0F"/>
    <w:rsid w:val="00D71A23"/>
    <w:rsid w:val="00D71FC9"/>
    <w:rsid w:val="00D72BFA"/>
    <w:rsid w:val="00D72DD6"/>
    <w:rsid w:val="00D73303"/>
    <w:rsid w:val="00D73644"/>
    <w:rsid w:val="00D73797"/>
    <w:rsid w:val="00D73D21"/>
    <w:rsid w:val="00D73F82"/>
    <w:rsid w:val="00D741B6"/>
    <w:rsid w:val="00D74D8F"/>
    <w:rsid w:val="00D74EC4"/>
    <w:rsid w:val="00D75057"/>
    <w:rsid w:val="00D75808"/>
    <w:rsid w:val="00D75E57"/>
    <w:rsid w:val="00D7644B"/>
    <w:rsid w:val="00D76472"/>
    <w:rsid w:val="00D767C0"/>
    <w:rsid w:val="00D76932"/>
    <w:rsid w:val="00D76D33"/>
    <w:rsid w:val="00D76E55"/>
    <w:rsid w:val="00D76E87"/>
    <w:rsid w:val="00D77538"/>
    <w:rsid w:val="00D77D3A"/>
    <w:rsid w:val="00D801B3"/>
    <w:rsid w:val="00D80209"/>
    <w:rsid w:val="00D805BE"/>
    <w:rsid w:val="00D80E49"/>
    <w:rsid w:val="00D80EB1"/>
    <w:rsid w:val="00D815BA"/>
    <w:rsid w:val="00D81995"/>
    <w:rsid w:val="00D81C28"/>
    <w:rsid w:val="00D81E46"/>
    <w:rsid w:val="00D834D2"/>
    <w:rsid w:val="00D83E82"/>
    <w:rsid w:val="00D83FDB"/>
    <w:rsid w:val="00D848E9"/>
    <w:rsid w:val="00D84B87"/>
    <w:rsid w:val="00D8522C"/>
    <w:rsid w:val="00D852AF"/>
    <w:rsid w:val="00D854C6"/>
    <w:rsid w:val="00D85937"/>
    <w:rsid w:val="00D85ECF"/>
    <w:rsid w:val="00D86799"/>
    <w:rsid w:val="00D86DE9"/>
    <w:rsid w:val="00D86FBA"/>
    <w:rsid w:val="00D8710D"/>
    <w:rsid w:val="00D8783E"/>
    <w:rsid w:val="00D87866"/>
    <w:rsid w:val="00D87A54"/>
    <w:rsid w:val="00D87C6C"/>
    <w:rsid w:val="00D905D5"/>
    <w:rsid w:val="00D90AAF"/>
    <w:rsid w:val="00D90B84"/>
    <w:rsid w:val="00D9133B"/>
    <w:rsid w:val="00D91354"/>
    <w:rsid w:val="00D91F3A"/>
    <w:rsid w:val="00D9204F"/>
    <w:rsid w:val="00D921BC"/>
    <w:rsid w:val="00D92389"/>
    <w:rsid w:val="00D923FD"/>
    <w:rsid w:val="00D92560"/>
    <w:rsid w:val="00D9315F"/>
    <w:rsid w:val="00D93BA2"/>
    <w:rsid w:val="00D93E57"/>
    <w:rsid w:val="00D941D5"/>
    <w:rsid w:val="00D949B9"/>
    <w:rsid w:val="00D94E25"/>
    <w:rsid w:val="00D954D6"/>
    <w:rsid w:val="00D95763"/>
    <w:rsid w:val="00D9580C"/>
    <w:rsid w:val="00D959D8"/>
    <w:rsid w:val="00D95D56"/>
    <w:rsid w:val="00D9635F"/>
    <w:rsid w:val="00D96480"/>
    <w:rsid w:val="00D96CA4"/>
    <w:rsid w:val="00D96DA2"/>
    <w:rsid w:val="00D9712F"/>
    <w:rsid w:val="00D973D9"/>
    <w:rsid w:val="00D97B89"/>
    <w:rsid w:val="00D97DEC"/>
    <w:rsid w:val="00DA034C"/>
    <w:rsid w:val="00DA0C53"/>
    <w:rsid w:val="00DA0F4C"/>
    <w:rsid w:val="00DA137F"/>
    <w:rsid w:val="00DA1516"/>
    <w:rsid w:val="00DA1A08"/>
    <w:rsid w:val="00DA1D38"/>
    <w:rsid w:val="00DA1DE5"/>
    <w:rsid w:val="00DA250B"/>
    <w:rsid w:val="00DA2816"/>
    <w:rsid w:val="00DA4BC3"/>
    <w:rsid w:val="00DA5892"/>
    <w:rsid w:val="00DA664C"/>
    <w:rsid w:val="00DA6953"/>
    <w:rsid w:val="00DA6A08"/>
    <w:rsid w:val="00DA6B47"/>
    <w:rsid w:val="00DA7446"/>
    <w:rsid w:val="00DA752B"/>
    <w:rsid w:val="00DA7D41"/>
    <w:rsid w:val="00DB003C"/>
    <w:rsid w:val="00DB0735"/>
    <w:rsid w:val="00DB08F0"/>
    <w:rsid w:val="00DB0D38"/>
    <w:rsid w:val="00DB188E"/>
    <w:rsid w:val="00DB1BF6"/>
    <w:rsid w:val="00DB21FD"/>
    <w:rsid w:val="00DB22B0"/>
    <w:rsid w:val="00DB2DF5"/>
    <w:rsid w:val="00DB3050"/>
    <w:rsid w:val="00DB3895"/>
    <w:rsid w:val="00DB3E4D"/>
    <w:rsid w:val="00DB4263"/>
    <w:rsid w:val="00DB4337"/>
    <w:rsid w:val="00DB4667"/>
    <w:rsid w:val="00DB4CA5"/>
    <w:rsid w:val="00DB4E35"/>
    <w:rsid w:val="00DB5859"/>
    <w:rsid w:val="00DB5C7D"/>
    <w:rsid w:val="00DB5CEE"/>
    <w:rsid w:val="00DB687A"/>
    <w:rsid w:val="00DB6B3D"/>
    <w:rsid w:val="00DB6BED"/>
    <w:rsid w:val="00DB6C2F"/>
    <w:rsid w:val="00DB6C89"/>
    <w:rsid w:val="00DB737A"/>
    <w:rsid w:val="00DB7E7E"/>
    <w:rsid w:val="00DC0236"/>
    <w:rsid w:val="00DC03E2"/>
    <w:rsid w:val="00DC0454"/>
    <w:rsid w:val="00DC1EEF"/>
    <w:rsid w:val="00DC2BB3"/>
    <w:rsid w:val="00DC2D59"/>
    <w:rsid w:val="00DC3585"/>
    <w:rsid w:val="00DC3935"/>
    <w:rsid w:val="00DC3C87"/>
    <w:rsid w:val="00DC415F"/>
    <w:rsid w:val="00DC4323"/>
    <w:rsid w:val="00DC44C2"/>
    <w:rsid w:val="00DC4D45"/>
    <w:rsid w:val="00DC530D"/>
    <w:rsid w:val="00DC56DD"/>
    <w:rsid w:val="00DC5978"/>
    <w:rsid w:val="00DC6B49"/>
    <w:rsid w:val="00DC7C05"/>
    <w:rsid w:val="00DC7DE9"/>
    <w:rsid w:val="00DC7EE0"/>
    <w:rsid w:val="00DD0467"/>
    <w:rsid w:val="00DD0932"/>
    <w:rsid w:val="00DD0B2A"/>
    <w:rsid w:val="00DD0CF9"/>
    <w:rsid w:val="00DD12D4"/>
    <w:rsid w:val="00DD13B3"/>
    <w:rsid w:val="00DD16E4"/>
    <w:rsid w:val="00DD19F4"/>
    <w:rsid w:val="00DD19F6"/>
    <w:rsid w:val="00DD1C52"/>
    <w:rsid w:val="00DD20CC"/>
    <w:rsid w:val="00DD22EE"/>
    <w:rsid w:val="00DD233A"/>
    <w:rsid w:val="00DD252D"/>
    <w:rsid w:val="00DD2536"/>
    <w:rsid w:val="00DD2992"/>
    <w:rsid w:val="00DD3E3C"/>
    <w:rsid w:val="00DD3E44"/>
    <w:rsid w:val="00DD48B5"/>
    <w:rsid w:val="00DD4D7F"/>
    <w:rsid w:val="00DD4F63"/>
    <w:rsid w:val="00DD5409"/>
    <w:rsid w:val="00DD5905"/>
    <w:rsid w:val="00DD5BA0"/>
    <w:rsid w:val="00DD5CB7"/>
    <w:rsid w:val="00DD5DC9"/>
    <w:rsid w:val="00DD69F6"/>
    <w:rsid w:val="00DD7726"/>
    <w:rsid w:val="00DD792D"/>
    <w:rsid w:val="00DD7A74"/>
    <w:rsid w:val="00DD7EC4"/>
    <w:rsid w:val="00DE01FD"/>
    <w:rsid w:val="00DE02F4"/>
    <w:rsid w:val="00DE041A"/>
    <w:rsid w:val="00DE08D6"/>
    <w:rsid w:val="00DE0E20"/>
    <w:rsid w:val="00DE13A1"/>
    <w:rsid w:val="00DE1D20"/>
    <w:rsid w:val="00DE2195"/>
    <w:rsid w:val="00DE2BCA"/>
    <w:rsid w:val="00DE2DAB"/>
    <w:rsid w:val="00DE3D7F"/>
    <w:rsid w:val="00DE46D3"/>
    <w:rsid w:val="00DE4967"/>
    <w:rsid w:val="00DE52C9"/>
    <w:rsid w:val="00DE5DCE"/>
    <w:rsid w:val="00DE5E09"/>
    <w:rsid w:val="00DE69CF"/>
    <w:rsid w:val="00DE757C"/>
    <w:rsid w:val="00DE762F"/>
    <w:rsid w:val="00DE7778"/>
    <w:rsid w:val="00DE7F70"/>
    <w:rsid w:val="00DF0978"/>
    <w:rsid w:val="00DF0CC5"/>
    <w:rsid w:val="00DF1185"/>
    <w:rsid w:val="00DF143F"/>
    <w:rsid w:val="00DF167E"/>
    <w:rsid w:val="00DF1837"/>
    <w:rsid w:val="00DF1BE9"/>
    <w:rsid w:val="00DF1D47"/>
    <w:rsid w:val="00DF1FA5"/>
    <w:rsid w:val="00DF273C"/>
    <w:rsid w:val="00DF282A"/>
    <w:rsid w:val="00DF3069"/>
    <w:rsid w:val="00DF31A2"/>
    <w:rsid w:val="00DF34BD"/>
    <w:rsid w:val="00DF3909"/>
    <w:rsid w:val="00DF3C64"/>
    <w:rsid w:val="00DF3DD6"/>
    <w:rsid w:val="00DF436B"/>
    <w:rsid w:val="00DF45FA"/>
    <w:rsid w:val="00DF4B2B"/>
    <w:rsid w:val="00DF4DB2"/>
    <w:rsid w:val="00DF5347"/>
    <w:rsid w:val="00DF5F1B"/>
    <w:rsid w:val="00DF6307"/>
    <w:rsid w:val="00DF6AFE"/>
    <w:rsid w:val="00DF6C1C"/>
    <w:rsid w:val="00DF7018"/>
    <w:rsid w:val="00DF76CB"/>
    <w:rsid w:val="00DF7A77"/>
    <w:rsid w:val="00DF7C0B"/>
    <w:rsid w:val="00E00651"/>
    <w:rsid w:val="00E00759"/>
    <w:rsid w:val="00E0075E"/>
    <w:rsid w:val="00E00A11"/>
    <w:rsid w:val="00E00FF6"/>
    <w:rsid w:val="00E0118C"/>
    <w:rsid w:val="00E01B55"/>
    <w:rsid w:val="00E01CA0"/>
    <w:rsid w:val="00E02893"/>
    <w:rsid w:val="00E03121"/>
    <w:rsid w:val="00E0330D"/>
    <w:rsid w:val="00E033C6"/>
    <w:rsid w:val="00E034C2"/>
    <w:rsid w:val="00E03A11"/>
    <w:rsid w:val="00E03DAE"/>
    <w:rsid w:val="00E041DF"/>
    <w:rsid w:val="00E04280"/>
    <w:rsid w:val="00E04550"/>
    <w:rsid w:val="00E04D9D"/>
    <w:rsid w:val="00E050FF"/>
    <w:rsid w:val="00E054A8"/>
    <w:rsid w:val="00E0589D"/>
    <w:rsid w:val="00E05BCF"/>
    <w:rsid w:val="00E05EAB"/>
    <w:rsid w:val="00E05F9F"/>
    <w:rsid w:val="00E0683E"/>
    <w:rsid w:val="00E06CE6"/>
    <w:rsid w:val="00E06DDC"/>
    <w:rsid w:val="00E06DE3"/>
    <w:rsid w:val="00E073CF"/>
    <w:rsid w:val="00E0797E"/>
    <w:rsid w:val="00E07D62"/>
    <w:rsid w:val="00E10256"/>
    <w:rsid w:val="00E1026C"/>
    <w:rsid w:val="00E102B9"/>
    <w:rsid w:val="00E106ED"/>
    <w:rsid w:val="00E10AA1"/>
    <w:rsid w:val="00E11032"/>
    <w:rsid w:val="00E119CE"/>
    <w:rsid w:val="00E12008"/>
    <w:rsid w:val="00E12AAE"/>
    <w:rsid w:val="00E12B2A"/>
    <w:rsid w:val="00E12FE5"/>
    <w:rsid w:val="00E131DA"/>
    <w:rsid w:val="00E131FB"/>
    <w:rsid w:val="00E136CB"/>
    <w:rsid w:val="00E13856"/>
    <w:rsid w:val="00E14DFD"/>
    <w:rsid w:val="00E150C7"/>
    <w:rsid w:val="00E150E4"/>
    <w:rsid w:val="00E15B2F"/>
    <w:rsid w:val="00E1657E"/>
    <w:rsid w:val="00E17008"/>
    <w:rsid w:val="00E17452"/>
    <w:rsid w:val="00E17462"/>
    <w:rsid w:val="00E17859"/>
    <w:rsid w:val="00E17EA2"/>
    <w:rsid w:val="00E2007B"/>
    <w:rsid w:val="00E2011C"/>
    <w:rsid w:val="00E201F9"/>
    <w:rsid w:val="00E204DE"/>
    <w:rsid w:val="00E207AE"/>
    <w:rsid w:val="00E2085E"/>
    <w:rsid w:val="00E20C10"/>
    <w:rsid w:val="00E20FE8"/>
    <w:rsid w:val="00E218E2"/>
    <w:rsid w:val="00E2190E"/>
    <w:rsid w:val="00E21FCB"/>
    <w:rsid w:val="00E220A2"/>
    <w:rsid w:val="00E220CA"/>
    <w:rsid w:val="00E22152"/>
    <w:rsid w:val="00E229AD"/>
    <w:rsid w:val="00E233A9"/>
    <w:rsid w:val="00E23730"/>
    <w:rsid w:val="00E23988"/>
    <w:rsid w:val="00E23BD0"/>
    <w:rsid w:val="00E23FE9"/>
    <w:rsid w:val="00E2453E"/>
    <w:rsid w:val="00E247D3"/>
    <w:rsid w:val="00E249A4"/>
    <w:rsid w:val="00E25236"/>
    <w:rsid w:val="00E25C40"/>
    <w:rsid w:val="00E25C74"/>
    <w:rsid w:val="00E25D37"/>
    <w:rsid w:val="00E2600A"/>
    <w:rsid w:val="00E262C2"/>
    <w:rsid w:val="00E26735"/>
    <w:rsid w:val="00E26899"/>
    <w:rsid w:val="00E275C8"/>
    <w:rsid w:val="00E27915"/>
    <w:rsid w:val="00E27AF9"/>
    <w:rsid w:val="00E27BE4"/>
    <w:rsid w:val="00E302DD"/>
    <w:rsid w:val="00E3053A"/>
    <w:rsid w:val="00E30609"/>
    <w:rsid w:val="00E30CEE"/>
    <w:rsid w:val="00E30E39"/>
    <w:rsid w:val="00E311EB"/>
    <w:rsid w:val="00E313A1"/>
    <w:rsid w:val="00E31BEA"/>
    <w:rsid w:val="00E31D8F"/>
    <w:rsid w:val="00E31FF8"/>
    <w:rsid w:val="00E32431"/>
    <w:rsid w:val="00E326DF"/>
    <w:rsid w:val="00E32B32"/>
    <w:rsid w:val="00E32C9F"/>
    <w:rsid w:val="00E334D4"/>
    <w:rsid w:val="00E33568"/>
    <w:rsid w:val="00E33C98"/>
    <w:rsid w:val="00E33CA7"/>
    <w:rsid w:val="00E34119"/>
    <w:rsid w:val="00E34B43"/>
    <w:rsid w:val="00E34EC9"/>
    <w:rsid w:val="00E35CB0"/>
    <w:rsid w:val="00E36641"/>
    <w:rsid w:val="00E367D5"/>
    <w:rsid w:val="00E36EDE"/>
    <w:rsid w:val="00E3772C"/>
    <w:rsid w:val="00E40B21"/>
    <w:rsid w:val="00E40B97"/>
    <w:rsid w:val="00E40C2B"/>
    <w:rsid w:val="00E40C34"/>
    <w:rsid w:val="00E40E58"/>
    <w:rsid w:val="00E43327"/>
    <w:rsid w:val="00E43B67"/>
    <w:rsid w:val="00E43EC2"/>
    <w:rsid w:val="00E4463E"/>
    <w:rsid w:val="00E44E21"/>
    <w:rsid w:val="00E44F04"/>
    <w:rsid w:val="00E45054"/>
    <w:rsid w:val="00E450A5"/>
    <w:rsid w:val="00E452C6"/>
    <w:rsid w:val="00E453E7"/>
    <w:rsid w:val="00E45927"/>
    <w:rsid w:val="00E45A40"/>
    <w:rsid w:val="00E45B35"/>
    <w:rsid w:val="00E45E09"/>
    <w:rsid w:val="00E468B2"/>
    <w:rsid w:val="00E4699A"/>
    <w:rsid w:val="00E469F4"/>
    <w:rsid w:val="00E46D25"/>
    <w:rsid w:val="00E47144"/>
    <w:rsid w:val="00E502B8"/>
    <w:rsid w:val="00E503F3"/>
    <w:rsid w:val="00E506A9"/>
    <w:rsid w:val="00E50A69"/>
    <w:rsid w:val="00E50E20"/>
    <w:rsid w:val="00E517E6"/>
    <w:rsid w:val="00E51A6C"/>
    <w:rsid w:val="00E522F8"/>
    <w:rsid w:val="00E5239A"/>
    <w:rsid w:val="00E52797"/>
    <w:rsid w:val="00E52825"/>
    <w:rsid w:val="00E52907"/>
    <w:rsid w:val="00E53B83"/>
    <w:rsid w:val="00E53C2E"/>
    <w:rsid w:val="00E5404B"/>
    <w:rsid w:val="00E54384"/>
    <w:rsid w:val="00E5481F"/>
    <w:rsid w:val="00E54C86"/>
    <w:rsid w:val="00E561CF"/>
    <w:rsid w:val="00E5640C"/>
    <w:rsid w:val="00E567F2"/>
    <w:rsid w:val="00E5685D"/>
    <w:rsid w:val="00E56B1C"/>
    <w:rsid w:val="00E56CC1"/>
    <w:rsid w:val="00E57718"/>
    <w:rsid w:val="00E57C1D"/>
    <w:rsid w:val="00E57E32"/>
    <w:rsid w:val="00E60654"/>
    <w:rsid w:val="00E6125F"/>
    <w:rsid w:val="00E61406"/>
    <w:rsid w:val="00E6196B"/>
    <w:rsid w:val="00E62571"/>
    <w:rsid w:val="00E62BF2"/>
    <w:rsid w:val="00E62F0F"/>
    <w:rsid w:val="00E62FF0"/>
    <w:rsid w:val="00E636E6"/>
    <w:rsid w:val="00E637D1"/>
    <w:rsid w:val="00E640F7"/>
    <w:rsid w:val="00E643B6"/>
    <w:rsid w:val="00E64507"/>
    <w:rsid w:val="00E64831"/>
    <w:rsid w:val="00E65CF2"/>
    <w:rsid w:val="00E6630C"/>
    <w:rsid w:val="00E66FF4"/>
    <w:rsid w:val="00E6719F"/>
    <w:rsid w:val="00E67A75"/>
    <w:rsid w:val="00E67B15"/>
    <w:rsid w:val="00E67D76"/>
    <w:rsid w:val="00E70591"/>
    <w:rsid w:val="00E70870"/>
    <w:rsid w:val="00E708FC"/>
    <w:rsid w:val="00E70A12"/>
    <w:rsid w:val="00E70CAF"/>
    <w:rsid w:val="00E71763"/>
    <w:rsid w:val="00E71833"/>
    <w:rsid w:val="00E72541"/>
    <w:rsid w:val="00E72641"/>
    <w:rsid w:val="00E73004"/>
    <w:rsid w:val="00E73B32"/>
    <w:rsid w:val="00E73BF1"/>
    <w:rsid w:val="00E74096"/>
    <w:rsid w:val="00E742EE"/>
    <w:rsid w:val="00E745A5"/>
    <w:rsid w:val="00E74687"/>
    <w:rsid w:val="00E74E97"/>
    <w:rsid w:val="00E756F9"/>
    <w:rsid w:val="00E75ACD"/>
    <w:rsid w:val="00E75ED0"/>
    <w:rsid w:val="00E76102"/>
    <w:rsid w:val="00E763F7"/>
    <w:rsid w:val="00E76482"/>
    <w:rsid w:val="00E76BDB"/>
    <w:rsid w:val="00E76EE8"/>
    <w:rsid w:val="00E77817"/>
    <w:rsid w:val="00E7789E"/>
    <w:rsid w:val="00E77BD7"/>
    <w:rsid w:val="00E77D24"/>
    <w:rsid w:val="00E77E62"/>
    <w:rsid w:val="00E80799"/>
    <w:rsid w:val="00E80CDC"/>
    <w:rsid w:val="00E80D2C"/>
    <w:rsid w:val="00E80FB5"/>
    <w:rsid w:val="00E81515"/>
    <w:rsid w:val="00E8206E"/>
    <w:rsid w:val="00E82717"/>
    <w:rsid w:val="00E82C42"/>
    <w:rsid w:val="00E82D65"/>
    <w:rsid w:val="00E83488"/>
    <w:rsid w:val="00E83866"/>
    <w:rsid w:val="00E83BF6"/>
    <w:rsid w:val="00E8446C"/>
    <w:rsid w:val="00E84884"/>
    <w:rsid w:val="00E85583"/>
    <w:rsid w:val="00E8568F"/>
    <w:rsid w:val="00E85DBD"/>
    <w:rsid w:val="00E85FD1"/>
    <w:rsid w:val="00E86B04"/>
    <w:rsid w:val="00E871DD"/>
    <w:rsid w:val="00E87571"/>
    <w:rsid w:val="00E87711"/>
    <w:rsid w:val="00E87FE6"/>
    <w:rsid w:val="00E90463"/>
    <w:rsid w:val="00E90600"/>
    <w:rsid w:val="00E90696"/>
    <w:rsid w:val="00E90CB6"/>
    <w:rsid w:val="00E91250"/>
    <w:rsid w:val="00E9197B"/>
    <w:rsid w:val="00E91B16"/>
    <w:rsid w:val="00E91C29"/>
    <w:rsid w:val="00E91D1D"/>
    <w:rsid w:val="00E91D4F"/>
    <w:rsid w:val="00E9231C"/>
    <w:rsid w:val="00E9330E"/>
    <w:rsid w:val="00E94315"/>
    <w:rsid w:val="00E94350"/>
    <w:rsid w:val="00E945CB"/>
    <w:rsid w:val="00E947E8"/>
    <w:rsid w:val="00E95003"/>
    <w:rsid w:val="00E95130"/>
    <w:rsid w:val="00E95274"/>
    <w:rsid w:val="00E952E6"/>
    <w:rsid w:val="00E95A09"/>
    <w:rsid w:val="00E95FC7"/>
    <w:rsid w:val="00E969C2"/>
    <w:rsid w:val="00E96B05"/>
    <w:rsid w:val="00E96F2A"/>
    <w:rsid w:val="00E977CA"/>
    <w:rsid w:val="00E97B10"/>
    <w:rsid w:val="00E97BFB"/>
    <w:rsid w:val="00E97C16"/>
    <w:rsid w:val="00E97EBE"/>
    <w:rsid w:val="00E97ED9"/>
    <w:rsid w:val="00E97FBB"/>
    <w:rsid w:val="00EA0229"/>
    <w:rsid w:val="00EA052B"/>
    <w:rsid w:val="00EA1BBD"/>
    <w:rsid w:val="00EA2133"/>
    <w:rsid w:val="00EA2486"/>
    <w:rsid w:val="00EA2F80"/>
    <w:rsid w:val="00EA3017"/>
    <w:rsid w:val="00EA3028"/>
    <w:rsid w:val="00EA3105"/>
    <w:rsid w:val="00EA3A20"/>
    <w:rsid w:val="00EA3AF5"/>
    <w:rsid w:val="00EA3BAF"/>
    <w:rsid w:val="00EA3D43"/>
    <w:rsid w:val="00EA3E7C"/>
    <w:rsid w:val="00EA4401"/>
    <w:rsid w:val="00EA489B"/>
    <w:rsid w:val="00EA4DD6"/>
    <w:rsid w:val="00EA50EA"/>
    <w:rsid w:val="00EA51BA"/>
    <w:rsid w:val="00EA5390"/>
    <w:rsid w:val="00EA5590"/>
    <w:rsid w:val="00EA6291"/>
    <w:rsid w:val="00EA6305"/>
    <w:rsid w:val="00EA6318"/>
    <w:rsid w:val="00EA777E"/>
    <w:rsid w:val="00EA7B7A"/>
    <w:rsid w:val="00EA7C75"/>
    <w:rsid w:val="00EB00A2"/>
    <w:rsid w:val="00EB00C6"/>
    <w:rsid w:val="00EB0129"/>
    <w:rsid w:val="00EB041C"/>
    <w:rsid w:val="00EB0F7D"/>
    <w:rsid w:val="00EB10DA"/>
    <w:rsid w:val="00EB17DE"/>
    <w:rsid w:val="00EB1B67"/>
    <w:rsid w:val="00EB2371"/>
    <w:rsid w:val="00EB27AE"/>
    <w:rsid w:val="00EB3204"/>
    <w:rsid w:val="00EB3378"/>
    <w:rsid w:val="00EB35CE"/>
    <w:rsid w:val="00EB37B4"/>
    <w:rsid w:val="00EB380A"/>
    <w:rsid w:val="00EB3C58"/>
    <w:rsid w:val="00EB41C2"/>
    <w:rsid w:val="00EB4540"/>
    <w:rsid w:val="00EB4831"/>
    <w:rsid w:val="00EB634D"/>
    <w:rsid w:val="00EB64DF"/>
    <w:rsid w:val="00EB66EC"/>
    <w:rsid w:val="00EB6CEC"/>
    <w:rsid w:val="00EB6D9C"/>
    <w:rsid w:val="00EB6E97"/>
    <w:rsid w:val="00EB7104"/>
    <w:rsid w:val="00EC02D0"/>
    <w:rsid w:val="00EC0644"/>
    <w:rsid w:val="00EC0772"/>
    <w:rsid w:val="00EC0993"/>
    <w:rsid w:val="00EC0ED2"/>
    <w:rsid w:val="00EC0FD9"/>
    <w:rsid w:val="00EC128C"/>
    <w:rsid w:val="00EC1293"/>
    <w:rsid w:val="00EC1B10"/>
    <w:rsid w:val="00EC279E"/>
    <w:rsid w:val="00EC2DBF"/>
    <w:rsid w:val="00EC33A5"/>
    <w:rsid w:val="00EC4ADA"/>
    <w:rsid w:val="00EC54A2"/>
    <w:rsid w:val="00EC6526"/>
    <w:rsid w:val="00EC6724"/>
    <w:rsid w:val="00EC6F8B"/>
    <w:rsid w:val="00EC72C7"/>
    <w:rsid w:val="00EC752F"/>
    <w:rsid w:val="00EC7646"/>
    <w:rsid w:val="00EC779F"/>
    <w:rsid w:val="00EC7C44"/>
    <w:rsid w:val="00EC7D6D"/>
    <w:rsid w:val="00EC7F16"/>
    <w:rsid w:val="00EC7F56"/>
    <w:rsid w:val="00ED0687"/>
    <w:rsid w:val="00ED0951"/>
    <w:rsid w:val="00ED13FC"/>
    <w:rsid w:val="00ED1B2A"/>
    <w:rsid w:val="00ED1FEC"/>
    <w:rsid w:val="00ED201D"/>
    <w:rsid w:val="00ED233B"/>
    <w:rsid w:val="00ED25A0"/>
    <w:rsid w:val="00ED2BFD"/>
    <w:rsid w:val="00ED2D39"/>
    <w:rsid w:val="00ED30FE"/>
    <w:rsid w:val="00ED3517"/>
    <w:rsid w:val="00ED3855"/>
    <w:rsid w:val="00ED3D22"/>
    <w:rsid w:val="00ED412B"/>
    <w:rsid w:val="00ED42EC"/>
    <w:rsid w:val="00ED4588"/>
    <w:rsid w:val="00ED4D22"/>
    <w:rsid w:val="00ED5699"/>
    <w:rsid w:val="00ED57D5"/>
    <w:rsid w:val="00ED58F7"/>
    <w:rsid w:val="00ED59DE"/>
    <w:rsid w:val="00ED5B57"/>
    <w:rsid w:val="00ED6152"/>
    <w:rsid w:val="00ED638F"/>
    <w:rsid w:val="00ED6D2F"/>
    <w:rsid w:val="00ED70D7"/>
    <w:rsid w:val="00ED71AE"/>
    <w:rsid w:val="00ED72D8"/>
    <w:rsid w:val="00ED74EC"/>
    <w:rsid w:val="00ED795F"/>
    <w:rsid w:val="00ED7B42"/>
    <w:rsid w:val="00ED7CDB"/>
    <w:rsid w:val="00EE01EA"/>
    <w:rsid w:val="00EE0572"/>
    <w:rsid w:val="00EE0679"/>
    <w:rsid w:val="00EE0C44"/>
    <w:rsid w:val="00EE0D71"/>
    <w:rsid w:val="00EE0DA0"/>
    <w:rsid w:val="00EE1061"/>
    <w:rsid w:val="00EE12F0"/>
    <w:rsid w:val="00EE1565"/>
    <w:rsid w:val="00EE2105"/>
    <w:rsid w:val="00EE29DE"/>
    <w:rsid w:val="00EE29ED"/>
    <w:rsid w:val="00EE33DB"/>
    <w:rsid w:val="00EE364E"/>
    <w:rsid w:val="00EE36DF"/>
    <w:rsid w:val="00EE3A21"/>
    <w:rsid w:val="00EE3FB9"/>
    <w:rsid w:val="00EE40D7"/>
    <w:rsid w:val="00EE4763"/>
    <w:rsid w:val="00EE51F9"/>
    <w:rsid w:val="00EE5BC7"/>
    <w:rsid w:val="00EE5BFB"/>
    <w:rsid w:val="00EE5C9F"/>
    <w:rsid w:val="00EE5DED"/>
    <w:rsid w:val="00EE636A"/>
    <w:rsid w:val="00EE6DC0"/>
    <w:rsid w:val="00EE6EF0"/>
    <w:rsid w:val="00EE70E6"/>
    <w:rsid w:val="00EE728B"/>
    <w:rsid w:val="00EE7369"/>
    <w:rsid w:val="00EE73E2"/>
    <w:rsid w:val="00EE753F"/>
    <w:rsid w:val="00EE79ED"/>
    <w:rsid w:val="00EE7AC6"/>
    <w:rsid w:val="00EF034D"/>
    <w:rsid w:val="00EF05C8"/>
    <w:rsid w:val="00EF09D3"/>
    <w:rsid w:val="00EF0FB0"/>
    <w:rsid w:val="00EF14B7"/>
    <w:rsid w:val="00EF1F11"/>
    <w:rsid w:val="00EF2482"/>
    <w:rsid w:val="00EF2499"/>
    <w:rsid w:val="00EF25A4"/>
    <w:rsid w:val="00EF2999"/>
    <w:rsid w:val="00EF2D1E"/>
    <w:rsid w:val="00EF2E45"/>
    <w:rsid w:val="00EF3232"/>
    <w:rsid w:val="00EF37A0"/>
    <w:rsid w:val="00EF3819"/>
    <w:rsid w:val="00EF38E8"/>
    <w:rsid w:val="00EF3C53"/>
    <w:rsid w:val="00EF3E18"/>
    <w:rsid w:val="00EF3EC8"/>
    <w:rsid w:val="00EF406C"/>
    <w:rsid w:val="00EF4B66"/>
    <w:rsid w:val="00EF4FE1"/>
    <w:rsid w:val="00EF5010"/>
    <w:rsid w:val="00EF51EF"/>
    <w:rsid w:val="00EF53B0"/>
    <w:rsid w:val="00EF5E0B"/>
    <w:rsid w:val="00EF6225"/>
    <w:rsid w:val="00EF6A20"/>
    <w:rsid w:val="00EF6B81"/>
    <w:rsid w:val="00EF6DB3"/>
    <w:rsid w:val="00EF7468"/>
    <w:rsid w:val="00EF795F"/>
    <w:rsid w:val="00F00987"/>
    <w:rsid w:val="00F01A2A"/>
    <w:rsid w:val="00F01EB5"/>
    <w:rsid w:val="00F020A6"/>
    <w:rsid w:val="00F02936"/>
    <w:rsid w:val="00F02F8A"/>
    <w:rsid w:val="00F03C1B"/>
    <w:rsid w:val="00F0455C"/>
    <w:rsid w:val="00F051A1"/>
    <w:rsid w:val="00F05961"/>
    <w:rsid w:val="00F05CDF"/>
    <w:rsid w:val="00F06229"/>
    <w:rsid w:val="00F06837"/>
    <w:rsid w:val="00F07058"/>
    <w:rsid w:val="00F07500"/>
    <w:rsid w:val="00F0779D"/>
    <w:rsid w:val="00F07BC4"/>
    <w:rsid w:val="00F07CA5"/>
    <w:rsid w:val="00F11A8B"/>
    <w:rsid w:val="00F123F1"/>
    <w:rsid w:val="00F12749"/>
    <w:rsid w:val="00F1299A"/>
    <w:rsid w:val="00F12A20"/>
    <w:rsid w:val="00F12C53"/>
    <w:rsid w:val="00F131FB"/>
    <w:rsid w:val="00F1329F"/>
    <w:rsid w:val="00F13D0C"/>
    <w:rsid w:val="00F14080"/>
    <w:rsid w:val="00F140A9"/>
    <w:rsid w:val="00F140B8"/>
    <w:rsid w:val="00F1423D"/>
    <w:rsid w:val="00F14987"/>
    <w:rsid w:val="00F14D0E"/>
    <w:rsid w:val="00F1540A"/>
    <w:rsid w:val="00F1631B"/>
    <w:rsid w:val="00F165B4"/>
    <w:rsid w:val="00F1716A"/>
    <w:rsid w:val="00F17441"/>
    <w:rsid w:val="00F179AA"/>
    <w:rsid w:val="00F17CE5"/>
    <w:rsid w:val="00F20069"/>
    <w:rsid w:val="00F20F1F"/>
    <w:rsid w:val="00F2123D"/>
    <w:rsid w:val="00F22C60"/>
    <w:rsid w:val="00F22F4E"/>
    <w:rsid w:val="00F2353B"/>
    <w:rsid w:val="00F239E6"/>
    <w:rsid w:val="00F23B14"/>
    <w:rsid w:val="00F23EDE"/>
    <w:rsid w:val="00F248E2"/>
    <w:rsid w:val="00F24CAA"/>
    <w:rsid w:val="00F252E8"/>
    <w:rsid w:val="00F258E4"/>
    <w:rsid w:val="00F25A72"/>
    <w:rsid w:val="00F25E11"/>
    <w:rsid w:val="00F25EB4"/>
    <w:rsid w:val="00F261E0"/>
    <w:rsid w:val="00F264A2"/>
    <w:rsid w:val="00F265A9"/>
    <w:rsid w:val="00F26A7A"/>
    <w:rsid w:val="00F26CC6"/>
    <w:rsid w:val="00F27BDB"/>
    <w:rsid w:val="00F30FCD"/>
    <w:rsid w:val="00F3154C"/>
    <w:rsid w:val="00F31B12"/>
    <w:rsid w:val="00F31C03"/>
    <w:rsid w:val="00F31F17"/>
    <w:rsid w:val="00F3207A"/>
    <w:rsid w:val="00F322CA"/>
    <w:rsid w:val="00F325A1"/>
    <w:rsid w:val="00F32882"/>
    <w:rsid w:val="00F3381C"/>
    <w:rsid w:val="00F339A2"/>
    <w:rsid w:val="00F33DA4"/>
    <w:rsid w:val="00F33E07"/>
    <w:rsid w:val="00F344D2"/>
    <w:rsid w:val="00F345E8"/>
    <w:rsid w:val="00F34876"/>
    <w:rsid w:val="00F365BC"/>
    <w:rsid w:val="00F36B34"/>
    <w:rsid w:val="00F379CD"/>
    <w:rsid w:val="00F37A3D"/>
    <w:rsid w:val="00F37DC2"/>
    <w:rsid w:val="00F40826"/>
    <w:rsid w:val="00F409F8"/>
    <w:rsid w:val="00F4132B"/>
    <w:rsid w:val="00F4184C"/>
    <w:rsid w:val="00F41B67"/>
    <w:rsid w:val="00F41E51"/>
    <w:rsid w:val="00F41F98"/>
    <w:rsid w:val="00F42C1D"/>
    <w:rsid w:val="00F4323A"/>
    <w:rsid w:val="00F436F3"/>
    <w:rsid w:val="00F43B09"/>
    <w:rsid w:val="00F43BBE"/>
    <w:rsid w:val="00F43E08"/>
    <w:rsid w:val="00F441D0"/>
    <w:rsid w:val="00F4442B"/>
    <w:rsid w:val="00F44BA3"/>
    <w:rsid w:val="00F44CCB"/>
    <w:rsid w:val="00F44FD1"/>
    <w:rsid w:val="00F4569B"/>
    <w:rsid w:val="00F45B32"/>
    <w:rsid w:val="00F45D3D"/>
    <w:rsid w:val="00F46456"/>
    <w:rsid w:val="00F4646C"/>
    <w:rsid w:val="00F46890"/>
    <w:rsid w:val="00F46B90"/>
    <w:rsid w:val="00F46C05"/>
    <w:rsid w:val="00F46D5B"/>
    <w:rsid w:val="00F4730D"/>
    <w:rsid w:val="00F4737A"/>
    <w:rsid w:val="00F47B57"/>
    <w:rsid w:val="00F500C3"/>
    <w:rsid w:val="00F5080A"/>
    <w:rsid w:val="00F50D7C"/>
    <w:rsid w:val="00F50F48"/>
    <w:rsid w:val="00F50F53"/>
    <w:rsid w:val="00F512D9"/>
    <w:rsid w:val="00F514F7"/>
    <w:rsid w:val="00F5153C"/>
    <w:rsid w:val="00F51668"/>
    <w:rsid w:val="00F51CFC"/>
    <w:rsid w:val="00F521CD"/>
    <w:rsid w:val="00F5279A"/>
    <w:rsid w:val="00F52DF9"/>
    <w:rsid w:val="00F536DA"/>
    <w:rsid w:val="00F53A9B"/>
    <w:rsid w:val="00F53B6E"/>
    <w:rsid w:val="00F545FA"/>
    <w:rsid w:val="00F54625"/>
    <w:rsid w:val="00F54AE6"/>
    <w:rsid w:val="00F55120"/>
    <w:rsid w:val="00F555A7"/>
    <w:rsid w:val="00F5576D"/>
    <w:rsid w:val="00F557D7"/>
    <w:rsid w:val="00F55851"/>
    <w:rsid w:val="00F55985"/>
    <w:rsid w:val="00F559D5"/>
    <w:rsid w:val="00F55CD6"/>
    <w:rsid w:val="00F561FD"/>
    <w:rsid w:val="00F5694E"/>
    <w:rsid w:val="00F56E09"/>
    <w:rsid w:val="00F57D75"/>
    <w:rsid w:val="00F601F1"/>
    <w:rsid w:val="00F602E6"/>
    <w:rsid w:val="00F603FA"/>
    <w:rsid w:val="00F609BE"/>
    <w:rsid w:val="00F61E1B"/>
    <w:rsid w:val="00F61ED8"/>
    <w:rsid w:val="00F62568"/>
    <w:rsid w:val="00F62723"/>
    <w:rsid w:val="00F62B1B"/>
    <w:rsid w:val="00F62D94"/>
    <w:rsid w:val="00F62F87"/>
    <w:rsid w:val="00F637BA"/>
    <w:rsid w:val="00F6390B"/>
    <w:rsid w:val="00F639FD"/>
    <w:rsid w:val="00F63E3B"/>
    <w:rsid w:val="00F63F0C"/>
    <w:rsid w:val="00F6415C"/>
    <w:rsid w:val="00F64391"/>
    <w:rsid w:val="00F64862"/>
    <w:rsid w:val="00F649A0"/>
    <w:rsid w:val="00F64DB8"/>
    <w:rsid w:val="00F64E04"/>
    <w:rsid w:val="00F65087"/>
    <w:rsid w:val="00F6548A"/>
    <w:rsid w:val="00F655FC"/>
    <w:rsid w:val="00F65667"/>
    <w:rsid w:val="00F65EF1"/>
    <w:rsid w:val="00F669E6"/>
    <w:rsid w:val="00F66FB1"/>
    <w:rsid w:val="00F67168"/>
    <w:rsid w:val="00F672E8"/>
    <w:rsid w:val="00F67993"/>
    <w:rsid w:val="00F67DC1"/>
    <w:rsid w:val="00F7019E"/>
    <w:rsid w:val="00F70958"/>
    <w:rsid w:val="00F7166B"/>
    <w:rsid w:val="00F71940"/>
    <w:rsid w:val="00F71A58"/>
    <w:rsid w:val="00F71BD1"/>
    <w:rsid w:val="00F71E52"/>
    <w:rsid w:val="00F71E7F"/>
    <w:rsid w:val="00F71FA6"/>
    <w:rsid w:val="00F7207D"/>
    <w:rsid w:val="00F72229"/>
    <w:rsid w:val="00F72302"/>
    <w:rsid w:val="00F724E5"/>
    <w:rsid w:val="00F72554"/>
    <w:rsid w:val="00F7291A"/>
    <w:rsid w:val="00F72A1C"/>
    <w:rsid w:val="00F72AF7"/>
    <w:rsid w:val="00F72BA5"/>
    <w:rsid w:val="00F72CFB"/>
    <w:rsid w:val="00F72F06"/>
    <w:rsid w:val="00F73477"/>
    <w:rsid w:val="00F737D9"/>
    <w:rsid w:val="00F73ADD"/>
    <w:rsid w:val="00F74142"/>
    <w:rsid w:val="00F7428B"/>
    <w:rsid w:val="00F742CF"/>
    <w:rsid w:val="00F74639"/>
    <w:rsid w:val="00F75ACE"/>
    <w:rsid w:val="00F7609E"/>
    <w:rsid w:val="00F77211"/>
    <w:rsid w:val="00F7778B"/>
    <w:rsid w:val="00F77820"/>
    <w:rsid w:val="00F77D10"/>
    <w:rsid w:val="00F77D69"/>
    <w:rsid w:val="00F77EBB"/>
    <w:rsid w:val="00F802D3"/>
    <w:rsid w:val="00F806C4"/>
    <w:rsid w:val="00F8101D"/>
    <w:rsid w:val="00F8176B"/>
    <w:rsid w:val="00F822D5"/>
    <w:rsid w:val="00F826A3"/>
    <w:rsid w:val="00F82E04"/>
    <w:rsid w:val="00F830D3"/>
    <w:rsid w:val="00F832EB"/>
    <w:rsid w:val="00F83B6B"/>
    <w:rsid w:val="00F83FFE"/>
    <w:rsid w:val="00F84B8D"/>
    <w:rsid w:val="00F85973"/>
    <w:rsid w:val="00F85D07"/>
    <w:rsid w:val="00F86379"/>
    <w:rsid w:val="00F86969"/>
    <w:rsid w:val="00F86BF9"/>
    <w:rsid w:val="00F86EE7"/>
    <w:rsid w:val="00F8726A"/>
    <w:rsid w:val="00F873C6"/>
    <w:rsid w:val="00F87A03"/>
    <w:rsid w:val="00F90004"/>
    <w:rsid w:val="00F900AD"/>
    <w:rsid w:val="00F903FA"/>
    <w:rsid w:val="00F90AC7"/>
    <w:rsid w:val="00F90F63"/>
    <w:rsid w:val="00F90F8C"/>
    <w:rsid w:val="00F91919"/>
    <w:rsid w:val="00F91CBE"/>
    <w:rsid w:val="00F92186"/>
    <w:rsid w:val="00F9243B"/>
    <w:rsid w:val="00F9277B"/>
    <w:rsid w:val="00F92B89"/>
    <w:rsid w:val="00F92C89"/>
    <w:rsid w:val="00F9348A"/>
    <w:rsid w:val="00F93CF6"/>
    <w:rsid w:val="00F93DC5"/>
    <w:rsid w:val="00F93E87"/>
    <w:rsid w:val="00F944D8"/>
    <w:rsid w:val="00F94657"/>
    <w:rsid w:val="00F94BBB"/>
    <w:rsid w:val="00F94FDD"/>
    <w:rsid w:val="00F953A0"/>
    <w:rsid w:val="00F95A6E"/>
    <w:rsid w:val="00F9638B"/>
    <w:rsid w:val="00F969E4"/>
    <w:rsid w:val="00F96E57"/>
    <w:rsid w:val="00F96EE2"/>
    <w:rsid w:val="00F97646"/>
    <w:rsid w:val="00F9781D"/>
    <w:rsid w:val="00F97D3F"/>
    <w:rsid w:val="00FA014B"/>
    <w:rsid w:val="00FA02A9"/>
    <w:rsid w:val="00FA0B8F"/>
    <w:rsid w:val="00FA0DBA"/>
    <w:rsid w:val="00FA1933"/>
    <w:rsid w:val="00FA1A4A"/>
    <w:rsid w:val="00FA1A5D"/>
    <w:rsid w:val="00FA1B01"/>
    <w:rsid w:val="00FA1BA4"/>
    <w:rsid w:val="00FA1C8C"/>
    <w:rsid w:val="00FA1F65"/>
    <w:rsid w:val="00FA2410"/>
    <w:rsid w:val="00FA2AE4"/>
    <w:rsid w:val="00FA2B04"/>
    <w:rsid w:val="00FA2FC9"/>
    <w:rsid w:val="00FA30A3"/>
    <w:rsid w:val="00FA396E"/>
    <w:rsid w:val="00FA3AA7"/>
    <w:rsid w:val="00FA4CB8"/>
    <w:rsid w:val="00FA5943"/>
    <w:rsid w:val="00FA61DB"/>
    <w:rsid w:val="00FA6A87"/>
    <w:rsid w:val="00FA737A"/>
    <w:rsid w:val="00FA745B"/>
    <w:rsid w:val="00FA7A79"/>
    <w:rsid w:val="00FB070F"/>
    <w:rsid w:val="00FB0939"/>
    <w:rsid w:val="00FB0D71"/>
    <w:rsid w:val="00FB11FB"/>
    <w:rsid w:val="00FB1693"/>
    <w:rsid w:val="00FB1ADB"/>
    <w:rsid w:val="00FB2582"/>
    <w:rsid w:val="00FB2ACB"/>
    <w:rsid w:val="00FB2B4A"/>
    <w:rsid w:val="00FB2C95"/>
    <w:rsid w:val="00FB2EE5"/>
    <w:rsid w:val="00FB30E3"/>
    <w:rsid w:val="00FB36AA"/>
    <w:rsid w:val="00FB37E0"/>
    <w:rsid w:val="00FB3A3C"/>
    <w:rsid w:val="00FB3C12"/>
    <w:rsid w:val="00FB3FE1"/>
    <w:rsid w:val="00FB4686"/>
    <w:rsid w:val="00FB4B6C"/>
    <w:rsid w:val="00FB4D92"/>
    <w:rsid w:val="00FB5BE0"/>
    <w:rsid w:val="00FB60E8"/>
    <w:rsid w:val="00FB629C"/>
    <w:rsid w:val="00FB6AB8"/>
    <w:rsid w:val="00FB6B9C"/>
    <w:rsid w:val="00FB713A"/>
    <w:rsid w:val="00FB71FC"/>
    <w:rsid w:val="00FB789F"/>
    <w:rsid w:val="00FB7DF5"/>
    <w:rsid w:val="00FB7EA5"/>
    <w:rsid w:val="00FB7F62"/>
    <w:rsid w:val="00FC036E"/>
    <w:rsid w:val="00FC057F"/>
    <w:rsid w:val="00FC0A78"/>
    <w:rsid w:val="00FC0FC1"/>
    <w:rsid w:val="00FC110B"/>
    <w:rsid w:val="00FC1148"/>
    <w:rsid w:val="00FC11F0"/>
    <w:rsid w:val="00FC12CD"/>
    <w:rsid w:val="00FC14B7"/>
    <w:rsid w:val="00FC17BA"/>
    <w:rsid w:val="00FC1DA6"/>
    <w:rsid w:val="00FC2081"/>
    <w:rsid w:val="00FC2657"/>
    <w:rsid w:val="00FC2800"/>
    <w:rsid w:val="00FC2D46"/>
    <w:rsid w:val="00FC324E"/>
    <w:rsid w:val="00FC32BD"/>
    <w:rsid w:val="00FC359E"/>
    <w:rsid w:val="00FC380D"/>
    <w:rsid w:val="00FC3DEB"/>
    <w:rsid w:val="00FC46FA"/>
    <w:rsid w:val="00FC4B98"/>
    <w:rsid w:val="00FC51F2"/>
    <w:rsid w:val="00FC558B"/>
    <w:rsid w:val="00FC5D41"/>
    <w:rsid w:val="00FC5FF2"/>
    <w:rsid w:val="00FC65AC"/>
    <w:rsid w:val="00FC67E8"/>
    <w:rsid w:val="00FC6BE1"/>
    <w:rsid w:val="00FC6EF0"/>
    <w:rsid w:val="00FC7085"/>
    <w:rsid w:val="00FC718C"/>
    <w:rsid w:val="00FC7DFB"/>
    <w:rsid w:val="00FD0474"/>
    <w:rsid w:val="00FD051E"/>
    <w:rsid w:val="00FD0527"/>
    <w:rsid w:val="00FD067D"/>
    <w:rsid w:val="00FD0C29"/>
    <w:rsid w:val="00FD11EB"/>
    <w:rsid w:val="00FD1222"/>
    <w:rsid w:val="00FD1713"/>
    <w:rsid w:val="00FD23FA"/>
    <w:rsid w:val="00FD263F"/>
    <w:rsid w:val="00FD2790"/>
    <w:rsid w:val="00FD2D74"/>
    <w:rsid w:val="00FD2E8C"/>
    <w:rsid w:val="00FD2F43"/>
    <w:rsid w:val="00FD3141"/>
    <w:rsid w:val="00FD345D"/>
    <w:rsid w:val="00FD36D3"/>
    <w:rsid w:val="00FD376B"/>
    <w:rsid w:val="00FD3B4C"/>
    <w:rsid w:val="00FD3C0D"/>
    <w:rsid w:val="00FD4927"/>
    <w:rsid w:val="00FD4AAA"/>
    <w:rsid w:val="00FD513B"/>
    <w:rsid w:val="00FD55A8"/>
    <w:rsid w:val="00FD65F3"/>
    <w:rsid w:val="00FD66AE"/>
    <w:rsid w:val="00FD6996"/>
    <w:rsid w:val="00FD7F9F"/>
    <w:rsid w:val="00FE04B8"/>
    <w:rsid w:val="00FE0CFC"/>
    <w:rsid w:val="00FE1C9A"/>
    <w:rsid w:val="00FE1D4E"/>
    <w:rsid w:val="00FE20F8"/>
    <w:rsid w:val="00FE252C"/>
    <w:rsid w:val="00FE258E"/>
    <w:rsid w:val="00FE3617"/>
    <w:rsid w:val="00FE3C40"/>
    <w:rsid w:val="00FE42B9"/>
    <w:rsid w:val="00FE4549"/>
    <w:rsid w:val="00FE4896"/>
    <w:rsid w:val="00FE4A9A"/>
    <w:rsid w:val="00FE4BBD"/>
    <w:rsid w:val="00FE4E3C"/>
    <w:rsid w:val="00FE4E49"/>
    <w:rsid w:val="00FE4EA0"/>
    <w:rsid w:val="00FE5391"/>
    <w:rsid w:val="00FE5E0C"/>
    <w:rsid w:val="00FE6043"/>
    <w:rsid w:val="00FE6BD6"/>
    <w:rsid w:val="00FE6CA7"/>
    <w:rsid w:val="00FE6D39"/>
    <w:rsid w:val="00FE791D"/>
    <w:rsid w:val="00FE7A69"/>
    <w:rsid w:val="00FE7C88"/>
    <w:rsid w:val="00FF0584"/>
    <w:rsid w:val="00FF0A97"/>
    <w:rsid w:val="00FF0BD6"/>
    <w:rsid w:val="00FF0C05"/>
    <w:rsid w:val="00FF0D1A"/>
    <w:rsid w:val="00FF0F2F"/>
    <w:rsid w:val="00FF1388"/>
    <w:rsid w:val="00FF16A5"/>
    <w:rsid w:val="00FF186F"/>
    <w:rsid w:val="00FF1929"/>
    <w:rsid w:val="00FF1C72"/>
    <w:rsid w:val="00FF2CCD"/>
    <w:rsid w:val="00FF3695"/>
    <w:rsid w:val="00FF4193"/>
    <w:rsid w:val="00FF4619"/>
    <w:rsid w:val="00FF46FC"/>
    <w:rsid w:val="00FF48AA"/>
    <w:rsid w:val="00FF4AE4"/>
    <w:rsid w:val="00FF5208"/>
    <w:rsid w:val="00FF5295"/>
    <w:rsid w:val="00FF5409"/>
    <w:rsid w:val="00FF5B3F"/>
    <w:rsid w:val="00FF6394"/>
    <w:rsid w:val="00FF654A"/>
    <w:rsid w:val="00FF6590"/>
    <w:rsid w:val="00FF6844"/>
    <w:rsid w:val="00FF6FB6"/>
    <w:rsid w:val="00FF7487"/>
    <w:rsid w:val="00FF7608"/>
    <w:rsid w:val="00FF78D2"/>
    <w:rsid w:val="00FF7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2753"/>
    <o:shapelayout v:ext="edit">
      <o:idmap v:ext="edit" data="1"/>
    </o:shapelayout>
  </w:shapeDefaults>
  <w:decimalSymbol w:val="."/>
  <w:listSeparator w:val=","/>
  <w14:docId w14:val="394235AA"/>
  <w14:defaultImageDpi w14:val="32767"/>
  <w15:chartTrackingRefBased/>
  <w15:docId w15:val="{A32543A3-011F-44C7-9991-C84CA2DF3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85"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2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4" w:unhideWhenUsed="1"/>
    <w:lsdException w:name="List Bullet 3" w:semiHidden="1" w:uiPriority="24" w:unhideWhenUsed="1"/>
    <w:lsdException w:name="List Bullet 4" w:semiHidden="1" w:uiPriority="24" w:unhideWhenUsed="1"/>
    <w:lsdException w:name="List Bullet 5" w:semiHidden="1" w:uiPriority="24"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DA4"/>
    <w:rPr>
      <w:sz w:val="22"/>
    </w:rPr>
  </w:style>
  <w:style w:type="paragraph" w:styleId="Heading1">
    <w:name w:val="heading 1"/>
    <w:aliases w:val="Heading 1 do not use,Section heading 1,Front Page Title,1.,Para 1,Para 11"/>
    <w:basedOn w:val="Normal"/>
    <w:next w:val="Normal"/>
    <w:link w:val="Heading1Char"/>
    <w:qFormat/>
    <w:rsid w:val="00F63F0C"/>
    <w:pPr>
      <w:keepNext/>
      <w:keepLines/>
      <w:spacing w:after="480"/>
      <w:outlineLvl w:val="0"/>
    </w:pPr>
    <w:rPr>
      <w:rFonts w:asciiTheme="majorHAnsi" w:eastAsiaTheme="majorEastAsia" w:hAnsiTheme="majorHAnsi" w:cstheme="majorBidi"/>
      <w:b/>
      <w:color w:val="D9D9D6" w:themeColor="accent1"/>
      <w:sz w:val="40"/>
      <w:szCs w:val="32"/>
    </w:rPr>
  </w:style>
  <w:style w:type="paragraph" w:styleId="Heading2">
    <w:name w:val="heading 2"/>
    <w:aliases w:val="Reset numbering,Reset numbering1,Heading 2 do not use,Front Page List of Sections"/>
    <w:basedOn w:val="Normal"/>
    <w:next w:val="Normal"/>
    <w:link w:val="Heading2Char"/>
    <w:unhideWhenUsed/>
    <w:qFormat/>
    <w:rsid w:val="00EC0993"/>
    <w:pPr>
      <w:keepNext/>
      <w:keepLines/>
      <w:spacing w:before="40"/>
      <w:outlineLvl w:val="1"/>
    </w:pPr>
    <w:rPr>
      <w:rFonts w:asciiTheme="majorHAnsi" w:eastAsiaTheme="majorEastAsia" w:hAnsiTheme="majorHAnsi" w:cstheme="majorBidi"/>
      <w:color w:val="A5A59D" w:themeColor="accent1" w:themeShade="BF"/>
      <w:sz w:val="26"/>
      <w:szCs w:val="26"/>
    </w:rPr>
  </w:style>
  <w:style w:type="paragraph" w:styleId="Heading3">
    <w:name w:val="heading 3"/>
    <w:aliases w:val="DET Heading 3,Level 1 - 1,Heading 3 do not use"/>
    <w:basedOn w:val="Normal"/>
    <w:next w:val="Normal"/>
    <w:link w:val="Heading3Char"/>
    <w:unhideWhenUsed/>
    <w:qFormat/>
    <w:rsid w:val="007E6337"/>
    <w:pPr>
      <w:keepNext/>
      <w:keepLines/>
      <w:spacing w:before="40"/>
      <w:ind w:left="720" w:hanging="432"/>
      <w:outlineLvl w:val="2"/>
    </w:pPr>
    <w:rPr>
      <w:rFonts w:asciiTheme="majorHAnsi" w:eastAsiaTheme="majorEastAsia" w:hAnsiTheme="majorHAnsi" w:cstheme="majorBidi"/>
      <w:color w:val="6F6F67" w:themeColor="accent1" w:themeShade="7F"/>
    </w:rPr>
  </w:style>
  <w:style w:type="paragraph" w:styleId="Heading4">
    <w:name w:val="heading 4"/>
    <w:basedOn w:val="Normal"/>
    <w:next w:val="Normal"/>
    <w:link w:val="Heading4Char"/>
    <w:unhideWhenUsed/>
    <w:qFormat/>
    <w:rsid w:val="00EC0993"/>
    <w:pPr>
      <w:keepNext/>
      <w:keepLines/>
      <w:spacing w:before="40"/>
      <w:ind w:left="864" w:hanging="144"/>
      <w:outlineLvl w:val="3"/>
    </w:pPr>
    <w:rPr>
      <w:rFonts w:asciiTheme="majorHAnsi" w:eastAsiaTheme="majorEastAsia" w:hAnsiTheme="majorHAnsi" w:cstheme="majorBidi"/>
      <w:i/>
      <w:iCs/>
      <w:color w:val="A5A59D" w:themeColor="accent1" w:themeShade="BF"/>
    </w:rPr>
  </w:style>
  <w:style w:type="paragraph" w:styleId="Heading5">
    <w:name w:val="heading 5"/>
    <w:basedOn w:val="Normal"/>
    <w:next w:val="Normal"/>
    <w:link w:val="Heading5Char"/>
    <w:unhideWhenUsed/>
    <w:qFormat/>
    <w:rsid w:val="00EC0993"/>
    <w:pPr>
      <w:keepNext/>
      <w:keepLines/>
      <w:spacing w:before="40"/>
      <w:ind w:left="1008" w:hanging="432"/>
      <w:outlineLvl w:val="4"/>
    </w:pPr>
    <w:rPr>
      <w:rFonts w:asciiTheme="majorHAnsi" w:eastAsiaTheme="majorEastAsia" w:hAnsiTheme="majorHAnsi" w:cstheme="majorBidi"/>
      <w:color w:val="A5A59D" w:themeColor="accent1" w:themeShade="BF"/>
    </w:rPr>
  </w:style>
  <w:style w:type="paragraph" w:styleId="Heading6">
    <w:name w:val="heading 6"/>
    <w:basedOn w:val="Normal"/>
    <w:next w:val="Normal"/>
    <w:link w:val="Heading6Char"/>
    <w:uiPriority w:val="9"/>
    <w:unhideWhenUsed/>
    <w:qFormat/>
    <w:rsid w:val="00EC0993"/>
    <w:pPr>
      <w:keepNext/>
      <w:keepLines/>
      <w:spacing w:before="40"/>
      <w:ind w:left="1152" w:hanging="432"/>
      <w:outlineLvl w:val="5"/>
    </w:pPr>
    <w:rPr>
      <w:rFonts w:asciiTheme="majorHAnsi" w:eastAsiaTheme="majorEastAsia" w:hAnsiTheme="majorHAnsi" w:cstheme="majorBidi"/>
      <w:color w:val="6F6F67" w:themeColor="accent1" w:themeShade="7F"/>
    </w:rPr>
  </w:style>
  <w:style w:type="paragraph" w:styleId="Heading7">
    <w:name w:val="heading 7"/>
    <w:aliases w:val="Section Sub-Heading 4"/>
    <w:basedOn w:val="Normal"/>
    <w:next w:val="Normal"/>
    <w:link w:val="Heading7Char"/>
    <w:uiPriority w:val="9"/>
    <w:unhideWhenUsed/>
    <w:qFormat/>
    <w:rsid w:val="00EC0993"/>
    <w:pPr>
      <w:keepNext/>
      <w:keepLines/>
      <w:spacing w:before="40"/>
      <w:ind w:left="1296" w:hanging="288"/>
      <w:outlineLvl w:val="6"/>
    </w:pPr>
    <w:rPr>
      <w:rFonts w:asciiTheme="majorHAnsi" w:eastAsiaTheme="majorEastAsia" w:hAnsiTheme="majorHAnsi" w:cstheme="majorBidi"/>
      <w:i/>
      <w:iCs/>
      <w:color w:val="6F6F67" w:themeColor="accent1" w:themeShade="7F"/>
    </w:rPr>
  </w:style>
  <w:style w:type="paragraph" w:styleId="Heading8">
    <w:name w:val="heading 8"/>
    <w:basedOn w:val="Normal"/>
    <w:next w:val="Normal"/>
    <w:link w:val="Heading8Char"/>
    <w:uiPriority w:val="9"/>
    <w:unhideWhenUsed/>
    <w:qFormat/>
    <w:rsid w:val="00EC0993"/>
    <w:pPr>
      <w:keepNext/>
      <w:keepLines/>
      <w:spacing w:before="40"/>
      <w:ind w:left="1440" w:hanging="432"/>
      <w:outlineLvl w:val="7"/>
    </w:pPr>
    <w:rPr>
      <w:rFonts w:asciiTheme="majorHAnsi" w:eastAsiaTheme="majorEastAsia" w:hAnsiTheme="majorHAnsi" w:cstheme="majorBidi"/>
      <w:color w:val="B0353C" w:themeColor="text1" w:themeTint="D8"/>
      <w:sz w:val="21"/>
      <w:szCs w:val="21"/>
    </w:rPr>
  </w:style>
  <w:style w:type="paragraph" w:styleId="Heading9">
    <w:name w:val="heading 9"/>
    <w:basedOn w:val="Normal"/>
    <w:next w:val="Normal"/>
    <w:link w:val="Heading9Char"/>
    <w:uiPriority w:val="9"/>
    <w:unhideWhenUsed/>
    <w:qFormat/>
    <w:rsid w:val="00EC0993"/>
    <w:pPr>
      <w:keepNext/>
      <w:keepLines/>
      <w:spacing w:before="40"/>
      <w:ind w:left="1584" w:hanging="144"/>
      <w:outlineLvl w:val="8"/>
    </w:pPr>
    <w:rPr>
      <w:rFonts w:asciiTheme="majorHAnsi" w:eastAsiaTheme="majorEastAsia" w:hAnsiTheme="majorHAnsi" w:cstheme="majorBidi"/>
      <w:i/>
      <w:iCs/>
      <w:color w:val="B0353C"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o not use Char,Section heading 1 Char,Front Page Title Char,1. Char,Para 1 Char,Para 11 Char"/>
    <w:basedOn w:val="DefaultParagraphFont"/>
    <w:link w:val="Heading1"/>
    <w:uiPriority w:val="9"/>
    <w:rsid w:val="00F63F0C"/>
    <w:rPr>
      <w:rFonts w:asciiTheme="majorHAnsi" w:eastAsiaTheme="majorEastAsia" w:hAnsiTheme="majorHAnsi" w:cstheme="majorBidi"/>
      <w:b/>
      <w:color w:val="D9D9D6" w:themeColor="accent1"/>
      <w:sz w:val="40"/>
      <w:szCs w:val="32"/>
    </w:rPr>
  </w:style>
  <w:style w:type="paragraph" w:styleId="TOCHeading">
    <w:name w:val="TOC Heading"/>
    <w:basedOn w:val="ESHeading1"/>
    <w:next w:val="Normal"/>
    <w:uiPriority w:val="39"/>
    <w:unhideWhenUsed/>
    <w:qFormat/>
    <w:rsid w:val="00EE728B"/>
    <w:pPr>
      <w:spacing w:after="480" w:line="240" w:lineRule="auto"/>
      <w:outlineLvl w:val="9"/>
    </w:pPr>
  </w:style>
  <w:style w:type="paragraph" w:styleId="Header">
    <w:name w:val="header"/>
    <w:basedOn w:val="Normal"/>
    <w:link w:val="HeaderChar"/>
    <w:uiPriority w:val="85"/>
    <w:unhideWhenUsed/>
    <w:rsid w:val="004625D4"/>
    <w:pPr>
      <w:tabs>
        <w:tab w:val="center" w:pos="4513"/>
        <w:tab w:val="right" w:pos="9026"/>
      </w:tabs>
    </w:pPr>
  </w:style>
  <w:style w:type="character" w:customStyle="1" w:styleId="HeaderChar">
    <w:name w:val="Header Char"/>
    <w:basedOn w:val="DefaultParagraphFont"/>
    <w:link w:val="Header"/>
    <w:uiPriority w:val="85"/>
    <w:rsid w:val="004625D4"/>
  </w:style>
  <w:style w:type="paragraph" w:styleId="Footer">
    <w:name w:val="footer"/>
    <w:basedOn w:val="Normal"/>
    <w:link w:val="FooterChar"/>
    <w:uiPriority w:val="99"/>
    <w:unhideWhenUsed/>
    <w:rsid w:val="004625D4"/>
    <w:pPr>
      <w:tabs>
        <w:tab w:val="center" w:pos="4513"/>
        <w:tab w:val="right" w:pos="9026"/>
      </w:tabs>
    </w:pPr>
  </w:style>
  <w:style w:type="character" w:customStyle="1" w:styleId="FooterChar">
    <w:name w:val="Footer Char"/>
    <w:basedOn w:val="DefaultParagraphFont"/>
    <w:link w:val="Footer"/>
    <w:uiPriority w:val="99"/>
    <w:rsid w:val="004625D4"/>
  </w:style>
  <w:style w:type="paragraph" w:styleId="FootnoteText">
    <w:name w:val="footnote text"/>
    <w:basedOn w:val="Normal"/>
    <w:link w:val="FootnoteTextChar"/>
    <w:uiPriority w:val="99"/>
    <w:unhideWhenUsed/>
    <w:qFormat/>
    <w:rsid w:val="003B3A5C"/>
    <w:pPr>
      <w:spacing w:after="40"/>
    </w:pPr>
    <w:rPr>
      <w:rFonts w:eastAsiaTheme="minorEastAsia" w:cs="Arial"/>
      <w:sz w:val="15"/>
      <w:szCs w:val="11"/>
      <w:lang w:val="en-US"/>
    </w:rPr>
  </w:style>
  <w:style w:type="character" w:customStyle="1" w:styleId="FootnoteTextChar">
    <w:name w:val="Footnote Text Char"/>
    <w:basedOn w:val="DefaultParagraphFont"/>
    <w:link w:val="FootnoteText"/>
    <w:uiPriority w:val="99"/>
    <w:rsid w:val="003B3A5C"/>
    <w:rPr>
      <w:rFonts w:eastAsiaTheme="minorEastAsia" w:cs="Arial"/>
      <w:sz w:val="15"/>
      <w:szCs w:val="11"/>
      <w:lang w:val="en-US"/>
    </w:rPr>
  </w:style>
  <w:style w:type="paragraph" w:customStyle="1" w:styleId="ESbullet1">
    <w:name w:val="ES_bullet 1"/>
    <w:basedOn w:val="Normal"/>
    <w:qFormat/>
    <w:rsid w:val="003B3A5C"/>
    <w:pPr>
      <w:spacing w:after="180"/>
      <w:ind w:left="720" w:hanging="360"/>
    </w:pPr>
    <w:rPr>
      <w:rFonts w:ascii="Arial" w:eastAsiaTheme="minorEastAsia" w:hAnsi="Arial" w:cs="Arial"/>
      <w:szCs w:val="18"/>
      <w:lang w:val="en-US"/>
    </w:rPr>
  </w:style>
  <w:style w:type="paragraph" w:customStyle="1" w:styleId="ESHeading1">
    <w:name w:val="ES_Heading 1"/>
    <w:basedOn w:val="Title"/>
    <w:link w:val="ESHeading1Char"/>
    <w:qFormat/>
    <w:rsid w:val="00717490"/>
    <w:pPr>
      <w:pageBreakBefore/>
      <w:spacing w:after="180" w:line="450" w:lineRule="atLeast"/>
      <w:contextualSpacing w:val="0"/>
      <w:outlineLvl w:val="0"/>
    </w:pPr>
    <w:rPr>
      <w:rFonts w:ascii="Arial" w:hAnsi="Arial"/>
      <w:b/>
      <w:color w:val="AF272F" w:themeColor="accent4"/>
      <w:spacing w:val="5"/>
      <w:sz w:val="44"/>
      <w:szCs w:val="52"/>
      <w:lang w:val="en-US"/>
    </w:rPr>
  </w:style>
  <w:style w:type="paragraph" w:customStyle="1" w:styleId="ESHeading2">
    <w:name w:val="ES_Heading 2"/>
    <w:basedOn w:val="ESHeading1"/>
    <w:link w:val="ESHeading2Char"/>
    <w:qFormat/>
    <w:rsid w:val="00717490"/>
    <w:pPr>
      <w:pageBreakBefore w:val="0"/>
      <w:spacing w:before="240" w:line="240" w:lineRule="atLeast"/>
    </w:pPr>
    <w:rPr>
      <w:b w:val="0"/>
      <w:bCs/>
      <w:color w:val="8A2A2F" w:themeColor="text1"/>
      <w:sz w:val="28"/>
      <w:szCs w:val="20"/>
    </w:rPr>
  </w:style>
  <w:style w:type="paragraph" w:customStyle="1" w:styleId="ESHeading3">
    <w:name w:val="ES_Heading 3"/>
    <w:basedOn w:val="Heading3"/>
    <w:link w:val="ESHeading3Char"/>
    <w:qFormat/>
    <w:rsid w:val="003B3A5C"/>
    <w:pPr>
      <w:keepNext w:val="0"/>
      <w:keepLines w:val="0"/>
      <w:spacing w:before="240" w:after="120" w:line="240" w:lineRule="atLeast"/>
    </w:pPr>
    <w:rPr>
      <w:rFonts w:ascii="Arial" w:eastAsiaTheme="minorEastAsia" w:hAnsi="Arial" w:cs="Arial"/>
      <w:b/>
      <w:color w:val="53565A" w:themeColor="accent5"/>
      <w:szCs w:val="18"/>
      <w:lang w:val="en-US"/>
    </w:rPr>
  </w:style>
  <w:style w:type="paragraph" w:customStyle="1" w:styleId="ESTablenumberrightaligned">
    <w:name w:val="ES_Table number right aligned"/>
    <w:basedOn w:val="ESTablebody"/>
    <w:link w:val="ESTablenumberrightalignedChar"/>
    <w:qFormat/>
    <w:rsid w:val="006C0888"/>
    <w:pPr>
      <w:jc w:val="right"/>
    </w:pPr>
  </w:style>
  <w:style w:type="paragraph" w:styleId="Title">
    <w:name w:val="Title"/>
    <w:basedOn w:val="Normal"/>
    <w:next w:val="Normal"/>
    <w:link w:val="TitleChar"/>
    <w:uiPriority w:val="10"/>
    <w:qFormat/>
    <w:rsid w:val="007E633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6337"/>
    <w:rPr>
      <w:rFonts w:asciiTheme="majorHAnsi" w:eastAsiaTheme="majorEastAsia" w:hAnsiTheme="majorHAnsi" w:cstheme="majorBidi"/>
      <w:spacing w:val="-10"/>
      <w:kern w:val="28"/>
      <w:sz w:val="56"/>
      <w:szCs w:val="56"/>
    </w:rPr>
  </w:style>
  <w:style w:type="character" w:customStyle="1" w:styleId="Heading3Char">
    <w:name w:val="Heading 3 Char"/>
    <w:aliases w:val="DET Heading 3 Char,Level 1 - 1 Char,Heading 3 do not use Char"/>
    <w:basedOn w:val="DefaultParagraphFont"/>
    <w:link w:val="Heading3"/>
    <w:rsid w:val="007E6337"/>
    <w:rPr>
      <w:rFonts w:asciiTheme="majorHAnsi" w:eastAsiaTheme="majorEastAsia" w:hAnsiTheme="majorHAnsi" w:cstheme="majorBidi"/>
      <w:color w:val="6F6F67" w:themeColor="accent1" w:themeShade="7F"/>
      <w:sz w:val="22"/>
    </w:rPr>
  </w:style>
  <w:style w:type="paragraph" w:customStyle="1" w:styleId="ESbullet2">
    <w:name w:val="ES_bullet 2"/>
    <w:basedOn w:val="ESbullet1"/>
    <w:qFormat/>
    <w:rsid w:val="00724727"/>
    <w:pPr>
      <w:numPr>
        <w:numId w:val="1"/>
      </w:numPr>
    </w:pPr>
  </w:style>
  <w:style w:type="table" w:styleId="TableGrid">
    <w:name w:val="Table Grid"/>
    <w:basedOn w:val="TableNormal"/>
    <w:uiPriority w:val="39"/>
    <w:rsid w:val="00724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ableheadingwhite">
    <w:name w:val="ES_Table heading white"/>
    <w:basedOn w:val="Normal"/>
    <w:link w:val="ESTableheadingwhiteChar"/>
    <w:qFormat/>
    <w:rsid w:val="003B3A5C"/>
    <w:pPr>
      <w:spacing w:before="80" w:after="80"/>
    </w:pPr>
    <w:rPr>
      <w:rFonts w:ascii="Arial" w:eastAsiaTheme="minorEastAsia" w:hAnsi="Arial" w:cs="Arial"/>
      <w:b/>
      <w:color w:val="FFFFFF" w:themeColor="background1"/>
      <w:sz w:val="19"/>
      <w:szCs w:val="18"/>
      <w:lang w:val="en-US"/>
    </w:rPr>
  </w:style>
  <w:style w:type="paragraph" w:customStyle="1" w:styleId="ESTableheading">
    <w:name w:val="ES_Table heading"/>
    <w:basedOn w:val="ESTableheadingwhite"/>
    <w:link w:val="ESTableheadingChar"/>
    <w:qFormat/>
    <w:rsid w:val="003B3A5C"/>
    <w:pPr>
      <w:spacing w:before="120" w:after="120"/>
    </w:pPr>
    <w:rPr>
      <w:sz w:val="20"/>
    </w:rPr>
  </w:style>
  <w:style w:type="paragraph" w:styleId="TOC3">
    <w:name w:val="toc 3"/>
    <w:basedOn w:val="Normal"/>
    <w:next w:val="Normal"/>
    <w:autoRedefine/>
    <w:uiPriority w:val="39"/>
    <w:unhideWhenUsed/>
    <w:rsid w:val="008A3484"/>
    <w:pPr>
      <w:ind w:left="440"/>
    </w:pPr>
    <w:rPr>
      <w:rFonts w:cstheme="minorHAnsi"/>
      <w:i/>
      <w:iCs/>
      <w:sz w:val="20"/>
      <w:szCs w:val="20"/>
    </w:rPr>
  </w:style>
  <w:style w:type="paragraph" w:styleId="TOC1">
    <w:name w:val="toc 1"/>
    <w:basedOn w:val="Normal"/>
    <w:next w:val="Normal"/>
    <w:autoRedefine/>
    <w:uiPriority w:val="39"/>
    <w:unhideWhenUsed/>
    <w:rsid w:val="000F6516"/>
    <w:pPr>
      <w:tabs>
        <w:tab w:val="right" w:leader="dot" w:pos="7927"/>
      </w:tabs>
      <w:spacing w:before="120" w:after="120"/>
    </w:pPr>
    <w:rPr>
      <w:rFonts w:ascii="Calibri" w:hAnsi="Calibri" w:cs="Calibri"/>
      <w:b/>
      <w:bCs/>
      <w:caps/>
      <w:noProof/>
      <w:szCs w:val="22"/>
    </w:rPr>
  </w:style>
  <w:style w:type="paragraph" w:styleId="TOC2">
    <w:name w:val="toc 2"/>
    <w:basedOn w:val="Normal"/>
    <w:next w:val="Normal"/>
    <w:autoRedefine/>
    <w:uiPriority w:val="39"/>
    <w:unhideWhenUsed/>
    <w:rsid w:val="008A3484"/>
    <w:pPr>
      <w:ind w:left="220"/>
    </w:pPr>
    <w:rPr>
      <w:rFonts w:cstheme="minorHAnsi"/>
      <w:smallCaps/>
      <w:sz w:val="20"/>
      <w:szCs w:val="20"/>
    </w:rPr>
  </w:style>
  <w:style w:type="paragraph" w:customStyle="1" w:styleId="Imprintbullet">
    <w:name w:val="Imprint bullet"/>
    <w:basedOn w:val="Normal"/>
    <w:uiPriority w:val="99"/>
    <w:qFormat/>
    <w:rsid w:val="00890A8F"/>
    <w:pPr>
      <w:numPr>
        <w:numId w:val="3"/>
      </w:numPr>
      <w:tabs>
        <w:tab w:val="left" w:pos="170"/>
      </w:tabs>
      <w:spacing w:after="90" w:line="220" w:lineRule="atLeast"/>
    </w:pPr>
    <w:rPr>
      <w:rFonts w:ascii="Arial" w:eastAsia="Times New Roman" w:hAnsi="Arial" w:cs="Times New Roman"/>
      <w:sz w:val="16"/>
      <w:szCs w:val="20"/>
      <w:lang w:val="en-AU"/>
    </w:rPr>
  </w:style>
  <w:style w:type="paragraph" w:customStyle="1" w:styleId="Imprintinformation">
    <w:name w:val="Imprint information"/>
    <w:basedOn w:val="Normal"/>
    <w:uiPriority w:val="99"/>
    <w:rsid w:val="00890A8F"/>
    <w:pPr>
      <w:spacing w:after="90" w:line="220" w:lineRule="atLeast"/>
    </w:pPr>
    <w:rPr>
      <w:rFonts w:ascii="Arial" w:eastAsia="Times New Roman" w:hAnsi="Arial" w:cs="Times New Roman"/>
      <w:sz w:val="16"/>
      <w:lang w:val="en-AU"/>
    </w:rPr>
  </w:style>
  <w:style w:type="paragraph" w:customStyle="1" w:styleId="ESHeading4">
    <w:name w:val="ES_Heading 4"/>
    <w:basedOn w:val="ESHeading3"/>
    <w:link w:val="ESHeading4Char"/>
    <w:qFormat/>
    <w:rsid w:val="003B3A5C"/>
    <w:rPr>
      <w:b w:val="0"/>
    </w:rPr>
  </w:style>
  <w:style w:type="paragraph" w:customStyle="1" w:styleId="ESTableintroheading">
    <w:name w:val="ES_Table intro heading"/>
    <w:basedOn w:val="ESTableheading"/>
    <w:link w:val="ESTableintroheadingChar"/>
    <w:qFormat/>
    <w:rsid w:val="00E03DAE"/>
    <w:pPr>
      <w:keepNext/>
    </w:pPr>
    <w:rPr>
      <w:color w:val="AF272F" w:themeColor="accent4"/>
    </w:rPr>
  </w:style>
  <w:style w:type="paragraph" w:customStyle="1" w:styleId="ESTablebody">
    <w:name w:val="ES_Table body"/>
    <w:basedOn w:val="Normal"/>
    <w:link w:val="ESTablebodyChar"/>
    <w:qFormat/>
    <w:rsid w:val="003B3A5C"/>
    <w:pPr>
      <w:spacing w:before="120" w:after="120"/>
    </w:pPr>
    <w:rPr>
      <w:rFonts w:ascii="Arial" w:eastAsiaTheme="minorEastAsia" w:hAnsi="Arial" w:cs="Arial"/>
      <w:sz w:val="20"/>
      <w:szCs w:val="18"/>
      <w:lang w:val="en-US"/>
    </w:rPr>
  </w:style>
  <w:style w:type="paragraph" w:customStyle="1" w:styleId="ESTablebullet1">
    <w:name w:val="ES_Table bullet 1"/>
    <w:basedOn w:val="ESTablebody"/>
    <w:qFormat/>
    <w:rsid w:val="00AD20F5"/>
    <w:pPr>
      <w:numPr>
        <w:numId w:val="4"/>
      </w:numPr>
    </w:pPr>
  </w:style>
  <w:style w:type="paragraph" w:customStyle="1" w:styleId="ESFooter">
    <w:name w:val="ES_Footer"/>
    <w:basedOn w:val="Normal"/>
    <w:qFormat/>
    <w:rsid w:val="00C97881"/>
    <w:pPr>
      <w:jc w:val="right"/>
    </w:pPr>
    <w:rPr>
      <w:noProof/>
      <w:color w:val="000000" w:themeColor="text2"/>
      <w:sz w:val="15"/>
      <w:szCs w:val="15"/>
      <w:lang w:eastAsia="en-GB"/>
    </w:rPr>
  </w:style>
  <w:style w:type="character" w:styleId="FootnoteReference">
    <w:name w:val="footnote reference"/>
    <w:aliases w:val="DET Footnote Reference"/>
    <w:basedOn w:val="DefaultParagraphFont"/>
    <w:uiPriority w:val="99"/>
    <w:unhideWhenUsed/>
    <w:rsid w:val="003A3128"/>
    <w:rPr>
      <w:vertAlign w:val="superscript"/>
    </w:rPr>
  </w:style>
  <w:style w:type="paragraph" w:customStyle="1" w:styleId="ESQuotetext">
    <w:name w:val="ES_Quote text"/>
    <w:basedOn w:val="Normal"/>
    <w:qFormat/>
    <w:rsid w:val="003B3A5C"/>
    <w:pPr>
      <w:spacing w:after="120" w:line="240" w:lineRule="atLeast"/>
    </w:pPr>
    <w:rPr>
      <w:rFonts w:ascii="Arial" w:eastAsiaTheme="minorEastAsia" w:hAnsi="Arial" w:cs="Arial"/>
      <w:i/>
      <w:color w:val="53565A" w:themeColor="accent5"/>
      <w:szCs w:val="18"/>
      <w:lang w:val="en-US"/>
    </w:rPr>
  </w:style>
  <w:style w:type="paragraph" w:customStyle="1" w:styleId="ESAppendix1">
    <w:name w:val="ES_Appendix 1"/>
    <w:basedOn w:val="ESHeading1"/>
    <w:qFormat/>
    <w:rsid w:val="00BD6E5F"/>
    <w:pPr>
      <w:numPr>
        <w:numId w:val="84"/>
      </w:numPr>
      <w:ind w:left="360"/>
    </w:pPr>
    <w:rPr>
      <w:rFonts w:ascii="Calibri" w:hAnsi="Calibri"/>
    </w:rPr>
  </w:style>
  <w:style w:type="paragraph" w:customStyle="1" w:styleId="ESTableheadingred">
    <w:name w:val="ES_Table heading red"/>
    <w:basedOn w:val="ESTableheadingwhite"/>
    <w:qFormat/>
    <w:rsid w:val="006C0888"/>
    <w:rPr>
      <w:color w:val="8A2A2F" w:themeColor="text1"/>
    </w:rPr>
  </w:style>
  <w:style w:type="paragraph" w:styleId="BalloonText">
    <w:name w:val="Balloon Text"/>
    <w:basedOn w:val="Normal"/>
    <w:link w:val="BalloonTextChar"/>
    <w:semiHidden/>
    <w:unhideWhenUsed/>
    <w:rsid w:val="003F3C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F3CFA"/>
    <w:rPr>
      <w:rFonts w:ascii="Times New Roman" w:hAnsi="Times New Roman" w:cs="Times New Roman"/>
      <w:sz w:val="18"/>
      <w:szCs w:val="18"/>
    </w:rPr>
  </w:style>
  <w:style w:type="paragraph" w:customStyle="1" w:styleId="Tabletext">
    <w:name w:val="Table text"/>
    <w:basedOn w:val="TableofFigures"/>
    <w:link w:val="TabletextChar"/>
    <w:uiPriority w:val="9"/>
    <w:qFormat/>
    <w:rsid w:val="00DE757C"/>
    <w:pPr>
      <w:spacing w:before="20" w:after="20" w:line="240" w:lineRule="auto"/>
      <w:ind w:left="170" w:hanging="170"/>
    </w:pPr>
    <w:rPr>
      <w:rFonts w:eastAsia="Tahoma" w:cs="Arial"/>
      <w:noProof/>
      <w:spacing w:val="2"/>
      <w:sz w:val="16"/>
      <w:szCs w:val="18"/>
      <w:lang w:eastAsia="en-AU"/>
    </w:rPr>
  </w:style>
  <w:style w:type="character" w:customStyle="1" w:styleId="TabletextChar">
    <w:name w:val="Table text Char"/>
    <w:link w:val="Tabletext"/>
    <w:uiPriority w:val="9"/>
    <w:rsid w:val="00DE757C"/>
    <w:rPr>
      <w:rFonts w:eastAsia="Tahoma" w:cs="Arial"/>
      <w:noProof/>
      <w:spacing w:val="2"/>
      <w:sz w:val="16"/>
      <w:szCs w:val="18"/>
      <w:lang w:val="en-AU" w:eastAsia="en-AU"/>
    </w:rPr>
  </w:style>
  <w:style w:type="paragraph" w:styleId="TableofFigures">
    <w:name w:val="table of figures"/>
    <w:basedOn w:val="Normal"/>
    <w:next w:val="Normal"/>
    <w:link w:val="TableofFiguresChar"/>
    <w:unhideWhenUsed/>
    <w:qFormat/>
    <w:rsid w:val="00DE757C"/>
    <w:pPr>
      <w:spacing w:line="259" w:lineRule="auto"/>
    </w:pPr>
    <w:rPr>
      <w:szCs w:val="22"/>
      <w:lang w:val="en-AU"/>
    </w:rPr>
  </w:style>
  <w:style w:type="table" w:customStyle="1" w:styleId="DTFFinancialTable">
    <w:name w:val="DTF Financial Table"/>
    <w:basedOn w:val="TableNormal"/>
    <w:uiPriority w:val="99"/>
    <w:rsid w:val="00DE757C"/>
    <w:pPr>
      <w:spacing w:before="20" w:after="20"/>
    </w:pPr>
    <w:rPr>
      <w:rFonts w:ascii="Arial" w:hAnsi="Arial"/>
      <w:spacing w:val="2"/>
      <w:sz w:val="16"/>
      <w:szCs w:val="20"/>
      <w:lang w:val="en-AU"/>
    </w:rPr>
    <w:tblPr>
      <w:tblStyleRowBandSize w:val="1"/>
      <w:tblStyleColBandSize w:val="1"/>
      <w:tblInd w:w="28" w:type="dxa"/>
      <w:tblBorders>
        <w:bottom w:val="single" w:sz="12" w:space="0" w:color="auto"/>
      </w:tblBorders>
      <w:tblCellMar>
        <w:left w:w="57" w:type="dxa"/>
        <w:right w:w="57" w:type="dxa"/>
      </w:tblCellMar>
    </w:tblPr>
    <w:trPr>
      <w:cantSplit/>
    </w:trPr>
    <w:tblStylePr w:type="firstRow">
      <w:pPr>
        <w:wordWrap/>
        <w:spacing w:beforeLines="0" w:before="60" w:beforeAutospacing="0" w:afterLines="0" w:after="60" w:afterAutospacing="0" w:line="240" w:lineRule="auto"/>
      </w:pPr>
      <w:rPr>
        <w:b w:val="0"/>
        <w:i w:val="0"/>
        <w:color w:val="FFFFFF" w:themeColor="background1"/>
        <w:sz w:val="16"/>
      </w:rPr>
      <w:tblPr/>
      <w:trPr>
        <w:cantSplit w:val="0"/>
      </w:trPr>
      <w:tcPr>
        <w:shd w:val="clear" w:color="auto" w:fill="000000"/>
        <w:vAlign w:val="bottom"/>
      </w:tcPr>
    </w:tblStylePr>
    <w:tblStylePr w:type="lastRow">
      <w:rPr>
        <w:b w:val="0"/>
      </w:rPr>
      <w:tblPr/>
      <w:tcPr>
        <w:tcBorders>
          <w:top w:val="single" w:sz="6" w:space="0" w:color="000000"/>
          <w:left w:val="nil"/>
          <w:bottom w:val="single" w:sz="12" w:space="0" w:color="000000"/>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cPr>
    </w:tblStylePr>
    <w:tblStylePr w:type="band1Vert">
      <w:tblPr/>
      <w:tcPr>
        <w:shd w:val="clear" w:color="auto" w:fill="EBEBEB"/>
      </w:tcPr>
    </w:tblStylePr>
    <w:tblStylePr w:type="band1Horz">
      <w:tblPr/>
      <w:tcPr>
        <w:shd w:val="clear" w:color="auto" w:fill="EBEBEB"/>
      </w:tcPr>
    </w:tblStylePr>
    <w:tblStylePr w:type="band2Horz">
      <w:tblPr/>
      <w:tcPr>
        <w:shd w:val="clear" w:color="auto" w:fill="FFFFFF"/>
      </w:tcPr>
    </w:tblStylePr>
  </w:style>
  <w:style w:type="paragraph" w:customStyle="1" w:styleId="Tabletextbold">
    <w:name w:val="Table text bold"/>
    <w:qFormat/>
    <w:rsid w:val="00DE757C"/>
    <w:pPr>
      <w:spacing w:before="120" w:after="20" w:line="276" w:lineRule="auto"/>
    </w:pPr>
    <w:rPr>
      <w:rFonts w:ascii="Arial" w:hAnsi="Arial"/>
      <w:b/>
      <w:spacing w:val="6"/>
      <w:sz w:val="16"/>
      <w:szCs w:val="16"/>
      <w:lang w:val="en-AU"/>
    </w:rPr>
  </w:style>
  <w:style w:type="character" w:customStyle="1" w:styleId="TableofFiguresChar">
    <w:name w:val="Table of Figures Char"/>
    <w:link w:val="TableofFigures"/>
    <w:rsid w:val="00DE757C"/>
    <w:rPr>
      <w:sz w:val="22"/>
      <w:szCs w:val="22"/>
      <w:lang w:val="en-AU"/>
    </w:rPr>
  </w:style>
  <w:style w:type="paragraph" w:customStyle="1" w:styleId="Tabletextheading">
    <w:name w:val="Table text heading"/>
    <w:basedOn w:val="TableofFigures"/>
    <w:link w:val="TabletextheadingChar"/>
    <w:qFormat/>
    <w:rsid w:val="00DE757C"/>
    <w:pPr>
      <w:spacing w:before="20" w:after="20" w:line="240" w:lineRule="auto"/>
      <w:jc w:val="right"/>
    </w:pPr>
    <w:rPr>
      <w:rFonts w:eastAsia="Tahoma" w:cs="Arial"/>
      <w:i/>
      <w:iCs/>
      <w:noProof/>
      <w:spacing w:val="2"/>
      <w:sz w:val="16"/>
      <w:szCs w:val="18"/>
      <w:lang w:eastAsia="en-AU"/>
    </w:rPr>
  </w:style>
  <w:style w:type="character" w:customStyle="1" w:styleId="TabletextheadingChar">
    <w:name w:val="Table text heading Char"/>
    <w:link w:val="Tabletextheading"/>
    <w:rsid w:val="00DE757C"/>
    <w:rPr>
      <w:rFonts w:eastAsia="Tahoma" w:cs="Arial"/>
      <w:i/>
      <w:iCs/>
      <w:noProof/>
      <w:spacing w:val="2"/>
      <w:sz w:val="16"/>
      <w:szCs w:val="18"/>
      <w:lang w:val="en-AU" w:eastAsia="en-AU"/>
    </w:rPr>
  </w:style>
  <w:style w:type="paragraph" w:customStyle="1" w:styleId="TabletextheadingCentred">
    <w:name w:val="Table text heading Centred"/>
    <w:basedOn w:val="Tabletextheading"/>
    <w:link w:val="TabletextheadingCentredChar"/>
    <w:rsid w:val="00DE757C"/>
    <w:pPr>
      <w:jc w:val="center"/>
    </w:pPr>
    <w:rPr>
      <w:noProof w:val="0"/>
      <w:szCs w:val="20"/>
    </w:rPr>
  </w:style>
  <w:style w:type="character" w:customStyle="1" w:styleId="TabletextheadingCentredChar">
    <w:name w:val="Table text heading Centred Char"/>
    <w:link w:val="TabletextheadingCentred"/>
    <w:locked/>
    <w:rsid w:val="00DE757C"/>
    <w:rPr>
      <w:rFonts w:eastAsia="Tahoma" w:cs="Arial"/>
      <w:i/>
      <w:iCs/>
      <w:spacing w:val="2"/>
      <w:sz w:val="16"/>
      <w:szCs w:val="20"/>
      <w:lang w:val="en-AU" w:eastAsia="en-AU"/>
    </w:rPr>
  </w:style>
  <w:style w:type="paragraph" w:customStyle="1" w:styleId="ESBodyText">
    <w:name w:val="ES_Body Text"/>
    <w:basedOn w:val="Normal"/>
    <w:link w:val="ESBodyTextChar"/>
    <w:uiPriority w:val="99"/>
    <w:qFormat/>
    <w:rsid w:val="00EA5590"/>
    <w:pPr>
      <w:spacing w:after="120" w:line="240" w:lineRule="atLeast"/>
    </w:pPr>
    <w:rPr>
      <w:rFonts w:ascii="Arial" w:eastAsiaTheme="minorEastAsia" w:hAnsi="Arial" w:cs="Arial"/>
      <w:sz w:val="19"/>
      <w:szCs w:val="18"/>
      <w:lang w:val="en-US"/>
    </w:rPr>
  </w:style>
  <w:style w:type="character" w:customStyle="1" w:styleId="ESBodyTextChar">
    <w:name w:val="ES_Body Text Char"/>
    <w:basedOn w:val="DefaultParagraphFont"/>
    <w:link w:val="ESBodyText"/>
    <w:uiPriority w:val="99"/>
    <w:rsid w:val="00EA5590"/>
    <w:rPr>
      <w:rFonts w:ascii="Arial" w:eastAsiaTheme="minorEastAsia" w:hAnsi="Arial" w:cs="Arial"/>
      <w:sz w:val="19"/>
      <w:szCs w:val="18"/>
      <w:lang w:val="en-US"/>
    </w:rPr>
  </w:style>
  <w:style w:type="paragraph" w:customStyle="1" w:styleId="ESTableBody0">
    <w:name w:val="ES_Table Body"/>
    <w:basedOn w:val="ESBodyText"/>
    <w:link w:val="ESTableBodyChar0"/>
    <w:qFormat/>
    <w:rsid w:val="00EA5590"/>
    <w:pPr>
      <w:spacing w:before="40" w:after="40" w:line="240" w:lineRule="auto"/>
    </w:pPr>
    <w:rPr>
      <w:sz w:val="16"/>
    </w:rPr>
  </w:style>
  <w:style w:type="character" w:customStyle="1" w:styleId="ESTableBodyChar0">
    <w:name w:val="ES_Table Body Char"/>
    <w:basedOn w:val="DefaultParagraphFont"/>
    <w:link w:val="ESTableBody0"/>
    <w:rsid w:val="00EA5590"/>
    <w:rPr>
      <w:rFonts w:ascii="Arial" w:eastAsiaTheme="minorEastAsia" w:hAnsi="Arial" w:cs="Arial"/>
      <w:sz w:val="16"/>
      <w:szCs w:val="18"/>
      <w:lang w:val="en-US"/>
    </w:rPr>
  </w:style>
  <w:style w:type="character" w:customStyle="1" w:styleId="ESTableheadingwhiteChar">
    <w:name w:val="ES_Table heading white Char"/>
    <w:basedOn w:val="ESBodyTextChar"/>
    <w:link w:val="ESTableheadingwhite"/>
    <w:rsid w:val="00EA5590"/>
    <w:rPr>
      <w:rFonts w:ascii="Arial" w:eastAsiaTheme="minorEastAsia" w:hAnsi="Arial" w:cs="Arial"/>
      <w:b/>
      <w:color w:val="FFFFFF" w:themeColor="background1"/>
      <w:sz w:val="19"/>
      <w:szCs w:val="18"/>
      <w:lang w:val="en-US"/>
    </w:rPr>
  </w:style>
  <w:style w:type="paragraph" w:customStyle="1" w:styleId="W1">
    <w:name w:val="W1"/>
    <w:basedOn w:val="ESTableheadingwhite"/>
    <w:link w:val="W1Char"/>
    <w:qFormat/>
    <w:rsid w:val="00EA5590"/>
  </w:style>
  <w:style w:type="character" w:customStyle="1" w:styleId="W1Char">
    <w:name w:val="W1 Char"/>
    <w:basedOn w:val="ESTableheadingwhiteChar"/>
    <w:link w:val="W1"/>
    <w:rsid w:val="00EA5590"/>
    <w:rPr>
      <w:rFonts w:ascii="Arial" w:eastAsiaTheme="minorEastAsia" w:hAnsi="Arial" w:cs="Arial"/>
      <w:b/>
      <w:color w:val="FFFFFF" w:themeColor="background1"/>
      <w:sz w:val="19"/>
      <w:szCs w:val="18"/>
      <w:lang w:val="en-US"/>
    </w:rPr>
  </w:style>
  <w:style w:type="paragraph" w:customStyle="1" w:styleId="H5">
    <w:name w:val="H5"/>
    <w:basedOn w:val="ESTableintroheading"/>
    <w:link w:val="H5Char"/>
    <w:qFormat/>
    <w:rsid w:val="006365F5"/>
    <w:rPr>
      <w:lang w:val="en-AU"/>
    </w:rPr>
  </w:style>
  <w:style w:type="character" w:customStyle="1" w:styleId="H5Char">
    <w:name w:val="H5 Char"/>
    <w:basedOn w:val="DefaultParagraphFont"/>
    <w:link w:val="H5"/>
    <w:rsid w:val="006365F5"/>
    <w:rPr>
      <w:rFonts w:ascii="Arial" w:eastAsiaTheme="minorEastAsia" w:hAnsi="Arial" w:cs="Arial"/>
      <w:b/>
      <w:color w:val="AF272F" w:themeColor="accent4"/>
      <w:sz w:val="20"/>
      <w:szCs w:val="18"/>
      <w:lang w:val="en-AU"/>
    </w:rPr>
  </w:style>
  <w:style w:type="character" w:styleId="Hyperlink">
    <w:name w:val="Hyperlink"/>
    <w:basedOn w:val="DefaultParagraphFont"/>
    <w:uiPriority w:val="99"/>
    <w:unhideWhenUsed/>
    <w:rsid w:val="00EC1293"/>
    <w:rPr>
      <w:color w:val="AF272F" w:themeColor="hyperlink"/>
      <w:u w:val="single"/>
    </w:rPr>
  </w:style>
  <w:style w:type="character" w:customStyle="1" w:styleId="ESTableheadingChar">
    <w:name w:val="ES_Table heading Char"/>
    <w:basedOn w:val="ESTableheadingwhiteChar"/>
    <w:link w:val="ESTableheading"/>
    <w:rsid w:val="00CA19A8"/>
    <w:rPr>
      <w:rFonts w:ascii="Arial" w:eastAsiaTheme="minorEastAsia" w:hAnsi="Arial" w:cs="Arial"/>
      <w:b/>
      <w:color w:val="FFFFFF" w:themeColor="background1"/>
      <w:sz w:val="20"/>
      <w:szCs w:val="18"/>
      <w:lang w:val="en-US"/>
    </w:rPr>
  </w:style>
  <w:style w:type="paragraph" w:customStyle="1" w:styleId="N1">
    <w:name w:val="N1"/>
    <w:basedOn w:val="ESBodyText"/>
    <w:link w:val="N1Char"/>
    <w:qFormat/>
    <w:rsid w:val="00CA19A8"/>
    <w:rPr>
      <w:rFonts w:cstheme="minorHAnsi"/>
      <w:sz w:val="22"/>
      <w:szCs w:val="22"/>
      <w:lang w:val="en-AU"/>
    </w:rPr>
  </w:style>
  <w:style w:type="character" w:customStyle="1" w:styleId="N1Char">
    <w:name w:val="N1 Char"/>
    <w:basedOn w:val="ESBodyTextChar"/>
    <w:link w:val="N1"/>
    <w:rsid w:val="00CA19A8"/>
    <w:rPr>
      <w:rFonts w:ascii="Arial" w:eastAsiaTheme="minorEastAsia" w:hAnsi="Arial" w:cstheme="minorHAnsi"/>
      <w:sz w:val="22"/>
      <w:szCs w:val="22"/>
      <w:lang w:val="en-AU"/>
    </w:rPr>
  </w:style>
  <w:style w:type="character" w:customStyle="1" w:styleId="ESTablebodyChar">
    <w:name w:val="ES_Table body Char"/>
    <w:basedOn w:val="DefaultParagraphFont"/>
    <w:link w:val="ESTablebody"/>
    <w:rsid w:val="00CA19A8"/>
    <w:rPr>
      <w:rFonts w:ascii="Arial" w:eastAsiaTheme="minorEastAsia" w:hAnsi="Arial" w:cs="Arial"/>
      <w:sz w:val="20"/>
      <w:szCs w:val="18"/>
      <w:lang w:val="en-US"/>
    </w:rPr>
  </w:style>
  <w:style w:type="character" w:customStyle="1" w:styleId="ESTablenumberrightalignedChar">
    <w:name w:val="ES_Table number right aligned Char"/>
    <w:basedOn w:val="ESTablebodyChar"/>
    <w:link w:val="ESTablenumberrightaligned"/>
    <w:rsid w:val="00CA19A8"/>
    <w:rPr>
      <w:rFonts w:ascii="Arial" w:eastAsiaTheme="minorEastAsia" w:hAnsi="Arial" w:cs="Arial"/>
      <w:sz w:val="20"/>
      <w:szCs w:val="18"/>
      <w:lang w:val="en-US"/>
    </w:rPr>
  </w:style>
  <w:style w:type="paragraph" w:customStyle="1" w:styleId="ESBullet1indent">
    <w:name w:val="ES_Bullet 1 + indent"/>
    <w:basedOn w:val="ESbullet1"/>
    <w:qFormat/>
    <w:rsid w:val="00EC0993"/>
    <w:pPr>
      <w:tabs>
        <w:tab w:val="num" w:pos="2058"/>
      </w:tabs>
      <w:spacing w:after="120"/>
      <w:ind w:left="2058"/>
    </w:pPr>
    <w:rPr>
      <w:sz w:val="19"/>
    </w:rPr>
  </w:style>
  <w:style w:type="character" w:customStyle="1" w:styleId="ESHeading1Char">
    <w:name w:val="ES_Heading 1 Char"/>
    <w:basedOn w:val="TitleChar"/>
    <w:link w:val="ESHeading1"/>
    <w:rsid w:val="00EC0993"/>
    <w:rPr>
      <w:rFonts w:ascii="Arial" w:eastAsiaTheme="majorEastAsia" w:hAnsi="Arial" w:cstheme="majorBidi"/>
      <w:b/>
      <w:color w:val="AF272F" w:themeColor="accent4"/>
      <w:spacing w:val="5"/>
      <w:kern w:val="28"/>
      <w:sz w:val="44"/>
      <w:szCs w:val="52"/>
      <w:lang w:val="en-US"/>
    </w:rPr>
  </w:style>
  <w:style w:type="character" w:customStyle="1" w:styleId="ESHeading2Char">
    <w:name w:val="ES_Heading 2 Char"/>
    <w:basedOn w:val="ESHeading1Char"/>
    <w:link w:val="ESHeading2"/>
    <w:rsid w:val="00EC0993"/>
    <w:rPr>
      <w:rFonts w:ascii="Arial" w:eastAsiaTheme="majorEastAsia" w:hAnsi="Arial" w:cstheme="majorBidi"/>
      <w:b w:val="0"/>
      <w:bCs/>
      <w:color w:val="8A2A2F" w:themeColor="text1"/>
      <w:spacing w:val="5"/>
      <w:kern w:val="28"/>
      <w:sz w:val="28"/>
      <w:szCs w:val="20"/>
      <w:lang w:val="en-US"/>
    </w:rPr>
  </w:style>
  <w:style w:type="paragraph" w:customStyle="1" w:styleId="ESTableBullet1indent">
    <w:name w:val="ES_Table Bullet 1 + indent"/>
    <w:basedOn w:val="ESTablebullet1"/>
    <w:qFormat/>
    <w:rsid w:val="00EC0993"/>
    <w:pPr>
      <w:numPr>
        <w:numId w:val="0"/>
      </w:numPr>
      <w:tabs>
        <w:tab w:val="num" w:pos="926"/>
      </w:tabs>
      <w:spacing w:before="60" w:after="60"/>
      <w:ind w:left="568" w:hanging="284"/>
    </w:pPr>
    <w:rPr>
      <w:sz w:val="16"/>
    </w:rPr>
  </w:style>
  <w:style w:type="character" w:customStyle="1" w:styleId="ESTableintroheadingChar">
    <w:name w:val="ES_Table intro heading Char"/>
    <w:basedOn w:val="ESTableheadingChar"/>
    <w:link w:val="ESTableintroheading"/>
    <w:rsid w:val="00EC0993"/>
    <w:rPr>
      <w:rFonts w:ascii="Arial" w:eastAsiaTheme="minorEastAsia" w:hAnsi="Arial" w:cs="Arial"/>
      <w:b/>
      <w:color w:val="AF272F" w:themeColor="accent4"/>
      <w:sz w:val="20"/>
      <w:szCs w:val="18"/>
      <w:lang w:val="en-US"/>
    </w:rPr>
  </w:style>
  <w:style w:type="numbering" w:customStyle="1" w:styleId="ArticleSection1">
    <w:name w:val="Article / Section1"/>
    <w:basedOn w:val="NoList"/>
    <w:next w:val="ArticleSection"/>
    <w:uiPriority w:val="99"/>
    <w:semiHidden/>
    <w:unhideWhenUsed/>
    <w:rsid w:val="00EC0993"/>
    <w:pPr>
      <w:numPr>
        <w:numId w:val="6"/>
      </w:numPr>
    </w:pPr>
  </w:style>
  <w:style w:type="character" w:customStyle="1" w:styleId="ESHeading3Char">
    <w:name w:val="ES_Heading 3 Char"/>
    <w:basedOn w:val="Heading3Char"/>
    <w:link w:val="ESHeading3"/>
    <w:rsid w:val="00EC0993"/>
    <w:rPr>
      <w:rFonts w:ascii="Arial" w:eastAsiaTheme="minorEastAsia" w:hAnsi="Arial" w:cs="Arial"/>
      <w:b/>
      <w:color w:val="53565A" w:themeColor="accent5"/>
      <w:sz w:val="22"/>
      <w:szCs w:val="18"/>
      <w:lang w:val="en-US"/>
    </w:rPr>
  </w:style>
  <w:style w:type="character" w:customStyle="1" w:styleId="Heading2Char">
    <w:name w:val="Heading 2 Char"/>
    <w:aliases w:val="Reset numbering Char,Reset numbering1 Char,Heading 2 do not use Char,Front Page List of Sections Char"/>
    <w:basedOn w:val="DefaultParagraphFont"/>
    <w:link w:val="Heading2"/>
    <w:uiPriority w:val="9"/>
    <w:rsid w:val="00EC0993"/>
    <w:rPr>
      <w:rFonts w:asciiTheme="majorHAnsi" w:eastAsiaTheme="majorEastAsia" w:hAnsiTheme="majorHAnsi" w:cstheme="majorBidi"/>
      <w:color w:val="A5A59D" w:themeColor="accent1" w:themeShade="BF"/>
      <w:sz w:val="26"/>
      <w:szCs w:val="26"/>
    </w:rPr>
  </w:style>
  <w:style w:type="character" w:customStyle="1" w:styleId="Heading4Char">
    <w:name w:val="Heading 4 Char"/>
    <w:basedOn w:val="DefaultParagraphFont"/>
    <w:link w:val="Heading4"/>
    <w:uiPriority w:val="9"/>
    <w:rsid w:val="00EC0993"/>
    <w:rPr>
      <w:rFonts w:asciiTheme="majorHAnsi" w:eastAsiaTheme="majorEastAsia" w:hAnsiTheme="majorHAnsi" w:cstheme="majorBidi"/>
      <w:i/>
      <w:iCs/>
      <w:color w:val="A5A59D" w:themeColor="accent1" w:themeShade="BF"/>
      <w:sz w:val="22"/>
    </w:rPr>
  </w:style>
  <w:style w:type="character" w:customStyle="1" w:styleId="Heading5Char">
    <w:name w:val="Heading 5 Char"/>
    <w:basedOn w:val="DefaultParagraphFont"/>
    <w:link w:val="Heading5"/>
    <w:uiPriority w:val="9"/>
    <w:semiHidden/>
    <w:rsid w:val="00EC0993"/>
    <w:rPr>
      <w:rFonts w:asciiTheme="majorHAnsi" w:eastAsiaTheme="majorEastAsia" w:hAnsiTheme="majorHAnsi" w:cstheme="majorBidi"/>
      <w:color w:val="A5A59D" w:themeColor="accent1" w:themeShade="BF"/>
      <w:sz w:val="22"/>
    </w:rPr>
  </w:style>
  <w:style w:type="character" w:customStyle="1" w:styleId="Heading6Char">
    <w:name w:val="Heading 6 Char"/>
    <w:basedOn w:val="DefaultParagraphFont"/>
    <w:link w:val="Heading6"/>
    <w:uiPriority w:val="9"/>
    <w:rsid w:val="00EC0993"/>
    <w:rPr>
      <w:rFonts w:asciiTheme="majorHAnsi" w:eastAsiaTheme="majorEastAsia" w:hAnsiTheme="majorHAnsi" w:cstheme="majorBidi"/>
      <w:color w:val="6F6F67" w:themeColor="accent1" w:themeShade="7F"/>
      <w:sz w:val="22"/>
    </w:rPr>
  </w:style>
  <w:style w:type="character" w:customStyle="1" w:styleId="Heading7Char">
    <w:name w:val="Heading 7 Char"/>
    <w:aliases w:val="Section Sub-Heading 4 Char"/>
    <w:basedOn w:val="DefaultParagraphFont"/>
    <w:link w:val="Heading7"/>
    <w:uiPriority w:val="9"/>
    <w:semiHidden/>
    <w:rsid w:val="00EC0993"/>
    <w:rPr>
      <w:rFonts w:asciiTheme="majorHAnsi" w:eastAsiaTheme="majorEastAsia" w:hAnsiTheme="majorHAnsi" w:cstheme="majorBidi"/>
      <w:i/>
      <w:iCs/>
      <w:color w:val="6F6F67" w:themeColor="accent1" w:themeShade="7F"/>
      <w:sz w:val="22"/>
    </w:rPr>
  </w:style>
  <w:style w:type="character" w:customStyle="1" w:styleId="Heading8Char">
    <w:name w:val="Heading 8 Char"/>
    <w:basedOn w:val="DefaultParagraphFont"/>
    <w:link w:val="Heading8"/>
    <w:uiPriority w:val="9"/>
    <w:semiHidden/>
    <w:rsid w:val="00EC0993"/>
    <w:rPr>
      <w:rFonts w:asciiTheme="majorHAnsi" w:eastAsiaTheme="majorEastAsia" w:hAnsiTheme="majorHAnsi" w:cstheme="majorBidi"/>
      <w:color w:val="B0353C" w:themeColor="text1" w:themeTint="D8"/>
      <w:sz w:val="21"/>
      <w:szCs w:val="21"/>
    </w:rPr>
  </w:style>
  <w:style w:type="character" w:customStyle="1" w:styleId="Heading9Char">
    <w:name w:val="Heading 9 Char"/>
    <w:basedOn w:val="DefaultParagraphFont"/>
    <w:link w:val="Heading9"/>
    <w:uiPriority w:val="9"/>
    <w:semiHidden/>
    <w:rsid w:val="00EC0993"/>
    <w:rPr>
      <w:rFonts w:asciiTheme="majorHAnsi" w:eastAsiaTheme="majorEastAsia" w:hAnsiTheme="majorHAnsi" w:cstheme="majorBidi"/>
      <w:i/>
      <w:iCs/>
      <w:color w:val="B0353C" w:themeColor="text1" w:themeTint="D8"/>
      <w:sz w:val="21"/>
      <w:szCs w:val="21"/>
    </w:rPr>
  </w:style>
  <w:style w:type="numbering" w:styleId="ArticleSection">
    <w:name w:val="Outline List 3"/>
    <w:basedOn w:val="NoList"/>
    <w:uiPriority w:val="99"/>
    <w:semiHidden/>
    <w:unhideWhenUsed/>
    <w:rsid w:val="00EC0993"/>
  </w:style>
  <w:style w:type="paragraph" w:customStyle="1" w:styleId="H2">
    <w:name w:val="H2"/>
    <w:basedOn w:val="ESHeading3"/>
    <w:link w:val="H2Char"/>
    <w:qFormat/>
    <w:rsid w:val="00910FF3"/>
    <w:pPr>
      <w:ind w:left="0" w:firstLine="0"/>
    </w:pPr>
    <w:rPr>
      <w:b w:val="0"/>
      <w:color w:val="8A2A2F" w:themeColor="text1"/>
      <w:sz w:val="28"/>
      <w:szCs w:val="28"/>
      <w:lang w:val="en-AU"/>
    </w:rPr>
  </w:style>
  <w:style w:type="character" w:customStyle="1" w:styleId="H2Char">
    <w:name w:val="H2 Char"/>
    <w:basedOn w:val="ESHeading3Char"/>
    <w:link w:val="H2"/>
    <w:rsid w:val="00910FF3"/>
    <w:rPr>
      <w:rFonts w:ascii="Arial" w:eastAsiaTheme="minorEastAsia" w:hAnsi="Arial" w:cs="Arial"/>
      <w:b w:val="0"/>
      <w:color w:val="8A2A2F" w:themeColor="text1"/>
      <w:sz w:val="28"/>
      <w:szCs w:val="28"/>
      <w:lang w:val="en-AU"/>
    </w:rPr>
  </w:style>
  <w:style w:type="table" w:customStyle="1" w:styleId="TableGrid3">
    <w:name w:val="Table Grid3"/>
    <w:basedOn w:val="TableNormal"/>
    <w:next w:val="TableGrid"/>
    <w:uiPriority w:val="39"/>
    <w:rsid w:val="00295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
    <w:name w:val="H3"/>
    <w:basedOn w:val="ESQuotetext"/>
    <w:link w:val="H3Char"/>
    <w:qFormat/>
    <w:rsid w:val="00295BD3"/>
    <w:rPr>
      <w:b/>
      <w:i w:val="0"/>
      <w:lang w:val="en-AU"/>
    </w:rPr>
  </w:style>
  <w:style w:type="character" w:customStyle="1" w:styleId="H3Char">
    <w:name w:val="H3 Char"/>
    <w:basedOn w:val="DefaultParagraphFont"/>
    <w:link w:val="H3"/>
    <w:rsid w:val="00295BD3"/>
    <w:rPr>
      <w:rFonts w:ascii="Arial" w:eastAsiaTheme="minorEastAsia" w:hAnsi="Arial" w:cs="Arial"/>
      <w:b/>
      <w:color w:val="53565A" w:themeColor="accent5"/>
      <w:sz w:val="22"/>
      <w:szCs w:val="18"/>
      <w:lang w:val="en-AU"/>
    </w:rPr>
  </w:style>
  <w:style w:type="paragraph" w:styleId="ListParagraph">
    <w:name w:val="List Paragraph"/>
    <w:aliases w:val="List Paragraph IEPCP 11pt,List Paragraph1,List Paragraph11,Dot Points,L,Recommendation,List Paragraph Number,Bullet point,Content descriptions,NFP GP Bulleted List,FooterText,numbered,Paragraphe de liste1,Bulletr List Paragraph,列出段落,列出段落1"/>
    <w:basedOn w:val="Normal"/>
    <w:link w:val="ListParagraphChar"/>
    <w:uiPriority w:val="34"/>
    <w:qFormat/>
    <w:rsid w:val="00E82D65"/>
    <w:pPr>
      <w:ind w:left="720"/>
      <w:contextualSpacing/>
    </w:pPr>
  </w:style>
  <w:style w:type="character" w:customStyle="1" w:styleId="ESHeading4Char">
    <w:name w:val="ES_Heading 4 Char"/>
    <w:basedOn w:val="ESHeading3Char"/>
    <w:link w:val="ESHeading4"/>
    <w:rsid w:val="00E82D65"/>
    <w:rPr>
      <w:rFonts w:ascii="Arial" w:eastAsiaTheme="minorEastAsia" w:hAnsi="Arial" w:cs="Arial"/>
      <w:b w:val="0"/>
      <w:color w:val="53565A" w:themeColor="accent5"/>
      <w:sz w:val="22"/>
      <w:szCs w:val="18"/>
      <w:lang w:val="en-US"/>
    </w:rPr>
  </w:style>
  <w:style w:type="paragraph" w:styleId="TOC4">
    <w:name w:val="toc 4"/>
    <w:basedOn w:val="Normal"/>
    <w:next w:val="Normal"/>
    <w:autoRedefine/>
    <w:uiPriority w:val="39"/>
    <w:unhideWhenUsed/>
    <w:rsid w:val="009A316F"/>
    <w:pPr>
      <w:ind w:left="660"/>
    </w:pPr>
    <w:rPr>
      <w:rFonts w:cstheme="minorHAnsi"/>
      <w:sz w:val="18"/>
      <w:szCs w:val="18"/>
    </w:rPr>
  </w:style>
  <w:style w:type="paragraph" w:styleId="TOC5">
    <w:name w:val="toc 5"/>
    <w:basedOn w:val="Normal"/>
    <w:next w:val="Normal"/>
    <w:autoRedefine/>
    <w:uiPriority w:val="39"/>
    <w:unhideWhenUsed/>
    <w:rsid w:val="009A316F"/>
    <w:pPr>
      <w:ind w:left="880"/>
    </w:pPr>
    <w:rPr>
      <w:rFonts w:cstheme="minorHAnsi"/>
      <w:sz w:val="18"/>
      <w:szCs w:val="18"/>
    </w:rPr>
  </w:style>
  <w:style w:type="paragraph" w:styleId="TOC6">
    <w:name w:val="toc 6"/>
    <w:basedOn w:val="Normal"/>
    <w:next w:val="Normal"/>
    <w:autoRedefine/>
    <w:uiPriority w:val="39"/>
    <w:unhideWhenUsed/>
    <w:rsid w:val="009A316F"/>
    <w:pPr>
      <w:ind w:left="1100"/>
    </w:pPr>
    <w:rPr>
      <w:rFonts w:cstheme="minorHAnsi"/>
      <w:sz w:val="18"/>
      <w:szCs w:val="18"/>
    </w:rPr>
  </w:style>
  <w:style w:type="paragraph" w:styleId="TOC7">
    <w:name w:val="toc 7"/>
    <w:basedOn w:val="Normal"/>
    <w:next w:val="Normal"/>
    <w:autoRedefine/>
    <w:uiPriority w:val="39"/>
    <w:unhideWhenUsed/>
    <w:rsid w:val="009A316F"/>
    <w:pPr>
      <w:ind w:left="1320"/>
    </w:pPr>
    <w:rPr>
      <w:rFonts w:cstheme="minorHAnsi"/>
      <w:sz w:val="18"/>
      <w:szCs w:val="18"/>
    </w:rPr>
  </w:style>
  <w:style w:type="paragraph" w:styleId="TOC8">
    <w:name w:val="toc 8"/>
    <w:basedOn w:val="Normal"/>
    <w:next w:val="Normal"/>
    <w:autoRedefine/>
    <w:uiPriority w:val="39"/>
    <w:unhideWhenUsed/>
    <w:rsid w:val="009A316F"/>
    <w:pPr>
      <w:ind w:left="1540"/>
    </w:pPr>
    <w:rPr>
      <w:rFonts w:cstheme="minorHAnsi"/>
      <w:sz w:val="18"/>
      <w:szCs w:val="18"/>
    </w:rPr>
  </w:style>
  <w:style w:type="paragraph" w:styleId="TOC9">
    <w:name w:val="toc 9"/>
    <w:basedOn w:val="Normal"/>
    <w:next w:val="Normal"/>
    <w:autoRedefine/>
    <w:uiPriority w:val="39"/>
    <w:unhideWhenUsed/>
    <w:rsid w:val="009A316F"/>
    <w:pPr>
      <w:ind w:left="1760"/>
    </w:pPr>
    <w:rPr>
      <w:rFonts w:cstheme="minorHAnsi"/>
      <w:sz w:val="18"/>
      <w:szCs w:val="18"/>
    </w:rPr>
  </w:style>
  <w:style w:type="character" w:styleId="CommentReference">
    <w:name w:val="annotation reference"/>
    <w:hidden/>
    <w:uiPriority w:val="99"/>
    <w:unhideWhenUsed/>
    <w:rsid w:val="00291CFF"/>
    <w:rPr>
      <w:sz w:val="16"/>
      <w:szCs w:val="16"/>
    </w:rPr>
  </w:style>
  <w:style w:type="paragraph" w:styleId="CommentText">
    <w:name w:val="annotation text"/>
    <w:basedOn w:val="Normal"/>
    <w:link w:val="CommentTextChar"/>
    <w:hidden/>
    <w:uiPriority w:val="99"/>
    <w:rsid w:val="00291CFF"/>
    <w:pPr>
      <w:spacing w:after="90"/>
    </w:pPr>
    <w:rPr>
      <w:rFonts w:ascii="Arial" w:eastAsia="Times New Roman" w:hAnsi="Arial" w:cs="Times New Roman"/>
      <w:color w:val="8A2A2F" w:themeColor="text1"/>
      <w:sz w:val="20"/>
      <w:szCs w:val="20"/>
      <w:lang w:val="en-AU"/>
    </w:rPr>
  </w:style>
  <w:style w:type="character" w:customStyle="1" w:styleId="CommentTextChar">
    <w:name w:val="Comment Text Char"/>
    <w:basedOn w:val="DefaultParagraphFont"/>
    <w:link w:val="CommentText"/>
    <w:uiPriority w:val="99"/>
    <w:rsid w:val="00291CFF"/>
    <w:rPr>
      <w:rFonts w:ascii="Arial" w:eastAsia="Times New Roman" w:hAnsi="Arial" w:cs="Times New Roman"/>
      <w:color w:val="8A2A2F" w:themeColor="text1"/>
      <w:sz w:val="20"/>
      <w:szCs w:val="20"/>
      <w:lang w:val="en-AU"/>
    </w:rPr>
  </w:style>
  <w:style w:type="paragraph" w:customStyle="1" w:styleId="Heading4notes">
    <w:name w:val="Heading 4 notes"/>
    <w:basedOn w:val="Heading4"/>
    <w:link w:val="Heading4notesChar"/>
    <w:qFormat/>
    <w:rsid w:val="00291CFF"/>
    <w:pPr>
      <w:keepLines w:val="0"/>
      <w:tabs>
        <w:tab w:val="left" w:pos="397"/>
      </w:tabs>
      <w:spacing w:before="200" w:after="90" w:line="220" w:lineRule="atLeast"/>
      <w:ind w:left="0" w:firstLine="0"/>
    </w:pPr>
    <w:rPr>
      <w:rFonts w:ascii="Arial" w:eastAsia="Times New Roman" w:hAnsi="Arial" w:cs="Times New Roman"/>
      <w:b/>
      <w:iCs w:val="0"/>
      <w:color w:val="8A2A2F" w:themeColor="text1"/>
      <w:sz w:val="19"/>
      <w:lang w:val="en-AU"/>
    </w:rPr>
  </w:style>
  <w:style w:type="character" w:customStyle="1" w:styleId="Heading4notesChar">
    <w:name w:val="Heading 4 notes Char"/>
    <w:basedOn w:val="DefaultParagraphFont"/>
    <w:link w:val="Heading4notes"/>
    <w:rsid w:val="00291CFF"/>
    <w:rPr>
      <w:rFonts w:ascii="Arial" w:eastAsia="Times New Roman" w:hAnsi="Arial" w:cs="Times New Roman"/>
      <w:b/>
      <w:i/>
      <w:color w:val="8A2A2F" w:themeColor="text1"/>
      <w:sz w:val="19"/>
      <w:lang w:val="en-AU"/>
    </w:rPr>
  </w:style>
  <w:style w:type="paragraph" w:customStyle="1" w:styleId="Tablecolumnheading">
    <w:name w:val="Table column heading"/>
    <w:basedOn w:val="Normal"/>
    <w:link w:val="TablecolumnheadingChar"/>
    <w:rsid w:val="00444963"/>
    <w:pPr>
      <w:keepNext/>
      <w:widowControl w:val="0"/>
      <w:tabs>
        <w:tab w:val="left" w:pos="205"/>
      </w:tabs>
      <w:autoSpaceDE w:val="0"/>
      <w:autoSpaceDN w:val="0"/>
      <w:adjustRightInd w:val="0"/>
      <w:spacing w:before="80" w:after="80"/>
    </w:pPr>
    <w:rPr>
      <w:rFonts w:ascii="Arial" w:eastAsia="Times New Roman" w:hAnsi="Arial" w:cs="Arial"/>
      <w:b/>
      <w:bCs/>
      <w:color w:val="FFFFFF"/>
      <w:sz w:val="17"/>
      <w:szCs w:val="18"/>
      <w:lang w:val="en-AU"/>
    </w:rPr>
  </w:style>
  <w:style w:type="character" w:customStyle="1" w:styleId="TablecolumnheadingChar">
    <w:name w:val="Table column heading Char"/>
    <w:basedOn w:val="DefaultParagraphFont"/>
    <w:link w:val="Tablecolumnheading"/>
    <w:rsid w:val="00444963"/>
    <w:rPr>
      <w:rFonts w:ascii="Arial" w:eastAsia="Times New Roman" w:hAnsi="Arial" w:cs="Arial"/>
      <w:b/>
      <w:bCs/>
      <w:color w:val="FFFFFF"/>
      <w:sz w:val="17"/>
      <w:szCs w:val="18"/>
      <w:lang w:val="en-AU"/>
    </w:rPr>
  </w:style>
  <w:style w:type="paragraph" w:customStyle="1" w:styleId="TableTextFinancial">
    <w:name w:val="Table Text Financial"/>
    <w:basedOn w:val="Normal"/>
    <w:uiPriority w:val="99"/>
    <w:qFormat/>
    <w:rsid w:val="00643E14"/>
    <w:pPr>
      <w:spacing w:after="60"/>
    </w:pPr>
    <w:rPr>
      <w:rFonts w:ascii="Arial" w:hAnsi="Arial" w:cs="Arial"/>
      <w:bCs/>
      <w:sz w:val="16"/>
      <w:szCs w:val="52"/>
      <w:lang w:val="en-AU"/>
    </w:rPr>
  </w:style>
  <w:style w:type="paragraph" w:customStyle="1" w:styleId="Tabletextnoindent">
    <w:name w:val="Table text no indent"/>
    <w:basedOn w:val="Normal"/>
    <w:uiPriority w:val="99"/>
    <w:qFormat/>
    <w:rsid w:val="00AB5330"/>
    <w:pPr>
      <w:widowControl w:val="0"/>
      <w:tabs>
        <w:tab w:val="left" w:pos="205"/>
      </w:tabs>
      <w:autoSpaceDE w:val="0"/>
      <w:autoSpaceDN w:val="0"/>
      <w:adjustRightInd w:val="0"/>
      <w:spacing w:before="80" w:after="80"/>
    </w:pPr>
    <w:rPr>
      <w:rFonts w:ascii="Arial" w:eastAsia="Times New Roman" w:hAnsi="Arial" w:cs="Arial"/>
      <w:sz w:val="17"/>
      <w:szCs w:val="18"/>
      <w:lang w:val="en-AU"/>
    </w:rPr>
  </w:style>
  <w:style w:type="paragraph" w:customStyle="1" w:styleId="Heading2notes">
    <w:name w:val="Heading 2 notes"/>
    <w:basedOn w:val="Normal"/>
    <w:link w:val="Heading2notesChar"/>
    <w:uiPriority w:val="99"/>
    <w:qFormat/>
    <w:rsid w:val="009C0A88"/>
    <w:pPr>
      <w:keepNext/>
      <w:numPr>
        <w:numId w:val="11"/>
      </w:numPr>
      <w:tabs>
        <w:tab w:val="left" w:pos="1134"/>
      </w:tabs>
      <w:spacing w:before="430" w:after="90" w:line="360" w:lineRule="atLeast"/>
      <w:outlineLvl w:val="1"/>
    </w:pPr>
    <w:rPr>
      <w:rFonts w:ascii="Arial" w:eastAsia="Times New Roman" w:hAnsi="Arial" w:cs="Arial"/>
      <w:bCs/>
      <w:iCs/>
      <w:color w:val="8A2A2F" w:themeColor="text1"/>
      <w:sz w:val="28"/>
      <w:szCs w:val="28"/>
      <w:lang w:val="en-AU"/>
    </w:rPr>
  </w:style>
  <w:style w:type="character" w:customStyle="1" w:styleId="Heading2notesChar">
    <w:name w:val="Heading 2 notes Char"/>
    <w:basedOn w:val="DefaultParagraphFont"/>
    <w:link w:val="Heading2notes"/>
    <w:uiPriority w:val="99"/>
    <w:rsid w:val="009C0A88"/>
    <w:rPr>
      <w:rFonts w:ascii="Arial" w:eastAsia="Times New Roman" w:hAnsi="Arial" w:cs="Arial"/>
      <w:bCs/>
      <w:iCs/>
      <w:color w:val="8A2A2F" w:themeColor="text1"/>
      <w:sz w:val="28"/>
      <w:szCs w:val="28"/>
      <w:lang w:val="en-AU"/>
    </w:rPr>
  </w:style>
  <w:style w:type="character" w:customStyle="1" w:styleId="ListParagraphChar">
    <w:name w:val="List Paragraph Char"/>
    <w:aliases w:val="List Paragraph IEPCP 11pt Char,List Paragraph1 Char,List Paragraph11 Char,Dot Points Char,L Char,Recommendation Char,List Paragraph Number Char,Bullet point Char,Content descriptions Char,NFP GP Bulleted List Char,FooterText Char"/>
    <w:link w:val="ListParagraph"/>
    <w:uiPriority w:val="34"/>
    <w:qFormat/>
    <w:locked/>
    <w:rsid w:val="009C0A88"/>
    <w:rPr>
      <w:sz w:val="22"/>
    </w:rPr>
  </w:style>
  <w:style w:type="paragraph" w:styleId="Caption">
    <w:name w:val="caption"/>
    <w:aliases w:val="Note Text Bold Talic"/>
    <w:basedOn w:val="Normal"/>
    <w:next w:val="Normal"/>
    <w:qFormat/>
    <w:rsid w:val="005374F4"/>
    <w:pPr>
      <w:keepNext/>
      <w:spacing w:before="200" w:after="90" w:line="220" w:lineRule="atLeast"/>
    </w:pPr>
    <w:rPr>
      <w:rFonts w:ascii="Arial" w:eastAsia="Times New Roman" w:hAnsi="Arial" w:cs="Times New Roman"/>
      <w:b/>
      <w:i/>
      <w:color w:val="8A2A2F" w:themeColor="text1"/>
      <w:sz w:val="17"/>
      <w:lang w:val="en-AU"/>
    </w:rPr>
  </w:style>
  <w:style w:type="paragraph" w:styleId="NormalWeb">
    <w:name w:val="Normal (Web)"/>
    <w:basedOn w:val="Normal"/>
    <w:hidden/>
    <w:uiPriority w:val="99"/>
    <w:rsid w:val="005548E3"/>
    <w:pPr>
      <w:spacing w:before="96" w:after="240" w:line="220" w:lineRule="atLeast"/>
      <w:ind w:left="120"/>
    </w:pPr>
    <w:rPr>
      <w:rFonts w:ascii="Arial" w:eastAsia="Times New Roman" w:hAnsi="Arial" w:cs="Times New Roman"/>
      <w:color w:val="000000"/>
      <w:sz w:val="19"/>
      <w:lang w:val="en-AU" w:eastAsia="en-AU"/>
    </w:rPr>
  </w:style>
  <w:style w:type="paragraph" w:customStyle="1" w:styleId="Note">
    <w:name w:val="Note"/>
    <w:qFormat/>
    <w:rsid w:val="00C03B9C"/>
    <w:pPr>
      <w:numPr>
        <w:numId w:val="85"/>
      </w:numPr>
      <w:outlineLvl w:val="0"/>
    </w:pPr>
    <w:rPr>
      <w:rFonts w:ascii="Calibri" w:eastAsiaTheme="majorEastAsia" w:hAnsi="Calibri" w:cstheme="majorBidi"/>
      <w:b/>
      <w:color w:val="AF272F" w:themeColor="accent4"/>
      <w:spacing w:val="5"/>
      <w:kern w:val="28"/>
      <w:sz w:val="44"/>
      <w:szCs w:val="52"/>
      <w:lang w:val="en-US"/>
    </w:rPr>
  </w:style>
  <w:style w:type="paragraph" w:customStyle="1" w:styleId="Default">
    <w:name w:val="Default"/>
    <w:basedOn w:val="Normal"/>
    <w:rsid w:val="009065E2"/>
    <w:pPr>
      <w:autoSpaceDE w:val="0"/>
      <w:autoSpaceDN w:val="0"/>
    </w:pPr>
    <w:rPr>
      <w:rFonts w:ascii="Arial" w:hAnsi="Arial" w:cs="Arial"/>
      <w:color w:val="000000"/>
      <w:sz w:val="24"/>
      <w:lang w:val="en-AU"/>
    </w:rPr>
  </w:style>
  <w:style w:type="paragraph" w:styleId="EndnoteText">
    <w:name w:val="endnote text"/>
    <w:basedOn w:val="Normal"/>
    <w:link w:val="EndnoteTextChar"/>
    <w:semiHidden/>
    <w:unhideWhenUsed/>
    <w:rsid w:val="00036DC8"/>
    <w:rPr>
      <w:sz w:val="20"/>
      <w:szCs w:val="20"/>
    </w:rPr>
  </w:style>
  <w:style w:type="character" w:customStyle="1" w:styleId="EndnoteTextChar">
    <w:name w:val="Endnote Text Char"/>
    <w:basedOn w:val="DefaultParagraphFont"/>
    <w:link w:val="EndnoteText"/>
    <w:semiHidden/>
    <w:rsid w:val="00036DC8"/>
    <w:rPr>
      <w:sz w:val="20"/>
      <w:szCs w:val="20"/>
    </w:rPr>
  </w:style>
  <w:style w:type="character" w:styleId="EndnoteReference">
    <w:name w:val="endnote reference"/>
    <w:basedOn w:val="DefaultParagraphFont"/>
    <w:semiHidden/>
    <w:unhideWhenUsed/>
    <w:rsid w:val="00036DC8"/>
    <w:rPr>
      <w:vertAlign w:val="superscript"/>
    </w:rPr>
  </w:style>
  <w:style w:type="paragraph" w:customStyle="1" w:styleId="W2">
    <w:name w:val="W2"/>
    <w:basedOn w:val="ESTablenumberrightaligned"/>
    <w:link w:val="W2Char"/>
    <w:qFormat/>
    <w:rsid w:val="003D0A48"/>
    <w:pPr>
      <w:jc w:val="left"/>
    </w:pPr>
    <w:rPr>
      <w:b/>
      <w:lang w:val="en-AU"/>
    </w:rPr>
  </w:style>
  <w:style w:type="paragraph" w:customStyle="1" w:styleId="T1">
    <w:name w:val="T1"/>
    <w:basedOn w:val="W1"/>
    <w:link w:val="T1Char"/>
    <w:qFormat/>
    <w:rsid w:val="003D0A48"/>
    <w:rPr>
      <w:sz w:val="20"/>
    </w:rPr>
  </w:style>
  <w:style w:type="character" w:customStyle="1" w:styleId="W2Char">
    <w:name w:val="W2 Char"/>
    <w:basedOn w:val="ESTablenumberrightalignedChar"/>
    <w:link w:val="W2"/>
    <w:rsid w:val="003D0A48"/>
    <w:rPr>
      <w:rFonts w:ascii="Arial" w:eastAsiaTheme="minorEastAsia" w:hAnsi="Arial" w:cs="Arial"/>
      <w:b/>
      <w:sz w:val="20"/>
      <w:szCs w:val="18"/>
      <w:lang w:val="en-AU"/>
    </w:rPr>
  </w:style>
  <w:style w:type="character" w:customStyle="1" w:styleId="T1Char">
    <w:name w:val="T1 Char"/>
    <w:basedOn w:val="W1Char"/>
    <w:link w:val="T1"/>
    <w:rsid w:val="003D0A48"/>
    <w:rPr>
      <w:rFonts w:ascii="Arial" w:eastAsiaTheme="minorEastAsia" w:hAnsi="Arial" w:cs="Arial"/>
      <w:b/>
      <w:color w:val="FFFFFF" w:themeColor="background1"/>
      <w:sz w:val="20"/>
      <w:szCs w:val="18"/>
      <w:lang w:val="en-US"/>
    </w:rPr>
  </w:style>
  <w:style w:type="paragraph" w:customStyle="1" w:styleId="H4">
    <w:name w:val="H4"/>
    <w:basedOn w:val="ESHeading4"/>
    <w:link w:val="H4Char"/>
    <w:qFormat/>
    <w:rsid w:val="00770D15"/>
    <w:pPr>
      <w:ind w:left="0" w:firstLine="0"/>
    </w:pPr>
  </w:style>
  <w:style w:type="character" w:customStyle="1" w:styleId="H4Char">
    <w:name w:val="H4 Char"/>
    <w:basedOn w:val="ESHeading4Char"/>
    <w:link w:val="H4"/>
    <w:rsid w:val="00770D15"/>
    <w:rPr>
      <w:rFonts w:ascii="Arial" w:eastAsiaTheme="minorEastAsia" w:hAnsi="Arial" w:cs="Arial"/>
      <w:b w:val="0"/>
      <w:color w:val="53565A" w:themeColor="accent5"/>
      <w:sz w:val="22"/>
      <w:szCs w:val="18"/>
      <w:lang w:val="en-US"/>
    </w:rPr>
  </w:style>
  <w:style w:type="table" w:customStyle="1" w:styleId="TableGrid4">
    <w:name w:val="Table Grid4"/>
    <w:basedOn w:val="TableNormal"/>
    <w:next w:val="TableGrid"/>
    <w:uiPriority w:val="39"/>
    <w:rsid w:val="008363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otal">
    <w:name w:val="Table total"/>
    <w:basedOn w:val="Normal"/>
    <w:link w:val="TabletotalChar"/>
    <w:qFormat/>
    <w:rsid w:val="0083634A"/>
    <w:pPr>
      <w:widowControl w:val="0"/>
      <w:tabs>
        <w:tab w:val="left" w:pos="205"/>
      </w:tabs>
      <w:spacing w:before="40" w:after="200" w:line="220" w:lineRule="atLeast"/>
    </w:pPr>
    <w:rPr>
      <w:rFonts w:ascii="Arial" w:eastAsia="Times New Roman" w:hAnsi="Arial" w:cs="Arial"/>
      <w:b/>
      <w:color w:val="8A2A2F" w:themeColor="text1"/>
      <w:sz w:val="17"/>
      <w:lang w:val="en-AU"/>
    </w:rPr>
  </w:style>
  <w:style w:type="character" w:customStyle="1" w:styleId="TabletotalChar">
    <w:name w:val="Table total Char"/>
    <w:basedOn w:val="DefaultParagraphFont"/>
    <w:link w:val="Tabletotal"/>
    <w:rsid w:val="0083634A"/>
    <w:rPr>
      <w:rFonts w:ascii="Arial" w:eastAsia="Times New Roman" w:hAnsi="Arial" w:cs="Arial"/>
      <w:b/>
      <w:color w:val="8A2A2F" w:themeColor="text1"/>
      <w:sz w:val="17"/>
      <w:lang w:val="en-AU"/>
    </w:rPr>
  </w:style>
  <w:style w:type="table" w:customStyle="1" w:styleId="TableGrid1">
    <w:name w:val="Table Grid1"/>
    <w:basedOn w:val="TableNormal"/>
    <w:next w:val="TableGrid"/>
    <w:rsid w:val="008363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4C2FE9"/>
    <w:pPr>
      <w:numPr>
        <w:numId w:val="15"/>
      </w:numPr>
      <w:tabs>
        <w:tab w:val="left" w:pos="284"/>
      </w:tabs>
      <w:spacing w:before="60" w:after="120" w:line="240" w:lineRule="exact"/>
    </w:pPr>
    <w:rPr>
      <w:rFonts w:ascii="Arial" w:eastAsia="Cambria" w:hAnsi="Arial" w:cs="Times New Roman"/>
      <w:sz w:val="20"/>
      <w:lang w:val="en-US"/>
    </w:rPr>
  </w:style>
  <w:style w:type="character" w:customStyle="1" w:styleId="BodyTextIndentChar">
    <w:name w:val="Body Text Indent Char"/>
    <w:basedOn w:val="DefaultParagraphFont"/>
    <w:link w:val="BodyTextIndent"/>
    <w:uiPriority w:val="99"/>
    <w:rsid w:val="004C2FE9"/>
    <w:rPr>
      <w:rFonts w:ascii="Arial" w:eastAsia="Cambria" w:hAnsi="Arial" w:cs="Times New Roman"/>
      <w:sz w:val="20"/>
      <w:lang w:val="en-US"/>
    </w:rPr>
  </w:style>
  <w:style w:type="paragraph" w:styleId="CommentSubject">
    <w:name w:val="annotation subject"/>
    <w:basedOn w:val="CommentText"/>
    <w:next w:val="CommentText"/>
    <w:link w:val="CommentSubjectChar"/>
    <w:semiHidden/>
    <w:unhideWhenUsed/>
    <w:rsid w:val="00135A55"/>
    <w:pPr>
      <w:spacing w:after="0"/>
    </w:pPr>
    <w:rPr>
      <w:rFonts w:asciiTheme="minorHAnsi" w:eastAsiaTheme="minorHAnsi" w:hAnsiTheme="minorHAnsi" w:cstheme="minorBidi"/>
      <w:b/>
      <w:bCs/>
      <w:color w:val="auto"/>
      <w:lang w:val="en-GB"/>
    </w:rPr>
  </w:style>
  <w:style w:type="character" w:customStyle="1" w:styleId="CommentSubjectChar">
    <w:name w:val="Comment Subject Char"/>
    <w:basedOn w:val="CommentTextChar"/>
    <w:link w:val="CommentSubject"/>
    <w:uiPriority w:val="99"/>
    <w:semiHidden/>
    <w:rsid w:val="00135A55"/>
    <w:rPr>
      <w:rFonts w:ascii="Arial" w:eastAsia="Times New Roman" w:hAnsi="Arial" w:cs="Times New Roman"/>
      <w:b/>
      <w:bCs/>
      <w:color w:val="8A2A2F" w:themeColor="text1"/>
      <w:sz w:val="20"/>
      <w:szCs w:val="20"/>
      <w:lang w:val="en-AU"/>
    </w:rPr>
  </w:style>
  <w:style w:type="paragraph" w:customStyle="1" w:styleId="Bullet1">
    <w:name w:val="Bullet 1"/>
    <w:basedOn w:val="Normal"/>
    <w:next w:val="Normal"/>
    <w:uiPriority w:val="2"/>
    <w:qFormat/>
    <w:rsid w:val="00B36114"/>
    <w:pPr>
      <w:numPr>
        <w:numId w:val="35"/>
      </w:numPr>
      <w:spacing w:after="120"/>
    </w:pPr>
    <w:rPr>
      <w:color w:val="8A2A2F" w:themeColor="text1"/>
      <w:lang w:val="en-AU"/>
    </w:rPr>
  </w:style>
  <w:style w:type="character" w:styleId="FollowedHyperlink">
    <w:name w:val="FollowedHyperlink"/>
    <w:basedOn w:val="DefaultParagraphFont"/>
    <w:uiPriority w:val="99"/>
    <w:semiHidden/>
    <w:unhideWhenUsed/>
    <w:rsid w:val="009615A6"/>
    <w:rPr>
      <w:color w:val="8A2A2B" w:themeColor="followedHyperlink"/>
      <w:u w:val="single"/>
    </w:rPr>
  </w:style>
  <w:style w:type="paragraph" w:customStyle="1" w:styleId="DETFootnoteTextforobjectivestablesOHStable">
    <w:name w:val="DET Footnote Text for objectives tables &amp; OHS table"/>
    <w:basedOn w:val="Normal"/>
    <w:next w:val="Normal"/>
    <w:link w:val="DETFootnoteTextforobjectivestablesOHStableChar"/>
    <w:qFormat/>
    <w:rsid w:val="001C08BC"/>
    <w:pPr>
      <w:widowControl w:val="0"/>
      <w:tabs>
        <w:tab w:val="left" w:pos="142"/>
      </w:tabs>
      <w:autoSpaceDE w:val="0"/>
      <w:autoSpaceDN w:val="0"/>
      <w:adjustRightInd w:val="0"/>
      <w:spacing w:line="150" w:lineRule="exact"/>
      <w:ind w:left="113" w:hanging="113"/>
    </w:pPr>
    <w:rPr>
      <w:rFonts w:ascii="Arial Narrow" w:eastAsia="Times New Roman" w:hAnsi="Arial Narrow" w:cs="Arial"/>
      <w:color w:val="000000"/>
      <w:sz w:val="15"/>
      <w:szCs w:val="16"/>
      <w:lang w:val="en-AU"/>
    </w:rPr>
  </w:style>
  <w:style w:type="character" w:customStyle="1" w:styleId="DETFootnoteTextforobjectivestablesOHStableChar">
    <w:name w:val="DET Footnote Text for objectives tables &amp; OHS table Char"/>
    <w:link w:val="DETFootnoteTextforobjectivestablesOHStable"/>
    <w:rsid w:val="001C08BC"/>
    <w:rPr>
      <w:rFonts w:ascii="Arial Narrow" w:eastAsia="Times New Roman" w:hAnsi="Arial Narrow" w:cs="Arial"/>
      <w:color w:val="000000"/>
      <w:sz w:val="15"/>
      <w:szCs w:val="16"/>
      <w:lang w:val="en-AU"/>
    </w:rPr>
  </w:style>
  <w:style w:type="paragraph" w:styleId="Revision">
    <w:name w:val="Revision"/>
    <w:hidden/>
    <w:uiPriority w:val="99"/>
    <w:semiHidden/>
    <w:rsid w:val="00DC7DE9"/>
    <w:rPr>
      <w:sz w:val="22"/>
    </w:rPr>
  </w:style>
  <w:style w:type="numbering" w:customStyle="1" w:styleId="Bullet">
    <w:name w:val="Bullet"/>
    <w:uiPriority w:val="99"/>
    <w:rsid w:val="00FA6A87"/>
    <w:pPr>
      <w:numPr>
        <w:numId w:val="48"/>
      </w:numPr>
    </w:pPr>
  </w:style>
  <w:style w:type="paragraph" w:styleId="ListBullet2">
    <w:name w:val="List Bullet 2"/>
    <w:basedOn w:val="ListBullet"/>
    <w:uiPriority w:val="24"/>
    <w:rsid w:val="00FA6A87"/>
    <w:pPr>
      <w:tabs>
        <w:tab w:val="num" w:pos="360"/>
      </w:tabs>
      <w:ind w:hanging="720"/>
    </w:pPr>
  </w:style>
  <w:style w:type="paragraph" w:styleId="ListBullet">
    <w:name w:val="List Bullet"/>
    <w:basedOn w:val="Normal"/>
    <w:link w:val="ListBulletChar"/>
    <w:uiPriority w:val="24"/>
    <w:qFormat/>
    <w:rsid w:val="00FA6A87"/>
    <w:pPr>
      <w:keepLines/>
      <w:spacing w:before="60"/>
      <w:ind w:left="480" w:hanging="480"/>
      <w:contextualSpacing/>
    </w:pPr>
    <w:rPr>
      <w:spacing w:val="2"/>
      <w:sz w:val="18"/>
      <w:szCs w:val="18"/>
      <w:lang w:val="en-AU"/>
    </w:rPr>
  </w:style>
  <w:style w:type="paragraph" w:styleId="ListBullet3">
    <w:name w:val="List Bullet 3"/>
    <w:basedOn w:val="ListBullet2"/>
    <w:uiPriority w:val="24"/>
    <w:unhideWhenUsed/>
    <w:rsid w:val="00FA6A87"/>
    <w:pPr>
      <w:ind w:left="720"/>
    </w:pPr>
  </w:style>
  <w:style w:type="character" w:customStyle="1" w:styleId="ListBulletChar">
    <w:name w:val="List Bullet Char"/>
    <w:basedOn w:val="DefaultParagraphFont"/>
    <w:link w:val="ListBullet"/>
    <w:uiPriority w:val="19"/>
    <w:rsid w:val="00FA6A87"/>
    <w:rPr>
      <w:spacing w:val="2"/>
      <w:sz w:val="18"/>
      <w:szCs w:val="18"/>
      <w:lang w:val="en-AU"/>
    </w:rPr>
  </w:style>
  <w:style w:type="paragraph" w:customStyle="1" w:styleId="Heading2nonTOC">
    <w:name w:val="Heading 2 (non TOC)"/>
    <w:basedOn w:val="Heading2"/>
    <w:next w:val="Normal"/>
    <w:uiPriority w:val="12"/>
    <w:qFormat/>
    <w:rsid w:val="00FA6A87"/>
    <w:pPr>
      <w:numPr>
        <w:ilvl w:val="1"/>
      </w:numPr>
      <w:tabs>
        <w:tab w:val="left" w:pos="964"/>
        <w:tab w:val="right" w:pos="9582"/>
      </w:tabs>
      <w:spacing w:before="240"/>
    </w:pPr>
    <w:rPr>
      <w:b/>
      <w:color w:val="auto"/>
      <w:spacing w:val="-2"/>
      <w:sz w:val="24"/>
      <w:lang w:val="en-AU"/>
    </w:rPr>
  </w:style>
  <w:style w:type="character" w:styleId="UnresolvedMention">
    <w:name w:val="Unresolved Mention"/>
    <w:basedOn w:val="DefaultParagraphFont"/>
    <w:uiPriority w:val="99"/>
    <w:semiHidden/>
    <w:unhideWhenUsed/>
    <w:rsid w:val="00EB041C"/>
    <w:rPr>
      <w:color w:val="605E5C"/>
      <w:shd w:val="clear" w:color="auto" w:fill="E1DFDD"/>
    </w:rPr>
  </w:style>
  <w:style w:type="paragraph" w:styleId="BodyText">
    <w:name w:val="Body Text"/>
    <w:aliases w:val="1 VF Body Text"/>
    <w:basedOn w:val="Normal"/>
    <w:link w:val="BodyTextChar"/>
    <w:unhideWhenUsed/>
    <w:qFormat/>
    <w:rsid w:val="00C055B8"/>
    <w:pPr>
      <w:spacing w:after="120"/>
    </w:pPr>
    <w:rPr>
      <w:lang w:val="en-AU"/>
    </w:rPr>
  </w:style>
  <w:style w:type="character" w:customStyle="1" w:styleId="BodyTextChar">
    <w:name w:val="Body Text Char"/>
    <w:aliases w:val="1 VF Body Text Char"/>
    <w:basedOn w:val="DefaultParagraphFont"/>
    <w:link w:val="BodyText"/>
    <w:rsid w:val="00C055B8"/>
    <w:rPr>
      <w:sz w:val="22"/>
      <w:lang w:val="en-AU"/>
    </w:rPr>
  </w:style>
  <w:style w:type="paragraph" w:customStyle="1" w:styleId="StatementName">
    <w:name w:val="Statement Name"/>
    <w:basedOn w:val="Normal"/>
    <w:next w:val="Normal"/>
    <w:link w:val="StatementNameChar"/>
    <w:autoRedefine/>
    <w:rsid w:val="00C055B8"/>
    <w:pPr>
      <w:pBdr>
        <w:bottom w:val="single" w:sz="4" w:space="1" w:color="auto"/>
      </w:pBdr>
      <w:spacing w:line="260" w:lineRule="atLeast"/>
    </w:pPr>
    <w:rPr>
      <w:rFonts w:ascii="Arial" w:eastAsia="Times New Roman" w:hAnsi="Arial" w:cs="Arial"/>
      <w:b/>
      <w:sz w:val="24"/>
      <w:lang w:val="en-AU"/>
    </w:rPr>
  </w:style>
  <w:style w:type="paragraph" w:customStyle="1" w:styleId="StatementDateHeader">
    <w:name w:val="Statement Date Header"/>
    <w:basedOn w:val="Normal"/>
    <w:next w:val="Normal"/>
    <w:rsid w:val="00C055B8"/>
    <w:pPr>
      <w:pBdr>
        <w:bottom w:val="single" w:sz="4" w:space="1" w:color="auto"/>
      </w:pBdr>
      <w:spacing w:line="260" w:lineRule="atLeast"/>
    </w:pPr>
    <w:rPr>
      <w:rFonts w:ascii="Arial" w:eastAsia="Times New Roman" w:hAnsi="Arial" w:cs="Times New Roman"/>
      <w:i/>
      <w:sz w:val="24"/>
      <w:szCs w:val="20"/>
      <w:lang w:val="en-AU"/>
    </w:rPr>
  </w:style>
  <w:style w:type="paragraph" w:customStyle="1" w:styleId="StatementTextLevel3">
    <w:name w:val="Statement Text Level 3"/>
    <w:basedOn w:val="Normal"/>
    <w:next w:val="Normal"/>
    <w:rsid w:val="00C055B8"/>
    <w:pPr>
      <w:spacing w:line="260" w:lineRule="atLeast"/>
    </w:pPr>
    <w:rPr>
      <w:rFonts w:ascii="Arial" w:eastAsia="Times New Roman" w:hAnsi="Arial" w:cs="Times New Roman"/>
      <w:szCs w:val="20"/>
      <w:lang w:val="en-AU"/>
    </w:rPr>
  </w:style>
  <w:style w:type="paragraph" w:customStyle="1" w:styleId="ContinuedNotesHeading-Level1">
    <w:name w:val="Continued Notes Heading - Level 1"/>
    <w:basedOn w:val="NotesHeading-Level1"/>
    <w:qFormat/>
    <w:rsid w:val="00C055B8"/>
    <w:pPr>
      <w:tabs>
        <w:tab w:val="clear" w:pos="340"/>
      </w:tabs>
      <w:spacing w:line="240" w:lineRule="auto"/>
      <w:ind w:left="0" w:firstLine="0"/>
      <w:outlineLvl w:val="9"/>
    </w:pPr>
  </w:style>
  <w:style w:type="paragraph" w:customStyle="1" w:styleId="TableHeaderLevel1">
    <w:name w:val="Table Header Level 1"/>
    <w:basedOn w:val="Normal"/>
    <w:semiHidden/>
    <w:rsid w:val="00C055B8"/>
    <w:pPr>
      <w:spacing w:line="260" w:lineRule="atLeast"/>
      <w:jc w:val="center"/>
    </w:pPr>
    <w:rPr>
      <w:rFonts w:ascii="Arial" w:eastAsia="Times New Roman" w:hAnsi="Arial" w:cs="Times New Roman"/>
      <w:b/>
      <w:szCs w:val="18"/>
      <w:lang w:val="en-AU"/>
    </w:rPr>
  </w:style>
  <w:style w:type="paragraph" w:customStyle="1" w:styleId="StatementTextLevel1bItalic">
    <w:name w:val="Statement Text Level 1(b) + Italic"/>
    <w:basedOn w:val="Normal"/>
    <w:rsid w:val="00C055B8"/>
    <w:pPr>
      <w:spacing w:line="260" w:lineRule="atLeast"/>
    </w:pPr>
    <w:rPr>
      <w:rFonts w:ascii="Arial" w:eastAsia="Times New Roman" w:hAnsi="Arial" w:cs="Times New Roman"/>
      <w:b/>
      <w:bCs/>
      <w:i/>
      <w:iCs/>
      <w:szCs w:val="18"/>
      <w:lang w:val="en-AU"/>
    </w:rPr>
  </w:style>
  <w:style w:type="paragraph" w:customStyle="1" w:styleId="Graphic">
    <w:name w:val="Graphic"/>
    <w:basedOn w:val="Signature"/>
    <w:rsid w:val="00C055B8"/>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rsid w:val="00C055B8"/>
    <w:rPr>
      <w:rFonts w:ascii="Arial" w:eastAsia="Times New Roman" w:hAnsi="Arial" w:cs="Times New Roman"/>
      <w:szCs w:val="20"/>
      <w:lang w:val="en-AU"/>
    </w:rPr>
  </w:style>
  <w:style w:type="character" w:customStyle="1" w:styleId="SignatureChar">
    <w:name w:val="Signature Char"/>
    <w:basedOn w:val="DefaultParagraphFont"/>
    <w:link w:val="Signature"/>
    <w:rsid w:val="00C055B8"/>
    <w:rPr>
      <w:rFonts w:ascii="Arial" w:eastAsia="Times New Roman" w:hAnsi="Arial" w:cs="Times New Roman"/>
      <w:sz w:val="22"/>
      <w:szCs w:val="20"/>
      <w:lang w:val="en-AU"/>
    </w:rPr>
  </w:style>
  <w:style w:type="paragraph" w:styleId="MacroText">
    <w:name w:val="macro"/>
    <w:link w:val="MacroTextChar"/>
    <w:semiHidden/>
    <w:rsid w:val="00C055B8"/>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eastAsia="Times New Roman" w:hAnsi="Courier New" w:cs="Courier New"/>
      <w:sz w:val="18"/>
      <w:szCs w:val="20"/>
    </w:rPr>
  </w:style>
  <w:style w:type="character" w:customStyle="1" w:styleId="MacroTextChar">
    <w:name w:val="Macro Text Char"/>
    <w:basedOn w:val="DefaultParagraphFont"/>
    <w:link w:val="MacroText"/>
    <w:semiHidden/>
    <w:rsid w:val="00C055B8"/>
    <w:rPr>
      <w:rFonts w:ascii="Courier New" w:eastAsia="Times New Roman" w:hAnsi="Courier New" w:cs="Courier New"/>
      <w:sz w:val="18"/>
      <w:szCs w:val="20"/>
    </w:rPr>
  </w:style>
  <w:style w:type="paragraph" w:customStyle="1" w:styleId="NotesTotal">
    <w:name w:val="Notes Total"/>
    <w:basedOn w:val="Normal"/>
    <w:autoRedefine/>
    <w:rsid w:val="00C055B8"/>
    <w:pPr>
      <w:spacing w:line="260" w:lineRule="atLeast"/>
      <w:ind w:left="139" w:right="57"/>
    </w:pPr>
    <w:rPr>
      <w:rFonts w:ascii="Arial" w:eastAsia="Times New Roman" w:hAnsi="Arial" w:cs="Times New Roman"/>
      <w:b/>
      <w:iCs/>
      <w:sz w:val="20"/>
      <w:szCs w:val="20"/>
      <w:lang w:val="en-AU"/>
    </w:rPr>
  </w:style>
  <w:style w:type="paragraph" w:customStyle="1" w:styleId="TitlePage">
    <w:name w:val="Title Page"/>
    <w:basedOn w:val="Normal"/>
    <w:autoRedefine/>
    <w:rsid w:val="00C055B8"/>
    <w:pPr>
      <w:spacing w:before="1200" w:after="1200" w:line="260" w:lineRule="atLeast"/>
      <w:ind w:left="57" w:right="57"/>
      <w:jc w:val="right"/>
    </w:pPr>
    <w:rPr>
      <w:rFonts w:ascii="Arial" w:eastAsia="Times New Roman" w:hAnsi="Arial" w:cs="Times New Roman"/>
      <w:b/>
      <w:bCs/>
      <w:sz w:val="48"/>
      <w:szCs w:val="20"/>
      <w:lang w:val="en-AU"/>
    </w:rPr>
  </w:style>
  <w:style w:type="paragraph" w:customStyle="1" w:styleId="zcontents">
    <w:name w:val="zcontents"/>
    <w:basedOn w:val="Normal"/>
    <w:semiHidden/>
    <w:rsid w:val="00C055B8"/>
    <w:pPr>
      <w:spacing w:after="260"/>
    </w:pPr>
    <w:rPr>
      <w:rFonts w:ascii="Arial" w:eastAsia="Times New Roman" w:hAnsi="Arial" w:cs="Times New Roman"/>
      <w:b/>
      <w:sz w:val="32"/>
      <w:szCs w:val="20"/>
      <w:lang w:val="en-AU"/>
    </w:rPr>
  </w:style>
  <w:style w:type="paragraph" w:customStyle="1" w:styleId="Normal10pt">
    <w:name w:val="Normal + 10 pt"/>
    <w:aliases w:val="Line spacing:  single"/>
    <w:basedOn w:val="Normal"/>
    <w:rsid w:val="00C055B8"/>
    <w:pPr>
      <w:spacing w:before="130" w:after="130" w:line="260" w:lineRule="atLeast"/>
    </w:pPr>
    <w:rPr>
      <w:rFonts w:ascii="Arial" w:eastAsia="Times New Roman" w:hAnsi="Arial" w:cs="Times New Roman"/>
      <w:b/>
      <w:sz w:val="20"/>
      <w:szCs w:val="20"/>
      <w:lang w:val="en-AU"/>
    </w:rPr>
  </w:style>
  <w:style w:type="paragraph" w:styleId="z-BottomofForm">
    <w:name w:val="HTML Bottom of Form"/>
    <w:basedOn w:val="Normal"/>
    <w:next w:val="Normal"/>
    <w:link w:val="z-BottomofFormChar"/>
    <w:hidden/>
    <w:rsid w:val="00C055B8"/>
    <w:pPr>
      <w:pBdr>
        <w:top w:val="single" w:sz="6" w:space="1" w:color="auto"/>
      </w:pBdr>
      <w:spacing w:line="260" w:lineRule="atLeast"/>
      <w:jc w:val="center"/>
    </w:pPr>
    <w:rPr>
      <w:rFonts w:ascii="Arial" w:eastAsia="Times New Roman" w:hAnsi="Arial" w:cs="Arial"/>
      <w:vanish/>
      <w:sz w:val="16"/>
      <w:szCs w:val="16"/>
      <w:lang w:val="en-AU"/>
    </w:rPr>
  </w:style>
  <w:style w:type="character" w:customStyle="1" w:styleId="z-BottomofFormChar">
    <w:name w:val="z-Bottom of Form Char"/>
    <w:basedOn w:val="DefaultParagraphFont"/>
    <w:link w:val="z-BottomofForm"/>
    <w:rsid w:val="00C055B8"/>
    <w:rPr>
      <w:rFonts w:ascii="Arial" w:eastAsia="Times New Roman" w:hAnsi="Arial" w:cs="Arial"/>
      <w:vanish/>
      <w:sz w:val="16"/>
      <w:szCs w:val="16"/>
      <w:lang w:val="en-AU"/>
    </w:rPr>
  </w:style>
  <w:style w:type="paragraph" w:styleId="z-TopofForm">
    <w:name w:val="HTML Top of Form"/>
    <w:basedOn w:val="Normal"/>
    <w:next w:val="Normal"/>
    <w:link w:val="z-TopofFormChar"/>
    <w:hidden/>
    <w:rsid w:val="00C055B8"/>
    <w:pPr>
      <w:pBdr>
        <w:bottom w:val="single" w:sz="6" w:space="1" w:color="auto"/>
      </w:pBdr>
      <w:spacing w:line="260" w:lineRule="atLeast"/>
      <w:jc w:val="center"/>
    </w:pPr>
    <w:rPr>
      <w:rFonts w:ascii="Arial" w:eastAsia="Times New Roman" w:hAnsi="Arial" w:cs="Arial"/>
      <w:vanish/>
      <w:sz w:val="16"/>
      <w:szCs w:val="16"/>
      <w:lang w:val="en-AU"/>
    </w:rPr>
  </w:style>
  <w:style w:type="character" w:customStyle="1" w:styleId="z-TopofFormChar">
    <w:name w:val="z-Top of Form Char"/>
    <w:basedOn w:val="DefaultParagraphFont"/>
    <w:link w:val="z-TopofForm"/>
    <w:rsid w:val="00C055B8"/>
    <w:rPr>
      <w:rFonts w:ascii="Arial" w:eastAsia="Times New Roman" w:hAnsi="Arial" w:cs="Arial"/>
      <w:vanish/>
      <w:sz w:val="16"/>
      <w:szCs w:val="16"/>
      <w:lang w:val="en-AU"/>
    </w:rPr>
  </w:style>
  <w:style w:type="paragraph" w:styleId="DocumentMap">
    <w:name w:val="Document Map"/>
    <w:basedOn w:val="Normal"/>
    <w:link w:val="DocumentMapChar"/>
    <w:semiHidden/>
    <w:rsid w:val="00C055B8"/>
    <w:pPr>
      <w:shd w:val="clear" w:color="auto" w:fill="000080"/>
    </w:pPr>
    <w:rPr>
      <w:rFonts w:ascii="Tahoma" w:eastAsia="Times New Roman" w:hAnsi="Tahoma" w:cs="Times New Roman"/>
      <w:sz w:val="20"/>
      <w:szCs w:val="20"/>
      <w:lang w:val="en-AU" w:eastAsia="en-AU"/>
    </w:rPr>
  </w:style>
  <w:style w:type="character" w:customStyle="1" w:styleId="DocumentMapChar">
    <w:name w:val="Document Map Char"/>
    <w:basedOn w:val="DefaultParagraphFont"/>
    <w:link w:val="DocumentMap"/>
    <w:semiHidden/>
    <w:rsid w:val="00C055B8"/>
    <w:rPr>
      <w:rFonts w:ascii="Tahoma" w:eastAsia="Times New Roman" w:hAnsi="Tahoma" w:cs="Times New Roman"/>
      <w:sz w:val="20"/>
      <w:szCs w:val="20"/>
      <w:shd w:val="clear" w:color="auto" w:fill="000080"/>
      <w:lang w:val="en-AU" w:eastAsia="en-AU"/>
    </w:rPr>
  </w:style>
  <w:style w:type="numbering" w:customStyle="1" w:styleId="NoList1">
    <w:name w:val="No List1"/>
    <w:next w:val="NoList"/>
    <w:semiHidden/>
    <w:rsid w:val="00C055B8"/>
  </w:style>
  <w:style w:type="paragraph" w:customStyle="1" w:styleId="Normal8pt">
    <w:name w:val="Normal + 8 pt"/>
    <w:basedOn w:val="Normal"/>
    <w:rsid w:val="00C055B8"/>
    <w:pPr>
      <w:widowControl w:val="0"/>
      <w:autoSpaceDE w:val="0"/>
      <w:autoSpaceDN w:val="0"/>
    </w:pPr>
    <w:rPr>
      <w:rFonts w:ascii="Arial" w:eastAsia="Times New Roman" w:hAnsi="Arial" w:cs="Times New Roman"/>
      <w:bCs/>
      <w:iCs/>
      <w:spacing w:val="-6"/>
      <w:sz w:val="16"/>
      <w:szCs w:val="16"/>
      <w:lang w:val="en-US"/>
    </w:rPr>
  </w:style>
  <w:style w:type="paragraph" w:customStyle="1" w:styleId="NormalCalistoMT">
    <w:name w:val="Normal + Calisto MT"/>
    <w:aliases w:val="8 pt,Right"/>
    <w:basedOn w:val="Normal"/>
    <w:rsid w:val="00C055B8"/>
    <w:pPr>
      <w:framePr w:hSpace="180" w:wrap="around" w:vAnchor="text" w:hAnchor="margin" w:y="1"/>
      <w:spacing w:line="260" w:lineRule="atLeast"/>
      <w:ind w:right="212"/>
      <w:suppressOverlap/>
      <w:jc w:val="right"/>
    </w:pPr>
    <w:rPr>
      <w:rFonts w:ascii="Calisto MT" w:eastAsia="Times New Roman" w:hAnsi="Calisto MT" w:cs="Times New Roman"/>
      <w:sz w:val="16"/>
      <w:szCs w:val="20"/>
      <w:lang w:val="en-AU"/>
    </w:rPr>
  </w:style>
  <w:style w:type="paragraph" w:customStyle="1" w:styleId="ReferenceText">
    <w:name w:val="Reference Text"/>
    <w:basedOn w:val="Normal"/>
    <w:link w:val="ReferenceTextChar"/>
    <w:qFormat/>
    <w:rsid w:val="00C055B8"/>
    <w:pPr>
      <w:spacing w:before="60" w:after="60" w:line="200" w:lineRule="exact"/>
      <w:ind w:right="-1"/>
    </w:pPr>
    <w:rPr>
      <w:rFonts w:ascii="Arial" w:eastAsia="Times New Roman" w:hAnsi="Arial" w:cs="Arial"/>
      <w:sz w:val="18"/>
      <w:szCs w:val="18"/>
      <w:lang w:val="en-AU" w:eastAsia="en-AU"/>
    </w:rPr>
  </w:style>
  <w:style w:type="paragraph" w:customStyle="1" w:styleId="NotesHeading-Level1">
    <w:name w:val="Notes Heading - Level 1"/>
    <w:basedOn w:val="Normal"/>
    <w:qFormat/>
    <w:rsid w:val="00C055B8"/>
    <w:pPr>
      <w:shd w:val="clear" w:color="auto" w:fill="8A2A2F" w:themeFill="text1"/>
      <w:tabs>
        <w:tab w:val="num" w:pos="340"/>
      </w:tabs>
      <w:spacing w:line="260" w:lineRule="atLeast"/>
      <w:ind w:left="340" w:right="607" w:hanging="340"/>
      <w:outlineLvl w:val="0"/>
    </w:pPr>
    <w:rPr>
      <w:rFonts w:ascii="Arial" w:eastAsia="Times New Roman" w:hAnsi="Arial" w:cs="Times New Roman"/>
      <w:b/>
      <w:color w:val="FFFFFF" w:themeColor="background1"/>
      <w:sz w:val="20"/>
      <w:szCs w:val="20"/>
      <w:lang w:val="en-AU"/>
    </w:rPr>
  </w:style>
  <w:style w:type="paragraph" w:customStyle="1" w:styleId="NotesHeading-Level2">
    <w:name w:val="Notes Heading - Level 2"/>
    <w:basedOn w:val="NotesHeading-Level1"/>
    <w:rsid w:val="00C055B8"/>
    <w:pPr>
      <w:framePr w:hSpace="180" w:wrap="around" w:vAnchor="text" w:hAnchor="margin" w:y="1"/>
      <w:suppressOverlap/>
    </w:pPr>
    <w:rPr>
      <w:sz w:val="18"/>
    </w:rPr>
  </w:style>
  <w:style w:type="character" w:customStyle="1" w:styleId="StatementNameChar">
    <w:name w:val="Statement Name Char"/>
    <w:basedOn w:val="DefaultParagraphFont"/>
    <w:link w:val="StatementName"/>
    <w:rsid w:val="00C055B8"/>
    <w:rPr>
      <w:rFonts w:ascii="Arial" w:eastAsia="Times New Roman" w:hAnsi="Arial" w:cs="Arial"/>
      <w:b/>
      <w:lang w:val="en-AU"/>
    </w:rPr>
  </w:style>
  <w:style w:type="numbering" w:customStyle="1" w:styleId="CurrentList1">
    <w:name w:val="Current List1"/>
    <w:rsid w:val="00C055B8"/>
    <w:pPr>
      <w:numPr>
        <w:numId w:val="51"/>
      </w:numPr>
    </w:pPr>
  </w:style>
  <w:style w:type="numbering" w:customStyle="1" w:styleId="Style2">
    <w:name w:val="Style2"/>
    <w:rsid w:val="00C055B8"/>
    <w:pPr>
      <w:numPr>
        <w:numId w:val="52"/>
      </w:numPr>
    </w:pPr>
  </w:style>
  <w:style w:type="numbering" w:customStyle="1" w:styleId="CurrentList2">
    <w:name w:val="Current List2"/>
    <w:rsid w:val="00C055B8"/>
    <w:pPr>
      <w:numPr>
        <w:numId w:val="53"/>
      </w:numPr>
    </w:pPr>
  </w:style>
  <w:style w:type="character" w:customStyle="1" w:styleId="ReferenceTextChar">
    <w:name w:val="Reference Text Char"/>
    <w:basedOn w:val="DefaultParagraphFont"/>
    <w:link w:val="ReferenceText"/>
    <w:rsid w:val="00C055B8"/>
    <w:rPr>
      <w:rFonts w:ascii="Arial" w:eastAsia="Times New Roman" w:hAnsi="Arial" w:cs="Arial"/>
      <w:sz w:val="18"/>
      <w:szCs w:val="18"/>
      <w:lang w:val="en-AU" w:eastAsia="en-AU"/>
    </w:rPr>
  </w:style>
  <w:style w:type="paragraph" w:customStyle="1" w:styleId="StatementHeading">
    <w:name w:val="Statement Heading"/>
    <w:basedOn w:val="Normal"/>
    <w:rsid w:val="00C055B8"/>
    <w:pPr>
      <w:spacing w:line="260" w:lineRule="atLeast"/>
    </w:pPr>
    <w:rPr>
      <w:rFonts w:ascii="Arial" w:eastAsia="Times New Roman" w:hAnsi="Arial" w:cs="Times New Roman"/>
      <w:b/>
      <w:sz w:val="24"/>
      <w:szCs w:val="20"/>
      <w:lang w:val="en-AU"/>
    </w:rPr>
  </w:style>
  <w:style w:type="paragraph" w:customStyle="1" w:styleId="GreyShadeTableBreak">
    <w:name w:val="Grey Shade Table Break"/>
    <w:basedOn w:val="Normal"/>
    <w:qFormat/>
    <w:rsid w:val="00C055B8"/>
    <w:pPr>
      <w:shd w:val="clear" w:color="auto" w:fill="D9D9D9" w:themeFill="background1" w:themeFillShade="D9"/>
      <w:tabs>
        <w:tab w:val="left" w:pos="9214"/>
      </w:tabs>
      <w:spacing w:line="260" w:lineRule="atLeast"/>
      <w:ind w:right="607"/>
    </w:pPr>
    <w:rPr>
      <w:rFonts w:ascii="Arial" w:eastAsia="Times New Roman" w:hAnsi="Arial" w:cs="Times New Roman"/>
      <w:szCs w:val="20"/>
      <w:lang w:val="en-AU"/>
    </w:rPr>
  </w:style>
  <w:style w:type="paragraph" w:customStyle="1" w:styleId="GreyShadeTableBreaknon-Standard">
    <w:name w:val="Grey Shade Table Break non-Standard"/>
    <w:qFormat/>
    <w:rsid w:val="00C055B8"/>
    <w:pPr>
      <w:shd w:val="clear" w:color="auto" w:fill="D9D9D9" w:themeFill="background1" w:themeFillShade="D9"/>
      <w:ind w:right="57"/>
    </w:pPr>
    <w:rPr>
      <w:rFonts w:ascii="Times New Roman" w:eastAsia="Times New Roman" w:hAnsi="Times New Roman" w:cs="Times New Roman"/>
      <w:sz w:val="22"/>
      <w:szCs w:val="20"/>
      <w:lang w:val="en-AU"/>
    </w:rPr>
  </w:style>
  <w:style w:type="paragraph" w:customStyle="1" w:styleId="ReferenceTextLetter">
    <w:name w:val="Reference Text Letter"/>
    <w:basedOn w:val="ReferenceText"/>
    <w:rsid w:val="00C055B8"/>
    <w:pPr>
      <w:spacing w:line="240" w:lineRule="auto"/>
      <w:ind w:left="567" w:right="567"/>
    </w:pPr>
  </w:style>
  <w:style w:type="paragraph" w:customStyle="1" w:styleId="NotesHeader">
    <w:name w:val="Notes Header"/>
    <w:basedOn w:val="Normal"/>
    <w:next w:val="Normal"/>
    <w:rsid w:val="00C055B8"/>
    <w:pPr>
      <w:spacing w:line="260" w:lineRule="atLeast"/>
      <w:jc w:val="center"/>
    </w:pPr>
    <w:rPr>
      <w:rFonts w:ascii="Arial" w:eastAsia="Times New Roman" w:hAnsi="Arial" w:cs="Times New Roman"/>
      <w:b/>
      <w:szCs w:val="20"/>
      <w:lang w:val="en-AU"/>
    </w:rPr>
  </w:style>
  <w:style w:type="paragraph" w:customStyle="1" w:styleId="NotesReferences">
    <w:name w:val="Notes References"/>
    <w:basedOn w:val="Normal"/>
    <w:next w:val="Normal"/>
    <w:rsid w:val="00C055B8"/>
    <w:pPr>
      <w:spacing w:line="260" w:lineRule="atLeast"/>
      <w:jc w:val="center"/>
    </w:pPr>
    <w:rPr>
      <w:rFonts w:ascii="Arial" w:eastAsia="Times New Roman" w:hAnsi="Arial" w:cs="Times New Roman"/>
      <w:szCs w:val="20"/>
      <w:lang w:val="en-AU"/>
    </w:rPr>
  </w:style>
  <w:style w:type="paragraph" w:customStyle="1" w:styleId="NotesData">
    <w:name w:val="Notes Data"/>
    <w:basedOn w:val="Normal"/>
    <w:rsid w:val="00C055B8"/>
    <w:pPr>
      <w:framePr w:hSpace="180" w:wrap="around" w:vAnchor="text" w:hAnchor="margin" w:y="1"/>
      <w:spacing w:line="260" w:lineRule="atLeast"/>
      <w:jc w:val="center"/>
    </w:pPr>
    <w:rPr>
      <w:rFonts w:ascii="Arial" w:eastAsia="Times New Roman" w:hAnsi="Arial" w:cs="Times New Roman"/>
      <w:sz w:val="20"/>
      <w:szCs w:val="20"/>
      <w:lang w:val="en-AU"/>
    </w:rPr>
  </w:style>
  <w:style w:type="paragraph" w:customStyle="1" w:styleId="NotesTextLevel1">
    <w:name w:val="Notes Text Level 1"/>
    <w:basedOn w:val="Normal"/>
    <w:next w:val="Normal"/>
    <w:rsid w:val="00C055B8"/>
    <w:pPr>
      <w:spacing w:line="260" w:lineRule="atLeast"/>
    </w:pPr>
    <w:rPr>
      <w:rFonts w:ascii="Arial" w:eastAsia="Times New Roman" w:hAnsi="Arial" w:cs="Times New Roman"/>
      <w:b/>
      <w:i/>
      <w:szCs w:val="20"/>
      <w:u w:val="single"/>
      <w:lang w:val="en-AU"/>
    </w:rPr>
  </w:style>
  <w:style w:type="paragraph" w:customStyle="1" w:styleId="NotesTextLevel3aboldItalic">
    <w:name w:val="Notes Text Level 3(a) bold + Italic"/>
    <w:basedOn w:val="Normal"/>
    <w:link w:val="NotesTextLevel3aboldItalicChar"/>
    <w:rsid w:val="00C055B8"/>
    <w:pPr>
      <w:spacing w:line="260" w:lineRule="atLeast"/>
    </w:pPr>
    <w:rPr>
      <w:rFonts w:ascii="Arial" w:eastAsia="Times New Roman" w:hAnsi="Arial" w:cs="Times New Roman"/>
      <w:b/>
      <w:bCs/>
      <w:i/>
      <w:iCs/>
      <w:szCs w:val="20"/>
      <w:lang w:val="en-AU"/>
    </w:rPr>
  </w:style>
  <w:style w:type="character" w:customStyle="1" w:styleId="NotesTextLevel3aboldItalicChar">
    <w:name w:val="Notes Text Level 3(a) bold + Italic Char"/>
    <w:basedOn w:val="DefaultParagraphFont"/>
    <w:link w:val="NotesTextLevel3aboldItalic"/>
    <w:rsid w:val="00C055B8"/>
    <w:rPr>
      <w:rFonts w:ascii="Arial" w:eastAsia="Times New Roman" w:hAnsi="Arial" w:cs="Times New Roman"/>
      <w:b/>
      <w:bCs/>
      <w:i/>
      <w:iCs/>
      <w:sz w:val="22"/>
      <w:szCs w:val="20"/>
      <w:lang w:val="en-AU"/>
    </w:rPr>
  </w:style>
  <w:style w:type="paragraph" w:customStyle="1" w:styleId="NotesHeading3">
    <w:name w:val="Notes Heading 3"/>
    <w:basedOn w:val="Normal"/>
    <w:autoRedefine/>
    <w:rsid w:val="00C055B8"/>
    <w:pPr>
      <w:spacing w:before="80" w:after="40" w:line="260" w:lineRule="atLeast"/>
      <w:ind w:left="113" w:right="113"/>
    </w:pPr>
    <w:rPr>
      <w:rFonts w:ascii="Arial" w:eastAsia="Times New Roman" w:hAnsi="Arial" w:cs="Times New Roman"/>
      <w:szCs w:val="20"/>
      <w:u w:val="single"/>
      <w:lang w:val="en-US"/>
    </w:rPr>
  </w:style>
  <w:style w:type="paragraph" w:customStyle="1" w:styleId="NotesHeading3a">
    <w:name w:val="Notes Heading 3a"/>
    <w:basedOn w:val="Normal"/>
    <w:autoRedefine/>
    <w:rsid w:val="00C055B8"/>
    <w:pPr>
      <w:tabs>
        <w:tab w:val="num" w:pos="473"/>
      </w:tabs>
      <w:spacing w:after="120" w:line="260" w:lineRule="atLeast"/>
      <w:ind w:left="113" w:right="113"/>
      <w:jc w:val="both"/>
    </w:pPr>
    <w:rPr>
      <w:rFonts w:ascii="Arial" w:eastAsia="Times New Roman" w:hAnsi="Arial" w:cs="Times New Roman"/>
      <w:szCs w:val="20"/>
      <w:u w:val="single"/>
      <w:lang w:val="en-US"/>
    </w:rPr>
  </w:style>
  <w:style w:type="paragraph" w:customStyle="1" w:styleId="Notessub-lineitem">
    <w:name w:val="Notes sub-line item"/>
    <w:basedOn w:val="Normal"/>
    <w:autoRedefine/>
    <w:rsid w:val="00C055B8"/>
    <w:pPr>
      <w:framePr w:hSpace="180" w:wrap="around" w:vAnchor="page" w:hAnchor="margin" w:y="1985"/>
      <w:tabs>
        <w:tab w:val="left" w:pos="593"/>
        <w:tab w:val="left" w:pos="1443"/>
      </w:tabs>
      <w:spacing w:line="260" w:lineRule="atLeast"/>
      <w:ind w:left="567" w:right="113"/>
    </w:pPr>
    <w:rPr>
      <w:rFonts w:ascii="Arial" w:eastAsia="Times New Roman" w:hAnsi="Arial" w:cs="Times New Roman"/>
      <w:sz w:val="20"/>
      <w:szCs w:val="20"/>
      <w:lang w:val="en-AU"/>
    </w:rPr>
  </w:style>
  <w:style w:type="paragraph" w:customStyle="1" w:styleId="NotesLineItem">
    <w:name w:val="Notes Line Item"/>
    <w:basedOn w:val="Normal"/>
    <w:autoRedefine/>
    <w:rsid w:val="00C055B8"/>
    <w:pPr>
      <w:spacing w:line="260" w:lineRule="atLeast"/>
      <w:ind w:left="34"/>
    </w:pPr>
    <w:rPr>
      <w:rFonts w:ascii="Arial" w:eastAsia="Times New Roman" w:hAnsi="Arial" w:cs="Times New Roman"/>
      <w:iCs/>
      <w:sz w:val="16"/>
      <w:szCs w:val="16"/>
      <w:lang w:val="en-AU" w:eastAsia="en-AU"/>
    </w:rPr>
  </w:style>
  <w:style w:type="paragraph" w:customStyle="1" w:styleId="NoteText">
    <w:name w:val="Note Text"/>
    <w:basedOn w:val="Normal"/>
    <w:autoRedefine/>
    <w:rsid w:val="00C055B8"/>
    <w:pPr>
      <w:tabs>
        <w:tab w:val="left" w:pos="284"/>
      </w:tabs>
      <w:spacing w:after="120" w:line="260" w:lineRule="atLeast"/>
      <w:ind w:left="567"/>
    </w:pPr>
    <w:rPr>
      <w:rFonts w:ascii="Arial" w:eastAsia="Times New Roman" w:hAnsi="Arial" w:cs="Times New Roman"/>
      <w:sz w:val="20"/>
      <w:szCs w:val="20"/>
      <w:lang w:val="en-AU"/>
    </w:rPr>
  </w:style>
  <w:style w:type="paragraph" w:customStyle="1" w:styleId="NotesHeading">
    <w:name w:val="'Notes' Heading"/>
    <w:basedOn w:val="Normal"/>
    <w:autoRedefine/>
    <w:rsid w:val="00C055B8"/>
    <w:pPr>
      <w:spacing w:line="260" w:lineRule="atLeast"/>
      <w:ind w:left="57" w:right="57"/>
      <w:jc w:val="center"/>
    </w:pPr>
    <w:rPr>
      <w:rFonts w:ascii="Arial" w:eastAsia="Times New Roman" w:hAnsi="Arial" w:cs="Times New Roman"/>
      <w:b/>
      <w:sz w:val="20"/>
      <w:szCs w:val="20"/>
      <w:lang w:val="en-AU"/>
    </w:rPr>
  </w:style>
  <w:style w:type="paragraph" w:customStyle="1" w:styleId="NotesReference">
    <w:name w:val="'Notes' Reference"/>
    <w:basedOn w:val="Normal"/>
    <w:autoRedefine/>
    <w:rsid w:val="00C055B8"/>
    <w:pPr>
      <w:spacing w:line="260" w:lineRule="atLeast"/>
      <w:ind w:left="57" w:right="57"/>
      <w:jc w:val="center"/>
    </w:pPr>
    <w:rPr>
      <w:rFonts w:ascii="Arial" w:eastAsia="Times New Roman" w:hAnsi="Arial" w:cs="Times New Roman"/>
      <w:sz w:val="20"/>
      <w:szCs w:val="20"/>
      <w:lang w:val="en-AU"/>
    </w:rPr>
  </w:style>
  <w:style w:type="paragraph" w:customStyle="1" w:styleId="NotesHeading4">
    <w:name w:val="Notes Heading 4"/>
    <w:basedOn w:val="NoteText"/>
    <w:autoRedefine/>
    <w:rsid w:val="00C055B8"/>
    <w:pPr>
      <w:keepNext/>
      <w:spacing w:before="200" w:after="80"/>
      <w:ind w:right="57"/>
    </w:pPr>
  </w:style>
  <w:style w:type="paragraph" w:customStyle="1" w:styleId="NotesHeading3NumberingOff">
    <w:name w:val="Notes Heading 3 Numbering Off"/>
    <w:basedOn w:val="NotesHeading3"/>
    <w:autoRedefine/>
    <w:rsid w:val="00C055B8"/>
    <w:pPr>
      <w:tabs>
        <w:tab w:val="left" w:pos="1132"/>
      </w:tabs>
    </w:pPr>
  </w:style>
  <w:style w:type="paragraph" w:customStyle="1" w:styleId="NotesHeadingPlain">
    <w:name w:val="'Notes' Heading Plain"/>
    <w:basedOn w:val="NotesHeading"/>
    <w:autoRedefine/>
    <w:rsid w:val="00C055B8"/>
    <w:rPr>
      <w:b w:val="0"/>
    </w:rPr>
  </w:style>
  <w:style w:type="paragraph" w:customStyle="1" w:styleId="NotesHeading5">
    <w:name w:val="Notes Heading 5"/>
    <w:basedOn w:val="Normal"/>
    <w:autoRedefine/>
    <w:rsid w:val="00C055B8"/>
    <w:pPr>
      <w:spacing w:before="120" w:after="40" w:line="260" w:lineRule="atLeast"/>
      <w:ind w:left="113" w:right="113"/>
      <w:jc w:val="both"/>
    </w:pPr>
    <w:rPr>
      <w:rFonts w:ascii="Arial" w:eastAsia="Times New Roman" w:hAnsi="Arial" w:cs="Times New Roman"/>
      <w:b/>
      <w:sz w:val="20"/>
      <w:szCs w:val="20"/>
      <w:lang w:val="en-AU"/>
    </w:rPr>
  </w:style>
  <w:style w:type="paragraph" w:customStyle="1" w:styleId="NoteTextBEFOREDotPoint">
    <w:name w:val="Note Text BEFORE Dot Point"/>
    <w:basedOn w:val="NoteText"/>
    <w:rsid w:val="00C055B8"/>
    <w:pPr>
      <w:spacing w:after="0"/>
      <w:ind w:left="178" w:right="57"/>
    </w:pPr>
  </w:style>
  <w:style w:type="paragraph" w:customStyle="1" w:styleId="ItalicLineItem">
    <w:name w:val="Italic Line Item"/>
    <w:basedOn w:val="Normal"/>
    <w:rsid w:val="00C055B8"/>
    <w:pPr>
      <w:tabs>
        <w:tab w:val="left" w:pos="566"/>
      </w:tabs>
      <w:spacing w:line="260" w:lineRule="atLeast"/>
      <w:ind w:left="284" w:right="113"/>
      <w:jc w:val="both"/>
    </w:pPr>
    <w:rPr>
      <w:rFonts w:ascii="Arial" w:eastAsia="Times New Roman" w:hAnsi="Arial" w:cs="Times New Roman"/>
      <w:i/>
      <w:sz w:val="20"/>
      <w:szCs w:val="20"/>
      <w:lang w:val="en-US"/>
    </w:rPr>
  </w:style>
  <w:style w:type="paragraph" w:customStyle="1" w:styleId="ItalicHeading">
    <w:name w:val="Italic Heading"/>
    <w:basedOn w:val="ItalicLineItem"/>
    <w:rsid w:val="00C055B8"/>
    <w:pPr>
      <w:ind w:left="57" w:right="0"/>
    </w:pPr>
  </w:style>
  <w:style w:type="paragraph" w:customStyle="1" w:styleId="Notes">
    <w:name w:val="'Notes'"/>
    <w:basedOn w:val="Normal"/>
    <w:rsid w:val="00C055B8"/>
    <w:pPr>
      <w:spacing w:line="260" w:lineRule="atLeast"/>
      <w:jc w:val="center"/>
    </w:pPr>
    <w:rPr>
      <w:rFonts w:ascii="Arial" w:eastAsia="Times New Roman" w:hAnsi="Arial" w:cs="Times New Roman"/>
      <w:b/>
      <w:szCs w:val="20"/>
      <w:lang w:val="en-AU"/>
    </w:rPr>
  </w:style>
  <w:style w:type="paragraph" w:customStyle="1" w:styleId="Lineitems">
    <w:name w:val="Line items"/>
    <w:basedOn w:val="Normal"/>
    <w:link w:val="LineitemsChar"/>
    <w:autoRedefine/>
    <w:rsid w:val="00C055B8"/>
    <w:pPr>
      <w:spacing w:line="260" w:lineRule="atLeast"/>
    </w:pPr>
    <w:rPr>
      <w:rFonts w:ascii="Arial" w:eastAsia="Times New Roman" w:hAnsi="Arial" w:cs="Times New Roman"/>
      <w:sz w:val="20"/>
      <w:szCs w:val="20"/>
      <w:lang w:val="en-AU"/>
    </w:rPr>
  </w:style>
  <w:style w:type="paragraph" w:customStyle="1" w:styleId="Notestext">
    <w:name w:val="Notes text"/>
    <w:basedOn w:val="Notes"/>
    <w:rsid w:val="00C055B8"/>
    <w:rPr>
      <w:b w:val="0"/>
    </w:rPr>
  </w:style>
  <w:style w:type="paragraph" w:customStyle="1" w:styleId="Lineitemtable">
    <w:name w:val="Line item table"/>
    <w:basedOn w:val="Lineitems"/>
    <w:rsid w:val="00C055B8"/>
  </w:style>
  <w:style w:type="paragraph" w:customStyle="1" w:styleId="12line">
    <w:name w:val="1/2 line"/>
    <w:basedOn w:val="Normal"/>
    <w:rsid w:val="00C055B8"/>
    <w:pPr>
      <w:spacing w:before="10" w:after="10"/>
    </w:pPr>
    <w:rPr>
      <w:rFonts w:ascii="Arial" w:eastAsia="Times New Roman" w:hAnsi="Arial" w:cs="Times New Roman"/>
      <w:sz w:val="20"/>
      <w:szCs w:val="20"/>
      <w:lang w:val="en-AU"/>
    </w:rPr>
  </w:style>
  <w:style w:type="paragraph" w:customStyle="1" w:styleId="lineitemitalic">
    <w:name w:val="line item italic"/>
    <w:basedOn w:val="Normal"/>
    <w:rsid w:val="00C055B8"/>
    <w:pPr>
      <w:spacing w:line="260" w:lineRule="atLeast"/>
    </w:pPr>
    <w:rPr>
      <w:rFonts w:ascii="Arial" w:eastAsia="Times New Roman" w:hAnsi="Arial" w:cs="Times New Roman"/>
      <w:i/>
      <w:szCs w:val="20"/>
      <w:lang w:val="en-AU"/>
    </w:rPr>
  </w:style>
  <w:style w:type="paragraph" w:customStyle="1" w:styleId="lineitembold">
    <w:name w:val="line item bold"/>
    <w:basedOn w:val="Normal"/>
    <w:rsid w:val="00C055B8"/>
    <w:pPr>
      <w:spacing w:line="260" w:lineRule="atLeast"/>
    </w:pPr>
    <w:rPr>
      <w:rFonts w:ascii="Arial" w:eastAsia="Times New Roman" w:hAnsi="Arial" w:cs="Times New Roman"/>
      <w:b/>
      <w:sz w:val="20"/>
      <w:szCs w:val="20"/>
      <w:lang w:val="en-AU"/>
    </w:rPr>
  </w:style>
  <w:style w:type="paragraph" w:customStyle="1" w:styleId="Notesheading0">
    <w:name w:val="Notes heading"/>
    <w:basedOn w:val="Normal"/>
    <w:rsid w:val="00C055B8"/>
    <w:rPr>
      <w:rFonts w:ascii="Calisto MT" w:eastAsia="Times New Roman" w:hAnsi="Calisto MT" w:cs="Times New Roman"/>
      <w:b/>
      <w:sz w:val="14"/>
      <w:szCs w:val="20"/>
      <w:lang w:val="en-AU" w:eastAsia="en-AU"/>
    </w:rPr>
  </w:style>
  <w:style w:type="paragraph" w:customStyle="1" w:styleId="Notestothefinancialstatements">
    <w:name w:val="Notes to the financial statements"/>
    <w:aliases w:val="Heading"/>
    <w:basedOn w:val="Normal"/>
    <w:rsid w:val="00C055B8"/>
    <w:pPr>
      <w:tabs>
        <w:tab w:val="left" w:pos="567"/>
        <w:tab w:val="left" w:pos="1134"/>
        <w:tab w:val="left" w:pos="1701"/>
      </w:tabs>
      <w:spacing w:before="60" w:after="60"/>
    </w:pPr>
    <w:rPr>
      <w:rFonts w:ascii="Tahoma" w:eastAsia="Times New Roman" w:hAnsi="Tahoma" w:cs="Times New Roman"/>
      <w:b/>
      <w:color w:val="000000"/>
      <w:sz w:val="16"/>
      <w:szCs w:val="20"/>
      <w:lang w:val="en-AU" w:eastAsia="en-AU"/>
    </w:rPr>
  </w:style>
  <w:style w:type="paragraph" w:customStyle="1" w:styleId="NotesBulletPoint">
    <w:name w:val="Notes Bullet Point"/>
    <w:basedOn w:val="Normal"/>
    <w:autoRedefine/>
    <w:rsid w:val="00C055B8"/>
    <w:pPr>
      <w:tabs>
        <w:tab w:val="left" w:pos="413"/>
        <w:tab w:val="num" w:pos="927"/>
      </w:tabs>
      <w:ind w:left="414" w:right="113" w:hanging="301"/>
      <w:jc w:val="both"/>
    </w:pPr>
    <w:rPr>
      <w:rFonts w:ascii="Arial" w:eastAsia="Times New Roman" w:hAnsi="Arial" w:cs="Times New Roman"/>
      <w:snapToGrid w:val="0"/>
      <w:sz w:val="20"/>
      <w:szCs w:val="20"/>
      <w:lang w:val="en-US" w:eastAsia="en-AU"/>
    </w:rPr>
  </w:style>
  <w:style w:type="paragraph" w:customStyle="1" w:styleId="Headinga">
    <w:name w:val="Heading a"/>
    <w:basedOn w:val="Normal"/>
    <w:rsid w:val="00C055B8"/>
    <w:rPr>
      <w:rFonts w:ascii="Arial" w:eastAsia="Times New Roman" w:hAnsi="Arial" w:cs="Times New Roman"/>
      <w:b/>
      <w:bCs/>
      <w:szCs w:val="18"/>
      <w:lang w:val="en-AU"/>
    </w:rPr>
  </w:style>
  <w:style w:type="paragraph" w:customStyle="1" w:styleId="LineitemsTotal">
    <w:name w:val="Line items Total"/>
    <w:basedOn w:val="Lineitems"/>
    <w:rsid w:val="00C055B8"/>
    <w:pPr>
      <w:framePr w:hSpace="180" w:wrap="around" w:vAnchor="text" w:hAnchor="margin" w:y="1"/>
    </w:pPr>
    <w:rPr>
      <w:b/>
      <w:i/>
    </w:rPr>
  </w:style>
  <w:style w:type="paragraph" w:customStyle="1" w:styleId="SAPHeading-Level1">
    <w:name w:val="SAP Heading - Level 1"/>
    <w:basedOn w:val="NotesHeading-Level1"/>
    <w:rsid w:val="00C055B8"/>
    <w:pPr>
      <w:shd w:val="clear" w:color="auto" w:fill="auto"/>
      <w:tabs>
        <w:tab w:val="clear" w:pos="340"/>
        <w:tab w:val="num" w:pos="851"/>
      </w:tabs>
      <w:ind w:left="851" w:hanging="851"/>
    </w:pPr>
    <w:rPr>
      <w:color w:val="auto"/>
    </w:rPr>
  </w:style>
  <w:style w:type="paragraph" w:customStyle="1" w:styleId="SAPHeading-Level2">
    <w:name w:val="SAP Heading - Level 2"/>
    <w:basedOn w:val="SAPHeading-Level1"/>
    <w:rsid w:val="00C055B8"/>
    <w:pPr>
      <w:spacing w:before="100" w:after="100" w:line="240" w:lineRule="auto"/>
      <w:outlineLvl w:val="9"/>
    </w:pPr>
  </w:style>
  <w:style w:type="paragraph" w:customStyle="1" w:styleId="SAPHeading-Level3">
    <w:name w:val="SAP Heading - Level 3"/>
    <w:basedOn w:val="SAPHeading-Level2"/>
    <w:rsid w:val="00C055B8"/>
  </w:style>
  <w:style w:type="paragraph" w:customStyle="1" w:styleId="NotesText0">
    <w:name w:val="Notes Text"/>
    <w:basedOn w:val="ReferenceText"/>
    <w:qFormat/>
    <w:rsid w:val="00C055B8"/>
    <w:pPr>
      <w:spacing w:before="100" w:after="100" w:line="240" w:lineRule="auto"/>
    </w:pPr>
  </w:style>
  <w:style w:type="paragraph" w:customStyle="1" w:styleId="NotesTextHeading">
    <w:name w:val="Notes Text Heading"/>
    <w:basedOn w:val="NotesText0"/>
    <w:rsid w:val="00C055B8"/>
    <w:rPr>
      <w:b/>
      <w:u w:val="single"/>
    </w:rPr>
  </w:style>
  <w:style w:type="paragraph" w:customStyle="1" w:styleId="NoteHeading-Level1">
    <w:name w:val="Note Heading - Level 1"/>
    <w:basedOn w:val="Normal"/>
    <w:rsid w:val="00C055B8"/>
    <w:pPr>
      <w:spacing w:line="260" w:lineRule="atLeast"/>
    </w:pPr>
    <w:rPr>
      <w:rFonts w:ascii="Arial" w:eastAsia="Times New Roman" w:hAnsi="Arial" w:cs="Times New Roman"/>
      <w:szCs w:val="20"/>
      <w:lang w:val="en-AU"/>
    </w:rPr>
  </w:style>
  <w:style w:type="paragraph" w:customStyle="1" w:styleId="NoteHeading-Level2">
    <w:name w:val="Note Heading - Level 2"/>
    <w:basedOn w:val="Normal"/>
    <w:rsid w:val="00C055B8"/>
    <w:pPr>
      <w:spacing w:line="260" w:lineRule="atLeast"/>
    </w:pPr>
    <w:rPr>
      <w:rFonts w:ascii="Arial" w:eastAsia="Times New Roman" w:hAnsi="Arial" w:cs="Times New Roman"/>
      <w:szCs w:val="20"/>
      <w:lang w:val="en-AU"/>
    </w:rPr>
  </w:style>
  <w:style w:type="character" w:customStyle="1" w:styleId="LineitemsChar">
    <w:name w:val="Line items Char"/>
    <w:basedOn w:val="DefaultParagraphFont"/>
    <w:link w:val="Lineitems"/>
    <w:rsid w:val="00C055B8"/>
    <w:rPr>
      <w:rFonts w:ascii="Arial" w:eastAsia="Times New Roman" w:hAnsi="Arial" w:cs="Times New Roman"/>
      <w:sz w:val="20"/>
      <w:szCs w:val="20"/>
      <w:lang w:val="en-AU"/>
    </w:rPr>
  </w:style>
  <w:style w:type="paragraph" w:customStyle="1" w:styleId="Notesreferencetext">
    <w:name w:val="Notes reference text"/>
    <w:basedOn w:val="Normal"/>
    <w:next w:val="Normal"/>
    <w:rsid w:val="00C055B8"/>
    <w:pPr>
      <w:spacing w:line="260" w:lineRule="atLeast"/>
      <w:jc w:val="center"/>
    </w:pPr>
    <w:rPr>
      <w:rFonts w:ascii="Arial" w:eastAsia="Times New Roman" w:hAnsi="Arial" w:cs="Times New Roman"/>
      <w:szCs w:val="20"/>
      <w:lang w:val="en-AU"/>
    </w:rPr>
  </w:style>
  <w:style w:type="paragraph" w:customStyle="1" w:styleId="SAPHeading-Level4">
    <w:name w:val="SAP Heading - Level 4"/>
    <w:basedOn w:val="SAPHeading-Level3"/>
    <w:rsid w:val="00C055B8"/>
    <w:pPr>
      <w:ind w:right="0"/>
    </w:pPr>
    <w:rPr>
      <w:rFonts w:ascii="Arial Bold" w:hAnsi="Arial Bold"/>
      <w:b w:val="0"/>
    </w:rPr>
  </w:style>
  <w:style w:type="paragraph" w:customStyle="1" w:styleId="notestextbulletpoint">
    <w:name w:val="notes text bullet point"/>
    <w:basedOn w:val="NotesText0"/>
    <w:qFormat/>
    <w:rsid w:val="00C055B8"/>
    <w:pPr>
      <w:numPr>
        <w:numId w:val="54"/>
      </w:numPr>
      <w:tabs>
        <w:tab w:val="left" w:pos="284"/>
        <w:tab w:val="num" w:pos="340"/>
      </w:tabs>
      <w:spacing w:after="160"/>
      <w:ind w:left="340" w:hanging="340"/>
    </w:pPr>
    <w:rPr>
      <w:lang w:eastAsia="en-US"/>
    </w:rPr>
  </w:style>
  <w:style w:type="paragraph" w:customStyle="1" w:styleId="StyleSAPHeading-Level3NotBoldItalicUnderlineLeft01">
    <w:name w:val="Style SAP Heading - Level 3 + Not Bold Italic Underline Left:  0...1"/>
    <w:basedOn w:val="SAPHeading-Level3"/>
    <w:rsid w:val="00C055B8"/>
    <w:pPr>
      <w:tabs>
        <w:tab w:val="clear" w:pos="851"/>
      </w:tabs>
      <w:ind w:left="0" w:right="0" w:firstLine="0"/>
    </w:pPr>
    <w:rPr>
      <w:b w:val="0"/>
      <w:i/>
      <w:iCs/>
      <w:u w:val="single"/>
    </w:rPr>
  </w:style>
  <w:style w:type="paragraph" w:customStyle="1" w:styleId="StyleSAPHeading-Level3NotBoldItalicUnderline">
    <w:name w:val="Style SAP Heading - Level 3 + Not Bold Italic Underline"/>
    <w:basedOn w:val="SAPHeading-Level3"/>
    <w:rsid w:val="00C055B8"/>
    <w:pPr>
      <w:tabs>
        <w:tab w:val="clear" w:pos="851"/>
      </w:tabs>
      <w:ind w:left="0" w:right="0" w:firstLine="0"/>
    </w:pPr>
    <w:rPr>
      <w:b w:val="0"/>
      <w:i/>
      <w:iCs/>
      <w:u w:val="single"/>
    </w:rPr>
  </w:style>
  <w:style w:type="paragraph" w:customStyle="1" w:styleId="FinancialStatementCurrentYearData">
    <w:name w:val="Financial Statement Current Year Data"/>
    <w:basedOn w:val="Normal"/>
    <w:autoRedefine/>
    <w:rsid w:val="00C055B8"/>
    <w:pPr>
      <w:tabs>
        <w:tab w:val="left" w:pos="866"/>
      </w:tabs>
      <w:spacing w:line="260" w:lineRule="atLeast"/>
      <w:ind w:left="57" w:right="57"/>
      <w:jc w:val="right"/>
    </w:pPr>
    <w:rPr>
      <w:rFonts w:ascii="Arial" w:eastAsia="Times New Roman" w:hAnsi="Arial" w:cs="Times New Roman"/>
      <w:snapToGrid w:val="0"/>
      <w:sz w:val="20"/>
      <w:szCs w:val="20"/>
      <w:lang w:val="en-AU"/>
    </w:rPr>
  </w:style>
  <w:style w:type="paragraph" w:customStyle="1" w:styleId="ReferenceTextNumbered">
    <w:name w:val="Reference Text Numbered"/>
    <w:basedOn w:val="ReferenceText"/>
    <w:qFormat/>
    <w:rsid w:val="00C055B8"/>
    <w:pPr>
      <w:numPr>
        <w:numId w:val="55"/>
      </w:numPr>
      <w:tabs>
        <w:tab w:val="left" w:pos="284"/>
        <w:tab w:val="num" w:pos="340"/>
      </w:tabs>
      <w:ind w:left="340" w:hanging="340"/>
    </w:pPr>
    <w:rPr>
      <w:lang w:eastAsia="en-US"/>
    </w:rPr>
  </w:style>
  <w:style w:type="paragraph" w:customStyle="1" w:styleId="Notestextindentbullets">
    <w:name w:val="Notes text indent bullets"/>
    <w:basedOn w:val="NotesText0"/>
    <w:qFormat/>
    <w:rsid w:val="00C055B8"/>
    <w:pPr>
      <w:numPr>
        <w:numId w:val="56"/>
      </w:numPr>
      <w:tabs>
        <w:tab w:val="left" w:pos="1418"/>
      </w:tabs>
      <w:spacing w:after="160"/>
      <w:ind w:left="397" w:hanging="397"/>
    </w:pPr>
    <w:rPr>
      <w:lang w:eastAsia="en-US"/>
    </w:rPr>
  </w:style>
  <w:style w:type="paragraph" w:customStyle="1" w:styleId="StyleNotesTextJustified">
    <w:name w:val="Style Notes Text + Justified"/>
    <w:basedOn w:val="NotesText0"/>
    <w:rsid w:val="00C055B8"/>
  </w:style>
  <w:style w:type="paragraph" w:customStyle="1" w:styleId="NotesIndentLetter">
    <w:name w:val="Notes Indent Letter"/>
    <w:basedOn w:val="Notestext"/>
    <w:qFormat/>
    <w:rsid w:val="00C055B8"/>
    <w:pPr>
      <w:numPr>
        <w:numId w:val="57"/>
      </w:numPr>
      <w:ind w:left="397" w:hanging="397"/>
      <w:jc w:val="both"/>
    </w:pPr>
  </w:style>
  <w:style w:type="paragraph" w:customStyle="1" w:styleId="Style1">
    <w:name w:val="Style1"/>
    <w:basedOn w:val="Footer"/>
    <w:link w:val="Style1Char"/>
    <w:qFormat/>
    <w:rsid w:val="00C055B8"/>
    <w:rPr>
      <w:rFonts w:ascii="Arial" w:eastAsia="Times New Roman" w:hAnsi="Arial" w:cs="Times New Roman"/>
      <w:szCs w:val="20"/>
      <w:lang w:val="en-AU"/>
    </w:rPr>
  </w:style>
  <w:style w:type="paragraph" w:customStyle="1" w:styleId="Style3">
    <w:name w:val="Style3"/>
    <w:basedOn w:val="Footer"/>
    <w:link w:val="Style3Char"/>
    <w:qFormat/>
    <w:rsid w:val="00C055B8"/>
    <w:rPr>
      <w:rFonts w:ascii="Arial" w:eastAsia="Times New Roman" w:hAnsi="Arial" w:cs="Times New Roman"/>
      <w:szCs w:val="20"/>
      <w:lang w:val="en-AU"/>
    </w:rPr>
  </w:style>
  <w:style w:type="character" w:customStyle="1" w:styleId="Style1Char">
    <w:name w:val="Style1 Char"/>
    <w:basedOn w:val="FooterChar"/>
    <w:link w:val="Style1"/>
    <w:rsid w:val="00C055B8"/>
    <w:rPr>
      <w:rFonts w:ascii="Arial" w:eastAsia="Times New Roman" w:hAnsi="Arial" w:cs="Times New Roman"/>
      <w:sz w:val="22"/>
      <w:szCs w:val="20"/>
      <w:lang w:val="en-AU"/>
    </w:rPr>
  </w:style>
  <w:style w:type="character" w:customStyle="1" w:styleId="Style3Char">
    <w:name w:val="Style3 Char"/>
    <w:basedOn w:val="FooterChar"/>
    <w:link w:val="Style3"/>
    <w:rsid w:val="00C055B8"/>
    <w:rPr>
      <w:rFonts w:ascii="Arial" w:eastAsia="Times New Roman" w:hAnsi="Arial" w:cs="Times New Roman"/>
      <w:sz w:val="22"/>
      <w:szCs w:val="20"/>
      <w:lang w:val="en-AU"/>
    </w:rPr>
  </w:style>
  <w:style w:type="paragraph" w:customStyle="1" w:styleId="SectionHeading">
    <w:name w:val="Section Heading"/>
    <w:basedOn w:val="ReferenceText"/>
    <w:link w:val="SectionHeadingChar"/>
    <w:rsid w:val="00C055B8"/>
    <w:pPr>
      <w:spacing w:before="120" w:after="120" w:line="360" w:lineRule="auto"/>
      <w:ind w:left="57" w:right="0" w:hanging="57"/>
    </w:pPr>
    <w:rPr>
      <w:b/>
      <w:sz w:val="28"/>
    </w:rPr>
  </w:style>
  <w:style w:type="character" w:customStyle="1" w:styleId="SectionHeadingChar">
    <w:name w:val="Section Heading Char"/>
    <w:basedOn w:val="DefaultParagraphFont"/>
    <w:link w:val="SectionHeading"/>
    <w:rsid w:val="00C055B8"/>
    <w:rPr>
      <w:rFonts w:ascii="Arial" w:eastAsia="Times New Roman" w:hAnsi="Arial" w:cs="Arial"/>
      <w:b/>
      <w:sz w:val="28"/>
      <w:szCs w:val="18"/>
      <w:lang w:val="en-AU" w:eastAsia="en-AU"/>
    </w:rPr>
  </w:style>
  <w:style w:type="paragraph" w:customStyle="1" w:styleId="SubHeading">
    <w:name w:val="Sub Heading"/>
    <w:basedOn w:val="SectionHeading"/>
    <w:qFormat/>
    <w:rsid w:val="00C055B8"/>
    <w:pPr>
      <w:numPr>
        <w:ilvl w:val="1"/>
      </w:numPr>
      <w:shd w:val="clear" w:color="auto" w:fill="8A2A2F" w:themeFill="text1"/>
      <w:ind w:left="57" w:hanging="57"/>
      <w:outlineLvl w:val="1"/>
    </w:pPr>
    <w:rPr>
      <w:sz w:val="20"/>
    </w:rPr>
  </w:style>
  <w:style w:type="paragraph" w:customStyle="1" w:styleId="SectionHeadingDescription">
    <w:name w:val="Section Heading Description"/>
    <w:basedOn w:val="SectionHeading"/>
    <w:next w:val="SubHeading"/>
    <w:qFormat/>
    <w:rsid w:val="00C055B8"/>
    <w:pPr>
      <w:ind w:left="0" w:firstLine="0"/>
    </w:pPr>
    <w:rPr>
      <w:b w:val="0"/>
      <w:sz w:val="18"/>
    </w:rPr>
  </w:style>
  <w:style w:type="paragraph" w:customStyle="1" w:styleId="PolicytextDept">
    <w:name w:val="Policy text Dept"/>
    <w:basedOn w:val="Normal"/>
    <w:link w:val="PolicytextDeptChar"/>
    <w:qFormat/>
    <w:rsid w:val="00C055B8"/>
    <w:pPr>
      <w:pBdr>
        <w:top w:val="single" w:sz="4" w:space="1" w:color="009560"/>
        <w:left w:val="single" w:sz="4" w:space="0" w:color="009560"/>
        <w:bottom w:val="single" w:sz="4" w:space="1" w:color="009560"/>
        <w:right w:val="single" w:sz="4" w:space="0" w:color="009560"/>
      </w:pBdr>
      <w:spacing w:after="120" w:line="120" w:lineRule="atLeast"/>
      <w:ind w:right="607"/>
    </w:pPr>
    <w:rPr>
      <w:rFonts w:ascii="Arial" w:eastAsia="Times New Roman" w:hAnsi="Arial" w:cs="Arial"/>
      <w:bCs/>
      <w:szCs w:val="18"/>
      <w:lang w:val="en-AU"/>
    </w:rPr>
  </w:style>
  <w:style w:type="character" w:customStyle="1" w:styleId="PolicytextDeptChar">
    <w:name w:val="Policy text Dept Char"/>
    <w:basedOn w:val="DefaultParagraphFont"/>
    <w:link w:val="PolicytextDept"/>
    <w:rsid w:val="00C055B8"/>
    <w:rPr>
      <w:rFonts w:ascii="Arial" w:eastAsia="Times New Roman" w:hAnsi="Arial" w:cs="Arial"/>
      <w:bCs/>
      <w:sz w:val="22"/>
      <w:szCs w:val="18"/>
      <w:lang w:val="en-AU"/>
    </w:rPr>
  </w:style>
  <w:style w:type="paragraph" w:customStyle="1" w:styleId="PolicyheadingDept">
    <w:name w:val="Policy heading Dept"/>
    <w:basedOn w:val="PolicytextDept"/>
    <w:qFormat/>
    <w:rsid w:val="00C055B8"/>
    <w:rPr>
      <w:b/>
    </w:rPr>
  </w:style>
  <w:style w:type="paragraph" w:customStyle="1" w:styleId="PrelimsCoverTitle">
    <w:name w:val="Prelims_CoverTitle"/>
    <w:qFormat/>
    <w:rsid w:val="00C055B8"/>
    <w:pPr>
      <w:spacing w:before="3400" w:after="560" w:line="400" w:lineRule="exact"/>
    </w:pPr>
    <w:rPr>
      <w:rFonts w:ascii="Arial" w:eastAsia="Times New Roman" w:hAnsi="Arial" w:cs="Times New Roman"/>
      <w:b/>
      <w:sz w:val="36"/>
      <w:lang w:val="en-AU"/>
    </w:rPr>
  </w:style>
  <w:style w:type="paragraph" w:customStyle="1" w:styleId="SectionHeadingNoNumber">
    <w:name w:val="Section Heading (No Number)"/>
    <w:basedOn w:val="SectionHeading"/>
    <w:qFormat/>
    <w:rsid w:val="00C055B8"/>
    <w:pPr>
      <w:shd w:val="clear" w:color="auto" w:fill="17365D"/>
      <w:ind w:left="0" w:firstLine="0"/>
    </w:pPr>
  </w:style>
  <w:style w:type="paragraph" w:customStyle="1" w:styleId="Policytextboxtable">
    <w:name w:val="Policy text box table"/>
    <w:basedOn w:val="Normal"/>
    <w:link w:val="PolicytextboxtableChar"/>
    <w:qFormat/>
    <w:rsid w:val="00C055B8"/>
    <w:pPr>
      <w:spacing w:line="260" w:lineRule="atLeast"/>
    </w:pPr>
    <w:rPr>
      <w:rFonts w:ascii="Calibri" w:eastAsia="Times New Roman" w:hAnsi="Calibri" w:cs="Arial"/>
      <w:szCs w:val="18"/>
      <w:lang w:val="en-AU"/>
    </w:rPr>
  </w:style>
  <w:style w:type="character" w:customStyle="1" w:styleId="PolicytextboxtableChar">
    <w:name w:val="Policy text box table Char"/>
    <w:basedOn w:val="DefaultParagraphFont"/>
    <w:link w:val="Policytextboxtable"/>
    <w:rsid w:val="00C055B8"/>
    <w:rPr>
      <w:rFonts w:ascii="Calibri" w:eastAsia="Times New Roman" w:hAnsi="Calibri" w:cs="Arial"/>
      <w:sz w:val="22"/>
      <w:szCs w:val="18"/>
      <w:lang w:val="en-AU"/>
    </w:rPr>
  </w:style>
  <w:style w:type="paragraph" w:customStyle="1" w:styleId="HeadingLevel1">
    <w:name w:val="Heading Level 1"/>
    <w:basedOn w:val="SectionHeading"/>
    <w:link w:val="HeadingLevel1Char"/>
    <w:qFormat/>
    <w:rsid w:val="00C055B8"/>
    <w:pPr>
      <w:numPr>
        <w:numId w:val="58"/>
      </w:numPr>
      <w:ind w:left="340" w:hanging="340"/>
      <w:outlineLvl w:val="0"/>
    </w:pPr>
  </w:style>
  <w:style w:type="character" w:customStyle="1" w:styleId="HeadingLevel1Char">
    <w:name w:val="Heading Level 1 Char"/>
    <w:basedOn w:val="SectionHeadingChar"/>
    <w:link w:val="HeadingLevel1"/>
    <w:rsid w:val="00C055B8"/>
    <w:rPr>
      <w:rFonts w:ascii="Arial" w:eastAsia="Times New Roman" w:hAnsi="Arial" w:cs="Arial"/>
      <w:b/>
      <w:sz w:val="28"/>
      <w:szCs w:val="18"/>
      <w:lang w:val="en-AU" w:eastAsia="en-AU"/>
    </w:rPr>
  </w:style>
  <w:style w:type="table" w:customStyle="1" w:styleId="TableGrid2">
    <w:name w:val="Table Grid2"/>
    <w:basedOn w:val="TableNormal"/>
    <w:next w:val="TableGrid"/>
    <w:uiPriority w:val="39"/>
    <w:rsid w:val="00C055B8"/>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055B8"/>
    <w:rPr>
      <w:rFonts w:ascii="Arial" w:eastAsia="Arial" w:hAnsi="Arial"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TableRed">
    <w:name w:val="ES-Heading_Table Red"/>
    <w:basedOn w:val="Normal"/>
    <w:link w:val="ES-HeadingTableRedChar"/>
    <w:qFormat/>
    <w:rsid w:val="00C055B8"/>
    <w:pPr>
      <w:spacing w:before="80" w:after="80"/>
    </w:pPr>
    <w:rPr>
      <w:rFonts w:ascii="Arial" w:eastAsia="Times New Roman" w:hAnsi="Arial" w:cs="Arial"/>
      <w:b/>
      <w:color w:val="8A2A2F"/>
      <w:sz w:val="19"/>
      <w:szCs w:val="18"/>
      <w:lang w:val="en-US"/>
    </w:rPr>
  </w:style>
  <w:style w:type="character" w:customStyle="1" w:styleId="ES-HeadingTableRedChar">
    <w:name w:val="ES-Heading_Table Red Char"/>
    <w:basedOn w:val="DefaultParagraphFont"/>
    <w:link w:val="ES-HeadingTableRed"/>
    <w:rsid w:val="00C055B8"/>
    <w:rPr>
      <w:rFonts w:ascii="Arial" w:eastAsia="Times New Roman" w:hAnsi="Arial" w:cs="Arial"/>
      <w:b/>
      <w:color w:val="8A2A2F"/>
      <w:sz w:val="19"/>
      <w:szCs w:val="18"/>
      <w:lang w:val="en-US"/>
    </w:rPr>
  </w:style>
  <w:style w:type="table" w:customStyle="1" w:styleId="TableGrid6">
    <w:name w:val="Table Grid6"/>
    <w:basedOn w:val="TableNormal"/>
    <w:next w:val="TableGrid"/>
    <w:uiPriority w:val="39"/>
    <w:rsid w:val="00C055B8"/>
    <w:rPr>
      <w:rFonts w:ascii="Arial" w:eastAsia="Arial" w:hAnsi="Arial"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C055B8"/>
    <w:rPr>
      <w:rFonts w:ascii="Arial" w:eastAsia="Arial" w:hAnsi="Arial"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C055B8"/>
    <w:rPr>
      <w:rFonts w:ascii="Arial" w:eastAsia="Arial" w:hAnsi="Arial"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FTextbullets">
    <w:name w:val="VF Text bullets"/>
    <w:basedOn w:val="BodyText"/>
    <w:link w:val="VFTextbulletsChar"/>
    <w:qFormat/>
    <w:rsid w:val="00C055B8"/>
    <w:pPr>
      <w:widowControl w:val="0"/>
      <w:numPr>
        <w:numId w:val="60"/>
      </w:numPr>
      <w:tabs>
        <w:tab w:val="clear" w:pos="340"/>
      </w:tabs>
      <w:autoSpaceDE w:val="0"/>
      <w:autoSpaceDN w:val="0"/>
      <w:spacing w:before="8" w:after="0"/>
    </w:pPr>
    <w:rPr>
      <w:rFonts w:ascii="Arial" w:eastAsia="Times New Roman" w:hAnsi="Arial" w:cs="Arial"/>
      <w:sz w:val="18"/>
      <w:szCs w:val="20"/>
    </w:rPr>
  </w:style>
  <w:style w:type="character" w:customStyle="1" w:styleId="VFTextbulletsChar">
    <w:name w:val="VF Text bullets Char"/>
    <w:basedOn w:val="DefaultParagraphFont"/>
    <w:link w:val="VFTextbullets"/>
    <w:rsid w:val="00C055B8"/>
    <w:rPr>
      <w:rFonts w:ascii="Arial" w:eastAsia="Times New Roman" w:hAnsi="Arial" w:cs="Arial"/>
      <w:sz w:val="18"/>
      <w:szCs w:val="20"/>
      <w:lang w:val="en-AU"/>
    </w:rPr>
  </w:style>
  <w:style w:type="table" w:customStyle="1" w:styleId="DTFtexttable">
    <w:name w:val="DTF text table"/>
    <w:basedOn w:val="TableGrid"/>
    <w:uiPriority w:val="99"/>
    <w:rsid w:val="00C055B8"/>
    <w:pPr>
      <w:spacing w:before="30" w:after="30" w:line="264" w:lineRule="auto"/>
    </w:pPr>
    <w:rPr>
      <w:spacing w:val="2"/>
      <w:sz w:val="18"/>
      <w:szCs w:val="21"/>
      <w:lang w:val="en-AU"/>
    </w:rPr>
    <w:tblPr>
      <w:tblStyleRowBandSize w:val="1"/>
      <w:tblStyleColBandSize w:val="1"/>
      <w:tblBorders>
        <w:top w:val="none" w:sz="0" w:space="0" w:color="auto"/>
        <w:left w:val="none" w:sz="0" w:space="0" w:color="auto"/>
        <w:bottom w:val="single" w:sz="12" w:space="0" w:color="auto"/>
        <w:right w:val="none" w:sz="0" w:space="0" w:color="auto"/>
        <w:insideH w:val="none" w:sz="0" w:space="0" w:color="auto"/>
        <w:insideV w:val="none" w:sz="0" w:space="0" w:color="auto"/>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8A2A2F" w:themeFill="text1"/>
        <w:vAlign w:val="bottom"/>
      </w:tcPr>
    </w:tblStylePr>
    <w:tblStylePr w:type="lastRow">
      <w:rPr>
        <w:b/>
      </w:rPr>
      <w:tblPr/>
      <w:tcPr>
        <w:tcBorders>
          <w:top w:val="single" w:sz="6" w:space="0" w:color="D9D9D6" w:themeColor="accent1"/>
          <w:left w:val="nil"/>
          <w:bottom w:val="single" w:sz="12" w:space="0" w:color="D9D9D6" w:themeColor="accent1"/>
          <w:right w:val="nil"/>
          <w:insideV w:val="nil"/>
        </w:tcBorders>
        <w:shd w:val="clear" w:color="auto" w:fill="FFFFFF" w:themeFill="background1"/>
      </w:tcPr>
    </w:tblStylePr>
    <w:tblStylePr w:type="firstCol">
      <w:pPr>
        <w:jc w:val="left"/>
      </w:pPr>
      <w:tblPr/>
      <w:tcPr>
        <w:shd w:val="clear" w:color="auto" w:fill="FFFFFF" w:themeFill="background1"/>
      </w:tcPr>
    </w:tblStylePr>
    <w:tblStylePr w:type="lastCol">
      <w:pPr>
        <w:jc w:val="left"/>
      </w:pPr>
    </w:tblStylePr>
    <w:tblStylePr w:type="band1Vert">
      <w:pPr>
        <w:jc w:val="left"/>
      </w:pPr>
    </w:tblStylePr>
    <w:tblStylePr w:type="band2Vert">
      <w:pPr>
        <w:jc w:val="left"/>
      </w:p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FSNote">
    <w:name w:val="FS_Note"/>
    <w:basedOn w:val="Normal"/>
    <w:qFormat/>
    <w:rsid w:val="00C055B8"/>
    <w:pPr>
      <w:ind w:left="360" w:hanging="360"/>
      <w:jc w:val="both"/>
    </w:pPr>
    <w:rPr>
      <w:rFonts w:ascii="Arial" w:eastAsia="Times New Roman" w:hAnsi="Arial" w:cs="Arial"/>
      <w:b/>
      <w:sz w:val="18"/>
      <w:szCs w:val="22"/>
      <w:lang w:val="en-AU"/>
    </w:rPr>
  </w:style>
  <w:style w:type="character" w:customStyle="1" w:styleId="SourceReference">
    <w:name w:val="Source Reference"/>
    <w:basedOn w:val="DefaultParagraphFont"/>
    <w:uiPriority w:val="54"/>
    <w:rsid w:val="00C055B8"/>
    <w:rPr>
      <w:noProof/>
      <w:color w:val="AF272F" w:themeColor="accent4"/>
      <w:sz w:val="14"/>
      <w:lang w:val="en-AU"/>
    </w:rPr>
  </w:style>
  <w:style w:type="character" w:customStyle="1" w:styleId="Heading2Char0">
    <w:name w:val="Heading 2 (#) Char"/>
    <w:basedOn w:val="DefaultParagraphFont"/>
    <w:link w:val="Heading20"/>
    <w:uiPriority w:val="14"/>
    <w:rsid w:val="00C055B8"/>
    <w:rPr>
      <w:rFonts w:asciiTheme="majorHAnsi" w:eastAsiaTheme="majorEastAsia" w:hAnsiTheme="majorHAnsi" w:cstheme="majorBidi"/>
      <w:b/>
      <w:spacing w:val="-2"/>
      <w:szCs w:val="26"/>
    </w:rPr>
  </w:style>
  <w:style w:type="paragraph" w:customStyle="1" w:styleId="Heading10">
    <w:name w:val="Heading 1 (#)"/>
    <w:basedOn w:val="Heading1"/>
    <w:uiPriority w:val="14"/>
    <w:qFormat/>
    <w:rsid w:val="00C055B8"/>
    <w:pPr>
      <w:pageBreakBefore/>
      <w:pBdr>
        <w:bottom w:val="single" w:sz="12" w:space="1" w:color="auto"/>
      </w:pBdr>
      <w:spacing w:before="360" w:after="0"/>
      <w:ind w:left="360" w:hanging="360"/>
    </w:pPr>
    <w:rPr>
      <w:color w:val="auto"/>
      <w:spacing w:val="-2"/>
      <w:sz w:val="28"/>
      <w:szCs w:val="28"/>
      <w:lang w:val="en-AU"/>
    </w:rPr>
  </w:style>
  <w:style w:type="paragraph" w:customStyle="1" w:styleId="Heading20">
    <w:name w:val="Heading 2 (#)"/>
    <w:basedOn w:val="Heading2"/>
    <w:link w:val="Heading2Char0"/>
    <w:uiPriority w:val="14"/>
    <w:qFormat/>
    <w:rsid w:val="00C055B8"/>
    <w:pPr>
      <w:tabs>
        <w:tab w:val="left" w:pos="964"/>
        <w:tab w:val="right" w:pos="9582"/>
      </w:tabs>
      <w:spacing w:before="240"/>
      <w:ind w:left="1080" w:hanging="360"/>
    </w:pPr>
    <w:rPr>
      <w:b/>
      <w:color w:val="auto"/>
      <w:spacing w:val="-2"/>
      <w:sz w:val="24"/>
    </w:rPr>
  </w:style>
  <w:style w:type="numbering" w:customStyle="1" w:styleId="NumberedHeadings">
    <w:name w:val="Numbered Headings"/>
    <w:uiPriority w:val="99"/>
    <w:rsid w:val="00C055B8"/>
    <w:pPr>
      <w:numPr>
        <w:numId w:val="63"/>
      </w:numPr>
    </w:pPr>
  </w:style>
  <w:style w:type="paragraph" w:customStyle="1" w:styleId="Heading30">
    <w:name w:val="Heading 3 (#)"/>
    <w:basedOn w:val="Heading3"/>
    <w:next w:val="Normal"/>
    <w:uiPriority w:val="14"/>
    <w:rsid w:val="00C055B8"/>
    <w:pPr>
      <w:tabs>
        <w:tab w:val="num" w:pos="340"/>
        <w:tab w:val="left" w:pos="737"/>
        <w:tab w:val="right" w:pos="9582"/>
      </w:tabs>
      <w:spacing w:before="180"/>
      <w:ind w:left="1800" w:hanging="180"/>
    </w:pPr>
    <w:rPr>
      <w:b/>
      <w:bCs/>
      <w:color w:val="auto"/>
      <w:spacing w:val="-2"/>
      <w:sz w:val="20"/>
      <w:szCs w:val="26"/>
      <w:lang w:val="en-AU"/>
    </w:rPr>
  </w:style>
  <w:style w:type="numbering" w:customStyle="1" w:styleId="ListBulletAlphaStyle">
    <w:name w:val="List Bullet/Alpha Style"/>
    <w:uiPriority w:val="99"/>
    <w:rsid w:val="00C055B8"/>
    <w:pPr>
      <w:numPr>
        <w:numId w:val="64"/>
      </w:numPr>
    </w:pPr>
  </w:style>
  <w:style w:type="numbering" w:customStyle="1" w:styleId="GuidanceAlphaListStyle">
    <w:name w:val="Guidance Alpha List Style"/>
    <w:uiPriority w:val="99"/>
    <w:rsid w:val="00C055B8"/>
    <w:pPr>
      <w:numPr>
        <w:numId w:val="65"/>
      </w:numPr>
    </w:pPr>
  </w:style>
  <w:style w:type="character" w:styleId="Emphasis">
    <w:name w:val="Emphasis"/>
    <w:basedOn w:val="DefaultParagraphFont"/>
    <w:uiPriority w:val="20"/>
    <w:qFormat/>
    <w:rsid w:val="00C055B8"/>
    <w:rPr>
      <w:i/>
      <w:iCs/>
    </w:rPr>
  </w:style>
  <w:style w:type="paragraph" w:customStyle="1" w:styleId="Foonote">
    <w:name w:val="Foonote"/>
    <w:link w:val="FoonoteChar"/>
    <w:qFormat/>
    <w:rsid w:val="0047687A"/>
    <w:rPr>
      <w:rFonts w:ascii="Arial" w:eastAsiaTheme="minorEastAsia" w:hAnsi="Arial" w:cs="Arial"/>
      <w:sz w:val="15"/>
      <w:szCs w:val="18"/>
      <w:lang w:val="en-US"/>
    </w:rPr>
  </w:style>
  <w:style w:type="character" w:customStyle="1" w:styleId="FoonoteChar">
    <w:name w:val="Foonote Char"/>
    <w:basedOn w:val="DefaultParagraphFont"/>
    <w:link w:val="Foonote"/>
    <w:rsid w:val="0047687A"/>
    <w:rPr>
      <w:rFonts w:ascii="Arial" w:eastAsiaTheme="minorEastAsia" w:hAnsi="Arial" w:cs="Arial"/>
      <w:sz w:val="15"/>
      <w:szCs w:val="18"/>
      <w:lang w:val="en-US"/>
    </w:rPr>
  </w:style>
  <w:style w:type="character" w:customStyle="1" w:styleId="Reference-Revised">
    <w:name w:val="Reference - Revised"/>
    <w:basedOn w:val="DefaultParagraphFont"/>
    <w:uiPriority w:val="29"/>
    <w:qFormat/>
    <w:rsid w:val="00F06229"/>
    <w:rPr>
      <w:b w:val="0"/>
      <w:i w:val="0"/>
      <w:color w:val="7030A0"/>
      <w:sz w:val="16"/>
    </w:rPr>
  </w:style>
  <w:style w:type="character" w:customStyle="1" w:styleId="Guidance">
    <w:name w:val="Guidance"/>
    <w:uiPriority w:val="31"/>
    <w:qFormat/>
    <w:rsid w:val="00F06229"/>
    <w:rPr>
      <w:color w:val="D9D9D6" w:themeColor="accent1"/>
    </w:rPr>
  </w:style>
  <w:style w:type="paragraph" w:customStyle="1" w:styleId="GuidanceEnd">
    <w:name w:val="Guidance End"/>
    <w:basedOn w:val="Normal"/>
    <w:next w:val="Normal"/>
    <w:uiPriority w:val="30"/>
    <w:qFormat/>
    <w:rsid w:val="00F06229"/>
    <w:pPr>
      <w:keepLines/>
      <w:pBdr>
        <w:top w:val="single" w:sz="36" w:space="1" w:color="D9D9D6" w:themeColor="accent1"/>
      </w:pBdr>
    </w:pPr>
    <w:rPr>
      <w:sz w:val="18"/>
      <w:szCs w:val="18"/>
      <w:lang w:val="en-AU"/>
    </w:rPr>
  </w:style>
  <w:style w:type="paragraph" w:customStyle="1" w:styleId="Tableheader">
    <w:name w:val="Table header"/>
    <w:basedOn w:val="Tabletext"/>
    <w:uiPriority w:val="6"/>
    <w:qFormat/>
    <w:rsid w:val="00F06229"/>
    <w:pPr>
      <w:keepNext/>
      <w:keepLines/>
      <w:spacing w:before="120" w:after="60" w:line="264" w:lineRule="auto"/>
      <w:ind w:left="0" w:firstLine="0"/>
    </w:pPr>
    <w:rPr>
      <w:rFonts w:eastAsiaTheme="minorHAnsi" w:cstheme="minorBidi"/>
      <w:noProof w:val="0"/>
      <w:color w:val="FFFFFF" w:themeColor="background1"/>
      <w:sz w:val="20"/>
      <w:szCs w:val="21"/>
      <w:lang w:eastAsia="en-US"/>
    </w:rPr>
  </w:style>
  <w:style w:type="character" w:customStyle="1" w:styleId="Reference">
    <w:name w:val="Reference"/>
    <w:uiPriority w:val="29"/>
    <w:qFormat/>
    <w:rsid w:val="00F06229"/>
    <w:rPr>
      <w:b w:val="0"/>
      <w:i w:val="0"/>
      <w:color w:val="C00000"/>
      <w:sz w:val="16"/>
    </w:rPr>
  </w:style>
  <w:style w:type="table" w:customStyle="1" w:styleId="DTFTable">
    <w:name w:val="DTF Table"/>
    <w:basedOn w:val="DTFtexttable"/>
    <w:uiPriority w:val="99"/>
    <w:rsid w:val="00F06229"/>
    <w:pPr>
      <w:spacing w:before="20" w:after="20" w:line="240" w:lineRule="auto"/>
      <w:jc w:val="right"/>
    </w:pPr>
    <w:rPr>
      <w:spacing w:val="0"/>
      <w:sz w:val="16"/>
      <w:szCs w:val="18"/>
    </w:rPr>
    <w:tblPr/>
    <w:trPr>
      <w:cantSplit w:val="0"/>
    </w:trPr>
    <w:tblStylePr w:type="firstRow">
      <w:pPr>
        <w:keepNext/>
        <w:keepLines/>
        <w:widowControl/>
        <w:wordWrap/>
        <w:spacing w:beforeLines="0" w:before="40" w:beforeAutospacing="0" w:afterLines="0" w:after="40" w:afterAutospacing="0"/>
        <w:jc w:val="right"/>
      </w:pPr>
      <w:rPr>
        <w:b w:val="0"/>
        <w:bCs/>
        <w:i/>
        <w:color w:val="FFFFFF" w:themeColor="background1"/>
      </w:rPr>
      <w:tblPr/>
      <w:trPr>
        <w:cantSplit w:val="0"/>
        <w:tblHeader/>
      </w:trPr>
      <w:tcPr>
        <w:shd w:val="clear" w:color="auto" w:fill="8A2A2F"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shd w:val="clear" w:color="auto" w:fill="FFFFFF" w:themeFill="background1"/>
      </w:tcPr>
    </w:tblStylePr>
    <w:tblStylePr w:type="firstCol">
      <w:pPr>
        <w:jc w:val="left"/>
      </w:pPr>
      <w:rPr>
        <w:b w:val="0"/>
        <w:bCs/>
      </w:rPr>
      <w:tblPr/>
      <w:tcPr>
        <w:shd w:val="clear" w:color="auto" w:fill="FFFFFF" w:themeFill="background1"/>
        <w:vAlign w:val="bottom"/>
      </w:tcPr>
    </w:tblStylePr>
    <w:tblStylePr w:type="lastCol">
      <w:pPr>
        <w:jc w:val="left"/>
      </w:pPr>
      <w:rPr>
        <w:b/>
        <w:bCs/>
      </w:rPr>
    </w:tblStylePr>
    <w:tblStylePr w:type="band1Vert">
      <w:pPr>
        <w:jc w:val="left"/>
      </w:pPr>
      <w:tblPr/>
      <w:tcPr>
        <w:shd w:val="clear" w:color="auto" w:fill="F2F2F2" w:themeFill="background1" w:themeFillShade="F2"/>
      </w:tcPr>
    </w:tblStylePr>
    <w:tblStylePr w:type="band2Vert">
      <w:pPr>
        <w:jc w:val="left"/>
      </w:p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eCell">
      <w:pPr>
        <w:jc w:val="left"/>
      </w:pPr>
    </w:tblStylePr>
    <w:tblStylePr w:type="nwCell">
      <w:pPr>
        <w:jc w:val="left"/>
      </w:pPr>
      <w:tblPr/>
      <w:tcPr>
        <w:vAlign w:val="bottom"/>
      </w:tcPr>
    </w:tblStylePr>
    <w:tblStylePr w:type="seCell">
      <w:pPr>
        <w:jc w:val="left"/>
      </w:pPr>
    </w:tblStylePr>
    <w:tblStylePr w:type="swCell">
      <w:pPr>
        <w:jc w:val="left"/>
      </w:pPr>
    </w:tblStylePr>
  </w:style>
  <w:style w:type="paragraph" w:customStyle="1" w:styleId="TableUnits">
    <w:name w:val="Table Units"/>
    <w:basedOn w:val="Caption"/>
    <w:uiPriority w:val="34"/>
    <w:qFormat/>
    <w:rsid w:val="00F06229"/>
    <w:pPr>
      <w:keepLines/>
      <w:tabs>
        <w:tab w:val="left" w:pos="964"/>
        <w:tab w:val="right" w:pos="9639"/>
        <w:tab w:val="right" w:pos="14572"/>
        <w:tab w:val="right" w:pos="14742"/>
      </w:tabs>
      <w:spacing w:before="160" w:after="80" w:line="240" w:lineRule="auto"/>
      <w:jc w:val="right"/>
    </w:pPr>
    <w:rPr>
      <w:rFonts w:asciiTheme="minorHAnsi" w:eastAsiaTheme="minorHAnsi" w:hAnsiTheme="minorHAnsi" w:cstheme="minorBidi"/>
      <w:i w:val="0"/>
      <w:iCs/>
      <w:color w:val="C54148" w:themeColor="text1" w:themeTint="BF"/>
      <w:sz w:val="18"/>
      <w:szCs w:val="18"/>
    </w:rPr>
  </w:style>
  <w:style w:type="numbering" w:customStyle="1" w:styleId="BulletListStyle">
    <w:name w:val="Bullet List Style"/>
    <w:uiPriority w:val="99"/>
    <w:rsid w:val="00F06229"/>
    <w:pPr>
      <w:numPr>
        <w:numId w:val="80"/>
      </w:numPr>
    </w:pPr>
  </w:style>
  <w:style w:type="paragraph" w:styleId="ListBullet4">
    <w:name w:val="List Bullet 4"/>
    <w:basedOn w:val="ListContinue4"/>
    <w:uiPriority w:val="24"/>
    <w:semiHidden/>
    <w:unhideWhenUsed/>
    <w:rsid w:val="00F06229"/>
    <w:pPr>
      <w:keepLines/>
      <w:tabs>
        <w:tab w:val="num" w:pos="360"/>
        <w:tab w:val="num" w:pos="1440"/>
      </w:tabs>
      <w:spacing w:before="40" w:line="264" w:lineRule="auto"/>
    </w:pPr>
    <w:rPr>
      <w:rFonts w:asciiTheme="minorHAnsi" w:eastAsiaTheme="minorHAnsi" w:hAnsiTheme="minorHAnsi" w:cstheme="minorBidi"/>
      <w:sz w:val="18"/>
      <w:szCs w:val="18"/>
    </w:rPr>
  </w:style>
  <w:style w:type="paragraph" w:styleId="ListBullet5">
    <w:name w:val="List Bullet 5"/>
    <w:basedOn w:val="ListContinue5"/>
    <w:uiPriority w:val="24"/>
    <w:semiHidden/>
    <w:unhideWhenUsed/>
    <w:rsid w:val="00F06229"/>
    <w:pPr>
      <w:keepLines/>
      <w:tabs>
        <w:tab w:val="num" w:pos="360"/>
        <w:tab w:val="num" w:pos="1800"/>
      </w:tabs>
      <w:spacing w:before="40" w:line="264" w:lineRule="auto"/>
    </w:pPr>
    <w:rPr>
      <w:rFonts w:asciiTheme="minorHAnsi" w:eastAsiaTheme="minorHAnsi" w:hAnsiTheme="minorHAnsi" w:cstheme="minorBidi"/>
      <w:sz w:val="18"/>
      <w:szCs w:val="18"/>
    </w:rPr>
  </w:style>
  <w:style w:type="paragraph" w:styleId="ListContinue">
    <w:name w:val="List Continue"/>
    <w:basedOn w:val="Normal"/>
    <w:unhideWhenUsed/>
    <w:rsid w:val="00F06229"/>
    <w:pPr>
      <w:spacing w:after="120" w:line="260" w:lineRule="atLeast"/>
      <w:ind w:left="283"/>
      <w:contextualSpacing/>
    </w:pPr>
    <w:rPr>
      <w:rFonts w:ascii="Arial" w:eastAsia="Times New Roman" w:hAnsi="Arial" w:cs="Times New Roman"/>
      <w:szCs w:val="20"/>
      <w:lang w:val="en-AU"/>
    </w:rPr>
  </w:style>
  <w:style w:type="paragraph" w:styleId="ListContinue2">
    <w:name w:val="List Continue 2"/>
    <w:basedOn w:val="Normal"/>
    <w:semiHidden/>
    <w:unhideWhenUsed/>
    <w:rsid w:val="00F06229"/>
    <w:pPr>
      <w:spacing w:after="120" w:line="260" w:lineRule="atLeast"/>
      <w:ind w:left="566"/>
      <w:contextualSpacing/>
    </w:pPr>
    <w:rPr>
      <w:rFonts w:ascii="Arial" w:eastAsia="Times New Roman" w:hAnsi="Arial" w:cs="Times New Roman"/>
      <w:szCs w:val="20"/>
      <w:lang w:val="en-AU"/>
    </w:rPr>
  </w:style>
  <w:style w:type="paragraph" w:styleId="ListContinue3">
    <w:name w:val="List Continue 3"/>
    <w:basedOn w:val="Normal"/>
    <w:semiHidden/>
    <w:unhideWhenUsed/>
    <w:rsid w:val="00F06229"/>
    <w:pPr>
      <w:spacing w:after="120" w:line="260" w:lineRule="atLeast"/>
      <w:ind w:left="849"/>
      <w:contextualSpacing/>
    </w:pPr>
    <w:rPr>
      <w:rFonts w:ascii="Arial" w:eastAsia="Times New Roman" w:hAnsi="Arial" w:cs="Times New Roman"/>
      <w:szCs w:val="20"/>
      <w:lang w:val="en-AU"/>
    </w:rPr>
  </w:style>
  <w:style w:type="paragraph" w:styleId="ListContinue4">
    <w:name w:val="List Continue 4"/>
    <w:basedOn w:val="Normal"/>
    <w:semiHidden/>
    <w:unhideWhenUsed/>
    <w:rsid w:val="00F06229"/>
    <w:pPr>
      <w:spacing w:after="120" w:line="260" w:lineRule="atLeast"/>
      <w:ind w:left="1132"/>
      <w:contextualSpacing/>
    </w:pPr>
    <w:rPr>
      <w:rFonts w:ascii="Arial" w:eastAsia="Times New Roman" w:hAnsi="Arial" w:cs="Times New Roman"/>
      <w:szCs w:val="20"/>
      <w:lang w:val="en-AU"/>
    </w:rPr>
  </w:style>
  <w:style w:type="paragraph" w:styleId="ListContinue5">
    <w:name w:val="List Continue 5"/>
    <w:basedOn w:val="Normal"/>
    <w:semiHidden/>
    <w:unhideWhenUsed/>
    <w:rsid w:val="00F06229"/>
    <w:pPr>
      <w:spacing w:after="120" w:line="260" w:lineRule="atLeast"/>
      <w:ind w:left="1415"/>
      <w:contextualSpacing/>
    </w:pPr>
    <w:rPr>
      <w:rFonts w:ascii="Arial" w:eastAsia="Times New Roman" w:hAnsi="Arial" w:cs="Times New Roman"/>
      <w:szCs w:val="20"/>
      <w:lang w:val="en-AU"/>
    </w:rPr>
  </w:style>
  <w:style w:type="paragraph" w:customStyle="1" w:styleId="Heading11">
    <w:name w:val="Heading 1 [#]"/>
    <w:basedOn w:val="Heading1"/>
    <w:uiPriority w:val="14"/>
    <w:rsid w:val="00F06229"/>
    <w:pPr>
      <w:pBdr>
        <w:bottom w:val="single" w:sz="12" w:space="1" w:color="auto"/>
      </w:pBdr>
      <w:spacing w:before="160" w:after="320" w:line="264" w:lineRule="auto"/>
      <w:ind w:left="432" w:hanging="432"/>
    </w:pPr>
    <w:rPr>
      <w:caps/>
      <w:color w:val="auto"/>
      <w:sz w:val="32"/>
      <w:lang w:val="en-AU"/>
    </w:rPr>
  </w:style>
  <w:style w:type="paragraph" w:customStyle="1" w:styleId="Heading21">
    <w:name w:val="Heading 2 [#]"/>
    <w:basedOn w:val="Heading2"/>
    <w:uiPriority w:val="14"/>
    <w:rsid w:val="00F06229"/>
    <w:pPr>
      <w:spacing w:before="200" w:after="120" w:line="264" w:lineRule="auto"/>
      <w:ind w:left="576" w:hanging="576"/>
    </w:pPr>
    <w:rPr>
      <w:b/>
      <w:color w:val="auto"/>
      <w:lang w:val="en-AU"/>
    </w:rPr>
  </w:style>
  <w:style w:type="paragraph" w:customStyle="1" w:styleId="Heading31">
    <w:name w:val="Heading 3 [#]"/>
    <w:basedOn w:val="Heading3"/>
    <w:uiPriority w:val="14"/>
    <w:rsid w:val="00F06229"/>
    <w:pPr>
      <w:spacing w:before="160" w:after="120" w:line="264" w:lineRule="auto"/>
      <w:ind w:hanging="720"/>
    </w:pPr>
    <w:rPr>
      <w:b/>
      <w:color w:val="auto"/>
      <w:lang w:val="en-AU"/>
    </w:rPr>
  </w:style>
  <w:style w:type="paragraph" w:customStyle="1" w:styleId="Heading40">
    <w:name w:val="Heading 4 [#]"/>
    <w:basedOn w:val="Normal"/>
    <w:next w:val="Heading4"/>
    <w:uiPriority w:val="14"/>
    <w:rsid w:val="00F06229"/>
    <w:pPr>
      <w:keepLines/>
      <w:spacing w:before="160" w:after="80" w:line="264" w:lineRule="auto"/>
      <w:ind w:left="864" w:hanging="864"/>
    </w:pPr>
    <w:rPr>
      <w:sz w:val="18"/>
      <w:szCs w:val="18"/>
      <w:lang w:val="en-AU"/>
    </w:rPr>
  </w:style>
  <w:style w:type="table" w:customStyle="1" w:styleId="DTFTextTable0">
    <w:name w:val="DTF Text Table"/>
    <w:basedOn w:val="PlainTable4"/>
    <w:uiPriority w:val="99"/>
    <w:rsid w:val="00F06229"/>
    <w:pPr>
      <w:spacing w:before="60" w:after="60"/>
    </w:pPr>
    <w:rPr>
      <w:sz w:val="18"/>
      <w:szCs w:val="18"/>
    </w:rPr>
    <w:tblPr>
      <w:tblBorders>
        <w:bottom w:val="single" w:sz="12" w:space="0" w:color="auto"/>
      </w:tblBorders>
    </w:tblPr>
    <w:tblStylePr w:type="firstRow">
      <w:pPr>
        <w:jc w:val="left"/>
      </w:pPr>
      <w:rPr>
        <w:b w:val="0"/>
        <w:bCs/>
        <w:i/>
      </w:rPr>
      <w:tblPr/>
      <w:tcPr>
        <w:shd w:val="clear" w:color="auto" w:fill="8A2A2F" w:themeFill="text1"/>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styleId="PlainTable4">
    <w:name w:val="Plain Table 4"/>
    <w:basedOn w:val="TableNormal"/>
    <w:uiPriority w:val="44"/>
    <w:rsid w:val="00F06229"/>
    <w:rPr>
      <w:rFonts w:ascii="Times New Roman" w:eastAsia="Times New Roman" w:hAnsi="Times New Roman" w:cs="Times New Roman"/>
      <w:sz w:val="20"/>
      <w:szCs w:val="20"/>
      <w:lang w:val="en-AU"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SSecretaryletterbodytext">
    <w:name w:val="ES_Secretary letter body text"/>
    <w:basedOn w:val="ESBodyText"/>
    <w:qFormat/>
    <w:rsid w:val="00675AA4"/>
    <w:pPr>
      <w:keepLines/>
      <w:spacing w:line="240" w:lineRule="auto"/>
    </w:pPr>
    <w:rPr>
      <w:rFonts w:ascii="Calibri" w:eastAsiaTheme="minorHAnsi" w:hAnsi="Calibri" w:cs="Calibri"/>
      <w:sz w:val="22"/>
      <w:szCs w:val="24"/>
      <w:lang w:val="en-AU"/>
    </w:rPr>
  </w:style>
  <w:style w:type="paragraph" w:customStyle="1" w:styleId="ESTablebodystrong">
    <w:name w:val="ES_Table body strong"/>
    <w:basedOn w:val="ESTablebody"/>
    <w:qFormat/>
    <w:rsid w:val="00D0282B"/>
    <w:rPr>
      <w:rFonts w:ascii="Calibri" w:hAnsi="Calibri"/>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982">
      <w:bodyDiv w:val="1"/>
      <w:marLeft w:val="0"/>
      <w:marRight w:val="0"/>
      <w:marTop w:val="0"/>
      <w:marBottom w:val="0"/>
      <w:divBdr>
        <w:top w:val="none" w:sz="0" w:space="0" w:color="auto"/>
        <w:left w:val="none" w:sz="0" w:space="0" w:color="auto"/>
        <w:bottom w:val="none" w:sz="0" w:space="0" w:color="auto"/>
        <w:right w:val="none" w:sz="0" w:space="0" w:color="auto"/>
      </w:divBdr>
    </w:div>
    <w:div w:id="45185150">
      <w:bodyDiv w:val="1"/>
      <w:marLeft w:val="0"/>
      <w:marRight w:val="0"/>
      <w:marTop w:val="0"/>
      <w:marBottom w:val="0"/>
      <w:divBdr>
        <w:top w:val="none" w:sz="0" w:space="0" w:color="auto"/>
        <w:left w:val="none" w:sz="0" w:space="0" w:color="auto"/>
        <w:bottom w:val="none" w:sz="0" w:space="0" w:color="auto"/>
        <w:right w:val="none" w:sz="0" w:space="0" w:color="auto"/>
      </w:divBdr>
    </w:div>
    <w:div w:id="63648764">
      <w:bodyDiv w:val="1"/>
      <w:marLeft w:val="0"/>
      <w:marRight w:val="0"/>
      <w:marTop w:val="0"/>
      <w:marBottom w:val="0"/>
      <w:divBdr>
        <w:top w:val="none" w:sz="0" w:space="0" w:color="auto"/>
        <w:left w:val="none" w:sz="0" w:space="0" w:color="auto"/>
        <w:bottom w:val="none" w:sz="0" w:space="0" w:color="auto"/>
        <w:right w:val="none" w:sz="0" w:space="0" w:color="auto"/>
      </w:divBdr>
    </w:div>
    <w:div w:id="70664028">
      <w:bodyDiv w:val="1"/>
      <w:marLeft w:val="0"/>
      <w:marRight w:val="0"/>
      <w:marTop w:val="0"/>
      <w:marBottom w:val="0"/>
      <w:divBdr>
        <w:top w:val="none" w:sz="0" w:space="0" w:color="auto"/>
        <w:left w:val="none" w:sz="0" w:space="0" w:color="auto"/>
        <w:bottom w:val="none" w:sz="0" w:space="0" w:color="auto"/>
        <w:right w:val="none" w:sz="0" w:space="0" w:color="auto"/>
      </w:divBdr>
    </w:div>
    <w:div w:id="73822706">
      <w:bodyDiv w:val="1"/>
      <w:marLeft w:val="0"/>
      <w:marRight w:val="0"/>
      <w:marTop w:val="0"/>
      <w:marBottom w:val="0"/>
      <w:divBdr>
        <w:top w:val="none" w:sz="0" w:space="0" w:color="auto"/>
        <w:left w:val="none" w:sz="0" w:space="0" w:color="auto"/>
        <w:bottom w:val="none" w:sz="0" w:space="0" w:color="auto"/>
        <w:right w:val="none" w:sz="0" w:space="0" w:color="auto"/>
      </w:divBdr>
    </w:div>
    <w:div w:id="123887167">
      <w:bodyDiv w:val="1"/>
      <w:marLeft w:val="0"/>
      <w:marRight w:val="0"/>
      <w:marTop w:val="0"/>
      <w:marBottom w:val="0"/>
      <w:divBdr>
        <w:top w:val="none" w:sz="0" w:space="0" w:color="auto"/>
        <w:left w:val="none" w:sz="0" w:space="0" w:color="auto"/>
        <w:bottom w:val="none" w:sz="0" w:space="0" w:color="auto"/>
        <w:right w:val="none" w:sz="0" w:space="0" w:color="auto"/>
      </w:divBdr>
    </w:div>
    <w:div w:id="169415649">
      <w:bodyDiv w:val="1"/>
      <w:marLeft w:val="0"/>
      <w:marRight w:val="0"/>
      <w:marTop w:val="0"/>
      <w:marBottom w:val="0"/>
      <w:divBdr>
        <w:top w:val="none" w:sz="0" w:space="0" w:color="auto"/>
        <w:left w:val="none" w:sz="0" w:space="0" w:color="auto"/>
        <w:bottom w:val="none" w:sz="0" w:space="0" w:color="auto"/>
        <w:right w:val="none" w:sz="0" w:space="0" w:color="auto"/>
      </w:divBdr>
    </w:div>
    <w:div w:id="170797826">
      <w:bodyDiv w:val="1"/>
      <w:marLeft w:val="0"/>
      <w:marRight w:val="0"/>
      <w:marTop w:val="0"/>
      <w:marBottom w:val="0"/>
      <w:divBdr>
        <w:top w:val="none" w:sz="0" w:space="0" w:color="auto"/>
        <w:left w:val="none" w:sz="0" w:space="0" w:color="auto"/>
        <w:bottom w:val="none" w:sz="0" w:space="0" w:color="auto"/>
        <w:right w:val="none" w:sz="0" w:space="0" w:color="auto"/>
      </w:divBdr>
    </w:div>
    <w:div w:id="184833109">
      <w:bodyDiv w:val="1"/>
      <w:marLeft w:val="0"/>
      <w:marRight w:val="0"/>
      <w:marTop w:val="0"/>
      <w:marBottom w:val="0"/>
      <w:divBdr>
        <w:top w:val="none" w:sz="0" w:space="0" w:color="auto"/>
        <w:left w:val="none" w:sz="0" w:space="0" w:color="auto"/>
        <w:bottom w:val="none" w:sz="0" w:space="0" w:color="auto"/>
        <w:right w:val="none" w:sz="0" w:space="0" w:color="auto"/>
      </w:divBdr>
    </w:div>
    <w:div w:id="187450127">
      <w:bodyDiv w:val="1"/>
      <w:marLeft w:val="0"/>
      <w:marRight w:val="0"/>
      <w:marTop w:val="0"/>
      <w:marBottom w:val="0"/>
      <w:divBdr>
        <w:top w:val="none" w:sz="0" w:space="0" w:color="auto"/>
        <w:left w:val="none" w:sz="0" w:space="0" w:color="auto"/>
        <w:bottom w:val="none" w:sz="0" w:space="0" w:color="auto"/>
        <w:right w:val="none" w:sz="0" w:space="0" w:color="auto"/>
      </w:divBdr>
    </w:div>
    <w:div w:id="188446474">
      <w:bodyDiv w:val="1"/>
      <w:marLeft w:val="0"/>
      <w:marRight w:val="0"/>
      <w:marTop w:val="0"/>
      <w:marBottom w:val="0"/>
      <w:divBdr>
        <w:top w:val="none" w:sz="0" w:space="0" w:color="auto"/>
        <w:left w:val="none" w:sz="0" w:space="0" w:color="auto"/>
        <w:bottom w:val="none" w:sz="0" w:space="0" w:color="auto"/>
        <w:right w:val="none" w:sz="0" w:space="0" w:color="auto"/>
      </w:divBdr>
    </w:div>
    <w:div w:id="217865779">
      <w:bodyDiv w:val="1"/>
      <w:marLeft w:val="0"/>
      <w:marRight w:val="0"/>
      <w:marTop w:val="0"/>
      <w:marBottom w:val="0"/>
      <w:divBdr>
        <w:top w:val="none" w:sz="0" w:space="0" w:color="auto"/>
        <w:left w:val="none" w:sz="0" w:space="0" w:color="auto"/>
        <w:bottom w:val="none" w:sz="0" w:space="0" w:color="auto"/>
        <w:right w:val="none" w:sz="0" w:space="0" w:color="auto"/>
      </w:divBdr>
    </w:div>
    <w:div w:id="239676086">
      <w:bodyDiv w:val="1"/>
      <w:marLeft w:val="0"/>
      <w:marRight w:val="0"/>
      <w:marTop w:val="0"/>
      <w:marBottom w:val="0"/>
      <w:divBdr>
        <w:top w:val="none" w:sz="0" w:space="0" w:color="auto"/>
        <w:left w:val="none" w:sz="0" w:space="0" w:color="auto"/>
        <w:bottom w:val="none" w:sz="0" w:space="0" w:color="auto"/>
        <w:right w:val="none" w:sz="0" w:space="0" w:color="auto"/>
      </w:divBdr>
    </w:div>
    <w:div w:id="275061789">
      <w:bodyDiv w:val="1"/>
      <w:marLeft w:val="0"/>
      <w:marRight w:val="0"/>
      <w:marTop w:val="0"/>
      <w:marBottom w:val="0"/>
      <w:divBdr>
        <w:top w:val="none" w:sz="0" w:space="0" w:color="auto"/>
        <w:left w:val="none" w:sz="0" w:space="0" w:color="auto"/>
        <w:bottom w:val="none" w:sz="0" w:space="0" w:color="auto"/>
        <w:right w:val="none" w:sz="0" w:space="0" w:color="auto"/>
      </w:divBdr>
    </w:div>
    <w:div w:id="297760782">
      <w:bodyDiv w:val="1"/>
      <w:marLeft w:val="0"/>
      <w:marRight w:val="0"/>
      <w:marTop w:val="0"/>
      <w:marBottom w:val="0"/>
      <w:divBdr>
        <w:top w:val="none" w:sz="0" w:space="0" w:color="auto"/>
        <w:left w:val="none" w:sz="0" w:space="0" w:color="auto"/>
        <w:bottom w:val="none" w:sz="0" w:space="0" w:color="auto"/>
        <w:right w:val="none" w:sz="0" w:space="0" w:color="auto"/>
      </w:divBdr>
    </w:div>
    <w:div w:id="318002786">
      <w:bodyDiv w:val="1"/>
      <w:marLeft w:val="0"/>
      <w:marRight w:val="0"/>
      <w:marTop w:val="0"/>
      <w:marBottom w:val="0"/>
      <w:divBdr>
        <w:top w:val="none" w:sz="0" w:space="0" w:color="auto"/>
        <w:left w:val="none" w:sz="0" w:space="0" w:color="auto"/>
        <w:bottom w:val="none" w:sz="0" w:space="0" w:color="auto"/>
        <w:right w:val="none" w:sz="0" w:space="0" w:color="auto"/>
      </w:divBdr>
    </w:div>
    <w:div w:id="329479585">
      <w:bodyDiv w:val="1"/>
      <w:marLeft w:val="0"/>
      <w:marRight w:val="0"/>
      <w:marTop w:val="0"/>
      <w:marBottom w:val="0"/>
      <w:divBdr>
        <w:top w:val="none" w:sz="0" w:space="0" w:color="auto"/>
        <w:left w:val="none" w:sz="0" w:space="0" w:color="auto"/>
        <w:bottom w:val="none" w:sz="0" w:space="0" w:color="auto"/>
        <w:right w:val="none" w:sz="0" w:space="0" w:color="auto"/>
      </w:divBdr>
    </w:div>
    <w:div w:id="360324112">
      <w:bodyDiv w:val="1"/>
      <w:marLeft w:val="0"/>
      <w:marRight w:val="0"/>
      <w:marTop w:val="0"/>
      <w:marBottom w:val="0"/>
      <w:divBdr>
        <w:top w:val="none" w:sz="0" w:space="0" w:color="auto"/>
        <w:left w:val="none" w:sz="0" w:space="0" w:color="auto"/>
        <w:bottom w:val="none" w:sz="0" w:space="0" w:color="auto"/>
        <w:right w:val="none" w:sz="0" w:space="0" w:color="auto"/>
      </w:divBdr>
    </w:div>
    <w:div w:id="376466505">
      <w:bodyDiv w:val="1"/>
      <w:marLeft w:val="0"/>
      <w:marRight w:val="0"/>
      <w:marTop w:val="0"/>
      <w:marBottom w:val="0"/>
      <w:divBdr>
        <w:top w:val="none" w:sz="0" w:space="0" w:color="auto"/>
        <w:left w:val="none" w:sz="0" w:space="0" w:color="auto"/>
        <w:bottom w:val="none" w:sz="0" w:space="0" w:color="auto"/>
        <w:right w:val="none" w:sz="0" w:space="0" w:color="auto"/>
      </w:divBdr>
    </w:div>
    <w:div w:id="433785533">
      <w:bodyDiv w:val="1"/>
      <w:marLeft w:val="0"/>
      <w:marRight w:val="0"/>
      <w:marTop w:val="0"/>
      <w:marBottom w:val="0"/>
      <w:divBdr>
        <w:top w:val="none" w:sz="0" w:space="0" w:color="auto"/>
        <w:left w:val="none" w:sz="0" w:space="0" w:color="auto"/>
        <w:bottom w:val="none" w:sz="0" w:space="0" w:color="auto"/>
        <w:right w:val="none" w:sz="0" w:space="0" w:color="auto"/>
      </w:divBdr>
    </w:div>
    <w:div w:id="481581585">
      <w:bodyDiv w:val="1"/>
      <w:marLeft w:val="0"/>
      <w:marRight w:val="0"/>
      <w:marTop w:val="0"/>
      <w:marBottom w:val="0"/>
      <w:divBdr>
        <w:top w:val="none" w:sz="0" w:space="0" w:color="auto"/>
        <w:left w:val="none" w:sz="0" w:space="0" w:color="auto"/>
        <w:bottom w:val="none" w:sz="0" w:space="0" w:color="auto"/>
        <w:right w:val="none" w:sz="0" w:space="0" w:color="auto"/>
      </w:divBdr>
    </w:div>
    <w:div w:id="509375582">
      <w:bodyDiv w:val="1"/>
      <w:marLeft w:val="0"/>
      <w:marRight w:val="0"/>
      <w:marTop w:val="0"/>
      <w:marBottom w:val="0"/>
      <w:divBdr>
        <w:top w:val="none" w:sz="0" w:space="0" w:color="auto"/>
        <w:left w:val="none" w:sz="0" w:space="0" w:color="auto"/>
        <w:bottom w:val="none" w:sz="0" w:space="0" w:color="auto"/>
        <w:right w:val="none" w:sz="0" w:space="0" w:color="auto"/>
      </w:divBdr>
    </w:div>
    <w:div w:id="510491710">
      <w:bodyDiv w:val="1"/>
      <w:marLeft w:val="0"/>
      <w:marRight w:val="0"/>
      <w:marTop w:val="0"/>
      <w:marBottom w:val="0"/>
      <w:divBdr>
        <w:top w:val="none" w:sz="0" w:space="0" w:color="auto"/>
        <w:left w:val="none" w:sz="0" w:space="0" w:color="auto"/>
        <w:bottom w:val="none" w:sz="0" w:space="0" w:color="auto"/>
        <w:right w:val="none" w:sz="0" w:space="0" w:color="auto"/>
      </w:divBdr>
    </w:div>
    <w:div w:id="516118965">
      <w:bodyDiv w:val="1"/>
      <w:marLeft w:val="0"/>
      <w:marRight w:val="0"/>
      <w:marTop w:val="0"/>
      <w:marBottom w:val="0"/>
      <w:divBdr>
        <w:top w:val="none" w:sz="0" w:space="0" w:color="auto"/>
        <w:left w:val="none" w:sz="0" w:space="0" w:color="auto"/>
        <w:bottom w:val="none" w:sz="0" w:space="0" w:color="auto"/>
        <w:right w:val="none" w:sz="0" w:space="0" w:color="auto"/>
      </w:divBdr>
    </w:div>
    <w:div w:id="575363785">
      <w:bodyDiv w:val="1"/>
      <w:marLeft w:val="0"/>
      <w:marRight w:val="0"/>
      <w:marTop w:val="0"/>
      <w:marBottom w:val="0"/>
      <w:divBdr>
        <w:top w:val="none" w:sz="0" w:space="0" w:color="auto"/>
        <w:left w:val="none" w:sz="0" w:space="0" w:color="auto"/>
        <w:bottom w:val="none" w:sz="0" w:space="0" w:color="auto"/>
        <w:right w:val="none" w:sz="0" w:space="0" w:color="auto"/>
      </w:divBdr>
    </w:div>
    <w:div w:id="592011285">
      <w:bodyDiv w:val="1"/>
      <w:marLeft w:val="0"/>
      <w:marRight w:val="0"/>
      <w:marTop w:val="0"/>
      <w:marBottom w:val="0"/>
      <w:divBdr>
        <w:top w:val="none" w:sz="0" w:space="0" w:color="auto"/>
        <w:left w:val="none" w:sz="0" w:space="0" w:color="auto"/>
        <w:bottom w:val="none" w:sz="0" w:space="0" w:color="auto"/>
        <w:right w:val="none" w:sz="0" w:space="0" w:color="auto"/>
      </w:divBdr>
    </w:div>
    <w:div w:id="605428717">
      <w:bodyDiv w:val="1"/>
      <w:marLeft w:val="0"/>
      <w:marRight w:val="0"/>
      <w:marTop w:val="0"/>
      <w:marBottom w:val="0"/>
      <w:divBdr>
        <w:top w:val="none" w:sz="0" w:space="0" w:color="auto"/>
        <w:left w:val="none" w:sz="0" w:space="0" w:color="auto"/>
        <w:bottom w:val="none" w:sz="0" w:space="0" w:color="auto"/>
        <w:right w:val="none" w:sz="0" w:space="0" w:color="auto"/>
      </w:divBdr>
    </w:div>
    <w:div w:id="640383016">
      <w:bodyDiv w:val="1"/>
      <w:marLeft w:val="0"/>
      <w:marRight w:val="0"/>
      <w:marTop w:val="0"/>
      <w:marBottom w:val="0"/>
      <w:divBdr>
        <w:top w:val="none" w:sz="0" w:space="0" w:color="auto"/>
        <w:left w:val="none" w:sz="0" w:space="0" w:color="auto"/>
        <w:bottom w:val="none" w:sz="0" w:space="0" w:color="auto"/>
        <w:right w:val="none" w:sz="0" w:space="0" w:color="auto"/>
      </w:divBdr>
    </w:div>
    <w:div w:id="655911669">
      <w:bodyDiv w:val="1"/>
      <w:marLeft w:val="0"/>
      <w:marRight w:val="0"/>
      <w:marTop w:val="0"/>
      <w:marBottom w:val="0"/>
      <w:divBdr>
        <w:top w:val="none" w:sz="0" w:space="0" w:color="auto"/>
        <w:left w:val="none" w:sz="0" w:space="0" w:color="auto"/>
        <w:bottom w:val="none" w:sz="0" w:space="0" w:color="auto"/>
        <w:right w:val="none" w:sz="0" w:space="0" w:color="auto"/>
      </w:divBdr>
    </w:div>
    <w:div w:id="676806215">
      <w:bodyDiv w:val="1"/>
      <w:marLeft w:val="0"/>
      <w:marRight w:val="0"/>
      <w:marTop w:val="0"/>
      <w:marBottom w:val="0"/>
      <w:divBdr>
        <w:top w:val="none" w:sz="0" w:space="0" w:color="auto"/>
        <w:left w:val="none" w:sz="0" w:space="0" w:color="auto"/>
        <w:bottom w:val="none" w:sz="0" w:space="0" w:color="auto"/>
        <w:right w:val="none" w:sz="0" w:space="0" w:color="auto"/>
      </w:divBdr>
    </w:div>
    <w:div w:id="684401763">
      <w:bodyDiv w:val="1"/>
      <w:marLeft w:val="0"/>
      <w:marRight w:val="0"/>
      <w:marTop w:val="0"/>
      <w:marBottom w:val="0"/>
      <w:divBdr>
        <w:top w:val="none" w:sz="0" w:space="0" w:color="auto"/>
        <w:left w:val="none" w:sz="0" w:space="0" w:color="auto"/>
        <w:bottom w:val="none" w:sz="0" w:space="0" w:color="auto"/>
        <w:right w:val="none" w:sz="0" w:space="0" w:color="auto"/>
      </w:divBdr>
    </w:div>
    <w:div w:id="733965787">
      <w:bodyDiv w:val="1"/>
      <w:marLeft w:val="0"/>
      <w:marRight w:val="0"/>
      <w:marTop w:val="0"/>
      <w:marBottom w:val="0"/>
      <w:divBdr>
        <w:top w:val="none" w:sz="0" w:space="0" w:color="auto"/>
        <w:left w:val="none" w:sz="0" w:space="0" w:color="auto"/>
        <w:bottom w:val="none" w:sz="0" w:space="0" w:color="auto"/>
        <w:right w:val="none" w:sz="0" w:space="0" w:color="auto"/>
      </w:divBdr>
    </w:div>
    <w:div w:id="740563265">
      <w:bodyDiv w:val="1"/>
      <w:marLeft w:val="0"/>
      <w:marRight w:val="0"/>
      <w:marTop w:val="0"/>
      <w:marBottom w:val="0"/>
      <w:divBdr>
        <w:top w:val="none" w:sz="0" w:space="0" w:color="auto"/>
        <w:left w:val="none" w:sz="0" w:space="0" w:color="auto"/>
        <w:bottom w:val="none" w:sz="0" w:space="0" w:color="auto"/>
        <w:right w:val="none" w:sz="0" w:space="0" w:color="auto"/>
      </w:divBdr>
    </w:div>
    <w:div w:id="748886973">
      <w:bodyDiv w:val="1"/>
      <w:marLeft w:val="0"/>
      <w:marRight w:val="0"/>
      <w:marTop w:val="0"/>
      <w:marBottom w:val="0"/>
      <w:divBdr>
        <w:top w:val="none" w:sz="0" w:space="0" w:color="auto"/>
        <w:left w:val="none" w:sz="0" w:space="0" w:color="auto"/>
        <w:bottom w:val="none" w:sz="0" w:space="0" w:color="auto"/>
        <w:right w:val="none" w:sz="0" w:space="0" w:color="auto"/>
      </w:divBdr>
    </w:div>
    <w:div w:id="750807952">
      <w:bodyDiv w:val="1"/>
      <w:marLeft w:val="0"/>
      <w:marRight w:val="0"/>
      <w:marTop w:val="0"/>
      <w:marBottom w:val="0"/>
      <w:divBdr>
        <w:top w:val="none" w:sz="0" w:space="0" w:color="auto"/>
        <w:left w:val="none" w:sz="0" w:space="0" w:color="auto"/>
        <w:bottom w:val="none" w:sz="0" w:space="0" w:color="auto"/>
        <w:right w:val="none" w:sz="0" w:space="0" w:color="auto"/>
      </w:divBdr>
    </w:div>
    <w:div w:id="783382125">
      <w:bodyDiv w:val="1"/>
      <w:marLeft w:val="0"/>
      <w:marRight w:val="0"/>
      <w:marTop w:val="0"/>
      <w:marBottom w:val="0"/>
      <w:divBdr>
        <w:top w:val="none" w:sz="0" w:space="0" w:color="auto"/>
        <w:left w:val="none" w:sz="0" w:space="0" w:color="auto"/>
        <w:bottom w:val="none" w:sz="0" w:space="0" w:color="auto"/>
        <w:right w:val="none" w:sz="0" w:space="0" w:color="auto"/>
      </w:divBdr>
    </w:div>
    <w:div w:id="816150984">
      <w:bodyDiv w:val="1"/>
      <w:marLeft w:val="0"/>
      <w:marRight w:val="0"/>
      <w:marTop w:val="0"/>
      <w:marBottom w:val="0"/>
      <w:divBdr>
        <w:top w:val="none" w:sz="0" w:space="0" w:color="auto"/>
        <w:left w:val="none" w:sz="0" w:space="0" w:color="auto"/>
        <w:bottom w:val="none" w:sz="0" w:space="0" w:color="auto"/>
        <w:right w:val="none" w:sz="0" w:space="0" w:color="auto"/>
      </w:divBdr>
    </w:div>
    <w:div w:id="839806690">
      <w:bodyDiv w:val="1"/>
      <w:marLeft w:val="0"/>
      <w:marRight w:val="0"/>
      <w:marTop w:val="0"/>
      <w:marBottom w:val="0"/>
      <w:divBdr>
        <w:top w:val="none" w:sz="0" w:space="0" w:color="auto"/>
        <w:left w:val="none" w:sz="0" w:space="0" w:color="auto"/>
        <w:bottom w:val="none" w:sz="0" w:space="0" w:color="auto"/>
        <w:right w:val="none" w:sz="0" w:space="0" w:color="auto"/>
      </w:divBdr>
    </w:div>
    <w:div w:id="850680875">
      <w:bodyDiv w:val="1"/>
      <w:marLeft w:val="0"/>
      <w:marRight w:val="0"/>
      <w:marTop w:val="0"/>
      <w:marBottom w:val="0"/>
      <w:divBdr>
        <w:top w:val="none" w:sz="0" w:space="0" w:color="auto"/>
        <w:left w:val="none" w:sz="0" w:space="0" w:color="auto"/>
        <w:bottom w:val="none" w:sz="0" w:space="0" w:color="auto"/>
        <w:right w:val="none" w:sz="0" w:space="0" w:color="auto"/>
      </w:divBdr>
    </w:div>
    <w:div w:id="910508248">
      <w:bodyDiv w:val="1"/>
      <w:marLeft w:val="0"/>
      <w:marRight w:val="0"/>
      <w:marTop w:val="0"/>
      <w:marBottom w:val="0"/>
      <w:divBdr>
        <w:top w:val="none" w:sz="0" w:space="0" w:color="auto"/>
        <w:left w:val="none" w:sz="0" w:space="0" w:color="auto"/>
        <w:bottom w:val="none" w:sz="0" w:space="0" w:color="auto"/>
        <w:right w:val="none" w:sz="0" w:space="0" w:color="auto"/>
      </w:divBdr>
    </w:div>
    <w:div w:id="911934622">
      <w:bodyDiv w:val="1"/>
      <w:marLeft w:val="0"/>
      <w:marRight w:val="0"/>
      <w:marTop w:val="0"/>
      <w:marBottom w:val="0"/>
      <w:divBdr>
        <w:top w:val="none" w:sz="0" w:space="0" w:color="auto"/>
        <w:left w:val="none" w:sz="0" w:space="0" w:color="auto"/>
        <w:bottom w:val="none" w:sz="0" w:space="0" w:color="auto"/>
        <w:right w:val="none" w:sz="0" w:space="0" w:color="auto"/>
      </w:divBdr>
    </w:div>
    <w:div w:id="973213202">
      <w:bodyDiv w:val="1"/>
      <w:marLeft w:val="0"/>
      <w:marRight w:val="0"/>
      <w:marTop w:val="0"/>
      <w:marBottom w:val="0"/>
      <w:divBdr>
        <w:top w:val="none" w:sz="0" w:space="0" w:color="auto"/>
        <w:left w:val="none" w:sz="0" w:space="0" w:color="auto"/>
        <w:bottom w:val="none" w:sz="0" w:space="0" w:color="auto"/>
        <w:right w:val="none" w:sz="0" w:space="0" w:color="auto"/>
      </w:divBdr>
    </w:div>
    <w:div w:id="989092038">
      <w:bodyDiv w:val="1"/>
      <w:marLeft w:val="0"/>
      <w:marRight w:val="0"/>
      <w:marTop w:val="0"/>
      <w:marBottom w:val="0"/>
      <w:divBdr>
        <w:top w:val="none" w:sz="0" w:space="0" w:color="auto"/>
        <w:left w:val="none" w:sz="0" w:space="0" w:color="auto"/>
        <w:bottom w:val="none" w:sz="0" w:space="0" w:color="auto"/>
        <w:right w:val="none" w:sz="0" w:space="0" w:color="auto"/>
      </w:divBdr>
    </w:div>
    <w:div w:id="1019889076">
      <w:bodyDiv w:val="1"/>
      <w:marLeft w:val="0"/>
      <w:marRight w:val="0"/>
      <w:marTop w:val="0"/>
      <w:marBottom w:val="0"/>
      <w:divBdr>
        <w:top w:val="none" w:sz="0" w:space="0" w:color="auto"/>
        <w:left w:val="none" w:sz="0" w:space="0" w:color="auto"/>
        <w:bottom w:val="none" w:sz="0" w:space="0" w:color="auto"/>
        <w:right w:val="none" w:sz="0" w:space="0" w:color="auto"/>
      </w:divBdr>
    </w:div>
    <w:div w:id="1029721984">
      <w:bodyDiv w:val="1"/>
      <w:marLeft w:val="0"/>
      <w:marRight w:val="0"/>
      <w:marTop w:val="0"/>
      <w:marBottom w:val="0"/>
      <w:divBdr>
        <w:top w:val="none" w:sz="0" w:space="0" w:color="auto"/>
        <w:left w:val="none" w:sz="0" w:space="0" w:color="auto"/>
        <w:bottom w:val="none" w:sz="0" w:space="0" w:color="auto"/>
        <w:right w:val="none" w:sz="0" w:space="0" w:color="auto"/>
      </w:divBdr>
    </w:div>
    <w:div w:id="1034387054">
      <w:bodyDiv w:val="1"/>
      <w:marLeft w:val="0"/>
      <w:marRight w:val="0"/>
      <w:marTop w:val="0"/>
      <w:marBottom w:val="0"/>
      <w:divBdr>
        <w:top w:val="none" w:sz="0" w:space="0" w:color="auto"/>
        <w:left w:val="none" w:sz="0" w:space="0" w:color="auto"/>
        <w:bottom w:val="none" w:sz="0" w:space="0" w:color="auto"/>
        <w:right w:val="none" w:sz="0" w:space="0" w:color="auto"/>
      </w:divBdr>
    </w:div>
    <w:div w:id="1061175418">
      <w:bodyDiv w:val="1"/>
      <w:marLeft w:val="0"/>
      <w:marRight w:val="0"/>
      <w:marTop w:val="0"/>
      <w:marBottom w:val="0"/>
      <w:divBdr>
        <w:top w:val="none" w:sz="0" w:space="0" w:color="auto"/>
        <w:left w:val="none" w:sz="0" w:space="0" w:color="auto"/>
        <w:bottom w:val="none" w:sz="0" w:space="0" w:color="auto"/>
        <w:right w:val="none" w:sz="0" w:space="0" w:color="auto"/>
      </w:divBdr>
    </w:div>
    <w:div w:id="1076392995">
      <w:bodyDiv w:val="1"/>
      <w:marLeft w:val="0"/>
      <w:marRight w:val="0"/>
      <w:marTop w:val="0"/>
      <w:marBottom w:val="0"/>
      <w:divBdr>
        <w:top w:val="none" w:sz="0" w:space="0" w:color="auto"/>
        <w:left w:val="none" w:sz="0" w:space="0" w:color="auto"/>
        <w:bottom w:val="none" w:sz="0" w:space="0" w:color="auto"/>
        <w:right w:val="none" w:sz="0" w:space="0" w:color="auto"/>
      </w:divBdr>
    </w:div>
    <w:div w:id="1097753469">
      <w:bodyDiv w:val="1"/>
      <w:marLeft w:val="0"/>
      <w:marRight w:val="0"/>
      <w:marTop w:val="0"/>
      <w:marBottom w:val="0"/>
      <w:divBdr>
        <w:top w:val="none" w:sz="0" w:space="0" w:color="auto"/>
        <w:left w:val="none" w:sz="0" w:space="0" w:color="auto"/>
        <w:bottom w:val="none" w:sz="0" w:space="0" w:color="auto"/>
        <w:right w:val="none" w:sz="0" w:space="0" w:color="auto"/>
      </w:divBdr>
    </w:div>
    <w:div w:id="1103501591">
      <w:bodyDiv w:val="1"/>
      <w:marLeft w:val="0"/>
      <w:marRight w:val="0"/>
      <w:marTop w:val="0"/>
      <w:marBottom w:val="0"/>
      <w:divBdr>
        <w:top w:val="none" w:sz="0" w:space="0" w:color="auto"/>
        <w:left w:val="none" w:sz="0" w:space="0" w:color="auto"/>
        <w:bottom w:val="none" w:sz="0" w:space="0" w:color="auto"/>
        <w:right w:val="none" w:sz="0" w:space="0" w:color="auto"/>
      </w:divBdr>
    </w:div>
    <w:div w:id="1170868200">
      <w:bodyDiv w:val="1"/>
      <w:marLeft w:val="0"/>
      <w:marRight w:val="0"/>
      <w:marTop w:val="0"/>
      <w:marBottom w:val="0"/>
      <w:divBdr>
        <w:top w:val="none" w:sz="0" w:space="0" w:color="auto"/>
        <w:left w:val="none" w:sz="0" w:space="0" w:color="auto"/>
        <w:bottom w:val="none" w:sz="0" w:space="0" w:color="auto"/>
        <w:right w:val="none" w:sz="0" w:space="0" w:color="auto"/>
      </w:divBdr>
    </w:div>
    <w:div w:id="1186484878">
      <w:bodyDiv w:val="1"/>
      <w:marLeft w:val="0"/>
      <w:marRight w:val="0"/>
      <w:marTop w:val="0"/>
      <w:marBottom w:val="0"/>
      <w:divBdr>
        <w:top w:val="none" w:sz="0" w:space="0" w:color="auto"/>
        <w:left w:val="none" w:sz="0" w:space="0" w:color="auto"/>
        <w:bottom w:val="none" w:sz="0" w:space="0" w:color="auto"/>
        <w:right w:val="none" w:sz="0" w:space="0" w:color="auto"/>
      </w:divBdr>
    </w:div>
    <w:div w:id="1207062100">
      <w:bodyDiv w:val="1"/>
      <w:marLeft w:val="0"/>
      <w:marRight w:val="0"/>
      <w:marTop w:val="0"/>
      <w:marBottom w:val="0"/>
      <w:divBdr>
        <w:top w:val="none" w:sz="0" w:space="0" w:color="auto"/>
        <w:left w:val="none" w:sz="0" w:space="0" w:color="auto"/>
        <w:bottom w:val="none" w:sz="0" w:space="0" w:color="auto"/>
        <w:right w:val="none" w:sz="0" w:space="0" w:color="auto"/>
      </w:divBdr>
    </w:div>
    <w:div w:id="1221330338">
      <w:bodyDiv w:val="1"/>
      <w:marLeft w:val="0"/>
      <w:marRight w:val="0"/>
      <w:marTop w:val="0"/>
      <w:marBottom w:val="0"/>
      <w:divBdr>
        <w:top w:val="none" w:sz="0" w:space="0" w:color="auto"/>
        <w:left w:val="none" w:sz="0" w:space="0" w:color="auto"/>
        <w:bottom w:val="none" w:sz="0" w:space="0" w:color="auto"/>
        <w:right w:val="none" w:sz="0" w:space="0" w:color="auto"/>
      </w:divBdr>
    </w:div>
    <w:div w:id="1236016227">
      <w:bodyDiv w:val="1"/>
      <w:marLeft w:val="0"/>
      <w:marRight w:val="0"/>
      <w:marTop w:val="0"/>
      <w:marBottom w:val="0"/>
      <w:divBdr>
        <w:top w:val="none" w:sz="0" w:space="0" w:color="auto"/>
        <w:left w:val="none" w:sz="0" w:space="0" w:color="auto"/>
        <w:bottom w:val="none" w:sz="0" w:space="0" w:color="auto"/>
        <w:right w:val="none" w:sz="0" w:space="0" w:color="auto"/>
      </w:divBdr>
    </w:div>
    <w:div w:id="1243491912">
      <w:bodyDiv w:val="1"/>
      <w:marLeft w:val="0"/>
      <w:marRight w:val="0"/>
      <w:marTop w:val="0"/>
      <w:marBottom w:val="0"/>
      <w:divBdr>
        <w:top w:val="none" w:sz="0" w:space="0" w:color="auto"/>
        <w:left w:val="none" w:sz="0" w:space="0" w:color="auto"/>
        <w:bottom w:val="none" w:sz="0" w:space="0" w:color="auto"/>
        <w:right w:val="none" w:sz="0" w:space="0" w:color="auto"/>
      </w:divBdr>
    </w:div>
    <w:div w:id="1273823271">
      <w:bodyDiv w:val="1"/>
      <w:marLeft w:val="0"/>
      <w:marRight w:val="0"/>
      <w:marTop w:val="0"/>
      <w:marBottom w:val="0"/>
      <w:divBdr>
        <w:top w:val="none" w:sz="0" w:space="0" w:color="auto"/>
        <w:left w:val="none" w:sz="0" w:space="0" w:color="auto"/>
        <w:bottom w:val="none" w:sz="0" w:space="0" w:color="auto"/>
        <w:right w:val="none" w:sz="0" w:space="0" w:color="auto"/>
      </w:divBdr>
    </w:div>
    <w:div w:id="1335382381">
      <w:bodyDiv w:val="1"/>
      <w:marLeft w:val="0"/>
      <w:marRight w:val="0"/>
      <w:marTop w:val="0"/>
      <w:marBottom w:val="0"/>
      <w:divBdr>
        <w:top w:val="none" w:sz="0" w:space="0" w:color="auto"/>
        <w:left w:val="none" w:sz="0" w:space="0" w:color="auto"/>
        <w:bottom w:val="none" w:sz="0" w:space="0" w:color="auto"/>
        <w:right w:val="none" w:sz="0" w:space="0" w:color="auto"/>
      </w:divBdr>
    </w:div>
    <w:div w:id="1372026266">
      <w:bodyDiv w:val="1"/>
      <w:marLeft w:val="0"/>
      <w:marRight w:val="0"/>
      <w:marTop w:val="0"/>
      <w:marBottom w:val="0"/>
      <w:divBdr>
        <w:top w:val="none" w:sz="0" w:space="0" w:color="auto"/>
        <w:left w:val="none" w:sz="0" w:space="0" w:color="auto"/>
        <w:bottom w:val="none" w:sz="0" w:space="0" w:color="auto"/>
        <w:right w:val="none" w:sz="0" w:space="0" w:color="auto"/>
      </w:divBdr>
    </w:div>
    <w:div w:id="1373381069">
      <w:bodyDiv w:val="1"/>
      <w:marLeft w:val="0"/>
      <w:marRight w:val="0"/>
      <w:marTop w:val="0"/>
      <w:marBottom w:val="0"/>
      <w:divBdr>
        <w:top w:val="none" w:sz="0" w:space="0" w:color="auto"/>
        <w:left w:val="none" w:sz="0" w:space="0" w:color="auto"/>
        <w:bottom w:val="none" w:sz="0" w:space="0" w:color="auto"/>
        <w:right w:val="none" w:sz="0" w:space="0" w:color="auto"/>
      </w:divBdr>
    </w:div>
    <w:div w:id="1394699973">
      <w:bodyDiv w:val="1"/>
      <w:marLeft w:val="0"/>
      <w:marRight w:val="0"/>
      <w:marTop w:val="0"/>
      <w:marBottom w:val="0"/>
      <w:divBdr>
        <w:top w:val="none" w:sz="0" w:space="0" w:color="auto"/>
        <w:left w:val="none" w:sz="0" w:space="0" w:color="auto"/>
        <w:bottom w:val="none" w:sz="0" w:space="0" w:color="auto"/>
        <w:right w:val="none" w:sz="0" w:space="0" w:color="auto"/>
      </w:divBdr>
    </w:div>
    <w:div w:id="1441607346">
      <w:bodyDiv w:val="1"/>
      <w:marLeft w:val="0"/>
      <w:marRight w:val="0"/>
      <w:marTop w:val="0"/>
      <w:marBottom w:val="0"/>
      <w:divBdr>
        <w:top w:val="none" w:sz="0" w:space="0" w:color="auto"/>
        <w:left w:val="none" w:sz="0" w:space="0" w:color="auto"/>
        <w:bottom w:val="none" w:sz="0" w:space="0" w:color="auto"/>
        <w:right w:val="none" w:sz="0" w:space="0" w:color="auto"/>
      </w:divBdr>
    </w:div>
    <w:div w:id="1464691293">
      <w:bodyDiv w:val="1"/>
      <w:marLeft w:val="0"/>
      <w:marRight w:val="0"/>
      <w:marTop w:val="0"/>
      <w:marBottom w:val="0"/>
      <w:divBdr>
        <w:top w:val="none" w:sz="0" w:space="0" w:color="auto"/>
        <w:left w:val="none" w:sz="0" w:space="0" w:color="auto"/>
        <w:bottom w:val="none" w:sz="0" w:space="0" w:color="auto"/>
        <w:right w:val="none" w:sz="0" w:space="0" w:color="auto"/>
      </w:divBdr>
    </w:div>
    <w:div w:id="1494643151">
      <w:bodyDiv w:val="1"/>
      <w:marLeft w:val="0"/>
      <w:marRight w:val="0"/>
      <w:marTop w:val="0"/>
      <w:marBottom w:val="0"/>
      <w:divBdr>
        <w:top w:val="none" w:sz="0" w:space="0" w:color="auto"/>
        <w:left w:val="none" w:sz="0" w:space="0" w:color="auto"/>
        <w:bottom w:val="none" w:sz="0" w:space="0" w:color="auto"/>
        <w:right w:val="none" w:sz="0" w:space="0" w:color="auto"/>
      </w:divBdr>
    </w:div>
    <w:div w:id="1507549850">
      <w:bodyDiv w:val="1"/>
      <w:marLeft w:val="0"/>
      <w:marRight w:val="0"/>
      <w:marTop w:val="0"/>
      <w:marBottom w:val="0"/>
      <w:divBdr>
        <w:top w:val="none" w:sz="0" w:space="0" w:color="auto"/>
        <w:left w:val="none" w:sz="0" w:space="0" w:color="auto"/>
        <w:bottom w:val="none" w:sz="0" w:space="0" w:color="auto"/>
        <w:right w:val="none" w:sz="0" w:space="0" w:color="auto"/>
      </w:divBdr>
    </w:div>
    <w:div w:id="1575042118">
      <w:bodyDiv w:val="1"/>
      <w:marLeft w:val="0"/>
      <w:marRight w:val="0"/>
      <w:marTop w:val="0"/>
      <w:marBottom w:val="0"/>
      <w:divBdr>
        <w:top w:val="none" w:sz="0" w:space="0" w:color="auto"/>
        <w:left w:val="none" w:sz="0" w:space="0" w:color="auto"/>
        <w:bottom w:val="none" w:sz="0" w:space="0" w:color="auto"/>
        <w:right w:val="none" w:sz="0" w:space="0" w:color="auto"/>
      </w:divBdr>
    </w:div>
    <w:div w:id="1597396637">
      <w:bodyDiv w:val="1"/>
      <w:marLeft w:val="0"/>
      <w:marRight w:val="0"/>
      <w:marTop w:val="0"/>
      <w:marBottom w:val="0"/>
      <w:divBdr>
        <w:top w:val="none" w:sz="0" w:space="0" w:color="auto"/>
        <w:left w:val="none" w:sz="0" w:space="0" w:color="auto"/>
        <w:bottom w:val="none" w:sz="0" w:space="0" w:color="auto"/>
        <w:right w:val="none" w:sz="0" w:space="0" w:color="auto"/>
      </w:divBdr>
    </w:div>
    <w:div w:id="1605842965">
      <w:bodyDiv w:val="1"/>
      <w:marLeft w:val="0"/>
      <w:marRight w:val="0"/>
      <w:marTop w:val="0"/>
      <w:marBottom w:val="0"/>
      <w:divBdr>
        <w:top w:val="none" w:sz="0" w:space="0" w:color="auto"/>
        <w:left w:val="none" w:sz="0" w:space="0" w:color="auto"/>
        <w:bottom w:val="none" w:sz="0" w:space="0" w:color="auto"/>
        <w:right w:val="none" w:sz="0" w:space="0" w:color="auto"/>
      </w:divBdr>
    </w:div>
    <w:div w:id="1667710329">
      <w:bodyDiv w:val="1"/>
      <w:marLeft w:val="0"/>
      <w:marRight w:val="0"/>
      <w:marTop w:val="0"/>
      <w:marBottom w:val="0"/>
      <w:divBdr>
        <w:top w:val="none" w:sz="0" w:space="0" w:color="auto"/>
        <w:left w:val="none" w:sz="0" w:space="0" w:color="auto"/>
        <w:bottom w:val="none" w:sz="0" w:space="0" w:color="auto"/>
        <w:right w:val="none" w:sz="0" w:space="0" w:color="auto"/>
      </w:divBdr>
    </w:div>
    <w:div w:id="1676300151">
      <w:bodyDiv w:val="1"/>
      <w:marLeft w:val="0"/>
      <w:marRight w:val="0"/>
      <w:marTop w:val="0"/>
      <w:marBottom w:val="0"/>
      <w:divBdr>
        <w:top w:val="none" w:sz="0" w:space="0" w:color="auto"/>
        <w:left w:val="none" w:sz="0" w:space="0" w:color="auto"/>
        <w:bottom w:val="none" w:sz="0" w:space="0" w:color="auto"/>
        <w:right w:val="none" w:sz="0" w:space="0" w:color="auto"/>
      </w:divBdr>
    </w:div>
    <w:div w:id="1700816408">
      <w:bodyDiv w:val="1"/>
      <w:marLeft w:val="0"/>
      <w:marRight w:val="0"/>
      <w:marTop w:val="0"/>
      <w:marBottom w:val="0"/>
      <w:divBdr>
        <w:top w:val="none" w:sz="0" w:space="0" w:color="auto"/>
        <w:left w:val="none" w:sz="0" w:space="0" w:color="auto"/>
        <w:bottom w:val="none" w:sz="0" w:space="0" w:color="auto"/>
        <w:right w:val="none" w:sz="0" w:space="0" w:color="auto"/>
      </w:divBdr>
    </w:div>
    <w:div w:id="1738820145">
      <w:bodyDiv w:val="1"/>
      <w:marLeft w:val="0"/>
      <w:marRight w:val="0"/>
      <w:marTop w:val="0"/>
      <w:marBottom w:val="0"/>
      <w:divBdr>
        <w:top w:val="none" w:sz="0" w:space="0" w:color="auto"/>
        <w:left w:val="none" w:sz="0" w:space="0" w:color="auto"/>
        <w:bottom w:val="none" w:sz="0" w:space="0" w:color="auto"/>
        <w:right w:val="none" w:sz="0" w:space="0" w:color="auto"/>
      </w:divBdr>
    </w:div>
    <w:div w:id="1753550063">
      <w:bodyDiv w:val="1"/>
      <w:marLeft w:val="0"/>
      <w:marRight w:val="0"/>
      <w:marTop w:val="0"/>
      <w:marBottom w:val="0"/>
      <w:divBdr>
        <w:top w:val="none" w:sz="0" w:space="0" w:color="auto"/>
        <w:left w:val="none" w:sz="0" w:space="0" w:color="auto"/>
        <w:bottom w:val="none" w:sz="0" w:space="0" w:color="auto"/>
        <w:right w:val="none" w:sz="0" w:space="0" w:color="auto"/>
      </w:divBdr>
    </w:div>
    <w:div w:id="1778015123">
      <w:bodyDiv w:val="1"/>
      <w:marLeft w:val="0"/>
      <w:marRight w:val="0"/>
      <w:marTop w:val="0"/>
      <w:marBottom w:val="0"/>
      <w:divBdr>
        <w:top w:val="none" w:sz="0" w:space="0" w:color="auto"/>
        <w:left w:val="none" w:sz="0" w:space="0" w:color="auto"/>
        <w:bottom w:val="none" w:sz="0" w:space="0" w:color="auto"/>
        <w:right w:val="none" w:sz="0" w:space="0" w:color="auto"/>
      </w:divBdr>
    </w:div>
    <w:div w:id="1781678677">
      <w:bodyDiv w:val="1"/>
      <w:marLeft w:val="0"/>
      <w:marRight w:val="0"/>
      <w:marTop w:val="0"/>
      <w:marBottom w:val="0"/>
      <w:divBdr>
        <w:top w:val="none" w:sz="0" w:space="0" w:color="auto"/>
        <w:left w:val="none" w:sz="0" w:space="0" w:color="auto"/>
        <w:bottom w:val="none" w:sz="0" w:space="0" w:color="auto"/>
        <w:right w:val="none" w:sz="0" w:space="0" w:color="auto"/>
      </w:divBdr>
    </w:div>
    <w:div w:id="1784812195">
      <w:bodyDiv w:val="1"/>
      <w:marLeft w:val="0"/>
      <w:marRight w:val="0"/>
      <w:marTop w:val="0"/>
      <w:marBottom w:val="0"/>
      <w:divBdr>
        <w:top w:val="none" w:sz="0" w:space="0" w:color="auto"/>
        <w:left w:val="none" w:sz="0" w:space="0" w:color="auto"/>
        <w:bottom w:val="none" w:sz="0" w:space="0" w:color="auto"/>
        <w:right w:val="none" w:sz="0" w:space="0" w:color="auto"/>
      </w:divBdr>
    </w:div>
    <w:div w:id="1786729131">
      <w:bodyDiv w:val="1"/>
      <w:marLeft w:val="0"/>
      <w:marRight w:val="0"/>
      <w:marTop w:val="0"/>
      <w:marBottom w:val="0"/>
      <w:divBdr>
        <w:top w:val="none" w:sz="0" w:space="0" w:color="auto"/>
        <w:left w:val="none" w:sz="0" w:space="0" w:color="auto"/>
        <w:bottom w:val="none" w:sz="0" w:space="0" w:color="auto"/>
        <w:right w:val="none" w:sz="0" w:space="0" w:color="auto"/>
      </w:divBdr>
    </w:div>
    <w:div w:id="1833252041">
      <w:bodyDiv w:val="1"/>
      <w:marLeft w:val="0"/>
      <w:marRight w:val="0"/>
      <w:marTop w:val="0"/>
      <w:marBottom w:val="0"/>
      <w:divBdr>
        <w:top w:val="none" w:sz="0" w:space="0" w:color="auto"/>
        <w:left w:val="none" w:sz="0" w:space="0" w:color="auto"/>
        <w:bottom w:val="none" w:sz="0" w:space="0" w:color="auto"/>
        <w:right w:val="none" w:sz="0" w:space="0" w:color="auto"/>
      </w:divBdr>
    </w:div>
    <w:div w:id="1843003981">
      <w:bodyDiv w:val="1"/>
      <w:marLeft w:val="0"/>
      <w:marRight w:val="0"/>
      <w:marTop w:val="0"/>
      <w:marBottom w:val="0"/>
      <w:divBdr>
        <w:top w:val="none" w:sz="0" w:space="0" w:color="auto"/>
        <w:left w:val="none" w:sz="0" w:space="0" w:color="auto"/>
        <w:bottom w:val="none" w:sz="0" w:space="0" w:color="auto"/>
        <w:right w:val="none" w:sz="0" w:space="0" w:color="auto"/>
      </w:divBdr>
    </w:div>
    <w:div w:id="1868906527">
      <w:bodyDiv w:val="1"/>
      <w:marLeft w:val="0"/>
      <w:marRight w:val="0"/>
      <w:marTop w:val="0"/>
      <w:marBottom w:val="0"/>
      <w:divBdr>
        <w:top w:val="none" w:sz="0" w:space="0" w:color="auto"/>
        <w:left w:val="none" w:sz="0" w:space="0" w:color="auto"/>
        <w:bottom w:val="none" w:sz="0" w:space="0" w:color="auto"/>
        <w:right w:val="none" w:sz="0" w:space="0" w:color="auto"/>
      </w:divBdr>
    </w:div>
    <w:div w:id="1905681778">
      <w:bodyDiv w:val="1"/>
      <w:marLeft w:val="0"/>
      <w:marRight w:val="0"/>
      <w:marTop w:val="0"/>
      <w:marBottom w:val="0"/>
      <w:divBdr>
        <w:top w:val="none" w:sz="0" w:space="0" w:color="auto"/>
        <w:left w:val="none" w:sz="0" w:space="0" w:color="auto"/>
        <w:bottom w:val="none" w:sz="0" w:space="0" w:color="auto"/>
        <w:right w:val="none" w:sz="0" w:space="0" w:color="auto"/>
      </w:divBdr>
    </w:div>
    <w:div w:id="2008097455">
      <w:bodyDiv w:val="1"/>
      <w:marLeft w:val="0"/>
      <w:marRight w:val="0"/>
      <w:marTop w:val="0"/>
      <w:marBottom w:val="0"/>
      <w:divBdr>
        <w:top w:val="none" w:sz="0" w:space="0" w:color="auto"/>
        <w:left w:val="none" w:sz="0" w:space="0" w:color="auto"/>
        <w:bottom w:val="none" w:sz="0" w:space="0" w:color="auto"/>
        <w:right w:val="none" w:sz="0" w:space="0" w:color="auto"/>
      </w:divBdr>
    </w:div>
    <w:div w:id="2032761001">
      <w:bodyDiv w:val="1"/>
      <w:marLeft w:val="0"/>
      <w:marRight w:val="0"/>
      <w:marTop w:val="0"/>
      <w:marBottom w:val="0"/>
      <w:divBdr>
        <w:top w:val="none" w:sz="0" w:space="0" w:color="auto"/>
        <w:left w:val="none" w:sz="0" w:space="0" w:color="auto"/>
        <w:bottom w:val="none" w:sz="0" w:space="0" w:color="auto"/>
        <w:right w:val="none" w:sz="0" w:space="0" w:color="auto"/>
      </w:divBdr>
    </w:div>
    <w:div w:id="2034451852">
      <w:bodyDiv w:val="1"/>
      <w:marLeft w:val="0"/>
      <w:marRight w:val="0"/>
      <w:marTop w:val="0"/>
      <w:marBottom w:val="0"/>
      <w:divBdr>
        <w:top w:val="none" w:sz="0" w:space="0" w:color="auto"/>
        <w:left w:val="none" w:sz="0" w:space="0" w:color="auto"/>
        <w:bottom w:val="none" w:sz="0" w:space="0" w:color="auto"/>
        <w:right w:val="none" w:sz="0" w:space="0" w:color="auto"/>
      </w:divBdr>
    </w:div>
    <w:div w:id="2086292959">
      <w:bodyDiv w:val="1"/>
      <w:marLeft w:val="0"/>
      <w:marRight w:val="0"/>
      <w:marTop w:val="0"/>
      <w:marBottom w:val="0"/>
      <w:divBdr>
        <w:top w:val="none" w:sz="0" w:space="0" w:color="auto"/>
        <w:left w:val="none" w:sz="0" w:space="0" w:color="auto"/>
        <w:bottom w:val="none" w:sz="0" w:space="0" w:color="auto"/>
        <w:right w:val="none" w:sz="0" w:space="0" w:color="auto"/>
      </w:divBdr>
    </w:div>
    <w:div w:id="2091809801">
      <w:bodyDiv w:val="1"/>
      <w:marLeft w:val="0"/>
      <w:marRight w:val="0"/>
      <w:marTop w:val="0"/>
      <w:marBottom w:val="0"/>
      <w:divBdr>
        <w:top w:val="none" w:sz="0" w:space="0" w:color="auto"/>
        <w:left w:val="none" w:sz="0" w:space="0" w:color="auto"/>
        <w:bottom w:val="none" w:sz="0" w:space="0" w:color="auto"/>
        <w:right w:val="none" w:sz="0" w:space="0" w:color="auto"/>
      </w:divBdr>
    </w:div>
    <w:div w:id="2124298746">
      <w:bodyDiv w:val="1"/>
      <w:marLeft w:val="0"/>
      <w:marRight w:val="0"/>
      <w:marTop w:val="0"/>
      <w:marBottom w:val="0"/>
      <w:divBdr>
        <w:top w:val="none" w:sz="0" w:space="0" w:color="auto"/>
        <w:left w:val="none" w:sz="0" w:space="0" w:color="auto"/>
        <w:bottom w:val="none" w:sz="0" w:space="0" w:color="auto"/>
        <w:right w:val="none" w:sz="0" w:space="0" w:color="auto"/>
      </w:divBdr>
    </w:div>
    <w:div w:id="2134445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image" Target="media/image3.emf"/><Relationship Id="rId42" Type="http://schemas.openxmlformats.org/officeDocument/2006/relationships/hyperlink" Target="mailto:vrqa@education.vic.gov.au" TargetMode="External"/><Relationship Id="rId47" Type="http://schemas.openxmlformats.org/officeDocument/2006/relationships/hyperlink" Target="http://www.data.vic.gov.au" TargetMode="External"/><Relationship Id="rId63" Type="http://schemas.openxmlformats.org/officeDocument/2006/relationships/footer" Target="footer6.xml"/><Relationship Id="rId68" Type="http://schemas.openxmlformats.org/officeDocument/2006/relationships/header" Target="header7.xml"/><Relationship Id="rId16" Type="http://schemas.openxmlformats.org/officeDocument/2006/relationships/hyperlink" Target="mailto:copyright@edumail.vic.gov.au?subject=Copyright%20enquiry" TargetMode="External"/><Relationship Id="rId11" Type="http://schemas.openxmlformats.org/officeDocument/2006/relationships/header" Target="header1.xml"/><Relationship Id="rId24" Type="http://schemas.openxmlformats.org/officeDocument/2006/relationships/diagramData" Target="diagrams/data1.xml"/><Relationship Id="rId32" Type="http://schemas.openxmlformats.org/officeDocument/2006/relationships/chart" Target="charts/chart3.xml"/><Relationship Id="rId37" Type="http://schemas.openxmlformats.org/officeDocument/2006/relationships/hyperlink" Target="http://www.procurement.vic.gov.au" TargetMode="External"/><Relationship Id="rId40" Type="http://schemas.openxmlformats.org/officeDocument/2006/relationships/hyperlink" Target="mailto:foi@education.vic.gov.au" TargetMode="External"/><Relationship Id="rId45" Type="http://schemas.openxmlformats.org/officeDocument/2006/relationships/hyperlink" Target="mailto:dab@education.vic.gov.au" TargetMode="External"/><Relationship Id="rId53" Type="http://schemas.openxmlformats.org/officeDocument/2006/relationships/hyperlink" Target="https://www.education.vic.gov.au/hrweb/Documents/DisabilityEmploymentPlan.pdf" TargetMode="External"/><Relationship Id="rId58" Type="http://schemas.openxmlformats.org/officeDocument/2006/relationships/header" Target="header3.xml"/><Relationship Id="rId66" Type="http://schemas.openxmlformats.org/officeDocument/2006/relationships/footer" Target="footer8.xml"/><Relationship Id="rId74" Type="http://schemas.openxmlformats.org/officeDocument/2006/relationships/footer" Target="footer11.xml"/><Relationship Id="rId5" Type="http://schemas.openxmlformats.org/officeDocument/2006/relationships/numbering" Target="numbering.xml"/><Relationship Id="rId61" Type="http://schemas.openxmlformats.org/officeDocument/2006/relationships/header" Target="header4.xml"/><Relationship Id="rId19" Type="http://schemas.openxmlformats.org/officeDocument/2006/relationships/header" Target="header2.xml"/><Relationship Id="rId14" Type="http://schemas.openxmlformats.org/officeDocument/2006/relationships/hyperlink" Target="http://creativecommons.org/licenses/by/4.0/au/" TargetMode="External"/><Relationship Id="rId22" Type="http://schemas.openxmlformats.org/officeDocument/2006/relationships/footer" Target="footer2.xml"/><Relationship Id="rId27" Type="http://schemas.openxmlformats.org/officeDocument/2006/relationships/diagramColors" Target="diagrams/colors1.xml"/><Relationship Id="rId30" Type="http://schemas.openxmlformats.org/officeDocument/2006/relationships/chart" Target="charts/chart1.xml"/><Relationship Id="rId35" Type="http://schemas.openxmlformats.org/officeDocument/2006/relationships/footer" Target="footer4.xml"/><Relationship Id="rId43" Type="http://schemas.openxmlformats.org/officeDocument/2006/relationships/hyperlink" Target="mailto:meritboards@education.vic.gov.au" TargetMode="External"/><Relationship Id="rId48" Type="http://schemas.openxmlformats.org/officeDocument/2006/relationships/hyperlink" Target="https://www.dtf.vic.gov.au/infrastructure-investment/asset-management-accountability-framework" TargetMode="External"/><Relationship Id="rId56" Type="http://schemas.openxmlformats.org/officeDocument/2006/relationships/hyperlink" Target="http://www.education.vic.gov.au/about/department/Pages/annualreports.aspx" TargetMode="External"/><Relationship Id="rId64" Type="http://schemas.openxmlformats.org/officeDocument/2006/relationships/footer" Target="footer7.xml"/><Relationship Id="rId69" Type="http://schemas.openxmlformats.org/officeDocument/2006/relationships/header" Target="header8.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ibac.vic.gov.au" TargetMode="External"/><Relationship Id="rId72"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hyperlink" Target="http://creativecommons.org/licenses/by/3.0/au/" TargetMode="External"/><Relationship Id="rId17" Type="http://schemas.openxmlformats.org/officeDocument/2006/relationships/hyperlink" Target="mailto:edline@vic.gov.au?subject=Accessible%20Annual%20Report%202014-15" TargetMode="External"/><Relationship Id="rId25" Type="http://schemas.openxmlformats.org/officeDocument/2006/relationships/diagramLayout" Target="diagrams/layout1.xml"/><Relationship Id="rId33" Type="http://schemas.openxmlformats.org/officeDocument/2006/relationships/image" Target="media/image8.png"/><Relationship Id="rId38" Type="http://schemas.openxmlformats.org/officeDocument/2006/relationships/hyperlink" Target="http://www.education.vic.gov.au/about/working/Pages/foi.aspx" TargetMode="External"/><Relationship Id="rId46" Type="http://schemas.openxmlformats.org/officeDocument/2006/relationships/hyperlink" Target="http://www.foi.vic.gov.au" TargetMode="External"/><Relationship Id="rId59" Type="http://schemas.openxmlformats.org/officeDocument/2006/relationships/footer" Target="footer5.xml"/><Relationship Id="rId67" Type="http://schemas.openxmlformats.org/officeDocument/2006/relationships/image" Target="media/image14.png"/><Relationship Id="rId20" Type="http://schemas.openxmlformats.org/officeDocument/2006/relationships/footer" Target="footer1.xml"/><Relationship Id="rId41" Type="http://schemas.openxmlformats.org/officeDocument/2006/relationships/hyperlink" Target="mailto:vcaa.foi@education.vic.gov.au" TargetMode="External"/><Relationship Id="rId54" Type="http://schemas.openxmlformats.org/officeDocument/2006/relationships/hyperlink" Target="http://www.education.vic.gov.au/about/working/Pages/fees.aspx" TargetMode="External"/><Relationship Id="rId62" Type="http://schemas.openxmlformats.org/officeDocument/2006/relationships/header" Target="header5.xml"/><Relationship Id="rId70" Type="http://schemas.openxmlformats.org/officeDocument/2006/relationships/footer" Target="footer9.xml"/><Relationship Id="rId75"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reativecommons.org/licenses/by/4.0/deed.en" TargetMode="External"/><Relationship Id="rId23" Type="http://schemas.openxmlformats.org/officeDocument/2006/relationships/footer" Target="footer3.xml"/><Relationship Id="rId28" Type="http://schemas.microsoft.com/office/2007/relationships/diagramDrawing" Target="diagrams/drawing1.xml"/><Relationship Id="rId36" Type="http://schemas.openxmlformats.org/officeDocument/2006/relationships/hyperlink" Target="http://www.education.vic.gov.au" TargetMode="External"/><Relationship Id="rId49" Type="http://schemas.openxmlformats.org/officeDocument/2006/relationships/chart" Target="charts/chart4.xml"/><Relationship Id="rId57" Type="http://schemas.openxmlformats.org/officeDocument/2006/relationships/image" Target="media/image12.emf"/><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hyperlink" Target="mailto:vit@vit.vic.edu.au" TargetMode="External"/><Relationship Id="rId52" Type="http://schemas.openxmlformats.org/officeDocument/2006/relationships/hyperlink" Target="http://www.education.vic.gov.au/about/contact/Pages/reportingfraud.aspx" TargetMode="External"/><Relationship Id="rId60" Type="http://schemas.openxmlformats.org/officeDocument/2006/relationships/image" Target="media/image13.png"/><Relationship Id="rId65" Type="http://schemas.openxmlformats.org/officeDocument/2006/relationships/header" Target="header6.xml"/><Relationship Id="rId73" Type="http://schemas.openxmlformats.org/officeDocument/2006/relationships/header" Target="header10.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www.education.vic.gov.au" TargetMode="External"/><Relationship Id="rId39" Type="http://schemas.openxmlformats.org/officeDocument/2006/relationships/hyperlink" Target="http://www.education.vic.gov.au/about/working/Pages/foi.aspx" TargetMode="External"/><Relationship Id="rId34" Type="http://schemas.openxmlformats.org/officeDocument/2006/relationships/image" Target="media/image9.png"/><Relationship Id="rId50" Type="http://schemas.openxmlformats.org/officeDocument/2006/relationships/image" Target="media/image11.png"/><Relationship Id="rId55" Type="http://schemas.openxmlformats.org/officeDocument/2006/relationships/hyperlink" Target="http://www.education.vic.gov.au" TargetMode="External"/><Relationship Id="rId76"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header" Target="header9.xml"/><Relationship Id="rId2" Type="http://schemas.openxmlformats.org/officeDocument/2006/relationships/customXml" Target="../customXml/item2.xml"/><Relationship Id="rId29"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AUSSTATS/abs@.nsf/Lookup/6227.0Explanatory%20Notes1May%202018?OpenDocu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ducation.vic.gov.au\share\HRD\Workers%20Compensation\Annual%20Report\2020%202021\Annual%20Report%20Tables%20and%20Charts%202020-2021%20V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ducation.vic.gov.au\share\HRD\Workers%20Compensation\Annual%20Report\2020%202021\Annual%20Report%20Tables%20and%20Charts%202020-2021%20V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ducation.vic.gov.au\share\HRD\Workers%20Compensation\Annual%20Report\2020%202021\Annual%20Report%20Tables%20and%20Charts%202020-2021%20V2.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042897\Downloads\AMAF%20Compliance%20tool%20(May%202021%20updates)%20(1).XLSX" TargetMode="External"/><Relationship Id="rId1" Type="http://schemas.openxmlformats.org/officeDocument/2006/relationships/image" Target="../media/image10.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182504360867936"/>
          <c:y val="0.15351560109386422"/>
          <c:w val="0.6970262956260902"/>
          <c:h val="0.63332283464566941"/>
        </c:manualLayout>
      </c:layout>
      <c:lineChart>
        <c:grouping val="standard"/>
        <c:varyColors val="0"/>
        <c:ser>
          <c:idx val="0"/>
          <c:order val="0"/>
          <c:tx>
            <c:strRef>
              <c:f>'Charting Data'!$P$16</c:f>
              <c:strCache>
                <c:ptCount val="1"/>
                <c:pt idx="0">
                  <c:v>Standard claims</c:v>
                </c:pt>
              </c:strCache>
            </c:strRef>
          </c:tx>
          <c:spPr>
            <a:ln w="25400">
              <a:solidFill>
                <a:schemeClr val="tx1">
                  <a:lumMod val="95000"/>
                  <a:lumOff val="5000"/>
                </a:schemeClr>
              </a:solidFill>
              <a:prstDash val="solid"/>
            </a:ln>
          </c:spPr>
          <c:marker>
            <c:symbol val="diamond"/>
            <c:size val="7"/>
            <c:spPr>
              <a:solidFill>
                <a:schemeClr val="tx1">
                  <a:lumMod val="95000"/>
                  <a:lumOff val="5000"/>
                </a:schemeClr>
              </a:solidFill>
              <a:ln>
                <a:solidFill>
                  <a:schemeClr val="tx1">
                    <a:lumMod val="95000"/>
                    <a:lumOff val="5000"/>
                  </a:schemeClr>
                </a:solidFill>
                <a:prstDash val="solid"/>
              </a:ln>
            </c:spPr>
          </c:marker>
          <c:cat>
            <c:strRef>
              <c:f>'Charting Data'!$S$7:$U$7</c:f>
              <c:strCache>
                <c:ptCount val="3"/>
                <c:pt idx="0">
                  <c:v>2018-19</c:v>
                </c:pt>
                <c:pt idx="1">
                  <c:v>2019-20</c:v>
                </c:pt>
                <c:pt idx="2">
                  <c:v>2020-21</c:v>
                </c:pt>
              </c:strCache>
            </c:strRef>
          </c:cat>
          <c:val>
            <c:numRef>
              <c:f>'Charting Data'!$S$16:$U$16</c:f>
              <c:numCache>
                <c:formatCode>_-* #,##0_-;\-* #,##0_-;_-* "-"??_-;_-@_-</c:formatCode>
                <c:ptCount val="3"/>
                <c:pt idx="0">
                  <c:v>867</c:v>
                </c:pt>
                <c:pt idx="1">
                  <c:v>843</c:v>
                </c:pt>
                <c:pt idx="2">
                  <c:v>773</c:v>
                </c:pt>
              </c:numCache>
            </c:numRef>
          </c:val>
          <c:smooth val="0"/>
          <c:extLst>
            <c:ext xmlns:c16="http://schemas.microsoft.com/office/drawing/2014/chart" uri="{C3380CC4-5D6E-409C-BE32-E72D297353CC}">
              <c16:uniqueId val="{00000000-617B-447C-A5AE-C9F1A815E15E}"/>
            </c:ext>
          </c:extLst>
        </c:ser>
        <c:ser>
          <c:idx val="1"/>
          <c:order val="1"/>
          <c:tx>
            <c:strRef>
              <c:f>'Charting Data'!$P$17</c:f>
              <c:strCache>
                <c:ptCount val="1"/>
                <c:pt idx="0">
                  <c:v>Rate per 100 FTE</c:v>
                </c:pt>
              </c:strCache>
            </c:strRef>
          </c:tx>
          <c:spPr>
            <a:ln w="25400">
              <a:solidFill>
                <a:schemeClr val="bg1">
                  <a:lumMod val="50000"/>
                </a:schemeClr>
              </a:solidFill>
              <a:prstDash val="solid"/>
            </a:ln>
          </c:spPr>
          <c:marker>
            <c:symbol val="square"/>
            <c:size val="7"/>
            <c:spPr>
              <a:solidFill>
                <a:schemeClr val="bg1">
                  <a:lumMod val="50000"/>
                </a:schemeClr>
              </a:solidFill>
              <a:ln>
                <a:solidFill>
                  <a:schemeClr val="bg1">
                    <a:lumMod val="50000"/>
                  </a:schemeClr>
                </a:solidFill>
                <a:prstDash val="solid"/>
              </a:ln>
            </c:spPr>
          </c:marker>
          <c:cat>
            <c:strRef>
              <c:f>'Charting Data'!$S$7:$U$7</c:f>
              <c:strCache>
                <c:ptCount val="3"/>
                <c:pt idx="0">
                  <c:v>2018-19</c:v>
                </c:pt>
                <c:pt idx="1">
                  <c:v>2019-20</c:v>
                </c:pt>
                <c:pt idx="2">
                  <c:v>2020-21</c:v>
                </c:pt>
              </c:strCache>
            </c:strRef>
          </c:cat>
          <c:val>
            <c:numRef>
              <c:f>'Charting Data'!$S$17:$U$17</c:f>
              <c:numCache>
                <c:formatCode>_-* #,##0.00_-;\-* #,##0.00_-;_-* "-"???_-;_-@_-</c:formatCode>
                <c:ptCount val="3"/>
                <c:pt idx="0">
                  <c:v>1.2724606924123476</c:v>
                </c:pt>
                <c:pt idx="1">
                  <c:v>1.2051878835013641</c:v>
                </c:pt>
                <c:pt idx="2">
                  <c:v>1.0553909588629629</c:v>
                </c:pt>
              </c:numCache>
            </c:numRef>
          </c:val>
          <c:smooth val="0"/>
          <c:extLst>
            <c:ext xmlns:c16="http://schemas.microsoft.com/office/drawing/2014/chart" uri="{C3380CC4-5D6E-409C-BE32-E72D297353CC}">
              <c16:uniqueId val="{00000001-617B-447C-A5AE-C9F1A815E15E}"/>
            </c:ext>
          </c:extLst>
        </c:ser>
        <c:dLbls>
          <c:showLegendKey val="0"/>
          <c:showVal val="0"/>
          <c:showCatName val="0"/>
          <c:showSerName val="0"/>
          <c:showPercent val="0"/>
          <c:showBubbleSize val="0"/>
        </c:dLbls>
        <c:marker val="1"/>
        <c:smooth val="0"/>
        <c:axId val="151496192"/>
        <c:axId val="151498112"/>
      </c:lineChart>
      <c:catAx>
        <c:axId val="151496192"/>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a:pPr>
            <a:endParaRPr lang="en-US"/>
          </a:p>
        </c:txPr>
        <c:crossAx val="151498112"/>
        <c:crosses val="autoZero"/>
        <c:auto val="1"/>
        <c:lblAlgn val="ctr"/>
        <c:lblOffset val="100"/>
        <c:tickMarkSkip val="1"/>
        <c:noMultiLvlLbl val="0"/>
      </c:catAx>
      <c:valAx>
        <c:axId val="151498112"/>
        <c:scaling>
          <c:logBase val="10"/>
          <c:orientation val="minMax"/>
          <c:max val="1000"/>
        </c:scaling>
        <c:delete val="0"/>
        <c:axPos val="l"/>
        <c:majorGridlines>
          <c:spPr>
            <a:ln w="3175">
              <a:solidFill>
                <a:srgbClr val="969696"/>
              </a:solidFill>
              <a:prstDash val="sysDash"/>
            </a:ln>
          </c:spPr>
        </c:majorGridlines>
        <c:numFmt formatCode="_-* #\ ##0_-;\-* #\ ##0_-;_-* &quot;-&quot;??_-;_-@_-" sourceLinked="0"/>
        <c:majorTickMark val="out"/>
        <c:minorTickMark val="none"/>
        <c:tickLblPos val="nextTo"/>
        <c:spPr>
          <a:ln w="3175">
            <a:solidFill>
              <a:srgbClr val="969696"/>
            </a:solidFill>
            <a:prstDash val="solid"/>
          </a:ln>
        </c:spPr>
        <c:txPr>
          <a:bodyPr rot="0" vert="horz"/>
          <a:lstStyle/>
          <a:p>
            <a:pPr>
              <a:defRPr sz="800">
                <a:latin typeface="Arial" panose="020B0604020202020204" pitchFamily="34" charset="0"/>
                <a:cs typeface="Arial" panose="020B0604020202020204" pitchFamily="34" charset="0"/>
              </a:defRPr>
            </a:pPr>
            <a:endParaRPr lang="en-US"/>
          </a:p>
        </c:txPr>
        <c:crossAx val="151496192"/>
        <c:crosses val="autoZero"/>
        <c:crossBetween val="between"/>
      </c:valAx>
      <c:dTable>
        <c:showHorzBorder val="1"/>
        <c:showVertBorder val="1"/>
        <c:showOutline val="0"/>
        <c:showKeys val="1"/>
        <c:spPr>
          <a:ln w="3175">
            <a:solidFill>
              <a:srgbClr val="969696"/>
            </a:solidFill>
            <a:prstDash val="solid"/>
          </a:ln>
        </c:spPr>
        <c:txPr>
          <a:bodyPr/>
          <a:lstStyle/>
          <a:p>
            <a:pPr rtl="0">
              <a:defRPr sz="800">
                <a:latin typeface="Arial" panose="020B0604020202020204" pitchFamily="34" charset="0"/>
                <a:cs typeface="Arial" panose="020B0604020202020204" pitchFamily="34" charset="0"/>
              </a:defRPr>
            </a:pPr>
            <a:endParaRPr lang="en-US"/>
          </a:p>
        </c:txPr>
      </c:dTable>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53908778233348"/>
          <c:y val="0.13192836900800642"/>
          <c:w val="0.67026738845144362"/>
          <c:h val="0.60460398332561371"/>
        </c:manualLayout>
      </c:layout>
      <c:lineChart>
        <c:grouping val="standard"/>
        <c:varyColors val="0"/>
        <c:ser>
          <c:idx val="0"/>
          <c:order val="0"/>
          <c:tx>
            <c:strRef>
              <c:f>'Charting Data'!$P$18</c:f>
              <c:strCache>
                <c:ptCount val="1"/>
                <c:pt idx="0">
                  <c:v>Lost Time Claims</c:v>
                </c:pt>
              </c:strCache>
            </c:strRef>
          </c:tx>
          <c:spPr>
            <a:ln w="25400">
              <a:solidFill>
                <a:schemeClr val="tx1">
                  <a:lumMod val="95000"/>
                  <a:lumOff val="5000"/>
                </a:schemeClr>
              </a:solidFill>
              <a:prstDash val="solid"/>
            </a:ln>
          </c:spPr>
          <c:marker>
            <c:symbol val="diamond"/>
            <c:size val="7"/>
            <c:spPr>
              <a:solidFill>
                <a:schemeClr val="tx1">
                  <a:lumMod val="95000"/>
                  <a:lumOff val="5000"/>
                </a:schemeClr>
              </a:solidFill>
              <a:ln>
                <a:solidFill>
                  <a:schemeClr val="tx1">
                    <a:lumMod val="95000"/>
                    <a:lumOff val="5000"/>
                  </a:schemeClr>
                </a:solidFill>
                <a:prstDash val="solid"/>
              </a:ln>
            </c:spPr>
          </c:marker>
          <c:cat>
            <c:strRef>
              <c:f>'Charting Data'!$S$7:$U$7</c:f>
              <c:strCache>
                <c:ptCount val="3"/>
                <c:pt idx="0">
                  <c:v>2018-19</c:v>
                </c:pt>
                <c:pt idx="1">
                  <c:v>2019-20</c:v>
                </c:pt>
                <c:pt idx="2">
                  <c:v>2020-21</c:v>
                </c:pt>
              </c:strCache>
            </c:strRef>
          </c:cat>
          <c:val>
            <c:numRef>
              <c:f>'Charting Data'!$S$18:$U$18</c:f>
              <c:numCache>
                <c:formatCode>_-* #,##0_-;\-* #,##0_-;_-* "-"??_-;_-@_-</c:formatCode>
                <c:ptCount val="3"/>
                <c:pt idx="0">
                  <c:v>419</c:v>
                </c:pt>
                <c:pt idx="1">
                  <c:v>458</c:v>
                </c:pt>
                <c:pt idx="2">
                  <c:v>377</c:v>
                </c:pt>
              </c:numCache>
            </c:numRef>
          </c:val>
          <c:smooth val="0"/>
          <c:extLst>
            <c:ext xmlns:c16="http://schemas.microsoft.com/office/drawing/2014/chart" uri="{C3380CC4-5D6E-409C-BE32-E72D297353CC}">
              <c16:uniqueId val="{00000000-2951-4FD4-9A38-44FCE26248FE}"/>
            </c:ext>
          </c:extLst>
        </c:ser>
        <c:ser>
          <c:idx val="1"/>
          <c:order val="1"/>
          <c:tx>
            <c:strRef>
              <c:f>'Charting Data'!$P$19</c:f>
              <c:strCache>
                <c:ptCount val="1"/>
                <c:pt idx="0">
                  <c:v>Rate per 100 FTE</c:v>
                </c:pt>
              </c:strCache>
            </c:strRef>
          </c:tx>
          <c:spPr>
            <a:ln w="25400">
              <a:solidFill>
                <a:schemeClr val="bg1">
                  <a:lumMod val="50000"/>
                </a:schemeClr>
              </a:solidFill>
              <a:prstDash val="solid"/>
            </a:ln>
          </c:spPr>
          <c:marker>
            <c:symbol val="square"/>
            <c:size val="7"/>
            <c:spPr>
              <a:solidFill>
                <a:schemeClr val="bg1">
                  <a:lumMod val="50000"/>
                </a:schemeClr>
              </a:solidFill>
              <a:ln>
                <a:solidFill>
                  <a:schemeClr val="bg1">
                    <a:lumMod val="50000"/>
                  </a:schemeClr>
                </a:solidFill>
                <a:prstDash val="solid"/>
              </a:ln>
            </c:spPr>
          </c:marker>
          <c:cat>
            <c:strRef>
              <c:f>'Charting Data'!$S$7:$U$7</c:f>
              <c:strCache>
                <c:ptCount val="3"/>
                <c:pt idx="0">
                  <c:v>2018-19</c:v>
                </c:pt>
                <c:pt idx="1">
                  <c:v>2019-20</c:v>
                </c:pt>
                <c:pt idx="2">
                  <c:v>2020-21</c:v>
                </c:pt>
              </c:strCache>
            </c:strRef>
          </c:cat>
          <c:val>
            <c:numRef>
              <c:f>'Charting Data'!$S$19:$U$19</c:f>
              <c:numCache>
                <c:formatCode>_(* #,##0.00_);_(* \(#,##0.00\);_(* "-"??_);_(@_)</c:formatCode>
                <c:ptCount val="3"/>
                <c:pt idx="0">
                  <c:v>0.61494928502972745</c:v>
                </c:pt>
                <c:pt idx="1">
                  <c:v>0.65477586078721794</c:v>
                </c:pt>
                <c:pt idx="2">
                  <c:v>0.51472495665114748</c:v>
                </c:pt>
              </c:numCache>
            </c:numRef>
          </c:val>
          <c:smooth val="0"/>
          <c:extLst>
            <c:ext xmlns:c16="http://schemas.microsoft.com/office/drawing/2014/chart" uri="{C3380CC4-5D6E-409C-BE32-E72D297353CC}">
              <c16:uniqueId val="{00000001-2951-4FD4-9A38-44FCE26248FE}"/>
            </c:ext>
          </c:extLst>
        </c:ser>
        <c:dLbls>
          <c:showLegendKey val="0"/>
          <c:showVal val="0"/>
          <c:showCatName val="0"/>
          <c:showSerName val="0"/>
          <c:showPercent val="0"/>
          <c:showBubbleSize val="0"/>
        </c:dLbls>
        <c:marker val="1"/>
        <c:smooth val="0"/>
        <c:axId val="151622784"/>
        <c:axId val="151624704"/>
      </c:lineChart>
      <c:catAx>
        <c:axId val="151622784"/>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a:pPr>
            <a:endParaRPr lang="en-US"/>
          </a:p>
        </c:txPr>
        <c:crossAx val="151624704"/>
        <c:crosses val="autoZero"/>
        <c:auto val="1"/>
        <c:lblAlgn val="ctr"/>
        <c:lblOffset val="100"/>
        <c:tickMarkSkip val="1"/>
        <c:noMultiLvlLbl val="0"/>
      </c:catAx>
      <c:valAx>
        <c:axId val="151624704"/>
        <c:scaling>
          <c:logBase val="10"/>
          <c:orientation val="minMax"/>
        </c:scaling>
        <c:delete val="0"/>
        <c:axPos val="l"/>
        <c:majorGridlines>
          <c:spPr>
            <a:ln w="3175">
              <a:solidFill>
                <a:srgbClr val="969696"/>
              </a:solidFill>
              <a:prstDash val="sysDash"/>
            </a:ln>
          </c:spPr>
        </c:majorGridlines>
        <c:numFmt formatCode="_-* #,##0_-;\-* #,##0_-;_-* &quot;-&quot;??_-;_-@_-" sourceLinked="1"/>
        <c:majorTickMark val="out"/>
        <c:minorTickMark val="none"/>
        <c:tickLblPos val="nextTo"/>
        <c:spPr>
          <a:ln w="3175">
            <a:solidFill>
              <a:srgbClr val="969696"/>
            </a:solidFill>
            <a:prstDash val="solid"/>
          </a:ln>
        </c:spPr>
        <c:txPr>
          <a:bodyPr rot="0" vert="horz"/>
          <a:lstStyle/>
          <a:p>
            <a:pPr>
              <a:defRPr sz="800" baseline="0">
                <a:latin typeface="Arial" panose="020B0604020202020204" pitchFamily="34" charset="0"/>
                <a:cs typeface="Arial" panose="020B0604020202020204" pitchFamily="34" charset="0"/>
              </a:defRPr>
            </a:pPr>
            <a:endParaRPr lang="en-US"/>
          </a:p>
        </c:txPr>
        <c:crossAx val="151622784"/>
        <c:crosses val="autoZero"/>
        <c:crossBetween val="between"/>
      </c:valAx>
      <c:dTable>
        <c:showHorzBorder val="1"/>
        <c:showVertBorder val="1"/>
        <c:showOutline val="0"/>
        <c:showKeys val="1"/>
        <c:spPr>
          <a:ln w="3175">
            <a:solidFill>
              <a:srgbClr val="969696"/>
            </a:solidFill>
            <a:prstDash val="solid"/>
          </a:ln>
        </c:spPr>
        <c:txPr>
          <a:bodyPr/>
          <a:lstStyle/>
          <a:p>
            <a:pPr rtl="0">
              <a:defRPr sz="800">
                <a:latin typeface="Arial" panose="020B0604020202020204" pitchFamily="34" charset="0"/>
                <a:cs typeface="Arial" panose="020B0604020202020204" pitchFamily="34" charset="0"/>
              </a:defRPr>
            </a:pPr>
            <a:endParaRPr lang="en-US"/>
          </a:p>
        </c:txPr>
      </c:dTable>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38304033679386"/>
          <c:y val="0.20269410787595635"/>
          <c:w val="0.67592665807997787"/>
          <c:h val="0.5394431561711458"/>
        </c:manualLayout>
      </c:layout>
      <c:lineChart>
        <c:grouping val="standard"/>
        <c:varyColors val="0"/>
        <c:ser>
          <c:idx val="0"/>
          <c:order val="0"/>
          <c:tx>
            <c:strRef>
              <c:f>'Charting Data'!$P$20</c:f>
              <c:strCache>
                <c:ptCount val="1"/>
                <c:pt idx="0">
                  <c:v>Claims Exceeding 13 Weeks</c:v>
                </c:pt>
              </c:strCache>
            </c:strRef>
          </c:tx>
          <c:spPr>
            <a:ln w="25400">
              <a:solidFill>
                <a:schemeClr val="tx1">
                  <a:lumMod val="95000"/>
                  <a:lumOff val="5000"/>
                </a:schemeClr>
              </a:solidFill>
              <a:prstDash val="solid"/>
            </a:ln>
          </c:spPr>
          <c:marker>
            <c:symbol val="diamond"/>
            <c:size val="7"/>
            <c:spPr>
              <a:solidFill>
                <a:schemeClr val="tx1">
                  <a:lumMod val="95000"/>
                  <a:lumOff val="5000"/>
                </a:schemeClr>
              </a:solidFill>
              <a:ln>
                <a:solidFill>
                  <a:schemeClr val="tx1">
                    <a:lumMod val="95000"/>
                    <a:lumOff val="5000"/>
                  </a:schemeClr>
                </a:solidFill>
                <a:prstDash val="solid"/>
              </a:ln>
            </c:spPr>
          </c:marker>
          <c:cat>
            <c:strRef>
              <c:f>'Charting Data'!$S$7:$U$7</c:f>
              <c:strCache>
                <c:ptCount val="3"/>
                <c:pt idx="0">
                  <c:v>2018-19</c:v>
                </c:pt>
                <c:pt idx="1">
                  <c:v>2019-20</c:v>
                </c:pt>
                <c:pt idx="2">
                  <c:v>2020-21</c:v>
                </c:pt>
              </c:strCache>
            </c:strRef>
          </c:cat>
          <c:val>
            <c:numRef>
              <c:f>'Charting Data'!$S$20:$U$20</c:f>
              <c:numCache>
                <c:formatCode>_-* #,##0_-;\-* #,##0_-;_-* "-"??_-;_-@_-</c:formatCode>
                <c:ptCount val="3"/>
                <c:pt idx="0">
                  <c:v>202</c:v>
                </c:pt>
                <c:pt idx="1">
                  <c:v>287</c:v>
                </c:pt>
                <c:pt idx="2">
                  <c:v>212</c:v>
                </c:pt>
              </c:numCache>
            </c:numRef>
          </c:val>
          <c:smooth val="0"/>
          <c:extLst>
            <c:ext xmlns:c16="http://schemas.microsoft.com/office/drawing/2014/chart" uri="{C3380CC4-5D6E-409C-BE32-E72D297353CC}">
              <c16:uniqueId val="{00000000-B235-4EC5-9569-4BFC49F7360F}"/>
            </c:ext>
          </c:extLst>
        </c:ser>
        <c:ser>
          <c:idx val="1"/>
          <c:order val="1"/>
          <c:tx>
            <c:strRef>
              <c:f>'Charting Data'!$P$21</c:f>
              <c:strCache>
                <c:ptCount val="1"/>
                <c:pt idx="0">
                  <c:v>Rate per 100 FTE</c:v>
                </c:pt>
              </c:strCache>
            </c:strRef>
          </c:tx>
          <c:spPr>
            <a:ln w="25400">
              <a:solidFill>
                <a:schemeClr val="bg1">
                  <a:lumMod val="50000"/>
                </a:schemeClr>
              </a:solidFill>
              <a:prstDash val="solid"/>
            </a:ln>
          </c:spPr>
          <c:marker>
            <c:symbol val="square"/>
            <c:size val="7"/>
            <c:spPr>
              <a:solidFill>
                <a:schemeClr val="bg1">
                  <a:lumMod val="50000"/>
                </a:schemeClr>
              </a:solidFill>
              <a:ln>
                <a:solidFill>
                  <a:schemeClr val="bg1">
                    <a:lumMod val="50000"/>
                  </a:schemeClr>
                </a:solidFill>
                <a:prstDash val="solid"/>
              </a:ln>
            </c:spPr>
          </c:marker>
          <c:cat>
            <c:strRef>
              <c:f>'Charting Data'!$S$7:$U$7</c:f>
              <c:strCache>
                <c:ptCount val="3"/>
                <c:pt idx="0">
                  <c:v>2018-19</c:v>
                </c:pt>
                <c:pt idx="1">
                  <c:v>2019-20</c:v>
                </c:pt>
                <c:pt idx="2">
                  <c:v>2020-21</c:v>
                </c:pt>
              </c:strCache>
            </c:strRef>
          </c:cat>
          <c:val>
            <c:numRef>
              <c:f>'Charting Data'!$S$21:$U$21</c:f>
              <c:numCache>
                <c:formatCode>#,##0.00_ ;\-#,##0.00\ </c:formatCode>
                <c:ptCount val="3"/>
                <c:pt idx="0">
                  <c:v>0.29646719707877073</c:v>
                </c:pt>
                <c:pt idx="1">
                  <c:v>0.41030714420509068</c:v>
                </c:pt>
                <c:pt idx="2">
                  <c:v>0.28944745572955777</c:v>
                </c:pt>
              </c:numCache>
            </c:numRef>
          </c:val>
          <c:smooth val="0"/>
          <c:extLst>
            <c:ext xmlns:c16="http://schemas.microsoft.com/office/drawing/2014/chart" uri="{C3380CC4-5D6E-409C-BE32-E72D297353CC}">
              <c16:uniqueId val="{00000001-B235-4EC5-9569-4BFC49F7360F}"/>
            </c:ext>
          </c:extLst>
        </c:ser>
        <c:dLbls>
          <c:showLegendKey val="0"/>
          <c:showVal val="0"/>
          <c:showCatName val="0"/>
          <c:showSerName val="0"/>
          <c:showPercent val="0"/>
          <c:showBubbleSize val="0"/>
        </c:dLbls>
        <c:marker val="1"/>
        <c:smooth val="0"/>
        <c:axId val="152040192"/>
        <c:axId val="152042112"/>
      </c:lineChart>
      <c:catAx>
        <c:axId val="152040192"/>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a:pPr>
            <a:endParaRPr lang="en-US"/>
          </a:p>
        </c:txPr>
        <c:crossAx val="152042112"/>
        <c:crosses val="autoZero"/>
        <c:auto val="1"/>
        <c:lblAlgn val="ctr"/>
        <c:lblOffset val="100"/>
        <c:tickMarkSkip val="1"/>
        <c:noMultiLvlLbl val="0"/>
      </c:catAx>
      <c:valAx>
        <c:axId val="152042112"/>
        <c:scaling>
          <c:logBase val="10"/>
          <c:orientation val="minMax"/>
        </c:scaling>
        <c:delete val="0"/>
        <c:axPos val="l"/>
        <c:majorGridlines>
          <c:spPr>
            <a:ln w="3175">
              <a:solidFill>
                <a:srgbClr val="969696"/>
              </a:solidFill>
              <a:prstDash val="sysDash"/>
            </a:ln>
          </c:spPr>
        </c:majorGridlines>
        <c:numFmt formatCode="_-* #,##0_-;\-* #,##0_-;_-* &quot;-&quot;??_-;_-@_-" sourceLinked="1"/>
        <c:majorTickMark val="out"/>
        <c:minorTickMark val="none"/>
        <c:tickLblPos val="nextTo"/>
        <c:spPr>
          <a:ln w="3175">
            <a:solidFill>
              <a:srgbClr val="969696"/>
            </a:solidFill>
            <a:prstDash val="solid"/>
          </a:ln>
        </c:spPr>
        <c:txPr>
          <a:bodyPr rot="0" vert="horz"/>
          <a:lstStyle/>
          <a:p>
            <a:pPr>
              <a:defRPr sz="800"/>
            </a:pPr>
            <a:endParaRPr lang="en-US"/>
          </a:p>
        </c:txPr>
        <c:crossAx val="152040192"/>
        <c:crosses val="autoZero"/>
        <c:crossBetween val="between"/>
      </c:valAx>
      <c:dTable>
        <c:showHorzBorder val="1"/>
        <c:showVertBorder val="1"/>
        <c:showOutline val="0"/>
        <c:showKeys val="1"/>
        <c:spPr>
          <a:ln w="3175">
            <a:solidFill>
              <a:srgbClr val="969696"/>
            </a:solidFill>
            <a:prstDash val="solid"/>
          </a:ln>
        </c:spPr>
        <c:txPr>
          <a:bodyPr/>
          <a:lstStyle/>
          <a:p>
            <a:pPr rtl="0">
              <a:defRPr sz="800"/>
            </a:pPr>
            <a:endParaRPr lang="en-US"/>
          </a:p>
        </c:txPr>
      </c:dTable>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8807316187305"/>
          <c:y val="7.4717911064975398E-2"/>
          <c:w val="0.69066701368254257"/>
          <c:h val="0.94074944446276465"/>
        </c:manualLayout>
      </c:layout>
      <c:radarChart>
        <c:radarStyle val="filled"/>
        <c:varyColors val="0"/>
        <c:ser>
          <c:idx val="2"/>
          <c:order val="0"/>
          <c:spPr>
            <a:solidFill>
              <a:srgbClr val="ABFF57"/>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0-CC1B-4476-BE09-2250D2E6D3E6}"/>
            </c:ext>
          </c:extLst>
        </c:ser>
        <c:ser>
          <c:idx val="3"/>
          <c:order val="1"/>
          <c:spPr>
            <a:solidFill>
              <a:srgbClr val="FFFF00"/>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1-CC1B-4476-BE09-2250D2E6D3E6}"/>
            </c:ext>
          </c:extLst>
        </c:ser>
        <c:ser>
          <c:idx val="4"/>
          <c:order val="2"/>
          <c:spPr>
            <a:solidFill>
              <a:srgbClr val="FFC000"/>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2-CC1B-4476-BE09-2250D2E6D3E6}"/>
            </c:ext>
          </c:extLst>
        </c:ser>
        <c:ser>
          <c:idx val="5"/>
          <c:order val="3"/>
          <c:spPr>
            <a:solidFill>
              <a:srgbClr val="FF0000"/>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3-CC1B-4476-BE09-2250D2E6D3E6}"/>
            </c:ext>
          </c:extLst>
        </c:ser>
        <c:ser>
          <c:idx val="6"/>
          <c:order val="4"/>
          <c:tx>
            <c:strRef>
              <c:f>'Progress Summary'!$AU$76</c:f>
              <c:strCache>
                <c:ptCount val="1"/>
                <c:pt idx="0">
                  <c:v>Target maturity</c:v>
                </c:pt>
              </c:strCache>
            </c:strRef>
          </c:tx>
          <c:spPr>
            <a:solidFill>
              <a:schemeClr val="accent2">
                <a:lumMod val="20000"/>
                <a:lumOff val="80000"/>
              </a:schemeClr>
            </a:solidFill>
            <a:ln w="31750">
              <a:solidFill>
                <a:schemeClr val="accent2">
                  <a:lumMod val="20000"/>
                  <a:lumOff val="80000"/>
                </a:schemeClr>
              </a:solidFill>
            </a:ln>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Ref>
              <c:f>'Progress Summary'!$AU$77:$AU$123</c:f>
              <c:numCache>
                <c:formatCode>General</c:formatCode>
                <c:ptCount val="47"/>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pt idx="43">
                  <c:v>3</c:v>
                </c:pt>
                <c:pt idx="44">
                  <c:v>3</c:v>
                </c:pt>
                <c:pt idx="45">
                  <c:v>3</c:v>
                </c:pt>
                <c:pt idx="46">
                  <c:v>3</c:v>
                </c:pt>
              </c:numCache>
            </c:numRef>
          </c:val>
          <c:extLst>
            <c:ext xmlns:c16="http://schemas.microsoft.com/office/drawing/2014/chart" uri="{C3380CC4-5D6E-409C-BE32-E72D297353CC}">
              <c16:uniqueId val="{00000004-CC1B-4476-BE09-2250D2E6D3E6}"/>
            </c:ext>
          </c:extLst>
        </c:ser>
        <c:ser>
          <c:idx val="0"/>
          <c:order val="5"/>
          <c:tx>
            <c:strRef>
              <c:f>'Progress Summary'!$AT$76</c:f>
              <c:strCache>
                <c:ptCount val="1"/>
                <c:pt idx="0">
                  <c:v>Overall Assessment</c:v>
                </c:pt>
              </c:strCache>
            </c:strRef>
          </c:tx>
          <c:spPr>
            <a:solidFill>
              <a:srgbClr val="000000">
                <a:alpha val="27059"/>
              </a:srgbClr>
            </a:solidFill>
            <a:ln w="38100">
              <a:solidFill>
                <a:sysClr val="windowText" lastClr="000000"/>
              </a:solidFill>
            </a:ln>
          </c:spPr>
          <c:val>
            <c:numRef>
              <c:f>'Progress Summary'!$AT$77:$AT$123</c:f>
              <c:numCache>
                <c:formatCode>General</c:formatCode>
                <c:ptCount val="47"/>
                <c:pt idx="0">
                  <c:v>2</c:v>
                </c:pt>
                <c:pt idx="1">
                  <c:v>2</c:v>
                </c:pt>
                <c:pt idx="2">
                  <c:v>2</c:v>
                </c:pt>
                <c:pt idx="3">
                  <c:v>2</c:v>
                </c:pt>
                <c:pt idx="4">
                  <c:v>2</c:v>
                </c:pt>
                <c:pt idx="5">
                  <c:v>2</c:v>
                </c:pt>
                <c:pt idx="6">
                  <c:v>2</c:v>
                </c:pt>
                <c:pt idx="7">
                  <c:v>3</c:v>
                </c:pt>
                <c:pt idx="8">
                  <c:v>3</c:v>
                </c:pt>
                <c:pt idx="9">
                  <c:v>2</c:v>
                </c:pt>
                <c:pt idx="10">
                  <c:v>4</c:v>
                </c:pt>
                <c:pt idx="11">
                  <c:v>3</c:v>
                </c:pt>
                <c:pt idx="12">
                  <c:v>3</c:v>
                </c:pt>
                <c:pt idx="13">
                  <c:v>2</c:v>
                </c:pt>
                <c:pt idx="14">
                  <c:v>2</c:v>
                </c:pt>
                <c:pt idx="15">
                  <c:v>3</c:v>
                </c:pt>
                <c:pt idx="16">
                  <c:v>3</c:v>
                </c:pt>
                <c:pt idx="17">
                  <c:v>3</c:v>
                </c:pt>
                <c:pt idx="18">
                  <c:v>2</c:v>
                </c:pt>
                <c:pt idx="19">
                  <c:v>2</c:v>
                </c:pt>
                <c:pt idx="20">
                  <c:v>2</c:v>
                </c:pt>
                <c:pt idx="21">
                  <c:v>3</c:v>
                </c:pt>
                <c:pt idx="22">
                  <c:v>2</c:v>
                </c:pt>
                <c:pt idx="23">
                  <c:v>2</c:v>
                </c:pt>
                <c:pt idx="24">
                  <c:v>3</c:v>
                </c:pt>
                <c:pt idx="25">
                  <c:v>2</c:v>
                </c:pt>
                <c:pt idx="26">
                  <c:v>3</c:v>
                </c:pt>
                <c:pt idx="27">
                  <c:v>4</c:v>
                </c:pt>
                <c:pt idx="28">
                  <c:v>4</c:v>
                </c:pt>
                <c:pt idx="29">
                  <c:v>3</c:v>
                </c:pt>
                <c:pt idx="30">
                  <c:v>3</c:v>
                </c:pt>
                <c:pt idx="31">
                  <c:v>3</c:v>
                </c:pt>
                <c:pt idx="32">
                  <c:v>2</c:v>
                </c:pt>
                <c:pt idx="33">
                  <c:v>3</c:v>
                </c:pt>
                <c:pt idx="34">
                  <c:v>3</c:v>
                </c:pt>
                <c:pt idx="35">
                  <c:v>2</c:v>
                </c:pt>
                <c:pt idx="36">
                  <c:v>2</c:v>
                </c:pt>
                <c:pt idx="37">
                  <c:v>3</c:v>
                </c:pt>
                <c:pt idx="38">
                  <c:v>3</c:v>
                </c:pt>
                <c:pt idx="39">
                  <c:v>2</c:v>
                </c:pt>
                <c:pt idx="40">
                  <c:v>3</c:v>
                </c:pt>
                <c:pt idx="41">
                  <c:v>3</c:v>
                </c:pt>
                <c:pt idx="42">
                  <c:v>2</c:v>
                </c:pt>
                <c:pt idx="43">
                  <c:v>3</c:v>
                </c:pt>
                <c:pt idx="44">
                  <c:v>3</c:v>
                </c:pt>
                <c:pt idx="45">
                  <c:v>4</c:v>
                </c:pt>
                <c:pt idx="46">
                  <c:v>4</c:v>
                </c:pt>
              </c:numCache>
            </c:numRef>
          </c:val>
          <c:extLst>
            <c:ext xmlns:c16="http://schemas.microsoft.com/office/drawing/2014/chart" uri="{C3380CC4-5D6E-409C-BE32-E72D297353CC}">
              <c16:uniqueId val="{00000005-CC1B-4476-BE09-2250D2E6D3E6}"/>
            </c:ext>
          </c:extLst>
        </c:ser>
        <c:dLbls>
          <c:showLegendKey val="0"/>
          <c:showVal val="0"/>
          <c:showCatName val="0"/>
          <c:showSerName val="0"/>
          <c:showPercent val="0"/>
          <c:showBubbleSize val="0"/>
        </c:dLbls>
        <c:axId val="199192960"/>
        <c:axId val="199194496"/>
      </c:radarChart>
      <c:catAx>
        <c:axId val="199192960"/>
        <c:scaling>
          <c:orientation val="minMax"/>
        </c:scaling>
        <c:delete val="0"/>
        <c:axPos val="b"/>
        <c:majorGridlines/>
        <c:numFmt formatCode="General" sourceLinked="0"/>
        <c:majorTickMark val="out"/>
        <c:minorTickMark val="none"/>
        <c:tickLblPos val="nextTo"/>
        <c:txPr>
          <a:bodyPr/>
          <a:lstStyle/>
          <a:p>
            <a:pPr>
              <a:defRPr baseline="0">
                <a:solidFill>
                  <a:sysClr val="windowText" lastClr="000000"/>
                </a:solidFill>
              </a:defRPr>
            </a:pPr>
            <a:endParaRPr lang="en-US"/>
          </a:p>
        </c:txPr>
        <c:crossAx val="199194496"/>
        <c:crosses val="autoZero"/>
        <c:auto val="1"/>
        <c:lblAlgn val="ctr"/>
        <c:lblOffset val="100"/>
        <c:noMultiLvlLbl val="0"/>
      </c:catAx>
      <c:valAx>
        <c:axId val="199194496"/>
        <c:scaling>
          <c:orientation val="minMax"/>
          <c:max val="4"/>
        </c:scaling>
        <c:delete val="0"/>
        <c:axPos val="l"/>
        <c:majorGridlines/>
        <c:numFmt formatCode="General" sourceLinked="1"/>
        <c:majorTickMark val="cross"/>
        <c:minorTickMark val="none"/>
        <c:tickLblPos val="nextTo"/>
        <c:spPr>
          <a:noFill/>
        </c:spPr>
        <c:txPr>
          <a:bodyPr/>
          <a:lstStyle/>
          <a:p>
            <a:pPr>
              <a:defRPr baseline="0">
                <a:solidFill>
                  <a:sysClr val="windowText" lastClr="000000"/>
                </a:solidFill>
              </a:defRPr>
            </a:pPr>
            <a:endParaRPr lang="en-US"/>
          </a:p>
        </c:txPr>
        <c:crossAx val="199192960"/>
        <c:crosses val="autoZero"/>
        <c:crossBetween val="between"/>
        <c:majorUnit val="1"/>
        <c:minorUnit val="0.2"/>
      </c:valAx>
      <c:spPr>
        <a:blipFill dpi="0" rotWithShape="1">
          <a:blip xmlns:r="http://schemas.openxmlformats.org/officeDocument/2006/relationships" r:embed="rId1"/>
          <a:srcRect/>
          <a:stretch>
            <a:fillRect l="-2400" t="-1400" b="-1300"/>
          </a:stretch>
        </a:blipFill>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053FC6-CA4D-4F02-96CF-F9C65DA18743}"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US"/>
        </a:p>
      </dgm:t>
    </dgm:pt>
    <dgm:pt modelId="{36039ECA-2B48-4A6E-B030-49EE0A898C63}">
      <dgm:prSet phldrT="[Text]"/>
      <dgm:spPr>
        <a:solidFill>
          <a:schemeClr val="accent4"/>
        </a:solidFill>
      </dgm:spPr>
      <dgm:t>
        <a:bodyPr/>
        <a:lstStyle/>
        <a:p>
          <a:r>
            <a:rPr lang="en-US"/>
            <a:t>Secretary</a:t>
          </a:r>
        </a:p>
        <a:p>
          <a:r>
            <a:rPr lang="en-US"/>
            <a:t>Jenny Atta</a:t>
          </a:r>
        </a:p>
      </dgm:t>
    </dgm:pt>
    <dgm:pt modelId="{CC527BDE-C036-4847-A9A9-0E1230809B10}" type="parTrans" cxnId="{04831B1C-FB99-4C08-A0E4-2F752C1EEC4A}">
      <dgm:prSet/>
      <dgm:spPr/>
      <dgm:t>
        <a:bodyPr/>
        <a:lstStyle/>
        <a:p>
          <a:endParaRPr lang="en-US"/>
        </a:p>
      </dgm:t>
    </dgm:pt>
    <dgm:pt modelId="{1C18B7FD-140D-4910-AF74-EF042028CD93}" type="sibTrans" cxnId="{04831B1C-FB99-4C08-A0E4-2F752C1EEC4A}">
      <dgm:prSet/>
      <dgm:spPr/>
      <dgm:t>
        <a:bodyPr/>
        <a:lstStyle/>
        <a:p>
          <a:endParaRPr lang="en-US"/>
        </a:p>
      </dgm:t>
    </dgm:pt>
    <dgm:pt modelId="{0B6A7FC9-BDE0-4201-8D69-28823B510607}">
      <dgm:prSet phldrT="[Text]"/>
      <dgm:spPr>
        <a:solidFill>
          <a:schemeClr val="accent4"/>
        </a:solidFill>
      </dgm:spPr>
      <dgm:t>
        <a:bodyPr/>
        <a:lstStyle/>
        <a:p>
          <a:r>
            <a:rPr lang="en-US"/>
            <a:t>Early Childhood Education</a:t>
          </a:r>
        </a:p>
        <a:p>
          <a:r>
            <a:rPr lang="en-US"/>
            <a:t>Kim Little</a:t>
          </a:r>
        </a:p>
      </dgm:t>
    </dgm:pt>
    <dgm:pt modelId="{6160C3F5-EEA5-4EAF-8BD2-2080897030B2}" type="parTrans" cxnId="{0F0EF732-ED62-45A7-AD55-C0EE1398531B}">
      <dgm:prSet/>
      <dgm:spPr/>
      <dgm:t>
        <a:bodyPr/>
        <a:lstStyle/>
        <a:p>
          <a:endParaRPr lang="en-US"/>
        </a:p>
      </dgm:t>
    </dgm:pt>
    <dgm:pt modelId="{62CA9FE9-B70B-4223-A443-95D4BC7D38E0}" type="sibTrans" cxnId="{0F0EF732-ED62-45A7-AD55-C0EE1398531B}">
      <dgm:prSet/>
      <dgm:spPr/>
      <dgm:t>
        <a:bodyPr/>
        <a:lstStyle/>
        <a:p>
          <a:endParaRPr lang="en-US"/>
        </a:p>
      </dgm:t>
    </dgm:pt>
    <dgm:pt modelId="{54EAF7CF-27F5-4F9F-A817-CC22D31FC5AF}">
      <dgm:prSet phldrT="[Text]"/>
      <dgm:spPr>
        <a:solidFill>
          <a:schemeClr val="accent4"/>
        </a:solidFill>
      </dgm:spPr>
      <dgm:t>
        <a:bodyPr/>
        <a:lstStyle/>
        <a:p>
          <a:r>
            <a:rPr lang="en-US"/>
            <a:t>Financial Policy and Information Services</a:t>
          </a:r>
        </a:p>
        <a:p>
          <a:r>
            <a:rPr lang="en-US"/>
            <a:t>Tony Bates</a:t>
          </a:r>
        </a:p>
      </dgm:t>
    </dgm:pt>
    <dgm:pt modelId="{72FD163E-8C43-4743-908D-FCC6D194C800}" type="parTrans" cxnId="{41433CD4-38D1-4E42-8FB8-C091135CB721}">
      <dgm:prSet/>
      <dgm:spPr/>
      <dgm:t>
        <a:bodyPr/>
        <a:lstStyle/>
        <a:p>
          <a:endParaRPr lang="en-US"/>
        </a:p>
      </dgm:t>
    </dgm:pt>
    <dgm:pt modelId="{B699BD06-DC2B-439B-8D64-2C5E482AA2EC}" type="sibTrans" cxnId="{41433CD4-38D1-4E42-8FB8-C091135CB721}">
      <dgm:prSet/>
      <dgm:spPr/>
      <dgm:t>
        <a:bodyPr/>
        <a:lstStyle/>
        <a:p>
          <a:endParaRPr lang="en-US"/>
        </a:p>
      </dgm:t>
    </dgm:pt>
    <dgm:pt modelId="{DDD8C77B-A5A3-43F6-906E-28E1672C324A}">
      <dgm:prSet phldrT="[Text]"/>
      <dgm:spPr>
        <a:solidFill>
          <a:schemeClr val="accent4"/>
        </a:solidFill>
      </dgm:spPr>
      <dgm:t>
        <a:bodyPr/>
        <a:lstStyle/>
        <a:p>
          <a:r>
            <a:rPr lang="en-US"/>
            <a:t>Higher Education and Skills</a:t>
          </a:r>
        </a:p>
        <a:p>
          <a:r>
            <a:rPr lang="en-US"/>
            <a:t>Lill Healy</a:t>
          </a:r>
        </a:p>
      </dgm:t>
    </dgm:pt>
    <dgm:pt modelId="{2E3BC531-905D-43AF-BED6-EC0CED4456C2}" type="parTrans" cxnId="{2AB22D82-9984-4D2F-9430-3055BD249248}">
      <dgm:prSet/>
      <dgm:spPr/>
      <dgm:t>
        <a:bodyPr/>
        <a:lstStyle/>
        <a:p>
          <a:endParaRPr lang="en-US"/>
        </a:p>
      </dgm:t>
    </dgm:pt>
    <dgm:pt modelId="{E7C41D3E-FAB2-4FDA-95AE-DC8B556914AD}" type="sibTrans" cxnId="{2AB22D82-9984-4D2F-9430-3055BD249248}">
      <dgm:prSet/>
      <dgm:spPr/>
      <dgm:t>
        <a:bodyPr/>
        <a:lstStyle/>
        <a:p>
          <a:endParaRPr lang="en-US"/>
        </a:p>
      </dgm:t>
    </dgm:pt>
    <dgm:pt modelId="{E08E0489-0469-4D5C-9660-52D0BCF31FEC}">
      <dgm:prSet/>
      <dgm:spPr>
        <a:solidFill>
          <a:schemeClr val="accent4"/>
        </a:solidFill>
      </dgm:spPr>
      <dgm:t>
        <a:bodyPr/>
        <a:lstStyle/>
        <a:p>
          <a:r>
            <a:rPr lang="en-US"/>
            <a:t>People and Executive Services</a:t>
          </a:r>
        </a:p>
        <a:p>
          <a:r>
            <a:rPr lang="en-US"/>
            <a:t>Kate Rattigan</a:t>
          </a:r>
        </a:p>
      </dgm:t>
    </dgm:pt>
    <dgm:pt modelId="{A724BF01-B12E-4DD4-B429-D8CDBC74F04C}" type="parTrans" cxnId="{326BE236-6325-4766-AB34-4BF17D0CC96A}">
      <dgm:prSet/>
      <dgm:spPr/>
      <dgm:t>
        <a:bodyPr/>
        <a:lstStyle/>
        <a:p>
          <a:endParaRPr lang="en-US"/>
        </a:p>
      </dgm:t>
    </dgm:pt>
    <dgm:pt modelId="{35DF180C-D725-4D3D-A694-C74EFD33E99A}" type="sibTrans" cxnId="{326BE236-6325-4766-AB34-4BF17D0CC96A}">
      <dgm:prSet/>
      <dgm:spPr/>
      <dgm:t>
        <a:bodyPr/>
        <a:lstStyle/>
        <a:p>
          <a:endParaRPr lang="en-US"/>
        </a:p>
      </dgm:t>
    </dgm:pt>
    <dgm:pt modelId="{FCACDBA5-8484-4428-B578-B3A489FD7951}">
      <dgm:prSet/>
      <dgm:spPr>
        <a:solidFill>
          <a:schemeClr val="accent4"/>
        </a:solidFill>
      </dgm:spPr>
      <dgm:t>
        <a:bodyPr/>
        <a:lstStyle/>
        <a:p>
          <a:r>
            <a:rPr lang="en-US"/>
            <a:t>Policy, Strategy and Performance</a:t>
          </a:r>
        </a:p>
        <a:p>
          <a:r>
            <a:rPr lang="en-US"/>
            <a:t>Kylie White</a:t>
          </a:r>
        </a:p>
      </dgm:t>
    </dgm:pt>
    <dgm:pt modelId="{3F3C04E2-AB55-4D49-9A02-6D4E11A6412E}" type="parTrans" cxnId="{40BBD0A0-7D61-4F30-8B00-3B3F6804A056}">
      <dgm:prSet/>
      <dgm:spPr/>
      <dgm:t>
        <a:bodyPr/>
        <a:lstStyle/>
        <a:p>
          <a:endParaRPr lang="en-US"/>
        </a:p>
      </dgm:t>
    </dgm:pt>
    <dgm:pt modelId="{9E362C04-FE4C-4D46-BD8A-39BF0BABCD7E}" type="sibTrans" cxnId="{40BBD0A0-7D61-4F30-8B00-3B3F6804A056}">
      <dgm:prSet/>
      <dgm:spPr/>
      <dgm:t>
        <a:bodyPr/>
        <a:lstStyle/>
        <a:p>
          <a:endParaRPr lang="en-US"/>
        </a:p>
      </dgm:t>
    </dgm:pt>
    <dgm:pt modelId="{C1BB19D7-982D-4654-9DED-8CECC367E771}">
      <dgm:prSet/>
      <dgm:spPr>
        <a:solidFill>
          <a:schemeClr val="accent4"/>
        </a:solidFill>
      </dgm:spPr>
      <dgm:t>
        <a:bodyPr/>
        <a:lstStyle/>
        <a:p>
          <a:r>
            <a:rPr lang="en-US"/>
            <a:t>School Education Programs and Support</a:t>
          </a:r>
        </a:p>
        <a:p>
          <a:r>
            <a:rPr lang="en-US"/>
            <a:t>Ian Burrage</a:t>
          </a:r>
        </a:p>
      </dgm:t>
    </dgm:pt>
    <dgm:pt modelId="{61D95596-BA8F-4289-8D77-142EC836D6F7}" type="parTrans" cxnId="{8A4911CC-28E5-48B2-BC73-419ADA209ACA}">
      <dgm:prSet/>
      <dgm:spPr/>
      <dgm:t>
        <a:bodyPr/>
        <a:lstStyle/>
        <a:p>
          <a:endParaRPr lang="en-US"/>
        </a:p>
      </dgm:t>
    </dgm:pt>
    <dgm:pt modelId="{F9CF3DCC-15B8-489C-9EA0-02CB40F3F14D}" type="sibTrans" cxnId="{8A4911CC-28E5-48B2-BC73-419ADA209ACA}">
      <dgm:prSet/>
      <dgm:spPr/>
      <dgm:t>
        <a:bodyPr/>
        <a:lstStyle/>
        <a:p>
          <a:endParaRPr lang="en-US"/>
        </a:p>
      </dgm:t>
    </dgm:pt>
    <dgm:pt modelId="{3799BD29-7C7E-4734-8DBD-E091734BCA0D}">
      <dgm:prSet/>
      <dgm:spPr>
        <a:solidFill>
          <a:schemeClr val="accent4"/>
        </a:solidFill>
      </dgm:spPr>
      <dgm:t>
        <a:bodyPr/>
        <a:lstStyle/>
        <a:p>
          <a:r>
            <a:rPr lang="en-US"/>
            <a:t>Schools and Regional Services</a:t>
          </a:r>
        </a:p>
        <a:p>
          <a:r>
            <a:rPr lang="en-US"/>
            <a:t>David Howes</a:t>
          </a:r>
        </a:p>
      </dgm:t>
    </dgm:pt>
    <dgm:pt modelId="{690C3D54-4C47-4558-90ED-E8EA4948AF75}" type="parTrans" cxnId="{119B76E0-51B8-4A1A-8C5B-AD65CB915D6E}">
      <dgm:prSet/>
      <dgm:spPr/>
      <dgm:t>
        <a:bodyPr/>
        <a:lstStyle/>
        <a:p>
          <a:endParaRPr lang="en-US"/>
        </a:p>
      </dgm:t>
    </dgm:pt>
    <dgm:pt modelId="{DDAC83C8-25BE-4980-88B6-A8D7B668DFF5}" type="sibTrans" cxnId="{119B76E0-51B8-4A1A-8C5B-AD65CB915D6E}">
      <dgm:prSet/>
      <dgm:spPr/>
      <dgm:t>
        <a:bodyPr/>
        <a:lstStyle/>
        <a:p>
          <a:endParaRPr lang="en-US"/>
        </a:p>
      </dgm:t>
    </dgm:pt>
    <dgm:pt modelId="{0736D341-20BF-4503-B1A8-56C582C86E6E}">
      <dgm:prSet/>
      <dgm:spPr>
        <a:solidFill>
          <a:schemeClr val="accent4"/>
        </a:solidFill>
      </dgm:spPr>
      <dgm:t>
        <a:bodyPr/>
        <a:lstStyle/>
        <a:p>
          <a:r>
            <a:rPr lang="en-US"/>
            <a:t>Victorian School Building Authority</a:t>
          </a:r>
        </a:p>
        <a:p>
          <a:r>
            <a:rPr lang="en-US"/>
            <a:t>Chris Keating</a:t>
          </a:r>
        </a:p>
      </dgm:t>
    </dgm:pt>
    <dgm:pt modelId="{85C9F109-FCAF-41A5-A8B3-38D4F29A96B6}" type="parTrans" cxnId="{01C32961-13EA-404F-8424-D42E455BAE57}">
      <dgm:prSet/>
      <dgm:spPr/>
      <dgm:t>
        <a:bodyPr/>
        <a:lstStyle/>
        <a:p>
          <a:endParaRPr lang="en-US"/>
        </a:p>
      </dgm:t>
    </dgm:pt>
    <dgm:pt modelId="{222C9079-D279-4F79-819E-4BFC35416886}" type="sibTrans" cxnId="{01C32961-13EA-404F-8424-D42E455BAE57}">
      <dgm:prSet/>
      <dgm:spPr/>
      <dgm:t>
        <a:bodyPr/>
        <a:lstStyle/>
        <a:p>
          <a:endParaRPr lang="en-US"/>
        </a:p>
      </dgm:t>
    </dgm:pt>
    <dgm:pt modelId="{491B0E3C-B438-4468-AFF8-6AF4114FABE9}">
      <dgm:prSet/>
      <dgm:spPr>
        <a:solidFill>
          <a:schemeClr val="accent4"/>
        </a:solidFill>
      </dgm:spPr>
      <dgm:t>
        <a:bodyPr/>
        <a:lstStyle/>
        <a:p>
          <a:r>
            <a:rPr lang="en-US"/>
            <a:t>Senior Secondary Pathways Reform Taskforce</a:t>
          </a:r>
        </a:p>
        <a:p>
          <a:r>
            <a:rPr lang="en-US"/>
            <a:t>Scott Widmer</a:t>
          </a:r>
        </a:p>
      </dgm:t>
    </dgm:pt>
    <dgm:pt modelId="{C8BB5E06-030A-41BE-89AA-3F290A9C65EC}" type="parTrans" cxnId="{D56B43BE-4D0D-4D7C-98E6-69347DA14682}">
      <dgm:prSet/>
      <dgm:spPr/>
      <dgm:t>
        <a:bodyPr/>
        <a:lstStyle/>
        <a:p>
          <a:endParaRPr lang="en-AU"/>
        </a:p>
      </dgm:t>
    </dgm:pt>
    <dgm:pt modelId="{11E673D3-9185-4C06-B238-CDFD080668F1}" type="sibTrans" cxnId="{D56B43BE-4D0D-4D7C-98E6-69347DA14682}">
      <dgm:prSet/>
      <dgm:spPr/>
      <dgm:t>
        <a:bodyPr/>
        <a:lstStyle/>
        <a:p>
          <a:endParaRPr lang="en-AU"/>
        </a:p>
      </dgm:t>
    </dgm:pt>
    <dgm:pt modelId="{444EFBAF-4708-456D-A6AC-6E1F6B7328F6}">
      <dgm:prSet/>
      <dgm:spPr>
        <a:solidFill>
          <a:schemeClr val="accent1">
            <a:lumMod val="75000"/>
          </a:schemeClr>
        </a:solidFill>
      </dgm:spPr>
      <dgm:t>
        <a:bodyPr/>
        <a:lstStyle/>
        <a:p>
          <a:r>
            <a:rPr lang="en-GB"/>
            <a:t>Deputy Premier, Minister for Education and Minister for Mental Health</a:t>
          </a:r>
        </a:p>
        <a:p>
          <a:r>
            <a:rPr lang="en-US"/>
            <a:t>The Hon. James Merlino MP</a:t>
          </a:r>
        </a:p>
      </dgm:t>
    </dgm:pt>
    <dgm:pt modelId="{AA72BE92-52C5-473A-BB42-2EAAE0B96B91}" type="sibTrans" cxnId="{535082DF-092E-4DF1-A46E-35A89F9F1E13}">
      <dgm:prSet/>
      <dgm:spPr/>
      <dgm:t>
        <a:bodyPr/>
        <a:lstStyle/>
        <a:p>
          <a:endParaRPr lang="en-US"/>
        </a:p>
      </dgm:t>
    </dgm:pt>
    <dgm:pt modelId="{1D5CD6A1-17BA-44A2-9BCA-CF24B7952730}" type="parTrans" cxnId="{535082DF-092E-4DF1-A46E-35A89F9F1E13}">
      <dgm:prSet/>
      <dgm:spPr/>
      <dgm:t>
        <a:bodyPr/>
        <a:lstStyle/>
        <a:p>
          <a:endParaRPr lang="en-US"/>
        </a:p>
      </dgm:t>
    </dgm:pt>
    <dgm:pt modelId="{A29848FC-AE99-42DE-B8B0-583869649D83}">
      <dgm:prSet/>
      <dgm:spPr>
        <a:solidFill>
          <a:schemeClr val="accent1">
            <a:lumMod val="75000"/>
          </a:schemeClr>
        </a:solidFill>
      </dgm:spPr>
      <dgm:t>
        <a:bodyPr/>
        <a:lstStyle/>
        <a:p>
          <a:r>
            <a:rPr lang="en-US" b="0"/>
            <a:t>Minister for Early Childhood and Minister for Workplace Safety </a:t>
          </a:r>
        </a:p>
        <a:p>
          <a:r>
            <a:rPr lang="en-US" b="0"/>
            <a:t>Ms Ingrid Stitt, MP </a:t>
          </a:r>
          <a:endParaRPr lang="en-US"/>
        </a:p>
      </dgm:t>
    </dgm:pt>
    <dgm:pt modelId="{00373F47-4B7C-4CBF-827E-624BFFC98316}" type="parTrans" cxnId="{05892599-26C5-4C46-83F7-F73A3130E21D}">
      <dgm:prSet/>
      <dgm:spPr/>
      <dgm:t>
        <a:bodyPr/>
        <a:lstStyle/>
        <a:p>
          <a:endParaRPr lang="en-AU"/>
        </a:p>
      </dgm:t>
    </dgm:pt>
    <dgm:pt modelId="{645494C3-7E94-4F76-910C-BA6FCFD782D2}" type="sibTrans" cxnId="{05892599-26C5-4C46-83F7-F73A3130E21D}">
      <dgm:prSet/>
      <dgm:spPr/>
      <dgm:t>
        <a:bodyPr/>
        <a:lstStyle/>
        <a:p>
          <a:endParaRPr lang="en-AU"/>
        </a:p>
      </dgm:t>
    </dgm:pt>
    <dgm:pt modelId="{8731D5AC-85B7-416C-BB1B-544FDD3B3CD2}">
      <dgm:prSet/>
      <dgm:spPr>
        <a:solidFill>
          <a:schemeClr val="accent1">
            <a:lumMod val="75000"/>
          </a:schemeClr>
        </a:solidFill>
      </dgm:spPr>
      <dgm:t>
        <a:bodyPr/>
        <a:lstStyle/>
        <a:p>
          <a:r>
            <a:rPr lang="en-US"/>
            <a:t>Minister for Higher Education and Minister for Training and Skills</a:t>
          </a:r>
        </a:p>
        <a:p>
          <a:r>
            <a:rPr lang="en-US"/>
            <a:t>The Hon. Gayle Tierney MP</a:t>
          </a:r>
        </a:p>
      </dgm:t>
    </dgm:pt>
    <dgm:pt modelId="{11E28AA7-E58B-48D4-ADF4-42CC672AAB4F}" type="sibTrans" cxnId="{7AC0225B-89C2-4F1E-8596-C3648FFAEA92}">
      <dgm:prSet/>
      <dgm:spPr/>
      <dgm:t>
        <a:bodyPr/>
        <a:lstStyle/>
        <a:p>
          <a:endParaRPr lang="en-US"/>
        </a:p>
      </dgm:t>
    </dgm:pt>
    <dgm:pt modelId="{E2D90D9E-7EED-4C00-88BC-502E93101021}" type="parTrans" cxnId="{7AC0225B-89C2-4F1E-8596-C3648FFAEA92}">
      <dgm:prSet/>
      <dgm:spPr/>
      <dgm:t>
        <a:bodyPr/>
        <a:lstStyle/>
        <a:p>
          <a:endParaRPr lang="en-US"/>
        </a:p>
      </dgm:t>
    </dgm:pt>
    <dgm:pt modelId="{473FCDEF-6A9A-4F6B-B07B-B5B1E3C3700D}" type="pres">
      <dgm:prSet presAssocID="{9C053FC6-CA4D-4F02-96CF-F9C65DA18743}" presName="hierChild1" presStyleCnt="0">
        <dgm:presLayoutVars>
          <dgm:orgChart val="1"/>
          <dgm:chPref val="1"/>
          <dgm:dir/>
          <dgm:animOne val="branch"/>
          <dgm:animLvl val="lvl"/>
          <dgm:resizeHandles/>
        </dgm:presLayoutVars>
      </dgm:prSet>
      <dgm:spPr/>
    </dgm:pt>
    <dgm:pt modelId="{A185685A-7B4C-4BDE-9E46-AFB91802305D}" type="pres">
      <dgm:prSet presAssocID="{444EFBAF-4708-456D-A6AC-6E1F6B7328F6}" presName="hierRoot1" presStyleCnt="0">
        <dgm:presLayoutVars>
          <dgm:hierBranch val="init"/>
        </dgm:presLayoutVars>
      </dgm:prSet>
      <dgm:spPr/>
    </dgm:pt>
    <dgm:pt modelId="{72671731-0023-4549-8AC5-3FBD5032145E}" type="pres">
      <dgm:prSet presAssocID="{444EFBAF-4708-456D-A6AC-6E1F6B7328F6}" presName="rootComposite1" presStyleCnt="0"/>
      <dgm:spPr/>
    </dgm:pt>
    <dgm:pt modelId="{E5ADC657-8573-4942-9647-AE29F0261138}" type="pres">
      <dgm:prSet presAssocID="{444EFBAF-4708-456D-A6AC-6E1F6B7328F6}" presName="rootText1" presStyleLbl="node0" presStyleIdx="0" presStyleCnt="3" custScaleX="92255" custScaleY="166362" custLinFactNeighborX="3173" custLinFactNeighborY="-5980">
        <dgm:presLayoutVars>
          <dgm:chPref val="3"/>
        </dgm:presLayoutVars>
      </dgm:prSet>
      <dgm:spPr/>
    </dgm:pt>
    <dgm:pt modelId="{1E038808-A480-4F78-B33F-9CA22D333DDB}" type="pres">
      <dgm:prSet presAssocID="{444EFBAF-4708-456D-A6AC-6E1F6B7328F6}" presName="rootConnector1" presStyleLbl="node1" presStyleIdx="0" presStyleCnt="0"/>
      <dgm:spPr/>
    </dgm:pt>
    <dgm:pt modelId="{2FA01F67-A4E2-4198-AAF6-57D43C8D9597}" type="pres">
      <dgm:prSet presAssocID="{444EFBAF-4708-456D-A6AC-6E1F6B7328F6}" presName="hierChild2" presStyleCnt="0"/>
      <dgm:spPr/>
    </dgm:pt>
    <dgm:pt modelId="{ADBEE22D-C2A5-46EC-97AF-8619A776C4F3}" type="pres">
      <dgm:prSet presAssocID="{444EFBAF-4708-456D-A6AC-6E1F6B7328F6}" presName="hierChild3" presStyleCnt="0"/>
      <dgm:spPr/>
    </dgm:pt>
    <dgm:pt modelId="{83FBF7A5-5BE9-4CF7-B989-DDF4332F6677}" type="pres">
      <dgm:prSet presAssocID="{A29848FC-AE99-42DE-B8B0-583869649D83}" presName="hierRoot1" presStyleCnt="0">
        <dgm:presLayoutVars>
          <dgm:hierBranch val="init"/>
        </dgm:presLayoutVars>
      </dgm:prSet>
      <dgm:spPr/>
    </dgm:pt>
    <dgm:pt modelId="{68FCD183-B7CC-44B9-9DC7-DD329BF4D1E1}" type="pres">
      <dgm:prSet presAssocID="{A29848FC-AE99-42DE-B8B0-583869649D83}" presName="rootComposite1" presStyleCnt="0"/>
      <dgm:spPr/>
    </dgm:pt>
    <dgm:pt modelId="{DC650463-4EDD-4AE6-A35E-9D688F455D40}" type="pres">
      <dgm:prSet presAssocID="{A29848FC-AE99-42DE-B8B0-583869649D83}" presName="rootText1" presStyleLbl="node0" presStyleIdx="1" presStyleCnt="3" custScaleX="92255" custScaleY="166362" custLinFactNeighborX="3173" custLinFactNeighborY="22">
        <dgm:presLayoutVars>
          <dgm:chPref val="3"/>
        </dgm:presLayoutVars>
      </dgm:prSet>
      <dgm:spPr/>
    </dgm:pt>
    <dgm:pt modelId="{43272212-EA85-4517-B80D-AA64238BD018}" type="pres">
      <dgm:prSet presAssocID="{A29848FC-AE99-42DE-B8B0-583869649D83}" presName="rootConnector1" presStyleLbl="node1" presStyleIdx="0" presStyleCnt="0"/>
      <dgm:spPr/>
    </dgm:pt>
    <dgm:pt modelId="{B6C93C5D-AB26-43CC-97FA-32355D52E944}" type="pres">
      <dgm:prSet presAssocID="{A29848FC-AE99-42DE-B8B0-583869649D83}" presName="hierChild2" presStyleCnt="0"/>
      <dgm:spPr/>
    </dgm:pt>
    <dgm:pt modelId="{5D8C8E0D-DC62-4584-96A0-62BFBE330EB3}" type="pres">
      <dgm:prSet presAssocID="{CC527BDE-C036-4847-A9A9-0E1230809B10}" presName="Name64" presStyleLbl="parChTrans1D2" presStyleIdx="0" presStyleCnt="1"/>
      <dgm:spPr/>
    </dgm:pt>
    <dgm:pt modelId="{3BF01747-585A-4A59-985A-45DD9F974077}" type="pres">
      <dgm:prSet presAssocID="{36039ECA-2B48-4A6E-B030-49EE0A898C63}" presName="hierRoot2" presStyleCnt="0">
        <dgm:presLayoutVars>
          <dgm:hierBranch val="init"/>
        </dgm:presLayoutVars>
      </dgm:prSet>
      <dgm:spPr/>
    </dgm:pt>
    <dgm:pt modelId="{0AF6CF76-4C0F-4366-B16C-FFB1F6B1A57E}" type="pres">
      <dgm:prSet presAssocID="{36039ECA-2B48-4A6E-B030-49EE0A898C63}" presName="rootComposite" presStyleCnt="0"/>
      <dgm:spPr/>
    </dgm:pt>
    <dgm:pt modelId="{F0CB17EA-ED74-4930-9C57-4FD44586323F}" type="pres">
      <dgm:prSet presAssocID="{36039ECA-2B48-4A6E-B030-49EE0A898C63}" presName="rootText" presStyleLbl="node2" presStyleIdx="0" presStyleCnt="1" custScaleX="90909" custScaleY="157775">
        <dgm:presLayoutVars>
          <dgm:chPref val="3"/>
        </dgm:presLayoutVars>
      </dgm:prSet>
      <dgm:spPr/>
    </dgm:pt>
    <dgm:pt modelId="{38353BCF-4BF4-40D3-A9FE-7FEC72689B08}" type="pres">
      <dgm:prSet presAssocID="{36039ECA-2B48-4A6E-B030-49EE0A898C63}" presName="rootConnector" presStyleLbl="node2" presStyleIdx="0" presStyleCnt="1"/>
      <dgm:spPr/>
    </dgm:pt>
    <dgm:pt modelId="{CB76EFCA-F93E-4D24-AA0F-BEEE7C0C9691}" type="pres">
      <dgm:prSet presAssocID="{36039ECA-2B48-4A6E-B030-49EE0A898C63}" presName="hierChild4" presStyleCnt="0"/>
      <dgm:spPr/>
    </dgm:pt>
    <dgm:pt modelId="{FDAFEEEF-E4F6-44D6-99BF-BBA1A4EA4CC5}" type="pres">
      <dgm:prSet presAssocID="{6160C3F5-EEA5-4EAF-8BD2-2080897030B2}" presName="Name64" presStyleLbl="parChTrans1D3" presStyleIdx="0" presStyleCnt="9"/>
      <dgm:spPr/>
    </dgm:pt>
    <dgm:pt modelId="{F5452783-7187-45D0-B10E-F60E74635BE8}" type="pres">
      <dgm:prSet presAssocID="{0B6A7FC9-BDE0-4201-8D69-28823B510607}" presName="hierRoot2" presStyleCnt="0">
        <dgm:presLayoutVars>
          <dgm:hierBranch val="init"/>
        </dgm:presLayoutVars>
      </dgm:prSet>
      <dgm:spPr/>
    </dgm:pt>
    <dgm:pt modelId="{0BD83B91-1376-4A48-B7F4-66AEC53A5964}" type="pres">
      <dgm:prSet presAssocID="{0B6A7FC9-BDE0-4201-8D69-28823B510607}" presName="rootComposite" presStyleCnt="0"/>
      <dgm:spPr/>
    </dgm:pt>
    <dgm:pt modelId="{1220C2D4-7B3D-45BA-BECB-E0F2508E5C33}" type="pres">
      <dgm:prSet presAssocID="{0B6A7FC9-BDE0-4201-8D69-28823B510607}" presName="rootText" presStyleLbl="node3" presStyleIdx="0" presStyleCnt="9" custScaleX="90909" custScaleY="157775">
        <dgm:presLayoutVars>
          <dgm:chPref val="3"/>
        </dgm:presLayoutVars>
      </dgm:prSet>
      <dgm:spPr/>
    </dgm:pt>
    <dgm:pt modelId="{05BCE3C4-03F2-40F1-AD0D-8F6304EE3606}" type="pres">
      <dgm:prSet presAssocID="{0B6A7FC9-BDE0-4201-8D69-28823B510607}" presName="rootConnector" presStyleLbl="node3" presStyleIdx="0" presStyleCnt="9"/>
      <dgm:spPr/>
    </dgm:pt>
    <dgm:pt modelId="{4887A4A4-81CA-41B8-A638-484092E2CD2D}" type="pres">
      <dgm:prSet presAssocID="{0B6A7FC9-BDE0-4201-8D69-28823B510607}" presName="hierChild4" presStyleCnt="0"/>
      <dgm:spPr/>
    </dgm:pt>
    <dgm:pt modelId="{B9149147-1F27-49AA-8468-7A8CECA54B35}" type="pres">
      <dgm:prSet presAssocID="{0B6A7FC9-BDE0-4201-8D69-28823B510607}" presName="hierChild5" presStyleCnt="0"/>
      <dgm:spPr/>
    </dgm:pt>
    <dgm:pt modelId="{420550FC-3CD8-41D2-8114-F4DBFDF70E9D}" type="pres">
      <dgm:prSet presAssocID="{72FD163E-8C43-4743-908D-FCC6D194C800}" presName="Name64" presStyleLbl="parChTrans1D3" presStyleIdx="1" presStyleCnt="9"/>
      <dgm:spPr/>
    </dgm:pt>
    <dgm:pt modelId="{D2A94967-138F-4966-8F4F-3AB9D6CE43FC}" type="pres">
      <dgm:prSet presAssocID="{54EAF7CF-27F5-4F9F-A817-CC22D31FC5AF}" presName="hierRoot2" presStyleCnt="0">
        <dgm:presLayoutVars>
          <dgm:hierBranch val="init"/>
        </dgm:presLayoutVars>
      </dgm:prSet>
      <dgm:spPr/>
    </dgm:pt>
    <dgm:pt modelId="{A10F339A-7DD3-4EA6-9C72-D40232E9C9F7}" type="pres">
      <dgm:prSet presAssocID="{54EAF7CF-27F5-4F9F-A817-CC22D31FC5AF}" presName="rootComposite" presStyleCnt="0"/>
      <dgm:spPr/>
    </dgm:pt>
    <dgm:pt modelId="{4BAD757A-E348-4BC0-BE7D-01B6DB8275C9}" type="pres">
      <dgm:prSet presAssocID="{54EAF7CF-27F5-4F9F-A817-CC22D31FC5AF}" presName="rootText" presStyleLbl="node3" presStyleIdx="1" presStyleCnt="9" custScaleX="90909" custScaleY="157775">
        <dgm:presLayoutVars>
          <dgm:chPref val="3"/>
        </dgm:presLayoutVars>
      </dgm:prSet>
      <dgm:spPr/>
    </dgm:pt>
    <dgm:pt modelId="{AA7C284F-558C-48DD-A30D-3F7FB5B4A8F2}" type="pres">
      <dgm:prSet presAssocID="{54EAF7CF-27F5-4F9F-A817-CC22D31FC5AF}" presName="rootConnector" presStyleLbl="node3" presStyleIdx="1" presStyleCnt="9"/>
      <dgm:spPr/>
    </dgm:pt>
    <dgm:pt modelId="{4E742725-E46A-4C95-872B-42E7F1D156AA}" type="pres">
      <dgm:prSet presAssocID="{54EAF7CF-27F5-4F9F-A817-CC22D31FC5AF}" presName="hierChild4" presStyleCnt="0"/>
      <dgm:spPr/>
    </dgm:pt>
    <dgm:pt modelId="{0446B41E-5BB8-46C1-9A5A-A24CEF7A7398}" type="pres">
      <dgm:prSet presAssocID="{54EAF7CF-27F5-4F9F-A817-CC22D31FC5AF}" presName="hierChild5" presStyleCnt="0"/>
      <dgm:spPr/>
    </dgm:pt>
    <dgm:pt modelId="{99D8F9BD-1EAF-49D1-9BF8-7049A09F463B}" type="pres">
      <dgm:prSet presAssocID="{2E3BC531-905D-43AF-BED6-EC0CED4456C2}" presName="Name64" presStyleLbl="parChTrans1D3" presStyleIdx="2" presStyleCnt="9"/>
      <dgm:spPr/>
    </dgm:pt>
    <dgm:pt modelId="{F56510D9-B1C6-40E1-B8A8-C7B1EC526D8C}" type="pres">
      <dgm:prSet presAssocID="{DDD8C77B-A5A3-43F6-906E-28E1672C324A}" presName="hierRoot2" presStyleCnt="0">
        <dgm:presLayoutVars>
          <dgm:hierBranch val="init"/>
        </dgm:presLayoutVars>
      </dgm:prSet>
      <dgm:spPr/>
    </dgm:pt>
    <dgm:pt modelId="{18B745DD-EECE-4FF8-ADBF-FBAE379FEDBD}" type="pres">
      <dgm:prSet presAssocID="{DDD8C77B-A5A3-43F6-906E-28E1672C324A}" presName="rootComposite" presStyleCnt="0"/>
      <dgm:spPr/>
    </dgm:pt>
    <dgm:pt modelId="{5B7B1A4F-4F7D-4042-8FE0-F31E36F5F48F}" type="pres">
      <dgm:prSet presAssocID="{DDD8C77B-A5A3-43F6-906E-28E1672C324A}" presName="rootText" presStyleLbl="node3" presStyleIdx="2" presStyleCnt="9" custScaleX="90909" custScaleY="157775">
        <dgm:presLayoutVars>
          <dgm:chPref val="3"/>
        </dgm:presLayoutVars>
      </dgm:prSet>
      <dgm:spPr/>
    </dgm:pt>
    <dgm:pt modelId="{11F14182-59D7-4B25-91BC-72AB2566E8C0}" type="pres">
      <dgm:prSet presAssocID="{DDD8C77B-A5A3-43F6-906E-28E1672C324A}" presName="rootConnector" presStyleLbl="node3" presStyleIdx="2" presStyleCnt="9"/>
      <dgm:spPr/>
    </dgm:pt>
    <dgm:pt modelId="{DF020663-22AA-4906-9342-4607E2084121}" type="pres">
      <dgm:prSet presAssocID="{DDD8C77B-A5A3-43F6-906E-28E1672C324A}" presName="hierChild4" presStyleCnt="0"/>
      <dgm:spPr/>
    </dgm:pt>
    <dgm:pt modelId="{7F55B2CF-D0A6-4F12-9C4A-339382E28C50}" type="pres">
      <dgm:prSet presAssocID="{DDD8C77B-A5A3-43F6-906E-28E1672C324A}" presName="hierChild5" presStyleCnt="0"/>
      <dgm:spPr/>
    </dgm:pt>
    <dgm:pt modelId="{73B57D61-B776-48EC-B870-6FBA604ED4FD}" type="pres">
      <dgm:prSet presAssocID="{A724BF01-B12E-4DD4-B429-D8CDBC74F04C}" presName="Name64" presStyleLbl="parChTrans1D3" presStyleIdx="3" presStyleCnt="9"/>
      <dgm:spPr/>
    </dgm:pt>
    <dgm:pt modelId="{50003BDC-7636-43F9-B3A4-709B5AEB8978}" type="pres">
      <dgm:prSet presAssocID="{E08E0489-0469-4D5C-9660-52D0BCF31FEC}" presName="hierRoot2" presStyleCnt="0">
        <dgm:presLayoutVars>
          <dgm:hierBranch val="init"/>
        </dgm:presLayoutVars>
      </dgm:prSet>
      <dgm:spPr/>
    </dgm:pt>
    <dgm:pt modelId="{D705C9A1-BB48-463D-97AE-85727DADB7AF}" type="pres">
      <dgm:prSet presAssocID="{E08E0489-0469-4D5C-9660-52D0BCF31FEC}" presName="rootComposite" presStyleCnt="0"/>
      <dgm:spPr/>
    </dgm:pt>
    <dgm:pt modelId="{5A946091-FEEA-459A-9697-A404DDC81FB3}" type="pres">
      <dgm:prSet presAssocID="{E08E0489-0469-4D5C-9660-52D0BCF31FEC}" presName="rootText" presStyleLbl="node3" presStyleIdx="3" presStyleCnt="9" custScaleX="90909" custScaleY="157775">
        <dgm:presLayoutVars>
          <dgm:chPref val="3"/>
        </dgm:presLayoutVars>
      </dgm:prSet>
      <dgm:spPr/>
    </dgm:pt>
    <dgm:pt modelId="{0B81A683-556F-40E1-839E-DF06F9DBFDF9}" type="pres">
      <dgm:prSet presAssocID="{E08E0489-0469-4D5C-9660-52D0BCF31FEC}" presName="rootConnector" presStyleLbl="node3" presStyleIdx="3" presStyleCnt="9"/>
      <dgm:spPr/>
    </dgm:pt>
    <dgm:pt modelId="{CB269BCF-04A9-41EB-9577-E15C07826716}" type="pres">
      <dgm:prSet presAssocID="{E08E0489-0469-4D5C-9660-52D0BCF31FEC}" presName="hierChild4" presStyleCnt="0"/>
      <dgm:spPr/>
    </dgm:pt>
    <dgm:pt modelId="{6B5A0903-6399-4F5F-ACEB-F9A10A6BAFA6}" type="pres">
      <dgm:prSet presAssocID="{E08E0489-0469-4D5C-9660-52D0BCF31FEC}" presName="hierChild5" presStyleCnt="0"/>
      <dgm:spPr/>
    </dgm:pt>
    <dgm:pt modelId="{AC7C1897-BC1E-4461-871F-70C4376E372A}" type="pres">
      <dgm:prSet presAssocID="{3F3C04E2-AB55-4D49-9A02-6D4E11A6412E}" presName="Name64" presStyleLbl="parChTrans1D3" presStyleIdx="4" presStyleCnt="9"/>
      <dgm:spPr/>
    </dgm:pt>
    <dgm:pt modelId="{286F8AD0-CF61-4FFA-A502-9015605B1B50}" type="pres">
      <dgm:prSet presAssocID="{FCACDBA5-8484-4428-B578-B3A489FD7951}" presName="hierRoot2" presStyleCnt="0">
        <dgm:presLayoutVars>
          <dgm:hierBranch val="init"/>
        </dgm:presLayoutVars>
      </dgm:prSet>
      <dgm:spPr/>
    </dgm:pt>
    <dgm:pt modelId="{16B67C5F-D8FC-4277-8CF2-56D34C06F7F2}" type="pres">
      <dgm:prSet presAssocID="{FCACDBA5-8484-4428-B578-B3A489FD7951}" presName="rootComposite" presStyleCnt="0"/>
      <dgm:spPr/>
    </dgm:pt>
    <dgm:pt modelId="{50966E10-EB14-46E8-87FF-569DE110D719}" type="pres">
      <dgm:prSet presAssocID="{FCACDBA5-8484-4428-B578-B3A489FD7951}" presName="rootText" presStyleLbl="node3" presStyleIdx="4" presStyleCnt="9" custScaleX="90909" custScaleY="157775">
        <dgm:presLayoutVars>
          <dgm:chPref val="3"/>
        </dgm:presLayoutVars>
      </dgm:prSet>
      <dgm:spPr/>
    </dgm:pt>
    <dgm:pt modelId="{6A80F1EA-16C5-471B-93CC-75AB33BA5F82}" type="pres">
      <dgm:prSet presAssocID="{FCACDBA5-8484-4428-B578-B3A489FD7951}" presName="rootConnector" presStyleLbl="node3" presStyleIdx="4" presStyleCnt="9"/>
      <dgm:spPr/>
    </dgm:pt>
    <dgm:pt modelId="{C29FB919-4B44-44AD-BB6E-D6511A832AF4}" type="pres">
      <dgm:prSet presAssocID="{FCACDBA5-8484-4428-B578-B3A489FD7951}" presName="hierChild4" presStyleCnt="0"/>
      <dgm:spPr/>
    </dgm:pt>
    <dgm:pt modelId="{C4AFB587-0CB6-4893-AC89-97E7B113002E}" type="pres">
      <dgm:prSet presAssocID="{FCACDBA5-8484-4428-B578-B3A489FD7951}" presName="hierChild5" presStyleCnt="0"/>
      <dgm:spPr/>
    </dgm:pt>
    <dgm:pt modelId="{4035DADC-AF8D-4007-90A4-354AAAE764ED}" type="pres">
      <dgm:prSet presAssocID="{61D95596-BA8F-4289-8D77-142EC836D6F7}" presName="Name64" presStyleLbl="parChTrans1D3" presStyleIdx="5" presStyleCnt="9"/>
      <dgm:spPr/>
    </dgm:pt>
    <dgm:pt modelId="{B0E7D249-55AC-4B07-8F1A-9DA4115959E9}" type="pres">
      <dgm:prSet presAssocID="{C1BB19D7-982D-4654-9DED-8CECC367E771}" presName="hierRoot2" presStyleCnt="0">
        <dgm:presLayoutVars>
          <dgm:hierBranch val="init"/>
        </dgm:presLayoutVars>
      </dgm:prSet>
      <dgm:spPr/>
    </dgm:pt>
    <dgm:pt modelId="{BD81D1E1-9A49-4E38-AE61-ED46451F9109}" type="pres">
      <dgm:prSet presAssocID="{C1BB19D7-982D-4654-9DED-8CECC367E771}" presName="rootComposite" presStyleCnt="0"/>
      <dgm:spPr/>
    </dgm:pt>
    <dgm:pt modelId="{4A3E6C53-74CE-4010-A91E-2EC903D1EBDA}" type="pres">
      <dgm:prSet presAssocID="{C1BB19D7-982D-4654-9DED-8CECC367E771}" presName="rootText" presStyleLbl="node3" presStyleIdx="5" presStyleCnt="9" custScaleX="90909" custScaleY="157775">
        <dgm:presLayoutVars>
          <dgm:chPref val="3"/>
        </dgm:presLayoutVars>
      </dgm:prSet>
      <dgm:spPr/>
    </dgm:pt>
    <dgm:pt modelId="{019A9A31-1B08-4379-A782-FD06AC4A9F33}" type="pres">
      <dgm:prSet presAssocID="{C1BB19D7-982D-4654-9DED-8CECC367E771}" presName="rootConnector" presStyleLbl="node3" presStyleIdx="5" presStyleCnt="9"/>
      <dgm:spPr/>
    </dgm:pt>
    <dgm:pt modelId="{76177B6D-7C5A-49AB-BC14-55AE13F8DAF5}" type="pres">
      <dgm:prSet presAssocID="{C1BB19D7-982D-4654-9DED-8CECC367E771}" presName="hierChild4" presStyleCnt="0"/>
      <dgm:spPr/>
    </dgm:pt>
    <dgm:pt modelId="{A33B4B43-BFAC-4463-993A-DC5C6E0ADD7A}" type="pres">
      <dgm:prSet presAssocID="{C1BB19D7-982D-4654-9DED-8CECC367E771}" presName="hierChild5" presStyleCnt="0"/>
      <dgm:spPr/>
    </dgm:pt>
    <dgm:pt modelId="{C5426997-B597-4AB9-97D4-4F80D9720476}" type="pres">
      <dgm:prSet presAssocID="{690C3D54-4C47-4558-90ED-E8EA4948AF75}" presName="Name64" presStyleLbl="parChTrans1D3" presStyleIdx="6" presStyleCnt="9"/>
      <dgm:spPr/>
    </dgm:pt>
    <dgm:pt modelId="{0E05D27B-FFAD-4FEA-B5E2-55E2B7163CA8}" type="pres">
      <dgm:prSet presAssocID="{3799BD29-7C7E-4734-8DBD-E091734BCA0D}" presName="hierRoot2" presStyleCnt="0">
        <dgm:presLayoutVars>
          <dgm:hierBranch val="init"/>
        </dgm:presLayoutVars>
      </dgm:prSet>
      <dgm:spPr/>
    </dgm:pt>
    <dgm:pt modelId="{3CF082CA-B88B-483D-8891-B2EDF36884BE}" type="pres">
      <dgm:prSet presAssocID="{3799BD29-7C7E-4734-8DBD-E091734BCA0D}" presName="rootComposite" presStyleCnt="0"/>
      <dgm:spPr/>
    </dgm:pt>
    <dgm:pt modelId="{FAA83FA2-1361-4159-9F52-ED5C0B0385C9}" type="pres">
      <dgm:prSet presAssocID="{3799BD29-7C7E-4734-8DBD-E091734BCA0D}" presName="rootText" presStyleLbl="node3" presStyleIdx="6" presStyleCnt="9" custScaleX="90909" custScaleY="157775">
        <dgm:presLayoutVars>
          <dgm:chPref val="3"/>
        </dgm:presLayoutVars>
      </dgm:prSet>
      <dgm:spPr/>
    </dgm:pt>
    <dgm:pt modelId="{C69CC85D-9E72-4CCD-AF78-0B35A150133D}" type="pres">
      <dgm:prSet presAssocID="{3799BD29-7C7E-4734-8DBD-E091734BCA0D}" presName="rootConnector" presStyleLbl="node3" presStyleIdx="6" presStyleCnt="9"/>
      <dgm:spPr/>
    </dgm:pt>
    <dgm:pt modelId="{B935EC4B-51AE-4A28-9A0F-1587DF90B65E}" type="pres">
      <dgm:prSet presAssocID="{3799BD29-7C7E-4734-8DBD-E091734BCA0D}" presName="hierChild4" presStyleCnt="0"/>
      <dgm:spPr/>
    </dgm:pt>
    <dgm:pt modelId="{47898925-E729-430F-816B-99E1BA0B61B7}" type="pres">
      <dgm:prSet presAssocID="{3799BD29-7C7E-4734-8DBD-E091734BCA0D}" presName="hierChild5" presStyleCnt="0"/>
      <dgm:spPr/>
    </dgm:pt>
    <dgm:pt modelId="{141F6528-1045-4FC7-AE3D-466A29B6032A}" type="pres">
      <dgm:prSet presAssocID="{85C9F109-FCAF-41A5-A8B3-38D4F29A96B6}" presName="Name64" presStyleLbl="parChTrans1D3" presStyleIdx="7" presStyleCnt="9"/>
      <dgm:spPr/>
    </dgm:pt>
    <dgm:pt modelId="{DCDB4C94-1258-4A41-8268-34D606C40560}" type="pres">
      <dgm:prSet presAssocID="{0736D341-20BF-4503-B1A8-56C582C86E6E}" presName="hierRoot2" presStyleCnt="0">
        <dgm:presLayoutVars>
          <dgm:hierBranch val="init"/>
        </dgm:presLayoutVars>
      </dgm:prSet>
      <dgm:spPr/>
    </dgm:pt>
    <dgm:pt modelId="{544D6F4E-65CC-4762-80BF-8D14DCD3386A}" type="pres">
      <dgm:prSet presAssocID="{0736D341-20BF-4503-B1A8-56C582C86E6E}" presName="rootComposite" presStyleCnt="0"/>
      <dgm:spPr/>
    </dgm:pt>
    <dgm:pt modelId="{A8308746-6110-4D82-8F28-CFFACFB8EA18}" type="pres">
      <dgm:prSet presAssocID="{0736D341-20BF-4503-B1A8-56C582C86E6E}" presName="rootText" presStyleLbl="node3" presStyleIdx="7" presStyleCnt="9" custScaleX="90909" custScaleY="157775">
        <dgm:presLayoutVars>
          <dgm:chPref val="3"/>
        </dgm:presLayoutVars>
      </dgm:prSet>
      <dgm:spPr/>
    </dgm:pt>
    <dgm:pt modelId="{F03F495A-1E14-4585-9EC1-D27F56B5559C}" type="pres">
      <dgm:prSet presAssocID="{0736D341-20BF-4503-B1A8-56C582C86E6E}" presName="rootConnector" presStyleLbl="node3" presStyleIdx="7" presStyleCnt="9"/>
      <dgm:spPr/>
    </dgm:pt>
    <dgm:pt modelId="{165FFD67-7120-4399-979C-1A6620DF3457}" type="pres">
      <dgm:prSet presAssocID="{0736D341-20BF-4503-B1A8-56C582C86E6E}" presName="hierChild4" presStyleCnt="0"/>
      <dgm:spPr/>
    </dgm:pt>
    <dgm:pt modelId="{F52C3058-892A-4EF8-A60D-2D9F551F6F3B}" type="pres">
      <dgm:prSet presAssocID="{0736D341-20BF-4503-B1A8-56C582C86E6E}" presName="hierChild5" presStyleCnt="0"/>
      <dgm:spPr/>
    </dgm:pt>
    <dgm:pt modelId="{5283C4CA-636D-4904-A0E4-B82692E11026}" type="pres">
      <dgm:prSet presAssocID="{C8BB5E06-030A-41BE-89AA-3F290A9C65EC}" presName="Name64" presStyleLbl="parChTrans1D3" presStyleIdx="8" presStyleCnt="9"/>
      <dgm:spPr/>
    </dgm:pt>
    <dgm:pt modelId="{00B502FF-1439-428B-90F2-6FA2D652E056}" type="pres">
      <dgm:prSet presAssocID="{491B0E3C-B438-4468-AFF8-6AF4114FABE9}" presName="hierRoot2" presStyleCnt="0">
        <dgm:presLayoutVars>
          <dgm:hierBranch val="init"/>
        </dgm:presLayoutVars>
      </dgm:prSet>
      <dgm:spPr/>
    </dgm:pt>
    <dgm:pt modelId="{F355FA51-A85B-4983-9169-68D8E9ADBF8D}" type="pres">
      <dgm:prSet presAssocID="{491B0E3C-B438-4468-AFF8-6AF4114FABE9}" presName="rootComposite" presStyleCnt="0"/>
      <dgm:spPr/>
    </dgm:pt>
    <dgm:pt modelId="{62108809-3E71-40BC-A662-9F5E05CDA050}" type="pres">
      <dgm:prSet presAssocID="{491B0E3C-B438-4468-AFF8-6AF4114FABE9}" presName="rootText" presStyleLbl="node3" presStyleIdx="8" presStyleCnt="9" custScaleX="90909" custScaleY="157775">
        <dgm:presLayoutVars>
          <dgm:chPref val="3"/>
        </dgm:presLayoutVars>
      </dgm:prSet>
      <dgm:spPr/>
    </dgm:pt>
    <dgm:pt modelId="{2A536858-D78C-433D-8B13-97BB2C44DE4B}" type="pres">
      <dgm:prSet presAssocID="{491B0E3C-B438-4468-AFF8-6AF4114FABE9}" presName="rootConnector" presStyleLbl="node3" presStyleIdx="8" presStyleCnt="9"/>
      <dgm:spPr/>
    </dgm:pt>
    <dgm:pt modelId="{BBA48A84-CFB6-44E5-AB7E-F390722E34BB}" type="pres">
      <dgm:prSet presAssocID="{491B0E3C-B438-4468-AFF8-6AF4114FABE9}" presName="hierChild4" presStyleCnt="0"/>
      <dgm:spPr/>
    </dgm:pt>
    <dgm:pt modelId="{B44BA3A7-3537-46D8-8457-2D13ECB45426}" type="pres">
      <dgm:prSet presAssocID="{491B0E3C-B438-4468-AFF8-6AF4114FABE9}" presName="hierChild5" presStyleCnt="0"/>
      <dgm:spPr/>
    </dgm:pt>
    <dgm:pt modelId="{28CA197B-034A-44FC-A6E3-107E5B1272D6}" type="pres">
      <dgm:prSet presAssocID="{36039ECA-2B48-4A6E-B030-49EE0A898C63}" presName="hierChild5" presStyleCnt="0"/>
      <dgm:spPr/>
    </dgm:pt>
    <dgm:pt modelId="{8CABB397-1B23-4874-9C89-5BC757739256}" type="pres">
      <dgm:prSet presAssocID="{A29848FC-AE99-42DE-B8B0-583869649D83}" presName="hierChild3" presStyleCnt="0"/>
      <dgm:spPr/>
    </dgm:pt>
    <dgm:pt modelId="{6FFF68DA-C722-4BA8-BDB9-5488B4178CC3}" type="pres">
      <dgm:prSet presAssocID="{8731D5AC-85B7-416C-BB1B-544FDD3B3CD2}" presName="hierRoot1" presStyleCnt="0">
        <dgm:presLayoutVars>
          <dgm:hierBranch val="init"/>
        </dgm:presLayoutVars>
      </dgm:prSet>
      <dgm:spPr/>
    </dgm:pt>
    <dgm:pt modelId="{7F1D97BD-DB2A-49BE-A348-2A493B2E6E95}" type="pres">
      <dgm:prSet presAssocID="{8731D5AC-85B7-416C-BB1B-544FDD3B3CD2}" presName="rootComposite1" presStyleCnt="0"/>
      <dgm:spPr/>
    </dgm:pt>
    <dgm:pt modelId="{7476D790-EBC4-46EB-B1DA-4AE5048FBB22}" type="pres">
      <dgm:prSet presAssocID="{8731D5AC-85B7-416C-BB1B-544FDD3B3CD2}" presName="rootText1" presStyleLbl="node0" presStyleIdx="2" presStyleCnt="3" custScaleX="92255" custScaleY="166362" custLinFactNeighborX="3418" custLinFactNeighborY="10072">
        <dgm:presLayoutVars>
          <dgm:chPref val="3"/>
        </dgm:presLayoutVars>
      </dgm:prSet>
      <dgm:spPr/>
    </dgm:pt>
    <dgm:pt modelId="{5A58BFFD-86BE-4B37-9302-928CF16BB779}" type="pres">
      <dgm:prSet presAssocID="{8731D5AC-85B7-416C-BB1B-544FDD3B3CD2}" presName="rootConnector1" presStyleLbl="node1" presStyleIdx="0" presStyleCnt="0"/>
      <dgm:spPr/>
    </dgm:pt>
    <dgm:pt modelId="{561DC052-E1AE-40E2-AC2D-AA76BA454337}" type="pres">
      <dgm:prSet presAssocID="{8731D5AC-85B7-416C-BB1B-544FDD3B3CD2}" presName="hierChild2" presStyleCnt="0"/>
      <dgm:spPr/>
    </dgm:pt>
    <dgm:pt modelId="{CBBBF7C7-EF7C-4361-9D9E-2EF6AED38593}" type="pres">
      <dgm:prSet presAssocID="{8731D5AC-85B7-416C-BB1B-544FDD3B3CD2}" presName="hierChild3" presStyleCnt="0"/>
      <dgm:spPr/>
    </dgm:pt>
  </dgm:ptLst>
  <dgm:cxnLst>
    <dgm:cxn modelId="{0E3D5201-1778-44AD-879A-4024EB2B215F}" type="presOf" srcId="{FCACDBA5-8484-4428-B578-B3A489FD7951}" destId="{6A80F1EA-16C5-471B-93CC-75AB33BA5F82}" srcOrd="1" destOrd="0" presId="urn:microsoft.com/office/officeart/2009/3/layout/HorizontalOrganizationChart"/>
    <dgm:cxn modelId="{04831B1C-FB99-4C08-A0E4-2F752C1EEC4A}" srcId="{A29848FC-AE99-42DE-B8B0-583869649D83}" destId="{36039ECA-2B48-4A6E-B030-49EE0A898C63}" srcOrd="0" destOrd="0" parTransId="{CC527BDE-C036-4847-A9A9-0E1230809B10}" sibTransId="{1C18B7FD-140D-4910-AF74-EF042028CD93}"/>
    <dgm:cxn modelId="{57FE102A-4D62-4FE4-97BF-7D58D5F89DA5}" type="presOf" srcId="{A724BF01-B12E-4DD4-B429-D8CDBC74F04C}" destId="{73B57D61-B776-48EC-B870-6FBA604ED4FD}" srcOrd="0" destOrd="0" presId="urn:microsoft.com/office/officeart/2009/3/layout/HorizontalOrganizationChart"/>
    <dgm:cxn modelId="{2017A52A-334B-46D1-8713-3E506FA57457}" type="presOf" srcId="{491B0E3C-B438-4468-AFF8-6AF4114FABE9}" destId="{2A536858-D78C-433D-8B13-97BB2C44DE4B}" srcOrd="1" destOrd="0" presId="urn:microsoft.com/office/officeart/2009/3/layout/HorizontalOrganizationChart"/>
    <dgm:cxn modelId="{3505A82C-7B12-4E2D-B710-330F1C33F2F8}" type="presOf" srcId="{3F3C04E2-AB55-4D49-9A02-6D4E11A6412E}" destId="{AC7C1897-BC1E-4461-871F-70C4376E372A}" srcOrd="0" destOrd="0" presId="urn:microsoft.com/office/officeart/2009/3/layout/HorizontalOrganizationChart"/>
    <dgm:cxn modelId="{0F0EF732-ED62-45A7-AD55-C0EE1398531B}" srcId="{36039ECA-2B48-4A6E-B030-49EE0A898C63}" destId="{0B6A7FC9-BDE0-4201-8D69-28823B510607}" srcOrd="0" destOrd="0" parTransId="{6160C3F5-EEA5-4EAF-8BD2-2080897030B2}" sibTransId="{62CA9FE9-B70B-4223-A443-95D4BC7D38E0}"/>
    <dgm:cxn modelId="{326BE236-6325-4766-AB34-4BF17D0CC96A}" srcId="{36039ECA-2B48-4A6E-B030-49EE0A898C63}" destId="{E08E0489-0469-4D5C-9660-52D0BCF31FEC}" srcOrd="3" destOrd="0" parTransId="{A724BF01-B12E-4DD4-B429-D8CDBC74F04C}" sibTransId="{35DF180C-D725-4D3D-A694-C74EFD33E99A}"/>
    <dgm:cxn modelId="{3D2DD338-DB9F-4BE3-832B-77616C7BA3CA}" type="presOf" srcId="{72FD163E-8C43-4743-908D-FCC6D194C800}" destId="{420550FC-3CD8-41D2-8114-F4DBFDF70E9D}" srcOrd="0" destOrd="0" presId="urn:microsoft.com/office/officeart/2009/3/layout/HorizontalOrganizationChart"/>
    <dgm:cxn modelId="{7AC0225B-89C2-4F1E-8596-C3648FFAEA92}" srcId="{9C053FC6-CA4D-4F02-96CF-F9C65DA18743}" destId="{8731D5AC-85B7-416C-BB1B-544FDD3B3CD2}" srcOrd="2" destOrd="0" parTransId="{E2D90D9E-7EED-4C00-88BC-502E93101021}" sibTransId="{11E28AA7-E58B-48D4-ADF4-42CC672AAB4F}"/>
    <dgm:cxn modelId="{01C32961-13EA-404F-8424-D42E455BAE57}" srcId="{36039ECA-2B48-4A6E-B030-49EE0A898C63}" destId="{0736D341-20BF-4503-B1A8-56C582C86E6E}" srcOrd="7" destOrd="0" parTransId="{85C9F109-FCAF-41A5-A8B3-38D4F29A96B6}" sibTransId="{222C9079-D279-4F79-819E-4BFC35416886}"/>
    <dgm:cxn modelId="{F580D341-40D9-4001-9CE2-AFB328BA4A92}" type="presOf" srcId="{0B6A7FC9-BDE0-4201-8D69-28823B510607}" destId="{05BCE3C4-03F2-40F1-AD0D-8F6304EE3606}" srcOrd="1" destOrd="0" presId="urn:microsoft.com/office/officeart/2009/3/layout/HorizontalOrganizationChart"/>
    <dgm:cxn modelId="{77744B63-9760-4A00-8CA5-FF28A32F47D1}" type="presOf" srcId="{A29848FC-AE99-42DE-B8B0-583869649D83}" destId="{DC650463-4EDD-4AE6-A35E-9D688F455D40}" srcOrd="0" destOrd="0" presId="urn:microsoft.com/office/officeart/2009/3/layout/HorizontalOrganizationChart"/>
    <dgm:cxn modelId="{47373F6C-34E4-4562-AA84-9E0EC4EA4DCE}" type="presOf" srcId="{DDD8C77B-A5A3-43F6-906E-28E1672C324A}" destId="{5B7B1A4F-4F7D-4042-8FE0-F31E36F5F48F}" srcOrd="0" destOrd="0" presId="urn:microsoft.com/office/officeart/2009/3/layout/HorizontalOrganizationChart"/>
    <dgm:cxn modelId="{F5C70A4F-377C-4B5B-8608-2BEE5A075EAE}" type="presOf" srcId="{85C9F109-FCAF-41A5-A8B3-38D4F29A96B6}" destId="{141F6528-1045-4FC7-AE3D-466A29B6032A}" srcOrd="0" destOrd="0" presId="urn:microsoft.com/office/officeart/2009/3/layout/HorizontalOrganizationChart"/>
    <dgm:cxn modelId="{CF360C50-5D88-4253-8863-872A18E248A1}" type="presOf" srcId="{8731D5AC-85B7-416C-BB1B-544FDD3B3CD2}" destId="{5A58BFFD-86BE-4B37-9302-928CF16BB779}" srcOrd="1" destOrd="0" presId="urn:microsoft.com/office/officeart/2009/3/layout/HorizontalOrganizationChart"/>
    <dgm:cxn modelId="{C01A2174-8744-4E86-88CD-2508A1D5C0FE}" type="presOf" srcId="{DDD8C77B-A5A3-43F6-906E-28E1672C324A}" destId="{11F14182-59D7-4B25-91BC-72AB2566E8C0}" srcOrd="1" destOrd="0" presId="urn:microsoft.com/office/officeart/2009/3/layout/HorizontalOrganizationChart"/>
    <dgm:cxn modelId="{08256354-9682-433E-9DF0-0660CC1D9955}" type="presOf" srcId="{CC527BDE-C036-4847-A9A9-0E1230809B10}" destId="{5D8C8E0D-DC62-4584-96A0-62BFBE330EB3}" srcOrd="0" destOrd="0" presId="urn:microsoft.com/office/officeart/2009/3/layout/HorizontalOrganizationChart"/>
    <dgm:cxn modelId="{9F747977-74CA-4057-A6B2-0E38549EA26C}" type="presOf" srcId="{0736D341-20BF-4503-B1A8-56C582C86E6E}" destId="{A8308746-6110-4D82-8F28-CFFACFB8EA18}" srcOrd="0" destOrd="0" presId="urn:microsoft.com/office/officeart/2009/3/layout/HorizontalOrganizationChart"/>
    <dgm:cxn modelId="{9058BE58-6F69-4626-8D0D-D921F33FC14E}" type="presOf" srcId="{444EFBAF-4708-456D-A6AC-6E1F6B7328F6}" destId="{1E038808-A480-4F78-B33F-9CA22D333DDB}" srcOrd="1" destOrd="0" presId="urn:microsoft.com/office/officeart/2009/3/layout/HorizontalOrganizationChart"/>
    <dgm:cxn modelId="{F2EEB85A-FC06-4351-B84D-F4A3C81482F9}" type="presOf" srcId="{444EFBAF-4708-456D-A6AC-6E1F6B7328F6}" destId="{E5ADC657-8573-4942-9647-AE29F0261138}" srcOrd="0" destOrd="0" presId="urn:microsoft.com/office/officeart/2009/3/layout/HorizontalOrganizationChart"/>
    <dgm:cxn modelId="{1744F77A-F6F7-4095-AD65-8C480B5D35CE}" type="presOf" srcId="{E08E0489-0469-4D5C-9660-52D0BCF31FEC}" destId="{5A946091-FEEA-459A-9697-A404DDC81FB3}" srcOrd="0" destOrd="0" presId="urn:microsoft.com/office/officeart/2009/3/layout/HorizontalOrganizationChart"/>
    <dgm:cxn modelId="{2AB22D82-9984-4D2F-9430-3055BD249248}" srcId="{36039ECA-2B48-4A6E-B030-49EE0A898C63}" destId="{DDD8C77B-A5A3-43F6-906E-28E1672C324A}" srcOrd="2" destOrd="0" parTransId="{2E3BC531-905D-43AF-BED6-EC0CED4456C2}" sibTransId="{E7C41D3E-FAB2-4FDA-95AE-DC8B556914AD}"/>
    <dgm:cxn modelId="{389A2188-0FF7-4445-A867-3AFDD779EF3F}" type="presOf" srcId="{3799BD29-7C7E-4734-8DBD-E091734BCA0D}" destId="{C69CC85D-9E72-4CCD-AF78-0B35A150133D}" srcOrd="1" destOrd="0" presId="urn:microsoft.com/office/officeart/2009/3/layout/HorizontalOrganizationChart"/>
    <dgm:cxn modelId="{FAA84789-EE8C-4B0D-8B6A-2CC07E22D941}" type="presOf" srcId="{C1BB19D7-982D-4654-9DED-8CECC367E771}" destId="{4A3E6C53-74CE-4010-A91E-2EC903D1EBDA}" srcOrd="0" destOrd="0" presId="urn:microsoft.com/office/officeart/2009/3/layout/HorizontalOrganizationChart"/>
    <dgm:cxn modelId="{CFA3518C-F7E4-4895-B6F2-F83754292299}" type="presOf" srcId="{0736D341-20BF-4503-B1A8-56C582C86E6E}" destId="{F03F495A-1E14-4585-9EC1-D27F56B5559C}" srcOrd="1" destOrd="0" presId="urn:microsoft.com/office/officeart/2009/3/layout/HorizontalOrganizationChart"/>
    <dgm:cxn modelId="{52EF7F8F-E330-45D4-A24E-C4D21DDD6861}" type="presOf" srcId="{C8BB5E06-030A-41BE-89AA-3F290A9C65EC}" destId="{5283C4CA-636D-4904-A0E4-B82692E11026}" srcOrd="0" destOrd="0" presId="urn:microsoft.com/office/officeart/2009/3/layout/HorizontalOrganizationChart"/>
    <dgm:cxn modelId="{E6FBC88F-2FA7-40D6-9285-8CC7EF0A237D}" type="presOf" srcId="{61D95596-BA8F-4289-8D77-142EC836D6F7}" destId="{4035DADC-AF8D-4007-90A4-354AAAE764ED}" srcOrd="0" destOrd="0" presId="urn:microsoft.com/office/officeart/2009/3/layout/HorizontalOrganizationChart"/>
    <dgm:cxn modelId="{05892599-26C5-4C46-83F7-F73A3130E21D}" srcId="{9C053FC6-CA4D-4F02-96CF-F9C65DA18743}" destId="{A29848FC-AE99-42DE-B8B0-583869649D83}" srcOrd="1" destOrd="0" parTransId="{00373F47-4B7C-4CBF-827E-624BFFC98316}" sibTransId="{645494C3-7E94-4F76-910C-BA6FCFD782D2}"/>
    <dgm:cxn modelId="{40BBD0A0-7D61-4F30-8B00-3B3F6804A056}" srcId="{36039ECA-2B48-4A6E-B030-49EE0A898C63}" destId="{FCACDBA5-8484-4428-B578-B3A489FD7951}" srcOrd="4" destOrd="0" parTransId="{3F3C04E2-AB55-4D49-9A02-6D4E11A6412E}" sibTransId="{9E362C04-FE4C-4D46-BD8A-39BF0BABCD7E}"/>
    <dgm:cxn modelId="{A0FF76A5-2745-4086-83FD-C116548C86C4}" type="presOf" srcId="{491B0E3C-B438-4468-AFF8-6AF4114FABE9}" destId="{62108809-3E71-40BC-A662-9F5E05CDA050}" srcOrd="0" destOrd="0" presId="urn:microsoft.com/office/officeart/2009/3/layout/HorizontalOrganizationChart"/>
    <dgm:cxn modelId="{E56D0AA9-1096-417B-86A3-53421B08DA4D}" type="presOf" srcId="{C1BB19D7-982D-4654-9DED-8CECC367E771}" destId="{019A9A31-1B08-4379-A782-FD06AC4A9F33}" srcOrd="1" destOrd="0" presId="urn:microsoft.com/office/officeart/2009/3/layout/HorizontalOrganizationChart"/>
    <dgm:cxn modelId="{A2810EB8-8760-4459-A8E3-15B1D3C30A4D}" type="presOf" srcId="{36039ECA-2B48-4A6E-B030-49EE0A898C63}" destId="{38353BCF-4BF4-40D3-A9FE-7FEC72689B08}" srcOrd="1" destOrd="0" presId="urn:microsoft.com/office/officeart/2009/3/layout/HorizontalOrganizationChart"/>
    <dgm:cxn modelId="{2297D6BA-3D40-4C7F-A1E7-55788B1999CB}" type="presOf" srcId="{54EAF7CF-27F5-4F9F-A817-CC22D31FC5AF}" destId="{4BAD757A-E348-4BC0-BE7D-01B6DB8275C9}" srcOrd="0" destOrd="0" presId="urn:microsoft.com/office/officeart/2009/3/layout/HorizontalOrganizationChart"/>
    <dgm:cxn modelId="{B4F7F2BD-C02E-4638-9BB0-1D1C717F3831}" type="presOf" srcId="{8731D5AC-85B7-416C-BB1B-544FDD3B3CD2}" destId="{7476D790-EBC4-46EB-B1DA-4AE5048FBB22}" srcOrd="0" destOrd="0" presId="urn:microsoft.com/office/officeart/2009/3/layout/HorizontalOrganizationChart"/>
    <dgm:cxn modelId="{D56B43BE-4D0D-4D7C-98E6-69347DA14682}" srcId="{36039ECA-2B48-4A6E-B030-49EE0A898C63}" destId="{491B0E3C-B438-4468-AFF8-6AF4114FABE9}" srcOrd="8" destOrd="0" parTransId="{C8BB5E06-030A-41BE-89AA-3F290A9C65EC}" sibTransId="{11E673D3-9185-4C06-B238-CDFD080668F1}"/>
    <dgm:cxn modelId="{497813C0-A8D9-40AB-99D4-7F288AEFC35A}" type="presOf" srcId="{6160C3F5-EEA5-4EAF-8BD2-2080897030B2}" destId="{FDAFEEEF-E4F6-44D6-99BF-BBA1A4EA4CC5}" srcOrd="0" destOrd="0" presId="urn:microsoft.com/office/officeart/2009/3/layout/HorizontalOrganizationChart"/>
    <dgm:cxn modelId="{6D541CC3-E3F4-4714-ABD1-7F88D0F736A7}" type="presOf" srcId="{9C053FC6-CA4D-4F02-96CF-F9C65DA18743}" destId="{473FCDEF-6A9A-4F6B-B07B-B5B1E3C3700D}" srcOrd="0" destOrd="0" presId="urn:microsoft.com/office/officeart/2009/3/layout/HorizontalOrganizationChart"/>
    <dgm:cxn modelId="{2929C7C8-7CB6-4C00-A046-4007F480B8EB}" type="presOf" srcId="{E08E0489-0469-4D5C-9660-52D0BCF31FEC}" destId="{0B81A683-556F-40E1-839E-DF06F9DBFDF9}" srcOrd="1" destOrd="0" presId="urn:microsoft.com/office/officeart/2009/3/layout/HorizontalOrganizationChart"/>
    <dgm:cxn modelId="{AF3B10C9-0955-412F-84C4-2F9EEE1DFD9C}" type="presOf" srcId="{A29848FC-AE99-42DE-B8B0-583869649D83}" destId="{43272212-EA85-4517-B80D-AA64238BD018}" srcOrd="1" destOrd="0" presId="urn:microsoft.com/office/officeart/2009/3/layout/HorizontalOrganizationChart"/>
    <dgm:cxn modelId="{8890CEC9-12E7-45C2-8BCC-6C4C11724299}" type="presOf" srcId="{690C3D54-4C47-4558-90ED-E8EA4948AF75}" destId="{C5426997-B597-4AB9-97D4-4F80D9720476}" srcOrd="0" destOrd="0" presId="urn:microsoft.com/office/officeart/2009/3/layout/HorizontalOrganizationChart"/>
    <dgm:cxn modelId="{8A4911CC-28E5-48B2-BC73-419ADA209ACA}" srcId="{36039ECA-2B48-4A6E-B030-49EE0A898C63}" destId="{C1BB19D7-982D-4654-9DED-8CECC367E771}" srcOrd="5" destOrd="0" parTransId="{61D95596-BA8F-4289-8D77-142EC836D6F7}" sibTransId="{F9CF3DCC-15B8-489C-9EA0-02CB40F3F14D}"/>
    <dgm:cxn modelId="{C3926DCD-91FE-48EB-AA15-2AC102ACA3C1}" type="presOf" srcId="{2E3BC531-905D-43AF-BED6-EC0CED4456C2}" destId="{99D8F9BD-1EAF-49D1-9BF8-7049A09F463B}" srcOrd="0" destOrd="0" presId="urn:microsoft.com/office/officeart/2009/3/layout/HorizontalOrganizationChart"/>
    <dgm:cxn modelId="{41433CD4-38D1-4E42-8FB8-C091135CB721}" srcId="{36039ECA-2B48-4A6E-B030-49EE0A898C63}" destId="{54EAF7CF-27F5-4F9F-A817-CC22D31FC5AF}" srcOrd="1" destOrd="0" parTransId="{72FD163E-8C43-4743-908D-FCC6D194C800}" sibTransId="{B699BD06-DC2B-439B-8D64-2C5E482AA2EC}"/>
    <dgm:cxn modelId="{E01204DB-CBEB-4A7F-96B6-9974F1B375C6}" type="presOf" srcId="{54EAF7CF-27F5-4F9F-A817-CC22D31FC5AF}" destId="{AA7C284F-558C-48DD-A30D-3F7FB5B4A8F2}" srcOrd="1" destOrd="0" presId="urn:microsoft.com/office/officeart/2009/3/layout/HorizontalOrganizationChart"/>
    <dgm:cxn modelId="{535082DF-092E-4DF1-A46E-35A89F9F1E13}" srcId="{9C053FC6-CA4D-4F02-96CF-F9C65DA18743}" destId="{444EFBAF-4708-456D-A6AC-6E1F6B7328F6}" srcOrd="0" destOrd="0" parTransId="{1D5CD6A1-17BA-44A2-9BCA-CF24B7952730}" sibTransId="{AA72BE92-52C5-473A-BB42-2EAAE0B96B91}"/>
    <dgm:cxn modelId="{119B76E0-51B8-4A1A-8C5B-AD65CB915D6E}" srcId="{36039ECA-2B48-4A6E-B030-49EE0A898C63}" destId="{3799BD29-7C7E-4734-8DBD-E091734BCA0D}" srcOrd="6" destOrd="0" parTransId="{690C3D54-4C47-4558-90ED-E8EA4948AF75}" sibTransId="{DDAC83C8-25BE-4980-88B6-A8D7B668DFF5}"/>
    <dgm:cxn modelId="{8683D1E0-2705-40C5-843F-765FEB0980C1}" type="presOf" srcId="{3799BD29-7C7E-4734-8DBD-E091734BCA0D}" destId="{FAA83FA2-1361-4159-9F52-ED5C0B0385C9}" srcOrd="0" destOrd="0" presId="urn:microsoft.com/office/officeart/2009/3/layout/HorizontalOrganizationChart"/>
    <dgm:cxn modelId="{0891BBF1-D8E4-40A6-B30B-B1EBFD7909AC}" type="presOf" srcId="{0B6A7FC9-BDE0-4201-8D69-28823B510607}" destId="{1220C2D4-7B3D-45BA-BECB-E0F2508E5C33}" srcOrd="0" destOrd="0" presId="urn:microsoft.com/office/officeart/2009/3/layout/HorizontalOrganizationChart"/>
    <dgm:cxn modelId="{F52C36F2-78AC-4A6D-B4D4-14832050D6DD}" type="presOf" srcId="{FCACDBA5-8484-4428-B578-B3A489FD7951}" destId="{50966E10-EB14-46E8-87FF-569DE110D719}" srcOrd="0" destOrd="0" presId="urn:microsoft.com/office/officeart/2009/3/layout/HorizontalOrganizationChart"/>
    <dgm:cxn modelId="{F25141FA-93AC-4434-A7CB-DB1A9EE05A27}" type="presOf" srcId="{36039ECA-2B48-4A6E-B030-49EE0A898C63}" destId="{F0CB17EA-ED74-4930-9C57-4FD44586323F}" srcOrd="0" destOrd="0" presId="urn:microsoft.com/office/officeart/2009/3/layout/HorizontalOrganizationChart"/>
    <dgm:cxn modelId="{FE9A1AD8-5962-43A9-9D9D-43E0438B9EB1}" type="presParOf" srcId="{473FCDEF-6A9A-4F6B-B07B-B5B1E3C3700D}" destId="{A185685A-7B4C-4BDE-9E46-AFB91802305D}" srcOrd="0" destOrd="0" presId="urn:microsoft.com/office/officeart/2009/3/layout/HorizontalOrganizationChart"/>
    <dgm:cxn modelId="{FDA0FB56-AB22-4F22-BB5F-EB13FC6584E4}" type="presParOf" srcId="{A185685A-7B4C-4BDE-9E46-AFB91802305D}" destId="{72671731-0023-4549-8AC5-3FBD5032145E}" srcOrd="0" destOrd="0" presId="urn:microsoft.com/office/officeart/2009/3/layout/HorizontalOrganizationChart"/>
    <dgm:cxn modelId="{C1AD6520-D0E5-4904-A99E-BEE34E92BA87}" type="presParOf" srcId="{72671731-0023-4549-8AC5-3FBD5032145E}" destId="{E5ADC657-8573-4942-9647-AE29F0261138}" srcOrd="0" destOrd="0" presId="urn:microsoft.com/office/officeart/2009/3/layout/HorizontalOrganizationChart"/>
    <dgm:cxn modelId="{35B336EA-91B4-4714-BD21-8B736A448308}" type="presParOf" srcId="{72671731-0023-4549-8AC5-3FBD5032145E}" destId="{1E038808-A480-4F78-B33F-9CA22D333DDB}" srcOrd="1" destOrd="0" presId="urn:microsoft.com/office/officeart/2009/3/layout/HorizontalOrganizationChart"/>
    <dgm:cxn modelId="{95651646-2A93-4808-B96C-B0372C55272F}" type="presParOf" srcId="{A185685A-7B4C-4BDE-9E46-AFB91802305D}" destId="{2FA01F67-A4E2-4198-AAF6-57D43C8D9597}" srcOrd="1" destOrd="0" presId="urn:microsoft.com/office/officeart/2009/3/layout/HorizontalOrganizationChart"/>
    <dgm:cxn modelId="{F6B158AF-4861-41FC-A8FC-A1FCDD0D8653}" type="presParOf" srcId="{A185685A-7B4C-4BDE-9E46-AFB91802305D}" destId="{ADBEE22D-C2A5-46EC-97AF-8619A776C4F3}" srcOrd="2" destOrd="0" presId="urn:microsoft.com/office/officeart/2009/3/layout/HorizontalOrganizationChart"/>
    <dgm:cxn modelId="{FA88BDF4-26C3-48A5-87C0-ADDD0CF672F3}" type="presParOf" srcId="{473FCDEF-6A9A-4F6B-B07B-B5B1E3C3700D}" destId="{83FBF7A5-5BE9-4CF7-B989-DDF4332F6677}" srcOrd="1" destOrd="0" presId="urn:microsoft.com/office/officeart/2009/3/layout/HorizontalOrganizationChart"/>
    <dgm:cxn modelId="{8CAAEE04-D61E-42F9-B4CC-EAA8AFA3C66F}" type="presParOf" srcId="{83FBF7A5-5BE9-4CF7-B989-DDF4332F6677}" destId="{68FCD183-B7CC-44B9-9DC7-DD329BF4D1E1}" srcOrd="0" destOrd="0" presId="urn:microsoft.com/office/officeart/2009/3/layout/HorizontalOrganizationChart"/>
    <dgm:cxn modelId="{B35C16C0-BE63-4BF3-B0E1-A91D82B51985}" type="presParOf" srcId="{68FCD183-B7CC-44B9-9DC7-DD329BF4D1E1}" destId="{DC650463-4EDD-4AE6-A35E-9D688F455D40}" srcOrd="0" destOrd="0" presId="urn:microsoft.com/office/officeart/2009/3/layout/HorizontalOrganizationChart"/>
    <dgm:cxn modelId="{5CD5E4C6-02DD-4729-A421-6EFCBE8F6F2A}" type="presParOf" srcId="{68FCD183-B7CC-44B9-9DC7-DD329BF4D1E1}" destId="{43272212-EA85-4517-B80D-AA64238BD018}" srcOrd="1" destOrd="0" presId="urn:microsoft.com/office/officeart/2009/3/layout/HorizontalOrganizationChart"/>
    <dgm:cxn modelId="{60C4C3A6-D162-4037-80BA-1CDD892CA1DD}" type="presParOf" srcId="{83FBF7A5-5BE9-4CF7-B989-DDF4332F6677}" destId="{B6C93C5D-AB26-43CC-97FA-32355D52E944}" srcOrd="1" destOrd="0" presId="urn:microsoft.com/office/officeart/2009/3/layout/HorizontalOrganizationChart"/>
    <dgm:cxn modelId="{E6CC9FF7-1C7F-427B-9E78-2D10DD43E9E1}" type="presParOf" srcId="{B6C93C5D-AB26-43CC-97FA-32355D52E944}" destId="{5D8C8E0D-DC62-4584-96A0-62BFBE330EB3}" srcOrd="0" destOrd="0" presId="urn:microsoft.com/office/officeart/2009/3/layout/HorizontalOrganizationChart"/>
    <dgm:cxn modelId="{621FCA6D-9BE8-4888-A309-DA92DF179B44}" type="presParOf" srcId="{B6C93C5D-AB26-43CC-97FA-32355D52E944}" destId="{3BF01747-585A-4A59-985A-45DD9F974077}" srcOrd="1" destOrd="0" presId="urn:microsoft.com/office/officeart/2009/3/layout/HorizontalOrganizationChart"/>
    <dgm:cxn modelId="{CA8A6CC2-6C46-4F1C-B75A-78DA946393E5}" type="presParOf" srcId="{3BF01747-585A-4A59-985A-45DD9F974077}" destId="{0AF6CF76-4C0F-4366-B16C-FFB1F6B1A57E}" srcOrd="0" destOrd="0" presId="urn:microsoft.com/office/officeart/2009/3/layout/HorizontalOrganizationChart"/>
    <dgm:cxn modelId="{E86253AB-AAD5-47CC-9AB0-EA43E5ECD3DF}" type="presParOf" srcId="{0AF6CF76-4C0F-4366-B16C-FFB1F6B1A57E}" destId="{F0CB17EA-ED74-4930-9C57-4FD44586323F}" srcOrd="0" destOrd="0" presId="urn:microsoft.com/office/officeart/2009/3/layout/HorizontalOrganizationChart"/>
    <dgm:cxn modelId="{E2D7B686-4F3C-4FA9-A0C3-B8E42CDA028E}" type="presParOf" srcId="{0AF6CF76-4C0F-4366-B16C-FFB1F6B1A57E}" destId="{38353BCF-4BF4-40D3-A9FE-7FEC72689B08}" srcOrd="1" destOrd="0" presId="urn:microsoft.com/office/officeart/2009/3/layout/HorizontalOrganizationChart"/>
    <dgm:cxn modelId="{AD4D0182-EA46-4682-A4CE-B34F71615528}" type="presParOf" srcId="{3BF01747-585A-4A59-985A-45DD9F974077}" destId="{CB76EFCA-F93E-4D24-AA0F-BEEE7C0C9691}" srcOrd="1" destOrd="0" presId="urn:microsoft.com/office/officeart/2009/3/layout/HorizontalOrganizationChart"/>
    <dgm:cxn modelId="{AAE487AC-47D5-43E5-97D5-5E1C7889380A}" type="presParOf" srcId="{CB76EFCA-F93E-4D24-AA0F-BEEE7C0C9691}" destId="{FDAFEEEF-E4F6-44D6-99BF-BBA1A4EA4CC5}" srcOrd="0" destOrd="0" presId="urn:microsoft.com/office/officeart/2009/3/layout/HorizontalOrganizationChart"/>
    <dgm:cxn modelId="{94D7EE97-FBAC-479A-98CA-C3AC763465E0}" type="presParOf" srcId="{CB76EFCA-F93E-4D24-AA0F-BEEE7C0C9691}" destId="{F5452783-7187-45D0-B10E-F60E74635BE8}" srcOrd="1" destOrd="0" presId="urn:microsoft.com/office/officeart/2009/3/layout/HorizontalOrganizationChart"/>
    <dgm:cxn modelId="{6E77E7CD-86CA-443B-9CEF-89A1F51BB990}" type="presParOf" srcId="{F5452783-7187-45D0-B10E-F60E74635BE8}" destId="{0BD83B91-1376-4A48-B7F4-66AEC53A5964}" srcOrd="0" destOrd="0" presId="urn:microsoft.com/office/officeart/2009/3/layout/HorizontalOrganizationChart"/>
    <dgm:cxn modelId="{AF376200-B558-4E97-8D41-4EB1F1679160}" type="presParOf" srcId="{0BD83B91-1376-4A48-B7F4-66AEC53A5964}" destId="{1220C2D4-7B3D-45BA-BECB-E0F2508E5C33}" srcOrd="0" destOrd="0" presId="urn:microsoft.com/office/officeart/2009/3/layout/HorizontalOrganizationChart"/>
    <dgm:cxn modelId="{7587E3EE-990D-4F82-BE67-E1D5182DF0B4}" type="presParOf" srcId="{0BD83B91-1376-4A48-B7F4-66AEC53A5964}" destId="{05BCE3C4-03F2-40F1-AD0D-8F6304EE3606}" srcOrd="1" destOrd="0" presId="urn:microsoft.com/office/officeart/2009/3/layout/HorizontalOrganizationChart"/>
    <dgm:cxn modelId="{1E1C3367-DBFC-46BE-A6A0-3687B214EB70}" type="presParOf" srcId="{F5452783-7187-45D0-B10E-F60E74635BE8}" destId="{4887A4A4-81CA-41B8-A638-484092E2CD2D}" srcOrd="1" destOrd="0" presId="urn:microsoft.com/office/officeart/2009/3/layout/HorizontalOrganizationChart"/>
    <dgm:cxn modelId="{D10FFD30-EEBC-445A-90E6-7F33E6A88410}" type="presParOf" srcId="{F5452783-7187-45D0-B10E-F60E74635BE8}" destId="{B9149147-1F27-49AA-8468-7A8CECA54B35}" srcOrd="2" destOrd="0" presId="urn:microsoft.com/office/officeart/2009/3/layout/HorizontalOrganizationChart"/>
    <dgm:cxn modelId="{A54E51CA-E64C-4661-AA7C-C9C6ACD98C36}" type="presParOf" srcId="{CB76EFCA-F93E-4D24-AA0F-BEEE7C0C9691}" destId="{420550FC-3CD8-41D2-8114-F4DBFDF70E9D}" srcOrd="2" destOrd="0" presId="urn:microsoft.com/office/officeart/2009/3/layout/HorizontalOrganizationChart"/>
    <dgm:cxn modelId="{313F1A4C-B730-46B0-80E3-B8D869432916}" type="presParOf" srcId="{CB76EFCA-F93E-4D24-AA0F-BEEE7C0C9691}" destId="{D2A94967-138F-4966-8F4F-3AB9D6CE43FC}" srcOrd="3" destOrd="0" presId="urn:microsoft.com/office/officeart/2009/3/layout/HorizontalOrganizationChart"/>
    <dgm:cxn modelId="{E4B8EFAD-0F91-43DC-9113-A867465A6BEC}" type="presParOf" srcId="{D2A94967-138F-4966-8F4F-3AB9D6CE43FC}" destId="{A10F339A-7DD3-4EA6-9C72-D40232E9C9F7}" srcOrd="0" destOrd="0" presId="urn:microsoft.com/office/officeart/2009/3/layout/HorizontalOrganizationChart"/>
    <dgm:cxn modelId="{A571184C-D3F6-424D-8F33-364E6DC6F494}" type="presParOf" srcId="{A10F339A-7DD3-4EA6-9C72-D40232E9C9F7}" destId="{4BAD757A-E348-4BC0-BE7D-01B6DB8275C9}" srcOrd="0" destOrd="0" presId="urn:microsoft.com/office/officeart/2009/3/layout/HorizontalOrganizationChart"/>
    <dgm:cxn modelId="{468557B1-7896-4D8D-A6A9-F611765A4F12}" type="presParOf" srcId="{A10F339A-7DD3-4EA6-9C72-D40232E9C9F7}" destId="{AA7C284F-558C-48DD-A30D-3F7FB5B4A8F2}" srcOrd="1" destOrd="0" presId="urn:microsoft.com/office/officeart/2009/3/layout/HorizontalOrganizationChart"/>
    <dgm:cxn modelId="{2CF3AE07-A2E2-42EB-8265-20601F814F11}" type="presParOf" srcId="{D2A94967-138F-4966-8F4F-3AB9D6CE43FC}" destId="{4E742725-E46A-4C95-872B-42E7F1D156AA}" srcOrd="1" destOrd="0" presId="urn:microsoft.com/office/officeart/2009/3/layout/HorizontalOrganizationChart"/>
    <dgm:cxn modelId="{E5A5B46E-600B-4D25-9D0B-B89CFEE60FE0}" type="presParOf" srcId="{D2A94967-138F-4966-8F4F-3AB9D6CE43FC}" destId="{0446B41E-5BB8-46C1-9A5A-A24CEF7A7398}" srcOrd="2" destOrd="0" presId="urn:microsoft.com/office/officeart/2009/3/layout/HorizontalOrganizationChart"/>
    <dgm:cxn modelId="{AA4EE230-FDF1-4905-99CF-F227EAF3E177}" type="presParOf" srcId="{CB76EFCA-F93E-4D24-AA0F-BEEE7C0C9691}" destId="{99D8F9BD-1EAF-49D1-9BF8-7049A09F463B}" srcOrd="4" destOrd="0" presId="urn:microsoft.com/office/officeart/2009/3/layout/HorizontalOrganizationChart"/>
    <dgm:cxn modelId="{6E1C214E-4EC9-4E71-B115-8701422791FA}" type="presParOf" srcId="{CB76EFCA-F93E-4D24-AA0F-BEEE7C0C9691}" destId="{F56510D9-B1C6-40E1-B8A8-C7B1EC526D8C}" srcOrd="5" destOrd="0" presId="urn:microsoft.com/office/officeart/2009/3/layout/HorizontalOrganizationChart"/>
    <dgm:cxn modelId="{68B43BCE-B9D5-4940-A460-09B4F4637C92}" type="presParOf" srcId="{F56510D9-B1C6-40E1-B8A8-C7B1EC526D8C}" destId="{18B745DD-EECE-4FF8-ADBF-FBAE379FEDBD}" srcOrd="0" destOrd="0" presId="urn:microsoft.com/office/officeart/2009/3/layout/HorizontalOrganizationChart"/>
    <dgm:cxn modelId="{C658D65B-8913-42FD-894B-7D0FD60F3293}" type="presParOf" srcId="{18B745DD-EECE-4FF8-ADBF-FBAE379FEDBD}" destId="{5B7B1A4F-4F7D-4042-8FE0-F31E36F5F48F}" srcOrd="0" destOrd="0" presId="urn:microsoft.com/office/officeart/2009/3/layout/HorizontalOrganizationChart"/>
    <dgm:cxn modelId="{F0B80A73-7EBC-46AC-844B-B8C5AE3E3265}" type="presParOf" srcId="{18B745DD-EECE-4FF8-ADBF-FBAE379FEDBD}" destId="{11F14182-59D7-4B25-91BC-72AB2566E8C0}" srcOrd="1" destOrd="0" presId="urn:microsoft.com/office/officeart/2009/3/layout/HorizontalOrganizationChart"/>
    <dgm:cxn modelId="{979ABD74-0B0D-4821-97A2-B92739D5260C}" type="presParOf" srcId="{F56510D9-B1C6-40E1-B8A8-C7B1EC526D8C}" destId="{DF020663-22AA-4906-9342-4607E2084121}" srcOrd="1" destOrd="0" presId="urn:microsoft.com/office/officeart/2009/3/layout/HorizontalOrganizationChart"/>
    <dgm:cxn modelId="{E714C285-4BB1-40EC-AC33-2BDD87A15376}" type="presParOf" srcId="{F56510D9-B1C6-40E1-B8A8-C7B1EC526D8C}" destId="{7F55B2CF-D0A6-4F12-9C4A-339382E28C50}" srcOrd="2" destOrd="0" presId="urn:microsoft.com/office/officeart/2009/3/layout/HorizontalOrganizationChart"/>
    <dgm:cxn modelId="{C0F4740D-679B-4521-A2E7-B3995D6C1846}" type="presParOf" srcId="{CB76EFCA-F93E-4D24-AA0F-BEEE7C0C9691}" destId="{73B57D61-B776-48EC-B870-6FBA604ED4FD}" srcOrd="6" destOrd="0" presId="urn:microsoft.com/office/officeart/2009/3/layout/HorizontalOrganizationChart"/>
    <dgm:cxn modelId="{C8920F7C-132D-4996-BD8E-29400F3D0851}" type="presParOf" srcId="{CB76EFCA-F93E-4D24-AA0F-BEEE7C0C9691}" destId="{50003BDC-7636-43F9-B3A4-709B5AEB8978}" srcOrd="7" destOrd="0" presId="urn:microsoft.com/office/officeart/2009/3/layout/HorizontalOrganizationChart"/>
    <dgm:cxn modelId="{3D51CEAE-AD20-440A-835E-DF710D660AF6}" type="presParOf" srcId="{50003BDC-7636-43F9-B3A4-709B5AEB8978}" destId="{D705C9A1-BB48-463D-97AE-85727DADB7AF}" srcOrd="0" destOrd="0" presId="urn:microsoft.com/office/officeart/2009/3/layout/HorizontalOrganizationChart"/>
    <dgm:cxn modelId="{15F37897-5E8D-4B72-9678-7D2AD6E32302}" type="presParOf" srcId="{D705C9A1-BB48-463D-97AE-85727DADB7AF}" destId="{5A946091-FEEA-459A-9697-A404DDC81FB3}" srcOrd="0" destOrd="0" presId="urn:microsoft.com/office/officeart/2009/3/layout/HorizontalOrganizationChart"/>
    <dgm:cxn modelId="{0C9488D2-2797-46D5-BACB-CBEA4CC68E9E}" type="presParOf" srcId="{D705C9A1-BB48-463D-97AE-85727DADB7AF}" destId="{0B81A683-556F-40E1-839E-DF06F9DBFDF9}" srcOrd="1" destOrd="0" presId="urn:microsoft.com/office/officeart/2009/3/layout/HorizontalOrganizationChart"/>
    <dgm:cxn modelId="{5F5DF1DD-65C1-487C-B491-03752821C744}" type="presParOf" srcId="{50003BDC-7636-43F9-B3A4-709B5AEB8978}" destId="{CB269BCF-04A9-41EB-9577-E15C07826716}" srcOrd="1" destOrd="0" presId="urn:microsoft.com/office/officeart/2009/3/layout/HorizontalOrganizationChart"/>
    <dgm:cxn modelId="{E0D4C760-5554-4594-AC48-CF81A7F034B9}" type="presParOf" srcId="{50003BDC-7636-43F9-B3A4-709B5AEB8978}" destId="{6B5A0903-6399-4F5F-ACEB-F9A10A6BAFA6}" srcOrd="2" destOrd="0" presId="urn:microsoft.com/office/officeart/2009/3/layout/HorizontalOrganizationChart"/>
    <dgm:cxn modelId="{558C5842-100D-45E1-9CF1-EC690FC64C26}" type="presParOf" srcId="{CB76EFCA-F93E-4D24-AA0F-BEEE7C0C9691}" destId="{AC7C1897-BC1E-4461-871F-70C4376E372A}" srcOrd="8" destOrd="0" presId="urn:microsoft.com/office/officeart/2009/3/layout/HorizontalOrganizationChart"/>
    <dgm:cxn modelId="{3ADDE77A-3038-4B47-8EA9-73082F44DD84}" type="presParOf" srcId="{CB76EFCA-F93E-4D24-AA0F-BEEE7C0C9691}" destId="{286F8AD0-CF61-4FFA-A502-9015605B1B50}" srcOrd="9" destOrd="0" presId="urn:microsoft.com/office/officeart/2009/3/layout/HorizontalOrganizationChart"/>
    <dgm:cxn modelId="{E8E0934D-6B11-4794-9A00-9460F478DFBA}" type="presParOf" srcId="{286F8AD0-CF61-4FFA-A502-9015605B1B50}" destId="{16B67C5F-D8FC-4277-8CF2-56D34C06F7F2}" srcOrd="0" destOrd="0" presId="urn:microsoft.com/office/officeart/2009/3/layout/HorizontalOrganizationChart"/>
    <dgm:cxn modelId="{89752042-58BC-442E-9703-EB68478BA961}" type="presParOf" srcId="{16B67C5F-D8FC-4277-8CF2-56D34C06F7F2}" destId="{50966E10-EB14-46E8-87FF-569DE110D719}" srcOrd="0" destOrd="0" presId="urn:microsoft.com/office/officeart/2009/3/layout/HorizontalOrganizationChart"/>
    <dgm:cxn modelId="{4734B32A-E45C-4B25-8C2B-CE887D9158CC}" type="presParOf" srcId="{16B67C5F-D8FC-4277-8CF2-56D34C06F7F2}" destId="{6A80F1EA-16C5-471B-93CC-75AB33BA5F82}" srcOrd="1" destOrd="0" presId="urn:microsoft.com/office/officeart/2009/3/layout/HorizontalOrganizationChart"/>
    <dgm:cxn modelId="{9CE6BD2E-C092-4F14-88F6-3CF5ED1C915E}" type="presParOf" srcId="{286F8AD0-CF61-4FFA-A502-9015605B1B50}" destId="{C29FB919-4B44-44AD-BB6E-D6511A832AF4}" srcOrd="1" destOrd="0" presId="urn:microsoft.com/office/officeart/2009/3/layout/HorizontalOrganizationChart"/>
    <dgm:cxn modelId="{C29C1418-F67E-436E-815B-DC358678335C}" type="presParOf" srcId="{286F8AD0-CF61-4FFA-A502-9015605B1B50}" destId="{C4AFB587-0CB6-4893-AC89-97E7B113002E}" srcOrd="2" destOrd="0" presId="urn:microsoft.com/office/officeart/2009/3/layout/HorizontalOrganizationChart"/>
    <dgm:cxn modelId="{F6B299D0-2D7D-45E9-B44D-2857D35D9B96}" type="presParOf" srcId="{CB76EFCA-F93E-4D24-AA0F-BEEE7C0C9691}" destId="{4035DADC-AF8D-4007-90A4-354AAAE764ED}" srcOrd="10" destOrd="0" presId="urn:microsoft.com/office/officeart/2009/3/layout/HorizontalOrganizationChart"/>
    <dgm:cxn modelId="{0A197B22-2748-4392-8607-86C2B9CECA1F}" type="presParOf" srcId="{CB76EFCA-F93E-4D24-AA0F-BEEE7C0C9691}" destId="{B0E7D249-55AC-4B07-8F1A-9DA4115959E9}" srcOrd="11" destOrd="0" presId="urn:microsoft.com/office/officeart/2009/3/layout/HorizontalOrganizationChart"/>
    <dgm:cxn modelId="{3997A288-C74F-482F-8A7B-F90C97C4C494}" type="presParOf" srcId="{B0E7D249-55AC-4B07-8F1A-9DA4115959E9}" destId="{BD81D1E1-9A49-4E38-AE61-ED46451F9109}" srcOrd="0" destOrd="0" presId="urn:microsoft.com/office/officeart/2009/3/layout/HorizontalOrganizationChart"/>
    <dgm:cxn modelId="{059439B6-180E-4259-9B39-178A60E2C486}" type="presParOf" srcId="{BD81D1E1-9A49-4E38-AE61-ED46451F9109}" destId="{4A3E6C53-74CE-4010-A91E-2EC903D1EBDA}" srcOrd="0" destOrd="0" presId="urn:microsoft.com/office/officeart/2009/3/layout/HorizontalOrganizationChart"/>
    <dgm:cxn modelId="{86B643C1-428E-4A96-8FD6-AF4B0A2D823D}" type="presParOf" srcId="{BD81D1E1-9A49-4E38-AE61-ED46451F9109}" destId="{019A9A31-1B08-4379-A782-FD06AC4A9F33}" srcOrd="1" destOrd="0" presId="urn:microsoft.com/office/officeart/2009/3/layout/HorizontalOrganizationChart"/>
    <dgm:cxn modelId="{90EB118F-F29C-4D3B-A9E4-0C517409EAB1}" type="presParOf" srcId="{B0E7D249-55AC-4B07-8F1A-9DA4115959E9}" destId="{76177B6D-7C5A-49AB-BC14-55AE13F8DAF5}" srcOrd="1" destOrd="0" presId="urn:microsoft.com/office/officeart/2009/3/layout/HorizontalOrganizationChart"/>
    <dgm:cxn modelId="{8A32277E-D966-483A-97A6-6F7451D35613}" type="presParOf" srcId="{B0E7D249-55AC-4B07-8F1A-9DA4115959E9}" destId="{A33B4B43-BFAC-4463-993A-DC5C6E0ADD7A}" srcOrd="2" destOrd="0" presId="urn:microsoft.com/office/officeart/2009/3/layout/HorizontalOrganizationChart"/>
    <dgm:cxn modelId="{309BDB01-8635-4F68-960D-23BD019CBF06}" type="presParOf" srcId="{CB76EFCA-F93E-4D24-AA0F-BEEE7C0C9691}" destId="{C5426997-B597-4AB9-97D4-4F80D9720476}" srcOrd="12" destOrd="0" presId="urn:microsoft.com/office/officeart/2009/3/layout/HorizontalOrganizationChart"/>
    <dgm:cxn modelId="{60FA6B81-8A33-4E70-B410-A8EF79C94E07}" type="presParOf" srcId="{CB76EFCA-F93E-4D24-AA0F-BEEE7C0C9691}" destId="{0E05D27B-FFAD-4FEA-B5E2-55E2B7163CA8}" srcOrd="13" destOrd="0" presId="urn:microsoft.com/office/officeart/2009/3/layout/HorizontalOrganizationChart"/>
    <dgm:cxn modelId="{E134BC24-73BF-481A-BC84-2264D0C951C3}" type="presParOf" srcId="{0E05D27B-FFAD-4FEA-B5E2-55E2B7163CA8}" destId="{3CF082CA-B88B-483D-8891-B2EDF36884BE}" srcOrd="0" destOrd="0" presId="urn:microsoft.com/office/officeart/2009/3/layout/HorizontalOrganizationChart"/>
    <dgm:cxn modelId="{65B72283-9C94-4335-9974-36D5210404E9}" type="presParOf" srcId="{3CF082CA-B88B-483D-8891-B2EDF36884BE}" destId="{FAA83FA2-1361-4159-9F52-ED5C0B0385C9}" srcOrd="0" destOrd="0" presId="urn:microsoft.com/office/officeart/2009/3/layout/HorizontalOrganizationChart"/>
    <dgm:cxn modelId="{87493FA2-229E-423E-8602-CD2FCC08C5DB}" type="presParOf" srcId="{3CF082CA-B88B-483D-8891-B2EDF36884BE}" destId="{C69CC85D-9E72-4CCD-AF78-0B35A150133D}" srcOrd="1" destOrd="0" presId="urn:microsoft.com/office/officeart/2009/3/layout/HorizontalOrganizationChart"/>
    <dgm:cxn modelId="{115457B0-F8FB-487D-A994-9D99147A4EBD}" type="presParOf" srcId="{0E05D27B-FFAD-4FEA-B5E2-55E2B7163CA8}" destId="{B935EC4B-51AE-4A28-9A0F-1587DF90B65E}" srcOrd="1" destOrd="0" presId="urn:microsoft.com/office/officeart/2009/3/layout/HorizontalOrganizationChart"/>
    <dgm:cxn modelId="{AE8CCB82-DD03-4408-9DFB-8888BA6A221B}" type="presParOf" srcId="{0E05D27B-FFAD-4FEA-B5E2-55E2B7163CA8}" destId="{47898925-E729-430F-816B-99E1BA0B61B7}" srcOrd="2" destOrd="0" presId="urn:microsoft.com/office/officeart/2009/3/layout/HorizontalOrganizationChart"/>
    <dgm:cxn modelId="{2DA40A96-DAC0-4D87-9900-8517F8F5FD98}" type="presParOf" srcId="{CB76EFCA-F93E-4D24-AA0F-BEEE7C0C9691}" destId="{141F6528-1045-4FC7-AE3D-466A29B6032A}" srcOrd="14" destOrd="0" presId="urn:microsoft.com/office/officeart/2009/3/layout/HorizontalOrganizationChart"/>
    <dgm:cxn modelId="{A1366961-0D6A-453D-BB00-386097499FA1}" type="presParOf" srcId="{CB76EFCA-F93E-4D24-AA0F-BEEE7C0C9691}" destId="{DCDB4C94-1258-4A41-8268-34D606C40560}" srcOrd="15" destOrd="0" presId="urn:microsoft.com/office/officeart/2009/3/layout/HorizontalOrganizationChart"/>
    <dgm:cxn modelId="{616CB230-F6A3-4AEB-A847-504F26B845B0}" type="presParOf" srcId="{DCDB4C94-1258-4A41-8268-34D606C40560}" destId="{544D6F4E-65CC-4762-80BF-8D14DCD3386A}" srcOrd="0" destOrd="0" presId="urn:microsoft.com/office/officeart/2009/3/layout/HorizontalOrganizationChart"/>
    <dgm:cxn modelId="{F1248850-DBA4-4744-9F52-E2710D9B2326}" type="presParOf" srcId="{544D6F4E-65CC-4762-80BF-8D14DCD3386A}" destId="{A8308746-6110-4D82-8F28-CFFACFB8EA18}" srcOrd="0" destOrd="0" presId="urn:microsoft.com/office/officeart/2009/3/layout/HorizontalOrganizationChart"/>
    <dgm:cxn modelId="{DD709ADA-868D-4241-BB12-A31BFA1158C7}" type="presParOf" srcId="{544D6F4E-65CC-4762-80BF-8D14DCD3386A}" destId="{F03F495A-1E14-4585-9EC1-D27F56B5559C}" srcOrd="1" destOrd="0" presId="urn:microsoft.com/office/officeart/2009/3/layout/HorizontalOrganizationChart"/>
    <dgm:cxn modelId="{3DCDEBF9-8749-4BCE-8AA9-7E0E864C128C}" type="presParOf" srcId="{DCDB4C94-1258-4A41-8268-34D606C40560}" destId="{165FFD67-7120-4399-979C-1A6620DF3457}" srcOrd="1" destOrd="0" presId="urn:microsoft.com/office/officeart/2009/3/layout/HorizontalOrganizationChart"/>
    <dgm:cxn modelId="{0E6B994B-2D08-4894-8A9A-26DB2F40B70B}" type="presParOf" srcId="{DCDB4C94-1258-4A41-8268-34D606C40560}" destId="{F52C3058-892A-4EF8-A60D-2D9F551F6F3B}" srcOrd="2" destOrd="0" presId="urn:microsoft.com/office/officeart/2009/3/layout/HorizontalOrganizationChart"/>
    <dgm:cxn modelId="{4DDCAC2C-E618-459F-B667-343AACA55FC9}" type="presParOf" srcId="{CB76EFCA-F93E-4D24-AA0F-BEEE7C0C9691}" destId="{5283C4CA-636D-4904-A0E4-B82692E11026}" srcOrd="16" destOrd="0" presId="urn:microsoft.com/office/officeart/2009/3/layout/HorizontalOrganizationChart"/>
    <dgm:cxn modelId="{B649D74C-F4FA-4776-8E9A-91C22F6CD294}" type="presParOf" srcId="{CB76EFCA-F93E-4D24-AA0F-BEEE7C0C9691}" destId="{00B502FF-1439-428B-90F2-6FA2D652E056}" srcOrd="17" destOrd="0" presId="urn:microsoft.com/office/officeart/2009/3/layout/HorizontalOrganizationChart"/>
    <dgm:cxn modelId="{47C0F263-A4B7-4F94-9FD3-AB4B04C13482}" type="presParOf" srcId="{00B502FF-1439-428B-90F2-6FA2D652E056}" destId="{F355FA51-A85B-4983-9169-68D8E9ADBF8D}" srcOrd="0" destOrd="0" presId="urn:microsoft.com/office/officeart/2009/3/layout/HorizontalOrganizationChart"/>
    <dgm:cxn modelId="{9BE0D69A-CE61-4F73-A656-6C1F98244EA1}" type="presParOf" srcId="{F355FA51-A85B-4983-9169-68D8E9ADBF8D}" destId="{62108809-3E71-40BC-A662-9F5E05CDA050}" srcOrd="0" destOrd="0" presId="urn:microsoft.com/office/officeart/2009/3/layout/HorizontalOrganizationChart"/>
    <dgm:cxn modelId="{799E607C-554F-4FBA-9FE5-26499DFB8AC8}" type="presParOf" srcId="{F355FA51-A85B-4983-9169-68D8E9ADBF8D}" destId="{2A536858-D78C-433D-8B13-97BB2C44DE4B}" srcOrd="1" destOrd="0" presId="urn:microsoft.com/office/officeart/2009/3/layout/HorizontalOrganizationChart"/>
    <dgm:cxn modelId="{1D0549FB-0301-4ECF-8709-F7FE7AA7DDFC}" type="presParOf" srcId="{00B502FF-1439-428B-90F2-6FA2D652E056}" destId="{BBA48A84-CFB6-44E5-AB7E-F390722E34BB}" srcOrd="1" destOrd="0" presId="urn:microsoft.com/office/officeart/2009/3/layout/HorizontalOrganizationChart"/>
    <dgm:cxn modelId="{B8BDCA06-2965-4395-88AA-081C8D6F648E}" type="presParOf" srcId="{00B502FF-1439-428B-90F2-6FA2D652E056}" destId="{B44BA3A7-3537-46D8-8457-2D13ECB45426}" srcOrd="2" destOrd="0" presId="urn:microsoft.com/office/officeart/2009/3/layout/HorizontalOrganizationChart"/>
    <dgm:cxn modelId="{F52CE862-4DD2-49FE-9B87-7A78771A6274}" type="presParOf" srcId="{3BF01747-585A-4A59-985A-45DD9F974077}" destId="{28CA197B-034A-44FC-A6E3-107E5B1272D6}" srcOrd="2" destOrd="0" presId="urn:microsoft.com/office/officeart/2009/3/layout/HorizontalOrganizationChart"/>
    <dgm:cxn modelId="{8BF3A24D-817B-46C4-AA3D-B7150510F7A1}" type="presParOf" srcId="{83FBF7A5-5BE9-4CF7-B989-DDF4332F6677}" destId="{8CABB397-1B23-4874-9C89-5BC757739256}" srcOrd="2" destOrd="0" presId="urn:microsoft.com/office/officeart/2009/3/layout/HorizontalOrganizationChart"/>
    <dgm:cxn modelId="{CEDD487B-F625-4AF9-935B-F94FDC459014}" type="presParOf" srcId="{473FCDEF-6A9A-4F6B-B07B-B5B1E3C3700D}" destId="{6FFF68DA-C722-4BA8-BDB9-5488B4178CC3}" srcOrd="2" destOrd="0" presId="urn:microsoft.com/office/officeart/2009/3/layout/HorizontalOrganizationChart"/>
    <dgm:cxn modelId="{69198001-73C0-475D-A911-0A459E9C96A1}" type="presParOf" srcId="{6FFF68DA-C722-4BA8-BDB9-5488B4178CC3}" destId="{7F1D97BD-DB2A-49BE-A348-2A493B2E6E95}" srcOrd="0" destOrd="0" presId="urn:microsoft.com/office/officeart/2009/3/layout/HorizontalOrganizationChart"/>
    <dgm:cxn modelId="{2671D748-35B5-444E-9945-D3F2CAC20B67}" type="presParOf" srcId="{7F1D97BD-DB2A-49BE-A348-2A493B2E6E95}" destId="{7476D790-EBC4-46EB-B1DA-4AE5048FBB22}" srcOrd="0" destOrd="0" presId="urn:microsoft.com/office/officeart/2009/3/layout/HorizontalOrganizationChart"/>
    <dgm:cxn modelId="{0621F1B1-6E6D-494F-AB4B-59D8093CEE4C}" type="presParOf" srcId="{7F1D97BD-DB2A-49BE-A348-2A493B2E6E95}" destId="{5A58BFFD-86BE-4B37-9302-928CF16BB779}" srcOrd="1" destOrd="0" presId="urn:microsoft.com/office/officeart/2009/3/layout/HorizontalOrganizationChart"/>
    <dgm:cxn modelId="{826C2790-3775-43A7-9F6A-1E04C8C81D91}" type="presParOf" srcId="{6FFF68DA-C722-4BA8-BDB9-5488B4178CC3}" destId="{561DC052-E1AE-40E2-AC2D-AA76BA454337}" srcOrd="1" destOrd="0" presId="urn:microsoft.com/office/officeart/2009/3/layout/HorizontalOrganizationChart"/>
    <dgm:cxn modelId="{E18C0C38-A550-48CC-BBBA-F051AC6D85F8}" type="presParOf" srcId="{6FFF68DA-C722-4BA8-BDB9-5488B4178CC3}" destId="{CBBBF7C7-EF7C-4361-9D9E-2EF6AED38593}" srcOrd="2" destOrd="0" presId="urn:microsoft.com/office/officeart/2009/3/layout/HorizontalOrganizationChar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83C4CA-636D-4904-A0E4-B82692E11026}">
      <dsp:nvSpPr>
        <dsp:cNvPr id="0" name=""/>
        <dsp:cNvSpPr/>
      </dsp:nvSpPr>
      <dsp:spPr>
        <a:xfrm>
          <a:off x="3224200" y="4082131"/>
          <a:ext cx="306154" cy="3711905"/>
        </a:xfrm>
        <a:custGeom>
          <a:avLst/>
          <a:gdLst/>
          <a:ahLst/>
          <a:cxnLst/>
          <a:rect l="0" t="0" r="0" b="0"/>
          <a:pathLst>
            <a:path>
              <a:moveTo>
                <a:pt x="0" y="0"/>
              </a:moveTo>
              <a:lnTo>
                <a:pt x="153077" y="0"/>
              </a:lnTo>
              <a:lnTo>
                <a:pt x="153077" y="3711905"/>
              </a:lnTo>
              <a:lnTo>
                <a:pt x="306154" y="37119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1F6528-1045-4FC7-AE3D-466A29B6032A}">
      <dsp:nvSpPr>
        <dsp:cNvPr id="0" name=""/>
        <dsp:cNvSpPr/>
      </dsp:nvSpPr>
      <dsp:spPr>
        <a:xfrm>
          <a:off x="3224200" y="4082131"/>
          <a:ext cx="306154" cy="2783928"/>
        </a:xfrm>
        <a:custGeom>
          <a:avLst/>
          <a:gdLst/>
          <a:ahLst/>
          <a:cxnLst/>
          <a:rect l="0" t="0" r="0" b="0"/>
          <a:pathLst>
            <a:path>
              <a:moveTo>
                <a:pt x="0" y="0"/>
              </a:moveTo>
              <a:lnTo>
                <a:pt x="153077" y="0"/>
              </a:lnTo>
              <a:lnTo>
                <a:pt x="153077" y="2783928"/>
              </a:lnTo>
              <a:lnTo>
                <a:pt x="306154" y="27839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426997-B597-4AB9-97D4-4F80D9720476}">
      <dsp:nvSpPr>
        <dsp:cNvPr id="0" name=""/>
        <dsp:cNvSpPr/>
      </dsp:nvSpPr>
      <dsp:spPr>
        <a:xfrm>
          <a:off x="3224200" y="4082131"/>
          <a:ext cx="306154" cy="1855952"/>
        </a:xfrm>
        <a:custGeom>
          <a:avLst/>
          <a:gdLst/>
          <a:ahLst/>
          <a:cxnLst/>
          <a:rect l="0" t="0" r="0" b="0"/>
          <a:pathLst>
            <a:path>
              <a:moveTo>
                <a:pt x="0" y="0"/>
              </a:moveTo>
              <a:lnTo>
                <a:pt x="153077" y="0"/>
              </a:lnTo>
              <a:lnTo>
                <a:pt x="153077" y="1855952"/>
              </a:lnTo>
              <a:lnTo>
                <a:pt x="306154" y="185595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35DADC-AF8D-4007-90A4-354AAAE764ED}">
      <dsp:nvSpPr>
        <dsp:cNvPr id="0" name=""/>
        <dsp:cNvSpPr/>
      </dsp:nvSpPr>
      <dsp:spPr>
        <a:xfrm>
          <a:off x="3224200" y="4082131"/>
          <a:ext cx="306154" cy="927976"/>
        </a:xfrm>
        <a:custGeom>
          <a:avLst/>
          <a:gdLst/>
          <a:ahLst/>
          <a:cxnLst/>
          <a:rect l="0" t="0" r="0" b="0"/>
          <a:pathLst>
            <a:path>
              <a:moveTo>
                <a:pt x="0" y="0"/>
              </a:moveTo>
              <a:lnTo>
                <a:pt x="153077" y="0"/>
              </a:lnTo>
              <a:lnTo>
                <a:pt x="153077" y="927976"/>
              </a:lnTo>
              <a:lnTo>
                <a:pt x="306154" y="9279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7C1897-BC1E-4461-871F-70C4376E372A}">
      <dsp:nvSpPr>
        <dsp:cNvPr id="0" name=""/>
        <dsp:cNvSpPr/>
      </dsp:nvSpPr>
      <dsp:spPr>
        <a:xfrm>
          <a:off x="3224200" y="4036410"/>
          <a:ext cx="306154" cy="91440"/>
        </a:xfrm>
        <a:custGeom>
          <a:avLst/>
          <a:gdLst/>
          <a:ahLst/>
          <a:cxnLst/>
          <a:rect l="0" t="0" r="0" b="0"/>
          <a:pathLst>
            <a:path>
              <a:moveTo>
                <a:pt x="0" y="45720"/>
              </a:moveTo>
              <a:lnTo>
                <a:pt x="306154"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B57D61-B776-48EC-B870-6FBA604ED4FD}">
      <dsp:nvSpPr>
        <dsp:cNvPr id="0" name=""/>
        <dsp:cNvSpPr/>
      </dsp:nvSpPr>
      <dsp:spPr>
        <a:xfrm>
          <a:off x="3224200" y="3154154"/>
          <a:ext cx="306154" cy="927976"/>
        </a:xfrm>
        <a:custGeom>
          <a:avLst/>
          <a:gdLst/>
          <a:ahLst/>
          <a:cxnLst/>
          <a:rect l="0" t="0" r="0" b="0"/>
          <a:pathLst>
            <a:path>
              <a:moveTo>
                <a:pt x="0" y="927976"/>
              </a:moveTo>
              <a:lnTo>
                <a:pt x="153077" y="927976"/>
              </a:lnTo>
              <a:lnTo>
                <a:pt x="153077" y="0"/>
              </a:lnTo>
              <a:lnTo>
                <a:pt x="306154"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D8F9BD-1EAF-49D1-9BF8-7049A09F463B}">
      <dsp:nvSpPr>
        <dsp:cNvPr id="0" name=""/>
        <dsp:cNvSpPr/>
      </dsp:nvSpPr>
      <dsp:spPr>
        <a:xfrm>
          <a:off x="3224200" y="2226178"/>
          <a:ext cx="306154" cy="1855952"/>
        </a:xfrm>
        <a:custGeom>
          <a:avLst/>
          <a:gdLst/>
          <a:ahLst/>
          <a:cxnLst/>
          <a:rect l="0" t="0" r="0" b="0"/>
          <a:pathLst>
            <a:path>
              <a:moveTo>
                <a:pt x="0" y="1855952"/>
              </a:moveTo>
              <a:lnTo>
                <a:pt x="153077" y="1855952"/>
              </a:lnTo>
              <a:lnTo>
                <a:pt x="153077" y="0"/>
              </a:lnTo>
              <a:lnTo>
                <a:pt x="306154"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0550FC-3CD8-41D2-8114-F4DBFDF70E9D}">
      <dsp:nvSpPr>
        <dsp:cNvPr id="0" name=""/>
        <dsp:cNvSpPr/>
      </dsp:nvSpPr>
      <dsp:spPr>
        <a:xfrm>
          <a:off x="3224200" y="1298202"/>
          <a:ext cx="306154" cy="2783928"/>
        </a:xfrm>
        <a:custGeom>
          <a:avLst/>
          <a:gdLst/>
          <a:ahLst/>
          <a:cxnLst/>
          <a:rect l="0" t="0" r="0" b="0"/>
          <a:pathLst>
            <a:path>
              <a:moveTo>
                <a:pt x="0" y="2783928"/>
              </a:moveTo>
              <a:lnTo>
                <a:pt x="153077" y="2783928"/>
              </a:lnTo>
              <a:lnTo>
                <a:pt x="153077" y="0"/>
              </a:lnTo>
              <a:lnTo>
                <a:pt x="306154"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AFEEEF-E4F6-44D6-99BF-BBA1A4EA4CC5}">
      <dsp:nvSpPr>
        <dsp:cNvPr id="0" name=""/>
        <dsp:cNvSpPr/>
      </dsp:nvSpPr>
      <dsp:spPr>
        <a:xfrm>
          <a:off x="3224200" y="370225"/>
          <a:ext cx="306154" cy="3711905"/>
        </a:xfrm>
        <a:custGeom>
          <a:avLst/>
          <a:gdLst/>
          <a:ahLst/>
          <a:cxnLst/>
          <a:rect l="0" t="0" r="0" b="0"/>
          <a:pathLst>
            <a:path>
              <a:moveTo>
                <a:pt x="0" y="3711905"/>
              </a:moveTo>
              <a:lnTo>
                <a:pt x="153077" y="3711905"/>
              </a:lnTo>
              <a:lnTo>
                <a:pt x="153077" y="0"/>
              </a:lnTo>
              <a:lnTo>
                <a:pt x="306154"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8C8E0D-DC62-4584-96A0-62BFBE330EB3}">
      <dsp:nvSpPr>
        <dsp:cNvPr id="0" name=""/>
        <dsp:cNvSpPr/>
      </dsp:nvSpPr>
      <dsp:spPr>
        <a:xfrm>
          <a:off x="1575005" y="4036411"/>
          <a:ext cx="257583" cy="91440"/>
        </a:xfrm>
        <a:custGeom>
          <a:avLst/>
          <a:gdLst/>
          <a:ahLst/>
          <a:cxnLst/>
          <a:rect l="0" t="0" r="0" b="0"/>
          <a:pathLst>
            <a:path>
              <a:moveTo>
                <a:pt x="0" y="45822"/>
              </a:moveTo>
              <a:lnTo>
                <a:pt x="104505" y="45822"/>
              </a:lnTo>
              <a:lnTo>
                <a:pt x="104505" y="45720"/>
              </a:lnTo>
              <a:lnTo>
                <a:pt x="257583"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ADC657-8573-4942-9647-AE29F0261138}">
      <dsp:nvSpPr>
        <dsp:cNvPr id="0" name=""/>
        <dsp:cNvSpPr/>
      </dsp:nvSpPr>
      <dsp:spPr>
        <a:xfrm>
          <a:off x="162790" y="2697782"/>
          <a:ext cx="1412215" cy="776721"/>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Deputy Premier, Minister for Education and Minister for Mental Health</a:t>
          </a:r>
        </a:p>
        <a:p>
          <a:pPr marL="0" lvl="0" indent="0" algn="ctr" defTabSz="400050">
            <a:lnSpc>
              <a:spcPct val="90000"/>
            </a:lnSpc>
            <a:spcBef>
              <a:spcPct val="0"/>
            </a:spcBef>
            <a:spcAft>
              <a:spcPct val="35000"/>
            </a:spcAft>
            <a:buNone/>
          </a:pPr>
          <a:r>
            <a:rPr lang="en-US" sz="900" kern="1200"/>
            <a:t>The Hon. James Merlino MP</a:t>
          </a:r>
        </a:p>
      </dsp:txBody>
      <dsp:txXfrm>
        <a:off x="162790" y="2697782"/>
        <a:ext cx="1412215" cy="776721"/>
      </dsp:txXfrm>
    </dsp:sp>
    <dsp:sp modelId="{DC650463-4EDD-4AE6-A35E-9D688F455D40}">
      <dsp:nvSpPr>
        <dsp:cNvPr id="0" name=""/>
        <dsp:cNvSpPr/>
      </dsp:nvSpPr>
      <dsp:spPr>
        <a:xfrm>
          <a:off x="162790" y="3693873"/>
          <a:ext cx="1412215" cy="776721"/>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a:t>Minister for Early Childhood and Minister for Workplace Safety </a:t>
          </a:r>
        </a:p>
        <a:p>
          <a:pPr marL="0" lvl="0" indent="0" algn="ctr" defTabSz="400050">
            <a:lnSpc>
              <a:spcPct val="90000"/>
            </a:lnSpc>
            <a:spcBef>
              <a:spcPct val="0"/>
            </a:spcBef>
            <a:spcAft>
              <a:spcPct val="35000"/>
            </a:spcAft>
            <a:buNone/>
          </a:pPr>
          <a:r>
            <a:rPr lang="en-US" sz="900" b="0" kern="1200"/>
            <a:t>Ms Ingrid Stitt, MP </a:t>
          </a:r>
          <a:endParaRPr lang="en-US" sz="900" kern="1200"/>
        </a:p>
      </dsp:txBody>
      <dsp:txXfrm>
        <a:off x="162790" y="3693873"/>
        <a:ext cx="1412215" cy="776721"/>
      </dsp:txXfrm>
    </dsp:sp>
    <dsp:sp modelId="{F0CB17EA-ED74-4930-9C57-4FD44586323F}">
      <dsp:nvSpPr>
        <dsp:cNvPr id="0" name=""/>
        <dsp:cNvSpPr/>
      </dsp:nvSpPr>
      <dsp:spPr>
        <a:xfrm>
          <a:off x="1832588" y="3713816"/>
          <a:ext cx="1391611" cy="736629"/>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Secretary</a:t>
          </a:r>
        </a:p>
        <a:p>
          <a:pPr marL="0" lvl="0" indent="0" algn="ctr" defTabSz="400050">
            <a:lnSpc>
              <a:spcPct val="90000"/>
            </a:lnSpc>
            <a:spcBef>
              <a:spcPct val="0"/>
            </a:spcBef>
            <a:spcAft>
              <a:spcPct val="35000"/>
            </a:spcAft>
            <a:buNone/>
          </a:pPr>
          <a:r>
            <a:rPr lang="en-US" sz="900" kern="1200"/>
            <a:t>Jenny Atta</a:t>
          </a:r>
        </a:p>
      </dsp:txBody>
      <dsp:txXfrm>
        <a:off x="1832588" y="3713816"/>
        <a:ext cx="1391611" cy="736629"/>
      </dsp:txXfrm>
    </dsp:sp>
    <dsp:sp modelId="{1220C2D4-7B3D-45BA-BECB-E0F2508E5C33}">
      <dsp:nvSpPr>
        <dsp:cNvPr id="0" name=""/>
        <dsp:cNvSpPr/>
      </dsp:nvSpPr>
      <dsp:spPr>
        <a:xfrm>
          <a:off x="3530355" y="1911"/>
          <a:ext cx="1391611" cy="736629"/>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Early Childhood Education</a:t>
          </a:r>
        </a:p>
        <a:p>
          <a:pPr marL="0" lvl="0" indent="0" algn="ctr" defTabSz="400050">
            <a:lnSpc>
              <a:spcPct val="90000"/>
            </a:lnSpc>
            <a:spcBef>
              <a:spcPct val="0"/>
            </a:spcBef>
            <a:spcAft>
              <a:spcPct val="35000"/>
            </a:spcAft>
            <a:buNone/>
          </a:pPr>
          <a:r>
            <a:rPr lang="en-US" sz="900" kern="1200"/>
            <a:t>Kim Little</a:t>
          </a:r>
        </a:p>
      </dsp:txBody>
      <dsp:txXfrm>
        <a:off x="3530355" y="1911"/>
        <a:ext cx="1391611" cy="736629"/>
      </dsp:txXfrm>
    </dsp:sp>
    <dsp:sp modelId="{4BAD757A-E348-4BC0-BE7D-01B6DB8275C9}">
      <dsp:nvSpPr>
        <dsp:cNvPr id="0" name=""/>
        <dsp:cNvSpPr/>
      </dsp:nvSpPr>
      <dsp:spPr>
        <a:xfrm>
          <a:off x="3530355" y="929887"/>
          <a:ext cx="1391611" cy="736629"/>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Financial Policy and Information Services</a:t>
          </a:r>
        </a:p>
        <a:p>
          <a:pPr marL="0" lvl="0" indent="0" algn="ctr" defTabSz="400050">
            <a:lnSpc>
              <a:spcPct val="90000"/>
            </a:lnSpc>
            <a:spcBef>
              <a:spcPct val="0"/>
            </a:spcBef>
            <a:spcAft>
              <a:spcPct val="35000"/>
            </a:spcAft>
            <a:buNone/>
          </a:pPr>
          <a:r>
            <a:rPr lang="en-US" sz="900" kern="1200"/>
            <a:t>Tony Bates</a:t>
          </a:r>
        </a:p>
      </dsp:txBody>
      <dsp:txXfrm>
        <a:off x="3530355" y="929887"/>
        <a:ext cx="1391611" cy="736629"/>
      </dsp:txXfrm>
    </dsp:sp>
    <dsp:sp modelId="{5B7B1A4F-4F7D-4042-8FE0-F31E36F5F48F}">
      <dsp:nvSpPr>
        <dsp:cNvPr id="0" name=""/>
        <dsp:cNvSpPr/>
      </dsp:nvSpPr>
      <dsp:spPr>
        <a:xfrm>
          <a:off x="3530355" y="1857863"/>
          <a:ext cx="1391611" cy="736629"/>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Higher Education and Skills</a:t>
          </a:r>
        </a:p>
        <a:p>
          <a:pPr marL="0" lvl="0" indent="0" algn="ctr" defTabSz="400050">
            <a:lnSpc>
              <a:spcPct val="90000"/>
            </a:lnSpc>
            <a:spcBef>
              <a:spcPct val="0"/>
            </a:spcBef>
            <a:spcAft>
              <a:spcPct val="35000"/>
            </a:spcAft>
            <a:buNone/>
          </a:pPr>
          <a:r>
            <a:rPr lang="en-US" sz="900" kern="1200"/>
            <a:t>Lill Healy</a:t>
          </a:r>
        </a:p>
      </dsp:txBody>
      <dsp:txXfrm>
        <a:off x="3530355" y="1857863"/>
        <a:ext cx="1391611" cy="736629"/>
      </dsp:txXfrm>
    </dsp:sp>
    <dsp:sp modelId="{5A946091-FEEA-459A-9697-A404DDC81FB3}">
      <dsp:nvSpPr>
        <dsp:cNvPr id="0" name=""/>
        <dsp:cNvSpPr/>
      </dsp:nvSpPr>
      <dsp:spPr>
        <a:xfrm>
          <a:off x="3530355" y="2785840"/>
          <a:ext cx="1391611" cy="736629"/>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People and Executive Services</a:t>
          </a:r>
        </a:p>
        <a:p>
          <a:pPr marL="0" lvl="0" indent="0" algn="ctr" defTabSz="400050">
            <a:lnSpc>
              <a:spcPct val="90000"/>
            </a:lnSpc>
            <a:spcBef>
              <a:spcPct val="0"/>
            </a:spcBef>
            <a:spcAft>
              <a:spcPct val="35000"/>
            </a:spcAft>
            <a:buNone/>
          </a:pPr>
          <a:r>
            <a:rPr lang="en-US" sz="900" kern="1200"/>
            <a:t>Kate Rattigan</a:t>
          </a:r>
        </a:p>
      </dsp:txBody>
      <dsp:txXfrm>
        <a:off x="3530355" y="2785840"/>
        <a:ext cx="1391611" cy="736629"/>
      </dsp:txXfrm>
    </dsp:sp>
    <dsp:sp modelId="{50966E10-EB14-46E8-87FF-569DE110D719}">
      <dsp:nvSpPr>
        <dsp:cNvPr id="0" name=""/>
        <dsp:cNvSpPr/>
      </dsp:nvSpPr>
      <dsp:spPr>
        <a:xfrm>
          <a:off x="3530355" y="3713816"/>
          <a:ext cx="1391611" cy="736629"/>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Policy, Strategy and Performance</a:t>
          </a:r>
        </a:p>
        <a:p>
          <a:pPr marL="0" lvl="0" indent="0" algn="ctr" defTabSz="400050">
            <a:lnSpc>
              <a:spcPct val="90000"/>
            </a:lnSpc>
            <a:spcBef>
              <a:spcPct val="0"/>
            </a:spcBef>
            <a:spcAft>
              <a:spcPct val="35000"/>
            </a:spcAft>
            <a:buNone/>
          </a:pPr>
          <a:r>
            <a:rPr lang="en-US" sz="900" kern="1200"/>
            <a:t>Kylie White</a:t>
          </a:r>
        </a:p>
      </dsp:txBody>
      <dsp:txXfrm>
        <a:off x="3530355" y="3713816"/>
        <a:ext cx="1391611" cy="736629"/>
      </dsp:txXfrm>
    </dsp:sp>
    <dsp:sp modelId="{4A3E6C53-74CE-4010-A91E-2EC903D1EBDA}">
      <dsp:nvSpPr>
        <dsp:cNvPr id="0" name=""/>
        <dsp:cNvSpPr/>
      </dsp:nvSpPr>
      <dsp:spPr>
        <a:xfrm>
          <a:off x="3530355" y="4641792"/>
          <a:ext cx="1391611" cy="736629"/>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School Education Programs and Support</a:t>
          </a:r>
        </a:p>
        <a:p>
          <a:pPr marL="0" lvl="0" indent="0" algn="ctr" defTabSz="400050">
            <a:lnSpc>
              <a:spcPct val="90000"/>
            </a:lnSpc>
            <a:spcBef>
              <a:spcPct val="0"/>
            </a:spcBef>
            <a:spcAft>
              <a:spcPct val="35000"/>
            </a:spcAft>
            <a:buNone/>
          </a:pPr>
          <a:r>
            <a:rPr lang="en-US" sz="900" kern="1200"/>
            <a:t>Ian Burrage</a:t>
          </a:r>
        </a:p>
      </dsp:txBody>
      <dsp:txXfrm>
        <a:off x="3530355" y="4641792"/>
        <a:ext cx="1391611" cy="736629"/>
      </dsp:txXfrm>
    </dsp:sp>
    <dsp:sp modelId="{FAA83FA2-1361-4159-9F52-ED5C0B0385C9}">
      <dsp:nvSpPr>
        <dsp:cNvPr id="0" name=""/>
        <dsp:cNvSpPr/>
      </dsp:nvSpPr>
      <dsp:spPr>
        <a:xfrm>
          <a:off x="3530355" y="5569768"/>
          <a:ext cx="1391611" cy="736629"/>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Schools and Regional Services</a:t>
          </a:r>
        </a:p>
        <a:p>
          <a:pPr marL="0" lvl="0" indent="0" algn="ctr" defTabSz="400050">
            <a:lnSpc>
              <a:spcPct val="90000"/>
            </a:lnSpc>
            <a:spcBef>
              <a:spcPct val="0"/>
            </a:spcBef>
            <a:spcAft>
              <a:spcPct val="35000"/>
            </a:spcAft>
            <a:buNone/>
          </a:pPr>
          <a:r>
            <a:rPr lang="en-US" sz="900" kern="1200"/>
            <a:t>David Howes</a:t>
          </a:r>
        </a:p>
      </dsp:txBody>
      <dsp:txXfrm>
        <a:off x="3530355" y="5569768"/>
        <a:ext cx="1391611" cy="736629"/>
      </dsp:txXfrm>
    </dsp:sp>
    <dsp:sp modelId="{A8308746-6110-4D82-8F28-CFFACFB8EA18}">
      <dsp:nvSpPr>
        <dsp:cNvPr id="0" name=""/>
        <dsp:cNvSpPr/>
      </dsp:nvSpPr>
      <dsp:spPr>
        <a:xfrm>
          <a:off x="3530355" y="6497745"/>
          <a:ext cx="1391611" cy="736629"/>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Victorian School Building Authority</a:t>
          </a:r>
        </a:p>
        <a:p>
          <a:pPr marL="0" lvl="0" indent="0" algn="ctr" defTabSz="400050">
            <a:lnSpc>
              <a:spcPct val="90000"/>
            </a:lnSpc>
            <a:spcBef>
              <a:spcPct val="0"/>
            </a:spcBef>
            <a:spcAft>
              <a:spcPct val="35000"/>
            </a:spcAft>
            <a:buNone/>
          </a:pPr>
          <a:r>
            <a:rPr lang="en-US" sz="900" kern="1200"/>
            <a:t>Chris Keating</a:t>
          </a:r>
        </a:p>
      </dsp:txBody>
      <dsp:txXfrm>
        <a:off x="3530355" y="6497745"/>
        <a:ext cx="1391611" cy="736629"/>
      </dsp:txXfrm>
    </dsp:sp>
    <dsp:sp modelId="{62108809-3E71-40BC-A662-9F5E05CDA050}">
      <dsp:nvSpPr>
        <dsp:cNvPr id="0" name=""/>
        <dsp:cNvSpPr/>
      </dsp:nvSpPr>
      <dsp:spPr>
        <a:xfrm>
          <a:off x="3530355" y="7425721"/>
          <a:ext cx="1391611" cy="736629"/>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Senior Secondary Pathways Reform Taskforce</a:t>
          </a:r>
        </a:p>
        <a:p>
          <a:pPr marL="0" lvl="0" indent="0" algn="ctr" defTabSz="400050">
            <a:lnSpc>
              <a:spcPct val="90000"/>
            </a:lnSpc>
            <a:spcBef>
              <a:spcPct val="0"/>
            </a:spcBef>
            <a:spcAft>
              <a:spcPct val="35000"/>
            </a:spcAft>
            <a:buNone/>
          </a:pPr>
          <a:r>
            <a:rPr lang="en-US" sz="900" kern="1200"/>
            <a:t>Scott Widmer</a:t>
          </a:r>
        </a:p>
      </dsp:txBody>
      <dsp:txXfrm>
        <a:off x="3530355" y="7425721"/>
        <a:ext cx="1391611" cy="736629"/>
      </dsp:txXfrm>
    </dsp:sp>
    <dsp:sp modelId="{7476D790-EBC4-46EB-B1DA-4AE5048FBB22}">
      <dsp:nvSpPr>
        <dsp:cNvPr id="0" name=""/>
        <dsp:cNvSpPr/>
      </dsp:nvSpPr>
      <dsp:spPr>
        <a:xfrm>
          <a:off x="166540" y="4708863"/>
          <a:ext cx="1412215" cy="776721"/>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Minister for Higher Education and Minister for Training and Skills</a:t>
          </a:r>
        </a:p>
        <a:p>
          <a:pPr marL="0" lvl="0" indent="0" algn="ctr" defTabSz="400050">
            <a:lnSpc>
              <a:spcPct val="90000"/>
            </a:lnSpc>
            <a:spcBef>
              <a:spcPct val="0"/>
            </a:spcBef>
            <a:spcAft>
              <a:spcPct val="35000"/>
            </a:spcAft>
            <a:buNone/>
          </a:pPr>
          <a:r>
            <a:rPr lang="en-US" sz="900" kern="1200"/>
            <a:t>The Hon. Gayle Tierney MP</a:t>
          </a:r>
        </a:p>
      </dsp:txBody>
      <dsp:txXfrm>
        <a:off x="166540" y="4708863"/>
        <a:ext cx="1412215" cy="776721"/>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0.00517</cdr:x>
      <cdr:y>0.00549</cdr:y>
    </cdr:from>
    <cdr:to>
      <cdr:x>1</cdr:x>
      <cdr:y>1</cdr:y>
    </cdr:to>
    <cdr:pic>
      <cdr:nvPicPr>
        <cdr:cNvPr id="2" name="Picture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5010150" cy="2644140"/>
        </a:xfrm>
        <a:prstGeom xmlns:a="http://schemas.openxmlformats.org/drawingml/2006/main" prst="rect">
          <a:avLst/>
        </a:prstGeom>
        <a:noFill xmlns:a="http://schemas.openxmlformats.org/drawingml/2006/main"/>
      </cdr:spPr>
    </cdr:pic>
  </cdr:relSizeAnchor>
</c:userShapes>
</file>

<file path=word/drawings/drawing2.xml><?xml version="1.0" encoding="utf-8"?>
<c:userShapes xmlns:c="http://schemas.openxmlformats.org/drawingml/2006/chart">
  <cdr:relSizeAnchor xmlns:cdr="http://schemas.openxmlformats.org/drawingml/2006/chartDrawing">
    <cdr:from>
      <cdr:x>0.0063</cdr:x>
      <cdr:y>0.00665</cdr:y>
    </cdr:from>
    <cdr:to>
      <cdr:x>1</cdr:x>
      <cdr:y>1</cdr:y>
    </cdr:to>
    <cdr:pic>
      <cdr:nvPicPr>
        <cdr:cNvPr id="2" name="Picture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5004435" cy="2657475"/>
        </a:xfrm>
        <a:prstGeom xmlns:a="http://schemas.openxmlformats.org/drawingml/2006/main" prst="rect">
          <a:avLst/>
        </a:prstGeom>
        <a:noFill xmlns:a="http://schemas.openxmlformats.org/drawingml/2006/main"/>
      </cdr:spPr>
    </cdr:pic>
  </cdr:relSizeAnchor>
</c:userShapes>
</file>

<file path=word/drawings/drawing3.xml><?xml version="1.0" encoding="utf-8"?>
<c:userShapes xmlns:c="http://schemas.openxmlformats.org/drawingml/2006/chart">
  <cdr:relSizeAnchor xmlns:cdr="http://schemas.openxmlformats.org/drawingml/2006/chartDrawing">
    <cdr:from>
      <cdr:x>0.00252</cdr:x>
      <cdr:y>0.00333</cdr:y>
    </cdr:from>
    <cdr:to>
      <cdr:x>1</cdr:x>
      <cdr:y>1</cdr:y>
    </cdr:to>
    <cdr:pic>
      <cdr:nvPicPr>
        <cdr:cNvPr id="2" name="Picture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5023485" cy="2657475"/>
        </a:xfrm>
        <a:prstGeom xmlns:a="http://schemas.openxmlformats.org/drawingml/2006/main" prst="rect">
          <a:avLst/>
        </a:prstGeom>
        <a:noFill xmlns:a="http://schemas.openxmlformats.org/drawingml/2006/main"/>
      </cdr:spPr>
    </cdr:pic>
  </cdr:relSizeAnchor>
</c:userShapes>
</file>

<file path=word/theme/theme1.xml><?xml version="1.0" encoding="utf-8"?>
<a:theme xmlns:a="http://schemas.openxmlformats.org/drawingml/2006/main" name="Office Theme">
  <a:themeElements>
    <a:clrScheme name="Education State 2019">
      <a:dk1>
        <a:srgbClr val="8A2A2F"/>
      </a:dk1>
      <a:lt1>
        <a:srgbClr val="FFFFFF"/>
      </a:lt1>
      <a:dk2>
        <a:srgbClr val="000000"/>
      </a:dk2>
      <a:lt2>
        <a:srgbClr val="E7E6E6"/>
      </a:lt2>
      <a:accent1>
        <a:srgbClr val="D9D9D6"/>
      </a:accent1>
      <a:accent2>
        <a:srgbClr val="E57100"/>
      </a:accent2>
      <a:accent3>
        <a:srgbClr val="00B7BD"/>
      </a:accent3>
      <a:accent4>
        <a:srgbClr val="AF272F"/>
      </a:accent4>
      <a:accent5>
        <a:srgbClr val="53565A"/>
      </a:accent5>
      <a:accent6>
        <a:srgbClr val="D9D9D6"/>
      </a:accent6>
      <a:hlink>
        <a:srgbClr val="AF272F"/>
      </a:hlink>
      <a:folHlink>
        <a:srgbClr val="8A2A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Department of Education and Training Annual Report 2020-21</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CD6019D-7224-4FF4-A02E-5926C8E3ADE5}">
  <ds:schemaRefs>
    <ds:schemaRef ds:uri="http://purl.org/dc/elements/1.1/"/>
    <ds:schemaRef ds:uri="http://purl.org/dc/dcmitype/"/>
    <ds:schemaRef ds:uri="5d56f8f0-4a2a-4da2-a75e-58bdf4767c1e"/>
    <ds:schemaRef ds:uri="http://schemas.microsoft.com/Sharepoint/v3"/>
    <ds:schemaRef ds:uri="http://schemas.microsoft.com/sharepoint/v3"/>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7B62BFC-5FA1-4269-8C0E-A0EEB389A5B1}"/>
</file>

<file path=customXml/itemProps3.xml><?xml version="1.0" encoding="utf-8"?>
<ds:datastoreItem xmlns:ds="http://schemas.openxmlformats.org/officeDocument/2006/customXml" ds:itemID="{79A5D555-4AF6-40B1-B4FE-960F56BDAC4C}">
  <ds:schemaRefs>
    <ds:schemaRef ds:uri="http://schemas.microsoft.com/sharepoint/v3/contenttype/forms"/>
  </ds:schemaRefs>
</ds:datastoreItem>
</file>

<file path=customXml/itemProps4.xml><?xml version="1.0" encoding="utf-8"?>
<ds:datastoreItem xmlns:ds="http://schemas.openxmlformats.org/officeDocument/2006/customXml" ds:itemID="{7C4E2554-99FE-45A6-A70E-9A68FF9D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6991</TotalTime>
  <Pages>244</Pages>
  <Words>65989</Words>
  <Characters>376140</Characters>
  <Application>Microsoft Office Word</Application>
  <DocSecurity>0</DocSecurity>
  <Lines>3134</Lines>
  <Paragraphs>882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Aaron Pinkus</cp:lastModifiedBy>
  <cp:revision>1258</cp:revision>
  <cp:lastPrinted>2021-08-26T07:19:00Z</cp:lastPrinted>
  <dcterms:created xsi:type="dcterms:W3CDTF">2021-06-15T23:02:00Z</dcterms:created>
  <dcterms:modified xsi:type="dcterms:W3CDTF">2021-10-14T06:16:00Z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1;#16.3.1 Final Reports|808f4d2b-2607-4914-b911-b0ef6d2b9dfe</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{b7e47f3a-6be0-4bb9-a623-f6908f57e403}</vt:lpwstr>
  </property>
  <property fmtid="{D5CDD505-2E9C-101B-9397-08002B2CF9AE}" pid="8" name="RecordPoint_ActiveItemWebId">
    <vt:lpwstr>{5962f81e-9ba2-4bce-bf0d-45a50a2e0e41}</vt:lpwstr>
  </property>
  <property fmtid="{D5CDD505-2E9C-101B-9397-08002B2CF9AE}" pid="9" name="RecordPoint_ActiveItemSiteId">
    <vt:lpwstr>{7579aca2-9c40-4689-bd75-a939625dfa0b}</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RecordPoint_ActiveItemUniqueId">
    <vt:lpwstr>{123cfe17-5ff1-47fe-8d8c-24a848b4fae0}</vt:lpwstr>
  </property>
  <property fmtid="{D5CDD505-2E9C-101B-9397-08002B2CF9AE}" pid="14" name="RecordPoint_RecordNumberSubmitted">
    <vt:lpwstr>R20211643668</vt:lpwstr>
  </property>
  <property fmtid="{D5CDD505-2E9C-101B-9397-08002B2CF9AE}" pid="15" name="DEECD_Author">
    <vt:lpwstr>94;#Education|5232e41c-5101-41fe-b638-7d41d1371531</vt:lpwstr>
  </property>
  <property fmtid="{D5CDD505-2E9C-101B-9397-08002B2CF9AE}" pid="16" name="DEECD_ItemType">
    <vt:lpwstr>101;#Page|eb523acf-a821-456c-a76b-7607578309d7</vt:lpwstr>
  </property>
  <property fmtid="{D5CDD505-2E9C-101B-9397-08002B2CF9AE}" pid="17" name="DEECD_SubjectCategory">
    <vt:lpwstr/>
  </property>
  <property fmtid="{D5CDD505-2E9C-101B-9397-08002B2CF9AE}" pid="18" name="DEECD_Audience">
    <vt:lpwstr/>
  </property>
  <property fmtid="{D5CDD505-2E9C-101B-9397-08002B2CF9AE}" pid="19" name="Order">
    <vt:r8>1400</vt:r8>
  </property>
  <property fmtid="{D5CDD505-2E9C-101B-9397-08002B2CF9AE}" pid="20" name="DocumentSetDescription">
    <vt:lpwstr/>
  </property>
  <property fmtid="{D5CDD505-2E9C-101B-9397-08002B2CF9AE}" pid="21" name="xd_ProgID">
    <vt:lpwstr/>
  </property>
  <property fmtid="{D5CDD505-2E9C-101B-9397-08002B2CF9AE}" pid="22" name="Attachment">
    <vt:bool>false</vt:bool>
  </property>
  <property fmtid="{D5CDD505-2E9C-101B-9397-08002B2CF9AE}" pid="23" name="TemplateUrl">
    <vt:lpwstr/>
  </property>
  <property fmtid="{D5CDD505-2E9C-101B-9397-08002B2CF9AE}" pid="24" name="DET_EDRMS_BusUnitTaxHTField0">
    <vt:lpwstr/>
  </property>
  <property fmtid="{D5CDD505-2E9C-101B-9397-08002B2CF9AE}" pid="25" name="RecordPoint_SubmissionCompleted">
    <vt:lpwstr>2021-10-01T13:10:33.6059467+10:00</vt:lpwstr>
  </property>
</Properties>
</file>